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F2B273" w14:textId="4445F523" w:rsidR="00F116A2" w:rsidRPr="00FD7B0B" w:rsidRDefault="00B23A9C" w:rsidP="00F116A2">
      <w:pPr>
        <w:jc w:val="center"/>
        <w:rPr>
          <w:sz w:val="23"/>
          <w:szCs w:val="23"/>
        </w:rPr>
      </w:pPr>
      <w:r w:rsidRPr="00FD7B0B">
        <w:rPr>
          <w:noProof/>
          <w:sz w:val="23"/>
          <w:szCs w:val="23"/>
        </w:rPr>
        <w:t xml:space="preserve"> </w:t>
      </w:r>
      <w:r w:rsidR="00F116A2" w:rsidRPr="00FD7B0B">
        <w:rPr>
          <w:noProof/>
          <w:sz w:val="23"/>
          <w:szCs w:val="23"/>
          <w:lang w:eastAsia="ru-RU"/>
        </w:rPr>
        <w:drawing>
          <wp:inline distT="0" distB="0" distL="0" distR="0" wp14:anchorId="546C426D" wp14:editId="583D3A85">
            <wp:extent cx="590550" cy="685800"/>
            <wp:effectExtent l="0" t="0" r="0" b="0"/>
            <wp:docPr id="153" name="Рисунок 153" descr="GerbArhObl(ч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ArhObl(ч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550" cy="685800"/>
                    </a:xfrm>
                    <a:prstGeom prst="rect">
                      <a:avLst/>
                    </a:prstGeom>
                    <a:noFill/>
                    <a:ln>
                      <a:noFill/>
                    </a:ln>
                  </pic:spPr>
                </pic:pic>
              </a:graphicData>
            </a:graphic>
          </wp:inline>
        </w:drawing>
      </w:r>
    </w:p>
    <w:p w14:paraId="55B491C2" w14:textId="77777777" w:rsidR="00F116A2" w:rsidRPr="00FD7B0B" w:rsidRDefault="00F116A2" w:rsidP="00F116A2">
      <w:pPr>
        <w:pStyle w:val="af9"/>
        <w:ind w:firstLine="0"/>
        <w:jc w:val="center"/>
        <w:rPr>
          <w:b/>
          <w:sz w:val="27"/>
          <w:szCs w:val="27"/>
        </w:rPr>
      </w:pPr>
      <w:r w:rsidRPr="00FD7B0B">
        <w:rPr>
          <w:b/>
          <w:sz w:val="27"/>
          <w:szCs w:val="27"/>
        </w:rPr>
        <w:t>КОНТРОЛЬНО-СЧЕТНАЯ ПАЛАТА АРХАНГЕЛЬСКОЙ ОБЛАСТИ</w:t>
      </w:r>
    </w:p>
    <w:p w14:paraId="0B48B139" w14:textId="77777777" w:rsidR="00F116A2" w:rsidRPr="00FD7B0B" w:rsidRDefault="00F116A2" w:rsidP="00F116A2">
      <w:pPr>
        <w:pStyle w:val="af9"/>
        <w:ind w:firstLine="0"/>
        <w:jc w:val="center"/>
        <w:rPr>
          <w:b/>
          <w:sz w:val="27"/>
          <w:szCs w:val="27"/>
        </w:rPr>
      </w:pPr>
    </w:p>
    <w:p w14:paraId="7EC380D7" w14:textId="77777777" w:rsidR="00F116A2" w:rsidRPr="00FD7B0B" w:rsidRDefault="00F116A2" w:rsidP="00F116A2">
      <w:pPr>
        <w:pStyle w:val="af9"/>
        <w:ind w:firstLine="0"/>
        <w:jc w:val="center"/>
        <w:rPr>
          <w:b/>
          <w:sz w:val="27"/>
          <w:szCs w:val="27"/>
        </w:rPr>
      </w:pPr>
      <w:r w:rsidRPr="00FD7B0B">
        <w:rPr>
          <w:b/>
          <w:sz w:val="27"/>
          <w:szCs w:val="27"/>
        </w:rPr>
        <w:t>ПРЕДСЕДАТЕЛЬ</w:t>
      </w:r>
    </w:p>
    <w:p w14:paraId="2D32AD98" w14:textId="77777777" w:rsidR="00F116A2" w:rsidRPr="00FD7B0B" w:rsidRDefault="00F116A2" w:rsidP="00F116A2">
      <w:pPr>
        <w:pStyle w:val="af9"/>
        <w:ind w:firstLine="0"/>
        <w:jc w:val="center"/>
        <w:rPr>
          <w:b/>
          <w:sz w:val="19"/>
          <w:szCs w:val="19"/>
        </w:rPr>
      </w:pPr>
    </w:p>
    <w:p w14:paraId="0C3A72DE" w14:textId="77777777" w:rsidR="00F116A2" w:rsidRPr="00FD7B0B" w:rsidRDefault="00F116A2" w:rsidP="00F116A2">
      <w:pPr>
        <w:pStyle w:val="af9"/>
        <w:ind w:firstLine="0"/>
        <w:jc w:val="center"/>
        <w:rPr>
          <w:b/>
          <w:bCs/>
          <w:sz w:val="19"/>
          <w:szCs w:val="19"/>
        </w:rPr>
      </w:pPr>
      <w:r w:rsidRPr="00FD7B0B">
        <w:rPr>
          <w:b/>
          <w:sz w:val="19"/>
          <w:szCs w:val="19"/>
        </w:rPr>
        <w:t>пл. Ленина, 1, г. Арха</w:t>
      </w:r>
      <w:bookmarkStart w:id="0" w:name="_GoBack"/>
      <w:bookmarkEnd w:id="0"/>
      <w:r w:rsidRPr="00FD7B0B">
        <w:rPr>
          <w:b/>
          <w:sz w:val="19"/>
          <w:szCs w:val="19"/>
        </w:rPr>
        <w:t>нгельск, 163000</w:t>
      </w:r>
      <w:r w:rsidRPr="00FD7B0B">
        <w:rPr>
          <w:bCs/>
          <w:sz w:val="19"/>
          <w:szCs w:val="19"/>
        </w:rPr>
        <w:t xml:space="preserve"> </w:t>
      </w:r>
      <w:r w:rsidRPr="00FD7B0B">
        <w:rPr>
          <w:b/>
          <w:bCs/>
          <w:sz w:val="19"/>
          <w:szCs w:val="19"/>
        </w:rPr>
        <w:t xml:space="preserve">телефон/факс: 63-50-66, </w:t>
      </w:r>
      <w:r w:rsidRPr="00FD7B0B">
        <w:rPr>
          <w:b/>
          <w:bCs/>
          <w:sz w:val="19"/>
          <w:szCs w:val="19"/>
          <w:lang w:val="en-US"/>
        </w:rPr>
        <w:t>e</w:t>
      </w:r>
      <w:r w:rsidRPr="00FD7B0B">
        <w:rPr>
          <w:b/>
          <w:bCs/>
          <w:sz w:val="19"/>
          <w:szCs w:val="19"/>
        </w:rPr>
        <w:t>-</w:t>
      </w:r>
      <w:r w:rsidRPr="00FD7B0B">
        <w:rPr>
          <w:b/>
          <w:bCs/>
          <w:sz w:val="19"/>
          <w:szCs w:val="19"/>
          <w:lang w:val="en-US"/>
        </w:rPr>
        <w:t>mail</w:t>
      </w:r>
      <w:r w:rsidRPr="00FD7B0B">
        <w:rPr>
          <w:b/>
          <w:bCs/>
          <w:sz w:val="19"/>
          <w:szCs w:val="19"/>
        </w:rPr>
        <w:t xml:space="preserve">: </w:t>
      </w:r>
      <w:hyperlink r:id="rId9" w:history="1">
        <w:r w:rsidRPr="00FD7B0B">
          <w:rPr>
            <w:rStyle w:val="afb"/>
            <w:rFonts w:eastAsia="Calibri"/>
            <w:b/>
            <w:bCs/>
            <w:color w:val="auto"/>
            <w:sz w:val="19"/>
            <w:szCs w:val="19"/>
            <w:u w:val="none"/>
            <w:lang w:val="en-US"/>
          </w:rPr>
          <w:t>support</w:t>
        </w:r>
        <w:r w:rsidRPr="00FD7B0B">
          <w:rPr>
            <w:rStyle w:val="afb"/>
            <w:rFonts w:eastAsia="Calibri"/>
            <w:b/>
            <w:bCs/>
            <w:color w:val="auto"/>
            <w:sz w:val="19"/>
            <w:szCs w:val="19"/>
            <w:u w:val="none"/>
          </w:rPr>
          <w:t>@</w:t>
        </w:r>
        <w:r w:rsidRPr="00FD7B0B">
          <w:rPr>
            <w:rStyle w:val="afb"/>
            <w:rFonts w:eastAsia="Calibri"/>
            <w:b/>
            <w:bCs/>
            <w:color w:val="auto"/>
            <w:sz w:val="19"/>
            <w:szCs w:val="19"/>
            <w:u w:val="none"/>
            <w:lang w:val="en-US"/>
          </w:rPr>
          <w:t>kspao</w:t>
        </w:r>
        <w:r w:rsidRPr="00FD7B0B">
          <w:rPr>
            <w:rStyle w:val="afb"/>
            <w:rFonts w:eastAsia="Calibri"/>
            <w:b/>
            <w:bCs/>
            <w:color w:val="auto"/>
            <w:sz w:val="19"/>
            <w:szCs w:val="19"/>
            <w:u w:val="none"/>
          </w:rPr>
          <w:t>.</w:t>
        </w:r>
        <w:r w:rsidRPr="00FD7B0B">
          <w:rPr>
            <w:rStyle w:val="afb"/>
            <w:rFonts w:eastAsia="Calibri"/>
            <w:b/>
            <w:bCs/>
            <w:color w:val="auto"/>
            <w:sz w:val="19"/>
            <w:szCs w:val="19"/>
            <w:u w:val="none"/>
            <w:lang w:val="en-US"/>
          </w:rPr>
          <w:t>ru</w:t>
        </w:r>
      </w:hyperlink>
      <w:r w:rsidRPr="00FD7B0B">
        <w:rPr>
          <w:b/>
          <w:bCs/>
          <w:sz w:val="19"/>
          <w:szCs w:val="19"/>
        </w:rPr>
        <w:t xml:space="preserve"> </w:t>
      </w:r>
    </w:p>
    <w:p w14:paraId="39556F89" w14:textId="77777777" w:rsidR="00F116A2" w:rsidRPr="00FD7B0B" w:rsidRDefault="00F116A2" w:rsidP="00F116A2">
      <w:pPr>
        <w:pStyle w:val="ad"/>
        <w:jc w:val="center"/>
        <w:rPr>
          <w:spacing w:val="66"/>
          <w:sz w:val="27"/>
          <w:szCs w:val="27"/>
        </w:rPr>
      </w:pPr>
    </w:p>
    <w:p w14:paraId="12C6082E" w14:textId="77777777" w:rsidR="00971EC6" w:rsidRPr="00FD7B0B" w:rsidRDefault="00971EC6" w:rsidP="00971EC6">
      <w:pPr>
        <w:pStyle w:val="ad"/>
        <w:jc w:val="center"/>
        <w:rPr>
          <w:rFonts w:ascii="Times New Roman" w:hAnsi="Times New Roman"/>
          <w:spacing w:val="72"/>
          <w:sz w:val="28"/>
          <w:szCs w:val="28"/>
        </w:rPr>
      </w:pPr>
      <w:r w:rsidRPr="00FD7B0B">
        <w:rPr>
          <w:rFonts w:ascii="Times New Roman" w:hAnsi="Times New Roman"/>
          <w:spacing w:val="72"/>
          <w:sz w:val="28"/>
          <w:szCs w:val="28"/>
        </w:rPr>
        <w:t>ЗАКЛЮЧЕНИЕ</w:t>
      </w:r>
    </w:p>
    <w:p w14:paraId="52348D99" w14:textId="77777777" w:rsidR="00971EC6" w:rsidRPr="00FD7B0B" w:rsidRDefault="00971EC6" w:rsidP="00971EC6">
      <w:pPr>
        <w:pStyle w:val="ad"/>
        <w:jc w:val="center"/>
        <w:rPr>
          <w:rFonts w:ascii="Times New Roman" w:hAnsi="Times New Roman"/>
          <w:sz w:val="28"/>
          <w:szCs w:val="28"/>
        </w:rPr>
      </w:pPr>
      <w:r w:rsidRPr="00FD7B0B">
        <w:rPr>
          <w:rFonts w:ascii="Times New Roman" w:hAnsi="Times New Roman"/>
          <w:sz w:val="28"/>
          <w:szCs w:val="28"/>
        </w:rPr>
        <w:t>по результатам внешней проверки отчета об исполнении</w:t>
      </w:r>
    </w:p>
    <w:p w14:paraId="45290BF6" w14:textId="51220B5A" w:rsidR="00971EC6" w:rsidRPr="00FD7B0B" w:rsidRDefault="00971EC6" w:rsidP="00971EC6">
      <w:pPr>
        <w:pStyle w:val="ad"/>
        <w:jc w:val="center"/>
        <w:rPr>
          <w:rFonts w:ascii="Times New Roman" w:hAnsi="Times New Roman"/>
          <w:sz w:val="28"/>
          <w:szCs w:val="28"/>
        </w:rPr>
      </w:pPr>
      <w:r w:rsidRPr="00FD7B0B">
        <w:rPr>
          <w:rFonts w:ascii="Times New Roman" w:hAnsi="Times New Roman"/>
          <w:sz w:val="28"/>
          <w:szCs w:val="28"/>
        </w:rPr>
        <w:t>бюджета Архангельской области за 202</w:t>
      </w:r>
      <w:r w:rsidR="000C330C" w:rsidRPr="00FD7B0B">
        <w:rPr>
          <w:rFonts w:ascii="Times New Roman" w:hAnsi="Times New Roman"/>
          <w:sz w:val="28"/>
          <w:szCs w:val="28"/>
        </w:rPr>
        <w:t>4</w:t>
      </w:r>
      <w:r w:rsidRPr="00FD7B0B">
        <w:rPr>
          <w:rFonts w:ascii="Times New Roman" w:hAnsi="Times New Roman"/>
          <w:sz w:val="28"/>
          <w:szCs w:val="28"/>
        </w:rPr>
        <w:t xml:space="preserve"> год</w:t>
      </w:r>
    </w:p>
    <w:p w14:paraId="52BCACFD" w14:textId="77777777" w:rsidR="00971EC6" w:rsidRPr="00FD7B0B" w:rsidRDefault="00971EC6" w:rsidP="00971EC6">
      <w:pPr>
        <w:pStyle w:val="ad"/>
        <w:jc w:val="both"/>
        <w:rPr>
          <w:rFonts w:ascii="Times New Roman" w:hAnsi="Times New Roman"/>
          <w:sz w:val="28"/>
          <w:szCs w:val="28"/>
        </w:rPr>
      </w:pPr>
    </w:p>
    <w:p w14:paraId="2B4550D6" w14:textId="37037C78" w:rsidR="00971EC6" w:rsidRPr="00FD7B0B" w:rsidRDefault="005C2BCC" w:rsidP="00670E49">
      <w:pPr>
        <w:pStyle w:val="ad"/>
        <w:jc w:val="center"/>
        <w:rPr>
          <w:rFonts w:ascii="Times New Roman" w:hAnsi="Times New Roman"/>
          <w:sz w:val="28"/>
          <w:szCs w:val="28"/>
        </w:rPr>
      </w:pPr>
      <w:r w:rsidRPr="00FD7B0B">
        <w:rPr>
          <w:rFonts w:ascii="Times New Roman" w:hAnsi="Times New Roman"/>
          <w:sz w:val="28"/>
          <w:szCs w:val="28"/>
        </w:rPr>
        <w:t>г. Архангельск</w:t>
      </w:r>
      <w:r w:rsidR="00D06D7B" w:rsidRPr="00FD7B0B">
        <w:rPr>
          <w:rFonts w:ascii="Times New Roman" w:hAnsi="Times New Roman"/>
          <w:sz w:val="28"/>
          <w:szCs w:val="28"/>
        </w:rPr>
        <w:t xml:space="preserve">                </w:t>
      </w:r>
      <w:r w:rsidR="00A25635" w:rsidRPr="00FD7B0B">
        <w:rPr>
          <w:rFonts w:ascii="Times New Roman" w:hAnsi="Times New Roman"/>
          <w:sz w:val="28"/>
          <w:szCs w:val="28"/>
        </w:rPr>
        <w:t xml:space="preserve">                                           </w:t>
      </w:r>
      <w:r w:rsidR="00D06D7B" w:rsidRPr="00FD7B0B">
        <w:rPr>
          <w:rFonts w:ascii="Times New Roman" w:hAnsi="Times New Roman"/>
          <w:sz w:val="28"/>
          <w:szCs w:val="28"/>
        </w:rPr>
        <w:t xml:space="preserve">                       </w:t>
      </w:r>
      <w:r w:rsidR="00BF37CF" w:rsidRPr="00FD7B0B">
        <w:rPr>
          <w:rFonts w:ascii="Times New Roman" w:hAnsi="Times New Roman"/>
          <w:sz w:val="28"/>
          <w:szCs w:val="28"/>
        </w:rPr>
        <w:t xml:space="preserve"> </w:t>
      </w:r>
      <w:r w:rsidR="0032522F" w:rsidRPr="00FD7B0B">
        <w:rPr>
          <w:rFonts w:ascii="Times New Roman" w:hAnsi="Times New Roman"/>
          <w:sz w:val="28"/>
          <w:szCs w:val="28"/>
        </w:rPr>
        <w:t>23</w:t>
      </w:r>
      <w:r w:rsidR="00971EC6" w:rsidRPr="00FD7B0B">
        <w:rPr>
          <w:rFonts w:ascii="Times New Roman" w:hAnsi="Times New Roman"/>
          <w:sz w:val="28"/>
          <w:szCs w:val="28"/>
        </w:rPr>
        <w:t xml:space="preserve"> мая 202</w:t>
      </w:r>
      <w:r w:rsidR="000C330C" w:rsidRPr="00FD7B0B">
        <w:rPr>
          <w:rFonts w:ascii="Times New Roman" w:hAnsi="Times New Roman"/>
          <w:sz w:val="28"/>
          <w:szCs w:val="28"/>
        </w:rPr>
        <w:t>5</w:t>
      </w:r>
      <w:r w:rsidR="00971EC6" w:rsidRPr="00FD7B0B">
        <w:rPr>
          <w:rFonts w:ascii="Times New Roman" w:hAnsi="Times New Roman"/>
          <w:sz w:val="28"/>
          <w:szCs w:val="28"/>
        </w:rPr>
        <w:t xml:space="preserve"> года</w:t>
      </w:r>
    </w:p>
    <w:p w14:paraId="1D3ADCF0" w14:textId="77777777" w:rsidR="00971EC6" w:rsidRPr="00FD7B0B" w:rsidRDefault="00971EC6" w:rsidP="00971EC6">
      <w:pPr>
        <w:pStyle w:val="ad"/>
        <w:jc w:val="both"/>
        <w:rPr>
          <w:rFonts w:ascii="Times New Roman" w:hAnsi="Times New Roman"/>
          <w:sz w:val="28"/>
          <w:szCs w:val="28"/>
        </w:rPr>
      </w:pPr>
    </w:p>
    <w:p w14:paraId="763AA9B1" w14:textId="75193130" w:rsidR="00971EC6" w:rsidRPr="00FD7B0B" w:rsidRDefault="00971EC6" w:rsidP="00A55189">
      <w:pPr>
        <w:pStyle w:val="ad"/>
        <w:ind w:firstLine="709"/>
        <w:jc w:val="both"/>
        <w:rPr>
          <w:rFonts w:ascii="Times New Roman" w:hAnsi="Times New Roman"/>
          <w:sz w:val="28"/>
          <w:szCs w:val="28"/>
        </w:rPr>
      </w:pPr>
      <w:r w:rsidRPr="00FD7B0B">
        <w:rPr>
          <w:rFonts w:ascii="Times New Roman" w:hAnsi="Times New Roman"/>
          <w:sz w:val="28"/>
          <w:szCs w:val="28"/>
        </w:rPr>
        <w:t xml:space="preserve">В соответствии со ст. 264.4 Бюджетного кодекса РФ, ст. 31 областного закона от 23.09.2008 № 562-29-ОЗ </w:t>
      </w:r>
      <w:r w:rsidR="0065479F" w:rsidRPr="00FD7B0B">
        <w:rPr>
          <w:rFonts w:ascii="Times New Roman" w:hAnsi="Times New Roman"/>
          <w:sz w:val="28"/>
          <w:szCs w:val="28"/>
        </w:rPr>
        <w:t>«</w:t>
      </w:r>
      <w:r w:rsidRPr="00FD7B0B">
        <w:rPr>
          <w:rFonts w:ascii="Times New Roman" w:hAnsi="Times New Roman"/>
          <w:sz w:val="28"/>
          <w:szCs w:val="28"/>
        </w:rPr>
        <w:t>О бюджетном процессе Архангельской области</w:t>
      </w:r>
      <w:r w:rsidR="0065479F" w:rsidRPr="00FD7B0B">
        <w:rPr>
          <w:rFonts w:ascii="Times New Roman" w:hAnsi="Times New Roman"/>
          <w:sz w:val="28"/>
          <w:szCs w:val="28"/>
        </w:rPr>
        <w:t>»</w:t>
      </w:r>
      <w:r w:rsidRPr="00FD7B0B">
        <w:rPr>
          <w:rFonts w:ascii="Times New Roman" w:hAnsi="Times New Roman"/>
          <w:sz w:val="28"/>
          <w:szCs w:val="28"/>
        </w:rPr>
        <w:t xml:space="preserve"> (далее – областной закон о бюджетном процессе), ст. 8 областного закона от 30.05.2011 № 288-22-ОЗ </w:t>
      </w:r>
      <w:r w:rsidR="0065479F" w:rsidRPr="00FD7B0B">
        <w:rPr>
          <w:rFonts w:ascii="Times New Roman" w:hAnsi="Times New Roman"/>
          <w:sz w:val="28"/>
          <w:szCs w:val="28"/>
        </w:rPr>
        <w:t>«</w:t>
      </w:r>
      <w:r w:rsidRPr="00FD7B0B">
        <w:rPr>
          <w:rFonts w:ascii="Times New Roman" w:hAnsi="Times New Roman"/>
          <w:sz w:val="28"/>
          <w:szCs w:val="28"/>
        </w:rPr>
        <w:t>О контрольно-счетной палате Архангельской области</w:t>
      </w:r>
      <w:r w:rsidR="0065479F" w:rsidRPr="00FD7B0B">
        <w:rPr>
          <w:rFonts w:ascii="Times New Roman" w:hAnsi="Times New Roman"/>
          <w:sz w:val="28"/>
          <w:szCs w:val="28"/>
        </w:rPr>
        <w:t>»</w:t>
      </w:r>
      <w:r w:rsidRPr="00FD7B0B">
        <w:rPr>
          <w:rFonts w:ascii="Times New Roman" w:hAnsi="Times New Roman"/>
          <w:sz w:val="28"/>
          <w:szCs w:val="28"/>
        </w:rPr>
        <w:t>, п. 1.1.</w:t>
      </w:r>
      <w:r w:rsidR="008D44AD" w:rsidRPr="00FD7B0B">
        <w:rPr>
          <w:rFonts w:ascii="Times New Roman" w:hAnsi="Times New Roman"/>
          <w:sz w:val="28"/>
          <w:szCs w:val="28"/>
        </w:rPr>
        <w:t>5</w:t>
      </w:r>
      <w:r w:rsidRPr="00FD7B0B">
        <w:rPr>
          <w:rFonts w:ascii="Times New Roman" w:hAnsi="Times New Roman"/>
          <w:sz w:val="28"/>
          <w:szCs w:val="28"/>
        </w:rPr>
        <w:t xml:space="preserve"> Плана </w:t>
      </w:r>
      <w:r w:rsidR="008D44AD" w:rsidRPr="00FD7B0B">
        <w:rPr>
          <w:rFonts w:ascii="Times New Roman" w:hAnsi="Times New Roman"/>
          <w:sz w:val="28"/>
          <w:szCs w:val="28"/>
        </w:rPr>
        <w:t>работы</w:t>
      </w:r>
      <w:r w:rsidRPr="00FD7B0B">
        <w:rPr>
          <w:rFonts w:ascii="Times New Roman" w:hAnsi="Times New Roman"/>
          <w:sz w:val="28"/>
          <w:szCs w:val="28"/>
        </w:rPr>
        <w:t xml:space="preserve"> контрольно-счетной палаты Архангельской области на 202</w:t>
      </w:r>
      <w:r w:rsidR="000C330C" w:rsidRPr="00FD7B0B">
        <w:rPr>
          <w:rFonts w:ascii="Times New Roman" w:hAnsi="Times New Roman"/>
          <w:sz w:val="28"/>
          <w:szCs w:val="28"/>
        </w:rPr>
        <w:t>5</w:t>
      </w:r>
      <w:r w:rsidRPr="00FD7B0B">
        <w:rPr>
          <w:rFonts w:ascii="Times New Roman" w:hAnsi="Times New Roman"/>
          <w:sz w:val="28"/>
          <w:szCs w:val="28"/>
        </w:rPr>
        <w:t xml:space="preserve"> год и распоряжением контрольно-счетной палаты Архангельской области от </w:t>
      </w:r>
      <w:r w:rsidR="000C330C" w:rsidRPr="00FD7B0B">
        <w:rPr>
          <w:rFonts w:ascii="Times New Roman" w:hAnsi="Times New Roman"/>
          <w:sz w:val="28"/>
          <w:szCs w:val="28"/>
        </w:rPr>
        <w:t>09</w:t>
      </w:r>
      <w:r w:rsidRPr="00FD7B0B">
        <w:rPr>
          <w:rFonts w:ascii="Times New Roman" w:hAnsi="Times New Roman"/>
          <w:sz w:val="28"/>
          <w:szCs w:val="28"/>
        </w:rPr>
        <w:t>.04.202</w:t>
      </w:r>
      <w:r w:rsidR="000C330C" w:rsidRPr="00FD7B0B">
        <w:rPr>
          <w:rFonts w:ascii="Times New Roman" w:hAnsi="Times New Roman"/>
          <w:sz w:val="28"/>
          <w:szCs w:val="28"/>
        </w:rPr>
        <w:t>5</w:t>
      </w:r>
      <w:r w:rsidRPr="00FD7B0B">
        <w:rPr>
          <w:rFonts w:ascii="Times New Roman" w:hAnsi="Times New Roman"/>
          <w:sz w:val="28"/>
          <w:szCs w:val="28"/>
        </w:rPr>
        <w:t xml:space="preserve"> № 1</w:t>
      </w:r>
      <w:r w:rsidR="008D44AD" w:rsidRPr="00FD7B0B">
        <w:rPr>
          <w:rFonts w:ascii="Times New Roman" w:hAnsi="Times New Roman"/>
          <w:sz w:val="28"/>
          <w:szCs w:val="28"/>
        </w:rPr>
        <w:t>0</w:t>
      </w:r>
      <w:r w:rsidRPr="00FD7B0B">
        <w:rPr>
          <w:rFonts w:ascii="Times New Roman" w:hAnsi="Times New Roman"/>
          <w:sz w:val="28"/>
          <w:szCs w:val="28"/>
        </w:rPr>
        <w:t>-р, контрольно-счетной палатой Архангельской области проведена внешняя проверка годового отчета об исполнении областного бюджета за 202</w:t>
      </w:r>
      <w:r w:rsidR="000C330C" w:rsidRPr="00FD7B0B">
        <w:rPr>
          <w:rFonts w:ascii="Times New Roman" w:hAnsi="Times New Roman"/>
          <w:sz w:val="28"/>
          <w:szCs w:val="28"/>
        </w:rPr>
        <w:t>4</w:t>
      </w:r>
      <w:r w:rsidRPr="00FD7B0B">
        <w:rPr>
          <w:rFonts w:ascii="Times New Roman" w:hAnsi="Times New Roman"/>
          <w:sz w:val="28"/>
          <w:szCs w:val="28"/>
        </w:rPr>
        <w:t xml:space="preserve"> год, а также документов и материалов к нему.</w:t>
      </w:r>
    </w:p>
    <w:p w14:paraId="438CE895" w14:textId="085C6AF0" w:rsidR="00971EC6" w:rsidRPr="00FD7B0B" w:rsidRDefault="00410850" w:rsidP="00A55189">
      <w:pPr>
        <w:pStyle w:val="ad"/>
        <w:ind w:firstLine="709"/>
        <w:jc w:val="both"/>
        <w:rPr>
          <w:rFonts w:ascii="Times New Roman" w:hAnsi="Times New Roman"/>
          <w:sz w:val="28"/>
          <w:szCs w:val="28"/>
        </w:rPr>
      </w:pPr>
      <w:r w:rsidRPr="00FD7B0B">
        <w:rPr>
          <w:rFonts w:ascii="Times New Roman" w:hAnsi="Times New Roman"/>
          <w:sz w:val="28"/>
          <w:szCs w:val="28"/>
        </w:rPr>
        <w:t>В ходе</w:t>
      </w:r>
      <w:r w:rsidR="00971EC6" w:rsidRPr="00FD7B0B">
        <w:rPr>
          <w:rFonts w:ascii="Times New Roman" w:hAnsi="Times New Roman"/>
          <w:sz w:val="28"/>
          <w:szCs w:val="28"/>
        </w:rPr>
        <w:t xml:space="preserve"> подготовк</w:t>
      </w:r>
      <w:r w:rsidRPr="00FD7B0B">
        <w:rPr>
          <w:rFonts w:ascii="Times New Roman" w:hAnsi="Times New Roman"/>
          <w:sz w:val="28"/>
          <w:szCs w:val="28"/>
        </w:rPr>
        <w:t>и</w:t>
      </w:r>
      <w:r w:rsidR="00971EC6" w:rsidRPr="00FD7B0B">
        <w:rPr>
          <w:rFonts w:ascii="Times New Roman" w:hAnsi="Times New Roman"/>
          <w:sz w:val="28"/>
          <w:szCs w:val="28"/>
        </w:rPr>
        <w:t xml:space="preserve"> настоящего заключения использована бюджетн</w:t>
      </w:r>
      <w:r w:rsidR="00C74D92" w:rsidRPr="00FD7B0B">
        <w:rPr>
          <w:rFonts w:ascii="Times New Roman" w:hAnsi="Times New Roman"/>
          <w:sz w:val="28"/>
          <w:szCs w:val="28"/>
        </w:rPr>
        <w:t xml:space="preserve">ая и бухгалтерская </w:t>
      </w:r>
      <w:r w:rsidR="00971EC6" w:rsidRPr="00FD7B0B">
        <w:rPr>
          <w:rFonts w:ascii="Times New Roman" w:hAnsi="Times New Roman"/>
          <w:sz w:val="28"/>
          <w:szCs w:val="28"/>
        </w:rPr>
        <w:t>отчетност</w:t>
      </w:r>
      <w:r w:rsidR="00C74D92" w:rsidRPr="00FD7B0B">
        <w:rPr>
          <w:rFonts w:ascii="Times New Roman" w:hAnsi="Times New Roman"/>
          <w:sz w:val="28"/>
          <w:szCs w:val="28"/>
        </w:rPr>
        <w:t>ь</w:t>
      </w:r>
      <w:r w:rsidR="00971EC6" w:rsidRPr="00FD7B0B">
        <w:rPr>
          <w:rFonts w:ascii="Times New Roman" w:hAnsi="Times New Roman"/>
          <w:sz w:val="28"/>
          <w:szCs w:val="28"/>
        </w:rPr>
        <w:t xml:space="preserve"> об исполнении областного бюджета</w:t>
      </w:r>
      <w:r w:rsidR="00C74D92" w:rsidRPr="00FD7B0B">
        <w:rPr>
          <w:rFonts w:ascii="Times New Roman" w:hAnsi="Times New Roman"/>
          <w:sz w:val="28"/>
          <w:szCs w:val="28"/>
        </w:rPr>
        <w:t xml:space="preserve"> за 202</w:t>
      </w:r>
      <w:r w:rsidR="000C330C" w:rsidRPr="00FD7B0B">
        <w:rPr>
          <w:rFonts w:ascii="Times New Roman" w:hAnsi="Times New Roman"/>
          <w:sz w:val="28"/>
          <w:szCs w:val="28"/>
        </w:rPr>
        <w:t>4</w:t>
      </w:r>
      <w:r w:rsidR="00C74D92" w:rsidRPr="00FD7B0B">
        <w:rPr>
          <w:rFonts w:ascii="Times New Roman" w:hAnsi="Times New Roman"/>
          <w:sz w:val="28"/>
          <w:szCs w:val="28"/>
        </w:rPr>
        <w:t xml:space="preserve"> год</w:t>
      </w:r>
      <w:r w:rsidR="00971EC6" w:rsidRPr="00FD7B0B">
        <w:rPr>
          <w:rFonts w:ascii="Times New Roman" w:hAnsi="Times New Roman"/>
          <w:sz w:val="28"/>
          <w:szCs w:val="28"/>
        </w:rPr>
        <w:t xml:space="preserve">, </w:t>
      </w:r>
      <w:r w:rsidR="00C74D92" w:rsidRPr="00FD7B0B">
        <w:rPr>
          <w:rFonts w:ascii="Times New Roman" w:hAnsi="Times New Roman"/>
          <w:sz w:val="28"/>
          <w:szCs w:val="28"/>
        </w:rPr>
        <w:t>результаты</w:t>
      </w:r>
      <w:r w:rsidR="00971EC6" w:rsidRPr="00FD7B0B">
        <w:rPr>
          <w:rFonts w:ascii="Times New Roman" w:hAnsi="Times New Roman"/>
          <w:sz w:val="28"/>
          <w:szCs w:val="28"/>
        </w:rPr>
        <w:t xml:space="preserve"> проверок исполнения областного бюджета отдельными главными распорядителями средств областного бюджета, </w:t>
      </w:r>
      <w:r w:rsidR="00C74D92" w:rsidRPr="00FD7B0B">
        <w:rPr>
          <w:rFonts w:ascii="Times New Roman" w:hAnsi="Times New Roman"/>
          <w:sz w:val="28"/>
          <w:szCs w:val="28"/>
        </w:rPr>
        <w:t>результаты</w:t>
      </w:r>
      <w:r w:rsidR="00971EC6" w:rsidRPr="00FD7B0B">
        <w:rPr>
          <w:rFonts w:ascii="Times New Roman" w:hAnsi="Times New Roman"/>
          <w:sz w:val="28"/>
          <w:szCs w:val="28"/>
        </w:rPr>
        <w:t xml:space="preserve"> проверок бюджетных и автономных учреждений Архангельской области и иных организаций и физических лиц, получающих средства областного бюджета, а также информация, размещенная на </w:t>
      </w:r>
      <w:r w:rsidR="00EF65DE" w:rsidRPr="00FD7B0B">
        <w:rPr>
          <w:rFonts w:ascii="Times New Roman" w:hAnsi="Times New Roman"/>
          <w:sz w:val="28"/>
          <w:szCs w:val="28"/>
        </w:rPr>
        <w:t xml:space="preserve">едином </w:t>
      </w:r>
      <w:r w:rsidR="00971EC6" w:rsidRPr="00FD7B0B">
        <w:rPr>
          <w:rFonts w:ascii="Times New Roman" w:hAnsi="Times New Roman"/>
          <w:sz w:val="28"/>
          <w:szCs w:val="28"/>
        </w:rPr>
        <w:t xml:space="preserve">портале </w:t>
      </w:r>
      <w:r w:rsidR="00EF65DE" w:rsidRPr="00FD7B0B">
        <w:rPr>
          <w:rFonts w:ascii="Times New Roman" w:hAnsi="Times New Roman"/>
          <w:sz w:val="28"/>
          <w:szCs w:val="28"/>
        </w:rPr>
        <w:t xml:space="preserve">бюджетной системы Российской Федерации </w:t>
      </w:r>
      <w:r w:rsidR="0065479F" w:rsidRPr="00FD7B0B">
        <w:rPr>
          <w:rFonts w:ascii="Times New Roman" w:hAnsi="Times New Roman"/>
          <w:sz w:val="28"/>
          <w:szCs w:val="28"/>
        </w:rPr>
        <w:t>«</w:t>
      </w:r>
      <w:r w:rsidR="00971EC6" w:rsidRPr="00FD7B0B">
        <w:rPr>
          <w:rFonts w:ascii="Times New Roman" w:hAnsi="Times New Roman"/>
          <w:sz w:val="28"/>
          <w:szCs w:val="28"/>
        </w:rPr>
        <w:t>Электронный бюджет</w:t>
      </w:r>
      <w:r w:rsidR="0065479F" w:rsidRPr="00FD7B0B">
        <w:rPr>
          <w:rFonts w:ascii="Times New Roman" w:hAnsi="Times New Roman"/>
          <w:sz w:val="28"/>
          <w:szCs w:val="28"/>
        </w:rPr>
        <w:t>»</w:t>
      </w:r>
      <w:r w:rsidR="00971EC6" w:rsidRPr="00FD7B0B">
        <w:rPr>
          <w:rFonts w:ascii="Times New Roman" w:hAnsi="Times New Roman"/>
          <w:sz w:val="28"/>
          <w:szCs w:val="28"/>
        </w:rPr>
        <w:t>, иные документы и материалы.</w:t>
      </w:r>
    </w:p>
    <w:p w14:paraId="66B6E356" w14:textId="5E83F2A2" w:rsidR="00C337AA" w:rsidRPr="00FD7B0B" w:rsidRDefault="00971EC6" w:rsidP="009A696A">
      <w:pPr>
        <w:pStyle w:val="ad"/>
        <w:ind w:firstLine="709"/>
        <w:jc w:val="both"/>
        <w:rPr>
          <w:rFonts w:ascii="Times New Roman" w:hAnsi="Times New Roman"/>
          <w:sz w:val="28"/>
          <w:szCs w:val="28"/>
        </w:rPr>
      </w:pPr>
      <w:r w:rsidRPr="00FD7B0B">
        <w:rPr>
          <w:rFonts w:ascii="Times New Roman" w:hAnsi="Times New Roman"/>
          <w:sz w:val="28"/>
          <w:szCs w:val="28"/>
        </w:rPr>
        <w:t>Отчет об исполнении областного бюджета за 202</w:t>
      </w:r>
      <w:r w:rsidR="000C330C" w:rsidRPr="00FD7B0B">
        <w:rPr>
          <w:rFonts w:ascii="Times New Roman" w:hAnsi="Times New Roman"/>
          <w:sz w:val="28"/>
          <w:szCs w:val="28"/>
        </w:rPr>
        <w:t>4</w:t>
      </w:r>
      <w:r w:rsidRPr="00FD7B0B">
        <w:rPr>
          <w:rFonts w:ascii="Times New Roman" w:hAnsi="Times New Roman"/>
          <w:sz w:val="28"/>
          <w:szCs w:val="28"/>
        </w:rPr>
        <w:t xml:space="preserve"> год представлен в контрольно-счетную палату Архангельской области письмом </w:t>
      </w:r>
      <w:r w:rsidR="0095748D" w:rsidRPr="00FD7B0B">
        <w:rPr>
          <w:rFonts w:ascii="Times New Roman" w:hAnsi="Times New Roman"/>
          <w:sz w:val="28"/>
          <w:szCs w:val="28"/>
        </w:rPr>
        <w:t>Правительства</w:t>
      </w:r>
      <w:r w:rsidRPr="00FD7B0B">
        <w:rPr>
          <w:rFonts w:ascii="Times New Roman" w:hAnsi="Times New Roman"/>
          <w:sz w:val="28"/>
          <w:szCs w:val="28"/>
        </w:rPr>
        <w:t xml:space="preserve"> Архангельской области от 0</w:t>
      </w:r>
      <w:r w:rsidR="007316A8" w:rsidRPr="00FD7B0B">
        <w:rPr>
          <w:rFonts w:ascii="Times New Roman" w:hAnsi="Times New Roman"/>
          <w:sz w:val="28"/>
          <w:szCs w:val="28"/>
        </w:rPr>
        <w:t>8</w:t>
      </w:r>
      <w:r w:rsidRPr="00FD7B0B">
        <w:rPr>
          <w:rFonts w:ascii="Times New Roman" w:hAnsi="Times New Roman"/>
          <w:sz w:val="28"/>
          <w:szCs w:val="28"/>
        </w:rPr>
        <w:t>.04.202</w:t>
      </w:r>
      <w:r w:rsidR="007316A8" w:rsidRPr="00FD7B0B">
        <w:rPr>
          <w:rFonts w:ascii="Times New Roman" w:hAnsi="Times New Roman"/>
          <w:sz w:val="28"/>
          <w:szCs w:val="28"/>
        </w:rPr>
        <w:t>5</w:t>
      </w:r>
      <w:r w:rsidRPr="00FD7B0B">
        <w:rPr>
          <w:rFonts w:ascii="Times New Roman" w:hAnsi="Times New Roman"/>
          <w:sz w:val="28"/>
          <w:szCs w:val="28"/>
        </w:rPr>
        <w:t xml:space="preserve"> № 02-17/</w:t>
      </w:r>
      <w:r w:rsidR="007316A8" w:rsidRPr="00FD7B0B">
        <w:rPr>
          <w:rFonts w:ascii="Times New Roman" w:hAnsi="Times New Roman"/>
          <w:sz w:val="28"/>
          <w:szCs w:val="28"/>
        </w:rPr>
        <w:t>АА/2144</w:t>
      </w:r>
      <w:r w:rsidR="00E45C57" w:rsidRPr="00FD7B0B">
        <w:rPr>
          <w:rFonts w:ascii="Times New Roman" w:hAnsi="Times New Roman"/>
          <w:sz w:val="28"/>
          <w:szCs w:val="28"/>
        </w:rPr>
        <w:t xml:space="preserve">, то есть в срок, установленный </w:t>
      </w:r>
      <w:r w:rsidR="003A361D" w:rsidRPr="00FD7B0B">
        <w:rPr>
          <w:rFonts w:ascii="Times New Roman" w:hAnsi="Times New Roman"/>
          <w:sz w:val="28"/>
          <w:szCs w:val="28"/>
        </w:rPr>
        <w:t xml:space="preserve">ст. 30 закона о бюджетном процессе. Состав документов и материалов </w:t>
      </w:r>
      <w:r w:rsidR="002361F8" w:rsidRPr="00FD7B0B">
        <w:rPr>
          <w:rFonts w:ascii="Times New Roman" w:hAnsi="Times New Roman"/>
          <w:sz w:val="28"/>
          <w:szCs w:val="28"/>
        </w:rPr>
        <w:t xml:space="preserve">к отчету </w:t>
      </w:r>
      <w:r w:rsidR="003A361D" w:rsidRPr="00FD7B0B">
        <w:rPr>
          <w:rFonts w:ascii="Times New Roman" w:hAnsi="Times New Roman"/>
          <w:sz w:val="28"/>
          <w:szCs w:val="28"/>
        </w:rPr>
        <w:t>соответствует перечню, установленному ст. 30 закона о бюджетном процессе.</w:t>
      </w:r>
    </w:p>
    <w:p w14:paraId="56DC906C" w14:textId="77777777" w:rsidR="00971EC6" w:rsidRPr="00FD7B0B" w:rsidRDefault="00971EC6" w:rsidP="00971EC6">
      <w:pPr>
        <w:spacing w:after="0" w:line="240" w:lineRule="auto"/>
        <w:rPr>
          <w:rFonts w:ascii="Times New Roman" w:hAnsi="Times New Roman"/>
          <w:sz w:val="28"/>
          <w:szCs w:val="28"/>
        </w:rPr>
      </w:pPr>
      <w:r w:rsidRPr="00FD7B0B">
        <w:rPr>
          <w:rFonts w:ascii="Times New Roman" w:hAnsi="Times New Roman"/>
          <w:sz w:val="28"/>
          <w:szCs w:val="28"/>
        </w:rPr>
        <w:br w:type="page"/>
      </w:r>
    </w:p>
    <w:p w14:paraId="669D6536" w14:textId="77777777" w:rsidR="00971EC6" w:rsidRPr="00FD7B0B" w:rsidRDefault="00971EC6" w:rsidP="00971EC6">
      <w:pPr>
        <w:pStyle w:val="aff5"/>
        <w:spacing w:before="240" w:after="120" w:line="240" w:lineRule="auto"/>
        <w:jc w:val="center"/>
        <w:rPr>
          <w:rFonts w:ascii="Times New Roman" w:hAnsi="Times New Roman"/>
          <w:b w:val="0"/>
          <w:color w:val="auto"/>
        </w:rPr>
      </w:pPr>
      <w:r w:rsidRPr="00FD7B0B">
        <w:rPr>
          <w:rFonts w:ascii="Times New Roman" w:hAnsi="Times New Roman"/>
          <w:b w:val="0"/>
          <w:color w:val="auto"/>
        </w:rPr>
        <w:lastRenderedPageBreak/>
        <w:t>СОДЕРЖАНИЕ ЗАКЛЮЧЕНИЯ</w:t>
      </w:r>
    </w:p>
    <w:p w14:paraId="35A55154" w14:textId="77777777" w:rsidR="00AD4184" w:rsidRPr="00FD7B0B" w:rsidRDefault="00971EC6">
      <w:pPr>
        <w:pStyle w:val="13"/>
        <w:tabs>
          <w:tab w:val="right" w:leader="dot" w:pos="9627"/>
        </w:tabs>
        <w:rPr>
          <w:rFonts w:asciiTheme="minorHAnsi" w:eastAsiaTheme="minorEastAsia" w:hAnsiTheme="minorHAnsi" w:cstheme="minorBidi"/>
          <w:noProof/>
          <w:sz w:val="22"/>
          <w:lang w:eastAsia="ru-RU"/>
        </w:rPr>
      </w:pPr>
      <w:r w:rsidRPr="00FD7B0B">
        <w:rPr>
          <w:highlight w:val="cyan"/>
        </w:rPr>
        <w:fldChar w:fldCharType="begin"/>
      </w:r>
      <w:r w:rsidRPr="00FD7B0B">
        <w:rPr>
          <w:highlight w:val="cyan"/>
        </w:rPr>
        <w:instrText xml:space="preserve"> TOC \o "1-3" \h \z \u </w:instrText>
      </w:r>
      <w:r w:rsidRPr="00FD7B0B">
        <w:rPr>
          <w:highlight w:val="cyan"/>
        </w:rPr>
        <w:fldChar w:fldCharType="separate"/>
      </w:r>
      <w:hyperlink w:anchor="_Toc198819113" w:history="1">
        <w:r w:rsidR="00AD4184" w:rsidRPr="00FD7B0B">
          <w:rPr>
            <w:rStyle w:val="afb"/>
            <w:noProof/>
            <w:color w:val="auto"/>
          </w:rPr>
          <w:t>1. Итоги социально-экономического развития Архангельской области за 2024 год</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_Toc198819113 \h </w:instrText>
        </w:r>
        <w:r w:rsidR="00AD4184" w:rsidRPr="00FD7B0B">
          <w:rPr>
            <w:noProof/>
            <w:webHidden/>
          </w:rPr>
        </w:r>
        <w:r w:rsidR="00AD4184" w:rsidRPr="00FD7B0B">
          <w:rPr>
            <w:noProof/>
            <w:webHidden/>
          </w:rPr>
          <w:fldChar w:fldCharType="separate"/>
        </w:r>
        <w:r w:rsidR="002959CD" w:rsidRPr="00FD7B0B">
          <w:rPr>
            <w:noProof/>
            <w:webHidden/>
          </w:rPr>
          <w:t>4</w:t>
        </w:r>
        <w:r w:rsidR="00AD4184" w:rsidRPr="00FD7B0B">
          <w:rPr>
            <w:noProof/>
            <w:webHidden/>
          </w:rPr>
          <w:fldChar w:fldCharType="end"/>
        </w:r>
      </w:hyperlink>
    </w:p>
    <w:p w14:paraId="222DE154"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14" w:history="1">
        <w:r w:rsidR="00AD4184" w:rsidRPr="00FD7B0B">
          <w:rPr>
            <w:rStyle w:val="afb"/>
            <w:noProof/>
            <w:color w:val="auto"/>
          </w:rPr>
          <w:t>1.1. Индекс промышленного производства</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_Toc198819114 \h </w:instrText>
        </w:r>
        <w:r w:rsidR="00AD4184" w:rsidRPr="00FD7B0B">
          <w:rPr>
            <w:noProof/>
            <w:webHidden/>
          </w:rPr>
        </w:r>
        <w:r w:rsidR="00AD4184" w:rsidRPr="00FD7B0B">
          <w:rPr>
            <w:noProof/>
            <w:webHidden/>
          </w:rPr>
          <w:fldChar w:fldCharType="separate"/>
        </w:r>
        <w:r w:rsidR="002959CD" w:rsidRPr="00FD7B0B">
          <w:rPr>
            <w:noProof/>
            <w:webHidden/>
          </w:rPr>
          <w:t>6</w:t>
        </w:r>
        <w:r w:rsidR="00AD4184" w:rsidRPr="00FD7B0B">
          <w:rPr>
            <w:noProof/>
            <w:webHidden/>
          </w:rPr>
          <w:fldChar w:fldCharType="end"/>
        </w:r>
      </w:hyperlink>
    </w:p>
    <w:p w14:paraId="552A16E0"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15" w:history="1">
        <w:r w:rsidR="00AD4184" w:rsidRPr="00FD7B0B">
          <w:rPr>
            <w:rStyle w:val="afb"/>
            <w:noProof/>
            <w:color w:val="auto"/>
          </w:rPr>
          <w:t>1.2. Объем инвестиций в основной капитал</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_Toc198819115 \h </w:instrText>
        </w:r>
        <w:r w:rsidR="00AD4184" w:rsidRPr="00FD7B0B">
          <w:rPr>
            <w:noProof/>
            <w:webHidden/>
          </w:rPr>
        </w:r>
        <w:r w:rsidR="00AD4184" w:rsidRPr="00FD7B0B">
          <w:rPr>
            <w:noProof/>
            <w:webHidden/>
          </w:rPr>
          <w:fldChar w:fldCharType="separate"/>
        </w:r>
        <w:r w:rsidR="002959CD" w:rsidRPr="00FD7B0B">
          <w:rPr>
            <w:noProof/>
            <w:webHidden/>
          </w:rPr>
          <w:t>10</w:t>
        </w:r>
        <w:r w:rsidR="00AD4184" w:rsidRPr="00FD7B0B">
          <w:rPr>
            <w:noProof/>
            <w:webHidden/>
          </w:rPr>
          <w:fldChar w:fldCharType="end"/>
        </w:r>
      </w:hyperlink>
    </w:p>
    <w:p w14:paraId="4ABC7487"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16" w:history="1">
        <w:r w:rsidR="00AD4184" w:rsidRPr="00FD7B0B">
          <w:rPr>
            <w:rStyle w:val="afb"/>
            <w:noProof/>
            <w:color w:val="auto"/>
          </w:rPr>
          <w:t>1.3. Строительная сфера региона</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_Toc198819116 \h </w:instrText>
        </w:r>
        <w:r w:rsidR="00AD4184" w:rsidRPr="00FD7B0B">
          <w:rPr>
            <w:noProof/>
            <w:webHidden/>
          </w:rPr>
        </w:r>
        <w:r w:rsidR="00AD4184" w:rsidRPr="00FD7B0B">
          <w:rPr>
            <w:noProof/>
            <w:webHidden/>
          </w:rPr>
          <w:fldChar w:fldCharType="separate"/>
        </w:r>
        <w:r w:rsidR="002959CD" w:rsidRPr="00FD7B0B">
          <w:rPr>
            <w:noProof/>
            <w:webHidden/>
          </w:rPr>
          <w:t>13</w:t>
        </w:r>
        <w:r w:rsidR="00AD4184" w:rsidRPr="00FD7B0B">
          <w:rPr>
            <w:noProof/>
            <w:webHidden/>
          </w:rPr>
          <w:fldChar w:fldCharType="end"/>
        </w:r>
      </w:hyperlink>
    </w:p>
    <w:p w14:paraId="3ACF4120"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17" w:history="1">
        <w:r w:rsidR="00AD4184" w:rsidRPr="00FD7B0B">
          <w:rPr>
            <w:rStyle w:val="afb"/>
            <w:noProof/>
            <w:color w:val="auto"/>
          </w:rPr>
          <w:t>1.4. Деятельность отдельных видов транспорта</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_Toc198819117 \h </w:instrText>
        </w:r>
        <w:r w:rsidR="00AD4184" w:rsidRPr="00FD7B0B">
          <w:rPr>
            <w:noProof/>
            <w:webHidden/>
          </w:rPr>
        </w:r>
        <w:r w:rsidR="00AD4184" w:rsidRPr="00FD7B0B">
          <w:rPr>
            <w:noProof/>
            <w:webHidden/>
          </w:rPr>
          <w:fldChar w:fldCharType="separate"/>
        </w:r>
        <w:r w:rsidR="002959CD" w:rsidRPr="00FD7B0B">
          <w:rPr>
            <w:noProof/>
            <w:webHidden/>
          </w:rPr>
          <w:t>16</w:t>
        </w:r>
        <w:r w:rsidR="00AD4184" w:rsidRPr="00FD7B0B">
          <w:rPr>
            <w:noProof/>
            <w:webHidden/>
          </w:rPr>
          <w:fldChar w:fldCharType="end"/>
        </w:r>
      </w:hyperlink>
    </w:p>
    <w:p w14:paraId="3C02398C"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18" w:history="1">
        <w:r w:rsidR="00AD4184" w:rsidRPr="00FD7B0B">
          <w:rPr>
            <w:rStyle w:val="afb"/>
            <w:noProof/>
            <w:color w:val="auto"/>
          </w:rPr>
          <w:t>1.5. Оборот розничной торговли в Архангельской области (без НАО)</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_Toc198819118 \h </w:instrText>
        </w:r>
        <w:r w:rsidR="00AD4184" w:rsidRPr="00FD7B0B">
          <w:rPr>
            <w:noProof/>
            <w:webHidden/>
          </w:rPr>
        </w:r>
        <w:r w:rsidR="00AD4184" w:rsidRPr="00FD7B0B">
          <w:rPr>
            <w:noProof/>
            <w:webHidden/>
          </w:rPr>
          <w:fldChar w:fldCharType="separate"/>
        </w:r>
        <w:r w:rsidR="002959CD" w:rsidRPr="00FD7B0B">
          <w:rPr>
            <w:noProof/>
            <w:webHidden/>
          </w:rPr>
          <w:t>17</w:t>
        </w:r>
        <w:r w:rsidR="00AD4184" w:rsidRPr="00FD7B0B">
          <w:rPr>
            <w:noProof/>
            <w:webHidden/>
          </w:rPr>
          <w:fldChar w:fldCharType="end"/>
        </w:r>
      </w:hyperlink>
    </w:p>
    <w:p w14:paraId="3C66904B"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19" w:history="1">
        <w:r w:rsidR="00AD4184" w:rsidRPr="00FD7B0B">
          <w:rPr>
            <w:rStyle w:val="afb"/>
            <w:noProof/>
            <w:color w:val="auto"/>
          </w:rPr>
          <w:t>1.6. Платные услуги населению</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_Toc198819119 \h </w:instrText>
        </w:r>
        <w:r w:rsidR="00AD4184" w:rsidRPr="00FD7B0B">
          <w:rPr>
            <w:noProof/>
            <w:webHidden/>
          </w:rPr>
        </w:r>
        <w:r w:rsidR="00AD4184" w:rsidRPr="00FD7B0B">
          <w:rPr>
            <w:noProof/>
            <w:webHidden/>
          </w:rPr>
          <w:fldChar w:fldCharType="separate"/>
        </w:r>
        <w:r w:rsidR="002959CD" w:rsidRPr="00FD7B0B">
          <w:rPr>
            <w:noProof/>
            <w:webHidden/>
          </w:rPr>
          <w:t>18</w:t>
        </w:r>
        <w:r w:rsidR="00AD4184" w:rsidRPr="00FD7B0B">
          <w:rPr>
            <w:noProof/>
            <w:webHidden/>
          </w:rPr>
          <w:fldChar w:fldCharType="end"/>
        </w:r>
      </w:hyperlink>
    </w:p>
    <w:p w14:paraId="45BA5E52"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20" w:history="1">
        <w:r w:rsidR="00AD4184" w:rsidRPr="00FD7B0B">
          <w:rPr>
            <w:rStyle w:val="afb"/>
            <w:noProof/>
            <w:color w:val="auto"/>
          </w:rPr>
          <w:t>1.7. Индекс потребительских цен</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_Toc198819120 \h </w:instrText>
        </w:r>
        <w:r w:rsidR="00AD4184" w:rsidRPr="00FD7B0B">
          <w:rPr>
            <w:noProof/>
            <w:webHidden/>
          </w:rPr>
        </w:r>
        <w:r w:rsidR="00AD4184" w:rsidRPr="00FD7B0B">
          <w:rPr>
            <w:noProof/>
            <w:webHidden/>
          </w:rPr>
          <w:fldChar w:fldCharType="separate"/>
        </w:r>
        <w:r w:rsidR="002959CD" w:rsidRPr="00FD7B0B">
          <w:rPr>
            <w:noProof/>
            <w:webHidden/>
          </w:rPr>
          <w:t>19</w:t>
        </w:r>
        <w:r w:rsidR="00AD4184" w:rsidRPr="00FD7B0B">
          <w:rPr>
            <w:noProof/>
            <w:webHidden/>
          </w:rPr>
          <w:fldChar w:fldCharType="end"/>
        </w:r>
      </w:hyperlink>
    </w:p>
    <w:p w14:paraId="19C137CC"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21" w:history="1">
        <w:r w:rsidR="00AD4184" w:rsidRPr="00FD7B0B">
          <w:rPr>
            <w:rStyle w:val="afb"/>
            <w:noProof/>
            <w:color w:val="auto"/>
          </w:rPr>
          <w:t>1.8. Отдельные показатели уровня жизни населения</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_Toc198819121 \h </w:instrText>
        </w:r>
        <w:r w:rsidR="00AD4184" w:rsidRPr="00FD7B0B">
          <w:rPr>
            <w:noProof/>
            <w:webHidden/>
          </w:rPr>
        </w:r>
        <w:r w:rsidR="00AD4184" w:rsidRPr="00FD7B0B">
          <w:rPr>
            <w:noProof/>
            <w:webHidden/>
          </w:rPr>
          <w:fldChar w:fldCharType="separate"/>
        </w:r>
        <w:r w:rsidR="002959CD" w:rsidRPr="00FD7B0B">
          <w:rPr>
            <w:noProof/>
            <w:webHidden/>
          </w:rPr>
          <w:t>21</w:t>
        </w:r>
        <w:r w:rsidR="00AD4184" w:rsidRPr="00FD7B0B">
          <w:rPr>
            <w:noProof/>
            <w:webHidden/>
          </w:rPr>
          <w:fldChar w:fldCharType="end"/>
        </w:r>
      </w:hyperlink>
    </w:p>
    <w:p w14:paraId="248655F1"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22" w:history="1">
        <w:r w:rsidR="00AD4184" w:rsidRPr="00FD7B0B">
          <w:rPr>
            <w:rStyle w:val="afb"/>
            <w:noProof/>
            <w:color w:val="auto"/>
          </w:rPr>
          <w:t>1.9. Демографическая ситуация</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_Toc198819122 \h </w:instrText>
        </w:r>
        <w:r w:rsidR="00AD4184" w:rsidRPr="00FD7B0B">
          <w:rPr>
            <w:noProof/>
            <w:webHidden/>
          </w:rPr>
        </w:r>
        <w:r w:rsidR="00AD4184" w:rsidRPr="00FD7B0B">
          <w:rPr>
            <w:noProof/>
            <w:webHidden/>
          </w:rPr>
          <w:fldChar w:fldCharType="separate"/>
        </w:r>
        <w:r w:rsidR="002959CD" w:rsidRPr="00FD7B0B">
          <w:rPr>
            <w:noProof/>
            <w:webHidden/>
          </w:rPr>
          <w:t>23</w:t>
        </w:r>
        <w:r w:rsidR="00AD4184" w:rsidRPr="00FD7B0B">
          <w:rPr>
            <w:noProof/>
            <w:webHidden/>
          </w:rPr>
          <w:fldChar w:fldCharType="end"/>
        </w:r>
      </w:hyperlink>
    </w:p>
    <w:p w14:paraId="509BC74E"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23" w:history="1">
        <w:r w:rsidR="00AD4184" w:rsidRPr="00FD7B0B">
          <w:rPr>
            <w:rStyle w:val="afb"/>
            <w:noProof/>
            <w:color w:val="auto"/>
          </w:rPr>
          <w:t>1.10. Итоги развития Архангельской области в 2024 году</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_Toc198819123 \h </w:instrText>
        </w:r>
        <w:r w:rsidR="00AD4184" w:rsidRPr="00FD7B0B">
          <w:rPr>
            <w:noProof/>
            <w:webHidden/>
          </w:rPr>
        </w:r>
        <w:r w:rsidR="00AD4184" w:rsidRPr="00FD7B0B">
          <w:rPr>
            <w:noProof/>
            <w:webHidden/>
          </w:rPr>
          <w:fldChar w:fldCharType="separate"/>
        </w:r>
        <w:r w:rsidR="002959CD" w:rsidRPr="00FD7B0B">
          <w:rPr>
            <w:noProof/>
            <w:webHidden/>
          </w:rPr>
          <w:t>31</w:t>
        </w:r>
        <w:r w:rsidR="00AD4184" w:rsidRPr="00FD7B0B">
          <w:rPr>
            <w:noProof/>
            <w:webHidden/>
          </w:rPr>
          <w:fldChar w:fldCharType="end"/>
        </w:r>
      </w:hyperlink>
    </w:p>
    <w:p w14:paraId="0339E37E" w14:textId="77777777" w:rsidR="00AD4184" w:rsidRPr="00FD7B0B" w:rsidRDefault="00CA3929">
      <w:pPr>
        <w:pStyle w:val="13"/>
        <w:tabs>
          <w:tab w:val="right" w:leader="dot" w:pos="9627"/>
        </w:tabs>
        <w:rPr>
          <w:rFonts w:asciiTheme="minorHAnsi" w:eastAsiaTheme="minorEastAsia" w:hAnsiTheme="minorHAnsi" w:cstheme="minorBidi"/>
          <w:noProof/>
          <w:sz w:val="22"/>
          <w:lang w:eastAsia="ru-RU"/>
        </w:rPr>
      </w:pPr>
      <w:hyperlink w:anchor="_Toc198819124" w:history="1">
        <w:r w:rsidR="00AD4184" w:rsidRPr="00FD7B0B">
          <w:rPr>
            <w:rStyle w:val="afb"/>
            <w:noProof/>
            <w:color w:val="auto"/>
          </w:rPr>
          <w:t>2. Основные параметры исполнения областного бюджета за 2024 год</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_Toc198819124 \h </w:instrText>
        </w:r>
        <w:r w:rsidR="00AD4184" w:rsidRPr="00FD7B0B">
          <w:rPr>
            <w:noProof/>
            <w:webHidden/>
          </w:rPr>
        </w:r>
        <w:r w:rsidR="00AD4184" w:rsidRPr="00FD7B0B">
          <w:rPr>
            <w:noProof/>
            <w:webHidden/>
          </w:rPr>
          <w:fldChar w:fldCharType="separate"/>
        </w:r>
        <w:r w:rsidR="002959CD" w:rsidRPr="00FD7B0B">
          <w:rPr>
            <w:noProof/>
            <w:webHidden/>
          </w:rPr>
          <w:t>33</w:t>
        </w:r>
        <w:r w:rsidR="00AD4184" w:rsidRPr="00FD7B0B">
          <w:rPr>
            <w:noProof/>
            <w:webHidden/>
          </w:rPr>
          <w:fldChar w:fldCharType="end"/>
        </w:r>
      </w:hyperlink>
    </w:p>
    <w:p w14:paraId="5ED8F851" w14:textId="77777777" w:rsidR="00AD4184" w:rsidRPr="00FD7B0B" w:rsidRDefault="00CA3929">
      <w:pPr>
        <w:pStyle w:val="13"/>
        <w:tabs>
          <w:tab w:val="right" w:leader="dot" w:pos="9627"/>
        </w:tabs>
        <w:rPr>
          <w:rFonts w:asciiTheme="minorHAnsi" w:eastAsiaTheme="minorEastAsia" w:hAnsiTheme="minorHAnsi" w:cstheme="minorBidi"/>
          <w:noProof/>
          <w:sz w:val="22"/>
          <w:lang w:eastAsia="ru-RU"/>
        </w:rPr>
      </w:pPr>
      <w:hyperlink w:anchor="_Toc198819125" w:history="1">
        <w:r w:rsidR="00AD4184" w:rsidRPr="00FD7B0B">
          <w:rPr>
            <w:rStyle w:val="afb"/>
            <w:noProof/>
            <w:color w:val="auto"/>
          </w:rPr>
          <w:t>3. Доходы областного бюджета в 2024 году</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_Toc198819125 \h </w:instrText>
        </w:r>
        <w:r w:rsidR="00AD4184" w:rsidRPr="00FD7B0B">
          <w:rPr>
            <w:noProof/>
            <w:webHidden/>
          </w:rPr>
        </w:r>
        <w:r w:rsidR="00AD4184" w:rsidRPr="00FD7B0B">
          <w:rPr>
            <w:noProof/>
            <w:webHidden/>
          </w:rPr>
          <w:fldChar w:fldCharType="separate"/>
        </w:r>
        <w:r w:rsidR="002959CD" w:rsidRPr="00FD7B0B">
          <w:rPr>
            <w:noProof/>
            <w:webHidden/>
          </w:rPr>
          <w:t>35</w:t>
        </w:r>
        <w:r w:rsidR="00AD4184" w:rsidRPr="00FD7B0B">
          <w:rPr>
            <w:noProof/>
            <w:webHidden/>
          </w:rPr>
          <w:fldChar w:fldCharType="end"/>
        </w:r>
      </w:hyperlink>
    </w:p>
    <w:p w14:paraId="44BB2753"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26" w:history="1">
        <w:r w:rsidR="00AD4184" w:rsidRPr="00FD7B0B">
          <w:rPr>
            <w:rStyle w:val="afb"/>
            <w:noProof/>
            <w:color w:val="auto"/>
          </w:rPr>
          <w:t>3.1. Налоговые и неналоговые доходы</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_Toc198819126 \h </w:instrText>
        </w:r>
        <w:r w:rsidR="00AD4184" w:rsidRPr="00FD7B0B">
          <w:rPr>
            <w:noProof/>
            <w:webHidden/>
          </w:rPr>
        </w:r>
        <w:r w:rsidR="00AD4184" w:rsidRPr="00FD7B0B">
          <w:rPr>
            <w:noProof/>
            <w:webHidden/>
          </w:rPr>
          <w:fldChar w:fldCharType="separate"/>
        </w:r>
        <w:r w:rsidR="002959CD" w:rsidRPr="00FD7B0B">
          <w:rPr>
            <w:noProof/>
            <w:webHidden/>
          </w:rPr>
          <w:t>36</w:t>
        </w:r>
        <w:r w:rsidR="00AD4184" w:rsidRPr="00FD7B0B">
          <w:rPr>
            <w:noProof/>
            <w:webHidden/>
          </w:rPr>
          <w:fldChar w:fldCharType="end"/>
        </w:r>
      </w:hyperlink>
    </w:p>
    <w:p w14:paraId="5AE07B36"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27" w:history="1">
        <w:r w:rsidR="00AD4184" w:rsidRPr="00FD7B0B">
          <w:rPr>
            <w:rStyle w:val="afb"/>
            <w:noProof/>
            <w:color w:val="auto"/>
          </w:rPr>
          <w:t>3.2. Безвозмездные поступления</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_Toc198819127 \h </w:instrText>
        </w:r>
        <w:r w:rsidR="00AD4184" w:rsidRPr="00FD7B0B">
          <w:rPr>
            <w:noProof/>
            <w:webHidden/>
          </w:rPr>
        </w:r>
        <w:r w:rsidR="00AD4184" w:rsidRPr="00FD7B0B">
          <w:rPr>
            <w:noProof/>
            <w:webHidden/>
          </w:rPr>
          <w:fldChar w:fldCharType="separate"/>
        </w:r>
        <w:r w:rsidR="002959CD" w:rsidRPr="00FD7B0B">
          <w:rPr>
            <w:noProof/>
            <w:webHidden/>
          </w:rPr>
          <w:t>63</w:t>
        </w:r>
        <w:r w:rsidR="00AD4184" w:rsidRPr="00FD7B0B">
          <w:rPr>
            <w:noProof/>
            <w:webHidden/>
          </w:rPr>
          <w:fldChar w:fldCharType="end"/>
        </w:r>
      </w:hyperlink>
    </w:p>
    <w:p w14:paraId="70E39B35" w14:textId="77777777" w:rsidR="00AD4184" w:rsidRPr="00FD7B0B" w:rsidRDefault="00CA3929">
      <w:pPr>
        <w:pStyle w:val="13"/>
        <w:tabs>
          <w:tab w:val="right" w:leader="dot" w:pos="9627"/>
        </w:tabs>
        <w:rPr>
          <w:rFonts w:asciiTheme="minorHAnsi" w:eastAsiaTheme="minorEastAsia" w:hAnsiTheme="minorHAnsi" w:cstheme="minorBidi"/>
          <w:noProof/>
          <w:sz w:val="22"/>
          <w:lang w:eastAsia="ru-RU"/>
        </w:rPr>
      </w:pPr>
      <w:hyperlink w:anchor="_Toc198819128" w:history="1">
        <w:r w:rsidR="00AD4184" w:rsidRPr="00FD7B0B">
          <w:rPr>
            <w:rStyle w:val="afb"/>
            <w:noProof/>
            <w:color w:val="auto"/>
          </w:rPr>
          <w:t>4. Расходы областного бюджета в 2024 году</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_Toc198819128 \h </w:instrText>
        </w:r>
        <w:r w:rsidR="00AD4184" w:rsidRPr="00FD7B0B">
          <w:rPr>
            <w:noProof/>
            <w:webHidden/>
          </w:rPr>
        </w:r>
        <w:r w:rsidR="00AD4184" w:rsidRPr="00FD7B0B">
          <w:rPr>
            <w:noProof/>
            <w:webHidden/>
          </w:rPr>
          <w:fldChar w:fldCharType="separate"/>
        </w:r>
        <w:r w:rsidR="002959CD" w:rsidRPr="00FD7B0B">
          <w:rPr>
            <w:noProof/>
            <w:webHidden/>
          </w:rPr>
          <w:t>67</w:t>
        </w:r>
        <w:r w:rsidR="00AD4184" w:rsidRPr="00FD7B0B">
          <w:rPr>
            <w:noProof/>
            <w:webHidden/>
          </w:rPr>
          <w:fldChar w:fldCharType="end"/>
        </w:r>
      </w:hyperlink>
    </w:p>
    <w:p w14:paraId="66C6433A"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29" w:history="1">
        <w:r w:rsidR="00AD4184" w:rsidRPr="00FD7B0B">
          <w:rPr>
            <w:rStyle w:val="afb"/>
            <w:noProof/>
            <w:color w:val="auto"/>
          </w:rPr>
          <w:t>4.1. Расходы за счет средств резервного фонда Правительства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_Toc198819129 \h </w:instrText>
        </w:r>
        <w:r w:rsidR="00AD4184" w:rsidRPr="00FD7B0B">
          <w:rPr>
            <w:noProof/>
            <w:webHidden/>
          </w:rPr>
        </w:r>
        <w:r w:rsidR="00AD4184" w:rsidRPr="00FD7B0B">
          <w:rPr>
            <w:noProof/>
            <w:webHidden/>
          </w:rPr>
          <w:fldChar w:fldCharType="separate"/>
        </w:r>
        <w:r w:rsidR="002959CD" w:rsidRPr="00FD7B0B">
          <w:rPr>
            <w:noProof/>
            <w:webHidden/>
          </w:rPr>
          <w:t>83</w:t>
        </w:r>
        <w:r w:rsidR="00AD4184" w:rsidRPr="00FD7B0B">
          <w:rPr>
            <w:noProof/>
            <w:webHidden/>
          </w:rPr>
          <w:fldChar w:fldCharType="end"/>
        </w:r>
      </w:hyperlink>
    </w:p>
    <w:p w14:paraId="5F0DF564"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30" w:history="1">
        <w:r w:rsidR="00AD4184" w:rsidRPr="00FD7B0B">
          <w:rPr>
            <w:rStyle w:val="afb"/>
            <w:noProof/>
            <w:color w:val="auto"/>
          </w:rPr>
          <w:t>4.2. Межбюджетные трансферты из областного бюджета</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_Toc198819130 \h </w:instrText>
        </w:r>
        <w:r w:rsidR="00AD4184" w:rsidRPr="00FD7B0B">
          <w:rPr>
            <w:noProof/>
            <w:webHidden/>
          </w:rPr>
        </w:r>
        <w:r w:rsidR="00AD4184" w:rsidRPr="00FD7B0B">
          <w:rPr>
            <w:noProof/>
            <w:webHidden/>
          </w:rPr>
          <w:fldChar w:fldCharType="separate"/>
        </w:r>
        <w:r w:rsidR="002959CD" w:rsidRPr="00FD7B0B">
          <w:rPr>
            <w:noProof/>
            <w:webHidden/>
          </w:rPr>
          <w:t>88</w:t>
        </w:r>
        <w:r w:rsidR="00AD4184" w:rsidRPr="00FD7B0B">
          <w:rPr>
            <w:noProof/>
            <w:webHidden/>
          </w:rPr>
          <w:fldChar w:fldCharType="end"/>
        </w:r>
      </w:hyperlink>
    </w:p>
    <w:p w14:paraId="358BD7B1"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31" w:history="1">
        <w:r w:rsidR="00AD4184" w:rsidRPr="00FD7B0B">
          <w:rPr>
            <w:rStyle w:val="afb"/>
            <w:noProof/>
            <w:color w:val="auto"/>
          </w:rPr>
          <w:t>4.2.1. Межбюджетные трансферты бюджетам муниципальных образований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_Toc198819131 \h </w:instrText>
        </w:r>
        <w:r w:rsidR="00AD4184" w:rsidRPr="00FD7B0B">
          <w:rPr>
            <w:noProof/>
            <w:webHidden/>
          </w:rPr>
        </w:r>
        <w:r w:rsidR="00AD4184" w:rsidRPr="00FD7B0B">
          <w:rPr>
            <w:noProof/>
            <w:webHidden/>
          </w:rPr>
          <w:fldChar w:fldCharType="separate"/>
        </w:r>
        <w:r w:rsidR="002959CD" w:rsidRPr="00FD7B0B">
          <w:rPr>
            <w:noProof/>
            <w:webHidden/>
          </w:rPr>
          <w:t>88</w:t>
        </w:r>
        <w:r w:rsidR="00AD4184" w:rsidRPr="00FD7B0B">
          <w:rPr>
            <w:noProof/>
            <w:webHidden/>
          </w:rPr>
          <w:fldChar w:fldCharType="end"/>
        </w:r>
      </w:hyperlink>
    </w:p>
    <w:p w14:paraId="50DE7D63"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32" w:history="1">
        <w:r w:rsidR="00AD4184" w:rsidRPr="00FD7B0B">
          <w:rPr>
            <w:rStyle w:val="afb"/>
            <w:noProof/>
            <w:color w:val="auto"/>
          </w:rPr>
          <w:t>4.2.2. Межбюджетные трансферты другим бюджетам</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_Toc198819132 \h </w:instrText>
        </w:r>
        <w:r w:rsidR="00AD4184" w:rsidRPr="00FD7B0B">
          <w:rPr>
            <w:noProof/>
            <w:webHidden/>
          </w:rPr>
        </w:r>
        <w:r w:rsidR="00AD4184" w:rsidRPr="00FD7B0B">
          <w:rPr>
            <w:noProof/>
            <w:webHidden/>
          </w:rPr>
          <w:fldChar w:fldCharType="separate"/>
        </w:r>
        <w:r w:rsidR="002959CD" w:rsidRPr="00FD7B0B">
          <w:rPr>
            <w:noProof/>
            <w:webHidden/>
          </w:rPr>
          <w:t>96</w:t>
        </w:r>
        <w:r w:rsidR="00AD4184" w:rsidRPr="00FD7B0B">
          <w:rPr>
            <w:noProof/>
            <w:webHidden/>
          </w:rPr>
          <w:fldChar w:fldCharType="end"/>
        </w:r>
      </w:hyperlink>
    </w:p>
    <w:p w14:paraId="027D21E0"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33" w:history="1">
        <w:r w:rsidR="00AD4184" w:rsidRPr="00FD7B0B">
          <w:rPr>
            <w:rStyle w:val="afb"/>
            <w:noProof/>
            <w:color w:val="auto"/>
          </w:rPr>
          <w:t>4.3. Расходы на реализацию программ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_Toc198819133 \h </w:instrText>
        </w:r>
        <w:r w:rsidR="00AD4184" w:rsidRPr="00FD7B0B">
          <w:rPr>
            <w:noProof/>
            <w:webHidden/>
          </w:rPr>
        </w:r>
        <w:r w:rsidR="00AD4184" w:rsidRPr="00FD7B0B">
          <w:rPr>
            <w:noProof/>
            <w:webHidden/>
          </w:rPr>
          <w:fldChar w:fldCharType="separate"/>
        </w:r>
        <w:r w:rsidR="002959CD" w:rsidRPr="00FD7B0B">
          <w:rPr>
            <w:noProof/>
            <w:webHidden/>
          </w:rPr>
          <w:t>97</w:t>
        </w:r>
        <w:r w:rsidR="00AD4184" w:rsidRPr="00FD7B0B">
          <w:rPr>
            <w:noProof/>
            <w:webHidden/>
          </w:rPr>
          <w:fldChar w:fldCharType="end"/>
        </w:r>
      </w:hyperlink>
    </w:p>
    <w:p w14:paraId="158938DD"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34" w:history="1">
        <w:r w:rsidR="00AD4184" w:rsidRPr="00FD7B0B">
          <w:rPr>
            <w:rStyle w:val="afb"/>
            <w:noProof/>
            <w:color w:val="auto"/>
          </w:rPr>
          <w:t>4.3.1. Государственная программа Архангельской области «Развитие здравоохранения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_Toc198819134 \h </w:instrText>
        </w:r>
        <w:r w:rsidR="00AD4184" w:rsidRPr="00FD7B0B">
          <w:rPr>
            <w:noProof/>
            <w:webHidden/>
          </w:rPr>
        </w:r>
        <w:r w:rsidR="00AD4184" w:rsidRPr="00FD7B0B">
          <w:rPr>
            <w:noProof/>
            <w:webHidden/>
          </w:rPr>
          <w:fldChar w:fldCharType="separate"/>
        </w:r>
        <w:r w:rsidR="002959CD" w:rsidRPr="00FD7B0B">
          <w:rPr>
            <w:noProof/>
            <w:webHidden/>
          </w:rPr>
          <w:t>99</w:t>
        </w:r>
        <w:r w:rsidR="00AD4184" w:rsidRPr="00FD7B0B">
          <w:rPr>
            <w:noProof/>
            <w:webHidden/>
          </w:rPr>
          <w:fldChar w:fldCharType="end"/>
        </w:r>
      </w:hyperlink>
    </w:p>
    <w:p w14:paraId="4C572963"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35" w:history="1">
        <w:r w:rsidR="00AD4184" w:rsidRPr="00FD7B0B">
          <w:rPr>
            <w:rStyle w:val="afb"/>
            <w:noProof/>
            <w:color w:val="auto"/>
          </w:rPr>
          <w:t>4.3.2. Государственная программа Архангельской области «Развитие образования и науки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_Toc198819135 \h </w:instrText>
        </w:r>
        <w:r w:rsidR="00AD4184" w:rsidRPr="00FD7B0B">
          <w:rPr>
            <w:noProof/>
            <w:webHidden/>
          </w:rPr>
        </w:r>
        <w:r w:rsidR="00AD4184" w:rsidRPr="00FD7B0B">
          <w:rPr>
            <w:noProof/>
            <w:webHidden/>
          </w:rPr>
          <w:fldChar w:fldCharType="separate"/>
        </w:r>
        <w:r w:rsidR="002959CD" w:rsidRPr="00FD7B0B">
          <w:rPr>
            <w:noProof/>
            <w:webHidden/>
          </w:rPr>
          <w:t>119</w:t>
        </w:r>
        <w:r w:rsidR="00AD4184" w:rsidRPr="00FD7B0B">
          <w:rPr>
            <w:noProof/>
            <w:webHidden/>
          </w:rPr>
          <w:fldChar w:fldCharType="end"/>
        </w:r>
      </w:hyperlink>
    </w:p>
    <w:p w14:paraId="46DBA729"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36" w:history="1">
        <w:r w:rsidR="00AD4184" w:rsidRPr="00FD7B0B">
          <w:rPr>
            <w:rStyle w:val="afb"/>
            <w:noProof/>
            <w:color w:val="auto"/>
          </w:rPr>
          <w:t>4.3.3. Государственная программа Архангельской области «Социальная поддержка граждан в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_Toc198819136 \h </w:instrText>
        </w:r>
        <w:r w:rsidR="00AD4184" w:rsidRPr="00FD7B0B">
          <w:rPr>
            <w:noProof/>
            <w:webHidden/>
          </w:rPr>
        </w:r>
        <w:r w:rsidR="00AD4184" w:rsidRPr="00FD7B0B">
          <w:rPr>
            <w:noProof/>
            <w:webHidden/>
          </w:rPr>
          <w:fldChar w:fldCharType="separate"/>
        </w:r>
        <w:r w:rsidR="002959CD" w:rsidRPr="00FD7B0B">
          <w:rPr>
            <w:noProof/>
            <w:webHidden/>
          </w:rPr>
          <w:t>144</w:t>
        </w:r>
        <w:r w:rsidR="00AD4184" w:rsidRPr="00FD7B0B">
          <w:rPr>
            <w:noProof/>
            <w:webHidden/>
          </w:rPr>
          <w:fldChar w:fldCharType="end"/>
        </w:r>
      </w:hyperlink>
    </w:p>
    <w:p w14:paraId="73A8B4D2"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37" w:history="1">
        <w:r w:rsidR="00AD4184" w:rsidRPr="00FD7B0B">
          <w:rPr>
            <w:rStyle w:val="afb"/>
            <w:noProof/>
            <w:color w:val="auto"/>
          </w:rPr>
          <w:t>4.3.4. Государственная программа Архангельской области «Культура Русского Севера»</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_Toc198819137 \h </w:instrText>
        </w:r>
        <w:r w:rsidR="00AD4184" w:rsidRPr="00FD7B0B">
          <w:rPr>
            <w:noProof/>
            <w:webHidden/>
          </w:rPr>
        </w:r>
        <w:r w:rsidR="00AD4184" w:rsidRPr="00FD7B0B">
          <w:rPr>
            <w:noProof/>
            <w:webHidden/>
          </w:rPr>
          <w:fldChar w:fldCharType="separate"/>
        </w:r>
        <w:r w:rsidR="002959CD" w:rsidRPr="00FD7B0B">
          <w:rPr>
            <w:noProof/>
            <w:webHidden/>
          </w:rPr>
          <w:t>162</w:t>
        </w:r>
        <w:r w:rsidR="00AD4184" w:rsidRPr="00FD7B0B">
          <w:rPr>
            <w:noProof/>
            <w:webHidden/>
          </w:rPr>
          <w:fldChar w:fldCharType="end"/>
        </w:r>
      </w:hyperlink>
    </w:p>
    <w:p w14:paraId="2A2DCFD5"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38" w:history="1">
        <w:r w:rsidR="00AD4184" w:rsidRPr="00FD7B0B">
          <w:rPr>
            <w:rStyle w:val="afb"/>
            <w:noProof/>
            <w:color w:val="auto"/>
          </w:rPr>
          <w:t>4.3.5. 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_Toc198819138 \h </w:instrText>
        </w:r>
        <w:r w:rsidR="00AD4184" w:rsidRPr="00FD7B0B">
          <w:rPr>
            <w:noProof/>
            <w:webHidden/>
          </w:rPr>
        </w:r>
        <w:r w:rsidR="00AD4184" w:rsidRPr="00FD7B0B">
          <w:rPr>
            <w:noProof/>
            <w:webHidden/>
          </w:rPr>
          <w:fldChar w:fldCharType="separate"/>
        </w:r>
        <w:r w:rsidR="002959CD" w:rsidRPr="00FD7B0B">
          <w:rPr>
            <w:noProof/>
            <w:webHidden/>
          </w:rPr>
          <w:t>172</w:t>
        </w:r>
        <w:r w:rsidR="00AD4184" w:rsidRPr="00FD7B0B">
          <w:rPr>
            <w:noProof/>
            <w:webHidden/>
          </w:rPr>
          <w:fldChar w:fldCharType="end"/>
        </w:r>
      </w:hyperlink>
    </w:p>
    <w:p w14:paraId="3A8AD574"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39" w:history="1">
        <w:r w:rsidR="00AD4184" w:rsidRPr="00FD7B0B">
          <w:rPr>
            <w:rStyle w:val="afb"/>
            <w:noProof/>
            <w:color w:val="auto"/>
          </w:rPr>
          <w:t>4.3.6. Государственная программа «Обеспечение качественным, доступным жильем и объектами инженерной инфраструктуры населения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_Toc198819139 \h </w:instrText>
        </w:r>
        <w:r w:rsidR="00AD4184" w:rsidRPr="00FD7B0B">
          <w:rPr>
            <w:noProof/>
            <w:webHidden/>
          </w:rPr>
        </w:r>
        <w:r w:rsidR="00AD4184" w:rsidRPr="00FD7B0B">
          <w:rPr>
            <w:noProof/>
            <w:webHidden/>
          </w:rPr>
          <w:fldChar w:fldCharType="separate"/>
        </w:r>
        <w:r w:rsidR="002959CD" w:rsidRPr="00FD7B0B">
          <w:rPr>
            <w:noProof/>
            <w:webHidden/>
          </w:rPr>
          <w:t>183</w:t>
        </w:r>
        <w:r w:rsidR="00AD4184" w:rsidRPr="00FD7B0B">
          <w:rPr>
            <w:noProof/>
            <w:webHidden/>
          </w:rPr>
          <w:fldChar w:fldCharType="end"/>
        </w:r>
      </w:hyperlink>
    </w:p>
    <w:p w14:paraId="7B2B8A05"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0" w:history="1">
        <w:r w:rsidR="00AD4184" w:rsidRPr="00FD7B0B">
          <w:rPr>
            <w:rStyle w:val="afb"/>
            <w:noProof/>
            <w:color w:val="auto"/>
          </w:rPr>
          <w:t>4.3.7. Государственная программа Архангельской области «Содействие занятости населения Архангельской области, улучшение условий и охраны труда»</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_Toc198819140 \h </w:instrText>
        </w:r>
        <w:r w:rsidR="00AD4184" w:rsidRPr="00FD7B0B">
          <w:rPr>
            <w:noProof/>
            <w:webHidden/>
          </w:rPr>
        </w:r>
        <w:r w:rsidR="00AD4184" w:rsidRPr="00FD7B0B">
          <w:rPr>
            <w:noProof/>
            <w:webHidden/>
          </w:rPr>
          <w:fldChar w:fldCharType="separate"/>
        </w:r>
        <w:r w:rsidR="002959CD" w:rsidRPr="00FD7B0B">
          <w:rPr>
            <w:noProof/>
            <w:webHidden/>
          </w:rPr>
          <w:t>195</w:t>
        </w:r>
        <w:r w:rsidR="00AD4184" w:rsidRPr="00FD7B0B">
          <w:rPr>
            <w:noProof/>
            <w:webHidden/>
          </w:rPr>
          <w:fldChar w:fldCharType="end"/>
        </w:r>
      </w:hyperlink>
    </w:p>
    <w:p w14:paraId="505ADB93"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1" w:history="1">
        <w:r w:rsidR="00AD4184" w:rsidRPr="00FD7B0B">
          <w:rPr>
            <w:rStyle w:val="afb"/>
            <w:noProof/>
            <w:color w:val="auto"/>
          </w:rPr>
          <w:t>4.3.8. Государственная программа Архангельской области «Охрана окружающей среды, воспроизводство и использование природных ресурсов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_Toc198819141 \h </w:instrText>
        </w:r>
        <w:r w:rsidR="00AD4184" w:rsidRPr="00FD7B0B">
          <w:rPr>
            <w:noProof/>
            <w:webHidden/>
          </w:rPr>
        </w:r>
        <w:r w:rsidR="00AD4184" w:rsidRPr="00FD7B0B">
          <w:rPr>
            <w:noProof/>
            <w:webHidden/>
          </w:rPr>
          <w:fldChar w:fldCharType="separate"/>
        </w:r>
        <w:r w:rsidR="002959CD" w:rsidRPr="00FD7B0B">
          <w:rPr>
            <w:noProof/>
            <w:webHidden/>
          </w:rPr>
          <w:t>206</w:t>
        </w:r>
        <w:r w:rsidR="00AD4184" w:rsidRPr="00FD7B0B">
          <w:rPr>
            <w:noProof/>
            <w:webHidden/>
          </w:rPr>
          <w:fldChar w:fldCharType="end"/>
        </w:r>
      </w:hyperlink>
    </w:p>
    <w:p w14:paraId="48A676AF"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2" w:history="1">
        <w:r w:rsidR="00AD4184" w:rsidRPr="00FD7B0B">
          <w:rPr>
            <w:rStyle w:val="afb"/>
            <w:noProof/>
            <w:color w:val="auto"/>
          </w:rPr>
          <w:t>4.3.9. Государственная программа Архангельской области «Формирование современной городской среды в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_Toc198819142 \h </w:instrText>
        </w:r>
        <w:r w:rsidR="00AD4184" w:rsidRPr="00FD7B0B">
          <w:rPr>
            <w:noProof/>
            <w:webHidden/>
          </w:rPr>
        </w:r>
        <w:r w:rsidR="00AD4184" w:rsidRPr="00FD7B0B">
          <w:rPr>
            <w:noProof/>
            <w:webHidden/>
          </w:rPr>
          <w:fldChar w:fldCharType="separate"/>
        </w:r>
        <w:r w:rsidR="002959CD" w:rsidRPr="00FD7B0B">
          <w:rPr>
            <w:noProof/>
            <w:webHidden/>
          </w:rPr>
          <w:t>221</w:t>
        </w:r>
        <w:r w:rsidR="00AD4184" w:rsidRPr="00FD7B0B">
          <w:rPr>
            <w:noProof/>
            <w:webHidden/>
          </w:rPr>
          <w:fldChar w:fldCharType="end"/>
        </w:r>
      </w:hyperlink>
    </w:p>
    <w:p w14:paraId="35240113"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3" w:history="1">
        <w:r w:rsidR="00AD4184" w:rsidRPr="00FD7B0B">
          <w:rPr>
            <w:rStyle w:val="afb"/>
            <w:noProof/>
            <w:color w:val="auto"/>
          </w:rPr>
          <w:t>4.3.10. Государственная программа Архангельской области «Развитие лесного комплекса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_Toc198819143 \h </w:instrText>
        </w:r>
        <w:r w:rsidR="00AD4184" w:rsidRPr="00FD7B0B">
          <w:rPr>
            <w:noProof/>
            <w:webHidden/>
          </w:rPr>
        </w:r>
        <w:r w:rsidR="00AD4184" w:rsidRPr="00FD7B0B">
          <w:rPr>
            <w:noProof/>
            <w:webHidden/>
          </w:rPr>
          <w:fldChar w:fldCharType="separate"/>
        </w:r>
        <w:r w:rsidR="002959CD" w:rsidRPr="00FD7B0B">
          <w:rPr>
            <w:noProof/>
            <w:webHidden/>
          </w:rPr>
          <w:t>225</w:t>
        </w:r>
        <w:r w:rsidR="00AD4184" w:rsidRPr="00FD7B0B">
          <w:rPr>
            <w:noProof/>
            <w:webHidden/>
          </w:rPr>
          <w:fldChar w:fldCharType="end"/>
        </w:r>
      </w:hyperlink>
    </w:p>
    <w:p w14:paraId="414A0627"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4" w:history="1">
        <w:r w:rsidR="00AD4184" w:rsidRPr="00FD7B0B">
          <w:rPr>
            <w:rStyle w:val="afb"/>
            <w:noProof/>
            <w:color w:val="auto"/>
          </w:rPr>
          <w:t>4.3.11. Государственная программа Архангельской области «Развитие энергетики и жилищно-коммунального хозяйства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_Toc198819144 \h </w:instrText>
        </w:r>
        <w:r w:rsidR="00AD4184" w:rsidRPr="00FD7B0B">
          <w:rPr>
            <w:noProof/>
            <w:webHidden/>
          </w:rPr>
        </w:r>
        <w:r w:rsidR="00AD4184" w:rsidRPr="00FD7B0B">
          <w:rPr>
            <w:noProof/>
            <w:webHidden/>
          </w:rPr>
          <w:fldChar w:fldCharType="separate"/>
        </w:r>
        <w:r w:rsidR="002959CD" w:rsidRPr="00FD7B0B">
          <w:rPr>
            <w:noProof/>
            <w:webHidden/>
          </w:rPr>
          <w:t>232</w:t>
        </w:r>
        <w:r w:rsidR="00AD4184" w:rsidRPr="00FD7B0B">
          <w:rPr>
            <w:noProof/>
            <w:webHidden/>
          </w:rPr>
          <w:fldChar w:fldCharType="end"/>
        </w:r>
      </w:hyperlink>
    </w:p>
    <w:p w14:paraId="4FDACE40"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5" w:history="1">
        <w:r w:rsidR="00AD4184" w:rsidRPr="00FD7B0B">
          <w:rPr>
            <w:rStyle w:val="afb"/>
            <w:noProof/>
            <w:color w:val="auto"/>
          </w:rPr>
          <w:t>4.3.12. Государственная программа Архангельской области «Развитие транспортной системы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_Toc198819145 \h </w:instrText>
        </w:r>
        <w:r w:rsidR="00AD4184" w:rsidRPr="00FD7B0B">
          <w:rPr>
            <w:noProof/>
            <w:webHidden/>
          </w:rPr>
        </w:r>
        <w:r w:rsidR="00AD4184" w:rsidRPr="00FD7B0B">
          <w:rPr>
            <w:noProof/>
            <w:webHidden/>
          </w:rPr>
          <w:fldChar w:fldCharType="separate"/>
        </w:r>
        <w:r w:rsidR="002959CD" w:rsidRPr="00FD7B0B">
          <w:rPr>
            <w:noProof/>
            <w:webHidden/>
          </w:rPr>
          <w:t>253</w:t>
        </w:r>
        <w:r w:rsidR="00AD4184" w:rsidRPr="00FD7B0B">
          <w:rPr>
            <w:noProof/>
            <w:webHidden/>
          </w:rPr>
          <w:fldChar w:fldCharType="end"/>
        </w:r>
      </w:hyperlink>
    </w:p>
    <w:p w14:paraId="18273D0D"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6" w:history="1">
        <w:r w:rsidR="00AD4184" w:rsidRPr="00FD7B0B">
          <w:rPr>
            <w:rStyle w:val="afb"/>
            <w:noProof/>
            <w:color w:val="auto"/>
          </w:rPr>
          <w:t>4.3.13. Государственная программа Архангельской области «Развитие инфраструктуры Соловецкого архипелага»</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_Toc198819146 \h </w:instrText>
        </w:r>
        <w:r w:rsidR="00AD4184" w:rsidRPr="00FD7B0B">
          <w:rPr>
            <w:noProof/>
            <w:webHidden/>
          </w:rPr>
        </w:r>
        <w:r w:rsidR="00AD4184" w:rsidRPr="00FD7B0B">
          <w:rPr>
            <w:noProof/>
            <w:webHidden/>
          </w:rPr>
          <w:fldChar w:fldCharType="separate"/>
        </w:r>
        <w:r w:rsidR="002959CD" w:rsidRPr="00FD7B0B">
          <w:rPr>
            <w:noProof/>
            <w:webHidden/>
          </w:rPr>
          <w:t>267</w:t>
        </w:r>
        <w:r w:rsidR="00AD4184" w:rsidRPr="00FD7B0B">
          <w:rPr>
            <w:noProof/>
            <w:webHidden/>
          </w:rPr>
          <w:fldChar w:fldCharType="end"/>
        </w:r>
      </w:hyperlink>
    </w:p>
    <w:p w14:paraId="345DE05C"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7" w:history="1">
        <w:r w:rsidR="00AD4184" w:rsidRPr="00FD7B0B">
          <w:rPr>
            <w:rStyle w:val="afb"/>
            <w:noProof/>
            <w:color w:val="auto"/>
          </w:rPr>
          <w:t>4.3.14. Государственная программа Архангельской области «Комплексное развитие сельских территорий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_Toc198819147 \h </w:instrText>
        </w:r>
        <w:r w:rsidR="00AD4184" w:rsidRPr="00FD7B0B">
          <w:rPr>
            <w:noProof/>
            <w:webHidden/>
          </w:rPr>
        </w:r>
        <w:r w:rsidR="00AD4184" w:rsidRPr="00FD7B0B">
          <w:rPr>
            <w:noProof/>
            <w:webHidden/>
          </w:rPr>
          <w:fldChar w:fldCharType="separate"/>
        </w:r>
        <w:r w:rsidR="002959CD" w:rsidRPr="00FD7B0B">
          <w:rPr>
            <w:noProof/>
            <w:webHidden/>
          </w:rPr>
          <w:t>271</w:t>
        </w:r>
        <w:r w:rsidR="00AD4184" w:rsidRPr="00FD7B0B">
          <w:rPr>
            <w:noProof/>
            <w:webHidden/>
          </w:rPr>
          <w:fldChar w:fldCharType="end"/>
        </w:r>
      </w:hyperlink>
    </w:p>
    <w:p w14:paraId="1074EB96"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8" w:history="1">
        <w:r w:rsidR="00AD4184" w:rsidRPr="00FD7B0B">
          <w:rPr>
            <w:rStyle w:val="afb"/>
            <w:noProof/>
            <w:color w:val="auto"/>
          </w:rPr>
          <w:t>4.3.15. Государственная программы Архангельской области «Экономическое развитие и инвестиционная деятельность в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_Toc198819148 \h </w:instrText>
        </w:r>
        <w:r w:rsidR="00AD4184" w:rsidRPr="00FD7B0B">
          <w:rPr>
            <w:noProof/>
            <w:webHidden/>
          </w:rPr>
        </w:r>
        <w:r w:rsidR="00AD4184" w:rsidRPr="00FD7B0B">
          <w:rPr>
            <w:noProof/>
            <w:webHidden/>
          </w:rPr>
          <w:fldChar w:fldCharType="separate"/>
        </w:r>
        <w:r w:rsidR="002959CD" w:rsidRPr="00FD7B0B">
          <w:rPr>
            <w:noProof/>
            <w:webHidden/>
          </w:rPr>
          <w:t>279</w:t>
        </w:r>
        <w:r w:rsidR="00AD4184" w:rsidRPr="00FD7B0B">
          <w:rPr>
            <w:noProof/>
            <w:webHidden/>
          </w:rPr>
          <w:fldChar w:fldCharType="end"/>
        </w:r>
      </w:hyperlink>
    </w:p>
    <w:p w14:paraId="707E9BE0"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49" w:history="1">
        <w:r w:rsidR="00AD4184" w:rsidRPr="00FD7B0B">
          <w:rPr>
            <w:rStyle w:val="afb"/>
            <w:noProof/>
            <w:color w:val="auto"/>
          </w:rPr>
          <w:t>4.3.16. Государственная программа Архангельской области «Развитие физической культуры и спорта в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_Toc198819149 \h </w:instrText>
        </w:r>
        <w:r w:rsidR="00AD4184" w:rsidRPr="00FD7B0B">
          <w:rPr>
            <w:noProof/>
            <w:webHidden/>
          </w:rPr>
        </w:r>
        <w:r w:rsidR="00AD4184" w:rsidRPr="00FD7B0B">
          <w:rPr>
            <w:noProof/>
            <w:webHidden/>
          </w:rPr>
          <w:fldChar w:fldCharType="separate"/>
        </w:r>
        <w:r w:rsidR="002959CD" w:rsidRPr="00FD7B0B">
          <w:rPr>
            <w:noProof/>
            <w:webHidden/>
          </w:rPr>
          <w:t>300</w:t>
        </w:r>
        <w:r w:rsidR="00AD4184" w:rsidRPr="00FD7B0B">
          <w:rPr>
            <w:noProof/>
            <w:webHidden/>
          </w:rPr>
          <w:fldChar w:fldCharType="end"/>
        </w:r>
      </w:hyperlink>
    </w:p>
    <w:p w14:paraId="442EDE08"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50" w:history="1">
        <w:r w:rsidR="00AD4184" w:rsidRPr="00FD7B0B">
          <w:rPr>
            <w:rStyle w:val="afb"/>
            <w:noProof/>
            <w:color w:val="auto"/>
          </w:rPr>
          <w:t>4.3.17. Государственная программа Архангельской области «Молодежь Поморья»</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_Toc198819150 \h </w:instrText>
        </w:r>
        <w:r w:rsidR="00AD4184" w:rsidRPr="00FD7B0B">
          <w:rPr>
            <w:noProof/>
            <w:webHidden/>
          </w:rPr>
        </w:r>
        <w:r w:rsidR="00AD4184" w:rsidRPr="00FD7B0B">
          <w:rPr>
            <w:noProof/>
            <w:webHidden/>
          </w:rPr>
          <w:fldChar w:fldCharType="separate"/>
        </w:r>
        <w:r w:rsidR="002959CD" w:rsidRPr="00FD7B0B">
          <w:rPr>
            <w:noProof/>
            <w:webHidden/>
          </w:rPr>
          <w:t>313</w:t>
        </w:r>
        <w:r w:rsidR="00AD4184" w:rsidRPr="00FD7B0B">
          <w:rPr>
            <w:noProof/>
            <w:webHidden/>
          </w:rPr>
          <w:fldChar w:fldCharType="end"/>
        </w:r>
      </w:hyperlink>
    </w:p>
    <w:p w14:paraId="5508A3E9"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51" w:history="1">
        <w:r w:rsidR="00AD4184" w:rsidRPr="00FD7B0B">
          <w:rPr>
            <w:rStyle w:val="afb"/>
            <w:noProof/>
            <w:color w:val="auto"/>
          </w:rPr>
          <w:t>4.4. Расходы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_Toc198819151 \h </w:instrText>
        </w:r>
        <w:r w:rsidR="00AD4184" w:rsidRPr="00FD7B0B">
          <w:rPr>
            <w:noProof/>
            <w:webHidden/>
          </w:rPr>
        </w:r>
        <w:r w:rsidR="00AD4184" w:rsidRPr="00FD7B0B">
          <w:rPr>
            <w:noProof/>
            <w:webHidden/>
          </w:rPr>
          <w:fldChar w:fldCharType="separate"/>
        </w:r>
        <w:r w:rsidR="002959CD" w:rsidRPr="00FD7B0B">
          <w:rPr>
            <w:noProof/>
            <w:webHidden/>
          </w:rPr>
          <w:t>322</w:t>
        </w:r>
        <w:r w:rsidR="00AD4184" w:rsidRPr="00FD7B0B">
          <w:rPr>
            <w:noProof/>
            <w:webHidden/>
          </w:rPr>
          <w:fldChar w:fldCharType="end"/>
        </w:r>
      </w:hyperlink>
    </w:p>
    <w:p w14:paraId="4784F4AA" w14:textId="77777777" w:rsidR="00AD4184" w:rsidRPr="00FD7B0B" w:rsidRDefault="00CA3929">
      <w:pPr>
        <w:pStyle w:val="33"/>
        <w:tabs>
          <w:tab w:val="right" w:leader="dot" w:pos="9627"/>
        </w:tabs>
        <w:rPr>
          <w:rFonts w:asciiTheme="minorHAnsi" w:eastAsiaTheme="minorEastAsia" w:hAnsiTheme="minorHAnsi" w:cstheme="minorBidi"/>
          <w:i w:val="0"/>
          <w:noProof/>
          <w:sz w:val="22"/>
          <w:lang w:eastAsia="ru-RU"/>
        </w:rPr>
      </w:pPr>
      <w:hyperlink w:anchor="_Toc198819152" w:history="1">
        <w:r w:rsidR="00AD4184" w:rsidRPr="00FD7B0B">
          <w:rPr>
            <w:rStyle w:val="afb"/>
            <w:rFonts w:eastAsia="Times New Roman"/>
            <w:bCs/>
            <w:noProof/>
            <w:color w:val="auto"/>
            <w:lang w:eastAsia="ru-RU"/>
          </w:rPr>
          <w:t>4.4.1. Реализация областной адресной инвестиционной программы</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_Toc198819152 \h </w:instrText>
        </w:r>
        <w:r w:rsidR="00AD4184" w:rsidRPr="00FD7B0B">
          <w:rPr>
            <w:noProof/>
            <w:webHidden/>
          </w:rPr>
        </w:r>
        <w:r w:rsidR="00AD4184" w:rsidRPr="00FD7B0B">
          <w:rPr>
            <w:noProof/>
            <w:webHidden/>
          </w:rPr>
          <w:fldChar w:fldCharType="separate"/>
        </w:r>
        <w:r w:rsidR="002959CD" w:rsidRPr="00FD7B0B">
          <w:rPr>
            <w:noProof/>
            <w:webHidden/>
          </w:rPr>
          <w:t>331</w:t>
        </w:r>
        <w:r w:rsidR="00AD4184" w:rsidRPr="00FD7B0B">
          <w:rPr>
            <w:noProof/>
            <w:webHidden/>
          </w:rPr>
          <w:fldChar w:fldCharType="end"/>
        </w:r>
      </w:hyperlink>
    </w:p>
    <w:p w14:paraId="52AB017D"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53" w:history="1">
        <w:r w:rsidR="00AD4184" w:rsidRPr="00FD7B0B">
          <w:rPr>
            <w:rStyle w:val="afb"/>
            <w:noProof/>
            <w:color w:val="auto"/>
          </w:rPr>
          <w:t>4.5. Дорожный фонд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_Toc198819153 \h </w:instrText>
        </w:r>
        <w:r w:rsidR="00AD4184" w:rsidRPr="00FD7B0B">
          <w:rPr>
            <w:noProof/>
            <w:webHidden/>
          </w:rPr>
        </w:r>
        <w:r w:rsidR="00AD4184" w:rsidRPr="00FD7B0B">
          <w:rPr>
            <w:noProof/>
            <w:webHidden/>
          </w:rPr>
          <w:fldChar w:fldCharType="separate"/>
        </w:r>
        <w:r w:rsidR="002959CD" w:rsidRPr="00FD7B0B">
          <w:rPr>
            <w:noProof/>
            <w:webHidden/>
          </w:rPr>
          <w:t>350</w:t>
        </w:r>
        <w:r w:rsidR="00AD4184" w:rsidRPr="00FD7B0B">
          <w:rPr>
            <w:noProof/>
            <w:webHidden/>
          </w:rPr>
          <w:fldChar w:fldCharType="end"/>
        </w:r>
      </w:hyperlink>
    </w:p>
    <w:p w14:paraId="0564E930" w14:textId="77777777" w:rsidR="00AD4184" w:rsidRPr="00FD7B0B" w:rsidRDefault="00CA3929">
      <w:pPr>
        <w:pStyle w:val="25"/>
        <w:tabs>
          <w:tab w:val="right" w:leader="dot" w:pos="9627"/>
        </w:tabs>
        <w:rPr>
          <w:rFonts w:asciiTheme="minorHAnsi" w:eastAsiaTheme="minorEastAsia" w:hAnsiTheme="minorHAnsi" w:cstheme="minorBidi"/>
          <w:noProof/>
          <w:sz w:val="22"/>
          <w:lang w:eastAsia="ru-RU"/>
        </w:rPr>
      </w:pPr>
      <w:hyperlink w:anchor="_Toc198819154" w:history="1">
        <w:r w:rsidR="00AD4184" w:rsidRPr="00FD7B0B">
          <w:rPr>
            <w:rStyle w:val="afb"/>
            <w:noProof/>
            <w:color w:val="auto"/>
          </w:rPr>
          <w:t>4.6. Реализация национальных проектов в 2024 году</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_Toc198819154 \h </w:instrText>
        </w:r>
        <w:r w:rsidR="00AD4184" w:rsidRPr="00FD7B0B">
          <w:rPr>
            <w:noProof/>
            <w:webHidden/>
          </w:rPr>
        </w:r>
        <w:r w:rsidR="00AD4184" w:rsidRPr="00FD7B0B">
          <w:rPr>
            <w:noProof/>
            <w:webHidden/>
          </w:rPr>
          <w:fldChar w:fldCharType="separate"/>
        </w:r>
        <w:r w:rsidR="002959CD" w:rsidRPr="00FD7B0B">
          <w:rPr>
            <w:noProof/>
            <w:webHidden/>
          </w:rPr>
          <w:t>351</w:t>
        </w:r>
        <w:r w:rsidR="00AD4184" w:rsidRPr="00FD7B0B">
          <w:rPr>
            <w:noProof/>
            <w:webHidden/>
          </w:rPr>
          <w:fldChar w:fldCharType="end"/>
        </w:r>
      </w:hyperlink>
    </w:p>
    <w:p w14:paraId="0B528293" w14:textId="77777777" w:rsidR="00AD4184" w:rsidRPr="00FD7B0B" w:rsidRDefault="00CA3929">
      <w:pPr>
        <w:pStyle w:val="13"/>
        <w:tabs>
          <w:tab w:val="right" w:leader="dot" w:pos="9627"/>
        </w:tabs>
        <w:rPr>
          <w:rFonts w:asciiTheme="minorHAnsi" w:eastAsiaTheme="minorEastAsia" w:hAnsiTheme="minorHAnsi" w:cstheme="minorBidi"/>
          <w:noProof/>
          <w:sz w:val="22"/>
          <w:lang w:eastAsia="ru-RU"/>
        </w:rPr>
      </w:pPr>
      <w:hyperlink w:anchor="_Toc198819155" w:history="1">
        <w:r w:rsidR="00AD4184" w:rsidRPr="00FD7B0B">
          <w:rPr>
            <w:rStyle w:val="afb"/>
            <w:noProof/>
            <w:color w:val="auto"/>
          </w:rPr>
          <w:t>5. Состояние государственного внутреннего долга Архангельской области</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_Toc198819155 \h </w:instrText>
        </w:r>
        <w:r w:rsidR="00AD4184" w:rsidRPr="00FD7B0B">
          <w:rPr>
            <w:noProof/>
            <w:webHidden/>
          </w:rPr>
        </w:r>
        <w:r w:rsidR="00AD4184" w:rsidRPr="00FD7B0B">
          <w:rPr>
            <w:noProof/>
            <w:webHidden/>
          </w:rPr>
          <w:fldChar w:fldCharType="separate"/>
        </w:r>
        <w:r w:rsidR="002959CD" w:rsidRPr="00FD7B0B">
          <w:rPr>
            <w:noProof/>
            <w:webHidden/>
          </w:rPr>
          <w:t>366</w:t>
        </w:r>
        <w:r w:rsidR="00AD4184" w:rsidRPr="00FD7B0B">
          <w:rPr>
            <w:noProof/>
            <w:webHidden/>
          </w:rPr>
          <w:fldChar w:fldCharType="end"/>
        </w:r>
      </w:hyperlink>
    </w:p>
    <w:p w14:paraId="7767F45A" w14:textId="77777777" w:rsidR="00AD4184" w:rsidRPr="00FD7B0B" w:rsidRDefault="00CA3929">
      <w:pPr>
        <w:pStyle w:val="13"/>
        <w:tabs>
          <w:tab w:val="right" w:leader="dot" w:pos="9627"/>
        </w:tabs>
        <w:rPr>
          <w:rFonts w:asciiTheme="minorHAnsi" w:eastAsiaTheme="minorEastAsia" w:hAnsiTheme="minorHAnsi" w:cstheme="minorBidi"/>
          <w:noProof/>
          <w:sz w:val="22"/>
          <w:lang w:eastAsia="ru-RU"/>
        </w:rPr>
      </w:pPr>
      <w:hyperlink w:anchor="_Toc198819156" w:history="1">
        <w:r w:rsidR="00AD4184" w:rsidRPr="00FD7B0B">
          <w:rPr>
            <w:rStyle w:val="afb"/>
            <w:noProof/>
            <w:color w:val="auto"/>
          </w:rPr>
          <w:t>6. Предложения</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_Toc198819156 \h </w:instrText>
        </w:r>
        <w:r w:rsidR="00AD4184" w:rsidRPr="00FD7B0B">
          <w:rPr>
            <w:noProof/>
            <w:webHidden/>
          </w:rPr>
        </w:r>
        <w:r w:rsidR="00AD4184" w:rsidRPr="00FD7B0B">
          <w:rPr>
            <w:noProof/>
            <w:webHidden/>
          </w:rPr>
          <w:fldChar w:fldCharType="separate"/>
        </w:r>
        <w:r w:rsidR="002959CD" w:rsidRPr="00FD7B0B">
          <w:rPr>
            <w:noProof/>
            <w:webHidden/>
          </w:rPr>
          <w:t>384</w:t>
        </w:r>
        <w:r w:rsidR="00AD4184" w:rsidRPr="00FD7B0B">
          <w:rPr>
            <w:noProof/>
            <w:webHidden/>
          </w:rPr>
          <w:fldChar w:fldCharType="end"/>
        </w:r>
      </w:hyperlink>
    </w:p>
    <w:p w14:paraId="6A160E50" w14:textId="77777777" w:rsidR="00AD4184" w:rsidRPr="00FD7B0B" w:rsidRDefault="00CA3929">
      <w:pPr>
        <w:pStyle w:val="13"/>
        <w:tabs>
          <w:tab w:val="right" w:leader="dot" w:pos="9627"/>
        </w:tabs>
        <w:rPr>
          <w:rFonts w:asciiTheme="minorHAnsi" w:eastAsiaTheme="minorEastAsia" w:hAnsiTheme="minorHAnsi" w:cstheme="minorBidi"/>
          <w:noProof/>
          <w:sz w:val="22"/>
          <w:lang w:eastAsia="ru-RU"/>
        </w:rPr>
      </w:pPr>
      <w:hyperlink w:anchor="_Toc198819157" w:history="1">
        <w:r w:rsidR="00AD4184" w:rsidRPr="00FD7B0B">
          <w:rPr>
            <w:rStyle w:val="afb"/>
            <w:noProof/>
            <w:color w:val="auto"/>
          </w:rPr>
          <w:t>Приложения</w:t>
        </w:r>
        <w:r w:rsidR="00AD4184" w:rsidRPr="00FD7B0B">
          <w:rPr>
            <w:noProof/>
            <w:webHidden/>
          </w:rPr>
          <w:tab/>
        </w:r>
        <w:r w:rsidR="00AD4184" w:rsidRPr="00FD7B0B">
          <w:rPr>
            <w:noProof/>
            <w:webHidden/>
          </w:rPr>
          <w:fldChar w:fldCharType="begin"/>
        </w:r>
        <w:r w:rsidR="00AD4184" w:rsidRPr="00FD7B0B">
          <w:rPr>
            <w:noProof/>
            <w:webHidden/>
          </w:rPr>
          <w:instrText xml:space="preserve"> PAGEREF _Toc198819157 \h </w:instrText>
        </w:r>
        <w:r w:rsidR="00AD4184" w:rsidRPr="00FD7B0B">
          <w:rPr>
            <w:noProof/>
            <w:webHidden/>
          </w:rPr>
        </w:r>
        <w:r w:rsidR="00AD4184" w:rsidRPr="00FD7B0B">
          <w:rPr>
            <w:noProof/>
            <w:webHidden/>
          </w:rPr>
          <w:fldChar w:fldCharType="separate"/>
        </w:r>
        <w:r w:rsidR="002959CD" w:rsidRPr="00FD7B0B">
          <w:rPr>
            <w:noProof/>
            <w:webHidden/>
          </w:rPr>
          <w:t>388</w:t>
        </w:r>
        <w:r w:rsidR="00AD4184" w:rsidRPr="00FD7B0B">
          <w:rPr>
            <w:noProof/>
            <w:webHidden/>
          </w:rPr>
          <w:fldChar w:fldCharType="end"/>
        </w:r>
      </w:hyperlink>
    </w:p>
    <w:p w14:paraId="64A47D12" w14:textId="77777777" w:rsidR="00971EC6" w:rsidRPr="00FD7B0B" w:rsidRDefault="00971EC6" w:rsidP="00971EC6">
      <w:pPr>
        <w:pStyle w:val="13"/>
        <w:tabs>
          <w:tab w:val="right" w:leader="dot" w:pos="9344"/>
        </w:tabs>
        <w:rPr>
          <w:highlight w:val="cyan"/>
        </w:rPr>
      </w:pPr>
      <w:r w:rsidRPr="00FD7B0B">
        <w:rPr>
          <w:highlight w:val="cyan"/>
        </w:rPr>
        <w:fldChar w:fldCharType="end"/>
      </w:r>
    </w:p>
    <w:p w14:paraId="7C03ED28" w14:textId="4474C097" w:rsidR="0072263E" w:rsidRPr="00FD7B0B" w:rsidRDefault="00971EC6" w:rsidP="00373A15">
      <w:pPr>
        <w:pStyle w:val="10"/>
        <w:keepNext/>
        <w:keepLines/>
        <w:autoSpaceDE/>
        <w:autoSpaceDN/>
        <w:adjustRightInd/>
        <w:spacing w:before="240" w:after="120"/>
        <w:rPr>
          <w:rFonts w:ascii="Times New Roman" w:hAnsi="Times New Roman"/>
          <w:color w:val="auto"/>
          <w:sz w:val="28"/>
          <w:szCs w:val="28"/>
          <w:lang w:val="ru-RU" w:eastAsia="en-US"/>
        </w:rPr>
      </w:pPr>
      <w:r w:rsidRPr="00FD7B0B">
        <w:rPr>
          <w:color w:val="auto"/>
          <w:highlight w:val="cyan"/>
        </w:rPr>
        <w:br w:type="page"/>
      </w:r>
      <w:bookmarkStart w:id="1" w:name="_Toc72822954"/>
      <w:bookmarkStart w:id="2" w:name="_Toc198819113"/>
      <w:r w:rsidR="0072263E" w:rsidRPr="00FD7B0B">
        <w:rPr>
          <w:rFonts w:ascii="Times New Roman" w:hAnsi="Times New Roman"/>
          <w:color w:val="auto"/>
          <w:sz w:val="28"/>
          <w:szCs w:val="28"/>
          <w:lang w:val="ru-RU" w:eastAsia="en-US"/>
        </w:rPr>
        <w:lastRenderedPageBreak/>
        <w:t>1. Итоги социально-экономического развития Архангельской области за 202</w:t>
      </w:r>
      <w:r w:rsidR="005A472F" w:rsidRPr="00FD7B0B">
        <w:rPr>
          <w:rFonts w:ascii="Times New Roman" w:hAnsi="Times New Roman"/>
          <w:color w:val="auto"/>
          <w:sz w:val="28"/>
          <w:szCs w:val="28"/>
          <w:lang w:val="ru-RU" w:eastAsia="en-US"/>
        </w:rPr>
        <w:t>4</w:t>
      </w:r>
      <w:r w:rsidR="0072263E" w:rsidRPr="00FD7B0B">
        <w:rPr>
          <w:rFonts w:ascii="Times New Roman" w:hAnsi="Times New Roman"/>
          <w:color w:val="auto"/>
          <w:sz w:val="28"/>
          <w:szCs w:val="28"/>
          <w:lang w:val="ru-RU" w:eastAsia="en-US"/>
        </w:rPr>
        <w:t xml:space="preserve"> год</w:t>
      </w:r>
      <w:bookmarkEnd w:id="1"/>
      <w:bookmarkEnd w:id="2"/>
    </w:p>
    <w:p w14:paraId="26003BC5" w14:textId="77777777" w:rsidR="005A472F" w:rsidRPr="00FD7B0B" w:rsidRDefault="005A472F" w:rsidP="005A472F">
      <w:pPr>
        <w:pStyle w:val="ad"/>
        <w:ind w:firstLine="709"/>
        <w:jc w:val="both"/>
        <w:rPr>
          <w:rFonts w:ascii="Times New Roman" w:hAnsi="Times New Roman"/>
          <w:sz w:val="28"/>
          <w:szCs w:val="28"/>
        </w:rPr>
      </w:pPr>
      <w:bookmarkStart w:id="3" w:name="_Toc184649424"/>
      <w:r w:rsidRPr="00FD7B0B">
        <w:rPr>
          <w:rFonts w:ascii="Times New Roman" w:hAnsi="Times New Roman"/>
          <w:sz w:val="28"/>
          <w:szCs w:val="28"/>
        </w:rPr>
        <w:t>При формировании прогноза социально-экономического развития Архангельской области на 2024 год предусматривался умеренный рост и сохранение положительных значений по основным экономическим показателям. В течение года в отдельные прогнозные показатели социально-экономического развития Архангельской области на 2024 год, представленные в Показателях прогноза социально-экономического развития Архангельской области (без Ненецкого автономного округа, далее – НАО) на 2024 – 2026 годы и одобренные распоряжением Правительства Архангельской области от 11.10.2023 № 796-рп, вносились корректировки. Оценочные показатели Прогноза социально-экономического развития Архангельской области (без НАО) на 2024 год одобрены распоряжением Правительства Архангельской области от 22.10.2024 № 539-рп (далее – Оценка 2024 года).</w:t>
      </w:r>
    </w:p>
    <w:p w14:paraId="4851521C" w14:textId="0D7F9D7F"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Темпы развития Архангельской области 2024 года в целом соответствуют общей тенденции основных показателей, характеризующих социально-экономическое развитие страны и СЗФО. Согласно статистическим данным основные социальные и экономические показатели Российской Федерации, СЗФО и Архангельской области (без НАО) представлены в таблице </w:t>
      </w:r>
      <w:r w:rsidR="006B033D" w:rsidRPr="00FD7B0B">
        <w:rPr>
          <w:rFonts w:ascii="Times New Roman" w:hAnsi="Times New Roman"/>
          <w:sz w:val="28"/>
          <w:szCs w:val="28"/>
        </w:rPr>
        <w:t>1</w:t>
      </w:r>
      <w:r w:rsidRPr="00FD7B0B">
        <w:rPr>
          <w:rFonts w:ascii="Times New Roman" w:hAnsi="Times New Roman"/>
          <w:sz w:val="28"/>
          <w:szCs w:val="28"/>
        </w:rPr>
        <w:t>:</w:t>
      </w:r>
    </w:p>
    <w:p w14:paraId="72C7DBA1" w14:textId="77777777" w:rsidR="005A472F" w:rsidRPr="00FD7B0B" w:rsidRDefault="005A472F" w:rsidP="005A472F">
      <w:pPr>
        <w:pStyle w:val="aff0"/>
        <w:spacing w:after="0" w:line="240" w:lineRule="auto"/>
        <w:rPr>
          <w:rFonts w:ascii="Times New Roman" w:hAnsi="Times New Roman"/>
          <w:b w:val="0"/>
          <w:sz w:val="24"/>
          <w:szCs w:val="24"/>
        </w:rPr>
      </w:pPr>
    </w:p>
    <w:p w14:paraId="7841990F"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w:t>
      </w:r>
      <w:r w:rsidRPr="00FD7B0B">
        <w:rPr>
          <w:rFonts w:ascii="Times New Roman" w:hAnsi="Times New Roman"/>
          <w:b w:val="0"/>
          <w:sz w:val="24"/>
          <w:szCs w:val="24"/>
        </w:rPr>
        <w:fldChar w:fldCharType="end"/>
      </w:r>
      <w:r w:rsidRPr="00FD7B0B">
        <w:rPr>
          <w:rFonts w:ascii="Times New Roman" w:hAnsi="Times New Roman"/>
          <w:b w:val="0"/>
          <w:sz w:val="24"/>
          <w:szCs w:val="24"/>
        </w:rPr>
        <w:t>. Основные социально-экономические показатели Российской Федерации, СЗФО и Архангельской области (без НАО) (предварительные данные)</w:t>
      </w:r>
    </w:p>
    <w:tbl>
      <w:tblPr>
        <w:tblW w:w="975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5192"/>
        <w:gridCol w:w="1164"/>
        <w:gridCol w:w="1134"/>
        <w:gridCol w:w="1134"/>
        <w:gridCol w:w="1134"/>
      </w:tblGrid>
      <w:tr w:rsidR="00FD7B0B" w:rsidRPr="00FD7B0B" w14:paraId="25DD9E96" w14:textId="77777777" w:rsidTr="00BE64F6">
        <w:trPr>
          <w:trHeight w:val="114"/>
          <w:tblHeader/>
        </w:trPr>
        <w:tc>
          <w:tcPr>
            <w:tcW w:w="5192" w:type="dxa"/>
            <w:vMerge w:val="restart"/>
            <w:shd w:val="clear" w:color="auto" w:fill="auto"/>
            <w:vAlign w:val="center"/>
            <w:hideMark/>
          </w:tcPr>
          <w:p w14:paraId="0799D21C" w14:textId="77777777" w:rsidR="005A472F" w:rsidRPr="00FD7B0B" w:rsidRDefault="005A472F"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показателя</w:t>
            </w:r>
          </w:p>
        </w:tc>
        <w:tc>
          <w:tcPr>
            <w:tcW w:w="4566" w:type="dxa"/>
            <w:gridSpan w:val="4"/>
            <w:shd w:val="clear" w:color="auto" w:fill="auto"/>
            <w:vAlign w:val="center"/>
            <w:hideMark/>
          </w:tcPr>
          <w:p w14:paraId="331E20D0" w14:textId="77777777" w:rsidR="005A472F" w:rsidRPr="00FD7B0B" w:rsidRDefault="005A472F" w:rsidP="00BE64F6">
            <w:pPr>
              <w:spacing w:after="0" w:line="240" w:lineRule="auto"/>
              <w:ind w:left="-78" w:right="-143"/>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Предварительные показатели 2024 г. к 2023 г., в %</w:t>
            </w:r>
          </w:p>
        </w:tc>
      </w:tr>
      <w:tr w:rsidR="00FD7B0B" w:rsidRPr="00FD7B0B" w14:paraId="6263600E" w14:textId="77777777" w:rsidTr="00BE64F6">
        <w:trPr>
          <w:trHeight w:val="700"/>
          <w:tblHeader/>
        </w:trPr>
        <w:tc>
          <w:tcPr>
            <w:tcW w:w="5192" w:type="dxa"/>
            <w:vMerge/>
            <w:shd w:val="clear" w:color="auto" w:fill="auto"/>
            <w:vAlign w:val="center"/>
            <w:hideMark/>
          </w:tcPr>
          <w:p w14:paraId="42199DDC" w14:textId="77777777" w:rsidR="005A472F" w:rsidRPr="00FD7B0B" w:rsidRDefault="005A472F" w:rsidP="00BE64F6">
            <w:pPr>
              <w:spacing w:after="0" w:line="240" w:lineRule="auto"/>
              <w:rPr>
                <w:rFonts w:ascii="Times New Roman" w:eastAsia="Times New Roman" w:hAnsi="Times New Roman" w:cs="Times New Roman"/>
                <w:sz w:val="20"/>
                <w:szCs w:val="20"/>
                <w:lang w:eastAsia="ru-RU"/>
              </w:rPr>
            </w:pPr>
          </w:p>
        </w:tc>
        <w:tc>
          <w:tcPr>
            <w:tcW w:w="1164" w:type="dxa"/>
            <w:shd w:val="clear" w:color="auto" w:fill="auto"/>
            <w:vAlign w:val="center"/>
            <w:hideMark/>
          </w:tcPr>
          <w:p w14:paraId="6BC9D1B1" w14:textId="77777777" w:rsidR="005A472F" w:rsidRPr="00FD7B0B" w:rsidRDefault="005A472F" w:rsidP="00BE64F6">
            <w:pPr>
              <w:spacing w:after="0" w:line="240" w:lineRule="auto"/>
              <w:ind w:left="-7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Российская Федерация</w:t>
            </w:r>
          </w:p>
        </w:tc>
        <w:tc>
          <w:tcPr>
            <w:tcW w:w="1134" w:type="dxa"/>
            <w:shd w:val="clear" w:color="auto" w:fill="auto"/>
            <w:vAlign w:val="center"/>
            <w:hideMark/>
          </w:tcPr>
          <w:p w14:paraId="387E6C29" w14:textId="77777777" w:rsidR="005A472F" w:rsidRPr="00FD7B0B" w:rsidRDefault="005A472F" w:rsidP="00BE64F6">
            <w:pPr>
              <w:spacing w:after="0" w:line="240" w:lineRule="auto"/>
              <w:ind w:left="-7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r w:rsidRPr="00FD7B0B">
              <w:rPr>
                <w:rStyle w:val="afff1"/>
                <w:rFonts w:ascii="Times New Roman" w:eastAsia="Times New Roman" w:hAnsi="Times New Roman" w:cs="Times New Roman"/>
                <w:bCs/>
                <w:sz w:val="20"/>
                <w:szCs w:val="20"/>
                <w:lang w:eastAsia="ru-RU"/>
              </w:rPr>
              <w:footnoteReference w:id="1"/>
            </w:r>
          </w:p>
        </w:tc>
        <w:tc>
          <w:tcPr>
            <w:tcW w:w="1134" w:type="dxa"/>
            <w:shd w:val="clear" w:color="auto" w:fill="auto"/>
            <w:vAlign w:val="center"/>
            <w:hideMark/>
          </w:tcPr>
          <w:p w14:paraId="65083A48" w14:textId="77777777" w:rsidR="005A472F" w:rsidRPr="00FD7B0B" w:rsidRDefault="005A472F" w:rsidP="00BE64F6">
            <w:pPr>
              <w:spacing w:after="0" w:line="240" w:lineRule="auto"/>
              <w:ind w:left="-7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Архангельская область (без НАО)</w:t>
            </w:r>
            <w:r w:rsidRPr="00FD7B0B">
              <w:rPr>
                <w:rStyle w:val="afff1"/>
                <w:rFonts w:ascii="Times New Roman" w:eastAsia="Times New Roman" w:hAnsi="Times New Roman" w:cs="Times New Roman"/>
                <w:bCs/>
                <w:sz w:val="20"/>
                <w:szCs w:val="20"/>
                <w:lang w:eastAsia="ru-RU"/>
              </w:rPr>
              <w:t xml:space="preserve"> </w:t>
            </w:r>
            <w:r w:rsidRPr="00FD7B0B">
              <w:rPr>
                <w:rStyle w:val="afff1"/>
                <w:rFonts w:ascii="Times New Roman" w:eastAsia="Times New Roman" w:hAnsi="Times New Roman" w:cs="Times New Roman"/>
                <w:bCs/>
                <w:sz w:val="20"/>
                <w:szCs w:val="20"/>
                <w:lang w:eastAsia="ru-RU"/>
              </w:rPr>
              <w:footnoteReference w:id="2"/>
            </w:r>
          </w:p>
        </w:tc>
        <w:tc>
          <w:tcPr>
            <w:tcW w:w="1134" w:type="dxa"/>
            <w:shd w:val="clear" w:color="auto" w:fill="auto"/>
            <w:vAlign w:val="center"/>
            <w:hideMark/>
          </w:tcPr>
          <w:p w14:paraId="07B0D0C0" w14:textId="77777777" w:rsidR="005A472F" w:rsidRPr="00FD7B0B" w:rsidRDefault="005A472F" w:rsidP="00BE64F6">
            <w:pPr>
              <w:spacing w:after="0" w:line="240" w:lineRule="auto"/>
              <w:ind w:left="-7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Оценка </w:t>
            </w:r>
          </w:p>
          <w:p w14:paraId="2544FB24" w14:textId="77777777" w:rsidR="005A472F" w:rsidRPr="00FD7B0B" w:rsidRDefault="005A472F" w:rsidP="00BE64F6">
            <w:pPr>
              <w:spacing w:after="0" w:line="240" w:lineRule="auto"/>
              <w:ind w:left="-7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2024 г. </w:t>
            </w:r>
            <w:r w:rsidRPr="00FD7B0B">
              <w:rPr>
                <w:rStyle w:val="afff1"/>
                <w:rFonts w:ascii="Times New Roman" w:eastAsia="Times New Roman" w:hAnsi="Times New Roman" w:cs="Times New Roman"/>
                <w:sz w:val="20"/>
                <w:szCs w:val="20"/>
                <w:lang w:eastAsia="ru-RU"/>
              </w:rPr>
              <w:footnoteReference w:id="3"/>
            </w:r>
          </w:p>
        </w:tc>
      </w:tr>
      <w:tr w:rsidR="00FD7B0B" w:rsidRPr="00FD7B0B" w14:paraId="7DEFD79E" w14:textId="77777777" w:rsidTr="00BE64F6">
        <w:trPr>
          <w:trHeight w:val="245"/>
        </w:trPr>
        <w:tc>
          <w:tcPr>
            <w:tcW w:w="5192" w:type="dxa"/>
            <w:shd w:val="clear" w:color="auto" w:fill="auto"/>
            <w:vAlign w:val="bottom"/>
            <w:hideMark/>
          </w:tcPr>
          <w:p w14:paraId="1968D9F9"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Индекс промышленного производства, %</w:t>
            </w:r>
          </w:p>
        </w:tc>
        <w:tc>
          <w:tcPr>
            <w:tcW w:w="1164" w:type="dxa"/>
            <w:shd w:val="clear" w:color="auto" w:fill="auto"/>
            <w:vAlign w:val="bottom"/>
            <w:hideMark/>
          </w:tcPr>
          <w:p w14:paraId="667ED39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104,60</w:t>
            </w:r>
          </w:p>
        </w:tc>
        <w:tc>
          <w:tcPr>
            <w:tcW w:w="1134" w:type="dxa"/>
            <w:shd w:val="clear" w:color="auto" w:fill="auto"/>
            <w:vAlign w:val="bottom"/>
            <w:hideMark/>
          </w:tcPr>
          <w:p w14:paraId="2A8903A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105,30</w:t>
            </w:r>
          </w:p>
        </w:tc>
        <w:tc>
          <w:tcPr>
            <w:tcW w:w="1134" w:type="dxa"/>
            <w:shd w:val="clear" w:color="auto" w:fill="auto"/>
            <w:vAlign w:val="bottom"/>
            <w:hideMark/>
          </w:tcPr>
          <w:p w14:paraId="655EF54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107,20</w:t>
            </w:r>
          </w:p>
        </w:tc>
        <w:tc>
          <w:tcPr>
            <w:tcW w:w="1134" w:type="dxa"/>
            <w:shd w:val="clear" w:color="auto" w:fill="auto"/>
            <w:noWrap/>
            <w:vAlign w:val="bottom"/>
            <w:hideMark/>
          </w:tcPr>
          <w:p w14:paraId="06F4F1E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105,90</w:t>
            </w:r>
          </w:p>
        </w:tc>
      </w:tr>
      <w:tr w:rsidR="00FD7B0B" w:rsidRPr="00FD7B0B" w14:paraId="43E21CB2" w14:textId="77777777" w:rsidTr="00BE64F6">
        <w:trPr>
          <w:trHeight w:val="214"/>
        </w:trPr>
        <w:tc>
          <w:tcPr>
            <w:tcW w:w="9758" w:type="dxa"/>
            <w:gridSpan w:val="5"/>
            <w:shd w:val="clear" w:color="auto" w:fill="auto"/>
            <w:vAlign w:val="center"/>
            <w:hideMark/>
          </w:tcPr>
          <w:p w14:paraId="752FBFE8" w14:textId="77777777" w:rsidR="005A472F" w:rsidRPr="00FD7B0B" w:rsidRDefault="005A472F" w:rsidP="00BE64F6">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из них по некоторым видам экономической деятельности:</w:t>
            </w:r>
          </w:p>
        </w:tc>
      </w:tr>
      <w:tr w:rsidR="00FD7B0B" w:rsidRPr="00FD7B0B" w14:paraId="5B6A39E9" w14:textId="77777777" w:rsidTr="00BE64F6">
        <w:trPr>
          <w:trHeight w:val="247"/>
        </w:trPr>
        <w:tc>
          <w:tcPr>
            <w:tcW w:w="5192" w:type="dxa"/>
            <w:shd w:val="clear" w:color="auto" w:fill="auto"/>
            <w:vAlign w:val="bottom"/>
            <w:hideMark/>
          </w:tcPr>
          <w:p w14:paraId="5473A46A"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 добыча полезных ископаемых, %</w:t>
            </w:r>
          </w:p>
        </w:tc>
        <w:tc>
          <w:tcPr>
            <w:tcW w:w="1164" w:type="dxa"/>
            <w:shd w:val="clear" w:color="auto" w:fill="auto"/>
            <w:vAlign w:val="bottom"/>
            <w:hideMark/>
          </w:tcPr>
          <w:p w14:paraId="737768D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99,10</w:t>
            </w:r>
          </w:p>
        </w:tc>
        <w:tc>
          <w:tcPr>
            <w:tcW w:w="1134" w:type="dxa"/>
            <w:shd w:val="clear" w:color="auto" w:fill="auto"/>
            <w:vAlign w:val="bottom"/>
            <w:hideMark/>
          </w:tcPr>
          <w:p w14:paraId="46FE2DB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99,20</w:t>
            </w:r>
          </w:p>
        </w:tc>
        <w:tc>
          <w:tcPr>
            <w:tcW w:w="1134" w:type="dxa"/>
            <w:shd w:val="clear" w:color="auto" w:fill="auto"/>
            <w:vAlign w:val="bottom"/>
            <w:hideMark/>
          </w:tcPr>
          <w:p w14:paraId="202C9A1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101,80</w:t>
            </w:r>
          </w:p>
        </w:tc>
        <w:tc>
          <w:tcPr>
            <w:tcW w:w="1134" w:type="dxa"/>
            <w:shd w:val="clear" w:color="auto" w:fill="auto"/>
            <w:noWrap/>
            <w:vAlign w:val="bottom"/>
            <w:hideMark/>
          </w:tcPr>
          <w:p w14:paraId="6A1FA78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100,10</w:t>
            </w:r>
          </w:p>
        </w:tc>
      </w:tr>
      <w:tr w:rsidR="00FD7B0B" w:rsidRPr="00FD7B0B" w14:paraId="78A35125" w14:textId="77777777" w:rsidTr="00BE64F6">
        <w:trPr>
          <w:trHeight w:val="213"/>
        </w:trPr>
        <w:tc>
          <w:tcPr>
            <w:tcW w:w="5192" w:type="dxa"/>
            <w:shd w:val="clear" w:color="auto" w:fill="auto"/>
            <w:vAlign w:val="bottom"/>
            <w:hideMark/>
          </w:tcPr>
          <w:p w14:paraId="153C7A03"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 обрабатывающие производства, %</w:t>
            </w:r>
          </w:p>
        </w:tc>
        <w:tc>
          <w:tcPr>
            <w:tcW w:w="1164" w:type="dxa"/>
            <w:shd w:val="clear" w:color="auto" w:fill="auto"/>
            <w:vAlign w:val="bottom"/>
            <w:hideMark/>
          </w:tcPr>
          <w:p w14:paraId="4C217AD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108,50</w:t>
            </w:r>
          </w:p>
        </w:tc>
        <w:tc>
          <w:tcPr>
            <w:tcW w:w="1134" w:type="dxa"/>
            <w:shd w:val="clear" w:color="auto" w:fill="auto"/>
            <w:vAlign w:val="bottom"/>
            <w:hideMark/>
          </w:tcPr>
          <w:p w14:paraId="3B71607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107,60</w:t>
            </w:r>
          </w:p>
        </w:tc>
        <w:tc>
          <w:tcPr>
            <w:tcW w:w="1134" w:type="dxa"/>
            <w:shd w:val="clear" w:color="auto" w:fill="auto"/>
            <w:vAlign w:val="bottom"/>
            <w:hideMark/>
          </w:tcPr>
          <w:p w14:paraId="078EAC7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109,50</w:t>
            </w:r>
          </w:p>
        </w:tc>
        <w:tc>
          <w:tcPr>
            <w:tcW w:w="1134" w:type="dxa"/>
            <w:shd w:val="clear" w:color="auto" w:fill="auto"/>
            <w:noWrap/>
            <w:vAlign w:val="bottom"/>
            <w:hideMark/>
          </w:tcPr>
          <w:p w14:paraId="077A448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107,55</w:t>
            </w:r>
          </w:p>
        </w:tc>
      </w:tr>
      <w:tr w:rsidR="00FD7B0B" w:rsidRPr="00FD7B0B" w14:paraId="30EBCF7F" w14:textId="77777777" w:rsidTr="00BE64F6">
        <w:trPr>
          <w:trHeight w:val="330"/>
        </w:trPr>
        <w:tc>
          <w:tcPr>
            <w:tcW w:w="5192" w:type="dxa"/>
            <w:shd w:val="clear" w:color="auto" w:fill="auto"/>
            <w:vAlign w:val="bottom"/>
            <w:hideMark/>
          </w:tcPr>
          <w:p w14:paraId="2C6CE670"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обеспечение электроэнергией, газом и паром; кондиционирование воздуха, %</w:t>
            </w:r>
          </w:p>
        </w:tc>
        <w:tc>
          <w:tcPr>
            <w:tcW w:w="1164" w:type="dxa"/>
            <w:shd w:val="clear" w:color="auto" w:fill="auto"/>
            <w:vAlign w:val="bottom"/>
            <w:hideMark/>
          </w:tcPr>
          <w:p w14:paraId="68D1230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102,30</w:t>
            </w:r>
          </w:p>
        </w:tc>
        <w:tc>
          <w:tcPr>
            <w:tcW w:w="1134" w:type="dxa"/>
            <w:shd w:val="clear" w:color="auto" w:fill="auto"/>
            <w:vAlign w:val="bottom"/>
            <w:hideMark/>
          </w:tcPr>
          <w:p w14:paraId="3A3A13F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103,60</w:t>
            </w:r>
          </w:p>
        </w:tc>
        <w:tc>
          <w:tcPr>
            <w:tcW w:w="1134" w:type="dxa"/>
            <w:shd w:val="clear" w:color="auto" w:fill="auto"/>
            <w:vAlign w:val="bottom"/>
            <w:hideMark/>
          </w:tcPr>
          <w:p w14:paraId="611DDD8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99,60</w:t>
            </w:r>
          </w:p>
        </w:tc>
        <w:tc>
          <w:tcPr>
            <w:tcW w:w="1134" w:type="dxa"/>
            <w:shd w:val="clear" w:color="auto" w:fill="auto"/>
            <w:noWrap/>
            <w:vAlign w:val="bottom"/>
            <w:hideMark/>
          </w:tcPr>
          <w:p w14:paraId="51C941B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101,70</w:t>
            </w:r>
          </w:p>
        </w:tc>
      </w:tr>
      <w:tr w:rsidR="00FD7B0B" w:rsidRPr="00FD7B0B" w14:paraId="2C8DC241" w14:textId="77777777" w:rsidTr="00BE64F6">
        <w:trPr>
          <w:trHeight w:val="494"/>
        </w:trPr>
        <w:tc>
          <w:tcPr>
            <w:tcW w:w="5192" w:type="dxa"/>
            <w:shd w:val="clear" w:color="auto" w:fill="auto"/>
            <w:vAlign w:val="bottom"/>
            <w:hideMark/>
          </w:tcPr>
          <w:p w14:paraId="6183FAD3"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-водоснабжение; водоотведение, организация сбора и утилизации отходов, деятельность по ликвидации загрязнений, %</w:t>
            </w:r>
          </w:p>
        </w:tc>
        <w:tc>
          <w:tcPr>
            <w:tcW w:w="1164" w:type="dxa"/>
            <w:shd w:val="clear" w:color="auto" w:fill="auto"/>
            <w:vAlign w:val="bottom"/>
            <w:hideMark/>
          </w:tcPr>
          <w:p w14:paraId="1F3A59A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99,90</w:t>
            </w:r>
          </w:p>
        </w:tc>
        <w:tc>
          <w:tcPr>
            <w:tcW w:w="1134" w:type="dxa"/>
            <w:shd w:val="clear" w:color="auto" w:fill="auto"/>
            <w:vAlign w:val="bottom"/>
            <w:hideMark/>
          </w:tcPr>
          <w:p w14:paraId="1C8D3B5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96,40</w:t>
            </w:r>
          </w:p>
        </w:tc>
        <w:tc>
          <w:tcPr>
            <w:tcW w:w="1134" w:type="dxa"/>
            <w:shd w:val="clear" w:color="auto" w:fill="auto"/>
            <w:vAlign w:val="bottom"/>
            <w:hideMark/>
          </w:tcPr>
          <w:p w14:paraId="71299DB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96,60</w:t>
            </w:r>
          </w:p>
        </w:tc>
        <w:tc>
          <w:tcPr>
            <w:tcW w:w="1134" w:type="dxa"/>
            <w:shd w:val="clear" w:color="auto" w:fill="auto"/>
            <w:noWrap/>
            <w:vAlign w:val="bottom"/>
            <w:hideMark/>
          </w:tcPr>
          <w:p w14:paraId="6494690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98,70</w:t>
            </w:r>
          </w:p>
        </w:tc>
      </w:tr>
      <w:tr w:rsidR="00FD7B0B" w:rsidRPr="00FD7B0B" w14:paraId="31BF2E11" w14:textId="77777777" w:rsidTr="00BE64F6">
        <w:trPr>
          <w:trHeight w:val="447"/>
        </w:trPr>
        <w:tc>
          <w:tcPr>
            <w:tcW w:w="5192" w:type="dxa"/>
            <w:shd w:val="clear" w:color="auto" w:fill="auto"/>
            <w:vAlign w:val="bottom"/>
            <w:hideMark/>
          </w:tcPr>
          <w:p w14:paraId="5561FE7F"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Продукция сельского хозяйства (индекс физического объема), предварительные данные, %</w:t>
            </w:r>
          </w:p>
        </w:tc>
        <w:tc>
          <w:tcPr>
            <w:tcW w:w="1164" w:type="dxa"/>
            <w:shd w:val="clear" w:color="auto" w:fill="auto"/>
            <w:vAlign w:val="bottom"/>
            <w:hideMark/>
          </w:tcPr>
          <w:p w14:paraId="2B6D218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96,80</w:t>
            </w:r>
          </w:p>
        </w:tc>
        <w:tc>
          <w:tcPr>
            <w:tcW w:w="1134" w:type="dxa"/>
            <w:shd w:val="clear" w:color="auto" w:fill="auto"/>
            <w:vAlign w:val="bottom"/>
            <w:hideMark/>
          </w:tcPr>
          <w:p w14:paraId="14AC3E9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107,50</w:t>
            </w:r>
          </w:p>
        </w:tc>
        <w:tc>
          <w:tcPr>
            <w:tcW w:w="1134" w:type="dxa"/>
            <w:shd w:val="clear" w:color="auto" w:fill="auto"/>
            <w:vAlign w:val="bottom"/>
            <w:hideMark/>
          </w:tcPr>
          <w:p w14:paraId="2EEAEF9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99,40</w:t>
            </w:r>
          </w:p>
        </w:tc>
        <w:tc>
          <w:tcPr>
            <w:tcW w:w="1134" w:type="dxa"/>
            <w:shd w:val="clear" w:color="auto" w:fill="auto"/>
            <w:noWrap/>
            <w:vAlign w:val="bottom"/>
            <w:hideMark/>
          </w:tcPr>
          <w:p w14:paraId="05F5620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94,30</w:t>
            </w:r>
          </w:p>
        </w:tc>
      </w:tr>
      <w:tr w:rsidR="00FD7B0B" w:rsidRPr="00FD7B0B" w14:paraId="108B17DA" w14:textId="77777777" w:rsidTr="00BE64F6">
        <w:trPr>
          <w:trHeight w:val="735"/>
        </w:trPr>
        <w:tc>
          <w:tcPr>
            <w:tcW w:w="5192" w:type="dxa"/>
            <w:shd w:val="clear" w:color="auto" w:fill="auto"/>
            <w:hideMark/>
          </w:tcPr>
          <w:p w14:paraId="0E571580"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Объем работ, выполненных по виду деятельности «Строительство» (индекс физического объема, в %) январь-декабрь, </w:t>
            </w:r>
            <w:r w:rsidRPr="00FD7B0B">
              <w:rPr>
                <w:rFonts w:ascii="Times New Roman" w:eastAsia="Times New Roman" w:hAnsi="Times New Roman" w:cs="Times New Roman"/>
                <w:i/>
                <w:iCs/>
                <w:lang w:eastAsia="ru-RU"/>
              </w:rPr>
              <w:t>в сопоставимых ценах</w:t>
            </w:r>
          </w:p>
        </w:tc>
        <w:tc>
          <w:tcPr>
            <w:tcW w:w="1164" w:type="dxa"/>
            <w:shd w:val="clear" w:color="auto" w:fill="auto"/>
            <w:vAlign w:val="bottom"/>
            <w:hideMark/>
          </w:tcPr>
          <w:p w14:paraId="3DE0826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102,10</w:t>
            </w:r>
          </w:p>
        </w:tc>
        <w:tc>
          <w:tcPr>
            <w:tcW w:w="1134" w:type="dxa"/>
            <w:shd w:val="clear" w:color="auto" w:fill="auto"/>
            <w:vAlign w:val="bottom"/>
            <w:hideMark/>
          </w:tcPr>
          <w:p w14:paraId="68F6838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103,50</w:t>
            </w:r>
          </w:p>
        </w:tc>
        <w:tc>
          <w:tcPr>
            <w:tcW w:w="1134" w:type="dxa"/>
            <w:shd w:val="clear" w:color="auto" w:fill="auto"/>
            <w:vAlign w:val="bottom"/>
            <w:hideMark/>
          </w:tcPr>
          <w:p w14:paraId="5420A60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59,70</w:t>
            </w:r>
          </w:p>
        </w:tc>
        <w:tc>
          <w:tcPr>
            <w:tcW w:w="1134" w:type="dxa"/>
            <w:shd w:val="clear" w:color="auto" w:fill="auto"/>
            <w:noWrap/>
            <w:vAlign w:val="bottom"/>
            <w:hideMark/>
          </w:tcPr>
          <w:p w14:paraId="038E98D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101,10</w:t>
            </w:r>
          </w:p>
        </w:tc>
      </w:tr>
      <w:tr w:rsidR="00FD7B0B" w:rsidRPr="00FD7B0B" w14:paraId="1AE18954" w14:textId="77777777" w:rsidTr="00BE64F6">
        <w:trPr>
          <w:trHeight w:val="647"/>
        </w:trPr>
        <w:tc>
          <w:tcPr>
            <w:tcW w:w="5192" w:type="dxa"/>
            <w:shd w:val="clear" w:color="auto" w:fill="auto"/>
            <w:vAlign w:val="bottom"/>
            <w:hideMark/>
          </w:tcPr>
          <w:p w14:paraId="431EB733"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Ввод в действие (в эксплуатацию) жилых домов, с учетом жилых домов на участках для ведения садоводства, в %</w:t>
            </w:r>
          </w:p>
        </w:tc>
        <w:tc>
          <w:tcPr>
            <w:tcW w:w="1164" w:type="dxa"/>
            <w:shd w:val="clear" w:color="auto" w:fill="auto"/>
            <w:vAlign w:val="bottom"/>
            <w:hideMark/>
          </w:tcPr>
          <w:p w14:paraId="0C66F16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97,60</w:t>
            </w:r>
          </w:p>
        </w:tc>
        <w:tc>
          <w:tcPr>
            <w:tcW w:w="1134" w:type="dxa"/>
            <w:shd w:val="clear" w:color="auto" w:fill="auto"/>
            <w:vAlign w:val="bottom"/>
            <w:hideMark/>
          </w:tcPr>
          <w:p w14:paraId="6448AA8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91,30</w:t>
            </w:r>
          </w:p>
        </w:tc>
        <w:tc>
          <w:tcPr>
            <w:tcW w:w="1134" w:type="dxa"/>
            <w:shd w:val="clear" w:color="auto" w:fill="auto"/>
            <w:vAlign w:val="bottom"/>
            <w:hideMark/>
          </w:tcPr>
          <w:p w14:paraId="52C2E54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102,90</w:t>
            </w:r>
          </w:p>
        </w:tc>
        <w:tc>
          <w:tcPr>
            <w:tcW w:w="1134" w:type="dxa"/>
            <w:shd w:val="clear" w:color="auto" w:fill="auto"/>
            <w:noWrap/>
            <w:vAlign w:val="bottom"/>
            <w:hideMark/>
          </w:tcPr>
          <w:p w14:paraId="19E254F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100,99</w:t>
            </w:r>
          </w:p>
        </w:tc>
      </w:tr>
      <w:tr w:rsidR="00FD7B0B" w:rsidRPr="00FD7B0B" w14:paraId="3820F1BE" w14:textId="77777777" w:rsidTr="00BE64F6">
        <w:trPr>
          <w:trHeight w:val="70"/>
        </w:trPr>
        <w:tc>
          <w:tcPr>
            <w:tcW w:w="5192" w:type="dxa"/>
            <w:shd w:val="clear" w:color="auto" w:fill="auto"/>
            <w:vAlign w:val="bottom"/>
            <w:hideMark/>
          </w:tcPr>
          <w:p w14:paraId="595E24F2" w14:textId="11C45B67" w:rsidR="005A472F" w:rsidRPr="00FD7B0B" w:rsidRDefault="005A472F" w:rsidP="003A1AEC">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lastRenderedPageBreak/>
              <w:t>Средняя цена за 1 кв.м общей площади жилья на первичном рынке на конец IV квартала, тыс.руб. / % к пред. году (предварительные данные)</w:t>
            </w:r>
          </w:p>
        </w:tc>
        <w:tc>
          <w:tcPr>
            <w:tcW w:w="1164" w:type="dxa"/>
            <w:shd w:val="clear" w:color="auto" w:fill="auto"/>
            <w:vAlign w:val="bottom"/>
            <w:hideMark/>
          </w:tcPr>
          <w:p w14:paraId="0BBC320E" w14:textId="77777777" w:rsidR="005A472F" w:rsidRPr="00FD7B0B" w:rsidRDefault="005A472F" w:rsidP="00BE64F6">
            <w:pPr>
              <w:spacing w:after="0" w:line="240" w:lineRule="auto"/>
              <w:ind w:left="-78"/>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177,9/140,4</w:t>
            </w:r>
          </w:p>
        </w:tc>
        <w:tc>
          <w:tcPr>
            <w:tcW w:w="1134" w:type="dxa"/>
            <w:shd w:val="clear" w:color="auto" w:fill="auto"/>
            <w:vAlign w:val="bottom"/>
            <w:hideMark/>
          </w:tcPr>
          <w:p w14:paraId="4DD90A44" w14:textId="77777777" w:rsidR="005A472F" w:rsidRPr="00FD7B0B" w:rsidRDefault="005A472F" w:rsidP="00BE64F6">
            <w:pPr>
              <w:spacing w:after="0" w:line="240" w:lineRule="auto"/>
              <w:ind w:left="-78"/>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242,9/180,0</w:t>
            </w:r>
          </w:p>
        </w:tc>
        <w:tc>
          <w:tcPr>
            <w:tcW w:w="1134" w:type="dxa"/>
            <w:shd w:val="clear" w:color="auto" w:fill="auto"/>
            <w:vAlign w:val="bottom"/>
            <w:hideMark/>
          </w:tcPr>
          <w:p w14:paraId="1A6BC1F9" w14:textId="77777777" w:rsidR="005A472F" w:rsidRPr="00FD7B0B" w:rsidRDefault="005A472F" w:rsidP="00BE64F6">
            <w:pPr>
              <w:spacing w:after="0" w:line="240" w:lineRule="auto"/>
              <w:ind w:left="-78"/>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123,6/113,6</w:t>
            </w:r>
          </w:p>
        </w:tc>
        <w:tc>
          <w:tcPr>
            <w:tcW w:w="1134" w:type="dxa"/>
            <w:shd w:val="clear" w:color="auto" w:fill="auto"/>
            <w:noWrap/>
            <w:vAlign w:val="bottom"/>
            <w:hideMark/>
          </w:tcPr>
          <w:p w14:paraId="32FD3D2F" w14:textId="77777777" w:rsidR="005A472F" w:rsidRPr="00FD7B0B" w:rsidRDefault="005A472F" w:rsidP="00BE64F6">
            <w:pPr>
              <w:spacing w:after="0" w:line="240" w:lineRule="auto"/>
              <w:ind w:left="-78"/>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r>
      <w:tr w:rsidR="00FD7B0B" w:rsidRPr="00FD7B0B" w14:paraId="6E734A05" w14:textId="77777777" w:rsidTr="00BE64F6">
        <w:trPr>
          <w:trHeight w:val="440"/>
        </w:trPr>
        <w:tc>
          <w:tcPr>
            <w:tcW w:w="5192" w:type="dxa"/>
            <w:shd w:val="clear" w:color="auto" w:fill="auto"/>
            <w:vAlign w:val="bottom"/>
            <w:hideMark/>
          </w:tcPr>
          <w:p w14:paraId="62E6CC4E" w14:textId="34F34A19" w:rsidR="005A472F" w:rsidRPr="00FD7B0B" w:rsidRDefault="005A472F" w:rsidP="003A1AEC">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Средняя цена за 1 кв.м жилья на вторичном рынке на конец квартала, тыс. руб. / % к пред. году (предварительные данные)</w:t>
            </w:r>
          </w:p>
        </w:tc>
        <w:tc>
          <w:tcPr>
            <w:tcW w:w="1164" w:type="dxa"/>
            <w:shd w:val="clear" w:color="auto" w:fill="auto"/>
            <w:vAlign w:val="bottom"/>
            <w:hideMark/>
          </w:tcPr>
          <w:p w14:paraId="4B38B4B6" w14:textId="77777777" w:rsidR="005A472F" w:rsidRPr="00FD7B0B" w:rsidRDefault="005A472F" w:rsidP="00BE64F6">
            <w:pPr>
              <w:spacing w:after="0" w:line="240" w:lineRule="auto"/>
              <w:ind w:left="-78"/>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114,1/97,4</w:t>
            </w:r>
          </w:p>
        </w:tc>
        <w:tc>
          <w:tcPr>
            <w:tcW w:w="1134" w:type="dxa"/>
            <w:shd w:val="clear" w:color="auto" w:fill="auto"/>
            <w:vAlign w:val="bottom"/>
            <w:hideMark/>
          </w:tcPr>
          <w:p w14:paraId="597984EE" w14:textId="77777777" w:rsidR="005A472F" w:rsidRPr="00FD7B0B" w:rsidRDefault="005A472F" w:rsidP="00BE64F6">
            <w:pPr>
              <w:spacing w:after="0" w:line="240" w:lineRule="auto"/>
              <w:ind w:left="-78"/>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135,2/104,4</w:t>
            </w:r>
          </w:p>
        </w:tc>
        <w:tc>
          <w:tcPr>
            <w:tcW w:w="1134" w:type="dxa"/>
            <w:shd w:val="clear" w:color="auto" w:fill="auto"/>
            <w:vAlign w:val="bottom"/>
            <w:hideMark/>
          </w:tcPr>
          <w:p w14:paraId="25ED7DFF" w14:textId="77777777" w:rsidR="005A472F" w:rsidRPr="00FD7B0B" w:rsidRDefault="005A472F" w:rsidP="00BE64F6">
            <w:pPr>
              <w:spacing w:after="0" w:line="240" w:lineRule="auto"/>
              <w:ind w:left="-78"/>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102,1/95,7</w:t>
            </w:r>
          </w:p>
        </w:tc>
        <w:tc>
          <w:tcPr>
            <w:tcW w:w="1134" w:type="dxa"/>
            <w:shd w:val="clear" w:color="auto" w:fill="auto"/>
            <w:noWrap/>
            <w:vAlign w:val="bottom"/>
            <w:hideMark/>
          </w:tcPr>
          <w:p w14:paraId="230769D1" w14:textId="77777777" w:rsidR="005A472F" w:rsidRPr="00FD7B0B" w:rsidRDefault="005A472F" w:rsidP="00BE64F6">
            <w:pPr>
              <w:spacing w:after="0" w:line="240" w:lineRule="auto"/>
              <w:ind w:left="-78"/>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r>
      <w:tr w:rsidR="00FD7B0B" w:rsidRPr="00FD7B0B" w14:paraId="0AB015C9" w14:textId="77777777" w:rsidTr="00123063">
        <w:trPr>
          <w:trHeight w:val="245"/>
        </w:trPr>
        <w:tc>
          <w:tcPr>
            <w:tcW w:w="5192" w:type="dxa"/>
            <w:shd w:val="clear" w:color="auto" w:fill="auto"/>
            <w:vAlign w:val="bottom"/>
            <w:hideMark/>
          </w:tcPr>
          <w:p w14:paraId="57EB8C83"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Оборот розничной торговли (индекс физического объема), %</w:t>
            </w:r>
          </w:p>
        </w:tc>
        <w:tc>
          <w:tcPr>
            <w:tcW w:w="1164" w:type="dxa"/>
            <w:shd w:val="clear" w:color="auto" w:fill="auto"/>
            <w:vAlign w:val="bottom"/>
            <w:hideMark/>
          </w:tcPr>
          <w:p w14:paraId="027A709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107,20</w:t>
            </w:r>
          </w:p>
        </w:tc>
        <w:tc>
          <w:tcPr>
            <w:tcW w:w="1134" w:type="dxa"/>
            <w:shd w:val="clear" w:color="auto" w:fill="auto"/>
            <w:vAlign w:val="bottom"/>
            <w:hideMark/>
          </w:tcPr>
          <w:p w14:paraId="2E3EBD2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104,00</w:t>
            </w:r>
          </w:p>
        </w:tc>
        <w:tc>
          <w:tcPr>
            <w:tcW w:w="1134" w:type="dxa"/>
            <w:shd w:val="clear" w:color="auto" w:fill="auto"/>
            <w:vAlign w:val="bottom"/>
            <w:hideMark/>
          </w:tcPr>
          <w:p w14:paraId="37EC638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100,00</w:t>
            </w:r>
          </w:p>
        </w:tc>
        <w:tc>
          <w:tcPr>
            <w:tcW w:w="1134" w:type="dxa"/>
            <w:shd w:val="clear" w:color="auto" w:fill="auto"/>
            <w:noWrap/>
            <w:vAlign w:val="bottom"/>
            <w:hideMark/>
          </w:tcPr>
          <w:p w14:paraId="02B23BE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100,39</w:t>
            </w:r>
          </w:p>
        </w:tc>
      </w:tr>
      <w:tr w:rsidR="00FD7B0B" w:rsidRPr="00FD7B0B" w14:paraId="1DEAACD2" w14:textId="77777777" w:rsidTr="00BE64F6">
        <w:trPr>
          <w:trHeight w:val="403"/>
        </w:trPr>
        <w:tc>
          <w:tcPr>
            <w:tcW w:w="5192" w:type="dxa"/>
            <w:shd w:val="clear" w:color="auto" w:fill="auto"/>
            <w:vAlign w:val="bottom"/>
            <w:hideMark/>
          </w:tcPr>
          <w:p w14:paraId="20407AD8"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Объем платных услуг населению (в сопоставимых ценах), %</w:t>
            </w:r>
          </w:p>
        </w:tc>
        <w:tc>
          <w:tcPr>
            <w:tcW w:w="1164" w:type="dxa"/>
            <w:shd w:val="clear" w:color="auto" w:fill="auto"/>
            <w:vAlign w:val="bottom"/>
            <w:hideMark/>
          </w:tcPr>
          <w:p w14:paraId="64B56B2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103,30</w:t>
            </w:r>
          </w:p>
        </w:tc>
        <w:tc>
          <w:tcPr>
            <w:tcW w:w="1134" w:type="dxa"/>
            <w:shd w:val="clear" w:color="auto" w:fill="auto"/>
            <w:vAlign w:val="bottom"/>
            <w:hideMark/>
          </w:tcPr>
          <w:p w14:paraId="1EDBA43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100,20</w:t>
            </w:r>
          </w:p>
        </w:tc>
        <w:tc>
          <w:tcPr>
            <w:tcW w:w="1134" w:type="dxa"/>
            <w:shd w:val="clear" w:color="auto" w:fill="auto"/>
            <w:vAlign w:val="bottom"/>
            <w:hideMark/>
          </w:tcPr>
          <w:p w14:paraId="6B36F42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102,40</w:t>
            </w:r>
          </w:p>
        </w:tc>
        <w:tc>
          <w:tcPr>
            <w:tcW w:w="1134" w:type="dxa"/>
            <w:shd w:val="clear" w:color="auto" w:fill="auto"/>
            <w:noWrap/>
            <w:vAlign w:val="bottom"/>
            <w:hideMark/>
          </w:tcPr>
          <w:p w14:paraId="364205F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102,87</w:t>
            </w:r>
          </w:p>
        </w:tc>
      </w:tr>
      <w:tr w:rsidR="00FD7B0B" w:rsidRPr="00FD7B0B" w14:paraId="38B4810B" w14:textId="77777777" w:rsidTr="00BE64F6">
        <w:trPr>
          <w:trHeight w:val="246"/>
        </w:trPr>
        <w:tc>
          <w:tcPr>
            <w:tcW w:w="5192" w:type="dxa"/>
            <w:shd w:val="clear" w:color="auto" w:fill="auto"/>
            <w:vAlign w:val="bottom"/>
            <w:hideMark/>
          </w:tcPr>
          <w:p w14:paraId="4EF4A597"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Индекс потребительских цен (среднегодовой, %)</w:t>
            </w:r>
          </w:p>
        </w:tc>
        <w:tc>
          <w:tcPr>
            <w:tcW w:w="1164" w:type="dxa"/>
            <w:shd w:val="clear" w:color="auto" w:fill="auto"/>
            <w:vAlign w:val="bottom"/>
            <w:hideMark/>
          </w:tcPr>
          <w:p w14:paraId="1A817FA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108,50</w:t>
            </w:r>
          </w:p>
        </w:tc>
        <w:tc>
          <w:tcPr>
            <w:tcW w:w="1134" w:type="dxa"/>
            <w:shd w:val="clear" w:color="auto" w:fill="auto"/>
            <w:vAlign w:val="bottom"/>
            <w:hideMark/>
          </w:tcPr>
          <w:p w14:paraId="7509FAE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c>
          <w:tcPr>
            <w:tcW w:w="1134" w:type="dxa"/>
            <w:shd w:val="clear" w:color="auto" w:fill="auto"/>
            <w:vAlign w:val="bottom"/>
            <w:hideMark/>
          </w:tcPr>
          <w:p w14:paraId="1AEC8C8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108,20</w:t>
            </w:r>
          </w:p>
        </w:tc>
        <w:tc>
          <w:tcPr>
            <w:tcW w:w="1134" w:type="dxa"/>
            <w:shd w:val="clear" w:color="auto" w:fill="auto"/>
            <w:noWrap/>
            <w:vAlign w:val="bottom"/>
            <w:hideMark/>
          </w:tcPr>
          <w:p w14:paraId="7FD8BC1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107,79</w:t>
            </w:r>
          </w:p>
        </w:tc>
      </w:tr>
      <w:tr w:rsidR="00FD7B0B" w:rsidRPr="00FD7B0B" w14:paraId="6271BB9E" w14:textId="77777777" w:rsidTr="00BE64F6">
        <w:trPr>
          <w:trHeight w:val="533"/>
        </w:trPr>
        <w:tc>
          <w:tcPr>
            <w:tcW w:w="5192" w:type="dxa"/>
            <w:shd w:val="clear" w:color="auto" w:fill="auto"/>
            <w:vAlign w:val="bottom"/>
            <w:hideMark/>
          </w:tcPr>
          <w:p w14:paraId="7FC74FF2"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Индекс потребительских цен (декабрь, в % к декабрю предыдущего периода)</w:t>
            </w:r>
          </w:p>
        </w:tc>
        <w:tc>
          <w:tcPr>
            <w:tcW w:w="1164" w:type="dxa"/>
            <w:shd w:val="clear" w:color="auto" w:fill="auto"/>
            <w:vAlign w:val="bottom"/>
            <w:hideMark/>
          </w:tcPr>
          <w:p w14:paraId="1C52E5A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109,50</w:t>
            </w:r>
          </w:p>
        </w:tc>
        <w:tc>
          <w:tcPr>
            <w:tcW w:w="1134" w:type="dxa"/>
            <w:shd w:val="clear" w:color="auto" w:fill="auto"/>
            <w:vAlign w:val="bottom"/>
            <w:hideMark/>
          </w:tcPr>
          <w:p w14:paraId="334149D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109,30</w:t>
            </w:r>
          </w:p>
        </w:tc>
        <w:tc>
          <w:tcPr>
            <w:tcW w:w="1134" w:type="dxa"/>
            <w:shd w:val="clear" w:color="auto" w:fill="auto"/>
            <w:vAlign w:val="bottom"/>
            <w:hideMark/>
          </w:tcPr>
          <w:p w14:paraId="6ABB18A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108,10</w:t>
            </w:r>
          </w:p>
        </w:tc>
        <w:tc>
          <w:tcPr>
            <w:tcW w:w="1134" w:type="dxa"/>
            <w:shd w:val="clear" w:color="auto" w:fill="auto"/>
            <w:noWrap/>
            <w:vAlign w:val="bottom"/>
            <w:hideMark/>
          </w:tcPr>
          <w:p w14:paraId="26AD53B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106,61</w:t>
            </w:r>
          </w:p>
        </w:tc>
      </w:tr>
      <w:tr w:rsidR="00FD7B0B" w:rsidRPr="00FD7B0B" w14:paraId="2E352C00" w14:textId="77777777" w:rsidTr="00BE64F6">
        <w:trPr>
          <w:trHeight w:val="194"/>
        </w:trPr>
        <w:tc>
          <w:tcPr>
            <w:tcW w:w="9758" w:type="dxa"/>
            <w:gridSpan w:val="5"/>
            <w:shd w:val="clear" w:color="auto" w:fill="auto"/>
            <w:vAlign w:val="center"/>
            <w:hideMark/>
          </w:tcPr>
          <w:p w14:paraId="40378D51" w14:textId="77777777" w:rsidR="005A472F" w:rsidRPr="00FD7B0B" w:rsidRDefault="005A472F" w:rsidP="00BE64F6">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 xml:space="preserve">Индексы цен производителей (декабрь, в % к декабрю предыдущего периода), %: </w:t>
            </w:r>
          </w:p>
        </w:tc>
      </w:tr>
      <w:tr w:rsidR="00FD7B0B" w:rsidRPr="00FD7B0B" w14:paraId="6E5B7F77" w14:textId="77777777" w:rsidTr="00383388">
        <w:trPr>
          <w:trHeight w:val="267"/>
        </w:trPr>
        <w:tc>
          <w:tcPr>
            <w:tcW w:w="5192" w:type="dxa"/>
            <w:shd w:val="clear" w:color="auto" w:fill="auto"/>
            <w:vAlign w:val="bottom"/>
            <w:hideMark/>
          </w:tcPr>
          <w:p w14:paraId="48E5D218" w14:textId="77777777" w:rsidR="005A472F" w:rsidRPr="00FD7B0B" w:rsidRDefault="005A472F" w:rsidP="00BE64F6">
            <w:pPr>
              <w:spacing w:after="0" w:line="240" w:lineRule="auto"/>
              <w:ind w:firstLineChars="5" w:firstLine="11"/>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 промышленных товаров (для реализации на внутреннем рынке), </w:t>
            </w:r>
          </w:p>
        </w:tc>
        <w:tc>
          <w:tcPr>
            <w:tcW w:w="1164" w:type="dxa"/>
            <w:shd w:val="clear" w:color="auto" w:fill="auto"/>
            <w:vAlign w:val="bottom"/>
            <w:hideMark/>
          </w:tcPr>
          <w:p w14:paraId="33B9B13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107,90</w:t>
            </w:r>
          </w:p>
        </w:tc>
        <w:tc>
          <w:tcPr>
            <w:tcW w:w="1134" w:type="dxa"/>
            <w:shd w:val="clear" w:color="auto" w:fill="auto"/>
            <w:vAlign w:val="bottom"/>
            <w:hideMark/>
          </w:tcPr>
          <w:p w14:paraId="75D17F2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108,00</w:t>
            </w:r>
          </w:p>
        </w:tc>
        <w:tc>
          <w:tcPr>
            <w:tcW w:w="1134" w:type="dxa"/>
            <w:shd w:val="clear" w:color="auto" w:fill="auto"/>
            <w:vAlign w:val="bottom"/>
            <w:hideMark/>
          </w:tcPr>
          <w:p w14:paraId="0107B6A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109,50</w:t>
            </w:r>
          </w:p>
        </w:tc>
        <w:tc>
          <w:tcPr>
            <w:tcW w:w="1134" w:type="dxa"/>
            <w:shd w:val="clear" w:color="auto" w:fill="auto"/>
            <w:noWrap/>
            <w:vAlign w:val="bottom"/>
            <w:hideMark/>
          </w:tcPr>
          <w:p w14:paraId="1FF753E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r>
      <w:tr w:rsidR="00FD7B0B" w:rsidRPr="00FD7B0B" w14:paraId="79D07978" w14:textId="77777777" w:rsidTr="00BE64F6">
        <w:trPr>
          <w:trHeight w:val="174"/>
        </w:trPr>
        <w:tc>
          <w:tcPr>
            <w:tcW w:w="5192" w:type="dxa"/>
            <w:shd w:val="clear" w:color="auto" w:fill="auto"/>
            <w:vAlign w:val="bottom"/>
            <w:hideMark/>
          </w:tcPr>
          <w:p w14:paraId="4735F1CD" w14:textId="77777777" w:rsidR="005A472F" w:rsidRPr="00FD7B0B" w:rsidRDefault="005A472F" w:rsidP="00BE64F6">
            <w:pPr>
              <w:spacing w:after="0" w:line="240" w:lineRule="auto"/>
              <w:ind w:firstLineChars="5" w:firstLine="11"/>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 сельскохозяйственной продукции</w:t>
            </w:r>
          </w:p>
        </w:tc>
        <w:tc>
          <w:tcPr>
            <w:tcW w:w="1164" w:type="dxa"/>
            <w:shd w:val="clear" w:color="auto" w:fill="auto"/>
            <w:vAlign w:val="bottom"/>
            <w:hideMark/>
          </w:tcPr>
          <w:p w14:paraId="7B8A278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105,90</w:t>
            </w:r>
          </w:p>
        </w:tc>
        <w:tc>
          <w:tcPr>
            <w:tcW w:w="1134" w:type="dxa"/>
            <w:shd w:val="clear" w:color="auto" w:fill="auto"/>
            <w:vAlign w:val="bottom"/>
            <w:hideMark/>
          </w:tcPr>
          <w:p w14:paraId="7E1C438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100,50</w:t>
            </w:r>
          </w:p>
        </w:tc>
        <w:tc>
          <w:tcPr>
            <w:tcW w:w="1134" w:type="dxa"/>
            <w:shd w:val="clear" w:color="auto" w:fill="auto"/>
            <w:vAlign w:val="bottom"/>
            <w:hideMark/>
          </w:tcPr>
          <w:p w14:paraId="1D56B2A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119,30</w:t>
            </w:r>
          </w:p>
        </w:tc>
        <w:tc>
          <w:tcPr>
            <w:tcW w:w="1134" w:type="dxa"/>
            <w:shd w:val="clear" w:color="auto" w:fill="auto"/>
            <w:noWrap/>
            <w:vAlign w:val="bottom"/>
            <w:hideMark/>
          </w:tcPr>
          <w:p w14:paraId="2210CE8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r>
      <w:tr w:rsidR="00FD7B0B" w:rsidRPr="00FD7B0B" w14:paraId="1543D5C5" w14:textId="77777777" w:rsidTr="00123063">
        <w:trPr>
          <w:trHeight w:val="165"/>
        </w:trPr>
        <w:tc>
          <w:tcPr>
            <w:tcW w:w="5192" w:type="dxa"/>
            <w:shd w:val="clear" w:color="auto" w:fill="auto"/>
            <w:vAlign w:val="bottom"/>
            <w:hideMark/>
          </w:tcPr>
          <w:p w14:paraId="4DD0DBAA" w14:textId="77777777" w:rsidR="005A472F" w:rsidRPr="00FD7B0B" w:rsidRDefault="005A472F" w:rsidP="00BE64F6">
            <w:pPr>
              <w:spacing w:after="0" w:line="240" w:lineRule="auto"/>
              <w:ind w:firstLineChars="5" w:firstLine="11"/>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 строительной продукции</w:t>
            </w:r>
          </w:p>
        </w:tc>
        <w:tc>
          <w:tcPr>
            <w:tcW w:w="1164" w:type="dxa"/>
            <w:shd w:val="clear" w:color="auto" w:fill="auto"/>
            <w:vAlign w:val="bottom"/>
            <w:hideMark/>
          </w:tcPr>
          <w:p w14:paraId="6087F85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107,70</w:t>
            </w:r>
          </w:p>
        </w:tc>
        <w:tc>
          <w:tcPr>
            <w:tcW w:w="1134" w:type="dxa"/>
            <w:shd w:val="clear" w:color="auto" w:fill="auto"/>
            <w:vAlign w:val="bottom"/>
            <w:hideMark/>
          </w:tcPr>
          <w:p w14:paraId="5B4E73B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107,20</w:t>
            </w:r>
          </w:p>
        </w:tc>
        <w:tc>
          <w:tcPr>
            <w:tcW w:w="1134" w:type="dxa"/>
            <w:shd w:val="clear" w:color="auto" w:fill="auto"/>
            <w:vAlign w:val="bottom"/>
            <w:hideMark/>
          </w:tcPr>
          <w:p w14:paraId="6BBB604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104,60</w:t>
            </w:r>
          </w:p>
        </w:tc>
        <w:tc>
          <w:tcPr>
            <w:tcW w:w="1134" w:type="dxa"/>
            <w:shd w:val="clear" w:color="auto" w:fill="auto"/>
            <w:noWrap/>
            <w:vAlign w:val="bottom"/>
            <w:hideMark/>
          </w:tcPr>
          <w:p w14:paraId="0E6A0B6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r>
      <w:tr w:rsidR="00FD7B0B" w:rsidRPr="00FD7B0B" w14:paraId="38A2CAAE" w14:textId="77777777" w:rsidTr="00BE64F6">
        <w:trPr>
          <w:trHeight w:val="1695"/>
        </w:trPr>
        <w:tc>
          <w:tcPr>
            <w:tcW w:w="5192" w:type="dxa"/>
            <w:shd w:val="clear" w:color="auto" w:fill="auto"/>
            <w:hideMark/>
          </w:tcPr>
          <w:p w14:paraId="666CA342" w14:textId="77777777" w:rsidR="005A472F" w:rsidRPr="00FD7B0B" w:rsidRDefault="005A472F" w:rsidP="00BE64F6">
            <w:pPr>
              <w:spacing w:after="0" w:line="240" w:lineRule="auto"/>
              <w:ind w:firstLineChars="5" w:firstLine="11"/>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 сводный индекс цен на продукцию (затраты, услуги) инвестиционного назначения) (декабрь, в % к декабрю предыдущего периода),- с апреля 2022 г. по март 2023 г. данные рассчитаны без учета влияния валютного курса на цены приобретения импортных машин и оборудования инвестиционного назначения</w:t>
            </w:r>
          </w:p>
        </w:tc>
        <w:tc>
          <w:tcPr>
            <w:tcW w:w="1164" w:type="dxa"/>
            <w:shd w:val="clear" w:color="auto" w:fill="auto"/>
            <w:vAlign w:val="bottom"/>
            <w:hideMark/>
          </w:tcPr>
          <w:p w14:paraId="70BFF9C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108,10</w:t>
            </w:r>
          </w:p>
        </w:tc>
        <w:tc>
          <w:tcPr>
            <w:tcW w:w="1134" w:type="dxa"/>
            <w:shd w:val="clear" w:color="auto" w:fill="auto"/>
            <w:vAlign w:val="bottom"/>
            <w:hideMark/>
          </w:tcPr>
          <w:p w14:paraId="0FDD7F1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c>
          <w:tcPr>
            <w:tcW w:w="1134" w:type="dxa"/>
            <w:shd w:val="clear" w:color="auto" w:fill="auto"/>
            <w:vAlign w:val="bottom"/>
            <w:hideMark/>
          </w:tcPr>
          <w:p w14:paraId="3F605EC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107,50</w:t>
            </w:r>
          </w:p>
        </w:tc>
        <w:tc>
          <w:tcPr>
            <w:tcW w:w="1134" w:type="dxa"/>
            <w:shd w:val="clear" w:color="auto" w:fill="auto"/>
            <w:noWrap/>
            <w:vAlign w:val="bottom"/>
            <w:hideMark/>
          </w:tcPr>
          <w:p w14:paraId="6F1FF91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r>
      <w:tr w:rsidR="00FD7B0B" w:rsidRPr="00FD7B0B" w14:paraId="777C5A86" w14:textId="77777777" w:rsidTr="00BE64F6">
        <w:trPr>
          <w:trHeight w:val="137"/>
        </w:trPr>
        <w:tc>
          <w:tcPr>
            <w:tcW w:w="5192" w:type="dxa"/>
            <w:shd w:val="clear" w:color="auto" w:fill="auto"/>
            <w:vAlign w:val="bottom"/>
            <w:hideMark/>
          </w:tcPr>
          <w:p w14:paraId="58465664" w14:textId="77777777" w:rsidR="005A472F" w:rsidRPr="00FD7B0B" w:rsidRDefault="005A472F" w:rsidP="00BE64F6">
            <w:pPr>
              <w:spacing w:after="0" w:line="240" w:lineRule="auto"/>
              <w:ind w:firstLineChars="5" w:firstLine="11"/>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-индекс тарифов на грузовые перевозки</w:t>
            </w:r>
          </w:p>
        </w:tc>
        <w:tc>
          <w:tcPr>
            <w:tcW w:w="1164" w:type="dxa"/>
            <w:shd w:val="clear" w:color="auto" w:fill="auto"/>
            <w:vAlign w:val="bottom"/>
            <w:hideMark/>
          </w:tcPr>
          <w:p w14:paraId="1D6D2AB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113,70</w:t>
            </w:r>
          </w:p>
        </w:tc>
        <w:tc>
          <w:tcPr>
            <w:tcW w:w="1134" w:type="dxa"/>
            <w:shd w:val="clear" w:color="auto" w:fill="auto"/>
            <w:vAlign w:val="bottom"/>
            <w:hideMark/>
          </w:tcPr>
          <w:p w14:paraId="000CC05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108,00</w:t>
            </w:r>
          </w:p>
        </w:tc>
        <w:tc>
          <w:tcPr>
            <w:tcW w:w="1134" w:type="dxa"/>
            <w:shd w:val="clear" w:color="auto" w:fill="auto"/>
            <w:vAlign w:val="bottom"/>
            <w:hideMark/>
          </w:tcPr>
          <w:p w14:paraId="043CA2B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105,30</w:t>
            </w:r>
          </w:p>
        </w:tc>
        <w:tc>
          <w:tcPr>
            <w:tcW w:w="1134" w:type="dxa"/>
            <w:shd w:val="clear" w:color="auto" w:fill="auto"/>
            <w:noWrap/>
            <w:vAlign w:val="bottom"/>
            <w:hideMark/>
          </w:tcPr>
          <w:p w14:paraId="253B857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r>
      <w:tr w:rsidR="00FD7B0B" w:rsidRPr="00FD7B0B" w14:paraId="172593F3" w14:textId="77777777" w:rsidTr="00BE64F6">
        <w:trPr>
          <w:trHeight w:val="737"/>
        </w:trPr>
        <w:tc>
          <w:tcPr>
            <w:tcW w:w="5192" w:type="dxa"/>
            <w:shd w:val="clear" w:color="auto" w:fill="auto"/>
            <w:hideMark/>
          </w:tcPr>
          <w:p w14:paraId="78A9C00F"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Численность официально зарегистрированных безработных (на конец декабря 2024 г.), тыс. человек</w:t>
            </w:r>
          </w:p>
        </w:tc>
        <w:tc>
          <w:tcPr>
            <w:tcW w:w="1164" w:type="dxa"/>
            <w:shd w:val="clear" w:color="auto" w:fill="auto"/>
            <w:vAlign w:val="bottom"/>
            <w:hideMark/>
          </w:tcPr>
          <w:p w14:paraId="233A098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289,20</w:t>
            </w:r>
          </w:p>
        </w:tc>
        <w:tc>
          <w:tcPr>
            <w:tcW w:w="1134" w:type="dxa"/>
            <w:shd w:val="clear" w:color="auto" w:fill="auto"/>
            <w:vAlign w:val="bottom"/>
            <w:hideMark/>
          </w:tcPr>
          <w:p w14:paraId="048CEA5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27,20</w:t>
            </w:r>
          </w:p>
        </w:tc>
        <w:tc>
          <w:tcPr>
            <w:tcW w:w="1134" w:type="dxa"/>
            <w:shd w:val="clear" w:color="auto" w:fill="auto"/>
            <w:vAlign w:val="bottom"/>
            <w:hideMark/>
          </w:tcPr>
          <w:p w14:paraId="2D070B6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4,00</w:t>
            </w:r>
          </w:p>
        </w:tc>
        <w:tc>
          <w:tcPr>
            <w:tcW w:w="1134" w:type="dxa"/>
            <w:shd w:val="clear" w:color="auto" w:fill="auto"/>
            <w:noWrap/>
            <w:vAlign w:val="bottom"/>
            <w:hideMark/>
          </w:tcPr>
          <w:p w14:paraId="024E768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4,00</w:t>
            </w:r>
          </w:p>
        </w:tc>
      </w:tr>
      <w:tr w:rsidR="00FD7B0B" w:rsidRPr="00FD7B0B" w14:paraId="5678A2E6" w14:textId="77777777" w:rsidTr="00BE64F6">
        <w:trPr>
          <w:trHeight w:val="393"/>
        </w:trPr>
        <w:tc>
          <w:tcPr>
            <w:tcW w:w="5192" w:type="dxa"/>
            <w:shd w:val="clear" w:color="auto" w:fill="auto"/>
            <w:vAlign w:val="bottom"/>
            <w:hideMark/>
          </w:tcPr>
          <w:p w14:paraId="17A99DA2"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Уровень безработицы в среднем за месяц (по критериям МОТ), %</w:t>
            </w:r>
          </w:p>
        </w:tc>
        <w:tc>
          <w:tcPr>
            <w:tcW w:w="1164" w:type="dxa"/>
            <w:shd w:val="clear" w:color="auto" w:fill="auto"/>
            <w:vAlign w:val="bottom"/>
            <w:hideMark/>
          </w:tcPr>
          <w:p w14:paraId="61111DD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2,3</w:t>
            </w:r>
          </w:p>
        </w:tc>
        <w:tc>
          <w:tcPr>
            <w:tcW w:w="1134" w:type="dxa"/>
            <w:shd w:val="clear" w:color="auto" w:fill="auto"/>
            <w:vAlign w:val="bottom"/>
            <w:hideMark/>
          </w:tcPr>
          <w:p w14:paraId="68B3116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2,20</w:t>
            </w:r>
          </w:p>
        </w:tc>
        <w:tc>
          <w:tcPr>
            <w:tcW w:w="1134" w:type="dxa"/>
            <w:shd w:val="clear" w:color="auto" w:fill="auto"/>
            <w:vAlign w:val="bottom"/>
            <w:hideMark/>
          </w:tcPr>
          <w:p w14:paraId="38AF9B1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2,7 </w:t>
            </w:r>
          </w:p>
        </w:tc>
        <w:tc>
          <w:tcPr>
            <w:tcW w:w="1134" w:type="dxa"/>
            <w:shd w:val="clear" w:color="auto" w:fill="auto"/>
            <w:noWrap/>
            <w:vAlign w:val="bottom"/>
            <w:hideMark/>
          </w:tcPr>
          <w:p w14:paraId="43DED40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4,27</w:t>
            </w:r>
          </w:p>
        </w:tc>
      </w:tr>
      <w:tr w:rsidR="00FD7B0B" w:rsidRPr="00FD7B0B" w14:paraId="10F98869" w14:textId="77777777" w:rsidTr="00BE64F6">
        <w:trPr>
          <w:trHeight w:val="465"/>
        </w:trPr>
        <w:tc>
          <w:tcPr>
            <w:tcW w:w="5192" w:type="dxa"/>
            <w:shd w:val="clear" w:color="auto" w:fill="auto"/>
            <w:vAlign w:val="bottom"/>
            <w:hideMark/>
          </w:tcPr>
          <w:p w14:paraId="6D0E3EA6"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Естественный прирост (+), убыль (-) населения, чел. на 1000 человек населения</w:t>
            </w:r>
          </w:p>
        </w:tc>
        <w:tc>
          <w:tcPr>
            <w:tcW w:w="1164" w:type="dxa"/>
            <w:shd w:val="clear" w:color="auto" w:fill="auto"/>
            <w:vAlign w:val="bottom"/>
            <w:hideMark/>
          </w:tcPr>
          <w:p w14:paraId="5686522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-4,10</w:t>
            </w:r>
          </w:p>
        </w:tc>
        <w:tc>
          <w:tcPr>
            <w:tcW w:w="1134" w:type="dxa"/>
            <w:shd w:val="clear" w:color="auto" w:fill="auto"/>
            <w:vAlign w:val="bottom"/>
            <w:hideMark/>
          </w:tcPr>
          <w:p w14:paraId="7A097E2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-5,00</w:t>
            </w:r>
          </w:p>
        </w:tc>
        <w:tc>
          <w:tcPr>
            <w:tcW w:w="1134" w:type="dxa"/>
            <w:shd w:val="clear" w:color="auto" w:fill="auto"/>
            <w:vAlign w:val="bottom"/>
            <w:hideMark/>
          </w:tcPr>
          <w:p w14:paraId="5939608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-7,30</w:t>
            </w:r>
          </w:p>
        </w:tc>
        <w:tc>
          <w:tcPr>
            <w:tcW w:w="1134" w:type="dxa"/>
            <w:shd w:val="clear" w:color="auto" w:fill="auto"/>
            <w:noWrap/>
            <w:vAlign w:val="bottom"/>
            <w:hideMark/>
          </w:tcPr>
          <w:p w14:paraId="0939FF0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-6,83</w:t>
            </w:r>
          </w:p>
        </w:tc>
      </w:tr>
      <w:tr w:rsidR="00FD7B0B" w:rsidRPr="00FD7B0B" w14:paraId="4BAD50CF" w14:textId="77777777" w:rsidTr="00BE64F6">
        <w:trPr>
          <w:trHeight w:val="281"/>
        </w:trPr>
        <w:tc>
          <w:tcPr>
            <w:tcW w:w="5192" w:type="dxa"/>
            <w:shd w:val="clear" w:color="auto" w:fill="auto"/>
            <w:vAlign w:val="bottom"/>
            <w:hideMark/>
          </w:tcPr>
          <w:p w14:paraId="4FF2E7F4"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Миграционный прирост (+), убыль (-), человек (предварительные данные)</w:t>
            </w:r>
          </w:p>
        </w:tc>
        <w:tc>
          <w:tcPr>
            <w:tcW w:w="1164" w:type="dxa"/>
            <w:shd w:val="clear" w:color="auto" w:fill="auto"/>
            <w:vAlign w:val="bottom"/>
            <w:hideMark/>
          </w:tcPr>
          <w:p w14:paraId="34B9643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568 521,0</w:t>
            </w:r>
          </w:p>
        </w:tc>
        <w:tc>
          <w:tcPr>
            <w:tcW w:w="1134" w:type="dxa"/>
            <w:shd w:val="clear" w:color="auto" w:fill="auto"/>
            <w:vAlign w:val="bottom"/>
            <w:hideMark/>
          </w:tcPr>
          <w:p w14:paraId="474767E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105 789,0</w:t>
            </w:r>
          </w:p>
        </w:tc>
        <w:tc>
          <w:tcPr>
            <w:tcW w:w="1134" w:type="dxa"/>
            <w:shd w:val="clear" w:color="auto" w:fill="auto"/>
            <w:vAlign w:val="bottom"/>
            <w:hideMark/>
          </w:tcPr>
          <w:p w14:paraId="1968F5E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-1 420,0</w:t>
            </w:r>
          </w:p>
        </w:tc>
        <w:tc>
          <w:tcPr>
            <w:tcW w:w="1134" w:type="dxa"/>
            <w:shd w:val="clear" w:color="auto" w:fill="auto"/>
            <w:noWrap/>
            <w:vAlign w:val="bottom"/>
            <w:hideMark/>
          </w:tcPr>
          <w:p w14:paraId="6AAEB6F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-2 199,0</w:t>
            </w:r>
          </w:p>
        </w:tc>
      </w:tr>
      <w:tr w:rsidR="00FD7B0B" w:rsidRPr="00FD7B0B" w14:paraId="4156997F" w14:textId="77777777" w:rsidTr="00BE64F6">
        <w:trPr>
          <w:trHeight w:val="296"/>
        </w:trPr>
        <w:tc>
          <w:tcPr>
            <w:tcW w:w="5192" w:type="dxa"/>
            <w:shd w:val="clear" w:color="auto" w:fill="auto"/>
            <w:vAlign w:val="bottom"/>
            <w:hideMark/>
          </w:tcPr>
          <w:p w14:paraId="5301E872"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Инвестиции в основной капитал (индекс физического объема), % к предыдущему году</w:t>
            </w:r>
          </w:p>
        </w:tc>
        <w:tc>
          <w:tcPr>
            <w:tcW w:w="1164" w:type="dxa"/>
            <w:shd w:val="clear" w:color="auto" w:fill="auto"/>
            <w:vAlign w:val="bottom"/>
            <w:hideMark/>
          </w:tcPr>
          <w:p w14:paraId="0B3F2FB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107,40</w:t>
            </w:r>
          </w:p>
        </w:tc>
        <w:tc>
          <w:tcPr>
            <w:tcW w:w="1134" w:type="dxa"/>
            <w:shd w:val="clear" w:color="auto" w:fill="auto"/>
            <w:vAlign w:val="bottom"/>
            <w:hideMark/>
          </w:tcPr>
          <w:p w14:paraId="1215375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115,60</w:t>
            </w:r>
          </w:p>
        </w:tc>
        <w:tc>
          <w:tcPr>
            <w:tcW w:w="1134" w:type="dxa"/>
            <w:shd w:val="clear" w:color="auto" w:fill="auto"/>
            <w:vAlign w:val="bottom"/>
            <w:hideMark/>
          </w:tcPr>
          <w:p w14:paraId="52F924F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85,30</w:t>
            </w:r>
          </w:p>
        </w:tc>
        <w:tc>
          <w:tcPr>
            <w:tcW w:w="1134" w:type="dxa"/>
            <w:shd w:val="clear" w:color="auto" w:fill="auto"/>
            <w:noWrap/>
            <w:vAlign w:val="bottom"/>
            <w:hideMark/>
          </w:tcPr>
          <w:p w14:paraId="3B0B736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92,00</w:t>
            </w:r>
          </w:p>
        </w:tc>
      </w:tr>
      <w:tr w:rsidR="00FD7B0B" w:rsidRPr="00FD7B0B" w14:paraId="495989E0" w14:textId="77777777" w:rsidTr="00BE64F6">
        <w:trPr>
          <w:trHeight w:val="234"/>
        </w:trPr>
        <w:tc>
          <w:tcPr>
            <w:tcW w:w="5192" w:type="dxa"/>
            <w:shd w:val="clear" w:color="auto" w:fill="auto"/>
            <w:vAlign w:val="bottom"/>
            <w:hideMark/>
          </w:tcPr>
          <w:p w14:paraId="324B72A2" w14:textId="77777777" w:rsidR="00FE51F3" w:rsidRPr="00FD7B0B" w:rsidRDefault="00FE51F3" w:rsidP="00FE51F3">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Реальные располагаемые денежные доходы населения, % (предварительные данные)</w:t>
            </w:r>
          </w:p>
        </w:tc>
        <w:tc>
          <w:tcPr>
            <w:tcW w:w="1164" w:type="dxa"/>
            <w:shd w:val="clear" w:color="auto" w:fill="auto"/>
            <w:vAlign w:val="bottom"/>
            <w:hideMark/>
          </w:tcPr>
          <w:p w14:paraId="13796DFF" w14:textId="7DF7454D"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107,30</w:t>
            </w:r>
          </w:p>
        </w:tc>
        <w:tc>
          <w:tcPr>
            <w:tcW w:w="1134" w:type="dxa"/>
            <w:shd w:val="clear" w:color="auto" w:fill="auto"/>
            <w:vAlign w:val="bottom"/>
            <w:hideMark/>
          </w:tcPr>
          <w:p w14:paraId="347D8B81" w14:textId="055C7872"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н.д.</w:t>
            </w:r>
          </w:p>
        </w:tc>
        <w:tc>
          <w:tcPr>
            <w:tcW w:w="1134" w:type="dxa"/>
            <w:shd w:val="clear" w:color="auto" w:fill="auto"/>
            <w:vAlign w:val="bottom"/>
            <w:hideMark/>
          </w:tcPr>
          <w:p w14:paraId="4F5DB2B9" w14:textId="3DD38551"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99,4</w:t>
            </w:r>
          </w:p>
        </w:tc>
        <w:tc>
          <w:tcPr>
            <w:tcW w:w="1134" w:type="dxa"/>
            <w:shd w:val="clear" w:color="auto" w:fill="auto"/>
            <w:noWrap/>
            <w:vAlign w:val="bottom"/>
            <w:hideMark/>
          </w:tcPr>
          <w:p w14:paraId="589E3B65" w14:textId="575ED004"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100,48</w:t>
            </w:r>
          </w:p>
        </w:tc>
      </w:tr>
      <w:tr w:rsidR="00FD7B0B" w:rsidRPr="00FD7B0B" w14:paraId="72690727" w14:textId="77777777" w:rsidTr="00BE64F6">
        <w:trPr>
          <w:trHeight w:val="70"/>
        </w:trPr>
        <w:tc>
          <w:tcPr>
            <w:tcW w:w="5192" w:type="dxa"/>
            <w:shd w:val="clear" w:color="auto" w:fill="auto"/>
            <w:vAlign w:val="bottom"/>
            <w:hideMark/>
          </w:tcPr>
          <w:p w14:paraId="0B0B3DB4" w14:textId="77777777" w:rsidR="00FE51F3" w:rsidRPr="00FD7B0B" w:rsidRDefault="00FE51F3" w:rsidP="00FE51F3">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Среднемесячная начисленная (номинальная) заработная плата одного работника, руб. (предварительные данные)</w:t>
            </w:r>
          </w:p>
        </w:tc>
        <w:tc>
          <w:tcPr>
            <w:tcW w:w="1164" w:type="dxa"/>
            <w:shd w:val="clear" w:color="auto" w:fill="auto"/>
            <w:vAlign w:val="bottom"/>
            <w:hideMark/>
          </w:tcPr>
          <w:p w14:paraId="494AE860" w14:textId="3644EEF9"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87 952,00</w:t>
            </w:r>
          </w:p>
        </w:tc>
        <w:tc>
          <w:tcPr>
            <w:tcW w:w="1134" w:type="dxa"/>
            <w:shd w:val="clear" w:color="auto" w:fill="auto"/>
            <w:vAlign w:val="bottom"/>
            <w:hideMark/>
          </w:tcPr>
          <w:p w14:paraId="59C17760" w14:textId="7D8DF5DE"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93 266,00</w:t>
            </w:r>
          </w:p>
        </w:tc>
        <w:tc>
          <w:tcPr>
            <w:tcW w:w="1134" w:type="dxa"/>
            <w:shd w:val="clear" w:color="auto" w:fill="auto"/>
            <w:vAlign w:val="bottom"/>
            <w:hideMark/>
          </w:tcPr>
          <w:p w14:paraId="6E0D892B" w14:textId="06C0CA11"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80 792,00</w:t>
            </w:r>
          </w:p>
        </w:tc>
        <w:tc>
          <w:tcPr>
            <w:tcW w:w="1134" w:type="dxa"/>
            <w:shd w:val="clear" w:color="auto" w:fill="auto"/>
            <w:noWrap/>
            <w:vAlign w:val="bottom"/>
            <w:hideMark/>
          </w:tcPr>
          <w:p w14:paraId="18543B06" w14:textId="0B3CB8D6"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81 825,35</w:t>
            </w:r>
          </w:p>
        </w:tc>
      </w:tr>
      <w:tr w:rsidR="00FD7B0B" w:rsidRPr="00FD7B0B" w14:paraId="7E080C4C" w14:textId="77777777" w:rsidTr="00BE64F6">
        <w:trPr>
          <w:trHeight w:val="284"/>
        </w:trPr>
        <w:tc>
          <w:tcPr>
            <w:tcW w:w="5192" w:type="dxa"/>
            <w:shd w:val="clear" w:color="auto" w:fill="auto"/>
            <w:vAlign w:val="bottom"/>
            <w:hideMark/>
          </w:tcPr>
          <w:p w14:paraId="4244694A" w14:textId="77777777" w:rsidR="00FE51F3" w:rsidRPr="00FD7B0B" w:rsidRDefault="00FE51F3" w:rsidP="00FE51F3">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 номинальная, % к пред. году (предварительные данные)</w:t>
            </w:r>
          </w:p>
        </w:tc>
        <w:tc>
          <w:tcPr>
            <w:tcW w:w="1164" w:type="dxa"/>
            <w:shd w:val="clear" w:color="auto" w:fill="auto"/>
            <w:vAlign w:val="bottom"/>
            <w:hideMark/>
          </w:tcPr>
          <w:p w14:paraId="55881B1E" w14:textId="0D776664"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118,30</w:t>
            </w:r>
          </w:p>
        </w:tc>
        <w:tc>
          <w:tcPr>
            <w:tcW w:w="1134" w:type="dxa"/>
            <w:shd w:val="clear" w:color="auto" w:fill="auto"/>
            <w:vAlign w:val="bottom"/>
            <w:hideMark/>
          </w:tcPr>
          <w:p w14:paraId="61852291" w14:textId="63E53222"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115,20</w:t>
            </w:r>
          </w:p>
        </w:tc>
        <w:tc>
          <w:tcPr>
            <w:tcW w:w="1134" w:type="dxa"/>
            <w:shd w:val="clear" w:color="auto" w:fill="auto"/>
            <w:vAlign w:val="bottom"/>
            <w:hideMark/>
          </w:tcPr>
          <w:p w14:paraId="4B8BF841" w14:textId="125CBC2F"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111,60</w:t>
            </w:r>
          </w:p>
        </w:tc>
        <w:tc>
          <w:tcPr>
            <w:tcW w:w="1134" w:type="dxa"/>
            <w:shd w:val="clear" w:color="auto" w:fill="auto"/>
            <w:noWrap/>
            <w:vAlign w:val="bottom"/>
            <w:hideMark/>
          </w:tcPr>
          <w:p w14:paraId="53BFBED0" w14:textId="076ADA63"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112,80</w:t>
            </w:r>
          </w:p>
        </w:tc>
      </w:tr>
      <w:tr w:rsidR="00FE51F3" w:rsidRPr="00FD7B0B" w14:paraId="56A065C4" w14:textId="77777777" w:rsidTr="00BE64F6">
        <w:trPr>
          <w:trHeight w:val="70"/>
        </w:trPr>
        <w:tc>
          <w:tcPr>
            <w:tcW w:w="5192" w:type="dxa"/>
            <w:shd w:val="clear" w:color="auto" w:fill="auto"/>
            <w:vAlign w:val="bottom"/>
            <w:hideMark/>
          </w:tcPr>
          <w:p w14:paraId="15CCBE8A" w14:textId="77777777" w:rsidR="00FE51F3" w:rsidRPr="00FD7B0B" w:rsidRDefault="00FE51F3" w:rsidP="00FE51F3">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 реальная, % к пред. году (предварительные данные)</w:t>
            </w:r>
          </w:p>
        </w:tc>
        <w:tc>
          <w:tcPr>
            <w:tcW w:w="1164" w:type="dxa"/>
            <w:shd w:val="clear" w:color="auto" w:fill="auto"/>
            <w:vAlign w:val="bottom"/>
            <w:hideMark/>
          </w:tcPr>
          <w:p w14:paraId="6AB68295" w14:textId="661AD1EB"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109,10</w:t>
            </w:r>
          </w:p>
        </w:tc>
        <w:tc>
          <w:tcPr>
            <w:tcW w:w="1134" w:type="dxa"/>
            <w:shd w:val="clear" w:color="auto" w:fill="auto"/>
            <w:vAlign w:val="bottom"/>
            <w:hideMark/>
          </w:tcPr>
          <w:p w14:paraId="76BC6EC9" w14:textId="091AD95D"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106,70</w:t>
            </w:r>
          </w:p>
        </w:tc>
        <w:tc>
          <w:tcPr>
            <w:tcW w:w="1134" w:type="dxa"/>
            <w:shd w:val="clear" w:color="auto" w:fill="auto"/>
            <w:vAlign w:val="bottom"/>
            <w:hideMark/>
          </w:tcPr>
          <w:p w14:paraId="35F2FAFF" w14:textId="485C0735"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103,10</w:t>
            </w:r>
          </w:p>
        </w:tc>
        <w:tc>
          <w:tcPr>
            <w:tcW w:w="1134" w:type="dxa"/>
            <w:shd w:val="clear" w:color="auto" w:fill="auto"/>
            <w:noWrap/>
            <w:vAlign w:val="bottom"/>
            <w:hideMark/>
          </w:tcPr>
          <w:p w14:paraId="4593EAB8" w14:textId="0434F0FD" w:rsidR="00FE51F3" w:rsidRPr="00FD7B0B" w:rsidRDefault="00FE51F3" w:rsidP="00FE51F3">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104,6</w:t>
            </w:r>
          </w:p>
        </w:tc>
      </w:tr>
    </w:tbl>
    <w:p w14:paraId="626CF0A2" w14:textId="77777777" w:rsidR="005A472F" w:rsidRPr="00FD7B0B" w:rsidRDefault="005A472F" w:rsidP="005A472F">
      <w:pPr>
        <w:pStyle w:val="ad"/>
        <w:ind w:firstLine="709"/>
        <w:jc w:val="both"/>
        <w:rPr>
          <w:rFonts w:ascii="Times New Roman" w:eastAsia="Times New Roman" w:hAnsi="Times New Roman"/>
          <w:sz w:val="28"/>
          <w:szCs w:val="28"/>
          <w:lang w:eastAsia="ru-RU"/>
        </w:rPr>
      </w:pPr>
      <w:bookmarkStart w:id="4" w:name="_Toc9262552"/>
      <w:bookmarkStart w:id="5" w:name="_Toc42006702"/>
      <w:bookmarkStart w:id="6" w:name="_Toc72822955"/>
      <w:bookmarkStart w:id="7" w:name="_Toc104284463"/>
      <w:bookmarkStart w:id="8" w:name="_Toc135659986"/>
    </w:p>
    <w:p w14:paraId="08586E4A" w14:textId="710F2C5D" w:rsidR="005A472F" w:rsidRPr="00FD7B0B" w:rsidRDefault="005A472F" w:rsidP="005A472F">
      <w:pPr>
        <w:pStyle w:val="ad"/>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2024 году отмечался рост объемов производства в ряде обрабатывающих отраслях (судостроение, судоремонт, производство напитков, бумажное производство и бумажных изделий, произв</w:t>
      </w:r>
      <w:r w:rsidR="00123063" w:rsidRPr="00FD7B0B">
        <w:rPr>
          <w:rFonts w:ascii="Times New Roman" w:eastAsia="Times New Roman" w:hAnsi="Times New Roman"/>
          <w:sz w:val="28"/>
          <w:szCs w:val="28"/>
          <w:lang w:eastAsia="ru-RU"/>
        </w:rPr>
        <w:t>одство металлургическое и др.).</w:t>
      </w:r>
    </w:p>
    <w:p w14:paraId="438BD4E4" w14:textId="77777777" w:rsidR="005A472F" w:rsidRPr="00FD7B0B" w:rsidRDefault="005A472F" w:rsidP="005A472F">
      <w:pPr>
        <w:pStyle w:val="2"/>
        <w:spacing w:before="120" w:after="0" w:line="240" w:lineRule="auto"/>
        <w:jc w:val="center"/>
        <w:rPr>
          <w:rFonts w:ascii="Times New Roman" w:hAnsi="Times New Roman"/>
          <w:lang w:val="ru-RU"/>
        </w:rPr>
      </w:pPr>
      <w:bookmarkStart w:id="9" w:name="_Toc167454817"/>
      <w:bookmarkStart w:id="10" w:name="_Toc198819114"/>
      <w:r w:rsidRPr="00FD7B0B">
        <w:rPr>
          <w:rFonts w:ascii="Times New Roman" w:hAnsi="Times New Roman"/>
          <w:lang w:val="ru-RU"/>
        </w:rPr>
        <w:lastRenderedPageBreak/>
        <w:t>1.1. Индекс промышленного производства</w:t>
      </w:r>
      <w:bookmarkEnd w:id="4"/>
      <w:bookmarkEnd w:id="5"/>
      <w:bookmarkEnd w:id="6"/>
      <w:bookmarkEnd w:id="7"/>
      <w:bookmarkEnd w:id="8"/>
      <w:bookmarkEnd w:id="9"/>
      <w:bookmarkEnd w:id="10"/>
    </w:p>
    <w:p w14:paraId="6672F7A8" w14:textId="74C80F33" w:rsidR="005A472F" w:rsidRPr="00FD7B0B" w:rsidRDefault="005A472F" w:rsidP="005A472F">
      <w:pPr>
        <w:pStyle w:val="ad"/>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Российской Федерации прирост в промышленности в среднем за год составил 4,6 п.п, по СЗФО – 5,3 п.п, в Архангельской области – 7,2 %</w:t>
      </w:r>
      <w:r w:rsidR="00686C61" w:rsidRPr="00FD7B0B">
        <w:rPr>
          <w:rFonts w:ascii="Times New Roman" w:eastAsia="Times New Roman" w:hAnsi="Times New Roman"/>
          <w:sz w:val="28"/>
          <w:szCs w:val="28"/>
          <w:lang w:eastAsia="ru-RU"/>
        </w:rPr>
        <w:t>.</w:t>
      </w:r>
    </w:p>
    <w:p w14:paraId="7C780BC9" w14:textId="16CB8428" w:rsidR="00CE6AA1" w:rsidRPr="00FD7B0B" w:rsidRDefault="00CE6AA1" w:rsidP="00CE6AA1">
      <w:pPr>
        <w:pStyle w:val="ad"/>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предварительным статистическим данным положительная динамика индекса промышленного производства в 2024 году к 2023-му установлена</w:t>
      </w:r>
      <w:r w:rsidR="00E2486A" w:rsidRPr="00FD7B0B">
        <w:rPr>
          <w:rFonts w:ascii="Times New Roman" w:eastAsia="Times New Roman" w:hAnsi="Times New Roman"/>
          <w:sz w:val="28"/>
          <w:szCs w:val="28"/>
          <w:lang w:eastAsia="ru-RU"/>
        </w:rPr>
        <w:t xml:space="preserve"> также</w:t>
      </w:r>
      <w:r w:rsidRPr="00FD7B0B">
        <w:rPr>
          <w:rFonts w:ascii="Times New Roman" w:eastAsia="Times New Roman" w:hAnsi="Times New Roman"/>
          <w:sz w:val="28"/>
          <w:szCs w:val="28"/>
          <w:lang w:eastAsia="ru-RU"/>
        </w:rPr>
        <w:t xml:space="preserve"> в Ленинградской области (+8,2 %), Псковской области (+7,7 %) и в г. Санкт-Петербург (+10,9 %), в остальных субъектах СЗФО незначительный рост или отрицательная динамика.</w:t>
      </w:r>
    </w:p>
    <w:p w14:paraId="39B1B4F5" w14:textId="739DEFFB"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Динамика индексов производства по Архангельской области в 2024 году к предыдущему году по видам экономической деятельности представлена в таблице </w:t>
      </w:r>
      <w:r w:rsidR="006B033D" w:rsidRPr="00FD7B0B">
        <w:rPr>
          <w:rFonts w:ascii="Times New Roman" w:hAnsi="Times New Roman"/>
          <w:sz w:val="28"/>
          <w:szCs w:val="28"/>
        </w:rPr>
        <w:t>2</w:t>
      </w:r>
      <w:r w:rsidRPr="00FD7B0B">
        <w:rPr>
          <w:rFonts w:ascii="Times New Roman" w:hAnsi="Times New Roman"/>
          <w:sz w:val="28"/>
          <w:szCs w:val="28"/>
        </w:rPr>
        <w:t>.</w:t>
      </w:r>
    </w:p>
    <w:p w14:paraId="7177E0E9" w14:textId="77777777" w:rsidR="005A472F" w:rsidRPr="00FD7B0B" w:rsidRDefault="005A472F" w:rsidP="005A472F">
      <w:pPr>
        <w:pStyle w:val="aff0"/>
        <w:spacing w:after="0" w:line="240" w:lineRule="auto"/>
        <w:rPr>
          <w:rFonts w:ascii="Times New Roman" w:hAnsi="Times New Roman"/>
          <w:b w:val="0"/>
          <w:sz w:val="24"/>
          <w:szCs w:val="24"/>
        </w:rPr>
      </w:pPr>
    </w:p>
    <w:p w14:paraId="1EFC368B"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w:t>
      </w:r>
      <w:r w:rsidRPr="00FD7B0B">
        <w:rPr>
          <w:rFonts w:ascii="Times New Roman" w:hAnsi="Times New Roman"/>
          <w:b w:val="0"/>
          <w:sz w:val="24"/>
          <w:szCs w:val="24"/>
        </w:rPr>
        <w:fldChar w:fldCharType="end"/>
      </w:r>
      <w:r w:rsidRPr="00FD7B0B">
        <w:rPr>
          <w:rFonts w:ascii="Times New Roman" w:hAnsi="Times New Roman"/>
          <w:b w:val="0"/>
          <w:sz w:val="24"/>
          <w:szCs w:val="24"/>
        </w:rPr>
        <w:t>. Динамика индексов промышленного производства по Архангельской области в 2023 году и 2024 году в разрезе отдельных видов экономической деятельности</w:t>
      </w:r>
    </w:p>
    <w:tbl>
      <w:tblPr>
        <w:tblW w:w="968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506"/>
        <w:gridCol w:w="1617"/>
        <w:gridCol w:w="1559"/>
      </w:tblGrid>
      <w:tr w:rsidR="00FD7B0B" w:rsidRPr="00FD7B0B" w14:paraId="09C6BBDD" w14:textId="77777777" w:rsidTr="00686C61">
        <w:trPr>
          <w:trHeight w:val="442"/>
          <w:tblHeader/>
          <w:jc w:val="center"/>
        </w:trPr>
        <w:tc>
          <w:tcPr>
            <w:tcW w:w="6506" w:type="dxa"/>
            <w:shd w:val="clear" w:color="auto" w:fill="auto"/>
            <w:vAlign w:val="center"/>
          </w:tcPr>
          <w:p w14:paraId="4CC53B8D" w14:textId="77777777" w:rsidR="005A472F" w:rsidRPr="00FD7B0B" w:rsidRDefault="005A472F" w:rsidP="00BE64F6">
            <w:pPr>
              <w:spacing w:after="0" w:line="240" w:lineRule="auto"/>
              <w:ind w:firstLine="19"/>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Индексы промышленного производства по отдельным видам экономической деятельности</w:t>
            </w:r>
          </w:p>
        </w:tc>
        <w:tc>
          <w:tcPr>
            <w:tcW w:w="1617" w:type="dxa"/>
            <w:vAlign w:val="center"/>
          </w:tcPr>
          <w:p w14:paraId="458A6DE2" w14:textId="77777777" w:rsidR="005A472F" w:rsidRPr="00FD7B0B" w:rsidRDefault="005A472F" w:rsidP="00BE64F6">
            <w:pPr>
              <w:spacing w:after="0" w:line="240" w:lineRule="auto"/>
              <w:ind w:left="-50"/>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Темпы роста 2023 г. к предыдущему году, %</w:t>
            </w:r>
            <w:r w:rsidRPr="00FD7B0B">
              <w:rPr>
                <w:rStyle w:val="afff1"/>
                <w:rFonts w:ascii="Times New Roman" w:eastAsia="Times New Roman" w:hAnsi="Times New Roman" w:cs="Times New Roman"/>
                <w:lang w:eastAsia="ru-RU"/>
              </w:rPr>
              <w:footnoteReference w:id="4"/>
            </w:r>
          </w:p>
        </w:tc>
        <w:tc>
          <w:tcPr>
            <w:tcW w:w="1559" w:type="dxa"/>
            <w:vAlign w:val="center"/>
          </w:tcPr>
          <w:p w14:paraId="6AA652E3"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Темпы роста 2024 г. к предыдущему году, %</w:t>
            </w:r>
          </w:p>
        </w:tc>
      </w:tr>
      <w:tr w:rsidR="00FD7B0B" w:rsidRPr="00FD7B0B" w14:paraId="4BF6ABAF" w14:textId="77777777" w:rsidTr="00686C61">
        <w:trPr>
          <w:trHeight w:val="255"/>
          <w:jc w:val="center"/>
        </w:trPr>
        <w:tc>
          <w:tcPr>
            <w:tcW w:w="6506" w:type="dxa"/>
            <w:shd w:val="clear" w:color="auto" w:fill="auto"/>
            <w:vAlign w:val="bottom"/>
            <w:hideMark/>
          </w:tcPr>
          <w:p w14:paraId="2821C841"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Добыча полезных ископаемых</w:t>
            </w:r>
          </w:p>
        </w:tc>
        <w:tc>
          <w:tcPr>
            <w:tcW w:w="1617" w:type="dxa"/>
          </w:tcPr>
          <w:p w14:paraId="330C3D95"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92,0</w:t>
            </w:r>
          </w:p>
        </w:tc>
        <w:tc>
          <w:tcPr>
            <w:tcW w:w="1559" w:type="dxa"/>
          </w:tcPr>
          <w:p w14:paraId="77A33A0B"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101,8</w:t>
            </w:r>
          </w:p>
        </w:tc>
      </w:tr>
      <w:tr w:rsidR="00FD7B0B" w:rsidRPr="00FD7B0B" w14:paraId="7DD0B6B5" w14:textId="77777777" w:rsidTr="00686C61">
        <w:trPr>
          <w:trHeight w:val="255"/>
          <w:jc w:val="center"/>
        </w:trPr>
        <w:tc>
          <w:tcPr>
            <w:tcW w:w="6506" w:type="dxa"/>
            <w:shd w:val="clear" w:color="auto" w:fill="auto"/>
            <w:vAlign w:val="bottom"/>
            <w:hideMark/>
          </w:tcPr>
          <w:p w14:paraId="512543CC"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Обрабатывающие производства</w:t>
            </w:r>
          </w:p>
        </w:tc>
        <w:tc>
          <w:tcPr>
            <w:tcW w:w="1617" w:type="dxa"/>
          </w:tcPr>
          <w:p w14:paraId="1DA6C02E"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100,1</w:t>
            </w:r>
          </w:p>
        </w:tc>
        <w:tc>
          <w:tcPr>
            <w:tcW w:w="1559" w:type="dxa"/>
          </w:tcPr>
          <w:p w14:paraId="21275ABD"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109,5</w:t>
            </w:r>
          </w:p>
        </w:tc>
      </w:tr>
      <w:tr w:rsidR="00FD7B0B" w:rsidRPr="00FD7B0B" w14:paraId="20072627" w14:textId="77777777" w:rsidTr="00686C61">
        <w:trPr>
          <w:trHeight w:val="255"/>
          <w:jc w:val="center"/>
        </w:trPr>
        <w:tc>
          <w:tcPr>
            <w:tcW w:w="6506" w:type="dxa"/>
            <w:shd w:val="clear" w:color="auto" w:fill="auto"/>
            <w:vAlign w:val="bottom"/>
            <w:hideMark/>
          </w:tcPr>
          <w:p w14:paraId="4AFE4AD8"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пищевых продуктов</w:t>
            </w:r>
          </w:p>
        </w:tc>
        <w:tc>
          <w:tcPr>
            <w:tcW w:w="1617" w:type="dxa"/>
          </w:tcPr>
          <w:p w14:paraId="188A1B82"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99,2</w:t>
            </w:r>
          </w:p>
        </w:tc>
        <w:tc>
          <w:tcPr>
            <w:tcW w:w="1559" w:type="dxa"/>
          </w:tcPr>
          <w:p w14:paraId="054E184E"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106,1</w:t>
            </w:r>
          </w:p>
        </w:tc>
      </w:tr>
      <w:tr w:rsidR="00FD7B0B" w:rsidRPr="00FD7B0B" w14:paraId="1706CC96" w14:textId="77777777" w:rsidTr="00686C61">
        <w:trPr>
          <w:trHeight w:val="255"/>
          <w:jc w:val="center"/>
        </w:trPr>
        <w:tc>
          <w:tcPr>
            <w:tcW w:w="6506" w:type="dxa"/>
            <w:shd w:val="clear" w:color="auto" w:fill="auto"/>
            <w:vAlign w:val="bottom"/>
            <w:hideMark/>
          </w:tcPr>
          <w:p w14:paraId="4D4F7A63"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напитков</w:t>
            </w:r>
          </w:p>
        </w:tc>
        <w:tc>
          <w:tcPr>
            <w:tcW w:w="1617" w:type="dxa"/>
          </w:tcPr>
          <w:p w14:paraId="7D170818"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108,0</w:t>
            </w:r>
          </w:p>
        </w:tc>
        <w:tc>
          <w:tcPr>
            <w:tcW w:w="1559" w:type="dxa"/>
          </w:tcPr>
          <w:p w14:paraId="779E82A4"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105,1</w:t>
            </w:r>
          </w:p>
        </w:tc>
      </w:tr>
      <w:tr w:rsidR="00FD7B0B" w:rsidRPr="00FD7B0B" w14:paraId="1FF26119" w14:textId="77777777" w:rsidTr="00686C61">
        <w:trPr>
          <w:trHeight w:val="255"/>
          <w:jc w:val="center"/>
        </w:trPr>
        <w:tc>
          <w:tcPr>
            <w:tcW w:w="6506" w:type="dxa"/>
            <w:shd w:val="clear" w:color="auto" w:fill="auto"/>
            <w:vAlign w:val="bottom"/>
            <w:hideMark/>
          </w:tcPr>
          <w:p w14:paraId="7AE34578"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обработка древесины и производство изделий из дерева и пробки…</w:t>
            </w:r>
          </w:p>
        </w:tc>
        <w:tc>
          <w:tcPr>
            <w:tcW w:w="1617" w:type="dxa"/>
          </w:tcPr>
          <w:p w14:paraId="7BED0886"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96,0</w:t>
            </w:r>
          </w:p>
        </w:tc>
        <w:tc>
          <w:tcPr>
            <w:tcW w:w="1559" w:type="dxa"/>
          </w:tcPr>
          <w:p w14:paraId="4F6CE74D"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88,3</w:t>
            </w:r>
          </w:p>
        </w:tc>
      </w:tr>
      <w:tr w:rsidR="00FD7B0B" w:rsidRPr="00FD7B0B" w14:paraId="46299C8C" w14:textId="77777777" w:rsidTr="00686C61">
        <w:trPr>
          <w:trHeight w:val="255"/>
          <w:jc w:val="center"/>
        </w:trPr>
        <w:tc>
          <w:tcPr>
            <w:tcW w:w="6506" w:type="dxa"/>
            <w:shd w:val="clear" w:color="auto" w:fill="auto"/>
            <w:vAlign w:val="bottom"/>
            <w:hideMark/>
          </w:tcPr>
          <w:p w14:paraId="3083B3AE"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бумаги и бумажных изделий</w:t>
            </w:r>
          </w:p>
        </w:tc>
        <w:tc>
          <w:tcPr>
            <w:tcW w:w="1617" w:type="dxa"/>
          </w:tcPr>
          <w:p w14:paraId="4790EB82"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96,2</w:t>
            </w:r>
          </w:p>
        </w:tc>
        <w:tc>
          <w:tcPr>
            <w:tcW w:w="1559" w:type="dxa"/>
          </w:tcPr>
          <w:p w14:paraId="1DA7B724"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101,8</w:t>
            </w:r>
          </w:p>
        </w:tc>
      </w:tr>
      <w:tr w:rsidR="00FD7B0B" w:rsidRPr="00FD7B0B" w14:paraId="46C8DBE8" w14:textId="77777777" w:rsidTr="00686C61">
        <w:trPr>
          <w:trHeight w:val="255"/>
          <w:jc w:val="center"/>
        </w:trPr>
        <w:tc>
          <w:tcPr>
            <w:tcW w:w="6506" w:type="dxa"/>
            <w:shd w:val="clear" w:color="auto" w:fill="auto"/>
            <w:vAlign w:val="bottom"/>
            <w:hideMark/>
          </w:tcPr>
          <w:p w14:paraId="456770BD"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химических веществ …</w:t>
            </w:r>
          </w:p>
        </w:tc>
        <w:tc>
          <w:tcPr>
            <w:tcW w:w="1617" w:type="dxa"/>
          </w:tcPr>
          <w:p w14:paraId="2C5CE03F"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96,3</w:t>
            </w:r>
          </w:p>
        </w:tc>
        <w:tc>
          <w:tcPr>
            <w:tcW w:w="1559" w:type="dxa"/>
          </w:tcPr>
          <w:p w14:paraId="0213A5B6"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97,0</w:t>
            </w:r>
          </w:p>
        </w:tc>
      </w:tr>
      <w:tr w:rsidR="00FD7B0B" w:rsidRPr="00FD7B0B" w14:paraId="4B0B14E7" w14:textId="77777777" w:rsidTr="00686C61">
        <w:trPr>
          <w:trHeight w:val="505"/>
          <w:jc w:val="center"/>
        </w:trPr>
        <w:tc>
          <w:tcPr>
            <w:tcW w:w="6506" w:type="dxa"/>
            <w:shd w:val="clear" w:color="auto" w:fill="auto"/>
            <w:vAlign w:val="bottom"/>
            <w:hideMark/>
          </w:tcPr>
          <w:p w14:paraId="22A9343E"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лекарственных средств и материалов, применяемых в медицинских целях</w:t>
            </w:r>
          </w:p>
        </w:tc>
        <w:tc>
          <w:tcPr>
            <w:tcW w:w="1617" w:type="dxa"/>
          </w:tcPr>
          <w:p w14:paraId="5045FAA6"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91,2</w:t>
            </w:r>
          </w:p>
        </w:tc>
        <w:tc>
          <w:tcPr>
            <w:tcW w:w="1559" w:type="dxa"/>
          </w:tcPr>
          <w:p w14:paraId="27ADA120"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69,0</w:t>
            </w:r>
          </w:p>
        </w:tc>
      </w:tr>
      <w:tr w:rsidR="00FD7B0B" w:rsidRPr="00FD7B0B" w14:paraId="61F1240E" w14:textId="77777777" w:rsidTr="00686C61">
        <w:trPr>
          <w:trHeight w:val="255"/>
          <w:jc w:val="center"/>
        </w:trPr>
        <w:tc>
          <w:tcPr>
            <w:tcW w:w="6506" w:type="dxa"/>
            <w:shd w:val="clear" w:color="auto" w:fill="auto"/>
            <w:vAlign w:val="bottom"/>
            <w:hideMark/>
          </w:tcPr>
          <w:p w14:paraId="032DB850"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резиновых и пластмассовых изделий</w:t>
            </w:r>
          </w:p>
        </w:tc>
        <w:tc>
          <w:tcPr>
            <w:tcW w:w="1617" w:type="dxa"/>
          </w:tcPr>
          <w:p w14:paraId="0C04991A"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99,2</w:t>
            </w:r>
          </w:p>
        </w:tc>
        <w:tc>
          <w:tcPr>
            <w:tcW w:w="1559" w:type="dxa"/>
          </w:tcPr>
          <w:p w14:paraId="27722B3A"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98,6</w:t>
            </w:r>
          </w:p>
        </w:tc>
      </w:tr>
      <w:tr w:rsidR="00FD7B0B" w:rsidRPr="00FD7B0B" w14:paraId="49710A01" w14:textId="77777777" w:rsidTr="00686C61">
        <w:trPr>
          <w:trHeight w:val="305"/>
          <w:jc w:val="center"/>
        </w:trPr>
        <w:tc>
          <w:tcPr>
            <w:tcW w:w="6506" w:type="dxa"/>
            <w:shd w:val="clear" w:color="auto" w:fill="auto"/>
            <w:vAlign w:val="bottom"/>
            <w:hideMark/>
          </w:tcPr>
          <w:p w14:paraId="7B010F6D"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автотранспортных средств, прицепов и полуприцепов</w:t>
            </w:r>
          </w:p>
        </w:tc>
        <w:tc>
          <w:tcPr>
            <w:tcW w:w="1617" w:type="dxa"/>
          </w:tcPr>
          <w:p w14:paraId="72B9C520"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128,9</w:t>
            </w:r>
          </w:p>
        </w:tc>
        <w:tc>
          <w:tcPr>
            <w:tcW w:w="1559" w:type="dxa"/>
          </w:tcPr>
          <w:p w14:paraId="5BCC58A1"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0A13C9E2" w14:textId="77777777" w:rsidTr="00686C61">
        <w:trPr>
          <w:trHeight w:val="262"/>
          <w:jc w:val="center"/>
        </w:trPr>
        <w:tc>
          <w:tcPr>
            <w:tcW w:w="6506" w:type="dxa"/>
            <w:shd w:val="clear" w:color="auto" w:fill="auto"/>
            <w:vAlign w:val="bottom"/>
            <w:hideMark/>
          </w:tcPr>
          <w:p w14:paraId="1099A953"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машин и оборудования, не включенных в другие…</w:t>
            </w:r>
          </w:p>
        </w:tc>
        <w:tc>
          <w:tcPr>
            <w:tcW w:w="1617" w:type="dxa"/>
          </w:tcPr>
          <w:p w14:paraId="72018A46"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 1,5 раза</w:t>
            </w:r>
          </w:p>
        </w:tc>
        <w:tc>
          <w:tcPr>
            <w:tcW w:w="1559" w:type="dxa"/>
          </w:tcPr>
          <w:p w14:paraId="40229751"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106,3</w:t>
            </w:r>
          </w:p>
        </w:tc>
      </w:tr>
      <w:tr w:rsidR="00FD7B0B" w:rsidRPr="00FD7B0B" w14:paraId="6869B35D" w14:textId="77777777" w:rsidTr="00686C61">
        <w:trPr>
          <w:trHeight w:val="445"/>
          <w:jc w:val="center"/>
        </w:trPr>
        <w:tc>
          <w:tcPr>
            <w:tcW w:w="6506" w:type="dxa"/>
            <w:shd w:val="clear" w:color="auto" w:fill="auto"/>
            <w:vAlign w:val="bottom"/>
            <w:hideMark/>
          </w:tcPr>
          <w:p w14:paraId="34349335"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готовых металлических изделий, кроме машин и оборудования</w:t>
            </w:r>
          </w:p>
        </w:tc>
        <w:tc>
          <w:tcPr>
            <w:tcW w:w="1617" w:type="dxa"/>
          </w:tcPr>
          <w:p w14:paraId="60002341"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119,5</w:t>
            </w:r>
          </w:p>
        </w:tc>
        <w:tc>
          <w:tcPr>
            <w:tcW w:w="1559" w:type="dxa"/>
          </w:tcPr>
          <w:p w14:paraId="00556E00"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67,4</w:t>
            </w:r>
          </w:p>
        </w:tc>
      </w:tr>
      <w:tr w:rsidR="00FD7B0B" w:rsidRPr="00FD7B0B" w14:paraId="415C1B94" w14:textId="77777777" w:rsidTr="00686C61">
        <w:trPr>
          <w:trHeight w:val="188"/>
          <w:jc w:val="center"/>
        </w:trPr>
        <w:tc>
          <w:tcPr>
            <w:tcW w:w="6506" w:type="dxa"/>
            <w:shd w:val="clear" w:color="auto" w:fill="auto"/>
            <w:vAlign w:val="bottom"/>
          </w:tcPr>
          <w:p w14:paraId="3FA571FA" w14:textId="5EB6D52C" w:rsidR="00686C61" w:rsidRPr="00FD7B0B" w:rsidRDefault="00686C61" w:rsidP="00686C61">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прочих транспортных средств и оборудования</w:t>
            </w:r>
          </w:p>
        </w:tc>
        <w:tc>
          <w:tcPr>
            <w:tcW w:w="1617" w:type="dxa"/>
          </w:tcPr>
          <w:p w14:paraId="4912598A" w14:textId="271CED33" w:rsidR="00686C61" w:rsidRPr="00FD7B0B" w:rsidRDefault="00686C61"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101,1</w:t>
            </w:r>
          </w:p>
        </w:tc>
        <w:tc>
          <w:tcPr>
            <w:tcW w:w="1559" w:type="dxa"/>
          </w:tcPr>
          <w:p w14:paraId="6001D52D" w14:textId="5E5A750E" w:rsidR="00686C61" w:rsidRPr="00FD7B0B" w:rsidRDefault="00686C61"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124,7</w:t>
            </w:r>
          </w:p>
        </w:tc>
      </w:tr>
      <w:tr w:rsidR="00FD7B0B" w:rsidRPr="00FD7B0B" w14:paraId="5DC63904" w14:textId="77777777" w:rsidTr="00686C61">
        <w:trPr>
          <w:trHeight w:val="64"/>
          <w:jc w:val="center"/>
        </w:trPr>
        <w:tc>
          <w:tcPr>
            <w:tcW w:w="6506" w:type="dxa"/>
            <w:shd w:val="clear" w:color="auto" w:fill="auto"/>
            <w:vAlign w:val="bottom"/>
          </w:tcPr>
          <w:p w14:paraId="3A12EDEC"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производство компьютеров, электронных и оптических изделий</w:t>
            </w:r>
          </w:p>
        </w:tc>
        <w:tc>
          <w:tcPr>
            <w:tcW w:w="1617" w:type="dxa"/>
          </w:tcPr>
          <w:p w14:paraId="033E579F"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127,4</w:t>
            </w:r>
          </w:p>
        </w:tc>
        <w:tc>
          <w:tcPr>
            <w:tcW w:w="1559" w:type="dxa"/>
          </w:tcPr>
          <w:p w14:paraId="09B41CEC"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100,9</w:t>
            </w:r>
          </w:p>
        </w:tc>
      </w:tr>
      <w:tr w:rsidR="00FD7B0B" w:rsidRPr="00FD7B0B" w14:paraId="4B1E21B6" w14:textId="77777777" w:rsidTr="00686C61">
        <w:trPr>
          <w:trHeight w:val="235"/>
          <w:jc w:val="center"/>
        </w:trPr>
        <w:tc>
          <w:tcPr>
            <w:tcW w:w="6506" w:type="dxa"/>
            <w:shd w:val="clear" w:color="auto" w:fill="auto"/>
            <w:vAlign w:val="bottom"/>
          </w:tcPr>
          <w:p w14:paraId="18863087"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ремонт и монтаж машин и оборудования </w:t>
            </w:r>
          </w:p>
        </w:tc>
        <w:tc>
          <w:tcPr>
            <w:tcW w:w="1617" w:type="dxa"/>
          </w:tcPr>
          <w:p w14:paraId="6F006CAD"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112,9</w:t>
            </w:r>
          </w:p>
        </w:tc>
        <w:tc>
          <w:tcPr>
            <w:tcW w:w="1559" w:type="dxa"/>
          </w:tcPr>
          <w:p w14:paraId="7E562D8B"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121,1</w:t>
            </w:r>
          </w:p>
        </w:tc>
      </w:tr>
      <w:tr w:rsidR="00FD7B0B" w:rsidRPr="00FD7B0B" w14:paraId="4F0057FF" w14:textId="77777777" w:rsidTr="00686C61">
        <w:trPr>
          <w:trHeight w:val="182"/>
          <w:jc w:val="center"/>
        </w:trPr>
        <w:tc>
          <w:tcPr>
            <w:tcW w:w="6506" w:type="dxa"/>
            <w:shd w:val="clear" w:color="auto" w:fill="auto"/>
            <w:vAlign w:val="bottom"/>
            <w:hideMark/>
          </w:tcPr>
          <w:p w14:paraId="5E001277"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Обеспечение электрической энергией, газом и паром; кондиционирование воздуха</w:t>
            </w:r>
          </w:p>
        </w:tc>
        <w:tc>
          <w:tcPr>
            <w:tcW w:w="1617" w:type="dxa"/>
          </w:tcPr>
          <w:p w14:paraId="43D146C8"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100,8</w:t>
            </w:r>
          </w:p>
        </w:tc>
        <w:tc>
          <w:tcPr>
            <w:tcW w:w="1559" w:type="dxa"/>
          </w:tcPr>
          <w:p w14:paraId="4E95418B"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99,6</w:t>
            </w:r>
          </w:p>
        </w:tc>
      </w:tr>
      <w:tr w:rsidR="005A472F" w:rsidRPr="00FD7B0B" w14:paraId="43CF9745" w14:textId="77777777" w:rsidTr="00686C61">
        <w:trPr>
          <w:trHeight w:val="327"/>
          <w:jc w:val="center"/>
        </w:trPr>
        <w:tc>
          <w:tcPr>
            <w:tcW w:w="6506" w:type="dxa"/>
            <w:shd w:val="clear" w:color="auto" w:fill="auto"/>
            <w:vAlign w:val="bottom"/>
            <w:hideMark/>
          </w:tcPr>
          <w:p w14:paraId="5B3CBE0E"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Водоснабжение, водоотведение, организация сбора и утилизация отходов…</w:t>
            </w:r>
          </w:p>
        </w:tc>
        <w:tc>
          <w:tcPr>
            <w:tcW w:w="1617" w:type="dxa"/>
          </w:tcPr>
          <w:p w14:paraId="445418EB"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109,3</w:t>
            </w:r>
          </w:p>
        </w:tc>
        <w:tc>
          <w:tcPr>
            <w:tcW w:w="1559" w:type="dxa"/>
          </w:tcPr>
          <w:p w14:paraId="694CD68C" w14:textId="77777777" w:rsidR="005A472F" w:rsidRPr="00FD7B0B" w:rsidRDefault="005A472F" w:rsidP="00686C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96,6</w:t>
            </w:r>
          </w:p>
        </w:tc>
      </w:tr>
    </w:tbl>
    <w:p w14:paraId="0DEB06D0" w14:textId="77777777" w:rsidR="005A472F" w:rsidRPr="00FD7B0B" w:rsidRDefault="005A472F" w:rsidP="005A472F">
      <w:pPr>
        <w:pStyle w:val="ad"/>
        <w:ind w:firstLine="709"/>
        <w:jc w:val="both"/>
        <w:rPr>
          <w:rFonts w:ascii="Times New Roman" w:hAnsi="Times New Roman"/>
          <w:sz w:val="28"/>
          <w:szCs w:val="28"/>
        </w:rPr>
      </w:pPr>
    </w:p>
    <w:p w14:paraId="33FE6D19" w14:textId="4128F19E" w:rsidR="00686C61" w:rsidRPr="00FD7B0B" w:rsidRDefault="00686C61" w:rsidP="00686C61">
      <w:pPr>
        <w:pStyle w:val="ad"/>
        <w:ind w:firstLine="709"/>
        <w:jc w:val="both"/>
        <w:rPr>
          <w:rFonts w:ascii="Times New Roman" w:hAnsi="Times New Roman"/>
          <w:sz w:val="28"/>
          <w:szCs w:val="28"/>
        </w:rPr>
      </w:pPr>
      <w:r w:rsidRPr="00FD7B0B">
        <w:rPr>
          <w:rFonts w:ascii="Times New Roman" w:hAnsi="Times New Roman"/>
          <w:sz w:val="28"/>
          <w:szCs w:val="28"/>
        </w:rPr>
        <w:t xml:space="preserve">Индекс обрабатывающих производств в 2024 году к прошлому году сложился как под влиянием роста, так и снижения темпов индексов производства по отдельным видам экономической деятельности: «обработка древесины и производство изделий из дерева и пробки…» – 88,3 %; «производство бумаги и </w:t>
      </w:r>
      <w:r w:rsidRPr="00FD7B0B">
        <w:rPr>
          <w:rFonts w:ascii="Times New Roman" w:hAnsi="Times New Roman"/>
          <w:sz w:val="28"/>
          <w:szCs w:val="28"/>
        </w:rPr>
        <w:lastRenderedPageBreak/>
        <w:t xml:space="preserve">бумажных изделий» – 101,8 %, </w:t>
      </w:r>
      <w:r w:rsidRPr="00FD7B0B">
        <w:rPr>
          <w:rFonts w:ascii="Times New Roman" w:hAnsi="Times New Roman"/>
          <w:i/>
          <w:sz w:val="28"/>
          <w:szCs w:val="28"/>
        </w:rPr>
        <w:t>из них: производство целлюлозы, древесной массы, бумаги и картона – 101,7 %, производство изделий из бумаги и картона – 107,8 %;</w:t>
      </w:r>
      <w:r w:rsidRPr="00FD7B0B">
        <w:rPr>
          <w:rFonts w:ascii="Times New Roman" w:hAnsi="Times New Roman"/>
          <w:sz w:val="28"/>
          <w:szCs w:val="28"/>
        </w:rPr>
        <w:t xml:space="preserve"> «производство пищевых продуктов…» – 106,1 %, «производство машин и оборудования не включенных в другие группировки – 106,3 %; «производство готовых металлических изделий, кроме машин и оборудования» – 67,4 %; «ремонт и монтаж машин и оборудования» – 121,1 %, «производство прочих транспортных средств и оборудования» – 124,7</w:t>
      </w:r>
      <w:r w:rsidR="002A1C6C" w:rsidRPr="00FD7B0B">
        <w:rPr>
          <w:rFonts w:ascii="Times New Roman" w:hAnsi="Times New Roman"/>
          <w:sz w:val="28"/>
          <w:szCs w:val="28"/>
        </w:rPr>
        <w:t xml:space="preserve"> </w:t>
      </w:r>
      <w:r w:rsidRPr="00FD7B0B">
        <w:rPr>
          <w:rFonts w:ascii="Times New Roman" w:hAnsi="Times New Roman"/>
          <w:sz w:val="28"/>
          <w:szCs w:val="28"/>
        </w:rPr>
        <w:t>%.</w:t>
      </w:r>
    </w:p>
    <w:p w14:paraId="6A8F0D76" w14:textId="77777777" w:rsidR="005A472F" w:rsidRPr="00FD7B0B" w:rsidRDefault="005A472F" w:rsidP="005A472F">
      <w:pPr>
        <w:pStyle w:val="ad"/>
        <w:ind w:firstLine="709"/>
        <w:jc w:val="both"/>
        <w:rPr>
          <w:rFonts w:ascii="Times New Roman" w:hAnsi="Times New Roman"/>
          <w:sz w:val="28"/>
          <w:szCs w:val="28"/>
          <w:highlight w:val="cyan"/>
        </w:rPr>
      </w:pPr>
    </w:p>
    <w:p w14:paraId="0D046959"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данным Министерства, представленным в контрольно-счетную палату Архангельской области, в 2024 году значительные отклонения индексов производства (более 5,0 %) от плановых показателей в основном обусловлены такими факторами: корректировка планов предприятий по объему работ и услуг (как сокращение, так и расширение производств, изменение сроков сдачи заказов на предприятиях области, в том числе по линии государственного оборонного заказа), цикличность производства машиностроительной отрасли, замедление объемов отгрузки по ряду отраслей обрабатывающих производств на фоне продолжающейся перестройки производственно-логистических связей в условиях санкционных ограничений, а также в связи с перестройкой финансово-хозяйственной деятельности предприятий и поиском рынков сбыта продукции.</w:t>
      </w:r>
    </w:p>
    <w:p w14:paraId="5F78A78C" w14:textId="09D25FDE" w:rsidR="005A472F" w:rsidRPr="00FD7B0B" w:rsidRDefault="00A50F38" w:rsidP="005A472F">
      <w:pPr>
        <w:pStyle w:val="ad"/>
        <w:ind w:firstLine="709"/>
        <w:jc w:val="both"/>
        <w:rPr>
          <w:rFonts w:ascii="Times New Roman" w:hAnsi="Times New Roman"/>
          <w:sz w:val="28"/>
          <w:szCs w:val="28"/>
        </w:rPr>
      </w:pPr>
      <w:r w:rsidRPr="00FD7B0B">
        <w:rPr>
          <w:rFonts w:ascii="Times New Roman" w:hAnsi="Times New Roman"/>
          <w:sz w:val="28"/>
          <w:szCs w:val="28"/>
        </w:rPr>
        <w:t>В</w:t>
      </w:r>
      <w:r w:rsidR="005A472F" w:rsidRPr="00FD7B0B">
        <w:rPr>
          <w:rFonts w:ascii="Times New Roman" w:hAnsi="Times New Roman"/>
          <w:sz w:val="28"/>
          <w:szCs w:val="28"/>
        </w:rPr>
        <w:t xml:space="preserve"> Реестр приоритетных инвестиционных проектов Архангельской области, утвержденный распоряжением министерства экономического развития, промышленности и науки Архангельской области (далее – Минэкономики) от 21.05.2019 № 42-р</w:t>
      </w:r>
      <w:r w:rsidR="005A472F" w:rsidRPr="00FD7B0B">
        <w:rPr>
          <w:rStyle w:val="afff1"/>
          <w:rFonts w:ascii="Times New Roman" w:hAnsi="Times New Roman"/>
          <w:sz w:val="28"/>
          <w:szCs w:val="28"/>
        </w:rPr>
        <w:footnoteReference w:id="5"/>
      </w:r>
      <w:r w:rsidR="005A472F" w:rsidRPr="00FD7B0B">
        <w:rPr>
          <w:rFonts w:ascii="Times New Roman" w:hAnsi="Times New Roman"/>
          <w:sz w:val="28"/>
          <w:szCs w:val="28"/>
        </w:rPr>
        <w:t xml:space="preserve"> в ред. распоряжения от 20.02.2024 № 33-р (далее – Реестр ПИП), включены </w:t>
      </w:r>
      <w:r w:rsidR="005A472F" w:rsidRPr="00FD7B0B">
        <w:rPr>
          <w:rFonts w:ascii="Times New Roman" w:hAnsi="Times New Roman"/>
          <w:sz w:val="28"/>
          <w:szCs w:val="28"/>
          <w:u w:val="single"/>
        </w:rPr>
        <w:t>два реализуемых</w:t>
      </w:r>
      <w:r w:rsidR="005A472F" w:rsidRPr="00FD7B0B">
        <w:rPr>
          <w:rFonts w:ascii="Times New Roman" w:hAnsi="Times New Roman"/>
          <w:sz w:val="28"/>
          <w:szCs w:val="28"/>
        </w:rPr>
        <w:t xml:space="preserve"> проекта в части алмазодобывающей промышленности: строительство ГОК на месторождении алмазов им. М.В. Ломоносова (с вовлечением в разработку промышленно-алмазоносных трубок трех месторождений) в четыре этапа (2020</w:t>
      </w:r>
      <w:r w:rsidR="00AE027B" w:rsidRPr="00FD7B0B">
        <w:rPr>
          <w:rFonts w:ascii="Times New Roman" w:hAnsi="Times New Roman"/>
          <w:sz w:val="28"/>
          <w:szCs w:val="28"/>
        </w:rPr>
        <w:t xml:space="preserve"> – </w:t>
      </w:r>
      <w:r w:rsidR="005A472F" w:rsidRPr="00FD7B0B">
        <w:rPr>
          <w:rFonts w:ascii="Times New Roman" w:hAnsi="Times New Roman"/>
          <w:sz w:val="28"/>
          <w:szCs w:val="28"/>
        </w:rPr>
        <w:t>2048гг.) с объемом инвестиций – 73 400,0 млн.руб.; строительство ГОК на Павловском месторождении свинцово-цинковых руд на острове Южный архипелага Новая Земля по добыче и обогащению руд цветных металлов (2016</w:t>
      </w:r>
      <w:r w:rsidR="00AE027B" w:rsidRPr="00FD7B0B">
        <w:rPr>
          <w:rFonts w:ascii="Times New Roman" w:hAnsi="Times New Roman"/>
          <w:sz w:val="28"/>
          <w:szCs w:val="28"/>
        </w:rPr>
        <w:t xml:space="preserve"> – </w:t>
      </w:r>
      <w:r w:rsidR="005A472F" w:rsidRPr="00FD7B0B">
        <w:rPr>
          <w:rFonts w:ascii="Times New Roman" w:hAnsi="Times New Roman"/>
          <w:sz w:val="28"/>
          <w:szCs w:val="28"/>
        </w:rPr>
        <w:t>2037 гг.) с объемом инвестиций – 35 000,0 млн.руб., что имеет важное значение для развития экономики региона.</w:t>
      </w:r>
    </w:p>
    <w:p w14:paraId="32C09069" w14:textId="43C681F4"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По информации министерства природных ресурсов и лесопромышленного комплекса Архангельской области, динамика объемов добычи полезных ископаемых на территории региона не стабильна, по отдельным видам установлено увеличение добычи в 2024 году, по другим – снижение, что представлено в таблице </w:t>
      </w:r>
      <w:r w:rsidR="006B033D" w:rsidRPr="00FD7B0B">
        <w:rPr>
          <w:rFonts w:ascii="Times New Roman" w:hAnsi="Times New Roman"/>
          <w:sz w:val="28"/>
          <w:szCs w:val="28"/>
        </w:rPr>
        <w:t>3</w:t>
      </w:r>
      <w:r w:rsidRPr="00FD7B0B">
        <w:rPr>
          <w:rFonts w:ascii="Times New Roman" w:hAnsi="Times New Roman"/>
          <w:sz w:val="28"/>
          <w:szCs w:val="28"/>
        </w:rPr>
        <w:t>.</w:t>
      </w:r>
    </w:p>
    <w:p w14:paraId="2070CADD" w14:textId="77777777" w:rsidR="005A472F" w:rsidRPr="00FD7B0B" w:rsidRDefault="005A472F" w:rsidP="005A472F">
      <w:pPr>
        <w:pStyle w:val="ad"/>
        <w:ind w:firstLine="709"/>
        <w:jc w:val="both"/>
        <w:rPr>
          <w:rFonts w:ascii="Times New Roman" w:hAnsi="Times New Roman"/>
          <w:strike/>
        </w:rPr>
      </w:pPr>
    </w:p>
    <w:p w14:paraId="22233509"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w:t>
      </w:r>
      <w:r w:rsidRPr="00FD7B0B">
        <w:rPr>
          <w:rFonts w:ascii="Times New Roman" w:hAnsi="Times New Roman"/>
          <w:b w:val="0"/>
          <w:sz w:val="24"/>
          <w:szCs w:val="24"/>
        </w:rPr>
        <w:fldChar w:fldCharType="end"/>
      </w:r>
      <w:r w:rsidRPr="00FD7B0B">
        <w:rPr>
          <w:rFonts w:ascii="Times New Roman" w:hAnsi="Times New Roman"/>
          <w:b w:val="0"/>
          <w:sz w:val="24"/>
          <w:szCs w:val="24"/>
        </w:rPr>
        <w:t>. Добыча полезных ископаемы в 2022 – 2024 гг. в разрезе отдельных видов полезных ископаемых</w:t>
      </w:r>
    </w:p>
    <w:tbl>
      <w:tblPr>
        <w:tblStyle w:val="a7"/>
        <w:tblW w:w="9290"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839"/>
        <w:gridCol w:w="1709"/>
        <w:gridCol w:w="1371"/>
        <w:gridCol w:w="1371"/>
      </w:tblGrid>
      <w:tr w:rsidR="00FD7B0B" w:rsidRPr="00FD7B0B" w14:paraId="100148EB" w14:textId="77777777" w:rsidTr="00BE64F6">
        <w:trPr>
          <w:tblHeader/>
        </w:trPr>
        <w:tc>
          <w:tcPr>
            <w:tcW w:w="4839" w:type="dxa"/>
            <w:vAlign w:val="center"/>
          </w:tcPr>
          <w:p w14:paraId="3BB66F50" w14:textId="77777777" w:rsidR="005A472F" w:rsidRPr="00FD7B0B" w:rsidRDefault="005A472F" w:rsidP="00BE64F6">
            <w:pPr>
              <w:pStyle w:val="ad"/>
              <w:ind w:hanging="108"/>
              <w:jc w:val="center"/>
              <w:rPr>
                <w:rFonts w:ascii="Times New Roman" w:hAnsi="Times New Roman"/>
              </w:rPr>
            </w:pPr>
            <w:r w:rsidRPr="00FD7B0B">
              <w:rPr>
                <w:rFonts w:ascii="Times New Roman" w:hAnsi="Times New Roman"/>
              </w:rPr>
              <w:t xml:space="preserve">Наименование, </w:t>
            </w:r>
          </w:p>
          <w:p w14:paraId="60D9301E" w14:textId="77777777" w:rsidR="005A472F" w:rsidRPr="00FD7B0B" w:rsidRDefault="005A472F" w:rsidP="00BE64F6">
            <w:pPr>
              <w:pStyle w:val="ad"/>
              <w:ind w:hanging="108"/>
              <w:jc w:val="center"/>
              <w:rPr>
                <w:rFonts w:ascii="Times New Roman" w:hAnsi="Times New Roman"/>
              </w:rPr>
            </w:pPr>
            <w:r w:rsidRPr="00FD7B0B">
              <w:rPr>
                <w:rFonts w:ascii="Times New Roman" w:hAnsi="Times New Roman"/>
              </w:rPr>
              <w:t>единица измерения</w:t>
            </w:r>
          </w:p>
        </w:tc>
        <w:tc>
          <w:tcPr>
            <w:tcW w:w="1709" w:type="dxa"/>
            <w:vAlign w:val="center"/>
          </w:tcPr>
          <w:p w14:paraId="0717E9DC" w14:textId="77777777" w:rsidR="005A472F" w:rsidRPr="00FD7B0B" w:rsidRDefault="005A472F" w:rsidP="00BE64F6">
            <w:pPr>
              <w:pStyle w:val="ad"/>
              <w:jc w:val="center"/>
              <w:rPr>
                <w:rFonts w:ascii="Times New Roman" w:hAnsi="Times New Roman"/>
              </w:rPr>
            </w:pPr>
            <w:r w:rsidRPr="00FD7B0B">
              <w:rPr>
                <w:rFonts w:ascii="Times New Roman" w:hAnsi="Times New Roman"/>
              </w:rPr>
              <w:t>2022 год</w:t>
            </w:r>
          </w:p>
        </w:tc>
        <w:tc>
          <w:tcPr>
            <w:tcW w:w="1371" w:type="dxa"/>
            <w:vAlign w:val="center"/>
          </w:tcPr>
          <w:p w14:paraId="3B73532C" w14:textId="77777777" w:rsidR="005A472F" w:rsidRPr="00FD7B0B" w:rsidRDefault="005A472F" w:rsidP="00BE64F6">
            <w:pPr>
              <w:pStyle w:val="ad"/>
              <w:jc w:val="center"/>
              <w:rPr>
                <w:rFonts w:ascii="Times New Roman" w:hAnsi="Times New Roman"/>
              </w:rPr>
            </w:pPr>
            <w:r w:rsidRPr="00FD7B0B">
              <w:rPr>
                <w:rFonts w:ascii="Times New Roman" w:hAnsi="Times New Roman"/>
              </w:rPr>
              <w:t>2023 год</w:t>
            </w:r>
          </w:p>
        </w:tc>
        <w:tc>
          <w:tcPr>
            <w:tcW w:w="1371" w:type="dxa"/>
            <w:vAlign w:val="center"/>
          </w:tcPr>
          <w:p w14:paraId="524A85F1" w14:textId="77777777" w:rsidR="005A472F" w:rsidRPr="00FD7B0B" w:rsidRDefault="005A472F" w:rsidP="00BE64F6">
            <w:pPr>
              <w:pStyle w:val="ad"/>
              <w:jc w:val="center"/>
              <w:rPr>
                <w:rFonts w:ascii="Times New Roman" w:hAnsi="Times New Roman"/>
              </w:rPr>
            </w:pPr>
            <w:r w:rsidRPr="00FD7B0B">
              <w:rPr>
                <w:rFonts w:ascii="Times New Roman" w:hAnsi="Times New Roman"/>
              </w:rPr>
              <w:t>2024 год</w:t>
            </w:r>
          </w:p>
        </w:tc>
      </w:tr>
      <w:tr w:rsidR="00FD7B0B" w:rsidRPr="00FD7B0B" w14:paraId="32793DEE" w14:textId="77777777" w:rsidTr="00BE64F6">
        <w:trPr>
          <w:trHeight w:hRule="exact" w:val="255"/>
        </w:trPr>
        <w:tc>
          <w:tcPr>
            <w:tcW w:w="4839" w:type="dxa"/>
            <w:vAlign w:val="center"/>
          </w:tcPr>
          <w:p w14:paraId="1C571519" w14:textId="77777777" w:rsidR="005A472F" w:rsidRPr="00FD7B0B" w:rsidRDefault="005A472F" w:rsidP="00BE64F6">
            <w:pPr>
              <w:pStyle w:val="ad"/>
              <w:ind w:firstLine="34"/>
              <w:jc w:val="both"/>
              <w:rPr>
                <w:rFonts w:ascii="Times New Roman" w:hAnsi="Times New Roman"/>
              </w:rPr>
            </w:pPr>
            <w:r w:rsidRPr="00FD7B0B">
              <w:rPr>
                <w:rFonts w:ascii="Times New Roman" w:hAnsi="Times New Roman"/>
              </w:rPr>
              <w:t>Алмазы, тыс.карат</w:t>
            </w:r>
          </w:p>
        </w:tc>
        <w:tc>
          <w:tcPr>
            <w:tcW w:w="1709" w:type="dxa"/>
            <w:vAlign w:val="bottom"/>
          </w:tcPr>
          <w:p w14:paraId="53D11CA0" w14:textId="77777777" w:rsidR="005A472F" w:rsidRPr="00FD7B0B" w:rsidRDefault="005A472F" w:rsidP="00BE64F6">
            <w:pPr>
              <w:pStyle w:val="ad"/>
              <w:jc w:val="right"/>
              <w:rPr>
                <w:rFonts w:ascii="Times New Roman" w:hAnsi="Times New Roman"/>
              </w:rPr>
            </w:pPr>
            <w:r w:rsidRPr="00FD7B0B">
              <w:rPr>
                <w:rFonts w:ascii="Times New Roman" w:hAnsi="Times New Roman"/>
              </w:rPr>
              <w:t>8 473,4</w:t>
            </w:r>
          </w:p>
        </w:tc>
        <w:tc>
          <w:tcPr>
            <w:tcW w:w="1371" w:type="dxa"/>
            <w:vAlign w:val="bottom"/>
          </w:tcPr>
          <w:p w14:paraId="1843F6FA" w14:textId="77777777" w:rsidR="005A472F" w:rsidRPr="00FD7B0B" w:rsidRDefault="005A472F" w:rsidP="00BE64F6">
            <w:pPr>
              <w:pStyle w:val="ad"/>
              <w:jc w:val="right"/>
              <w:rPr>
                <w:rFonts w:ascii="Times New Roman" w:hAnsi="Times New Roman"/>
              </w:rPr>
            </w:pPr>
            <w:r w:rsidRPr="00FD7B0B">
              <w:rPr>
                <w:rFonts w:ascii="Times New Roman" w:hAnsi="Times New Roman"/>
              </w:rPr>
              <w:t>7 935,5</w:t>
            </w:r>
          </w:p>
        </w:tc>
        <w:tc>
          <w:tcPr>
            <w:tcW w:w="1371" w:type="dxa"/>
          </w:tcPr>
          <w:p w14:paraId="026687ED" w14:textId="77777777" w:rsidR="005A472F" w:rsidRPr="00FD7B0B" w:rsidRDefault="005A472F" w:rsidP="00BE64F6">
            <w:pPr>
              <w:pStyle w:val="ad"/>
              <w:jc w:val="right"/>
              <w:rPr>
                <w:rFonts w:ascii="Times New Roman" w:hAnsi="Times New Roman"/>
              </w:rPr>
            </w:pPr>
            <w:r w:rsidRPr="00FD7B0B">
              <w:rPr>
                <w:rFonts w:ascii="Times New Roman" w:hAnsi="Times New Roman"/>
              </w:rPr>
              <w:t>7 672,9</w:t>
            </w:r>
          </w:p>
        </w:tc>
      </w:tr>
      <w:tr w:rsidR="00FD7B0B" w:rsidRPr="00FD7B0B" w14:paraId="32C3F8A4" w14:textId="77777777" w:rsidTr="00BE64F6">
        <w:trPr>
          <w:trHeight w:hRule="exact" w:val="255"/>
        </w:trPr>
        <w:tc>
          <w:tcPr>
            <w:tcW w:w="4839" w:type="dxa"/>
            <w:vAlign w:val="center"/>
          </w:tcPr>
          <w:p w14:paraId="70499B18" w14:textId="77777777" w:rsidR="005A472F" w:rsidRPr="00FD7B0B" w:rsidRDefault="005A472F" w:rsidP="00BE64F6">
            <w:pPr>
              <w:pStyle w:val="ad"/>
              <w:ind w:firstLine="34"/>
              <w:jc w:val="both"/>
              <w:rPr>
                <w:rFonts w:ascii="Times New Roman" w:hAnsi="Times New Roman"/>
              </w:rPr>
            </w:pPr>
            <w:r w:rsidRPr="00FD7B0B">
              <w:rPr>
                <w:rFonts w:ascii="Times New Roman" w:hAnsi="Times New Roman"/>
              </w:rPr>
              <w:lastRenderedPageBreak/>
              <w:t>Бокситы и глины, тыс.тонн</w:t>
            </w:r>
          </w:p>
          <w:p w14:paraId="52CFCB13" w14:textId="77777777" w:rsidR="005A472F" w:rsidRPr="00FD7B0B" w:rsidRDefault="005A472F" w:rsidP="00BE64F6">
            <w:pPr>
              <w:pStyle w:val="ad"/>
              <w:ind w:firstLine="34"/>
              <w:jc w:val="both"/>
              <w:rPr>
                <w:rFonts w:ascii="Times New Roman" w:hAnsi="Times New Roman"/>
              </w:rPr>
            </w:pPr>
          </w:p>
          <w:p w14:paraId="08AE6C5A" w14:textId="77777777" w:rsidR="005A472F" w:rsidRPr="00FD7B0B" w:rsidRDefault="005A472F" w:rsidP="00BE64F6">
            <w:pPr>
              <w:pStyle w:val="ad"/>
              <w:ind w:firstLine="34"/>
              <w:jc w:val="both"/>
              <w:rPr>
                <w:rFonts w:ascii="Times New Roman" w:hAnsi="Times New Roman"/>
              </w:rPr>
            </w:pPr>
          </w:p>
          <w:p w14:paraId="267F6102" w14:textId="77777777" w:rsidR="005A472F" w:rsidRPr="00FD7B0B" w:rsidRDefault="005A472F" w:rsidP="00BE64F6">
            <w:pPr>
              <w:pStyle w:val="ad"/>
              <w:ind w:firstLine="34"/>
              <w:jc w:val="both"/>
              <w:rPr>
                <w:rFonts w:ascii="Times New Roman" w:hAnsi="Times New Roman"/>
              </w:rPr>
            </w:pPr>
            <w:r w:rsidRPr="00FD7B0B">
              <w:rPr>
                <w:rFonts w:ascii="Times New Roman" w:hAnsi="Times New Roman"/>
              </w:rPr>
              <w:t xml:space="preserve"> тыс.тонн</w:t>
            </w:r>
          </w:p>
        </w:tc>
        <w:tc>
          <w:tcPr>
            <w:tcW w:w="1709" w:type="dxa"/>
            <w:vAlign w:val="bottom"/>
          </w:tcPr>
          <w:p w14:paraId="7FB958EC" w14:textId="77777777" w:rsidR="005A472F" w:rsidRPr="00FD7B0B" w:rsidRDefault="005A472F" w:rsidP="00BE64F6">
            <w:pPr>
              <w:pStyle w:val="ad"/>
              <w:jc w:val="right"/>
              <w:rPr>
                <w:rFonts w:ascii="Times New Roman" w:hAnsi="Times New Roman"/>
              </w:rPr>
            </w:pPr>
            <w:r w:rsidRPr="00FD7B0B">
              <w:rPr>
                <w:rFonts w:ascii="Times New Roman" w:hAnsi="Times New Roman"/>
              </w:rPr>
              <w:t>559,2</w:t>
            </w:r>
          </w:p>
        </w:tc>
        <w:tc>
          <w:tcPr>
            <w:tcW w:w="1371" w:type="dxa"/>
            <w:vAlign w:val="bottom"/>
          </w:tcPr>
          <w:p w14:paraId="049555B7" w14:textId="77777777" w:rsidR="005A472F" w:rsidRPr="00FD7B0B" w:rsidRDefault="005A472F" w:rsidP="00BE64F6">
            <w:pPr>
              <w:pStyle w:val="ad"/>
              <w:jc w:val="right"/>
              <w:rPr>
                <w:rFonts w:ascii="Times New Roman" w:hAnsi="Times New Roman"/>
              </w:rPr>
            </w:pPr>
            <w:r w:rsidRPr="00FD7B0B">
              <w:rPr>
                <w:rFonts w:ascii="Times New Roman" w:hAnsi="Times New Roman"/>
              </w:rPr>
              <w:t>564,3</w:t>
            </w:r>
          </w:p>
        </w:tc>
        <w:tc>
          <w:tcPr>
            <w:tcW w:w="1371" w:type="dxa"/>
          </w:tcPr>
          <w:p w14:paraId="70060A3F" w14:textId="77777777" w:rsidR="005A472F" w:rsidRPr="00FD7B0B" w:rsidRDefault="005A472F" w:rsidP="00BE64F6">
            <w:pPr>
              <w:pStyle w:val="ad"/>
              <w:jc w:val="right"/>
              <w:rPr>
                <w:rFonts w:ascii="Times New Roman" w:hAnsi="Times New Roman"/>
              </w:rPr>
            </w:pPr>
            <w:r w:rsidRPr="00FD7B0B">
              <w:rPr>
                <w:rFonts w:ascii="Times New Roman" w:hAnsi="Times New Roman"/>
              </w:rPr>
              <w:t>699,2</w:t>
            </w:r>
          </w:p>
        </w:tc>
      </w:tr>
      <w:tr w:rsidR="00FD7B0B" w:rsidRPr="00FD7B0B" w14:paraId="63C7F20F" w14:textId="77777777" w:rsidTr="00BE64F6">
        <w:trPr>
          <w:trHeight w:hRule="exact" w:val="255"/>
        </w:trPr>
        <w:tc>
          <w:tcPr>
            <w:tcW w:w="4839" w:type="dxa"/>
            <w:vAlign w:val="center"/>
          </w:tcPr>
          <w:p w14:paraId="232678D5" w14:textId="77777777" w:rsidR="005A472F" w:rsidRPr="00FD7B0B" w:rsidRDefault="005A472F" w:rsidP="00BE64F6">
            <w:pPr>
              <w:pStyle w:val="ad"/>
              <w:ind w:firstLine="34"/>
              <w:jc w:val="both"/>
              <w:rPr>
                <w:rFonts w:ascii="Times New Roman" w:hAnsi="Times New Roman"/>
              </w:rPr>
            </w:pPr>
            <w:r w:rsidRPr="00FD7B0B">
              <w:rPr>
                <w:rFonts w:ascii="Times New Roman" w:hAnsi="Times New Roman"/>
              </w:rPr>
              <w:t>Известняки,</w:t>
            </w:r>
            <w:r w:rsidRPr="00FD7B0B">
              <w:t xml:space="preserve"> </w:t>
            </w:r>
            <w:r w:rsidRPr="00FD7B0B">
              <w:rPr>
                <w:rFonts w:ascii="Times New Roman" w:hAnsi="Times New Roman"/>
              </w:rPr>
              <w:t>тыс.тонн</w:t>
            </w:r>
          </w:p>
        </w:tc>
        <w:tc>
          <w:tcPr>
            <w:tcW w:w="1709" w:type="dxa"/>
            <w:vAlign w:val="bottom"/>
          </w:tcPr>
          <w:p w14:paraId="15F64146" w14:textId="77777777" w:rsidR="005A472F" w:rsidRPr="00FD7B0B" w:rsidRDefault="005A472F" w:rsidP="00BE64F6">
            <w:pPr>
              <w:pStyle w:val="ad"/>
              <w:jc w:val="right"/>
              <w:rPr>
                <w:rFonts w:ascii="Times New Roman" w:hAnsi="Times New Roman"/>
              </w:rPr>
            </w:pPr>
            <w:r w:rsidRPr="00FD7B0B">
              <w:rPr>
                <w:rFonts w:ascii="Times New Roman" w:hAnsi="Times New Roman"/>
              </w:rPr>
              <w:t>275,1</w:t>
            </w:r>
          </w:p>
        </w:tc>
        <w:tc>
          <w:tcPr>
            <w:tcW w:w="1371" w:type="dxa"/>
            <w:vAlign w:val="bottom"/>
          </w:tcPr>
          <w:p w14:paraId="2332CF42" w14:textId="77777777" w:rsidR="005A472F" w:rsidRPr="00FD7B0B" w:rsidRDefault="005A472F" w:rsidP="00BE64F6">
            <w:pPr>
              <w:pStyle w:val="ad"/>
              <w:jc w:val="right"/>
              <w:rPr>
                <w:rFonts w:ascii="Times New Roman" w:hAnsi="Times New Roman"/>
              </w:rPr>
            </w:pPr>
            <w:r w:rsidRPr="00FD7B0B">
              <w:rPr>
                <w:rFonts w:ascii="Times New Roman" w:hAnsi="Times New Roman"/>
              </w:rPr>
              <w:t>125,7</w:t>
            </w:r>
          </w:p>
        </w:tc>
        <w:tc>
          <w:tcPr>
            <w:tcW w:w="1371" w:type="dxa"/>
          </w:tcPr>
          <w:p w14:paraId="6F45CC9F" w14:textId="77777777" w:rsidR="005A472F" w:rsidRPr="00FD7B0B" w:rsidRDefault="005A472F" w:rsidP="00BE64F6">
            <w:pPr>
              <w:pStyle w:val="ad"/>
              <w:jc w:val="right"/>
              <w:rPr>
                <w:rFonts w:ascii="Times New Roman" w:hAnsi="Times New Roman"/>
              </w:rPr>
            </w:pPr>
            <w:r w:rsidRPr="00FD7B0B">
              <w:rPr>
                <w:rFonts w:ascii="Times New Roman" w:hAnsi="Times New Roman"/>
              </w:rPr>
              <w:t>50,1</w:t>
            </w:r>
          </w:p>
        </w:tc>
      </w:tr>
      <w:tr w:rsidR="00FD7B0B" w:rsidRPr="00FD7B0B" w14:paraId="5460A96C" w14:textId="77777777" w:rsidTr="00BE64F6">
        <w:trPr>
          <w:trHeight w:hRule="exact" w:val="255"/>
        </w:trPr>
        <w:tc>
          <w:tcPr>
            <w:tcW w:w="4839" w:type="dxa"/>
            <w:vAlign w:val="center"/>
          </w:tcPr>
          <w:p w14:paraId="089E24DC" w14:textId="77777777" w:rsidR="005A472F" w:rsidRPr="00FD7B0B" w:rsidRDefault="005A472F" w:rsidP="00BE64F6">
            <w:pPr>
              <w:pStyle w:val="ad"/>
              <w:ind w:firstLine="34"/>
              <w:jc w:val="both"/>
              <w:rPr>
                <w:rFonts w:ascii="Times New Roman" w:hAnsi="Times New Roman"/>
              </w:rPr>
            </w:pPr>
            <w:r w:rsidRPr="00FD7B0B">
              <w:rPr>
                <w:rFonts w:ascii="Times New Roman" w:hAnsi="Times New Roman"/>
              </w:rPr>
              <w:t>Камень гипсовый, гипс, тыс.тонн</w:t>
            </w:r>
          </w:p>
        </w:tc>
        <w:tc>
          <w:tcPr>
            <w:tcW w:w="1709" w:type="dxa"/>
            <w:vAlign w:val="bottom"/>
          </w:tcPr>
          <w:p w14:paraId="35F8C59E" w14:textId="77777777" w:rsidR="005A472F" w:rsidRPr="00FD7B0B" w:rsidRDefault="005A472F" w:rsidP="00BE64F6">
            <w:pPr>
              <w:pStyle w:val="ad"/>
              <w:jc w:val="right"/>
              <w:rPr>
                <w:rFonts w:ascii="Times New Roman" w:hAnsi="Times New Roman"/>
              </w:rPr>
            </w:pPr>
            <w:r w:rsidRPr="00FD7B0B">
              <w:rPr>
                <w:rFonts w:ascii="Times New Roman" w:hAnsi="Times New Roman"/>
              </w:rPr>
              <w:t>708,4</w:t>
            </w:r>
          </w:p>
        </w:tc>
        <w:tc>
          <w:tcPr>
            <w:tcW w:w="1371" w:type="dxa"/>
            <w:vAlign w:val="bottom"/>
          </w:tcPr>
          <w:p w14:paraId="23C212FF" w14:textId="77777777" w:rsidR="005A472F" w:rsidRPr="00FD7B0B" w:rsidRDefault="005A472F" w:rsidP="00BE64F6">
            <w:pPr>
              <w:pStyle w:val="ad"/>
              <w:jc w:val="right"/>
              <w:rPr>
                <w:rFonts w:ascii="Times New Roman" w:hAnsi="Times New Roman"/>
              </w:rPr>
            </w:pPr>
            <w:r w:rsidRPr="00FD7B0B">
              <w:rPr>
                <w:rFonts w:ascii="Times New Roman" w:hAnsi="Times New Roman"/>
              </w:rPr>
              <w:t>738,6</w:t>
            </w:r>
          </w:p>
        </w:tc>
        <w:tc>
          <w:tcPr>
            <w:tcW w:w="1371" w:type="dxa"/>
          </w:tcPr>
          <w:p w14:paraId="675F76E2" w14:textId="77777777" w:rsidR="005A472F" w:rsidRPr="00FD7B0B" w:rsidRDefault="005A472F" w:rsidP="00BE64F6">
            <w:pPr>
              <w:pStyle w:val="ad"/>
              <w:jc w:val="right"/>
              <w:rPr>
                <w:rFonts w:ascii="Times New Roman" w:hAnsi="Times New Roman"/>
              </w:rPr>
            </w:pPr>
            <w:r w:rsidRPr="00FD7B0B">
              <w:rPr>
                <w:rFonts w:ascii="Times New Roman" w:hAnsi="Times New Roman"/>
              </w:rPr>
              <w:t>682,0</w:t>
            </w:r>
          </w:p>
        </w:tc>
      </w:tr>
      <w:tr w:rsidR="005A472F" w:rsidRPr="00FD7B0B" w14:paraId="0B8DB4CC" w14:textId="77777777" w:rsidTr="00BE64F6">
        <w:trPr>
          <w:trHeight w:hRule="exact" w:val="257"/>
        </w:trPr>
        <w:tc>
          <w:tcPr>
            <w:tcW w:w="4839" w:type="dxa"/>
            <w:vAlign w:val="center"/>
          </w:tcPr>
          <w:p w14:paraId="1B506E9A" w14:textId="77777777" w:rsidR="005A472F" w:rsidRPr="00FD7B0B" w:rsidRDefault="005A472F" w:rsidP="00BE64F6">
            <w:pPr>
              <w:pStyle w:val="ad"/>
              <w:ind w:firstLine="34"/>
              <w:jc w:val="both"/>
              <w:rPr>
                <w:rFonts w:ascii="Times New Roman" w:hAnsi="Times New Roman"/>
              </w:rPr>
            </w:pPr>
            <w:r w:rsidRPr="00FD7B0B">
              <w:rPr>
                <w:rFonts w:ascii="Times New Roman" w:hAnsi="Times New Roman"/>
              </w:rPr>
              <w:t>Граниты, базальты, тыс.куб.м</w:t>
            </w:r>
          </w:p>
        </w:tc>
        <w:tc>
          <w:tcPr>
            <w:tcW w:w="1709" w:type="dxa"/>
            <w:vAlign w:val="bottom"/>
          </w:tcPr>
          <w:p w14:paraId="77AFBFAA" w14:textId="77777777" w:rsidR="005A472F" w:rsidRPr="00FD7B0B" w:rsidRDefault="005A472F" w:rsidP="00BE64F6">
            <w:pPr>
              <w:pStyle w:val="ad"/>
              <w:jc w:val="right"/>
              <w:rPr>
                <w:rFonts w:ascii="Times New Roman" w:hAnsi="Times New Roman"/>
              </w:rPr>
            </w:pPr>
            <w:r w:rsidRPr="00FD7B0B">
              <w:rPr>
                <w:rFonts w:ascii="Times New Roman" w:hAnsi="Times New Roman"/>
              </w:rPr>
              <w:t>853,6</w:t>
            </w:r>
          </w:p>
        </w:tc>
        <w:tc>
          <w:tcPr>
            <w:tcW w:w="1371" w:type="dxa"/>
            <w:vAlign w:val="bottom"/>
          </w:tcPr>
          <w:p w14:paraId="2C58E607" w14:textId="77777777" w:rsidR="005A472F" w:rsidRPr="00FD7B0B" w:rsidRDefault="005A472F" w:rsidP="00BE64F6">
            <w:pPr>
              <w:pStyle w:val="ad"/>
              <w:jc w:val="right"/>
              <w:rPr>
                <w:rFonts w:ascii="Times New Roman" w:hAnsi="Times New Roman"/>
              </w:rPr>
            </w:pPr>
            <w:r w:rsidRPr="00FD7B0B">
              <w:rPr>
                <w:rFonts w:ascii="Times New Roman" w:hAnsi="Times New Roman"/>
              </w:rPr>
              <w:t>1 108,3</w:t>
            </w:r>
          </w:p>
        </w:tc>
        <w:tc>
          <w:tcPr>
            <w:tcW w:w="1371" w:type="dxa"/>
          </w:tcPr>
          <w:p w14:paraId="697D6B63" w14:textId="77777777" w:rsidR="005A472F" w:rsidRPr="00FD7B0B" w:rsidRDefault="005A472F" w:rsidP="00BE64F6">
            <w:pPr>
              <w:pStyle w:val="ad"/>
              <w:jc w:val="right"/>
              <w:rPr>
                <w:rFonts w:ascii="Times New Roman" w:hAnsi="Times New Roman"/>
              </w:rPr>
            </w:pPr>
            <w:r w:rsidRPr="00FD7B0B">
              <w:rPr>
                <w:rFonts w:ascii="Times New Roman" w:hAnsi="Times New Roman"/>
              </w:rPr>
              <w:t>974,29</w:t>
            </w:r>
          </w:p>
        </w:tc>
      </w:tr>
    </w:tbl>
    <w:p w14:paraId="565DA4F0" w14:textId="77777777" w:rsidR="005A472F" w:rsidRPr="00FD7B0B" w:rsidRDefault="005A472F" w:rsidP="005A472F">
      <w:pPr>
        <w:pStyle w:val="ad"/>
        <w:ind w:firstLine="709"/>
        <w:jc w:val="both"/>
        <w:rPr>
          <w:rFonts w:ascii="Times New Roman" w:hAnsi="Times New Roman"/>
          <w:sz w:val="28"/>
          <w:szCs w:val="28"/>
        </w:rPr>
      </w:pPr>
    </w:p>
    <w:p w14:paraId="618D792E"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При использовании уже открытых участков недр ежегодно открываются новые месторождения, что обеспечивает дополнительные поступления в бюджет региона.</w:t>
      </w:r>
    </w:p>
    <w:p w14:paraId="0B6ECC6E" w14:textId="39350979" w:rsidR="005A472F" w:rsidRPr="00FD7B0B" w:rsidRDefault="005A472F" w:rsidP="00DF48A4">
      <w:pPr>
        <w:pStyle w:val="ad"/>
        <w:ind w:firstLine="709"/>
        <w:jc w:val="both"/>
        <w:rPr>
          <w:rFonts w:ascii="Times New Roman" w:hAnsi="Times New Roman"/>
          <w:sz w:val="28"/>
          <w:szCs w:val="28"/>
        </w:rPr>
      </w:pPr>
      <w:r w:rsidRPr="00FD7B0B">
        <w:rPr>
          <w:rFonts w:ascii="Times New Roman" w:hAnsi="Times New Roman"/>
          <w:sz w:val="28"/>
          <w:szCs w:val="28"/>
        </w:rPr>
        <w:t>По оперативным данным статистической отчетности на 01.01.2025 в Архангельской области (без НАО) количество хозяйствующих субъектов без учета индивидуальных предпринимателей (по виду экономической деятельности, заявленному в качестве основного при государственной регистрации) за отчетный год на 01.01.2024 составляет 16 555 единиц, что представлено в таблице</w:t>
      </w:r>
      <w:r w:rsidR="00DF48A4" w:rsidRPr="00FD7B0B">
        <w:rPr>
          <w:rFonts w:ascii="Times New Roman" w:hAnsi="Times New Roman"/>
          <w:sz w:val="28"/>
          <w:szCs w:val="28"/>
        </w:rPr>
        <w:t xml:space="preserve"> </w:t>
      </w:r>
      <w:r w:rsidR="006B033D" w:rsidRPr="00FD7B0B">
        <w:rPr>
          <w:rFonts w:ascii="Times New Roman" w:hAnsi="Times New Roman"/>
          <w:sz w:val="28"/>
          <w:szCs w:val="28"/>
        </w:rPr>
        <w:t>4</w:t>
      </w:r>
      <w:r w:rsidRPr="00FD7B0B">
        <w:rPr>
          <w:rFonts w:ascii="Times New Roman" w:hAnsi="Times New Roman"/>
          <w:sz w:val="28"/>
          <w:szCs w:val="28"/>
        </w:rPr>
        <w:t>.</w:t>
      </w:r>
    </w:p>
    <w:p w14:paraId="34A54EF6" w14:textId="77777777" w:rsidR="005A472F" w:rsidRPr="00FD7B0B" w:rsidRDefault="005A472F" w:rsidP="00DF48A4">
      <w:pPr>
        <w:pStyle w:val="ad"/>
        <w:ind w:firstLine="709"/>
        <w:jc w:val="both"/>
        <w:rPr>
          <w:rFonts w:ascii="Times New Roman" w:hAnsi="Times New Roman"/>
          <w:sz w:val="28"/>
          <w:szCs w:val="28"/>
        </w:rPr>
      </w:pPr>
    </w:p>
    <w:p w14:paraId="44D2F348" w14:textId="0D6AACD6"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w:t>
      </w:r>
      <w:r w:rsidRPr="00FD7B0B">
        <w:rPr>
          <w:rFonts w:ascii="Times New Roman" w:hAnsi="Times New Roman"/>
          <w:b w:val="0"/>
          <w:sz w:val="24"/>
          <w:szCs w:val="24"/>
        </w:rPr>
        <w:fldChar w:fldCharType="end"/>
      </w:r>
      <w:r w:rsidRPr="00FD7B0B">
        <w:rPr>
          <w:rFonts w:ascii="Times New Roman" w:hAnsi="Times New Roman"/>
          <w:b w:val="0"/>
          <w:sz w:val="24"/>
          <w:szCs w:val="24"/>
        </w:rPr>
        <w:t>. Количество хозяйствующих субъектов по отдельным видам экономической деятельности (по виду экономической деятельности, заявленному в качестве основного при государственной регистрации) в Архангельской области (без НАО) за 202</w:t>
      </w:r>
      <w:r w:rsidR="00A50F38" w:rsidRPr="00FD7B0B">
        <w:rPr>
          <w:rFonts w:ascii="Times New Roman" w:hAnsi="Times New Roman"/>
          <w:b w:val="0"/>
          <w:sz w:val="24"/>
          <w:szCs w:val="24"/>
        </w:rPr>
        <w:t>2</w:t>
      </w:r>
      <w:r w:rsidRPr="00FD7B0B">
        <w:rPr>
          <w:rFonts w:ascii="Times New Roman" w:hAnsi="Times New Roman"/>
          <w:b w:val="0"/>
          <w:sz w:val="24"/>
          <w:szCs w:val="24"/>
        </w:rPr>
        <w:t xml:space="preserve"> – 2024 гг.</w:t>
      </w:r>
    </w:p>
    <w:tbl>
      <w:tblPr>
        <w:tblW w:w="9638"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678"/>
        <w:gridCol w:w="993"/>
        <w:gridCol w:w="992"/>
        <w:gridCol w:w="1133"/>
        <w:gridCol w:w="850"/>
        <w:gridCol w:w="992"/>
      </w:tblGrid>
      <w:tr w:rsidR="00FD7B0B" w:rsidRPr="00FD7B0B" w14:paraId="1C0E81EA" w14:textId="77777777" w:rsidTr="00A50F38">
        <w:trPr>
          <w:trHeight w:val="689"/>
          <w:tblHeader/>
        </w:trPr>
        <w:tc>
          <w:tcPr>
            <w:tcW w:w="4678" w:type="dxa"/>
            <w:vMerge w:val="restart"/>
            <w:shd w:val="clear" w:color="auto" w:fill="auto"/>
            <w:vAlign w:val="center"/>
            <w:hideMark/>
          </w:tcPr>
          <w:p w14:paraId="6BCBE8AC" w14:textId="77777777" w:rsidR="00A50F38" w:rsidRPr="00FD7B0B" w:rsidRDefault="00A50F38"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Наименование показателя</w:t>
            </w:r>
          </w:p>
        </w:tc>
        <w:tc>
          <w:tcPr>
            <w:tcW w:w="993" w:type="dxa"/>
            <w:shd w:val="clear" w:color="auto" w:fill="auto"/>
            <w:vAlign w:val="center"/>
            <w:hideMark/>
          </w:tcPr>
          <w:p w14:paraId="7EB23429" w14:textId="77777777" w:rsidR="00A50F38" w:rsidRPr="00FD7B0B" w:rsidRDefault="00A50F38" w:rsidP="00BE64F6">
            <w:pPr>
              <w:spacing w:after="0" w:line="240" w:lineRule="auto"/>
              <w:ind w:left="-108" w:right="-109"/>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01.01.2023, ед.</w:t>
            </w:r>
          </w:p>
        </w:tc>
        <w:tc>
          <w:tcPr>
            <w:tcW w:w="992" w:type="dxa"/>
            <w:shd w:val="clear" w:color="auto" w:fill="auto"/>
            <w:vAlign w:val="center"/>
            <w:hideMark/>
          </w:tcPr>
          <w:p w14:paraId="1588177C" w14:textId="77777777" w:rsidR="00A50F38" w:rsidRPr="00FD7B0B" w:rsidRDefault="00A50F38" w:rsidP="00BE64F6">
            <w:pPr>
              <w:spacing w:after="0" w:line="240" w:lineRule="auto"/>
              <w:ind w:left="-108" w:right="-109"/>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01.01.2024, ед.</w:t>
            </w:r>
          </w:p>
        </w:tc>
        <w:tc>
          <w:tcPr>
            <w:tcW w:w="1133" w:type="dxa"/>
            <w:vAlign w:val="center"/>
          </w:tcPr>
          <w:p w14:paraId="20F9BD00" w14:textId="77777777" w:rsidR="00A50F38" w:rsidRPr="00FD7B0B" w:rsidRDefault="00A50F38" w:rsidP="00BE64F6">
            <w:pPr>
              <w:spacing w:after="0" w:line="240" w:lineRule="auto"/>
              <w:ind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01.01.2025, ед.</w:t>
            </w:r>
          </w:p>
        </w:tc>
        <w:tc>
          <w:tcPr>
            <w:tcW w:w="1842" w:type="dxa"/>
            <w:gridSpan w:val="2"/>
            <w:shd w:val="clear" w:color="auto" w:fill="auto"/>
            <w:vAlign w:val="center"/>
            <w:hideMark/>
          </w:tcPr>
          <w:p w14:paraId="27D47162" w14:textId="77777777" w:rsidR="00A50F38" w:rsidRPr="00FD7B0B" w:rsidRDefault="00A50F38"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Изменение</w:t>
            </w:r>
          </w:p>
        </w:tc>
      </w:tr>
      <w:tr w:rsidR="00FD7B0B" w:rsidRPr="00FD7B0B" w14:paraId="01B1518F" w14:textId="77777777" w:rsidTr="00A50F38">
        <w:trPr>
          <w:trHeight w:val="188"/>
          <w:tblHeader/>
        </w:trPr>
        <w:tc>
          <w:tcPr>
            <w:tcW w:w="4678" w:type="dxa"/>
            <w:vMerge/>
            <w:shd w:val="clear" w:color="auto" w:fill="auto"/>
            <w:vAlign w:val="center"/>
            <w:hideMark/>
          </w:tcPr>
          <w:p w14:paraId="739AA228" w14:textId="77777777" w:rsidR="00A50F38" w:rsidRPr="00FD7B0B" w:rsidRDefault="00A50F38" w:rsidP="00BE64F6">
            <w:pPr>
              <w:spacing w:after="0" w:line="240" w:lineRule="auto"/>
              <w:rPr>
                <w:rFonts w:ascii="Times New Roman" w:eastAsia="Times New Roman" w:hAnsi="Times New Roman" w:cs="Times New Roman"/>
                <w:lang w:eastAsia="ru-RU"/>
              </w:rPr>
            </w:pPr>
          </w:p>
        </w:tc>
        <w:tc>
          <w:tcPr>
            <w:tcW w:w="993" w:type="dxa"/>
            <w:shd w:val="clear" w:color="auto" w:fill="auto"/>
            <w:vAlign w:val="center"/>
            <w:hideMark/>
          </w:tcPr>
          <w:p w14:paraId="6D40F4B7" w14:textId="77777777" w:rsidR="00A50F38" w:rsidRPr="00FD7B0B" w:rsidRDefault="00A50F38" w:rsidP="00BE64F6">
            <w:pPr>
              <w:spacing w:after="0" w:line="240" w:lineRule="auto"/>
              <w:ind w:left="-108" w:right="-109"/>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 итогам 2022 года</w:t>
            </w:r>
          </w:p>
        </w:tc>
        <w:tc>
          <w:tcPr>
            <w:tcW w:w="992" w:type="dxa"/>
            <w:shd w:val="clear" w:color="auto" w:fill="auto"/>
            <w:vAlign w:val="center"/>
            <w:hideMark/>
          </w:tcPr>
          <w:p w14:paraId="6FF90524" w14:textId="77777777" w:rsidR="00A50F38" w:rsidRPr="00FD7B0B" w:rsidRDefault="00A50F38" w:rsidP="00BE64F6">
            <w:pPr>
              <w:spacing w:after="0" w:line="240" w:lineRule="auto"/>
              <w:ind w:left="-108" w:right="-109"/>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 итогам 2023 года</w:t>
            </w:r>
          </w:p>
        </w:tc>
        <w:tc>
          <w:tcPr>
            <w:tcW w:w="1133" w:type="dxa"/>
            <w:vAlign w:val="center"/>
          </w:tcPr>
          <w:p w14:paraId="3F472F3D" w14:textId="77777777" w:rsidR="00A50F38" w:rsidRPr="00FD7B0B" w:rsidRDefault="00A50F38"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 итогам 2024 года</w:t>
            </w:r>
          </w:p>
        </w:tc>
        <w:tc>
          <w:tcPr>
            <w:tcW w:w="1842" w:type="dxa"/>
            <w:gridSpan w:val="2"/>
            <w:shd w:val="clear" w:color="auto" w:fill="auto"/>
            <w:vAlign w:val="center"/>
            <w:hideMark/>
          </w:tcPr>
          <w:p w14:paraId="28EC0610" w14:textId="77777777" w:rsidR="00A50F38" w:rsidRPr="00FD7B0B" w:rsidRDefault="00A50F38"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года к 2023году</w:t>
            </w:r>
          </w:p>
        </w:tc>
      </w:tr>
      <w:tr w:rsidR="00FD7B0B" w:rsidRPr="00FD7B0B" w14:paraId="1B961C28" w14:textId="77777777" w:rsidTr="00A50F38">
        <w:trPr>
          <w:trHeight w:val="276"/>
          <w:tblHeader/>
        </w:trPr>
        <w:tc>
          <w:tcPr>
            <w:tcW w:w="4678" w:type="dxa"/>
            <w:shd w:val="clear" w:color="auto" w:fill="auto"/>
            <w:vAlign w:val="center"/>
            <w:hideMark/>
          </w:tcPr>
          <w:p w14:paraId="0A9281D7" w14:textId="77777777" w:rsidR="00A50F38" w:rsidRPr="00FD7B0B" w:rsidRDefault="00A50F38"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w:t>
            </w:r>
          </w:p>
        </w:tc>
        <w:tc>
          <w:tcPr>
            <w:tcW w:w="993" w:type="dxa"/>
            <w:shd w:val="clear" w:color="auto" w:fill="auto"/>
            <w:vAlign w:val="center"/>
            <w:hideMark/>
          </w:tcPr>
          <w:p w14:paraId="6383A5FC" w14:textId="77777777" w:rsidR="00A50F38" w:rsidRPr="00FD7B0B" w:rsidRDefault="00A50F38"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992" w:type="dxa"/>
            <w:shd w:val="clear" w:color="auto" w:fill="auto"/>
            <w:vAlign w:val="center"/>
            <w:hideMark/>
          </w:tcPr>
          <w:p w14:paraId="4C83A5D7" w14:textId="77777777" w:rsidR="00A50F38" w:rsidRPr="00FD7B0B" w:rsidRDefault="00A50F38"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w:t>
            </w:r>
          </w:p>
        </w:tc>
        <w:tc>
          <w:tcPr>
            <w:tcW w:w="1133" w:type="dxa"/>
            <w:vAlign w:val="center"/>
          </w:tcPr>
          <w:p w14:paraId="717DF528" w14:textId="77777777" w:rsidR="00A50F38" w:rsidRPr="00FD7B0B" w:rsidRDefault="00A50F38" w:rsidP="00BE64F6">
            <w:pPr>
              <w:spacing w:after="0" w:line="240" w:lineRule="auto"/>
              <w:ind w:left="-10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850" w:type="dxa"/>
            <w:shd w:val="clear" w:color="auto" w:fill="auto"/>
            <w:vAlign w:val="center"/>
            <w:hideMark/>
          </w:tcPr>
          <w:p w14:paraId="0832E763" w14:textId="77777777" w:rsidR="00A50F38" w:rsidRPr="00FD7B0B" w:rsidRDefault="00A50F38" w:rsidP="00BE64F6">
            <w:pPr>
              <w:spacing w:after="0" w:line="240" w:lineRule="auto"/>
              <w:ind w:left="-10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6=5-4,</w:t>
            </w:r>
          </w:p>
          <w:p w14:paraId="23E36B27" w14:textId="77777777" w:rsidR="00A50F38" w:rsidRPr="00FD7B0B" w:rsidRDefault="00A50F38" w:rsidP="00BE64F6">
            <w:pPr>
              <w:spacing w:after="0" w:line="240" w:lineRule="auto"/>
              <w:ind w:left="-10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ед.</w:t>
            </w:r>
          </w:p>
        </w:tc>
        <w:tc>
          <w:tcPr>
            <w:tcW w:w="992" w:type="dxa"/>
            <w:shd w:val="clear" w:color="auto" w:fill="auto"/>
            <w:vAlign w:val="center"/>
            <w:hideMark/>
          </w:tcPr>
          <w:p w14:paraId="669274C2" w14:textId="77777777" w:rsidR="00A50F38" w:rsidRPr="00FD7B0B" w:rsidRDefault="00A50F38" w:rsidP="00BE64F6">
            <w:pPr>
              <w:spacing w:after="0" w:line="240" w:lineRule="auto"/>
              <w:ind w:left="-10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7=5/4*100, %.</w:t>
            </w:r>
          </w:p>
        </w:tc>
      </w:tr>
      <w:tr w:rsidR="00FD7B0B" w:rsidRPr="00FD7B0B" w14:paraId="493E013B" w14:textId="77777777" w:rsidTr="00A50F38">
        <w:trPr>
          <w:trHeight w:val="68"/>
        </w:trPr>
        <w:tc>
          <w:tcPr>
            <w:tcW w:w="4678" w:type="dxa"/>
            <w:shd w:val="clear" w:color="auto" w:fill="auto"/>
            <w:vAlign w:val="bottom"/>
            <w:hideMark/>
          </w:tcPr>
          <w:p w14:paraId="68C2F0A9" w14:textId="77777777" w:rsidR="00A50F38" w:rsidRPr="00FD7B0B" w:rsidRDefault="00A50F38" w:rsidP="00BE64F6">
            <w:pPr>
              <w:spacing w:after="0" w:line="240" w:lineRule="auto"/>
              <w:ind w:left="-10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 хозяйствующих субъектов, из них:</w:t>
            </w:r>
          </w:p>
        </w:tc>
        <w:tc>
          <w:tcPr>
            <w:tcW w:w="993" w:type="dxa"/>
            <w:shd w:val="clear" w:color="auto" w:fill="auto"/>
            <w:vAlign w:val="bottom"/>
            <w:hideMark/>
          </w:tcPr>
          <w:p w14:paraId="684D2420"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17 463 </w:t>
            </w:r>
          </w:p>
        </w:tc>
        <w:tc>
          <w:tcPr>
            <w:tcW w:w="992" w:type="dxa"/>
            <w:shd w:val="clear" w:color="auto" w:fill="auto"/>
            <w:vAlign w:val="bottom"/>
            <w:hideMark/>
          </w:tcPr>
          <w:p w14:paraId="726FD735"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17 255 </w:t>
            </w:r>
          </w:p>
        </w:tc>
        <w:tc>
          <w:tcPr>
            <w:tcW w:w="1133" w:type="dxa"/>
            <w:vAlign w:val="bottom"/>
          </w:tcPr>
          <w:p w14:paraId="47A0088F"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16 555 </w:t>
            </w:r>
          </w:p>
        </w:tc>
        <w:tc>
          <w:tcPr>
            <w:tcW w:w="850" w:type="dxa"/>
            <w:shd w:val="clear" w:color="auto" w:fill="auto"/>
            <w:noWrap/>
            <w:vAlign w:val="bottom"/>
            <w:hideMark/>
          </w:tcPr>
          <w:p w14:paraId="61753CF9"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-700 </w:t>
            </w:r>
          </w:p>
        </w:tc>
        <w:tc>
          <w:tcPr>
            <w:tcW w:w="992" w:type="dxa"/>
            <w:shd w:val="clear" w:color="auto" w:fill="auto"/>
            <w:noWrap/>
            <w:vAlign w:val="bottom"/>
            <w:hideMark/>
          </w:tcPr>
          <w:p w14:paraId="69B1134B"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-4,1 </w:t>
            </w:r>
          </w:p>
        </w:tc>
      </w:tr>
      <w:tr w:rsidR="00FD7B0B" w:rsidRPr="00FD7B0B" w14:paraId="03C7C121" w14:textId="77777777" w:rsidTr="00A50F38">
        <w:trPr>
          <w:trHeight w:val="333"/>
        </w:trPr>
        <w:tc>
          <w:tcPr>
            <w:tcW w:w="4678" w:type="dxa"/>
            <w:shd w:val="clear" w:color="auto" w:fill="auto"/>
            <w:vAlign w:val="bottom"/>
            <w:hideMark/>
          </w:tcPr>
          <w:p w14:paraId="6AC21E3B"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сельское, лесное хозяйство, охота, рыболовство и рыбоводство </w:t>
            </w:r>
          </w:p>
        </w:tc>
        <w:tc>
          <w:tcPr>
            <w:tcW w:w="993" w:type="dxa"/>
            <w:shd w:val="clear" w:color="auto" w:fill="auto"/>
            <w:noWrap/>
            <w:vAlign w:val="bottom"/>
            <w:hideMark/>
          </w:tcPr>
          <w:p w14:paraId="514EEE28"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544 </w:t>
            </w:r>
          </w:p>
        </w:tc>
        <w:tc>
          <w:tcPr>
            <w:tcW w:w="992" w:type="dxa"/>
            <w:shd w:val="clear" w:color="auto" w:fill="auto"/>
            <w:vAlign w:val="bottom"/>
            <w:hideMark/>
          </w:tcPr>
          <w:p w14:paraId="5C135171"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524 </w:t>
            </w:r>
          </w:p>
        </w:tc>
        <w:tc>
          <w:tcPr>
            <w:tcW w:w="1133" w:type="dxa"/>
            <w:vAlign w:val="bottom"/>
          </w:tcPr>
          <w:p w14:paraId="6C283EE1"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487 </w:t>
            </w:r>
          </w:p>
        </w:tc>
        <w:tc>
          <w:tcPr>
            <w:tcW w:w="850" w:type="dxa"/>
            <w:shd w:val="clear" w:color="auto" w:fill="auto"/>
            <w:noWrap/>
            <w:vAlign w:val="bottom"/>
            <w:hideMark/>
          </w:tcPr>
          <w:p w14:paraId="5F012DFB"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-37 </w:t>
            </w:r>
          </w:p>
        </w:tc>
        <w:tc>
          <w:tcPr>
            <w:tcW w:w="992" w:type="dxa"/>
            <w:shd w:val="clear" w:color="auto" w:fill="auto"/>
            <w:noWrap/>
            <w:vAlign w:val="bottom"/>
            <w:hideMark/>
          </w:tcPr>
          <w:p w14:paraId="4B4DD3EB"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-7,1</w:t>
            </w:r>
          </w:p>
        </w:tc>
      </w:tr>
      <w:tr w:rsidR="00FD7B0B" w:rsidRPr="00FD7B0B" w14:paraId="56221B12" w14:textId="77777777" w:rsidTr="00A50F38">
        <w:trPr>
          <w:trHeight w:val="216"/>
        </w:trPr>
        <w:tc>
          <w:tcPr>
            <w:tcW w:w="4678" w:type="dxa"/>
            <w:shd w:val="clear" w:color="auto" w:fill="auto"/>
            <w:vAlign w:val="bottom"/>
            <w:hideMark/>
          </w:tcPr>
          <w:p w14:paraId="2148D1E7"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добыча полезных ископаемых</w:t>
            </w:r>
          </w:p>
        </w:tc>
        <w:tc>
          <w:tcPr>
            <w:tcW w:w="993" w:type="dxa"/>
            <w:shd w:val="clear" w:color="auto" w:fill="auto"/>
            <w:noWrap/>
            <w:vAlign w:val="bottom"/>
            <w:hideMark/>
          </w:tcPr>
          <w:p w14:paraId="580389B2"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62 </w:t>
            </w:r>
          </w:p>
        </w:tc>
        <w:tc>
          <w:tcPr>
            <w:tcW w:w="992" w:type="dxa"/>
            <w:shd w:val="clear" w:color="auto" w:fill="auto"/>
            <w:vAlign w:val="bottom"/>
            <w:hideMark/>
          </w:tcPr>
          <w:p w14:paraId="1AC64C54"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65 </w:t>
            </w:r>
          </w:p>
        </w:tc>
        <w:tc>
          <w:tcPr>
            <w:tcW w:w="1133" w:type="dxa"/>
            <w:vAlign w:val="bottom"/>
          </w:tcPr>
          <w:p w14:paraId="446B041D"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66 </w:t>
            </w:r>
          </w:p>
        </w:tc>
        <w:tc>
          <w:tcPr>
            <w:tcW w:w="850" w:type="dxa"/>
            <w:shd w:val="clear" w:color="auto" w:fill="auto"/>
            <w:noWrap/>
            <w:vAlign w:val="bottom"/>
            <w:hideMark/>
          </w:tcPr>
          <w:p w14:paraId="58899EF5"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 </w:t>
            </w:r>
          </w:p>
        </w:tc>
        <w:tc>
          <w:tcPr>
            <w:tcW w:w="992" w:type="dxa"/>
            <w:shd w:val="clear" w:color="auto" w:fill="auto"/>
            <w:noWrap/>
            <w:vAlign w:val="bottom"/>
            <w:hideMark/>
          </w:tcPr>
          <w:p w14:paraId="32A3EF5A"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1,5 </w:t>
            </w:r>
          </w:p>
        </w:tc>
      </w:tr>
      <w:tr w:rsidR="00FD7B0B" w:rsidRPr="00FD7B0B" w14:paraId="70B01D04" w14:textId="77777777" w:rsidTr="00A50F38">
        <w:trPr>
          <w:trHeight w:val="202"/>
        </w:trPr>
        <w:tc>
          <w:tcPr>
            <w:tcW w:w="4678" w:type="dxa"/>
            <w:shd w:val="clear" w:color="auto" w:fill="auto"/>
            <w:vAlign w:val="bottom"/>
            <w:hideMark/>
          </w:tcPr>
          <w:p w14:paraId="75757766"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обрабатывающие производства</w:t>
            </w:r>
          </w:p>
        </w:tc>
        <w:tc>
          <w:tcPr>
            <w:tcW w:w="993" w:type="dxa"/>
            <w:shd w:val="clear" w:color="auto" w:fill="auto"/>
            <w:noWrap/>
            <w:vAlign w:val="bottom"/>
            <w:hideMark/>
          </w:tcPr>
          <w:p w14:paraId="7F4BF853"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1 111 </w:t>
            </w:r>
          </w:p>
        </w:tc>
        <w:tc>
          <w:tcPr>
            <w:tcW w:w="992" w:type="dxa"/>
            <w:shd w:val="clear" w:color="auto" w:fill="auto"/>
            <w:vAlign w:val="bottom"/>
            <w:hideMark/>
          </w:tcPr>
          <w:p w14:paraId="208293E5"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1 083 </w:t>
            </w:r>
          </w:p>
        </w:tc>
        <w:tc>
          <w:tcPr>
            <w:tcW w:w="1133" w:type="dxa"/>
            <w:vAlign w:val="bottom"/>
          </w:tcPr>
          <w:p w14:paraId="4C7088E4"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1 026 </w:t>
            </w:r>
          </w:p>
        </w:tc>
        <w:tc>
          <w:tcPr>
            <w:tcW w:w="850" w:type="dxa"/>
            <w:shd w:val="clear" w:color="auto" w:fill="auto"/>
            <w:noWrap/>
            <w:vAlign w:val="bottom"/>
            <w:hideMark/>
          </w:tcPr>
          <w:p w14:paraId="14405E5C"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-57 </w:t>
            </w:r>
          </w:p>
        </w:tc>
        <w:tc>
          <w:tcPr>
            <w:tcW w:w="992" w:type="dxa"/>
            <w:shd w:val="clear" w:color="auto" w:fill="auto"/>
            <w:noWrap/>
            <w:vAlign w:val="bottom"/>
            <w:hideMark/>
          </w:tcPr>
          <w:p w14:paraId="0470A680"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-5,3 </w:t>
            </w:r>
          </w:p>
        </w:tc>
      </w:tr>
      <w:tr w:rsidR="00FD7B0B" w:rsidRPr="00FD7B0B" w14:paraId="60B6CA64" w14:textId="77777777" w:rsidTr="00A50F38">
        <w:trPr>
          <w:trHeight w:val="460"/>
        </w:trPr>
        <w:tc>
          <w:tcPr>
            <w:tcW w:w="4678" w:type="dxa"/>
            <w:shd w:val="clear" w:color="auto" w:fill="auto"/>
            <w:vAlign w:val="bottom"/>
            <w:hideMark/>
          </w:tcPr>
          <w:p w14:paraId="2F561C37"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обеспечение электрической энергией, газом и паром; кондиционирование воздуха</w:t>
            </w:r>
          </w:p>
        </w:tc>
        <w:tc>
          <w:tcPr>
            <w:tcW w:w="993" w:type="dxa"/>
            <w:shd w:val="clear" w:color="auto" w:fill="auto"/>
            <w:noWrap/>
            <w:vAlign w:val="bottom"/>
            <w:hideMark/>
          </w:tcPr>
          <w:p w14:paraId="510AA155"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233 </w:t>
            </w:r>
          </w:p>
        </w:tc>
        <w:tc>
          <w:tcPr>
            <w:tcW w:w="992" w:type="dxa"/>
            <w:shd w:val="clear" w:color="auto" w:fill="auto"/>
            <w:vAlign w:val="bottom"/>
            <w:hideMark/>
          </w:tcPr>
          <w:p w14:paraId="1FDC2853"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219 </w:t>
            </w:r>
          </w:p>
        </w:tc>
        <w:tc>
          <w:tcPr>
            <w:tcW w:w="1133" w:type="dxa"/>
            <w:vAlign w:val="bottom"/>
          </w:tcPr>
          <w:p w14:paraId="5C03C7F3"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204 </w:t>
            </w:r>
          </w:p>
        </w:tc>
        <w:tc>
          <w:tcPr>
            <w:tcW w:w="850" w:type="dxa"/>
            <w:shd w:val="clear" w:color="auto" w:fill="auto"/>
            <w:noWrap/>
            <w:vAlign w:val="bottom"/>
            <w:hideMark/>
          </w:tcPr>
          <w:p w14:paraId="181AA047"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-15 </w:t>
            </w:r>
          </w:p>
        </w:tc>
        <w:tc>
          <w:tcPr>
            <w:tcW w:w="992" w:type="dxa"/>
            <w:shd w:val="clear" w:color="auto" w:fill="auto"/>
            <w:noWrap/>
            <w:vAlign w:val="bottom"/>
            <w:hideMark/>
          </w:tcPr>
          <w:p w14:paraId="508385F4"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-6,8 </w:t>
            </w:r>
          </w:p>
        </w:tc>
      </w:tr>
      <w:tr w:rsidR="00FD7B0B" w:rsidRPr="00FD7B0B" w14:paraId="575A2A9E" w14:textId="77777777" w:rsidTr="00A50F38">
        <w:trPr>
          <w:trHeight w:val="412"/>
        </w:trPr>
        <w:tc>
          <w:tcPr>
            <w:tcW w:w="4678" w:type="dxa"/>
            <w:shd w:val="clear" w:color="auto" w:fill="auto"/>
            <w:vAlign w:val="bottom"/>
            <w:hideMark/>
          </w:tcPr>
          <w:p w14:paraId="5F7F359E"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водоснабжение, водоотведение, организация сбора и утилизация отходов… </w:t>
            </w:r>
          </w:p>
        </w:tc>
        <w:tc>
          <w:tcPr>
            <w:tcW w:w="993" w:type="dxa"/>
            <w:shd w:val="clear" w:color="auto" w:fill="auto"/>
            <w:noWrap/>
            <w:vAlign w:val="bottom"/>
            <w:hideMark/>
          </w:tcPr>
          <w:p w14:paraId="76D9458B"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159 </w:t>
            </w:r>
          </w:p>
        </w:tc>
        <w:tc>
          <w:tcPr>
            <w:tcW w:w="992" w:type="dxa"/>
            <w:shd w:val="clear" w:color="auto" w:fill="auto"/>
            <w:vAlign w:val="bottom"/>
            <w:hideMark/>
          </w:tcPr>
          <w:p w14:paraId="084DDC43"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161 </w:t>
            </w:r>
          </w:p>
        </w:tc>
        <w:tc>
          <w:tcPr>
            <w:tcW w:w="1133" w:type="dxa"/>
            <w:vAlign w:val="bottom"/>
          </w:tcPr>
          <w:p w14:paraId="2E07A612"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163 </w:t>
            </w:r>
          </w:p>
        </w:tc>
        <w:tc>
          <w:tcPr>
            <w:tcW w:w="850" w:type="dxa"/>
            <w:shd w:val="clear" w:color="auto" w:fill="auto"/>
            <w:noWrap/>
            <w:vAlign w:val="bottom"/>
            <w:hideMark/>
          </w:tcPr>
          <w:p w14:paraId="767ACF10"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2 </w:t>
            </w:r>
          </w:p>
        </w:tc>
        <w:tc>
          <w:tcPr>
            <w:tcW w:w="992" w:type="dxa"/>
            <w:shd w:val="clear" w:color="auto" w:fill="auto"/>
            <w:noWrap/>
            <w:vAlign w:val="bottom"/>
            <w:hideMark/>
          </w:tcPr>
          <w:p w14:paraId="60668070"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1,2 </w:t>
            </w:r>
          </w:p>
        </w:tc>
      </w:tr>
      <w:tr w:rsidR="00FD7B0B" w:rsidRPr="00FD7B0B" w14:paraId="6A689BF0" w14:textId="77777777" w:rsidTr="00A50F38">
        <w:trPr>
          <w:trHeight w:val="147"/>
        </w:trPr>
        <w:tc>
          <w:tcPr>
            <w:tcW w:w="4678" w:type="dxa"/>
            <w:shd w:val="clear" w:color="auto" w:fill="auto"/>
            <w:vAlign w:val="bottom"/>
            <w:hideMark/>
          </w:tcPr>
          <w:p w14:paraId="3921D8C0"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строительство </w:t>
            </w:r>
          </w:p>
        </w:tc>
        <w:tc>
          <w:tcPr>
            <w:tcW w:w="993" w:type="dxa"/>
            <w:shd w:val="clear" w:color="auto" w:fill="auto"/>
            <w:noWrap/>
            <w:vAlign w:val="bottom"/>
            <w:hideMark/>
          </w:tcPr>
          <w:p w14:paraId="3D09ABC4"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1 771 </w:t>
            </w:r>
          </w:p>
        </w:tc>
        <w:tc>
          <w:tcPr>
            <w:tcW w:w="992" w:type="dxa"/>
            <w:shd w:val="clear" w:color="auto" w:fill="auto"/>
            <w:vAlign w:val="bottom"/>
            <w:hideMark/>
          </w:tcPr>
          <w:p w14:paraId="370F49E2"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1 793 </w:t>
            </w:r>
          </w:p>
        </w:tc>
        <w:tc>
          <w:tcPr>
            <w:tcW w:w="1133" w:type="dxa"/>
            <w:vAlign w:val="bottom"/>
          </w:tcPr>
          <w:p w14:paraId="6092281C"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1 687 </w:t>
            </w:r>
          </w:p>
        </w:tc>
        <w:tc>
          <w:tcPr>
            <w:tcW w:w="850" w:type="dxa"/>
            <w:shd w:val="clear" w:color="auto" w:fill="auto"/>
            <w:noWrap/>
            <w:vAlign w:val="bottom"/>
            <w:hideMark/>
          </w:tcPr>
          <w:p w14:paraId="62199F2C"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-106 </w:t>
            </w:r>
          </w:p>
        </w:tc>
        <w:tc>
          <w:tcPr>
            <w:tcW w:w="992" w:type="dxa"/>
            <w:shd w:val="clear" w:color="auto" w:fill="auto"/>
            <w:noWrap/>
            <w:vAlign w:val="bottom"/>
            <w:hideMark/>
          </w:tcPr>
          <w:p w14:paraId="0BFC557F"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-5,9 </w:t>
            </w:r>
          </w:p>
        </w:tc>
      </w:tr>
      <w:tr w:rsidR="00FD7B0B" w:rsidRPr="00FD7B0B" w14:paraId="21C93DE4" w14:textId="77777777" w:rsidTr="00A50F38">
        <w:trPr>
          <w:trHeight w:val="113"/>
        </w:trPr>
        <w:tc>
          <w:tcPr>
            <w:tcW w:w="4678" w:type="dxa"/>
            <w:shd w:val="clear" w:color="auto" w:fill="auto"/>
            <w:vAlign w:val="bottom"/>
            <w:hideMark/>
          </w:tcPr>
          <w:p w14:paraId="4A3325DF"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торговля розничная, торговля оптовая…</w:t>
            </w:r>
          </w:p>
        </w:tc>
        <w:tc>
          <w:tcPr>
            <w:tcW w:w="993" w:type="dxa"/>
            <w:shd w:val="clear" w:color="auto" w:fill="auto"/>
            <w:noWrap/>
            <w:vAlign w:val="bottom"/>
            <w:hideMark/>
          </w:tcPr>
          <w:p w14:paraId="7537C38D"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3 041 </w:t>
            </w:r>
          </w:p>
        </w:tc>
        <w:tc>
          <w:tcPr>
            <w:tcW w:w="992" w:type="dxa"/>
            <w:shd w:val="clear" w:color="auto" w:fill="auto"/>
            <w:vAlign w:val="bottom"/>
            <w:hideMark/>
          </w:tcPr>
          <w:p w14:paraId="7755E457"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2 918 </w:t>
            </w:r>
          </w:p>
        </w:tc>
        <w:tc>
          <w:tcPr>
            <w:tcW w:w="1133" w:type="dxa"/>
            <w:vAlign w:val="bottom"/>
          </w:tcPr>
          <w:p w14:paraId="3525E201"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2 670 </w:t>
            </w:r>
          </w:p>
        </w:tc>
        <w:tc>
          <w:tcPr>
            <w:tcW w:w="850" w:type="dxa"/>
            <w:shd w:val="clear" w:color="auto" w:fill="auto"/>
            <w:noWrap/>
            <w:vAlign w:val="bottom"/>
            <w:hideMark/>
          </w:tcPr>
          <w:p w14:paraId="095C18B5"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-248 </w:t>
            </w:r>
          </w:p>
        </w:tc>
        <w:tc>
          <w:tcPr>
            <w:tcW w:w="992" w:type="dxa"/>
            <w:shd w:val="clear" w:color="auto" w:fill="auto"/>
            <w:noWrap/>
            <w:vAlign w:val="bottom"/>
            <w:hideMark/>
          </w:tcPr>
          <w:p w14:paraId="2D2C9127"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-8,5 </w:t>
            </w:r>
          </w:p>
        </w:tc>
      </w:tr>
      <w:tr w:rsidR="00FD7B0B" w:rsidRPr="00FD7B0B" w14:paraId="1CF1DE99" w14:textId="77777777" w:rsidTr="00A50F38">
        <w:trPr>
          <w:trHeight w:val="146"/>
        </w:trPr>
        <w:tc>
          <w:tcPr>
            <w:tcW w:w="4678" w:type="dxa"/>
            <w:shd w:val="clear" w:color="auto" w:fill="auto"/>
            <w:noWrap/>
            <w:vAlign w:val="bottom"/>
            <w:hideMark/>
          </w:tcPr>
          <w:p w14:paraId="40581A90"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транспортировка и хранение</w:t>
            </w:r>
          </w:p>
        </w:tc>
        <w:tc>
          <w:tcPr>
            <w:tcW w:w="993" w:type="dxa"/>
            <w:shd w:val="clear" w:color="auto" w:fill="auto"/>
            <w:noWrap/>
            <w:vAlign w:val="bottom"/>
            <w:hideMark/>
          </w:tcPr>
          <w:p w14:paraId="5A80D43C"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1 482 </w:t>
            </w:r>
          </w:p>
        </w:tc>
        <w:tc>
          <w:tcPr>
            <w:tcW w:w="992" w:type="dxa"/>
            <w:shd w:val="clear" w:color="auto" w:fill="auto"/>
            <w:vAlign w:val="bottom"/>
            <w:hideMark/>
          </w:tcPr>
          <w:p w14:paraId="1B5ADD36"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1 454 </w:t>
            </w:r>
          </w:p>
        </w:tc>
        <w:tc>
          <w:tcPr>
            <w:tcW w:w="1133" w:type="dxa"/>
            <w:vAlign w:val="bottom"/>
          </w:tcPr>
          <w:p w14:paraId="07E52B2D"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1 447 </w:t>
            </w:r>
          </w:p>
        </w:tc>
        <w:tc>
          <w:tcPr>
            <w:tcW w:w="850" w:type="dxa"/>
            <w:shd w:val="clear" w:color="auto" w:fill="auto"/>
            <w:noWrap/>
            <w:vAlign w:val="bottom"/>
            <w:hideMark/>
          </w:tcPr>
          <w:p w14:paraId="7DB6068E"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-7 </w:t>
            </w:r>
          </w:p>
        </w:tc>
        <w:tc>
          <w:tcPr>
            <w:tcW w:w="992" w:type="dxa"/>
            <w:shd w:val="clear" w:color="auto" w:fill="auto"/>
            <w:noWrap/>
            <w:vAlign w:val="bottom"/>
            <w:hideMark/>
          </w:tcPr>
          <w:p w14:paraId="4B26720B"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-0,5</w:t>
            </w:r>
          </w:p>
        </w:tc>
      </w:tr>
      <w:tr w:rsidR="00FD7B0B" w:rsidRPr="00FD7B0B" w14:paraId="0302829A" w14:textId="77777777" w:rsidTr="00A50F38">
        <w:trPr>
          <w:trHeight w:val="301"/>
        </w:trPr>
        <w:tc>
          <w:tcPr>
            <w:tcW w:w="4678" w:type="dxa"/>
            <w:shd w:val="clear" w:color="auto" w:fill="auto"/>
            <w:vAlign w:val="bottom"/>
            <w:hideMark/>
          </w:tcPr>
          <w:p w14:paraId="05F55BD1"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деятельность по операциям с недвижимым имуществом</w:t>
            </w:r>
          </w:p>
        </w:tc>
        <w:tc>
          <w:tcPr>
            <w:tcW w:w="993" w:type="dxa"/>
            <w:shd w:val="clear" w:color="auto" w:fill="auto"/>
            <w:noWrap/>
            <w:vAlign w:val="bottom"/>
            <w:hideMark/>
          </w:tcPr>
          <w:p w14:paraId="6A6B1F0F"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2 109</w:t>
            </w:r>
          </w:p>
        </w:tc>
        <w:tc>
          <w:tcPr>
            <w:tcW w:w="992" w:type="dxa"/>
            <w:shd w:val="clear" w:color="auto" w:fill="auto"/>
            <w:vAlign w:val="bottom"/>
            <w:hideMark/>
          </w:tcPr>
          <w:p w14:paraId="2A936428"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2 123 </w:t>
            </w:r>
          </w:p>
        </w:tc>
        <w:tc>
          <w:tcPr>
            <w:tcW w:w="1133" w:type="dxa"/>
            <w:vAlign w:val="bottom"/>
          </w:tcPr>
          <w:p w14:paraId="737626F9"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2 098 </w:t>
            </w:r>
          </w:p>
        </w:tc>
        <w:tc>
          <w:tcPr>
            <w:tcW w:w="850" w:type="dxa"/>
            <w:shd w:val="clear" w:color="auto" w:fill="auto"/>
            <w:noWrap/>
            <w:vAlign w:val="bottom"/>
            <w:hideMark/>
          </w:tcPr>
          <w:p w14:paraId="16C2137F"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-25 </w:t>
            </w:r>
          </w:p>
        </w:tc>
        <w:tc>
          <w:tcPr>
            <w:tcW w:w="992" w:type="dxa"/>
            <w:shd w:val="clear" w:color="auto" w:fill="auto"/>
            <w:noWrap/>
            <w:vAlign w:val="bottom"/>
            <w:hideMark/>
          </w:tcPr>
          <w:p w14:paraId="2E72BE7D"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-1,2 </w:t>
            </w:r>
          </w:p>
        </w:tc>
      </w:tr>
      <w:tr w:rsidR="00FD7B0B" w:rsidRPr="00FD7B0B" w14:paraId="23874FC0" w14:textId="77777777" w:rsidTr="00A50F38">
        <w:trPr>
          <w:trHeight w:val="279"/>
        </w:trPr>
        <w:tc>
          <w:tcPr>
            <w:tcW w:w="4678" w:type="dxa"/>
            <w:shd w:val="clear" w:color="auto" w:fill="auto"/>
            <w:vAlign w:val="bottom"/>
            <w:hideMark/>
          </w:tcPr>
          <w:p w14:paraId="12590279" w14:textId="77777777" w:rsidR="00A50F38" w:rsidRPr="00FD7B0B" w:rsidRDefault="00A50F38"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деятельность профессиональная, научная и техническая</w:t>
            </w:r>
          </w:p>
        </w:tc>
        <w:tc>
          <w:tcPr>
            <w:tcW w:w="993" w:type="dxa"/>
            <w:shd w:val="clear" w:color="auto" w:fill="auto"/>
            <w:noWrap/>
            <w:vAlign w:val="bottom"/>
            <w:hideMark/>
          </w:tcPr>
          <w:p w14:paraId="28A97DFF"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1 110</w:t>
            </w:r>
          </w:p>
        </w:tc>
        <w:tc>
          <w:tcPr>
            <w:tcW w:w="992" w:type="dxa"/>
            <w:shd w:val="clear" w:color="auto" w:fill="auto"/>
            <w:vAlign w:val="bottom"/>
            <w:hideMark/>
          </w:tcPr>
          <w:p w14:paraId="09536F37"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1 098 </w:t>
            </w:r>
          </w:p>
        </w:tc>
        <w:tc>
          <w:tcPr>
            <w:tcW w:w="1133" w:type="dxa"/>
            <w:vAlign w:val="bottom"/>
          </w:tcPr>
          <w:p w14:paraId="60DE40B5"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1 043 </w:t>
            </w:r>
          </w:p>
        </w:tc>
        <w:tc>
          <w:tcPr>
            <w:tcW w:w="850" w:type="dxa"/>
            <w:shd w:val="clear" w:color="auto" w:fill="auto"/>
            <w:noWrap/>
            <w:vAlign w:val="bottom"/>
            <w:hideMark/>
          </w:tcPr>
          <w:p w14:paraId="496554A4"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-55 </w:t>
            </w:r>
          </w:p>
        </w:tc>
        <w:tc>
          <w:tcPr>
            <w:tcW w:w="992" w:type="dxa"/>
            <w:shd w:val="clear" w:color="auto" w:fill="auto"/>
            <w:noWrap/>
            <w:vAlign w:val="bottom"/>
            <w:hideMark/>
          </w:tcPr>
          <w:p w14:paraId="4F6CFF34" w14:textId="77777777" w:rsidR="00A50F38" w:rsidRPr="00FD7B0B" w:rsidRDefault="00A50F38" w:rsidP="00BE64F6">
            <w:pPr>
              <w:spacing w:after="0" w:line="240" w:lineRule="auto"/>
              <w:jc w:val="right"/>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 xml:space="preserve">-5,0 </w:t>
            </w:r>
          </w:p>
        </w:tc>
      </w:tr>
    </w:tbl>
    <w:p w14:paraId="190B34C5" w14:textId="77777777" w:rsidR="005A472F" w:rsidRPr="00FD7B0B" w:rsidRDefault="005A472F" w:rsidP="005A472F">
      <w:pPr>
        <w:spacing w:after="0" w:line="240" w:lineRule="auto"/>
        <w:ind w:firstLine="709"/>
        <w:jc w:val="both"/>
        <w:rPr>
          <w:rFonts w:ascii="Times New Roman" w:hAnsi="Times New Roman"/>
          <w:sz w:val="28"/>
          <w:szCs w:val="28"/>
        </w:rPr>
      </w:pPr>
    </w:p>
    <w:p w14:paraId="70C94CF8" w14:textId="77777777" w:rsidR="00770AF1" w:rsidRPr="00FD7B0B" w:rsidRDefault="00770AF1" w:rsidP="00770AF1">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По итогам 2024 года установлено снижение количества хозяйствующих субъектов к предыдущему году на 700 единиц или на 4,1 % (значительное снижение </w:t>
      </w:r>
      <w:r w:rsidRPr="00FD7B0B">
        <w:rPr>
          <w:rFonts w:ascii="Times New Roman" w:hAnsi="Times New Roman" w:cs="Times New Roman"/>
          <w:sz w:val="28"/>
          <w:szCs w:val="28"/>
        </w:rPr>
        <w:t>по отраслям «строительство» и «торговля розничная, торговля оптовая…», «</w:t>
      </w:r>
      <w:r w:rsidRPr="00FD7B0B">
        <w:rPr>
          <w:rFonts w:ascii="Times New Roman" w:eastAsia="Times New Roman" w:hAnsi="Times New Roman" w:cs="Times New Roman"/>
          <w:sz w:val="28"/>
          <w:szCs w:val="28"/>
          <w:lang w:eastAsia="ru-RU"/>
        </w:rPr>
        <w:t>сельское, лесное хозяйство, охота, рыболовство и рыбоводство</w:t>
      </w:r>
      <w:r w:rsidRPr="00FD7B0B">
        <w:rPr>
          <w:rFonts w:ascii="Times New Roman" w:hAnsi="Times New Roman" w:cs="Times New Roman"/>
          <w:sz w:val="28"/>
          <w:szCs w:val="28"/>
        </w:rPr>
        <w:t>»),</w:t>
      </w:r>
      <w:r w:rsidRPr="00FD7B0B">
        <w:rPr>
          <w:rFonts w:ascii="Times New Roman" w:hAnsi="Times New Roman"/>
          <w:sz w:val="28"/>
          <w:szCs w:val="28"/>
        </w:rPr>
        <w:t xml:space="preserve"> по итогам 2023 года к предыдущему году снижение количества хозяйствующих субъектов составляло 208 единиц или 1,2 %, по итогам 2022 года снижение количества хозяйствующих субъектов к предыдущему году составляло 309 единиц или 1,7 %.</w:t>
      </w:r>
    </w:p>
    <w:p w14:paraId="7BE23FF2" w14:textId="0C084225" w:rsidR="005A472F" w:rsidRPr="00FD7B0B" w:rsidRDefault="005A472F" w:rsidP="005A472F">
      <w:pPr>
        <w:spacing w:after="0" w:line="240" w:lineRule="auto"/>
        <w:ind w:firstLine="709"/>
        <w:jc w:val="both"/>
        <w:rPr>
          <w:rFonts w:ascii="Times New Roman" w:hAnsi="Times New Roman"/>
          <w:sz w:val="28"/>
          <w:szCs w:val="28"/>
        </w:rPr>
      </w:pPr>
      <w:r w:rsidRPr="00FD7B0B">
        <w:rPr>
          <w:rFonts w:ascii="Times New Roman" w:hAnsi="Times New Roman"/>
          <w:sz w:val="28"/>
          <w:szCs w:val="28"/>
        </w:rPr>
        <w:lastRenderedPageBreak/>
        <w:t xml:space="preserve">Количество индивидуальных предпринимателей в Архангельской области (без НАО) на 01.01.2025 увеличилось на 544 единиц от их количества по состоянию на 01.01.2024, что представлено в таблице </w:t>
      </w:r>
      <w:r w:rsidR="006B033D" w:rsidRPr="00FD7B0B">
        <w:rPr>
          <w:rFonts w:ascii="Times New Roman" w:hAnsi="Times New Roman"/>
          <w:sz w:val="28"/>
          <w:szCs w:val="28"/>
        </w:rPr>
        <w:t>5</w:t>
      </w:r>
      <w:r w:rsidRPr="00FD7B0B">
        <w:rPr>
          <w:rFonts w:ascii="Times New Roman" w:hAnsi="Times New Roman"/>
          <w:sz w:val="28"/>
          <w:szCs w:val="28"/>
        </w:rPr>
        <w:t>.</w:t>
      </w:r>
    </w:p>
    <w:p w14:paraId="31BC1FD9" w14:textId="77777777" w:rsidR="005A472F" w:rsidRPr="00FD7B0B" w:rsidRDefault="005A472F" w:rsidP="005A472F">
      <w:pPr>
        <w:spacing w:after="0" w:line="240" w:lineRule="auto"/>
        <w:ind w:firstLine="709"/>
        <w:jc w:val="both"/>
        <w:rPr>
          <w:rFonts w:ascii="Times New Roman" w:hAnsi="Times New Roman" w:cs="Times New Roman"/>
        </w:rPr>
      </w:pPr>
    </w:p>
    <w:p w14:paraId="191EA844"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w:t>
      </w:r>
      <w:r w:rsidRPr="00FD7B0B">
        <w:rPr>
          <w:rFonts w:ascii="Times New Roman" w:hAnsi="Times New Roman"/>
          <w:b w:val="0"/>
          <w:sz w:val="24"/>
          <w:szCs w:val="24"/>
        </w:rPr>
        <w:fldChar w:fldCharType="end"/>
      </w:r>
      <w:r w:rsidRPr="00FD7B0B">
        <w:rPr>
          <w:rFonts w:ascii="Times New Roman" w:hAnsi="Times New Roman"/>
          <w:b w:val="0"/>
          <w:sz w:val="24"/>
          <w:szCs w:val="24"/>
        </w:rPr>
        <w:t>. Количество индивидуальных предпринимателей в Архангельской области (без НАО), ед.</w:t>
      </w:r>
    </w:p>
    <w:tbl>
      <w:tblPr>
        <w:tblStyle w:val="a7"/>
        <w:tblW w:w="9625"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403"/>
        <w:gridCol w:w="2835"/>
        <w:gridCol w:w="1276"/>
        <w:gridCol w:w="1178"/>
        <w:gridCol w:w="1213"/>
        <w:gridCol w:w="708"/>
        <w:gridCol w:w="1012"/>
      </w:tblGrid>
      <w:tr w:rsidR="00FD7B0B" w:rsidRPr="00FD7B0B" w14:paraId="7B728FCD" w14:textId="77777777" w:rsidTr="00D45416">
        <w:trPr>
          <w:trHeight w:val="196"/>
          <w:tblHeader/>
        </w:trPr>
        <w:tc>
          <w:tcPr>
            <w:tcW w:w="4238" w:type="dxa"/>
            <w:gridSpan w:val="2"/>
            <w:vMerge w:val="restart"/>
            <w:vAlign w:val="center"/>
          </w:tcPr>
          <w:p w14:paraId="482A09C6" w14:textId="77777777" w:rsidR="00D45416" w:rsidRPr="00FD7B0B" w:rsidRDefault="00D45416" w:rsidP="00BE64F6">
            <w:pPr>
              <w:ind w:left="-123" w:right="-108"/>
              <w:jc w:val="center"/>
              <w:rPr>
                <w:rFonts w:ascii="Times New Roman" w:hAnsi="Times New Roman"/>
                <w:b/>
              </w:rPr>
            </w:pPr>
            <w:r w:rsidRPr="00FD7B0B">
              <w:rPr>
                <w:rFonts w:ascii="Times New Roman" w:eastAsia="Times New Roman" w:hAnsi="Times New Roman"/>
              </w:rPr>
              <w:t>Наименование показателя</w:t>
            </w:r>
          </w:p>
        </w:tc>
        <w:tc>
          <w:tcPr>
            <w:tcW w:w="1276" w:type="dxa"/>
            <w:vAlign w:val="center"/>
          </w:tcPr>
          <w:p w14:paraId="682C8897" w14:textId="77777777" w:rsidR="00D45416" w:rsidRPr="00FD7B0B" w:rsidRDefault="00D45416" w:rsidP="00BE64F6">
            <w:pPr>
              <w:ind w:left="-108" w:right="-89"/>
              <w:jc w:val="center"/>
              <w:rPr>
                <w:rFonts w:ascii="Times New Roman" w:hAnsi="Times New Roman"/>
              </w:rPr>
            </w:pPr>
            <w:r w:rsidRPr="00FD7B0B">
              <w:rPr>
                <w:rFonts w:ascii="Times New Roman" w:eastAsia="Times New Roman" w:hAnsi="Times New Roman"/>
              </w:rPr>
              <w:t>на 01.01.2023</w:t>
            </w:r>
          </w:p>
        </w:tc>
        <w:tc>
          <w:tcPr>
            <w:tcW w:w="1178" w:type="dxa"/>
            <w:vAlign w:val="center"/>
          </w:tcPr>
          <w:p w14:paraId="0F80F102" w14:textId="77777777" w:rsidR="00D45416" w:rsidRPr="00FD7B0B" w:rsidRDefault="00D45416" w:rsidP="00BE64F6">
            <w:pPr>
              <w:ind w:left="-108" w:right="-89"/>
              <w:jc w:val="center"/>
              <w:rPr>
                <w:rFonts w:ascii="Times New Roman" w:eastAsia="Times New Roman" w:hAnsi="Times New Roman"/>
              </w:rPr>
            </w:pPr>
            <w:r w:rsidRPr="00FD7B0B">
              <w:rPr>
                <w:rFonts w:ascii="Times New Roman" w:eastAsia="Times New Roman" w:hAnsi="Times New Roman"/>
              </w:rPr>
              <w:t>на 01.01.202</w:t>
            </w:r>
            <w:r w:rsidRPr="00FD7B0B">
              <w:rPr>
                <w:rFonts w:ascii="Times New Roman" w:eastAsia="Times New Roman" w:hAnsi="Times New Roman"/>
                <w:lang w:val="en-US"/>
              </w:rPr>
              <w:t>4</w:t>
            </w:r>
          </w:p>
        </w:tc>
        <w:tc>
          <w:tcPr>
            <w:tcW w:w="1213" w:type="dxa"/>
            <w:vAlign w:val="center"/>
          </w:tcPr>
          <w:p w14:paraId="60AA9FA2" w14:textId="77777777" w:rsidR="00D45416" w:rsidRPr="00FD7B0B" w:rsidRDefault="00D45416" w:rsidP="00BE64F6">
            <w:pPr>
              <w:ind w:left="-108" w:right="-89"/>
              <w:jc w:val="center"/>
              <w:rPr>
                <w:rFonts w:ascii="Times New Roman" w:eastAsia="Times New Roman" w:hAnsi="Times New Roman"/>
              </w:rPr>
            </w:pPr>
            <w:r w:rsidRPr="00FD7B0B">
              <w:rPr>
                <w:rFonts w:ascii="Times New Roman" w:eastAsia="Times New Roman" w:hAnsi="Times New Roman"/>
              </w:rPr>
              <w:t>на 01.01.2025</w:t>
            </w:r>
          </w:p>
        </w:tc>
        <w:tc>
          <w:tcPr>
            <w:tcW w:w="1720" w:type="dxa"/>
            <w:gridSpan w:val="2"/>
            <w:vAlign w:val="center"/>
          </w:tcPr>
          <w:p w14:paraId="0CBAF5C0" w14:textId="77777777" w:rsidR="00D45416" w:rsidRPr="00FD7B0B" w:rsidRDefault="00D45416" w:rsidP="00BE64F6">
            <w:pPr>
              <w:jc w:val="center"/>
              <w:rPr>
                <w:rFonts w:ascii="Times New Roman" w:eastAsia="Times New Roman" w:hAnsi="Times New Roman"/>
              </w:rPr>
            </w:pPr>
            <w:r w:rsidRPr="00FD7B0B">
              <w:rPr>
                <w:rFonts w:ascii="Times New Roman" w:eastAsia="Times New Roman" w:hAnsi="Times New Roman"/>
              </w:rPr>
              <w:t>Изменение</w:t>
            </w:r>
          </w:p>
        </w:tc>
      </w:tr>
      <w:tr w:rsidR="00FD7B0B" w:rsidRPr="00FD7B0B" w14:paraId="5366DBF7" w14:textId="77777777" w:rsidTr="00D45416">
        <w:trPr>
          <w:tblHeader/>
        </w:trPr>
        <w:tc>
          <w:tcPr>
            <w:tcW w:w="4238" w:type="dxa"/>
            <w:gridSpan w:val="2"/>
            <w:vMerge/>
            <w:vAlign w:val="center"/>
          </w:tcPr>
          <w:p w14:paraId="7503AF7E" w14:textId="77777777" w:rsidR="00D45416" w:rsidRPr="00FD7B0B" w:rsidRDefault="00D45416" w:rsidP="00BE64F6">
            <w:pPr>
              <w:ind w:left="-123" w:right="-108"/>
              <w:jc w:val="both"/>
              <w:rPr>
                <w:rFonts w:ascii="Times New Roman" w:hAnsi="Times New Roman"/>
              </w:rPr>
            </w:pPr>
          </w:p>
        </w:tc>
        <w:tc>
          <w:tcPr>
            <w:tcW w:w="1276" w:type="dxa"/>
            <w:vAlign w:val="center"/>
          </w:tcPr>
          <w:p w14:paraId="1DB96BF9" w14:textId="77777777" w:rsidR="00D45416" w:rsidRPr="00FD7B0B" w:rsidRDefault="00D45416" w:rsidP="00BE64F6">
            <w:pPr>
              <w:ind w:left="-108" w:right="-89"/>
              <w:jc w:val="center"/>
              <w:rPr>
                <w:rFonts w:ascii="Times New Roman" w:hAnsi="Times New Roman"/>
              </w:rPr>
            </w:pPr>
            <w:r w:rsidRPr="00FD7B0B">
              <w:rPr>
                <w:rFonts w:ascii="Times New Roman" w:eastAsia="Times New Roman" w:hAnsi="Times New Roman"/>
              </w:rPr>
              <w:t>по итогам 2022 года</w:t>
            </w:r>
          </w:p>
        </w:tc>
        <w:tc>
          <w:tcPr>
            <w:tcW w:w="1178" w:type="dxa"/>
            <w:vAlign w:val="center"/>
          </w:tcPr>
          <w:p w14:paraId="6D70040C" w14:textId="77777777" w:rsidR="00D45416" w:rsidRPr="00FD7B0B" w:rsidRDefault="00D45416" w:rsidP="00BE64F6">
            <w:pPr>
              <w:ind w:left="-108" w:right="-89"/>
              <w:jc w:val="center"/>
              <w:rPr>
                <w:rFonts w:ascii="Times New Roman" w:eastAsia="Times New Roman" w:hAnsi="Times New Roman"/>
              </w:rPr>
            </w:pPr>
            <w:r w:rsidRPr="00FD7B0B">
              <w:rPr>
                <w:rFonts w:ascii="Times New Roman" w:eastAsia="Times New Roman" w:hAnsi="Times New Roman"/>
              </w:rPr>
              <w:t>по итогам 202</w:t>
            </w:r>
            <w:r w:rsidRPr="00FD7B0B">
              <w:rPr>
                <w:rFonts w:ascii="Times New Roman" w:eastAsia="Times New Roman" w:hAnsi="Times New Roman"/>
                <w:lang w:val="en-US"/>
              </w:rPr>
              <w:t>3</w:t>
            </w:r>
            <w:r w:rsidRPr="00FD7B0B">
              <w:rPr>
                <w:rFonts w:ascii="Times New Roman" w:eastAsia="Times New Roman" w:hAnsi="Times New Roman"/>
              </w:rPr>
              <w:t xml:space="preserve"> года</w:t>
            </w:r>
          </w:p>
        </w:tc>
        <w:tc>
          <w:tcPr>
            <w:tcW w:w="1213" w:type="dxa"/>
            <w:vAlign w:val="center"/>
          </w:tcPr>
          <w:p w14:paraId="7D584355" w14:textId="77777777" w:rsidR="00D45416" w:rsidRPr="00FD7B0B" w:rsidRDefault="00D45416" w:rsidP="00BE64F6">
            <w:pPr>
              <w:ind w:left="-108" w:right="-89"/>
              <w:jc w:val="center"/>
              <w:rPr>
                <w:rFonts w:ascii="Times New Roman" w:eastAsia="Times New Roman" w:hAnsi="Times New Roman"/>
              </w:rPr>
            </w:pPr>
            <w:r w:rsidRPr="00FD7B0B">
              <w:rPr>
                <w:rFonts w:ascii="Times New Roman" w:eastAsia="Times New Roman" w:hAnsi="Times New Roman"/>
              </w:rPr>
              <w:t>по итогам 2024 года</w:t>
            </w:r>
          </w:p>
        </w:tc>
        <w:tc>
          <w:tcPr>
            <w:tcW w:w="1720" w:type="dxa"/>
            <w:gridSpan w:val="2"/>
            <w:vAlign w:val="center"/>
          </w:tcPr>
          <w:p w14:paraId="3E1C0133" w14:textId="77777777" w:rsidR="00D45416" w:rsidRPr="00FD7B0B" w:rsidRDefault="00D45416" w:rsidP="00BE64F6">
            <w:pPr>
              <w:jc w:val="center"/>
              <w:rPr>
                <w:rFonts w:ascii="Times New Roman" w:eastAsia="Times New Roman" w:hAnsi="Times New Roman"/>
              </w:rPr>
            </w:pPr>
            <w:r w:rsidRPr="00FD7B0B">
              <w:rPr>
                <w:rFonts w:ascii="Times New Roman" w:eastAsia="Times New Roman" w:hAnsi="Times New Roman"/>
              </w:rPr>
              <w:t>2024 год к 2023 году</w:t>
            </w:r>
          </w:p>
        </w:tc>
      </w:tr>
      <w:tr w:rsidR="00FD7B0B" w:rsidRPr="00FD7B0B" w14:paraId="79FFA560" w14:textId="77777777" w:rsidTr="00D45416">
        <w:trPr>
          <w:tblHeader/>
        </w:trPr>
        <w:tc>
          <w:tcPr>
            <w:tcW w:w="4238" w:type="dxa"/>
            <w:gridSpan w:val="2"/>
            <w:vAlign w:val="center"/>
          </w:tcPr>
          <w:p w14:paraId="2C1175CA" w14:textId="77777777" w:rsidR="00D45416" w:rsidRPr="00FD7B0B" w:rsidRDefault="00D45416" w:rsidP="00BE64F6">
            <w:pPr>
              <w:ind w:left="-123" w:right="-108"/>
              <w:jc w:val="center"/>
              <w:rPr>
                <w:rFonts w:ascii="Times New Roman" w:hAnsi="Times New Roman"/>
              </w:rPr>
            </w:pPr>
            <w:r w:rsidRPr="00FD7B0B">
              <w:rPr>
                <w:rFonts w:ascii="Times New Roman" w:eastAsia="Times New Roman" w:hAnsi="Times New Roman"/>
              </w:rPr>
              <w:t>А</w:t>
            </w:r>
          </w:p>
        </w:tc>
        <w:tc>
          <w:tcPr>
            <w:tcW w:w="1276" w:type="dxa"/>
            <w:vAlign w:val="center"/>
          </w:tcPr>
          <w:p w14:paraId="3956F365" w14:textId="77777777" w:rsidR="00D45416" w:rsidRPr="00FD7B0B" w:rsidRDefault="00D45416" w:rsidP="00BE64F6">
            <w:pPr>
              <w:jc w:val="center"/>
              <w:rPr>
                <w:rFonts w:ascii="Times New Roman" w:hAnsi="Times New Roman"/>
              </w:rPr>
            </w:pPr>
            <w:r w:rsidRPr="00FD7B0B">
              <w:rPr>
                <w:rFonts w:ascii="Times New Roman" w:eastAsia="Times New Roman" w:hAnsi="Times New Roman"/>
              </w:rPr>
              <w:t>3</w:t>
            </w:r>
          </w:p>
        </w:tc>
        <w:tc>
          <w:tcPr>
            <w:tcW w:w="1178" w:type="dxa"/>
            <w:vAlign w:val="center"/>
          </w:tcPr>
          <w:p w14:paraId="57C42A47" w14:textId="77777777" w:rsidR="00D45416" w:rsidRPr="00FD7B0B" w:rsidRDefault="00D45416" w:rsidP="00BE64F6">
            <w:pPr>
              <w:jc w:val="center"/>
              <w:rPr>
                <w:rFonts w:ascii="Times New Roman" w:eastAsia="Times New Roman" w:hAnsi="Times New Roman"/>
              </w:rPr>
            </w:pPr>
            <w:r w:rsidRPr="00FD7B0B">
              <w:rPr>
                <w:rFonts w:ascii="Times New Roman" w:eastAsia="Times New Roman" w:hAnsi="Times New Roman"/>
              </w:rPr>
              <w:t>4</w:t>
            </w:r>
          </w:p>
        </w:tc>
        <w:tc>
          <w:tcPr>
            <w:tcW w:w="1213" w:type="dxa"/>
            <w:vAlign w:val="center"/>
          </w:tcPr>
          <w:p w14:paraId="1B96D5AA" w14:textId="77777777" w:rsidR="00D45416" w:rsidRPr="00FD7B0B" w:rsidRDefault="00D45416" w:rsidP="00BE64F6">
            <w:pPr>
              <w:jc w:val="center"/>
              <w:rPr>
                <w:rFonts w:ascii="Times New Roman" w:eastAsia="Times New Roman" w:hAnsi="Times New Roman"/>
              </w:rPr>
            </w:pPr>
            <w:r w:rsidRPr="00FD7B0B">
              <w:rPr>
                <w:rFonts w:ascii="Times New Roman" w:eastAsia="Times New Roman" w:hAnsi="Times New Roman"/>
              </w:rPr>
              <w:t>5</w:t>
            </w:r>
          </w:p>
        </w:tc>
        <w:tc>
          <w:tcPr>
            <w:tcW w:w="708" w:type="dxa"/>
            <w:vAlign w:val="center"/>
          </w:tcPr>
          <w:p w14:paraId="048F9581" w14:textId="77777777" w:rsidR="00D45416" w:rsidRPr="00FD7B0B" w:rsidRDefault="00D45416" w:rsidP="00BE64F6">
            <w:pPr>
              <w:ind w:left="-108" w:right="-107"/>
              <w:jc w:val="center"/>
              <w:rPr>
                <w:rFonts w:ascii="Times New Roman" w:hAnsi="Times New Roman"/>
              </w:rPr>
            </w:pPr>
            <w:r w:rsidRPr="00FD7B0B">
              <w:rPr>
                <w:rFonts w:ascii="Times New Roman" w:eastAsia="Times New Roman" w:hAnsi="Times New Roman"/>
              </w:rPr>
              <w:t>6=5-4, ед.</w:t>
            </w:r>
          </w:p>
        </w:tc>
        <w:tc>
          <w:tcPr>
            <w:tcW w:w="1012" w:type="dxa"/>
            <w:vAlign w:val="center"/>
          </w:tcPr>
          <w:p w14:paraId="136738ED" w14:textId="77777777" w:rsidR="00D45416" w:rsidRPr="00FD7B0B" w:rsidRDefault="00D45416" w:rsidP="00BE64F6">
            <w:pPr>
              <w:ind w:left="-108" w:right="-107"/>
              <w:jc w:val="center"/>
              <w:rPr>
                <w:rFonts w:ascii="Times New Roman" w:hAnsi="Times New Roman"/>
              </w:rPr>
            </w:pPr>
            <w:r w:rsidRPr="00FD7B0B">
              <w:rPr>
                <w:rFonts w:ascii="Times New Roman" w:eastAsia="Times New Roman" w:hAnsi="Times New Roman"/>
              </w:rPr>
              <w:t>7=5/4*100, %.</w:t>
            </w:r>
          </w:p>
        </w:tc>
      </w:tr>
      <w:tr w:rsidR="00FD7B0B" w:rsidRPr="00FD7B0B" w14:paraId="1FA0D2B9" w14:textId="77777777" w:rsidTr="00D45416">
        <w:tc>
          <w:tcPr>
            <w:tcW w:w="4238" w:type="dxa"/>
            <w:gridSpan w:val="2"/>
            <w:vAlign w:val="center"/>
          </w:tcPr>
          <w:p w14:paraId="5F784670" w14:textId="77777777" w:rsidR="00D45416" w:rsidRPr="00FD7B0B" w:rsidRDefault="00D45416" w:rsidP="00BE64F6">
            <w:pPr>
              <w:ind w:left="-123" w:right="-108"/>
              <w:jc w:val="center"/>
              <w:rPr>
                <w:rFonts w:ascii="Times New Roman" w:eastAsia="Times New Roman" w:hAnsi="Times New Roman"/>
              </w:rPr>
            </w:pPr>
            <w:r w:rsidRPr="00FD7B0B">
              <w:rPr>
                <w:rFonts w:ascii="Times New Roman" w:eastAsia="Times New Roman" w:hAnsi="Times New Roman"/>
              </w:rPr>
              <w:t>Индивидуальные предприниматели</w:t>
            </w:r>
          </w:p>
        </w:tc>
        <w:tc>
          <w:tcPr>
            <w:tcW w:w="1276" w:type="dxa"/>
            <w:vAlign w:val="bottom"/>
          </w:tcPr>
          <w:p w14:paraId="07B7E4FB" w14:textId="77777777" w:rsidR="00D45416" w:rsidRPr="00FD7B0B" w:rsidRDefault="00D45416" w:rsidP="00BE64F6">
            <w:pPr>
              <w:jc w:val="right"/>
              <w:rPr>
                <w:rFonts w:ascii="Times New Roman" w:eastAsia="Times New Roman" w:hAnsi="Times New Roman"/>
              </w:rPr>
            </w:pPr>
            <w:r w:rsidRPr="00FD7B0B">
              <w:rPr>
                <w:rFonts w:ascii="Times New Roman" w:hAnsi="Times New Roman"/>
              </w:rPr>
              <w:t>23 145</w:t>
            </w:r>
          </w:p>
        </w:tc>
        <w:tc>
          <w:tcPr>
            <w:tcW w:w="1178" w:type="dxa"/>
            <w:vAlign w:val="bottom"/>
          </w:tcPr>
          <w:p w14:paraId="34D83213" w14:textId="77777777" w:rsidR="00D45416" w:rsidRPr="00FD7B0B" w:rsidRDefault="00D45416" w:rsidP="00BE64F6">
            <w:pPr>
              <w:jc w:val="right"/>
              <w:rPr>
                <w:rFonts w:ascii="Times New Roman" w:hAnsi="Times New Roman"/>
                <w:lang w:val="en-US"/>
              </w:rPr>
            </w:pPr>
            <w:r w:rsidRPr="00FD7B0B">
              <w:rPr>
                <w:rFonts w:ascii="Times New Roman" w:hAnsi="Times New Roman"/>
                <w:lang w:val="en-US"/>
              </w:rPr>
              <w:t>24 262</w:t>
            </w:r>
          </w:p>
        </w:tc>
        <w:tc>
          <w:tcPr>
            <w:tcW w:w="1213" w:type="dxa"/>
            <w:vAlign w:val="bottom"/>
          </w:tcPr>
          <w:p w14:paraId="6505C1EA" w14:textId="77777777" w:rsidR="00D45416" w:rsidRPr="00FD7B0B" w:rsidRDefault="00D45416" w:rsidP="00BE64F6">
            <w:pPr>
              <w:jc w:val="right"/>
              <w:rPr>
                <w:rFonts w:ascii="Times New Roman" w:hAnsi="Times New Roman"/>
              </w:rPr>
            </w:pPr>
            <w:r w:rsidRPr="00FD7B0B">
              <w:rPr>
                <w:rFonts w:ascii="Times New Roman" w:hAnsi="Times New Roman"/>
              </w:rPr>
              <w:t>24 806</w:t>
            </w:r>
          </w:p>
        </w:tc>
        <w:tc>
          <w:tcPr>
            <w:tcW w:w="708" w:type="dxa"/>
            <w:vAlign w:val="bottom"/>
          </w:tcPr>
          <w:p w14:paraId="28ED24FF" w14:textId="77777777" w:rsidR="00D45416" w:rsidRPr="00FD7B0B" w:rsidRDefault="00D45416" w:rsidP="00BE64F6">
            <w:pPr>
              <w:jc w:val="right"/>
              <w:rPr>
                <w:rFonts w:ascii="Times New Roman" w:eastAsia="Times New Roman" w:hAnsi="Times New Roman"/>
              </w:rPr>
            </w:pPr>
            <w:r w:rsidRPr="00FD7B0B">
              <w:rPr>
                <w:rFonts w:ascii="Times New Roman" w:hAnsi="Times New Roman"/>
              </w:rPr>
              <w:t xml:space="preserve">544 </w:t>
            </w:r>
          </w:p>
        </w:tc>
        <w:tc>
          <w:tcPr>
            <w:tcW w:w="1012" w:type="dxa"/>
            <w:vAlign w:val="bottom"/>
          </w:tcPr>
          <w:p w14:paraId="2CB10F33" w14:textId="77777777" w:rsidR="00D45416" w:rsidRPr="00FD7B0B" w:rsidRDefault="00D45416" w:rsidP="00BE64F6">
            <w:pPr>
              <w:jc w:val="right"/>
              <w:rPr>
                <w:rFonts w:ascii="Times New Roman" w:eastAsia="Times New Roman" w:hAnsi="Times New Roman"/>
              </w:rPr>
            </w:pPr>
            <w:r w:rsidRPr="00FD7B0B">
              <w:rPr>
                <w:rFonts w:ascii="Times New Roman" w:hAnsi="Times New Roman"/>
              </w:rPr>
              <w:t xml:space="preserve">102,2 </w:t>
            </w:r>
          </w:p>
        </w:tc>
      </w:tr>
      <w:tr w:rsidR="00FD7B0B" w:rsidRPr="00FD7B0B" w14:paraId="3A8058D4" w14:textId="77777777" w:rsidTr="00D45416">
        <w:tc>
          <w:tcPr>
            <w:tcW w:w="1403" w:type="dxa"/>
            <w:vMerge w:val="restart"/>
            <w:vAlign w:val="center"/>
          </w:tcPr>
          <w:p w14:paraId="77C0C9B6" w14:textId="77777777" w:rsidR="00D45416" w:rsidRPr="00FD7B0B" w:rsidRDefault="00D45416" w:rsidP="00BE64F6">
            <w:pPr>
              <w:ind w:left="-123" w:right="-108"/>
              <w:jc w:val="center"/>
              <w:rPr>
                <w:rFonts w:ascii="Times New Roman" w:eastAsia="Times New Roman" w:hAnsi="Times New Roman"/>
              </w:rPr>
            </w:pPr>
            <w:r w:rsidRPr="00FD7B0B">
              <w:rPr>
                <w:rFonts w:ascii="Times New Roman" w:eastAsia="Times New Roman" w:hAnsi="Times New Roman"/>
              </w:rPr>
              <w:t xml:space="preserve">Изменение </w:t>
            </w:r>
          </w:p>
          <w:p w14:paraId="3A074866" w14:textId="77777777" w:rsidR="00D45416" w:rsidRPr="00FD7B0B" w:rsidRDefault="00D45416" w:rsidP="00BE64F6">
            <w:pPr>
              <w:ind w:left="-123" w:right="-108"/>
              <w:jc w:val="center"/>
              <w:rPr>
                <w:rFonts w:ascii="Times New Roman" w:eastAsia="Times New Roman" w:hAnsi="Times New Roman"/>
              </w:rPr>
            </w:pPr>
            <w:r w:rsidRPr="00FD7B0B">
              <w:rPr>
                <w:rFonts w:ascii="Times New Roman" w:eastAsia="Times New Roman" w:hAnsi="Times New Roman"/>
              </w:rPr>
              <w:t>к предыдущему году</w:t>
            </w:r>
          </w:p>
        </w:tc>
        <w:tc>
          <w:tcPr>
            <w:tcW w:w="2835" w:type="dxa"/>
            <w:vAlign w:val="bottom"/>
          </w:tcPr>
          <w:p w14:paraId="44713F81" w14:textId="77777777" w:rsidR="00D45416" w:rsidRPr="00FD7B0B" w:rsidRDefault="00D45416" w:rsidP="00BE64F6">
            <w:pPr>
              <w:ind w:left="-123" w:right="-108"/>
              <w:jc w:val="center"/>
              <w:rPr>
                <w:rFonts w:ascii="Times New Roman" w:eastAsia="Times New Roman" w:hAnsi="Times New Roman"/>
              </w:rPr>
            </w:pPr>
            <w:r w:rsidRPr="00FD7B0B">
              <w:rPr>
                <w:rFonts w:ascii="Times New Roman" w:eastAsia="Times New Roman" w:hAnsi="Times New Roman"/>
              </w:rPr>
              <w:t>ед.</w:t>
            </w:r>
          </w:p>
        </w:tc>
        <w:tc>
          <w:tcPr>
            <w:tcW w:w="1276" w:type="dxa"/>
            <w:vAlign w:val="bottom"/>
          </w:tcPr>
          <w:p w14:paraId="3055FB41" w14:textId="77777777" w:rsidR="00D45416" w:rsidRPr="00FD7B0B" w:rsidRDefault="00D45416" w:rsidP="00BE64F6">
            <w:pPr>
              <w:jc w:val="right"/>
              <w:rPr>
                <w:rFonts w:ascii="Times New Roman" w:hAnsi="Times New Roman"/>
              </w:rPr>
            </w:pPr>
            <w:r w:rsidRPr="00FD7B0B">
              <w:rPr>
                <w:rFonts w:ascii="Times New Roman" w:hAnsi="Times New Roman"/>
              </w:rPr>
              <w:t>-250</w:t>
            </w:r>
          </w:p>
        </w:tc>
        <w:tc>
          <w:tcPr>
            <w:tcW w:w="1178" w:type="dxa"/>
            <w:vAlign w:val="bottom"/>
          </w:tcPr>
          <w:p w14:paraId="6D94B691" w14:textId="77777777" w:rsidR="00D45416" w:rsidRPr="00FD7B0B" w:rsidRDefault="00D45416" w:rsidP="00BE64F6">
            <w:pPr>
              <w:jc w:val="right"/>
              <w:rPr>
                <w:rFonts w:ascii="Times New Roman" w:hAnsi="Times New Roman"/>
              </w:rPr>
            </w:pPr>
            <w:r w:rsidRPr="00FD7B0B">
              <w:rPr>
                <w:rFonts w:ascii="Times New Roman" w:hAnsi="Times New Roman"/>
              </w:rPr>
              <w:t>1 117</w:t>
            </w:r>
          </w:p>
        </w:tc>
        <w:tc>
          <w:tcPr>
            <w:tcW w:w="1213" w:type="dxa"/>
            <w:vAlign w:val="bottom"/>
          </w:tcPr>
          <w:p w14:paraId="7D2CBD3A" w14:textId="77777777" w:rsidR="00D45416" w:rsidRPr="00FD7B0B" w:rsidRDefault="00D45416" w:rsidP="00BE64F6">
            <w:pPr>
              <w:jc w:val="right"/>
              <w:rPr>
                <w:rFonts w:ascii="Times New Roman" w:hAnsi="Times New Roman"/>
              </w:rPr>
            </w:pPr>
            <w:r w:rsidRPr="00FD7B0B">
              <w:rPr>
                <w:rFonts w:ascii="Times New Roman" w:hAnsi="Times New Roman"/>
              </w:rPr>
              <w:t>544</w:t>
            </w:r>
          </w:p>
        </w:tc>
        <w:tc>
          <w:tcPr>
            <w:tcW w:w="708" w:type="dxa"/>
            <w:vAlign w:val="bottom"/>
          </w:tcPr>
          <w:p w14:paraId="38645148" w14:textId="77777777" w:rsidR="00D45416" w:rsidRPr="00FD7B0B" w:rsidRDefault="00D45416" w:rsidP="00BE64F6">
            <w:pPr>
              <w:jc w:val="right"/>
              <w:rPr>
                <w:rFonts w:ascii="Times New Roman" w:hAnsi="Times New Roman"/>
              </w:rPr>
            </w:pPr>
            <w:r w:rsidRPr="00FD7B0B">
              <w:rPr>
                <w:rFonts w:ascii="Times New Roman" w:hAnsi="Times New Roman"/>
              </w:rPr>
              <w:t xml:space="preserve">-573 </w:t>
            </w:r>
          </w:p>
        </w:tc>
        <w:tc>
          <w:tcPr>
            <w:tcW w:w="1012" w:type="dxa"/>
            <w:vAlign w:val="bottom"/>
          </w:tcPr>
          <w:p w14:paraId="7B8F10B1" w14:textId="77777777" w:rsidR="00D45416" w:rsidRPr="00FD7B0B" w:rsidRDefault="00D45416" w:rsidP="00BE64F6">
            <w:pPr>
              <w:jc w:val="right"/>
              <w:rPr>
                <w:rFonts w:ascii="Times New Roman" w:hAnsi="Times New Roman"/>
              </w:rPr>
            </w:pPr>
            <w:r w:rsidRPr="00FD7B0B">
              <w:rPr>
                <w:rFonts w:ascii="Times New Roman" w:hAnsi="Times New Roman"/>
              </w:rPr>
              <w:t xml:space="preserve">-51,3 </w:t>
            </w:r>
          </w:p>
        </w:tc>
      </w:tr>
      <w:tr w:rsidR="00D45416" w:rsidRPr="00FD7B0B" w14:paraId="3783874B" w14:textId="77777777" w:rsidTr="00D45416">
        <w:tc>
          <w:tcPr>
            <w:tcW w:w="1403" w:type="dxa"/>
            <w:vMerge/>
            <w:vAlign w:val="center"/>
          </w:tcPr>
          <w:p w14:paraId="68DC80AC" w14:textId="77777777" w:rsidR="00D45416" w:rsidRPr="00FD7B0B" w:rsidRDefault="00D45416" w:rsidP="00BE64F6">
            <w:pPr>
              <w:ind w:left="-123" w:right="-108"/>
              <w:jc w:val="both"/>
              <w:rPr>
                <w:rFonts w:ascii="Times New Roman" w:eastAsia="Times New Roman" w:hAnsi="Times New Roman"/>
              </w:rPr>
            </w:pPr>
          </w:p>
        </w:tc>
        <w:tc>
          <w:tcPr>
            <w:tcW w:w="2835" w:type="dxa"/>
            <w:vAlign w:val="bottom"/>
          </w:tcPr>
          <w:p w14:paraId="6E414782" w14:textId="77777777" w:rsidR="00D45416" w:rsidRPr="00FD7B0B" w:rsidRDefault="00D45416" w:rsidP="00BE64F6">
            <w:pPr>
              <w:ind w:left="-123" w:right="-108"/>
              <w:jc w:val="center"/>
              <w:rPr>
                <w:rFonts w:ascii="Times New Roman" w:eastAsia="Times New Roman" w:hAnsi="Times New Roman"/>
              </w:rPr>
            </w:pPr>
            <w:r w:rsidRPr="00FD7B0B">
              <w:rPr>
                <w:rFonts w:ascii="Times New Roman" w:eastAsia="Times New Roman" w:hAnsi="Times New Roman"/>
              </w:rPr>
              <w:t>%</w:t>
            </w:r>
          </w:p>
        </w:tc>
        <w:tc>
          <w:tcPr>
            <w:tcW w:w="1276" w:type="dxa"/>
            <w:vAlign w:val="bottom"/>
          </w:tcPr>
          <w:p w14:paraId="24076F24" w14:textId="77777777" w:rsidR="00D45416" w:rsidRPr="00FD7B0B" w:rsidRDefault="00D45416" w:rsidP="00BE64F6">
            <w:pPr>
              <w:jc w:val="right"/>
              <w:rPr>
                <w:rFonts w:ascii="Times New Roman" w:hAnsi="Times New Roman"/>
              </w:rPr>
            </w:pPr>
            <w:r w:rsidRPr="00FD7B0B">
              <w:rPr>
                <w:rFonts w:ascii="Times New Roman" w:hAnsi="Times New Roman"/>
              </w:rPr>
              <w:t>-1,1</w:t>
            </w:r>
          </w:p>
        </w:tc>
        <w:tc>
          <w:tcPr>
            <w:tcW w:w="1178" w:type="dxa"/>
            <w:vAlign w:val="bottom"/>
          </w:tcPr>
          <w:p w14:paraId="4C3F7F56" w14:textId="77777777" w:rsidR="00D45416" w:rsidRPr="00FD7B0B" w:rsidRDefault="00D45416" w:rsidP="00BE64F6">
            <w:pPr>
              <w:jc w:val="right"/>
              <w:rPr>
                <w:rFonts w:ascii="Times New Roman" w:hAnsi="Times New Roman"/>
              </w:rPr>
            </w:pPr>
            <w:r w:rsidRPr="00FD7B0B">
              <w:rPr>
                <w:rFonts w:ascii="Times New Roman" w:hAnsi="Times New Roman"/>
              </w:rPr>
              <w:t>104,8</w:t>
            </w:r>
          </w:p>
        </w:tc>
        <w:tc>
          <w:tcPr>
            <w:tcW w:w="1213" w:type="dxa"/>
            <w:vAlign w:val="bottom"/>
          </w:tcPr>
          <w:p w14:paraId="3B04ED1F" w14:textId="77777777" w:rsidR="00D45416" w:rsidRPr="00FD7B0B" w:rsidRDefault="00D45416" w:rsidP="00BE64F6">
            <w:pPr>
              <w:jc w:val="right"/>
              <w:rPr>
                <w:rFonts w:ascii="Times New Roman" w:hAnsi="Times New Roman"/>
              </w:rPr>
            </w:pPr>
            <w:r w:rsidRPr="00FD7B0B">
              <w:rPr>
                <w:rFonts w:ascii="Times New Roman" w:hAnsi="Times New Roman"/>
              </w:rPr>
              <w:t>102,2</w:t>
            </w:r>
          </w:p>
        </w:tc>
        <w:tc>
          <w:tcPr>
            <w:tcW w:w="708" w:type="dxa"/>
            <w:vAlign w:val="bottom"/>
          </w:tcPr>
          <w:p w14:paraId="470980CC" w14:textId="77777777" w:rsidR="00D45416" w:rsidRPr="00FD7B0B" w:rsidRDefault="00D45416" w:rsidP="00BE64F6">
            <w:pPr>
              <w:jc w:val="right"/>
              <w:rPr>
                <w:rFonts w:ascii="Times New Roman" w:hAnsi="Times New Roman"/>
              </w:rPr>
            </w:pPr>
            <w:r w:rsidRPr="00FD7B0B">
              <w:rPr>
                <w:rFonts w:ascii="Times New Roman" w:hAnsi="Times New Roman"/>
              </w:rPr>
              <w:t xml:space="preserve">-2,6 </w:t>
            </w:r>
          </w:p>
        </w:tc>
        <w:tc>
          <w:tcPr>
            <w:tcW w:w="1012" w:type="dxa"/>
            <w:vAlign w:val="bottom"/>
          </w:tcPr>
          <w:p w14:paraId="529EF756" w14:textId="77777777" w:rsidR="00D45416" w:rsidRPr="00FD7B0B" w:rsidRDefault="00D45416" w:rsidP="00BE64F6">
            <w:pPr>
              <w:jc w:val="right"/>
              <w:rPr>
                <w:rFonts w:ascii="Times New Roman" w:hAnsi="Times New Roman"/>
              </w:rPr>
            </w:pPr>
            <w:r w:rsidRPr="00FD7B0B">
              <w:rPr>
                <w:rFonts w:ascii="Times New Roman" w:hAnsi="Times New Roman"/>
              </w:rPr>
              <w:t xml:space="preserve">-2,5 </w:t>
            </w:r>
          </w:p>
        </w:tc>
      </w:tr>
    </w:tbl>
    <w:p w14:paraId="4BEA150C" w14:textId="77777777" w:rsidR="005A472F" w:rsidRPr="00FD7B0B" w:rsidRDefault="005A472F" w:rsidP="005A472F">
      <w:pPr>
        <w:spacing w:after="0" w:line="240" w:lineRule="auto"/>
        <w:ind w:firstLine="709"/>
        <w:jc w:val="both"/>
        <w:rPr>
          <w:rFonts w:ascii="Times New Roman" w:hAnsi="Times New Roman"/>
          <w:sz w:val="28"/>
          <w:szCs w:val="28"/>
        </w:rPr>
      </w:pPr>
    </w:p>
    <w:p w14:paraId="6E364E2A" w14:textId="19983422" w:rsidR="005A472F" w:rsidRPr="00FD7B0B" w:rsidRDefault="005A472F" w:rsidP="005A472F">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По итогам 2024 года установлено увеличение общего числа индивидуальных предпринимателей (далее – ИП) в Архангельской области (без НАО) (как и по итогам 2023 года), из них: </w:t>
      </w:r>
      <w:r w:rsidRPr="00FD7B0B">
        <w:rPr>
          <w:rFonts w:ascii="Times New Roman" w:hAnsi="Times New Roman"/>
          <w:sz w:val="28"/>
          <w:szCs w:val="28"/>
          <w:u w:val="single"/>
        </w:rPr>
        <w:t>увеличено количество</w:t>
      </w:r>
      <w:r w:rsidRPr="00FD7B0B">
        <w:rPr>
          <w:rFonts w:ascii="Times New Roman" w:hAnsi="Times New Roman"/>
          <w:sz w:val="28"/>
          <w:szCs w:val="28"/>
        </w:rPr>
        <w:t xml:space="preserve"> ИП по виду экономической деятельности «Строительство» на 146 единиц (+6,6</w:t>
      </w:r>
      <w:r w:rsidR="002F5D48" w:rsidRPr="00FD7B0B">
        <w:rPr>
          <w:rFonts w:ascii="Times New Roman" w:hAnsi="Times New Roman"/>
          <w:sz w:val="28"/>
          <w:szCs w:val="28"/>
        </w:rPr>
        <w:t xml:space="preserve"> </w:t>
      </w:r>
      <w:r w:rsidRPr="00FD7B0B">
        <w:rPr>
          <w:rFonts w:ascii="Times New Roman" w:hAnsi="Times New Roman"/>
          <w:sz w:val="28"/>
          <w:szCs w:val="28"/>
        </w:rPr>
        <w:t>%), «Деятельность профессиональная, научная и техническая» на 126 единиц (+6,5</w:t>
      </w:r>
      <w:r w:rsidR="00612EF1" w:rsidRPr="00FD7B0B">
        <w:rPr>
          <w:rFonts w:ascii="Times New Roman" w:hAnsi="Times New Roman"/>
          <w:sz w:val="28"/>
          <w:szCs w:val="28"/>
        </w:rPr>
        <w:t> </w:t>
      </w:r>
      <w:r w:rsidRPr="00FD7B0B">
        <w:rPr>
          <w:rFonts w:ascii="Times New Roman" w:hAnsi="Times New Roman"/>
          <w:sz w:val="28"/>
          <w:szCs w:val="28"/>
        </w:rPr>
        <w:t>%), «Деятельность в области информации и связи» на 88 единиц (+11,5</w:t>
      </w:r>
      <w:r w:rsidR="00612EF1" w:rsidRPr="00FD7B0B">
        <w:rPr>
          <w:rFonts w:ascii="Times New Roman" w:hAnsi="Times New Roman"/>
          <w:sz w:val="28"/>
          <w:szCs w:val="28"/>
        </w:rPr>
        <w:t xml:space="preserve"> </w:t>
      </w:r>
      <w:r w:rsidRPr="00FD7B0B">
        <w:rPr>
          <w:rFonts w:ascii="Times New Roman" w:hAnsi="Times New Roman"/>
          <w:sz w:val="28"/>
          <w:szCs w:val="28"/>
        </w:rPr>
        <w:t>%), «Деятельность в области культуры, спорта, организации досуга и развлечений» на 55 единиц (+13,2</w:t>
      </w:r>
      <w:r w:rsidR="00612EF1" w:rsidRPr="00FD7B0B">
        <w:rPr>
          <w:rFonts w:ascii="Times New Roman" w:hAnsi="Times New Roman"/>
          <w:sz w:val="28"/>
          <w:szCs w:val="28"/>
        </w:rPr>
        <w:t xml:space="preserve"> </w:t>
      </w:r>
      <w:r w:rsidRPr="00FD7B0B">
        <w:rPr>
          <w:rFonts w:ascii="Times New Roman" w:hAnsi="Times New Roman"/>
          <w:sz w:val="28"/>
          <w:szCs w:val="28"/>
        </w:rPr>
        <w:t xml:space="preserve">%), одновременно установлено </w:t>
      </w:r>
      <w:r w:rsidRPr="00FD7B0B">
        <w:rPr>
          <w:rFonts w:ascii="Times New Roman" w:hAnsi="Times New Roman"/>
          <w:i/>
          <w:sz w:val="28"/>
          <w:szCs w:val="28"/>
        </w:rPr>
        <w:t>снижение</w:t>
      </w:r>
      <w:r w:rsidRPr="00FD7B0B">
        <w:rPr>
          <w:rFonts w:ascii="Times New Roman" w:hAnsi="Times New Roman"/>
          <w:sz w:val="28"/>
          <w:szCs w:val="28"/>
        </w:rPr>
        <w:t xml:space="preserve"> количества ИП установлено по видам экономической деятельности «Сельское, лесное хозяйство, охота, рыболовство и рыбоводство» на 66 единиц (–7,3</w:t>
      </w:r>
      <w:r w:rsidR="00612EF1" w:rsidRPr="00FD7B0B">
        <w:rPr>
          <w:rFonts w:ascii="Times New Roman" w:hAnsi="Times New Roman"/>
          <w:sz w:val="28"/>
          <w:szCs w:val="28"/>
        </w:rPr>
        <w:t xml:space="preserve"> </w:t>
      </w:r>
      <w:r w:rsidRPr="00FD7B0B">
        <w:rPr>
          <w:rFonts w:ascii="Times New Roman" w:hAnsi="Times New Roman"/>
          <w:sz w:val="28"/>
          <w:szCs w:val="28"/>
        </w:rPr>
        <w:t>%), «Торговля оптовая и розничная; ремонт автотранспортных средств и мотоциклов» на 128,0 единиц (–1,6 %).</w:t>
      </w:r>
    </w:p>
    <w:p w14:paraId="3461952C" w14:textId="3CE0DCE6" w:rsidR="005A472F" w:rsidRPr="00FD7B0B" w:rsidRDefault="005A472F" w:rsidP="005A472F">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Согласно предварительным статистическим данным установлено увеличение индекса цен производителей по отдельным видам экономической деятельности в декабре 2024 года к декабрю 2023 года, что представлено в таблице</w:t>
      </w:r>
      <w:r w:rsidR="00612EF1" w:rsidRPr="00FD7B0B">
        <w:rPr>
          <w:rFonts w:ascii="Times New Roman" w:hAnsi="Times New Roman"/>
          <w:sz w:val="28"/>
          <w:szCs w:val="28"/>
        </w:rPr>
        <w:t xml:space="preserve"> </w:t>
      </w:r>
      <w:r w:rsidR="006B033D" w:rsidRPr="00FD7B0B">
        <w:rPr>
          <w:rFonts w:ascii="Times New Roman" w:hAnsi="Times New Roman"/>
          <w:sz w:val="28"/>
          <w:szCs w:val="28"/>
        </w:rPr>
        <w:t>6</w:t>
      </w:r>
      <w:r w:rsidRPr="00FD7B0B">
        <w:rPr>
          <w:rFonts w:ascii="Times New Roman" w:hAnsi="Times New Roman"/>
          <w:sz w:val="28"/>
          <w:szCs w:val="28"/>
        </w:rPr>
        <w:t>.</w:t>
      </w:r>
    </w:p>
    <w:p w14:paraId="1EA492D3" w14:textId="77777777" w:rsidR="005A472F" w:rsidRPr="00FD7B0B" w:rsidRDefault="005A472F" w:rsidP="005A472F">
      <w:pPr>
        <w:spacing w:after="0" w:line="240" w:lineRule="auto"/>
        <w:ind w:firstLine="709"/>
        <w:jc w:val="both"/>
        <w:rPr>
          <w:rFonts w:ascii="Times New Roman" w:hAnsi="Times New Roman"/>
          <w:sz w:val="28"/>
          <w:szCs w:val="28"/>
        </w:rPr>
      </w:pPr>
    </w:p>
    <w:p w14:paraId="2AA17A53" w14:textId="6E016069" w:rsidR="005A472F" w:rsidRPr="00FD7B0B" w:rsidRDefault="005A472F" w:rsidP="005A472F">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w:t>
      </w:r>
      <w:r w:rsidRPr="00FD7B0B">
        <w:rPr>
          <w:rFonts w:ascii="Times New Roman" w:hAnsi="Times New Roman"/>
          <w:b w:val="0"/>
          <w:sz w:val="24"/>
          <w:szCs w:val="24"/>
        </w:rPr>
        <w:fldChar w:fldCharType="end"/>
      </w:r>
      <w:r w:rsidRPr="00FD7B0B">
        <w:rPr>
          <w:rFonts w:ascii="Times New Roman" w:hAnsi="Times New Roman"/>
          <w:b w:val="0"/>
          <w:sz w:val="24"/>
          <w:szCs w:val="24"/>
        </w:rPr>
        <w:t>. Индексы цен производителей по отдельным видам экономической деятельности (по выборочному кругу организаций), %</w:t>
      </w:r>
    </w:p>
    <w:tbl>
      <w:tblPr>
        <w:tblW w:w="9688"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577"/>
        <w:gridCol w:w="1418"/>
        <w:gridCol w:w="1305"/>
        <w:gridCol w:w="1388"/>
      </w:tblGrid>
      <w:tr w:rsidR="00FD7B0B" w:rsidRPr="00FD7B0B" w14:paraId="27CB02FF" w14:textId="77777777" w:rsidTr="00D45416">
        <w:trPr>
          <w:trHeight w:val="396"/>
          <w:tblHeader/>
        </w:trPr>
        <w:tc>
          <w:tcPr>
            <w:tcW w:w="5577" w:type="dxa"/>
            <w:vMerge w:val="restart"/>
            <w:shd w:val="clear" w:color="auto" w:fill="auto"/>
            <w:vAlign w:val="center"/>
            <w:hideMark/>
          </w:tcPr>
          <w:p w14:paraId="0FDE9B8C" w14:textId="77777777" w:rsidR="00D45416" w:rsidRPr="00FD7B0B" w:rsidRDefault="00D45416"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Показатель</w:t>
            </w:r>
          </w:p>
        </w:tc>
        <w:tc>
          <w:tcPr>
            <w:tcW w:w="1418" w:type="dxa"/>
            <w:shd w:val="clear" w:color="auto" w:fill="auto"/>
            <w:vAlign w:val="center"/>
            <w:hideMark/>
          </w:tcPr>
          <w:p w14:paraId="75F4D657" w14:textId="77777777" w:rsidR="00D45416" w:rsidRPr="00FD7B0B" w:rsidRDefault="00D45416" w:rsidP="00BE64F6">
            <w:pPr>
              <w:spacing w:after="0" w:line="240" w:lineRule="auto"/>
              <w:ind w:left="-108" w:right="-115"/>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Декабрь 2022 к декабрю 2021</w:t>
            </w:r>
          </w:p>
        </w:tc>
        <w:tc>
          <w:tcPr>
            <w:tcW w:w="1305" w:type="dxa"/>
            <w:vAlign w:val="center"/>
          </w:tcPr>
          <w:p w14:paraId="4CCFCEDA" w14:textId="77777777" w:rsidR="00D45416" w:rsidRPr="00FD7B0B" w:rsidRDefault="00D45416" w:rsidP="00BE64F6">
            <w:pPr>
              <w:spacing w:after="0" w:line="240" w:lineRule="auto"/>
              <w:ind w:left="-108" w:right="-115"/>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Декабрь 2023 к декабрю 2022</w:t>
            </w:r>
          </w:p>
        </w:tc>
        <w:tc>
          <w:tcPr>
            <w:tcW w:w="1388" w:type="dxa"/>
            <w:vAlign w:val="center"/>
          </w:tcPr>
          <w:p w14:paraId="5B3F55CA" w14:textId="77777777" w:rsidR="00D45416" w:rsidRPr="00FD7B0B" w:rsidRDefault="00D45416" w:rsidP="00BE64F6">
            <w:pPr>
              <w:spacing w:after="0" w:line="240" w:lineRule="auto"/>
              <w:ind w:left="-108" w:right="-115"/>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Декабрь 2024 к декабрю 2023</w:t>
            </w:r>
          </w:p>
        </w:tc>
      </w:tr>
      <w:tr w:rsidR="00FD7B0B" w:rsidRPr="00FD7B0B" w14:paraId="596CC73C" w14:textId="77777777" w:rsidTr="00D45416">
        <w:trPr>
          <w:trHeight w:val="134"/>
          <w:tblHeader/>
        </w:trPr>
        <w:tc>
          <w:tcPr>
            <w:tcW w:w="5577" w:type="dxa"/>
            <w:vMerge/>
            <w:shd w:val="clear" w:color="auto" w:fill="auto"/>
            <w:vAlign w:val="center"/>
          </w:tcPr>
          <w:p w14:paraId="323EB798" w14:textId="77777777" w:rsidR="00D45416" w:rsidRPr="00FD7B0B" w:rsidRDefault="00D45416" w:rsidP="00BE64F6">
            <w:pPr>
              <w:spacing w:after="0" w:line="240" w:lineRule="auto"/>
              <w:jc w:val="center"/>
              <w:rPr>
                <w:rFonts w:ascii="Times New Roman" w:eastAsia="Times New Roman" w:hAnsi="Times New Roman" w:cs="Times New Roman"/>
                <w:lang w:eastAsia="ru-RU"/>
              </w:rPr>
            </w:pPr>
          </w:p>
        </w:tc>
        <w:tc>
          <w:tcPr>
            <w:tcW w:w="1418" w:type="dxa"/>
            <w:shd w:val="clear" w:color="auto" w:fill="auto"/>
            <w:vAlign w:val="center"/>
          </w:tcPr>
          <w:p w14:paraId="3B058CE3" w14:textId="77777777" w:rsidR="00D45416" w:rsidRPr="00FD7B0B" w:rsidRDefault="00D45416" w:rsidP="00BE64F6">
            <w:pPr>
              <w:spacing w:after="0" w:line="240" w:lineRule="auto"/>
              <w:ind w:left="-108" w:right="-115"/>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2022 год</w:t>
            </w:r>
          </w:p>
        </w:tc>
        <w:tc>
          <w:tcPr>
            <w:tcW w:w="1305" w:type="dxa"/>
            <w:vAlign w:val="center"/>
          </w:tcPr>
          <w:p w14:paraId="5EFAB150" w14:textId="77777777" w:rsidR="00D45416" w:rsidRPr="00FD7B0B" w:rsidRDefault="00D45416" w:rsidP="00BE64F6">
            <w:pPr>
              <w:spacing w:after="0" w:line="240" w:lineRule="auto"/>
              <w:ind w:left="-108" w:right="-115"/>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2023 год</w:t>
            </w:r>
          </w:p>
        </w:tc>
        <w:tc>
          <w:tcPr>
            <w:tcW w:w="1388" w:type="dxa"/>
            <w:vAlign w:val="center"/>
          </w:tcPr>
          <w:p w14:paraId="52712387" w14:textId="77777777" w:rsidR="00D45416" w:rsidRPr="00FD7B0B" w:rsidRDefault="00D45416" w:rsidP="00BE64F6">
            <w:pPr>
              <w:spacing w:after="0" w:line="240" w:lineRule="auto"/>
              <w:ind w:left="-108" w:right="-115"/>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год</w:t>
            </w:r>
          </w:p>
        </w:tc>
      </w:tr>
      <w:tr w:rsidR="00FD7B0B" w:rsidRPr="00FD7B0B" w14:paraId="26422D9B" w14:textId="77777777" w:rsidTr="00D45416">
        <w:trPr>
          <w:trHeight w:val="171"/>
        </w:trPr>
        <w:tc>
          <w:tcPr>
            <w:tcW w:w="5577" w:type="dxa"/>
            <w:shd w:val="clear" w:color="auto" w:fill="auto"/>
            <w:vAlign w:val="bottom"/>
            <w:hideMark/>
          </w:tcPr>
          <w:p w14:paraId="3D2436CB" w14:textId="77777777" w:rsidR="00D45416" w:rsidRPr="00FD7B0B" w:rsidRDefault="00D45416"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Добыча полезных ископаемых</w:t>
            </w:r>
          </w:p>
        </w:tc>
        <w:tc>
          <w:tcPr>
            <w:tcW w:w="1418" w:type="dxa"/>
            <w:shd w:val="clear" w:color="auto" w:fill="auto"/>
            <w:noWrap/>
            <w:vAlign w:val="bottom"/>
            <w:hideMark/>
          </w:tcPr>
          <w:p w14:paraId="6A7A8753" w14:textId="77777777" w:rsidR="00D45416" w:rsidRPr="00FD7B0B" w:rsidRDefault="00D45416"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110,9</w:t>
            </w:r>
          </w:p>
        </w:tc>
        <w:tc>
          <w:tcPr>
            <w:tcW w:w="1305" w:type="dxa"/>
            <w:vAlign w:val="bottom"/>
          </w:tcPr>
          <w:p w14:paraId="79A6791B" w14:textId="77777777" w:rsidR="00D45416" w:rsidRPr="00FD7B0B" w:rsidRDefault="00D45416" w:rsidP="00BE64F6">
            <w:pPr>
              <w:spacing w:after="0" w:line="240" w:lineRule="auto"/>
              <w:jc w:val="right"/>
              <w:rPr>
                <w:rFonts w:ascii="Times New Roman" w:eastAsia="Times New Roman" w:hAnsi="Times New Roman" w:cs="Times New Roman"/>
                <w:lang w:eastAsia="ru-RU"/>
              </w:rPr>
            </w:pPr>
            <w:r w:rsidRPr="00FD7B0B">
              <w:rPr>
                <w:rFonts w:ascii="Times New Roman" w:hAnsi="Times New Roman" w:cs="Times New Roman"/>
              </w:rPr>
              <w:t>111,40</w:t>
            </w:r>
          </w:p>
        </w:tc>
        <w:tc>
          <w:tcPr>
            <w:tcW w:w="1388" w:type="dxa"/>
            <w:vAlign w:val="bottom"/>
          </w:tcPr>
          <w:p w14:paraId="0280E79D" w14:textId="77777777" w:rsidR="00D45416" w:rsidRPr="00FD7B0B" w:rsidRDefault="00D45416" w:rsidP="00BE64F6">
            <w:pPr>
              <w:spacing w:after="0" w:line="240" w:lineRule="auto"/>
              <w:jc w:val="right"/>
              <w:rPr>
                <w:rFonts w:ascii="Times New Roman" w:hAnsi="Times New Roman" w:cs="Times New Roman"/>
              </w:rPr>
            </w:pPr>
            <w:r w:rsidRPr="00FD7B0B">
              <w:rPr>
                <w:rFonts w:ascii="Times New Roman" w:hAnsi="Times New Roman" w:cs="Times New Roman"/>
              </w:rPr>
              <w:t>120,4</w:t>
            </w:r>
          </w:p>
        </w:tc>
      </w:tr>
      <w:tr w:rsidR="00FD7B0B" w:rsidRPr="00FD7B0B" w14:paraId="20AFDE20" w14:textId="77777777" w:rsidTr="00D45416">
        <w:trPr>
          <w:trHeight w:val="261"/>
        </w:trPr>
        <w:tc>
          <w:tcPr>
            <w:tcW w:w="5577" w:type="dxa"/>
            <w:shd w:val="clear" w:color="auto" w:fill="auto"/>
            <w:vAlign w:val="bottom"/>
            <w:hideMark/>
          </w:tcPr>
          <w:p w14:paraId="53DC564C" w14:textId="77777777" w:rsidR="00D45416" w:rsidRPr="00FD7B0B" w:rsidRDefault="00D45416"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Обрабатывающие производства</w:t>
            </w:r>
          </w:p>
        </w:tc>
        <w:tc>
          <w:tcPr>
            <w:tcW w:w="1418" w:type="dxa"/>
            <w:shd w:val="clear" w:color="auto" w:fill="auto"/>
            <w:noWrap/>
            <w:vAlign w:val="bottom"/>
            <w:hideMark/>
          </w:tcPr>
          <w:p w14:paraId="3D987BEF" w14:textId="77777777" w:rsidR="00D45416" w:rsidRPr="00FD7B0B" w:rsidRDefault="00D45416"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97,9</w:t>
            </w:r>
          </w:p>
        </w:tc>
        <w:tc>
          <w:tcPr>
            <w:tcW w:w="1305" w:type="dxa"/>
            <w:vAlign w:val="bottom"/>
          </w:tcPr>
          <w:p w14:paraId="1DD74B6E" w14:textId="77777777" w:rsidR="00D45416" w:rsidRPr="00FD7B0B" w:rsidRDefault="00D45416" w:rsidP="00BE64F6">
            <w:pPr>
              <w:spacing w:after="0" w:line="240" w:lineRule="auto"/>
              <w:jc w:val="right"/>
              <w:rPr>
                <w:rFonts w:ascii="Times New Roman" w:eastAsia="Times New Roman" w:hAnsi="Times New Roman" w:cs="Times New Roman"/>
                <w:lang w:eastAsia="ru-RU"/>
              </w:rPr>
            </w:pPr>
            <w:r w:rsidRPr="00FD7B0B">
              <w:rPr>
                <w:rFonts w:ascii="Times New Roman" w:hAnsi="Times New Roman" w:cs="Times New Roman"/>
              </w:rPr>
              <w:t>108,90</w:t>
            </w:r>
          </w:p>
        </w:tc>
        <w:tc>
          <w:tcPr>
            <w:tcW w:w="1388" w:type="dxa"/>
            <w:vAlign w:val="bottom"/>
          </w:tcPr>
          <w:p w14:paraId="67757900" w14:textId="77777777" w:rsidR="00D45416" w:rsidRPr="00FD7B0B" w:rsidRDefault="00D45416" w:rsidP="00BE64F6">
            <w:pPr>
              <w:spacing w:after="0" w:line="240" w:lineRule="auto"/>
              <w:jc w:val="right"/>
              <w:rPr>
                <w:rFonts w:ascii="Times New Roman" w:hAnsi="Times New Roman" w:cs="Times New Roman"/>
              </w:rPr>
            </w:pPr>
            <w:r w:rsidRPr="00FD7B0B">
              <w:rPr>
                <w:rFonts w:ascii="Times New Roman" w:hAnsi="Times New Roman" w:cs="Times New Roman"/>
              </w:rPr>
              <w:t>107,5</w:t>
            </w:r>
          </w:p>
        </w:tc>
      </w:tr>
      <w:tr w:rsidR="00FD7B0B" w:rsidRPr="00FD7B0B" w14:paraId="77A0C2A6" w14:textId="77777777" w:rsidTr="00D45416">
        <w:trPr>
          <w:trHeight w:val="171"/>
        </w:trPr>
        <w:tc>
          <w:tcPr>
            <w:tcW w:w="5577" w:type="dxa"/>
            <w:shd w:val="clear" w:color="auto" w:fill="auto"/>
            <w:vAlign w:val="bottom"/>
            <w:hideMark/>
          </w:tcPr>
          <w:p w14:paraId="15E94566" w14:textId="77777777" w:rsidR="00D45416" w:rsidRPr="00FD7B0B" w:rsidRDefault="00D45416"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Обеспечение электрической энергией…</w:t>
            </w:r>
          </w:p>
        </w:tc>
        <w:tc>
          <w:tcPr>
            <w:tcW w:w="1418" w:type="dxa"/>
            <w:shd w:val="clear" w:color="auto" w:fill="auto"/>
            <w:noWrap/>
            <w:vAlign w:val="bottom"/>
            <w:hideMark/>
          </w:tcPr>
          <w:p w14:paraId="42A04C80" w14:textId="77777777" w:rsidR="00D45416" w:rsidRPr="00FD7B0B" w:rsidRDefault="00D45416"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108,8</w:t>
            </w:r>
          </w:p>
        </w:tc>
        <w:tc>
          <w:tcPr>
            <w:tcW w:w="1305" w:type="dxa"/>
            <w:vAlign w:val="bottom"/>
          </w:tcPr>
          <w:p w14:paraId="1AA3A6F7" w14:textId="77777777" w:rsidR="00D45416" w:rsidRPr="00FD7B0B" w:rsidRDefault="00D45416" w:rsidP="00BE64F6">
            <w:pPr>
              <w:spacing w:after="0" w:line="240" w:lineRule="auto"/>
              <w:jc w:val="right"/>
              <w:rPr>
                <w:rFonts w:ascii="Times New Roman" w:eastAsia="Times New Roman" w:hAnsi="Times New Roman" w:cs="Times New Roman"/>
                <w:lang w:eastAsia="ru-RU"/>
              </w:rPr>
            </w:pPr>
            <w:r w:rsidRPr="00FD7B0B">
              <w:rPr>
                <w:rFonts w:ascii="Times New Roman" w:hAnsi="Times New Roman" w:cs="Times New Roman"/>
              </w:rPr>
              <w:t>105,80</w:t>
            </w:r>
          </w:p>
        </w:tc>
        <w:tc>
          <w:tcPr>
            <w:tcW w:w="1388" w:type="dxa"/>
            <w:vAlign w:val="bottom"/>
          </w:tcPr>
          <w:p w14:paraId="134921C2" w14:textId="77777777" w:rsidR="00D45416" w:rsidRPr="00FD7B0B" w:rsidRDefault="00D45416" w:rsidP="00BE64F6">
            <w:pPr>
              <w:spacing w:after="0" w:line="240" w:lineRule="auto"/>
              <w:jc w:val="right"/>
              <w:rPr>
                <w:rFonts w:ascii="Times New Roman" w:hAnsi="Times New Roman" w:cs="Times New Roman"/>
              </w:rPr>
            </w:pPr>
            <w:r w:rsidRPr="00FD7B0B">
              <w:rPr>
                <w:rFonts w:ascii="Times New Roman" w:hAnsi="Times New Roman" w:cs="Times New Roman"/>
              </w:rPr>
              <w:t>118,0</w:t>
            </w:r>
          </w:p>
        </w:tc>
      </w:tr>
      <w:tr w:rsidR="00FD7B0B" w:rsidRPr="00FD7B0B" w14:paraId="42CA30EE" w14:textId="77777777" w:rsidTr="00D45416">
        <w:trPr>
          <w:trHeight w:val="259"/>
        </w:trPr>
        <w:tc>
          <w:tcPr>
            <w:tcW w:w="5577" w:type="dxa"/>
            <w:shd w:val="clear" w:color="auto" w:fill="auto"/>
            <w:vAlign w:val="bottom"/>
            <w:hideMark/>
          </w:tcPr>
          <w:p w14:paraId="6D585CD4" w14:textId="77777777" w:rsidR="00D45416" w:rsidRPr="00FD7B0B" w:rsidRDefault="00D45416"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Водоснабжение; водоотведение…</w:t>
            </w:r>
          </w:p>
        </w:tc>
        <w:tc>
          <w:tcPr>
            <w:tcW w:w="1418" w:type="dxa"/>
            <w:shd w:val="clear" w:color="auto" w:fill="auto"/>
            <w:noWrap/>
            <w:vAlign w:val="bottom"/>
            <w:hideMark/>
          </w:tcPr>
          <w:p w14:paraId="738FFA26" w14:textId="77777777" w:rsidR="00D45416" w:rsidRPr="00FD7B0B" w:rsidRDefault="00D45416"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117,0</w:t>
            </w:r>
          </w:p>
        </w:tc>
        <w:tc>
          <w:tcPr>
            <w:tcW w:w="1305" w:type="dxa"/>
            <w:vAlign w:val="bottom"/>
          </w:tcPr>
          <w:p w14:paraId="757C7F6F" w14:textId="77777777" w:rsidR="00D45416" w:rsidRPr="00FD7B0B" w:rsidRDefault="00D45416" w:rsidP="00BE64F6">
            <w:pPr>
              <w:spacing w:after="0" w:line="240" w:lineRule="auto"/>
              <w:jc w:val="right"/>
              <w:rPr>
                <w:rFonts w:ascii="Times New Roman" w:eastAsia="Times New Roman" w:hAnsi="Times New Roman" w:cs="Times New Roman"/>
                <w:lang w:eastAsia="ru-RU"/>
              </w:rPr>
            </w:pPr>
            <w:r w:rsidRPr="00FD7B0B">
              <w:rPr>
                <w:rFonts w:ascii="Times New Roman" w:hAnsi="Times New Roman" w:cs="Times New Roman"/>
              </w:rPr>
              <w:t>100,04</w:t>
            </w:r>
          </w:p>
        </w:tc>
        <w:tc>
          <w:tcPr>
            <w:tcW w:w="1388" w:type="dxa"/>
            <w:vAlign w:val="bottom"/>
          </w:tcPr>
          <w:p w14:paraId="4431BA70" w14:textId="77777777" w:rsidR="00D45416" w:rsidRPr="00FD7B0B" w:rsidRDefault="00D45416" w:rsidP="00BE64F6">
            <w:pPr>
              <w:spacing w:after="0" w:line="240" w:lineRule="auto"/>
              <w:jc w:val="right"/>
              <w:rPr>
                <w:rFonts w:ascii="Times New Roman" w:hAnsi="Times New Roman" w:cs="Times New Roman"/>
              </w:rPr>
            </w:pPr>
            <w:r w:rsidRPr="00FD7B0B">
              <w:rPr>
                <w:rFonts w:ascii="Times New Roman" w:hAnsi="Times New Roman" w:cs="Times New Roman"/>
              </w:rPr>
              <w:t>111,9</w:t>
            </w:r>
          </w:p>
        </w:tc>
      </w:tr>
    </w:tbl>
    <w:p w14:paraId="61C3F6EC" w14:textId="77777777" w:rsidR="005A472F" w:rsidRPr="00FD7B0B" w:rsidRDefault="005A472F" w:rsidP="005A472F">
      <w:pPr>
        <w:spacing w:after="0" w:line="240" w:lineRule="auto"/>
        <w:ind w:firstLine="709"/>
        <w:jc w:val="both"/>
        <w:rPr>
          <w:rFonts w:ascii="Times New Roman" w:hAnsi="Times New Roman"/>
          <w:sz w:val="28"/>
          <w:szCs w:val="28"/>
        </w:rPr>
      </w:pPr>
    </w:p>
    <w:p w14:paraId="35E49B1E" w14:textId="75C1994A" w:rsidR="005A472F" w:rsidRPr="00FD7B0B" w:rsidRDefault="00612EF1" w:rsidP="005A472F">
      <w:pPr>
        <w:spacing w:after="0" w:line="240" w:lineRule="auto"/>
        <w:ind w:firstLine="709"/>
        <w:jc w:val="both"/>
        <w:rPr>
          <w:rFonts w:ascii="Times New Roman" w:hAnsi="Times New Roman"/>
          <w:sz w:val="28"/>
          <w:szCs w:val="28"/>
        </w:rPr>
      </w:pPr>
      <w:r w:rsidRPr="00FD7B0B">
        <w:rPr>
          <w:rFonts w:ascii="Times New Roman" w:hAnsi="Times New Roman"/>
          <w:sz w:val="28"/>
          <w:szCs w:val="28"/>
        </w:rPr>
        <w:t>О</w:t>
      </w:r>
      <w:r w:rsidR="005A472F" w:rsidRPr="00FD7B0B">
        <w:rPr>
          <w:rFonts w:ascii="Times New Roman" w:hAnsi="Times New Roman"/>
          <w:sz w:val="28"/>
          <w:szCs w:val="28"/>
        </w:rPr>
        <w:t>тмечается ежегодный рост индексов цен производителей (декабрь к декабрю прошлого года) по наблюдаемым видам деятельности за исключением снижения индексов цен производителей по таким видам экономической деятельности, как «Добыча полезных ископаемых» в 2021 году (97,8</w:t>
      </w:r>
      <w:r w:rsidRPr="00FD7B0B">
        <w:rPr>
          <w:rFonts w:ascii="Times New Roman" w:hAnsi="Times New Roman"/>
          <w:sz w:val="28"/>
          <w:szCs w:val="28"/>
        </w:rPr>
        <w:t xml:space="preserve"> </w:t>
      </w:r>
      <w:r w:rsidR="005A472F" w:rsidRPr="00FD7B0B">
        <w:rPr>
          <w:rFonts w:ascii="Times New Roman" w:hAnsi="Times New Roman"/>
          <w:sz w:val="28"/>
          <w:szCs w:val="28"/>
        </w:rPr>
        <w:t>%) и «Обрабатывающие производства» в 2022 году (97,9</w:t>
      </w:r>
      <w:r w:rsidRPr="00FD7B0B">
        <w:rPr>
          <w:rFonts w:ascii="Times New Roman" w:hAnsi="Times New Roman"/>
          <w:sz w:val="28"/>
          <w:szCs w:val="28"/>
        </w:rPr>
        <w:t xml:space="preserve"> </w:t>
      </w:r>
      <w:r w:rsidR="005A472F" w:rsidRPr="00FD7B0B">
        <w:rPr>
          <w:rFonts w:ascii="Times New Roman" w:hAnsi="Times New Roman"/>
          <w:sz w:val="28"/>
          <w:szCs w:val="28"/>
        </w:rPr>
        <w:t>%).</w:t>
      </w:r>
    </w:p>
    <w:p w14:paraId="1E1FB082" w14:textId="4582F3B6"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lastRenderedPageBreak/>
        <w:t>Согласно оперативным данным статистической отчетности «О финансовых результатах деятельности организаций Архангельской области (без НАО) в 2024 году» (без субъектов малого предпринимательства, банков, страховых организаций и государственных (муниципальных) учреждений)) доля прибыльных организаций по итогам 2024 года снизилась к прошлогодним показателям на 1,5 п.п и составила 72,3</w:t>
      </w:r>
      <w:r w:rsidR="00CD48C4" w:rsidRPr="00FD7B0B">
        <w:rPr>
          <w:rFonts w:ascii="Times New Roman" w:hAnsi="Times New Roman"/>
          <w:sz w:val="28"/>
          <w:szCs w:val="28"/>
        </w:rPr>
        <w:t xml:space="preserve"> </w:t>
      </w:r>
      <w:r w:rsidRPr="00FD7B0B">
        <w:rPr>
          <w:rFonts w:ascii="Times New Roman" w:hAnsi="Times New Roman"/>
          <w:sz w:val="28"/>
          <w:szCs w:val="28"/>
        </w:rPr>
        <w:t>% (в 2023 году составляла 73,8 %), соответственно доля убыточных организаций увеличилась на 1,5 п.п. и составила 27,7% (в 2023 году составляла 26,2 %).</w:t>
      </w:r>
    </w:p>
    <w:p w14:paraId="40C32033" w14:textId="03EB11F8"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При уменьшении количества хозяйствующих субъектов в отчетном году и росте индекса цен производителей и иных факторах сальдированный финансовый результат организаций на территории Архангельской области (без субъектов малого предпринимательства, кредитных организаций, государственных (муниципальных) учреждений, некредитных финансовых организаций) в действующих ценах составил 70 655,6 млн.руб. (прибыль) (в 2023 году показатель составил 54 945,7 млн.руб., в 2022 году 64 050,2 млн.руб., в 2021 году 28 204,2 млн.руб., в 2020 году </w:t>
      </w:r>
      <w:r w:rsidR="0026135C" w:rsidRPr="00FD7B0B">
        <w:rPr>
          <w:rFonts w:ascii="Times New Roman" w:hAnsi="Times New Roman"/>
          <w:sz w:val="28"/>
          <w:szCs w:val="28"/>
        </w:rPr>
        <w:t>27 602,6 млн.руб.).</w:t>
      </w:r>
    </w:p>
    <w:p w14:paraId="18B72E7B"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Положительный сальдированный финансовый результат обеспечен в отчетном году финансовыми результатами предприятий Архангельской области (без НАО) по таким видам экономической деятельности, как: добыча полезных ископаемых (+30 391,9 млн.руб.), транспортировка и хранение (+21 008,1 млн.руб.), обрабатывающие производства (+2 263,5 млн.руб.), сельское, лесное хозяйство… (+8 487,2 млн.руб.).</w:t>
      </w:r>
    </w:p>
    <w:p w14:paraId="467ED204" w14:textId="224A340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ряду видов экономической деятельности статистические данные не публикуются в целях обеспечения конфиденциальности первичных статистических данных, полученных от организаций, в соответствии с Федеральным законом от 29.11.2007 № 282-ФЗ «Об официальном статистическом учете и системе государственной статистики в Российской Федерации» (</w:t>
      </w:r>
      <w:r w:rsidR="006B033D" w:rsidRPr="00FD7B0B">
        <w:rPr>
          <w:rFonts w:ascii="Times New Roman" w:hAnsi="Times New Roman"/>
          <w:sz w:val="28"/>
          <w:szCs w:val="28"/>
        </w:rPr>
        <w:t xml:space="preserve">п. 5 </w:t>
      </w:r>
      <w:r w:rsidRPr="00FD7B0B">
        <w:rPr>
          <w:rFonts w:ascii="Times New Roman" w:hAnsi="Times New Roman"/>
          <w:sz w:val="28"/>
          <w:szCs w:val="28"/>
        </w:rPr>
        <w:t>ст.</w:t>
      </w:r>
      <w:r w:rsidR="000F0BA6" w:rsidRPr="00FD7B0B">
        <w:rPr>
          <w:rFonts w:ascii="Times New Roman" w:hAnsi="Times New Roman"/>
          <w:sz w:val="28"/>
          <w:szCs w:val="28"/>
        </w:rPr>
        <w:t xml:space="preserve"> </w:t>
      </w:r>
      <w:r w:rsidRPr="00FD7B0B">
        <w:rPr>
          <w:rFonts w:ascii="Times New Roman" w:hAnsi="Times New Roman"/>
          <w:sz w:val="28"/>
          <w:szCs w:val="28"/>
        </w:rPr>
        <w:t>4</w:t>
      </w:r>
      <w:r w:rsidR="006B033D" w:rsidRPr="00FD7B0B">
        <w:rPr>
          <w:rFonts w:ascii="Times New Roman" w:hAnsi="Times New Roman"/>
          <w:sz w:val="28"/>
          <w:szCs w:val="28"/>
        </w:rPr>
        <w:t>, п. 1</w:t>
      </w:r>
      <w:r w:rsidRPr="00FD7B0B">
        <w:rPr>
          <w:rFonts w:ascii="Times New Roman" w:hAnsi="Times New Roman"/>
          <w:sz w:val="28"/>
          <w:szCs w:val="28"/>
        </w:rPr>
        <w:t xml:space="preserve"> ст.</w:t>
      </w:r>
      <w:r w:rsidR="000F0BA6" w:rsidRPr="00FD7B0B">
        <w:rPr>
          <w:rFonts w:ascii="Times New Roman" w:hAnsi="Times New Roman"/>
          <w:sz w:val="28"/>
          <w:szCs w:val="28"/>
        </w:rPr>
        <w:t xml:space="preserve"> </w:t>
      </w:r>
      <w:r w:rsidRPr="00FD7B0B">
        <w:rPr>
          <w:rFonts w:ascii="Times New Roman" w:hAnsi="Times New Roman"/>
          <w:sz w:val="28"/>
          <w:szCs w:val="28"/>
        </w:rPr>
        <w:t>9).</w:t>
      </w:r>
    </w:p>
    <w:p w14:paraId="160B9F09" w14:textId="77777777" w:rsidR="005A472F" w:rsidRPr="00FD7B0B" w:rsidRDefault="005A472F" w:rsidP="005A472F">
      <w:pPr>
        <w:pStyle w:val="2"/>
        <w:spacing w:before="120" w:after="0" w:line="240" w:lineRule="auto"/>
        <w:jc w:val="center"/>
        <w:rPr>
          <w:rFonts w:ascii="Times New Roman" w:hAnsi="Times New Roman"/>
          <w:lang w:val="ru-RU"/>
        </w:rPr>
      </w:pPr>
      <w:bookmarkStart w:id="11" w:name="_Toc9262553"/>
      <w:bookmarkStart w:id="12" w:name="_Toc42006703"/>
      <w:bookmarkStart w:id="13" w:name="_Toc72822956"/>
      <w:bookmarkStart w:id="14" w:name="_Toc104284464"/>
      <w:bookmarkStart w:id="15" w:name="_Toc135659987"/>
      <w:bookmarkStart w:id="16" w:name="_Toc167454818"/>
      <w:bookmarkStart w:id="17" w:name="_Toc198819115"/>
      <w:r w:rsidRPr="00FD7B0B">
        <w:rPr>
          <w:rFonts w:ascii="Times New Roman" w:hAnsi="Times New Roman"/>
          <w:lang w:val="ru-RU"/>
        </w:rPr>
        <w:t xml:space="preserve">1.2. </w:t>
      </w:r>
      <w:bookmarkStart w:id="18" w:name="_Toc451785025"/>
      <w:bookmarkStart w:id="19" w:name="_Toc515024200"/>
      <w:r w:rsidRPr="00FD7B0B">
        <w:rPr>
          <w:rFonts w:ascii="Times New Roman" w:hAnsi="Times New Roman"/>
          <w:lang w:val="ru-RU"/>
        </w:rPr>
        <w:t>Объем инвестиций в основной капитал</w:t>
      </w:r>
      <w:bookmarkEnd w:id="11"/>
      <w:bookmarkEnd w:id="12"/>
      <w:bookmarkEnd w:id="13"/>
      <w:bookmarkEnd w:id="14"/>
      <w:bookmarkEnd w:id="15"/>
      <w:bookmarkEnd w:id="16"/>
      <w:bookmarkEnd w:id="17"/>
      <w:bookmarkEnd w:id="18"/>
      <w:bookmarkEnd w:id="19"/>
    </w:p>
    <w:p w14:paraId="56E0CBC6" w14:textId="3043065D" w:rsidR="005A472F" w:rsidRPr="00FD7B0B" w:rsidRDefault="005A472F" w:rsidP="005A472F">
      <w:pPr>
        <w:pStyle w:val="ad"/>
        <w:ind w:firstLine="709"/>
        <w:jc w:val="both"/>
        <w:rPr>
          <w:rFonts w:ascii="Times New Roman" w:hAnsi="Times New Roman"/>
          <w:i/>
          <w:sz w:val="28"/>
          <w:szCs w:val="28"/>
        </w:rPr>
      </w:pPr>
      <w:r w:rsidRPr="00FD7B0B">
        <w:rPr>
          <w:rFonts w:ascii="Times New Roman" w:hAnsi="Times New Roman"/>
          <w:sz w:val="28"/>
          <w:szCs w:val="28"/>
        </w:rPr>
        <w:t xml:space="preserve">Среди регионов СЗФО по объему инвестиций в основной капитал по ряду лет лидируют г. Санкт-Петербург, Ленинградская, Мурманская, Вологодская области. По приросту объемов инвестирования в отчетном году к предыдущему году показали положительные значения </w:t>
      </w:r>
      <w:r w:rsidR="00AB128C" w:rsidRPr="00FD7B0B">
        <w:rPr>
          <w:rFonts w:ascii="Times New Roman" w:hAnsi="Times New Roman"/>
          <w:sz w:val="28"/>
          <w:szCs w:val="28"/>
        </w:rPr>
        <w:t>большинство</w:t>
      </w:r>
      <w:r w:rsidRPr="00FD7B0B">
        <w:rPr>
          <w:rFonts w:ascii="Times New Roman" w:hAnsi="Times New Roman"/>
          <w:sz w:val="28"/>
          <w:szCs w:val="28"/>
        </w:rPr>
        <w:t xml:space="preserve"> регион</w:t>
      </w:r>
      <w:r w:rsidR="00AB128C" w:rsidRPr="00FD7B0B">
        <w:rPr>
          <w:rFonts w:ascii="Times New Roman" w:hAnsi="Times New Roman"/>
          <w:sz w:val="28"/>
          <w:szCs w:val="28"/>
        </w:rPr>
        <w:t>ов</w:t>
      </w:r>
      <w:r w:rsidRPr="00FD7B0B">
        <w:rPr>
          <w:rFonts w:ascii="Times New Roman" w:hAnsi="Times New Roman"/>
          <w:sz w:val="28"/>
          <w:szCs w:val="28"/>
        </w:rPr>
        <w:t xml:space="preserve"> СЗФО за исключением Калининградской</w:t>
      </w:r>
      <w:r w:rsidR="008D6E55" w:rsidRPr="00FD7B0B">
        <w:rPr>
          <w:rFonts w:ascii="Times New Roman" w:hAnsi="Times New Roman"/>
          <w:sz w:val="28"/>
          <w:szCs w:val="28"/>
        </w:rPr>
        <w:t>,</w:t>
      </w:r>
      <w:r w:rsidRPr="00FD7B0B">
        <w:rPr>
          <w:rFonts w:ascii="Times New Roman" w:hAnsi="Times New Roman"/>
          <w:sz w:val="28"/>
          <w:szCs w:val="28"/>
        </w:rPr>
        <w:t xml:space="preserve"> Архангельской областей и Республики Карелия.</w:t>
      </w:r>
    </w:p>
    <w:p w14:paraId="08F64AEB" w14:textId="74BE1010"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Объем инвестиций в основной капитал за счет всех источников финансирования Архангельской области (без НАО) в 2024 году (в фактически действовавших ценах) оценивался в сумме 120 806,35 млн.руб. и фактически составил 110 805,8 млн.руб. (–8,3%). Индекс физического объема инвестиций в основной капитал по предварительным статистическим данным составил 85,3 %, отклонение к оценке на 2024 год (92,0 %) составил 6,7 п.п. в сторону сниже</w:t>
      </w:r>
      <w:r w:rsidR="008D6E55" w:rsidRPr="00FD7B0B">
        <w:rPr>
          <w:rFonts w:ascii="Times New Roman" w:hAnsi="Times New Roman"/>
          <w:sz w:val="28"/>
          <w:szCs w:val="28"/>
        </w:rPr>
        <w:t>ния показателя.</w:t>
      </w:r>
    </w:p>
    <w:p w14:paraId="6BA4C0A2"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Министерством представлены пояснения по расхождению фактически сложившихся показателей объемов инвестиций в основной капитал: </w:t>
      </w:r>
      <w:r w:rsidRPr="00FD7B0B">
        <w:rPr>
          <w:rFonts w:ascii="Times New Roman" w:hAnsi="Times New Roman"/>
          <w:sz w:val="28"/>
          <w:szCs w:val="28"/>
        </w:rPr>
        <w:lastRenderedPageBreak/>
        <w:t>«Обусловлено бо́льшей глубиной падения показателя на фоне сокращения инвестиций за счет средств федерального бюджета (в 2,5 раза в сопоставимых ценах к уровню 2023 года)».</w:t>
      </w:r>
    </w:p>
    <w:p w14:paraId="2A7EE796" w14:textId="04EF39A2"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Динамика объема инвестиций в экономику области с 2019 по 2024 годы представлена на рисунке </w:t>
      </w:r>
      <w:r w:rsidR="006B033D" w:rsidRPr="00FD7B0B">
        <w:rPr>
          <w:rFonts w:ascii="Times New Roman" w:hAnsi="Times New Roman"/>
          <w:sz w:val="28"/>
          <w:szCs w:val="28"/>
        </w:rPr>
        <w:t>1</w:t>
      </w:r>
      <w:r w:rsidRPr="00FD7B0B">
        <w:rPr>
          <w:rFonts w:ascii="Times New Roman" w:hAnsi="Times New Roman"/>
          <w:sz w:val="28"/>
          <w:szCs w:val="28"/>
        </w:rPr>
        <w:t>:</w:t>
      </w:r>
    </w:p>
    <w:p w14:paraId="61872C26" w14:textId="77777777" w:rsidR="005A472F" w:rsidRPr="00FD7B0B" w:rsidRDefault="005A472F" w:rsidP="005A472F">
      <w:pPr>
        <w:pStyle w:val="ad"/>
        <w:jc w:val="both"/>
        <w:rPr>
          <w:rFonts w:ascii="Times New Roman" w:hAnsi="Times New Roman"/>
          <w:sz w:val="28"/>
          <w:szCs w:val="28"/>
        </w:rPr>
      </w:pPr>
      <w:r w:rsidRPr="00FD7B0B">
        <w:rPr>
          <w:rFonts w:ascii="Times New Roman" w:hAnsi="Times New Roman"/>
          <w:noProof/>
          <w:sz w:val="28"/>
          <w:szCs w:val="28"/>
          <w:lang w:eastAsia="ru-RU"/>
        </w:rPr>
        <w:drawing>
          <wp:inline distT="0" distB="0" distL="0" distR="0" wp14:anchorId="37798FD5" wp14:editId="4D8FBD03">
            <wp:extent cx="6210300" cy="288122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4909" cy="2883361"/>
                    </a:xfrm>
                    <a:prstGeom prst="rect">
                      <a:avLst/>
                    </a:prstGeom>
                    <a:noFill/>
                  </pic:spPr>
                </pic:pic>
              </a:graphicData>
            </a:graphic>
          </wp:inline>
        </w:drawing>
      </w:r>
    </w:p>
    <w:p w14:paraId="19B592A9"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w:t>
      </w:r>
      <w:r w:rsidRPr="00FD7B0B">
        <w:rPr>
          <w:rFonts w:ascii="Times New Roman" w:hAnsi="Times New Roman"/>
          <w:b w:val="0"/>
          <w:sz w:val="24"/>
          <w:szCs w:val="24"/>
        </w:rPr>
        <w:fldChar w:fldCharType="end"/>
      </w:r>
      <w:r w:rsidRPr="00FD7B0B">
        <w:rPr>
          <w:rFonts w:ascii="Times New Roman" w:hAnsi="Times New Roman"/>
          <w:b w:val="0"/>
          <w:sz w:val="24"/>
          <w:szCs w:val="24"/>
        </w:rPr>
        <w:t>. Динамика объема инвестиций в экономику Архангельской области с 2019 по 2024 годы в фактически действовавших ценах (предварительные данные), млн.руб.</w:t>
      </w:r>
    </w:p>
    <w:p w14:paraId="65C8239A" w14:textId="77777777" w:rsidR="005A472F" w:rsidRPr="00FD7B0B" w:rsidRDefault="005A472F" w:rsidP="005A472F">
      <w:pPr>
        <w:spacing w:after="0" w:line="240" w:lineRule="auto"/>
        <w:ind w:firstLine="709"/>
        <w:jc w:val="both"/>
        <w:rPr>
          <w:rFonts w:ascii="Times New Roman" w:hAnsi="Times New Roman" w:cs="Times New Roman"/>
        </w:rPr>
      </w:pPr>
    </w:p>
    <w:p w14:paraId="34971AA6" w14:textId="72970C61"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Структура инвестиций в основной капитал по видам основных фондов (без субъектов малого предпринимательства и объема инвестиций, не наблюдаемых прямыми статистическими методами) представлена в таблице </w:t>
      </w:r>
      <w:r w:rsidR="006B033D" w:rsidRPr="00FD7B0B">
        <w:rPr>
          <w:rFonts w:ascii="Times New Roman" w:hAnsi="Times New Roman"/>
          <w:sz w:val="28"/>
          <w:szCs w:val="28"/>
        </w:rPr>
        <w:t>7</w:t>
      </w:r>
      <w:r w:rsidR="00CF1A6C" w:rsidRPr="00FD7B0B">
        <w:rPr>
          <w:rFonts w:ascii="Times New Roman" w:hAnsi="Times New Roman"/>
          <w:sz w:val="28"/>
          <w:szCs w:val="28"/>
        </w:rPr>
        <w:t>.</w:t>
      </w:r>
    </w:p>
    <w:p w14:paraId="23E62002" w14:textId="77777777" w:rsidR="005A472F" w:rsidRPr="00FD7B0B" w:rsidRDefault="005A472F" w:rsidP="005A472F">
      <w:pPr>
        <w:pStyle w:val="ad"/>
        <w:ind w:firstLine="709"/>
        <w:jc w:val="both"/>
        <w:rPr>
          <w:rFonts w:ascii="Times New Roman" w:hAnsi="Times New Roman"/>
          <w:sz w:val="28"/>
          <w:szCs w:val="28"/>
        </w:rPr>
      </w:pPr>
    </w:p>
    <w:p w14:paraId="617E62C7" w14:textId="1AD8E740" w:rsidR="00770AF1" w:rsidRPr="00FD7B0B" w:rsidRDefault="00770AF1" w:rsidP="00770AF1">
      <w:pPr>
        <w:pStyle w:val="aff0"/>
        <w:spacing w:after="0" w:line="240" w:lineRule="auto"/>
        <w:rPr>
          <w:rFonts w:ascii="Times New Roman" w:hAnsi="Times New Roman"/>
          <w:b w:val="0"/>
          <w:strike/>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7</w:t>
      </w:r>
      <w:r w:rsidRPr="00FD7B0B">
        <w:rPr>
          <w:rFonts w:ascii="Times New Roman" w:hAnsi="Times New Roman"/>
          <w:b w:val="0"/>
          <w:sz w:val="24"/>
          <w:szCs w:val="24"/>
        </w:rPr>
        <w:fldChar w:fldCharType="end"/>
      </w:r>
      <w:r w:rsidRPr="00FD7B0B">
        <w:rPr>
          <w:rFonts w:ascii="Times New Roman" w:hAnsi="Times New Roman"/>
          <w:b w:val="0"/>
          <w:sz w:val="24"/>
          <w:szCs w:val="24"/>
        </w:rPr>
        <w:t>. Структура инвестиций в основной капитал Архангельской области (без НАО) по видам основных фондов (без субъектов малого предпринимательства и объема инвестиций, не наблюдаемых прямыми статистическими методами) в фактически действующих ценах, в процентах к общему итогу инвестиционных вложений, %</w:t>
      </w:r>
    </w:p>
    <w:tbl>
      <w:tblPr>
        <w:tblStyle w:val="a7"/>
        <w:tblW w:w="9622"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947"/>
        <w:gridCol w:w="1105"/>
        <w:gridCol w:w="1089"/>
        <w:gridCol w:w="1217"/>
        <w:gridCol w:w="1264"/>
      </w:tblGrid>
      <w:tr w:rsidR="00FD7B0B" w:rsidRPr="00FD7B0B" w14:paraId="5305C9E6" w14:textId="77777777" w:rsidTr="00BE64F6">
        <w:trPr>
          <w:tblHeader/>
        </w:trPr>
        <w:tc>
          <w:tcPr>
            <w:tcW w:w="4947" w:type="dxa"/>
            <w:vAlign w:val="center"/>
          </w:tcPr>
          <w:p w14:paraId="543084A3" w14:textId="77777777" w:rsidR="005A472F" w:rsidRPr="00FD7B0B" w:rsidRDefault="005A472F" w:rsidP="00BE64F6">
            <w:pPr>
              <w:pStyle w:val="ad"/>
              <w:jc w:val="center"/>
              <w:rPr>
                <w:rFonts w:ascii="Times New Roman" w:hAnsi="Times New Roman"/>
              </w:rPr>
            </w:pPr>
            <w:r w:rsidRPr="00FD7B0B">
              <w:rPr>
                <w:rFonts w:ascii="Times New Roman" w:hAnsi="Times New Roman"/>
              </w:rPr>
              <w:t>Виды основных фондов, из них:</w:t>
            </w:r>
          </w:p>
        </w:tc>
        <w:tc>
          <w:tcPr>
            <w:tcW w:w="1105" w:type="dxa"/>
            <w:vAlign w:val="center"/>
          </w:tcPr>
          <w:p w14:paraId="645D3F79" w14:textId="77777777" w:rsidR="005A472F" w:rsidRPr="00FD7B0B" w:rsidRDefault="005A472F" w:rsidP="00BE64F6">
            <w:pPr>
              <w:pStyle w:val="ad"/>
              <w:jc w:val="center"/>
              <w:rPr>
                <w:rFonts w:ascii="Times New Roman" w:hAnsi="Times New Roman"/>
              </w:rPr>
            </w:pPr>
            <w:r w:rsidRPr="00FD7B0B">
              <w:rPr>
                <w:rFonts w:ascii="Times New Roman" w:hAnsi="Times New Roman"/>
              </w:rPr>
              <w:t>2021 год</w:t>
            </w:r>
          </w:p>
        </w:tc>
        <w:tc>
          <w:tcPr>
            <w:tcW w:w="1089" w:type="dxa"/>
            <w:vAlign w:val="center"/>
          </w:tcPr>
          <w:p w14:paraId="6858F220" w14:textId="77777777" w:rsidR="005A472F" w:rsidRPr="00FD7B0B" w:rsidRDefault="005A472F" w:rsidP="00BE64F6">
            <w:pPr>
              <w:pStyle w:val="ad"/>
              <w:jc w:val="center"/>
              <w:rPr>
                <w:rFonts w:ascii="Times New Roman" w:hAnsi="Times New Roman"/>
              </w:rPr>
            </w:pPr>
            <w:r w:rsidRPr="00FD7B0B">
              <w:rPr>
                <w:rFonts w:ascii="Times New Roman" w:hAnsi="Times New Roman"/>
              </w:rPr>
              <w:t>2022 год</w:t>
            </w:r>
          </w:p>
        </w:tc>
        <w:tc>
          <w:tcPr>
            <w:tcW w:w="1217" w:type="dxa"/>
            <w:vAlign w:val="center"/>
          </w:tcPr>
          <w:p w14:paraId="374DA86A" w14:textId="77777777" w:rsidR="005A472F" w:rsidRPr="00FD7B0B" w:rsidRDefault="005A472F" w:rsidP="00BE64F6">
            <w:pPr>
              <w:pStyle w:val="ad"/>
              <w:jc w:val="center"/>
              <w:rPr>
                <w:rFonts w:ascii="Times New Roman" w:hAnsi="Times New Roman"/>
              </w:rPr>
            </w:pPr>
            <w:r w:rsidRPr="00FD7B0B">
              <w:rPr>
                <w:rFonts w:ascii="Times New Roman" w:hAnsi="Times New Roman"/>
              </w:rPr>
              <w:t>2023 год</w:t>
            </w:r>
          </w:p>
        </w:tc>
        <w:tc>
          <w:tcPr>
            <w:tcW w:w="1264" w:type="dxa"/>
          </w:tcPr>
          <w:p w14:paraId="3942CED6" w14:textId="77777777" w:rsidR="005A472F" w:rsidRPr="00FD7B0B" w:rsidRDefault="005A472F" w:rsidP="00BE64F6">
            <w:pPr>
              <w:pStyle w:val="ad"/>
              <w:jc w:val="center"/>
              <w:rPr>
                <w:rFonts w:ascii="Times New Roman" w:hAnsi="Times New Roman"/>
              </w:rPr>
            </w:pPr>
            <w:r w:rsidRPr="00FD7B0B">
              <w:rPr>
                <w:rFonts w:ascii="Times New Roman" w:hAnsi="Times New Roman"/>
              </w:rPr>
              <w:t>2024 год</w:t>
            </w:r>
          </w:p>
        </w:tc>
      </w:tr>
      <w:tr w:rsidR="00FD7B0B" w:rsidRPr="00FD7B0B" w14:paraId="0F5D9AB5" w14:textId="77777777" w:rsidTr="00BE64F6">
        <w:tc>
          <w:tcPr>
            <w:tcW w:w="4947" w:type="dxa"/>
            <w:vAlign w:val="bottom"/>
          </w:tcPr>
          <w:p w14:paraId="201F5473" w14:textId="77777777" w:rsidR="005A472F" w:rsidRPr="00FD7B0B" w:rsidRDefault="005A472F" w:rsidP="00CF1A6C">
            <w:pPr>
              <w:pStyle w:val="ad"/>
              <w:rPr>
                <w:rFonts w:ascii="Times New Roman" w:hAnsi="Times New Roman"/>
              </w:rPr>
            </w:pPr>
            <w:r w:rsidRPr="00FD7B0B">
              <w:rPr>
                <w:rFonts w:ascii="Times New Roman" w:hAnsi="Times New Roman"/>
              </w:rPr>
              <w:t>машины, оборудование, транспортные средства, производственный и хозяйственный инвентарь</w:t>
            </w:r>
          </w:p>
        </w:tc>
        <w:tc>
          <w:tcPr>
            <w:tcW w:w="1105" w:type="dxa"/>
            <w:vAlign w:val="bottom"/>
          </w:tcPr>
          <w:p w14:paraId="6CF775B9" w14:textId="77777777" w:rsidR="005A472F" w:rsidRPr="00FD7B0B" w:rsidRDefault="005A472F" w:rsidP="00BE64F6">
            <w:pPr>
              <w:pStyle w:val="ad"/>
              <w:jc w:val="right"/>
              <w:rPr>
                <w:rFonts w:ascii="Times New Roman" w:hAnsi="Times New Roman"/>
              </w:rPr>
            </w:pPr>
            <w:r w:rsidRPr="00FD7B0B">
              <w:rPr>
                <w:rFonts w:ascii="Times New Roman" w:hAnsi="Times New Roman"/>
              </w:rPr>
              <w:t>53,8</w:t>
            </w:r>
          </w:p>
        </w:tc>
        <w:tc>
          <w:tcPr>
            <w:tcW w:w="1089" w:type="dxa"/>
            <w:vAlign w:val="bottom"/>
          </w:tcPr>
          <w:p w14:paraId="6C6C3204" w14:textId="77777777" w:rsidR="005A472F" w:rsidRPr="00FD7B0B" w:rsidRDefault="005A472F" w:rsidP="00BE64F6">
            <w:pPr>
              <w:pStyle w:val="ad"/>
              <w:jc w:val="right"/>
              <w:rPr>
                <w:rFonts w:ascii="Times New Roman" w:hAnsi="Times New Roman"/>
              </w:rPr>
            </w:pPr>
            <w:r w:rsidRPr="00FD7B0B">
              <w:rPr>
                <w:rFonts w:ascii="Times New Roman" w:hAnsi="Times New Roman"/>
              </w:rPr>
              <w:t>55,5</w:t>
            </w:r>
          </w:p>
        </w:tc>
        <w:tc>
          <w:tcPr>
            <w:tcW w:w="1217" w:type="dxa"/>
            <w:vAlign w:val="bottom"/>
          </w:tcPr>
          <w:p w14:paraId="0DC7AE61" w14:textId="77777777" w:rsidR="005A472F" w:rsidRPr="00FD7B0B" w:rsidRDefault="005A472F" w:rsidP="00BE64F6">
            <w:pPr>
              <w:pStyle w:val="ad"/>
              <w:jc w:val="right"/>
              <w:rPr>
                <w:rFonts w:ascii="Times New Roman" w:hAnsi="Times New Roman"/>
              </w:rPr>
            </w:pPr>
            <w:r w:rsidRPr="00FD7B0B">
              <w:rPr>
                <w:rFonts w:ascii="Times New Roman" w:hAnsi="Times New Roman"/>
              </w:rPr>
              <w:t>56,4</w:t>
            </w:r>
          </w:p>
        </w:tc>
        <w:tc>
          <w:tcPr>
            <w:tcW w:w="1264" w:type="dxa"/>
            <w:vAlign w:val="bottom"/>
          </w:tcPr>
          <w:p w14:paraId="40797A82" w14:textId="77777777" w:rsidR="005A472F" w:rsidRPr="00FD7B0B" w:rsidRDefault="005A472F" w:rsidP="00BE64F6">
            <w:pPr>
              <w:pStyle w:val="ad"/>
              <w:jc w:val="right"/>
              <w:rPr>
                <w:rFonts w:ascii="Times New Roman" w:hAnsi="Times New Roman"/>
              </w:rPr>
            </w:pPr>
            <w:r w:rsidRPr="00FD7B0B">
              <w:rPr>
                <w:rFonts w:ascii="Times New Roman" w:hAnsi="Times New Roman"/>
              </w:rPr>
              <w:t>49,2</w:t>
            </w:r>
          </w:p>
        </w:tc>
      </w:tr>
      <w:tr w:rsidR="00FD7B0B" w:rsidRPr="00FD7B0B" w14:paraId="3571B950" w14:textId="77777777" w:rsidTr="00BE64F6">
        <w:tc>
          <w:tcPr>
            <w:tcW w:w="4947" w:type="dxa"/>
            <w:vAlign w:val="bottom"/>
          </w:tcPr>
          <w:p w14:paraId="1504BE30" w14:textId="77777777" w:rsidR="005A472F" w:rsidRPr="00FD7B0B" w:rsidRDefault="005A472F" w:rsidP="00CF1A6C">
            <w:pPr>
              <w:pStyle w:val="ad"/>
              <w:rPr>
                <w:rFonts w:ascii="Times New Roman" w:hAnsi="Times New Roman"/>
              </w:rPr>
            </w:pPr>
            <w:r w:rsidRPr="00FD7B0B">
              <w:rPr>
                <w:rFonts w:ascii="Times New Roman" w:hAnsi="Times New Roman"/>
              </w:rPr>
              <w:t>здания (кроме жилых) и сооружения, расходы на улучшение земель</w:t>
            </w:r>
          </w:p>
        </w:tc>
        <w:tc>
          <w:tcPr>
            <w:tcW w:w="1105" w:type="dxa"/>
            <w:vAlign w:val="bottom"/>
          </w:tcPr>
          <w:p w14:paraId="72010642" w14:textId="77777777" w:rsidR="005A472F" w:rsidRPr="00FD7B0B" w:rsidRDefault="005A472F" w:rsidP="00BE64F6">
            <w:pPr>
              <w:pStyle w:val="ad"/>
              <w:jc w:val="right"/>
              <w:rPr>
                <w:rFonts w:ascii="Times New Roman" w:hAnsi="Times New Roman"/>
              </w:rPr>
            </w:pPr>
            <w:r w:rsidRPr="00FD7B0B">
              <w:rPr>
                <w:rFonts w:ascii="Times New Roman" w:hAnsi="Times New Roman"/>
              </w:rPr>
              <w:t>31,3</w:t>
            </w:r>
          </w:p>
        </w:tc>
        <w:tc>
          <w:tcPr>
            <w:tcW w:w="1089" w:type="dxa"/>
            <w:vAlign w:val="bottom"/>
          </w:tcPr>
          <w:p w14:paraId="2C5A157A" w14:textId="77777777" w:rsidR="005A472F" w:rsidRPr="00FD7B0B" w:rsidRDefault="005A472F" w:rsidP="00BE64F6">
            <w:pPr>
              <w:pStyle w:val="ad"/>
              <w:jc w:val="right"/>
              <w:rPr>
                <w:rFonts w:ascii="Times New Roman" w:hAnsi="Times New Roman"/>
              </w:rPr>
            </w:pPr>
            <w:r w:rsidRPr="00FD7B0B">
              <w:rPr>
                <w:rFonts w:ascii="Times New Roman" w:hAnsi="Times New Roman"/>
              </w:rPr>
              <w:t>27,8</w:t>
            </w:r>
          </w:p>
        </w:tc>
        <w:tc>
          <w:tcPr>
            <w:tcW w:w="1217" w:type="dxa"/>
            <w:vAlign w:val="bottom"/>
          </w:tcPr>
          <w:p w14:paraId="16F6BAC5" w14:textId="77777777" w:rsidR="005A472F" w:rsidRPr="00FD7B0B" w:rsidRDefault="005A472F" w:rsidP="00BE64F6">
            <w:pPr>
              <w:pStyle w:val="ad"/>
              <w:jc w:val="right"/>
              <w:rPr>
                <w:rFonts w:ascii="Times New Roman" w:hAnsi="Times New Roman"/>
              </w:rPr>
            </w:pPr>
            <w:r w:rsidRPr="00FD7B0B">
              <w:rPr>
                <w:rFonts w:ascii="Times New Roman" w:hAnsi="Times New Roman"/>
              </w:rPr>
              <w:t>33,8</w:t>
            </w:r>
          </w:p>
        </w:tc>
        <w:tc>
          <w:tcPr>
            <w:tcW w:w="1264" w:type="dxa"/>
            <w:vAlign w:val="bottom"/>
          </w:tcPr>
          <w:p w14:paraId="1267DC0E" w14:textId="77777777" w:rsidR="005A472F" w:rsidRPr="00FD7B0B" w:rsidRDefault="005A472F" w:rsidP="00BE64F6">
            <w:pPr>
              <w:pStyle w:val="ad"/>
              <w:jc w:val="right"/>
              <w:rPr>
                <w:rFonts w:ascii="Times New Roman" w:hAnsi="Times New Roman"/>
              </w:rPr>
            </w:pPr>
            <w:r w:rsidRPr="00FD7B0B">
              <w:rPr>
                <w:rFonts w:ascii="Times New Roman" w:hAnsi="Times New Roman"/>
              </w:rPr>
              <w:t>42,2</w:t>
            </w:r>
          </w:p>
        </w:tc>
      </w:tr>
      <w:tr w:rsidR="00FD7B0B" w:rsidRPr="00FD7B0B" w14:paraId="310C2F62" w14:textId="77777777" w:rsidTr="00BE64F6">
        <w:tc>
          <w:tcPr>
            <w:tcW w:w="4947" w:type="dxa"/>
            <w:vAlign w:val="bottom"/>
          </w:tcPr>
          <w:p w14:paraId="66DEFCB0" w14:textId="77777777" w:rsidR="005A472F" w:rsidRPr="00FD7B0B" w:rsidRDefault="005A472F" w:rsidP="00CF1A6C">
            <w:pPr>
              <w:pStyle w:val="ad"/>
              <w:rPr>
                <w:rFonts w:ascii="Times New Roman" w:hAnsi="Times New Roman"/>
              </w:rPr>
            </w:pPr>
            <w:r w:rsidRPr="00FD7B0B">
              <w:rPr>
                <w:rFonts w:ascii="Times New Roman" w:hAnsi="Times New Roman"/>
              </w:rPr>
              <w:t>жилые здания и помещения</w:t>
            </w:r>
          </w:p>
        </w:tc>
        <w:tc>
          <w:tcPr>
            <w:tcW w:w="1105" w:type="dxa"/>
            <w:vAlign w:val="bottom"/>
          </w:tcPr>
          <w:p w14:paraId="1390E8D9" w14:textId="77777777" w:rsidR="005A472F" w:rsidRPr="00FD7B0B" w:rsidRDefault="005A472F" w:rsidP="00BE64F6">
            <w:pPr>
              <w:pStyle w:val="ad"/>
              <w:jc w:val="right"/>
              <w:rPr>
                <w:rFonts w:ascii="Times New Roman" w:hAnsi="Times New Roman"/>
              </w:rPr>
            </w:pPr>
            <w:r w:rsidRPr="00FD7B0B">
              <w:rPr>
                <w:rFonts w:ascii="Times New Roman" w:hAnsi="Times New Roman"/>
              </w:rPr>
              <w:t>12,6</w:t>
            </w:r>
          </w:p>
        </w:tc>
        <w:tc>
          <w:tcPr>
            <w:tcW w:w="1089" w:type="dxa"/>
            <w:vAlign w:val="bottom"/>
          </w:tcPr>
          <w:p w14:paraId="39417871" w14:textId="77777777" w:rsidR="005A472F" w:rsidRPr="00FD7B0B" w:rsidRDefault="005A472F" w:rsidP="00BE64F6">
            <w:pPr>
              <w:pStyle w:val="ad"/>
              <w:jc w:val="right"/>
              <w:rPr>
                <w:rFonts w:ascii="Times New Roman" w:hAnsi="Times New Roman"/>
              </w:rPr>
            </w:pPr>
            <w:r w:rsidRPr="00FD7B0B">
              <w:rPr>
                <w:rFonts w:ascii="Times New Roman" w:hAnsi="Times New Roman"/>
              </w:rPr>
              <w:t>14,5</w:t>
            </w:r>
          </w:p>
        </w:tc>
        <w:tc>
          <w:tcPr>
            <w:tcW w:w="2481" w:type="dxa"/>
            <w:gridSpan w:val="2"/>
            <w:vMerge w:val="restart"/>
            <w:vAlign w:val="bottom"/>
          </w:tcPr>
          <w:p w14:paraId="1FB655F4" w14:textId="77777777" w:rsidR="005A472F" w:rsidRPr="00FD7B0B" w:rsidRDefault="005A472F" w:rsidP="00BE64F6">
            <w:pPr>
              <w:pStyle w:val="ad"/>
              <w:jc w:val="center"/>
              <w:rPr>
                <w:rFonts w:ascii="Times New Roman" w:hAnsi="Times New Roman"/>
              </w:rPr>
            </w:pPr>
            <w:r w:rsidRPr="00FD7B0B">
              <w:rPr>
                <w:rFonts w:ascii="Times New Roman" w:hAnsi="Times New Roman"/>
              </w:rPr>
              <w:t>данные не публикуются</w:t>
            </w:r>
            <w:r w:rsidRPr="00FD7B0B">
              <w:rPr>
                <w:rStyle w:val="afff1"/>
                <w:rFonts w:ascii="Times New Roman" w:hAnsi="Times New Roman"/>
              </w:rPr>
              <w:footnoteReference w:id="6"/>
            </w:r>
          </w:p>
        </w:tc>
      </w:tr>
      <w:tr w:rsidR="00FD7B0B" w:rsidRPr="00FD7B0B" w14:paraId="47FA27F6" w14:textId="77777777" w:rsidTr="00BE64F6">
        <w:tc>
          <w:tcPr>
            <w:tcW w:w="4947" w:type="dxa"/>
            <w:vAlign w:val="bottom"/>
          </w:tcPr>
          <w:p w14:paraId="3B828FDA" w14:textId="77777777" w:rsidR="005A472F" w:rsidRPr="00FD7B0B" w:rsidRDefault="005A472F" w:rsidP="00CF1A6C">
            <w:pPr>
              <w:pStyle w:val="ad"/>
              <w:rPr>
                <w:rFonts w:ascii="Times New Roman" w:hAnsi="Times New Roman"/>
              </w:rPr>
            </w:pPr>
            <w:r w:rsidRPr="00FD7B0B">
              <w:rPr>
                <w:rFonts w:ascii="Times New Roman" w:hAnsi="Times New Roman"/>
              </w:rPr>
              <w:t>объекты интеллектуальной собственности</w:t>
            </w:r>
          </w:p>
        </w:tc>
        <w:tc>
          <w:tcPr>
            <w:tcW w:w="1105" w:type="dxa"/>
            <w:vAlign w:val="bottom"/>
          </w:tcPr>
          <w:p w14:paraId="1AD58274" w14:textId="77777777" w:rsidR="005A472F" w:rsidRPr="00FD7B0B" w:rsidRDefault="005A472F" w:rsidP="00BE64F6">
            <w:pPr>
              <w:pStyle w:val="ad"/>
              <w:jc w:val="right"/>
              <w:rPr>
                <w:rFonts w:ascii="Times New Roman" w:hAnsi="Times New Roman"/>
              </w:rPr>
            </w:pPr>
            <w:r w:rsidRPr="00FD7B0B">
              <w:rPr>
                <w:rFonts w:ascii="Times New Roman" w:hAnsi="Times New Roman"/>
              </w:rPr>
              <w:t>1,1</w:t>
            </w:r>
          </w:p>
        </w:tc>
        <w:tc>
          <w:tcPr>
            <w:tcW w:w="1089" w:type="dxa"/>
            <w:vAlign w:val="bottom"/>
          </w:tcPr>
          <w:p w14:paraId="0BFA50F8" w14:textId="77777777" w:rsidR="005A472F" w:rsidRPr="00FD7B0B" w:rsidRDefault="005A472F" w:rsidP="00BE64F6">
            <w:pPr>
              <w:pStyle w:val="ad"/>
              <w:jc w:val="right"/>
              <w:rPr>
                <w:rFonts w:ascii="Times New Roman" w:hAnsi="Times New Roman"/>
              </w:rPr>
            </w:pPr>
            <w:r w:rsidRPr="00FD7B0B">
              <w:rPr>
                <w:rFonts w:ascii="Times New Roman" w:hAnsi="Times New Roman"/>
              </w:rPr>
              <w:t>0,8</w:t>
            </w:r>
          </w:p>
        </w:tc>
        <w:tc>
          <w:tcPr>
            <w:tcW w:w="2481" w:type="dxa"/>
            <w:gridSpan w:val="2"/>
            <w:vMerge/>
            <w:vAlign w:val="bottom"/>
          </w:tcPr>
          <w:p w14:paraId="1D00EFBF" w14:textId="77777777" w:rsidR="005A472F" w:rsidRPr="00FD7B0B" w:rsidRDefault="005A472F" w:rsidP="00BE64F6">
            <w:pPr>
              <w:pStyle w:val="ad"/>
              <w:jc w:val="center"/>
              <w:rPr>
                <w:rFonts w:ascii="Times New Roman" w:hAnsi="Times New Roman"/>
              </w:rPr>
            </w:pPr>
          </w:p>
        </w:tc>
      </w:tr>
      <w:tr w:rsidR="005A472F" w:rsidRPr="00FD7B0B" w14:paraId="301A4F27" w14:textId="77777777" w:rsidTr="00BE64F6">
        <w:tc>
          <w:tcPr>
            <w:tcW w:w="4947" w:type="dxa"/>
            <w:vAlign w:val="bottom"/>
          </w:tcPr>
          <w:p w14:paraId="62DBDD56" w14:textId="77777777" w:rsidR="005A472F" w:rsidRPr="00FD7B0B" w:rsidRDefault="005A472F" w:rsidP="00CF1A6C">
            <w:pPr>
              <w:pStyle w:val="ad"/>
              <w:rPr>
                <w:rFonts w:ascii="Times New Roman" w:hAnsi="Times New Roman"/>
              </w:rPr>
            </w:pPr>
            <w:r w:rsidRPr="00FD7B0B">
              <w:rPr>
                <w:rFonts w:ascii="Times New Roman" w:hAnsi="Times New Roman"/>
              </w:rPr>
              <w:t>прочие инвестиции</w:t>
            </w:r>
          </w:p>
        </w:tc>
        <w:tc>
          <w:tcPr>
            <w:tcW w:w="1105" w:type="dxa"/>
            <w:vAlign w:val="bottom"/>
          </w:tcPr>
          <w:p w14:paraId="27C70555" w14:textId="77777777" w:rsidR="005A472F" w:rsidRPr="00FD7B0B" w:rsidRDefault="005A472F" w:rsidP="00BE64F6">
            <w:pPr>
              <w:pStyle w:val="ad"/>
              <w:jc w:val="right"/>
              <w:rPr>
                <w:rFonts w:ascii="Times New Roman" w:hAnsi="Times New Roman"/>
              </w:rPr>
            </w:pPr>
            <w:r w:rsidRPr="00FD7B0B">
              <w:rPr>
                <w:rFonts w:ascii="Times New Roman" w:hAnsi="Times New Roman"/>
              </w:rPr>
              <w:t>1,2</w:t>
            </w:r>
          </w:p>
        </w:tc>
        <w:tc>
          <w:tcPr>
            <w:tcW w:w="1089" w:type="dxa"/>
            <w:vAlign w:val="bottom"/>
          </w:tcPr>
          <w:p w14:paraId="19246699" w14:textId="77777777" w:rsidR="005A472F" w:rsidRPr="00FD7B0B" w:rsidRDefault="005A472F" w:rsidP="00BE64F6">
            <w:pPr>
              <w:pStyle w:val="ad"/>
              <w:jc w:val="right"/>
              <w:rPr>
                <w:rFonts w:ascii="Times New Roman" w:hAnsi="Times New Roman"/>
              </w:rPr>
            </w:pPr>
            <w:r w:rsidRPr="00FD7B0B">
              <w:rPr>
                <w:rFonts w:ascii="Times New Roman" w:hAnsi="Times New Roman"/>
              </w:rPr>
              <w:t>1,4</w:t>
            </w:r>
          </w:p>
        </w:tc>
        <w:tc>
          <w:tcPr>
            <w:tcW w:w="1217" w:type="dxa"/>
            <w:vAlign w:val="bottom"/>
          </w:tcPr>
          <w:p w14:paraId="2480B175" w14:textId="77777777" w:rsidR="005A472F" w:rsidRPr="00FD7B0B" w:rsidRDefault="005A472F" w:rsidP="00BE64F6">
            <w:pPr>
              <w:pStyle w:val="ad"/>
              <w:jc w:val="right"/>
              <w:rPr>
                <w:rFonts w:ascii="Times New Roman" w:hAnsi="Times New Roman"/>
              </w:rPr>
            </w:pPr>
            <w:r w:rsidRPr="00FD7B0B">
              <w:rPr>
                <w:rFonts w:ascii="Times New Roman" w:hAnsi="Times New Roman"/>
              </w:rPr>
              <w:t>0,8</w:t>
            </w:r>
          </w:p>
        </w:tc>
        <w:tc>
          <w:tcPr>
            <w:tcW w:w="1264" w:type="dxa"/>
            <w:vAlign w:val="bottom"/>
          </w:tcPr>
          <w:p w14:paraId="78249FFB" w14:textId="77777777" w:rsidR="005A472F" w:rsidRPr="00FD7B0B" w:rsidRDefault="005A472F" w:rsidP="00BE64F6">
            <w:pPr>
              <w:pStyle w:val="ad"/>
              <w:jc w:val="right"/>
              <w:rPr>
                <w:rFonts w:ascii="Times New Roman" w:hAnsi="Times New Roman"/>
              </w:rPr>
            </w:pPr>
            <w:r w:rsidRPr="00FD7B0B">
              <w:rPr>
                <w:rFonts w:ascii="Times New Roman" w:hAnsi="Times New Roman"/>
              </w:rPr>
              <w:t>0,9</w:t>
            </w:r>
          </w:p>
        </w:tc>
      </w:tr>
    </w:tbl>
    <w:p w14:paraId="7C5B6574" w14:textId="77777777" w:rsidR="005A472F" w:rsidRPr="00FD7B0B" w:rsidRDefault="005A472F" w:rsidP="005A472F">
      <w:pPr>
        <w:pStyle w:val="ad"/>
        <w:ind w:firstLine="709"/>
        <w:jc w:val="both"/>
        <w:rPr>
          <w:rFonts w:ascii="Times New Roman" w:hAnsi="Times New Roman"/>
          <w:sz w:val="28"/>
          <w:szCs w:val="28"/>
        </w:rPr>
      </w:pPr>
    </w:p>
    <w:p w14:paraId="59500E9F" w14:textId="61C518CA"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Структура инвестиций в основной капитал по видам основных фондов (без субъектов малого предпринимательства и объема инвестиций, не наблюдаемых прямыми статистическими методами) в отчетном году не претерпела значительных трансформаций в сторону увеличения/снижения вложений по наблюдаемым основным фондам. Значительна</w:t>
      </w:r>
      <w:r w:rsidR="00A83B45" w:rsidRPr="00FD7B0B">
        <w:rPr>
          <w:rFonts w:ascii="Times New Roman" w:hAnsi="Times New Roman"/>
          <w:sz w:val="28"/>
          <w:szCs w:val="28"/>
        </w:rPr>
        <w:t>я</w:t>
      </w:r>
      <w:r w:rsidRPr="00FD7B0B">
        <w:rPr>
          <w:rFonts w:ascii="Times New Roman" w:hAnsi="Times New Roman"/>
          <w:sz w:val="28"/>
          <w:szCs w:val="28"/>
        </w:rPr>
        <w:t xml:space="preserve"> доля инвестиций остается в модернизацию собственных производственных мощностей организаций.</w:t>
      </w:r>
    </w:p>
    <w:p w14:paraId="6F4DD0C9" w14:textId="12786F29"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lastRenderedPageBreak/>
        <w:t>Распределение организаций по оценке целей и источников инвестиций в основной капитал,</w:t>
      </w:r>
      <w:r w:rsidRPr="00FD7B0B">
        <w:t xml:space="preserve"> </w:t>
      </w:r>
      <w:r w:rsidRPr="00FD7B0B">
        <w:rPr>
          <w:rFonts w:ascii="Times New Roman" w:hAnsi="Times New Roman"/>
          <w:sz w:val="28"/>
          <w:szCs w:val="28"/>
        </w:rPr>
        <w:t>участвовавших в выборочном статистическом обследовании инвестиционной активности, представлено в таблице</w:t>
      </w:r>
      <w:r w:rsidR="00003874" w:rsidRPr="00FD7B0B">
        <w:rPr>
          <w:rFonts w:ascii="Times New Roman" w:hAnsi="Times New Roman"/>
          <w:sz w:val="28"/>
          <w:szCs w:val="28"/>
        </w:rPr>
        <w:t xml:space="preserve"> </w:t>
      </w:r>
      <w:r w:rsidR="006B033D" w:rsidRPr="00FD7B0B">
        <w:rPr>
          <w:rFonts w:ascii="Times New Roman" w:hAnsi="Times New Roman"/>
          <w:sz w:val="28"/>
          <w:szCs w:val="28"/>
        </w:rPr>
        <w:t>8</w:t>
      </w:r>
      <w:r w:rsidRPr="00FD7B0B">
        <w:rPr>
          <w:rFonts w:ascii="Times New Roman" w:hAnsi="Times New Roman"/>
          <w:sz w:val="28"/>
          <w:szCs w:val="28"/>
        </w:rPr>
        <w:t>.</w:t>
      </w:r>
    </w:p>
    <w:p w14:paraId="174FA5DC" w14:textId="77777777" w:rsidR="005A472F" w:rsidRPr="00FD7B0B" w:rsidRDefault="005A472F" w:rsidP="005A472F">
      <w:pPr>
        <w:pStyle w:val="ad"/>
        <w:ind w:firstLine="709"/>
        <w:jc w:val="both"/>
        <w:rPr>
          <w:rFonts w:ascii="Times New Roman" w:hAnsi="Times New Roman"/>
          <w:sz w:val="24"/>
          <w:szCs w:val="24"/>
        </w:rPr>
      </w:pPr>
    </w:p>
    <w:p w14:paraId="659A9FB1" w14:textId="77777777" w:rsidR="005A472F" w:rsidRPr="00FD7B0B" w:rsidRDefault="005A472F" w:rsidP="005A472F">
      <w:pPr>
        <w:pStyle w:val="ad"/>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8</w:t>
      </w:r>
      <w:r w:rsidRPr="00FD7B0B">
        <w:rPr>
          <w:rFonts w:ascii="Times New Roman" w:hAnsi="Times New Roman"/>
          <w:sz w:val="24"/>
          <w:szCs w:val="24"/>
        </w:rPr>
        <w:fldChar w:fldCharType="end"/>
      </w:r>
      <w:r w:rsidRPr="00FD7B0B">
        <w:rPr>
          <w:rFonts w:ascii="Times New Roman" w:hAnsi="Times New Roman"/>
          <w:sz w:val="24"/>
          <w:szCs w:val="24"/>
        </w:rPr>
        <w:t>. Распределение организаций по оценке целей и источников инвестиций в основной капитал, в процентах от числа организаций, участвовавших в выборочном статистическом обследовании инвестиционной активности</w:t>
      </w:r>
    </w:p>
    <w:tbl>
      <w:tblPr>
        <w:tblW w:w="964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969"/>
        <w:gridCol w:w="709"/>
        <w:gridCol w:w="709"/>
        <w:gridCol w:w="708"/>
        <w:gridCol w:w="709"/>
        <w:gridCol w:w="992"/>
        <w:gridCol w:w="993"/>
        <w:gridCol w:w="851"/>
      </w:tblGrid>
      <w:tr w:rsidR="00FD7B0B" w:rsidRPr="00FD7B0B" w14:paraId="083BA5C3" w14:textId="77777777" w:rsidTr="00003874">
        <w:trPr>
          <w:trHeight w:val="495"/>
          <w:tblHeader/>
        </w:trPr>
        <w:tc>
          <w:tcPr>
            <w:tcW w:w="3969" w:type="dxa"/>
            <w:shd w:val="clear" w:color="auto" w:fill="auto"/>
            <w:noWrap/>
            <w:vAlign w:val="center"/>
            <w:hideMark/>
          </w:tcPr>
          <w:p w14:paraId="77ED4108" w14:textId="77777777" w:rsidR="005A472F" w:rsidRPr="00FD7B0B" w:rsidRDefault="005A472F" w:rsidP="00BE64F6">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Цели инвестирования</w:t>
            </w:r>
          </w:p>
          <w:p w14:paraId="63E4DA26"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bCs/>
                <w:lang w:eastAsia="ru-RU"/>
              </w:rPr>
              <w:t>в основной капитал</w:t>
            </w:r>
          </w:p>
        </w:tc>
        <w:tc>
          <w:tcPr>
            <w:tcW w:w="709" w:type="dxa"/>
            <w:shd w:val="clear" w:color="auto" w:fill="auto"/>
            <w:noWrap/>
            <w:vAlign w:val="center"/>
            <w:hideMark/>
          </w:tcPr>
          <w:p w14:paraId="5D91C296" w14:textId="77777777" w:rsidR="005A472F" w:rsidRPr="00FD7B0B" w:rsidRDefault="005A472F" w:rsidP="00BE64F6">
            <w:pPr>
              <w:spacing w:after="0" w:line="240" w:lineRule="auto"/>
              <w:ind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2020,%</w:t>
            </w:r>
          </w:p>
        </w:tc>
        <w:tc>
          <w:tcPr>
            <w:tcW w:w="709" w:type="dxa"/>
            <w:shd w:val="clear" w:color="auto" w:fill="auto"/>
            <w:noWrap/>
            <w:vAlign w:val="center"/>
            <w:hideMark/>
          </w:tcPr>
          <w:p w14:paraId="3BE2EC14" w14:textId="77777777" w:rsidR="005A472F" w:rsidRPr="00FD7B0B" w:rsidRDefault="005A472F" w:rsidP="00BE64F6">
            <w:pPr>
              <w:spacing w:after="0" w:line="240" w:lineRule="auto"/>
              <w:ind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2021,%</w:t>
            </w:r>
          </w:p>
        </w:tc>
        <w:tc>
          <w:tcPr>
            <w:tcW w:w="708" w:type="dxa"/>
            <w:shd w:val="clear" w:color="auto" w:fill="auto"/>
            <w:vAlign w:val="center"/>
          </w:tcPr>
          <w:p w14:paraId="0B879136" w14:textId="77777777"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2022, % </w:t>
            </w:r>
          </w:p>
        </w:tc>
        <w:tc>
          <w:tcPr>
            <w:tcW w:w="709" w:type="dxa"/>
            <w:shd w:val="clear" w:color="auto" w:fill="auto"/>
            <w:vAlign w:val="center"/>
          </w:tcPr>
          <w:p w14:paraId="6ADA8534" w14:textId="77777777"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2023, % </w:t>
            </w:r>
          </w:p>
        </w:tc>
        <w:tc>
          <w:tcPr>
            <w:tcW w:w="992" w:type="dxa"/>
            <w:shd w:val="clear" w:color="auto" w:fill="auto"/>
            <w:vAlign w:val="center"/>
          </w:tcPr>
          <w:p w14:paraId="5C350BC2" w14:textId="77777777"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 план</w:t>
            </w:r>
          </w:p>
        </w:tc>
        <w:tc>
          <w:tcPr>
            <w:tcW w:w="993" w:type="dxa"/>
            <w:vAlign w:val="center"/>
          </w:tcPr>
          <w:p w14:paraId="7A10F2A8" w14:textId="77777777"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 факт</w:t>
            </w:r>
          </w:p>
        </w:tc>
        <w:tc>
          <w:tcPr>
            <w:tcW w:w="851" w:type="dxa"/>
            <w:vAlign w:val="center"/>
          </w:tcPr>
          <w:p w14:paraId="773A076C" w14:textId="77777777"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2025, % план</w:t>
            </w:r>
          </w:p>
        </w:tc>
      </w:tr>
      <w:tr w:rsidR="00FD7B0B" w:rsidRPr="00FD7B0B" w14:paraId="4B0754DC" w14:textId="77777777" w:rsidTr="00BE64F6">
        <w:trPr>
          <w:trHeight w:hRule="exact" w:val="255"/>
        </w:trPr>
        <w:tc>
          <w:tcPr>
            <w:tcW w:w="9640" w:type="dxa"/>
            <w:gridSpan w:val="8"/>
            <w:shd w:val="clear" w:color="auto" w:fill="auto"/>
            <w:vAlign w:val="bottom"/>
            <w:hideMark/>
          </w:tcPr>
          <w:p w14:paraId="7352D020"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Увеличение производственной мощности, в том числе:</w:t>
            </w:r>
          </w:p>
        </w:tc>
      </w:tr>
      <w:tr w:rsidR="00FD7B0B" w:rsidRPr="00FD7B0B" w14:paraId="54621D45" w14:textId="77777777" w:rsidTr="00BE64F6">
        <w:trPr>
          <w:trHeight w:hRule="exact" w:val="518"/>
        </w:trPr>
        <w:tc>
          <w:tcPr>
            <w:tcW w:w="3969" w:type="dxa"/>
            <w:shd w:val="clear" w:color="auto" w:fill="auto"/>
            <w:vAlign w:val="bottom"/>
            <w:hideMark/>
          </w:tcPr>
          <w:p w14:paraId="734F51DD" w14:textId="77777777" w:rsidR="005A472F" w:rsidRPr="00FD7B0B" w:rsidRDefault="005A472F" w:rsidP="00BE64F6">
            <w:pPr>
              <w:spacing w:after="0" w:line="240" w:lineRule="auto"/>
              <w:ind w:firstLine="34"/>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 неизменной номенклатурой продукции</w:t>
            </w:r>
          </w:p>
        </w:tc>
        <w:tc>
          <w:tcPr>
            <w:tcW w:w="709" w:type="dxa"/>
            <w:shd w:val="clear" w:color="auto" w:fill="auto"/>
            <w:noWrap/>
            <w:vAlign w:val="bottom"/>
            <w:hideMark/>
          </w:tcPr>
          <w:p w14:paraId="4504723D"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48</w:t>
            </w:r>
          </w:p>
        </w:tc>
        <w:tc>
          <w:tcPr>
            <w:tcW w:w="709" w:type="dxa"/>
            <w:shd w:val="clear" w:color="auto" w:fill="auto"/>
            <w:noWrap/>
            <w:vAlign w:val="bottom"/>
            <w:hideMark/>
          </w:tcPr>
          <w:p w14:paraId="569F57D0"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48</w:t>
            </w:r>
          </w:p>
        </w:tc>
        <w:tc>
          <w:tcPr>
            <w:tcW w:w="708" w:type="dxa"/>
            <w:shd w:val="clear" w:color="auto" w:fill="auto"/>
            <w:vAlign w:val="bottom"/>
          </w:tcPr>
          <w:p w14:paraId="39F8B59B"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59</w:t>
            </w:r>
          </w:p>
        </w:tc>
        <w:tc>
          <w:tcPr>
            <w:tcW w:w="709" w:type="dxa"/>
            <w:shd w:val="clear" w:color="auto" w:fill="auto"/>
            <w:vAlign w:val="bottom"/>
          </w:tcPr>
          <w:p w14:paraId="155BDC7E" w14:textId="55115ED4" w:rsidR="005A472F" w:rsidRPr="00FD7B0B" w:rsidRDefault="002E2095"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37</w:t>
            </w:r>
          </w:p>
        </w:tc>
        <w:tc>
          <w:tcPr>
            <w:tcW w:w="992" w:type="dxa"/>
            <w:shd w:val="clear" w:color="auto" w:fill="auto"/>
            <w:vAlign w:val="bottom"/>
          </w:tcPr>
          <w:p w14:paraId="002697CF"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38</w:t>
            </w:r>
          </w:p>
        </w:tc>
        <w:tc>
          <w:tcPr>
            <w:tcW w:w="993" w:type="dxa"/>
            <w:vAlign w:val="bottom"/>
          </w:tcPr>
          <w:p w14:paraId="639A7EFE"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29</w:t>
            </w:r>
          </w:p>
        </w:tc>
        <w:tc>
          <w:tcPr>
            <w:tcW w:w="851" w:type="dxa"/>
            <w:vAlign w:val="bottom"/>
          </w:tcPr>
          <w:p w14:paraId="3906C937"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54</w:t>
            </w:r>
          </w:p>
        </w:tc>
      </w:tr>
      <w:tr w:rsidR="00FD7B0B" w:rsidRPr="00FD7B0B" w14:paraId="16CFE212" w14:textId="77777777" w:rsidTr="00BE64F6">
        <w:trPr>
          <w:trHeight w:hRule="exact" w:val="526"/>
        </w:trPr>
        <w:tc>
          <w:tcPr>
            <w:tcW w:w="3969" w:type="dxa"/>
            <w:shd w:val="clear" w:color="auto" w:fill="auto"/>
            <w:vAlign w:val="bottom"/>
            <w:hideMark/>
          </w:tcPr>
          <w:p w14:paraId="5309B52F"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 расширением номенклатуры продукции</w:t>
            </w:r>
          </w:p>
        </w:tc>
        <w:tc>
          <w:tcPr>
            <w:tcW w:w="709" w:type="dxa"/>
            <w:shd w:val="clear" w:color="auto" w:fill="auto"/>
            <w:noWrap/>
            <w:vAlign w:val="bottom"/>
            <w:hideMark/>
          </w:tcPr>
          <w:p w14:paraId="3678B31A"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w:t>
            </w:r>
          </w:p>
        </w:tc>
        <w:tc>
          <w:tcPr>
            <w:tcW w:w="709" w:type="dxa"/>
            <w:shd w:val="clear" w:color="auto" w:fill="auto"/>
            <w:noWrap/>
            <w:vAlign w:val="bottom"/>
            <w:hideMark/>
          </w:tcPr>
          <w:p w14:paraId="4F7BBCEB"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w:t>
            </w:r>
          </w:p>
        </w:tc>
        <w:tc>
          <w:tcPr>
            <w:tcW w:w="708" w:type="dxa"/>
            <w:shd w:val="clear" w:color="auto" w:fill="auto"/>
            <w:vAlign w:val="bottom"/>
          </w:tcPr>
          <w:p w14:paraId="590B605B"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6</w:t>
            </w:r>
          </w:p>
        </w:tc>
        <w:tc>
          <w:tcPr>
            <w:tcW w:w="709" w:type="dxa"/>
            <w:shd w:val="clear" w:color="auto" w:fill="auto"/>
            <w:vAlign w:val="bottom"/>
          </w:tcPr>
          <w:p w14:paraId="247C6CDC" w14:textId="5CDAD958" w:rsidR="005A472F" w:rsidRPr="00FD7B0B" w:rsidRDefault="005A472F" w:rsidP="002E2095">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1</w:t>
            </w:r>
            <w:r w:rsidR="002E2095" w:rsidRPr="00FD7B0B">
              <w:rPr>
                <w:rFonts w:ascii="Times New Roman" w:hAnsi="Times New Roman" w:cs="Times New Roman"/>
              </w:rPr>
              <w:t>3</w:t>
            </w:r>
          </w:p>
        </w:tc>
        <w:tc>
          <w:tcPr>
            <w:tcW w:w="992" w:type="dxa"/>
            <w:shd w:val="clear" w:color="auto" w:fill="auto"/>
            <w:vAlign w:val="bottom"/>
          </w:tcPr>
          <w:p w14:paraId="5468F9AE"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11</w:t>
            </w:r>
          </w:p>
        </w:tc>
        <w:tc>
          <w:tcPr>
            <w:tcW w:w="993" w:type="dxa"/>
            <w:vAlign w:val="bottom"/>
          </w:tcPr>
          <w:p w14:paraId="5A3F662B"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7</w:t>
            </w:r>
          </w:p>
        </w:tc>
        <w:tc>
          <w:tcPr>
            <w:tcW w:w="851" w:type="dxa"/>
            <w:vAlign w:val="bottom"/>
          </w:tcPr>
          <w:p w14:paraId="4D3F7748"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7</w:t>
            </w:r>
          </w:p>
        </w:tc>
      </w:tr>
      <w:tr w:rsidR="00FD7B0B" w:rsidRPr="00FD7B0B" w14:paraId="3B34DB9B" w14:textId="77777777" w:rsidTr="00BE64F6">
        <w:trPr>
          <w:trHeight w:hRule="exact" w:val="255"/>
        </w:trPr>
        <w:tc>
          <w:tcPr>
            <w:tcW w:w="9640" w:type="dxa"/>
            <w:gridSpan w:val="8"/>
            <w:shd w:val="clear" w:color="auto" w:fill="auto"/>
            <w:vAlign w:val="bottom"/>
            <w:hideMark/>
          </w:tcPr>
          <w:p w14:paraId="40208902"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Повышение эффективности производства, в том числе:</w:t>
            </w:r>
          </w:p>
        </w:tc>
      </w:tr>
      <w:tr w:rsidR="00FD7B0B" w:rsidRPr="00FD7B0B" w14:paraId="41F03116" w14:textId="77777777" w:rsidTr="00003874">
        <w:trPr>
          <w:trHeight w:val="592"/>
        </w:trPr>
        <w:tc>
          <w:tcPr>
            <w:tcW w:w="3969" w:type="dxa"/>
            <w:shd w:val="clear" w:color="auto" w:fill="auto"/>
            <w:vAlign w:val="bottom"/>
            <w:hideMark/>
          </w:tcPr>
          <w:p w14:paraId="75D9A6E4"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автоматизация или механизация существующего производственного процесса</w:t>
            </w:r>
          </w:p>
        </w:tc>
        <w:tc>
          <w:tcPr>
            <w:tcW w:w="709" w:type="dxa"/>
            <w:shd w:val="clear" w:color="auto" w:fill="auto"/>
            <w:noWrap/>
            <w:vAlign w:val="bottom"/>
            <w:hideMark/>
          </w:tcPr>
          <w:p w14:paraId="39E47403"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44</w:t>
            </w:r>
          </w:p>
        </w:tc>
        <w:tc>
          <w:tcPr>
            <w:tcW w:w="709" w:type="dxa"/>
            <w:shd w:val="clear" w:color="auto" w:fill="auto"/>
            <w:noWrap/>
            <w:vAlign w:val="bottom"/>
            <w:hideMark/>
          </w:tcPr>
          <w:p w14:paraId="0C43623F"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47</w:t>
            </w:r>
          </w:p>
        </w:tc>
        <w:tc>
          <w:tcPr>
            <w:tcW w:w="708" w:type="dxa"/>
            <w:shd w:val="clear" w:color="auto" w:fill="auto"/>
            <w:vAlign w:val="bottom"/>
          </w:tcPr>
          <w:p w14:paraId="101CC57C"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44</w:t>
            </w:r>
          </w:p>
        </w:tc>
        <w:tc>
          <w:tcPr>
            <w:tcW w:w="709" w:type="dxa"/>
            <w:shd w:val="clear" w:color="auto" w:fill="auto"/>
            <w:vAlign w:val="bottom"/>
          </w:tcPr>
          <w:p w14:paraId="3AD0DB2C" w14:textId="36B206D0" w:rsidR="005A472F" w:rsidRPr="00FD7B0B" w:rsidRDefault="005A472F" w:rsidP="002E2095">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4</w:t>
            </w:r>
            <w:r w:rsidR="002E2095" w:rsidRPr="00FD7B0B">
              <w:rPr>
                <w:rFonts w:ascii="Times New Roman" w:hAnsi="Times New Roman" w:cs="Times New Roman"/>
              </w:rPr>
              <w:t>3</w:t>
            </w:r>
          </w:p>
        </w:tc>
        <w:tc>
          <w:tcPr>
            <w:tcW w:w="992" w:type="dxa"/>
            <w:shd w:val="clear" w:color="auto" w:fill="auto"/>
            <w:vAlign w:val="bottom"/>
          </w:tcPr>
          <w:p w14:paraId="7974F881"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46</w:t>
            </w:r>
          </w:p>
        </w:tc>
        <w:tc>
          <w:tcPr>
            <w:tcW w:w="993" w:type="dxa"/>
            <w:vAlign w:val="bottom"/>
          </w:tcPr>
          <w:p w14:paraId="176E5EAF"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33</w:t>
            </w:r>
          </w:p>
        </w:tc>
        <w:tc>
          <w:tcPr>
            <w:tcW w:w="851" w:type="dxa"/>
            <w:vAlign w:val="bottom"/>
          </w:tcPr>
          <w:p w14:paraId="00330FC2"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57</w:t>
            </w:r>
          </w:p>
        </w:tc>
      </w:tr>
      <w:tr w:rsidR="00FD7B0B" w:rsidRPr="00FD7B0B" w14:paraId="5EB81A1D" w14:textId="77777777" w:rsidTr="00BE64F6">
        <w:trPr>
          <w:trHeight w:hRule="exact" w:val="534"/>
        </w:trPr>
        <w:tc>
          <w:tcPr>
            <w:tcW w:w="3969" w:type="dxa"/>
            <w:shd w:val="clear" w:color="auto" w:fill="auto"/>
            <w:vAlign w:val="bottom"/>
            <w:hideMark/>
          </w:tcPr>
          <w:p w14:paraId="3697E7E5" w14:textId="77777777" w:rsidR="005A472F" w:rsidRPr="00FD7B0B" w:rsidRDefault="005A472F" w:rsidP="00BE64F6">
            <w:pPr>
              <w:spacing w:after="0" w:line="240" w:lineRule="auto"/>
              <w:ind w:firstLineChars="15" w:firstLine="33"/>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внедрение новых производственных технологий</w:t>
            </w:r>
          </w:p>
        </w:tc>
        <w:tc>
          <w:tcPr>
            <w:tcW w:w="709" w:type="dxa"/>
            <w:shd w:val="clear" w:color="auto" w:fill="auto"/>
            <w:noWrap/>
            <w:vAlign w:val="bottom"/>
            <w:hideMark/>
          </w:tcPr>
          <w:p w14:paraId="7CA80851"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36</w:t>
            </w:r>
          </w:p>
        </w:tc>
        <w:tc>
          <w:tcPr>
            <w:tcW w:w="709" w:type="dxa"/>
            <w:shd w:val="clear" w:color="auto" w:fill="auto"/>
            <w:noWrap/>
            <w:vAlign w:val="bottom"/>
            <w:hideMark/>
          </w:tcPr>
          <w:p w14:paraId="5553FA3E"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w:t>
            </w:r>
          </w:p>
        </w:tc>
        <w:tc>
          <w:tcPr>
            <w:tcW w:w="708" w:type="dxa"/>
            <w:shd w:val="clear" w:color="auto" w:fill="auto"/>
            <w:vAlign w:val="bottom"/>
          </w:tcPr>
          <w:p w14:paraId="11B40F3E"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7</w:t>
            </w:r>
          </w:p>
        </w:tc>
        <w:tc>
          <w:tcPr>
            <w:tcW w:w="709" w:type="dxa"/>
            <w:shd w:val="clear" w:color="auto" w:fill="auto"/>
            <w:vAlign w:val="bottom"/>
          </w:tcPr>
          <w:p w14:paraId="43B97485" w14:textId="73793284"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w:t>
            </w:r>
          </w:p>
        </w:tc>
        <w:tc>
          <w:tcPr>
            <w:tcW w:w="992" w:type="dxa"/>
            <w:shd w:val="clear" w:color="auto" w:fill="auto"/>
            <w:vAlign w:val="bottom"/>
          </w:tcPr>
          <w:p w14:paraId="3CB7F898"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13</w:t>
            </w:r>
          </w:p>
        </w:tc>
        <w:tc>
          <w:tcPr>
            <w:tcW w:w="993" w:type="dxa"/>
            <w:vAlign w:val="bottom"/>
          </w:tcPr>
          <w:p w14:paraId="78C8B6BB"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5</w:t>
            </w:r>
          </w:p>
        </w:tc>
        <w:tc>
          <w:tcPr>
            <w:tcW w:w="851" w:type="dxa"/>
            <w:vAlign w:val="bottom"/>
          </w:tcPr>
          <w:p w14:paraId="47172A21"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8</w:t>
            </w:r>
          </w:p>
        </w:tc>
      </w:tr>
      <w:tr w:rsidR="00FD7B0B" w:rsidRPr="00FD7B0B" w14:paraId="60C1AA66" w14:textId="77777777" w:rsidTr="00BE64F6">
        <w:trPr>
          <w:trHeight w:hRule="exact" w:val="242"/>
        </w:trPr>
        <w:tc>
          <w:tcPr>
            <w:tcW w:w="3969" w:type="dxa"/>
            <w:shd w:val="clear" w:color="auto" w:fill="auto"/>
            <w:vAlign w:val="bottom"/>
            <w:hideMark/>
          </w:tcPr>
          <w:p w14:paraId="57CEBA7A"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снижение себестоимости продукции</w:t>
            </w:r>
          </w:p>
        </w:tc>
        <w:tc>
          <w:tcPr>
            <w:tcW w:w="709" w:type="dxa"/>
            <w:shd w:val="clear" w:color="auto" w:fill="auto"/>
            <w:noWrap/>
            <w:vAlign w:val="bottom"/>
            <w:hideMark/>
          </w:tcPr>
          <w:p w14:paraId="30D4C266"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w:t>
            </w:r>
          </w:p>
        </w:tc>
        <w:tc>
          <w:tcPr>
            <w:tcW w:w="709" w:type="dxa"/>
            <w:shd w:val="clear" w:color="auto" w:fill="auto"/>
            <w:noWrap/>
            <w:vAlign w:val="bottom"/>
            <w:hideMark/>
          </w:tcPr>
          <w:p w14:paraId="6D3281FE"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26</w:t>
            </w:r>
          </w:p>
        </w:tc>
        <w:tc>
          <w:tcPr>
            <w:tcW w:w="708" w:type="dxa"/>
            <w:shd w:val="clear" w:color="auto" w:fill="auto"/>
            <w:vAlign w:val="bottom"/>
          </w:tcPr>
          <w:p w14:paraId="45B1DD4B"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28</w:t>
            </w:r>
          </w:p>
        </w:tc>
        <w:tc>
          <w:tcPr>
            <w:tcW w:w="709" w:type="dxa"/>
            <w:shd w:val="clear" w:color="auto" w:fill="auto"/>
            <w:vAlign w:val="bottom"/>
          </w:tcPr>
          <w:p w14:paraId="53834F00" w14:textId="75C27A4B"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41</w:t>
            </w:r>
          </w:p>
        </w:tc>
        <w:tc>
          <w:tcPr>
            <w:tcW w:w="992" w:type="dxa"/>
            <w:shd w:val="clear" w:color="auto" w:fill="auto"/>
            <w:vAlign w:val="bottom"/>
          </w:tcPr>
          <w:p w14:paraId="6F7A9B26"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39</w:t>
            </w:r>
          </w:p>
        </w:tc>
        <w:tc>
          <w:tcPr>
            <w:tcW w:w="993" w:type="dxa"/>
            <w:vAlign w:val="bottom"/>
          </w:tcPr>
          <w:p w14:paraId="4D9EED13"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31</w:t>
            </w:r>
          </w:p>
        </w:tc>
        <w:tc>
          <w:tcPr>
            <w:tcW w:w="851" w:type="dxa"/>
            <w:vAlign w:val="bottom"/>
          </w:tcPr>
          <w:p w14:paraId="64F9DDDF"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29</w:t>
            </w:r>
          </w:p>
        </w:tc>
      </w:tr>
      <w:tr w:rsidR="00FD7B0B" w:rsidRPr="00FD7B0B" w14:paraId="0BE27D97" w14:textId="77777777" w:rsidTr="00BE64F6">
        <w:trPr>
          <w:trHeight w:hRule="exact" w:val="270"/>
        </w:trPr>
        <w:tc>
          <w:tcPr>
            <w:tcW w:w="3969" w:type="dxa"/>
            <w:shd w:val="clear" w:color="auto" w:fill="auto"/>
            <w:vAlign w:val="bottom"/>
            <w:hideMark/>
          </w:tcPr>
          <w:p w14:paraId="00B2E499"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экономия энергоресурсов</w:t>
            </w:r>
          </w:p>
        </w:tc>
        <w:tc>
          <w:tcPr>
            <w:tcW w:w="709" w:type="dxa"/>
            <w:shd w:val="clear" w:color="auto" w:fill="auto"/>
            <w:noWrap/>
            <w:vAlign w:val="bottom"/>
            <w:hideMark/>
          </w:tcPr>
          <w:p w14:paraId="69F87761"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42</w:t>
            </w:r>
          </w:p>
        </w:tc>
        <w:tc>
          <w:tcPr>
            <w:tcW w:w="709" w:type="dxa"/>
            <w:shd w:val="clear" w:color="auto" w:fill="auto"/>
            <w:noWrap/>
            <w:vAlign w:val="bottom"/>
            <w:hideMark/>
          </w:tcPr>
          <w:p w14:paraId="7C08AE1C"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31</w:t>
            </w:r>
          </w:p>
        </w:tc>
        <w:tc>
          <w:tcPr>
            <w:tcW w:w="708" w:type="dxa"/>
            <w:shd w:val="clear" w:color="auto" w:fill="auto"/>
            <w:vAlign w:val="bottom"/>
          </w:tcPr>
          <w:p w14:paraId="740C66B9"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29</w:t>
            </w:r>
          </w:p>
        </w:tc>
        <w:tc>
          <w:tcPr>
            <w:tcW w:w="709" w:type="dxa"/>
            <w:shd w:val="clear" w:color="auto" w:fill="auto"/>
            <w:vAlign w:val="bottom"/>
          </w:tcPr>
          <w:p w14:paraId="1ACDBF78" w14:textId="5B8B64C8"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44</w:t>
            </w:r>
          </w:p>
        </w:tc>
        <w:tc>
          <w:tcPr>
            <w:tcW w:w="992" w:type="dxa"/>
            <w:shd w:val="clear" w:color="auto" w:fill="auto"/>
            <w:vAlign w:val="bottom"/>
          </w:tcPr>
          <w:p w14:paraId="62372699"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44</w:t>
            </w:r>
          </w:p>
        </w:tc>
        <w:tc>
          <w:tcPr>
            <w:tcW w:w="993" w:type="dxa"/>
            <w:vAlign w:val="bottom"/>
          </w:tcPr>
          <w:p w14:paraId="78D0AAC6"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37</w:t>
            </w:r>
          </w:p>
        </w:tc>
        <w:tc>
          <w:tcPr>
            <w:tcW w:w="851" w:type="dxa"/>
            <w:vAlign w:val="bottom"/>
          </w:tcPr>
          <w:p w14:paraId="78345D0C"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34</w:t>
            </w:r>
          </w:p>
        </w:tc>
      </w:tr>
      <w:tr w:rsidR="00FD7B0B" w:rsidRPr="00FD7B0B" w14:paraId="739030C6" w14:textId="77777777" w:rsidTr="00BE64F6">
        <w:trPr>
          <w:trHeight w:hRule="exact" w:val="524"/>
        </w:trPr>
        <w:tc>
          <w:tcPr>
            <w:tcW w:w="3969" w:type="dxa"/>
            <w:shd w:val="clear" w:color="auto" w:fill="auto"/>
            <w:vAlign w:val="bottom"/>
            <w:hideMark/>
          </w:tcPr>
          <w:p w14:paraId="0AF8B072" w14:textId="77777777" w:rsidR="005A472F" w:rsidRPr="00FD7B0B" w:rsidRDefault="005A472F" w:rsidP="00BE64F6">
            <w:pPr>
              <w:spacing w:after="0" w:line="240" w:lineRule="auto"/>
              <w:ind w:firstLineChars="144" w:firstLine="31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Замена изношенной техники и оборудования</w:t>
            </w:r>
          </w:p>
        </w:tc>
        <w:tc>
          <w:tcPr>
            <w:tcW w:w="709" w:type="dxa"/>
            <w:shd w:val="clear" w:color="auto" w:fill="auto"/>
            <w:noWrap/>
            <w:vAlign w:val="bottom"/>
            <w:hideMark/>
          </w:tcPr>
          <w:p w14:paraId="0195CDCD"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56</w:t>
            </w:r>
          </w:p>
        </w:tc>
        <w:tc>
          <w:tcPr>
            <w:tcW w:w="709" w:type="dxa"/>
            <w:shd w:val="clear" w:color="auto" w:fill="auto"/>
            <w:noWrap/>
            <w:vAlign w:val="bottom"/>
            <w:hideMark/>
          </w:tcPr>
          <w:p w14:paraId="6B04D06A"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73</w:t>
            </w:r>
          </w:p>
        </w:tc>
        <w:tc>
          <w:tcPr>
            <w:tcW w:w="708" w:type="dxa"/>
            <w:shd w:val="clear" w:color="auto" w:fill="auto"/>
            <w:vAlign w:val="bottom"/>
          </w:tcPr>
          <w:p w14:paraId="32BC7363"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66</w:t>
            </w:r>
          </w:p>
        </w:tc>
        <w:tc>
          <w:tcPr>
            <w:tcW w:w="709" w:type="dxa"/>
            <w:shd w:val="clear" w:color="auto" w:fill="auto"/>
            <w:vAlign w:val="bottom"/>
          </w:tcPr>
          <w:p w14:paraId="02A36C2B" w14:textId="69506B4F"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59</w:t>
            </w:r>
          </w:p>
        </w:tc>
        <w:tc>
          <w:tcPr>
            <w:tcW w:w="992" w:type="dxa"/>
            <w:shd w:val="clear" w:color="auto" w:fill="auto"/>
            <w:vAlign w:val="bottom"/>
          </w:tcPr>
          <w:p w14:paraId="527960DF"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58</w:t>
            </w:r>
          </w:p>
        </w:tc>
        <w:tc>
          <w:tcPr>
            <w:tcW w:w="993" w:type="dxa"/>
            <w:vAlign w:val="bottom"/>
          </w:tcPr>
          <w:p w14:paraId="15862E26"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50</w:t>
            </w:r>
          </w:p>
        </w:tc>
        <w:tc>
          <w:tcPr>
            <w:tcW w:w="851" w:type="dxa"/>
            <w:vAlign w:val="bottom"/>
          </w:tcPr>
          <w:p w14:paraId="57A517D5"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71</w:t>
            </w:r>
          </w:p>
        </w:tc>
      </w:tr>
      <w:tr w:rsidR="00FD7B0B" w:rsidRPr="00FD7B0B" w14:paraId="53FA8A43" w14:textId="77777777" w:rsidTr="00BE64F6">
        <w:trPr>
          <w:trHeight w:hRule="exact" w:val="255"/>
        </w:trPr>
        <w:tc>
          <w:tcPr>
            <w:tcW w:w="3969" w:type="dxa"/>
            <w:shd w:val="clear" w:color="auto" w:fill="auto"/>
            <w:vAlign w:val="bottom"/>
            <w:hideMark/>
          </w:tcPr>
          <w:p w14:paraId="7DAC196E" w14:textId="77777777" w:rsidR="005A472F" w:rsidRPr="00FD7B0B" w:rsidRDefault="005A472F" w:rsidP="00BE64F6">
            <w:pPr>
              <w:spacing w:after="0" w:line="240" w:lineRule="auto"/>
              <w:ind w:firstLineChars="144" w:firstLine="31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Создание новых рабочих мест</w:t>
            </w:r>
          </w:p>
        </w:tc>
        <w:tc>
          <w:tcPr>
            <w:tcW w:w="709" w:type="dxa"/>
            <w:shd w:val="clear" w:color="auto" w:fill="auto"/>
            <w:noWrap/>
            <w:vAlign w:val="bottom"/>
            <w:hideMark/>
          </w:tcPr>
          <w:p w14:paraId="4E589AC1"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26</w:t>
            </w:r>
          </w:p>
        </w:tc>
        <w:tc>
          <w:tcPr>
            <w:tcW w:w="709" w:type="dxa"/>
            <w:shd w:val="clear" w:color="auto" w:fill="auto"/>
            <w:noWrap/>
            <w:vAlign w:val="bottom"/>
            <w:hideMark/>
          </w:tcPr>
          <w:p w14:paraId="3835B974"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w:t>
            </w:r>
          </w:p>
        </w:tc>
        <w:tc>
          <w:tcPr>
            <w:tcW w:w="708" w:type="dxa"/>
            <w:shd w:val="clear" w:color="auto" w:fill="auto"/>
            <w:vAlign w:val="bottom"/>
          </w:tcPr>
          <w:p w14:paraId="00185ABB"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4</w:t>
            </w:r>
          </w:p>
        </w:tc>
        <w:tc>
          <w:tcPr>
            <w:tcW w:w="709" w:type="dxa"/>
            <w:shd w:val="clear" w:color="auto" w:fill="auto"/>
            <w:vAlign w:val="bottom"/>
          </w:tcPr>
          <w:p w14:paraId="415D6544" w14:textId="04E5EA12"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w:t>
            </w:r>
          </w:p>
        </w:tc>
        <w:tc>
          <w:tcPr>
            <w:tcW w:w="992" w:type="dxa"/>
            <w:shd w:val="clear" w:color="auto" w:fill="auto"/>
            <w:vAlign w:val="bottom"/>
          </w:tcPr>
          <w:p w14:paraId="3702B76C"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12</w:t>
            </w:r>
          </w:p>
        </w:tc>
        <w:tc>
          <w:tcPr>
            <w:tcW w:w="993" w:type="dxa"/>
            <w:vAlign w:val="bottom"/>
          </w:tcPr>
          <w:p w14:paraId="7E4389EA"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5</w:t>
            </w:r>
          </w:p>
        </w:tc>
        <w:tc>
          <w:tcPr>
            <w:tcW w:w="851" w:type="dxa"/>
            <w:vAlign w:val="bottom"/>
          </w:tcPr>
          <w:p w14:paraId="000ED47E"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6</w:t>
            </w:r>
          </w:p>
        </w:tc>
      </w:tr>
      <w:tr w:rsidR="00FD7B0B" w:rsidRPr="00FD7B0B" w14:paraId="20473138" w14:textId="77777777" w:rsidTr="00BE64F6">
        <w:trPr>
          <w:trHeight w:hRule="exact" w:val="255"/>
        </w:trPr>
        <w:tc>
          <w:tcPr>
            <w:tcW w:w="3969" w:type="dxa"/>
            <w:shd w:val="clear" w:color="auto" w:fill="auto"/>
            <w:vAlign w:val="bottom"/>
            <w:hideMark/>
          </w:tcPr>
          <w:p w14:paraId="4D9717CA" w14:textId="77777777" w:rsidR="005A472F" w:rsidRPr="00FD7B0B" w:rsidRDefault="005A472F" w:rsidP="00BE64F6">
            <w:pPr>
              <w:spacing w:after="0" w:line="240" w:lineRule="auto"/>
              <w:ind w:firstLineChars="144" w:firstLine="31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Охрана окружающей среды</w:t>
            </w:r>
          </w:p>
        </w:tc>
        <w:tc>
          <w:tcPr>
            <w:tcW w:w="709" w:type="dxa"/>
            <w:shd w:val="clear" w:color="auto" w:fill="auto"/>
            <w:noWrap/>
            <w:vAlign w:val="bottom"/>
            <w:hideMark/>
          </w:tcPr>
          <w:p w14:paraId="387873A1"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w:t>
            </w:r>
          </w:p>
        </w:tc>
        <w:tc>
          <w:tcPr>
            <w:tcW w:w="709" w:type="dxa"/>
            <w:shd w:val="clear" w:color="auto" w:fill="auto"/>
            <w:noWrap/>
            <w:vAlign w:val="bottom"/>
            <w:hideMark/>
          </w:tcPr>
          <w:p w14:paraId="7FF8B9C2"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w:t>
            </w:r>
          </w:p>
        </w:tc>
        <w:tc>
          <w:tcPr>
            <w:tcW w:w="708" w:type="dxa"/>
            <w:shd w:val="clear" w:color="auto" w:fill="auto"/>
            <w:vAlign w:val="bottom"/>
          </w:tcPr>
          <w:p w14:paraId="03FB3241"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17</w:t>
            </w:r>
          </w:p>
        </w:tc>
        <w:tc>
          <w:tcPr>
            <w:tcW w:w="709" w:type="dxa"/>
            <w:shd w:val="clear" w:color="auto" w:fill="auto"/>
            <w:vAlign w:val="bottom"/>
          </w:tcPr>
          <w:p w14:paraId="56C394F2" w14:textId="64B40599"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30</w:t>
            </w:r>
          </w:p>
        </w:tc>
        <w:tc>
          <w:tcPr>
            <w:tcW w:w="992" w:type="dxa"/>
            <w:shd w:val="clear" w:color="auto" w:fill="auto"/>
            <w:vAlign w:val="bottom"/>
          </w:tcPr>
          <w:p w14:paraId="2835DDA2"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30</w:t>
            </w:r>
          </w:p>
        </w:tc>
        <w:tc>
          <w:tcPr>
            <w:tcW w:w="993" w:type="dxa"/>
            <w:vAlign w:val="bottom"/>
          </w:tcPr>
          <w:p w14:paraId="358461E6"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19</w:t>
            </w:r>
          </w:p>
        </w:tc>
        <w:tc>
          <w:tcPr>
            <w:tcW w:w="851" w:type="dxa"/>
            <w:vAlign w:val="bottom"/>
          </w:tcPr>
          <w:p w14:paraId="32AC8A6C"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19</w:t>
            </w:r>
          </w:p>
        </w:tc>
      </w:tr>
      <w:tr w:rsidR="00FD7B0B" w:rsidRPr="00FD7B0B" w14:paraId="11EA23F1" w14:textId="77777777" w:rsidTr="00BE64F6">
        <w:trPr>
          <w:trHeight w:hRule="exact" w:val="255"/>
        </w:trPr>
        <w:tc>
          <w:tcPr>
            <w:tcW w:w="3969" w:type="dxa"/>
            <w:shd w:val="clear" w:color="auto" w:fill="auto"/>
            <w:vAlign w:val="bottom"/>
            <w:hideMark/>
          </w:tcPr>
          <w:p w14:paraId="6637FEF8" w14:textId="77777777" w:rsidR="005A472F" w:rsidRPr="00FD7B0B" w:rsidRDefault="005A472F" w:rsidP="00BE64F6">
            <w:pPr>
              <w:spacing w:after="0" w:line="240" w:lineRule="auto"/>
              <w:ind w:firstLineChars="144" w:firstLine="31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w:t>
            </w:r>
          </w:p>
        </w:tc>
        <w:tc>
          <w:tcPr>
            <w:tcW w:w="709" w:type="dxa"/>
            <w:shd w:val="clear" w:color="auto" w:fill="auto"/>
            <w:noWrap/>
            <w:vAlign w:val="bottom"/>
            <w:hideMark/>
          </w:tcPr>
          <w:p w14:paraId="0D3D50D4"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w:t>
            </w:r>
          </w:p>
        </w:tc>
        <w:tc>
          <w:tcPr>
            <w:tcW w:w="709" w:type="dxa"/>
            <w:shd w:val="clear" w:color="auto" w:fill="auto"/>
            <w:noWrap/>
            <w:vAlign w:val="bottom"/>
            <w:hideMark/>
          </w:tcPr>
          <w:p w14:paraId="04529B9A"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c>
          <w:tcPr>
            <w:tcW w:w="708" w:type="dxa"/>
            <w:shd w:val="clear" w:color="auto" w:fill="auto"/>
            <w:vAlign w:val="bottom"/>
          </w:tcPr>
          <w:p w14:paraId="70281A77"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6</w:t>
            </w:r>
          </w:p>
        </w:tc>
        <w:tc>
          <w:tcPr>
            <w:tcW w:w="709" w:type="dxa"/>
            <w:shd w:val="clear" w:color="auto" w:fill="auto"/>
            <w:vAlign w:val="bottom"/>
          </w:tcPr>
          <w:p w14:paraId="4D8C37EC" w14:textId="7AF715AB"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w:t>
            </w:r>
          </w:p>
        </w:tc>
        <w:tc>
          <w:tcPr>
            <w:tcW w:w="992" w:type="dxa"/>
            <w:shd w:val="clear" w:color="auto" w:fill="auto"/>
            <w:vAlign w:val="bottom"/>
          </w:tcPr>
          <w:p w14:paraId="174A39C5"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5</w:t>
            </w:r>
          </w:p>
        </w:tc>
        <w:tc>
          <w:tcPr>
            <w:tcW w:w="993" w:type="dxa"/>
            <w:vAlign w:val="bottom"/>
          </w:tcPr>
          <w:p w14:paraId="1596F6A9"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29</w:t>
            </w:r>
          </w:p>
        </w:tc>
        <w:tc>
          <w:tcPr>
            <w:tcW w:w="851" w:type="dxa"/>
            <w:vAlign w:val="bottom"/>
          </w:tcPr>
          <w:p w14:paraId="5B817ECB"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2</w:t>
            </w:r>
          </w:p>
        </w:tc>
      </w:tr>
      <w:tr w:rsidR="00FD7B0B" w:rsidRPr="00FD7B0B" w14:paraId="4373D21D" w14:textId="77777777" w:rsidTr="00BE64F6">
        <w:trPr>
          <w:trHeight w:hRule="exact" w:val="255"/>
        </w:trPr>
        <w:tc>
          <w:tcPr>
            <w:tcW w:w="9640" w:type="dxa"/>
            <w:gridSpan w:val="8"/>
            <w:shd w:val="clear" w:color="auto" w:fill="auto"/>
            <w:vAlign w:val="bottom"/>
            <w:hideMark/>
          </w:tcPr>
          <w:p w14:paraId="5E718122" w14:textId="77777777" w:rsidR="005A472F" w:rsidRPr="00FD7B0B" w:rsidRDefault="005A472F" w:rsidP="00BE64F6">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Источники инвестиций в основной капитал,</w:t>
            </w:r>
            <w:r w:rsidRPr="00FD7B0B">
              <w:rPr>
                <w:rFonts w:ascii="Times New Roman" w:eastAsia="Times New Roman" w:hAnsi="Times New Roman" w:cs="Times New Roman"/>
                <w:lang w:eastAsia="ru-RU"/>
              </w:rPr>
              <w:t xml:space="preserve"> в том числе:</w:t>
            </w:r>
          </w:p>
        </w:tc>
      </w:tr>
      <w:tr w:rsidR="00FD7B0B" w:rsidRPr="00FD7B0B" w14:paraId="0C06BE26" w14:textId="77777777" w:rsidTr="00BE64F6">
        <w:trPr>
          <w:trHeight w:hRule="exact" w:val="255"/>
        </w:trPr>
        <w:tc>
          <w:tcPr>
            <w:tcW w:w="3969" w:type="dxa"/>
            <w:shd w:val="clear" w:color="auto" w:fill="auto"/>
            <w:vAlign w:val="bottom"/>
            <w:hideMark/>
          </w:tcPr>
          <w:p w14:paraId="4D50776E" w14:textId="77777777" w:rsidR="005A472F" w:rsidRPr="00FD7B0B" w:rsidRDefault="005A472F" w:rsidP="00BE64F6">
            <w:pPr>
              <w:spacing w:after="0" w:line="240" w:lineRule="auto"/>
              <w:ind w:firstLineChars="144" w:firstLine="31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Собственные средства</w:t>
            </w:r>
          </w:p>
        </w:tc>
        <w:tc>
          <w:tcPr>
            <w:tcW w:w="709" w:type="dxa"/>
            <w:shd w:val="clear" w:color="auto" w:fill="auto"/>
            <w:noWrap/>
            <w:vAlign w:val="bottom"/>
            <w:hideMark/>
          </w:tcPr>
          <w:p w14:paraId="23028916"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74</w:t>
            </w:r>
          </w:p>
        </w:tc>
        <w:tc>
          <w:tcPr>
            <w:tcW w:w="709" w:type="dxa"/>
            <w:shd w:val="clear" w:color="auto" w:fill="auto"/>
            <w:noWrap/>
            <w:vAlign w:val="bottom"/>
            <w:hideMark/>
          </w:tcPr>
          <w:p w14:paraId="3351C777"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84</w:t>
            </w:r>
          </w:p>
        </w:tc>
        <w:tc>
          <w:tcPr>
            <w:tcW w:w="708" w:type="dxa"/>
            <w:shd w:val="clear" w:color="auto" w:fill="auto"/>
            <w:vAlign w:val="bottom"/>
          </w:tcPr>
          <w:p w14:paraId="635DFC17"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79</w:t>
            </w:r>
          </w:p>
        </w:tc>
        <w:tc>
          <w:tcPr>
            <w:tcW w:w="709" w:type="dxa"/>
            <w:shd w:val="clear" w:color="auto" w:fill="auto"/>
            <w:vAlign w:val="bottom"/>
          </w:tcPr>
          <w:p w14:paraId="279CF2B9" w14:textId="6B55FAE9"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72</w:t>
            </w:r>
          </w:p>
        </w:tc>
        <w:tc>
          <w:tcPr>
            <w:tcW w:w="992" w:type="dxa"/>
            <w:shd w:val="clear" w:color="auto" w:fill="auto"/>
            <w:vAlign w:val="bottom"/>
          </w:tcPr>
          <w:p w14:paraId="4B185A0E"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70</w:t>
            </w:r>
          </w:p>
        </w:tc>
        <w:tc>
          <w:tcPr>
            <w:tcW w:w="993" w:type="dxa"/>
            <w:vAlign w:val="bottom"/>
          </w:tcPr>
          <w:p w14:paraId="0043A36E"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56</w:t>
            </w:r>
          </w:p>
        </w:tc>
        <w:tc>
          <w:tcPr>
            <w:tcW w:w="851" w:type="dxa"/>
            <w:vAlign w:val="bottom"/>
          </w:tcPr>
          <w:p w14:paraId="3DE16C5B"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79</w:t>
            </w:r>
          </w:p>
        </w:tc>
      </w:tr>
      <w:tr w:rsidR="00FD7B0B" w:rsidRPr="00FD7B0B" w14:paraId="6E6C2F98" w14:textId="77777777" w:rsidTr="00BE64F6">
        <w:trPr>
          <w:trHeight w:hRule="exact" w:val="255"/>
        </w:trPr>
        <w:tc>
          <w:tcPr>
            <w:tcW w:w="3969" w:type="dxa"/>
            <w:shd w:val="clear" w:color="auto" w:fill="auto"/>
            <w:vAlign w:val="bottom"/>
            <w:hideMark/>
          </w:tcPr>
          <w:p w14:paraId="79B9668F" w14:textId="77777777" w:rsidR="005A472F" w:rsidRPr="00FD7B0B" w:rsidRDefault="005A472F" w:rsidP="00BE64F6">
            <w:pPr>
              <w:spacing w:after="0" w:line="240" w:lineRule="auto"/>
              <w:ind w:firstLineChars="144" w:firstLine="31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Кредитные и заемные средства</w:t>
            </w:r>
          </w:p>
        </w:tc>
        <w:tc>
          <w:tcPr>
            <w:tcW w:w="709" w:type="dxa"/>
            <w:shd w:val="clear" w:color="auto" w:fill="auto"/>
            <w:noWrap/>
            <w:vAlign w:val="bottom"/>
            <w:hideMark/>
          </w:tcPr>
          <w:p w14:paraId="58A062F9"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24</w:t>
            </w:r>
          </w:p>
        </w:tc>
        <w:tc>
          <w:tcPr>
            <w:tcW w:w="709" w:type="dxa"/>
            <w:shd w:val="clear" w:color="auto" w:fill="auto"/>
            <w:noWrap/>
            <w:vAlign w:val="bottom"/>
            <w:hideMark/>
          </w:tcPr>
          <w:p w14:paraId="1C01E15F"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31</w:t>
            </w:r>
          </w:p>
        </w:tc>
        <w:tc>
          <w:tcPr>
            <w:tcW w:w="708" w:type="dxa"/>
            <w:shd w:val="clear" w:color="auto" w:fill="auto"/>
            <w:vAlign w:val="bottom"/>
          </w:tcPr>
          <w:p w14:paraId="0F2FB71B"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33</w:t>
            </w:r>
          </w:p>
        </w:tc>
        <w:tc>
          <w:tcPr>
            <w:tcW w:w="709" w:type="dxa"/>
            <w:shd w:val="clear" w:color="auto" w:fill="auto"/>
            <w:vAlign w:val="bottom"/>
          </w:tcPr>
          <w:p w14:paraId="34904620" w14:textId="59AA7919"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1</w:t>
            </w:r>
            <w:r w:rsidR="005A472F" w:rsidRPr="00FD7B0B">
              <w:rPr>
                <w:rFonts w:ascii="Times New Roman" w:hAnsi="Times New Roman" w:cs="Times New Roman"/>
              </w:rPr>
              <w:t>6</w:t>
            </w:r>
          </w:p>
        </w:tc>
        <w:tc>
          <w:tcPr>
            <w:tcW w:w="992" w:type="dxa"/>
            <w:shd w:val="clear" w:color="auto" w:fill="auto"/>
            <w:vAlign w:val="bottom"/>
          </w:tcPr>
          <w:p w14:paraId="1DDEFFC3"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13</w:t>
            </w:r>
          </w:p>
        </w:tc>
        <w:tc>
          <w:tcPr>
            <w:tcW w:w="993" w:type="dxa"/>
            <w:vAlign w:val="bottom"/>
          </w:tcPr>
          <w:p w14:paraId="0F068FEB"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33</w:t>
            </w:r>
          </w:p>
        </w:tc>
        <w:tc>
          <w:tcPr>
            <w:tcW w:w="851" w:type="dxa"/>
            <w:vAlign w:val="bottom"/>
          </w:tcPr>
          <w:p w14:paraId="09CBE711"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9</w:t>
            </w:r>
          </w:p>
        </w:tc>
      </w:tr>
      <w:tr w:rsidR="00FD7B0B" w:rsidRPr="00FD7B0B" w14:paraId="125A0799" w14:textId="77777777" w:rsidTr="00BE64F6">
        <w:trPr>
          <w:trHeight w:hRule="exact" w:val="255"/>
        </w:trPr>
        <w:tc>
          <w:tcPr>
            <w:tcW w:w="3969" w:type="dxa"/>
            <w:shd w:val="clear" w:color="auto" w:fill="auto"/>
            <w:vAlign w:val="bottom"/>
            <w:hideMark/>
          </w:tcPr>
          <w:p w14:paraId="476AD1CE" w14:textId="77777777" w:rsidR="005A472F" w:rsidRPr="00FD7B0B" w:rsidRDefault="005A472F" w:rsidP="00BE64F6">
            <w:pPr>
              <w:spacing w:after="0" w:line="240" w:lineRule="auto"/>
              <w:ind w:firstLineChars="144" w:firstLine="31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Бюджетные средства</w:t>
            </w:r>
          </w:p>
        </w:tc>
        <w:tc>
          <w:tcPr>
            <w:tcW w:w="709" w:type="dxa"/>
            <w:shd w:val="clear" w:color="auto" w:fill="auto"/>
            <w:noWrap/>
            <w:vAlign w:val="bottom"/>
            <w:hideMark/>
          </w:tcPr>
          <w:p w14:paraId="67FFA1C7"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c>
          <w:tcPr>
            <w:tcW w:w="709" w:type="dxa"/>
            <w:shd w:val="clear" w:color="auto" w:fill="auto"/>
            <w:noWrap/>
            <w:vAlign w:val="bottom"/>
            <w:hideMark/>
          </w:tcPr>
          <w:p w14:paraId="54EE363E"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708" w:type="dxa"/>
            <w:shd w:val="clear" w:color="auto" w:fill="auto"/>
            <w:vAlign w:val="bottom"/>
          </w:tcPr>
          <w:p w14:paraId="51A3D864"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2</w:t>
            </w:r>
          </w:p>
        </w:tc>
        <w:tc>
          <w:tcPr>
            <w:tcW w:w="709" w:type="dxa"/>
            <w:shd w:val="clear" w:color="auto" w:fill="auto"/>
            <w:vAlign w:val="bottom"/>
          </w:tcPr>
          <w:p w14:paraId="15B15570" w14:textId="73456241"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c>
          <w:tcPr>
            <w:tcW w:w="992" w:type="dxa"/>
            <w:shd w:val="clear" w:color="auto" w:fill="auto"/>
            <w:vAlign w:val="bottom"/>
          </w:tcPr>
          <w:p w14:paraId="4F276CBF"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3</w:t>
            </w:r>
          </w:p>
        </w:tc>
        <w:tc>
          <w:tcPr>
            <w:tcW w:w="993" w:type="dxa"/>
            <w:vAlign w:val="bottom"/>
          </w:tcPr>
          <w:p w14:paraId="3683CB08"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1</w:t>
            </w:r>
          </w:p>
        </w:tc>
        <w:tc>
          <w:tcPr>
            <w:tcW w:w="851" w:type="dxa"/>
            <w:vAlign w:val="bottom"/>
          </w:tcPr>
          <w:p w14:paraId="7910BE1B"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w:t>
            </w:r>
          </w:p>
        </w:tc>
      </w:tr>
      <w:tr w:rsidR="00FD7B0B" w:rsidRPr="00FD7B0B" w14:paraId="19D3E210" w14:textId="77777777" w:rsidTr="00BE64F6">
        <w:trPr>
          <w:trHeight w:hRule="exact" w:val="255"/>
        </w:trPr>
        <w:tc>
          <w:tcPr>
            <w:tcW w:w="3969" w:type="dxa"/>
            <w:shd w:val="clear" w:color="auto" w:fill="auto"/>
            <w:vAlign w:val="bottom"/>
            <w:hideMark/>
          </w:tcPr>
          <w:p w14:paraId="22E240BD" w14:textId="77777777" w:rsidR="005A472F" w:rsidRPr="00FD7B0B" w:rsidRDefault="005A472F" w:rsidP="00BE64F6">
            <w:pPr>
              <w:spacing w:after="0" w:line="240" w:lineRule="auto"/>
              <w:ind w:firstLineChars="144" w:firstLine="31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w:t>
            </w:r>
          </w:p>
        </w:tc>
        <w:tc>
          <w:tcPr>
            <w:tcW w:w="709" w:type="dxa"/>
            <w:shd w:val="clear" w:color="auto" w:fill="auto"/>
            <w:noWrap/>
            <w:vAlign w:val="bottom"/>
            <w:hideMark/>
          </w:tcPr>
          <w:p w14:paraId="5CDA696D"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709" w:type="dxa"/>
            <w:shd w:val="clear" w:color="auto" w:fill="auto"/>
            <w:noWrap/>
            <w:vAlign w:val="bottom"/>
            <w:hideMark/>
          </w:tcPr>
          <w:p w14:paraId="420B6179"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c>
          <w:tcPr>
            <w:tcW w:w="708" w:type="dxa"/>
            <w:shd w:val="clear" w:color="auto" w:fill="auto"/>
            <w:vAlign w:val="bottom"/>
          </w:tcPr>
          <w:p w14:paraId="49A747DB" w14:textId="77777777" w:rsidR="005A472F" w:rsidRPr="00FD7B0B" w:rsidRDefault="005A472F"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709" w:type="dxa"/>
            <w:shd w:val="clear" w:color="auto" w:fill="auto"/>
            <w:vAlign w:val="bottom"/>
          </w:tcPr>
          <w:p w14:paraId="317C81CA" w14:textId="274BACF9" w:rsidR="005A472F" w:rsidRPr="00FD7B0B" w:rsidRDefault="00C07CAB" w:rsidP="00BE64F6">
            <w:pPr>
              <w:spacing w:after="0" w:line="240" w:lineRule="auto"/>
              <w:ind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c>
          <w:tcPr>
            <w:tcW w:w="992" w:type="dxa"/>
            <w:shd w:val="clear" w:color="auto" w:fill="auto"/>
            <w:vAlign w:val="bottom"/>
          </w:tcPr>
          <w:p w14:paraId="108BE512"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w:t>
            </w:r>
          </w:p>
        </w:tc>
        <w:tc>
          <w:tcPr>
            <w:tcW w:w="993" w:type="dxa"/>
            <w:vAlign w:val="bottom"/>
          </w:tcPr>
          <w:p w14:paraId="61DFB057"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1</w:t>
            </w:r>
          </w:p>
        </w:tc>
        <w:tc>
          <w:tcPr>
            <w:tcW w:w="851" w:type="dxa"/>
            <w:vAlign w:val="bottom"/>
          </w:tcPr>
          <w:p w14:paraId="5D7CDA69" w14:textId="77777777" w:rsidR="005A472F" w:rsidRPr="00FD7B0B" w:rsidRDefault="005A472F" w:rsidP="00BE64F6">
            <w:pPr>
              <w:spacing w:after="0" w:line="240" w:lineRule="auto"/>
              <w:ind w:firstLineChars="100" w:firstLine="220"/>
              <w:jc w:val="right"/>
              <w:rPr>
                <w:rFonts w:ascii="Times New Roman" w:hAnsi="Times New Roman" w:cs="Times New Roman"/>
              </w:rPr>
            </w:pPr>
            <w:r w:rsidRPr="00FD7B0B">
              <w:rPr>
                <w:rFonts w:ascii="Times New Roman" w:hAnsi="Times New Roman" w:cs="Times New Roman"/>
              </w:rPr>
              <w:t>-</w:t>
            </w:r>
          </w:p>
        </w:tc>
      </w:tr>
    </w:tbl>
    <w:p w14:paraId="70943336" w14:textId="77777777" w:rsidR="005A472F" w:rsidRPr="00FD7B0B" w:rsidRDefault="005A472F" w:rsidP="005A472F">
      <w:pPr>
        <w:pStyle w:val="ad"/>
        <w:ind w:firstLine="709"/>
        <w:jc w:val="both"/>
        <w:rPr>
          <w:rFonts w:ascii="Times New Roman" w:hAnsi="Times New Roman"/>
          <w:sz w:val="28"/>
          <w:szCs w:val="28"/>
        </w:rPr>
      </w:pPr>
    </w:p>
    <w:p w14:paraId="007D8FB0" w14:textId="57A1335E"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соответствии с представленными статистическими данными основными целями инвестирования организаций в основной капитал по ряду лет является: увеличение действующих производственных мощностей, повышение эффективности производства, замена изношенной техники и оборудования, охрана окружающей среды, снижение себестоимости продукции, ч</w:t>
      </w:r>
      <w:r w:rsidR="00003874" w:rsidRPr="00FD7B0B">
        <w:rPr>
          <w:rFonts w:ascii="Times New Roman" w:hAnsi="Times New Roman"/>
          <w:sz w:val="28"/>
          <w:szCs w:val="28"/>
        </w:rPr>
        <w:t>то предусмотрено и в 2025 году.</w:t>
      </w:r>
    </w:p>
    <w:p w14:paraId="6BFE0A28"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Основными источниками инвестиций в основной капитал являются собственные средства предприятий, при этом планируется привлечение иных источников финансирования.</w:t>
      </w:r>
    </w:p>
    <w:p w14:paraId="0BD89BB8" w14:textId="5F64CCEA"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Статистические наблюдения по оценке факторов, ограничивающих инвестиционную деятельность организаций Архангельской области (без НАО) по данным Архангельскоблстата (в форме опроса организаций), отражают риски, которые ограничивают инвестиционную деятельность, что представлено в таблице </w:t>
      </w:r>
      <w:r w:rsidR="003E66BF" w:rsidRPr="00FD7B0B">
        <w:rPr>
          <w:rFonts w:ascii="Times New Roman" w:hAnsi="Times New Roman"/>
          <w:sz w:val="28"/>
          <w:szCs w:val="28"/>
        </w:rPr>
        <w:t>9.</w:t>
      </w:r>
    </w:p>
    <w:p w14:paraId="0FDA922D" w14:textId="77777777" w:rsidR="005A472F" w:rsidRPr="00FD7B0B" w:rsidRDefault="005A472F" w:rsidP="005A472F">
      <w:pPr>
        <w:pStyle w:val="ad"/>
        <w:ind w:firstLine="709"/>
        <w:jc w:val="both"/>
        <w:rPr>
          <w:rFonts w:ascii="Times New Roman" w:hAnsi="Times New Roman"/>
          <w:strike/>
          <w:sz w:val="24"/>
          <w:szCs w:val="24"/>
        </w:rPr>
      </w:pPr>
    </w:p>
    <w:p w14:paraId="39161383" w14:textId="77777777" w:rsidR="003E66BF" w:rsidRPr="00FD7B0B" w:rsidRDefault="003E66BF" w:rsidP="005A472F">
      <w:pPr>
        <w:pStyle w:val="aff0"/>
        <w:spacing w:after="0" w:line="240" w:lineRule="auto"/>
        <w:rPr>
          <w:rFonts w:ascii="Times New Roman" w:hAnsi="Times New Roman"/>
          <w:b w:val="0"/>
          <w:sz w:val="24"/>
          <w:szCs w:val="24"/>
        </w:rPr>
      </w:pPr>
    </w:p>
    <w:p w14:paraId="4F2681E4"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9</w:t>
      </w:r>
      <w:r w:rsidRPr="00FD7B0B">
        <w:rPr>
          <w:rFonts w:ascii="Times New Roman" w:hAnsi="Times New Roman"/>
          <w:b w:val="0"/>
          <w:sz w:val="24"/>
          <w:szCs w:val="24"/>
        </w:rPr>
        <w:fldChar w:fldCharType="end"/>
      </w:r>
      <w:r w:rsidRPr="00FD7B0B">
        <w:rPr>
          <w:rFonts w:ascii="Times New Roman" w:hAnsi="Times New Roman"/>
          <w:b w:val="0"/>
          <w:sz w:val="24"/>
          <w:szCs w:val="24"/>
        </w:rPr>
        <w:t>. Распределение организаций по оценке факторов, ограничивающих инвестиционную деятельность по Архангельской области (без НАО), в % от числа организаций, участвовавших в выборочном обследовании, %</w:t>
      </w:r>
    </w:p>
    <w:tbl>
      <w:tblPr>
        <w:tblW w:w="9680" w:type="dxa"/>
        <w:tblInd w:w="-23" w:type="dxa"/>
        <w:tblLook w:val="04A0" w:firstRow="1" w:lastRow="0" w:firstColumn="1" w:lastColumn="0" w:noHBand="0" w:noVBand="1"/>
      </w:tblPr>
      <w:tblGrid>
        <w:gridCol w:w="6804"/>
        <w:gridCol w:w="960"/>
        <w:gridCol w:w="960"/>
        <w:gridCol w:w="956"/>
      </w:tblGrid>
      <w:tr w:rsidR="00FD7B0B" w:rsidRPr="00FD7B0B" w14:paraId="2CC7095C" w14:textId="77777777" w:rsidTr="00A83DA8">
        <w:trPr>
          <w:trHeight w:val="137"/>
          <w:tblHeader/>
        </w:trPr>
        <w:tc>
          <w:tcPr>
            <w:tcW w:w="6804"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1351F4DA" w14:textId="77777777" w:rsidR="00A83DA8" w:rsidRPr="00FD7B0B" w:rsidRDefault="00A83DA8"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Факторы риска</w:t>
            </w:r>
          </w:p>
        </w:tc>
        <w:tc>
          <w:tcPr>
            <w:tcW w:w="960" w:type="dxa"/>
            <w:tcBorders>
              <w:top w:val="double" w:sz="6" w:space="0" w:color="auto"/>
              <w:left w:val="nil"/>
              <w:bottom w:val="single" w:sz="4" w:space="0" w:color="auto"/>
              <w:right w:val="single" w:sz="4" w:space="0" w:color="auto"/>
            </w:tcBorders>
            <w:shd w:val="clear" w:color="auto" w:fill="auto"/>
            <w:noWrap/>
            <w:vAlign w:val="center"/>
            <w:hideMark/>
          </w:tcPr>
          <w:p w14:paraId="7F556FD8" w14:textId="77777777" w:rsidR="00A83DA8" w:rsidRPr="00FD7B0B" w:rsidRDefault="00A83DA8"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2022 г.</w:t>
            </w:r>
          </w:p>
        </w:tc>
        <w:tc>
          <w:tcPr>
            <w:tcW w:w="960" w:type="dxa"/>
            <w:tcBorders>
              <w:top w:val="double" w:sz="6" w:space="0" w:color="auto"/>
              <w:left w:val="nil"/>
              <w:bottom w:val="single" w:sz="4" w:space="0" w:color="auto"/>
              <w:right w:val="single" w:sz="4" w:space="0" w:color="auto"/>
            </w:tcBorders>
            <w:shd w:val="clear" w:color="auto" w:fill="auto"/>
            <w:noWrap/>
            <w:vAlign w:val="center"/>
            <w:hideMark/>
          </w:tcPr>
          <w:p w14:paraId="0BB0B6C5" w14:textId="77777777" w:rsidR="00A83DA8" w:rsidRPr="00FD7B0B" w:rsidRDefault="00A83DA8"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2023 г.</w:t>
            </w:r>
          </w:p>
        </w:tc>
        <w:tc>
          <w:tcPr>
            <w:tcW w:w="956" w:type="dxa"/>
            <w:tcBorders>
              <w:top w:val="double" w:sz="6" w:space="0" w:color="auto"/>
              <w:left w:val="nil"/>
              <w:bottom w:val="single" w:sz="4" w:space="0" w:color="auto"/>
              <w:right w:val="double" w:sz="6" w:space="0" w:color="auto"/>
            </w:tcBorders>
            <w:shd w:val="clear" w:color="auto" w:fill="auto"/>
            <w:vAlign w:val="center"/>
            <w:hideMark/>
          </w:tcPr>
          <w:p w14:paraId="15605C71" w14:textId="77777777" w:rsidR="00A83DA8" w:rsidRPr="00FD7B0B" w:rsidRDefault="00A83DA8"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г.</w:t>
            </w:r>
          </w:p>
        </w:tc>
      </w:tr>
      <w:tr w:rsidR="00FD7B0B" w:rsidRPr="00FD7B0B" w14:paraId="1B066BCA" w14:textId="77777777" w:rsidTr="00A83DA8">
        <w:trPr>
          <w:trHeight w:val="110"/>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6ABECBA3"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Спрос на продукцию организации</w:t>
            </w:r>
          </w:p>
        </w:tc>
        <w:tc>
          <w:tcPr>
            <w:tcW w:w="960" w:type="dxa"/>
            <w:tcBorders>
              <w:top w:val="nil"/>
              <w:left w:val="nil"/>
              <w:bottom w:val="single" w:sz="4" w:space="0" w:color="auto"/>
              <w:right w:val="single" w:sz="4" w:space="0" w:color="auto"/>
            </w:tcBorders>
            <w:shd w:val="clear" w:color="auto" w:fill="auto"/>
            <w:noWrap/>
            <w:vAlign w:val="bottom"/>
            <w:hideMark/>
          </w:tcPr>
          <w:p w14:paraId="38B56F74"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w:t>
            </w:r>
          </w:p>
        </w:tc>
        <w:tc>
          <w:tcPr>
            <w:tcW w:w="960" w:type="dxa"/>
            <w:tcBorders>
              <w:top w:val="nil"/>
              <w:left w:val="nil"/>
              <w:bottom w:val="single" w:sz="4" w:space="0" w:color="auto"/>
              <w:right w:val="single" w:sz="4" w:space="0" w:color="auto"/>
            </w:tcBorders>
            <w:shd w:val="clear" w:color="auto" w:fill="auto"/>
            <w:noWrap/>
            <w:vAlign w:val="bottom"/>
            <w:hideMark/>
          </w:tcPr>
          <w:p w14:paraId="23818371"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w:t>
            </w:r>
          </w:p>
        </w:tc>
        <w:tc>
          <w:tcPr>
            <w:tcW w:w="956" w:type="dxa"/>
            <w:tcBorders>
              <w:top w:val="nil"/>
              <w:left w:val="nil"/>
              <w:bottom w:val="single" w:sz="4" w:space="0" w:color="auto"/>
              <w:right w:val="double" w:sz="6" w:space="0" w:color="auto"/>
            </w:tcBorders>
            <w:shd w:val="clear" w:color="auto" w:fill="auto"/>
            <w:vAlign w:val="bottom"/>
            <w:hideMark/>
          </w:tcPr>
          <w:p w14:paraId="3A9C58C6"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w:t>
            </w:r>
          </w:p>
        </w:tc>
      </w:tr>
      <w:tr w:rsidR="00FD7B0B" w:rsidRPr="00FD7B0B" w14:paraId="23162C06" w14:textId="77777777" w:rsidTr="00A83DA8">
        <w:trPr>
          <w:trHeight w:val="225"/>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6061DF46"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Объем собственных финансовых средств</w:t>
            </w:r>
          </w:p>
        </w:tc>
        <w:tc>
          <w:tcPr>
            <w:tcW w:w="960" w:type="dxa"/>
            <w:tcBorders>
              <w:top w:val="nil"/>
              <w:left w:val="nil"/>
              <w:bottom w:val="single" w:sz="4" w:space="0" w:color="auto"/>
              <w:right w:val="single" w:sz="4" w:space="0" w:color="auto"/>
            </w:tcBorders>
            <w:shd w:val="clear" w:color="auto" w:fill="auto"/>
            <w:noWrap/>
            <w:vAlign w:val="bottom"/>
            <w:hideMark/>
          </w:tcPr>
          <w:p w14:paraId="299156F9"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71</w:t>
            </w:r>
          </w:p>
        </w:tc>
        <w:tc>
          <w:tcPr>
            <w:tcW w:w="960" w:type="dxa"/>
            <w:tcBorders>
              <w:top w:val="nil"/>
              <w:left w:val="nil"/>
              <w:bottom w:val="single" w:sz="4" w:space="0" w:color="auto"/>
              <w:right w:val="single" w:sz="4" w:space="0" w:color="auto"/>
            </w:tcBorders>
            <w:shd w:val="clear" w:color="auto" w:fill="auto"/>
            <w:noWrap/>
            <w:vAlign w:val="bottom"/>
            <w:hideMark/>
          </w:tcPr>
          <w:p w14:paraId="47C256D6"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72</w:t>
            </w:r>
          </w:p>
        </w:tc>
        <w:tc>
          <w:tcPr>
            <w:tcW w:w="956" w:type="dxa"/>
            <w:tcBorders>
              <w:top w:val="nil"/>
              <w:left w:val="nil"/>
              <w:bottom w:val="single" w:sz="4" w:space="0" w:color="auto"/>
              <w:right w:val="double" w:sz="6" w:space="0" w:color="auto"/>
            </w:tcBorders>
            <w:shd w:val="clear" w:color="auto" w:fill="auto"/>
            <w:vAlign w:val="bottom"/>
            <w:hideMark/>
          </w:tcPr>
          <w:p w14:paraId="058A3B6B"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76</w:t>
            </w:r>
          </w:p>
        </w:tc>
      </w:tr>
      <w:tr w:rsidR="00FD7B0B" w:rsidRPr="00FD7B0B" w14:paraId="232F4704" w14:textId="77777777" w:rsidTr="00A83DA8">
        <w:trPr>
          <w:trHeight w:val="454"/>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24A3A5D8"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Количество квалифицированных работников для использования нового оборудования</w:t>
            </w:r>
          </w:p>
        </w:tc>
        <w:tc>
          <w:tcPr>
            <w:tcW w:w="960" w:type="dxa"/>
            <w:tcBorders>
              <w:top w:val="nil"/>
              <w:left w:val="nil"/>
              <w:bottom w:val="single" w:sz="4" w:space="0" w:color="auto"/>
              <w:right w:val="single" w:sz="4" w:space="0" w:color="auto"/>
            </w:tcBorders>
            <w:shd w:val="clear" w:color="auto" w:fill="auto"/>
            <w:noWrap/>
            <w:vAlign w:val="bottom"/>
            <w:hideMark/>
          </w:tcPr>
          <w:p w14:paraId="5C2613AD"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43</w:t>
            </w:r>
          </w:p>
        </w:tc>
        <w:tc>
          <w:tcPr>
            <w:tcW w:w="960" w:type="dxa"/>
            <w:tcBorders>
              <w:top w:val="nil"/>
              <w:left w:val="nil"/>
              <w:bottom w:val="single" w:sz="4" w:space="0" w:color="auto"/>
              <w:right w:val="single" w:sz="4" w:space="0" w:color="auto"/>
            </w:tcBorders>
            <w:shd w:val="clear" w:color="auto" w:fill="auto"/>
            <w:noWrap/>
            <w:vAlign w:val="bottom"/>
            <w:hideMark/>
          </w:tcPr>
          <w:p w14:paraId="3BCDCC8F"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50</w:t>
            </w:r>
          </w:p>
        </w:tc>
        <w:tc>
          <w:tcPr>
            <w:tcW w:w="956" w:type="dxa"/>
            <w:tcBorders>
              <w:top w:val="nil"/>
              <w:left w:val="nil"/>
              <w:bottom w:val="single" w:sz="4" w:space="0" w:color="auto"/>
              <w:right w:val="double" w:sz="6" w:space="0" w:color="auto"/>
            </w:tcBorders>
            <w:shd w:val="clear" w:color="auto" w:fill="auto"/>
            <w:vAlign w:val="bottom"/>
            <w:hideMark/>
          </w:tcPr>
          <w:p w14:paraId="612D5553"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42</w:t>
            </w:r>
          </w:p>
        </w:tc>
      </w:tr>
      <w:tr w:rsidR="00FD7B0B" w:rsidRPr="00FD7B0B" w14:paraId="279257E4" w14:textId="77777777" w:rsidTr="00A83DA8">
        <w:trPr>
          <w:trHeight w:val="243"/>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67C43393"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Инвестиционные риски</w:t>
            </w:r>
          </w:p>
        </w:tc>
        <w:tc>
          <w:tcPr>
            <w:tcW w:w="960" w:type="dxa"/>
            <w:tcBorders>
              <w:top w:val="nil"/>
              <w:left w:val="nil"/>
              <w:bottom w:val="single" w:sz="4" w:space="0" w:color="auto"/>
              <w:right w:val="single" w:sz="4" w:space="0" w:color="auto"/>
            </w:tcBorders>
            <w:shd w:val="clear" w:color="auto" w:fill="auto"/>
            <w:noWrap/>
            <w:vAlign w:val="bottom"/>
            <w:hideMark/>
          </w:tcPr>
          <w:p w14:paraId="31DD3E38"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76</w:t>
            </w:r>
          </w:p>
        </w:tc>
        <w:tc>
          <w:tcPr>
            <w:tcW w:w="960" w:type="dxa"/>
            <w:tcBorders>
              <w:top w:val="nil"/>
              <w:left w:val="nil"/>
              <w:bottom w:val="single" w:sz="4" w:space="0" w:color="auto"/>
              <w:right w:val="single" w:sz="4" w:space="0" w:color="auto"/>
            </w:tcBorders>
            <w:shd w:val="clear" w:color="auto" w:fill="auto"/>
            <w:noWrap/>
            <w:vAlign w:val="bottom"/>
            <w:hideMark/>
          </w:tcPr>
          <w:p w14:paraId="0FA8C8E8"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70</w:t>
            </w:r>
          </w:p>
        </w:tc>
        <w:tc>
          <w:tcPr>
            <w:tcW w:w="956" w:type="dxa"/>
            <w:tcBorders>
              <w:top w:val="nil"/>
              <w:left w:val="nil"/>
              <w:bottom w:val="single" w:sz="4" w:space="0" w:color="auto"/>
              <w:right w:val="double" w:sz="6" w:space="0" w:color="auto"/>
            </w:tcBorders>
            <w:shd w:val="clear" w:color="auto" w:fill="auto"/>
            <w:vAlign w:val="bottom"/>
            <w:hideMark/>
          </w:tcPr>
          <w:p w14:paraId="59302899"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74</w:t>
            </w:r>
          </w:p>
        </w:tc>
      </w:tr>
      <w:tr w:rsidR="00FD7B0B" w:rsidRPr="00FD7B0B" w14:paraId="66AAA9C7" w14:textId="77777777" w:rsidTr="00A83DA8">
        <w:trPr>
          <w:trHeight w:val="90"/>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3442854B"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Состояние технической базы организации</w:t>
            </w:r>
          </w:p>
        </w:tc>
        <w:tc>
          <w:tcPr>
            <w:tcW w:w="960" w:type="dxa"/>
            <w:tcBorders>
              <w:top w:val="nil"/>
              <w:left w:val="nil"/>
              <w:bottom w:val="single" w:sz="4" w:space="0" w:color="auto"/>
              <w:right w:val="single" w:sz="4" w:space="0" w:color="auto"/>
            </w:tcBorders>
            <w:shd w:val="clear" w:color="auto" w:fill="auto"/>
            <w:noWrap/>
            <w:vAlign w:val="bottom"/>
            <w:hideMark/>
          </w:tcPr>
          <w:p w14:paraId="7D3AAAA3"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23</w:t>
            </w:r>
          </w:p>
        </w:tc>
        <w:tc>
          <w:tcPr>
            <w:tcW w:w="960" w:type="dxa"/>
            <w:tcBorders>
              <w:top w:val="nil"/>
              <w:left w:val="nil"/>
              <w:bottom w:val="single" w:sz="4" w:space="0" w:color="auto"/>
              <w:right w:val="single" w:sz="4" w:space="0" w:color="auto"/>
            </w:tcBorders>
            <w:shd w:val="clear" w:color="auto" w:fill="auto"/>
            <w:noWrap/>
            <w:vAlign w:val="bottom"/>
            <w:hideMark/>
          </w:tcPr>
          <w:p w14:paraId="4EB13449"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26</w:t>
            </w:r>
          </w:p>
        </w:tc>
        <w:tc>
          <w:tcPr>
            <w:tcW w:w="956" w:type="dxa"/>
            <w:tcBorders>
              <w:top w:val="nil"/>
              <w:left w:val="nil"/>
              <w:bottom w:val="single" w:sz="4" w:space="0" w:color="auto"/>
              <w:right w:val="double" w:sz="6" w:space="0" w:color="auto"/>
            </w:tcBorders>
            <w:shd w:val="clear" w:color="auto" w:fill="auto"/>
            <w:vAlign w:val="bottom"/>
            <w:hideMark/>
          </w:tcPr>
          <w:p w14:paraId="7F2FC522"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w:t>
            </w:r>
          </w:p>
        </w:tc>
      </w:tr>
      <w:tr w:rsidR="00FD7B0B" w:rsidRPr="00FD7B0B" w14:paraId="7955B566" w14:textId="77777777" w:rsidTr="00A83DA8">
        <w:trPr>
          <w:trHeight w:val="186"/>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3C401E05"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Прибыльность инвестиций в основной капитал</w:t>
            </w:r>
          </w:p>
        </w:tc>
        <w:tc>
          <w:tcPr>
            <w:tcW w:w="960" w:type="dxa"/>
            <w:tcBorders>
              <w:top w:val="nil"/>
              <w:left w:val="nil"/>
              <w:bottom w:val="single" w:sz="4" w:space="0" w:color="auto"/>
              <w:right w:val="single" w:sz="4" w:space="0" w:color="auto"/>
            </w:tcBorders>
            <w:shd w:val="clear" w:color="auto" w:fill="auto"/>
            <w:noWrap/>
            <w:vAlign w:val="bottom"/>
            <w:hideMark/>
          </w:tcPr>
          <w:p w14:paraId="7F1C0424"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w:t>
            </w:r>
          </w:p>
        </w:tc>
        <w:tc>
          <w:tcPr>
            <w:tcW w:w="960" w:type="dxa"/>
            <w:tcBorders>
              <w:top w:val="nil"/>
              <w:left w:val="nil"/>
              <w:bottom w:val="single" w:sz="4" w:space="0" w:color="auto"/>
              <w:right w:val="single" w:sz="4" w:space="0" w:color="auto"/>
            </w:tcBorders>
            <w:shd w:val="clear" w:color="auto" w:fill="auto"/>
            <w:noWrap/>
            <w:vAlign w:val="bottom"/>
            <w:hideMark/>
          </w:tcPr>
          <w:p w14:paraId="70D7C400"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26</w:t>
            </w:r>
          </w:p>
        </w:tc>
        <w:tc>
          <w:tcPr>
            <w:tcW w:w="956" w:type="dxa"/>
            <w:tcBorders>
              <w:top w:val="nil"/>
              <w:left w:val="nil"/>
              <w:bottom w:val="single" w:sz="4" w:space="0" w:color="auto"/>
              <w:right w:val="double" w:sz="6" w:space="0" w:color="auto"/>
            </w:tcBorders>
            <w:shd w:val="clear" w:color="auto" w:fill="auto"/>
            <w:vAlign w:val="bottom"/>
            <w:hideMark/>
          </w:tcPr>
          <w:p w14:paraId="208715A2"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w:t>
            </w:r>
          </w:p>
        </w:tc>
      </w:tr>
      <w:tr w:rsidR="00FD7B0B" w:rsidRPr="00FD7B0B" w14:paraId="71006E59" w14:textId="77777777" w:rsidTr="00A83DA8">
        <w:trPr>
          <w:trHeight w:val="229"/>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681D0A2E"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Инфляционная политика в стране</w:t>
            </w:r>
          </w:p>
        </w:tc>
        <w:tc>
          <w:tcPr>
            <w:tcW w:w="960" w:type="dxa"/>
            <w:tcBorders>
              <w:top w:val="nil"/>
              <w:left w:val="nil"/>
              <w:bottom w:val="single" w:sz="4" w:space="0" w:color="auto"/>
              <w:right w:val="single" w:sz="4" w:space="0" w:color="auto"/>
            </w:tcBorders>
            <w:shd w:val="clear" w:color="auto" w:fill="auto"/>
            <w:noWrap/>
            <w:vAlign w:val="bottom"/>
            <w:hideMark/>
          </w:tcPr>
          <w:p w14:paraId="74688277"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76</w:t>
            </w:r>
          </w:p>
        </w:tc>
        <w:tc>
          <w:tcPr>
            <w:tcW w:w="960" w:type="dxa"/>
            <w:tcBorders>
              <w:top w:val="nil"/>
              <w:left w:val="nil"/>
              <w:bottom w:val="single" w:sz="4" w:space="0" w:color="auto"/>
              <w:right w:val="single" w:sz="4" w:space="0" w:color="auto"/>
            </w:tcBorders>
            <w:shd w:val="clear" w:color="auto" w:fill="auto"/>
            <w:noWrap/>
            <w:vAlign w:val="bottom"/>
            <w:hideMark/>
          </w:tcPr>
          <w:p w14:paraId="6862059D"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81</w:t>
            </w:r>
          </w:p>
        </w:tc>
        <w:tc>
          <w:tcPr>
            <w:tcW w:w="956" w:type="dxa"/>
            <w:tcBorders>
              <w:top w:val="nil"/>
              <w:left w:val="nil"/>
              <w:bottom w:val="single" w:sz="4" w:space="0" w:color="auto"/>
              <w:right w:val="double" w:sz="6" w:space="0" w:color="auto"/>
            </w:tcBorders>
            <w:shd w:val="clear" w:color="auto" w:fill="auto"/>
            <w:vAlign w:val="bottom"/>
            <w:hideMark/>
          </w:tcPr>
          <w:p w14:paraId="137E57F1"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90</w:t>
            </w:r>
          </w:p>
        </w:tc>
      </w:tr>
      <w:tr w:rsidR="00FD7B0B" w:rsidRPr="00FD7B0B" w14:paraId="4221263F" w14:textId="77777777" w:rsidTr="00A83DA8">
        <w:trPr>
          <w:trHeight w:val="124"/>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38963635"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Процент коммерческого кредита</w:t>
            </w:r>
          </w:p>
        </w:tc>
        <w:tc>
          <w:tcPr>
            <w:tcW w:w="960" w:type="dxa"/>
            <w:tcBorders>
              <w:top w:val="nil"/>
              <w:left w:val="nil"/>
              <w:bottom w:val="single" w:sz="4" w:space="0" w:color="auto"/>
              <w:right w:val="single" w:sz="4" w:space="0" w:color="auto"/>
            </w:tcBorders>
            <w:shd w:val="clear" w:color="auto" w:fill="auto"/>
            <w:noWrap/>
            <w:vAlign w:val="bottom"/>
            <w:hideMark/>
          </w:tcPr>
          <w:p w14:paraId="7543CFBD"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65</w:t>
            </w:r>
          </w:p>
        </w:tc>
        <w:tc>
          <w:tcPr>
            <w:tcW w:w="960" w:type="dxa"/>
            <w:tcBorders>
              <w:top w:val="nil"/>
              <w:left w:val="nil"/>
              <w:bottom w:val="single" w:sz="4" w:space="0" w:color="auto"/>
              <w:right w:val="single" w:sz="4" w:space="0" w:color="auto"/>
            </w:tcBorders>
            <w:shd w:val="clear" w:color="auto" w:fill="auto"/>
            <w:noWrap/>
            <w:vAlign w:val="bottom"/>
            <w:hideMark/>
          </w:tcPr>
          <w:p w14:paraId="458585CA"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72</w:t>
            </w:r>
          </w:p>
        </w:tc>
        <w:tc>
          <w:tcPr>
            <w:tcW w:w="956" w:type="dxa"/>
            <w:tcBorders>
              <w:top w:val="nil"/>
              <w:left w:val="nil"/>
              <w:bottom w:val="single" w:sz="4" w:space="0" w:color="auto"/>
              <w:right w:val="double" w:sz="6" w:space="0" w:color="auto"/>
            </w:tcBorders>
            <w:shd w:val="clear" w:color="auto" w:fill="auto"/>
            <w:vAlign w:val="bottom"/>
            <w:hideMark/>
          </w:tcPr>
          <w:p w14:paraId="2E6A613D"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59</w:t>
            </w:r>
          </w:p>
        </w:tc>
      </w:tr>
      <w:tr w:rsidR="00FD7B0B" w:rsidRPr="00FD7B0B" w14:paraId="533538E8" w14:textId="77777777" w:rsidTr="00A83DA8">
        <w:trPr>
          <w:trHeight w:val="406"/>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0CC50480"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Механизм получения кредитов для реализации инвестиционной деятельности</w:t>
            </w:r>
          </w:p>
        </w:tc>
        <w:tc>
          <w:tcPr>
            <w:tcW w:w="960" w:type="dxa"/>
            <w:tcBorders>
              <w:top w:val="nil"/>
              <w:left w:val="nil"/>
              <w:bottom w:val="single" w:sz="4" w:space="0" w:color="auto"/>
              <w:right w:val="single" w:sz="4" w:space="0" w:color="auto"/>
            </w:tcBorders>
            <w:shd w:val="clear" w:color="auto" w:fill="auto"/>
            <w:noWrap/>
            <w:vAlign w:val="bottom"/>
            <w:hideMark/>
          </w:tcPr>
          <w:p w14:paraId="30297090"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58</w:t>
            </w:r>
          </w:p>
        </w:tc>
        <w:tc>
          <w:tcPr>
            <w:tcW w:w="960" w:type="dxa"/>
            <w:tcBorders>
              <w:top w:val="nil"/>
              <w:left w:val="nil"/>
              <w:bottom w:val="single" w:sz="4" w:space="0" w:color="auto"/>
              <w:right w:val="single" w:sz="4" w:space="0" w:color="auto"/>
            </w:tcBorders>
            <w:shd w:val="clear" w:color="auto" w:fill="auto"/>
            <w:noWrap/>
            <w:vAlign w:val="bottom"/>
            <w:hideMark/>
          </w:tcPr>
          <w:p w14:paraId="40D00ECB"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66</w:t>
            </w:r>
          </w:p>
        </w:tc>
        <w:tc>
          <w:tcPr>
            <w:tcW w:w="956" w:type="dxa"/>
            <w:tcBorders>
              <w:top w:val="nil"/>
              <w:left w:val="nil"/>
              <w:bottom w:val="single" w:sz="4" w:space="0" w:color="auto"/>
              <w:right w:val="double" w:sz="6" w:space="0" w:color="auto"/>
            </w:tcBorders>
            <w:shd w:val="clear" w:color="auto" w:fill="auto"/>
            <w:vAlign w:val="bottom"/>
            <w:hideMark/>
          </w:tcPr>
          <w:p w14:paraId="08D44A5B"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77</w:t>
            </w:r>
          </w:p>
        </w:tc>
      </w:tr>
      <w:tr w:rsidR="00FD7B0B" w:rsidRPr="00FD7B0B" w14:paraId="49DAC876" w14:textId="77777777" w:rsidTr="00A83DA8">
        <w:trPr>
          <w:trHeight w:val="76"/>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3BD510CC"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Существующий налоговый режим для инвестиционной деятельности</w:t>
            </w:r>
          </w:p>
        </w:tc>
        <w:tc>
          <w:tcPr>
            <w:tcW w:w="960" w:type="dxa"/>
            <w:tcBorders>
              <w:top w:val="nil"/>
              <w:left w:val="nil"/>
              <w:bottom w:val="single" w:sz="4" w:space="0" w:color="auto"/>
              <w:right w:val="single" w:sz="4" w:space="0" w:color="auto"/>
            </w:tcBorders>
            <w:shd w:val="clear" w:color="auto" w:fill="auto"/>
            <w:noWrap/>
            <w:vAlign w:val="bottom"/>
            <w:hideMark/>
          </w:tcPr>
          <w:p w14:paraId="474ACA77"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52</w:t>
            </w:r>
          </w:p>
        </w:tc>
        <w:tc>
          <w:tcPr>
            <w:tcW w:w="960" w:type="dxa"/>
            <w:tcBorders>
              <w:top w:val="nil"/>
              <w:left w:val="nil"/>
              <w:bottom w:val="single" w:sz="4" w:space="0" w:color="auto"/>
              <w:right w:val="single" w:sz="4" w:space="0" w:color="auto"/>
            </w:tcBorders>
            <w:shd w:val="clear" w:color="auto" w:fill="auto"/>
            <w:noWrap/>
            <w:vAlign w:val="bottom"/>
            <w:hideMark/>
          </w:tcPr>
          <w:p w14:paraId="1B46163E"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53</w:t>
            </w:r>
          </w:p>
        </w:tc>
        <w:tc>
          <w:tcPr>
            <w:tcW w:w="956" w:type="dxa"/>
            <w:tcBorders>
              <w:top w:val="nil"/>
              <w:left w:val="nil"/>
              <w:bottom w:val="single" w:sz="4" w:space="0" w:color="auto"/>
              <w:right w:val="double" w:sz="6" w:space="0" w:color="auto"/>
            </w:tcBorders>
            <w:shd w:val="clear" w:color="auto" w:fill="auto"/>
            <w:vAlign w:val="bottom"/>
            <w:hideMark/>
          </w:tcPr>
          <w:p w14:paraId="6AD00849"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38</w:t>
            </w:r>
          </w:p>
        </w:tc>
      </w:tr>
      <w:tr w:rsidR="00FD7B0B" w:rsidRPr="00FD7B0B" w14:paraId="4524F794" w14:textId="77777777" w:rsidTr="00A83DA8">
        <w:trPr>
          <w:trHeight w:val="155"/>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69493F17"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Доступ к внешним рынкам</w:t>
            </w:r>
          </w:p>
        </w:tc>
        <w:tc>
          <w:tcPr>
            <w:tcW w:w="960" w:type="dxa"/>
            <w:tcBorders>
              <w:top w:val="nil"/>
              <w:left w:val="nil"/>
              <w:bottom w:val="single" w:sz="4" w:space="0" w:color="auto"/>
              <w:right w:val="single" w:sz="4" w:space="0" w:color="auto"/>
            </w:tcBorders>
            <w:shd w:val="clear" w:color="auto" w:fill="auto"/>
            <w:noWrap/>
            <w:vAlign w:val="bottom"/>
            <w:hideMark/>
          </w:tcPr>
          <w:p w14:paraId="2D13BE11"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w:t>
            </w:r>
          </w:p>
        </w:tc>
        <w:tc>
          <w:tcPr>
            <w:tcW w:w="960" w:type="dxa"/>
            <w:tcBorders>
              <w:top w:val="nil"/>
              <w:left w:val="nil"/>
              <w:bottom w:val="single" w:sz="4" w:space="0" w:color="auto"/>
              <w:right w:val="single" w:sz="4" w:space="0" w:color="auto"/>
            </w:tcBorders>
            <w:shd w:val="clear" w:color="auto" w:fill="auto"/>
            <w:noWrap/>
            <w:vAlign w:val="bottom"/>
            <w:hideMark/>
          </w:tcPr>
          <w:p w14:paraId="696F6C50"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49</w:t>
            </w:r>
          </w:p>
        </w:tc>
        <w:tc>
          <w:tcPr>
            <w:tcW w:w="956" w:type="dxa"/>
            <w:tcBorders>
              <w:top w:val="nil"/>
              <w:left w:val="nil"/>
              <w:bottom w:val="single" w:sz="4" w:space="0" w:color="auto"/>
              <w:right w:val="double" w:sz="6" w:space="0" w:color="auto"/>
            </w:tcBorders>
            <w:shd w:val="clear" w:color="auto" w:fill="auto"/>
            <w:vAlign w:val="bottom"/>
            <w:hideMark/>
          </w:tcPr>
          <w:p w14:paraId="729B269B"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58</w:t>
            </w:r>
          </w:p>
        </w:tc>
      </w:tr>
      <w:tr w:rsidR="00FD7B0B" w:rsidRPr="00FD7B0B" w14:paraId="675864AF" w14:textId="77777777" w:rsidTr="00A83DA8">
        <w:trPr>
          <w:trHeight w:val="300"/>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363AB891"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Колебания цен на мировом рынке энергоносителей</w:t>
            </w:r>
          </w:p>
        </w:tc>
        <w:tc>
          <w:tcPr>
            <w:tcW w:w="960" w:type="dxa"/>
            <w:tcBorders>
              <w:top w:val="nil"/>
              <w:left w:val="nil"/>
              <w:bottom w:val="single" w:sz="4" w:space="0" w:color="auto"/>
              <w:right w:val="single" w:sz="4" w:space="0" w:color="auto"/>
            </w:tcBorders>
            <w:shd w:val="clear" w:color="auto" w:fill="auto"/>
            <w:noWrap/>
            <w:vAlign w:val="bottom"/>
            <w:hideMark/>
          </w:tcPr>
          <w:p w14:paraId="3D2B2575"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36</w:t>
            </w:r>
          </w:p>
        </w:tc>
        <w:tc>
          <w:tcPr>
            <w:tcW w:w="960" w:type="dxa"/>
            <w:tcBorders>
              <w:top w:val="nil"/>
              <w:left w:val="nil"/>
              <w:bottom w:val="single" w:sz="4" w:space="0" w:color="auto"/>
              <w:right w:val="single" w:sz="4" w:space="0" w:color="auto"/>
            </w:tcBorders>
            <w:shd w:val="clear" w:color="auto" w:fill="auto"/>
            <w:noWrap/>
            <w:vAlign w:val="bottom"/>
            <w:hideMark/>
          </w:tcPr>
          <w:p w14:paraId="3B48D0CC"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57</w:t>
            </w:r>
          </w:p>
        </w:tc>
        <w:tc>
          <w:tcPr>
            <w:tcW w:w="956" w:type="dxa"/>
            <w:tcBorders>
              <w:top w:val="nil"/>
              <w:left w:val="nil"/>
              <w:bottom w:val="single" w:sz="4" w:space="0" w:color="auto"/>
              <w:right w:val="double" w:sz="6" w:space="0" w:color="auto"/>
            </w:tcBorders>
            <w:shd w:val="clear" w:color="auto" w:fill="auto"/>
            <w:vAlign w:val="bottom"/>
            <w:hideMark/>
          </w:tcPr>
          <w:p w14:paraId="737EED09"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67</w:t>
            </w:r>
          </w:p>
        </w:tc>
      </w:tr>
      <w:tr w:rsidR="00FD7B0B" w:rsidRPr="00FD7B0B" w14:paraId="097DC48C" w14:textId="77777777" w:rsidTr="00A83DA8">
        <w:trPr>
          <w:trHeight w:val="149"/>
        </w:trPr>
        <w:tc>
          <w:tcPr>
            <w:tcW w:w="680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14:paraId="451B7580"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Экономическая ситуация:</w:t>
            </w:r>
          </w:p>
        </w:tc>
        <w:tc>
          <w:tcPr>
            <w:tcW w:w="192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27A738EC" w14:textId="77777777" w:rsidR="00A83DA8" w:rsidRPr="00FD7B0B" w:rsidRDefault="00A83DA8" w:rsidP="00A83DA8">
            <w:pPr>
              <w:spacing w:after="0" w:line="240" w:lineRule="auto"/>
              <w:rPr>
                <w:rFonts w:ascii="Times New Roman" w:eastAsia="Times New Roman" w:hAnsi="Times New Roman" w:cs="Times New Roman"/>
                <w:lang w:eastAsia="ru-RU"/>
              </w:rPr>
            </w:pPr>
          </w:p>
        </w:tc>
        <w:tc>
          <w:tcPr>
            <w:tcW w:w="956" w:type="dxa"/>
            <w:tcBorders>
              <w:top w:val="nil"/>
              <w:left w:val="nil"/>
              <w:bottom w:val="single" w:sz="4" w:space="0" w:color="auto"/>
              <w:right w:val="double" w:sz="6" w:space="0" w:color="auto"/>
            </w:tcBorders>
            <w:shd w:val="clear" w:color="auto" w:fill="auto"/>
            <w:vAlign w:val="bottom"/>
            <w:hideMark/>
          </w:tcPr>
          <w:p w14:paraId="497786DE" w14:textId="4AE0A859"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w:t>
            </w:r>
          </w:p>
        </w:tc>
      </w:tr>
      <w:tr w:rsidR="00FD7B0B" w:rsidRPr="00FD7B0B" w14:paraId="60CFE93E" w14:textId="77777777" w:rsidTr="00A83DA8">
        <w:trPr>
          <w:trHeight w:val="138"/>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38E9F6CB" w14:textId="77777777" w:rsidR="00A83DA8" w:rsidRPr="00FD7B0B" w:rsidRDefault="00A83DA8" w:rsidP="00BE64F6">
            <w:pPr>
              <w:spacing w:after="0" w:line="240" w:lineRule="auto"/>
              <w:ind w:firstLineChars="100" w:firstLine="220"/>
              <w:rPr>
                <w:rFonts w:ascii="Times New Roman" w:eastAsia="Times New Roman" w:hAnsi="Times New Roman" w:cs="Times New Roman"/>
                <w:i/>
                <w:lang w:eastAsia="ru-RU"/>
              </w:rPr>
            </w:pPr>
            <w:r w:rsidRPr="00FD7B0B">
              <w:rPr>
                <w:rFonts w:ascii="Times New Roman" w:eastAsia="Times New Roman" w:hAnsi="Times New Roman" w:cs="Times New Roman"/>
                <w:i/>
                <w:lang w:eastAsia="ru-RU"/>
              </w:rPr>
              <w:t>внутренняя (в стране)</w:t>
            </w:r>
          </w:p>
        </w:tc>
        <w:tc>
          <w:tcPr>
            <w:tcW w:w="960" w:type="dxa"/>
            <w:tcBorders>
              <w:top w:val="nil"/>
              <w:left w:val="nil"/>
              <w:bottom w:val="single" w:sz="4" w:space="0" w:color="auto"/>
              <w:right w:val="single" w:sz="4" w:space="0" w:color="auto"/>
            </w:tcBorders>
            <w:shd w:val="clear" w:color="auto" w:fill="auto"/>
            <w:noWrap/>
            <w:vAlign w:val="bottom"/>
            <w:hideMark/>
          </w:tcPr>
          <w:p w14:paraId="44D55EA3"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60</w:t>
            </w:r>
          </w:p>
        </w:tc>
        <w:tc>
          <w:tcPr>
            <w:tcW w:w="960" w:type="dxa"/>
            <w:tcBorders>
              <w:top w:val="nil"/>
              <w:left w:val="nil"/>
              <w:bottom w:val="single" w:sz="4" w:space="0" w:color="auto"/>
              <w:right w:val="single" w:sz="4" w:space="0" w:color="auto"/>
            </w:tcBorders>
            <w:shd w:val="clear" w:color="auto" w:fill="auto"/>
            <w:noWrap/>
            <w:vAlign w:val="bottom"/>
            <w:hideMark/>
          </w:tcPr>
          <w:p w14:paraId="489C73A6"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78</w:t>
            </w:r>
          </w:p>
        </w:tc>
        <w:tc>
          <w:tcPr>
            <w:tcW w:w="956" w:type="dxa"/>
            <w:tcBorders>
              <w:top w:val="nil"/>
              <w:left w:val="nil"/>
              <w:bottom w:val="single" w:sz="4" w:space="0" w:color="auto"/>
              <w:right w:val="double" w:sz="6" w:space="0" w:color="auto"/>
            </w:tcBorders>
            <w:shd w:val="clear" w:color="auto" w:fill="auto"/>
            <w:vAlign w:val="bottom"/>
            <w:hideMark/>
          </w:tcPr>
          <w:p w14:paraId="350D7861"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87</w:t>
            </w:r>
          </w:p>
        </w:tc>
      </w:tr>
      <w:tr w:rsidR="00FD7B0B" w:rsidRPr="00FD7B0B" w14:paraId="6EE82E58" w14:textId="77777777" w:rsidTr="00A83DA8">
        <w:trPr>
          <w:trHeight w:val="64"/>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2333DEB8" w14:textId="77777777" w:rsidR="00A83DA8" w:rsidRPr="00FD7B0B" w:rsidRDefault="00A83DA8" w:rsidP="00BE64F6">
            <w:pPr>
              <w:spacing w:after="0" w:line="240" w:lineRule="auto"/>
              <w:ind w:firstLineChars="100" w:firstLine="220"/>
              <w:rPr>
                <w:rFonts w:ascii="Times New Roman" w:eastAsia="Times New Roman" w:hAnsi="Times New Roman" w:cs="Times New Roman"/>
                <w:i/>
                <w:lang w:eastAsia="ru-RU"/>
              </w:rPr>
            </w:pPr>
            <w:r w:rsidRPr="00FD7B0B">
              <w:rPr>
                <w:rFonts w:ascii="Times New Roman" w:eastAsia="Times New Roman" w:hAnsi="Times New Roman" w:cs="Times New Roman"/>
                <w:i/>
                <w:lang w:eastAsia="ru-RU"/>
              </w:rPr>
              <w:t>внешняя (на мировых рынках)</w:t>
            </w:r>
          </w:p>
        </w:tc>
        <w:tc>
          <w:tcPr>
            <w:tcW w:w="960" w:type="dxa"/>
            <w:tcBorders>
              <w:top w:val="nil"/>
              <w:left w:val="nil"/>
              <w:bottom w:val="single" w:sz="4" w:space="0" w:color="auto"/>
              <w:right w:val="single" w:sz="4" w:space="0" w:color="auto"/>
            </w:tcBorders>
            <w:shd w:val="clear" w:color="auto" w:fill="auto"/>
            <w:noWrap/>
            <w:vAlign w:val="bottom"/>
            <w:hideMark/>
          </w:tcPr>
          <w:p w14:paraId="7B1D1C34"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65</w:t>
            </w:r>
          </w:p>
        </w:tc>
        <w:tc>
          <w:tcPr>
            <w:tcW w:w="960" w:type="dxa"/>
            <w:tcBorders>
              <w:top w:val="nil"/>
              <w:left w:val="nil"/>
              <w:bottom w:val="single" w:sz="4" w:space="0" w:color="auto"/>
              <w:right w:val="single" w:sz="4" w:space="0" w:color="auto"/>
            </w:tcBorders>
            <w:shd w:val="clear" w:color="auto" w:fill="auto"/>
            <w:noWrap/>
            <w:vAlign w:val="bottom"/>
            <w:hideMark/>
          </w:tcPr>
          <w:p w14:paraId="26CFE2CA"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58</w:t>
            </w:r>
          </w:p>
        </w:tc>
        <w:tc>
          <w:tcPr>
            <w:tcW w:w="956" w:type="dxa"/>
            <w:tcBorders>
              <w:top w:val="nil"/>
              <w:left w:val="nil"/>
              <w:bottom w:val="single" w:sz="4" w:space="0" w:color="auto"/>
              <w:right w:val="double" w:sz="6" w:space="0" w:color="auto"/>
            </w:tcBorders>
            <w:shd w:val="clear" w:color="auto" w:fill="auto"/>
            <w:vAlign w:val="bottom"/>
            <w:hideMark/>
          </w:tcPr>
          <w:p w14:paraId="103C2871"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47</w:t>
            </w:r>
          </w:p>
        </w:tc>
      </w:tr>
      <w:tr w:rsidR="00FD7B0B" w:rsidRPr="00FD7B0B" w14:paraId="2567735B" w14:textId="77777777" w:rsidTr="00A83DA8">
        <w:trPr>
          <w:trHeight w:val="301"/>
        </w:trPr>
        <w:tc>
          <w:tcPr>
            <w:tcW w:w="6804" w:type="dxa"/>
            <w:tcBorders>
              <w:top w:val="nil"/>
              <w:left w:val="double" w:sz="6" w:space="0" w:color="auto"/>
              <w:bottom w:val="single" w:sz="4" w:space="0" w:color="auto"/>
              <w:right w:val="single" w:sz="4" w:space="0" w:color="auto"/>
            </w:tcBorders>
            <w:shd w:val="clear" w:color="auto" w:fill="auto"/>
            <w:vAlign w:val="bottom"/>
            <w:hideMark/>
          </w:tcPr>
          <w:p w14:paraId="5C46E81E"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Нормативно-правовая база, регулирующая инвестиционные процессы</w:t>
            </w:r>
          </w:p>
        </w:tc>
        <w:tc>
          <w:tcPr>
            <w:tcW w:w="960" w:type="dxa"/>
            <w:tcBorders>
              <w:top w:val="nil"/>
              <w:left w:val="nil"/>
              <w:bottom w:val="single" w:sz="4" w:space="0" w:color="auto"/>
              <w:right w:val="single" w:sz="4" w:space="0" w:color="auto"/>
            </w:tcBorders>
            <w:shd w:val="clear" w:color="auto" w:fill="auto"/>
            <w:noWrap/>
            <w:vAlign w:val="bottom"/>
            <w:hideMark/>
          </w:tcPr>
          <w:p w14:paraId="11ACA9A0"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58</w:t>
            </w:r>
          </w:p>
        </w:tc>
        <w:tc>
          <w:tcPr>
            <w:tcW w:w="960" w:type="dxa"/>
            <w:tcBorders>
              <w:top w:val="nil"/>
              <w:left w:val="nil"/>
              <w:bottom w:val="single" w:sz="4" w:space="0" w:color="auto"/>
              <w:right w:val="single" w:sz="4" w:space="0" w:color="auto"/>
            </w:tcBorders>
            <w:shd w:val="clear" w:color="auto" w:fill="auto"/>
            <w:noWrap/>
            <w:vAlign w:val="bottom"/>
            <w:hideMark/>
          </w:tcPr>
          <w:p w14:paraId="27F41C7E"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64</w:t>
            </w:r>
          </w:p>
        </w:tc>
        <w:tc>
          <w:tcPr>
            <w:tcW w:w="956" w:type="dxa"/>
            <w:tcBorders>
              <w:top w:val="nil"/>
              <w:left w:val="nil"/>
              <w:bottom w:val="single" w:sz="4" w:space="0" w:color="auto"/>
              <w:right w:val="double" w:sz="6" w:space="0" w:color="auto"/>
            </w:tcBorders>
            <w:shd w:val="clear" w:color="auto" w:fill="auto"/>
            <w:vAlign w:val="bottom"/>
            <w:hideMark/>
          </w:tcPr>
          <w:p w14:paraId="5AF5DE8B"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74</w:t>
            </w:r>
          </w:p>
        </w:tc>
      </w:tr>
      <w:tr w:rsidR="00FD7B0B" w:rsidRPr="00FD7B0B" w14:paraId="2962E908" w14:textId="77777777" w:rsidTr="00A83DA8">
        <w:trPr>
          <w:trHeight w:val="81"/>
        </w:trPr>
        <w:tc>
          <w:tcPr>
            <w:tcW w:w="6804" w:type="dxa"/>
            <w:tcBorders>
              <w:top w:val="nil"/>
              <w:left w:val="double" w:sz="6" w:space="0" w:color="auto"/>
              <w:bottom w:val="double" w:sz="6" w:space="0" w:color="auto"/>
              <w:right w:val="single" w:sz="4" w:space="0" w:color="auto"/>
            </w:tcBorders>
            <w:shd w:val="clear" w:color="auto" w:fill="auto"/>
            <w:noWrap/>
            <w:vAlign w:val="bottom"/>
            <w:hideMark/>
          </w:tcPr>
          <w:p w14:paraId="0CC14360" w14:textId="77777777" w:rsidR="00A83DA8" w:rsidRPr="00FD7B0B" w:rsidRDefault="00A83DA8"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Параметры курсовой политики в стране</w:t>
            </w:r>
          </w:p>
        </w:tc>
        <w:tc>
          <w:tcPr>
            <w:tcW w:w="960" w:type="dxa"/>
            <w:tcBorders>
              <w:top w:val="nil"/>
              <w:left w:val="nil"/>
              <w:bottom w:val="double" w:sz="6" w:space="0" w:color="auto"/>
              <w:right w:val="single" w:sz="4" w:space="0" w:color="auto"/>
            </w:tcBorders>
            <w:shd w:val="clear" w:color="auto" w:fill="auto"/>
            <w:noWrap/>
            <w:vAlign w:val="bottom"/>
            <w:hideMark/>
          </w:tcPr>
          <w:p w14:paraId="3A7B0DD3"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68</w:t>
            </w:r>
          </w:p>
        </w:tc>
        <w:tc>
          <w:tcPr>
            <w:tcW w:w="960" w:type="dxa"/>
            <w:tcBorders>
              <w:top w:val="nil"/>
              <w:left w:val="nil"/>
              <w:bottom w:val="double" w:sz="6" w:space="0" w:color="auto"/>
              <w:right w:val="single" w:sz="4" w:space="0" w:color="auto"/>
            </w:tcBorders>
            <w:shd w:val="clear" w:color="auto" w:fill="auto"/>
            <w:noWrap/>
            <w:vAlign w:val="bottom"/>
            <w:hideMark/>
          </w:tcPr>
          <w:p w14:paraId="1DCE23A2"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73</w:t>
            </w:r>
          </w:p>
        </w:tc>
        <w:tc>
          <w:tcPr>
            <w:tcW w:w="956" w:type="dxa"/>
            <w:tcBorders>
              <w:top w:val="nil"/>
              <w:left w:val="nil"/>
              <w:bottom w:val="double" w:sz="6" w:space="0" w:color="auto"/>
              <w:right w:val="double" w:sz="6" w:space="0" w:color="auto"/>
            </w:tcBorders>
            <w:shd w:val="clear" w:color="auto" w:fill="auto"/>
            <w:vAlign w:val="bottom"/>
            <w:hideMark/>
          </w:tcPr>
          <w:p w14:paraId="0839B860" w14:textId="77777777" w:rsidR="00A83DA8" w:rsidRPr="00FD7B0B" w:rsidRDefault="00A83DA8" w:rsidP="00BE64F6">
            <w:pPr>
              <w:spacing w:after="0" w:line="240" w:lineRule="auto"/>
              <w:ind w:firstLineChars="200" w:firstLine="44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78</w:t>
            </w:r>
          </w:p>
        </w:tc>
      </w:tr>
    </w:tbl>
    <w:p w14:paraId="5292AD8C" w14:textId="77777777" w:rsidR="005A472F" w:rsidRPr="00FD7B0B" w:rsidRDefault="005A472F" w:rsidP="005A472F">
      <w:pPr>
        <w:pStyle w:val="ad"/>
        <w:ind w:firstLine="709"/>
        <w:jc w:val="both"/>
        <w:rPr>
          <w:rFonts w:ascii="Times New Roman" w:hAnsi="Times New Roman"/>
          <w:sz w:val="28"/>
          <w:szCs w:val="28"/>
        </w:rPr>
      </w:pPr>
    </w:p>
    <w:p w14:paraId="6018C54D"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соответствии с представленными статистическими данными значительными рисками в инвестиционной деятельности организаций по ряду лет являются такие факторы, как: недостаток собственных финансовых средств, инфляционная политика в стране, механизм получения кредитов для реализации инвестиционной деятельности, нестабильная экономическая ситуация в стране, параметры валютной политики страны.</w:t>
      </w:r>
    </w:p>
    <w:p w14:paraId="3155F4F6" w14:textId="11062F9A"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настоящее время в Архангельской области продолжается реализация шести приоритетных инвестиционных проектов, включенных в Реестр ПИП (со сроками реализации – 2020</w:t>
      </w:r>
      <w:r w:rsidR="002B14E6" w:rsidRPr="00FD7B0B">
        <w:rPr>
          <w:rFonts w:ascii="Times New Roman" w:hAnsi="Times New Roman"/>
          <w:sz w:val="28"/>
          <w:szCs w:val="28"/>
        </w:rPr>
        <w:t xml:space="preserve"> – </w:t>
      </w:r>
      <w:r w:rsidRPr="00FD7B0B">
        <w:rPr>
          <w:rFonts w:ascii="Times New Roman" w:hAnsi="Times New Roman"/>
          <w:sz w:val="28"/>
          <w:szCs w:val="28"/>
        </w:rPr>
        <w:t>2048 годы), и общим объемом инвестиций 126 906,</w:t>
      </w:r>
      <w:r w:rsidR="00A144E5" w:rsidRPr="00FD7B0B">
        <w:rPr>
          <w:rFonts w:ascii="Times New Roman" w:hAnsi="Times New Roman"/>
          <w:sz w:val="28"/>
          <w:szCs w:val="28"/>
        </w:rPr>
        <w:t>607</w:t>
      </w:r>
      <w:r w:rsidRPr="00FD7B0B">
        <w:rPr>
          <w:rFonts w:ascii="Times New Roman" w:hAnsi="Times New Roman"/>
          <w:sz w:val="28"/>
          <w:szCs w:val="28"/>
        </w:rPr>
        <w:t xml:space="preserve"> млн.руб., из них: два проекта по добыче и обогащению полезных ископаемых – 108 900,0 млн.руб.; один в рыболовстве (строительство и приобретение рыболовных судов) – 17 155,5 млн.руб.; два в строительстве – 685,0 млн.руб., один в туристическом бизнесе и в сфере предоставления гостиничных услуг – 166,107 млн.руб.</w:t>
      </w:r>
    </w:p>
    <w:p w14:paraId="6FE4DF61" w14:textId="77777777" w:rsidR="005A472F" w:rsidRPr="00FD7B0B" w:rsidRDefault="005A472F" w:rsidP="005A472F">
      <w:pPr>
        <w:pStyle w:val="ad"/>
        <w:ind w:firstLine="709"/>
        <w:jc w:val="both"/>
        <w:rPr>
          <w:rFonts w:ascii="Times New Roman" w:hAnsi="Times New Roman"/>
          <w:sz w:val="28"/>
          <w:szCs w:val="28"/>
        </w:rPr>
      </w:pPr>
      <w:bookmarkStart w:id="20" w:name="_Toc451785026"/>
      <w:bookmarkStart w:id="21" w:name="_Toc515024201"/>
      <w:bookmarkStart w:id="22" w:name="_Toc9262554"/>
      <w:bookmarkStart w:id="23" w:name="_Toc42006704"/>
      <w:bookmarkStart w:id="24" w:name="_Toc72822957"/>
      <w:bookmarkStart w:id="25" w:name="_Toc104284465"/>
      <w:bookmarkStart w:id="26" w:name="_Toc135659988"/>
      <w:r w:rsidRPr="00FD7B0B">
        <w:rPr>
          <w:rFonts w:ascii="Times New Roman" w:hAnsi="Times New Roman"/>
          <w:sz w:val="28"/>
          <w:szCs w:val="28"/>
        </w:rPr>
        <w:t xml:space="preserve">По итогам оценки инвестиционной привлекательности Архангельской области уровень инвестиционной привлекательности Архангельской области в 2024 году подтвержден; в 2023 году – понижен до IC7 (умеренная инвестиционная привлекательность (первый уровень)), в 2022 году – группа IC6 уровень средней инвестиционной привлекательности (третий уровень)). </w:t>
      </w:r>
    </w:p>
    <w:p w14:paraId="3E1AE8C0" w14:textId="77777777" w:rsidR="005A472F" w:rsidRPr="00FD7B0B" w:rsidRDefault="005A472F" w:rsidP="005A472F">
      <w:pPr>
        <w:pStyle w:val="2"/>
        <w:spacing w:before="120" w:after="0" w:line="240" w:lineRule="auto"/>
        <w:jc w:val="center"/>
        <w:rPr>
          <w:rFonts w:ascii="Times New Roman" w:hAnsi="Times New Roman"/>
          <w:lang w:val="ru-RU"/>
        </w:rPr>
      </w:pPr>
      <w:bookmarkStart w:id="27" w:name="_Toc167454819"/>
      <w:bookmarkStart w:id="28" w:name="_Toc198819116"/>
      <w:r w:rsidRPr="00FD7B0B">
        <w:rPr>
          <w:rFonts w:ascii="Times New Roman" w:hAnsi="Times New Roman"/>
          <w:lang w:val="ru-RU"/>
        </w:rPr>
        <w:t>1.3. Строительная сфера региона</w:t>
      </w:r>
      <w:bookmarkEnd w:id="20"/>
      <w:bookmarkEnd w:id="21"/>
      <w:bookmarkEnd w:id="22"/>
      <w:bookmarkEnd w:id="23"/>
      <w:bookmarkEnd w:id="24"/>
      <w:bookmarkEnd w:id="25"/>
      <w:bookmarkEnd w:id="26"/>
      <w:bookmarkEnd w:id="27"/>
      <w:bookmarkEnd w:id="28"/>
    </w:p>
    <w:p w14:paraId="319703DA" w14:textId="4213C3A3"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Фактический объем выполненных работ по виду деятельности «Строительство» в Архангельской области (без НАО) в 2024 году составил 55,8 млрд.руб. (59,7</w:t>
      </w:r>
      <w:r w:rsidR="00A9162C" w:rsidRPr="00FD7B0B">
        <w:rPr>
          <w:rFonts w:ascii="Times New Roman" w:hAnsi="Times New Roman"/>
          <w:sz w:val="28"/>
          <w:szCs w:val="28"/>
        </w:rPr>
        <w:t xml:space="preserve"> </w:t>
      </w:r>
      <w:r w:rsidRPr="00FD7B0B">
        <w:rPr>
          <w:rFonts w:ascii="Times New Roman" w:hAnsi="Times New Roman"/>
          <w:sz w:val="28"/>
          <w:szCs w:val="28"/>
        </w:rPr>
        <w:t xml:space="preserve">% к предыдущему году в сопоставимых ценах), что меньше </w:t>
      </w:r>
      <w:r w:rsidRPr="00FD7B0B">
        <w:rPr>
          <w:rFonts w:ascii="Times New Roman" w:hAnsi="Times New Roman"/>
          <w:sz w:val="28"/>
          <w:szCs w:val="28"/>
        </w:rPr>
        <w:lastRenderedPageBreak/>
        <w:t>ожидаемого объема (79,7 млрд.руб.) и показателя предыдущего года (86,2 млн.руб.).</w:t>
      </w:r>
    </w:p>
    <w:p w14:paraId="097B99F1"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объему ввода в действие общей площади жилых помещений (с учетом жилых домов, построенных на земельных участках для ведения садоводства) среди регионов СЗФО ситуация по сравнению с прошлым годом почти не изменилась: продолжают занимать лидирующие позиции Ленинградская область – 4 065,0 тыс.кв.м общей площади, г. Санкт-Петербург – 2 666,2 тыс.кв.м общей площади, Калининградская область – 1 220,6 тыс.кв.м общей площади, Вологодская область – 682,7 тыс.кв.м общей площади, Архангельская область (без НАО) – 453,4 тыс.кв.м общей площади. Замыкающие: Мурманская область – 72,0 тыс.кв.м и Ненецкий автономный округ – 25,2 тыс.кв.м общей площади.</w:t>
      </w:r>
    </w:p>
    <w:p w14:paraId="65CD5A8F"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отчетном году по объему ввода в действие общей площади жилых помещений Архангельская область, как и по ряду лет, располагается на пятом месте среди регионов СЗФО.</w:t>
      </w:r>
    </w:p>
    <w:p w14:paraId="12182001"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рейтинге регионов РФ по вводу жилья на одного жителя (кв.м общей площади жилья на одного человека) в 2024 году Архангельская область расположилось на 70-м месте, между Омской областью и Санкт-Петербургом</w:t>
      </w:r>
      <w:r w:rsidRPr="00FD7B0B">
        <w:rPr>
          <w:rStyle w:val="afff1"/>
          <w:rFonts w:ascii="Times New Roman" w:hAnsi="Times New Roman"/>
          <w:sz w:val="28"/>
          <w:szCs w:val="28"/>
        </w:rPr>
        <w:footnoteReference w:id="7"/>
      </w:r>
      <w:r w:rsidRPr="00FD7B0B">
        <w:rPr>
          <w:rFonts w:ascii="Times New Roman" w:hAnsi="Times New Roman"/>
          <w:sz w:val="28"/>
          <w:szCs w:val="28"/>
        </w:rPr>
        <w:t>.</w:t>
      </w:r>
    </w:p>
    <w:p w14:paraId="42908A19" w14:textId="3CCE0D8B"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итогам 2024 года на территории Архангельской области организациями всех форм собственности введено в действие жилых домов площадью 453,4 тыс.кв.м (ожидаемый объем ввода жилья – 445,0 тыс.кв.м), что составляет 102,9 % к вводу в действие жилых домов в 2023 году (440,6 тыс.кв.м), из них за счет собственных средств индивидуальными застройщиками введено в отчетном году 155,0 тыс.кв.м, что на 4,3 % больше, чем в 2023 году (148,6 тыс.кв.м.).</w:t>
      </w:r>
    </w:p>
    <w:p w14:paraId="3E0EC2B7" w14:textId="7566BE12"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В целом по ряду лет установлена положительная динамика ввода жилых домов, что представлено в таблице </w:t>
      </w:r>
      <w:r w:rsidR="003E66BF" w:rsidRPr="00FD7B0B">
        <w:rPr>
          <w:rFonts w:ascii="Times New Roman" w:hAnsi="Times New Roman"/>
          <w:sz w:val="28"/>
          <w:szCs w:val="28"/>
        </w:rPr>
        <w:t>10</w:t>
      </w:r>
      <w:r w:rsidRPr="00FD7B0B">
        <w:rPr>
          <w:rFonts w:ascii="Times New Roman" w:hAnsi="Times New Roman"/>
          <w:sz w:val="28"/>
          <w:szCs w:val="28"/>
        </w:rPr>
        <w:t>.</w:t>
      </w:r>
    </w:p>
    <w:p w14:paraId="5750B3F5" w14:textId="77777777" w:rsidR="005A472F" w:rsidRPr="00FD7B0B" w:rsidRDefault="005A472F" w:rsidP="005A472F">
      <w:pPr>
        <w:pStyle w:val="ad"/>
        <w:ind w:firstLine="709"/>
        <w:jc w:val="both"/>
        <w:rPr>
          <w:rFonts w:ascii="Times New Roman" w:hAnsi="Times New Roman"/>
          <w:sz w:val="24"/>
          <w:szCs w:val="24"/>
        </w:rPr>
      </w:pPr>
    </w:p>
    <w:p w14:paraId="4E1490CD" w14:textId="4E302A7B"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10</w:t>
      </w:r>
      <w:r w:rsidRPr="00FD7B0B">
        <w:rPr>
          <w:rFonts w:ascii="Times New Roman" w:hAnsi="Times New Roman"/>
          <w:b w:val="0"/>
          <w:sz w:val="24"/>
          <w:szCs w:val="24"/>
        </w:rPr>
        <w:fldChar w:fldCharType="end"/>
      </w:r>
      <w:r w:rsidRPr="00FD7B0B">
        <w:rPr>
          <w:rFonts w:ascii="Times New Roman" w:hAnsi="Times New Roman"/>
          <w:b w:val="0"/>
          <w:sz w:val="24"/>
          <w:szCs w:val="24"/>
        </w:rPr>
        <w:t>. Ввод в действие жилых домов в Архангельской области (без НАО) в 202</w:t>
      </w:r>
      <w:r w:rsidR="00CD31D3" w:rsidRPr="00FD7B0B">
        <w:rPr>
          <w:rFonts w:ascii="Times New Roman" w:hAnsi="Times New Roman"/>
          <w:b w:val="0"/>
          <w:sz w:val="24"/>
          <w:szCs w:val="24"/>
        </w:rPr>
        <w:t>2</w:t>
      </w:r>
      <w:r w:rsidR="009D56F7" w:rsidRPr="00FD7B0B">
        <w:rPr>
          <w:rFonts w:ascii="Times New Roman" w:hAnsi="Times New Roman"/>
          <w:b w:val="0"/>
          <w:sz w:val="24"/>
          <w:szCs w:val="24"/>
        </w:rPr>
        <w:t xml:space="preserve"> – </w:t>
      </w:r>
      <w:r w:rsidRPr="00FD7B0B">
        <w:rPr>
          <w:rFonts w:ascii="Times New Roman" w:hAnsi="Times New Roman"/>
          <w:b w:val="0"/>
          <w:sz w:val="24"/>
          <w:szCs w:val="24"/>
        </w:rPr>
        <w:t>2024 годах, кв. м</w:t>
      </w:r>
    </w:p>
    <w:tbl>
      <w:tblPr>
        <w:tblW w:w="9412" w:type="dxa"/>
        <w:tblInd w:w="1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246"/>
        <w:gridCol w:w="1134"/>
        <w:gridCol w:w="1015"/>
        <w:gridCol w:w="1017"/>
      </w:tblGrid>
      <w:tr w:rsidR="00FD7B0B" w:rsidRPr="00FD7B0B" w14:paraId="10BACB5B" w14:textId="77777777" w:rsidTr="00CD31D3">
        <w:trPr>
          <w:trHeight w:val="19"/>
          <w:tblHeader/>
        </w:trPr>
        <w:tc>
          <w:tcPr>
            <w:tcW w:w="6246" w:type="dxa"/>
            <w:shd w:val="clear" w:color="auto" w:fill="auto"/>
            <w:vAlign w:val="bottom"/>
            <w:hideMark/>
          </w:tcPr>
          <w:p w14:paraId="0603D74D" w14:textId="77777777" w:rsidR="00CD31D3" w:rsidRPr="00FD7B0B" w:rsidRDefault="00CD31D3"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Показатель</w:t>
            </w:r>
          </w:p>
        </w:tc>
        <w:tc>
          <w:tcPr>
            <w:tcW w:w="1134" w:type="dxa"/>
            <w:shd w:val="clear" w:color="auto" w:fill="auto"/>
            <w:vAlign w:val="bottom"/>
            <w:hideMark/>
          </w:tcPr>
          <w:p w14:paraId="602D195B" w14:textId="77777777" w:rsidR="00CD31D3" w:rsidRPr="00FD7B0B" w:rsidRDefault="00CD31D3"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2022 г.</w:t>
            </w:r>
          </w:p>
        </w:tc>
        <w:tc>
          <w:tcPr>
            <w:tcW w:w="1015" w:type="dxa"/>
            <w:shd w:val="clear" w:color="auto" w:fill="auto"/>
            <w:vAlign w:val="bottom"/>
            <w:hideMark/>
          </w:tcPr>
          <w:p w14:paraId="3D3296C5" w14:textId="77777777" w:rsidR="00CD31D3" w:rsidRPr="00FD7B0B" w:rsidRDefault="00CD31D3"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2023 г.</w:t>
            </w:r>
          </w:p>
        </w:tc>
        <w:tc>
          <w:tcPr>
            <w:tcW w:w="1017" w:type="dxa"/>
          </w:tcPr>
          <w:p w14:paraId="58CECDD2" w14:textId="77777777" w:rsidR="00CD31D3" w:rsidRPr="00FD7B0B" w:rsidRDefault="00CD31D3"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г.</w:t>
            </w:r>
          </w:p>
        </w:tc>
      </w:tr>
      <w:tr w:rsidR="00FD7B0B" w:rsidRPr="00FD7B0B" w14:paraId="18A10CE3" w14:textId="77777777" w:rsidTr="00CD31D3">
        <w:trPr>
          <w:trHeight w:val="124"/>
        </w:trPr>
        <w:tc>
          <w:tcPr>
            <w:tcW w:w="6246" w:type="dxa"/>
            <w:shd w:val="clear" w:color="auto" w:fill="auto"/>
            <w:vAlign w:val="bottom"/>
            <w:hideMark/>
          </w:tcPr>
          <w:p w14:paraId="69182245" w14:textId="77777777" w:rsidR="00CD31D3" w:rsidRPr="00FD7B0B" w:rsidRDefault="00CD31D3" w:rsidP="00BE64F6">
            <w:pPr>
              <w:pStyle w:val="aff0"/>
              <w:spacing w:after="0" w:line="240" w:lineRule="auto"/>
              <w:rPr>
                <w:rFonts w:ascii="Times New Roman" w:eastAsia="Times New Roman" w:hAnsi="Times New Roman"/>
                <w:b w:val="0"/>
                <w:sz w:val="22"/>
                <w:szCs w:val="22"/>
                <w:lang w:eastAsia="ru-RU"/>
              </w:rPr>
            </w:pPr>
            <w:r w:rsidRPr="00FD7B0B">
              <w:rPr>
                <w:rFonts w:ascii="Times New Roman" w:eastAsia="Times New Roman" w:hAnsi="Times New Roman"/>
                <w:b w:val="0"/>
                <w:sz w:val="22"/>
                <w:szCs w:val="22"/>
                <w:lang w:eastAsia="ru-RU"/>
              </w:rPr>
              <w:t xml:space="preserve">Всего построено, общей площади, </w:t>
            </w:r>
            <w:r w:rsidRPr="00FD7B0B">
              <w:rPr>
                <w:rFonts w:ascii="Times New Roman" w:hAnsi="Times New Roman"/>
                <w:b w:val="0"/>
                <w:sz w:val="22"/>
                <w:szCs w:val="22"/>
              </w:rPr>
              <w:t>кв. м</w:t>
            </w:r>
          </w:p>
        </w:tc>
        <w:tc>
          <w:tcPr>
            <w:tcW w:w="1134" w:type="dxa"/>
            <w:shd w:val="clear" w:color="auto" w:fill="auto"/>
            <w:vAlign w:val="bottom"/>
            <w:hideMark/>
          </w:tcPr>
          <w:p w14:paraId="1110F1C0"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426 435 </w:t>
            </w:r>
          </w:p>
        </w:tc>
        <w:tc>
          <w:tcPr>
            <w:tcW w:w="1015" w:type="dxa"/>
            <w:shd w:val="clear" w:color="auto" w:fill="auto"/>
            <w:vAlign w:val="bottom"/>
            <w:hideMark/>
          </w:tcPr>
          <w:p w14:paraId="52170746"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440 616 </w:t>
            </w:r>
          </w:p>
        </w:tc>
        <w:tc>
          <w:tcPr>
            <w:tcW w:w="1017" w:type="dxa"/>
            <w:vAlign w:val="bottom"/>
          </w:tcPr>
          <w:p w14:paraId="587EEEEE"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453 400 </w:t>
            </w:r>
          </w:p>
        </w:tc>
      </w:tr>
      <w:tr w:rsidR="00FD7B0B" w:rsidRPr="00FD7B0B" w14:paraId="45B2D505" w14:textId="77777777" w:rsidTr="00CD31D3">
        <w:trPr>
          <w:trHeight w:val="160"/>
        </w:trPr>
        <w:tc>
          <w:tcPr>
            <w:tcW w:w="6246" w:type="dxa"/>
            <w:shd w:val="clear" w:color="auto" w:fill="auto"/>
            <w:vAlign w:val="bottom"/>
          </w:tcPr>
          <w:p w14:paraId="75780D92" w14:textId="77777777" w:rsidR="00CD31D3" w:rsidRPr="00FD7B0B" w:rsidRDefault="00CD31D3"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рост введенной общей площади, %</w:t>
            </w:r>
          </w:p>
        </w:tc>
        <w:tc>
          <w:tcPr>
            <w:tcW w:w="1134" w:type="dxa"/>
            <w:shd w:val="clear" w:color="auto" w:fill="auto"/>
            <w:vAlign w:val="bottom"/>
          </w:tcPr>
          <w:p w14:paraId="146925F2"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100,9</w:t>
            </w:r>
          </w:p>
        </w:tc>
        <w:tc>
          <w:tcPr>
            <w:tcW w:w="1015" w:type="dxa"/>
            <w:shd w:val="clear" w:color="auto" w:fill="auto"/>
            <w:vAlign w:val="bottom"/>
          </w:tcPr>
          <w:p w14:paraId="20E174FB"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hAnsi="Times New Roman" w:cs="Times New Roman"/>
              </w:rPr>
              <w:t>103,3</w:t>
            </w:r>
          </w:p>
        </w:tc>
        <w:tc>
          <w:tcPr>
            <w:tcW w:w="1017" w:type="dxa"/>
            <w:vAlign w:val="bottom"/>
          </w:tcPr>
          <w:p w14:paraId="04518047" w14:textId="77777777" w:rsidR="00CD31D3" w:rsidRPr="00FD7B0B" w:rsidRDefault="00CD31D3" w:rsidP="00BE64F6">
            <w:pPr>
              <w:spacing w:after="0" w:line="240" w:lineRule="auto"/>
              <w:ind w:left="-136" w:firstLineChars="100" w:firstLine="220"/>
              <w:jc w:val="right"/>
              <w:rPr>
                <w:rFonts w:ascii="Times New Roman" w:hAnsi="Times New Roman" w:cs="Times New Roman"/>
              </w:rPr>
            </w:pPr>
            <w:r w:rsidRPr="00FD7B0B">
              <w:rPr>
                <w:rFonts w:ascii="Times New Roman" w:hAnsi="Times New Roman" w:cs="Times New Roman"/>
              </w:rPr>
              <w:t>102,9</w:t>
            </w:r>
          </w:p>
        </w:tc>
      </w:tr>
      <w:tr w:rsidR="00FD7B0B" w:rsidRPr="00FD7B0B" w14:paraId="21681A55" w14:textId="0C71C95F" w:rsidTr="00CD31D3">
        <w:trPr>
          <w:trHeight w:val="136"/>
        </w:trPr>
        <w:tc>
          <w:tcPr>
            <w:tcW w:w="6246" w:type="dxa"/>
            <w:shd w:val="clear" w:color="auto" w:fill="auto"/>
            <w:vAlign w:val="bottom"/>
            <w:hideMark/>
          </w:tcPr>
          <w:p w14:paraId="78A3079D" w14:textId="77777777" w:rsidR="00CD31D3" w:rsidRPr="00FD7B0B" w:rsidRDefault="00CD31D3" w:rsidP="00BE64F6">
            <w:pPr>
              <w:spacing w:after="0" w:line="240" w:lineRule="auto"/>
              <w:ind w:firstLineChars="200" w:firstLine="44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 том числе:</w:t>
            </w:r>
          </w:p>
        </w:tc>
        <w:tc>
          <w:tcPr>
            <w:tcW w:w="3166" w:type="dxa"/>
            <w:gridSpan w:val="3"/>
            <w:shd w:val="clear" w:color="auto" w:fill="auto"/>
            <w:vAlign w:val="bottom"/>
          </w:tcPr>
          <w:p w14:paraId="0447052D" w14:textId="77777777" w:rsidR="00CD31D3" w:rsidRPr="00FD7B0B" w:rsidRDefault="00CD31D3" w:rsidP="00CD31D3">
            <w:pPr>
              <w:spacing w:after="0" w:line="240" w:lineRule="auto"/>
              <w:rPr>
                <w:rFonts w:ascii="Times New Roman" w:eastAsia="Times New Roman" w:hAnsi="Times New Roman" w:cs="Times New Roman"/>
                <w:lang w:eastAsia="ru-RU"/>
              </w:rPr>
            </w:pPr>
          </w:p>
        </w:tc>
      </w:tr>
      <w:tr w:rsidR="00FD7B0B" w:rsidRPr="00FD7B0B" w14:paraId="41BEAB8E" w14:textId="77777777" w:rsidTr="00CD31D3">
        <w:trPr>
          <w:trHeight w:val="192"/>
        </w:trPr>
        <w:tc>
          <w:tcPr>
            <w:tcW w:w="6246" w:type="dxa"/>
            <w:shd w:val="clear" w:color="auto" w:fill="auto"/>
            <w:vAlign w:val="bottom"/>
            <w:hideMark/>
          </w:tcPr>
          <w:p w14:paraId="31C6F1F1" w14:textId="77777777" w:rsidR="00CD31D3" w:rsidRPr="00FD7B0B" w:rsidRDefault="00CD31D3" w:rsidP="00BE64F6">
            <w:pPr>
              <w:spacing w:after="0" w:line="240" w:lineRule="auto"/>
              <w:ind w:firstLineChars="75" w:firstLine="165"/>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 городах и поселках городского типа,</w:t>
            </w:r>
            <w:r w:rsidRPr="00FD7B0B">
              <w:rPr>
                <w:rFonts w:ascii="Times New Roman" w:hAnsi="Times New Roman" w:cs="Times New Roman"/>
              </w:rPr>
              <w:t xml:space="preserve"> кв. м</w:t>
            </w:r>
          </w:p>
        </w:tc>
        <w:tc>
          <w:tcPr>
            <w:tcW w:w="1134" w:type="dxa"/>
            <w:shd w:val="clear" w:color="auto" w:fill="auto"/>
            <w:vAlign w:val="bottom"/>
            <w:hideMark/>
          </w:tcPr>
          <w:p w14:paraId="32E8E98E"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307 893</w:t>
            </w:r>
          </w:p>
        </w:tc>
        <w:tc>
          <w:tcPr>
            <w:tcW w:w="1015" w:type="dxa"/>
            <w:shd w:val="clear" w:color="auto" w:fill="auto"/>
            <w:vAlign w:val="bottom"/>
            <w:hideMark/>
          </w:tcPr>
          <w:p w14:paraId="2C54B4BF"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324 591</w:t>
            </w:r>
          </w:p>
        </w:tc>
        <w:tc>
          <w:tcPr>
            <w:tcW w:w="1017" w:type="dxa"/>
            <w:vAlign w:val="bottom"/>
          </w:tcPr>
          <w:p w14:paraId="48A6CACB"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333 300</w:t>
            </w:r>
          </w:p>
        </w:tc>
      </w:tr>
      <w:tr w:rsidR="00FD7B0B" w:rsidRPr="00FD7B0B" w14:paraId="2DFB0012" w14:textId="77777777" w:rsidTr="00CD31D3">
        <w:trPr>
          <w:trHeight w:val="39"/>
        </w:trPr>
        <w:tc>
          <w:tcPr>
            <w:tcW w:w="6246" w:type="dxa"/>
            <w:shd w:val="clear" w:color="auto" w:fill="auto"/>
            <w:vAlign w:val="bottom"/>
            <w:hideMark/>
          </w:tcPr>
          <w:p w14:paraId="4AC8504F" w14:textId="77777777" w:rsidR="00CD31D3" w:rsidRPr="00FD7B0B" w:rsidRDefault="00CD31D3" w:rsidP="00BE64F6">
            <w:pPr>
              <w:spacing w:after="0" w:line="240" w:lineRule="auto"/>
              <w:ind w:firstLineChars="75" w:firstLine="165"/>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в сельской местности, </w:t>
            </w:r>
            <w:r w:rsidRPr="00FD7B0B">
              <w:rPr>
                <w:rFonts w:ascii="Times New Roman" w:hAnsi="Times New Roman" w:cs="Times New Roman"/>
              </w:rPr>
              <w:t>кв. м</w:t>
            </w:r>
          </w:p>
        </w:tc>
        <w:tc>
          <w:tcPr>
            <w:tcW w:w="1134" w:type="dxa"/>
            <w:shd w:val="clear" w:color="auto" w:fill="auto"/>
            <w:vAlign w:val="bottom"/>
            <w:hideMark/>
          </w:tcPr>
          <w:p w14:paraId="2F7510B8"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118 542</w:t>
            </w:r>
          </w:p>
        </w:tc>
        <w:tc>
          <w:tcPr>
            <w:tcW w:w="1015" w:type="dxa"/>
            <w:shd w:val="clear" w:color="auto" w:fill="auto"/>
            <w:vAlign w:val="bottom"/>
            <w:hideMark/>
          </w:tcPr>
          <w:p w14:paraId="390F33EB"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115 947</w:t>
            </w:r>
          </w:p>
        </w:tc>
        <w:tc>
          <w:tcPr>
            <w:tcW w:w="1017" w:type="dxa"/>
            <w:vAlign w:val="bottom"/>
          </w:tcPr>
          <w:p w14:paraId="17478661"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120 100</w:t>
            </w:r>
          </w:p>
        </w:tc>
      </w:tr>
      <w:tr w:rsidR="00FD7B0B" w:rsidRPr="00FD7B0B" w14:paraId="250CD466" w14:textId="46350318" w:rsidTr="00CD31D3">
        <w:trPr>
          <w:trHeight w:val="62"/>
        </w:trPr>
        <w:tc>
          <w:tcPr>
            <w:tcW w:w="6246" w:type="dxa"/>
            <w:shd w:val="clear" w:color="auto" w:fill="auto"/>
            <w:vAlign w:val="bottom"/>
            <w:hideMark/>
          </w:tcPr>
          <w:p w14:paraId="113E7B4C" w14:textId="77777777" w:rsidR="00CD31D3" w:rsidRPr="00FD7B0B" w:rsidRDefault="00CD31D3" w:rsidP="00BE64F6">
            <w:pPr>
              <w:spacing w:after="0" w:line="240" w:lineRule="auto"/>
              <w:ind w:firstLineChars="75" w:firstLine="165"/>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из общего итога:</w:t>
            </w:r>
          </w:p>
        </w:tc>
        <w:tc>
          <w:tcPr>
            <w:tcW w:w="3166" w:type="dxa"/>
            <w:gridSpan w:val="3"/>
            <w:shd w:val="clear" w:color="auto" w:fill="auto"/>
            <w:vAlign w:val="bottom"/>
          </w:tcPr>
          <w:p w14:paraId="7AC4862F" w14:textId="77777777" w:rsidR="00CD31D3" w:rsidRPr="00FD7B0B" w:rsidRDefault="00CD31D3" w:rsidP="00CD31D3">
            <w:pPr>
              <w:spacing w:after="0" w:line="240" w:lineRule="auto"/>
              <w:rPr>
                <w:rFonts w:ascii="Times New Roman" w:eastAsia="Times New Roman" w:hAnsi="Times New Roman" w:cs="Times New Roman"/>
                <w:lang w:eastAsia="ru-RU"/>
              </w:rPr>
            </w:pPr>
          </w:p>
        </w:tc>
      </w:tr>
      <w:tr w:rsidR="00FD7B0B" w:rsidRPr="00FD7B0B" w14:paraId="66CF3B85" w14:textId="77777777" w:rsidTr="00CD31D3">
        <w:trPr>
          <w:trHeight w:val="222"/>
        </w:trPr>
        <w:tc>
          <w:tcPr>
            <w:tcW w:w="6246" w:type="dxa"/>
            <w:shd w:val="clear" w:color="auto" w:fill="auto"/>
            <w:vAlign w:val="bottom"/>
            <w:hideMark/>
          </w:tcPr>
          <w:p w14:paraId="783D12F6" w14:textId="77777777" w:rsidR="00CD31D3" w:rsidRPr="00FD7B0B" w:rsidRDefault="00CD31D3" w:rsidP="00BE64F6">
            <w:pPr>
              <w:spacing w:after="0" w:line="240" w:lineRule="auto"/>
              <w:ind w:firstLineChars="75" w:firstLine="165"/>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населением за счет собственных и привлеченных средств, </w:t>
            </w:r>
            <w:r w:rsidRPr="00FD7B0B">
              <w:rPr>
                <w:rFonts w:ascii="Times New Roman" w:hAnsi="Times New Roman" w:cs="Times New Roman"/>
              </w:rPr>
              <w:t>кв. м</w:t>
            </w:r>
          </w:p>
        </w:tc>
        <w:tc>
          <w:tcPr>
            <w:tcW w:w="1134" w:type="dxa"/>
            <w:shd w:val="clear" w:color="auto" w:fill="auto"/>
            <w:vAlign w:val="bottom"/>
            <w:hideMark/>
          </w:tcPr>
          <w:p w14:paraId="53359023"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183 501</w:t>
            </w:r>
          </w:p>
        </w:tc>
        <w:tc>
          <w:tcPr>
            <w:tcW w:w="1015" w:type="dxa"/>
            <w:shd w:val="clear" w:color="auto" w:fill="auto"/>
            <w:vAlign w:val="bottom"/>
            <w:hideMark/>
          </w:tcPr>
          <w:p w14:paraId="48E76A80"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148 605</w:t>
            </w:r>
          </w:p>
        </w:tc>
        <w:tc>
          <w:tcPr>
            <w:tcW w:w="1017" w:type="dxa"/>
            <w:vAlign w:val="bottom"/>
          </w:tcPr>
          <w:p w14:paraId="70ED9DE5"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155 000</w:t>
            </w:r>
          </w:p>
        </w:tc>
      </w:tr>
      <w:tr w:rsidR="00CD31D3" w:rsidRPr="00FD7B0B" w14:paraId="53323687" w14:textId="77777777" w:rsidTr="00CD31D3">
        <w:trPr>
          <w:trHeight w:val="39"/>
        </w:trPr>
        <w:tc>
          <w:tcPr>
            <w:tcW w:w="6246" w:type="dxa"/>
            <w:shd w:val="clear" w:color="auto" w:fill="auto"/>
            <w:vAlign w:val="bottom"/>
            <w:hideMark/>
          </w:tcPr>
          <w:p w14:paraId="372B5BB9" w14:textId="77777777" w:rsidR="00CD31D3" w:rsidRPr="00FD7B0B" w:rsidRDefault="00CD31D3" w:rsidP="00BE64F6">
            <w:pPr>
              <w:spacing w:after="0" w:line="240" w:lineRule="auto"/>
              <w:ind w:firstLineChars="75" w:firstLine="165"/>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в том числе в сельской местности, </w:t>
            </w:r>
            <w:r w:rsidRPr="00FD7B0B">
              <w:rPr>
                <w:rFonts w:ascii="Times New Roman" w:hAnsi="Times New Roman" w:cs="Times New Roman"/>
              </w:rPr>
              <w:t>кв. м</w:t>
            </w:r>
          </w:p>
        </w:tc>
        <w:tc>
          <w:tcPr>
            <w:tcW w:w="1134" w:type="dxa"/>
            <w:shd w:val="clear" w:color="auto" w:fill="auto"/>
            <w:vAlign w:val="bottom"/>
            <w:hideMark/>
          </w:tcPr>
          <w:p w14:paraId="4C8D7255"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112 456</w:t>
            </w:r>
          </w:p>
        </w:tc>
        <w:tc>
          <w:tcPr>
            <w:tcW w:w="1015" w:type="dxa"/>
            <w:shd w:val="clear" w:color="auto" w:fill="auto"/>
            <w:vAlign w:val="bottom"/>
            <w:hideMark/>
          </w:tcPr>
          <w:p w14:paraId="6967FA6C"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96 227</w:t>
            </w:r>
          </w:p>
        </w:tc>
        <w:tc>
          <w:tcPr>
            <w:tcW w:w="1017" w:type="dxa"/>
            <w:vAlign w:val="bottom"/>
          </w:tcPr>
          <w:p w14:paraId="54FEEF61" w14:textId="77777777" w:rsidR="00CD31D3" w:rsidRPr="00FD7B0B" w:rsidRDefault="00CD31D3" w:rsidP="00BE64F6">
            <w:pPr>
              <w:spacing w:after="0" w:line="240" w:lineRule="auto"/>
              <w:ind w:left="-136" w:firstLineChars="100" w:firstLine="220"/>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98 700</w:t>
            </w:r>
          </w:p>
        </w:tc>
      </w:tr>
    </w:tbl>
    <w:p w14:paraId="4862AE29" w14:textId="77777777" w:rsidR="005A472F" w:rsidRPr="00FD7B0B" w:rsidRDefault="005A472F" w:rsidP="005A472F">
      <w:pPr>
        <w:pStyle w:val="ad"/>
        <w:ind w:firstLine="709"/>
        <w:jc w:val="both"/>
        <w:rPr>
          <w:rFonts w:ascii="Times New Roman" w:hAnsi="Times New Roman"/>
          <w:sz w:val="28"/>
          <w:szCs w:val="28"/>
        </w:rPr>
      </w:pPr>
    </w:p>
    <w:p w14:paraId="0CC041ED" w14:textId="58B41D21"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отчетном году в городах и поселках городского типа введено жилых домов больше на 2,7 % по сравнению с 2023 годом, в сельской местности – на 3,6 %. Населением за счет собственных и привлеченных средств в отчетном году построено жилых домов бо</w:t>
      </w:r>
      <w:r w:rsidR="00056E6B" w:rsidRPr="00FD7B0B">
        <w:rPr>
          <w:rFonts w:ascii="Times New Roman" w:hAnsi="Times New Roman"/>
          <w:sz w:val="28"/>
          <w:szCs w:val="28"/>
        </w:rPr>
        <w:t>льше на 4,3 %, чем в 2023 году.</w:t>
      </w:r>
    </w:p>
    <w:p w14:paraId="46ADCB35" w14:textId="3ABF5694" w:rsidR="005A472F" w:rsidRPr="00FD7B0B" w:rsidRDefault="005A472F" w:rsidP="005A472F">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Динамика ввода в действие жилых домов по муниципальным образованиям в 2022 – 2024 годах представлена в таблице </w:t>
      </w:r>
      <w:r w:rsidR="003E66BF" w:rsidRPr="00FD7B0B">
        <w:rPr>
          <w:rFonts w:ascii="Times New Roman" w:hAnsi="Times New Roman"/>
          <w:sz w:val="28"/>
          <w:szCs w:val="28"/>
        </w:rPr>
        <w:t>11</w:t>
      </w:r>
      <w:r w:rsidRPr="00FD7B0B">
        <w:rPr>
          <w:rFonts w:ascii="Times New Roman" w:hAnsi="Times New Roman"/>
          <w:sz w:val="28"/>
          <w:szCs w:val="28"/>
        </w:rPr>
        <w:t>.</w:t>
      </w:r>
    </w:p>
    <w:p w14:paraId="14598D3E" w14:textId="77777777" w:rsidR="005A472F" w:rsidRPr="00FD7B0B" w:rsidRDefault="005A472F" w:rsidP="005A472F">
      <w:pPr>
        <w:spacing w:after="0" w:line="240" w:lineRule="auto"/>
        <w:ind w:firstLine="709"/>
        <w:jc w:val="both"/>
        <w:rPr>
          <w:rFonts w:ascii="Times New Roman" w:hAnsi="Times New Roman"/>
          <w:sz w:val="28"/>
          <w:szCs w:val="28"/>
        </w:rPr>
      </w:pPr>
    </w:p>
    <w:p w14:paraId="4A8C46F5"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11</w:t>
      </w:r>
      <w:r w:rsidRPr="00FD7B0B">
        <w:rPr>
          <w:rFonts w:ascii="Times New Roman" w:hAnsi="Times New Roman"/>
          <w:b w:val="0"/>
          <w:sz w:val="24"/>
          <w:szCs w:val="24"/>
        </w:rPr>
        <w:fldChar w:fldCharType="end"/>
      </w:r>
      <w:r w:rsidRPr="00FD7B0B">
        <w:rPr>
          <w:rFonts w:ascii="Times New Roman" w:hAnsi="Times New Roman"/>
          <w:b w:val="0"/>
          <w:sz w:val="24"/>
          <w:szCs w:val="24"/>
        </w:rPr>
        <w:t>. Ввод в действие жилых домов в 2022 – 2024 годах по муниципальным образованиям, кв.</w:t>
      </w:r>
      <w:r w:rsidRPr="00FD7B0B">
        <w:rPr>
          <w:rFonts w:ascii="Times New Roman" w:eastAsia="Times New Roman" w:hAnsi="Times New Roman"/>
          <w:b w:val="0"/>
          <w:sz w:val="24"/>
          <w:szCs w:val="24"/>
          <w:lang w:eastAsia="ru-RU"/>
        </w:rPr>
        <w:t>м</w:t>
      </w:r>
    </w:p>
    <w:tbl>
      <w:tblPr>
        <w:tblW w:w="9638"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17"/>
        <w:gridCol w:w="992"/>
        <w:gridCol w:w="1276"/>
        <w:gridCol w:w="992"/>
        <w:gridCol w:w="1275"/>
        <w:gridCol w:w="1134"/>
      </w:tblGrid>
      <w:tr w:rsidR="00FD7B0B" w:rsidRPr="00FD7B0B" w14:paraId="7C17035F" w14:textId="77777777" w:rsidTr="00BE64F6">
        <w:trPr>
          <w:tblHeader/>
        </w:trPr>
        <w:tc>
          <w:tcPr>
            <w:tcW w:w="2552" w:type="dxa"/>
            <w:vMerge w:val="restart"/>
            <w:shd w:val="clear" w:color="auto" w:fill="auto"/>
            <w:vAlign w:val="center"/>
          </w:tcPr>
          <w:p w14:paraId="028B1121" w14:textId="77777777" w:rsidR="005A472F" w:rsidRPr="00FD7B0B" w:rsidRDefault="005A472F" w:rsidP="00BE64F6">
            <w:pPr>
              <w:spacing w:after="0" w:line="264" w:lineRule="auto"/>
              <w:jc w:val="center"/>
              <w:rPr>
                <w:rFonts w:ascii="Times New Roman" w:hAnsi="Times New Roman" w:cs="Times New Roman"/>
              </w:rPr>
            </w:pPr>
            <w:r w:rsidRPr="00FD7B0B">
              <w:rPr>
                <w:rFonts w:ascii="Times New Roman" w:eastAsia="Times New Roman" w:hAnsi="Times New Roman" w:cs="Times New Roman"/>
                <w:lang w:eastAsia="ru-RU"/>
              </w:rPr>
              <w:t>Муниципальные образования Архангельской области</w:t>
            </w:r>
          </w:p>
        </w:tc>
        <w:tc>
          <w:tcPr>
            <w:tcW w:w="2409" w:type="dxa"/>
            <w:gridSpan w:val="2"/>
            <w:shd w:val="clear" w:color="auto" w:fill="auto"/>
            <w:vAlign w:val="center"/>
          </w:tcPr>
          <w:p w14:paraId="2C1CD696"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2022 г.</w:t>
            </w:r>
          </w:p>
        </w:tc>
        <w:tc>
          <w:tcPr>
            <w:tcW w:w="2268" w:type="dxa"/>
            <w:gridSpan w:val="2"/>
            <w:shd w:val="clear" w:color="auto" w:fill="auto"/>
            <w:vAlign w:val="center"/>
          </w:tcPr>
          <w:p w14:paraId="696109CA"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2023 г.</w:t>
            </w:r>
          </w:p>
        </w:tc>
        <w:tc>
          <w:tcPr>
            <w:tcW w:w="2409" w:type="dxa"/>
            <w:gridSpan w:val="2"/>
            <w:vAlign w:val="center"/>
          </w:tcPr>
          <w:p w14:paraId="4AC17E4C"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г.</w:t>
            </w:r>
          </w:p>
        </w:tc>
      </w:tr>
      <w:tr w:rsidR="00FD7B0B" w:rsidRPr="00FD7B0B" w14:paraId="3E6FA63A" w14:textId="77777777" w:rsidTr="00BE64F6">
        <w:trPr>
          <w:tblHeader/>
        </w:trPr>
        <w:tc>
          <w:tcPr>
            <w:tcW w:w="2552" w:type="dxa"/>
            <w:vMerge/>
            <w:shd w:val="clear" w:color="auto" w:fill="auto"/>
            <w:vAlign w:val="center"/>
          </w:tcPr>
          <w:p w14:paraId="19E94495" w14:textId="77777777" w:rsidR="005A472F" w:rsidRPr="00FD7B0B" w:rsidRDefault="005A472F" w:rsidP="00BE64F6">
            <w:pPr>
              <w:spacing w:after="0" w:line="264" w:lineRule="auto"/>
              <w:jc w:val="center"/>
              <w:rPr>
                <w:rFonts w:ascii="Times New Roman" w:eastAsia="Times New Roman" w:hAnsi="Times New Roman" w:cs="Times New Roman"/>
                <w:lang w:eastAsia="ru-RU"/>
              </w:rPr>
            </w:pPr>
          </w:p>
        </w:tc>
        <w:tc>
          <w:tcPr>
            <w:tcW w:w="1417" w:type="dxa"/>
            <w:shd w:val="clear" w:color="auto" w:fill="auto"/>
            <w:vAlign w:val="center"/>
          </w:tcPr>
          <w:p w14:paraId="24F8BF5A" w14:textId="77777777" w:rsidR="005A472F" w:rsidRPr="00FD7B0B" w:rsidRDefault="005A472F" w:rsidP="00BE64F6">
            <w:pPr>
              <w:spacing w:after="0" w:line="240" w:lineRule="auto"/>
              <w:ind w:left="-113" w:right="-11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Введено, м</w:t>
            </w:r>
            <w:r w:rsidRPr="00FD7B0B">
              <w:rPr>
                <w:rFonts w:ascii="Times New Roman" w:eastAsia="Times New Roman" w:hAnsi="Times New Roman" w:cs="Times New Roman"/>
                <w:vertAlign w:val="superscript"/>
                <w:lang w:eastAsia="ru-RU"/>
              </w:rPr>
              <w:t>2</w:t>
            </w:r>
            <w:r w:rsidRPr="00FD7B0B">
              <w:rPr>
                <w:rFonts w:ascii="Times New Roman" w:eastAsia="Times New Roman" w:hAnsi="Times New Roman" w:cs="Times New Roman"/>
                <w:lang w:eastAsia="ru-RU"/>
              </w:rPr>
              <w:t xml:space="preserve"> общей площади</w:t>
            </w:r>
          </w:p>
        </w:tc>
        <w:tc>
          <w:tcPr>
            <w:tcW w:w="992" w:type="dxa"/>
            <w:shd w:val="clear" w:color="auto" w:fill="auto"/>
            <w:vAlign w:val="center"/>
          </w:tcPr>
          <w:p w14:paraId="75D1B483"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В % к </w:t>
            </w:r>
          </w:p>
          <w:p w14:paraId="0906F71C"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2021 г.</w:t>
            </w:r>
          </w:p>
        </w:tc>
        <w:tc>
          <w:tcPr>
            <w:tcW w:w="1276" w:type="dxa"/>
            <w:shd w:val="clear" w:color="auto" w:fill="auto"/>
            <w:vAlign w:val="center"/>
          </w:tcPr>
          <w:p w14:paraId="6B42A7D7"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Введено, м</w:t>
            </w:r>
            <w:r w:rsidRPr="00FD7B0B">
              <w:rPr>
                <w:rFonts w:ascii="Times New Roman" w:eastAsia="Times New Roman" w:hAnsi="Times New Roman" w:cs="Times New Roman"/>
                <w:vertAlign w:val="superscript"/>
                <w:lang w:eastAsia="ru-RU"/>
              </w:rPr>
              <w:t>2</w:t>
            </w:r>
            <w:r w:rsidRPr="00FD7B0B">
              <w:rPr>
                <w:rFonts w:ascii="Times New Roman" w:eastAsia="Times New Roman" w:hAnsi="Times New Roman" w:cs="Times New Roman"/>
                <w:lang w:eastAsia="ru-RU"/>
              </w:rPr>
              <w:t xml:space="preserve"> общей площади</w:t>
            </w:r>
          </w:p>
        </w:tc>
        <w:tc>
          <w:tcPr>
            <w:tcW w:w="992" w:type="dxa"/>
            <w:vAlign w:val="center"/>
          </w:tcPr>
          <w:p w14:paraId="772DC58F"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В % к </w:t>
            </w:r>
          </w:p>
          <w:p w14:paraId="3200F2DD"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2022 г.</w:t>
            </w:r>
          </w:p>
        </w:tc>
        <w:tc>
          <w:tcPr>
            <w:tcW w:w="1275" w:type="dxa"/>
            <w:vAlign w:val="center"/>
          </w:tcPr>
          <w:p w14:paraId="6971E21F"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Введено, м</w:t>
            </w:r>
            <w:r w:rsidRPr="00FD7B0B">
              <w:rPr>
                <w:rFonts w:ascii="Times New Roman" w:eastAsia="Times New Roman" w:hAnsi="Times New Roman" w:cs="Times New Roman"/>
                <w:vertAlign w:val="superscript"/>
                <w:lang w:eastAsia="ru-RU"/>
              </w:rPr>
              <w:t>2</w:t>
            </w:r>
            <w:r w:rsidRPr="00FD7B0B">
              <w:rPr>
                <w:rFonts w:ascii="Times New Roman" w:eastAsia="Times New Roman" w:hAnsi="Times New Roman" w:cs="Times New Roman"/>
                <w:lang w:eastAsia="ru-RU"/>
              </w:rPr>
              <w:t xml:space="preserve"> общей площади</w:t>
            </w:r>
          </w:p>
        </w:tc>
        <w:tc>
          <w:tcPr>
            <w:tcW w:w="1134" w:type="dxa"/>
            <w:vAlign w:val="center"/>
          </w:tcPr>
          <w:p w14:paraId="50FCB74C"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В % к </w:t>
            </w:r>
          </w:p>
          <w:p w14:paraId="0A10B801" w14:textId="77777777" w:rsidR="005A472F" w:rsidRPr="00FD7B0B" w:rsidRDefault="005A472F" w:rsidP="00BE64F6">
            <w:pPr>
              <w:spacing w:after="0" w:line="240" w:lineRule="auto"/>
              <w:ind w:left="-57" w:right="-5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2023 г.</w:t>
            </w:r>
          </w:p>
        </w:tc>
      </w:tr>
      <w:tr w:rsidR="00FD7B0B" w:rsidRPr="00FD7B0B" w14:paraId="16C4098D" w14:textId="77777777" w:rsidTr="00BE64F6">
        <w:tc>
          <w:tcPr>
            <w:tcW w:w="2552" w:type="dxa"/>
            <w:shd w:val="clear" w:color="auto" w:fill="auto"/>
            <w:vAlign w:val="bottom"/>
          </w:tcPr>
          <w:p w14:paraId="5C48CAD2" w14:textId="77777777" w:rsidR="005A472F" w:rsidRPr="00FD7B0B" w:rsidRDefault="005A472F" w:rsidP="00C5789F">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Всего, из них (более 10 тыс.м</w:t>
            </w:r>
            <w:r w:rsidRPr="00FD7B0B">
              <w:rPr>
                <w:rFonts w:ascii="Times New Roman" w:eastAsia="Times New Roman" w:hAnsi="Times New Roman" w:cs="Times New Roman"/>
                <w:vertAlign w:val="superscript"/>
                <w:lang w:eastAsia="ru-RU"/>
              </w:rPr>
              <w:t>2</w:t>
            </w:r>
            <w:r w:rsidRPr="00FD7B0B">
              <w:rPr>
                <w:rFonts w:ascii="Times New Roman" w:eastAsia="Times New Roman" w:hAnsi="Times New Roman" w:cs="Times New Roman"/>
                <w:lang w:eastAsia="ru-RU"/>
              </w:rPr>
              <w:t>):</w:t>
            </w:r>
          </w:p>
        </w:tc>
        <w:tc>
          <w:tcPr>
            <w:tcW w:w="1417" w:type="dxa"/>
            <w:shd w:val="clear" w:color="auto" w:fill="auto"/>
            <w:vAlign w:val="bottom"/>
          </w:tcPr>
          <w:p w14:paraId="6F99CCA1" w14:textId="77777777" w:rsidR="005A472F" w:rsidRPr="00FD7B0B" w:rsidRDefault="005A472F" w:rsidP="00BE64F6">
            <w:pPr>
              <w:spacing w:after="0" w:line="240" w:lineRule="auto"/>
              <w:ind w:right="-108"/>
              <w:jc w:val="right"/>
              <w:rPr>
                <w:rFonts w:ascii="Times New Roman" w:hAnsi="Times New Roman" w:cs="Times New Roman"/>
                <w:lang w:val="en-US"/>
              </w:rPr>
            </w:pPr>
            <w:r w:rsidRPr="00FD7B0B">
              <w:rPr>
                <w:rFonts w:ascii="Times New Roman" w:hAnsi="Times New Roman" w:cs="Times New Roman"/>
                <w:lang w:val="en-US"/>
              </w:rPr>
              <w:t>426</w:t>
            </w:r>
            <w:r w:rsidRPr="00FD7B0B">
              <w:rPr>
                <w:rFonts w:ascii="Times New Roman" w:hAnsi="Times New Roman" w:cs="Times New Roman"/>
              </w:rPr>
              <w:t xml:space="preserve"> </w:t>
            </w:r>
            <w:r w:rsidRPr="00FD7B0B">
              <w:rPr>
                <w:rFonts w:ascii="Times New Roman" w:hAnsi="Times New Roman" w:cs="Times New Roman"/>
                <w:lang w:val="en-US"/>
              </w:rPr>
              <w:t>435</w:t>
            </w:r>
          </w:p>
        </w:tc>
        <w:tc>
          <w:tcPr>
            <w:tcW w:w="992" w:type="dxa"/>
            <w:shd w:val="clear" w:color="auto" w:fill="auto"/>
            <w:vAlign w:val="bottom"/>
          </w:tcPr>
          <w:p w14:paraId="7A4C1D5E" w14:textId="77777777" w:rsidR="005A472F" w:rsidRPr="00FD7B0B" w:rsidRDefault="005A472F" w:rsidP="00BE64F6">
            <w:pPr>
              <w:spacing w:after="0" w:line="240" w:lineRule="auto"/>
              <w:ind w:right="33"/>
              <w:jc w:val="right"/>
              <w:rPr>
                <w:rFonts w:ascii="Times New Roman" w:hAnsi="Times New Roman" w:cs="Times New Roman"/>
              </w:rPr>
            </w:pPr>
            <w:r w:rsidRPr="00FD7B0B">
              <w:rPr>
                <w:rFonts w:ascii="Times New Roman" w:hAnsi="Times New Roman" w:cs="Times New Roman"/>
                <w:lang w:val="en-US"/>
              </w:rPr>
              <w:t>100</w:t>
            </w:r>
            <w:r w:rsidRPr="00FD7B0B">
              <w:rPr>
                <w:rFonts w:ascii="Times New Roman" w:hAnsi="Times New Roman" w:cs="Times New Roman"/>
              </w:rPr>
              <w:t>,9</w:t>
            </w:r>
          </w:p>
        </w:tc>
        <w:tc>
          <w:tcPr>
            <w:tcW w:w="1276" w:type="dxa"/>
            <w:shd w:val="clear" w:color="auto" w:fill="auto"/>
            <w:vAlign w:val="bottom"/>
          </w:tcPr>
          <w:p w14:paraId="550F9A1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440 616</w:t>
            </w:r>
          </w:p>
        </w:tc>
        <w:tc>
          <w:tcPr>
            <w:tcW w:w="992" w:type="dxa"/>
            <w:vAlign w:val="bottom"/>
          </w:tcPr>
          <w:p w14:paraId="5297DA7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103,3</w:t>
            </w:r>
          </w:p>
        </w:tc>
        <w:tc>
          <w:tcPr>
            <w:tcW w:w="1275" w:type="dxa"/>
            <w:vAlign w:val="bottom"/>
          </w:tcPr>
          <w:p w14:paraId="26A60810" w14:textId="77777777" w:rsidR="005A472F" w:rsidRPr="00FD7B0B" w:rsidRDefault="005A472F" w:rsidP="00BE64F6">
            <w:pPr>
              <w:spacing w:after="0" w:line="240" w:lineRule="auto"/>
              <w:ind w:left="-108"/>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453 400</w:t>
            </w:r>
          </w:p>
        </w:tc>
        <w:tc>
          <w:tcPr>
            <w:tcW w:w="1134" w:type="dxa"/>
            <w:vAlign w:val="bottom"/>
          </w:tcPr>
          <w:p w14:paraId="4A90240E" w14:textId="77777777" w:rsidR="005A472F" w:rsidRPr="00FD7B0B" w:rsidRDefault="005A472F" w:rsidP="00BE64F6">
            <w:pPr>
              <w:spacing w:after="0" w:line="240" w:lineRule="auto"/>
              <w:ind w:left="-108"/>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102,9</w:t>
            </w:r>
          </w:p>
        </w:tc>
      </w:tr>
      <w:tr w:rsidR="00FD7B0B" w:rsidRPr="00FD7B0B" w14:paraId="4E4E7021" w14:textId="77777777" w:rsidTr="00BE64F6">
        <w:tc>
          <w:tcPr>
            <w:tcW w:w="9638" w:type="dxa"/>
            <w:gridSpan w:val="7"/>
            <w:shd w:val="clear" w:color="auto" w:fill="auto"/>
            <w:vAlign w:val="bottom"/>
          </w:tcPr>
          <w:p w14:paraId="79AF1F3D" w14:textId="77777777" w:rsidR="005A472F" w:rsidRPr="00FD7B0B" w:rsidRDefault="005A472F" w:rsidP="00BE64F6">
            <w:pPr>
              <w:spacing w:after="0" w:line="240" w:lineRule="auto"/>
              <w:ind w:lef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городские округа</w:t>
            </w:r>
          </w:p>
        </w:tc>
      </w:tr>
      <w:tr w:rsidR="00FD7B0B" w:rsidRPr="00FD7B0B" w14:paraId="17A0AE27" w14:textId="77777777" w:rsidTr="00BE64F6">
        <w:trPr>
          <w:trHeight w:val="65"/>
        </w:trPr>
        <w:tc>
          <w:tcPr>
            <w:tcW w:w="2552" w:type="dxa"/>
            <w:shd w:val="clear" w:color="auto" w:fill="auto"/>
            <w:vAlign w:val="bottom"/>
          </w:tcPr>
          <w:p w14:paraId="32307D54" w14:textId="77777777" w:rsidR="005A472F" w:rsidRPr="00FD7B0B" w:rsidRDefault="005A472F" w:rsidP="00BE64F6">
            <w:pPr>
              <w:spacing w:after="0" w:line="240" w:lineRule="auto"/>
              <w:ind w:left="22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Архангельск</w:t>
            </w:r>
          </w:p>
        </w:tc>
        <w:tc>
          <w:tcPr>
            <w:tcW w:w="1417" w:type="dxa"/>
            <w:shd w:val="clear" w:color="auto" w:fill="auto"/>
            <w:vAlign w:val="bottom"/>
          </w:tcPr>
          <w:p w14:paraId="0944C31B" w14:textId="77777777" w:rsidR="005A472F" w:rsidRPr="00FD7B0B" w:rsidRDefault="005A472F" w:rsidP="00BE64F6">
            <w:pPr>
              <w:spacing w:after="0" w:line="240" w:lineRule="auto"/>
              <w:ind w:right="-108"/>
              <w:jc w:val="right"/>
              <w:rPr>
                <w:rFonts w:ascii="Times New Roman" w:hAnsi="Times New Roman" w:cs="Times New Roman"/>
              </w:rPr>
            </w:pPr>
            <w:r w:rsidRPr="00FD7B0B">
              <w:rPr>
                <w:rFonts w:ascii="Times New Roman" w:hAnsi="Times New Roman" w:cs="Times New Roman"/>
              </w:rPr>
              <w:t>163 696</w:t>
            </w:r>
          </w:p>
        </w:tc>
        <w:tc>
          <w:tcPr>
            <w:tcW w:w="992" w:type="dxa"/>
            <w:shd w:val="clear" w:color="auto" w:fill="auto"/>
            <w:vAlign w:val="bottom"/>
          </w:tcPr>
          <w:p w14:paraId="2DFD9024" w14:textId="77777777" w:rsidR="005A472F" w:rsidRPr="00FD7B0B" w:rsidRDefault="005A472F" w:rsidP="00BE64F6">
            <w:pPr>
              <w:spacing w:after="0" w:line="240" w:lineRule="auto"/>
              <w:ind w:right="33"/>
              <w:jc w:val="right"/>
              <w:rPr>
                <w:rFonts w:ascii="Times New Roman" w:hAnsi="Times New Roman" w:cs="Times New Roman"/>
              </w:rPr>
            </w:pPr>
            <w:r w:rsidRPr="00FD7B0B">
              <w:rPr>
                <w:rFonts w:ascii="Times New Roman" w:hAnsi="Times New Roman" w:cs="Times New Roman"/>
              </w:rPr>
              <w:t>в 1,5 р.</w:t>
            </w:r>
          </w:p>
        </w:tc>
        <w:tc>
          <w:tcPr>
            <w:tcW w:w="1276" w:type="dxa"/>
            <w:shd w:val="clear" w:color="auto" w:fill="auto"/>
            <w:vAlign w:val="bottom"/>
          </w:tcPr>
          <w:p w14:paraId="738F8ACB"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189 930</w:t>
            </w:r>
          </w:p>
        </w:tc>
        <w:tc>
          <w:tcPr>
            <w:tcW w:w="992" w:type="dxa"/>
            <w:vAlign w:val="bottom"/>
          </w:tcPr>
          <w:p w14:paraId="64CC8627"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116,0</w:t>
            </w:r>
          </w:p>
        </w:tc>
        <w:tc>
          <w:tcPr>
            <w:tcW w:w="1275" w:type="dxa"/>
            <w:vAlign w:val="bottom"/>
          </w:tcPr>
          <w:p w14:paraId="1543827A"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118 001</w:t>
            </w:r>
          </w:p>
        </w:tc>
        <w:tc>
          <w:tcPr>
            <w:tcW w:w="1134" w:type="dxa"/>
            <w:vAlign w:val="bottom"/>
          </w:tcPr>
          <w:p w14:paraId="59F142E8" w14:textId="78A48CA8" w:rsidR="005A472F" w:rsidRPr="00FD7B0B" w:rsidRDefault="00CE6AA1" w:rsidP="00BE64F6">
            <w:pPr>
              <w:spacing w:after="0" w:line="240" w:lineRule="auto"/>
              <w:ind w:left="-108"/>
              <w:jc w:val="right"/>
              <w:rPr>
                <w:rFonts w:ascii="Times New Roman" w:hAnsi="Times New Roman" w:cs="Times New Roman"/>
              </w:rPr>
            </w:pPr>
            <w:r w:rsidRPr="00FD7B0B">
              <w:rPr>
                <w:rFonts w:ascii="Times New Roman" w:hAnsi="Times New Roman" w:cs="Times New Roman"/>
              </w:rPr>
              <w:t>62,1</w:t>
            </w:r>
          </w:p>
        </w:tc>
      </w:tr>
      <w:tr w:rsidR="00FD7B0B" w:rsidRPr="00FD7B0B" w14:paraId="68DB807B" w14:textId="77777777" w:rsidTr="00BE64F6">
        <w:tc>
          <w:tcPr>
            <w:tcW w:w="2552" w:type="dxa"/>
            <w:shd w:val="clear" w:color="auto" w:fill="auto"/>
            <w:vAlign w:val="bottom"/>
          </w:tcPr>
          <w:p w14:paraId="0A45C8EA" w14:textId="77777777" w:rsidR="005A472F" w:rsidRPr="00FD7B0B" w:rsidRDefault="005A472F" w:rsidP="00BE64F6">
            <w:pPr>
              <w:spacing w:after="0" w:line="240" w:lineRule="auto"/>
              <w:ind w:left="22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Котлас</w:t>
            </w:r>
          </w:p>
        </w:tc>
        <w:tc>
          <w:tcPr>
            <w:tcW w:w="1417" w:type="dxa"/>
            <w:shd w:val="clear" w:color="auto" w:fill="auto"/>
            <w:vAlign w:val="bottom"/>
          </w:tcPr>
          <w:p w14:paraId="32397C12" w14:textId="77777777" w:rsidR="005A472F" w:rsidRPr="00FD7B0B" w:rsidRDefault="005A472F" w:rsidP="00BE64F6">
            <w:pPr>
              <w:spacing w:after="0" w:line="240" w:lineRule="auto"/>
              <w:ind w:right="-108"/>
              <w:jc w:val="right"/>
              <w:rPr>
                <w:rFonts w:ascii="Times New Roman" w:hAnsi="Times New Roman" w:cs="Times New Roman"/>
              </w:rPr>
            </w:pPr>
            <w:r w:rsidRPr="00FD7B0B">
              <w:rPr>
                <w:rFonts w:ascii="Times New Roman" w:hAnsi="Times New Roman" w:cs="Times New Roman"/>
              </w:rPr>
              <w:t>18 835</w:t>
            </w:r>
          </w:p>
        </w:tc>
        <w:tc>
          <w:tcPr>
            <w:tcW w:w="992" w:type="dxa"/>
            <w:shd w:val="clear" w:color="auto" w:fill="auto"/>
            <w:vAlign w:val="bottom"/>
          </w:tcPr>
          <w:p w14:paraId="625987D1" w14:textId="77777777" w:rsidR="005A472F" w:rsidRPr="00FD7B0B" w:rsidRDefault="005A472F" w:rsidP="00BE64F6">
            <w:pPr>
              <w:spacing w:after="0" w:line="240" w:lineRule="auto"/>
              <w:ind w:right="33"/>
              <w:jc w:val="right"/>
              <w:rPr>
                <w:rFonts w:ascii="Times New Roman" w:hAnsi="Times New Roman" w:cs="Times New Roman"/>
              </w:rPr>
            </w:pPr>
            <w:r w:rsidRPr="00FD7B0B">
              <w:rPr>
                <w:rFonts w:ascii="Times New Roman" w:hAnsi="Times New Roman" w:cs="Times New Roman"/>
              </w:rPr>
              <w:t>39,6</w:t>
            </w:r>
          </w:p>
        </w:tc>
        <w:tc>
          <w:tcPr>
            <w:tcW w:w="1276" w:type="dxa"/>
            <w:shd w:val="clear" w:color="auto" w:fill="auto"/>
            <w:vAlign w:val="bottom"/>
          </w:tcPr>
          <w:p w14:paraId="1FBC4F7E"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12 262</w:t>
            </w:r>
          </w:p>
        </w:tc>
        <w:tc>
          <w:tcPr>
            <w:tcW w:w="992" w:type="dxa"/>
            <w:vAlign w:val="bottom"/>
          </w:tcPr>
          <w:p w14:paraId="16426433"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65,1</w:t>
            </w:r>
          </w:p>
        </w:tc>
        <w:tc>
          <w:tcPr>
            <w:tcW w:w="1275" w:type="dxa"/>
            <w:vAlign w:val="bottom"/>
          </w:tcPr>
          <w:p w14:paraId="0C0AC0B0"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16 177</w:t>
            </w:r>
          </w:p>
        </w:tc>
        <w:tc>
          <w:tcPr>
            <w:tcW w:w="1134" w:type="dxa"/>
            <w:vAlign w:val="bottom"/>
          </w:tcPr>
          <w:p w14:paraId="138ED058"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131,9</w:t>
            </w:r>
          </w:p>
        </w:tc>
      </w:tr>
      <w:tr w:rsidR="00FD7B0B" w:rsidRPr="00FD7B0B" w14:paraId="167E6EAF" w14:textId="77777777" w:rsidTr="00BE64F6">
        <w:tc>
          <w:tcPr>
            <w:tcW w:w="2552" w:type="dxa"/>
            <w:shd w:val="clear" w:color="auto" w:fill="auto"/>
            <w:vAlign w:val="bottom"/>
          </w:tcPr>
          <w:p w14:paraId="47DCD795" w14:textId="77777777" w:rsidR="005A472F" w:rsidRPr="00FD7B0B" w:rsidRDefault="005A472F" w:rsidP="00BE64F6">
            <w:pPr>
              <w:spacing w:after="0" w:line="240" w:lineRule="auto"/>
              <w:ind w:left="22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Северодвинск</w:t>
            </w:r>
          </w:p>
        </w:tc>
        <w:tc>
          <w:tcPr>
            <w:tcW w:w="1417" w:type="dxa"/>
            <w:shd w:val="clear" w:color="auto" w:fill="auto"/>
            <w:vAlign w:val="bottom"/>
          </w:tcPr>
          <w:p w14:paraId="7E47545B" w14:textId="77777777" w:rsidR="005A472F" w:rsidRPr="00FD7B0B" w:rsidRDefault="005A472F" w:rsidP="00BE64F6">
            <w:pPr>
              <w:spacing w:after="0" w:line="240" w:lineRule="auto"/>
              <w:ind w:right="-108"/>
              <w:jc w:val="right"/>
              <w:rPr>
                <w:rFonts w:ascii="Times New Roman" w:hAnsi="Times New Roman" w:cs="Times New Roman"/>
              </w:rPr>
            </w:pPr>
            <w:r w:rsidRPr="00FD7B0B">
              <w:rPr>
                <w:rFonts w:ascii="Times New Roman" w:hAnsi="Times New Roman" w:cs="Times New Roman"/>
              </w:rPr>
              <w:t>68 271</w:t>
            </w:r>
          </w:p>
        </w:tc>
        <w:tc>
          <w:tcPr>
            <w:tcW w:w="992" w:type="dxa"/>
            <w:shd w:val="clear" w:color="auto" w:fill="auto"/>
            <w:vAlign w:val="bottom"/>
          </w:tcPr>
          <w:p w14:paraId="117C101C" w14:textId="77777777" w:rsidR="005A472F" w:rsidRPr="00FD7B0B" w:rsidRDefault="005A472F" w:rsidP="00BE64F6">
            <w:pPr>
              <w:spacing w:after="0" w:line="240" w:lineRule="auto"/>
              <w:ind w:right="33"/>
              <w:jc w:val="right"/>
              <w:rPr>
                <w:rFonts w:ascii="Times New Roman" w:hAnsi="Times New Roman" w:cs="Times New Roman"/>
              </w:rPr>
            </w:pPr>
            <w:r w:rsidRPr="00FD7B0B">
              <w:rPr>
                <w:rFonts w:ascii="Times New Roman" w:hAnsi="Times New Roman" w:cs="Times New Roman"/>
              </w:rPr>
              <w:t>80,6</w:t>
            </w:r>
          </w:p>
        </w:tc>
        <w:tc>
          <w:tcPr>
            <w:tcW w:w="1276" w:type="dxa"/>
            <w:shd w:val="clear" w:color="auto" w:fill="auto"/>
            <w:vAlign w:val="bottom"/>
          </w:tcPr>
          <w:p w14:paraId="5F82CF1F"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51 268</w:t>
            </w:r>
          </w:p>
        </w:tc>
        <w:tc>
          <w:tcPr>
            <w:tcW w:w="992" w:type="dxa"/>
            <w:vAlign w:val="bottom"/>
          </w:tcPr>
          <w:p w14:paraId="3850C702"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75,1</w:t>
            </w:r>
          </w:p>
        </w:tc>
        <w:tc>
          <w:tcPr>
            <w:tcW w:w="1275" w:type="dxa"/>
            <w:vAlign w:val="bottom"/>
          </w:tcPr>
          <w:p w14:paraId="0DEF5D0A"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127 487</w:t>
            </w:r>
          </w:p>
        </w:tc>
        <w:tc>
          <w:tcPr>
            <w:tcW w:w="1134" w:type="dxa"/>
            <w:vAlign w:val="bottom"/>
          </w:tcPr>
          <w:p w14:paraId="32D0FCC9"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в 2,5 раза</w:t>
            </w:r>
          </w:p>
        </w:tc>
      </w:tr>
      <w:tr w:rsidR="00FD7B0B" w:rsidRPr="00FD7B0B" w14:paraId="51FAD9F9" w14:textId="77777777" w:rsidTr="00BE64F6">
        <w:tc>
          <w:tcPr>
            <w:tcW w:w="9638" w:type="dxa"/>
            <w:gridSpan w:val="7"/>
            <w:shd w:val="clear" w:color="auto" w:fill="auto"/>
            <w:vAlign w:val="bottom"/>
          </w:tcPr>
          <w:p w14:paraId="0B68E3E1" w14:textId="77777777" w:rsidR="005A472F" w:rsidRPr="00FD7B0B" w:rsidRDefault="005A472F" w:rsidP="00BE64F6">
            <w:pPr>
              <w:spacing w:after="0" w:line="240" w:lineRule="auto"/>
              <w:ind w:lef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муниципальные районы (округа)</w:t>
            </w:r>
          </w:p>
        </w:tc>
      </w:tr>
      <w:tr w:rsidR="00FD7B0B" w:rsidRPr="00FD7B0B" w14:paraId="01E5B368" w14:textId="77777777" w:rsidTr="00BE64F6">
        <w:tc>
          <w:tcPr>
            <w:tcW w:w="2552" w:type="dxa"/>
            <w:shd w:val="clear" w:color="auto" w:fill="auto"/>
            <w:vAlign w:val="bottom"/>
          </w:tcPr>
          <w:p w14:paraId="1F88F7E1" w14:textId="77777777" w:rsidR="005A472F" w:rsidRPr="00FD7B0B" w:rsidRDefault="005A472F" w:rsidP="00BE64F6">
            <w:pPr>
              <w:spacing w:after="0" w:line="240" w:lineRule="auto"/>
              <w:ind w:left="22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Вельский</w:t>
            </w:r>
          </w:p>
        </w:tc>
        <w:tc>
          <w:tcPr>
            <w:tcW w:w="1417" w:type="dxa"/>
            <w:shd w:val="clear" w:color="auto" w:fill="auto"/>
            <w:vAlign w:val="bottom"/>
          </w:tcPr>
          <w:p w14:paraId="649A4515" w14:textId="77777777" w:rsidR="005A472F" w:rsidRPr="00FD7B0B" w:rsidRDefault="005A472F" w:rsidP="00BE64F6">
            <w:pPr>
              <w:spacing w:after="0" w:line="240" w:lineRule="auto"/>
              <w:ind w:right="-108"/>
              <w:jc w:val="right"/>
              <w:rPr>
                <w:rFonts w:ascii="Times New Roman" w:hAnsi="Times New Roman" w:cs="Times New Roman"/>
              </w:rPr>
            </w:pPr>
            <w:r w:rsidRPr="00FD7B0B">
              <w:rPr>
                <w:rFonts w:ascii="Times New Roman" w:hAnsi="Times New Roman" w:cs="Times New Roman"/>
              </w:rPr>
              <w:t>16 594</w:t>
            </w:r>
          </w:p>
        </w:tc>
        <w:tc>
          <w:tcPr>
            <w:tcW w:w="992" w:type="dxa"/>
            <w:shd w:val="clear" w:color="auto" w:fill="auto"/>
            <w:vAlign w:val="bottom"/>
          </w:tcPr>
          <w:p w14:paraId="0D592860" w14:textId="77777777" w:rsidR="005A472F" w:rsidRPr="00FD7B0B" w:rsidRDefault="005A472F" w:rsidP="00BE64F6">
            <w:pPr>
              <w:spacing w:after="0" w:line="240" w:lineRule="auto"/>
              <w:ind w:right="33"/>
              <w:jc w:val="right"/>
              <w:rPr>
                <w:rFonts w:ascii="Times New Roman" w:hAnsi="Times New Roman" w:cs="Times New Roman"/>
              </w:rPr>
            </w:pPr>
            <w:r w:rsidRPr="00FD7B0B">
              <w:rPr>
                <w:rFonts w:ascii="Times New Roman" w:hAnsi="Times New Roman" w:cs="Times New Roman"/>
              </w:rPr>
              <w:t>85,1</w:t>
            </w:r>
          </w:p>
        </w:tc>
        <w:tc>
          <w:tcPr>
            <w:tcW w:w="1276" w:type="dxa"/>
            <w:shd w:val="clear" w:color="auto" w:fill="auto"/>
            <w:vAlign w:val="bottom"/>
          </w:tcPr>
          <w:p w14:paraId="306E9403"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17 606</w:t>
            </w:r>
          </w:p>
        </w:tc>
        <w:tc>
          <w:tcPr>
            <w:tcW w:w="992" w:type="dxa"/>
            <w:vAlign w:val="bottom"/>
          </w:tcPr>
          <w:p w14:paraId="1D310637"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106,1</w:t>
            </w:r>
          </w:p>
        </w:tc>
        <w:tc>
          <w:tcPr>
            <w:tcW w:w="1275" w:type="dxa"/>
            <w:vAlign w:val="bottom"/>
          </w:tcPr>
          <w:p w14:paraId="7CC83E9F"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27 519</w:t>
            </w:r>
          </w:p>
        </w:tc>
        <w:tc>
          <w:tcPr>
            <w:tcW w:w="1134" w:type="dxa"/>
            <w:vAlign w:val="bottom"/>
          </w:tcPr>
          <w:p w14:paraId="29176761"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в 1,5 раза</w:t>
            </w:r>
          </w:p>
        </w:tc>
      </w:tr>
      <w:tr w:rsidR="00FD7B0B" w:rsidRPr="00FD7B0B" w14:paraId="07D8EB42" w14:textId="77777777" w:rsidTr="00BE64F6">
        <w:tc>
          <w:tcPr>
            <w:tcW w:w="2552" w:type="dxa"/>
            <w:shd w:val="clear" w:color="auto" w:fill="auto"/>
            <w:vAlign w:val="bottom"/>
          </w:tcPr>
          <w:p w14:paraId="642054FA" w14:textId="77777777" w:rsidR="005A472F" w:rsidRPr="00FD7B0B" w:rsidRDefault="005A472F" w:rsidP="00BE64F6">
            <w:pPr>
              <w:spacing w:after="0" w:line="240" w:lineRule="auto"/>
              <w:ind w:left="22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Котласский</w:t>
            </w:r>
          </w:p>
        </w:tc>
        <w:tc>
          <w:tcPr>
            <w:tcW w:w="1417" w:type="dxa"/>
            <w:shd w:val="clear" w:color="auto" w:fill="auto"/>
            <w:vAlign w:val="bottom"/>
          </w:tcPr>
          <w:p w14:paraId="4768DD81" w14:textId="77777777" w:rsidR="005A472F" w:rsidRPr="00FD7B0B" w:rsidRDefault="005A472F" w:rsidP="00BE64F6">
            <w:pPr>
              <w:spacing w:after="0" w:line="240" w:lineRule="auto"/>
              <w:ind w:right="-108"/>
              <w:jc w:val="right"/>
              <w:rPr>
                <w:rFonts w:ascii="Times New Roman" w:hAnsi="Times New Roman" w:cs="Times New Roman"/>
              </w:rPr>
            </w:pPr>
            <w:r w:rsidRPr="00FD7B0B">
              <w:rPr>
                <w:rFonts w:ascii="Times New Roman" w:hAnsi="Times New Roman" w:cs="Times New Roman"/>
              </w:rPr>
              <w:t>13 726</w:t>
            </w:r>
          </w:p>
        </w:tc>
        <w:tc>
          <w:tcPr>
            <w:tcW w:w="992" w:type="dxa"/>
            <w:shd w:val="clear" w:color="auto" w:fill="auto"/>
            <w:vAlign w:val="bottom"/>
          </w:tcPr>
          <w:p w14:paraId="1D0670D0" w14:textId="77777777" w:rsidR="005A472F" w:rsidRPr="00FD7B0B" w:rsidRDefault="005A472F" w:rsidP="00BE64F6">
            <w:pPr>
              <w:spacing w:after="0" w:line="240" w:lineRule="auto"/>
              <w:ind w:right="33"/>
              <w:jc w:val="right"/>
              <w:rPr>
                <w:rFonts w:ascii="Times New Roman" w:hAnsi="Times New Roman" w:cs="Times New Roman"/>
              </w:rPr>
            </w:pPr>
            <w:r w:rsidRPr="00FD7B0B">
              <w:rPr>
                <w:rFonts w:ascii="Times New Roman" w:hAnsi="Times New Roman" w:cs="Times New Roman"/>
              </w:rPr>
              <w:t>109,3</w:t>
            </w:r>
          </w:p>
        </w:tc>
        <w:tc>
          <w:tcPr>
            <w:tcW w:w="1276" w:type="dxa"/>
            <w:shd w:val="clear" w:color="auto" w:fill="auto"/>
            <w:vAlign w:val="bottom"/>
          </w:tcPr>
          <w:p w14:paraId="1B2291F7"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12 751</w:t>
            </w:r>
          </w:p>
        </w:tc>
        <w:tc>
          <w:tcPr>
            <w:tcW w:w="992" w:type="dxa"/>
            <w:vAlign w:val="bottom"/>
          </w:tcPr>
          <w:p w14:paraId="18465F44"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92,9</w:t>
            </w:r>
          </w:p>
        </w:tc>
        <w:tc>
          <w:tcPr>
            <w:tcW w:w="1275" w:type="dxa"/>
            <w:vAlign w:val="bottom"/>
          </w:tcPr>
          <w:p w14:paraId="5EC15F76"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14 420</w:t>
            </w:r>
          </w:p>
        </w:tc>
        <w:tc>
          <w:tcPr>
            <w:tcW w:w="1134" w:type="dxa"/>
            <w:vAlign w:val="bottom"/>
          </w:tcPr>
          <w:p w14:paraId="3B780EB4"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113,1</w:t>
            </w:r>
          </w:p>
        </w:tc>
      </w:tr>
      <w:tr w:rsidR="00FD7B0B" w:rsidRPr="00FD7B0B" w14:paraId="352F4E71" w14:textId="77777777" w:rsidTr="00BE64F6">
        <w:tc>
          <w:tcPr>
            <w:tcW w:w="2552" w:type="dxa"/>
            <w:shd w:val="clear" w:color="auto" w:fill="auto"/>
            <w:vAlign w:val="bottom"/>
          </w:tcPr>
          <w:p w14:paraId="27C5EA9E" w14:textId="77777777" w:rsidR="005A472F" w:rsidRPr="00FD7B0B" w:rsidRDefault="005A472F" w:rsidP="00BE64F6">
            <w:pPr>
              <w:spacing w:after="0" w:line="240" w:lineRule="auto"/>
              <w:ind w:left="22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Плесецкий</w:t>
            </w:r>
          </w:p>
        </w:tc>
        <w:tc>
          <w:tcPr>
            <w:tcW w:w="1417" w:type="dxa"/>
            <w:shd w:val="clear" w:color="auto" w:fill="auto"/>
            <w:vAlign w:val="bottom"/>
          </w:tcPr>
          <w:p w14:paraId="6EC6663E" w14:textId="77777777" w:rsidR="005A472F" w:rsidRPr="00FD7B0B" w:rsidRDefault="005A472F" w:rsidP="00BE64F6">
            <w:pPr>
              <w:spacing w:after="0" w:line="240" w:lineRule="auto"/>
              <w:ind w:right="-108"/>
              <w:jc w:val="right"/>
              <w:rPr>
                <w:rFonts w:ascii="Times New Roman" w:hAnsi="Times New Roman" w:cs="Times New Roman"/>
              </w:rPr>
            </w:pPr>
            <w:r w:rsidRPr="00FD7B0B">
              <w:rPr>
                <w:rFonts w:ascii="Times New Roman" w:hAnsi="Times New Roman" w:cs="Times New Roman"/>
              </w:rPr>
              <w:t>11 166</w:t>
            </w:r>
          </w:p>
        </w:tc>
        <w:tc>
          <w:tcPr>
            <w:tcW w:w="992" w:type="dxa"/>
            <w:shd w:val="clear" w:color="auto" w:fill="auto"/>
            <w:vAlign w:val="bottom"/>
          </w:tcPr>
          <w:p w14:paraId="4C4D573A" w14:textId="77777777" w:rsidR="005A472F" w:rsidRPr="00FD7B0B" w:rsidRDefault="005A472F" w:rsidP="00BE64F6">
            <w:pPr>
              <w:spacing w:after="0" w:line="240" w:lineRule="auto"/>
              <w:ind w:right="33"/>
              <w:jc w:val="right"/>
              <w:rPr>
                <w:rFonts w:ascii="Times New Roman" w:hAnsi="Times New Roman" w:cs="Times New Roman"/>
              </w:rPr>
            </w:pPr>
            <w:r w:rsidRPr="00FD7B0B">
              <w:rPr>
                <w:rFonts w:ascii="Times New Roman" w:hAnsi="Times New Roman" w:cs="Times New Roman"/>
              </w:rPr>
              <w:t>87,6</w:t>
            </w:r>
          </w:p>
        </w:tc>
        <w:tc>
          <w:tcPr>
            <w:tcW w:w="1276" w:type="dxa"/>
            <w:shd w:val="clear" w:color="auto" w:fill="auto"/>
            <w:vAlign w:val="bottom"/>
          </w:tcPr>
          <w:p w14:paraId="4E182BE7"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6 801</w:t>
            </w:r>
          </w:p>
        </w:tc>
        <w:tc>
          <w:tcPr>
            <w:tcW w:w="992" w:type="dxa"/>
            <w:vAlign w:val="bottom"/>
          </w:tcPr>
          <w:p w14:paraId="105922F9"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60,9</w:t>
            </w:r>
          </w:p>
        </w:tc>
        <w:tc>
          <w:tcPr>
            <w:tcW w:w="1275" w:type="dxa"/>
            <w:vAlign w:val="bottom"/>
          </w:tcPr>
          <w:p w14:paraId="469F6D11"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10 359</w:t>
            </w:r>
          </w:p>
        </w:tc>
        <w:tc>
          <w:tcPr>
            <w:tcW w:w="1134" w:type="dxa"/>
            <w:vAlign w:val="bottom"/>
          </w:tcPr>
          <w:p w14:paraId="6D28115F"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в 1,5 раза</w:t>
            </w:r>
          </w:p>
        </w:tc>
      </w:tr>
      <w:tr w:rsidR="00FD7B0B" w:rsidRPr="00FD7B0B" w14:paraId="71B986BA" w14:textId="77777777" w:rsidTr="00BE64F6">
        <w:trPr>
          <w:trHeight w:val="70"/>
        </w:trPr>
        <w:tc>
          <w:tcPr>
            <w:tcW w:w="2552" w:type="dxa"/>
            <w:shd w:val="clear" w:color="auto" w:fill="auto"/>
            <w:vAlign w:val="bottom"/>
          </w:tcPr>
          <w:p w14:paraId="72E1124D" w14:textId="77777777" w:rsidR="005A472F" w:rsidRPr="00FD7B0B" w:rsidRDefault="005A472F" w:rsidP="00BE64F6">
            <w:pPr>
              <w:spacing w:after="0" w:line="240" w:lineRule="auto"/>
              <w:ind w:left="227"/>
              <w:rPr>
                <w:rFonts w:ascii="Times New Roman" w:eastAsia="Times New Roman" w:hAnsi="Times New Roman" w:cs="Times New Roman"/>
                <w:lang w:val="en-US" w:eastAsia="ru-RU"/>
              </w:rPr>
            </w:pPr>
            <w:r w:rsidRPr="00FD7B0B">
              <w:rPr>
                <w:rFonts w:ascii="Times New Roman" w:eastAsia="Times New Roman" w:hAnsi="Times New Roman" w:cs="Times New Roman"/>
                <w:lang w:eastAsia="ru-RU"/>
              </w:rPr>
              <w:t xml:space="preserve">Приморский </w:t>
            </w:r>
          </w:p>
        </w:tc>
        <w:tc>
          <w:tcPr>
            <w:tcW w:w="1417" w:type="dxa"/>
            <w:shd w:val="clear" w:color="auto" w:fill="auto"/>
            <w:vAlign w:val="bottom"/>
          </w:tcPr>
          <w:p w14:paraId="3F87F83A" w14:textId="77777777" w:rsidR="005A472F" w:rsidRPr="00FD7B0B" w:rsidRDefault="005A472F" w:rsidP="00BE64F6">
            <w:pPr>
              <w:spacing w:after="0" w:line="240" w:lineRule="auto"/>
              <w:ind w:right="-108"/>
              <w:jc w:val="right"/>
              <w:rPr>
                <w:rFonts w:ascii="Times New Roman" w:hAnsi="Times New Roman" w:cs="Times New Roman"/>
              </w:rPr>
            </w:pPr>
            <w:r w:rsidRPr="00FD7B0B">
              <w:rPr>
                <w:rFonts w:ascii="Times New Roman" w:hAnsi="Times New Roman" w:cs="Times New Roman"/>
              </w:rPr>
              <w:t>47 329</w:t>
            </w:r>
          </w:p>
        </w:tc>
        <w:tc>
          <w:tcPr>
            <w:tcW w:w="992" w:type="dxa"/>
            <w:shd w:val="clear" w:color="auto" w:fill="auto"/>
            <w:vAlign w:val="bottom"/>
          </w:tcPr>
          <w:p w14:paraId="5E4AA468" w14:textId="77777777" w:rsidR="005A472F" w:rsidRPr="00FD7B0B" w:rsidRDefault="005A472F" w:rsidP="00BE64F6">
            <w:pPr>
              <w:spacing w:after="0" w:line="240" w:lineRule="auto"/>
              <w:ind w:right="33"/>
              <w:jc w:val="right"/>
              <w:rPr>
                <w:rFonts w:ascii="Times New Roman" w:hAnsi="Times New Roman" w:cs="Times New Roman"/>
              </w:rPr>
            </w:pPr>
            <w:r w:rsidRPr="00FD7B0B">
              <w:rPr>
                <w:rFonts w:ascii="Times New Roman" w:hAnsi="Times New Roman" w:cs="Times New Roman"/>
              </w:rPr>
              <w:t>113,0</w:t>
            </w:r>
          </w:p>
        </w:tc>
        <w:tc>
          <w:tcPr>
            <w:tcW w:w="1276" w:type="dxa"/>
            <w:shd w:val="clear" w:color="auto" w:fill="auto"/>
            <w:vAlign w:val="bottom"/>
          </w:tcPr>
          <w:p w14:paraId="709213BA"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45 366</w:t>
            </w:r>
          </w:p>
        </w:tc>
        <w:tc>
          <w:tcPr>
            <w:tcW w:w="992" w:type="dxa"/>
            <w:vAlign w:val="bottom"/>
          </w:tcPr>
          <w:p w14:paraId="2F0BC0A1"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95,9</w:t>
            </w:r>
          </w:p>
        </w:tc>
        <w:tc>
          <w:tcPr>
            <w:tcW w:w="1275" w:type="dxa"/>
            <w:vAlign w:val="bottom"/>
          </w:tcPr>
          <w:p w14:paraId="70E9B647"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48 547</w:t>
            </w:r>
          </w:p>
        </w:tc>
        <w:tc>
          <w:tcPr>
            <w:tcW w:w="1134" w:type="dxa"/>
            <w:vAlign w:val="bottom"/>
          </w:tcPr>
          <w:p w14:paraId="5102C12C"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107,0</w:t>
            </w:r>
          </w:p>
        </w:tc>
      </w:tr>
      <w:tr w:rsidR="00FD7B0B" w:rsidRPr="00FD7B0B" w14:paraId="2FF9702D" w14:textId="77777777" w:rsidTr="00BE64F6">
        <w:tc>
          <w:tcPr>
            <w:tcW w:w="2552" w:type="dxa"/>
            <w:shd w:val="clear" w:color="auto" w:fill="auto"/>
            <w:vAlign w:val="bottom"/>
          </w:tcPr>
          <w:p w14:paraId="7572944A" w14:textId="77777777" w:rsidR="005A472F" w:rsidRPr="00FD7B0B" w:rsidRDefault="005A472F" w:rsidP="00BE64F6">
            <w:pPr>
              <w:spacing w:after="0" w:line="240" w:lineRule="auto"/>
              <w:ind w:left="227"/>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Устьянский</w:t>
            </w:r>
          </w:p>
        </w:tc>
        <w:tc>
          <w:tcPr>
            <w:tcW w:w="1417" w:type="dxa"/>
            <w:shd w:val="clear" w:color="auto" w:fill="auto"/>
            <w:vAlign w:val="bottom"/>
          </w:tcPr>
          <w:p w14:paraId="47AFCB80" w14:textId="77777777" w:rsidR="005A472F" w:rsidRPr="00FD7B0B" w:rsidRDefault="005A472F" w:rsidP="00BE64F6">
            <w:pPr>
              <w:spacing w:after="0" w:line="240" w:lineRule="auto"/>
              <w:ind w:right="-108"/>
              <w:jc w:val="right"/>
              <w:rPr>
                <w:rFonts w:ascii="Times New Roman" w:hAnsi="Times New Roman" w:cs="Times New Roman"/>
              </w:rPr>
            </w:pPr>
            <w:r w:rsidRPr="00FD7B0B">
              <w:rPr>
                <w:rFonts w:ascii="Times New Roman" w:hAnsi="Times New Roman" w:cs="Times New Roman"/>
              </w:rPr>
              <w:t>14 678</w:t>
            </w:r>
          </w:p>
        </w:tc>
        <w:tc>
          <w:tcPr>
            <w:tcW w:w="992" w:type="dxa"/>
            <w:shd w:val="clear" w:color="auto" w:fill="auto"/>
            <w:vAlign w:val="bottom"/>
          </w:tcPr>
          <w:p w14:paraId="3E1EC7A4" w14:textId="77777777" w:rsidR="005A472F" w:rsidRPr="00FD7B0B" w:rsidRDefault="005A472F" w:rsidP="00BE64F6">
            <w:pPr>
              <w:spacing w:after="0" w:line="240" w:lineRule="auto"/>
              <w:ind w:right="33"/>
              <w:jc w:val="right"/>
              <w:rPr>
                <w:rFonts w:ascii="Times New Roman" w:hAnsi="Times New Roman" w:cs="Times New Roman"/>
              </w:rPr>
            </w:pPr>
            <w:r w:rsidRPr="00FD7B0B">
              <w:rPr>
                <w:rFonts w:ascii="Times New Roman" w:hAnsi="Times New Roman" w:cs="Times New Roman"/>
              </w:rPr>
              <w:t>108,8</w:t>
            </w:r>
          </w:p>
        </w:tc>
        <w:tc>
          <w:tcPr>
            <w:tcW w:w="1276" w:type="dxa"/>
            <w:shd w:val="clear" w:color="auto" w:fill="auto"/>
            <w:vAlign w:val="bottom"/>
          </w:tcPr>
          <w:p w14:paraId="3DDDA5C3"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27 537</w:t>
            </w:r>
          </w:p>
        </w:tc>
        <w:tc>
          <w:tcPr>
            <w:tcW w:w="992" w:type="dxa"/>
            <w:vAlign w:val="bottom"/>
          </w:tcPr>
          <w:p w14:paraId="7B2CF2BE" w14:textId="77777777" w:rsidR="005A472F" w:rsidRPr="00FD7B0B" w:rsidRDefault="005A472F" w:rsidP="00BE64F6">
            <w:pPr>
              <w:spacing w:after="0" w:line="240" w:lineRule="auto"/>
              <w:jc w:val="right"/>
              <w:rPr>
                <w:rFonts w:ascii="Times New Roman" w:hAnsi="Times New Roman" w:cs="Times New Roman"/>
              </w:rPr>
            </w:pPr>
            <w:r w:rsidRPr="00FD7B0B">
              <w:rPr>
                <w:rFonts w:ascii="Times New Roman" w:hAnsi="Times New Roman" w:cs="Times New Roman"/>
              </w:rPr>
              <w:t>187,6</w:t>
            </w:r>
          </w:p>
        </w:tc>
        <w:tc>
          <w:tcPr>
            <w:tcW w:w="1275" w:type="dxa"/>
            <w:vAlign w:val="bottom"/>
          </w:tcPr>
          <w:p w14:paraId="0669591D"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21 239</w:t>
            </w:r>
          </w:p>
        </w:tc>
        <w:tc>
          <w:tcPr>
            <w:tcW w:w="1134" w:type="dxa"/>
            <w:vAlign w:val="bottom"/>
          </w:tcPr>
          <w:p w14:paraId="128C6B34" w14:textId="77777777" w:rsidR="005A472F" w:rsidRPr="00FD7B0B" w:rsidRDefault="005A472F" w:rsidP="00BE64F6">
            <w:pPr>
              <w:spacing w:after="0" w:line="240" w:lineRule="auto"/>
              <w:ind w:left="-108"/>
              <w:jc w:val="right"/>
              <w:rPr>
                <w:rFonts w:ascii="Times New Roman" w:hAnsi="Times New Roman" w:cs="Times New Roman"/>
              </w:rPr>
            </w:pPr>
            <w:r w:rsidRPr="00FD7B0B">
              <w:rPr>
                <w:rFonts w:ascii="Times New Roman" w:hAnsi="Times New Roman" w:cs="Times New Roman"/>
              </w:rPr>
              <w:t>77,1</w:t>
            </w:r>
          </w:p>
        </w:tc>
      </w:tr>
    </w:tbl>
    <w:p w14:paraId="0F51305D" w14:textId="77777777" w:rsidR="005A472F" w:rsidRPr="00FD7B0B" w:rsidRDefault="005A472F" w:rsidP="00FE5DED">
      <w:pPr>
        <w:spacing w:after="0" w:line="240" w:lineRule="auto"/>
        <w:ind w:firstLine="709"/>
        <w:jc w:val="both"/>
        <w:rPr>
          <w:rFonts w:ascii="Times New Roman" w:hAnsi="Times New Roman"/>
          <w:sz w:val="28"/>
          <w:szCs w:val="28"/>
        </w:rPr>
      </w:pPr>
    </w:p>
    <w:p w14:paraId="2F4A2155" w14:textId="0430A5B2" w:rsidR="005A472F" w:rsidRPr="00FD7B0B" w:rsidRDefault="005A472F" w:rsidP="00FE5DE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части средней цены за 1 кв.м жилья общей площади на первичном и вторичном рынке на конец 4 квартала 2021 – 2024 годов динамика цен, согласно статистическим данным, представлена в таблице</w:t>
      </w:r>
      <w:r w:rsidR="00FE5DED" w:rsidRPr="00FD7B0B">
        <w:rPr>
          <w:rFonts w:ascii="Times New Roman" w:hAnsi="Times New Roman"/>
          <w:sz w:val="28"/>
          <w:szCs w:val="28"/>
        </w:rPr>
        <w:t xml:space="preserve"> </w:t>
      </w:r>
      <w:r w:rsidR="003E66BF" w:rsidRPr="00FD7B0B">
        <w:rPr>
          <w:rFonts w:ascii="Times New Roman" w:hAnsi="Times New Roman"/>
          <w:sz w:val="28"/>
          <w:szCs w:val="28"/>
        </w:rPr>
        <w:t>12</w:t>
      </w:r>
      <w:r w:rsidRPr="00FD7B0B">
        <w:rPr>
          <w:rFonts w:ascii="Times New Roman" w:hAnsi="Times New Roman"/>
          <w:sz w:val="28"/>
          <w:szCs w:val="28"/>
        </w:rPr>
        <w:t>.</w:t>
      </w:r>
    </w:p>
    <w:p w14:paraId="49ED840F" w14:textId="77777777" w:rsidR="005A472F" w:rsidRPr="00FD7B0B" w:rsidRDefault="005A472F" w:rsidP="005A472F">
      <w:pPr>
        <w:pStyle w:val="ad"/>
        <w:ind w:firstLine="851"/>
        <w:jc w:val="both"/>
        <w:rPr>
          <w:rFonts w:ascii="Times New Roman" w:hAnsi="Times New Roman"/>
        </w:rPr>
      </w:pPr>
    </w:p>
    <w:p w14:paraId="37F0068C" w14:textId="77777777" w:rsidR="005A472F" w:rsidRPr="00FD7B0B" w:rsidRDefault="005A472F" w:rsidP="005A472F">
      <w:pPr>
        <w:pStyle w:val="ad"/>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12</w:t>
      </w:r>
      <w:r w:rsidRPr="00FD7B0B">
        <w:rPr>
          <w:rFonts w:ascii="Times New Roman" w:hAnsi="Times New Roman"/>
          <w:sz w:val="24"/>
          <w:szCs w:val="24"/>
        </w:rPr>
        <w:fldChar w:fldCharType="end"/>
      </w:r>
      <w:r w:rsidRPr="00FD7B0B">
        <w:rPr>
          <w:rFonts w:ascii="Times New Roman" w:hAnsi="Times New Roman"/>
          <w:sz w:val="24"/>
          <w:szCs w:val="24"/>
        </w:rPr>
        <w:t>. Динамика средней цены за 1 кв.м жилья общей площади на первичном и вторичном рынке на конец 4 квартала 2021 – 2024 годов, тыс.руб.</w:t>
      </w:r>
    </w:p>
    <w:tbl>
      <w:tblPr>
        <w:tblW w:w="10157" w:type="dxa"/>
        <w:tblInd w:w="-318" w:type="dxa"/>
        <w:tblLayout w:type="fixed"/>
        <w:tblLook w:val="04A0" w:firstRow="1" w:lastRow="0" w:firstColumn="1" w:lastColumn="0" w:noHBand="0" w:noVBand="1"/>
      </w:tblPr>
      <w:tblGrid>
        <w:gridCol w:w="2146"/>
        <w:gridCol w:w="666"/>
        <w:gridCol w:w="666"/>
        <w:gridCol w:w="666"/>
        <w:gridCol w:w="666"/>
        <w:gridCol w:w="666"/>
        <w:gridCol w:w="666"/>
        <w:gridCol w:w="666"/>
        <w:gridCol w:w="666"/>
        <w:gridCol w:w="724"/>
        <w:gridCol w:w="665"/>
        <w:gridCol w:w="606"/>
        <w:gridCol w:w="688"/>
      </w:tblGrid>
      <w:tr w:rsidR="00FD7B0B" w:rsidRPr="00FD7B0B" w14:paraId="4736E692" w14:textId="77777777" w:rsidTr="00BE64F6">
        <w:trPr>
          <w:trHeight w:val="341"/>
          <w:tblHeader/>
        </w:trPr>
        <w:tc>
          <w:tcPr>
            <w:tcW w:w="2146"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0E37ED33" w14:textId="77777777" w:rsidR="005A472F" w:rsidRPr="00FD7B0B" w:rsidRDefault="005A472F"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показателя</w:t>
            </w:r>
          </w:p>
        </w:tc>
        <w:tc>
          <w:tcPr>
            <w:tcW w:w="2664" w:type="dxa"/>
            <w:gridSpan w:val="4"/>
            <w:tcBorders>
              <w:top w:val="double" w:sz="4" w:space="0" w:color="auto"/>
              <w:left w:val="nil"/>
              <w:bottom w:val="single" w:sz="4" w:space="0" w:color="auto"/>
              <w:right w:val="single" w:sz="4" w:space="0" w:color="auto"/>
            </w:tcBorders>
            <w:shd w:val="clear" w:color="auto" w:fill="auto"/>
            <w:vAlign w:val="center"/>
            <w:hideMark/>
          </w:tcPr>
          <w:p w14:paraId="129363D2" w14:textId="77777777" w:rsidR="005A472F" w:rsidRPr="00FD7B0B" w:rsidRDefault="005A472F"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Российская Федерация </w:t>
            </w:r>
          </w:p>
          <w:p w14:paraId="3B691BCC" w14:textId="77777777" w:rsidR="005A472F" w:rsidRPr="00FD7B0B" w:rsidRDefault="005A472F"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IV кв.</w:t>
            </w:r>
          </w:p>
        </w:tc>
        <w:tc>
          <w:tcPr>
            <w:tcW w:w="2664" w:type="dxa"/>
            <w:gridSpan w:val="4"/>
            <w:tcBorders>
              <w:top w:val="double" w:sz="4" w:space="0" w:color="auto"/>
              <w:left w:val="nil"/>
              <w:bottom w:val="single" w:sz="4" w:space="0" w:color="auto"/>
              <w:right w:val="single" w:sz="4" w:space="0" w:color="auto"/>
            </w:tcBorders>
            <w:shd w:val="clear" w:color="auto" w:fill="auto"/>
            <w:vAlign w:val="center"/>
            <w:hideMark/>
          </w:tcPr>
          <w:p w14:paraId="4A5C36E7" w14:textId="77777777" w:rsidR="005A472F" w:rsidRPr="00FD7B0B" w:rsidRDefault="005A472F"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Северо-Западный федеральный округ IV кв.</w:t>
            </w:r>
          </w:p>
        </w:tc>
        <w:tc>
          <w:tcPr>
            <w:tcW w:w="2683" w:type="dxa"/>
            <w:gridSpan w:val="4"/>
            <w:tcBorders>
              <w:top w:val="double" w:sz="4" w:space="0" w:color="auto"/>
              <w:left w:val="single" w:sz="4" w:space="0" w:color="auto"/>
              <w:bottom w:val="single" w:sz="4" w:space="0" w:color="auto"/>
              <w:right w:val="double" w:sz="4" w:space="0" w:color="auto"/>
            </w:tcBorders>
            <w:shd w:val="clear" w:color="auto" w:fill="auto"/>
            <w:vAlign w:val="center"/>
            <w:hideMark/>
          </w:tcPr>
          <w:p w14:paraId="4EB314EF" w14:textId="77777777" w:rsidR="005A472F" w:rsidRPr="00FD7B0B" w:rsidRDefault="005A472F" w:rsidP="00BE64F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Архангельская область (без НАО) IV кв.</w:t>
            </w:r>
          </w:p>
        </w:tc>
      </w:tr>
      <w:tr w:rsidR="00FD7B0B" w:rsidRPr="00FD7B0B" w14:paraId="5138AA00" w14:textId="77777777" w:rsidTr="00BE64F6">
        <w:trPr>
          <w:trHeight w:val="71"/>
          <w:tblHeader/>
        </w:trPr>
        <w:tc>
          <w:tcPr>
            <w:tcW w:w="2146" w:type="dxa"/>
            <w:vMerge/>
            <w:tcBorders>
              <w:top w:val="double" w:sz="6" w:space="0" w:color="auto"/>
              <w:left w:val="double" w:sz="4" w:space="0" w:color="auto"/>
              <w:bottom w:val="single" w:sz="4" w:space="0" w:color="auto"/>
              <w:right w:val="single" w:sz="4" w:space="0" w:color="auto"/>
            </w:tcBorders>
            <w:shd w:val="clear" w:color="auto" w:fill="auto"/>
            <w:vAlign w:val="center"/>
            <w:hideMark/>
          </w:tcPr>
          <w:p w14:paraId="20384F66" w14:textId="77777777" w:rsidR="005A472F" w:rsidRPr="00FD7B0B" w:rsidRDefault="005A472F" w:rsidP="00BE64F6">
            <w:pPr>
              <w:spacing w:after="0" w:line="240" w:lineRule="auto"/>
              <w:rPr>
                <w:rFonts w:ascii="Times New Roman" w:eastAsia="Times New Roman" w:hAnsi="Times New Roman" w:cs="Times New Roman"/>
                <w:sz w:val="20"/>
                <w:szCs w:val="20"/>
                <w:lang w:eastAsia="ru-RU"/>
              </w:rPr>
            </w:pPr>
          </w:p>
        </w:tc>
        <w:tc>
          <w:tcPr>
            <w:tcW w:w="666" w:type="dxa"/>
            <w:tcBorders>
              <w:top w:val="nil"/>
              <w:left w:val="nil"/>
              <w:bottom w:val="single" w:sz="4" w:space="0" w:color="auto"/>
              <w:right w:val="single" w:sz="4" w:space="0" w:color="auto"/>
            </w:tcBorders>
            <w:shd w:val="clear" w:color="auto" w:fill="auto"/>
            <w:vAlign w:val="center"/>
            <w:hideMark/>
          </w:tcPr>
          <w:p w14:paraId="2B4AC629"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2021</w:t>
            </w:r>
          </w:p>
        </w:tc>
        <w:tc>
          <w:tcPr>
            <w:tcW w:w="666" w:type="dxa"/>
            <w:tcBorders>
              <w:top w:val="nil"/>
              <w:left w:val="nil"/>
              <w:bottom w:val="single" w:sz="4" w:space="0" w:color="auto"/>
              <w:right w:val="single" w:sz="4" w:space="0" w:color="auto"/>
            </w:tcBorders>
            <w:shd w:val="clear" w:color="auto" w:fill="auto"/>
            <w:vAlign w:val="center"/>
          </w:tcPr>
          <w:p w14:paraId="6EA0DF05"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w:t>
            </w:r>
          </w:p>
        </w:tc>
        <w:tc>
          <w:tcPr>
            <w:tcW w:w="666" w:type="dxa"/>
            <w:tcBorders>
              <w:top w:val="nil"/>
              <w:left w:val="nil"/>
              <w:bottom w:val="single" w:sz="4" w:space="0" w:color="auto"/>
              <w:right w:val="single" w:sz="4" w:space="0" w:color="auto"/>
            </w:tcBorders>
            <w:shd w:val="clear" w:color="auto" w:fill="auto"/>
            <w:vAlign w:val="center"/>
          </w:tcPr>
          <w:p w14:paraId="2C98B1A3"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w:t>
            </w:r>
          </w:p>
        </w:tc>
        <w:tc>
          <w:tcPr>
            <w:tcW w:w="666" w:type="dxa"/>
            <w:tcBorders>
              <w:top w:val="nil"/>
              <w:left w:val="nil"/>
              <w:bottom w:val="single" w:sz="4" w:space="0" w:color="auto"/>
              <w:right w:val="single" w:sz="4" w:space="0" w:color="auto"/>
            </w:tcBorders>
            <w:shd w:val="clear" w:color="auto" w:fill="auto"/>
            <w:vAlign w:val="center"/>
          </w:tcPr>
          <w:p w14:paraId="78E38690"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w:t>
            </w:r>
          </w:p>
        </w:tc>
        <w:tc>
          <w:tcPr>
            <w:tcW w:w="666" w:type="dxa"/>
            <w:tcBorders>
              <w:top w:val="nil"/>
              <w:left w:val="nil"/>
              <w:bottom w:val="single" w:sz="4" w:space="0" w:color="auto"/>
              <w:right w:val="single" w:sz="4" w:space="0" w:color="auto"/>
            </w:tcBorders>
            <w:shd w:val="clear" w:color="auto" w:fill="auto"/>
            <w:vAlign w:val="center"/>
            <w:hideMark/>
          </w:tcPr>
          <w:p w14:paraId="4BAE4609"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2021</w:t>
            </w:r>
          </w:p>
        </w:tc>
        <w:tc>
          <w:tcPr>
            <w:tcW w:w="666" w:type="dxa"/>
            <w:tcBorders>
              <w:top w:val="nil"/>
              <w:left w:val="nil"/>
              <w:bottom w:val="single" w:sz="4" w:space="0" w:color="auto"/>
              <w:right w:val="single" w:sz="4" w:space="0" w:color="auto"/>
            </w:tcBorders>
            <w:shd w:val="clear" w:color="auto" w:fill="auto"/>
            <w:vAlign w:val="center"/>
          </w:tcPr>
          <w:p w14:paraId="77C1ADB2"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w:t>
            </w:r>
          </w:p>
        </w:tc>
        <w:tc>
          <w:tcPr>
            <w:tcW w:w="666" w:type="dxa"/>
            <w:tcBorders>
              <w:top w:val="nil"/>
              <w:left w:val="nil"/>
              <w:bottom w:val="single" w:sz="4" w:space="0" w:color="auto"/>
              <w:right w:val="single" w:sz="4" w:space="0" w:color="auto"/>
            </w:tcBorders>
            <w:shd w:val="clear" w:color="auto" w:fill="auto"/>
            <w:vAlign w:val="center"/>
          </w:tcPr>
          <w:p w14:paraId="5C316B1E"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w:t>
            </w:r>
          </w:p>
        </w:tc>
        <w:tc>
          <w:tcPr>
            <w:tcW w:w="666" w:type="dxa"/>
            <w:tcBorders>
              <w:top w:val="nil"/>
              <w:left w:val="nil"/>
              <w:bottom w:val="single" w:sz="4" w:space="0" w:color="auto"/>
              <w:right w:val="single" w:sz="4" w:space="0" w:color="auto"/>
            </w:tcBorders>
            <w:shd w:val="clear" w:color="auto" w:fill="auto"/>
            <w:vAlign w:val="center"/>
          </w:tcPr>
          <w:p w14:paraId="6EE735A3"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w:t>
            </w:r>
          </w:p>
        </w:tc>
        <w:tc>
          <w:tcPr>
            <w:tcW w:w="724" w:type="dxa"/>
            <w:tcBorders>
              <w:top w:val="nil"/>
              <w:left w:val="nil"/>
              <w:bottom w:val="single" w:sz="4" w:space="0" w:color="auto"/>
              <w:right w:val="single" w:sz="4" w:space="0" w:color="auto"/>
            </w:tcBorders>
            <w:shd w:val="clear" w:color="auto" w:fill="auto"/>
            <w:noWrap/>
            <w:vAlign w:val="center"/>
            <w:hideMark/>
          </w:tcPr>
          <w:p w14:paraId="3701A2F4"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2021</w:t>
            </w:r>
          </w:p>
        </w:tc>
        <w:tc>
          <w:tcPr>
            <w:tcW w:w="665" w:type="dxa"/>
            <w:tcBorders>
              <w:top w:val="nil"/>
              <w:left w:val="nil"/>
              <w:bottom w:val="single" w:sz="4" w:space="0" w:color="auto"/>
              <w:right w:val="single" w:sz="4" w:space="0" w:color="auto"/>
            </w:tcBorders>
            <w:shd w:val="clear" w:color="auto" w:fill="auto"/>
            <w:noWrap/>
            <w:vAlign w:val="center"/>
          </w:tcPr>
          <w:p w14:paraId="54D5447B"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w:t>
            </w:r>
          </w:p>
        </w:tc>
        <w:tc>
          <w:tcPr>
            <w:tcW w:w="606" w:type="dxa"/>
            <w:tcBorders>
              <w:top w:val="nil"/>
              <w:left w:val="nil"/>
              <w:bottom w:val="single" w:sz="4" w:space="0" w:color="auto"/>
              <w:right w:val="single" w:sz="4" w:space="0" w:color="auto"/>
            </w:tcBorders>
            <w:shd w:val="clear" w:color="auto" w:fill="auto"/>
            <w:noWrap/>
            <w:vAlign w:val="center"/>
          </w:tcPr>
          <w:p w14:paraId="14B0F45C"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w:t>
            </w:r>
          </w:p>
        </w:tc>
        <w:tc>
          <w:tcPr>
            <w:tcW w:w="688" w:type="dxa"/>
            <w:tcBorders>
              <w:top w:val="nil"/>
              <w:left w:val="nil"/>
              <w:bottom w:val="single" w:sz="4" w:space="0" w:color="auto"/>
              <w:right w:val="double" w:sz="4" w:space="0" w:color="auto"/>
            </w:tcBorders>
            <w:shd w:val="clear" w:color="auto" w:fill="auto"/>
            <w:noWrap/>
            <w:vAlign w:val="center"/>
          </w:tcPr>
          <w:p w14:paraId="639B2072" w14:textId="77777777" w:rsidR="005A472F" w:rsidRPr="00FD7B0B" w:rsidRDefault="005A472F" w:rsidP="00BE64F6">
            <w:pPr>
              <w:spacing w:after="0" w:line="240" w:lineRule="auto"/>
              <w:ind w:left="-151"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w:t>
            </w:r>
          </w:p>
        </w:tc>
      </w:tr>
      <w:tr w:rsidR="00FD7B0B" w:rsidRPr="00FD7B0B" w14:paraId="6FCAB36B" w14:textId="77777777" w:rsidTr="00BE64F6">
        <w:trPr>
          <w:trHeight w:val="765"/>
        </w:trPr>
        <w:tc>
          <w:tcPr>
            <w:tcW w:w="2146" w:type="dxa"/>
            <w:tcBorders>
              <w:top w:val="nil"/>
              <w:left w:val="double" w:sz="4" w:space="0" w:color="auto"/>
              <w:bottom w:val="single" w:sz="4" w:space="0" w:color="auto"/>
              <w:right w:val="single" w:sz="4" w:space="0" w:color="auto"/>
            </w:tcBorders>
            <w:shd w:val="clear" w:color="auto" w:fill="auto"/>
            <w:vAlign w:val="center"/>
            <w:hideMark/>
          </w:tcPr>
          <w:p w14:paraId="05DEB41F" w14:textId="77777777" w:rsidR="005A472F" w:rsidRPr="00FD7B0B" w:rsidRDefault="005A472F"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Средняя цена за 1 кв. м. жилья на </w:t>
            </w:r>
            <w:r w:rsidRPr="00FD7B0B">
              <w:rPr>
                <w:rFonts w:ascii="Times New Roman" w:eastAsia="Times New Roman" w:hAnsi="Times New Roman" w:cs="Times New Roman"/>
                <w:b/>
                <w:bCs/>
                <w:sz w:val="20"/>
                <w:szCs w:val="20"/>
                <w:u w:val="single"/>
                <w:lang w:eastAsia="ru-RU"/>
              </w:rPr>
              <w:t xml:space="preserve">первичном </w:t>
            </w:r>
            <w:r w:rsidRPr="00FD7B0B">
              <w:rPr>
                <w:rFonts w:ascii="Times New Roman" w:eastAsia="Times New Roman" w:hAnsi="Times New Roman" w:cs="Times New Roman"/>
                <w:sz w:val="20"/>
                <w:szCs w:val="20"/>
                <w:lang w:eastAsia="ru-RU"/>
              </w:rPr>
              <w:t>рынке на конец квартала, тыс.руб.</w:t>
            </w:r>
          </w:p>
        </w:tc>
        <w:tc>
          <w:tcPr>
            <w:tcW w:w="666" w:type="dxa"/>
            <w:tcBorders>
              <w:top w:val="nil"/>
              <w:left w:val="nil"/>
              <w:bottom w:val="single" w:sz="4" w:space="0" w:color="auto"/>
              <w:right w:val="single" w:sz="4" w:space="0" w:color="auto"/>
            </w:tcBorders>
            <w:shd w:val="clear" w:color="auto" w:fill="auto"/>
            <w:noWrap/>
            <w:vAlign w:val="bottom"/>
            <w:hideMark/>
          </w:tcPr>
          <w:p w14:paraId="4BB0AEE0"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98,9</w:t>
            </w:r>
          </w:p>
        </w:tc>
        <w:tc>
          <w:tcPr>
            <w:tcW w:w="666" w:type="dxa"/>
            <w:tcBorders>
              <w:top w:val="nil"/>
              <w:left w:val="nil"/>
              <w:bottom w:val="single" w:sz="4" w:space="0" w:color="auto"/>
              <w:right w:val="single" w:sz="4" w:space="0" w:color="auto"/>
            </w:tcBorders>
            <w:shd w:val="clear" w:color="auto" w:fill="auto"/>
            <w:noWrap/>
            <w:vAlign w:val="bottom"/>
          </w:tcPr>
          <w:p w14:paraId="5431A842"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122,3</w:t>
            </w:r>
          </w:p>
        </w:tc>
        <w:tc>
          <w:tcPr>
            <w:tcW w:w="666" w:type="dxa"/>
            <w:tcBorders>
              <w:top w:val="nil"/>
              <w:left w:val="nil"/>
              <w:bottom w:val="single" w:sz="4" w:space="0" w:color="auto"/>
              <w:right w:val="single" w:sz="4" w:space="0" w:color="auto"/>
            </w:tcBorders>
            <w:shd w:val="clear" w:color="auto" w:fill="auto"/>
            <w:noWrap/>
            <w:vAlign w:val="bottom"/>
          </w:tcPr>
          <w:p w14:paraId="1010C080"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140,4</w:t>
            </w:r>
          </w:p>
        </w:tc>
        <w:tc>
          <w:tcPr>
            <w:tcW w:w="666" w:type="dxa"/>
            <w:tcBorders>
              <w:top w:val="nil"/>
              <w:left w:val="nil"/>
              <w:bottom w:val="single" w:sz="4" w:space="0" w:color="auto"/>
              <w:right w:val="single" w:sz="4" w:space="0" w:color="auto"/>
            </w:tcBorders>
            <w:shd w:val="clear" w:color="auto" w:fill="auto"/>
            <w:noWrap/>
            <w:vAlign w:val="bottom"/>
          </w:tcPr>
          <w:p w14:paraId="6DB59DC7"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177,9</w:t>
            </w:r>
          </w:p>
        </w:tc>
        <w:tc>
          <w:tcPr>
            <w:tcW w:w="666" w:type="dxa"/>
            <w:tcBorders>
              <w:top w:val="nil"/>
              <w:left w:val="nil"/>
              <w:bottom w:val="single" w:sz="4" w:space="0" w:color="auto"/>
              <w:right w:val="single" w:sz="4" w:space="0" w:color="auto"/>
            </w:tcBorders>
            <w:shd w:val="clear" w:color="auto" w:fill="auto"/>
            <w:noWrap/>
            <w:vAlign w:val="bottom"/>
            <w:hideMark/>
          </w:tcPr>
          <w:p w14:paraId="6B72CCBB"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155,1</w:t>
            </w:r>
          </w:p>
        </w:tc>
        <w:tc>
          <w:tcPr>
            <w:tcW w:w="666" w:type="dxa"/>
            <w:tcBorders>
              <w:top w:val="nil"/>
              <w:left w:val="nil"/>
              <w:bottom w:val="single" w:sz="4" w:space="0" w:color="auto"/>
              <w:right w:val="single" w:sz="4" w:space="0" w:color="auto"/>
            </w:tcBorders>
            <w:shd w:val="clear" w:color="auto" w:fill="auto"/>
            <w:noWrap/>
            <w:vAlign w:val="bottom"/>
          </w:tcPr>
          <w:p w14:paraId="2E252270"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198,8</w:t>
            </w:r>
          </w:p>
        </w:tc>
        <w:tc>
          <w:tcPr>
            <w:tcW w:w="666" w:type="dxa"/>
            <w:tcBorders>
              <w:top w:val="nil"/>
              <w:left w:val="nil"/>
              <w:bottom w:val="single" w:sz="4" w:space="0" w:color="auto"/>
              <w:right w:val="single" w:sz="4" w:space="0" w:color="auto"/>
            </w:tcBorders>
            <w:shd w:val="clear" w:color="auto" w:fill="auto"/>
            <w:noWrap/>
            <w:vAlign w:val="bottom"/>
          </w:tcPr>
          <w:p w14:paraId="61A6E9F1"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180,0</w:t>
            </w:r>
          </w:p>
        </w:tc>
        <w:tc>
          <w:tcPr>
            <w:tcW w:w="666" w:type="dxa"/>
            <w:tcBorders>
              <w:top w:val="nil"/>
              <w:left w:val="nil"/>
              <w:bottom w:val="single" w:sz="4" w:space="0" w:color="auto"/>
              <w:right w:val="single" w:sz="4" w:space="0" w:color="auto"/>
            </w:tcBorders>
            <w:shd w:val="clear" w:color="auto" w:fill="auto"/>
            <w:noWrap/>
            <w:vAlign w:val="bottom"/>
          </w:tcPr>
          <w:p w14:paraId="5B69B8C9"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242,9</w:t>
            </w:r>
          </w:p>
        </w:tc>
        <w:tc>
          <w:tcPr>
            <w:tcW w:w="724" w:type="dxa"/>
            <w:tcBorders>
              <w:top w:val="nil"/>
              <w:left w:val="nil"/>
              <w:bottom w:val="single" w:sz="4" w:space="0" w:color="auto"/>
              <w:right w:val="single" w:sz="4" w:space="0" w:color="auto"/>
            </w:tcBorders>
            <w:shd w:val="clear" w:color="auto" w:fill="auto"/>
            <w:noWrap/>
            <w:vAlign w:val="bottom"/>
            <w:hideMark/>
          </w:tcPr>
          <w:p w14:paraId="01E2E8FD"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87,4</w:t>
            </w:r>
          </w:p>
        </w:tc>
        <w:tc>
          <w:tcPr>
            <w:tcW w:w="665" w:type="dxa"/>
            <w:tcBorders>
              <w:top w:val="nil"/>
              <w:left w:val="nil"/>
              <w:bottom w:val="single" w:sz="4" w:space="0" w:color="auto"/>
              <w:right w:val="single" w:sz="4" w:space="0" w:color="auto"/>
            </w:tcBorders>
            <w:shd w:val="clear" w:color="auto" w:fill="auto"/>
            <w:noWrap/>
            <w:vAlign w:val="bottom"/>
          </w:tcPr>
          <w:p w14:paraId="7910EFF3"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95,4</w:t>
            </w:r>
          </w:p>
        </w:tc>
        <w:tc>
          <w:tcPr>
            <w:tcW w:w="606" w:type="dxa"/>
            <w:tcBorders>
              <w:top w:val="nil"/>
              <w:left w:val="nil"/>
              <w:bottom w:val="single" w:sz="4" w:space="0" w:color="auto"/>
              <w:right w:val="single" w:sz="4" w:space="0" w:color="auto"/>
            </w:tcBorders>
            <w:shd w:val="clear" w:color="auto" w:fill="auto"/>
            <w:noWrap/>
            <w:vAlign w:val="bottom"/>
          </w:tcPr>
          <w:p w14:paraId="19D22668"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113,6</w:t>
            </w:r>
          </w:p>
        </w:tc>
        <w:tc>
          <w:tcPr>
            <w:tcW w:w="688" w:type="dxa"/>
            <w:tcBorders>
              <w:top w:val="nil"/>
              <w:left w:val="nil"/>
              <w:bottom w:val="single" w:sz="4" w:space="0" w:color="auto"/>
              <w:right w:val="double" w:sz="4" w:space="0" w:color="auto"/>
            </w:tcBorders>
            <w:shd w:val="clear" w:color="auto" w:fill="auto"/>
            <w:noWrap/>
            <w:vAlign w:val="bottom"/>
          </w:tcPr>
          <w:p w14:paraId="2E182831"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123,6</w:t>
            </w:r>
          </w:p>
        </w:tc>
      </w:tr>
      <w:tr w:rsidR="00FD7B0B" w:rsidRPr="00FD7B0B" w14:paraId="6406506B" w14:textId="77777777" w:rsidTr="00BE64F6">
        <w:trPr>
          <w:trHeight w:val="50"/>
        </w:trPr>
        <w:tc>
          <w:tcPr>
            <w:tcW w:w="2146" w:type="dxa"/>
            <w:tcBorders>
              <w:top w:val="nil"/>
              <w:left w:val="double" w:sz="4" w:space="0" w:color="auto"/>
              <w:bottom w:val="single" w:sz="4" w:space="0" w:color="auto"/>
              <w:right w:val="single" w:sz="4" w:space="0" w:color="auto"/>
            </w:tcBorders>
            <w:shd w:val="clear" w:color="auto" w:fill="auto"/>
            <w:vAlign w:val="center"/>
            <w:hideMark/>
          </w:tcPr>
          <w:p w14:paraId="4E5204FC" w14:textId="77777777" w:rsidR="005A472F" w:rsidRPr="00FD7B0B" w:rsidRDefault="005A472F"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 пред. году, %</w:t>
            </w:r>
          </w:p>
        </w:tc>
        <w:tc>
          <w:tcPr>
            <w:tcW w:w="666" w:type="dxa"/>
            <w:tcBorders>
              <w:top w:val="nil"/>
              <w:left w:val="nil"/>
              <w:bottom w:val="single" w:sz="4" w:space="0" w:color="auto"/>
              <w:right w:val="single" w:sz="4" w:space="0" w:color="auto"/>
            </w:tcBorders>
            <w:shd w:val="clear" w:color="auto" w:fill="auto"/>
            <w:noWrap/>
            <w:vAlign w:val="bottom"/>
            <w:hideMark/>
          </w:tcPr>
          <w:p w14:paraId="3B960DCA"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125,2</w:t>
            </w:r>
          </w:p>
        </w:tc>
        <w:tc>
          <w:tcPr>
            <w:tcW w:w="666" w:type="dxa"/>
            <w:tcBorders>
              <w:top w:val="nil"/>
              <w:left w:val="nil"/>
              <w:bottom w:val="single" w:sz="4" w:space="0" w:color="auto"/>
              <w:right w:val="single" w:sz="4" w:space="0" w:color="auto"/>
            </w:tcBorders>
            <w:shd w:val="clear" w:color="auto" w:fill="auto"/>
            <w:noWrap/>
            <w:vAlign w:val="bottom"/>
          </w:tcPr>
          <w:p w14:paraId="069BDAD9"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123,7</w:t>
            </w:r>
          </w:p>
        </w:tc>
        <w:tc>
          <w:tcPr>
            <w:tcW w:w="666" w:type="dxa"/>
            <w:tcBorders>
              <w:top w:val="nil"/>
              <w:left w:val="nil"/>
              <w:bottom w:val="single" w:sz="4" w:space="0" w:color="auto"/>
              <w:right w:val="single" w:sz="4" w:space="0" w:color="auto"/>
            </w:tcBorders>
            <w:shd w:val="clear" w:color="auto" w:fill="auto"/>
            <w:noWrap/>
            <w:vAlign w:val="bottom"/>
          </w:tcPr>
          <w:p w14:paraId="24276FDB"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114,8</w:t>
            </w:r>
          </w:p>
        </w:tc>
        <w:tc>
          <w:tcPr>
            <w:tcW w:w="666" w:type="dxa"/>
            <w:tcBorders>
              <w:top w:val="nil"/>
              <w:left w:val="nil"/>
              <w:bottom w:val="single" w:sz="4" w:space="0" w:color="auto"/>
              <w:right w:val="single" w:sz="4" w:space="0" w:color="auto"/>
            </w:tcBorders>
            <w:shd w:val="clear" w:color="auto" w:fill="auto"/>
            <w:noWrap/>
            <w:vAlign w:val="bottom"/>
          </w:tcPr>
          <w:p w14:paraId="17FAE0CE"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126,7</w:t>
            </w:r>
          </w:p>
        </w:tc>
        <w:tc>
          <w:tcPr>
            <w:tcW w:w="666" w:type="dxa"/>
            <w:tcBorders>
              <w:top w:val="nil"/>
              <w:left w:val="nil"/>
              <w:bottom w:val="single" w:sz="4" w:space="0" w:color="auto"/>
              <w:right w:val="single" w:sz="4" w:space="0" w:color="auto"/>
            </w:tcBorders>
            <w:shd w:val="clear" w:color="auto" w:fill="auto"/>
            <w:noWrap/>
            <w:vAlign w:val="bottom"/>
            <w:hideMark/>
          </w:tcPr>
          <w:p w14:paraId="0E8EF3D0"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134,1</w:t>
            </w:r>
          </w:p>
        </w:tc>
        <w:tc>
          <w:tcPr>
            <w:tcW w:w="666" w:type="dxa"/>
            <w:tcBorders>
              <w:top w:val="nil"/>
              <w:left w:val="nil"/>
              <w:bottom w:val="single" w:sz="4" w:space="0" w:color="auto"/>
              <w:right w:val="single" w:sz="4" w:space="0" w:color="auto"/>
            </w:tcBorders>
            <w:shd w:val="clear" w:color="auto" w:fill="auto"/>
            <w:noWrap/>
            <w:vAlign w:val="bottom"/>
          </w:tcPr>
          <w:p w14:paraId="1D2C3626"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128,2</w:t>
            </w:r>
          </w:p>
        </w:tc>
        <w:tc>
          <w:tcPr>
            <w:tcW w:w="666" w:type="dxa"/>
            <w:tcBorders>
              <w:top w:val="nil"/>
              <w:left w:val="nil"/>
              <w:bottom w:val="single" w:sz="4" w:space="0" w:color="auto"/>
              <w:right w:val="single" w:sz="4" w:space="0" w:color="auto"/>
            </w:tcBorders>
            <w:shd w:val="clear" w:color="auto" w:fill="auto"/>
            <w:noWrap/>
            <w:vAlign w:val="bottom"/>
          </w:tcPr>
          <w:p w14:paraId="44262380"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90,5</w:t>
            </w:r>
          </w:p>
        </w:tc>
        <w:tc>
          <w:tcPr>
            <w:tcW w:w="666" w:type="dxa"/>
            <w:tcBorders>
              <w:top w:val="nil"/>
              <w:left w:val="nil"/>
              <w:bottom w:val="single" w:sz="4" w:space="0" w:color="auto"/>
              <w:right w:val="single" w:sz="4" w:space="0" w:color="auto"/>
            </w:tcBorders>
            <w:shd w:val="clear" w:color="auto" w:fill="auto"/>
            <w:noWrap/>
            <w:vAlign w:val="bottom"/>
          </w:tcPr>
          <w:p w14:paraId="062CBB39"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134,9</w:t>
            </w:r>
          </w:p>
        </w:tc>
        <w:tc>
          <w:tcPr>
            <w:tcW w:w="724" w:type="dxa"/>
            <w:tcBorders>
              <w:top w:val="nil"/>
              <w:left w:val="nil"/>
              <w:bottom w:val="single" w:sz="4" w:space="0" w:color="auto"/>
              <w:right w:val="single" w:sz="4" w:space="0" w:color="auto"/>
            </w:tcBorders>
            <w:shd w:val="clear" w:color="auto" w:fill="auto"/>
            <w:noWrap/>
            <w:vAlign w:val="bottom"/>
            <w:hideMark/>
          </w:tcPr>
          <w:p w14:paraId="7D172563"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132,2</w:t>
            </w:r>
          </w:p>
        </w:tc>
        <w:tc>
          <w:tcPr>
            <w:tcW w:w="665" w:type="dxa"/>
            <w:tcBorders>
              <w:top w:val="nil"/>
              <w:left w:val="nil"/>
              <w:bottom w:val="single" w:sz="4" w:space="0" w:color="auto"/>
              <w:right w:val="single" w:sz="4" w:space="0" w:color="auto"/>
            </w:tcBorders>
            <w:shd w:val="clear" w:color="auto" w:fill="auto"/>
            <w:noWrap/>
            <w:vAlign w:val="bottom"/>
          </w:tcPr>
          <w:p w14:paraId="7C024331"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109,1</w:t>
            </w:r>
          </w:p>
        </w:tc>
        <w:tc>
          <w:tcPr>
            <w:tcW w:w="606" w:type="dxa"/>
            <w:tcBorders>
              <w:top w:val="nil"/>
              <w:left w:val="nil"/>
              <w:bottom w:val="single" w:sz="4" w:space="0" w:color="auto"/>
              <w:right w:val="single" w:sz="4" w:space="0" w:color="auto"/>
            </w:tcBorders>
            <w:shd w:val="clear" w:color="auto" w:fill="auto"/>
            <w:noWrap/>
            <w:vAlign w:val="bottom"/>
          </w:tcPr>
          <w:p w14:paraId="7DD8B54B"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119,1</w:t>
            </w:r>
          </w:p>
        </w:tc>
        <w:tc>
          <w:tcPr>
            <w:tcW w:w="688" w:type="dxa"/>
            <w:tcBorders>
              <w:top w:val="nil"/>
              <w:left w:val="nil"/>
              <w:bottom w:val="single" w:sz="4" w:space="0" w:color="auto"/>
              <w:right w:val="double" w:sz="4" w:space="0" w:color="auto"/>
            </w:tcBorders>
            <w:shd w:val="clear" w:color="auto" w:fill="auto"/>
            <w:noWrap/>
            <w:vAlign w:val="bottom"/>
          </w:tcPr>
          <w:p w14:paraId="7DB0003E"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108,8</w:t>
            </w:r>
          </w:p>
        </w:tc>
      </w:tr>
      <w:tr w:rsidR="00FD7B0B" w:rsidRPr="00FD7B0B" w14:paraId="3BC10F80" w14:textId="77777777" w:rsidTr="00BE64F6">
        <w:trPr>
          <w:trHeight w:val="765"/>
        </w:trPr>
        <w:tc>
          <w:tcPr>
            <w:tcW w:w="2146" w:type="dxa"/>
            <w:tcBorders>
              <w:top w:val="nil"/>
              <w:left w:val="double" w:sz="4" w:space="0" w:color="auto"/>
              <w:bottom w:val="single" w:sz="4" w:space="0" w:color="auto"/>
              <w:right w:val="single" w:sz="4" w:space="0" w:color="auto"/>
            </w:tcBorders>
            <w:shd w:val="clear" w:color="auto" w:fill="auto"/>
            <w:vAlign w:val="center"/>
            <w:hideMark/>
          </w:tcPr>
          <w:p w14:paraId="6148097D" w14:textId="77777777" w:rsidR="005A472F" w:rsidRPr="00FD7B0B" w:rsidRDefault="005A472F"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Средняя цена за 1 кв. м. жилья на</w:t>
            </w:r>
            <w:r w:rsidRPr="00FD7B0B">
              <w:rPr>
                <w:rFonts w:ascii="Times New Roman" w:eastAsia="Times New Roman" w:hAnsi="Times New Roman" w:cs="Times New Roman"/>
                <w:b/>
                <w:bCs/>
                <w:sz w:val="20"/>
                <w:szCs w:val="20"/>
                <w:u w:val="single"/>
                <w:lang w:eastAsia="ru-RU"/>
              </w:rPr>
              <w:t xml:space="preserve"> вторичном </w:t>
            </w:r>
            <w:r w:rsidRPr="00FD7B0B">
              <w:rPr>
                <w:rFonts w:ascii="Times New Roman" w:eastAsia="Times New Roman" w:hAnsi="Times New Roman" w:cs="Times New Roman"/>
                <w:sz w:val="20"/>
                <w:szCs w:val="20"/>
                <w:lang w:eastAsia="ru-RU"/>
              </w:rPr>
              <w:t>рынке на конец квартала, тыс.руб.</w:t>
            </w:r>
          </w:p>
        </w:tc>
        <w:tc>
          <w:tcPr>
            <w:tcW w:w="666" w:type="dxa"/>
            <w:tcBorders>
              <w:top w:val="nil"/>
              <w:left w:val="nil"/>
              <w:bottom w:val="single" w:sz="4" w:space="0" w:color="auto"/>
              <w:right w:val="single" w:sz="4" w:space="0" w:color="auto"/>
            </w:tcBorders>
            <w:shd w:val="clear" w:color="auto" w:fill="auto"/>
            <w:noWrap/>
            <w:vAlign w:val="bottom"/>
            <w:hideMark/>
          </w:tcPr>
          <w:p w14:paraId="23A0DA7A"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76,7</w:t>
            </w:r>
          </w:p>
        </w:tc>
        <w:tc>
          <w:tcPr>
            <w:tcW w:w="666" w:type="dxa"/>
            <w:tcBorders>
              <w:top w:val="nil"/>
              <w:left w:val="nil"/>
              <w:bottom w:val="single" w:sz="4" w:space="0" w:color="auto"/>
              <w:right w:val="single" w:sz="4" w:space="0" w:color="auto"/>
            </w:tcBorders>
            <w:shd w:val="clear" w:color="auto" w:fill="auto"/>
            <w:noWrap/>
            <w:vAlign w:val="bottom"/>
          </w:tcPr>
          <w:p w14:paraId="6CEA3A88"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94,4</w:t>
            </w:r>
          </w:p>
        </w:tc>
        <w:tc>
          <w:tcPr>
            <w:tcW w:w="666" w:type="dxa"/>
            <w:tcBorders>
              <w:top w:val="nil"/>
              <w:left w:val="nil"/>
              <w:bottom w:val="single" w:sz="4" w:space="0" w:color="auto"/>
              <w:right w:val="single" w:sz="4" w:space="0" w:color="auto"/>
            </w:tcBorders>
            <w:shd w:val="clear" w:color="auto" w:fill="auto"/>
            <w:noWrap/>
            <w:vAlign w:val="bottom"/>
          </w:tcPr>
          <w:p w14:paraId="70D466CB"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97,4</w:t>
            </w:r>
          </w:p>
        </w:tc>
        <w:tc>
          <w:tcPr>
            <w:tcW w:w="666" w:type="dxa"/>
            <w:tcBorders>
              <w:top w:val="nil"/>
              <w:left w:val="nil"/>
              <w:bottom w:val="single" w:sz="4" w:space="0" w:color="auto"/>
              <w:right w:val="single" w:sz="4" w:space="0" w:color="auto"/>
            </w:tcBorders>
            <w:shd w:val="clear" w:color="auto" w:fill="auto"/>
            <w:noWrap/>
            <w:vAlign w:val="bottom"/>
          </w:tcPr>
          <w:p w14:paraId="1F786F76"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114,1</w:t>
            </w:r>
          </w:p>
        </w:tc>
        <w:tc>
          <w:tcPr>
            <w:tcW w:w="666" w:type="dxa"/>
            <w:tcBorders>
              <w:top w:val="nil"/>
              <w:left w:val="nil"/>
              <w:bottom w:val="single" w:sz="4" w:space="0" w:color="auto"/>
              <w:right w:val="single" w:sz="4" w:space="0" w:color="auto"/>
            </w:tcBorders>
            <w:shd w:val="clear" w:color="auto" w:fill="auto"/>
            <w:noWrap/>
            <w:vAlign w:val="bottom"/>
            <w:hideMark/>
          </w:tcPr>
          <w:p w14:paraId="6A58C321"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94,7</w:t>
            </w:r>
          </w:p>
        </w:tc>
        <w:tc>
          <w:tcPr>
            <w:tcW w:w="666" w:type="dxa"/>
            <w:tcBorders>
              <w:top w:val="nil"/>
              <w:left w:val="nil"/>
              <w:bottom w:val="single" w:sz="4" w:space="0" w:color="auto"/>
              <w:right w:val="single" w:sz="4" w:space="0" w:color="auto"/>
            </w:tcBorders>
            <w:shd w:val="clear" w:color="auto" w:fill="auto"/>
            <w:noWrap/>
            <w:vAlign w:val="bottom"/>
          </w:tcPr>
          <w:p w14:paraId="6A42AAD8"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109,0</w:t>
            </w:r>
          </w:p>
        </w:tc>
        <w:tc>
          <w:tcPr>
            <w:tcW w:w="666" w:type="dxa"/>
            <w:tcBorders>
              <w:top w:val="nil"/>
              <w:left w:val="nil"/>
              <w:bottom w:val="single" w:sz="4" w:space="0" w:color="auto"/>
              <w:right w:val="single" w:sz="4" w:space="0" w:color="auto"/>
            </w:tcBorders>
            <w:shd w:val="clear" w:color="auto" w:fill="auto"/>
            <w:noWrap/>
            <w:vAlign w:val="bottom"/>
          </w:tcPr>
          <w:p w14:paraId="1AA102DA"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104,4</w:t>
            </w:r>
          </w:p>
        </w:tc>
        <w:tc>
          <w:tcPr>
            <w:tcW w:w="666" w:type="dxa"/>
            <w:tcBorders>
              <w:top w:val="nil"/>
              <w:left w:val="nil"/>
              <w:bottom w:val="single" w:sz="4" w:space="0" w:color="auto"/>
              <w:right w:val="single" w:sz="4" w:space="0" w:color="auto"/>
            </w:tcBorders>
            <w:shd w:val="clear" w:color="auto" w:fill="auto"/>
            <w:noWrap/>
            <w:vAlign w:val="bottom"/>
          </w:tcPr>
          <w:p w14:paraId="2DF72BA1"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135,2</w:t>
            </w:r>
          </w:p>
        </w:tc>
        <w:tc>
          <w:tcPr>
            <w:tcW w:w="724" w:type="dxa"/>
            <w:tcBorders>
              <w:top w:val="nil"/>
              <w:left w:val="nil"/>
              <w:bottom w:val="single" w:sz="4" w:space="0" w:color="auto"/>
              <w:right w:val="single" w:sz="4" w:space="0" w:color="auto"/>
            </w:tcBorders>
            <w:shd w:val="clear" w:color="auto" w:fill="auto"/>
            <w:noWrap/>
            <w:vAlign w:val="bottom"/>
            <w:hideMark/>
          </w:tcPr>
          <w:p w14:paraId="7E518F6F"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77,1</w:t>
            </w:r>
          </w:p>
        </w:tc>
        <w:tc>
          <w:tcPr>
            <w:tcW w:w="665" w:type="dxa"/>
            <w:tcBorders>
              <w:top w:val="nil"/>
              <w:left w:val="nil"/>
              <w:bottom w:val="single" w:sz="4" w:space="0" w:color="auto"/>
              <w:right w:val="single" w:sz="4" w:space="0" w:color="auto"/>
            </w:tcBorders>
            <w:shd w:val="clear" w:color="auto" w:fill="auto"/>
            <w:noWrap/>
            <w:vAlign w:val="bottom"/>
          </w:tcPr>
          <w:p w14:paraId="19F88E43"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89,7</w:t>
            </w:r>
          </w:p>
        </w:tc>
        <w:tc>
          <w:tcPr>
            <w:tcW w:w="606" w:type="dxa"/>
            <w:tcBorders>
              <w:top w:val="nil"/>
              <w:left w:val="nil"/>
              <w:bottom w:val="single" w:sz="4" w:space="0" w:color="auto"/>
              <w:right w:val="single" w:sz="4" w:space="0" w:color="auto"/>
            </w:tcBorders>
            <w:shd w:val="clear" w:color="auto" w:fill="auto"/>
            <w:noWrap/>
            <w:vAlign w:val="bottom"/>
          </w:tcPr>
          <w:p w14:paraId="6F765A68"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95,7</w:t>
            </w:r>
          </w:p>
        </w:tc>
        <w:tc>
          <w:tcPr>
            <w:tcW w:w="688" w:type="dxa"/>
            <w:tcBorders>
              <w:top w:val="nil"/>
              <w:left w:val="nil"/>
              <w:bottom w:val="single" w:sz="4" w:space="0" w:color="auto"/>
              <w:right w:val="double" w:sz="4" w:space="0" w:color="auto"/>
            </w:tcBorders>
            <w:shd w:val="clear" w:color="auto" w:fill="auto"/>
            <w:noWrap/>
            <w:vAlign w:val="bottom"/>
          </w:tcPr>
          <w:p w14:paraId="2A773F38"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102,1</w:t>
            </w:r>
          </w:p>
        </w:tc>
      </w:tr>
      <w:tr w:rsidR="00FD7B0B" w:rsidRPr="00FD7B0B" w14:paraId="1785A6D8" w14:textId="77777777" w:rsidTr="00BE64F6">
        <w:trPr>
          <w:trHeight w:val="56"/>
        </w:trPr>
        <w:tc>
          <w:tcPr>
            <w:tcW w:w="2146" w:type="dxa"/>
            <w:tcBorders>
              <w:top w:val="nil"/>
              <w:left w:val="double" w:sz="4" w:space="0" w:color="auto"/>
              <w:bottom w:val="double" w:sz="4" w:space="0" w:color="auto"/>
              <w:right w:val="single" w:sz="4" w:space="0" w:color="auto"/>
            </w:tcBorders>
            <w:shd w:val="clear" w:color="auto" w:fill="auto"/>
            <w:vAlign w:val="center"/>
            <w:hideMark/>
          </w:tcPr>
          <w:p w14:paraId="787C7844" w14:textId="77777777" w:rsidR="005A472F" w:rsidRPr="00FD7B0B" w:rsidRDefault="005A472F" w:rsidP="00BE64F6">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 пред. году, %</w:t>
            </w:r>
          </w:p>
        </w:tc>
        <w:tc>
          <w:tcPr>
            <w:tcW w:w="666" w:type="dxa"/>
            <w:tcBorders>
              <w:top w:val="nil"/>
              <w:left w:val="nil"/>
              <w:bottom w:val="double" w:sz="4" w:space="0" w:color="auto"/>
              <w:right w:val="single" w:sz="4" w:space="0" w:color="auto"/>
            </w:tcBorders>
            <w:shd w:val="clear" w:color="auto" w:fill="auto"/>
            <w:noWrap/>
            <w:vAlign w:val="bottom"/>
            <w:hideMark/>
          </w:tcPr>
          <w:p w14:paraId="5A1EAF94"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115,0</w:t>
            </w:r>
          </w:p>
        </w:tc>
        <w:tc>
          <w:tcPr>
            <w:tcW w:w="666" w:type="dxa"/>
            <w:tcBorders>
              <w:top w:val="nil"/>
              <w:left w:val="nil"/>
              <w:bottom w:val="double" w:sz="4" w:space="0" w:color="auto"/>
              <w:right w:val="single" w:sz="4" w:space="0" w:color="auto"/>
            </w:tcBorders>
            <w:shd w:val="clear" w:color="auto" w:fill="auto"/>
            <w:noWrap/>
            <w:vAlign w:val="bottom"/>
          </w:tcPr>
          <w:p w14:paraId="6642A9BD"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123,1</w:t>
            </w:r>
          </w:p>
        </w:tc>
        <w:tc>
          <w:tcPr>
            <w:tcW w:w="666" w:type="dxa"/>
            <w:tcBorders>
              <w:top w:val="nil"/>
              <w:left w:val="nil"/>
              <w:bottom w:val="double" w:sz="4" w:space="0" w:color="auto"/>
              <w:right w:val="single" w:sz="4" w:space="0" w:color="auto"/>
            </w:tcBorders>
            <w:shd w:val="clear" w:color="auto" w:fill="auto"/>
            <w:noWrap/>
            <w:vAlign w:val="bottom"/>
          </w:tcPr>
          <w:p w14:paraId="2676A3DC"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103,2</w:t>
            </w:r>
          </w:p>
        </w:tc>
        <w:tc>
          <w:tcPr>
            <w:tcW w:w="666" w:type="dxa"/>
            <w:tcBorders>
              <w:top w:val="nil"/>
              <w:left w:val="nil"/>
              <w:bottom w:val="double" w:sz="4" w:space="0" w:color="auto"/>
              <w:right w:val="single" w:sz="4" w:space="0" w:color="auto"/>
            </w:tcBorders>
            <w:shd w:val="clear" w:color="auto" w:fill="auto"/>
            <w:noWrap/>
            <w:vAlign w:val="bottom"/>
          </w:tcPr>
          <w:p w14:paraId="3078ED7D"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117,1</w:t>
            </w:r>
          </w:p>
        </w:tc>
        <w:tc>
          <w:tcPr>
            <w:tcW w:w="666" w:type="dxa"/>
            <w:tcBorders>
              <w:top w:val="nil"/>
              <w:left w:val="nil"/>
              <w:bottom w:val="double" w:sz="4" w:space="0" w:color="auto"/>
              <w:right w:val="single" w:sz="4" w:space="0" w:color="auto"/>
            </w:tcBorders>
            <w:shd w:val="clear" w:color="auto" w:fill="auto"/>
            <w:noWrap/>
            <w:vAlign w:val="bottom"/>
            <w:hideMark/>
          </w:tcPr>
          <w:p w14:paraId="2A3BA197"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111,4</w:t>
            </w:r>
          </w:p>
        </w:tc>
        <w:tc>
          <w:tcPr>
            <w:tcW w:w="666" w:type="dxa"/>
            <w:tcBorders>
              <w:top w:val="nil"/>
              <w:left w:val="nil"/>
              <w:bottom w:val="double" w:sz="4" w:space="0" w:color="auto"/>
              <w:right w:val="single" w:sz="4" w:space="0" w:color="auto"/>
            </w:tcBorders>
            <w:shd w:val="clear" w:color="auto" w:fill="auto"/>
            <w:noWrap/>
            <w:vAlign w:val="bottom"/>
          </w:tcPr>
          <w:p w14:paraId="4CB2D4C7"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115,1</w:t>
            </w:r>
          </w:p>
        </w:tc>
        <w:tc>
          <w:tcPr>
            <w:tcW w:w="666" w:type="dxa"/>
            <w:tcBorders>
              <w:top w:val="nil"/>
              <w:left w:val="nil"/>
              <w:bottom w:val="double" w:sz="4" w:space="0" w:color="auto"/>
              <w:right w:val="single" w:sz="4" w:space="0" w:color="auto"/>
            </w:tcBorders>
            <w:shd w:val="clear" w:color="auto" w:fill="auto"/>
            <w:noWrap/>
            <w:vAlign w:val="bottom"/>
          </w:tcPr>
          <w:p w14:paraId="0399B59B"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95,8</w:t>
            </w:r>
          </w:p>
        </w:tc>
        <w:tc>
          <w:tcPr>
            <w:tcW w:w="666" w:type="dxa"/>
            <w:tcBorders>
              <w:top w:val="nil"/>
              <w:left w:val="nil"/>
              <w:bottom w:val="double" w:sz="4" w:space="0" w:color="auto"/>
              <w:right w:val="single" w:sz="4" w:space="0" w:color="auto"/>
            </w:tcBorders>
            <w:shd w:val="clear" w:color="auto" w:fill="auto"/>
            <w:noWrap/>
            <w:vAlign w:val="bottom"/>
          </w:tcPr>
          <w:p w14:paraId="3AD8B095"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129,5</w:t>
            </w:r>
          </w:p>
        </w:tc>
        <w:tc>
          <w:tcPr>
            <w:tcW w:w="724" w:type="dxa"/>
            <w:tcBorders>
              <w:top w:val="nil"/>
              <w:left w:val="nil"/>
              <w:bottom w:val="double" w:sz="4" w:space="0" w:color="auto"/>
              <w:right w:val="single" w:sz="4" w:space="0" w:color="auto"/>
            </w:tcBorders>
            <w:shd w:val="clear" w:color="auto" w:fill="auto"/>
            <w:noWrap/>
            <w:vAlign w:val="bottom"/>
            <w:hideMark/>
          </w:tcPr>
          <w:p w14:paraId="25FB2397"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114,6</w:t>
            </w:r>
          </w:p>
        </w:tc>
        <w:tc>
          <w:tcPr>
            <w:tcW w:w="665" w:type="dxa"/>
            <w:tcBorders>
              <w:top w:val="nil"/>
              <w:left w:val="nil"/>
              <w:bottom w:val="double" w:sz="4" w:space="0" w:color="auto"/>
              <w:right w:val="single" w:sz="4" w:space="0" w:color="auto"/>
            </w:tcBorders>
            <w:shd w:val="clear" w:color="auto" w:fill="auto"/>
            <w:noWrap/>
            <w:vAlign w:val="bottom"/>
          </w:tcPr>
          <w:p w14:paraId="2E911B11"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116,3</w:t>
            </w:r>
          </w:p>
        </w:tc>
        <w:tc>
          <w:tcPr>
            <w:tcW w:w="606" w:type="dxa"/>
            <w:tcBorders>
              <w:top w:val="nil"/>
              <w:left w:val="nil"/>
              <w:bottom w:val="double" w:sz="4" w:space="0" w:color="auto"/>
              <w:right w:val="single" w:sz="4" w:space="0" w:color="auto"/>
            </w:tcBorders>
            <w:shd w:val="clear" w:color="auto" w:fill="auto"/>
            <w:noWrap/>
            <w:vAlign w:val="bottom"/>
          </w:tcPr>
          <w:p w14:paraId="0FC83265"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106,7</w:t>
            </w:r>
          </w:p>
        </w:tc>
        <w:tc>
          <w:tcPr>
            <w:tcW w:w="688" w:type="dxa"/>
            <w:tcBorders>
              <w:top w:val="nil"/>
              <w:left w:val="nil"/>
              <w:bottom w:val="double" w:sz="4" w:space="0" w:color="auto"/>
              <w:right w:val="double" w:sz="4" w:space="0" w:color="auto"/>
            </w:tcBorders>
            <w:shd w:val="clear" w:color="auto" w:fill="auto"/>
            <w:noWrap/>
            <w:vAlign w:val="bottom"/>
          </w:tcPr>
          <w:p w14:paraId="0E4210A8" w14:textId="77777777" w:rsidR="005A472F" w:rsidRPr="00FD7B0B" w:rsidRDefault="005A472F" w:rsidP="00BE64F6">
            <w:pPr>
              <w:spacing w:after="0" w:line="240" w:lineRule="auto"/>
              <w:ind w:left="-151"/>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106,7</w:t>
            </w:r>
          </w:p>
        </w:tc>
      </w:tr>
    </w:tbl>
    <w:p w14:paraId="7D5E6D94" w14:textId="77777777" w:rsidR="005A472F" w:rsidRPr="00FD7B0B" w:rsidRDefault="005A472F" w:rsidP="00FE5DED">
      <w:pPr>
        <w:spacing w:after="0" w:line="240" w:lineRule="auto"/>
        <w:ind w:firstLine="709"/>
        <w:jc w:val="both"/>
        <w:rPr>
          <w:rFonts w:ascii="Times New Roman" w:hAnsi="Times New Roman"/>
          <w:sz w:val="28"/>
          <w:szCs w:val="28"/>
        </w:rPr>
      </w:pPr>
    </w:p>
    <w:p w14:paraId="50941E6D" w14:textId="3E12EC22"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Архангельской области тенденция превышения средней цены на первичном рынке относительно средней цены на вторичном рынке соответствует общероссийской, но не так значительно и в 2024 году составляет 21,1 % (в 2023 году указанное превышение составляло 18,7</w:t>
      </w:r>
      <w:r w:rsidR="00432DD4" w:rsidRPr="00FD7B0B">
        <w:rPr>
          <w:rFonts w:ascii="Times New Roman" w:hAnsi="Times New Roman"/>
          <w:sz w:val="28"/>
          <w:szCs w:val="28"/>
        </w:rPr>
        <w:t xml:space="preserve"> </w:t>
      </w:r>
      <w:r w:rsidRPr="00FD7B0B">
        <w:rPr>
          <w:rFonts w:ascii="Times New Roman" w:hAnsi="Times New Roman"/>
          <w:sz w:val="28"/>
          <w:szCs w:val="28"/>
        </w:rPr>
        <w:t>%, в 2022 году – 6,3 %).</w:t>
      </w:r>
    </w:p>
    <w:p w14:paraId="5D601104" w14:textId="77777777" w:rsidR="005A472F" w:rsidRPr="00FD7B0B" w:rsidRDefault="005A472F" w:rsidP="005A472F">
      <w:pPr>
        <w:pStyle w:val="ad"/>
        <w:ind w:firstLine="709"/>
        <w:jc w:val="both"/>
        <w:rPr>
          <w:rFonts w:ascii="Times New Roman" w:hAnsi="Times New Roman"/>
          <w:sz w:val="28"/>
          <w:szCs w:val="28"/>
        </w:rPr>
      </w:pPr>
      <w:bookmarkStart w:id="29" w:name="_Toc451785027"/>
      <w:r w:rsidRPr="00FD7B0B">
        <w:rPr>
          <w:rFonts w:ascii="Times New Roman" w:hAnsi="Times New Roman"/>
          <w:sz w:val="28"/>
          <w:szCs w:val="28"/>
        </w:rPr>
        <w:t xml:space="preserve">Среди регионов СЗФО в пятерке самых дорогих по средней цене за 1 кв.м жилья на первичном/вторичном рынке, как и прежде, является г. Санкт-Петербург (276,3/221,0 тыс.руб.), Ленинградская область (149,3/123,6 тыс.руб.), Республика Карелия (136,0/92,8 тыс.руб.), Калининградская область (123,8/117,3 тыс.руб.). В Вологодской области средняя цена за 1 кв.м жилья на первичном и </w:t>
      </w:r>
      <w:r w:rsidRPr="00FD7B0B">
        <w:rPr>
          <w:rFonts w:ascii="Times New Roman" w:hAnsi="Times New Roman"/>
          <w:sz w:val="28"/>
          <w:szCs w:val="28"/>
        </w:rPr>
        <w:lastRenderedPageBreak/>
        <w:t>вторичном рынке составляет 89,3/89,0 тыс.руб., в Псковской области – 74,1/88,4 тыс.руб.</w:t>
      </w:r>
    </w:p>
    <w:bookmarkEnd w:id="29"/>
    <w:p w14:paraId="4979A2FD"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Архангельской области на конец 2024 года к концу 2021 года средняя цена 1 кв.м жилья на первичном рынке жилья увеличилась в 1,4 раза, на вторичном рынке жилья увеличилась в 1,3 раза.</w:t>
      </w:r>
    </w:p>
    <w:p w14:paraId="5A6EAA43" w14:textId="7F770B2A"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Средняя цена 1 кв.м жилья на первичном рынке жилья в Архангельской области на конец 2024 года ниже среднероссийской цены на 30,5 % (в 2023 году ниже на 19,1 %, а в 2022 году ниже на 22,0 %) и ниже средней цены по СЗФО на 49,1 % (в 2023 году ниже на 36,9 %, в 2022 году ниже на 52,0 %). Средняя цена 1 кв.м жилья на вторичном рынке в Архангельской области в отчетном году ниже среднероссийской цены на 10,5</w:t>
      </w:r>
      <w:r w:rsidR="00495457" w:rsidRPr="00FD7B0B">
        <w:rPr>
          <w:rFonts w:ascii="Times New Roman" w:hAnsi="Times New Roman"/>
          <w:sz w:val="28"/>
          <w:szCs w:val="28"/>
        </w:rPr>
        <w:t xml:space="preserve"> </w:t>
      </w:r>
      <w:r w:rsidRPr="00FD7B0B">
        <w:rPr>
          <w:rFonts w:ascii="Times New Roman" w:hAnsi="Times New Roman"/>
          <w:sz w:val="28"/>
          <w:szCs w:val="28"/>
        </w:rPr>
        <w:t>% (в 2023 году ниже на 1,7 %, в 2022 году ниже 5,0 %), а также ниже средней цены по СЗФО на 24,5</w:t>
      </w:r>
      <w:r w:rsidR="000376A6" w:rsidRPr="00FD7B0B">
        <w:rPr>
          <w:rFonts w:ascii="Times New Roman" w:hAnsi="Times New Roman"/>
          <w:sz w:val="28"/>
          <w:szCs w:val="28"/>
        </w:rPr>
        <w:t xml:space="preserve"> </w:t>
      </w:r>
      <w:r w:rsidRPr="00FD7B0B">
        <w:rPr>
          <w:rFonts w:ascii="Times New Roman" w:hAnsi="Times New Roman"/>
          <w:sz w:val="28"/>
          <w:szCs w:val="28"/>
        </w:rPr>
        <w:t xml:space="preserve">% (в 2023 году ниже на 8,3 %, в 2022 году ниже </w:t>
      </w:r>
      <w:r w:rsidR="00495457" w:rsidRPr="00FD7B0B">
        <w:rPr>
          <w:rFonts w:ascii="Times New Roman" w:hAnsi="Times New Roman"/>
          <w:sz w:val="28"/>
          <w:szCs w:val="28"/>
        </w:rPr>
        <w:t xml:space="preserve">на </w:t>
      </w:r>
      <w:r w:rsidRPr="00FD7B0B">
        <w:rPr>
          <w:rFonts w:ascii="Times New Roman" w:hAnsi="Times New Roman"/>
          <w:sz w:val="28"/>
          <w:szCs w:val="28"/>
        </w:rPr>
        <w:t>5,5 %).</w:t>
      </w:r>
    </w:p>
    <w:p w14:paraId="6286AAD3"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целом 2024 году, как и в прошлом году, цены на новостройки росли на фоне удорожания строительных материалов и их транспортировки, высоких ставок по ипотечному кредитованию и перечня условий программы льготной ипотеки (ограниченный доступ к программам), введения эскроу-счетов.</w:t>
      </w:r>
    </w:p>
    <w:p w14:paraId="63543C5D" w14:textId="765093EE" w:rsidR="005A472F" w:rsidRPr="00FD7B0B" w:rsidRDefault="005A472F" w:rsidP="005A472F">
      <w:pPr>
        <w:pStyle w:val="ad"/>
        <w:ind w:firstLine="709"/>
        <w:jc w:val="both"/>
        <w:rPr>
          <w:rFonts w:ascii="Times New Roman" w:hAnsi="Times New Roman"/>
          <w:sz w:val="28"/>
          <w:szCs w:val="28"/>
        </w:rPr>
      </w:pPr>
      <w:bookmarkStart w:id="30" w:name="_Toc451785028"/>
      <w:bookmarkStart w:id="31" w:name="_Toc515024203"/>
      <w:bookmarkStart w:id="32" w:name="_Toc9262555"/>
      <w:bookmarkStart w:id="33" w:name="_Toc42006705"/>
      <w:bookmarkStart w:id="34" w:name="_Toc72822958"/>
      <w:bookmarkStart w:id="35" w:name="_Toc104284466"/>
      <w:r w:rsidRPr="00FD7B0B">
        <w:rPr>
          <w:rFonts w:ascii="Times New Roman" w:hAnsi="Times New Roman"/>
          <w:sz w:val="28"/>
          <w:szCs w:val="28"/>
        </w:rPr>
        <w:t>По оперативным статистическим данным на территории области в 2024 году продолжено строительство и ввод в действие производственных мощностей: водопровод, водоводы и сети – 6,9 км, канализационные сети – 11,4 км, газовы</w:t>
      </w:r>
      <w:r w:rsidR="00495457" w:rsidRPr="00FD7B0B">
        <w:rPr>
          <w:rFonts w:ascii="Times New Roman" w:hAnsi="Times New Roman"/>
          <w:sz w:val="28"/>
          <w:szCs w:val="28"/>
        </w:rPr>
        <w:t>е</w:t>
      </w:r>
      <w:r w:rsidRPr="00FD7B0B">
        <w:rPr>
          <w:rFonts w:ascii="Times New Roman" w:hAnsi="Times New Roman"/>
          <w:sz w:val="28"/>
          <w:szCs w:val="28"/>
        </w:rPr>
        <w:t xml:space="preserve"> сет</w:t>
      </w:r>
      <w:r w:rsidR="00495457" w:rsidRPr="00FD7B0B">
        <w:rPr>
          <w:rFonts w:ascii="Times New Roman" w:hAnsi="Times New Roman"/>
          <w:sz w:val="28"/>
          <w:szCs w:val="28"/>
        </w:rPr>
        <w:t>и</w:t>
      </w:r>
      <w:r w:rsidRPr="00FD7B0B">
        <w:rPr>
          <w:rFonts w:ascii="Times New Roman" w:hAnsi="Times New Roman"/>
          <w:sz w:val="28"/>
          <w:szCs w:val="28"/>
        </w:rPr>
        <w:t xml:space="preserve"> – 141,2 км, </w:t>
      </w:r>
      <w:r w:rsidR="00495457" w:rsidRPr="00FD7B0B">
        <w:rPr>
          <w:rFonts w:ascii="Times New Roman" w:hAnsi="Times New Roman"/>
          <w:sz w:val="28"/>
          <w:szCs w:val="28"/>
        </w:rPr>
        <w:t xml:space="preserve">сети </w:t>
      </w:r>
      <w:r w:rsidRPr="00FD7B0B">
        <w:rPr>
          <w:rFonts w:ascii="Times New Roman" w:hAnsi="Times New Roman"/>
          <w:sz w:val="28"/>
          <w:szCs w:val="28"/>
        </w:rPr>
        <w:t>теплоснабжени</w:t>
      </w:r>
      <w:r w:rsidR="00495457" w:rsidRPr="00FD7B0B">
        <w:rPr>
          <w:rFonts w:ascii="Times New Roman" w:hAnsi="Times New Roman"/>
          <w:sz w:val="28"/>
          <w:szCs w:val="28"/>
        </w:rPr>
        <w:t>я</w:t>
      </w:r>
      <w:r w:rsidRPr="00FD7B0B">
        <w:rPr>
          <w:rFonts w:ascii="Times New Roman" w:hAnsi="Times New Roman"/>
          <w:sz w:val="28"/>
          <w:szCs w:val="28"/>
        </w:rPr>
        <w:t xml:space="preserve"> – 2,8 км, а также отдельных объектов социально-культурного назначения: общеобразовательные организации на 320 ученических мест; учреждений культуры клубного типа на 250 мест, спортивны</w:t>
      </w:r>
      <w:r w:rsidR="00495457" w:rsidRPr="00FD7B0B">
        <w:rPr>
          <w:rFonts w:ascii="Times New Roman" w:hAnsi="Times New Roman"/>
          <w:sz w:val="28"/>
          <w:szCs w:val="28"/>
        </w:rPr>
        <w:t>х</w:t>
      </w:r>
      <w:r w:rsidRPr="00FD7B0B">
        <w:rPr>
          <w:rFonts w:ascii="Times New Roman" w:hAnsi="Times New Roman"/>
          <w:sz w:val="28"/>
          <w:szCs w:val="28"/>
        </w:rPr>
        <w:t xml:space="preserve"> зал</w:t>
      </w:r>
      <w:r w:rsidR="00495457" w:rsidRPr="00FD7B0B">
        <w:rPr>
          <w:rFonts w:ascii="Times New Roman" w:hAnsi="Times New Roman"/>
          <w:sz w:val="28"/>
          <w:szCs w:val="28"/>
        </w:rPr>
        <w:t>ов</w:t>
      </w:r>
      <w:r w:rsidRPr="00FD7B0B">
        <w:rPr>
          <w:rFonts w:ascii="Times New Roman" w:hAnsi="Times New Roman"/>
          <w:sz w:val="28"/>
          <w:szCs w:val="28"/>
        </w:rPr>
        <w:t xml:space="preserve"> на 557,0 кв.м, торгово-офисны</w:t>
      </w:r>
      <w:r w:rsidR="00495457" w:rsidRPr="00FD7B0B">
        <w:rPr>
          <w:rFonts w:ascii="Times New Roman" w:hAnsi="Times New Roman"/>
          <w:sz w:val="28"/>
          <w:szCs w:val="28"/>
        </w:rPr>
        <w:t>х</w:t>
      </w:r>
      <w:r w:rsidRPr="00FD7B0B">
        <w:rPr>
          <w:rFonts w:ascii="Times New Roman" w:hAnsi="Times New Roman"/>
          <w:sz w:val="28"/>
          <w:szCs w:val="28"/>
        </w:rPr>
        <w:t xml:space="preserve"> центр</w:t>
      </w:r>
      <w:r w:rsidR="00495457" w:rsidRPr="00FD7B0B">
        <w:rPr>
          <w:rFonts w:ascii="Times New Roman" w:hAnsi="Times New Roman"/>
          <w:sz w:val="28"/>
          <w:szCs w:val="28"/>
        </w:rPr>
        <w:t>ов</w:t>
      </w:r>
      <w:r w:rsidRPr="00FD7B0B">
        <w:rPr>
          <w:rFonts w:ascii="Times New Roman" w:hAnsi="Times New Roman"/>
          <w:sz w:val="28"/>
          <w:szCs w:val="28"/>
        </w:rPr>
        <w:t xml:space="preserve"> общей площадью – 4 144,0 кв.м и иные объекты.</w:t>
      </w:r>
    </w:p>
    <w:p w14:paraId="1F0FE26A" w14:textId="77777777" w:rsidR="005A472F" w:rsidRPr="00FD7B0B" w:rsidRDefault="005A472F" w:rsidP="005A472F">
      <w:pPr>
        <w:pStyle w:val="2"/>
        <w:spacing w:before="120" w:after="0" w:line="240" w:lineRule="auto"/>
        <w:jc w:val="center"/>
        <w:rPr>
          <w:rFonts w:ascii="Times New Roman" w:hAnsi="Times New Roman"/>
          <w:lang w:val="ru-RU"/>
        </w:rPr>
      </w:pPr>
      <w:bookmarkStart w:id="36" w:name="_Toc135659989"/>
      <w:bookmarkStart w:id="37" w:name="_Toc167454820"/>
      <w:bookmarkStart w:id="38" w:name="_Toc198819117"/>
      <w:r w:rsidRPr="00FD7B0B">
        <w:rPr>
          <w:rFonts w:ascii="Times New Roman" w:hAnsi="Times New Roman"/>
          <w:lang w:val="ru-RU"/>
        </w:rPr>
        <w:t xml:space="preserve">1.4. </w:t>
      </w:r>
      <w:bookmarkStart w:id="39" w:name="_Toc515024204"/>
      <w:bookmarkStart w:id="40" w:name="_Toc9262556"/>
      <w:bookmarkStart w:id="41" w:name="_Toc42006706"/>
      <w:bookmarkStart w:id="42" w:name="_Toc72822959"/>
      <w:bookmarkStart w:id="43" w:name="_Toc451785030"/>
      <w:bookmarkEnd w:id="30"/>
      <w:bookmarkEnd w:id="31"/>
      <w:bookmarkEnd w:id="32"/>
      <w:bookmarkEnd w:id="33"/>
      <w:bookmarkEnd w:id="34"/>
      <w:r w:rsidRPr="00FD7B0B">
        <w:rPr>
          <w:rFonts w:ascii="Times New Roman" w:hAnsi="Times New Roman"/>
          <w:lang w:val="ru-RU"/>
        </w:rPr>
        <w:t>Деятельность отдельных видов транспорта</w:t>
      </w:r>
      <w:bookmarkEnd w:id="35"/>
      <w:bookmarkEnd w:id="36"/>
      <w:bookmarkEnd w:id="37"/>
      <w:bookmarkEnd w:id="38"/>
      <w:bookmarkEnd w:id="39"/>
      <w:bookmarkEnd w:id="40"/>
      <w:bookmarkEnd w:id="41"/>
      <w:bookmarkEnd w:id="42"/>
    </w:p>
    <w:p w14:paraId="3F6DBEF8"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оперативным данным статистики показатели грузооборота автомобильного транспорта в Архангельской области (без субъектов малого предпринимательства) за отчетный год составили 923,5 млн т. км или 87,9 % к показателям грузооборота за прошлый год (в 2023 году – 1 051,0 млн т. км или 94,9 % к показателям грузооборота за прошлый год), пассажирооборот автомобильного транспорта – 570,6 млн пасс. км или 91,9 % к показателям 2023 года (в 2023 году – 620,9 млн пасс. км или 100,6 % к показателям 2022 года).</w:t>
      </w:r>
    </w:p>
    <w:p w14:paraId="70440E5A"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Перевозка грузов автомобильным транспортом организациями всех видов деятельности (без субъектов малого предпринимательства) в целом по СЗФО в 2024 году составила 87,3 млн.т. или 94,6 % к 2023 году. Лидирующие позиции в части указанных перевозок занимает г. Санкт-Петербург – 22,5 млн.т.; Республика Коми – 10,9 млн.т., Архангельская область (без НАО) – 10,5 млн.т. (или 79,2 % к 2023 году), Вологодская область – 10,5 млн. т., Новгородская область – 10,1 млн.т.</w:t>
      </w:r>
    </w:p>
    <w:p w14:paraId="55DA812D" w14:textId="592954FF"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Динамика индексов тарифов на грузовые перевозки по видам транспорта в 202</w:t>
      </w:r>
      <w:r w:rsidR="000734AD" w:rsidRPr="00FD7B0B">
        <w:rPr>
          <w:rFonts w:ascii="Times New Roman" w:hAnsi="Times New Roman"/>
          <w:sz w:val="28"/>
          <w:szCs w:val="28"/>
        </w:rPr>
        <w:t>2</w:t>
      </w:r>
      <w:r w:rsidRPr="00FD7B0B">
        <w:rPr>
          <w:rFonts w:ascii="Times New Roman" w:hAnsi="Times New Roman"/>
          <w:sz w:val="28"/>
          <w:szCs w:val="28"/>
        </w:rPr>
        <w:t xml:space="preserve"> – 2024 годы по оперативным данным статистики представлена в таблице</w:t>
      </w:r>
      <w:r w:rsidR="008C18B6" w:rsidRPr="00FD7B0B">
        <w:rPr>
          <w:rFonts w:ascii="Times New Roman" w:hAnsi="Times New Roman"/>
          <w:sz w:val="28"/>
          <w:szCs w:val="28"/>
        </w:rPr>
        <w:t xml:space="preserve"> </w:t>
      </w:r>
      <w:r w:rsidR="003E66BF" w:rsidRPr="00FD7B0B">
        <w:rPr>
          <w:rFonts w:ascii="Times New Roman" w:hAnsi="Times New Roman"/>
          <w:sz w:val="28"/>
          <w:szCs w:val="28"/>
        </w:rPr>
        <w:t>13</w:t>
      </w:r>
      <w:r w:rsidRPr="00FD7B0B">
        <w:rPr>
          <w:rFonts w:ascii="Times New Roman" w:hAnsi="Times New Roman"/>
          <w:sz w:val="28"/>
          <w:szCs w:val="28"/>
        </w:rPr>
        <w:t>.</w:t>
      </w:r>
    </w:p>
    <w:p w14:paraId="3A9A805A" w14:textId="77777777" w:rsidR="005A472F" w:rsidRPr="00FD7B0B" w:rsidRDefault="005A472F" w:rsidP="005A472F">
      <w:pPr>
        <w:spacing w:after="0" w:line="240" w:lineRule="auto"/>
        <w:rPr>
          <w:rFonts w:ascii="Times New Roman" w:hAnsi="Times New Roman"/>
          <w:sz w:val="24"/>
          <w:szCs w:val="24"/>
        </w:rPr>
      </w:pPr>
    </w:p>
    <w:p w14:paraId="543AD0D7" w14:textId="77777777" w:rsidR="005A472F" w:rsidRPr="00FD7B0B" w:rsidRDefault="005A472F" w:rsidP="005A472F">
      <w:pPr>
        <w:spacing w:after="0" w:line="240" w:lineRule="auto"/>
        <w:rPr>
          <w:rFonts w:ascii="Times New Roman" w:eastAsia="Times New Roman" w:hAnsi="Times New Roman"/>
          <w:bCs/>
          <w:sz w:val="24"/>
          <w:szCs w:val="24"/>
          <w:lang w:eastAsia="ru-RU"/>
        </w:rPr>
      </w:pPr>
      <w:r w:rsidRPr="00FD7B0B">
        <w:rPr>
          <w:rFonts w:ascii="Times New Roman" w:hAnsi="Times New Roman"/>
          <w:sz w:val="24"/>
          <w:szCs w:val="24"/>
        </w:rPr>
        <w:lastRenderedPageBreak/>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13</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Pr="00FD7B0B">
        <w:rPr>
          <w:rFonts w:ascii="Times New Roman" w:eastAsia="Times New Roman" w:hAnsi="Times New Roman"/>
          <w:bCs/>
          <w:sz w:val="24"/>
          <w:szCs w:val="24"/>
          <w:lang w:eastAsia="ru-RU"/>
        </w:rPr>
        <w:t>Индексы тарифов на грузовые перевозки в Архангельской области в 2021 – 2024 годах</w:t>
      </w:r>
    </w:p>
    <w:tbl>
      <w:tblPr>
        <w:tblW w:w="9214"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2827"/>
        <w:gridCol w:w="2135"/>
        <w:gridCol w:w="2126"/>
        <w:gridCol w:w="2126"/>
      </w:tblGrid>
      <w:tr w:rsidR="00FD7B0B" w:rsidRPr="00FD7B0B" w14:paraId="4E319017" w14:textId="77777777" w:rsidTr="000734AD">
        <w:trPr>
          <w:trHeight w:val="392"/>
          <w:tblHeader/>
          <w:jc w:val="center"/>
        </w:trPr>
        <w:tc>
          <w:tcPr>
            <w:tcW w:w="2827" w:type="dxa"/>
            <w:shd w:val="clear" w:color="auto" w:fill="auto"/>
            <w:vAlign w:val="center"/>
            <w:hideMark/>
          </w:tcPr>
          <w:p w14:paraId="6F6AA144" w14:textId="77777777" w:rsidR="000734AD" w:rsidRPr="00FD7B0B" w:rsidRDefault="000734AD"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Показатель</w:t>
            </w:r>
          </w:p>
        </w:tc>
        <w:tc>
          <w:tcPr>
            <w:tcW w:w="2135" w:type="dxa"/>
            <w:shd w:val="clear" w:color="auto" w:fill="auto"/>
            <w:vAlign w:val="center"/>
            <w:hideMark/>
          </w:tcPr>
          <w:p w14:paraId="3731A4F1" w14:textId="77777777" w:rsidR="000734AD" w:rsidRPr="00FD7B0B" w:rsidRDefault="000734AD" w:rsidP="00BE64F6">
            <w:pPr>
              <w:spacing w:after="0" w:line="240" w:lineRule="auto"/>
              <w:ind w:left="-11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Декабрь 2022 к декабрю 2021, %</w:t>
            </w:r>
          </w:p>
        </w:tc>
        <w:tc>
          <w:tcPr>
            <w:tcW w:w="2126" w:type="dxa"/>
            <w:shd w:val="clear" w:color="auto" w:fill="auto"/>
          </w:tcPr>
          <w:p w14:paraId="06918360" w14:textId="77777777" w:rsidR="000734AD" w:rsidRPr="00FD7B0B" w:rsidRDefault="000734AD" w:rsidP="00BE64F6">
            <w:pPr>
              <w:spacing w:after="0" w:line="240" w:lineRule="auto"/>
              <w:ind w:left="-11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Декабрь 2023 к декабрю 2022, %</w:t>
            </w:r>
          </w:p>
        </w:tc>
        <w:tc>
          <w:tcPr>
            <w:tcW w:w="2126" w:type="dxa"/>
          </w:tcPr>
          <w:p w14:paraId="1769BAD7" w14:textId="77777777" w:rsidR="000734AD" w:rsidRPr="00FD7B0B" w:rsidRDefault="000734AD" w:rsidP="00BE64F6">
            <w:pPr>
              <w:spacing w:after="0" w:line="240" w:lineRule="auto"/>
              <w:ind w:left="-11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Декабрь 2024 к декабрю 2023, %</w:t>
            </w:r>
          </w:p>
        </w:tc>
      </w:tr>
      <w:tr w:rsidR="00FD7B0B" w:rsidRPr="00FD7B0B" w14:paraId="401FC1F3" w14:textId="77777777" w:rsidTr="000734AD">
        <w:trPr>
          <w:trHeight w:val="151"/>
          <w:jc w:val="center"/>
        </w:trPr>
        <w:tc>
          <w:tcPr>
            <w:tcW w:w="2827" w:type="dxa"/>
            <w:shd w:val="clear" w:color="auto" w:fill="auto"/>
            <w:vAlign w:val="bottom"/>
            <w:hideMark/>
          </w:tcPr>
          <w:p w14:paraId="5E718EDB" w14:textId="77777777" w:rsidR="000734AD" w:rsidRPr="00FD7B0B" w:rsidRDefault="000734AD"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Грузовой транспорт:</w:t>
            </w:r>
          </w:p>
        </w:tc>
        <w:tc>
          <w:tcPr>
            <w:tcW w:w="2135" w:type="dxa"/>
            <w:shd w:val="clear" w:color="auto" w:fill="auto"/>
            <w:noWrap/>
            <w:vAlign w:val="bottom"/>
            <w:hideMark/>
          </w:tcPr>
          <w:p w14:paraId="33B17998"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108,6</w:t>
            </w:r>
          </w:p>
        </w:tc>
        <w:tc>
          <w:tcPr>
            <w:tcW w:w="2126" w:type="dxa"/>
            <w:shd w:val="clear" w:color="auto" w:fill="auto"/>
          </w:tcPr>
          <w:p w14:paraId="3A92947C"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106,4</w:t>
            </w:r>
          </w:p>
        </w:tc>
        <w:tc>
          <w:tcPr>
            <w:tcW w:w="2126" w:type="dxa"/>
          </w:tcPr>
          <w:p w14:paraId="245731D7"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105,3</w:t>
            </w:r>
          </w:p>
        </w:tc>
      </w:tr>
      <w:tr w:rsidR="00FD7B0B" w:rsidRPr="00FD7B0B" w14:paraId="6F6FF21A" w14:textId="77777777" w:rsidTr="000734AD">
        <w:trPr>
          <w:trHeight w:val="126"/>
          <w:jc w:val="center"/>
        </w:trPr>
        <w:tc>
          <w:tcPr>
            <w:tcW w:w="2827" w:type="dxa"/>
            <w:shd w:val="clear" w:color="auto" w:fill="auto"/>
            <w:vAlign w:val="bottom"/>
            <w:hideMark/>
          </w:tcPr>
          <w:p w14:paraId="1D604DA3" w14:textId="77777777" w:rsidR="000734AD" w:rsidRPr="00FD7B0B" w:rsidRDefault="000734AD" w:rsidP="00BE64F6">
            <w:pPr>
              <w:spacing w:after="0" w:line="240" w:lineRule="auto"/>
              <w:ind w:firstLine="153"/>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морской</w:t>
            </w:r>
          </w:p>
        </w:tc>
        <w:tc>
          <w:tcPr>
            <w:tcW w:w="2135" w:type="dxa"/>
            <w:shd w:val="clear" w:color="auto" w:fill="auto"/>
            <w:noWrap/>
            <w:vAlign w:val="bottom"/>
            <w:hideMark/>
          </w:tcPr>
          <w:p w14:paraId="1A1267DC"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106,6</w:t>
            </w:r>
          </w:p>
        </w:tc>
        <w:tc>
          <w:tcPr>
            <w:tcW w:w="2126" w:type="dxa"/>
            <w:shd w:val="clear" w:color="auto" w:fill="auto"/>
          </w:tcPr>
          <w:p w14:paraId="4F271C77"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104,6</w:t>
            </w:r>
          </w:p>
        </w:tc>
        <w:tc>
          <w:tcPr>
            <w:tcW w:w="2126" w:type="dxa"/>
          </w:tcPr>
          <w:p w14:paraId="2A7BEE41"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101,6</w:t>
            </w:r>
          </w:p>
        </w:tc>
      </w:tr>
      <w:tr w:rsidR="00FD7B0B" w:rsidRPr="00FD7B0B" w14:paraId="100177B8" w14:textId="77777777" w:rsidTr="000734AD">
        <w:trPr>
          <w:trHeight w:val="143"/>
          <w:jc w:val="center"/>
        </w:trPr>
        <w:tc>
          <w:tcPr>
            <w:tcW w:w="2827" w:type="dxa"/>
            <w:shd w:val="clear" w:color="auto" w:fill="auto"/>
            <w:vAlign w:val="bottom"/>
            <w:hideMark/>
          </w:tcPr>
          <w:p w14:paraId="34A7BC04" w14:textId="77777777" w:rsidR="000734AD" w:rsidRPr="00FD7B0B" w:rsidRDefault="000734AD" w:rsidP="00BE64F6">
            <w:pPr>
              <w:spacing w:after="0" w:line="240" w:lineRule="auto"/>
              <w:ind w:firstLine="153"/>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внутренний водный</w:t>
            </w:r>
          </w:p>
        </w:tc>
        <w:tc>
          <w:tcPr>
            <w:tcW w:w="2135" w:type="dxa"/>
            <w:shd w:val="clear" w:color="auto" w:fill="auto"/>
            <w:noWrap/>
            <w:vAlign w:val="bottom"/>
            <w:hideMark/>
          </w:tcPr>
          <w:p w14:paraId="60B0A4BA"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101,7</w:t>
            </w:r>
          </w:p>
        </w:tc>
        <w:tc>
          <w:tcPr>
            <w:tcW w:w="2126" w:type="dxa"/>
            <w:shd w:val="clear" w:color="auto" w:fill="auto"/>
          </w:tcPr>
          <w:p w14:paraId="73AC4E9B"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104,7</w:t>
            </w:r>
          </w:p>
        </w:tc>
        <w:tc>
          <w:tcPr>
            <w:tcW w:w="2126" w:type="dxa"/>
          </w:tcPr>
          <w:p w14:paraId="345084C0"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107,7</w:t>
            </w:r>
          </w:p>
        </w:tc>
      </w:tr>
      <w:tr w:rsidR="00FD7B0B" w:rsidRPr="00FD7B0B" w14:paraId="2B30E889" w14:textId="77777777" w:rsidTr="000734AD">
        <w:trPr>
          <w:trHeight w:val="255"/>
          <w:jc w:val="center"/>
        </w:trPr>
        <w:tc>
          <w:tcPr>
            <w:tcW w:w="2827" w:type="dxa"/>
            <w:shd w:val="clear" w:color="auto" w:fill="auto"/>
            <w:vAlign w:val="bottom"/>
            <w:hideMark/>
          </w:tcPr>
          <w:p w14:paraId="235A89A3" w14:textId="77777777" w:rsidR="000734AD" w:rsidRPr="00FD7B0B" w:rsidRDefault="000734AD" w:rsidP="00BE64F6">
            <w:pPr>
              <w:spacing w:after="0" w:line="240" w:lineRule="auto"/>
              <w:ind w:firstLine="153"/>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автомобильный</w:t>
            </w:r>
          </w:p>
        </w:tc>
        <w:tc>
          <w:tcPr>
            <w:tcW w:w="2135" w:type="dxa"/>
            <w:shd w:val="clear" w:color="auto" w:fill="auto"/>
            <w:noWrap/>
            <w:vAlign w:val="bottom"/>
            <w:hideMark/>
          </w:tcPr>
          <w:p w14:paraId="50138A1F"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110,7</w:t>
            </w:r>
          </w:p>
        </w:tc>
        <w:tc>
          <w:tcPr>
            <w:tcW w:w="2126" w:type="dxa"/>
            <w:shd w:val="clear" w:color="auto" w:fill="auto"/>
          </w:tcPr>
          <w:p w14:paraId="18A698B6"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115,9</w:t>
            </w:r>
          </w:p>
        </w:tc>
        <w:tc>
          <w:tcPr>
            <w:tcW w:w="2126" w:type="dxa"/>
          </w:tcPr>
          <w:p w14:paraId="4A3D429A"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115,8</w:t>
            </w:r>
          </w:p>
        </w:tc>
      </w:tr>
      <w:tr w:rsidR="000734AD" w:rsidRPr="00FD7B0B" w14:paraId="062C5C4B" w14:textId="77777777" w:rsidTr="000734AD">
        <w:trPr>
          <w:trHeight w:val="95"/>
          <w:jc w:val="center"/>
        </w:trPr>
        <w:tc>
          <w:tcPr>
            <w:tcW w:w="2827" w:type="dxa"/>
            <w:shd w:val="clear" w:color="auto" w:fill="auto"/>
            <w:vAlign w:val="bottom"/>
            <w:hideMark/>
          </w:tcPr>
          <w:p w14:paraId="0E559A67" w14:textId="77777777" w:rsidR="000734AD" w:rsidRPr="00FD7B0B" w:rsidRDefault="000734AD" w:rsidP="00BE64F6">
            <w:pPr>
              <w:spacing w:after="0" w:line="240" w:lineRule="auto"/>
              <w:ind w:firstLine="153"/>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воздушный</w:t>
            </w:r>
          </w:p>
        </w:tc>
        <w:tc>
          <w:tcPr>
            <w:tcW w:w="2135" w:type="dxa"/>
            <w:shd w:val="clear" w:color="auto" w:fill="auto"/>
            <w:noWrap/>
            <w:vAlign w:val="bottom"/>
            <w:hideMark/>
          </w:tcPr>
          <w:p w14:paraId="7ADCEC8D"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2126" w:type="dxa"/>
            <w:shd w:val="clear" w:color="auto" w:fill="auto"/>
          </w:tcPr>
          <w:p w14:paraId="086BD27D"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129,6</w:t>
            </w:r>
          </w:p>
        </w:tc>
        <w:tc>
          <w:tcPr>
            <w:tcW w:w="2126" w:type="dxa"/>
          </w:tcPr>
          <w:p w14:paraId="2B76C33A" w14:textId="77777777" w:rsidR="000734AD" w:rsidRPr="00FD7B0B" w:rsidRDefault="000734AD"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104,0</w:t>
            </w:r>
          </w:p>
        </w:tc>
      </w:tr>
    </w:tbl>
    <w:p w14:paraId="6EDD6303" w14:textId="77777777" w:rsidR="005A472F" w:rsidRPr="00FD7B0B" w:rsidRDefault="005A472F" w:rsidP="005A472F">
      <w:pPr>
        <w:pStyle w:val="ad"/>
        <w:ind w:firstLine="709"/>
        <w:jc w:val="both"/>
        <w:rPr>
          <w:rFonts w:ascii="Times New Roman" w:hAnsi="Times New Roman"/>
          <w:sz w:val="28"/>
          <w:szCs w:val="28"/>
        </w:rPr>
      </w:pPr>
      <w:bookmarkStart w:id="44" w:name="_Toc9262557"/>
      <w:bookmarkStart w:id="45" w:name="_Toc42006707"/>
      <w:bookmarkStart w:id="46" w:name="_Toc451785031"/>
      <w:bookmarkStart w:id="47" w:name="_Toc515024206"/>
      <w:bookmarkEnd w:id="43"/>
    </w:p>
    <w:p w14:paraId="3E2C6C04"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Индекс тарифов на грузовые перевозки </w:t>
      </w:r>
      <w:r w:rsidRPr="00FD7B0B">
        <w:rPr>
          <w:rFonts w:ascii="Times New Roman" w:hAnsi="Times New Roman"/>
          <w:i/>
          <w:sz w:val="28"/>
          <w:szCs w:val="28"/>
        </w:rPr>
        <w:t>в целом</w:t>
      </w:r>
      <w:r w:rsidRPr="00FD7B0B">
        <w:rPr>
          <w:rFonts w:ascii="Times New Roman" w:hAnsi="Times New Roman"/>
          <w:sz w:val="28"/>
          <w:szCs w:val="28"/>
        </w:rPr>
        <w:t xml:space="preserve"> в 2024 году (декабрь к декабрю предыдущего года, %) зафиксирован несколько ниже к показателю индекса прошлого года, а в части индексов тарифов на грузовые перевозки по видам транспорта, в основном, с ростом к прошлогодним показателям, за исключением морского и воздушного грузового транспорта.</w:t>
      </w:r>
    </w:p>
    <w:p w14:paraId="4938AE18" w14:textId="77777777" w:rsidR="005A472F" w:rsidRPr="00FD7B0B" w:rsidRDefault="005A472F" w:rsidP="005A472F">
      <w:pPr>
        <w:pStyle w:val="2"/>
        <w:spacing w:before="120" w:after="0" w:line="240" w:lineRule="auto"/>
        <w:jc w:val="center"/>
        <w:rPr>
          <w:rFonts w:ascii="Times New Roman" w:hAnsi="Times New Roman"/>
          <w:lang w:val="ru-RU"/>
        </w:rPr>
      </w:pPr>
      <w:bookmarkStart w:id="48" w:name="_Toc104284467"/>
      <w:bookmarkStart w:id="49" w:name="_Toc135659990"/>
      <w:bookmarkStart w:id="50" w:name="_Toc167454821"/>
      <w:bookmarkStart w:id="51" w:name="_Toc198819118"/>
      <w:bookmarkStart w:id="52" w:name="_Toc72822960"/>
      <w:r w:rsidRPr="00FD7B0B">
        <w:rPr>
          <w:rFonts w:ascii="Times New Roman" w:hAnsi="Times New Roman"/>
          <w:lang w:val="ru-RU"/>
        </w:rPr>
        <w:t>1.5. Оборот розничной торговли в Архангельской области</w:t>
      </w:r>
      <w:bookmarkEnd w:id="48"/>
      <w:bookmarkEnd w:id="49"/>
      <w:r w:rsidRPr="00FD7B0B">
        <w:rPr>
          <w:rFonts w:ascii="Times New Roman" w:hAnsi="Times New Roman"/>
          <w:lang w:val="ru-RU"/>
        </w:rPr>
        <w:t xml:space="preserve"> (без НАО)</w:t>
      </w:r>
      <w:bookmarkEnd w:id="50"/>
      <w:bookmarkEnd w:id="51"/>
    </w:p>
    <w:p w14:paraId="084EEF83" w14:textId="455EFD60"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Динамика оборота розничной торговли Архангельской области (без НАО) по предварительным статистическим данным за 2024 год составляет 375 189,1 млн.руб. с индексом физического объема 100,0 % (в сопоставимых ценах) к предыдущему году. По данным </w:t>
      </w:r>
      <w:r w:rsidRPr="00FD7B0B">
        <w:rPr>
          <w:rFonts w:ascii="Times New Roman" w:eastAsia="Times New Roman" w:hAnsi="Times New Roman"/>
          <w:sz w:val="28"/>
          <w:szCs w:val="28"/>
          <w:lang w:eastAsia="ru-RU"/>
        </w:rPr>
        <w:t>статистики р</w:t>
      </w:r>
      <w:r w:rsidRPr="00FD7B0B">
        <w:rPr>
          <w:rFonts w:ascii="Times New Roman" w:hAnsi="Times New Roman"/>
          <w:sz w:val="28"/>
          <w:szCs w:val="28"/>
        </w:rPr>
        <w:t>озничная торговля в регионе показала прирост к соответствующих периодах предыдущего года в первом (+1,0</w:t>
      </w:r>
      <w:r w:rsidR="0041261C" w:rsidRPr="00FD7B0B">
        <w:rPr>
          <w:rFonts w:ascii="Times New Roman" w:hAnsi="Times New Roman"/>
          <w:sz w:val="28"/>
          <w:szCs w:val="28"/>
        </w:rPr>
        <w:t> </w:t>
      </w:r>
      <w:r w:rsidRPr="00FD7B0B">
        <w:rPr>
          <w:rFonts w:ascii="Times New Roman" w:hAnsi="Times New Roman"/>
          <w:sz w:val="28"/>
          <w:szCs w:val="28"/>
        </w:rPr>
        <w:t>%) и втором (+0,5 %) кварталах при снижении в третьем (–0,1%) и четвертом (–1,3 %) кварталах.</w:t>
      </w:r>
    </w:p>
    <w:p w14:paraId="7AE31694" w14:textId="275757EA"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Показатели оборота розничной торговли пищевыми продуктами, включая напитки, и табачные изделия, а также непродовольственными товарами (в % к соответствующему периоду предыдущего года) по ряду лет представлены в таблице</w:t>
      </w:r>
      <w:r w:rsidR="005D4CC0" w:rsidRPr="00FD7B0B">
        <w:rPr>
          <w:rFonts w:ascii="Times New Roman" w:hAnsi="Times New Roman"/>
          <w:sz w:val="28"/>
          <w:szCs w:val="28"/>
        </w:rPr>
        <w:t xml:space="preserve"> </w:t>
      </w:r>
      <w:r w:rsidR="003E66BF" w:rsidRPr="00FD7B0B">
        <w:rPr>
          <w:rFonts w:ascii="Times New Roman" w:hAnsi="Times New Roman"/>
          <w:sz w:val="28"/>
          <w:szCs w:val="28"/>
        </w:rPr>
        <w:t>14</w:t>
      </w:r>
      <w:r w:rsidRPr="00FD7B0B">
        <w:rPr>
          <w:rFonts w:ascii="Times New Roman" w:hAnsi="Times New Roman"/>
          <w:sz w:val="28"/>
          <w:szCs w:val="28"/>
        </w:rPr>
        <w:t>.</w:t>
      </w:r>
    </w:p>
    <w:p w14:paraId="74E621B3" w14:textId="77777777" w:rsidR="005A472F" w:rsidRPr="00FD7B0B" w:rsidRDefault="005A472F" w:rsidP="005A472F">
      <w:pPr>
        <w:pStyle w:val="ad"/>
        <w:ind w:firstLine="709"/>
        <w:jc w:val="both"/>
        <w:rPr>
          <w:rFonts w:ascii="Times New Roman" w:hAnsi="Times New Roman"/>
          <w:sz w:val="24"/>
          <w:szCs w:val="24"/>
        </w:rPr>
      </w:pPr>
    </w:p>
    <w:p w14:paraId="3BA7CCA2"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14</w:t>
      </w:r>
      <w:r w:rsidRPr="00FD7B0B">
        <w:rPr>
          <w:rFonts w:ascii="Times New Roman" w:hAnsi="Times New Roman"/>
          <w:b w:val="0"/>
          <w:sz w:val="24"/>
          <w:szCs w:val="24"/>
        </w:rPr>
        <w:fldChar w:fldCharType="end"/>
      </w:r>
      <w:r w:rsidRPr="00FD7B0B">
        <w:rPr>
          <w:rFonts w:ascii="Times New Roman" w:hAnsi="Times New Roman"/>
          <w:b w:val="0"/>
          <w:sz w:val="24"/>
          <w:szCs w:val="24"/>
        </w:rPr>
        <w:t>. Оборот розничной торговли по предварительным данным статистики (в сопоставимых ценах), % к пред. году</w:t>
      </w:r>
    </w:p>
    <w:tbl>
      <w:tblPr>
        <w:tblW w:w="9073"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6096"/>
        <w:gridCol w:w="851"/>
        <w:gridCol w:w="1134"/>
        <w:gridCol w:w="992"/>
      </w:tblGrid>
      <w:tr w:rsidR="00FD7B0B" w:rsidRPr="00FD7B0B" w14:paraId="2FB364A1" w14:textId="77777777" w:rsidTr="001B35E9">
        <w:trPr>
          <w:trHeight w:val="239"/>
          <w:tblHeader/>
          <w:jc w:val="center"/>
        </w:trPr>
        <w:tc>
          <w:tcPr>
            <w:tcW w:w="6096" w:type="dxa"/>
            <w:shd w:val="clear" w:color="auto" w:fill="auto"/>
            <w:vAlign w:val="center"/>
            <w:hideMark/>
          </w:tcPr>
          <w:p w14:paraId="2F623F64" w14:textId="77777777" w:rsidR="001B35E9" w:rsidRPr="00FD7B0B" w:rsidRDefault="001B35E9"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Наименование показателя</w:t>
            </w:r>
          </w:p>
        </w:tc>
        <w:tc>
          <w:tcPr>
            <w:tcW w:w="851" w:type="dxa"/>
            <w:shd w:val="clear" w:color="auto" w:fill="auto"/>
            <w:vAlign w:val="center"/>
            <w:hideMark/>
          </w:tcPr>
          <w:p w14:paraId="3F8F8980" w14:textId="77777777" w:rsidR="001B35E9" w:rsidRPr="00FD7B0B" w:rsidRDefault="001B35E9"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2022 г.</w:t>
            </w:r>
          </w:p>
          <w:p w14:paraId="009ACB18" w14:textId="61CD7806" w:rsidR="001B35E9" w:rsidRPr="00FD7B0B" w:rsidRDefault="001B35E9"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 2021 г.</w:t>
            </w:r>
          </w:p>
        </w:tc>
        <w:tc>
          <w:tcPr>
            <w:tcW w:w="1134" w:type="dxa"/>
            <w:shd w:val="clear" w:color="auto" w:fill="auto"/>
            <w:vAlign w:val="center"/>
            <w:hideMark/>
          </w:tcPr>
          <w:p w14:paraId="4D6E1828" w14:textId="77777777" w:rsidR="001B35E9" w:rsidRPr="00FD7B0B" w:rsidRDefault="001B35E9"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2023 г.</w:t>
            </w:r>
          </w:p>
          <w:p w14:paraId="13A19877" w14:textId="0065C7BD" w:rsidR="001B35E9" w:rsidRPr="00FD7B0B" w:rsidRDefault="001B35E9"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к 2022 г.</w:t>
            </w:r>
          </w:p>
        </w:tc>
        <w:tc>
          <w:tcPr>
            <w:tcW w:w="992" w:type="dxa"/>
            <w:vAlign w:val="center"/>
          </w:tcPr>
          <w:p w14:paraId="3962DBAE" w14:textId="77777777" w:rsidR="001B35E9" w:rsidRPr="00FD7B0B" w:rsidRDefault="001B35E9" w:rsidP="00BE64F6">
            <w:pPr>
              <w:spacing w:after="0" w:line="240" w:lineRule="auto"/>
              <w:ind w:left="-108" w:right="-108" w:firstLine="11"/>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г.</w:t>
            </w:r>
          </w:p>
          <w:p w14:paraId="209282DF" w14:textId="7C69A09E" w:rsidR="001B35E9" w:rsidRPr="00FD7B0B" w:rsidRDefault="001B35E9" w:rsidP="00BE64F6">
            <w:pPr>
              <w:spacing w:after="0" w:line="240" w:lineRule="auto"/>
              <w:ind w:left="-108" w:right="-108" w:firstLine="11"/>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 к 2023 г.</w:t>
            </w:r>
          </w:p>
        </w:tc>
      </w:tr>
      <w:tr w:rsidR="00FD7B0B" w:rsidRPr="00FD7B0B" w14:paraId="65FED06C" w14:textId="77777777" w:rsidTr="001B35E9">
        <w:trPr>
          <w:trHeight w:val="152"/>
          <w:jc w:val="center"/>
        </w:trPr>
        <w:tc>
          <w:tcPr>
            <w:tcW w:w="6096" w:type="dxa"/>
            <w:shd w:val="clear" w:color="auto" w:fill="auto"/>
            <w:vAlign w:val="center"/>
            <w:hideMark/>
          </w:tcPr>
          <w:p w14:paraId="10283022" w14:textId="77777777" w:rsidR="001B35E9" w:rsidRPr="00FD7B0B" w:rsidRDefault="001B35E9"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Оборот розничной торговли, в том числе:</w:t>
            </w:r>
          </w:p>
        </w:tc>
        <w:tc>
          <w:tcPr>
            <w:tcW w:w="851" w:type="dxa"/>
            <w:shd w:val="clear" w:color="auto" w:fill="auto"/>
            <w:noWrap/>
            <w:vAlign w:val="bottom"/>
            <w:hideMark/>
          </w:tcPr>
          <w:p w14:paraId="724221AC"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92,6</w:t>
            </w:r>
          </w:p>
        </w:tc>
        <w:tc>
          <w:tcPr>
            <w:tcW w:w="1134" w:type="dxa"/>
            <w:shd w:val="clear" w:color="auto" w:fill="auto"/>
            <w:vAlign w:val="bottom"/>
            <w:hideMark/>
          </w:tcPr>
          <w:p w14:paraId="6E12C34F"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102,8</w:t>
            </w:r>
          </w:p>
        </w:tc>
        <w:tc>
          <w:tcPr>
            <w:tcW w:w="992" w:type="dxa"/>
            <w:vAlign w:val="bottom"/>
          </w:tcPr>
          <w:p w14:paraId="60DBA967" w14:textId="77777777" w:rsidR="001B35E9" w:rsidRPr="00FD7B0B" w:rsidRDefault="001B35E9" w:rsidP="00BE64F6">
            <w:pPr>
              <w:spacing w:after="0" w:line="240" w:lineRule="auto"/>
              <w:ind w:left="-119" w:firstLine="11"/>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3D27B320" w14:textId="77777777" w:rsidTr="001B35E9">
        <w:trPr>
          <w:trHeight w:val="193"/>
          <w:jc w:val="center"/>
        </w:trPr>
        <w:tc>
          <w:tcPr>
            <w:tcW w:w="6096" w:type="dxa"/>
            <w:shd w:val="clear" w:color="auto" w:fill="auto"/>
            <w:vAlign w:val="center"/>
            <w:hideMark/>
          </w:tcPr>
          <w:p w14:paraId="7B8EB0AC" w14:textId="77777777" w:rsidR="001B35E9" w:rsidRPr="00FD7B0B" w:rsidRDefault="001B35E9"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Пищевые продукты, включая напитки, и табачные изделия</w:t>
            </w:r>
          </w:p>
        </w:tc>
        <w:tc>
          <w:tcPr>
            <w:tcW w:w="851" w:type="dxa"/>
            <w:shd w:val="clear" w:color="auto" w:fill="auto"/>
            <w:vAlign w:val="bottom"/>
            <w:hideMark/>
          </w:tcPr>
          <w:p w14:paraId="451FA0B7"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95,6</w:t>
            </w:r>
          </w:p>
        </w:tc>
        <w:tc>
          <w:tcPr>
            <w:tcW w:w="1134" w:type="dxa"/>
            <w:shd w:val="clear" w:color="auto" w:fill="auto"/>
            <w:vAlign w:val="bottom"/>
            <w:hideMark/>
          </w:tcPr>
          <w:p w14:paraId="69655755"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100,3</w:t>
            </w:r>
          </w:p>
        </w:tc>
        <w:tc>
          <w:tcPr>
            <w:tcW w:w="992" w:type="dxa"/>
            <w:vAlign w:val="bottom"/>
          </w:tcPr>
          <w:p w14:paraId="6FD44353" w14:textId="77777777" w:rsidR="001B35E9" w:rsidRPr="00FD7B0B" w:rsidRDefault="001B35E9" w:rsidP="00BE64F6">
            <w:pPr>
              <w:spacing w:after="0" w:line="240" w:lineRule="auto"/>
              <w:ind w:left="-119" w:firstLine="11"/>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100,4</w:t>
            </w:r>
          </w:p>
        </w:tc>
      </w:tr>
      <w:tr w:rsidR="001B35E9" w:rsidRPr="00FD7B0B" w14:paraId="39114C11" w14:textId="77777777" w:rsidTr="00ED7CCB">
        <w:trPr>
          <w:trHeight w:val="137"/>
          <w:jc w:val="center"/>
        </w:trPr>
        <w:tc>
          <w:tcPr>
            <w:tcW w:w="6096" w:type="dxa"/>
            <w:shd w:val="clear" w:color="auto" w:fill="auto"/>
            <w:vAlign w:val="center"/>
            <w:hideMark/>
          </w:tcPr>
          <w:p w14:paraId="370FA2B9" w14:textId="77777777" w:rsidR="001B35E9" w:rsidRPr="00FD7B0B" w:rsidRDefault="001B35E9"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Непродовольственными товарами</w:t>
            </w:r>
          </w:p>
        </w:tc>
        <w:tc>
          <w:tcPr>
            <w:tcW w:w="851" w:type="dxa"/>
            <w:shd w:val="clear" w:color="auto" w:fill="auto"/>
            <w:vAlign w:val="bottom"/>
            <w:hideMark/>
          </w:tcPr>
          <w:p w14:paraId="358CD7A4"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90,0</w:t>
            </w:r>
          </w:p>
        </w:tc>
        <w:tc>
          <w:tcPr>
            <w:tcW w:w="1134" w:type="dxa"/>
            <w:shd w:val="clear" w:color="auto" w:fill="auto"/>
            <w:vAlign w:val="bottom"/>
            <w:hideMark/>
          </w:tcPr>
          <w:p w14:paraId="77397EC0"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105,7</w:t>
            </w:r>
          </w:p>
        </w:tc>
        <w:tc>
          <w:tcPr>
            <w:tcW w:w="992" w:type="dxa"/>
            <w:vAlign w:val="bottom"/>
          </w:tcPr>
          <w:p w14:paraId="73C07339" w14:textId="77777777" w:rsidR="001B35E9" w:rsidRPr="00FD7B0B" w:rsidRDefault="001B35E9" w:rsidP="00BE64F6">
            <w:pPr>
              <w:spacing w:after="0" w:line="240" w:lineRule="auto"/>
              <w:ind w:left="-119" w:firstLine="11"/>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99,6</w:t>
            </w:r>
          </w:p>
        </w:tc>
      </w:tr>
    </w:tbl>
    <w:p w14:paraId="679FF37A" w14:textId="77777777" w:rsidR="005A472F" w:rsidRPr="00FD7B0B" w:rsidRDefault="005A472F" w:rsidP="005A472F">
      <w:pPr>
        <w:pStyle w:val="ad"/>
        <w:ind w:firstLine="709"/>
        <w:jc w:val="both"/>
        <w:rPr>
          <w:rFonts w:ascii="Times New Roman" w:hAnsi="Times New Roman"/>
          <w:sz w:val="28"/>
          <w:szCs w:val="28"/>
        </w:rPr>
      </w:pPr>
    </w:p>
    <w:p w14:paraId="7E4C7E36"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предварительным данным статистики в 2024 году показатель оборота розничной торговли в Архангельской области в целом к предыдущему году установлен в положительном значении, при этом: незначительное снижение оборота розничной торговли непродовольственными товарами и рост показателя оборота розничной торговли пищевыми продуктами, включая напитки и табачные изделия.</w:t>
      </w:r>
    </w:p>
    <w:p w14:paraId="5792D73A" w14:textId="163C2B1B"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В части оборота розничной торговли пищевыми продуктами, включая напитки, и табачные изделия (в сопоставимых ценах) установлен прирост к соответствующему периоду предыдущего года в </w:t>
      </w:r>
      <w:r w:rsidRPr="00FD7B0B">
        <w:rPr>
          <w:rFonts w:ascii="Times New Roman" w:hAnsi="Times New Roman"/>
          <w:sz w:val="28"/>
          <w:szCs w:val="28"/>
          <w:lang w:val="en-US"/>
        </w:rPr>
        <w:t>I</w:t>
      </w:r>
      <w:r w:rsidRPr="00FD7B0B">
        <w:rPr>
          <w:rFonts w:ascii="Times New Roman" w:hAnsi="Times New Roman"/>
          <w:sz w:val="28"/>
          <w:szCs w:val="28"/>
        </w:rPr>
        <w:t xml:space="preserve">, </w:t>
      </w:r>
      <w:r w:rsidRPr="00FD7B0B">
        <w:rPr>
          <w:rFonts w:ascii="Times New Roman" w:hAnsi="Times New Roman"/>
          <w:sz w:val="28"/>
          <w:szCs w:val="28"/>
          <w:lang w:val="en-US"/>
        </w:rPr>
        <w:t>II</w:t>
      </w:r>
      <w:r w:rsidRPr="00FD7B0B">
        <w:rPr>
          <w:rFonts w:ascii="Times New Roman" w:hAnsi="Times New Roman"/>
          <w:sz w:val="28"/>
          <w:szCs w:val="28"/>
        </w:rPr>
        <w:t xml:space="preserve">, </w:t>
      </w:r>
      <w:r w:rsidRPr="00FD7B0B">
        <w:rPr>
          <w:rFonts w:ascii="Times New Roman" w:hAnsi="Times New Roman"/>
          <w:sz w:val="28"/>
          <w:szCs w:val="28"/>
          <w:lang w:val="en-US"/>
        </w:rPr>
        <w:t>III</w:t>
      </w:r>
      <w:r w:rsidRPr="00FD7B0B">
        <w:rPr>
          <w:rFonts w:ascii="Times New Roman" w:hAnsi="Times New Roman"/>
          <w:sz w:val="28"/>
          <w:szCs w:val="28"/>
        </w:rPr>
        <w:t xml:space="preserve"> кварталах (+1,3 %, +1,2 %, +0,3%, соответственно), в </w:t>
      </w:r>
      <w:r w:rsidRPr="00FD7B0B">
        <w:rPr>
          <w:rFonts w:ascii="Times New Roman" w:hAnsi="Times New Roman"/>
          <w:sz w:val="28"/>
          <w:szCs w:val="28"/>
          <w:lang w:val="en-US"/>
        </w:rPr>
        <w:t>IV</w:t>
      </w:r>
      <w:r w:rsidRPr="00FD7B0B">
        <w:rPr>
          <w:rFonts w:ascii="Times New Roman" w:hAnsi="Times New Roman"/>
          <w:sz w:val="28"/>
          <w:szCs w:val="28"/>
        </w:rPr>
        <w:t xml:space="preserve"> квартале установлено снижение показателя (–1,2 %). В части оборота непродовольственных товаров (в сопоставимых ценах) </w:t>
      </w:r>
      <w:r w:rsidRPr="00FD7B0B">
        <w:rPr>
          <w:rFonts w:ascii="Times New Roman" w:hAnsi="Times New Roman"/>
          <w:sz w:val="28"/>
          <w:szCs w:val="28"/>
        </w:rPr>
        <w:lastRenderedPageBreak/>
        <w:t xml:space="preserve">установлен прирост к соответствующему периоду предыдущего года в </w:t>
      </w:r>
      <w:r w:rsidRPr="00FD7B0B">
        <w:rPr>
          <w:rFonts w:ascii="Times New Roman" w:hAnsi="Times New Roman"/>
          <w:sz w:val="28"/>
          <w:szCs w:val="28"/>
          <w:lang w:val="en-US"/>
        </w:rPr>
        <w:t>I</w:t>
      </w:r>
      <w:r w:rsidRPr="00FD7B0B">
        <w:rPr>
          <w:rFonts w:ascii="Times New Roman" w:hAnsi="Times New Roman"/>
          <w:sz w:val="28"/>
          <w:szCs w:val="28"/>
        </w:rPr>
        <w:t xml:space="preserve"> квартале (+0,7</w:t>
      </w:r>
      <w:r w:rsidR="00E44A00" w:rsidRPr="00FD7B0B">
        <w:rPr>
          <w:rFonts w:ascii="Times New Roman" w:hAnsi="Times New Roman"/>
          <w:sz w:val="28"/>
          <w:szCs w:val="28"/>
        </w:rPr>
        <w:t xml:space="preserve"> </w:t>
      </w:r>
      <w:r w:rsidRPr="00FD7B0B">
        <w:rPr>
          <w:rFonts w:ascii="Times New Roman" w:hAnsi="Times New Roman"/>
          <w:sz w:val="28"/>
          <w:szCs w:val="28"/>
        </w:rPr>
        <w:t xml:space="preserve">%), снижение во </w:t>
      </w:r>
      <w:r w:rsidRPr="00FD7B0B">
        <w:rPr>
          <w:rFonts w:ascii="Times New Roman" w:hAnsi="Times New Roman"/>
          <w:sz w:val="28"/>
          <w:szCs w:val="28"/>
          <w:lang w:val="en-US"/>
        </w:rPr>
        <w:t>II</w:t>
      </w:r>
      <w:r w:rsidRPr="00FD7B0B">
        <w:rPr>
          <w:rFonts w:ascii="Times New Roman" w:hAnsi="Times New Roman"/>
          <w:sz w:val="28"/>
          <w:szCs w:val="28"/>
        </w:rPr>
        <w:t xml:space="preserve">, </w:t>
      </w:r>
      <w:r w:rsidRPr="00FD7B0B">
        <w:rPr>
          <w:rFonts w:ascii="Times New Roman" w:hAnsi="Times New Roman"/>
          <w:sz w:val="28"/>
          <w:szCs w:val="28"/>
          <w:lang w:val="en-US"/>
        </w:rPr>
        <w:t>III</w:t>
      </w:r>
      <w:r w:rsidRPr="00FD7B0B">
        <w:rPr>
          <w:rFonts w:ascii="Times New Roman" w:hAnsi="Times New Roman"/>
          <w:sz w:val="28"/>
          <w:szCs w:val="28"/>
        </w:rPr>
        <w:t xml:space="preserve"> и </w:t>
      </w:r>
      <w:r w:rsidRPr="00FD7B0B">
        <w:rPr>
          <w:rFonts w:ascii="Times New Roman" w:hAnsi="Times New Roman"/>
          <w:sz w:val="28"/>
          <w:szCs w:val="28"/>
          <w:lang w:val="en-US"/>
        </w:rPr>
        <w:t>IV</w:t>
      </w:r>
      <w:r w:rsidRPr="00FD7B0B">
        <w:rPr>
          <w:rFonts w:ascii="Times New Roman" w:hAnsi="Times New Roman"/>
          <w:sz w:val="28"/>
          <w:szCs w:val="28"/>
        </w:rPr>
        <w:t xml:space="preserve"> кварталах (–0,4 %, –0,4 %, –1,4 %, соответственно).</w:t>
      </w:r>
    </w:p>
    <w:p w14:paraId="37579E6B" w14:textId="12C47672"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Структура оборота розничной торговли Архангельской области по предварительным статистическим данным, в процентах к итогу, представлена в таблице</w:t>
      </w:r>
      <w:r w:rsidR="00E44A00" w:rsidRPr="00FD7B0B">
        <w:rPr>
          <w:rFonts w:ascii="Times New Roman" w:hAnsi="Times New Roman"/>
          <w:sz w:val="28"/>
          <w:szCs w:val="28"/>
        </w:rPr>
        <w:t xml:space="preserve"> </w:t>
      </w:r>
      <w:r w:rsidR="003E66BF" w:rsidRPr="00FD7B0B">
        <w:rPr>
          <w:rFonts w:ascii="Times New Roman" w:hAnsi="Times New Roman"/>
          <w:sz w:val="28"/>
          <w:szCs w:val="28"/>
        </w:rPr>
        <w:t>15</w:t>
      </w:r>
      <w:r w:rsidRPr="00FD7B0B">
        <w:rPr>
          <w:rFonts w:ascii="Times New Roman" w:hAnsi="Times New Roman"/>
          <w:sz w:val="28"/>
          <w:szCs w:val="28"/>
        </w:rPr>
        <w:t>.</w:t>
      </w:r>
    </w:p>
    <w:p w14:paraId="37653A40" w14:textId="77777777" w:rsidR="005A472F" w:rsidRPr="00FD7B0B" w:rsidRDefault="005A472F" w:rsidP="005A472F">
      <w:pPr>
        <w:pStyle w:val="aff0"/>
        <w:spacing w:after="0" w:line="240" w:lineRule="auto"/>
        <w:rPr>
          <w:rFonts w:ascii="Times New Roman" w:hAnsi="Times New Roman"/>
          <w:b w:val="0"/>
          <w:sz w:val="24"/>
          <w:szCs w:val="24"/>
        </w:rPr>
      </w:pPr>
    </w:p>
    <w:p w14:paraId="417878C0"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15</w:t>
      </w:r>
      <w:r w:rsidRPr="00FD7B0B">
        <w:rPr>
          <w:rFonts w:ascii="Times New Roman" w:hAnsi="Times New Roman"/>
          <w:b w:val="0"/>
          <w:sz w:val="24"/>
          <w:szCs w:val="24"/>
        </w:rPr>
        <w:fldChar w:fldCharType="end"/>
      </w:r>
      <w:r w:rsidRPr="00FD7B0B">
        <w:rPr>
          <w:rFonts w:ascii="Times New Roman" w:hAnsi="Times New Roman"/>
          <w:b w:val="0"/>
          <w:sz w:val="24"/>
          <w:szCs w:val="24"/>
        </w:rPr>
        <w:t>. Структура оборота розничной торговли Архангельской области в процентах к соответствующему периоду предыдущего года, в процентах</w:t>
      </w:r>
    </w:p>
    <w:tbl>
      <w:tblPr>
        <w:tblW w:w="9656"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6804"/>
        <w:gridCol w:w="960"/>
        <w:gridCol w:w="946"/>
        <w:gridCol w:w="946"/>
      </w:tblGrid>
      <w:tr w:rsidR="00FD7B0B" w:rsidRPr="00FD7B0B" w14:paraId="035BBDCB" w14:textId="77777777" w:rsidTr="001B35E9">
        <w:trPr>
          <w:trHeight w:val="315"/>
          <w:tblHeader/>
        </w:trPr>
        <w:tc>
          <w:tcPr>
            <w:tcW w:w="6804" w:type="dxa"/>
            <w:shd w:val="clear" w:color="auto" w:fill="auto"/>
            <w:vAlign w:val="center"/>
            <w:hideMark/>
          </w:tcPr>
          <w:p w14:paraId="45BD2CE0" w14:textId="77777777" w:rsidR="001B35E9" w:rsidRPr="00FD7B0B" w:rsidRDefault="001B35E9"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Показатель</w:t>
            </w:r>
          </w:p>
        </w:tc>
        <w:tc>
          <w:tcPr>
            <w:tcW w:w="960" w:type="dxa"/>
            <w:shd w:val="clear" w:color="auto" w:fill="auto"/>
            <w:vAlign w:val="center"/>
            <w:hideMark/>
          </w:tcPr>
          <w:p w14:paraId="14217C8F" w14:textId="77777777" w:rsidR="001B35E9" w:rsidRPr="00FD7B0B" w:rsidRDefault="001B35E9"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2022 год</w:t>
            </w:r>
          </w:p>
        </w:tc>
        <w:tc>
          <w:tcPr>
            <w:tcW w:w="946" w:type="dxa"/>
            <w:shd w:val="clear" w:color="auto" w:fill="auto"/>
            <w:vAlign w:val="center"/>
            <w:hideMark/>
          </w:tcPr>
          <w:p w14:paraId="63B42435" w14:textId="77777777" w:rsidR="001B35E9" w:rsidRPr="00FD7B0B" w:rsidRDefault="001B35E9"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2023 </w:t>
            </w:r>
          </w:p>
          <w:p w14:paraId="10DDF02E" w14:textId="77777777" w:rsidR="001B35E9" w:rsidRPr="00FD7B0B" w:rsidRDefault="001B35E9"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год</w:t>
            </w:r>
          </w:p>
        </w:tc>
        <w:tc>
          <w:tcPr>
            <w:tcW w:w="946" w:type="dxa"/>
          </w:tcPr>
          <w:p w14:paraId="2D53CFE8" w14:textId="77777777" w:rsidR="001B35E9" w:rsidRPr="00FD7B0B" w:rsidRDefault="001B35E9"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год</w:t>
            </w:r>
          </w:p>
        </w:tc>
      </w:tr>
      <w:tr w:rsidR="00FD7B0B" w:rsidRPr="00FD7B0B" w14:paraId="5D557728" w14:textId="77777777" w:rsidTr="001B35E9">
        <w:trPr>
          <w:trHeight w:val="131"/>
        </w:trPr>
        <w:tc>
          <w:tcPr>
            <w:tcW w:w="6804" w:type="dxa"/>
            <w:shd w:val="clear" w:color="auto" w:fill="auto"/>
            <w:vAlign w:val="center"/>
            <w:hideMark/>
          </w:tcPr>
          <w:p w14:paraId="718CC54C" w14:textId="77777777" w:rsidR="001B35E9" w:rsidRPr="00FD7B0B" w:rsidRDefault="001B35E9"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пищевые продукты, включая напитки, и табачных изделий</w:t>
            </w:r>
          </w:p>
        </w:tc>
        <w:tc>
          <w:tcPr>
            <w:tcW w:w="960" w:type="dxa"/>
            <w:shd w:val="clear" w:color="auto" w:fill="auto"/>
            <w:vAlign w:val="bottom"/>
            <w:hideMark/>
          </w:tcPr>
          <w:p w14:paraId="3CB754AD"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52,7</w:t>
            </w:r>
          </w:p>
        </w:tc>
        <w:tc>
          <w:tcPr>
            <w:tcW w:w="946" w:type="dxa"/>
            <w:shd w:val="clear" w:color="auto" w:fill="auto"/>
            <w:vAlign w:val="bottom"/>
            <w:hideMark/>
          </w:tcPr>
          <w:p w14:paraId="60384EBB"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51,4</w:t>
            </w:r>
          </w:p>
        </w:tc>
        <w:tc>
          <w:tcPr>
            <w:tcW w:w="946" w:type="dxa"/>
            <w:vAlign w:val="bottom"/>
          </w:tcPr>
          <w:p w14:paraId="6B314CA0"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51,2</w:t>
            </w:r>
          </w:p>
        </w:tc>
      </w:tr>
      <w:tr w:rsidR="00FD7B0B" w:rsidRPr="00FD7B0B" w14:paraId="0AF52E72" w14:textId="77777777" w:rsidTr="001B35E9">
        <w:trPr>
          <w:trHeight w:val="172"/>
        </w:trPr>
        <w:tc>
          <w:tcPr>
            <w:tcW w:w="6804" w:type="dxa"/>
            <w:shd w:val="clear" w:color="auto" w:fill="auto"/>
            <w:vAlign w:val="center"/>
            <w:hideMark/>
          </w:tcPr>
          <w:p w14:paraId="32C91C10" w14:textId="77777777" w:rsidR="001B35E9" w:rsidRPr="00FD7B0B" w:rsidRDefault="001B35E9"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непродовольственные товары</w:t>
            </w:r>
          </w:p>
        </w:tc>
        <w:tc>
          <w:tcPr>
            <w:tcW w:w="960" w:type="dxa"/>
            <w:shd w:val="clear" w:color="auto" w:fill="auto"/>
            <w:vAlign w:val="bottom"/>
            <w:hideMark/>
          </w:tcPr>
          <w:p w14:paraId="551E2BFA"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47,3</w:t>
            </w:r>
          </w:p>
        </w:tc>
        <w:tc>
          <w:tcPr>
            <w:tcW w:w="946" w:type="dxa"/>
            <w:shd w:val="clear" w:color="auto" w:fill="auto"/>
            <w:vAlign w:val="bottom"/>
            <w:hideMark/>
          </w:tcPr>
          <w:p w14:paraId="0189EF10"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48,6</w:t>
            </w:r>
          </w:p>
        </w:tc>
        <w:tc>
          <w:tcPr>
            <w:tcW w:w="946" w:type="dxa"/>
            <w:vAlign w:val="bottom"/>
          </w:tcPr>
          <w:p w14:paraId="23A4F91A" w14:textId="77777777" w:rsidR="001B35E9" w:rsidRPr="00FD7B0B" w:rsidRDefault="001B35E9"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48,8</w:t>
            </w:r>
          </w:p>
        </w:tc>
      </w:tr>
    </w:tbl>
    <w:p w14:paraId="7B037BC7" w14:textId="77777777" w:rsidR="005A472F" w:rsidRPr="00FD7B0B" w:rsidRDefault="005A472F" w:rsidP="005A472F">
      <w:pPr>
        <w:pStyle w:val="ad"/>
        <w:ind w:firstLine="709"/>
        <w:jc w:val="both"/>
        <w:rPr>
          <w:rFonts w:ascii="Times New Roman" w:hAnsi="Times New Roman"/>
          <w:sz w:val="28"/>
          <w:szCs w:val="28"/>
        </w:rPr>
      </w:pPr>
    </w:p>
    <w:p w14:paraId="4FB077DE"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Установлено, что по ряду лет в общих расходах населения на товары в розницу преобладают расходы на продукты питания, включая напитки и табачные изделия – 192 173,4 млн.руб. (в 2023 году – 179 334,4 млн.руб.), доля расходов на непродовольственные товары в отчетном году несколько увеличилась, что составляет 183 015,7 млн.руб. (в 2023 году – 169 570,6 млн.руб.). </w:t>
      </w:r>
    </w:p>
    <w:p w14:paraId="27397E59" w14:textId="77777777" w:rsidR="005A472F" w:rsidRPr="00FD7B0B" w:rsidRDefault="005A472F" w:rsidP="005A472F">
      <w:pPr>
        <w:pStyle w:val="ad"/>
        <w:ind w:firstLine="709"/>
        <w:jc w:val="both"/>
        <w:rPr>
          <w:rFonts w:ascii="Times New Roman" w:hAnsi="Times New Roman"/>
          <w:sz w:val="28"/>
          <w:szCs w:val="28"/>
        </w:rPr>
      </w:pPr>
      <w:bookmarkStart w:id="53" w:name="_Toc104284468"/>
      <w:bookmarkStart w:id="54" w:name="_Toc135659991"/>
      <w:r w:rsidRPr="00FD7B0B">
        <w:rPr>
          <w:rFonts w:ascii="Times New Roman" w:hAnsi="Times New Roman"/>
          <w:sz w:val="28"/>
          <w:szCs w:val="28"/>
        </w:rPr>
        <w:t xml:space="preserve">В части оборота розничной торговли </w:t>
      </w:r>
      <w:r w:rsidRPr="00FD7B0B">
        <w:rPr>
          <w:rFonts w:ascii="Times New Roman" w:hAnsi="Times New Roman"/>
          <w:i/>
          <w:sz w:val="28"/>
          <w:szCs w:val="28"/>
        </w:rPr>
        <w:t>на душу населения</w:t>
      </w:r>
      <w:r w:rsidRPr="00FD7B0B">
        <w:rPr>
          <w:rFonts w:ascii="Times New Roman" w:hAnsi="Times New Roman"/>
          <w:sz w:val="28"/>
          <w:szCs w:val="28"/>
        </w:rPr>
        <w:t xml:space="preserve"> в регионе (в фактически действовавших ценах) за 2024 год показатель составил 390 791,0 руб. (в 2023 году – 363 414,0 руб., в 2022 году – 336 183 руб.). Среднероссийский оборот розничной торговли </w:t>
      </w:r>
      <w:r w:rsidRPr="00FD7B0B">
        <w:rPr>
          <w:rFonts w:ascii="Times New Roman" w:hAnsi="Times New Roman"/>
          <w:i/>
          <w:sz w:val="28"/>
          <w:szCs w:val="28"/>
        </w:rPr>
        <w:t>на душу населения</w:t>
      </w:r>
      <w:r w:rsidRPr="00FD7B0B">
        <w:rPr>
          <w:rFonts w:ascii="Times New Roman" w:hAnsi="Times New Roman"/>
          <w:sz w:val="28"/>
          <w:szCs w:val="28"/>
        </w:rPr>
        <w:t xml:space="preserve"> составил 379 969 руб. (в 2023 году – 323 969 руб.), по СЗФО – (в 2023 году – 353 818 руб.).</w:t>
      </w:r>
    </w:p>
    <w:p w14:paraId="63B0F38C" w14:textId="77777777" w:rsidR="005A472F" w:rsidRPr="00FD7B0B" w:rsidRDefault="005A472F" w:rsidP="005A472F">
      <w:pPr>
        <w:pStyle w:val="2"/>
        <w:spacing w:before="120" w:after="0" w:line="240" w:lineRule="auto"/>
        <w:jc w:val="center"/>
        <w:rPr>
          <w:rFonts w:ascii="Times New Roman" w:hAnsi="Times New Roman"/>
          <w:lang w:val="ru-RU"/>
        </w:rPr>
      </w:pPr>
      <w:bookmarkStart w:id="55" w:name="_Toc167454822"/>
      <w:bookmarkStart w:id="56" w:name="_Toc198819119"/>
      <w:r w:rsidRPr="00FD7B0B">
        <w:rPr>
          <w:rFonts w:ascii="Times New Roman" w:hAnsi="Times New Roman"/>
          <w:lang w:val="ru-RU"/>
        </w:rPr>
        <w:t>1.6. Платные услуги населению</w:t>
      </w:r>
      <w:bookmarkEnd w:id="53"/>
      <w:bookmarkEnd w:id="54"/>
      <w:bookmarkEnd w:id="55"/>
      <w:bookmarkEnd w:id="56"/>
    </w:p>
    <w:p w14:paraId="34B7D740"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Объем платных услуг, оказываемых населению в отчетном году в Архангельской области, согласно предварительным статистическим данным, изложенным в Сборнике «Социально-экономическое положение Архангельской области без НАО за 2024 год», составил 99 625,2 млн.руб. или 102,4 % (в сопоставимых ценах) к 2023 году.</w:t>
      </w:r>
    </w:p>
    <w:p w14:paraId="0BC9735E" w14:textId="3D1BFEDB"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Из 17 наблюдаемых видов платных услуг Архангельской области (без НАО) в 2024 году установлено как увеличение объемов к соответствующему периоду 2023 года (в сопоставимых ценах), так и снижение, что представлено в таблице</w:t>
      </w:r>
      <w:r w:rsidR="00F659E0" w:rsidRPr="00FD7B0B">
        <w:rPr>
          <w:rFonts w:ascii="Times New Roman" w:hAnsi="Times New Roman"/>
          <w:sz w:val="28"/>
          <w:szCs w:val="28"/>
        </w:rPr>
        <w:t xml:space="preserve"> </w:t>
      </w:r>
      <w:r w:rsidR="003E66BF" w:rsidRPr="00FD7B0B">
        <w:rPr>
          <w:rFonts w:ascii="Times New Roman" w:hAnsi="Times New Roman"/>
          <w:sz w:val="28"/>
          <w:szCs w:val="28"/>
        </w:rPr>
        <w:t>16</w:t>
      </w:r>
      <w:r w:rsidR="00F659E0" w:rsidRPr="00FD7B0B">
        <w:rPr>
          <w:rFonts w:ascii="Times New Roman" w:hAnsi="Times New Roman"/>
          <w:sz w:val="28"/>
          <w:szCs w:val="28"/>
        </w:rPr>
        <w:t>.</w:t>
      </w:r>
    </w:p>
    <w:p w14:paraId="4A5B8AB4" w14:textId="77777777" w:rsidR="005A472F" w:rsidRPr="00FD7B0B" w:rsidRDefault="005A472F" w:rsidP="005A472F">
      <w:pPr>
        <w:pStyle w:val="ad"/>
        <w:ind w:firstLine="709"/>
        <w:jc w:val="both"/>
        <w:rPr>
          <w:rFonts w:ascii="Times New Roman" w:hAnsi="Times New Roman"/>
          <w:sz w:val="24"/>
          <w:szCs w:val="24"/>
        </w:rPr>
      </w:pPr>
    </w:p>
    <w:p w14:paraId="34E50604"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16</w:t>
      </w:r>
      <w:r w:rsidRPr="00FD7B0B">
        <w:rPr>
          <w:rFonts w:ascii="Times New Roman" w:hAnsi="Times New Roman"/>
          <w:b w:val="0"/>
          <w:sz w:val="24"/>
          <w:szCs w:val="24"/>
        </w:rPr>
        <w:fldChar w:fldCharType="end"/>
      </w:r>
      <w:r w:rsidRPr="00FD7B0B">
        <w:rPr>
          <w:rFonts w:ascii="Times New Roman" w:hAnsi="Times New Roman"/>
          <w:b w:val="0"/>
          <w:sz w:val="24"/>
          <w:szCs w:val="24"/>
        </w:rPr>
        <w:t>: Показатели структуры по ряду платных услуг Архангельской области (без НАО) к соответствующему периоду, в процентах</w:t>
      </w:r>
    </w:p>
    <w:tbl>
      <w:tblPr>
        <w:tblStyle w:val="a7"/>
        <w:tblW w:w="9629"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237"/>
        <w:gridCol w:w="1691"/>
        <w:gridCol w:w="1701"/>
      </w:tblGrid>
      <w:tr w:rsidR="00FD7B0B" w:rsidRPr="00FD7B0B" w14:paraId="0787B387" w14:textId="77777777" w:rsidTr="00ED7CCB">
        <w:trPr>
          <w:tblHeader/>
        </w:trPr>
        <w:tc>
          <w:tcPr>
            <w:tcW w:w="6237" w:type="dxa"/>
            <w:vAlign w:val="center"/>
          </w:tcPr>
          <w:p w14:paraId="51248D23" w14:textId="77777777" w:rsidR="005A472F" w:rsidRPr="00FD7B0B" w:rsidRDefault="005A472F" w:rsidP="00BE64F6">
            <w:pPr>
              <w:pStyle w:val="ad"/>
              <w:jc w:val="center"/>
              <w:rPr>
                <w:rFonts w:ascii="Times New Roman" w:hAnsi="Times New Roman"/>
              </w:rPr>
            </w:pPr>
            <w:r w:rsidRPr="00FD7B0B">
              <w:rPr>
                <w:rFonts w:ascii="Times New Roman" w:hAnsi="Times New Roman"/>
              </w:rPr>
              <w:t>Платные услуги, из них:</w:t>
            </w:r>
          </w:p>
        </w:tc>
        <w:tc>
          <w:tcPr>
            <w:tcW w:w="1691" w:type="dxa"/>
            <w:vAlign w:val="center"/>
          </w:tcPr>
          <w:p w14:paraId="02474EB6" w14:textId="3D4EF767" w:rsidR="005A472F" w:rsidRPr="00FD7B0B" w:rsidRDefault="00F659E0" w:rsidP="00BE64F6">
            <w:pPr>
              <w:pStyle w:val="ad"/>
              <w:jc w:val="center"/>
              <w:rPr>
                <w:rFonts w:ascii="Times New Roman" w:hAnsi="Times New Roman"/>
              </w:rPr>
            </w:pPr>
            <w:r w:rsidRPr="00FD7B0B">
              <w:rPr>
                <w:rFonts w:ascii="Times New Roman" w:hAnsi="Times New Roman"/>
              </w:rPr>
              <w:t>2023 год к 2022 году</w:t>
            </w:r>
          </w:p>
        </w:tc>
        <w:tc>
          <w:tcPr>
            <w:tcW w:w="1701" w:type="dxa"/>
            <w:vAlign w:val="center"/>
          </w:tcPr>
          <w:p w14:paraId="04A34B2D" w14:textId="5C3A97FB" w:rsidR="005A472F" w:rsidRPr="00FD7B0B" w:rsidRDefault="00F659E0" w:rsidP="00BE64F6">
            <w:pPr>
              <w:pStyle w:val="ad"/>
              <w:jc w:val="center"/>
              <w:rPr>
                <w:rFonts w:ascii="Times New Roman" w:hAnsi="Times New Roman"/>
              </w:rPr>
            </w:pPr>
            <w:r w:rsidRPr="00FD7B0B">
              <w:rPr>
                <w:rFonts w:ascii="Times New Roman" w:hAnsi="Times New Roman"/>
              </w:rPr>
              <w:t>2024 год к 2023 году</w:t>
            </w:r>
          </w:p>
        </w:tc>
      </w:tr>
      <w:tr w:rsidR="00FD7B0B" w:rsidRPr="00FD7B0B" w14:paraId="3CDCB966" w14:textId="77777777" w:rsidTr="00BE64F6">
        <w:tc>
          <w:tcPr>
            <w:tcW w:w="6237" w:type="dxa"/>
            <w:vAlign w:val="bottom"/>
          </w:tcPr>
          <w:p w14:paraId="7BFEF2A9" w14:textId="77777777" w:rsidR="005A472F" w:rsidRPr="00FD7B0B" w:rsidRDefault="005A472F" w:rsidP="00BE64F6">
            <w:pPr>
              <w:pStyle w:val="ad"/>
              <w:jc w:val="both"/>
              <w:rPr>
                <w:rFonts w:ascii="Times New Roman" w:hAnsi="Times New Roman"/>
              </w:rPr>
            </w:pPr>
            <w:r w:rsidRPr="00FD7B0B">
              <w:rPr>
                <w:rFonts w:ascii="Times New Roman" w:hAnsi="Times New Roman"/>
              </w:rPr>
              <w:t>бытовые услуги</w:t>
            </w:r>
          </w:p>
        </w:tc>
        <w:tc>
          <w:tcPr>
            <w:tcW w:w="1691" w:type="dxa"/>
            <w:vAlign w:val="bottom"/>
          </w:tcPr>
          <w:p w14:paraId="7EB029EA" w14:textId="77777777" w:rsidR="005A472F" w:rsidRPr="00FD7B0B" w:rsidRDefault="005A472F" w:rsidP="00BE64F6">
            <w:pPr>
              <w:pStyle w:val="ad"/>
              <w:jc w:val="right"/>
              <w:rPr>
                <w:rFonts w:ascii="Times New Roman" w:hAnsi="Times New Roman"/>
              </w:rPr>
            </w:pPr>
            <w:r w:rsidRPr="00FD7B0B">
              <w:rPr>
                <w:rFonts w:ascii="Times New Roman" w:hAnsi="Times New Roman"/>
              </w:rPr>
              <w:t>104,8</w:t>
            </w:r>
          </w:p>
        </w:tc>
        <w:tc>
          <w:tcPr>
            <w:tcW w:w="1701" w:type="dxa"/>
            <w:vAlign w:val="bottom"/>
          </w:tcPr>
          <w:p w14:paraId="4744FE4D" w14:textId="77777777" w:rsidR="005A472F" w:rsidRPr="00FD7B0B" w:rsidRDefault="005A472F" w:rsidP="00BE64F6">
            <w:pPr>
              <w:pStyle w:val="ad"/>
              <w:jc w:val="right"/>
              <w:rPr>
                <w:rFonts w:ascii="Times New Roman" w:hAnsi="Times New Roman"/>
              </w:rPr>
            </w:pPr>
            <w:r w:rsidRPr="00FD7B0B">
              <w:rPr>
                <w:rFonts w:ascii="Times New Roman" w:hAnsi="Times New Roman"/>
              </w:rPr>
              <w:t>100,4</w:t>
            </w:r>
          </w:p>
        </w:tc>
      </w:tr>
      <w:tr w:rsidR="00FD7B0B" w:rsidRPr="00FD7B0B" w14:paraId="1D7F7E22" w14:textId="77777777" w:rsidTr="00BE64F6">
        <w:tc>
          <w:tcPr>
            <w:tcW w:w="6237" w:type="dxa"/>
            <w:vAlign w:val="bottom"/>
          </w:tcPr>
          <w:p w14:paraId="7AC14755" w14:textId="77777777" w:rsidR="005A472F" w:rsidRPr="00FD7B0B" w:rsidRDefault="005A472F" w:rsidP="00BE64F6">
            <w:pPr>
              <w:pStyle w:val="ad"/>
              <w:jc w:val="both"/>
              <w:rPr>
                <w:rFonts w:ascii="Times New Roman" w:hAnsi="Times New Roman"/>
              </w:rPr>
            </w:pPr>
            <w:r w:rsidRPr="00FD7B0B">
              <w:rPr>
                <w:rFonts w:ascii="Times New Roman" w:hAnsi="Times New Roman"/>
              </w:rPr>
              <w:t>транспортные услуги</w:t>
            </w:r>
          </w:p>
        </w:tc>
        <w:tc>
          <w:tcPr>
            <w:tcW w:w="1691" w:type="dxa"/>
            <w:vAlign w:val="bottom"/>
          </w:tcPr>
          <w:p w14:paraId="63DA7A71" w14:textId="77777777" w:rsidR="005A472F" w:rsidRPr="00FD7B0B" w:rsidRDefault="005A472F" w:rsidP="00BE64F6">
            <w:pPr>
              <w:pStyle w:val="ad"/>
              <w:jc w:val="right"/>
              <w:rPr>
                <w:rFonts w:ascii="Times New Roman" w:hAnsi="Times New Roman"/>
              </w:rPr>
            </w:pPr>
            <w:r w:rsidRPr="00FD7B0B">
              <w:rPr>
                <w:rFonts w:ascii="Times New Roman" w:hAnsi="Times New Roman"/>
              </w:rPr>
              <w:t>104,3</w:t>
            </w:r>
          </w:p>
        </w:tc>
        <w:tc>
          <w:tcPr>
            <w:tcW w:w="1701" w:type="dxa"/>
            <w:vAlign w:val="bottom"/>
          </w:tcPr>
          <w:p w14:paraId="4F9836EA" w14:textId="77777777" w:rsidR="005A472F" w:rsidRPr="00FD7B0B" w:rsidRDefault="005A472F" w:rsidP="00BE64F6">
            <w:pPr>
              <w:pStyle w:val="ad"/>
              <w:jc w:val="right"/>
              <w:rPr>
                <w:rFonts w:ascii="Times New Roman" w:hAnsi="Times New Roman"/>
              </w:rPr>
            </w:pPr>
            <w:r w:rsidRPr="00FD7B0B">
              <w:rPr>
                <w:rFonts w:ascii="Times New Roman" w:hAnsi="Times New Roman"/>
              </w:rPr>
              <w:t>107,3</w:t>
            </w:r>
          </w:p>
        </w:tc>
      </w:tr>
      <w:tr w:rsidR="00FD7B0B" w:rsidRPr="00FD7B0B" w14:paraId="314A0918" w14:textId="77777777" w:rsidTr="00BE64F6">
        <w:tc>
          <w:tcPr>
            <w:tcW w:w="6237" w:type="dxa"/>
            <w:vAlign w:val="bottom"/>
          </w:tcPr>
          <w:p w14:paraId="3F16B0FF" w14:textId="77777777" w:rsidR="005A472F" w:rsidRPr="00FD7B0B" w:rsidRDefault="005A472F" w:rsidP="00BE64F6">
            <w:pPr>
              <w:pStyle w:val="ad"/>
              <w:jc w:val="both"/>
              <w:rPr>
                <w:rFonts w:ascii="Times New Roman" w:hAnsi="Times New Roman"/>
              </w:rPr>
            </w:pPr>
            <w:r w:rsidRPr="00FD7B0B">
              <w:rPr>
                <w:rFonts w:ascii="Times New Roman" w:hAnsi="Times New Roman"/>
              </w:rPr>
              <w:t>почтовой связи и курьерские</w:t>
            </w:r>
          </w:p>
        </w:tc>
        <w:tc>
          <w:tcPr>
            <w:tcW w:w="1691" w:type="dxa"/>
            <w:vAlign w:val="bottom"/>
          </w:tcPr>
          <w:p w14:paraId="64910DE3" w14:textId="77777777" w:rsidR="005A472F" w:rsidRPr="00FD7B0B" w:rsidRDefault="005A472F" w:rsidP="00BE64F6">
            <w:pPr>
              <w:pStyle w:val="ad"/>
              <w:jc w:val="right"/>
              <w:rPr>
                <w:rFonts w:ascii="Times New Roman" w:hAnsi="Times New Roman"/>
              </w:rPr>
            </w:pPr>
            <w:r w:rsidRPr="00FD7B0B">
              <w:rPr>
                <w:rFonts w:ascii="Times New Roman" w:hAnsi="Times New Roman"/>
              </w:rPr>
              <w:t>91,5</w:t>
            </w:r>
          </w:p>
        </w:tc>
        <w:tc>
          <w:tcPr>
            <w:tcW w:w="1701" w:type="dxa"/>
            <w:vAlign w:val="bottom"/>
          </w:tcPr>
          <w:p w14:paraId="2BCEA2D8" w14:textId="77777777" w:rsidR="005A472F" w:rsidRPr="00FD7B0B" w:rsidRDefault="005A472F" w:rsidP="00BE64F6">
            <w:pPr>
              <w:pStyle w:val="ad"/>
              <w:jc w:val="right"/>
              <w:rPr>
                <w:rFonts w:ascii="Times New Roman" w:hAnsi="Times New Roman"/>
              </w:rPr>
            </w:pPr>
            <w:r w:rsidRPr="00FD7B0B">
              <w:rPr>
                <w:rFonts w:ascii="Times New Roman" w:hAnsi="Times New Roman"/>
              </w:rPr>
              <w:t>90,3</w:t>
            </w:r>
          </w:p>
        </w:tc>
      </w:tr>
      <w:tr w:rsidR="00FD7B0B" w:rsidRPr="00FD7B0B" w14:paraId="55439E45" w14:textId="77777777" w:rsidTr="00BE64F6">
        <w:tc>
          <w:tcPr>
            <w:tcW w:w="6237" w:type="dxa"/>
            <w:vAlign w:val="bottom"/>
          </w:tcPr>
          <w:p w14:paraId="004BA248" w14:textId="77777777" w:rsidR="005A472F" w:rsidRPr="00FD7B0B" w:rsidRDefault="005A472F" w:rsidP="00BE64F6">
            <w:pPr>
              <w:pStyle w:val="ad"/>
              <w:jc w:val="both"/>
              <w:rPr>
                <w:rFonts w:ascii="Times New Roman" w:hAnsi="Times New Roman"/>
              </w:rPr>
            </w:pPr>
            <w:r w:rsidRPr="00FD7B0B">
              <w:rPr>
                <w:rFonts w:ascii="Times New Roman" w:hAnsi="Times New Roman"/>
              </w:rPr>
              <w:t>жилищные</w:t>
            </w:r>
          </w:p>
        </w:tc>
        <w:tc>
          <w:tcPr>
            <w:tcW w:w="1691" w:type="dxa"/>
            <w:vAlign w:val="bottom"/>
          </w:tcPr>
          <w:p w14:paraId="709D5F59" w14:textId="77777777" w:rsidR="005A472F" w:rsidRPr="00FD7B0B" w:rsidRDefault="005A472F" w:rsidP="00BE64F6">
            <w:pPr>
              <w:pStyle w:val="ad"/>
              <w:jc w:val="right"/>
              <w:rPr>
                <w:rFonts w:ascii="Times New Roman" w:hAnsi="Times New Roman"/>
              </w:rPr>
            </w:pPr>
            <w:r w:rsidRPr="00FD7B0B">
              <w:rPr>
                <w:rFonts w:ascii="Times New Roman" w:hAnsi="Times New Roman"/>
              </w:rPr>
              <w:t>96,0</w:t>
            </w:r>
          </w:p>
        </w:tc>
        <w:tc>
          <w:tcPr>
            <w:tcW w:w="1701" w:type="dxa"/>
            <w:vAlign w:val="bottom"/>
          </w:tcPr>
          <w:p w14:paraId="605FC634" w14:textId="77777777" w:rsidR="005A472F" w:rsidRPr="00FD7B0B" w:rsidRDefault="005A472F" w:rsidP="00BE64F6">
            <w:pPr>
              <w:pStyle w:val="ad"/>
              <w:jc w:val="right"/>
              <w:rPr>
                <w:rFonts w:ascii="Times New Roman" w:hAnsi="Times New Roman"/>
              </w:rPr>
            </w:pPr>
            <w:r w:rsidRPr="00FD7B0B">
              <w:rPr>
                <w:rFonts w:ascii="Times New Roman" w:hAnsi="Times New Roman"/>
              </w:rPr>
              <w:t>97,9</w:t>
            </w:r>
          </w:p>
        </w:tc>
      </w:tr>
      <w:tr w:rsidR="00FD7B0B" w:rsidRPr="00FD7B0B" w14:paraId="2629E531" w14:textId="77777777" w:rsidTr="00BE64F6">
        <w:tc>
          <w:tcPr>
            <w:tcW w:w="6237" w:type="dxa"/>
            <w:vAlign w:val="bottom"/>
          </w:tcPr>
          <w:p w14:paraId="1E1B8DB1" w14:textId="77777777" w:rsidR="005A472F" w:rsidRPr="00FD7B0B" w:rsidRDefault="005A472F" w:rsidP="00BE64F6">
            <w:pPr>
              <w:pStyle w:val="ad"/>
              <w:jc w:val="both"/>
              <w:rPr>
                <w:rFonts w:ascii="Times New Roman" w:hAnsi="Times New Roman"/>
              </w:rPr>
            </w:pPr>
            <w:r w:rsidRPr="00FD7B0B">
              <w:rPr>
                <w:rFonts w:ascii="Times New Roman" w:hAnsi="Times New Roman"/>
              </w:rPr>
              <w:t>услуги учреждений культуры</w:t>
            </w:r>
          </w:p>
        </w:tc>
        <w:tc>
          <w:tcPr>
            <w:tcW w:w="1691" w:type="dxa"/>
            <w:vAlign w:val="bottom"/>
          </w:tcPr>
          <w:p w14:paraId="221783DD" w14:textId="77777777" w:rsidR="005A472F" w:rsidRPr="00FD7B0B" w:rsidRDefault="005A472F" w:rsidP="00BE64F6">
            <w:pPr>
              <w:pStyle w:val="ad"/>
              <w:jc w:val="right"/>
              <w:rPr>
                <w:rFonts w:ascii="Times New Roman" w:hAnsi="Times New Roman"/>
              </w:rPr>
            </w:pPr>
            <w:r w:rsidRPr="00FD7B0B">
              <w:rPr>
                <w:rFonts w:ascii="Times New Roman" w:hAnsi="Times New Roman"/>
              </w:rPr>
              <w:t>117,2</w:t>
            </w:r>
          </w:p>
        </w:tc>
        <w:tc>
          <w:tcPr>
            <w:tcW w:w="1701" w:type="dxa"/>
            <w:vAlign w:val="bottom"/>
          </w:tcPr>
          <w:p w14:paraId="7B2A707A" w14:textId="77777777" w:rsidR="005A472F" w:rsidRPr="00FD7B0B" w:rsidRDefault="005A472F" w:rsidP="00BE64F6">
            <w:pPr>
              <w:pStyle w:val="ad"/>
              <w:jc w:val="right"/>
              <w:rPr>
                <w:rFonts w:ascii="Times New Roman" w:hAnsi="Times New Roman"/>
              </w:rPr>
            </w:pPr>
            <w:r w:rsidRPr="00FD7B0B">
              <w:rPr>
                <w:rFonts w:ascii="Times New Roman" w:hAnsi="Times New Roman"/>
              </w:rPr>
              <w:t>101,1</w:t>
            </w:r>
          </w:p>
        </w:tc>
      </w:tr>
      <w:tr w:rsidR="00FD7B0B" w:rsidRPr="00FD7B0B" w14:paraId="64896119" w14:textId="77777777" w:rsidTr="00BE64F6">
        <w:tc>
          <w:tcPr>
            <w:tcW w:w="6237" w:type="dxa"/>
            <w:vAlign w:val="bottom"/>
          </w:tcPr>
          <w:p w14:paraId="304A5FCB" w14:textId="77777777" w:rsidR="005A472F" w:rsidRPr="00FD7B0B" w:rsidRDefault="005A472F" w:rsidP="00BE64F6">
            <w:pPr>
              <w:pStyle w:val="ad"/>
              <w:jc w:val="both"/>
              <w:rPr>
                <w:rFonts w:ascii="Times New Roman" w:hAnsi="Times New Roman"/>
              </w:rPr>
            </w:pPr>
            <w:r w:rsidRPr="00FD7B0B">
              <w:rPr>
                <w:rFonts w:ascii="Times New Roman" w:hAnsi="Times New Roman"/>
              </w:rPr>
              <w:t>услуги гостиниц…</w:t>
            </w:r>
          </w:p>
        </w:tc>
        <w:tc>
          <w:tcPr>
            <w:tcW w:w="1691" w:type="dxa"/>
            <w:vAlign w:val="bottom"/>
          </w:tcPr>
          <w:p w14:paraId="3049C42A" w14:textId="77777777" w:rsidR="005A472F" w:rsidRPr="00FD7B0B" w:rsidRDefault="005A472F" w:rsidP="00BE64F6">
            <w:pPr>
              <w:pStyle w:val="ad"/>
              <w:jc w:val="right"/>
              <w:rPr>
                <w:rFonts w:ascii="Times New Roman" w:hAnsi="Times New Roman"/>
              </w:rPr>
            </w:pPr>
            <w:r w:rsidRPr="00FD7B0B">
              <w:rPr>
                <w:rFonts w:ascii="Times New Roman" w:hAnsi="Times New Roman"/>
              </w:rPr>
              <w:t>110,6</w:t>
            </w:r>
          </w:p>
        </w:tc>
        <w:tc>
          <w:tcPr>
            <w:tcW w:w="1701" w:type="dxa"/>
            <w:vAlign w:val="bottom"/>
          </w:tcPr>
          <w:p w14:paraId="18F75BCC" w14:textId="77777777" w:rsidR="005A472F" w:rsidRPr="00FD7B0B" w:rsidRDefault="005A472F" w:rsidP="00BE64F6">
            <w:pPr>
              <w:pStyle w:val="ad"/>
              <w:jc w:val="right"/>
              <w:rPr>
                <w:rFonts w:ascii="Times New Roman" w:hAnsi="Times New Roman"/>
              </w:rPr>
            </w:pPr>
            <w:r w:rsidRPr="00FD7B0B">
              <w:rPr>
                <w:rFonts w:ascii="Times New Roman" w:hAnsi="Times New Roman"/>
              </w:rPr>
              <w:t>107,6</w:t>
            </w:r>
          </w:p>
        </w:tc>
      </w:tr>
      <w:tr w:rsidR="00FD7B0B" w:rsidRPr="00FD7B0B" w14:paraId="362735C8" w14:textId="77777777" w:rsidTr="00BE64F6">
        <w:tc>
          <w:tcPr>
            <w:tcW w:w="6237" w:type="dxa"/>
            <w:vAlign w:val="bottom"/>
          </w:tcPr>
          <w:p w14:paraId="055EDA92" w14:textId="77777777" w:rsidR="005A472F" w:rsidRPr="00FD7B0B" w:rsidRDefault="005A472F" w:rsidP="00BE64F6">
            <w:pPr>
              <w:pStyle w:val="ad"/>
              <w:jc w:val="both"/>
              <w:rPr>
                <w:rFonts w:ascii="Times New Roman" w:hAnsi="Times New Roman"/>
              </w:rPr>
            </w:pPr>
            <w:r w:rsidRPr="00FD7B0B">
              <w:rPr>
                <w:rFonts w:ascii="Times New Roman" w:hAnsi="Times New Roman"/>
              </w:rPr>
              <w:t>услуги туристские</w:t>
            </w:r>
          </w:p>
        </w:tc>
        <w:tc>
          <w:tcPr>
            <w:tcW w:w="1691" w:type="dxa"/>
            <w:vAlign w:val="bottom"/>
          </w:tcPr>
          <w:p w14:paraId="22F3C864" w14:textId="77777777" w:rsidR="005A472F" w:rsidRPr="00FD7B0B" w:rsidRDefault="005A472F" w:rsidP="00BE64F6">
            <w:pPr>
              <w:pStyle w:val="ad"/>
              <w:jc w:val="right"/>
              <w:rPr>
                <w:rFonts w:ascii="Times New Roman" w:hAnsi="Times New Roman"/>
              </w:rPr>
            </w:pPr>
            <w:r w:rsidRPr="00FD7B0B">
              <w:rPr>
                <w:rFonts w:ascii="Times New Roman" w:hAnsi="Times New Roman"/>
              </w:rPr>
              <w:t>105,0</w:t>
            </w:r>
          </w:p>
        </w:tc>
        <w:tc>
          <w:tcPr>
            <w:tcW w:w="1701" w:type="dxa"/>
            <w:vAlign w:val="bottom"/>
          </w:tcPr>
          <w:p w14:paraId="7D5B6463" w14:textId="77777777" w:rsidR="005A472F" w:rsidRPr="00FD7B0B" w:rsidRDefault="005A472F" w:rsidP="00BE64F6">
            <w:pPr>
              <w:pStyle w:val="ad"/>
              <w:jc w:val="right"/>
              <w:rPr>
                <w:rFonts w:ascii="Times New Roman" w:hAnsi="Times New Roman"/>
              </w:rPr>
            </w:pPr>
            <w:r w:rsidRPr="00FD7B0B">
              <w:rPr>
                <w:rFonts w:ascii="Times New Roman" w:hAnsi="Times New Roman"/>
              </w:rPr>
              <w:t>в 1,5 раза</w:t>
            </w:r>
          </w:p>
        </w:tc>
      </w:tr>
      <w:tr w:rsidR="00FD7B0B" w:rsidRPr="00FD7B0B" w14:paraId="05200F68" w14:textId="77777777" w:rsidTr="00BE64F6">
        <w:tc>
          <w:tcPr>
            <w:tcW w:w="6237" w:type="dxa"/>
            <w:vAlign w:val="bottom"/>
          </w:tcPr>
          <w:p w14:paraId="19471166" w14:textId="77777777" w:rsidR="005A472F" w:rsidRPr="00FD7B0B" w:rsidRDefault="005A472F" w:rsidP="00BE64F6">
            <w:pPr>
              <w:pStyle w:val="ad"/>
              <w:jc w:val="both"/>
              <w:rPr>
                <w:rFonts w:ascii="Times New Roman" w:hAnsi="Times New Roman"/>
              </w:rPr>
            </w:pPr>
            <w:r w:rsidRPr="00FD7B0B">
              <w:rPr>
                <w:rFonts w:ascii="Times New Roman" w:hAnsi="Times New Roman"/>
              </w:rPr>
              <w:t>физической культуры и спорта</w:t>
            </w:r>
          </w:p>
        </w:tc>
        <w:tc>
          <w:tcPr>
            <w:tcW w:w="1691" w:type="dxa"/>
            <w:vAlign w:val="bottom"/>
          </w:tcPr>
          <w:p w14:paraId="5673446E" w14:textId="77777777" w:rsidR="005A472F" w:rsidRPr="00FD7B0B" w:rsidRDefault="005A472F" w:rsidP="00BE64F6">
            <w:pPr>
              <w:pStyle w:val="ad"/>
              <w:jc w:val="right"/>
              <w:rPr>
                <w:rFonts w:ascii="Times New Roman" w:hAnsi="Times New Roman"/>
              </w:rPr>
            </w:pPr>
            <w:r w:rsidRPr="00FD7B0B">
              <w:rPr>
                <w:rFonts w:ascii="Times New Roman" w:hAnsi="Times New Roman"/>
              </w:rPr>
              <w:t>106,5</w:t>
            </w:r>
          </w:p>
        </w:tc>
        <w:tc>
          <w:tcPr>
            <w:tcW w:w="1701" w:type="dxa"/>
            <w:vAlign w:val="bottom"/>
          </w:tcPr>
          <w:p w14:paraId="1F1509A7" w14:textId="77777777" w:rsidR="005A472F" w:rsidRPr="00FD7B0B" w:rsidRDefault="005A472F" w:rsidP="00BE64F6">
            <w:pPr>
              <w:pStyle w:val="ad"/>
              <w:jc w:val="right"/>
              <w:rPr>
                <w:rFonts w:ascii="Times New Roman" w:hAnsi="Times New Roman"/>
              </w:rPr>
            </w:pPr>
            <w:r w:rsidRPr="00FD7B0B">
              <w:rPr>
                <w:rFonts w:ascii="Times New Roman" w:hAnsi="Times New Roman"/>
              </w:rPr>
              <w:t>101,2</w:t>
            </w:r>
          </w:p>
        </w:tc>
      </w:tr>
      <w:tr w:rsidR="00FD7B0B" w:rsidRPr="00FD7B0B" w14:paraId="3C920DFA" w14:textId="77777777" w:rsidTr="00BE64F6">
        <w:tc>
          <w:tcPr>
            <w:tcW w:w="6237" w:type="dxa"/>
            <w:vAlign w:val="bottom"/>
          </w:tcPr>
          <w:p w14:paraId="39FBC40D" w14:textId="77777777" w:rsidR="005A472F" w:rsidRPr="00FD7B0B" w:rsidRDefault="005A472F" w:rsidP="00BE64F6">
            <w:pPr>
              <w:pStyle w:val="ad"/>
              <w:jc w:val="both"/>
              <w:rPr>
                <w:rFonts w:ascii="Times New Roman" w:hAnsi="Times New Roman"/>
              </w:rPr>
            </w:pPr>
            <w:r w:rsidRPr="00FD7B0B">
              <w:rPr>
                <w:rFonts w:ascii="Times New Roman" w:hAnsi="Times New Roman"/>
              </w:rPr>
              <w:lastRenderedPageBreak/>
              <w:t>медицинские</w:t>
            </w:r>
          </w:p>
        </w:tc>
        <w:tc>
          <w:tcPr>
            <w:tcW w:w="1691" w:type="dxa"/>
            <w:vAlign w:val="bottom"/>
          </w:tcPr>
          <w:p w14:paraId="0A9CF434" w14:textId="77777777" w:rsidR="005A472F" w:rsidRPr="00FD7B0B" w:rsidRDefault="005A472F" w:rsidP="00BE64F6">
            <w:pPr>
              <w:pStyle w:val="ad"/>
              <w:jc w:val="right"/>
              <w:rPr>
                <w:rFonts w:ascii="Times New Roman" w:hAnsi="Times New Roman"/>
              </w:rPr>
            </w:pPr>
            <w:r w:rsidRPr="00FD7B0B">
              <w:rPr>
                <w:rFonts w:ascii="Times New Roman" w:hAnsi="Times New Roman"/>
              </w:rPr>
              <w:t>97,2</w:t>
            </w:r>
          </w:p>
        </w:tc>
        <w:tc>
          <w:tcPr>
            <w:tcW w:w="1701" w:type="dxa"/>
            <w:vAlign w:val="bottom"/>
          </w:tcPr>
          <w:p w14:paraId="42511B53" w14:textId="77777777" w:rsidR="005A472F" w:rsidRPr="00FD7B0B" w:rsidRDefault="005A472F" w:rsidP="00BE64F6">
            <w:pPr>
              <w:pStyle w:val="ad"/>
              <w:jc w:val="right"/>
              <w:rPr>
                <w:rFonts w:ascii="Times New Roman" w:hAnsi="Times New Roman"/>
              </w:rPr>
            </w:pPr>
            <w:r w:rsidRPr="00FD7B0B">
              <w:rPr>
                <w:rFonts w:ascii="Times New Roman" w:hAnsi="Times New Roman"/>
              </w:rPr>
              <w:t>102,6</w:t>
            </w:r>
          </w:p>
        </w:tc>
      </w:tr>
      <w:tr w:rsidR="00FD7B0B" w:rsidRPr="00FD7B0B" w14:paraId="7C0D3CD2" w14:textId="77777777" w:rsidTr="00BE64F6">
        <w:tc>
          <w:tcPr>
            <w:tcW w:w="6237" w:type="dxa"/>
            <w:vAlign w:val="bottom"/>
          </w:tcPr>
          <w:p w14:paraId="4A2F0CF5" w14:textId="77777777" w:rsidR="005A472F" w:rsidRPr="00FD7B0B" w:rsidRDefault="005A472F" w:rsidP="00BE64F6">
            <w:pPr>
              <w:pStyle w:val="ad"/>
              <w:jc w:val="both"/>
              <w:rPr>
                <w:rFonts w:ascii="Times New Roman" w:hAnsi="Times New Roman"/>
              </w:rPr>
            </w:pPr>
            <w:r w:rsidRPr="00FD7B0B">
              <w:rPr>
                <w:rFonts w:ascii="Times New Roman" w:hAnsi="Times New Roman"/>
              </w:rPr>
              <w:t>ветеринарные услуги</w:t>
            </w:r>
          </w:p>
        </w:tc>
        <w:tc>
          <w:tcPr>
            <w:tcW w:w="1691" w:type="dxa"/>
            <w:vAlign w:val="bottom"/>
          </w:tcPr>
          <w:p w14:paraId="0A10E461" w14:textId="77777777" w:rsidR="005A472F" w:rsidRPr="00FD7B0B" w:rsidRDefault="005A472F" w:rsidP="00BE64F6">
            <w:pPr>
              <w:pStyle w:val="ad"/>
              <w:jc w:val="right"/>
              <w:rPr>
                <w:rFonts w:ascii="Times New Roman" w:hAnsi="Times New Roman"/>
              </w:rPr>
            </w:pPr>
            <w:r w:rsidRPr="00FD7B0B">
              <w:rPr>
                <w:rFonts w:ascii="Times New Roman" w:hAnsi="Times New Roman"/>
              </w:rPr>
              <w:t>113,9</w:t>
            </w:r>
          </w:p>
        </w:tc>
        <w:tc>
          <w:tcPr>
            <w:tcW w:w="1701" w:type="dxa"/>
            <w:vAlign w:val="bottom"/>
          </w:tcPr>
          <w:p w14:paraId="45161AC1" w14:textId="77777777" w:rsidR="005A472F" w:rsidRPr="00FD7B0B" w:rsidRDefault="005A472F" w:rsidP="00BE64F6">
            <w:pPr>
              <w:pStyle w:val="ad"/>
              <w:jc w:val="right"/>
              <w:rPr>
                <w:rFonts w:ascii="Times New Roman" w:hAnsi="Times New Roman"/>
              </w:rPr>
            </w:pPr>
            <w:r w:rsidRPr="00FD7B0B">
              <w:rPr>
                <w:rFonts w:ascii="Times New Roman" w:hAnsi="Times New Roman"/>
              </w:rPr>
              <w:t>117,6</w:t>
            </w:r>
          </w:p>
        </w:tc>
      </w:tr>
      <w:tr w:rsidR="00FD7B0B" w:rsidRPr="00FD7B0B" w14:paraId="2E3F41C7" w14:textId="77777777" w:rsidTr="00BE64F6">
        <w:tc>
          <w:tcPr>
            <w:tcW w:w="6237" w:type="dxa"/>
            <w:vAlign w:val="bottom"/>
          </w:tcPr>
          <w:p w14:paraId="22E334E9" w14:textId="77777777" w:rsidR="005A472F" w:rsidRPr="00FD7B0B" w:rsidRDefault="005A472F" w:rsidP="00BE64F6">
            <w:pPr>
              <w:pStyle w:val="ad"/>
              <w:jc w:val="both"/>
              <w:rPr>
                <w:rFonts w:ascii="Times New Roman" w:hAnsi="Times New Roman"/>
              </w:rPr>
            </w:pPr>
            <w:r w:rsidRPr="00FD7B0B">
              <w:rPr>
                <w:rFonts w:ascii="Times New Roman" w:hAnsi="Times New Roman"/>
              </w:rPr>
              <w:t>услуги санаторно-курортных организаций</w:t>
            </w:r>
          </w:p>
        </w:tc>
        <w:tc>
          <w:tcPr>
            <w:tcW w:w="1691" w:type="dxa"/>
            <w:vAlign w:val="bottom"/>
          </w:tcPr>
          <w:p w14:paraId="0171826D" w14:textId="77777777" w:rsidR="005A472F" w:rsidRPr="00FD7B0B" w:rsidRDefault="005A472F" w:rsidP="00BE64F6">
            <w:pPr>
              <w:pStyle w:val="ad"/>
              <w:jc w:val="right"/>
              <w:rPr>
                <w:rFonts w:ascii="Times New Roman" w:hAnsi="Times New Roman"/>
              </w:rPr>
            </w:pPr>
            <w:r w:rsidRPr="00FD7B0B">
              <w:rPr>
                <w:rFonts w:ascii="Times New Roman" w:hAnsi="Times New Roman"/>
              </w:rPr>
              <w:t>128,0</w:t>
            </w:r>
          </w:p>
        </w:tc>
        <w:tc>
          <w:tcPr>
            <w:tcW w:w="1701" w:type="dxa"/>
            <w:vAlign w:val="bottom"/>
          </w:tcPr>
          <w:p w14:paraId="7AA5306A" w14:textId="77777777" w:rsidR="005A472F" w:rsidRPr="00FD7B0B" w:rsidRDefault="005A472F" w:rsidP="00BE64F6">
            <w:pPr>
              <w:pStyle w:val="ad"/>
              <w:jc w:val="right"/>
              <w:rPr>
                <w:rFonts w:ascii="Times New Roman" w:hAnsi="Times New Roman"/>
              </w:rPr>
            </w:pPr>
            <w:r w:rsidRPr="00FD7B0B">
              <w:rPr>
                <w:rFonts w:ascii="Times New Roman" w:hAnsi="Times New Roman"/>
              </w:rPr>
              <w:t>99,1</w:t>
            </w:r>
          </w:p>
        </w:tc>
      </w:tr>
      <w:tr w:rsidR="00FD7B0B" w:rsidRPr="00FD7B0B" w14:paraId="43447D52" w14:textId="77777777" w:rsidTr="00BE64F6">
        <w:tc>
          <w:tcPr>
            <w:tcW w:w="6237" w:type="dxa"/>
            <w:vAlign w:val="bottom"/>
          </w:tcPr>
          <w:p w14:paraId="4BCB4AA1" w14:textId="77777777" w:rsidR="005A472F" w:rsidRPr="00FD7B0B" w:rsidRDefault="005A472F" w:rsidP="00BE64F6">
            <w:pPr>
              <w:pStyle w:val="ad"/>
              <w:jc w:val="both"/>
              <w:rPr>
                <w:rFonts w:ascii="Times New Roman" w:hAnsi="Times New Roman"/>
              </w:rPr>
            </w:pPr>
            <w:r w:rsidRPr="00FD7B0B">
              <w:rPr>
                <w:rFonts w:ascii="Times New Roman" w:hAnsi="Times New Roman"/>
              </w:rPr>
              <w:t>услуги, предоставляемые гражданам пожилого возраста и инвалидам</w:t>
            </w:r>
          </w:p>
        </w:tc>
        <w:tc>
          <w:tcPr>
            <w:tcW w:w="1691" w:type="dxa"/>
            <w:vAlign w:val="bottom"/>
          </w:tcPr>
          <w:p w14:paraId="50FAEC70" w14:textId="77777777" w:rsidR="005A472F" w:rsidRPr="00FD7B0B" w:rsidRDefault="005A472F" w:rsidP="00BE64F6">
            <w:pPr>
              <w:pStyle w:val="ad"/>
              <w:jc w:val="right"/>
              <w:rPr>
                <w:rFonts w:ascii="Times New Roman" w:hAnsi="Times New Roman"/>
              </w:rPr>
            </w:pPr>
            <w:r w:rsidRPr="00FD7B0B">
              <w:rPr>
                <w:rFonts w:ascii="Times New Roman" w:hAnsi="Times New Roman"/>
              </w:rPr>
              <w:t>110,6</w:t>
            </w:r>
          </w:p>
        </w:tc>
        <w:tc>
          <w:tcPr>
            <w:tcW w:w="1701" w:type="dxa"/>
            <w:vAlign w:val="bottom"/>
          </w:tcPr>
          <w:p w14:paraId="454D5862" w14:textId="77777777" w:rsidR="005A472F" w:rsidRPr="00FD7B0B" w:rsidRDefault="005A472F" w:rsidP="00BE64F6">
            <w:pPr>
              <w:pStyle w:val="ad"/>
              <w:jc w:val="right"/>
              <w:rPr>
                <w:rFonts w:ascii="Times New Roman" w:hAnsi="Times New Roman"/>
              </w:rPr>
            </w:pPr>
            <w:r w:rsidRPr="00FD7B0B">
              <w:rPr>
                <w:rFonts w:ascii="Times New Roman" w:hAnsi="Times New Roman"/>
              </w:rPr>
              <w:t>106,5</w:t>
            </w:r>
          </w:p>
        </w:tc>
      </w:tr>
      <w:tr w:rsidR="00FD7B0B" w:rsidRPr="00FD7B0B" w14:paraId="2D682DA9" w14:textId="77777777" w:rsidTr="00BE64F6">
        <w:tc>
          <w:tcPr>
            <w:tcW w:w="6237" w:type="dxa"/>
            <w:vAlign w:val="bottom"/>
          </w:tcPr>
          <w:p w14:paraId="358884D6" w14:textId="77777777" w:rsidR="005A472F" w:rsidRPr="00FD7B0B" w:rsidRDefault="005A472F" w:rsidP="00BE64F6">
            <w:pPr>
              <w:pStyle w:val="ad"/>
              <w:jc w:val="both"/>
              <w:rPr>
                <w:rFonts w:ascii="Times New Roman" w:hAnsi="Times New Roman"/>
              </w:rPr>
            </w:pPr>
            <w:r w:rsidRPr="00FD7B0B">
              <w:rPr>
                <w:rFonts w:ascii="Times New Roman" w:hAnsi="Times New Roman"/>
              </w:rPr>
              <w:t>прочие платные услуги</w:t>
            </w:r>
          </w:p>
        </w:tc>
        <w:tc>
          <w:tcPr>
            <w:tcW w:w="1691" w:type="dxa"/>
            <w:vAlign w:val="bottom"/>
          </w:tcPr>
          <w:p w14:paraId="515CDB9C" w14:textId="77777777" w:rsidR="005A472F" w:rsidRPr="00FD7B0B" w:rsidRDefault="005A472F" w:rsidP="00BE64F6">
            <w:pPr>
              <w:pStyle w:val="ad"/>
              <w:jc w:val="right"/>
              <w:rPr>
                <w:rFonts w:ascii="Times New Roman" w:hAnsi="Times New Roman"/>
              </w:rPr>
            </w:pPr>
            <w:r w:rsidRPr="00FD7B0B">
              <w:rPr>
                <w:rFonts w:ascii="Times New Roman" w:hAnsi="Times New Roman"/>
              </w:rPr>
              <w:t>105,7</w:t>
            </w:r>
          </w:p>
        </w:tc>
        <w:tc>
          <w:tcPr>
            <w:tcW w:w="1701" w:type="dxa"/>
            <w:vAlign w:val="bottom"/>
          </w:tcPr>
          <w:p w14:paraId="7261CFA7" w14:textId="77777777" w:rsidR="005A472F" w:rsidRPr="00FD7B0B" w:rsidRDefault="005A472F" w:rsidP="00BE64F6">
            <w:pPr>
              <w:pStyle w:val="ad"/>
              <w:jc w:val="right"/>
              <w:rPr>
                <w:rFonts w:ascii="Times New Roman" w:hAnsi="Times New Roman"/>
              </w:rPr>
            </w:pPr>
            <w:r w:rsidRPr="00FD7B0B">
              <w:rPr>
                <w:rFonts w:ascii="Times New Roman" w:hAnsi="Times New Roman"/>
              </w:rPr>
              <w:t>94,4</w:t>
            </w:r>
          </w:p>
        </w:tc>
      </w:tr>
    </w:tbl>
    <w:p w14:paraId="10AC66C4" w14:textId="77777777" w:rsidR="005A472F" w:rsidRPr="00FD7B0B" w:rsidRDefault="005A472F" w:rsidP="005A472F">
      <w:pPr>
        <w:pStyle w:val="ad"/>
        <w:ind w:firstLine="709"/>
        <w:jc w:val="both"/>
        <w:rPr>
          <w:rFonts w:ascii="Times New Roman" w:hAnsi="Times New Roman"/>
          <w:sz w:val="28"/>
          <w:szCs w:val="28"/>
        </w:rPr>
      </w:pPr>
    </w:p>
    <w:p w14:paraId="40EF33C9" w14:textId="77777777" w:rsidR="005A472F" w:rsidRPr="00FD7B0B" w:rsidRDefault="005A472F" w:rsidP="005A472F">
      <w:pPr>
        <w:pStyle w:val="ad"/>
        <w:ind w:firstLine="709"/>
        <w:jc w:val="both"/>
        <w:rPr>
          <w:rFonts w:ascii="Times New Roman" w:hAnsi="Times New Roman"/>
          <w:sz w:val="28"/>
          <w:szCs w:val="28"/>
        </w:rPr>
      </w:pPr>
      <w:bookmarkStart w:id="57" w:name="_Toc104284469"/>
      <w:bookmarkStart w:id="58" w:name="_Toc135659992"/>
      <w:r w:rsidRPr="00FD7B0B">
        <w:rPr>
          <w:rFonts w:ascii="Times New Roman" w:hAnsi="Times New Roman"/>
          <w:sz w:val="28"/>
          <w:szCs w:val="28"/>
        </w:rPr>
        <w:t>Динамика показателей в части объемов в 2024 году к 2023 году и в 2023 году к 2022 году не однородна: установлен как прирост, так и снижение объемов платных услуг Архангельской области (без НАО) к соответствующему периоду (значительное увеличение туристских услуг, уменьшение – услуг почтовой связи и курьерские).</w:t>
      </w:r>
    </w:p>
    <w:p w14:paraId="33A283E8" w14:textId="77777777" w:rsidR="005A472F" w:rsidRPr="00FD7B0B" w:rsidRDefault="005A472F" w:rsidP="005A472F">
      <w:pPr>
        <w:pStyle w:val="2"/>
        <w:spacing w:before="120" w:after="0" w:line="240" w:lineRule="auto"/>
        <w:jc w:val="center"/>
        <w:rPr>
          <w:rFonts w:ascii="Times New Roman" w:hAnsi="Times New Roman"/>
          <w:lang w:val="ru-RU"/>
        </w:rPr>
      </w:pPr>
      <w:bookmarkStart w:id="59" w:name="_Toc167454823"/>
      <w:bookmarkStart w:id="60" w:name="_Toc198819120"/>
      <w:r w:rsidRPr="00FD7B0B">
        <w:rPr>
          <w:rFonts w:ascii="Times New Roman" w:hAnsi="Times New Roman"/>
          <w:lang w:val="ru-RU"/>
        </w:rPr>
        <w:t>1.7. Индекс потребительских цен</w:t>
      </w:r>
      <w:bookmarkEnd w:id="44"/>
      <w:bookmarkEnd w:id="45"/>
      <w:bookmarkEnd w:id="52"/>
      <w:bookmarkEnd w:id="57"/>
      <w:bookmarkEnd w:id="58"/>
      <w:bookmarkEnd w:id="59"/>
      <w:bookmarkEnd w:id="60"/>
    </w:p>
    <w:p w14:paraId="4CCEB2B4" w14:textId="1B1620A6"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Индексы потребительских цен на товары и услуги по Архангельской области (без НАО) в 2024 год (декабрь к декабрю предыдущего года) составил 108,1 % и выше ожидаемого индек</w:t>
      </w:r>
      <w:r w:rsidR="00151E86" w:rsidRPr="00FD7B0B">
        <w:rPr>
          <w:rFonts w:ascii="Times New Roman" w:hAnsi="Times New Roman"/>
          <w:sz w:val="28"/>
          <w:szCs w:val="28"/>
        </w:rPr>
        <w:t>са (106,61 %).</w:t>
      </w:r>
    </w:p>
    <w:p w14:paraId="30AA85EC"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условиях роста цен компоненты инфляции (декабрь к декабрю предыдущего года) в разрезе товарных групп сложились следующим образом:</w:t>
      </w:r>
    </w:p>
    <w:p w14:paraId="18E0831B" w14:textId="77777777" w:rsidR="005A472F" w:rsidRPr="00FD7B0B" w:rsidRDefault="005A472F" w:rsidP="005A472F">
      <w:pPr>
        <w:pStyle w:val="ad"/>
        <w:numPr>
          <w:ilvl w:val="0"/>
          <w:numId w:val="1"/>
        </w:numPr>
        <w:ind w:left="0" w:firstLine="709"/>
        <w:jc w:val="both"/>
        <w:rPr>
          <w:rFonts w:ascii="Times New Roman" w:hAnsi="Times New Roman"/>
          <w:sz w:val="28"/>
          <w:szCs w:val="28"/>
        </w:rPr>
      </w:pPr>
      <w:r w:rsidRPr="00FD7B0B">
        <w:rPr>
          <w:rFonts w:ascii="Times New Roman" w:hAnsi="Times New Roman"/>
          <w:sz w:val="28"/>
          <w:szCs w:val="28"/>
        </w:rPr>
        <w:t>ИПЦ на продовольственные товары составил 108,62 % (в 2023 году – 108,51%, 2022 году – 110,23 %);</w:t>
      </w:r>
    </w:p>
    <w:p w14:paraId="78126A83" w14:textId="77777777" w:rsidR="005A472F" w:rsidRPr="00FD7B0B" w:rsidRDefault="005A472F" w:rsidP="005A472F">
      <w:pPr>
        <w:pStyle w:val="ad"/>
        <w:numPr>
          <w:ilvl w:val="0"/>
          <w:numId w:val="1"/>
        </w:numPr>
        <w:ind w:left="0" w:firstLine="709"/>
        <w:jc w:val="both"/>
        <w:rPr>
          <w:rFonts w:ascii="Times New Roman" w:hAnsi="Times New Roman"/>
          <w:sz w:val="28"/>
          <w:szCs w:val="28"/>
        </w:rPr>
      </w:pPr>
      <w:r w:rsidRPr="00FD7B0B">
        <w:rPr>
          <w:rFonts w:ascii="Times New Roman" w:hAnsi="Times New Roman"/>
          <w:sz w:val="28"/>
          <w:szCs w:val="28"/>
        </w:rPr>
        <w:t>ИПЦ на непродовольственные товары составил 104,88 % (в 2023 году – 109,22%, в 2022 году – 113,99 %);</w:t>
      </w:r>
    </w:p>
    <w:p w14:paraId="758D1D45" w14:textId="77777777" w:rsidR="005A472F" w:rsidRPr="00FD7B0B" w:rsidRDefault="005A472F" w:rsidP="005A472F">
      <w:pPr>
        <w:pStyle w:val="ad"/>
        <w:numPr>
          <w:ilvl w:val="0"/>
          <w:numId w:val="1"/>
        </w:numPr>
        <w:ind w:left="0" w:firstLine="709"/>
        <w:jc w:val="both"/>
        <w:rPr>
          <w:rFonts w:ascii="Times New Roman" w:hAnsi="Times New Roman"/>
          <w:sz w:val="28"/>
          <w:szCs w:val="28"/>
        </w:rPr>
      </w:pPr>
      <w:r w:rsidRPr="00FD7B0B">
        <w:rPr>
          <w:rFonts w:ascii="Times New Roman" w:hAnsi="Times New Roman"/>
          <w:sz w:val="28"/>
          <w:szCs w:val="28"/>
        </w:rPr>
        <w:t>ИПЦ на услуги составил 112,54 % (в 2023 году – 109,19%, в 2022 году – 110,55 %).</w:t>
      </w:r>
    </w:p>
    <w:p w14:paraId="41A8DFAB"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течение 2024 года отмечался ежеквартальный рост индекса потребительских цен, что обусловлено ростом цен по ряду ключевых продовольственных и непродовольственных товаров, подвергающимся статистическому наблюдению, что представлено ниже в таблицах.</w:t>
      </w:r>
    </w:p>
    <w:p w14:paraId="6A193252" w14:textId="58BC77D4" w:rsidR="00B027F1" w:rsidRPr="00FD7B0B" w:rsidRDefault="00B027F1" w:rsidP="00B027F1">
      <w:pPr>
        <w:pStyle w:val="ad"/>
        <w:ind w:firstLine="709"/>
        <w:jc w:val="both"/>
        <w:rPr>
          <w:rFonts w:ascii="Times New Roman" w:hAnsi="Times New Roman"/>
          <w:sz w:val="28"/>
          <w:szCs w:val="28"/>
        </w:rPr>
      </w:pPr>
      <w:r w:rsidRPr="00FD7B0B">
        <w:rPr>
          <w:rFonts w:ascii="Times New Roman" w:hAnsi="Times New Roman"/>
          <w:sz w:val="28"/>
          <w:szCs w:val="28"/>
        </w:rPr>
        <w:t xml:space="preserve">Изменение индексов потребительских цен на отдельные группы и виды продовольственных товаров в отчетном году (декабрь к декабрю) в части наблюдаемых товаров согласно статистическому сборнику «Социально-экономическое положение Архангельской области (без НАО) за 2024 год» представлено в таблице </w:t>
      </w:r>
      <w:r w:rsidR="003E66BF" w:rsidRPr="00FD7B0B">
        <w:rPr>
          <w:rFonts w:ascii="Times New Roman" w:hAnsi="Times New Roman"/>
          <w:sz w:val="28"/>
          <w:szCs w:val="28"/>
        </w:rPr>
        <w:t>17</w:t>
      </w:r>
      <w:r w:rsidRPr="00FD7B0B">
        <w:rPr>
          <w:rFonts w:ascii="Times New Roman" w:hAnsi="Times New Roman"/>
          <w:sz w:val="28"/>
          <w:szCs w:val="28"/>
        </w:rPr>
        <w:t>.</w:t>
      </w:r>
    </w:p>
    <w:p w14:paraId="4B4A24CB" w14:textId="77777777" w:rsidR="005A472F" w:rsidRPr="00FD7B0B" w:rsidRDefault="005A472F" w:rsidP="005A472F">
      <w:pPr>
        <w:pStyle w:val="ad"/>
        <w:ind w:firstLine="851"/>
        <w:jc w:val="both"/>
        <w:rPr>
          <w:rFonts w:ascii="Times New Roman" w:hAnsi="Times New Roman"/>
        </w:rPr>
      </w:pPr>
    </w:p>
    <w:p w14:paraId="76726D37"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17</w:t>
      </w:r>
      <w:r w:rsidRPr="00FD7B0B">
        <w:rPr>
          <w:rFonts w:ascii="Times New Roman" w:hAnsi="Times New Roman"/>
          <w:b w:val="0"/>
          <w:sz w:val="24"/>
          <w:szCs w:val="24"/>
        </w:rPr>
        <w:fldChar w:fldCharType="end"/>
      </w:r>
      <w:r w:rsidRPr="00FD7B0B">
        <w:rPr>
          <w:rFonts w:ascii="Times New Roman" w:hAnsi="Times New Roman"/>
          <w:b w:val="0"/>
          <w:sz w:val="24"/>
          <w:szCs w:val="24"/>
        </w:rPr>
        <w:t>. Индексы потребительских цен на отдельные группы и виды продовольственных товаров на конец периода, в процентах</w:t>
      </w:r>
    </w:p>
    <w:tbl>
      <w:tblPr>
        <w:tblW w:w="9505"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5103"/>
        <w:gridCol w:w="1425"/>
        <w:gridCol w:w="1417"/>
        <w:gridCol w:w="1560"/>
      </w:tblGrid>
      <w:tr w:rsidR="00FD7B0B" w:rsidRPr="00FD7B0B" w14:paraId="119F865D" w14:textId="77777777" w:rsidTr="00BE64F6">
        <w:trPr>
          <w:trHeight w:val="540"/>
          <w:tblHeader/>
        </w:trPr>
        <w:tc>
          <w:tcPr>
            <w:tcW w:w="5103" w:type="dxa"/>
            <w:shd w:val="clear" w:color="auto" w:fill="auto"/>
            <w:vAlign w:val="center"/>
            <w:hideMark/>
          </w:tcPr>
          <w:p w14:paraId="1ED4BF48"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Индексы потребительских цен на отдельные группы и виды продовольственных товаров</w:t>
            </w:r>
          </w:p>
        </w:tc>
        <w:tc>
          <w:tcPr>
            <w:tcW w:w="1425" w:type="dxa"/>
            <w:vAlign w:val="center"/>
          </w:tcPr>
          <w:p w14:paraId="62BB0100" w14:textId="1DFB0F9B"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w:t>
            </w:r>
            <w:r w:rsidR="00EF1D86" w:rsidRPr="00FD7B0B">
              <w:rPr>
                <w:rFonts w:ascii="Times New Roman" w:eastAsia="Times New Roman" w:hAnsi="Times New Roman" w:cs="Times New Roman"/>
                <w:lang w:eastAsia="ru-RU"/>
              </w:rPr>
              <w:t>брь 2022 г. к декабрю 2021 г.</w:t>
            </w:r>
          </w:p>
        </w:tc>
        <w:tc>
          <w:tcPr>
            <w:tcW w:w="1417" w:type="dxa"/>
            <w:vAlign w:val="center"/>
          </w:tcPr>
          <w:p w14:paraId="3B2240A8" w14:textId="646F0FF8"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w:t>
            </w:r>
            <w:r w:rsidR="00EF1D86" w:rsidRPr="00FD7B0B">
              <w:rPr>
                <w:rFonts w:ascii="Times New Roman" w:eastAsia="Times New Roman" w:hAnsi="Times New Roman" w:cs="Times New Roman"/>
                <w:lang w:eastAsia="ru-RU"/>
              </w:rPr>
              <w:t>брь 2023 г. к декабрю 2022 г.</w:t>
            </w:r>
          </w:p>
        </w:tc>
        <w:tc>
          <w:tcPr>
            <w:tcW w:w="1560" w:type="dxa"/>
            <w:vAlign w:val="center"/>
          </w:tcPr>
          <w:p w14:paraId="2C1736D6" w14:textId="77BC6AD3" w:rsidR="005A472F" w:rsidRPr="00FD7B0B" w:rsidRDefault="005A472F" w:rsidP="00BE64F6">
            <w:pPr>
              <w:spacing w:after="0" w:line="240" w:lineRule="auto"/>
              <w:ind w:lef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w:t>
            </w:r>
            <w:r w:rsidR="00EF1D86" w:rsidRPr="00FD7B0B">
              <w:rPr>
                <w:rFonts w:ascii="Times New Roman" w:eastAsia="Times New Roman" w:hAnsi="Times New Roman" w:cs="Times New Roman"/>
                <w:lang w:eastAsia="ru-RU"/>
              </w:rPr>
              <w:t>брь 2024 г. к декабрю 2023 г.</w:t>
            </w:r>
          </w:p>
        </w:tc>
      </w:tr>
      <w:tr w:rsidR="00FD7B0B" w:rsidRPr="00FD7B0B" w14:paraId="063362D8" w14:textId="77777777" w:rsidTr="00BE64F6">
        <w:trPr>
          <w:trHeight w:val="154"/>
        </w:trPr>
        <w:tc>
          <w:tcPr>
            <w:tcW w:w="5103" w:type="dxa"/>
            <w:shd w:val="clear" w:color="auto" w:fill="auto"/>
            <w:vAlign w:val="bottom"/>
            <w:hideMark/>
          </w:tcPr>
          <w:p w14:paraId="2FF2505D"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Продовольственные товары без алкогольных напитков</w:t>
            </w:r>
          </w:p>
        </w:tc>
        <w:tc>
          <w:tcPr>
            <w:tcW w:w="1425" w:type="dxa"/>
            <w:vAlign w:val="bottom"/>
          </w:tcPr>
          <w:p w14:paraId="7E01CA8F" w14:textId="77777777" w:rsidR="005A472F" w:rsidRPr="00FD7B0B" w:rsidRDefault="005A472F" w:rsidP="00BE64F6">
            <w:pPr>
              <w:spacing w:after="0" w:line="240" w:lineRule="auto"/>
              <w:ind w:left="-108"/>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111,2</w:t>
            </w:r>
          </w:p>
        </w:tc>
        <w:tc>
          <w:tcPr>
            <w:tcW w:w="1417" w:type="dxa"/>
            <w:vAlign w:val="bottom"/>
          </w:tcPr>
          <w:p w14:paraId="25C4DACB" w14:textId="77777777" w:rsidR="005A472F" w:rsidRPr="00FD7B0B" w:rsidRDefault="005A472F" w:rsidP="00BE64F6">
            <w:pPr>
              <w:spacing w:after="0" w:line="240" w:lineRule="auto"/>
              <w:ind w:left="-108"/>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109,2</w:t>
            </w:r>
          </w:p>
        </w:tc>
        <w:tc>
          <w:tcPr>
            <w:tcW w:w="1560" w:type="dxa"/>
            <w:vAlign w:val="bottom"/>
          </w:tcPr>
          <w:p w14:paraId="0C0A678E" w14:textId="77777777" w:rsidR="005A472F" w:rsidRPr="00FD7B0B" w:rsidRDefault="005A472F" w:rsidP="00BE64F6">
            <w:pPr>
              <w:spacing w:after="0" w:line="240" w:lineRule="auto"/>
              <w:ind w:left="-108"/>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108,8</w:t>
            </w:r>
          </w:p>
        </w:tc>
      </w:tr>
      <w:tr w:rsidR="00FD7B0B" w:rsidRPr="00FD7B0B" w14:paraId="7C24C8C5" w14:textId="77777777" w:rsidTr="00BE64F6">
        <w:trPr>
          <w:trHeight w:hRule="exact" w:val="255"/>
        </w:trPr>
        <w:tc>
          <w:tcPr>
            <w:tcW w:w="5103" w:type="dxa"/>
            <w:shd w:val="clear" w:color="auto" w:fill="auto"/>
            <w:vAlign w:val="bottom"/>
            <w:hideMark/>
          </w:tcPr>
          <w:p w14:paraId="7C63AB0B"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хлеб и хлебобулочные изделия</w:t>
            </w:r>
          </w:p>
        </w:tc>
        <w:tc>
          <w:tcPr>
            <w:tcW w:w="1425" w:type="dxa"/>
            <w:vAlign w:val="bottom"/>
          </w:tcPr>
          <w:p w14:paraId="16A5B62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109,7</w:t>
            </w:r>
          </w:p>
        </w:tc>
        <w:tc>
          <w:tcPr>
            <w:tcW w:w="1417" w:type="dxa"/>
            <w:vAlign w:val="bottom"/>
          </w:tcPr>
          <w:p w14:paraId="6E49415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106,4</w:t>
            </w:r>
          </w:p>
        </w:tc>
        <w:tc>
          <w:tcPr>
            <w:tcW w:w="1560" w:type="dxa"/>
            <w:vAlign w:val="bottom"/>
          </w:tcPr>
          <w:p w14:paraId="0B5CA4A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112,7</w:t>
            </w:r>
          </w:p>
        </w:tc>
      </w:tr>
      <w:tr w:rsidR="00FD7B0B" w:rsidRPr="00FD7B0B" w14:paraId="52FDE433" w14:textId="77777777" w:rsidTr="00BE64F6">
        <w:trPr>
          <w:trHeight w:hRule="exact" w:val="255"/>
        </w:trPr>
        <w:tc>
          <w:tcPr>
            <w:tcW w:w="5103" w:type="dxa"/>
            <w:shd w:val="clear" w:color="auto" w:fill="auto"/>
            <w:vAlign w:val="bottom"/>
            <w:hideMark/>
          </w:tcPr>
          <w:p w14:paraId="2A371951"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крупа и бобовые</w:t>
            </w:r>
          </w:p>
        </w:tc>
        <w:tc>
          <w:tcPr>
            <w:tcW w:w="1425" w:type="dxa"/>
            <w:vAlign w:val="bottom"/>
          </w:tcPr>
          <w:p w14:paraId="1ED2F3B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107,2</w:t>
            </w:r>
          </w:p>
        </w:tc>
        <w:tc>
          <w:tcPr>
            <w:tcW w:w="1417" w:type="dxa"/>
            <w:vAlign w:val="bottom"/>
          </w:tcPr>
          <w:p w14:paraId="1DDBC12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97,0</w:t>
            </w:r>
          </w:p>
        </w:tc>
        <w:tc>
          <w:tcPr>
            <w:tcW w:w="1560" w:type="dxa"/>
            <w:vAlign w:val="bottom"/>
          </w:tcPr>
          <w:p w14:paraId="128D54E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101,6</w:t>
            </w:r>
          </w:p>
        </w:tc>
      </w:tr>
      <w:tr w:rsidR="00FD7B0B" w:rsidRPr="00FD7B0B" w14:paraId="06553776" w14:textId="77777777" w:rsidTr="00BE64F6">
        <w:trPr>
          <w:trHeight w:hRule="exact" w:val="255"/>
        </w:trPr>
        <w:tc>
          <w:tcPr>
            <w:tcW w:w="5103" w:type="dxa"/>
            <w:shd w:val="clear" w:color="auto" w:fill="auto"/>
            <w:vAlign w:val="bottom"/>
            <w:hideMark/>
          </w:tcPr>
          <w:p w14:paraId="712855A9"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макаронные изделия</w:t>
            </w:r>
          </w:p>
        </w:tc>
        <w:tc>
          <w:tcPr>
            <w:tcW w:w="1425" w:type="dxa"/>
            <w:vAlign w:val="bottom"/>
          </w:tcPr>
          <w:p w14:paraId="336B2C2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111,1</w:t>
            </w:r>
          </w:p>
        </w:tc>
        <w:tc>
          <w:tcPr>
            <w:tcW w:w="1417" w:type="dxa"/>
            <w:vAlign w:val="bottom"/>
          </w:tcPr>
          <w:p w14:paraId="3188D20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96,4</w:t>
            </w:r>
          </w:p>
        </w:tc>
        <w:tc>
          <w:tcPr>
            <w:tcW w:w="1560" w:type="dxa"/>
            <w:vAlign w:val="bottom"/>
          </w:tcPr>
          <w:p w14:paraId="68EDD01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99,8</w:t>
            </w:r>
          </w:p>
        </w:tc>
      </w:tr>
      <w:tr w:rsidR="00FD7B0B" w:rsidRPr="00FD7B0B" w14:paraId="5E26DB56" w14:textId="77777777" w:rsidTr="00BE64F6">
        <w:trPr>
          <w:trHeight w:hRule="exact" w:val="255"/>
        </w:trPr>
        <w:tc>
          <w:tcPr>
            <w:tcW w:w="5103" w:type="dxa"/>
            <w:shd w:val="clear" w:color="auto" w:fill="auto"/>
            <w:vAlign w:val="bottom"/>
            <w:hideMark/>
          </w:tcPr>
          <w:p w14:paraId="0E3D5E52"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мясо и птица</w:t>
            </w:r>
          </w:p>
        </w:tc>
        <w:tc>
          <w:tcPr>
            <w:tcW w:w="1425" w:type="dxa"/>
            <w:vAlign w:val="bottom"/>
          </w:tcPr>
          <w:p w14:paraId="635828F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106,8</w:t>
            </w:r>
          </w:p>
        </w:tc>
        <w:tc>
          <w:tcPr>
            <w:tcW w:w="1417" w:type="dxa"/>
            <w:vAlign w:val="bottom"/>
          </w:tcPr>
          <w:p w14:paraId="48282F8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111,0</w:t>
            </w:r>
          </w:p>
        </w:tc>
        <w:tc>
          <w:tcPr>
            <w:tcW w:w="1560" w:type="dxa"/>
            <w:vAlign w:val="bottom"/>
          </w:tcPr>
          <w:p w14:paraId="48B4E0F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99,7</w:t>
            </w:r>
          </w:p>
        </w:tc>
      </w:tr>
      <w:tr w:rsidR="00FD7B0B" w:rsidRPr="00FD7B0B" w14:paraId="00728AD4" w14:textId="77777777" w:rsidTr="00BE64F6">
        <w:trPr>
          <w:trHeight w:hRule="exact" w:val="255"/>
        </w:trPr>
        <w:tc>
          <w:tcPr>
            <w:tcW w:w="5103" w:type="dxa"/>
            <w:shd w:val="clear" w:color="auto" w:fill="auto"/>
            <w:vAlign w:val="bottom"/>
            <w:hideMark/>
          </w:tcPr>
          <w:p w14:paraId="13B96543"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рыба и морепродукты пищевые</w:t>
            </w:r>
          </w:p>
        </w:tc>
        <w:tc>
          <w:tcPr>
            <w:tcW w:w="1425" w:type="dxa"/>
            <w:vAlign w:val="bottom"/>
          </w:tcPr>
          <w:p w14:paraId="4A6E67D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106,8</w:t>
            </w:r>
          </w:p>
        </w:tc>
        <w:tc>
          <w:tcPr>
            <w:tcW w:w="1417" w:type="dxa"/>
            <w:vAlign w:val="bottom"/>
          </w:tcPr>
          <w:p w14:paraId="0892C5A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106,7</w:t>
            </w:r>
          </w:p>
        </w:tc>
        <w:tc>
          <w:tcPr>
            <w:tcW w:w="1560" w:type="dxa"/>
            <w:vAlign w:val="bottom"/>
          </w:tcPr>
          <w:p w14:paraId="01B4642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117,8</w:t>
            </w:r>
          </w:p>
        </w:tc>
      </w:tr>
      <w:tr w:rsidR="00FD7B0B" w:rsidRPr="00FD7B0B" w14:paraId="76753EC6" w14:textId="77777777" w:rsidTr="00BE64F6">
        <w:trPr>
          <w:trHeight w:hRule="exact" w:val="255"/>
        </w:trPr>
        <w:tc>
          <w:tcPr>
            <w:tcW w:w="5103" w:type="dxa"/>
            <w:shd w:val="clear" w:color="auto" w:fill="auto"/>
            <w:vAlign w:val="bottom"/>
            <w:hideMark/>
          </w:tcPr>
          <w:p w14:paraId="4544A103"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молоко и молочная продукция</w:t>
            </w:r>
          </w:p>
        </w:tc>
        <w:tc>
          <w:tcPr>
            <w:tcW w:w="1425" w:type="dxa"/>
            <w:vAlign w:val="bottom"/>
          </w:tcPr>
          <w:p w14:paraId="74E1D13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116,8</w:t>
            </w:r>
          </w:p>
        </w:tc>
        <w:tc>
          <w:tcPr>
            <w:tcW w:w="1417" w:type="dxa"/>
            <w:vAlign w:val="bottom"/>
          </w:tcPr>
          <w:p w14:paraId="16231B1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101,0</w:t>
            </w:r>
          </w:p>
        </w:tc>
        <w:tc>
          <w:tcPr>
            <w:tcW w:w="1560" w:type="dxa"/>
            <w:vAlign w:val="bottom"/>
          </w:tcPr>
          <w:p w14:paraId="5BD4315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115,7</w:t>
            </w:r>
          </w:p>
        </w:tc>
      </w:tr>
      <w:tr w:rsidR="00FD7B0B" w:rsidRPr="00FD7B0B" w14:paraId="52B1DDAD" w14:textId="77777777" w:rsidTr="00BE64F6">
        <w:trPr>
          <w:trHeight w:hRule="exact" w:val="255"/>
        </w:trPr>
        <w:tc>
          <w:tcPr>
            <w:tcW w:w="5103" w:type="dxa"/>
            <w:shd w:val="clear" w:color="auto" w:fill="auto"/>
            <w:vAlign w:val="bottom"/>
            <w:hideMark/>
          </w:tcPr>
          <w:p w14:paraId="0AF63B47"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lastRenderedPageBreak/>
              <w:t>масло сливочное</w:t>
            </w:r>
          </w:p>
        </w:tc>
        <w:tc>
          <w:tcPr>
            <w:tcW w:w="1425" w:type="dxa"/>
            <w:vAlign w:val="bottom"/>
          </w:tcPr>
          <w:p w14:paraId="234CC45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113,5</w:t>
            </w:r>
          </w:p>
        </w:tc>
        <w:tc>
          <w:tcPr>
            <w:tcW w:w="1417" w:type="dxa"/>
            <w:vAlign w:val="bottom"/>
          </w:tcPr>
          <w:p w14:paraId="53145A1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104,9</w:t>
            </w:r>
          </w:p>
        </w:tc>
        <w:tc>
          <w:tcPr>
            <w:tcW w:w="1560" w:type="dxa"/>
            <w:vAlign w:val="bottom"/>
          </w:tcPr>
          <w:p w14:paraId="4ED168E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125,1</w:t>
            </w:r>
          </w:p>
        </w:tc>
      </w:tr>
      <w:tr w:rsidR="00FD7B0B" w:rsidRPr="00FD7B0B" w14:paraId="382B573A" w14:textId="77777777" w:rsidTr="00BE64F6">
        <w:trPr>
          <w:trHeight w:hRule="exact" w:val="255"/>
        </w:trPr>
        <w:tc>
          <w:tcPr>
            <w:tcW w:w="5103" w:type="dxa"/>
            <w:shd w:val="clear" w:color="auto" w:fill="auto"/>
            <w:vAlign w:val="bottom"/>
            <w:hideMark/>
          </w:tcPr>
          <w:p w14:paraId="0C921070"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масло подсолнечное</w:t>
            </w:r>
          </w:p>
        </w:tc>
        <w:tc>
          <w:tcPr>
            <w:tcW w:w="1425" w:type="dxa"/>
            <w:vAlign w:val="bottom"/>
          </w:tcPr>
          <w:p w14:paraId="5A8D635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111,8</w:t>
            </w:r>
          </w:p>
        </w:tc>
        <w:tc>
          <w:tcPr>
            <w:tcW w:w="1417" w:type="dxa"/>
            <w:vAlign w:val="bottom"/>
          </w:tcPr>
          <w:p w14:paraId="7D27F0F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98,7</w:t>
            </w:r>
          </w:p>
        </w:tc>
        <w:tc>
          <w:tcPr>
            <w:tcW w:w="1560" w:type="dxa"/>
            <w:vAlign w:val="bottom"/>
          </w:tcPr>
          <w:p w14:paraId="00542C1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111,8</w:t>
            </w:r>
          </w:p>
        </w:tc>
      </w:tr>
      <w:tr w:rsidR="00FD7B0B" w:rsidRPr="00FD7B0B" w14:paraId="0A359101" w14:textId="77777777" w:rsidTr="00BE64F6">
        <w:trPr>
          <w:trHeight w:hRule="exact" w:val="255"/>
        </w:trPr>
        <w:tc>
          <w:tcPr>
            <w:tcW w:w="5103" w:type="dxa"/>
            <w:shd w:val="clear" w:color="auto" w:fill="auto"/>
            <w:vAlign w:val="bottom"/>
            <w:hideMark/>
          </w:tcPr>
          <w:p w14:paraId="71BE17BF"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яйца</w:t>
            </w:r>
          </w:p>
        </w:tc>
        <w:tc>
          <w:tcPr>
            <w:tcW w:w="1425" w:type="dxa"/>
            <w:vAlign w:val="bottom"/>
          </w:tcPr>
          <w:p w14:paraId="24A1F42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92,2</w:t>
            </w:r>
          </w:p>
        </w:tc>
        <w:tc>
          <w:tcPr>
            <w:tcW w:w="1417" w:type="dxa"/>
            <w:vAlign w:val="bottom"/>
          </w:tcPr>
          <w:p w14:paraId="74200FB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 1,7 раза</w:t>
            </w:r>
          </w:p>
        </w:tc>
        <w:tc>
          <w:tcPr>
            <w:tcW w:w="1560" w:type="dxa"/>
            <w:vAlign w:val="bottom"/>
          </w:tcPr>
          <w:p w14:paraId="0D0815B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92,3</w:t>
            </w:r>
          </w:p>
        </w:tc>
      </w:tr>
      <w:tr w:rsidR="00FD7B0B" w:rsidRPr="00FD7B0B" w14:paraId="26B23FB3" w14:textId="77777777" w:rsidTr="00BE64F6">
        <w:trPr>
          <w:trHeight w:hRule="exact" w:val="255"/>
        </w:trPr>
        <w:tc>
          <w:tcPr>
            <w:tcW w:w="5103" w:type="dxa"/>
            <w:shd w:val="clear" w:color="auto" w:fill="auto"/>
            <w:vAlign w:val="bottom"/>
            <w:hideMark/>
          </w:tcPr>
          <w:p w14:paraId="44089B72"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сахар-песок</w:t>
            </w:r>
          </w:p>
        </w:tc>
        <w:tc>
          <w:tcPr>
            <w:tcW w:w="1425" w:type="dxa"/>
            <w:vAlign w:val="bottom"/>
          </w:tcPr>
          <w:p w14:paraId="1940343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118,9</w:t>
            </w:r>
          </w:p>
        </w:tc>
        <w:tc>
          <w:tcPr>
            <w:tcW w:w="1417" w:type="dxa"/>
            <w:vAlign w:val="bottom"/>
          </w:tcPr>
          <w:p w14:paraId="4F1FE69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104,5</w:t>
            </w:r>
          </w:p>
        </w:tc>
        <w:tc>
          <w:tcPr>
            <w:tcW w:w="1560" w:type="dxa"/>
            <w:vAlign w:val="bottom"/>
          </w:tcPr>
          <w:p w14:paraId="15DEFD9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106,0</w:t>
            </w:r>
          </w:p>
        </w:tc>
      </w:tr>
      <w:tr w:rsidR="00FD7B0B" w:rsidRPr="00FD7B0B" w14:paraId="46F17A65" w14:textId="77777777" w:rsidTr="001679B0">
        <w:trPr>
          <w:trHeight w:hRule="exact" w:val="266"/>
        </w:trPr>
        <w:tc>
          <w:tcPr>
            <w:tcW w:w="5103" w:type="dxa"/>
            <w:shd w:val="clear" w:color="auto" w:fill="auto"/>
            <w:vAlign w:val="bottom"/>
            <w:hideMark/>
          </w:tcPr>
          <w:p w14:paraId="1F428D52"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плодоовощная продукция, включая картофель</w:t>
            </w:r>
          </w:p>
        </w:tc>
        <w:tc>
          <w:tcPr>
            <w:tcW w:w="1425" w:type="dxa"/>
            <w:vAlign w:val="bottom"/>
          </w:tcPr>
          <w:p w14:paraId="57344DB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98,7</w:t>
            </w:r>
          </w:p>
        </w:tc>
        <w:tc>
          <w:tcPr>
            <w:tcW w:w="1417" w:type="dxa"/>
            <w:vAlign w:val="bottom"/>
          </w:tcPr>
          <w:p w14:paraId="0C9657E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135,0</w:t>
            </w:r>
          </w:p>
        </w:tc>
        <w:tc>
          <w:tcPr>
            <w:tcW w:w="1560" w:type="dxa"/>
            <w:vAlign w:val="bottom"/>
          </w:tcPr>
          <w:p w14:paraId="7EB6D40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111,1</w:t>
            </w:r>
          </w:p>
        </w:tc>
      </w:tr>
      <w:tr w:rsidR="00FD7B0B" w:rsidRPr="00FD7B0B" w14:paraId="3D841348" w14:textId="77777777" w:rsidTr="00BE64F6">
        <w:trPr>
          <w:trHeight w:hRule="exact" w:val="255"/>
        </w:trPr>
        <w:tc>
          <w:tcPr>
            <w:tcW w:w="5103" w:type="dxa"/>
            <w:shd w:val="clear" w:color="auto" w:fill="auto"/>
            <w:vAlign w:val="bottom"/>
            <w:hideMark/>
          </w:tcPr>
          <w:p w14:paraId="38F14AC9"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Алкогольные напитки</w:t>
            </w:r>
          </w:p>
        </w:tc>
        <w:tc>
          <w:tcPr>
            <w:tcW w:w="1425" w:type="dxa"/>
            <w:vAlign w:val="bottom"/>
          </w:tcPr>
          <w:p w14:paraId="1BCECF8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105,1</w:t>
            </w:r>
          </w:p>
        </w:tc>
        <w:tc>
          <w:tcPr>
            <w:tcW w:w="1417" w:type="dxa"/>
            <w:vAlign w:val="bottom"/>
          </w:tcPr>
          <w:p w14:paraId="67FCEF1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104,5</w:t>
            </w:r>
          </w:p>
        </w:tc>
        <w:tc>
          <w:tcPr>
            <w:tcW w:w="1560" w:type="dxa"/>
            <w:vAlign w:val="bottom"/>
          </w:tcPr>
          <w:p w14:paraId="6D6E5A1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107,3</w:t>
            </w:r>
          </w:p>
        </w:tc>
      </w:tr>
    </w:tbl>
    <w:p w14:paraId="0EE477AB" w14:textId="77777777" w:rsidR="005A472F" w:rsidRPr="00FD7B0B" w:rsidRDefault="005A472F" w:rsidP="005A472F">
      <w:pPr>
        <w:pStyle w:val="ad"/>
        <w:ind w:firstLine="709"/>
        <w:jc w:val="both"/>
        <w:rPr>
          <w:rFonts w:ascii="Times New Roman" w:hAnsi="Times New Roman"/>
          <w:sz w:val="28"/>
          <w:szCs w:val="28"/>
        </w:rPr>
      </w:pPr>
    </w:p>
    <w:p w14:paraId="027B4521" w14:textId="4E17C35A" w:rsidR="00B027F1" w:rsidRPr="00FD7B0B" w:rsidRDefault="00B027F1" w:rsidP="00B027F1">
      <w:pPr>
        <w:pStyle w:val="ad"/>
        <w:ind w:firstLine="709"/>
        <w:jc w:val="both"/>
        <w:rPr>
          <w:rFonts w:ascii="Times New Roman" w:hAnsi="Times New Roman"/>
          <w:sz w:val="28"/>
          <w:szCs w:val="28"/>
        </w:rPr>
      </w:pPr>
      <w:r w:rsidRPr="00FD7B0B">
        <w:rPr>
          <w:rFonts w:ascii="Times New Roman" w:hAnsi="Times New Roman"/>
          <w:sz w:val="28"/>
          <w:szCs w:val="28"/>
        </w:rPr>
        <w:t>Практически по всему статистически наблюдаемому перечню продовольственных товаров в 2024 году установлен рост индексов потребительских цен, из них значительно увеличились индексы потребительских цен на масло сливочное (+25,1 %), рыбу и морепродукты пищевые (+17,8 %), молоко и молочную продукцию (+15,7 %). Установлено незначительное снижение индексов потребительских цен: на макаронные изделия (–0,2 %), на мясо и птицу (–0,3 %), при том, что в 2023 году индекс потребительских цен на мясо и птицу составлял 111,0 %), на яйца – снизился на 7,7 п.п. (в 2023 году рост индекса потребительских цен на яйцо составил в 1,7 раза к 2022 году).</w:t>
      </w:r>
    </w:p>
    <w:p w14:paraId="4E2E3A4C" w14:textId="2812CE99" w:rsidR="005A472F" w:rsidRPr="00FD7B0B" w:rsidRDefault="00B027F1" w:rsidP="005A472F">
      <w:pPr>
        <w:pStyle w:val="ad"/>
        <w:ind w:firstLine="709"/>
        <w:jc w:val="both"/>
        <w:rPr>
          <w:rFonts w:ascii="Times New Roman" w:hAnsi="Times New Roman"/>
          <w:sz w:val="28"/>
          <w:szCs w:val="28"/>
        </w:rPr>
      </w:pPr>
      <w:r w:rsidRPr="00FD7B0B">
        <w:rPr>
          <w:rFonts w:ascii="Times New Roman" w:hAnsi="Times New Roman"/>
          <w:sz w:val="28"/>
          <w:szCs w:val="28"/>
        </w:rPr>
        <w:t>Изменение</w:t>
      </w:r>
      <w:r w:rsidR="005A472F" w:rsidRPr="00FD7B0B">
        <w:rPr>
          <w:rFonts w:ascii="Times New Roman" w:hAnsi="Times New Roman"/>
          <w:sz w:val="28"/>
          <w:szCs w:val="28"/>
        </w:rPr>
        <w:t xml:space="preserve"> индексов потребительских цен на отдельные группы и виды непродовольственных товаров в отчетном году (декабрь к декабрю) представлено в таблице </w:t>
      </w:r>
      <w:r w:rsidR="003E66BF" w:rsidRPr="00FD7B0B">
        <w:rPr>
          <w:rFonts w:ascii="Times New Roman" w:hAnsi="Times New Roman"/>
          <w:sz w:val="28"/>
          <w:szCs w:val="28"/>
        </w:rPr>
        <w:t>18</w:t>
      </w:r>
      <w:r w:rsidR="005A472F" w:rsidRPr="00FD7B0B">
        <w:rPr>
          <w:rFonts w:ascii="Times New Roman" w:hAnsi="Times New Roman"/>
          <w:sz w:val="28"/>
          <w:szCs w:val="28"/>
        </w:rPr>
        <w:t>.</w:t>
      </w:r>
    </w:p>
    <w:p w14:paraId="5E7F5657" w14:textId="09BC816F" w:rsidR="005A472F" w:rsidRPr="00FD7B0B" w:rsidRDefault="0082620B" w:rsidP="0082620B">
      <w:pPr>
        <w:pStyle w:val="ad"/>
        <w:tabs>
          <w:tab w:val="left" w:pos="6753"/>
        </w:tabs>
        <w:ind w:firstLine="709"/>
        <w:jc w:val="both"/>
        <w:rPr>
          <w:rFonts w:ascii="Times New Roman" w:hAnsi="Times New Roman"/>
          <w:sz w:val="28"/>
          <w:szCs w:val="28"/>
        </w:rPr>
      </w:pPr>
      <w:r w:rsidRPr="00FD7B0B">
        <w:rPr>
          <w:rFonts w:ascii="Times New Roman" w:hAnsi="Times New Roman"/>
          <w:sz w:val="28"/>
          <w:szCs w:val="28"/>
        </w:rPr>
        <w:tab/>
      </w:r>
    </w:p>
    <w:p w14:paraId="5620348D"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18</w:t>
      </w:r>
      <w:r w:rsidRPr="00FD7B0B">
        <w:rPr>
          <w:rFonts w:ascii="Times New Roman" w:hAnsi="Times New Roman"/>
          <w:b w:val="0"/>
          <w:sz w:val="24"/>
          <w:szCs w:val="24"/>
        </w:rPr>
        <w:fldChar w:fldCharType="end"/>
      </w:r>
      <w:r w:rsidRPr="00FD7B0B">
        <w:rPr>
          <w:rFonts w:ascii="Times New Roman" w:hAnsi="Times New Roman"/>
          <w:b w:val="0"/>
          <w:sz w:val="24"/>
          <w:szCs w:val="24"/>
        </w:rPr>
        <w:t>. Индексы потребительских цен на отдельные группы и виды непродовольственных товаров на конец периода, в процентах</w:t>
      </w:r>
    </w:p>
    <w:tbl>
      <w:tblPr>
        <w:tblW w:w="9754"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5529"/>
        <w:gridCol w:w="1397"/>
        <w:gridCol w:w="1390"/>
        <w:gridCol w:w="1438"/>
      </w:tblGrid>
      <w:tr w:rsidR="00FD7B0B" w:rsidRPr="00FD7B0B" w14:paraId="020853C5" w14:textId="77777777" w:rsidTr="00BE64F6">
        <w:trPr>
          <w:trHeight w:val="740"/>
          <w:tblHeader/>
        </w:trPr>
        <w:tc>
          <w:tcPr>
            <w:tcW w:w="5529" w:type="dxa"/>
            <w:shd w:val="clear" w:color="auto" w:fill="auto"/>
            <w:vAlign w:val="center"/>
            <w:hideMark/>
          </w:tcPr>
          <w:p w14:paraId="2C8CE31C"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Индексы потребительских цен </w:t>
            </w:r>
          </w:p>
          <w:p w14:paraId="33F17380"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 отдельные группы непродовольственных товаров</w:t>
            </w:r>
          </w:p>
        </w:tc>
        <w:tc>
          <w:tcPr>
            <w:tcW w:w="1397" w:type="dxa"/>
            <w:vAlign w:val="center"/>
          </w:tcPr>
          <w:p w14:paraId="50E8D688" w14:textId="152A7C0D"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w:t>
            </w:r>
            <w:r w:rsidR="0013649F" w:rsidRPr="00FD7B0B">
              <w:rPr>
                <w:rFonts w:ascii="Times New Roman" w:eastAsia="Times New Roman" w:hAnsi="Times New Roman" w:cs="Times New Roman"/>
                <w:lang w:eastAsia="ru-RU"/>
              </w:rPr>
              <w:t>брь 2022 г. к декабрю 2021 г.</w:t>
            </w:r>
          </w:p>
        </w:tc>
        <w:tc>
          <w:tcPr>
            <w:tcW w:w="1390" w:type="dxa"/>
            <w:vAlign w:val="center"/>
          </w:tcPr>
          <w:p w14:paraId="0F7B01DE" w14:textId="1BC42245"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w:t>
            </w:r>
            <w:r w:rsidR="0013649F" w:rsidRPr="00FD7B0B">
              <w:rPr>
                <w:rFonts w:ascii="Times New Roman" w:eastAsia="Times New Roman" w:hAnsi="Times New Roman" w:cs="Times New Roman"/>
                <w:lang w:eastAsia="ru-RU"/>
              </w:rPr>
              <w:t>брь 2023 г. к декабрю 2022 г.</w:t>
            </w:r>
          </w:p>
        </w:tc>
        <w:tc>
          <w:tcPr>
            <w:tcW w:w="1438" w:type="dxa"/>
            <w:vAlign w:val="center"/>
          </w:tcPr>
          <w:p w14:paraId="7D0348AF" w14:textId="5A258B5A"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w:t>
            </w:r>
            <w:r w:rsidR="0013649F" w:rsidRPr="00FD7B0B">
              <w:rPr>
                <w:rFonts w:ascii="Times New Roman" w:eastAsia="Times New Roman" w:hAnsi="Times New Roman" w:cs="Times New Roman"/>
                <w:lang w:eastAsia="ru-RU"/>
              </w:rPr>
              <w:t>брь 2024 г. к декабрю 2023 г.</w:t>
            </w:r>
          </w:p>
        </w:tc>
      </w:tr>
      <w:tr w:rsidR="00FD7B0B" w:rsidRPr="00FD7B0B" w14:paraId="3EECBB3D" w14:textId="77777777" w:rsidTr="00BE64F6">
        <w:trPr>
          <w:trHeight w:hRule="exact" w:val="255"/>
        </w:trPr>
        <w:tc>
          <w:tcPr>
            <w:tcW w:w="5529" w:type="dxa"/>
            <w:shd w:val="clear" w:color="auto" w:fill="auto"/>
            <w:vAlign w:val="bottom"/>
            <w:hideMark/>
          </w:tcPr>
          <w:p w14:paraId="14825927"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Ткани</w:t>
            </w:r>
          </w:p>
        </w:tc>
        <w:tc>
          <w:tcPr>
            <w:tcW w:w="1397" w:type="dxa"/>
            <w:vAlign w:val="bottom"/>
          </w:tcPr>
          <w:p w14:paraId="67A2E39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104,6</w:t>
            </w:r>
          </w:p>
        </w:tc>
        <w:tc>
          <w:tcPr>
            <w:tcW w:w="1390" w:type="dxa"/>
            <w:vAlign w:val="bottom"/>
          </w:tcPr>
          <w:p w14:paraId="6F011D9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101,6</w:t>
            </w:r>
          </w:p>
        </w:tc>
        <w:tc>
          <w:tcPr>
            <w:tcW w:w="1438" w:type="dxa"/>
            <w:vAlign w:val="bottom"/>
          </w:tcPr>
          <w:p w14:paraId="18D8597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103,0</w:t>
            </w:r>
          </w:p>
        </w:tc>
      </w:tr>
      <w:tr w:rsidR="00FD7B0B" w:rsidRPr="00FD7B0B" w14:paraId="1FBBE89C" w14:textId="77777777" w:rsidTr="00BE64F6">
        <w:trPr>
          <w:trHeight w:hRule="exact" w:val="255"/>
        </w:trPr>
        <w:tc>
          <w:tcPr>
            <w:tcW w:w="5529" w:type="dxa"/>
            <w:shd w:val="clear" w:color="auto" w:fill="auto"/>
            <w:vAlign w:val="bottom"/>
            <w:hideMark/>
          </w:tcPr>
          <w:p w14:paraId="1AD7F5EB"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Одежда и белье</w:t>
            </w:r>
          </w:p>
        </w:tc>
        <w:tc>
          <w:tcPr>
            <w:tcW w:w="1397" w:type="dxa"/>
            <w:vAlign w:val="bottom"/>
          </w:tcPr>
          <w:p w14:paraId="6A01FB4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99,9</w:t>
            </w:r>
          </w:p>
        </w:tc>
        <w:tc>
          <w:tcPr>
            <w:tcW w:w="1390" w:type="dxa"/>
            <w:vAlign w:val="bottom"/>
          </w:tcPr>
          <w:p w14:paraId="6911DAD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102,6</w:t>
            </w:r>
          </w:p>
        </w:tc>
        <w:tc>
          <w:tcPr>
            <w:tcW w:w="1438" w:type="dxa"/>
            <w:vAlign w:val="bottom"/>
          </w:tcPr>
          <w:p w14:paraId="6D0624B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100,2</w:t>
            </w:r>
          </w:p>
        </w:tc>
      </w:tr>
      <w:tr w:rsidR="00FD7B0B" w:rsidRPr="00FD7B0B" w14:paraId="25B2C8FD" w14:textId="77777777" w:rsidTr="00BE64F6">
        <w:trPr>
          <w:trHeight w:hRule="exact" w:val="255"/>
        </w:trPr>
        <w:tc>
          <w:tcPr>
            <w:tcW w:w="5529" w:type="dxa"/>
            <w:shd w:val="clear" w:color="auto" w:fill="auto"/>
            <w:vAlign w:val="bottom"/>
            <w:hideMark/>
          </w:tcPr>
          <w:p w14:paraId="06D77806"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Трикотажные изделия</w:t>
            </w:r>
          </w:p>
        </w:tc>
        <w:tc>
          <w:tcPr>
            <w:tcW w:w="1397" w:type="dxa"/>
            <w:vAlign w:val="bottom"/>
          </w:tcPr>
          <w:p w14:paraId="13243F5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98,7</w:t>
            </w:r>
          </w:p>
        </w:tc>
        <w:tc>
          <w:tcPr>
            <w:tcW w:w="1390" w:type="dxa"/>
            <w:vAlign w:val="bottom"/>
          </w:tcPr>
          <w:p w14:paraId="709FD40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101,7</w:t>
            </w:r>
          </w:p>
        </w:tc>
        <w:tc>
          <w:tcPr>
            <w:tcW w:w="1438" w:type="dxa"/>
            <w:vAlign w:val="bottom"/>
          </w:tcPr>
          <w:p w14:paraId="3E9643C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101,5</w:t>
            </w:r>
          </w:p>
        </w:tc>
      </w:tr>
      <w:tr w:rsidR="00FD7B0B" w:rsidRPr="00FD7B0B" w14:paraId="07840416" w14:textId="77777777" w:rsidTr="00BE64F6">
        <w:trPr>
          <w:trHeight w:hRule="exact" w:val="255"/>
        </w:trPr>
        <w:tc>
          <w:tcPr>
            <w:tcW w:w="5529" w:type="dxa"/>
            <w:shd w:val="clear" w:color="auto" w:fill="auto"/>
            <w:vAlign w:val="bottom"/>
            <w:hideMark/>
          </w:tcPr>
          <w:p w14:paraId="56D56561"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Обувь</w:t>
            </w:r>
          </w:p>
        </w:tc>
        <w:tc>
          <w:tcPr>
            <w:tcW w:w="1397" w:type="dxa"/>
            <w:vAlign w:val="bottom"/>
          </w:tcPr>
          <w:p w14:paraId="539F216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105,0</w:t>
            </w:r>
          </w:p>
        </w:tc>
        <w:tc>
          <w:tcPr>
            <w:tcW w:w="1390" w:type="dxa"/>
            <w:vAlign w:val="bottom"/>
          </w:tcPr>
          <w:p w14:paraId="1AD1BDE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99,5</w:t>
            </w:r>
          </w:p>
        </w:tc>
        <w:tc>
          <w:tcPr>
            <w:tcW w:w="1438" w:type="dxa"/>
            <w:vAlign w:val="bottom"/>
          </w:tcPr>
          <w:p w14:paraId="7B6FB51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100,3</w:t>
            </w:r>
          </w:p>
        </w:tc>
      </w:tr>
      <w:tr w:rsidR="00FD7B0B" w:rsidRPr="00FD7B0B" w14:paraId="7F618F88" w14:textId="77777777" w:rsidTr="00BE64F6">
        <w:trPr>
          <w:trHeight w:hRule="exact" w:val="255"/>
        </w:trPr>
        <w:tc>
          <w:tcPr>
            <w:tcW w:w="5529" w:type="dxa"/>
            <w:shd w:val="clear" w:color="auto" w:fill="auto"/>
            <w:vAlign w:val="bottom"/>
            <w:hideMark/>
          </w:tcPr>
          <w:p w14:paraId="6E9D7EDB"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Моющие и чистящие средства</w:t>
            </w:r>
          </w:p>
        </w:tc>
        <w:tc>
          <w:tcPr>
            <w:tcW w:w="1397" w:type="dxa"/>
            <w:vAlign w:val="bottom"/>
          </w:tcPr>
          <w:p w14:paraId="2B18809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123,1</w:t>
            </w:r>
          </w:p>
        </w:tc>
        <w:tc>
          <w:tcPr>
            <w:tcW w:w="1390" w:type="dxa"/>
            <w:vAlign w:val="bottom"/>
          </w:tcPr>
          <w:p w14:paraId="660AAD9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96,7</w:t>
            </w:r>
          </w:p>
        </w:tc>
        <w:tc>
          <w:tcPr>
            <w:tcW w:w="1438" w:type="dxa"/>
            <w:vAlign w:val="bottom"/>
          </w:tcPr>
          <w:p w14:paraId="42B39B8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98,6</w:t>
            </w:r>
          </w:p>
        </w:tc>
      </w:tr>
      <w:tr w:rsidR="00FD7B0B" w:rsidRPr="00FD7B0B" w14:paraId="5657B861" w14:textId="77777777" w:rsidTr="00BE64F6">
        <w:trPr>
          <w:trHeight w:hRule="exact" w:val="255"/>
        </w:trPr>
        <w:tc>
          <w:tcPr>
            <w:tcW w:w="5529" w:type="dxa"/>
            <w:shd w:val="clear" w:color="auto" w:fill="auto"/>
            <w:vAlign w:val="bottom"/>
            <w:hideMark/>
          </w:tcPr>
          <w:p w14:paraId="5CCC5548"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Табачные изделия</w:t>
            </w:r>
          </w:p>
        </w:tc>
        <w:tc>
          <w:tcPr>
            <w:tcW w:w="1397" w:type="dxa"/>
            <w:vAlign w:val="bottom"/>
          </w:tcPr>
          <w:p w14:paraId="25F0952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110,9</w:t>
            </w:r>
          </w:p>
        </w:tc>
        <w:tc>
          <w:tcPr>
            <w:tcW w:w="1390" w:type="dxa"/>
            <w:vAlign w:val="bottom"/>
          </w:tcPr>
          <w:p w14:paraId="1997E06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108,6</w:t>
            </w:r>
          </w:p>
        </w:tc>
        <w:tc>
          <w:tcPr>
            <w:tcW w:w="1438" w:type="dxa"/>
            <w:vAlign w:val="bottom"/>
          </w:tcPr>
          <w:p w14:paraId="7287947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106,9</w:t>
            </w:r>
          </w:p>
        </w:tc>
      </w:tr>
      <w:tr w:rsidR="00FD7B0B" w:rsidRPr="00FD7B0B" w14:paraId="431B490F" w14:textId="77777777" w:rsidTr="00BE64F6">
        <w:trPr>
          <w:trHeight w:val="165"/>
        </w:trPr>
        <w:tc>
          <w:tcPr>
            <w:tcW w:w="5529" w:type="dxa"/>
            <w:shd w:val="clear" w:color="auto" w:fill="auto"/>
            <w:vAlign w:val="bottom"/>
            <w:hideMark/>
          </w:tcPr>
          <w:p w14:paraId="7E493395"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Электротовары и другие бытовые приборы</w:t>
            </w:r>
          </w:p>
        </w:tc>
        <w:tc>
          <w:tcPr>
            <w:tcW w:w="1397" w:type="dxa"/>
            <w:vAlign w:val="bottom"/>
          </w:tcPr>
          <w:p w14:paraId="594CCCD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114,2</w:t>
            </w:r>
          </w:p>
        </w:tc>
        <w:tc>
          <w:tcPr>
            <w:tcW w:w="1390" w:type="dxa"/>
            <w:vAlign w:val="bottom"/>
          </w:tcPr>
          <w:p w14:paraId="725C56A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94,1</w:t>
            </w:r>
          </w:p>
        </w:tc>
        <w:tc>
          <w:tcPr>
            <w:tcW w:w="1438" w:type="dxa"/>
            <w:vAlign w:val="bottom"/>
          </w:tcPr>
          <w:p w14:paraId="5B756E7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103,9</w:t>
            </w:r>
          </w:p>
        </w:tc>
      </w:tr>
      <w:tr w:rsidR="00FD7B0B" w:rsidRPr="00FD7B0B" w14:paraId="44E00D8F" w14:textId="77777777" w:rsidTr="00BE64F6">
        <w:trPr>
          <w:trHeight w:hRule="exact" w:val="255"/>
        </w:trPr>
        <w:tc>
          <w:tcPr>
            <w:tcW w:w="5529" w:type="dxa"/>
            <w:shd w:val="clear" w:color="auto" w:fill="auto"/>
            <w:vAlign w:val="bottom"/>
            <w:hideMark/>
          </w:tcPr>
          <w:p w14:paraId="08CE9407"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Телерадиотовары</w:t>
            </w:r>
          </w:p>
        </w:tc>
        <w:tc>
          <w:tcPr>
            <w:tcW w:w="1397" w:type="dxa"/>
            <w:vAlign w:val="bottom"/>
          </w:tcPr>
          <w:p w14:paraId="7811804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98,8</w:t>
            </w:r>
          </w:p>
        </w:tc>
        <w:tc>
          <w:tcPr>
            <w:tcW w:w="1390" w:type="dxa"/>
            <w:vAlign w:val="bottom"/>
          </w:tcPr>
          <w:p w14:paraId="5272CBF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85,4</w:t>
            </w:r>
          </w:p>
        </w:tc>
        <w:tc>
          <w:tcPr>
            <w:tcW w:w="1438" w:type="dxa"/>
            <w:vAlign w:val="bottom"/>
          </w:tcPr>
          <w:p w14:paraId="1907374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97,0</w:t>
            </w:r>
          </w:p>
        </w:tc>
      </w:tr>
      <w:tr w:rsidR="00FD7B0B" w:rsidRPr="00FD7B0B" w14:paraId="770B21AD" w14:textId="77777777" w:rsidTr="00BE64F6">
        <w:trPr>
          <w:trHeight w:hRule="exact" w:val="255"/>
        </w:trPr>
        <w:tc>
          <w:tcPr>
            <w:tcW w:w="5529" w:type="dxa"/>
            <w:shd w:val="clear" w:color="auto" w:fill="auto"/>
            <w:vAlign w:val="bottom"/>
            <w:hideMark/>
          </w:tcPr>
          <w:p w14:paraId="62750954"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Строительные материалы</w:t>
            </w:r>
          </w:p>
        </w:tc>
        <w:tc>
          <w:tcPr>
            <w:tcW w:w="1397" w:type="dxa"/>
            <w:vAlign w:val="bottom"/>
          </w:tcPr>
          <w:p w14:paraId="3EF3C85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99,2</w:t>
            </w:r>
          </w:p>
        </w:tc>
        <w:tc>
          <w:tcPr>
            <w:tcW w:w="1390" w:type="dxa"/>
            <w:vAlign w:val="bottom"/>
          </w:tcPr>
          <w:p w14:paraId="2958750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103,3</w:t>
            </w:r>
          </w:p>
        </w:tc>
        <w:tc>
          <w:tcPr>
            <w:tcW w:w="1438" w:type="dxa"/>
            <w:vAlign w:val="bottom"/>
          </w:tcPr>
          <w:p w14:paraId="418DC6A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107,1</w:t>
            </w:r>
          </w:p>
        </w:tc>
      </w:tr>
      <w:tr w:rsidR="00FD7B0B" w:rsidRPr="00FD7B0B" w14:paraId="4D7FF1A7" w14:textId="77777777" w:rsidTr="00BE64F6">
        <w:trPr>
          <w:trHeight w:hRule="exact" w:val="255"/>
        </w:trPr>
        <w:tc>
          <w:tcPr>
            <w:tcW w:w="5529" w:type="dxa"/>
            <w:shd w:val="clear" w:color="auto" w:fill="auto"/>
            <w:vAlign w:val="bottom"/>
            <w:hideMark/>
          </w:tcPr>
          <w:p w14:paraId="0117D35A"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Бензин автомобильный</w:t>
            </w:r>
          </w:p>
        </w:tc>
        <w:tc>
          <w:tcPr>
            <w:tcW w:w="1397" w:type="dxa"/>
            <w:vAlign w:val="bottom"/>
          </w:tcPr>
          <w:p w14:paraId="0A13CD9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101,4</w:t>
            </w:r>
          </w:p>
        </w:tc>
        <w:tc>
          <w:tcPr>
            <w:tcW w:w="1390" w:type="dxa"/>
            <w:vAlign w:val="bottom"/>
          </w:tcPr>
          <w:p w14:paraId="34C2953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105,5</w:t>
            </w:r>
          </w:p>
        </w:tc>
        <w:tc>
          <w:tcPr>
            <w:tcW w:w="1438" w:type="dxa"/>
            <w:vAlign w:val="bottom"/>
          </w:tcPr>
          <w:p w14:paraId="27E313E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110,8</w:t>
            </w:r>
          </w:p>
        </w:tc>
      </w:tr>
      <w:tr w:rsidR="00FD7B0B" w:rsidRPr="00FD7B0B" w14:paraId="0482B0CA" w14:textId="77777777" w:rsidTr="00BE64F6">
        <w:trPr>
          <w:trHeight w:hRule="exact" w:val="255"/>
        </w:trPr>
        <w:tc>
          <w:tcPr>
            <w:tcW w:w="5529" w:type="dxa"/>
            <w:shd w:val="clear" w:color="auto" w:fill="auto"/>
            <w:vAlign w:val="bottom"/>
            <w:hideMark/>
          </w:tcPr>
          <w:p w14:paraId="40667C9B"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Медикаменты</w:t>
            </w:r>
          </w:p>
        </w:tc>
        <w:tc>
          <w:tcPr>
            <w:tcW w:w="1397" w:type="dxa"/>
            <w:vAlign w:val="bottom"/>
          </w:tcPr>
          <w:p w14:paraId="36C71BE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111,2</w:t>
            </w:r>
          </w:p>
        </w:tc>
        <w:tc>
          <w:tcPr>
            <w:tcW w:w="1390" w:type="dxa"/>
            <w:vAlign w:val="bottom"/>
          </w:tcPr>
          <w:p w14:paraId="0F854AD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107,7</w:t>
            </w:r>
          </w:p>
        </w:tc>
        <w:tc>
          <w:tcPr>
            <w:tcW w:w="1438" w:type="dxa"/>
            <w:vAlign w:val="bottom"/>
          </w:tcPr>
          <w:p w14:paraId="079544F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108,9</w:t>
            </w:r>
          </w:p>
        </w:tc>
      </w:tr>
    </w:tbl>
    <w:p w14:paraId="24C4E3B1" w14:textId="77777777" w:rsidR="005A472F" w:rsidRPr="00FD7B0B" w:rsidRDefault="005A472F" w:rsidP="005A472F">
      <w:pPr>
        <w:pStyle w:val="ad"/>
        <w:ind w:firstLine="709"/>
        <w:jc w:val="both"/>
        <w:rPr>
          <w:rFonts w:ascii="Times New Roman" w:hAnsi="Times New Roman"/>
          <w:sz w:val="28"/>
          <w:szCs w:val="28"/>
        </w:rPr>
      </w:pPr>
    </w:p>
    <w:p w14:paraId="2363A473" w14:textId="77777777" w:rsidR="0082620B" w:rsidRPr="00FD7B0B" w:rsidRDefault="0082620B" w:rsidP="0082620B">
      <w:pPr>
        <w:pStyle w:val="ad"/>
        <w:ind w:firstLine="709"/>
        <w:jc w:val="both"/>
        <w:rPr>
          <w:rFonts w:ascii="Times New Roman" w:hAnsi="Times New Roman"/>
          <w:sz w:val="28"/>
          <w:szCs w:val="28"/>
        </w:rPr>
      </w:pPr>
      <w:r w:rsidRPr="00FD7B0B">
        <w:rPr>
          <w:rFonts w:ascii="Times New Roman" w:hAnsi="Times New Roman"/>
          <w:sz w:val="28"/>
          <w:szCs w:val="28"/>
        </w:rPr>
        <w:t>Лидеры по росту индексов потребительских цен на непродовольственные товары в отчетном году – табачные изделия, бензин автомобильный и медикаменты.</w:t>
      </w:r>
    </w:p>
    <w:p w14:paraId="63834327" w14:textId="4E2BD271" w:rsidR="005A472F" w:rsidRPr="00FD7B0B" w:rsidRDefault="0082620B" w:rsidP="005A472F">
      <w:pPr>
        <w:pStyle w:val="ad"/>
        <w:ind w:firstLine="709"/>
        <w:jc w:val="both"/>
        <w:rPr>
          <w:rFonts w:ascii="Times New Roman" w:hAnsi="Times New Roman"/>
          <w:sz w:val="28"/>
          <w:szCs w:val="28"/>
        </w:rPr>
      </w:pPr>
      <w:r w:rsidRPr="00FD7B0B">
        <w:rPr>
          <w:rFonts w:ascii="Times New Roman" w:hAnsi="Times New Roman"/>
          <w:sz w:val="28"/>
          <w:szCs w:val="28"/>
        </w:rPr>
        <w:t>Изменение</w:t>
      </w:r>
      <w:r w:rsidR="005A472F" w:rsidRPr="00FD7B0B">
        <w:rPr>
          <w:rFonts w:ascii="Times New Roman" w:hAnsi="Times New Roman"/>
          <w:sz w:val="28"/>
          <w:szCs w:val="28"/>
        </w:rPr>
        <w:t xml:space="preserve"> индексов потребительских цен на отдельные группы и виды услуг в отчетном году (декабрь к декабрю) представлен в таблице </w:t>
      </w:r>
      <w:r w:rsidR="003E66BF" w:rsidRPr="00FD7B0B">
        <w:rPr>
          <w:rFonts w:ascii="Times New Roman" w:hAnsi="Times New Roman"/>
          <w:sz w:val="28"/>
          <w:szCs w:val="28"/>
        </w:rPr>
        <w:t>19</w:t>
      </w:r>
      <w:r w:rsidR="005A472F" w:rsidRPr="00FD7B0B">
        <w:rPr>
          <w:rFonts w:ascii="Times New Roman" w:hAnsi="Times New Roman"/>
          <w:sz w:val="28"/>
          <w:szCs w:val="28"/>
        </w:rPr>
        <w:t>.</w:t>
      </w:r>
    </w:p>
    <w:p w14:paraId="3DB409E8" w14:textId="77777777" w:rsidR="005A472F" w:rsidRPr="00FD7B0B" w:rsidRDefault="005A472F" w:rsidP="005A472F">
      <w:pPr>
        <w:pStyle w:val="ad"/>
        <w:ind w:firstLine="851"/>
        <w:jc w:val="both"/>
        <w:rPr>
          <w:rFonts w:ascii="Times New Roman" w:hAnsi="Times New Roman"/>
        </w:rPr>
      </w:pPr>
    </w:p>
    <w:p w14:paraId="02351B36" w14:textId="77777777" w:rsidR="003E66BF" w:rsidRPr="00FD7B0B" w:rsidRDefault="003E66BF" w:rsidP="005A472F">
      <w:pPr>
        <w:pStyle w:val="aff0"/>
        <w:spacing w:after="0" w:line="240" w:lineRule="auto"/>
        <w:rPr>
          <w:rFonts w:ascii="Times New Roman" w:hAnsi="Times New Roman"/>
          <w:b w:val="0"/>
          <w:sz w:val="24"/>
          <w:szCs w:val="24"/>
        </w:rPr>
      </w:pPr>
    </w:p>
    <w:p w14:paraId="4A619825" w14:textId="77777777" w:rsidR="003E66BF" w:rsidRPr="00FD7B0B" w:rsidRDefault="003E66BF" w:rsidP="005A472F">
      <w:pPr>
        <w:pStyle w:val="aff0"/>
        <w:spacing w:after="0" w:line="240" w:lineRule="auto"/>
        <w:rPr>
          <w:rFonts w:ascii="Times New Roman" w:hAnsi="Times New Roman"/>
          <w:b w:val="0"/>
          <w:sz w:val="24"/>
          <w:szCs w:val="24"/>
        </w:rPr>
      </w:pPr>
    </w:p>
    <w:p w14:paraId="3EECE1D9"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w:t>
      </w:r>
      <w:r w:rsidRPr="00FD7B0B">
        <w:rPr>
          <w:rFonts w:ascii="Times New Roman" w:hAnsi="Times New Roman"/>
          <w:b w:val="0"/>
          <w:sz w:val="24"/>
          <w:szCs w:val="24"/>
        </w:rPr>
        <w:fldChar w:fldCharType="end"/>
      </w:r>
      <w:r w:rsidRPr="00FD7B0B">
        <w:rPr>
          <w:rFonts w:ascii="Times New Roman" w:hAnsi="Times New Roman"/>
          <w:b w:val="0"/>
          <w:sz w:val="24"/>
          <w:szCs w:val="24"/>
        </w:rPr>
        <w:t>. Индексы потребительских цен на отдельные группы и виды услуг в отчетном году на конец периода, в процентах</w:t>
      </w:r>
    </w:p>
    <w:tbl>
      <w:tblPr>
        <w:tblW w:w="9667"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5529"/>
        <w:gridCol w:w="1385"/>
        <w:gridCol w:w="1336"/>
        <w:gridCol w:w="1417"/>
      </w:tblGrid>
      <w:tr w:rsidR="00FD7B0B" w:rsidRPr="00FD7B0B" w14:paraId="04BC8B4C" w14:textId="77777777" w:rsidTr="0013649F">
        <w:trPr>
          <w:trHeight w:val="693"/>
          <w:tblHeader/>
        </w:trPr>
        <w:tc>
          <w:tcPr>
            <w:tcW w:w="5529" w:type="dxa"/>
            <w:shd w:val="clear" w:color="auto" w:fill="auto"/>
            <w:vAlign w:val="center"/>
            <w:hideMark/>
          </w:tcPr>
          <w:p w14:paraId="20A11022"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Индексы потребительских цен на отдельные группы и виды услуг</w:t>
            </w:r>
          </w:p>
        </w:tc>
        <w:tc>
          <w:tcPr>
            <w:tcW w:w="1385" w:type="dxa"/>
            <w:vAlign w:val="center"/>
          </w:tcPr>
          <w:p w14:paraId="5DF4BB12" w14:textId="47BB86BD"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w:t>
            </w:r>
            <w:r w:rsidR="00752366" w:rsidRPr="00FD7B0B">
              <w:rPr>
                <w:rFonts w:ascii="Times New Roman" w:eastAsia="Times New Roman" w:hAnsi="Times New Roman" w:cs="Times New Roman"/>
                <w:lang w:eastAsia="ru-RU"/>
              </w:rPr>
              <w:t>брь 2022 г. к декабрю 2021 г.</w:t>
            </w:r>
          </w:p>
        </w:tc>
        <w:tc>
          <w:tcPr>
            <w:tcW w:w="1336" w:type="dxa"/>
            <w:vAlign w:val="center"/>
          </w:tcPr>
          <w:p w14:paraId="10B98FC3" w14:textId="55D53A81"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w:t>
            </w:r>
            <w:r w:rsidR="00752366" w:rsidRPr="00FD7B0B">
              <w:rPr>
                <w:rFonts w:ascii="Times New Roman" w:eastAsia="Times New Roman" w:hAnsi="Times New Roman" w:cs="Times New Roman"/>
                <w:lang w:eastAsia="ru-RU"/>
              </w:rPr>
              <w:t>брь 2023 г. к декабрю 2022 г.</w:t>
            </w:r>
          </w:p>
        </w:tc>
        <w:tc>
          <w:tcPr>
            <w:tcW w:w="1417" w:type="dxa"/>
            <w:vAlign w:val="center"/>
          </w:tcPr>
          <w:p w14:paraId="39CCE6BC" w14:textId="54CEE397" w:rsidR="005A472F" w:rsidRPr="00FD7B0B" w:rsidRDefault="005A472F" w:rsidP="00BE64F6">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w:t>
            </w:r>
            <w:r w:rsidR="00752366" w:rsidRPr="00FD7B0B">
              <w:rPr>
                <w:rFonts w:ascii="Times New Roman" w:eastAsia="Times New Roman" w:hAnsi="Times New Roman" w:cs="Times New Roman"/>
                <w:lang w:eastAsia="ru-RU"/>
              </w:rPr>
              <w:t>брь 2024 г. к декабрю 2023 г.</w:t>
            </w:r>
          </w:p>
        </w:tc>
      </w:tr>
      <w:tr w:rsidR="00FD7B0B" w:rsidRPr="00FD7B0B" w14:paraId="7061F685" w14:textId="77777777" w:rsidTr="00BE64F6">
        <w:trPr>
          <w:trHeight w:hRule="exact" w:val="526"/>
        </w:trPr>
        <w:tc>
          <w:tcPr>
            <w:tcW w:w="5529" w:type="dxa"/>
            <w:shd w:val="clear" w:color="auto" w:fill="auto"/>
            <w:vAlign w:val="bottom"/>
            <w:hideMark/>
          </w:tcPr>
          <w:p w14:paraId="5038A3A5"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Жилищно-коммунальные услуги (включая аренду квартир)</w:t>
            </w:r>
          </w:p>
        </w:tc>
        <w:tc>
          <w:tcPr>
            <w:tcW w:w="1385" w:type="dxa"/>
            <w:shd w:val="clear" w:color="auto" w:fill="auto"/>
            <w:vAlign w:val="bottom"/>
          </w:tcPr>
          <w:p w14:paraId="27EAE44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108,5</w:t>
            </w:r>
          </w:p>
        </w:tc>
        <w:tc>
          <w:tcPr>
            <w:tcW w:w="1336" w:type="dxa"/>
            <w:vAlign w:val="bottom"/>
          </w:tcPr>
          <w:p w14:paraId="7943805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101,8</w:t>
            </w:r>
          </w:p>
        </w:tc>
        <w:tc>
          <w:tcPr>
            <w:tcW w:w="1417" w:type="dxa"/>
            <w:vAlign w:val="bottom"/>
          </w:tcPr>
          <w:p w14:paraId="2DA00EB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108,4</w:t>
            </w:r>
          </w:p>
        </w:tc>
      </w:tr>
      <w:tr w:rsidR="00FD7B0B" w:rsidRPr="00FD7B0B" w14:paraId="6D65CC22" w14:textId="77777777" w:rsidTr="00BE64F6">
        <w:trPr>
          <w:trHeight w:hRule="exact" w:val="255"/>
        </w:trPr>
        <w:tc>
          <w:tcPr>
            <w:tcW w:w="5529" w:type="dxa"/>
            <w:shd w:val="clear" w:color="auto" w:fill="auto"/>
            <w:vAlign w:val="bottom"/>
            <w:hideMark/>
          </w:tcPr>
          <w:p w14:paraId="793B3D4E"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жилищные услуги</w:t>
            </w:r>
          </w:p>
        </w:tc>
        <w:tc>
          <w:tcPr>
            <w:tcW w:w="1385" w:type="dxa"/>
            <w:shd w:val="clear" w:color="auto" w:fill="auto"/>
            <w:vAlign w:val="bottom"/>
          </w:tcPr>
          <w:p w14:paraId="70ABD63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103,9</w:t>
            </w:r>
          </w:p>
        </w:tc>
        <w:tc>
          <w:tcPr>
            <w:tcW w:w="1336" w:type="dxa"/>
            <w:vAlign w:val="bottom"/>
          </w:tcPr>
          <w:p w14:paraId="0B46DA9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106,1</w:t>
            </w:r>
          </w:p>
        </w:tc>
        <w:tc>
          <w:tcPr>
            <w:tcW w:w="1417" w:type="dxa"/>
            <w:vAlign w:val="bottom"/>
          </w:tcPr>
          <w:p w14:paraId="383BE8F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107,0</w:t>
            </w:r>
          </w:p>
        </w:tc>
      </w:tr>
      <w:tr w:rsidR="00FD7B0B" w:rsidRPr="00FD7B0B" w14:paraId="2864AC48" w14:textId="77777777" w:rsidTr="00BE64F6">
        <w:trPr>
          <w:trHeight w:hRule="exact" w:val="255"/>
        </w:trPr>
        <w:tc>
          <w:tcPr>
            <w:tcW w:w="5529" w:type="dxa"/>
            <w:shd w:val="clear" w:color="auto" w:fill="auto"/>
            <w:vAlign w:val="bottom"/>
            <w:hideMark/>
          </w:tcPr>
          <w:p w14:paraId="75552437" w14:textId="77777777" w:rsidR="005A472F" w:rsidRPr="00FD7B0B" w:rsidRDefault="005A472F" w:rsidP="00BE64F6">
            <w:pPr>
              <w:spacing w:after="0" w:line="240" w:lineRule="auto"/>
              <w:ind w:firstLineChars="100" w:firstLine="220"/>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коммунальные услуги </w:t>
            </w:r>
          </w:p>
        </w:tc>
        <w:tc>
          <w:tcPr>
            <w:tcW w:w="1385" w:type="dxa"/>
            <w:shd w:val="clear" w:color="auto" w:fill="auto"/>
            <w:vAlign w:val="bottom"/>
          </w:tcPr>
          <w:p w14:paraId="5E5B598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110,7</w:t>
            </w:r>
          </w:p>
        </w:tc>
        <w:tc>
          <w:tcPr>
            <w:tcW w:w="1336" w:type="dxa"/>
            <w:vAlign w:val="bottom"/>
          </w:tcPr>
          <w:p w14:paraId="71865A2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1417" w:type="dxa"/>
            <w:vAlign w:val="bottom"/>
          </w:tcPr>
          <w:p w14:paraId="4A3D2FE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109,0</w:t>
            </w:r>
          </w:p>
        </w:tc>
      </w:tr>
      <w:tr w:rsidR="00FD7B0B" w:rsidRPr="00FD7B0B" w14:paraId="34C7C118" w14:textId="77777777" w:rsidTr="00BE64F6">
        <w:trPr>
          <w:trHeight w:hRule="exact" w:val="255"/>
        </w:trPr>
        <w:tc>
          <w:tcPr>
            <w:tcW w:w="5529" w:type="dxa"/>
            <w:shd w:val="clear" w:color="auto" w:fill="auto"/>
            <w:vAlign w:val="bottom"/>
            <w:hideMark/>
          </w:tcPr>
          <w:p w14:paraId="3932126F"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Медицинские услуги </w:t>
            </w:r>
          </w:p>
        </w:tc>
        <w:tc>
          <w:tcPr>
            <w:tcW w:w="1385" w:type="dxa"/>
            <w:shd w:val="clear" w:color="auto" w:fill="auto"/>
            <w:vAlign w:val="bottom"/>
          </w:tcPr>
          <w:p w14:paraId="50FA02B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112,6</w:t>
            </w:r>
          </w:p>
        </w:tc>
        <w:tc>
          <w:tcPr>
            <w:tcW w:w="1336" w:type="dxa"/>
            <w:vAlign w:val="bottom"/>
          </w:tcPr>
          <w:p w14:paraId="224710E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110,6</w:t>
            </w:r>
          </w:p>
        </w:tc>
        <w:tc>
          <w:tcPr>
            <w:tcW w:w="1417" w:type="dxa"/>
            <w:vAlign w:val="bottom"/>
          </w:tcPr>
          <w:p w14:paraId="1B5F5EE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115,5</w:t>
            </w:r>
          </w:p>
        </w:tc>
      </w:tr>
      <w:tr w:rsidR="00FD7B0B" w:rsidRPr="00FD7B0B" w14:paraId="2A64CA24" w14:textId="77777777" w:rsidTr="00BE64F6">
        <w:trPr>
          <w:trHeight w:hRule="exact" w:val="255"/>
        </w:trPr>
        <w:tc>
          <w:tcPr>
            <w:tcW w:w="5529" w:type="dxa"/>
            <w:shd w:val="clear" w:color="auto" w:fill="auto"/>
            <w:vAlign w:val="bottom"/>
            <w:hideMark/>
          </w:tcPr>
          <w:p w14:paraId="6E478A03"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Услуги пассажирского транспорта </w:t>
            </w:r>
          </w:p>
        </w:tc>
        <w:tc>
          <w:tcPr>
            <w:tcW w:w="1385" w:type="dxa"/>
            <w:shd w:val="clear" w:color="auto" w:fill="auto"/>
            <w:vAlign w:val="bottom"/>
          </w:tcPr>
          <w:p w14:paraId="49867C3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100,8</w:t>
            </w:r>
          </w:p>
        </w:tc>
        <w:tc>
          <w:tcPr>
            <w:tcW w:w="1336" w:type="dxa"/>
            <w:vAlign w:val="bottom"/>
          </w:tcPr>
          <w:p w14:paraId="47573B3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112,7</w:t>
            </w:r>
          </w:p>
        </w:tc>
        <w:tc>
          <w:tcPr>
            <w:tcW w:w="1417" w:type="dxa"/>
            <w:vAlign w:val="bottom"/>
          </w:tcPr>
          <w:p w14:paraId="7888926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108,5</w:t>
            </w:r>
          </w:p>
        </w:tc>
      </w:tr>
      <w:tr w:rsidR="00FD7B0B" w:rsidRPr="00FD7B0B" w14:paraId="5AC911B0" w14:textId="77777777" w:rsidTr="00BE64F6">
        <w:trPr>
          <w:trHeight w:hRule="exact" w:val="255"/>
        </w:trPr>
        <w:tc>
          <w:tcPr>
            <w:tcW w:w="5529" w:type="dxa"/>
            <w:shd w:val="clear" w:color="auto" w:fill="auto"/>
            <w:vAlign w:val="bottom"/>
            <w:hideMark/>
          </w:tcPr>
          <w:p w14:paraId="77AB8963"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Услуги почтовой связи </w:t>
            </w:r>
          </w:p>
        </w:tc>
        <w:tc>
          <w:tcPr>
            <w:tcW w:w="1385" w:type="dxa"/>
            <w:shd w:val="clear" w:color="auto" w:fill="auto"/>
            <w:vAlign w:val="bottom"/>
          </w:tcPr>
          <w:p w14:paraId="0AC291A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110,0</w:t>
            </w:r>
          </w:p>
        </w:tc>
        <w:tc>
          <w:tcPr>
            <w:tcW w:w="1336" w:type="dxa"/>
            <w:vAlign w:val="bottom"/>
          </w:tcPr>
          <w:p w14:paraId="655A82B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105,6</w:t>
            </w:r>
          </w:p>
        </w:tc>
        <w:tc>
          <w:tcPr>
            <w:tcW w:w="1417" w:type="dxa"/>
            <w:vAlign w:val="bottom"/>
          </w:tcPr>
          <w:p w14:paraId="5C55988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112,6</w:t>
            </w:r>
          </w:p>
        </w:tc>
      </w:tr>
      <w:tr w:rsidR="00FD7B0B" w:rsidRPr="00FD7B0B" w14:paraId="647E0C08" w14:textId="77777777" w:rsidTr="00BE64F6">
        <w:trPr>
          <w:trHeight w:hRule="exact" w:val="255"/>
        </w:trPr>
        <w:tc>
          <w:tcPr>
            <w:tcW w:w="5529" w:type="dxa"/>
            <w:shd w:val="clear" w:color="auto" w:fill="auto"/>
            <w:vAlign w:val="bottom"/>
            <w:hideMark/>
          </w:tcPr>
          <w:p w14:paraId="6EB871F0"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Услуги организаций культуры </w:t>
            </w:r>
          </w:p>
        </w:tc>
        <w:tc>
          <w:tcPr>
            <w:tcW w:w="1385" w:type="dxa"/>
            <w:shd w:val="clear" w:color="auto" w:fill="auto"/>
            <w:vAlign w:val="bottom"/>
          </w:tcPr>
          <w:p w14:paraId="34F7FEB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99,6</w:t>
            </w:r>
          </w:p>
        </w:tc>
        <w:tc>
          <w:tcPr>
            <w:tcW w:w="1336" w:type="dxa"/>
            <w:vAlign w:val="bottom"/>
          </w:tcPr>
          <w:p w14:paraId="28F2CBE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116,3</w:t>
            </w:r>
          </w:p>
        </w:tc>
        <w:tc>
          <w:tcPr>
            <w:tcW w:w="1417" w:type="dxa"/>
            <w:vAlign w:val="bottom"/>
          </w:tcPr>
          <w:p w14:paraId="0585439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116,4</w:t>
            </w:r>
          </w:p>
        </w:tc>
      </w:tr>
      <w:tr w:rsidR="00FD7B0B" w:rsidRPr="00FD7B0B" w14:paraId="33FF1B58" w14:textId="77777777" w:rsidTr="00BE64F6">
        <w:trPr>
          <w:trHeight w:hRule="exact" w:val="255"/>
        </w:trPr>
        <w:tc>
          <w:tcPr>
            <w:tcW w:w="5529" w:type="dxa"/>
            <w:shd w:val="clear" w:color="auto" w:fill="auto"/>
            <w:vAlign w:val="bottom"/>
            <w:hideMark/>
          </w:tcPr>
          <w:p w14:paraId="52A0807F"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Санаторно-оздоровительные услуги </w:t>
            </w:r>
          </w:p>
        </w:tc>
        <w:tc>
          <w:tcPr>
            <w:tcW w:w="1385" w:type="dxa"/>
            <w:shd w:val="clear" w:color="auto" w:fill="auto"/>
            <w:vAlign w:val="bottom"/>
          </w:tcPr>
          <w:p w14:paraId="726E700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120,6</w:t>
            </w:r>
          </w:p>
        </w:tc>
        <w:tc>
          <w:tcPr>
            <w:tcW w:w="1336" w:type="dxa"/>
            <w:vAlign w:val="bottom"/>
          </w:tcPr>
          <w:p w14:paraId="11CDED2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109,5</w:t>
            </w:r>
          </w:p>
        </w:tc>
        <w:tc>
          <w:tcPr>
            <w:tcW w:w="1417" w:type="dxa"/>
            <w:vAlign w:val="bottom"/>
          </w:tcPr>
          <w:p w14:paraId="2410CFC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114,6</w:t>
            </w:r>
          </w:p>
        </w:tc>
      </w:tr>
      <w:tr w:rsidR="00FD7B0B" w:rsidRPr="00FD7B0B" w14:paraId="386D94F4" w14:textId="77777777" w:rsidTr="00BE64F6">
        <w:trPr>
          <w:trHeight w:hRule="exact" w:val="255"/>
        </w:trPr>
        <w:tc>
          <w:tcPr>
            <w:tcW w:w="5529" w:type="dxa"/>
            <w:shd w:val="clear" w:color="auto" w:fill="auto"/>
            <w:vAlign w:val="bottom"/>
            <w:hideMark/>
          </w:tcPr>
          <w:p w14:paraId="5CC8DEF3"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Услуги дошкольного воспитания </w:t>
            </w:r>
          </w:p>
        </w:tc>
        <w:tc>
          <w:tcPr>
            <w:tcW w:w="1385" w:type="dxa"/>
            <w:shd w:val="clear" w:color="auto" w:fill="auto"/>
            <w:vAlign w:val="bottom"/>
          </w:tcPr>
          <w:p w14:paraId="211E044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108,1</w:t>
            </w:r>
          </w:p>
        </w:tc>
        <w:tc>
          <w:tcPr>
            <w:tcW w:w="1336" w:type="dxa"/>
            <w:vAlign w:val="bottom"/>
          </w:tcPr>
          <w:p w14:paraId="1796857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106,9</w:t>
            </w:r>
          </w:p>
        </w:tc>
        <w:tc>
          <w:tcPr>
            <w:tcW w:w="1417" w:type="dxa"/>
            <w:vAlign w:val="bottom"/>
          </w:tcPr>
          <w:p w14:paraId="0489E04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112,0</w:t>
            </w:r>
          </w:p>
        </w:tc>
      </w:tr>
      <w:tr w:rsidR="00FD7B0B" w:rsidRPr="00FD7B0B" w14:paraId="3C7D587A" w14:textId="77777777" w:rsidTr="00BE64F6">
        <w:trPr>
          <w:trHeight w:hRule="exact" w:val="255"/>
        </w:trPr>
        <w:tc>
          <w:tcPr>
            <w:tcW w:w="5529" w:type="dxa"/>
            <w:shd w:val="clear" w:color="auto" w:fill="auto"/>
            <w:vAlign w:val="bottom"/>
            <w:hideMark/>
          </w:tcPr>
          <w:p w14:paraId="5EF81EF8"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Услуги образования </w:t>
            </w:r>
          </w:p>
        </w:tc>
        <w:tc>
          <w:tcPr>
            <w:tcW w:w="1385" w:type="dxa"/>
            <w:shd w:val="clear" w:color="auto" w:fill="auto"/>
            <w:vAlign w:val="bottom"/>
          </w:tcPr>
          <w:p w14:paraId="6FC8F12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112,1</w:t>
            </w:r>
          </w:p>
        </w:tc>
        <w:tc>
          <w:tcPr>
            <w:tcW w:w="1336" w:type="dxa"/>
            <w:vAlign w:val="bottom"/>
          </w:tcPr>
          <w:p w14:paraId="0AD73B1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108,7</w:t>
            </w:r>
          </w:p>
        </w:tc>
        <w:tc>
          <w:tcPr>
            <w:tcW w:w="1417" w:type="dxa"/>
            <w:vAlign w:val="bottom"/>
          </w:tcPr>
          <w:p w14:paraId="7E02622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106,6</w:t>
            </w:r>
          </w:p>
        </w:tc>
      </w:tr>
      <w:tr w:rsidR="00FD7B0B" w:rsidRPr="00FD7B0B" w14:paraId="2C1FE75F" w14:textId="77777777" w:rsidTr="00BE64F6">
        <w:trPr>
          <w:trHeight w:hRule="exact" w:val="255"/>
        </w:trPr>
        <w:tc>
          <w:tcPr>
            <w:tcW w:w="5529" w:type="dxa"/>
            <w:shd w:val="clear" w:color="auto" w:fill="auto"/>
            <w:vAlign w:val="bottom"/>
            <w:hideMark/>
          </w:tcPr>
          <w:p w14:paraId="2FB80B2D"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Бытовые услуги </w:t>
            </w:r>
          </w:p>
        </w:tc>
        <w:tc>
          <w:tcPr>
            <w:tcW w:w="1385" w:type="dxa"/>
            <w:shd w:val="clear" w:color="auto" w:fill="auto"/>
            <w:vAlign w:val="bottom"/>
          </w:tcPr>
          <w:p w14:paraId="4291826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107,8</w:t>
            </w:r>
          </w:p>
        </w:tc>
        <w:tc>
          <w:tcPr>
            <w:tcW w:w="1336" w:type="dxa"/>
            <w:vAlign w:val="bottom"/>
          </w:tcPr>
          <w:p w14:paraId="6345A1E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108,8</w:t>
            </w:r>
          </w:p>
        </w:tc>
        <w:tc>
          <w:tcPr>
            <w:tcW w:w="1417" w:type="dxa"/>
            <w:vAlign w:val="bottom"/>
          </w:tcPr>
          <w:p w14:paraId="01621DD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109,3</w:t>
            </w:r>
          </w:p>
        </w:tc>
      </w:tr>
      <w:tr w:rsidR="00FD7B0B" w:rsidRPr="00FD7B0B" w14:paraId="17BBFFB0" w14:textId="77777777" w:rsidTr="00BE64F6">
        <w:trPr>
          <w:trHeight w:hRule="exact" w:val="255"/>
        </w:trPr>
        <w:tc>
          <w:tcPr>
            <w:tcW w:w="5529" w:type="dxa"/>
            <w:shd w:val="clear" w:color="auto" w:fill="auto"/>
            <w:vAlign w:val="bottom"/>
            <w:hideMark/>
          </w:tcPr>
          <w:p w14:paraId="5EFC03AC"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Услуги в сфере зарубежного туризма </w:t>
            </w:r>
          </w:p>
        </w:tc>
        <w:tc>
          <w:tcPr>
            <w:tcW w:w="1385" w:type="dxa"/>
            <w:shd w:val="clear" w:color="auto" w:fill="auto"/>
            <w:vAlign w:val="bottom"/>
          </w:tcPr>
          <w:p w14:paraId="0525D2D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165,4</w:t>
            </w:r>
          </w:p>
        </w:tc>
        <w:tc>
          <w:tcPr>
            <w:tcW w:w="1336" w:type="dxa"/>
            <w:vAlign w:val="bottom"/>
          </w:tcPr>
          <w:p w14:paraId="17171D5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113,1</w:t>
            </w:r>
          </w:p>
        </w:tc>
        <w:tc>
          <w:tcPr>
            <w:tcW w:w="1417" w:type="dxa"/>
            <w:vAlign w:val="bottom"/>
          </w:tcPr>
          <w:p w14:paraId="6CCD36C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113,3</w:t>
            </w:r>
          </w:p>
        </w:tc>
      </w:tr>
      <w:tr w:rsidR="00FD7B0B" w:rsidRPr="00FD7B0B" w14:paraId="32745F66" w14:textId="77777777" w:rsidTr="00BE64F6">
        <w:trPr>
          <w:trHeight w:hRule="exact" w:val="255"/>
        </w:trPr>
        <w:tc>
          <w:tcPr>
            <w:tcW w:w="5529" w:type="dxa"/>
            <w:shd w:val="clear" w:color="auto" w:fill="auto"/>
            <w:vAlign w:val="bottom"/>
            <w:hideMark/>
          </w:tcPr>
          <w:p w14:paraId="224CB2D2"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Услуги физической культуры и спорта </w:t>
            </w:r>
          </w:p>
        </w:tc>
        <w:tc>
          <w:tcPr>
            <w:tcW w:w="1385" w:type="dxa"/>
            <w:shd w:val="clear" w:color="auto" w:fill="auto"/>
            <w:vAlign w:val="bottom"/>
          </w:tcPr>
          <w:p w14:paraId="7374D86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98,9</w:t>
            </w:r>
          </w:p>
        </w:tc>
        <w:tc>
          <w:tcPr>
            <w:tcW w:w="1336" w:type="dxa"/>
            <w:vAlign w:val="bottom"/>
          </w:tcPr>
          <w:p w14:paraId="649E2D5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107,8</w:t>
            </w:r>
          </w:p>
        </w:tc>
        <w:tc>
          <w:tcPr>
            <w:tcW w:w="1417" w:type="dxa"/>
          </w:tcPr>
          <w:p w14:paraId="233E920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107,1</w:t>
            </w:r>
          </w:p>
        </w:tc>
      </w:tr>
      <w:tr w:rsidR="00FD7B0B" w:rsidRPr="00FD7B0B" w14:paraId="7BCEBFC4" w14:textId="77777777" w:rsidTr="00BE64F6">
        <w:trPr>
          <w:trHeight w:hRule="exact" w:val="255"/>
        </w:trPr>
        <w:tc>
          <w:tcPr>
            <w:tcW w:w="5529" w:type="dxa"/>
            <w:shd w:val="clear" w:color="auto" w:fill="auto"/>
            <w:vAlign w:val="bottom"/>
            <w:hideMark/>
          </w:tcPr>
          <w:p w14:paraId="357C8B85"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Услуги страхования</w:t>
            </w:r>
          </w:p>
        </w:tc>
        <w:tc>
          <w:tcPr>
            <w:tcW w:w="1385" w:type="dxa"/>
            <w:shd w:val="clear" w:color="auto" w:fill="auto"/>
            <w:vAlign w:val="bottom"/>
          </w:tcPr>
          <w:p w14:paraId="0601416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114,9</w:t>
            </w:r>
          </w:p>
        </w:tc>
        <w:tc>
          <w:tcPr>
            <w:tcW w:w="1336" w:type="dxa"/>
            <w:vAlign w:val="bottom"/>
          </w:tcPr>
          <w:p w14:paraId="7936452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100,6</w:t>
            </w:r>
          </w:p>
        </w:tc>
        <w:tc>
          <w:tcPr>
            <w:tcW w:w="1417" w:type="dxa"/>
          </w:tcPr>
          <w:p w14:paraId="320819B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102,0</w:t>
            </w:r>
          </w:p>
        </w:tc>
      </w:tr>
    </w:tbl>
    <w:p w14:paraId="459FB6F1" w14:textId="77777777" w:rsidR="005A472F" w:rsidRPr="00FD7B0B" w:rsidRDefault="005A472F" w:rsidP="005A472F">
      <w:pPr>
        <w:pStyle w:val="ad"/>
        <w:ind w:firstLine="709"/>
        <w:jc w:val="both"/>
        <w:rPr>
          <w:rFonts w:ascii="Times New Roman" w:hAnsi="Times New Roman"/>
          <w:sz w:val="28"/>
          <w:szCs w:val="28"/>
        </w:rPr>
      </w:pPr>
    </w:p>
    <w:p w14:paraId="43FA25E4" w14:textId="3EB1DF55" w:rsidR="0082620B" w:rsidRPr="00FD7B0B" w:rsidRDefault="0082620B" w:rsidP="0082620B">
      <w:pPr>
        <w:pStyle w:val="ad"/>
        <w:ind w:firstLine="709"/>
        <w:jc w:val="both"/>
        <w:rPr>
          <w:rFonts w:ascii="Times New Roman" w:hAnsi="Times New Roman"/>
          <w:sz w:val="28"/>
          <w:szCs w:val="28"/>
        </w:rPr>
      </w:pPr>
      <w:r w:rsidRPr="00FD7B0B">
        <w:rPr>
          <w:rFonts w:ascii="Times New Roman" w:hAnsi="Times New Roman"/>
          <w:sz w:val="28"/>
          <w:szCs w:val="28"/>
        </w:rPr>
        <w:t xml:space="preserve">Лидируют в отчетном году индексы потребительских цен на услуги в сфере зарубежного туризма, организаций культуры, медицинские услуги, санаторно-оздоровительные услуги, дошкольного </w:t>
      </w:r>
      <w:r w:rsidR="00174656" w:rsidRPr="00FD7B0B">
        <w:rPr>
          <w:rFonts w:ascii="Times New Roman" w:hAnsi="Times New Roman"/>
          <w:sz w:val="28"/>
          <w:szCs w:val="28"/>
        </w:rPr>
        <w:t>воспитания</w:t>
      </w:r>
      <w:r w:rsidRPr="00FD7B0B">
        <w:rPr>
          <w:rFonts w:ascii="Times New Roman" w:hAnsi="Times New Roman"/>
          <w:sz w:val="28"/>
          <w:szCs w:val="28"/>
        </w:rPr>
        <w:t xml:space="preserve"> и услуги пассажирского транспорта.</w:t>
      </w:r>
    </w:p>
    <w:p w14:paraId="1071C68E" w14:textId="77777777" w:rsidR="005A472F" w:rsidRPr="00FD7B0B" w:rsidRDefault="005A472F" w:rsidP="005A472F">
      <w:pPr>
        <w:pStyle w:val="2"/>
        <w:spacing w:before="120" w:after="0" w:line="240" w:lineRule="auto"/>
        <w:jc w:val="center"/>
      </w:pPr>
      <w:bookmarkStart w:id="61" w:name="_Toc451785032"/>
      <w:bookmarkStart w:id="62" w:name="_Toc515024207"/>
      <w:bookmarkStart w:id="63" w:name="_Toc9262561"/>
      <w:bookmarkStart w:id="64" w:name="_Toc39050215"/>
      <w:bookmarkStart w:id="65" w:name="_Toc42006711"/>
      <w:bookmarkStart w:id="66" w:name="_Toc72822962"/>
      <w:bookmarkStart w:id="67" w:name="_Toc104284470"/>
      <w:bookmarkStart w:id="68" w:name="_Toc135659993"/>
      <w:bookmarkStart w:id="69" w:name="_Toc167454824"/>
      <w:bookmarkStart w:id="70" w:name="_Toc198819121"/>
      <w:bookmarkStart w:id="71" w:name="_Toc515024205"/>
      <w:r w:rsidRPr="00FD7B0B">
        <w:rPr>
          <w:rFonts w:ascii="Times New Roman" w:hAnsi="Times New Roman"/>
          <w:lang w:val="ru-RU"/>
        </w:rPr>
        <w:t xml:space="preserve">1.8. </w:t>
      </w:r>
      <w:bookmarkEnd w:id="61"/>
      <w:bookmarkEnd w:id="62"/>
      <w:bookmarkEnd w:id="63"/>
      <w:bookmarkEnd w:id="64"/>
      <w:bookmarkEnd w:id="65"/>
      <w:bookmarkEnd w:id="66"/>
      <w:bookmarkEnd w:id="67"/>
      <w:bookmarkEnd w:id="68"/>
      <w:r w:rsidRPr="00FD7B0B">
        <w:rPr>
          <w:rFonts w:ascii="Times New Roman" w:hAnsi="Times New Roman"/>
          <w:lang w:val="ru-RU"/>
        </w:rPr>
        <w:t>Отдельные показатели уровня жизни населения</w:t>
      </w:r>
      <w:bookmarkEnd w:id="69"/>
      <w:bookmarkEnd w:id="70"/>
    </w:p>
    <w:p w14:paraId="77DB0156" w14:textId="099D4654"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По предварительным статистическим данным среднемесячная </w:t>
      </w:r>
      <w:r w:rsidRPr="00FD7B0B">
        <w:rPr>
          <w:rFonts w:ascii="Times New Roman" w:hAnsi="Times New Roman"/>
          <w:i/>
          <w:sz w:val="28"/>
          <w:szCs w:val="28"/>
        </w:rPr>
        <w:t xml:space="preserve">номинальная </w:t>
      </w:r>
      <w:r w:rsidRPr="00FD7B0B">
        <w:rPr>
          <w:rFonts w:ascii="Times New Roman" w:hAnsi="Times New Roman"/>
          <w:sz w:val="28"/>
          <w:szCs w:val="28"/>
        </w:rPr>
        <w:t>заработная плата одного работника в стране составила 87 952,0 руб. или 118,3 % к показателю 2023 года, в среднем по СЗФО соста</w:t>
      </w:r>
      <w:r w:rsidR="00C406E7" w:rsidRPr="00FD7B0B">
        <w:rPr>
          <w:rFonts w:ascii="Times New Roman" w:hAnsi="Times New Roman"/>
          <w:sz w:val="28"/>
          <w:szCs w:val="28"/>
        </w:rPr>
        <w:t>вила 93 266,0 руб. или 115,2 % к уровню 2023 года.</w:t>
      </w:r>
    </w:p>
    <w:p w14:paraId="27CF4996" w14:textId="391E6DCF" w:rsidR="005A472F" w:rsidRPr="00FD7B0B" w:rsidRDefault="005A472F" w:rsidP="005A472F">
      <w:pPr>
        <w:pStyle w:val="ad"/>
        <w:ind w:firstLine="709"/>
        <w:jc w:val="both"/>
        <w:rPr>
          <w:rFonts w:ascii="Times New Roman" w:hAnsi="Times New Roman"/>
          <w:strike/>
          <w:sz w:val="28"/>
          <w:szCs w:val="28"/>
        </w:rPr>
      </w:pPr>
      <w:r w:rsidRPr="00FD7B0B">
        <w:rPr>
          <w:rFonts w:ascii="Times New Roman" w:hAnsi="Times New Roman"/>
          <w:sz w:val="28"/>
          <w:szCs w:val="28"/>
        </w:rPr>
        <w:t xml:space="preserve">Увеличение среднемесячной номинальной заработной платы одного работника в 2024 году к показателю прошлого года установлено во всех субъектах СЗФО. Так, например, в Калининградской области среднемесячная номинальная заработная плата составила 65 725,0 руб. и увеличилась к показателю прошлого года на 17,7 %, Ленинградской области </w:t>
      </w:r>
      <w:r w:rsidR="002912CC" w:rsidRPr="00FD7B0B">
        <w:rPr>
          <w:rFonts w:ascii="Times New Roman" w:hAnsi="Times New Roman"/>
          <w:sz w:val="28"/>
          <w:szCs w:val="28"/>
        </w:rPr>
        <w:t xml:space="preserve">– </w:t>
      </w:r>
      <w:r w:rsidRPr="00FD7B0B">
        <w:rPr>
          <w:rFonts w:ascii="Times New Roman" w:hAnsi="Times New Roman"/>
          <w:sz w:val="28"/>
          <w:szCs w:val="28"/>
        </w:rPr>
        <w:t xml:space="preserve">80 980,0 руб. и увеличилась на 20,1 %, в Псковской области </w:t>
      </w:r>
      <w:r w:rsidR="002912CC" w:rsidRPr="00FD7B0B">
        <w:rPr>
          <w:rFonts w:ascii="Times New Roman" w:hAnsi="Times New Roman"/>
          <w:sz w:val="28"/>
          <w:szCs w:val="28"/>
        </w:rPr>
        <w:t xml:space="preserve">– </w:t>
      </w:r>
      <w:r w:rsidRPr="00FD7B0B">
        <w:rPr>
          <w:rFonts w:ascii="Times New Roman" w:hAnsi="Times New Roman"/>
          <w:sz w:val="28"/>
          <w:szCs w:val="28"/>
        </w:rPr>
        <w:t xml:space="preserve">54 782,0 руб. и увеличилась на 22,1 %, в Новгородской области </w:t>
      </w:r>
      <w:r w:rsidR="002912CC" w:rsidRPr="00FD7B0B">
        <w:rPr>
          <w:rFonts w:ascii="Times New Roman" w:hAnsi="Times New Roman"/>
          <w:sz w:val="28"/>
          <w:szCs w:val="28"/>
        </w:rPr>
        <w:t xml:space="preserve">– </w:t>
      </w:r>
      <w:r w:rsidRPr="00FD7B0B">
        <w:rPr>
          <w:rFonts w:ascii="Times New Roman" w:hAnsi="Times New Roman"/>
          <w:sz w:val="28"/>
          <w:szCs w:val="28"/>
        </w:rPr>
        <w:t xml:space="preserve">63 870,0 руб. и увеличилась на 18,2 %, в Вологодской области </w:t>
      </w:r>
      <w:r w:rsidR="002912CC" w:rsidRPr="00FD7B0B">
        <w:rPr>
          <w:rFonts w:ascii="Times New Roman" w:hAnsi="Times New Roman"/>
          <w:sz w:val="28"/>
          <w:szCs w:val="28"/>
        </w:rPr>
        <w:t xml:space="preserve">– </w:t>
      </w:r>
      <w:r w:rsidRPr="00FD7B0B">
        <w:rPr>
          <w:rFonts w:ascii="Times New Roman" w:hAnsi="Times New Roman"/>
          <w:sz w:val="28"/>
          <w:szCs w:val="28"/>
        </w:rPr>
        <w:t>71 467,0 руб. и увеличилась на 18,4</w:t>
      </w:r>
      <w:r w:rsidR="002912CC" w:rsidRPr="00FD7B0B">
        <w:rPr>
          <w:rFonts w:ascii="Times New Roman" w:hAnsi="Times New Roman"/>
          <w:sz w:val="28"/>
          <w:szCs w:val="28"/>
        </w:rPr>
        <w:t xml:space="preserve"> </w:t>
      </w:r>
      <w:r w:rsidRPr="00FD7B0B">
        <w:rPr>
          <w:rFonts w:ascii="Times New Roman" w:hAnsi="Times New Roman"/>
          <w:sz w:val="28"/>
          <w:szCs w:val="28"/>
        </w:rPr>
        <w:t>%.</w:t>
      </w:r>
    </w:p>
    <w:p w14:paraId="5646D762"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Архангельской области (без НАО) в 2024 году среднемесячная номинальная заработная плата одного работника по предварительным статистическим данным сложилась в размере 80 792,0 руб. и увеличилась на 11,6 % к показателям 2023 года.</w:t>
      </w:r>
    </w:p>
    <w:p w14:paraId="025167BE" w14:textId="77777777" w:rsidR="003C3DE0" w:rsidRPr="00FD7B0B" w:rsidRDefault="003C3DE0" w:rsidP="003C3DE0">
      <w:pPr>
        <w:pStyle w:val="ad"/>
        <w:ind w:firstLine="709"/>
        <w:jc w:val="both"/>
        <w:rPr>
          <w:rFonts w:ascii="Times New Roman" w:hAnsi="Times New Roman"/>
          <w:sz w:val="28"/>
          <w:szCs w:val="28"/>
        </w:rPr>
      </w:pPr>
      <w:r w:rsidRPr="00FD7B0B">
        <w:rPr>
          <w:rFonts w:ascii="Times New Roman" w:hAnsi="Times New Roman"/>
          <w:sz w:val="28"/>
          <w:szCs w:val="28"/>
        </w:rPr>
        <w:t xml:space="preserve">В Архангельской области (без НАО) в 2024 году среднемесячная номинальная заработная плата одного работника по предварительным статистическим данным сложилась в размере 80 792,0 руб. и увеличилась на 11,6 % к показателям 2023 года, а среднемесячная </w:t>
      </w:r>
      <w:r w:rsidRPr="00FD7B0B">
        <w:rPr>
          <w:rFonts w:ascii="Times New Roman" w:hAnsi="Times New Roman"/>
          <w:i/>
          <w:sz w:val="28"/>
          <w:szCs w:val="28"/>
        </w:rPr>
        <w:t xml:space="preserve">реальная </w:t>
      </w:r>
      <w:r w:rsidRPr="00FD7B0B">
        <w:rPr>
          <w:rFonts w:ascii="Times New Roman" w:hAnsi="Times New Roman"/>
          <w:sz w:val="28"/>
          <w:szCs w:val="28"/>
        </w:rPr>
        <w:t xml:space="preserve">заработная плата одного работника в стране увеличилась на 9,1 % к показателю 2023 года, в среднем по СЗФО увеличилась на 6,7 %, в Архангельской области – на 3,1 %. </w:t>
      </w:r>
    </w:p>
    <w:p w14:paraId="0805A630" w14:textId="77777777" w:rsidR="003C3DE0" w:rsidRPr="00FD7B0B" w:rsidRDefault="003C3DE0" w:rsidP="003C3DE0">
      <w:pPr>
        <w:pStyle w:val="ad"/>
        <w:ind w:firstLine="709"/>
        <w:jc w:val="both"/>
        <w:rPr>
          <w:rFonts w:ascii="Times New Roman" w:hAnsi="Times New Roman"/>
          <w:sz w:val="28"/>
          <w:szCs w:val="28"/>
        </w:rPr>
      </w:pPr>
      <w:r w:rsidRPr="00FD7B0B">
        <w:rPr>
          <w:rFonts w:ascii="Times New Roman" w:hAnsi="Times New Roman"/>
          <w:sz w:val="28"/>
          <w:szCs w:val="28"/>
        </w:rPr>
        <w:lastRenderedPageBreak/>
        <w:t xml:space="preserve">Для сравнения, в Псковской области среднемесячная </w:t>
      </w:r>
      <w:r w:rsidRPr="00FD7B0B">
        <w:rPr>
          <w:rFonts w:ascii="Times New Roman" w:hAnsi="Times New Roman"/>
          <w:i/>
          <w:sz w:val="28"/>
          <w:szCs w:val="28"/>
        </w:rPr>
        <w:t xml:space="preserve">реальная </w:t>
      </w:r>
      <w:r w:rsidRPr="00FD7B0B">
        <w:rPr>
          <w:rFonts w:ascii="Times New Roman" w:hAnsi="Times New Roman"/>
          <w:sz w:val="28"/>
          <w:szCs w:val="28"/>
        </w:rPr>
        <w:t>заработная плата одного работника увеличилась на 13,5 % к показателю прошлого года, в Ленинградской области увеличилась на 12,0 %, в Новгородской области увеличилась на 9,8 %.</w:t>
      </w:r>
    </w:p>
    <w:p w14:paraId="7E2D3074"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данным Социального фонда России средний размер назначенных месячных пенсий в стране составляет 20 964 руб. или 107,6 % к соответствующему периоду предыдущего года, по СЗФО – 23 210 руб. или 107,6%. В Архангельской области (без НАО) на 01.01.2025 средний размер назначенных месячных пенсий составил 26 198 руб. или 107,6 % к соответствующему периоду предыдущего года.</w:t>
      </w:r>
    </w:p>
    <w:p w14:paraId="26A8BD11" w14:textId="1F70D50F"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Реальный размер назначенных пенсий, в % к соответствующему периоду предыдущего года, в стране составил 99,2</w:t>
      </w:r>
      <w:r w:rsidR="00237FE4" w:rsidRPr="00FD7B0B">
        <w:rPr>
          <w:rFonts w:ascii="Times New Roman" w:hAnsi="Times New Roman"/>
          <w:sz w:val="28"/>
          <w:szCs w:val="28"/>
        </w:rPr>
        <w:t xml:space="preserve"> </w:t>
      </w:r>
      <w:r w:rsidRPr="00FD7B0B">
        <w:rPr>
          <w:rFonts w:ascii="Times New Roman" w:hAnsi="Times New Roman"/>
          <w:sz w:val="28"/>
          <w:szCs w:val="28"/>
        </w:rPr>
        <w:t>%, в среднем по СЗФО – 99,7</w:t>
      </w:r>
      <w:r w:rsidR="00237FE4" w:rsidRPr="00FD7B0B">
        <w:rPr>
          <w:rFonts w:ascii="Times New Roman" w:hAnsi="Times New Roman"/>
          <w:sz w:val="28"/>
          <w:szCs w:val="28"/>
        </w:rPr>
        <w:t xml:space="preserve"> </w:t>
      </w:r>
      <w:r w:rsidRPr="00FD7B0B">
        <w:rPr>
          <w:rFonts w:ascii="Times New Roman" w:hAnsi="Times New Roman"/>
          <w:sz w:val="28"/>
          <w:szCs w:val="28"/>
        </w:rPr>
        <w:t>%, в Ленинградской области – 100,6</w:t>
      </w:r>
      <w:r w:rsidR="00237FE4" w:rsidRPr="00FD7B0B">
        <w:rPr>
          <w:rFonts w:ascii="Times New Roman" w:hAnsi="Times New Roman"/>
          <w:sz w:val="28"/>
          <w:szCs w:val="28"/>
        </w:rPr>
        <w:t xml:space="preserve"> </w:t>
      </w:r>
      <w:r w:rsidRPr="00FD7B0B">
        <w:rPr>
          <w:rFonts w:ascii="Times New Roman" w:hAnsi="Times New Roman"/>
          <w:sz w:val="28"/>
          <w:szCs w:val="28"/>
        </w:rPr>
        <w:t>%, в Архангельской области – 99,5</w:t>
      </w:r>
      <w:r w:rsidR="00237FE4" w:rsidRPr="00FD7B0B">
        <w:rPr>
          <w:rFonts w:ascii="Times New Roman" w:hAnsi="Times New Roman"/>
          <w:sz w:val="28"/>
          <w:szCs w:val="28"/>
        </w:rPr>
        <w:t xml:space="preserve"> </w:t>
      </w:r>
      <w:r w:rsidRPr="00FD7B0B">
        <w:rPr>
          <w:rFonts w:ascii="Times New Roman" w:hAnsi="Times New Roman"/>
          <w:sz w:val="28"/>
          <w:szCs w:val="28"/>
        </w:rPr>
        <w:t>%, в Вологодской области – 99,0</w:t>
      </w:r>
      <w:r w:rsidR="00237FE4" w:rsidRPr="00FD7B0B">
        <w:rPr>
          <w:rFonts w:ascii="Times New Roman" w:hAnsi="Times New Roman"/>
          <w:sz w:val="28"/>
          <w:szCs w:val="28"/>
        </w:rPr>
        <w:t xml:space="preserve"> </w:t>
      </w:r>
      <w:r w:rsidRPr="00FD7B0B">
        <w:rPr>
          <w:rFonts w:ascii="Times New Roman" w:hAnsi="Times New Roman"/>
          <w:sz w:val="28"/>
          <w:szCs w:val="28"/>
        </w:rPr>
        <w:t>%, в Псковской области – 99,8</w:t>
      </w:r>
      <w:r w:rsidR="00237FE4" w:rsidRPr="00FD7B0B">
        <w:rPr>
          <w:rFonts w:ascii="Times New Roman" w:hAnsi="Times New Roman"/>
          <w:sz w:val="28"/>
          <w:szCs w:val="28"/>
        </w:rPr>
        <w:t xml:space="preserve"> </w:t>
      </w:r>
      <w:r w:rsidRPr="00FD7B0B">
        <w:rPr>
          <w:rFonts w:ascii="Times New Roman" w:hAnsi="Times New Roman"/>
          <w:sz w:val="28"/>
          <w:szCs w:val="28"/>
        </w:rPr>
        <w:t>%.</w:t>
      </w:r>
    </w:p>
    <w:p w14:paraId="3269F072" w14:textId="55529FE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Отдельные показатели, характеризующие уровень жизни населения, по предварительным статистическим данным представлены в таблице </w:t>
      </w:r>
      <w:r w:rsidR="001607FB" w:rsidRPr="00FD7B0B">
        <w:rPr>
          <w:rFonts w:ascii="Times New Roman" w:hAnsi="Times New Roman"/>
          <w:sz w:val="28"/>
          <w:szCs w:val="28"/>
        </w:rPr>
        <w:t>20</w:t>
      </w:r>
      <w:r w:rsidRPr="00FD7B0B">
        <w:rPr>
          <w:rFonts w:ascii="Times New Roman" w:hAnsi="Times New Roman"/>
          <w:sz w:val="28"/>
          <w:szCs w:val="28"/>
        </w:rPr>
        <w:t>.</w:t>
      </w:r>
    </w:p>
    <w:p w14:paraId="253A12E4" w14:textId="77777777" w:rsidR="005A472F" w:rsidRPr="00FD7B0B" w:rsidRDefault="005A472F" w:rsidP="005A472F">
      <w:pPr>
        <w:pStyle w:val="ad"/>
        <w:ind w:firstLine="709"/>
        <w:jc w:val="both"/>
        <w:rPr>
          <w:rFonts w:ascii="Times New Roman" w:hAnsi="Times New Roman"/>
          <w:sz w:val="24"/>
          <w:szCs w:val="24"/>
        </w:rPr>
      </w:pPr>
    </w:p>
    <w:p w14:paraId="3FF387A0" w14:textId="77777777" w:rsidR="005A472F" w:rsidRPr="00FD7B0B" w:rsidRDefault="005A472F" w:rsidP="005A472F">
      <w:pPr>
        <w:pStyle w:val="aff0"/>
        <w:spacing w:after="0" w:line="240" w:lineRule="auto"/>
        <w:rPr>
          <w:rFonts w:ascii="Times New Roman" w:eastAsia="Times New Roman" w:hAnsi="Times New Roman"/>
          <w:b w:val="0"/>
          <w:sz w:val="24"/>
          <w:szCs w:val="24"/>
          <w:lang w:eastAsia="ru-RU"/>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20</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Отдельные показатели, характеризующие уровень жизни населения Архангельской области (без НАО) в 2022-2024 годы (предварительные статистические данные), </w:t>
      </w:r>
      <w:r w:rsidRPr="00FD7B0B">
        <w:rPr>
          <w:rFonts w:ascii="Times New Roman" w:eastAsia="Times New Roman" w:hAnsi="Times New Roman"/>
          <w:b w:val="0"/>
          <w:sz w:val="24"/>
          <w:szCs w:val="24"/>
          <w:lang w:eastAsia="ru-RU"/>
        </w:rPr>
        <w:t>в % к соответствующему периоду.</w:t>
      </w:r>
    </w:p>
    <w:tbl>
      <w:tblPr>
        <w:tblW w:w="974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5080"/>
        <w:gridCol w:w="1134"/>
        <w:gridCol w:w="1134"/>
        <w:gridCol w:w="1275"/>
        <w:gridCol w:w="1120"/>
      </w:tblGrid>
      <w:tr w:rsidR="00FD7B0B" w:rsidRPr="00FD7B0B" w14:paraId="030BA8A2" w14:textId="77777777" w:rsidTr="00BE64F6">
        <w:trPr>
          <w:trHeight w:val="182"/>
          <w:tblHeader/>
        </w:trPr>
        <w:tc>
          <w:tcPr>
            <w:tcW w:w="5080" w:type="dxa"/>
            <w:shd w:val="clear" w:color="auto" w:fill="auto"/>
            <w:vAlign w:val="center"/>
            <w:hideMark/>
          </w:tcPr>
          <w:p w14:paraId="7CA6D3F2"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Наименование показателя</w:t>
            </w:r>
          </w:p>
        </w:tc>
        <w:tc>
          <w:tcPr>
            <w:tcW w:w="1134" w:type="dxa"/>
            <w:vMerge w:val="restart"/>
            <w:shd w:val="clear" w:color="auto" w:fill="auto"/>
            <w:vAlign w:val="center"/>
            <w:hideMark/>
          </w:tcPr>
          <w:p w14:paraId="271DEE6A" w14:textId="398FA1C3" w:rsidR="005A472F" w:rsidRPr="00FD7B0B" w:rsidRDefault="00237FE4" w:rsidP="00BE64F6">
            <w:pPr>
              <w:spacing w:after="0" w:line="240" w:lineRule="auto"/>
              <w:ind w:left="-108" w:right="-10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2022 г. к 2021 г.</w:t>
            </w:r>
          </w:p>
        </w:tc>
        <w:tc>
          <w:tcPr>
            <w:tcW w:w="1134" w:type="dxa"/>
            <w:vMerge w:val="restart"/>
            <w:shd w:val="clear" w:color="auto" w:fill="auto"/>
            <w:vAlign w:val="center"/>
            <w:hideMark/>
          </w:tcPr>
          <w:p w14:paraId="425029F4" w14:textId="0F42BFFA" w:rsidR="005A472F" w:rsidRPr="00FD7B0B" w:rsidRDefault="00237FE4" w:rsidP="00BE64F6">
            <w:pPr>
              <w:spacing w:after="0" w:line="240" w:lineRule="auto"/>
              <w:ind w:left="-108" w:right="-10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2023 г. к 2022 г.</w:t>
            </w:r>
          </w:p>
        </w:tc>
        <w:tc>
          <w:tcPr>
            <w:tcW w:w="1275" w:type="dxa"/>
            <w:vMerge w:val="restart"/>
            <w:vAlign w:val="center"/>
          </w:tcPr>
          <w:p w14:paraId="1866607E" w14:textId="33A1DB24" w:rsidR="005A472F" w:rsidRPr="00FD7B0B" w:rsidRDefault="00237FE4" w:rsidP="00BE64F6">
            <w:pPr>
              <w:spacing w:after="0" w:line="240" w:lineRule="auto"/>
              <w:ind w:left="-108" w:right="-10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Ожидаемая оценка 2024 года</w:t>
            </w:r>
          </w:p>
        </w:tc>
        <w:tc>
          <w:tcPr>
            <w:tcW w:w="1120" w:type="dxa"/>
            <w:vMerge w:val="restart"/>
            <w:shd w:val="clear" w:color="auto" w:fill="auto"/>
            <w:vAlign w:val="center"/>
            <w:hideMark/>
          </w:tcPr>
          <w:p w14:paraId="2A907600" w14:textId="144CBC19" w:rsidR="005A472F" w:rsidRPr="00FD7B0B" w:rsidRDefault="005A472F" w:rsidP="00BE64F6">
            <w:pPr>
              <w:spacing w:after="0" w:line="240" w:lineRule="auto"/>
              <w:ind w:left="-108" w:right="-107"/>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г. к 2023 г</w:t>
            </w:r>
            <w:r w:rsidR="00237FE4" w:rsidRPr="00FD7B0B">
              <w:rPr>
                <w:rFonts w:ascii="Times New Roman" w:eastAsia="Times New Roman" w:hAnsi="Times New Roman" w:cs="Times New Roman"/>
                <w:lang w:eastAsia="ru-RU"/>
              </w:rPr>
              <w:t>.</w:t>
            </w:r>
          </w:p>
        </w:tc>
      </w:tr>
      <w:tr w:rsidR="00FD7B0B" w:rsidRPr="00FD7B0B" w14:paraId="3265CB57" w14:textId="77777777" w:rsidTr="00BE64F6">
        <w:trPr>
          <w:trHeight w:val="416"/>
          <w:tblHeader/>
        </w:trPr>
        <w:tc>
          <w:tcPr>
            <w:tcW w:w="5080" w:type="dxa"/>
            <w:shd w:val="clear" w:color="auto" w:fill="auto"/>
            <w:vAlign w:val="center"/>
            <w:hideMark/>
          </w:tcPr>
          <w:p w14:paraId="7150FF07"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 % к соответствующему периоду предыдущего года</w:t>
            </w:r>
          </w:p>
        </w:tc>
        <w:tc>
          <w:tcPr>
            <w:tcW w:w="1134" w:type="dxa"/>
            <w:vMerge/>
            <w:shd w:val="clear" w:color="auto" w:fill="auto"/>
            <w:vAlign w:val="center"/>
            <w:hideMark/>
          </w:tcPr>
          <w:p w14:paraId="4B54A7E1" w14:textId="77777777" w:rsidR="005A472F" w:rsidRPr="00FD7B0B" w:rsidRDefault="005A472F" w:rsidP="00BE64F6">
            <w:pPr>
              <w:spacing w:after="0" w:line="240" w:lineRule="auto"/>
              <w:rPr>
                <w:rFonts w:ascii="Times New Roman" w:eastAsia="Times New Roman" w:hAnsi="Times New Roman" w:cs="Times New Roman"/>
                <w:lang w:eastAsia="ru-RU"/>
              </w:rPr>
            </w:pPr>
          </w:p>
        </w:tc>
        <w:tc>
          <w:tcPr>
            <w:tcW w:w="1134" w:type="dxa"/>
            <w:vMerge/>
            <w:shd w:val="clear" w:color="auto" w:fill="auto"/>
            <w:vAlign w:val="center"/>
            <w:hideMark/>
          </w:tcPr>
          <w:p w14:paraId="09B948B8" w14:textId="77777777" w:rsidR="005A472F" w:rsidRPr="00FD7B0B" w:rsidRDefault="005A472F" w:rsidP="00BE64F6">
            <w:pPr>
              <w:spacing w:after="0" w:line="240" w:lineRule="auto"/>
              <w:rPr>
                <w:rFonts w:ascii="Times New Roman" w:eastAsia="Times New Roman" w:hAnsi="Times New Roman" w:cs="Times New Roman"/>
                <w:lang w:eastAsia="ru-RU"/>
              </w:rPr>
            </w:pPr>
          </w:p>
        </w:tc>
        <w:tc>
          <w:tcPr>
            <w:tcW w:w="1275" w:type="dxa"/>
            <w:vMerge/>
            <w:vAlign w:val="center"/>
          </w:tcPr>
          <w:p w14:paraId="2427767D" w14:textId="77777777" w:rsidR="005A472F" w:rsidRPr="00FD7B0B" w:rsidRDefault="005A472F" w:rsidP="00BE64F6">
            <w:pPr>
              <w:spacing w:after="0" w:line="240" w:lineRule="auto"/>
              <w:rPr>
                <w:rFonts w:ascii="Times New Roman" w:eastAsia="Times New Roman" w:hAnsi="Times New Roman" w:cs="Times New Roman"/>
                <w:lang w:eastAsia="ru-RU"/>
              </w:rPr>
            </w:pPr>
          </w:p>
        </w:tc>
        <w:tc>
          <w:tcPr>
            <w:tcW w:w="1120" w:type="dxa"/>
            <w:vMerge/>
            <w:shd w:val="clear" w:color="auto" w:fill="auto"/>
            <w:vAlign w:val="center"/>
            <w:hideMark/>
          </w:tcPr>
          <w:p w14:paraId="18F9635E" w14:textId="77777777" w:rsidR="005A472F" w:rsidRPr="00FD7B0B" w:rsidRDefault="005A472F" w:rsidP="00BE64F6">
            <w:pPr>
              <w:spacing w:after="0" w:line="240" w:lineRule="auto"/>
              <w:rPr>
                <w:rFonts w:ascii="Times New Roman" w:eastAsia="Times New Roman" w:hAnsi="Times New Roman" w:cs="Times New Roman"/>
                <w:lang w:eastAsia="ru-RU"/>
              </w:rPr>
            </w:pPr>
          </w:p>
        </w:tc>
      </w:tr>
      <w:tr w:rsidR="00FD7B0B" w:rsidRPr="00FD7B0B" w14:paraId="064577B9" w14:textId="77777777" w:rsidTr="00BE64F6">
        <w:trPr>
          <w:trHeight w:val="377"/>
        </w:trPr>
        <w:tc>
          <w:tcPr>
            <w:tcW w:w="5080" w:type="dxa"/>
            <w:shd w:val="clear" w:color="auto" w:fill="auto"/>
            <w:vAlign w:val="bottom"/>
            <w:hideMark/>
          </w:tcPr>
          <w:p w14:paraId="0636994F" w14:textId="77777777" w:rsidR="00117D8D" w:rsidRPr="00FD7B0B" w:rsidRDefault="00117D8D" w:rsidP="00117D8D">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Среднемесячная номинальная заработная плата одного работника</w:t>
            </w:r>
          </w:p>
        </w:tc>
        <w:tc>
          <w:tcPr>
            <w:tcW w:w="1134" w:type="dxa"/>
            <w:shd w:val="clear" w:color="auto" w:fill="auto"/>
            <w:vAlign w:val="bottom"/>
            <w:hideMark/>
          </w:tcPr>
          <w:p w14:paraId="77A410DC" w14:textId="64F71F19"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110,10 </w:t>
            </w:r>
          </w:p>
        </w:tc>
        <w:tc>
          <w:tcPr>
            <w:tcW w:w="1134" w:type="dxa"/>
            <w:shd w:val="clear" w:color="auto" w:fill="auto"/>
            <w:vAlign w:val="bottom"/>
            <w:hideMark/>
          </w:tcPr>
          <w:p w14:paraId="6C27CBB8" w14:textId="44E78266"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112,60 </w:t>
            </w:r>
          </w:p>
        </w:tc>
        <w:tc>
          <w:tcPr>
            <w:tcW w:w="1275" w:type="dxa"/>
            <w:vAlign w:val="bottom"/>
          </w:tcPr>
          <w:p w14:paraId="4DBF3F2A" w14:textId="250D0509"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112,80 </w:t>
            </w:r>
          </w:p>
        </w:tc>
        <w:tc>
          <w:tcPr>
            <w:tcW w:w="1120" w:type="dxa"/>
            <w:shd w:val="clear" w:color="auto" w:fill="auto"/>
            <w:vAlign w:val="bottom"/>
            <w:hideMark/>
          </w:tcPr>
          <w:p w14:paraId="3CE708B2" w14:textId="78B2CEFB"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111,60 </w:t>
            </w:r>
          </w:p>
        </w:tc>
      </w:tr>
      <w:tr w:rsidR="00FD7B0B" w:rsidRPr="00FD7B0B" w14:paraId="78A75FBB" w14:textId="77777777" w:rsidTr="00BE64F6">
        <w:trPr>
          <w:trHeight w:val="119"/>
        </w:trPr>
        <w:tc>
          <w:tcPr>
            <w:tcW w:w="5080" w:type="dxa"/>
            <w:shd w:val="clear" w:color="auto" w:fill="auto"/>
            <w:vAlign w:val="bottom"/>
            <w:hideMark/>
          </w:tcPr>
          <w:p w14:paraId="320EACA1" w14:textId="77777777" w:rsidR="00117D8D" w:rsidRPr="00FD7B0B" w:rsidRDefault="00117D8D" w:rsidP="00117D8D">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темп изменения</w:t>
            </w:r>
          </w:p>
        </w:tc>
        <w:tc>
          <w:tcPr>
            <w:tcW w:w="1134" w:type="dxa"/>
            <w:shd w:val="clear" w:color="auto" w:fill="auto"/>
            <w:vAlign w:val="bottom"/>
            <w:hideMark/>
          </w:tcPr>
          <w:p w14:paraId="78016DB5" w14:textId="787FEC1F"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10,10 </w:t>
            </w:r>
          </w:p>
        </w:tc>
        <w:tc>
          <w:tcPr>
            <w:tcW w:w="1134" w:type="dxa"/>
            <w:shd w:val="clear" w:color="auto" w:fill="auto"/>
            <w:vAlign w:val="bottom"/>
            <w:hideMark/>
          </w:tcPr>
          <w:p w14:paraId="69DAB50F" w14:textId="30D4626D"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12,60 </w:t>
            </w:r>
          </w:p>
        </w:tc>
        <w:tc>
          <w:tcPr>
            <w:tcW w:w="1275" w:type="dxa"/>
            <w:vAlign w:val="bottom"/>
          </w:tcPr>
          <w:p w14:paraId="0660E77B" w14:textId="0A1D4740"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12,80 </w:t>
            </w:r>
          </w:p>
        </w:tc>
        <w:tc>
          <w:tcPr>
            <w:tcW w:w="1120" w:type="dxa"/>
            <w:shd w:val="clear" w:color="auto" w:fill="auto"/>
            <w:vAlign w:val="bottom"/>
            <w:hideMark/>
          </w:tcPr>
          <w:p w14:paraId="4E9D03CB" w14:textId="4BC18E6B"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11,60 </w:t>
            </w:r>
          </w:p>
        </w:tc>
      </w:tr>
      <w:tr w:rsidR="00FD7B0B" w:rsidRPr="00FD7B0B" w14:paraId="42BA7962" w14:textId="77777777" w:rsidTr="00BE64F6">
        <w:trPr>
          <w:trHeight w:val="132"/>
        </w:trPr>
        <w:tc>
          <w:tcPr>
            <w:tcW w:w="5080" w:type="dxa"/>
            <w:shd w:val="clear" w:color="auto" w:fill="auto"/>
            <w:vAlign w:val="bottom"/>
            <w:hideMark/>
          </w:tcPr>
          <w:p w14:paraId="481072BB" w14:textId="77777777" w:rsidR="00117D8D" w:rsidRPr="00FD7B0B" w:rsidRDefault="00117D8D" w:rsidP="00117D8D">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Реальная начисленная заработная плата </w:t>
            </w:r>
          </w:p>
        </w:tc>
        <w:tc>
          <w:tcPr>
            <w:tcW w:w="1134" w:type="dxa"/>
            <w:shd w:val="clear" w:color="auto" w:fill="auto"/>
            <w:vAlign w:val="bottom"/>
            <w:hideMark/>
          </w:tcPr>
          <w:p w14:paraId="3A0E5C0E" w14:textId="1256C067"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95,60 </w:t>
            </w:r>
          </w:p>
        </w:tc>
        <w:tc>
          <w:tcPr>
            <w:tcW w:w="1134" w:type="dxa"/>
            <w:shd w:val="clear" w:color="auto" w:fill="auto"/>
            <w:vAlign w:val="bottom"/>
            <w:hideMark/>
          </w:tcPr>
          <w:p w14:paraId="53EE630C" w14:textId="547E0F48"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106,20 </w:t>
            </w:r>
          </w:p>
        </w:tc>
        <w:tc>
          <w:tcPr>
            <w:tcW w:w="1275" w:type="dxa"/>
            <w:vAlign w:val="bottom"/>
          </w:tcPr>
          <w:p w14:paraId="7B5A94A7" w14:textId="121B775E"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104,6</w:t>
            </w:r>
          </w:p>
        </w:tc>
        <w:tc>
          <w:tcPr>
            <w:tcW w:w="1120" w:type="dxa"/>
            <w:shd w:val="clear" w:color="auto" w:fill="auto"/>
            <w:vAlign w:val="bottom"/>
            <w:hideMark/>
          </w:tcPr>
          <w:p w14:paraId="5D05CDF1" w14:textId="3518B730"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103,10 </w:t>
            </w:r>
          </w:p>
        </w:tc>
      </w:tr>
      <w:tr w:rsidR="00FD7B0B" w:rsidRPr="00FD7B0B" w14:paraId="7107548B" w14:textId="77777777" w:rsidTr="00BE64F6">
        <w:trPr>
          <w:trHeight w:val="199"/>
        </w:trPr>
        <w:tc>
          <w:tcPr>
            <w:tcW w:w="5080" w:type="dxa"/>
            <w:shd w:val="clear" w:color="auto" w:fill="auto"/>
            <w:vAlign w:val="bottom"/>
            <w:hideMark/>
          </w:tcPr>
          <w:p w14:paraId="06CF6E7C" w14:textId="77777777" w:rsidR="00117D8D" w:rsidRPr="00FD7B0B" w:rsidRDefault="00117D8D" w:rsidP="00117D8D">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темп изменения</w:t>
            </w:r>
          </w:p>
        </w:tc>
        <w:tc>
          <w:tcPr>
            <w:tcW w:w="1134" w:type="dxa"/>
            <w:shd w:val="clear" w:color="auto" w:fill="auto"/>
            <w:vAlign w:val="bottom"/>
            <w:hideMark/>
          </w:tcPr>
          <w:p w14:paraId="5ECE4244" w14:textId="63F15E8C"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-4,40 </w:t>
            </w:r>
          </w:p>
        </w:tc>
        <w:tc>
          <w:tcPr>
            <w:tcW w:w="1134" w:type="dxa"/>
            <w:shd w:val="clear" w:color="auto" w:fill="auto"/>
            <w:vAlign w:val="bottom"/>
            <w:hideMark/>
          </w:tcPr>
          <w:p w14:paraId="29D125E3" w14:textId="4E083AB1"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6,20 </w:t>
            </w:r>
          </w:p>
        </w:tc>
        <w:tc>
          <w:tcPr>
            <w:tcW w:w="1275" w:type="dxa"/>
            <w:vAlign w:val="bottom"/>
          </w:tcPr>
          <w:p w14:paraId="57A7409E" w14:textId="4A695B0C"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4,6</w:t>
            </w:r>
          </w:p>
        </w:tc>
        <w:tc>
          <w:tcPr>
            <w:tcW w:w="1120" w:type="dxa"/>
            <w:shd w:val="clear" w:color="auto" w:fill="auto"/>
            <w:vAlign w:val="bottom"/>
            <w:hideMark/>
          </w:tcPr>
          <w:p w14:paraId="4666CE5B" w14:textId="33A5D14D"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3,10 </w:t>
            </w:r>
          </w:p>
        </w:tc>
      </w:tr>
      <w:tr w:rsidR="00FD7B0B" w:rsidRPr="00FD7B0B" w14:paraId="162B841C" w14:textId="77777777" w:rsidTr="00BE64F6">
        <w:trPr>
          <w:trHeight w:val="168"/>
        </w:trPr>
        <w:tc>
          <w:tcPr>
            <w:tcW w:w="5080" w:type="dxa"/>
            <w:shd w:val="clear" w:color="auto" w:fill="auto"/>
            <w:noWrap/>
            <w:vAlign w:val="bottom"/>
            <w:hideMark/>
          </w:tcPr>
          <w:p w14:paraId="41435062" w14:textId="77777777" w:rsidR="00117D8D" w:rsidRPr="00FD7B0B" w:rsidRDefault="00117D8D" w:rsidP="00117D8D">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Средний размер назначенных пенсий</w:t>
            </w:r>
          </w:p>
        </w:tc>
        <w:tc>
          <w:tcPr>
            <w:tcW w:w="1134" w:type="dxa"/>
            <w:shd w:val="clear" w:color="auto" w:fill="auto"/>
            <w:vAlign w:val="bottom"/>
            <w:hideMark/>
          </w:tcPr>
          <w:p w14:paraId="4E6F8B0E" w14:textId="781B7A09"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114,35 </w:t>
            </w:r>
          </w:p>
        </w:tc>
        <w:tc>
          <w:tcPr>
            <w:tcW w:w="1134" w:type="dxa"/>
            <w:shd w:val="clear" w:color="auto" w:fill="auto"/>
            <w:vAlign w:val="bottom"/>
            <w:hideMark/>
          </w:tcPr>
          <w:p w14:paraId="28366E8E" w14:textId="2B082B89"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107,76 </w:t>
            </w:r>
          </w:p>
        </w:tc>
        <w:tc>
          <w:tcPr>
            <w:tcW w:w="1275" w:type="dxa"/>
            <w:vAlign w:val="bottom"/>
          </w:tcPr>
          <w:p w14:paraId="4B3C0897" w14:textId="4FA55FEC"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103,33 </w:t>
            </w:r>
          </w:p>
        </w:tc>
        <w:tc>
          <w:tcPr>
            <w:tcW w:w="1120" w:type="dxa"/>
            <w:shd w:val="clear" w:color="auto" w:fill="auto"/>
            <w:vAlign w:val="bottom"/>
            <w:hideMark/>
          </w:tcPr>
          <w:p w14:paraId="59225BE0" w14:textId="2658193B"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107,60 </w:t>
            </w:r>
          </w:p>
        </w:tc>
      </w:tr>
      <w:tr w:rsidR="00FD7B0B" w:rsidRPr="00FD7B0B" w14:paraId="72A4BC01" w14:textId="77777777" w:rsidTr="00BE64F6">
        <w:trPr>
          <w:trHeight w:val="279"/>
        </w:trPr>
        <w:tc>
          <w:tcPr>
            <w:tcW w:w="5080" w:type="dxa"/>
            <w:shd w:val="clear" w:color="auto" w:fill="auto"/>
            <w:noWrap/>
            <w:vAlign w:val="bottom"/>
            <w:hideMark/>
          </w:tcPr>
          <w:p w14:paraId="1E77D095" w14:textId="77777777" w:rsidR="00117D8D" w:rsidRPr="00FD7B0B" w:rsidRDefault="00117D8D" w:rsidP="00117D8D">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темп изменения</w:t>
            </w:r>
          </w:p>
        </w:tc>
        <w:tc>
          <w:tcPr>
            <w:tcW w:w="1134" w:type="dxa"/>
            <w:shd w:val="clear" w:color="auto" w:fill="auto"/>
            <w:vAlign w:val="bottom"/>
            <w:hideMark/>
          </w:tcPr>
          <w:p w14:paraId="7589B69F" w14:textId="7210F473"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14,35 </w:t>
            </w:r>
          </w:p>
        </w:tc>
        <w:tc>
          <w:tcPr>
            <w:tcW w:w="1134" w:type="dxa"/>
            <w:shd w:val="clear" w:color="auto" w:fill="auto"/>
            <w:vAlign w:val="bottom"/>
            <w:hideMark/>
          </w:tcPr>
          <w:p w14:paraId="3F2FF171" w14:textId="112FB443"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7,76 </w:t>
            </w:r>
          </w:p>
        </w:tc>
        <w:tc>
          <w:tcPr>
            <w:tcW w:w="1275" w:type="dxa"/>
            <w:vAlign w:val="bottom"/>
          </w:tcPr>
          <w:p w14:paraId="2D4E434F" w14:textId="556D79BE"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3,33 </w:t>
            </w:r>
          </w:p>
        </w:tc>
        <w:tc>
          <w:tcPr>
            <w:tcW w:w="1120" w:type="dxa"/>
            <w:shd w:val="clear" w:color="auto" w:fill="auto"/>
            <w:vAlign w:val="bottom"/>
            <w:hideMark/>
          </w:tcPr>
          <w:p w14:paraId="2E78FD93" w14:textId="495AA74D"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7,60 </w:t>
            </w:r>
          </w:p>
        </w:tc>
      </w:tr>
      <w:tr w:rsidR="00FD7B0B" w:rsidRPr="00FD7B0B" w14:paraId="630F6AD2" w14:textId="77777777" w:rsidTr="00BE64F6">
        <w:trPr>
          <w:trHeight w:val="59"/>
        </w:trPr>
        <w:tc>
          <w:tcPr>
            <w:tcW w:w="5080" w:type="dxa"/>
            <w:shd w:val="clear" w:color="auto" w:fill="auto"/>
            <w:noWrap/>
            <w:vAlign w:val="bottom"/>
            <w:hideMark/>
          </w:tcPr>
          <w:p w14:paraId="34CD56C5" w14:textId="77777777" w:rsidR="00117D8D" w:rsidRPr="00FD7B0B" w:rsidRDefault="00117D8D" w:rsidP="00117D8D">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Реальные назначенные пенсии </w:t>
            </w:r>
          </w:p>
        </w:tc>
        <w:tc>
          <w:tcPr>
            <w:tcW w:w="1134" w:type="dxa"/>
            <w:shd w:val="clear" w:color="auto" w:fill="auto"/>
            <w:vAlign w:val="bottom"/>
            <w:hideMark/>
          </w:tcPr>
          <w:p w14:paraId="44868654" w14:textId="2E3DE9BD"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102,00 </w:t>
            </w:r>
          </w:p>
        </w:tc>
        <w:tc>
          <w:tcPr>
            <w:tcW w:w="1134" w:type="dxa"/>
            <w:shd w:val="clear" w:color="auto" w:fill="auto"/>
            <w:vAlign w:val="bottom"/>
            <w:hideMark/>
          </w:tcPr>
          <w:p w14:paraId="77DC1848" w14:textId="6E668261"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99,30 </w:t>
            </w:r>
          </w:p>
        </w:tc>
        <w:tc>
          <w:tcPr>
            <w:tcW w:w="1275" w:type="dxa"/>
            <w:vAlign w:val="bottom"/>
          </w:tcPr>
          <w:p w14:paraId="519C8535" w14:textId="62A5F1EB"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96,93 </w:t>
            </w:r>
          </w:p>
        </w:tc>
        <w:tc>
          <w:tcPr>
            <w:tcW w:w="1120" w:type="dxa"/>
            <w:shd w:val="clear" w:color="auto" w:fill="auto"/>
            <w:vAlign w:val="bottom"/>
            <w:hideMark/>
          </w:tcPr>
          <w:p w14:paraId="7CAF1040" w14:textId="694A559C"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99,50 </w:t>
            </w:r>
          </w:p>
        </w:tc>
      </w:tr>
      <w:tr w:rsidR="00FD7B0B" w:rsidRPr="00FD7B0B" w14:paraId="2E4C2987" w14:textId="77777777" w:rsidTr="00BE64F6">
        <w:trPr>
          <w:trHeight w:val="217"/>
        </w:trPr>
        <w:tc>
          <w:tcPr>
            <w:tcW w:w="5080" w:type="dxa"/>
            <w:shd w:val="clear" w:color="auto" w:fill="auto"/>
            <w:noWrap/>
            <w:vAlign w:val="bottom"/>
            <w:hideMark/>
          </w:tcPr>
          <w:p w14:paraId="6181F8FE" w14:textId="77777777" w:rsidR="00117D8D" w:rsidRPr="00FD7B0B" w:rsidRDefault="00117D8D" w:rsidP="00117D8D">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темп изменения</w:t>
            </w:r>
          </w:p>
        </w:tc>
        <w:tc>
          <w:tcPr>
            <w:tcW w:w="1134" w:type="dxa"/>
            <w:shd w:val="clear" w:color="auto" w:fill="auto"/>
            <w:vAlign w:val="bottom"/>
            <w:hideMark/>
          </w:tcPr>
          <w:p w14:paraId="523A0808" w14:textId="4F763D17"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2,00 </w:t>
            </w:r>
          </w:p>
        </w:tc>
        <w:tc>
          <w:tcPr>
            <w:tcW w:w="1134" w:type="dxa"/>
            <w:shd w:val="clear" w:color="auto" w:fill="auto"/>
            <w:vAlign w:val="bottom"/>
            <w:hideMark/>
          </w:tcPr>
          <w:p w14:paraId="1752F9FE" w14:textId="0B60A546"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-0,70 </w:t>
            </w:r>
          </w:p>
        </w:tc>
        <w:tc>
          <w:tcPr>
            <w:tcW w:w="1275" w:type="dxa"/>
            <w:vAlign w:val="bottom"/>
          </w:tcPr>
          <w:p w14:paraId="654D4C01" w14:textId="4735158A"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-3,07 </w:t>
            </w:r>
          </w:p>
        </w:tc>
        <w:tc>
          <w:tcPr>
            <w:tcW w:w="1120" w:type="dxa"/>
            <w:shd w:val="clear" w:color="auto" w:fill="auto"/>
            <w:vAlign w:val="bottom"/>
            <w:hideMark/>
          </w:tcPr>
          <w:p w14:paraId="6169AE2F" w14:textId="3561E114"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-0,50 </w:t>
            </w:r>
          </w:p>
        </w:tc>
      </w:tr>
      <w:tr w:rsidR="00FD7B0B" w:rsidRPr="00FD7B0B" w14:paraId="3B802738" w14:textId="77777777" w:rsidTr="00BE64F6">
        <w:trPr>
          <w:trHeight w:val="293"/>
        </w:trPr>
        <w:tc>
          <w:tcPr>
            <w:tcW w:w="5080" w:type="dxa"/>
            <w:shd w:val="clear" w:color="auto" w:fill="auto"/>
            <w:vAlign w:val="bottom"/>
            <w:hideMark/>
          </w:tcPr>
          <w:p w14:paraId="3AE1DB76" w14:textId="77777777" w:rsidR="00117D8D" w:rsidRPr="00FD7B0B" w:rsidRDefault="00117D8D" w:rsidP="00117D8D">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Индексы потребительских цен и тарифов на товары и услуги (</w:t>
            </w:r>
            <w:r w:rsidRPr="00FD7B0B">
              <w:rPr>
                <w:rFonts w:ascii="Times New Roman" w:eastAsia="Times New Roman" w:hAnsi="Times New Roman" w:cs="Times New Roman"/>
                <w:i/>
                <w:iCs/>
                <w:lang w:eastAsia="ru-RU"/>
              </w:rPr>
              <w:t>на конец периода, в % к соответствующему периоду</w:t>
            </w:r>
            <w:r w:rsidRPr="00FD7B0B">
              <w:rPr>
                <w:rFonts w:ascii="Times New Roman" w:eastAsia="Times New Roman" w:hAnsi="Times New Roman" w:cs="Times New Roman"/>
                <w:lang w:eastAsia="ru-RU"/>
              </w:rPr>
              <w:t>)</w:t>
            </w:r>
          </w:p>
        </w:tc>
        <w:tc>
          <w:tcPr>
            <w:tcW w:w="1134" w:type="dxa"/>
            <w:shd w:val="clear" w:color="auto" w:fill="auto"/>
            <w:vAlign w:val="bottom"/>
            <w:hideMark/>
          </w:tcPr>
          <w:p w14:paraId="05AD1949" w14:textId="52F17EA8"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111,87 </w:t>
            </w:r>
          </w:p>
        </w:tc>
        <w:tc>
          <w:tcPr>
            <w:tcW w:w="1134" w:type="dxa"/>
            <w:shd w:val="clear" w:color="auto" w:fill="auto"/>
            <w:vAlign w:val="bottom"/>
            <w:hideMark/>
          </w:tcPr>
          <w:p w14:paraId="5CAFA9B5" w14:textId="09B50AFB"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108,96 </w:t>
            </w:r>
          </w:p>
        </w:tc>
        <w:tc>
          <w:tcPr>
            <w:tcW w:w="1275" w:type="dxa"/>
            <w:vAlign w:val="bottom"/>
          </w:tcPr>
          <w:p w14:paraId="5A0E7AB1" w14:textId="2F89A973"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106,61 </w:t>
            </w:r>
          </w:p>
        </w:tc>
        <w:tc>
          <w:tcPr>
            <w:tcW w:w="1120" w:type="dxa"/>
            <w:shd w:val="clear" w:color="auto" w:fill="auto"/>
            <w:vAlign w:val="bottom"/>
            <w:hideMark/>
          </w:tcPr>
          <w:p w14:paraId="7885AE64" w14:textId="777B2309"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108,10 </w:t>
            </w:r>
          </w:p>
        </w:tc>
      </w:tr>
      <w:tr w:rsidR="00FD7B0B" w:rsidRPr="00FD7B0B" w14:paraId="2F439881" w14:textId="77777777" w:rsidTr="00BE64F6">
        <w:trPr>
          <w:trHeight w:val="105"/>
        </w:trPr>
        <w:tc>
          <w:tcPr>
            <w:tcW w:w="5080" w:type="dxa"/>
            <w:shd w:val="clear" w:color="auto" w:fill="auto"/>
            <w:vAlign w:val="bottom"/>
            <w:hideMark/>
          </w:tcPr>
          <w:p w14:paraId="3E6D509B" w14:textId="77777777" w:rsidR="00117D8D" w:rsidRPr="00FD7B0B" w:rsidRDefault="00117D8D" w:rsidP="00117D8D">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темп изменения</w:t>
            </w:r>
          </w:p>
        </w:tc>
        <w:tc>
          <w:tcPr>
            <w:tcW w:w="1134" w:type="dxa"/>
            <w:shd w:val="clear" w:color="auto" w:fill="auto"/>
            <w:vAlign w:val="bottom"/>
            <w:hideMark/>
          </w:tcPr>
          <w:p w14:paraId="02BA2C2B" w14:textId="649274FA"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11,87 </w:t>
            </w:r>
          </w:p>
        </w:tc>
        <w:tc>
          <w:tcPr>
            <w:tcW w:w="1134" w:type="dxa"/>
            <w:shd w:val="clear" w:color="auto" w:fill="auto"/>
            <w:vAlign w:val="bottom"/>
            <w:hideMark/>
          </w:tcPr>
          <w:p w14:paraId="3B3D29A4" w14:textId="1A9A3EC8"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8,96 </w:t>
            </w:r>
          </w:p>
        </w:tc>
        <w:tc>
          <w:tcPr>
            <w:tcW w:w="1275" w:type="dxa"/>
            <w:vAlign w:val="bottom"/>
          </w:tcPr>
          <w:p w14:paraId="34733F04" w14:textId="532EFD34"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6,61 </w:t>
            </w:r>
          </w:p>
        </w:tc>
        <w:tc>
          <w:tcPr>
            <w:tcW w:w="1120" w:type="dxa"/>
            <w:shd w:val="clear" w:color="auto" w:fill="auto"/>
            <w:vAlign w:val="bottom"/>
            <w:hideMark/>
          </w:tcPr>
          <w:p w14:paraId="44453D0B" w14:textId="493787DE"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8,10 </w:t>
            </w:r>
          </w:p>
        </w:tc>
      </w:tr>
      <w:tr w:rsidR="00FD7B0B" w:rsidRPr="00FD7B0B" w14:paraId="3221A358" w14:textId="77777777" w:rsidTr="00BE64F6">
        <w:trPr>
          <w:trHeight w:val="507"/>
        </w:trPr>
        <w:tc>
          <w:tcPr>
            <w:tcW w:w="5080" w:type="dxa"/>
            <w:shd w:val="clear" w:color="auto" w:fill="auto"/>
            <w:vAlign w:val="bottom"/>
            <w:hideMark/>
          </w:tcPr>
          <w:p w14:paraId="4F3E479B" w14:textId="77777777" w:rsidR="00117D8D" w:rsidRPr="00FD7B0B" w:rsidRDefault="00117D8D" w:rsidP="00117D8D">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Реальные располагаемые денежные доходы населения АО (без НАО)</w:t>
            </w:r>
          </w:p>
        </w:tc>
        <w:tc>
          <w:tcPr>
            <w:tcW w:w="1134" w:type="dxa"/>
            <w:shd w:val="clear" w:color="auto" w:fill="auto"/>
            <w:vAlign w:val="bottom"/>
            <w:hideMark/>
          </w:tcPr>
          <w:p w14:paraId="234DEEBC" w14:textId="0875C821"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102,90 </w:t>
            </w:r>
          </w:p>
        </w:tc>
        <w:tc>
          <w:tcPr>
            <w:tcW w:w="1134" w:type="dxa"/>
            <w:shd w:val="clear" w:color="auto" w:fill="auto"/>
            <w:vAlign w:val="bottom"/>
            <w:hideMark/>
          </w:tcPr>
          <w:p w14:paraId="7FCC6B93" w14:textId="5E89B286"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106,30 </w:t>
            </w:r>
          </w:p>
        </w:tc>
        <w:tc>
          <w:tcPr>
            <w:tcW w:w="1275" w:type="dxa"/>
            <w:vAlign w:val="bottom"/>
          </w:tcPr>
          <w:p w14:paraId="6047D8F7" w14:textId="0C9299BB"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100,48 </w:t>
            </w:r>
          </w:p>
        </w:tc>
        <w:tc>
          <w:tcPr>
            <w:tcW w:w="1120" w:type="dxa"/>
            <w:shd w:val="clear" w:color="auto" w:fill="auto"/>
            <w:noWrap/>
            <w:vAlign w:val="bottom"/>
            <w:hideMark/>
          </w:tcPr>
          <w:p w14:paraId="3F5B7198" w14:textId="44926DA5"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99,4</w:t>
            </w:r>
          </w:p>
        </w:tc>
      </w:tr>
      <w:tr w:rsidR="00FD7B0B" w:rsidRPr="00FD7B0B" w14:paraId="0FBCE1A0" w14:textId="77777777" w:rsidTr="00BE64F6">
        <w:trPr>
          <w:trHeight w:val="185"/>
        </w:trPr>
        <w:tc>
          <w:tcPr>
            <w:tcW w:w="5080" w:type="dxa"/>
            <w:shd w:val="clear" w:color="auto" w:fill="auto"/>
            <w:vAlign w:val="bottom"/>
            <w:hideMark/>
          </w:tcPr>
          <w:p w14:paraId="4F84399D" w14:textId="77777777" w:rsidR="00117D8D" w:rsidRPr="00FD7B0B" w:rsidRDefault="00117D8D" w:rsidP="00117D8D">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темп изменения</w:t>
            </w:r>
          </w:p>
        </w:tc>
        <w:tc>
          <w:tcPr>
            <w:tcW w:w="1134" w:type="dxa"/>
            <w:shd w:val="clear" w:color="auto" w:fill="auto"/>
            <w:vAlign w:val="bottom"/>
            <w:hideMark/>
          </w:tcPr>
          <w:p w14:paraId="1EA3234A" w14:textId="50F9BBFB"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2,90 </w:t>
            </w:r>
          </w:p>
        </w:tc>
        <w:tc>
          <w:tcPr>
            <w:tcW w:w="1134" w:type="dxa"/>
            <w:shd w:val="clear" w:color="auto" w:fill="auto"/>
            <w:vAlign w:val="bottom"/>
            <w:hideMark/>
          </w:tcPr>
          <w:p w14:paraId="738D8CE5" w14:textId="74746BBA"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6,30 </w:t>
            </w:r>
          </w:p>
        </w:tc>
        <w:tc>
          <w:tcPr>
            <w:tcW w:w="1275" w:type="dxa"/>
            <w:vAlign w:val="bottom"/>
          </w:tcPr>
          <w:p w14:paraId="1863242E" w14:textId="3D6E32C0"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0,48 </w:t>
            </w:r>
          </w:p>
        </w:tc>
        <w:tc>
          <w:tcPr>
            <w:tcW w:w="1120" w:type="dxa"/>
            <w:shd w:val="clear" w:color="auto" w:fill="auto"/>
            <w:vAlign w:val="bottom"/>
            <w:hideMark/>
          </w:tcPr>
          <w:p w14:paraId="2E6FBD46" w14:textId="0CDB058E"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-0,6 </w:t>
            </w:r>
          </w:p>
        </w:tc>
      </w:tr>
      <w:tr w:rsidR="00117D8D" w:rsidRPr="00FD7B0B" w14:paraId="4137DF8D" w14:textId="77777777" w:rsidTr="001B35E9">
        <w:trPr>
          <w:trHeight w:val="435"/>
        </w:trPr>
        <w:tc>
          <w:tcPr>
            <w:tcW w:w="5080" w:type="dxa"/>
            <w:shd w:val="clear" w:color="auto" w:fill="auto"/>
            <w:vAlign w:val="bottom"/>
            <w:hideMark/>
          </w:tcPr>
          <w:p w14:paraId="5C287DA2" w14:textId="77777777" w:rsidR="00117D8D" w:rsidRPr="00FD7B0B" w:rsidRDefault="00117D8D" w:rsidP="00117D8D">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Численность населения с денежными доходами ниже прожиточного минимума, % от общей численности населения (уровень бедности) (2017 год - 13,9 %)</w:t>
            </w:r>
          </w:p>
        </w:tc>
        <w:tc>
          <w:tcPr>
            <w:tcW w:w="1134" w:type="dxa"/>
            <w:shd w:val="clear" w:color="auto" w:fill="auto"/>
            <w:vAlign w:val="bottom"/>
            <w:hideMark/>
          </w:tcPr>
          <w:p w14:paraId="186886C5" w14:textId="53F69444"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9,20 </w:t>
            </w:r>
          </w:p>
        </w:tc>
        <w:tc>
          <w:tcPr>
            <w:tcW w:w="1134" w:type="dxa"/>
            <w:shd w:val="clear" w:color="auto" w:fill="auto"/>
            <w:vAlign w:val="bottom"/>
            <w:hideMark/>
          </w:tcPr>
          <w:p w14:paraId="7D070203" w14:textId="41BDBD76"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8,50 </w:t>
            </w:r>
          </w:p>
        </w:tc>
        <w:tc>
          <w:tcPr>
            <w:tcW w:w="1275" w:type="dxa"/>
            <w:vAlign w:val="bottom"/>
          </w:tcPr>
          <w:p w14:paraId="10E5341D" w14:textId="334DBA4A"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9,00 </w:t>
            </w:r>
          </w:p>
        </w:tc>
        <w:tc>
          <w:tcPr>
            <w:tcW w:w="1120" w:type="dxa"/>
            <w:shd w:val="clear" w:color="auto" w:fill="auto"/>
            <w:noWrap/>
            <w:vAlign w:val="bottom"/>
            <w:hideMark/>
          </w:tcPr>
          <w:p w14:paraId="440CFC4D" w14:textId="6E3EA29F" w:rsidR="00117D8D" w:rsidRPr="00FD7B0B" w:rsidRDefault="00117D8D" w:rsidP="00117D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8,1</w:t>
            </w:r>
          </w:p>
        </w:tc>
      </w:tr>
    </w:tbl>
    <w:p w14:paraId="17880C4D" w14:textId="77777777" w:rsidR="005A472F" w:rsidRPr="00FD7B0B" w:rsidRDefault="005A472F" w:rsidP="00EB3768">
      <w:pPr>
        <w:spacing w:after="0" w:line="240" w:lineRule="auto"/>
        <w:rPr>
          <w:highlight w:val="cyan"/>
          <w:lang w:eastAsia="ru-RU"/>
        </w:rPr>
      </w:pPr>
    </w:p>
    <w:p w14:paraId="6B8DCBB8" w14:textId="77777777" w:rsidR="00EB3768" w:rsidRPr="00FD7B0B" w:rsidRDefault="00EB3768" w:rsidP="00EB3768">
      <w:pPr>
        <w:pStyle w:val="ad"/>
        <w:ind w:firstLine="709"/>
        <w:jc w:val="both"/>
        <w:rPr>
          <w:rFonts w:ascii="Times New Roman" w:hAnsi="Times New Roman"/>
          <w:sz w:val="28"/>
          <w:szCs w:val="28"/>
        </w:rPr>
      </w:pPr>
      <w:r w:rsidRPr="00FD7B0B">
        <w:rPr>
          <w:rFonts w:ascii="Times New Roman" w:hAnsi="Times New Roman"/>
          <w:sz w:val="28"/>
          <w:szCs w:val="28"/>
        </w:rPr>
        <w:t xml:space="preserve">Прирост по ряду показателей, характеризующих уровень жизни населения Архангельской области (без НАО) к показателю предыдущего года, за исключением показателя «Реальные назначенные пенсии» и «Реальные располагаемые денежные доходы населения АО» (без НАО), отвечает задачам, обозначенным Президентом в Послании к Федеральному Собранию </w:t>
      </w:r>
      <w:r w:rsidRPr="00FD7B0B">
        <w:rPr>
          <w:rFonts w:ascii="Times New Roman" w:hAnsi="Times New Roman"/>
          <w:sz w:val="28"/>
          <w:szCs w:val="28"/>
        </w:rPr>
        <w:lastRenderedPageBreak/>
        <w:t>(29.02.2024): «</w:t>
      </w:r>
      <w:r w:rsidRPr="00FD7B0B">
        <w:rPr>
          <w:rFonts w:ascii="Times New Roman" w:hAnsi="Times New Roman"/>
          <w:i/>
          <w:sz w:val="28"/>
          <w:szCs w:val="28"/>
        </w:rPr>
        <w:t>Темпы и, главное, качество роста позволяют надеяться и даже утверждать, что уже в ближайшей перспективе мы сможем сделать ещё один шаг вперёд: войдём в четвёрку крупнейших экономических держав мира. Такое развитие должно прямо конвертироваться в рост доходов семей наших граждан.</w:t>
      </w:r>
      <w:r w:rsidRPr="00FD7B0B">
        <w:rPr>
          <w:rFonts w:ascii="Times New Roman" w:hAnsi="Times New Roman"/>
          <w:sz w:val="28"/>
          <w:szCs w:val="28"/>
        </w:rPr>
        <w:t>»</w:t>
      </w:r>
      <w:r w:rsidRPr="00FD7B0B">
        <w:rPr>
          <w:rStyle w:val="afff1"/>
          <w:rFonts w:ascii="Times New Roman" w:hAnsi="Times New Roman"/>
          <w:sz w:val="28"/>
          <w:szCs w:val="28"/>
        </w:rPr>
        <w:footnoteReference w:id="8"/>
      </w:r>
      <w:r w:rsidRPr="00FD7B0B">
        <w:rPr>
          <w:rFonts w:ascii="Times New Roman" w:hAnsi="Times New Roman"/>
          <w:sz w:val="28"/>
          <w:szCs w:val="28"/>
        </w:rPr>
        <w:t>.</w:t>
      </w:r>
    </w:p>
    <w:p w14:paraId="6C5F6EA9" w14:textId="141BB851"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Показатель «Индекс потребительских цен и тарифов на товары и услуги» (на конец периода, в % к соответствующему периоду) сложился выше уровня 2023 года на 8,10 п.п. и выше показателя «Ожидаемая о</w:t>
      </w:r>
      <w:r w:rsidR="00EE73B6" w:rsidRPr="00FD7B0B">
        <w:rPr>
          <w:rFonts w:ascii="Times New Roman" w:hAnsi="Times New Roman"/>
          <w:sz w:val="28"/>
          <w:szCs w:val="28"/>
        </w:rPr>
        <w:t>ценка» на 2024 год на 1,49 п.п.</w:t>
      </w:r>
    </w:p>
    <w:p w14:paraId="24253871"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предварительным статистическим данным в 2024 году денежные доходы в среднем на душу населения в месяц в Российской Федерации составили 63 083 руб., по СЗФО – 68 922 руб., в Архангельской области – 61 056 руб., в Ленинградской области – 53 308 руб. Потребительские расходы в среднем на душу населения в месяц в Российской Федерации в 2024 году составили 47 934 руб., по СЗФО – 53 413 руб., в Архангельской области – 48 063 руб., в Ленинградской области – 43 382 руб.</w:t>
      </w:r>
    </w:p>
    <w:p w14:paraId="42F30205"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На 01.01.2024 просроченная задолженность по заработной плате в Архангельской области (без НАО) (по установленному кругу наблюдаемых видов экономической деятельности (без субъектов малого предпринимательства) составляла 2 976 тыс.руб. Согласно статистическим данным основные причины сложившейся задолженности – это отсутствие собственных средств (1 174 тыс.руб.) и несвоевременного получения денежных средств из бюджетов всех уровней (1 802 тыс.руб.).</w:t>
      </w:r>
    </w:p>
    <w:p w14:paraId="7FA151C7" w14:textId="50F55A3F"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состоянию на 01.01.2025 по данным статистики просроченная задолженность по заработной плате в Архангельской области (без НАО) (по установленному кругу наблюдаемых видов экономической деятельности (без субъектов малого пр</w:t>
      </w:r>
      <w:r w:rsidR="007A1A32" w:rsidRPr="00FD7B0B">
        <w:rPr>
          <w:rFonts w:ascii="Times New Roman" w:hAnsi="Times New Roman"/>
          <w:sz w:val="28"/>
          <w:szCs w:val="28"/>
        </w:rPr>
        <w:t>едпринимательства) отсутствует.</w:t>
      </w:r>
    </w:p>
    <w:p w14:paraId="6ACB48EF" w14:textId="77777777" w:rsidR="005A472F" w:rsidRPr="00FD7B0B" w:rsidRDefault="005A472F" w:rsidP="005A472F">
      <w:pPr>
        <w:pStyle w:val="2"/>
        <w:spacing w:before="120" w:after="0" w:line="240" w:lineRule="auto"/>
        <w:jc w:val="center"/>
        <w:rPr>
          <w:rFonts w:ascii="Times New Roman" w:hAnsi="Times New Roman"/>
          <w:lang w:val="ru-RU"/>
        </w:rPr>
      </w:pPr>
      <w:bookmarkStart w:id="72" w:name="_Toc451785035"/>
      <w:bookmarkStart w:id="73" w:name="_Toc515024211"/>
      <w:bookmarkStart w:id="74" w:name="_Toc9262563"/>
      <w:bookmarkStart w:id="75" w:name="_Toc42006713"/>
      <w:bookmarkStart w:id="76" w:name="_Toc72822966"/>
      <w:bookmarkStart w:id="77" w:name="_Toc104284472"/>
      <w:bookmarkStart w:id="78" w:name="_Toc135659995"/>
      <w:bookmarkStart w:id="79" w:name="_Toc167454825"/>
      <w:bookmarkStart w:id="80" w:name="_Toc198819122"/>
      <w:bookmarkEnd w:id="46"/>
      <w:bookmarkEnd w:id="47"/>
      <w:bookmarkEnd w:id="71"/>
      <w:r w:rsidRPr="00FD7B0B">
        <w:rPr>
          <w:rFonts w:ascii="Times New Roman" w:hAnsi="Times New Roman"/>
          <w:lang w:val="ru-RU"/>
        </w:rPr>
        <w:t>1.9. Демографическая ситуация</w:t>
      </w:r>
      <w:bookmarkEnd w:id="72"/>
      <w:bookmarkEnd w:id="73"/>
      <w:bookmarkEnd w:id="74"/>
      <w:bookmarkEnd w:id="75"/>
      <w:bookmarkEnd w:id="76"/>
      <w:bookmarkEnd w:id="77"/>
      <w:bookmarkEnd w:id="78"/>
      <w:bookmarkEnd w:id="79"/>
      <w:bookmarkEnd w:id="80"/>
    </w:p>
    <w:p w14:paraId="0D467465" w14:textId="2EE51025"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Архангельской области (без НАО) численность постоянного населения на 01.01.2025 составляет 947,5 тыс.чел., что на 0,9 % меньше численности населения области на 01.01.2024 год (955,9 тыс.чел.), а среднегодовая численность постоянного населения области за 2024 год составила 951,69 тыс.чел., среднегодовая численность постоянного населения области за 2023 год составляла 960,1 тыс.чел.</w:t>
      </w:r>
    </w:p>
    <w:p w14:paraId="62EBF8F7" w14:textId="2A3C0632"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По предварительным статистическим данным численность постоянного населения Архангельской области (без НАО) </w:t>
      </w:r>
      <w:r w:rsidR="000E7BEE" w:rsidRPr="00FD7B0B">
        <w:rPr>
          <w:rFonts w:ascii="Times New Roman" w:hAnsi="Times New Roman"/>
          <w:sz w:val="28"/>
          <w:szCs w:val="28"/>
        </w:rPr>
        <w:t xml:space="preserve">ежегодно </w:t>
      </w:r>
      <w:r w:rsidRPr="00FD7B0B">
        <w:rPr>
          <w:rFonts w:ascii="Times New Roman" w:hAnsi="Times New Roman"/>
          <w:sz w:val="28"/>
          <w:szCs w:val="28"/>
        </w:rPr>
        <w:t xml:space="preserve">сокращается, что представлено в таблице </w:t>
      </w:r>
      <w:r w:rsidR="001607FB" w:rsidRPr="00FD7B0B">
        <w:rPr>
          <w:rFonts w:ascii="Times New Roman" w:hAnsi="Times New Roman"/>
          <w:sz w:val="28"/>
          <w:szCs w:val="28"/>
        </w:rPr>
        <w:t>21</w:t>
      </w:r>
      <w:r w:rsidRPr="00FD7B0B">
        <w:rPr>
          <w:rFonts w:ascii="Times New Roman" w:hAnsi="Times New Roman"/>
          <w:sz w:val="28"/>
          <w:szCs w:val="28"/>
        </w:rPr>
        <w:t>.</w:t>
      </w:r>
    </w:p>
    <w:p w14:paraId="11BB175E" w14:textId="77777777" w:rsidR="005A472F" w:rsidRPr="00FD7B0B" w:rsidRDefault="005A472F" w:rsidP="005A472F">
      <w:pPr>
        <w:pStyle w:val="ad"/>
        <w:ind w:firstLine="851"/>
        <w:jc w:val="both"/>
        <w:rPr>
          <w:rFonts w:ascii="Times New Roman" w:hAnsi="Times New Roman"/>
        </w:rPr>
      </w:pPr>
    </w:p>
    <w:p w14:paraId="5BC66D6D" w14:textId="77777777" w:rsidR="001607FB" w:rsidRPr="00FD7B0B" w:rsidRDefault="001607FB" w:rsidP="005A472F">
      <w:pPr>
        <w:pStyle w:val="aff0"/>
        <w:spacing w:after="0" w:line="240" w:lineRule="auto"/>
        <w:rPr>
          <w:rFonts w:ascii="Times New Roman" w:hAnsi="Times New Roman"/>
          <w:b w:val="0"/>
          <w:sz w:val="24"/>
          <w:szCs w:val="24"/>
        </w:rPr>
      </w:pPr>
    </w:p>
    <w:p w14:paraId="6660D074" w14:textId="77777777" w:rsidR="001607FB" w:rsidRPr="00FD7B0B" w:rsidRDefault="001607FB" w:rsidP="005A472F">
      <w:pPr>
        <w:pStyle w:val="aff0"/>
        <w:spacing w:after="0" w:line="240" w:lineRule="auto"/>
        <w:rPr>
          <w:rFonts w:ascii="Times New Roman" w:hAnsi="Times New Roman"/>
          <w:b w:val="0"/>
          <w:sz w:val="24"/>
          <w:szCs w:val="24"/>
        </w:rPr>
      </w:pPr>
    </w:p>
    <w:p w14:paraId="2B29D486" w14:textId="77777777" w:rsidR="001607FB" w:rsidRPr="00FD7B0B" w:rsidRDefault="001607FB" w:rsidP="005A472F">
      <w:pPr>
        <w:pStyle w:val="aff0"/>
        <w:spacing w:after="0" w:line="240" w:lineRule="auto"/>
        <w:rPr>
          <w:rFonts w:ascii="Times New Roman" w:hAnsi="Times New Roman"/>
          <w:b w:val="0"/>
          <w:sz w:val="24"/>
          <w:szCs w:val="24"/>
        </w:rPr>
      </w:pPr>
    </w:p>
    <w:p w14:paraId="7ECADF1C" w14:textId="77777777" w:rsidR="001607FB" w:rsidRPr="00FD7B0B" w:rsidRDefault="001607FB" w:rsidP="005A472F">
      <w:pPr>
        <w:pStyle w:val="aff0"/>
        <w:spacing w:after="0" w:line="240" w:lineRule="auto"/>
        <w:rPr>
          <w:rFonts w:ascii="Times New Roman" w:hAnsi="Times New Roman"/>
          <w:b w:val="0"/>
          <w:sz w:val="24"/>
          <w:szCs w:val="24"/>
        </w:rPr>
      </w:pPr>
    </w:p>
    <w:p w14:paraId="517C1962"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21</w:t>
      </w:r>
      <w:r w:rsidRPr="00FD7B0B">
        <w:rPr>
          <w:rFonts w:ascii="Times New Roman" w:hAnsi="Times New Roman"/>
          <w:b w:val="0"/>
          <w:sz w:val="24"/>
          <w:szCs w:val="24"/>
        </w:rPr>
        <w:fldChar w:fldCharType="end"/>
      </w:r>
      <w:r w:rsidRPr="00FD7B0B">
        <w:rPr>
          <w:rFonts w:ascii="Times New Roman" w:hAnsi="Times New Roman"/>
          <w:b w:val="0"/>
          <w:sz w:val="24"/>
          <w:szCs w:val="24"/>
        </w:rPr>
        <w:t>. Численность постоянного населения Архангельской области на 01 января (без НАО), тыс.чел.</w:t>
      </w:r>
    </w:p>
    <w:tbl>
      <w:tblPr>
        <w:tblW w:w="9529"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1985"/>
        <w:gridCol w:w="878"/>
        <w:gridCol w:w="986"/>
        <w:gridCol w:w="674"/>
        <w:gridCol w:w="878"/>
        <w:gridCol w:w="986"/>
        <w:gridCol w:w="626"/>
        <w:gridCol w:w="925"/>
        <w:gridCol w:w="986"/>
        <w:gridCol w:w="605"/>
      </w:tblGrid>
      <w:tr w:rsidR="00FD7B0B" w:rsidRPr="00FD7B0B" w14:paraId="1104292B" w14:textId="77777777" w:rsidTr="00BE64F6">
        <w:trPr>
          <w:trHeight w:val="23"/>
          <w:tblHeader/>
        </w:trPr>
        <w:tc>
          <w:tcPr>
            <w:tcW w:w="1985" w:type="dxa"/>
            <w:vMerge w:val="restart"/>
            <w:shd w:val="clear" w:color="auto" w:fill="auto"/>
            <w:noWrap/>
            <w:vAlign w:val="center"/>
            <w:hideMark/>
          </w:tcPr>
          <w:p w14:paraId="20E6B333"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Период </w:t>
            </w:r>
          </w:p>
        </w:tc>
        <w:tc>
          <w:tcPr>
            <w:tcW w:w="2538" w:type="dxa"/>
            <w:gridSpan w:val="3"/>
            <w:shd w:val="clear" w:color="auto" w:fill="auto"/>
            <w:vAlign w:val="center"/>
            <w:hideMark/>
          </w:tcPr>
          <w:p w14:paraId="4D7562E6"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Все население</w:t>
            </w:r>
          </w:p>
        </w:tc>
        <w:tc>
          <w:tcPr>
            <w:tcW w:w="2490" w:type="dxa"/>
            <w:gridSpan w:val="3"/>
            <w:shd w:val="clear" w:color="auto" w:fill="auto"/>
            <w:vAlign w:val="center"/>
            <w:hideMark/>
          </w:tcPr>
          <w:p w14:paraId="2B5FF450"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Городское население</w:t>
            </w:r>
          </w:p>
        </w:tc>
        <w:tc>
          <w:tcPr>
            <w:tcW w:w="2516" w:type="dxa"/>
            <w:gridSpan w:val="3"/>
            <w:shd w:val="clear" w:color="auto" w:fill="auto"/>
            <w:vAlign w:val="center"/>
            <w:hideMark/>
          </w:tcPr>
          <w:p w14:paraId="1B2C63FA"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Сельское население</w:t>
            </w:r>
          </w:p>
        </w:tc>
      </w:tr>
      <w:tr w:rsidR="00FD7B0B" w:rsidRPr="00FD7B0B" w14:paraId="634215FE" w14:textId="77777777" w:rsidTr="00BE64F6">
        <w:trPr>
          <w:trHeight w:val="606"/>
          <w:tblHeader/>
        </w:trPr>
        <w:tc>
          <w:tcPr>
            <w:tcW w:w="1985" w:type="dxa"/>
            <w:vMerge/>
            <w:vAlign w:val="center"/>
            <w:hideMark/>
          </w:tcPr>
          <w:p w14:paraId="67AC04B3" w14:textId="77777777" w:rsidR="005A472F" w:rsidRPr="00FD7B0B" w:rsidRDefault="005A472F" w:rsidP="00BE64F6">
            <w:pPr>
              <w:spacing w:after="0" w:line="240" w:lineRule="auto"/>
              <w:rPr>
                <w:rFonts w:ascii="Times New Roman" w:eastAsia="Times New Roman" w:hAnsi="Times New Roman" w:cs="Times New Roman"/>
                <w:lang w:eastAsia="ru-RU"/>
              </w:rPr>
            </w:pPr>
          </w:p>
        </w:tc>
        <w:tc>
          <w:tcPr>
            <w:tcW w:w="878" w:type="dxa"/>
            <w:vMerge w:val="restart"/>
            <w:shd w:val="clear" w:color="auto" w:fill="auto"/>
            <w:vAlign w:val="center"/>
            <w:hideMark/>
          </w:tcPr>
          <w:p w14:paraId="4D3D3C11" w14:textId="77777777" w:rsidR="005A472F" w:rsidRPr="00FD7B0B" w:rsidRDefault="005A472F" w:rsidP="00BE64F6">
            <w:pPr>
              <w:spacing w:after="0" w:line="240" w:lineRule="auto"/>
              <w:ind w:left="-108" w:right="-112"/>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тыс.чел.</w:t>
            </w:r>
          </w:p>
        </w:tc>
        <w:tc>
          <w:tcPr>
            <w:tcW w:w="1660" w:type="dxa"/>
            <w:gridSpan w:val="2"/>
            <w:shd w:val="clear" w:color="auto" w:fill="auto"/>
            <w:vAlign w:val="center"/>
            <w:hideMark/>
          </w:tcPr>
          <w:p w14:paraId="41362760" w14:textId="77777777" w:rsidR="005A472F" w:rsidRPr="00FD7B0B" w:rsidRDefault="005A472F" w:rsidP="00BE64F6">
            <w:pPr>
              <w:spacing w:after="0" w:line="240" w:lineRule="auto"/>
              <w:ind w:left="-108" w:right="-112"/>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Изменение к предыдущему году</w:t>
            </w:r>
          </w:p>
        </w:tc>
        <w:tc>
          <w:tcPr>
            <w:tcW w:w="878" w:type="dxa"/>
            <w:vMerge w:val="restart"/>
            <w:shd w:val="clear" w:color="auto" w:fill="auto"/>
            <w:vAlign w:val="center"/>
            <w:hideMark/>
          </w:tcPr>
          <w:p w14:paraId="5591677D" w14:textId="77777777" w:rsidR="005A472F" w:rsidRPr="00FD7B0B" w:rsidRDefault="005A472F" w:rsidP="00BE64F6">
            <w:pPr>
              <w:spacing w:after="0" w:line="240" w:lineRule="auto"/>
              <w:ind w:left="-108" w:right="-112"/>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тыс.чел.</w:t>
            </w:r>
          </w:p>
        </w:tc>
        <w:tc>
          <w:tcPr>
            <w:tcW w:w="1612" w:type="dxa"/>
            <w:gridSpan w:val="2"/>
            <w:shd w:val="clear" w:color="auto" w:fill="auto"/>
            <w:vAlign w:val="center"/>
            <w:hideMark/>
          </w:tcPr>
          <w:p w14:paraId="463C098A" w14:textId="77777777" w:rsidR="005A472F" w:rsidRPr="00FD7B0B" w:rsidRDefault="005A472F" w:rsidP="00BE64F6">
            <w:pPr>
              <w:spacing w:after="0" w:line="240" w:lineRule="auto"/>
              <w:ind w:left="-108" w:right="-112"/>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Изменение к предыдущему году</w:t>
            </w:r>
          </w:p>
        </w:tc>
        <w:tc>
          <w:tcPr>
            <w:tcW w:w="925" w:type="dxa"/>
            <w:vMerge w:val="restart"/>
            <w:shd w:val="clear" w:color="auto" w:fill="auto"/>
            <w:vAlign w:val="center"/>
            <w:hideMark/>
          </w:tcPr>
          <w:p w14:paraId="0846D8E4" w14:textId="77777777" w:rsidR="005A472F" w:rsidRPr="00FD7B0B" w:rsidRDefault="005A472F" w:rsidP="00BE64F6">
            <w:pPr>
              <w:spacing w:after="0" w:line="240" w:lineRule="auto"/>
              <w:ind w:left="-108" w:right="-112"/>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тыс.чел.</w:t>
            </w:r>
          </w:p>
        </w:tc>
        <w:tc>
          <w:tcPr>
            <w:tcW w:w="1591" w:type="dxa"/>
            <w:gridSpan w:val="2"/>
            <w:shd w:val="clear" w:color="auto" w:fill="auto"/>
            <w:vAlign w:val="center"/>
            <w:hideMark/>
          </w:tcPr>
          <w:p w14:paraId="20FB4991" w14:textId="77777777" w:rsidR="005A472F" w:rsidRPr="00FD7B0B" w:rsidRDefault="005A472F" w:rsidP="00BE64F6">
            <w:pPr>
              <w:spacing w:after="0" w:line="240" w:lineRule="auto"/>
              <w:ind w:left="-108" w:right="-112"/>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Изменение к предыдущему году</w:t>
            </w:r>
          </w:p>
        </w:tc>
      </w:tr>
      <w:tr w:rsidR="00FD7B0B" w:rsidRPr="00FD7B0B" w14:paraId="6338DA09" w14:textId="77777777" w:rsidTr="00BE64F6">
        <w:trPr>
          <w:trHeight w:val="149"/>
          <w:tblHeader/>
        </w:trPr>
        <w:tc>
          <w:tcPr>
            <w:tcW w:w="1985" w:type="dxa"/>
            <w:vMerge/>
            <w:vAlign w:val="center"/>
            <w:hideMark/>
          </w:tcPr>
          <w:p w14:paraId="795294B3" w14:textId="77777777" w:rsidR="005A472F" w:rsidRPr="00FD7B0B" w:rsidRDefault="005A472F" w:rsidP="00BE64F6">
            <w:pPr>
              <w:spacing w:after="0" w:line="240" w:lineRule="auto"/>
              <w:rPr>
                <w:rFonts w:ascii="Times New Roman" w:eastAsia="Times New Roman" w:hAnsi="Times New Roman" w:cs="Times New Roman"/>
                <w:lang w:eastAsia="ru-RU"/>
              </w:rPr>
            </w:pPr>
          </w:p>
        </w:tc>
        <w:tc>
          <w:tcPr>
            <w:tcW w:w="878" w:type="dxa"/>
            <w:vMerge/>
            <w:vAlign w:val="center"/>
            <w:hideMark/>
          </w:tcPr>
          <w:p w14:paraId="701F98A7" w14:textId="77777777" w:rsidR="005A472F" w:rsidRPr="00FD7B0B" w:rsidRDefault="005A472F" w:rsidP="00BE64F6">
            <w:pPr>
              <w:spacing w:after="0" w:line="240" w:lineRule="auto"/>
              <w:rPr>
                <w:rFonts w:ascii="Times New Roman" w:eastAsia="Times New Roman" w:hAnsi="Times New Roman" w:cs="Times New Roman"/>
                <w:lang w:eastAsia="ru-RU"/>
              </w:rPr>
            </w:pPr>
          </w:p>
        </w:tc>
        <w:tc>
          <w:tcPr>
            <w:tcW w:w="986" w:type="dxa"/>
            <w:shd w:val="clear" w:color="auto" w:fill="auto"/>
            <w:vAlign w:val="center"/>
            <w:hideMark/>
          </w:tcPr>
          <w:p w14:paraId="073021CD"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тыс.чел.</w:t>
            </w:r>
          </w:p>
        </w:tc>
        <w:tc>
          <w:tcPr>
            <w:tcW w:w="674" w:type="dxa"/>
            <w:shd w:val="clear" w:color="auto" w:fill="auto"/>
            <w:vAlign w:val="center"/>
            <w:hideMark/>
          </w:tcPr>
          <w:p w14:paraId="5C8D74EF"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878" w:type="dxa"/>
            <w:vMerge/>
            <w:vAlign w:val="center"/>
            <w:hideMark/>
          </w:tcPr>
          <w:p w14:paraId="39CBEF42" w14:textId="77777777" w:rsidR="005A472F" w:rsidRPr="00FD7B0B" w:rsidRDefault="005A472F" w:rsidP="00BE64F6">
            <w:pPr>
              <w:spacing w:after="0" w:line="240" w:lineRule="auto"/>
              <w:rPr>
                <w:rFonts w:ascii="Times New Roman" w:eastAsia="Times New Roman" w:hAnsi="Times New Roman" w:cs="Times New Roman"/>
                <w:lang w:eastAsia="ru-RU"/>
              </w:rPr>
            </w:pPr>
          </w:p>
        </w:tc>
        <w:tc>
          <w:tcPr>
            <w:tcW w:w="986" w:type="dxa"/>
            <w:shd w:val="clear" w:color="auto" w:fill="auto"/>
            <w:vAlign w:val="center"/>
            <w:hideMark/>
          </w:tcPr>
          <w:p w14:paraId="5FA6892C"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тыс.чел.</w:t>
            </w:r>
          </w:p>
        </w:tc>
        <w:tc>
          <w:tcPr>
            <w:tcW w:w="626" w:type="dxa"/>
            <w:shd w:val="clear" w:color="auto" w:fill="auto"/>
            <w:vAlign w:val="center"/>
            <w:hideMark/>
          </w:tcPr>
          <w:p w14:paraId="12E940CB"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925" w:type="dxa"/>
            <w:vMerge/>
            <w:vAlign w:val="center"/>
            <w:hideMark/>
          </w:tcPr>
          <w:p w14:paraId="19675D20" w14:textId="77777777" w:rsidR="005A472F" w:rsidRPr="00FD7B0B" w:rsidRDefault="005A472F" w:rsidP="00BE64F6">
            <w:pPr>
              <w:spacing w:after="0" w:line="240" w:lineRule="auto"/>
              <w:rPr>
                <w:rFonts w:ascii="Times New Roman" w:eastAsia="Times New Roman" w:hAnsi="Times New Roman" w:cs="Times New Roman"/>
                <w:lang w:eastAsia="ru-RU"/>
              </w:rPr>
            </w:pPr>
          </w:p>
        </w:tc>
        <w:tc>
          <w:tcPr>
            <w:tcW w:w="986" w:type="dxa"/>
            <w:shd w:val="clear" w:color="auto" w:fill="auto"/>
            <w:vAlign w:val="center"/>
            <w:hideMark/>
          </w:tcPr>
          <w:p w14:paraId="2D6C6300"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тыс.чел.</w:t>
            </w:r>
          </w:p>
        </w:tc>
        <w:tc>
          <w:tcPr>
            <w:tcW w:w="605" w:type="dxa"/>
            <w:shd w:val="clear" w:color="auto" w:fill="auto"/>
            <w:vAlign w:val="center"/>
            <w:hideMark/>
          </w:tcPr>
          <w:p w14:paraId="321ED0B1"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r>
      <w:tr w:rsidR="00FD7B0B" w:rsidRPr="00FD7B0B" w14:paraId="5C7D2EB2" w14:textId="77777777" w:rsidTr="001B63F7">
        <w:trPr>
          <w:trHeight w:val="201"/>
          <w:tblHeader/>
        </w:trPr>
        <w:tc>
          <w:tcPr>
            <w:tcW w:w="1985" w:type="dxa"/>
            <w:vAlign w:val="center"/>
          </w:tcPr>
          <w:p w14:paraId="17116CE7"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 01.01.2025</w:t>
            </w:r>
          </w:p>
        </w:tc>
        <w:tc>
          <w:tcPr>
            <w:tcW w:w="878" w:type="dxa"/>
            <w:vAlign w:val="bottom"/>
          </w:tcPr>
          <w:p w14:paraId="128BA76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947,5</w:t>
            </w:r>
          </w:p>
        </w:tc>
        <w:tc>
          <w:tcPr>
            <w:tcW w:w="986" w:type="dxa"/>
            <w:shd w:val="clear" w:color="auto" w:fill="auto"/>
            <w:vAlign w:val="bottom"/>
          </w:tcPr>
          <w:p w14:paraId="12A1A07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-8,4</w:t>
            </w:r>
          </w:p>
        </w:tc>
        <w:tc>
          <w:tcPr>
            <w:tcW w:w="674" w:type="dxa"/>
            <w:shd w:val="clear" w:color="auto" w:fill="auto"/>
            <w:vAlign w:val="bottom"/>
          </w:tcPr>
          <w:p w14:paraId="5D96AA3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-0,9</w:t>
            </w:r>
          </w:p>
        </w:tc>
        <w:tc>
          <w:tcPr>
            <w:tcW w:w="878" w:type="dxa"/>
            <w:vAlign w:val="bottom"/>
          </w:tcPr>
          <w:p w14:paraId="780D9CE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742,7</w:t>
            </w:r>
          </w:p>
        </w:tc>
        <w:tc>
          <w:tcPr>
            <w:tcW w:w="986" w:type="dxa"/>
            <w:shd w:val="clear" w:color="auto" w:fill="auto"/>
            <w:vAlign w:val="bottom"/>
          </w:tcPr>
          <w:p w14:paraId="3D4A4E3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-3,8</w:t>
            </w:r>
          </w:p>
        </w:tc>
        <w:tc>
          <w:tcPr>
            <w:tcW w:w="626" w:type="dxa"/>
            <w:shd w:val="clear" w:color="auto" w:fill="auto"/>
            <w:vAlign w:val="bottom"/>
          </w:tcPr>
          <w:p w14:paraId="66A6B83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-0,5</w:t>
            </w:r>
          </w:p>
        </w:tc>
        <w:tc>
          <w:tcPr>
            <w:tcW w:w="925" w:type="dxa"/>
            <w:vAlign w:val="bottom"/>
          </w:tcPr>
          <w:p w14:paraId="24F51C7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204,8</w:t>
            </w:r>
          </w:p>
        </w:tc>
        <w:tc>
          <w:tcPr>
            <w:tcW w:w="986" w:type="dxa"/>
            <w:shd w:val="clear" w:color="auto" w:fill="auto"/>
            <w:vAlign w:val="bottom"/>
          </w:tcPr>
          <w:p w14:paraId="6A5129C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-4,6</w:t>
            </w:r>
          </w:p>
        </w:tc>
        <w:tc>
          <w:tcPr>
            <w:tcW w:w="605" w:type="dxa"/>
            <w:shd w:val="clear" w:color="auto" w:fill="auto"/>
            <w:vAlign w:val="bottom"/>
          </w:tcPr>
          <w:p w14:paraId="46BD053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w:t>
            </w:r>
          </w:p>
        </w:tc>
      </w:tr>
      <w:tr w:rsidR="00FD7B0B" w:rsidRPr="00FD7B0B" w14:paraId="52F85FE7" w14:textId="77777777" w:rsidTr="00BE64F6">
        <w:trPr>
          <w:trHeight w:hRule="exact" w:val="255"/>
        </w:trPr>
        <w:tc>
          <w:tcPr>
            <w:tcW w:w="1985" w:type="dxa"/>
            <w:shd w:val="clear" w:color="auto" w:fill="auto"/>
            <w:noWrap/>
            <w:vAlign w:val="bottom"/>
            <w:hideMark/>
          </w:tcPr>
          <w:p w14:paraId="49755335"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 01.01.2024</w:t>
            </w:r>
          </w:p>
        </w:tc>
        <w:tc>
          <w:tcPr>
            <w:tcW w:w="878" w:type="dxa"/>
            <w:shd w:val="clear" w:color="auto" w:fill="auto"/>
            <w:vAlign w:val="bottom"/>
            <w:hideMark/>
          </w:tcPr>
          <w:p w14:paraId="3505EB5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955,9</w:t>
            </w:r>
          </w:p>
        </w:tc>
        <w:tc>
          <w:tcPr>
            <w:tcW w:w="986" w:type="dxa"/>
            <w:shd w:val="clear" w:color="auto" w:fill="auto"/>
            <w:vAlign w:val="bottom"/>
            <w:hideMark/>
          </w:tcPr>
          <w:p w14:paraId="3F22A00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-8,4 </w:t>
            </w:r>
          </w:p>
        </w:tc>
        <w:tc>
          <w:tcPr>
            <w:tcW w:w="674" w:type="dxa"/>
            <w:shd w:val="clear" w:color="auto" w:fill="auto"/>
            <w:vAlign w:val="bottom"/>
            <w:hideMark/>
          </w:tcPr>
          <w:p w14:paraId="2E621F8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-0,9 </w:t>
            </w:r>
          </w:p>
        </w:tc>
        <w:tc>
          <w:tcPr>
            <w:tcW w:w="878" w:type="dxa"/>
            <w:shd w:val="clear" w:color="auto" w:fill="auto"/>
            <w:vAlign w:val="bottom"/>
            <w:hideMark/>
          </w:tcPr>
          <w:p w14:paraId="056183D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746,5</w:t>
            </w:r>
          </w:p>
        </w:tc>
        <w:tc>
          <w:tcPr>
            <w:tcW w:w="986" w:type="dxa"/>
            <w:shd w:val="clear" w:color="auto" w:fill="auto"/>
            <w:vAlign w:val="bottom"/>
            <w:hideMark/>
          </w:tcPr>
          <w:p w14:paraId="090AE51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-4,1 </w:t>
            </w:r>
          </w:p>
        </w:tc>
        <w:tc>
          <w:tcPr>
            <w:tcW w:w="626" w:type="dxa"/>
            <w:shd w:val="clear" w:color="auto" w:fill="auto"/>
            <w:vAlign w:val="bottom"/>
            <w:hideMark/>
          </w:tcPr>
          <w:p w14:paraId="02032FA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-0,5 </w:t>
            </w:r>
          </w:p>
        </w:tc>
        <w:tc>
          <w:tcPr>
            <w:tcW w:w="925" w:type="dxa"/>
            <w:shd w:val="clear" w:color="auto" w:fill="auto"/>
            <w:vAlign w:val="bottom"/>
            <w:hideMark/>
          </w:tcPr>
          <w:p w14:paraId="4F479EB0"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209,4</w:t>
            </w:r>
          </w:p>
        </w:tc>
        <w:tc>
          <w:tcPr>
            <w:tcW w:w="986" w:type="dxa"/>
            <w:shd w:val="clear" w:color="auto" w:fill="auto"/>
            <w:vAlign w:val="bottom"/>
            <w:hideMark/>
          </w:tcPr>
          <w:p w14:paraId="099FA64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-4,3 </w:t>
            </w:r>
          </w:p>
        </w:tc>
        <w:tc>
          <w:tcPr>
            <w:tcW w:w="605" w:type="dxa"/>
            <w:shd w:val="clear" w:color="auto" w:fill="auto"/>
            <w:vAlign w:val="bottom"/>
            <w:hideMark/>
          </w:tcPr>
          <w:p w14:paraId="4CBB92B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 </w:t>
            </w:r>
          </w:p>
        </w:tc>
      </w:tr>
      <w:tr w:rsidR="00FD7B0B" w:rsidRPr="00FD7B0B" w14:paraId="5F597731" w14:textId="77777777" w:rsidTr="00BE64F6">
        <w:trPr>
          <w:trHeight w:hRule="exact" w:val="255"/>
        </w:trPr>
        <w:tc>
          <w:tcPr>
            <w:tcW w:w="1985" w:type="dxa"/>
            <w:shd w:val="clear" w:color="auto" w:fill="auto"/>
            <w:noWrap/>
            <w:vAlign w:val="bottom"/>
            <w:hideMark/>
          </w:tcPr>
          <w:p w14:paraId="1D841090"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 01.01.2023</w:t>
            </w:r>
          </w:p>
        </w:tc>
        <w:tc>
          <w:tcPr>
            <w:tcW w:w="878" w:type="dxa"/>
            <w:shd w:val="clear" w:color="auto" w:fill="auto"/>
            <w:vAlign w:val="bottom"/>
            <w:hideMark/>
          </w:tcPr>
          <w:p w14:paraId="6E7C308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964,3 </w:t>
            </w:r>
          </w:p>
        </w:tc>
        <w:tc>
          <w:tcPr>
            <w:tcW w:w="986" w:type="dxa"/>
            <w:shd w:val="clear" w:color="auto" w:fill="auto"/>
            <w:vAlign w:val="bottom"/>
            <w:hideMark/>
          </w:tcPr>
          <w:p w14:paraId="2D5E076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-10,3 </w:t>
            </w:r>
          </w:p>
        </w:tc>
        <w:tc>
          <w:tcPr>
            <w:tcW w:w="674" w:type="dxa"/>
            <w:shd w:val="clear" w:color="auto" w:fill="auto"/>
            <w:vAlign w:val="bottom"/>
            <w:hideMark/>
          </w:tcPr>
          <w:p w14:paraId="0B4DDC6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 </w:t>
            </w:r>
          </w:p>
        </w:tc>
        <w:tc>
          <w:tcPr>
            <w:tcW w:w="878" w:type="dxa"/>
            <w:shd w:val="clear" w:color="auto" w:fill="auto"/>
            <w:vAlign w:val="bottom"/>
            <w:hideMark/>
          </w:tcPr>
          <w:p w14:paraId="450CE57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750,6 </w:t>
            </w:r>
          </w:p>
        </w:tc>
        <w:tc>
          <w:tcPr>
            <w:tcW w:w="986" w:type="dxa"/>
            <w:shd w:val="clear" w:color="auto" w:fill="auto"/>
            <w:vAlign w:val="bottom"/>
            <w:hideMark/>
          </w:tcPr>
          <w:p w14:paraId="1ACBA06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-5,7 </w:t>
            </w:r>
          </w:p>
        </w:tc>
        <w:tc>
          <w:tcPr>
            <w:tcW w:w="626" w:type="dxa"/>
            <w:shd w:val="clear" w:color="auto" w:fill="auto"/>
            <w:vAlign w:val="bottom"/>
            <w:hideMark/>
          </w:tcPr>
          <w:p w14:paraId="10D4922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-0,8 </w:t>
            </w:r>
          </w:p>
        </w:tc>
        <w:tc>
          <w:tcPr>
            <w:tcW w:w="925" w:type="dxa"/>
            <w:shd w:val="clear" w:color="auto" w:fill="auto"/>
            <w:vAlign w:val="bottom"/>
            <w:hideMark/>
          </w:tcPr>
          <w:p w14:paraId="45F72DF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213,7 </w:t>
            </w:r>
          </w:p>
        </w:tc>
        <w:tc>
          <w:tcPr>
            <w:tcW w:w="986" w:type="dxa"/>
            <w:shd w:val="clear" w:color="auto" w:fill="auto"/>
            <w:vAlign w:val="bottom"/>
            <w:hideMark/>
          </w:tcPr>
          <w:p w14:paraId="36AA5F9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-4,6 </w:t>
            </w:r>
          </w:p>
        </w:tc>
        <w:tc>
          <w:tcPr>
            <w:tcW w:w="605" w:type="dxa"/>
            <w:shd w:val="clear" w:color="auto" w:fill="auto"/>
            <w:vAlign w:val="bottom"/>
            <w:hideMark/>
          </w:tcPr>
          <w:p w14:paraId="412263B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-2,1 </w:t>
            </w:r>
          </w:p>
        </w:tc>
      </w:tr>
    </w:tbl>
    <w:p w14:paraId="3F610DD2" w14:textId="77777777" w:rsidR="005A472F" w:rsidRPr="00FD7B0B" w:rsidRDefault="005A472F" w:rsidP="005A472F">
      <w:pPr>
        <w:pStyle w:val="ad"/>
        <w:ind w:firstLine="709"/>
        <w:jc w:val="both"/>
        <w:rPr>
          <w:rFonts w:ascii="Times New Roman" w:hAnsi="Times New Roman"/>
          <w:sz w:val="28"/>
          <w:szCs w:val="28"/>
        </w:rPr>
      </w:pPr>
    </w:p>
    <w:p w14:paraId="095C0C55" w14:textId="77777777" w:rsidR="005A472F" w:rsidRPr="00FD7B0B" w:rsidRDefault="005A472F" w:rsidP="005A472F">
      <w:pPr>
        <w:pStyle w:val="ad"/>
        <w:ind w:firstLine="709"/>
        <w:jc w:val="both"/>
        <w:rPr>
          <w:rFonts w:ascii="Times New Roman" w:hAnsi="Times New Roman"/>
          <w:strike/>
          <w:sz w:val="28"/>
          <w:szCs w:val="28"/>
        </w:rPr>
      </w:pPr>
      <w:r w:rsidRPr="00FD7B0B">
        <w:rPr>
          <w:rFonts w:ascii="Times New Roman" w:hAnsi="Times New Roman"/>
          <w:sz w:val="28"/>
          <w:szCs w:val="28"/>
        </w:rPr>
        <w:t>Сохраняется негативная тенденция ежегодного сокращения численности населения Архангельской области.</w:t>
      </w:r>
    </w:p>
    <w:p w14:paraId="7A564508" w14:textId="27089B8E"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Показатели естественного движения населения Архангельской области (без НАО) по ряду лет представлены в таблице</w:t>
      </w:r>
      <w:r w:rsidR="004456D8" w:rsidRPr="00FD7B0B">
        <w:rPr>
          <w:rFonts w:ascii="Times New Roman" w:hAnsi="Times New Roman"/>
          <w:sz w:val="28"/>
          <w:szCs w:val="28"/>
        </w:rPr>
        <w:t xml:space="preserve"> </w:t>
      </w:r>
      <w:r w:rsidR="001607FB" w:rsidRPr="00FD7B0B">
        <w:rPr>
          <w:rFonts w:ascii="Times New Roman" w:hAnsi="Times New Roman"/>
          <w:sz w:val="28"/>
          <w:szCs w:val="28"/>
        </w:rPr>
        <w:t>22</w:t>
      </w:r>
      <w:r w:rsidR="004456D8" w:rsidRPr="00FD7B0B">
        <w:rPr>
          <w:rFonts w:ascii="Times New Roman" w:hAnsi="Times New Roman"/>
          <w:sz w:val="28"/>
          <w:szCs w:val="28"/>
        </w:rPr>
        <w:t>.</w:t>
      </w:r>
    </w:p>
    <w:p w14:paraId="5AA33E7D" w14:textId="77777777" w:rsidR="005A472F" w:rsidRPr="00FD7B0B" w:rsidRDefault="005A472F" w:rsidP="005A472F">
      <w:pPr>
        <w:pStyle w:val="ad"/>
        <w:ind w:firstLine="709"/>
        <w:jc w:val="both"/>
        <w:rPr>
          <w:rFonts w:ascii="Times New Roman" w:hAnsi="Times New Roman"/>
        </w:rPr>
      </w:pPr>
    </w:p>
    <w:p w14:paraId="43A1218B" w14:textId="50F6C699"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22</w:t>
      </w:r>
      <w:r w:rsidRPr="00FD7B0B">
        <w:rPr>
          <w:rFonts w:ascii="Times New Roman" w:hAnsi="Times New Roman"/>
          <w:b w:val="0"/>
          <w:sz w:val="24"/>
          <w:szCs w:val="24"/>
        </w:rPr>
        <w:fldChar w:fldCharType="end"/>
      </w:r>
      <w:r w:rsidR="004456D8" w:rsidRPr="00FD7B0B">
        <w:rPr>
          <w:rFonts w:ascii="Times New Roman" w:hAnsi="Times New Roman"/>
          <w:b w:val="0"/>
          <w:sz w:val="24"/>
          <w:szCs w:val="24"/>
        </w:rPr>
        <w:t>.</w:t>
      </w:r>
      <w:r w:rsidRPr="00FD7B0B">
        <w:rPr>
          <w:rFonts w:ascii="Times New Roman" w:hAnsi="Times New Roman"/>
          <w:b w:val="0"/>
          <w:sz w:val="24"/>
          <w:szCs w:val="24"/>
        </w:rPr>
        <w:t xml:space="preserve"> Показатели естественного движения населения Архангельской области (без НАО) по ряду лет, человек</w:t>
      </w:r>
    </w:p>
    <w:tbl>
      <w:tblPr>
        <w:tblStyle w:val="a7"/>
        <w:tblW w:w="822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088"/>
        <w:gridCol w:w="1045"/>
        <w:gridCol w:w="1046"/>
        <w:gridCol w:w="1046"/>
      </w:tblGrid>
      <w:tr w:rsidR="00FD7B0B" w:rsidRPr="00FD7B0B" w14:paraId="38E6CBA4" w14:textId="77777777" w:rsidTr="0062404E">
        <w:trPr>
          <w:tblHeader/>
          <w:jc w:val="center"/>
        </w:trPr>
        <w:tc>
          <w:tcPr>
            <w:tcW w:w="5088" w:type="dxa"/>
            <w:vAlign w:val="center"/>
          </w:tcPr>
          <w:p w14:paraId="1790AD10" w14:textId="77777777" w:rsidR="0062404E" w:rsidRPr="00FD7B0B" w:rsidRDefault="0062404E" w:rsidP="00BE64F6">
            <w:pPr>
              <w:pStyle w:val="ad"/>
              <w:jc w:val="center"/>
              <w:rPr>
                <w:rFonts w:ascii="Times New Roman" w:hAnsi="Times New Roman"/>
              </w:rPr>
            </w:pPr>
            <w:r w:rsidRPr="00FD7B0B">
              <w:rPr>
                <w:rFonts w:ascii="Times New Roman" w:hAnsi="Times New Roman"/>
              </w:rPr>
              <w:t>Наименование</w:t>
            </w:r>
          </w:p>
        </w:tc>
        <w:tc>
          <w:tcPr>
            <w:tcW w:w="1045" w:type="dxa"/>
          </w:tcPr>
          <w:p w14:paraId="1D164EB2" w14:textId="77777777" w:rsidR="0062404E" w:rsidRPr="00FD7B0B" w:rsidRDefault="0062404E" w:rsidP="00BE64F6">
            <w:pPr>
              <w:pStyle w:val="ad"/>
              <w:jc w:val="center"/>
              <w:rPr>
                <w:rFonts w:ascii="Times New Roman" w:hAnsi="Times New Roman"/>
              </w:rPr>
            </w:pPr>
            <w:r w:rsidRPr="00FD7B0B">
              <w:rPr>
                <w:rFonts w:ascii="Times New Roman" w:hAnsi="Times New Roman"/>
              </w:rPr>
              <w:t>2022</w:t>
            </w:r>
          </w:p>
          <w:p w14:paraId="7BD5BADB" w14:textId="77777777" w:rsidR="0062404E" w:rsidRPr="00FD7B0B" w:rsidRDefault="0062404E" w:rsidP="00BE64F6">
            <w:pPr>
              <w:pStyle w:val="ad"/>
              <w:jc w:val="center"/>
              <w:rPr>
                <w:rFonts w:ascii="Times New Roman" w:hAnsi="Times New Roman"/>
              </w:rPr>
            </w:pPr>
            <w:r w:rsidRPr="00FD7B0B">
              <w:rPr>
                <w:rFonts w:ascii="Times New Roman" w:hAnsi="Times New Roman"/>
              </w:rPr>
              <w:t>год</w:t>
            </w:r>
          </w:p>
        </w:tc>
        <w:tc>
          <w:tcPr>
            <w:tcW w:w="1046" w:type="dxa"/>
          </w:tcPr>
          <w:p w14:paraId="516E6C9A" w14:textId="77777777" w:rsidR="0062404E" w:rsidRPr="00FD7B0B" w:rsidRDefault="0062404E" w:rsidP="00BE64F6">
            <w:pPr>
              <w:pStyle w:val="ad"/>
              <w:jc w:val="center"/>
              <w:rPr>
                <w:rFonts w:ascii="Times New Roman" w:hAnsi="Times New Roman"/>
              </w:rPr>
            </w:pPr>
            <w:r w:rsidRPr="00FD7B0B">
              <w:rPr>
                <w:rFonts w:ascii="Times New Roman" w:hAnsi="Times New Roman"/>
              </w:rPr>
              <w:t>2023</w:t>
            </w:r>
          </w:p>
          <w:p w14:paraId="14493254" w14:textId="77777777" w:rsidR="0062404E" w:rsidRPr="00FD7B0B" w:rsidRDefault="0062404E" w:rsidP="00BE64F6">
            <w:pPr>
              <w:pStyle w:val="ad"/>
              <w:jc w:val="center"/>
              <w:rPr>
                <w:rFonts w:ascii="Times New Roman" w:hAnsi="Times New Roman"/>
              </w:rPr>
            </w:pPr>
            <w:r w:rsidRPr="00FD7B0B">
              <w:rPr>
                <w:rFonts w:ascii="Times New Roman" w:hAnsi="Times New Roman"/>
              </w:rPr>
              <w:t>год</w:t>
            </w:r>
          </w:p>
        </w:tc>
        <w:tc>
          <w:tcPr>
            <w:tcW w:w="1046" w:type="dxa"/>
          </w:tcPr>
          <w:p w14:paraId="571C86F2" w14:textId="77777777" w:rsidR="0062404E" w:rsidRPr="00FD7B0B" w:rsidRDefault="0062404E" w:rsidP="00BE64F6">
            <w:pPr>
              <w:pStyle w:val="ad"/>
              <w:jc w:val="center"/>
              <w:rPr>
                <w:rFonts w:ascii="Times New Roman" w:hAnsi="Times New Roman"/>
              </w:rPr>
            </w:pPr>
            <w:r w:rsidRPr="00FD7B0B">
              <w:rPr>
                <w:rFonts w:ascii="Times New Roman" w:hAnsi="Times New Roman"/>
              </w:rPr>
              <w:t>2024</w:t>
            </w:r>
            <w:r w:rsidRPr="00FD7B0B">
              <w:rPr>
                <w:rStyle w:val="afff1"/>
                <w:rFonts w:ascii="Times New Roman" w:hAnsi="Times New Roman"/>
              </w:rPr>
              <w:footnoteReference w:id="9"/>
            </w:r>
          </w:p>
          <w:p w14:paraId="7C71E839" w14:textId="77777777" w:rsidR="0062404E" w:rsidRPr="00FD7B0B" w:rsidRDefault="0062404E" w:rsidP="00BE64F6">
            <w:pPr>
              <w:pStyle w:val="ad"/>
              <w:jc w:val="center"/>
              <w:rPr>
                <w:rFonts w:ascii="Times New Roman" w:hAnsi="Times New Roman"/>
              </w:rPr>
            </w:pPr>
            <w:r w:rsidRPr="00FD7B0B">
              <w:rPr>
                <w:rFonts w:ascii="Times New Roman" w:hAnsi="Times New Roman"/>
              </w:rPr>
              <w:t>год</w:t>
            </w:r>
          </w:p>
        </w:tc>
      </w:tr>
      <w:tr w:rsidR="00FD7B0B" w:rsidRPr="00FD7B0B" w14:paraId="5E17487D" w14:textId="77777777" w:rsidTr="0062404E">
        <w:trPr>
          <w:jc w:val="center"/>
        </w:trPr>
        <w:tc>
          <w:tcPr>
            <w:tcW w:w="5088" w:type="dxa"/>
            <w:tcBorders>
              <w:right w:val="single" w:sz="4" w:space="0" w:color="auto"/>
            </w:tcBorders>
          </w:tcPr>
          <w:p w14:paraId="091F3304" w14:textId="77777777" w:rsidR="0062404E" w:rsidRPr="00FD7B0B" w:rsidRDefault="0062404E" w:rsidP="00BE64F6">
            <w:pPr>
              <w:pStyle w:val="ad"/>
              <w:jc w:val="both"/>
              <w:rPr>
                <w:rFonts w:ascii="Times New Roman" w:hAnsi="Times New Roman"/>
              </w:rPr>
            </w:pPr>
            <w:r w:rsidRPr="00FD7B0B">
              <w:rPr>
                <w:rFonts w:ascii="Times New Roman" w:hAnsi="Times New Roman"/>
              </w:rPr>
              <w:t>Родившиеся</w:t>
            </w:r>
          </w:p>
        </w:tc>
        <w:tc>
          <w:tcPr>
            <w:tcW w:w="1045" w:type="dxa"/>
            <w:tcBorders>
              <w:left w:val="single" w:sz="4" w:space="0" w:color="auto"/>
            </w:tcBorders>
            <w:vAlign w:val="bottom"/>
          </w:tcPr>
          <w:p w14:paraId="2FD0A787" w14:textId="77777777" w:rsidR="0062404E" w:rsidRPr="00FD7B0B" w:rsidRDefault="0062404E" w:rsidP="00BE64F6">
            <w:pPr>
              <w:pStyle w:val="ad"/>
              <w:jc w:val="right"/>
              <w:rPr>
                <w:rFonts w:ascii="Times New Roman" w:hAnsi="Times New Roman"/>
              </w:rPr>
            </w:pPr>
            <w:r w:rsidRPr="00FD7B0B">
              <w:rPr>
                <w:rFonts w:ascii="Times New Roman" w:hAnsi="Times New Roman"/>
              </w:rPr>
              <w:t>7 681</w:t>
            </w:r>
          </w:p>
        </w:tc>
        <w:tc>
          <w:tcPr>
            <w:tcW w:w="1046" w:type="dxa"/>
            <w:vAlign w:val="bottom"/>
          </w:tcPr>
          <w:p w14:paraId="72B7A7D4" w14:textId="77777777" w:rsidR="0062404E" w:rsidRPr="00FD7B0B" w:rsidRDefault="0062404E" w:rsidP="00BE64F6">
            <w:pPr>
              <w:pStyle w:val="ad"/>
              <w:jc w:val="right"/>
              <w:rPr>
                <w:rFonts w:ascii="Times New Roman" w:hAnsi="Times New Roman"/>
              </w:rPr>
            </w:pPr>
            <w:r w:rsidRPr="00FD7B0B">
              <w:rPr>
                <w:rFonts w:ascii="Times New Roman" w:hAnsi="Times New Roman"/>
              </w:rPr>
              <w:t>7 236</w:t>
            </w:r>
          </w:p>
        </w:tc>
        <w:tc>
          <w:tcPr>
            <w:tcW w:w="1046" w:type="dxa"/>
            <w:vAlign w:val="bottom"/>
          </w:tcPr>
          <w:p w14:paraId="0AAE5C4A" w14:textId="77777777" w:rsidR="0062404E" w:rsidRPr="00FD7B0B" w:rsidRDefault="0062404E" w:rsidP="00BE64F6">
            <w:pPr>
              <w:pStyle w:val="ad"/>
              <w:jc w:val="right"/>
              <w:rPr>
                <w:rFonts w:ascii="Times New Roman" w:hAnsi="Times New Roman"/>
              </w:rPr>
            </w:pPr>
            <w:r w:rsidRPr="00FD7B0B">
              <w:rPr>
                <w:rFonts w:ascii="Times New Roman" w:hAnsi="Times New Roman"/>
              </w:rPr>
              <w:t>6 886</w:t>
            </w:r>
          </w:p>
        </w:tc>
      </w:tr>
      <w:tr w:rsidR="00FD7B0B" w:rsidRPr="00FD7B0B" w14:paraId="4F907E18" w14:textId="77777777" w:rsidTr="0062404E">
        <w:trPr>
          <w:jc w:val="center"/>
        </w:trPr>
        <w:tc>
          <w:tcPr>
            <w:tcW w:w="5088" w:type="dxa"/>
            <w:tcBorders>
              <w:right w:val="single" w:sz="4" w:space="0" w:color="auto"/>
            </w:tcBorders>
          </w:tcPr>
          <w:p w14:paraId="3E44D9CC" w14:textId="77777777" w:rsidR="0062404E" w:rsidRPr="00FD7B0B" w:rsidRDefault="0062404E" w:rsidP="00BE64F6">
            <w:pPr>
              <w:pStyle w:val="ad"/>
              <w:jc w:val="both"/>
              <w:rPr>
                <w:rFonts w:ascii="Times New Roman" w:hAnsi="Times New Roman"/>
              </w:rPr>
            </w:pPr>
            <w:r w:rsidRPr="00FD7B0B">
              <w:rPr>
                <w:rFonts w:ascii="Times New Roman" w:hAnsi="Times New Roman"/>
              </w:rPr>
              <w:t>Умершие</w:t>
            </w:r>
          </w:p>
        </w:tc>
        <w:tc>
          <w:tcPr>
            <w:tcW w:w="1045" w:type="dxa"/>
            <w:tcBorders>
              <w:left w:val="single" w:sz="4" w:space="0" w:color="auto"/>
            </w:tcBorders>
            <w:vAlign w:val="bottom"/>
          </w:tcPr>
          <w:p w14:paraId="43FDD747" w14:textId="77777777" w:rsidR="0062404E" w:rsidRPr="00FD7B0B" w:rsidRDefault="0062404E" w:rsidP="00BE64F6">
            <w:pPr>
              <w:pStyle w:val="ad"/>
              <w:jc w:val="right"/>
              <w:rPr>
                <w:rFonts w:ascii="Times New Roman" w:hAnsi="Times New Roman"/>
              </w:rPr>
            </w:pPr>
            <w:r w:rsidRPr="00FD7B0B">
              <w:rPr>
                <w:rFonts w:ascii="Times New Roman" w:hAnsi="Times New Roman"/>
              </w:rPr>
              <w:t>15 217</w:t>
            </w:r>
          </w:p>
        </w:tc>
        <w:tc>
          <w:tcPr>
            <w:tcW w:w="1046" w:type="dxa"/>
            <w:vAlign w:val="bottom"/>
          </w:tcPr>
          <w:p w14:paraId="7C389063" w14:textId="77777777" w:rsidR="0062404E" w:rsidRPr="00FD7B0B" w:rsidRDefault="0062404E" w:rsidP="00BE64F6">
            <w:pPr>
              <w:pStyle w:val="ad"/>
              <w:jc w:val="right"/>
              <w:rPr>
                <w:rFonts w:ascii="Times New Roman" w:hAnsi="Times New Roman"/>
              </w:rPr>
            </w:pPr>
            <w:r w:rsidRPr="00FD7B0B">
              <w:rPr>
                <w:rFonts w:ascii="Times New Roman" w:hAnsi="Times New Roman"/>
              </w:rPr>
              <w:t>13 657</w:t>
            </w:r>
          </w:p>
        </w:tc>
        <w:tc>
          <w:tcPr>
            <w:tcW w:w="1046" w:type="dxa"/>
            <w:vAlign w:val="bottom"/>
          </w:tcPr>
          <w:p w14:paraId="21081EC0" w14:textId="77777777" w:rsidR="0062404E" w:rsidRPr="00FD7B0B" w:rsidRDefault="0062404E" w:rsidP="00BE64F6">
            <w:pPr>
              <w:pStyle w:val="ad"/>
              <w:jc w:val="right"/>
              <w:rPr>
                <w:rFonts w:ascii="Times New Roman" w:hAnsi="Times New Roman"/>
              </w:rPr>
            </w:pPr>
            <w:r w:rsidRPr="00FD7B0B">
              <w:rPr>
                <w:rFonts w:ascii="Times New Roman" w:hAnsi="Times New Roman"/>
              </w:rPr>
              <w:t>13 795</w:t>
            </w:r>
          </w:p>
        </w:tc>
      </w:tr>
      <w:tr w:rsidR="00FD7B0B" w:rsidRPr="00FD7B0B" w14:paraId="67476F41" w14:textId="77777777" w:rsidTr="0062404E">
        <w:trPr>
          <w:jc w:val="center"/>
        </w:trPr>
        <w:tc>
          <w:tcPr>
            <w:tcW w:w="5088" w:type="dxa"/>
            <w:tcBorders>
              <w:right w:val="single" w:sz="4" w:space="0" w:color="auto"/>
            </w:tcBorders>
          </w:tcPr>
          <w:p w14:paraId="75425075" w14:textId="77777777" w:rsidR="0062404E" w:rsidRPr="00FD7B0B" w:rsidRDefault="0062404E" w:rsidP="00BE64F6">
            <w:pPr>
              <w:pStyle w:val="ad"/>
              <w:jc w:val="both"/>
              <w:rPr>
                <w:rFonts w:ascii="Times New Roman" w:hAnsi="Times New Roman"/>
              </w:rPr>
            </w:pPr>
            <w:r w:rsidRPr="00FD7B0B">
              <w:rPr>
                <w:rFonts w:ascii="Times New Roman" w:hAnsi="Times New Roman"/>
              </w:rPr>
              <w:t>Естественный прирост, убыль (-)</w:t>
            </w:r>
          </w:p>
        </w:tc>
        <w:tc>
          <w:tcPr>
            <w:tcW w:w="1045" w:type="dxa"/>
            <w:tcBorders>
              <w:left w:val="single" w:sz="4" w:space="0" w:color="auto"/>
            </w:tcBorders>
            <w:vAlign w:val="center"/>
          </w:tcPr>
          <w:p w14:paraId="7238CD0B" w14:textId="77777777" w:rsidR="0062404E" w:rsidRPr="00FD7B0B" w:rsidRDefault="0062404E" w:rsidP="00BE64F6">
            <w:pPr>
              <w:pStyle w:val="ad"/>
              <w:jc w:val="right"/>
              <w:rPr>
                <w:rFonts w:ascii="Times New Roman" w:hAnsi="Times New Roman"/>
              </w:rPr>
            </w:pPr>
            <w:r w:rsidRPr="00FD7B0B">
              <w:rPr>
                <w:rFonts w:ascii="Times New Roman" w:hAnsi="Times New Roman"/>
              </w:rPr>
              <w:t xml:space="preserve">-7 536 </w:t>
            </w:r>
          </w:p>
        </w:tc>
        <w:tc>
          <w:tcPr>
            <w:tcW w:w="1046" w:type="dxa"/>
            <w:vAlign w:val="center"/>
          </w:tcPr>
          <w:p w14:paraId="081F04C1" w14:textId="77777777" w:rsidR="0062404E" w:rsidRPr="00FD7B0B" w:rsidRDefault="0062404E" w:rsidP="00BE64F6">
            <w:pPr>
              <w:pStyle w:val="ad"/>
              <w:jc w:val="right"/>
              <w:rPr>
                <w:rFonts w:ascii="Times New Roman" w:hAnsi="Times New Roman"/>
              </w:rPr>
            </w:pPr>
            <w:r w:rsidRPr="00FD7B0B">
              <w:rPr>
                <w:rFonts w:ascii="Times New Roman" w:hAnsi="Times New Roman"/>
              </w:rPr>
              <w:t xml:space="preserve">-6 421 </w:t>
            </w:r>
          </w:p>
        </w:tc>
        <w:tc>
          <w:tcPr>
            <w:tcW w:w="1046" w:type="dxa"/>
            <w:vAlign w:val="center"/>
          </w:tcPr>
          <w:p w14:paraId="29060701" w14:textId="77777777" w:rsidR="0062404E" w:rsidRPr="00FD7B0B" w:rsidRDefault="0062404E" w:rsidP="00BE64F6">
            <w:pPr>
              <w:pStyle w:val="ad"/>
              <w:jc w:val="right"/>
              <w:rPr>
                <w:rFonts w:ascii="Times New Roman" w:hAnsi="Times New Roman"/>
              </w:rPr>
            </w:pPr>
            <w:r w:rsidRPr="00FD7B0B">
              <w:rPr>
                <w:rFonts w:ascii="Times New Roman" w:hAnsi="Times New Roman"/>
              </w:rPr>
              <w:t xml:space="preserve">-6 909 </w:t>
            </w:r>
          </w:p>
        </w:tc>
      </w:tr>
      <w:tr w:rsidR="00FD7B0B" w:rsidRPr="00FD7B0B" w14:paraId="71F9F37B" w14:textId="1BD14D1F" w:rsidTr="0062404E">
        <w:trPr>
          <w:jc w:val="center"/>
        </w:trPr>
        <w:tc>
          <w:tcPr>
            <w:tcW w:w="8225" w:type="dxa"/>
            <w:gridSpan w:val="4"/>
          </w:tcPr>
          <w:p w14:paraId="47886D9C" w14:textId="4E922AFC" w:rsidR="0062404E" w:rsidRPr="00FD7B0B" w:rsidRDefault="0062404E" w:rsidP="00BE64F6">
            <w:pPr>
              <w:pStyle w:val="ad"/>
              <w:jc w:val="center"/>
              <w:rPr>
                <w:rFonts w:ascii="Times New Roman" w:hAnsi="Times New Roman"/>
              </w:rPr>
            </w:pPr>
            <w:r w:rsidRPr="00FD7B0B">
              <w:rPr>
                <w:rFonts w:ascii="Times New Roman" w:hAnsi="Times New Roman"/>
              </w:rPr>
              <w:t>На 1 000 человек</w:t>
            </w:r>
          </w:p>
        </w:tc>
      </w:tr>
      <w:tr w:rsidR="00FD7B0B" w:rsidRPr="00FD7B0B" w14:paraId="5F865EA3" w14:textId="77777777" w:rsidTr="0062404E">
        <w:trPr>
          <w:jc w:val="center"/>
        </w:trPr>
        <w:tc>
          <w:tcPr>
            <w:tcW w:w="5088" w:type="dxa"/>
            <w:tcBorders>
              <w:right w:val="single" w:sz="4" w:space="0" w:color="auto"/>
            </w:tcBorders>
          </w:tcPr>
          <w:p w14:paraId="1CFEB7FD" w14:textId="77777777" w:rsidR="0062404E" w:rsidRPr="00FD7B0B" w:rsidRDefault="0062404E" w:rsidP="00BE64F6">
            <w:pPr>
              <w:pStyle w:val="ad"/>
              <w:jc w:val="both"/>
              <w:rPr>
                <w:rFonts w:ascii="Times New Roman" w:hAnsi="Times New Roman"/>
              </w:rPr>
            </w:pPr>
            <w:r w:rsidRPr="00FD7B0B">
              <w:rPr>
                <w:rFonts w:ascii="Times New Roman" w:hAnsi="Times New Roman"/>
              </w:rPr>
              <w:t>Родившиеся</w:t>
            </w:r>
          </w:p>
        </w:tc>
        <w:tc>
          <w:tcPr>
            <w:tcW w:w="1045" w:type="dxa"/>
            <w:tcBorders>
              <w:left w:val="single" w:sz="4" w:space="0" w:color="auto"/>
            </w:tcBorders>
            <w:vAlign w:val="bottom"/>
          </w:tcPr>
          <w:p w14:paraId="7A3EC04B" w14:textId="77777777" w:rsidR="0062404E" w:rsidRPr="00FD7B0B" w:rsidRDefault="0062404E" w:rsidP="00BE64F6">
            <w:pPr>
              <w:pStyle w:val="ad"/>
              <w:jc w:val="right"/>
              <w:rPr>
                <w:rFonts w:ascii="Times New Roman" w:hAnsi="Times New Roman"/>
              </w:rPr>
            </w:pPr>
            <w:r w:rsidRPr="00FD7B0B">
              <w:rPr>
                <w:rFonts w:ascii="Times New Roman" w:hAnsi="Times New Roman"/>
              </w:rPr>
              <w:t>7,9</w:t>
            </w:r>
          </w:p>
        </w:tc>
        <w:tc>
          <w:tcPr>
            <w:tcW w:w="1046" w:type="dxa"/>
            <w:vAlign w:val="bottom"/>
          </w:tcPr>
          <w:p w14:paraId="546408B0" w14:textId="77777777" w:rsidR="0062404E" w:rsidRPr="00FD7B0B" w:rsidRDefault="0062404E" w:rsidP="00BE64F6">
            <w:pPr>
              <w:pStyle w:val="ad"/>
              <w:jc w:val="right"/>
              <w:rPr>
                <w:rFonts w:ascii="Times New Roman" w:hAnsi="Times New Roman"/>
              </w:rPr>
            </w:pPr>
            <w:r w:rsidRPr="00FD7B0B">
              <w:rPr>
                <w:rFonts w:ascii="Times New Roman" w:hAnsi="Times New Roman"/>
              </w:rPr>
              <w:t>7,5</w:t>
            </w:r>
          </w:p>
        </w:tc>
        <w:tc>
          <w:tcPr>
            <w:tcW w:w="1046" w:type="dxa"/>
            <w:vAlign w:val="bottom"/>
          </w:tcPr>
          <w:p w14:paraId="1CAE2321" w14:textId="77777777" w:rsidR="0062404E" w:rsidRPr="00FD7B0B" w:rsidRDefault="0062404E" w:rsidP="00BE64F6">
            <w:pPr>
              <w:pStyle w:val="ad"/>
              <w:jc w:val="right"/>
              <w:rPr>
                <w:rFonts w:ascii="Times New Roman" w:hAnsi="Times New Roman"/>
              </w:rPr>
            </w:pPr>
            <w:r w:rsidRPr="00FD7B0B">
              <w:rPr>
                <w:rFonts w:ascii="Times New Roman" w:hAnsi="Times New Roman"/>
              </w:rPr>
              <w:t>7,2</w:t>
            </w:r>
          </w:p>
        </w:tc>
      </w:tr>
      <w:tr w:rsidR="00FD7B0B" w:rsidRPr="00FD7B0B" w14:paraId="30745B7A" w14:textId="77777777" w:rsidTr="0062404E">
        <w:trPr>
          <w:jc w:val="center"/>
        </w:trPr>
        <w:tc>
          <w:tcPr>
            <w:tcW w:w="5088" w:type="dxa"/>
            <w:tcBorders>
              <w:right w:val="single" w:sz="4" w:space="0" w:color="auto"/>
            </w:tcBorders>
          </w:tcPr>
          <w:p w14:paraId="40E96F27" w14:textId="77777777" w:rsidR="0062404E" w:rsidRPr="00FD7B0B" w:rsidRDefault="0062404E" w:rsidP="00BE64F6">
            <w:pPr>
              <w:pStyle w:val="ad"/>
              <w:jc w:val="both"/>
              <w:rPr>
                <w:rFonts w:ascii="Times New Roman" w:hAnsi="Times New Roman"/>
              </w:rPr>
            </w:pPr>
            <w:r w:rsidRPr="00FD7B0B">
              <w:rPr>
                <w:rFonts w:ascii="Times New Roman" w:hAnsi="Times New Roman"/>
              </w:rPr>
              <w:t>Умершие</w:t>
            </w:r>
          </w:p>
        </w:tc>
        <w:tc>
          <w:tcPr>
            <w:tcW w:w="1045" w:type="dxa"/>
            <w:tcBorders>
              <w:left w:val="single" w:sz="4" w:space="0" w:color="auto"/>
            </w:tcBorders>
            <w:vAlign w:val="bottom"/>
          </w:tcPr>
          <w:p w14:paraId="3C1E8776" w14:textId="77777777" w:rsidR="0062404E" w:rsidRPr="00FD7B0B" w:rsidRDefault="0062404E" w:rsidP="00BE64F6">
            <w:pPr>
              <w:pStyle w:val="ad"/>
              <w:jc w:val="right"/>
              <w:rPr>
                <w:rFonts w:ascii="Times New Roman" w:hAnsi="Times New Roman"/>
              </w:rPr>
            </w:pPr>
            <w:r w:rsidRPr="00FD7B0B">
              <w:rPr>
                <w:rFonts w:ascii="Times New Roman" w:hAnsi="Times New Roman"/>
              </w:rPr>
              <w:t>15,7</w:t>
            </w:r>
          </w:p>
        </w:tc>
        <w:tc>
          <w:tcPr>
            <w:tcW w:w="1046" w:type="dxa"/>
            <w:vAlign w:val="bottom"/>
          </w:tcPr>
          <w:p w14:paraId="7A3F8458" w14:textId="77777777" w:rsidR="0062404E" w:rsidRPr="00FD7B0B" w:rsidRDefault="0062404E" w:rsidP="00BE64F6">
            <w:pPr>
              <w:pStyle w:val="ad"/>
              <w:jc w:val="right"/>
              <w:rPr>
                <w:rFonts w:ascii="Times New Roman" w:hAnsi="Times New Roman"/>
              </w:rPr>
            </w:pPr>
            <w:r w:rsidRPr="00FD7B0B">
              <w:rPr>
                <w:rFonts w:ascii="Times New Roman" w:hAnsi="Times New Roman"/>
              </w:rPr>
              <w:t>14,2</w:t>
            </w:r>
          </w:p>
        </w:tc>
        <w:tc>
          <w:tcPr>
            <w:tcW w:w="1046" w:type="dxa"/>
            <w:vAlign w:val="bottom"/>
          </w:tcPr>
          <w:p w14:paraId="71C512EF" w14:textId="77777777" w:rsidR="0062404E" w:rsidRPr="00FD7B0B" w:rsidRDefault="0062404E" w:rsidP="00BE64F6">
            <w:pPr>
              <w:pStyle w:val="ad"/>
              <w:jc w:val="right"/>
              <w:rPr>
                <w:rFonts w:ascii="Times New Roman" w:hAnsi="Times New Roman"/>
              </w:rPr>
            </w:pPr>
            <w:r w:rsidRPr="00FD7B0B">
              <w:rPr>
                <w:rFonts w:ascii="Times New Roman" w:hAnsi="Times New Roman"/>
              </w:rPr>
              <w:t>14,5</w:t>
            </w:r>
          </w:p>
        </w:tc>
      </w:tr>
      <w:tr w:rsidR="0062404E" w:rsidRPr="00FD7B0B" w14:paraId="7652D2E7" w14:textId="77777777" w:rsidTr="0062404E">
        <w:trPr>
          <w:jc w:val="center"/>
        </w:trPr>
        <w:tc>
          <w:tcPr>
            <w:tcW w:w="5088" w:type="dxa"/>
          </w:tcPr>
          <w:p w14:paraId="7AE62C83" w14:textId="77777777" w:rsidR="0062404E" w:rsidRPr="00FD7B0B" w:rsidRDefault="0062404E" w:rsidP="00BE64F6">
            <w:pPr>
              <w:pStyle w:val="ad"/>
              <w:jc w:val="both"/>
              <w:rPr>
                <w:rFonts w:ascii="Times New Roman" w:hAnsi="Times New Roman"/>
              </w:rPr>
            </w:pPr>
            <w:r w:rsidRPr="00FD7B0B">
              <w:rPr>
                <w:rFonts w:ascii="Times New Roman" w:hAnsi="Times New Roman"/>
              </w:rPr>
              <w:t>Естественный прирост, убыль (-)</w:t>
            </w:r>
          </w:p>
        </w:tc>
        <w:tc>
          <w:tcPr>
            <w:tcW w:w="1045" w:type="dxa"/>
            <w:vAlign w:val="center"/>
          </w:tcPr>
          <w:p w14:paraId="0AB8A72B" w14:textId="77777777" w:rsidR="0062404E" w:rsidRPr="00FD7B0B" w:rsidRDefault="0062404E" w:rsidP="00BE64F6">
            <w:pPr>
              <w:pStyle w:val="ad"/>
              <w:jc w:val="right"/>
              <w:rPr>
                <w:rFonts w:ascii="Times New Roman" w:hAnsi="Times New Roman"/>
              </w:rPr>
            </w:pPr>
            <w:r w:rsidRPr="00FD7B0B">
              <w:rPr>
                <w:rFonts w:ascii="Times New Roman" w:hAnsi="Times New Roman"/>
              </w:rPr>
              <w:t xml:space="preserve">-7,8 </w:t>
            </w:r>
          </w:p>
        </w:tc>
        <w:tc>
          <w:tcPr>
            <w:tcW w:w="1046" w:type="dxa"/>
            <w:vAlign w:val="center"/>
          </w:tcPr>
          <w:p w14:paraId="68F1C9A7" w14:textId="77777777" w:rsidR="0062404E" w:rsidRPr="00FD7B0B" w:rsidRDefault="0062404E" w:rsidP="00BE64F6">
            <w:pPr>
              <w:pStyle w:val="ad"/>
              <w:jc w:val="right"/>
              <w:rPr>
                <w:rFonts w:ascii="Times New Roman" w:hAnsi="Times New Roman"/>
              </w:rPr>
            </w:pPr>
            <w:r w:rsidRPr="00FD7B0B">
              <w:rPr>
                <w:rFonts w:ascii="Times New Roman" w:hAnsi="Times New Roman"/>
              </w:rPr>
              <w:t xml:space="preserve">-6,7 </w:t>
            </w:r>
          </w:p>
        </w:tc>
        <w:tc>
          <w:tcPr>
            <w:tcW w:w="1046" w:type="dxa"/>
            <w:vAlign w:val="center"/>
          </w:tcPr>
          <w:p w14:paraId="1ED1EBE1" w14:textId="77777777" w:rsidR="0062404E" w:rsidRPr="00FD7B0B" w:rsidRDefault="0062404E" w:rsidP="00BE64F6">
            <w:pPr>
              <w:pStyle w:val="ad"/>
              <w:jc w:val="right"/>
              <w:rPr>
                <w:rFonts w:ascii="Times New Roman" w:hAnsi="Times New Roman"/>
              </w:rPr>
            </w:pPr>
            <w:r w:rsidRPr="00FD7B0B">
              <w:rPr>
                <w:rFonts w:ascii="Times New Roman" w:hAnsi="Times New Roman"/>
              </w:rPr>
              <w:t xml:space="preserve">-7,3 </w:t>
            </w:r>
          </w:p>
        </w:tc>
      </w:tr>
    </w:tbl>
    <w:p w14:paraId="6271E2A6" w14:textId="77777777" w:rsidR="005A472F" w:rsidRPr="00FD7B0B" w:rsidRDefault="005A472F" w:rsidP="005A472F">
      <w:pPr>
        <w:pStyle w:val="ad"/>
        <w:tabs>
          <w:tab w:val="left" w:pos="2977"/>
        </w:tabs>
        <w:ind w:firstLine="709"/>
        <w:jc w:val="both"/>
        <w:rPr>
          <w:rFonts w:ascii="Times New Roman" w:hAnsi="Times New Roman"/>
          <w:sz w:val="28"/>
          <w:szCs w:val="28"/>
          <w:highlight w:val="cyan"/>
        </w:rPr>
      </w:pPr>
    </w:p>
    <w:p w14:paraId="4610E886"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Ежегодно в Архангельской области (без НАО) количество умерших превышает количество родившихся, аналогичная ситуация в части коэффициента рождаемости на 1 000 человек населения региона.</w:t>
      </w:r>
    </w:p>
    <w:p w14:paraId="11B53DF1" w14:textId="37701E77" w:rsidR="005A472F" w:rsidRPr="00FD7B0B" w:rsidRDefault="005A472F" w:rsidP="005A472F">
      <w:pPr>
        <w:pStyle w:val="ad"/>
        <w:ind w:firstLine="709"/>
        <w:jc w:val="both"/>
        <w:rPr>
          <w:rFonts w:ascii="Times New Roman" w:hAnsi="Times New Roman"/>
          <w:i/>
          <w:sz w:val="28"/>
          <w:szCs w:val="28"/>
        </w:rPr>
      </w:pPr>
      <w:r w:rsidRPr="00FD7B0B">
        <w:rPr>
          <w:rFonts w:ascii="Times New Roman" w:hAnsi="Times New Roman"/>
          <w:sz w:val="28"/>
          <w:szCs w:val="28"/>
        </w:rPr>
        <w:t>Несмотря на значительный рост инвестиций государства (монетарные меры поддержки) в различные демографические мероприятия тенденция сокращение числа рождений в стране и в Архангельской области в целом продолжается. Рост рождаемости ограничен числом женщин репродуктивного возраста, откладывание рождения ребенка на более поздний срок (</w:t>
      </w:r>
      <w:r w:rsidRPr="00FD7B0B">
        <w:rPr>
          <w:rFonts w:ascii="Times New Roman" w:hAnsi="Times New Roman"/>
          <w:i/>
          <w:sz w:val="28"/>
          <w:szCs w:val="28"/>
        </w:rPr>
        <w:t>политическая обстановка, неуверенность в завтрашнем дне, достижение финансовой независимости, карьера, жизнен</w:t>
      </w:r>
      <w:r w:rsidR="0060634C" w:rsidRPr="00FD7B0B">
        <w:rPr>
          <w:rFonts w:ascii="Times New Roman" w:hAnsi="Times New Roman"/>
          <w:i/>
          <w:sz w:val="28"/>
          <w:szCs w:val="28"/>
        </w:rPr>
        <w:t>ные установки и другие причины).</w:t>
      </w:r>
    </w:p>
    <w:p w14:paraId="24B63217" w14:textId="2C00AE1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2024 году в Архангельской области (без НАО) по числу родившихся располагается на пятом месте среди субъектов СЗФО, по числ</w:t>
      </w:r>
      <w:r w:rsidR="006428D5" w:rsidRPr="00FD7B0B">
        <w:rPr>
          <w:rFonts w:ascii="Times New Roman" w:hAnsi="Times New Roman"/>
          <w:sz w:val="28"/>
          <w:szCs w:val="28"/>
        </w:rPr>
        <w:t>у умерших – на четвертом месте.</w:t>
      </w:r>
    </w:p>
    <w:p w14:paraId="7CAC621C" w14:textId="6E6C3699"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Динамика общего коэффициента рождаемости и коэффициента смертности в Архангельской области (без НАО) согласно статистическим данным представлена на рисунке</w:t>
      </w:r>
      <w:r w:rsidR="006428D5" w:rsidRPr="00FD7B0B">
        <w:rPr>
          <w:rFonts w:ascii="Times New Roman" w:hAnsi="Times New Roman"/>
          <w:sz w:val="28"/>
          <w:szCs w:val="28"/>
        </w:rPr>
        <w:t xml:space="preserve"> </w:t>
      </w:r>
      <w:r w:rsidR="001607FB" w:rsidRPr="00FD7B0B">
        <w:rPr>
          <w:rFonts w:ascii="Times New Roman" w:hAnsi="Times New Roman"/>
          <w:sz w:val="28"/>
          <w:szCs w:val="28"/>
        </w:rPr>
        <w:t>2</w:t>
      </w:r>
      <w:r w:rsidRPr="00FD7B0B">
        <w:rPr>
          <w:rFonts w:ascii="Times New Roman" w:hAnsi="Times New Roman"/>
          <w:sz w:val="28"/>
          <w:szCs w:val="28"/>
        </w:rPr>
        <w:t>.</w:t>
      </w:r>
    </w:p>
    <w:p w14:paraId="7C3CD07E" w14:textId="77777777" w:rsidR="005A472F" w:rsidRPr="00FD7B0B" w:rsidRDefault="005A472F" w:rsidP="005A472F">
      <w:pPr>
        <w:pStyle w:val="ad"/>
        <w:jc w:val="both"/>
        <w:rPr>
          <w:rFonts w:ascii="Times New Roman" w:hAnsi="Times New Roman"/>
          <w:sz w:val="28"/>
          <w:szCs w:val="28"/>
        </w:rPr>
      </w:pPr>
      <w:r w:rsidRPr="00FD7B0B">
        <w:rPr>
          <w:rFonts w:ascii="Times New Roman" w:hAnsi="Times New Roman"/>
          <w:noProof/>
          <w:sz w:val="28"/>
          <w:szCs w:val="28"/>
          <w:lang w:eastAsia="ru-RU"/>
        </w:rPr>
        <w:lastRenderedPageBreak/>
        <w:drawing>
          <wp:inline distT="0" distB="0" distL="0" distR="0" wp14:anchorId="6B23A1AB" wp14:editId="50FE1408">
            <wp:extent cx="6332855" cy="3209027"/>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53326" cy="3219400"/>
                    </a:xfrm>
                    <a:prstGeom prst="rect">
                      <a:avLst/>
                    </a:prstGeom>
                    <a:noFill/>
                  </pic:spPr>
                </pic:pic>
              </a:graphicData>
            </a:graphic>
          </wp:inline>
        </w:drawing>
      </w:r>
    </w:p>
    <w:p w14:paraId="44176995"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w:t>
      </w:r>
      <w:r w:rsidRPr="00FD7B0B">
        <w:rPr>
          <w:rFonts w:ascii="Times New Roman" w:hAnsi="Times New Roman"/>
          <w:b w:val="0"/>
          <w:sz w:val="24"/>
          <w:szCs w:val="24"/>
        </w:rPr>
        <w:fldChar w:fldCharType="end"/>
      </w:r>
      <w:r w:rsidRPr="00FD7B0B">
        <w:rPr>
          <w:rFonts w:ascii="Times New Roman" w:hAnsi="Times New Roman"/>
          <w:b w:val="0"/>
          <w:sz w:val="24"/>
          <w:szCs w:val="24"/>
        </w:rPr>
        <w:t>. Показатели естественного движения населения в Архангельской области (без НАО) за 2019-2024 годы, на 1000 человек</w:t>
      </w:r>
    </w:p>
    <w:p w14:paraId="16C4C2AC" w14:textId="77777777" w:rsidR="006428D5" w:rsidRPr="00FD7B0B" w:rsidRDefault="006428D5" w:rsidP="005A472F">
      <w:pPr>
        <w:pStyle w:val="ad"/>
        <w:ind w:firstLine="709"/>
        <w:jc w:val="both"/>
        <w:rPr>
          <w:rFonts w:ascii="Times New Roman" w:hAnsi="Times New Roman"/>
          <w:sz w:val="28"/>
          <w:szCs w:val="28"/>
        </w:rPr>
      </w:pPr>
    </w:p>
    <w:p w14:paraId="513A640D" w14:textId="6BC7FCB9"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данным статистики установлено:</w:t>
      </w:r>
    </w:p>
    <w:p w14:paraId="481D2847" w14:textId="769451FB"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1) коэффициент </w:t>
      </w:r>
      <w:r w:rsidRPr="00FD7B0B">
        <w:rPr>
          <w:rFonts w:ascii="Times New Roman" w:hAnsi="Times New Roman"/>
          <w:sz w:val="28"/>
          <w:szCs w:val="28"/>
          <w:u w:val="single"/>
        </w:rPr>
        <w:t>рождаемости</w:t>
      </w:r>
      <w:r w:rsidRPr="00FD7B0B">
        <w:rPr>
          <w:rFonts w:ascii="Times New Roman" w:hAnsi="Times New Roman"/>
          <w:sz w:val="28"/>
          <w:szCs w:val="28"/>
        </w:rPr>
        <w:t xml:space="preserve"> в Архангельской области (без НАО) ежегодно </w:t>
      </w:r>
      <w:r w:rsidRPr="00FD7B0B">
        <w:rPr>
          <w:rFonts w:ascii="Times New Roman" w:hAnsi="Times New Roman"/>
          <w:sz w:val="28"/>
          <w:szCs w:val="28"/>
          <w:u w:val="single"/>
        </w:rPr>
        <w:t>снижается</w:t>
      </w:r>
      <w:r w:rsidRPr="00FD7B0B">
        <w:rPr>
          <w:rFonts w:ascii="Times New Roman" w:hAnsi="Times New Roman"/>
          <w:sz w:val="28"/>
          <w:szCs w:val="28"/>
        </w:rPr>
        <w:t xml:space="preserve"> с 9,4 (2019 год) до 7,5 (2023 год), а в 2024 году д</w:t>
      </w:r>
      <w:r w:rsidR="008175CE" w:rsidRPr="00FD7B0B">
        <w:rPr>
          <w:rFonts w:ascii="Times New Roman" w:hAnsi="Times New Roman"/>
          <w:sz w:val="28"/>
          <w:szCs w:val="28"/>
        </w:rPr>
        <w:t>анный коэффициент составил 7,2.</w:t>
      </w:r>
    </w:p>
    <w:p w14:paraId="219F18AA" w14:textId="06BA4469"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i/>
          <w:sz w:val="28"/>
          <w:szCs w:val="28"/>
        </w:rPr>
        <w:t xml:space="preserve">2) </w:t>
      </w:r>
      <w:r w:rsidRPr="00FD7B0B">
        <w:rPr>
          <w:rFonts w:ascii="Times New Roman" w:hAnsi="Times New Roman"/>
          <w:sz w:val="28"/>
          <w:szCs w:val="28"/>
        </w:rPr>
        <w:t xml:space="preserve">коэффициент </w:t>
      </w:r>
      <w:r w:rsidRPr="00FD7B0B">
        <w:rPr>
          <w:rFonts w:ascii="Times New Roman" w:hAnsi="Times New Roman"/>
          <w:sz w:val="28"/>
          <w:szCs w:val="28"/>
          <w:u w:val="single"/>
        </w:rPr>
        <w:t>смертности</w:t>
      </w:r>
      <w:r w:rsidRPr="00FD7B0B">
        <w:rPr>
          <w:rFonts w:ascii="Times New Roman" w:hAnsi="Times New Roman"/>
          <w:sz w:val="28"/>
          <w:szCs w:val="28"/>
        </w:rPr>
        <w:t xml:space="preserve"> ежегодно </w:t>
      </w:r>
      <w:r w:rsidRPr="00FD7B0B">
        <w:rPr>
          <w:rFonts w:ascii="Times New Roman" w:hAnsi="Times New Roman"/>
          <w:sz w:val="28"/>
          <w:szCs w:val="28"/>
          <w:u w:val="single"/>
        </w:rPr>
        <w:t>увеличивается</w:t>
      </w:r>
      <w:r w:rsidRPr="00FD7B0B">
        <w:rPr>
          <w:rFonts w:ascii="Times New Roman" w:hAnsi="Times New Roman"/>
          <w:sz w:val="28"/>
          <w:szCs w:val="28"/>
        </w:rPr>
        <w:t xml:space="preserve"> с 14,1 (2019 год) до 14,2 (2023 год</w:t>
      </w:r>
      <w:r w:rsidR="008175CE" w:rsidRPr="00FD7B0B">
        <w:rPr>
          <w:rFonts w:ascii="Times New Roman" w:hAnsi="Times New Roman"/>
          <w:sz w:val="28"/>
          <w:szCs w:val="28"/>
        </w:rPr>
        <w:t>), а в 2024 году составил 14,5.</w:t>
      </w:r>
    </w:p>
    <w:p w14:paraId="3F13E39E" w14:textId="49F2615F" w:rsidR="00EB3768" w:rsidRPr="00FD7B0B" w:rsidRDefault="00EB3768" w:rsidP="00EB3768">
      <w:pPr>
        <w:pStyle w:val="ad"/>
        <w:ind w:firstLine="709"/>
        <w:jc w:val="both"/>
        <w:rPr>
          <w:rFonts w:ascii="Times New Roman" w:hAnsi="Times New Roman"/>
          <w:sz w:val="28"/>
          <w:szCs w:val="28"/>
        </w:rPr>
      </w:pPr>
      <w:r w:rsidRPr="00FD7B0B">
        <w:rPr>
          <w:rFonts w:ascii="Times New Roman" w:hAnsi="Times New Roman"/>
          <w:sz w:val="28"/>
          <w:szCs w:val="28"/>
        </w:rPr>
        <w:t xml:space="preserve">Как и прежде, основными причинами роста естественной убыли населения Архангельской области является снижение рождаемости и, как следствие, «старение» населения, а также продолжающиеся негативные последствия пандемии </w:t>
      </w:r>
      <w:r w:rsidRPr="00FD7B0B">
        <w:rPr>
          <w:rFonts w:ascii="Times New Roman" w:hAnsi="Times New Roman"/>
          <w:sz w:val="28"/>
          <w:szCs w:val="28"/>
          <w:lang w:val="en-US"/>
        </w:rPr>
        <w:t>Covid</w:t>
      </w:r>
      <w:r w:rsidRPr="00FD7B0B">
        <w:rPr>
          <w:rFonts w:ascii="Times New Roman" w:hAnsi="Times New Roman"/>
          <w:sz w:val="28"/>
          <w:szCs w:val="28"/>
        </w:rPr>
        <w:t>-19 с обострением хронических заболеваний и неблагоприятным исходом.</w:t>
      </w:r>
    </w:p>
    <w:p w14:paraId="6A93A34C" w14:textId="0762452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По данным статистики в Архангельской области (без НАО) установлено ежегодное снижение количества населения моложе трудоспособного возраста, в части населения трудоспособного и старше трудоспособного возраста динамика также нестабильна, что представлено в таблице </w:t>
      </w:r>
      <w:r w:rsidR="001607FB" w:rsidRPr="00FD7B0B">
        <w:rPr>
          <w:rFonts w:ascii="Times New Roman" w:hAnsi="Times New Roman"/>
          <w:sz w:val="28"/>
          <w:szCs w:val="28"/>
        </w:rPr>
        <w:t>23</w:t>
      </w:r>
      <w:r w:rsidRPr="00FD7B0B">
        <w:rPr>
          <w:rFonts w:ascii="Times New Roman" w:hAnsi="Times New Roman"/>
          <w:sz w:val="28"/>
          <w:szCs w:val="28"/>
        </w:rPr>
        <w:t>.</w:t>
      </w:r>
    </w:p>
    <w:p w14:paraId="78C07C5E" w14:textId="6581C32C" w:rsidR="001607FB" w:rsidRPr="00FD7B0B" w:rsidRDefault="001607FB" w:rsidP="001607FB">
      <w:pPr>
        <w:pStyle w:val="ad"/>
        <w:ind w:firstLine="709"/>
        <w:jc w:val="both"/>
        <w:rPr>
          <w:rFonts w:ascii="Times New Roman" w:hAnsi="Times New Roman"/>
          <w:b/>
          <w:sz w:val="24"/>
          <w:szCs w:val="24"/>
        </w:rPr>
      </w:pPr>
      <w:r w:rsidRPr="00FD7B0B">
        <w:rPr>
          <w:rFonts w:ascii="Times New Roman" w:hAnsi="Times New Roman"/>
          <w:sz w:val="28"/>
          <w:szCs w:val="28"/>
        </w:rPr>
        <w:t>Общая численность женщин Архангельской области (без НАО) превышает общую численность мужчин в среднем на 15,07 % за наблюдаемый период (01.01.2021 – 01.01.2024), а количество женщин старше трудоспособного возраста превышает количество мужчин того же возраста в среднем в 2,4 раза за наблюдаемый период (01.01.2021 – 01.01.2024).</w:t>
      </w:r>
    </w:p>
    <w:p w14:paraId="0B700AFA" w14:textId="77777777" w:rsidR="001607FB" w:rsidRPr="00FD7B0B" w:rsidRDefault="001607FB" w:rsidP="005A472F">
      <w:pPr>
        <w:pStyle w:val="aff0"/>
        <w:spacing w:after="0" w:line="240" w:lineRule="auto"/>
        <w:rPr>
          <w:rFonts w:ascii="Times New Roman" w:hAnsi="Times New Roman"/>
          <w:b w:val="0"/>
          <w:sz w:val="24"/>
          <w:szCs w:val="24"/>
        </w:rPr>
      </w:pPr>
    </w:p>
    <w:p w14:paraId="3E295DBB" w14:textId="77777777" w:rsidR="001607FB" w:rsidRPr="00FD7B0B" w:rsidRDefault="001607FB" w:rsidP="005A472F">
      <w:pPr>
        <w:pStyle w:val="aff0"/>
        <w:spacing w:after="0" w:line="240" w:lineRule="auto"/>
        <w:rPr>
          <w:rFonts w:ascii="Times New Roman" w:hAnsi="Times New Roman"/>
          <w:b w:val="0"/>
          <w:sz w:val="24"/>
          <w:szCs w:val="24"/>
        </w:rPr>
      </w:pPr>
    </w:p>
    <w:p w14:paraId="5744A58D" w14:textId="77777777"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23</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Динамика численности населения Архангельской области (без НАО) </w:t>
      </w:r>
      <w:r w:rsidRPr="00FD7B0B">
        <w:rPr>
          <w:rStyle w:val="afff1"/>
          <w:rFonts w:ascii="Times New Roman" w:hAnsi="Times New Roman"/>
        </w:rPr>
        <w:footnoteReference w:id="10"/>
      </w:r>
      <w:r w:rsidRPr="00FD7B0B">
        <w:rPr>
          <w:rFonts w:ascii="Times New Roman" w:hAnsi="Times New Roman"/>
          <w:b w:val="0"/>
          <w:sz w:val="24"/>
          <w:szCs w:val="24"/>
        </w:rPr>
        <w:t>моложе трудоспособного возраста, трудоспособного возраста и старше в 2020 – 2023 гг., человек</w:t>
      </w:r>
      <w:r w:rsidRPr="00FD7B0B">
        <w:rPr>
          <w:rStyle w:val="afff1"/>
          <w:rFonts w:ascii="Times New Roman" w:hAnsi="Times New Roman"/>
          <w:b w:val="0"/>
          <w:sz w:val="24"/>
          <w:szCs w:val="24"/>
        </w:rPr>
        <w:footnoteReference w:id="11"/>
      </w:r>
    </w:p>
    <w:tbl>
      <w:tblPr>
        <w:tblW w:w="10020" w:type="dxa"/>
        <w:tblInd w:w="-16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1134"/>
        <w:gridCol w:w="1134"/>
        <w:gridCol w:w="1206"/>
        <w:gridCol w:w="1062"/>
        <w:gridCol w:w="1134"/>
        <w:gridCol w:w="1134"/>
        <w:gridCol w:w="1072"/>
        <w:gridCol w:w="1072"/>
        <w:gridCol w:w="1072"/>
      </w:tblGrid>
      <w:tr w:rsidR="00FD7B0B" w:rsidRPr="00FD7B0B" w14:paraId="2E7E950C" w14:textId="77777777" w:rsidTr="00CD39A6">
        <w:trPr>
          <w:trHeight w:val="379"/>
          <w:tblHeader/>
        </w:trPr>
        <w:tc>
          <w:tcPr>
            <w:tcW w:w="1134" w:type="dxa"/>
            <w:vMerge w:val="restart"/>
            <w:shd w:val="clear" w:color="auto" w:fill="auto"/>
            <w:vAlign w:val="center"/>
            <w:hideMark/>
          </w:tcPr>
          <w:p w14:paraId="7F8FF01B" w14:textId="77777777" w:rsidR="005A472F" w:rsidRPr="00FD7B0B" w:rsidRDefault="005A472F" w:rsidP="00BE64F6">
            <w:pPr>
              <w:spacing w:after="0" w:line="240" w:lineRule="auto"/>
              <w:ind w:left="-108"/>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Население</w:t>
            </w:r>
          </w:p>
        </w:tc>
        <w:tc>
          <w:tcPr>
            <w:tcW w:w="1134" w:type="dxa"/>
            <w:shd w:val="clear" w:color="auto" w:fill="auto"/>
            <w:vAlign w:val="center"/>
            <w:hideMark/>
          </w:tcPr>
          <w:p w14:paraId="4FFB2C80"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на 01.01.2021 </w:t>
            </w:r>
          </w:p>
        </w:tc>
        <w:tc>
          <w:tcPr>
            <w:tcW w:w="1206" w:type="dxa"/>
            <w:shd w:val="clear" w:color="auto" w:fill="auto"/>
            <w:vAlign w:val="center"/>
            <w:hideMark/>
          </w:tcPr>
          <w:p w14:paraId="71E70B88"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на 01.01.2022</w:t>
            </w:r>
          </w:p>
        </w:tc>
        <w:tc>
          <w:tcPr>
            <w:tcW w:w="1062" w:type="dxa"/>
            <w:shd w:val="clear" w:color="auto" w:fill="auto"/>
            <w:vAlign w:val="center"/>
            <w:hideMark/>
          </w:tcPr>
          <w:p w14:paraId="47B242DD"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на 01.01.2023</w:t>
            </w:r>
          </w:p>
        </w:tc>
        <w:tc>
          <w:tcPr>
            <w:tcW w:w="1134" w:type="dxa"/>
            <w:shd w:val="clear" w:color="auto" w:fill="auto"/>
            <w:vAlign w:val="center"/>
            <w:hideMark/>
          </w:tcPr>
          <w:p w14:paraId="1CBBE5D7"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на 01.01.2024</w:t>
            </w:r>
          </w:p>
        </w:tc>
        <w:tc>
          <w:tcPr>
            <w:tcW w:w="4350" w:type="dxa"/>
            <w:gridSpan w:val="4"/>
            <w:shd w:val="clear" w:color="auto" w:fill="auto"/>
            <w:vAlign w:val="center"/>
          </w:tcPr>
          <w:p w14:paraId="6F6D1C81"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Изменение численности </w:t>
            </w:r>
          </w:p>
          <w:p w14:paraId="47EB71EE"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к предыдущему году</w:t>
            </w:r>
          </w:p>
        </w:tc>
      </w:tr>
      <w:tr w:rsidR="00FD7B0B" w:rsidRPr="00FD7B0B" w14:paraId="67C53081" w14:textId="77777777" w:rsidTr="00CD39A6">
        <w:trPr>
          <w:trHeight w:val="161"/>
          <w:tblHeader/>
        </w:trPr>
        <w:tc>
          <w:tcPr>
            <w:tcW w:w="1134" w:type="dxa"/>
            <w:vMerge/>
            <w:shd w:val="clear" w:color="auto" w:fill="auto"/>
            <w:vAlign w:val="center"/>
            <w:hideMark/>
          </w:tcPr>
          <w:p w14:paraId="4928C22E"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shd w:val="clear" w:color="auto" w:fill="auto"/>
            <w:vAlign w:val="center"/>
            <w:hideMark/>
          </w:tcPr>
          <w:p w14:paraId="3BAE29DD"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2020</w:t>
            </w:r>
            <w:r w:rsidRPr="00FD7B0B">
              <w:rPr>
                <w:rFonts w:ascii="Times New Roman" w:eastAsia="Times New Roman" w:hAnsi="Times New Roman" w:cs="Times New Roman"/>
                <w:sz w:val="21"/>
                <w:szCs w:val="21"/>
                <w:lang w:val="en-US" w:eastAsia="ru-RU"/>
              </w:rPr>
              <w:t xml:space="preserve"> </w:t>
            </w:r>
            <w:r w:rsidRPr="00FD7B0B">
              <w:rPr>
                <w:rFonts w:ascii="Times New Roman" w:eastAsia="Times New Roman" w:hAnsi="Times New Roman" w:cs="Times New Roman"/>
                <w:sz w:val="21"/>
                <w:szCs w:val="21"/>
                <w:lang w:eastAsia="ru-RU"/>
              </w:rPr>
              <w:t>год</w:t>
            </w:r>
          </w:p>
        </w:tc>
        <w:tc>
          <w:tcPr>
            <w:tcW w:w="1206" w:type="dxa"/>
            <w:shd w:val="clear" w:color="auto" w:fill="auto"/>
            <w:vAlign w:val="center"/>
            <w:hideMark/>
          </w:tcPr>
          <w:p w14:paraId="2388E43F"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2021 год</w:t>
            </w:r>
          </w:p>
        </w:tc>
        <w:tc>
          <w:tcPr>
            <w:tcW w:w="1062" w:type="dxa"/>
            <w:shd w:val="clear" w:color="auto" w:fill="auto"/>
            <w:vAlign w:val="center"/>
            <w:hideMark/>
          </w:tcPr>
          <w:p w14:paraId="55A8FA03"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2022 год</w:t>
            </w:r>
          </w:p>
        </w:tc>
        <w:tc>
          <w:tcPr>
            <w:tcW w:w="1134" w:type="dxa"/>
            <w:shd w:val="clear" w:color="auto" w:fill="auto"/>
            <w:vAlign w:val="center"/>
            <w:hideMark/>
          </w:tcPr>
          <w:p w14:paraId="4E8C169C"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2023 год</w:t>
            </w:r>
          </w:p>
        </w:tc>
        <w:tc>
          <w:tcPr>
            <w:tcW w:w="1134" w:type="dxa"/>
            <w:shd w:val="clear" w:color="auto" w:fill="auto"/>
            <w:vAlign w:val="center"/>
            <w:hideMark/>
          </w:tcPr>
          <w:p w14:paraId="6F4C507C" w14:textId="77777777" w:rsidR="005A472F" w:rsidRPr="00FD7B0B" w:rsidRDefault="005A472F" w:rsidP="00BE64F6">
            <w:pPr>
              <w:spacing w:after="0" w:line="240" w:lineRule="auto"/>
              <w:ind w:left="-108" w:right="-38"/>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2020/2019</w:t>
            </w:r>
          </w:p>
        </w:tc>
        <w:tc>
          <w:tcPr>
            <w:tcW w:w="1072" w:type="dxa"/>
            <w:shd w:val="clear" w:color="auto" w:fill="auto"/>
            <w:vAlign w:val="center"/>
            <w:hideMark/>
          </w:tcPr>
          <w:p w14:paraId="5DB8A1E0"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2021/2020</w:t>
            </w:r>
          </w:p>
        </w:tc>
        <w:tc>
          <w:tcPr>
            <w:tcW w:w="1072" w:type="dxa"/>
            <w:shd w:val="clear" w:color="auto" w:fill="auto"/>
            <w:vAlign w:val="center"/>
            <w:hideMark/>
          </w:tcPr>
          <w:p w14:paraId="0F26FFE5"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2022/2021</w:t>
            </w:r>
          </w:p>
        </w:tc>
        <w:tc>
          <w:tcPr>
            <w:tcW w:w="1072" w:type="dxa"/>
            <w:shd w:val="clear" w:color="auto" w:fill="auto"/>
            <w:vAlign w:val="center"/>
            <w:hideMark/>
          </w:tcPr>
          <w:p w14:paraId="6633AEC9"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2023/2022</w:t>
            </w:r>
          </w:p>
        </w:tc>
      </w:tr>
      <w:tr w:rsidR="00FD7B0B" w:rsidRPr="00FD7B0B" w14:paraId="297C966D" w14:textId="77777777" w:rsidTr="00BE64F6">
        <w:trPr>
          <w:trHeight w:val="125"/>
          <w:tblHeader/>
        </w:trPr>
        <w:tc>
          <w:tcPr>
            <w:tcW w:w="1134" w:type="dxa"/>
            <w:vMerge/>
            <w:shd w:val="clear" w:color="auto" w:fill="auto"/>
            <w:vAlign w:val="center"/>
            <w:hideMark/>
          </w:tcPr>
          <w:p w14:paraId="12E2BCC0"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4536" w:type="dxa"/>
            <w:gridSpan w:val="4"/>
            <w:shd w:val="clear" w:color="auto" w:fill="auto"/>
            <w:vAlign w:val="center"/>
            <w:hideMark/>
          </w:tcPr>
          <w:p w14:paraId="1F6FDD35"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человек</w:t>
            </w:r>
          </w:p>
        </w:tc>
        <w:tc>
          <w:tcPr>
            <w:tcW w:w="4350" w:type="dxa"/>
            <w:gridSpan w:val="4"/>
            <w:shd w:val="clear" w:color="auto" w:fill="auto"/>
            <w:vAlign w:val="center"/>
            <w:hideMark/>
          </w:tcPr>
          <w:p w14:paraId="2185EA5C"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чел./%</w:t>
            </w:r>
          </w:p>
        </w:tc>
      </w:tr>
      <w:tr w:rsidR="00FD7B0B" w:rsidRPr="00FD7B0B" w14:paraId="403BDF21" w14:textId="77777777" w:rsidTr="00BE64F6">
        <w:trPr>
          <w:trHeight w:val="59"/>
        </w:trPr>
        <w:tc>
          <w:tcPr>
            <w:tcW w:w="10020" w:type="dxa"/>
            <w:gridSpan w:val="9"/>
            <w:shd w:val="clear" w:color="auto" w:fill="auto"/>
            <w:vAlign w:val="center"/>
            <w:hideMark/>
          </w:tcPr>
          <w:p w14:paraId="2BA3A69F" w14:textId="77777777" w:rsidR="005A472F" w:rsidRPr="00FD7B0B" w:rsidRDefault="005A472F" w:rsidP="00BE64F6">
            <w:pPr>
              <w:spacing w:after="0" w:line="240" w:lineRule="auto"/>
              <w:ind w:left="-108" w:right="-36"/>
              <w:jc w:val="center"/>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мужчины</w:t>
            </w:r>
          </w:p>
        </w:tc>
      </w:tr>
      <w:tr w:rsidR="00FD7B0B" w:rsidRPr="00FD7B0B" w14:paraId="6E488CAA" w14:textId="77777777" w:rsidTr="00BE64F6">
        <w:trPr>
          <w:trHeight w:val="328"/>
        </w:trPr>
        <w:tc>
          <w:tcPr>
            <w:tcW w:w="1134" w:type="dxa"/>
            <w:vMerge w:val="restart"/>
            <w:shd w:val="clear" w:color="auto" w:fill="auto"/>
            <w:vAlign w:val="bottom"/>
            <w:hideMark/>
          </w:tcPr>
          <w:p w14:paraId="53EBC5C3"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моложе трудоспособного</w:t>
            </w:r>
          </w:p>
        </w:tc>
        <w:tc>
          <w:tcPr>
            <w:tcW w:w="1134" w:type="dxa"/>
            <w:vMerge w:val="restart"/>
            <w:shd w:val="clear" w:color="auto" w:fill="auto"/>
            <w:vAlign w:val="bottom"/>
            <w:hideMark/>
          </w:tcPr>
          <w:p w14:paraId="170E9C57"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102 538 </w:t>
            </w:r>
          </w:p>
        </w:tc>
        <w:tc>
          <w:tcPr>
            <w:tcW w:w="1206" w:type="dxa"/>
            <w:vMerge w:val="restart"/>
            <w:shd w:val="clear" w:color="auto" w:fill="auto"/>
            <w:vAlign w:val="bottom"/>
            <w:hideMark/>
          </w:tcPr>
          <w:p w14:paraId="2690688F"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100 536 </w:t>
            </w:r>
          </w:p>
        </w:tc>
        <w:tc>
          <w:tcPr>
            <w:tcW w:w="1062" w:type="dxa"/>
            <w:vMerge w:val="restart"/>
            <w:shd w:val="clear" w:color="auto" w:fill="auto"/>
            <w:vAlign w:val="bottom"/>
            <w:hideMark/>
          </w:tcPr>
          <w:p w14:paraId="0D07FD36"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89 664 </w:t>
            </w:r>
          </w:p>
        </w:tc>
        <w:tc>
          <w:tcPr>
            <w:tcW w:w="1134" w:type="dxa"/>
            <w:vMerge w:val="restart"/>
            <w:shd w:val="clear" w:color="auto" w:fill="auto"/>
            <w:vAlign w:val="bottom"/>
            <w:hideMark/>
          </w:tcPr>
          <w:p w14:paraId="0689AA22"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87 597 </w:t>
            </w:r>
          </w:p>
        </w:tc>
        <w:tc>
          <w:tcPr>
            <w:tcW w:w="1134" w:type="dxa"/>
            <w:shd w:val="clear" w:color="auto" w:fill="auto"/>
            <w:vAlign w:val="bottom"/>
            <w:hideMark/>
          </w:tcPr>
          <w:p w14:paraId="6A507F97"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-2 055,0 </w:t>
            </w:r>
          </w:p>
        </w:tc>
        <w:tc>
          <w:tcPr>
            <w:tcW w:w="1072" w:type="dxa"/>
            <w:shd w:val="clear" w:color="auto" w:fill="auto"/>
            <w:vAlign w:val="bottom"/>
            <w:hideMark/>
          </w:tcPr>
          <w:p w14:paraId="2D3BA843"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-2 002,0 </w:t>
            </w:r>
          </w:p>
        </w:tc>
        <w:tc>
          <w:tcPr>
            <w:tcW w:w="1072" w:type="dxa"/>
            <w:shd w:val="clear" w:color="auto" w:fill="auto"/>
            <w:vAlign w:val="bottom"/>
            <w:hideMark/>
          </w:tcPr>
          <w:p w14:paraId="64B2D519"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-10 872,0 </w:t>
            </w:r>
          </w:p>
        </w:tc>
        <w:tc>
          <w:tcPr>
            <w:tcW w:w="1072" w:type="dxa"/>
            <w:shd w:val="clear" w:color="auto" w:fill="auto"/>
            <w:vAlign w:val="bottom"/>
            <w:hideMark/>
          </w:tcPr>
          <w:p w14:paraId="3BA61A37"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-2 067,0 </w:t>
            </w:r>
          </w:p>
        </w:tc>
      </w:tr>
      <w:tr w:rsidR="00FD7B0B" w:rsidRPr="00FD7B0B" w14:paraId="029ACADF" w14:textId="77777777" w:rsidTr="00BE64F6">
        <w:trPr>
          <w:trHeight w:val="300"/>
        </w:trPr>
        <w:tc>
          <w:tcPr>
            <w:tcW w:w="1134" w:type="dxa"/>
            <w:vMerge/>
            <w:shd w:val="clear" w:color="auto" w:fill="auto"/>
            <w:vAlign w:val="bottom"/>
            <w:hideMark/>
          </w:tcPr>
          <w:p w14:paraId="70494A0B"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46AA849A"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206" w:type="dxa"/>
            <w:vMerge/>
            <w:shd w:val="clear" w:color="auto" w:fill="auto"/>
            <w:vAlign w:val="bottom"/>
            <w:hideMark/>
          </w:tcPr>
          <w:p w14:paraId="16ADE47C"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062" w:type="dxa"/>
            <w:vMerge/>
            <w:shd w:val="clear" w:color="auto" w:fill="auto"/>
            <w:vAlign w:val="bottom"/>
            <w:hideMark/>
          </w:tcPr>
          <w:p w14:paraId="2823290A"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67EA1CC1"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134" w:type="dxa"/>
            <w:shd w:val="clear" w:color="auto" w:fill="auto"/>
            <w:vAlign w:val="bottom"/>
            <w:hideMark/>
          </w:tcPr>
          <w:p w14:paraId="1B5DF3D4"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-2,0 </w:t>
            </w:r>
          </w:p>
        </w:tc>
        <w:tc>
          <w:tcPr>
            <w:tcW w:w="1072" w:type="dxa"/>
            <w:shd w:val="clear" w:color="auto" w:fill="auto"/>
            <w:vAlign w:val="bottom"/>
            <w:hideMark/>
          </w:tcPr>
          <w:p w14:paraId="7E5FCC13"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-2,0 </w:t>
            </w:r>
          </w:p>
        </w:tc>
        <w:tc>
          <w:tcPr>
            <w:tcW w:w="1072" w:type="dxa"/>
            <w:shd w:val="clear" w:color="auto" w:fill="auto"/>
            <w:vAlign w:val="bottom"/>
            <w:hideMark/>
          </w:tcPr>
          <w:p w14:paraId="3C2500B8"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-10,8 </w:t>
            </w:r>
          </w:p>
        </w:tc>
        <w:tc>
          <w:tcPr>
            <w:tcW w:w="1072" w:type="dxa"/>
            <w:shd w:val="clear" w:color="auto" w:fill="auto"/>
            <w:vAlign w:val="bottom"/>
            <w:hideMark/>
          </w:tcPr>
          <w:p w14:paraId="72996A95"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-2,3 </w:t>
            </w:r>
          </w:p>
        </w:tc>
      </w:tr>
      <w:tr w:rsidR="00FD7B0B" w:rsidRPr="00FD7B0B" w14:paraId="6359EB6E" w14:textId="77777777" w:rsidTr="00BE64F6">
        <w:trPr>
          <w:trHeight w:val="155"/>
        </w:trPr>
        <w:tc>
          <w:tcPr>
            <w:tcW w:w="1134" w:type="dxa"/>
            <w:vMerge w:val="restart"/>
            <w:shd w:val="clear" w:color="auto" w:fill="auto"/>
            <w:vAlign w:val="bottom"/>
            <w:hideMark/>
          </w:tcPr>
          <w:p w14:paraId="0765807E"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трудоспособное</w:t>
            </w:r>
          </w:p>
        </w:tc>
        <w:tc>
          <w:tcPr>
            <w:tcW w:w="1134" w:type="dxa"/>
            <w:vMerge w:val="restart"/>
            <w:shd w:val="clear" w:color="auto" w:fill="auto"/>
            <w:vAlign w:val="bottom"/>
            <w:hideMark/>
          </w:tcPr>
          <w:p w14:paraId="5BFF0D15"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319 270 </w:t>
            </w:r>
          </w:p>
        </w:tc>
        <w:tc>
          <w:tcPr>
            <w:tcW w:w="1206" w:type="dxa"/>
            <w:vMerge w:val="restart"/>
            <w:shd w:val="clear" w:color="auto" w:fill="auto"/>
            <w:vAlign w:val="bottom"/>
            <w:hideMark/>
          </w:tcPr>
          <w:p w14:paraId="62A5CF03"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322 012 </w:t>
            </w:r>
          </w:p>
        </w:tc>
        <w:tc>
          <w:tcPr>
            <w:tcW w:w="1062" w:type="dxa"/>
            <w:vMerge w:val="restart"/>
            <w:shd w:val="clear" w:color="auto" w:fill="auto"/>
            <w:vAlign w:val="bottom"/>
            <w:hideMark/>
          </w:tcPr>
          <w:p w14:paraId="0E038254"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278 957 </w:t>
            </w:r>
          </w:p>
        </w:tc>
        <w:tc>
          <w:tcPr>
            <w:tcW w:w="1134" w:type="dxa"/>
            <w:vMerge w:val="restart"/>
            <w:shd w:val="clear" w:color="auto" w:fill="auto"/>
            <w:vAlign w:val="bottom"/>
            <w:hideMark/>
          </w:tcPr>
          <w:p w14:paraId="37AB9AFF"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280 949 </w:t>
            </w:r>
          </w:p>
        </w:tc>
        <w:tc>
          <w:tcPr>
            <w:tcW w:w="1134" w:type="dxa"/>
            <w:shd w:val="clear" w:color="auto" w:fill="auto"/>
            <w:vAlign w:val="bottom"/>
            <w:hideMark/>
          </w:tcPr>
          <w:p w14:paraId="4D65F13E"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-4 298,0 </w:t>
            </w:r>
          </w:p>
        </w:tc>
        <w:tc>
          <w:tcPr>
            <w:tcW w:w="1072" w:type="dxa"/>
            <w:shd w:val="clear" w:color="auto" w:fill="auto"/>
            <w:vAlign w:val="bottom"/>
            <w:hideMark/>
          </w:tcPr>
          <w:p w14:paraId="5AE4B1BC"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2 742,0 </w:t>
            </w:r>
          </w:p>
        </w:tc>
        <w:tc>
          <w:tcPr>
            <w:tcW w:w="1072" w:type="dxa"/>
            <w:shd w:val="clear" w:color="auto" w:fill="auto"/>
            <w:vAlign w:val="bottom"/>
            <w:hideMark/>
          </w:tcPr>
          <w:p w14:paraId="12836DD0"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-43 055,0 </w:t>
            </w:r>
          </w:p>
        </w:tc>
        <w:tc>
          <w:tcPr>
            <w:tcW w:w="1072" w:type="dxa"/>
            <w:shd w:val="clear" w:color="auto" w:fill="auto"/>
            <w:vAlign w:val="bottom"/>
            <w:hideMark/>
          </w:tcPr>
          <w:p w14:paraId="57188958"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1 992,0 </w:t>
            </w:r>
          </w:p>
        </w:tc>
      </w:tr>
      <w:tr w:rsidR="00FD7B0B" w:rsidRPr="00FD7B0B" w14:paraId="219ABB4B" w14:textId="77777777" w:rsidTr="00BE64F6">
        <w:trPr>
          <w:trHeight w:val="187"/>
        </w:trPr>
        <w:tc>
          <w:tcPr>
            <w:tcW w:w="1134" w:type="dxa"/>
            <w:vMerge/>
            <w:shd w:val="clear" w:color="auto" w:fill="auto"/>
            <w:vAlign w:val="bottom"/>
            <w:hideMark/>
          </w:tcPr>
          <w:p w14:paraId="0BA9BB79"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0989C2A3"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206" w:type="dxa"/>
            <w:vMerge/>
            <w:shd w:val="clear" w:color="auto" w:fill="auto"/>
            <w:vAlign w:val="bottom"/>
            <w:hideMark/>
          </w:tcPr>
          <w:p w14:paraId="04FCAB1B"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062" w:type="dxa"/>
            <w:vMerge/>
            <w:shd w:val="clear" w:color="auto" w:fill="auto"/>
            <w:vAlign w:val="bottom"/>
            <w:hideMark/>
          </w:tcPr>
          <w:p w14:paraId="6C3CCDA6"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73AA44E6"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134" w:type="dxa"/>
            <w:shd w:val="clear" w:color="auto" w:fill="auto"/>
            <w:vAlign w:val="bottom"/>
            <w:hideMark/>
          </w:tcPr>
          <w:p w14:paraId="66222576"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 </w:t>
            </w:r>
          </w:p>
        </w:tc>
        <w:tc>
          <w:tcPr>
            <w:tcW w:w="1072" w:type="dxa"/>
            <w:shd w:val="clear" w:color="auto" w:fill="auto"/>
            <w:vAlign w:val="bottom"/>
            <w:hideMark/>
          </w:tcPr>
          <w:p w14:paraId="47040E16"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100,9 </w:t>
            </w:r>
          </w:p>
        </w:tc>
        <w:tc>
          <w:tcPr>
            <w:tcW w:w="1072" w:type="dxa"/>
            <w:shd w:val="clear" w:color="auto" w:fill="auto"/>
            <w:vAlign w:val="bottom"/>
            <w:hideMark/>
          </w:tcPr>
          <w:p w14:paraId="019D4341"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-13,4 </w:t>
            </w:r>
          </w:p>
        </w:tc>
        <w:tc>
          <w:tcPr>
            <w:tcW w:w="1072" w:type="dxa"/>
            <w:shd w:val="clear" w:color="auto" w:fill="auto"/>
            <w:vAlign w:val="bottom"/>
            <w:hideMark/>
          </w:tcPr>
          <w:p w14:paraId="0929BF40"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100,7 </w:t>
            </w:r>
          </w:p>
        </w:tc>
      </w:tr>
      <w:tr w:rsidR="00FD7B0B" w:rsidRPr="00FD7B0B" w14:paraId="267D4CC1" w14:textId="77777777" w:rsidTr="00BE64F6">
        <w:trPr>
          <w:trHeight w:val="300"/>
        </w:trPr>
        <w:tc>
          <w:tcPr>
            <w:tcW w:w="1134" w:type="dxa"/>
            <w:vMerge w:val="restart"/>
            <w:shd w:val="clear" w:color="auto" w:fill="auto"/>
            <w:vAlign w:val="bottom"/>
            <w:hideMark/>
          </w:tcPr>
          <w:p w14:paraId="480FDE56"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старше трудоспособного</w:t>
            </w:r>
          </w:p>
        </w:tc>
        <w:tc>
          <w:tcPr>
            <w:tcW w:w="1134" w:type="dxa"/>
            <w:vMerge w:val="restart"/>
            <w:shd w:val="clear" w:color="auto" w:fill="auto"/>
            <w:vAlign w:val="bottom"/>
            <w:hideMark/>
          </w:tcPr>
          <w:p w14:paraId="23D16046"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85 046 </w:t>
            </w:r>
          </w:p>
        </w:tc>
        <w:tc>
          <w:tcPr>
            <w:tcW w:w="1206" w:type="dxa"/>
            <w:vMerge w:val="restart"/>
            <w:shd w:val="clear" w:color="auto" w:fill="auto"/>
            <w:vAlign w:val="bottom"/>
            <w:hideMark/>
          </w:tcPr>
          <w:p w14:paraId="3267231D"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78 574 </w:t>
            </w:r>
          </w:p>
        </w:tc>
        <w:tc>
          <w:tcPr>
            <w:tcW w:w="1062" w:type="dxa"/>
            <w:vMerge w:val="restart"/>
            <w:shd w:val="clear" w:color="auto" w:fill="auto"/>
            <w:vAlign w:val="bottom"/>
            <w:hideMark/>
          </w:tcPr>
          <w:p w14:paraId="39BAE687"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76 772 </w:t>
            </w:r>
          </w:p>
        </w:tc>
        <w:tc>
          <w:tcPr>
            <w:tcW w:w="1134" w:type="dxa"/>
            <w:vMerge w:val="restart"/>
            <w:shd w:val="clear" w:color="auto" w:fill="auto"/>
            <w:vAlign w:val="bottom"/>
            <w:hideMark/>
          </w:tcPr>
          <w:p w14:paraId="522A9E76"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72 584 </w:t>
            </w:r>
          </w:p>
        </w:tc>
        <w:tc>
          <w:tcPr>
            <w:tcW w:w="1134" w:type="dxa"/>
            <w:shd w:val="clear" w:color="auto" w:fill="auto"/>
            <w:vAlign w:val="bottom"/>
            <w:hideMark/>
          </w:tcPr>
          <w:p w14:paraId="480DF167"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1 631,0 </w:t>
            </w:r>
          </w:p>
        </w:tc>
        <w:tc>
          <w:tcPr>
            <w:tcW w:w="1072" w:type="dxa"/>
            <w:shd w:val="clear" w:color="auto" w:fill="auto"/>
            <w:vAlign w:val="bottom"/>
            <w:hideMark/>
          </w:tcPr>
          <w:p w14:paraId="59F2E2C5"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-6 472,0 </w:t>
            </w:r>
          </w:p>
        </w:tc>
        <w:tc>
          <w:tcPr>
            <w:tcW w:w="1072" w:type="dxa"/>
            <w:shd w:val="clear" w:color="auto" w:fill="auto"/>
            <w:vAlign w:val="bottom"/>
            <w:hideMark/>
          </w:tcPr>
          <w:p w14:paraId="55F27E0D"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-1 802,0 </w:t>
            </w:r>
          </w:p>
        </w:tc>
        <w:tc>
          <w:tcPr>
            <w:tcW w:w="1072" w:type="dxa"/>
            <w:shd w:val="clear" w:color="auto" w:fill="auto"/>
            <w:vAlign w:val="bottom"/>
            <w:hideMark/>
          </w:tcPr>
          <w:p w14:paraId="52DA946F"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-4 188,0 </w:t>
            </w:r>
          </w:p>
        </w:tc>
      </w:tr>
      <w:tr w:rsidR="00FD7B0B" w:rsidRPr="00FD7B0B" w14:paraId="2AF32601" w14:textId="77777777" w:rsidTr="00BE64F6">
        <w:trPr>
          <w:trHeight w:val="300"/>
        </w:trPr>
        <w:tc>
          <w:tcPr>
            <w:tcW w:w="1134" w:type="dxa"/>
            <w:vMerge/>
            <w:shd w:val="clear" w:color="auto" w:fill="auto"/>
            <w:vAlign w:val="bottom"/>
            <w:hideMark/>
          </w:tcPr>
          <w:p w14:paraId="2FF64734"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16166D7C" w14:textId="77777777" w:rsidR="005A472F" w:rsidRPr="00FD7B0B" w:rsidRDefault="005A472F" w:rsidP="00BE64F6">
            <w:pPr>
              <w:spacing w:after="0" w:line="240" w:lineRule="auto"/>
              <w:ind w:left="-108" w:right="-36"/>
              <w:rPr>
                <w:rFonts w:ascii="Times New Roman" w:eastAsia="Times New Roman" w:hAnsi="Times New Roman" w:cs="Times New Roman"/>
                <w:sz w:val="21"/>
                <w:szCs w:val="21"/>
                <w:lang w:eastAsia="ru-RU"/>
              </w:rPr>
            </w:pPr>
          </w:p>
        </w:tc>
        <w:tc>
          <w:tcPr>
            <w:tcW w:w="1206" w:type="dxa"/>
            <w:vMerge/>
            <w:shd w:val="clear" w:color="auto" w:fill="auto"/>
            <w:vAlign w:val="bottom"/>
            <w:hideMark/>
          </w:tcPr>
          <w:p w14:paraId="7572EE7B" w14:textId="77777777" w:rsidR="005A472F" w:rsidRPr="00FD7B0B" w:rsidRDefault="005A472F" w:rsidP="00BE64F6">
            <w:pPr>
              <w:spacing w:after="0" w:line="240" w:lineRule="auto"/>
              <w:ind w:left="-108" w:right="-36"/>
              <w:rPr>
                <w:rFonts w:ascii="Times New Roman" w:eastAsia="Times New Roman" w:hAnsi="Times New Roman" w:cs="Times New Roman"/>
                <w:sz w:val="21"/>
                <w:szCs w:val="21"/>
                <w:lang w:eastAsia="ru-RU"/>
              </w:rPr>
            </w:pPr>
          </w:p>
        </w:tc>
        <w:tc>
          <w:tcPr>
            <w:tcW w:w="1062" w:type="dxa"/>
            <w:vMerge/>
            <w:shd w:val="clear" w:color="auto" w:fill="auto"/>
            <w:vAlign w:val="bottom"/>
            <w:hideMark/>
          </w:tcPr>
          <w:p w14:paraId="5533ECFA" w14:textId="77777777" w:rsidR="005A472F" w:rsidRPr="00FD7B0B" w:rsidRDefault="005A472F" w:rsidP="00BE64F6">
            <w:pPr>
              <w:spacing w:after="0" w:line="240" w:lineRule="auto"/>
              <w:ind w:left="-108" w:right="-36"/>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44171C3F" w14:textId="77777777" w:rsidR="005A472F" w:rsidRPr="00FD7B0B" w:rsidRDefault="005A472F" w:rsidP="00BE64F6">
            <w:pPr>
              <w:spacing w:after="0" w:line="240" w:lineRule="auto"/>
              <w:ind w:left="-108" w:right="-36"/>
              <w:rPr>
                <w:rFonts w:ascii="Times New Roman" w:eastAsia="Times New Roman" w:hAnsi="Times New Roman" w:cs="Times New Roman"/>
                <w:sz w:val="21"/>
                <w:szCs w:val="21"/>
                <w:lang w:eastAsia="ru-RU"/>
              </w:rPr>
            </w:pPr>
          </w:p>
        </w:tc>
        <w:tc>
          <w:tcPr>
            <w:tcW w:w="1134" w:type="dxa"/>
            <w:shd w:val="clear" w:color="auto" w:fill="auto"/>
            <w:vAlign w:val="bottom"/>
            <w:hideMark/>
          </w:tcPr>
          <w:p w14:paraId="45A3662B"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102,0 </w:t>
            </w:r>
          </w:p>
        </w:tc>
        <w:tc>
          <w:tcPr>
            <w:tcW w:w="1072" w:type="dxa"/>
            <w:shd w:val="clear" w:color="auto" w:fill="auto"/>
            <w:vAlign w:val="bottom"/>
            <w:hideMark/>
          </w:tcPr>
          <w:p w14:paraId="28934BD3"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-7,6 </w:t>
            </w:r>
          </w:p>
        </w:tc>
        <w:tc>
          <w:tcPr>
            <w:tcW w:w="1072" w:type="dxa"/>
            <w:shd w:val="clear" w:color="auto" w:fill="auto"/>
            <w:vAlign w:val="bottom"/>
            <w:hideMark/>
          </w:tcPr>
          <w:p w14:paraId="35D0AD14"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-2,3 </w:t>
            </w:r>
          </w:p>
        </w:tc>
        <w:tc>
          <w:tcPr>
            <w:tcW w:w="1072" w:type="dxa"/>
            <w:shd w:val="clear" w:color="auto" w:fill="auto"/>
            <w:vAlign w:val="bottom"/>
            <w:hideMark/>
          </w:tcPr>
          <w:p w14:paraId="218CA06C"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-5,5 </w:t>
            </w:r>
          </w:p>
        </w:tc>
      </w:tr>
      <w:tr w:rsidR="00FD7B0B" w:rsidRPr="00FD7B0B" w14:paraId="7BD90751" w14:textId="77777777" w:rsidTr="00BE64F6">
        <w:trPr>
          <w:trHeight w:val="187"/>
        </w:trPr>
        <w:tc>
          <w:tcPr>
            <w:tcW w:w="1134" w:type="dxa"/>
            <w:vMerge w:val="restart"/>
            <w:shd w:val="clear" w:color="auto" w:fill="auto"/>
            <w:vAlign w:val="center"/>
            <w:hideMark/>
          </w:tcPr>
          <w:p w14:paraId="4D05B4E0" w14:textId="77777777" w:rsidR="005A472F" w:rsidRPr="00FD7B0B" w:rsidRDefault="005A472F" w:rsidP="008175C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Всего, в том числе</w:t>
            </w:r>
          </w:p>
        </w:tc>
        <w:tc>
          <w:tcPr>
            <w:tcW w:w="1134" w:type="dxa"/>
            <w:shd w:val="clear" w:color="auto" w:fill="auto"/>
            <w:vAlign w:val="bottom"/>
            <w:hideMark/>
          </w:tcPr>
          <w:p w14:paraId="6EF8DE46"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506 854 </w:t>
            </w:r>
          </w:p>
        </w:tc>
        <w:tc>
          <w:tcPr>
            <w:tcW w:w="1206" w:type="dxa"/>
            <w:shd w:val="clear" w:color="auto" w:fill="auto"/>
            <w:vAlign w:val="bottom"/>
            <w:hideMark/>
          </w:tcPr>
          <w:p w14:paraId="5C7408A8"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501 122 </w:t>
            </w:r>
          </w:p>
        </w:tc>
        <w:tc>
          <w:tcPr>
            <w:tcW w:w="1062" w:type="dxa"/>
            <w:shd w:val="clear" w:color="auto" w:fill="auto"/>
            <w:vAlign w:val="bottom"/>
            <w:hideMark/>
          </w:tcPr>
          <w:p w14:paraId="6A7CFE27"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445 393 </w:t>
            </w:r>
          </w:p>
        </w:tc>
        <w:tc>
          <w:tcPr>
            <w:tcW w:w="1134" w:type="dxa"/>
            <w:shd w:val="clear" w:color="auto" w:fill="auto"/>
            <w:vAlign w:val="bottom"/>
            <w:hideMark/>
          </w:tcPr>
          <w:p w14:paraId="582F184D"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441 130 </w:t>
            </w:r>
          </w:p>
        </w:tc>
        <w:tc>
          <w:tcPr>
            <w:tcW w:w="4350" w:type="dxa"/>
            <w:gridSpan w:val="4"/>
            <w:shd w:val="clear" w:color="auto" w:fill="auto"/>
            <w:vAlign w:val="bottom"/>
            <w:hideMark/>
          </w:tcPr>
          <w:p w14:paraId="21C41EA9"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х</w:t>
            </w:r>
          </w:p>
        </w:tc>
      </w:tr>
      <w:tr w:rsidR="00FD7B0B" w:rsidRPr="00FD7B0B" w14:paraId="519E8B5A" w14:textId="77777777" w:rsidTr="00BE64F6">
        <w:trPr>
          <w:trHeight w:val="204"/>
        </w:trPr>
        <w:tc>
          <w:tcPr>
            <w:tcW w:w="1134" w:type="dxa"/>
            <w:vMerge/>
            <w:shd w:val="clear" w:color="auto" w:fill="auto"/>
            <w:vAlign w:val="bottom"/>
            <w:hideMark/>
          </w:tcPr>
          <w:p w14:paraId="4FFAAB08" w14:textId="77777777" w:rsidR="005A472F" w:rsidRPr="00FD7B0B" w:rsidRDefault="005A472F" w:rsidP="00BE64F6">
            <w:pPr>
              <w:spacing w:after="0" w:line="240" w:lineRule="auto"/>
              <w:jc w:val="center"/>
              <w:rPr>
                <w:rFonts w:ascii="Times New Roman" w:eastAsia="Times New Roman" w:hAnsi="Times New Roman" w:cs="Times New Roman"/>
                <w:sz w:val="21"/>
                <w:szCs w:val="21"/>
                <w:lang w:eastAsia="ru-RU"/>
              </w:rPr>
            </w:pPr>
          </w:p>
        </w:tc>
        <w:tc>
          <w:tcPr>
            <w:tcW w:w="1134" w:type="dxa"/>
            <w:shd w:val="clear" w:color="auto" w:fill="auto"/>
            <w:vAlign w:val="bottom"/>
            <w:hideMark/>
          </w:tcPr>
          <w:p w14:paraId="5E802E71"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20,2 </w:t>
            </w:r>
          </w:p>
        </w:tc>
        <w:tc>
          <w:tcPr>
            <w:tcW w:w="1206" w:type="dxa"/>
            <w:shd w:val="clear" w:color="auto" w:fill="auto"/>
            <w:vAlign w:val="bottom"/>
            <w:hideMark/>
          </w:tcPr>
          <w:p w14:paraId="76828B66"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20,1 </w:t>
            </w:r>
          </w:p>
        </w:tc>
        <w:tc>
          <w:tcPr>
            <w:tcW w:w="1062" w:type="dxa"/>
            <w:shd w:val="clear" w:color="auto" w:fill="auto"/>
            <w:vAlign w:val="bottom"/>
            <w:hideMark/>
          </w:tcPr>
          <w:p w14:paraId="092ACCE8"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20,1 </w:t>
            </w:r>
          </w:p>
        </w:tc>
        <w:tc>
          <w:tcPr>
            <w:tcW w:w="1134" w:type="dxa"/>
            <w:shd w:val="clear" w:color="auto" w:fill="auto"/>
            <w:vAlign w:val="bottom"/>
            <w:hideMark/>
          </w:tcPr>
          <w:p w14:paraId="4A0395B4"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19,9 </w:t>
            </w:r>
          </w:p>
        </w:tc>
        <w:tc>
          <w:tcPr>
            <w:tcW w:w="4350" w:type="dxa"/>
            <w:gridSpan w:val="4"/>
            <w:shd w:val="clear" w:color="auto" w:fill="auto"/>
            <w:vAlign w:val="bottom"/>
            <w:hideMark/>
          </w:tcPr>
          <w:p w14:paraId="069307CA"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моложе трудоспособного</w:t>
            </w:r>
          </w:p>
        </w:tc>
      </w:tr>
      <w:tr w:rsidR="00FD7B0B" w:rsidRPr="00FD7B0B" w14:paraId="72C16EC3" w14:textId="77777777" w:rsidTr="00BE64F6">
        <w:trPr>
          <w:trHeight w:val="237"/>
        </w:trPr>
        <w:tc>
          <w:tcPr>
            <w:tcW w:w="1134" w:type="dxa"/>
            <w:vMerge/>
            <w:shd w:val="clear" w:color="auto" w:fill="auto"/>
            <w:vAlign w:val="bottom"/>
            <w:hideMark/>
          </w:tcPr>
          <w:p w14:paraId="4A54D3A9" w14:textId="77777777" w:rsidR="005A472F" w:rsidRPr="00FD7B0B" w:rsidRDefault="005A472F" w:rsidP="00BE64F6">
            <w:pPr>
              <w:spacing w:after="0" w:line="240" w:lineRule="auto"/>
              <w:jc w:val="center"/>
              <w:rPr>
                <w:rFonts w:ascii="Times New Roman" w:eastAsia="Times New Roman" w:hAnsi="Times New Roman" w:cs="Times New Roman"/>
                <w:sz w:val="21"/>
                <w:szCs w:val="21"/>
                <w:lang w:eastAsia="ru-RU"/>
              </w:rPr>
            </w:pPr>
          </w:p>
        </w:tc>
        <w:tc>
          <w:tcPr>
            <w:tcW w:w="1134" w:type="dxa"/>
            <w:shd w:val="clear" w:color="auto" w:fill="auto"/>
            <w:vAlign w:val="bottom"/>
            <w:hideMark/>
          </w:tcPr>
          <w:p w14:paraId="3348DDAD"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63,0 </w:t>
            </w:r>
          </w:p>
        </w:tc>
        <w:tc>
          <w:tcPr>
            <w:tcW w:w="1206" w:type="dxa"/>
            <w:shd w:val="clear" w:color="auto" w:fill="auto"/>
            <w:vAlign w:val="bottom"/>
            <w:hideMark/>
          </w:tcPr>
          <w:p w14:paraId="0D6D032D"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64,3 </w:t>
            </w:r>
          </w:p>
        </w:tc>
        <w:tc>
          <w:tcPr>
            <w:tcW w:w="1062" w:type="dxa"/>
            <w:shd w:val="clear" w:color="auto" w:fill="auto"/>
            <w:vAlign w:val="bottom"/>
            <w:hideMark/>
          </w:tcPr>
          <w:p w14:paraId="2A1F9A35"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62,6 </w:t>
            </w:r>
          </w:p>
        </w:tc>
        <w:tc>
          <w:tcPr>
            <w:tcW w:w="1134" w:type="dxa"/>
            <w:shd w:val="clear" w:color="auto" w:fill="auto"/>
            <w:vAlign w:val="bottom"/>
            <w:hideMark/>
          </w:tcPr>
          <w:p w14:paraId="196BBA53"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63,7 </w:t>
            </w:r>
          </w:p>
        </w:tc>
        <w:tc>
          <w:tcPr>
            <w:tcW w:w="4350" w:type="dxa"/>
            <w:gridSpan w:val="4"/>
            <w:shd w:val="clear" w:color="auto" w:fill="auto"/>
            <w:noWrap/>
            <w:vAlign w:val="bottom"/>
            <w:hideMark/>
          </w:tcPr>
          <w:p w14:paraId="54D7B82D"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доля трудоспособного</w:t>
            </w:r>
          </w:p>
        </w:tc>
      </w:tr>
      <w:tr w:rsidR="00FD7B0B" w:rsidRPr="00FD7B0B" w14:paraId="682DCCF5" w14:textId="77777777" w:rsidTr="00BE64F6">
        <w:trPr>
          <w:trHeight w:val="112"/>
        </w:trPr>
        <w:tc>
          <w:tcPr>
            <w:tcW w:w="1134" w:type="dxa"/>
            <w:vMerge/>
            <w:shd w:val="clear" w:color="auto" w:fill="auto"/>
            <w:vAlign w:val="bottom"/>
            <w:hideMark/>
          </w:tcPr>
          <w:p w14:paraId="01C31592" w14:textId="77777777" w:rsidR="005A472F" w:rsidRPr="00FD7B0B" w:rsidRDefault="005A472F" w:rsidP="00BE64F6">
            <w:pPr>
              <w:spacing w:after="0" w:line="240" w:lineRule="auto"/>
              <w:jc w:val="center"/>
              <w:rPr>
                <w:rFonts w:ascii="Times New Roman" w:eastAsia="Times New Roman" w:hAnsi="Times New Roman" w:cs="Times New Roman"/>
                <w:sz w:val="21"/>
                <w:szCs w:val="21"/>
                <w:lang w:eastAsia="ru-RU"/>
              </w:rPr>
            </w:pPr>
          </w:p>
        </w:tc>
        <w:tc>
          <w:tcPr>
            <w:tcW w:w="1134" w:type="dxa"/>
            <w:shd w:val="clear" w:color="auto" w:fill="auto"/>
            <w:vAlign w:val="bottom"/>
            <w:hideMark/>
          </w:tcPr>
          <w:p w14:paraId="341F36B7"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16,8 </w:t>
            </w:r>
          </w:p>
        </w:tc>
        <w:tc>
          <w:tcPr>
            <w:tcW w:w="1206" w:type="dxa"/>
            <w:shd w:val="clear" w:color="auto" w:fill="auto"/>
            <w:vAlign w:val="bottom"/>
            <w:hideMark/>
          </w:tcPr>
          <w:p w14:paraId="2C82D88F"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15,7 </w:t>
            </w:r>
          </w:p>
        </w:tc>
        <w:tc>
          <w:tcPr>
            <w:tcW w:w="1062" w:type="dxa"/>
            <w:shd w:val="clear" w:color="auto" w:fill="auto"/>
            <w:vAlign w:val="bottom"/>
            <w:hideMark/>
          </w:tcPr>
          <w:p w14:paraId="32BABAC5"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17,2 </w:t>
            </w:r>
          </w:p>
        </w:tc>
        <w:tc>
          <w:tcPr>
            <w:tcW w:w="1134" w:type="dxa"/>
            <w:shd w:val="clear" w:color="auto" w:fill="auto"/>
            <w:vAlign w:val="bottom"/>
            <w:hideMark/>
          </w:tcPr>
          <w:p w14:paraId="409BE2B8"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16,5 </w:t>
            </w:r>
          </w:p>
        </w:tc>
        <w:tc>
          <w:tcPr>
            <w:tcW w:w="4350" w:type="dxa"/>
            <w:gridSpan w:val="4"/>
            <w:shd w:val="clear" w:color="auto" w:fill="auto"/>
            <w:noWrap/>
            <w:vAlign w:val="bottom"/>
            <w:hideMark/>
          </w:tcPr>
          <w:p w14:paraId="37558DCD"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доля старше трудоспособного</w:t>
            </w:r>
          </w:p>
        </w:tc>
      </w:tr>
      <w:tr w:rsidR="00FD7B0B" w:rsidRPr="00FD7B0B" w14:paraId="2BA05848" w14:textId="77777777" w:rsidTr="00BE64F6">
        <w:trPr>
          <w:trHeight w:val="79"/>
        </w:trPr>
        <w:tc>
          <w:tcPr>
            <w:tcW w:w="10020" w:type="dxa"/>
            <w:gridSpan w:val="9"/>
            <w:shd w:val="clear" w:color="auto" w:fill="auto"/>
            <w:vAlign w:val="center"/>
            <w:hideMark/>
          </w:tcPr>
          <w:p w14:paraId="401CCAE4" w14:textId="77777777" w:rsidR="005A472F" w:rsidRPr="00FD7B0B" w:rsidRDefault="005A472F" w:rsidP="00BE64F6">
            <w:pPr>
              <w:spacing w:after="0" w:line="240" w:lineRule="auto"/>
              <w:jc w:val="center"/>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женщины</w:t>
            </w:r>
          </w:p>
        </w:tc>
      </w:tr>
      <w:tr w:rsidR="00FD7B0B" w:rsidRPr="00FD7B0B" w14:paraId="436B250B" w14:textId="77777777" w:rsidTr="00BE64F6">
        <w:trPr>
          <w:trHeight w:val="300"/>
        </w:trPr>
        <w:tc>
          <w:tcPr>
            <w:tcW w:w="1134" w:type="dxa"/>
            <w:vMerge w:val="restart"/>
            <w:shd w:val="clear" w:color="auto" w:fill="auto"/>
            <w:vAlign w:val="bottom"/>
            <w:hideMark/>
          </w:tcPr>
          <w:p w14:paraId="416798A0"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моложе трудоспособного</w:t>
            </w:r>
          </w:p>
        </w:tc>
        <w:tc>
          <w:tcPr>
            <w:tcW w:w="1134" w:type="dxa"/>
            <w:vMerge w:val="restart"/>
            <w:shd w:val="clear" w:color="auto" w:fill="auto"/>
            <w:vAlign w:val="bottom"/>
            <w:hideMark/>
          </w:tcPr>
          <w:p w14:paraId="3E56FD21"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96 244 </w:t>
            </w:r>
          </w:p>
        </w:tc>
        <w:tc>
          <w:tcPr>
            <w:tcW w:w="1206" w:type="dxa"/>
            <w:vMerge w:val="restart"/>
            <w:shd w:val="clear" w:color="auto" w:fill="auto"/>
            <w:vAlign w:val="bottom"/>
            <w:hideMark/>
          </w:tcPr>
          <w:p w14:paraId="2A39AE03"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94 383 </w:t>
            </w:r>
          </w:p>
        </w:tc>
        <w:tc>
          <w:tcPr>
            <w:tcW w:w="1062" w:type="dxa"/>
            <w:vMerge w:val="restart"/>
            <w:shd w:val="clear" w:color="auto" w:fill="auto"/>
            <w:vAlign w:val="bottom"/>
            <w:hideMark/>
          </w:tcPr>
          <w:p w14:paraId="01D56676"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83 028 </w:t>
            </w:r>
          </w:p>
        </w:tc>
        <w:tc>
          <w:tcPr>
            <w:tcW w:w="1134" w:type="dxa"/>
            <w:vMerge w:val="restart"/>
            <w:shd w:val="clear" w:color="auto" w:fill="auto"/>
            <w:vAlign w:val="bottom"/>
            <w:hideMark/>
          </w:tcPr>
          <w:p w14:paraId="72C86746"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80 700 </w:t>
            </w:r>
          </w:p>
        </w:tc>
        <w:tc>
          <w:tcPr>
            <w:tcW w:w="1134" w:type="dxa"/>
            <w:shd w:val="clear" w:color="auto" w:fill="auto"/>
            <w:vAlign w:val="bottom"/>
            <w:hideMark/>
          </w:tcPr>
          <w:p w14:paraId="0D2EE14B"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-1 970,0 </w:t>
            </w:r>
          </w:p>
        </w:tc>
        <w:tc>
          <w:tcPr>
            <w:tcW w:w="1072" w:type="dxa"/>
            <w:shd w:val="clear" w:color="auto" w:fill="auto"/>
            <w:vAlign w:val="bottom"/>
            <w:hideMark/>
          </w:tcPr>
          <w:p w14:paraId="5A85C433"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-1 861,0 </w:t>
            </w:r>
          </w:p>
        </w:tc>
        <w:tc>
          <w:tcPr>
            <w:tcW w:w="1072" w:type="dxa"/>
            <w:shd w:val="clear" w:color="auto" w:fill="auto"/>
            <w:vAlign w:val="bottom"/>
            <w:hideMark/>
          </w:tcPr>
          <w:p w14:paraId="58C4BD14"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-11 355,0 </w:t>
            </w:r>
          </w:p>
        </w:tc>
        <w:tc>
          <w:tcPr>
            <w:tcW w:w="1072" w:type="dxa"/>
            <w:shd w:val="clear" w:color="auto" w:fill="auto"/>
            <w:vAlign w:val="bottom"/>
            <w:hideMark/>
          </w:tcPr>
          <w:p w14:paraId="0E969F54"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-2 328,0 </w:t>
            </w:r>
          </w:p>
        </w:tc>
      </w:tr>
      <w:tr w:rsidR="00FD7B0B" w:rsidRPr="00FD7B0B" w14:paraId="3FB2A9E0" w14:textId="77777777" w:rsidTr="00BE64F6">
        <w:trPr>
          <w:trHeight w:val="300"/>
        </w:trPr>
        <w:tc>
          <w:tcPr>
            <w:tcW w:w="1134" w:type="dxa"/>
            <w:vMerge/>
            <w:shd w:val="clear" w:color="auto" w:fill="auto"/>
            <w:vAlign w:val="bottom"/>
            <w:hideMark/>
          </w:tcPr>
          <w:p w14:paraId="0078F470"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3B460D35"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206" w:type="dxa"/>
            <w:vMerge/>
            <w:shd w:val="clear" w:color="auto" w:fill="auto"/>
            <w:vAlign w:val="bottom"/>
            <w:hideMark/>
          </w:tcPr>
          <w:p w14:paraId="09757DA7"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062" w:type="dxa"/>
            <w:vMerge/>
            <w:shd w:val="clear" w:color="auto" w:fill="auto"/>
            <w:vAlign w:val="bottom"/>
            <w:hideMark/>
          </w:tcPr>
          <w:p w14:paraId="7B6234F9"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01973556"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134" w:type="dxa"/>
            <w:shd w:val="clear" w:color="auto" w:fill="auto"/>
            <w:vAlign w:val="bottom"/>
            <w:hideMark/>
          </w:tcPr>
          <w:p w14:paraId="20E5E7E8"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-2,0 </w:t>
            </w:r>
          </w:p>
        </w:tc>
        <w:tc>
          <w:tcPr>
            <w:tcW w:w="1072" w:type="dxa"/>
            <w:shd w:val="clear" w:color="auto" w:fill="auto"/>
            <w:vAlign w:val="bottom"/>
            <w:hideMark/>
          </w:tcPr>
          <w:p w14:paraId="2EFE6395"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-1,9 </w:t>
            </w:r>
          </w:p>
        </w:tc>
        <w:tc>
          <w:tcPr>
            <w:tcW w:w="1072" w:type="dxa"/>
            <w:shd w:val="clear" w:color="auto" w:fill="auto"/>
            <w:vAlign w:val="bottom"/>
            <w:hideMark/>
          </w:tcPr>
          <w:p w14:paraId="703F283A"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-12,0 </w:t>
            </w:r>
          </w:p>
        </w:tc>
        <w:tc>
          <w:tcPr>
            <w:tcW w:w="1072" w:type="dxa"/>
            <w:shd w:val="clear" w:color="auto" w:fill="auto"/>
            <w:vAlign w:val="bottom"/>
            <w:hideMark/>
          </w:tcPr>
          <w:p w14:paraId="41F71A24"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-2,8 </w:t>
            </w:r>
          </w:p>
        </w:tc>
      </w:tr>
      <w:tr w:rsidR="00FD7B0B" w:rsidRPr="00FD7B0B" w14:paraId="3E8A3DA5" w14:textId="77777777" w:rsidTr="00CD39A6">
        <w:trPr>
          <w:trHeight w:val="59"/>
        </w:trPr>
        <w:tc>
          <w:tcPr>
            <w:tcW w:w="1134" w:type="dxa"/>
            <w:vMerge w:val="restart"/>
            <w:shd w:val="clear" w:color="auto" w:fill="auto"/>
            <w:vAlign w:val="bottom"/>
            <w:hideMark/>
          </w:tcPr>
          <w:p w14:paraId="442BC533"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трудоспособное</w:t>
            </w:r>
          </w:p>
        </w:tc>
        <w:tc>
          <w:tcPr>
            <w:tcW w:w="1134" w:type="dxa"/>
            <w:vMerge w:val="restart"/>
            <w:shd w:val="clear" w:color="auto" w:fill="auto"/>
            <w:vAlign w:val="bottom"/>
            <w:hideMark/>
          </w:tcPr>
          <w:p w14:paraId="5E3912A9"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274 040 </w:t>
            </w:r>
          </w:p>
        </w:tc>
        <w:tc>
          <w:tcPr>
            <w:tcW w:w="1206" w:type="dxa"/>
            <w:vMerge w:val="restart"/>
            <w:shd w:val="clear" w:color="auto" w:fill="auto"/>
            <w:vAlign w:val="bottom"/>
            <w:hideMark/>
          </w:tcPr>
          <w:p w14:paraId="4E8DD521"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277 984 </w:t>
            </w:r>
          </w:p>
        </w:tc>
        <w:tc>
          <w:tcPr>
            <w:tcW w:w="1062" w:type="dxa"/>
            <w:vMerge w:val="restart"/>
            <w:shd w:val="clear" w:color="auto" w:fill="auto"/>
            <w:vAlign w:val="bottom"/>
            <w:hideMark/>
          </w:tcPr>
          <w:p w14:paraId="323636DE"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252 851 </w:t>
            </w:r>
          </w:p>
        </w:tc>
        <w:tc>
          <w:tcPr>
            <w:tcW w:w="1134" w:type="dxa"/>
            <w:vMerge w:val="restart"/>
            <w:shd w:val="clear" w:color="auto" w:fill="auto"/>
            <w:vAlign w:val="bottom"/>
            <w:hideMark/>
          </w:tcPr>
          <w:p w14:paraId="64E3C15B"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257 015 </w:t>
            </w:r>
          </w:p>
        </w:tc>
        <w:tc>
          <w:tcPr>
            <w:tcW w:w="1134" w:type="dxa"/>
            <w:shd w:val="clear" w:color="auto" w:fill="auto"/>
            <w:vAlign w:val="bottom"/>
            <w:hideMark/>
          </w:tcPr>
          <w:p w14:paraId="107DB0AE"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-3 101,0 </w:t>
            </w:r>
          </w:p>
        </w:tc>
        <w:tc>
          <w:tcPr>
            <w:tcW w:w="1072" w:type="dxa"/>
            <w:shd w:val="clear" w:color="auto" w:fill="auto"/>
            <w:vAlign w:val="bottom"/>
            <w:hideMark/>
          </w:tcPr>
          <w:p w14:paraId="40EFB6E9"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3 944,0 </w:t>
            </w:r>
          </w:p>
        </w:tc>
        <w:tc>
          <w:tcPr>
            <w:tcW w:w="1072" w:type="dxa"/>
            <w:shd w:val="clear" w:color="auto" w:fill="auto"/>
            <w:vAlign w:val="bottom"/>
            <w:hideMark/>
          </w:tcPr>
          <w:p w14:paraId="4748EF39"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-25 133,0 </w:t>
            </w:r>
          </w:p>
        </w:tc>
        <w:tc>
          <w:tcPr>
            <w:tcW w:w="1072" w:type="dxa"/>
            <w:shd w:val="clear" w:color="auto" w:fill="auto"/>
            <w:vAlign w:val="bottom"/>
            <w:hideMark/>
          </w:tcPr>
          <w:p w14:paraId="540E2ABB"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4 164,0 </w:t>
            </w:r>
          </w:p>
        </w:tc>
      </w:tr>
      <w:tr w:rsidR="00FD7B0B" w:rsidRPr="00FD7B0B" w14:paraId="2F876D7C" w14:textId="77777777" w:rsidTr="00CD39A6">
        <w:trPr>
          <w:trHeight w:val="90"/>
        </w:trPr>
        <w:tc>
          <w:tcPr>
            <w:tcW w:w="1134" w:type="dxa"/>
            <w:vMerge/>
            <w:shd w:val="clear" w:color="auto" w:fill="auto"/>
            <w:vAlign w:val="bottom"/>
            <w:hideMark/>
          </w:tcPr>
          <w:p w14:paraId="586BCA7E"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3A441EAA"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206" w:type="dxa"/>
            <w:vMerge/>
            <w:shd w:val="clear" w:color="auto" w:fill="auto"/>
            <w:vAlign w:val="bottom"/>
            <w:hideMark/>
          </w:tcPr>
          <w:p w14:paraId="62591FE5"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062" w:type="dxa"/>
            <w:vMerge/>
            <w:shd w:val="clear" w:color="auto" w:fill="auto"/>
            <w:vAlign w:val="bottom"/>
            <w:hideMark/>
          </w:tcPr>
          <w:p w14:paraId="1029809E"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2337DA82"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p>
        </w:tc>
        <w:tc>
          <w:tcPr>
            <w:tcW w:w="1134" w:type="dxa"/>
            <w:shd w:val="clear" w:color="auto" w:fill="auto"/>
            <w:vAlign w:val="bottom"/>
            <w:hideMark/>
          </w:tcPr>
          <w:p w14:paraId="30C66E0A"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-1,1 </w:t>
            </w:r>
          </w:p>
        </w:tc>
        <w:tc>
          <w:tcPr>
            <w:tcW w:w="1072" w:type="dxa"/>
            <w:shd w:val="clear" w:color="auto" w:fill="auto"/>
            <w:vAlign w:val="bottom"/>
            <w:hideMark/>
          </w:tcPr>
          <w:p w14:paraId="4778540B"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101,4 </w:t>
            </w:r>
          </w:p>
        </w:tc>
        <w:tc>
          <w:tcPr>
            <w:tcW w:w="1072" w:type="dxa"/>
            <w:shd w:val="clear" w:color="auto" w:fill="auto"/>
            <w:vAlign w:val="bottom"/>
            <w:hideMark/>
          </w:tcPr>
          <w:p w14:paraId="6E3CFEBD"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-9,0 </w:t>
            </w:r>
          </w:p>
        </w:tc>
        <w:tc>
          <w:tcPr>
            <w:tcW w:w="1072" w:type="dxa"/>
            <w:shd w:val="clear" w:color="auto" w:fill="auto"/>
            <w:vAlign w:val="bottom"/>
            <w:hideMark/>
          </w:tcPr>
          <w:p w14:paraId="35058336"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101,6 </w:t>
            </w:r>
          </w:p>
        </w:tc>
      </w:tr>
      <w:tr w:rsidR="00FD7B0B" w:rsidRPr="00FD7B0B" w14:paraId="49F2F5D6" w14:textId="77777777" w:rsidTr="00CD39A6">
        <w:trPr>
          <w:trHeight w:val="123"/>
        </w:trPr>
        <w:tc>
          <w:tcPr>
            <w:tcW w:w="1134" w:type="dxa"/>
            <w:vMerge w:val="restart"/>
            <w:shd w:val="clear" w:color="auto" w:fill="auto"/>
            <w:vAlign w:val="bottom"/>
            <w:hideMark/>
          </w:tcPr>
          <w:p w14:paraId="797FF0BB"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старше трудоспособного</w:t>
            </w:r>
          </w:p>
        </w:tc>
        <w:tc>
          <w:tcPr>
            <w:tcW w:w="1134" w:type="dxa"/>
            <w:vMerge w:val="restart"/>
            <w:shd w:val="clear" w:color="auto" w:fill="auto"/>
            <w:vAlign w:val="bottom"/>
            <w:hideMark/>
          </w:tcPr>
          <w:p w14:paraId="3C432919"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205 524 </w:t>
            </w:r>
          </w:p>
        </w:tc>
        <w:tc>
          <w:tcPr>
            <w:tcW w:w="1206" w:type="dxa"/>
            <w:vMerge w:val="restart"/>
            <w:shd w:val="clear" w:color="auto" w:fill="auto"/>
            <w:vAlign w:val="bottom"/>
            <w:hideMark/>
          </w:tcPr>
          <w:p w14:paraId="778C84F6"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196 293 </w:t>
            </w:r>
          </w:p>
        </w:tc>
        <w:tc>
          <w:tcPr>
            <w:tcW w:w="1062" w:type="dxa"/>
            <w:vMerge w:val="restart"/>
            <w:shd w:val="clear" w:color="auto" w:fill="auto"/>
            <w:vAlign w:val="bottom"/>
            <w:hideMark/>
          </w:tcPr>
          <w:p w14:paraId="64D5CC3F"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183 032 </w:t>
            </w:r>
          </w:p>
        </w:tc>
        <w:tc>
          <w:tcPr>
            <w:tcW w:w="1134" w:type="dxa"/>
            <w:vMerge w:val="restart"/>
            <w:shd w:val="clear" w:color="auto" w:fill="auto"/>
            <w:vAlign w:val="bottom"/>
            <w:hideMark/>
          </w:tcPr>
          <w:p w14:paraId="790988E4" w14:textId="77777777" w:rsidR="005A472F" w:rsidRPr="00FD7B0B" w:rsidRDefault="005A472F" w:rsidP="00CD39A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177 003 </w:t>
            </w:r>
          </w:p>
        </w:tc>
        <w:tc>
          <w:tcPr>
            <w:tcW w:w="1134" w:type="dxa"/>
            <w:shd w:val="clear" w:color="auto" w:fill="auto"/>
            <w:vAlign w:val="bottom"/>
            <w:hideMark/>
          </w:tcPr>
          <w:p w14:paraId="7DD58444"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31,0 </w:t>
            </w:r>
          </w:p>
        </w:tc>
        <w:tc>
          <w:tcPr>
            <w:tcW w:w="1072" w:type="dxa"/>
            <w:shd w:val="clear" w:color="auto" w:fill="auto"/>
            <w:vAlign w:val="bottom"/>
            <w:hideMark/>
          </w:tcPr>
          <w:p w14:paraId="03402536"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-9 231,0 </w:t>
            </w:r>
          </w:p>
        </w:tc>
        <w:tc>
          <w:tcPr>
            <w:tcW w:w="1072" w:type="dxa"/>
            <w:shd w:val="clear" w:color="auto" w:fill="auto"/>
            <w:vAlign w:val="bottom"/>
            <w:hideMark/>
          </w:tcPr>
          <w:p w14:paraId="4EE02983"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-13 261,0 </w:t>
            </w:r>
          </w:p>
        </w:tc>
        <w:tc>
          <w:tcPr>
            <w:tcW w:w="1072" w:type="dxa"/>
            <w:shd w:val="clear" w:color="auto" w:fill="auto"/>
            <w:vAlign w:val="bottom"/>
            <w:hideMark/>
          </w:tcPr>
          <w:p w14:paraId="08A55678"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-6 029,0 </w:t>
            </w:r>
          </w:p>
        </w:tc>
      </w:tr>
      <w:tr w:rsidR="00FD7B0B" w:rsidRPr="00FD7B0B" w14:paraId="53764AF0" w14:textId="77777777" w:rsidTr="00BE64F6">
        <w:trPr>
          <w:trHeight w:val="300"/>
        </w:trPr>
        <w:tc>
          <w:tcPr>
            <w:tcW w:w="1134" w:type="dxa"/>
            <w:vMerge/>
            <w:shd w:val="clear" w:color="auto" w:fill="auto"/>
            <w:vAlign w:val="bottom"/>
            <w:hideMark/>
          </w:tcPr>
          <w:p w14:paraId="08CDEE15"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5F335F36" w14:textId="77777777" w:rsidR="005A472F" w:rsidRPr="00FD7B0B" w:rsidRDefault="005A472F" w:rsidP="00BE64F6">
            <w:pPr>
              <w:spacing w:after="0" w:line="240" w:lineRule="auto"/>
              <w:ind w:left="-108" w:right="-36"/>
              <w:rPr>
                <w:rFonts w:ascii="Times New Roman" w:eastAsia="Times New Roman" w:hAnsi="Times New Roman" w:cs="Times New Roman"/>
                <w:sz w:val="21"/>
                <w:szCs w:val="21"/>
                <w:lang w:eastAsia="ru-RU"/>
              </w:rPr>
            </w:pPr>
          </w:p>
        </w:tc>
        <w:tc>
          <w:tcPr>
            <w:tcW w:w="1206" w:type="dxa"/>
            <w:vMerge/>
            <w:shd w:val="clear" w:color="auto" w:fill="auto"/>
            <w:vAlign w:val="bottom"/>
            <w:hideMark/>
          </w:tcPr>
          <w:p w14:paraId="50D894AD" w14:textId="77777777" w:rsidR="005A472F" w:rsidRPr="00FD7B0B" w:rsidRDefault="005A472F" w:rsidP="00BE64F6">
            <w:pPr>
              <w:spacing w:after="0" w:line="240" w:lineRule="auto"/>
              <w:ind w:left="-108" w:right="-36"/>
              <w:rPr>
                <w:rFonts w:ascii="Times New Roman" w:eastAsia="Times New Roman" w:hAnsi="Times New Roman" w:cs="Times New Roman"/>
                <w:sz w:val="21"/>
                <w:szCs w:val="21"/>
                <w:lang w:eastAsia="ru-RU"/>
              </w:rPr>
            </w:pPr>
          </w:p>
        </w:tc>
        <w:tc>
          <w:tcPr>
            <w:tcW w:w="1062" w:type="dxa"/>
            <w:vMerge/>
            <w:shd w:val="clear" w:color="auto" w:fill="auto"/>
            <w:vAlign w:val="bottom"/>
            <w:hideMark/>
          </w:tcPr>
          <w:p w14:paraId="1FCC8691" w14:textId="77777777" w:rsidR="005A472F" w:rsidRPr="00FD7B0B" w:rsidRDefault="005A472F" w:rsidP="00BE64F6">
            <w:pPr>
              <w:spacing w:after="0" w:line="240" w:lineRule="auto"/>
              <w:ind w:left="-108" w:right="-36"/>
              <w:rPr>
                <w:rFonts w:ascii="Times New Roman" w:eastAsia="Times New Roman" w:hAnsi="Times New Roman" w:cs="Times New Roman"/>
                <w:sz w:val="21"/>
                <w:szCs w:val="21"/>
                <w:lang w:eastAsia="ru-RU"/>
              </w:rPr>
            </w:pPr>
          </w:p>
        </w:tc>
        <w:tc>
          <w:tcPr>
            <w:tcW w:w="1134" w:type="dxa"/>
            <w:vMerge/>
            <w:shd w:val="clear" w:color="auto" w:fill="auto"/>
            <w:vAlign w:val="bottom"/>
            <w:hideMark/>
          </w:tcPr>
          <w:p w14:paraId="04533ABA" w14:textId="77777777" w:rsidR="005A472F" w:rsidRPr="00FD7B0B" w:rsidRDefault="005A472F" w:rsidP="00BE64F6">
            <w:pPr>
              <w:spacing w:after="0" w:line="240" w:lineRule="auto"/>
              <w:ind w:left="-108" w:right="-36"/>
              <w:rPr>
                <w:rFonts w:ascii="Times New Roman" w:eastAsia="Times New Roman" w:hAnsi="Times New Roman" w:cs="Times New Roman"/>
                <w:sz w:val="21"/>
                <w:szCs w:val="21"/>
                <w:lang w:eastAsia="ru-RU"/>
              </w:rPr>
            </w:pPr>
          </w:p>
        </w:tc>
        <w:tc>
          <w:tcPr>
            <w:tcW w:w="1134" w:type="dxa"/>
            <w:shd w:val="clear" w:color="auto" w:fill="auto"/>
            <w:vAlign w:val="bottom"/>
            <w:hideMark/>
          </w:tcPr>
          <w:p w14:paraId="0800A114"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c>
          <w:tcPr>
            <w:tcW w:w="1072" w:type="dxa"/>
            <w:shd w:val="clear" w:color="auto" w:fill="auto"/>
            <w:vAlign w:val="bottom"/>
            <w:hideMark/>
          </w:tcPr>
          <w:p w14:paraId="1B3035E3"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 </w:t>
            </w:r>
          </w:p>
        </w:tc>
        <w:tc>
          <w:tcPr>
            <w:tcW w:w="1072" w:type="dxa"/>
            <w:shd w:val="clear" w:color="auto" w:fill="auto"/>
            <w:vAlign w:val="bottom"/>
            <w:hideMark/>
          </w:tcPr>
          <w:p w14:paraId="23901318"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-6,8 </w:t>
            </w:r>
          </w:p>
        </w:tc>
        <w:tc>
          <w:tcPr>
            <w:tcW w:w="1072" w:type="dxa"/>
            <w:shd w:val="clear" w:color="auto" w:fill="auto"/>
            <w:vAlign w:val="bottom"/>
            <w:hideMark/>
          </w:tcPr>
          <w:p w14:paraId="69393A16"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-3,3 </w:t>
            </w:r>
          </w:p>
        </w:tc>
      </w:tr>
      <w:tr w:rsidR="00FD7B0B" w:rsidRPr="00FD7B0B" w14:paraId="79FABC44" w14:textId="77777777" w:rsidTr="00BE64F6">
        <w:trPr>
          <w:trHeight w:val="123"/>
        </w:trPr>
        <w:tc>
          <w:tcPr>
            <w:tcW w:w="1134" w:type="dxa"/>
            <w:vMerge w:val="restart"/>
            <w:shd w:val="clear" w:color="auto" w:fill="auto"/>
            <w:vAlign w:val="center"/>
            <w:hideMark/>
          </w:tcPr>
          <w:p w14:paraId="7C25B712" w14:textId="77777777" w:rsidR="005A472F" w:rsidRPr="00FD7B0B" w:rsidRDefault="005A472F" w:rsidP="00BE64F6">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Всего, в том числе</w:t>
            </w:r>
          </w:p>
        </w:tc>
        <w:tc>
          <w:tcPr>
            <w:tcW w:w="1134" w:type="dxa"/>
            <w:shd w:val="clear" w:color="auto" w:fill="auto"/>
            <w:vAlign w:val="bottom"/>
            <w:hideMark/>
          </w:tcPr>
          <w:p w14:paraId="4DED1E3B"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575 808 </w:t>
            </w:r>
          </w:p>
        </w:tc>
        <w:tc>
          <w:tcPr>
            <w:tcW w:w="1206" w:type="dxa"/>
            <w:shd w:val="clear" w:color="auto" w:fill="auto"/>
            <w:vAlign w:val="bottom"/>
            <w:hideMark/>
          </w:tcPr>
          <w:p w14:paraId="1CAD9E78"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568 660 </w:t>
            </w:r>
          </w:p>
        </w:tc>
        <w:tc>
          <w:tcPr>
            <w:tcW w:w="1062" w:type="dxa"/>
            <w:shd w:val="clear" w:color="auto" w:fill="auto"/>
            <w:vAlign w:val="bottom"/>
            <w:hideMark/>
          </w:tcPr>
          <w:p w14:paraId="4BA51DB0"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518 911 </w:t>
            </w:r>
          </w:p>
        </w:tc>
        <w:tc>
          <w:tcPr>
            <w:tcW w:w="1134" w:type="dxa"/>
            <w:shd w:val="clear" w:color="auto" w:fill="auto"/>
            <w:vAlign w:val="bottom"/>
            <w:hideMark/>
          </w:tcPr>
          <w:p w14:paraId="1870B657"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514 718 </w:t>
            </w:r>
          </w:p>
        </w:tc>
        <w:tc>
          <w:tcPr>
            <w:tcW w:w="4350" w:type="dxa"/>
            <w:gridSpan w:val="4"/>
            <w:shd w:val="clear" w:color="auto" w:fill="auto"/>
            <w:vAlign w:val="bottom"/>
            <w:hideMark/>
          </w:tcPr>
          <w:p w14:paraId="370FF36F"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х</w:t>
            </w:r>
          </w:p>
        </w:tc>
      </w:tr>
      <w:tr w:rsidR="00FD7B0B" w:rsidRPr="00FD7B0B" w14:paraId="23E686BE" w14:textId="77777777" w:rsidTr="00BE64F6">
        <w:trPr>
          <w:trHeight w:val="154"/>
        </w:trPr>
        <w:tc>
          <w:tcPr>
            <w:tcW w:w="1134" w:type="dxa"/>
            <w:vMerge/>
            <w:shd w:val="clear" w:color="auto" w:fill="auto"/>
            <w:vAlign w:val="bottom"/>
            <w:hideMark/>
          </w:tcPr>
          <w:p w14:paraId="23157FD4"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shd w:val="clear" w:color="auto" w:fill="auto"/>
            <w:vAlign w:val="bottom"/>
            <w:hideMark/>
          </w:tcPr>
          <w:p w14:paraId="0AD5BD10"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16,7 </w:t>
            </w:r>
          </w:p>
        </w:tc>
        <w:tc>
          <w:tcPr>
            <w:tcW w:w="1206" w:type="dxa"/>
            <w:shd w:val="clear" w:color="auto" w:fill="auto"/>
            <w:vAlign w:val="bottom"/>
            <w:hideMark/>
          </w:tcPr>
          <w:p w14:paraId="44C2C882"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16,6 </w:t>
            </w:r>
          </w:p>
        </w:tc>
        <w:tc>
          <w:tcPr>
            <w:tcW w:w="1062" w:type="dxa"/>
            <w:shd w:val="clear" w:color="auto" w:fill="auto"/>
            <w:vAlign w:val="bottom"/>
            <w:hideMark/>
          </w:tcPr>
          <w:p w14:paraId="7F92F7D1"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16,0 </w:t>
            </w:r>
          </w:p>
        </w:tc>
        <w:tc>
          <w:tcPr>
            <w:tcW w:w="1134" w:type="dxa"/>
            <w:shd w:val="clear" w:color="auto" w:fill="auto"/>
            <w:vAlign w:val="bottom"/>
            <w:hideMark/>
          </w:tcPr>
          <w:p w14:paraId="443A0FE7"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15,7 </w:t>
            </w:r>
          </w:p>
        </w:tc>
        <w:tc>
          <w:tcPr>
            <w:tcW w:w="4350" w:type="dxa"/>
            <w:gridSpan w:val="4"/>
            <w:shd w:val="clear" w:color="auto" w:fill="auto"/>
            <w:vAlign w:val="bottom"/>
            <w:hideMark/>
          </w:tcPr>
          <w:p w14:paraId="0280D7E1"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моложе трудоспособного</w:t>
            </w:r>
          </w:p>
        </w:tc>
      </w:tr>
      <w:tr w:rsidR="00FD7B0B" w:rsidRPr="00FD7B0B" w14:paraId="2EB329F4" w14:textId="77777777" w:rsidTr="00BE64F6">
        <w:trPr>
          <w:trHeight w:val="187"/>
        </w:trPr>
        <w:tc>
          <w:tcPr>
            <w:tcW w:w="1134" w:type="dxa"/>
            <w:vMerge/>
            <w:shd w:val="clear" w:color="auto" w:fill="auto"/>
            <w:noWrap/>
            <w:vAlign w:val="bottom"/>
            <w:hideMark/>
          </w:tcPr>
          <w:p w14:paraId="5DCBDCBF"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shd w:val="clear" w:color="auto" w:fill="auto"/>
            <w:vAlign w:val="bottom"/>
            <w:hideMark/>
          </w:tcPr>
          <w:p w14:paraId="70E0854B"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47,6 </w:t>
            </w:r>
          </w:p>
        </w:tc>
        <w:tc>
          <w:tcPr>
            <w:tcW w:w="1206" w:type="dxa"/>
            <w:shd w:val="clear" w:color="auto" w:fill="auto"/>
            <w:vAlign w:val="bottom"/>
            <w:hideMark/>
          </w:tcPr>
          <w:p w14:paraId="70667C63"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48,9 </w:t>
            </w:r>
          </w:p>
        </w:tc>
        <w:tc>
          <w:tcPr>
            <w:tcW w:w="1062" w:type="dxa"/>
            <w:shd w:val="clear" w:color="auto" w:fill="auto"/>
            <w:vAlign w:val="bottom"/>
            <w:hideMark/>
          </w:tcPr>
          <w:p w14:paraId="26BEE2C5"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48,7 </w:t>
            </w:r>
          </w:p>
        </w:tc>
        <w:tc>
          <w:tcPr>
            <w:tcW w:w="1134" w:type="dxa"/>
            <w:shd w:val="clear" w:color="auto" w:fill="auto"/>
            <w:vAlign w:val="bottom"/>
            <w:hideMark/>
          </w:tcPr>
          <w:p w14:paraId="040E5C56"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49,9 </w:t>
            </w:r>
          </w:p>
        </w:tc>
        <w:tc>
          <w:tcPr>
            <w:tcW w:w="4350" w:type="dxa"/>
            <w:gridSpan w:val="4"/>
            <w:shd w:val="clear" w:color="auto" w:fill="auto"/>
            <w:noWrap/>
            <w:vAlign w:val="bottom"/>
            <w:hideMark/>
          </w:tcPr>
          <w:p w14:paraId="35F90EA2"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доля трудоспособного</w:t>
            </w:r>
          </w:p>
        </w:tc>
      </w:tr>
      <w:tr w:rsidR="00FD7B0B" w:rsidRPr="00FD7B0B" w14:paraId="43E1DDE3" w14:textId="77777777" w:rsidTr="00BE64F6">
        <w:trPr>
          <w:trHeight w:val="219"/>
        </w:trPr>
        <w:tc>
          <w:tcPr>
            <w:tcW w:w="1134" w:type="dxa"/>
            <w:vMerge/>
            <w:shd w:val="clear" w:color="auto" w:fill="auto"/>
            <w:noWrap/>
            <w:vAlign w:val="bottom"/>
            <w:hideMark/>
          </w:tcPr>
          <w:p w14:paraId="2A5D4BF6" w14:textId="77777777" w:rsidR="005A472F" w:rsidRPr="00FD7B0B" w:rsidRDefault="005A472F" w:rsidP="00BE64F6">
            <w:pPr>
              <w:spacing w:after="0" w:line="240" w:lineRule="auto"/>
              <w:rPr>
                <w:rFonts w:ascii="Times New Roman" w:eastAsia="Times New Roman" w:hAnsi="Times New Roman" w:cs="Times New Roman"/>
                <w:sz w:val="21"/>
                <w:szCs w:val="21"/>
                <w:lang w:eastAsia="ru-RU"/>
              </w:rPr>
            </w:pPr>
          </w:p>
        </w:tc>
        <w:tc>
          <w:tcPr>
            <w:tcW w:w="1134" w:type="dxa"/>
            <w:shd w:val="clear" w:color="auto" w:fill="auto"/>
            <w:vAlign w:val="bottom"/>
            <w:hideMark/>
          </w:tcPr>
          <w:p w14:paraId="5837D96F"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35,7 </w:t>
            </w:r>
          </w:p>
        </w:tc>
        <w:tc>
          <w:tcPr>
            <w:tcW w:w="1206" w:type="dxa"/>
            <w:shd w:val="clear" w:color="auto" w:fill="auto"/>
            <w:vAlign w:val="bottom"/>
            <w:hideMark/>
          </w:tcPr>
          <w:p w14:paraId="719D5296"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34,5 </w:t>
            </w:r>
          </w:p>
        </w:tc>
        <w:tc>
          <w:tcPr>
            <w:tcW w:w="1062" w:type="dxa"/>
            <w:shd w:val="clear" w:color="auto" w:fill="auto"/>
            <w:vAlign w:val="bottom"/>
            <w:hideMark/>
          </w:tcPr>
          <w:p w14:paraId="3B762779"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35,3 </w:t>
            </w:r>
          </w:p>
        </w:tc>
        <w:tc>
          <w:tcPr>
            <w:tcW w:w="1134" w:type="dxa"/>
            <w:shd w:val="clear" w:color="auto" w:fill="auto"/>
            <w:vAlign w:val="bottom"/>
            <w:hideMark/>
          </w:tcPr>
          <w:p w14:paraId="3ED524D9" w14:textId="77777777" w:rsidR="005A472F" w:rsidRPr="00FD7B0B" w:rsidRDefault="005A472F" w:rsidP="00BE64F6">
            <w:pPr>
              <w:spacing w:after="0" w:line="240" w:lineRule="auto"/>
              <w:ind w:left="-108" w:right="-36"/>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34,4 </w:t>
            </w:r>
          </w:p>
        </w:tc>
        <w:tc>
          <w:tcPr>
            <w:tcW w:w="4350" w:type="dxa"/>
            <w:gridSpan w:val="4"/>
            <w:shd w:val="clear" w:color="auto" w:fill="auto"/>
            <w:noWrap/>
            <w:vAlign w:val="bottom"/>
            <w:hideMark/>
          </w:tcPr>
          <w:p w14:paraId="11F37526" w14:textId="77777777" w:rsidR="005A472F" w:rsidRPr="00FD7B0B" w:rsidRDefault="005A472F" w:rsidP="00BE64F6">
            <w:pPr>
              <w:spacing w:after="0" w:line="240" w:lineRule="auto"/>
              <w:ind w:left="-108" w:right="-36"/>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доля старше трудоспособного</w:t>
            </w:r>
          </w:p>
        </w:tc>
      </w:tr>
    </w:tbl>
    <w:p w14:paraId="4B0A3850" w14:textId="77777777" w:rsidR="005A472F" w:rsidRPr="00FD7B0B" w:rsidRDefault="005A472F" w:rsidP="005A472F">
      <w:pPr>
        <w:pStyle w:val="ad"/>
        <w:ind w:firstLine="709"/>
        <w:jc w:val="both"/>
        <w:rPr>
          <w:rFonts w:ascii="Times New Roman" w:hAnsi="Times New Roman"/>
          <w:sz w:val="28"/>
          <w:szCs w:val="28"/>
        </w:rPr>
      </w:pPr>
    </w:p>
    <w:p w14:paraId="6173E44B" w14:textId="4FF4E84B"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Численность мужского и женского населения Архангельской области (без НАО) ежегодно уменьшается, в том числе в разрезе возрастных групп,</w:t>
      </w:r>
      <w:r w:rsidRPr="00FD7B0B">
        <w:rPr>
          <w:rFonts w:ascii="Times New Roman" w:hAnsi="Times New Roman"/>
          <w:i/>
          <w:sz w:val="28"/>
          <w:szCs w:val="28"/>
        </w:rPr>
        <w:t xml:space="preserve"> </w:t>
      </w:r>
      <w:r w:rsidRPr="00FD7B0B">
        <w:rPr>
          <w:rFonts w:ascii="Times New Roman" w:hAnsi="Times New Roman"/>
          <w:sz w:val="28"/>
          <w:szCs w:val="28"/>
        </w:rPr>
        <w:t>что представлено в таблице</w:t>
      </w:r>
      <w:r w:rsidR="00311981" w:rsidRPr="00FD7B0B">
        <w:rPr>
          <w:rFonts w:ascii="Times New Roman" w:hAnsi="Times New Roman"/>
          <w:sz w:val="28"/>
          <w:szCs w:val="28"/>
        </w:rPr>
        <w:t xml:space="preserve"> </w:t>
      </w:r>
      <w:r w:rsidR="001607FB" w:rsidRPr="00FD7B0B">
        <w:rPr>
          <w:rFonts w:ascii="Times New Roman" w:hAnsi="Times New Roman"/>
          <w:sz w:val="28"/>
          <w:szCs w:val="28"/>
        </w:rPr>
        <w:t>24</w:t>
      </w:r>
      <w:r w:rsidR="00311981" w:rsidRPr="00FD7B0B">
        <w:rPr>
          <w:rFonts w:ascii="Times New Roman" w:hAnsi="Times New Roman"/>
          <w:sz w:val="28"/>
          <w:szCs w:val="28"/>
        </w:rPr>
        <w:t>.</w:t>
      </w:r>
    </w:p>
    <w:p w14:paraId="360A0E27" w14:textId="77777777" w:rsidR="005A472F" w:rsidRPr="00FD7B0B" w:rsidRDefault="005A472F" w:rsidP="005A472F">
      <w:pPr>
        <w:pStyle w:val="ad"/>
        <w:ind w:firstLine="709"/>
        <w:jc w:val="both"/>
        <w:rPr>
          <w:rFonts w:ascii="Times New Roman" w:hAnsi="Times New Roman"/>
          <w:sz w:val="28"/>
          <w:szCs w:val="28"/>
        </w:rPr>
      </w:pPr>
    </w:p>
    <w:p w14:paraId="3ACDC024" w14:textId="68609440"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24</w:t>
      </w:r>
      <w:r w:rsidRPr="00FD7B0B">
        <w:rPr>
          <w:rFonts w:ascii="Times New Roman" w:hAnsi="Times New Roman"/>
          <w:b w:val="0"/>
          <w:sz w:val="24"/>
          <w:szCs w:val="24"/>
        </w:rPr>
        <w:fldChar w:fldCharType="end"/>
      </w:r>
      <w:r w:rsidR="00311981" w:rsidRPr="00FD7B0B">
        <w:rPr>
          <w:rFonts w:ascii="Times New Roman" w:hAnsi="Times New Roman"/>
          <w:b w:val="0"/>
          <w:sz w:val="24"/>
          <w:szCs w:val="24"/>
        </w:rPr>
        <w:t>.</w:t>
      </w:r>
      <w:r w:rsidRPr="00FD7B0B">
        <w:rPr>
          <w:rFonts w:ascii="Times New Roman" w:hAnsi="Times New Roman"/>
          <w:b w:val="0"/>
          <w:sz w:val="24"/>
          <w:szCs w:val="24"/>
        </w:rPr>
        <w:t xml:space="preserve"> Динамика численности мужского и женского населения Архангельской области (без НАО) (2020-2023 годы), в том числе в разрезе возрастных групп, человек</w:t>
      </w:r>
    </w:p>
    <w:tbl>
      <w:tblPr>
        <w:tblW w:w="948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663"/>
        <w:gridCol w:w="1206"/>
        <w:gridCol w:w="1206"/>
        <w:gridCol w:w="1206"/>
        <w:gridCol w:w="1206"/>
      </w:tblGrid>
      <w:tr w:rsidR="00FD7B0B" w:rsidRPr="00FD7B0B" w14:paraId="2BA074E5" w14:textId="77777777" w:rsidTr="00BE64F6">
        <w:trPr>
          <w:trHeight w:val="300"/>
          <w:tblHeader/>
        </w:trPr>
        <w:tc>
          <w:tcPr>
            <w:tcW w:w="4663" w:type="dxa"/>
            <w:vMerge w:val="restart"/>
            <w:shd w:val="clear" w:color="auto" w:fill="auto"/>
            <w:noWrap/>
            <w:vAlign w:val="center"/>
            <w:hideMark/>
          </w:tcPr>
          <w:p w14:paraId="0250F3FB"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Население,</w:t>
            </w:r>
          </w:p>
          <w:p w14:paraId="76ACA1EC" w14:textId="0E7C3A5F" w:rsidR="005A472F" w:rsidRPr="00FD7B0B" w:rsidRDefault="00B9438E" w:rsidP="00BE64F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 том числе возрастные группы</w:t>
            </w:r>
          </w:p>
        </w:tc>
        <w:tc>
          <w:tcPr>
            <w:tcW w:w="1206" w:type="dxa"/>
            <w:shd w:val="clear" w:color="auto" w:fill="auto"/>
            <w:vAlign w:val="center"/>
            <w:hideMark/>
          </w:tcPr>
          <w:p w14:paraId="57CCCE5A"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hAnsi="Times New Roman" w:cs="Times New Roman"/>
              </w:rPr>
              <w:t xml:space="preserve">на 01.01.2021 </w:t>
            </w:r>
          </w:p>
        </w:tc>
        <w:tc>
          <w:tcPr>
            <w:tcW w:w="1206" w:type="dxa"/>
            <w:shd w:val="clear" w:color="auto" w:fill="auto"/>
            <w:vAlign w:val="center"/>
            <w:hideMark/>
          </w:tcPr>
          <w:p w14:paraId="67152796"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hAnsi="Times New Roman" w:cs="Times New Roman"/>
              </w:rPr>
              <w:t>на 01.01.2022</w:t>
            </w:r>
          </w:p>
        </w:tc>
        <w:tc>
          <w:tcPr>
            <w:tcW w:w="1206" w:type="dxa"/>
            <w:shd w:val="clear" w:color="auto" w:fill="auto"/>
            <w:vAlign w:val="center"/>
            <w:hideMark/>
          </w:tcPr>
          <w:p w14:paraId="319C9DFA"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r w:rsidRPr="00FD7B0B">
              <w:rPr>
                <w:rFonts w:ascii="Times New Roman" w:hAnsi="Times New Roman" w:cs="Times New Roman"/>
              </w:rPr>
              <w:t>на 01.01.2023</w:t>
            </w:r>
          </w:p>
        </w:tc>
        <w:tc>
          <w:tcPr>
            <w:tcW w:w="1206" w:type="dxa"/>
            <w:shd w:val="clear" w:color="auto" w:fill="auto"/>
            <w:vAlign w:val="center"/>
            <w:hideMark/>
          </w:tcPr>
          <w:p w14:paraId="60655CA8" w14:textId="392CC69C" w:rsidR="005A472F" w:rsidRPr="00FD7B0B" w:rsidRDefault="00D579D9" w:rsidP="00BE64F6">
            <w:pPr>
              <w:spacing w:after="0" w:line="240" w:lineRule="auto"/>
              <w:jc w:val="center"/>
              <w:rPr>
                <w:rFonts w:ascii="Times New Roman" w:eastAsia="Times New Roman" w:hAnsi="Times New Roman" w:cs="Times New Roman"/>
                <w:lang w:eastAsia="ru-RU"/>
              </w:rPr>
            </w:pPr>
            <w:r w:rsidRPr="00FD7B0B">
              <w:rPr>
                <w:rFonts w:ascii="Times New Roman" w:hAnsi="Times New Roman" w:cs="Times New Roman"/>
              </w:rPr>
              <w:t>на 01.01.2024</w:t>
            </w:r>
          </w:p>
        </w:tc>
      </w:tr>
      <w:tr w:rsidR="00FD7B0B" w:rsidRPr="00FD7B0B" w14:paraId="28DEB432" w14:textId="77777777" w:rsidTr="00BE64F6">
        <w:trPr>
          <w:trHeight w:val="59"/>
          <w:tblHeader/>
        </w:trPr>
        <w:tc>
          <w:tcPr>
            <w:tcW w:w="4663" w:type="dxa"/>
            <w:vMerge/>
            <w:shd w:val="clear" w:color="auto" w:fill="auto"/>
            <w:noWrap/>
            <w:vAlign w:val="bottom"/>
          </w:tcPr>
          <w:p w14:paraId="45B14331" w14:textId="77777777" w:rsidR="005A472F" w:rsidRPr="00FD7B0B" w:rsidRDefault="005A472F" w:rsidP="00BE64F6">
            <w:pPr>
              <w:spacing w:after="0" w:line="240" w:lineRule="auto"/>
              <w:jc w:val="center"/>
              <w:rPr>
                <w:rFonts w:ascii="Times New Roman" w:eastAsia="Times New Roman" w:hAnsi="Times New Roman" w:cs="Times New Roman"/>
                <w:lang w:eastAsia="ru-RU"/>
              </w:rPr>
            </w:pPr>
          </w:p>
        </w:tc>
        <w:tc>
          <w:tcPr>
            <w:tcW w:w="1206" w:type="dxa"/>
            <w:shd w:val="clear" w:color="auto" w:fill="auto"/>
            <w:vAlign w:val="center"/>
          </w:tcPr>
          <w:p w14:paraId="3C6B8C03" w14:textId="77777777" w:rsidR="005A472F" w:rsidRPr="00FD7B0B" w:rsidRDefault="005A472F" w:rsidP="00BE64F6">
            <w:pPr>
              <w:spacing w:after="0" w:line="240" w:lineRule="auto"/>
              <w:ind w:left="-108" w:right="-36"/>
              <w:jc w:val="center"/>
              <w:rPr>
                <w:rFonts w:ascii="Times New Roman" w:eastAsia="Times New Roman" w:hAnsi="Times New Roman" w:cs="Times New Roman"/>
                <w:lang w:eastAsia="ru-RU"/>
              </w:rPr>
            </w:pPr>
            <w:r w:rsidRPr="00FD7B0B">
              <w:rPr>
                <w:rFonts w:ascii="Times New Roman" w:hAnsi="Times New Roman" w:cs="Times New Roman"/>
              </w:rPr>
              <w:t>за 2020 год</w:t>
            </w:r>
          </w:p>
        </w:tc>
        <w:tc>
          <w:tcPr>
            <w:tcW w:w="1206" w:type="dxa"/>
            <w:shd w:val="clear" w:color="auto" w:fill="auto"/>
            <w:vAlign w:val="center"/>
          </w:tcPr>
          <w:p w14:paraId="04E7276F" w14:textId="77777777" w:rsidR="005A472F" w:rsidRPr="00FD7B0B" w:rsidRDefault="005A472F" w:rsidP="00BE64F6">
            <w:pPr>
              <w:spacing w:after="0" w:line="240" w:lineRule="auto"/>
              <w:ind w:left="-180" w:right="-106"/>
              <w:jc w:val="center"/>
              <w:rPr>
                <w:rFonts w:ascii="Times New Roman" w:eastAsia="Times New Roman" w:hAnsi="Times New Roman" w:cs="Times New Roman"/>
                <w:lang w:eastAsia="ru-RU"/>
              </w:rPr>
            </w:pPr>
            <w:r w:rsidRPr="00FD7B0B">
              <w:rPr>
                <w:rFonts w:ascii="Times New Roman" w:hAnsi="Times New Roman" w:cs="Times New Roman"/>
              </w:rPr>
              <w:t>за 2021 год</w:t>
            </w:r>
          </w:p>
        </w:tc>
        <w:tc>
          <w:tcPr>
            <w:tcW w:w="1206" w:type="dxa"/>
            <w:shd w:val="clear" w:color="auto" w:fill="auto"/>
            <w:vAlign w:val="center"/>
          </w:tcPr>
          <w:p w14:paraId="32E086B8" w14:textId="77777777" w:rsidR="005A472F" w:rsidRPr="00FD7B0B" w:rsidRDefault="005A472F" w:rsidP="00BE64F6">
            <w:pPr>
              <w:spacing w:after="0" w:line="240" w:lineRule="auto"/>
              <w:ind w:left="-180" w:right="-106"/>
              <w:jc w:val="center"/>
              <w:rPr>
                <w:rFonts w:ascii="Times New Roman" w:eastAsia="Times New Roman" w:hAnsi="Times New Roman" w:cs="Times New Roman"/>
                <w:lang w:eastAsia="ru-RU"/>
              </w:rPr>
            </w:pPr>
            <w:r w:rsidRPr="00FD7B0B">
              <w:rPr>
                <w:rFonts w:ascii="Times New Roman" w:hAnsi="Times New Roman" w:cs="Times New Roman"/>
              </w:rPr>
              <w:t>за 2022 год</w:t>
            </w:r>
          </w:p>
        </w:tc>
        <w:tc>
          <w:tcPr>
            <w:tcW w:w="1206" w:type="dxa"/>
            <w:shd w:val="clear" w:color="auto" w:fill="auto"/>
            <w:vAlign w:val="center"/>
          </w:tcPr>
          <w:p w14:paraId="6A9D1FED" w14:textId="77777777" w:rsidR="005A472F" w:rsidRPr="00FD7B0B" w:rsidRDefault="005A472F" w:rsidP="00BE64F6">
            <w:pPr>
              <w:spacing w:after="0" w:line="240" w:lineRule="auto"/>
              <w:ind w:left="-180" w:right="-106"/>
              <w:jc w:val="center"/>
              <w:rPr>
                <w:rFonts w:ascii="Times New Roman" w:eastAsia="Times New Roman" w:hAnsi="Times New Roman" w:cs="Times New Roman"/>
                <w:lang w:eastAsia="ru-RU"/>
              </w:rPr>
            </w:pPr>
            <w:r w:rsidRPr="00FD7B0B">
              <w:rPr>
                <w:rFonts w:ascii="Times New Roman" w:hAnsi="Times New Roman" w:cs="Times New Roman"/>
              </w:rPr>
              <w:t>за 2023 год</w:t>
            </w:r>
          </w:p>
        </w:tc>
      </w:tr>
      <w:tr w:rsidR="00FD7B0B" w:rsidRPr="00FD7B0B" w14:paraId="3749A3D0" w14:textId="77777777" w:rsidTr="00BE64F6">
        <w:trPr>
          <w:trHeight w:val="147"/>
        </w:trPr>
        <w:tc>
          <w:tcPr>
            <w:tcW w:w="4663" w:type="dxa"/>
            <w:shd w:val="clear" w:color="auto" w:fill="auto"/>
            <w:vAlign w:val="center"/>
            <w:hideMark/>
          </w:tcPr>
          <w:p w14:paraId="02B3A7A0"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моложе трудоспособного, чел.</w:t>
            </w:r>
          </w:p>
        </w:tc>
        <w:tc>
          <w:tcPr>
            <w:tcW w:w="1206" w:type="dxa"/>
            <w:shd w:val="clear" w:color="auto" w:fill="auto"/>
            <w:noWrap/>
            <w:vAlign w:val="bottom"/>
            <w:hideMark/>
          </w:tcPr>
          <w:p w14:paraId="4132673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198 782 </w:t>
            </w:r>
          </w:p>
        </w:tc>
        <w:tc>
          <w:tcPr>
            <w:tcW w:w="1206" w:type="dxa"/>
            <w:shd w:val="clear" w:color="auto" w:fill="auto"/>
            <w:noWrap/>
            <w:vAlign w:val="bottom"/>
            <w:hideMark/>
          </w:tcPr>
          <w:p w14:paraId="45AE646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194 919 </w:t>
            </w:r>
          </w:p>
        </w:tc>
        <w:tc>
          <w:tcPr>
            <w:tcW w:w="1206" w:type="dxa"/>
            <w:shd w:val="clear" w:color="auto" w:fill="auto"/>
            <w:noWrap/>
            <w:vAlign w:val="bottom"/>
            <w:hideMark/>
          </w:tcPr>
          <w:p w14:paraId="4E4E8F7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172 692 </w:t>
            </w:r>
          </w:p>
        </w:tc>
        <w:tc>
          <w:tcPr>
            <w:tcW w:w="1206" w:type="dxa"/>
            <w:shd w:val="clear" w:color="auto" w:fill="auto"/>
            <w:noWrap/>
            <w:vAlign w:val="bottom"/>
            <w:hideMark/>
          </w:tcPr>
          <w:p w14:paraId="36E2D67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168 297 </w:t>
            </w:r>
          </w:p>
        </w:tc>
      </w:tr>
      <w:tr w:rsidR="00FD7B0B" w:rsidRPr="00FD7B0B" w14:paraId="29583022" w14:textId="77777777" w:rsidTr="00BE64F6">
        <w:trPr>
          <w:trHeight w:val="242"/>
        </w:trPr>
        <w:tc>
          <w:tcPr>
            <w:tcW w:w="4663" w:type="dxa"/>
            <w:shd w:val="clear" w:color="auto" w:fill="auto"/>
            <w:vAlign w:val="center"/>
            <w:hideMark/>
          </w:tcPr>
          <w:p w14:paraId="1F1E3895" w14:textId="77777777" w:rsidR="005A472F" w:rsidRPr="00FD7B0B" w:rsidRDefault="005A472F" w:rsidP="00BE64F6">
            <w:pPr>
              <w:spacing w:after="0" w:line="240" w:lineRule="auto"/>
              <w:rPr>
                <w:rFonts w:ascii="Times New Roman" w:eastAsia="Times New Roman" w:hAnsi="Times New Roman" w:cs="Times New Roman"/>
                <w:i/>
                <w:lang w:eastAsia="ru-RU"/>
              </w:rPr>
            </w:pPr>
            <w:r w:rsidRPr="00FD7B0B">
              <w:rPr>
                <w:rFonts w:ascii="Times New Roman" w:eastAsia="Times New Roman" w:hAnsi="Times New Roman" w:cs="Times New Roman"/>
                <w:i/>
                <w:lang w:eastAsia="ru-RU"/>
              </w:rPr>
              <w:t>отношение отчетного года к прошлому, %</w:t>
            </w:r>
          </w:p>
        </w:tc>
        <w:tc>
          <w:tcPr>
            <w:tcW w:w="1206" w:type="dxa"/>
            <w:shd w:val="clear" w:color="auto" w:fill="auto"/>
            <w:noWrap/>
            <w:vAlign w:val="bottom"/>
            <w:hideMark/>
          </w:tcPr>
          <w:p w14:paraId="656D73AF"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 </w:t>
            </w:r>
          </w:p>
        </w:tc>
        <w:tc>
          <w:tcPr>
            <w:tcW w:w="1206" w:type="dxa"/>
            <w:shd w:val="clear" w:color="auto" w:fill="auto"/>
            <w:noWrap/>
            <w:vAlign w:val="bottom"/>
            <w:hideMark/>
          </w:tcPr>
          <w:p w14:paraId="32FBEC5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 </w:t>
            </w:r>
          </w:p>
        </w:tc>
        <w:tc>
          <w:tcPr>
            <w:tcW w:w="1206" w:type="dxa"/>
            <w:shd w:val="clear" w:color="auto" w:fill="auto"/>
            <w:noWrap/>
            <w:vAlign w:val="bottom"/>
            <w:hideMark/>
          </w:tcPr>
          <w:p w14:paraId="05A5E74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-11,4 </w:t>
            </w:r>
          </w:p>
        </w:tc>
        <w:tc>
          <w:tcPr>
            <w:tcW w:w="1206" w:type="dxa"/>
            <w:shd w:val="clear" w:color="auto" w:fill="auto"/>
            <w:noWrap/>
            <w:vAlign w:val="bottom"/>
            <w:hideMark/>
          </w:tcPr>
          <w:p w14:paraId="48A627F8"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-2,5 </w:t>
            </w:r>
          </w:p>
        </w:tc>
      </w:tr>
      <w:tr w:rsidR="00FD7B0B" w:rsidRPr="00FD7B0B" w14:paraId="6308D00E" w14:textId="77777777" w:rsidTr="00BE64F6">
        <w:trPr>
          <w:trHeight w:val="127"/>
        </w:trPr>
        <w:tc>
          <w:tcPr>
            <w:tcW w:w="4663" w:type="dxa"/>
            <w:shd w:val="clear" w:color="auto" w:fill="auto"/>
            <w:vAlign w:val="center"/>
            <w:hideMark/>
          </w:tcPr>
          <w:p w14:paraId="373B566D"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трудоспособное, чел.</w:t>
            </w:r>
          </w:p>
        </w:tc>
        <w:tc>
          <w:tcPr>
            <w:tcW w:w="1206" w:type="dxa"/>
            <w:shd w:val="clear" w:color="auto" w:fill="auto"/>
            <w:noWrap/>
            <w:vAlign w:val="bottom"/>
            <w:hideMark/>
          </w:tcPr>
          <w:p w14:paraId="7A6F77C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593 310 </w:t>
            </w:r>
          </w:p>
        </w:tc>
        <w:tc>
          <w:tcPr>
            <w:tcW w:w="1206" w:type="dxa"/>
            <w:shd w:val="clear" w:color="auto" w:fill="auto"/>
            <w:noWrap/>
            <w:vAlign w:val="bottom"/>
            <w:hideMark/>
          </w:tcPr>
          <w:p w14:paraId="2152E184"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599 996 </w:t>
            </w:r>
          </w:p>
        </w:tc>
        <w:tc>
          <w:tcPr>
            <w:tcW w:w="1206" w:type="dxa"/>
            <w:shd w:val="clear" w:color="auto" w:fill="auto"/>
            <w:noWrap/>
            <w:vAlign w:val="bottom"/>
            <w:hideMark/>
          </w:tcPr>
          <w:p w14:paraId="03A23EBA"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531 808 </w:t>
            </w:r>
          </w:p>
        </w:tc>
        <w:tc>
          <w:tcPr>
            <w:tcW w:w="1206" w:type="dxa"/>
            <w:shd w:val="clear" w:color="auto" w:fill="auto"/>
            <w:noWrap/>
            <w:vAlign w:val="bottom"/>
            <w:hideMark/>
          </w:tcPr>
          <w:p w14:paraId="024D1AC6"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537 964 </w:t>
            </w:r>
          </w:p>
        </w:tc>
      </w:tr>
      <w:tr w:rsidR="00FD7B0B" w:rsidRPr="00FD7B0B" w14:paraId="7848BEFA" w14:textId="77777777" w:rsidTr="00BE64F6">
        <w:trPr>
          <w:trHeight w:val="59"/>
        </w:trPr>
        <w:tc>
          <w:tcPr>
            <w:tcW w:w="4663" w:type="dxa"/>
            <w:shd w:val="clear" w:color="auto" w:fill="auto"/>
            <w:vAlign w:val="center"/>
            <w:hideMark/>
          </w:tcPr>
          <w:p w14:paraId="642296C8"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i/>
                <w:lang w:eastAsia="ru-RU"/>
              </w:rPr>
              <w:t>отношение отчетного года к прошлому, %</w:t>
            </w:r>
          </w:p>
        </w:tc>
        <w:tc>
          <w:tcPr>
            <w:tcW w:w="1206" w:type="dxa"/>
            <w:shd w:val="clear" w:color="auto" w:fill="auto"/>
            <w:noWrap/>
            <w:vAlign w:val="bottom"/>
            <w:hideMark/>
          </w:tcPr>
          <w:p w14:paraId="1DFF6481"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 </w:t>
            </w:r>
          </w:p>
        </w:tc>
        <w:tc>
          <w:tcPr>
            <w:tcW w:w="1206" w:type="dxa"/>
            <w:shd w:val="clear" w:color="auto" w:fill="auto"/>
            <w:noWrap/>
            <w:vAlign w:val="bottom"/>
            <w:hideMark/>
          </w:tcPr>
          <w:p w14:paraId="69BF674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 </w:t>
            </w:r>
          </w:p>
        </w:tc>
        <w:tc>
          <w:tcPr>
            <w:tcW w:w="1206" w:type="dxa"/>
            <w:shd w:val="clear" w:color="auto" w:fill="auto"/>
            <w:noWrap/>
            <w:vAlign w:val="bottom"/>
            <w:hideMark/>
          </w:tcPr>
          <w:p w14:paraId="6EE9F465"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-11,4 </w:t>
            </w:r>
          </w:p>
        </w:tc>
        <w:tc>
          <w:tcPr>
            <w:tcW w:w="1206" w:type="dxa"/>
            <w:shd w:val="clear" w:color="auto" w:fill="auto"/>
            <w:noWrap/>
            <w:vAlign w:val="bottom"/>
            <w:hideMark/>
          </w:tcPr>
          <w:p w14:paraId="2051AC39"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 </w:t>
            </w:r>
          </w:p>
        </w:tc>
      </w:tr>
      <w:tr w:rsidR="00FD7B0B" w:rsidRPr="00FD7B0B" w14:paraId="0312FF55" w14:textId="77777777" w:rsidTr="00BE64F6">
        <w:trPr>
          <w:trHeight w:val="79"/>
        </w:trPr>
        <w:tc>
          <w:tcPr>
            <w:tcW w:w="4663" w:type="dxa"/>
            <w:shd w:val="clear" w:color="auto" w:fill="auto"/>
            <w:vAlign w:val="center"/>
            <w:hideMark/>
          </w:tcPr>
          <w:p w14:paraId="19D36679"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старше трудоспособного, чел.</w:t>
            </w:r>
          </w:p>
        </w:tc>
        <w:tc>
          <w:tcPr>
            <w:tcW w:w="1206" w:type="dxa"/>
            <w:shd w:val="clear" w:color="auto" w:fill="auto"/>
            <w:noWrap/>
            <w:vAlign w:val="bottom"/>
            <w:hideMark/>
          </w:tcPr>
          <w:p w14:paraId="5E0EE7ED"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290 570 </w:t>
            </w:r>
          </w:p>
        </w:tc>
        <w:tc>
          <w:tcPr>
            <w:tcW w:w="1206" w:type="dxa"/>
            <w:shd w:val="clear" w:color="auto" w:fill="auto"/>
            <w:noWrap/>
            <w:vAlign w:val="bottom"/>
            <w:hideMark/>
          </w:tcPr>
          <w:p w14:paraId="7CE4633C"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274 867 </w:t>
            </w:r>
          </w:p>
        </w:tc>
        <w:tc>
          <w:tcPr>
            <w:tcW w:w="1206" w:type="dxa"/>
            <w:shd w:val="clear" w:color="auto" w:fill="auto"/>
            <w:noWrap/>
            <w:vAlign w:val="bottom"/>
            <w:hideMark/>
          </w:tcPr>
          <w:p w14:paraId="60BFE377"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259 804 </w:t>
            </w:r>
          </w:p>
        </w:tc>
        <w:tc>
          <w:tcPr>
            <w:tcW w:w="1206" w:type="dxa"/>
            <w:shd w:val="clear" w:color="auto" w:fill="auto"/>
            <w:noWrap/>
            <w:vAlign w:val="bottom"/>
            <w:hideMark/>
          </w:tcPr>
          <w:p w14:paraId="3C86310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249 587 </w:t>
            </w:r>
          </w:p>
        </w:tc>
      </w:tr>
      <w:tr w:rsidR="005A472F" w:rsidRPr="00FD7B0B" w14:paraId="47EE89F4" w14:textId="77777777" w:rsidTr="00BE64F6">
        <w:trPr>
          <w:trHeight w:val="95"/>
        </w:trPr>
        <w:tc>
          <w:tcPr>
            <w:tcW w:w="4663" w:type="dxa"/>
            <w:shd w:val="clear" w:color="auto" w:fill="auto"/>
            <w:vAlign w:val="center"/>
            <w:hideMark/>
          </w:tcPr>
          <w:p w14:paraId="0ADA1F0C" w14:textId="77777777" w:rsidR="005A472F" w:rsidRPr="00FD7B0B" w:rsidRDefault="005A472F" w:rsidP="00BE64F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i/>
                <w:lang w:eastAsia="ru-RU"/>
              </w:rPr>
              <w:lastRenderedPageBreak/>
              <w:t>отношение отчетного года к прошлому, %</w:t>
            </w:r>
          </w:p>
        </w:tc>
        <w:tc>
          <w:tcPr>
            <w:tcW w:w="1206" w:type="dxa"/>
            <w:shd w:val="clear" w:color="auto" w:fill="auto"/>
            <w:noWrap/>
            <w:vAlign w:val="bottom"/>
            <w:hideMark/>
          </w:tcPr>
          <w:p w14:paraId="6CE5C78E"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0,6 </w:t>
            </w:r>
          </w:p>
        </w:tc>
        <w:tc>
          <w:tcPr>
            <w:tcW w:w="1206" w:type="dxa"/>
            <w:shd w:val="clear" w:color="auto" w:fill="auto"/>
            <w:noWrap/>
            <w:vAlign w:val="bottom"/>
            <w:hideMark/>
          </w:tcPr>
          <w:p w14:paraId="46258C43"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-5,4 </w:t>
            </w:r>
          </w:p>
        </w:tc>
        <w:tc>
          <w:tcPr>
            <w:tcW w:w="1206" w:type="dxa"/>
            <w:shd w:val="clear" w:color="auto" w:fill="auto"/>
            <w:noWrap/>
            <w:vAlign w:val="bottom"/>
            <w:hideMark/>
          </w:tcPr>
          <w:p w14:paraId="2982B072"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-5,5 </w:t>
            </w:r>
          </w:p>
        </w:tc>
        <w:tc>
          <w:tcPr>
            <w:tcW w:w="1206" w:type="dxa"/>
            <w:shd w:val="clear" w:color="auto" w:fill="auto"/>
            <w:noWrap/>
            <w:vAlign w:val="bottom"/>
            <w:hideMark/>
          </w:tcPr>
          <w:p w14:paraId="15B7D18B" w14:textId="77777777" w:rsidR="005A472F" w:rsidRPr="00FD7B0B" w:rsidRDefault="005A472F" w:rsidP="00BE64F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-3,9 </w:t>
            </w:r>
          </w:p>
        </w:tc>
      </w:tr>
    </w:tbl>
    <w:p w14:paraId="252F21EB" w14:textId="77777777" w:rsidR="005A472F" w:rsidRPr="00FD7B0B" w:rsidRDefault="005A472F" w:rsidP="005A472F">
      <w:pPr>
        <w:pStyle w:val="ad"/>
        <w:ind w:firstLine="709"/>
        <w:jc w:val="both"/>
        <w:rPr>
          <w:rFonts w:ascii="Times New Roman" w:hAnsi="Times New Roman"/>
          <w:sz w:val="28"/>
          <w:szCs w:val="28"/>
        </w:rPr>
      </w:pPr>
    </w:p>
    <w:p w14:paraId="1C350AC4" w14:textId="4ED7F519" w:rsidR="005A472F" w:rsidRPr="00FD7B0B" w:rsidRDefault="005A472F" w:rsidP="005A472F">
      <w:pPr>
        <w:pStyle w:val="ad"/>
        <w:ind w:firstLine="709"/>
        <w:jc w:val="both"/>
        <w:rPr>
          <w:rFonts w:ascii="Times New Roman" w:hAnsi="Times New Roman"/>
          <w:i/>
          <w:sz w:val="28"/>
          <w:szCs w:val="28"/>
        </w:rPr>
      </w:pPr>
      <w:r w:rsidRPr="00FD7B0B">
        <w:rPr>
          <w:rFonts w:ascii="Times New Roman" w:hAnsi="Times New Roman"/>
          <w:sz w:val="28"/>
          <w:szCs w:val="28"/>
        </w:rPr>
        <w:t>Представленные в таблицах показатели численности населения Архангельской области (без НАО) на 01.01.2024 (за 2023 год) позволяют сделать вывод о приросте численности «трудоспособного» населения (+1,2</w:t>
      </w:r>
      <w:r w:rsidR="00B9438E" w:rsidRPr="00FD7B0B">
        <w:rPr>
          <w:rFonts w:ascii="Times New Roman" w:hAnsi="Times New Roman"/>
          <w:sz w:val="28"/>
          <w:szCs w:val="28"/>
        </w:rPr>
        <w:t xml:space="preserve"> </w:t>
      </w:r>
      <w:r w:rsidRPr="00FD7B0B">
        <w:rPr>
          <w:rFonts w:ascii="Times New Roman" w:hAnsi="Times New Roman"/>
          <w:sz w:val="28"/>
          <w:szCs w:val="28"/>
        </w:rPr>
        <w:t>%) к показателю на 01.01.2023 (за 2022 год), а также о преобладании женщин в составе «стареющего» населения, на фоне общего снижения численности населения региона в целом, а также снижения численности населения моложе трудоспособного возраста.</w:t>
      </w:r>
    </w:p>
    <w:p w14:paraId="39EAC53D"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По данным Росстата по итогам 2024 года при реализации сценариев Демографического прогноза «Ожидаемая продолжительность жизни при рождении» в России составляла: при консервативном сценарии (низкий вариант) – 73,17 число лет, при среднем – 73,48 число лет, при оптимистичном (высокий вариант) – 74,28 число лет.</w:t>
      </w:r>
      <w:r w:rsidRPr="00FD7B0B">
        <w:rPr>
          <w:rStyle w:val="afff1"/>
          <w:rFonts w:ascii="Times New Roman" w:hAnsi="Times New Roman"/>
          <w:sz w:val="28"/>
          <w:szCs w:val="28"/>
        </w:rPr>
        <w:footnoteReference w:id="12"/>
      </w:r>
      <w:r w:rsidRPr="00FD7B0B">
        <w:rPr>
          <w:rFonts w:ascii="Times New Roman" w:hAnsi="Times New Roman"/>
          <w:sz w:val="28"/>
          <w:szCs w:val="28"/>
        </w:rPr>
        <w:t xml:space="preserve"> Согласно предварительной оценке Росстата фактически сложившийся показатель «Ожидаемая продолжительность жизни при рождении» россиян, рожденных в 2024 году, снизилась на 0,64 года и в среднем составит 72,84 года</w:t>
      </w:r>
      <w:r w:rsidRPr="00FD7B0B">
        <w:rPr>
          <w:rStyle w:val="afff1"/>
          <w:rFonts w:ascii="Times New Roman" w:hAnsi="Times New Roman"/>
          <w:sz w:val="28"/>
          <w:szCs w:val="28"/>
        </w:rPr>
        <w:footnoteReference w:id="13"/>
      </w:r>
      <w:r w:rsidRPr="00FD7B0B">
        <w:rPr>
          <w:rFonts w:ascii="Times New Roman" w:hAnsi="Times New Roman"/>
          <w:sz w:val="28"/>
          <w:szCs w:val="28"/>
        </w:rPr>
        <w:t>, от показателей среднего сценария Демографического прогноза (73,48 число лет).</w:t>
      </w:r>
    </w:p>
    <w:p w14:paraId="7E9D8C4C" w14:textId="6642FFF2"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Ожидаемая продолжительность жизни при рождении в Архангельской области (без НАО) (число лет) представлена в таблице</w:t>
      </w:r>
      <w:r w:rsidR="00035365" w:rsidRPr="00FD7B0B">
        <w:rPr>
          <w:rFonts w:ascii="Times New Roman" w:hAnsi="Times New Roman"/>
          <w:sz w:val="28"/>
          <w:szCs w:val="28"/>
        </w:rPr>
        <w:t xml:space="preserve"> </w:t>
      </w:r>
      <w:r w:rsidR="001607FB" w:rsidRPr="00FD7B0B">
        <w:rPr>
          <w:rFonts w:ascii="Times New Roman" w:hAnsi="Times New Roman"/>
          <w:sz w:val="28"/>
          <w:szCs w:val="28"/>
        </w:rPr>
        <w:t>25</w:t>
      </w:r>
      <w:r w:rsidRPr="00FD7B0B">
        <w:rPr>
          <w:rFonts w:ascii="Times New Roman" w:hAnsi="Times New Roman"/>
          <w:sz w:val="28"/>
          <w:szCs w:val="28"/>
        </w:rPr>
        <w:t>.</w:t>
      </w:r>
    </w:p>
    <w:p w14:paraId="7D1C4953" w14:textId="77777777" w:rsidR="005A472F" w:rsidRPr="00FD7B0B" w:rsidRDefault="005A472F" w:rsidP="005A472F">
      <w:pPr>
        <w:pStyle w:val="aff0"/>
        <w:spacing w:after="0" w:line="240" w:lineRule="auto"/>
        <w:rPr>
          <w:rFonts w:ascii="Times New Roman" w:hAnsi="Times New Roman"/>
          <w:b w:val="0"/>
          <w:sz w:val="24"/>
          <w:szCs w:val="24"/>
        </w:rPr>
      </w:pPr>
    </w:p>
    <w:p w14:paraId="4135EFF6" w14:textId="39B9AC58"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25</w:t>
      </w:r>
      <w:r w:rsidRPr="00FD7B0B">
        <w:rPr>
          <w:rFonts w:ascii="Times New Roman" w:hAnsi="Times New Roman"/>
          <w:b w:val="0"/>
          <w:sz w:val="24"/>
          <w:szCs w:val="24"/>
        </w:rPr>
        <w:fldChar w:fldCharType="end"/>
      </w:r>
      <w:r w:rsidRPr="00FD7B0B">
        <w:rPr>
          <w:rFonts w:ascii="Times New Roman" w:hAnsi="Times New Roman"/>
          <w:b w:val="0"/>
          <w:sz w:val="24"/>
          <w:szCs w:val="24"/>
        </w:rPr>
        <w:t>. Показатели «Ожидаемой продолжительности жизни при рождении» в Архангельской области (без НАО) по данным статистики в 2020</w:t>
      </w:r>
      <w:r w:rsidR="0088763A" w:rsidRPr="00FD7B0B">
        <w:rPr>
          <w:rFonts w:ascii="Times New Roman" w:hAnsi="Times New Roman"/>
          <w:b w:val="0"/>
          <w:sz w:val="24"/>
          <w:szCs w:val="24"/>
        </w:rPr>
        <w:t xml:space="preserve"> – </w:t>
      </w:r>
      <w:r w:rsidRPr="00FD7B0B">
        <w:rPr>
          <w:rFonts w:ascii="Times New Roman" w:hAnsi="Times New Roman"/>
          <w:b w:val="0"/>
          <w:sz w:val="24"/>
          <w:szCs w:val="24"/>
        </w:rPr>
        <w:t>2023 годах</w:t>
      </w:r>
      <w:r w:rsidRPr="00FD7B0B">
        <w:rPr>
          <w:rStyle w:val="afff1"/>
          <w:rFonts w:ascii="Times New Roman" w:hAnsi="Times New Roman"/>
          <w:b w:val="0"/>
          <w:sz w:val="24"/>
          <w:szCs w:val="24"/>
        </w:rPr>
        <w:footnoteReference w:id="14"/>
      </w:r>
      <w:r w:rsidRPr="00FD7B0B">
        <w:rPr>
          <w:rFonts w:ascii="Times New Roman" w:hAnsi="Times New Roman"/>
          <w:b w:val="0"/>
          <w:sz w:val="24"/>
          <w:szCs w:val="24"/>
        </w:rPr>
        <w:t xml:space="preserve"> и 2024 году</w:t>
      </w:r>
      <w:r w:rsidRPr="00FD7B0B">
        <w:rPr>
          <w:rStyle w:val="afff1"/>
          <w:rFonts w:ascii="Times New Roman" w:hAnsi="Times New Roman"/>
          <w:sz w:val="22"/>
          <w:szCs w:val="22"/>
        </w:rPr>
        <w:footnoteReference w:id="15"/>
      </w:r>
      <w:r w:rsidRPr="00FD7B0B">
        <w:rPr>
          <w:rFonts w:ascii="Times New Roman" w:hAnsi="Times New Roman"/>
          <w:b w:val="0"/>
          <w:sz w:val="24"/>
          <w:szCs w:val="24"/>
        </w:rPr>
        <w:t>, число лет</w:t>
      </w:r>
    </w:p>
    <w:tbl>
      <w:tblPr>
        <w:tblStyle w:val="a7"/>
        <w:tblW w:w="7650"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663"/>
        <w:gridCol w:w="992"/>
        <w:gridCol w:w="993"/>
        <w:gridCol w:w="1002"/>
      </w:tblGrid>
      <w:tr w:rsidR="00FD7B0B" w:rsidRPr="00FD7B0B" w14:paraId="7940808F" w14:textId="77777777" w:rsidTr="009E7E7A">
        <w:trPr>
          <w:tblHeader/>
          <w:jc w:val="center"/>
        </w:trPr>
        <w:tc>
          <w:tcPr>
            <w:tcW w:w="4663" w:type="dxa"/>
          </w:tcPr>
          <w:p w14:paraId="4D437F1E" w14:textId="77777777" w:rsidR="009E7E7A" w:rsidRPr="00FD7B0B" w:rsidRDefault="009E7E7A" w:rsidP="00BE64F6">
            <w:pPr>
              <w:jc w:val="center"/>
              <w:rPr>
                <w:rFonts w:ascii="Times New Roman" w:hAnsi="Times New Roman"/>
              </w:rPr>
            </w:pPr>
            <w:r w:rsidRPr="00FD7B0B">
              <w:rPr>
                <w:rFonts w:ascii="Times New Roman" w:hAnsi="Times New Roman"/>
              </w:rPr>
              <w:t>Население</w:t>
            </w:r>
          </w:p>
        </w:tc>
        <w:tc>
          <w:tcPr>
            <w:tcW w:w="992" w:type="dxa"/>
          </w:tcPr>
          <w:p w14:paraId="1A08F8A1" w14:textId="77777777" w:rsidR="009E7E7A" w:rsidRPr="00FD7B0B" w:rsidRDefault="009E7E7A" w:rsidP="00BE64F6">
            <w:pPr>
              <w:ind w:left="-108" w:right="-181"/>
              <w:jc w:val="center"/>
              <w:rPr>
                <w:rFonts w:ascii="Times New Roman" w:hAnsi="Times New Roman"/>
              </w:rPr>
            </w:pPr>
            <w:r w:rsidRPr="00FD7B0B">
              <w:rPr>
                <w:rFonts w:ascii="Times New Roman" w:hAnsi="Times New Roman"/>
                <w:lang w:val="en-GB"/>
              </w:rPr>
              <w:t>2022</w:t>
            </w:r>
            <w:r w:rsidRPr="00FD7B0B">
              <w:rPr>
                <w:rFonts w:ascii="Times New Roman" w:hAnsi="Times New Roman"/>
              </w:rPr>
              <w:t xml:space="preserve"> год</w:t>
            </w:r>
          </w:p>
        </w:tc>
        <w:tc>
          <w:tcPr>
            <w:tcW w:w="993" w:type="dxa"/>
          </w:tcPr>
          <w:p w14:paraId="6536F45B" w14:textId="77777777" w:rsidR="009E7E7A" w:rsidRPr="00FD7B0B" w:rsidRDefault="009E7E7A" w:rsidP="00BE64F6">
            <w:pPr>
              <w:ind w:left="-108" w:right="-181"/>
              <w:jc w:val="center"/>
              <w:rPr>
                <w:rFonts w:ascii="Times New Roman" w:hAnsi="Times New Roman"/>
              </w:rPr>
            </w:pPr>
            <w:r w:rsidRPr="00FD7B0B">
              <w:rPr>
                <w:rFonts w:ascii="Times New Roman" w:hAnsi="Times New Roman"/>
                <w:lang w:val="en-GB"/>
              </w:rPr>
              <w:t>2023</w:t>
            </w:r>
            <w:r w:rsidRPr="00FD7B0B">
              <w:rPr>
                <w:rFonts w:ascii="Times New Roman" w:hAnsi="Times New Roman"/>
              </w:rPr>
              <w:t xml:space="preserve"> год</w:t>
            </w:r>
          </w:p>
        </w:tc>
        <w:tc>
          <w:tcPr>
            <w:tcW w:w="1002" w:type="dxa"/>
          </w:tcPr>
          <w:p w14:paraId="084925EC" w14:textId="77777777" w:rsidR="009E7E7A" w:rsidRPr="00FD7B0B" w:rsidRDefault="009E7E7A" w:rsidP="00BE64F6">
            <w:pPr>
              <w:ind w:left="-108" w:right="-181"/>
              <w:jc w:val="center"/>
              <w:rPr>
                <w:rFonts w:ascii="Times New Roman" w:hAnsi="Times New Roman"/>
              </w:rPr>
            </w:pPr>
            <w:r w:rsidRPr="00FD7B0B">
              <w:rPr>
                <w:rFonts w:ascii="Times New Roman" w:hAnsi="Times New Roman"/>
              </w:rPr>
              <w:t>2024 год</w:t>
            </w:r>
          </w:p>
        </w:tc>
      </w:tr>
      <w:tr w:rsidR="00FD7B0B" w:rsidRPr="00FD7B0B" w14:paraId="0210A99B" w14:textId="77777777" w:rsidTr="009E7E7A">
        <w:trPr>
          <w:jc w:val="center"/>
        </w:trPr>
        <w:tc>
          <w:tcPr>
            <w:tcW w:w="4663" w:type="dxa"/>
          </w:tcPr>
          <w:p w14:paraId="3A90E623" w14:textId="77777777" w:rsidR="009E7E7A" w:rsidRPr="00FD7B0B" w:rsidRDefault="009E7E7A" w:rsidP="009E7E7A">
            <w:pPr>
              <w:rPr>
                <w:rFonts w:ascii="Times New Roman" w:hAnsi="Times New Roman"/>
              </w:rPr>
            </w:pPr>
            <w:r w:rsidRPr="00FD7B0B">
              <w:rPr>
                <w:rFonts w:ascii="Times New Roman" w:hAnsi="Times New Roman"/>
              </w:rPr>
              <w:t xml:space="preserve">Мужчины и женщины, </w:t>
            </w:r>
            <w:r w:rsidRPr="00FD7B0B">
              <w:rPr>
                <w:rFonts w:ascii="Times New Roman" w:hAnsi="Times New Roman"/>
                <w:i/>
              </w:rPr>
              <w:t xml:space="preserve">число лет (среднее) </w:t>
            </w:r>
          </w:p>
        </w:tc>
        <w:tc>
          <w:tcPr>
            <w:tcW w:w="992" w:type="dxa"/>
            <w:vAlign w:val="bottom"/>
          </w:tcPr>
          <w:p w14:paraId="724FD4AA" w14:textId="77777777" w:rsidR="009E7E7A" w:rsidRPr="00FD7B0B" w:rsidRDefault="009E7E7A" w:rsidP="00BE64F6">
            <w:pPr>
              <w:jc w:val="right"/>
              <w:rPr>
                <w:rFonts w:ascii="Times New Roman" w:hAnsi="Times New Roman"/>
              </w:rPr>
            </w:pPr>
            <w:r w:rsidRPr="00FD7B0B">
              <w:rPr>
                <w:rFonts w:ascii="Times New Roman" w:hAnsi="Times New Roman"/>
              </w:rPr>
              <w:t>70,93</w:t>
            </w:r>
          </w:p>
        </w:tc>
        <w:tc>
          <w:tcPr>
            <w:tcW w:w="993" w:type="dxa"/>
            <w:vAlign w:val="bottom"/>
          </w:tcPr>
          <w:p w14:paraId="7B9E690D" w14:textId="77777777" w:rsidR="009E7E7A" w:rsidRPr="00FD7B0B" w:rsidRDefault="009E7E7A" w:rsidP="00BE64F6">
            <w:pPr>
              <w:jc w:val="right"/>
              <w:rPr>
                <w:rFonts w:ascii="Times New Roman" w:hAnsi="Times New Roman"/>
              </w:rPr>
            </w:pPr>
            <w:r w:rsidRPr="00FD7B0B">
              <w:rPr>
                <w:rFonts w:ascii="Times New Roman" w:hAnsi="Times New Roman"/>
              </w:rPr>
              <w:t>71,54</w:t>
            </w:r>
          </w:p>
        </w:tc>
        <w:tc>
          <w:tcPr>
            <w:tcW w:w="1002" w:type="dxa"/>
            <w:vAlign w:val="bottom"/>
          </w:tcPr>
          <w:p w14:paraId="07311C20" w14:textId="77777777" w:rsidR="009E7E7A" w:rsidRPr="00FD7B0B" w:rsidRDefault="009E7E7A" w:rsidP="00BE64F6">
            <w:pPr>
              <w:jc w:val="right"/>
              <w:rPr>
                <w:rFonts w:ascii="Times New Roman" w:hAnsi="Times New Roman"/>
              </w:rPr>
            </w:pPr>
            <w:r w:rsidRPr="00FD7B0B">
              <w:rPr>
                <w:rFonts w:ascii="Times New Roman" w:hAnsi="Times New Roman"/>
              </w:rPr>
              <w:t>71,62</w:t>
            </w:r>
          </w:p>
        </w:tc>
      </w:tr>
      <w:tr w:rsidR="00FD7B0B" w:rsidRPr="00FD7B0B" w14:paraId="76C4005B" w14:textId="77777777" w:rsidTr="009E7E7A">
        <w:trPr>
          <w:jc w:val="center"/>
        </w:trPr>
        <w:tc>
          <w:tcPr>
            <w:tcW w:w="4663" w:type="dxa"/>
          </w:tcPr>
          <w:p w14:paraId="544758B4" w14:textId="77777777" w:rsidR="009E7E7A" w:rsidRPr="00FD7B0B" w:rsidRDefault="009E7E7A" w:rsidP="00BE64F6">
            <w:pPr>
              <w:ind w:firstLine="161"/>
              <w:rPr>
                <w:rFonts w:ascii="Times New Roman" w:hAnsi="Times New Roman"/>
                <w:i/>
              </w:rPr>
            </w:pPr>
            <w:r w:rsidRPr="00FD7B0B">
              <w:rPr>
                <w:rFonts w:ascii="Times New Roman" w:hAnsi="Times New Roman"/>
                <w:i/>
              </w:rPr>
              <w:t>мужчины, число лет</w:t>
            </w:r>
          </w:p>
        </w:tc>
        <w:tc>
          <w:tcPr>
            <w:tcW w:w="992" w:type="dxa"/>
            <w:vAlign w:val="bottom"/>
          </w:tcPr>
          <w:p w14:paraId="63E919D7" w14:textId="77777777" w:rsidR="009E7E7A" w:rsidRPr="00FD7B0B" w:rsidRDefault="009E7E7A" w:rsidP="00BE64F6">
            <w:pPr>
              <w:jc w:val="right"/>
              <w:rPr>
                <w:rFonts w:ascii="Times New Roman" w:hAnsi="Times New Roman"/>
              </w:rPr>
            </w:pPr>
            <w:r w:rsidRPr="00FD7B0B">
              <w:rPr>
                <w:rFonts w:ascii="Times New Roman" w:hAnsi="Times New Roman"/>
              </w:rPr>
              <w:t>65,32</w:t>
            </w:r>
          </w:p>
        </w:tc>
        <w:tc>
          <w:tcPr>
            <w:tcW w:w="993" w:type="dxa"/>
            <w:vAlign w:val="bottom"/>
          </w:tcPr>
          <w:p w14:paraId="00913662" w14:textId="77777777" w:rsidR="009E7E7A" w:rsidRPr="00FD7B0B" w:rsidRDefault="009E7E7A" w:rsidP="00BE64F6">
            <w:pPr>
              <w:jc w:val="right"/>
              <w:rPr>
                <w:rFonts w:ascii="Times New Roman" w:hAnsi="Times New Roman"/>
              </w:rPr>
            </w:pPr>
            <w:r w:rsidRPr="00FD7B0B">
              <w:rPr>
                <w:rFonts w:ascii="Times New Roman" w:hAnsi="Times New Roman"/>
              </w:rPr>
              <w:t>65,52</w:t>
            </w:r>
          </w:p>
        </w:tc>
        <w:tc>
          <w:tcPr>
            <w:tcW w:w="1002" w:type="dxa"/>
            <w:vAlign w:val="bottom"/>
          </w:tcPr>
          <w:p w14:paraId="5DE008F1" w14:textId="77777777" w:rsidR="009E7E7A" w:rsidRPr="00FD7B0B" w:rsidRDefault="009E7E7A" w:rsidP="00BE64F6">
            <w:pPr>
              <w:jc w:val="right"/>
              <w:rPr>
                <w:rFonts w:ascii="Times New Roman" w:hAnsi="Times New Roman"/>
              </w:rPr>
            </w:pPr>
            <w:r w:rsidRPr="00FD7B0B">
              <w:rPr>
                <w:rFonts w:ascii="Times New Roman" w:hAnsi="Times New Roman"/>
              </w:rPr>
              <w:t>66,18</w:t>
            </w:r>
          </w:p>
        </w:tc>
      </w:tr>
      <w:tr w:rsidR="00FD7B0B" w:rsidRPr="00FD7B0B" w14:paraId="1AAFAD51" w14:textId="77777777" w:rsidTr="009E7E7A">
        <w:trPr>
          <w:jc w:val="center"/>
        </w:trPr>
        <w:tc>
          <w:tcPr>
            <w:tcW w:w="4663" w:type="dxa"/>
          </w:tcPr>
          <w:p w14:paraId="584EA38F" w14:textId="77777777" w:rsidR="009E7E7A" w:rsidRPr="00FD7B0B" w:rsidRDefault="009E7E7A" w:rsidP="00BE64F6">
            <w:pPr>
              <w:ind w:firstLine="161"/>
              <w:rPr>
                <w:rFonts w:ascii="Times New Roman" w:hAnsi="Times New Roman"/>
                <w:i/>
              </w:rPr>
            </w:pPr>
            <w:r w:rsidRPr="00FD7B0B">
              <w:rPr>
                <w:rFonts w:ascii="Times New Roman" w:hAnsi="Times New Roman"/>
                <w:i/>
              </w:rPr>
              <w:t>женщины, число лет</w:t>
            </w:r>
          </w:p>
        </w:tc>
        <w:tc>
          <w:tcPr>
            <w:tcW w:w="992" w:type="dxa"/>
            <w:vAlign w:val="bottom"/>
          </w:tcPr>
          <w:p w14:paraId="2EF36E9D" w14:textId="77777777" w:rsidR="009E7E7A" w:rsidRPr="00FD7B0B" w:rsidRDefault="009E7E7A" w:rsidP="00BE64F6">
            <w:pPr>
              <w:jc w:val="right"/>
              <w:rPr>
                <w:rFonts w:ascii="Times New Roman" w:hAnsi="Times New Roman"/>
              </w:rPr>
            </w:pPr>
            <w:r w:rsidRPr="00FD7B0B">
              <w:rPr>
                <w:rFonts w:ascii="Times New Roman" w:hAnsi="Times New Roman"/>
              </w:rPr>
              <w:t>76,57</w:t>
            </w:r>
          </w:p>
        </w:tc>
        <w:tc>
          <w:tcPr>
            <w:tcW w:w="993" w:type="dxa"/>
            <w:vAlign w:val="bottom"/>
          </w:tcPr>
          <w:p w14:paraId="4BE73B13" w14:textId="77777777" w:rsidR="009E7E7A" w:rsidRPr="00FD7B0B" w:rsidRDefault="009E7E7A" w:rsidP="00BE64F6">
            <w:pPr>
              <w:jc w:val="right"/>
              <w:rPr>
                <w:rFonts w:ascii="Times New Roman" w:hAnsi="Times New Roman"/>
              </w:rPr>
            </w:pPr>
            <w:r w:rsidRPr="00FD7B0B">
              <w:rPr>
                <w:rFonts w:ascii="Times New Roman" w:hAnsi="Times New Roman"/>
              </w:rPr>
              <w:t>77,79</w:t>
            </w:r>
          </w:p>
        </w:tc>
        <w:tc>
          <w:tcPr>
            <w:tcW w:w="1002" w:type="dxa"/>
            <w:vAlign w:val="bottom"/>
          </w:tcPr>
          <w:p w14:paraId="00D23108" w14:textId="77777777" w:rsidR="009E7E7A" w:rsidRPr="00FD7B0B" w:rsidRDefault="009E7E7A" w:rsidP="00BE64F6">
            <w:pPr>
              <w:jc w:val="right"/>
              <w:rPr>
                <w:rFonts w:ascii="Times New Roman" w:hAnsi="Times New Roman"/>
              </w:rPr>
            </w:pPr>
            <w:r w:rsidRPr="00FD7B0B">
              <w:rPr>
                <w:rFonts w:ascii="Times New Roman" w:hAnsi="Times New Roman"/>
              </w:rPr>
              <w:t>77,15</w:t>
            </w:r>
          </w:p>
        </w:tc>
      </w:tr>
      <w:tr w:rsidR="009E7E7A" w:rsidRPr="00FD7B0B" w14:paraId="4BC01E21" w14:textId="77777777" w:rsidTr="009E7E7A">
        <w:trPr>
          <w:jc w:val="center"/>
        </w:trPr>
        <w:tc>
          <w:tcPr>
            <w:tcW w:w="4663" w:type="dxa"/>
            <w:vAlign w:val="bottom"/>
          </w:tcPr>
          <w:p w14:paraId="6098B2C0" w14:textId="77777777" w:rsidR="009E7E7A" w:rsidRPr="00FD7B0B" w:rsidRDefault="009E7E7A" w:rsidP="00BE64F6">
            <w:pPr>
              <w:rPr>
                <w:rFonts w:ascii="Times New Roman" w:hAnsi="Times New Roman"/>
              </w:rPr>
            </w:pPr>
            <w:r w:rsidRPr="00FD7B0B">
              <w:rPr>
                <w:rFonts w:ascii="Times New Roman" w:hAnsi="Times New Roman"/>
              </w:rPr>
              <w:t>отклонение числа лет женщин и мужчин (+,-)</w:t>
            </w:r>
          </w:p>
        </w:tc>
        <w:tc>
          <w:tcPr>
            <w:tcW w:w="992" w:type="dxa"/>
            <w:vAlign w:val="bottom"/>
          </w:tcPr>
          <w:p w14:paraId="6E851919" w14:textId="77777777" w:rsidR="009E7E7A" w:rsidRPr="00FD7B0B" w:rsidRDefault="009E7E7A" w:rsidP="00BE64F6">
            <w:pPr>
              <w:jc w:val="right"/>
              <w:rPr>
                <w:rFonts w:ascii="Times New Roman" w:hAnsi="Times New Roman"/>
              </w:rPr>
            </w:pPr>
            <w:r w:rsidRPr="00FD7B0B">
              <w:rPr>
                <w:rFonts w:ascii="Times New Roman" w:hAnsi="Times New Roman"/>
              </w:rPr>
              <w:t>+11,25</w:t>
            </w:r>
          </w:p>
        </w:tc>
        <w:tc>
          <w:tcPr>
            <w:tcW w:w="993" w:type="dxa"/>
            <w:vAlign w:val="bottom"/>
          </w:tcPr>
          <w:p w14:paraId="0320B57E" w14:textId="77777777" w:rsidR="009E7E7A" w:rsidRPr="00FD7B0B" w:rsidRDefault="009E7E7A" w:rsidP="00BE64F6">
            <w:pPr>
              <w:jc w:val="right"/>
              <w:rPr>
                <w:rFonts w:ascii="Times New Roman" w:hAnsi="Times New Roman"/>
              </w:rPr>
            </w:pPr>
            <w:r w:rsidRPr="00FD7B0B">
              <w:rPr>
                <w:rFonts w:ascii="Times New Roman" w:hAnsi="Times New Roman"/>
              </w:rPr>
              <w:t>+12,27</w:t>
            </w:r>
          </w:p>
        </w:tc>
        <w:tc>
          <w:tcPr>
            <w:tcW w:w="1002" w:type="dxa"/>
            <w:vAlign w:val="bottom"/>
          </w:tcPr>
          <w:p w14:paraId="18DF5B59" w14:textId="77777777" w:rsidR="009E7E7A" w:rsidRPr="00FD7B0B" w:rsidRDefault="009E7E7A" w:rsidP="00BE64F6">
            <w:pPr>
              <w:jc w:val="right"/>
              <w:rPr>
                <w:rFonts w:ascii="Times New Roman" w:hAnsi="Times New Roman"/>
              </w:rPr>
            </w:pPr>
            <w:r w:rsidRPr="00FD7B0B">
              <w:rPr>
                <w:rFonts w:ascii="Times New Roman" w:hAnsi="Times New Roman"/>
              </w:rPr>
              <w:t>+10,97</w:t>
            </w:r>
          </w:p>
        </w:tc>
      </w:tr>
    </w:tbl>
    <w:p w14:paraId="2450BCB2" w14:textId="77777777" w:rsidR="005A472F" w:rsidRPr="00FD7B0B" w:rsidRDefault="005A472F" w:rsidP="005A472F">
      <w:pPr>
        <w:spacing w:after="0" w:line="240" w:lineRule="auto"/>
      </w:pPr>
    </w:p>
    <w:p w14:paraId="4863B0EF" w14:textId="6E5CFE40" w:rsidR="005A472F" w:rsidRPr="00FD7B0B" w:rsidRDefault="005A472F" w:rsidP="005A472F">
      <w:pPr>
        <w:spacing w:after="0" w:line="240" w:lineRule="auto"/>
        <w:ind w:firstLine="709"/>
        <w:jc w:val="both"/>
        <w:rPr>
          <w:rFonts w:ascii="Times New Roman" w:hAnsi="Times New Roman"/>
          <w:sz w:val="28"/>
          <w:szCs w:val="28"/>
        </w:rPr>
      </w:pPr>
      <w:r w:rsidRPr="00FD7B0B">
        <w:rPr>
          <w:rFonts w:ascii="Times New Roman" w:hAnsi="Times New Roman"/>
          <w:sz w:val="28"/>
          <w:szCs w:val="28"/>
        </w:rPr>
        <w:t>Ожидаемая средняя продолжительность жизни при рождении (число лет) в Архангельской области (без НАО) по данным Архангельскстат</w:t>
      </w:r>
      <w:r w:rsidR="001060B9" w:rsidRPr="00FD7B0B">
        <w:rPr>
          <w:rFonts w:ascii="Times New Roman" w:hAnsi="Times New Roman"/>
          <w:sz w:val="28"/>
          <w:szCs w:val="28"/>
        </w:rPr>
        <w:t>а</w:t>
      </w:r>
      <w:r w:rsidRPr="00FD7B0B">
        <w:rPr>
          <w:rFonts w:ascii="Times New Roman" w:hAnsi="Times New Roman"/>
          <w:sz w:val="28"/>
          <w:szCs w:val="28"/>
        </w:rPr>
        <w:t xml:space="preserve"> в 2024 году составила 71,62 число лет, п</w:t>
      </w:r>
      <w:r w:rsidRPr="00FD7B0B">
        <w:rPr>
          <w:rFonts w:ascii="Times New Roman" w:hAnsi="Times New Roman" w:cs="Times New Roman"/>
          <w:sz w:val="28"/>
          <w:szCs w:val="28"/>
        </w:rPr>
        <w:t xml:space="preserve">ри этом разрыв между женщинами и мужчинами составляет </w:t>
      </w:r>
      <w:r w:rsidR="001060B9" w:rsidRPr="00FD7B0B">
        <w:rPr>
          <w:rFonts w:ascii="Times New Roman" w:hAnsi="Times New Roman" w:cs="Times New Roman"/>
          <w:sz w:val="28"/>
          <w:szCs w:val="28"/>
        </w:rPr>
        <w:t>почти</w:t>
      </w:r>
      <w:r w:rsidRPr="00FD7B0B">
        <w:rPr>
          <w:rFonts w:ascii="Times New Roman" w:hAnsi="Times New Roman" w:cs="Times New Roman"/>
          <w:sz w:val="28"/>
          <w:szCs w:val="28"/>
        </w:rPr>
        <w:t xml:space="preserve"> 1</w:t>
      </w:r>
      <w:r w:rsidR="001060B9" w:rsidRPr="00FD7B0B">
        <w:rPr>
          <w:rFonts w:ascii="Times New Roman" w:hAnsi="Times New Roman" w:cs="Times New Roman"/>
          <w:sz w:val="28"/>
          <w:szCs w:val="28"/>
        </w:rPr>
        <w:t>1</w:t>
      </w:r>
      <w:r w:rsidRPr="00FD7B0B">
        <w:rPr>
          <w:rFonts w:ascii="Times New Roman" w:hAnsi="Times New Roman" w:cs="Times New Roman"/>
          <w:sz w:val="28"/>
          <w:szCs w:val="28"/>
        </w:rPr>
        <w:t xml:space="preserve"> лет.</w:t>
      </w:r>
    </w:p>
    <w:p w14:paraId="3387AA79" w14:textId="5ECD0F94" w:rsidR="005A472F" w:rsidRPr="00FD7B0B" w:rsidRDefault="005A472F" w:rsidP="005A472F">
      <w:pPr>
        <w:autoSpaceDE w:val="0"/>
        <w:autoSpaceDN w:val="0"/>
        <w:adjustRightInd w:val="0"/>
        <w:spacing w:after="0" w:line="240" w:lineRule="auto"/>
        <w:ind w:firstLine="709"/>
        <w:jc w:val="both"/>
        <w:rPr>
          <w:rFonts w:ascii="Times New Roman" w:hAnsi="Times New Roman"/>
          <w:sz w:val="28"/>
          <w:szCs w:val="28"/>
          <w:lang w:eastAsia="ru-RU"/>
        </w:rPr>
      </w:pPr>
      <w:r w:rsidRPr="00FD7B0B">
        <w:rPr>
          <w:rFonts w:ascii="Times New Roman" w:hAnsi="Times New Roman"/>
          <w:sz w:val="28"/>
          <w:szCs w:val="28"/>
          <w:lang w:eastAsia="ru-RU"/>
        </w:rPr>
        <w:lastRenderedPageBreak/>
        <w:t xml:space="preserve">В соответствии с предварительной оценкой 2024 года, продолжительность жизни при рождении в Архангельской области </w:t>
      </w:r>
      <w:r w:rsidRPr="00FD7B0B">
        <w:rPr>
          <w:rFonts w:ascii="Times New Roman" w:hAnsi="Times New Roman"/>
          <w:sz w:val="28"/>
          <w:szCs w:val="28"/>
        </w:rPr>
        <w:t xml:space="preserve">(без НАО) </w:t>
      </w:r>
      <w:r w:rsidRPr="00FD7B0B">
        <w:rPr>
          <w:rFonts w:ascii="Times New Roman" w:hAnsi="Times New Roman"/>
          <w:sz w:val="28"/>
          <w:szCs w:val="28"/>
          <w:lang w:eastAsia="ru-RU"/>
        </w:rPr>
        <w:t>составляет 71,55 лет</w:t>
      </w:r>
      <w:r w:rsidRPr="00FD7B0B">
        <w:rPr>
          <w:rStyle w:val="afff1"/>
          <w:rFonts w:ascii="Times New Roman" w:hAnsi="Times New Roman"/>
          <w:sz w:val="28"/>
          <w:szCs w:val="28"/>
          <w:lang w:eastAsia="ru-RU"/>
        </w:rPr>
        <w:footnoteReference w:id="16"/>
      </w:r>
      <w:r w:rsidRPr="00FD7B0B">
        <w:rPr>
          <w:rFonts w:ascii="Times New Roman" w:hAnsi="Times New Roman"/>
          <w:sz w:val="28"/>
          <w:szCs w:val="28"/>
        </w:rPr>
        <w:t>,</w:t>
      </w:r>
      <w:r w:rsidRPr="00FD7B0B">
        <w:rPr>
          <w:rFonts w:ascii="Times New Roman" w:hAnsi="Times New Roman"/>
          <w:sz w:val="28"/>
          <w:szCs w:val="28"/>
          <w:lang w:eastAsia="ru-RU"/>
        </w:rPr>
        <w:t xml:space="preserve"> (прогнозный показатель на 2024 год по базовому варианту составлял 73,51 лет</w:t>
      </w:r>
      <w:r w:rsidRPr="00FD7B0B">
        <w:rPr>
          <w:rStyle w:val="afff1"/>
          <w:rFonts w:ascii="Times New Roman" w:hAnsi="Times New Roman"/>
          <w:sz w:val="28"/>
          <w:szCs w:val="28"/>
          <w:lang w:eastAsia="ru-RU"/>
        </w:rPr>
        <w:footnoteReference w:id="17"/>
      </w:r>
      <w:r w:rsidRPr="00FD7B0B">
        <w:rPr>
          <w:rFonts w:ascii="Times New Roman" w:hAnsi="Times New Roman"/>
          <w:sz w:val="28"/>
          <w:szCs w:val="28"/>
          <w:lang w:eastAsia="ru-RU"/>
        </w:rPr>
        <w:t>), что указывает на недостижение показателя «Ожидаемая продолжительность жизни при рождении» в 2024 году в Архангельской области (без НАО) на 1,96 лет</w:t>
      </w:r>
      <w:r w:rsidR="0010573E" w:rsidRPr="00FD7B0B">
        <w:rPr>
          <w:rFonts w:ascii="Times New Roman" w:hAnsi="Times New Roman"/>
          <w:sz w:val="28"/>
          <w:szCs w:val="28"/>
          <w:lang w:eastAsia="ru-RU"/>
        </w:rPr>
        <w:t xml:space="preserve"> (73,51 – 71,55)</w:t>
      </w:r>
      <w:r w:rsidRPr="00FD7B0B">
        <w:rPr>
          <w:rFonts w:ascii="Times New Roman" w:hAnsi="Times New Roman"/>
          <w:sz w:val="28"/>
          <w:szCs w:val="28"/>
          <w:lang w:eastAsia="ru-RU"/>
        </w:rPr>
        <w:t>.</w:t>
      </w:r>
    </w:p>
    <w:p w14:paraId="76A3C224" w14:textId="799AF27E"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Плановые и фактические показатели «Ожидаемая продолжительность жизни при рождении», установленные документами стратегического планирования Архангельской области, представлены в таблице </w:t>
      </w:r>
      <w:r w:rsidR="001607FB" w:rsidRPr="00FD7B0B">
        <w:rPr>
          <w:rFonts w:ascii="Times New Roman" w:hAnsi="Times New Roman"/>
          <w:sz w:val="28"/>
          <w:szCs w:val="28"/>
        </w:rPr>
        <w:t>26</w:t>
      </w:r>
      <w:r w:rsidRPr="00FD7B0B">
        <w:rPr>
          <w:rFonts w:ascii="Times New Roman" w:hAnsi="Times New Roman"/>
          <w:sz w:val="28"/>
          <w:szCs w:val="28"/>
        </w:rPr>
        <w:t>.</w:t>
      </w:r>
    </w:p>
    <w:p w14:paraId="035BC549" w14:textId="77777777" w:rsidR="005A472F" w:rsidRPr="00FD7B0B" w:rsidRDefault="005A472F" w:rsidP="005A472F">
      <w:pPr>
        <w:pStyle w:val="aff0"/>
        <w:spacing w:after="0" w:line="240" w:lineRule="auto"/>
        <w:rPr>
          <w:rFonts w:ascii="Times New Roman" w:hAnsi="Times New Roman"/>
          <w:b w:val="0"/>
          <w:sz w:val="22"/>
          <w:szCs w:val="22"/>
        </w:rPr>
      </w:pPr>
    </w:p>
    <w:p w14:paraId="72AC2BB4" w14:textId="1E173BE5"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w:t>
      </w:r>
      <w:r w:rsidRPr="00FD7B0B">
        <w:rPr>
          <w:rFonts w:ascii="Times New Roman" w:hAnsi="Times New Roman"/>
          <w:b w:val="0"/>
          <w:sz w:val="24"/>
          <w:szCs w:val="24"/>
        </w:rPr>
        <w:fldChar w:fldCharType="end"/>
      </w:r>
      <w:r w:rsidRPr="00FD7B0B">
        <w:rPr>
          <w:rFonts w:ascii="Times New Roman" w:hAnsi="Times New Roman"/>
          <w:b w:val="0"/>
          <w:sz w:val="24"/>
          <w:szCs w:val="24"/>
        </w:rPr>
        <w:t>. Целевой показатель «Ожидаемая продолжительность жизни при рождении» в 2023</w:t>
      </w:r>
      <w:r w:rsidR="00600996" w:rsidRPr="00FD7B0B">
        <w:rPr>
          <w:rFonts w:ascii="Times New Roman" w:hAnsi="Times New Roman"/>
          <w:b w:val="0"/>
          <w:sz w:val="24"/>
          <w:szCs w:val="24"/>
        </w:rPr>
        <w:t xml:space="preserve"> – </w:t>
      </w:r>
      <w:r w:rsidRPr="00FD7B0B">
        <w:rPr>
          <w:rFonts w:ascii="Times New Roman" w:hAnsi="Times New Roman"/>
          <w:b w:val="0"/>
          <w:sz w:val="24"/>
          <w:szCs w:val="24"/>
        </w:rPr>
        <w:t>2024 гг., число лет</w:t>
      </w:r>
    </w:p>
    <w:tbl>
      <w:tblPr>
        <w:tblStyle w:val="a7"/>
        <w:tblW w:w="9433"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395"/>
        <w:gridCol w:w="1134"/>
        <w:gridCol w:w="994"/>
        <w:gridCol w:w="1416"/>
        <w:gridCol w:w="1001"/>
        <w:gridCol w:w="1100"/>
        <w:gridCol w:w="1393"/>
      </w:tblGrid>
      <w:tr w:rsidR="00FD7B0B" w:rsidRPr="00FD7B0B" w14:paraId="262D632E" w14:textId="77777777" w:rsidTr="00BE64F6">
        <w:trPr>
          <w:tblHeader/>
          <w:jc w:val="center"/>
        </w:trPr>
        <w:tc>
          <w:tcPr>
            <w:tcW w:w="2395" w:type="dxa"/>
            <w:vMerge w:val="restart"/>
            <w:shd w:val="clear" w:color="auto" w:fill="auto"/>
            <w:vAlign w:val="center"/>
          </w:tcPr>
          <w:p w14:paraId="52157C58"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Целевой показатель</w:t>
            </w:r>
            <w:r w:rsidRPr="00FD7B0B">
              <w:t xml:space="preserve"> </w:t>
            </w:r>
          </w:p>
        </w:tc>
        <w:tc>
          <w:tcPr>
            <w:tcW w:w="7038" w:type="dxa"/>
            <w:gridSpan w:val="6"/>
            <w:shd w:val="clear" w:color="auto" w:fill="auto"/>
            <w:vAlign w:val="center"/>
          </w:tcPr>
          <w:p w14:paraId="1D5021CC"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п.6 «Ожидаемая продолжительность жизни при рождении», число лет</w:t>
            </w:r>
          </w:p>
        </w:tc>
      </w:tr>
      <w:tr w:rsidR="00FD7B0B" w:rsidRPr="00FD7B0B" w14:paraId="721FFAAB" w14:textId="77777777" w:rsidTr="00BE64F6">
        <w:trPr>
          <w:tblHeader/>
          <w:jc w:val="center"/>
        </w:trPr>
        <w:tc>
          <w:tcPr>
            <w:tcW w:w="2395" w:type="dxa"/>
            <w:vMerge/>
            <w:shd w:val="clear" w:color="auto" w:fill="auto"/>
            <w:vAlign w:val="center"/>
          </w:tcPr>
          <w:p w14:paraId="3642ADE8" w14:textId="77777777" w:rsidR="005A472F" w:rsidRPr="00FD7B0B" w:rsidRDefault="005A472F" w:rsidP="00BE64F6">
            <w:pPr>
              <w:pStyle w:val="ad"/>
              <w:ind w:left="-123" w:right="-108"/>
              <w:jc w:val="center"/>
              <w:rPr>
                <w:rFonts w:ascii="Times New Roman" w:hAnsi="Times New Roman"/>
              </w:rPr>
            </w:pPr>
          </w:p>
        </w:tc>
        <w:tc>
          <w:tcPr>
            <w:tcW w:w="3544" w:type="dxa"/>
            <w:gridSpan w:val="3"/>
            <w:shd w:val="clear" w:color="auto" w:fill="auto"/>
            <w:vAlign w:val="center"/>
          </w:tcPr>
          <w:p w14:paraId="37168116" w14:textId="77777777" w:rsidR="005A472F" w:rsidRPr="00FD7B0B" w:rsidRDefault="005A472F" w:rsidP="00BE64F6">
            <w:pPr>
              <w:pStyle w:val="ad"/>
              <w:ind w:left="-123" w:right="-108"/>
              <w:jc w:val="center"/>
              <w:rPr>
                <w:rFonts w:ascii="Times New Roman" w:hAnsi="Times New Roman"/>
                <w:b/>
              </w:rPr>
            </w:pPr>
            <w:r w:rsidRPr="00FD7B0B">
              <w:rPr>
                <w:rFonts w:ascii="Times New Roman" w:hAnsi="Times New Roman"/>
                <w:b/>
              </w:rPr>
              <w:t>2023 год</w:t>
            </w:r>
          </w:p>
        </w:tc>
        <w:tc>
          <w:tcPr>
            <w:tcW w:w="3494" w:type="dxa"/>
            <w:gridSpan w:val="3"/>
            <w:shd w:val="clear" w:color="auto" w:fill="auto"/>
            <w:vAlign w:val="center"/>
          </w:tcPr>
          <w:p w14:paraId="756300BB" w14:textId="77777777" w:rsidR="005A472F" w:rsidRPr="00FD7B0B" w:rsidRDefault="005A472F" w:rsidP="00BE64F6">
            <w:pPr>
              <w:pStyle w:val="ad"/>
              <w:ind w:left="-123" w:right="-108"/>
              <w:jc w:val="center"/>
              <w:rPr>
                <w:rFonts w:ascii="Times New Roman" w:hAnsi="Times New Roman"/>
                <w:b/>
              </w:rPr>
            </w:pPr>
            <w:r w:rsidRPr="00FD7B0B">
              <w:rPr>
                <w:rFonts w:ascii="Times New Roman" w:hAnsi="Times New Roman"/>
                <w:b/>
              </w:rPr>
              <w:t>2024 год</w:t>
            </w:r>
          </w:p>
        </w:tc>
      </w:tr>
      <w:tr w:rsidR="00FD7B0B" w:rsidRPr="00FD7B0B" w14:paraId="1C7A1E34" w14:textId="77777777" w:rsidTr="00BE64F6">
        <w:trPr>
          <w:tblHeader/>
          <w:jc w:val="center"/>
        </w:trPr>
        <w:tc>
          <w:tcPr>
            <w:tcW w:w="2395" w:type="dxa"/>
            <w:vMerge/>
            <w:shd w:val="clear" w:color="auto" w:fill="auto"/>
            <w:vAlign w:val="center"/>
          </w:tcPr>
          <w:p w14:paraId="4FE07253" w14:textId="77777777" w:rsidR="005A472F" w:rsidRPr="00FD7B0B" w:rsidRDefault="005A472F" w:rsidP="00BE64F6">
            <w:pPr>
              <w:pStyle w:val="ad"/>
              <w:ind w:left="-123" w:right="-108"/>
              <w:jc w:val="center"/>
              <w:rPr>
                <w:rFonts w:ascii="Times New Roman" w:hAnsi="Times New Roman"/>
              </w:rPr>
            </w:pPr>
          </w:p>
        </w:tc>
        <w:tc>
          <w:tcPr>
            <w:tcW w:w="1134" w:type="dxa"/>
            <w:shd w:val="clear" w:color="auto" w:fill="auto"/>
            <w:vAlign w:val="center"/>
          </w:tcPr>
          <w:p w14:paraId="708EABE5"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 xml:space="preserve">План </w:t>
            </w:r>
          </w:p>
          <w:p w14:paraId="2C6576EA"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год</w:t>
            </w:r>
          </w:p>
        </w:tc>
        <w:tc>
          <w:tcPr>
            <w:tcW w:w="994" w:type="dxa"/>
            <w:shd w:val="clear" w:color="auto" w:fill="auto"/>
            <w:vAlign w:val="center"/>
          </w:tcPr>
          <w:p w14:paraId="4B8FB943"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Факт (отчет ГП)</w:t>
            </w:r>
          </w:p>
        </w:tc>
        <w:tc>
          <w:tcPr>
            <w:tcW w:w="1416" w:type="dxa"/>
            <w:shd w:val="clear" w:color="auto" w:fill="auto"/>
          </w:tcPr>
          <w:p w14:paraId="63C31967"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Степень достижения показателя, %</w:t>
            </w:r>
          </w:p>
        </w:tc>
        <w:tc>
          <w:tcPr>
            <w:tcW w:w="1001" w:type="dxa"/>
            <w:vAlign w:val="center"/>
          </w:tcPr>
          <w:p w14:paraId="4EB26AFF"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 xml:space="preserve">План </w:t>
            </w:r>
          </w:p>
          <w:p w14:paraId="2DBF85AA"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год</w:t>
            </w:r>
          </w:p>
        </w:tc>
        <w:tc>
          <w:tcPr>
            <w:tcW w:w="1100" w:type="dxa"/>
            <w:vAlign w:val="center"/>
          </w:tcPr>
          <w:p w14:paraId="27779A1C"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 xml:space="preserve">Факт </w:t>
            </w:r>
          </w:p>
          <w:p w14:paraId="325FE55C"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(отчет ГП)</w:t>
            </w:r>
          </w:p>
        </w:tc>
        <w:tc>
          <w:tcPr>
            <w:tcW w:w="1393" w:type="dxa"/>
          </w:tcPr>
          <w:p w14:paraId="23EED550"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Степень достижения показателя, %</w:t>
            </w:r>
          </w:p>
        </w:tc>
      </w:tr>
      <w:tr w:rsidR="00FD7B0B" w:rsidRPr="00FD7B0B" w14:paraId="437953B9" w14:textId="77777777" w:rsidTr="00BE64F6">
        <w:trPr>
          <w:jc w:val="center"/>
        </w:trPr>
        <w:tc>
          <w:tcPr>
            <w:tcW w:w="2395" w:type="dxa"/>
            <w:vMerge w:val="restart"/>
            <w:shd w:val="clear" w:color="auto" w:fill="auto"/>
            <w:vAlign w:val="center"/>
          </w:tcPr>
          <w:p w14:paraId="13E576F4"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ГП Архангельской области «Развитие здравоохранения в Архангельской области» № 462-пп</w:t>
            </w:r>
            <w:r w:rsidRPr="00FD7B0B">
              <w:rPr>
                <w:rStyle w:val="afff1"/>
                <w:rFonts w:ascii="Times New Roman" w:hAnsi="Times New Roman"/>
              </w:rPr>
              <w:footnoteReference w:id="18"/>
            </w:r>
          </w:p>
        </w:tc>
        <w:tc>
          <w:tcPr>
            <w:tcW w:w="3544" w:type="dxa"/>
            <w:gridSpan w:val="3"/>
            <w:shd w:val="clear" w:color="auto" w:fill="auto"/>
            <w:vAlign w:val="center"/>
          </w:tcPr>
          <w:p w14:paraId="65111BBF"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в ред. постановления от 28.12.2023 № 1382-пп)</w:t>
            </w:r>
          </w:p>
        </w:tc>
        <w:tc>
          <w:tcPr>
            <w:tcW w:w="3494" w:type="dxa"/>
            <w:gridSpan w:val="3"/>
            <w:vAlign w:val="center"/>
          </w:tcPr>
          <w:p w14:paraId="5C625590"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в ред. постановления от 26.12.2024 № 1216-пп)</w:t>
            </w:r>
          </w:p>
        </w:tc>
      </w:tr>
      <w:tr w:rsidR="00FD7B0B" w:rsidRPr="00FD7B0B" w14:paraId="4A710CFD" w14:textId="77777777" w:rsidTr="00BE64F6">
        <w:trPr>
          <w:trHeight w:val="260"/>
          <w:jc w:val="center"/>
        </w:trPr>
        <w:tc>
          <w:tcPr>
            <w:tcW w:w="2395" w:type="dxa"/>
            <w:vMerge/>
            <w:shd w:val="clear" w:color="auto" w:fill="auto"/>
            <w:vAlign w:val="center"/>
          </w:tcPr>
          <w:p w14:paraId="208DB4F4" w14:textId="77777777" w:rsidR="005A472F" w:rsidRPr="00FD7B0B" w:rsidRDefault="005A472F" w:rsidP="00BE64F6">
            <w:pPr>
              <w:pStyle w:val="ad"/>
              <w:ind w:left="-123" w:right="-108"/>
              <w:rPr>
                <w:rFonts w:ascii="Times New Roman" w:hAnsi="Times New Roman"/>
              </w:rPr>
            </w:pPr>
          </w:p>
        </w:tc>
        <w:tc>
          <w:tcPr>
            <w:tcW w:w="1134" w:type="dxa"/>
            <w:shd w:val="clear" w:color="auto" w:fill="auto"/>
            <w:vAlign w:val="bottom"/>
          </w:tcPr>
          <w:p w14:paraId="7763B8D3"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72,97</w:t>
            </w:r>
          </w:p>
        </w:tc>
        <w:tc>
          <w:tcPr>
            <w:tcW w:w="994" w:type="dxa"/>
            <w:shd w:val="clear" w:color="auto" w:fill="auto"/>
            <w:vAlign w:val="bottom"/>
          </w:tcPr>
          <w:p w14:paraId="47B65BBB"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71,60</w:t>
            </w:r>
          </w:p>
        </w:tc>
        <w:tc>
          <w:tcPr>
            <w:tcW w:w="1416" w:type="dxa"/>
            <w:shd w:val="clear" w:color="auto" w:fill="auto"/>
            <w:vAlign w:val="bottom"/>
          </w:tcPr>
          <w:p w14:paraId="39E9F01F"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98,10</w:t>
            </w:r>
          </w:p>
        </w:tc>
        <w:tc>
          <w:tcPr>
            <w:tcW w:w="1001" w:type="dxa"/>
            <w:vAlign w:val="bottom"/>
          </w:tcPr>
          <w:p w14:paraId="5EADB146"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73,51</w:t>
            </w:r>
          </w:p>
        </w:tc>
        <w:tc>
          <w:tcPr>
            <w:tcW w:w="1100" w:type="dxa"/>
            <w:vAlign w:val="bottom"/>
          </w:tcPr>
          <w:p w14:paraId="4876A65E" w14:textId="77777777" w:rsidR="005A472F" w:rsidRPr="00FD7B0B" w:rsidRDefault="005A472F" w:rsidP="00BE64F6">
            <w:pPr>
              <w:pStyle w:val="ad"/>
              <w:ind w:left="-123"/>
              <w:jc w:val="center"/>
              <w:rPr>
                <w:rFonts w:ascii="Times New Roman" w:hAnsi="Times New Roman"/>
              </w:rPr>
            </w:pPr>
            <w:r w:rsidRPr="00FD7B0B">
              <w:rPr>
                <w:rFonts w:ascii="Times New Roman" w:hAnsi="Times New Roman"/>
              </w:rPr>
              <w:t>71,26</w:t>
            </w:r>
            <w:r w:rsidRPr="00FD7B0B">
              <w:rPr>
                <w:rStyle w:val="afff1"/>
                <w:rFonts w:ascii="Times New Roman" w:hAnsi="Times New Roman"/>
              </w:rPr>
              <w:footnoteReference w:id="19"/>
            </w:r>
          </w:p>
        </w:tc>
        <w:tc>
          <w:tcPr>
            <w:tcW w:w="1393" w:type="dxa"/>
            <w:vAlign w:val="bottom"/>
          </w:tcPr>
          <w:p w14:paraId="0AD9391F"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х</w:t>
            </w:r>
          </w:p>
        </w:tc>
      </w:tr>
      <w:tr w:rsidR="00FD7B0B" w:rsidRPr="00FD7B0B" w14:paraId="0F7C931C" w14:textId="77777777" w:rsidTr="0010573E">
        <w:trPr>
          <w:trHeight w:val="68"/>
          <w:jc w:val="center"/>
        </w:trPr>
        <w:tc>
          <w:tcPr>
            <w:tcW w:w="2395" w:type="dxa"/>
            <w:vMerge w:val="restart"/>
            <w:shd w:val="clear" w:color="auto" w:fill="auto"/>
            <w:vAlign w:val="center"/>
          </w:tcPr>
          <w:p w14:paraId="6E0C1E9F"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Прогноз СЭР на 2024 год по базовому варианту (от 11.10.2023 №796-рп)</w:t>
            </w:r>
          </w:p>
        </w:tc>
        <w:tc>
          <w:tcPr>
            <w:tcW w:w="1134" w:type="dxa"/>
            <w:vMerge w:val="restart"/>
            <w:shd w:val="clear" w:color="auto" w:fill="auto"/>
            <w:vAlign w:val="bottom"/>
          </w:tcPr>
          <w:p w14:paraId="61FFBC5C"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74,28</w:t>
            </w:r>
          </w:p>
        </w:tc>
        <w:tc>
          <w:tcPr>
            <w:tcW w:w="994" w:type="dxa"/>
            <w:vMerge w:val="restart"/>
            <w:shd w:val="clear" w:color="auto" w:fill="auto"/>
            <w:vAlign w:val="bottom"/>
          </w:tcPr>
          <w:p w14:paraId="2AEA0657"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71,54</w:t>
            </w:r>
          </w:p>
        </w:tc>
        <w:tc>
          <w:tcPr>
            <w:tcW w:w="1416" w:type="dxa"/>
            <w:vMerge w:val="restart"/>
            <w:shd w:val="clear" w:color="auto" w:fill="auto"/>
            <w:vAlign w:val="bottom"/>
          </w:tcPr>
          <w:p w14:paraId="6F02072D"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96,31</w:t>
            </w:r>
          </w:p>
        </w:tc>
        <w:tc>
          <w:tcPr>
            <w:tcW w:w="1001" w:type="dxa"/>
            <w:vMerge w:val="restart"/>
            <w:vAlign w:val="bottom"/>
          </w:tcPr>
          <w:p w14:paraId="3BDA45CE"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73,51</w:t>
            </w:r>
          </w:p>
        </w:tc>
        <w:tc>
          <w:tcPr>
            <w:tcW w:w="1100" w:type="dxa"/>
            <w:vAlign w:val="bottom"/>
          </w:tcPr>
          <w:p w14:paraId="3FB4BE70" w14:textId="77777777" w:rsidR="005A472F" w:rsidRPr="00FD7B0B" w:rsidRDefault="005A472F" w:rsidP="00BE64F6">
            <w:pPr>
              <w:pStyle w:val="ad"/>
              <w:ind w:left="-123"/>
              <w:jc w:val="center"/>
              <w:rPr>
                <w:rFonts w:ascii="Times New Roman" w:hAnsi="Times New Roman"/>
              </w:rPr>
            </w:pPr>
            <w:r w:rsidRPr="00FD7B0B">
              <w:rPr>
                <w:rFonts w:ascii="Times New Roman" w:hAnsi="Times New Roman"/>
              </w:rPr>
              <w:t>оценка</w:t>
            </w:r>
          </w:p>
        </w:tc>
        <w:tc>
          <w:tcPr>
            <w:tcW w:w="1393" w:type="dxa"/>
            <w:vAlign w:val="bottom"/>
          </w:tcPr>
          <w:p w14:paraId="13FA96EC" w14:textId="77777777" w:rsidR="005A472F" w:rsidRPr="00FD7B0B" w:rsidRDefault="005A472F" w:rsidP="00BE64F6">
            <w:pPr>
              <w:pStyle w:val="ad"/>
              <w:ind w:left="-123"/>
              <w:jc w:val="center"/>
              <w:rPr>
                <w:rFonts w:ascii="Times New Roman" w:hAnsi="Times New Roman"/>
              </w:rPr>
            </w:pPr>
            <w:r w:rsidRPr="00FD7B0B">
              <w:rPr>
                <w:rFonts w:ascii="Times New Roman" w:hAnsi="Times New Roman"/>
              </w:rPr>
              <w:t>факт</w:t>
            </w:r>
          </w:p>
        </w:tc>
      </w:tr>
      <w:tr w:rsidR="00FD7B0B" w:rsidRPr="00FD7B0B" w14:paraId="0ADDF2BF" w14:textId="77777777" w:rsidTr="00BE64F6">
        <w:trPr>
          <w:trHeight w:val="406"/>
          <w:jc w:val="center"/>
        </w:trPr>
        <w:tc>
          <w:tcPr>
            <w:tcW w:w="2395" w:type="dxa"/>
            <w:vMerge/>
            <w:shd w:val="clear" w:color="auto" w:fill="auto"/>
            <w:vAlign w:val="center"/>
          </w:tcPr>
          <w:p w14:paraId="39245591" w14:textId="77777777" w:rsidR="005A472F" w:rsidRPr="00FD7B0B" w:rsidRDefault="005A472F" w:rsidP="00BE64F6">
            <w:pPr>
              <w:pStyle w:val="ad"/>
              <w:ind w:left="-123" w:right="-108"/>
              <w:jc w:val="center"/>
              <w:rPr>
                <w:rFonts w:ascii="Times New Roman" w:hAnsi="Times New Roman"/>
              </w:rPr>
            </w:pPr>
          </w:p>
        </w:tc>
        <w:tc>
          <w:tcPr>
            <w:tcW w:w="1134" w:type="dxa"/>
            <w:vMerge/>
            <w:shd w:val="clear" w:color="auto" w:fill="auto"/>
            <w:vAlign w:val="bottom"/>
          </w:tcPr>
          <w:p w14:paraId="41F35E96" w14:textId="77777777" w:rsidR="005A472F" w:rsidRPr="00FD7B0B" w:rsidRDefault="005A472F" w:rsidP="00BE64F6">
            <w:pPr>
              <w:pStyle w:val="ad"/>
              <w:ind w:left="-123"/>
              <w:jc w:val="right"/>
              <w:rPr>
                <w:rFonts w:ascii="Times New Roman" w:hAnsi="Times New Roman"/>
              </w:rPr>
            </w:pPr>
          </w:p>
        </w:tc>
        <w:tc>
          <w:tcPr>
            <w:tcW w:w="994" w:type="dxa"/>
            <w:vMerge/>
            <w:shd w:val="clear" w:color="auto" w:fill="auto"/>
            <w:vAlign w:val="bottom"/>
          </w:tcPr>
          <w:p w14:paraId="30808233" w14:textId="77777777" w:rsidR="005A472F" w:rsidRPr="00FD7B0B" w:rsidRDefault="005A472F" w:rsidP="00BE64F6">
            <w:pPr>
              <w:pStyle w:val="ad"/>
              <w:ind w:left="-123"/>
              <w:jc w:val="right"/>
              <w:rPr>
                <w:rFonts w:ascii="Times New Roman" w:hAnsi="Times New Roman"/>
              </w:rPr>
            </w:pPr>
          </w:p>
        </w:tc>
        <w:tc>
          <w:tcPr>
            <w:tcW w:w="1416" w:type="dxa"/>
            <w:vMerge/>
            <w:shd w:val="clear" w:color="auto" w:fill="auto"/>
            <w:vAlign w:val="bottom"/>
          </w:tcPr>
          <w:p w14:paraId="4D0FB2F9" w14:textId="77777777" w:rsidR="005A472F" w:rsidRPr="00FD7B0B" w:rsidRDefault="005A472F" w:rsidP="00BE64F6">
            <w:pPr>
              <w:pStyle w:val="ad"/>
              <w:ind w:left="-123"/>
              <w:jc w:val="right"/>
              <w:rPr>
                <w:rFonts w:ascii="Times New Roman" w:hAnsi="Times New Roman"/>
              </w:rPr>
            </w:pPr>
          </w:p>
        </w:tc>
        <w:tc>
          <w:tcPr>
            <w:tcW w:w="1001" w:type="dxa"/>
            <w:vMerge/>
            <w:vAlign w:val="bottom"/>
          </w:tcPr>
          <w:p w14:paraId="6E51C921" w14:textId="77777777" w:rsidR="005A472F" w:rsidRPr="00FD7B0B" w:rsidRDefault="005A472F" w:rsidP="00BE64F6">
            <w:pPr>
              <w:pStyle w:val="ad"/>
              <w:ind w:left="-123"/>
              <w:jc w:val="right"/>
              <w:rPr>
                <w:rFonts w:ascii="Times New Roman" w:hAnsi="Times New Roman"/>
              </w:rPr>
            </w:pPr>
          </w:p>
        </w:tc>
        <w:tc>
          <w:tcPr>
            <w:tcW w:w="1100" w:type="dxa"/>
            <w:vAlign w:val="bottom"/>
          </w:tcPr>
          <w:p w14:paraId="529DEC8D"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71,55</w:t>
            </w:r>
          </w:p>
        </w:tc>
        <w:tc>
          <w:tcPr>
            <w:tcW w:w="1393" w:type="dxa"/>
            <w:vAlign w:val="bottom"/>
          </w:tcPr>
          <w:p w14:paraId="0F88B6EA"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данные не опубликованы</w:t>
            </w:r>
          </w:p>
        </w:tc>
      </w:tr>
      <w:tr w:rsidR="005A472F" w:rsidRPr="00FD7B0B" w14:paraId="73562459" w14:textId="77777777" w:rsidTr="00BE64F6">
        <w:trPr>
          <w:jc w:val="center"/>
        </w:trPr>
        <w:tc>
          <w:tcPr>
            <w:tcW w:w="2395" w:type="dxa"/>
            <w:shd w:val="clear" w:color="auto" w:fill="auto"/>
            <w:vAlign w:val="center"/>
          </w:tcPr>
          <w:p w14:paraId="7FB644A7"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Приложение № 2 «Прогноз ключевых показателей для мониторинга реализации Стратегии 2035»</w:t>
            </w:r>
            <w:r w:rsidRPr="00FD7B0B">
              <w:rPr>
                <w:rStyle w:val="afff1"/>
                <w:rFonts w:ascii="Times New Roman" w:hAnsi="Times New Roman"/>
              </w:rPr>
              <w:footnoteReference w:id="20"/>
            </w:r>
          </w:p>
        </w:tc>
        <w:tc>
          <w:tcPr>
            <w:tcW w:w="1134" w:type="dxa"/>
            <w:shd w:val="clear" w:color="auto" w:fill="auto"/>
            <w:vAlign w:val="bottom"/>
          </w:tcPr>
          <w:p w14:paraId="0E74AE83"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74,28</w:t>
            </w:r>
          </w:p>
        </w:tc>
        <w:tc>
          <w:tcPr>
            <w:tcW w:w="994" w:type="dxa"/>
            <w:shd w:val="clear" w:color="auto" w:fill="auto"/>
            <w:vAlign w:val="bottom"/>
          </w:tcPr>
          <w:p w14:paraId="2D57842C"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71,60</w:t>
            </w:r>
          </w:p>
        </w:tc>
        <w:tc>
          <w:tcPr>
            <w:tcW w:w="1416" w:type="dxa"/>
            <w:shd w:val="clear" w:color="auto" w:fill="auto"/>
            <w:vAlign w:val="bottom"/>
          </w:tcPr>
          <w:p w14:paraId="117668C0"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96,39</w:t>
            </w:r>
          </w:p>
        </w:tc>
        <w:tc>
          <w:tcPr>
            <w:tcW w:w="1001" w:type="dxa"/>
            <w:vAlign w:val="bottom"/>
          </w:tcPr>
          <w:p w14:paraId="069D3C49"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74,67</w:t>
            </w:r>
          </w:p>
        </w:tc>
        <w:tc>
          <w:tcPr>
            <w:tcW w:w="1100" w:type="dxa"/>
            <w:vAlign w:val="bottom"/>
          </w:tcPr>
          <w:p w14:paraId="591E6847"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71,26</w:t>
            </w:r>
          </w:p>
        </w:tc>
        <w:tc>
          <w:tcPr>
            <w:tcW w:w="1393" w:type="dxa"/>
            <w:vAlign w:val="bottom"/>
          </w:tcPr>
          <w:p w14:paraId="7E9348A0" w14:textId="77777777" w:rsidR="005A472F" w:rsidRPr="00FD7B0B" w:rsidRDefault="005A472F" w:rsidP="00BE64F6">
            <w:pPr>
              <w:pStyle w:val="ad"/>
              <w:ind w:left="-123"/>
              <w:jc w:val="right"/>
              <w:rPr>
                <w:rFonts w:ascii="Times New Roman" w:hAnsi="Times New Roman"/>
              </w:rPr>
            </w:pPr>
            <w:r w:rsidRPr="00FD7B0B">
              <w:rPr>
                <w:rFonts w:ascii="Times New Roman" w:hAnsi="Times New Roman"/>
              </w:rPr>
              <w:t>х</w:t>
            </w:r>
          </w:p>
        </w:tc>
      </w:tr>
    </w:tbl>
    <w:p w14:paraId="4ABD5ED8" w14:textId="77777777" w:rsidR="005A472F" w:rsidRPr="00FD7B0B" w:rsidRDefault="005A472F" w:rsidP="005A472F">
      <w:pPr>
        <w:autoSpaceDE w:val="0"/>
        <w:autoSpaceDN w:val="0"/>
        <w:adjustRightInd w:val="0"/>
        <w:spacing w:after="0" w:line="240" w:lineRule="auto"/>
        <w:ind w:firstLine="709"/>
        <w:jc w:val="both"/>
        <w:rPr>
          <w:rFonts w:ascii="Times New Roman" w:hAnsi="Times New Roman"/>
          <w:sz w:val="28"/>
          <w:szCs w:val="28"/>
        </w:rPr>
      </w:pPr>
    </w:p>
    <w:p w14:paraId="5DEC6FB1" w14:textId="07D85A40" w:rsidR="005A472F" w:rsidRPr="00FD7B0B" w:rsidRDefault="005A472F" w:rsidP="005A472F">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Показатель «Ожидаемая средняя продолжительность жизни при рождении» (число лет) в Архангельской области (без НАО) на 2024 год – 73,51 лет, предусмотренный ГП 462-пп (в ред. от 26.12.2024), больше соответствующего показателя, рассчитанного Архангельскстат на 2024 год – 71,62 число лет, показатели которого в соответствии Порядком расчета и источники информации о значениях целевых показателей государственной программы являются источником информации для госпрограмм, на 1,89 лет и меньше на 1,16 лет соответствующего показателя, предусмотренного Приложением № 2 к Стратегии 2035 (составляет – 74,67 лет), что указывает на несоответствие целевого показателя, используемого при планировании ГП № 462-пп на 2024 год, показателю Стратегии 2035, статистическим данным, что является нарушением п.п. 3 п. 12 П</w:t>
      </w:r>
      <w:r w:rsidRPr="00FD7B0B">
        <w:rPr>
          <w:rFonts w:ascii="Times New Roman" w:hAnsi="Times New Roman" w:cs="Times New Roman"/>
          <w:sz w:val="28"/>
          <w:szCs w:val="28"/>
        </w:rPr>
        <w:t>оложения о системе управления государственными программами Архангельской области</w:t>
      </w:r>
      <w:r w:rsidRPr="00FD7B0B">
        <w:rPr>
          <w:rFonts w:ascii="Times New Roman" w:hAnsi="Times New Roman"/>
          <w:sz w:val="28"/>
          <w:szCs w:val="28"/>
        </w:rPr>
        <w:t xml:space="preserve">, утвержденного </w:t>
      </w:r>
      <w:r w:rsidRPr="00FD7B0B">
        <w:rPr>
          <w:rFonts w:ascii="Times New Roman" w:hAnsi="Times New Roman"/>
          <w:sz w:val="28"/>
          <w:szCs w:val="28"/>
        </w:rPr>
        <w:lastRenderedPageBreak/>
        <w:t>постановлением Правительства Архангельской области от 28.08.2023 № 793-пп (далее – Порядок № 793-пп), так как государственные программы разрабатываются в соответствии с приоритетами социально-экономического развития, определенными стратегией социально-экономического развития Архангельской области с учетом отраслевых документов стратегического планирования Российской Федерации и стратегий социально-экономического развития макрорегионов, на период, определяемый постановлением Правительства Архангельской области.</w:t>
      </w:r>
      <w:r w:rsidRPr="00FD7B0B">
        <w:rPr>
          <w:rStyle w:val="afff1"/>
          <w:rFonts w:ascii="Times New Roman" w:hAnsi="Times New Roman"/>
          <w:sz w:val="28"/>
          <w:szCs w:val="28"/>
        </w:rPr>
        <w:footnoteReference w:id="21"/>
      </w:r>
    </w:p>
    <w:p w14:paraId="5285B05E" w14:textId="341977B0"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Согласно Отчету о выполнении ГП 462-пп </w:t>
      </w:r>
      <w:r w:rsidR="0064734A" w:rsidRPr="00FD7B0B">
        <w:rPr>
          <w:rFonts w:ascii="Times New Roman" w:hAnsi="Times New Roman"/>
          <w:sz w:val="28"/>
          <w:szCs w:val="28"/>
        </w:rPr>
        <w:t xml:space="preserve">за 2024 год, </w:t>
      </w:r>
      <w:r w:rsidRPr="00FD7B0B">
        <w:rPr>
          <w:rFonts w:ascii="Times New Roman" w:hAnsi="Times New Roman"/>
          <w:sz w:val="28"/>
          <w:szCs w:val="28"/>
        </w:rPr>
        <w:t xml:space="preserve">фактический показатель «Ожидаемая продолжительность жизни при рождении» составил 71,26 лет за 11 месяцев, что не позволяет объективно оценить степень достижения (%) данного показателя за год. Однако, по состоянию на 01.12.2024 год недостижение плановых и фактических назначений целевого показателя составляет 2,25 лет. </w:t>
      </w:r>
    </w:p>
    <w:p w14:paraId="6DCBE288" w14:textId="77777777" w:rsidR="005A472F" w:rsidRPr="00FD7B0B" w:rsidRDefault="005A472F" w:rsidP="005A472F">
      <w:pPr>
        <w:pStyle w:val="ad"/>
        <w:ind w:firstLine="709"/>
        <w:jc w:val="both"/>
        <w:rPr>
          <w:rFonts w:ascii="Times New Roman" w:hAnsi="Times New Roman"/>
          <w:sz w:val="28"/>
          <w:szCs w:val="28"/>
        </w:rPr>
      </w:pPr>
    </w:p>
    <w:p w14:paraId="41BE7A2F" w14:textId="5CE25648"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Перечнем целевых показателей ГП № 464-пп</w:t>
      </w:r>
      <w:r w:rsidRPr="00FD7B0B">
        <w:rPr>
          <w:rStyle w:val="afff1"/>
          <w:rFonts w:ascii="Times New Roman" w:hAnsi="Times New Roman"/>
          <w:sz w:val="28"/>
          <w:szCs w:val="28"/>
        </w:rPr>
        <w:footnoteReference w:id="22"/>
      </w:r>
      <w:r w:rsidRPr="00FD7B0B">
        <w:rPr>
          <w:rFonts w:ascii="Times New Roman" w:hAnsi="Times New Roman"/>
          <w:sz w:val="28"/>
          <w:szCs w:val="28"/>
        </w:rPr>
        <w:t xml:space="preserve"> целевой показатель «Численность населения субъекта Российской Федерации» (человек) не предусмотрен на 2024 год и последующие годы, при этом в предыдущих редакциях (ред. от 06.12.2023 и ранее) данный целевой показатель предусматривался на указанный период, что представлено в таблице </w:t>
      </w:r>
      <w:r w:rsidR="00C44208" w:rsidRPr="00FD7B0B">
        <w:rPr>
          <w:rFonts w:ascii="Times New Roman" w:hAnsi="Times New Roman"/>
          <w:sz w:val="28"/>
          <w:szCs w:val="28"/>
        </w:rPr>
        <w:t>27</w:t>
      </w:r>
      <w:r w:rsidR="00C71184" w:rsidRPr="00FD7B0B">
        <w:rPr>
          <w:rFonts w:ascii="Times New Roman" w:hAnsi="Times New Roman"/>
          <w:sz w:val="28"/>
          <w:szCs w:val="28"/>
        </w:rPr>
        <w:t>.</w:t>
      </w:r>
    </w:p>
    <w:p w14:paraId="436243CD" w14:textId="77777777" w:rsidR="005A472F" w:rsidRPr="00FD7B0B" w:rsidRDefault="005A472F" w:rsidP="005A472F">
      <w:pPr>
        <w:pStyle w:val="aff0"/>
        <w:spacing w:after="0" w:line="240" w:lineRule="auto"/>
        <w:rPr>
          <w:rFonts w:ascii="Times New Roman" w:hAnsi="Times New Roman"/>
          <w:b w:val="0"/>
          <w:sz w:val="22"/>
          <w:szCs w:val="22"/>
        </w:rPr>
      </w:pPr>
    </w:p>
    <w:p w14:paraId="2BCFEA70" w14:textId="0166E88C" w:rsidR="005A472F" w:rsidRPr="00FD7B0B" w:rsidRDefault="005A472F" w:rsidP="005A47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27</w:t>
      </w:r>
      <w:r w:rsidRPr="00FD7B0B">
        <w:rPr>
          <w:rFonts w:ascii="Times New Roman" w:hAnsi="Times New Roman"/>
          <w:b w:val="0"/>
          <w:sz w:val="24"/>
          <w:szCs w:val="24"/>
        </w:rPr>
        <w:fldChar w:fldCharType="end"/>
      </w:r>
      <w:r w:rsidRPr="00FD7B0B">
        <w:rPr>
          <w:rFonts w:ascii="Times New Roman" w:hAnsi="Times New Roman"/>
          <w:b w:val="0"/>
          <w:sz w:val="24"/>
          <w:szCs w:val="24"/>
        </w:rPr>
        <w:t>. Информация о целевом показателе «Численность населения субъекта Российской Федерации», предусмотренного ГП № 464</w:t>
      </w:r>
      <w:r w:rsidRPr="00FD7B0B">
        <w:rPr>
          <w:rFonts w:ascii="Times New Roman" w:hAnsi="Times New Roman"/>
          <w:b w:val="0"/>
          <w:sz w:val="24"/>
          <w:szCs w:val="24"/>
        </w:rPr>
        <w:noBreakHyphen/>
        <w:t>пп, в 2023</w:t>
      </w:r>
      <w:r w:rsidR="00C44208" w:rsidRPr="00FD7B0B">
        <w:rPr>
          <w:rFonts w:ascii="Times New Roman" w:hAnsi="Times New Roman"/>
          <w:b w:val="0"/>
          <w:sz w:val="24"/>
          <w:szCs w:val="24"/>
        </w:rPr>
        <w:t xml:space="preserve"> – </w:t>
      </w:r>
      <w:r w:rsidRPr="00FD7B0B">
        <w:rPr>
          <w:rFonts w:ascii="Times New Roman" w:hAnsi="Times New Roman"/>
          <w:b w:val="0"/>
          <w:sz w:val="24"/>
          <w:szCs w:val="24"/>
        </w:rPr>
        <w:t>2024 годах</w:t>
      </w:r>
    </w:p>
    <w:tbl>
      <w:tblPr>
        <w:tblStyle w:val="a7"/>
        <w:tblW w:w="10049"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820"/>
        <w:gridCol w:w="992"/>
        <w:gridCol w:w="1134"/>
        <w:gridCol w:w="1039"/>
        <w:gridCol w:w="946"/>
        <w:gridCol w:w="1135"/>
        <w:gridCol w:w="991"/>
        <w:gridCol w:w="992"/>
      </w:tblGrid>
      <w:tr w:rsidR="00FD7B0B" w:rsidRPr="00FD7B0B" w14:paraId="2EE4B710" w14:textId="77777777" w:rsidTr="00BE64F6">
        <w:trPr>
          <w:tblHeader/>
          <w:jc w:val="center"/>
        </w:trPr>
        <w:tc>
          <w:tcPr>
            <w:tcW w:w="2820" w:type="dxa"/>
            <w:shd w:val="clear" w:color="auto" w:fill="auto"/>
            <w:vAlign w:val="center"/>
          </w:tcPr>
          <w:p w14:paraId="626191CB"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Целевой показатель</w:t>
            </w:r>
            <w:r w:rsidRPr="00FD7B0B">
              <w:t xml:space="preserve"> </w:t>
            </w:r>
          </w:p>
        </w:tc>
        <w:tc>
          <w:tcPr>
            <w:tcW w:w="992" w:type="dxa"/>
            <w:shd w:val="clear" w:color="auto" w:fill="auto"/>
            <w:vAlign w:val="center"/>
          </w:tcPr>
          <w:p w14:paraId="5423010C"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 xml:space="preserve">План </w:t>
            </w:r>
          </w:p>
          <w:p w14:paraId="5DEBFD34"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 xml:space="preserve">2023 год </w:t>
            </w:r>
          </w:p>
        </w:tc>
        <w:tc>
          <w:tcPr>
            <w:tcW w:w="1134" w:type="dxa"/>
            <w:vAlign w:val="center"/>
          </w:tcPr>
          <w:p w14:paraId="415D978C"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 xml:space="preserve">План </w:t>
            </w:r>
          </w:p>
          <w:p w14:paraId="3E8B9FAA"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2024/2025 годы</w:t>
            </w:r>
          </w:p>
        </w:tc>
        <w:tc>
          <w:tcPr>
            <w:tcW w:w="1039" w:type="dxa"/>
            <w:shd w:val="clear" w:color="auto" w:fill="auto"/>
            <w:vAlign w:val="center"/>
          </w:tcPr>
          <w:p w14:paraId="0D791361"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Факт</w:t>
            </w:r>
          </w:p>
          <w:p w14:paraId="78E922D0"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2023 год</w:t>
            </w:r>
          </w:p>
          <w:p w14:paraId="22E976B5"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w:t>
            </w:r>
            <w:r w:rsidRPr="00FD7B0B">
              <w:rPr>
                <w:rFonts w:ascii="Times New Roman" w:hAnsi="Times New Roman"/>
                <w:i/>
              </w:rPr>
              <w:t>среднегодовое</w:t>
            </w:r>
            <w:r w:rsidRPr="00FD7B0B">
              <w:rPr>
                <w:rFonts w:ascii="Times New Roman" w:hAnsi="Times New Roman"/>
              </w:rPr>
              <w:t>)</w:t>
            </w:r>
          </w:p>
        </w:tc>
        <w:tc>
          <w:tcPr>
            <w:tcW w:w="946" w:type="dxa"/>
            <w:shd w:val="clear" w:color="auto" w:fill="auto"/>
            <w:vAlign w:val="center"/>
          </w:tcPr>
          <w:p w14:paraId="717BBC04" w14:textId="77777777" w:rsidR="005A472F" w:rsidRPr="00FD7B0B" w:rsidRDefault="005A472F" w:rsidP="00BE64F6">
            <w:pPr>
              <w:pStyle w:val="ad"/>
              <w:ind w:left="-108" w:right="-108"/>
              <w:jc w:val="center"/>
              <w:rPr>
                <w:rFonts w:ascii="Times New Roman" w:hAnsi="Times New Roman"/>
              </w:rPr>
            </w:pPr>
            <w:r w:rsidRPr="00FD7B0B">
              <w:rPr>
                <w:rFonts w:ascii="Times New Roman" w:hAnsi="Times New Roman"/>
              </w:rPr>
              <w:t>Степень достижения в 2023 году, %</w:t>
            </w:r>
          </w:p>
        </w:tc>
        <w:tc>
          <w:tcPr>
            <w:tcW w:w="1135" w:type="dxa"/>
            <w:shd w:val="clear" w:color="auto" w:fill="auto"/>
            <w:vAlign w:val="center"/>
          </w:tcPr>
          <w:p w14:paraId="32E8E37C"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 xml:space="preserve">План </w:t>
            </w:r>
          </w:p>
          <w:p w14:paraId="2B6BD39B"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 xml:space="preserve">2024 год </w:t>
            </w:r>
          </w:p>
        </w:tc>
        <w:tc>
          <w:tcPr>
            <w:tcW w:w="991" w:type="dxa"/>
            <w:shd w:val="clear" w:color="auto" w:fill="auto"/>
            <w:vAlign w:val="center"/>
          </w:tcPr>
          <w:p w14:paraId="62A1A6B1"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 xml:space="preserve">Факт </w:t>
            </w:r>
          </w:p>
          <w:p w14:paraId="6E84B5C8"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2024 год</w:t>
            </w:r>
          </w:p>
          <w:p w14:paraId="743E9F8E"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w:t>
            </w:r>
            <w:r w:rsidRPr="00FD7B0B">
              <w:rPr>
                <w:rFonts w:ascii="Times New Roman" w:hAnsi="Times New Roman"/>
                <w:i/>
              </w:rPr>
              <w:t>среднегодовое</w:t>
            </w:r>
            <w:r w:rsidRPr="00FD7B0B">
              <w:rPr>
                <w:rFonts w:ascii="Times New Roman" w:hAnsi="Times New Roman"/>
              </w:rPr>
              <w:t xml:space="preserve">) </w:t>
            </w:r>
          </w:p>
        </w:tc>
        <w:tc>
          <w:tcPr>
            <w:tcW w:w="992" w:type="dxa"/>
            <w:vAlign w:val="center"/>
          </w:tcPr>
          <w:p w14:paraId="217C0BFD"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Степень достижения в 2024 году, %</w:t>
            </w:r>
          </w:p>
        </w:tc>
      </w:tr>
      <w:tr w:rsidR="00FD7B0B" w:rsidRPr="00FD7B0B" w14:paraId="4B83D4C5" w14:textId="77777777" w:rsidTr="00BE64F6">
        <w:trPr>
          <w:trHeight w:val="664"/>
          <w:jc w:val="center"/>
        </w:trPr>
        <w:tc>
          <w:tcPr>
            <w:tcW w:w="2820" w:type="dxa"/>
            <w:shd w:val="clear" w:color="auto" w:fill="auto"/>
            <w:vAlign w:val="center"/>
          </w:tcPr>
          <w:p w14:paraId="174FA599"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ГП № 464-пп</w:t>
            </w:r>
          </w:p>
        </w:tc>
        <w:tc>
          <w:tcPr>
            <w:tcW w:w="2126" w:type="dxa"/>
            <w:gridSpan w:val="2"/>
            <w:shd w:val="clear" w:color="auto" w:fill="auto"/>
            <w:vAlign w:val="center"/>
          </w:tcPr>
          <w:p w14:paraId="6590AEAE"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в ред. от 06.12.2023 № 1204-пп</w:t>
            </w:r>
          </w:p>
        </w:tc>
        <w:tc>
          <w:tcPr>
            <w:tcW w:w="1985" w:type="dxa"/>
            <w:gridSpan w:val="2"/>
            <w:shd w:val="clear" w:color="auto" w:fill="auto"/>
            <w:vAlign w:val="center"/>
          </w:tcPr>
          <w:p w14:paraId="7A8A29B7"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Архангельскстат</w:t>
            </w:r>
          </w:p>
        </w:tc>
        <w:tc>
          <w:tcPr>
            <w:tcW w:w="1135" w:type="dxa"/>
            <w:shd w:val="clear" w:color="auto" w:fill="auto"/>
            <w:vAlign w:val="center"/>
          </w:tcPr>
          <w:p w14:paraId="216F4FE3"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в ред. от 27.12.2024 № 1262-пп</w:t>
            </w:r>
          </w:p>
        </w:tc>
        <w:tc>
          <w:tcPr>
            <w:tcW w:w="1983" w:type="dxa"/>
            <w:gridSpan w:val="2"/>
            <w:shd w:val="clear" w:color="auto" w:fill="auto"/>
            <w:vAlign w:val="center"/>
          </w:tcPr>
          <w:p w14:paraId="46587B6D" w14:textId="77777777" w:rsidR="005A472F" w:rsidRPr="00FD7B0B" w:rsidRDefault="005A472F" w:rsidP="00BE64F6">
            <w:pPr>
              <w:pStyle w:val="ad"/>
              <w:ind w:left="-123" w:right="-108"/>
              <w:jc w:val="center"/>
              <w:rPr>
                <w:rFonts w:ascii="Times New Roman" w:hAnsi="Times New Roman"/>
              </w:rPr>
            </w:pPr>
            <w:r w:rsidRPr="00FD7B0B">
              <w:rPr>
                <w:rFonts w:ascii="Times New Roman" w:hAnsi="Times New Roman"/>
              </w:rPr>
              <w:t>Архангельскстат</w:t>
            </w:r>
          </w:p>
        </w:tc>
      </w:tr>
      <w:tr w:rsidR="00FD7B0B" w:rsidRPr="00FD7B0B" w14:paraId="1AA547E9" w14:textId="77777777" w:rsidTr="00BE64F6">
        <w:trPr>
          <w:jc w:val="center"/>
        </w:trPr>
        <w:tc>
          <w:tcPr>
            <w:tcW w:w="2820" w:type="dxa"/>
            <w:shd w:val="clear" w:color="auto" w:fill="auto"/>
            <w:vAlign w:val="bottom"/>
          </w:tcPr>
          <w:p w14:paraId="1B86710C" w14:textId="77777777" w:rsidR="005A472F" w:rsidRPr="00FD7B0B" w:rsidRDefault="005A472F" w:rsidP="00BE64F6">
            <w:pPr>
              <w:pStyle w:val="ad"/>
              <w:rPr>
                <w:rFonts w:ascii="Times New Roman" w:hAnsi="Times New Roman"/>
              </w:rPr>
            </w:pPr>
            <w:r w:rsidRPr="00FD7B0B">
              <w:rPr>
                <w:rFonts w:ascii="Times New Roman" w:hAnsi="Times New Roman"/>
              </w:rPr>
              <w:t>«Численность населения субъекта Российской Федерации», тыс.чел.</w:t>
            </w:r>
          </w:p>
        </w:tc>
        <w:tc>
          <w:tcPr>
            <w:tcW w:w="992" w:type="dxa"/>
            <w:shd w:val="clear" w:color="auto" w:fill="auto"/>
            <w:vAlign w:val="bottom"/>
          </w:tcPr>
          <w:p w14:paraId="0FAB86EB" w14:textId="77777777" w:rsidR="005A472F" w:rsidRPr="00FD7B0B" w:rsidRDefault="005A472F" w:rsidP="00BE64F6">
            <w:pPr>
              <w:pStyle w:val="ad"/>
              <w:jc w:val="right"/>
              <w:rPr>
                <w:rFonts w:ascii="Times New Roman" w:hAnsi="Times New Roman"/>
              </w:rPr>
            </w:pPr>
            <w:r w:rsidRPr="00FD7B0B">
              <w:rPr>
                <w:rFonts w:ascii="Times New Roman" w:hAnsi="Times New Roman"/>
              </w:rPr>
              <w:t xml:space="preserve">1 046,9 </w:t>
            </w:r>
          </w:p>
        </w:tc>
        <w:tc>
          <w:tcPr>
            <w:tcW w:w="1134" w:type="dxa"/>
            <w:vAlign w:val="bottom"/>
          </w:tcPr>
          <w:p w14:paraId="4263A9A2" w14:textId="77777777" w:rsidR="005A472F" w:rsidRPr="00FD7B0B" w:rsidRDefault="005A472F" w:rsidP="00BE64F6">
            <w:pPr>
              <w:pStyle w:val="ad"/>
              <w:ind w:left="-109"/>
              <w:jc w:val="right"/>
              <w:rPr>
                <w:rFonts w:ascii="Times New Roman" w:hAnsi="Times New Roman"/>
              </w:rPr>
            </w:pPr>
            <w:r w:rsidRPr="00FD7B0B">
              <w:rPr>
                <w:rFonts w:ascii="Times New Roman" w:hAnsi="Times New Roman"/>
              </w:rPr>
              <w:t>по 1 036,6 ежегодно</w:t>
            </w:r>
          </w:p>
        </w:tc>
        <w:tc>
          <w:tcPr>
            <w:tcW w:w="1039" w:type="dxa"/>
            <w:vMerge w:val="restart"/>
            <w:shd w:val="clear" w:color="auto" w:fill="auto"/>
            <w:vAlign w:val="center"/>
          </w:tcPr>
          <w:p w14:paraId="046F718A" w14:textId="77777777" w:rsidR="005A472F" w:rsidRPr="00FD7B0B" w:rsidRDefault="005A472F" w:rsidP="00BE64F6">
            <w:pPr>
              <w:pStyle w:val="ad"/>
              <w:jc w:val="right"/>
              <w:rPr>
                <w:rFonts w:ascii="Times New Roman" w:hAnsi="Times New Roman"/>
              </w:rPr>
            </w:pPr>
            <w:r w:rsidRPr="00FD7B0B">
              <w:rPr>
                <w:rFonts w:ascii="Times New Roman" w:hAnsi="Times New Roman"/>
              </w:rPr>
              <w:t>960,0</w:t>
            </w:r>
          </w:p>
        </w:tc>
        <w:tc>
          <w:tcPr>
            <w:tcW w:w="946" w:type="dxa"/>
            <w:shd w:val="clear" w:color="auto" w:fill="auto"/>
            <w:vAlign w:val="bottom"/>
          </w:tcPr>
          <w:p w14:paraId="42636BC3" w14:textId="77777777" w:rsidR="005A472F" w:rsidRPr="00FD7B0B" w:rsidRDefault="005A472F" w:rsidP="00BE64F6">
            <w:pPr>
              <w:pStyle w:val="ad"/>
              <w:jc w:val="right"/>
              <w:rPr>
                <w:rFonts w:ascii="Times New Roman" w:hAnsi="Times New Roman"/>
              </w:rPr>
            </w:pPr>
            <w:r w:rsidRPr="00FD7B0B">
              <w:rPr>
                <w:rFonts w:ascii="Times New Roman" w:hAnsi="Times New Roman"/>
              </w:rPr>
              <w:t>91,7</w:t>
            </w:r>
          </w:p>
        </w:tc>
        <w:tc>
          <w:tcPr>
            <w:tcW w:w="1135" w:type="dxa"/>
            <w:shd w:val="clear" w:color="auto" w:fill="auto"/>
            <w:vAlign w:val="bottom"/>
          </w:tcPr>
          <w:p w14:paraId="7B29ED41" w14:textId="77777777" w:rsidR="005A472F" w:rsidRPr="00FD7B0B" w:rsidRDefault="005A472F" w:rsidP="00BE64F6">
            <w:pPr>
              <w:pStyle w:val="ad"/>
              <w:ind w:left="-108"/>
              <w:jc w:val="center"/>
              <w:rPr>
                <w:rFonts w:ascii="Times New Roman" w:hAnsi="Times New Roman"/>
              </w:rPr>
            </w:pPr>
            <w:r w:rsidRPr="00FD7B0B">
              <w:rPr>
                <w:rFonts w:ascii="Times New Roman" w:hAnsi="Times New Roman"/>
              </w:rPr>
              <w:t>нет целевого показателя</w:t>
            </w:r>
          </w:p>
        </w:tc>
        <w:tc>
          <w:tcPr>
            <w:tcW w:w="991" w:type="dxa"/>
            <w:vMerge w:val="restart"/>
            <w:shd w:val="clear" w:color="auto" w:fill="auto"/>
            <w:vAlign w:val="center"/>
          </w:tcPr>
          <w:p w14:paraId="127FD984" w14:textId="77777777" w:rsidR="005A472F" w:rsidRPr="00FD7B0B" w:rsidRDefault="005A472F" w:rsidP="00BE64F6">
            <w:pPr>
              <w:pStyle w:val="ad"/>
              <w:jc w:val="right"/>
              <w:rPr>
                <w:rFonts w:ascii="Times New Roman" w:hAnsi="Times New Roman"/>
              </w:rPr>
            </w:pPr>
            <w:r w:rsidRPr="00FD7B0B">
              <w:rPr>
                <w:rFonts w:ascii="Times New Roman" w:hAnsi="Times New Roman"/>
              </w:rPr>
              <w:t>951,69</w:t>
            </w:r>
          </w:p>
        </w:tc>
        <w:tc>
          <w:tcPr>
            <w:tcW w:w="992" w:type="dxa"/>
            <w:vAlign w:val="bottom"/>
          </w:tcPr>
          <w:p w14:paraId="4DC85D04" w14:textId="77777777" w:rsidR="005A472F" w:rsidRPr="00FD7B0B" w:rsidRDefault="005A472F" w:rsidP="00BE64F6">
            <w:pPr>
              <w:pStyle w:val="ad"/>
              <w:ind w:left="-16" w:right="34"/>
              <w:jc w:val="right"/>
              <w:rPr>
                <w:rFonts w:ascii="Times New Roman" w:hAnsi="Times New Roman"/>
              </w:rPr>
            </w:pPr>
            <w:r w:rsidRPr="00FD7B0B">
              <w:rPr>
                <w:rFonts w:ascii="Times New Roman" w:hAnsi="Times New Roman"/>
              </w:rPr>
              <w:t>х</w:t>
            </w:r>
          </w:p>
        </w:tc>
      </w:tr>
      <w:tr w:rsidR="005A472F" w:rsidRPr="00FD7B0B" w14:paraId="4D8D5DE4" w14:textId="77777777" w:rsidTr="00BE64F6">
        <w:trPr>
          <w:jc w:val="center"/>
        </w:trPr>
        <w:tc>
          <w:tcPr>
            <w:tcW w:w="2820" w:type="dxa"/>
            <w:shd w:val="clear" w:color="auto" w:fill="auto"/>
            <w:vAlign w:val="bottom"/>
          </w:tcPr>
          <w:p w14:paraId="51C466DF" w14:textId="77777777" w:rsidR="005A472F" w:rsidRPr="00FD7B0B" w:rsidRDefault="005A472F" w:rsidP="00BE64F6">
            <w:pPr>
              <w:pStyle w:val="ad"/>
              <w:rPr>
                <w:rFonts w:ascii="Times New Roman" w:hAnsi="Times New Roman"/>
              </w:rPr>
            </w:pPr>
            <w:r w:rsidRPr="00FD7B0B">
              <w:rPr>
                <w:rFonts w:ascii="Times New Roman" w:hAnsi="Times New Roman"/>
              </w:rPr>
              <w:t>Приложение № 2 «Прогноз ключевых показателей для мониторинга реализации Стратегии 2035»</w:t>
            </w:r>
          </w:p>
        </w:tc>
        <w:tc>
          <w:tcPr>
            <w:tcW w:w="992" w:type="dxa"/>
            <w:shd w:val="clear" w:color="auto" w:fill="auto"/>
            <w:vAlign w:val="bottom"/>
          </w:tcPr>
          <w:p w14:paraId="76AB5FCF" w14:textId="77777777" w:rsidR="005A472F" w:rsidRPr="00FD7B0B" w:rsidRDefault="005A472F" w:rsidP="00BE64F6">
            <w:pPr>
              <w:pStyle w:val="ad"/>
              <w:jc w:val="right"/>
              <w:rPr>
                <w:rFonts w:ascii="Times New Roman" w:hAnsi="Times New Roman"/>
              </w:rPr>
            </w:pPr>
            <w:r w:rsidRPr="00FD7B0B">
              <w:rPr>
                <w:rFonts w:ascii="Times New Roman" w:hAnsi="Times New Roman"/>
              </w:rPr>
              <w:t>1 062,4</w:t>
            </w:r>
          </w:p>
        </w:tc>
        <w:tc>
          <w:tcPr>
            <w:tcW w:w="1134" w:type="dxa"/>
            <w:vAlign w:val="bottom"/>
          </w:tcPr>
          <w:p w14:paraId="2787907F" w14:textId="77777777" w:rsidR="005A472F" w:rsidRPr="00FD7B0B" w:rsidRDefault="005A472F" w:rsidP="00BE64F6">
            <w:pPr>
              <w:pStyle w:val="ad"/>
              <w:jc w:val="right"/>
              <w:rPr>
                <w:rFonts w:ascii="Times New Roman" w:hAnsi="Times New Roman"/>
              </w:rPr>
            </w:pPr>
            <w:r w:rsidRPr="00FD7B0B">
              <w:rPr>
                <w:rFonts w:ascii="Times New Roman" w:hAnsi="Times New Roman"/>
              </w:rPr>
              <w:t>1 056,85/1 051,83</w:t>
            </w:r>
          </w:p>
        </w:tc>
        <w:tc>
          <w:tcPr>
            <w:tcW w:w="1039" w:type="dxa"/>
            <w:vMerge/>
            <w:shd w:val="clear" w:color="auto" w:fill="auto"/>
            <w:vAlign w:val="bottom"/>
          </w:tcPr>
          <w:p w14:paraId="16BF1B33" w14:textId="77777777" w:rsidR="005A472F" w:rsidRPr="00FD7B0B" w:rsidRDefault="005A472F" w:rsidP="00BE64F6">
            <w:pPr>
              <w:pStyle w:val="ad"/>
              <w:jc w:val="right"/>
              <w:rPr>
                <w:rFonts w:ascii="Times New Roman" w:hAnsi="Times New Roman"/>
              </w:rPr>
            </w:pPr>
          </w:p>
        </w:tc>
        <w:tc>
          <w:tcPr>
            <w:tcW w:w="946" w:type="dxa"/>
            <w:shd w:val="clear" w:color="auto" w:fill="auto"/>
            <w:vAlign w:val="bottom"/>
          </w:tcPr>
          <w:p w14:paraId="3C833CCF" w14:textId="77777777" w:rsidR="005A472F" w:rsidRPr="00FD7B0B" w:rsidRDefault="005A472F" w:rsidP="00BE64F6">
            <w:pPr>
              <w:pStyle w:val="ad"/>
              <w:jc w:val="right"/>
              <w:rPr>
                <w:rFonts w:ascii="Times New Roman" w:hAnsi="Times New Roman"/>
              </w:rPr>
            </w:pPr>
            <w:r w:rsidRPr="00FD7B0B">
              <w:rPr>
                <w:rFonts w:ascii="Times New Roman" w:hAnsi="Times New Roman"/>
              </w:rPr>
              <w:t>90,4</w:t>
            </w:r>
          </w:p>
        </w:tc>
        <w:tc>
          <w:tcPr>
            <w:tcW w:w="1135" w:type="dxa"/>
            <w:shd w:val="clear" w:color="auto" w:fill="auto"/>
            <w:vAlign w:val="bottom"/>
          </w:tcPr>
          <w:p w14:paraId="11C09D68" w14:textId="77777777" w:rsidR="005A472F" w:rsidRPr="00FD7B0B" w:rsidRDefault="005A472F" w:rsidP="00BE64F6">
            <w:pPr>
              <w:pStyle w:val="ad"/>
              <w:jc w:val="center"/>
              <w:rPr>
                <w:rFonts w:ascii="Times New Roman" w:hAnsi="Times New Roman"/>
              </w:rPr>
            </w:pPr>
            <w:r w:rsidRPr="00FD7B0B">
              <w:rPr>
                <w:rFonts w:ascii="Times New Roman" w:hAnsi="Times New Roman"/>
              </w:rPr>
              <w:t>1 056,85</w:t>
            </w:r>
          </w:p>
        </w:tc>
        <w:tc>
          <w:tcPr>
            <w:tcW w:w="991" w:type="dxa"/>
            <w:vMerge/>
            <w:shd w:val="clear" w:color="auto" w:fill="auto"/>
            <w:vAlign w:val="bottom"/>
          </w:tcPr>
          <w:p w14:paraId="256347D8" w14:textId="77777777" w:rsidR="005A472F" w:rsidRPr="00FD7B0B" w:rsidRDefault="005A472F" w:rsidP="00BE64F6">
            <w:pPr>
              <w:pStyle w:val="ad"/>
              <w:jc w:val="right"/>
              <w:rPr>
                <w:rFonts w:ascii="Times New Roman" w:hAnsi="Times New Roman"/>
              </w:rPr>
            </w:pPr>
          </w:p>
        </w:tc>
        <w:tc>
          <w:tcPr>
            <w:tcW w:w="992" w:type="dxa"/>
            <w:vAlign w:val="bottom"/>
          </w:tcPr>
          <w:p w14:paraId="6CC7F19F" w14:textId="77777777" w:rsidR="005A472F" w:rsidRPr="00FD7B0B" w:rsidRDefault="005A472F" w:rsidP="00BE64F6">
            <w:pPr>
              <w:pStyle w:val="ad"/>
              <w:jc w:val="right"/>
              <w:rPr>
                <w:rFonts w:ascii="Times New Roman" w:hAnsi="Times New Roman"/>
              </w:rPr>
            </w:pPr>
            <w:r w:rsidRPr="00FD7B0B">
              <w:rPr>
                <w:rFonts w:ascii="Times New Roman" w:hAnsi="Times New Roman"/>
              </w:rPr>
              <w:t>90,0</w:t>
            </w:r>
          </w:p>
        </w:tc>
      </w:tr>
    </w:tbl>
    <w:p w14:paraId="4357DADB" w14:textId="77777777" w:rsidR="005A472F" w:rsidRPr="00FD7B0B" w:rsidRDefault="005A472F" w:rsidP="005A472F">
      <w:pPr>
        <w:pStyle w:val="ad"/>
        <w:ind w:firstLine="709"/>
        <w:jc w:val="both"/>
        <w:rPr>
          <w:rFonts w:ascii="Times New Roman" w:hAnsi="Times New Roman"/>
        </w:rPr>
      </w:pPr>
    </w:p>
    <w:p w14:paraId="1C73D409" w14:textId="7FD68BBD" w:rsidR="005A472F" w:rsidRPr="00FD7B0B" w:rsidRDefault="005A472F" w:rsidP="005A472F">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При исключении целевых показателей из государственной программы (документ стратегического планирования) следует учитывать необходимость корректировки её целей и задач, так как количество показателей формируется исходя из принципов необходимости и достаточности для достижения целей и решения задач программы в увязке с национальными целями развития Российской Федерации на период до 2030 года и на перспективу до 2036 года (Указ Президента РФ от 07.05.2024 № 309 – «Сохранение населения, укрепление </w:t>
      </w:r>
      <w:r w:rsidRPr="00FD7B0B">
        <w:rPr>
          <w:rFonts w:ascii="Times New Roman" w:hAnsi="Times New Roman"/>
          <w:sz w:val="28"/>
          <w:szCs w:val="28"/>
        </w:rPr>
        <w:lastRenderedPageBreak/>
        <w:t>здоровья и повышение благополучия людей, поддержка семьи»</w:t>
      </w:r>
      <w:r w:rsidRPr="00FD7B0B">
        <w:rPr>
          <w:rFonts w:ascii="Times New Roman" w:hAnsi="Times New Roman" w:cs="Times New Roman"/>
          <w:sz w:val="28"/>
          <w:szCs w:val="28"/>
        </w:rPr>
        <w:t>)</w:t>
      </w:r>
      <w:r w:rsidRPr="00FD7B0B">
        <w:rPr>
          <w:rFonts w:ascii="Times New Roman" w:hAnsi="Times New Roman"/>
          <w:sz w:val="28"/>
          <w:szCs w:val="28"/>
        </w:rPr>
        <w:t xml:space="preserve">, приоритетами и целями социально-экономического развития Архангельской области в соответствующей сфере, а также о принятии соответствующих решений, что предусмотрено п. 50 </w:t>
      </w:r>
      <w:r w:rsidR="00300B1C" w:rsidRPr="00FD7B0B">
        <w:rPr>
          <w:rFonts w:ascii="Times New Roman" w:hAnsi="Times New Roman"/>
          <w:sz w:val="28"/>
          <w:szCs w:val="28"/>
        </w:rPr>
        <w:t>Порядка № 793-пп</w:t>
      </w:r>
      <w:r w:rsidRPr="00FD7B0B">
        <w:rPr>
          <w:rFonts w:ascii="Times New Roman" w:hAnsi="Times New Roman"/>
          <w:sz w:val="28"/>
          <w:szCs w:val="28"/>
        </w:rPr>
        <w:t>.</w:t>
      </w:r>
    </w:p>
    <w:p w14:paraId="229A13E5"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В Стратегии 2035 снижение численности населения обозначено как один из ключевых вызовов развития Архангельской области, а в Приложении № 2 «Прогноз ключевых показателей </w:t>
      </w:r>
      <w:r w:rsidRPr="00FD7B0B">
        <w:rPr>
          <w:rFonts w:ascii="Times New Roman" w:hAnsi="Times New Roman"/>
          <w:sz w:val="28"/>
          <w:szCs w:val="28"/>
          <w:u w:val="single"/>
        </w:rPr>
        <w:t>для мониторинга реализации Стратегии 2035</w:t>
      </w:r>
      <w:r w:rsidRPr="00FD7B0B">
        <w:rPr>
          <w:rFonts w:ascii="Times New Roman" w:hAnsi="Times New Roman"/>
          <w:sz w:val="28"/>
          <w:szCs w:val="28"/>
        </w:rPr>
        <w:t>» в части данного показателя обозначены ожидаемые результаты реализации стратегии по годам, в том числе на 2024 год и до 2035 года.</w:t>
      </w:r>
    </w:p>
    <w:p w14:paraId="0BF9FBA1" w14:textId="46A32005"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настоящее время в регионе установлена негативная «Демографическая ситуация»</w:t>
      </w:r>
      <w:r w:rsidRPr="00FD7B0B">
        <w:rPr>
          <w:rStyle w:val="afff1"/>
          <w:rFonts w:ascii="Times New Roman" w:hAnsi="Times New Roman"/>
          <w:sz w:val="28"/>
          <w:szCs w:val="28"/>
        </w:rPr>
        <w:footnoteReference w:id="23"/>
      </w:r>
      <w:r w:rsidRPr="00FD7B0B">
        <w:rPr>
          <w:rFonts w:ascii="Times New Roman" w:hAnsi="Times New Roman"/>
          <w:sz w:val="28"/>
          <w:szCs w:val="28"/>
        </w:rPr>
        <w:t xml:space="preserve"> на фоне увеличения смертности, отрицательной динамики рождаемости, миграционной подвижности и тенденции их изменения. По данным Архангельскстат</w:t>
      </w:r>
      <w:r w:rsidR="00302098" w:rsidRPr="00FD7B0B">
        <w:rPr>
          <w:rFonts w:ascii="Times New Roman" w:hAnsi="Times New Roman"/>
          <w:sz w:val="28"/>
          <w:szCs w:val="28"/>
        </w:rPr>
        <w:t>а</w:t>
      </w:r>
      <w:r w:rsidRPr="00FD7B0B">
        <w:rPr>
          <w:rFonts w:ascii="Times New Roman" w:hAnsi="Times New Roman"/>
          <w:sz w:val="28"/>
          <w:szCs w:val="28"/>
        </w:rPr>
        <w:t xml:space="preserve"> установлено ежегодное снижении численности постоянного населения Архангельской области к численности предыдущего года: на 01.01.2025 численность составляет 947,5 тыс.чел. и снижение составило на 0,9</w:t>
      </w:r>
      <w:r w:rsidR="00BF053A" w:rsidRPr="00FD7B0B">
        <w:rPr>
          <w:rFonts w:ascii="Times New Roman" w:hAnsi="Times New Roman"/>
          <w:sz w:val="28"/>
          <w:szCs w:val="28"/>
        </w:rPr>
        <w:t xml:space="preserve"> </w:t>
      </w:r>
      <w:r w:rsidRPr="00FD7B0B">
        <w:rPr>
          <w:rFonts w:ascii="Times New Roman" w:hAnsi="Times New Roman"/>
          <w:sz w:val="28"/>
          <w:szCs w:val="28"/>
        </w:rPr>
        <w:t>%, на 01.01.2024 численность составляет 955,9 тыс.чел. и снижение – на 0,9</w:t>
      </w:r>
      <w:r w:rsidR="00BF053A" w:rsidRPr="00FD7B0B">
        <w:rPr>
          <w:rFonts w:ascii="Times New Roman" w:hAnsi="Times New Roman"/>
          <w:sz w:val="28"/>
          <w:szCs w:val="28"/>
        </w:rPr>
        <w:t xml:space="preserve"> </w:t>
      </w:r>
      <w:r w:rsidRPr="00FD7B0B">
        <w:rPr>
          <w:rFonts w:ascii="Times New Roman" w:hAnsi="Times New Roman"/>
          <w:sz w:val="28"/>
          <w:szCs w:val="28"/>
        </w:rPr>
        <w:t>%, на 01.01.2023 численность – 964,3 тыс.чел. и снижение – на 1,1</w:t>
      </w:r>
      <w:r w:rsidR="0064734A" w:rsidRPr="00FD7B0B">
        <w:rPr>
          <w:rFonts w:ascii="Times New Roman" w:hAnsi="Times New Roman"/>
          <w:sz w:val="28"/>
          <w:szCs w:val="28"/>
        </w:rPr>
        <w:t xml:space="preserve"> %</w:t>
      </w:r>
      <w:r w:rsidRPr="00FD7B0B">
        <w:rPr>
          <w:rFonts w:ascii="Times New Roman" w:hAnsi="Times New Roman"/>
          <w:sz w:val="28"/>
          <w:szCs w:val="28"/>
        </w:rPr>
        <w:t>.</w:t>
      </w:r>
    </w:p>
    <w:p w14:paraId="10371540" w14:textId="24741EC4" w:rsidR="005A472F" w:rsidRPr="00FD7B0B" w:rsidRDefault="005A472F" w:rsidP="005A472F">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В целях стабилизации и увеличения количества рождений с целью улучшения демографической ситуации в Архангельской области постановлением Правительства Архангельской области от 28.06.2023 № 575-пп утверждена «Региональная программа по повышению рождаемости в Архангельской области на 2024 - 20</w:t>
      </w:r>
      <w:r w:rsidR="00BF053A" w:rsidRPr="00FD7B0B">
        <w:rPr>
          <w:rFonts w:ascii="Times New Roman" w:hAnsi="Times New Roman"/>
          <w:sz w:val="28"/>
          <w:szCs w:val="28"/>
        </w:rPr>
        <w:t>27 годы» (далее – РП № 575-пп).</w:t>
      </w:r>
    </w:p>
    <w:p w14:paraId="1FCA578E" w14:textId="7F1A1336" w:rsidR="0064734A" w:rsidRPr="00FD7B0B" w:rsidRDefault="0064734A" w:rsidP="0064734A">
      <w:pPr>
        <w:autoSpaceDE w:val="0"/>
        <w:autoSpaceDN w:val="0"/>
        <w:adjustRightInd w:val="0"/>
        <w:spacing w:after="0" w:line="240" w:lineRule="auto"/>
        <w:ind w:firstLine="709"/>
        <w:jc w:val="both"/>
        <w:rPr>
          <w:rFonts w:ascii="Times New Roman" w:hAnsi="Times New Roman"/>
          <w:i/>
          <w:sz w:val="28"/>
          <w:szCs w:val="28"/>
        </w:rPr>
      </w:pPr>
      <w:bookmarkStart w:id="81" w:name="_Toc451785036"/>
      <w:bookmarkStart w:id="82" w:name="_Toc515024212"/>
      <w:bookmarkStart w:id="83" w:name="_Toc9262564"/>
      <w:bookmarkStart w:id="84" w:name="_Toc42006714"/>
      <w:bookmarkStart w:id="85" w:name="_Toc72822967"/>
      <w:bookmarkStart w:id="86" w:name="_Toc104284473"/>
      <w:bookmarkStart w:id="87" w:name="_Toc135659996"/>
      <w:bookmarkStart w:id="88" w:name="_Toc167454826"/>
      <w:r w:rsidRPr="00FD7B0B">
        <w:rPr>
          <w:rFonts w:ascii="Times New Roman" w:hAnsi="Times New Roman"/>
          <w:sz w:val="28"/>
          <w:szCs w:val="28"/>
        </w:rPr>
        <w:t xml:space="preserve">В перечне целевых показателей Приложение № 1 к РП № 575-пп отсутствует показатель «Численность населения Архангельской области» (один из индикаторов </w:t>
      </w:r>
      <w:r w:rsidRPr="00FD7B0B">
        <w:rPr>
          <w:rFonts w:ascii="Times New Roman" w:hAnsi="Times New Roman"/>
          <w:sz w:val="28"/>
          <w:szCs w:val="28"/>
          <w:shd w:val="clear" w:color="auto" w:fill="FFFFFF"/>
        </w:rPr>
        <w:t>достижения национальных целей региона),</w:t>
      </w:r>
      <w:r w:rsidRPr="00FD7B0B">
        <w:rPr>
          <w:rFonts w:ascii="Times New Roman" w:hAnsi="Times New Roman"/>
          <w:sz w:val="28"/>
          <w:szCs w:val="28"/>
        </w:rPr>
        <w:t xml:space="preserve"> что не позволяет объективно оценить эффективность принимаемых мер в части улучшения демографической ситуации в Архангельской области</w:t>
      </w:r>
      <w:r w:rsidRPr="00FD7B0B">
        <w:rPr>
          <w:rFonts w:ascii="Times New Roman" w:hAnsi="Times New Roman"/>
          <w:i/>
          <w:sz w:val="28"/>
          <w:szCs w:val="28"/>
        </w:rPr>
        <w:t>.</w:t>
      </w:r>
    </w:p>
    <w:p w14:paraId="32E304A8" w14:textId="064A893F" w:rsidR="0064734A" w:rsidRPr="00FD7B0B" w:rsidRDefault="0064734A" w:rsidP="0064734A">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Документами стратегического планирования Архангельской области, перечнем целевых показателей Приложение №</w:t>
      </w:r>
      <w:r w:rsidR="00425125" w:rsidRPr="00FD7B0B">
        <w:rPr>
          <w:rFonts w:ascii="Times New Roman" w:hAnsi="Times New Roman"/>
          <w:sz w:val="28"/>
          <w:szCs w:val="28"/>
        </w:rPr>
        <w:t xml:space="preserve"> </w:t>
      </w:r>
      <w:r w:rsidRPr="00FD7B0B">
        <w:rPr>
          <w:rFonts w:ascii="Times New Roman" w:hAnsi="Times New Roman"/>
          <w:sz w:val="28"/>
          <w:szCs w:val="28"/>
        </w:rPr>
        <w:t>1 РП № 575-пп (в ред. от 23.12.2024) утверждены показатели родившихся за 2024 год, что представлено в таблице</w:t>
      </w:r>
      <w:r w:rsidR="00425125" w:rsidRPr="00FD7B0B">
        <w:rPr>
          <w:rFonts w:ascii="Times New Roman" w:hAnsi="Times New Roman"/>
          <w:sz w:val="28"/>
          <w:szCs w:val="28"/>
        </w:rPr>
        <w:t xml:space="preserve"> </w:t>
      </w:r>
      <w:r w:rsidR="00C44208" w:rsidRPr="00FD7B0B">
        <w:rPr>
          <w:rFonts w:ascii="Times New Roman" w:hAnsi="Times New Roman"/>
          <w:sz w:val="28"/>
          <w:szCs w:val="28"/>
        </w:rPr>
        <w:t>28</w:t>
      </w:r>
      <w:r w:rsidR="00425125" w:rsidRPr="00FD7B0B">
        <w:rPr>
          <w:rFonts w:ascii="Times New Roman" w:hAnsi="Times New Roman"/>
          <w:sz w:val="28"/>
          <w:szCs w:val="28"/>
        </w:rPr>
        <w:t>.</w:t>
      </w:r>
    </w:p>
    <w:p w14:paraId="5588A0DA" w14:textId="231717CE" w:rsidR="00C44208" w:rsidRPr="00FD7B0B" w:rsidRDefault="00C44208" w:rsidP="00C44208">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С учетом показателей, представленных в таблице 28, установлено, что целевой показатель п. 1 «Количество рождений в год», предусмотренный в Приложении № 1 к РП № 575-пп (в ред. от 23.12.2024) на 2024 год, меньше прогнозного и оценочного показателей, характеризующих социально-экономическое развитие Архангельской области (без НАО) в 2024 году, а также меньше аналогичного показателя Стратегии 2035 на 2024 год.</w:t>
      </w:r>
    </w:p>
    <w:p w14:paraId="0CA43E89" w14:textId="77777777" w:rsidR="00C44208" w:rsidRPr="00FD7B0B" w:rsidRDefault="00C44208" w:rsidP="0064734A">
      <w:pPr>
        <w:pStyle w:val="aff0"/>
        <w:spacing w:after="0" w:line="240" w:lineRule="auto"/>
        <w:rPr>
          <w:rFonts w:ascii="Times New Roman" w:hAnsi="Times New Roman"/>
          <w:b w:val="0"/>
          <w:sz w:val="24"/>
          <w:szCs w:val="24"/>
        </w:rPr>
      </w:pPr>
    </w:p>
    <w:p w14:paraId="47F90297" w14:textId="77777777" w:rsidR="00C44208" w:rsidRPr="00FD7B0B" w:rsidRDefault="00C44208" w:rsidP="0064734A">
      <w:pPr>
        <w:pStyle w:val="aff0"/>
        <w:spacing w:after="0" w:line="240" w:lineRule="auto"/>
        <w:rPr>
          <w:rFonts w:ascii="Times New Roman" w:hAnsi="Times New Roman"/>
          <w:b w:val="0"/>
          <w:sz w:val="24"/>
          <w:szCs w:val="24"/>
        </w:rPr>
      </w:pPr>
    </w:p>
    <w:p w14:paraId="36E54302" w14:textId="77777777" w:rsidR="00C44208" w:rsidRPr="00FD7B0B" w:rsidRDefault="00C44208" w:rsidP="0064734A">
      <w:pPr>
        <w:pStyle w:val="aff0"/>
        <w:spacing w:after="0" w:line="240" w:lineRule="auto"/>
        <w:rPr>
          <w:rFonts w:ascii="Times New Roman" w:hAnsi="Times New Roman"/>
          <w:b w:val="0"/>
          <w:sz w:val="24"/>
          <w:szCs w:val="24"/>
        </w:rPr>
      </w:pPr>
    </w:p>
    <w:p w14:paraId="144869A3" w14:textId="77777777" w:rsidR="00C44208" w:rsidRPr="00FD7B0B" w:rsidRDefault="00C44208" w:rsidP="0064734A">
      <w:pPr>
        <w:pStyle w:val="aff0"/>
        <w:spacing w:after="0" w:line="240" w:lineRule="auto"/>
        <w:rPr>
          <w:rFonts w:ascii="Times New Roman" w:hAnsi="Times New Roman"/>
          <w:b w:val="0"/>
          <w:sz w:val="24"/>
          <w:szCs w:val="24"/>
        </w:rPr>
      </w:pPr>
    </w:p>
    <w:p w14:paraId="27ACE7D5" w14:textId="77777777" w:rsidR="0064734A" w:rsidRPr="00FD7B0B" w:rsidRDefault="0064734A" w:rsidP="0064734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28</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Показатель п.1 «Количество рождений в год», утвержденный перечнем целевых показателей Приложение №1 РП № 575-пп (в ред. от 23.12.2024), документами стратегического планирования на 2024 год, человек</w:t>
      </w:r>
    </w:p>
    <w:tbl>
      <w:tblPr>
        <w:tblStyle w:val="a7"/>
        <w:tblW w:w="9672"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671"/>
        <w:gridCol w:w="1265"/>
        <w:gridCol w:w="1003"/>
        <w:gridCol w:w="1382"/>
        <w:gridCol w:w="1027"/>
        <w:gridCol w:w="1324"/>
      </w:tblGrid>
      <w:tr w:rsidR="00FD7B0B" w:rsidRPr="00FD7B0B" w14:paraId="33C5537F" w14:textId="77777777" w:rsidTr="00C87DDE">
        <w:trPr>
          <w:tblHeader/>
        </w:trPr>
        <w:tc>
          <w:tcPr>
            <w:tcW w:w="3671" w:type="dxa"/>
            <w:vMerge w:val="restart"/>
            <w:vAlign w:val="center"/>
          </w:tcPr>
          <w:p w14:paraId="2F46952C" w14:textId="77777777" w:rsidR="0064734A" w:rsidRPr="00FD7B0B" w:rsidRDefault="0064734A" w:rsidP="000A2A7A">
            <w:pPr>
              <w:autoSpaceDE w:val="0"/>
              <w:autoSpaceDN w:val="0"/>
              <w:adjustRightInd w:val="0"/>
              <w:jc w:val="center"/>
              <w:rPr>
                <w:rFonts w:ascii="Times New Roman" w:hAnsi="Times New Roman"/>
              </w:rPr>
            </w:pPr>
            <w:r w:rsidRPr="00FD7B0B">
              <w:rPr>
                <w:rFonts w:ascii="Times New Roman" w:hAnsi="Times New Roman"/>
              </w:rPr>
              <w:t>Наименование</w:t>
            </w:r>
          </w:p>
        </w:tc>
        <w:tc>
          <w:tcPr>
            <w:tcW w:w="6001" w:type="dxa"/>
            <w:gridSpan w:val="5"/>
          </w:tcPr>
          <w:p w14:paraId="41D574B4" w14:textId="77777777" w:rsidR="0064734A" w:rsidRPr="00FD7B0B" w:rsidRDefault="0064734A" w:rsidP="000A2A7A">
            <w:pPr>
              <w:autoSpaceDE w:val="0"/>
              <w:autoSpaceDN w:val="0"/>
              <w:adjustRightInd w:val="0"/>
              <w:jc w:val="center"/>
              <w:rPr>
                <w:rFonts w:ascii="Times New Roman" w:hAnsi="Times New Roman"/>
              </w:rPr>
            </w:pPr>
            <w:r w:rsidRPr="00FD7B0B">
              <w:rPr>
                <w:rFonts w:ascii="Times New Roman" w:hAnsi="Times New Roman"/>
              </w:rPr>
              <w:t>Целевой показатель «Количество рождений в год»</w:t>
            </w:r>
          </w:p>
          <w:p w14:paraId="34EAEE50" w14:textId="77777777" w:rsidR="0064734A" w:rsidRPr="00FD7B0B" w:rsidRDefault="0064734A" w:rsidP="000A2A7A">
            <w:pPr>
              <w:autoSpaceDE w:val="0"/>
              <w:autoSpaceDN w:val="0"/>
              <w:adjustRightInd w:val="0"/>
              <w:jc w:val="center"/>
              <w:rPr>
                <w:rFonts w:ascii="Times New Roman" w:hAnsi="Times New Roman"/>
              </w:rPr>
            </w:pPr>
            <w:r w:rsidRPr="00FD7B0B">
              <w:rPr>
                <w:rFonts w:ascii="Times New Roman" w:hAnsi="Times New Roman"/>
              </w:rPr>
              <w:t>на 2024 год, человек</w:t>
            </w:r>
          </w:p>
        </w:tc>
      </w:tr>
      <w:tr w:rsidR="00FD7B0B" w:rsidRPr="00FD7B0B" w14:paraId="471FBD32" w14:textId="77777777" w:rsidTr="00C87DDE">
        <w:trPr>
          <w:tblHeader/>
        </w:trPr>
        <w:tc>
          <w:tcPr>
            <w:tcW w:w="3671" w:type="dxa"/>
            <w:vMerge/>
            <w:vAlign w:val="center"/>
          </w:tcPr>
          <w:p w14:paraId="34210036" w14:textId="77777777" w:rsidR="0064734A" w:rsidRPr="00FD7B0B" w:rsidRDefault="0064734A" w:rsidP="000A2A7A">
            <w:pPr>
              <w:autoSpaceDE w:val="0"/>
              <w:autoSpaceDN w:val="0"/>
              <w:adjustRightInd w:val="0"/>
              <w:jc w:val="center"/>
              <w:rPr>
                <w:rFonts w:ascii="Times New Roman" w:hAnsi="Times New Roman"/>
              </w:rPr>
            </w:pPr>
          </w:p>
        </w:tc>
        <w:tc>
          <w:tcPr>
            <w:tcW w:w="1265" w:type="dxa"/>
            <w:vAlign w:val="center"/>
          </w:tcPr>
          <w:p w14:paraId="7111DF9F" w14:textId="77777777" w:rsidR="0064734A" w:rsidRPr="00FD7B0B" w:rsidRDefault="0064734A" w:rsidP="000A2A7A">
            <w:pPr>
              <w:autoSpaceDE w:val="0"/>
              <w:autoSpaceDN w:val="0"/>
              <w:adjustRightInd w:val="0"/>
              <w:ind w:left="-118" w:right="-108"/>
              <w:jc w:val="center"/>
              <w:rPr>
                <w:rFonts w:ascii="Times New Roman" w:hAnsi="Times New Roman"/>
              </w:rPr>
            </w:pPr>
            <w:r w:rsidRPr="00FD7B0B">
              <w:rPr>
                <w:rFonts w:ascii="Times New Roman" w:hAnsi="Times New Roman"/>
              </w:rPr>
              <w:t>Приложение № 1 к</w:t>
            </w:r>
          </w:p>
          <w:p w14:paraId="55BCC5F4" w14:textId="77777777" w:rsidR="0064734A" w:rsidRPr="00FD7B0B" w:rsidRDefault="0064734A" w:rsidP="000A2A7A">
            <w:pPr>
              <w:autoSpaceDE w:val="0"/>
              <w:autoSpaceDN w:val="0"/>
              <w:adjustRightInd w:val="0"/>
              <w:ind w:left="-118" w:right="-108"/>
              <w:jc w:val="center"/>
              <w:rPr>
                <w:rFonts w:ascii="Times New Roman" w:hAnsi="Times New Roman"/>
              </w:rPr>
            </w:pPr>
            <w:r w:rsidRPr="00FD7B0B">
              <w:rPr>
                <w:rFonts w:ascii="Times New Roman" w:hAnsi="Times New Roman"/>
              </w:rPr>
              <w:t>РП № 575-пп</w:t>
            </w:r>
          </w:p>
        </w:tc>
        <w:tc>
          <w:tcPr>
            <w:tcW w:w="1003" w:type="dxa"/>
            <w:vAlign w:val="center"/>
          </w:tcPr>
          <w:p w14:paraId="460310C2" w14:textId="77777777" w:rsidR="0064734A" w:rsidRPr="00FD7B0B" w:rsidRDefault="0064734A" w:rsidP="000A2A7A">
            <w:pPr>
              <w:autoSpaceDE w:val="0"/>
              <w:autoSpaceDN w:val="0"/>
              <w:adjustRightInd w:val="0"/>
              <w:ind w:left="-118" w:right="-108"/>
              <w:jc w:val="center"/>
              <w:rPr>
                <w:rFonts w:ascii="Times New Roman" w:hAnsi="Times New Roman"/>
              </w:rPr>
            </w:pPr>
            <w:r w:rsidRPr="00FD7B0B">
              <w:rPr>
                <w:rFonts w:ascii="Times New Roman" w:hAnsi="Times New Roman"/>
              </w:rPr>
              <w:t>Стратегия 2035</w:t>
            </w:r>
            <w:r w:rsidRPr="00FD7B0B">
              <w:rPr>
                <w:rStyle w:val="afff1"/>
                <w:rFonts w:ascii="Times New Roman" w:hAnsi="Times New Roman"/>
              </w:rPr>
              <w:footnoteReference w:id="24"/>
            </w:r>
            <w:r w:rsidRPr="00FD7B0B">
              <w:rPr>
                <w:rFonts w:ascii="Times New Roman" w:hAnsi="Times New Roman"/>
              </w:rPr>
              <w:t xml:space="preserve"> </w:t>
            </w:r>
          </w:p>
        </w:tc>
        <w:tc>
          <w:tcPr>
            <w:tcW w:w="1382" w:type="dxa"/>
            <w:vAlign w:val="center"/>
          </w:tcPr>
          <w:p w14:paraId="7EA6CAA0" w14:textId="77777777" w:rsidR="0064734A" w:rsidRPr="00FD7B0B" w:rsidRDefault="0064734A" w:rsidP="000A2A7A">
            <w:pPr>
              <w:autoSpaceDE w:val="0"/>
              <w:autoSpaceDN w:val="0"/>
              <w:adjustRightInd w:val="0"/>
              <w:ind w:left="-118" w:right="-108"/>
              <w:jc w:val="center"/>
              <w:rPr>
                <w:rFonts w:ascii="Times New Roman" w:hAnsi="Times New Roman"/>
              </w:rPr>
            </w:pPr>
            <w:r w:rsidRPr="00FD7B0B">
              <w:rPr>
                <w:rFonts w:ascii="Times New Roman" w:hAnsi="Times New Roman"/>
              </w:rPr>
              <w:t>Прогноз СЭР на 2024 год (базовый вариант)</w:t>
            </w:r>
            <w:r w:rsidRPr="00FD7B0B">
              <w:rPr>
                <w:rStyle w:val="afff1"/>
                <w:rFonts w:ascii="Times New Roman" w:hAnsi="Times New Roman"/>
              </w:rPr>
              <w:footnoteReference w:id="25"/>
            </w:r>
          </w:p>
        </w:tc>
        <w:tc>
          <w:tcPr>
            <w:tcW w:w="1027" w:type="dxa"/>
            <w:vAlign w:val="center"/>
          </w:tcPr>
          <w:p w14:paraId="5FB84865" w14:textId="77777777" w:rsidR="0064734A" w:rsidRPr="00FD7B0B" w:rsidRDefault="0064734A" w:rsidP="000A2A7A">
            <w:pPr>
              <w:autoSpaceDE w:val="0"/>
              <w:autoSpaceDN w:val="0"/>
              <w:adjustRightInd w:val="0"/>
              <w:ind w:left="-118" w:right="-108"/>
              <w:jc w:val="center"/>
              <w:rPr>
                <w:rFonts w:ascii="Times New Roman" w:hAnsi="Times New Roman"/>
              </w:rPr>
            </w:pPr>
            <w:r w:rsidRPr="00FD7B0B">
              <w:rPr>
                <w:rFonts w:ascii="Times New Roman" w:hAnsi="Times New Roman"/>
              </w:rPr>
              <w:t>Оценка СЭР на 2024 год</w:t>
            </w:r>
            <w:r w:rsidRPr="00FD7B0B">
              <w:rPr>
                <w:rStyle w:val="afff1"/>
                <w:rFonts w:ascii="Times New Roman" w:hAnsi="Times New Roman"/>
              </w:rPr>
              <w:footnoteReference w:id="26"/>
            </w:r>
          </w:p>
        </w:tc>
        <w:tc>
          <w:tcPr>
            <w:tcW w:w="1324" w:type="dxa"/>
            <w:vAlign w:val="center"/>
          </w:tcPr>
          <w:p w14:paraId="3BBE36AA" w14:textId="77777777" w:rsidR="0064734A" w:rsidRPr="00FD7B0B" w:rsidRDefault="0064734A" w:rsidP="000A2A7A">
            <w:pPr>
              <w:autoSpaceDE w:val="0"/>
              <w:autoSpaceDN w:val="0"/>
              <w:adjustRightInd w:val="0"/>
              <w:ind w:left="-118" w:right="-108"/>
              <w:jc w:val="center"/>
              <w:rPr>
                <w:rFonts w:ascii="Times New Roman" w:hAnsi="Times New Roman"/>
              </w:rPr>
            </w:pPr>
            <w:r w:rsidRPr="00FD7B0B">
              <w:rPr>
                <w:rFonts w:ascii="Times New Roman" w:hAnsi="Times New Roman"/>
              </w:rPr>
              <w:t>Факт 2024 год</w:t>
            </w:r>
          </w:p>
          <w:p w14:paraId="0B43E7C9" w14:textId="77777777" w:rsidR="0064734A" w:rsidRPr="00FD7B0B" w:rsidRDefault="0064734A" w:rsidP="000A2A7A">
            <w:pPr>
              <w:autoSpaceDE w:val="0"/>
              <w:autoSpaceDN w:val="0"/>
              <w:adjustRightInd w:val="0"/>
              <w:ind w:left="-118" w:right="-108"/>
              <w:jc w:val="center"/>
              <w:rPr>
                <w:rFonts w:ascii="Times New Roman" w:hAnsi="Times New Roman"/>
              </w:rPr>
            </w:pPr>
            <w:r w:rsidRPr="00FD7B0B">
              <w:rPr>
                <w:rFonts w:ascii="Times New Roman" w:hAnsi="Times New Roman"/>
              </w:rPr>
              <w:t>(Архангельскстат)</w:t>
            </w:r>
          </w:p>
        </w:tc>
      </w:tr>
      <w:tr w:rsidR="00FD7B0B" w:rsidRPr="00FD7B0B" w14:paraId="65463634" w14:textId="77777777" w:rsidTr="00C87DDE">
        <w:trPr>
          <w:trHeight w:val="685"/>
        </w:trPr>
        <w:tc>
          <w:tcPr>
            <w:tcW w:w="3671" w:type="dxa"/>
          </w:tcPr>
          <w:p w14:paraId="27AA0354" w14:textId="31DC8C0A" w:rsidR="0064734A" w:rsidRPr="00FD7B0B" w:rsidRDefault="001715FF" w:rsidP="007E6A61">
            <w:pPr>
              <w:autoSpaceDE w:val="0"/>
              <w:autoSpaceDN w:val="0"/>
              <w:adjustRightInd w:val="0"/>
              <w:rPr>
                <w:rFonts w:ascii="Times New Roman" w:hAnsi="Times New Roman"/>
              </w:rPr>
            </w:pPr>
            <w:r w:rsidRPr="00FD7B0B">
              <w:rPr>
                <w:rFonts w:ascii="Times New Roman" w:hAnsi="Times New Roman"/>
              </w:rPr>
              <w:t>Значени</w:t>
            </w:r>
            <w:r w:rsidR="007E6A61" w:rsidRPr="00FD7B0B">
              <w:rPr>
                <w:rFonts w:ascii="Times New Roman" w:hAnsi="Times New Roman"/>
              </w:rPr>
              <w:t>я</w:t>
            </w:r>
            <w:r w:rsidR="0064734A" w:rsidRPr="00FD7B0B">
              <w:rPr>
                <w:rFonts w:ascii="Times New Roman" w:hAnsi="Times New Roman"/>
              </w:rPr>
              <w:t xml:space="preserve"> целевого показателя РП № 575-пп </w:t>
            </w:r>
            <w:r w:rsidRPr="00FD7B0B">
              <w:rPr>
                <w:rFonts w:ascii="Times New Roman" w:hAnsi="Times New Roman"/>
              </w:rPr>
              <w:t>и</w:t>
            </w:r>
            <w:r w:rsidR="0064734A" w:rsidRPr="00FD7B0B">
              <w:rPr>
                <w:rFonts w:ascii="Times New Roman" w:hAnsi="Times New Roman"/>
              </w:rPr>
              <w:t xml:space="preserve"> соответствующих показателей</w:t>
            </w:r>
            <w:r w:rsidRPr="00FD7B0B">
              <w:rPr>
                <w:rFonts w:ascii="Times New Roman" w:hAnsi="Times New Roman"/>
              </w:rPr>
              <w:t>, характеризующих</w:t>
            </w:r>
            <w:r w:rsidR="0064734A" w:rsidRPr="00FD7B0B">
              <w:rPr>
                <w:rFonts w:ascii="Times New Roman" w:hAnsi="Times New Roman"/>
              </w:rPr>
              <w:t xml:space="preserve"> </w:t>
            </w:r>
            <w:r w:rsidR="002472CD" w:rsidRPr="00FD7B0B">
              <w:rPr>
                <w:rFonts w:ascii="Times New Roman" w:hAnsi="Times New Roman"/>
              </w:rPr>
              <w:t xml:space="preserve">СЭР Архангельской области (без НАО), Стратегии 2035 и фактического количества </w:t>
            </w:r>
            <w:r w:rsidRPr="00FD7B0B">
              <w:rPr>
                <w:rFonts w:ascii="Times New Roman" w:hAnsi="Times New Roman"/>
              </w:rPr>
              <w:t>в 2024 году</w:t>
            </w:r>
          </w:p>
        </w:tc>
        <w:tc>
          <w:tcPr>
            <w:tcW w:w="1265" w:type="dxa"/>
            <w:vAlign w:val="center"/>
          </w:tcPr>
          <w:p w14:paraId="404E7107" w14:textId="77777777" w:rsidR="0064734A" w:rsidRPr="00FD7B0B" w:rsidRDefault="0064734A" w:rsidP="002472CD">
            <w:pPr>
              <w:autoSpaceDE w:val="0"/>
              <w:autoSpaceDN w:val="0"/>
              <w:adjustRightInd w:val="0"/>
              <w:jc w:val="center"/>
              <w:rPr>
                <w:rFonts w:ascii="Times New Roman" w:hAnsi="Times New Roman"/>
              </w:rPr>
            </w:pPr>
            <w:r w:rsidRPr="00FD7B0B">
              <w:rPr>
                <w:rFonts w:ascii="Times New Roman" w:hAnsi="Times New Roman"/>
              </w:rPr>
              <w:t>6 899</w:t>
            </w:r>
          </w:p>
        </w:tc>
        <w:tc>
          <w:tcPr>
            <w:tcW w:w="1003" w:type="dxa"/>
            <w:vAlign w:val="center"/>
          </w:tcPr>
          <w:p w14:paraId="1C52E646" w14:textId="77777777" w:rsidR="0064734A" w:rsidRPr="00FD7B0B" w:rsidRDefault="0064734A" w:rsidP="002472CD">
            <w:pPr>
              <w:autoSpaceDE w:val="0"/>
              <w:autoSpaceDN w:val="0"/>
              <w:adjustRightInd w:val="0"/>
              <w:jc w:val="center"/>
              <w:rPr>
                <w:rFonts w:ascii="Times New Roman" w:hAnsi="Times New Roman"/>
              </w:rPr>
            </w:pPr>
            <w:r w:rsidRPr="00FD7B0B">
              <w:rPr>
                <w:rFonts w:ascii="Times New Roman" w:hAnsi="Times New Roman"/>
              </w:rPr>
              <w:t>8 690</w:t>
            </w:r>
          </w:p>
        </w:tc>
        <w:tc>
          <w:tcPr>
            <w:tcW w:w="1382" w:type="dxa"/>
            <w:vAlign w:val="center"/>
          </w:tcPr>
          <w:p w14:paraId="3358BEE8" w14:textId="77777777" w:rsidR="0064734A" w:rsidRPr="00FD7B0B" w:rsidRDefault="0064734A" w:rsidP="002472CD">
            <w:pPr>
              <w:autoSpaceDE w:val="0"/>
              <w:autoSpaceDN w:val="0"/>
              <w:adjustRightInd w:val="0"/>
              <w:jc w:val="center"/>
              <w:rPr>
                <w:rFonts w:ascii="Times New Roman" w:hAnsi="Times New Roman"/>
              </w:rPr>
            </w:pPr>
            <w:r w:rsidRPr="00FD7B0B">
              <w:rPr>
                <w:rFonts w:ascii="Times New Roman" w:hAnsi="Times New Roman"/>
              </w:rPr>
              <w:t>6 966</w:t>
            </w:r>
          </w:p>
        </w:tc>
        <w:tc>
          <w:tcPr>
            <w:tcW w:w="1027" w:type="dxa"/>
            <w:vAlign w:val="center"/>
          </w:tcPr>
          <w:p w14:paraId="6EA09BF3" w14:textId="77777777" w:rsidR="0064734A" w:rsidRPr="00FD7B0B" w:rsidRDefault="0064734A" w:rsidP="002472CD">
            <w:pPr>
              <w:autoSpaceDE w:val="0"/>
              <w:autoSpaceDN w:val="0"/>
              <w:adjustRightInd w:val="0"/>
              <w:jc w:val="center"/>
              <w:rPr>
                <w:rFonts w:ascii="Times New Roman" w:hAnsi="Times New Roman"/>
              </w:rPr>
            </w:pPr>
            <w:r w:rsidRPr="00FD7B0B">
              <w:rPr>
                <w:rFonts w:ascii="Times New Roman" w:hAnsi="Times New Roman"/>
              </w:rPr>
              <w:t>7 131</w:t>
            </w:r>
          </w:p>
        </w:tc>
        <w:tc>
          <w:tcPr>
            <w:tcW w:w="1324" w:type="dxa"/>
            <w:vAlign w:val="center"/>
          </w:tcPr>
          <w:p w14:paraId="228BB908" w14:textId="77777777" w:rsidR="0064734A" w:rsidRPr="00FD7B0B" w:rsidRDefault="0064734A" w:rsidP="002472CD">
            <w:pPr>
              <w:autoSpaceDE w:val="0"/>
              <w:autoSpaceDN w:val="0"/>
              <w:adjustRightInd w:val="0"/>
              <w:jc w:val="center"/>
              <w:rPr>
                <w:rFonts w:ascii="Times New Roman" w:hAnsi="Times New Roman"/>
              </w:rPr>
            </w:pPr>
            <w:r w:rsidRPr="00FD7B0B">
              <w:rPr>
                <w:rFonts w:ascii="Times New Roman" w:hAnsi="Times New Roman"/>
              </w:rPr>
              <w:t>6 886</w:t>
            </w:r>
          </w:p>
        </w:tc>
      </w:tr>
      <w:tr w:rsidR="0064734A" w:rsidRPr="00FD7B0B" w14:paraId="260F7CEB" w14:textId="77777777" w:rsidTr="00C87DDE">
        <w:tc>
          <w:tcPr>
            <w:tcW w:w="3671" w:type="dxa"/>
          </w:tcPr>
          <w:p w14:paraId="519A61F9" w14:textId="6C24105F" w:rsidR="0064734A" w:rsidRPr="00FD7B0B" w:rsidRDefault="002472CD" w:rsidP="00425125">
            <w:pPr>
              <w:autoSpaceDE w:val="0"/>
              <w:autoSpaceDN w:val="0"/>
              <w:adjustRightInd w:val="0"/>
              <w:rPr>
                <w:rFonts w:ascii="Times New Roman" w:hAnsi="Times New Roman"/>
              </w:rPr>
            </w:pPr>
            <w:r w:rsidRPr="00FD7B0B">
              <w:rPr>
                <w:rFonts w:ascii="Times New Roman" w:hAnsi="Times New Roman"/>
              </w:rPr>
              <w:t>Отклонение от показателя Приложения № 1 к РП № 575-пп</w:t>
            </w:r>
            <w:r w:rsidR="001715FF" w:rsidRPr="00FD7B0B">
              <w:rPr>
                <w:rFonts w:ascii="Times New Roman" w:hAnsi="Times New Roman"/>
              </w:rPr>
              <w:t xml:space="preserve"> (+/-)</w:t>
            </w:r>
          </w:p>
        </w:tc>
        <w:tc>
          <w:tcPr>
            <w:tcW w:w="1265" w:type="dxa"/>
            <w:vAlign w:val="center"/>
          </w:tcPr>
          <w:p w14:paraId="2AAD7BAE" w14:textId="1C46F71D" w:rsidR="0064734A" w:rsidRPr="00FD7B0B" w:rsidRDefault="002472CD" w:rsidP="002472CD">
            <w:pPr>
              <w:autoSpaceDE w:val="0"/>
              <w:autoSpaceDN w:val="0"/>
              <w:adjustRightInd w:val="0"/>
              <w:jc w:val="center"/>
              <w:rPr>
                <w:rFonts w:ascii="Times New Roman" w:hAnsi="Times New Roman"/>
              </w:rPr>
            </w:pPr>
            <w:r w:rsidRPr="00FD7B0B">
              <w:rPr>
                <w:rFonts w:ascii="Times New Roman" w:hAnsi="Times New Roman"/>
              </w:rPr>
              <w:t>х</w:t>
            </w:r>
          </w:p>
        </w:tc>
        <w:tc>
          <w:tcPr>
            <w:tcW w:w="1003" w:type="dxa"/>
            <w:vAlign w:val="center"/>
          </w:tcPr>
          <w:p w14:paraId="5C6E7D1A" w14:textId="74743077" w:rsidR="0064734A" w:rsidRPr="00FD7B0B" w:rsidRDefault="00C87DDE" w:rsidP="002472CD">
            <w:pPr>
              <w:autoSpaceDE w:val="0"/>
              <w:autoSpaceDN w:val="0"/>
              <w:adjustRightInd w:val="0"/>
              <w:jc w:val="center"/>
              <w:rPr>
                <w:rFonts w:ascii="Times New Roman" w:hAnsi="Times New Roman"/>
              </w:rPr>
            </w:pPr>
            <w:r w:rsidRPr="00FD7B0B">
              <w:rPr>
                <w:rFonts w:ascii="Times New Roman" w:hAnsi="Times New Roman"/>
              </w:rPr>
              <w:t>+</w:t>
            </w:r>
            <w:r w:rsidR="0064734A" w:rsidRPr="00FD7B0B">
              <w:rPr>
                <w:rFonts w:ascii="Times New Roman" w:hAnsi="Times New Roman"/>
              </w:rPr>
              <w:t>1 791</w:t>
            </w:r>
          </w:p>
        </w:tc>
        <w:tc>
          <w:tcPr>
            <w:tcW w:w="1382" w:type="dxa"/>
            <w:vAlign w:val="center"/>
          </w:tcPr>
          <w:p w14:paraId="15C245CF" w14:textId="0E877149" w:rsidR="0064734A" w:rsidRPr="00FD7B0B" w:rsidRDefault="00C87DDE" w:rsidP="002472CD">
            <w:pPr>
              <w:autoSpaceDE w:val="0"/>
              <w:autoSpaceDN w:val="0"/>
              <w:adjustRightInd w:val="0"/>
              <w:jc w:val="center"/>
              <w:rPr>
                <w:rFonts w:ascii="Times New Roman" w:hAnsi="Times New Roman"/>
              </w:rPr>
            </w:pPr>
            <w:r w:rsidRPr="00FD7B0B">
              <w:rPr>
                <w:rFonts w:ascii="Times New Roman" w:hAnsi="Times New Roman"/>
              </w:rPr>
              <w:t>+</w:t>
            </w:r>
            <w:r w:rsidR="0064734A" w:rsidRPr="00FD7B0B">
              <w:rPr>
                <w:rFonts w:ascii="Times New Roman" w:hAnsi="Times New Roman"/>
              </w:rPr>
              <w:t>67</w:t>
            </w:r>
          </w:p>
        </w:tc>
        <w:tc>
          <w:tcPr>
            <w:tcW w:w="1027" w:type="dxa"/>
            <w:vAlign w:val="center"/>
          </w:tcPr>
          <w:p w14:paraId="58FCD73C" w14:textId="2BDC8B82" w:rsidR="0064734A" w:rsidRPr="00FD7B0B" w:rsidRDefault="00C87DDE" w:rsidP="002472CD">
            <w:pPr>
              <w:autoSpaceDE w:val="0"/>
              <w:autoSpaceDN w:val="0"/>
              <w:adjustRightInd w:val="0"/>
              <w:jc w:val="center"/>
              <w:rPr>
                <w:rFonts w:ascii="Times New Roman" w:hAnsi="Times New Roman"/>
              </w:rPr>
            </w:pPr>
            <w:r w:rsidRPr="00FD7B0B">
              <w:rPr>
                <w:rFonts w:ascii="Times New Roman" w:hAnsi="Times New Roman"/>
              </w:rPr>
              <w:t>+</w:t>
            </w:r>
            <w:r w:rsidR="0064734A" w:rsidRPr="00FD7B0B">
              <w:rPr>
                <w:rFonts w:ascii="Times New Roman" w:hAnsi="Times New Roman"/>
              </w:rPr>
              <w:t>232</w:t>
            </w:r>
          </w:p>
        </w:tc>
        <w:tc>
          <w:tcPr>
            <w:tcW w:w="1324" w:type="dxa"/>
            <w:vAlign w:val="center"/>
          </w:tcPr>
          <w:p w14:paraId="76DA0C1C" w14:textId="367FCC87" w:rsidR="0064734A" w:rsidRPr="00FD7B0B" w:rsidRDefault="00C87DDE" w:rsidP="002472CD">
            <w:pPr>
              <w:autoSpaceDE w:val="0"/>
              <w:autoSpaceDN w:val="0"/>
              <w:adjustRightInd w:val="0"/>
              <w:jc w:val="center"/>
              <w:rPr>
                <w:rFonts w:ascii="Times New Roman" w:hAnsi="Times New Roman"/>
              </w:rPr>
            </w:pPr>
            <w:r w:rsidRPr="00FD7B0B">
              <w:rPr>
                <w:rFonts w:ascii="Times New Roman" w:hAnsi="Times New Roman"/>
              </w:rPr>
              <w:t>-</w:t>
            </w:r>
            <w:r w:rsidR="0064734A" w:rsidRPr="00FD7B0B">
              <w:rPr>
                <w:rFonts w:ascii="Times New Roman" w:hAnsi="Times New Roman"/>
              </w:rPr>
              <w:t>13</w:t>
            </w:r>
          </w:p>
        </w:tc>
      </w:tr>
    </w:tbl>
    <w:p w14:paraId="3B3808D5" w14:textId="77777777" w:rsidR="0064734A" w:rsidRPr="00FD7B0B" w:rsidRDefault="0064734A" w:rsidP="0064734A">
      <w:pPr>
        <w:autoSpaceDE w:val="0"/>
        <w:autoSpaceDN w:val="0"/>
        <w:adjustRightInd w:val="0"/>
        <w:spacing w:after="0" w:line="240" w:lineRule="auto"/>
        <w:ind w:firstLine="709"/>
        <w:jc w:val="both"/>
        <w:rPr>
          <w:rFonts w:ascii="Times New Roman" w:hAnsi="Times New Roman"/>
          <w:sz w:val="28"/>
          <w:szCs w:val="28"/>
        </w:rPr>
      </w:pPr>
    </w:p>
    <w:p w14:paraId="70EDD802" w14:textId="60738DBC" w:rsidR="0064734A" w:rsidRPr="00FD7B0B" w:rsidRDefault="0064734A" w:rsidP="0064734A">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По данным Архангельскстат число родившихся в 2024 году составило 6 886 человек, что меньше на 0,2</w:t>
      </w:r>
      <w:r w:rsidR="005F77D7" w:rsidRPr="00FD7B0B">
        <w:rPr>
          <w:rFonts w:ascii="Times New Roman" w:hAnsi="Times New Roman"/>
          <w:sz w:val="28"/>
          <w:szCs w:val="28"/>
        </w:rPr>
        <w:t xml:space="preserve"> </w:t>
      </w:r>
      <w:r w:rsidRPr="00FD7B0B">
        <w:rPr>
          <w:rFonts w:ascii="Times New Roman" w:hAnsi="Times New Roman"/>
          <w:sz w:val="28"/>
          <w:szCs w:val="28"/>
        </w:rPr>
        <w:t>% планового целевого показателя</w:t>
      </w:r>
      <w:r w:rsidRPr="00FD7B0B">
        <w:rPr>
          <w:sz w:val="28"/>
          <w:szCs w:val="28"/>
        </w:rPr>
        <w:t xml:space="preserve"> </w:t>
      </w:r>
      <w:r w:rsidRPr="00FD7B0B">
        <w:rPr>
          <w:rFonts w:ascii="Times New Roman" w:hAnsi="Times New Roman"/>
          <w:sz w:val="28"/>
          <w:szCs w:val="28"/>
        </w:rPr>
        <w:t>«Количество рождений в год» на 2024 год РП № 575-пп.</w:t>
      </w:r>
    </w:p>
    <w:p w14:paraId="529C2921" w14:textId="77777777" w:rsidR="005A472F" w:rsidRPr="00FD7B0B" w:rsidRDefault="005A472F" w:rsidP="005A472F">
      <w:pPr>
        <w:pStyle w:val="2"/>
        <w:spacing w:before="120" w:after="0" w:line="240" w:lineRule="auto"/>
        <w:jc w:val="center"/>
        <w:rPr>
          <w:rFonts w:ascii="Times New Roman" w:hAnsi="Times New Roman"/>
          <w:lang w:val="ru-RU"/>
        </w:rPr>
      </w:pPr>
      <w:bookmarkStart w:id="89" w:name="_Toc198819123"/>
      <w:r w:rsidRPr="00FD7B0B">
        <w:rPr>
          <w:rFonts w:ascii="Times New Roman" w:hAnsi="Times New Roman"/>
          <w:lang w:val="ru-RU"/>
        </w:rPr>
        <w:t xml:space="preserve">1.10. </w:t>
      </w:r>
      <w:bookmarkStart w:id="90" w:name="_Toc451785037"/>
      <w:bookmarkStart w:id="91" w:name="_Toc515024213"/>
      <w:bookmarkStart w:id="92" w:name="_Toc9262565"/>
      <w:bookmarkEnd w:id="81"/>
      <w:bookmarkEnd w:id="82"/>
      <w:bookmarkEnd w:id="83"/>
      <w:r w:rsidRPr="00FD7B0B">
        <w:rPr>
          <w:rFonts w:ascii="Times New Roman" w:hAnsi="Times New Roman"/>
          <w:lang w:val="ru-RU"/>
        </w:rPr>
        <w:t>Итоги развития Архангельской области в 2024 году</w:t>
      </w:r>
      <w:bookmarkEnd w:id="84"/>
      <w:bookmarkEnd w:id="85"/>
      <w:bookmarkEnd w:id="86"/>
      <w:bookmarkEnd w:id="87"/>
      <w:bookmarkEnd w:id="88"/>
      <w:bookmarkEnd w:id="89"/>
      <w:bookmarkEnd w:id="90"/>
      <w:bookmarkEnd w:id="91"/>
      <w:bookmarkEnd w:id="92"/>
    </w:p>
    <w:p w14:paraId="4BE2B3E6"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На развитие региона оказывает влияние ряд факторов, из которых: территориальный – экономико-географическое положение; экономический – трудовые ресурсы; организационный – инфраструктура, транспортный фактор; административный – выполнение федеральных и региональных программ, что в конечном итоге формирует социально-экономические показатели Архангельской области.</w:t>
      </w:r>
    </w:p>
    <w:p w14:paraId="00707AF0" w14:textId="46A26E70" w:rsidR="00BD6545" w:rsidRPr="00FD7B0B" w:rsidRDefault="00BD6545" w:rsidP="00BD6545">
      <w:pPr>
        <w:pStyle w:val="ad"/>
        <w:ind w:firstLine="709"/>
        <w:jc w:val="both"/>
        <w:rPr>
          <w:rFonts w:ascii="Times New Roman" w:hAnsi="Times New Roman"/>
          <w:sz w:val="28"/>
          <w:szCs w:val="28"/>
        </w:rPr>
      </w:pPr>
      <w:r w:rsidRPr="00FD7B0B">
        <w:rPr>
          <w:rFonts w:ascii="Times New Roman" w:hAnsi="Times New Roman"/>
          <w:sz w:val="28"/>
          <w:szCs w:val="28"/>
          <w:u w:val="single"/>
        </w:rPr>
        <w:t>Положительные итоги в развитии региона в 2024 году</w:t>
      </w:r>
      <w:r w:rsidRPr="00FD7B0B">
        <w:rPr>
          <w:rFonts w:ascii="Times New Roman" w:hAnsi="Times New Roman"/>
          <w:sz w:val="28"/>
          <w:szCs w:val="28"/>
        </w:rPr>
        <w:t>: увеличение индексов производства: добыча полезных ископаемых на 1,8 %, обрабатывающие производства в целом на 9,5 % (по основным видам экономической деятельности: производство пищевых продуктов (+6,1 %), производство напитков (+5,1 %), производство бумаги и бумажных изделий (+1,8 %), производство металлургическое (+24,5 %), производство электрического оборудования (в 4,9 раза), производство машин и оборудования… (+6,3 %), производство прочих готовых изделий (+6,4 %), ремонт и монтаж машин и оборудования (+21,1 %), производство прочих транспортных средств и оборудования (+24,7</w:t>
      </w:r>
      <w:r w:rsidR="005F77D7" w:rsidRPr="00FD7B0B">
        <w:rPr>
          <w:rFonts w:ascii="Times New Roman" w:hAnsi="Times New Roman"/>
          <w:sz w:val="28"/>
          <w:szCs w:val="28"/>
        </w:rPr>
        <w:t xml:space="preserve"> </w:t>
      </w:r>
      <w:r w:rsidRPr="00FD7B0B">
        <w:rPr>
          <w:rFonts w:ascii="Times New Roman" w:hAnsi="Times New Roman"/>
          <w:sz w:val="28"/>
          <w:szCs w:val="28"/>
        </w:rPr>
        <w:t>%).</w:t>
      </w:r>
    </w:p>
    <w:p w14:paraId="02D0DCD9" w14:textId="23A20EA1"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Ведено в действие жилых домов </w:t>
      </w:r>
      <w:r w:rsidR="003C5DB6" w:rsidRPr="00FD7B0B">
        <w:rPr>
          <w:rFonts w:ascii="Times New Roman" w:hAnsi="Times New Roman"/>
          <w:sz w:val="28"/>
          <w:szCs w:val="28"/>
        </w:rPr>
        <w:t xml:space="preserve">на </w:t>
      </w:r>
      <w:r w:rsidRPr="00FD7B0B">
        <w:rPr>
          <w:rFonts w:ascii="Times New Roman" w:hAnsi="Times New Roman"/>
          <w:sz w:val="28"/>
          <w:szCs w:val="28"/>
        </w:rPr>
        <w:t xml:space="preserve">453,4 тыс.кв.м общей площади (+2,9 % к прошлому году), в 2023 году – </w:t>
      </w:r>
      <w:r w:rsidR="006C7E67" w:rsidRPr="00FD7B0B">
        <w:rPr>
          <w:rFonts w:ascii="Times New Roman" w:hAnsi="Times New Roman"/>
          <w:sz w:val="28"/>
          <w:szCs w:val="28"/>
        </w:rPr>
        <w:t xml:space="preserve">440,6 тыс.кв.м </w:t>
      </w:r>
      <w:r w:rsidRPr="00FD7B0B">
        <w:rPr>
          <w:rFonts w:ascii="Times New Roman" w:hAnsi="Times New Roman"/>
          <w:sz w:val="28"/>
          <w:szCs w:val="28"/>
        </w:rPr>
        <w:t>(+3,3</w:t>
      </w:r>
      <w:r w:rsidR="003C5DB6" w:rsidRPr="00FD7B0B">
        <w:rPr>
          <w:rFonts w:ascii="Times New Roman" w:hAnsi="Times New Roman"/>
          <w:sz w:val="28"/>
          <w:szCs w:val="28"/>
        </w:rPr>
        <w:t xml:space="preserve"> </w:t>
      </w:r>
      <w:r w:rsidRPr="00FD7B0B">
        <w:rPr>
          <w:rFonts w:ascii="Times New Roman" w:hAnsi="Times New Roman"/>
          <w:sz w:val="28"/>
          <w:szCs w:val="28"/>
        </w:rPr>
        <w:t>% к прошлому году), что указывает на стабильность на рынке недвижимости.</w:t>
      </w:r>
    </w:p>
    <w:p w14:paraId="2B4F7789" w14:textId="77777777" w:rsidR="00425125" w:rsidRPr="00FD7B0B" w:rsidRDefault="00425125" w:rsidP="00425125">
      <w:pPr>
        <w:pStyle w:val="ad"/>
        <w:ind w:firstLine="709"/>
        <w:jc w:val="both"/>
        <w:rPr>
          <w:rFonts w:ascii="Times New Roman" w:hAnsi="Times New Roman"/>
          <w:sz w:val="28"/>
          <w:szCs w:val="28"/>
        </w:rPr>
      </w:pPr>
      <w:r w:rsidRPr="00FD7B0B">
        <w:rPr>
          <w:rFonts w:ascii="Times New Roman" w:hAnsi="Times New Roman"/>
          <w:sz w:val="28"/>
          <w:szCs w:val="28"/>
        </w:rPr>
        <w:t>Оборот розничной торговли сохраняет стабильную динамику, что составляет 100,0 % к прошлому году (в сопоставимых ценах), при этом объем платных услуг населению увеличился на 2,4 % к предыдущему году.</w:t>
      </w:r>
    </w:p>
    <w:p w14:paraId="3DCE75E8"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lastRenderedPageBreak/>
        <w:t>В части динамики ряда показателей, характеризующий уровень жизни населения Архангельской области, в 2024 году установлен рост к показателям предыдущего года, за исключением показателя «Реальные назначенные пенсии».</w:t>
      </w:r>
    </w:p>
    <w:p w14:paraId="348E2770" w14:textId="446E16E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Вместе с тем по итогам 2024 года установлены и </w:t>
      </w:r>
      <w:r w:rsidRPr="00FD7B0B">
        <w:rPr>
          <w:rFonts w:ascii="Times New Roman" w:hAnsi="Times New Roman"/>
          <w:sz w:val="28"/>
          <w:szCs w:val="28"/>
          <w:u w:val="single"/>
        </w:rPr>
        <w:t>отрицательные показатели</w:t>
      </w:r>
      <w:r w:rsidRPr="00FD7B0B">
        <w:rPr>
          <w:rFonts w:ascii="Times New Roman" w:hAnsi="Times New Roman"/>
          <w:sz w:val="28"/>
          <w:szCs w:val="28"/>
        </w:rPr>
        <w:t>, из них: снижение индексов производства по отдельным видам экономической деятельности: обработка древесины и производство изделий из дерева и пробки… – на 11,7 %, производство химических веществ и химических продуктов – на 3,0</w:t>
      </w:r>
      <w:r w:rsidR="004B6302" w:rsidRPr="00FD7B0B">
        <w:rPr>
          <w:rFonts w:ascii="Times New Roman" w:hAnsi="Times New Roman"/>
          <w:sz w:val="28"/>
          <w:szCs w:val="28"/>
        </w:rPr>
        <w:t xml:space="preserve"> </w:t>
      </w:r>
      <w:r w:rsidRPr="00FD7B0B">
        <w:rPr>
          <w:rFonts w:ascii="Times New Roman" w:hAnsi="Times New Roman"/>
          <w:sz w:val="28"/>
          <w:szCs w:val="28"/>
        </w:rPr>
        <w:t>%, производство лекарственных средств и материалов… – на 31,0</w:t>
      </w:r>
      <w:r w:rsidR="004B6302" w:rsidRPr="00FD7B0B">
        <w:rPr>
          <w:rFonts w:ascii="Times New Roman" w:hAnsi="Times New Roman"/>
          <w:sz w:val="28"/>
          <w:szCs w:val="28"/>
        </w:rPr>
        <w:t xml:space="preserve"> </w:t>
      </w:r>
      <w:r w:rsidRPr="00FD7B0B">
        <w:rPr>
          <w:rFonts w:ascii="Times New Roman" w:hAnsi="Times New Roman"/>
          <w:sz w:val="28"/>
          <w:szCs w:val="28"/>
        </w:rPr>
        <w:t>%, производство готовых металлических изделий, кроме машин и оборудования – на 32,6 %, обеспечение электрической энергией… – на 0,4</w:t>
      </w:r>
      <w:r w:rsidR="004B6302" w:rsidRPr="00FD7B0B">
        <w:rPr>
          <w:rFonts w:ascii="Times New Roman" w:hAnsi="Times New Roman"/>
          <w:sz w:val="28"/>
          <w:szCs w:val="28"/>
        </w:rPr>
        <w:t xml:space="preserve"> </w:t>
      </w:r>
      <w:r w:rsidRPr="00FD7B0B">
        <w:rPr>
          <w:rFonts w:ascii="Times New Roman" w:hAnsi="Times New Roman"/>
          <w:sz w:val="28"/>
          <w:szCs w:val="28"/>
        </w:rPr>
        <w:t>%, водоснабжение, водоотведение, организация сбора и утилизация отходов… – на 3,4</w:t>
      </w:r>
      <w:r w:rsidR="004B6302" w:rsidRPr="00FD7B0B">
        <w:rPr>
          <w:rFonts w:ascii="Times New Roman" w:hAnsi="Times New Roman"/>
          <w:sz w:val="28"/>
          <w:szCs w:val="28"/>
        </w:rPr>
        <w:t xml:space="preserve"> </w:t>
      </w:r>
      <w:r w:rsidRPr="00FD7B0B">
        <w:rPr>
          <w:rFonts w:ascii="Times New Roman" w:hAnsi="Times New Roman"/>
          <w:sz w:val="28"/>
          <w:szCs w:val="28"/>
        </w:rPr>
        <w:t>%.</w:t>
      </w:r>
    </w:p>
    <w:p w14:paraId="4C8BCB94" w14:textId="25AB03EC"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 xml:space="preserve">Индекс физического объема производства продукции сельского хозяйства в хозяйствах всех категорий снизился к показателям </w:t>
      </w:r>
      <w:r w:rsidR="004B6302" w:rsidRPr="00FD7B0B">
        <w:rPr>
          <w:rFonts w:ascii="Times New Roman" w:hAnsi="Times New Roman"/>
          <w:sz w:val="28"/>
          <w:szCs w:val="28"/>
        </w:rPr>
        <w:t>2023</w:t>
      </w:r>
      <w:r w:rsidRPr="00FD7B0B">
        <w:rPr>
          <w:rFonts w:ascii="Times New Roman" w:hAnsi="Times New Roman"/>
          <w:sz w:val="28"/>
          <w:szCs w:val="28"/>
        </w:rPr>
        <w:t xml:space="preserve"> года </w:t>
      </w:r>
      <w:r w:rsidR="004B6302" w:rsidRPr="00FD7B0B">
        <w:rPr>
          <w:rFonts w:ascii="Times New Roman" w:hAnsi="Times New Roman"/>
          <w:sz w:val="28"/>
          <w:szCs w:val="28"/>
        </w:rPr>
        <w:t xml:space="preserve">на </w:t>
      </w:r>
      <w:r w:rsidRPr="00FD7B0B">
        <w:rPr>
          <w:rFonts w:ascii="Times New Roman" w:hAnsi="Times New Roman"/>
          <w:sz w:val="28"/>
          <w:szCs w:val="28"/>
        </w:rPr>
        <w:t xml:space="preserve">0,6 %; выполненных работ по виду деятельности «Строительство» снижен на 40,3 %. Снижение грузооборота </w:t>
      </w:r>
      <w:r w:rsidR="000968AE" w:rsidRPr="00FD7B0B">
        <w:rPr>
          <w:rFonts w:ascii="Times New Roman" w:hAnsi="Times New Roman"/>
          <w:sz w:val="28"/>
          <w:szCs w:val="28"/>
        </w:rPr>
        <w:t xml:space="preserve">на </w:t>
      </w:r>
      <w:r w:rsidRPr="00FD7B0B">
        <w:rPr>
          <w:rFonts w:ascii="Times New Roman" w:hAnsi="Times New Roman"/>
          <w:sz w:val="28"/>
          <w:szCs w:val="28"/>
        </w:rPr>
        <w:t>12,2</w:t>
      </w:r>
      <w:r w:rsidR="004B6302" w:rsidRPr="00FD7B0B">
        <w:rPr>
          <w:rFonts w:ascii="Times New Roman" w:hAnsi="Times New Roman"/>
          <w:sz w:val="28"/>
          <w:szCs w:val="28"/>
        </w:rPr>
        <w:t xml:space="preserve"> </w:t>
      </w:r>
      <w:r w:rsidRPr="00FD7B0B">
        <w:rPr>
          <w:rFonts w:ascii="Times New Roman" w:hAnsi="Times New Roman"/>
          <w:sz w:val="28"/>
          <w:szCs w:val="28"/>
        </w:rPr>
        <w:t>% в значительной степени обусловлено проблемами в логистике и транспортном секторе.</w:t>
      </w:r>
    </w:p>
    <w:p w14:paraId="2A0DC914" w14:textId="713BDA9B" w:rsidR="005A472F" w:rsidRPr="00FD7B0B" w:rsidRDefault="005A472F" w:rsidP="005A472F">
      <w:pPr>
        <w:pStyle w:val="ad"/>
        <w:ind w:firstLine="709"/>
        <w:jc w:val="both"/>
        <w:rPr>
          <w:rFonts w:ascii="Times New Roman" w:hAnsi="Times New Roman"/>
          <w:i/>
          <w:sz w:val="28"/>
          <w:szCs w:val="28"/>
        </w:rPr>
      </w:pPr>
      <w:r w:rsidRPr="00FD7B0B">
        <w:rPr>
          <w:rFonts w:ascii="Times New Roman" w:hAnsi="Times New Roman"/>
          <w:sz w:val="28"/>
          <w:szCs w:val="28"/>
        </w:rPr>
        <w:t xml:space="preserve">Доля прибыльных организаций по итогам 2024 года снизилась к прошлогодним показателям на 1,5 п.п, (по итогам 2023 года доля прибыльных организаций к показателям 2022 года также снижалась на </w:t>
      </w:r>
      <w:r w:rsidR="000968AE" w:rsidRPr="00FD7B0B">
        <w:rPr>
          <w:rFonts w:ascii="Times New Roman" w:hAnsi="Times New Roman"/>
          <w:sz w:val="28"/>
          <w:szCs w:val="28"/>
        </w:rPr>
        <w:t>3,0 п.п.</w:t>
      </w:r>
    </w:p>
    <w:p w14:paraId="6DE7D5B6" w14:textId="65C0347B"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Количество хозяйствующих субъектов (по виду экономической деятельности, заявленному в качестве основного при государственной регистрации) без учета индивидуальных предпринимателей в целом за отчетный год уменьшилось на 4,1</w:t>
      </w:r>
      <w:r w:rsidR="000968AE" w:rsidRPr="00FD7B0B">
        <w:rPr>
          <w:rFonts w:ascii="Times New Roman" w:hAnsi="Times New Roman"/>
          <w:sz w:val="28"/>
          <w:szCs w:val="28"/>
        </w:rPr>
        <w:t xml:space="preserve"> </w:t>
      </w:r>
      <w:r w:rsidRPr="00FD7B0B">
        <w:rPr>
          <w:rFonts w:ascii="Times New Roman" w:hAnsi="Times New Roman"/>
          <w:sz w:val="28"/>
          <w:szCs w:val="28"/>
        </w:rPr>
        <w:t>%, по итогам 2023 года количество хозяйствующих субъектов уменьшило</w:t>
      </w:r>
      <w:r w:rsidR="000968AE" w:rsidRPr="00FD7B0B">
        <w:rPr>
          <w:rFonts w:ascii="Times New Roman" w:hAnsi="Times New Roman"/>
          <w:sz w:val="28"/>
          <w:szCs w:val="28"/>
        </w:rPr>
        <w:t>сь на 1,2 % к предыдущему году.</w:t>
      </w:r>
    </w:p>
    <w:p w14:paraId="4E328B78" w14:textId="5F8DC901"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В целом инфляция на коне</w:t>
      </w:r>
      <w:r w:rsidR="00425125" w:rsidRPr="00FD7B0B">
        <w:rPr>
          <w:rFonts w:ascii="Times New Roman" w:hAnsi="Times New Roman"/>
          <w:sz w:val="28"/>
          <w:szCs w:val="28"/>
        </w:rPr>
        <w:t>ц</w:t>
      </w:r>
      <w:r w:rsidRPr="00FD7B0B">
        <w:rPr>
          <w:rFonts w:ascii="Times New Roman" w:hAnsi="Times New Roman"/>
          <w:sz w:val="28"/>
          <w:szCs w:val="28"/>
        </w:rPr>
        <w:t xml:space="preserve"> 2024 года составила 108,1</w:t>
      </w:r>
      <w:r w:rsidR="007B2455" w:rsidRPr="00FD7B0B">
        <w:rPr>
          <w:rFonts w:ascii="Times New Roman" w:hAnsi="Times New Roman"/>
          <w:sz w:val="28"/>
          <w:szCs w:val="28"/>
        </w:rPr>
        <w:t xml:space="preserve"> </w:t>
      </w:r>
      <w:r w:rsidRPr="00FD7B0B">
        <w:rPr>
          <w:rFonts w:ascii="Times New Roman" w:hAnsi="Times New Roman"/>
          <w:sz w:val="28"/>
          <w:szCs w:val="28"/>
        </w:rPr>
        <w:t>%, что негативно отражается на покупательной способности населения. Индексы потребительских цен увеличились практически по всему наблюдаемому перечню продовольственных товаров, особенно подорожали услуги и сельхозпродукция. Потребительское поведение населения в 2024 году, как и в предыдущем году, было ориентировано на приобретение продовольственных товаров, а также на открытие (пополнение) банковских вкладов.</w:t>
      </w:r>
    </w:p>
    <w:p w14:paraId="041D533D" w14:textId="77777777" w:rsidR="005A472F" w:rsidRPr="00FD7B0B" w:rsidRDefault="005A472F" w:rsidP="005A472F">
      <w:pPr>
        <w:pStyle w:val="ad"/>
        <w:ind w:firstLine="709"/>
        <w:jc w:val="both"/>
        <w:rPr>
          <w:rFonts w:ascii="Times New Roman" w:hAnsi="Times New Roman"/>
          <w:sz w:val="28"/>
          <w:szCs w:val="28"/>
        </w:rPr>
      </w:pPr>
      <w:r w:rsidRPr="00FD7B0B">
        <w:rPr>
          <w:rFonts w:ascii="Times New Roman" w:hAnsi="Times New Roman"/>
          <w:sz w:val="28"/>
          <w:szCs w:val="28"/>
        </w:rPr>
        <w:t>Снижение численности постоянного населения региона обусловлено превышением числа выбывших над числом прибывших в область, снижением рождаемости на протяжении ряда лет, увеличением естественной убыли населения, по причине «старения» населения и обострении хронических заболеваний с неблагоприятным исходом.</w:t>
      </w:r>
    </w:p>
    <w:p w14:paraId="1EBC4396" w14:textId="77777777" w:rsidR="005A472F" w:rsidRPr="00FD7B0B" w:rsidRDefault="005A472F" w:rsidP="005A472F">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целом по итогам 2024 года показатели прогноза социально-экономического развития Архангельской области сохранили умеренный рост и положительные значения, что предполагалось при планировании основных экономических показателей региона на 2024 год.</w:t>
      </w:r>
    </w:p>
    <w:p w14:paraId="3AA8395B" w14:textId="6A669AF6" w:rsidR="00373A15" w:rsidRPr="00FD7B0B" w:rsidRDefault="00373A15" w:rsidP="00373A15">
      <w:pPr>
        <w:pStyle w:val="10"/>
        <w:keepNext/>
        <w:keepLines/>
        <w:autoSpaceDE/>
        <w:autoSpaceDN/>
        <w:adjustRightInd/>
        <w:spacing w:before="240" w:after="120"/>
        <w:rPr>
          <w:rFonts w:ascii="Times New Roman" w:hAnsi="Times New Roman"/>
          <w:color w:val="auto"/>
          <w:sz w:val="28"/>
          <w:szCs w:val="28"/>
          <w:lang w:val="ru-RU" w:eastAsia="en-US"/>
        </w:rPr>
      </w:pPr>
      <w:bookmarkStart w:id="93" w:name="_Toc198819124"/>
      <w:r w:rsidRPr="00FD7B0B">
        <w:rPr>
          <w:rFonts w:ascii="Times New Roman" w:hAnsi="Times New Roman"/>
          <w:color w:val="auto"/>
          <w:sz w:val="28"/>
          <w:szCs w:val="28"/>
          <w:lang w:val="ru-RU" w:eastAsia="en-US"/>
        </w:rPr>
        <w:lastRenderedPageBreak/>
        <w:t>2. Основные параметры исполнения областного бюджета за 2024 год</w:t>
      </w:r>
      <w:bookmarkEnd w:id="3"/>
      <w:bookmarkEnd w:id="93"/>
    </w:p>
    <w:p w14:paraId="1A830A6F" w14:textId="3F764E8B" w:rsidR="00373A15" w:rsidRPr="00FD7B0B" w:rsidRDefault="00373A15" w:rsidP="00373A15">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Основные параметры исполнения областного бюджета за 2024 год согласно отчету, представленному Правительством Архангельской области, представлены в таблице </w:t>
      </w:r>
      <w:r w:rsidR="00C44208" w:rsidRPr="00FD7B0B">
        <w:rPr>
          <w:rFonts w:ascii="Times New Roman" w:hAnsi="Times New Roman"/>
          <w:sz w:val="28"/>
          <w:szCs w:val="28"/>
        </w:rPr>
        <w:t>29</w:t>
      </w:r>
      <w:r w:rsidRPr="00FD7B0B">
        <w:rPr>
          <w:rFonts w:ascii="Times New Roman" w:hAnsi="Times New Roman"/>
          <w:sz w:val="28"/>
          <w:szCs w:val="28"/>
        </w:rPr>
        <w:t>.</w:t>
      </w:r>
    </w:p>
    <w:p w14:paraId="3034031E" w14:textId="77777777" w:rsidR="00373A15" w:rsidRPr="00FD7B0B" w:rsidRDefault="00373A15" w:rsidP="00B86B58">
      <w:pPr>
        <w:pStyle w:val="aff0"/>
        <w:spacing w:after="0" w:line="240" w:lineRule="auto"/>
        <w:rPr>
          <w:rFonts w:ascii="Times New Roman" w:hAnsi="Times New Roman"/>
          <w:b w:val="0"/>
          <w:sz w:val="24"/>
          <w:szCs w:val="24"/>
        </w:rPr>
      </w:pPr>
    </w:p>
    <w:p w14:paraId="5668519E" w14:textId="77777777" w:rsidR="00373A15" w:rsidRPr="00FD7B0B" w:rsidRDefault="00373A15" w:rsidP="00B86B58">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29</w:t>
      </w:r>
      <w:r w:rsidRPr="00FD7B0B">
        <w:rPr>
          <w:rFonts w:ascii="Times New Roman" w:hAnsi="Times New Roman"/>
          <w:b w:val="0"/>
          <w:sz w:val="24"/>
          <w:szCs w:val="24"/>
        </w:rPr>
        <w:fldChar w:fldCharType="end"/>
      </w:r>
      <w:r w:rsidRPr="00FD7B0B">
        <w:rPr>
          <w:rFonts w:ascii="Times New Roman" w:hAnsi="Times New Roman"/>
          <w:b w:val="0"/>
          <w:sz w:val="24"/>
          <w:szCs w:val="24"/>
        </w:rPr>
        <w:t>. Основные параметры исполнения областного бюджета за 2024 год согласно отчету, представленному Правительством Архангельской области, млн.руб.</w:t>
      </w:r>
    </w:p>
    <w:tbl>
      <w:tblPr>
        <w:tblW w:w="9724" w:type="dxa"/>
        <w:tblLook w:val="04A0" w:firstRow="1" w:lastRow="0" w:firstColumn="1" w:lastColumn="0" w:noHBand="0" w:noVBand="1"/>
      </w:tblPr>
      <w:tblGrid>
        <w:gridCol w:w="6368"/>
        <w:gridCol w:w="1240"/>
        <w:gridCol w:w="1300"/>
        <w:gridCol w:w="816"/>
      </w:tblGrid>
      <w:tr w:rsidR="00FD7B0B" w:rsidRPr="00FD7B0B" w14:paraId="3B418C7B" w14:textId="77777777" w:rsidTr="00373A15">
        <w:trPr>
          <w:trHeight w:val="35"/>
          <w:tblHeader/>
        </w:trPr>
        <w:tc>
          <w:tcPr>
            <w:tcW w:w="6368"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7B0FEB51" w14:textId="77777777" w:rsidR="00373A15" w:rsidRPr="00FD7B0B" w:rsidRDefault="00373A15" w:rsidP="00B86B58">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 показателя</w:t>
            </w:r>
          </w:p>
        </w:tc>
        <w:tc>
          <w:tcPr>
            <w:tcW w:w="1240" w:type="dxa"/>
            <w:tcBorders>
              <w:top w:val="double" w:sz="6" w:space="0" w:color="auto"/>
              <w:left w:val="nil"/>
              <w:bottom w:val="single" w:sz="4" w:space="0" w:color="auto"/>
              <w:right w:val="single" w:sz="4" w:space="0" w:color="auto"/>
            </w:tcBorders>
            <w:shd w:val="clear" w:color="auto" w:fill="auto"/>
            <w:vAlign w:val="center"/>
            <w:hideMark/>
          </w:tcPr>
          <w:p w14:paraId="2CC38939" w14:textId="77777777" w:rsidR="00373A15" w:rsidRPr="00FD7B0B" w:rsidRDefault="00373A15" w:rsidP="00B86B58">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План года</w:t>
            </w:r>
          </w:p>
        </w:tc>
        <w:tc>
          <w:tcPr>
            <w:tcW w:w="1300" w:type="dxa"/>
            <w:tcBorders>
              <w:top w:val="double" w:sz="6" w:space="0" w:color="auto"/>
              <w:left w:val="nil"/>
              <w:bottom w:val="single" w:sz="4" w:space="0" w:color="auto"/>
              <w:right w:val="single" w:sz="4" w:space="0" w:color="auto"/>
            </w:tcBorders>
            <w:shd w:val="clear" w:color="auto" w:fill="auto"/>
            <w:vAlign w:val="center"/>
            <w:hideMark/>
          </w:tcPr>
          <w:p w14:paraId="647420DA" w14:textId="77777777" w:rsidR="00373A15" w:rsidRPr="00FD7B0B" w:rsidRDefault="00373A15" w:rsidP="00B86B58">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Исполнено</w:t>
            </w:r>
          </w:p>
        </w:tc>
        <w:tc>
          <w:tcPr>
            <w:tcW w:w="816" w:type="dxa"/>
            <w:tcBorders>
              <w:top w:val="double" w:sz="6" w:space="0" w:color="auto"/>
              <w:left w:val="nil"/>
              <w:bottom w:val="single" w:sz="4" w:space="0" w:color="auto"/>
              <w:right w:val="double" w:sz="6" w:space="0" w:color="auto"/>
            </w:tcBorders>
            <w:shd w:val="clear" w:color="auto" w:fill="auto"/>
            <w:vAlign w:val="center"/>
            <w:hideMark/>
          </w:tcPr>
          <w:p w14:paraId="561D4088" w14:textId="77777777" w:rsidR="00373A15" w:rsidRPr="00FD7B0B" w:rsidRDefault="00373A15" w:rsidP="00B86B58">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1F352E8E"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noWrap/>
            <w:vAlign w:val="center"/>
            <w:hideMark/>
          </w:tcPr>
          <w:p w14:paraId="5CB713D0" w14:textId="77777777" w:rsidR="00373A15" w:rsidRPr="00FD7B0B" w:rsidRDefault="00373A15" w:rsidP="00B86B58">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Доходы бюджета, из них:</w:t>
            </w:r>
          </w:p>
        </w:tc>
        <w:tc>
          <w:tcPr>
            <w:tcW w:w="1240" w:type="dxa"/>
            <w:tcBorders>
              <w:top w:val="nil"/>
              <w:left w:val="nil"/>
              <w:bottom w:val="single" w:sz="4" w:space="0" w:color="auto"/>
              <w:right w:val="single" w:sz="4" w:space="0" w:color="auto"/>
            </w:tcBorders>
            <w:shd w:val="clear" w:color="auto" w:fill="auto"/>
            <w:vAlign w:val="center"/>
            <w:hideMark/>
          </w:tcPr>
          <w:p w14:paraId="767FF730"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134 710,1 </w:t>
            </w:r>
          </w:p>
        </w:tc>
        <w:tc>
          <w:tcPr>
            <w:tcW w:w="1300" w:type="dxa"/>
            <w:tcBorders>
              <w:top w:val="nil"/>
              <w:left w:val="nil"/>
              <w:bottom w:val="single" w:sz="4" w:space="0" w:color="auto"/>
              <w:right w:val="single" w:sz="4" w:space="0" w:color="auto"/>
            </w:tcBorders>
            <w:shd w:val="clear" w:color="auto" w:fill="auto"/>
            <w:vAlign w:val="center"/>
            <w:hideMark/>
          </w:tcPr>
          <w:p w14:paraId="263AEA78"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135 583,6 </w:t>
            </w:r>
          </w:p>
        </w:tc>
        <w:tc>
          <w:tcPr>
            <w:tcW w:w="816" w:type="dxa"/>
            <w:tcBorders>
              <w:top w:val="nil"/>
              <w:left w:val="nil"/>
              <w:bottom w:val="single" w:sz="4" w:space="0" w:color="auto"/>
              <w:right w:val="double" w:sz="6" w:space="0" w:color="auto"/>
            </w:tcBorders>
            <w:shd w:val="clear" w:color="auto" w:fill="auto"/>
            <w:vAlign w:val="center"/>
            <w:hideMark/>
          </w:tcPr>
          <w:p w14:paraId="3D41C527"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100,6 </w:t>
            </w:r>
          </w:p>
        </w:tc>
      </w:tr>
      <w:tr w:rsidR="00FD7B0B" w:rsidRPr="00FD7B0B" w14:paraId="372F1C66"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noWrap/>
            <w:vAlign w:val="center"/>
            <w:hideMark/>
          </w:tcPr>
          <w:p w14:paraId="5647B8B4" w14:textId="77777777" w:rsidR="00373A15" w:rsidRPr="00FD7B0B" w:rsidRDefault="00373A15" w:rsidP="00B86B58">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налоговые и неналоговые доходы</w:t>
            </w:r>
          </w:p>
        </w:tc>
        <w:tc>
          <w:tcPr>
            <w:tcW w:w="1240" w:type="dxa"/>
            <w:tcBorders>
              <w:top w:val="nil"/>
              <w:left w:val="nil"/>
              <w:bottom w:val="single" w:sz="4" w:space="0" w:color="auto"/>
              <w:right w:val="single" w:sz="4" w:space="0" w:color="auto"/>
            </w:tcBorders>
            <w:shd w:val="clear" w:color="auto" w:fill="auto"/>
            <w:vAlign w:val="center"/>
            <w:hideMark/>
          </w:tcPr>
          <w:p w14:paraId="1885B74C"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96 863,0 </w:t>
            </w:r>
          </w:p>
        </w:tc>
        <w:tc>
          <w:tcPr>
            <w:tcW w:w="1300" w:type="dxa"/>
            <w:tcBorders>
              <w:top w:val="nil"/>
              <w:left w:val="nil"/>
              <w:bottom w:val="single" w:sz="4" w:space="0" w:color="auto"/>
              <w:right w:val="single" w:sz="4" w:space="0" w:color="auto"/>
            </w:tcBorders>
            <w:shd w:val="clear" w:color="auto" w:fill="auto"/>
            <w:vAlign w:val="center"/>
            <w:hideMark/>
          </w:tcPr>
          <w:p w14:paraId="5CD59348"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97 631,0 </w:t>
            </w:r>
          </w:p>
        </w:tc>
        <w:tc>
          <w:tcPr>
            <w:tcW w:w="816" w:type="dxa"/>
            <w:tcBorders>
              <w:top w:val="nil"/>
              <w:left w:val="nil"/>
              <w:bottom w:val="single" w:sz="4" w:space="0" w:color="auto"/>
              <w:right w:val="double" w:sz="6" w:space="0" w:color="auto"/>
            </w:tcBorders>
            <w:shd w:val="clear" w:color="auto" w:fill="auto"/>
            <w:vAlign w:val="center"/>
            <w:hideMark/>
          </w:tcPr>
          <w:p w14:paraId="08802599"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100,8 </w:t>
            </w:r>
          </w:p>
        </w:tc>
      </w:tr>
      <w:tr w:rsidR="00FD7B0B" w:rsidRPr="00FD7B0B" w14:paraId="2184C1FB"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noWrap/>
            <w:vAlign w:val="center"/>
            <w:hideMark/>
          </w:tcPr>
          <w:p w14:paraId="25614947" w14:textId="77777777" w:rsidR="00373A15" w:rsidRPr="00FD7B0B" w:rsidRDefault="00373A15" w:rsidP="00B86B58">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поступления из других бюджетов</w:t>
            </w:r>
          </w:p>
        </w:tc>
        <w:tc>
          <w:tcPr>
            <w:tcW w:w="1240" w:type="dxa"/>
            <w:tcBorders>
              <w:top w:val="nil"/>
              <w:left w:val="nil"/>
              <w:bottom w:val="single" w:sz="4" w:space="0" w:color="auto"/>
              <w:right w:val="single" w:sz="4" w:space="0" w:color="auto"/>
            </w:tcBorders>
            <w:shd w:val="clear" w:color="auto" w:fill="auto"/>
            <w:vAlign w:val="center"/>
            <w:hideMark/>
          </w:tcPr>
          <w:p w14:paraId="2044E291"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35 709,0 </w:t>
            </w:r>
          </w:p>
        </w:tc>
        <w:tc>
          <w:tcPr>
            <w:tcW w:w="1300" w:type="dxa"/>
            <w:tcBorders>
              <w:top w:val="nil"/>
              <w:left w:val="nil"/>
              <w:bottom w:val="single" w:sz="4" w:space="0" w:color="auto"/>
              <w:right w:val="single" w:sz="4" w:space="0" w:color="auto"/>
            </w:tcBorders>
            <w:shd w:val="clear" w:color="auto" w:fill="auto"/>
            <w:vAlign w:val="center"/>
            <w:hideMark/>
          </w:tcPr>
          <w:p w14:paraId="0DB489E1"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35 605,9 </w:t>
            </w:r>
          </w:p>
        </w:tc>
        <w:tc>
          <w:tcPr>
            <w:tcW w:w="816" w:type="dxa"/>
            <w:tcBorders>
              <w:top w:val="nil"/>
              <w:left w:val="nil"/>
              <w:bottom w:val="single" w:sz="4" w:space="0" w:color="auto"/>
              <w:right w:val="double" w:sz="6" w:space="0" w:color="auto"/>
            </w:tcBorders>
            <w:shd w:val="clear" w:color="auto" w:fill="auto"/>
            <w:vAlign w:val="center"/>
            <w:hideMark/>
          </w:tcPr>
          <w:p w14:paraId="621A2EDD"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99,7 </w:t>
            </w:r>
          </w:p>
        </w:tc>
      </w:tr>
      <w:tr w:rsidR="00FD7B0B" w:rsidRPr="00FD7B0B" w14:paraId="1D38BE9F"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noWrap/>
            <w:vAlign w:val="center"/>
            <w:hideMark/>
          </w:tcPr>
          <w:p w14:paraId="7D129106" w14:textId="77777777" w:rsidR="00373A15" w:rsidRPr="00FD7B0B" w:rsidRDefault="00373A15" w:rsidP="00B86B58">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Расходы бюджета</w:t>
            </w:r>
          </w:p>
        </w:tc>
        <w:tc>
          <w:tcPr>
            <w:tcW w:w="1240" w:type="dxa"/>
            <w:tcBorders>
              <w:top w:val="nil"/>
              <w:left w:val="nil"/>
              <w:bottom w:val="single" w:sz="4" w:space="0" w:color="auto"/>
              <w:right w:val="single" w:sz="4" w:space="0" w:color="auto"/>
            </w:tcBorders>
            <w:shd w:val="clear" w:color="auto" w:fill="auto"/>
            <w:vAlign w:val="center"/>
            <w:hideMark/>
          </w:tcPr>
          <w:p w14:paraId="4C528106"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154 977,2 </w:t>
            </w:r>
          </w:p>
        </w:tc>
        <w:tc>
          <w:tcPr>
            <w:tcW w:w="1300" w:type="dxa"/>
            <w:tcBorders>
              <w:top w:val="nil"/>
              <w:left w:val="nil"/>
              <w:bottom w:val="single" w:sz="4" w:space="0" w:color="auto"/>
              <w:right w:val="single" w:sz="4" w:space="0" w:color="auto"/>
            </w:tcBorders>
            <w:shd w:val="clear" w:color="auto" w:fill="auto"/>
            <w:vAlign w:val="center"/>
            <w:hideMark/>
          </w:tcPr>
          <w:p w14:paraId="142CA81C"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153 201,1 </w:t>
            </w:r>
          </w:p>
        </w:tc>
        <w:tc>
          <w:tcPr>
            <w:tcW w:w="816" w:type="dxa"/>
            <w:tcBorders>
              <w:top w:val="nil"/>
              <w:left w:val="nil"/>
              <w:bottom w:val="single" w:sz="4" w:space="0" w:color="auto"/>
              <w:right w:val="double" w:sz="6" w:space="0" w:color="auto"/>
            </w:tcBorders>
            <w:shd w:val="clear" w:color="auto" w:fill="auto"/>
            <w:vAlign w:val="center"/>
            <w:hideMark/>
          </w:tcPr>
          <w:p w14:paraId="103A075A"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98,9 </w:t>
            </w:r>
          </w:p>
        </w:tc>
      </w:tr>
      <w:tr w:rsidR="00FD7B0B" w:rsidRPr="00FD7B0B" w14:paraId="7AA3522C"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noWrap/>
            <w:vAlign w:val="center"/>
            <w:hideMark/>
          </w:tcPr>
          <w:p w14:paraId="24F592B6" w14:textId="77777777" w:rsidR="00373A15" w:rsidRPr="00FD7B0B" w:rsidRDefault="00373A15" w:rsidP="00B86B58">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Результат исполнения бюджета: дефицит (-), профицит (+)</w:t>
            </w:r>
          </w:p>
        </w:tc>
        <w:tc>
          <w:tcPr>
            <w:tcW w:w="1240" w:type="dxa"/>
            <w:tcBorders>
              <w:top w:val="nil"/>
              <w:left w:val="nil"/>
              <w:bottom w:val="single" w:sz="4" w:space="0" w:color="auto"/>
              <w:right w:val="single" w:sz="4" w:space="0" w:color="auto"/>
            </w:tcBorders>
            <w:shd w:val="clear" w:color="auto" w:fill="auto"/>
            <w:noWrap/>
            <w:vAlign w:val="center"/>
            <w:hideMark/>
          </w:tcPr>
          <w:p w14:paraId="7C0A0563"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-20 267,1 </w:t>
            </w:r>
          </w:p>
        </w:tc>
        <w:tc>
          <w:tcPr>
            <w:tcW w:w="1300" w:type="dxa"/>
            <w:tcBorders>
              <w:top w:val="nil"/>
              <w:left w:val="nil"/>
              <w:bottom w:val="single" w:sz="4" w:space="0" w:color="auto"/>
              <w:right w:val="single" w:sz="4" w:space="0" w:color="auto"/>
            </w:tcBorders>
            <w:shd w:val="clear" w:color="auto" w:fill="auto"/>
            <w:noWrap/>
            <w:vAlign w:val="center"/>
            <w:hideMark/>
          </w:tcPr>
          <w:p w14:paraId="277DACCA"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-17 617,5 </w:t>
            </w:r>
          </w:p>
        </w:tc>
        <w:tc>
          <w:tcPr>
            <w:tcW w:w="816" w:type="dxa"/>
            <w:tcBorders>
              <w:top w:val="nil"/>
              <w:left w:val="nil"/>
              <w:bottom w:val="single" w:sz="4" w:space="0" w:color="auto"/>
              <w:right w:val="double" w:sz="6" w:space="0" w:color="auto"/>
            </w:tcBorders>
            <w:shd w:val="clear" w:color="auto" w:fill="auto"/>
            <w:vAlign w:val="center"/>
            <w:hideMark/>
          </w:tcPr>
          <w:p w14:paraId="1B5A84BF"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86,9 </w:t>
            </w:r>
          </w:p>
        </w:tc>
      </w:tr>
      <w:tr w:rsidR="00FD7B0B" w:rsidRPr="00FD7B0B" w14:paraId="4D62A2AE"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vAlign w:val="center"/>
            <w:hideMark/>
          </w:tcPr>
          <w:p w14:paraId="66946A6D" w14:textId="77777777" w:rsidR="00373A15" w:rsidRPr="00FD7B0B" w:rsidRDefault="00373A15" w:rsidP="00B86B58">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Источники финансирования дефицита (направления профицита), из них:</w:t>
            </w:r>
          </w:p>
        </w:tc>
        <w:tc>
          <w:tcPr>
            <w:tcW w:w="1240" w:type="dxa"/>
            <w:tcBorders>
              <w:top w:val="nil"/>
              <w:left w:val="nil"/>
              <w:bottom w:val="single" w:sz="4" w:space="0" w:color="auto"/>
              <w:right w:val="single" w:sz="4" w:space="0" w:color="auto"/>
            </w:tcBorders>
            <w:shd w:val="clear" w:color="auto" w:fill="auto"/>
            <w:noWrap/>
            <w:vAlign w:val="center"/>
            <w:hideMark/>
          </w:tcPr>
          <w:p w14:paraId="66C3CEF5"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20 267,1 </w:t>
            </w:r>
          </w:p>
        </w:tc>
        <w:tc>
          <w:tcPr>
            <w:tcW w:w="1300" w:type="dxa"/>
            <w:tcBorders>
              <w:top w:val="nil"/>
              <w:left w:val="nil"/>
              <w:bottom w:val="single" w:sz="4" w:space="0" w:color="auto"/>
              <w:right w:val="single" w:sz="4" w:space="0" w:color="auto"/>
            </w:tcBorders>
            <w:shd w:val="clear" w:color="auto" w:fill="auto"/>
            <w:noWrap/>
            <w:vAlign w:val="center"/>
            <w:hideMark/>
          </w:tcPr>
          <w:p w14:paraId="00E77469"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17 617,5 </w:t>
            </w:r>
          </w:p>
        </w:tc>
        <w:tc>
          <w:tcPr>
            <w:tcW w:w="816" w:type="dxa"/>
            <w:tcBorders>
              <w:top w:val="nil"/>
              <w:left w:val="nil"/>
              <w:bottom w:val="single" w:sz="4" w:space="0" w:color="auto"/>
              <w:right w:val="double" w:sz="6" w:space="0" w:color="auto"/>
            </w:tcBorders>
            <w:shd w:val="clear" w:color="auto" w:fill="auto"/>
            <w:vAlign w:val="center"/>
            <w:hideMark/>
          </w:tcPr>
          <w:p w14:paraId="4A6986BB" w14:textId="77777777" w:rsidR="00373A15" w:rsidRPr="00FD7B0B" w:rsidRDefault="00373A15" w:rsidP="00B86B58">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86,9 </w:t>
            </w:r>
          </w:p>
        </w:tc>
      </w:tr>
      <w:tr w:rsidR="00FD7B0B" w:rsidRPr="00FD7B0B" w14:paraId="61DE3FBC"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vAlign w:val="center"/>
            <w:hideMark/>
          </w:tcPr>
          <w:p w14:paraId="5C07BDFB" w14:textId="77777777" w:rsidR="00373A15" w:rsidRPr="00FD7B0B" w:rsidRDefault="00373A15" w:rsidP="00B86B58">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кредиты кредитных организаций в валюте РФ (сальдо «привлечено» минус «погашено»)</w:t>
            </w:r>
          </w:p>
        </w:tc>
        <w:tc>
          <w:tcPr>
            <w:tcW w:w="1240" w:type="dxa"/>
            <w:tcBorders>
              <w:top w:val="nil"/>
              <w:left w:val="nil"/>
              <w:bottom w:val="single" w:sz="4" w:space="0" w:color="auto"/>
              <w:right w:val="single" w:sz="4" w:space="0" w:color="auto"/>
            </w:tcBorders>
            <w:shd w:val="clear" w:color="auto" w:fill="auto"/>
            <w:vAlign w:val="center"/>
            <w:hideMark/>
          </w:tcPr>
          <w:p w14:paraId="30103F0B"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22 741,9 </w:t>
            </w:r>
          </w:p>
        </w:tc>
        <w:tc>
          <w:tcPr>
            <w:tcW w:w="1300" w:type="dxa"/>
            <w:tcBorders>
              <w:top w:val="nil"/>
              <w:left w:val="nil"/>
              <w:bottom w:val="single" w:sz="4" w:space="0" w:color="auto"/>
              <w:right w:val="single" w:sz="4" w:space="0" w:color="auto"/>
            </w:tcBorders>
            <w:shd w:val="clear" w:color="auto" w:fill="auto"/>
            <w:vAlign w:val="center"/>
            <w:hideMark/>
          </w:tcPr>
          <w:p w14:paraId="7A4F624F"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21 741,9 </w:t>
            </w:r>
          </w:p>
        </w:tc>
        <w:tc>
          <w:tcPr>
            <w:tcW w:w="816" w:type="dxa"/>
            <w:tcBorders>
              <w:top w:val="nil"/>
              <w:left w:val="nil"/>
              <w:bottom w:val="single" w:sz="4" w:space="0" w:color="auto"/>
              <w:right w:val="double" w:sz="6" w:space="0" w:color="auto"/>
            </w:tcBorders>
            <w:shd w:val="clear" w:color="auto" w:fill="auto"/>
            <w:vAlign w:val="center"/>
            <w:hideMark/>
          </w:tcPr>
          <w:p w14:paraId="527B5E52"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95,6 </w:t>
            </w:r>
          </w:p>
        </w:tc>
      </w:tr>
      <w:tr w:rsidR="00FD7B0B" w:rsidRPr="00FD7B0B" w14:paraId="4DEBE705"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vAlign w:val="center"/>
            <w:hideMark/>
          </w:tcPr>
          <w:p w14:paraId="2640083C" w14:textId="77777777" w:rsidR="00373A15" w:rsidRPr="00FD7B0B" w:rsidRDefault="00373A15" w:rsidP="00B86B58">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бюджетные кредиты из других бюджетов бюджетной системы РФ (сальдо «привлечено» минус «погашено»)</w:t>
            </w:r>
          </w:p>
        </w:tc>
        <w:tc>
          <w:tcPr>
            <w:tcW w:w="1240" w:type="dxa"/>
            <w:tcBorders>
              <w:top w:val="nil"/>
              <w:left w:val="nil"/>
              <w:bottom w:val="single" w:sz="4" w:space="0" w:color="auto"/>
              <w:right w:val="single" w:sz="4" w:space="0" w:color="auto"/>
            </w:tcBorders>
            <w:shd w:val="clear" w:color="auto" w:fill="auto"/>
            <w:vAlign w:val="center"/>
            <w:hideMark/>
          </w:tcPr>
          <w:p w14:paraId="01889FB8"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-2 563,0 </w:t>
            </w:r>
          </w:p>
        </w:tc>
        <w:tc>
          <w:tcPr>
            <w:tcW w:w="1300" w:type="dxa"/>
            <w:tcBorders>
              <w:top w:val="nil"/>
              <w:left w:val="nil"/>
              <w:bottom w:val="single" w:sz="4" w:space="0" w:color="auto"/>
              <w:right w:val="single" w:sz="4" w:space="0" w:color="auto"/>
            </w:tcBorders>
            <w:shd w:val="clear" w:color="auto" w:fill="auto"/>
            <w:vAlign w:val="center"/>
            <w:hideMark/>
          </w:tcPr>
          <w:p w14:paraId="716418FA"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-2 563,0 </w:t>
            </w:r>
          </w:p>
        </w:tc>
        <w:tc>
          <w:tcPr>
            <w:tcW w:w="816" w:type="dxa"/>
            <w:tcBorders>
              <w:top w:val="nil"/>
              <w:left w:val="nil"/>
              <w:bottom w:val="single" w:sz="4" w:space="0" w:color="auto"/>
              <w:right w:val="double" w:sz="6" w:space="0" w:color="auto"/>
            </w:tcBorders>
            <w:shd w:val="clear" w:color="auto" w:fill="auto"/>
            <w:vAlign w:val="center"/>
            <w:hideMark/>
          </w:tcPr>
          <w:p w14:paraId="281F256F"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100,0 </w:t>
            </w:r>
          </w:p>
        </w:tc>
      </w:tr>
      <w:tr w:rsidR="00FD7B0B" w:rsidRPr="00FD7B0B" w14:paraId="5D025873"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vAlign w:val="center"/>
            <w:hideMark/>
          </w:tcPr>
          <w:p w14:paraId="6E0A8088" w14:textId="77777777" w:rsidR="00373A15" w:rsidRPr="00FD7B0B" w:rsidRDefault="00373A15" w:rsidP="00B86B58">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возврат бюджетных кредитов от других бюджетов в областной бюджет</w:t>
            </w:r>
          </w:p>
        </w:tc>
        <w:tc>
          <w:tcPr>
            <w:tcW w:w="1240" w:type="dxa"/>
            <w:tcBorders>
              <w:top w:val="nil"/>
              <w:left w:val="nil"/>
              <w:bottom w:val="single" w:sz="4" w:space="0" w:color="auto"/>
              <w:right w:val="single" w:sz="4" w:space="0" w:color="auto"/>
            </w:tcBorders>
            <w:shd w:val="clear" w:color="auto" w:fill="auto"/>
            <w:vAlign w:val="center"/>
            <w:hideMark/>
          </w:tcPr>
          <w:p w14:paraId="23F1D9D1"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23,7 </w:t>
            </w:r>
          </w:p>
        </w:tc>
        <w:tc>
          <w:tcPr>
            <w:tcW w:w="1300" w:type="dxa"/>
            <w:tcBorders>
              <w:top w:val="nil"/>
              <w:left w:val="nil"/>
              <w:bottom w:val="single" w:sz="4" w:space="0" w:color="auto"/>
              <w:right w:val="single" w:sz="4" w:space="0" w:color="auto"/>
            </w:tcBorders>
            <w:shd w:val="clear" w:color="auto" w:fill="auto"/>
            <w:vAlign w:val="center"/>
            <w:hideMark/>
          </w:tcPr>
          <w:p w14:paraId="103DFCDF"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23,7 </w:t>
            </w:r>
          </w:p>
        </w:tc>
        <w:tc>
          <w:tcPr>
            <w:tcW w:w="816" w:type="dxa"/>
            <w:tcBorders>
              <w:top w:val="nil"/>
              <w:left w:val="nil"/>
              <w:bottom w:val="single" w:sz="4" w:space="0" w:color="auto"/>
              <w:right w:val="double" w:sz="6" w:space="0" w:color="auto"/>
            </w:tcBorders>
            <w:shd w:val="clear" w:color="auto" w:fill="auto"/>
            <w:vAlign w:val="center"/>
            <w:hideMark/>
          </w:tcPr>
          <w:p w14:paraId="351AB79A"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100,0 </w:t>
            </w:r>
          </w:p>
        </w:tc>
      </w:tr>
      <w:tr w:rsidR="00FD7B0B" w:rsidRPr="00FD7B0B" w14:paraId="5813997B" w14:textId="77777777" w:rsidTr="00373A15">
        <w:trPr>
          <w:trHeight w:val="70"/>
        </w:trPr>
        <w:tc>
          <w:tcPr>
            <w:tcW w:w="6368" w:type="dxa"/>
            <w:tcBorders>
              <w:top w:val="nil"/>
              <w:left w:val="double" w:sz="6" w:space="0" w:color="auto"/>
              <w:bottom w:val="single" w:sz="4" w:space="0" w:color="auto"/>
              <w:right w:val="single" w:sz="4" w:space="0" w:color="auto"/>
            </w:tcBorders>
            <w:shd w:val="clear" w:color="auto" w:fill="auto"/>
            <w:vAlign w:val="center"/>
            <w:hideMark/>
          </w:tcPr>
          <w:p w14:paraId="3E0814E3" w14:textId="77777777" w:rsidR="00373A15" w:rsidRPr="00FD7B0B" w:rsidRDefault="00373A15" w:rsidP="00B86B58">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изменение остатков средств на счетах по учету средств бюджетов</w:t>
            </w:r>
          </w:p>
        </w:tc>
        <w:tc>
          <w:tcPr>
            <w:tcW w:w="1240" w:type="dxa"/>
            <w:tcBorders>
              <w:top w:val="nil"/>
              <w:left w:val="nil"/>
              <w:bottom w:val="single" w:sz="4" w:space="0" w:color="auto"/>
              <w:right w:val="single" w:sz="4" w:space="0" w:color="auto"/>
            </w:tcBorders>
            <w:shd w:val="clear" w:color="auto" w:fill="auto"/>
            <w:vAlign w:val="center"/>
            <w:hideMark/>
          </w:tcPr>
          <w:p w14:paraId="57160B86"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2 891,2 </w:t>
            </w:r>
          </w:p>
        </w:tc>
        <w:tc>
          <w:tcPr>
            <w:tcW w:w="1300" w:type="dxa"/>
            <w:tcBorders>
              <w:top w:val="nil"/>
              <w:left w:val="nil"/>
              <w:bottom w:val="single" w:sz="4" w:space="0" w:color="auto"/>
              <w:right w:val="single" w:sz="4" w:space="0" w:color="auto"/>
            </w:tcBorders>
            <w:shd w:val="clear" w:color="auto" w:fill="auto"/>
            <w:vAlign w:val="center"/>
            <w:hideMark/>
          </w:tcPr>
          <w:p w14:paraId="03C50354"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1 568,1 </w:t>
            </w:r>
          </w:p>
        </w:tc>
        <w:tc>
          <w:tcPr>
            <w:tcW w:w="816" w:type="dxa"/>
            <w:tcBorders>
              <w:top w:val="nil"/>
              <w:left w:val="nil"/>
              <w:bottom w:val="single" w:sz="4" w:space="0" w:color="auto"/>
              <w:right w:val="double" w:sz="6" w:space="0" w:color="auto"/>
            </w:tcBorders>
            <w:shd w:val="clear" w:color="auto" w:fill="auto"/>
            <w:vAlign w:val="center"/>
            <w:hideMark/>
          </w:tcPr>
          <w:p w14:paraId="381D535B"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54,2 </w:t>
            </w:r>
          </w:p>
        </w:tc>
      </w:tr>
      <w:tr w:rsidR="00373A15" w:rsidRPr="00FD7B0B" w14:paraId="5427BD4F" w14:textId="77777777" w:rsidTr="00373A15">
        <w:trPr>
          <w:trHeight w:val="70"/>
        </w:trPr>
        <w:tc>
          <w:tcPr>
            <w:tcW w:w="6368" w:type="dxa"/>
            <w:tcBorders>
              <w:top w:val="nil"/>
              <w:left w:val="double" w:sz="6" w:space="0" w:color="auto"/>
              <w:bottom w:val="double" w:sz="6" w:space="0" w:color="auto"/>
              <w:right w:val="single" w:sz="4" w:space="0" w:color="auto"/>
            </w:tcBorders>
            <w:shd w:val="clear" w:color="auto" w:fill="auto"/>
            <w:vAlign w:val="center"/>
            <w:hideMark/>
          </w:tcPr>
          <w:p w14:paraId="02F3F235" w14:textId="77777777" w:rsidR="00373A15" w:rsidRPr="00FD7B0B" w:rsidRDefault="00373A15" w:rsidP="00B86B58">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240" w:type="dxa"/>
            <w:tcBorders>
              <w:top w:val="nil"/>
              <w:left w:val="nil"/>
              <w:bottom w:val="double" w:sz="6" w:space="0" w:color="auto"/>
              <w:right w:val="single" w:sz="4" w:space="0" w:color="auto"/>
            </w:tcBorders>
            <w:shd w:val="clear" w:color="auto" w:fill="auto"/>
            <w:vAlign w:val="center"/>
            <w:hideMark/>
          </w:tcPr>
          <w:p w14:paraId="639F8BA8"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-2 826,7 </w:t>
            </w:r>
          </w:p>
        </w:tc>
        <w:tc>
          <w:tcPr>
            <w:tcW w:w="1300" w:type="dxa"/>
            <w:tcBorders>
              <w:top w:val="nil"/>
              <w:left w:val="nil"/>
              <w:bottom w:val="double" w:sz="6" w:space="0" w:color="auto"/>
              <w:right w:val="single" w:sz="4" w:space="0" w:color="auto"/>
            </w:tcBorders>
            <w:shd w:val="clear" w:color="auto" w:fill="auto"/>
            <w:vAlign w:val="center"/>
            <w:hideMark/>
          </w:tcPr>
          <w:p w14:paraId="7ABD92E8"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-3 153,2 </w:t>
            </w:r>
          </w:p>
        </w:tc>
        <w:tc>
          <w:tcPr>
            <w:tcW w:w="816" w:type="dxa"/>
            <w:tcBorders>
              <w:top w:val="nil"/>
              <w:left w:val="nil"/>
              <w:bottom w:val="double" w:sz="6" w:space="0" w:color="auto"/>
              <w:right w:val="double" w:sz="6" w:space="0" w:color="auto"/>
            </w:tcBorders>
            <w:shd w:val="clear" w:color="auto" w:fill="auto"/>
            <w:vAlign w:val="center"/>
            <w:hideMark/>
          </w:tcPr>
          <w:p w14:paraId="55B9CE2F" w14:textId="77777777" w:rsidR="00373A15" w:rsidRPr="00FD7B0B" w:rsidRDefault="00373A15" w:rsidP="00B86B58">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111,6 </w:t>
            </w:r>
          </w:p>
        </w:tc>
      </w:tr>
    </w:tbl>
    <w:p w14:paraId="1396708B" w14:textId="77777777" w:rsidR="00373A15" w:rsidRPr="00FD7B0B" w:rsidRDefault="00373A15" w:rsidP="00F22AAE">
      <w:pPr>
        <w:spacing w:after="0" w:line="240" w:lineRule="auto"/>
        <w:ind w:firstLine="709"/>
        <w:jc w:val="both"/>
        <w:rPr>
          <w:rFonts w:ascii="Times New Roman" w:hAnsi="Times New Roman"/>
          <w:sz w:val="28"/>
          <w:szCs w:val="28"/>
        </w:rPr>
      </w:pPr>
    </w:p>
    <w:p w14:paraId="7562B8A8" w14:textId="1054E20B" w:rsidR="00373A15" w:rsidRPr="00FD7B0B" w:rsidRDefault="00373A15" w:rsidP="00F22AAE">
      <w:pPr>
        <w:spacing w:after="0" w:line="240" w:lineRule="auto"/>
        <w:ind w:firstLine="709"/>
        <w:jc w:val="both"/>
        <w:rPr>
          <w:rFonts w:ascii="Times New Roman" w:hAnsi="Times New Roman"/>
          <w:sz w:val="28"/>
          <w:szCs w:val="28"/>
        </w:rPr>
      </w:pPr>
      <w:r w:rsidRPr="00FD7B0B">
        <w:rPr>
          <w:rFonts w:ascii="Times New Roman" w:hAnsi="Times New Roman"/>
          <w:sz w:val="28"/>
          <w:szCs w:val="28"/>
        </w:rPr>
        <w:t>Кассовый план по доходам областного бюджета перевыполнен на 0,6 %</w:t>
      </w:r>
      <w:r w:rsidR="007B57C5" w:rsidRPr="00FD7B0B">
        <w:rPr>
          <w:rFonts w:ascii="Times New Roman" w:hAnsi="Times New Roman"/>
          <w:sz w:val="28"/>
          <w:szCs w:val="28"/>
        </w:rPr>
        <w:t>,</w:t>
      </w:r>
      <w:r w:rsidRPr="00FD7B0B">
        <w:rPr>
          <w:rFonts w:ascii="Times New Roman" w:hAnsi="Times New Roman"/>
          <w:sz w:val="28"/>
          <w:szCs w:val="28"/>
        </w:rPr>
        <w:t xml:space="preserve"> и дополнительные поступления составили 873,5 млн.руб. Бюджетные ассигнования по расходам исполнены на 98,9 %</w:t>
      </w:r>
      <w:r w:rsidR="007B57C5" w:rsidRPr="00FD7B0B">
        <w:rPr>
          <w:rFonts w:ascii="Times New Roman" w:hAnsi="Times New Roman"/>
          <w:sz w:val="28"/>
          <w:szCs w:val="28"/>
        </w:rPr>
        <w:t>, не исполнены ассигнования на сумму 1 776,1 млн.руб.</w:t>
      </w:r>
    </w:p>
    <w:p w14:paraId="6752F98B" w14:textId="77777777" w:rsidR="00373A15" w:rsidRPr="00FD7B0B" w:rsidRDefault="00373A15" w:rsidP="007B57C5">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результатам исполнения областного бюджета сложился дефицит в сумме 17 617,5 млн.руб. или 18,0 % к поступившим налоговым и неналоговым доходам. При этом, плановый показатель на 2024 год составлял 21,6 %.</w:t>
      </w:r>
    </w:p>
    <w:p w14:paraId="21BF4DEA" w14:textId="771889AC" w:rsidR="00373A15" w:rsidRPr="00FD7B0B" w:rsidRDefault="00373A15" w:rsidP="007B57C5">
      <w:pPr>
        <w:spacing w:after="0" w:line="240" w:lineRule="auto"/>
        <w:ind w:firstLine="709"/>
        <w:jc w:val="both"/>
        <w:rPr>
          <w:rFonts w:ascii="Times New Roman" w:hAnsi="Times New Roman"/>
          <w:sz w:val="28"/>
          <w:szCs w:val="28"/>
        </w:rPr>
      </w:pPr>
      <w:r w:rsidRPr="00FD7B0B">
        <w:rPr>
          <w:rFonts w:ascii="Times New Roman" w:hAnsi="Times New Roman"/>
          <w:sz w:val="28"/>
          <w:szCs w:val="28"/>
        </w:rPr>
        <w:t>На покрытие дефицита областного бюджета в основном направлены заемные средства, привлеченные в кредитных организациях.</w:t>
      </w:r>
      <w:r w:rsidR="002B4E3A" w:rsidRPr="00FD7B0B">
        <w:rPr>
          <w:rFonts w:ascii="Times New Roman" w:hAnsi="Times New Roman"/>
          <w:sz w:val="28"/>
          <w:szCs w:val="28"/>
        </w:rPr>
        <w:t xml:space="preserve"> </w:t>
      </w:r>
      <w:r w:rsidRPr="00FD7B0B">
        <w:rPr>
          <w:rFonts w:ascii="Times New Roman" w:hAnsi="Times New Roman"/>
          <w:sz w:val="28"/>
          <w:szCs w:val="28"/>
        </w:rPr>
        <w:t>Подробнее сведения изложены в соответствующих разделах настоящего заключения.</w:t>
      </w:r>
    </w:p>
    <w:p w14:paraId="431CC02E" w14:textId="649F4E51" w:rsidR="00373A15" w:rsidRPr="00FD7B0B" w:rsidRDefault="00373A15" w:rsidP="002B4E3A">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В таблице </w:t>
      </w:r>
      <w:r w:rsidR="00C44208" w:rsidRPr="00FD7B0B">
        <w:rPr>
          <w:rFonts w:ascii="Times New Roman" w:hAnsi="Times New Roman"/>
          <w:sz w:val="28"/>
          <w:szCs w:val="28"/>
        </w:rPr>
        <w:t>30</w:t>
      </w:r>
      <w:r w:rsidRPr="00FD7B0B">
        <w:rPr>
          <w:rFonts w:ascii="Times New Roman" w:hAnsi="Times New Roman"/>
          <w:sz w:val="28"/>
          <w:szCs w:val="28"/>
        </w:rPr>
        <w:t xml:space="preserve"> представлены основные параметры исполнения областного бюджета 2023 и 2024 годы.</w:t>
      </w:r>
    </w:p>
    <w:p w14:paraId="41058B10" w14:textId="77777777" w:rsidR="00373A15" w:rsidRPr="00FD7B0B" w:rsidRDefault="00373A15" w:rsidP="002B4E3A">
      <w:pPr>
        <w:pStyle w:val="aff0"/>
        <w:spacing w:after="0" w:line="240" w:lineRule="auto"/>
        <w:rPr>
          <w:rFonts w:ascii="Times New Roman" w:hAnsi="Times New Roman"/>
          <w:b w:val="0"/>
          <w:sz w:val="24"/>
          <w:szCs w:val="24"/>
        </w:rPr>
      </w:pPr>
    </w:p>
    <w:p w14:paraId="0CB4C34D" w14:textId="77777777" w:rsidR="00373A15" w:rsidRPr="00FD7B0B" w:rsidRDefault="00373A15" w:rsidP="002B4E3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30</w:t>
      </w:r>
      <w:r w:rsidRPr="00FD7B0B">
        <w:rPr>
          <w:rFonts w:ascii="Times New Roman" w:hAnsi="Times New Roman"/>
          <w:b w:val="0"/>
          <w:sz w:val="24"/>
          <w:szCs w:val="24"/>
        </w:rPr>
        <w:fldChar w:fldCharType="end"/>
      </w:r>
      <w:r w:rsidRPr="00FD7B0B">
        <w:rPr>
          <w:rFonts w:ascii="Times New Roman" w:hAnsi="Times New Roman"/>
          <w:b w:val="0"/>
          <w:sz w:val="24"/>
          <w:szCs w:val="24"/>
        </w:rPr>
        <w:t>. Основные параметры исполнения областного бюджета за 2023 и 2024 годы, согласно отчетам, представленным в Минфин России, млн.руб.</w:t>
      </w:r>
    </w:p>
    <w:tbl>
      <w:tblPr>
        <w:tblW w:w="9724" w:type="dxa"/>
        <w:tblLook w:val="04A0" w:firstRow="1" w:lastRow="0" w:firstColumn="1" w:lastColumn="0" w:noHBand="0" w:noVBand="1"/>
      </w:tblPr>
      <w:tblGrid>
        <w:gridCol w:w="5471"/>
        <w:gridCol w:w="1166"/>
        <w:gridCol w:w="1166"/>
        <w:gridCol w:w="1200"/>
        <w:gridCol w:w="721"/>
      </w:tblGrid>
      <w:tr w:rsidR="00FD7B0B" w:rsidRPr="00FD7B0B" w14:paraId="61FF0D8D" w14:textId="77777777" w:rsidTr="00373A15">
        <w:trPr>
          <w:trHeight w:val="35"/>
          <w:tblHeader/>
        </w:trPr>
        <w:tc>
          <w:tcPr>
            <w:tcW w:w="5471"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0DB51653" w14:textId="77777777" w:rsidR="00373A15" w:rsidRPr="00FD7B0B" w:rsidRDefault="00373A15" w:rsidP="002B4E3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 показателя</w:t>
            </w:r>
          </w:p>
        </w:tc>
        <w:tc>
          <w:tcPr>
            <w:tcW w:w="116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7262E37" w14:textId="3C64A67A" w:rsidR="00373A15" w:rsidRPr="00FD7B0B" w:rsidRDefault="00373A15" w:rsidP="002B4E3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2023 г</w:t>
            </w:r>
            <w:r w:rsidR="002B4E3A" w:rsidRPr="00FD7B0B">
              <w:rPr>
                <w:rFonts w:ascii="Times New Roman" w:eastAsia="Times New Roman" w:hAnsi="Times New Roman" w:cs="Times New Roman"/>
                <w:b/>
                <w:bCs/>
                <w:sz w:val="21"/>
                <w:szCs w:val="21"/>
                <w:lang w:eastAsia="ru-RU"/>
              </w:rPr>
              <w:t>од</w:t>
            </w:r>
          </w:p>
        </w:tc>
        <w:tc>
          <w:tcPr>
            <w:tcW w:w="116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EC7D970" w14:textId="2595C281" w:rsidR="00373A15" w:rsidRPr="00FD7B0B" w:rsidRDefault="002B4E3A" w:rsidP="002B4E3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2024 год</w:t>
            </w:r>
          </w:p>
        </w:tc>
        <w:tc>
          <w:tcPr>
            <w:tcW w:w="1921" w:type="dxa"/>
            <w:gridSpan w:val="2"/>
            <w:tcBorders>
              <w:top w:val="double" w:sz="6" w:space="0" w:color="auto"/>
              <w:left w:val="nil"/>
              <w:bottom w:val="single" w:sz="4" w:space="0" w:color="auto"/>
              <w:right w:val="double" w:sz="6" w:space="0" w:color="000000"/>
            </w:tcBorders>
            <w:shd w:val="clear" w:color="auto" w:fill="auto"/>
            <w:vAlign w:val="center"/>
            <w:hideMark/>
          </w:tcPr>
          <w:p w14:paraId="23ED4F11" w14:textId="77777777" w:rsidR="00373A15" w:rsidRPr="00FD7B0B" w:rsidRDefault="00373A15" w:rsidP="002B4E3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Рост, снижение к 2023 году, (+,-):</w:t>
            </w:r>
          </w:p>
        </w:tc>
      </w:tr>
      <w:tr w:rsidR="00FD7B0B" w:rsidRPr="00FD7B0B" w14:paraId="10034BE6" w14:textId="77777777" w:rsidTr="00373A15">
        <w:trPr>
          <w:trHeight w:val="35"/>
          <w:tblHeader/>
        </w:trPr>
        <w:tc>
          <w:tcPr>
            <w:tcW w:w="5471" w:type="dxa"/>
            <w:vMerge/>
            <w:tcBorders>
              <w:top w:val="double" w:sz="6" w:space="0" w:color="auto"/>
              <w:left w:val="double" w:sz="6" w:space="0" w:color="auto"/>
              <w:bottom w:val="single" w:sz="4" w:space="0" w:color="auto"/>
              <w:right w:val="single" w:sz="4" w:space="0" w:color="auto"/>
            </w:tcBorders>
            <w:vAlign w:val="center"/>
            <w:hideMark/>
          </w:tcPr>
          <w:p w14:paraId="10B7B3EA" w14:textId="77777777" w:rsidR="00373A15" w:rsidRPr="00FD7B0B" w:rsidRDefault="00373A15" w:rsidP="002B4E3A">
            <w:pPr>
              <w:spacing w:after="0" w:line="240" w:lineRule="auto"/>
              <w:rPr>
                <w:rFonts w:ascii="Times New Roman" w:eastAsia="Times New Roman" w:hAnsi="Times New Roman" w:cs="Times New Roman"/>
                <w:b/>
                <w:bCs/>
                <w:sz w:val="21"/>
                <w:szCs w:val="21"/>
                <w:lang w:eastAsia="ru-RU"/>
              </w:rPr>
            </w:pPr>
          </w:p>
        </w:tc>
        <w:tc>
          <w:tcPr>
            <w:tcW w:w="1166" w:type="dxa"/>
            <w:vMerge/>
            <w:tcBorders>
              <w:top w:val="double" w:sz="6" w:space="0" w:color="auto"/>
              <w:left w:val="single" w:sz="4" w:space="0" w:color="auto"/>
              <w:bottom w:val="single" w:sz="4" w:space="0" w:color="auto"/>
              <w:right w:val="single" w:sz="4" w:space="0" w:color="auto"/>
            </w:tcBorders>
            <w:vAlign w:val="center"/>
            <w:hideMark/>
          </w:tcPr>
          <w:p w14:paraId="727DDBBE" w14:textId="77777777" w:rsidR="00373A15" w:rsidRPr="00FD7B0B" w:rsidRDefault="00373A15" w:rsidP="002B4E3A">
            <w:pPr>
              <w:spacing w:after="0" w:line="240" w:lineRule="auto"/>
              <w:rPr>
                <w:rFonts w:ascii="Times New Roman" w:eastAsia="Times New Roman" w:hAnsi="Times New Roman" w:cs="Times New Roman"/>
                <w:b/>
                <w:bCs/>
                <w:sz w:val="21"/>
                <w:szCs w:val="21"/>
                <w:lang w:eastAsia="ru-RU"/>
              </w:rPr>
            </w:pPr>
          </w:p>
        </w:tc>
        <w:tc>
          <w:tcPr>
            <w:tcW w:w="1166" w:type="dxa"/>
            <w:vMerge/>
            <w:tcBorders>
              <w:top w:val="double" w:sz="6" w:space="0" w:color="auto"/>
              <w:left w:val="single" w:sz="4" w:space="0" w:color="auto"/>
              <w:bottom w:val="single" w:sz="4" w:space="0" w:color="auto"/>
              <w:right w:val="single" w:sz="4" w:space="0" w:color="auto"/>
            </w:tcBorders>
            <w:vAlign w:val="center"/>
            <w:hideMark/>
          </w:tcPr>
          <w:p w14:paraId="6163E9A7" w14:textId="77777777" w:rsidR="00373A15" w:rsidRPr="00FD7B0B" w:rsidRDefault="00373A15" w:rsidP="002B4E3A">
            <w:pPr>
              <w:spacing w:after="0" w:line="240" w:lineRule="auto"/>
              <w:rPr>
                <w:rFonts w:ascii="Times New Roman" w:eastAsia="Times New Roman" w:hAnsi="Times New Roman" w:cs="Times New Roman"/>
                <w:b/>
                <w:bCs/>
                <w:sz w:val="21"/>
                <w:szCs w:val="21"/>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1079F95" w14:textId="3C1607A9" w:rsidR="00373A15" w:rsidRPr="00FD7B0B" w:rsidRDefault="00373A15" w:rsidP="002B4E3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млн.руб.</w:t>
            </w:r>
          </w:p>
        </w:tc>
        <w:tc>
          <w:tcPr>
            <w:tcW w:w="721" w:type="dxa"/>
            <w:tcBorders>
              <w:top w:val="nil"/>
              <w:left w:val="nil"/>
              <w:bottom w:val="single" w:sz="4" w:space="0" w:color="auto"/>
              <w:right w:val="double" w:sz="6" w:space="0" w:color="auto"/>
            </w:tcBorders>
            <w:shd w:val="clear" w:color="auto" w:fill="auto"/>
            <w:vAlign w:val="center"/>
            <w:hideMark/>
          </w:tcPr>
          <w:p w14:paraId="2C81F0E5" w14:textId="4938C893" w:rsidR="00373A15" w:rsidRPr="00FD7B0B" w:rsidRDefault="00373A15" w:rsidP="002B4E3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5F72A0C2"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noWrap/>
            <w:vAlign w:val="center"/>
            <w:hideMark/>
          </w:tcPr>
          <w:p w14:paraId="69836DB3"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Доходы бюджета, из них:</w:t>
            </w:r>
          </w:p>
        </w:tc>
        <w:tc>
          <w:tcPr>
            <w:tcW w:w="1166" w:type="dxa"/>
            <w:tcBorders>
              <w:top w:val="nil"/>
              <w:left w:val="nil"/>
              <w:bottom w:val="single" w:sz="4" w:space="0" w:color="auto"/>
              <w:right w:val="single" w:sz="4" w:space="0" w:color="auto"/>
            </w:tcBorders>
            <w:shd w:val="clear" w:color="auto" w:fill="auto"/>
            <w:noWrap/>
            <w:vAlign w:val="center"/>
            <w:hideMark/>
          </w:tcPr>
          <w:p w14:paraId="7214603D"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131 380,7 </w:t>
            </w:r>
          </w:p>
        </w:tc>
        <w:tc>
          <w:tcPr>
            <w:tcW w:w="1166" w:type="dxa"/>
            <w:tcBorders>
              <w:top w:val="nil"/>
              <w:left w:val="nil"/>
              <w:bottom w:val="single" w:sz="4" w:space="0" w:color="auto"/>
              <w:right w:val="single" w:sz="4" w:space="0" w:color="auto"/>
            </w:tcBorders>
            <w:shd w:val="clear" w:color="auto" w:fill="auto"/>
            <w:noWrap/>
            <w:vAlign w:val="center"/>
            <w:hideMark/>
          </w:tcPr>
          <w:p w14:paraId="12BCF9CD"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135 583,6 </w:t>
            </w:r>
          </w:p>
        </w:tc>
        <w:tc>
          <w:tcPr>
            <w:tcW w:w="1200" w:type="dxa"/>
            <w:tcBorders>
              <w:top w:val="nil"/>
              <w:left w:val="nil"/>
              <w:bottom w:val="single" w:sz="4" w:space="0" w:color="auto"/>
              <w:right w:val="single" w:sz="4" w:space="0" w:color="auto"/>
            </w:tcBorders>
            <w:shd w:val="clear" w:color="auto" w:fill="auto"/>
            <w:vAlign w:val="center"/>
            <w:hideMark/>
          </w:tcPr>
          <w:p w14:paraId="76C7E7D7"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4 202,9 </w:t>
            </w:r>
          </w:p>
        </w:tc>
        <w:tc>
          <w:tcPr>
            <w:tcW w:w="721" w:type="dxa"/>
            <w:tcBorders>
              <w:top w:val="nil"/>
              <w:left w:val="nil"/>
              <w:bottom w:val="single" w:sz="4" w:space="0" w:color="auto"/>
              <w:right w:val="double" w:sz="6" w:space="0" w:color="auto"/>
            </w:tcBorders>
            <w:shd w:val="clear" w:color="auto" w:fill="auto"/>
            <w:vAlign w:val="center"/>
            <w:hideMark/>
          </w:tcPr>
          <w:p w14:paraId="6E16100C"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3,2 </w:t>
            </w:r>
          </w:p>
        </w:tc>
      </w:tr>
      <w:tr w:rsidR="00FD7B0B" w:rsidRPr="00FD7B0B" w14:paraId="68F99DF0"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noWrap/>
            <w:vAlign w:val="center"/>
            <w:hideMark/>
          </w:tcPr>
          <w:p w14:paraId="4B8E0AD1"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 - налоговые и неналоговые доходы</w:t>
            </w:r>
          </w:p>
        </w:tc>
        <w:tc>
          <w:tcPr>
            <w:tcW w:w="1166" w:type="dxa"/>
            <w:tcBorders>
              <w:top w:val="nil"/>
              <w:left w:val="nil"/>
              <w:bottom w:val="single" w:sz="4" w:space="0" w:color="auto"/>
              <w:right w:val="single" w:sz="4" w:space="0" w:color="auto"/>
            </w:tcBorders>
            <w:shd w:val="clear" w:color="auto" w:fill="auto"/>
            <w:noWrap/>
            <w:vAlign w:val="center"/>
            <w:hideMark/>
          </w:tcPr>
          <w:p w14:paraId="2341D3B0"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87 589,7 </w:t>
            </w:r>
          </w:p>
        </w:tc>
        <w:tc>
          <w:tcPr>
            <w:tcW w:w="1166" w:type="dxa"/>
            <w:tcBorders>
              <w:top w:val="nil"/>
              <w:left w:val="nil"/>
              <w:bottom w:val="single" w:sz="4" w:space="0" w:color="auto"/>
              <w:right w:val="single" w:sz="4" w:space="0" w:color="auto"/>
            </w:tcBorders>
            <w:shd w:val="clear" w:color="auto" w:fill="auto"/>
            <w:noWrap/>
            <w:vAlign w:val="center"/>
            <w:hideMark/>
          </w:tcPr>
          <w:p w14:paraId="2F62BFA9"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97 631,0 </w:t>
            </w:r>
          </w:p>
        </w:tc>
        <w:tc>
          <w:tcPr>
            <w:tcW w:w="1200" w:type="dxa"/>
            <w:tcBorders>
              <w:top w:val="nil"/>
              <w:left w:val="nil"/>
              <w:bottom w:val="single" w:sz="4" w:space="0" w:color="auto"/>
              <w:right w:val="single" w:sz="4" w:space="0" w:color="auto"/>
            </w:tcBorders>
            <w:shd w:val="clear" w:color="auto" w:fill="auto"/>
            <w:vAlign w:val="center"/>
            <w:hideMark/>
          </w:tcPr>
          <w:p w14:paraId="7A5F7D20"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10 041,3 </w:t>
            </w:r>
          </w:p>
        </w:tc>
        <w:tc>
          <w:tcPr>
            <w:tcW w:w="721" w:type="dxa"/>
            <w:tcBorders>
              <w:top w:val="nil"/>
              <w:left w:val="nil"/>
              <w:bottom w:val="single" w:sz="4" w:space="0" w:color="auto"/>
              <w:right w:val="double" w:sz="6" w:space="0" w:color="auto"/>
            </w:tcBorders>
            <w:shd w:val="clear" w:color="auto" w:fill="auto"/>
            <w:vAlign w:val="center"/>
            <w:hideMark/>
          </w:tcPr>
          <w:p w14:paraId="3C502073"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11,5 </w:t>
            </w:r>
          </w:p>
        </w:tc>
      </w:tr>
      <w:tr w:rsidR="00FD7B0B" w:rsidRPr="00FD7B0B" w14:paraId="2541D3D0"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noWrap/>
            <w:vAlign w:val="center"/>
            <w:hideMark/>
          </w:tcPr>
          <w:p w14:paraId="4B2CE8F0"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 - поступления из других бюджетов</w:t>
            </w:r>
          </w:p>
        </w:tc>
        <w:tc>
          <w:tcPr>
            <w:tcW w:w="1166" w:type="dxa"/>
            <w:tcBorders>
              <w:top w:val="nil"/>
              <w:left w:val="nil"/>
              <w:bottom w:val="single" w:sz="4" w:space="0" w:color="auto"/>
              <w:right w:val="single" w:sz="4" w:space="0" w:color="auto"/>
            </w:tcBorders>
            <w:shd w:val="clear" w:color="auto" w:fill="auto"/>
            <w:noWrap/>
            <w:vAlign w:val="center"/>
            <w:hideMark/>
          </w:tcPr>
          <w:p w14:paraId="14F1167B"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36 102,3 </w:t>
            </w:r>
          </w:p>
        </w:tc>
        <w:tc>
          <w:tcPr>
            <w:tcW w:w="1166" w:type="dxa"/>
            <w:tcBorders>
              <w:top w:val="nil"/>
              <w:left w:val="nil"/>
              <w:bottom w:val="single" w:sz="4" w:space="0" w:color="auto"/>
              <w:right w:val="single" w:sz="4" w:space="0" w:color="auto"/>
            </w:tcBorders>
            <w:shd w:val="clear" w:color="auto" w:fill="auto"/>
            <w:noWrap/>
            <w:vAlign w:val="center"/>
            <w:hideMark/>
          </w:tcPr>
          <w:p w14:paraId="7FF8379C"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35 605,9 </w:t>
            </w:r>
          </w:p>
        </w:tc>
        <w:tc>
          <w:tcPr>
            <w:tcW w:w="1200" w:type="dxa"/>
            <w:tcBorders>
              <w:top w:val="nil"/>
              <w:left w:val="nil"/>
              <w:bottom w:val="single" w:sz="4" w:space="0" w:color="auto"/>
              <w:right w:val="single" w:sz="4" w:space="0" w:color="auto"/>
            </w:tcBorders>
            <w:shd w:val="clear" w:color="auto" w:fill="auto"/>
            <w:vAlign w:val="center"/>
            <w:hideMark/>
          </w:tcPr>
          <w:p w14:paraId="707A4E16"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-496,4 </w:t>
            </w:r>
          </w:p>
        </w:tc>
        <w:tc>
          <w:tcPr>
            <w:tcW w:w="721" w:type="dxa"/>
            <w:tcBorders>
              <w:top w:val="nil"/>
              <w:left w:val="nil"/>
              <w:bottom w:val="single" w:sz="4" w:space="0" w:color="auto"/>
              <w:right w:val="double" w:sz="6" w:space="0" w:color="auto"/>
            </w:tcBorders>
            <w:shd w:val="clear" w:color="auto" w:fill="auto"/>
            <w:vAlign w:val="center"/>
            <w:hideMark/>
          </w:tcPr>
          <w:p w14:paraId="1F1289EC"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-1,4 </w:t>
            </w:r>
          </w:p>
        </w:tc>
      </w:tr>
      <w:tr w:rsidR="00FD7B0B" w:rsidRPr="00FD7B0B" w14:paraId="3CC2CE94"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noWrap/>
            <w:vAlign w:val="center"/>
            <w:hideMark/>
          </w:tcPr>
          <w:p w14:paraId="6967AB6D"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Расходы бюджета</w:t>
            </w:r>
          </w:p>
        </w:tc>
        <w:tc>
          <w:tcPr>
            <w:tcW w:w="1166" w:type="dxa"/>
            <w:tcBorders>
              <w:top w:val="nil"/>
              <w:left w:val="nil"/>
              <w:bottom w:val="single" w:sz="4" w:space="0" w:color="auto"/>
              <w:right w:val="single" w:sz="4" w:space="0" w:color="auto"/>
            </w:tcBorders>
            <w:shd w:val="clear" w:color="auto" w:fill="auto"/>
            <w:noWrap/>
            <w:vAlign w:val="center"/>
            <w:hideMark/>
          </w:tcPr>
          <w:p w14:paraId="49285EC5"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150 336,1 </w:t>
            </w:r>
          </w:p>
        </w:tc>
        <w:tc>
          <w:tcPr>
            <w:tcW w:w="1166" w:type="dxa"/>
            <w:tcBorders>
              <w:top w:val="nil"/>
              <w:left w:val="nil"/>
              <w:bottom w:val="single" w:sz="4" w:space="0" w:color="auto"/>
              <w:right w:val="single" w:sz="4" w:space="0" w:color="auto"/>
            </w:tcBorders>
            <w:shd w:val="clear" w:color="auto" w:fill="auto"/>
            <w:noWrap/>
            <w:vAlign w:val="center"/>
            <w:hideMark/>
          </w:tcPr>
          <w:p w14:paraId="2CC8942B"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153 201,1 </w:t>
            </w:r>
          </w:p>
        </w:tc>
        <w:tc>
          <w:tcPr>
            <w:tcW w:w="1200" w:type="dxa"/>
            <w:tcBorders>
              <w:top w:val="nil"/>
              <w:left w:val="nil"/>
              <w:bottom w:val="single" w:sz="4" w:space="0" w:color="auto"/>
              <w:right w:val="single" w:sz="4" w:space="0" w:color="auto"/>
            </w:tcBorders>
            <w:shd w:val="clear" w:color="auto" w:fill="auto"/>
            <w:vAlign w:val="center"/>
            <w:hideMark/>
          </w:tcPr>
          <w:p w14:paraId="25E8FEFA"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2 865,0 </w:t>
            </w:r>
          </w:p>
        </w:tc>
        <w:tc>
          <w:tcPr>
            <w:tcW w:w="721" w:type="dxa"/>
            <w:tcBorders>
              <w:top w:val="nil"/>
              <w:left w:val="nil"/>
              <w:bottom w:val="single" w:sz="4" w:space="0" w:color="auto"/>
              <w:right w:val="double" w:sz="6" w:space="0" w:color="auto"/>
            </w:tcBorders>
            <w:shd w:val="clear" w:color="auto" w:fill="auto"/>
            <w:vAlign w:val="center"/>
            <w:hideMark/>
          </w:tcPr>
          <w:p w14:paraId="768A8FFD"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1,9 </w:t>
            </w:r>
          </w:p>
        </w:tc>
      </w:tr>
      <w:tr w:rsidR="00FD7B0B" w:rsidRPr="00FD7B0B" w14:paraId="6D3FD504"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noWrap/>
            <w:vAlign w:val="center"/>
            <w:hideMark/>
          </w:tcPr>
          <w:p w14:paraId="187BCC60"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lastRenderedPageBreak/>
              <w:t>Результат исполнения бюджета: дефицит (-), профицит (+)</w:t>
            </w:r>
          </w:p>
        </w:tc>
        <w:tc>
          <w:tcPr>
            <w:tcW w:w="1166" w:type="dxa"/>
            <w:tcBorders>
              <w:top w:val="nil"/>
              <w:left w:val="nil"/>
              <w:bottom w:val="single" w:sz="4" w:space="0" w:color="auto"/>
              <w:right w:val="single" w:sz="4" w:space="0" w:color="auto"/>
            </w:tcBorders>
            <w:shd w:val="clear" w:color="auto" w:fill="auto"/>
            <w:noWrap/>
            <w:vAlign w:val="center"/>
            <w:hideMark/>
          </w:tcPr>
          <w:p w14:paraId="605C32B9"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-18 955,4 </w:t>
            </w:r>
          </w:p>
        </w:tc>
        <w:tc>
          <w:tcPr>
            <w:tcW w:w="1166" w:type="dxa"/>
            <w:tcBorders>
              <w:top w:val="nil"/>
              <w:left w:val="nil"/>
              <w:bottom w:val="single" w:sz="4" w:space="0" w:color="auto"/>
              <w:right w:val="single" w:sz="4" w:space="0" w:color="auto"/>
            </w:tcBorders>
            <w:shd w:val="clear" w:color="auto" w:fill="auto"/>
            <w:noWrap/>
            <w:vAlign w:val="center"/>
            <w:hideMark/>
          </w:tcPr>
          <w:p w14:paraId="4C12D7B8"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-17 617,5 </w:t>
            </w:r>
          </w:p>
        </w:tc>
        <w:tc>
          <w:tcPr>
            <w:tcW w:w="1200" w:type="dxa"/>
            <w:tcBorders>
              <w:top w:val="nil"/>
              <w:left w:val="nil"/>
              <w:bottom w:val="single" w:sz="4" w:space="0" w:color="auto"/>
              <w:right w:val="single" w:sz="4" w:space="0" w:color="auto"/>
            </w:tcBorders>
            <w:shd w:val="clear" w:color="auto" w:fill="auto"/>
            <w:vAlign w:val="center"/>
            <w:hideMark/>
          </w:tcPr>
          <w:p w14:paraId="09EA98FF"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1 337,9 </w:t>
            </w:r>
          </w:p>
        </w:tc>
        <w:tc>
          <w:tcPr>
            <w:tcW w:w="721" w:type="dxa"/>
            <w:tcBorders>
              <w:top w:val="nil"/>
              <w:left w:val="nil"/>
              <w:bottom w:val="single" w:sz="4" w:space="0" w:color="auto"/>
              <w:right w:val="double" w:sz="6" w:space="0" w:color="auto"/>
            </w:tcBorders>
            <w:shd w:val="clear" w:color="auto" w:fill="auto"/>
            <w:vAlign w:val="center"/>
            <w:hideMark/>
          </w:tcPr>
          <w:p w14:paraId="07FC1860"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-7,1 </w:t>
            </w:r>
          </w:p>
        </w:tc>
      </w:tr>
      <w:tr w:rsidR="00FD7B0B" w:rsidRPr="00FD7B0B" w14:paraId="6C50F426"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vAlign w:val="center"/>
            <w:hideMark/>
          </w:tcPr>
          <w:p w14:paraId="44DBF8DB"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Источники финансирования дефицита (направления профицита), из них:</w:t>
            </w:r>
          </w:p>
        </w:tc>
        <w:tc>
          <w:tcPr>
            <w:tcW w:w="1166" w:type="dxa"/>
            <w:tcBorders>
              <w:top w:val="nil"/>
              <w:left w:val="nil"/>
              <w:bottom w:val="single" w:sz="4" w:space="0" w:color="auto"/>
              <w:right w:val="single" w:sz="4" w:space="0" w:color="auto"/>
            </w:tcBorders>
            <w:shd w:val="clear" w:color="auto" w:fill="auto"/>
            <w:noWrap/>
            <w:vAlign w:val="center"/>
            <w:hideMark/>
          </w:tcPr>
          <w:p w14:paraId="45E6D3E2"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18 955,4 </w:t>
            </w:r>
          </w:p>
        </w:tc>
        <w:tc>
          <w:tcPr>
            <w:tcW w:w="1166" w:type="dxa"/>
            <w:tcBorders>
              <w:top w:val="nil"/>
              <w:left w:val="nil"/>
              <w:bottom w:val="single" w:sz="4" w:space="0" w:color="auto"/>
              <w:right w:val="single" w:sz="4" w:space="0" w:color="auto"/>
            </w:tcBorders>
            <w:shd w:val="clear" w:color="auto" w:fill="auto"/>
            <w:noWrap/>
            <w:vAlign w:val="center"/>
            <w:hideMark/>
          </w:tcPr>
          <w:p w14:paraId="435B5546"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17 617,5 </w:t>
            </w:r>
          </w:p>
        </w:tc>
        <w:tc>
          <w:tcPr>
            <w:tcW w:w="1200" w:type="dxa"/>
            <w:tcBorders>
              <w:top w:val="nil"/>
              <w:left w:val="nil"/>
              <w:bottom w:val="single" w:sz="4" w:space="0" w:color="auto"/>
              <w:right w:val="single" w:sz="4" w:space="0" w:color="auto"/>
            </w:tcBorders>
            <w:shd w:val="clear" w:color="auto" w:fill="auto"/>
            <w:vAlign w:val="center"/>
            <w:hideMark/>
          </w:tcPr>
          <w:p w14:paraId="21E345E8"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-1 337,9 </w:t>
            </w:r>
          </w:p>
        </w:tc>
        <w:tc>
          <w:tcPr>
            <w:tcW w:w="721" w:type="dxa"/>
            <w:tcBorders>
              <w:top w:val="nil"/>
              <w:left w:val="nil"/>
              <w:bottom w:val="single" w:sz="4" w:space="0" w:color="auto"/>
              <w:right w:val="double" w:sz="6" w:space="0" w:color="auto"/>
            </w:tcBorders>
            <w:shd w:val="clear" w:color="auto" w:fill="auto"/>
            <w:vAlign w:val="center"/>
            <w:hideMark/>
          </w:tcPr>
          <w:p w14:paraId="26FDA934"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-7,1 </w:t>
            </w:r>
          </w:p>
        </w:tc>
      </w:tr>
      <w:tr w:rsidR="00FD7B0B" w:rsidRPr="00FD7B0B" w14:paraId="4301BDF7"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vAlign w:val="center"/>
            <w:hideMark/>
          </w:tcPr>
          <w:p w14:paraId="78B341D9"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 - кредиты кредитных организаций в валюте РФ (сальдо «привлечено» минус «погашено»)</w:t>
            </w:r>
          </w:p>
        </w:tc>
        <w:tc>
          <w:tcPr>
            <w:tcW w:w="1166" w:type="dxa"/>
            <w:tcBorders>
              <w:top w:val="nil"/>
              <w:left w:val="nil"/>
              <w:bottom w:val="single" w:sz="4" w:space="0" w:color="auto"/>
              <w:right w:val="single" w:sz="4" w:space="0" w:color="auto"/>
            </w:tcBorders>
            <w:shd w:val="clear" w:color="auto" w:fill="auto"/>
            <w:noWrap/>
            <w:vAlign w:val="center"/>
            <w:hideMark/>
          </w:tcPr>
          <w:p w14:paraId="0FF21F57"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14 999,9 </w:t>
            </w:r>
          </w:p>
        </w:tc>
        <w:tc>
          <w:tcPr>
            <w:tcW w:w="1166" w:type="dxa"/>
            <w:tcBorders>
              <w:top w:val="nil"/>
              <w:left w:val="nil"/>
              <w:bottom w:val="single" w:sz="4" w:space="0" w:color="auto"/>
              <w:right w:val="single" w:sz="4" w:space="0" w:color="auto"/>
            </w:tcBorders>
            <w:shd w:val="clear" w:color="auto" w:fill="auto"/>
            <w:noWrap/>
            <w:vAlign w:val="center"/>
            <w:hideMark/>
          </w:tcPr>
          <w:p w14:paraId="56A909AC"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21 741,9 </w:t>
            </w:r>
          </w:p>
        </w:tc>
        <w:tc>
          <w:tcPr>
            <w:tcW w:w="1200" w:type="dxa"/>
            <w:tcBorders>
              <w:top w:val="nil"/>
              <w:left w:val="nil"/>
              <w:bottom w:val="single" w:sz="4" w:space="0" w:color="auto"/>
              <w:right w:val="single" w:sz="4" w:space="0" w:color="auto"/>
            </w:tcBorders>
            <w:shd w:val="clear" w:color="auto" w:fill="auto"/>
            <w:vAlign w:val="center"/>
            <w:hideMark/>
          </w:tcPr>
          <w:p w14:paraId="2DE4E6C0"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6 742,0 </w:t>
            </w:r>
          </w:p>
        </w:tc>
        <w:tc>
          <w:tcPr>
            <w:tcW w:w="721" w:type="dxa"/>
            <w:tcBorders>
              <w:top w:val="nil"/>
              <w:left w:val="nil"/>
              <w:bottom w:val="single" w:sz="4" w:space="0" w:color="auto"/>
              <w:right w:val="double" w:sz="6" w:space="0" w:color="auto"/>
            </w:tcBorders>
            <w:shd w:val="clear" w:color="auto" w:fill="auto"/>
            <w:vAlign w:val="center"/>
            <w:hideMark/>
          </w:tcPr>
          <w:p w14:paraId="4175105E"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44,9 </w:t>
            </w:r>
          </w:p>
        </w:tc>
      </w:tr>
      <w:tr w:rsidR="00FD7B0B" w:rsidRPr="00FD7B0B" w14:paraId="023D13C9"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vAlign w:val="center"/>
            <w:hideMark/>
          </w:tcPr>
          <w:p w14:paraId="34E18213"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 - бюджетные кредиты из других бюджетов бюджетной системы РФ (сальдо «привлечено» минус «погашено»)</w:t>
            </w:r>
          </w:p>
        </w:tc>
        <w:tc>
          <w:tcPr>
            <w:tcW w:w="1166" w:type="dxa"/>
            <w:tcBorders>
              <w:top w:val="nil"/>
              <w:left w:val="nil"/>
              <w:bottom w:val="single" w:sz="4" w:space="0" w:color="auto"/>
              <w:right w:val="single" w:sz="4" w:space="0" w:color="auto"/>
            </w:tcBorders>
            <w:shd w:val="clear" w:color="auto" w:fill="auto"/>
            <w:noWrap/>
            <w:vAlign w:val="center"/>
            <w:hideMark/>
          </w:tcPr>
          <w:p w14:paraId="4A47E878"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6 070,0 </w:t>
            </w:r>
          </w:p>
        </w:tc>
        <w:tc>
          <w:tcPr>
            <w:tcW w:w="1166" w:type="dxa"/>
            <w:tcBorders>
              <w:top w:val="nil"/>
              <w:left w:val="nil"/>
              <w:bottom w:val="single" w:sz="4" w:space="0" w:color="auto"/>
              <w:right w:val="single" w:sz="4" w:space="0" w:color="auto"/>
            </w:tcBorders>
            <w:shd w:val="clear" w:color="auto" w:fill="auto"/>
            <w:noWrap/>
            <w:vAlign w:val="center"/>
            <w:hideMark/>
          </w:tcPr>
          <w:p w14:paraId="43AE2E11"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-2 563,0 </w:t>
            </w:r>
          </w:p>
        </w:tc>
        <w:tc>
          <w:tcPr>
            <w:tcW w:w="1200" w:type="dxa"/>
            <w:tcBorders>
              <w:top w:val="nil"/>
              <w:left w:val="nil"/>
              <w:bottom w:val="single" w:sz="4" w:space="0" w:color="auto"/>
              <w:right w:val="single" w:sz="4" w:space="0" w:color="auto"/>
            </w:tcBorders>
            <w:shd w:val="clear" w:color="auto" w:fill="auto"/>
            <w:vAlign w:val="center"/>
            <w:hideMark/>
          </w:tcPr>
          <w:p w14:paraId="0C2A204A"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-8 633,0 </w:t>
            </w:r>
          </w:p>
        </w:tc>
        <w:tc>
          <w:tcPr>
            <w:tcW w:w="721" w:type="dxa"/>
            <w:tcBorders>
              <w:top w:val="nil"/>
              <w:left w:val="nil"/>
              <w:bottom w:val="single" w:sz="4" w:space="0" w:color="auto"/>
              <w:right w:val="double" w:sz="6" w:space="0" w:color="auto"/>
            </w:tcBorders>
            <w:shd w:val="clear" w:color="auto" w:fill="auto"/>
            <w:vAlign w:val="center"/>
            <w:hideMark/>
          </w:tcPr>
          <w:p w14:paraId="47256FC1" w14:textId="6F7130EC" w:rsidR="00373A15" w:rsidRPr="00FD7B0B" w:rsidRDefault="002B4E3A" w:rsidP="002B4E3A">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w:t>
            </w:r>
          </w:p>
        </w:tc>
      </w:tr>
      <w:tr w:rsidR="00FD7B0B" w:rsidRPr="00FD7B0B" w14:paraId="3A0D6BDE"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vAlign w:val="center"/>
            <w:hideMark/>
          </w:tcPr>
          <w:p w14:paraId="7C2CC33C"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 - возврат бюджетных кредитов от других бюджетов в областной бюджет</w:t>
            </w:r>
          </w:p>
        </w:tc>
        <w:tc>
          <w:tcPr>
            <w:tcW w:w="1166" w:type="dxa"/>
            <w:tcBorders>
              <w:top w:val="nil"/>
              <w:left w:val="nil"/>
              <w:bottom w:val="single" w:sz="4" w:space="0" w:color="auto"/>
              <w:right w:val="single" w:sz="4" w:space="0" w:color="auto"/>
            </w:tcBorders>
            <w:shd w:val="clear" w:color="auto" w:fill="auto"/>
            <w:noWrap/>
            <w:vAlign w:val="center"/>
            <w:hideMark/>
          </w:tcPr>
          <w:p w14:paraId="5C4ABDFF"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71,1 </w:t>
            </w:r>
          </w:p>
        </w:tc>
        <w:tc>
          <w:tcPr>
            <w:tcW w:w="1166" w:type="dxa"/>
            <w:tcBorders>
              <w:top w:val="nil"/>
              <w:left w:val="nil"/>
              <w:bottom w:val="single" w:sz="4" w:space="0" w:color="auto"/>
              <w:right w:val="single" w:sz="4" w:space="0" w:color="auto"/>
            </w:tcBorders>
            <w:shd w:val="clear" w:color="auto" w:fill="auto"/>
            <w:noWrap/>
            <w:vAlign w:val="center"/>
            <w:hideMark/>
          </w:tcPr>
          <w:p w14:paraId="3A67D174"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23,7 </w:t>
            </w:r>
          </w:p>
        </w:tc>
        <w:tc>
          <w:tcPr>
            <w:tcW w:w="1200" w:type="dxa"/>
            <w:tcBorders>
              <w:top w:val="nil"/>
              <w:left w:val="nil"/>
              <w:bottom w:val="single" w:sz="4" w:space="0" w:color="auto"/>
              <w:right w:val="single" w:sz="4" w:space="0" w:color="auto"/>
            </w:tcBorders>
            <w:shd w:val="clear" w:color="auto" w:fill="auto"/>
            <w:vAlign w:val="center"/>
            <w:hideMark/>
          </w:tcPr>
          <w:p w14:paraId="3BDB259C"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-47,4 </w:t>
            </w:r>
          </w:p>
        </w:tc>
        <w:tc>
          <w:tcPr>
            <w:tcW w:w="721" w:type="dxa"/>
            <w:tcBorders>
              <w:top w:val="nil"/>
              <w:left w:val="nil"/>
              <w:bottom w:val="single" w:sz="4" w:space="0" w:color="auto"/>
              <w:right w:val="double" w:sz="6" w:space="0" w:color="auto"/>
            </w:tcBorders>
            <w:shd w:val="clear" w:color="auto" w:fill="auto"/>
            <w:vAlign w:val="center"/>
            <w:hideMark/>
          </w:tcPr>
          <w:p w14:paraId="613E9CAC"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-66,7 </w:t>
            </w:r>
          </w:p>
        </w:tc>
      </w:tr>
      <w:tr w:rsidR="00FD7B0B" w:rsidRPr="00FD7B0B" w14:paraId="5961ED60" w14:textId="77777777" w:rsidTr="00373A15">
        <w:trPr>
          <w:trHeight w:val="70"/>
        </w:trPr>
        <w:tc>
          <w:tcPr>
            <w:tcW w:w="5471" w:type="dxa"/>
            <w:tcBorders>
              <w:top w:val="nil"/>
              <w:left w:val="double" w:sz="6" w:space="0" w:color="auto"/>
              <w:bottom w:val="single" w:sz="4" w:space="0" w:color="auto"/>
              <w:right w:val="single" w:sz="4" w:space="0" w:color="auto"/>
            </w:tcBorders>
            <w:shd w:val="clear" w:color="auto" w:fill="auto"/>
            <w:vAlign w:val="center"/>
            <w:hideMark/>
          </w:tcPr>
          <w:p w14:paraId="2FF00761"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 - изменение остатков средств на счетах по учету средств бюджетов</w:t>
            </w:r>
          </w:p>
        </w:tc>
        <w:tc>
          <w:tcPr>
            <w:tcW w:w="1166" w:type="dxa"/>
            <w:tcBorders>
              <w:top w:val="nil"/>
              <w:left w:val="nil"/>
              <w:bottom w:val="single" w:sz="4" w:space="0" w:color="auto"/>
              <w:right w:val="single" w:sz="4" w:space="0" w:color="auto"/>
            </w:tcBorders>
            <w:shd w:val="clear" w:color="auto" w:fill="auto"/>
            <w:noWrap/>
            <w:vAlign w:val="center"/>
            <w:hideMark/>
          </w:tcPr>
          <w:p w14:paraId="2657E503"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120,5 </w:t>
            </w:r>
          </w:p>
        </w:tc>
        <w:tc>
          <w:tcPr>
            <w:tcW w:w="1166" w:type="dxa"/>
            <w:tcBorders>
              <w:top w:val="nil"/>
              <w:left w:val="nil"/>
              <w:bottom w:val="single" w:sz="4" w:space="0" w:color="auto"/>
              <w:right w:val="single" w:sz="4" w:space="0" w:color="auto"/>
            </w:tcBorders>
            <w:shd w:val="clear" w:color="auto" w:fill="auto"/>
            <w:noWrap/>
            <w:vAlign w:val="center"/>
            <w:hideMark/>
          </w:tcPr>
          <w:p w14:paraId="14F97697"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1 568,1 </w:t>
            </w:r>
          </w:p>
        </w:tc>
        <w:tc>
          <w:tcPr>
            <w:tcW w:w="1200" w:type="dxa"/>
            <w:tcBorders>
              <w:top w:val="nil"/>
              <w:left w:val="nil"/>
              <w:bottom w:val="single" w:sz="4" w:space="0" w:color="auto"/>
              <w:right w:val="single" w:sz="4" w:space="0" w:color="auto"/>
            </w:tcBorders>
            <w:shd w:val="clear" w:color="auto" w:fill="auto"/>
            <w:vAlign w:val="center"/>
            <w:hideMark/>
          </w:tcPr>
          <w:p w14:paraId="414731CF"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1 447,7 </w:t>
            </w:r>
          </w:p>
        </w:tc>
        <w:tc>
          <w:tcPr>
            <w:tcW w:w="721" w:type="dxa"/>
            <w:tcBorders>
              <w:top w:val="nil"/>
              <w:left w:val="nil"/>
              <w:bottom w:val="single" w:sz="4" w:space="0" w:color="auto"/>
              <w:right w:val="double" w:sz="6" w:space="0" w:color="auto"/>
            </w:tcBorders>
            <w:shd w:val="clear" w:color="auto" w:fill="auto"/>
            <w:vAlign w:val="center"/>
            <w:hideMark/>
          </w:tcPr>
          <w:p w14:paraId="634E9974" w14:textId="646EC9AA" w:rsidR="00373A15" w:rsidRPr="00FD7B0B" w:rsidRDefault="002B4E3A" w:rsidP="002B4E3A">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w:t>
            </w:r>
          </w:p>
        </w:tc>
      </w:tr>
      <w:tr w:rsidR="00373A15" w:rsidRPr="00FD7B0B" w14:paraId="2E4BDB4C" w14:textId="77777777" w:rsidTr="00373A15">
        <w:trPr>
          <w:trHeight w:val="70"/>
        </w:trPr>
        <w:tc>
          <w:tcPr>
            <w:tcW w:w="5471" w:type="dxa"/>
            <w:tcBorders>
              <w:top w:val="nil"/>
              <w:left w:val="double" w:sz="6" w:space="0" w:color="auto"/>
              <w:bottom w:val="double" w:sz="6" w:space="0" w:color="auto"/>
              <w:right w:val="single" w:sz="4" w:space="0" w:color="auto"/>
            </w:tcBorders>
            <w:shd w:val="clear" w:color="auto" w:fill="auto"/>
            <w:vAlign w:val="center"/>
            <w:hideMark/>
          </w:tcPr>
          <w:p w14:paraId="1CDC6DD8" w14:textId="77777777" w:rsidR="00373A15" w:rsidRPr="00FD7B0B" w:rsidRDefault="00373A15" w:rsidP="002B4E3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166" w:type="dxa"/>
            <w:tcBorders>
              <w:top w:val="nil"/>
              <w:left w:val="nil"/>
              <w:bottom w:val="double" w:sz="6" w:space="0" w:color="auto"/>
              <w:right w:val="single" w:sz="4" w:space="0" w:color="auto"/>
            </w:tcBorders>
            <w:shd w:val="clear" w:color="auto" w:fill="auto"/>
            <w:noWrap/>
            <w:vAlign w:val="center"/>
            <w:hideMark/>
          </w:tcPr>
          <w:p w14:paraId="4F6EB582"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-2 306,1 </w:t>
            </w:r>
          </w:p>
        </w:tc>
        <w:tc>
          <w:tcPr>
            <w:tcW w:w="1166" w:type="dxa"/>
            <w:tcBorders>
              <w:top w:val="nil"/>
              <w:left w:val="nil"/>
              <w:bottom w:val="double" w:sz="6" w:space="0" w:color="auto"/>
              <w:right w:val="single" w:sz="4" w:space="0" w:color="auto"/>
            </w:tcBorders>
            <w:shd w:val="clear" w:color="auto" w:fill="auto"/>
            <w:noWrap/>
            <w:vAlign w:val="center"/>
            <w:hideMark/>
          </w:tcPr>
          <w:p w14:paraId="65362559"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-3 153,2 </w:t>
            </w:r>
          </w:p>
        </w:tc>
        <w:tc>
          <w:tcPr>
            <w:tcW w:w="1200" w:type="dxa"/>
            <w:tcBorders>
              <w:top w:val="nil"/>
              <w:left w:val="nil"/>
              <w:bottom w:val="double" w:sz="6" w:space="0" w:color="auto"/>
              <w:right w:val="single" w:sz="4" w:space="0" w:color="auto"/>
            </w:tcBorders>
            <w:shd w:val="clear" w:color="auto" w:fill="auto"/>
            <w:vAlign w:val="center"/>
            <w:hideMark/>
          </w:tcPr>
          <w:p w14:paraId="6943C177"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-847,1 </w:t>
            </w:r>
          </w:p>
        </w:tc>
        <w:tc>
          <w:tcPr>
            <w:tcW w:w="721" w:type="dxa"/>
            <w:tcBorders>
              <w:top w:val="nil"/>
              <w:left w:val="nil"/>
              <w:bottom w:val="double" w:sz="6" w:space="0" w:color="auto"/>
              <w:right w:val="double" w:sz="6" w:space="0" w:color="auto"/>
            </w:tcBorders>
            <w:shd w:val="clear" w:color="auto" w:fill="auto"/>
            <w:vAlign w:val="center"/>
            <w:hideMark/>
          </w:tcPr>
          <w:p w14:paraId="6761CEEA" w14:textId="77777777" w:rsidR="00373A15" w:rsidRPr="00FD7B0B" w:rsidRDefault="00373A15" w:rsidP="002B4E3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36,7 </w:t>
            </w:r>
          </w:p>
        </w:tc>
      </w:tr>
    </w:tbl>
    <w:p w14:paraId="2F28C8DA" w14:textId="77777777" w:rsidR="00373A15" w:rsidRPr="00FD7B0B" w:rsidRDefault="00373A15" w:rsidP="005C4CE3">
      <w:pPr>
        <w:spacing w:after="0" w:line="240" w:lineRule="auto"/>
        <w:ind w:firstLine="709"/>
        <w:jc w:val="both"/>
        <w:rPr>
          <w:rFonts w:ascii="Times New Roman" w:hAnsi="Times New Roman"/>
          <w:sz w:val="28"/>
          <w:szCs w:val="28"/>
        </w:rPr>
      </w:pPr>
    </w:p>
    <w:p w14:paraId="4AAE2FA8" w14:textId="77777777" w:rsidR="00373A15" w:rsidRPr="00FD7B0B" w:rsidRDefault="00373A15" w:rsidP="005C4CE3">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отношению к исполнению областного бюджета за 2023 год исполнение в отчетном периоде характеризуется увеличением сумм доходов на 4 202,9 млн.руб. (+3,2 %), а также ростом расходов на 2 865,0 млн.руб. (+1,9 %).</w:t>
      </w:r>
    </w:p>
    <w:p w14:paraId="17671F6B" w14:textId="438A17D8" w:rsidR="00373A15" w:rsidRPr="00FD7B0B" w:rsidRDefault="00373A15" w:rsidP="005C4CE3">
      <w:pPr>
        <w:spacing w:after="0" w:line="240" w:lineRule="auto"/>
        <w:ind w:firstLine="709"/>
        <w:jc w:val="both"/>
        <w:rPr>
          <w:rFonts w:ascii="Times New Roman" w:hAnsi="Times New Roman"/>
          <w:sz w:val="28"/>
          <w:szCs w:val="28"/>
        </w:rPr>
      </w:pPr>
      <w:r w:rsidRPr="00FD7B0B">
        <w:rPr>
          <w:rFonts w:ascii="Times New Roman" w:hAnsi="Times New Roman"/>
          <w:sz w:val="28"/>
          <w:szCs w:val="28"/>
        </w:rPr>
        <w:t>Как указано выше, в результате за 2024 год областной бюджет исполнен с дефицитом в сумме 17 617,5 млн.руб. или на 7,1 % меньше, чем за аналогичный период прошлого года (см. приложение № </w:t>
      </w:r>
      <w:r w:rsidR="00C44208" w:rsidRPr="00FD7B0B">
        <w:rPr>
          <w:rFonts w:ascii="Times New Roman" w:hAnsi="Times New Roman"/>
          <w:sz w:val="28"/>
          <w:szCs w:val="28"/>
        </w:rPr>
        <w:t>1</w:t>
      </w:r>
      <w:r w:rsidRPr="00FD7B0B">
        <w:rPr>
          <w:rFonts w:ascii="Times New Roman" w:hAnsi="Times New Roman"/>
          <w:sz w:val="28"/>
          <w:szCs w:val="28"/>
        </w:rPr>
        <w:t xml:space="preserve"> к настоящему заключению). На покрытие дефицита областного бюджета в отчетном периоде направлены кредиты, привлеченные в кредитных организациях (далее – коммерческие кредиты.</w:t>
      </w:r>
    </w:p>
    <w:p w14:paraId="6A2D081C" w14:textId="73C5E140" w:rsidR="00373A15" w:rsidRPr="00FD7B0B" w:rsidRDefault="00373A15" w:rsidP="00F96429">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Сведения о привлечении и погашении бюджетных и коммерческих кредитов в составе областного бюджета представлены в разделе «</w:t>
      </w:r>
      <w:hyperlink w:anchor="_5._Состояние_государственного_1" w:history="1">
        <w:r w:rsidRPr="00FD7B0B">
          <w:rPr>
            <w:rStyle w:val="afb"/>
            <w:rFonts w:ascii="Times New Roman" w:hAnsi="Times New Roman"/>
            <w:color w:val="auto"/>
            <w:sz w:val="28"/>
            <w:szCs w:val="28"/>
          </w:rPr>
          <w:t>Состояние государственного внутреннего долга Архангельской области</w:t>
        </w:r>
      </w:hyperlink>
      <w:r w:rsidRPr="00FD7B0B">
        <w:rPr>
          <w:rFonts w:ascii="Times New Roman" w:hAnsi="Times New Roman"/>
          <w:sz w:val="28"/>
          <w:szCs w:val="28"/>
        </w:rPr>
        <w:t>» настоящего заключения.</w:t>
      </w:r>
    </w:p>
    <w:p w14:paraId="5C9D1BDF" w14:textId="77777777" w:rsidR="00373A15" w:rsidRPr="00FD7B0B" w:rsidRDefault="00373A15" w:rsidP="00F96429">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Также в текущем отчетном периоде государственным бюджетным и автономным учреждениям, а также иным организациям, лицевые счета которых открыты в органах Федерального казначейства, возвращены заимствованные средства в сумме 3 153,2 млн.руб., находящиеся на указанных лицевых счетах.</w:t>
      </w:r>
    </w:p>
    <w:p w14:paraId="124323F7" w14:textId="21F18982" w:rsidR="00373A15" w:rsidRPr="00FD7B0B" w:rsidRDefault="00373A15" w:rsidP="00F96429">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Ежеквартальное (без нарастающего итога) исполнение областного бюджета за 2024 год приведено на рисунке </w:t>
      </w:r>
      <w:r w:rsidR="002C682E" w:rsidRPr="00FD7B0B">
        <w:rPr>
          <w:rFonts w:ascii="Times New Roman" w:hAnsi="Times New Roman"/>
          <w:sz w:val="28"/>
          <w:szCs w:val="28"/>
        </w:rPr>
        <w:t>3</w:t>
      </w:r>
      <w:r w:rsidRPr="00FD7B0B">
        <w:rPr>
          <w:rFonts w:ascii="Times New Roman" w:hAnsi="Times New Roman"/>
          <w:sz w:val="28"/>
          <w:szCs w:val="28"/>
        </w:rPr>
        <w:t>.</w:t>
      </w:r>
    </w:p>
    <w:p w14:paraId="34C76810" w14:textId="77777777" w:rsidR="00373A15" w:rsidRPr="00FD7B0B" w:rsidRDefault="00373A15" w:rsidP="005E73F6">
      <w:pPr>
        <w:pStyle w:val="aff0"/>
        <w:spacing w:after="0" w:line="240" w:lineRule="auto"/>
        <w:jc w:val="center"/>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2E179EDC" wp14:editId="74A29E8D">
            <wp:extent cx="4941988" cy="1446718"/>
            <wp:effectExtent l="0" t="0" r="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7409" cy="1465869"/>
                    </a:xfrm>
                    <a:prstGeom prst="rect">
                      <a:avLst/>
                    </a:prstGeom>
                    <a:noFill/>
                  </pic:spPr>
                </pic:pic>
              </a:graphicData>
            </a:graphic>
          </wp:inline>
        </w:drawing>
      </w:r>
    </w:p>
    <w:p w14:paraId="60F00387" w14:textId="77777777" w:rsidR="00373A15" w:rsidRPr="00FD7B0B" w:rsidRDefault="00373A15" w:rsidP="005E73F6">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w:t>
      </w:r>
      <w:r w:rsidRPr="00FD7B0B">
        <w:rPr>
          <w:rFonts w:ascii="Times New Roman" w:hAnsi="Times New Roman"/>
          <w:b w:val="0"/>
          <w:sz w:val="24"/>
          <w:szCs w:val="24"/>
        </w:rPr>
        <w:fldChar w:fldCharType="end"/>
      </w:r>
      <w:r w:rsidRPr="00FD7B0B">
        <w:rPr>
          <w:rFonts w:ascii="Times New Roman" w:hAnsi="Times New Roman"/>
          <w:b w:val="0"/>
          <w:sz w:val="24"/>
          <w:szCs w:val="24"/>
        </w:rPr>
        <w:t>. Ежеквартальное исполнение областного бюджета (без нарастающего итога) за 2024 год, млн.руб.</w:t>
      </w:r>
    </w:p>
    <w:p w14:paraId="72C44A73" w14:textId="77777777" w:rsidR="00373A15" w:rsidRPr="00FD7B0B" w:rsidRDefault="00373A15" w:rsidP="00FB0AA7">
      <w:pPr>
        <w:spacing w:after="0" w:line="240" w:lineRule="auto"/>
        <w:ind w:firstLine="709"/>
        <w:jc w:val="both"/>
        <w:rPr>
          <w:rFonts w:ascii="Times New Roman" w:hAnsi="Times New Roman"/>
          <w:sz w:val="28"/>
          <w:szCs w:val="28"/>
        </w:rPr>
      </w:pPr>
    </w:p>
    <w:p w14:paraId="6F691A02" w14:textId="77777777" w:rsidR="00373A15" w:rsidRPr="00FD7B0B" w:rsidRDefault="00373A15" w:rsidP="00FB0AA7">
      <w:pPr>
        <w:spacing w:after="0" w:line="240" w:lineRule="auto"/>
        <w:ind w:firstLine="709"/>
        <w:jc w:val="both"/>
        <w:rPr>
          <w:rFonts w:ascii="Times New Roman" w:hAnsi="Times New Roman"/>
          <w:sz w:val="28"/>
          <w:szCs w:val="28"/>
        </w:rPr>
      </w:pPr>
      <w:r w:rsidRPr="00FD7B0B">
        <w:rPr>
          <w:rFonts w:ascii="Times New Roman" w:hAnsi="Times New Roman"/>
          <w:sz w:val="28"/>
          <w:szCs w:val="28"/>
        </w:rPr>
        <w:t>Ежеквартально областной бюджет в отчётном периоде исполнялся с дефицитом на покрытие которого направлялись привлеченные заемные средства.</w:t>
      </w:r>
    </w:p>
    <w:p w14:paraId="5128B745" w14:textId="60BAC475" w:rsidR="00971EC6" w:rsidRPr="00FD7B0B" w:rsidRDefault="0041599B" w:rsidP="0072263E">
      <w:pPr>
        <w:pStyle w:val="10"/>
        <w:keepNext/>
        <w:keepLines/>
        <w:autoSpaceDE/>
        <w:autoSpaceDN/>
        <w:adjustRightInd/>
        <w:spacing w:before="240" w:after="120"/>
        <w:rPr>
          <w:rFonts w:ascii="Times New Roman" w:hAnsi="Times New Roman"/>
          <w:color w:val="auto"/>
          <w:sz w:val="28"/>
          <w:szCs w:val="28"/>
          <w:lang w:val="ru-RU" w:eastAsia="en-US"/>
        </w:rPr>
      </w:pPr>
      <w:bookmarkStart w:id="94" w:name="_Toc198819125"/>
      <w:r w:rsidRPr="00FD7B0B">
        <w:rPr>
          <w:rFonts w:ascii="Times New Roman" w:hAnsi="Times New Roman"/>
          <w:color w:val="auto"/>
          <w:sz w:val="28"/>
          <w:szCs w:val="28"/>
          <w:lang w:val="ru-RU" w:eastAsia="en-US"/>
        </w:rPr>
        <w:t>3</w:t>
      </w:r>
      <w:r w:rsidR="00971EC6" w:rsidRPr="00FD7B0B">
        <w:rPr>
          <w:rFonts w:ascii="Times New Roman" w:hAnsi="Times New Roman"/>
          <w:color w:val="auto"/>
          <w:sz w:val="28"/>
          <w:szCs w:val="28"/>
          <w:lang w:eastAsia="en-US"/>
        </w:rPr>
        <w:t xml:space="preserve">. Доходы областного бюджета </w:t>
      </w:r>
      <w:r w:rsidR="00971EC6" w:rsidRPr="00FD7B0B">
        <w:rPr>
          <w:rFonts w:ascii="Times New Roman" w:hAnsi="Times New Roman"/>
          <w:color w:val="auto"/>
          <w:sz w:val="28"/>
          <w:szCs w:val="28"/>
          <w:lang w:val="ru-RU" w:eastAsia="en-US"/>
        </w:rPr>
        <w:t>в</w:t>
      </w:r>
      <w:r w:rsidR="00971EC6" w:rsidRPr="00FD7B0B">
        <w:rPr>
          <w:rFonts w:ascii="Times New Roman" w:hAnsi="Times New Roman"/>
          <w:color w:val="auto"/>
          <w:sz w:val="28"/>
          <w:szCs w:val="28"/>
          <w:lang w:eastAsia="en-US"/>
        </w:rPr>
        <w:t xml:space="preserve"> 20</w:t>
      </w:r>
      <w:r w:rsidR="00971EC6" w:rsidRPr="00FD7B0B">
        <w:rPr>
          <w:rFonts w:ascii="Times New Roman" w:hAnsi="Times New Roman"/>
          <w:color w:val="auto"/>
          <w:sz w:val="28"/>
          <w:szCs w:val="28"/>
          <w:lang w:val="ru-RU" w:eastAsia="en-US"/>
        </w:rPr>
        <w:t>2</w:t>
      </w:r>
      <w:r w:rsidR="000A2A7A" w:rsidRPr="00FD7B0B">
        <w:rPr>
          <w:rFonts w:ascii="Times New Roman" w:hAnsi="Times New Roman"/>
          <w:color w:val="auto"/>
          <w:sz w:val="28"/>
          <w:szCs w:val="28"/>
          <w:lang w:val="ru-RU" w:eastAsia="en-US"/>
        </w:rPr>
        <w:t>4</w:t>
      </w:r>
      <w:r w:rsidR="00971EC6" w:rsidRPr="00FD7B0B">
        <w:rPr>
          <w:rFonts w:ascii="Times New Roman" w:hAnsi="Times New Roman"/>
          <w:color w:val="auto"/>
          <w:sz w:val="28"/>
          <w:szCs w:val="28"/>
          <w:lang w:eastAsia="en-US"/>
        </w:rPr>
        <w:t xml:space="preserve"> год</w:t>
      </w:r>
      <w:r w:rsidR="00971EC6" w:rsidRPr="00FD7B0B">
        <w:rPr>
          <w:rFonts w:ascii="Times New Roman" w:hAnsi="Times New Roman"/>
          <w:color w:val="auto"/>
          <w:sz w:val="28"/>
          <w:szCs w:val="28"/>
          <w:lang w:val="ru-RU" w:eastAsia="en-US"/>
        </w:rPr>
        <w:t>у</w:t>
      </w:r>
      <w:bookmarkEnd w:id="94"/>
    </w:p>
    <w:p w14:paraId="791DC525" w14:textId="6C67B4D4" w:rsidR="000A2A7A" w:rsidRPr="00FD7B0B" w:rsidRDefault="000A2A7A" w:rsidP="000A2A7A">
      <w:pPr>
        <w:pStyle w:val="ad"/>
        <w:ind w:firstLine="709"/>
        <w:jc w:val="both"/>
        <w:rPr>
          <w:rFonts w:ascii="Times New Roman" w:hAnsi="Times New Roman"/>
          <w:sz w:val="28"/>
          <w:szCs w:val="28"/>
        </w:rPr>
      </w:pPr>
      <w:bookmarkStart w:id="95" w:name="_4._Расходы_областного"/>
      <w:bookmarkStart w:id="96" w:name="_Toc9262569"/>
      <w:bookmarkEnd w:id="95"/>
      <w:r w:rsidRPr="00FD7B0B">
        <w:rPr>
          <w:rFonts w:ascii="Times New Roman" w:hAnsi="Times New Roman"/>
          <w:sz w:val="28"/>
          <w:szCs w:val="28"/>
        </w:rPr>
        <w:t>Согласно представленному Правительством Архангельской области в контрольно-счетную палату отчету об исполнении областного бюджета за 2024 год (далее – Отчет за 2024 год) доходы областного бюджета составили 135 583,6 млн.руб. или 102,1 % к показателям прогнозного поступления доходов (132 838,6 млн.руб.), утвержденным областным законом «Об областном бюджете на 2024 год и на плановый период 2025 и 2026 годов» в ред. от 23.12.2024 (далее – Закон «Об областном бюджете»). Исполнение поступления доходов к прогнозу годового кассового плана поступлений за отчетный год составило 100,</w:t>
      </w:r>
      <w:r w:rsidR="00BD127E" w:rsidRPr="00FD7B0B">
        <w:rPr>
          <w:rFonts w:ascii="Times New Roman" w:hAnsi="Times New Roman"/>
          <w:sz w:val="28"/>
          <w:szCs w:val="28"/>
        </w:rPr>
        <w:t>6</w:t>
      </w:r>
      <w:r w:rsidRPr="00FD7B0B">
        <w:rPr>
          <w:rFonts w:ascii="Times New Roman" w:hAnsi="Times New Roman"/>
          <w:sz w:val="28"/>
          <w:szCs w:val="28"/>
        </w:rPr>
        <w:t> % (+873,5 млн.руб.).</w:t>
      </w:r>
    </w:p>
    <w:p w14:paraId="06210352" w14:textId="6D902890" w:rsidR="000A2A7A" w:rsidRPr="00FD7B0B" w:rsidRDefault="000A2A7A" w:rsidP="000A2A7A">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За текущий год прогноз поступления налоговых и неналоговых доходов областного бюджета, утвержденный законом «Об областном бюджете» на 2024 год, увеличен на 4 592,6 млн.руб. и составил 96 863,02 млн.руб.; прогноз безвозмездных поступлений </w:t>
      </w:r>
      <w:r w:rsidR="00901620" w:rsidRPr="00FD7B0B">
        <w:rPr>
          <w:rFonts w:ascii="Times New Roman" w:hAnsi="Times New Roman"/>
          <w:sz w:val="28"/>
          <w:szCs w:val="28"/>
        </w:rPr>
        <w:t>сокращен</w:t>
      </w:r>
      <w:r w:rsidRPr="00FD7B0B">
        <w:rPr>
          <w:rFonts w:ascii="Times New Roman" w:hAnsi="Times New Roman"/>
          <w:sz w:val="28"/>
          <w:szCs w:val="28"/>
        </w:rPr>
        <w:t xml:space="preserve"> на 776,3 млн.руб. и составил 35 975,5 млн.руб. (областные законы от 20.03.2024 № 60</w:t>
      </w:r>
      <w:r w:rsidRPr="00FD7B0B">
        <w:rPr>
          <w:rFonts w:ascii="Times New Roman" w:hAnsi="Times New Roman"/>
          <w:sz w:val="28"/>
          <w:szCs w:val="28"/>
        </w:rPr>
        <w:noBreakHyphen/>
        <w:t>6</w:t>
      </w:r>
      <w:r w:rsidRPr="00FD7B0B">
        <w:rPr>
          <w:rFonts w:ascii="Times New Roman" w:hAnsi="Times New Roman"/>
          <w:sz w:val="28"/>
          <w:szCs w:val="28"/>
        </w:rPr>
        <w:noBreakHyphen/>
        <w:t>ОЗ, от 27.04.2024 № 89-7-ОЗ, от 01.07.2024 № 101-9-ОЗ и от 26.09.2024 № 126-10-ОЗ, от 23.12.2024 № 176-13-ОЗ). С учетом указанных изменений прогноз поступления доходов областного бюджета на 2024 год, утвержденный законом «Об областном бюджете», в целом составил 132 838,6 млн.руб.</w:t>
      </w:r>
    </w:p>
    <w:p w14:paraId="3B892367" w14:textId="1DC9D01F"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Кассовым планом прогноз поступления доходов на 2024 год утвержден в сумме 134 710,1 млн.руб., что на 1 871,5 млн.руб. превышает соответствующие показатели, утвержденные законом «Об областном бюджете», в том числе по поступлениям, представленным в таблице</w:t>
      </w:r>
      <w:r w:rsidR="00901620" w:rsidRPr="00FD7B0B">
        <w:rPr>
          <w:rFonts w:ascii="Times New Roman" w:hAnsi="Times New Roman"/>
          <w:sz w:val="28"/>
          <w:szCs w:val="28"/>
        </w:rPr>
        <w:t xml:space="preserve"> </w:t>
      </w:r>
      <w:r w:rsidR="002C682E" w:rsidRPr="00FD7B0B">
        <w:rPr>
          <w:rFonts w:ascii="Times New Roman" w:hAnsi="Times New Roman"/>
          <w:sz w:val="28"/>
          <w:szCs w:val="28"/>
        </w:rPr>
        <w:t>31</w:t>
      </w:r>
      <w:r w:rsidRPr="00FD7B0B">
        <w:rPr>
          <w:rFonts w:ascii="Times New Roman" w:hAnsi="Times New Roman"/>
          <w:sz w:val="28"/>
          <w:szCs w:val="28"/>
        </w:rPr>
        <w:t>.</w:t>
      </w:r>
    </w:p>
    <w:p w14:paraId="171FEC41" w14:textId="77777777" w:rsidR="000A2A7A" w:rsidRPr="00FD7B0B" w:rsidRDefault="000A2A7A" w:rsidP="000A2A7A">
      <w:pPr>
        <w:pStyle w:val="ad"/>
        <w:ind w:firstLine="709"/>
        <w:jc w:val="both"/>
        <w:rPr>
          <w:rFonts w:ascii="Times New Roman" w:hAnsi="Times New Roman"/>
        </w:rPr>
      </w:pPr>
    </w:p>
    <w:p w14:paraId="3EB7382E"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31</w:t>
      </w:r>
      <w:r w:rsidRPr="00FD7B0B">
        <w:rPr>
          <w:rFonts w:ascii="Times New Roman" w:hAnsi="Times New Roman"/>
          <w:b w:val="0"/>
          <w:sz w:val="24"/>
          <w:szCs w:val="24"/>
        </w:rPr>
        <w:fldChar w:fldCharType="end"/>
      </w:r>
      <w:r w:rsidRPr="00FD7B0B">
        <w:rPr>
          <w:rFonts w:ascii="Times New Roman" w:hAnsi="Times New Roman"/>
          <w:b w:val="0"/>
          <w:sz w:val="24"/>
          <w:szCs w:val="24"/>
        </w:rPr>
        <w:t>. Отклонение показателей поступления доходов на 2024 год, утвержденных кассовым планом и областным законом «Об областном бюджете», млн.руб.</w:t>
      </w:r>
      <w:r w:rsidRPr="00FD7B0B">
        <w:rPr>
          <w:rStyle w:val="afff1"/>
          <w:rFonts w:ascii="Times New Roman" w:hAnsi="Times New Roman"/>
          <w:b w:val="0"/>
          <w:sz w:val="24"/>
          <w:szCs w:val="24"/>
        </w:rPr>
        <w:footnoteReference w:id="27"/>
      </w:r>
    </w:p>
    <w:tbl>
      <w:tblPr>
        <w:tblW w:w="9616"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8057"/>
        <w:gridCol w:w="1559"/>
      </w:tblGrid>
      <w:tr w:rsidR="00FD7B0B" w:rsidRPr="00FD7B0B" w14:paraId="3260E216" w14:textId="77777777" w:rsidTr="003D42EA">
        <w:trPr>
          <w:trHeight w:val="266"/>
        </w:trPr>
        <w:tc>
          <w:tcPr>
            <w:tcW w:w="8057" w:type="dxa"/>
            <w:shd w:val="clear" w:color="auto" w:fill="auto"/>
            <w:vAlign w:val="center"/>
            <w:hideMark/>
          </w:tcPr>
          <w:p w14:paraId="15F309E4"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Превышение поступлений </w:t>
            </w:r>
          </w:p>
          <w:p w14:paraId="27CF26C1"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в областной бюджет</w:t>
            </w:r>
          </w:p>
        </w:tc>
        <w:tc>
          <w:tcPr>
            <w:tcW w:w="1559" w:type="dxa"/>
            <w:shd w:val="clear" w:color="auto" w:fill="auto"/>
            <w:vAlign w:val="center"/>
            <w:hideMark/>
          </w:tcPr>
          <w:p w14:paraId="510E730F" w14:textId="68FA6348" w:rsidR="000A2A7A" w:rsidRPr="00FD7B0B" w:rsidRDefault="003D42EA" w:rsidP="003D42E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Сумма</w:t>
            </w:r>
          </w:p>
        </w:tc>
      </w:tr>
      <w:tr w:rsidR="00FD7B0B" w:rsidRPr="00FD7B0B" w14:paraId="2570F1EA" w14:textId="77777777" w:rsidTr="000A2A7A">
        <w:trPr>
          <w:trHeight w:val="251"/>
        </w:trPr>
        <w:tc>
          <w:tcPr>
            <w:tcW w:w="8057" w:type="dxa"/>
            <w:shd w:val="clear" w:color="auto" w:fill="auto"/>
            <w:vAlign w:val="bottom"/>
            <w:hideMark/>
          </w:tcPr>
          <w:p w14:paraId="49CE4573"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Безвозмездные поступления из федерального бюджета, </w:t>
            </w:r>
            <w:r w:rsidRPr="00FD7B0B">
              <w:rPr>
                <w:rFonts w:ascii="Times New Roman" w:eastAsia="Times New Roman" w:hAnsi="Times New Roman"/>
                <w:i/>
                <w:iCs/>
                <w:lang w:eastAsia="ru-RU"/>
              </w:rPr>
              <w:t>из них:</w:t>
            </w:r>
          </w:p>
        </w:tc>
        <w:tc>
          <w:tcPr>
            <w:tcW w:w="1559" w:type="dxa"/>
            <w:shd w:val="clear" w:color="auto" w:fill="auto"/>
            <w:vAlign w:val="bottom"/>
            <w:hideMark/>
          </w:tcPr>
          <w:p w14:paraId="094B365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1 871,5</w:t>
            </w:r>
          </w:p>
        </w:tc>
      </w:tr>
      <w:tr w:rsidR="00FD7B0B" w:rsidRPr="00FD7B0B" w14:paraId="55E91354" w14:textId="77777777" w:rsidTr="000A2A7A">
        <w:trPr>
          <w:trHeight w:val="128"/>
        </w:trPr>
        <w:tc>
          <w:tcPr>
            <w:tcW w:w="8057" w:type="dxa"/>
            <w:shd w:val="clear" w:color="auto" w:fill="auto"/>
            <w:vAlign w:val="bottom"/>
            <w:hideMark/>
          </w:tcPr>
          <w:p w14:paraId="78FD61F7" w14:textId="77777777" w:rsidR="000A2A7A" w:rsidRPr="00FD7B0B" w:rsidRDefault="000A2A7A" w:rsidP="000A2A7A">
            <w:pPr>
              <w:spacing w:after="0" w:line="240" w:lineRule="auto"/>
              <w:ind w:firstLineChars="100" w:firstLine="220"/>
              <w:rPr>
                <w:rFonts w:ascii="Times New Roman" w:eastAsia="Times New Roman" w:hAnsi="Times New Roman"/>
                <w:i/>
                <w:iCs/>
                <w:lang w:eastAsia="ru-RU"/>
              </w:rPr>
            </w:pPr>
            <w:r w:rsidRPr="00FD7B0B">
              <w:rPr>
                <w:rFonts w:ascii="Times New Roman" w:eastAsia="Times New Roman" w:hAnsi="Times New Roman"/>
                <w:i/>
                <w:iCs/>
                <w:lang w:eastAsia="ru-RU"/>
              </w:rPr>
              <w:t>дотации</w:t>
            </w:r>
          </w:p>
        </w:tc>
        <w:tc>
          <w:tcPr>
            <w:tcW w:w="1559" w:type="dxa"/>
            <w:shd w:val="clear" w:color="auto" w:fill="auto"/>
            <w:vAlign w:val="bottom"/>
            <w:hideMark/>
          </w:tcPr>
          <w:p w14:paraId="2BA4374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130,4</w:t>
            </w:r>
          </w:p>
        </w:tc>
      </w:tr>
      <w:tr w:rsidR="00FD7B0B" w:rsidRPr="00FD7B0B" w14:paraId="047994A1" w14:textId="77777777" w:rsidTr="000A2A7A">
        <w:trPr>
          <w:trHeight w:val="160"/>
        </w:trPr>
        <w:tc>
          <w:tcPr>
            <w:tcW w:w="8057" w:type="dxa"/>
            <w:shd w:val="clear" w:color="auto" w:fill="auto"/>
            <w:vAlign w:val="bottom"/>
            <w:hideMark/>
          </w:tcPr>
          <w:p w14:paraId="69975F5F" w14:textId="77777777" w:rsidR="000A2A7A" w:rsidRPr="00FD7B0B" w:rsidRDefault="000A2A7A" w:rsidP="000A2A7A">
            <w:pPr>
              <w:spacing w:after="0" w:line="240" w:lineRule="auto"/>
              <w:ind w:firstLineChars="100" w:firstLine="220"/>
              <w:rPr>
                <w:rFonts w:ascii="Times New Roman" w:eastAsia="Times New Roman" w:hAnsi="Times New Roman"/>
                <w:i/>
                <w:iCs/>
                <w:lang w:eastAsia="ru-RU"/>
              </w:rPr>
            </w:pPr>
            <w:r w:rsidRPr="00FD7B0B">
              <w:rPr>
                <w:rFonts w:ascii="Times New Roman" w:eastAsia="Times New Roman" w:hAnsi="Times New Roman"/>
                <w:i/>
                <w:iCs/>
                <w:lang w:eastAsia="ru-RU"/>
              </w:rPr>
              <w:t>субсидии</w:t>
            </w:r>
          </w:p>
        </w:tc>
        <w:tc>
          <w:tcPr>
            <w:tcW w:w="1559" w:type="dxa"/>
            <w:shd w:val="clear" w:color="auto" w:fill="auto"/>
            <w:vAlign w:val="bottom"/>
            <w:hideMark/>
          </w:tcPr>
          <w:p w14:paraId="6F32A1E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868,8</w:t>
            </w:r>
          </w:p>
        </w:tc>
      </w:tr>
      <w:tr w:rsidR="00FD7B0B" w:rsidRPr="00FD7B0B" w14:paraId="00369F3E" w14:textId="77777777" w:rsidTr="000A2A7A">
        <w:trPr>
          <w:trHeight w:val="164"/>
        </w:trPr>
        <w:tc>
          <w:tcPr>
            <w:tcW w:w="8057" w:type="dxa"/>
            <w:shd w:val="clear" w:color="auto" w:fill="auto"/>
            <w:vAlign w:val="bottom"/>
            <w:hideMark/>
          </w:tcPr>
          <w:p w14:paraId="47478E13" w14:textId="77777777" w:rsidR="000A2A7A" w:rsidRPr="00FD7B0B" w:rsidRDefault="000A2A7A" w:rsidP="000A2A7A">
            <w:pPr>
              <w:spacing w:after="0" w:line="240" w:lineRule="auto"/>
              <w:ind w:firstLineChars="100" w:firstLine="220"/>
              <w:rPr>
                <w:rFonts w:ascii="Times New Roman" w:eastAsia="Times New Roman" w:hAnsi="Times New Roman"/>
                <w:i/>
                <w:iCs/>
                <w:lang w:eastAsia="ru-RU"/>
              </w:rPr>
            </w:pPr>
            <w:r w:rsidRPr="00FD7B0B">
              <w:rPr>
                <w:rFonts w:ascii="Times New Roman" w:eastAsia="Times New Roman" w:hAnsi="Times New Roman"/>
                <w:i/>
                <w:iCs/>
                <w:lang w:eastAsia="ru-RU"/>
              </w:rPr>
              <w:t>субвенции</w:t>
            </w:r>
          </w:p>
        </w:tc>
        <w:tc>
          <w:tcPr>
            <w:tcW w:w="1559" w:type="dxa"/>
            <w:shd w:val="clear" w:color="auto" w:fill="auto"/>
            <w:vAlign w:val="bottom"/>
            <w:hideMark/>
          </w:tcPr>
          <w:p w14:paraId="1F22417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388,5</w:t>
            </w:r>
          </w:p>
        </w:tc>
      </w:tr>
      <w:tr w:rsidR="00FD7B0B" w:rsidRPr="00FD7B0B" w14:paraId="1A649769" w14:textId="77777777" w:rsidTr="000A2A7A">
        <w:trPr>
          <w:trHeight w:val="195"/>
        </w:trPr>
        <w:tc>
          <w:tcPr>
            <w:tcW w:w="8057" w:type="dxa"/>
            <w:shd w:val="clear" w:color="auto" w:fill="auto"/>
            <w:vAlign w:val="bottom"/>
            <w:hideMark/>
          </w:tcPr>
          <w:p w14:paraId="4A87D0A9" w14:textId="77777777" w:rsidR="000A2A7A" w:rsidRPr="00FD7B0B" w:rsidRDefault="000A2A7A" w:rsidP="000A2A7A">
            <w:pPr>
              <w:spacing w:after="0" w:line="240" w:lineRule="auto"/>
              <w:ind w:firstLineChars="100" w:firstLine="220"/>
              <w:rPr>
                <w:rFonts w:ascii="Times New Roman" w:eastAsia="Times New Roman" w:hAnsi="Times New Roman"/>
                <w:i/>
                <w:iCs/>
                <w:lang w:eastAsia="ru-RU"/>
              </w:rPr>
            </w:pPr>
            <w:r w:rsidRPr="00FD7B0B">
              <w:rPr>
                <w:rFonts w:ascii="Times New Roman" w:eastAsia="Times New Roman" w:hAnsi="Times New Roman"/>
                <w:i/>
                <w:iCs/>
                <w:lang w:eastAsia="ru-RU"/>
              </w:rPr>
              <w:t>иные межбюджетные трансферты</w:t>
            </w:r>
          </w:p>
        </w:tc>
        <w:tc>
          <w:tcPr>
            <w:tcW w:w="1559" w:type="dxa"/>
            <w:shd w:val="clear" w:color="auto" w:fill="auto"/>
            <w:vAlign w:val="bottom"/>
            <w:hideMark/>
          </w:tcPr>
          <w:p w14:paraId="575CB3A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447,2</w:t>
            </w:r>
          </w:p>
        </w:tc>
      </w:tr>
      <w:tr w:rsidR="00FD7B0B" w:rsidRPr="00FD7B0B" w14:paraId="517E6862" w14:textId="77777777" w:rsidTr="000A2A7A">
        <w:trPr>
          <w:trHeight w:val="214"/>
        </w:trPr>
        <w:tc>
          <w:tcPr>
            <w:tcW w:w="8057" w:type="dxa"/>
            <w:shd w:val="clear" w:color="auto" w:fill="auto"/>
            <w:vAlign w:val="bottom"/>
            <w:hideMark/>
          </w:tcPr>
          <w:p w14:paraId="20116226"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Безвозмездные поступления от государственных (муниципальных) организаций</w:t>
            </w:r>
          </w:p>
        </w:tc>
        <w:tc>
          <w:tcPr>
            <w:tcW w:w="1559" w:type="dxa"/>
            <w:shd w:val="clear" w:color="auto" w:fill="auto"/>
            <w:vAlign w:val="bottom"/>
            <w:hideMark/>
          </w:tcPr>
          <w:p w14:paraId="55EF1ED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4,3</w:t>
            </w:r>
          </w:p>
        </w:tc>
      </w:tr>
      <w:tr w:rsidR="00FD7B0B" w:rsidRPr="00FD7B0B" w14:paraId="24AADEE7" w14:textId="77777777" w:rsidTr="000A2A7A">
        <w:trPr>
          <w:trHeight w:val="245"/>
        </w:trPr>
        <w:tc>
          <w:tcPr>
            <w:tcW w:w="8057" w:type="dxa"/>
            <w:shd w:val="clear" w:color="auto" w:fill="auto"/>
            <w:vAlign w:val="bottom"/>
            <w:hideMark/>
          </w:tcPr>
          <w:p w14:paraId="7977485F"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Безвозмездные поступления от негосударственных организаций</w:t>
            </w:r>
          </w:p>
        </w:tc>
        <w:tc>
          <w:tcPr>
            <w:tcW w:w="1559" w:type="dxa"/>
            <w:shd w:val="clear" w:color="auto" w:fill="auto"/>
            <w:vAlign w:val="bottom"/>
            <w:hideMark/>
          </w:tcPr>
          <w:p w14:paraId="70205D5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8,3</w:t>
            </w:r>
          </w:p>
        </w:tc>
      </w:tr>
      <w:tr w:rsidR="000A2A7A" w:rsidRPr="00FD7B0B" w14:paraId="35AC7108" w14:textId="77777777" w:rsidTr="000A2A7A">
        <w:trPr>
          <w:trHeight w:val="250"/>
        </w:trPr>
        <w:tc>
          <w:tcPr>
            <w:tcW w:w="8057" w:type="dxa"/>
            <w:shd w:val="clear" w:color="auto" w:fill="auto"/>
            <w:vAlign w:val="bottom"/>
            <w:hideMark/>
          </w:tcPr>
          <w:p w14:paraId="4A361238"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Прочие безвозмездные поступления</w:t>
            </w:r>
          </w:p>
        </w:tc>
        <w:tc>
          <w:tcPr>
            <w:tcW w:w="1559" w:type="dxa"/>
            <w:shd w:val="clear" w:color="auto" w:fill="auto"/>
            <w:vAlign w:val="bottom"/>
            <w:hideMark/>
          </w:tcPr>
          <w:p w14:paraId="1765C11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24,0</w:t>
            </w:r>
          </w:p>
        </w:tc>
      </w:tr>
    </w:tbl>
    <w:p w14:paraId="3379212A" w14:textId="77777777" w:rsidR="000A2A7A" w:rsidRPr="00FD7B0B" w:rsidRDefault="000A2A7A" w:rsidP="000A2A7A">
      <w:pPr>
        <w:pStyle w:val="ad"/>
        <w:ind w:firstLine="709"/>
        <w:jc w:val="both"/>
        <w:rPr>
          <w:rFonts w:ascii="Times New Roman" w:hAnsi="Times New Roman"/>
          <w:sz w:val="28"/>
          <w:szCs w:val="28"/>
        </w:rPr>
      </w:pPr>
    </w:p>
    <w:p w14:paraId="48FA1941" w14:textId="77777777"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lastRenderedPageBreak/>
        <w:t>Изменения, внесенные в кассовый план по доходам по состоянию на отчетную дату, соответствуют положениям ст. 232 БК РФ и ст. 11 Закона «Об областном бюджете».</w:t>
      </w:r>
    </w:p>
    <w:p w14:paraId="3DA7BA04" w14:textId="3A6602AA" w:rsidR="000A2A7A" w:rsidRPr="00FD7B0B" w:rsidRDefault="009B516C" w:rsidP="000A2A7A">
      <w:pPr>
        <w:pStyle w:val="2"/>
        <w:spacing w:before="120" w:after="0" w:line="240" w:lineRule="auto"/>
        <w:jc w:val="center"/>
        <w:rPr>
          <w:rFonts w:ascii="Times New Roman" w:hAnsi="Times New Roman"/>
          <w:lang w:val="ru-RU"/>
        </w:rPr>
      </w:pPr>
      <w:bookmarkStart w:id="97" w:name="_2.1._Налоговые_и"/>
      <w:bookmarkStart w:id="98" w:name="_Toc51059089"/>
      <w:bookmarkStart w:id="99" w:name="_Toc82015078"/>
      <w:bookmarkStart w:id="100" w:name="_Toc114058607"/>
      <w:bookmarkStart w:id="101" w:name="_Toc177192021"/>
      <w:bookmarkStart w:id="102" w:name="_Toc184827144"/>
      <w:bookmarkStart w:id="103" w:name="_Toc198819126"/>
      <w:bookmarkEnd w:id="97"/>
      <w:r w:rsidRPr="00FD7B0B">
        <w:rPr>
          <w:rFonts w:ascii="Times New Roman" w:hAnsi="Times New Roman"/>
          <w:lang w:val="ru-RU"/>
        </w:rPr>
        <w:t>3</w:t>
      </w:r>
      <w:r w:rsidR="000A2A7A" w:rsidRPr="00FD7B0B">
        <w:rPr>
          <w:rFonts w:ascii="Times New Roman" w:hAnsi="Times New Roman"/>
          <w:lang w:val="ru-RU"/>
        </w:rPr>
        <w:t>.1. Налоговые и неналоговые доходы</w:t>
      </w:r>
      <w:bookmarkEnd w:id="98"/>
      <w:bookmarkEnd w:id="99"/>
      <w:bookmarkEnd w:id="100"/>
      <w:bookmarkEnd w:id="101"/>
      <w:bookmarkEnd w:id="102"/>
      <w:bookmarkEnd w:id="103"/>
    </w:p>
    <w:p w14:paraId="6697F867" w14:textId="5C79AFD3"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Основной объем поступления доходов областного бюджета в отчетном периоде обеспечен налоговыми и неналоговыми доходами – 97 631,0 млн.руб. или 72,0 % общего объема поступивших доходов.</w:t>
      </w:r>
    </w:p>
    <w:p w14:paraId="71BEEE90" w14:textId="6578F1C1"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 xml:space="preserve">Показатели кассового плана основных налоговых и неналоговых доходов, предусмотренные на 2024 год, их поступление в областной бюджет за отчетный период представлены на рисунках </w:t>
      </w:r>
      <w:r w:rsidR="002C682E" w:rsidRPr="00FD7B0B">
        <w:rPr>
          <w:rFonts w:ascii="Times New Roman" w:hAnsi="Times New Roman"/>
          <w:sz w:val="28"/>
          <w:szCs w:val="28"/>
        </w:rPr>
        <w:t>4</w:t>
      </w:r>
      <w:r w:rsidRPr="00FD7B0B">
        <w:rPr>
          <w:rFonts w:ascii="Times New Roman" w:hAnsi="Times New Roman"/>
          <w:sz w:val="28"/>
          <w:szCs w:val="28"/>
        </w:rPr>
        <w:t xml:space="preserve"> и </w:t>
      </w:r>
      <w:r w:rsidR="002C682E" w:rsidRPr="00FD7B0B">
        <w:rPr>
          <w:rFonts w:ascii="Times New Roman" w:hAnsi="Times New Roman"/>
          <w:sz w:val="28"/>
          <w:szCs w:val="28"/>
        </w:rPr>
        <w:t>5</w:t>
      </w:r>
      <w:r w:rsidRPr="00FD7B0B">
        <w:rPr>
          <w:rFonts w:ascii="Times New Roman" w:hAnsi="Times New Roman"/>
          <w:sz w:val="28"/>
          <w:szCs w:val="28"/>
        </w:rPr>
        <w:t>.</w:t>
      </w:r>
    </w:p>
    <w:p w14:paraId="44D30B44" w14:textId="0164296D" w:rsidR="000A2A7A" w:rsidRPr="00FD7B0B" w:rsidRDefault="006618BE" w:rsidP="000A2A7A">
      <w:pPr>
        <w:pStyle w:val="ad"/>
        <w:jc w:val="both"/>
        <w:rPr>
          <w:rFonts w:ascii="Times New Roman" w:hAnsi="Times New Roman"/>
          <w:sz w:val="28"/>
          <w:szCs w:val="28"/>
        </w:rPr>
      </w:pPr>
      <w:r w:rsidRPr="00FD7B0B">
        <w:rPr>
          <w:rFonts w:ascii="Times New Roman" w:hAnsi="Times New Roman"/>
          <w:noProof/>
          <w:sz w:val="28"/>
          <w:szCs w:val="28"/>
          <w:lang w:eastAsia="ru-RU"/>
        </w:rPr>
        <w:drawing>
          <wp:inline distT="0" distB="0" distL="0" distR="0" wp14:anchorId="0694B818" wp14:editId="6215F2FB">
            <wp:extent cx="6327277" cy="2141796"/>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54147" cy="2150891"/>
                    </a:xfrm>
                    <a:prstGeom prst="rect">
                      <a:avLst/>
                    </a:prstGeom>
                    <a:noFill/>
                  </pic:spPr>
                </pic:pic>
              </a:graphicData>
            </a:graphic>
          </wp:inline>
        </w:drawing>
      </w:r>
    </w:p>
    <w:p w14:paraId="6F63FA67" w14:textId="77777777" w:rsidR="000A2A7A" w:rsidRPr="00FD7B0B" w:rsidRDefault="000A2A7A" w:rsidP="000A2A7A">
      <w:pPr>
        <w:pStyle w:val="aff0"/>
        <w:spacing w:after="0" w:line="240" w:lineRule="auto"/>
        <w:rPr>
          <w:rFonts w:ascii="Times New Roman" w:hAnsi="Times New Roman"/>
          <w:b w:val="0"/>
          <w:bCs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Годовые показатели </w:t>
      </w:r>
      <w:r w:rsidRPr="00FD7B0B">
        <w:rPr>
          <w:rFonts w:ascii="Times New Roman" w:hAnsi="Times New Roman"/>
          <w:b w:val="0"/>
          <w:bCs w:val="0"/>
          <w:sz w:val="24"/>
          <w:szCs w:val="24"/>
        </w:rPr>
        <w:t>кассового плана в части основных налоговых доходов, предусмотренные на 2024 год, их поступление в областной бюджет за 2024 год, млн.руб.</w:t>
      </w:r>
    </w:p>
    <w:p w14:paraId="1EABFD75" w14:textId="77777777" w:rsidR="000955A8" w:rsidRPr="00FD7B0B" w:rsidRDefault="000955A8" w:rsidP="000955A8"/>
    <w:p w14:paraId="698A454A" w14:textId="6F52E210" w:rsidR="000A2A7A" w:rsidRPr="00FD7B0B" w:rsidRDefault="00A51359" w:rsidP="000955A8">
      <w:pPr>
        <w:spacing w:line="240" w:lineRule="auto"/>
        <w:jc w:val="center"/>
      </w:pPr>
      <w:r w:rsidRPr="00FD7B0B">
        <w:rPr>
          <w:noProof/>
          <w:lang w:eastAsia="ru-RU"/>
        </w:rPr>
        <w:drawing>
          <wp:inline distT="0" distB="0" distL="0" distR="0" wp14:anchorId="3D465755" wp14:editId="41733433">
            <wp:extent cx="5515548" cy="1824487"/>
            <wp:effectExtent l="0" t="0" r="9525"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6508" cy="1834728"/>
                    </a:xfrm>
                    <a:prstGeom prst="rect">
                      <a:avLst/>
                    </a:prstGeom>
                    <a:noFill/>
                  </pic:spPr>
                </pic:pic>
              </a:graphicData>
            </a:graphic>
          </wp:inline>
        </w:drawing>
      </w:r>
    </w:p>
    <w:p w14:paraId="78911C18" w14:textId="77777777" w:rsidR="000A2A7A" w:rsidRPr="00FD7B0B" w:rsidRDefault="000A2A7A" w:rsidP="000955A8">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w:t>
      </w:r>
      <w:r w:rsidRPr="00FD7B0B">
        <w:rPr>
          <w:rFonts w:ascii="Times New Roman" w:hAnsi="Times New Roman"/>
          <w:b w:val="0"/>
          <w:sz w:val="24"/>
          <w:szCs w:val="24"/>
        </w:rPr>
        <w:fldChar w:fldCharType="end"/>
      </w:r>
      <w:r w:rsidRPr="00FD7B0B">
        <w:rPr>
          <w:rFonts w:ascii="Times New Roman" w:hAnsi="Times New Roman"/>
          <w:b w:val="0"/>
          <w:sz w:val="24"/>
          <w:szCs w:val="24"/>
        </w:rPr>
        <w:t>. Годовые показатели кассового плана в части основных неналоговых доходов, предусмотренные на 2024 год, их поступление в областной бюджет за отчетный период, млн.руб.</w:t>
      </w:r>
    </w:p>
    <w:p w14:paraId="71EFBA5A" w14:textId="77777777" w:rsidR="000A2A7A" w:rsidRPr="00FD7B0B" w:rsidRDefault="000A2A7A" w:rsidP="000955A8">
      <w:pPr>
        <w:pStyle w:val="ad"/>
        <w:ind w:firstLine="709"/>
        <w:jc w:val="both"/>
        <w:rPr>
          <w:rFonts w:ascii="Times New Roman" w:hAnsi="Times New Roman"/>
          <w:sz w:val="28"/>
          <w:szCs w:val="28"/>
        </w:rPr>
      </w:pPr>
    </w:p>
    <w:p w14:paraId="14CD15CB" w14:textId="2573BDA3"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В целом налоговые и неналоговые доходы за 2024 год поступили на 768,0 млн.руб. больше (+0,8</w:t>
      </w:r>
      <w:r w:rsidR="000955A8" w:rsidRPr="00FD7B0B">
        <w:rPr>
          <w:rFonts w:ascii="Times New Roman" w:hAnsi="Times New Roman"/>
          <w:sz w:val="28"/>
          <w:szCs w:val="28"/>
        </w:rPr>
        <w:t xml:space="preserve"> </w:t>
      </w:r>
      <w:r w:rsidRPr="00FD7B0B">
        <w:rPr>
          <w:rFonts w:ascii="Times New Roman" w:hAnsi="Times New Roman"/>
          <w:sz w:val="28"/>
          <w:szCs w:val="28"/>
        </w:rPr>
        <w:t>%), чем утверждено кассовым планом на 2024 год (96 863,0 млн.руб.). Информация о факторах, оказавших влияние на поступление налоговых и неналоговых доходов, представлена в соответствующих частях настоящего раздела.</w:t>
      </w:r>
    </w:p>
    <w:p w14:paraId="1AC9D368" w14:textId="61D81F6C"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 xml:space="preserve">Динамика поступления налоговых и неналоговых доходов в областной бюджет, уплачиваемых плательщиками Архангельской области и Ненецкого </w:t>
      </w:r>
      <w:r w:rsidRPr="00FD7B0B">
        <w:rPr>
          <w:rFonts w:ascii="Times New Roman" w:hAnsi="Times New Roman"/>
          <w:sz w:val="28"/>
          <w:szCs w:val="28"/>
        </w:rPr>
        <w:lastRenderedPageBreak/>
        <w:t>автономного округа (далее – НАО), за 2023 – 2024 годы представлена в таблице</w:t>
      </w:r>
      <w:r w:rsidR="006E6954" w:rsidRPr="00FD7B0B">
        <w:rPr>
          <w:rFonts w:ascii="Times New Roman" w:hAnsi="Times New Roman"/>
          <w:sz w:val="28"/>
          <w:szCs w:val="28"/>
        </w:rPr>
        <w:t> 32</w:t>
      </w:r>
      <w:r w:rsidRPr="00FD7B0B">
        <w:rPr>
          <w:rFonts w:ascii="Times New Roman" w:hAnsi="Times New Roman"/>
          <w:sz w:val="28"/>
          <w:szCs w:val="28"/>
        </w:rPr>
        <w:t>.</w:t>
      </w:r>
    </w:p>
    <w:p w14:paraId="4BBFFB45" w14:textId="77777777" w:rsidR="000A2A7A" w:rsidRPr="00FD7B0B" w:rsidRDefault="000A2A7A" w:rsidP="000A2A7A">
      <w:pPr>
        <w:pStyle w:val="ad"/>
        <w:ind w:firstLine="709"/>
        <w:jc w:val="both"/>
        <w:rPr>
          <w:rFonts w:ascii="Times New Roman" w:hAnsi="Times New Roman"/>
          <w:sz w:val="28"/>
          <w:szCs w:val="28"/>
        </w:rPr>
      </w:pPr>
    </w:p>
    <w:p w14:paraId="1F1772A4" w14:textId="25349815"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32</w:t>
      </w:r>
      <w:r w:rsidRPr="00FD7B0B">
        <w:rPr>
          <w:rFonts w:ascii="Times New Roman" w:hAnsi="Times New Roman"/>
          <w:b w:val="0"/>
          <w:sz w:val="24"/>
          <w:szCs w:val="24"/>
        </w:rPr>
        <w:fldChar w:fldCharType="end"/>
      </w:r>
      <w:r w:rsidRPr="00FD7B0B">
        <w:rPr>
          <w:rFonts w:ascii="Times New Roman" w:hAnsi="Times New Roman"/>
          <w:b w:val="0"/>
          <w:sz w:val="24"/>
          <w:szCs w:val="24"/>
        </w:rPr>
        <w:t>. Поступление налоговых и неналоговых доходов в областной бюджет в 2021</w:t>
      </w:r>
      <w:r w:rsidR="001A03C9" w:rsidRPr="00FD7B0B">
        <w:rPr>
          <w:rFonts w:ascii="Times New Roman" w:hAnsi="Times New Roman"/>
          <w:b w:val="0"/>
          <w:sz w:val="24"/>
          <w:szCs w:val="24"/>
        </w:rPr>
        <w:t xml:space="preserve"> </w:t>
      </w:r>
      <w:r w:rsidRPr="00FD7B0B">
        <w:rPr>
          <w:rFonts w:ascii="Times New Roman" w:hAnsi="Times New Roman"/>
          <w:b w:val="0"/>
          <w:sz w:val="24"/>
          <w:szCs w:val="24"/>
        </w:rPr>
        <w:t>–</w:t>
      </w:r>
      <w:r w:rsidR="001A03C9" w:rsidRPr="00FD7B0B">
        <w:rPr>
          <w:rFonts w:ascii="Times New Roman" w:hAnsi="Times New Roman"/>
          <w:b w:val="0"/>
          <w:sz w:val="24"/>
          <w:szCs w:val="24"/>
        </w:rPr>
        <w:t xml:space="preserve"> </w:t>
      </w:r>
      <w:r w:rsidRPr="00FD7B0B">
        <w:rPr>
          <w:rFonts w:ascii="Times New Roman" w:hAnsi="Times New Roman"/>
          <w:b w:val="0"/>
          <w:sz w:val="24"/>
          <w:szCs w:val="24"/>
        </w:rPr>
        <w:t>2024 годах, уплачиваемых плательщиками Архангельской области и НАО, млн.руб.</w:t>
      </w:r>
    </w:p>
    <w:tbl>
      <w:tblPr>
        <w:tblW w:w="9781" w:type="dxa"/>
        <w:tblInd w:w="-23" w:type="dxa"/>
        <w:tblLayout w:type="fixed"/>
        <w:tblLook w:val="04A0" w:firstRow="1" w:lastRow="0" w:firstColumn="1" w:lastColumn="0" w:noHBand="0" w:noVBand="1"/>
      </w:tblPr>
      <w:tblGrid>
        <w:gridCol w:w="1276"/>
        <w:gridCol w:w="851"/>
        <w:gridCol w:w="960"/>
        <w:gridCol w:w="915"/>
        <w:gridCol w:w="851"/>
        <w:gridCol w:w="838"/>
        <w:gridCol w:w="830"/>
        <w:gridCol w:w="896"/>
        <w:gridCol w:w="688"/>
        <w:gridCol w:w="850"/>
        <w:gridCol w:w="826"/>
      </w:tblGrid>
      <w:tr w:rsidR="00FD7B0B" w:rsidRPr="00FD7B0B" w14:paraId="13AB5147" w14:textId="77777777" w:rsidTr="000A2A7A">
        <w:trPr>
          <w:trHeight w:val="264"/>
        </w:trPr>
        <w:tc>
          <w:tcPr>
            <w:tcW w:w="127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195B89F"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Плательщики</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7D88AB2"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2021</w:t>
            </w:r>
          </w:p>
          <w:p w14:paraId="594DADD2"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год</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412455B"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 xml:space="preserve">2022 </w:t>
            </w:r>
          </w:p>
          <w:p w14:paraId="1BFB7566"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 xml:space="preserve">год </w:t>
            </w:r>
          </w:p>
        </w:tc>
        <w:tc>
          <w:tcPr>
            <w:tcW w:w="91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8D38C85"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2023</w:t>
            </w:r>
          </w:p>
          <w:p w14:paraId="06C28237"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 xml:space="preserve">год </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F0A3EC9"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 xml:space="preserve">2024 </w:t>
            </w:r>
          </w:p>
          <w:p w14:paraId="771797CE"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 xml:space="preserve">год </w:t>
            </w:r>
          </w:p>
        </w:tc>
        <w:tc>
          <w:tcPr>
            <w:tcW w:w="4928" w:type="dxa"/>
            <w:gridSpan w:val="6"/>
            <w:tcBorders>
              <w:top w:val="double" w:sz="6" w:space="0" w:color="auto"/>
              <w:left w:val="single" w:sz="4" w:space="0" w:color="auto"/>
              <w:bottom w:val="single" w:sz="4" w:space="0" w:color="auto"/>
              <w:right w:val="double" w:sz="6" w:space="0" w:color="000000"/>
            </w:tcBorders>
            <w:shd w:val="clear" w:color="auto" w:fill="auto"/>
            <w:vAlign w:val="center"/>
            <w:hideMark/>
          </w:tcPr>
          <w:p w14:paraId="5F27C487" w14:textId="7FF9EE78" w:rsidR="000A2A7A" w:rsidRPr="00FD7B0B" w:rsidRDefault="001A03C9"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Изменение</w:t>
            </w:r>
            <w:r w:rsidR="000A2A7A" w:rsidRPr="00FD7B0B">
              <w:rPr>
                <w:rFonts w:ascii="Times New Roman" w:eastAsia="Times New Roman" w:hAnsi="Times New Roman"/>
                <w:lang w:eastAsia="ru-RU"/>
              </w:rPr>
              <w:t xml:space="preserve"> 2024 год </w:t>
            </w:r>
          </w:p>
        </w:tc>
      </w:tr>
      <w:tr w:rsidR="00FD7B0B" w:rsidRPr="00FD7B0B" w14:paraId="37ACFA2A" w14:textId="77777777" w:rsidTr="000A2A7A">
        <w:trPr>
          <w:trHeight w:val="169"/>
        </w:trPr>
        <w:tc>
          <w:tcPr>
            <w:tcW w:w="1276" w:type="dxa"/>
            <w:vMerge/>
            <w:tcBorders>
              <w:top w:val="double" w:sz="6" w:space="0" w:color="auto"/>
              <w:left w:val="double" w:sz="6" w:space="0" w:color="auto"/>
              <w:bottom w:val="single" w:sz="4" w:space="0" w:color="auto"/>
              <w:right w:val="single" w:sz="4" w:space="0" w:color="auto"/>
            </w:tcBorders>
            <w:vAlign w:val="center"/>
            <w:hideMark/>
          </w:tcPr>
          <w:p w14:paraId="2E59C94A" w14:textId="77777777" w:rsidR="000A2A7A" w:rsidRPr="00FD7B0B" w:rsidRDefault="000A2A7A" w:rsidP="000A2A7A">
            <w:pPr>
              <w:spacing w:after="0" w:line="240" w:lineRule="auto"/>
              <w:ind w:left="-108" w:right="-56"/>
              <w:rPr>
                <w:rFonts w:ascii="Times New Roman" w:eastAsia="Times New Roman" w:hAnsi="Times New Roman"/>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458BF413" w14:textId="77777777" w:rsidR="000A2A7A" w:rsidRPr="00FD7B0B" w:rsidRDefault="000A2A7A" w:rsidP="000A2A7A">
            <w:pPr>
              <w:spacing w:after="0" w:line="240" w:lineRule="auto"/>
              <w:ind w:left="-108" w:right="-56"/>
              <w:rPr>
                <w:rFonts w:ascii="Times New Roman" w:eastAsia="Times New Roman" w:hAnsi="Times New Roman"/>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251F4EBA" w14:textId="77777777" w:rsidR="000A2A7A" w:rsidRPr="00FD7B0B" w:rsidRDefault="000A2A7A" w:rsidP="000A2A7A">
            <w:pPr>
              <w:spacing w:after="0" w:line="240" w:lineRule="auto"/>
              <w:ind w:left="-108" w:right="-56"/>
              <w:rPr>
                <w:rFonts w:ascii="Times New Roman" w:eastAsia="Times New Roman" w:hAnsi="Times New Roman"/>
                <w:lang w:eastAsia="ru-RU"/>
              </w:rPr>
            </w:pPr>
          </w:p>
        </w:tc>
        <w:tc>
          <w:tcPr>
            <w:tcW w:w="915" w:type="dxa"/>
            <w:vMerge/>
            <w:tcBorders>
              <w:top w:val="double" w:sz="6" w:space="0" w:color="auto"/>
              <w:left w:val="single" w:sz="4" w:space="0" w:color="auto"/>
              <w:bottom w:val="single" w:sz="4" w:space="0" w:color="auto"/>
              <w:right w:val="single" w:sz="4" w:space="0" w:color="auto"/>
            </w:tcBorders>
            <w:vAlign w:val="center"/>
            <w:hideMark/>
          </w:tcPr>
          <w:p w14:paraId="3D1BF689" w14:textId="77777777" w:rsidR="000A2A7A" w:rsidRPr="00FD7B0B" w:rsidRDefault="000A2A7A" w:rsidP="000A2A7A">
            <w:pPr>
              <w:spacing w:after="0" w:line="240" w:lineRule="auto"/>
              <w:ind w:left="-108" w:right="-56"/>
              <w:rPr>
                <w:rFonts w:ascii="Times New Roman" w:eastAsia="Times New Roman" w:hAnsi="Times New Roman"/>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74CDABC0" w14:textId="77777777" w:rsidR="000A2A7A" w:rsidRPr="00FD7B0B" w:rsidRDefault="000A2A7A" w:rsidP="000A2A7A">
            <w:pPr>
              <w:spacing w:after="0" w:line="240" w:lineRule="auto"/>
              <w:ind w:left="-108" w:right="-56"/>
              <w:rPr>
                <w:rFonts w:ascii="Times New Roman" w:eastAsia="Times New Roman" w:hAnsi="Times New Roman"/>
                <w:lang w:eastAsia="ru-RU"/>
              </w:rPr>
            </w:pPr>
          </w:p>
        </w:tc>
        <w:tc>
          <w:tcPr>
            <w:tcW w:w="1668" w:type="dxa"/>
            <w:gridSpan w:val="2"/>
            <w:tcBorders>
              <w:top w:val="single" w:sz="4" w:space="0" w:color="auto"/>
              <w:left w:val="nil"/>
              <w:bottom w:val="single" w:sz="4" w:space="0" w:color="auto"/>
              <w:right w:val="single" w:sz="4" w:space="0" w:color="auto"/>
            </w:tcBorders>
            <w:shd w:val="clear" w:color="auto" w:fill="auto"/>
            <w:vAlign w:val="center"/>
            <w:hideMark/>
          </w:tcPr>
          <w:p w14:paraId="1142D79E"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к 2023 году</w:t>
            </w:r>
          </w:p>
        </w:tc>
        <w:tc>
          <w:tcPr>
            <w:tcW w:w="1584" w:type="dxa"/>
            <w:gridSpan w:val="2"/>
            <w:tcBorders>
              <w:top w:val="single" w:sz="4" w:space="0" w:color="auto"/>
              <w:left w:val="nil"/>
              <w:bottom w:val="single" w:sz="4" w:space="0" w:color="auto"/>
              <w:right w:val="single" w:sz="4" w:space="0" w:color="auto"/>
            </w:tcBorders>
            <w:shd w:val="clear" w:color="auto" w:fill="auto"/>
            <w:vAlign w:val="center"/>
            <w:hideMark/>
          </w:tcPr>
          <w:p w14:paraId="4C568D68"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к 2022 году</w:t>
            </w:r>
          </w:p>
        </w:tc>
        <w:tc>
          <w:tcPr>
            <w:tcW w:w="1676" w:type="dxa"/>
            <w:gridSpan w:val="2"/>
            <w:tcBorders>
              <w:top w:val="single" w:sz="4" w:space="0" w:color="auto"/>
              <w:left w:val="nil"/>
              <w:bottom w:val="single" w:sz="4" w:space="0" w:color="auto"/>
              <w:right w:val="double" w:sz="6" w:space="0" w:color="000000"/>
            </w:tcBorders>
            <w:shd w:val="clear" w:color="auto" w:fill="auto"/>
            <w:vAlign w:val="center"/>
            <w:hideMark/>
          </w:tcPr>
          <w:p w14:paraId="2F7BB3C9"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к 2021 году</w:t>
            </w:r>
          </w:p>
        </w:tc>
      </w:tr>
      <w:tr w:rsidR="00FD7B0B" w:rsidRPr="00FD7B0B" w14:paraId="1BBBFD8D" w14:textId="77777777" w:rsidTr="000A2A7A">
        <w:trPr>
          <w:trHeight w:val="386"/>
        </w:trPr>
        <w:tc>
          <w:tcPr>
            <w:tcW w:w="1276" w:type="dxa"/>
            <w:vMerge/>
            <w:tcBorders>
              <w:top w:val="double" w:sz="6" w:space="0" w:color="auto"/>
              <w:left w:val="double" w:sz="6" w:space="0" w:color="auto"/>
              <w:bottom w:val="single" w:sz="4" w:space="0" w:color="auto"/>
              <w:right w:val="single" w:sz="4" w:space="0" w:color="auto"/>
            </w:tcBorders>
            <w:vAlign w:val="center"/>
            <w:hideMark/>
          </w:tcPr>
          <w:p w14:paraId="0205F66D" w14:textId="77777777" w:rsidR="000A2A7A" w:rsidRPr="00FD7B0B" w:rsidRDefault="000A2A7A" w:rsidP="000A2A7A">
            <w:pPr>
              <w:spacing w:after="0" w:line="240" w:lineRule="auto"/>
              <w:ind w:left="-108" w:right="-56"/>
              <w:rPr>
                <w:rFonts w:ascii="Times New Roman" w:eastAsia="Times New Roman" w:hAnsi="Times New Roman"/>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9CB6CEB"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4C1E4B7D"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915" w:type="dxa"/>
            <w:tcBorders>
              <w:top w:val="nil"/>
              <w:left w:val="nil"/>
              <w:bottom w:val="single" w:sz="4" w:space="0" w:color="auto"/>
              <w:right w:val="single" w:sz="4" w:space="0" w:color="auto"/>
            </w:tcBorders>
            <w:shd w:val="clear" w:color="auto" w:fill="auto"/>
            <w:noWrap/>
            <w:vAlign w:val="center"/>
            <w:hideMark/>
          </w:tcPr>
          <w:p w14:paraId="4142DC44"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14:paraId="3D08FF16"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4</w:t>
            </w:r>
          </w:p>
        </w:tc>
        <w:tc>
          <w:tcPr>
            <w:tcW w:w="838" w:type="dxa"/>
            <w:tcBorders>
              <w:top w:val="nil"/>
              <w:left w:val="nil"/>
              <w:bottom w:val="single" w:sz="4" w:space="0" w:color="auto"/>
              <w:right w:val="single" w:sz="4" w:space="0" w:color="auto"/>
            </w:tcBorders>
            <w:shd w:val="clear" w:color="auto" w:fill="auto"/>
            <w:noWrap/>
            <w:vAlign w:val="center"/>
            <w:hideMark/>
          </w:tcPr>
          <w:p w14:paraId="1D2EB56D"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5=4-3, млн.руб.</w:t>
            </w:r>
          </w:p>
        </w:tc>
        <w:tc>
          <w:tcPr>
            <w:tcW w:w="830" w:type="dxa"/>
            <w:tcBorders>
              <w:top w:val="nil"/>
              <w:left w:val="nil"/>
              <w:bottom w:val="single" w:sz="4" w:space="0" w:color="auto"/>
              <w:right w:val="single" w:sz="4" w:space="0" w:color="auto"/>
            </w:tcBorders>
            <w:shd w:val="clear" w:color="auto" w:fill="auto"/>
            <w:noWrap/>
            <w:vAlign w:val="center"/>
            <w:hideMark/>
          </w:tcPr>
          <w:p w14:paraId="23F2E68C"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6=4/3*</w:t>
            </w:r>
          </w:p>
          <w:p w14:paraId="38835B6E"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100,%</w:t>
            </w:r>
          </w:p>
        </w:tc>
        <w:tc>
          <w:tcPr>
            <w:tcW w:w="896" w:type="dxa"/>
            <w:tcBorders>
              <w:top w:val="nil"/>
              <w:left w:val="nil"/>
              <w:bottom w:val="single" w:sz="4" w:space="0" w:color="auto"/>
              <w:right w:val="single" w:sz="4" w:space="0" w:color="auto"/>
            </w:tcBorders>
            <w:shd w:val="clear" w:color="auto" w:fill="auto"/>
            <w:vAlign w:val="center"/>
            <w:hideMark/>
          </w:tcPr>
          <w:p w14:paraId="22576B3F"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7=4-2, млн.руб.</w:t>
            </w:r>
          </w:p>
        </w:tc>
        <w:tc>
          <w:tcPr>
            <w:tcW w:w="688" w:type="dxa"/>
            <w:tcBorders>
              <w:top w:val="nil"/>
              <w:left w:val="nil"/>
              <w:bottom w:val="single" w:sz="4" w:space="0" w:color="auto"/>
              <w:right w:val="single" w:sz="4" w:space="0" w:color="auto"/>
            </w:tcBorders>
            <w:shd w:val="clear" w:color="auto" w:fill="auto"/>
            <w:vAlign w:val="center"/>
            <w:hideMark/>
          </w:tcPr>
          <w:p w14:paraId="0EBA1307"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8=4/2*</w:t>
            </w:r>
          </w:p>
          <w:p w14:paraId="13789D6E"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100, %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3C4D0B"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9=4-1, млн.руб.</w:t>
            </w:r>
          </w:p>
        </w:tc>
        <w:tc>
          <w:tcPr>
            <w:tcW w:w="826" w:type="dxa"/>
            <w:tcBorders>
              <w:top w:val="nil"/>
              <w:left w:val="single" w:sz="4" w:space="0" w:color="auto"/>
              <w:bottom w:val="single" w:sz="4" w:space="0" w:color="auto"/>
              <w:right w:val="double" w:sz="6" w:space="0" w:color="auto"/>
            </w:tcBorders>
            <w:shd w:val="clear" w:color="auto" w:fill="auto"/>
            <w:vAlign w:val="center"/>
            <w:hideMark/>
          </w:tcPr>
          <w:p w14:paraId="45646ECB"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10=4/1*</w:t>
            </w:r>
          </w:p>
          <w:p w14:paraId="38FB4CBF" w14:textId="77777777" w:rsidR="000A2A7A" w:rsidRPr="00FD7B0B" w:rsidRDefault="000A2A7A" w:rsidP="000A2A7A">
            <w:pPr>
              <w:spacing w:after="0" w:line="240" w:lineRule="auto"/>
              <w:ind w:left="-108" w:right="-56"/>
              <w:jc w:val="center"/>
              <w:rPr>
                <w:rFonts w:ascii="Times New Roman" w:eastAsia="Times New Roman" w:hAnsi="Times New Roman"/>
                <w:lang w:eastAsia="ru-RU"/>
              </w:rPr>
            </w:pPr>
            <w:r w:rsidRPr="00FD7B0B">
              <w:rPr>
                <w:rFonts w:ascii="Times New Roman" w:eastAsia="Times New Roman" w:hAnsi="Times New Roman"/>
                <w:lang w:eastAsia="ru-RU"/>
              </w:rPr>
              <w:t>100, %</w:t>
            </w:r>
          </w:p>
        </w:tc>
      </w:tr>
      <w:tr w:rsidR="00FD7B0B" w:rsidRPr="00FD7B0B" w14:paraId="142DFD58" w14:textId="77777777" w:rsidTr="000A2A7A">
        <w:trPr>
          <w:trHeight w:val="412"/>
        </w:trPr>
        <w:tc>
          <w:tcPr>
            <w:tcW w:w="1276" w:type="dxa"/>
            <w:tcBorders>
              <w:top w:val="nil"/>
              <w:left w:val="double" w:sz="6" w:space="0" w:color="auto"/>
              <w:bottom w:val="single" w:sz="4" w:space="0" w:color="auto"/>
              <w:right w:val="single" w:sz="4" w:space="0" w:color="auto"/>
            </w:tcBorders>
            <w:shd w:val="clear" w:color="auto" w:fill="auto"/>
            <w:vAlign w:val="bottom"/>
            <w:hideMark/>
          </w:tcPr>
          <w:p w14:paraId="15FACC9D" w14:textId="77777777" w:rsidR="000A2A7A" w:rsidRPr="00FD7B0B" w:rsidRDefault="000A2A7A" w:rsidP="000A2A7A">
            <w:pPr>
              <w:spacing w:after="0" w:line="240" w:lineRule="auto"/>
              <w:ind w:left="-108" w:right="-56"/>
              <w:rPr>
                <w:rFonts w:ascii="Times New Roman" w:eastAsia="Times New Roman" w:hAnsi="Times New Roman"/>
                <w:lang w:eastAsia="ru-RU"/>
              </w:rPr>
            </w:pPr>
            <w:r w:rsidRPr="00FD7B0B">
              <w:rPr>
                <w:rFonts w:ascii="Times New Roman" w:eastAsia="Times New Roman" w:hAnsi="Times New Roman"/>
                <w:lang w:eastAsia="ru-RU"/>
              </w:rPr>
              <w:t>Архангельская область</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18853F6"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65 163,9</w:t>
            </w:r>
          </w:p>
        </w:tc>
        <w:tc>
          <w:tcPr>
            <w:tcW w:w="960" w:type="dxa"/>
            <w:tcBorders>
              <w:top w:val="nil"/>
              <w:left w:val="nil"/>
              <w:bottom w:val="single" w:sz="4" w:space="0" w:color="auto"/>
              <w:right w:val="single" w:sz="4" w:space="0" w:color="auto"/>
            </w:tcBorders>
            <w:shd w:val="clear" w:color="auto" w:fill="auto"/>
            <w:noWrap/>
            <w:vAlign w:val="bottom"/>
            <w:hideMark/>
          </w:tcPr>
          <w:p w14:paraId="7609F5A8"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72 649,0</w:t>
            </w:r>
          </w:p>
        </w:tc>
        <w:tc>
          <w:tcPr>
            <w:tcW w:w="915" w:type="dxa"/>
            <w:tcBorders>
              <w:top w:val="nil"/>
              <w:left w:val="nil"/>
              <w:bottom w:val="single" w:sz="4" w:space="0" w:color="auto"/>
              <w:right w:val="single" w:sz="4" w:space="0" w:color="auto"/>
            </w:tcBorders>
            <w:shd w:val="clear" w:color="auto" w:fill="auto"/>
            <w:noWrap/>
            <w:vAlign w:val="bottom"/>
            <w:hideMark/>
          </w:tcPr>
          <w:p w14:paraId="77222072"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79 893,6</w:t>
            </w:r>
          </w:p>
        </w:tc>
        <w:tc>
          <w:tcPr>
            <w:tcW w:w="851" w:type="dxa"/>
            <w:tcBorders>
              <w:top w:val="nil"/>
              <w:left w:val="nil"/>
              <w:bottom w:val="single" w:sz="4" w:space="0" w:color="auto"/>
              <w:right w:val="single" w:sz="4" w:space="0" w:color="auto"/>
            </w:tcBorders>
            <w:shd w:val="clear" w:color="auto" w:fill="auto"/>
            <w:noWrap/>
            <w:vAlign w:val="bottom"/>
            <w:hideMark/>
          </w:tcPr>
          <w:p w14:paraId="73439D56"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83 617,3</w:t>
            </w:r>
          </w:p>
        </w:tc>
        <w:tc>
          <w:tcPr>
            <w:tcW w:w="838" w:type="dxa"/>
            <w:tcBorders>
              <w:top w:val="nil"/>
              <w:left w:val="nil"/>
              <w:bottom w:val="single" w:sz="4" w:space="0" w:color="auto"/>
              <w:right w:val="single" w:sz="4" w:space="0" w:color="auto"/>
            </w:tcBorders>
            <w:shd w:val="clear" w:color="auto" w:fill="auto"/>
            <w:noWrap/>
            <w:vAlign w:val="bottom"/>
            <w:hideMark/>
          </w:tcPr>
          <w:p w14:paraId="03F7EA0D"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3 723,7</w:t>
            </w:r>
          </w:p>
        </w:tc>
        <w:tc>
          <w:tcPr>
            <w:tcW w:w="830" w:type="dxa"/>
            <w:tcBorders>
              <w:top w:val="nil"/>
              <w:left w:val="nil"/>
              <w:bottom w:val="single" w:sz="4" w:space="0" w:color="auto"/>
              <w:right w:val="single" w:sz="4" w:space="0" w:color="auto"/>
            </w:tcBorders>
            <w:shd w:val="clear" w:color="auto" w:fill="auto"/>
            <w:noWrap/>
            <w:vAlign w:val="bottom"/>
            <w:hideMark/>
          </w:tcPr>
          <w:p w14:paraId="58DAA74C"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104,7</w:t>
            </w:r>
          </w:p>
        </w:tc>
        <w:tc>
          <w:tcPr>
            <w:tcW w:w="896" w:type="dxa"/>
            <w:tcBorders>
              <w:top w:val="nil"/>
              <w:left w:val="nil"/>
              <w:bottom w:val="single" w:sz="4" w:space="0" w:color="auto"/>
              <w:right w:val="single" w:sz="4" w:space="0" w:color="auto"/>
            </w:tcBorders>
            <w:shd w:val="clear" w:color="auto" w:fill="auto"/>
            <w:noWrap/>
            <w:vAlign w:val="bottom"/>
            <w:hideMark/>
          </w:tcPr>
          <w:p w14:paraId="5750FFC0"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10 968,3</w:t>
            </w:r>
          </w:p>
        </w:tc>
        <w:tc>
          <w:tcPr>
            <w:tcW w:w="688" w:type="dxa"/>
            <w:tcBorders>
              <w:top w:val="nil"/>
              <w:left w:val="nil"/>
              <w:bottom w:val="single" w:sz="4" w:space="0" w:color="auto"/>
              <w:right w:val="single" w:sz="4" w:space="0" w:color="auto"/>
            </w:tcBorders>
            <w:shd w:val="clear" w:color="auto" w:fill="auto"/>
            <w:noWrap/>
            <w:vAlign w:val="bottom"/>
            <w:hideMark/>
          </w:tcPr>
          <w:p w14:paraId="59704D3A"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115,1</w:t>
            </w:r>
          </w:p>
        </w:tc>
        <w:tc>
          <w:tcPr>
            <w:tcW w:w="850" w:type="dxa"/>
            <w:tcBorders>
              <w:top w:val="nil"/>
              <w:left w:val="nil"/>
              <w:bottom w:val="single" w:sz="4" w:space="0" w:color="auto"/>
              <w:right w:val="single" w:sz="4" w:space="0" w:color="auto"/>
            </w:tcBorders>
            <w:shd w:val="clear" w:color="auto" w:fill="auto"/>
            <w:noWrap/>
            <w:vAlign w:val="bottom"/>
            <w:hideMark/>
          </w:tcPr>
          <w:p w14:paraId="444F9A2A"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18 453,4</w:t>
            </w:r>
          </w:p>
        </w:tc>
        <w:tc>
          <w:tcPr>
            <w:tcW w:w="826" w:type="dxa"/>
            <w:tcBorders>
              <w:top w:val="nil"/>
              <w:left w:val="single" w:sz="4" w:space="0" w:color="auto"/>
              <w:bottom w:val="single" w:sz="4" w:space="0" w:color="auto"/>
              <w:right w:val="double" w:sz="6" w:space="0" w:color="auto"/>
            </w:tcBorders>
            <w:shd w:val="clear" w:color="auto" w:fill="auto"/>
            <w:noWrap/>
            <w:vAlign w:val="bottom"/>
            <w:hideMark/>
          </w:tcPr>
          <w:p w14:paraId="3CDA0CE8"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128,3</w:t>
            </w:r>
          </w:p>
        </w:tc>
      </w:tr>
      <w:tr w:rsidR="00FD7B0B" w:rsidRPr="00FD7B0B" w14:paraId="617A2910" w14:textId="77777777" w:rsidTr="000A2A7A">
        <w:trPr>
          <w:trHeight w:val="276"/>
        </w:trPr>
        <w:tc>
          <w:tcPr>
            <w:tcW w:w="1276" w:type="dxa"/>
            <w:tcBorders>
              <w:top w:val="nil"/>
              <w:left w:val="double" w:sz="6" w:space="0" w:color="auto"/>
              <w:bottom w:val="single" w:sz="4" w:space="0" w:color="auto"/>
              <w:right w:val="single" w:sz="4" w:space="0" w:color="auto"/>
            </w:tcBorders>
            <w:shd w:val="clear" w:color="auto" w:fill="auto"/>
            <w:vAlign w:val="center"/>
            <w:hideMark/>
          </w:tcPr>
          <w:p w14:paraId="435CE35F" w14:textId="77777777" w:rsidR="000A2A7A" w:rsidRPr="00FD7B0B" w:rsidRDefault="000A2A7A" w:rsidP="000A2A7A">
            <w:pPr>
              <w:spacing w:after="0" w:line="240" w:lineRule="auto"/>
              <w:ind w:left="-108" w:right="-56"/>
              <w:rPr>
                <w:rFonts w:ascii="Times New Roman" w:eastAsia="Times New Roman" w:hAnsi="Times New Roman"/>
                <w:lang w:eastAsia="ru-RU"/>
              </w:rPr>
            </w:pPr>
            <w:r w:rsidRPr="00FD7B0B">
              <w:rPr>
                <w:rFonts w:ascii="Times New Roman" w:eastAsia="Times New Roman" w:hAnsi="Times New Roman"/>
                <w:lang w:eastAsia="ru-RU"/>
              </w:rPr>
              <w:t>НАО</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D8B9B83"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9 913,5</w:t>
            </w:r>
          </w:p>
        </w:tc>
        <w:tc>
          <w:tcPr>
            <w:tcW w:w="960" w:type="dxa"/>
            <w:tcBorders>
              <w:top w:val="nil"/>
              <w:left w:val="nil"/>
              <w:bottom w:val="single" w:sz="4" w:space="0" w:color="auto"/>
              <w:right w:val="single" w:sz="4" w:space="0" w:color="auto"/>
            </w:tcBorders>
            <w:shd w:val="clear" w:color="auto" w:fill="auto"/>
            <w:noWrap/>
            <w:vAlign w:val="center"/>
            <w:hideMark/>
          </w:tcPr>
          <w:p w14:paraId="4FD9CEED"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11 987,1</w:t>
            </w:r>
          </w:p>
        </w:tc>
        <w:tc>
          <w:tcPr>
            <w:tcW w:w="915" w:type="dxa"/>
            <w:tcBorders>
              <w:top w:val="nil"/>
              <w:left w:val="nil"/>
              <w:bottom w:val="single" w:sz="4" w:space="0" w:color="auto"/>
              <w:right w:val="single" w:sz="4" w:space="0" w:color="auto"/>
            </w:tcBorders>
            <w:shd w:val="clear" w:color="auto" w:fill="auto"/>
            <w:noWrap/>
            <w:vAlign w:val="center"/>
            <w:hideMark/>
          </w:tcPr>
          <w:p w14:paraId="71E427DF"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7 696,1</w:t>
            </w:r>
          </w:p>
        </w:tc>
        <w:tc>
          <w:tcPr>
            <w:tcW w:w="851" w:type="dxa"/>
            <w:tcBorders>
              <w:top w:val="nil"/>
              <w:left w:val="nil"/>
              <w:bottom w:val="single" w:sz="4" w:space="0" w:color="auto"/>
              <w:right w:val="single" w:sz="4" w:space="0" w:color="auto"/>
            </w:tcBorders>
            <w:shd w:val="clear" w:color="auto" w:fill="auto"/>
            <w:noWrap/>
            <w:vAlign w:val="center"/>
            <w:hideMark/>
          </w:tcPr>
          <w:p w14:paraId="58DA84AE"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14 013,7</w:t>
            </w:r>
          </w:p>
        </w:tc>
        <w:tc>
          <w:tcPr>
            <w:tcW w:w="838" w:type="dxa"/>
            <w:tcBorders>
              <w:top w:val="nil"/>
              <w:left w:val="nil"/>
              <w:bottom w:val="single" w:sz="4" w:space="0" w:color="auto"/>
              <w:right w:val="single" w:sz="4" w:space="0" w:color="auto"/>
            </w:tcBorders>
            <w:shd w:val="clear" w:color="auto" w:fill="auto"/>
            <w:noWrap/>
            <w:vAlign w:val="center"/>
            <w:hideMark/>
          </w:tcPr>
          <w:p w14:paraId="5220EBFD"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6 317,6</w:t>
            </w:r>
          </w:p>
        </w:tc>
        <w:tc>
          <w:tcPr>
            <w:tcW w:w="830" w:type="dxa"/>
            <w:tcBorders>
              <w:top w:val="nil"/>
              <w:left w:val="nil"/>
              <w:bottom w:val="single" w:sz="4" w:space="0" w:color="auto"/>
              <w:right w:val="single" w:sz="4" w:space="0" w:color="auto"/>
            </w:tcBorders>
            <w:shd w:val="clear" w:color="auto" w:fill="auto"/>
            <w:noWrap/>
            <w:vAlign w:val="center"/>
            <w:hideMark/>
          </w:tcPr>
          <w:p w14:paraId="540A2E83"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182,1</w:t>
            </w:r>
          </w:p>
        </w:tc>
        <w:tc>
          <w:tcPr>
            <w:tcW w:w="896" w:type="dxa"/>
            <w:tcBorders>
              <w:top w:val="nil"/>
              <w:left w:val="nil"/>
              <w:bottom w:val="single" w:sz="4" w:space="0" w:color="auto"/>
              <w:right w:val="single" w:sz="4" w:space="0" w:color="auto"/>
            </w:tcBorders>
            <w:shd w:val="clear" w:color="auto" w:fill="auto"/>
            <w:noWrap/>
            <w:vAlign w:val="center"/>
            <w:hideMark/>
          </w:tcPr>
          <w:p w14:paraId="25A73D1F"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2 026,6</w:t>
            </w:r>
          </w:p>
        </w:tc>
        <w:tc>
          <w:tcPr>
            <w:tcW w:w="688" w:type="dxa"/>
            <w:tcBorders>
              <w:top w:val="nil"/>
              <w:left w:val="nil"/>
              <w:bottom w:val="single" w:sz="4" w:space="0" w:color="auto"/>
              <w:right w:val="single" w:sz="4" w:space="0" w:color="auto"/>
            </w:tcBorders>
            <w:shd w:val="clear" w:color="auto" w:fill="auto"/>
            <w:noWrap/>
            <w:vAlign w:val="center"/>
            <w:hideMark/>
          </w:tcPr>
          <w:p w14:paraId="1BE08676"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116,9</w:t>
            </w:r>
          </w:p>
        </w:tc>
        <w:tc>
          <w:tcPr>
            <w:tcW w:w="850" w:type="dxa"/>
            <w:tcBorders>
              <w:top w:val="nil"/>
              <w:left w:val="nil"/>
              <w:bottom w:val="single" w:sz="4" w:space="0" w:color="auto"/>
              <w:right w:val="single" w:sz="4" w:space="0" w:color="auto"/>
            </w:tcBorders>
            <w:shd w:val="clear" w:color="auto" w:fill="auto"/>
            <w:noWrap/>
            <w:vAlign w:val="center"/>
            <w:hideMark/>
          </w:tcPr>
          <w:p w14:paraId="0F931930"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4 100,2</w:t>
            </w:r>
          </w:p>
        </w:tc>
        <w:tc>
          <w:tcPr>
            <w:tcW w:w="826" w:type="dxa"/>
            <w:tcBorders>
              <w:top w:val="nil"/>
              <w:left w:val="single" w:sz="4" w:space="0" w:color="auto"/>
              <w:bottom w:val="single" w:sz="4" w:space="0" w:color="auto"/>
              <w:right w:val="double" w:sz="6" w:space="0" w:color="auto"/>
            </w:tcBorders>
            <w:shd w:val="clear" w:color="auto" w:fill="auto"/>
            <w:noWrap/>
            <w:vAlign w:val="center"/>
            <w:hideMark/>
          </w:tcPr>
          <w:p w14:paraId="193A0262"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141,4</w:t>
            </w:r>
          </w:p>
        </w:tc>
      </w:tr>
      <w:tr w:rsidR="00FD7B0B" w:rsidRPr="00FD7B0B" w14:paraId="75E8017F" w14:textId="77777777" w:rsidTr="001A03C9">
        <w:trPr>
          <w:trHeight w:val="97"/>
        </w:trPr>
        <w:tc>
          <w:tcPr>
            <w:tcW w:w="1276" w:type="dxa"/>
            <w:tcBorders>
              <w:top w:val="nil"/>
              <w:left w:val="double" w:sz="6" w:space="0" w:color="auto"/>
              <w:bottom w:val="double" w:sz="6" w:space="0" w:color="auto"/>
              <w:right w:val="single" w:sz="4" w:space="0" w:color="auto"/>
            </w:tcBorders>
            <w:shd w:val="clear" w:color="auto" w:fill="auto"/>
            <w:noWrap/>
            <w:vAlign w:val="bottom"/>
            <w:hideMark/>
          </w:tcPr>
          <w:p w14:paraId="2686453F" w14:textId="77777777" w:rsidR="000A2A7A" w:rsidRPr="00FD7B0B" w:rsidRDefault="000A2A7A" w:rsidP="000A2A7A">
            <w:pPr>
              <w:spacing w:after="0" w:line="240" w:lineRule="auto"/>
              <w:ind w:left="-108" w:right="-56"/>
              <w:rPr>
                <w:rFonts w:ascii="Times New Roman" w:eastAsia="Times New Roman" w:hAnsi="Times New Roman"/>
                <w:lang w:eastAsia="ru-RU"/>
              </w:rPr>
            </w:pPr>
            <w:r w:rsidRPr="00FD7B0B">
              <w:rPr>
                <w:rFonts w:ascii="Times New Roman" w:eastAsia="Times New Roman" w:hAnsi="Times New Roman"/>
                <w:lang w:eastAsia="ru-RU"/>
              </w:rPr>
              <w:t>Всего</w:t>
            </w:r>
          </w:p>
        </w:tc>
        <w:tc>
          <w:tcPr>
            <w:tcW w:w="851" w:type="dxa"/>
            <w:tcBorders>
              <w:top w:val="single" w:sz="4" w:space="0" w:color="auto"/>
              <w:left w:val="nil"/>
              <w:bottom w:val="double" w:sz="6" w:space="0" w:color="auto"/>
              <w:right w:val="single" w:sz="4" w:space="0" w:color="auto"/>
            </w:tcBorders>
            <w:shd w:val="clear" w:color="auto" w:fill="auto"/>
            <w:noWrap/>
            <w:vAlign w:val="bottom"/>
            <w:hideMark/>
          </w:tcPr>
          <w:p w14:paraId="081B5416"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75 077,4</w:t>
            </w:r>
          </w:p>
        </w:tc>
        <w:tc>
          <w:tcPr>
            <w:tcW w:w="960" w:type="dxa"/>
            <w:tcBorders>
              <w:top w:val="single" w:sz="4" w:space="0" w:color="auto"/>
              <w:left w:val="nil"/>
              <w:bottom w:val="double" w:sz="6" w:space="0" w:color="auto"/>
              <w:right w:val="single" w:sz="4" w:space="0" w:color="auto"/>
            </w:tcBorders>
            <w:shd w:val="clear" w:color="auto" w:fill="auto"/>
            <w:noWrap/>
            <w:vAlign w:val="bottom"/>
            <w:hideMark/>
          </w:tcPr>
          <w:p w14:paraId="1B758D70"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84 636,2</w:t>
            </w:r>
          </w:p>
        </w:tc>
        <w:tc>
          <w:tcPr>
            <w:tcW w:w="915" w:type="dxa"/>
            <w:tcBorders>
              <w:top w:val="single" w:sz="4" w:space="0" w:color="auto"/>
              <w:left w:val="nil"/>
              <w:bottom w:val="double" w:sz="6" w:space="0" w:color="auto"/>
              <w:right w:val="single" w:sz="4" w:space="0" w:color="auto"/>
            </w:tcBorders>
            <w:shd w:val="clear" w:color="auto" w:fill="auto"/>
            <w:noWrap/>
            <w:vAlign w:val="bottom"/>
            <w:hideMark/>
          </w:tcPr>
          <w:p w14:paraId="07BFB312"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87 589,7</w:t>
            </w:r>
          </w:p>
        </w:tc>
        <w:tc>
          <w:tcPr>
            <w:tcW w:w="851" w:type="dxa"/>
            <w:tcBorders>
              <w:top w:val="single" w:sz="4" w:space="0" w:color="auto"/>
              <w:left w:val="nil"/>
              <w:bottom w:val="double" w:sz="6" w:space="0" w:color="auto"/>
              <w:right w:val="single" w:sz="4" w:space="0" w:color="auto"/>
            </w:tcBorders>
            <w:shd w:val="clear" w:color="auto" w:fill="auto"/>
            <w:noWrap/>
            <w:vAlign w:val="bottom"/>
            <w:hideMark/>
          </w:tcPr>
          <w:p w14:paraId="6045618D"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97 631,0</w:t>
            </w:r>
          </w:p>
        </w:tc>
        <w:tc>
          <w:tcPr>
            <w:tcW w:w="838" w:type="dxa"/>
            <w:tcBorders>
              <w:top w:val="single" w:sz="4" w:space="0" w:color="auto"/>
              <w:left w:val="nil"/>
              <w:bottom w:val="double" w:sz="6" w:space="0" w:color="auto"/>
              <w:right w:val="single" w:sz="4" w:space="0" w:color="auto"/>
            </w:tcBorders>
            <w:shd w:val="clear" w:color="auto" w:fill="auto"/>
            <w:noWrap/>
            <w:vAlign w:val="bottom"/>
            <w:hideMark/>
          </w:tcPr>
          <w:p w14:paraId="60BC37E9"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10 041,3</w:t>
            </w:r>
          </w:p>
        </w:tc>
        <w:tc>
          <w:tcPr>
            <w:tcW w:w="830" w:type="dxa"/>
            <w:tcBorders>
              <w:top w:val="single" w:sz="4" w:space="0" w:color="auto"/>
              <w:left w:val="nil"/>
              <w:bottom w:val="double" w:sz="6" w:space="0" w:color="auto"/>
              <w:right w:val="single" w:sz="4" w:space="0" w:color="auto"/>
            </w:tcBorders>
            <w:shd w:val="clear" w:color="auto" w:fill="auto"/>
            <w:noWrap/>
            <w:vAlign w:val="bottom"/>
            <w:hideMark/>
          </w:tcPr>
          <w:p w14:paraId="2FB9CFBF"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111,5</w:t>
            </w:r>
          </w:p>
        </w:tc>
        <w:tc>
          <w:tcPr>
            <w:tcW w:w="896" w:type="dxa"/>
            <w:tcBorders>
              <w:top w:val="single" w:sz="4" w:space="0" w:color="auto"/>
              <w:left w:val="nil"/>
              <w:bottom w:val="double" w:sz="6" w:space="0" w:color="auto"/>
              <w:right w:val="single" w:sz="4" w:space="0" w:color="auto"/>
            </w:tcBorders>
            <w:shd w:val="clear" w:color="auto" w:fill="auto"/>
            <w:noWrap/>
            <w:vAlign w:val="bottom"/>
            <w:hideMark/>
          </w:tcPr>
          <w:p w14:paraId="06638DA9"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12 994,8</w:t>
            </w:r>
          </w:p>
        </w:tc>
        <w:tc>
          <w:tcPr>
            <w:tcW w:w="688" w:type="dxa"/>
            <w:tcBorders>
              <w:top w:val="single" w:sz="4" w:space="0" w:color="auto"/>
              <w:left w:val="nil"/>
              <w:bottom w:val="double" w:sz="6" w:space="0" w:color="auto"/>
              <w:right w:val="single" w:sz="4" w:space="0" w:color="auto"/>
            </w:tcBorders>
            <w:shd w:val="clear" w:color="auto" w:fill="auto"/>
            <w:noWrap/>
            <w:vAlign w:val="bottom"/>
            <w:hideMark/>
          </w:tcPr>
          <w:p w14:paraId="343E3382"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115,4</w:t>
            </w:r>
          </w:p>
        </w:tc>
        <w:tc>
          <w:tcPr>
            <w:tcW w:w="850" w:type="dxa"/>
            <w:tcBorders>
              <w:top w:val="single" w:sz="4" w:space="0" w:color="auto"/>
              <w:left w:val="nil"/>
              <w:bottom w:val="double" w:sz="6" w:space="0" w:color="auto"/>
              <w:right w:val="single" w:sz="4" w:space="0" w:color="auto"/>
            </w:tcBorders>
            <w:shd w:val="clear" w:color="auto" w:fill="auto"/>
            <w:noWrap/>
            <w:vAlign w:val="bottom"/>
            <w:hideMark/>
          </w:tcPr>
          <w:p w14:paraId="514AD506"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22 553,6</w:t>
            </w:r>
          </w:p>
        </w:tc>
        <w:tc>
          <w:tcPr>
            <w:tcW w:w="826" w:type="dxa"/>
            <w:tcBorders>
              <w:top w:val="nil"/>
              <w:left w:val="nil"/>
              <w:bottom w:val="double" w:sz="6" w:space="0" w:color="auto"/>
              <w:right w:val="double" w:sz="6" w:space="0" w:color="auto"/>
            </w:tcBorders>
            <w:shd w:val="clear" w:color="auto" w:fill="auto"/>
            <w:noWrap/>
            <w:vAlign w:val="bottom"/>
            <w:hideMark/>
          </w:tcPr>
          <w:p w14:paraId="3EDB1601" w14:textId="77777777" w:rsidR="000A2A7A" w:rsidRPr="00FD7B0B" w:rsidRDefault="000A2A7A" w:rsidP="000A2A7A">
            <w:pPr>
              <w:spacing w:after="0" w:line="240" w:lineRule="auto"/>
              <w:ind w:left="-108" w:right="-56"/>
              <w:jc w:val="right"/>
              <w:rPr>
                <w:rFonts w:ascii="Times New Roman" w:eastAsia="Times New Roman" w:hAnsi="Times New Roman"/>
                <w:lang w:eastAsia="ru-RU"/>
              </w:rPr>
            </w:pPr>
            <w:r w:rsidRPr="00FD7B0B">
              <w:rPr>
                <w:rFonts w:ascii="Times New Roman" w:eastAsia="Times New Roman" w:hAnsi="Times New Roman"/>
                <w:lang w:eastAsia="ru-RU"/>
              </w:rPr>
              <w:t>130,0</w:t>
            </w:r>
          </w:p>
        </w:tc>
      </w:tr>
    </w:tbl>
    <w:p w14:paraId="608E5CDF" w14:textId="77777777" w:rsidR="000A2A7A" w:rsidRPr="00FD7B0B" w:rsidRDefault="000A2A7A" w:rsidP="00526F65">
      <w:pPr>
        <w:pStyle w:val="ad"/>
        <w:ind w:firstLine="709"/>
        <w:jc w:val="both"/>
        <w:rPr>
          <w:rFonts w:ascii="Times New Roman" w:hAnsi="Times New Roman"/>
          <w:sz w:val="28"/>
          <w:szCs w:val="28"/>
        </w:rPr>
      </w:pPr>
    </w:p>
    <w:p w14:paraId="508DBB0A" w14:textId="77777777" w:rsidR="000A2A7A" w:rsidRPr="00FD7B0B" w:rsidRDefault="000A2A7A" w:rsidP="00526F65">
      <w:pPr>
        <w:pStyle w:val="ad"/>
        <w:ind w:firstLine="709"/>
        <w:jc w:val="both"/>
        <w:rPr>
          <w:rFonts w:ascii="Times New Roman" w:hAnsi="Times New Roman"/>
          <w:sz w:val="28"/>
          <w:szCs w:val="28"/>
        </w:rPr>
      </w:pPr>
      <w:r w:rsidRPr="00FD7B0B">
        <w:rPr>
          <w:rFonts w:ascii="Times New Roman" w:hAnsi="Times New Roman"/>
          <w:sz w:val="28"/>
          <w:szCs w:val="28"/>
        </w:rPr>
        <w:t>Фактическое поступление налоговых и неналоговых доходов 2024 года к аналогичным показателям 2023 года в основном обусловлено:</w:t>
      </w:r>
    </w:p>
    <w:p w14:paraId="684D5B47" w14:textId="72F43E7C" w:rsidR="000A2A7A" w:rsidRPr="00FD7B0B" w:rsidRDefault="000A2A7A" w:rsidP="0063072B">
      <w:pPr>
        <w:pStyle w:val="1a"/>
        <w:numPr>
          <w:ilvl w:val="0"/>
          <w:numId w:val="13"/>
        </w:numPr>
        <w:spacing w:before="0" w:after="0" w:line="240" w:lineRule="auto"/>
        <w:ind w:left="0" w:firstLine="687"/>
        <w:rPr>
          <w:sz w:val="28"/>
          <w:szCs w:val="28"/>
          <w:shd w:val="clear" w:color="auto" w:fill="FFFFFF"/>
        </w:rPr>
      </w:pPr>
      <w:r w:rsidRPr="00FD7B0B">
        <w:rPr>
          <w:sz w:val="28"/>
          <w:szCs w:val="28"/>
        </w:rPr>
        <w:t>внедрение механизма единого налогового платежа и единого налогового счета (далее – ЕНП, ЕНС) в соответствии с Федеральным законом от 14.07.2022 № 263-ФЗ «О внесении изменений в части первую и вторую Налогового кодекса РФ» и в связи с началом его внедрения списано из бюджетов сумм переплаты по налогам с целью формирования начального сальдо ЕНП налогоплательщиков, числящейся в налоговом учете на начало года, оказало влияние на изменение поступлений налоговых и неналоговых доходов за отчетный период 2024 года к аналогичным показателям 2023 года (по данным налоговых органов за январь – февраль 2023 года списано 2,03 млрд.руб.);</w:t>
      </w:r>
    </w:p>
    <w:p w14:paraId="7AB39B2A" w14:textId="77777777"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частичная компенсация снижения поступления централизованно распределяемыми поступлениями от бывших участников консолидированных групп налогоплательщиков в течение установленного переходного периода 2023 – 2025 гг. (ст. 10 Федерального закона от 21.11.2022 № 448-ФЗ (институт КГН отменен с 2023 года);</w:t>
      </w:r>
    </w:p>
    <w:p w14:paraId="57549B6F" w14:textId="05A8F3DC"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уменьшение доли прибыльных организаций в 2024 год</w:t>
      </w:r>
      <w:r w:rsidR="00266ED7" w:rsidRPr="00FD7B0B">
        <w:rPr>
          <w:sz w:val="28"/>
          <w:szCs w:val="28"/>
        </w:rPr>
        <w:t>у</w:t>
      </w:r>
      <w:r w:rsidRPr="00FD7B0B">
        <w:rPr>
          <w:sz w:val="28"/>
          <w:szCs w:val="28"/>
        </w:rPr>
        <w:t>, ведущих деятельность на территории Архангельской области и НАО, к аналогичным показателям 2023 года;</w:t>
      </w:r>
    </w:p>
    <w:p w14:paraId="63DBD0DB" w14:textId="77777777"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рост фонда оплаты труда в 2024 году по сравнению с аналогичным периодом прошлого года;</w:t>
      </w:r>
    </w:p>
    <w:p w14:paraId="02E8521B" w14:textId="77777777"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постановка на учет новых обособленных подразделений нефтедобывающей отрасли на территории НАО;</w:t>
      </w:r>
    </w:p>
    <w:p w14:paraId="25A2828B" w14:textId="11936EEF"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выплаты из областного бюджета гражданам, реализующим свои права на имущественные и социальные налоговые вычеты</w:t>
      </w:r>
      <w:r w:rsidR="00266ED7" w:rsidRPr="00FD7B0B">
        <w:rPr>
          <w:sz w:val="28"/>
          <w:szCs w:val="28"/>
        </w:rPr>
        <w:t xml:space="preserve"> по НДФЛ</w:t>
      </w:r>
      <w:r w:rsidRPr="00FD7B0B">
        <w:rPr>
          <w:sz w:val="28"/>
          <w:szCs w:val="28"/>
        </w:rPr>
        <w:t>, другие факторы.</w:t>
      </w:r>
    </w:p>
    <w:p w14:paraId="6676D2D5" w14:textId="465531A1" w:rsidR="000A2A7A" w:rsidRPr="00FD7B0B" w:rsidRDefault="000A2A7A" w:rsidP="000A2A7A">
      <w:pPr>
        <w:pStyle w:val="1a"/>
        <w:spacing w:before="0" w:after="0" w:line="240" w:lineRule="auto"/>
        <w:ind w:firstLine="720"/>
        <w:rPr>
          <w:sz w:val="28"/>
          <w:szCs w:val="28"/>
        </w:rPr>
      </w:pPr>
      <w:r w:rsidRPr="00FD7B0B">
        <w:rPr>
          <w:sz w:val="28"/>
          <w:szCs w:val="28"/>
        </w:rPr>
        <w:t>Ежемесячное поступление налоговых и неналоговых доходов за 2024 год в сравнении с поступлением за 2023 год представлено на рисунке</w:t>
      </w:r>
      <w:r w:rsidR="00266ED7" w:rsidRPr="00FD7B0B">
        <w:rPr>
          <w:sz w:val="28"/>
          <w:szCs w:val="28"/>
        </w:rPr>
        <w:t xml:space="preserve"> </w:t>
      </w:r>
      <w:r w:rsidR="006E6954" w:rsidRPr="00FD7B0B">
        <w:rPr>
          <w:sz w:val="28"/>
          <w:szCs w:val="28"/>
        </w:rPr>
        <w:t>6</w:t>
      </w:r>
      <w:r w:rsidRPr="00FD7B0B">
        <w:rPr>
          <w:sz w:val="28"/>
          <w:szCs w:val="28"/>
        </w:rPr>
        <w:t>.</w:t>
      </w:r>
    </w:p>
    <w:p w14:paraId="7B643812" w14:textId="77777777" w:rsidR="000A2A7A" w:rsidRPr="00FD7B0B" w:rsidRDefault="000A2A7A" w:rsidP="000A2A7A">
      <w:pPr>
        <w:pStyle w:val="1a"/>
        <w:spacing w:before="0" w:after="0" w:line="240" w:lineRule="auto"/>
        <w:rPr>
          <w:sz w:val="28"/>
          <w:szCs w:val="28"/>
        </w:rPr>
      </w:pPr>
      <w:r w:rsidRPr="00FD7B0B">
        <w:rPr>
          <w:noProof/>
          <w:sz w:val="28"/>
          <w:szCs w:val="28"/>
          <w:lang w:eastAsia="ru-RU"/>
        </w:rPr>
        <w:lastRenderedPageBreak/>
        <w:drawing>
          <wp:inline distT="0" distB="0" distL="0" distR="0" wp14:anchorId="09077D46" wp14:editId="7F5D9854">
            <wp:extent cx="6372224" cy="32480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83814" cy="3253933"/>
                    </a:xfrm>
                    <a:prstGeom prst="rect">
                      <a:avLst/>
                    </a:prstGeom>
                    <a:noFill/>
                  </pic:spPr>
                </pic:pic>
              </a:graphicData>
            </a:graphic>
          </wp:inline>
        </w:drawing>
      </w:r>
    </w:p>
    <w:p w14:paraId="4EC80798" w14:textId="77777777" w:rsidR="000A2A7A" w:rsidRPr="00FD7B0B" w:rsidRDefault="000A2A7A" w:rsidP="000A2A7A">
      <w:pPr>
        <w:spacing w:after="0" w:line="240" w:lineRule="auto"/>
        <w:rPr>
          <w:rFonts w:ascii="Times New Roman" w:hAnsi="Times New Roman"/>
          <w:bCs/>
          <w:sz w:val="24"/>
          <w:szCs w:val="24"/>
        </w:rPr>
      </w:pPr>
      <w:r w:rsidRPr="00FD7B0B">
        <w:rPr>
          <w:rFonts w:ascii="Times New Roman" w:hAnsi="Times New Roman"/>
          <w:bCs/>
          <w:sz w:val="24"/>
          <w:szCs w:val="24"/>
        </w:rPr>
        <w:t xml:space="preserve">Рисунок </w:t>
      </w:r>
      <w:r w:rsidRPr="00FD7B0B">
        <w:rPr>
          <w:rFonts w:ascii="Times New Roman" w:hAnsi="Times New Roman"/>
          <w:bCs/>
          <w:sz w:val="24"/>
          <w:szCs w:val="24"/>
        </w:rPr>
        <w:fldChar w:fldCharType="begin"/>
      </w:r>
      <w:r w:rsidRPr="00FD7B0B">
        <w:rPr>
          <w:rFonts w:ascii="Times New Roman" w:hAnsi="Times New Roman"/>
          <w:bCs/>
          <w:sz w:val="24"/>
          <w:szCs w:val="24"/>
        </w:rPr>
        <w:instrText xml:space="preserve"> SEQ Рисунок \* ARABIC </w:instrText>
      </w:r>
      <w:r w:rsidRPr="00FD7B0B">
        <w:rPr>
          <w:rFonts w:ascii="Times New Roman" w:hAnsi="Times New Roman"/>
          <w:bCs/>
          <w:sz w:val="24"/>
          <w:szCs w:val="24"/>
        </w:rPr>
        <w:fldChar w:fldCharType="separate"/>
      </w:r>
      <w:r w:rsidR="002959CD" w:rsidRPr="00FD7B0B">
        <w:rPr>
          <w:rFonts w:ascii="Times New Roman" w:hAnsi="Times New Roman"/>
          <w:bCs/>
          <w:noProof/>
          <w:sz w:val="24"/>
          <w:szCs w:val="24"/>
        </w:rPr>
        <w:t>6</w:t>
      </w:r>
      <w:r w:rsidRPr="00FD7B0B">
        <w:rPr>
          <w:rFonts w:ascii="Times New Roman" w:hAnsi="Times New Roman"/>
          <w:bCs/>
          <w:sz w:val="24"/>
          <w:szCs w:val="24"/>
        </w:rPr>
        <w:fldChar w:fldCharType="end"/>
      </w:r>
      <w:r w:rsidRPr="00FD7B0B">
        <w:rPr>
          <w:rFonts w:ascii="Times New Roman" w:hAnsi="Times New Roman"/>
          <w:bCs/>
          <w:sz w:val="24"/>
          <w:szCs w:val="24"/>
        </w:rPr>
        <w:t>. Поступление налоговых и неналоговых доходов областного бюджета за 2023 – 2024 годы, млн.руб.</w:t>
      </w:r>
    </w:p>
    <w:p w14:paraId="6AD83233" w14:textId="77777777" w:rsidR="000A2A7A" w:rsidRPr="00FD7B0B" w:rsidRDefault="000A2A7A" w:rsidP="000A2A7A">
      <w:pPr>
        <w:pStyle w:val="ad"/>
        <w:ind w:firstLine="709"/>
        <w:jc w:val="both"/>
        <w:rPr>
          <w:rFonts w:ascii="Times New Roman" w:hAnsi="Times New Roman"/>
          <w:sz w:val="28"/>
          <w:szCs w:val="28"/>
        </w:rPr>
      </w:pPr>
    </w:p>
    <w:p w14:paraId="030AC285" w14:textId="327EBB7C" w:rsidR="000A2A7A" w:rsidRPr="00FD7B0B" w:rsidRDefault="000A2A7A" w:rsidP="000A2A7A">
      <w:pPr>
        <w:pStyle w:val="1a"/>
        <w:spacing w:before="0" w:after="0" w:line="240" w:lineRule="auto"/>
        <w:ind w:firstLine="720"/>
        <w:rPr>
          <w:sz w:val="28"/>
          <w:szCs w:val="28"/>
        </w:rPr>
      </w:pPr>
      <w:r w:rsidRPr="00FD7B0B">
        <w:rPr>
          <w:sz w:val="28"/>
          <w:szCs w:val="28"/>
        </w:rPr>
        <w:t xml:space="preserve">Отрицательные поступления налоговых и неналоговых доходов бюджета 2024 года относительно 2023 года сложились в январе, марте, апреле и сентябре отчетного года, в остальных месяцах установлена положительная динамика. Среднемесячный прирост </w:t>
      </w:r>
      <w:r w:rsidR="00C63CB1" w:rsidRPr="00FD7B0B">
        <w:rPr>
          <w:sz w:val="28"/>
          <w:szCs w:val="28"/>
        </w:rPr>
        <w:t xml:space="preserve">поступления </w:t>
      </w:r>
      <w:r w:rsidRPr="00FD7B0B">
        <w:rPr>
          <w:sz w:val="28"/>
          <w:szCs w:val="28"/>
        </w:rPr>
        <w:t>налоговых и неналоговых доходов за отчетный период составил 836,8 млн.руб.</w:t>
      </w:r>
    </w:p>
    <w:p w14:paraId="4680F835" w14:textId="3A3CE16B" w:rsidR="00E860ED" w:rsidRPr="00FD7B0B" w:rsidRDefault="00E860ED" w:rsidP="00E860ED">
      <w:pPr>
        <w:pStyle w:val="1a"/>
        <w:spacing w:before="0" w:after="0" w:line="240" w:lineRule="auto"/>
        <w:ind w:firstLine="720"/>
        <w:rPr>
          <w:sz w:val="28"/>
          <w:szCs w:val="28"/>
        </w:rPr>
      </w:pPr>
      <w:r w:rsidRPr="00FD7B0B">
        <w:rPr>
          <w:sz w:val="28"/>
          <w:szCs w:val="28"/>
        </w:rPr>
        <w:t>Увеличение поступления за 2024 год к 2023 году зафиксировано по ряду существенных доходных источников, из них: налог на прибыль организаций (+12,9 %), налог на доходы физических лиц (+16,1 %); акцизы на нефтепродукты (+9,6 %); акцизы на спиртосодержащую продукцию (+1,1 %), налоги на совокупный доход (+19,7 %); налог на имущество организаций (+4,8</w:t>
      </w:r>
      <w:r w:rsidR="005801F2" w:rsidRPr="00FD7B0B">
        <w:rPr>
          <w:sz w:val="28"/>
          <w:szCs w:val="28"/>
        </w:rPr>
        <w:t> </w:t>
      </w:r>
      <w:r w:rsidRPr="00FD7B0B">
        <w:rPr>
          <w:sz w:val="28"/>
          <w:szCs w:val="28"/>
        </w:rPr>
        <w:t>%); платежи при пользовании природными ресурсами (+19,2 %); доходы от оказания платных услуг и компенсации затрат государства в 1,4 раза; штрафы в 1,5 раза.</w:t>
      </w:r>
    </w:p>
    <w:p w14:paraId="5CBEE38B" w14:textId="47331F32" w:rsidR="00E860ED" w:rsidRPr="00FD7B0B" w:rsidRDefault="00E860ED" w:rsidP="00E860ED">
      <w:pPr>
        <w:pStyle w:val="1a"/>
        <w:spacing w:before="0" w:after="0" w:line="240" w:lineRule="auto"/>
        <w:ind w:firstLine="720"/>
        <w:rPr>
          <w:sz w:val="28"/>
          <w:szCs w:val="28"/>
        </w:rPr>
      </w:pPr>
      <w:r w:rsidRPr="00FD7B0B">
        <w:rPr>
          <w:sz w:val="28"/>
          <w:szCs w:val="28"/>
        </w:rPr>
        <w:t>По отдельным доходных источникам установлено снижение поступлений к показателям 2023 года, из них</w:t>
      </w:r>
      <w:r w:rsidR="005801F2" w:rsidRPr="00FD7B0B">
        <w:rPr>
          <w:sz w:val="28"/>
          <w:szCs w:val="28"/>
        </w:rPr>
        <w:t xml:space="preserve">: </w:t>
      </w:r>
      <w:r w:rsidRPr="00FD7B0B">
        <w:rPr>
          <w:sz w:val="28"/>
          <w:szCs w:val="28"/>
        </w:rPr>
        <w:t>налог на добычу полезных ископаемых в виде природных алмазов (–17,8 %), транспортный налог физических лиц (–0,9 %).</w:t>
      </w:r>
    </w:p>
    <w:p w14:paraId="19BF3210" w14:textId="77777777" w:rsidR="000A2A7A" w:rsidRPr="00FD7B0B" w:rsidRDefault="000A2A7A" w:rsidP="000A2A7A">
      <w:pPr>
        <w:pStyle w:val="1a"/>
        <w:spacing w:before="0" w:after="0" w:line="240" w:lineRule="auto"/>
        <w:ind w:firstLine="720"/>
        <w:rPr>
          <w:sz w:val="28"/>
          <w:szCs w:val="28"/>
        </w:rPr>
      </w:pPr>
    </w:p>
    <w:p w14:paraId="56F054D2" w14:textId="17B49A4F" w:rsidR="000A2A7A" w:rsidRPr="00FD7B0B" w:rsidRDefault="000A2A7A" w:rsidP="000A2A7A">
      <w:pPr>
        <w:pStyle w:val="1a"/>
        <w:spacing w:before="0" w:after="0" w:line="240" w:lineRule="auto"/>
        <w:ind w:firstLine="720"/>
        <w:rPr>
          <w:sz w:val="28"/>
          <w:szCs w:val="28"/>
        </w:rPr>
      </w:pPr>
      <w:r w:rsidRPr="00FD7B0B">
        <w:rPr>
          <w:sz w:val="28"/>
          <w:szCs w:val="28"/>
        </w:rPr>
        <w:t>1. В структуре налоговых и неналоговых поступлений в областной бюджет в 2024 году удельный вес налога на прибыль организаций составляет 31,4 %. План поступления налога на прибыль организаций в отчетном периоде корректировался два раза и увеличен на 2 493,6 млн.руб.:</w:t>
      </w:r>
    </w:p>
    <w:p w14:paraId="5CF2E14A" w14:textId="77777777" w:rsidR="000A2A7A" w:rsidRPr="00FD7B0B" w:rsidRDefault="000A2A7A" w:rsidP="000A2A7A">
      <w:pPr>
        <w:pStyle w:val="1a"/>
        <w:spacing w:before="0" w:after="0" w:line="240" w:lineRule="auto"/>
        <w:ind w:firstLine="720"/>
        <w:rPr>
          <w:sz w:val="28"/>
          <w:szCs w:val="28"/>
        </w:rPr>
      </w:pPr>
      <w:r w:rsidRPr="00FD7B0B">
        <w:rPr>
          <w:sz w:val="28"/>
          <w:szCs w:val="28"/>
        </w:rPr>
        <w:t xml:space="preserve">1) в марте прогноз поступления налога на прибыль организаций, уплаченного налогоплательщиками, которые до 1 января 2023 года являлись участниками консолидированной группы налогоплательщиков (далее – КГН), подлежащие зачислению в бюджеты субъектов РФ по нормативу, установленному Бюджетным кодексом РФ, распределяемые уполномоченным </w:t>
      </w:r>
      <w:r w:rsidRPr="00FD7B0B">
        <w:rPr>
          <w:sz w:val="28"/>
          <w:szCs w:val="28"/>
        </w:rPr>
        <w:lastRenderedPageBreak/>
        <w:t>органом Федерального казначейства между бюджетами субъектов РФ по нормативам, установленным Федеральным законом о федеральном бюджете, уменьшен на 7,8 млн.руб. (областной закон от 20.03.2024 № 60-6-ОЗ);</w:t>
      </w:r>
    </w:p>
    <w:p w14:paraId="6CB9CE63" w14:textId="77777777" w:rsidR="000A2A7A" w:rsidRPr="00FD7B0B" w:rsidRDefault="000A2A7A" w:rsidP="000A2A7A">
      <w:pPr>
        <w:pStyle w:val="1a"/>
        <w:spacing w:before="0" w:after="0" w:line="240" w:lineRule="auto"/>
        <w:ind w:firstLine="720"/>
        <w:rPr>
          <w:sz w:val="28"/>
          <w:szCs w:val="28"/>
        </w:rPr>
      </w:pPr>
      <w:r w:rsidRPr="00FD7B0B">
        <w:rPr>
          <w:sz w:val="28"/>
          <w:szCs w:val="28"/>
        </w:rPr>
        <w:t>2) в июле прогноз поступления налога на прибыль организаций увеличен на 2 501,5 млн.руб. на основании уточненного прогноза социально-экономического развития Архангельской области, утвержденного распоряжением Правительства Архангельской области от 28.05.2024 № 282-рп «О внесении изменений в прогноз социально-экономического развития Архангельской области на 2024 год и на плановый период 2025 и 2026 годов» (областной закон от 01.07.2024 № 101-9-ОЗ).</w:t>
      </w:r>
    </w:p>
    <w:p w14:paraId="2F2FAB7F" w14:textId="77777777" w:rsidR="000A2A7A" w:rsidRPr="00FD7B0B" w:rsidRDefault="000A2A7A" w:rsidP="000A2A7A">
      <w:pPr>
        <w:pStyle w:val="1a"/>
        <w:spacing w:before="0" w:after="0" w:line="240" w:lineRule="auto"/>
        <w:ind w:firstLine="720"/>
        <w:rPr>
          <w:sz w:val="28"/>
          <w:szCs w:val="28"/>
        </w:rPr>
      </w:pPr>
      <w:r w:rsidRPr="00FD7B0B">
        <w:rPr>
          <w:sz w:val="28"/>
          <w:szCs w:val="28"/>
        </w:rPr>
        <w:t>С учетом внесенных изменений прогноз поступления в областной бюджет налога на прибыль организаций составил 32 285,7 млн.руб. Поступление налога на прибыль организаций за 2024 год составило 30 636,2 млн.руб., годовой кассовый план исполнен на 94,9 % (–1 649,5 млн.руб.). Поступление налога на прибыль организаций за 2024 год превышает поступления за 2023 год на 3 499,0 млн.руб. или на 12,9 % (в 2023 году – 27 137,2 млн.руб.).</w:t>
      </w:r>
    </w:p>
    <w:p w14:paraId="52D2E09B" w14:textId="77777777" w:rsidR="000A2A7A" w:rsidRPr="00FD7B0B" w:rsidRDefault="000A2A7A" w:rsidP="000A2A7A">
      <w:pPr>
        <w:pStyle w:val="1a"/>
        <w:spacing w:before="0" w:after="0" w:line="240" w:lineRule="auto"/>
        <w:ind w:firstLine="720"/>
        <w:rPr>
          <w:sz w:val="28"/>
          <w:szCs w:val="28"/>
        </w:rPr>
      </w:pPr>
      <w:r w:rsidRPr="00FD7B0B">
        <w:rPr>
          <w:sz w:val="28"/>
          <w:szCs w:val="28"/>
        </w:rPr>
        <w:t>За 2024 год налог на прибыль организаций, осуществляющих деятельность на территории Архангельской области и НАО, без поступлений от КГН и бывших участников групп, поступил в сумме соответственно 17</w:t>
      </w:r>
      <w:r w:rsidRPr="00FD7B0B">
        <w:rPr>
          <w:sz w:val="28"/>
          <w:szCs w:val="28"/>
          <w:lang w:val="en-US"/>
        </w:rPr>
        <w:t> </w:t>
      </w:r>
      <w:r w:rsidRPr="00FD7B0B">
        <w:rPr>
          <w:sz w:val="28"/>
          <w:szCs w:val="28"/>
        </w:rPr>
        <w:t>345,1 млн.руб. и 11 477,9 млн.руб. (в 2023 году аналогичные поступления составляли 18 766,2 млн.руб. и 4 639,1 млн.руб. соответственно).</w:t>
      </w:r>
    </w:p>
    <w:p w14:paraId="7EFF805B" w14:textId="77777777" w:rsidR="000A2A7A" w:rsidRPr="00FD7B0B" w:rsidRDefault="000A2A7A" w:rsidP="000A2A7A">
      <w:pPr>
        <w:pStyle w:val="1a"/>
        <w:spacing w:before="0" w:after="0" w:line="240" w:lineRule="auto"/>
        <w:ind w:firstLine="720"/>
        <w:rPr>
          <w:sz w:val="28"/>
          <w:szCs w:val="28"/>
        </w:rPr>
      </w:pPr>
      <w:r w:rsidRPr="00FD7B0B">
        <w:rPr>
          <w:sz w:val="28"/>
          <w:szCs w:val="28"/>
        </w:rPr>
        <w:t>В 2024 году от участников и бывших участников КГН в областной бюджет, включая централизованные платежи, поступило 1 813,2 млн.руб., что в 2 раза или на 1 918,6 млн.руб. меньше аналогичных поступлений за 2023 год (3 731,8 млн.руб.) и обусловлено централизованным распределением в переходный период между бюджетами субъектов РФ от уплаченных в региональные бюджеты бывшими участниками КГН (в 2023 году – 80,0 %, в 2024 году – 60,0  %;) по нормативам, установленным приложением № 5 Федерального закона от 27.11.2023 № 540</w:t>
      </w:r>
      <w:r w:rsidRPr="00FD7B0B">
        <w:rPr>
          <w:sz w:val="28"/>
          <w:szCs w:val="28"/>
        </w:rPr>
        <w:noBreakHyphen/>
        <w:t>ФЗ «О федеральном бюджете на 2024 год и на плановый период 2025 и 2025 годов» и соответствует действию ст. 10 Федерального закона от 21.11.2022 г. № 448-ФЗ «О внесении изменений в Бюджетный кодекс Российской Федерации и отдельные законодательные акты Российской Федерации, приостановлении действия отдельных положений Бюджетного кодекса Российской Федерации…».</w:t>
      </w:r>
    </w:p>
    <w:p w14:paraId="2AEC3266" w14:textId="77777777" w:rsidR="000A2A7A" w:rsidRPr="00FD7B0B" w:rsidRDefault="000A2A7A" w:rsidP="000A2A7A">
      <w:pPr>
        <w:pStyle w:val="1a"/>
        <w:spacing w:before="0" w:after="0" w:line="240" w:lineRule="auto"/>
        <w:ind w:firstLine="720"/>
        <w:rPr>
          <w:sz w:val="28"/>
          <w:szCs w:val="28"/>
        </w:rPr>
      </w:pPr>
      <w:r w:rsidRPr="00FD7B0B">
        <w:rPr>
          <w:sz w:val="28"/>
          <w:szCs w:val="28"/>
        </w:rPr>
        <w:t>По результатам экспертизы проекта областного закона «О внесении изменений в областной закон «Об областном бюджете на 2024 год и на плановый период 2025 и 2026 годов» в части предлагаемого увеличения прогноза поступления налога на прибыль организаций на 2 501,5 млн.руб. в заключении контрольно-счетной палаты от 18.06.2024 с учетом мнения Управления Федеральной налоговой службы по Архангельской области и Ненецкому автономному округу было отмечено о возможном риске невыполнения плановых назначений.</w:t>
      </w:r>
    </w:p>
    <w:p w14:paraId="425638F7" w14:textId="77777777" w:rsidR="000A2A7A" w:rsidRPr="00FD7B0B" w:rsidRDefault="000A2A7A" w:rsidP="000A2A7A">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В январе, марте, апреле и сентябре 2024 года установлено снижение поступлений налога на прибыль организаций, а в остальных месяцах установлен прирост поступления налога на прибыль организаций к аналогичным </w:t>
      </w:r>
      <w:r w:rsidRPr="00FD7B0B">
        <w:rPr>
          <w:rFonts w:ascii="Times New Roman" w:hAnsi="Times New Roman"/>
          <w:sz w:val="28"/>
          <w:szCs w:val="28"/>
        </w:rPr>
        <w:lastRenderedPageBreak/>
        <w:t>поступлениям прошлого года. Фактическое поступление указанного налога в основном обеспечено за счет роста поступлений от налогоплательщиков нефтяной отрасли (рост валютного курса и цен на нефть, снижением расходов за счет применения понижающего коэффициента к ставке для расчета налогооблагаемой базы и налога на добычу полезных ископаемых налогоплательщика нефтяной отрасли), а также за счет снижения поступлений от предприятий алмазодобывающей, финансовой и транспортной отраслей.</w:t>
      </w:r>
    </w:p>
    <w:p w14:paraId="3D634E23" w14:textId="1C0FFD75" w:rsidR="000A2A7A" w:rsidRPr="00FD7B0B" w:rsidRDefault="000A2A7A" w:rsidP="000A2A7A">
      <w:pPr>
        <w:pStyle w:val="1a"/>
        <w:widowControl/>
        <w:spacing w:before="0" w:after="0" w:line="240" w:lineRule="auto"/>
        <w:ind w:firstLine="720"/>
        <w:rPr>
          <w:sz w:val="28"/>
          <w:szCs w:val="28"/>
        </w:rPr>
      </w:pPr>
      <w:r w:rsidRPr="00FD7B0B">
        <w:rPr>
          <w:sz w:val="28"/>
          <w:szCs w:val="28"/>
        </w:rPr>
        <w:t>Отметим, что по информации налоговых органов совокупный объем переплаты по налогу на прибыль организаций с начала года на 01.01.2025 сократилс</w:t>
      </w:r>
      <w:r w:rsidR="00266453" w:rsidRPr="00FD7B0B">
        <w:rPr>
          <w:sz w:val="28"/>
          <w:szCs w:val="28"/>
        </w:rPr>
        <w:t>я с 0,6 млрд.руб. до 0,1 млрд.</w:t>
      </w:r>
      <w:r w:rsidRPr="00FD7B0B">
        <w:rPr>
          <w:sz w:val="28"/>
          <w:szCs w:val="28"/>
        </w:rPr>
        <w:t>руб.</w:t>
      </w:r>
    </w:p>
    <w:p w14:paraId="25B97BF8"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Информация о дебиторской задолженности по налогу на прибыль организаций изложена в п. 7 настоящего раздела.</w:t>
      </w:r>
    </w:p>
    <w:p w14:paraId="50127207" w14:textId="77777777" w:rsidR="00561AC2" w:rsidRPr="00FD7B0B" w:rsidRDefault="00561AC2" w:rsidP="000A2A7A">
      <w:pPr>
        <w:pStyle w:val="1a"/>
        <w:widowControl/>
        <w:spacing w:before="0" w:after="0" w:line="240" w:lineRule="auto"/>
        <w:ind w:firstLine="720"/>
        <w:rPr>
          <w:sz w:val="28"/>
          <w:szCs w:val="28"/>
        </w:rPr>
      </w:pPr>
    </w:p>
    <w:p w14:paraId="57D5981B"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2. Удельный вес налога на доходы физических лиц в структуре налоговых и неналоговых доходов составляет 31,6 %, годовые показатели кассового плана по указанному налогу выполнены на 103,2 %. Среднемесячный прирост поступлений налога в 2024 году к 2023 году составил 357,5 млн.руб.</w:t>
      </w:r>
    </w:p>
    <w:p w14:paraId="38393ACC" w14:textId="063C9C3E" w:rsidR="000A2A7A" w:rsidRPr="00FD7B0B" w:rsidRDefault="000A2A7A" w:rsidP="000A2A7A">
      <w:pPr>
        <w:pStyle w:val="1a"/>
        <w:widowControl/>
        <w:spacing w:before="0" w:after="0" w:line="240" w:lineRule="auto"/>
        <w:ind w:firstLine="720"/>
        <w:rPr>
          <w:sz w:val="28"/>
          <w:szCs w:val="28"/>
        </w:rPr>
      </w:pPr>
      <w:r w:rsidRPr="00FD7B0B">
        <w:rPr>
          <w:sz w:val="28"/>
          <w:szCs w:val="28"/>
        </w:rPr>
        <w:t>План поступления налога на доходы физических лиц в 2024 году с учетом сложившейся динамики поступлений и оценки администратор</w:t>
      </w:r>
      <w:r w:rsidR="003C73F6" w:rsidRPr="00FD7B0B">
        <w:rPr>
          <w:sz w:val="28"/>
          <w:szCs w:val="28"/>
        </w:rPr>
        <w:t>а</w:t>
      </w:r>
      <w:r w:rsidRPr="00FD7B0B">
        <w:rPr>
          <w:sz w:val="28"/>
          <w:szCs w:val="28"/>
        </w:rPr>
        <w:t xml:space="preserve"> доходов увеличен на 1 179,4 млн.руб., что в результате составляет 29 937,8 млн.руб.</w:t>
      </w:r>
    </w:p>
    <w:p w14:paraId="069168AC" w14:textId="23F4D2EF" w:rsidR="000A2A7A" w:rsidRPr="00FD7B0B" w:rsidRDefault="000A2A7A" w:rsidP="000A2A7A">
      <w:pPr>
        <w:pStyle w:val="1a"/>
        <w:widowControl/>
        <w:spacing w:before="0" w:after="0" w:line="240" w:lineRule="auto"/>
        <w:ind w:firstLine="720"/>
        <w:rPr>
          <w:sz w:val="28"/>
          <w:szCs w:val="28"/>
        </w:rPr>
      </w:pPr>
      <w:r w:rsidRPr="00FD7B0B">
        <w:rPr>
          <w:sz w:val="28"/>
          <w:szCs w:val="28"/>
        </w:rPr>
        <w:t>Исполнение кассового плана по налогу на доходы физических лиц в 2023 – 2024 годах представлено в таблице</w:t>
      </w:r>
      <w:r w:rsidR="003C73F6" w:rsidRPr="00FD7B0B">
        <w:rPr>
          <w:sz w:val="28"/>
          <w:szCs w:val="28"/>
        </w:rPr>
        <w:t xml:space="preserve"> </w:t>
      </w:r>
      <w:r w:rsidR="006E6954" w:rsidRPr="00FD7B0B">
        <w:rPr>
          <w:sz w:val="28"/>
          <w:szCs w:val="28"/>
        </w:rPr>
        <w:t>33</w:t>
      </w:r>
      <w:r w:rsidRPr="00FD7B0B">
        <w:rPr>
          <w:sz w:val="28"/>
          <w:szCs w:val="28"/>
        </w:rPr>
        <w:t>:</w:t>
      </w:r>
    </w:p>
    <w:p w14:paraId="136949AE" w14:textId="77777777" w:rsidR="000A2A7A" w:rsidRPr="00FD7B0B" w:rsidRDefault="000A2A7A" w:rsidP="000A2A7A">
      <w:pPr>
        <w:pStyle w:val="aff0"/>
        <w:spacing w:after="0" w:line="240" w:lineRule="auto"/>
        <w:rPr>
          <w:rFonts w:ascii="Times New Roman" w:hAnsi="Times New Roman"/>
          <w:b w:val="0"/>
          <w:sz w:val="24"/>
          <w:szCs w:val="24"/>
        </w:rPr>
      </w:pPr>
    </w:p>
    <w:p w14:paraId="493C5EB8"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33</w:t>
      </w:r>
      <w:r w:rsidRPr="00FD7B0B">
        <w:rPr>
          <w:rFonts w:ascii="Times New Roman" w:hAnsi="Times New Roman"/>
          <w:b w:val="0"/>
          <w:sz w:val="24"/>
          <w:szCs w:val="24"/>
        </w:rPr>
        <w:fldChar w:fldCharType="end"/>
      </w:r>
      <w:r w:rsidRPr="00FD7B0B">
        <w:rPr>
          <w:rFonts w:ascii="Times New Roman" w:hAnsi="Times New Roman"/>
          <w:b w:val="0"/>
          <w:sz w:val="24"/>
          <w:szCs w:val="24"/>
        </w:rPr>
        <w:t>. Исполнение кассового плана поступлений налога на доходы физических лиц в 2023 – 2024 годах, млн.руб.</w:t>
      </w:r>
    </w:p>
    <w:tbl>
      <w:tblPr>
        <w:tblW w:w="9781"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2835"/>
        <w:gridCol w:w="993"/>
        <w:gridCol w:w="993"/>
        <w:gridCol w:w="992"/>
        <w:gridCol w:w="991"/>
        <w:gridCol w:w="992"/>
        <w:gridCol w:w="993"/>
        <w:gridCol w:w="992"/>
      </w:tblGrid>
      <w:tr w:rsidR="00FD7B0B" w:rsidRPr="00FD7B0B" w14:paraId="013C13AB" w14:textId="77777777" w:rsidTr="000A2A7A">
        <w:trPr>
          <w:trHeight w:val="239"/>
          <w:tblHeader/>
        </w:trPr>
        <w:tc>
          <w:tcPr>
            <w:tcW w:w="2835" w:type="dxa"/>
            <w:vMerge w:val="restart"/>
            <w:shd w:val="clear" w:color="auto" w:fill="auto"/>
            <w:vAlign w:val="center"/>
            <w:hideMark/>
          </w:tcPr>
          <w:p w14:paraId="2C0A8FC3"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Показатель</w:t>
            </w:r>
          </w:p>
        </w:tc>
        <w:tc>
          <w:tcPr>
            <w:tcW w:w="993" w:type="dxa"/>
            <w:vMerge w:val="restart"/>
            <w:shd w:val="clear" w:color="auto" w:fill="auto"/>
            <w:vAlign w:val="center"/>
            <w:hideMark/>
          </w:tcPr>
          <w:p w14:paraId="2C39FA4B" w14:textId="77777777" w:rsidR="000A2A7A" w:rsidRPr="00FD7B0B" w:rsidRDefault="000A2A7A" w:rsidP="000A2A7A">
            <w:pPr>
              <w:spacing w:after="0" w:line="240" w:lineRule="auto"/>
              <w:ind w:left="-108"/>
              <w:jc w:val="center"/>
              <w:rPr>
                <w:rFonts w:ascii="Times New Roman" w:eastAsia="Times New Roman" w:hAnsi="Times New Roman"/>
              </w:rPr>
            </w:pPr>
            <w:r w:rsidRPr="00FD7B0B">
              <w:rPr>
                <w:rFonts w:ascii="Times New Roman" w:hAnsi="Times New Roman"/>
              </w:rPr>
              <w:t>Факт 2023 год</w:t>
            </w:r>
          </w:p>
        </w:tc>
        <w:tc>
          <w:tcPr>
            <w:tcW w:w="993" w:type="dxa"/>
            <w:vMerge w:val="restart"/>
            <w:shd w:val="clear" w:color="auto" w:fill="auto"/>
            <w:vAlign w:val="center"/>
            <w:hideMark/>
          </w:tcPr>
          <w:p w14:paraId="4743C98A" w14:textId="77777777" w:rsidR="000A2A7A" w:rsidRPr="00FD7B0B" w:rsidRDefault="000A2A7A" w:rsidP="000A2A7A">
            <w:pPr>
              <w:spacing w:after="0" w:line="240" w:lineRule="auto"/>
              <w:ind w:left="-108"/>
              <w:jc w:val="center"/>
              <w:rPr>
                <w:rFonts w:ascii="Times New Roman" w:hAnsi="Times New Roman"/>
              </w:rPr>
            </w:pPr>
            <w:r w:rsidRPr="00FD7B0B">
              <w:rPr>
                <w:rFonts w:ascii="Times New Roman" w:hAnsi="Times New Roman"/>
              </w:rPr>
              <w:t>КП 2024 год</w:t>
            </w:r>
          </w:p>
        </w:tc>
        <w:tc>
          <w:tcPr>
            <w:tcW w:w="992" w:type="dxa"/>
            <w:vMerge w:val="restart"/>
            <w:shd w:val="clear" w:color="auto" w:fill="auto"/>
            <w:vAlign w:val="center"/>
            <w:hideMark/>
          </w:tcPr>
          <w:p w14:paraId="0E97991D" w14:textId="77777777" w:rsidR="000A2A7A" w:rsidRPr="00FD7B0B" w:rsidRDefault="000A2A7A" w:rsidP="000A2A7A">
            <w:pPr>
              <w:spacing w:after="0" w:line="240" w:lineRule="auto"/>
              <w:ind w:left="-108"/>
              <w:jc w:val="center"/>
              <w:rPr>
                <w:rFonts w:ascii="Times New Roman" w:hAnsi="Times New Roman"/>
              </w:rPr>
            </w:pPr>
            <w:r w:rsidRPr="00FD7B0B">
              <w:rPr>
                <w:rFonts w:ascii="Times New Roman" w:hAnsi="Times New Roman"/>
              </w:rPr>
              <w:t>Факт 2024 год</w:t>
            </w:r>
          </w:p>
        </w:tc>
        <w:tc>
          <w:tcPr>
            <w:tcW w:w="3968" w:type="dxa"/>
            <w:gridSpan w:val="4"/>
            <w:shd w:val="clear" w:color="auto" w:fill="auto"/>
            <w:vAlign w:val="center"/>
            <w:hideMark/>
          </w:tcPr>
          <w:p w14:paraId="68D9A92D" w14:textId="77777777" w:rsidR="000A2A7A" w:rsidRPr="00FD7B0B" w:rsidRDefault="000A2A7A" w:rsidP="000A2A7A">
            <w:pPr>
              <w:spacing w:after="0" w:line="240" w:lineRule="auto"/>
              <w:ind w:left="-108"/>
              <w:jc w:val="center"/>
              <w:rPr>
                <w:rFonts w:ascii="Times New Roman" w:eastAsia="Times New Roman" w:hAnsi="Times New Roman"/>
                <w:lang w:eastAsia="ru-RU"/>
              </w:rPr>
            </w:pPr>
            <w:r w:rsidRPr="00FD7B0B">
              <w:rPr>
                <w:rFonts w:ascii="Times New Roman" w:eastAsia="Times New Roman" w:hAnsi="Times New Roman"/>
                <w:lang w:eastAsia="ru-RU"/>
              </w:rPr>
              <w:t>Исполнение в 2024 году</w:t>
            </w:r>
          </w:p>
        </w:tc>
      </w:tr>
      <w:tr w:rsidR="00FD7B0B" w:rsidRPr="00FD7B0B" w14:paraId="38BECD78" w14:textId="77777777" w:rsidTr="000A2A7A">
        <w:trPr>
          <w:trHeight w:val="278"/>
          <w:tblHeader/>
        </w:trPr>
        <w:tc>
          <w:tcPr>
            <w:tcW w:w="2835" w:type="dxa"/>
            <w:vMerge/>
            <w:vAlign w:val="center"/>
            <w:hideMark/>
          </w:tcPr>
          <w:p w14:paraId="78CB454F" w14:textId="77777777" w:rsidR="000A2A7A" w:rsidRPr="00FD7B0B" w:rsidRDefault="000A2A7A" w:rsidP="000A2A7A">
            <w:pPr>
              <w:spacing w:after="0" w:line="240" w:lineRule="auto"/>
              <w:rPr>
                <w:rFonts w:ascii="Times New Roman" w:eastAsia="Times New Roman" w:hAnsi="Times New Roman"/>
                <w:lang w:eastAsia="ru-RU"/>
              </w:rPr>
            </w:pPr>
          </w:p>
        </w:tc>
        <w:tc>
          <w:tcPr>
            <w:tcW w:w="993" w:type="dxa"/>
            <w:vMerge/>
            <w:vAlign w:val="center"/>
            <w:hideMark/>
          </w:tcPr>
          <w:p w14:paraId="292EDEC3" w14:textId="77777777" w:rsidR="000A2A7A" w:rsidRPr="00FD7B0B" w:rsidRDefault="000A2A7A" w:rsidP="000A2A7A">
            <w:pPr>
              <w:spacing w:after="0" w:line="240" w:lineRule="auto"/>
              <w:ind w:left="-108"/>
              <w:rPr>
                <w:rFonts w:ascii="Times New Roman" w:eastAsia="Times New Roman" w:hAnsi="Times New Roman"/>
                <w:lang w:eastAsia="ru-RU"/>
              </w:rPr>
            </w:pPr>
          </w:p>
        </w:tc>
        <w:tc>
          <w:tcPr>
            <w:tcW w:w="993" w:type="dxa"/>
            <w:vMerge/>
            <w:vAlign w:val="center"/>
            <w:hideMark/>
          </w:tcPr>
          <w:p w14:paraId="0624B5FC" w14:textId="77777777" w:rsidR="000A2A7A" w:rsidRPr="00FD7B0B" w:rsidRDefault="000A2A7A" w:rsidP="000A2A7A">
            <w:pPr>
              <w:spacing w:after="0" w:line="240" w:lineRule="auto"/>
              <w:ind w:left="-108"/>
              <w:rPr>
                <w:rFonts w:ascii="Times New Roman" w:eastAsia="Times New Roman" w:hAnsi="Times New Roman"/>
                <w:lang w:eastAsia="ru-RU"/>
              </w:rPr>
            </w:pPr>
          </w:p>
        </w:tc>
        <w:tc>
          <w:tcPr>
            <w:tcW w:w="992" w:type="dxa"/>
            <w:vMerge/>
            <w:vAlign w:val="center"/>
            <w:hideMark/>
          </w:tcPr>
          <w:p w14:paraId="4966418A" w14:textId="77777777" w:rsidR="000A2A7A" w:rsidRPr="00FD7B0B" w:rsidRDefault="000A2A7A" w:rsidP="000A2A7A">
            <w:pPr>
              <w:spacing w:after="0" w:line="240" w:lineRule="auto"/>
              <w:ind w:left="-108"/>
              <w:rPr>
                <w:rFonts w:ascii="Times New Roman" w:eastAsia="Times New Roman" w:hAnsi="Times New Roman"/>
                <w:lang w:eastAsia="ru-RU"/>
              </w:rPr>
            </w:pPr>
          </w:p>
        </w:tc>
        <w:tc>
          <w:tcPr>
            <w:tcW w:w="1983" w:type="dxa"/>
            <w:gridSpan w:val="2"/>
            <w:shd w:val="clear" w:color="auto" w:fill="auto"/>
            <w:vAlign w:val="center"/>
            <w:hideMark/>
          </w:tcPr>
          <w:p w14:paraId="72ED1F6D" w14:textId="77777777" w:rsidR="000A2A7A" w:rsidRPr="00FD7B0B" w:rsidRDefault="000A2A7A" w:rsidP="000A2A7A">
            <w:pPr>
              <w:spacing w:after="0" w:line="240" w:lineRule="auto"/>
              <w:ind w:left="-108" w:right="-119"/>
              <w:jc w:val="center"/>
              <w:rPr>
                <w:rFonts w:ascii="Times New Roman" w:eastAsia="Times New Roman" w:hAnsi="Times New Roman"/>
                <w:lang w:eastAsia="ru-RU"/>
              </w:rPr>
            </w:pPr>
            <w:r w:rsidRPr="00FD7B0B">
              <w:rPr>
                <w:rFonts w:ascii="Times New Roman" w:eastAsia="Times New Roman" w:hAnsi="Times New Roman"/>
                <w:lang w:eastAsia="ru-RU"/>
              </w:rPr>
              <w:t>к КП 2024 года</w:t>
            </w:r>
          </w:p>
        </w:tc>
        <w:tc>
          <w:tcPr>
            <w:tcW w:w="1985" w:type="dxa"/>
            <w:gridSpan w:val="2"/>
            <w:shd w:val="clear" w:color="auto" w:fill="auto"/>
            <w:vAlign w:val="center"/>
            <w:hideMark/>
          </w:tcPr>
          <w:p w14:paraId="0DDB7FB4" w14:textId="77777777" w:rsidR="000A2A7A" w:rsidRPr="00FD7B0B" w:rsidRDefault="000A2A7A" w:rsidP="000A2A7A">
            <w:pPr>
              <w:spacing w:after="0" w:line="240" w:lineRule="auto"/>
              <w:ind w:left="-108" w:right="-119"/>
              <w:jc w:val="center"/>
              <w:rPr>
                <w:rFonts w:ascii="Times New Roman" w:eastAsia="Times New Roman" w:hAnsi="Times New Roman"/>
                <w:lang w:eastAsia="ru-RU"/>
              </w:rPr>
            </w:pPr>
            <w:r w:rsidRPr="00FD7B0B">
              <w:rPr>
                <w:rFonts w:ascii="Times New Roman" w:eastAsia="Times New Roman" w:hAnsi="Times New Roman"/>
                <w:lang w:eastAsia="ru-RU"/>
              </w:rPr>
              <w:t>к факту 2023 года</w:t>
            </w:r>
          </w:p>
        </w:tc>
      </w:tr>
      <w:tr w:rsidR="00FD7B0B" w:rsidRPr="00FD7B0B" w14:paraId="764614EF" w14:textId="77777777" w:rsidTr="000A2A7A">
        <w:trPr>
          <w:trHeight w:val="134"/>
          <w:tblHeader/>
        </w:trPr>
        <w:tc>
          <w:tcPr>
            <w:tcW w:w="2835" w:type="dxa"/>
            <w:vMerge/>
            <w:vAlign w:val="center"/>
            <w:hideMark/>
          </w:tcPr>
          <w:p w14:paraId="0ADD4D76" w14:textId="77777777" w:rsidR="000A2A7A" w:rsidRPr="00FD7B0B" w:rsidRDefault="000A2A7A" w:rsidP="000A2A7A">
            <w:pPr>
              <w:spacing w:after="0" w:line="240" w:lineRule="auto"/>
              <w:rPr>
                <w:rFonts w:ascii="Times New Roman" w:eastAsia="Times New Roman" w:hAnsi="Times New Roman"/>
                <w:lang w:eastAsia="ru-RU"/>
              </w:rPr>
            </w:pPr>
          </w:p>
        </w:tc>
        <w:tc>
          <w:tcPr>
            <w:tcW w:w="993" w:type="dxa"/>
            <w:vMerge/>
            <w:vAlign w:val="center"/>
            <w:hideMark/>
          </w:tcPr>
          <w:p w14:paraId="66F16BAD" w14:textId="77777777" w:rsidR="000A2A7A" w:rsidRPr="00FD7B0B" w:rsidRDefault="000A2A7A" w:rsidP="000A2A7A">
            <w:pPr>
              <w:spacing w:after="0" w:line="240" w:lineRule="auto"/>
              <w:ind w:left="-108"/>
              <w:rPr>
                <w:rFonts w:ascii="Times New Roman" w:eastAsia="Times New Roman" w:hAnsi="Times New Roman"/>
                <w:lang w:eastAsia="ru-RU"/>
              </w:rPr>
            </w:pPr>
          </w:p>
        </w:tc>
        <w:tc>
          <w:tcPr>
            <w:tcW w:w="993" w:type="dxa"/>
            <w:vMerge/>
            <w:vAlign w:val="center"/>
            <w:hideMark/>
          </w:tcPr>
          <w:p w14:paraId="56BCB472" w14:textId="77777777" w:rsidR="000A2A7A" w:rsidRPr="00FD7B0B" w:rsidRDefault="000A2A7A" w:rsidP="000A2A7A">
            <w:pPr>
              <w:spacing w:after="0" w:line="240" w:lineRule="auto"/>
              <w:ind w:left="-108"/>
              <w:rPr>
                <w:rFonts w:ascii="Times New Roman" w:eastAsia="Times New Roman" w:hAnsi="Times New Roman"/>
                <w:lang w:eastAsia="ru-RU"/>
              </w:rPr>
            </w:pPr>
          </w:p>
        </w:tc>
        <w:tc>
          <w:tcPr>
            <w:tcW w:w="992" w:type="dxa"/>
            <w:vMerge/>
            <w:vAlign w:val="center"/>
            <w:hideMark/>
          </w:tcPr>
          <w:p w14:paraId="20636922" w14:textId="77777777" w:rsidR="000A2A7A" w:rsidRPr="00FD7B0B" w:rsidRDefault="000A2A7A" w:rsidP="000A2A7A">
            <w:pPr>
              <w:spacing w:after="0" w:line="240" w:lineRule="auto"/>
              <w:ind w:left="-108"/>
              <w:rPr>
                <w:rFonts w:ascii="Times New Roman" w:eastAsia="Times New Roman" w:hAnsi="Times New Roman"/>
                <w:lang w:eastAsia="ru-RU"/>
              </w:rPr>
            </w:pPr>
          </w:p>
        </w:tc>
        <w:tc>
          <w:tcPr>
            <w:tcW w:w="991" w:type="dxa"/>
            <w:shd w:val="clear" w:color="auto" w:fill="auto"/>
            <w:vAlign w:val="center"/>
            <w:hideMark/>
          </w:tcPr>
          <w:p w14:paraId="20C51086"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992" w:type="dxa"/>
            <w:shd w:val="clear" w:color="auto" w:fill="auto"/>
            <w:vAlign w:val="center"/>
            <w:hideMark/>
          </w:tcPr>
          <w:p w14:paraId="4317AFFC" w14:textId="77777777" w:rsidR="000A2A7A" w:rsidRPr="00FD7B0B" w:rsidRDefault="000A2A7A" w:rsidP="000A2A7A">
            <w:pPr>
              <w:spacing w:after="0" w:line="240" w:lineRule="auto"/>
              <w:ind w:left="-108"/>
              <w:jc w:val="center"/>
              <w:rPr>
                <w:rFonts w:ascii="Times New Roman" w:eastAsia="Times New Roman" w:hAnsi="Times New Roman"/>
                <w:lang w:eastAsia="ru-RU"/>
              </w:rPr>
            </w:pPr>
            <w:r w:rsidRPr="00FD7B0B">
              <w:rPr>
                <w:rFonts w:ascii="Times New Roman" w:eastAsia="Times New Roman" w:hAnsi="Times New Roman"/>
                <w:lang w:eastAsia="ru-RU"/>
              </w:rPr>
              <w:t>%</w:t>
            </w:r>
          </w:p>
        </w:tc>
        <w:tc>
          <w:tcPr>
            <w:tcW w:w="993" w:type="dxa"/>
            <w:shd w:val="clear" w:color="auto" w:fill="auto"/>
            <w:vAlign w:val="center"/>
            <w:hideMark/>
          </w:tcPr>
          <w:p w14:paraId="7EC71F13" w14:textId="77777777" w:rsidR="000A2A7A" w:rsidRPr="00FD7B0B" w:rsidRDefault="000A2A7A" w:rsidP="000A2A7A">
            <w:pPr>
              <w:spacing w:after="0" w:line="240" w:lineRule="auto"/>
              <w:ind w:left="-108" w:right="-109"/>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992" w:type="dxa"/>
            <w:shd w:val="clear" w:color="auto" w:fill="auto"/>
            <w:vAlign w:val="center"/>
            <w:hideMark/>
          </w:tcPr>
          <w:p w14:paraId="38001583" w14:textId="77777777" w:rsidR="000A2A7A" w:rsidRPr="00FD7B0B" w:rsidRDefault="000A2A7A" w:rsidP="000A2A7A">
            <w:pPr>
              <w:spacing w:after="0" w:line="240" w:lineRule="auto"/>
              <w:ind w:left="-108"/>
              <w:jc w:val="center"/>
              <w:rPr>
                <w:rFonts w:ascii="Times New Roman" w:eastAsia="Times New Roman" w:hAnsi="Times New Roman"/>
                <w:lang w:eastAsia="ru-RU"/>
              </w:rPr>
            </w:pPr>
            <w:r w:rsidRPr="00FD7B0B">
              <w:rPr>
                <w:rFonts w:ascii="Times New Roman" w:eastAsia="Times New Roman" w:hAnsi="Times New Roman"/>
                <w:lang w:eastAsia="ru-RU"/>
              </w:rPr>
              <w:t>%</w:t>
            </w:r>
          </w:p>
        </w:tc>
      </w:tr>
      <w:tr w:rsidR="00FD7B0B" w:rsidRPr="00FD7B0B" w14:paraId="27CDC0D9" w14:textId="77777777" w:rsidTr="000A2A7A">
        <w:trPr>
          <w:trHeight w:val="237"/>
          <w:tblHeader/>
        </w:trPr>
        <w:tc>
          <w:tcPr>
            <w:tcW w:w="2835" w:type="dxa"/>
            <w:shd w:val="clear" w:color="auto" w:fill="auto"/>
            <w:vAlign w:val="center"/>
            <w:hideMark/>
          </w:tcPr>
          <w:p w14:paraId="799E0690"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А</w:t>
            </w:r>
          </w:p>
        </w:tc>
        <w:tc>
          <w:tcPr>
            <w:tcW w:w="993" w:type="dxa"/>
            <w:shd w:val="clear" w:color="auto" w:fill="auto"/>
            <w:vAlign w:val="center"/>
            <w:hideMark/>
          </w:tcPr>
          <w:p w14:paraId="3E6EB853"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993" w:type="dxa"/>
            <w:shd w:val="clear" w:color="auto" w:fill="auto"/>
            <w:vAlign w:val="center"/>
            <w:hideMark/>
          </w:tcPr>
          <w:p w14:paraId="38A2254A"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992" w:type="dxa"/>
            <w:shd w:val="clear" w:color="auto" w:fill="auto"/>
            <w:vAlign w:val="center"/>
            <w:hideMark/>
          </w:tcPr>
          <w:p w14:paraId="3F7D5941"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3</w:t>
            </w:r>
          </w:p>
        </w:tc>
        <w:tc>
          <w:tcPr>
            <w:tcW w:w="991" w:type="dxa"/>
            <w:shd w:val="clear" w:color="auto" w:fill="auto"/>
            <w:vAlign w:val="center"/>
            <w:hideMark/>
          </w:tcPr>
          <w:p w14:paraId="46D5F67E"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4=3-2</w:t>
            </w:r>
          </w:p>
        </w:tc>
        <w:tc>
          <w:tcPr>
            <w:tcW w:w="992" w:type="dxa"/>
            <w:shd w:val="clear" w:color="auto" w:fill="auto"/>
            <w:vAlign w:val="center"/>
            <w:hideMark/>
          </w:tcPr>
          <w:p w14:paraId="195E1E7C"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5=3/2*100</w:t>
            </w:r>
          </w:p>
        </w:tc>
        <w:tc>
          <w:tcPr>
            <w:tcW w:w="993" w:type="dxa"/>
            <w:shd w:val="clear" w:color="auto" w:fill="auto"/>
            <w:vAlign w:val="center"/>
            <w:hideMark/>
          </w:tcPr>
          <w:p w14:paraId="4AC4454D"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6=3-1</w:t>
            </w:r>
          </w:p>
        </w:tc>
        <w:tc>
          <w:tcPr>
            <w:tcW w:w="992" w:type="dxa"/>
            <w:shd w:val="clear" w:color="auto" w:fill="auto"/>
            <w:vAlign w:val="center"/>
            <w:hideMark/>
          </w:tcPr>
          <w:p w14:paraId="66A37509"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7=3/1*100</w:t>
            </w:r>
          </w:p>
        </w:tc>
      </w:tr>
      <w:tr w:rsidR="00FD7B0B" w:rsidRPr="00FD7B0B" w14:paraId="1EA9AF3F" w14:textId="77777777" w:rsidTr="000A2A7A">
        <w:trPr>
          <w:trHeight w:val="367"/>
        </w:trPr>
        <w:tc>
          <w:tcPr>
            <w:tcW w:w="2835" w:type="dxa"/>
            <w:shd w:val="clear" w:color="auto" w:fill="auto"/>
            <w:vAlign w:val="center"/>
            <w:hideMark/>
          </w:tcPr>
          <w:p w14:paraId="1B6C11DC"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Налог на доходы физических лиц, </w:t>
            </w:r>
            <w:r w:rsidRPr="00FD7B0B">
              <w:rPr>
                <w:rFonts w:ascii="Times New Roman" w:eastAsia="Times New Roman" w:hAnsi="Times New Roman"/>
                <w:i/>
                <w:lang w:eastAsia="ru-RU"/>
              </w:rPr>
              <w:t>из них:</w:t>
            </w:r>
          </w:p>
        </w:tc>
        <w:tc>
          <w:tcPr>
            <w:tcW w:w="993" w:type="dxa"/>
            <w:shd w:val="clear" w:color="auto" w:fill="auto"/>
            <w:vAlign w:val="bottom"/>
          </w:tcPr>
          <w:p w14:paraId="1BF5F44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26 597,6</w:t>
            </w:r>
          </w:p>
        </w:tc>
        <w:tc>
          <w:tcPr>
            <w:tcW w:w="993" w:type="dxa"/>
            <w:shd w:val="clear" w:color="auto" w:fill="auto"/>
            <w:vAlign w:val="bottom"/>
          </w:tcPr>
          <w:p w14:paraId="45A8E29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29 937,8</w:t>
            </w:r>
          </w:p>
        </w:tc>
        <w:tc>
          <w:tcPr>
            <w:tcW w:w="992" w:type="dxa"/>
            <w:shd w:val="clear" w:color="auto" w:fill="auto"/>
            <w:vAlign w:val="bottom"/>
          </w:tcPr>
          <w:p w14:paraId="7B0AA24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30 887,7</w:t>
            </w:r>
          </w:p>
        </w:tc>
        <w:tc>
          <w:tcPr>
            <w:tcW w:w="991" w:type="dxa"/>
            <w:shd w:val="clear" w:color="auto" w:fill="auto"/>
            <w:vAlign w:val="bottom"/>
          </w:tcPr>
          <w:p w14:paraId="6200B10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949,9</w:t>
            </w:r>
          </w:p>
        </w:tc>
        <w:tc>
          <w:tcPr>
            <w:tcW w:w="992" w:type="dxa"/>
            <w:shd w:val="clear" w:color="auto" w:fill="auto"/>
            <w:vAlign w:val="bottom"/>
          </w:tcPr>
          <w:p w14:paraId="4F93F93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103,2</w:t>
            </w:r>
          </w:p>
        </w:tc>
        <w:tc>
          <w:tcPr>
            <w:tcW w:w="993" w:type="dxa"/>
            <w:shd w:val="clear" w:color="auto" w:fill="auto"/>
            <w:vAlign w:val="bottom"/>
          </w:tcPr>
          <w:p w14:paraId="7ACD6CA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4 290,1</w:t>
            </w:r>
          </w:p>
        </w:tc>
        <w:tc>
          <w:tcPr>
            <w:tcW w:w="992" w:type="dxa"/>
            <w:shd w:val="clear" w:color="auto" w:fill="auto"/>
            <w:vAlign w:val="bottom"/>
          </w:tcPr>
          <w:p w14:paraId="35CD43AA" w14:textId="77777777" w:rsidR="000A2A7A" w:rsidRPr="00FD7B0B" w:rsidRDefault="000A2A7A" w:rsidP="000A2A7A">
            <w:pPr>
              <w:spacing w:after="0" w:line="240" w:lineRule="auto"/>
              <w:ind w:left="-109"/>
              <w:jc w:val="right"/>
              <w:rPr>
                <w:rFonts w:ascii="Times New Roman" w:eastAsia="Times New Roman" w:hAnsi="Times New Roman"/>
                <w:lang w:eastAsia="ru-RU"/>
              </w:rPr>
            </w:pPr>
            <w:r w:rsidRPr="00FD7B0B">
              <w:rPr>
                <w:rFonts w:ascii="Times New Roman" w:eastAsia="Times New Roman" w:hAnsi="Times New Roman"/>
                <w:lang w:eastAsia="ru-RU"/>
              </w:rPr>
              <w:t>116,1</w:t>
            </w:r>
          </w:p>
        </w:tc>
      </w:tr>
      <w:tr w:rsidR="00FD7B0B" w:rsidRPr="00FD7B0B" w14:paraId="6A310F37" w14:textId="77777777" w:rsidTr="000A2A7A">
        <w:trPr>
          <w:trHeight w:val="150"/>
        </w:trPr>
        <w:tc>
          <w:tcPr>
            <w:tcW w:w="2835" w:type="dxa"/>
            <w:shd w:val="clear" w:color="auto" w:fill="auto"/>
            <w:vAlign w:val="bottom"/>
          </w:tcPr>
          <w:p w14:paraId="6EB4B93C"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Архангельская область</w:t>
            </w:r>
          </w:p>
        </w:tc>
        <w:tc>
          <w:tcPr>
            <w:tcW w:w="993" w:type="dxa"/>
            <w:shd w:val="clear" w:color="auto" w:fill="auto"/>
            <w:vAlign w:val="bottom"/>
          </w:tcPr>
          <w:p w14:paraId="2633193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24 734,8</w:t>
            </w:r>
          </w:p>
        </w:tc>
        <w:tc>
          <w:tcPr>
            <w:tcW w:w="993" w:type="dxa"/>
            <w:shd w:val="clear" w:color="auto" w:fill="auto"/>
            <w:vAlign w:val="bottom"/>
          </w:tcPr>
          <w:p w14:paraId="115B853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992" w:type="dxa"/>
            <w:shd w:val="clear" w:color="auto" w:fill="auto"/>
            <w:vAlign w:val="bottom"/>
          </w:tcPr>
          <w:p w14:paraId="7F132D5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28 706,3</w:t>
            </w:r>
          </w:p>
        </w:tc>
        <w:tc>
          <w:tcPr>
            <w:tcW w:w="991" w:type="dxa"/>
            <w:shd w:val="clear" w:color="auto" w:fill="auto"/>
            <w:vAlign w:val="bottom"/>
          </w:tcPr>
          <w:p w14:paraId="1DBFDEB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992" w:type="dxa"/>
            <w:shd w:val="clear" w:color="auto" w:fill="auto"/>
            <w:vAlign w:val="bottom"/>
          </w:tcPr>
          <w:p w14:paraId="64D0DB0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993" w:type="dxa"/>
            <w:shd w:val="clear" w:color="auto" w:fill="auto"/>
            <w:vAlign w:val="bottom"/>
          </w:tcPr>
          <w:p w14:paraId="3B6FFB6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3 971,5</w:t>
            </w:r>
          </w:p>
        </w:tc>
        <w:tc>
          <w:tcPr>
            <w:tcW w:w="992" w:type="dxa"/>
            <w:shd w:val="clear" w:color="auto" w:fill="auto"/>
            <w:vAlign w:val="bottom"/>
          </w:tcPr>
          <w:p w14:paraId="520D7AE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116,1</w:t>
            </w:r>
          </w:p>
        </w:tc>
      </w:tr>
      <w:tr w:rsidR="00FD7B0B" w:rsidRPr="00FD7B0B" w14:paraId="077B751D" w14:textId="77777777" w:rsidTr="000A2A7A">
        <w:trPr>
          <w:trHeight w:val="169"/>
        </w:trPr>
        <w:tc>
          <w:tcPr>
            <w:tcW w:w="2835" w:type="dxa"/>
            <w:shd w:val="clear" w:color="auto" w:fill="auto"/>
            <w:vAlign w:val="bottom"/>
          </w:tcPr>
          <w:p w14:paraId="77219143"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НАО</w:t>
            </w:r>
          </w:p>
        </w:tc>
        <w:tc>
          <w:tcPr>
            <w:tcW w:w="993" w:type="dxa"/>
            <w:shd w:val="clear" w:color="auto" w:fill="auto"/>
            <w:vAlign w:val="bottom"/>
          </w:tcPr>
          <w:p w14:paraId="5DCEA0D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1 862,8</w:t>
            </w:r>
          </w:p>
        </w:tc>
        <w:tc>
          <w:tcPr>
            <w:tcW w:w="993" w:type="dxa"/>
            <w:shd w:val="clear" w:color="auto" w:fill="auto"/>
            <w:vAlign w:val="bottom"/>
          </w:tcPr>
          <w:p w14:paraId="5AFD285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992" w:type="dxa"/>
            <w:shd w:val="clear" w:color="auto" w:fill="auto"/>
            <w:vAlign w:val="bottom"/>
          </w:tcPr>
          <w:p w14:paraId="3D01F32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2 181,4</w:t>
            </w:r>
          </w:p>
        </w:tc>
        <w:tc>
          <w:tcPr>
            <w:tcW w:w="991" w:type="dxa"/>
            <w:shd w:val="clear" w:color="auto" w:fill="auto"/>
            <w:vAlign w:val="bottom"/>
          </w:tcPr>
          <w:p w14:paraId="0ED97BE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992" w:type="dxa"/>
            <w:shd w:val="clear" w:color="auto" w:fill="auto"/>
            <w:vAlign w:val="bottom"/>
          </w:tcPr>
          <w:p w14:paraId="48722B5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993" w:type="dxa"/>
            <w:shd w:val="clear" w:color="auto" w:fill="auto"/>
            <w:vAlign w:val="bottom"/>
          </w:tcPr>
          <w:p w14:paraId="5EF6C40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318,6</w:t>
            </w:r>
          </w:p>
        </w:tc>
        <w:tc>
          <w:tcPr>
            <w:tcW w:w="992" w:type="dxa"/>
            <w:shd w:val="clear" w:color="auto" w:fill="auto"/>
            <w:vAlign w:val="bottom"/>
          </w:tcPr>
          <w:p w14:paraId="3BCB760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117,1</w:t>
            </w:r>
          </w:p>
        </w:tc>
      </w:tr>
    </w:tbl>
    <w:p w14:paraId="26487E1A" w14:textId="77777777" w:rsidR="000A2A7A" w:rsidRPr="00FD7B0B" w:rsidRDefault="000A2A7A" w:rsidP="000A2A7A">
      <w:pPr>
        <w:pStyle w:val="1a"/>
        <w:widowControl/>
        <w:spacing w:before="0" w:after="0" w:line="240" w:lineRule="auto"/>
        <w:ind w:firstLine="720"/>
        <w:rPr>
          <w:sz w:val="28"/>
          <w:szCs w:val="28"/>
        </w:rPr>
      </w:pPr>
    </w:p>
    <w:p w14:paraId="461A777F"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Положительная динамика поступления налога на доходы физических лиц в отчетном периоде по сравнению с показателями кассового плана и аналогичными показателями за прошлый год в основном обусловлены ростом фонда начисленной заработной платы работников по полному кругу организаций за 2024 год (по предварительным данным Архангельскстат: рост фонда начисленной заработной платы работников по полному кругу организаций Архангельской области – на 10,5 %, в НАО – на 11,8 %), низкой базой 2023 года ввиду списания из бюджета сумм переплаты для формирования начального сальдо ЕНС, постановкой на учет новых обособленных подразделений нефтедобывающей отрасли на территории НАО.</w:t>
      </w:r>
    </w:p>
    <w:p w14:paraId="00672AFE"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Возвращено в 2024 году из бюджета Архангельской области 3 806,7 млн.руб. налога в результате реализации прав граждан на имущественные и </w:t>
      </w:r>
      <w:r w:rsidRPr="00FD7B0B">
        <w:rPr>
          <w:sz w:val="28"/>
          <w:szCs w:val="28"/>
        </w:rPr>
        <w:lastRenderedPageBreak/>
        <w:t>социальные налоговые вычеты с ростом на 151,3 млн.руб. или на 4,1% к уровню 2023 года.</w:t>
      </w:r>
    </w:p>
    <w:p w14:paraId="1AA238AC" w14:textId="77777777" w:rsidR="003C73F6" w:rsidRPr="00FD7B0B" w:rsidRDefault="003C73F6" w:rsidP="000A2A7A">
      <w:pPr>
        <w:pStyle w:val="1a"/>
        <w:widowControl/>
        <w:spacing w:before="0" w:after="0" w:line="240" w:lineRule="auto"/>
        <w:ind w:firstLine="720"/>
        <w:rPr>
          <w:sz w:val="28"/>
          <w:szCs w:val="28"/>
        </w:rPr>
      </w:pPr>
    </w:p>
    <w:p w14:paraId="10E8FC50"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3. За отчетный период в областной бюджет акцизы поступили в сумме 11 058,0 млн.руб., их доля в структуре налоговых и неналоговых доходов составляет 11,3 % Годовые показатели кассового плана выполнены на 104,5 %.</w:t>
      </w:r>
    </w:p>
    <w:p w14:paraId="1DF6C876" w14:textId="3CEB78C2" w:rsidR="000A2A7A" w:rsidRPr="00FD7B0B" w:rsidRDefault="000A2A7A" w:rsidP="000A2A7A">
      <w:pPr>
        <w:pStyle w:val="1a"/>
        <w:widowControl/>
        <w:spacing w:before="0" w:after="0" w:line="240" w:lineRule="auto"/>
        <w:ind w:firstLine="720"/>
        <w:rPr>
          <w:sz w:val="28"/>
          <w:szCs w:val="28"/>
        </w:rPr>
      </w:pPr>
      <w:r w:rsidRPr="00FD7B0B">
        <w:rPr>
          <w:sz w:val="28"/>
          <w:szCs w:val="28"/>
        </w:rPr>
        <w:t>Сведения о поступления акцизов за 2024 год представлены в таблице</w:t>
      </w:r>
      <w:r w:rsidR="003C73F6" w:rsidRPr="00FD7B0B">
        <w:rPr>
          <w:sz w:val="28"/>
          <w:szCs w:val="28"/>
        </w:rPr>
        <w:t xml:space="preserve"> </w:t>
      </w:r>
      <w:r w:rsidR="006E6954" w:rsidRPr="00FD7B0B">
        <w:rPr>
          <w:sz w:val="28"/>
          <w:szCs w:val="28"/>
        </w:rPr>
        <w:t>34</w:t>
      </w:r>
      <w:r w:rsidRPr="00FD7B0B">
        <w:rPr>
          <w:sz w:val="28"/>
          <w:szCs w:val="28"/>
        </w:rPr>
        <w:t>.</w:t>
      </w:r>
    </w:p>
    <w:p w14:paraId="1F7506E6" w14:textId="77777777" w:rsidR="000A2A7A" w:rsidRPr="00FD7B0B" w:rsidRDefault="000A2A7A" w:rsidP="000A2A7A">
      <w:pPr>
        <w:pStyle w:val="aff0"/>
        <w:spacing w:after="0" w:line="240" w:lineRule="auto"/>
        <w:rPr>
          <w:rFonts w:ascii="Times New Roman" w:hAnsi="Times New Roman"/>
          <w:b w:val="0"/>
          <w:sz w:val="24"/>
          <w:szCs w:val="24"/>
        </w:rPr>
      </w:pPr>
    </w:p>
    <w:p w14:paraId="67966996"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34</w:t>
      </w:r>
      <w:r w:rsidRPr="00FD7B0B">
        <w:rPr>
          <w:rFonts w:ascii="Times New Roman" w:hAnsi="Times New Roman"/>
          <w:b w:val="0"/>
          <w:sz w:val="24"/>
          <w:szCs w:val="24"/>
        </w:rPr>
        <w:fldChar w:fldCharType="end"/>
      </w:r>
      <w:r w:rsidRPr="00FD7B0B">
        <w:rPr>
          <w:rFonts w:ascii="Times New Roman" w:hAnsi="Times New Roman"/>
          <w:b w:val="0"/>
          <w:sz w:val="24"/>
          <w:szCs w:val="24"/>
        </w:rPr>
        <w:t>. Выполнение кассового плана поступления акцизов за 2023 – 2024 годы, млн.руб.</w:t>
      </w:r>
    </w:p>
    <w:tbl>
      <w:tblPr>
        <w:tblW w:w="9836" w:type="dxa"/>
        <w:tblInd w:w="-23" w:type="dxa"/>
        <w:tblLayout w:type="fixed"/>
        <w:tblLook w:val="04A0" w:firstRow="1" w:lastRow="0" w:firstColumn="1" w:lastColumn="0" w:noHBand="0" w:noVBand="1"/>
      </w:tblPr>
      <w:tblGrid>
        <w:gridCol w:w="2835"/>
        <w:gridCol w:w="966"/>
        <w:gridCol w:w="1018"/>
        <w:gridCol w:w="992"/>
        <w:gridCol w:w="1025"/>
        <w:gridCol w:w="986"/>
        <w:gridCol w:w="1021"/>
        <w:gridCol w:w="993"/>
      </w:tblGrid>
      <w:tr w:rsidR="00FD7B0B" w:rsidRPr="00FD7B0B" w14:paraId="6C9F0B58" w14:textId="77777777" w:rsidTr="000A2A7A">
        <w:trPr>
          <w:trHeight w:val="550"/>
          <w:tblHeader/>
        </w:trPr>
        <w:tc>
          <w:tcPr>
            <w:tcW w:w="283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05D9D00"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Показатель</w:t>
            </w:r>
          </w:p>
        </w:tc>
        <w:tc>
          <w:tcPr>
            <w:tcW w:w="96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25CC5FD"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Факт 2023 год</w:t>
            </w:r>
          </w:p>
        </w:tc>
        <w:tc>
          <w:tcPr>
            <w:tcW w:w="101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C247591"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КП 2024 год</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DBF22DA"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Факт</w:t>
            </w:r>
          </w:p>
          <w:p w14:paraId="38A8E3AE"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2024 год</w:t>
            </w:r>
          </w:p>
        </w:tc>
        <w:tc>
          <w:tcPr>
            <w:tcW w:w="2011"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423365EC"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Исполнено за 2024 год, (+/-)</w:t>
            </w:r>
          </w:p>
        </w:tc>
        <w:tc>
          <w:tcPr>
            <w:tcW w:w="2014" w:type="dxa"/>
            <w:gridSpan w:val="2"/>
            <w:tcBorders>
              <w:top w:val="double" w:sz="6" w:space="0" w:color="auto"/>
              <w:left w:val="nil"/>
              <w:bottom w:val="single" w:sz="4" w:space="0" w:color="auto"/>
              <w:right w:val="double" w:sz="6" w:space="0" w:color="000000"/>
            </w:tcBorders>
            <w:shd w:val="clear" w:color="auto" w:fill="auto"/>
            <w:vAlign w:val="center"/>
            <w:hideMark/>
          </w:tcPr>
          <w:p w14:paraId="48D9F529"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Отклонение факт 2024 к факту 2023 года, (+/-)</w:t>
            </w:r>
          </w:p>
        </w:tc>
      </w:tr>
      <w:tr w:rsidR="00FD7B0B" w:rsidRPr="00FD7B0B" w14:paraId="46D14E16" w14:textId="77777777" w:rsidTr="000A2A7A">
        <w:trPr>
          <w:trHeight w:val="35"/>
          <w:tblHeader/>
        </w:trPr>
        <w:tc>
          <w:tcPr>
            <w:tcW w:w="2835" w:type="dxa"/>
            <w:vMerge/>
            <w:tcBorders>
              <w:top w:val="double" w:sz="6" w:space="0" w:color="auto"/>
              <w:left w:val="double" w:sz="6" w:space="0" w:color="auto"/>
              <w:bottom w:val="single" w:sz="4" w:space="0" w:color="auto"/>
              <w:right w:val="single" w:sz="4" w:space="0" w:color="auto"/>
            </w:tcBorders>
            <w:shd w:val="clear" w:color="auto" w:fill="auto"/>
            <w:vAlign w:val="center"/>
            <w:hideMark/>
          </w:tcPr>
          <w:p w14:paraId="2C832CED" w14:textId="77777777" w:rsidR="000A2A7A" w:rsidRPr="00FD7B0B" w:rsidRDefault="000A2A7A" w:rsidP="000A2A7A">
            <w:pPr>
              <w:spacing w:after="0" w:line="240" w:lineRule="auto"/>
              <w:ind w:left="-108" w:right="-108"/>
              <w:rPr>
                <w:rFonts w:ascii="Times New Roman" w:eastAsia="Times New Roman" w:hAnsi="Times New Roman"/>
                <w:lang w:eastAsia="ru-RU"/>
              </w:rPr>
            </w:pPr>
          </w:p>
        </w:tc>
        <w:tc>
          <w:tcPr>
            <w:tcW w:w="966"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3F5F409C" w14:textId="77777777" w:rsidR="000A2A7A" w:rsidRPr="00FD7B0B" w:rsidRDefault="000A2A7A" w:rsidP="000A2A7A">
            <w:pPr>
              <w:spacing w:after="0" w:line="240" w:lineRule="auto"/>
              <w:ind w:left="-108" w:right="-108"/>
              <w:rPr>
                <w:rFonts w:ascii="Times New Roman" w:eastAsia="Times New Roman" w:hAnsi="Times New Roman"/>
                <w:lang w:eastAsia="ru-RU"/>
              </w:rPr>
            </w:pPr>
          </w:p>
        </w:tc>
        <w:tc>
          <w:tcPr>
            <w:tcW w:w="1018"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443E8992" w14:textId="77777777" w:rsidR="000A2A7A" w:rsidRPr="00FD7B0B" w:rsidRDefault="000A2A7A" w:rsidP="000A2A7A">
            <w:pPr>
              <w:spacing w:after="0" w:line="240" w:lineRule="auto"/>
              <w:ind w:left="-108" w:right="-108"/>
              <w:rPr>
                <w:rFonts w:ascii="Times New Roman" w:eastAsia="Times New Roman" w:hAnsi="Times New Roman"/>
                <w:lang w:eastAsia="ru-RU"/>
              </w:rPr>
            </w:pPr>
          </w:p>
        </w:tc>
        <w:tc>
          <w:tcPr>
            <w:tcW w:w="992"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2E308B45" w14:textId="77777777" w:rsidR="000A2A7A" w:rsidRPr="00FD7B0B" w:rsidRDefault="000A2A7A" w:rsidP="000A2A7A">
            <w:pPr>
              <w:spacing w:after="0" w:line="240" w:lineRule="auto"/>
              <w:ind w:left="-108" w:right="-108"/>
              <w:rPr>
                <w:rFonts w:ascii="Times New Roman" w:eastAsia="Times New Roman" w:hAnsi="Times New Roman"/>
                <w:lang w:eastAsia="ru-RU"/>
              </w:rPr>
            </w:pP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175B98C1"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986" w:type="dxa"/>
            <w:tcBorders>
              <w:top w:val="single" w:sz="4" w:space="0" w:color="auto"/>
              <w:left w:val="nil"/>
              <w:bottom w:val="single" w:sz="4" w:space="0" w:color="auto"/>
              <w:right w:val="single" w:sz="4" w:space="0" w:color="auto"/>
            </w:tcBorders>
            <w:shd w:val="clear" w:color="auto" w:fill="auto"/>
            <w:vAlign w:val="center"/>
            <w:hideMark/>
          </w:tcPr>
          <w:p w14:paraId="2FFFF0EB"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08CA21D2"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993" w:type="dxa"/>
            <w:tcBorders>
              <w:top w:val="nil"/>
              <w:left w:val="single" w:sz="4" w:space="0" w:color="auto"/>
              <w:bottom w:val="single" w:sz="4" w:space="0" w:color="auto"/>
              <w:right w:val="double" w:sz="6" w:space="0" w:color="auto"/>
            </w:tcBorders>
            <w:shd w:val="clear" w:color="auto" w:fill="auto"/>
            <w:vAlign w:val="center"/>
            <w:hideMark/>
          </w:tcPr>
          <w:p w14:paraId="4D801C7A"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w:t>
            </w:r>
          </w:p>
        </w:tc>
      </w:tr>
      <w:tr w:rsidR="00FD7B0B" w:rsidRPr="00FD7B0B" w14:paraId="0063EA18" w14:textId="77777777" w:rsidTr="000A2A7A">
        <w:trPr>
          <w:trHeight w:val="300"/>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66AD6CB2"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А</w:t>
            </w:r>
          </w:p>
        </w:tc>
        <w:tc>
          <w:tcPr>
            <w:tcW w:w="966" w:type="dxa"/>
            <w:tcBorders>
              <w:top w:val="nil"/>
              <w:left w:val="nil"/>
              <w:bottom w:val="single" w:sz="4" w:space="0" w:color="auto"/>
              <w:right w:val="single" w:sz="4" w:space="0" w:color="auto"/>
            </w:tcBorders>
            <w:shd w:val="clear" w:color="auto" w:fill="auto"/>
            <w:vAlign w:val="center"/>
            <w:hideMark/>
          </w:tcPr>
          <w:p w14:paraId="262FC62D"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1018" w:type="dxa"/>
            <w:tcBorders>
              <w:top w:val="nil"/>
              <w:left w:val="nil"/>
              <w:bottom w:val="single" w:sz="4" w:space="0" w:color="auto"/>
              <w:right w:val="single" w:sz="4" w:space="0" w:color="auto"/>
            </w:tcBorders>
            <w:shd w:val="clear" w:color="auto" w:fill="auto"/>
            <w:vAlign w:val="center"/>
            <w:hideMark/>
          </w:tcPr>
          <w:p w14:paraId="11D27A34"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14:paraId="52A6C5CD"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3</w:t>
            </w:r>
          </w:p>
        </w:tc>
        <w:tc>
          <w:tcPr>
            <w:tcW w:w="1025" w:type="dxa"/>
            <w:tcBorders>
              <w:top w:val="nil"/>
              <w:left w:val="nil"/>
              <w:bottom w:val="single" w:sz="4" w:space="0" w:color="auto"/>
              <w:right w:val="single" w:sz="4" w:space="0" w:color="auto"/>
            </w:tcBorders>
            <w:shd w:val="clear" w:color="auto" w:fill="auto"/>
            <w:vAlign w:val="center"/>
            <w:hideMark/>
          </w:tcPr>
          <w:p w14:paraId="62FF2A0E"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4=3-2</w:t>
            </w:r>
          </w:p>
        </w:tc>
        <w:tc>
          <w:tcPr>
            <w:tcW w:w="986" w:type="dxa"/>
            <w:tcBorders>
              <w:top w:val="nil"/>
              <w:left w:val="nil"/>
              <w:bottom w:val="single" w:sz="4" w:space="0" w:color="auto"/>
              <w:right w:val="single" w:sz="4" w:space="0" w:color="auto"/>
            </w:tcBorders>
            <w:shd w:val="clear" w:color="auto" w:fill="auto"/>
            <w:vAlign w:val="center"/>
            <w:hideMark/>
          </w:tcPr>
          <w:p w14:paraId="71FD3A18" w14:textId="77777777" w:rsidR="000A2A7A" w:rsidRPr="00FD7B0B" w:rsidRDefault="000A2A7A" w:rsidP="000A2A7A">
            <w:pPr>
              <w:spacing w:after="0" w:line="240" w:lineRule="auto"/>
              <w:ind w:left="-108" w:right="-108"/>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5=3/2*100</w:t>
            </w:r>
          </w:p>
        </w:tc>
        <w:tc>
          <w:tcPr>
            <w:tcW w:w="1021" w:type="dxa"/>
            <w:tcBorders>
              <w:top w:val="nil"/>
              <w:left w:val="nil"/>
              <w:bottom w:val="single" w:sz="4" w:space="0" w:color="auto"/>
              <w:right w:val="single" w:sz="4" w:space="0" w:color="auto"/>
            </w:tcBorders>
            <w:shd w:val="clear" w:color="auto" w:fill="auto"/>
            <w:vAlign w:val="center"/>
            <w:hideMark/>
          </w:tcPr>
          <w:p w14:paraId="1AAA90D9" w14:textId="77777777" w:rsidR="000A2A7A" w:rsidRPr="00FD7B0B" w:rsidRDefault="000A2A7A" w:rsidP="000A2A7A">
            <w:pPr>
              <w:spacing w:after="0" w:line="240" w:lineRule="auto"/>
              <w:ind w:left="-108" w:right="-108"/>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6=3-1</w:t>
            </w:r>
          </w:p>
        </w:tc>
        <w:tc>
          <w:tcPr>
            <w:tcW w:w="993" w:type="dxa"/>
            <w:tcBorders>
              <w:top w:val="nil"/>
              <w:left w:val="single" w:sz="4" w:space="0" w:color="auto"/>
              <w:bottom w:val="single" w:sz="4" w:space="0" w:color="auto"/>
              <w:right w:val="double" w:sz="6" w:space="0" w:color="auto"/>
            </w:tcBorders>
            <w:shd w:val="clear" w:color="auto" w:fill="auto"/>
            <w:vAlign w:val="center"/>
            <w:hideMark/>
          </w:tcPr>
          <w:p w14:paraId="1C839E7D" w14:textId="77777777" w:rsidR="000A2A7A" w:rsidRPr="00FD7B0B" w:rsidRDefault="000A2A7A" w:rsidP="000A2A7A">
            <w:pPr>
              <w:spacing w:after="0" w:line="240" w:lineRule="auto"/>
              <w:ind w:left="-108" w:right="-108"/>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7=3/1*100-100</w:t>
            </w:r>
          </w:p>
        </w:tc>
      </w:tr>
      <w:tr w:rsidR="00FD7B0B" w:rsidRPr="00FD7B0B" w14:paraId="79509405" w14:textId="77777777" w:rsidTr="000A2A7A">
        <w:trPr>
          <w:trHeight w:val="1495"/>
        </w:trPr>
        <w:tc>
          <w:tcPr>
            <w:tcW w:w="2835" w:type="dxa"/>
            <w:tcBorders>
              <w:top w:val="nil"/>
              <w:left w:val="double" w:sz="6" w:space="0" w:color="auto"/>
              <w:bottom w:val="single" w:sz="4" w:space="0" w:color="auto"/>
              <w:right w:val="single" w:sz="4" w:space="0" w:color="auto"/>
            </w:tcBorders>
            <w:shd w:val="clear" w:color="auto" w:fill="auto"/>
            <w:vAlign w:val="center"/>
            <w:hideMark/>
          </w:tcPr>
          <w:p w14:paraId="1418558A"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Акцизы на алкогольную продукцию с объемной долей этилового спирта свыше 9 %, этиловый спирт, пиво, спиртосодержащая продукция</w:t>
            </w:r>
          </w:p>
        </w:tc>
        <w:tc>
          <w:tcPr>
            <w:tcW w:w="966" w:type="dxa"/>
            <w:tcBorders>
              <w:top w:val="nil"/>
              <w:left w:val="nil"/>
              <w:bottom w:val="single" w:sz="4" w:space="0" w:color="auto"/>
              <w:right w:val="single" w:sz="4" w:space="0" w:color="auto"/>
            </w:tcBorders>
            <w:shd w:val="clear" w:color="auto" w:fill="auto"/>
            <w:vAlign w:val="bottom"/>
          </w:tcPr>
          <w:p w14:paraId="0496592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2 010,5</w:t>
            </w:r>
          </w:p>
        </w:tc>
        <w:tc>
          <w:tcPr>
            <w:tcW w:w="1018" w:type="dxa"/>
            <w:tcBorders>
              <w:top w:val="nil"/>
              <w:left w:val="nil"/>
              <w:bottom w:val="single" w:sz="4" w:space="0" w:color="auto"/>
              <w:right w:val="single" w:sz="4" w:space="0" w:color="auto"/>
            </w:tcBorders>
            <w:shd w:val="clear" w:color="auto" w:fill="auto"/>
            <w:noWrap/>
            <w:vAlign w:val="bottom"/>
          </w:tcPr>
          <w:p w14:paraId="16E773C9" w14:textId="77777777" w:rsidR="000A2A7A" w:rsidRPr="00FD7B0B" w:rsidRDefault="000A2A7A" w:rsidP="000A2A7A">
            <w:pPr>
              <w:spacing w:after="0" w:line="240" w:lineRule="auto"/>
              <w:jc w:val="right"/>
              <w:rPr>
                <w:rFonts w:ascii="Times New Roman" w:eastAsia="Times New Roman" w:hAnsi="Times New Roman"/>
                <w:iCs/>
                <w:lang w:eastAsia="ru-RU"/>
              </w:rPr>
            </w:pPr>
            <w:r w:rsidRPr="00FD7B0B">
              <w:rPr>
                <w:rFonts w:ascii="Times New Roman" w:eastAsia="Times New Roman" w:hAnsi="Times New Roman"/>
                <w:iCs/>
                <w:lang w:eastAsia="ru-RU"/>
              </w:rPr>
              <w:t>2 166,4</w:t>
            </w:r>
          </w:p>
        </w:tc>
        <w:tc>
          <w:tcPr>
            <w:tcW w:w="992" w:type="dxa"/>
            <w:tcBorders>
              <w:top w:val="nil"/>
              <w:left w:val="nil"/>
              <w:bottom w:val="single" w:sz="4" w:space="0" w:color="auto"/>
              <w:right w:val="single" w:sz="4" w:space="0" w:color="auto"/>
            </w:tcBorders>
            <w:shd w:val="clear" w:color="auto" w:fill="auto"/>
            <w:vAlign w:val="bottom"/>
          </w:tcPr>
          <w:p w14:paraId="4851B5A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2 032,6</w:t>
            </w:r>
          </w:p>
        </w:tc>
        <w:tc>
          <w:tcPr>
            <w:tcW w:w="1025" w:type="dxa"/>
            <w:tcBorders>
              <w:top w:val="nil"/>
              <w:left w:val="nil"/>
              <w:bottom w:val="single" w:sz="4" w:space="0" w:color="auto"/>
              <w:right w:val="single" w:sz="4" w:space="0" w:color="auto"/>
            </w:tcBorders>
            <w:shd w:val="clear" w:color="auto" w:fill="auto"/>
            <w:vAlign w:val="bottom"/>
          </w:tcPr>
          <w:p w14:paraId="01B2863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-133,8</w:t>
            </w:r>
          </w:p>
        </w:tc>
        <w:tc>
          <w:tcPr>
            <w:tcW w:w="986" w:type="dxa"/>
            <w:tcBorders>
              <w:top w:val="nil"/>
              <w:left w:val="nil"/>
              <w:bottom w:val="single" w:sz="4" w:space="0" w:color="auto"/>
              <w:right w:val="single" w:sz="4" w:space="0" w:color="auto"/>
            </w:tcBorders>
            <w:shd w:val="clear" w:color="auto" w:fill="auto"/>
            <w:noWrap/>
            <w:vAlign w:val="bottom"/>
          </w:tcPr>
          <w:p w14:paraId="38D3C10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93,8</w:t>
            </w:r>
          </w:p>
        </w:tc>
        <w:tc>
          <w:tcPr>
            <w:tcW w:w="1021" w:type="dxa"/>
            <w:tcBorders>
              <w:top w:val="nil"/>
              <w:left w:val="nil"/>
              <w:bottom w:val="single" w:sz="4" w:space="0" w:color="auto"/>
              <w:right w:val="single" w:sz="4" w:space="0" w:color="auto"/>
            </w:tcBorders>
            <w:shd w:val="clear" w:color="auto" w:fill="auto"/>
            <w:noWrap/>
            <w:vAlign w:val="bottom"/>
          </w:tcPr>
          <w:p w14:paraId="2EA0E33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22,1</w:t>
            </w:r>
          </w:p>
        </w:tc>
        <w:tc>
          <w:tcPr>
            <w:tcW w:w="993" w:type="dxa"/>
            <w:tcBorders>
              <w:top w:val="nil"/>
              <w:left w:val="single" w:sz="4" w:space="0" w:color="auto"/>
              <w:bottom w:val="single" w:sz="4" w:space="0" w:color="auto"/>
              <w:right w:val="double" w:sz="6" w:space="0" w:color="auto"/>
            </w:tcBorders>
            <w:shd w:val="clear" w:color="auto" w:fill="auto"/>
            <w:noWrap/>
            <w:vAlign w:val="bottom"/>
          </w:tcPr>
          <w:p w14:paraId="6D3A86C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1,1</w:t>
            </w:r>
          </w:p>
        </w:tc>
      </w:tr>
      <w:tr w:rsidR="00FD7B0B" w:rsidRPr="00FD7B0B" w14:paraId="41266F43" w14:textId="77777777" w:rsidTr="000A2A7A">
        <w:trPr>
          <w:trHeight w:val="70"/>
        </w:trPr>
        <w:tc>
          <w:tcPr>
            <w:tcW w:w="2835" w:type="dxa"/>
            <w:tcBorders>
              <w:top w:val="nil"/>
              <w:left w:val="double" w:sz="6" w:space="0" w:color="auto"/>
              <w:bottom w:val="single" w:sz="4" w:space="0" w:color="auto"/>
              <w:right w:val="single" w:sz="4" w:space="0" w:color="auto"/>
            </w:tcBorders>
            <w:shd w:val="clear" w:color="auto" w:fill="auto"/>
            <w:vAlign w:val="bottom"/>
            <w:hideMark/>
          </w:tcPr>
          <w:p w14:paraId="234B720A"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Акцизы на нефтепродукты (диз/топливо, моторные масла, автомобильный и прямогонный бензин)</w:t>
            </w:r>
          </w:p>
        </w:tc>
        <w:tc>
          <w:tcPr>
            <w:tcW w:w="966" w:type="dxa"/>
            <w:tcBorders>
              <w:top w:val="nil"/>
              <w:left w:val="nil"/>
              <w:bottom w:val="single" w:sz="4" w:space="0" w:color="auto"/>
              <w:right w:val="single" w:sz="4" w:space="0" w:color="auto"/>
            </w:tcBorders>
            <w:shd w:val="clear" w:color="auto" w:fill="auto"/>
            <w:vAlign w:val="bottom"/>
          </w:tcPr>
          <w:p w14:paraId="2062A49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8 231,4</w:t>
            </w:r>
          </w:p>
        </w:tc>
        <w:tc>
          <w:tcPr>
            <w:tcW w:w="1018" w:type="dxa"/>
            <w:tcBorders>
              <w:top w:val="nil"/>
              <w:left w:val="nil"/>
              <w:bottom w:val="single" w:sz="4" w:space="0" w:color="auto"/>
              <w:right w:val="single" w:sz="4" w:space="0" w:color="auto"/>
            </w:tcBorders>
            <w:shd w:val="clear" w:color="auto" w:fill="auto"/>
            <w:noWrap/>
            <w:vAlign w:val="bottom"/>
          </w:tcPr>
          <w:p w14:paraId="03517FEA" w14:textId="77777777" w:rsidR="000A2A7A" w:rsidRPr="00FD7B0B" w:rsidRDefault="000A2A7A" w:rsidP="000A2A7A">
            <w:pPr>
              <w:spacing w:after="0" w:line="240" w:lineRule="auto"/>
              <w:jc w:val="right"/>
              <w:rPr>
                <w:rFonts w:ascii="Times New Roman" w:eastAsia="Times New Roman" w:hAnsi="Times New Roman"/>
                <w:iCs/>
                <w:lang w:eastAsia="ru-RU"/>
              </w:rPr>
            </w:pPr>
            <w:r w:rsidRPr="00FD7B0B">
              <w:rPr>
                <w:rFonts w:ascii="Times New Roman" w:eastAsia="Times New Roman" w:hAnsi="Times New Roman"/>
                <w:iCs/>
                <w:lang w:eastAsia="ru-RU"/>
              </w:rPr>
              <w:t>8 413,9</w:t>
            </w:r>
          </w:p>
        </w:tc>
        <w:tc>
          <w:tcPr>
            <w:tcW w:w="992" w:type="dxa"/>
            <w:tcBorders>
              <w:top w:val="nil"/>
              <w:left w:val="nil"/>
              <w:bottom w:val="single" w:sz="4" w:space="0" w:color="auto"/>
              <w:right w:val="single" w:sz="4" w:space="0" w:color="auto"/>
            </w:tcBorders>
            <w:shd w:val="clear" w:color="auto" w:fill="auto"/>
            <w:vAlign w:val="bottom"/>
          </w:tcPr>
          <w:p w14:paraId="68A4F0E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9 025,4</w:t>
            </w:r>
          </w:p>
        </w:tc>
        <w:tc>
          <w:tcPr>
            <w:tcW w:w="1025" w:type="dxa"/>
            <w:tcBorders>
              <w:top w:val="nil"/>
              <w:left w:val="nil"/>
              <w:bottom w:val="single" w:sz="4" w:space="0" w:color="auto"/>
              <w:right w:val="single" w:sz="4" w:space="0" w:color="auto"/>
            </w:tcBorders>
            <w:shd w:val="clear" w:color="auto" w:fill="auto"/>
            <w:vAlign w:val="bottom"/>
          </w:tcPr>
          <w:p w14:paraId="1ABB816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611,5</w:t>
            </w:r>
          </w:p>
        </w:tc>
        <w:tc>
          <w:tcPr>
            <w:tcW w:w="986" w:type="dxa"/>
            <w:tcBorders>
              <w:top w:val="nil"/>
              <w:left w:val="nil"/>
              <w:bottom w:val="single" w:sz="4" w:space="0" w:color="auto"/>
              <w:right w:val="single" w:sz="4" w:space="0" w:color="auto"/>
            </w:tcBorders>
            <w:shd w:val="clear" w:color="auto" w:fill="auto"/>
            <w:noWrap/>
            <w:vAlign w:val="bottom"/>
          </w:tcPr>
          <w:p w14:paraId="26610E7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107,3</w:t>
            </w:r>
          </w:p>
        </w:tc>
        <w:tc>
          <w:tcPr>
            <w:tcW w:w="1021" w:type="dxa"/>
            <w:tcBorders>
              <w:top w:val="nil"/>
              <w:left w:val="nil"/>
              <w:bottom w:val="single" w:sz="4" w:space="0" w:color="auto"/>
              <w:right w:val="single" w:sz="4" w:space="0" w:color="auto"/>
            </w:tcBorders>
            <w:shd w:val="clear" w:color="auto" w:fill="auto"/>
            <w:noWrap/>
            <w:vAlign w:val="bottom"/>
          </w:tcPr>
          <w:p w14:paraId="747492D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794,0</w:t>
            </w:r>
          </w:p>
        </w:tc>
        <w:tc>
          <w:tcPr>
            <w:tcW w:w="993" w:type="dxa"/>
            <w:tcBorders>
              <w:top w:val="nil"/>
              <w:left w:val="single" w:sz="4" w:space="0" w:color="auto"/>
              <w:bottom w:val="single" w:sz="4" w:space="0" w:color="auto"/>
              <w:right w:val="double" w:sz="6" w:space="0" w:color="auto"/>
            </w:tcBorders>
            <w:shd w:val="clear" w:color="auto" w:fill="auto"/>
            <w:noWrap/>
            <w:vAlign w:val="bottom"/>
          </w:tcPr>
          <w:p w14:paraId="37332BD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9,6</w:t>
            </w:r>
          </w:p>
        </w:tc>
      </w:tr>
      <w:tr w:rsidR="00FD7B0B" w:rsidRPr="00FD7B0B" w14:paraId="5460F289" w14:textId="77777777" w:rsidTr="000A2A7A">
        <w:trPr>
          <w:trHeight w:val="164"/>
        </w:trPr>
        <w:tc>
          <w:tcPr>
            <w:tcW w:w="2835" w:type="dxa"/>
            <w:tcBorders>
              <w:top w:val="nil"/>
              <w:left w:val="double" w:sz="6" w:space="0" w:color="auto"/>
              <w:bottom w:val="double" w:sz="6" w:space="0" w:color="auto"/>
              <w:right w:val="single" w:sz="4" w:space="0" w:color="auto"/>
            </w:tcBorders>
            <w:shd w:val="clear" w:color="auto" w:fill="auto"/>
            <w:vAlign w:val="center"/>
            <w:hideMark/>
          </w:tcPr>
          <w:p w14:paraId="7A873D18"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Итого</w:t>
            </w:r>
          </w:p>
        </w:tc>
        <w:tc>
          <w:tcPr>
            <w:tcW w:w="966" w:type="dxa"/>
            <w:tcBorders>
              <w:top w:val="single" w:sz="4" w:space="0" w:color="auto"/>
              <w:left w:val="nil"/>
              <w:bottom w:val="double" w:sz="6" w:space="0" w:color="auto"/>
              <w:right w:val="single" w:sz="4" w:space="0" w:color="auto"/>
            </w:tcBorders>
            <w:shd w:val="clear" w:color="auto" w:fill="auto"/>
            <w:vAlign w:val="bottom"/>
          </w:tcPr>
          <w:p w14:paraId="313FC72B" w14:textId="77777777" w:rsidR="000A2A7A" w:rsidRPr="00FD7B0B" w:rsidRDefault="000A2A7A" w:rsidP="000A2A7A">
            <w:pPr>
              <w:spacing w:after="0" w:line="240" w:lineRule="auto"/>
              <w:ind w:left="-108"/>
              <w:jc w:val="right"/>
              <w:rPr>
                <w:rFonts w:ascii="Times New Roman" w:eastAsia="Times New Roman" w:hAnsi="Times New Roman"/>
                <w:lang w:eastAsia="ru-RU"/>
              </w:rPr>
            </w:pPr>
            <w:r w:rsidRPr="00FD7B0B">
              <w:rPr>
                <w:rFonts w:ascii="Times New Roman" w:eastAsia="Times New Roman" w:hAnsi="Times New Roman"/>
                <w:lang w:eastAsia="ru-RU"/>
              </w:rPr>
              <w:t>10 241,9</w:t>
            </w:r>
          </w:p>
        </w:tc>
        <w:tc>
          <w:tcPr>
            <w:tcW w:w="1018" w:type="dxa"/>
            <w:tcBorders>
              <w:top w:val="single" w:sz="4" w:space="0" w:color="auto"/>
              <w:left w:val="nil"/>
              <w:bottom w:val="double" w:sz="6" w:space="0" w:color="auto"/>
              <w:right w:val="single" w:sz="4" w:space="0" w:color="auto"/>
            </w:tcBorders>
            <w:shd w:val="clear" w:color="auto" w:fill="auto"/>
            <w:vAlign w:val="bottom"/>
          </w:tcPr>
          <w:p w14:paraId="76C8836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10 580,3</w:t>
            </w:r>
          </w:p>
        </w:tc>
        <w:tc>
          <w:tcPr>
            <w:tcW w:w="992" w:type="dxa"/>
            <w:tcBorders>
              <w:top w:val="single" w:sz="4" w:space="0" w:color="auto"/>
              <w:left w:val="nil"/>
              <w:bottom w:val="double" w:sz="6" w:space="0" w:color="auto"/>
              <w:right w:val="single" w:sz="4" w:space="0" w:color="auto"/>
            </w:tcBorders>
            <w:shd w:val="clear" w:color="auto" w:fill="auto"/>
            <w:vAlign w:val="bottom"/>
          </w:tcPr>
          <w:p w14:paraId="0566DF6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11 058,0</w:t>
            </w:r>
          </w:p>
        </w:tc>
        <w:tc>
          <w:tcPr>
            <w:tcW w:w="1025" w:type="dxa"/>
            <w:tcBorders>
              <w:top w:val="single" w:sz="4" w:space="0" w:color="auto"/>
              <w:left w:val="nil"/>
              <w:bottom w:val="double" w:sz="6" w:space="0" w:color="auto"/>
              <w:right w:val="single" w:sz="4" w:space="0" w:color="auto"/>
            </w:tcBorders>
            <w:shd w:val="clear" w:color="auto" w:fill="auto"/>
            <w:vAlign w:val="bottom"/>
          </w:tcPr>
          <w:p w14:paraId="5694BD4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477,7</w:t>
            </w:r>
          </w:p>
        </w:tc>
        <w:tc>
          <w:tcPr>
            <w:tcW w:w="986" w:type="dxa"/>
            <w:tcBorders>
              <w:top w:val="single" w:sz="4" w:space="0" w:color="auto"/>
              <w:left w:val="nil"/>
              <w:bottom w:val="double" w:sz="6" w:space="0" w:color="auto"/>
              <w:right w:val="single" w:sz="4" w:space="0" w:color="auto"/>
            </w:tcBorders>
            <w:shd w:val="clear" w:color="auto" w:fill="auto"/>
            <w:noWrap/>
            <w:vAlign w:val="bottom"/>
          </w:tcPr>
          <w:p w14:paraId="232EC86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104,5</w:t>
            </w:r>
          </w:p>
        </w:tc>
        <w:tc>
          <w:tcPr>
            <w:tcW w:w="1021" w:type="dxa"/>
            <w:tcBorders>
              <w:top w:val="single" w:sz="4" w:space="0" w:color="auto"/>
              <w:left w:val="nil"/>
              <w:bottom w:val="double" w:sz="6" w:space="0" w:color="auto"/>
              <w:right w:val="single" w:sz="4" w:space="0" w:color="auto"/>
            </w:tcBorders>
            <w:shd w:val="clear" w:color="auto" w:fill="auto"/>
            <w:noWrap/>
            <w:vAlign w:val="bottom"/>
          </w:tcPr>
          <w:p w14:paraId="54CAEF4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816,1</w:t>
            </w:r>
          </w:p>
        </w:tc>
        <w:tc>
          <w:tcPr>
            <w:tcW w:w="993" w:type="dxa"/>
            <w:tcBorders>
              <w:top w:val="nil"/>
              <w:left w:val="nil"/>
              <w:bottom w:val="double" w:sz="6" w:space="0" w:color="auto"/>
              <w:right w:val="double" w:sz="6" w:space="0" w:color="auto"/>
            </w:tcBorders>
            <w:shd w:val="clear" w:color="auto" w:fill="auto"/>
            <w:noWrap/>
            <w:vAlign w:val="bottom"/>
          </w:tcPr>
          <w:p w14:paraId="084B860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8,0</w:t>
            </w:r>
          </w:p>
        </w:tc>
      </w:tr>
    </w:tbl>
    <w:p w14:paraId="26455C9F" w14:textId="77777777" w:rsidR="000A2A7A" w:rsidRPr="00FD7B0B" w:rsidRDefault="000A2A7A" w:rsidP="000A2A7A">
      <w:pPr>
        <w:pStyle w:val="1a"/>
        <w:widowControl/>
        <w:spacing w:before="0" w:after="0" w:line="240" w:lineRule="auto"/>
        <w:ind w:firstLine="720"/>
        <w:rPr>
          <w:sz w:val="28"/>
          <w:szCs w:val="28"/>
        </w:rPr>
      </w:pPr>
    </w:p>
    <w:p w14:paraId="4DFEF3FC" w14:textId="0A010A1E" w:rsidR="000A2A7A" w:rsidRPr="00FD7B0B" w:rsidRDefault="000A2A7A" w:rsidP="000A2A7A">
      <w:pPr>
        <w:pStyle w:val="1a"/>
        <w:widowControl/>
        <w:spacing w:before="0" w:after="0" w:line="240" w:lineRule="auto"/>
        <w:ind w:firstLine="720"/>
        <w:rPr>
          <w:sz w:val="28"/>
          <w:szCs w:val="28"/>
        </w:rPr>
      </w:pPr>
      <w:r w:rsidRPr="00FD7B0B">
        <w:rPr>
          <w:sz w:val="28"/>
          <w:szCs w:val="28"/>
        </w:rPr>
        <w:t>Фактическое поступление акцизов обусловлено рядом факторов, из них: ростом налоговой базы, поэтапным увеличением ставок акцизов на дизельное топливо, автомобильный бензин, прямогонный бензин, моторные масла, пиво, по видам алкоголя, рост объемов произведенного пива, а также с учетом снижения доли Архангельской области в розничных продажах алкогольной продукции (с 1,1844 % до 1,1333 %) и нормативов доли Архангельской области при распределении доходов от акцизов на нефтепродукты (с 0,9491 % до 0,9416 %), сокращение объемов реализации крепкой алкогольной продукции в регионе по сравнению с прогнозными значениями федер</w:t>
      </w:r>
      <w:r w:rsidR="003C73F6" w:rsidRPr="00FD7B0B">
        <w:rPr>
          <w:sz w:val="28"/>
          <w:szCs w:val="28"/>
        </w:rPr>
        <w:t>ального администратора доходов.</w:t>
      </w:r>
    </w:p>
    <w:p w14:paraId="2CACD748" w14:textId="77777777" w:rsidR="003C73F6" w:rsidRPr="00FD7B0B" w:rsidRDefault="003C73F6" w:rsidP="000A2A7A">
      <w:pPr>
        <w:pStyle w:val="1a"/>
        <w:widowControl/>
        <w:spacing w:before="0" w:after="0" w:line="240" w:lineRule="auto"/>
        <w:ind w:firstLine="720"/>
        <w:rPr>
          <w:sz w:val="28"/>
          <w:szCs w:val="28"/>
        </w:rPr>
      </w:pPr>
    </w:p>
    <w:p w14:paraId="48E2FB8A" w14:textId="304E3A37" w:rsidR="000A2A7A" w:rsidRPr="00FD7B0B" w:rsidRDefault="000A2A7A" w:rsidP="000A2A7A">
      <w:pPr>
        <w:pStyle w:val="1a"/>
        <w:widowControl/>
        <w:spacing w:before="0" w:after="0" w:line="240" w:lineRule="auto"/>
        <w:ind w:firstLine="720"/>
        <w:rPr>
          <w:sz w:val="28"/>
          <w:szCs w:val="28"/>
        </w:rPr>
      </w:pPr>
      <w:r w:rsidRPr="00FD7B0B">
        <w:rPr>
          <w:sz w:val="28"/>
          <w:szCs w:val="28"/>
        </w:rPr>
        <w:t>4. Налоги на совокупный доход представлены в областном бюджете налогом, взимаемым в связи с применением упрощенной системы налогообложения, который поступил в сумме 6 021,2 млн.руб., а также налогом на профессиональный доход в сумме 177,0 млн.руб., что в целом составляет 6 198,2 млн.руб. Кассовый план 2024 год исполнен на 100,9</w:t>
      </w:r>
      <w:r w:rsidR="00FA3C80" w:rsidRPr="00FD7B0B">
        <w:rPr>
          <w:sz w:val="28"/>
          <w:szCs w:val="28"/>
        </w:rPr>
        <w:t xml:space="preserve"> </w:t>
      </w:r>
      <w:r w:rsidRPr="00FD7B0B">
        <w:rPr>
          <w:sz w:val="28"/>
          <w:szCs w:val="28"/>
        </w:rPr>
        <w:t>% (+58,1 млн.руб.). Среднемесячный прирост поступлений в 2024 году к 2023 году составил 85,1 млн.руб.</w:t>
      </w:r>
    </w:p>
    <w:p w14:paraId="61BED830" w14:textId="441C20E7" w:rsidR="000A2A7A" w:rsidRPr="00FD7B0B" w:rsidRDefault="000A2A7A" w:rsidP="00FA3C80">
      <w:pPr>
        <w:pStyle w:val="1a"/>
        <w:widowControl/>
        <w:spacing w:before="0" w:after="0" w:line="240" w:lineRule="auto"/>
        <w:ind w:firstLine="720"/>
        <w:rPr>
          <w:sz w:val="28"/>
          <w:szCs w:val="28"/>
          <w:highlight w:val="cyan"/>
        </w:rPr>
      </w:pPr>
      <w:r w:rsidRPr="00FD7B0B">
        <w:rPr>
          <w:sz w:val="28"/>
          <w:szCs w:val="28"/>
        </w:rPr>
        <w:t>План поступления налогов на совокупный доход с учетом сложившейся динамики поступлений увеличен в сентябре на 312,2 млн.руб. (областной закон от 20.03.2024 № 60-6-ОЗ)</w:t>
      </w:r>
    </w:p>
    <w:p w14:paraId="71788D8B"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lastRenderedPageBreak/>
        <w:t>В целом поступление налогов на совокупный доход за 2024 год превышает поступления за 2023 год на 1 021,3 млн.руб. или на 19,7 %, что обусловлено увеличением налоговой базы, списанием в начале 2023 года из бюджета сумм переплаты для формирования начального сальдо ЕНС, ростом числа налогоплательщиков, доплат в 2024 году по итогам представленных деклараций за 2023 год.</w:t>
      </w:r>
    </w:p>
    <w:p w14:paraId="15767C50" w14:textId="77777777" w:rsidR="00FA3C80" w:rsidRPr="00FD7B0B" w:rsidRDefault="00FA3C80" w:rsidP="000A2A7A">
      <w:pPr>
        <w:pStyle w:val="1a"/>
        <w:widowControl/>
        <w:spacing w:before="0" w:after="0" w:line="240" w:lineRule="auto"/>
        <w:ind w:firstLine="720"/>
        <w:rPr>
          <w:sz w:val="28"/>
          <w:szCs w:val="28"/>
        </w:rPr>
      </w:pPr>
    </w:p>
    <w:p w14:paraId="38DAF1C0" w14:textId="77777777" w:rsidR="000A2A7A" w:rsidRPr="00FD7B0B" w:rsidRDefault="000A2A7A" w:rsidP="000A2A7A">
      <w:pPr>
        <w:pStyle w:val="1a"/>
        <w:widowControl/>
        <w:spacing w:before="0" w:after="0" w:line="240" w:lineRule="auto"/>
        <w:ind w:firstLine="720"/>
        <w:rPr>
          <w:i/>
          <w:sz w:val="28"/>
          <w:szCs w:val="28"/>
        </w:rPr>
      </w:pPr>
      <w:r w:rsidRPr="00FD7B0B">
        <w:rPr>
          <w:sz w:val="28"/>
          <w:szCs w:val="28"/>
        </w:rPr>
        <w:t>5. Налоги на имущество за 2024 год поступили в областной бюджет в сумме 10 619,5 млн.руб., что на 477,1 млн.руб. (+4,7 %) больше соответствующих поступлений за 2023 год (10 142,4 млн.руб.). В структуре налоговых и неналоговых доходов доля налогов на имущество составляет 10,9 %. Годовые показатели кассового плана (10 500,8 млн.руб.) по указанным поступлениям выполнены на 101,1 %, из них:</w:t>
      </w:r>
    </w:p>
    <w:p w14:paraId="42792E16" w14:textId="0334D472"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а) </w:t>
      </w:r>
      <w:r w:rsidRPr="00FD7B0B">
        <w:rPr>
          <w:sz w:val="28"/>
          <w:szCs w:val="28"/>
          <w:u w:val="single"/>
        </w:rPr>
        <w:t>налог на имущество организаций</w:t>
      </w:r>
      <w:r w:rsidRPr="00FD7B0B">
        <w:rPr>
          <w:sz w:val="28"/>
          <w:szCs w:val="28"/>
        </w:rPr>
        <w:t xml:space="preserve"> поступил в сумме 10 041,7 млн.руб., что составляет 100,7 % годовых показателей кассового плана 2024 года. По сравнению с 2023 годом (9 580,2 млн.руб.) </w:t>
      </w:r>
      <w:r w:rsidR="00FA3C80" w:rsidRPr="00FD7B0B">
        <w:rPr>
          <w:sz w:val="28"/>
          <w:szCs w:val="28"/>
        </w:rPr>
        <w:t>фиксируется</w:t>
      </w:r>
      <w:r w:rsidRPr="00FD7B0B">
        <w:rPr>
          <w:sz w:val="28"/>
          <w:szCs w:val="28"/>
        </w:rPr>
        <w:t xml:space="preserve"> рост на 461,5 млн.руб. (+4,8 %). План поступления налога на имущество организаций в отчетном периоде не корректировался. Среднемесячный прирост поступления указанного налога за 2024 год составляет 38,5 млн.руб.</w:t>
      </w:r>
    </w:p>
    <w:p w14:paraId="3DE9EBF1"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б) </w:t>
      </w:r>
      <w:r w:rsidRPr="00FD7B0B">
        <w:rPr>
          <w:sz w:val="28"/>
          <w:szCs w:val="28"/>
          <w:u w:val="single"/>
        </w:rPr>
        <w:t>транспортный налог</w:t>
      </w:r>
      <w:r w:rsidRPr="00FD7B0B">
        <w:rPr>
          <w:sz w:val="28"/>
          <w:szCs w:val="28"/>
        </w:rPr>
        <w:t xml:space="preserve"> поступил в сумме 577,2 млн.руб. или 108,6 % (+45,7 млн.руб.) к показателям годового кассового плана 2024 года (531,5 млн.руб.). К показателям за 2023 год (561,3 млн.руб.) поступление транспортного налога увеличилось на 16,0 млн.руб. или на 2,8 %.</w:t>
      </w:r>
    </w:p>
    <w:p w14:paraId="520D503F"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Поступление транспортного налога обеспечено платежами:</w:t>
      </w:r>
    </w:p>
    <w:p w14:paraId="63CC569A" w14:textId="77777777"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в сумме 302,7 млн.руб. от юридических лиц – владельцев автотранспортных средств по расчетам за 2023 год и авансовые платежи в 2024 году, что превышает показатели кассового плана за 2024 год (276,6 млн.руб.) на 26,1 млн.руб. (+9,4 %), больше поступлений за 2023 год на 18,5 млн.руб. (+6,5 %);</w:t>
      </w:r>
    </w:p>
    <w:p w14:paraId="31234A5B" w14:textId="2F2E7AC9"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в сумме 274,5 млн.руб. от физических лиц в счет погашения задолженности за прошлые годы и оплата налога, начисленного за 2023 год, что превышает показатели годового кассового плана 2024 года (254,9 млн.руб.) на 7,7</w:t>
      </w:r>
      <w:r w:rsidR="00A616E1" w:rsidRPr="00FD7B0B">
        <w:rPr>
          <w:sz w:val="28"/>
          <w:szCs w:val="28"/>
        </w:rPr>
        <w:t xml:space="preserve"> </w:t>
      </w:r>
      <w:r w:rsidRPr="00FD7B0B">
        <w:rPr>
          <w:sz w:val="28"/>
          <w:szCs w:val="28"/>
        </w:rPr>
        <w:t>% (+19,6 млн.руб.), но меньше поступлений за 2023 год на 2,5 млн.руб. или на 0,9</w:t>
      </w:r>
      <w:r w:rsidR="00A616E1" w:rsidRPr="00FD7B0B">
        <w:rPr>
          <w:sz w:val="28"/>
          <w:szCs w:val="28"/>
        </w:rPr>
        <w:t xml:space="preserve"> </w:t>
      </w:r>
      <w:r w:rsidRPr="00FD7B0B">
        <w:rPr>
          <w:sz w:val="28"/>
          <w:szCs w:val="28"/>
        </w:rPr>
        <w:t>%.</w:t>
      </w:r>
    </w:p>
    <w:p w14:paraId="3B52590A" w14:textId="77777777" w:rsidR="00A616E1" w:rsidRPr="00FD7B0B" w:rsidRDefault="00A616E1" w:rsidP="000A2A7A">
      <w:pPr>
        <w:pStyle w:val="1a"/>
        <w:widowControl/>
        <w:spacing w:before="0" w:after="0" w:line="240" w:lineRule="auto"/>
        <w:ind w:firstLine="720"/>
        <w:rPr>
          <w:sz w:val="28"/>
          <w:szCs w:val="28"/>
        </w:rPr>
      </w:pPr>
    </w:p>
    <w:p w14:paraId="47D1A734" w14:textId="67B0A164"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6. За отчетный период налоги, сборы и регулярные платежи за пользование природными ресурсами поступили в областной бюджет в сумме 4 621,1 млн.руб., что составляет 105,2 % к плану 2024 года (+230,4 млн.руб.). По сравнению с поступлением за 2023 год указанные поступления за 2024 год </w:t>
      </w:r>
      <w:r w:rsidR="005D586F" w:rsidRPr="00FD7B0B">
        <w:rPr>
          <w:sz w:val="28"/>
          <w:szCs w:val="28"/>
        </w:rPr>
        <w:t>сократились</w:t>
      </w:r>
      <w:r w:rsidRPr="00FD7B0B">
        <w:rPr>
          <w:sz w:val="28"/>
          <w:szCs w:val="28"/>
        </w:rPr>
        <w:t xml:space="preserve"> на 986,8 млн.руб. </w:t>
      </w:r>
      <w:r w:rsidR="005D586F" w:rsidRPr="00FD7B0B">
        <w:rPr>
          <w:sz w:val="28"/>
          <w:szCs w:val="28"/>
        </w:rPr>
        <w:t>или на 17,6 %</w:t>
      </w:r>
      <w:r w:rsidRPr="00FD7B0B">
        <w:rPr>
          <w:sz w:val="28"/>
          <w:szCs w:val="28"/>
        </w:rPr>
        <w:t>.</w:t>
      </w:r>
    </w:p>
    <w:p w14:paraId="51085F3D"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План поступления налогов, сборов и регулярных платежей за пользование природными ресурсами в отчетном периоде не корректировался.</w:t>
      </w:r>
    </w:p>
    <w:p w14:paraId="493A8FD6"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В общем объеме рассматриваемых поступлений основную долю занимает налог на добычу полезных ископаемых – 4 159,3 млн.руб., что превышает </w:t>
      </w:r>
      <w:r w:rsidRPr="00FD7B0B">
        <w:rPr>
          <w:sz w:val="28"/>
          <w:szCs w:val="28"/>
        </w:rPr>
        <w:lastRenderedPageBreak/>
        <w:t>показатели годового кассового плана (4 121,2 млн.руб.) на 0,9 % (+38,1 млн.руб.).</w:t>
      </w:r>
    </w:p>
    <w:p w14:paraId="66ACD510" w14:textId="6D64E8B0"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Значительную долю в общей сумме поступившего налога на добычу полезных ископаемых составил налог на добычу полезных ископаемых в виде природных алмазов, который поступил в сумме 3 982,1 млн.руб., что превышает показатели кассового плана 2024 года на 47,1 млн.руб. (+1,2 %), при этом поступление указанного налога в 2024 году </w:t>
      </w:r>
      <w:r w:rsidR="005D586F" w:rsidRPr="00FD7B0B">
        <w:rPr>
          <w:sz w:val="28"/>
          <w:szCs w:val="28"/>
        </w:rPr>
        <w:t>сократилось</w:t>
      </w:r>
      <w:r w:rsidRPr="00FD7B0B">
        <w:rPr>
          <w:sz w:val="28"/>
          <w:szCs w:val="28"/>
        </w:rPr>
        <w:t xml:space="preserve"> на 863,9 млн.руб. или на 17,8 % по сравнению с поступлением за 2023 год (4 846,0 млн.</w:t>
      </w:r>
      <w:r w:rsidR="005D586F" w:rsidRPr="00FD7B0B">
        <w:rPr>
          <w:sz w:val="28"/>
          <w:szCs w:val="28"/>
        </w:rPr>
        <w:t>руб.).</w:t>
      </w:r>
    </w:p>
    <w:p w14:paraId="0F76BC3A" w14:textId="4CAC389E" w:rsidR="000A2A7A" w:rsidRPr="00FD7B0B" w:rsidRDefault="000A2A7A" w:rsidP="000A2A7A">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части поступления налога на добычу полезных ископаемых в виде природных алмазов установлена положительная динамика к поступлению в 2023 году: в феврале, мае, июне, октябре и декабре, а в остальных месяцах – снижение поступления, что в основном обусловлено фактической оценкой алмазов в меньшем стоимостном размере по сравнению с прошлым годом, а также меньшими объемами реализации. Среднемесячное снижение пост</w:t>
      </w:r>
      <w:r w:rsidR="005D586F" w:rsidRPr="00FD7B0B">
        <w:rPr>
          <w:rFonts w:ascii="Times New Roman" w:hAnsi="Times New Roman"/>
          <w:sz w:val="28"/>
          <w:szCs w:val="28"/>
        </w:rPr>
        <w:t>уплений составило 72,0 млн.руб.</w:t>
      </w:r>
    </w:p>
    <w:p w14:paraId="0604DFC4" w14:textId="77777777" w:rsidR="005D586F" w:rsidRPr="00FD7B0B" w:rsidRDefault="005D586F" w:rsidP="000A2A7A">
      <w:pPr>
        <w:spacing w:after="0" w:line="240" w:lineRule="auto"/>
        <w:ind w:firstLine="709"/>
        <w:jc w:val="both"/>
        <w:rPr>
          <w:rFonts w:ascii="Times New Roman" w:hAnsi="Times New Roman"/>
          <w:sz w:val="28"/>
          <w:szCs w:val="28"/>
        </w:rPr>
      </w:pPr>
    </w:p>
    <w:p w14:paraId="591FC8BF" w14:textId="60AC6999"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7. </w:t>
      </w:r>
      <w:r w:rsidR="005D586F" w:rsidRPr="00FD7B0B">
        <w:rPr>
          <w:sz w:val="28"/>
          <w:szCs w:val="28"/>
        </w:rPr>
        <w:t>Согласно</w:t>
      </w:r>
      <w:r w:rsidRPr="00FD7B0B">
        <w:rPr>
          <w:sz w:val="28"/>
          <w:szCs w:val="28"/>
        </w:rPr>
        <w:t xml:space="preserve"> Сведени</w:t>
      </w:r>
      <w:r w:rsidR="005D586F" w:rsidRPr="00FD7B0B">
        <w:rPr>
          <w:sz w:val="28"/>
          <w:szCs w:val="28"/>
        </w:rPr>
        <w:t>ям</w:t>
      </w:r>
      <w:r w:rsidRPr="00FD7B0B">
        <w:rPr>
          <w:sz w:val="28"/>
          <w:szCs w:val="28"/>
        </w:rPr>
        <w:t xml:space="preserve"> по дебиторской и кредиторской задолженности (ф. 0503169) УФНС по Архангельской области и НАО, представленных в министерство финансов Архангельской области, дебиторская задолженность по платежам в бюджет, администрируемым УФНС по Архангельской области и НАО, на 31.12.2024 составляет 2 878,3 млн.руб., просроченная дебиторская задолженность составила 941,1 млн.руб. </w:t>
      </w:r>
    </w:p>
    <w:p w14:paraId="336532C3" w14:textId="20689616"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Отдельные показатели дебиторской задолженности по данным </w:t>
      </w:r>
      <w:r w:rsidR="005D586F" w:rsidRPr="00FD7B0B">
        <w:rPr>
          <w:sz w:val="28"/>
          <w:szCs w:val="28"/>
        </w:rPr>
        <w:t>О</w:t>
      </w:r>
      <w:r w:rsidRPr="00FD7B0B">
        <w:rPr>
          <w:sz w:val="28"/>
          <w:szCs w:val="28"/>
        </w:rPr>
        <w:t xml:space="preserve">тчета </w:t>
      </w:r>
      <w:r w:rsidR="005D586F" w:rsidRPr="00FD7B0B">
        <w:rPr>
          <w:sz w:val="28"/>
          <w:szCs w:val="28"/>
        </w:rPr>
        <w:t xml:space="preserve">по </w:t>
      </w:r>
      <w:r w:rsidRPr="00FD7B0B">
        <w:rPr>
          <w:sz w:val="28"/>
          <w:szCs w:val="28"/>
        </w:rPr>
        <w:t>ф. 0503169 УФНС по Архангельской области и НАО представлены в таблице</w:t>
      </w:r>
      <w:r w:rsidR="006E6954" w:rsidRPr="00FD7B0B">
        <w:rPr>
          <w:sz w:val="28"/>
          <w:szCs w:val="28"/>
        </w:rPr>
        <w:t> 35</w:t>
      </w:r>
      <w:r w:rsidRPr="00FD7B0B">
        <w:rPr>
          <w:sz w:val="28"/>
          <w:szCs w:val="28"/>
        </w:rPr>
        <w:t>.</w:t>
      </w:r>
    </w:p>
    <w:p w14:paraId="4C59217B" w14:textId="77777777" w:rsidR="000A2A7A" w:rsidRPr="00FD7B0B" w:rsidRDefault="000A2A7A" w:rsidP="000A2A7A">
      <w:pPr>
        <w:pStyle w:val="aff0"/>
        <w:spacing w:after="0" w:line="240" w:lineRule="auto"/>
        <w:rPr>
          <w:rFonts w:ascii="Times New Roman" w:hAnsi="Times New Roman"/>
          <w:b w:val="0"/>
          <w:sz w:val="24"/>
          <w:szCs w:val="24"/>
        </w:rPr>
      </w:pPr>
    </w:p>
    <w:p w14:paraId="12663FD5" w14:textId="03547E4D"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35</w:t>
      </w:r>
      <w:r w:rsidRPr="00FD7B0B">
        <w:rPr>
          <w:rFonts w:ascii="Times New Roman" w:hAnsi="Times New Roman"/>
          <w:b w:val="0"/>
          <w:sz w:val="24"/>
          <w:szCs w:val="24"/>
        </w:rPr>
        <w:fldChar w:fldCharType="end"/>
      </w:r>
      <w:r w:rsidRPr="00FD7B0B">
        <w:rPr>
          <w:rFonts w:ascii="Times New Roman" w:hAnsi="Times New Roman"/>
          <w:b w:val="0"/>
          <w:sz w:val="24"/>
          <w:szCs w:val="24"/>
        </w:rPr>
        <w:t>. Отдельные показатели дебиторской задолженности по данным Сведени</w:t>
      </w:r>
      <w:r w:rsidR="00344DC9" w:rsidRPr="00FD7B0B">
        <w:rPr>
          <w:rFonts w:ascii="Times New Roman" w:hAnsi="Times New Roman"/>
          <w:b w:val="0"/>
          <w:sz w:val="24"/>
          <w:szCs w:val="24"/>
        </w:rPr>
        <w:t>й</w:t>
      </w:r>
      <w:r w:rsidRPr="00FD7B0B">
        <w:rPr>
          <w:rFonts w:ascii="Times New Roman" w:hAnsi="Times New Roman"/>
          <w:b w:val="0"/>
          <w:sz w:val="24"/>
          <w:szCs w:val="24"/>
        </w:rPr>
        <w:t xml:space="preserve"> по дебиторской и кредиторской задолженности УФНС по Архангельской области и НАО (ф. 0503169), млн.руб.</w:t>
      </w:r>
    </w:p>
    <w:tbl>
      <w:tblPr>
        <w:tblW w:w="9616"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3663"/>
        <w:gridCol w:w="1260"/>
        <w:gridCol w:w="1240"/>
        <w:gridCol w:w="1752"/>
        <w:gridCol w:w="1701"/>
      </w:tblGrid>
      <w:tr w:rsidR="00FD7B0B" w:rsidRPr="00FD7B0B" w14:paraId="38174710" w14:textId="77777777" w:rsidTr="00344DC9">
        <w:trPr>
          <w:trHeight w:val="221"/>
          <w:tblHeader/>
        </w:trPr>
        <w:tc>
          <w:tcPr>
            <w:tcW w:w="3663" w:type="dxa"/>
            <w:vMerge w:val="restart"/>
            <w:shd w:val="clear" w:color="auto" w:fill="auto"/>
            <w:noWrap/>
            <w:vAlign w:val="center"/>
            <w:hideMark/>
          </w:tcPr>
          <w:p w14:paraId="77AB812D"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Показатель</w:t>
            </w:r>
          </w:p>
        </w:tc>
        <w:tc>
          <w:tcPr>
            <w:tcW w:w="1260" w:type="dxa"/>
            <w:vMerge w:val="restart"/>
            <w:shd w:val="clear" w:color="auto" w:fill="auto"/>
            <w:noWrap/>
            <w:vAlign w:val="center"/>
            <w:hideMark/>
          </w:tcPr>
          <w:p w14:paraId="0987A166"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01.01.2024</w:t>
            </w:r>
          </w:p>
        </w:tc>
        <w:tc>
          <w:tcPr>
            <w:tcW w:w="1240" w:type="dxa"/>
            <w:vMerge w:val="restart"/>
            <w:shd w:val="clear" w:color="auto" w:fill="auto"/>
            <w:noWrap/>
            <w:vAlign w:val="center"/>
            <w:hideMark/>
          </w:tcPr>
          <w:p w14:paraId="334777E2" w14:textId="77777777" w:rsidR="000A2A7A" w:rsidRPr="00FD7B0B" w:rsidRDefault="000A2A7A" w:rsidP="000A2A7A">
            <w:pPr>
              <w:spacing w:after="0" w:line="240" w:lineRule="auto"/>
              <w:jc w:val="center"/>
              <w:rPr>
                <w:rFonts w:ascii="Times New Roman" w:eastAsia="Times New Roman" w:hAnsi="Times New Roman"/>
                <w:bCs/>
                <w:lang w:eastAsia="ru-RU"/>
              </w:rPr>
            </w:pPr>
            <w:r w:rsidRPr="00FD7B0B">
              <w:rPr>
                <w:rFonts w:ascii="Times New Roman" w:eastAsia="Times New Roman" w:hAnsi="Times New Roman"/>
                <w:bCs/>
                <w:lang w:eastAsia="ru-RU"/>
              </w:rPr>
              <w:t>31.12.2024</w:t>
            </w:r>
          </w:p>
        </w:tc>
        <w:tc>
          <w:tcPr>
            <w:tcW w:w="3453" w:type="dxa"/>
            <w:gridSpan w:val="2"/>
            <w:shd w:val="clear" w:color="auto" w:fill="auto"/>
            <w:vAlign w:val="center"/>
            <w:hideMark/>
          </w:tcPr>
          <w:p w14:paraId="57CEEAEC"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Отклонение (+,-)</w:t>
            </w:r>
          </w:p>
        </w:tc>
      </w:tr>
      <w:tr w:rsidR="00FD7B0B" w:rsidRPr="00FD7B0B" w14:paraId="2021839C" w14:textId="77777777" w:rsidTr="00344DC9">
        <w:trPr>
          <w:trHeight w:val="196"/>
          <w:tblHeader/>
        </w:trPr>
        <w:tc>
          <w:tcPr>
            <w:tcW w:w="3663" w:type="dxa"/>
            <w:vMerge/>
            <w:shd w:val="clear" w:color="auto" w:fill="auto"/>
            <w:vAlign w:val="center"/>
            <w:hideMark/>
          </w:tcPr>
          <w:p w14:paraId="700DF6CB" w14:textId="77777777" w:rsidR="000A2A7A" w:rsidRPr="00FD7B0B" w:rsidRDefault="000A2A7A" w:rsidP="000A2A7A">
            <w:pPr>
              <w:spacing w:after="0" w:line="240" w:lineRule="auto"/>
              <w:rPr>
                <w:rFonts w:ascii="Times New Roman" w:eastAsia="Times New Roman" w:hAnsi="Times New Roman"/>
                <w:lang w:eastAsia="ru-RU"/>
              </w:rPr>
            </w:pPr>
          </w:p>
        </w:tc>
        <w:tc>
          <w:tcPr>
            <w:tcW w:w="1260" w:type="dxa"/>
            <w:vMerge/>
            <w:shd w:val="clear" w:color="auto" w:fill="auto"/>
            <w:vAlign w:val="center"/>
            <w:hideMark/>
          </w:tcPr>
          <w:p w14:paraId="62C1BC9C" w14:textId="77777777" w:rsidR="000A2A7A" w:rsidRPr="00FD7B0B" w:rsidRDefault="000A2A7A" w:rsidP="000A2A7A">
            <w:pPr>
              <w:spacing w:after="0" w:line="240" w:lineRule="auto"/>
              <w:rPr>
                <w:rFonts w:ascii="Times New Roman" w:eastAsia="Times New Roman" w:hAnsi="Times New Roman"/>
                <w:lang w:eastAsia="ru-RU"/>
              </w:rPr>
            </w:pPr>
          </w:p>
        </w:tc>
        <w:tc>
          <w:tcPr>
            <w:tcW w:w="1240" w:type="dxa"/>
            <w:vMerge/>
            <w:shd w:val="clear" w:color="auto" w:fill="auto"/>
            <w:vAlign w:val="center"/>
            <w:hideMark/>
          </w:tcPr>
          <w:p w14:paraId="3D6D980B" w14:textId="77777777" w:rsidR="000A2A7A" w:rsidRPr="00FD7B0B" w:rsidRDefault="000A2A7A" w:rsidP="000A2A7A">
            <w:pPr>
              <w:spacing w:after="0" w:line="240" w:lineRule="auto"/>
              <w:rPr>
                <w:rFonts w:ascii="Times New Roman" w:eastAsia="Times New Roman" w:hAnsi="Times New Roman"/>
                <w:bCs/>
                <w:lang w:eastAsia="ru-RU"/>
              </w:rPr>
            </w:pPr>
          </w:p>
        </w:tc>
        <w:tc>
          <w:tcPr>
            <w:tcW w:w="1752" w:type="dxa"/>
            <w:shd w:val="clear" w:color="auto" w:fill="auto"/>
            <w:vAlign w:val="center"/>
            <w:hideMark/>
          </w:tcPr>
          <w:p w14:paraId="306EC300"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1701" w:type="dxa"/>
            <w:shd w:val="clear" w:color="auto" w:fill="auto"/>
            <w:vAlign w:val="center"/>
            <w:hideMark/>
          </w:tcPr>
          <w:p w14:paraId="243BAB26"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w:t>
            </w:r>
          </w:p>
        </w:tc>
      </w:tr>
      <w:tr w:rsidR="00FD7B0B" w:rsidRPr="00FD7B0B" w14:paraId="504671A1" w14:textId="77777777" w:rsidTr="00344DC9">
        <w:trPr>
          <w:trHeight w:val="222"/>
          <w:tblHeader/>
        </w:trPr>
        <w:tc>
          <w:tcPr>
            <w:tcW w:w="3663" w:type="dxa"/>
            <w:shd w:val="clear" w:color="auto" w:fill="auto"/>
            <w:noWrap/>
            <w:vAlign w:val="center"/>
            <w:hideMark/>
          </w:tcPr>
          <w:p w14:paraId="40C2B0FE"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А</w:t>
            </w:r>
          </w:p>
        </w:tc>
        <w:tc>
          <w:tcPr>
            <w:tcW w:w="1260" w:type="dxa"/>
            <w:shd w:val="clear" w:color="auto" w:fill="auto"/>
            <w:noWrap/>
            <w:vAlign w:val="center"/>
            <w:hideMark/>
          </w:tcPr>
          <w:p w14:paraId="080CD865"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1240" w:type="dxa"/>
            <w:shd w:val="clear" w:color="auto" w:fill="auto"/>
            <w:noWrap/>
            <w:vAlign w:val="center"/>
            <w:hideMark/>
          </w:tcPr>
          <w:p w14:paraId="6FD63F2E"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1752" w:type="dxa"/>
            <w:shd w:val="clear" w:color="auto" w:fill="auto"/>
            <w:vAlign w:val="center"/>
            <w:hideMark/>
          </w:tcPr>
          <w:p w14:paraId="0942B329"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3=2-1</w:t>
            </w:r>
          </w:p>
        </w:tc>
        <w:tc>
          <w:tcPr>
            <w:tcW w:w="1701" w:type="dxa"/>
            <w:shd w:val="clear" w:color="auto" w:fill="auto"/>
            <w:vAlign w:val="center"/>
            <w:hideMark/>
          </w:tcPr>
          <w:p w14:paraId="5EDFF1A7"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4=2/1*100-100</w:t>
            </w:r>
          </w:p>
        </w:tc>
      </w:tr>
      <w:tr w:rsidR="00FD7B0B" w:rsidRPr="00FD7B0B" w14:paraId="29B2622E" w14:textId="77777777" w:rsidTr="00344DC9">
        <w:trPr>
          <w:trHeight w:val="253"/>
        </w:trPr>
        <w:tc>
          <w:tcPr>
            <w:tcW w:w="3663" w:type="dxa"/>
            <w:shd w:val="clear" w:color="auto" w:fill="auto"/>
            <w:vAlign w:val="center"/>
            <w:hideMark/>
          </w:tcPr>
          <w:p w14:paraId="3981FEC9"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Дебиторская задолженность, </w:t>
            </w:r>
            <w:r w:rsidRPr="00FD7B0B">
              <w:rPr>
                <w:rFonts w:ascii="Times New Roman" w:eastAsia="Times New Roman" w:hAnsi="Times New Roman"/>
                <w:i/>
                <w:iCs/>
                <w:lang w:eastAsia="ru-RU"/>
              </w:rPr>
              <w:t>из них:</w:t>
            </w:r>
          </w:p>
        </w:tc>
        <w:tc>
          <w:tcPr>
            <w:tcW w:w="1260" w:type="dxa"/>
            <w:shd w:val="clear" w:color="auto" w:fill="auto"/>
            <w:noWrap/>
            <w:vAlign w:val="bottom"/>
            <w:hideMark/>
          </w:tcPr>
          <w:p w14:paraId="4B1841E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3 123,9</w:t>
            </w:r>
          </w:p>
        </w:tc>
        <w:tc>
          <w:tcPr>
            <w:tcW w:w="1240" w:type="dxa"/>
            <w:shd w:val="clear" w:color="auto" w:fill="auto"/>
            <w:noWrap/>
            <w:vAlign w:val="bottom"/>
            <w:hideMark/>
          </w:tcPr>
          <w:p w14:paraId="7CA62A4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2 878,3</w:t>
            </w:r>
          </w:p>
        </w:tc>
        <w:tc>
          <w:tcPr>
            <w:tcW w:w="1752" w:type="dxa"/>
            <w:shd w:val="clear" w:color="auto" w:fill="auto"/>
            <w:vAlign w:val="bottom"/>
            <w:hideMark/>
          </w:tcPr>
          <w:p w14:paraId="0DB1492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-245,6 </w:t>
            </w:r>
          </w:p>
        </w:tc>
        <w:tc>
          <w:tcPr>
            <w:tcW w:w="1701" w:type="dxa"/>
            <w:shd w:val="clear" w:color="auto" w:fill="auto"/>
            <w:vAlign w:val="bottom"/>
            <w:hideMark/>
          </w:tcPr>
          <w:p w14:paraId="654F2E5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-7,9 </w:t>
            </w:r>
          </w:p>
        </w:tc>
      </w:tr>
      <w:tr w:rsidR="00FD7B0B" w:rsidRPr="00FD7B0B" w14:paraId="2138822C" w14:textId="77777777" w:rsidTr="00344DC9">
        <w:trPr>
          <w:trHeight w:val="116"/>
        </w:trPr>
        <w:tc>
          <w:tcPr>
            <w:tcW w:w="3663" w:type="dxa"/>
            <w:shd w:val="clear" w:color="auto" w:fill="auto"/>
            <w:noWrap/>
            <w:vAlign w:val="center"/>
            <w:hideMark/>
          </w:tcPr>
          <w:p w14:paraId="3B6D419F"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будущих периодов</w:t>
            </w:r>
          </w:p>
        </w:tc>
        <w:tc>
          <w:tcPr>
            <w:tcW w:w="1260" w:type="dxa"/>
            <w:shd w:val="clear" w:color="auto" w:fill="auto"/>
            <w:noWrap/>
            <w:vAlign w:val="bottom"/>
            <w:hideMark/>
          </w:tcPr>
          <w:p w14:paraId="697B527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2 499,5</w:t>
            </w:r>
          </w:p>
        </w:tc>
        <w:tc>
          <w:tcPr>
            <w:tcW w:w="1240" w:type="dxa"/>
            <w:shd w:val="clear" w:color="auto" w:fill="auto"/>
            <w:noWrap/>
            <w:vAlign w:val="bottom"/>
            <w:hideMark/>
          </w:tcPr>
          <w:p w14:paraId="3B179A0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1 924,1</w:t>
            </w:r>
          </w:p>
        </w:tc>
        <w:tc>
          <w:tcPr>
            <w:tcW w:w="1752" w:type="dxa"/>
            <w:shd w:val="clear" w:color="auto" w:fill="auto"/>
            <w:vAlign w:val="bottom"/>
            <w:hideMark/>
          </w:tcPr>
          <w:p w14:paraId="137D405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-575,4 </w:t>
            </w:r>
          </w:p>
        </w:tc>
        <w:tc>
          <w:tcPr>
            <w:tcW w:w="1701" w:type="dxa"/>
            <w:shd w:val="clear" w:color="auto" w:fill="auto"/>
            <w:vAlign w:val="bottom"/>
            <w:hideMark/>
          </w:tcPr>
          <w:p w14:paraId="4718E5E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-23,0 </w:t>
            </w:r>
          </w:p>
        </w:tc>
      </w:tr>
      <w:tr w:rsidR="00FD7B0B" w:rsidRPr="00FD7B0B" w14:paraId="1D8493A6" w14:textId="77777777" w:rsidTr="00344DC9">
        <w:trPr>
          <w:trHeight w:val="147"/>
        </w:trPr>
        <w:tc>
          <w:tcPr>
            <w:tcW w:w="3663" w:type="dxa"/>
            <w:shd w:val="clear" w:color="auto" w:fill="auto"/>
            <w:noWrap/>
            <w:vAlign w:val="center"/>
            <w:hideMark/>
          </w:tcPr>
          <w:p w14:paraId="0FE68EC1"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260" w:type="dxa"/>
            <w:shd w:val="clear" w:color="auto" w:fill="auto"/>
            <w:noWrap/>
            <w:vAlign w:val="bottom"/>
            <w:hideMark/>
          </w:tcPr>
          <w:p w14:paraId="1AFF418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619,0</w:t>
            </w:r>
          </w:p>
        </w:tc>
        <w:tc>
          <w:tcPr>
            <w:tcW w:w="1240" w:type="dxa"/>
            <w:shd w:val="clear" w:color="auto" w:fill="auto"/>
            <w:noWrap/>
            <w:vAlign w:val="bottom"/>
            <w:hideMark/>
          </w:tcPr>
          <w:p w14:paraId="4D80BEF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941,1</w:t>
            </w:r>
          </w:p>
        </w:tc>
        <w:tc>
          <w:tcPr>
            <w:tcW w:w="1752" w:type="dxa"/>
            <w:shd w:val="clear" w:color="auto" w:fill="auto"/>
            <w:vAlign w:val="bottom"/>
            <w:hideMark/>
          </w:tcPr>
          <w:p w14:paraId="5F2AE00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322,1 </w:t>
            </w:r>
          </w:p>
        </w:tc>
        <w:tc>
          <w:tcPr>
            <w:tcW w:w="1701" w:type="dxa"/>
            <w:shd w:val="clear" w:color="auto" w:fill="auto"/>
            <w:vAlign w:val="bottom"/>
            <w:hideMark/>
          </w:tcPr>
          <w:p w14:paraId="0AE20FC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1,5 раза</w:t>
            </w:r>
          </w:p>
        </w:tc>
      </w:tr>
      <w:tr w:rsidR="00FD7B0B" w:rsidRPr="00FD7B0B" w14:paraId="47A04C8D" w14:textId="77777777" w:rsidTr="00344DC9">
        <w:trPr>
          <w:trHeight w:val="166"/>
        </w:trPr>
        <w:tc>
          <w:tcPr>
            <w:tcW w:w="9616" w:type="dxa"/>
            <w:gridSpan w:val="5"/>
            <w:shd w:val="clear" w:color="auto" w:fill="auto"/>
            <w:vAlign w:val="center"/>
            <w:hideMark/>
          </w:tcPr>
          <w:p w14:paraId="022103ED" w14:textId="77777777" w:rsidR="000A2A7A" w:rsidRPr="00FD7B0B" w:rsidRDefault="000A2A7A" w:rsidP="000A2A7A">
            <w:pPr>
              <w:spacing w:after="0" w:line="240" w:lineRule="auto"/>
              <w:jc w:val="center"/>
              <w:rPr>
                <w:rFonts w:ascii="Times New Roman" w:eastAsia="Times New Roman" w:hAnsi="Times New Roman"/>
                <w:bCs/>
                <w:lang w:eastAsia="ru-RU"/>
              </w:rPr>
            </w:pPr>
            <w:r w:rsidRPr="00FD7B0B">
              <w:rPr>
                <w:rFonts w:ascii="Times New Roman" w:eastAsia="Times New Roman" w:hAnsi="Times New Roman"/>
                <w:bCs/>
                <w:lang w:eastAsia="ru-RU"/>
              </w:rPr>
              <w:t>Дебиторская задолженность,</w:t>
            </w:r>
            <w:r w:rsidRPr="00FD7B0B">
              <w:rPr>
                <w:rFonts w:ascii="Times New Roman" w:eastAsia="Times New Roman" w:hAnsi="Times New Roman"/>
                <w:bCs/>
                <w:i/>
                <w:iCs/>
                <w:lang w:eastAsia="ru-RU"/>
              </w:rPr>
              <w:t xml:space="preserve"> из них:</w:t>
            </w:r>
          </w:p>
        </w:tc>
      </w:tr>
      <w:tr w:rsidR="00FD7B0B" w:rsidRPr="00FD7B0B" w14:paraId="49F4B13F" w14:textId="77777777" w:rsidTr="00344DC9">
        <w:trPr>
          <w:trHeight w:val="113"/>
        </w:trPr>
        <w:tc>
          <w:tcPr>
            <w:tcW w:w="9616" w:type="dxa"/>
            <w:gridSpan w:val="5"/>
            <w:shd w:val="clear" w:color="auto" w:fill="auto"/>
            <w:noWrap/>
            <w:vAlign w:val="bottom"/>
            <w:hideMark/>
          </w:tcPr>
          <w:p w14:paraId="6BA59291" w14:textId="77777777" w:rsidR="000A2A7A" w:rsidRPr="00FD7B0B" w:rsidRDefault="000A2A7A" w:rsidP="000A2A7A">
            <w:pPr>
              <w:spacing w:after="0" w:line="240" w:lineRule="auto"/>
              <w:jc w:val="center"/>
              <w:rPr>
                <w:rFonts w:ascii="Times New Roman" w:eastAsia="Times New Roman" w:hAnsi="Times New Roman"/>
                <w:bCs/>
                <w:i/>
                <w:iCs/>
                <w:lang w:eastAsia="ru-RU"/>
              </w:rPr>
            </w:pPr>
            <w:r w:rsidRPr="00FD7B0B">
              <w:rPr>
                <w:rFonts w:ascii="Times New Roman" w:eastAsia="Times New Roman" w:hAnsi="Times New Roman"/>
                <w:bCs/>
                <w:i/>
                <w:iCs/>
                <w:lang w:eastAsia="ru-RU"/>
              </w:rPr>
              <w:t>1) налог на прибыль организаций, в том числе:</w:t>
            </w:r>
          </w:p>
        </w:tc>
      </w:tr>
      <w:tr w:rsidR="00FD7B0B" w:rsidRPr="00FD7B0B" w14:paraId="2ABFACA9" w14:textId="77777777" w:rsidTr="00344DC9">
        <w:trPr>
          <w:trHeight w:val="84"/>
        </w:trPr>
        <w:tc>
          <w:tcPr>
            <w:tcW w:w="3663" w:type="dxa"/>
            <w:shd w:val="clear" w:color="auto" w:fill="auto"/>
            <w:vAlign w:val="bottom"/>
            <w:hideMark/>
          </w:tcPr>
          <w:p w14:paraId="4B409F5E"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bottom"/>
            <w:hideMark/>
          </w:tcPr>
          <w:p w14:paraId="092EBF0E" w14:textId="77777777" w:rsidR="000A2A7A" w:rsidRPr="00FD7B0B" w:rsidRDefault="000A2A7A" w:rsidP="000A2A7A">
            <w:pPr>
              <w:spacing w:after="0" w:line="240" w:lineRule="auto"/>
              <w:jc w:val="right"/>
              <w:rPr>
                <w:rFonts w:ascii="Times New Roman" w:eastAsia="Times New Roman" w:hAnsi="Times New Roman"/>
                <w:iCs/>
                <w:lang w:eastAsia="ru-RU"/>
              </w:rPr>
            </w:pPr>
            <w:r w:rsidRPr="00FD7B0B">
              <w:rPr>
                <w:rFonts w:ascii="Times New Roman" w:eastAsia="Times New Roman" w:hAnsi="Times New Roman"/>
                <w:iCs/>
                <w:lang w:eastAsia="ru-RU"/>
              </w:rPr>
              <w:t>2046,3</w:t>
            </w:r>
          </w:p>
        </w:tc>
        <w:tc>
          <w:tcPr>
            <w:tcW w:w="1240" w:type="dxa"/>
            <w:shd w:val="clear" w:color="auto" w:fill="auto"/>
            <w:noWrap/>
            <w:vAlign w:val="bottom"/>
            <w:hideMark/>
          </w:tcPr>
          <w:p w14:paraId="616430C2" w14:textId="77777777" w:rsidR="000A2A7A" w:rsidRPr="00FD7B0B" w:rsidRDefault="000A2A7A" w:rsidP="000A2A7A">
            <w:pPr>
              <w:spacing w:after="0" w:line="240" w:lineRule="auto"/>
              <w:jc w:val="right"/>
              <w:rPr>
                <w:rFonts w:ascii="Times New Roman" w:eastAsia="Times New Roman" w:hAnsi="Times New Roman"/>
                <w:iCs/>
                <w:lang w:eastAsia="ru-RU"/>
              </w:rPr>
            </w:pPr>
            <w:r w:rsidRPr="00FD7B0B">
              <w:rPr>
                <w:rFonts w:ascii="Times New Roman" w:eastAsia="Times New Roman" w:hAnsi="Times New Roman"/>
                <w:iCs/>
                <w:lang w:eastAsia="ru-RU"/>
              </w:rPr>
              <w:t>1444,2</w:t>
            </w:r>
          </w:p>
        </w:tc>
        <w:tc>
          <w:tcPr>
            <w:tcW w:w="1752" w:type="dxa"/>
            <w:shd w:val="clear" w:color="auto" w:fill="auto"/>
            <w:vAlign w:val="bottom"/>
            <w:hideMark/>
          </w:tcPr>
          <w:p w14:paraId="5BAF76E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-602,1 </w:t>
            </w:r>
          </w:p>
        </w:tc>
        <w:tc>
          <w:tcPr>
            <w:tcW w:w="1701" w:type="dxa"/>
            <w:shd w:val="clear" w:color="auto" w:fill="auto"/>
            <w:vAlign w:val="bottom"/>
            <w:hideMark/>
          </w:tcPr>
          <w:p w14:paraId="7571D32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-29,4 </w:t>
            </w:r>
          </w:p>
        </w:tc>
      </w:tr>
      <w:tr w:rsidR="00FD7B0B" w:rsidRPr="00FD7B0B" w14:paraId="3D33D598" w14:textId="77777777" w:rsidTr="00344DC9">
        <w:trPr>
          <w:trHeight w:val="235"/>
        </w:trPr>
        <w:tc>
          <w:tcPr>
            <w:tcW w:w="3663" w:type="dxa"/>
            <w:shd w:val="clear" w:color="auto" w:fill="auto"/>
            <w:noWrap/>
            <w:vAlign w:val="bottom"/>
            <w:hideMark/>
          </w:tcPr>
          <w:p w14:paraId="164F892B"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bottom"/>
            <w:hideMark/>
          </w:tcPr>
          <w:p w14:paraId="044DEBD3" w14:textId="77777777" w:rsidR="000A2A7A" w:rsidRPr="00FD7B0B" w:rsidRDefault="000A2A7A" w:rsidP="000A2A7A">
            <w:pPr>
              <w:spacing w:after="0" w:line="240" w:lineRule="auto"/>
              <w:jc w:val="right"/>
              <w:rPr>
                <w:rFonts w:ascii="Times New Roman" w:eastAsia="Times New Roman" w:hAnsi="Times New Roman"/>
                <w:iCs/>
                <w:lang w:eastAsia="ru-RU"/>
              </w:rPr>
            </w:pPr>
            <w:r w:rsidRPr="00FD7B0B">
              <w:rPr>
                <w:rFonts w:ascii="Times New Roman" w:eastAsia="Times New Roman" w:hAnsi="Times New Roman"/>
                <w:iCs/>
                <w:lang w:eastAsia="ru-RU"/>
              </w:rPr>
              <w:t>1877,9</w:t>
            </w:r>
          </w:p>
        </w:tc>
        <w:tc>
          <w:tcPr>
            <w:tcW w:w="1240" w:type="dxa"/>
            <w:shd w:val="clear" w:color="auto" w:fill="auto"/>
            <w:noWrap/>
            <w:vAlign w:val="bottom"/>
            <w:hideMark/>
          </w:tcPr>
          <w:p w14:paraId="3C5CAFC8" w14:textId="77777777" w:rsidR="000A2A7A" w:rsidRPr="00FD7B0B" w:rsidRDefault="000A2A7A" w:rsidP="000A2A7A">
            <w:pPr>
              <w:spacing w:after="0" w:line="240" w:lineRule="auto"/>
              <w:jc w:val="right"/>
              <w:rPr>
                <w:rFonts w:ascii="Times New Roman" w:eastAsia="Times New Roman" w:hAnsi="Times New Roman"/>
                <w:iCs/>
                <w:lang w:eastAsia="ru-RU"/>
              </w:rPr>
            </w:pPr>
            <w:r w:rsidRPr="00FD7B0B">
              <w:rPr>
                <w:rFonts w:ascii="Times New Roman" w:eastAsia="Times New Roman" w:hAnsi="Times New Roman"/>
                <w:iCs/>
                <w:lang w:eastAsia="ru-RU"/>
              </w:rPr>
              <w:t>1221,2</w:t>
            </w:r>
          </w:p>
        </w:tc>
        <w:tc>
          <w:tcPr>
            <w:tcW w:w="1752" w:type="dxa"/>
            <w:shd w:val="clear" w:color="auto" w:fill="auto"/>
            <w:vAlign w:val="bottom"/>
            <w:hideMark/>
          </w:tcPr>
          <w:p w14:paraId="4AD052F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-656,7 </w:t>
            </w:r>
          </w:p>
        </w:tc>
        <w:tc>
          <w:tcPr>
            <w:tcW w:w="1701" w:type="dxa"/>
            <w:shd w:val="clear" w:color="auto" w:fill="auto"/>
            <w:vAlign w:val="bottom"/>
            <w:hideMark/>
          </w:tcPr>
          <w:p w14:paraId="350C8AC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-35,0 </w:t>
            </w:r>
          </w:p>
        </w:tc>
      </w:tr>
      <w:tr w:rsidR="00FD7B0B" w:rsidRPr="00FD7B0B" w14:paraId="67897345" w14:textId="77777777" w:rsidTr="00344DC9">
        <w:trPr>
          <w:trHeight w:val="268"/>
        </w:trPr>
        <w:tc>
          <w:tcPr>
            <w:tcW w:w="3663" w:type="dxa"/>
            <w:shd w:val="clear" w:color="auto" w:fill="auto"/>
            <w:noWrap/>
            <w:vAlign w:val="bottom"/>
            <w:hideMark/>
          </w:tcPr>
          <w:p w14:paraId="08960D00"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260" w:type="dxa"/>
            <w:shd w:val="clear" w:color="auto" w:fill="auto"/>
            <w:noWrap/>
            <w:vAlign w:val="bottom"/>
            <w:hideMark/>
          </w:tcPr>
          <w:p w14:paraId="7F7D783C" w14:textId="77777777" w:rsidR="000A2A7A" w:rsidRPr="00FD7B0B" w:rsidRDefault="000A2A7A" w:rsidP="000A2A7A">
            <w:pPr>
              <w:spacing w:after="0" w:line="240" w:lineRule="auto"/>
              <w:jc w:val="right"/>
              <w:rPr>
                <w:rFonts w:ascii="Times New Roman" w:eastAsia="Times New Roman" w:hAnsi="Times New Roman"/>
                <w:iCs/>
                <w:lang w:eastAsia="ru-RU"/>
              </w:rPr>
            </w:pPr>
            <w:r w:rsidRPr="00FD7B0B">
              <w:rPr>
                <w:rFonts w:ascii="Times New Roman" w:eastAsia="Times New Roman" w:hAnsi="Times New Roman"/>
                <w:iCs/>
                <w:lang w:eastAsia="ru-RU"/>
              </w:rPr>
              <w:t>164,5</w:t>
            </w:r>
          </w:p>
        </w:tc>
        <w:tc>
          <w:tcPr>
            <w:tcW w:w="1240" w:type="dxa"/>
            <w:shd w:val="clear" w:color="auto" w:fill="auto"/>
            <w:noWrap/>
            <w:vAlign w:val="bottom"/>
            <w:hideMark/>
          </w:tcPr>
          <w:p w14:paraId="0B7AA1B1" w14:textId="77777777" w:rsidR="000A2A7A" w:rsidRPr="00FD7B0B" w:rsidRDefault="000A2A7A" w:rsidP="000A2A7A">
            <w:pPr>
              <w:spacing w:after="0" w:line="240" w:lineRule="auto"/>
              <w:jc w:val="right"/>
              <w:rPr>
                <w:rFonts w:ascii="Times New Roman" w:eastAsia="Times New Roman" w:hAnsi="Times New Roman"/>
                <w:iCs/>
                <w:lang w:eastAsia="ru-RU"/>
              </w:rPr>
            </w:pPr>
            <w:r w:rsidRPr="00FD7B0B">
              <w:rPr>
                <w:rFonts w:ascii="Times New Roman" w:eastAsia="Times New Roman" w:hAnsi="Times New Roman"/>
                <w:iCs/>
                <w:lang w:eastAsia="ru-RU"/>
              </w:rPr>
              <w:t>211,3</w:t>
            </w:r>
          </w:p>
        </w:tc>
        <w:tc>
          <w:tcPr>
            <w:tcW w:w="1752" w:type="dxa"/>
            <w:shd w:val="clear" w:color="auto" w:fill="auto"/>
            <w:vAlign w:val="bottom"/>
            <w:hideMark/>
          </w:tcPr>
          <w:p w14:paraId="7A99BB9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46,8 </w:t>
            </w:r>
          </w:p>
        </w:tc>
        <w:tc>
          <w:tcPr>
            <w:tcW w:w="1701" w:type="dxa"/>
            <w:shd w:val="clear" w:color="auto" w:fill="auto"/>
            <w:vAlign w:val="bottom"/>
            <w:hideMark/>
          </w:tcPr>
          <w:p w14:paraId="76BDB9AF" w14:textId="3991A55B"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28,5 </w:t>
            </w:r>
          </w:p>
        </w:tc>
      </w:tr>
      <w:tr w:rsidR="00FD7B0B" w:rsidRPr="00FD7B0B" w14:paraId="7982236D" w14:textId="77777777" w:rsidTr="00344DC9">
        <w:trPr>
          <w:trHeight w:val="271"/>
        </w:trPr>
        <w:tc>
          <w:tcPr>
            <w:tcW w:w="9616" w:type="dxa"/>
            <w:gridSpan w:val="5"/>
            <w:shd w:val="clear" w:color="auto" w:fill="auto"/>
            <w:vAlign w:val="center"/>
            <w:hideMark/>
          </w:tcPr>
          <w:p w14:paraId="1F181248" w14:textId="77777777" w:rsidR="000A2A7A" w:rsidRPr="00FD7B0B" w:rsidRDefault="000A2A7A" w:rsidP="000A2A7A">
            <w:pPr>
              <w:spacing w:after="0" w:line="240" w:lineRule="auto"/>
              <w:jc w:val="center"/>
              <w:rPr>
                <w:rFonts w:ascii="Times New Roman" w:eastAsia="Times New Roman" w:hAnsi="Times New Roman"/>
                <w:i/>
                <w:iCs/>
                <w:lang w:eastAsia="ru-RU"/>
              </w:rPr>
            </w:pPr>
            <w:r w:rsidRPr="00FD7B0B">
              <w:rPr>
                <w:rFonts w:ascii="Times New Roman" w:eastAsia="Times New Roman" w:hAnsi="Times New Roman"/>
                <w:i/>
                <w:iCs/>
                <w:lang w:eastAsia="ru-RU"/>
              </w:rPr>
              <w:t xml:space="preserve">налог на прибыль организаций (за исключением КГН), зачисляемого в бюджеты субъектов РФ </w:t>
            </w:r>
          </w:p>
        </w:tc>
      </w:tr>
      <w:tr w:rsidR="00FD7B0B" w:rsidRPr="00FD7B0B" w14:paraId="2499979C" w14:textId="77777777" w:rsidTr="00344DC9">
        <w:trPr>
          <w:trHeight w:val="262"/>
        </w:trPr>
        <w:tc>
          <w:tcPr>
            <w:tcW w:w="3663" w:type="dxa"/>
            <w:shd w:val="clear" w:color="auto" w:fill="auto"/>
            <w:vAlign w:val="center"/>
            <w:hideMark/>
          </w:tcPr>
          <w:p w14:paraId="1096138C"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center"/>
            <w:hideMark/>
          </w:tcPr>
          <w:p w14:paraId="68789A9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2 044,0</w:t>
            </w:r>
          </w:p>
        </w:tc>
        <w:tc>
          <w:tcPr>
            <w:tcW w:w="1240" w:type="dxa"/>
            <w:shd w:val="clear" w:color="auto" w:fill="auto"/>
            <w:noWrap/>
            <w:vAlign w:val="center"/>
            <w:hideMark/>
          </w:tcPr>
          <w:p w14:paraId="75CF0CD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1 444,2</w:t>
            </w:r>
          </w:p>
        </w:tc>
        <w:tc>
          <w:tcPr>
            <w:tcW w:w="1752" w:type="dxa"/>
            <w:shd w:val="clear" w:color="auto" w:fill="auto"/>
            <w:vAlign w:val="bottom"/>
            <w:hideMark/>
          </w:tcPr>
          <w:p w14:paraId="232D3FB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-599,8 </w:t>
            </w:r>
          </w:p>
        </w:tc>
        <w:tc>
          <w:tcPr>
            <w:tcW w:w="1701" w:type="dxa"/>
            <w:shd w:val="clear" w:color="auto" w:fill="auto"/>
            <w:vAlign w:val="bottom"/>
            <w:hideMark/>
          </w:tcPr>
          <w:p w14:paraId="19F3448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-29,3 </w:t>
            </w:r>
          </w:p>
        </w:tc>
      </w:tr>
      <w:tr w:rsidR="00FD7B0B" w:rsidRPr="00FD7B0B" w14:paraId="54033076" w14:textId="77777777" w:rsidTr="00344DC9">
        <w:trPr>
          <w:trHeight w:val="167"/>
        </w:trPr>
        <w:tc>
          <w:tcPr>
            <w:tcW w:w="3663" w:type="dxa"/>
            <w:shd w:val="clear" w:color="auto" w:fill="auto"/>
            <w:noWrap/>
            <w:vAlign w:val="center"/>
            <w:hideMark/>
          </w:tcPr>
          <w:p w14:paraId="335A12F7"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center"/>
            <w:hideMark/>
          </w:tcPr>
          <w:p w14:paraId="219658A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1 875,6</w:t>
            </w:r>
          </w:p>
        </w:tc>
        <w:tc>
          <w:tcPr>
            <w:tcW w:w="1240" w:type="dxa"/>
            <w:shd w:val="clear" w:color="auto" w:fill="auto"/>
            <w:noWrap/>
            <w:vAlign w:val="center"/>
            <w:hideMark/>
          </w:tcPr>
          <w:p w14:paraId="1FD4177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1 221,2</w:t>
            </w:r>
          </w:p>
        </w:tc>
        <w:tc>
          <w:tcPr>
            <w:tcW w:w="1752" w:type="dxa"/>
            <w:shd w:val="clear" w:color="auto" w:fill="auto"/>
            <w:vAlign w:val="bottom"/>
            <w:hideMark/>
          </w:tcPr>
          <w:p w14:paraId="2694584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-654,4 </w:t>
            </w:r>
          </w:p>
        </w:tc>
        <w:tc>
          <w:tcPr>
            <w:tcW w:w="1701" w:type="dxa"/>
            <w:shd w:val="clear" w:color="auto" w:fill="auto"/>
            <w:vAlign w:val="bottom"/>
            <w:hideMark/>
          </w:tcPr>
          <w:p w14:paraId="240AF91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-34,9 </w:t>
            </w:r>
          </w:p>
        </w:tc>
      </w:tr>
      <w:tr w:rsidR="00FD7B0B" w:rsidRPr="00FD7B0B" w14:paraId="4B692B7F" w14:textId="77777777" w:rsidTr="00344DC9">
        <w:trPr>
          <w:trHeight w:val="170"/>
        </w:trPr>
        <w:tc>
          <w:tcPr>
            <w:tcW w:w="3663" w:type="dxa"/>
            <w:shd w:val="clear" w:color="auto" w:fill="auto"/>
            <w:noWrap/>
            <w:vAlign w:val="center"/>
            <w:hideMark/>
          </w:tcPr>
          <w:p w14:paraId="19670CCA"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260" w:type="dxa"/>
            <w:shd w:val="clear" w:color="auto" w:fill="auto"/>
            <w:noWrap/>
            <w:vAlign w:val="center"/>
            <w:hideMark/>
          </w:tcPr>
          <w:p w14:paraId="216266C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164,5</w:t>
            </w:r>
          </w:p>
        </w:tc>
        <w:tc>
          <w:tcPr>
            <w:tcW w:w="1240" w:type="dxa"/>
            <w:shd w:val="clear" w:color="auto" w:fill="auto"/>
            <w:noWrap/>
            <w:vAlign w:val="center"/>
            <w:hideMark/>
          </w:tcPr>
          <w:p w14:paraId="570D4EA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211,3</w:t>
            </w:r>
          </w:p>
        </w:tc>
        <w:tc>
          <w:tcPr>
            <w:tcW w:w="1752" w:type="dxa"/>
            <w:shd w:val="clear" w:color="auto" w:fill="auto"/>
            <w:vAlign w:val="bottom"/>
            <w:hideMark/>
          </w:tcPr>
          <w:p w14:paraId="3490757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46,8 </w:t>
            </w:r>
          </w:p>
        </w:tc>
        <w:tc>
          <w:tcPr>
            <w:tcW w:w="1701" w:type="dxa"/>
            <w:shd w:val="clear" w:color="auto" w:fill="auto"/>
            <w:vAlign w:val="bottom"/>
            <w:hideMark/>
          </w:tcPr>
          <w:p w14:paraId="24F7A45C" w14:textId="23815F9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28,4 </w:t>
            </w:r>
          </w:p>
        </w:tc>
      </w:tr>
      <w:tr w:rsidR="00FD7B0B" w:rsidRPr="00FD7B0B" w14:paraId="220B76A6" w14:textId="77777777" w:rsidTr="00344DC9">
        <w:trPr>
          <w:trHeight w:val="271"/>
        </w:trPr>
        <w:tc>
          <w:tcPr>
            <w:tcW w:w="9616" w:type="dxa"/>
            <w:gridSpan w:val="5"/>
            <w:shd w:val="clear" w:color="auto" w:fill="auto"/>
            <w:vAlign w:val="center"/>
            <w:hideMark/>
          </w:tcPr>
          <w:p w14:paraId="1CB68B51" w14:textId="77777777" w:rsidR="000A2A7A" w:rsidRPr="00FD7B0B" w:rsidRDefault="000A2A7A" w:rsidP="000A2A7A">
            <w:pPr>
              <w:spacing w:after="0" w:line="240" w:lineRule="auto"/>
              <w:jc w:val="center"/>
              <w:rPr>
                <w:rFonts w:ascii="Times New Roman" w:eastAsia="Times New Roman" w:hAnsi="Times New Roman"/>
                <w:i/>
                <w:iCs/>
                <w:lang w:eastAsia="ru-RU"/>
              </w:rPr>
            </w:pPr>
            <w:r w:rsidRPr="00FD7B0B">
              <w:rPr>
                <w:rFonts w:ascii="Times New Roman" w:eastAsia="Times New Roman" w:hAnsi="Times New Roman"/>
                <w:i/>
                <w:iCs/>
                <w:lang w:eastAsia="ru-RU"/>
              </w:rPr>
              <w:t>налог на прибыль организаций КГН, зачисляемого в бюджеты субъектов РФ</w:t>
            </w:r>
          </w:p>
        </w:tc>
      </w:tr>
      <w:tr w:rsidR="00FD7B0B" w:rsidRPr="00FD7B0B" w14:paraId="04291F4E" w14:textId="77777777" w:rsidTr="00344DC9">
        <w:trPr>
          <w:trHeight w:val="129"/>
        </w:trPr>
        <w:tc>
          <w:tcPr>
            <w:tcW w:w="3663" w:type="dxa"/>
            <w:shd w:val="clear" w:color="auto" w:fill="auto"/>
            <w:vAlign w:val="center"/>
            <w:hideMark/>
          </w:tcPr>
          <w:p w14:paraId="2CD37813"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center"/>
            <w:hideMark/>
          </w:tcPr>
          <w:p w14:paraId="47B24C7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0,9</w:t>
            </w:r>
          </w:p>
        </w:tc>
        <w:tc>
          <w:tcPr>
            <w:tcW w:w="1240" w:type="dxa"/>
            <w:shd w:val="clear" w:color="auto" w:fill="auto"/>
            <w:noWrap/>
            <w:vAlign w:val="center"/>
            <w:hideMark/>
          </w:tcPr>
          <w:p w14:paraId="1E2C49B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1752" w:type="dxa"/>
            <w:shd w:val="clear" w:color="auto" w:fill="auto"/>
            <w:vAlign w:val="bottom"/>
            <w:hideMark/>
          </w:tcPr>
          <w:p w14:paraId="2415058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-0,9 </w:t>
            </w:r>
          </w:p>
        </w:tc>
        <w:tc>
          <w:tcPr>
            <w:tcW w:w="1701" w:type="dxa"/>
            <w:shd w:val="clear" w:color="auto" w:fill="auto"/>
            <w:vAlign w:val="bottom"/>
            <w:hideMark/>
          </w:tcPr>
          <w:p w14:paraId="558255F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-99,1 </w:t>
            </w:r>
          </w:p>
        </w:tc>
      </w:tr>
      <w:tr w:rsidR="00FD7B0B" w:rsidRPr="00FD7B0B" w14:paraId="3A234BE8" w14:textId="77777777" w:rsidTr="00344DC9">
        <w:trPr>
          <w:trHeight w:val="176"/>
        </w:trPr>
        <w:tc>
          <w:tcPr>
            <w:tcW w:w="3663" w:type="dxa"/>
            <w:shd w:val="clear" w:color="auto" w:fill="auto"/>
            <w:noWrap/>
            <w:vAlign w:val="center"/>
            <w:hideMark/>
          </w:tcPr>
          <w:p w14:paraId="38A2B1C1"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center"/>
            <w:hideMark/>
          </w:tcPr>
          <w:p w14:paraId="5489F85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0,9</w:t>
            </w:r>
          </w:p>
        </w:tc>
        <w:tc>
          <w:tcPr>
            <w:tcW w:w="1240" w:type="dxa"/>
            <w:shd w:val="clear" w:color="auto" w:fill="auto"/>
            <w:noWrap/>
            <w:vAlign w:val="center"/>
            <w:hideMark/>
          </w:tcPr>
          <w:p w14:paraId="4C097A3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1752" w:type="dxa"/>
            <w:shd w:val="clear" w:color="auto" w:fill="auto"/>
            <w:vAlign w:val="bottom"/>
            <w:hideMark/>
          </w:tcPr>
          <w:p w14:paraId="22A2BB4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-0,9 </w:t>
            </w:r>
          </w:p>
        </w:tc>
        <w:tc>
          <w:tcPr>
            <w:tcW w:w="1701" w:type="dxa"/>
            <w:shd w:val="clear" w:color="auto" w:fill="auto"/>
            <w:vAlign w:val="bottom"/>
            <w:hideMark/>
          </w:tcPr>
          <w:p w14:paraId="57F7026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-100,0 </w:t>
            </w:r>
          </w:p>
        </w:tc>
      </w:tr>
      <w:tr w:rsidR="00FD7B0B" w:rsidRPr="00FD7B0B" w14:paraId="37B2AB3E" w14:textId="77777777" w:rsidTr="00344DC9">
        <w:trPr>
          <w:trHeight w:val="1132"/>
        </w:trPr>
        <w:tc>
          <w:tcPr>
            <w:tcW w:w="9616" w:type="dxa"/>
            <w:gridSpan w:val="5"/>
            <w:shd w:val="clear" w:color="auto" w:fill="auto"/>
            <w:vAlign w:val="center"/>
            <w:hideMark/>
          </w:tcPr>
          <w:p w14:paraId="7723E91B" w14:textId="77777777" w:rsidR="000A2A7A" w:rsidRPr="00FD7B0B" w:rsidRDefault="000A2A7A" w:rsidP="000A2A7A">
            <w:pPr>
              <w:spacing w:after="0" w:line="240" w:lineRule="auto"/>
              <w:jc w:val="center"/>
              <w:rPr>
                <w:rFonts w:ascii="Times New Roman" w:eastAsia="Times New Roman" w:hAnsi="Times New Roman"/>
                <w:i/>
                <w:iCs/>
                <w:lang w:eastAsia="ru-RU"/>
              </w:rPr>
            </w:pPr>
            <w:r w:rsidRPr="00FD7B0B">
              <w:rPr>
                <w:rFonts w:ascii="Times New Roman" w:eastAsia="Times New Roman" w:hAnsi="Times New Roman"/>
                <w:i/>
                <w:iCs/>
                <w:lang w:eastAsia="ru-RU"/>
              </w:rPr>
              <w:lastRenderedPageBreak/>
              <w:t>налог на прибыль организаций, уплаченного налогоплательщиками, которые до 01.01.2023 являлись участниками КГН, подлежащие зачислению в бюджеты субъектов РФ по нормативу, установленному БК РФ, распределяемые уполномоченным органом Федерального казначейства между бюджетами субъектов РФ по нормативам, установленным федеральным законом о федеральном бюджете</w:t>
            </w:r>
            <w:r w:rsidRPr="00FD7B0B">
              <w:rPr>
                <w:rFonts w:ascii="Times New Roman" w:eastAsia="Times New Roman" w:hAnsi="Times New Roman"/>
                <w:bCs/>
                <w:i/>
                <w:iCs/>
                <w:lang w:eastAsia="ru-RU"/>
              </w:rPr>
              <w:t xml:space="preserve"> </w:t>
            </w:r>
          </w:p>
        </w:tc>
      </w:tr>
      <w:tr w:rsidR="00FD7B0B" w:rsidRPr="00FD7B0B" w14:paraId="207FC54C" w14:textId="77777777" w:rsidTr="00344DC9">
        <w:trPr>
          <w:trHeight w:val="129"/>
        </w:trPr>
        <w:tc>
          <w:tcPr>
            <w:tcW w:w="3663" w:type="dxa"/>
            <w:shd w:val="clear" w:color="auto" w:fill="auto"/>
            <w:vAlign w:val="center"/>
            <w:hideMark/>
          </w:tcPr>
          <w:p w14:paraId="5C603BDE"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center"/>
            <w:hideMark/>
          </w:tcPr>
          <w:p w14:paraId="72E5A56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1,4</w:t>
            </w:r>
          </w:p>
        </w:tc>
        <w:tc>
          <w:tcPr>
            <w:tcW w:w="1240" w:type="dxa"/>
            <w:shd w:val="clear" w:color="auto" w:fill="auto"/>
            <w:noWrap/>
            <w:vAlign w:val="center"/>
            <w:hideMark/>
          </w:tcPr>
          <w:p w14:paraId="6F06BCD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1752" w:type="dxa"/>
            <w:shd w:val="clear" w:color="auto" w:fill="auto"/>
            <w:vAlign w:val="bottom"/>
            <w:hideMark/>
          </w:tcPr>
          <w:p w14:paraId="7086E03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-1,4 </w:t>
            </w:r>
          </w:p>
        </w:tc>
        <w:tc>
          <w:tcPr>
            <w:tcW w:w="1701" w:type="dxa"/>
            <w:shd w:val="clear" w:color="auto" w:fill="auto"/>
            <w:vAlign w:val="bottom"/>
            <w:hideMark/>
          </w:tcPr>
          <w:p w14:paraId="015477A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-100,0 </w:t>
            </w:r>
          </w:p>
        </w:tc>
      </w:tr>
      <w:tr w:rsidR="00FD7B0B" w:rsidRPr="00FD7B0B" w14:paraId="31E4812F" w14:textId="77777777" w:rsidTr="00344DC9">
        <w:trPr>
          <w:trHeight w:val="148"/>
        </w:trPr>
        <w:tc>
          <w:tcPr>
            <w:tcW w:w="3663" w:type="dxa"/>
            <w:shd w:val="clear" w:color="auto" w:fill="auto"/>
            <w:noWrap/>
            <w:vAlign w:val="center"/>
            <w:hideMark/>
          </w:tcPr>
          <w:p w14:paraId="60C0B6D8"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center"/>
            <w:hideMark/>
          </w:tcPr>
          <w:p w14:paraId="5C3377B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1,4</w:t>
            </w:r>
          </w:p>
        </w:tc>
        <w:tc>
          <w:tcPr>
            <w:tcW w:w="1240" w:type="dxa"/>
            <w:shd w:val="clear" w:color="auto" w:fill="auto"/>
            <w:noWrap/>
            <w:vAlign w:val="center"/>
            <w:hideMark/>
          </w:tcPr>
          <w:p w14:paraId="3D837CC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1752" w:type="dxa"/>
            <w:shd w:val="clear" w:color="auto" w:fill="auto"/>
            <w:vAlign w:val="bottom"/>
            <w:hideMark/>
          </w:tcPr>
          <w:p w14:paraId="78575A2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-1,4 </w:t>
            </w:r>
          </w:p>
        </w:tc>
        <w:tc>
          <w:tcPr>
            <w:tcW w:w="1701" w:type="dxa"/>
            <w:shd w:val="clear" w:color="auto" w:fill="auto"/>
            <w:vAlign w:val="bottom"/>
            <w:hideMark/>
          </w:tcPr>
          <w:p w14:paraId="4A296A6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-100,0 </w:t>
            </w:r>
          </w:p>
        </w:tc>
      </w:tr>
      <w:tr w:rsidR="00FD7B0B" w:rsidRPr="00FD7B0B" w14:paraId="02D12C3A" w14:textId="77777777" w:rsidTr="00344DC9">
        <w:trPr>
          <w:trHeight w:val="184"/>
        </w:trPr>
        <w:tc>
          <w:tcPr>
            <w:tcW w:w="9616" w:type="dxa"/>
            <w:gridSpan w:val="5"/>
            <w:shd w:val="clear" w:color="auto" w:fill="auto"/>
            <w:vAlign w:val="center"/>
            <w:hideMark/>
          </w:tcPr>
          <w:p w14:paraId="263CBAA6" w14:textId="77777777" w:rsidR="000A2A7A" w:rsidRPr="00FD7B0B" w:rsidRDefault="000A2A7A" w:rsidP="000A2A7A">
            <w:pPr>
              <w:spacing w:after="0" w:line="240" w:lineRule="auto"/>
              <w:jc w:val="center"/>
              <w:rPr>
                <w:rFonts w:ascii="Times New Roman" w:eastAsia="Times New Roman" w:hAnsi="Times New Roman"/>
                <w:bCs/>
                <w:i/>
                <w:iCs/>
                <w:lang w:eastAsia="ru-RU"/>
              </w:rPr>
            </w:pPr>
            <w:r w:rsidRPr="00FD7B0B">
              <w:rPr>
                <w:rFonts w:ascii="Times New Roman" w:eastAsia="Times New Roman" w:hAnsi="Times New Roman"/>
                <w:bCs/>
                <w:i/>
                <w:iCs/>
                <w:lang w:eastAsia="ru-RU"/>
              </w:rPr>
              <w:t>2) налог на имущество организаций, в том числе:</w:t>
            </w:r>
          </w:p>
        </w:tc>
      </w:tr>
      <w:tr w:rsidR="00FD7B0B" w:rsidRPr="00FD7B0B" w14:paraId="2F56F450" w14:textId="77777777" w:rsidTr="00344DC9">
        <w:trPr>
          <w:trHeight w:val="215"/>
        </w:trPr>
        <w:tc>
          <w:tcPr>
            <w:tcW w:w="3663" w:type="dxa"/>
            <w:shd w:val="clear" w:color="auto" w:fill="auto"/>
            <w:vAlign w:val="center"/>
            <w:hideMark/>
          </w:tcPr>
          <w:p w14:paraId="2D9A7035"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center"/>
            <w:hideMark/>
          </w:tcPr>
          <w:p w14:paraId="18CF718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86,0</w:t>
            </w:r>
          </w:p>
        </w:tc>
        <w:tc>
          <w:tcPr>
            <w:tcW w:w="1240" w:type="dxa"/>
            <w:shd w:val="clear" w:color="auto" w:fill="auto"/>
            <w:noWrap/>
            <w:vAlign w:val="center"/>
            <w:hideMark/>
          </w:tcPr>
          <w:p w14:paraId="694240F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513,8</w:t>
            </w:r>
          </w:p>
        </w:tc>
        <w:tc>
          <w:tcPr>
            <w:tcW w:w="1752" w:type="dxa"/>
            <w:shd w:val="clear" w:color="auto" w:fill="auto"/>
            <w:vAlign w:val="bottom"/>
            <w:hideMark/>
          </w:tcPr>
          <w:p w14:paraId="2DC2710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427,8 </w:t>
            </w:r>
          </w:p>
        </w:tc>
        <w:tc>
          <w:tcPr>
            <w:tcW w:w="1701" w:type="dxa"/>
            <w:shd w:val="clear" w:color="auto" w:fill="auto"/>
            <w:vAlign w:val="bottom"/>
            <w:hideMark/>
          </w:tcPr>
          <w:p w14:paraId="1776458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5,9 раза</w:t>
            </w:r>
          </w:p>
        </w:tc>
      </w:tr>
      <w:tr w:rsidR="00FD7B0B" w:rsidRPr="00FD7B0B" w14:paraId="20BE44D9" w14:textId="77777777" w:rsidTr="00344DC9">
        <w:trPr>
          <w:trHeight w:val="234"/>
        </w:trPr>
        <w:tc>
          <w:tcPr>
            <w:tcW w:w="3663" w:type="dxa"/>
            <w:shd w:val="clear" w:color="auto" w:fill="auto"/>
            <w:noWrap/>
            <w:vAlign w:val="center"/>
            <w:hideMark/>
          </w:tcPr>
          <w:p w14:paraId="35E75C7B"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center"/>
            <w:hideMark/>
          </w:tcPr>
          <w:p w14:paraId="07D3B61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55,2</w:t>
            </w:r>
          </w:p>
        </w:tc>
        <w:tc>
          <w:tcPr>
            <w:tcW w:w="1240" w:type="dxa"/>
            <w:shd w:val="clear" w:color="auto" w:fill="auto"/>
            <w:noWrap/>
            <w:vAlign w:val="center"/>
            <w:hideMark/>
          </w:tcPr>
          <w:p w14:paraId="5FFDA7A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119,2</w:t>
            </w:r>
          </w:p>
        </w:tc>
        <w:tc>
          <w:tcPr>
            <w:tcW w:w="1752" w:type="dxa"/>
            <w:shd w:val="clear" w:color="auto" w:fill="auto"/>
            <w:vAlign w:val="bottom"/>
            <w:hideMark/>
          </w:tcPr>
          <w:p w14:paraId="2114E7C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64,0 </w:t>
            </w:r>
          </w:p>
        </w:tc>
        <w:tc>
          <w:tcPr>
            <w:tcW w:w="1701" w:type="dxa"/>
            <w:shd w:val="clear" w:color="auto" w:fill="auto"/>
            <w:vAlign w:val="bottom"/>
            <w:hideMark/>
          </w:tcPr>
          <w:p w14:paraId="3A0D067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2,2 раза</w:t>
            </w:r>
          </w:p>
        </w:tc>
      </w:tr>
      <w:tr w:rsidR="00FD7B0B" w:rsidRPr="00FD7B0B" w14:paraId="3799D501" w14:textId="77777777" w:rsidTr="00344DC9">
        <w:trPr>
          <w:trHeight w:val="123"/>
        </w:trPr>
        <w:tc>
          <w:tcPr>
            <w:tcW w:w="3663" w:type="dxa"/>
            <w:shd w:val="clear" w:color="auto" w:fill="auto"/>
            <w:noWrap/>
            <w:vAlign w:val="center"/>
            <w:hideMark/>
          </w:tcPr>
          <w:p w14:paraId="3E63FA18"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260" w:type="dxa"/>
            <w:shd w:val="clear" w:color="auto" w:fill="auto"/>
            <w:noWrap/>
            <w:vAlign w:val="center"/>
            <w:hideMark/>
          </w:tcPr>
          <w:p w14:paraId="1C7E4C9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30,9</w:t>
            </w:r>
          </w:p>
        </w:tc>
        <w:tc>
          <w:tcPr>
            <w:tcW w:w="1240" w:type="dxa"/>
            <w:shd w:val="clear" w:color="auto" w:fill="auto"/>
            <w:noWrap/>
            <w:vAlign w:val="center"/>
            <w:hideMark/>
          </w:tcPr>
          <w:p w14:paraId="344C85C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393,5</w:t>
            </w:r>
          </w:p>
        </w:tc>
        <w:tc>
          <w:tcPr>
            <w:tcW w:w="1752" w:type="dxa"/>
            <w:shd w:val="clear" w:color="auto" w:fill="auto"/>
            <w:vAlign w:val="bottom"/>
            <w:hideMark/>
          </w:tcPr>
          <w:p w14:paraId="76B5367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362,6 </w:t>
            </w:r>
          </w:p>
        </w:tc>
        <w:tc>
          <w:tcPr>
            <w:tcW w:w="1701" w:type="dxa"/>
            <w:shd w:val="clear" w:color="auto" w:fill="auto"/>
            <w:vAlign w:val="bottom"/>
            <w:hideMark/>
          </w:tcPr>
          <w:p w14:paraId="20F6D01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12,7 раза</w:t>
            </w:r>
          </w:p>
        </w:tc>
      </w:tr>
      <w:tr w:rsidR="00FD7B0B" w:rsidRPr="00FD7B0B" w14:paraId="7E19A4A0" w14:textId="77777777" w:rsidTr="00344DC9">
        <w:trPr>
          <w:trHeight w:val="270"/>
        </w:trPr>
        <w:tc>
          <w:tcPr>
            <w:tcW w:w="9616" w:type="dxa"/>
            <w:gridSpan w:val="5"/>
            <w:shd w:val="clear" w:color="auto" w:fill="auto"/>
            <w:vAlign w:val="center"/>
            <w:hideMark/>
          </w:tcPr>
          <w:p w14:paraId="238D4841" w14:textId="77777777" w:rsidR="000A2A7A" w:rsidRPr="00FD7B0B" w:rsidRDefault="000A2A7A" w:rsidP="000A2A7A">
            <w:pPr>
              <w:spacing w:after="0" w:line="240" w:lineRule="auto"/>
              <w:jc w:val="center"/>
              <w:rPr>
                <w:rFonts w:ascii="Times New Roman" w:eastAsia="Times New Roman" w:hAnsi="Times New Roman"/>
                <w:i/>
                <w:iCs/>
                <w:lang w:eastAsia="ru-RU"/>
              </w:rPr>
            </w:pPr>
            <w:r w:rsidRPr="00FD7B0B">
              <w:rPr>
                <w:rFonts w:ascii="Times New Roman" w:eastAsia="Times New Roman" w:hAnsi="Times New Roman"/>
                <w:i/>
                <w:iCs/>
                <w:lang w:eastAsia="ru-RU"/>
              </w:rPr>
              <w:t xml:space="preserve">налог на имущество организаций по имуществу, не входящему в Единую систему газоснабжения </w:t>
            </w:r>
          </w:p>
        </w:tc>
      </w:tr>
      <w:tr w:rsidR="00FD7B0B" w:rsidRPr="00FD7B0B" w14:paraId="30244348" w14:textId="77777777" w:rsidTr="003B3069">
        <w:trPr>
          <w:trHeight w:val="113"/>
        </w:trPr>
        <w:tc>
          <w:tcPr>
            <w:tcW w:w="3663" w:type="dxa"/>
            <w:shd w:val="clear" w:color="auto" w:fill="auto"/>
            <w:vAlign w:val="center"/>
            <w:hideMark/>
          </w:tcPr>
          <w:p w14:paraId="38CD851D"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center"/>
            <w:hideMark/>
          </w:tcPr>
          <w:p w14:paraId="3F786E1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85,5</w:t>
            </w:r>
          </w:p>
        </w:tc>
        <w:tc>
          <w:tcPr>
            <w:tcW w:w="1240" w:type="dxa"/>
            <w:shd w:val="clear" w:color="auto" w:fill="auto"/>
            <w:noWrap/>
            <w:vAlign w:val="center"/>
            <w:hideMark/>
          </w:tcPr>
          <w:p w14:paraId="0A24704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513,8</w:t>
            </w:r>
          </w:p>
        </w:tc>
        <w:tc>
          <w:tcPr>
            <w:tcW w:w="1752" w:type="dxa"/>
            <w:shd w:val="clear" w:color="auto" w:fill="auto"/>
            <w:vAlign w:val="bottom"/>
            <w:hideMark/>
          </w:tcPr>
          <w:p w14:paraId="32F41A4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428,3 </w:t>
            </w:r>
          </w:p>
        </w:tc>
        <w:tc>
          <w:tcPr>
            <w:tcW w:w="1701" w:type="dxa"/>
            <w:shd w:val="clear" w:color="auto" w:fill="auto"/>
            <w:vAlign w:val="bottom"/>
            <w:hideMark/>
          </w:tcPr>
          <w:p w14:paraId="59A1D2E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в 6,0 раза </w:t>
            </w:r>
          </w:p>
        </w:tc>
      </w:tr>
      <w:tr w:rsidR="00FD7B0B" w:rsidRPr="00FD7B0B" w14:paraId="5F61498F" w14:textId="77777777" w:rsidTr="00344DC9">
        <w:trPr>
          <w:trHeight w:val="136"/>
        </w:trPr>
        <w:tc>
          <w:tcPr>
            <w:tcW w:w="3663" w:type="dxa"/>
            <w:shd w:val="clear" w:color="auto" w:fill="auto"/>
            <w:noWrap/>
            <w:vAlign w:val="center"/>
            <w:hideMark/>
          </w:tcPr>
          <w:p w14:paraId="7A35DB72"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center"/>
            <w:hideMark/>
          </w:tcPr>
          <w:p w14:paraId="7F30B0C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54,7</w:t>
            </w:r>
          </w:p>
        </w:tc>
        <w:tc>
          <w:tcPr>
            <w:tcW w:w="1240" w:type="dxa"/>
            <w:shd w:val="clear" w:color="auto" w:fill="auto"/>
            <w:noWrap/>
            <w:vAlign w:val="center"/>
            <w:hideMark/>
          </w:tcPr>
          <w:p w14:paraId="09F9BE3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119,2</w:t>
            </w:r>
          </w:p>
        </w:tc>
        <w:tc>
          <w:tcPr>
            <w:tcW w:w="1752" w:type="dxa"/>
            <w:shd w:val="clear" w:color="auto" w:fill="auto"/>
            <w:vAlign w:val="bottom"/>
            <w:hideMark/>
          </w:tcPr>
          <w:p w14:paraId="4D02552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64,5 </w:t>
            </w:r>
          </w:p>
        </w:tc>
        <w:tc>
          <w:tcPr>
            <w:tcW w:w="1701" w:type="dxa"/>
            <w:shd w:val="clear" w:color="auto" w:fill="auto"/>
            <w:vAlign w:val="bottom"/>
            <w:hideMark/>
          </w:tcPr>
          <w:p w14:paraId="6D89ED4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2,1 раза</w:t>
            </w:r>
          </w:p>
        </w:tc>
      </w:tr>
      <w:tr w:rsidR="00FD7B0B" w:rsidRPr="00FD7B0B" w14:paraId="36C611D1" w14:textId="77777777" w:rsidTr="00344DC9">
        <w:trPr>
          <w:trHeight w:val="139"/>
        </w:trPr>
        <w:tc>
          <w:tcPr>
            <w:tcW w:w="3663" w:type="dxa"/>
            <w:shd w:val="clear" w:color="auto" w:fill="auto"/>
            <w:noWrap/>
            <w:vAlign w:val="center"/>
            <w:hideMark/>
          </w:tcPr>
          <w:p w14:paraId="324FE1C5"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260" w:type="dxa"/>
            <w:shd w:val="clear" w:color="auto" w:fill="auto"/>
            <w:noWrap/>
            <w:vAlign w:val="center"/>
            <w:hideMark/>
          </w:tcPr>
          <w:p w14:paraId="3D950ED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30,9</w:t>
            </w:r>
          </w:p>
        </w:tc>
        <w:tc>
          <w:tcPr>
            <w:tcW w:w="1240" w:type="dxa"/>
            <w:shd w:val="clear" w:color="auto" w:fill="auto"/>
            <w:noWrap/>
            <w:vAlign w:val="center"/>
            <w:hideMark/>
          </w:tcPr>
          <w:p w14:paraId="1A674AD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393,5</w:t>
            </w:r>
          </w:p>
        </w:tc>
        <w:tc>
          <w:tcPr>
            <w:tcW w:w="1752" w:type="dxa"/>
            <w:shd w:val="clear" w:color="auto" w:fill="auto"/>
            <w:vAlign w:val="bottom"/>
            <w:hideMark/>
          </w:tcPr>
          <w:p w14:paraId="07AFC453" w14:textId="40D98EDF" w:rsidR="000A2A7A" w:rsidRPr="00FD7B0B" w:rsidRDefault="00CE6AA1"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362,6 </w:t>
            </w:r>
          </w:p>
        </w:tc>
        <w:tc>
          <w:tcPr>
            <w:tcW w:w="1701" w:type="dxa"/>
            <w:shd w:val="clear" w:color="auto" w:fill="auto"/>
            <w:vAlign w:val="bottom"/>
            <w:hideMark/>
          </w:tcPr>
          <w:p w14:paraId="7D0B54E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12,7 раза</w:t>
            </w:r>
          </w:p>
        </w:tc>
      </w:tr>
      <w:tr w:rsidR="00FD7B0B" w:rsidRPr="00FD7B0B" w14:paraId="72D9322F" w14:textId="77777777" w:rsidTr="00344DC9">
        <w:trPr>
          <w:trHeight w:val="172"/>
        </w:trPr>
        <w:tc>
          <w:tcPr>
            <w:tcW w:w="9616" w:type="dxa"/>
            <w:gridSpan w:val="5"/>
            <w:shd w:val="clear" w:color="auto" w:fill="auto"/>
            <w:vAlign w:val="center"/>
            <w:hideMark/>
          </w:tcPr>
          <w:p w14:paraId="67A6535E" w14:textId="77777777" w:rsidR="000A2A7A" w:rsidRPr="00FD7B0B" w:rsidRDefault="000A2A7A" w:rsidP="000A2A7A">
            <w:pPr>
              <w:spacing w:after="0" w:line="240" w:lineRule="auto"/>
              <w:jc w:val="center"/>
              <w:rPr>
                <w:rFonts w:ascii="Times New Roman" w:eastAsia="Times New Roman" w:hAnsi="Times New Roman"/>
                <w:i/>
                <w:iCs/>
                <w:lang w:eastAsia="ru-RU"/>
              </w:rPr>
            </w:pPr>
            <w:r w:rsidRPr="00FD7B0B">
              <w:rPr>
                <w:rFonts w:ascii="Times New Roman" w:eastAsia="Times New Roman" w:hAnsi="Times New Roman"/>
                <w:i/>
                <w:iCs/>
                <w:lang w:eastAsia="ru-RU"/>
              </w:rPr>
              <w:t xml:space="preserve">налог на имущество организаций по имуществу, входящему в Единую систему газоснабжения </w:t>
            </w:r>
          </w:p>
        </w:tc>
      </w:tr>
      <w:tr w:rsidR="00FD7B0B" w:rsidRPr="00FD7B0B" w14:paraId="60322663" w14:textId="77777777" w:rsidTr="00344DC9">
        <w:trPr>
          <w:trHeight w:val="190"/>
        </w:trPr>
        <w:tc>
          <w:tcPr>
            <w:tcW w:w="3663" w:type="dxa"/>
            <w:shd w:val="clear" w:color="auto" w:fill="auto"/>
            <w:vAlign w:val="center"/>
            <w:hideMark/>
          </w:tcPr>
          <w:p w14:paraId="11672AA4"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center"/>
            <w:hideMark/>
          </w:tcPr>
          <w:p w14:paraId="3DDB88E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0,5</w:t>
            </w:r>
          </w:p>
        </w:tc>
        <w:tc>
          <w:tcPr>
            <w:tcW w:w="1240" w:type="dxa"/>
            <w:shd w:val="clear" w:color="auto" w:fill="auto"/>
            <w:noWrap/>
            <w:vAlign w:val="center"/>
            <w:hideMark/>
          </w:tcPr>
          <w:p w14:paraId="2A1FF00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1752" w:type="dxa"/>
            <w:shd w:val="clear" w:color="auto" w:fill="auto"/>
            <w:vAlign w:val="bottom"/>
            <w:hideMark/>
          </w:tcPr>
          <w:p w14:paraId="2647AB1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-0,5 </w:t>
            </w:r>
          </w:p>
        </w:tc>
        <w:tc>
          <w:tcPr>
            <w:tcW w:w="1701" w:type="dxa"/>
            <w:shd w:val="clear" w:color="auto" w:fill="auto"/>
            <w:vAlign w:val="bottom"/>
            <w:hideMark/>
          </w:tcPr>
          <w:p w14:paraId="267B387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-100,0 </w:t>
            </w:r>
          </w:p>
        </w:tc>
      </w:tr>
      <w:tr w:rsidR="00FD7B0B" w:rsidRPr="00FD7B0B" w14:paraId="2442D3A9" w14:textId="77777777" w:rsidTr="00344DC9">
        <w:trPr>
          <w:trHeight w:val="208"/>
        </w:trPr>
        <w:tc>
          <w:tcPr>
            <w:tcW w:w="3663" w:type="dxa"/>
            <w:shd w:val="clear" w:color="auto" w:fill="auto"/>
            <w:noWrap/>
            <w:vAlign w:val="center"/>
            <w:hideMark/>
          </w:tcPr>
          <w:p w14:paraId="7EF79926"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center"/>
            <w:hideMark/>
          </w:tcPr>
          <w:p w14:paraId="7BBB4A4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0,5</w:t>
            </w:r>
          </w:p>
        </w:tc>
        <w:tc>
          <w:tcPr>
            <w:tcW w:w="1240" w:type="dxa"/>
            <w:shd w:val="clear" w:color="auto" w:fill="auto"/>
            <w:noWrap/>
            <w:vAlign w:val="center"/>
            <w:hideMark/>
          </w:tcPr>
          <w:p w14:paraId="5B1E63C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1752" w:type="dxa"/>
            <w:shd w:val="clear" w:color="auto" w:fill="auto"/>
            <w:vAlign w:val="bottom"/>
            <w:hideMark/>
          </w:tcPr>
          <w:p w14:paraId="37E6DA9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-0,5 </w:t>
            </w:r>
          </w:p>
        </w:tc>
        <w:tc>
          <w:tcPr>
            <w:tcW w:w="1701" w:type="dxa"/>
            <w:shd w:val="clear" w:color="auto" w:fill="auto"/>
            <w:vAlign w:val="bottom"/>
            <w:hideMark/>
          </w:tcPr>
          <w:p w14:paraId="2E5C415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-100,0 </w:t>
            </w:r>
          </w:p>
        </w:tc>
      </w:tr>
      <w:tr w:rsidR="00FD7B0B" w:rsidRPr="00FD7B0B" w14:paraId="5D70B883" w14:textId="77777777" w:rsidTr="00344DC9">
        <w:trPr>
          <w:trHeight w:val="214"/>
        </w:trPr>
        <w:tc>
          <w:tcPr>
            <w:tcW w:w="9616" w:type="dxa"/>
            <w:gridSpan w:val="5"/>
            <w:shd w:val="clear" w:color="auto" w:fill="auto"/>
            <w:noWrap/>
            <w:vAlign w:val="center"/>
            <w:hideMark/>
          </w:tcPr>
          <w:p w14:paraId="32BED150" w14:textId="77777777" w:rsidR="000A2A7A" w:rsidRPr="00FD7B0B" w:rsidRDefault="000A2A7A" w:rsidP="000A2A7A">
            <w:pPr>
              <w:spacing w:after="0" w:line="240" w:lineRule="auto"/>
              <w:jc w:val="center"/>
              <w:rPr>
                <w:rFonts w:ascii="Times New Roman" w:eastAsia="Times New Roman" w:hAnsi="Times New Roman"/>
                <w:bCs/>
                <w:i/>
                <w:iCs/>
                <w:lang w:eastAsia="ru-RU"/>
              </w:rPr>
            </w:pPr>
            <w:r w:rsidRPr="00FD7B0B">
              <w:rPr>
                <w:rFonts w:ascii="Times New Roman" w:eastAsia="Times New Roman" w:hAnsi="Times New Roman"/>
                <w:bCs/>
                <w:i/>
                <w:iCs/>
                <w:lang w:eastAsia="ru-RU"/>
              </w:rPr>
              <w:t>3) транспортного налога, в том числе:</w:t>
            </w:r>
          </w:p>
        </w:tc>
      </w:tr>
      <w:tr w:rsidR="00FD7B0B" w:rsidRPr="00FD7B0B" w14:paraId="31B2C27A" w14:textId="77777777" w:rsidTr="00344DC9">
        <w:trPr>
          <w:trHeight w:val="103"/>
        </w:trPr>
        <w:tc>
          <w:tcPr>
            <w:tcW w:w="3663" w:type="dxa"/>
            <w:shd w:val="clear" w:color="auto" w:fill="auto"/>
            <w:vAlign w:val="center"/>
            <w:hideMark/>
          </w:tcPr>
          <w:p w14:paraId="48635A3F"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bottom"/>
            <w:hideMark/>
          </w:tcPr>
          <w:p w14:paraId="268A08DE" w14:textId="77777777" w:rsidR="000A2A7A" w:rsidRPr="00FD7B0B" w:rsidRDefault="000A2A7A" w:rsidP="000A2A7A">
            <w:pPr>
              <w:spacing w:after="0" w:line="240" w:lineRule="auto"/>
              <w:jc w:val="center"/>
              <w:rPr>
                <w:rFonts w:ascii="Times New Roman" w:eastAsia="Times New Roman" w:hAnsi="Times New Roman"/>
                <w:iCs/>
                <w:lang w:eastAsia="ru-RU"/>
              </w:rPr>
            </w:pPr>
            <w:r w:rsidRPr="00FD7B0B">
              <w:rPr>
                <w:rFonts w:ascii="Times New Roman" w:eastAsia="Times New Roman" w:hAnsi="Times New Roman"/>
                <w:iCs/>
                <w:lang w:eastAsia="ru-RU"/>
              </w:rPr>
              <w:t>421,0</w:t>
            </w:r>
          </w:p>
        </w:tc>
        <w:tc>
          <w:tcPr>
            <w:tcW w:w="1240" w:type="dxa"/>
            <w:shd w:val="clear" w:color="auto" w:fill="auto"/>
            <w:noWrap/>
            <w:vAlign w:val="bottom"/>
            <w:hideMark/>
          </w:tcPr>
          <w:p w14:paraId="1882E84B" w14:textId="77777777" w:rsidR="000A2A7A" w:rsidRPr="00FD7B0B" w:rsidRDefault="000A2A7A" w:rsidP="000A2A7A">
            <w:pPr>
              <w:spacing w:after="0" w:line="240" w:lineRule="auto"/>
              <w:jc w:val="center"/>
              <w:rPr>
                <w:rFonts w:ascii="Times New Roman" w:eastAsia="Times New Roman" w:hAnsi="Times New Roman"/>
                <w:iCs/>
                <w:lang w:eastAsia="ru-RU"/>
              </w:rPr>
            </w:pPr>
            <w:r w:rsidRPr="00FD7B0B">
              <w:rPr>
                <w:rFonts w:ascii="Times New Roman" w:eastAsia="Times New Roman" w:hAnsi="Times New Roman"/>
                <w:iCs/>
                <w:lang w:eastAsia="ru-RU"/>
              </w:rPr>
              <w:t>333,2</w:t>
            </w:r>
          </w:p>
        </w:tc>
        <w:tc>
          <w:tcPr>
            <w:tcW w:w="1752" w:type="dxa"/>
            <w:shd w:val="clear" w:color="auto" w:fill="auto"/>
            <w:vAlign w:val="bottom"/>
            <w:hideMark/>
          </w:tcPr>
          <w:p w14:paraId="71164F3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-87,8 </w:t>
            </w:r>
          </w:p>
        </w:tc>
        <w:tc>
          <w:tcPr>
            <w:tcW w:w="1701" w:type="dxa"/>
            <w:shd w:val="clear" w:color="auto" w:fill="auto"/>
            <w:vAlign w:val="bottom"/>
          </w:tcPr>
          <w:p w14:paraId="7FE93C1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-20,9</w:t>
            </w:r>
          </w:p>
        </w:tc>
      </w:tr>
      <w:tr w:rsidR="00FD7B0B" w:rsidRPr="00FD7B0B" w14:paraId="379E9769" w14:textId="77777777" w:rsidTr="00344DC9">
        <w:trPr>
          <w:trHeight w:val="108"/>
        </w:trPr>
        <w:tc>
          <w:tcPr>
            <w:tcW w:w="3663" w:type="dxa"/>
            <w:shd w:val="clear" w:color="auto" w:fill="auto"/>
            <w:noWrap/>
            <w:vAlign w:val="center"/>
            <w:hideMark/>
          </w:tcPr>
          <w:p w14:paraId="31DB9BDC"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bottom"/>
            <w:hideMark/>
          </w:tcPr>
          <w:p w14:paraId="50F72315" w14:textId="77777777" w:rsidR="000A2A7A" w:rsidRPr="00FD7B0B" w:rsidRDefault="000A2A7A" w:rsidP="000A2A7A">
            <w:pPr>
              <w:spacing w:after="0" w:line="240" w:lineRule="auto"/>
              <w:jc w:val="center"/>
              <w:rPr>
                <w:rFonts w:ascii="Times New Roman" w:eastAsia="Times New Roman" w:hAnsi="Times New Roman"/>
                <w:iCs/>
                <w:lang w:eastAsia="ru-RU"/>
              </w:rPr>
            </w:pPr>
            <w:r w:rsidRPr="00FD7B0B">
              <w:rPr>
                <w:rFonts w:ascii="Times New Roman" w:eastAsia="Times New Roman" w:hAnsi="Times New Roman"/>
                <w:iCs/>
                <w:lang w:eastAsia="ru-RU"/>
              </w:rPr>
              <w:t>7,2</w:t>
            </w:r>
          </w:p>
        </w:tc>
        <w:tc>
          <w:tcPr>
            <w:tcW w:w="1240" w:type="dxa"/>
            <w:shd w:val="clear" w:color="auto" w:fill="auto"/>
            <w:noWrap/>
            <w:vAlign w:val="bottom"/>
            <w:hideMark/>
          </w:tcPr>
          <w:p w14:paraId="3409C681" w14:textId="77777777" w:rsidR="000A2A7A" w:rsidRPr="00FD7B0B" w:rsidRDefault="000A2A7A" w:rsidP="000A2A7A">
            <w:pPr>
              <w:spacing w:after="0" w:line="240" w:lineRule="auto"/>
              <w:jc w:val="center"/>
              <w:rPr>
                <w:rFonts w:ascii="Times New Roman" w:eastAsia="Times New Roman" w:hAnsi="Times New Roman"/>
                <w:iCs/>
                <w:lang w:eastAsia="ru-RU"/>
              </w:rPr>
            </w:pPr>
            <w:r w:rsidRPr="00FD7B0B">
              <w:rPr>
                <w:rFonts w:ascii="Times New Roman" w:eastAsia="Times New Roman" w:hAnsi="Times New Roman"/>
                <w:iCs/>
                <w:lang w:eastAsia="ru-RU"/>
              </w:rPr>
              <w:t>6,0</w:t>
            </w:r>
          </w:p>
        </w:tc>
        <w:tc>
          <w:tcPr>
            <w:tcW w:w="1752" w:type="dxa"/>
            <w:shd w:val="clear" w:color="auto" w:fill="auto"/>
            <w:vAlign w:val="bottom"/>
            <w:hideMark/>
          </w:tcPr>
          <w:p w14:paraId="76110F9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-1,2 </w:t>
            </w:r>
          </w:p>
        </w:tc>
        <w:tc>
          <w:tcPr>
            <w:tcW w:w="1701" w:type="dxa"/>
            <w:shd w:val="clear" w:color="auto" w:fill="auto"/>
            <w:vAlign w:val="bottom"/>
          </w:tcPr>
          <w:p w14:paraId="078FEDB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-16,7</w:t>
            </w:r>
          </w:p>
        </w:tc>
      </w:tr>
      <w:tr w:rsidR="00FD7B0B" w:rsidRPr="00FD7B0B" w14:paraId="39303B09" w14:textId="77777777" w:rsidTr="00344DC9">
        <w:trPr>
          <w:trHeight w:val="70"/>
        </w:trPr>
        <w:tc>
          <w:tcPr>
            <w:tcW w:w="3663" w:type="dxa"/>
            <w:shd w:val="clear" w:color="auto" w:fill="auto"/>
            <w:noWrap/>
            <w:vAlign w:val="center"/>
            <w:hideMark/>
          </w:tcPr>
          <w:p w14:paraId="5A237780"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260" w:type="dxa"/>
            <w:shd w:val="clear" w:color="auto" w:fill="auto"/>
            <w:noWrap/>
            <w:vAlign w:val="bottom"/>
            <w:hideMark/>
          </w:tcPr>
          <w:p w14:paraId="1DAC59F8" w14:textId="77777777" w:rsidR="000A2A7A" w:rsidRPr="00FD7B0B" w:rsidRDefault="000A2A7A" w:rsidP="000A2A7A">
            <w:pPr>
              <w:spacing w:after="0" w:line="240" w:lineRule="auto"/>
              <w:jc w:val="center"/>
              <w:rPr>
                <w:rFonts w:ascii="Times New Roman" w:eastAsia="Times New Roman" w:hAnsi="Times New Roman"/>
                <w:iCs/>
                <w:lang w:eastAsia="ru-RU"/>
              </w:rPr>
            </w:pPr>
            <w:r w:rsidRPr="00FD7B0B">
              <w:rPr>
                <w:rFonts w:ascii="Times New Roman" w:eastAsia="Times New Roman" w:hAnsi="Times New Roman"/>
                <w:iCs/>
                <w:lang w:eastAsia="ru-RU"/>
              </w:rPr>
              <w:t>412,3</w:t>
            </w:r>
          </w:p>
        </w:tc>
        <w:tc>
          <w:tcPr>
            <w:tcW w:w="1240" w:type="dxa"/>
            <w:shd w:val="clear" w:color="auto" w:fill="auto"/>
            <w:noWrap/>
            <w:vAlign w:val="bottom"/>
            <w:hideMark/>
          </w:tcPr>
          <w:p w14:paraId="78044B38" w14:textId="77777777" w:rsidR="000A2A7A" w:rsidRPr="00FD7B0B" w:rsidRDefault="000A2A7A" w:rsidP="000A2A7A">
            <w:pPr>
              <w:spacing w:after="0" w:line="240" w:lineRule="auto"/>
              <w:jc w:val="center"/>
              <w:rPr>
                <w:rFonts w:ascii="Times New Roman" w:eastAsia="Times New Roman" w:hAnsi="Times New Roman"/>
                <w:iCs/>
                <w:lang w:eastAsia="ru-RU"/>
              </w:rPr>
            </w:pPr>
            <w:r w:rsidRPr="00FD7B0B">
              <w:rPr>
                <w:rFonts w:ascii="Times New Roman" w:eastAsia="Times New Roman" w:hAnsi="Times New Roman"/>
                <w:iCs/>
                <w:lang w:eastAsia="ru-RU"/>
              </w:rPr>
              <w:t>326,9</w:t>
            </w:r>
          </w:p>
        </w:tc>
        <w:tc>
          <w:tcPr>
            <w:tcW w:w="1752" w:type="dxa"/>
            <w:shd w:val="clear" w:color="auto" w:fill="auto"/>
            <w:vAlign w:val="bottom"/>
            <w:hideMark/>
          </w:tcPr>
          <w:p w14:paraId="57C6922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-85,4 </w:t>
            </w:r>
          </w:p>
        </w:tc>
        <w:tc>
          <w:tcPr>
            <w:tcW w:w="1701" w:type="dxa"/>
            <w:shd w:val="clear" w:color="auto" w:fill="auto"/>
            <w:vAlign w:val="bottom"/>
            <w:hideMark/>
          </w:tcPr>
          <w:p w14:paraId="77E2219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-20,7 </w:t>
            </w:r>
          </w:p>
        </w:tc>
      </w:tr>
      <w:tr w:rsidR="00FD7B0B" w:rsidRPr="00FD7B0B" w14:paraId="0E5C0A56" w14:textId="77777777" w:rsidTr="00344DC9">
        <w:trPr>
          <w:trHeight w:val="158"/>
        </w:trPr>
        <w:tc>
          <w:tcPr>
            <w:tcW w:w="9616" w:type="dxa"/>
            <w:gridSpan w:val="5"/>
            <w:shd w:val="clear" w:color="auto" w:fill="auto"/>
            <w:vAlign w:val="center"/>
            <w:hideMark/>
          </w:tcPr>
          <w:p w14:paraId="0A558856" w14:textId="77777777" w:rsidR="000A2A7A" w:rsidRPr="00FD7B0B" w:rsidRDefault="000A2A7A" w:rsidP="000A2A7A">
            <w:pPr>
              <w:spacing w:after="0" w:line="240" w:lineRule="auto"/>
              <w:jc w:val="center"/>
              <w:rPr>
                <w:rFonts w:ascii="Times New Roman" w:eastAsia="Times New Roman" w:hAnsi="Times New Roman"/>
                <w:i/>
                <w:iCs/>
                <w:lang w:eastAsia="ru-RU"/>
              </w:rPr>
            </w:pPr>
            <w:r w:rsidRPr="00FD7B0B">
              <w:rPr>
                <w:rFonts w:ascii="Times New Roman" w:eastAsia="Times New Roman" w:hAnsi="Times New Roman"/>
                <w:i/>
                <w:iCs/>
                <w:lang w:eastAsia="ru-RU"/>
              </w:rPr>
              <w:t xml:space="preserve">транспортный налог с организаций </w:t>
            </w:r>
          </w:p>
        </w:tc>
      </w:tr>
      <w:tr w:rsidR="00FD7B0B" w:rsidRPr="00FD7B0B" w14:paraId="3B332A0C" w14:textId="77777777" w:rsidTr="00344DC9">
        <w:trPr>
          <w:trHeight w:val="176"/>
        </w:trPr>
        <w:tc>
          <w:tcPr>
            <w:tcW w:w="3663" w:type="dxa"/>
            <w:shd w:val="clear" w:color="auto" w:fill="auto"/>
            <w:vAlign w:val="center"/>
            <w:hideMark/>
          </w:tcPr>
          <w:p w14:paraId="7C053677"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center"/>
            <w:hideMark/>
          </w:tcPr>
          <w:p w14:paraId="6F07806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21,0</w:t>
            </w:r>
          </w:p>
        </w:tc>
        <w:tc>
          <w:tcPr>
            <w:tcW w:w="1240" w:type="dxa"/>
            <w:shd w:val="clear" w:color="auto" w:fill="auto"/>
            <w:noWrap/>
            <w:vAlign w:val="center"/>
            <w:hideMark/>
          </w:tcPr>
          <w:p w14:paraId="0DD584A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16,7</w:t>
            </w:r>
          </w:p>
        </w:tc>
        <w:tc>
          <w:tcPr>
            <w:tcW w:w="1752" w:type="dxa"/>
            <w:shd w:val="clear" w:color="auto" w:fill="auto"/>
            <w:vAlign w:val="bottom"/>
            <w:hideMark/>
          </w:tcPr>
          <w:p w14:paraId="534DB12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-4,3 </w:t>
            </w:r>
          </w:p>
        </w:tc>
        <w:tc>
          <w:tcPr>
            <w:tcW w:w="1701" w:type="dxa"/>
            <w:shd w:val="clear" w:color="auto" w:fill="auto"/>
            <w:vAlign w:val="bottom"/>
            <w:hideMark/>
          </w:tcPr>
          <w:p w14:paraId="669347B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-20,5 </w:t>
            </w:r>
          </w:p>
        </w:tc>
      </w:tr>
      <w:tr w:rsidR="00FD7B0B" w:rsidRPr="00FD7B0B" w14:paraId="723C0C39" w14:textId="77777777" w:rsidTr="00344DC9">
        <w:trPr>
          <w:trHeight w:val="194"/>
        </w:trPr>
        <w:tc>
          <w:tcPr>
            <w:tcW w:w="3663" w:type="dxa"/>
            <w:shd w:val="clear" w:color="auto" w:fill="auto"/>
            <w:noWrap/>
            <w:vAlign w:val="center"/>
            <w:hideMark/>
          </w:tcPr>
          <w:p w14:paraId="34E0DDC9"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center"/>
            <w:hideMark/>
          </w:tcPr>
          <w:p w14:paraId="31A9302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6,6</w:t>
            </w:r>
          </w:p>
        </w:tc>
        <w:tc>
          <w:tcPr>
            <w:tcW w:w="1240" w:type="dxa"/>
            <w:shd w:val="clear" w:color="auto" w:fill="auto"/>
            <w:noWrap/>
            <w:vAlign w:val="center"/>
            <w:hideMark/>
          </w:tcPr>
          <w:p w14:paraId="42AA051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5,3</w:t>
            </w:r>
          </w:p>
        </w:tc>
        <w:tc>
          <w:tcPr>
            <w:tcW w:w="1752" w:type="dxa"/>
            <w:shd w:val="clear" w:color="auto" w:fill="auto"/>
            <w:vAlign w:val="bottom"/>
            <w:hideMark/>
          </w:tcPr>
          <w:p w14:paraId="0F93106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-1,3 </w:t>
            </w:r>
          </w:p>
        </w:tc>
        <w:tc>
          <w:tcPr>
            <w:tcW w:w="1701" w:type="dxa"/>
            <w:shd w:val="clear" w:color="auto" w:fill="auto"/>
            <w:vAlign w:val="bottom"/>
            <w:hideMark/>
          </w:tcPr>
          <w:p w14:paraId="17E9750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-19,7 </w:t>
            </w:r>
          </w:p>
        </w:tc>
      </w:tr>
      <w:tr w:rsidR="00FD7B0B" w:rsidRPr="00FD7B0B" w14:paraId="2D1EC35C" w14:textId="77777777" w:rsidTr="00344DC9">
        <w:trPr>
          <w:trHeight w:val="70"/>
        </w:trPr>
        <w:tc>
          <w:tcPr>
            <w:tcW w:w="3663" w:type="dxa"/>
            <w:shd w:val="clear" w:color="auto" w:fill="auto"/>
            <w:noWrap/>
            <w:vAlign w:val="center"/>
            <w:hideMark/>
          </w:tcPr>
          <w:p w14:paraId="04ADCFC3"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260" w:type="dxa"/>
            <w:shd w:val="clear" w:color="auto" w:fill="auto"/>
            <w:noWrap/>
            <w:vAlign w:val="center"/>
            <w:hideMark/>
          </w:tcPr>
          <w:p w14:paraId="1B08126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12,9</w:t>
            </w:r>
          </w:p>
        </w:tc>
        <w:tc>
          <w:tcPr>
            <w:tcW w:w="1240" w:type="dxa"/>
            <w:shd w:val="clear" w:color="auto" w:fill="auto"/>
            <w:noWrap/>
            <w:vAlign w:val="center"/>
            <w:hideMark/>
          </w:tcPr>
          <w:p w14:paraId="1FB7CE5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11,2</w:t>
            </w:r>
          </w:p>
        </w:tc>
        <w:tc>
          <w:tcPr>
            <w:tcW w:w="1752" w:type="dxa"/>
            <w:shd w:val="clear" w:color="auto" w:fill="auto"/>
            <w:vAlign w:val="bottom"/>
            <w:hideMark/>
          </w:tcPr>
          <w:p w14:paraId="6973CB4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-1,7 </w:t>
            </w:r>
          </w:p>
        </w:tc>
        <w:tc>
          <w:tcPr>
            <w:tcW w:w="1701" w:type="dxa"/>
            <w:shd w:val="clear" w:color="auto" w:fill="auto"/>
            <w:vAlign w:val="bottom"/>
            <w:hideMark/>
          </w:tcPr>
          <w:p w14:paraId="1A4A3D4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-13,2 </w:t>
            </w:r>
          </w:p>
        </w:tc>
      </w:tr>
      <w:tr w:rsidR="00FD7B0B" w:rsidRPr="00FD7B0B" w14:paraId="0833CC98" w14:textId="77777777" w:rsidTr="00344DC9">
        <w:trPr>
          <w:trHeight w:val="244"/>
        </w:trPr>
        <w:tc>
          <w:tcPr>
            <w:tcW w:w="9616" w:type="dxa"/>
            <w:gridSpan w:val="5"/>
            <w:shd w:val="clear" w:color="auto" w:fill="auto"/>
            <w:vAlign w:val="center"/>
            <w:hideMark/>
          </w:tcPr>
          <w:p w14:paraId="10397B17" w14:textId="77777777" w:rsidR="000A2A7A" w:rsidRPr="00FD7B0B" w:rsidRDefault="000A2A7A" w:rsidP="000A2A7A">
            <w:pPr>
              <w:spacing w:after="0" w:line="240" w:lineRule="auto"/>
              <w:jc w:val="center"/>
              <w:rPr>
                <w:rFonts w:ascii="Times New Roman" w:eastAsia="Times New Roman" w:hAnsi="Times New Roman"/>
                <w:i/>
                <w:iCs/>
                <w:lang w:eastAsia="ru-RU"/>
              </w:rPr>
            </w:pPr>
            <w:r w:rsidRPr="00FD7B0B">
              <w:rPr>
                <w:rFonts w:ascii="Times New Roman" w:eastAsia="Times New Roman" w:hAnsi="Times New Roman"/>
                <w:i/>
                <w:iCs/>
                <w:lang w:eastAsia="ru-RU"/>
              </w:rPr>
              <w:t xml:space="preserve">транспортный налог с физических лиц </w:t>
            </w:r>
          </w:p>
        </w:tc>
      </w:tr>
      <w:tr w:rsidR="00FD7B0B" w:rsidRPr="00FD7B0B" w14:paraId="01912FEE" w14:textId="77777777" w:rsidTr="00344DC9">
        <w:trPr>
          <w:trHeight w:val="70"/>
        </w:trPr>
        <w:tc>
          <w:tcPr>
            <w:tcW w:w="3663" w:type="dxa"/>
            <w:shd w:val="clear" w:color="auto" w:fill="auto"/>
            <w:vAlign w:val="center"/>
            <w:hideMark/>
          </w:tcPr>
          <w:p w14:paraId="463C8F47"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260" w:type="dxa"/>
            <w:shd w:val="clear" w:color="auto" w:fill="auto"/>
            <w:noWrap/>
            <w:vAlign w:val="center"/>
            <w:hideMark/>
          </w:tcPr>
          <w:p w14:paraId="1C51692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400,0</w:t>
            </w:r>
          </w:p>
        </w:tc>
        <w:tc>
          <w:tcPr>
            <w:tcW w:w="1240" w:type="dxa"/>
            <w:shd w:val="clear" w:color="auto" w:fill="auto"/>
            <w:noWrap/>
            <w:vAlign w:val="center"/>
            <w:hideMark/>
          </w:tcPr>
          <w:p w14:paraId="7A3B557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316,5</w:t>
            </w:r>
          </w:p>
        </w:tc>
        <w:tc>
          <w:tcPr>
            <w:tcW w:w="1752" w:type="dxa"/>
            <w:shd w:val="clear" w:color="auto" w:fill="auto"/>
            <w:vAlign w:val="bottom"/>
            <w:hideMark/>
          </w:tcPr>
          <w:p w14:paraId="514A390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-83,5 </w:t>
            </w:r>
          </w:p>
        </w:tc>
        <w:tc>
          <w:tcPr>
            <w:tcW w:w="1701" w:type="dxa"/>
            <w:shd w:val="clear" w:color="auto" w:fill="auto"/>
            <w:vAlign w:val="bottom"/>
            <w:hideMark/>
          </w:tcPr>
          <w:p w14:paraId="2779AA9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-20,9 </w:t>
            </w:r>
          </w:p>
        </w:tc>
      </w:tr>
      <w:tr w:rsidR="00FD7B0B" w:rsidRPr="00FD7B0B" w14:paraId="69C11A9D" w14:textId="77777777" w:rsidTr="00344DC9">
        <w:trPr>
          <w:trHeight w:val="70"/>
        </w:trPr>
        <w:tc>
          <w:tcPr>
            <w:tcW w:w="3663" w:type="dxa"/>
            <w:shd w:val="clear" w:color="auto" w:fill="auto"/>
            <w:noWrap/>
            <w:vAlign w:val="center"/>
            <w:hideMark/>
          </w:tcPr>
          <w:p w14:paraId="39E87A3A"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 xml:space="preserve">будущих периодов </w:t>
            </w:r>
          </w:p>
        </w:tc>
        <w:tc>
          <w:tcPr>
            <w:tcW w:w="1260" w:type="dxa"/>
            <w:shd w:val="clear" w:color="auto" w:fill="auto"/>
            <w:noWrap/>
            <w:vAlign w:val="center"/>
            <w:hideMark/>
          </w:tcPr>
          <w:p w14:paraId="26A5E8D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0,6</w:t>
            </w:r>
          </w:p>
        </w:tc>
        <w:tc>
          <w:tcPr>
            <w:tcW w:w="1240" w:type="dxa"/>
            <w:shd w:val="clear" w:color="auto" w:fill="auto"/>
            <w:noWrap/>
            <w:vAlign w:val="center"/>
            <w:hideMark/>
          </w:tcPr>
          <w:p w14:paraId="45E1BF3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0,7</w:t>
            </w:r>
          </w:p>
        </w:tc>
        <w:tc>
          <w:tcPr>
            <w:tcW w:w="1752" w:type="dxa"/>
            <w:shd w:val="clear" w:color="auto" w:fill="auto"/>
            <w:vAlign w:val="bottom"/>
            <w:hideMark/>
          </w:tcPr>
          <w:p w14:paraId="007195A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0,1 </w:t>
            </w:r>
          </w:p>
        </w:tc>
        <w:tc>
          <w:tcPr>
            <w:tcW w:w="1701" w:type="dxa"/>
            <w:shd w:val="clear" w:color="auto" w:fill="auto"/>
            <w:vAlign w:val="bottom"/>
            <w:hideMark/>
          </w:tcPr>
          <w:p w14:paraId="2086ADAA" w14:textId="353CDAEE"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16,7 </w:t>
            </w:r>
          </w:p>
        </w:tc>
      </w:tr>
      <w:tr w:rsidR="000A2A7A" w:rsidRPr="00FD7B0B" w14:paraId="0DF64093" w14:textId="77777777" w:rsidTr="00344DC9">
        <w:trPr>
          <w:trHeight w:val="70"/>
        </w:trPr>
        <w:tc>
          <w:tcPr>
            <w:tcW w:w="3663" w:type="dxa"/>
            <w:shd w:val="clear" w:color="auto" w:fill="auto"/>
            <w:noWrap/>
            <w:vAlign w:val="center"/>
            <w:hideMark/>
          </w:tcPr>
          <w:p w14:paraId="3026E5CB"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260" w:type="dxa"/>
            <w:shd w:val="clear" w:color="auto" w:fill="auto"/>
            <w:noWrap/>
            <w:vAlign w:val="center"/>
            <w:hideMark/>
          </w:tcPr>
          <w:p w14:paraId="5F4A7C5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399,4</w:t>
            </w:r>
          </w:p>
        </w:tc>
        <w:tc>
          <w:tcPr>
            <w:tcW w:w="1240" w:type="dxa"/>
            <w:shd w:val="clear" w:color="auto" w:fill="auto"/>
            <w:noWrap/>
            <w:vAlign w:val="center"/>
            <w:hideMark/>
          </w:tcPr>
          <w:p w14:paraId="4791803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315,7</w:t>
            </w:r>
          </w:p>
        </w:tc>
        <w:tc>
          <w:tcPr>
            <w:tcW w:w="1752" w:type="dxa"/>
            <w:shd w:val="clear" w:color="auto" w:fill="auto"/>
            <w:vAlign w:val="bottom"/>
            <w:hideMark/>
          </w:tcPr>
          <w:p w14:paraId="33F0403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-83,7 </w:t>
            </w:r>
          </w:p>
        </w:tc>
        <w:tc>
          <w:tcPr>
            <w:tcW w:w="1701" w:type="dxa"/>
            <w:shd w:val="clear" w:color="auto" w:fill="auto"/>
            <w:vAlign w:val="bottom"/>
            <w:hideMark/>
          </w:tcPr>
          <w:p w14:paraId="22DCDC2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-21,0 </w:t>
            </w:r>
          </w:p>
        </w:tc>
      </w:tr>
    </w:tbl>
    <w:p w14:paraId="3B1805AB" w14:textId="77777777" w:rsidR="000A2A7A" w:rsidRPr="00FD7B0B" w:rsidRDefault="000A2A7A" w:rsidP="000A2A7A">
      <w:pPr>
        <w:pStyle w:val="1a"/>
        <w:widowControl/>
        <w:spacing w:before="0" w:after="0" w:line="240" w:lineRule="auto"/>
        <w:ind w:firstLine="720"/>
        <w:rPr>
          <w:sz w:val="28"/>
          <w:szCs w:val="28"/>
        </w:rPr>
      </w:pPr>
    </w:p>
    <w:p w14:paraId="239E48CA" w14:textId="1338C72F"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В целом дебиторская задолженность на конец 2024 года по сравнению с показателями на начало 2024 года </w:t>
      </w:r>
      <w:r w:rsidR="00FD2B1A" w:rsidRPr="00FD7B0B">
        <w:rPr>
          <w:sz w:val="28"/>
          <w:szCs w:val="28"/>
        </w:rPr>
        <w:t>сократилась</w:t>
      </w:r>
      <w:r w:rsidRPr="00FD7B0B">
        <w:rPr>
          <w:sz w:val="28"/>
          <w:szCs w:val="28"/>
        </w:rPr>
        <w:t xml:space="preserve"> на 245,6 млн.руб. (–7,9 %); задолженность, относящаяся к будущим периодам, </w:t>
      </w:r>
      <w:r w:rsidR="00FD2B1A" w:rsidRPr="00FD7B0B">
        <w:rPr>
          <w:sz w:val="28"/>
          <w:szCs w:val="28"/>
        </w:rPr>
        <w:t>сократилась</w:t>
      </w:r>
      <w:r w:rsidRPr="00FD7B0B">
        <w:rPr>
          <w:sz w:val="28"/>
          <w:szCs w:val="28"/>
        </w:rPr>
        <w:t xml:space="preserve"> на 575,4 млн.руб. (–23,0 %) к показателям задолженности на начало года. </w:t>
      </w:r>
    </w:p>
    <w:p w14:paraId="0A5B34CB" w14:textId="5CE43A54" w:rsidR="000A2A7A" w:rsidRPr="00FD7B0B" w:rsidRDefault="000A2A7A" w:rsidP="000A2A7A">
      <w:pPr>
        <w:pStyle w:val="1a"/>
        <w:widowControl/>
        <w:spacing w:before="0" w:after="0" w:line="240" w:lineRule="auto"/>
        <w:ind w:firstLine="720"/>
        <w:rPr>
          <w:sz w:val="28"/>
          <w:szCs w:val="28"/>
        </w:rPr>
      </w:pPr>
      <w:r w:rsidRPr="00FD7B0B">
        <w:rPr>
          <w:sz w:val="28"/>
          <w:szCs w:val="28"/>
        </w:rPr>
        <w:t>Просроченная дебиторская задолженность на конец 2024 года увеличилась на 322,1 млн.руб. или в 1,5 раза по сравнению с показателями на начало 2024 года, из них з</w:t>
      </w:r>
      <w:r w:rsidR="000560EB" w:rsidRPr="00FD7B0B">
        <w:rPr>
          <w:sz w:val="28"/>
          <w:szCs w:val="28"/>
        </w:rPr>
        <w:t>адолженность в сумме 362,6 млн.</w:t>
      </w:r>
      <w:r w:rsidRPr="00FD7B0B">
        <w:rPr>
          <w:sz w:val="28"/>
          <w:szCs w:val="28"/>
        </w:rPr>
        <w:t>руб. – по налогу на имущество организаций по имуществу, не входящему в Единую систему газоснабжения; в сумме 46,8 млн.руб. – по налогу на прибыль организаций (за исключением КГН), зачисляемого в бюджеты субъектов РФ; при одновременном снижении просроченной дебиторской задолженности по транспортному налогу – в сумме 85,4 млн.руб. (в составе указанного налога основная доля (98,0</w:t>
      </w:r>
      <w:r w:rsidR="003B3069" w:rsidRPr="00FD7B0B">
        <w:rPr>
          <w:sz w:val="28"/>
          <w:szCs w:val="28"/>
        </w:rPr>
        <w:t xml:space="preserve"> </w:t>
      </w:r>
      <w:r w:rsidRPr="00FD7B0B">
        <w:rPr>
          <w:sz w:val="28"/>
          <w:szCs w:val="28"/>
        </w:rPr>
        <w:t xml:space="preserve">%) или 83,7 млн.руб. – просроченная дебиторская задолженность по транспортному налогу </w:t>
      </w:r>
      <w:r w:rsidR="003B3069" w:rsidRPr="00FD7B0B">
        <w:rPr>
          <w:sz w:val="28"/>
          <w:szCs w:val="28"/>
        </w:rPr>
        <w:t xml:space="preserve">с </w:t>
      </w:r>
      <w:r w:rsidRPr="00FD7B0B">
        <w:rPr>
          <w:sz w:val="28"/>
          <w:szCs w:val="28"/>
        </w:rPr>
        <w:t>физических лиц).</w:t>
      </w:r>
    </w:p>
    <w:p w14:paraId="68050731" w14:textId="3A5FC2AC" w:rsidR="000A2A7A" w:rsidRPr="00FD7B0B" w:rsidRDefault="000A2A7A" w:rsidP="000A2A7A">
      <w:pPr>
        <w:pStyle w:val="1a"/>
        <w:widowControl/>
        <w:spacing w:before="0" w:after="0" w:line="240" w:lineRule="auto"/>
        <w:ind w:firstLine="720"/>
        <w:rPr>
          <w:sz w:val="28"/>
          <w:szCs w:val="28"/>
        </w:rPr>
      </w:pPr>
      <w:r w:rsidRPr="00FD7B0B">
        <w:rPr>
          <w:sz w:val="28"/>
          <w:szCs w:val="28"/>
        </w:rPr>
        <w:lastRenderedPageBreak/>
        <w:t>Структуру дебиторской задолженности в областной бюджет по налоговым поступлениям по коду счета 205.11 «Расчеты с плательщиками налогов» на 31.12.2024 составляет задолженность:</w:t>
      </w:r>
    </w:p>
    <w:p w14:paraId="23F1CC87" w14:textId="1EEA1DA6"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по налогу на прибыль организаций (за исключением консолидированных групп налогоплательщиков), зачисляемого в бюджеты субъектов РФ, которая с начала года уменьшилась на 29,3 % и сложилась в сумме 1 444,2 млн.руб., а её удельный вес в общей сумме задолженности по коду счета 205.11 составляет 50,2 %</w:t>
      </w:r>
      <w:r w:rsidR="00C52FB9" w:rsidRPr="00FD7B0B">
        <w:rPr>
          <w:sz w:val="28"/>
          <w:szCs w:val="28"/>
        </w:rPr>
        <w:t>. Просроченная дебиторская задолженность по налогу на 01.01.2025 составила 211,3 млн.руб., из которых по организациям, осуществляющим вид экономической деятельности «Добыча нефти» - 124,6 млн.руб.</w:t>
      </w:r>
      <w:r w:rsidRPr="00FD7B0B">
        <w:rPr>
          <w:sz w:val="28"/>
          <w:szCs w:val="28"/>
        </w:rPr>
        <w:t>;</w:t>
      </w:r>
    </w:p>
    <w:p w14:paraId="0E4015D6" w14:textId="3767B1B1" w:rsidR="000A2A7A" w:rsidRPr="00FD7B0B" w:rsidRDefault="000A2A7A" w:rsidP="00287849">
      <w:pPr>
        <w:pStyle w:val="1a"/>
        <w:numPr>
          <w:ilvl w:val="0"/>
          <w:numId w:val="13"/>
        </w:numPr>
        <w:spacing w:before="0" w:after="0" w:line="240" w:lineRule="auto"/>
        <w:ind w:left="0" w:firstLine="687"/>
        <w:rPr>
          <w:sz w:val="28"/>
          <w:szCs w:val="28"/>
        </w:rPr>
      </w:pPr>
      <w:r w:rsidRPr="00FD7B0B">
        <w:rPr>
          <w:sz w:val="28"/>
          <w:szCs w:val="28"/>
        </w:rPr>
        <w:t>по налогу на имущество организаций в части имущества организаций, не входящ</w:t>
      </w:r>
      <w:r w:rsidR="005A173D" w:rsidRPr="00FD7B0B">
        <w:rPr>
          <w:sz w:val="28"/>
          <w:szCs w:val="28"/>
        </w:rPr>
        <w:t>их</w:t>
      </w:r>
      <w:r w:rsidRPr="00FD7B0B">
        <w:rPr>
          <w:sz w:val="28"/>
          <w:szCs w:val="28"/>
        </w:rPr>
        <w:t xml:space="preserve"> в Единую систему газоснабжения, которая за отчетный период увеличилась в 6,0 раза к показателям на начало 2024 года и составляет 513,8 млн.руб., а её удельный вес в общей сумме задолженности по коду счета 205.11 составляет 17,9 %</w:t>
      </w:r>
      <w:r w:rsidR="00287849" w:rsidRPr="00FD7B0B">
        <w:rPr>
          <w:sz w:val="28"/>
          <w:szCs w:val="28"/>
        </w:rPr>
        <w:t>. Просроченная дебиторская задолженность по налогу на 01.01.2025 составила 393,5 млн.руб., из которых по организациям, осуществляющим вид экономической деятельности «Производство пиломатериалов, кроме профилированных, толщиной более 6 мм; производство непропитанных железнодорожных и трамвайных шпал из древесины» - 365,1 млн.руб. (на 01.01.2024 отсутствовала)</w:t>
      </w:r>
      <w:r w:rsidRPr="00FD7B0B">
        <w:rPr>
          <w:sz w:val="28"/>
          <w:szCs w:val="28"/>
        </w:rPr>
        <w:t>;</w:t>
      </w:r>
    </w:p>
    <w:p w14:paraId="4B926E76" w14:textId="13520953"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по транспортному налогу с физических лиц, которая за отчетный период уменьшилась на 20,9</w:t>
      </w:r>
      <w:r w:rsidR="005A173D" w:rsidRPr="00FD7B0B">
        <w:rPr>
          <w:sz w:val="28"/>
          <w:szCs w:val="28"/>
        </w:rPr>
        <w:t xml:space="preserve"> </w:t>
      </w:r>
      <w:r w:rsidRPr="00FD7B0B">
        <w:rPr>
          <w:sz w:val="28"/>
          <w:szCs w:val="28"/>
        </w:rPr>
        <w:t>% к показателям на начало 2024 года. Удельный вес указанной задолженности в общей сумме задолженности по коду счета 205 составляет 11,0 %.</w:t>
      </w:r>
    </w:p>
    <w:p w14:paraId="4BA475CA" w14:textId="77777777" w:rsidR="000A2A7A" w:rsidRPr="00FD7B0B" w:rsidRDefault="000A2A7A" w:rsidP="000A2A7A">
      <w:pPr>
        <w:pStyle w:val="1a"/>
        <w:spacing w:before="0" w:after="0" w:line="240" w:lineRule="auto"/>
        <w:ind w:firstLine="687"/>
        <w:rPr>
          <w:sz w:val="28"/>
          <w:szCs w:val="28"/>
        </w:rPr>
      </w:pPr>
      <w:r w:rsidRPr="00FD7B0B">
        <w:rPr>
          <w:sz w:val="28"/>
          <w:szCs w:val="28"/>
        </w:rPr>
        <w:t>В целом сложившиеся показатели просроченной дебиторской задолженности на 01.01.2025 свидетельствуют о наличии потенциальных резервов при исполнении доходной части областного бюджета.</w:t>
      </w:r>
    </w:p>
    <w:p w14:paraId="7AD770FF" w14:textId="77777777" w:rsidR="000A2A7A" w:rsidRPr="00FD7B0B" w:rsidRDefault="000A2A7A" w:rsidP="000A2A7A">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Прогнозируемые объемы поступлений </w:t>
      </w:r>
      <w:r w:rsidRPr="00FD7B0B">
        <w:rPr>
          <w:rFonts w:ascii="Times New Roman" w:hAnsi="Times New Roman"/>
          <w:sz w:val="28"/>
          <w:szCs w:val="28"/>
          <w:u w:val="single"/>
        </w:rPr>
        <w:t>неналоговых доходов</w:t>
      </w:r>
      <w:r w:rsidRPr="00FD7B0B">
        <w:rPr>
          <w:rFonts w:ascii="Times New Roman" w:hAnsi="Times New Roman"/>
          <w:sz w:val="28"/>
          <w:szCs w:val="28"/>
        </w:rPr>
        <w:t xml:space="preserve"> рассчитываются главными администраторами доходов в соответствии с требованиями постановления Правительства РФ от 23.06.2016 № 574 «Об общих требованиях к методике прогнозирования поступлений доходов в бюджеты бюджетной системы Российской Федерации» на основании утвержденных методик прогнозирования поступления доходов в бюджетную систему РФ.</w:t>
      </w:r>
    </w:p>
    <w:p w14:paraId="3616D528" w14:textId="1F08FF04"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8. За отчетный период </w:t>
      </w:r>
      <w:r w:rsidRPr="00FD7B0B">
        <w:rPr>
          <w:sz w:val="28"/>
          <w:szCs w:val="28"/>
          <w:u w:val="single"/>
        </w:rPr>
        <w:t>доходы от использования имущества, находящегося в государственной собственности</w:t>
      </w:r>
      <w:r w:rsidRPr="00FD7B0B">
        <w:rPr>
          <w:sz w:val="28"/>
          <w:szCs w:val="28"/>
        </w:rPr>
        <w:t>, поступили в областной бюджет в сумме 192,3 млн.руб. что на 38,0 млн.руб.(–16,5</w:t>
      </w:r>
      <w:r w:rsidR="00C5162F" w:rsidRPr="00FD7B0B">
        <w:rPr>
          <w:sz w:val="28"/>
          <w:szCs w:val="28"/>
        </w:rPr>
        <w:t xml:space="preserve"> </w:t>
      </w:r>
      <w:r w:rsidRPr="00FD7B0B">
        <w:rPr>
          <w:sz w:val="28"/>
          <w:szCs w:val="28"/>
        </w:rPr>
        <w:t>%) меньше годового план 2024 года (230,3 млн.руб.). По сравнению с 2023 годом (79,1 млн.руб.) указанные поступления увеличились на 113,2 млн.руб. или в 2,4 раза.</w:t>
      </w:r>
    </w:p>
    <w:p w14:paraId="24FC3660" w14:textId="7D6F3BE6" w:rsidR="000A2A7A" w:rsidRPr="00FD7B0B" w:rsidRDefault="000A2A7A" w:rsidP="000A2A7A">
      <w:pPr>
        <w:pStyle w:val="1a"/>
        <w:widowControl/>
        <w:spacing w:before="0" w:after="0" w:line="240" w:lineRule="auto"/>
        <w:ind w:firstLine="720"/>
        <w:rPr>
          <w:sz w:val="28"/>
          <w:szCs w:val="28"/>
        </w:rPr>
      </w:pPr>
      <w:r w:rsidRPr="00FD7B0B">
        <w:rPr>
          <w:sz w:val="28"/>
          <w:szCs w:val="28"/>
        </w:rPr>
        <w:t>Прогноз поступления указанных доходов в 2024 году с учетом динамики поступлений в целом увеличен на 186,6 млн.руб. в части таких платежей:</w:t>
      </w:r>
    </w:p>
    <w:p w14:paraId="7ABEC85A" w14:textId="2F59CF75" w:rsidR="000A2A7A" w:rsidRPr="00FD7B0B" w:rsidRDefault="000A2A7A" w:rsidP="000A2A7A">
      <w:pPr>
        <w:pStyle w:val="1a"/>
        <w:widowControl/>
        <w:spacing w:before="0" w:after="0" w:line="240" w:lineRule="auto"/>
        <w:ind w:firstLine="720"/>
        <w:rPr>
          <w:sz w:val="28"/>
          <w:szCs w:val="28"/>
        </w:rPr>
      </w:pPr>
      <w:r w:rsidRPr="00FD7B0B">
        <w:rPr>
          <w:sz w:val="28"/>
          <w:szCs w:val="28"/>
        </w:rPr>
        <w:t>1) от государственных унитарных предприятий Архангельской области увеличен: в апреле на 50,4 млн.руб. (областной закон от 27.04.2024 № 89-7-ОЗ), в сентябре на 7,9 млн.руб. (областной закон от 26.09.2024 № 126-10-ОЗ), что в результате составляет 65,6 млн.руб.;</w:t>
      </w:r>
    </w:p>
    <w:p w14:paraId="04192FD7" w14:textId="77777777" w:rsidR="000A2A7A" w:rsidRPr="00FD7B0B" w:rsidRDefault="000A2A7A" w:rsidP="000A2A7A">
      <w:pPr>
        <w:pStyle w:val="1a"/>
        <w:spacing w:before="0" w:after="0" w:line="240" w:lineRule="auto"/>
        <w:ind w:firstLine="709"/>
        <w:rPr>
          <w:sz w:val="28"/>
          <w:szCs w:val="28"/>
        </w:rPr>
      </w:pPr>
      <w:r w:rsidRPr="00FD7B0B">
        <w:rPr>
          <w:sz w:val="28"/>
          <w:szCs w:val="28"/>
        </w:rPr>
        <w:lastRenderedPageBreak/>
        <w:t>2) поступления доходов в виде дивидендов по акциям, принадлежащим Архангельской области… увеличен в сентябре на 128,3 млн.руб. (областной закон от 26.09.2024 № 126-10-ОЗ), что в результате составляет 137,2 млн.руб.</w:t>
      </w:r>
    </w:p>
    <w:p w14:paraId="554D0A6B"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В целом годовой план поступления доходов от использования имущества, находящегося в государственной собственности с учетом указанных корректировок составил 230,3 млн.руб.</w:t>
      </w:r>
    </w:p>
    <w:p w14:paraId="0795975F"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Основная доля доходов от использования имущества, находящегося в государственной собственности, поступившая за отчетный период, администрируется министерством имущественных отношений Архангельской области (далее – Минимущество) или 180,6 млн.руб. (93,9 %), из которых:</w:t>
      </w:r>
    </w:p>
    <w:p w14:paraId="10DCCB97" w14:textId="590C2937" w:rsidR="000A2A7A" w:rsidRPr="00FD7B0B" w:rsidRDefault="000A2A7A" w:rsidP="000A2A7A">
      <w:pPr>
        <w:pStyle w:val="1a"/>
        <w:widowControl/>
        <w:spacing w:before="0" w:after="0" w:line="240" w:lineRule="auto"/>
        <w:ind w:firstLine="720"/>
        <w:rPr>
          <w:sz w:val="28"/>
          <w:szCs w:val="28"/>
        </w:rPr>
      </w:pPr>
      <w:r w:rsidRPr="00FD7B0B">
        <w:rPr>
          <w:sz w:val="28"/>
          <w:szCs w:val="28"/>
        </w:rPr>
        <w:t>1) доходы от перечисления части прибыли, остающейся после уплаты налогов и иных обязательных платежей государственных унитарных предприятий Архангельской области составили 65,6 млн.руб. или 100,0</w:t>
      </w:r>
      <w:r w:rsidR="00BD75DE" w:rsidRPr="00FD7B0B">
        <w:rPr>
          <w:sz w:val="28"/>
          <w:szCs w:val="28"/>
        </w:rPr>
        <w:t xml:space="preserve"> </w:t>
      </w:r>
      <w:r w:rsidRPr="00FD7B0B">
        <w:rPr>
          <w:sz w:val="28"/>
          <w:szCs w:val="28"/>
        </w:rPr>
        <w:t>% показател</w:t>
      </w:r>
      <w:r w:rsidR="00BD75DE" w:rsidRPr="00FD7B0B">
        <w:rPr>
          <w:sz w:val="28"/>
          <w:szCs w:val="28"/>
        </w:rPr>
        <w:t>ей</w:t>
      </w:r>
      <w:r w:rsidRPr="00FD7B0B">
        <w:rPr>
          <w:sz w:val="28"/>
          <w:szCs w:val="28"/>
        </w:rPr>
        <w:t xml:space="preserve"> годового кассового плана, в том числе: от ГУП АО «Фармация» – 62,6 млн.руб. и ГУП АО «Фонд имущества и инвестиций» – 3,0 млн.руб. плановые назначения 2024 года исполнены в полном объеме. Поступления за 2024 год превышают аналогичные поступления за 2023 год (27,7 млн.руб.) в 2,4 раза.</w:t>
      </w:r>
    </w:p>
    <w:p w14:paraId="017B1C8D" w14:textId="0E8D52F5"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Согласно Сведениям по дебиторской и кредиторской задолженности Минимущества (ф. 0503169) (далее – Отчет </w:t>
      </w:r>
      <w:r w:rsidR="00741493" w:rsidRPr="00FD7B0B">
        <w:rPr>
          <w:sz w:val="28"/>
          <w:szCs w:val="28"/>
        </w:rPr>
        <w:t xml:space="preserve">по </w:t>
      </w:r>
      <w:r w:rsidRPr="00FD7B0B">
        <w:rPr>
          <w:sz w:val="28"/>
          <w:szCs w:val="28"/>
        </w:rPr>
        <w:t>ф. 0503169) дебиторская задолженность в части доходов от перечисления части прибыли, остающейся после уплаты налогов и иных обязательных платежей государственных унитарных предприятий Архангельской области на 01.01.2024 и на 31.12.2024 отсутствует.</w:t>
      </w:r>
    </w:p>
    <w:p w14:paraId="6B0305A4" w14:textId="09BC0EB8" w:rsidR="000A2A7A" w:rsidRPr="00FD7B0B" w:rsidRDefault="000A2A7A" w:rsidP="000A2A7A">
      <w:pPr>
        <w:pStyle w:val="1a"/>
        <w:widowControl/>
        <w:spacing w:before="0" w:after="0" w:line="240" w:lineRule="auto"/>
        <w:ind w:firstLine="720"/>
        <w:rPr>
          <w:sz w:val="28"/>
          <w:szCs w:val="28"/>
        </w:rPr>
      </w:pPr>
      <w:r w:rsidRPr="00FD7B0B">
        <w:rPr>
          <w:sz w:val="28"/>
          <w:szCs w:val="28"/>
        </w:rPr>
        <w:t>2) доходы в виде прибыли, приходящейся на доли в уставных (складочных) капиталах хозяйственных товариществ и обществ, или дивидендов по акциям</w:t>
      </w:r>
      <w:r w:rsidRPr="00FD7B0B">
        <w:rPr>
          <w:sz w:val="28"/>
          <w:szCs w:val="28"/>
          <w:u w:val="single"/>
        </w:rPr>
        <w:t>,</w:t>
      </w:r>
      <w:r w:rsidRPr="00FD7B0B">
        <w:rPr>
          <w:sz w:val="28"/>
          <w:szCs w:val="28"/>
        </w:rPr>
        <w:t xml:space="preserve"> принадлежащим Архангельской области, на основании решения акционеров о выплате дивидендов по итогам 2023 года получены в областной бюджет в сумме 102,4 млн.руб., что составляет 74,6</w:t>
      </w:r>
      <w:r w:rsidR="00741493" w:rsidRPr="00FD7B0B">
        <w:rPr>
          <w:sz w:val="28"/>
          <w:szCs w:val="28"/>
        </w:rPr>
        <w:t xml:space="preserve"> </w:t>
      </w:r>
      <w:r w:rsidRPr="00FD7B0B">
        <w:rPr>
          <w:sz w:val="28"/>
          <w:szCs w:val="28"/>
        </w:rPr>
        <w:t>% от показатели годового кассового плана. Доходы поступили от АО «Агрофирма «Вельская» – 57,5 млн.руб., АО «Котласское ДРСУ» – 2,3 млн.руб., АО «2-ой Архангельский объединенный авиаотряд» – 32,0 млн.руб., АО «Центр расчетов» – 0,6 млн.руб., АО «Гарантийная организация Архангельской области» – 10,0 млн.руб.</w:t>
      </w:r>
    </w:p>
    <w:p w14:paraId="6DFC5C2A" w14:textId="4DDD88C7"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Согласно Отчету </w:t>
      </w:r>
      <w:r w:rsidR="00741493" w:rsidRPr="00FD7B0B">
        <w:rPr>
          <w:sz w:val="28"/>
          <w:szCs w:val="28"/>
        </w:rPr>
        <w:t xml:space="preserve">по </w:t>
      </w:r>
      <w:r w:rsidRPr="00FD7B0B">
        <w:rPr>
          <w:sz w:val="28"/>
          <w:szCs w:val="28"/>
        </w:rPr>
        <w:t xml:space="preserve">ф. 0503169 дебиторская задолженность в части доходов в виде прибыли… или дивидендов по акциям на 01.01.2024 отсутствовала, а по состоянию на 31.12.2024 составляет 34,8 млн.руб. и является просроченной. Указанная задолженность сложилась у АО «2-ой Архангельский объединенный авиаотряд» ввиду отсутствия собственных средств. В части указанной задолженности Минимуществом ведется работа с должником. До 01 июля задолженность будет погашена </w:t>
      </w:r>
      <w:r w:rsidR="00741493" w:rsidRPr="00FD7B0B">
        <w:rPr>
          <w:sz w:val="28"/>
          <w:szCs w:val="28"/>
        </w:rPr>
        <w:t xml:space="preserve">согласно </w:t>
      </w:r>
      <w:r w:rsidRPr="00FD7B0B">
        <w:rPr>
          <w:sz w:val="28"/>
          <w:szCs w:val="28"/>
        </w:rPr>
        <w:t>гарантийно</w:t>
      </w:r>
      <w:r w:rsidR="00741493" w:rsidRPr="00FD7B0B">
        <w:rPr>
          <w:sz w:val="28"/>
          <w:szCs w:val="28"/>
        </w:rPr>
        <w:t>му</w:t>
      </w:r>
      <w:r w:rsidRPr="00FD7B0B">
        <w:rPr>
          <w:sz w:val="28"/>
          <w:szCs w:val="28"/>
        </w:rPr>
        <w:t xml:space="preserve"> письм</w:t>
      </w:r>
      <w:r w:rsidR="00741493" w:rsidRPr="00FD7B0B">
        <w:rPr>
          <w:sz w:val="28"/>
          <w:szCs w:val="28"/>
        </w:rPr>
        <w:t>у</w:t>
      </w:r>
      <w:r w:rsidRPr="00FD7B0B">
        <w:rPr>
          <w:sz w:val="28"/>
          <w:szCs w:val="28"/>
        </w:rPr>
        <w:t xml:space="preserve"> должника.</w:t>
      </w:r>
    </w:p>
    <w:p w14:paraId="056898BE" w14:textId="1989A11A"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3) </w:t>
      </w:r>
      <w:r w:rsidRPr="00FD7B0B">
        <w:rPr>
          <w:sz w:val="28"/>
          <w:szCs w:val="28"/>
          <w:u w:val="single"/>
        </w:rPr>
        <w:t>доходы, получаемых в виде арендной либо иной платы</w:t>
      </w:r>
      <w:r w:rsidRPr="00FD7B0B">
        <w:rPr>
          <w:sz w:val="28"/>
          <w:szCs w:val="28"/>
        </w:rPr>
        <w:t xml:space="preserve">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w:t>
      </w:r>
      <w:r w:rsidRPr="00FD7B0B">
        <w:rPr>
          <w:sz w:val="28"/>
          <w:szCs w:val="28"/>
        </w:rPr>
        <w:lastRenderedPageBreak/>
        <w:t xml:space="preserve">числе казенных), поступили в сумме 20,3 млн.руб. или 124,5 % от показателей годового кассового плана, что превышает аналогичные поступления 2023 года в 1,3 раза (15,6 млн.руб.) </w:t>
      </w:r>
      <w:r w:rsidR="00F21FB5" w:rsidRPr="00FD7B0B">
        <w:rPr>
          <w:sz w:val="28"/>
          <w:szCs w:val="28"/>
        </w:rPr>
        <w:t>и</w:t>
      </w:r>
      <w:r w:rsidRPr="00FD7B0B">
        <w:rPr>
          <w:sz w:val="28"/>
          <w:szCs w:val="28"/>
        </w:rPr>
        <w:t xml:space="preserve"> обусловлено ростом аренды по земельным участкам и имуществу, находящегося в оперативном управлении.</w:t>
      </w:r>
    </w:p>
    <w:p w14:paraId="18B870A4" w14:textId="12151299"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 xml:space="preserve">Информация о дебиторской задолженности по данным Отчета </w:t>
      </w:r>
      <w:r w:rsidR="00F21FB5" w:rsidRPr="00FD7B0B">
        <w:rPr>
          <w:rFonts w:ascii="Times New Roman" w:hAnsi="Times New Roman"/>
          <w:sz w:val="28"/>
          <w:szCs w:val="28"/>
        </w:rPr>
        <w:t xml:space="preserve">по </w:t>
      </w:r>
      <w:r w:rsidRPr="00FD7B0B">
        <w:rPr>
          <w:rFonts w:ascii="Times New Roman" w:hAnsi="Times New Roman"/>
          <w:sz w:val="28"/>
          <w:szCs w:val="28"/>
        </w:rPr>
        <w:t>ф. 0503169 Минимущества на 01.01.2024 и на 31.12.2024 по счетам бюджетного учета в части отдельных видов доходов от использования имущества, представлена в таблице</w:t>
      </w:r>
      <w:r w:rsidR="006E6954" w:rsidRPr="00FD7B0B">
        <w:rPr>
          <w:rFonts w:ascii="Times New Roman" w:hAnsi="Times New Roman"/>
          <w:sz w:val="28"/>
          <w:szCs w:val="28"/>
        </w:rPr>
        <w:t xml:space="preserve"> 36</w:t>
      </w:r>
      <w:r w:rsidR="00F21FB5" w:rsidRPr="00FD7B0B">
        <w:rPr>
          <w:rFonts w:ascii="Times New Roman" w:hAnsi="Times New Roman"/>
          <w:sz w:val="28"/>
          <w:szCs w:val="28"/>
        </w:rPr>
        <w:t>.</w:t>
      </w:r>
    </w:p>
    <w:p w14:paraId="76C5FF38" w14:textId="77777777" w:rsidR="000A2A7A" w:rsidRPr="00FD7B0B" w:rsidRDefault="000A2A7A" w:rsidP="000A2A7A">
      <w:pPr>
        <w:spacing w:after="0" w:line="240" w:lineRule="auto"/>
        <w:ind w:firstLine="709"/>
        <w:jc w:val="both"/>
        <w:rPr>
          <w:rFonts w:ascii="Times New Roman" w:hAnsi="Times New Roman"/>
          <w:b/>
          <w:noProof/>
          <w:sz w:val="24"/>
          <w:szCs w:val="24"/>
        </w:rPr>
      </w:pPr>
    </w:p>
    <w:p w14:paraId="24DCF7AA" w14:textId="77777777" w:rsidR="000A2A7A" w:rsidRPr="00FD7B0B" w:rsidRDefault="000A2A7A" w:rsidP="000A2A7A">
      <w:pPr>
        <w:spacing w:after="0" w:line="240" w:lineRule="auto"/>
        <w:rPr>
          <w:rFonts w:ascii="Times New Roman" w:hAnsi="Times New Roman"/>
          <w:sz w:val="24"/>
          <w:szCs w:val="24"/>
        </w:rPr>
      </w:pPr>
      <w:r w:rsidRPr="00FD7B0B">
        <w:rPr>
          <w:rFonts w:ascii="Times New Roman" w:hAnsi="Times New Roman"/>
          <w:bCs/>
          <w:sz w:val="24"/>
          <w:szCs w:val="24"/>
        </w:rPr>
        <w:t xml:space="preserve">Таблица </w:t>
      </w:r>
      <w:r w:rsidRPr="00FD7B0B">
        <w:rPr>
          <w:rFonts w:ascii="Times New Roman" w:hAnsi="Times New Roman"/>
          <w:bCs/>
          <w:noProof/>
          <w:sz w:val="24"/>
          <w:szCs w:val="24"/>
        </w:rPr>
        <w:fldChar w:fldCharType="begin"/>
      </w:r>
      <w:r w:rsidRPr="00FD7B0B">
        <w:rPr>
          <w:rFonts w:ascii="Times New Roman" w:hAnsi="Times New Roman"/>
          <w:bCs/>
          <w:noProof/>
          <w:sz w:val="24"/>
          <w:szCs w:val="24"/>
        </w:rPr>
        <w:instrText xml:space="preserve"> SEQ Таблица \* ARABIC </w:instrText>
      </w:r>
      <w:r w:rsidRPr="00FD7B0B">
        <w:rPr>
          <w:rFonts w:ascii="Times New Roman" w:hAnsi="Times New Roman"/>
          <w:bCs/>
          <w:noProof/>
          <w:sz w:val="24"/>
          <w:szCs w:val="24"/>
        </w:rPr>
        <w:fldChar w:fldCharType="separate"/>
      </w:r>
      <w:r w:rsidR="002959CD" w:rsidRPr="00FD7B0B">
        <w:rPr>
          <w:rFonts w:ascii="Times New Roman" w:hAnsi="Times New Roman"/>
          <w:bCs/>
          <w:noProof/>
          <w:sz w:val="24"/>
          <w:szCs w:val="24"/>
        </w:rPr>
        <w:t>36</w:t>
      </w:r>
      <w:r w:rsidRPr="00FD7B0B">
        <w:rPr>
          <w:rFonts w:ascii="Times New Roman" w:hAnsi="Times New Roman"/>
          <w:bCs/>
          <w:noProof/>
          <w:sz w:val="24"/>
          <w:szCs w:val="24"/>
        </w:rPr>
        <w:fldChar w:fldCharType="end"/>
      </w:r>
      <w:r w:rsidRPr="00FD7B0B">
        <w:rPr>
          <w:rFonts w:ascii="Times New Roman" w:hAnsi="Times New Roman"/>
          <w:bCs/>
          <w:sz w:val="24"/>
          <w:szCs w:val="24"/>
        </w:rPr>
        <w:t xml:space="preserve">. </w:t>
      </w:r>
      <w:r w:rsidRPr="00FD7B0B">
        <w:rPr>
          <w:rFonts w:ascii="Times New Roman" w:hAnsi="Times New Roman"/>
          <w:sz w:val="24"/>
          <w:szCs w:val="24"/>
        </w:rPr>
        <w:t>Дебиторская задолженность по счету 205 «Расчеты по доходам» в части отдельных видов доходов от использования имущества на 01.01.2024 и на 31.12.2024, согласно отчету Минимущества (ф. 0503169), млн.руб.</w:t>
      </w:r>
    </w:p>
    <w:tbl>
      <w:tblPr>
        <w:tblW w:w="9923"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4820"/>
        <w:gridCol w:w="708"/>
        <w:gridCol w:w="1133"/>
        <w:gridCol w:w="1135"/>
        <w:gridCol w:w="851"/>
        <w:gridCol w:w="1276"/>
      </w:tblGrid>
      <w:tr w:rsidR="00FD7B0B" w:rsidRPr="00FD7B0B" w14:paraId="3435734B" w14:textId="77777777" w:rsidTr="000A2A7A">
        <w:trPr>
          <w:trHeight w:val="578"/>
          <w:tblHeader/>
        </w:trPr>
        <w:tc>
          <w:tcPr>
            <w:tcW w:w="5528" w:type="dxa"/>
            <w:gridSpan w:val="2"/>
            <w:shd w:val="clear" w:color="auto" w:fill="auto"/>
            <w:vAlign w:val="center"/>
            <w:hideMark/>
          </w:tcPr>
          <w:p w14:paraId="4C15F306"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Наименование показателя / счет учета</w:t>
            </w:r>
          </w:p>
        </w:tc>
        <w:tc>
          <w:tcPr>
            <w:tcW w:w="1133" w:type="dxa"/>
            <w:vAlign w:val="center"/>
          </w:tcPr>
          <w:p w14:paraId="011904DA" w14:textId="77777777" w:rsidR="000A2A7A" w:rsidRPr="00FD7B0B" w:rsidRDefault="000A2A7A" w:rsidP="000A2A7A">
            <w:pPr>
              <w:spacing w:after="0" w:line="240" w:lineRule="auto"/>
              <w:ind w:left="-109" w:right="-108"/>
              <w:jc w:val="center"/>
              <w:rPr>
                <w:rFonts w:ascii="Times New Roman" w:eastAsia="Times New Roman" w:hAnsi="Times New Roman"/>
                <w:lang w:eastAsia="ru-RU"/>
              </w:rPr>
            </w:pPr>
            <w:r w:rsidRPr="00FD7B0B">
              <w:rPr>
                <w:rFonts w:ascii="Times New Roman" w:eastAsia="Times New Roman" w:hAnsi="Times New Roman"/>
                <w:lang w:eastAsia="ru-RU"/>
              </w:rPr>
              <w:t>на 01.01.2024 млн.руб.</w:t>
            </w:r>
          </w:p>
        </w:tc>
        <w:tc>
          <w:tcPr>
            <w:tcW w:w="1135" w:type="dxa"/>
            <w:vAlign w:val="center"/>
          </w:tcPr>
          <w:p w14:paraId="37DBC03D" w14:textId="77777777" w:rsidR="000A2A7A" w:rsidRPr="00FD7B0B" w:rsidRDefault="000A2A7A" w:rsidP="000A2A7A">
            <w:pPr>
              <w:spacing w:after="0" w:line="240" w:lineRule="auto"/>
              <w:ind w:left="-107" w:right="-108"/>
              <w:jc w:val="center"/>
              <w:rPr>
                <w:rFonts w:ascii="Times New Roman" w:eastAsia="Times New Roman" w:hAnsi="Times New Roman"/>
                <w:lang w:eastAsia="ru-RU"/>
              </w:rPr>
            </w:pPr>
            <w:r w:rsidRPr="00FD7B0B">
              <w:rPr>
                <w:rFonts w:ascii="Times New Roman" w:eastAsia="Times New Roman" w:hAnsi="Times New Roman"/>
                <w:lang w:eastAsia="ru-RU"/>
              </w:rPr>
              <w:t>на 31.12.2024 млн.руб.</w:t>
            </w:r>
          </w:p>
        </w:tc>
        <w:tc>
          <w:tcPr>
            <w:tcW w:w="2127" w:type="dxa"/>
            <w:gridSpan w:val="2"/>
            <w:shd w:val="clear" w:color="auto" w:fill="auto"/>
            <w:vAlign w:val="center"/>
            <w:hideMark/>
          </w:tcPr>
          <w:p w14:paraId="046AC1FA" w14:textId="77777777" w:rsidR="000A2A7A" w:rsidRPr="00FD7B0B" w:rsidRDefault="000A2A7A" w:rsidP="000A2A7A">
            <w:pPr>
              <w:spacing w:after="0" w:line="240" w:lineRule="auto"/>
              <w:ind w:left="-107" w:right="-108"/>
              <w:jc w:val="center"/>
              <w:rPr>
                <w:rFonts w:ascii="Times New Roman" w:eastAsia="Times New Roman" w:hAnsi="Times New Roman"/>
                <w:lang w:eastAsia="ru-RU"/>
              </w:rPr>
            </w:pPr>
            <w:r w:rsidRPr="00FD7B0B">
              <w:rPr>
                <w:rFonts w:ascii="Times New Roman" w:eastAsia="Times New Roman" w:hAnsi="Times New Roman"/>
                <w:lang w:eastAsia="ru-RU"/>
              </w:rPr>
              <w:t>Изменение</w:t>
            </w:r>
          </w:p>
          <w:p w14:paraId="0EA03C49" w14:textId="77777777" w:rsidR="000A2A7A" w:rsidRPr="00FD7B0B" w:rsidRDefault="000A2A7A" w:rsidP="000A2A7A">
            <w:pPr>
              <w:spacing w:after="0" w:line="240" w:lineRule="auto"/>
              <w:ind w:left="-107" w:right="-108"/>
              <w:jc w:val="center"/>
              <w:rPr>
                <w:rFonts w:ascii="Times New Roman" w:eastAsia="Times New Roman" w:hAnsi="Times New Roman"/>
                <w:lang w:eastAsia="ru-RU"/>
              </w:rPr>
            </w:pPr>
            <w:r w:rsidRPr="00FD7B0B">
              <w:rPr>
                <w:rFonts w:ascii="Times New Roman" w:eastAsia="Times New Roman" w:hAnsi="Times New Roman"/>
                <w:lang w:eastAsia="ru-RU"/>
              </w:rPr>
              <w:t>за 2024 год</w:t>
            </w:r>
          </w:p>
        </w:tc>
      </w:tr>
      <w:tr w:rsidR="00FD7B0B" w:rsidRPr="00FD7B0B" w14:paraId="55AFB5F6" w14:textId="77777777" w:rsidTr="000A2A7A">
        <w:trPr>
          <w:trHeight w:val="96"/>
          <w:tblHeader/>
        </w:trPr>
        <w:tc>
          <w:tcPr>
            <w:tcW w:w="4820" w:type="dxa"/>
            <w:shd w:val="clear" w:color="auto" w:fill="auto"/>
            <w:vAlign w:val="center"/>
            <w:hideMark/>
          </w:tcPr>
          <w:p w14:paraId="0194D59F"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А</w:t>
            </w:r>
          </w:p>
        </w:tc>
        <w:tc>
          <w:tcPr>
            <w:tcW w:w="708" w:type="dxa"/>
            <w:shd w:val="clear" w:color="auto" w:fill="auto"/>
            <w:vAlign w:val="center"/>
            <w:hideMark/>
          </w:tcPr>
          <w:p w14:paraId="45D3F247" w14:textId="30028E7D" w:rsidR="000A2A7A" w:rsidRPr="00FD7B0B" w:rsidRDefault="00F21FB5"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Б</w:t>
            </w:r>
          </w:p>
        </w:tc>
        <w:tc>
          <w:tcPr>
            <w:tcW w:w="1133" w:type="dxa"/>
            <w:vAlign w:val="center"/>
          </w:tcPr>
          <w:p w14:paraId="6F026C80"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1135" w:type="dxa"/>
            <w:vAlign w:val="center"/>
          </w:tcPr>
          <w:p w14:paraId="4B096695"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851" w:type="dxa"/>
            <w:shd w:val="clear" w:color="auto" w:fill="auto"/>
            <w:vAlign w:val="center"/>
            <w:hideMark/>
          </w:tcPr>
          <w:p w14:paraId="42B1342D"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3=2-1, млн.руб.</w:t>
            </w:r>
          </w:p>
        </w:tc>
        <w:tc>
          <w:tcPr>
            <w:tcW w:w="1276" w:type="dxa"/>
            <w:shd w:val="clear" w:color="auto" w:fill="auto"/>
            <w:vAlign w:val="center"/>
            <w:hideMark/>
          </w:tcPr>
          <w:p w14:paraId="232B7838" w14:textId="77777777" w:rsidR="000A2A7A" w:rsidRPr="00FD7B0B" w:rsidRDefault="000A2A7A"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4=2/1*100-100%</w:t>
            </w:r>
          </w:p>
        </w:tc>
      </w:tr>
      <w:tr w:rsidR="00FD7B0B" w:rsidRPr="00FD7B0B" w14:paraId="353F2B7A" w14:textId="77777777" w:rsidTr="000A2A7A">
        <w:trPr>
          <w:trHeight w:val="147"/>
        </w:trPr>
        <w:tc>
          <w:tcPr>
            <w:tcW w:w="4820" w:type="dxa"/>
            <w:shd w:val="clear" w:color="auto" w:fill="auto"/>
            <w:vAlign w:val="bottom"/>
            <w:hideMark/>
          </w:tcPr>
          <w:p w14:paraId="50E4925B" w14:textId="77777777" w:rsidR="000A2A7A" w:rsidRPr="00FD7B0B" w:rsidRDefault="000A2A7A" w:rsidP="000A2A7A">
            <w:pPr>
              <w:spacing w:after="0" w:line="240" w:lineRule="auto"/>
              <w:ind w:right="-108"/>
              <w:rPr>
                <w:rFonts w:ascii="Times New Roman" w:eastAsia="Times New Roman" w:hAnsi="Times New Roman"/>
                <w:lang w:eastAsia="ru-RU"/>
              </w:rPr>
            </w:pPr>
            <w:r w:rsidRPr="00FD7B0B">
              <w:rPr>
                <w:rFonts w:ascii="Times New Roman" w:eastAsia="Times New Roman" w:hAnsi="Times New Roman"/>
                <w:lang w:eastAsia="ru-RU"/>
              </w:rPr>
              <w:t>Доходы от использования имущества, из них:</w:t>
            </w:r>
          </w:p>
        </w:tc>
        <w:tc>
          <w:tcPr>
            <w:tcW w:w="708" w:type="dxa"/>
            <w:vMerge w:val="restart"/>
            <w:shd w:val="clear" w:color="auto" w:fill="auto"/>
            <w:vAlign w:val="center"/>
            <w:hideMark/>
          </w:tcPr>
          <w:p w14:paraId="6BCF8DCA" w14:textId="77777777" w:rsidR="000A2A7A" w:rsidRPr="00FD7B0B" w:rsidRDefault="000A2A7A" w:rsidP="000A2A7A">
            <w:pPr>
              <w:spacing w:after="0" w:line="240" w:lineRule="auto"/>
              <w:ind w:left="-249" w:right="-109"/>
              <w:jc w:val="right"/>
              <w:rPr>
                <w:rFonts w:ascii="Times New Roman" w:eastAsia="Times New Roman" w:hAnsi="Times New Roman"/>
                <w:lang w:eastAsia="ru-RU"/>
              </w:rPr>
            </w:pPr>
            <w:r w:rsidRPr="00FD7B0B">
              <w:rPr>
                <w:rFonts w:ascii="Times New Roman" w:eastAsia="Times New Roman" w:hAnsi="Times New Roman"/>
                <w:lang w:eastAsia="ru-RU"/>
              </w:rPr>
              <w:t>205.00</w:t>
            </w:r>
          </w:p>
        </w:tc>
        <w:tc>
          <w:tcPr>
            <w:tcW w:w="1133" w:type="dxa"/>
            <w:vAlign w:val="bottom"/>
          </w:tcPr>
          <w:p w14:paraId="147F6B5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37,0</w:t>
            </w:r>
          </w:p>
        </w:tc>
        <w:tc>
          <w:tcPr>
            <w:tcW w:w="1135" w:type="dxa"/>
            <w:vAlign w:val="bottom"/>
          </w:tcPr>
          <w:p w14:paraId="7745538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346,6</w:t>
            </w:r>
          </w:p>
        </w:tc>
        <w:tc>
          <w:tcPr>
            <w:tcW w:w="851" w:type="dxa"/>
            <w:shd w:val="clear" w:color="auto" w:fill="auto"/>
            <w:vAlign w:val="bottom"/>
            <w:hideMark/>
          </w:tcPr>
          <w:p w14:paraId="39A3207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 xml:space="preserve">309,7 </w:t>
            </w:r>
          </w:p>
        </w:tc>
        <w:tc>
          <w:tcPr>
            <w:tcW w:w="1276" w:type="dxa"/>
            <w:shd w:val="clear" w:color="auto" w:fill="auto"/>
            <w:vAlign w:val="bottom"/>
            <w:hideMark/>
          </w:tcPr>
          <w:p w14:paraId="4222345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 xml:space="preserve">в 9,4 раза </w:t>
            </w:r>
          </w:p>
        </w:tc>
      </w:tr>
      <w:tr w:rsidR="00FD7B0B" w:rsidRPr="00FD7B0B" w14:paraId="01617C1B" w14:textId="77777777" w:rsidTr="000A2A7A">
        <w:trPr>
          <w:trHeight w:val="147"/>
        </w:trPr>
        <w:tc>
          <w:tcPr>
            <w:tcW w:w="4820" w:type="dxa"/>
            <w:shd w:val="clear" w:color="auto" w:fill="auto"/>
            <w:vAlign w:val="bottom"/>
          </w:tcPr>
          <w:p w14:paraId="5373A56F" w14:textId="77777777" w:rsidR="000A2A7A" w:rsidRPr="00FD7B0B" w:rsidRDefault="000A2A7A" w:rsidP="000A2A7A">
            <w:pPr>
              <w:spacing w:after="0" w:line="240" w:lineRule="auto"/>
              <w:ind w:right="-108" w:firstLine="176"/>
              <w:rPr>
                <w:rFonts w:ascii="Times New Roman" w:eastAsia="Times New Roman" w:hAnsi="Times New Roman"/>
                <w:i/>
                <w:lang w:eastAsia="ru-RU"/>
              </w:rPr>
            </w:pPr>
            <w:r w:rsidRPr="00FD7B0B">
              <w:rPr>
                <w:rFonts w:ascii="Times New Roman" w:eastAsia="Times New Roman" w:hAnsi="Times New Roman"/>
                <w:i/>
                <w:lang w:eastAsia="ru-RU"/>
              </w:rPr>
              <w:t>будущих периодов</w:t>
            </w:r>
          </w:p>
        </w:tc>
        <w:tc>
          <w:tcPr>
            <w:tcW w:w="708" w:type="dxa"/>
            <w:vMerge/>
            <w:shd w:val="clear" w:color="auto" w:fill="auto"/>
            <w:vAlign w:val="bottom"/>
          </w:tcPr>
          <w:p w14:paraId="169E836B" w14:textId="77777777" w:rsidR="000A2A7A" w:rsidRPr="00FD7B0B" w:rsidRDefault="000A2A7A" w:rsidP="000A2A7A">
            <w:pPr>
              <w:spacing w:after="0" w:line="240" w:lineRule="auto"/>
              <w:ind w:left="-249" w:right="-109"/>
              <w:jc w:val="right"/>
              <w:rPr>
                <w:rFonts w:ascii="Times New Roman" w:eastAsia="Times New Roman" w:hAnsi="Times New Roman"/>
                <w:lang w:eastAsia="ru-RU"/>
              </w:rPr>
            </w:pPr>
          </w:p>
        </w:tc>
        <w:tc>
          <w:tcPr>
            <w:tcW w:w="1133" w:type="dxa"/>
            <w:vAlign w:val="bottom"/>
          </w:tcPr>
          <w:p w14:paraId="5A246F85"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33,0</w:t>
            </w:r>
          </w:p>
        </w:tc>
        <w:tc>
          <w:tcPr>
            <w:tcW w:w="1135" w:type="dxa"/>
            <w:vAlign w:val="bottom"/>
          </w:tcPr>
          <w:p w14:paraId="42D71E61"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308,6</w:t>
            </w:r>
          </w:p>
        </w:tc>
        <w:tc>
          <w:tcPr>
            <w:tcW w:w="851" w:type="dxa"/>
            <w:shd w:val="clear" w:color="auto" w:fill="auto"/>
            <w:vAlign w:val="bottom"/>
          </w:tcPr>
          <w:p w14:paraId="51B539A4"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275,6</w:t>
            </w:r>
          </w:p>
        </w:tc>
        <w:tc>
          <w:tcPr>
            <w:tcW w:w="1276" w:type="dxa"/>
            <w:shd w:val="clear" w:color="auto" w:fill="auto"/>
            <w:vAlign w:val="bottom"/>
          </w:tcPr>
          <w:p w14:paraId="30713094"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в 9,3 раза</w:t>
            </w:r>
          </w:p>
        </w:tc>
      </w:tr>
      <w:tr w:rsidR="00FD7B0B" w:rsidRPr="00FD7B0B" w14:paraId="7E1BA4D2" w14:textId="77777777" w:rsidTr="000A2A7A">
        <w:trPr>
          <w:trHeight w:val="147"/>
        </w:trPr>
        <w:tc>
          <w:tcPr>
            <w:tcW w:w="4820" w:type="dxa"/>
            <w:shd w:val="clear" w:color="auto" w:fill="auto"/>
            <w:vAlign w:val="bottom"/>
          </w:tcPr>
          <w:p w14:paraId="13E2BF39" w14:textId="77777777" w:rsidR="000A2A7A" w:rsidRPr="00FD7B0B" w:rsidRDefault="000A2A7A" w:rsidP="000A2A7A">
            <w:pPr>
              <w:spacing w:after="0" w:line="240" w:lineRule="auto"/>
              <w:ind w:right="-108" w:firstLine="176"/>
              <w:rPr>
                <w:rFonts w:ascii="Times New Roman" w:eastAsia="Times New Roman" w:hAnsi="Times New Roman"/>
                <w:i/>
                <w:lang w:eastAsia="ru-RU"/>
              </w:rPr>
            </w:pPr>
            <w:r w:rsidRPr="00FD7B0B">
              <w:rPr>
                <w:rFonts w:ascii="Times New Roman" w:eastAsia="Times New Roman" w:hAnsi="Times New Roman"/>
                <w:i/>
                <w:lang w:eastAsia="ru-RU"/>
              </w:rPr>
              <w:t>просроченная</w:t>
            </w:r>
          </w:p>
        </w:tc>
        <w:tc>
          <w:tcPr>
            <w:tcW w:w="708" w:type="dxa"/>
            <w:vMerge/>
            <w:shd w:val="clear" w:color="auto" w:fill="auto"/>
            <w:vAlign w:val="bottom"/>
          </w:tcPr>
          <w:p w14:paraId="7CCEB603" w14:textId="77777777" w:rsidR="000A2A7A" w:rsidRPr="00FD7B0B" w:rsidRDefault="000A2A7A" w:rsidP="000A2A7A">
            <w:pPr>
              <w:spacing w:after="0" w:line="240" w:lineRule="auto"/>
              <w:ind w:left="-249" w:right="-109"/>
              <w:jc w:val="right"/>
              <w:rPr>
                <w:rFonts w:ascii="Times New Roman" w:eastAsia="Times New Roman" w:hAnsi="Times New Roman"/>
                <w:lang w:eastAsia="ru-RU"/>
              </w:rPr>
            </w:pPr>
          </w:p>
        </w:tc>
        <w:tc>
          <w:tcPr>
            <w:tcW w:w="1133" w:type="dxa"/>
            <w:vAlign w:val="bottom"/>
          </w:tcPr>
          <w:p w14:paraId="2129814C"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4,0</w:t>
            </w:r>
          </w:p>
        </w:tc>
        <w:tc>
          <w:tcPr>
            <w:tcW w:w="1135" w:type="dxa"/>
            <w:vAlign w:val="bottom"/>
          </w:tcPr>
          <w:p w14:paraId="50520791"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39,4</w:t>
            </w:r>
          </w:p>
        </w:tc>
        <w:tc>
          <w:tcPr>
            <w:tcW w:w="851" w:type="dxa"/>
            <w:shd w:val="clear" w:color="auto" w:fill="auto"/>
            <w:vAlign w:val="bottom"/>
          </w:tcPr>
          <w:p w14:paraId="75F92009"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35,5</w:t>
            </w:r>
          </w:p>
        </w:tc>
        <w:tc>
          <w:tcPr>
            <w:tcW w:w="1276" w:type="dxa"/>
            <w:shd w:val="clear" w:color="auto" w:fill="auto"/>
            <w:vAlign w:val="bottom"/>
          </w:tcPr>
          <w:p w14:paraId="714EFBB8"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в 9,9 раза</w:t>
            </w:r>
          </w:p>
        </w:tc>
      </w:tr>
      <w:tr w:rsidR="00FD7B0B" w:rsidRPr="00FD7B0B" w14:paraId="1EB26DD4" w14:textId="77777777" w:rsidTr="000A2A7A">
        <w:trPr>
          <w:trHeight w:val="915"/>
        </w:trPr>
        <w:tc>
          <w:tcPr>
            <w:tcW w:w="4820" w:type="dxa"/>
            <w:shd w:val="clear" w:color="auto" w:fill="auto"/>
            <w:vAlign w:val="bottom"/>
            <w:hideMark/>
          </w:tcPr>
          <w:p w14:paraId="058F0A8C" w14:textId="77777777" w:rsidR="000A2A7A" w:rsidRPr="00FD7B0B" w:rsidRDefault="000A2A7A" w:rsidP="000A2A7A">
            <w:pPr>
              <w:spacing w:after="0" w:line="240" w:lineRule="auto"/>
              <w:ind w:right="-108"/>
              <w:rPr>
                <w:rFonts w:ascii="Times New Roman" w:eastAsia="Times New Roman" w:hAnsi="Times New Roman"/>
                <w:lang w:eastAsia="ru-RU"/>
              </w:rPr>
            </w:pPr>
            <w:r w:rsidRPr="00FD7B0B">
              <w:rPr>
                <w:rFonts w:ascii="Times New Roman" w:eastAsia="Times New Roman" w:hAnsi="Times New Roman"/>
                <w:lang w:eastAsia="ru-RU"/>
              </w:rPr>
              <w:t xml:space="preserve">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РФ..., из них: </w:t>
            </w:r>
          </w:p>
        </w:tc>
        <w:tc>
          <w:tcPr>
            <w:tcW w:w="708" w:type="dxa"/>
            <w:vMerge w:val="restart"/>
            <w:shd w:val="clear" w:color="auto" w:fill="auto"/>
            <w:vAlign w:val="center"/>
            <w:hideMark/>
          </w:tcPr>
          <w:p w14:paraId="5B9452E2" w14:textId="77777777" w:rsidR="000A2A7A" w:rsidRPr="00FD7B0B" w:rsidRDefault="000A2A7A" w:rsidP="000A2A7A">
            <w:pPr>
              <w:spacing w:after="0" w:line="240" w:lineRule="auto"/>
              <w:ind w:left="-108" w:right="-137"/>
              <w:jc w:val="center"/>
              <w:rPr>
                <w:rFonts w:ascii="Times New Roman" w:eastAsia="Times New Roman" w:hAnsi="Times New Roman"/>
                <w:lang w:eastAsia="ru-RU"/>
              </w:rPr>
            </w:pPr>
            <w:r w:rsidRPr="00FD7B0B">
              <w:rPr>
                <w:rFonts w:ascii="Times New Roman" w:eastAsia="Times New Roman" w:hAnsi="Times New Roman"/>
                <w:lang w:eastAsia="ru-RU"/>
              </w:rPr>
              <w:t>205.23</w:t>
            </w:r>
          </w:p>
        </w:tc>
        <w:tc>
          <w:tcPr>
            <w:tcW w:w="1133" w:type="dxa"/>
            <w:vAlign w:val="bottom"/>
          </w:tcPr>
          <w:p w14:paraId="643C808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24,9</w:t>
            </w:r>
          </w:p>
        </w:tc>
        <w:tc>
          <w:tcPr>
            <w:tcW w:w="1135" w:type="dxa"/>
            <w:vAlign w:val="bottom"/>
          </w:tcPr>
          <w:p w14:paraId="001B2EA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301,7</w:t>
            </w:r>
          </w:p>
        </w:tc>
        <w:tc>
          <w:tcPr>
            <w:tcW w:w="851" w:type="dxa"/>
            <w:shd w:val="clear" w:color="auto" w:fill="auto"/>
            <w:vAlign w:val="bottom"/>
            <w:hideMark/>
          </w:tcPr>
          <w:p w14:paraId="2DDAA42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 xml:space="preserve">276,8 </w:t>
            </w:r>
          </w:p>
        </w:tc>
        <w:tc>
          <w:tcPr>
            <w:tcW w:w="1276" w:type="dxa"/>
            <w:shd w:val="clear" w:color="auto" w:fill="auto"/>
            <w:vAlign w:val="bottom"/>
            <w:hideMark/>
          </w:tcPr>
          <w:p w14:paraId="37D9197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 xml:space="preserve">в 12,1 раза </w:t>
            </w:r>
          </w:p>
        </w:tc>
      </w:tr>
      <w:tr w:rsidR="00FD7B0B" w:rsidRPr="00FD7B0B" w14:paraId="78A15663" w14:textId="77777777" w:rsidTr="000A2A7A">
        <w:trPr>
          <w:trHeight w:val="231"/>
        </w:trPr>
        <w:tc>
          <w:tcPr>
            <w:tcW w:w="4820" w:type="dxa"/>
            <w:shd w:val="clear" w:color="auto" w:fill="auto"/>
            <w:vAlign w:val="bottom"/>
          </w:tcPr>
          <w:p w14:paraId="3E2C2D11" w14:textId="77777777" w:rsidR="000A2A7A" w:rsidRPr="00FD7B0B" w:rsidRDefault="000A2A7A" w:rsidP="000A2A7A">
            <w:pPr>
              <w:spacing w:after="0" w:line="240" w:lineRule="auto"/>
              <w:ind w:right="-108" w:firstLine="176"/>
              <w:rPr>
                <w:rFonts w:ascii="Times New Roman" w:eastAsia="Times New Roman" w:hAnsi="Times New Roman"/>
                <w:i/>
                <w:lang w:eastAsia="ru-RU"/>
              </w:rPr>
            </w:pPr>
            <w:r w:rsidRPr="00FD7B0B">
              <w:rPr>
                <w:rFonts w:ascii="Times New Roman" w:eastAsia="Times New Roman" w:hAnsi="Times New Roman"/>
                <w:i/>
                <w:lang w:eastAsia="ru-RU"/>
              </w:rPr>
              <w:t>будущих периодов</w:t>
            </w:r>
          </w:p>
        </w:tc>
        <w:tc>
          <w:tcPr>
            <w:tcW w:w="708" w:type="dxa"/>
            <w:vMerge/>
            <w:shd w:val="clear" w:color="auto" w:fill="auto"/>
            <w:vAlign w:val="bottom"/>
          </w:tcPr>
          <w:p w14:paraId="3FC9B0DB" w14:textId="77777777" w:rsidR="000A2A7A" w:rsidRPr="00FD7B0B" w:rsidRDefault="000A2A7A" w:rsidP="000A2A7A">
            <w:pPr>
              <w:spacing w:after="0" w:line="240" w:lineRule="auto"/>
              <w:ind w:left="-108" w:right="-137"/>
              <w:jc w:val="center"/>
              <w:rPr>
                <w:rFonts w:ascii="Times New Roman" w:eastAsia="Times New Roman" w:hAnsi="Times New Roman"/>
                <w:lang w:eastAsia="ru-RU"/>
              </w:rPr>
            </w:pPr>
          </w:p>
        </w:tc>
        <w:tc>
          <w:tcPr>
            <w:tcW w:w="1133" w:type="dxa"/>
            <w:vAlign w:val="bottom"/>
          </w:tcPr>
          <w:p w14:paraId="37928692"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21,8</w:t>
            </w:r>
          </w:p>
        </w:tc>
        <w:tc>
          <w:tcPr>
            <w:tcW w:w="1135" w:type="dxa"/>
            <w:vAlign w:val="bottom"/>
          </w:tcPr>
          <w:p w14:paraId="0B414DAF"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298,0</w:t>
            </w:r>
          </w:p>
        </w:tc>
        <w:tc>
          <w:tcPr>
            <w:tcW w:w="851" w:type="dxa"/>
            <w:shd w:val="clear" w:color="auto" w:fill="auto"/>
            <w:vAlign w:val="bottom"/>
          </w:tcPr>
          <w:p w14:paraId="634DE05B"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276,2</w:t>
            </w:r>
          </w:p>
        </w:tc>
        <w:tc>
          <w:tcPr>
            <w:tcW w:w="1276" w:type="dxa"/>
            <w:shd w:val="clear" w:color="auto" w:fill="auto"/>
            <w:vAlign w:val="bottom"/>
          </w:tcPr>
          <w:p w14:paraId="3DA4DC39"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в 13,7 раза</w:t>
            </w:r>
          </w:p>
        </w:tc>
      </w:tr>
      <w:tr w:rsidR="00FD7B0B" w:rsidRPr="00FD7B0B" w14:paraId="17CDACE5" w14:textId="77777777" w:rsidTr="000A2A7A">
        <w:trPr>
          <w:trHeight w:val="231"/>
        </w:trPr>
        <w:tc>
          <w:tcPr>
            <w:tcW w:w="4820" w:type="dxa"/>
            <w:shd w:val="clear" w:color="auto" w:fill="auto"/>
            <w:vAlign w:val="bottom"/>
          </w:tcPr>
          <w:p w14:paraId="607C1271" w14:textId="77777777" w:rsidR="000A2A7A" w:rsidRPr="00FD7B0B" w:rsidRDefault="000A2A7A" w:rsidP="000A2A7A">
            <w:pPr>
              <w:spacing w:after="0" w:line="240" w:lineRule="auto"/>
              <w:ind w:right="-108" w:firstLine="176"/>
              <w:rPr>
                <w:rFonts w:ascii="Times New Roman" w:eastAsia="Times New Roman" w:hAnsi="Times New Roman"/>
                <w:lang w:eastAsia="ru-RU"/>
              </w:rPr>
            </w:pPr>
            <w:r w:rsidRPr="00FD7B0B">
              <w:rPr>
                <w:rFonts w:ascii="Times New Roman" w:eastAsia="Times New Roman" w:hAnsi="Times New Roman"/>
                <w:i/>
                <w:lang w:eastAsia="ru-RU"/>
              </w:rPr>
              <w:t>просроченная</w:t>
            </w:r>
          </w:p>
        </w:tc>
        <w:tc>
          <w:tcPr>
            <w:tcW w:w="708" w:type="dxa"/>
            <w:vMerge/>
            <w:shd w:val="clear" w:color="auto" w:fill="auto"/>
            <w:vAlign w:val="bottom"/>
          </w:tcPr>
          <w:p w14:paraId="12DC6A45" w14:textId="77777777" w:rsidR="000A2A7A" w:rsidRPr="00FD7B0B" w:rsidRDefault="000A2A7A" w:rsidP="000A2A7A">
            <w:pPr>
              <w:spacing w:after="0" w:line="240" w:lineRule="auto"/>
              <w:ind w:left="-108" w:right="-137"/>
              <w:jc w:val="center"/>
              <w:rPr>
                <w:rFonts w:ascii="Times New Roman" w:eastAsia="Times New Roman" w:hAnsi="Times New Roman"/>
                <w:lang w:eastAsia="ru-RU"/>
              </w:rPr>
            </w:pPr>
          </w:p>
        </w:tc>
        <w:tc>
          <w:tcPr>
            <w:tcW w:w="1133" w:type="dxa"/>
            <w:vAlign w:val="bottom"/>
          </w:tcPr>
          <w:p w14:paraId="2CE59E27"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3,1</w:t>
            </w:r>
          </w:p>
        </w:tc>
        <w:tc>
          <w:tcPr>
            <w:tcW w:w="1135" w:type="dxa"/>
            <w:vAlign w:val="bottom"/>
          </w:tcPr>
          <w:p w14:paraId="7FF103C6"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3,7</w:t>
            </w:r>
          </w:p>
        </w:tc>
        <w:tc>
          <w:tcPr>
            <w:tcW w:w="851" w:type="dxa"/>
            <w:shd w:val="clear" w:color="auto" w:fill="auto"/>
            <w:vAlign w:val="bottom"/>
          </w:tcPr>
          <w:p w14:paraId="5C2AB951"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0,6</w:t>
            </w:r>
          </w:p>
        </w:tc>
        <w:tc>
          <w:tcPr>
            <w:tcW w:w="1276" w:type="dxa"/>
            <w:shd w:val="clear" w:color="auto" w:fill="auto"/>
            <w:vAlign w:val="bottom"/>
          </w:tcPr>
          <w:p w14:paraId="6E1431F6" w14:textId="7AA7A35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19,4</w:t>
            </w:r>
          </w:p>
        </w:tc>
      </w:tr>
      <w:tr w:rsidR="00FD7B0B" w:rsidRPr="00FD7B0B" w14:paraId="7D848A2D" w14:textId="77777777" w:rsidTr="000A2A7A">
        <w:trPr>
          <w:trHeight w:val="534"/>
        </w:trPr>
        <w:tc>
          <w:tcPr>
            <w:tcW w:w="4820" w:type="dxa"/>
            <w:shd w:val="clear" w:color="auto" w:fill="auto"/>
            <w:vAlign w:val="bottom"/>
            <w:hideMark/>
          </w:tcPr>
          <w:p w14:paraId="486E90DA" w14:textId="77777777" w:rsidR="000A2A7A" w:rsidRPr="00FD7B0B" w:rsidRDefault="000A2A7A" w:rsidP="000A2A7A">
            <w:pPr>
              <w:spacing w:after="0" w:line="240" w:lineRule="auto"/>
              <w:ind w:right="-108"/>
              <w:rPr>
                <w:rFonts w:ascii="Times New Roman" w:eastAsia="Times New Roman" w:hAnsi="Times New Roman"/>
                <w:lang w:eastAsia="ru-RU"/>
              </w:rPr>
            </w:pPr>
            <w:r w:rsidRPr="00FD7B0B">
              <w:rPr>
                <w:rFonts w:ascii="Times New Roman" w:eastAsia="Times New Roman" w:hAnsi="Times New Roman"/>
                <w:lang w:eastAsia="ru-RU"/>
              </w:rPr>
              <w:t>Плата по соглашениям об установлении сервитута, заключенным органами исполнительной власти субъектов РФ…, из них:</w:t>
            </w:r>
          </w:p>
        </w:tc>
        <w:tc>
          <w:tcPr>
            <w:tcW w:w="708" w:type="dxa"/>
            <w:vMerge/>
            <w:vAlign w:val="bottom"/>
            <w:hideMark/>
          </w:tcPr>
          <w:p w14:paraId="54B7D5DC" w14:textId="77777777" w:rsidR="000A2A7A" w:rsidRPr="00FD7B0B" w:rsidRDefault="000A2A7A" w:rsidP="000A2A7A">
            <w:pPr>
              <w:spacing w:after="0" w:line="240" w:lineRule="auto"/>
              <w:ind w:left="-108" w:right="-137"/>
              <w:rPr>
                <w:rFonts w:ascii="Times New Roman" w:eastAsia="Times New Roman" w:hAnsi="Times New Roman"/>
                <w:lang w:eastAsia="ru-RU"/>
              </w:rPr>
            </w:pPr>
          </w:p>
        </w:tc>
        <w:tc>
          <w:tcPr>
            <w:tcW w:w="1133" w:type="dxa"/>
            <w:vAlign w:val="bottom"/>
          </w:tcPr>
          <w:p w14:paraId="2B942A8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1,1</w:t>
            </w:r>
          </w:p>
        </w:tc>
        <w:tc>
          <w:tcPr>
            <w:tcW w:w="1135" w:type="dxa"/>
            <w:vAlign w:val="bottom"/>
          </w:tcPr>
          <w:p w14:paraId="6E3002BC"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2,6</w:t>
            </w:r>
          </w:p>
        </w:tc>
        <w:tc>
          <w:tcPr>
            <w:tcW w:w="851" w:type="dxa"/>
            <w:shd w:val="clear" w:color="auto" w:fill="auto"/>
            <w:vAlign w:val="bottom"/>
            <w:hideMark/>
          </w:tcPr>
          <w:p w14:paraId="42E5DF0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 xml:space="preserve">1,5 </w:t>
            </w:r>
          </w:p>
        </w:tc>
        <w:tc>
          <w:tcPr>
            <w:tcW w:w="1276" w:type="dxa"/>
            <w:shd w:val="clear" w:color="auto" w:fill="auto"/>
            <w:vAlign w:val="bottom"/>
            <w:hideMark/>
          </w:tcPr>
          <w:p w14:paraId="07A91B2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в 2,3 раза</w:t>
            </w:r>
          </w:p>
        </w:tc>
      </w:tr>
      <w:tr w:rsidR="00FD7B0B" w:rsidRPr="00FD7B0B" w14:paraId="7FA32A56" w14:textId="77777777" w:rsidTr="000A2A7A">
        <w:trPr>
          <w:trHeight w:val="65"/>
        </w:trPr>
        <w:tc>
          <w:tcPr>
            <w:tcW w:w="4820" w:type="dxa"/>
            <w:shd w:val="clear" w:color="auto" w:fill="auto"/>
            <w:vAlign w:val="bottom"/>
          </w:tcPr>
          <w:p w14:paraId="60B5D1B6" w14:textId="77777777" w:rsidR="000A2A7A" w:rsidRPr="00FD7B0B" w:rsidRDefault="000A2A7A" w:rsidP="000A2A7A">
            <w:pPr>
              <w:spacing w:after="0" w:line="240" w:lineRule="auto"/>
              <w:ind w:right="-108" w:firstLine="176"/>
              <w:rPr>
                <w:rFonts w:ascii="Times New Roman" w:eastAsia="Times New Roman" w:hAnsi="Times New Roman"/>
                <w:i/>
                <w:lang w:eastAsia="ru-RU"/>
              </w:rPr>
            </w:pPr>
            <w:r w:rsidRPr="00FD7B0B">
              <w:rPr>
                <w:rFonts w:ascii="Times New Roman" w:eastAsia="Times New Roman" w:hAnsi="Times New Roman"/>
                <w:i/>
                <w:lang w:eastAsia="ru-RU"/>
              </w:rPr>
              <w:t>будущих периодов</w:t>
            </w:r>
          </w:p>
        </w:tc>
        <w:tc>
          <w:tcPr>
            <w:tcW w:w="708" w:type="dxa"/>
            <w:vMerge/>
            <w:vAlign w:val="bottom"/>
          </w:tcPr>
          <w:p w14:paraId="3A3B2C94" w14:textId="77777777" w:rsidR="000A2A7A" w:rsidRPr="00FD7B0B" w:rsidRDefault="000A2A7A" w:rsidP="000A2A7A">
            <w:pPr>
              <w:spacing w:after="0" w:line="240" w:lineRule="auto"/>
              <w:ind w:left="-108" w:right="-137"/>
              <w:rPr>
                <w:rFonts w:ascii="Times New Roman" w:eastAsia="Times New Roman" w:hAnsi="Times New Roman"/>
                <w:lang w:eastAsia="ru-RU"/>
              </w:rPr>
            </w:pPr>
          </w:p>
        </w:tc>
        <w:tc>
          <w:tcPr>
            <w:tcW w:w="1133" w:type="dxa"/>
            <w:vAlign w:val="bottom"/>
          </w:tcPr>
          <w:p w14:paraId="0B29EE1B" w14:textId="77777777" w:rsidR="000A2A7A" w:rsidRPr="00FD7B0B" w:rsidRDefault="000A2A7A" w:rsidP="000A2A7A">
            <w:pPr>
              <w:spacing w:after="0" w:line="240" w:lineRule="auto"/>
              <w:jc w:val="right"/>
              <w:rPr>
                <w:rFonts w:ascii="Times New Roman" w:hAnsi="Times New Roman"/>
                <w:lang w:val="en-US"/>
              </w:rPr>
            </w:pPr>
            <w:r w:rsidRPr="00FD7B0B">
              <w:rPr>
                <w:rFonts w:ascii="Times New Roman" w:hAnsi="Times New Roman"/>
                <w:lang w:val="en-US"/>
              </w:rPr>
              <w:t>1</w:t>
            </w:r>
            <w:r w:rsidRPr="00FD7B0B">
              <w:rPr>
                <w:rFonts w:ascii="Times New Roman" w:hAnsi="Times New Roman"/>
              </w:rPr>
              <w:t>,</w:t>
            </w:r>
            <w:r w:rsidRPr="00FD7B0B">
              <w:rPr>
                <w:rFonts w:ascii="Times New Roman" w:hAnsi="Times New Roman"/>
                <w:lang w:val="en-US"/>
              </w:rPr>
              <w:t>1</w:t>
            </w:r>
          </w:p>
        </w:tc>
        <w:tc>
          <w:tcPr>
            <w:tcW w:w="1135" w:type="dxa"/>
            <w:vAlign w:val="bottom"/>
          </w:tcPr>
          <w:p w14:paraId="62A02818" w14:textId="77777777" w:rsidR="000A2A7A" w:rsidRPr="00FD7B0B" w:rsidRDefault="000A2A7A" w:rsidP="000A2A7A">
            <w:pPr>
              <w:spacing w:after="0" w:line="240" w:lineRule="auto"/>
              <w:jc w:val="right"/>
              <w:rPr>
                <w:rFonts w:ascii="Times New Roman" w:hAnsi="Times New Roman"/>
                <w:lang w:val="en-US"/>
              </w:rPr>
            </w:pPr>
            <w:r w:rsidRPr="00FD7B0B">
              <w:rPr>
                <w:rFonts w:ascii="Times New Roman" w:hAnsi="Times New Roman"/>
                <w:lang w:val="en-US"/>
              </w:rPr>
              <w:t>2</w:t>
            </w:r>
            <w:r w:rsidRPr="00FD7B0B">
              <w:rPr>
                <w:rFonts w:ascii="Times New Roman" w:hAnsi="Times New Roman"/>
              </w:rPr>
              <w:t>,</w:t>
            </w:r>
            <w:r w:rsidRPr="00FD7B0B">
              <w:rPr>
                <w:rFonts w:ascii="Times New Roman" w:hAnsi="Times New Roman"/>
                <w:lang w:val="en-US"/>
              </w:rPr>
              <w:t>6</w:t>
            </w:r>
          </w:p>
        </w:tc>
        <w:tc>
          <w:tcPr>
            <w:tcW w:w="851" w:type="dxa"/>
            <w:shd w:val="clear" w:color="auto" w:fill="auto"/>
            <w:vAlign w:val="bottom"/>
          </w:tcPr>
          <w:p w14:paraId="352F19F4"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 xml:space="preserve">1,5 </w:t>
            </w:r>
          </w:p>
        </w:tc>
        <w:tc>
          <w:tcPr>
            <w:tcW w:w="1276" w:type="dxa"/>
            <w:shd w:val="clear" w:color="auto" w:fill="auto"/>
            <w:vAlign w:val="bottom"/>
          </w:tcPr>
          <w:p w14:paraId="6B037B6E"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в 2,3 раза</w:t>
            </w:r>
          </w:p>
        </w:tc>
      </w:tr>
      <w:tr w:rsidR="00FD7B0B" w:rsidRPr="00FD7B0B" w14:paraId="0A5E829B" w14:textId="77777777" w:rsidTr="000A2A7A">
        <w:trPr>
          <w:trHeight w:val="758"/>
        </w:trPr>
        <w:tc>
          <w:tcPr>
            <w:tcW w:w="4820" w:type="dxa"/>
            <w:shd w:val="clear" w:color="auto" w:fill="auto"/>
            <w:vAlign w:val="bottom"/>
            <w:hideMark/>
          </w:tcPr>
          <w:p w14:paraId="319C1D5A" w14:textId="77777777" w:rsidR="000A2A7A" w:rsidRPr="00FD7B0B" w:rsidRDefault="000A2A7A" w:rsidP="000A2A7A">
            <w:pPr>
              <w:spacing w:after="0" w:line="240" w:lineRule="auto"/>
              <w:ind w:right="-108"/>
              <w:rPr>
                <w:rFonts w:ascii="Times New Roman" w:eastAsia="Times New Roman" w:hAnsi="Times New Roman"/>
                <w:lang w:eastAsia="ru-RU"/>
              </w:rPr>
            </w:pPr>
            <w:r w:rsidRPr="00FD7B0B">
              <w:rPr>
                <w:rFonts w:ascii="Times New Roman" w:eastAsia="Times New Roman" w:hAnsi="Times New Roman"/>
                <w:lang w:eastAsia="ru-RU"/>
              </w:rPr>
              <w:t>Доходы от сдачи в аренду имущества, находящегося в оперативном управлении органов государственной власти субъектов РФ и созданных ими учреждений …, из них:</w:t>
            </w:r>
          </w:p>
        </w:tc>
        <w:tc>
          <w:tcPr>
            <w:tcW w:w="708" w:type="dxa"/>
            <w:vMerge w:val="restart"/>
            <w:shd w:val="clear" w:color="auto" w:fill="auto"/>
            <w:vAlign w:val="center"/>
            <w:hideMark/>
          </w:tcPr>
          <w:p w14:paraId="4D1EE621" w14:textId="77777777" w:rsidR="000A2A7A" w:rsidRPr="00FD7B0B" w:rsidRDefault="000A2A7A" w:rsidP="000A2A7A">
            <w:pPr>
              <w:spacing w:after="0" w:line="240" w:lineRule="auto"/>
              <w:ind w:left="-108" w:right="-137"/>
              <w:jc w:val="center"/>
              <w:rPr>
                <w:rFonts w:ascii="Times New Roman" w:eastAsia="Times New Roman" w:hAnsi="Times New Roman"/>
                <w:lang w:eastAsia="ru-RU"/>
              </w:rPr>
            </w:pPr>
            <w:r w:rsidRPr="00FD7B0B">
              <w:rPr>
                <w:rFonts w:ascii="Times New Roman" w:eastAsia="Times New Roman" w:hAnsi="Times New Roman"/>
                <w:lang w:eastAsia="ru-RU"/>
              </w:rPr>
              <w:t>205.21</w:t>
            </w:r>
          </w:p>
        </w:tc>
        <w:tc>
          <w:tcPr>
            <w:tcW w:w="1133" w:type="dxa"/>
            <w:vAlign w:val="bottom"/>
          </w:tcPr>
          <w:p w14:paraId="356F511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0,3</w:t>
            </w:r>
          </w:p>
        </w:tc>
        <w:tc>
          <w:tcPr>
            <w:tcW w:w="1135" w:type="dxa"/>
            <w:vAlign w:val="bottom"/>
          </w:tcPr>
          <w:p w14:paraId="0A859AD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0,3</w:t>
            </w:r>
          </w:p>
        </w:tc>
        <w:tc>
          <w:tcPr>
            <w:tcW w:w="851" w:type="dxa"/>
            <w:shd w:val="clear" w:color="auto" w:fill="auto"/>
            <w:vAlign w:val="bottom"/>
            <w:hideMark/>
          </w:tcPr>
          <w:p w14:paraId="4291331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 xml:space="preserve">0,0 </w:t>
            </w:r>
          </w:p>
        </w:tc>
        <w:tc>
          <w:tcPr>
            <w:tcW w:w="1276" w:type="dxa"/>
            <w:shd w:val="clear" w:color="auto" w:fill="auto"/>
            <w:vAlign w:val="bottom"/>
            <w:hideMark/>
          </w:tcPr>
          <w:p w14:paraId="5762F50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 xml:space="preserve">0,0 </w:t>
            </w:r>
          </w:p>
        </w:tc>
      </w:tr>
      <w:tr w:rsidR="00FD7B0B" w:rsidRPr="00FD7B0B" w14:paraId="02C4E0E0" w14:textId="77777777" w:rsidTr="000A2A7A">
        <w:trPr>
          <w:trHeight w:val="65"/>
        </w:trPr>
        <w:tc>
          <w:tcPr>
            <w:tcW w:w="4820" w:type="dxa"/>
            <w:shd w:val="clear" w:color="auto" w:fill="auto"/>
            <w:vAlign w:val="bottom"/>
          </w:tcPr>
          <w:p w14:paraId="66C53A37" w14:textId="77777777" w:rsidR="000A2A7A" w:rsidRPr="00FD7B0B" w:rsidRDefault="000A2A7A" w:rsidP="000A2A7A">
            <w:pPr>
              <w:spacing w:after="0" w:line="240" w:lineRule="auto"/>
              <w:ind w:right="-108" w:firstLine="176"/>
              <w:rPr>
                <w:rFonts w:ascii="Times New Roman" w:eastAsia="Times New Roman" w:hAnsi="Times New Roman"/>
                <w:lang w:eastAsia="ru-RU"/>
              </w:rPr>
            </w:pPr>
            <w:r w:rsidRPr="00FD7B0B">
              <w:rPr>
                <w:rFonts w:ascii="Times New Roman" w:eastAsia="Times New Roman" w:hAnsi="Times New Roman"/>
                <w:i/>
                <w:lang w:eastAsia="ru-RU"/>
              </w:rPr>
              <w:t xml:space="preserve">просроченная </w:t>
            </w:r>
          </w:p>
        </w:tc>
        <w:tc>
          <w:tcPr>
            <w:tcW w:w="708" w:type="dxa"/>
            <w:vMerge/>
            <w:shd w:val="clear" w:color="auto" w:fill="auto"/>
            <w:vAlign w:val="bottom"/>
          </w:tcPr>
          <w:p w14:paraId="37573BE1" w14:textId="77777777" w:rsidR="000A2A7A" w:rsidRPr="00FD7B0B" w:rsidRDefault="000A2A7A" w:rsidP="000A2A7A">
            <w:pPr>
              <w:spacing w:after="0" w:line="240" w:lineRule="auto"/>
              <w:ind w:left="-108" w:right="-137"/>
              <w:jc w:val="center"/>
              <w:rPr>
                <w:rFonts w:ascii="Times New Roman" w:eastAsia="Times New Roman" w:hAnsi="Times New Roman"/>
                <w:lang w:eastAsia="ru-RU"/>
              </w:rPr>
            </w:pPr>
          </w:p>
        </w:tc>
        <w:tc>
          <w:tcPr>
            <w:tcW w:w="1133" w:type="dxa"/>
            <w:vAlign w:val="bottom"/>
          </w:tcPr>
          <w:p w14:paraId="28A0EFCC"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0,3</w:t>
            </w:r>
          </w:p>
        </w:tc>
        <w:tc>
          <w:tcPr>
            <w:tcW w:w="1135" w:type="dxa"/>
            <w:vAlign w:val="bottom"/>
          </w:tcPr>
          <w:p w14:paraId="411C1C68"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0,3</w:t>
            </w:r>
          </w:p>
        </w:tc>
        <w:tc>
          <w:tcPr>
            <w:tcW w:w="851" w:type="dxa"/>
            <w:shd w:val="clear" w:color="auto" w:fill="auto"/>
            <w:vAlign w:val="bottom"/>
          </w:tcPr>
          <w:p w14:paraId="6E7A9D91"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0,0</w:t>
            </w:r>
          </w:p>
        </w:tc>
        <w:tc>
          <w:tcPr>
            <w:tcW w:w="1276" w:type="dxa"/>
            <w:shd w:val="clear" w:color="auto" w:fill="auto"/>
            <w:vAlign w:val="bottom"/>
          </w:tcPr>
          <w:p w14:paraId="70FBB112"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0,0</w:t>
            </w:r>
          </w:p>
        </w:tc>
      </w:tr>
      <w:tr w:rsidR="00FD7B0B" w:rsidRPr="00FD7B0B" w14:paraId="4CC1842F" w14:textId="77777777" w:rsidTr="000A2A7A">
        <w:trPr>
          <w:trHeight w:val="585"/>
        </w:trPr>
        <w:tc>
          <w:tcPr>
            <w:tcW w:w="4820" w:type="dxa"/>
            <w:shd w:val="clear" w:color="auto" w:fill="auto"/>
            <w:vAlign w:val="bottom"/>
            <w:hideMark/>
          </w:tcPr>
          <w:p w14:paraId="55F3A30D" w14:textId="77777777" w:rsidR="000A2A7A" w:rsidRPr="00FD7B0B" w:rsidRDefault="000A2A7A" w:rsidP="000A2A7A">
            <w:pPr>
              <w:spacing w:after="0" w:line="240" w:lineRule="auto"/>
              <w:ind w:right="-108"/>
              <w:rPr>
                <w:rFonts w:ascii="Times New Roman" w:eastAsia="Times New Roman" w:hAnsi="Times New Roman"/>
                <w:lang w:eastAsia="ru-RU"/>
              </w:rPr>
            </w:pPr>
            <w:r w:rsidRPr="00FD7B0B">
              <w:rPr>
                <w:rFonts w:ascii="Times New Roman" w:eastAsia="Times New Roman" w:hAnsi="Times New Roman"/>
                <w:lang w:eastAsia="ru-RU"/>
              </w:rPr>
              <w:t>Доходы от сдачи в аренду имущества, составляющего казну субъекта РФ (за исключением земельных участков), из них:</w:t>
            </w:r>
          </w:p>
        </w:tc>
        <w:tc>
          <w:tcPr>
            <w:tcW w:w="708" w:type="dxa"/>
            <w:vMerge/>
            <w:vAlign w:val="bottom"/>
            <w:hideMark/>
          </w:tcPr>
          <w:p w14:paraId="7EC313F8" w14:textId="77777777" w:rsidR="000A2A7A" w:rsidRPr="00FD7B0B" w:rsidRDefault="000A2A7A" w:rsidP="000A2A7A">
            <w:pPr>
              <w:spacing w:after="0" w:line="240" w:lineRule="auto"/>
              <w:ind w:left="-108" w:right="-137"/>
              <w:rPr>
                <w:rFonts w:ascii="Times New Roman" w:eastAsia="Times New Roman" w:hAnsi="Times New Roman"/>
                <w:lang w:eastAsia="ru-RU"/>
              </w:rPr>
            </w:pPr>
          </w:p>
        </w:tc>
        <w:tc>
          <w:tcPr>
            <w:tcW w:w="1133" w:type="dxa"/>
            <w:vAlign w:val="bottom"/>
          </w:tcPr>
          <w:p w14:paraId="1CE217A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10,6</w:t>
            </w:r>
          </w:p>
        </w:tc>
        <w:tc>
          <w:tcPr>
            <w:tcW w:w="1135" w:type="dxa"/>
            <w:vAlign w:val="bottom"/>
          </w:tcPr>
          <w:p w14:paraId="28B2B74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7,2</w:t>
            </w:r>
          </w:p>
        </w:tc>
        <w:tc>
          <w:tcPr>
            <w:tcW w:w="851" w:type="dxa"/>
            <w:shd w:val="clear" w:color="auto" w:fill="auto"/>
            <w:vAlign w:val="bottom"/>
            <w:hideMark/>
          </w:tcPr>
          <w:p w14:paraId="6B2E664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 xml:space="preserve">-3,4 </w:t>
            </w:r>
          </w:p>
        </w:tc>
        <w:tc>
          <w:tcPr>
            <w:tcW w:w="1276" w:type="dxa"/>
            <w:shd w:val="clear" w:color="auto" w:fill="auto"/>
            <w:vAlign w:val="bottom"/>
            <w:hideMark/>
          </w:tcPr>
          <w:p w14:paraId="6E15935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hAnsi="Times New Roman"/>
              </w:rPr>
              <w:t xml:space="preserve">-32,1 </w:t>
            </w:r>
          </w:p>
        </w:tc>
      </w:tr>
      <w:tr w:rsidR="00FD7B0B" w:rsidRPr="00FD7B0B" w14:paraId="3CE8E462" w14:textId="77777777" w:rsidTr="000A2A7A">
        <w:trPr>
          <w:trHeight w:val="146"/>
        </w:trPr>
        <w:tc>
          <w:tcPr>
            <w:tcW w:w="4820" w:type="dxa"/>
            <w:shd w:val="clear" w:color="auto" w:fill="auto"/>
            <w:vAlign w:val="bottom"/>
          </w:tcPr>
          <w:p w14:paraId="36F8DF5C" w14:textId="77777777" w:rsidR="000A2A7A" w:rsidRPr="00FD7B0B" w:rsidRDefault="000A2A7A" w:rsidP="000A2A7A">
            <w:pPr>
              <w:spacing w:after="0" w:line="240" w:lineRule="auto"/>
              <w:ind w:right="-108" w:firstLine="176"/>
              <w:rPr>
                <w:rFonts w:ascii="Times New Roman" w:eastAsia="Times New Roman" w:hAnsi="Times New Roman"/>
                <w:i/>
                <w:lang w:eastAsia="ru-RU"/>
              </w:rPr>
            </w:pPr>
            <w:r w:rsidRPr="00FD7B0B">
              <w:rPr>
                <w:rFonts w:ascii="Times New Roman" w:eastAsia="Times New Roman" w:hAnsi="Times New Roman"/>
                <w:i/>
                <w:lang w:eastAsia="ru-RU"/>
              </w:rPr>
              <w:t>будущих периодов</w:t>
            </w:r>
          </w:p>
        </w:tc>
        <w:tc>
          <w:tcPr>
            <w:tcW w:w="708" w:type="dxa"/>
            <w:vMerge/>
            <w:vAlign w:val="bottom"/>
          </w:tcPr>
          <w:p w14:paraId="049D8F90" w14:textId="77777777" w:rsidR="000A2A7A" w:rsidRPr="00FD7B0B" w:rsidRDefault="000A2A7A" w:rsidP="000A2A7A">
            <w:pPr>
              <w:spacing w:after="0" w:line="240" w:lineRule="auto"/>
              <w:ind w:left="-108" w:right="-137"/>
              <w:rPr>
                <w:rFonts w:ascii="Times New Roman" w:eastAsia="Times New Roman" w:hAnsi="Times New Roman"/>
                <w:lang w:eastAsia="ru-RU"/>
              </w:rPr>
            </w:pPr>
          </w:p>
        </w:tc>
        <w:tc>
          <w:tcPr>
            <w:tcW w:w="1133" w:type="dxa"/>
            <w:vAlign w:val="bottom"/>
          </w:tcPr>
          <w:p w14:paraId="2B993133"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10,1</w:t>
            </w:r>
          </w:p>
        </w:tc>
        <w:tc>
          <w:tcPr>
            <w:tcW w:w="1135" w:type="dxa"/>
            <w:vAlign w:val="bottom"/>
          </w:tcPr>
          <w:p w14:paraId="2F01399C"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8,0</w:t>
            </w:r>
          </w:p>
        </w:tc>
        <w:tc>
          <w:tcPr>
            <w:tcW w:w="851" w:type="dxa"/>
            <w:shd w:val="clear" w:color="auto" w:fill="auto"/>
            <w:vAlign w:val="bottom"/>
          </w:tcPr>
          <w:p w14:paraId="5D0BE578"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-2,1</w:t>
            </w:r>
          </w:p>
        </w:tc>
        <w:tc>
          <w:tcPr>
            <w:tcW w:w="1276" w:type="dxa"/>
            <w:shd w:val="clear" w:color="auto" w:fill="auto"/>
            <w:vAlign w:val="bottom"/>
          </w:tcPr>
          <w:p w14:paraId="2C6F1798"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-20,8</w:t>
            </w:r>
          </w:p>
        </w:tc>
      </w:tr>
      <w:tr w:rsidR="00FD7B0B" w:rsidRPr="00FD7B0B" w14:paraId="744271D3" w14:textId="77777777" w:rsidTr="000A2A7A">
        <w:trPr>
          <w:trHeight w:val="269"/>
        </w:trPr>
        <w:tc>
          <w:tcPr>
            <w:tcW w:w="4820" w:type="dxa"/>
            <w:shd w:val="clear" w:color="auto" w:fill="auto"/>
            <w:vAlign w:val="bottom"/>
          </w:tcPr>
          <w:p w14:paraId="4D8E45FD" w14:textId="77777777" w:rsidR="000A2A7A" w:rsidRPr="00FD7B0B" w:rsidRDefault="000A2A7A" w:rsidP="000A2A7A">
            <w:pPr>
              <w:spacing w:after="0" w:line="240" w:lineRule="auto"/>
              <w:ind w:right="-108" w:firstLine="176"/>
              <w:rPr>
                <w:rFonts w:ascii="Times New Roman" w:eastAsia="Times New Roman" w:hAnsi="Times New Roman"/>
                <w:i/>
                <w:lang w:eastAsia="ru-RU"/>
              </w:rPr>
            </w:pPr>
            <w:r w:rsidRPr="00FD7B0B">
              <w:rPr>
                <w:rFonts w:ascii="Times New Roman" w:eastAsia="Times New Roman" w:hAnsi="Times New Roman"/>
                <w:i/>
                <w:lang w:eastAsia="ru-RU"/>
              </w:rPr>
              <w:t xml:space="preserve">просроченная </w:t>
            </w:r>
          </w:p>
        </w:tc>
        <w:tc>
          <w:tcPr>
            <w:tcW w:w="708" w:type="dxa"/>
            <w:vMerge/>
            <w:vAlign w:val="bottom"/>
          </w:tcPr>
          <w:p w14:paraId="661FD233" w14:textId="77777777" w:rsidR="000A2A7A" w:rsidRPr="00FD7B0B" w:rsidRDefault="000A2A7A" w:rsidP="000A2A7A">
            <w:pPr>
              <w:spacing w:after="0" w:line="240" w:lineRule="auto"/>
              <w:ind w:left="-108" w:right="-137"/>
              <w:rPr>
                <w:rFonts w:ascii="Times New Roman" w:eastAsia="Times New Roman" w:hAnsi="Times New Roman"/>
                <w:lang w:eastAsia="ru-RU"/>
              </w:rPr>
            </w:pPr>
          </w:p>
        </w:tc>
        <w:tc>
          <w:tcPr>
            <w:tcW w:w="1133" w:type="dxa"/>
            <w:vAlign w:val="bottom"/>
          </w:tcPr>
          <w:p w14:paraId="6DCFDFD1"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0,55</w:t>
            </w:r>
          </w:p>
        </w:tc>
        <w:tc>
          <w:tcPr>
            <w:tcW w:w="1135" w:type="dxa"/>
            <w:vAlign w:val="bottom"/>
          </w:tcPr>
          <w:p w14:paraId="5ACA4757"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0,56</w:t>
            </w:r>
          </w:p>
        </w:tc>
        <w:tc>
          <w:tcPr>
            <w:tcW w:w="851" w:type="dxa"/>
            <w:shd w:val="clear" w:color="auto" w:fill="auto"/>
            <w:vAlign w:val="bottom"/>
          </w:tcPr>
          <w:p w14:paraId="1D1FBC89"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0,01</w:t>
            </w:r>
          </w:p>
        </w:tc>
        <w:tc>
          <w:tcPr>
            <w:tcW w:w="1276" w:type="dxa"/>
            <w:shd w:val="clear" w:color="auto" w:fill="auto"/>
            <w:vAlign w:val="bottom"/>
          </w:tcPr>
          <w:p w14:paraId="659084C5" w14:textId="5F72560E" w:rsidR="000A2A7A" w:rsidRPr="00FD7B0B" w:rsidRDefault="006F405C" w:rsidP="000A2A7A">
            <w:pPr>
              <w:spacing w:after="0" w:line="240" w:lineRule="auto"/>
              <w:jc w:val="right"/>
              <w:rPr>
                <w:rFonts w:ascii="Times New Roman" w:hAnsi="Times New Roman"/>
              </w:rPr>
            </w:pPr>
            <w:r w:rsidRPr="00FD7B0B">
              <w:rPr>
                <w:rFonts w:ascii="Times New Roman" w:hAnsi="Times New Roman"/>
              </w:rPr>
              <w:t>1,8</w:t>
            </w:r>
          </w:p>
        </w:tc>
      </w:tr>
      <w:tr w:rsidR="00FD7B0B" w:rsidRPr="00FD7B0B" w14:paraId="41FA5BB8" w14:textId="77777777" w:rsidTr="00F31AFB">
        <w:trPr>
          <w:trHeight w:val="269"/>
        </w:trPr>
        <w:tc>
          <w:tcPr>
            <w:tcW w:w="4820" w:type="dxa"/>
            <w:shd w:val="clear" w:color="auto" w:fill="auto"/>
            <w:vAlign w:val="bottom"/>
          </w:tcPr>
          <w:p w14:paraId="341599F3" w14:textId="77777777" w:rsidR="000A2A7A" w:rsidRPr="00FD7B0B" w:rsidRDefault="000A2A7A" w:rsidP="000A2A7A">
            <w:pPr>
              <w:spacing w:after="0" w:line="240" w:lineRule="auto"/>
              <w:ind w:right="-108"/>
              <w:rPr>
                <w:rFonts w:ascii="Times New Roman" w:eastAsia="Times New Roman" w:hAnsi="Times New Roman"/>
                <w:lang w:eastAsia="ru-RU"/>
              </w:rPr>
            </w:pPr>
            <w:r w:rsidRPr="00FD7B0B">
              <w:rPr>
                <w:rFonts w:ascii="Times New Roman" w:eastAsia="Times New Roman" w:hAnsi="Times New Roman"/>
                <w:lang w:eastAsia="ru-RU"/>
              </w:rPr>
              <w:t>Расчеты по доходам от дивидендов от объектов инвестирования, из них:</w:t>
            </w:r>
          </w:p>
        </w:tc>
        <w:tc>
          <w:tcPr>
            <w:tcW w:w="708" w:type="dxa"/>
            <w:vMerge w:val="restart"/>
            <w:vAlign w:val="center"/>
          </w:tcPr>
          <w:p w14:paraId="3BBFC124" w14:textId="77777777" w:rsidR="000A2A7A" w:rsidRPr="00FD7B0B" w:rsidRDefault="000A2A7A" w:rsidP="00F31AFB">
            <w:pPr>
              <w:spacing w:after="0" w:line="240" w:lineRule="auto"/>
              <w:ind w:left="-108" w:right="-137"/>
              <w:jc w:val="center"/>
              <w:rPr>
                <w:rFonts w:ascii="Times New Roman" w:eastAsia="Times New Roman" w:hAnsi="Times New Roman"/>
                <w:lang w:eastAsia="ru-RU"/>
              </w:rPr>
            </w:pPr>
            <w:r w:rsidRPr="00FD7B0B">
              <w:rPr>
                <w:rFonts w:ascii="Times New Roman" w:eastAsia="Times New Roman" w:hAnsi="Times New Roman"/>
                <w:lang w:eastAsia="ru-RU"/>
              </w:rPr>
              <w:t>205.27</w:t>
            </w:r>
          </w:p>
        </w:tc>
        <w:tc>
          <w:tcPr>
            <w:tcW w:w="1133" w:type="dxa"/>
            <w:vAlign w:val="bottom"/>
          </w:tcPr>
          <w:p w14:paraId="46614EF4"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0,0</w:t>
            </w:r>
          </w:p>
        </w:tc>
        <w:tc>
          <w:tcPr>
            <w:tcW w:w="1135" w:type="dxa"/>
            <w:vAlign w:val="bottom"/>
          </w:tcPr>
          <w:p w14:paraId="1E1ECE6B"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34,8</w:t>
            </w:r>
          </w:p>
        </w:tc>
        <w:tc>
          <w:tcPr>
            <w:tcW w:w="851" w:type="dxa"/>
            <w:shd w:val="clear" w:color="auto" w:fill="auto"/>
            <w:vAlign w:val="bottom"/>
          </w:tcPr>
          <w:p w14:paraId="1EE1A84E"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34,8</w:t>
            </w:r>
          </w:p>
        </w:tc>
        <w:tc>
          <w:tcPr>
            <w:tcW w:w="1276" w:type="dxa"/>
            <w:shd w:val="clear" w:color="auto" w:fill="auto"/>
            <w:vAlign w:val="bottom"/>
          </w:tcPr>
          <w:p w14:paraId="52026C1C"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0,0</w:t>
            </w:r>
          </w:p>
        </w:tc>
      </w:tr>
      <w:tr w:rsidR="00FD7B0B" w:rsidRPr="00FD7B0B" w14:paraId="1C97F9A2" w14:textId="77777777" w:rsidTr="000A2A7A">
        <w:trPr>
          <w:trHeight w:val="65"/>
        </w:trPr>
        <w:tc>
          <w:tcPr>
            <w:tcW w:w="4820" w:type="dxa"/>
            <w:shd w:val="clear" w:color="auto" w:fill="auto"/>
            <w:vAlign w:val="bottom"/>
          </w:tcPr>
          <w:p w14:paraId="3C9D6AC0" w14:textId="77777777" w:rsidR="000A2A7A" w:rsidRPr="00FD7B0B" w:rsidRDefault="000A2A7A" w:rsidP="000A2A7A">
            <w:pPr>
              <w:spacing w:after="0" w:line="240" w:lineRule="auto"/>
              <w:ind w:right="-108" w:firstLine="176"/>
              <w:rPr>
                <w:rFonts w:ascii="Times New Roman" w:eastAsia="Times New Roman" w:hAnsi="Times New Roman"/>
                <w:i/>
                <w:lang w:eastAsia="ru-RU"/>
              </w:rPr>
            </w:pPr>
            <w:r w:rsidRPr="00FD7B0B">
              <w:rPr>
                <w:rFonts w:ascii="Times New Roman" w:eastAsia="Times New Roman" w:hAnsi="Times New Roman"/>
                <w:i/>
                <w:lang w:eastAsia="ru-RU"/>
              </w:rPr>
              <w:t>просроченная</w:t>
            </w:r>
          </w:p>
        </w:tc>
        <w:tc>
          <w:tcPr>
            <w:tcW w:w="708" w:type="dxa"/>
            <w:vMerge/>
            <w:vAlign w:val="bottom"/>
          </w:tcPr>
          <w:p w14:paraId="7E151778" w14:textId="77777777" w:rsidR="000A2A7A" w:rsidRPr="00FD7B0B" w:rsidRDefault="000A2A7A" w:rsidP="000A2A7A">
            <w:pPr>
              <w:spacing w:after="0" w:line="240" w:lineRule="auto"/>
              <w:ind w:left="-108" w:right="-137"/>
              <w:rPr>
                <w:rFonts w:ascii="Times New Roman" w:eastAsia="Times New Roman" w:hAnsi="Times New Roman"/>
                <w:lang w:eastAsia="ru-RU"/>
              </w:rPr>
            </w:pPr>
          </w:p>
        </w:tc>
        <w:tc>
          <w:tcPr>
            <w:tcW w:w="1133" w:type="dxa"/>
            <w:vAlign w:val="bottom"/>
          </w:tcPr>
          <w:p w14:paraId="0A3260FD"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0,0</w:t>
            </w:r>
          </w:p>
        </w:tc>
        <w:tc>
          <w:tcPr>
            <w:tcW w:w="1135" w:type="dxa"/>
            <w:vAlign w:val="bottom"/>
          </w:tcPr>
          <w:p w14:paraId="49BF9044"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34,8</w:t>
            </w:r>
          </w:p>
        </w:tc>
        <w:tc>
          <w:tcPr>
            <w:tcW w:w="851" w:type="dxa"/>
            <w:shd w:val="clear" w:color="auto" w:fill="auto"/>
            <w:vAlign w:val="bottom"/>
          </w:tcPr>
          <w:p w14:paraId="550E700C"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34,8</w:t>
            </w:r>
          </w:p>
        </w:tc>
        <w:tc>
          <w:tcPr>
            <w:tcW w:w="1276" w:type="dxa"/>
            <w:shd w:val="clear" w:color="auto" w:fill="auto"/>
            <w:vAlign w:val="bottom"/>
          </w:tcPr>
          <w:p w14:paraId="25ED530E" w14:textId="77777777" w:rsidR="000A2A7A" w:rsidRPr="00FD7B0B" w:rsidRDefault="000A2A7A" w:rsidP="000A2A7A">
            <w:pPr>
              <w:spacing w:after="0" w:line="240" w:lineRule="auto"/>
              <w:jc w:val="right"/>
              <w:rPr>
                <w:rFonts w:ascii="Times New Roman" w:hAnsi="Times New Roman"/>
              </w:rPr>
            </w:pPr>
            <w:r w:rsidRPr="00FD7B0B">
              <w:rPr>
                <w:rFonts w:ascii="Times New Roman" w:hAnsi="Times New Roman"/>
              </w:rPr>
              <w:t>0,0</w:t>
            </w:r>
          </w:p>
        </w:tc>
      </w:tr>
    </w:tbl>
    <w:p w14:paraId="0D508283" w14:textId="77777777" w:rsidR="000A2A7A" w:rsidRPr="00FD7B0B" w:rsidRDefault="000A2A7A" w:rsidP="000A2A7A">
      <w:pPr>
        <w:autoSpaceDE w:val="0"/>
        <w:autoSpaceDN w:val="0"/>
        <w:adjustRightInd w:val="0"/>
        <w:spacing w:after="0" w:line="240" w:lineRule="auto"/>
        <w:ind w:firstLine="709"/>
        <w:jc w:val="both"/>
        <w:rPr>
          <w:rFonts w:ascii="Times New Roman" w:hAnsi="Times New Roman"/>
          <w:sz w:val="28"/>
          <w:szCs w:val="28"/>
        </w:rPr>
      </w:pPr>
    </w:p>
    <w:p w14:paraId="64AB9A14" w14:textId="0DFE2390" w:rsidR="000A2A7A" w:rsidRPr="00FD7B0B" w:rsidRDefault="00F31AFB" w:rsidP="000A2A7A">
      <w:pPr>
        <w:pStyle w:val="1a"/>
        <w:widowControl/>
        <w:spacing w:before="0" w:after="0" w:line="240" w:lineRule="auto"/>
        <w:ind w:firstLine="720"/>
        <w:rPr>
          <w:sz w:val="28"/>
          <w:szCs w:val="28"/>
        </w:rPr>
      </w:pPr>
      <w:r w:rsidRPr="00FD7B0B">
        <w:rPr>
          <w:sz w:val="28"/>
          <w:szCs w:val="28"/>
        </w:rPr>
        <w:t>Д</w:t>
      </w:r>
      <w:r w:rsidR="000A2A7A" w:rsidRPr="00FD7B0B">
        <w:rPr>
          <w:sz w:val="28"/>
          <w:szCs w:val="28"/>
        </w:rPr>
        <w:t>ебиторская задолженность на конец 2024 года по сравнению с показателями на начало 2024 года увеличилась на 309,7 млн.руб. или в 9,</w:t>
      </w:r>
      <w:r w:rsidR="00266453" w:rsidRPr="00FD7B0B">
        <w:rPr>
          <w:sz w:val="28"/>
          <w:szCs w:val="28"/>
        </w:rPr>
        <w:t>4</w:t>
      </w:r>
      <w:r w:rsidR="000A2A7A" w:rsidRPr="00FD7B0B">
        <w:rPr>
          <w:sz w:val="28"/>
          <w:szCs w:val="28"/>
        </w:rPr>
        <w:t xml:space="preserve"> раза, в том числе задолженность, относящаяся к будущим периодам, увеличилась за отчетный год на 275,6 млн.руб. или в 9,3 раза к показателям задолженности на начало года. Значительную долю в общей сумме дебиторской задолженности на 31.12.2024 занимает задолженность </w:t>
      </w:r>
      <w:r w:rsidRPr="00FD7B0B">
        <w:rPr>
          <w:sz w:val="28"/>
          <w:szCs w:val="28"/>
        </w:rPr>
        <w:t>по доходам,</w:t>
      </w:r>
      <w:r w:rsidR="000A2A7A" w:rsidRPr="00FD7B0B">
        <w:rPr>
          <w:sz w:val="28"/>
          <w:szCs w:val="28"/>
        </w:rPr>
        <w:t xml:space="preserve"> получаемы</w:t>
      </w:r>
      <w:r w:rsidRPr="00FD7B0B">
        <w:rPr>
          <w:sz w:val="28"/>
          <w:szCs w:val="28"/>
        </w:rPr>
        <w:t>м</w:t>
      </w:r>
      <w:r w:rsidR="000A2A7A" w:rsidRPr="00FD7B0B">
        <w:rPr>
          <w:sz w:val="28"/>
          <w:szCs w:val="28"/>
        </w:rPr>
        <w:t xml:space="preserve"> в виде арендной платы, а также средства от продажи права на заключение договоров </w:t>
      </w:r>
      <w:r w:rsidR="000A2A7A" w:rsidRPr="00FD7B0B">
        <w:rPr>
          <w:sz w:val="28"/>
          <w:szCs w:val="28"/>
        </w:rPr>
        <w:lastRenderedPageBreak/>
        <w:t>аренды за земли, находящиеся в собственности субъектов РФ...» в сумме 301,7 млн.руб. (87,0</w:t>
      </w:r>
      <w:r w:rsidR="002E0451" w:rsidRPr="00FD7B0B">
        <w:rPr>
          <w:sz w:val="28"/>
          <w:szCs w:val="28"/>
        </w:rPr>
        <w:t xml:space="preserve"> </w:t>
      </w:r>
      <w:r w:rsidR="000A2A7A" w:rsidRPr="00FD7B0B">
        <w:rPr>
          <w:sz w:val="28"/>
          <w:szCs w:val="28"/>
        </w:rPr>
        <w:t>%), в том числе задолженность, относящаяся к буду</w:t>
      </w:r>
      <w:r w:rsidRPr="00FD7B0B">
        <w:rPr>
          <w:sz w:val="28"/>
          <w:szCs w:val="28"/>
        </w:rPr>
        <w:t xml:space="preserve">щим периодам </w:t>
      </w:r>
      <w:r w:rsidR="002E0451" w:rsidRPr="00FD7B0B">
        <w:rPr>
          <w:sz w:val="28"/>
          <w:szCs w:val="28"/>
        </w:rPr>
        <w:t xml:space="preserve">– </w:t>
      </w:r>
      <w:r w:rsidRPr="00FD7B0B">
        <w:rPr>
          <w:sz w:val="28"/>
          <w:szCs w:val="28"/>
        </w:rPr>
        <w:t>298,0 млн.руб.</w:t>
      </w:r>
    </w:p>
    <w:p w14:paraId="2642DDD7" w14:textId="69A6FE7C" w:rsidR="000A2A7A" w:rsidRPr="00FD7B0B" w:rsidRDefault="000A2A7A" w:rsidP="000A2A7A">
      <w:pPr>
        <w:pStyle w:val="1a"/>
        <w:widowControl/>
        <w:spacing w:before="0" w:after="0" w:line="240" w:lineRule="auto"/>
        <w:ind w:firstLine="720"/>
        <w:rPr>
          <w:sz w:val="28"/>
          <w:szCs w:val="28"/>
        </w:rPr>
      </w:pPr>
      <w:r w:rsidRPr="00FD7B0B">
        <w:rPr>
          <w:sz w:val="28"/>
          <w:szCs w:val="28"/>
        </w:rPr>
        <w:t>Увеличение дебиторской задолженности по доходам от использования имущества, в том числе дебиторская задолженность относящаяся к будущим периодам, обусловлено применением стандарта бухгалтерского учета для организаций государственного сектора «Об утверждении федерального стандарта бухгалтерского учета для организаций государственного сектора «Аренда» от 31.12.2016 №258н (далее – ФС БУ «Аренда»), в соответствии с которым признана дебиторская задолженность по расчетам по договорам аренды в сумме за оставшийся срок действия договора аренды.</w:t>
      </w:r>
    </w:p>
    <w:p w14:paraId="6E453C25" w14:textId="61F342C9" w:rsidR="000A2A7A" w:rsidRPr="00FD7B0B" w:rsidRDefault="000A2A7A" w:rsidP="000A2A7A">
      <w:pPr>
        <w:pStyle w:val="1a"/>
        <w:widowControl/>
        <w:spacing w:before="0" w:after="0" w:line="240" w:lineRule="auto"/>
        <w:ind w:firstLine="720"/>
        <w:rPr>
          <w:sz w:val="28"/>
          <w:szCs w:val="28"/>
        </w:rPr>
      </w:pPr>
      <w:r w:rsidRPr="00FD7B0B">
        <w:rPr>
          <w:sz w:val="28"/>
          <w:szCs w:val="28"/>
        </w:rPr>
        <w:t>Просроченная дебиторская задолженность на конец 2024 года составила 39,4 млн.руб. и увеличилась в 9,9 раза или на 35,5 млн.руб. раза по сравнению с показателями на начало 2024 года, из них значительная сумма задолженности составляет задолженность от АО «2-ой Архангельский объединенный авиаотряд» в части выплаты дивидендов – 34,8 млн.руб. или 88,3</w:t>
      </w:r>
      <w:r w:rsidR="006701C9" w:rsidRPr="00FD7B0B">
        <w:rPr>
          <w:sz w:val="28"/>
          <w:szCs w:val="28"/>
        </w:rPr>
        <w:t xml:space="preserve"> </w:t>
      </w:r>
      <w:r w:rsidRPr="00FD7B0B">
        <w:rPr>
          <w:sz w:val="28"/>
          <w:szCs w:val="28"/>
        </w:rPr>
        <w:t xml:space="preserve">% ввиду </w:t>
      </w:r>
      <w:r w:rsidR="006701C9" w:rsidRPr="00FD7B0B">
        <w:rPr>
          <w:sz w:val="28"/>
          <w:szCs w:val="28"/>
        </w:rPr>
        <w:t>отсутствия собственных средств.</w:t>
      </w:r>
    </w:p>
    <w:p w14:paraId="2BD23451" w14:textId="77777777" w:rsidR="00E4335D" w:rsidRPr="00FD7B0B" w:rsidRDefault="00E4335D" w:rsidP="000A2A7A">
      <w:pPr>
        <w:pStyle w:val="1a"/>
        <w:widowControl/>
        <w:spacing w:before="0" w:after="0" w:line="240" w:lineRule="auto"/>
        <w:ind w:firstLine="720"/>
        <w:rPr>
          <w:sz w:val="28"/>
          <w:szCs w:val="28"/>
        </w:rPr>
      </w:pPr>
    </w:p>
    <w:p w14:paraId="71215CBC" w14:textId="3A2DD07B"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9. </w:t>
      </w:r>
      <w:r w:rsidRPr="00FD7B0B">
        <w:rPr>
          <w:sz w:val="28"/>
          <w:szCs w:val="28"/>
          <w:u w:val="single"/>
        </w:rPr>
        <w:t>Платежи при пользовании природными ресурсами</w:t>
      </w:r>
      <w:r w:rsidRPr="00FD7B0B">
        <w:rPr>
          <w:sz w:val="28"/>
          <w:szCs w:val="28"/>
        </w:rPr>
        <w:t xml:space="preserve"> за 2024 год поступили в сумме 1 777,0 млн.руб., что составляет 109,0 % (+146,4 млн.руб.) к показателям кассового плана 2024 года (1 630,6 млн.руб.). По сравнению с поступлением за 2023 год (1 490,0 млн.руб.) указанные платежи увеличились на 287,0 млн.руб. или на 19,3 %.</w:t>
      </w:r>
    </w:p>
    <w:p w14:paraId="27EF9DE5"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План поступления платежей при пользовании природными ресурсами с учетом сложившейся динамики в 2024 году увеличен в сентябре (областной закон от 26.09.2024 № 126-10-ОЗ) на 258,2 млн.руб. (+18,8 %), из них: прогноз платы за негативное воздействие на окружающую среду увеличен на 52,2 млн.руб., что в результате составляет 182,3 млн.руб.; прогноз платежей при пользовании недрами увеличен на 61,7 млн.руб., что в результате составляет 81,1 млн.руб.; прогноз доходов за использование лесов увеличен на 144,3 млн.руб., что в результате составляет 1 367,2 млн.руб.;</w:t>
      </w:r>
    </w:p>
    <w:p w14:paraId="2E892EF0" w14:textId="3FA04BBF" w:rsidR="000A2A7A" w:rsidRPr="00FD7B0B" w:rsidRDefault="000A2A7A" w:rsidP="000A2A7A">
      <w:pPr>
        <w:pStyle w:val="1a"/>
        <w:widowControl/>
        <w:spacing w:before="0" w:after="0" w:line="240" w:lineRule="auto"/>
        <w:ind w:firstLine="720"/>
        <w:rPr>
          <w:sz w:val="28"/>
          <w:szCs w:val="28"/>
        </w:rPr>
      </w:pPr>
      <w:r w:rsidRPr="00FD7B0B">
        <w:rPr>
          <w:sz w:val="28"/>
          <w:szCs w:val="28"/>
        </w:rPr>
        <w:t>Поступление платежей при пользовании природными ресурсами за 2022–2024 годы представлено в таблице</w:t>
      </w:r>
      <w:r w:rsidR="009F5B96" w:rsidRPr="00FD7B0B">
        <w:rPr>
          <w:sz w:val="28"/>
          <w:szCs w:val="28"/>
        </w:rPr>
        <w:t xml:space="preserve"> </w:t>
      </w:r>
      <w:r w:rsidR="006E6954" w:rsidRPr="00FD7B0B">
        <w:rPr>
          <w:sz w:val="28"/>
          <w:szCs w:val="28"/>
        </w:rPr>
        <w:t>37</w:t>
      </w:r>
      <w:r w:rsidRPr="00FD7B0B">
        <w:rPr>
          <w:sz w:val="28"/>
          <w:szCs w:val="28"/>
        </w:rPr>
        <w:t>.</w:t>
      </w:r>
    </w:p>
    <w:p w14:paraId="5FDA715F" w14:textId="77777777" w:rsidR="000A2A7A" w:rsidRPr="00FD7B0B" w:rsidRDefault="000A2A7A" w:rsidP="000A2A7A">
      <w:pPr>
        <w:pStyle w:val="aff0"/>
        <w:spacing w:after="0" w:line="240" w:lineRule="auto"/>
        <w:rPr>
          <w:rFonts w:ascii="Times New Roman" w:hAnsi="Times New Roman"/>
          <w:b w:val="0"/>
          <w:sz w:val="24"/>
          <w:szCs w:val="24"/>
        </w:rPr>
      </w:pPr>
    </w:p>
    <w:p w14:paraId="5A3C2E97"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37</w:t>
      </w:r>
      <w:r w:rsidRPr="00FD7B0B">
        <w:rPr>
          <w:rFonts w:ascii="Times New Roman" w:hAnsi="Times New Roman"/>
          <w:b w:val="0"/>
          <w:sz w:val="24"/>
          <w:szCs w:val="24"/>
        </w:rPr>
        <w:fldChar w:fldCharType="end"/>
      </w:r>
      <w:r w:rsidRPr="00FD7B0B">
        <w:rPr>
          <w:rFonts w:ascii="Times New Roman" w:hAnsi="Times New Roman"/>
          <w:b w:val="0"/>
          <w:sz w:val="24"/>
          <w:szCs w:val="24"/>
        </w:rPr>
        <w:t>. Поступление платежей при пользовании природными ресурсами в 2022-2024 годах, млн.руб.</w:t>
      </w:r>
    </w:p>
    <w:tbl>
      <w:tblPr>
        <w:tblW w:w="9592"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4395"/>
        <w:gridCol w:w="993"/>
        <w:gridCol w:w="992"/>
        <w:gridCol w:w="1058"/>
        <w:gridCol w:w="1069"/>
        <w:gridCol w:w="1085"/>
      </w:tblGrid>
      <w:tr w:rsidR="00FD7B0B" w:rsidRPr="00FD7B0B" w14:paraId="0C563335" w14:textId="77777777" w:rsidTr="00A62520">
        <w:trPr>
          <w:trHeight w:val="128"/>
          <w:tblHeader/>
        </w:trPr>
        <w:tc>
          <w:tcPr>
            <w:tcW w:w="4395" w:type="dxa"/>
            <w:vMerge w:val="restart"/>
            <w:shd w:val="clear" w:color="auto" w:fill="auto"/>
            <w:vAlign w:val="center"/>
            <w:hideMark/>
          </w:tcPr>
          <w:p w14:paraId="51D431F8" w14:textId="77777777" w:rsidR="009F5B96" w:rsidRPr="00FD7B0B" w:rsidRDefault="009F5B96"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Наименование показателя</w:t>
            </w:r>
          </w:p>
        </w:tc>
        <w:tc>
          <w:tcPr>
            <w:tcW w:w="993" w:type="dxa"/>
            <w:vMerge w:val="restart"/>
            <w:shd w:val="clear" w:color="auto" w:fill="auto"/>
            <w:vAlign w:val="center"/>
            <w:hideMark/>
          </w:tcPr>
          <w:p w14:paraId="5EDD3AC5" w14:textId="77777777" w:rsidR="009F5B96" w:rsidRPr="00FD7B0B" w:rsidRDefault="009F5B96" w:rsidP="000A2A7A">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Факт 2023 год</w:t>
            </w:r>
          </w:p>
        </w:tc>
        <w:tc>
          <w:tcPr>
            <w:tcW w:w="2050" w:type="dxa"/>
            <w:gridSpan w:val="2"/>
            <w:vMerge w:val="restart"/>
            <w:shd w:val="clear" w:color="auto" w:fill="auto"/>
            <w:vAlign w:val="center"/>
            <w:hideMark/>
          </w:tcPr>
          <w:p w14:paraId="68249286" w14:textId="77777777" w:rsidR="009F5B96" w:rsidRPr="00FD7B0B" w:rsidRDefault="009F5B96" w:rsidP="000A2A7A">
            <w:pPr>
              <w:spacing w:after="0" w:line="240" w:lineRule="auto"/>
              <w:ind w:left="-73"/>
              <w:jc w:val="center"/>
              <w:rPr>
                <w:rFonts w:ascii="Times New Roman" w:eastAsia="Times New Roman" w:hAnsi="Times New Roman"/>
                <w:lang w:eastAsia="ru-RU"/>
              </w:rPr>
            </w:pPr>
            <w:r w:rsidRPr="00FD7B0B">
              <w:rPr>
                <w:rFonts w:ascii="Times New Roman" w:eastAsia="Times New Roman" w:hAnsi="Times New Roman"/>
                <w:lang w:eastAsia="ru-RU"/>
              </w:rPr>
              <w:t>2024 год</w:t>
            </w:r>
          </w:p>
        </w:tc>
        <w:tc>
          <w:tcPr>
            <w:tcW w:w="2154" w:type="dxa"/>
            <w:gridSpan w:val="2"/>
            <w:shd w:val="clear" w:color="auto" w:fill="auto"/>
            <w:vAlign w:val="center"/>
          </w:tcPr>
          <w:p w14:paraId="5E15FB4A" w14:textId="77777777" w:rsidR="009F5B96" w:rsidRPr="00FD7B0B" w:rsidRDefault="009F5B96" w:rsidP="000A2A7A">
            <w:pPr>
              <w:spacing w:after="0" w:line="240" w:lineRule="auto"/>
              <w:ind w:left="-93" w:right="-95"/>
              <w:jc w:val="center"/>
              <w:rPr>
                <w:rFonts w:ascii="Times New Roman" w:eastAsia="Times New Roman" w:hAnsi="Times New Roman"/>
                <w:lang w:eastAsia="ru-RU"/>
              </w:rPr>
            </w:pPr>
            <w:r w:rsidRPr="00FD7B0B">
              <w:rPr>
                <w:rFonts w:ascii="Times New Roman" w:eastAsia="Times New Roman" w:hAnsi="Times New Roman"/>
                <w:lang w:eastAsia="ru-RU"/>
              </w:rPr>
              <w:t>2024 года</w:t>
            </w:r>
          </w:p>
        </w:tc>
      </w:tr>
      <w:tr w:rsidR="00FD7B0B" w:rsidRPr="00FD7B0B" w14:paraId="42329979" w14:textId="77777777" w:rsidTr="00A62520">
        <w:trPr>
          <w:trHeight w:val="127"/>
          <w:tblHeader/>
        </w:trPr>
        <w:tc>
          <w:tcPr>
            <w:tcW w:w="4395" w:type="dxa"/>
            <w:vMerge/>
            <w:shd w:val="clear" w:color="auto" w:fill="auto"/>
            <w:vAlign w:val="center"/>
          </w:tcPr>
          <w:p w14:paraId="61F72C41" w14:textId="77777777" w:rsidR="009F5B96" w:rsidRPr="00FD7B0B" w:rsidRDefault="009F5B96" w:rsidP="000A2A7A">
            <w:pPr>
              <w:spacing w:after="0" w:line="240" w:lineRule="auto"/>
              <w:jc w:val="center"/>
              <w:rPr>
                <w:rFonts w:ascii="Times New Roman" w:eastAsia="Times New Roman" w:hAnsi="Times New Roman"/>
                <w:lang w:eastAsia="ru-RU"/>
              </w:rPr>
            </w:pPr>
          </w:p>
        </w:tc>
        <w:tc>
          <w:tcPr>
            <w:tcW w:w="993" w:type="dxa"/>
            <w:vMerge/>
            <w:shd w:val="clear" w:color="auto" w:fill="auto"/>
            <w:vAlign w:val="center"/>
          </w:tcPr>
          <w:p w14:paraId="07A0D6F0" w14:textId="77777777" w:rsidR="009F5B96" w:rsidRPr="00FD7B0B" w:rsidRDefault="009F5B96" w:rsidP="000A2A7A">
            <w:pPr>
              <w:spacing w:after="0" w:line="240" w:lineRule="auto"/>
              <w:ind w:left="-108" w:right="-108"/>
              <w:jc w:val="center"/>
              <w:rPr>
                <w:rFonts w:ascii="Times New Roman" w:eastAsia="Times New Roman" w:hAnsi="Times New Roman"/>
                <w:lang w:eastAsia="ru-RU"/>
              </w:rPr>
            </w:pPr>
          </w:p>
        </w:tc>
        <w:tc>
          <w:tcPr>
            <w:tcW w:w="2050" w:type="dxa"/>
            <w:gridSpan w:val="2"/>
            <w:vMerge/>
            <w:shd w:val="clear" w:color="auto" w:fill="auto"/>
            <w:vAlign w:val="center"/>
          </w:tcPr>
          <w:p w14:paraId="40625FAC" w14:textId="77777777" w:rsidR="009F5B96" w:rsidRPr="00FD7B0B" w:rsidRDefault="009F5B96" w:rsidP="000A2A7A">
            <w:pPr>
              <w:spacing w:after="0" w:line="240" w:lineRule="auto"/>
              <w:ind w:left="-73"/>
              <w:jc w:val="center"/>
              <w:rPr>
                <w:rFonts w:ascii="Times New Roman" w:eastAsia="Times New Roman" w:hAnsi="Times New Roman"/>
                <w:lang w:eastAsia="ru-RU"/>
              </w:rPr>
            </w:pPr>
          </w:p>
        </w:tc>
        <w:tc>
          <w:tcPr>
            <w:tcW w:w="2154" w:type="dxa"/>
            <w:gridSpan w:val="2"/>
            <w:shd w:val="clear" w:color="auto" w:fill="auto"/>
            <w:vAlign w:val="center"/>
          </w:tcPr>
          <w:p w14:paraId="18FD22F4" w14:textId="77777777" w:rsidR="009F5B96" w:rsidRPr="00FD7B0B" w:rsidRDefault="009F5B96" w:rsidP="000A2A7A">
            <w:pPr>
              <w:spacing w:after="0" w:line="240" w:lineRule="auto"/>
              <w:ind w:left="-93" w:right="-95"/>
              <w:jc w:val="center"/>
              <w:rPr>
                <w:rFonts w:ascii="Times New Roman" w:eastAsia="Times New Roman" w:hAnsi="Times New Roman"/>
                <w:lang w:eastAsia="ru-RU"/>
              </w:rPr>
            </w:pPr>
            <w:r w:rsidRPr="00FD7B0B">
              <w:rPr>
                <w:rFonts w:ascii="Times New Roman" w:eastAsia="Times New Roman" w:hAnsi="Times New Roman"/>
                <w:lang w:eastAsia="ru-RU"/>
              </w:rPr>
              <w:t>Исполнение к плану</w:t>
            </w:r>
          </w:p>
        </w:tc>
      </w:tr>
      <w:tr w:rsidR="00FD7B0B" w:rsidRPr="00FD7B0B" w14:paraId="7937DDD3" w14:textId="77777777" w:rsidTr="00A62520">
        <w:trPr>
          <w:trHeight w:val="35"/>
          <w:tblHeader/>
        </w:trPr>
        <w:tc>
          <w:tcPr>
            <w:tcW w:w="4395" w:type="dxa"/>
            <w:vMerge/>
            <w:shd w:val="clear" w:color="auto" w:fill="auto"/>
            <w:vAlign w:val="center"/>
            <w:hideMark/>
          </w:tcPr>
          <w:p w14:paraId="2A367E97" w14:textId="77777777" w:rsidR="009F5B96" w:rsidRPr="00FD7B0B" w:rsidRDefault="009F5B96" w:rsidP="000A2A7A">
            <w:pPr>
              <w:spacing w:after="0" w:line="240" w:lineRule="auto"/>
              <w:rPr>
                <w:rFonts w:ascii="Times New Roman" w:eastAsia="Times New Roman" w:hAnsi="Times New Roman"/>
                <w:lang w:eastAsia="ru-RU"/>
              </w:rPr>
            </w:pPr>
          </w:p>
        </w:tc>
        <w:tc>
          <w:tcPr>
            <w:tcW w:w="993" w:type="dxa"/>
            <w:vMerge/>
            <w:shd w:val="clear" w:color="auto" w:fill="auto"/>
            <w:vAlign w:val="center"/>
            <w:hideMark/>
          </w:tcPr>
          <w:p w14:paraId="1AF0559E" w14:textId="77777777" w:rsidR="009F5B96" w:rsidRPr="00FD7B0B" w:rsidRDefault="009F5B96" w:rsidP="000A2A7A">
            <w:pPr>
              <w:spacing w:after="0" w:line="240" w:lineRule="auto"/>
              <w:rPr>
                <w:rFonts w:ascii="Times New Roman" w:eastAsia="Times New Roman" w:hAnsi="Times New Roman"/>
                <w:lang w:eastAsia="ru-RU"/>
              </w:rPr>
            </w:pPr>
          </w:p>
        </w:tc>
        <w:tc>
          <w:tcPr>
            <w:tcW w:w="992" w:type="dxa"/>
            <w:shd w:val="clear" w:color="auto" w:fill="auto"/>
            <w:vAlign w:val="center"/>
            <w:hideMark/>
          </w:tcPr>
          <w:p w14:paraId="11114E51" w14:textId="77777777" w:rsidR="009F5B96" w:rsidRPr="00FD7B0B" w:rsidRDefault="009F5B96" w:rsidP="000A2A7A">
            <w:pPr>
              <w:spacing w:after="0" w:line="240" w:lineRule="auto"/>
              <w:ind w:left="-108"/>
              <w:jc w:val="center"/>
              <w:rPr>
                <w:rFonts w:ascii="Times New Roman" w:eastAsia="Times New Roman" w:hAnsi="Times New Roman"/>
                <w:lang w:eastAsia="ru-RU"/>
              </w:rPr>
            </w:pPr>
            <w:r w:rsidRPr="00FD7B0B">
              <w:rPr>
                <w:rFonts w:ascii="Times New Roman" w:eastAsia="Times New Roman" w:hAnsi="Times New Roman"/>
                <w:lang w:eastAsia="ru-RU"/>
              </w:rPr>
              <w:t>КП</w:t>
            </w:r>
          </w:p>
        </w:tc>
        <w:tc>
          <w:tcPr>
            <w:tcW w:w="1058" w:type="dxa"/>
            <w:shd w:val="clear" w:color="auto" w:fill="auto"/>
            <w:vAlign w:val="center"/>
            <w:hideMark/>
          </w:tcPr>
          <w:p w14:paraId="5FF62A94" w14:textId="77777777" w:rsidR="009F5B96" w:rsidRPr="00FD7B0B" w:rsidRDefault="009F5B96"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Факт</w:t>
            </w:r>
          </w:p>
        </w:tc>
        <w:tc>
          <w:tcPr>
            <w:tcW w:w="1069" w:type="dxa"/>
            <w:shd w:val="clear" w:color="auto" w:fill="auto"/>
            <w:vAlign w:val="center"/>
            <w:hideMark/>
          </w:tcPr>
          <w:p w14:paraId="01CC4F9A" w14:textId="77777777" w:rsidR="009F5B96" w:rsidRPr="00FD7B0B" w:rsidRDefault="009F5B96" w:rsidP="000A2A7A">
            <w:pPr>
              <w:spacing w:after="0" w:line="240" w:lineRule="auto"/>
              <w:jc w:val="center"/>
              <w:rPr>
                <w:rFonts w:ascii="Times New Roman" w:eastAsia="Times New Roman" w:hAnsi="Times New Roman"/>
                <w:bCs/>
                <w:lang w:eastAsia="ru-RU"/>
              </w:rPr>
            </w:pPr>
            <w:r w:rsidRPr="00FD7B0B">
              <w:rPr>
                <w:rFonts w:ascii="Times New Roman" w:eastAsia="Times New Roman" w:hAnsi="Times New Roman"/>
                <w:bCs/>
                <w:lang w:eastAsia="ru-RU"/>
              </w:rPr>
              <w:t>млн.руб.</w:t>
            </w:r>
            <w:r w:rsidRPr="00FD7B0B">
              <w:rPr>
                <w:rFonts w:ascii="Times New Roman" w:eastAsia="Times New Roman" w:hAnsi="Times New Roman"/>
                <w:lang w:eastAsia="ru-RU"/>
              </w:rPr>
              <w:t xml:space="preserve"> </w:t>
            </w:r>
          </w:p>
        </w:tc>
        <w:tc>
          <w:tcPr>
            <w:tcW w:w="1085" w:type="dxa"/>
            <w:vAlign w:val="center"/>
          </w:tcPr>
          <w:p w14:paraId="161686A3" w14:textId="77777777" w:rsidR="009F5B96" w:rsidRPr="00FD7B0B" w:rsidRDefault="009F5B96" w:rsidP="000A2A7A">
            <w:pPr>
              <w:spacing w:after="0" w:line="240" w:lineRule="auto"/>
              <w:jc w:val="center"/>
              <w:rPr>
                <w:rFonts w:ascii="Times New Roman" w:eastAsia="Times New Roman" w:hAnsi="Times New Roman"/>
                <w:bCs/>
                <w:lang w:eastAsia="ru-RU"/>
              </w:rPr>
            </w:pPr>
            <w:r w:rsidRPr="00FD7B0B">
              <w:rPr>
                <w:rFonts w:ascii="Times New Roman" w:eastAsia="Times New Roman" w:hAnsi="Times New Roman"/>
                <w:sz w:val="20"/>
                <w:szCs w:val="20"/>
                <w:lang w:eastAsia="ru-RU"/>
              </w:rPr>
              <w:t>%</w:t>
            </w:r>
          </w:p>
        </w:tc>
      </w:tr>
      <w:tr w:rsidR="00FD7B0B" w:rsidRPr="00FD7B0B" w14:paraId="79ED393E" w14:textId="77777777" w:rsidTr="00A62520">
        <w:trPr>
          <w:trHeight w:val="207"/>
          <w:tblHeader/>
        </w:trPr>
        <w:tc>
          <w:tcPr>
            <w:tcW w:w="4395" w:type="dxa"/>
            <w:shd w:val="clear" w:color="auto" w:fill="auto"/>
            <w:vAlign w:val="center"/>
            <w:hideMark/>
          </w:tcPr>
          <w:p w14:paraId="6F45EAD9" w14:textId="77777777" w:rsidR="009F5B96" w:rsidRPr="00FD7B0B" w:rsidRDefault="009F5B96"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А</w:t>
            </w:r>
          </w:p>
        </w:tc>
        <w:tc>
          <w:tcPr>
            <w:tcW w:w="993" w:type="dxa"/>
            <w:shd w:val="clear" w:color="auto" w:fill="auto"/>
            <w:vAlign w:val="center"/>
            <w:hideMark/>
          </w:tcPr>
          <w:p w14:paraId="4E4CB265" w14:textId="4BAC1141" w:rsidR="009F5B96" w:rsidRPr="00FD7B0B" w:rsidRDefault="009F5B96"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992" w:type="dxa"/>
            <w:shd w:val="clear" w:color="auto" w:fill="auto"/>
            <w:vAlign w:val="center"/>
            <w:hideMark/>
          </w:tcPr>
          <w:p w14:paraId="6F64ACBF" w14:textId="6ED662A3" w:rsidR="009F5B96" w:rsidRPr="00FD7B0B" w:rsidRDefault="009F5B96" w:rsidP="000A2A7A">
            <w:pPr>
              <w:spacing w:after="0" w:line="240" w:lineRule="auto"/>
              <w:ind w:left="-108"/>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1058" w:type="dxa"/>
            <w:shd w:val="clear" w:color="auto" w:fill="auto"/>
            <w:vAlign w:val="center"/>
            <w:hideMark/>
          </w:tcPr>
          <w:p w14:paraId="04441659" w14:textId="6ECA3A0C" w:rsidR="009F5B96" w:rsidRPr="00FD7B0B" w:rsidRDefault="009F5B96"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3</w:t>
            </w:r>
          </w:p>
        </w:tc>
        <w:tc>
          <w:tcPr>
            <w:tcW w:w="1069" w:type="dxa"/>
            <w:shd w:val="clear" w:color="auto" w:fill="auto"/>
            <w:noWrap/>
            <w:vAlign w:val="center"/>
            <w:hideMark/>
          </w:tcPr>
          <w:p w14:paraId="431A0AA8" w14:textId="20FC6CE2" w:rsidR="009F5B96" w:rsidRPr="00FD7B0B" w:rsidRDefault="009F5B96" w:rsidP="00A62520">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w:t>
            </w:r>
            <w:r w:rsidR="00A62520" w:rsidRPr="00FD7B0B">
              <w:rPr>
                <w:rFonts w:ascii="Times New Roman" w:eastAsia="Times New Roman" w:hAnsi="Times New Roman"/>
                <w:sz w:val="20"/>
                <w:szCs w:val="20"/>
                <w:lang w:eastAsia="ru-RU"/>
              </w:rPr>
              <w:t>3</w:t>
            </w:r>
            <w:r w:rsidRPr="00FD7B0B">
              <w:rPr>
                <w:rFonts w:ascii="Times New Roman" w:eastAsia="Times New Roman" w:hAnsi="Times New Roman"/>
                <w:sz w:val="20"/>
                <w:szCs w:val="20"/>
                <w:lang w:val="en-US" w:eastAsia="ru-RU"/>
              </w:rPr>
              <w:t>-</w:t>
            </w:r>
            <w:r w:rsidR="00A62520" w:rsidRPr="00FD7B0B">
              <w:rPr>
                <w:rFonts w:ascii="Times New Roman" w:eastAsia="Times New Roman" w:hAnsi="Times New Roman"/>
                <w:sz w:val="20"/>
                <w:szCs w:val="20"/>
                <w:lang w:eastAsia="ru-RU"/>
              </w:rPr>
              <w:t>2</w:t>
            </w:r>
          </w:p>
        </w:tc>
        <w:tc>
          <w:tcPr>
            <w:tcW w:w="1085" w:type="dxa"/>
            <w:vAlign w:val="center"/>
          </w:tcPr>
          <w:p w14:paraId="59179CF5" w14:textId="6974D296" w:rsidR="009F5B96" w:rsidRPr="00FD7B0B" w:rsidRDefault="009F5B96" w:rsidP="00A62520">
            <w:pPr>
              <w:spacing w:after="0" w:line="240" w:lineRule="auto"/>
              <w:jc w:val="center"/>
              <w:rPr>
                <w:rFonts w:ascii="Times New Roman" w:eastAsia="Times New Roman" w:hAnsi="Times New Roman"/>
                <w:sz w:val="20"/>
                <w:szCs w:val="20"/>
                <w:lang w:val="en-US" w:eastAsia="ru-RU"/>
              </w:rPr>
            </w:pPr>
            <w:r w:rsidRPr="00FD7B0B">
              <w:rPr>
                <w:rFonts w:ascii="Times New Roman" w:eastAsia="Times New Roman" w:hAnsi="Times New Roman"/>
                <w:sz w:val="20"/>
                <w:szCs w:val="20"/>
                <w:lang w:val="en-US" w:eastAsia="ru-RU"/>
              </w:rPr>
              <w:t>6</w:t>
            </w:r>
            <w:r w:rsidRPr="00FD7B0B">
              <w:rPr>
                <w:rFonts w:ascii="Times New Roman" w:eastAsia="Times New Roman" w:hAnsi="Times New Roman"/>
                <w:sz w:val="20"/>
                <w:szCs w:val="20"/>
                <w:lang w:eastAsia="ru-RU"/>
              </w:rPr>
              <w:t>=</w:t>
            </w:r>
            <w:r w:rsidR="00A62520" w:rsidRPr="00FD7B0B">
              <w:rPr>
                <w:rFonts w:ascii="Times New Roman" w:eastAsia="Times New Roman" w:hAnsi="Times New Roman"/>
                <w:sz w:val="20"/>
                <w:szCs w:val="20"/>
                <w:lang w:eastAsia="ru-RU"/>
              </w:rPr>
              <w:t>3</w:t>
            </w:r>
            <w:r w:rsidRPr="00FD7B0B">
              <w:rPr>
                <w:rFonts w:ascii="Times New Roman" w:eastAsia="Times New Roman" w:hAnsi="Times New Roman"/>
                <w:sz w:val="20"/>
                <w:szCs w:val="20"/>
                <w:lang w:eastAsia="ru-RU"/>
              </w:rPr>
              <w:t>/</w:t>
            </w:r>
            <w:r w:rsidR="00A62520" w:rsidRPr="00FD7B0B">
              <w:rPr>
                <w:rFonts w:ascii="Times New Roman" w:eastAsia="Times New Roman" w:hAnsi="Times New Roman"/>
                <w:sz w:val="20"/>
                <w:szCs w:val="20"/>
                <w:lang w:eastAsia="ru-RU"/>
              </w:rPr>
              <w:t>2</w:t>
            </w:r>
            <w:r w:rsidRPr="00FD7B0B">
              <w:rPr>
                <w:rFonts w:ascii="Times New Roman" w:eastAsia="Times New Roman" w:hAnsi="Times New Roman"/>
                <w:sz w:val="20"/>
                <w:szCs w:val="20"/>
                <w:lang w:eastAsia="ru-RU"/>
              </w:rPr>
              <w:t>*100</w:t>
            </w:r>
          </w:p>
        </w:tc>
      </w:tr>
      <w:tr w:rsidR="00FD7B0B" w:rsidRPr="00FD7B0B" w14:paraId="7B6AB247" w14:textId="77777777" w:rsidTr="00A62520">
        <w:trPr>
          <w:trHeight w:val="466"/>
        </w:trPr>
        <w:tc>
          <w:tcPr>
            <w:tcW w:w="4395" w:type="dxa"/>
            <w:shd w:val="clear" w:color="auto" w:fill="auto"/>
            <w:vAlign w:val="center"/>
            <w:hideMark/>
          </w:tcPr>
          <w:p w14:paraId="1CBA025A" w14:textId="77777777" w:rsidR="009F5B96" w:rsidRPr="00FD7B0B" w:rsidRDefault="009F5B96" w:rsidP="000A2A7A">
            <w:pPr>
              <w:spacing w:after="0" w:line="240" w:lineRule="auto"/>
              <w:ind w:left="-108" w:right="-148"/>
              <w:rPr>
                <w:rFonts w:ascii="Times New Roman" w:eastAsia="Times New Roman" w:hAnsi="Times New Roman"/>
                <w:lang w:eastAsia="ru-RU"/>
              </w:rPr>
            </w:pPr>
            <w:r w:rsidRPr="00FD7B0B">
              <w:rPr>
                <w:rFonts w:ascii="Times New Roman" w:eastAsia="Times New Roman" w:hAnsi="Times New Roman"/>
                <w:lang w:eastAsia="ru-RU"/>
              </w:rPr>
              <w:t xml:space="preserve">Платежи при пользовании природными ресурсами, </w:t>
            </w:r>
            <w:r w:rsidRPr="00FD7B0B">
              <w:rPr>
                <w:rFonts w:ascii="Times New Roman" w:eastAsia="Times New Roman" w:hAnsi="Times New Roman"/>
                <w:b/>
                <w:bCs/>
                <w:i/>
                <w:iCs/>
                <w:lang w:eastAsia="ru-RU"/>
              </w:rPr>
              <w:t>в том числе:</w:t>
            </w:r>
          </w:p>
        </w:tc>
        <w:tc>
          <w:tcPr>
            <w:tcW w:w="993" w:type="dxa"/>
            <w:shd w:val="clear" w:color="auto" w:fill="auto"/>
            <w:vAlign w:val="bottom"/>
            <w:hideMark/>
          </w:tcPr>
          <w:p w14:paraId="3716E1D4"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1 490,0 </w:t>
            </w:r>
          </w:p>
        </w:tc>
        <w:tc>
          <w:tcPr>
            <w:tcW w:w="992" w:type="dxa"/>
            <w:shd w:val="clear" w:color="auto" w:fill="auto"/>
            <w:vAlign w:val="bottom"/>
            <w:hideMark/>
          </w:tcPr>
          <w:p w14:paraId="03E2551D" w14:textId="77777777" w:rsidR="009F5B96" w:rsidRPr="00FD7B0B" w:rsidRDefault="009F5B96" w:rsidP="000A2A7A">
            <w:pPr>
              <w:spacing w:after="0" w:line="240" w:lineRule="auto"/>
              <w:ind w:left="-108"/>
              <w:jc w:val="right"/>
              <w:rPr>
                <w:rFonts w:ascii="Times New Roman" w:eastAsia="Times New Roman" w:hAnsi="Times New Roman"/>
                <w:lang w:eastAsia="ru-RU"/>
              </w:rPr>
            </w:pPr>
            <w:r w:rsidRPr="00FD7B0B">
              <w:rPr>
                <w:rFonts w:ascii="Times New Roman" w:eastAsia="Times New Roman" w:hAnsi="Times New Roman"/>
                <w:lang w:eastAsia="ru-RU"/>
              </w:rPr>
              <w:t xml:space="preserve">1 630,6 </w:t>
            </w:r>
          </w:p>
        </w:tc>
        <w:tc>
          <w:tcPr>
            <w:tcW w:w="1058" w:type="dxa"/>
            <w:shd w:val="clear" w:color="auto" w:fill="auto"/>
            <w:vAlign w:val="bottom"/>
            <w:hideMark/>
          </w:tcPr>
          <w:p w14:paraId="1CE7FDDF"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1 777,0 </w:t>
            </w:r>
          </w:p>
        </w:tc>
        <w:tc>
          <w:tcPr>
            <w:tcW w:w="1069" w:type="dxa"/>
            <w:shd w:val="clear" w:color="auto" w:fill="auto"/>
            <w:vAlign w:val="bottom"/>
          </w:tcPr>
          <w:p w14:paraId="0B0320AB"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146,4</w:t>
            </w:r>
          </w:p>
        </w:tc>
        <w:tc>
          <w:tcPr>
            <w:tcW w:w="1085" w:type="dxa"/>
            <w:vAlign w:val="bottom"/>
          </w:tcPr>
          <w:p w14:paraId="1208ECA2"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109,0 </w:t>
            </w:r>
          </w:p>
        </w:tc>
      </w:tr>
      <w:tr w:rsidR="00FD7B0B" w:rsidRPr="00FD7B0B" w14:paraId="0EDE64DB" w14:textId="77777777" w:rsidTr="00A62520">
        <w:trPr>
          <w:trHeight w:val="374"/>
        </w:trPr>
        <w:tc>
          <w:tcPr>
            <w:tcW w:w="4395" w:type="dxa"/>
            <w:shd w:val="clear" w:color="auto" w:fill="auto"/>
            <w:vAlign w:val="center"/>
            <w:hideMark/>
          </w:tcPr>
          <w:p w14:paraId="47464D2C" w14:textId="77777777" w:rsidR="009F5B96" w:rsidRPr="00FD7B0B" w:rsidRDefault="009F5B96" w:rsidP="000A2A7A">
            <w:pPr>
              <w:spacing w:after="0" w:line="240" w:lineRule="auto"/>
              <w:ind w:firstLineChars="144" w:firstLine="317"/>
              <w:rPr>
                <w:rFonts w:ascii="Times New Roman" w:eastAsia="Times New Roman" w:hAnsi="Times New Roman"/>
                <w:lang w:eastAsia="ru-RU"/>
              </w:rPr>
            </w:pPr>
            <w:r w:rsidRPr="00FD7B0B">
              <w:rPr>
                <w:rFonts w:ascii="Times New Roman" w:eastAsia="Times New Roman" w:hAnsi="Times New Roman"/>
                <w:lang w:eastAsia="ru-RU"/>
              </w:rPr>
              <w:t>112 01 плата за негативное воздействие на окружающую среду</w:t>
            </w:r>
          </w:p>
        </w:tc>
        <w:tc>
          <w:tcPr>
            <w:tcW w:w="993" w:type="dxa"/>
            <w:shd w:val="clear" w:color="auto" w:fill="auto"/>
            <w:vAlign w:val="bottom"/>
            <w:hideMark/>
          </w:tcPr>
          <w:p w14:paraId="22D7804B"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143,3 </w:t>
            </w:r>
          </w:p>
        </w:tc>
        <w:tc>
          <w:tcPr>
            <w:tcW w:w="992" w:type="dxa"/>
            <w:shd w:val="clear" w:color="auto" w:fill="auto"/>
            <w:vAlign w:val="bottom"/>
            <w:hideMark/>
          </w:tcPr>
          <w:p w14:paraId="40618780" w14:textId="77777777" w:rsidR="009F5B96" w:rsidRPr="00FD7B0B" w:rsidRDefault="009F5B96" w:rsidP="000A2A7A">
            <w:pPr>
              <w:spacing w:after="0" w:line="240" w:lineRule="auto"/>
              <w:ind w:left="-108"/>
              <w:jc w:val="right"/>
              <w:rPr>
                <w:rFonts w:ascii="Times New Roman" w:eastAsia="Times New Roman" w:hAnsi="Times New Roman"/>
                <w:lang w:eastAsia="ru-RU"/>
              </w:rPr>
            </w:pPr>
            <w:r w:rsidRPr="00FD7B0B">
              <w:rPr>
                <w:rFonts w:ascii="Times New Roman" w:eastAsia="Times New Roman" w:hAnsi="Times New Roman"/>
                <w:lang w:eastAsia="ru-RU"/>
              </w:rPr>
              <w:t xml:space="preserve">182,3 </w:t>
            </w:r>
          </w:p>
        </w:tc>
        <w:tc>
          <w:tcPr>
            <w:tcW w:w="1058" w:type="dxa"/>
            <w:shd w:val="clear" w:color="auto" w:fill="auto"/>
            <w:vAlign w:val="bottom"/>
            <w:hideMark/>
          </w:tcPr>
          <w:p w14:paraId="78981390"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231,3 </w:t>
            </w:r>
          </w:p>
        </w:tc>
        <w:tc>
          <w:tcPr>
            <w:tcW w:w="1069" w:type="dxa"/>
            <w:shd w:val="clear" w:color="auto" w:fill="auto"/>
            <w:vAlign w:val="bottom"/>
          </w:tcPr>
          <w:p w14:paraId="7D3361E3"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49,0</w:t>
            </w:r>
          </w:p>
        </w:tc>
        <w:tc>
          <w:tcPr>
            <w:tcW w:w="1085" w:type="dxa"/>
            <w:vAlign w:val="bottom"/>
          </w:tcPr>
          <w:p w14:paraId="373F34EE"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126,9 </w:t>
            </w:r>
          </w:p>
        </w:tc>
      </w:tr>
      <w:tr w:rsidR="00FD7B0B" w:rsidRPr="00FD7B0B" w14:paraId="24FF0A27" w14:textId="77777777" w:rsidTr="00A62520">
        <w:trPr>
          <w:trHeight w:val="283"/>
        </w:trPr>
        <w:tc>
          <w:tcPr>
            <w:tcW w:w="4395" w:type="dxa"/>
            <w:shd w:val="clear" w:color="auto" w:fill="auto"/>
            <w:vAlign w:val="center"/>
            <w:hideMark/>
          </w:tcPr>
          <w:p w14:paraId="04CFE999" w14:textId="77777777" w:rsidR="009F5B96" w:rsidRPr="00FD7B0B" w:rsidRDefault="009F5B96" w:rsidP="000A2A7A">
            <w:pPr>
              <w:spacing w:after="0" w:line="240" w:lineRule="auto"/>
              <w:ind w:firstLineChars="144" w:firstLine="317"/>
              <w:rPr>
                <w:rFonts w:ascii="Times New Roman" w:eastAsia="Times New Roman" w:hAnsi="Times New Roman"/>
                <w:lang w:eastAsia="ru-RU"/>
              </w:rPr>
            </w:pPr>
            <w:r w:rsidRPr="00FD7B0B">
              <w:rPr>
                <w:rFonts w:ascii="Times New Roman" w:eastAsia="Times New Roman" w:hAnsi="Times New Roman"/>
                <w:lang w:eastAsia="ru-RU"/>
              </w:rPr>
              <w:t>112 02 платежи при пользовании недрами</w:t>
            </w:r>
          </w:p>
        </w:tc>
        <w:tc>
          <w:tcPr>
            <w:tcW w:w="993" w:type="dxa"/>
            <w:shd w:val="clear" w:color="auto" w:fill="auto"/>
            <w:vAlign w:val="bottom"/>
            <w:hideMark/>
          </w:tcPr>
          <w:p w14:paraId="5DC203C6"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57,4 </w:t>
            </w:r>
          </w:p>
        </w:tc>
        <w:tc>
          <w:tcPr>
            <w:tcW w:w="992" w:type="dxa"/>
            <w:shd w:val="clear" w:color="auto" w:fill="auto"/>
            <w:vAlign w:val="bottom"/>
            <w:hideMark/>
          </w:tcPr>
          <w:p w14:paraId="7717BD96" w14:textId="77777777" w:rsidR="009F5B96" w:rsidRPr="00FD7B0B" w:rsidRDefault="009F5B96" w:rsidP="000A2A7A">
            <w:pPr>
              <w:spacing w:after="0" w:line="240" w:lineRule="auto"/>
              <w:ind w:left="-108"/>
              <w:jc w:val="right"/>
              <w:rPr>
                <w:rFonts w:ascii="Times New Roman" w:eastAsia="Times New Roman" w:hAnsi="Times New Roman"/>
                <w:lang w:eastAsia="ru-RU"/>
              </w:rPr>
            </w:pPr>
            <w:r w:rsidRPr="00FD7B0B">
              <w:rPr>
                <w:rFonts w:ascii="Times New Roman" w:eastAsia="Times New Roman" w:hAnsi="Times New Roman"/>
                <w:lang w:eastAsia="ru-RU"/>
              </w:rPr>
              <w:t xml:space="preserve">81,1 </w:t>
            </w:r>
          </w:p>
        </w:tc>
        <w:tc>
          <w:tcPr>
            <w:tcW w:w="1058" w:type="dxa"/>
            <w:shd w:val="clear" w:color="auto" w:fill="auto"/>
            <w:vAlign w:val="bottom"/>
            <w:hideMark/>
          </w:tcPr>
          <w:p w14:paraId="64D10A97"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87,8 </w:t>
            </w:r>
          </w:p>
        </w:tc>
        <w:tc>
          <w:tcPr>
            <w:tcW w:w="1069" w:type="dxa"/>
            <w:shd w:val="clear" w:color="auto" w:fill="auto"/>
            <w:vAlign w:val="bottom"/>
          </w:tcPr>
          <w:p w14:paraId="429040A9"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6,7</w:t>
            </w:r>
          </w:p>
        </w:tc>
        <w:tc>
          <w:tcPr>
            <w:tcW w:w="1085" w:type="dxa"/>
            <w:vAlign w:val="bottom"/>
          </w:tcPr>
          <w:p w14:paraId="330D6C43"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108,3 </w:t>
            </w:r>
          </w:p>
        </w:tc>
      </w:tr>
      <w:tr w:rsidR="00FD7B0B" w:rsidRPr="00FD7B0B" w14:paraId="362F0FB9" w14:textId="77777777" w:rsidTr="00A62520">
        <w:trPr>
          <w:trHeight w:val="259"/>
        </w:trPr>
        <w:tc>
          <w:tcPr>
            <w:tcW w:w="4395" w:type="dxa"/>
            <w:shd w:val="clear" w:color="auto" w:fill="auto"/>
            <w:vAlign w:val="center"/>
            <w:hideMark/>
          </w:tcPr>
          <w:p w14:paraId="67353C67" w14:textId="77777777" w:rsidR="009F5B96" w:rsidRPr="00FD7B0B" w:rsidRDefault="009F5B96" w:rsidP="000A2A7A">
            <w:pPr>
              <w:spacing w:after="0" w:line="240" w:lineRule="auto"/>
              <w:ind w:firstLineChars="144" w:firstLine="317"/>
              <w:rPr>
                <w:rFonts w:ascii="Times New Roman" w:eastAsia="Times New Roman" w:hAnsi="Times New Roman"/>
                <w:lang w:eastAsia="ru-RU"/>
              </w:rPr>
            </w:pPr>
            <w:r w:rsidRPr="00FD7B0B">
              <w:rPr>
                <w:rFonts w:ascii="Times New Roman" w:eastAsia="Times New Roman" w:hAnsi="Times New Roman"/>
                <w:lang w:eastAsia="ru-RU"/>
              </w:rPr>
              <w:lastRenderedPageBreak/>
              <w:t>112 04 плата за использование лесов, из них администраторы:</w:t>
            </w:r>
          </w:p>
        </w:tc>
        <w:tc>
          <w:tcPr>
            <w:tcW w:w="993" w:type="dxa"/>
            <w:shd w:val="clear" w:color="auto" w:fill="auto"/>
            <w:vAlign w:val="bottom"/>
            <w:hideMark/>
          </w:tcPr>
          <w:p w14:paraId="4492B0E3"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1 289,3 </w:t>
            </w:r>
          </w:p>
        </w:tc>
        <w:tc>
          <w:tcPr>
            <w:tcW w:w="992" w:type="dxa"/>
            <w:shd w:val="clear" w:color="auto" w:fill="auto"/>
            <w:vAlign w:val="bottom"/>
            <w:hideMark/>
          </w:tcPr>
          <w:p w14:paraId="4A98BFC5" w14:textId="77777777" w:rsidR="009F5B96" w:rsidRPr="00FD7B0B" w:rsidRDefault="009F5B96" w:rsidP="000A2A7A">
            <w:pPr>
              <w:spacing w:after="0" w:line="240" w:lineRule="auto"/>
              <w:ind w:left="-108"/>
              <w:jc w:val="right"/>
              <w:rPr>
                <w:rFonts w:ascii="Times New Roman" w:eastAsia="Times New Roman" w:hAnsi="Times New Roman"/>
                <w:lang w:eastAsia="ru-RU"/>
              </w:rPr>
            </w:pPr>
            <w:r w:rsidRPr="00FD7B0B">
              <w:rPr>
                <w:rFonts w:ascii="Times New Roman" w:eastAsia="Times New Roman" w:hAnsi="Times New Roman"/>
                <w:lang w:eastAsia="ru-RU"/>
              </w:rPr>
              <w:t xml:space="preserve">1 367,2 </w:t>
            </w:r>
          </w:p>
        </w:tc>
        <w:tc>
          <w:tcPr>
            <w:tcW w:w="1058" w:type="dxa"/>
            <w:shd w:val="clear" w:color="auto" w:fill="auto"/>
            <w:vAlign w:val="bottom"/>
            <w:hideMark/>
          </w:tcPr>
          <w:p w14:paraId="6101BF7B"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1 458,0 </w:t>
            </w:r>
          </w:p>
        </w:tc>
        <w:tc>
          <w:tcPr>
            <w:tcW w:w="1069" w:type="dxa"/>
            <w:shd w:val="clear" w:color="auto" w:fill="auto"/>
            <w:vAlign w:val="bottom"/>
          </w:tcPr>
          <w:p w14:paraId="1B1BC680"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90,8</w:t>
            </w:r>
          </w:p>
        </w:tc>
        <w:tc>
          <w:tcPr>
            <w:tcW w:w="1085" w:type="dxa"/>
            <w:vAlign w:val="bottom"/>
          </w:tcPr>
          <w:p w14:paraId="139AD6CC"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106,6 </w:t>
            </w:r>
          </w:p>
        </w:tc>
      </w:tr>
      <w:tr w:rsidR="00FD7B0B" w:rsidRPr="00FD7B0B" w14:paraId="0DD3AFC0" w14:textId="77777777" w:rsidTr="00A62520">
        <w:trPr>
          <w:trHeight w:val="259"/>
        </w:trPr>
        <w:tc>
          <w:tcPr>
            <w:tcW w:w="4395" w:type="dxa"/>
            <w:shd w:val="clear" w:color="auto" w:fill="auto"/>
            <w:vAlign w:val="center"/>
          </w:tcPr>
          <w:p w14:paraId="467B0E37" w14:textId="77777777" w:rsidR="009F5B96" w:rsidRPr="00FD7B0B" w:rsidRDefault="009F5B96" w:rsidP="000A2A7A">
            <w:pPr>
              <w:spacing w:after="0" w:line="240" w:lineRule="auto"/>
              <w:ind w:firstLineChars="144" w:firstLine="317"/>
              <w:rPr>
                <w:rFonts w:ascii="Times New Roman" w:eastAsia="Times New Roman" w:hAnsi="Times New Roman"/>
                <w:lang w:eastAsia="ru-RU"/>
              </w:rPr>
            </w:pPr>
            <w:r w:rsidRPr="00FD7B0B">
              <w:rPr>
                <w:rFonts w:ascii="Times New Roman" w:eastAsia="Times New Roman" w:hAnsi="Times New Roman"/>
                <w:lang w:eastAsia="ru-RU"/>
              </w:rPr>
              <w:t>Минприроды</w:t>
            </w:r>
          </w:p>
        </w:tc>
        <w:tc>
          <w:tcPr>
            <w:tcW w:w="993" w:type="dxa"/>
            <w:shd w:val="clear" w:color="auto" w:fill="auto"/>
            <w:vAlign w:val="bottom"/>
          </w:tcPr>
          <w:p w14:paraId="32D23E61"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1 289,3</w:t>
            </w:r>
          </w:p>
        </w:tc>
        <w:tc>
          <w:tcPr>
            <w:tcW w:w="992" w:type="dxa"/>
            <w:shd w:val="clear" w:color="auto" w:fill="auto"/>
            <w:vAlign w:val="bottom"/>
          </w:tcPr>
          <w:p w14:paraId="46AFE016" w14:textId="77777777" w:rsidR="009F5B96" w:rsidRPr="00FD7B0B" w:rsidRDefault="009F5B96" w:rsidP="000A2A7A">
            <w:pPr>
              <w:spacing w:after="0" w:line="240" w:lineRule="auto"/>
              <w:ind w:left="-108"/>
              <w:jc w:val="right"/>
              <w:rPr>
                <w:rFonts w:ascii="Times New Roman" w:eastAsia="Times New Roman" w:hAnsi="Times New Roman"/>
                <w:lang w:eastAsia="ru-RU"/>
              </w:rPr>
            </w:pPr>
            <w:r w:rsidRPr="00FD7B0B">
              <w:rPr>
                <w:rFonts w:ascii="Times New Roman" w:eastAsia="Times New Roman" w:hAnsi="Times New Roman"/>
                <w:lang w:eastAsia="ru-RU"/>
              </w:rPr>
              <w:t>1 367,2</w:t>
            </w:r>
          </w:p>
        </w:tc>
        <w:tc>
          <w:tcPr>
            <w:tcW w:w="1058" w:type="dxa"/>
            <w:shd w:val="clear" w:color="auto" w:fill="auto"/>
            <w:vAlign w:val="bottom"/>
          </w:tcPr>
          <w:p w14:paraId="64348574"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1 425,6</w:t>
            </w:r>
          </w:p>
        </w:tc>
        <w:tc>
          <w:tcPr>
            <w:tcW w:w="1069" w:type="dxa"/>
            <w:shd w:val="clear" w:color="auto" w:fill="auto"/>
            <w:vAlign w:val="bottom"/>
          </w:tcPr>
          <w:p w14:paraId="4DF0AEB2"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58,4</w:t>
            </w:r>
          </w:p>
        </w:tc>
        <w:tc>
          <w:tcPr>
            <w:tcW w:w="1085" w:type="dxa"/>
            <w:vAlign w:val="bottom"/>
          </w:tcPr>
          <w:p w14:paraId="256AD0A9"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104,3</w:t>
            </w:r>
          </w:p>
        </w:tc>
      </w:tr>
      <w:tr w:rsidR="00FD7B0B" w:rsidRPr="00FD7B0B" w14:paraId="37B623C1" w14:textId="77777777" w:rsidTr="00A62520">
        <w:trPr>
          <w:trHeight w:val="259"/>
        </w:trPr>
        <w:tc>
          <w:tcPr>
            <w:tcW w:w="4395" w:type="dxa"/>
            <w:shd w:val="clear" w:color="auto" w:fill="auto"/>
            <w:vAlign w:val="center"/>
          </w:tcPr>
          <w:p w14:paraId="0D0A0FC0" w14:textId="77777777" w:rsidR="009F5B96" w:rsidRPr="00FD7B0B" w:rsidRDefault="009F5B96" w:rsidP="000A2A7A">
            <w:pPr>
              <w:spacing w:after="0" w:line="240" w:lineRule="auto"/>
              <w:ind w:firstLineChars="144" w:firstLine="317"/>
              <w:rPr>
                <w:rFonts w:ascii="Times New Roman" w:eastAsia="Times New Roman" w:hAnsi="Times New Roman"/>
                <w:lang w:eastAsia="ru-RU"/>
              </w:rPr>
            </w:pPr>
            <w:r w:rsidRPr="00FD7B0B">
              <w:rPr>
                <w:rFonts w:ascii="Times New Roman" w:eastAsia="Times New Roman" w:hAnsi="Times New Roman"/>
                <w:lang w:eastAsia="ru-RU"/>
              </w:rPr>
              <w:t>Федеральное агентство лесного хозяйства</w:t>
            </w:r>
          </w:p>
        </w:tc>
        <w:tc>
          <w:tcPr>
            <w:tcW w:w="993" w:type="dxa"/>
            <w:shd w:val="clear" w:color="auto" w:fill="auto"/>
            <w:vAlign w:val="bottom"/>
          </w:tcPr>
          <w:p w14:paraId="7DF26945"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992" w:type="dxa"/>
            <w:shd w:val="clear" w:color="auto" w:fill="auto"/>
            <w:vAlign w:val="bottom"/>
          </w:tcPr>
          <w:p w14:paraId="57BD8243" w14:textId="77777777" w:rsidR="009F5B96" w:rsidRPr="00FD7B0B" w:rsidRDefault="009F5B96" w:rsidP="000A2A7A">
            <w:pPr>
              <w:spacing w:after="0" w:line="240" w:lineRule="auto"/>
              <w:ind w:left="-108"/>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1058" w:type="dxa"/>
            <w:shd w:val="clear" w:color="auto" w:fill="auto"/>
            <w:vAlign w:val="bottom"/>
          </w:tcPr>
          <w:p w14:paraId="1C3B2A78"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32,4</w:t>
            </w:r>
          </w:p>
        </w:tc>
        <w:tc>
          <w:tcPr>
            <w:tcW w:w="1069" w:type="dxa"/>
            <w:shd w:val="clear" w:color="auto" w:fill="auto"/>
            <w:vAlign w:val="bottom"/>
          </w:tcPr>
          <w:p w14:paraId="24D9072D"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32,4</w:t>
            </w:r>
          </w:p>
        </w:tc>
        <w:tc>
          <w:tcPr>
            <w:tcW w:w="1085" w:type="dxa"/>
            <w:vAlign w:val="bottom"/>
          </w:tcPr>
          <w:p w14:paraId="34F50B10" w14:textId="77777777" w:rsidR="009F5B96" w:rsidRPr="00FD7B0B" w:rsidRDefault="009F5B96"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х</w:t>
            </w:r>
          </w:p>
        </w:tc>
      </w:tr>
    </w:tbl>
    <w:p w14:paraId="61866CC4" w14:textId="77777777" w:rsidR="000A2A7A" w:rsidRPr="00FD7B0B" w:rsidRDefault="000A2A7A" w:rsidP="000A2A7A">
      <w:pPr>
        <w:pStyle w:val="1a"/>
        <w:widowControl/>
        <w:spacing w:before="0" w:after="0" w:line="240" w:lineRule="auto"/>
        <w:ind w:firstLine="720"/>
        <w:rPr>
          <w:sz w:val="28"/>
          <w:szCs w:val="28"/>
        </w:rPr>
      </w:pPr>
    </w:p>
    <w:p w14:paraId="7D078A3E" w14:textId="714C6DBD" w:rsidR="000A2A7A" w:rsidRPr="00FD7B0B" w:rsidRDefault="000A2A7A" w:rsidP="000A2A7A">
      <w:pPr>
        <w:pStyle w:val="1a"/>
        <w:widowControl/>
        <w:spacing w:before="0" w:after="0" w:line="240" w:lineRule="auto"/>
        <w:ind w:firstLine="720"/>
        <w:rPr>
          <w:sz w:val="28"/>
          <w:szCs w:val="28"/>
        </w:rPr>
      </w:pPr>
      <w:r w:rsidRPr="00FD7B0B">
        <w:rPr>
          <w:sz w:val="28"/>
          <w:szCs w:val="28"/>
        </w:rPr>
        <w:t>Основную долю платежей при пользовании природными ресурсами администрирует министерство природных ресурсов и лесопромышленного комплекса Архангельской области (далее – Минприроды), что составляет 1 510,4 млн.руб. или 85,0</w:t>
      </w:r>
      <w:r w:rsidR="00097133" w:rsidRPr="00FD7B0B">
        <w:rPr>
          <w:sz w:val="28"/>
          <w:szCs w:val="28"/>
        </w:rPr>
        <w:t xml:space="preserve"> %.</w:t>
      </w:r>
    </w:p>
    <w:p w14:paraId="254F7412" w14:textId="09B7741C"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9.1. Значительную долю в объеме поступивших платежей при пользовании природными ресурсами в 2024 году в соответствии с представленной информацией Минприроды составляет </w:t>
      </w:r>
      <w:r w:rsidRPr="00FD7B0B">
        <w:rPr>
          <w:sz w:val="28"/>
          <w:szCs w:val="28"/>
          <w:u w:val="single"/>
        </w:rPr>
        <w:t>плата за использование лесов</w:t>
      </w:r>
      <w:r w:rsidRPr="00FD7B0B">
        <w:rPr>
          <w:sz w:val="28"/>
          <w:szCs w:val="28"/>
        </w:rPr>
        <w:t xml:space="preserve"> – 1 425,5 млн.руб. или 97,8 %</w:t>
      </w:r>
      <w:r w:rsidR="00097133" w:rsidRPr="00FD7B0B">
        <w:rPr>
          <w:sz w:val="28"/>
          <w:szCs w:val="28"/>
        </w:rPr>
        <w:t>,</w:t>
      </w:r>
      <w:r w:rsidRPr="00FD7B0B">
        <w:rPr>
          <w:sz w:val="28"/>
          <w:szCs w:val="28"/>
        </w:rPr>
        <w:t xml:space="preserve"> и годовые показатели кассового плана (1 367,2 млн.руб.) перевыполнены на 4,3 %. Поступления указанных платежей за отчетный год увеличились к показателям поступления за 2023 год на 136,3 млн.руб. или на 10,5</w:t>
      </w:r>
      <w:r w:rsidR="004A3B6D" w:rsidRPr="00FD7B0B">
        <w:rPr>
          <w:sz w:val="28"/>
          <w:szCs w:val="28"/>
        </w:rPr>
        <w:t xml:space="preserve"> </w:t>
      </w:r>
      <w:r w:rsidRPr="00FD7B0B">
        <w:rPr>
          <w:sz w:val="28"/>
          <w:szCs w:val="28"/>
        </w:rPr>
        <w:t>%, что обеспечено ростом поступлений по договорам купли-продажи лесных насаждений.</w:t>
      </w:r>
    </w:p>
    <w:p w14:paraId="7424A0A4" w14:textId="53A05C56"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Сложившиеся показатели платы за использование лесов в целом обеспечены объемом отпущенной древесины за год – 21 021,9 тыс.куб.м, что на 3,5</w:t>
      </w:r>
      <w:r w:rsidR="00104E84" w:rsidRPr="00FD7B0B">
        <w:rPr>
          <w:rFonts w:ascii="Times New Roman" w:hAnsi="Times New Roman"/>
          <w:sz w:val="28"/>
          <w:szCs w:val="28"/>
        </w:rPr>
        <w:t xml:space="preserve"> </w:t>
      </w:r>
      <w:r w:rsidRPr="00FD7B0B">
        <w:rPr>
          <w:rFonts w:ascii="Times New Roman" w:hAnsi="Times New Roman"/>
          <w:sz w:val="28"/>
          <w:szCs w:val="28"/>
        </w:rPr>
        <w:t>% меньше от планируемого объема отпуска древесины за год (21 790,0 тыс.куб.м), меньше на 2,1 % объема отпущенной древесины в 2023 году (отпущено – 21 466,7 тыс.куб.м) и меньше на 2,1 % объема отпущенной древесины в 2022 году (отпущено – 21 640,4 тыс.куб.м).</w:t>
      </w:r>
    </w:p>
    <w:p w14:paraId="3C33A612" w14:textId="45C7A2B8"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 xml:space="preserve">Информация об объемах отпуска древесины и начисленной платы за использование лесов в 2022 – 2024 годах представлены в таблице </w:t>
      </w:r>
      <w:r w:rsidR="006E6954" w:rsidRPr="00FD7B0B">
        <w:rPr>
          <w:rFonts w:ascii="Times New Roman" w:hAnsi="Times New Roman"/>
          <w:sz w:val="28"/>
          <w:szCs w:val="28"/>
        </w:rPr>
        <w:t>38</w:t>
      </w:r>
      <w:r w:rsidRPr="00FD7B0B">
        <w:rPr>
          <w:rFonts w:ascii="Times New Roman" w:hAnsi="Times New Roman"/>
          <w:sz w:val="28"/>
          <w:szCs w:val="28"/>
        </w:rPr>
        <w:t>.</w:t>
      </w:r>
    </w:p>
    <w:p w14:paraId="2476C8FF" w14:textId="77777777" w:rsidR="000A2A7A" w:rsidRPr="00FD7B0B" w:rsidRDefault="000A2A7A" w:rsidP="000A2A7A">
      <w:pPr>
        <w:pStyle w:val="ad"/>
        <w:ind w:firstLine="709"/>
        <w:jc w:val="both"/>
        <w:rPr>
          <w:rFonts w:ascii="Times New Roman" w:hAnsi="Times New Roman"/>
          <w:sz w:val="20"/>
          <w:szCs w:val="20"/>
        </w:rPr>
      </w:pPr>
    </w:p>
    <w:p w14:paraId="7C09AAE9" w14:textId="77777777" w:rsidR="000A2A7A" w:rsidRPr="00FD7B0B" w:rsidRDefault="000A2A7A" w:rsidP="000A2A7A">
      <w:pPr>
        <w:pStyle w:val="aff0"/>
        <w:spacing w:after="0" w:line="240" w:lineRule="auto"/>
        <w:rPr>
          <w:rFonts w:ascii="Times New Roman" w:hAnsi="Times New Roman"/>
          <w:b w:val="0"/>
          <w:bCs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38</w:t>
      </w:r>
      <w:r w:rsidRPr="00FD7B0B">
        <w:rPr>
          <w:rFonts w:ascii="Times New Roman" w:hAnsi="Times New Roman"/>
          <w:b w:val="0"/>
          <w:sz w:val="24"/>
          <w:szCs w:val="24"/>
        </w:rPr>
        <w:fldChar w:fldCharType="end"/>
      </w:r>
      <w:r w:rsidRPr="00FD7B0B">
        <w:rPr>
          <w:rFonts w:ascii="Times New Roman" w:hAnsi="Times New Roman"/>
          <w:b w:val="0"/>
          <w:noProof/>
          <w:sz w:val="24"/>
          <w:szCs w:val="24"/>
        </w:rPr>
        <w:t xml:space="preserve">. </w:t>
      </w:r>
      <w:r w:rsidRPr="00FD7B0B">
        <w:rPr>
          <w:rFonts w:ascii="Times New Roman" w:hAnsi="Times New Roman"/>
          <w:b w:val="0"/>
          <w:bCs w:val="0"/>
          <w:sz w:val="24"/>
          <w:szCs w:val="24"/>
        </w:rPr>
        <w:t>Объемы отпуска древесины и платежи за использование лесов в 2022 – 2024 годах (по информации администратора платежей – Минприроды), млн.руб.</w:t>
      </w:r>
    </w:p>
    <w:tbl>
      <w:tblPr>
        <w:tblW w:w="9699" w:type="dxa"/>
        <w:tblInd w:w="-23" w:type="dxa"/>
        <w:tblLayout w:type="fixed"/>
        <w:tblLook w:val="04A0" w:firstRow="1" w:lastRow="0" w:firstColumn="1" w:lastColumn="0" w:noHBand="0" w:noVBand="1"/>
      </w:tblPr>
      <w:tblGrid>
        <w:gridCol w:w="3261"/>
        <w:gridCol w:w="1019"/>
        <w:gridCol w:w="823"/>
        <w:gridCol w:w="1019"/>
        <w:gridCol w:w="796"/>
        <w:gridCol w:w="939"/>
        <w:gridCol w:w="992"/>
        <w:gridCol w:w="850"/>
      </w:tblGrid>
      <w:tr w:rsidR="00FD7B0B" w:rsidRPr="00FD7B0B" w14:paraId="05C05817" w14:textId="77777777" w:rsidTr="000A2A7A">
        <w:trPr>
          <w:trHeight w:val="123"/>
          <w:tblHeader/>
        </w:trPr>
        <w:tc>
          <w:tcPr>
            <w:tcW w:w="32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9EEA967"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Наименование показателя</w:t>
            </w:r>
          </w:p>
        </w:tc>
        <w:tc>
          <w:tcPr>
            <w:tcW w:w="1842"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73E59886"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2022 год</w:t>
            </w:r>
          </w:p>
        </w:tc>
        <w:tc>
          <w:tcPr>
            <w:tcW w:w="1815" w:type="dxa"/>
            <w:gridSpan w:val="2"/>
            <w:tcBorders>
              <w:top w:val="double" w:sz="6" w:space="0" w:color="auto"/>
              <w:left w:val="nil"/>
              <w:bottom w:val="single" w:sz="4" w:space="0" w:color="auto"/>
              <w:right w:val="single" w:sz="4" w:space="0" w:color="auto"/>
            </w:tcBorders>
            <w:shd w:val="clear" w:color="auto" w:fill="auto"/>
            <w:vAlign w:val="center"/>
            <w:hideMark/>
          </w:tcPr>
          <w:p w14:paraId="4A195127"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2023 год</w:t>
            </w:r>
          </w:p>
        </w:tc>
        <w:tc>
          <w:tcPr>
            <w:tcW w:w="2781" w:type="dxa"/>
            <w:gridSpan w:val="3"/>
            <w:tcBorders>
              <w:top w:val="double" w:sz="6" w:space="0" w:color="auto"/>
              <w:left w:val="nil"/>
              <w:bottom w:val="single" w:sz="4" w:space="0" w:color="auto"/>
              <w:right w:val="double" w:sz="6" w:space="0" w:color="auto"/>
            </w:tcBorders>
            <w:shd w:val="clear" w:color="auto" w:fill="auto"/>
            <w:vAlign w:val="center"/>
            <w:hideMark/>
          </w:tcPr>
          <w:p w14:paraId="484B2467"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2024 год</w:t>
            </w:r>
          </w:p>
        </w:tc>
      </w:tr>
      <w:tr w:rsidR="00FD7B0B" w:rsidRPr="00FD7B0B" w14:paraId="2F82F11A" w14:textId="77777777" w:rsidTr="000A2A7A">
        <w:trPr>
          <w:trHeight w:val="656"/>
          <w:tblHeader/>
        </w:trPr>
        <w:tc>
          <w:tcPr>
            <w:tcW w:w="3261" w:type="dxa"/>
            <w:vMerge/>
            <w:tcBorders>
              <w:top w:val="double" w:sz="6" w:space="0" w:color="auto"/>
              <w:left w:val="double" w:sz="6" w:space="0" w:color="auto"/>
              <w:bottom w:val="single" w:sz="4" w:space="0" w:color="auto"/>
              <w:right w:val="single" w:sz="4" w:space="0" w:color="auto"/>
            </w:tcBorders>
            <w:shd w:val="clear" w:color="auto" w:fill="auto"/>
            <w:vAlign w:val="center"/>
            <w:hideMark/>
          </w:tcPr>
          <w:p w14:paraId="3F002793" w14:textId="77777777" w:rsidR="000A2A7A" w:rsidRPr="00FD7B0B" w:rsidRDefault="000A2A7A" w:rsidP="000A2A7A">
            <w:pPr>
              <w:spacing w:after="0" w:line="240" w:lineRule="auto"/>
              <w:rPr>
                <w:rFonts w:ascii="Times New Roman" w:eastAsia="Times New Roman" w:hAnsi="Times New Roman"/>
                <w:lang w:eastAsia="ru-RU"/>
              </w:rPr>
            </w:pP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3FAF53E" w14:textId="77777777" w:rsidR="000A2A7A" w:rsidRPr="00FD7B0B" w:rsidRDefault="000A2A7A" w:rsidP="000A2A7A">
            <w:pPr>
              <w:spacing w:after="0" w:line="240" w:lineRule="auto"/>
              <w:ind w:left="-108" w:right="-81"/>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отпуск древесины (факт), тыс. куб.м</w:t>
            </w:r>
          </w:p>
        </w:tc>
        <w:tc>
          <w:tcPr>
            <w:tcW w:w="823" w:type="dxa"/>
            <w:tcBorders>
              <w:top w:val="single" w:sz="4" w:space="0" w:color="auto"/>
              <w:left w:val="nil"/>
              <w:bottom w:val="single" w:sz="4" w:space="0" w:color="auto"/>
              <w:right w:val="single" w:sz="4" w:space="0" w:color="auto"/>
            </w:tcBorders>
            <w:shd w:val="clear" w:color="auto" w:fill="auto"/>
            <w:vAlign w:val="center"/>
            <w:hideMark/>
          </w:tcPr>
          <w:p w14:paraId="4D9EFFE6" w14:textId="77777777" w:rsidR="000A2A7A" w:rsidRPr="00FD7B0B" w:rsidRDefault="000A2A7A" w:rsidP="000A2A7A">
            <w:pPr>
              <w:spacing w:after="0" w:line="240" w:lineRule="auto"/>
              <w:ind w:left="-108" w:right="-81"/>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плата, млн.руб.</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7CBF31E" w14:textId="77777777" w:rsidR="000A2A7A" w:rsidRPr="00FD7B0B" w:rsidRDefault="000A2A7A" w:rsidP="000A2A7A">
            <w:pPr>
              <w:spacing w:after="0" w:line="240" w:lineRule="auto"/>
              <w:ind w:left="-108" w:right="-81"/>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отпуск древесины (факт), тыс. куб.м</w:t>
            </w:r>
          </w:p>
        </w:tc>
        <w:tc>
          <w:tcPr>
            <w:tcW w:w="796" w:type="dxa"/>
            <w:tcBorders>
              <w:top w:val="single" w:sz="4" w:space="0" w:color="auto"/>
              <w:left w:val="nil"/>
              <w:bottom w:val="single" w:sz="4" w:space="0" w:color="auto"/>
              <w:right w:val="single" w:sz="4" w:space="0" w:color="auto"/>
            </w:tcBorders>
            <w:shd w:val="clear" w:color="auto" w:fill="auto"/>
            <w:vAlign w:val="center"/>
            <w:hideMark/>
          </w:tcPr>
          <w:p w14:paraId="163ABA91" w14:textId="77777777" w:rsidR="000A2A7A" w:rsidRPr="00FD7B0B" w:rsidRDefault="000A2A7A" w:rsidP="000A2A7A">
            <w:pPr>
              <w:spacing w:after="0" w:line="240" w:lineRule="auto"/>
              <w:ind w:left="-108" w:right="-81"/>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плата, млн.руб.</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6613F908" w14:textId="77777777" w:rsidR="000A2A7A" w:rsidRPr="00FD7B0B" w:rsidRDefault="000A2A7A" w:rsidP="000A2A7A">
            <w:pPr>
              <w:spacing w:after="0" w:line="240" w:lineRule="auto"/>
              <w:ind w:left="-108" w:right="-81"/>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отпуск древесины (план), тыс. куб.м</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7459621" w14:textId="77777777" w:rsidR="000A2A7A" w:rsidRPr="00FD7B0B" w:rsidRDefault="000A2A7A" w:rsidP="000A2A7A">
            <w:pPr>
              <w:spacing w:after="0" w:line="240" w:lineRule="auto"/>
              <w:ind w:left="-108" w:right="-81"/>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отпуск древесины (факт), тыс. куб.м</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339D2AE2" w14:textId="77777777" w:rsidR="000A2A7A" w:rsidRPr="00FD7B0B" w:rsidRDefault="000A2A7A" w:rsidP="000A2A7A">
            <w:pPr>
              <w:spacing w:after="0" w:line="240" w:lineRule="auto"/>
              <w:ind w:left="-108" w:right="-81"/>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плата (факт), млн.руб.</w:t>
            </w:r>
          </w:p>
        </w:tc>
      </w:tr>
      <w:tr w:rsidR="00FD7B0B" w:rsidRPr="00FD7B0B" w14:paraId="79443740" w14:textId="77777777" w:rsidTr="000A2A7A">
        <w:trPr>
          <w:trHeight w:val="70"/>
          <w:tblHeader/>
        </w:trPr>
        <w:tc>
          <w:tcPr>
            <w:tcW w:w="3261" w:type="dxa"/>
            <w:tcBorders>
              <w:top w:val="nil"/>
              <w:left w:val="double" w:sz="6" w:space="0" w:color="auto"/>
              <w:bottom w:val="single" w:sz="4" w:space="0" w:color="auto"/>
              <w:right w:val="single" w:sz="4" w:space="0" w:color="auto"/>
            </w:tcBorders>
            <w:shd w:val="clear" w:color="auto" w:fill="auto"/>
            <w:vAlign w:val="center"/>
            <w:hideMark/>
          </w:tcPr>
          <w:p w14:paraId="4D68337C"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А</w:t>
            </w:r>
          </w:p>
        </w:tc>
        <w:tc>
          <w:tcPr>
            <w:tcW w:w="1019" w:type="dxa"/>
            <w:tcBorders>
              <w:top w:val="nil"/>
              <w:left w:val="nil"/>
              <w:bottom w:val="single" w:sz="4" w:space="0" w:color="auto"/>
              <w:right w:val="single" w:sz="4" w:space="0" w:color="auto"/>
            </w:tcBorders>
            <w:shd w:val="clear" w:color="auto" w:fill="auto"/>
            <w:vAlign w:val="center"/>
            <w:hideMark/>
          </w:tcPr>
          <w:p w14:paraId="318BE900" w14:textId="77777777" w:rsidR="000A2A7A" w:rsidRPr="00FD7B0B" w:rsidRDefault="000A2A7A" w:rsidP="000A2A7A">
            <w:pPr>
              <w:spacing w:after="0" w:line="240" w:lineRule="auto"/>
              <w:ind w:left="-108" w:right="-81"/>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823" w:type="dxa"/>
            <w:tcBorders>
              <w:top w:val="nil"/>
              <w:left w:val="nil"/>
              <w:bottom w:val="single" w:sz="4" w:space="0" w:color="auto"/>
              <w:right w:val="single" w:sz="4" w:space="0" w:color="auto"/>
            </w:tcBorders>
            <w:shd w:val="clear" w:color="auto" w:fill="auto"/>
            <w:vAlign w:val="center"/>
            <w:hideMark/>
          </w:tcPr>
          <w:p w14:paraId="5F766D61" w14:textId="77777777" w:rsidR="000A2A7A" w:rsidRPr="00FD7B0B" w:rsidRDefault="000A2A7A" w:rsidP="000A2A7A">
            <w:pPr>
              <w:spacing w:after="0" w:line="240" w:lineRule="auto"/>
              <w:ind w:left="-108" w:right="-81"/>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1019" w:type="dxa"/>
            <w:tcBorders>
              <w:top w:val="nil"/>
              <w:left w:val="nil"/>
              <w:bottom w:val="single" w:sz="4" w:space="0" w:color="auto"/>
              <w:right w:val="single" w:sz="4" w:space="0" w:color="auto"/>
            </w:tcBorders>
            <w:shd w:val="clear" w:color="auto" w:fill="auto"/>
            <w:vAlign w:val="center"/>
            <w:hideMark/>
          </w:tcPr>
          <w:p w14:paraId="5D4F0DE9" w14:textId="77777777" w:rsidR="000A2A7A" w:rsidRPr="00FD7B0B" w:rsidRDefault="000A2A7A" w:rsidP="000A2A7A">
            <w:pPr>
              <w:spacing w:after="0" w:line="240" w:lineRule="auto"/>
              <w:ind w:left="-108" w:right="-81"/>
              <w:jc w:val="center"/>
              <w:rPr>
                <w:rFonts w:ascii="Times New Roman" w:eastAsia="Times New Roman" w:hAnsi="Times New Roman"/>
                <w:lang w:eastAsia="ru-RU"/>
              </w:rPr>
            </w:pPr>
            <w:r w:rsidRPr="00FD7B0B">
              <w:rPr>
                <w:rFonts w:ascii="Times New Roman" w:eastAsia="Times New Roman" w:hAnsi="Times New Roman"/>
                <w:lang w:eastAsia="ru-RU"/>
              </w:rPr>
              <w:t>3</w:t>
            </w:r>
          </w:p>
        </w:tc>
        <w:tc>
          <w:tcPr>
            <w:tcW w:w="796" w:type="dxa"/>
            <w:tcBorders>
              <w:top w:val="nil"/>
              <w:left w:val="nil"/>
              <w:bottom w:val="single" w:sz="4" w:space="0" w:color="auto"/>
              <w:right w:val="single" w:sz="4" w:space="0" w:color="auto"/>
            </w:tcBorders>
            <w:shd w:val="clear" w:color="auto" w:fill="auto"/>
            <w:vAlign w:val="center"/>
            <w:hideMark/>
          </w:tcPr>
          <w:p w14:paraId="3CD57E29" w14:textId="77777777" w:rsidR="000A2A7A" w:rsidRPr="00FD7B0B" w:rsidRDefault="000A2A7A" w:rsidP="000A2A7A">
            <w:pPr>
              <w:spacing w:after="0" w:line="240" w:lineRule="auto"/>
              <w:ind w:left="-108" w:right="-81"/>
              <w:jc w:val="center"/>
              <w:rPr>
                <w:rFonts w:ascii="Times New Roman" w:eastAsia="Times New Roman" w:hAnsi="Times New Roman"/>
                <w:lang w:eastAsia="ru-RU"/>
              </w:rPr>
            </w:pPr>
            <w:r w:rsidRPr="00FD7B0B">
              <w:rPr>
                <w:rFonts w:ascii="Times New Roman" w:eastAsia="Times New Roman" w:hAnsi="Times New Roman"/>
                <w:lang w:eastAsia="ru-RU"/>
              </w:rPr>
              <w:t>4</w:t>
            </w:r>
          </w:p>
        </w:tc>
        <w:tc>
          <w:tcPr>
            <w:tcW w:w="939" w:type="dxa"/>
            <w:tcBorders>
              <w:top w:val="nil"/>
              <w:left w:val="nil"/>
              <w:bottom w:val="single" w:sz="4" w:space="0" w:color="auto"/>
              <w:right w:val="single" w:sz="4" w:space="0" w:color="auto"/>
            </w:tcBorders>
            <w:shd w:val="clear" w:color="auto" w:fill="auto"/>
            <w:vAlign w:val="center"/>
            <w:hideMark/>
          </w:tcPr>
          <w:p w14:paraId="6555AE8E" w14:textId="77777777" w:rsidR="000A2A7A" w:rsidRPr="00FD7B0B" w:rsidRDefault="000A2A7A" w:rsidP="000A2A7A">
            <w:pPr>
              <w:spacing w:after="0" w:line="240" w:lineRule="auto"/>
              <w:ind w:left="-108" w:right="-81"/>
              <w:jc w:val="center"/>
              <w:rPr>
                <w:rFonts w:ascii="Times New Roman" w:eastAsia="Times New Roman" w:hAnsi="Times New Roman"/>
                <w:lang w:eastAsia="ru-RU"/>
              </w:rPr>
            </w:pPr>
            <w:r w:rsidRPr="00FD7B0B">
              <w:rPr>
                <w:rFonts w:ascii="Times New Roman" w:eastAsia="Times New Roman" w:hAnsi="Times New Roman"/>
                <w:lang w:eastAsia="ru-RU"/>
              </w:rPr>
              <w:t>5</w:t>
            </w:r>
          </w:p>
        </w:tc>
        <w:tc>
          <w:tcPr>
            <w:tcW w:w="992" w:type="dxa"/>
            <w:tcBorders>
              <w:top w:val="nil"/>
              <w:left w:val="nil"/>
              <w:bottom w:val="single" w:sz="4" w:space="0" w:color="auto"/>
              <w:right w:val="single" w:sz="4" w:space="0" w:color="auto"/>
            </w:tcBorders>
            <w:shd w:val="clear" w:color="auto" w:fill="auto"/>
            <w:vAlign w:val="center"/>
            <w:hideMark/>
          </w:tcPr>
          <w:p w14:paraId="23165840" w14:textId="77777777" w:rsidR="000A2A7A" w:rsidRPr="00FD7B0B" w:rsidRDefault="000A2A7A" w:rsidP="000A2A7A">
            <w:pPr>
              <w:spacing w:after="0" w:line="240" w:lineRule="auto"/>
              <w:ind w:left="-108" w:right="-81"/>
              <w:jc w:val="center"/>
              <w:rPr>
                <w:rFonts w:ascii="Times New Roman" w:eastAsia="Times New Roman" w:hAnsi="Times New Roman"/>
                <w:lang w:eastAsia="ru-RU"/>
              </w:rPr>
            </w:pPr>
            <w:r w:rsidRPr="00FD7B0B">
              <w:rPr>
                <w:rFonts w:ascii="Times New Roman" w:eastAsia="Times New Roman" w:hAnsi="Times New Roman"/>
                <w:lang w:eastAsia="ru-RU"/>
              </w:rPr>
              <w:t>6</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2B4460D9" w14:textId="77777777" w:rsidR="000A2A7A" w:rsidRPr="00FD7B0B" w:rsidRDefault="000A2A7A" w:rsidP="000A2A7A">
            <w:pPr>
              <w:spacing w:after="0" w:line="240" w:lineRule="auto"/>
              <w:ind w:left="-108" w:right="-81"/>
              <w:jc w:val="center"/>
              <w:rPr>
                <w:rFonts w:ascii="Times New Roman" w:eastAsia="Times New Roman" w:hAnsi="Times New Roman"/>
                <w:lang w:eastAsia="ru-RU"/>
              </w:rPr>
            </w:pPr>
            <w:r w:rsidRPr="00FD7B0B">
              <w:rPr>
                <w:rFonts w:ascii="Times New Roman" w:eastAsia="Times New Roman" w:hAnsi="Times New Roman"/>
                <w:lang w:eastAsia="ru-RU"/>
              </w:rPr>
              <w:t>7</w:t>
            </w:r>
          </w:p>
        </w:tc>
      </w:tr>
      <w:tr w:rsidR="00FD7B0B" w:rsidRPr="00FD7B0B" w14:paraId="5BBB8009" w14:textId="77777777" w:rsidTr="000A2A7A">
        <w:trPr>
          <w:trHeight w:val="366"/>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49088AF6"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Плата за использование лесов, </w:t>
            </w:r>
            <w:r w:rsidRPr="00FD7B0B">
              <w:rPr>
                <w:rFonts w:ascii="Times New Roman" w:eastAsia="Times New Roman" w:hAnsi="Times New Roman"/>
                <w:i/>
                <w:iCs/>
                <w:lang w:eastAsia="ru-RU"/>
              </w:rPr>
              <w:t>в том числе:</w:t>
            </w:r>
          </w:p>
        </w:tc>
        <w:tc>
          <w:tcPr>
            <w:tcW w:w="1019" w:type="dxa"/>
            <w:tcBorders>
              <w:top w:val="nil"/>
              <w:left w:val="nil"/>
              <w:bottom w:val="single" w:sz="4" w:space="0" w:color="auto"/>
              <w:right w:val="single" w:sz="4" w:space="0" w:color="auto"/>
            </w:tcBorders>
            <w:shd w:val="clear" w:color="auto" w:fill="auto"/>
            <w:vAlign w:val="bottom"/>
            <w:hideMark/>
          </w:tcPr>
          <w:p w14:paraId="67C7CAD1"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21 640,4</w:t>
            </w:r>
          </w:p>
        </w:tc>
        <w:tc>
          <w:tcPr>
            <w:tcW w:w="823" w:type="dxa"/>
            <w:tcBorders>
              <w:top w:val="nil"/>
              <w:left w:val="nil"/>
              <w:bottom w:val="single" w:sz="4" w:space="0" w:color="auto"/>
              <w:right w:val="single" w:sz="4" w:space="0" w:color="auto"/>
            </w:tcBorders>
            <w:shd w:val="clear" w:color="auto" w:fill="auto"/>
            <w:vAlign w:val="bottom"/>
            <w:hideMark/>
          </w:tcPr>
          <w:p w14:paraId="76BCB0C1"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1 267,5</w:t>
            </w:r>
          </w:p>
        </w:tc>
        <w:tc>
          <w:tcPr>
            <w:tcW w:w="1019" w:type="dxa"/>
            <w:tcBorders>
              <w:top w:val="nil"/>
              <w:left w:val="nil"/>
              <w:bottom w:val="single" w:sz="4" w:space="0" w:color="auto"/>
              <w:right w:val="single" w:sz="4" w:space="0" w:color="auto"/>
            </w:tcBorders>
            <w:shd w:val="clear" w:color="auto" w:fill="auto"/>
            <w:vAlign w:val="bottom"/>
            <w:hideMark/>
          </w:tcPr>
          <w:p w14:paraId="3FD5CD7B"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21 466,7</w:t>
            </w:r>
          </w:p>
        </w:tc>
        <w:tc>
          <w:tcPr>
            <w:tcW w:w="796" w:type="dxa"/>
            <w:tcBorders>
              <w:top w:val="nil"/>
              <w:left w:val="nil"/>
              <w:bottom w:val="single" w:sz="4" w:space="0" w:color="auto"/>
              <w:right w:val="single" w:sz="4" w:space="0" w:color="auto"/>
            </w:tcBorders>
            <w:shd w:val="clear" w:color="auto" w:fill="auto"/>
            <w:vAlign w:val="bottom"/>
            <w:hideMark/>
          </w:tcPr>
          <w:p w14:paraId="0838BAC8"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1 289,3 </w:t>
            </w:r>
          </w:p>
        </w:tc>
        <w:tc>
          <w:tcPr>
            <w:tcW w:w="939" w:type="dxa"/>
            <w:tcBorders>
              <w:top w:val="nil"/>
              <w:left w:val="nil"/>
              <w:bottom w:val="single" w:sz="4" w:space="0" w:color="auto"/>
              <w:right w:val="single" w:sz="4" w:space="0" w:color="auto"/>
            </w:tcBorders>
            <w:shd w:val="clear" w:color="auto" w:fill="auto"/>
            <w:vAlign w:val="bottom"/>
            <w:hideMark/>
          </w:tcPr>
          <w:p w14:paraId="03624EFF"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21 790,0 </w:t>
            </w:r>
          </w:p>
        </w:tc>
        <w:tc>
          <w:tcPr>
            <w:tcW w:w="992" w:type="dxa"/>
            <w:tcBorders>
              <w:top w:val="nil"/>
              <w:left w:val="nil"/>
              <w:bottom w:val="single" w:sz="4" w:space="0" w:color="auto"/>
              <w:right w:val="single" w:sz="4" w:space="0" w:color="auto"/>
            </w:tcBorders>
            <w:shd w:val="clear" w:color="auto" w:fill="auto"/>
            <w:vAlign w:val="bottom"/>
            <w:hideMark/>
          </w:tcPr>
          <w:p w14:paraId="6D7D32EC"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21 021,9 </w:t>
            </w:r>
          </w:p>
        </w:tc>
        <w:tc>
          <w:tcPr>
            <w:tcW w:w="850" w:type="dxa"/>
            <w:tcBorders>
              <w:top w:val="nil"/>
              <w:left w:val="single" w:sz="4" w:space="0" w:color="auto"/>
              <w:bottom w:val="single" w:sz="4" w:space="0" w:color="auto"/>
              <w:right w:val="double" w:sz="6" w:space="0" w:color="auto"/>
            </w:tcBorders>
            <w:shd w:val="clear" w:color="auto" w:fill="auto"/>
            <w:vAlign w:val="bottom"/>
            <w:hideMark/>
          </w:tcPr>
          <w:p w14:paraId="771780F7"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1 425,5 </w:t>
            </w:r>
          </w:p>
        </w:tc>
      </w:tr>
      <w:tr w:rsidR="00FD7B0B" w:rsidRPr="00FD7B0B" w14:paraId="6A60BCE8" w14:textId="77777777" w:rsidTr="000A2A7A">
        <w:trPr>
          <w:trHeight w:val="52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432BC04C" w14:textId="77777777" w:rsidR="000A2A7A" w:rsidRPr="00FD7B0B" w:rsidRDefault="000A2A7A" w:rsidP="000A2A7A">
            <w:pPr>
              <w:spacing w:after="0" w:line="240" w:lineRule="auto"/>
              <w:ind w:firstLine="318"/>
              <w:rPr>
                <w:rFonts w:ascii="Times New Roman" w:eastAsia="Times New Roman" w:hAnsi="Times New Roman"/>
                <w:lang w:eastAsia="ru-RU"/>
              </w:rPr>
            </w:pPr>
            <w:r w:rsidRPr="00FD7B0B">
              <w:rPr>
                <w:rFonts w:ascii="Times New Roman" w:eastAsia="Times New Roman" w:hAnsi="Times New Roman"/>
                <w:lang w:eastAsia="ru-RU"/>
              </w:rPr>
              <w:t>1) плата за использование лесов... превышающей минимальный размер платы по договору купли-продажи лесных насаждений</w:t>
            </w:r>
          </w:p>
        </w:tc>
        <w:tc>
          <w:tcPr>
            <w:tcW w:w="1019" w:type="dxa"/>
            <w:tcBorders>
              <w:top w:val="nil"/>
              <w:left w:val="nil"/>
              <w:bottom w:val="single" w:sz="4" w:space="0" w:color="auto"/>
              <w:right w:val="single" w:sz="4" w:space="0" w:color="auto"/>
            </w:tcBorders>
            <w:shd w:val="clear" w:color="auto" w:fill="auto"/>
            <w:vAlign w:val="bottom"/>
            <w:hideMark/>
          </w:tcPr>
          <w:p w14:paraId="007CF416"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1 134,4</w:t>
            </w:r>
          </w:p>
        </w:tc>
        <w:tc>
          <w:tcPr>
            <w:tcW w:w="823" w:type="dxa"/>
            <w:tcBorders>
              <w:top w:val="nil"/>
              <w:left w:val="nil"/>
              <w:bottom w:val="single" w:sz="4" w:space="0" w:color="auto"/>
              <w:right w:val="single" w:sz="4" w:space="0" w:color="auto"/>
            </w:tcBorders>
            <w:shd w:val="clear" w:color="auto" w:fill="auto"/>
            <w:vAlign w:val="bottom"/>
            <w:hideMark/>
          </w:tcPr>
          <w:p w14:paraId="54ACA69D"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344,0</w:t>
            </w:r>
          </w:p>
        </w:tc>
        <w:tc>
          <w:tcPr>
            <w:tcW w:w="1019" w:type="dxa"/>
            <w:tcBorders>
              <w:top w:val="nil"/>
              <w:left w:val="nil"/>
              <w:bottom w:val="single" w:sz="4" w:space="0" w:color="auto"/>
              <w:right w:val="single" w:sz="4" w:space="0" w:color="auto"/>
            </w:tcBorders>
            <w:shd w:val="clear" w:color="auto" w:fill="auto"/>
            <w:vAlign w:val="bottom"/>
            <w:hideMark/>
          </w:tcPr>
          <w:p w14:paraId="7E80BED5"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738,1</w:t>
            </w:r>
          </w:p>
        </w:tc>
        <w:tc>
          <w:tcPr>
            <w:tcW w:w="796" w:type="dxa"/>
            <w:tcBorders>
              <w:top w:val="nil"/>
              <w:left w:val="nil"/>
              <w:bottom w:val="single" w:sz="4" w:space="0" w:color="auto"/>
              <w:right w:val="single" w:sz="4" w:space="0" w:color="auto"/>
            </w:tcBorders>
            <w:shd w:val="clear" w:color="auto" w:fill="auto"/>
            <w:vAlign w:val="bottom"/>
            <w:hideMark/>
          </w:tcPr>
          <w:p w14:paraId="2C25E8F7"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195,7 </w:t>
            </w:r>
          </w:p>
        </w:tc>
        <w:tc>
          <w:tcPr>
            <w:tcW w:w="939" w:type="dxa"/>
            <w:tcBorders>
              <w:top w:val="nil"/>
              <w:left w:val="nil"/>
              <w:bottom w:val="single" w:sz="4" w:space="0" w:color="auto"/>
              <w:right w:val="single" w:sz="4" w:space="0" w:color="auto"/>
            </w:tcBorders>
            <w:shd w:val="clear" w:color="auto" w:fill="auto"/>
            <w:vAlign w:val="bottom"/>
            <w:hideMark/>
          </w:tcPr>
          <w:p w14:paraId="456721AC"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800,0 </w:t>
            </w:r>
          </w:p>
        </w:tc>
        <w:tc>
          <w:tcPr>
            <w:tcW w:w="992" w:type="dxa"/>
            <w:tcBorders>
              <w:top w:val="nil"/>
              <w:left w:val="nil"/>
              <w:bottom w:val="single" w:sz="4" w:space="0" w:color="auto"/>
              <w:right w:val="single" w:sz="4" w:space="0" w:color="auto"/>
            </w:tcBorders>
            <w:shd w:val="clear" w:color="auto" w:fill="auto"/>
            <w:vAlign w:val="bottom"/>
            <w:hideMark/>
          </w:tcPr>
          <w:p w14:paraId="2083AA70"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821,7 </w:t>
            </w:r>
          </w:p>
        </w:tc>
        <w:tc>
          <w:tcPr>
            <w:tcW w:w="850" w:type="dxa"/>
            <w:tcBorders>
              <w:top w:val="nil"/>
              <w:left w:val="single" w:sz="4" w:space="0" w:color="auto"/>
              <w:bottom w:val="single" w:sz="4" w:space="0" w:color="auto"/>
              <w:right w:val="double" w:sz="6" w:space="0" w:color="auto"/>
            </w:tcBorders>
            <w:shd w:val="clear" w:color="auto" w:fill="auto"/>
            <w:vAlign w:val="bottom"/>
            <w:hideMark/>
          </w:tcPr>
          <w:p w14:paraId="762E5430"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319,6 </w:t>
            </w:r>
          </w:p>
        </w:tc>
      </w:tr>
      <w:tr w:rsidR="00FD7B0B" w:rsidRPr="00FD7B0B" w14:paraId="2E84DFDF" w14:textId="77777777" w:rsidTr="006E6954">
        <w:trPr>
          <w:trHeight w:val="30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1C3BF9B5" w14:textId="77777777" w:rsidR="000A2A7A" w:rsidRPr="00FD7B0B" w:rsidRDefault="000A2A7A" w:rsidP="000A2A7A">
            <w:pPr>
              <w:spacing w:after="0" w:line="240" w:lineRule="auto"/>
              <w:ind w:firstLine="318"/>
              <w:rPr>
                <w:rFonts w:ascii="Times New Roman" w:eastAsia="Times New Roman" w:hAnsi="Times New Roman"/>
                <w:i/>
                <w:iCs/>
                <w:lang w:eastAsia="ru-RU"/>
              </w:rPr>
            </w:pPr>
            <w:r w:rsidRPr="00FD7B0B">
              <w:rPr>
                <w:rFonts w:ascii="Times New Roman" w:eastAsia="Times New Roman" w:hAnsi="Times New Roman"/>
                <w:lang w:eastAsia="ru-RU"/>
              </w:rPr>
              <w:t xml:space="preserve">2) плата за использование лесов, в части, превышающей минимальный размер арендной </w:t>
            </w:r>
            <w:r w:rsidRPr="00FD7B0B">
              <w:rPr>
                <w:rFonts w:ascii="Times New Roman" w:eastAsia="Times New Roman" w:hAnsi="Times New Roman"/>
                <w:lang w:eastAsia="ru-RU"/>
              </w:rPr>
              <w:lastRenderedPageBreak/>
              <w:t>платы</w:t>
            </w:r>
            <w:r w:rsidRPr="00FD7B0B">
              <w:rPr>
                <w:rFonts w:ascii="Times New Roman" w:eastAsia="Times New Roman" w:hAnsi="Times New Roman"/>
                <w:i/>
                <w:iCs/>
                <w:lang w:eastAsia="ru-RU"/>
              </w:rPr>
              <w:t>, в том числе по видам использования:</w:t>
            </w:r>
          </w:p>
        </w:tc>
        <w:tc>
          <w:tcPr>
            <w:tcW w:w="1019" w:type="dxa"/>
            <w:tcBorders>
              <w:top w:val="nil"/>
              <w:left w:val="nil"/>
              <w:bottom w:val="single" w:sz="4" w:space="0" w:color="auto"/>
              <w:right w:val="single" w:sz="4" w:space="0" w:color="auto"/>
            </w:tcBorders>
            <w:shd w:val="clear" w:color="auto" w:fill="auto"/>
            <w:vAlign w:val="bottom"/>
            <w:hideMark/>
          </w:tcPr>
          <w:p w14:paraId="43E75E09"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lastRenderedPageBreak/>
              <w:t>20 115,6</w:t>
            </w:r>
          </w:p>
        </w:tc>
        <w:tc>
          <w:tcPr>
            <w:tcW w:w="823" w:type="dxa"/>
            <w:tcBorders>
              <w:top w:val="nil"/>
              <w:left w:val="nil"/>
              <w:bottom w:val="single" w:sz="4" w:space="0" w:color="auto"/>
              <w:right w:val="single" w:sz="4" w:space="0" w:color="auto"/>
            </w:tcBorders>
            <w:shd w:val="clear" w:color="auto" w:fill="auto"/>
            <w:vAlign w:val="bottom"/>
            <w:hideMark/>
          </w:tcPr>
          <w:p w14:paraId="1E0F4B79"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883,8</w:t>
            </w:r>
          </w:p>
        </w:tc>
        <w:tc>
          <w:tcPr>
            <w:tcW w:w="1019" w:type="dxa"/>
            <w:tcBorders>
              <w:top w:val="nil"/>
              <w:left w:val="nil"/>
              <w:bottom w:val="single" w:sz="4" w:space="0" w:color="auto"/>
              <w:right w:val="single" w:sz="4" w:space="0" w:color="auto"/>
            </w:tcBorders>
            <w:shd w:val="clear" w:color="auto" w:fill="auto"/>
            <w:vAlign w:val="bottom"/>
            <w:hideMark/>
          </w:tcPr>
          <w:p w14:paraId="4BCF3061"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20 448,5</w:t>
            </w:r>
          </w:p>
        </w:tc>
        <w:tc>
          <w:tcPr>
            <w:tcW w:w="796" w:type="dxa"/>
            <w:tcBorders>
              <w:top w:val="nil"/>
              <w:left w:val="nil"/>
              <w:bottom w:val="single" w:sz="4" w:space="0" w:color="auto"/>
              <w:right w:val="single" w:sz="4" w:space="0" w:color="auto"/>
            </w:tcBorders>
            <w:shd w:val="clear" w:color="auto" w:fill="auto"/>
            <w:vAlign w:val="bottom"/>
            <w:hideMark/>
          </w:tcPr>
          <w:p w14:paraId="667FE7C1"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1 063,1 </w:t>
            </w:r>
          </w:p>
        </w:tc>
        <w:tc>
          <w:tcPr>
            <w:tcW w:w="939" w:type="dxa"/>
            <w:tcBorders>
              <w:top w:val="nil"/>
              <w:left w:val="nil"/>
              <w:bottom w:val="single" w:sz="4" w:space="0" w:color="auto"/>
              <w:right w:val="single" w:sz="4" w:space="0" w:color="auto"/>
            </w:tcBorders>
            <w:shd w:val="clear" w:color="auto" w:fill="auto"/>
            <w:vAlign w:val="bottom"/>
            <w:hideMark/>
          </w:tcPr>
          <w:p w14:paraId="53EAD43E"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16 762,0 </w:t>
            </w:r>
          </w:p>
        </w:tc>
        <w:tc>
          <w:tcPr>
            <w:tcW w:w="992" w:type="dxa"/>
            <w:tcBorders>
              <w:top w:val="nil"/>
              <w:left w:val="nil"/>
              <w:bottom w:val="single" w:sz="4" w:space="0" w:color="auto"/>
              <w:right w:val="single" w:sz="4" w:space="0" w:color="auto"/>
            </w:tcBorders>
            <w:shd w:val="clear" w:color="auto" w:fill="auto"/>
            <w:vAlign w:val="bottom"/>
            <w:hideMark/>
          </w:tcPr>
          <w:p w14:paraId="72DD3566"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7 766,1 </w:t>
            </w:r>
          </w:p>
        </w:tc>
        <w:tc>
          <w:tcPr>
            <w:tcW w:w="850" w:type="dxa"/>
            <w:tcBorders>
              <w:top w:val="nil"/>
              <w:left w:val="single" w:sz="4" w:space="0" w:color="auto"/>
              <w:bottom w:val="single" w:sz="4" w:space="0" w:color="auto"/>
              <w:right w:val="double" w:sz="6" w:space="0" w:color="auto"/>
            </w:tcBorders>
            <w:shd w:val="clear" w:color="auto" w:fill="auto"/>
            <w:vAlign w:val="bottom"/>
            <w:hideMark/>
          </w:tcPr>
          <w:p w14:paraId="2B5672F5"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591,2 </w:t>
            </w:r>
          </w:p>
        </w:tc>
      </w:tr>
      <w:tr w:rsidR="00FD7B0B" w:rsidRPr="00FD7B0B" w14:paraId="6E2D84FF" w14:textId="77777777" w:rsidTr="000A2A7A">
        <w:trPr>
          <w:trHeight w:val="82"/>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3A8D30B3" w14:textId="77777777" w:rsidR="000A2A7A" w:rsidRPr="00FD7B0B" w:rsidRDefault="000A2A7A" w:rsidP="000A2A7A">
            <w:pPr>
              <w:spacing w:after="0" w:line="240" w:lineRule="auto"/>
              <w:ind w:firstLineChars="100" w:firstLine="220"/>
              <w:rPr>
                <w:rFonts w:ascii="Times New Roman" w:eastAsia="Times New Roman" w:hAnsi="Times New Roman"/>
                <w:i/>
                <w:iCs/>
                <w:lang w:eastAsia="ru-RU"/>
              </w:rPr>
            </w:pPr>
            <w:r w:rsidRPr="00FD7B0B">
              <w:rPr>
                <w:rFonts w:ascii="Times New Roman" w:eastAsia="Times New Roman" w:hAnsi="Times New Roman"/>
                <w:i/>
                <w:iCs/>
                <w:lang w:eastAsia="ru-RU"/>
              </w:rPr>
              <w:t>*заготовка древесины</w:t>
            </w:r>
          </w:p>
        </w:tc>
        <w:tc>
          <w:tcPr>
            <w:tcW w:w="1019" w:type="dxa"/>
            <w:tcBorders>
              <w:top w:val="nil"/>
              <w:left w:val="nil"/>
              <w:bottom w:val="single" w:sz="4" w:space="0" w:color="auto"/>
              <w:right w:val="single" w:sz="4" w:space="0" w:color="auto"/>
            </w:tcBorders>
            <w:shd w:val="clear" w:color="auto" w:fill="auto"/>
            <w:vAlign w:val="bottom"/>
            <w:hideMark/>
          </w:tcPr>
          <w:p w14:paraId="55920FD4"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20 115,6</w:t>
            </w:r>
          </w:p>
        </w:tc>
        <w:tc>
          <w:tcPr>
            <w:tcW w:w="823" w:type="dxa"/>
            <w:tcBorders>
              <w:top w:val="nil"/>
              <w:left w:val="nil"/>
              <w:bottom w:val="single" w:sz="4" w:space="0" w:color="auto"/>
              <w:right w:val="single" w:sz="4" w:space="0" w:color="auto"/>
            </w:tcBorders>
            <w:shd w:val="clear" w:color="auto" w:fill="auto"/>
            <w:vAlign w:val="bottom"/>
            <w:hideMark/>
          </w:tcPr>
          <w:p w14:paraId="5F7618D2"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879,3</w:t>
            </w:r>
          </w:p>
        </w:tc>
        <w:tc>
          <w:tcPr>
            <w:tcW w:w="1019" w:type="dxa"/>
            <w:tcBorders>
              <w:top w:val="nil"/>
              <w:left w:val="nil"/>
              <w:bottom w:val="single" w:sz="4" w:space="0" w:color="auto"/>
              <w:right w:val="single" w:sz="4" w:space="0" w:color="auto"/>
            </w:tcBorders>
            <w:shd w:val="clear" w:color="auto" w:fill="auto"/>
            <w:vAlign w:val="bottom"/>
            <w:hideMark/>
          </w:tcPr>
          <w:p w14:paraId="50A32434"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20 448,5</w:t>
            </w:r>
          </w:p>
        </w:tc>
        <w:tc>
          <w:tcPr>
            <w:tcW w:w="796" w:type="dxa"/>
            <w:tcBorders>
              <w:top w:val="nil"/>
              <w:left w:val="nil"/>
              <w:bottom w:val="single" w:sz="4" w:space="0" w:color="auto"/>
              <w:right w:val="single" w:sz="4" w:space="0" w:color="auto"/>
            </w:tcBorders>
            <w:shd w:val="clear" w:color="auto" w:fill="auto"/>
            <w:vAlign w:val="bottom"/>
            <w:hideMark/>
          </w:tcPr>
          <w:p w14:paraId="1DB0B8A8"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1 058,7 </w:t>
            </w:r>
          </w:p>
        </w:tc>
        <w:tc>
          <w:tcPr>
            <w:tcW w:w="939" w:type="dxa"/>
            <w:tcBorders>
              <w:top w:val="nil"/>
              <w:left w:val="nil"/>
              <w:bottom w:val="single" w:sz="4" w:space="0" w:color="auto"/>
              <w:right w:val="single" w:sz="4" w:space="0" w:color="auto"/>
            </w:tcBorders>
            <w:shd w:val="clear" w:color="auto" w:fill="auto"/>
            <w:vAlign w:val="bottom"/>
            <w:hideMark/>
          </w:tcPr>
          <w:p w14:paraId="1FA8CFBD"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16 762,0 </w:t>
            </w:r>
          </w:p>
        </w:tc>
        <w:tc>
          <w:tcPr>
            <w:tcW w:w="992" w:type="dxa"/>
            <w:tcBorders>
              <w:top w:val="nil"/>
              <w:left w:val="nil"/>
              <w:bottom w:val="single" w:sz="4" w:space="0" w:color="auto"/>
              <w:right w:val="single" w:sz="4" w:space="0" w:color="auto"/>
            </w:tcBorders>
            <w:shd w:val="clear" w:color="auto" w:fill="auto"/>
            <w:vAlign w:val="bottom"/>
            <w:hideMark/>
          </w:tcPr>
          <w:p w14:paraId="2A363CCF"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7 766,1 </w:t>
            </w:r>
          </w:p>
        </w:tc>
        <w:tc>
          <w:tcPr>
            <w:tcW w:w="850" w:type="dxa"/>
            <w:tcBorders>
              <w:top w:val="nil"/>
              <w:left w:val="single" w:sz="4" w:space="0" w:color="auto"/>
              <w:bottom w:val="single" w:sz="4" w:space="0" w:color="auto"/>
              <w:right w:val="double" w:sz="6" w:space="0" w:color="auto"/>
            </w:tcBorders>
            <w:shd w:val="clear" w:color="auto" w:fill="auto"/>
            <w:vAlign w:val="bottom"/>
            <w:hideMark/>
          </w:tcPr>
          <w:p w14:paraId="7DC79F0C"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587,9 </w:t>
            </w:r>
          </w:p>
        </w:tc>
      </w:tr>
      <w:tr w:rsidR="00FD7B0B" w:rsidRPr="00FD7B0B" w14:paraId="2A84C77A" w14:textId="77777777" w:rsidTr="000A2A7A">
        <w:trPr>
          <w:trHeight w:val="398"/>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63540B5E" w14:textId="77777777" w:rsidR="000A2A7A" w:rsidRPr="00FD7B0B" w:rsidRDefault="000A2A7A" w:rsidP="000A2A7A">
            <w:pPr>
              <w:spacing w:after="0" w:line="240" w:lineRule="auto"/>
              <w:ind w:firstLineChars="100" w:firstLine="220"/>
              <w:rPr>
                <w:rFonts w:ascii="Times New Roman" w:eastAsia="Times New Roman" w:hAnsi="Times New Roman"/>
                <w:i/>
                <w:iCs/>
                <w:lang w:eastAsia="ru-RU"/>
              </w:rPr>
            </w:pPr>
            <w:r w:rsidRPr="00FD7B0B">
              <w:rPr>
                <w:rFonts w:ascii="Times New Roman" w:eastAsia="Times New Roman" w:hAnsi="Times New Roman"/>
                <w:i/>
                <w:iCs/>
                <w:lang w:eastAsia="ru-RU"/>
              </w:rPr>
              <w:t>*прочие виды использования, не связанные с заготовкой</w:t>
            </w:r>
          </w:p>
        </w:tc>
        <w:tc>
          <w:tcPr>
            <w:tcW w:w="1019" w:type="dxa"/>
            <w:tcBorders>
              <w:top w:val="nil"/>
              <w:left w:val="nil"/>
              <w:bottom w:val="single" w:sz="4" w:space="0" w:color="auto"/>
              <w:right w:val="single" w:sz="4" w:space="0" w:color="auto"/>
            </w:tcBorders>
            <w:shd w:val="clear" w:color="auto" w:fill="auto"/>
            <w:vAlign w:val="bottom"/>
            <w:hideMark/>
          </w:tcPr>
          <w:p w14:paraId="2A45022C"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823" w:type="dxa"/>
            <w:tcBorders>
              <w:top w:val="nil"/>
              <w:left w:val="nil"/>
              <w:bottom w:val="single" w:sz="4" w:space="0" w:color="auto"/>
              <w:right w:val="single" w:sz="4" w:space="0" w:color="auto"/>
            </w:tcBorders>
            <w:shd w:val="clear" w:color="auto" w:fill="auto"/>
            <w:vAlign w:val="bottom"/>
            <w:hideMark/>
          </w:tcPr>
          <w:p w14:paraId="3471107A"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4,5</w:t>
            </w:r>
          </w:p>
        </w:tc>
        <w:tc>
          <w:tcPr>
            <w:tcW w:w="1019" w:type="dxa"/>
            <w:tcBorders>
              <w:top w:val="nil"/>
              <w:left w:val="nil"/>
              <w:bottom w:val="single" w:sz="4" w:space="0" w:color="auto"/>
              <w:right w:val="single" w:sz="4" w:space="0" w:color="auto"/>
            </w:tcBorders>
            <w:shd w:val="clear" w:color="auto" w:fill="auto"/>
            <w:vAlign w:val="bottom"/>
            <w:hideMark/>
          </w:tcPr>
          <w:p w14:paraId="7091DE87"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796" w:type="dxa"/>
            <w:tcBorders>
              <w:top w:val="nil"/>
              <w:left w:val="nil"/>
              <w:bottom w:val="single" w:sz="4" w:space="0" w:color="auto"/>
              <w:right w:val="single" w:sz="4" w:space="0" w:color="auto"/>
            </w:tcBorders>
            <w:shd w:val="clear" w:color="auto" w:fill="auto"/>
            <w:vAlign w:val="bottom"/>
            <w:hideMark/>
          </w:tcPr>
          <w:p w14:paraId="2712C274"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4,4 </w:t>
            </w:r>
          </w:p>
        </w:tc>
        <w:tc>
          <w:tcPr>
            <w:tcW w:w="939" w:type="dxa"/>
            <w:tcBorders>
              <w:top w:val="nil"/>
              <w:left w:val="nil"/>
              <w:bottom w:val="single" w:sz="4" w:space="0" w:color="auto"/>
              <w:right w:val="single" w:sz="4" w:space="0" w:color="auto"/>
            </w:tcBorders>
            <w:shd w:val="clear" w:color="auto" w:fill="auto"/>
            <w:vAlign w:val="bottom"/>
            <w:hideMark/>
          </w:tcPr>
          <w:p w14:paraId="15BA94B7"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992" w:type="dxa"/>
            <w:tcBorders>
              <w:top w:val="nil"/>
              <w:left w:val="nil"/>
              <w:bottom w:val="single" w:sz="4" w:space="0" w:color="auto"/>
              <w:right w:val="single" w:sz="4" w:space="0" w:color="auto"/>
            </w:tcBorders>
            <w:shd w:val="clear" w:color="auto" w:fill="auto"/>
            <w:vAlign w:val="bottom"/>
            <w:hideMark/>
          </w:tcPr>
          <w:p w14:paraId="31E7E947"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х</w:t>
            </w:r>
          </w:p>
        </w:tc>
        <w:tc>
          <w:tcPr>
            <w:tcW w:w="850" w:type="dxa"/>
            <w:tcBorders>
              <w:top w:val="nil"/>
              <w:left w:val="single" w:sz="4" w:space="0" w:color="auto"/>
              <w:bottom w:val="single" w:sz="4" w:space="0" w:color="auto"/>
              <w:right w:val="double" w:sz="6" w:space="0" w:color="auto"/>
            </w:tcBorders>
            <w:shd w:val="clear" w:color="auto" w:fill="auto"/>
            <w:vAlign w:val="bottom"/>
            <w:hideMark/>
          </w:tcPr>
          <w:p w14:paraId="28ED167F"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3,3 </w:t>
            </w:r>
          </w:p>
        </w:tc>
      </w:tr>
      <w:tr w:rsidR="00FD7B0B" w:rsidRPr="00FD7B0B" w14:paraId="15DE3533" w14:textId="77777777" w:rsidTr="000A2A7A">
        <w:trPr>
          <w:trHeight w:val="1567"/>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42E555C8" w14:textId="77777777" w:rsidR="000A2A7A" w:rsidRPr="00FD7B0B" w:rsidRDefault="000A2A7A" w:rsidP="000A2A7A">
            <w:pPr>
              <w:spacing w:after="0" w:line="240" w:lineRule="auto"/>
              <w:ind w:firstLine="318"/>
              <w:rPr>
                <w:rFonts w:ascii="Times New Roman" w:eastAsia="Times New Roman" w:hAnsi="Times New Roman"/>
                <w:lang w:eastAsia="ru-RU"/>
              </w:rPr>
            </w:pPr>
            <w:r w:rsidRPr="00FD7B0B">
              <w:rPr>
                <w:rFonts w:ascii="Times New Roman" w:eastAsia="Times New Roman" w:hAnsi="Times New Roman"/>
                <w:lang w:eastAsia="ru-RU"/>
              </w:rPr>
              <w:t>2.1) плата за использование лесов..., в части, превышающей минимальный размер арендной платы, при реализации приоритетных инвестиционных проектов в целях развития лесного комплекса</w:t>
            </w:r>
          </w:p>
        </w:tc>
        <w:tc>
          <w:tcPr>
            <w:tcW w:w="1019" w:type="dxa"/>
            <w:tcBorders>
              <w:top w:val="nil"/>
              <w:left w:val="nil"/>
              <w:bottom w:val="single" w:sz="4" w:space="0" w:color="auto"/>
              <w:right w:val="single" w:sz="4" w:space="0" w:color="auto"/>
            </w:tcBorders>
            <w:shd w:val="clear" w:color="auto" w:fill="auto"/>
            <w:vAlign w:val="bottom"/>
            <w:hideMark/>
          </w:tcPr>
          <w:p w14:paraId="7318B7EA"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823" w:type="dxa"/>
            <w:tcBorders>
              <w:top w:val="nil"/>
              <w:left w:val="nil"/>
              <w:bottom w:val="single" w:sz="4" w:space="0" w:color="auto"/>
              <w:right w:val="single" w:sz="4" w:space="0" w:color="auto"/>
            </w:tcBorders>
            <w:shd w:val="clear" w:color="auto" w:fill="auto"/>
            <w:vAlign w:val="bottom"/>
            <w:hideMark/>
          </w:tcPr>
          <w:p w14:paraId="1654792E"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1019" w:type="dxa"/>
            <w:tcBorders>
              <w:top w:val="nil"/>
              <w:left w:val="nil"/>
              <w:bottom w:val="single" w:sz="4" w:space="0" w:color="auto"/>
              <w:right w:val="single" w:sz="4" w:space="0" w:color="auto"/>
            </w:tcBorders>
            <w:shd w:val="clear" w:color="auto" w:fill="auto"/>
            <w:vAlign w:val="bottom"/>
            <w:hideMark/>
          </w:tcPr>
          <w:p w14:paraId="41B9A637"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796" w:type="dxa"/>
            <w:tcBorders>
              <w:top w:val="nil"/>
              <w:left w:val="nil"/>
              <w:bottom w:val="single" w:sz="4" w:space="0" w:color="auto"/>
              <w:right w:val="single" w:sz="4" w:space="0" w:color="auto"/>
            </w:tcBorders>
            <w:shd w:val="clear" w:color="auto" w:fill="auto"/>
            <w:noWrap/>
            <w:vAlign w:val="bottom"/>
            <w:hideMark/>
          </w:tcPr>
          <w:p w14:paraId="0A2A50EB"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939" w:type="dxa"/>
            <w:tcBorders>
              <w:top w:val="nil"/>
              <w:left w:val="nil"/>
              <w:bottom w:val="single" w:sz="4" w:space="0" w:color="auto"/>
              <w:right w:val="single" w:sz="4" w:space="0" w:color="auto"/>
            </w:tcBorders>
            <w:shd w:val="clear" w:color="auto" w:fill="auto"/>
            <w:vAlign w:val="bottom"/>
            <w:hideMark/>
          </w:tcPr>
          <w:p w14:paraId="146EFF0C"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3 838,0 </w:t>
            </w:r>
          </w:p>
        </w:tc>
        <w:tc>
          <w:tcPr>
            <w:tcW w:w="992" w:type="dxa"/>
            <w:tcBorders>
              <w:top w:val="nil"/>
              <w:left w:val="nil"/>
              <w:bottom w:val="single" w:sz="4" w:space="0" w:color="auto"/>
              <w:right w:val="single" w:sz="4" w:space="0" w:color="auto"/>
            </w:tcBorders>
            <w:shd w:val="clear" w:color="auto" w:fill="auto"/>
            <w:vAlign w:val="bottom"/>
            <w:hideMark/>
          </w:tcPr>
          <w:p w14:paraId="013B2144"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12 167,9 </w:t>
            </w:r>
          </w:p>
        </w:tc>
        <w:tc>
          <w:tcPr>
            <w:tcW w:w="850" w:type="dxa"/>
            <w:tcBorders>
              <w:top w:val="nil"/>
              <w:left w:val="single" w:sz="4" w:space="0" w:color="auto"/>
              <w:bottom w:val="single" w:sz="4" w:space="0" w:color="auto"/>
              <w:right w:val="double" w:sz="6" w:space="0" w:color="auto"/>
            </w:tcBorders>
            <w:shd w:val="clear" w:color="auto" w:fill="auto"/>
            <w:vAlign w:val="bottom"/>
            <w:hideMark/>
          </w:tcPr>
          <w:p w14:paraId="5477E021"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471,1 </w:t>
            </w:r>
          </w:p>
        </w:tc>
      </w:tr>
      <w:tr w:rsidR="00FD7B0B" w:rsidRPr="00FD7B0B" w14:paraId="4C93C9AF" w14:textId="77777777" w:rsidTr="000A2A7A">
        <w:trPr>
          <w:trHeight w:val="307"/>
        </w:trPr>
        <w:tc>
          <w:tcPr>
            <w:tcW w:w="3261" w:type="dxa"/>
            <w:tcBorders>
              <w:top w:val="nil"/>
              <w:left w:val="double" w:sz="6" w:space="0" w:color="auto"/>
              <w:bottom w:val="double" w:sz="6" w:space="0" w:color="auto"/>
              <w:right w:val="single" w:sz="4" w:space="0" w:color="auto"/>
            </w:tcBorders>
            <w:shd w:val="clear" w:color="auto" w:fill="auto"/>
            <w:vAlign w:val="bottom"/>
            <w:hideMark/>
          </w:tcPr>
          <w:p w14:paraId="08AB90FD" w14:textId="77777777" w:rsidR="000A2A7A" w:rsidRPr="00FD7B0B" w:rsidRDefault="000A2A7A" w:rsidP="000A2A7A">
            <w:pPr>
              <w:spacing w:after="0" w:line="240" w:lineRule="auto"/>
              <w:ind w:firstLine="318"/>
              <w:rPr>
                <w:rFonts w:ascii="Times New Roman" w:eastAsia="Times New Roman" w:hAnsi="Times New Roman"/>
                <w:lang w:eastAsia="ru-RU"/>
              </w:rPr>
            </w:pPr>
            <w:r w:rsidRPr="00FD7B0B">
              <w:rPr>
                <w:rFonts w:ascii="Times New Roman" w:eastAsia="Times New Roman" w:hAnsi="Times New Roman"/>
                <w:lang w:eastAsia="ru-RU"/>
              </w:rPr>
              <w:t xml:space="preserve">3) плата за использование лесов... в части платы по договору купли-продажи лесных насаждений для собственных нужд </w:t>
            </w:r>
          </w:p>
        </w:tc>
        <w:tc>
          <w:tcPr>
            <w:tcW w:w="1019" w:type="dxa"/>
            <w:tcBorders>
              <w:top w:val="single" w:sz="4" w:space="0" w:color="auto"/>
              <w:left w:val="nil"/>
              <w:bottom w:val="double" w:sz="6" w:space="0" w:color="auto"/>
              <w:right w:val="single" w:sz="4" w:space="0" w:color="auto"/>
            </w:tcBorders>
            <w:shd w:val="clear" w:color="auto" w:fill="auto"/>
            <w:vAlign w:val="bottom"/>
            <w:hideMark/>
          </w:tcPr>
          <w:p w14:paraId="38E5FAE0"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390,4</w:t>
            </w:r>
          </w:p>
        </w:tc>
        <w:tc>
          <w:tcPr>
            <w:tcW w:w="823" w:type="dxa"/>
            <w:tcBorders>
              <w:top w:val="single" w:sz="4" w:space="0" w:color="auto"/>
              <w:left w:val="nil"/>
              <w:bottom w:val="double" w:sz="6" w:space="0" w:color="auto"/>
              <w:right w:val="single" w:sz="4" w:space="0" w:color="auto"/>
            </w:tcBorders>
            <w:shd w:val="clear" w:color="auto" w:fill="auto"/>
            <w:vAlign w:val="bottom"/>
            <w:hideMark/>
          </w:tcPr>
          <w:p w14:paraId="69D6295B"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39,7</w:t>
            </w:r>
          </w:p>
        </w:tc>
        <w:tc>
          <w:tcPr>
            <w:tcW w:w="1019" w:type="dxa"/>
            <w:tcBorders>
              <w:top w:val="single" w:sz="4" w:space="0" w:color="auto"/>
              <w:left w:val="nil"/>
              <w:bottom w:val="double" w:sz="6" w:space="0" w:color="auto"/>
              <w:right w:val="single" w:sz="4" w:space="0" w:color="auto"/>
            </w:tcBorders>
            <w:shd w:val="clear" w:color="auto" w:fill="auto"/>
            <w:vAlign w:val="bottom"/>
            <w:hideMark/>
          </w:tcPr>
          <w:p w14:paraId="57FD7AEC"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280,1</w:t>
            </w:r>
          </w:p>
        </w:tc>
        <w:tc>
          <w:tcPr>
            <w:tcW w:w="796" w:type="dxa"/>
            <w:tcBorders>
              <w:top w:val="single" w:sz="4" w:space="0" w:color="auto"/>
              <w:left w:val="nil"/>
              <w:bottom w:val="double" w:sz="6" w:space="0" w:color="auto"/>
              <w:right w:val="single" w:sz="4" w:space="0" w:color="auto"/>
            </w:tcBorders>
            <w:shd w:val="clear" w:color="auto" w:fill="auto"/>
            <w:vAlign w:val="bottom"/>
            <w:hideMark/>
          </w:tcPr>
          <w:p w14:paraId="32619B08"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30,6 </w:t>
            </w:r>
          </w:p>
        </w:tc>
        <w:tc>
          <w:tcPr>
            <w:tcW w:w="939" w:type="dxa"/>
            <w:tcBorders>
              <w:top w:val="single" w:sz="4" w:space="0" w:color="auto"/>
              <w:left w:val="nil"/>
              <w:bottom w:val="double" w:sz="6" w:space="0" w:color="auto"/>
              <w:right w:val="single" w:sz="4" w:space="0" w:color="auto"/>
            </w:tcBorders>
            <w:shd w:val="clear" w:color="auto" w:fill="auto"/>
            <w:vAlign w:val="bottom"/>
            <w:hideMark/>
          </w:tcPr>
          <w:p w14:paraId="65855FF0"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390,0 </w:t>
            </w:r>
          </w:p>
        </w:tc>
        <w:tc>
          <w:tcPr>
            <w:tcW w:w="992" w:type="dxa"/>
            <w:tcBorders>
              <w:top w:val="single" w:sz="4" w:space="0" w:color="auto"/>
              <w:left w:val="nil"/>
              <w:bottom w:val="double" w:sz="6" w:space="0" w:color="auto"/>
              <w:right w:val="single" w:sz="4" w:space="0" w:color="auto"/>
            </w:tcBorders>
            <w:shd w:val="clear" w:color="auto" w:fill="auto"/>
            <w:vAlign w:val="bottom"/>
            <w:hideMark/>
          </w:tcPr>
          <w:p w14:paraId="48BE78D1"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266,2 </w:t>
            </w:r>
          </w:p>
        </w:tc>
        <w:tc>
          <w:tcPr>
            <w:tcW w:w="850" w:type="dxa"/>
            <w:tcBorders>
              <w:top w:val="nil"/>
              <w:left w:val="nil"/>
              <w:bottom w:val="double" w:sz="6" w:space="0" w:color="auto"/>
              <w:right w:val="double" w:sz="6" w:space="0" w:color="auto"/>
            </w:tcBorders>
            <w:shd w:val="clear" w:color="auto" w:fill="auto"/>
            <w:vAlign w:val="bottom"/>
            <w:hideMark/>
          </w:tcPr>
          <w:p w14:paraId="4E2DC2B7" w14:textId="77777777" w:rsidR="000A2A7A" w:rsidRPr="00FD7B0B" w:rsidRDefault="000A2A7A" w:rsidP="000A2A7A">
            <w:pPr>
              <w:spacing w:after="0" w:line="240" w:lineRule="auto"/>
              <w:ind w:left="-108" w:right="-81"/>
              <w:jc w:val="right"/>
              <w:rPr>
                <w:rFonts w:ascii="Times New Roman" w:eastAsia="Times New Roman" w:hAnsi="Times New Roman"/>
                <w:lang w:eastAsia="ru-RU"/>
              </w:rPr>
            </w:pPr>
            <w:r w:rsidRPr="00FD7B0B">
              <w:rPr>
                <w:rFonts w:ascii="Times New Roman" w:eastAsia="Times New Roman" w:hAnsi="Times New Roman"/>
                <w:lang w:eastAsia="ru-RU"/>
              </w:rPr>
              <w:t xml:space="preserve">43,6 </w:t>
            </w:r>
          </w:p>
        </w:tc>
      </w:tr>
    </w:tbl>
    <w:p w14:paraId="5CAD2B4B" w14:textId="77777777" w:rsidR="000A2A7A" w:rsidRPr="00FD7B0B" w:rsidRDefault="000A2A7A" w:rsidP="000A2A7A">
      <w:pPr>
        <w:pStyle w:val="1a"/>
        <w:widowControl/>
        <w:spacing w:before="0" w:after="0" w:line="240" w:lineRule="auto"/>
        <w:rPr>
          <w:sz w:val="28"/>
          <w:szCs w:val="28"/>
        </w:rPr>
      </w:pPr>
    </w:p>
    <w:p w14:paraId="7A62CB96" w14:textId="311CECA4"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Согласно представленной информации Минприроды (администратора платежей) сложившиеся показатели платежей за использование лесов в отчетном году об</w:t>
      </w:r>
      <w:r w:rsidR="008A6E57" w:rsidRPr="00FD7B0B">
        <w:rPr>
          <w:rFonts w:ascii="Times New Roman" w:hAnsi="Times New Roman"/>
          <w:sz w:val="28"/>
          <w:szCs w:val="28"/>
        </w:rPr>
        <w:t>условлены рядом факторов</w:t>
      </w:r>
      <w:r w:rsidRPr="00FD7B0B">
        <w:rPr>
          <w:rFonts w:ascii="Times New Roman" w:hAnsi="Times New Roman"/>
          <w:sz w:val="28"/>
          <w:szCs w:val="28"/>
        </w:rPr>
        <w:t>:</w:t>
      </w:r>
    </w:p>
    <w:p w14:paraId="3B29368C" w14:textId="77777777" w:rsidR="000A2A7A" w:rsidRPr="00FD7B0B" w:rsidRDefault="000A2A7A" w:rsidP="000A2A7A">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1) за использование лесов, расположенных на землях лесного фонда, в части, превышающей минимальный размер платы по договору купли-продажи лесных насаждений в 2024 году в областной бюджет получено 319,6 млн.руб., что в 2,4 раза превышает показатели годового кассового плана (128,0 млн.руб.) и обеспечено фактическим </w:t>
      </w:r>
      <w:r w:rsidRPr="00FD7B0B">
        <w:rPr>
          <w:rFonts w:ascii="Times New Roman" w:eastAsia="Times New Roman" w:hAnsi="Times New Roman"/>
          <w:sz w:val="28"/>
        </w:rPr>
        <w:t>объемом отпуска древесины, который сложился выше запланированного (факт – 821,7 тыс.м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план – 800,0 тыс.м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xml:space="preserve">), а также </w:t>
      </w:r>
      <w:r w:rsidRPr="00FD7B0B">
        <w:rPr>
          <w:rFonts w:ascii="Times New Roman" w:hAnsi="Times New Roman"/>
          <w:sz w:val="28"/>
          <w:szCs w:val="28"/>
        </w:rPr>
        <w:t>фактической средней</w:t>
      </w:r>
      <w:r w:rsidRPr="00FD7B0B">
        <w:rPr>
          <w:rFonts w:ascii="Times New Roman" w:eastAsia="Times New Roman" w:hAnsi="Times New Roman"/>
          <w:sz w:val="28"/>
        </w:rPr>
        <w:t xml:space="preserve"> ставкой платы по договорам купли-продажи лесных насаждений по результатам аукционов, которая сложилась в 2,4 раза выше плановой расчетной ставки (факт – 388,91 руб./м</w:t>
      </w:r>
      <w:r w:rsidRPr="00FD7B0B">
        <w:rPr>
          <w:rFonts w:ascii="Times New Roman" w:eastAsia="Times New Roman" w:hAnsi="Times New Roman"/>
          <w:sz w:val="28"/>
          <w:vertAlign w:val="superscript"/>
        </w:rPr>
        <w:t xml:space="preserve">3 </w:t>
      </w:r>
      <w:r w:rsidRPr="00FD7B0B">
        <w:rPr>
          <w:rFonts w:ascii="Times New Roman" w:eastAsia="Times New Roman" w:hAnsi="Times New Roman"/>
          <w:sz w:val="28"/>
        </w:rPr>
        <w:t>//прогноз – 160,03 руб./м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применяемой в соответствии с постановлением Правительства РФ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(ставка платы за 2023 год составляла 174,2 руб./м</w:t>
      </w:r>
      <w:r w:rsidRPr="00FD7B0B">
        <w:rPr>
          <w:rFonts w:ascii="Times New Roman" w:eastAsia="Times New Roman" w:hAnsi="Times New Roman"/>
          <w:sz w:val="28"/>
          <w:vertAlign w:val="superscript"/>
        </w:rPr>
        <w:t>3</w:t>
      </w:r>
      <w:r w:rsidRPr="00FD7B0B">
        <w:rPr>
          <w:rFonts w:ascii="Times New Roman" w:hAnsi="Times New Roman"/>
          <w:sz w:val="28"/>
          <w:szCs w:val="28"/>
        </w:rPr>
        <w:t>, ставка платы за 2024 год – 389,0</w:t>
      </w:r>
      <w:r w:rsidRPr="00FD7B0B">
        <w:rPr>
          <w:rFonts w:ascii="Times New Roman" w:eastAsia="Times New Roman" w:hAnsi="Times New Roman"/>
          <w:sz w:val="28"/>
        </w:rPr>
        <w:t xml:space="preserve"> руб./м</w:t>
      </w:r>
      <w:r w:rsidRPr="00FD7B0B">
        <w:rPr>
          <w:rFonts w:ascii="Times New Roman" w:eastAsia="Times New Roman" w:hAnsi="Times New Roman"/>
          <w:sz w:val="28"/>
          <w:vertAlign w:val="superscript"/>
        </w:rPr>
        <w:t>3</w:t>
      </w:r>
      <w:r w:rsidRPr="00FD7B0B">
        <w:rPr>
          <w:rFonts w:ascii="Times New Roman" w:hAnsi="Times New Roman"/>
          <w:sz w:val="28"/>
          <w:szCs w:val="28"/>
        </w:rPr>
        <w:t>);</w:t>
      </w:r>
    </w:p>
    <w:p w14:paraId="371E78D8" w14:textId="6E07909B" w:rsidR="000A2A7A" w:rsidRPr="00FD7B0B" w:rsidRDefault="000A2A7A" w:rsidP="000A2A7A">
      <w:pPr>
        <w:spacing w:after="0" w:line="240" w:lineRule="auto"/>
        <w:ind w:firstLine="709"/>
        <w:jc w:val="both"/>
        <w:rPr>
          <w:rFonts w:ascii="Times New Roman" w:eastAsia="Times New Roman" w:hAnsi="Times New Roman"/>
          <w:sz w:val="28"/>
        </w:rPr>
      </w:pPr>
      <w:r w:rsidRPr="00FD7B0B">
        <w:rPr>
          <w:rFonts w:ascii="Times New Roman" w:hAnsi="Times New Roman"/>
          <w:sz w:val="28"/>
          <w:szCs w:val="28"/>
        </w:rPr>
        <w:t>2) за использование лесов, расположенных на землях лесного фонда, в части, превышающей минимальный размер арендной платы, в 2024 году поступило 591,2 млн.руб. или 56,3 % показателей годового кассового плана (1 051,0 млн.руб.), что сложилось с учетом фактического</w:t>
      </w:r>
      <w:r w:rsidRPr="00FD7B0B">
        <w:rPr>
          <w:rFonts w:ascii="Times New Roman" w:eastAsia="Times New Roman" w:hAnsi="Times New Roman"/>
          <w:sz w:val="28"/>
        </w:rPr>
        <w:t xml:space="preserve"> объема отпуска древесины, который меньше планового объема (факт – 7 766,1 тыс.м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план – 16 762,0 тыс.м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xml:space="preserve">); а также </w:t>
      </w:r>
      <w:r w:rsidRPr="00FD7B0B">
        <w:rPr>
          <w:rFonts w:ascii="Times New Roman" w:hAnsi="Times New Roman"/>
          <w:sz w:val="28"/>
          <w:szCs w:val="28"/>
        </w:rPr>
        <w:t xml:space="preserve">фактической средней </w:t>
      </w:r>
      <w:r w:rsidRPr="00FD7B0B">
        <w:rPr>
          <w:rFonts w:ascii="Times New Roman" w:eastAsia="Times New Roman" w:hAnsi="Times New Roman"/>
          <w:sz w:val="28"/>
        </w:rPr>
        <w:t>ставки платы, превышающей расчетную ставку на 20,8</w:t>
      </w:r>
      <w:r w:rsidR="00755193" w:rsidRPr="00FD7B0B">
        <w:rPr>
          <w:rFonts w:ascii="Times New Roman" w:eastAsia="Times New Roman" w:hAnsi="Times New Roman"/>
          <w:sz w:val="28"/>
        </w:rPr>
        <w:t xml:space="preserve"> </w:t>
      </w:r>
      <w:r w:rsidRPr="00FD7B0B">
        <w:rPr>
          <w:rFonts w:ascii="Times New Roman" w:eastAsia="Times New Roman" w:hAnsi="Times New Roman"/>
          <w:sz w:val="28"/>
        </w:rPr>
        <w:t>%, учтенную при прогнозировании (факт – 75,7 руб./м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план – 62,63 руб./м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xml:space="preserve">). В составе </w:t>
      </w:r>
      <w:r w:rsidRPr="00FD7B0B">
        <w:rPr>
          <w:rFonts w:ascii="Times New Roman" w:hAnsi="Times New Roman"/>
          <w:sz w:val="28"/>
          <w:szCs w:val="28"/>
        </w:rPr>
        <w:t xml:space="preserve">поступившей арендной платы – 591,2 </w:t>
      </w:r>
      <w:r w:rsidRPr="00FD7B0B">
        <w:rPr>
          <w:rFonts w:ascii="Times New Roman" w:hAnsi="Times New Roman"/>
          <w:sz w:val="28"/>
          <w:szCs w:val="28"/>
        </w:rPr>
        <w:lastRenderedPageBreak/>
        <w:t>млн.руб. учтены поступления, несвязанные с заготовкой древесины, или 3,27 млн.руб.</w:t>
      </w:r>
    </w:p>
    <w:p w14:paraId="270EC419" w14:textId="6FB2A953" w:rsidR="000A2A7A" w:rsidRPr="00FD7B0B" w:rsidRDefault="000A2A7A" w:rsidP="000A2A7A">
      <w:pPr>
        <w:spacing w:after="0" w:line="240" w:lineRule="auto"/>
        <w:ind w:firstLine="709"/>
        <w:jc w:val="both"/>
        <w:rPr>
          <w:rFonts w:ascii="Times New Roman" w:eastAsia="Times New Roman" w:hAnsi="Times New Roman"/>
          <w:sz w:val="28"/>
        </w:rPr>
      </w:pPr>
      <w:r w:rsidRPr="00FD7B0B">
        <w:rPr>
          <w:rFonts w:ascii="Times New Roman" w:eastAsia="Times New Roman" w:hAnsi="Times New Roman"/>
          <w:sz w:val="28"/>
        </w:rPr>
        <w:t xml:space="preserve">2.1) за использование лесов, </w:t>
      </w:r>
      <w:r w:rsidRPr="00FD7B0B">
        <w:rPr>
          <w:rFonts w:ascii="Times New Roman" w:hAnsi="Times New Roman"/>
          <w:sz w:val="28"/>
          <w:szCs w:val="28"/>
        </w:rPr>
        <w:t>расположенных на землях лесного фонда</w:t>
      </w:r>
      <w:r w:rsidRPr="00FD7B0B">
        <w:rPr>
          <w:rFonts w:ascii="Times New Roman" w:eastAsia="Times New Roman" w:hAnsi="Times New Roman"/>
          <w:sz w:val="28"/>
        </w:rPr>
        <w:t xml:space="preserve">, в части, превышающей минимальный размер арендной платы, при реализации приоритетных инвестиционных проектов в целях развития лесного комплекса, </w:t>
      </w:r>
      <w:r w:rsidRPr="00FD7B0B">
        <w:rPr>
          <w:rFonts w:ascii="Times New Roman" w:hAnsi="Times New Roman"/>
          <w:sz w:val="28"/>
          <w:szCs w:val="28"/>
        </w:rPr>
        <w:t>в 2024 году поступило 471,1 млн.руб. или в 3,2 раза превышает показатели годового кассового плана (144,3 млн.руб.)</w:t>
      </w:r>
      <w:r w:rsidR="002913D7" w:rsidRPr="00FD7B0B">
        <w:rPr>
          <w:rFonts w:ascii="Times New Roman" w:hAnsi="Times New Roman"/>
          <w:sz w:val="28"/>
          <w:szCs w:val="28"/>
        </w:rPr>
        <w:t xml:space="preserve"> и</w:t>
      </w:r>
      <w:r w:rsidRPr="00FD7B0B">
        <w:rPr>
          <w:rFonts w:ascii="Times New Roman" w:hAnsi="Times New Roman"/>
          <w:sz w:val="28"/>
          <w:szCs w:val="28"/>
        </w:rPr>
        <w:t xml:space="preserve"> сложилось с учетом фактического</w:t>
      </w:r>
      <w:r w:rsidRPr="00FD7B0B">
        <w:rPr>
          <w:rFonts w:ascii="Times New Roman" w:eastAsia="Times New Roman" w:hAnsi="Times New Roman"/>
          <w:sz w:val="28"/>
        </w:rPr>
        <w:t xml:space="preserve"> объема отпуска древесины, который превышает плановый объем (факт – 12 167,9 тыс.м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план – 3 838,0 тыс.м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xml:space="preserve">); а также </w:t>
      </w:r>
      <w:r w:rsidRPr="00FD7B0B">
        <w:rPr>
          <w:rFonts w:ascii="Times New Roman" w:hAnsi="Times New Roman"/>
          <w:sz w:val="28"/>
          <w:szCs w:val="28"/>
        </w:rPr>
        <w:t xml:space="preserve">фактической средней </w:t>
      </w:r>
      <w:r w:rsidRPr="00FD7B0B">
        <w:rPr>
          <w:rFonts w:ascii="Times New Roman" w:eastAsia="Times New Roman" w:hAnsi="Times New Roman"/>
          <w:sz w:val="28"/>
        </w:rPr>
        <w:t>ставки платы, несколько превышающей расчетную ставку, учтенную при прогнозировании (факт – 38,72 руб./м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план – 37,60 руб./м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w:t>
      </w:r>
    </w:p>
    <w:p w14:paraId="7C85AD73" w14:textId="175BBCC2" w:rsidR="000A2A7A" w:rsidRPr="00FD7B0B" w:rsidRDefault="000A2A7A" w:rsidP="000A2A7A">
      <w:pPr>
        <w:spacing w:after="0" w:line="240" w:lineRule="auto"/>
        <w:ind w:firstLine="709"/>
        <w:jc w:val="both"/>
        <w:rPr>
          <w:rFonts w:ascii="Times New Roman" w:hAnsi="Times New Roman"/>
          <w:sz w:val="28"/>
          <w:szCs w:val="28"/>
        </w:rPr>
      </w:pPr>
      <w:r w:rsidRPr="00FD7B0B">
        <w:rPr>
          <w:rFonts w:ascii="Times New Roman" w:eastAsia="Times New Roman" w:hAnsi="Times New Roman"/>
          <w:sz w:val="28"/>
        </w:rPr>
        <w:t xml:space="preserve">В </w:t>
      </w:r>
      <w:r w:rsidRPr="00FD7B0B">
        <w:rPr>
          <w:rFonts w:ascii="Times New Roman" w:hAnsi="Times New Roman"/>
          <w:sz w:val="28"/>
          <w:szCs w:val="28"/>
        </w:rPr>
        <w:t xml:space="preserve">2024 году </w:t>
      </w:r>
      <w:r w:rsidRPr="00FD7B0B">
        <w:rPr>
          <w:rFonts w:ascii="Times New Roman" w:eastAsia="Times New Roman" w:hAnsi="Times New Roman"/>
          <w:sz w:val="28"/>
        </w:rPr>
        <w:t>плат</w:t>
      </w:r>
      <w:r w:rsidR="007D02A9" w:rsidRPr="00FD7B0B">
        <w:rPr>
          <w:rFonts w:ascii="Times New Roman" w:eastAsia="Times New Roman" w:hAnsi="Times New Roman"/>
          <w:sz w:val="28"/>
        </w:rPr>
        <w:t>а</w:t>
      </w:r>
      <w:r w:rsidRPr="00FD7B0B">
        <w:rPr>
          <w:rFonts w:ascii="Times New Roman" w:eastAsia="Times New Roman" w:hAnsi="Times New Roman"/>
          <w:sz w:val="28"/>
        </w:rPr>
        <w:t xml:space="preserve"> </w:t>
      </w:r>
      <w:r w:rsidRPr="00FD7B0B">
        <w:rPr>
          <w:rFonts w:ascii="Times New Roman" w:hAnsi="Times New Roman"/>
          <w:sz w:val="28"/>
          <w:szCs w:val="28"/>
        </w:rPr>
        <w:t xml:space="preserve">за использование лесов, расположенных на землях лесного фонда, в части, превышающей минимальный размер арендной платы, и арендной платы </w:t>
      </w:r>
      <w:r w:rsidRPr="00FD7B0B">
        <w:rPr>
          <w:rFonts w:ascii="Times New Roman" w:eastAsia="Times New Roman" w:hAnsi="Times New Roman"/>
          <w:sz w:val="28"/>
        </w:rPr>
        <w:t>при реализации приоритетных инвестиционных проектов</w:t>
      </w:r>
      <w:r w:rsidRPr="00FD7B0B">
        <w:rPr>
          <w:rFonts w:ascii="Times New Roman" w:hAnsi="Times New Roman"/>
          <w:sz w:val="28"/>
          <w:szCs w:val="28"/>
        </w:rPr>
        <w:t xml:space="preserve"> (заготовка древесины), поступил</w:t>
      </w:r>
      <w:r w:rsidR="007D02A9" w:rsidRPr="00FD7B0B">
        <w:rPr>
          <w:rFonts w:ascii="Times New Roman" w:hAnsi="Times New Roman"/>
          <w:sz w:val="28"/>
          <w:szCs w:val="28"/>
        </w:rPr>
        <w:t>а</w:t>
      </w:r>
      <w:r w:rsidRPr="00FD7B0B">
        <w:rPr>
          <w:rFonts w:ascii="Times New Roman" w:hAnsi="Times New Roman"/>
          <w:sz w:val="28"/>
          <w:szCs w:val="28"/>
        </w:rPr>
        <w:t xml:space="preserve"> в</w:t>
      </w:r>
      <w:r w:rsidRPr="00FD7B0B">
        <w:rPr>
          <w:rFonts w:ascii="Times New Roman" w:eastAsia="Times New Roman" w:hAnsi="Times New Roman"/>
          <w:sz w:val="28"/>
        </w:rPr>
        <w:t xml:space="preserve"> целом </w:t>
      </w:r>
      <w:r w:rsidR="007D02A9" w:rsidRPr="00FD7B0B">
        <w:rPr>
          <w:rFonts w:ascii="Times New Roman" w:eastAsia="Times New Roman" w:hAnsi="Times New Roman"/>
          <w:sz w:val="28"/>
        </w:rPr>
        <w:t xml:space="preserve">в сумме </w:t>
      </w:r>
      <w:r w:rsidRPr="00FD7B0B">
        <w:rPr>
          <w:rFonts w:ascii="Times New Roman" w:hAnsi="Times New Roman"/>
          <w:sz w:val="28"/>
          <w:szCs w:val="28"/>
        </w:rPr>
        <w:t>1 059,0 млн.руб., что соответствует поступлениям за 2023 год (1 058,7 млн.руб), и в основном обусловлено следующим:</w:t>
      </w:r>
    </w:p>
    <w:p w14:paraId="2F5C01B9" w14:textId="77777777" w:rsidR="000A2A7A" w:rsidRPr="00FD7B0B" w:rsidRDefault="000A2A7A" w:rsidP="0063072B">
      <w:pPr>
        <w:pStyle w:val="1a"/>
        <w:numPr>
          <w:ilvl w:val="0"/>
          <w:numId w:val="13"/>
        </w:numPr>
        <w:spacing w:before="0" w:after="0" w:line="240" w:lineRule="auto"/>
        <w:ind w:left="0" w:firstLine="687"/>
        <w:rPr>
          <w:sz w:val="28"/>
          <w:szCs w:val="28"/>
        </w:rPr>
      </w:pPr>
      <w:r w:rsidRPr="00FD7B0B">
        <w:rPr>
          <w:sz w:val="28"/>
          <w:szCs w:val="28"/>
        </w:rPr>
        <w:t>перерасчетом размера арендных платежей за 2023 год в сторону снижения в рамках действия постановления Правительства Российской Федерации от 15.06.2023 № 987 «О внесении изменений в некоторые акты Правительства Российской Федерации и признании утратившим силу отдельного положения постановления Правительства Российской Федерации от 21.05.2019 № 633» в качестве меры поддержки предприятий лесопромышленного комплекса Северо-Западного федерального округа;</w:t>
      </w:r>
    </w:p>
    <w:p w14:paraId="77BAF43D" w14:textId="77777777" w:rsidR="000A2A7A" w:rsidRPr="00FD7B0B" w:rsidRDefault="000A2A7A" w:rsidP="00266453">
      <w:pPr>
        <w:pStyle w:val="1a"/>
        <w:widowControl/>
        <w:numPr>
          <w:ilvl w:val="0"/>
          <w:numId w:val="13"/>
        </w:numPr>
        <w:spacing w:before="0" w:after="0" w:line="240" w:lineRule="auto"/>
        <w:ind w:left="0" w:firstLine="709"/>
        <w:rPr>
          <w:sz w:val="28"/>
        </w:rPr>
      </w:pPr>
      <w:r w:rsidRPr="00FD7B0B">
        <w:rPr>
          <w:sz w:val="28"/>
          <w:szCs w:val="28"/>
        </w:rPr>
        <w:t>поступления по договорам аренды, заключенные для реализации приоритетных инвестиционных проектов в целях развития лесного комплекса, учитываемые в составе платежей за использование лесов, расположенных на землях лесного фонда, в части, превышающей минимальный размер арендной платы, с 01.01.2024 зачисляются на новый код бюджетной классификации, открытый для учета указанных платежей;</w:t>
      </w:r>
    </w:p>
    <w:p w14:paraId="5A38C6CA" w14:textId="77777777" w:rsidR="000A2A7A" w:rsidRPr="00FD7B0B" w:rsidRDefault="000A2A7A" w:rsidP="000A2A7A">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3) за использование лесов, расположенных на землях лесного фонда, в части платы по договору купли-продажи лесных насаждений для собственных нужд в 2004 году получено 43,6 млн.руб. или 99,3 % показателей годового кассового плана (43,9 млн.руб.), что обусловлено такими факторами: снижение количества обращений населения по отпуску древесины, что привело к уменьшению </w:t>
      </w:r>
      <w:r w:rsidRPr="00FD7B0B">
        <w:rPr>
          <w:rFonts w:ascii="Times New Roman" w:eastAsia="Times New Roman" w:hAnsi="Times New Roman"/>
          <w:sz w:val="28"/>
        </w:rPr>
        <w:t>объема отпуска древесины</w:t>
      </w:r>
      <w:r w:rsidRPr="00FD7B0B">
        <w:rPr>
          <w:rFonts w:ascii="Times New Roman" w:hAnsi="Times New Roman"/>
          <w:sz w:val="28"/>
          <w:szCs w:val="28"/>
        </w:rPr>
        <w:t xml:space="preserve">, чем планировалось </w:t>
      </w:r>
      <w:r w:rsidRPr="00FD7B0B">
        <w:rPr>
          <w:rFonts w:ascii="Times New Roman" w:eastAsia="Times New Roman" w:hAnsi="Times New Roman"/>
          <w:sz w:val="28"/>
        </w:rPr>
        <w:t>(факт – 266,20 тыс.м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план – 390,0 тыс.м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xml:space="preserve">); </w:t>
      </w:r>
      <w:r w:rsidRPr="00FD7B0B">
        <w:rPr>
          <w:rFonts w:ascii="Times New Roman" w:hAnsi="Times New Roman"/>
          <w:sz w:val="28"/>
          <w:szCs w:val="28"/>
        </w:rPr>
        <w:t xml:space="preserve">фактически сложившаяся средняя </w:t>
      </w:r>
      <w:r w:rsidRPr="00FD7B0B">
        <w:rPr>
          <w:rFonts w:ascii="Times New Roman" w:eastAsia="Times New Roman" w:hAnsi="Times New Roman"/>
          <w:sz w:val="28"/>
        </w:rPr>
        <w:t>ставка платы превысила расчетную ставку в 1,4 раза, учтенную при прогнозировании (факт – 163,1 руб./м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план – 112,60 руб./м</w:t>
      </w:r>
      <w:r w:rsidRPr="00FD7B0B">
        <w:rPr>
          <w:rFonts w:ascii="Times New Roman" w:eastAsia="Times New Roman" w:hAnsi="Times New Roman"/>
          <w:sz w:val="28"/>
          <w:vertAlign w:val="superscript"/>
        </w:rPr>
        <w:t>3</w:t>
      </w:r>
      <w:r w:rsidRPr="00FD7B0B">
        <w:rPr>
          <w:rFonts w:ascii="Times New Roman" w:eastAsia="Times New Roman" w:hAnsi="Times New Roman"/>
          <w:sz w:val="28"/>
        </w:rPr>
        <w:t>), применяемую в соответствии с действием постановления Правительства РФ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(ставка платы за 2023 год составляла 106,5 руб./м</w:t>
      </w:r>
      <w:r w:rsidRPr="00FD7B0B">
        <w:rPr>
          <w:rFonts w:ascii="Times New Roman" w:eastAsia="Times New Roman" w:hAnsi="Times New Roman"/>
          <w:sz w:val="28"/>
          <w:vertAlign w:val="superscript"/>
        </w:rPr>
        <w:t>3</w:t>
      </w:r>
      <w:r w:rsidRPr="00FD7B0B">
        <w:rPr>
          <w:rFonts w:ascii="Times New Roman" w:hAnsi="Times New Roman"/>
          <w:sz w:val="28"/>
          <w:szCs w:val="28"/>
        </w:rPr>
        <w:t>, ставка платы за 2024 год – 163,1</w:t>
      </w:r>
      <w:r w:rsidRPr="00FD7B0B">
        <w:rPr>
          <w:rFonts w:ascii="Times New Roman" w:eastAsia="Times New Roman" w:hAnsi="Times New Roman"/>
          <w:sz w:val="28"/>
        </w:rPr>
        <w:t xml:space="preserve"> руб./м</w:t>
      </w:r>
      <w:r w:rsidRPr="00FD7B0B">
        <w:rPr>
          <w:rFonts w:ascii="Times New Roman" w:eastAsia="Times New Roman" w:hAnsi="Times New Roman"/>
          <w:sz w:val="28"/>
          <w:vertAlign w:val="superscript"/>
        </w:rPr>
        <w:t>3</w:t>
      </w:r>
      <w:r w:rsidRPr="00FD7B0B">
        <w:rPr>
          <w:rFonts w:ascii="Times New Roman" w:hAnsi="Times New Roman"/>
          <w:sz w:val="28"/>
          <w:szCs w:val="28"/>
        </w:rPr>
        <w:t>).</w:t>
      </w:r>
    </w:p>
    <w:p w14:paraId="4F2F0C52" w14:textId="41F6E89F" w:rsidR="000A2A7A" w:rsidRPr="00FD7B0B" w:rsidRDefault="000A2A7A" w:rsidP="000A2A7A">
      <w:pPr>
        <w:pStyle w:val="1a"/>
        <w:widowControl/>
        <w:spacing w:before="0" w:after="0" w:line="240" w:lineRule="auto"/>
        <w:ind w:firstLine="720"/>
        <w:rPr>
          <w:sz w:val="28"/>
          <w:szCs w:val="28"/>
        </w:rPr>
      </w:pPr>
      <w:r w:rsidRPr="00FD7B0B">
        <w:rPr>
          <w:sz w:val="28"/>
          <w:szCs w:val="28"/>
        </w:rPr>
        <w:t>9.2. Плата за негативное воздействие на окружающую среду (НВОС) за 2024 год поступила в сумме 231,3 млн.руб., что составляет 126,8</w:t>
      </w:r>
      <w:r w:rsidR="0082762F" w:rsidRPr="00FD7B0B">
        <w:rPr>
          <w:sz w:val="28"/>
          <w:szCs w:val="28"/>
        </w:rPr>
        <w:t xml:space="preserve"> </w:t>
      </w:r>
      <w:r w:rsidRPr="00FD7B0B">
        <w:rPr>
          <w:sz w:val="28"/>
          <w:szCs w:val="28"/>
        </w:rPr>
        <w:t xml:space="preserve">% к </w:t>
      </w:r>
      <w:r w:rsidRPr="00FD7B0B">
        <w:rPr>
          <w:sz w:val="28"/>
          <w:szCs w:val="28"/>
        </w:rPr>
        <w:lastRenderedPageBreak/>
        <w:t>показателям кассового плана на 2024 год (182,3 млн.руб.) и в 1,6 раза превышает поступления за 2023 год (143,3 млн.руб.). По инфо</w:t>
      </w:r>
      <w:r w:rsidR="0082762F" w:rsidRPr="00FD7B0B">
        <w:rPr>
          <w:sz w:val="28"/>
          <w:szCs w:val="28"/>
        </w:rPr>
        <w:t>рмации Северного межрегионального</w:t>
      </w:r>
      <w:r w:rsidRPr="00FD7B0B">
        <w:rPr>
          <w:sz w:val="28"/>
          <w:szCs w:val="28"/>
        </w:rPr>
        <w:t xml:space="preserve"> управлени</w:t>
      </w:r>
      <w:r w:rsidR="0082762F" w:rsidRPr="00FD7B0B">
        <w:rPr>
          <w:sz w:val="28"/>
          <w:szCs w:val="28"/>
        </w:rPr>
        <w:t>я</w:t>
      </w:r>
      <w:r w:rsidRPr="00FD7B0B">
        <w:rPr>
          <w:sz w:val="28"/>
          <w:szCs w:val="28"/>
        </w:rPr>
        <w:t xml:space="preserve"> Росприроднадзора (администратор платежей) поступление в основном обеспечено итоговыми платежами за 2023 год, авансовыми платежами за 2024 год, а также за счет погашения за</w:t>
      </w:r>
      <w:r w:rsidR="0082762F" w:rsidRPr="00FD7B0B">
        <w:rPr>
          <w:sz w:val="28"/>
          <w:szCs w:val="28"/>
        </w:rPr>
        <w:t>долженности за прошлые периоды.</w:t>
      </w:r>
    </w:p>
    <w:p w14:paraId="5AF896EE"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Крупные плательщики платы за негативное воздействие на окружающую среду: АО «ПАО «Севмаш», АО «АГД Даймондс», АО «СЕВЕРАЛМАЗ»; филиал ОАО «Группа Илим» в г. Коряжме; АО «Архангельский ЦБК»; ООО «Профреал»; АО «ЦС «Звездочка» и ряд других предприятий.</w:t>
      </w:r>
    </w:p>
    <w:p w14:paraId="0DC30CF1" w14:textId="54302895"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9.3 Поступление </w:t>
      </w:r>
      <w:r w:rsidRPr="00FD7B0B">
        <w:rPr>
          <w:sz w:val="28"/>
          <w:szCs w:val="28"/>
          <w:u w:val="single"/>
        </w:rPr>
        <w:t>платежей при пользовании недрами</w:t>
      </w:r>
      <w:r w:rsidRPr="00FD7B0B">
        <w:rPr>
          <w:sz w:val="28"/>
          <w:szCs w:val="28"/>
        </w:rPr>
        <w:t xml:space="preserve"> за 2024 год составило 87,8 млн.руб. или 108,3</w:t>
      </w:r>
      <w:r w:rsidR="0082762F" w:rsidRPr="00FD7B0B">
        <w:rPr>
          <w:sz w:val="28"/>
          <w:szCs w:val="28"/>
        </w:rPr>
        <w:t xml:space="preserve"> </w:t>
      </w:r>
      <w:r w:rsidRPr="00FD7B0B">
        <w:rPr>
          <w:sz w:val="28"/>
          <w:szCs w:val="28"/>
        </w:rPr>
        <w:t>% к показателям кассового плана 2024 года, из которых значительную долю администрирует Минприроды – 84,9 млн.руб. или 96,7 %. По сравнению с аналогичным периодом прошлого года поступления платежей при пользовании недрами увеличились на 30,4 млн.руб. или в 1,5 раза за счет разовых сумм платежей по результатам аукционов (конкурсов) в отчетном периоде и разовых сумм платежей по факту открытых месторождений ОПИ, которые носят заявительный характер. Кроме того, обеспечено платежами за пользование недрами при наступлении определенных событий, оговоренных в лицензии (бонусы), при пользовании недрами на территории России по участкам недр местного значения, в сумме 83,3 млн.руб. (администратор – Минприроды), что в 1,5 раза превышает аналогичные поступл</w:t>
      </w:r>
      <w:r w:rsidR="0082762F" w:rsidRPr="00FD7B0B">
        <w:rPr>
          <w:sz w:val="28"/>
          <w:szCs w:val="28"/>
        </w:rPr>
        <w:t>ения 2023 года (54,3 млн.руб.).</w:t>
      </w:r>
    </w:p>
    <w:p w14:paraId="0ED44349" w14:textId="13FB5134" w:rsidR="000A2A7A" w:rsidRPr="00FD7B0B" w:rsidRDefault="000A2A7A" w:rsidP="000A2A7A">
      <w:pPr>
        <w:pStyle w:val="1a"/>
        <w:widowControl/>
        <w:spacing w:before="0" w:after="0" w:line="240" w:lineRule="auto"/>
        <w:ind w:firstLine="720"/>
        <w:rPr>
          <w:sz w:val="28"/>
          <w:szCs w:val="28"/>
        </w:rPr>
      </w:pPr>
      <w:r w:rsidRPr="00FD7B0B">
        <w:rPr>
          <w:sz w:val="28"/>
          <w:szCs w:val="28"/>
        </w:rPr>
        <w:t>По данным Сведени</w:t>
      </w:r>
      <w:r w:rsidR="0044662D" w:rsidRPr="00FD7B0B">
        <w:rPr>
          <w:sz w:val="28"/>
          <w:szCs w:val="28"/>
        </w:rPr>
        <w:t>й</w:t>
      </w:r>
      <w:r w:rsidRPr="00FD7B0B">
        <w:rPr>
          <w:sz w:val="28"/>
          <w:szCs w:val="28"/>
        </w:rPr>
        <w:t xml:space="preserve"> по дебиторской и кредиторской задолженности (ф. 0503169) Минприроды</w:t>
      </w:r>
      <w:r w:rsidR="0044662D" w:rsidRPr="00FD7B0B">
        <w:rPr>
          <w:sz w:val="28"/>
          <w:szCs w:val="28"/>
        </w:rPr>
        <w:t>,</w:t>
      </w:r>
      <w:r w:rsidRPr="00FD7B0B">
        <w:rPr>
          <w:sz w:val="28"/>
          <w:szCs w:val="28"/>
        </w:rPr>
        <w:t xml:space="preserve"> дебиторская задолженность по счету 205.23 «Расчеты по доходам от платежей при пользовании природными ресурсами» на 31.12.2024 составляет 32 858,8 млн.руб., увеличившись к показателям дебиторской задолженности на начало года на 2 553,4 млн.руб. (+8,4 %), из них 32 804,2 млн.руб. </w:t>
      </w:r>
      <w:r w:rsidR="0044662D" w:rsidRPr="00FD7B0B">
        <w:rPr>
          <w:sz w:val="28"/>
          <w:szCs w:val="28"/>
        </w:rPr>
        <w:t xml:space="preserve">– </w:t>
      </w:r>
      <w:r w:rsidRPr="00FD7B0B">
        <w:rPr>
          <w:sz w:val="28"/>
          <w:szCs w:val="28"/>
        </w:rPr>
        <w:t xml:space="preserve">долгосрочная задолженность согласно заключенным договорам с лесопользователями со сроками </w:t>
      </w:r>
      <w:r w:rsidR="0044662D" w:rsidRPr="00FD7B0B">
        <w:rPr>
          <w:sz w:val="28"/>
          <w:szCs w:val="28"/>
        </w:rPr>
        <w:t>до 49 лет.</w:t>
      </w:r>
    </w:p>
    <w:p w14:paraId="0025F0CF" w14:textId="05FDFD93" w:rsidR="000A2A7A" w:rsidRPr="00FD7B0B" w:rsidRDefault="000A2A7A" w:rsidP="000A2A7A">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Показатели дебиторской задолженности по счету 205.23 «Расчеты по доходам от платежей при пользовании природными ресурсами» согласно отчет</w:t>
      </w:r>
      <w:r w:rsidR="00CB1DD7" w:rsidRPr="00FD7B0B">
        <w:rPr>
          <w:rFonts w:ascii="Times New Roman" w:hAnsi="Times New Roman"/>
          <w:sz w:val="28"/>
          <w:szCs w:val="28"/>
        </w:rPr>
        <w:t>у</w:t>
      </w:r>
      <w:r w:rsidRPr="00FD7B0B">
        <w:rPr>
          <w:rFonts w:ascii="Times New Roman" w:hAnsi="Times New Roman"/>
          <w:sz w:val="28"/>
          <w:szCs w:val="28"/>
        </w:rPr>
        <w:t xml:space="preserve"> </w:t>
      </w:r>
      <w:r w:rsidR="00C2711E" w:rsidRPr="00FD7B0B">
        <w:rPr>
          <w:rFonts w:ascii="Times New Roman" w:hAnsi="Times New Roman"/>
          <w:sz w:val="28"/>
          <w:szCs w:val="28"/>
        </w:rPr>
        <w:t>М</w:t>
      </w:r>
      <w:r w:rsidRPr="00FD7B0B">
        <w:rPr>
          <w:rFonts w:ascii="Times New Roman" w:hAnsi="Times New Roman"/>
          <w:sz w:val="28"/>
          <w:szCs w:val="28"/>
        </w:rPr>
        <w:t xml:space="preserve">инприроды на 31.12.2024 представлены в таблице </w:t>
      </w:r>
      <w:r w:rsidR="0080327C" w:rsidRPr="00FD7B0B">
        <w:rPr>
          <w:rFonts w:ascii="Times New Roman" w:hAnsi="Times New Roman"/>
          <w:sz w:val="28"/>
          <w:szCs w:val="28"/>
        </w:rPr>
        <w:t>39</w:t>
      </w:r>
      <w:r w:rsidRPr="00FD7B0B">
        <w:rPr>
          <w:rFonts w:ascii="Times New Roman" w:hAnsi="Times New Roman"/>
          <w:sz w:val="28"/>
          <w:szCs w:val="28"/>
        </w:rPr>
        <w:t>.</w:t>
      </w:r>
    </w:p>
    <w:p w14:paraId="4A93EBE6" w14:textId="77777777" w:rsidR="000A2A7A" w:rsidRPr="00FD7B0B" w:rsidRDefault="000A2A7A" w:rsidP="000A2A7A">
      <w:pPr>
        <w:autoSpaceDE w:val="0"/>
        <w:autoSpaceDN w:val="0"/>
        <w:adjustRightInd w:val="0"/>
        <w:spacing w:after="0" w:line="240" w:lineRule="auto"/>
        <w:ind w:firstLine="709"/>
        <w:jc w:val="both"/>
        <w:rPr>
          <w:rFonts w:ascii="Times New Roman" w:hAnsi="Times New Roman"/>
          <w:sz w:val="24"/>
          <w:szCs w:val="24"/>
        </w:rPr>
      </w:pPr>
    </w:p>
    <w:p w14:paraId="27CDA0F6" w14:textId="77777777" w:rsidR="000A2A7A" w:rsidRPr="00FD7B0B" w:rsidRDefault="000A2A7A" w:rsidP="000A2A7A">
      <w:pPr>
        <w:pStyle w:val="aff0"/>
        <w:spacing w:after="0" w:line="240" w:lineRule="auto"/>
        <w:rPr>
          <w:rFonts w:ascii="Times New Roman" w:hAnsi="Times New Roman"/>
          <w:b w:val="0"/>
          <w:bCs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39</w:t>
      </w:r>
      <w:r w:rsidRPr="00FD7B0B">
        <w:rPr>
          <w:rFonts w:ascii="Times New Roman" w:hAnsi="Times New Roman"/>
          <w:b w:val="0"/>
          <w:sz w:val="24"/>
          <w:szCs w:val="24"/>
        </w:rPr>
        <w:fldChar w:fldCharType="end"/>
      </w:r>
      <w:r w:rsidRPr="00FD7B0B">
        <w:rPr>
          <w:rFonts w:ascii="Times New Roman" w:hAnsi="Times New Roman"/>
          <w:b w:val="0"/>
          <w:sz w:val="24"/>
          <w:szCs w:val="24"/>
        </w:rPr>
        <w:t>.</w:t>
      </w:r>
      <w:r w:rsidRPr="00FD7B0B">
        <w:rPr>
          <w:rFonts w:ascii="Times New Roman" w:hAnsi="Times New Roman"/>
          <w:b w:val="0"/>
          <w:bCs w:val="0"/>
          <w:sz w:val="24"/>
          <w:szCs w:val="24"/>
        </w:rPr>
        <w:t xml:space="preserve"> Показатели дебиторской задолженности за 2024 год по счету 205.23 «Расчеты по доходам от платежей при пользовании природными ресурсами» по данным отчета (ф. 0503169) Минприроды, млн.руб.</w:t>
      </w:r>
    </w:p>
    <w:tbl>
      <w:tblPr>
        <w:tblW w:w="9640"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3686"/>
        <w:gridCol w:w="1560"/>
        <w:gridCol w:w="1701"/>
        <w:gridCol w:w="1134"/>
        <w:gridCol w:w="1559"/>
      </w:tblGrid>
      <w:tr w:rsidR="00FD7B0B" w:rsidRPr="00FD7B0B" w14:paraId="3C28CD13" w14:textId="77777777" w:rsidTr="00CB1DD7">
        <w:trPr>
          <w:trHeight w:val="484"/>
          <w:tblHeader/>
        </w:trPr>
        <w:tc>
          <w:tcPr>
            <w:tcW w:w="3686" w:type="dxa"/>
            <w:vMerge w:val="restart"/>
            <w:shd w:val="clear" w:color="auto" w:fill="auto"/>
            <w:noWrap/>
            <w:vAlign w:val="center"/>
            <w:hideMark/>
          </w:tcPr>
          <w:p w14:paraId="16A4CD65"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Показатели</w:t>
            </w:r>
          </w:p>
        </w:tc>
        <w:tc>
          <w:tcPr>
            <w:tcW w:w="3261" w:type="dxa"/>
            <w:gridSpan w:val="2"/>
            <w:shd w:val="clear" w:color="auto" w:fill="auto"/>
            <w:vAlign w:val="center"/>
            <w:hideMark/>
          </w:tcPr>
          <w:p w14:paraId="4B684EDE" w14:textId="77777777" w:rsidR="000A2A7A" w:rsidRPr="00FD7B0B" w:rsidRDefault="000A2A7A" w:rsidP="000A2A7A">
            <w:pPr>
              <w:spacing w:after="0" w:line="240" w:lineRule="auto"/>
              <w:jc w:val="center"/>
              <w:rPr>
                <w:rFonts w:ascii="Times New Roman" w:eastAsia="Times New Roman" w:hAnsi="Times New Roman"/>
                <w:bCs/>
                <w:u w:val="single"/>
                <w:lang w:eastAsia="ru-RU"/>
              </w:rPr>
            </w:pPr>
            <w:r w:rsidRPr="00FD7B0B">
              <w:rPr>
                <w:rFonts w:ascii="Times New Roman" w:eastAsia="Times New Roman" w:hAnsi="Times New Roman"/>
                <w:b/>
                <w:bCs/>
                <w:u w:val="single"/>
                <w:lang w:eastAsia="ru-RU"/>
              </w:rPr>
              <w:t>205.23</w:t>
            </w:r>
            <w:r w:rsidRPr="00FD7B0B">
              <w:rPr>
                <w:rFonts w:ascii="Times New Roman" w:eastAsia="Times New Roman" w:hAnsi="Times New Roman"/>
                <w:bCs/>
                <w:lang w:eastAsia="ru-RU"/>
              </w:rPr>
              <w:t xml:space="preserve"> «Расчеты по доходам от платежей при пользовании природными ресурсами»</w:t>
            </w:r>
          </w:p>
        </w:tc>
        <w:tc>
          <w:tcPr>
            <w:tcW w:w="2693" w:type="dxa"/>
            <w:gridSpan w:val="2"/>
            <w:shd w:val="clear" w:color="auto" w:fill="auto"/>
            <w:noWrap/>
            <w:vAlign w:val="center"/>
            <w:hideMark/>
          </w:tcPr>
          <w:p w14:paraId="7BA676CF"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Изменение</w:t>
            </w:r>
            <w:r w:rsidRPr="00FD7B0B">
              <w:rPr>
                <w:rFonts w:ascii="Times New Roman" w:hAnsi="Times New Roman"/>
                <w:sz w:val="24"/>
                <w:szCs w:val="24"/>
              </w:rPr>
              <w:t xml:space="preserve"> дебиторской задолженности</w:t>
            </w:r>
          </w:p>
        </w:tc>
      </w:tr>
      <w:tr w:rsidR="00FD7B0B" w:rsidRPr="00FD7B0B" w14:paraId="7F56822E" w14:textId="77777777" w:rsidTr="000A2A7A">
        <w:trPr>
          <w:trHeight w:val="61"/>
          <w:tblHeader/>
        </w:trPr>
        <w:tc>
          <w:tcPr>
            <w:tcW w:w="3686" w:type="dxa"/>
            <w:vMerge/>
            <w:shd w:val="clear" w:color="auto" w:fill="auto"/>
            <w:vAlign w:val="center"/>
            <w:hideMark/>
          </w:tcPr>
          <w:p w14:paraId="04501EB5" w14:textId="77777777" w:rsidR="000A2A7A" w:rsidRPr="00FD7B0B" w:rsidRDefault="000A2A7A" w:rsidP="000A2A7A">
            <w:pPr>
              <w:spacing w:after="0" w:line="240" w:lineRule="auto"/>
              <w:rPr>
                <w:rFonts w:ascii="Times New Roman" w:eastAsia="Times New Roman" w:hAnsi="Times New Roman"/>
                <w:lang w:eastAsia="ru-RU"/>
              </w:rPr>
            </w:pPr>
          </w:p>
        </w:tc>
        <w:tc>
          <w:tcPr>
            <w:tcW w:w="1560" w:type="dxa"/>
            <w:shd w:val="clear" w:color="auto" w:fill="auto"/>
            <w:noWrap/>
            <w:vAlign w:val="center"/>
            <w:hideMark/>
          </w:tcPr>
          <w:p w14:paraId="10B6C03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01.01.2024</w:t>
            </w:r>
          </w:p>
        </w:tc>
        <w:tc>
          <w:tcPr>
            <w:tcW w:w="1701" w:type="dxa"/>
            <w:shd w:val="clear" w:color="auto" w:fill="auto"/>
            <w:noWrap/>
            <w:vAlign w:val="center"/>
            <w:hideMark/>
          </w:tcPr>
          <w:p w14:paraId="4DF8321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31.12.2024</w:t>
            </w:r>
          </w:p>
        </w:tc>
        <w:tc>
          <w:tcPr>
            <w:tcW w:w="1134" w:type="dxa"/>
            <w:shd w:val="clear" w:color="auto" w:fill="auto"/>
            <w:vAlign w:val="center"/>
            <w:hideMark/>
          </w:tcPr>
          <w:p w14:paraId="45A60308"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1559" w:type="dxa"/>
            <w:shd w:val="clear" w:color="auto" w:fill="auto"/>
            <w:vAlign w:val="center"/>
            <w:hideMark/>
          </w:tcPr>
          <w:p w14:paraId="0CCF149D"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w:t>
            </w:r>
          </w:p>
        </w:tc>
      </w:tr>
      <w:tr w:rsidR="00FD7B0B" w:rsidRPr="00FD7B0B" w14:paraId="15BB51ED" w14:textId="77777777" w:rsidTr="000A2A7A">
        <w:trPr>
          <w:trHeight w:val="163"/>
          <w:tblHeader/>
        </w:trPr>
        <w:tc>
          <w:tcPr>
            <w:tcW w:w="3686" w:type="dxa"/>
            <w:shd w:val="clear" w:color="auto" w:fill="auto"/>
            <w:noWrap/>
            <w:vAlign w:val="center"/>
            <w:hideMark/>
          </w:tcPr>
          <w:p w14:paraId="34CD12ED"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А</w:t>
            </w:r>
          </w:p>
        </w:tc>
        <w:tc>
          <w:tcPr>
            <w:tcW w:w="1560" w:type="dxa"/>
            <w:shd w:val="clear" w:color="auto" w:fill="auto"/>
            <w:noWrap/>
            <w:vAlign w:val="center"/>
            <w:hideMark/>
          </w:tcPr>
          <w:p w14:paraId="3A5BDD73"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w:t>
            </w:r>
          </w:p>
        </w:tc>
        <w:tc>
          <w:tcPr>
            <w:tcW w:w="1701" w:type="dxa"/>
            <w:shd w:val="clear" w:color="auto" w:fill="auto"/>
            <w:noWrap/>
            <w:vAlign w:val="center"/>
            <w:hideMark/>
          </w:tcPr>
          <w:p w14:paraId="714B45F6"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w:t>
            </w:r>
          </w:p>
        </w:tc>
        <w:tc>
          <w:tcPr>
            <w:tcW w:w="1134" w:type="dxa"/>
            <w:shd w:val="clear" w:color="auto" w:fill="auto"/>
            <w:vAlign w:val="center"/>
            <w:hideMark/>
          </w:tcPr>
          <w:p w14:paraId="6FC7EF9E"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3=2-1</w:t>
            </w:r>
          </w:p>
        </w:tc>
        <w:tc>
          <w:tcPr>
            <w:tcW w:w="1559" w:type="dxa"/>
            <w:shd w:val="clear" w:color="auto" w:fill="auto"/>
            <w:vAlign w:val="center"/>
            <w:hideMark/>
          </w:tcPr>
          <w:p w14:paraId="644066F9"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4=2/1*100-100</w:t>
            </w:r>
          </w:p>
        </w:tc>
      </w:tr>
      <w:tr w:rsidR="00FD7B0B" w:rsidRPr="00FD7B0B" w14:paraId="029AD047" w14:textId="77777777" w:rsidTr="000A2A7A">
        <w:trPr>
          <w:trHeight w:val="264"/>
        </w:trPr>
        <w:tc>
          <w:tcPr>
            <w:tcW w:w="3686" w:type="dxa"/>
            <w:shd w:val="clear" w:color="auto" w:fill="auto"/>
            <w:vAlign w:val="center"/>
            <w:hideMark/>
          </w:tcPr>
          <w:p w14:paraId="4E42A10D"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Дебиторская задолженность, </w:t>
            </w:r>
            <w:r w:rsidRPr="00FD7B0B">
              <w:rPr>
                <w:rFonts w:ascii="Times New Roman" w:eastAsia="Times New Roman" w:hAnsi="Times New Roman"/>
                <w:i/>
                <w:iCs/>
                <w:lang w:eastAsia="ru-RU"/>
              </w:rPr>
              <w:t>из них:</w:t>
            </w:r>
          </w:p>
        </w:tc>
        <w:tc>
          <w:tcPr>
            <w:tcW w:w="1560" w:type="dxa"/>
            <w:shd w:val="clear" w:color="auto" w:fill="auto"/>
            <w:noWrap/>
            <w:vAlign w:val="bottom"/>
            <w:hideMark/>
          </w:tcPr>
          <w:p w14:paraId="6D29532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30 305,4 </w:t>
            </w:r>
          </w:p>
        </w:tc>
        <w:tc>
          <w:tcPr>
            <w:tcW w:w="1701" w:type="dxa"/>
            <w:shd w:val="clear" w:color="auto" w:fill="auto"/>
            <w:noWrap/>
            <w:vAlign w:val="bottom"/>
            <w:hideMark/>
          </w:tcPr>
          <w:p w14:paraId="6567DA6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32 858,8 </w:t>
            </w:r>
          </w:p>
        </w:tc>
        <w:tc>
          <w:tcPr>
            <w:tcW w:w="1134" w:type="dxa"/>
            <w:shd w:val="clear" w:color="auto" w:fill="auto"/>
            <w:vAlign w:val="bottom"/>
            <w:hideMark/>
          </w:tcPr>
          <w:p w14:paraId="5C33911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2 553,4 </w:t>
            </w:r>
          </w:p>
        </w:tc>
        <w:tc>
          <w:tcPr>
            <w:tcW w:w="1559" w:type="dxa"/>
            <w:shd w:val="clear" w:color="auto" w:fill="auto"/>
            <w:vAlign w:val="bottom"/>
            <w:hideMark/>
          </w:tcPr>
          <w:p w14:paraId="4152051C" w14:textId="3730D162"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8,4 </w:t>
            </w:r>
          </w:p>
        </w:tc>
      </w:tr>
      <w:tr w:rsidR="00FD7B0B" w:rsidRPr="00FD7B0B" w14:paraId="2455F98F" w14:textId="77777777" w:rsidTr="000A2A7A">
        <w:trPr>
          <w:trHeight w:val="140"/>
        </w:trPr>
        <w:tc>
          <w:tcPr>
            <w:tcW w:w="3686" w:type="dxa"/>
            <w:shd w:val="clear" w:color="auto" w:fill="auto"/>
            <w:noWrap/>
            <w:vAlign w:val="center"/>
            <w:hideMark/>
          </w:tcPr>
          <w:p w14:paraId="0834E3C0"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будущих периодов</w:t>
            </w:r>
          </w:p>
        </w:tc>
        <w:tc>
          <w:tcPr>
            <w:tcW w:w="1560" w:type="dxa"/>
            <w:shd w:val="clear" w:color="auto" w:fill="auto"/>
            <w:noWrap/>
            <w:vAlign w:val="bottom"/>
            <w:hideMark/>
          </w:tcPr>
          <w:p w14:paraId="7011F9D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30 232,5 </w:t>
            </w:r>
          </w:p>
        </w:tc>
        <w:tc>
          <w:tcPr>
            <w:tcW w:w="1701" w:type="dxa"/>
            <w:shd w:val="clear" w:color="auto" w:fill="auto"/>
            <w:noWrap/>
            <w:vAlign w:val="bottom"/>
            <w:hideMark/>
          </w:tcPr>
          <w:p w14:paraId="7CA9B92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32 804,2 </w:t>
            </w:r>
          </w:p>
        </w:tc>
        <w:tc>
          <w:tcPr>
            <w:tcW w:w="1134" w:type="dxa"/>
            <w:shd w:val="clear" w:color="auto" w:fill="auto"/>
            <w:vAlign w:val="bottom"/>
            <w:hideMark/>
          </w:tcPr>
          <w:p w14:paraId="16320AC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2 571,7 </w:t>
            </w:r>
          </w:p>
        </w:tc>
        <w:tc>
          <w:tcPr>
            <w:tcW w:w="1559" w:type="dxa"/>
            <w:shd w:val="clear" w:color="auto" w:fill="auto"/>
            <w:vAlign w:val="bottom"/>
            <w:hideMark/>
          </w:tcPr>
          <w:p w14:paraId="18D451E2" w14:textId="66DD5EC3"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8,5 </w:t>
            </w:r>
          </w:p>
        </w:tc>
      </w:tr>
      <w:tr w:rsidR="00FD7B0B" w:rsidRPr="00FD7B0B" w14:paraId="1386DA5A" w14:textId="77777777" w:rsidTr="000A2A7A">
        <w:trPr>
          <w:trHeight w:val="157"/>
        </w:trPr>
        <w:tc>
          <w:tcPr>
            <w:tcW w:w="3686" w:type="dxa"/>
            <w:shd w:val="clear" w:color="auto" w:fill="auto"/>
            <w:noWrap/>
            <w:vAlign w:val="center"/>
            <w:hideMark/>
          </w:tcPr>
          <w:p w14:paraId="1153AE1B"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560" w:type="dxa"/>
            <w:shd w:val="clear" w:color="auto" w:fill="auto"/>
            <w:noWrap/>
            <w:vAlign w:val="bottom"/>
            <w:hideMark/>
          </w:tcPr>
          <w:p w14:paraId="524AFC6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72,6 </w:t>
            </w:r>
          </w:p>
        </w:tc>
        <w:tc>
          <w:tcPr>
            <w:tcW w:w="1701" w:type="dxa"/>
            <w:shd w:val="clear" w:color="auto" w:fill="auto"/>
            <w:noWrap/>
            <w:vAlign w:val="bottom"/>
            <w:hideMark/>
          </w:tcPr>
          <w:p w14:paraId="21C1D6E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53,9 </w:t>
            </w:r>
          </w:p>
        </w:tc>
        <w:tc>
          <w:tcPr>
            <w:tcW w:w="1134" w:type="dxa"/>
            <w:shd w:val="clear" w:color="auto" w:fill="auto"/>
            <w:vAlign w:val="bottom"/>
            <w:hideMark/>
          </w:tcPr>
          <w:p w14:paraId="245E53C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-18,7 </w:t>
            </w:r>
          </w:p>
        </w:tc>
        <w:tc>
          <w:tcPr>
            <w:tcW w:w="1559" w:type="dxa"/>
            <w:shd w:val="clear" w:color="auto" w:fill="auto"/>
            <w:vAlign w:val="bottom"/>
            <w:hideMark/>
          </w:tcPr>
          <w:p w14:paraId="51C1D14A"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-25,8 </w:t>
            </w:r>
          </w:p>
        </w:tc>
      </w:tr>
      <w:tr w:rsidR="00FD7B0B" w:rsidRPr="00FD7B0B" w14:paraId="64109B0C" w14:textId="77777777" w:rsidTr="000A2A7A">
        <w:trPr>
          <w:trHeight w:val="221"/>
        </w:trPr>
        <w:tc>
          <w:tcPr>
            <w:tcW w:w="9640" w:type="dxa"/>
            <w:gridSpan w:val="5"/>
            <w:shd w:val="clear" w:color="auto" w:fill="auto"/>
            <w:vAlign w:val="center"/>
            <w:hideMark/>
          </w:tcPr>
          <w:p w14:paraId="377379B3" w14:textId="77777777" w:rsidR="000A2A7A" w:rsidRPr="00FD7B0B" w:rsidRDefault="000A2A7A" w:rsidP="000A2A7A">
            <w:pPr>
              <w:spacing w:after="0" w:line="240" w:lineRule="auto"/>
              <w:jc w:val="center"/>
              <w:rPr>
                <w:rFonts w:ascii="Times New Roman" w:eastAsia="Times New Roman" w:hAnsi="Times New Roman"/>
                <w:bCs/>
                <w:lang w:eastAsia="ru-RU"/>
              </w:rPr>
            </w:pPr>
            <w:r w:rsidRPr="00FD7B0B">
              <w:rPr>
                <w:rFonts w:ascii="Times New Roman" w:eastAsia="Times New Roman" w:hAnsi="Times New Roman"/>
                <w:bCs/>
                <w:lang w:eastAsia="ru-RU"/>
              </w:rPr>
              <w:t>Дебиторская задолженность,</w:t>
            </w:r>
            <w:r w:rsidRPr="00FD7B0B">
              <w:rPr>
                <w:rFonts w:ascii="Times New Roman" w:eastAsia="Times New Roman" w:hAnsi="Times New Roman"/>
                <w:bCs/>
                <w:i/>
                <w:iCs/>
                <w:lang w:eastAsia="ru-RU"/>
              </w:rPr>
              <w:t xml:space="preserve"> из них:</w:t>
            </w:r>
          </w:p>
        </w:tc>
      </w:tr>
      <w:tr w:rsidR="00FD7B0B" w:rsidRPr="00FD7B0B" w14:paraId="15FEE622" w14:textId="77777777" w:rsidTr="000A2A7A">
        <w:trPr>
          <w:trHeight w:val="93"/>
        </w:trPr>
        <w:tc>
          <w:tcPr>
            <w:tcW w:w="9640" w:type="dxa"/>
            <w:gridSpan w:val="5"/>
            <w:shd w:val="clear" w:color="auto" w:fill="auto"/>
            <w:vAlign w:val="center"/>
            <w:hideMark/>
          </w:tcPr>
          <w:p w14:paraId="6C18FF16"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в части платы, разовые платежи за пользование недрами при наступлении определенных событий... </w:t>
            </w:r>
          </w:p>
        </w:tc>
      </w:tr>
      <w:tr w:rsidR="00FD7B0B" w:rsidRPr="00FD7B0B" w14:paraId="7BA157A7" w14:textId="77777777" w:rsidTr="000A2A7A">
        <w:trPr>
          <w:trHeight w:val="109"/>
        </w:trPr>
        <w:tc>
          <w:tcPr>
            <w:tcW w:w="3686" w:type="dxa"/>
            <w:shd w:val="clear" w:color="auto" w:fill="auto"/>
            <w:vAlign w:val="center"/>
            <w:hideMark/>
          </w:tcPr>
          <w:p w14:paraId="6ECF52A2"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lastRenderedPageBreak/>
              <w:t xml:space="preserve">задолженность, </w:t>
            </w:r>
            <w:r w:rsidRPr="00FD7B0B">
              <w:rPr>
                <w:rFonts w:ascii="Times New Roman" w:eastAsia="Times New Roman" w:hAnsi="Times New Roman"/>
                <w:i/>
                <w:iCs/>
                <w:lang w:eastAsia="ru-RU"/>
              </w:rPr>
              <w:t xml:space="preserve">в том числе </w:t>
            </w:r>
          </w:p>
        </w:tc>
        <w:tc>
          <w:tcPr>
            <w:tcW w:w="1560" w:type="dxa"/>
            <w:shd w:val="clear" w:color="auto" w:fill="auto"/>
            <w:noWrap/>
            <w:vAlign w:val="bottom"/>
            <w:hideMark/>
          </w:tcPr>
          <w:p w14:paraId="22A1F81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0,3</w:t>
            </w:r>
          </w:p>
        </w:tc>
        <w:tc>
          <w:tcPr>
            <w:tcW w:w="1701" w:type="dxa"/>
            <w:shd w:val="clear" w:color="auto" w:fill="auto"/>
            <w:noWrap/>
            <w:vAlign w:val="bottom"/>
            <w:hideMark/>
          </w:tcPr>
          <w:p w14:paraId="3AB7E2F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1,7</w:t>
            </w:r>
          </w:p>
        </w:tc>
        <w:tc>
          <w:tcPr>
            <w:tcW w:w="1134" w:type="dxa"/>
            <w:shd w:val="clear" w:color="auto" w:fill="auto"/>
            <w:vAlign w:val="bottom"/>
            <w:hideMark/>
          </w:tcPr>
          <w:p w14:paraId="3B8B4904"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1,4 </w:t>
            </w:r>
          </w:p>
        </w:tc>
        <w:tc>
          <w:tcPr>
            <w:tcW w:w="1559" w:type="dxa"/>
            <w:shd w:val="clear" w:color="auto" w:fill="auto"/>
            <w:vAlign w:val="bottom"/>
            <w:hideMark/>
          </w:tcPr>
          <w:p w14:paraId="697D012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5,6 раза</w:t>
            </w:r>
          </w:p>
        </w:tc>
      </w:tr>
      <w:tr w:rsidR="00FD7B0B" w:rsidRPr="00FD7B0B" w14:paraId="3696A511" w14:textId="77777777" w:rsidTr="000A2A7A">
        <w:trPr>
          <w:trHeight w:val="345"/>
        </w:trPr>
        <w:tc>
          <w:tcPr>
            <w:tcW w:w="9640" w:type="dxa"/>
            <w:gridSpan w:val="5"/>
            <w:shd w:val="clear" w:color="auto" w:fill="auto"/>
            <w:vAlign w:val="center"/>
            <w:hideMark/>
          </w:tcPr>
          <w:p w14:paraId="77ACADDB"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в части платы, превышающей минимальный размер платы по договору купли-продажи лесных насаждений </w:t>
            </w:r>
          </w:p>
        </w:tc>
      </w:tr>
      <w:tr w:rsidR="00FD7B0B" w:rsidRPr="00FD7B0B" w14:paraId="44D45C75" w14:textId="77777777" w:rsidTr="000A2A7A">
        <w:trPr>
          <w:trHeight w:val="65"/>
        </w:trPr>
        <w:tc>
          <w:tcPr>
            <w:tcW w:w="3686" w:type="dxa"/>
            <w:shd w:val="clear" w:color="auto" w:fill="auto"/>
            <w:vAlign w:val="center"/>
            <w:hideMark/>
          </w:tcPr>
          <w:p w14:paraId="4C47566A"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560" w:type="dxa"/>
            <w:shd w:val="clear" w:color="auto" w:fill="auto"/>
            <w:noWrap/>
            <w:vAlign w:val="bottom"/>
            <w:hideMark/>
          </w:tcPr>
          <w:p w14:paraId="67CB072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3,5</w:t>
            </w:r>
          </w:p>
        </w:tc>
        <w:tc>
          <w:tcPr>
            <w:tcW w:w="1701" w:type="dxa"/>
            <w:shd w:val="clear" w:color="auto" w:fill="auto"/>
            <w:noWrap/>
            <w:vAlign w:val="bottom"/>
            <w:hideMark/>
          </w:tcPr>
          <w:p w14:paraId="72DE83E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3,4</w:t>
            </w:r>
          </w:p>
        </w:tc>
        <w:tc>
          <w:tcPr>
            <w:tcW w:w="1134" w:type="dxa"/>
            <w:shd w:val="clear" w:color="auto" w:fill="auto"/>
            <w:vAlign w:val="bottom"/>
            <w:hideMark/>
          </w:tcPr>
          <w:p w14:paraId="5D768D0E"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-0,1 </w:t>
            </w:r>
          </w:p>
        </w:tc>
        <w:tc>
          <w:tcPr>
            <w:tcW w:w="1559" w:type="dxa"/>
            <w:shd w:val="clear" w:color="auto" w:fill="auto"/>
            <w:vAlign w:val="bottom"/>
            <w:hideMark/>
          </w:tcPr>
          <w:p w14:paraId="280E3A03"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-2,9 </w:t>
            </w:r>
          </w:p>
        </w:tc>
      </w:tr>
      <w:tr w:rsidR="00FD7B0B" w:rsidRPr="00FD7B0B" w14:paraId="7BF15247" w14:textId="77777777" w:rsidTr="000A2A7A">
        <w:trPr>
          <w:trHeight w:val="65"/>
        </w:trPr>
        <w:tc>
          <w:tcPr>
            <w:tcW w:w="3686" w:type="dxa"/>
            <w:shd w:val="clear" w:color="auto" w:fill="auto"/>
            <w:noWrap/>
            <w:vAlign w:val="center"/>
            <w:hideMark/>
          </w:tcPr>
          <w:p w14:paraId="21EBC667"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560" w:type="dxa"/>
            <w:shd w:val="clear" w:color="auto" w:fill="auto"/>
            <w:noWrap/>
            <w:vAlign w:val="bottom"/>
            <w:hideMark/>
          </w:tcPr>
          <w:p w14:paraId="6D27255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0,2</w:t>
            </w:r>
          </w:p>
        </w:tc>
        <w:tc>
          <w:tcPr>
            <w:tcW w:w="1701" w:type="dxa"/>
            <w:shd w:val="clear" w:color="auto" w:fill="auto"/>
            <w:noWrap/>
            <w:vAlign w:val="bottom"/>
            <w:hideMark/>
          </w:tcPr>
          <w:p w14:paraId="11D0AF8F"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3,4</w:t>
            </w:r>
          </w:p>
        </w:tc>
        <w:tc>
          <w:tcPr>
            <w:tcW w:w="1134" w:type="dxa"/>
            <w:shd w:val="clear" w:color="auto" w:fill="auto"/>
            <w:vAlign w:val="bottom"/>
            <w:hideMark/>
          </w:tcPr>
          <w:p w14:paraId="0DEBCDE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3,2 </w:t>
            </w:r>
          </w:p>
        </w:tc>
        <w:tc>
          <w:tcPr>
            <w:tcW w:w="1559" w:type="dxa"/>
            <w:shd w:val="clear" w:color="auto" w:fill="auto"/>
            <w:vAlign w:val="bottom"/>
            <w:hideMark/>
          </w:tcPr>
          <w:p w14:paraId="2A46DF4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в 17,0 раза </w:t>
            </w:r>
          </w:p>
        </w:tc>
      </w:tr>
      <w:tr w:rsidR="00FD7B0B" w:rsidRPr="00FD7B0B" w14:paraId="1D188026" w14:textId="77777777" w:rsidTr="000A2A7A">
        <w:trPr>
          <w:trHeight w:val="189"/>
        </w:trPr>
        <w:tc>
          <w:tcPr>
            <w:tcW w:w="9640" w:type="dxa"/>
            <w:gridSpan w:val="5"/>
            <w:shd w:val="clear" w:color="auto" w:fill="auto"/>
            <w:vAlign w:val="center"/>
            <w:hideMark/>
          </w:tcPr>
          <w:p w14:paraId="73EE6EAB"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в части платы, превышающей минимальный размер арендной платы </w:t>
            </w:r>
          </w:p>
        </w:tc>
      </w:tr>
      <w:tr w:rsidR="00FD7B0B" w:rsidRPr="00FD7B0B" w14:paraId="32E43B8A" w14:textId="77777777" w:rsidTr="000A2A7A">
        <w:trPr>
          <w:trHeight w:val="82"/>
        </w:trPr>
        <w:tc>
          <w:tcPr>
            <w:tcW w:w="3686" w:type="dxa"/>
            <w:shd w:val="clear" w:color="auto" w:fill="auto"/>
            <w:vAlign w:val="center"/>
            <w:hideMark/>
          </w:tcPr>
          <w:p w14:paraId="4FF8E62E"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560" w:type="dxa"/>
            <w:shd w:val="clear" w:color="auto" w:fill="auto"/>
            <w:noWrap/>
            <w:vAlign w:val="center"/>
            <w:hideMark/>
          </w:tcPr>
          <w:p w14:paraId="1AA34B4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12 787,1</w:t>
            </w:r>
          </w:p>
        </w:tc>
        <w:tc>
          <w:tcPr>
            <w:tcW w:w="1701" w:type="dxa"/>
            <w:shd w:val="clear" w:color="auto" w:fill="auto"/>
            <w:noWrap/>
            <w:vAlign w:val="center"/>
            <w:hideMark/>
          </w:tcPr>
          <w:p w14:paraId="058BB11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13 159,9</w:t>
            </w:r>
          </w:p>
        </w:tc>
        <w:tc>
          <w:tcPr>
            <w:tcW w:w="1134" w:type="dxa"/>
            <w:shd w:val="clear" w:color="auto" w:fill="auto"/>
            <w:vAlign w:val="bottom"/>
            <w:hideMark/>
          </w:tcPr>
          <w:p w14:paraId="5B15B87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372,8 </w:t>
            </w:r>
          </w:p>
        </w:tc>
        <w:tc>
          <w:tcPr>
            <w:tcW w:w="1559" w:type="dxa"/>
            <w:shd w:val="clear" w:color="auto" w:fill="auto"/>
            <w:vAlign w:val="bottom"/>
            <w:hideMark/>
          </w:tcPr>
          <w:p w14:paraId="6B518EE8" w14:textId="0E8C4326"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2,9 </w:t>
            </w:r>
          </w:p>
        </w:tc>
      </w:tr>
      <w:tr w:rsidR="00FD7B0B" w:rsidRPr="00FD7B0B" w14:paraId="06FBC4C9" w14:textId="77777777" w:rsidTr="000A2A7A">
        <w:trPr>
          <w:trHeight w:val="99"/>
        </w:trPr>
        <w:tc>
          <w:tcPr>
            <w:tcW w:w="3686" w:type="dxa"/>
            <w:shd w:val="clear" w:color="auto" w:fill="auto"/>
            <w:noWrap/>
            <w:vAlign w:val="center"/>
            <w:hideMark/>
          </w:tcPr>
          <w:p w14:paraId="78CCEE47"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будущих периодов</w:t>
            </w:r>
          </w:p>
        </w:tc>
        <w:tc>
          <w:tcPr>
            <w:tcW w:w="1560" w:type="dxa"/>
            <w:shd w:val="clear" w:color="auto" w:fill="auto"/>
            <w:noWrap/>
            <w:vAlign w:val="center"/>
            <w:hideMark/>
          </w:tcPr>
          <w:p w14:paraId="68DE0F2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13 672,5</w:t>
            </w:r>
          </w:p>
        </w:tc>
        <w:tc>
          <w:tcPr>
            <w:tcW w:w="1701" w:type="dxa"/>
            <w:shd w:val="clear" w:color="auto" w:fill="auto"/>
            <w:noWrap/>
            <w:vAlign w:val="center"/>
            <w:hideMark/>
          </w:tcPr>
          <w:p w14:paraId="29F7503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13 127,7</w:t>
            </w:r>
          </w:p>
        </w:tc>
        <w:tc>
          <w:tcPr>
            <w:tcW w:w="1134" w:type="dxa"/>
            <w:shd w:val="clear" w:color="auto" w:fill="auto"/>
            <w:vAlign w:val="bottom"/>
            <w:hideMark/>
          </w:tcPr>
          <w:p w14:paraId="0FCCFEB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-544,8 </w:t>
            </w:r>
          </w:p>
        </w:tc>
        <w:tc>
          <w:tcPr>
            <w:tcW w:w="1559" w:type="dxa"/>
            <w:shd w:val="clear" w:color="auto" w:fill="auto"/>
            <w:vAlign w:val="bottom"/>
            <w:hideMark/>
          </w:tcPr>
          <w:p w14:paraId="46535BF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-4,0 </w:t>
            </w:r>
          </w:p>
        </w:tc>
      </w:tr>
      <w:tr w:rsidR="00FD7B0B" w:rsidRPr="00FD7B0B" w14:paraId="6CB99A60" w14:textId="77777777" w:rsidTr="000A2A7A">
        <w:trPr>
          <w:trHeight w:val="65"/>
        </w:trPr>
        <w:tc>
          <w:tcPr>
            <w:tcW w:w="3686" w:type="dxa"/>
            <w:shd w:val="clear" w:color="auto" w:fill="auto"/>
            <w:noWrap/>
            <w:vAlign w:val="center"/>
            <w:hideMark/>
          </w:tcPr>
          <w:p w14:paraId="03B91363"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560" w:type="dxa"/>
            <w:shd w:val="clear" w:color="auto" w:fill="auto"/>
            <w:noWrap/>
            <w:vAlign w:val="center"/>
            <w:hideMark/>
          </w:tcPr>
          <w:p w14:paraId="6E29719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50,9</w:t>
            </w:r>
          </w:p>
        </w:tc>
        <w:tc>
          <w:tcPr>
            <w:tcW w:w="1701" w:type="dxa"/>
            <w:shd w:val="clear" w:color="auto" w:fill="auto"/>
            <w:noWrap/>
            <w:vAlign w:val="center"/>
            <w:hideMark/>
          </w:tcPr>
          <w:p w14:paraId="46F68EC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33,2</w:t>
            </w:r>
          </w:p>
        </w:tc>
        <w:tc>
          <w:tcPr>
            <w:tcW w:w="1134" w:type="dxa"/>
            <w:shd w:val="clear" w:color="auto" w:fill="auto"/>
            <w:vAlign w:val="bottom"/>
            <w:hideMark/>
          </w:tcPr>
          <w:p w14:paraId="7BD0770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-17,7 </w:t>
            </w:r>
          </w:p>
        </w:tc>
        <w:tc>
          <w:tcPr>
            <w:tcW w:w="1559" w:type="dxa"/>
            <w:shd w:val="clear" w:color="auto" w:fill="auto"/>
            <w:vAlign w:val="bottom"/>
            <w:hideMark/>
          </w:tcPr>
          <w:p w14:paraId="077348B9"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-34,8 </w:t>
            </w:r>
          </w:p>
        </w:tc>
      </w:tr>
      <w:tr w:rsidR="00FD7B0B" w:rsidRPr="00FD7B0B" w14:paraId="4CC7ED1E" w14:textId="77777777" w:rsidTr="000A2A7A">
        <w:trPr>
          <w:trHeight w:val="205"/>
        </w:trPr>
        <w:tc>
          <w:tcPr>
            <w:tcW w:w="9640" w:type="dxa"/>
            <w:gridSpan w:val="5"/>
            <w:shd w:val="clear" w:color="auto" w:fill="auto"/>
            <w:vAlign w:val="center"/>
            <w:hideMark/>
          </w:tcPr>
          <w:p w14:paraId="2764456B"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в части платы по договору купли-продажи лесных насаждений для собственных нужд</w:t>
            </w:r>
          </w:p>
        </w:tc>
      </w:tr>
      <w:tr w:rsidR="00FD7B0B" w:rsidRPr="00FD7B0B" w14:paraId="77C9A76C" w14:textId="77777777" w:rsidTr="000A2A7A">
        <w:trPr>
          <w:trHeight w:val="71"/>
        </w:trPr>
        <w:tc>
          <w:tcPr>
            <w:tcW w:w="3686" w:type="dxa"/>
            <w:shd w:val="clear" w:color="auto" w:fill="auto"/>
            <w:vAlign w:val="center"/>
            <w:hideMark/>
          </w:tcPr>
          <w:p w14:paraId="2CE06A2C"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560" w:type="dxa"/>
            <w:shd w:val="clear" w:color="auto" w:fill="auto"/>
            <w:noWrap/>
            <w:vAlign w:val="center"/>
            <w:hideMark/>
          </w:tcPr>
          <w:p w14:paraId="3855DE6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0,1</w:t>
            </w:r>
          </w:p>
        </w:tc>
        <w:tc>
          <w:tcPr>
            <w:tcW w:w="1701" w:type="dxa"/>
            <w:shd w:val="clear" w:color="auto" w:fill="auto"/>
            <w:noWrap/>
            <w:vAlign w:val="center"/>
            <w:hideMark/>
          </w:tcPr>
          <w:p w14:paraId="51419C5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0,1</w:t>
            </w:r>
          </w:p>
        </w:tc>
        <w:tc>
          <w:tcPr>
            <w:tcW w:w="1134" w:type="dxa"/>
            <w:shd w:val="clear" w:color="auto" w:fill="auto"/>
            <w:vAlign w:val="bottom"/>
            <w:hideMark/>
          </w:tcPr>
          <w:p w14:paraId="5D1677D0"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0,0 </w:t>
            </w:r>
          </w:p>
        </w:tc>
        <w:tc>
          <w:tcPr>
            <w:tcW w:w="1559" w:type="dxa"/>
            <w:shd w:val="clear" w:color="auto" w:fill="auto"/>
            <w:vAlign w:val="bottom"/>
            <w:hideMark/>
          </w:tcPr>
          <w:p w14:paraId="41FF3CB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0,0 </w:t>
            </w:r>
          </w:p>
        </w:tc>
      </w:tr>
      <w:tr w:rsidR="00FD7B0B" w:rsidRPr="00FD7B0B" w14:paraId="5D40259F" w14:textId="77777777" w:rsidTr="000A2A7A">
        <w:trPr>
          <w:trHeight w:val="65"/>
        </w:trPr>
        <w:tc>
          <w:tcPr>
            <w:tcW w:w="3686" w:type="dxa"/>
            <w:shd w:val="clear" w:color="auto" w:fill="auto"/>
            <w:noWrap/>
            <w:vAlign w:val="center"/>
            <w:hideMark/>
          </w:tcPr>
          <w:p w14:paraId="0E28E41B"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560" w:type="dxa"/>
            <w:shd w:val="clear" w:color="auto" w:fill="auto"/>
            <w:noWrap/>
            <w:vAlign w:val="center"/>
            <w:hideMark/>
          </w:tcPr>
          <w:p w14:paraId="51C39BAD"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0,0</w:t>
            </w:r>
          </w:p>
        </w:tc>
        <w:tc>
          <w:tcPr>
            <w:tcW w:w="1701" w:type="dxa"/>
            <w:shd w:val="clear" w:color="auto" w:fill="auto"/>
            <w:noWrap/>
            <w:vAlign w:val="center"/>
            <w:hideMark/>
          </w:tcPr>
          <w:p w14:paraId="58381AB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0,1</w:t>
            </w:r>
          </w:p>
        </w:tc>
        <w:tc>
          <w:tcPr>
            <w:tcW w:w="1134" w:type="dxa"/>
            <w:shd w:val="clear" w:color="auto" w:fill="auto"/>
            <w:vAlign w:val="bottom"/>
            <w:hideMark/>
          </w:tcPr>
          <w:p w14:paraId="7B6569F1"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0,0 </w:t>
            </w:r>
          </w:p>
        </w:tc>
        <w:tc>
          <w:tcPr>
            <w:tcW w:w="1559" w:type="dxa"/>
            <w:shd w:val="clear" w:color="auto" w:fill="auto"/>
            <w:vAlign w:val="bottom"/>
            <w:hideMark/>
          </w:tcPr>
          <w:p w14:paraId="7C9E3AB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в 1,5 раза </w:t>
            </w:r>
          </w:p>
        </w:tc>
      </w:tr>
      <w:tr w:rsidR="00FD7B0B" w:rsidRPr="00FD7B0B" w14:paraId="199BAB8C" w14:textId="77777777" w:rsidTr="000A2A7A">
        <w:trPr>
          <w:trHeight w:val="278"/>
        </w:trPr>
        <w:tc>
          <w:tcPr>
            <w:tcW w:w="9640" w:type="dxa"/>
            <w:gridSpan w:val="5"/>
            <w:shd w:val="clear" w:color="auto" w:fill="auto"/>
            <w:vAlign w:val="center"/>
            <w:hideMark/>
          </w:tcPr>
          <w:p w14:paraId="00F03130" w14:textId="746E6617" w:rsidR="000A2A7A" w:rsidRPr="00FD7B0B" w:rsidRDefault="000A2A7A" w:rsidP="003A1AEC">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в части платы, превышающей минимальный размер арендной платы при реализации инвестпроектов в целях развития лесного комплекса </w:t>
            </w:r>
          </w:p>
        </w:tc>
      </w:tr>
      <w:tr w:rsidR="00FD7B0B" w:rsidRPr="00FD7B0B" w14:paraId="2EB64E0C" w14:textId="77777777" w:rsidTr="000A2A7A">
        <w:trPr>
          <w:trHeight w:val="65"/>
        </w:trPr>
        <w:tc>
          <w:tcPr>
            <w:tcW w:w="3686" w:type="dxa"/>
            <w:shd w:val="clear" w:color="auto" w:fill="auto"/>
            <w:vAlign w:val="center"/>
            <w:hideMark/>
          </w:tcPr>
          <w:p w14:paraId="0410DAAD"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задолженность, </w:t>
            </w:r>
            <w:r w:rsidRPr="00FD7B0B">
              <w:rPr>
                <w:rFonts w:ascii="Times New Roman" w:eastAsia="Times New Roman" w:hAnsi="Times New Roman"/>
                <w:i/>
                <w:iCs/>
                <w:lang w:eastAsia="ru-RU"/>
              </w:rPr>
              <w:t xml:space="preserve">в том числе </w:t>
            </w:r>
          </w:p>
        </w:tc>
        <w:tc>
          <w:tcPr>
            <w:tcW w:w="1560" w:type="dxa"/>
            <w:shd w:val="clear" w:color="auto" w:fill="auto"/>
            <w:noWrap/>
            <w:vAlign w:val="center"/>
            <w:hideMark/>
          </w:tcPr>
          <w:p w14:paraId="15A1E26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17 514,4</w:t>
            </w:r>
          </w:p>
        </w:tc>
        <w:tc>
          <w:tcPr>
            <w:tcW w:w="1701" w:type="dxa"/>
            <w:shd w:val="clear" w:color="auto" w:fill="auto"/>
            <w:noWrap/>
            <w:vAlign w:val="center"/>
            <w:hideMark/>
          </w:tcPr>
          <w:p w14:paraId="7E772015"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19 693,8</w:t>
            </w:r>
          </w:p>
        </w:tc>
        <w:tc>
          <w:tcPr>
            <w:tcW w:w="1134" w:type="dxa"/>
            <w:shd w:val="clear" w:color="auto" w:fill="auto"/>
            <w:vAlign w:val="bottom"/>
            <w:hideMark/>
          </w:tcPr>
          <w:p w14:paraId="3B16B097"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2 179,4 </w:t>
            </w:r>
          </w:p>
        </w:tc>
        <w:tc>
          <w:tcPr>
            <w:tcW w:w="1559" w:type="dxa"/>
            <w:shd w:val="clear" w:color="auto" w:fill="auto"/>
            <w:vAlign w:val="bottom"/>
            <w:hideMark/>
          </w:tcPr>
          <w:p w14:paraId="708162C0" w14:textId="0EF10130" w:rsidR="000A2A7A" w:rsidRPr="00FD7B0B" w:rsidRDefault="006F405C"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w:t>
            </w:r>
            <w:r w:rsidR="000A2A7A" w:rsidRPr="00FD7B0B">
              <w:rPr>
                <w:rFonts w:ascii="Times New Roman" w:eastAsia="Times New Roman" w:hAnsi="Times New Roman"/>
                <w:lang w:eastAsia="ru-RU"/>
              </w:rPr>
              <w:t xml:space="preserve">2,4 </w:t>
            </w:r>
          </w:p>
        </w:tc>
      </w:tr>
      <w:tr w:rsidR="00FD7B0B" w:rsidRPr="00FD7B0B" w14:paraId="4AFD4228" w14:textId="77777777" w:rsidTr="000A2A7A">
        <w:trPr>
          <w:trHeight w:val="65"/>
        </w:trPr>
        <w:tc>
          <w:tcPr>
            <w:tcW w:w="3686" w:type="dxa"/>
            <w:shd w:val="clear" w:color="auto" w:fill="auto"/>
            <w:noWrap/>
            <w:vAlign w:val="center"/>
            <w:hideMark/>
          </w:tcPr>
          <w:p w14:paraId="22DCE439"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будущих периодов</w:t>
            </w:r>
          </w:p>
        </w:tc>
        <w:tc>
          <w:tcPr>
            <w:tcW w:w="1560" w:type="dxa"/>
            <w:shd w:val="clear" w:color="auto" w:fill="auto"/>
            <w:noWrap/>
            <w:vAlign w:val="center"/>
            <w:hideMark/>
          </w:tcPr>
          <w:p w14:paraId="0F2C2B9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16 560,0</w:t>
            </w:r>
          </w:p>
        </w:tc>
        <w:tc>
          <w:tcPr>
            <w:tcW w:w="1701" w:type="dxa"/>
            <w:shd w:val="clear" w:color="auto" w:fill="auto"/>
            <w:noWrap/>
            <w:vAlign w:val="center"/>
            <w:hideMark/>
          </w:tcPr>
          <w:p w14:paraId="2C90DAE8"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19 676,5</w:t>
            </w:r>
          </w:p>
        </w:tc>
        <w:tc>
          <w:tcPr>
            <w:tcW w:w="1134" w:type="dxa"/>
            <w:shd w:val="clear" w:color="auto" w:fill="auto"/>
            <w:vAlign w:val="bottom"/>
            <w:hideMark/>
          </w:tcPr>
          <w:p w14:paraId="4C2ABFB6"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3 116,5 </w:t>
            </w:r>
          </w:p>
        </w:tc>
        <w:tc>
          <w:tcPr>
            <w:tcW w:w="1559" w:type="dxa"/>
            <w:shd w:val="clear" w:color="auto" w:fill="auto"/>
            <w:vAlign w:val="bottom"/>
            <w:hideMark/>
          </w:tcPr>
          <w:p w14:paraId="1F098342" w14:textId="4EC73879"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18,8 </w:t>
            </w:r>
          </w:p>
        </w:tc>
      </w:tr>
      <w:tr w:rsidR="00FD7B0B" w:rsidRPr="00FD7B0B" w14:paraId="38E03A46" w14:textId="77777777" w:rsidTr="000A2A7A">
        <w:trPr>
          <w:trHeight w:val="81"/>
        </w:trPr>
        <w:tc>
          <w:tcPr>
            <w:tcW w:w="3686" w:type="dxa"/>
            <w:shd w:val="clear" w:color="auto" w:fill="auto"/>
            <w:noWrap/>
            <w:vAlign w:val="center"/>
            <w:hideMark/>
          </w:tcPr>
          <w:p w14:paraId="70DFE7CC" w14:textId="77777777" w:rsidR="000A2A7A" w:rsidRPr="00FD7B0B" w:rsidRDefault="000A2A7A" w:rsidP="000A2A7A">
            <w:pPr>
              <w:spacing w:after="0" w:line="240" w:lineRule="auto"/>
              <w:rPr>
                <w:rFonts w:ascii="Times New Roman" w:eastAsia="Times New Roman" w:hAnsi="Times New Roman"/>
                <w:i/>
                <w:iCs/>
                <w:lang w:eastAsia="ru-RU"/>
              </w:rPr>
            </w:pPr>
            <w:r w:rsidRPr="00FD7B0B">
              <w:rPr>
                <w:rFonts w:ascii="Times New Roman" w:eastAsia="Times New Roman" w:hAnsi="Times New Roman"/>
                <w:i/>
                <w:iCs/>
                <w:lang w:eastAsia="ru-RU"/>
              </w:rPr>
              <w:t>просроченная</w:t>
            </w:r>
          </w:p>
        </w:tc>
        <w:tc>
          <w:tcPr>
            <w:tcW w:w="1560" w:type="dxa"/>
            <w:shd w:val="clear" w:color="auto" w:fill="auto"/>
            <w:noWrap/>
            <w:vAlign w:val="center"/>
            <w:hideMark/>
          </w:tcPr>
          <w:p w14:paraId="58CC733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21,5</w:t>
            </w:r>
          </w:p>
        </w:tc>
        <w:tc>
          <w:tcPr>
            <w:tcW w:w="1701" w:type="dxa"/>
            <w:shd w:val="clear" w:color="auto" w:fill="auto"/>
            <w:noWrap/>
            <w:vAlign w:val="center"/>
            <w:hideMark/>
          </w:tcPr>
          <w:p w14:paraId="366C293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17,3</w:t>
            </w:r>
          </w:p>
        </w:tc>
        <w:tc>
          <w:tcPr>
            <w:tcW w:w="1134" w:type="dxa"/>
            <w:shd w:val="clear" w:color="auto" w:fill="auto"/>
            <w:vAlign w:val="bottom"/>
            <w:hideMark/>
          </w:tcPr>
          <w:p w14:paraId="6E752972"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-4,2 </w:t>
            </w:r>
          </w:p>
        </w:tc>
        <w:tc>
          <w:tcPr>
            <w:tcW w:w="1559" w:type="dxa"/>
            <w:shd w:val="clear" w:color="auto" w:fill="auto"/>
            <w:vAlign w:val="bottom"/>
            <w:hideMark/>
          </w:tcPr>
          <w:p w14:paraId="1FC3E2CB" w14:textId="77777777" w:rsidR="000A2A7A" w:rsidRPr="00FD7B0B" w:rsidRDefault="000A2A7A" w:rsidP="000A2A7A">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-19,5 </w:t>
            </w:r>
          </w:p>
        </w:tc>
      </w:tr>
    </w:tbl>
    <w:p w14:paraId="0DD71456" w14:textId="77777777" w:rsidR="002B2A18" w:rsidRPr="00FD7B0B" w:rsidRDefault="002B2A18" w:rsidP="000A2A7A">
      <w:pPr>
        <w:pStyle w:val="1a"/>
        <w:widowControl/>
        <w:spacing w:before="0" w:after="0" w:line="240" w:lineRule="auto"/>
        <w:ind w:firstLine="720"/>
        <w:rPr>
          <w:sz w:val="28"/>
          <w:szCs w:val="28"/>
        </w:rPr>
      </w:pPr>
    </w:p>
    <w:p w14:paraId="0D284F92" w14:textId="0F33E489" w:rsidR="000A2A7A" w:rsidRPr="00FD7B0B" w:rsidRDefault="000A2A7A" w:rsidP="000A2A7A">
      <w:pPr>
        <w:pStyle w:val="1a"/>
        <w:widowControl/>
        <w:spacing w:before="0" w:after="0" w:line="240" w:lineRule="auto"/>
        <w:ind w:firstLine="720"/>
        <w:rPr>
          <w:sz w:val="28"/>
          <w:szCs w:val="28"/>
        </w:rPr>
      </w:pPr>
      <w:r w:rsidRPr="00FD7B0B">
        <w:rPr>
          <w:sz w:val="28"/>
          <w:szCs w:val="28"/>
        </w:rPr>
        <w:t>Увеличение дебиторской задолженности в целом по счету 205.23 «Расчеты по доходам от платежей при пользовании природными ресурсами» в основном обусловлено применением ФСБУ «Аренда», в соответствии с которым признана дебиторская задолженность по расчетам по договорам аренды лесных участков в сумме за оставшийся срок действия договоров аренды с учетом повышающего коэффициента.</w:t>
      </w:r>
    </w:p>
    <w:p w14:paraId="5E815A18" w14:textId="54D32593" w:rsidR="000A2A7A" w:rsidRPr="00FD7B0B" w:rsidRDefault="000A2A7A" w:rsidP="000A2A7A">
      <w:pPr>
        <w:pStyle w:val="1a"/>
        <w:widowControl/>
        <w:spacing w:before="0" w:after="0" w:line="240" w:lineRule="auto"/>
        <w:ind w:firstLine="720"/>
        <w:rPr>
          <w:i/>
          <w:sz w:val="28"/>
          <w:szCs w:val="28"/>
        </w:rPr>
      </w:pPr>
      <w:r w:rsidRPr="00FD7B0B">
        <w:rPr>
          <w:sz w:val="28"/>
          <w:szCs w:val="28"/>
        </w:rPr>
        <w:t xml:space="preserve">Просроченная дебиторская задолженность по счету 205.23 «Расчеты по доходам от платежей при пользовании природными ресурсами» на 31.12.2024 составила 53,9 млн.руб., что на 18,7 млн.руб. (–25,8 %) меньше, чем на начало 2024 года. Наличие просроченной задолженности обусловлено нарушением арендаторами сроков внесения арендных платежей и задолженностью по исполнительным листам по возмещению имущественного ущерба, </w:t>
      </w:r>
      <w:r w:rsidRPr="00FD7B0B">
        <w:rPr>
          <w:i/>
          <w:sz w:val="28"/>
          <w:szCs w:val="28"/>
        </w:rPr>
        <w:t>из них:</w:t>
      </w:r>
    </w:p>
    <w:p w14:paraId="236A448E" w14:textId="4A55FED1"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1) платы, превышающей минимальный размер платы </w:t>
      </w:r>
      <w:r w:rsidRPr="00FD7B0B">
        <w:rPr>
          <w:sz w:val="28"/>
          <w:szCs w:val="28"/>
          <w:u w:val="single"/>
        </w:rPr>
        <w:t>по договору купли-продажи лесных насаждений</w:t>
      </w:r>
      <w:r w:rsidRPr="00FD7B0B">
        <w:rPr>
          <w:sz w:val="28"/>
          <w:szCs w:val="28"/>
        </w:rPr>
        <w:t xml:space="preserve"> – 3,4 млн.руб. Наибольшая сумма дебиторской задолженности ООО «Империя» 3,3 млн.руб. (договоры расторгнуты по решени</w:t>
      </w:r>
      <w:r w:rsidR="00A27E22" w:rsidRPr="00FD7B0B">
        <w:rPr>
          <w:sz w:val="28"/>
          <w:szCs w:val="28"/>
        </w:rPr>
        <w:t>ям</w:t>
      </w:r>
      <w:r w:rsidRPr="00FD7B0B">
        <w:rPr>
          <w:sz w:val="28"/>
          <w:szCs w:val="28"/>
        </w:rPr>
        <w:t xml:space="preserve"> Арбитражного суда Архангельской области (далее – АС АО) от 26.03.2021 №</w:t>
      </w:r>
      <w:r w:rsidR="00A27E22" w:rsidRPr="00FD7B0B">
        <w:rPr>
          <w:sz w:val="28"/>
          <w:szCs w:val="28"/>
        </w:rPr>
        <w:t xml:space="preserve"> </w:t>
      </w:r>
      <w:r w:rsidRPr="00FD7B0B">
        <w:rPr>
          <w:sz w:val="28"/>
          <w:szCs w:val="28"/>
        </w:rPr>
        <w:t>А05-153/2021, от 07.02.2022 №</w:t>
      </w:r>
      <w:r w:rsidR="00A27E22" w:rsidRPr="00FD7B0B">
        <w:rPr>
          <w:sz w:val="28"/>
          <w:szCs w:val="28"/>
        </w:rPr>
        <w:t xml:space="preserve"> </w:t>
      </w:r>
      <w:r w:rsidRPr="00FD7B0B">
        <w:rPr>
          <w:sz w:val="28"/>
          <w:szCs w:val="28"/>
        </w:rPr>
        <w:t xml:space="preserve">А05-13632/2021, ведется исполнительное производство). Кроме того, по данному коду дохода </w:t>
      </w:r>
      <w:r w:rsidR="00A27E22" w:rsidRPr="00FD7B0B">
        <w:rPr>
          <w:sz w:val="28"/>
          <w:szCs w:val="28"/>
        </w:rPr>
        <w:t>отражена</w:t>
      </w:r>
      <w:r w:rsidRPr="00FD7B0B">
        <w:rPr>
          <w:sz w:val="28"/>
          <w:szCs w:val="28"/>
        </w:rPr>
        <w:t xml:space="preserve"> задолженность прошлых лет за 2005 – 2020 годы (проводится работа по подбору документов, в соответствии с перечнем, необходимым для признания задолженности безнадежной к взысканию);</w:t>
      </w:r>
    </w:p>
    <w:p w14:paraId="3ED4BC66" w14:textId="62F04E91"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2) платы, превышающей минимальный размер </w:t>
      </w:r>
      <w:r w:rsidRPr="00FD7B0B">
        <w:rPr>
          <w:sz w:val="28"/>
          <w:szCs w:val="28"/>
          <w:u w:val="single"/>
        </w:rPr>
        <w:t>арендной платы</w:t>
      </w:r>
      <w:r w:rsidRPr="00FD7B0B">
        <w:rPr>
          <w:sz w:val="28"/>
          <w:szCs w:val="28"/>
        </w:rPr>
        <w:t xml:space="preserve"> – 33,2 млн.руб., что в основном обусловлено </w:t>
      </w:r>
      <w:r w:rsidRPr="00FD7B0B">
        <w:rPr>
          <w:sz w:val="28"/>
          <w:szCs w:val="28"/>
          <w:shd w:val="clear" w:color="auto" w:fill="FFFFFF"/>
        </w:rPr>
        <w:t xml:space="preserve">несвоевременным внесением арендных платежей арендаторами лесных участков. </w:t>
      </w:r>
      <w:r w:rsidRPr="00FD7B0B">
        <w:rPr>
          <w:sz w:val="28"/>
          <w:szCs w:val="28"/>
        </w:rPr>
        <w:t xml:space="preserve">Наибольшие суммы задолженности в части расторгнутых договоров аренды у арендаторов лесных участков: ООО </w:t>
      </w:r>
      <w:r w:rsidRPr="00FD7B0B">
        <w:rPr>
          <w:sz w:val="28"/>
          <w:szCs w:val="28"/>
        </w:rPr>
        <w:lastRenderedPageBreak/>
        <w:t>«Комиимпэкс» – 16,6 млн.руб. (по срокам: август 2022 г. – июль 2023 г.); ООО «СВ Плюс» – 6,7 млн.руб. (по срокам: февраль 2018 г. – август 2018 г.); ООО «Русские лесные пел</w:t>
      </w:r>
      <w:r w:rsidR="003A1AEC" w:rsidRPr="00FD7B0B">
        <w:rPr>
          <w:sz w:val="28"/>
          <w:szCs w:val="28"/>
        </w:rPr>
        <w:t>л</w:t>
      </w:r>
      <w:r w:rsidRPr="00FD7B0B">
        <w:rPr>
          <w:sz w:val="28"/>
          <w:szCs w:val="28"/>
        </w:rPr>
        <w:t>еты Карелия» – 3,5 млн.руб. (по срокам: октябрь 2016 г. – ноябрь 2016 г.) (по каждой сумме задолженности выставлены претензии; направлены иски по суммам задолженности в АС АО, осуществляется исполнительное производство);</w:t>
      </w:r>
    </w:p>
    <w:p w14:paraId="024C7378" w14:textId="77777777" w:rsidR="000A2A7A" w:rsidRPr="00FD7B0B" w:rsidRDefault="000A2A7A" w:rsidP="000A2A7A">
      <w:pPr>
        <w:pStyle w:val="1a"/>
        <w:spacing w:before="0" w:after="0" w:line="240" w:lineRule="auto"/>
        <w:ind w:firstLine="720"/>
        <w:rPr>
          <w:sz w:val="28"/>
          <w:szCs w:val="28"/>
        </w:rPr>
      </w:pPr>
      <w:r w:rsidRPr="00FD7B0B">
        <w:rPr>
          <w:sz w:val="28"/>
          <w:szCs w:val="28"/>
        </w:rPr>
        <w:t xml:space="preserve">3) платы, превышающей минимальный размер арендной платы при реализации инвестиционных проектов в целях развития лесного комплекса – 17,3 млн.руб., из них: ООО «Поморский лесной технопарк» – 11,9 млн.руб. в результате исключения договоров аренды из инвестиционных проектов; доначисление сумм по решениям АС АО; а также задолженность по действующим договорам аренды: ООО «Вельский леспромхоз» – 2,1 млн.руб. (по сроку 15.12.2024) – </w:t>
      </w:r>
      <w:r w:rsidRPr="00FD7B0B">
        <w:rPr>
          <w:sz w:val="28"/>
          <w:szCs w:val="28"/>
          <w:shd w:val="clear" w:color="auto" w:fill="FFFFFF"/>
        </w:rPr>
        <w:t>проведена досудебная претензионная работа, направлена претензия с требованием погашения задолженности, которая погашена в полном объеме в январе 2025 года</w:t>
      </w:r>
      <w:r w:rsidRPr="00FD7B0B">
        <w:rPr>
          <w:sz w:val="28"/>
          <w:szCs w:val="28"/>
        </w:rPr>
        <w:t>.</w:t>
      </w:r>
    </w:p>
    <w:p w14:paraId="49F670F9" w14:textId="4B250231" w:rsidR="000A2A7A" w:rsidRPr="00FD7B0B" w:rsidRDefault="000A2A7A" w:rsidP="000A2A7A">
      <w:pPr>
        <w:pStyle w:val="1a"/>
        <w:widowControl/>
        <w:spacing w:before="0" w:after="0" w:line="240" w:lineRule="auto"/>
        <w:ind w:firstLine="709"/>
        <w:rPr>
          <w:sz w:val="28"/>
          <w:szCs w:val="28"/>
        </w:rPr>
      </w:pPr>
      <w:r w:rsidRPr="00FD7B0B">
        <w:rPr>
          <w:sz w:val="28"/>
          <w:szCs w:val="28"/>
        </w:rPr>
        <w:t>По информации Минприроды в части минимизации сумм дебиторской задолженности в целом в</w:t>
      </w:r>
      <w:r w:rsidRPr="00FD7B0B">
        <w:rPr>
          <w:sz w:val="28"/>
          <w:szCs w:val="28"/>
          <w:shd w:val="clear" w:color="auto" w:fill="FFFFFF"/>
        </w:rPr>
        <w:t xml:space="preserve"> 2024 году </w:t>
      </w:r>
      <w:r w:rsidRPr="00FD7B0B">
        <w:rPr>
          <w:sz w:val="28"/>
          <w:szCs w:val="28"/>
        </w:rPr>
        <w:t>принимались меры в рамках правовых норм действу</w:t>
      </w:r>
      <w:r w:rsidR="005949E7" w:rsidRPr="00FD7B0B">
        <w:rPr>
          <w:sz w:val="28"/>
          <w:szCs w:val="28"/>
        </w:rPr>
        <w:t>ющего законодательства, из них:</w:t>
      </w:r>
    </w:p>
    <w:p w14:paraId="0E58EB03" w14:textId="651EB3A3" w:rsidR="000A2A7A" w:rsidRPr="00FD7B0B" w:rsidRDefault="000A2A7A" w:rsidP="000A2A7A">
      <w:pPr>
        <w:pStyle w:val="1a"/>
        <w:widowControl/>
        <w:spacing w:before="0" w:after="0" w:line="240" w:lineRule="auto"/>
        <w:ind w:firstLine="709"/>
        <w:rPr>
          <w:sz w:val="28"/>
          <w:szCs w:val="28"/>
        </w:rPr>
      </w:pPr>
      <w:r w:rsidRPr="00FD7B0B">
        <w:rPr>
          <w:sz w:val="28"/>
          <w:szCs w:val="28"/>
        </w:rPr>
        <w:t>– досудебная претензионная работа (</w:t>
      </w:r>
      <w:r w:rsidRPr="00FD7B0B">
        <w:rPr>
          <w:sz w:val="28"/>
          <w:szCs w:val="28"/>
          <w:shd w:val="clear" w:color="auto" w:fill="FFFFFF"/>
        </w:rPr>
        <w:t>направлено 338 претензионных писем должникам с требованием о погашении задолженности</w:t>
      </w:r>
      <w:r w:rsidR="00817B69" w:rsidRPr="00FD7B0B">
        <w:rPr>
          <w:sz w:val="28"/>
          <w:szCs w:val="28"/>
        </w:rPr>
        <w:t>);</w:t>
      </w:r>
    </w:p>
    <w:p w14:paraId="043C8173" w14:textId="34DC9927" w:rsidR="000A2A7A" w:rsidRPr="00FD7B0B" w:rsidRDefault="000A2A7A" w:rsidP="000A2A7A">
      <w:pPr>
        <w:pStyle w:val="1a"/>
        <w:widowControl/>
        <w:spacing w:before="0" w:after="0" w:line="240" w:lineRule="auto"/>
        <w:ind w:firstLine="709"/>
        <w:rPr>
          <w:sz w:val="28"/>
          <w:szCs w:val="28"/>
        </w:rPr>
      </w:pPr>
      <w:r w:rsidRPr="00FD7B0B">
        <w:rPr>
          <w:sz w:val="28"/>
          <w:szCs w:val="28"/>
        </w:rPr>
        <w:t xml:space="preserve">– подготовка и направление исковых требований в </w:t>
      </w:r>
      <w:r w:rsidRPr="00FD7B0B">
        <w:rPr>
          <w:sz w:val="28"/>
          <w:szCs w:val="28"/>
          <w:shd w:val="clear" w:color="auto" w:fill="FFFFFF"/>
        </w:rPr>
        <w:t>АС АО о</w:t>
      </w:r>
      <w:r w:rsidRPr="00FD7B0B">
        <w:rPr>
          <w:sz w:val="28"/>
          <w:szCs w:val="28"/>
        </w:rPr>
        <w:t xml:space="preserve"> расторжении договоров с организациями-должниками (в </w:t>
      </w:r>
      <w:r w:rsidRPr="00FD7B0B">
        <w:rPr>
          <w:sz w:val="28"/>
          <w:szCs w:val="28"/>
          <w:shd w:val="clear" w:color="auto" w:fill="FFFFFF"/>
        </w:rPr>
        <w:t xml:space="preserve">АС АО рассмотрено 172 дела о взыскании задолженности областного бюджета на сумму 473 860,8 тыс.руб.; приняты решения о взыскании задолженности областного бюджета на сумму 56 076,6 тыс.руб., в ходе судебных разбирательств арендаторами лесных участков добровольно погашена задолженность </w:t>
      </w:r>
      <w:r w:rsidR="002B6F12" w:rsidRPr="00FD7B0B">
        <w:rPr>
          <w:sz w:val="28"/>
          <w:szCs w:val="28"/>
          <w:shd w:val="clear" w:color="auto" w:fill="FFFFFF"/>
        </w:rPr>
        <w:t xml:space="preserve">в </w:t>
      </w:r>
      <w:r w:rsidRPr="00FD7B0B">
        <w:rPr>
          <w:sz w:val="28"/>
          <w:szCs w:val="28"/>
          <w:shd w:val="clear" w:color="auto" w:fill="FFFFFF"/>
        </w:rPr>
        <w:t>областн</w:t>
      </w:r>
      <w:r w:rsidR="002B6F12" w:rsidRPr="00FD7B0B">
        <w:rPr>
          <w:sz w:val="28"/>
          <w:szCs w:val="28"/>
          <w:shd w:val="clear" w:color="auto" w:fill="FFFFFF"/>
        </w:rPr>
        <w:t>ой</w:t>
      </w:r>
      <w:r w:rsidRPr="00FD7B0B">
        <w:rPr>
          <w:sz w:val="28"/>
          <w:szCs w:val="28"/>
          <w:shd w:val="clear" w:color="auto" w:fill="FFFFFF"/>
        </w:rPr>
        <w:t xml:space="preserve"> бюджет по договорам аренды лесных участков на сумму 49 194,9 тыс.руб.</w:t>
      </w:r>
      <w:r w:rsidRPr="00FD7B0B">
        <w:rPr>
          <w:sz w:val="28"/>
          <w:szCs w:val="28"/>
        </w:rPr>
        <w:t>);</w:t>
      </w:r>
    </w:p>
    <w:p w14:paraId="203EC476" w14:textId="4C3DF2A5" w:rsidR="000A2A7A" w:rsidRPr="00FD7B0B" w:rsidRDefault="000A2A7A" w:rsidP="000A2A7A">
      <w:pPr>
        <w:pStyle w:val="1a"/>
        <w:widowControl/>
        <w:spacing w:before="0" w:after="0" w:line="240" w:lineRule="auto"/>
        <w:ind w:firstLine="709"/>
        <w:rPr>
          <w:sz w:val="28"/>
          <w:szCs w:val="28"/>
        </w:rPr>
      </w:pPr>
      <w:r w:rsidRPr="00FD7B0B">
        <w:rPr>
          <w:sz w:val="28"/>
          <w:szCs w:val="28"/>
        </w:rPr>
        <w:t xml:space="preserve">– взаимодействие с </w:t>
      </w:r>
      <w:r w:rsidRPr="00FD7B0B">
        <w:rPr>
          <w:sz w:val="28"/>
          <w:szCs w:val="28"/>
          <w:shd w:val="clear" w:color="auto" w:fill="FFFFFF"/>
        </w:rPr>
        <w:t>УФССП (в отделах УФССП на 01.01.2025 находится 53 исполнительных про</w:t>
      </w:r>
      <w:r w:rsidR="00901B4E" w:rsidRPr="00FD7B0B">
        <w:rPr>
          <w:sz w:val="28"/>
          <w:szCs w:val="28"/>
          <w:shd w:val="clear" w:color="auto" w:fill="FFFFFF"/>
        </w:rPr>
        <w:t>изводств на сумму 44 704,3 тыс.</w:t>
      </w:r>
      <w:r w:rsidRPr="00FD7B0B">
        <w:rPr>
          <w:sz w:val="28"/>
          <w:szCs w:val="28"/>
          <w:shd w:val="clear" w:color="auto" w:fill="FFFFFF"/>
        </w:rPr>
        <w:t>руб. по взысканию задолженности по договорам аренды лесных участков; в течение отчетного года окончено 15 ИП без фактическог</w:t>
      </w:r>
      <w:r w:rsidR="00901B4E" w:rsidRPr="00FD7B0B">
        <w:rPr>
          <w:sz w:val="28"/>
          <w:szCs w:val="28"/>
          <w:shd w:val="clear" w:color="auto" w:fill="FFFFFF"/>
        </w:rPr>
        <w:t>о исполнения на сумму 53,6 тыс.</w:t>
      </w:r>
      <w:r w:rsidRPr="00FD7B0B">
        <w:rPr>
          <w:sz w:val="28"/>
          <w:szCs w:val="28"/>
          <w:shd w:val="clear" w:color="auto" w:fill="FFFFFF"/>
        </w:rPr>
        <w:t>руб. и окончено 110 ИП с фактическим исп</w:t>
      </w:r>
      <w:r w:rsidR="00901B4E" w:rsidRPr="00FD7B0B">
        <w:rPr>
          <w:sz w:val="28"/>
          <w:szCs w:val="28"/>
          <w:shd w:val="clear" w:color="auto" w:fill="FFFFFF"/>
        </w:rPr>
        <w:t>олнением на сумму 29 822,7 тыс.</w:t>
      </w:r>
      <w:r w:rsidRPr="00FD7B0B">
        <w:rPr>
          <w:sz w:val="28"/>
          <w:szCs w:val="28"/>
          <w:shd w:val="clear" w:color="auto" w:fill="FFFFFF"/>
        </w:rPr>
        <w:t>руб.);</w:t>
      </w:r>
    </w:p>
    <w:p w14:paraId="2303B8BD" w14:textId="77777777" w:rsidR="000A2A7A" w:rsidRPr="00FD7B0B" w:rsidRDefault="000A2A7A" w:rsidP="000A2A7A">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По данным бухгалтерского учета Минприроды в течение 2024 года на основании прекращения деятельности и исключения плательщика из ЕГРЮЛ безнадежная к взысканию дебиторская задолженность списана в сумме 2,4 млн.руб. по </w:t>
      </w:r>
      <w:r w:rsidRPr="00FD7B0B">
        <w:rPr>
          <w:rFonts w:ascii="Times New Roman" w:eastAsia="Times New Roman" w:hAnsi="Times New Roman"/>
          <w:sz w:val="28"/>
          <w:szCs w:val="28"/>
          <w:shd w:val="clear" w:color="auto" w:fill="FFFFFF"/>
        </w:rPr>
        <w:t>распоряжению от 15.04.2024 № 379р</w:t>
      </w:r>
      <w:r w:rsidRPr="00FD7B0B">
        <w:rPr>
          <w:rFonts w:ascii="Times New Roman" w:hAnsi="Times New Roman"/>
          <w:sz w:val="28"/>
          <w:szCs w:val="28"/>
        </w:rPr>
        <w:t xml:space="preserve">, а также </w:t>
      </w:r>
      <w:r w:rsidRPr="00FD7B0B">
        <w:rPr>
          <w:rFonts w:ascii="Times New Roman" w:eastAsia="Times New Roman" w:hAnsi="Times New Roman"/>
          <w:sz w:val="28"/>
          <w:szCs w:val="28"/>
          <w:shd w:val="clear" w:color="auto" w:fill="FFFFFF"/>
        </w:rPr>
        <w:t>в сумме 0,2 млн.руб. по распоряжению от 27.11.2024 № 1386р.</w:t>
      </w:r>
    </w:p>
    <w:p w14:paraId="60D2E447" w14:textId="77777777"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Проводимая работа по взысканию дебиторской задолженности осуществляется в рамках Порядка осуществления органами государственной власти Архангельской области и иными государственными органами Архангельской области бюджетных полномочий главных администраторов налоговых и неналоговых доходов, поступающих в областной бюджет и бюджеты муниципальных образований Архангельской области, утвержденного постановлением Правительства Архангельской области от 02.06.2021 № 273-пп.</w:t>
      </w:r>
    </w:p>
    <w:p w14:paraId="158C6BC9"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lastRenderedPageBreak/>
        <w:t>В целом сложившиеся показатели просроченной дебиторской задолженности по платежам за пользование лесов на 01.01.2025 свидетельствуют о потенциальных резервах при исполнении доходной части областного бюджета.</w:t>
      </w:r>
    </w:p>
    <w:p w14:paraId="68D6CAE5" w14:textId="77777777" w:rsidR="00BB10A6" w:rsidRPr="00FD7B0B" w:rsidRDefault="00BB10A6" w:rsidP="000A2A7A">
      <w:pPr>
        <w:pStyle w:val="1a"/>
        <w:widowControl/>
        <w:spacing w:before="0" w:after="0" w:line="240" w:lineRule="auto"/>
        <w:ind w:firstLine="720"/>
        <w:rPr>
          <w:sz w:val="28"/>
          <w:szCs w:val="28"/>
        </w:rPr>
      </w:pPr>
    </w:p>
    <w:p w14:paraId="470FB863" w14:textId="70C45012"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10. </w:t>
      </w:r>
      <w:r w:rsidRPr="00FD7B0B">
        <w:rPr>
          <w:sz w:val="28"/>
          <w:szCs w:val="28"/>
          <w:u w:val="single"/>
        </w:rPr>
        <w:t>Доходы от оказания платных услуг (работ) и компенсации затрат государства</w:t>
      </w:r>
      <w:r w:rsidRPr="00FD7B0B">
        <w:rPr>
          <w:sz w:val="28"/>
          <w:szCs w:val="28"/>
        </w:rPr>
        <w:t xml:space="preserve"> составили 356,2 млн.руб или в 2,2 раза превышают показатели годового кассового плана 2024 года. </w:t>
      </w:r>
      <w:r w:rsidR="00BB10A6" w:rsidRPr="00FD7B0B">
        <w:rPr>
          <w:sz w:val="28"/>
          <w:szCs w:val="28"/>
        </w:rPr>
        <w:t>Указанных д</w:t>
      </w:r>
      <w:r w:rsidRPr="00FD7B0B">
        <w:rPr>
          <w:sz w:val="28"/>
          <w:szCs w:val="28"/>
        </w:rPr>
        <w:t>оходов за 2024 год поступило на 110,2 млн.руб. или в 1,4 раза больше, чем за 2023 год (246,0 млн.руб.).</w:t>
      </w:r>
    </w:p>
    <w:p w14:paraId="41219AE9" w14:textId="0A6EB5D9" w:rsidR="000A2A7A" w:rsidRPr="00FD7B0B" w:rsidRDefault="000A2A7A" w:rsidP="000A2A7A">
      <w:pPr>
        <w:pStyle w:val="1a"/>
        <w:widowControl/>
        <w:spacing w:before="0" w:after="0" w:line="240" w:lineRule="auto"/>
        <w:ind w:firstLine="720"/>
        <w:rPr>
          <w:sz w:val="28"/>
          <w:szCs w:val="28"/>
        </w:rPr>
      </w:pPr>
      <w:r w:rsidRPr="00FD7B0B">
        <w:rPr>
          <w:sz w:val="28"/>
          <w:szCs w:val="28"/>
        </w:rPr>
        <w:t>План поступления доходов от оказания платных услуг (работ) в 2024 года не корректировался. Прогноз поступления доходов от компенсации затрат государства с учетом сложившейся динамики в 2024 году увеличен в сентябре и в декабре в целом на 9,2 млн.руб. (областные законы от 26.09.2024 № 126-10-ОЗ и от 15.12.2023 № 39-4-ОЗ)</w:t>
      </w:r>
      <w:r w:rsidR="000058CE" w:rsidRPr="00FD7B0B">
        <w:rPr>
          <w:sz w:val="28"/>
          <w:szCs w:val="28"/>
        </w:rPr>
        <w:t>.</w:t>
      </w:r>
      <w:r w:rsidRPr="00FD7B0B">
        <w:rPr>
          <w:sz w:val="28"/>
          <w:szCs w:val="28"/>
        </w:rPr>
        <w:t xml:space="preserve"> </w:t>
      </w:r>
      <w:r w:rsidR="000058CE" w:rsidRPr="00FD7B0B">
        <w:rPr>
          <w:sz w:val="28"/>
          <w:szCs w:val="28"/>
        </w:rPr>
        <w:t>В</w:t>
      </w:r>
      <w:r w:rsidRPr="00FD7B0B">
        <w:rPr>
          <w:sz w:val="28"/>
          <w:szCs w:val="28"/>
        </w:rPr>
        <w:t xml:space="preserve"> результате план доходов от оказания платных услуг (работ) и компенсации затрат госуд</w:t>
      </w:r>
      <w:r w:rsidR="00BB10A6" w:rsidRPr="00FD7B0B">
        <w:rPr>
          <w:sz w:val="28"/>
          <w:szCs w:val="28"/>
        </w:rPr>
        <w:t>арств составляет 160,7 млн.руб.</w:t>
      </w:r>
    </w:p>
    <w:p w14:paraId="4140BA88" w14:textId="04476018"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Динамика поступления доходов от оказания платных услуг и компенсации затрат государства за 2023 – 2024 годы представлена в таблице </w:t>
      </w:r>
      <w:r w:rsidR="0080327C" w:rsidRPr="00FD7B0B">
        <w:rPr>
          <w:sz w:val="28"/>
          <w:szCs w:val="28"/>
        </w:rPr>
        <w:t>40</w:t>
      </w:r>
      <w:r w:rsidRPr="00FD7B0B">
        <w:rPr>
          <w:sz w:val="28"/>
          <w:szCs w:val="28"/>
        </w:rPr>
        <w:t>.</w:t>
      </w:r>
    </w:p>
    <w:p w14:paraId="6B40BDBC" w14:textId="77777777" w:rsidR="000A2A7A" w:rsidRPr="00FD7B0B" w:rsidRDefault="000A2A7A" w:rsidP="000A2A7A">
      <w:pPr>
        <w:pStyle w:val="aff0"/>
        <w:spacing w:after="0" w:line="240" w:lineRule="auto"/>
        <w:rPr>
          <w:rFonts w:ascii="Times New Roman" w:hAnsi="Times New Roman"/>
          <w:b w:val="0"/>
          <w:sz w:val="24"/>
          <w:szCs w:val="24"/>
        </w:rPr>
      </w:pPr>
    </w:p>
    <w:p w14:paraId="2DBBB655"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40</w:t>
      </w:r>
      <w:r w:rsidRPr="00FD7B0B">
        <w:rPr>
          <w:rFonts w:ascii="Times New Roman" w:hAnsi="Times New Roman"/>
          <w:b w:val="0"/>
          <w:sz w:val="24"/>
          <w:szCs w:val="24"/>
        </w:rPr>
        <w:fldChar w:fldCharType="end"/>
      </w:r>
      <w:r w:rsidRPr="00FD7B0B">
        <w:rPr>
          <w:rFonts w:ascii="Times New Roman" w:hAnsi="Times New Roman"/>
          <w:b w:val="0"/>
          <w:sz w:val="24"/>
          <w:szCs w:val="24"/>
        </w:rPr>
        <w:t>. Динамика поступления доходов от оказания платных услуг и компенсации затрат государства за 2023 – 2024 годы, млн.руб.</w:t>
      </w:r>
    </w:p>
    <w:tbl>
      <w:tblPr>
        <w:tblW w:w="975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3379"/>
        <w:gridCol w:w="850"/>
        <w:gridCol w:w="850"/>
        <w:gridCol w:w="851"/>
        <w:gridCol w:w="992"/>
        <w:gridCol w:w="992"/>
        <w:gridCol w:w="993"/>
        <w:gridCol w:w="850"/>
      </w:tblGrid>
      <w:tr w:rsidR="00FD7B0B" w:rsidRPr="00FD7B0B" w14:paraId="227ED1CA" w14:textId="77777777" w:rsidTr="000A2A7A">
        <w:trPr>
          <w:trHeight w:val="162"/>
          <w:tblHeader/>
        </w:trPr>
        <w:tc>
          <w:tcPr>
            <w:tcW w:w="3379" w:type="dxa"/>
            <w:vMerge w:val="restart"/>
            <w:shd w:val="clear" w:color="auto" w:fill="auto"/>
            <w:vAlign w:val="center"/>
            <w:hideMark/>
          </w:tcPr>
          <w:p w14:paraId="154E970D"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Наименование показателя</w:t>
            </w:r>
          </w:p>
        </w:tc>
        <w:tc>
          <w:tcPr>
            <w:tcW w:w="850" w:type="dxa"/>
            <w:vMerge w:val="restart"/>
            <w:shd w:val="clear" w:color="auto" w:fill="auto"/>
            <w:vAlign w:val="center"/>
            <w:hideMark/>
          </w:tcPr>
          <w:p w14:paraId="03057BBC"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Факт 2023г.</w:t>
            </w:r>
          </w:p>
        </w:tc>
        <w:tc>
          <w:tcPr>
            <w:tcW w:w="3685" w:type="dxa"/>
            <w:gridSpan w:val="4"/>
            <w:shd w:val="clear" w:color="auto" w:fill="auto"/>
            <w:vAlign w:val="center"/>
            <w:hideMark/>
          </w:tcPr>
          <w:p w14:paraId="04687CA5" w14:textId="77777777" w:rsidR="000A2A7A" w:rsidRPr="00FD7B0B" w:rsidRDefault="000A2A7A" w:rsidP="000A2A7A">
            <w:pPr>
              <w:spacing w:after="0" w:line="240" w:lineRule="auto"/>
              <w:ind w:left="-107"/>
              <w:jc w:val="center"/>
              <w:rPr>
                <w:rFonts w:ascii="Times New Roman" w:eastAsia="Times New Roman" w:hAnsi="Times New Roman"/>
                <w:lang w:eastAsia="ru-RU"/>
              </w:rPr>
            </w:pPr>
            <w:r w:rsidRPr="00FD7B0B">
              <w:rPr>
                <w:rFonts w:ascii="Times New Roman" w:eastAsia="Times New Roman" w:hAnsi="Times New Roman"/>
                <w:lang w:eastAsia="ru-RU"/>
              </w:rPr>
              <w:t>2024 год</w:t>
            </w:r>
          </w:p>
        </w:tc>
        <w:tc>
          <w:tcPr>
            <w:tcW w:w="1843" w:type="dxa"/>
            <w:gridSpan w:val="2"/>
            <w:vMerge w:val="restart"/>
            <w:shd w:val="clear" w:color="auto" w:fill="auto"/>
            <w:vAlign w:val="center"/>
            <w:hideMark/>
          </w:tcPr>
          <w:p w14:paraId="378272E7"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Изменение факт 2024 г. /к факту 2023 г.</w:t>
            </w:r>
          </w:p>
        </w:tc>
      </w:tr>
      <w:tr w:rsidR="00FD7B0B" w:rsidRPr="00FD7B0B" w14:paraId="6D6EF206" w14:textId="77777777" w:rsidTr="000A2A7A">
        <w:trPr>
          <w:trHeight w:val="215"/>
          <w:tblHeader/>
        </w:trPr>
        <w:tc>
          <w:tcPr>
            <w:tcW w:w="3379" w:type="dxa"/>
            <w:vMerge/>
            <w:shd w:val="clear" w:color="auto" w:fill="auto"/>
            <w:vAlign w:val="center"/>
            <w:hideMark/>
          </w:tcPr>
          <w:p w14:paraId="764300AE" w14:textId="77777777" w:rsidR="000A2A7A" w:rsidRPr="00FD7B0B" w:rsidRDefault="000A2A7A" w:rsidP="000A2A7A">
            <w:pPr>
              <w:spacing w:after="0" w:line="240" w:lineRule="auto"/>
              <w:rPr>
                <w:rFonts w:ascii="Times New Roman" w:eastAsia="Times New Roman" w:hAnsi="Times New Roman"/>
                <w:lang w:eastAsia="ru-RU"/>
              </w:rPr>
            </w:pPr>
          </w:p>
        </w:tc>
        <w:tc>
          <w:tcPr>
            <w:tcW w:w="850" w:type="dxa"/>
            <w:vMerge/>
            <w:shd w:val="clear" w:color="auto" w:fill="auto"/>
            <w:vAlign w:val="center"/>
            <w:hideMark/>
          </w:tcPr>
          <w:p w14:paraId="037E0C4D" w14:textId="77777777" w:rsidR="000A2A7A" w:rsidRPr="00FD7B0B" w:rsidRDefault="000A2A7A" w:rsidP="000A2A7A">
            <w:pPr>
              <w:spacing w:after="0" w:line="240" w:lineRule="auto"/>
              <w:rPr>
                <w:rFonts w:ascii="Times New Roman" w:eastAsia="Times New Roman" w:hAnsi="Times New Roman"/>
                <w:lang w:eastAsia="ru-RU"/>
              </w:rPr>
            </w:pPr>
          </w:p>
        </w:tc>
        <w:tc>
          <w:tcPr>
            <w:tcW w:w="850" w:type="dxa"/>
            <w:shd w:val="clear" w:color="auto" w:fill="auto"/>
            <w:vAlign w:val="center"/>
            <w:hideMark/>
          </w:tcPr>
          <w:p w14:paraId="15AA8778"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КП </w:t>
            </w:r>
          </w:p>
        </w:tc>
        <w:tc>
          <w:tcPr>
            <w:tcW w:w="851" w:type="dxa"/>
            <w:shd w:val="clear" w:color="auto" w:fill="auto"/>
            <w:vAlign w:val="center"/>
            <w:hideMark/>
          </w:tcPr>
          <w:p w14:paraId="4A1BC17D"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Факт </w:t>
            </w:r>
          </w:p>
        </w:tc>
        <w:tc>
          <w:tcPr>
            <w:tcW w:w="1984" w:type="dxa"/>
            <w:gridSpan w:val="2"/>
            <w:shd w:val="clear" w:color="auto" w:fill="auto"/>
            <w:vAlign w:val="center"/>
            <w:hideMark/>
          </w:tcPr>
          <w:p w14:paraId="25DAA969"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Факт/к КП</w:t>
            </w:r>
          </w:p>
        </w:tc>
        <w:tc>
          <w:tcPr>
            <w:tcW w:w="1843" w:type="dxa"/>
            <w:gridSpan w:val="2"/>
            <w:vMerge/>
            <w:shd w:val="clear" w:color="auto" w:fill="auto"/>
            <w:vAlign w:val="center"/>
            <w:hideMark/>
          </w:tcPr>
          <w:p w14:paraId="50A1E22E" w14:textId="77777777" w:rsidR="000A2A7A" w:rsidRPr="00FD7B0B" w:rsidRDefault="000A2A7A" w:rsidP="000A2A7A">
            <w:pPr>
              <w:spacing w:after="0" w:line="240" w:lineRule="auto"/>
              <w:rPr>
                <w:rFonts w:ascii="Times New Roman" w:eastAsia="Times New Roman" w:hAnsi="Times New Roman"/>
                <w:lang w:eastAsia="ru-RU"/>
              </w:rPr>
            </w:pPr>
          </w:p>
        </w:tc>
      </w:tr>
      <w:tr w:rsidR="00FD7B0B" w:rsidRPr="00FD7B0B" w14:paraId="40ABB502" w14:textId="77777777" w:rsidTr="000A2A7A">
        <w:trPr>
          <w:trHeight w:val="510"/>
          <w:tblHeader/>
        </w:trPr>
        <w:tc>
          <w:tcPr>
            <w:tcW w:w="3379" w:type="dxa"/>
            <w:shd w:val="clear" w:color="auto" w:fill="auto"/>
            <w:vAlign w:val="center"/>
            <w:hideMark/>
          </w:tcPr>
          <w:p w14:paraId="5447BEEC"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А</w:t>
            </w:r>
          </w:p>
        </w:tc>
        <w:tc>
          <w:tcPr>
            <w:tcW w:w="850" w:type="dxa"/>
            <w:shd w:val="clear" w:color="auto" w:fill="auto"/>
            <w:vAlign w:val="center"/>
            <w:hideMark/>
          </w:tcPr>
          <w:p w14:paraId="5F744F8E"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w:t>
            </w:r>
          </w:p>
        </w:tc>
        <w:tc>
          <w:tcPr>
            <w:tcW w:w="850" w:type="dxa"/>
            <w:shd w:val="clear" w:color="auto" w:fill="auto"/>
            <w:vAlign w:val="center"/>
            <w:hideMark/>
          </w:tcPr>
          <w:p w14:paraId="0C1CE30A"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w:t>
            </w:r>
          </w:p>
        </w:tc>
        <w:tc>
          <w:tcPr>
            <w:tcW w:w="851" w:type="dxa"/>
            <w:shd w:val="clear" w:color="auto" w:fill="auto"/>
            <w:vAlign w:val="center"/>
            <w:hideMark/>
          </w:tcPr>
          <w:p w14:paraId="4B3EB20D"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w:t>
            </w:r>
          </w:p>
        </w:tc>
        <w:tc>
          <w:tcPr>
            <w:tcW w:w="992" w:type="dxa"/>
            <w:shd w:val="clear" w:color="auto" w:fill="auto"/>
            <w:vAlign w:val="center"/>
            <w:hideMark/>
          </w:tcPr>
          <w:p w14:paraId="3F417823"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4=3-2, млн.руб.</w:t>
            </w:r>
          </w:p>
        </w:tc>
        <w:tc>
          <w:tcPr>
            <w:tcW w:w="992" w:type="dxa"/>
            <w:shd w:val="clear" w:color="auto" w:fill="auto"/>
            <w:vAlign w:val="center"/>
            <w:hideMark/>
          </w:tcPr>
          <w:p w14:paraId="4DAAA145" w14:textId="77777777" w:rsidR="000A2A7A" w:rsidRPr="00FD7B0B" w:rsidRDefault="000A2A7A" w:rsidP="000A2A7A">
            <w:pPr>
              <w:spacing w:after="0" w:line="240" w:lineRule="auto"/>
              <w:ind w:left="-108" w:right="-108"/>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5=3/2*100, %</w:t>
            </w:r>
          </w:p>
        </w:tc>
        <w:tc>
          <w:tcPr>
            <w:tcW w:w="993" w:type="dxa"/>
            <w:shd w:val="clear" w:color="auto" w:fill="auto"/>
            <w:vAlign w:val="center"/>
            <w:hideMark/>
          </w:tcPr>
          <w:p w14:paraId="25F9A3A4"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6=3-1, млн.руб.</w:t>
            </w:r>
          </w:p>
        </w:tc>
        <w:tc>
          <w:tcPr>
            <w:tcW w:w="850" w:type="dxa"/>
            <w:shd w:val="clear" w:color="auto" w:fill="auto"/>
            <w:vAlign w:val="center"/>
            <w:hideMark/>
          </w:tcPr>
          <w:p w14:paraId="7507A0AB"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7=3/1*100,%</w:t>
            </w:r>
          </w:p>
        </w:tc>
      </w:tr>
      <w:tr w:rsidR="00FD7B0B" w:rsidRPr="00FD7B0B" w14:paraId="49077615" w14:textId="77777777" w:rsidTr="00266453">
        <w:trPr>
          <w:trHeight w:val="494"/>
        </w:trPr>
        <w:tc>
          <w:tcPr>
            <w:tcW w:w="3379" w:type="dxa"/>
            <w:shd w:val="clear" w:color="auto" w:fill="auto"/>
            <w:vAlign w:val="center"/>
            <w:hideMark/>
          </w:tcPr>
          <w:p w14:paraId="164BF55B"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Доходы от оказания платных услуг (работ) и компенсации затрат государства, </w:t>
            </w:r>
            <w:r w:rsidRPr="00FD7B0B">
              <w:rPr>
                <w:rFonts w:ascii="Times New Roman" w:eastAsia="Times New Roman" w:hAnsi="Times New Roman"/>
                <w:i/>
                <w:lang w:eastAsia="ru-RU"/>
              </w:rPr>
              <w:t>в том числе:</w:t>
            </w:r>
          </w:p>
        </w:tc>
        <w:tc>
          <w:tcPr>
            <w:tcW w:w="850" w:type="dxa"/>
            <w:shd w:val="clear" w:color="auto" w:fill="auto"/>
            <w:hideMark/>
          </w:tcPr>
          <w:p w14:paraId="7B105F8C"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246,0 </w:t>
            </w:r>
          </w:p>
        </w:tc>
        <w:tc>
          <w:tcPr>
            <w:tcW w:w="850" w:type="dxa"/>
            <w:shd w:val="clear" w:color="auto" w:fill="auto"/>
            <w:hideMark/>
          </w:tcPr>
          <w:p w14:paraId="3E2E869B"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160,7 </w:t>
            </w:r>
          </w:p>
        </w:tc>
        <w:tc>
          <w:tcPr>
            <w:tcW w:w="851" w:type="dxa"/>
            <w:shd w:val="clear" w:color="auto" w:fill="auto"/>
            <w:hideMark/>
          </w:tcPr>
          <w:p w14:paraId="19EEAED2"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356,2 </w:t>
            </w:r>
          </w:p>
        </w:tc>
        <w:tc>
          <w:tcPr>
            <w:tcW w:w="992" w:type="dxa"/>
            <w:shd w:val="clear" w:color="auto" w:fill="auto"/>
            <w:noWrap/>
            <w:hideMark/>
          </w:tcPr>
          <w:p w14:paraId="74B55ED7"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195,5 </w:t>
            </w:r>
          </w:p>
        </w:tc>
        <w:tc>
          <w:tcPr>
            <w:tcW w:w="992" w:type="dxa"/>
            <w:shd w:val="clear" w:color="auto" w:fill="auto"/>
            <w:noWrap/>
            <w:hideMark/>
          </w:tcPr>
          <w:p w14:paraId="6D0452EB"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221,7 </w:t>
            </w:r>
          </w:p>
        </w:tc>
        <w:tc>
          <w:tcPr>
            <w:tcW w:w="993" w:type="dxa"/>
            <w:shd w:val="clear" w:color="auto" w:fill="auto"/>
            <w:noWrap/>
            <w:hideMark/>
          </w:tcPr>
          <w:p w14:paraId="59EDE21A"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110,2 </w:t>
            </w:r>
          </w:p>
        </w:tc>
        <w:tc>
          <w:tcPr>
            <w:tcW w:w="850" w:type="dxa"/>
            <w:shd w:val="clear" w:color="auto" w:fill="auto"/>
            <w:noWrap/>
            <w:hideMark/>
          </w:tcPr>
          <w:p w14:paraId="1607EC78"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144,8 </w:t>
            </w:r>
          </w:p>
        </w:tc>
      </w:tr>
      <w:tr w:rsidR="00FD7B0B" w:rsidRPr="00FD7B0B" w14:paraId="3ECF9639" w14:textId="77777777" w:rsidTr="00266453">
        <w:trPr>
          <w:trHeight w:val="258"/>
        </w:trPr>
        <w:tc>
          <w:tcPr>
            <w:tcW w:w="3379" w:type="dxa"/>
            <w:shd w:val="clear" w:color="auto" w:fill="auto"/>
            <w:vAlign w:val="bottom"/>
            <w:hideMark/>
          </w:tcPr>
          <w:p w14:paraId="3E49F033" w14:textId="77777777" w:rsidR="000A2A7A" w:rsidRPr="00FD7B0B" w:rsidRDefault="000A2A7A" w:rsidP="000A2A7A">
            <w:pPr>
              <w:spacing w:after="0" w:line="240" w:lineRule="auto"/>
              <w:ind w:firstLineChars="5" w:firstLine="11"/>
              <w:rPr>
                <w:rFonts w:ascii="Times New Roman" w:eastAsia="Times New Roman" w:hAnsi="Times New Roman"/>
                <w:lang w:eastAsia="ru-RU"/>
              </w:rPr>
            </w:pPr>
            <w:r w:rsidRPr="00FD7B0B">
              <w:rPr>
                <w:rFonts w:ascii="Times New Roman" w:eastAsia="Times New Roman" w:hAnsi="Times New Roman"/>
                <w:lang w:eastAsia="ru-RU"/>
              </w:rPr>
              <w:t>доходы от оказания платных услуг (работ)</w:t>
            </w:r>
          </w:p>
        </w:tc>
        <w:tc>
          <w:tcPr>
            <w:tcW w:w="850" w:type="dxa"/>
            <w:shd w:val="clear" w:color="auto" w:fill="auto"/>
            <w:noWrap/>
            <w:hideMark/>
          </w:tcPr>
          <w:p w14:paraId="3590B5EF"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4,8 </w:t>
            </w:r>
          </w:p>
        </w:tc>
        <w:tc>
          <w:tcPr>
            <w:tcW w:w="850" w:type="dxa"/>
            <w:shd w:val="clear" w:color="auto" w:fill="auto"/>
            <w:noWrap/>
            <w:hideMark/>
          </w:tcPr>
          <w:p w14:paraId="0BA070C3"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4,7 </w:t>
            </w:r>
          </w:p>
        </w:tc>
        <w:tc>
          <w:tcPr>
            <w:tcW w:w="851" w:type="dxa"/>
            <w:shd w:val="clear" w:color="auto" w:fill="auto"/>
            <w:hideMark/>
          </w:tcPr>
          <w:p w14:paraId="2512A1A3"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5,5 </w:t>
            </w:r>
          </w:p>
        </w:tc>
        <w:tc>
          <w:tcPr>
            <w:tcW w:w="992" w:type="dxa"/>
            <w:shd w:val="clear" w:color="auto" w:fill="auto"/>
            <w:noWrap/>
            <w:hideMark/>
          </w:tcPr>
          <w:p w14:paraId="56CFB7EA"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0,9 </w:t>
            </w:r>
          </w:p>
        </w:tc>
        <w:tc>
          <w:tcPr>
            <w:tcW w:w="992" w:type="dxa"/>
            <w:shd w:val="clear" w:color="auto" w:fill="auto"/>
            <w:noWrap/>
            <w:hideMark/>
          </w:tcPr>
          <w:p w14:paraId="79CF73B5"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118,5 </w:t>
            </w:r>
          </w:p>
        </w:tc>
        <w:tc>
          <w:tcPr>
            <w:tcW w:w="993" w:type="dxa"/>
            <w:shd w:val="clear" w:color="auto" w:fill="auto"/>
            <w:noWrap/>
            <w:hideMark/>
          </w:tcPr>
          <w:p w14:paraId="2696CF95"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0,7 </w:t>
            </w:r>
          </w:p>
        </w:tc>
        <w:tc>
          <w:tcPr>
            <w:tcW w:w="850" w:type="dxa"/>
            <w:shd w:val="clear" w:color="auto" w:fill="auto"/>
            <w:noWrap/>
            <w:hideMark/>
          </w:tcPr>
          <w:p w14:paraId="02A63F1B"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114,8 </w:t>
            </w:r>
          </w:p>
        </w:tc>
      </w:tr>
      <w:tr w:rsidR="000A2A7A" w:rsidRPr="00FD7B0B" w14:paraId="094FB12D" w14:textId="77777777" w:rsidTr="00266453">
        <w:trPr>
          <w:trHeight w:val="309"/>
        </w:trPr>
        <w:tc>
          <w:tcPr>
            <w:tcW w:w="3379" w:type="dxa"/>
            <w:shd w:val="clear" w:color="auto" w:fill="auto"/>
            <w:vAlign w:val="bottom"/>
            <w:hideMark/>
          </w:tcPr>
          <w:p w14:paraId="3CC2D104" w14:textId="77777777" w:rsidR="000A2A7A" w:rsidRPr="00FD7B0B" w:rsidRDefault="000A2A7A" w:rsidP="000A2A7A">
            <w:pPr>
              <w:spacing w:after="0" w:line="240" w:lineRule="auto"/>
              <w:ind w:firstLineChars="5" w:firstLine="11"/>
              <w:rPr>
                <w:rFonts w:ascii="Times New Roman" w:eastAsia="Times New Roman" w:hAnsi="Times New Roman"/>
                <w:lang w:eastAsia="ru-RU"/>
              </w:rPr>
            </w:pPr>
            <w:r w:rsidRPr="00FD7B0B">
              <w:rPr>
                <w:rFonts w:ascii="Times New Roman" w:eastAsia="Times New Roman" w:hAnsi="Times New Roman"/>
                <w:lang w:eastAsia="ru-RU"/>
              </w:rPr>
              <w:t>доходы от компенсации затрат государства</w:t>
            </w:r>
          </w:p>
        </w:tc>
        <w:tc>
          <w:tcPr>
            <w:tcW w:w="850" w:type="dxa"/>
            <w:shd w:val="clear" w:color="auto" w:fill="auto"/>
            <w:noWrap/>
            <w:hideMark/>
          </w:tcPr>
          <w:p w14:paraId="18D95BCD"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241,1 </w:t>
            </w:r>
          </w:p>
        </w:tc>
        <w:tc>
          <w:tcPr>
            <w:tcW w:w="850" w:type="dxa"/>
            <w:shd w:val="clear" w:color="auto" w:fill="auto"/>
            <w:noWrap/>
            <w:hideMark/>
          </w:tcPr>
          <w:p w14:paraId="65A376AD"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156,0 </w:t>
            </w:r>
          </w:p>
        </w:tc>
        <w:tc>
          <w:tcPr>
            <w:tcW w:w="851" w:type="dxa"/>
            <w:shd w:val="clear" w:color="auto" w:fill="auto"/>
            <w:hideMark/>
          </w:tcPr>
          <w:p w14:paraId="4B0CB552"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350,7 </w:t>
            </w:r>
          </w:p>
        </w:tc>
        <w:tc>
          <w:tcPr>
            <w:tcW w:w="992" w:type="dxa"/>
            <w:shd w:val="clear" w:color="auto" w:fill="auto"/>
            <w:noWrap/>
            <w:hideMark/>
          </w:tcPr>
          <w:p w14:paraId="4194E8E6"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194,7 </w:t>
            </w:r>
          </w:p>
        </w:tc>
        <w:tc>
          <w:tcPr>
            <w:tcW w:w="992" w:type="dxa"/>
            <w:shd w:val="clear" w:color="auto" w:fill="auto"/>
            <w:noWrap/>
            <w:hideMark/>
          </w:tcPr>
          <w:p w14:paraId="08B79ECB"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224,8 </w:t>
            </w:r>
          </w:p>
        </w:tc>
        <w:tc>
          <w:tcPr>
            <w:tcW w:w="993" w:type="dxa"/>
            <w:shd w:val="clear" w:color="auto" w:fill="auto"/>
            <w:noWrap/>
            <w:hideMark/>
          </w:tcPr>
          <w:p w14:paraId="0753800E"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109,6 </w:t>
            </w:r>
          </w:p>
        </w:tc>
        <w:tc>
          <w:tcPr>
            <w:tcW w:w="850" w:type="dxa"/>
            <w:shd w:val="clear" w:color="auto" w:fill="auto"/>
            <w:noWrap/>
            <w:hideMark/>
          </w:tcPr>
          <w:p w14:paraId="2964564E" w14:textId="77777777" w:rsidR="000A2A7A" w:rsidRPr="00FD7B0B" w:rsidRDefault="000A2A7A" w:rsidP="00266453">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145,5 </w:t>
            </w:r>
          </w:p>
        </w:tc>
      </w:tr>
    </w:tbl>
    <w:p w14:paraId="514CBFB9" w14:textId="77777777" w:rsidR="000A2A7A" w:rsidRPr="00FD7B0B" w:rsidRDefault="000A2A7A" w:rsidP="000A2A7A">
      <w:pPr>
        <w:pStyle w:val="1a"/>
        <w:widowControl/>
        <w:spacing w:before="0" w:after="0" w:line="240" w:lineRule="auto"/>
        <w:ind w:firstLine="720"/>
        <w:rPr>
          <w:sz w:val="28"/>
          <w:szCs w:val="28"/>
        </w:rPr>
      </w:pPr>
    </w:p>
    <w:p w14:paraId="0863F4C7" w14:textId="72F78157"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Наибольший удельный вес в структуре указанных доходов занимают доходы от компенсации затрат государства – 350,7 млн.руб. или 98,5 % и значительные суммы получены главными администраторами доходов, представленными в таблице </w:t>
      </w:r>
      <w:r w:rsidR="0080327C" w:rsidRPr="00FD7B0B">
        <w:rPr>
          <w:sz w:val="28"/>
          <w:szCs w:val="28"/>
        </w:rPr>
        <w:t>41</w:t>
      </w:r>
      <w:r w:rsidRPr="00FD7B0B">
        <w:rPr>
          <w:sz w:val="28"/>
          <w:szCs w:val="28"/>
        </w:rPr>
        <w:t>.</w:t>
      </w:r>
    </w:p>
    <w:p w14:paraId="7DB21E3A" w14:textId="77777777" w:rsidR="000A2A7A" w:rsidRPr="00FD7B0B" w:rsidRDefault="000A2A7A" w:rsidP="000A2A7A">
      <w:pPr>
        <w:pStyle w:val="aff0"/>
        <w:spacing w:after="0" w:line="240" w:lineRule="auto"/>
        <w:rPr>
          <w:rFonts w:ascii="Times New Roman" w:hAnsi="Times New Roman"/>
          <w:b w:val="0"/>
          <w:sz w:val="24"/>
          <w:szCs w:val="24"/>
        </w:rPr>
      </w:pPr>
    </w:p>
    <w:p w14:paraId="353E9028"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41</w:t>
      </w:r>
      <w:r w:rsidRPr="00FD7B0B">
        <w:rPr>
          <w:rFonts w:ascii="Times New Roman" w:hAnsi="Times New Roman"/>
          <w:b w:val="0"/>
          <w:sz w:val="24"/>
          <w:szCs w:val="24"/>
        </w:rPr>
        <w:fldChar w:fldCharType="end"/>
      </w:r>
      <w:r w:rsidRPr="00FD7B0B">
        <w:rPr>
          <w:rFonts w:ascii="Times New Roman" w:hAnsi="Times New Roman"/>
          <w:b w:val="0"/>
          <w:sz w:val="24"/>
          <w:szCs w:val="24"/>
        </w:rPr>
        <w:t>. Поступление доходов от компенсации затрат государства за 2024 год, млн.руб.</w:t>
      </w:r>
    </w:p>
    <w:tbl>
      <w:tblPr>
        <w:tblW w:w="9883"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8080"/>
        <w:gridCol w:w="709"/>
        <w:gridCol w:w="1094"/>
      </w:tblGrid>
      <w:tr w:rsidR="00FD7B0B" w:rsidRPr="00FD7B0B" w14:paraId="6D5B0CCA" w14:textId="77777777" w:rsidTr="000A2A7A">
        <w:trPr>
          <w:trHeight w:val="384"/>
          <w:tblHeader/>
        </w:trPr>
        <w:tc>
          <w:tcPr>
            <w:tcW w:w="8080" w:type="dxa"/>
            <w:shd w:val="clear" w:color="auto" w:fill="auto"/>
            <w:vAlign w:val="center"/>
            <w:hideMark/>
          </w:tcPr>
          <w:p w14:paraId="3C2D1663"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Главный распорядитель / плательщик / основание</w:t>
            </w:r>
          </w:p>
        </w:tc>
        <w:tc>
          <w:tcPr>
            <w:tcW w:w="709" w:type="dxa"/>
            <w:shd w:val="clear" w:color="auto" w:fill="auto"/>
            <w:vAlign w:val="center"/>
            <w:hideMark/>
          </w:tcPr>
          <w:p w14:paraId="28C0B539" w14:textId="77777777" w:rsidR="000A2A7A" w:rsidRPr="00FD7B0B" w:rsidRDefault="000A2A7A" w:rsidP="000A2A7A">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Сумма</w:t>
            </w:r>
          </w:p>
        </w:tc>
        <w:tc>
          <w:tcPr>
            <w:tcW w:w="1094" w:type="dxa"/>
            <w:shd w:val="clear" w:color="auto" w:fill="auto"/>
            <w:vAlign w:val="center"/>
            <w:hideMark/>
          </w:tcPr>
          <w:p w14:paraId="03F51CB5" w14:textId="77777777" w:rsidR="000A2A7A" w:rsidRPr="00FD7B0B" w:rsidRDefault="000A2A7A" w:rsidP="000A2A7A">
            <w:pPr>
              <w:spacing w:after="0" w:line="240" w:lineRule="auto"/>
              <w:ind w:left="-109" w:right="-108"/>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к плану 2024 г.</w:t>
            </w:r>
          </w:p>
        </w:tc>
      </w:tr>
      <w:tr w:rsidR="00FD7B0B" w:rsidRPr="00FD7B0B" w14:paraId="2F2E1AB2" w14:textId="77777777" w:rsidTr="00266453">
        <w:trPr>
          <w:trHeight w:val="273"/>
        </w:trPr>
        <w:tc>
          <w:tcPr>
            <w:tcW w:w="8080" w:type="dxa"/>
            <w:shd w:val="clear" w:color="auto" w:fill="FFF2CC" w:themeFill="accent4" w:themeFillTint="33"/>
            <w:vAlign w:val="center"/>
            <w:hideMark/>
          </w:tcPr>
          <w:p w14:paraId="590694B2" w14:textId="77777777" w:rsidR="000A2A7A" w:rsidRPr="00FD7B0B" w:rsidRDefault="000A2A7A" w:rsidP="000A2A7A">
            <w:pPr>
              <w:spacing w:after="0" w:line="240" w:lineRule="auto"/>
              <w:rPr>
                <w:rFonts w:ascii="Times New Roman" w:eastAsia="Times New Roman" w:hAnsi="Times New Roman"/>
                <w:i/>
                <w:sz w:val="20"/>
                <w:szCs w:val="20"/>
                <w:lang w:eastAsia="ru-RU"/>
              </w:rPr>
            </w:pPr>
            <w:r w:rsidRPr="00FD7B0B">
              <w:rPr>
                <w:rFonts w:ascii="Times New Roman" w:eastAsia="Times New Roman" w:hAnsi="Times New Roman"/>
                <w:i/>
                <w:sz w:val="20"/>
                <w:szCs w:val="20"/>
                <w:lang w:eastAsia="ru-RU"/>
              </w:rPr>
              <w:t>Министерство топливно-энергетического комплекса и жилищно-коммунального хозяйства Архангельской области, всего:</w:t>
            </w:r>
          </w:p>
        </w:tc>
        <w:tc>
          <w:tcPr>
            <w:tcW w:w="709" w:type="dxa"/>
            <w:shd w:val="clear" w:color="auto" w:fill="FFF2CC" w:themeFill="accent4" w:themeFillTint="33"/>
          </w:tcPr>
          <w:p w14:paraId="6C835F7B"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45,3</w:t>
            </w:r>
          </w:p>
        </w:tc>
        <w:tc>
          <w:tcPr>
            <w:tcW w:w="1094" w:type="dxa"/>
            <w:shd w:val="clear" w:color="auto" w:fill="FFF2CC" w:themeFill="accent4" w:themeFillTint="33"/>
            <w:hideMark/>
          </w:tcPr>
          <w:p w14:paraId="06F2E454"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101,1</w:t>
            </w:r>
          </w:p>
        </w:tc>
      </w:tr>
      <w:tr w:rsidR="00FD7B0B" w:rsidRPr="00FD7B0B" w14:paraId="1E26F8D5" w14:textId="77777777" w:rsidTr="00266453">
        <w:trPr>
          <w:trHeight w:val="249"/>
        </w:trPr>
        <w:tc>
          <w:tcPr>
            <w:tcW w:w="8080" w:type="dxa"/>
            <w:shd w:val="clear" w:color="auto" w:fill="auto"/>
            <w:vAlign w:val="center"/>
            <w:hideMark/>
          </w:tcPr>
          <w:p w14:paraId="16C2F0A3"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возвраты от ресурсоснабжающих организаций и МО необоснованно полученных средств субсидий по результатам проверок и взыскание задолженности по ИЛ </w:t>
            </w:r>
          </w:p>
        </w:tc>
        <w:tc>
          <w:tcPr>
            <w:tcW w:w="709" w:type="dxa"/>
            <w:shd w:val="clear" w:color="auto" w:fill="auto"/>
          </w:tcPr>
          <w:p w14:paraId="4F966C1D"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45,3</w:t>
            </w:r>
          </w:p>
        </w:tc>
        <w:tc>
          <w:tcPr>
            <w:tcW w:w="1094" w:type="dxa"/>
            <w:shd w:val="clear" w:color="auto" w:fill="auto"/>
            <w:hideMark/>
          </w:tcPr>
          <w:p w14:paraId="58BE78A3"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02B07211" w14:textId="77777777" w:rsidTr="00266453">
        <w:trPr>
          <w:trHeight w:val="57"/>
        </w:trPr>
        <w:tc>
          <w:tcPr>
            <w:tcW w:w="8080" w:type="dxa"/>
            <w:shd w:val="clear" w:color="auto" w:fill="FFF2CC" w:themeFill="accent4" w:themeFillTint="33"/>
            <w:vAlign w:val="center"/>
            <w:hideMark/>
          </w:tcPr>
          <w:p w14:paraId="5824C145" w14:textId="77777777" w:rsidR="000A2A7A" w:rsidRPr="00FD7B0B" w:rsidRDefault="000A2A7A" w:rsidP="000A2A7A">
            <w:pPr>
              <w:spacing w:after="0" w:line="240" w:lineRule="auto"/>
              <w:rPr>
                <w:rFonts w:ascii="Times New Roman" w:eastAsia="Times New Roman" w:hAnsi="Times New Roman"/>
                <w:i/>
                <w:sz w:val="20"/>
                <w:szCs w:val="20"/>
                <w:lang w:eastAsia="ru-RU"/>
              </w:rPr>
            </w:pPr>
            <w:r w:rsidRPr="00FD7B0B">
              <w:rPr>
                <w:rFonts w:ascii="Times New Roman" w:eastAsia="Times New Roman" w:hAnsi="Times New Roman"/>
                <w:i/>
                <w:sz w:val="20"/>
                <w:szCs w:val="20"/>
                <w:lang w:eastAsia="ru-RU"/>
              </w:rPr>
              <w:t>Министерство труда, занятости и социального развития Архангельской области, всего:</w:t>
            </w:r>
          </w:p>
        </w:tc>
        <w:tc>
          <w:tcPr>
            <w:tcW w:w="709" w:type="dxa"/>
            <w:shd w:val="clear" w:color="auto" w:fill="FFF2CC" w:themeFill="accent4" w:themeFillTint="33"/>
            <w:hideMark/>
          </w:tcPr>
          <w:p w14:paraId="15174F42"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18,3</w:t>
            </w:r>
          </w:p>
        </w:tc>
        <w:tc>
          <w:tcPr>
            <w:tcW w:w="1094" w:type="dxa"/>
            <w:shd w:val="clear" w:color="auto" w:fill="FFF2CC" w:themeFill="accent4" w:themeFillTint="33"/>
            <w:hideMark/>
          </w:tcPr>
          <w:p w14:paraId="3A484CA0"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val="en-US" w:eastAsia="ru-RU"/>
              </w:rPr>
              <w:t>1</w:t>
            </w:r>
            <w:r w:rsidRPr="00FD7B0B">
              <w:rPr>
                <w:rFonts w:ascii="Times New Roman" w:eastAsia="Times New Roman" w:hAnsi="Times New Roman"/>
                <w:sz w:val="20"/>
                <w:szCs w:val="20"/>
                <w:lang w:eastAsia="ru-RU"/>
              </w:rPr>
              <w:t>19,</w:t>
            </w:r>
            <w:r w:rsidRPr="00FD7B0B">
              <w:rPr>
                <w:rFonts w:ascii="Times New Roman" w:eastAsia="Times New Roman" w:hAnsi="Times New Roman"/>
                <w:sz w:val="20"/>
                <w:szCs w:val="20"/>
                <w:lang w:val="en-US" w:eastAsia="ru-RU"/>
              </w:rPr>
              <w:t>6</w:t>
            </w:r>
          </w:p>
        </w:tc>
      </w:tr>
      <w:tr w:rsidR="00FD7B0B" w:rsidRPr="00FD7B0B" w14:paraId="2ED61EFB" w14:textId="77777777" w:rsidTr="00266453">
        <w:trPr>
          <w:trHeight w:val="80"/>
        </w:trPr>
        <w:tc>
          <w:tcPr>
            <w:tcW w:w="8080" w:type="dxa"/>
            <w:shd w:val="clear" w:color="auto" w:fill="auto"/>
            <w:vAlign w:val="center"/>
            <w:hideMark/>
          </w:tcPr>
          <w:p w14:paraId="4614A4C8"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из них:</w:t>
            </w:r>
          </w:p>
        </w:tc>
        <w:tc>
          <w:tcPr>
            <w:tcW w:w="709" w:type="dxa"/>
            <w:shd w:val="clear" w:color="auto" w:fill="auto"/>
            <w:hideMark/>
          </w:tcPr>
          <w:p w14:paraId="210265C0"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p>
        </w:tc>
        <w:tc>
          <w:tcPr>
            <w:tcW w:w="1094" w:type="dxa"/>
            <w:shd w:val="clear" w:color="auto" w:fill="auto"/>
            <w:hideMark/>
          </w:tcPr>
          <w:p w14:paraId="7406401A"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w:t>
            </w:r>
          </w:p>
        </w:tc>
      </w:tr>
      <w:tr w:rsidR="00FD7B0B" w:rsidRPr="00FD7B0B" w14:paraId="56BC95C9" w14:textId="77777777" w:rsidTr="00266453">
        <w:trPr>
          <w:trHeight w:val="107"/>
        </w:trPr>
        <w:tc>
          <w:tcPr>
            <w:tcW w:w="8080" w:type="dxa"/>
            <w:shd w:val="clear" w:color="auto" w:fill="auto"/>
            <w:vAlign w:val="center"/>
            <w:hideMark/>
          </w:tcPr>
          <w:p w14:paraId="676F4EA2"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возврат пособий, единовременных выплат и компенсаций отдельным категориям граждан</w:t>
            </w:r>
          </w:p>
        </w:tc>
        <w:tc>
          <w:tcPr>
            <w:tcW w:w="709" w:type="dxa"/>
            <w:shd w:val="clear" w:color="auto" w:fill="auto"/>
            <w:hideMark/>
          </w:tcPr>
          <w:p w14:paraId="342899AF"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13,7</w:t>
            </w:r>
          </w:p>
        </w:tc>
        <w:tc>
          <w:tcPr>
            <w:tcW w:w="1094" w:type="dxa"/>
            <w:shd w:val="clear" w:color="auto" w:fill="auto"/>
            <w:hideMark/>
          </w:tcPr>
          <w:p w14:paraId="149C9995"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6A5FD1C4" w14:textId="77777777" w:rsidTr="00266453">
        <w:trPr>
          <w:trHeight w:val="208"/>
        </w:trPr>
        <w:tc>
          <w:tcPr>
            <w:tcW w:w="8080" w:type="dxa"/>
            <w:shd w:val="clear" w:color="auto" w:fill="auto"/>
            <w:vAlign w:val="center"/>
            <w:hideMark/>
          </w:tcPr>
          <w:p w14:paraId="77FA2518"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возврат неиспользованных остатков средств прошлых лет на приобретение или строительство жилья ветеранам, инвалидам ВОВ </w:t>
            </w:r>
          </w:p>
        </w:tc>
        <w:tc>
          <w:tcPr>
            <w:tcW w:w="709" w:type="dxa"/>
            <w:shd w:val="clear" w:color="auto" w:fill="auto"/>
          </w:tcPr>
          <w:p w14:paraId="526E03DA"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2,8</w:t>
            </w:r>
          </w:p>
        </w:tc>
        <w:tc>
          <w:tcPr>
            <w:tcW w:w="1094" w:type="dxa"/>
            <w:shd w:val="clear" w:color="auto" w:fill="auto"/>
            <w:hideMark/>
          </w:tcPr>
          <w:p w14:paraId="61969F08"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777979AB" w14:textId="77777777" w:rsidTr="00266453">
        <w:trPr>
          <w:trHeight w:val="146"/>
        </w:trPr>
        <w:tc>
          <w:tcPr>
            <w:tcW w:w="8080" w:type="dxa"/>
            <w:shd w:val="clear" w:color="auto" w:fill="FFF2CC" w:themeFill="accent4" w:themeFillTint="33"/>
            <w:vAlign w:val="center"/>
            <w:hideMark/>
          </w:tcPr>
          <w:p w14:paraId="78FF4090" w14:textId="77777777" w:rsidR="000A2A7A" w:rsidRPr="00FD7B0B" w:rsidRDefault="000A2A7A" w:rsidP="000B5DF0">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i/>
                <w:sz w:val="20"/>
                <w:szCs w:val="20"/>
                <w:lang w:eastAsia="ru-RU"/>
              </w:rPr>
              <w:lastRenderedPageBreak/>
              <w:t>Министерство здравоохранения Архангельской области, всего</w:t>
            </w:r>
            <w:r w:rsidRPr="00FD7B0B">
              <w:rPr>
                <w:rFonts w:ascii="Times New Roman" w:eastAsia="Times New Roman" w:hAnsi="Times New Roman"/>
                <w:sz w:val="20"/>
                <w:szCs w:val="20"/>
                <w:lang w:eastAsia="ru-RU"/>
              </w:rPr>
              <w:t>:</w:t>
            </w:r>
          </w:p>
        </w:tc>
        <w:tc>
          <w:tcPr>
            <w:tcW w:w="709" w:type="dxa"/>
            <w:shd w:val="clear" w:color="auto" w:fill="FFF2CC" w:themeFill="accent4" w:themeFillTint="33"/>
            <w:hideMark/>
          </w:tcPr>
          <w:p w14:paraId="735CD7E2"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59,7</w:t>
            </w:r>
          </w:p>
        </w:tc>
        <w:tc>
          <w:tcPr>
            <w:tcW w:w="1094" w:type="dxa"/>
            <w:shd w:val="clear" w:color="auto" w:fill="FFF2CC" w:themeFill="accent4" w:themeFillTint="33"/>
            <w:hideMark/>
          </w:tcPr>
          <w:p w14:paraId="4BD2F7CE"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 2,5 раза</w:t>
            </w:r>
          </w:p>
        </w:tc>
      </w:tr>
      <w:tr w:rsidR="00FD7B0B" w:rsidRPr="00FD7B0B" w14:paraId="7AF67B62" w14:textId="77777777" w:rsidTr="00266453">
        <w:trPr>
          <w:trHeight w:val="84"/>
        </w:trPr>
        <w:tc>
          <w:tcPr>
            <w:tcW w:w="8080" w:type="dxa"/>
            <w:shd w:val="clear" w:color="auto" w:fill="auto"/>
            <w:vAlign w:val="center"/>
            <w:hideMark/>
          </w:tcPr>
          <w:p w14:paraId="0A3D7B2D"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из них:</w:t>
            </w:r>
          </w:p>
        </w:tc>
        <w:tc>
          <w:tcPr>
            <w:tcW w:w="709" w:type="dxa"/>
            <w:shd w:val="clear" w:color="auto" w:fill="auto"/>
            <w:hideMark/>
          </w:tcPr>
          <w:p w14:paraId="73AB301B"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p>
        </w:tc>
        <w:tc>
          <w:tcPr>
            <w:tcW w:w="1094" w:type="dxa"/>
            <w:shd w:val="clear" w:color="auto" w:fill="auto"/>
            <w:hideMark/>
          </w:tcPr>
          <w:p w14:paraId="096175F2"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w:t>
            </w:r>
          </w:p>
        </w:tc>
      </w:tr>
      <w:tr w:rsidR="00FD7B0B" w:rsidRPr="00FD7B0B" w14:paraId="741243AF" w14:textId="77777777" w:rsidTr="00266453">
        <w:trPr>
          <w:trHeight w:val="423"/>
        </w:trPr>
        <w:tc>
          <w:tcPr>
            <w:tcW w:w="8080" w:type="dxa"/>
            <w:shd w:val="clear" w:color="auto" w:fill="auto"/>
            <w:vAlign w:val="center"/>
            <w:hideMark/>
          </w:tcPr>
          <w:p w14:paraId="427DEE3F"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возврат единовременных компенсационных выплат отдельными категориями медработников, переехавших на работу в сельские населенные пункты, рабочие поселки (за 2013 – 2022 гг.)</w:t>
            </w:r>
          </w:p>
        </w:tc>
        <w:tc>
          <w:tcPr>
            <w:tcW w:w="709" w:type="dxa"/>
            <w:shd w:val="clear" w:color="auto" w:fill="auto"/>
            <w:hideMark/>
          </w:tcPr>
          <w:p w14:paraId="7429BEED"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25,2</w:t>
            </w:r>
          </w:p>
        </w:tc>
        <w:tc>
          <w:tcPr>
            <w:tcW w:w="1094" w:type="dxa"/>
            <w:shd w:val="clear" w:color="auto" w:fill="auto"/>
            <w:hideMark/>
          </w:tcPr>
          <w:p w14:paraId="008E745A"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22CE387A" w14:textId="77777777" w:rsidTr="00266453">
        <w:trPr>
          <w:trHeight w:val="183"/>
        </w:trPr>
        <w:tc>
          <w:tcPr>
            <w:tcW w:w="8080" w:type="dxa"/>
            <w:shd w:val="clear" w:color="auto" w:fill="auto"/>
            <w:vAlign w:val="center"/>
            <w:hideMark/>
          </w:tcPr>
          <w:p w14:paraId="7BBB8A1B"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возврат дебиторской задолженности</w:t>
            </w:r>
          </w:p>
        </w:tc>
        <w:tc>
          <w:tcPr>
            <w:tcW w:w="709" w:type="dxa"/>
            <w:shd w:val="clear" w:color="auto" w:fill="auto"/>
            <w:hideMark/>
          </w:tcPr>
          <w:p w14:paraId="64AE2B03"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3,1</w:t>
            </w:r>
          </w:p>
        </w:tc>
        <w:tc>
          <w:tcPr>
            <w:tcW w:w="1094" w:type="dxa"/>
            <w:shd w:val="clear" w:color="auto" w:fill="auto"/>
            <w:hideMark/>
          </w:tcPr>
          <w:p w14:paraId="08B50003"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7EFFBEAA" w14:textId="77777777" w:rsidTr="00266453">
        <w:trPr>
          <w:trHeight w:val="109"/>
        </w:trPr>
        <w:tc>
          <w:tcPr>
            <w:tcW w:w="8080" w:type="dxa"/>
            <w:shd w:val="clear" w:color="auto" w:fill="FFF2CC" w:themeFill="accent4" w:themeFillTint="33"/>
            <w:vAlign w:val="center"/>
          </w:tcPr>
          <w:p w14:paraId="19917BC1" w14:textId="77777777" w:rsidR="000A2A7A" w:rsidRPr="00FD7B0B" w:rsidRDefault="000A2A7A" w:rsidP="000A2A7A">
            <w:pPr>
              <w:spacing w:after="0" w:line="240" w:lineRule="auto"/>
              <w:rPr>
                <w:rFonts w:ascii="Times New Roman" w:eastAsia="Times New Roman" w:hAnsi="Times New Roman"/>
                <w:i/>
                <w:sz w:val="20"/>
                <w:szCs w:val="20"/>
                <w:lang w:eastAsia="ru-RU"/>
              </w:rPr>
            </w:pPr>
            <w:r w:rsidRPr="00FD7B0B">
              <w:rPr>
                <w:rFonts w:ascii="Times New Roman" w:eastAsia="Times New Roman" w:hAnsi="Times New Roman"/>
                <w:i/>
                <w:sz w:val="20"/>
                <w:szCs w:val="20"/>
                <w:lang w:eastAsia="ru-RU"/>
              </w:rPr>
              <w:t>Министерство агропромышленного комплекса и торговли Архангельской области, всего</w:t>
            </w:r>
          </w:p>
        </w:tc>
        <w:tc>
          <w:tcPr>
            <w:tcW w:w="709" w:type="dxa"/>
            <w:shd w:val="clear" w:color="auto" w:fill="FFF2CC" w:themeFill="accent4" w:themeFillTint="33"/>
          </w:tcPr>
          <w:p w14:paraId="7D456B35"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7,7</w:t>
            </w:r>
          </w:p>
        </w:tc>
        <w:tc>
          <w:tcPr>
            <w:tcW w:w="1094" w:type="dxa"/>
            <w:shd w:val="clear" w:color="auto" w:fill="FFF2CC" w:themeFill="accent4" w:themeFillTint="33"/>
          </w:tcPr>
          <w:p w14:paraId="6B2ED71F"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в 1,9 раза </w:t>
            </w:r>
          </w:p>
        </w:tc>
      </w:tr>
      <w:tr w:rsidR="00FD7B0B" w:rsidRPr="00FD7B0B" w14:paraId="7A6EDA3C" w14:textId="77777777" w:rsidTr="00266453">
        <w:trPr>
          <w:trHeight w:val="258"/>
        </w:trPr>
        <w:tc>
          <w:tcPr>
            <w:tcW w:w="8080" w:type="dxa"/>
            <w:shd w:val="clear" w:color="auto" w:fill="auto"/>
            <w:vAlign w:val="center"/>
          </w:tcPr>
          <w:p w14:paraId="34426A15"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возврат субсидий (грантов) прошлых лет от сельхозтоваропроизводителей в добровольном порядке, а также по исполнительным листам</w:t>
            </w:r>
          </w:p>
        </w:tc>
        <w:tc>
          <w:tcPr>
            <w:tcW w:w="709" w:type="dxa"/>
            <w:shd w:val="clear" w:color="auto" w:fill="auto"/>
          </w:tcPr>
          <w:p w14:paraId="72EC77E0"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7,7</w:t>
            </w:r>
          </w:p>
        </w:tc>
        <w:tc>
          <w:tcPr>
            <w:tcW w:w="1094" w:type="dxa"/>
            <w:shd w:val="clear" w:color="auto" w:fill="auto"/>
          </w:tcPr>
          <w:p w14:paraId="74BFBAD1"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p>
        </w:tc>
      </w:tr>
      <w:tr w:rsidR="00FD7B0B" w:rsidRPr="00FD7B0B" w14:paraId="65E98206" w14:textId="77777777" w:rsidTr="00266453">
        <w:trPr>
          <w:trHeight w:val="169"/>
        </w:trPr>
        <w:tc>
          <w:tcPr>
            <w:tcW w:w="8080" w:type="dxa"/>
            <w:shd w:val="clear" w:color="auto" w:fill="FFF2CC" w:themeFill="accent4" w:themeFillTint="33"/>
            <w:vAlign w:val="center"/>
            <w:hideMark/>
          </w:tcPr>
          <w:p w14:paraId="09B728CF" w14:textId="77777777" w:rsidR="000A2A7A" w:rsidRPr="00FD7B0B" w:rsidRDefault="000A2A7A" w:rsidP="000A2A7A">
            <w:pPr>
              <w:spacing w:after="0" w:line="240" w:lineRule="auto"/>
              <w:rPr>
                <w:rFonts w:ascii="Times New Roman" w:eastAsia="Times New Roman" w:hAnsi="Times New Roman"/>
                <w:i/>
                <w:sz w:val="20"/>
                <w:szCs w:val="20"/>
                <w:lang w:eastAsia="ru-RU"/>
              </w:rPr>
            </w:pPr>
            <w:r w:rsidRPr="00FD7B0B">
              <w:rPr>
                <w:rFonts w:ascii="Times New Roman" w:eastAsia="Times New Roman" w:hAnsi="Times New Roman"/>
                <w:i/>
                <w:sz w:val="20"/>
                <w:szCs w:val="20"/>
                <w:lang w:eastAsia="ru-RU"/>
              </w:rPr>
              <w:t>Министерство строительства и архитектуры Архангельской области, всего</w:t>
            </w:r>
          </w:p>
        </w:tc>
        <w:tc>
          <w:tcPr>
            <w:tcW w:w="709" w:type="dxa"/>
            <w:shd w:val="clear" w:color="auto" w:fill="FFF2CC" w:themeFill="accent4" w:themeFillTint="33"/>
            <w:hideMark/>
          </w:tcPr>
          <w:p w14:paraId="52A54E29"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195,0</w:t>
            </w:r>
          </w:p>
        </w:tc>
        <w:tc>
          <w:tcPr>
            <w:tcW w:w="1094" w:type="dxa"/>
            <w:shd w:val="clear" w:color="auto" w:fill="FFF2CC" w:themeFill="accent4" w:themeFillTint="33"/>
            <w:hideMark/>
          </w:tcPr>
          <w:p w14:paraId="2AB4673E"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 4,4 раза</w:t>
            </w:r>
          </w:p>
        </w:tc>
      </w:tr>
      <w:tr w:rsidR="00FD7B0B" w:rsidRPr="00FD7B0B" w14:paraId="02FB04F2" w14:textId="77777777" w:rsidTr="00266453">
        <w:trPr>
          <w:trHeight w:val="56"/>
        </w:trPr>
        <w:tc>
          <w:tcPr>
            <w:tcW w:w="8080" w:type="dxa"/>
            <w:shd w:val="clear" w:color="auto" w:fill="auto"/>
            <w:vAlign w:val="center"/>
            <w:hideMark/>
          </w:tcPr>
          <w:p w14:paraId="4A2E0B7A"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из них:</w:t>
            </w:r>
          </w:p>
        </w:tc>
        <w:tc>
          <w:tcPr>
            <w:tcW w:w="709" w:type="dxa"/>
            <w:shd w:val="clear" w:color="auto" w:fill="auto"/>
          </w:tcPr>
          <w:p w14:paraId="637B255A"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p>
        </w:tc>
        <w:tc>
          <w:tcPr>
            <w:tcW w:w="1094" w:type="dxa"/>
            <w:shd w:val="clear" w:color="auto" w:fill="auto"/>
          </w:tcPr>
          <w:p w14:paraId="0654EC54"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p>
        </w:tc>
      </w:tr>
      <w:tr w:rsidR="00FD7B0B" w:rsidRPr="00FD7B0B" w14:paraId="44141632" w14:textId="77777777" w:rsidTr="00266453">
        <w:trPr>
          <w:trHeight w:val="902"/>
        </w:trPr>
        <w:tc>
          <w:tcPr>
            <w:tcW w:w="8080" w:type="dxa"/>
            <w:shd w:val="clear" w:color="auto" w:fill="auto"/>
            <w:vAlign w:val="bottom"/>
            <w:hideMark/>
          </w:tcPr>
          <w:p w14:paraId="72F974C1"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ООО «СУОР» – Погашение кредиторской задолженности 4 оч. РТК по определению суда по делу №А79-14561/2017 от 15.08.2022 по мировому соглашению от 04.07.2022 (неотработанный аванс), (Два многоквартирных дома в рамках мероприятия областной адресной инвестиционной программы Архангельской области 2016 г. (ГК № 0124200000616003150_246648 от 12.07.2016 - пр. Московский 55, корп.2, корп.3), 300-квартирный дом пр. Московский в рамках мероприятия ОАИП 2016г. (ГКот19.07.2016 № 0124200000616003199_246648-пр. Московский 55, к.4), многоквартирный дом в рамках мероприятия ОАИП 2016г. (ГК от 20.07.2016 №0124200000616003249_246648 - МКД по ул. Карпогорской)</w:t>
            </w:r>
          </w:p>
        </w:tc>
        <w:tc>
          <w:tcPr>
            <w:tcW w:w="709" w:type="dxa"/>
            <w:shd w:val="clear" w:color="auto" w:fill="auto"/>
            <w:hideMark/>
          </w:tcPr>
          <w:p w14:paraId="6700FCD6"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17,5</w:t>
            </w:r>
          </w:p>
        </w:tc>
        <w:tc>
          <w:tcPr>
            <w:tcW w:w="1094" w:type="dxa"/>
            <w:shd w:val="clear" w:color="auto" w:fill="auto"/>
            <w:hideMark/>
          </w:tcPr>
          <w:p w14:paraId="2BF07DBA"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5C165B66" w14:textId="77777777" w:rsidTr="00266453">
        <w:trPr>
          <w:trHeight w:val="555"/>
        </w:trPr>
        <w:tc>
          <w:tcPr>
            <w:tcW w:w="8080" w:type="dxa"/>
            <w:shd w:val="clear" w:color="auto" w:fill="auto"/>
            <w:vAlign w:val="bottom"/>
            <w:hideMark/>
          </w:tcPr>
          <w:p w14:paraId="51A45CE5"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ООО «Белый дом» – частичное погашение задолженности</w:t>
            </w:r>
          </w:p>
          <w:p w14:paraId="298CAA24"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4,2– ИД ФС 041292847 от 19.02.2024; ИП 117107/24/29023-ИП; (Многоквартирный дом в п. Шипицыно Котласского района, расторжение контракта). Решением суда от 28.12.2023 по делу № А05-11651/2023 взыскан неотработанный аванс, проценты, неустойки, штраф;</w:t>
            </w:r>
          </w:p>
          <w:p w14:paraId="1467DE9A"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2) 8,9 – по ГК рег. №000860205619Q400002420017/0124200000620006978 от 14.12.20г. по КС-2 №29 от 20.12.22, № 11от 04.04.22 (здание бол. в п. Соловецкий) </w:t>
            </w:r>
          </w:p>
        </w:tc>
        <w:tc>
          <w:tcPr>
            <w:tcW w:w="709" w:type="dxa"/>
            <w:shd w:val="clear" w:color="auto" w:fill="auto"/>
            <w:hideMark/>
          </w:tcPr>
          <w:p w14:paraId="6FD38446"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15,9</w:t>
            </w:r>
          </w:p>
        </w:tc>
        <w:tc>
          <w:tcPr>
            <w:tcW w:w="1094" w:type="dxa"/>
            <w:shd w:val="clear" w:color="auto" w:fill="auto"/>
            <w:hideMark/>
          </w:tcPr>
          <w:p w14:paraId="20865277"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46A43DFD" w14:textId="77777777" w:rsidTr="00266453">
        <w:trPr>
          <w:trHeight w:val="555"/>
        </w:trPr>
        <w:tc>
          <w:tcPr>
            <w:tcW w:w="8080" w:type="dxa"/>
            <w:shd w:val="clear" w:color="auto" w:fill="auto"/>
            <w:vAlign w:val="bottom"/>
          </w:tcPr>
          <w:p w14:paraId="60BD2C6C"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ООО АСК – Возвраты сумм излишне перечисленных авансов: </w:t>
            </w:r>
          </w:p>
          <w:p w14:paraId="545E194E"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-ГК 0124200000622002245 от 24.05.2022 ИГК 000F322901131041220000290; </w:t>
            </w:r>
          </w:p>
          <w:p w14:paraId="38FD98A8" w14:textId="77777777" w:rsidR="000A2A7A" w:rsidRPr="00FD7B0B" w:rsidRDefault="000A2A7A" w:rsidP="000A2A7A">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-ГК 0124200000623000898 от 30.03.2023 ИГК000F322901131041230000110// (712Ю7041001;7661)</w:t>
            </w:r>
          </w:p>
        </w:tc>
        <w:tc>
          <w:tcPr>
            <w:tcW w:w="709" w:type="dxa"/>
            <w:shd w:val="clear" w:color="auto" w:fill="auto"/>
          </w:tcPr>
          <w:p w14:paraId="73D63E45"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7,2</w:t>
            </w:r>
          </w:p>
        </w:tc>
        <w:tc>
          <w:tcPr>
            <w:tcW w:w="1094" w:type="dxa"/>
            <w:shd w:val="clear" w:color="auto" w:fill="auto"/>
          </w:tcPr>
          <w:p w14:paraId="7D1FC3B7"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26A30D8A" w14:textId="77777777" w:rsidTr="00266453">
        <w:trPr>
          <w:trHeight w:val="681"/>
        </w:trPr>
        <w:tc>
          <w:tcPr>
            <w:tcW w:w="8080" w:type="dxa"/>
            <w:shd w:val="clear" w:color="auto" w:fill="auto"/>
            <w:vAlign w:val="bottom"/>
          </w:tcPr>
          <w:p w14:paraId="1A4046EB" w14:textId="77777777" w:rsidR="000A2A7A" w:rsidRPr="00FD7B0B" w:rsidRDefault="000A2A7A" w:rsidP="000A2A7A">
            <w:pPr>
              <w:spacing w:after="0" w:line="240" w:lineRule="auto"/>
              <w:rPr>
                <w:rFonts w:ascii="Times New Roman" w:eastAsia="Times New Roman" w:hAnsi="Times New Roman"/>
                <w:sz w:val="20"/>
                <w:szCs w:val="20"/>
                <w:shd w:val="clear" w:color="auto" w:fill="FFFFFF"/>
              </w:rPr>
            </w:pPr>
            <w:r w:rsidRPr="00FD7B0B">
              <w:rPr>
                <w:rFonts w:ascii="Times New Roman" w:eastAsia="Times New Roman" w:hAnsi="Times New Roman"/>
                <w:sz w:val="20"/>
                <w:szCs w:val="20"/>
                <w:shd w:val="clear" w:color="auto" w:fill="FFFFFF"/>
              </w:rPr>
              <w:t>Возврат средств в ФБ в связи с расторжением соглашений о предоставлении субсидии от 24.12.2021 № 073-09-2022-609, от 25.12.2022 г. № 073-09-2023-206 (школа на 240 м. в п. Оксово)</w:t>
            </w:r>
          </w:p>
        </w:tc>
        <w:tc>
          <w:tcPr>
            <w:tcW w:w="709" w:type="dxa"/>
            <w:shd w:val="clear" w:color="auto" w:fill="auto"/>
          </w:tcPr>
          <w:p w14:paraId="2EED6031"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137,5</w:t>
            </w:r>
          </w:p>
        </w:tc>
        <w:tc>
          <w:tcPr>
            <w:tcW w:w="1094" w:type="dxa"/>
            <w:shd w:val="clear" w:color="auto" w:fill="auto"/>
          </w:tcPr>
          <w:p w14:paraId="639001D4" w14:textId="77777777" w:rsidR="000A2A7A" w:rsidRPr="00FD7B0B" w:rsidRDefault="000A2A7A" w:rsidP="00266453">
            <w:pPr>
              <w:spacing w:after="0" w:line="240" w:lineRule="auto"/>
              <w:jc w:val="right"/>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bl>
    <w:p w14:paraId="584B33B5" w14:textId="77777777" w:rsidR="000A2A7A" w:rsidRPr="00FD7B0B" w:rsidRDefault="000A2A7A" w:rsidP="000A2A7A">
      <w:pPr>
        <w:pStyle w:val="1a"/>
        <w:widowControl/>
        <w:spacing w:before="0" w:after="0" w:line="240" w:lineRule="auto"/>
        <w:ind w:firstLine="720"/>
        <w:rPr>
          <w:sz w:val="28"/>
          <w:szCs w:val="28"/>
        </w:rPr>
      </w:pPr>
    </w:p>
    <w:p w14:paraId="580B9905"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В силу того, что указанные поступления не имеют постоянного характера, однозначно спрогнозировать ожидаемый объем невозможно.</w:t>
      </w:r>
    </w:p>
    <w:p w14:paraId="540BBCFC" w14:textId="77777777" w:rsidR="00555B85" w:rsidRPr="00FD7B0B" w:rsidRDefault="00555B85" w:rsidP="000A2A7A">
      <w:pPr>
        <w:pStyle w:val="1a"/>
        <w:widowControl/>
        <w:spacing w:before="0" w:after="0" w:line="240" w:lineRule="auto"/>
        <w:ind w:firstLine="720"/>
        <w:rPr>
          <w:sz w:val="28"/>
          <w:szCs w:val="28"/>
        </w:rPr>
      </w:pPr>
    </w:p>
    <w:p w14:paraId="4FFA2EBB"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11. В отчетном году поступление </w:t>
      </w:r>
      <w:r w:rsidRPr="00FD7B0B">
        <w:rPr>
          <w:sz w:val="28"/>
          <w:szCs w:val="28"/>
          <w:u w:val="single"/>
        </w:rPr>
        <w:t>штрафов, санкций, возмещений ущерба</w:t>
      </w:r>
      <w:r w:rsidRPr="00FD7B0B">
        <w:rPr>
          <w:sz w:val="28"/>
          <w:szCs w:val="28"/>
        </w:rPr>
        <w:t xml:space="preserve"> в областной бюджет (далее – штрафы) составило 1 126,7 млн.руб. или 126,7 % показателей годового кассового плана 2024 года (889,3 млн.руб.). За 2024 год в областной бюджет получено штрафов больше на 396,4 млн.руб. или в 1,5 раза по сравнению с поступлением в 2023 году.</w:t>
      </w:r>
    </w:p>
    <w:p w14:paraId="4BDF9493"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С учетом сложившейся динамики план поступления штрафов увеличен в сентябре на 118,0 млн.руб. (областной закон от 26.09.2024 № 126-10-ОЗ), из них:</w:t>
      </w:r>
    </w:p>
    <w:p w14:paraId="5B53A0AB"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1) штрафы, неустойки, пени, уплаченные в соответствии с законом или договором в случае неисполнения или ненадлежащего исполнения обязательств перед государственным (муниципальным) органом… иной организацией, действующей от имени РФ – 54,9 млн.руб., что в результате составляет 74,9 млн.руб.;</w:t>
      </w:r>
    </w:p>
    <w:p w14:paraId="3247B516"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2) платежи в целях возмещения причиненного ущерба (убытков) – на 18,3 млн.руб., что в результате составляет 18,8 млн.руб.;</w:t>
      </w:r>
    </w:p>
    <w:p w14:paraId="03FAD53A"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lastRenderedPageBreak/>
        <w:t>3) доходам от сумм пеней, предусмотренных законодательством РФ о налогах и сборах, подлежащих зачислению в бюджеты субъектов РФ по нормативу, установленному БК РФ, распределяемые Федеральным казначейством между бюджетами субъектов РФ в соответствии с Федеральным законом о федеральном бюджете – на 44,7 млн.руб., что в результате составляет 326,7 млн.руб.</w:t>
      </w:r>
    </w:p>
    <w:p w14:paraId="48D2C971" w14:textId="57FA09F2" w:rsidR="000A2A7A" w:rsidRPr="00FD7B0B" w:rsidRDefault="000A2A7A" w:rsidP="000A2A7A">
      <w:pPr>
        <w:pStyle w:val="1a"/>
        <w:widowControl/>
        <w:spacing w:before="0" w:after="0" w:line="240" w:lineRule="auto"/>
        <w:ind w:firstLine="720"/>
        <w:rPr>
          <w:sz w:val="28"/>
          <w:szCs w:val="28"/>
        </w:rPr>
      </w:pPr>
      <w:r w:rsidRPr="00FD7B0B">
        <w:rPr>
          <w:sz w:val="28"/>
          <w:szCs w:val="28"/>
        </w:rPr>
        <w:t>Объем штрафов, поступивших в 2024 году, обеспечен значительными суммами доходов от сумм пеней, предусмотренных законодательством РФ о налогах и сборах, подлежащих зачислению в бюджеты субъектов РФ по нормативу, установленному БК РФ, распределяемых Федеральным казначейством между бюджетами субъектов РФ в соответствии с Федеральным законом о федеральном бюджете (523,8 млн.руб. или 46,5 % – доля в общей сумме штрафов) и штрафами за административные правонарушения в области дорожного движения (381,8 млн.руб. или 33,9 %), что представлено в таблице</w:t>
      </w:r>
      <w:r w:rsidR="0080327C" w:rsidRPr="00FD7B0B">
        <w:rPr>
          <w:sz w:val="28"/>
          <w:szCs w:val="28"/>
        </w:rPr>
        <w:t> 42</w:t>
      </w:r>
      <w:r w:rsidRPr="00FD7B0B">
        <w:rPr>
          <w:sz w:val="28"/>
          <w:szCs w:val="28"/>
        </w:rPr>
        <w:t>.</w:t>
      </w:r>
    </w:p>
    <w:p w14:paraId="5986D6CE" w14:textId="77777777" w:rsidR="000A2A7A" w:rsidRPr="00FD7B0B" w:rsidRDefault="000A2A7A" w:rsidP="000A2A7A">
      <w:pPr>
        <w:pStyle w:val="aff0"/>
        <w:spacing w:after="0" w:line="240" w:lineRule="auto"/>
        <w:rPr>
          <w:rFonts w:ascii="Times New Roman" w:hAnsi="Times New Roman"/>
          <w:b w:val="0"/>
          <w:sz w:val="24"/>
          <w:szCs w:val="24"/>
        </w:rPr>
      </w:pPr>
    </w:p>
    <w:p w14:paraId="24EB861D"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42</w:t>
      </w:r>
      <w:r w:rsidRPr="00FD7B0B">
        <w:rPr>
          <w:rFonts w:ascii="Times New Roman" w:hAnsi="Times New Roman"/>
          <w:b w:val="0"/>
          <w:sz w:val="24"/>
          <w:szCs w:val="24"/>
        </w:rPr>
        <w:fldChar w:fldCharType="end"/>
      </w:r>
      <w:r w:rsidRPr="00FD7B0B">
        <w:rPr>
          <w:rFonts w:ascii="Times New Roman" w:hAnsi="Times New Roman"/>
          <w:b w:val="0"/>
          <w:sz w:val="24"/>
          <w:szCs w:val="24"/>
        </w:rPr>
        <w:t>. Поступление штрафов по видам правонарушений в 2024 году, млн.руб.</w:t>
      </w:r>
    </w:p>
    <w:tbl>
      <w:tblPr>
        <w:tblW w:w="9944"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6804"/>
        <w:gridCol w:w="917"/>
        <w:gridCol w:w="917"/>
        <w:gridCol w:w="10"/>
        <w:gridCol w:w="1296"/>
      </w:tblGrid>
      <w:tr w:rsidR="00FD7B0B" w:rsidRPr="00FD7B0B" w14:paraId="3DA61FC8" w14:textId="77777777" w:rsidTr="000A2A7A">
        <w:trPr>
          <w:trHeight w:val="63"/>
          <w:tblHeader/>
        </w:trPr>
        <w:tc>
          <w:tcPr>
            <w:tcW w:w="6804" w:type="dxa"/>
            <w:vMerge w:val="restart"/>
            <w:shd w:val="clear" w:color="auto" w:fill="auto"/>
            <w:vAlign w:val="center"/>
            <w:hideMark/>
          </w:tcPr>
          <w:p w14:paraId="7A84C1E0"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Показатель</w:t>
            </w:r>
          </w:p>
        </w:tc>
        <w:tc>
          <w:tcPr>
            <w:tcW w:w="917" w:type="dxa"/>
            <w:shd w:val="clear" w:color="auto" w:fill="auto"/>
            <w:noWrap/>
            <w:vAlign w:val="center"/>
            <w:hideMark/>
          </w:tcPr>
          <w:p w14:paraId="520EA92F"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План 2024 г.</w:t>
            </w:r>
          </w:p>
        </w:tc>
        <w:tc>
          <w:tcPr>
            <w:tcW w:w="927" w:type="dxa"/>
            <w:gridSpan w:val="2"/>
            <w:shd w:val="clear" w:color="auto" w:fill="auto"/>
            <w:vAlign w:val="center"/>
          </w:tcPr>
          <w:p w14:paraId="177D3ED4"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Факт 2024 г.</w:t>
            </w:r>
          </w:p>
        </w:tc>
        <w:tc>
          <w:tcPr>
            <w:tcW w:w="1296" w:type="dxa"/>
          </w:tcPr>
          <w:p w14:paraId="3ADFFAD2" w14:textId="77777777" w:rsidR="000A2A7A" w:rsidRPr="00FD7B0B" w:rsidRDefault="000A2A7A" w:rsidP="000A2A7A">
            <w:pPr>
              <w:spacing w:after="0" w:line="240" w:lineRule="auto"/>
              <w:ind w:left="-108" w:right="-132"/>
              <w:jc w:val="center"/>
              <w:rPr>
                <w:rFonts w:ascii="Times New Roman" w:eastAsia="Times New Roman" w:hAnsi="Times New Roman"/>
                <w:lang w:eastAsia="ru-RU"/>
              </w:rPr>
            </w:pPr>
            <w:r w:rsidRPr="00FD7B0B">
              <w:rPr>
                <w:rFonts w:ascii="Times New Roman" w:eastAsia="Times New Roman" w:hAnsi="Times New Roman"/>
                <w:lang w:eastAsia="ru-RU"/>
              </w:rPr>
              <w:t xml:space="preserve">Факт 2024 г/к плану 2024 г </w:t>
            </w:r>
          </w:p>
        </w:tc>
      </w:tr>
      <w:tr w:rsidR="00FD7B0B" w:rsidRPr="00FD7B0B" w14:paraId="7AF67AFB" w14:textId="77777777" w:rsidTr="000A2A7A">
        <w:trPr>
          <w:trHeight w:val="126"/>
          <w:tblHeader/>
        </w:trPr>
        <w:tc>
          <w:tcPr>
            <w:tcW w:w="6804" w:type="dxa"/>
            <w:vMerge/>
            <w:shd w:val="clear" w:color="auto" w:fill="auto"/>
            <w:vAlign w:val="center"/>
            <w:hideMark/>
          </w:tcPr>
          <w:p w14:paraId="291E1F2A" w14:textId="77777777" w:rsidR="000A2A7A" w:rsidRPr="00FD7B0B" w:rsidRDefault="000A2A7A" w:rsidP="000A2A7A">
            <w:pPr>
              <w:spacing w:after="0" w:line="240" w:lineRule="auto"/>
              <w:rPr>
                <w:rFonts w:ascii="Times New Roman" w:eastAsia="Times New Roman" w:hAnsi="Times New Roman"/>
                <w:lang w:eastAsia="ru-RU"/>
              </w:rPr>
            </w:pPr>
          </w:p>
        </w:tc>
        <w:tc>
          <w:tcPr>
            <w:tcW w:w="917" w:type="dxa"/>
            <w:shd w:val="clear" w:color="auto" w:fill="auto"/>
            <w:vAlign w:val="center"/>
          </w:tcPr>
          <w:p w14:paraId="039E4A21" w14:textId="77777777" w:rsidR="000A2A7A" w:rsidRPr="00FD7B0B" w:rsidRDefault="000A2A7A" w:rsidP="000A2A7A">
            <w:pPr>
              <w:spacing w:after="0" w:line="240" w:lineRule="auto"/>
              <w:ind w:left="-108" w:right="-141"/>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917" w:type="dxa"/>
            <w:shd w:val="clear" w:color="auto" w:fill="auto"/>
            <w:vAlign w:val="center"/>
          </w:tcPr>
          <w:p w14:paraId="6A8E8C7B" w14:textId="77777777" w:rsidR="000A2A7A" w:rsidRPr="00FD7B0B" w:rsidRDefault="000A2A7A" w:rsidP="000A2A7A">
            <w:pPr>
              <w:spacing w:after="0" w:line="240" w:lineRule="auto"/>
              <w:ind w:left="-108" w:right="-141"/>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1306" w:type="dxa"/>
            <w:gridSpan w:val="2"/>
          </w:tcPr>
          <w:p w14:paraId="79B0493C" w14:textId="77777777" w:rsidR="000A2A7A" w:rsidRPr="00FD7B0B" w:rsidRDefault="000A2A7A" w:rsidP="000A2A7A">
            <w:pPr>
              <w:spacing w:after="0" w:line="240" w:lineRule="auto"/>
              <w:ind w:left="-108" w:right="-132"/>
              <w:jc w:val="center"/>
              <w:rPr>
                <w:rFonts w:ascii="Times New Roman" w:eastAsia="Times New Roman" w:hAnsi="Times New Roman"/>
                <w:lang w:eastAsia="ru-RU"/>
              </w:rPr>
            </w:pPr>
            <w:r w:rsidRPr="00FD7B0B">
              <w:rPr>
                <w:rFonts w:ascii="Times New Roman" w:eastAsia="Times New Roman" w:hAnsi="Times New Roman"/>
                <w:lang w:eastAsia="ru-RU"/>
              </w:rPr>
              <w:t>%</w:t>
            </w:r>
          </w:p>
        </w:tc>
      </w:tr>
      <w:tr w:rsidR="00FD7B0B" w:rsidRPr="00FD7B0B" w14:paraId="0655954C" w14:textId="77777777" w:rsidTr="000A2A7A">
        <w:trPr>
          <w:trHeight w:val="145"/>
          <w:tblHeader/>
        </w:trPr>
        <w:tc>
          <w:tcPr>
            <w:tcW w:w="6804" w:type="dxa"/>
            <w:shd w:val="clear" w:color="auto" w:fill="auto"/>
            <w:vAlign w:val="center"/>
          </w:tcPr>
          <w:p w14:paraId="5CD8D682"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А</w:t>
            </w:r>
          </w:p>
        </w:tc>
        <w:tc>
          <w:tcPr>
            <w:tcW w:w="917" w:type="dxa"/>
            <w:shd w:val="clear" w:color="auto" w:fill="auto"/>
            <w:vAlign w:val="center"/>
          </w:tcPr>
          <w:p w14:paraId="05AA25A7" w14:textId="77777777" w:rsidR="000A2A7A" w:rsidRPr="00FD7B0B" w:rsidRDefault="000A2A7A" w:rsidP="000A2A7A">
            <w:pPr>
              <w:spacing w:after="0" w:line="240" w:lineRule="auto"/>
              <w:ind w:left="-108" w:right="-141"/>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917" w:type="dxa"/>
            <w:shd w:val="clear" w:color="auto" w:fill="auto"/>
            <w:vAlign w:val="center"/>
          </w:tcPr>
          <w:p w14:paraId="6B7324C6" w14:textId="77777777" w:rsidR="000A2A7A" w:rsidRPr="00FD7B0B" w:rsidRDefault="000A2A7A" w:rsidP="000A2A7A">
            <w:pPr>
              <w:spacing w:after="0" w:line="240" w:lineRule="auto"/>
              <w:ind w:left="-108" w:right="-141"/>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1306" w:type="dxa"/>
            <w:gridSpan w:val="2"/>
            <w:vAlign w:val="center"/>
          </w:tcPr>
          <w:p w14:paraId="3B56A71B" w14:textId="77777777" w:rsidR="000A2A7A" w:rsidRPr="00FD7B0B" w:rsidRDefault="000A2A7A" w:rsidP="000A2A7A">
            <w:pPr>
              <w:spacing w:after="0" w:line="240" w:lineRule="auto"/>
              <w:ind w:left="-108" w:right="-132"/>
              <w:jc w:val="center"/>
              <w:rPr>
                <w:rFonts w:ascii="Times New Roman" w:eastAsia="Times New Roman" w:hAnsi="Times New Roman"/>
                <w:lang w:eastAsia="ru-RU"/>
              </w:rPr>
            </w:pPr>
            <w:r w:rsidRPr="00FD7B0B">
              <w:rPr>
                <w:rFonts w:ascii="Times New Roman" w:eastAsia="Times New Roman" w:hAnsi="Times New Roman"/>
                <w:lang w:eastAsia="ru-RU"/>
              </w:rPr>
              <w:t>3=2/1*100</w:t>
            </w:r>
          </w:p>
        </w:tc>
      </w:tr>
      <w:tr w:rsidR="00FD7B0B" w:rsidRPr="00FD7B0B" w14:paraId="1064FAE3" w14:textId="77777777" w:rsidTr="00C8268B">
        <w:trPr>
          <w:trHeight w:val="71"/>
        </w:trPr>
        <w:tc>
          <w:tcPr>
            <w:tcW w:w="6804" w:type="dxa"/>
            <w:shd w:val="clear" w:color="auto" w:fill="auto"/>
            <w:vAlign w:val="bottom"/>
            <w:hideMark/>
          </w:tcPr>
          <w:p w14:paraId="1C4D39F6"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Административные штрафы, установленные КоАП РФ, </w:t>
            </w:r>
            <w:r w:rsidRPr="00FD7B0B">
              <w:rPr>
                <w:rFonts w:ascii="Times New Roman" w:eastAsia="Times New Roman" w:hAnsi="Times New Roman"/>
                <w:i/>
                <w:lang w:eastAsia="ru-RU"/>
              </w:rPr>
              <w:t>из них:</w:t>
            </w:r>
          </w:p>
        </w:tc>
        <w:tc>
          <w:tcPr>
            <w:tcW w:w="917" w:type="dxa"/>
            <w:shd w:val="clear" w:color="auto" w:fill="auto"/>
            <w:noWrap/>
            <w:hideMark/>
          </w:tcPr>
          <w:p w14:paraId="59B5526E"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463,0</w:t>
            </w:r>
          </w:p>
        </w:tc>
        <w:tc>
          <w:tcPr>
            <w:tcW w:w="917" w:type="dxa"/>
            <w:shd w:val="clear" w:color="auto" w:fill="auto"/>
            <w:noWrap/>
            <w:hideMark/>
          </w:tcPr>
          <w:p w14:paraId="1C282B6B"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433,0</w:t>
            </w:r>
          </w:p>
        </w:tc>
        <w:tc>
          <w:tcPr>
            <w:tcW w:w="1306" w:type="dxa"/>
            <w:gridSpan w:val="2"/>
          </w:tcPr>
          <w:p w14:paraId="4C165919"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93,5</w:t>
            </w:r>
          </w:p>
        </w:tc>
      </w:tr>
      <w:tr w:rsidR="00FD7B0B" w:rsidRPr="00FD7B0B" w14:paraId="3908BF4E" w14:textId="77777777" w:rsidTr="00C8268B">
        <w:trPr>
          <w:trHeight w:val="76"/>
        </w:trPr>
        <w:tc>
          <w:tcPr>
            <w:tcW w:w="6804" w:type="dxa"/>
            <w:shd w:val="clear" w:color="auto" w:fill="auto"/>
            <w:vAlign w:val="bottom"/>
            <w:hideMark/>
          </w:tcPr>
          <w:p w14:paraId="0CF99209" w14:textId="77777777" w:rsidR="000A2A7A" w:rsidRPr="00FD7B0B" w:rsidRDefault="000A2A7A" w:rsidP="000A2A7A">
            <w:pPr>
              <w:spacing w:after="0" w:line="240" w:lineRule="auto"/>
              <w:ind w:left="176"/>
              <w:rPr>
                <w:rFonts w:ascii="Times New Roman" w:eastAsia="Times New Roman" w:hAnsi="Times New Roman"/>
                <w:i/>
                <w:iCs/>
                <w:lang w:eastAsia="ru-RU"/>
              </w:rPr>
            </w:pPr>
            <w:r w:rsidRPr="00FD7B0B">
              <w:rPr>
                <w:rFonts w:ascii="Times New Roman" w:eastAsia="Times New Roman" w:hAnsi="Times New Roman"/>
                <w:i/>
                <w:iCs/>
                <w:lang w:eastAsia="ru-RU"/>
              </w:rPr>
              <w:t>за административные правонарушения, посягающие на здоровье, санитарно-эпидемиологическое благополучие населения и общественную нравственность</w:t>
            </w:r>
          </w:p>
        </w:tc>
        <w:tc>
          <w:tcPr>
            <w:tcW w:w="917" w:type="dxa"/>
            <w:shd w:val="clear" w:color="auto" w:fill="auto"/>
            <w:noWrap/>
            <w:hideMark/>
          </w:tcPr>
          <w:p w14:paraId="5D642641"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4,5</w:t>
            </w:r>
          </w:p>
        </w:tc>
        <w:tc>
          <w:tcPr>
            <w:tcW w:w="917" w:type="dxa"/>
            <w:shd w:val="clear" w:color="auto" w:fill="auto"/>
            <w:noWrap/>
          </w:tcPr>
          <w:p w14:paraId="661C7449"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4,2</w:t>
            </w:r>
          </w:p>
        </w:tc>
        <w:tc>
          <w:tcPr>
            <w:tcW w:w="1306" w:type="dxa"/>
            <w:gridSpan w:val="2"/>
          </w:tcPr>
          <w:p w14:paraId="6CA60B34"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94,0</w:t>
            </w:r>
          </w:p>
        </w:tc>
      </w:tr>
      <w:tr w:rsidR="00FD7B0B" w:rsidRPr="00FD7B0B" w14:paraId="6053E210" w14:textId="77777777" w:rsidTr="00C8268B">
        <w:trPr>
          <w:trHeight w:val="358"/>
        </w:trPr>
        <w:tc>
          <w:tcPr>
            <w:tcW w:w="6804" w:type="dxa"/>
            <w:shd w:val="clear" w:color="auto" w:fill="auto"/>
            <w:vAlign w:val="bottom"/>
            <w:hideMark/>
          </w:tcPr>
          <w:p w14:paraId="1F9FDF17" w14:textId="77777777" w:rsidR="000A2A7A" w:rsidRPr="00FD7B0B" w:rsidRDefault="000A2A7A" w:rsidP="000A2A7A">
            <w:pPr>
              <w:spacing w:after="0" w:line="240" w:lineRule="auto"/>
              <w:ind w:left="176"/>
              <w:rPr>
                <w:rFonts w:ascii="Times New Roman" w:eastAsia="Times New Roman" w:hAnsi="Times New Roman"/>
                <w:i/>
                <w:iCs/>
                <w:lang w:eastAsia="ru-RU"/>
              </w:rPr>
            </w:pPr>
            <w:r w:rsidRPr="00FD7B0B">
              <w:rPr>
                <w:rFonts w:ascii="Times New Roman" w:eastAsia="Times New Roman" w:hAnsi="Times New Roman"/>
                <w:i/>
                <w:iCs/>
                <w:lang w:eastAsia="ru-RU"/>
              </w:rPr>
              <w:t>за административные правонарушения в области охраны окружающей среды и природопользования</w:t>
            </w:r>
          </w:p>
        </w:tc>
        <w:tc>
          <w:tcPr>
            <w:tcW w:w="917" w:type="dxa"/>
            <w:shd w:val="clear" w:color="auto" w:fill="auto"/>
            <w:noWrap/>
            <w:hideMark/>
          </w:tcPr>
          <w:p w14:paraId="533E4155"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7,0</w:t>
            </w:r>
          </w:p>
        </w:tc>
        <w:tc>
          <w:tcPr>
            <w:tcW w:w="917" w:type="dxa"/>
            <w:shd w:val="clear" w:color="auto" w:fill="auto"/>
            <w:noWrap/>
          </w:tcPr>
          <w:p w14:paraId="165D3AC4"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6,5</w:t>
            </w:r>
          </w:p>
        </w:tc>
        <w:tc>
          <w:tcPr>
            <w:tcW w:w="1306" w:type="dxa"/>
            <w:gridSpan w:val="2"/>
          </w:tcPr>
          <w:p w14:paraId="11A41F5D"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93,4</w:t>
            </w:r>
          </w:p>
        </w:tc>
      </w:tr>
      <w:tr w:rsidR="00FD7B0B" w:rsidRPr="00FD7B0B" w14:paraId="564CB258" w14:textId="77777777" w:rsidTr="00C8268B">
        <w:trPr>
          <w:trHeight w:val="124"/>
        </w:trPr>
        <w:tc>
          <w:tcPr>
            <w:tcW w:w="6804" w:type="dxa"/>
            <w:shd w:val="clear" w:color="auto" w:fill="auto"/>
            <w:vAlign w:val="bottom"/>
            <w:hideMark/>
          </w:tcPr>
          <w:p w14:paraId="0D147142" w14:textId="77777777" w:rsidR="000A2A7A" w:rsidRPr="00FD7B0B" w:rsidRDefault="000A2A7A" w:rsidP="000A2A7A">
            <w:pPr>
              <w:spacing w:after="0" w:line="240" w:lineRule="auto"/>
              <w:ind w:left="176"/>
              <w:rPr>
                <w:rFonts w:ascii="Times New Roman" w:eastAsia="Times New Roman" w:hAnsi="Times New Roman"/>
                <w:i/>
                <w:iCs/>
                <w:lang w:eastAsia="ru-RU"/>
              </w:rPr>
            </w:pPr>
            <w:r w:rsidRPr="00FD7B0B">
              <w:rPr>
                <w:rFonts w:ascii="Times New Roman" w:eastAsia="Times New Roman" w:hAnsi="Times New Roman"/>
                <w:i/>
                <w:iCs/>
                <w:lang w:eastAsia="ru-RU"/>
              </w:rPr>
              <w:t>за административные правонарушения в области ДД</w:t>
            </w:r>
          </w:p>
        </w:tc>
        <w:tc>
          <w:tcPr>
            <w:tcW w:w="917" w:type="dxa"/>
            <w:shd w:val="clear" w:color="auto" w:fill="auto"/>
            <w:noWrap/>
            <w:hideMark/>
          </w:tcPr>
          <w:p w14:paraId="6449A49A"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414,9</w:t>
            </w:r>
          </w:p>
        </w:tc>
        <w:tc>
          <w:tcPr>
            <w:tcW w:w="917" w:type="dxa"/>
            <w:shd w:val="clear" w:color="auto" w:fill="auto"/>
            <w:noWrap/>
          </w:tcPr>
          <w:p w14:paraId="783C878D"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381,8</w:t>
            </w:r>
          </w:p>
        </w:tc>
        <w:tc>
          <w:tcPr>
            <w:tcW w:w="1306" w:type="dxa"/>
            <w:gridSpan w:val="2"/>
          </w:tcPr>
          <w:p w14:paraId="452923BC"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92,0</w:t>
            </w:r>
          </w:p>
        </w:tc>
      </w:tr>
      <w:tr w:rsidR="00FD7B0B" w:rsidRPr="00FD7B0B" w14:paraId="54911FE1" w14:textId="77777777" w:rsidTr="00C8268B">
        <w:trPr>
          <w:trHeight w:val="431"/>
        </w:trPr>
        <w:tc>
          <w:tcPr>
            <w:tcW w:w="6804" w:type="dxa"/>
            <w:shd w:val="clear" w:color="auto" w:fill="auto"/>
            <w:vAlign w:val="bottom"/>
            <w:hideMark/>
          </w:tcPr>
          <w:p w14:paraId="5762CC02" w14:textId="77777777" w:rsidR="000A2A7A" w:rsidRPr="00FD7B0B" w:rsidRDefault="000A2A7A" w:rsidP="000A2A7A">
            <w:pPr>
              <w:spacing w:after="0" w:line="240" w:lineRule="auto"/>
              <w:ind w:left="176"/>
              <w:rPr>
                <w:rFonts w:ascii="Times New Roman" w:eastAsia="Times New Roman" w:hAnsi="Times New Roman"/>
                <w:i/>
                <w:iCs/>
                <w:lang w:eastAsia="ru-RU"/>
              </w:rPr>
            </w:pPr>
            <w:r w:rsidRPr="00FD7B0B">
              <w:rPr>
                <w:rFonts w:ascii="Times New Roman" w:eastAsia="Times New Roman" w:hAnsi="Times New Roman"/>
                <w:i/>
                <w:iCs/>
                <w:lang w:eastAsia="ru-RU"/>
              </w:rPr>
              <w:t>за административные штрафы за административные правонарушения в области предпринимательской деятельности и деятельности саморегулирующей организаций</w:t>
            </w:r>
          </w:p>
        </w:tc>
        <w:tc>
          <w:tcPr>
            <w:tcW w:w="917" w:type="dxa"/>
            <w:shd w:val="clear" w:color="auto" w:fill="auto"/>
            <w:noWrap/>
            <w:hideMark/>
          </w:tcPr>
          <w:p w14:paraId="0439541A"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5,3</w:t>
            </w:r>
          </w:p>
        </w:tc>
        <w:tc>
          <w:tcPr>
            <w:tcW w:w="917" w:type="dxa"/>
            <w:shd w:val="clear" w:color="auto" w:fill="auto"/>
            <w:noWrap/>
          </w:tcPr>
          <w:p w14:paraId="265C2816"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10,0</w:t>
            </w:r>
          </w:p>
        </w:tc>
        <w:tc>
          <w:tcPr>
            <w:tcW w:w="1306" w:type="dxa"/>
            <w:gridSpan w:val="2"/>
          </w:tcPr>
          <w:p w14:paraId="387AA823" w14:textId="77777777" w:rsidR="000A2A7A" w:rsidRPr="00FD7B0B" w:rsidRDefault="000A2A7A" w:rsidP="00C8268B">
            <w:pPr>
              <w:spacing w:after="0" w:line="240" w:lineRule="auto"/>
              <w:ind w:left="-83"/>
              <w:jc w:val="right"/>
              <w:rPr>
                <w:rFonts w:ascii="Times New Roman" w:eastAsia="Times New Roman" w:hAnsi="Times New Roman"/>
                <w:lang w:eastAsia="ru-RU"/>
              </w:rPr>
            </w:pPr>
            <w:r w:rsidRPr="00FD7B0B">
              <w:rPr>
                <w:rFonts w:ascii="Times New Roman" w:eastAsia="Times New Roman" w:hAnsi="Times New Roman"/>
                <w:lang w:eastAsia="ru-RU"/>
              </w:rPr>
              <w:t>в 1,9 раза</w:t>
            </w:r>
          </w:p>
        </w:tc>
      </w:tr>
      <w:tr w:rsidR="00FD7B0B" w:rsidRPr="00FD7B0B" w14:paraId="5E8B064E" w14:textId="77777777" w:rsidTr="00C8268B">
        <w:trPr>
          <w:trHeight w:val="224"/>
        </w:trPr>
        <w:tc>
          <w:tcPr>
            <w:tcW w:w="6804" w:type="dxa"/>
            <w:shd w:val="clear" w:color="auto" w:fill="auto"/>
            <w:vAlign w:val="bottom"/>
            <w:hideMark/>
          </w:tcPr>
          <w:p w14:paraId="5E80DA6C" w14:textId="77777777" w:rsidR="000A2A7A" w:rsidRPr="00FD7B0B" w:rsidRDefault="000A2A7A" w:rsidP="000A2A7A">
            <w:pPr>
              <w:spacing w:after="0" w:line="240" w:lineRule="auto"/>
              <w:ind w:left="176"/>
              <w:rPr>
                <w:rFonts w:ascii="Times New Roman" w:eastAsia="Times New Roman" w:hAnsi="Times New Roman"/>
                <w:i/>
                <w:iCs/>
                <w:lang w:eastAsia="ru-RU"/>
              </w:rPr>
            </w:pPr>
            <w:r w:rsidRPr="00FD7B0B">
              <w:rPr>
                <w:rFonts w:ascii="Times New Roman" w:eastAsia="Times New Roman" w:hAnsi="Times New Roman"/>
                <w:i/>
                <w:iCs/>
                <w:lang w:eastAsia="ru-RU"/>
              </w:rPr>
              <w:t>за административные штрафы, установленные главой 19 КОАП РФ, за адм. правонарушения против порядка управления</w:t>
            </w:r>
          </w:p>
        </w:tc>
        <w:tc>
          <w:tcPr>
            <w:tcW w:w="917" w:type="dxa"/>
            <w:shd w:val="clear" w:color="auto" w:fill="auto"/>
            <w:noWrap/>
            <w:hideMark/>
          </w:tcPr>
          <w:p w14:paraId="1048395A"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13,9</w:t>
            </w:r>
          </w:p>
        </w:tc>
        <w:tc>
          <w:tcPr>
            <w:tcW w:w="917" w:type="dxa"/>
            <w:shd w:val="clear" w:color="auto" w:fill="auto"/>
            <w:noWrap/>
          </w:tcPr>
          <w:p w14:paraId="3DCCFC8D"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5,2</w:t>
            </w:r>
          </w:p>
        </w:tc>
        <w:tc>
          <w:tcPr>
            <w:tcW w:w="1306" w:type="dxa"/>
            <w:gridSpan w:val="2"/>
          </w:tcPr>
          <w:p w14:paraId="7C01724E"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37,5</w:t>
            </w:r>
          </w:p>
        </w:tc>
      </w:tr>
      <w:tr w:rsidR="00FD7B0B" w:rsidRPr="00FD7B0B" w14:paraId="4A360543" w14:textId="77777777" w:rsidTr="00C8268B">
        <w:trPr>
          <w:trHeight w:val="549"/>
        </w:trPr>
        <w:tc>
          <w:tcPr>
            <w:tcW w:w="6804" w:type="dxa"/>
            <w:shd w:val="clear" w:color="auto" w:fill="auto"/>
            <w:vAlign w:val="bottom"/>
            <w:hideMark/>
          </w:tcPr>
          <w:p w14:paraId="167DD4CD" w14:textId="77777777" w:rsidR="000A2A7A" w:rsidRPr="00FD7B0B" w:rsidRDefault="000A2A7A" w:rsidP="000A2A7A">
            <w:pPr>
              <w:spacing w:after="0" w:line="240" w:lineRule="auto"/>
              <w:ind w:firstLineChars="144" w:firstLine="317"/>
              <w:rPr>
                <w:rFonts w:ascii="Times New Roman" w:eastAsia="Times New Roman" w:hAnsi="Times New Roman"/>
                <w:lang w:eastAsia="ru-RU"/>
              </w:rPr>
            </w:pPr>
            <w:r w:rsidRPr="00FD7B0B">
              <w:rPr>
                <w:rFonts w:ascii="Times New Roman" w:eastAsia="Times New Roman" w:hAnsi="Times New Roman"/>
                <w:lang w:eastAsia="ru-RU"/>
              </w:rPr>
              <w:t xml:space="preserve">Штрафы, неустойки, пени, уплаченные в соответствии с законом или договором в случае неисполнения или ненадлежащего исполнения принятых обязательств, </w:t>
            </w:r>
            <w:r w:rsidRPr="00FD7B0B">
              <w:rPr>
                <w:rFonts w:ascii="Times New Roman" w:eastAsia="Times New Roman" w:hAnsi="Times New Roman"/>
                <w:i/>
                <w:iCs/>
                <w:lang w:eastAsia="ru-RU"/>
              </w:rPr>
              <w:t>из них:</w:t>
            </w:r>
            <w:r w:rsidRPr="00FD7B0B">
              <w:rPr>
                <w:rFonts w:ascii="Times New Roman" w:eastAsia="Times New Roman" w:hAnsi="Times New Roman"/>
                <w:lang w:eastAsia="ru-RU"/>
              </w:rPr>
              <w:t xml:space="preserve"> </w:t>
            </w:r>
          </w:p>
        </w:tc>
        <w:tc>
          <w:tcPr>
            <w:tcW w:w="917" w:type="dxa"/>
            <w:shd w:val="clear" w:color="auto" w:fill="auto"/>
            <w:noWrap/>
          </w:tcPr>
          <w:p w14:paraId="7459769D"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74,8</w:t>
            </w:r>
          </w:p>
        </w:tc>
        <w:tc>
          <w:tcPr>
            <w:tcW w:w="917" w:type="dxa"/>
            <w:shd w:val="clear" w:color="auto" w:fill="auto"/>
            <w:noWrap/>
          </w:tcPr>
          <w:p w14:paraId="27286371"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130,8</w:t>
            </w:r>
          </w:p>
        </w:tc>
        <w:tc>
          <w:tcPr>
            <w:tcW w:w="1306" w:type="dxa"/>
            <w:gridSpan w:val="2"/>
          </w:tcPr>
          <w:p w14:paraId="537BAA03"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1,7 раза</w:t>
            </w:r>
          </w:p>
        </w:tc>
      </w:tr>
      <w:tr w:rsidR="00FD7B0B" w:rsidRPr="00FD7B0B" w14:paraId="5C9AD869" w14:textId="77777777" w:rsidTr="00C8268B">
        <w:trPr>
          <w:trHeight w:val="233"/>
        </w:trPr>
        <w:tc>
          <w:tcPr>
            <w:tcW w:w="6804" w:type="dxa"/>
            <w:shd w:val="clear" w:color="auto" w:fill="auto"/>
            <w:vAlign w:val="bottom"/>
            <w:hideMark/>
          </w:tcPr>
          <w:p w14:paraId="1574C2D2" w14:textId="77777777" w:rsidR="000A2A7A" w:rsidRPr="00FD7B0B" w:rsidRDefault="000A2A7A" w:rsidP="000A2A7A">
            <w:pPr>
              <w:spacing w:after="0" w:line="240" w:lineRule="auto"/>
              <w:ind w:left="176"/>
              <w:rPr>
                <w:rFonts w:ascii="Times New Roman" w:eastAsia="Times New Roman" w:hAnsi="Times New Roman"/>
                <w:i/>
                <w:iCs/>
                <w:lang w:eastAsia="ru-RU"/>
              </w:rPr>
            </w:pPr>
            <w:r w:rsidRPr="00FD7B0B">
              <w:rPr>
                <w:rFonts w:ascii="Times New Roman" w:eastAsia="Times New Roman" w:hAnsi="Times New Roman"/>
                <w:i/>
                <w:iCs/>
                <w:lang w:eastAsia="ru-RU"/>
              </w:rPr>
              <w:t>штрафы, неустойки, пени, уплаченные в соответствии с договором аренды лесного участка или договором купли-продажи лесных насаждений в случае неисполнения или ненадлежащего исполнения обязательств</w:t>
            </w:r>
          </w:p>
        </w:tc>
        <w:tc>
          <w:tcPr>
            <w:tcW w:w="917" w:type="dxa"/>
            <w:shd w:val="clear" w:color="auto" w:fill="auto"/>
            <w:noWrap/>
          </w:tcPr>
          <w:p w14:paraId="3B629FD9"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29,0</w:t>
            </w:r>
          </w:p>
        </w:tc>
        <w:tc>
          <w:tcPr>
            <w:tcW w:w="917" w:type="dxa"/>
            <w:shd w:val="clear" w:color="auto" w:fill="auto"/>
            <w:noWrap/>
          </w:tcPr>
          <w:p w14:paraId="519B0C17"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62,7</w:t>
            </w:r>
          </w:p>
        </w:tc>
        <w:tc>
          <w:tcPr>
            <w:tcW w:w="1306" w:type="dxa"/>
            <w:gridSpan w:val="2"/>
          </w:tcPr>
          <w:p w14:paraId="442BBA67"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2,1 раза</w:t>
            </w:r>
          </w:p>
        </w:tc>
      </w:tr>
      <w:tr w:rsidR="00FD7B0B" w:rsidRPr="00FD7B0B" w14:paraId="5B6B7ABC" w14:textId="77777777" w:rsidTr="00C8268B">
        <w:trPr>
          <w:trHeight w:val="71"/>
        </w:trPr>
        <w:tc>
          <w:tcPr>
            <w:tcW w:w="6804" w:type="dxa"/>
            <w:shd w:val="clear" w:color="auto" w:fill="auto"/>
            <w:hideMark/>
          </w:tcPr>
          <w:p w14:paraId="3B6D0990" w14:textId="77777777" w:rsidR="000A2A7A" w:rsidRPr="00FD7B0B" w:rsidRDefault="000A2A7A" w:rsidP="000A2A7A">
            <w:pPr>
              <w:spacing w:after="0" w:line="240" w:lineRule="auto"/>
              <w:ind w:left="176"/>
              <w:rPr>
                <w:rFonts w:ascii="Times New Roman" w:eastAsia="Times New Roman" w:hAnsi="Times New Roman"/>
                <w:i/>
                <w:iCs/>
                <w:lang w:eastAsia="ru-RU"/>
              </w:rPr>
            </w:pPr>
            <w:r w:rsidRPr="00FD7B0B">
              <w:rPr>
                <w:rFonts w:ascii="Times New Roman" w:eastAsia="Times New Roman" w:hAnsi="Times New Roman"/>
                <w:i/>
                <w:iCs/>
                <w:lang w:eastAsia="ru-RU"/>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гос. и муниципальным органом, казенным учреждением, ЦБ РФ, госкорпорацией</w:t>
            </w:r>
          </w:p>
        </w:tc>
        <w:tc>
          <w:tcPr>
            <w:tcW w:w="917" w:type="dxa"/>
            <w:shd w:val="clear" w:color="auto" w:fill="auto"/>
            <w:noWrap/>
            <w:hideMark/>
          </w:tcPr>
          <w:p w14:paraId="6114B5D9"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45,4</w:t>
            </w:r>
          </w:p>
        </w:tc>
        <w:tc>
          <w:tcPr>
            <w:tcW w:w="917" w:type="dxa"/>
            <w:shd w:val="clear" w:color="auto" w:fill="auto"/>
            <w:noWrap/>
            <w:hideMark/>
          </w:tcPr>
          <w:p w14:paraId="72912C2E"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61,1</w:t>
            </w:r>
          </w:p>
        </w:tc>
        <w:tc>
          <w:tcPr>
            <w:tcW w:w="1306" w:type="dxa"/>
            <w:gridSpan w:val="2"/>
          </w:tcPr>
          <w:p w14:paraId="4658E58F"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134,6</w:t>
            </w:r>
          </w:p>
        </w:tc>
      </w:tr>
      <w:tr w:rsidR="00FD7B0B" w:rsidRPr="00FD7B0B" w14:paraId="2A3DEBA8" w14:textId="77777777" w:rsidTr="00C8268B">
        <w:trPr>
          <w:trHeight w:val="71"/>
        </w:trPr>
        <w:tc>
          <w:tcPr>
            <w:tcW w:w="6804" w:type="dxa"/>
            <w:shd w:val="clear" w:color="auto" w:fill="auto"/>
            <w:vAlign w:val="bottom"/>
          </w:tcPr>
          <w:p w14:paraId="45506BB1" w14:textId="77777777" w:rsidR="000A2A7A" w:rsidRPr="00FD7B0B" w:rsidRDefault="000A2A7A" w:rsidP="000A2A7A">
            <w:pPr>
              <w:spacing w:after="0" w:line="240" w:lineRule="auto"/>
              <w:ind w:right="-108"/>
              <w:rPr>
                <w:rFonts w:ascii="Times New Roman" w:eastAsia="Times New Roman" w:hAnsi="Times New Roman"/>
                <w:lang w:eastAsia="ru-RU"/>
              </w:rPr>
            </w:pPr>
            <w:r w:rsidRPr="00FD7B0B">
              <w:rPr>
                <w:rFonts w:ascii="Times New Roman" w:eastAsia="Times New Roman" w:hAnsi="Times New Roman"/>
                <w:lang w:eastAsia="ru-RU"/>
              </w:rPr>
              <w:t xml:space="preserve">Платежи в целях возмещенного причиненного ущерба (убытков), </w:t>
            </w:r>
            <w:r w:rsidRPr="00FD7B0B">
              <w:rPr>
                <w:rFonts w:ascii="Times New Roman" w:eastAsia="Times New Roman" w:hAnsi="Times New Roman"/>
                <w:i/>
                <w:lang w:eastAsia="ru-RU"/>
              </w:rPr>
              <w:t>из них:</w:t>
            </w:r>
          </w:p>
        </w:tc>
        <w:tc>
          <w:tcPr>
            <w:tcW w:w="917" w:type="dxa"/>
            <w:shd w:val="clear" w:color="auto" w:fill="auto"/>
            <w:noWrap/>
          </w:tcPr>
          <w:p w14:paraId="394046A2"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18,8</w:t>
            </w:r>
          </w:p>
        </w:tc>
        <w:tc>
          <w:tcPr>
            <w:tcW w:w="917" w:type="dxa"/>
            <w:shd w:val="clear" w:color="auto" w:fill="auto"/>
            <w:noWrap/>
          </w:tcPr>
          <w:p w14:paraId="71E28CD1"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35,1</w:t>
            </w:r>
          </w:p>
        </w:tc>
        <w:tc>
          <w:tcPr>
            <w:tcW w:w="1306" w:type="dxa"/>
            <w:gridSpan w:val="2"/>
          </w:tcPr>
          <w:p w14:paraId="1B411135" w14:textId="77777777" w:rsidR="000A2A7A" w:rsidRPr="00FD7B0B" w:rsidRDefault="000A2A7A" w:rsidP="00C8268B">
            <w:pPr>
              <w:spacing w:after="0" w:line="240" w:lineRule="auto"/>
              <w:ind w:left="-83"/>
              <w:jc w:val="right"/>
              <w:rPr>
                <w:rFonts w:ascii="Times New Roman" w:eastAsia="Times New Roman" w:hAnsi="Times New Roman"/>
                <w:lang w:eastAsia="ru-RU"/>
              </w:rPr>
            </w:pPr>
            <w:r w:rsidRPr="00FD7B0B">
              <w:rPr>
                <w:rFonts w:ascii="Times New Roman" w:eastAsia="Times New Roman" w:hAnsi="Times New Roman"/>
                <w:lang w:eastAsia="ru-RU"/>
              </w:rPr>
              <w:t>в 1,8 раза</w:t>
            </w:r>
          </w:p>
        </w:tc>
      </w:tr>
      <w:tr w:rsidR="00FD7B0B" w:rsidRPr="00FD7B0B" w14:paraId="40ECE0C1" w14:textId="77777777" w:rsidTr="0080327C">
        <w:trPr>
          <w:trHeight w:val="311"/>
        </w:trPr>
        <w:tc>
          <w:tcPr>
            <w:tcW w:w="6804" w:type="dxa"/>
            <w:shd w:val="clear" w:color="auto" w:fill="auto"/>
            <w:vAlign w:val="bottom"/>
          </w:tcPr>
          <w:p w14:paraId="248657DC" w14:textId="77777777" w:rsidR="000A2A7A" w:rsidRPr="00FD7B0B" w:rsidRDefault="000A2A7A" w:rsidP="000A2A7A">
            <w:pPr>
              <w:pStyle w:val="ad"/>
              <w:ind w:left="176"/>
              <w:rPr>
                <w:rFonts w:ascii="Times New Roman" w:eastAsia="Times New Roman" w:hAnsi="Times New Roman"/>
                <w:lang w:eastAsia="ru-RU"/>
              </w:rPr>
            </w:pPr>
            <w:r w:rsidRPr="00FD7B0B">
              <w:rPr>
                <w:rFonts w:ascii="Times New Roman" w:hAnsi="Times New Roman"/>
                <w:i/>
              </w:rPr>
              <w:t xml:space="preserve">платежи в целях возмещения убытков, причиненных уклонением от заключения с госорганом субъекта РФ (казенным учреждением субъекта РФ) госконтракта, финансируемого за счет средств дорожного фонда субъекта РФ, а также иные денежные средства, подлежащие зачислению в бюджет субъекта РФ за </w:t>
            </w:r>
            <w:r w:rsidRPr="00FD7B0B">
              <w:rPr>
                <w:rFonts w:ascii="Times New Roman" w:hAnsi="Times New Roman"/>
                <w:i/>
              </w:rPr>
              <w:lastRenderedPageBreak/>
              <w:t>нарушение законодательства РФ о контрактной системе в сфере закупок…</w:t>
            </w:r>
          </w:p>
        </w:tc>
        <w:tc>
          <w:tcPr>
            <w:tcW w:w="917" w:type="dxa"/>
            <w:shd w:val="clear" w:color="auto" w:fill="auto"/>
            <w:noWrap/>
          </w:tcPr>
          <w:p w14:paraId="50E565DE"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lastRenderedPageBreak/>
              <w:t>18,3</w:t>
            </w:r>
          </w:p>
        </w:tc>
        <w:tc>
          <w:tcPr>
            <w:tcW w:w="917" w:type="dxa"/>
            <w:shd w:val="clear" w:color="auto" w:fill="auto"/>
            <w:noWrap/>
          </w:tcPr>
          <w:p w14:paraId="0B81D26A"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29,2</w:t>
            </w:r>
          </w:p>
        </w:tc>
        <w:tc>
          <w:tcPr>
            <w:tcW w:w="1306" w:type="dxa"/>
            <w:gridSpan w:val="2"/>
          </w:tcPr>
          <w:p w14:paraId="0E71DB0B"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в 1,6 раза </w:t>
            </w:r>
          </w:p>
        </w:tc>
      </w:tr>
      <w:tr w:rsidR="00FD7B0B" w:rsidRPr="00FD7B0B" w14:paraId="0D811DAA" w14:textId="77777777" w:rsidTr="00C8268B">
        <w:trPr>
          <w:trHeight w:val="71"/>
        </w:trPr>
        <w:tc>
          <w:tcPr>
            <w:tcW w:w="6804" w:type="dxa"/>
            <w:shd w:val="clear" w:color="auto" w:fill="auto"/>
            <w:vAlign w:val="bottom"/>
          </w:tcPr>
          <w:p w14:paraId="5A7728F3"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Платежи, уплачиваемые в целях возмещения вреда (перевозка тяжеловесных и (или) крупногабаритных грузов)</w:t>
            </w:r>
          </w:p>
        </w:tc>
        <w:tc>
          <w:tcPr>
            <w:tcW w:w="917" w:type="dxa"/>
            <w:shd w:val="clear" w:color="auto" w:fill="auto"/>
            <w:noWrap/>
          </w:tcPr>
          <w:p w14:paraId="286ACE24"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6,0</w:t>
            </w:r>
          </w:p>
        </w:tc>
        <w:tc>
          <w:tcPr>
            <w:tcW w:w="917" w:type="dxa"/>
            <w:shd w:val="clear" w:color="auto" w:fill="auto"/>
            <w:noWrap/>
          </w:tcPr>
          <w:p w14:paraId="24730915" w14:textId="77777777" w:rsidR="000A2A7A" w:rsidRPr="00FD7B0B" w:rsidRDefault="000A2A7A" w:rsidP="00C8268B">
            <w:pPr>
              <w:spacing w:after="0" w:line="240" w:lineRule="auto"/>
              <w:jc w:val="right"/>
              <w:rPr>
                <w:rFonts w:ascii="Times New Roman" w:eastAsia="Times New Roman" w:hAnsi="Times New Roman"/>
                <w:lang w:val="en-US" w:eastAsia="ru-RU"/>
              </w:rPr>
            </w:pPr>
            <w:r w:rsidRPr="00FD7B0B">
              <w:rPr>
                <w:rFonts w:ascii="Times New Roman" w:eastAsia="Times New Roman" w:hAnsi="Times New Roman"/>
                <w:lang w:val="en-US" w:eastAsia="ru-RU"/>
              </w:rPr>
              <w:t>3</w:t>
            </w:r>
            <w:r w:rsidRPr="00FD7B0B">
              <w:rPr>
                <w:rFonts w:ascii="Times New Roman" w:eastAsia="Times New Roman" w:hAnsi="Times New Roman"/>
                <w:lang w:eastAsia="ru-RU"/>
              </w:rPr>
              <w:t>,</w:t>
            </w:r>
            <w:r w:rsidRPr="00FD7B0B">
              <w:rPr>
                <w:rFonts w:ascii="Times New Roman" w:eastAsia="Times New Roman" w:hAnsi="Times New Roman"/>
                <w:lang w:val="en-US" w:eastAsia="ru-RU"/>
              </w:rPr>
              <w:t>9</w:t>
            </w:r>
          </w:p>
        </w:tc>
        <w:tc>
          <w:tcPr>
            <w:tcW w:w="1306" w:type="dxa"/>
            <w:gridSpan w:val="2"/>
          </w:tcPr>
          <w:p w14:paraId="6C302179"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val="en-US" w:eastAsia="ru-RU"/>
              </w:rPr>
              <w:t>65</w:t>
            </w:r>
            <w:r w:rsidRPr="00FD7B0B">
              <w:rPr>
                <w:rFonts w:ascii="Times New Roman" w:eastAsia="Times New Roman" w:hAnsi="Times New Roman"/>
                <w:lang w:eastAsia="ru-RU"/>
              </w:rPr>
              <w:t>,5</w:t>
            </w:r>
          </w:p>
        </w:tc>
      </w:tr>
      <w:tr w:rsidR="00FD7B0B" w:rsidRPr="00FD7B0B" w14:paraId="26498734" w14:textId="77777777" w:rsidTr="00C8268B">
        <w:trPr>
          <w:trHeight w:val="211"/>
        </w:trPr>
        <w:tc>
          <w:tcPr>
            <w:tcW w:w="6804" w:type="dxa"/>
            <w:shd w:val="clear" w:color="auto" w:fill="auto"/>
            <w:hideMark/>
          </w:tcPr>
          <w:p w14:paraId="2D5BBC3B" w14:textId="77777777" w:rsidR="000A2A7A" w:rsidRPr="00FD7B0B" w:rsidRDefault="000A2A7A" w:rsidP="000A2A7A">
            <w:pPr>
              <w:spacing w:after="0" w:line="240" w:lineRule="auto"/>
              <w:rPr>
                <w:rFonts w:ascii="Times New Roman" w:eastAsia="Times New Roman" w:hAnsi="Times New Roman"/>
                <w:iCs/>
                <w:lang w:eastAsia="ru-RU"/>
              </w:rPr>
            </w:pPr>
            <w:r w:rsidRPr="00FD7B0B">
              <w:rPr>
                <w:rFonts w:ascii="Times New Roman" w:eastAsia="Times New Roman" w:hAnsi="Times New Roman"/>
                <w:iCs/>
                <w:lang w:eastAsia="ru-RU"/>
              </w:rPr>
              <w:t>Доходы от сумм пеней, предусмотрен. законодательством РФ о налогах и сборах, подлежащие зачислению в бюджеты субъектов РФ по нормативу, установленному БК РФ, распределяемые ФК между бюджетами субъектов РФ в соответствии с ФЗ о ФБ</w:t>
            </w:r>
          </w:p>
        </w:tc>
        <w:tc>
          <w:tcPr>
            <w:tcW w:w="917" w:type="dxa"/>
            <w:shd w:val="clear" w:color="auto" w:fill="auto"/>
            <w:noWrap/>
            <w:hideMark/>
          </w:tcPr>
          <w:p w14:paraId="3350E320"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326,7</w:t>
            </w:r>
          </w:p>
        </w:tc>
        <w:tc>
          <w:tcPr>
            <w:tcW w:w="917" w:type="dxa"/>
            <w:shd w:val="clear" w:color="auto" w:fill="auto"/>
            <w:noWrap/>
            <w:hideMark/>
          </w:tcPr>
          <w:p w14:paraId="4126053D"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523,8</w:t>
            </w:r>
          </w:p>
        </w:tc>
        <w:tc>
          <w:tcPr>
            <w:tcW w:w="1306" w:type="dxa"/>
            <w:gridSpan w:val="2"/>
          </w:tcPr>
          <w:p w14:paraId="6AA3BAFE"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160,3</w:t>
            </w:r>
          </w:p>
        </w:tc>
      </w:tr>
      <w:tr w:rsidR="00FD7B0B" w:rsidRPr="00FD7B0B" w14:paraId="48A43FE5" w14:textId="77777777" w:rsidTr="00C8268B">
        <w:trPr>
          <w:trHeight w:val="135"/>
        </w:trPr>
        <w:tc>
          <w:tcPr>
            <w:tcW w:w="6804" w:type="dxa"/>
            <w:shd w:val="clear" w:color="auto" w:fill="auto"/>
            <w:vAlign w:val="center"/>
            <w:hideMark/>
          </w:tcPr>
          <w:p w14:paraId="6DD4A310"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Итого </w:t>
            </w:r>
          </w:p>
        </w:tc>
        <w:tc>
          <w:tcPr>
            <w:tcW w:w="917" w:type="dxa"/>
            <w:shd w:val="clear" w:color="auto" w:fill="auto"/>
            <w:noWrap/>
          </w:tcPr>
          <w:p w14:paraId="1180A077"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889,3</w:t>
            </w:r>
          </w:p>
        </w:tc>
        <w:tc>
          <w:tcPr>
            <w:tcW w:w="917" w:type="dxa"/>
            <w:shd w:val="clear" w:color="auto" w:fill="auto"/>
            <w:noWrap/>
          </w:tcPr>
          <w:p w14:paraId="0E98AE41"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1 126,7</w:t>
            </w:r>
          </w:p>
        </w:tc>
        <w:tc>
          <w:tcPr>
            <w:tcW w:w="1306" w:type="dxa"/>
            <w:gridSpan w:val="2"/>
          </w:tcPr>
          <w:p w14:paraId="1261AFDC"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126,7</w:t>
            </w:r>
          </w:p>
        </w:tc>
      </w:tr>
    </w:tbl>
    <w:p w14:paraId="60341E23" w14:textId="77777777" w:rsidR="000A2A7A" w:rsidRPr="00FD7B0B" w:rsidRDefault="000A2A7A" w:rsidP="000A2A7A">
      <w:pPr>
        <w:pStyle w:val="1a"/>
        <w:widowControl/>
        <w:spacing w:before="0" w:after="0" w:line="240" w:lineRule="auto"/>
        <w:ind w:firstLine="720"/>
        <w:rPr>
          <w:sz w:val="28"/>
          <w:szCs w:val="28"/>
        </w:rPr>
      </w:pPr>
    </w:p>
    <w:p w14:paraId="4A751EC6"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За отчетный период административные штрафы за нарушение законодательства РФ о безопасности дорожного движения, формирующие дорожный фонд Архангельской области, поступили в сумме 372,6 млн.руб., что меньше поступлений 2023 года (402,0 млн.руб.) и обусловлено снижением суммы выставленных штрафов.</w:t>
      </w:r>
    </w:p>
    <w:p w14:paraId="0A2A67A7" w14:textId="22D1C02F" w:rsidR="000A2A7A" w:rsidRPr="00FD7B0B" w:rsidRDefault="000A2A7A" w:rsidP="000A2A7A">
      <w:pPr>
        <w:pStyle w:val="1a"/>
        <w:widowControl/>
        <w:spacing w:before="0" w:after="0" w:line="240" w:lineRule="auto"/>
        <w:ind w:firstLine="720"/>
        <w:rPr>
          <w:sz w:val="28"/>
          <w:szCs w:val="28"/>
        </w:rPr>
      </w:pPr>
      <w:r w:rsidRPr="00FD7B0B">
        <w:rPr>
          <w:sz w:val="28"/>
          <w:szCs w:val="28"/>
        </w:rPr>
        <w:t>Согласно предоставленной УМВД России по Архангельской области информации по запросу контрольно-счетной палаты</w:t>
      </w:r>
      <w:r w:rsidR="00387156" w:rsidRPr="00FD7B0B">
        <w:rPr>
          <w:sz w:val="28"/>
          <w:szCs w:val="28"/>
        </w:rPr>
        <w:t>,</w:t>
      </w:r>
      <w:r w:rsidRPr="00FD7B0B">
        <w:rPr>
          <w:sz w:val="28"/>
          <w:szCs w:val="28"/>
        </w:rPr>
        <w:t xml:space="preserve"> за 2024 год оформлено 612 240 постановлений об административных правонарушениях в области дорожного движения по 35 основаниям, в соответствии с которыми начислено 550,9 млн.руб. В 2022 – 2023 годах оформлено 710 267 и 672 24</w:t>
      </w:r>
      <w:r w:rsidR="00387156" w:rsidRPr="00FD7B0B">
        <w:rPr>
          <w:sz w:val="28"/>
          <w:szCs w:val="28"/>
        </w:rPr>
        <w:t>6 постановлений соответственно.</w:t>
      </w:r>
    </w:p>
    <w:p w14:paraId="17D71D5B" w14:textId="51328985"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Основные суммы штрафов в области дорожного движения перечислены в областной бюджет УМВД России по Архангельской области по следующим правонарушениям, что представлено в таблице </w:t>
      </w:r>
      <w:r w:rsidR="0080327C" w:rsidRPr="00FD7B0B">
        <w:rPr>
          <w:sz w:val="28"/>
          <w:szCs w:val="28"/>
        </w:rPr>
        <w:t>43</w:t>
      </w:r>
      <w:r w:rsidRPr="00FD7B0B">
        <w:rPr>
          <w:sz w:val="28"/>
          <w:szCs w:val="28"/>
        </w:rPr>
        <w:t>:</w:t>
      </w:r>
    </w:p>
    <w:p w14:paraId="328DDB90" w14:textId="77777777" w:rsidR="000A2A7A" w:rsidRPr="00FD7B0B" w:rsidRDefault="000A2A7A" w:rsidP="000A2A7A">
      <w:pPr>
        <w:pStyle w:val="aff0"/>
        <w:spacing w:after="0" w:line="240" w:lineRule="auto"/>
        <w:rPr>
          <w:rFonts w:ascii="Times New Roman" w:hAnsi="Times New Roman"/>
          <w:b w:val="0"/>
          <w:sz w:val="24"/>
          <w:szCs w:val="24"/>
        </w:rPr>
      </w:pPr>
    </w:p>
    <w:p w14:paraId="072D034D"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43</w:t>
      </w:r>
      <w:r w:rsidRPr="00FD7B0B">
        <w:rPr>
          <w:rFonts w:ascii="Times New Roman" w:hAnsi="Times New Roman"/>
          <w:b w:val="0"/>
          <w:sz w:val="24"/>
          <w:szCs w:val="24"/>
        </w:rPr>
        <w:fldChar w:fldCharType="end"/>
      </w:r>
      <w:r w:rsidRPr="00FD7B0B">
        <w:rPr>
          <w:rFonts w:ascii="Times New Roman" w:hAnsi="Times New Roman"/>
          <w:b w:val="0"/>
          <w:sz w:val="24"/>
          <w:szCs w:val="24"/>
        </w:rPr>
        <w:t>. Поступление штрафов в областной бюджет по видам правонарушений за 2022 – 2024 годы, млн.руб.</w:t>
      </w:r>
    </w:p>
    <w:tbl>
      <w:tblPr>
        <w:tblW w:w="9904"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7632"/>
        <w:gridCol w:w="711"/>
        <w:gridCol w:w="711"/>
        <w:gridCol w:w="850"/>
      </w:tblGrid>
      <w:tr w:rsidR="00FD7B0B" w:rsidRPr="00FD7B0B" w14:paraId="342E6470" w14:textId="77777777" w:rsidTr="000A2A7A">
        <w:trPr>
          <w:trHeight w:val="237"/>
          <w:tblHeader/>
        </w:trPr>
        <w:tc>
          <w:tcPr>
            <w:tcW w:w="7632" w:type="dxa"/>
            <w:vMerge w:val="restart"/>
            <w:shd w:val="clear" w:color="auto" w:fill="auto"/>
            <w:vAlign w:val="center"/>
            <w:hideMark/>
          </w:tcPr>
          <w:p w14:paraId="64E4483C"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Вид правонарушения</w:t>
            </w:r>
          </w:p>
        </w:tc>
        <w:tc>
          <w:tcPr>
            <w:tcW w:w="711" w:type="dxa"/>
            <w:shd w:val="clear" w:color="auto" w:fill="auto"/>
            <w:vAlign w:val="center"/>
            <w:hideMark/>
          </w:tcPr>
          <w:p w14:paraId="24B40688"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2022</w:t>
            </w:r>
          </w:p>
        </w:tc>
        <w:tc>
          <w:tcPr>
            <w:tcW w:w="711" w:type="dxa"/>
            <w:shd w:val="clear" w:color="auto" w:fill="auto"/>
            <w:vAlign w:val="center"/>
            <w:hideMark/>
          </w:tcPr>
          <w:p w14:paraId="296B55FE"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2023</w:t>
            </w:r>
          </w:p>
        </w:tc>
        <w:tc>
          <w:tcPr>
            <w:tcW w:w="850" w:type="dxa"/>
            <w:shd w:val="clear" w:color="auto" w:fill="auto"/>
            <w:vAlign w:val="center"/>
            <w:hideMark/>
          </w:tcPr>
          <w:p w14:paraId="15CEA8CC"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2024</w:t>
            </w:r>
          </w:p>
        </w:tc>
      </w:tr>
      <w:tr w:rsidR="00FD7B0B" w:rsidRPr="00FD7B0B" w14:paraId="703F7D85" w14:textId="77777777" w:rsidTr="000A2A7A">
        <w:trPr>
          <w:trHeight w:val="116"/>
          <w:tblHeader/>
        </w:trPr>
        <w:tc>
          <w:tcPr>
            <w:tcW w:w="7632" w:type="dxa"/>
            <w:vMerge/>
            <w:shd w:val="clear" w:color="auto" w:fill="auto"/>
            <w:vAlign w:val="center"/>
            <w:hideMark/>
          </w:tcPr>
          <w:p w14:paraId="72CFFDB8" w14:textId="77777777" w:rsidR="000A2A7A" w:rsidRPr="00FD7B0B" w:rsidRDefault="000A2A7A" w:rsidP="000A2A7A">
            <w:pPr>
              <w:spacing w:after="0" w:line="240" w:lineRule="auto"/>
              <w:rPr>
                <w:rFonts w:ascii="Times New Roman" w:eastAsia="Times New Roman" w:hAnsi="Times New Roman"/>
                <w:lang w:eastAsia="ru-RU"/>
              </w:rPr>
            </w:pPr>
          </w:p>
        </w:tc>
        <w:tc>
          <w:tcPr>
            <w:tcW w:w="2272" w:type="dxa"/>
            <w:gridSpan w:val="3"/>
            <w:shd w:val="clear" w:color="auto" w:fill="auto"/>
            <w:vAlign w:val="center"/>
          </w:tcPr>
          <w:p w14:paraId="30455E4D"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Сумма, млн.руб.</w:t>
            </w:r>
          </w:p>
        </w:tc>
      </w:tr>
      <w:tr w:rsidR="00FD7B0B" w:rsidRPr="00FD7B0B" w14:paraId="11D90E52" w14:textId="77777777" w:rsidTr="00C8268B">
        <w:trPr>
          <w:trHeight w:val="116"/>
          <w:tblHeader/>
        </w:trPr>
        <w:tc>
          <w:tcPr>
            <w:tcW w:w="7632" w:type="dxa"/>
            <w:shd w:val="clear" w:color="auto" w:fill="auto"/>
            <w:vAlign w:val="center"/>
          </w:tcPr>
          <w:p w14:paraId="4EBF5771"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Итого, из них:</w:t>
            </w:r>
          </w:p>
        </w:tc>
        <w:tc>
          <w:tcPr>
            <w:tcW w:w="711" w:type="dxa"/>
            <w:shd w:val="clear" w:color="auto" w:fill="auto"/>
          </w:tcPr>
          <w:p w14:paraId="1D8A7B45"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522,2</w:t>
            </w:r>
          </w:p>
        </w:tc>
        <w:tc>
          <w:tcPr>
            <w:tcW w:w="711" w:type="dxa"/>
            <w:shd w:val="clear" w:color="auto" w:fill="auto"/>
          </w:tcPr>
          <w:p w14:paraId="64A7CB26"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406,0</w:t>
            </w:r>
          </w:p>
        </w:tc>
        <w:tc>
          <w:tcPr>
            <w:tcW w:w="850" w:type="dxa"/>
            <w:shd w:val="clear" w:color="auto" w:fill="auto"/>
          </w:tcPr>
          <w:p w14:paraId="14295CC8"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368,3</w:t>
            </w:r>
          </w:p>
        </w:tc>
      </w:tr>
      <w:tr w:rsidR="00FD7B0B" w:rsidRPr="00FD7B0B" w14:paraId="4DD807BD" w14:textId="77777777" w:rsidTr="00C8268B">
        <w:trPr>
          <w:trHeight w:val="411"/>
        </w:trPr>
        <w:tc>
          <w:tcPr>
            <w:tcW w:w="7632" w:type="dxa"/>
            <w:shd w:val="clear" w:color="auto" w:fill="auto"/>
            <w:vAlign w:val="bottom"/>
            <w:hideMark/>
          </w:tcPr>
          <w:p w14:paraId="4F0712F7"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Нарушение правил применения ремней безопасности или мотошлемов (ст.12.6 КоАП РФ)</w:t>
            </w:r>
          </w:p>
        </w:tc>
        <w:tc>
          <w:tcPr>
            <w:tcW w:w="711" w:type="dxa"/>
            <w:shd w:val="clear" w:color="auto" w:fill="auto"/>
            <w:noWrap/>
            <w:hideMark/>
          </w:tcPr>
          <w:p w14:paraId="5D6F69E4"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14,4</w:t>
            </w:r>
          </w:p>
        </w:tc>
        <w:tc>
          <w:tcPr>
            <w:tcW w:w="711" w:type="dxa"/>
            <w:shd w:val="clear" w:color="auto" w:fill="auto"/>
            <w:noWrap/>
            <w:hideMark/>
          </w:tcPr>
          <w:p w14:paraId="163E39B4"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13,3</w:t>
            </w:r>
          </w:p>
        </w:tc>
        <w:tc>
          <w:tcPr>
            <w:tcW w:w="850" w:type="dxa"/>
            <w:shd w:val="clear" w:color="auto" w:fill="auto"/>
            <w:noWrap/>
            <w:hideMark/>
          </w:tcPr>
          <w:p w14:paraId="6C387B1D"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13,0 </w:t>
            </w:r>
          </w:p>
        </w:tc>
      </w:tr>
      <w:tr w:rsidR="00FD7B0B" w:rsidRPr="00FD7B0B" w14:paraId="36AD9621" w14:textId="77777777" w:rsidTr="00C8268B">
        <w:trPr>
          <w:trHeight w:val="430"/>
        </w:trPr>
        <w:tc>
          <w:tcPr>
            <w:tcW w:w="7632" w:type="dxa"/>
            <w:shd w:val="clear" w:color="auto" w:fill="auto"/>
            <w:vAlign w:val="bottom"/>
            <w:hideMark/>
          </w:tcPr>
          <w:p w14:paraId="73ADAF67"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Управление транспортным средством водителем, не имеющим права управления транспортным средством (ст.12.7 КоАП РФ)</w:t>
            </w:r>
          </w:p>
        </w:tc>
        <w:tc>
          <w:tcPr>
            <w:tcW w:w="711" w:type="dxa"/>
            <w:shd w:val="clear" w:color="auto" w:fill="auto"/>
            <w:noWrap/>
            <w:hideMark/>
          </w:tcPr>
          <w:p w14:paraId="692F0923"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36,9</w:t>
            </w:r>
          </w:p>
        </w:tc>
        <w:tc>
          <w:tcPr>
            <w:tcW w:w="711" w:type="dxa"/>
            <w:shd w:val="clear" w:color="auto" w:fill="auto"/>
            <w:noWrap/>
            <w:hideMark/>
          </w:tcPr>
          <w:p w14:paraId="4C7E7455"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37,5</w:t>
            </w:r>
          </w:p>
        </w:tc>
        <w:tc>
          <w:tcPr>
            <w:tcW w:w="850" w:type="dxa"/>
            <w:shd w:val="clear" w:color="auto" w:fill="auto"/>
            <w:noWrap/>
            <w:hideMark/>
          </w:tcPr>
          <w:p w14:paraId="2A41BAF2"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33,1 </w:t>
            </w:r>
          </w:p>
        </w:tc>
      </w:tr>
      <w:tr w:rsidR="00FD7B0B" w:rsidRPr="00FD7B0B" w14:paraId="46CA04AD" w14:textId="77777777" w:rsidTr="00C8268B">
        <w:trPr>
          <w:trHeight w:val="522"/>
        </w:trPr>
        <w:tc>
          <w:tcPr>
            <w:tcW w:w="7632" w:type="dxa"/>
            <w:shd w:val="clear" w:color="auto" w:fill="auto"/>
            <w:vAlign w:val="bottom"/>
            <w:hideMark/>
          </w:tcPr>
          <w:p w14:paraId="3C653D04"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(ст.12.8 КоАП РФ)</w:t>
            </w:r>
          </w:p>
        </w:tc>
        <w:tc>
          <w:tcPr>
            <w:tcW w:w="711" w:type="dxa"/>
            <w:shd w:val="clear" w:color="auto" w:fill="auto"/>
            <w:noWrap/>
            <w:hideMark/>
          </w:tcPr>
          <w:p w14:paraId="12E291CE"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43,8</w:t>
            </w:r>
          </w:p>
        </w:tc>
        <w:tc>
          <w:tcPr>
            <w:tcW w:w="711" w:type="dxa"/>
            <w:shd w:val="clear" w:color="auto" w:fill="auto"/>
            <w:noWrap/>
            <w:hideMark/>
          </w:tcPr>
          <w:p w14:paraId="19004D07"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35,2</w:t>
            </w:r>
          </w:p>
        </w:tc>
        <w:tc>
          <w:tcPr>
            <w:tcW w:w="850" w:type="dxa"/>
            <w:shd w:val="clear" w:color="auto" w:fill="auto"/>
            <w:noWrap/>
            <w:hideMark/>
          </w:tcPr>
          <w:p w14:paraId="3B97BA11"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33,9 </w:t>
            </w:r>
          </w:p>
        </w:tc>
      </w:tr>
      <w:tr w:rsidR="00FD7B0B" w:rsidRPr="00FD7B0B" w14:paraId="1AB68BC5" w14:textId="77777777" w:rsidTr="00C8268B">
        <w:trPr>
          <w:trHeight w:val="192"/>
        </w:trPr>
        <w:tc>
          <w:tcPr>
            <w:tcW w:w="7632" w:type="dxa"/>
            <w:shd w:val="clear" w:color="auto" w:fill="auto"/>
            <w:vAlign w:val="bottom"/>
            <w:hideMark/>
          </w:tcPr>
          <w:p w14:paraId="4F224D45"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Превышение установленной скорости движения (ст.12.9 КоАП РФ)</w:t>
            </w:r>
          </w:p>
        </w:tc>
        <w:tc>
          <w:tcPr>
            <w:tcW w:w="711" w:type="dxa"/>
            <w:shd w:val="clear" w:color="auto" w:fill="auto"/>
            <w:noWrap/>
            <w:hideMark/>
          </w:tcPr>
          <w:p w14:paraId="71FB2389"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162,9</w:t>
            </w:r>
          </w:p>
        </w:tc>
        <w:tc>
          <w:tcPr>
            <w:tcW w:w="711" w:type="dxa"/>
            <w:shd w:val="clear" w:color="auto" w:fill="auto"/>
            <w:noWrap/>
            <w:hideMark/>
          </w:tcPr>
          <w:p w14:paraId="4A8F25F2"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167,0</w:t>
            </w:r>
          </w:p>
        </w:tc>
        <w:tc>
          <w:tcPr>
            <w:tcW w:w="850" w:type="dxa"/>
            <w:shd w:val="clear" w:color="auto" w:fill="auto"/>
            <w:noWrap/>
            <w:hideMark/>
          </w:tcPr>
          <w:p w14:paraId="70AF9365"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172,7 </w:t>
            </w:r>
          </w:p>
        </w:tc>
      </w:tr>
      <w:tr w:rsidR="00FD7B0B" w:rsidRPr="00FD7B0B" w14:paraId="164052AC" w14:textId="77777777" w:rsidTr="00C8268B">
        <w:trPr>
          <w:trHeight w:val="409"/>
        </w:trPr>
        <w:tc>
          <w:tcPr>
            <w:tcW w:w="7632" w:type="dxa"/>
            <w:shd w:val="clear" w:color="auto" w:fill="auto"/>
            <w:vAlign w:val="bottom"/>
            <w:hideMark/>
          </w:tcPr>
          <w:p w14:paraId="681CC4A1"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Проезд на запрещающий сигнал светофора или на запрещающий жест регулировщика (ст.12.12 КоАП РФ)</w:t>
            </w:r>
          </w:p>
        </w:tc>
        <w:tc>
          <w:tcPr>
            <w:tcW w:w="711" w:type="dxa"/>
            <w:shd w:val="clear" w:color="auto" w:fill="auto"/>
            <w:noWrap/>
            <w:hideMark/>
          </w:tcPr>
          <w:p w14:paraId="32B039F1"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57,0</w:t>
            </w:r>
          </w:p>
        </w:tc>
        <w:tc>
          <w:tcPr>
            <w:tcW w:w="711" w:type="dxa"/>
            <w:shd w:val="clear" w:color="auto" w:fill="auto"/>
            <w:noWrap/>
            <w:hideMark/>
          </w:tcPr>
          <w:p w14:paraId="2DABAA25"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44,9</w:t>
            </w:r>
          </w:p>
        </w:tc>
        <w:tc>
          <w:tcPr>
            <w:tcW w:w="850" w:type="dxa"/>
            <w:shd w:val="clear" w:color="auto" w:fill="auto"/>
            <w:noWrap/>
            <w:hideMark/>
          </w:tcPr>
          <w:p w14:paraId="2DAB0DE2"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16,1 </w:t>
            </w:r>
          </w:p>
        </w:tc>
      </w:tr>
      <w:tr w:rsidR="00FD7B0B" w:rsidRPr="00FD7B0B" w14:paraId="7D61E9EA" w14:textId="77777777" w:rsidTr="00C8268B">
        <w:trPr>
          <w:trHeight w:val="401"/>
        </w:trPr>
        <w:tc>
          <w:tcPr>
            <w:tcW w:w="7632" w:type="dxa"/>
            <w:shd w:val="clear" w:color="auto" w:fill="auto"/>
            <w:vAlign w:val="bottom"/>
            <w:hideMark/>
          </w:tcPr>
          <w:p w14:paraId="3CB05379"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Нарушение правил расположения транспортного средства на проезжей части дороги, встречного разъезда или обгона (ст.12.15КоАП РФ)</w:t>
            </w:r>
          </w:p>
        </w:tc>
        <w:tc>
          <w:tcPr>
            <w:tcW w:w="711" w:type="dxa"/>
            <w:shd w:val="clear" w:color="auto" w:fill="auto"/>
            <w:noWrap/>
            <w:hideMark/>
          </w:tcPr>
          <w:p w14:paraId="537F0B45"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29,4</w:t>
            </w:r>
          </w:p>
        </w:tc>
        <w:tc>
          <w:tcPr>
            <w:tcW w:w="711" w:type="dxa"/>
            <w:shd w:val="clear" w:color="auto" w:fill="auto"/>
            <w:noWrap/>
            <w:hideMark/>
          </w:tcPr>
          <w:p w14:paraId="4BE02664"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32,5</w:t>
            </w:r>
          </w:p>
        </w:tc>
        <w:tc>
          <w:tcPr>
            <w:tcW w:w="850" w:type="dxa"/>
            <w:shd w:val="clear" w:color="auto" w:fill="auto"/>
            <w:noWrap/>
            <w:hideMark/>
          </w:tcPr>
          <w:p w14:paraId="712D9960"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25,8 </w:t>
            </w:r>
          </w:p>
        </w:tc>
      </w:tr>
      <w:tr w:rsidR="00FD7B0B" w:rsidRPr="00FD7B0B" w14:paraId="31E3E925" w14:textId="77777777" w:rsidTr="00C8268B">
        <w:trPr>
          <w:trHeight w:val="400"/>
        </w:trPr>
        <w:tc>
          <w:tcPr>
            <w:tcW w:w="7632" w:type="dxa"/>
            <w:shd w:val="clear" w:color="auto" w:fill="auto"/>
            <w:vAlign w:val="bottom"/>
            <w:hideMark/>
          </w:tcPr>
          <w:p w14:paraId="3057A188"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Несоблюдение требований, предписанных дорожными знаками или разметкой проезжей части дороги (ст.12.16 КоАП РФ)</w:t>
            </w:r>
          </w:p>
        </w:tc>
        <w:tc>
          <w:tcPr>
            <w:tcW w:w="711" w:type="dxa"/>
            <w:shd w:val="clear" w:color="auto" w:fill="auto"/>
            <w:noWrap/>
            <w:hideMark/>
          </w:tcPr>
          <w:p w14:paraId="2CDCAB0F"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16,9</w:t>
            </w:r>
          </w:p>
        </w:tc>
        <w:tc>
          <w:tcPr>
            <w:tcW w:w="711" w:type="dxa"/>
            <w:shd w:val="clear" w:color="auto" w:fill="auto"/>
            <w:noWrap/>
            <w:hideMark/>
          </w:tcPr>
          <w:p w14:paraId="289B3152"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15,5</w:t>
            </w:r>
          </w:p>
        </w:tc>
        <w:tc>
          <w:tcPr>
            <w:tcW w:w="850" w:type="dxa"/>
            <w:shd w:val="clear" w:color="auto" w:fill="auto"/>
            <w:noWrap/>
            <w:hideMark/>
          </w:tcPr>
          <w:p w14:paraId="64BFEC94"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8,4 </w:t>
            </w:r>
          </w:p>
        </w:tc>
      </w:tr>
      <w:tr w:rsidR="00FD7B0B" w:rsidRPr="00FD7B0B" w14:paraId="4F5BAF7F" w14:textId="77777777" w:rsidTr="00C8268B">
        <w:trPr>
          <w:trHeight w:val="219"/>
        </w:trPr>
        <w:tc>
          <w:tcPr>
            <w:tcW w:w="7632" w:type="dxa"/>
            <w:shd w:val="clear" w:color="auto" w:fill="auto"/>
            <w:vAlign w:val="bottom"/>
            <w:hideMark/>
          </w:tcPr>
          <w:p w14:paraId="0F740231"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Нарушение правил перевозки грузов, правил буксировки (ст.12.21КоАП РФ)</w:t>
            </w:r>
          </w:p>
        </w:tc>
        <w:tc>
          <w:tcPr>
            <w:tcW w:w="711" w:type="dxa"/>
            <w:shd w:val="clear" w:color="auto" w:fill="auto"/>
            <w:noWrap/>
            <w:hideMark/>
          </w:tcPr>
          <w:p w14:paraId="7084CBCB"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73,3</w:t>
            </w:r>
          </w:p>
        </w:tc>
        <w:tc>
          <w:tcPr>
            <w:tcW w:w="711" w:type="dxa"/>
            <w:shd w:val="clear" w:color="auto" w:fill="auto"/>
            <w:noWrap/>
            <w:hideMark/>
          </w:tcPr>
          <w:p w14:paraId="318B1B37"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5,4</w:t>
            </w:r>
          </w:p>
        </w:tc>
        <w:tc>
          <w:tcPr>
            <w:tcW w:w="850" w:type="dxa"/>
            <w:shd w:val="clear" w:color="auto" w:fill="auto"/>
            <w:noWrap/>
            <w:hideMark/>
          </w:tcPr>
          <w:p w14:paraId="409FD92F"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0,0 </w:t>
            </w:r>
          </w:p>
        </w:tc>
      </w:tr>
      <w:tr w:rsidR="00FD7B0B" w:rsidRPr="00FD7B0B" w14:paraId="295496A5" w14:textId="77777777" w:rsidTr="00C8268B">
        <w:trPr>
          <w:trHeight w:val="87"/>
        </w:trPr>
        <w:tc>
          <w:tcPr>
            <w:tcW w:w="7632" w:type="dxa"/>
            <w:shd w:val="clear" w:color="auto" w:fill="auto"/>
            <w:vAlign w:val="bottom"/>
            <w:hideMark/>
          </w:tcPr>
          <w:p w14:paraId="0B6889A9"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Нарушение правил перевозки людей (ст.12.23 КоАП РФ)</w:t>
            </w:r>
          </w:p>
        </w:tc>
        <w:tc>
          <w:tcPr>
            <w:tcW w:w="711" w:type="dxa"/>
            <w:shd w:val="clear" w:color="auto" w:fill="auto"/>
            <w:noWrap/>
            <w:hideMark/>
          </w:tcPr>
          <w:p w14:paraId="4475C8CC"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10,0</w:t>
            </w:r>
          </w:p>
        </w:tc>
        <w:tc>
          <w:tcPr>
            <w:tcW w:w="711" w:type="dxa"/>
            <w:shd w:val="clear" w:color="auto" w:fill="auto"/>
            <w:noWrap/>
            <w:hideMark/>
          </w:tcPr>
          <w:p w14:paraId="75A520FC"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8,5</w:t>
            </w:r>
          </w:p>
        </w:tc>
        <w:tc>
          <w:tcPr>
            <w:tcW w:w="850" w:type="dxa"/>
            <w:shd w:val="clear" w:color="auto" w:fill="auto"/>
            <w:noWrap/>
            <w:hideMark/>
          </w:tcPr>
          <w:p w14:paraId="5AEF4C72"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8,7 </w:t>
            </w:r>
          </w:p>
        </w:tc>
      </w:tr>
      <w:tr w:rsidR="00FD7B0B" w:rsidRPr="00FD7B0B" w14:paraId="5ACA5608" w14:textId="77777777" w:rsidTr="00C8268B">
        <w:trPr>
          <w:trHeight w:val="517"/>
        </w:trPr>
        <w:tc>
          <w:tcPr>
            <w:tcW w:w="7632" w:type="dxa"/>
            <w:shd w:val="clear" w:color="auto" w:fill="auto"/>
            <w:vAlign w:val="bottom"/>
            <w:hideMark/>
          </w:tcPr>
          <w:p w14:paraId="2D23FAA1"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lastRenderedPageBreak/>
              <w:t>Невыполнение водителем транспортного средства требования о прохождении медицинского освидетельствования на состояние опьянения (ст.12.26 КоАП РФ)</w:t>
            </w:r>
          </w:p>
        </w:tc>
        <w:tc>
          <w:tcPr>
            <w:tcW w:w="711" w:type="dxa"/>
            <w:shd w:val="clear" w:color="auto" w:fill="auto"/>
            <w:noWrap/>
            <w:hideMark/>
          </w:tcPr>
          <w:p w14:paraId="5852BF4A"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8,9</w:t>
            </w:r>
          </w:p>
        </w:tc>
        <w:tc>
          <w:tcPr>
            <w:tcW w:w="711" w:type="dxa"/>
            <w:shd w:val="clear" w:color="auto" w:fill="auto"/>
            <w:noWrap/>
            <w:hideMark/>
          </w:tcPr>
          <w:p w14:paraId="79815AB0"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8,8</w:t>
            </w:r>
          </w:p>
        </w:tc>
        <w:tc>
          <w:tcPr>
            <w:tcW w:w="850" w:type="dxa"/>
            <w:shd w:val="clear" w:color="auto" w:fill="auto"/>
            <w:noWrap/>
            <w:hideMark/>
          </w:tcPr>
          <w:p w14:paraId="728105D9"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6,0 </w:t>
            </w:r>
          </w:p>
        </w:tc>
      </w:tr>
      <w:tr w:rsidR="000A2A7A" w:rsidRPr="00FD7B0B" w14:paraId="4B9B0EB5" w14:textId="77777777" w:rsidTr="00C8268B">
        <w:trPr>
          <w:trHeight w:val="398"/>
        </w:trPr>
        <w:tc>
          <w:tcPr>
            <w:tcW w:w="7632" w:type="dxa"/>
            <w:shd w:val="clear" w:color="auto" w:fill="auto"/>
            <w:vAlign w:val="bottom"/>
            <w:hideMark/>
          </w:tcPr>
          <w:p w14:paraId="1F536905"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Несоблюдение требований об обязательном страховании гражданской ответственности владельцев транспортных средств (ст.12.37 РФ)</w:t>
            </w:r>
          </w:p>
        </w:tc>
        <w:tc>
          <w:tcPr>
            <w:tcW w:w="711" w:type="dxa"/>
            <w:shd w:val="clear" w:color="auto" w:fill="auto"/>
            <w:noWrap/>
            <w:hideMark/>
          </w:tcPr>
          <w:p w14:paraId="5DF09ECF"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13,5</w:t>
            </w:r>
          </w:p>
        </w:tc>
        <w:tc>
          <w:tcPr>
            <w:tcW w:w="711" w:type="dxa"/>
            <w:shd w:val="clear" w:color="auto" w:fill="auto"/>
            <w:noWrap/>
            <w:hideMark/>
          </w:tcPr>
          <w:p w14:paraId="73095BAA"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3,8</w:t>
            </w:r>
          </w:p>
        </w:tc>
        <w:tc>
          <w:tcPr>
            <w:tcW w:w="850" w:type="dxa"/>
            <w:shd w:val="clear" w:color="auto" w:fill="auto"/>
            <w:noWrap/>
            <w:hideMark/>
          </w:tcPr>
          <w:p w14:paraId="490E7B3F" w14:textId="77777777" w:rsidR="000A2A7A" w:rsidRPr="00FD7B0B" w:rsidRDefault="000A2A7A" w:rsidP="00C8268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5,4 </w:t>
            </w:r>
          </w:p>
        </w:tc>
      </w:tr>
    </w:tbl>
    <w:p w14:paraId="16900209" w14:textId="77777777" w:rsidR="000A2A7A" w:rsidRPr="00FD7B0B" w:rsidRDefault="000A2A7A" w:rsidP="000A2A7A">
      <w:pPr>
        <w:pStyle w:val="1a"/>
        <w:widowControl/>
        <w:spacing w:before="0" w:after="0" w:line="240" w:lineRule="auto"/>
        <w:ind w:firstLine="720"/>
        <w:rPr>
          <w:sz w:val="28"/>
          <w:szCs w:val="28"/>
        </w:rPr>
      </w:pPr>
    </w:p>
    <w:p w14:paraId="2DAAC34D"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Значительную долю в общей сумме поступивших за отчетный период штрафов в области дорожного движения занимают штрафы за превышение установленной скорости движения (46,9 %).</w:t>
      </w:r>
    </w:p>
    <w:p w14:paraId="0B132503"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Прогнозные показатели поступления штрафов определены органами, обладающими полномочиями по наложению административных взысканий, при этом указанные виды поступления штрафов, санкций, возмещений ущерба носят несистемный характер и зависят от количества вынесенных постановлений, а также установленных случаев нарушения условий государственных контрактов.</w:t>
      </w:r>
    </w:p>
    <w:p w14:paraId="787F94DD" w14:textId="6AC7FB8C" w:rsidR="000A2A7A" w:rsidRPr="00FD7B0B" w:rsidRDefault="000A2A7A" w:rsidP="000A2A7A">
      <w:pPr>
        <w:pStyle w:val="1a"/>
        <w:widowControl/>
        <w:spacing w:before="0" w:after="0" w:line="240" w:lineRule="auto"/>
        <w:ind w:firstLine="720"/>
        <w:rPr>
          <w:sz w:val="28"/>
          <w:szCs w:val="28"/>
        </w:rPr>
      </w:pPr>
      <w:bookmarkStart w:id="104" w:name="_Toc51059090"/>
      <w:bookmarkStart w:id="105" w:name="_Toc82015079"/>
      <w:bookmarkStart w:id="106" w:name="_Toc114058608"/>
      <w:r w:rsidRPr="00FD7B0B">
        <w:rPr>
          <w:sz w:val="28"/>
          <w:szCs w:val="28"/>
        </w:rPr>
        <w:t xml:space="preserve">В целом поступление налоговых </w:t>
      </w:r>
      <w:r w:rsidR="00A951DC" w:rsidRPr="00FD7B0B">
        <w:rPr>
          <w:sz w:val="28"/>
          <w:szCs w:val="28"/>
        </w:rPr>
        <w:t>и неналоговых доходов в 2024 году</w:t>
      </w:r>
      <w:r w:rsidRPr="00FD7B0B">
        <w:rPr>
          <w:sz w:val="28"/>
          <w:szCs w:val="28"/>
        </w:rPr>
        <w:t xml:space="preserve"> по сравнению с аналогичным периодом предыдущего года показывает положительную динамику (+10 041,3 млн.руб. или 11,5 %), на что повлияло увеличение поступлений </w:t>
      </w:r>
      <w:r w:rsidR="00A951DC" w:rsidRPr="00FD7B0B">
        <w:rPr>
          <w:sz w:val="28"/>
          <w:szCs w:val="28"/>
        </w:rPr>
        <w:t xml:space="preserve">практически </w:t>
      </w:r>
      <w:r w:rsidRPr="00FD7B0B">
        <w:rPr>
          <w:sz w:val="28"/>
          <w:szCs w:val="28"/>
        </w:rPr>
        <w:t>по всем значи</w:t>
      </w:r>
      <w:r w:rsidR="00A951DC" w:rsidRPr="00FD7B0B">
        <w:rPr>
          <w:sz w:val="28"/>
          <w:szCs w:val="28"/>
        </w:rPr>
        <w:t>мым</w:t>
      </w:r>
      <w:r w:rsidRPr="00FD7B0B">
        <w:rPr>
          <w:sz w:val="28"/>
          <w:szCs w:val="28"/>
        </w:rPr>
        <w:t xml:space="preserve"> доходным источникам, за исключением поступления налогов, сборов и регулярных платежей за пользование природными ресурсами («минус» 986,8 млн.руб. (–</w:t>
      </w:r>
      <w:r w:rsidR="0038333B" w:rsidRPr="00FD7B0B">
        <w:rPr>
          <w:sz w:val="28"/>
          <w:szCs w:val="28"/>
        </w:rPr>
        <w:t> </w:t>
      </w:r>
      <w:r w:rsidRPr="00FD7B0B">
        <w:rPr>
          <w:sz w:val="28"/>
          <w:szCs w:val="28"/>
        </w:rPr>
        <w:t>7,6</w:t>
      </w:r>
      <w:r w:rsidR="0038333B" w:rsidRPr="00FD7B0B">
        <w:rPr>
          <w:sz w:val="28"/>
          <w:szCs w:val="28"/>
        </w:rPr>
        <w:t> </w:t>
      </w:r>
      <w:r w:rsidRPr="00FD7B0B">
        <w:rPr>
          <w:sz w:val="28"/>
          <w:szCs w:val="28"/>
        </w:rPr>
        <w:t>%)).</w:t>
      </w:r>
    </w:p>
    <w:p w14:paraId="517EEC01" w14:textId="03DF89CE" w:rsidR="000A2A7A" w:rsidRPr="00FD7B0B" w:rsidRDefault="000A2A7A" w:rsidP="00490773">
      <w:pPr>
        <w:pStyle w:val="1a"/>
        <w:widowControl/>
        <w:spacing w:before="0" w:after="0" w:line="240" w:lineRule="auto"/>
        <w:ind w:firstLine="720"/>
        <w:rPr>
          <w:sz w:val="28"/>
          <w:szCs w:val="28"/>
        </w:rPr>
      </w:pPr>
      <w:r w:rsidRPr="00FD7B0B">
        <w:rPr>
          <w:sz w:val="28"/>
          <w:szCs w:val="28"/>
        </w:rPr>
        <w:t xml:space="preserve">В части исполнения показателей кассового плана главными администраторами доходов областного бюджета по администрируемым доходными источникам в 2024 году установлено перевыполнение плановых назначений, дополнительно получено в областной бюджет более 320 млн.руб., что представлено в таблице </w:t>
      </w:r>
      <w:r w:rsidR="00FE680C" w:rsidRPr="00FD7B0B">
        <w:rPr>
          <w:sz w:val="28"/>
          <w:szCs w:val="28"/>
        </w:rPr>
        <w:t>44</w:t>
      </w:r>
      <w:r w:rsidRPr="00FD7B0B">
        <w:rPr>
          <w:sz w:val="28"/>
          <w:szCs w:val="28"/>
        </w:rPr>
        <w:t>.</w:t>
      </w:r>
    </w:p>
    <w:p w14:paraId="0D30B6D0" w14:textId="77777777" w:rsidR="000A2A7A" w:rsidRPr="00FD7B0B" w:rsidRDefault="000A2A7A" w:rsidP="00490773">
      <w:pPr>
        <w:pStyle w:val="1a"/>
        <w:widowControl/>
        <w:spacing w:before="0" w:after="0" w:line="240" w:lineRule="auto"/>
        <w:ind w:firstLine="720"/>
        <w:rPr>
          <w:sz w:val="28"/>
          <w:szCs w:val="28"/>
        </w:rPr>
      </w:pPr>
    </w:p>
    <w:p w14:paraId="20E1F1E0" w14:textId="3931859B"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44</w:t>
      </w:r>
      <w:r w:rsidRPr="00FD7B0B">
        <w:rPr>
          <w:rFonts w:ascii="Times New Roman" w:hAnsi="Times New Roman"/>
          <w:b w:val="0"/>
          <w:sz w:val="24"/>
          <w:szCs w:val="24"/>
        </w:rPr>
        <w:fldChar w:fldCharType="end"/>
      </w:r>
      <w:r w:rsidRPr="00FD7B0B">
        <w:rPr>
          <w:rFonts w:ascii="Times New Roman" w:hAnsi="Times New Roman"/>
          <w:b w:val="0"/>
          <w:sz w:val="24"/>
          <w:szCs w:val="24"/>
        </w:rPr>
        <w:t>. Показатели исполнения кассового плана отдельными главными администраторами в части администрируемых ими доходных источников областного бюджета в 2024 году согласно Отчету об исполнении бюджета по (ф. 0503127), тыс.руб.</w:t>
      </w:r>
    </w:p>
    <w:tbl>
      <w:tblPr>
        <w:tblW w:w="10065" w:type="dxa"/>
        <w:tblInd w:w="-30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3686"/>
        <w:gridCol w:w="1276"/>
        <w:gridCol w:w="1275"/>
        <w:gridCol w:w="1276"/>
        <w:gridCol w:w="1134"/>
        <w:gridCol w:w="1418"/>
      </w:tblGrid>
      <w:tr w:rsidR="00FD7B0B" w:rsidRPr="00FD7B0B" w14:paraId="405E4871" w14:textId="77777777" w:rsidTr="002A3B24">
        <w:trPr>
          <w:trHeight w:val="34"/>
          <w:tblHeader/>
        </w:trPr>
        <w:tc>
          <w:tcPr>
            <w:tcW w:w="3686" w:type="dxa"/>
            <w:vMerge w:val="restart"/>
            <w:shd w:val="clear" w:color="auto" w:fill="auto"/>
            <w:noWrap/>
            <w:vAlign w:val="center"/>
            <w:hideMark/>
          </w:tcPr>
          <w:p w14:paraId="6ACB5F01" w14:textId="77777777" w:rsidR="004F64D9" w:rsidRPr="00FD7B0B" w:rsidRDefault="004F64D9"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Наименование</w:t>
            </w:r>
          </w:p>
        </w:tc>
        <w:tc>
          <w:tcPr>
            <w:tcW w:w="6379" w:type="dxa"/>
            <w:gridSpan w:val="5"/>
            <w:shd w:val="clear" w:color="auto" w:fill="auto"/>
            <w:vAlign w:val="center"/>
            <w:hideMark/>
          </w:tcPr>
          <w:p w14:paraId="17089C3B" w14:textId="77777777" w:rsidR="004F64D9" w:rsidRPr="00FD7B0B" w:rsidRDefault="004F64D9"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Налоговые и неналоговые доходы, тыс.руб.</w:t>
            </w:r>
          </w:p>
        </w:tc>
      </w:tr>
      <w:tr w:rsidR="00FD7B0B" w:rsidRPr="00FD7B0B" w14:paraId="1D117CE6" w14:textId="77777777" w:rsidTr="002A3B24">
        <w:trPr>
          <w:trHeight w:val="471"/>
          <w:tblHeader/>
        </w:trPr>
        <w:tc>
          <w:tcPr>
            <w:tcW w:w="3686" w:type="dxa"/>
            <w:vMerge/>
            <w:vAlign w:val="center"/>
            <w:hideMark/>
          </w:tcPr>
          <w:p w14:paraId="7C0DFC0D" w14:textId="77777777" w:rsidR="004F64D9" w:rsidRPr="00FD7B0B" w:rsidRDefault="004F64D9" w:rsidP="002A3B24">
            <w:pPr>
              <w:spacing w:after="0" w:line="240" w:lineRule="auto"/>
              <w:rPr>
                <w:rFonts w:ascii="Times New Roman" w:eastAsia="Times New Roman" w:hAnsi="Times New Roman"/>
                <w:lang w:eastAsia="ru-RU"/>
              </w:rPr>
            </w:pPr>
          </w:p>
        </w:tc>
        <w:tc>
          <w:tcPr>
            <w:tcW w:w="1276" w:type="dxa"/>
            <w:shd w:val="clear" w:color="auto" w:fill="auto"/>
            <w:vAlign w:val="center"/>
            <w:hideMark/>
          </w:tcPr>
          <w:p w14:paraId="3F8B793B" w14:textId="77777777" w:rsidR="004F64D9" w:rsidRPr="00FD7B0B" w:rsidRDefault="004F64D9"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Факт 31.12.2023 </w:t>
            </w:r>
          </w:p>
        </w:tc>
        <w:tc>
          <w:tcPr>
            <w:tcW w:w="1275" w:type="dxa"/>
            <w:shd w:val="clear" w:color="auto" w:fill="auto"/>
            <w:vAlign w:val="center"/>
            <w:hideMark/>
          </w:tcPr>
          <w:p w14:paraId="64B6A5AC" w14:textId="77777777" w:rsidR="004F64D9" w:rsidRPr="00FD7B0B" w:rsidRDefault="004F64D9"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КП на 31.12.2024</w:t>
            </w:r>
          </w:p>
        </w:tc>
        <w:tc>
          <w:tcPr>
            <w:tcW w:w="1276" w:type="dxa"/>
            <w:shd w:val="clear" w:color="auto" w:fill="auto"/>
            <w:vAlign w:val="center"/>
            <w:hideMark/>
          </w:tcPr>
          <w:p w14:paraId="4DFE9E23" w14:textId="77777777" w:rsidR="004F64D9" w:rsidRPr="00FD7B0B" w:rsidRDefault="004F64D9"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Факт 31.12.2024 </w:t>
            </w:r>
          </w:p>
        </w:tc>
        <w:tc>
          <w:tcPr>
            <w:tcW w:w="1134" w:type="dxa"/>
            <w:shd w:val="clear" w:color="auto" w:fill="auto"/>
            <w:vAlign w:val="center"/>
            <w:hideMark/>
          </w:tcPr>
          <w:p w14:paraId="3C0578B6" w14:textId="77777777" w:rsidR="004F64D9" w:rsidRPr="00FD7B0B" w:rsidRDefault="004F64D9" w:rsidP="002A3B24">
            <w:pPr>
              <w:spacing w:after="0" w:line="240" w:lineRule="auto"/>
              <w:ind w:left="-108"/>
              <w:jc w:val="center"/>
              <w:rPr>
                <w:rFonts w:ascii="Times New Roman" w:eastAsia="Times New Roman" w:hAnsi="Times New Roman"/>
                <w:lang w:eastAsia="ru-RU"/>
              </w:rPr>
            </w:pPr>
            <w:r w:rsidRPr="00FD7B0B">
              <w:rPr>
                <w:rFonts w:ascii="Times New Roman" w:eastAsia="Times New Roman" w:hAnsi="Times New Roman"/>
                <w:lang w:eastAsia="ru-RU"/>
              </w:rPr>
              <w:t>Факт к плану, %</w:t>
            </w:r>
          </w:p>
        </w:tc>
        <w:tc>
          <w:tcPr>
            <w:tcW w:w="1418" w:type="dxa"/>
            <w:shd w:val="clear" w:color="auto" w:fill="auto"/>
            <w:vAlign w:val="center"/>
            <w:hideMark/>
          </w:tcPr>
          <w:p w14:paraId="38F4A959" w14:textId="77777777" w:rsidR="004F64D9" w:rsidRPr="00FD7B0B" w:rsidRDefault="004F64D9" w:rsidP="002A3B24">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Доля фактического поступления к итогу 2024 года, %</w:t>
            </w:r>
          </w:p>
        </w:tc>
      </w:tr>
      <w:tr w:rsidR="00FD7B0B" w:rsidRPr="00FD7B0B" w14:paraId="39D98CD2" w14:textId="77777777" w:rsidTr="002A3B24">
        <w:trPr>
          <w:trHeight w:val="113"/>
          <w:tblHeader/>
        </w:trPr>
        <w:tc>
          <w:tcPr>
            <w:tcW w:w="3686" w:type="dxa"/>
            <w:vAlign w:val="center"/>
          </w:tcPr>
          <w:p w14:paraId="42F1348F" w14:textId="77777777" w:rsidR="004F64D9" w:rsidRPr="00FD7B0B" w:rsidRDefault="004F64D9"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А</w:t>
            </w:r>
          </w:p>
        </w:tc>
        <w:tc>
          <w:tcPr>
            <w:tcW w:w="1276" w:type="dxa"/>
            <w:shd w:val="clear" w:color="auto" w:fill="auto"/>
            <w:vAlign w:val="center"/>
          </w:tcPr>
          <w:p w14:paraId="3A7A23D9" w14:textId="77777777" w:rsidR="004F64D9" w:rsidRPr="00FD7B0B" w:rsidRDefault="004F64D9"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1275" w:type="dxa"/>
            <w:shd w:val="clear" w:color="auto" w:fill="auto"/>
            <w:vAlign w:val="center"/>
          </w:tcPr>
          <w:p w14:paraId="7ABE03C3" w14:textId="77777777" w:rsidR="004F64D9" w:rsidRPr="00FD7B0B" w:rsidRDefault="004F64D9"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1276" w:type="dxa"/>
            <w:shd w:val="clear" w:color="auto" w:fill="auto"/>
            <w:vAlign w:val="center"/>
          </w:tcPr>
          <w:p w14:paraId="66A33810" w14:textId="77777777" w:rsidR="004F64D9" w:rsidRPr="00FD7B0B" w:rsidRDefault="004F64D9"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3</w:t>
            </w:r>
          </w:p>
        </w:tc>
        <w:tc>
          <w:tcPr>
            <w:tcW w:w="1134" w:type="dxa"/>
            <w:shd w:val="clear" w:color="auto" w:fill="auto"/>
            <w:vAlign w:val="center"/>
          </w:tcPr>
          <w:p w14:paraId="1EAAB121" w14:textId="77777777" w:rsidR="004F64D9" w:rsidRPr="00FD7B0B" w:rsidRDefault="004F64D9" w:rsidP="002A3B24">
            <w:pPr>
              <w:spacing w:after="0" w:line="240" w:lineRule="auto"/>
              <w:ind w:left="-25" w:right="-109"/>
              <w:jc w:val="center"/>
              <w:rPr>
                <w:rFonts w:ascii="Times New Roman" w:eastAsia="Times New Roman" w:hAnsi="Times New Roman"/>
                <w:lang w:eastAsia="ru-RU"/>
              </w:rPr>
            </w:pPr>
            <w:r w:rsidRPr="00FD7B0B">
              <w:rPr>
                <w:rFonts w:ascii="Times New Roman" w:eastAsia="Times New Roman" w:hAnsi="Times New Roman"/>
                <w:lang w:eastAsia="ru-RU"/>
              </w:rPr>
              <w:t>4=3/2*100</w:t>
            </w:r>
          </w:p>
        </w:tc>
        <w:tc>
          <w:tcPr>
            <w:tcW w:w="1418" w:type="dxa"/>
            <w:shd w:val="clear" w:color="auto" w:fill="auto"/>
            <w:vAlign w:val="center"/>
          </w:tcPr>
          <w:p w14:paraId="155A075F" w14:textId="77777777" w:rsidR="004F64D9" w:rsidRPr="00FD7B0B" w:rsidRDefault="004F64D9" w:rsidP="002A3B24">
            <w:pPr>
              <w:spacing w:after="0" w:line="240" w:lineRule="auto"/>
              <w:ind w:left="-108" w:right="-108"/>
              <w:jc w:val="center"/>
              <w:rPr>
                <w:rFonts w:ascii="Times New Roman" w:eastAsia="Times New Roman" w:hAnsi="Times New Roman"/>
                <w:lang w:eastAsia="ru-RU"/>
              </w:rPr>
            </w:pPr>
            <w:r w:rsidRPr="00FD7B0B">
              <w:rPr>
                <w:rFonts w:ascii="Times New Roman" w:eastAsia="Times New Roman" w:hAnsi="Times New Roman"/>
                <w:lang w:eastAsia="ru-RU"/>
              </w:rPr>
              <w:t>5=3/3 итог*100</w:t>
            </w:r>
          </w:p>
        </w:tc>
      </w:tr>
      <w:tr w:rsidR="00FD7B0B" w:rsidRPr="00FD7B0B" w14:paraId="01CE1ADD" w14:textId="77777777" w:rsidTr="004F64D9">
        <w:trPr>
          <w:trHeight w:val="255"/>
        </w:trPr>
        <w:tc>
          <w:tcPr>
            <w:tcW w:w="3686" w:type="dxa"/>
            <w:shd w:val="clear" w:color="auto" w:fill="auto"/>
            <w:vAlign w:val="bottom"/>
            <w:hideMark/>
          </w:tcPr>
          <w:p w14:paraId="69FC2ECD"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Министерство строительства</w:t>
            </w:r>
          </w:p>
        </w:tc>
        <w:tc>
          <w:tcPr>
            <w:tcW w:w="1276" w:type="dxa"/>
            <w:shd w:val="clear" w:color="auto" w:fill="auto"/>
            <w:noWrap/>
            <w:hideMark/>
          </w:tcPr>
          <w:p w14:paraId="0A9C5880"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93 863,6 </w:t>
            </w:r>
          </w:p>
        </w:tc>
        <w:tc>
          <w:tcPr>
            <w:tcW w:w="1275" w:type="dxa"/>
            <w:shd w:val="clear" w:color="auto" w:fill="auto"/>
            <w:noWrap/>
            <w:hideMark/>
          </w:tcPr>
          <w:p w14:paraId="2AFBDACD"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89 387,1 </w:t>
            </w:r>
          </w:p>
        </w:tc>
        <w:tc>
          <w:tcPr>
            <w:tcW w:w="1276" w:type="dxa"/>
            <w:shd w:val="clear" w:color="auto" w:fill="auto"/>
            <w:noWrap/>
            <w:hideMark/>
          </w:tcPr>
          <w:p w14:paraId="1B05BC12"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258 732,2 </w:t>
            </w:r>
          </w:p>
        </w:tc>
        <w:tc>
          <w:tcPr>
            <w:tcW w:w="1134" w:type="dxa"/>
            <w:shd w:val="clear" w:color="auto" w:fill="auto"/>
            <w:noWrap/>
            <w:hideMark/>
          </w:tcPr>
          <w:p w14:paraId="460CD0F6"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в 2,9 раза </w:t>
            </w:r>
          </w:p>
        </w:tc>
        <w:tc>
          <w:tcPr>
            <w:tcW w:w="1418" w:type="dxa"/>
            <w:shd w:val="clear" w:color="auto" w:fill="auto"/>
            <w:noWrap/>
            <w:hideMark/>
          </w:tcPr>
          <w:p w14:paraId="74B93FB6"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11,</w:t>
            </w:r>
            <w:r w:rsidRPr="00FD7B0B">
              <w:rPr>
                <w:rFonts w:ascii="Times New Roman" w:eastAsia="Times New Roman" w:hAnsi="Times New Roman"/>
                <w:lang w:val="en-US" w:eastAsia="ru-RU"/>
              </w:rPr>
              <w:t>1</w:t>
            </w:r>
            <w:r w:rsidRPr="00FD7B0B">
              <w:rPr>
                <w:rFonts w:ascii="Times New Roman" w:eastAsia="Times New Roman" w:hAnsi="Times New Roman"/>
                <w:lang w:eastAsia="ru-RU"/>
              </w:rPr>
              <w:t xml:space="preserve"> </w:t>
            </w:r>
          </w:p>
        </w:tc>
      </w:tr>
      <w:tr w:rsidR="00FD7B0B" w:rsidRPr="00FD7B0B" w14:paraId="3BD44791" w14:textId="77777777" w:rsidTr="004F64D9">
        <w:trPr>
          <w:trHeight w:val="161"/>
        </w:trPr>
        <w:tc>
          <w:tcPr>
            <w:tcW w:w="3686" w:type="dxa"/>
            <w:shd w:val="clear" w:color="auto" w:fill="auto"/>
            <w:vAlign w:val="bottom"/>
            <w:hideMark/>
          </w:tcPr>
          <w:p w14:paraId="5AE93992"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Министерство ТЭК и ЖКХ</w:t>
            </w:r>
          </w:p>
        </w:tc>
        <w:tc>
          <w:tcPr>
            <w:tcW w:w="1276" w:type="dxa"/>
            <w:shd w:val="clear" w:color="auto" w:fill="auto"/>
            <w:noWrap/>
            <w:hideMark/>
          </w:tcPr>
          <w:p w14:paraId="4052731A"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81 418,2 </w:t>
            </w:r>
          </w:p>
        </w:tc>
        <w:tc>
          <w:tcPr>
            <w:tcW w:w="1275" w:type="dxa"/>
            <w:shd w:val="clear" w:color="auto" w:fill="auto"/>
            <w:noWrap/>
            <w:hideMark/>
          </w:tcPr>
          <w:p w14:paraId="36168DDA"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44 820,0 </w:t>
            </w:r>
          </w:p>
        </w:tc>
        <w:tc>
          <w:tcPr>
            <w:tcW w:w="1276" w:type="dxa"/>
            <w:shd w:val="clear" w:color="auto" w:fill="auto"/>
            <w:noWrap/>
            <w:hideMark/>
          </w:tcPr>
          <w:p w14:paraId="1A4CC322"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45 593,0 </w:t>
            </w:r>
          </w:p>
        </w:tc>
        <w:tc>
          <w:tcPr>
            <w:tcW w:w="1134" w:type="dxa"/>
            <w:shd w:val="clear" w:color="auto" w:fill="auto"/>
            <w:noWrap/>
            <w:hideMark/>
          </w:tcPr>
          <w:p w14:paraId="0DE6A827"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101,7 </w:t>
            </w:r>
          </w:p>
        </w:tc>
        <w:tc>
          <w:tcPr>
            <w:tcW w:w="1418" w:type="dxa"/>
            <w:shd w:val="clear" w:color="auto" w:fill="auto"/>
            <w:noWrap/>
            <w:hideMark/>
          </w:tcPr>
          <w:p w14:paraId="64CD8781"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w:t>
            </w:r>
            <w:r w:rsidRPr="00FD7B0B">
              <w:rPr>
                <w:rFonts w:ascii="Times New Roman" w:eastAsia="Times New Roman" w:hAnsi="Times New Roman"/>
                <w:lang w:val="en-US" w:eastAsia="ru-RU"/>
              </w:rPr>
              <w:t>0</w:t>
            </w:r>
            <w:r w:rsidRPr="00FD7B0B">
              <w:rPr>
                <w:rFonts w:ascii="Times New Roman" w:eastAsia="Times New Roman" w:hAnsi="Times New Roman"/>
                <w:lang w:eastAsia="ru-RU"/>
              </w:rPr>
              <w:t xml:space="preserve"> </w:t>
            </w:r>
          </w:p>
        </w:tc>
      </w:tr>
      <w:tr w:rsidR="00FD7B0B" w:rsidRPr="00FD7B0B" w14:paraId="2C7B6BF2" w14:textId="77777777" w:rsidTr="004F64D9">
        <w:trPr>
          <w:trHeight w:val="272"/>
        </w:trPr>
        <w:tc>
          <w:tcPr>
            <w:tcW w:w="3686" w:type="dxa"/>
            <w:shd w:val="clear" w:color="auto" w:fill="auto"/>
            <w:vAlign w:val="bottom"/>
            <w:hideMark/>
          </w:tcPr>
          <w:p w14:paraId="59CA4823"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Министерство природных ресурсов и лесопромышленного комплекса</w:t>
            </w:r>
          </w:p>
        </w:tc>
        <w:tc>
          <w:tcPr>
            <w:tcW w:w="1276" w:type="dxa"/>
            <w:shd w:val="clear" w:color="auto" w:fill="auto"/>
            <w:noWrap/>
            <w:hideMark/>
          </w:tcPr>
          <w:p w14:paraId="403E44FA"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1 383 131,3 </w:t>
            </w:r>
          </w:p>
        </w:tc>
        <w:tc>
          <w:tcPr>
            <w:tcW w:w="1275" w:type="dxa"/>
            <w:shd w:val="clear" w:color="auto" w:fill="auto"/>
            <w:noWrap/>
            <w:hideMark/>
          </w:tcPr>
          <w:p w14:paraId="2FE8F1A1"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1 480 572,6 </w:t>
            </w:r>
          </w:p>
        </w:tc>
        <w:tc>
          <w:tcPr>
            <w:tcW w:w="1276" w:type="dxa"/>
            <w:shd w:val="clear" w:color="auto" w:fill="auto"/>
            <w:noWrap/>
            <w:hideMark/>
          </w:tcPr>
          <w:p w14:paraId="168A79EB"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1 583 031,3 </w:t>
            </w:r>
          </w:p>
        </w:tc>
        <w:tc>
          <w:tcPr>
            <w:tcW w:w="1134" w:type="dxa"/>
            <w:shd w:val="clear" w:color="auto" w:fill="auto"/>
            <w:noWrap/>
            <w:hideMark/>
          </w:tcPr>
          <w:p w14:paraId="5973EA56"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106,9 </w:t>
            </w:r>
          </w:p>
        </w:tc>
        <w:tc>
          <w:tcPr>
            <w:tcW w:w="1418" w:type="dxa"/>
            <w:shd w:val="clear" w:color="auto" w:fill="auto"/>
            <w:noWrap/>
            <w:hideMark/>
          </w:tcPr>
          <w:p w14:paraId="4EF1C766"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67,</w:t>
            </w:r>
            <w:r w:rsidRPr="00FD7B0B">
              <w:rPr>
                <w:rFonts w:ascii="Times New Roman" w:eastAsia="Times New Roman" w:hAnsi="Times New Roman"/>
                <w:lang w:val="en-US" w:eastAsia="ru-RU"/>
              </w:rPr>
              <w:t>7</w:t>
            </w:r>
            <w:r w:rsidRPr="00FD7B0B">
              <w:rPr>
                <w:rFonts w:ascii="Times New Roman" w:eastAsia="Times New Roman" w:hAnsi="Times New Roman"/>
                <w:lang w:eastAsia="ru-RU"/>
              </w:rPr>
              <w:t xml:space="preserve"> </w:t>
            </w:r>
          </w:p>
        </w:tc>
      </w:tr>
      <w:tr w:rsidR="00FD7B0B" w:rsidRPr="00FD7B0B" w14:paraId="16E24C31" w14:textId="77777777" w:rsidTr="004F64D9">
        <w:trPr>
          <w:trHeight w:val="217"/>
        </w:trPr>
        <w:tc>
          <w:tcPr>
            <w:tcW w:w="3686" w:type="dxa"/>
            <w:shd w:val="clear" w:color="auto" w:fill="auto"/>
            <w:vAlign w:val="bottom"/>
            <w:hideMark/>
          </w:tcPr>
          <w:p w14:paraId="15E8FF3B"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Министерство здравоохранения</w:t>
            </w:r>
          </w:p>
        </w:tc>
        <w:tc>
          <w:tcPr>
            <w:tcW w:w="1276" w:type="dxa"/>
            <w:shd w:val="clear" w:color="auto" w:fill="auto"/>
            <w:noWrap/>
            <w:hideMark/>
          </w:tcPr>
          <w:p w14:paraId="26942585"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18 080,4 </w:t>
            </w:r>
          </w:p>
        </w:tc>
        <w:tc>
          <w:tcPr>
            <w:tcW w:w="1275" w:type="dxa"/>
            <w:shd w:val="clear" w:color="auto" w:fill="auto"/>
            <w:noWrap/>
            <w:hideMark/>
          </w:tcPr>
          <w:p w14:paraId="1C7023CE"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23 748,2 </w:t>
            </w:r>
          </w:p>
        </w:tc>
        <w:tc>
          <w:tcPr>
            <w:tcW w:w="1276" w:type="dxa"/>
            <w:shd w:val="clear" w:color="auto" w:fill="auto"/>
            <w:noWrap/>
            <w:hideMark/>
          </w:tcPr>
          <w:p w14:paraId="151A4A10"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60 536,5 </w:t>
            </w:r>
          </w:p>
        </w:tc>
        <w:tc>
          <w:tcPr>
            <w:tcW w:w="1134" w:type="dxa"/>
            <w:shd w:val="clear" w:color="auto" w:fill="auto"/>
            <w:noWrap/>
            <w:hideMark/>
          </w:tcPr>
          <w:p w14:paraId="2C981271"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в 2,5 раза </w:t>
            </w:r>
          </w:p>
        </w:tc>
        <w:tc>
          <w:tcPr>
            <w:tcW w:w="1418" w:type="dxa"/>
            <w:shd w:val="clear" w:color="auto" w:fill="auto"/>
            <w:noWrap/>
            <w:hideMark/>
          </w:tcPr>
          <w:p w14:paraId="61084F97"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2,</w:t>
            </w:r>
            <w:r w:rsidRPr="00FD7B0B">
              <w:rPr>
                <w:rFonts w:ascii="Times New Roman" w:eastAsia="Times New Roman" w:hAnsi="Times New Roman"/>
                <w:lang w:val="en-US" w:eastAsia="ru-RU"/>
              </w:rPr>
              <w:t>6</w:t>
            </w:r>
            <w:r w:rsidRPr="00FD7B0B">
              <w:rPr>
                <w:rFonts w:ascii="Times New Roman" w:eastAsia="Times New Roman" w:hAnsi="Times New Roman"/>
                <w:lang w:eastAsia="ru-RU"/>
              </w:rPr>
              <w:t xml:space="preserve"> </w:t>
            </w:r>
          </w:p>
        </w:tc>
      </w:tr>
      <w:tr w:rsidR="00FD7B0B" w:rsidRPr="00FD7B0B" w14:paraId="2C07F4F6" w14:textId="77777777" w:rsidTr="004F64D9">
        <w:trPr>
          <w:trHeight w:val="178"/>
        </w:trPr>
        <w:tc>
          <w:tcPr>
            <w:tcW w:w="3686" w:type="dxa"/>
            <w:shd w:val="clear" w:color="auto" w:fill="auto"/>
            <w:vAlign w:val="bottom"/>
            <w:hideMark/>
          </w:tcPr>
          <w:p w14:paraId="0291C2B4"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Министерство образования </w:t>
            </w:r>
          </w:p>
        </w:tc>
        <w:tc>
          <w:tcPr>
            <w:tcW w:w="1276" w:type="dxa"/>
            <w:shd w:val="clear" w:color="auto" w:fill="auto"/>
            <w:noWrap/>
            <w:hideMark/>
          </w:tcPr>
          <w:p w14:paraId="2CE73122"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5 211,6 </w:t>
            </w:r>
          </w:p>
        </w:tc>
        <w:tc>
          <w:tcPr>
            <w:tcW w:w="1275" w:type="dxa"/>
            <w:shd w:val="clear" w:color="auto" w:fill="auto"/>
            <w:noWrap/>
            <w:hideMark/>
          </w:tcPr>
          <w:p w14:paraId="3C54B29B"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14 937,2 </w:t>
            </w:r>
          </w:p>
        </w:tc>
        <w:tc>
          <w:tcPr>
            <w:tcW w:w="1276" w:type="dxa"/>
            <w:shd w:val="clear" w:color="auto" w:fill="auto"/>
            <w:noWrap/>
            <w:hideMark/>
          </w:tcPr>
          <w:p w14:paraId="1854B935"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4 683,4 </w:t>
            </w:r>
          </w:p>
        </w:tc>
        <w:tc>
          <w:tcPr>
            <w:tcW w:w="1134" w:type="dxa"/>
            <w:shd w:val="clear" w:color="auto" w:fill="auto"/>
            <w:noWrap/>
            <w:hideMark/>
          </w:tcPr>
          <w:p w14:paraId="0551D204"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31,4 </w:t>
            </w:r>
          </w:p>
        </w:tc>
        <w:tc>
          <w:tcPr>
            <w:tcW w:w="1418" w:type="dxa"/>
            <w:shd w:val="clear" w:color="auto" w:fill="auto"/>
            <w:noWrap/>
            <w:hideMark/>
          </w:tcPr>
          <w:p w14:paraId="2EF299ED"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0,2 </w:t>
            </w:r>
          </w:p>
        </w:tc>
      </w:tr>
      <w:tr w:rsidR="00FD7B0B" w:rsidRPr="00FD7B0B" w14:paraId="3D366805" w14:textId="77777777" w:rsidTr="004F64D9">
        <w:trPr>
          <w:trHeight w:val="410"/>
        </w:trPr>
        <w:tc>
          <w:tcPr>
            <w:tcW w:w="3686" w:type="dxa"/>
            <w:shd w:val="clear" w:color="auto" w:fill="auto"/>
            <w:vAlign w:val="bottom"/>
            <w:hideMark/>
          </w:tcPr>
          <w:p w14:paraId="484D4F5E"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lastRenderedPageBreak/>
              <w:t>Министерство агропромышленного комплекса и торговли</w:t>
            </w:r>
          </w:p>
        </w:tc>
        <w:tc>
          <w:tcPr>
            <w:tcW w:w="1276" w:type="dxa"/>
            <w:shd w:val="clear" w:color="auto" w:fill="auto"/>
            <w:noWrap/>
            <w:hideMark/>
          </w:tcPr>
          <w:p w14:paraId="58EAA65C"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45 151,6 </w:t>
            </w:r>
          </w:p>
        </w:tc>
        <w:tc>
          <w:tcPr>
            <w:tcW w:w="1275" w:type="dxa"/>
            <w:shd w:val="clear" w:color="auto" w:fill="auto"/>
            <w:noWrap/>
            <w:hideMark/>
          </w:tcPr>
          <w:p w14:paraId="3CFCEFC3"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18 424,4 </w:t>
            </w:r>
          </w:p>
        </w:tc>
        <w:tc>
          <w:tcPr>
            <w:tcW w:w="1276" w:type="dxa"/>
            <w:shd w:val="clear" w:color="auto" w:fill="auto"/>
            <w:noWrap/>
            <w:hideMark/>
          </w:tcPr>
          <w:p w14:paraId="4E86EB99"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41 819,1 </w:t>
            </w:r>
          </w:p>
        </w:tc>
        <w:tc>
          <w:tcPr>
            <w:tcW w:w="1134" w:type="dxa"/>
            <w:shd w:val="clear" w:color="auto" w:fill="auto"/>
            <w:noWrap/>
            <w:hideMark/>
          </w:tcPr>
          <w:p w14:paraId="29092BAB"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 в 2,2 раза</w:t>
            </w:r>
          </w:p>
        </w:tc>
        <w:tc>
          <w:tcPr>
            <w:tcW w:w="1418" w:type="dxa"/>
            <w:shd w:val="clear" w:color="auto" w:fill="auto"/>
            <w:noWrap/>
            <w:hideMark/>
          </w:tcPr>
          <w:p w14:paraId="5FDD05DA"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w:t>
            </w:r>
            <w:r w:rsidRPr="00FD7B0B">
              <w:rPr>
                <w:rFonts w:ascii="Times New Roman" w:eastAsia="Times New Roman" w:hAnsi="Times New Roman"/>
                <w:lang w:val="en-US" w:eastAsia="ru-RU"/>
              </w:rPr>
              <w:t>8</w:t>
            </w:r>
            <w:r w:rsidRPr="00FD7B0B">
              <w:rPr>
                <w:rFonts w:ascii="Times New Roman" w:eastAsia="Times New Roman" w:hAnsi="Times New Roman"/>
                <w:lang w:eastAsia="ru-RU"/>
              </w:rPr>
              <w:t xml:space="preserve"> </w:t>
            </w:r>
          </w:p>
        </w:tc>
      </w:tr>
      <w:tr w:rsidR="00FD7B0B" w:rsidRPr="00FD7B0B" w14:paraId="7EC4F80E" w14:textId="77777777" w:rsidTr="004F64D9">
        <w:trPr>
          <w:trHeight w:val="191"/>
        </w:trPr>
        <w:tc>
          <w:tcPr>
            <w:tcW w:w="3686" w:type="dxa"/>
            <w:shd w:val="clear" w:color="auto" w:fill="auto"/>
            <w:vAlign w:val="bottom"/>
            <w:hideMark/>
          </w:tcPr>
          <w:p w14:paraId="6B4149E7"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Министерство финансов</w:t>
            </w:r>
          </w:p>
        </w:tc>
        <w:tc>
          <w:tcPr>
            <w:tcW w:w="1276" w:type="dxa"/>
            <w:shd w:val="clear" w:color="auto" w:fill="auto"/>
            <w:noWrap/>
            <w:hideMark/>
          </w:tcPr>
          <w:p w14:paraId="42BD04B3"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16 482,9 </w:t>
            </w:r>
          </w:p>
        </w:tc>
        <w:tc>
          <w:tcPr>
            <w:tcW w:w="1275" w:type="dxa"/>
            <w:shd w:val="clear" w:color="auto" w:fill="auto"/>
            <w:noWrap/>
            <w:hideMark/>
          </w:tcPr>
          <w:p w14:paraId="686A2283"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10 233,1 </w:t>
            </w:r>
          </w:p>
        </w:tc>
        <w:tc>
          <w:tcPr>
            <w:tcW w:w="1276" w:type="dxa"/>
            <w:shd w:val="clear" w:color="auto" w:fill="auto"/>
            <w:noWrap/>
            <w:hideMark/>
          </w:tcPr>
          <w:p w14:paraId="4ABAF37A"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2 838,8 </w:t>
            </w:r>
          </w:p>
        </w:tc>
        <w:tc>
          <w:tcPr>
            <w:tcW w:w="1134" w:type="dxa"/>
            <w:shd w:val="clear" w:color="auto" w:fill="auto"/>
            <w:noWrap/>
            <w:hideMark/>
          </w:tcPr>
          <w:p w14:paraId="011B5AC7"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27,7 </w:t>
            </w:r>
          </w:p>
        </w:tc>
        <w:tc>
          <w:tcPr>
            <w:tcW w:w="1418" w:type="dxa"/>
            <w:shd w:val="clear" w:color="auto" w:fill="auto"/>
            <w:noWrap/>
            <w:hideMark/>
          </w:tcPr>
          <w:p w14:paraId="11763466"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0,1 </w:t>
            </w:r>
          </w:p>
        </w:tc>
      </w:tr>
      <w:tr w:rsidR="00FD7B0B" w:rsidRPr="00FD7B0B" w14:paraId="0FBF03A8" w14:textId="77777777" w:rsidTr="004F64D9">
        <w:trPr>
          <w:trHeight w:val="128"/>
        </w:trPr>
        <w:tc>
          <w:tcPr>
            <w:tcW w:w="3686" w:type="dxa"/>
            <w:shd w:val="clear" w:color="auto" w:fill="auto"/>
            <w:vAlign w:val="bottom"/>
            <w:hideMark/>
          </w:tcPr>
          <w:p w14:paraId="656D35F8"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Министерство транспорта</w:t>
            </w:r>
          </w:p>
        </w:tc>
        <w:tc>
          <w:tcPr>
            <w:tcW w:w="1276" w:type="dxa"/>
            <w:shd w:val="clear" w:color="auto" w:fill="auto"/>
            <w:noWrap/>
            <w:hideMark/>
          </w:tcPr>
          <w:p w14:paraId="29BC5D83"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15 196,3 </w:t>
            </w:r>
          </w:p>
        </w:tc>
        <w:tc>
          <w:tcPr>
            <w:tcW w:w="1275" w:type="dxa"/>
            <w:shd w:val="clear" w:color="auto" w:fill="auto"/>
            <w:noWrap/>
            <w:hideMark/>
          </w:tcPr>
          <w:p w14:paraId="3A5C2C14"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32 958,0 </w:t>
            </w:r>
          </w:p>
        </w:tc>
        <w:tc>
          <w:tcPr>
            <w:tcW w:w="1276" w:type="dxa"/>
            <w:shd w:val="clear" w:color="auto" w:fill="auto"/>
            <w:noWrap/>
            <w:hideMark/>
          </w:tcPr>
          <w:p w14:paraId="7D13CBA9"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52 268,2 </w:t>
            </w:r>
          </w:p>
        </w:tc>
        <w:tc>
          <w:tcPr>
            <w:tcW w:w="1134" w:type="dxa"/>
            <w:shd w:val="clear" w:color="auto" w:fill="auto"/>
            <w:noWrap/>
            <w:hideMark/>
          </w:tcPr>
          <w:p w14:paraId="7B790EC6"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в 1,5 раза</w:t>
            </w:r>
          </w:p>
        </w:tc>
        <w:tc>
          <w:tcPr>
            <w:tcW w:w="1418" w:type="dxa"/>
            <w:shd w:val="clear" w:color="auto" w:fill="auto"/>
            <w:noWrap/>
            <w:hideMark/>
          </w:tcPr>
          <w:p w14:paraId="6E38AFD9"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2,2 </w:t>
            </w:r>
          </w:p>
        </w:tc>
      </w:tr>
      <w:tr w:rsidR="00FD7B0B" w:rsidRPr="00FD7B0B" w14:paraId="4CF4F237" w14:textId="77777777" w:rsidTr="004F64D9">
        <w:trPr>
          <w:trHeight w:val="316"/>
        </w:trPr>
        <w:tc>
          <w:tcPr>
            <w:tcW w:w="3686" w:type="dxa"/>
            <w:shd w:val="clear" w:color="auto" w:fill="auto"/>
            <w:vAlign w:val="bottom"/>
            <w:hideMark/>
          </w:tcPr>
          <w:p w14:paraId="2DFC0632" w14:textId="02104D50"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Министерство труда, занятости и соц</w:t>
            </w:r>
            <w:r w:rsidR="008C1E0B" w:rsidRPr="00FD7B0B">
              <w:rPr>
                <w:rFonts w:ascii="Times New Roman" w:eastAsia="Times New Roman" w:hAnsi="Times New Roman"/>
                <w:lang w:eastAsia="ru-RU"/>
              </w:rPr>
              <w:t xml:space="preserve">. </w:t>
            </w:r>
            <w:r w:rsidRPr="00FD7B0B">
              <w:rPr>
                <w:rFonts w:ascii="Times New Roman" w:eastAsia="Times New Roman" w:hAnsi="Times New Roman"/>
                <w:lang w:eastAsia="ru-RU"/>
              </w:rPr>
              <w:t>развития</w:t>
            </w:r>
          </w:p>
        </w:tc>
        <w:tc>
          <w:tcPr>
            <w:tcW w:w="1276" w:type="dxa"/>
            <w:shd w:val="clear" w:color="auto" w:fill="auto"/>
            <w:noWrap/>
            <w:hideMark/>
          </w:tcPr>
          <w:p w14:paraId="38866E8D"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13 742,1 </w:t>
            </w:r>
          </w:p>
        </w:tc>
        <w:tc>
          <w:tcPr>
            <w:tcW w:w="1275" w:type="dxa"/>
            <w:shd w:val="clear" w:color="auto" w:fill="auto"/>
            <w:noWrap/>
            <w:hideMark/>
          </w:tcPr>
          <w:p w14:paraId="184BEE84"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15 366,1 </w:t>
            </w:r>
          </w:p>
        </w:tc>
        <w:tc>
          <w:tcPr>
            <w:tcW w:w="1276" w:type="dxa"/>
            <w:shd w:val="clear" w:color="auto" w:fill="auto"/>
            <w:noWrap/>
            <w:hideMark/>
          </w:tcPr>
          <w:p w14:paraId="340A08E2"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18 835,6 </w:t>
            </w:r>
          </w:p>
        </w:tc>
        <w:tc>
          <w:tcPr>
            <w:tcW w:w="1134" w:type="dxa"/>
            <w:shd w:val="clear" w:color="auto" w:fill="auto"/>
            <w:noWrap/>
            <w:hideMark/>
          </w:tcPr>
          <w:p w14:paraId="00039228"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122,6 </w:t>
            </w:r>
          </w:p>
        </w:tc>
        <w:tc>
          <w:tcPr>
            <w:tcW w:w="1418" w:type="dxa"/>
            <w:shd w:val="clear" w:color="auto" w:fill="auto"/>
            <w:noWrap/>
            <w:hideMark/>
          </w:tcPr>
          <w:p w14:paraId="240ACA05"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0,8 </w:t>
            </w:r>
          </w:p>
        </w:tc>
      </w:tr>
      <w:tr w:rsidR="00FD7B0B" w:rsidRPr="00FD7B0B" w14:paraId="73E3DA90" w14:textId="77777777" w:rsidTr="004F64D9">
        <w:trPr>
          <w:trHeight w:val="211"/>
        </w:trPr>
        <w:tc>
          <w:tcPr>
            <w:tcW w:w="3686" w:type="dxa"/>
            <w:shd w:val="clear" w:color="auto" w:fill="auto"/>
            <w:vAlign w:val="bottom"/>
            <w:hideMark/>
          </w:tcPr>
          <w:p w14:paraId="6BFD0BD2"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Министерство имущества</w:t>
            </w:r>
          </w:p>
        </w:tc>
        <w:tc>
          <w:tcPr>
            <w:tcW w:w="1276" w:type="dxa"/>
            <w:shd w:val="clear" w:color="auto" w:fill="auto"/>
            <w:noWrap/>
            <w:hideMark/>
          </w:tcPr>
          <w:p w14:paraId="65BB65BB"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66 710,1 </w:t>
            </w:r>
          </w:p>
        </w:tc>
        <w:tc>
          <w:tcPr>
            <w:tcW w:w="1275" w:type="dxa"/>
            <w:shd w:val="clear" w:color="auto" w:fill="auto"/>
            <w:noWrap/>
            <w:hideMark/>
          </w:tcPr>
          <w:p w14:paraId="613AAD3E"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221 826,6 </w:t>
            </w:r>
          </w:p>
        </w:tc>
        <w:tc>
          <w:tcPr>
            <w:tcW w:w="1276" w:type="dxa"/>
            <w:shd w:val="clear" w:color="auto" w:fill="auto"/>
            <w:noWrap/>
            <w:hideMark/>
          </w:tcPr>
          <w:p w14:paraId="23151C76"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190 930,3 </w:t>
            </w:r>
          </w:p>
        </w:tc>
        <w:tc>
          <w:tcPr>
            <w:tcW w:w="1134" w:type="dxa"/>
            <w:shd w:val="clear" w:color="auto" w:fill="auto"/>
            <w:noWrap/>
            <w:hideMark/>
          </w:tcPr>
          <w:p w14:paraId="7BF194C9"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86,1 </w:t>
            </w:r>
          </w:p>
        </w:tc>
        <w:tc>
          <w:tcPr>
            <w:tcW w:w="1418" w:type="dxa"/>
            <w:shd w:val="clear" w:color="auto" w:fill="auto"/>
            <w:noWrap/>
            <w:hideMark/>
          </w:tcPr>
          <w:p w14:paraId="7DE5CC84"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8,2 </w:t>
            </w:r>
          </w:p>
        </w:tc>
      </w:tr>
      <w:tr w:rsidR="00FD7B0B" w:rsidRPr="00FD7B0B" w14:paraId="6D4769FE" w14:textId="77777777" w:rsidTr="004F64D9">
        <w:trPr>
          <w:trHeight w:val="172"/>
        </w:trPr>
        <w:tc>
          <w:tcPr>
            <w:tcW w:w="3686" w:type="dxa"/>
            <w:shd w:val="clear" w:color="auto" w:fill="auto"/>
            <w:vAlign w:val="bottom"/>
            <w:hideMark/>
          </w:tcPr>
          <w:p w14:paraId="0744B4D6"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Администрация ГАО и ПАО</w:t>
            </w:r>
          </w:p>
        </w:tc>
        <w:tc>
          <w:tcPr>
            <w:tcW w:w="1276" w:type="dxa"/>
            <w:shd w:val="clear" w:color="auto" w:fill="auto"/>
            <w:noWrap/>
            <w:hideMark/>
          </w:tcPr>
          <w:p w14:paraId="71DA2638"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19 836,6 </w:t>
            </w:r>
          </w:p>
        </w:tc>
        <w:tc>
          <w:tcPr>
            <w:tcW w:w="1275" w:type="dxa"/>
            <w:shd w:val="clear" w:color="auto" w:fill="auto"/>
            <w:noWrap/>
            <w:hideMark/>
          </w:tcPr>
          <w:p w14:paraId="58F92030"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20 196,8 </w:t>
            </w:r>
          </w:p>
        </w:tc>
        <w:tc>
          <w:tcPr>
            <w:tcW w:w="1276" w:type="dxa"/>
            <w:shd w:val="clear" w:color="auto" w:fill="auto"/>
            <w:noWrap/>
            <w:hideMark/>
          </w:tcPr>
          <w:p w14:paraId="6854B65D"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22 951,5 </w:t>
            </w:r>
          </w:p>
        </w:tc>
        <w:tc>
          <w:tcPr>
            <w:tcW w:w="1134" w:type="dxa"/>
            <w:shd w:val="clear" w:color="auto" w:fill="auto"/>
            <w:noWrap/>
            <w:hideMark/>
          </w:tcPr>
          <w:p w14:paraId="14E50154"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113,6 </w:t>
            </w:r>
          </w:p>
        </w:tc>
        <w:tc>
          <w:tcPr>
            <w:tcW w:w="1418" w:type="dxa"/>
            <w:shd w:val="clear" w:color="auto" w:fill="auto"/>
            <w:noWrap/>
            <w:hideMark/>
          </w:tcPr>
          <w:p w14:paraId="3070AA70"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w:t>
            </w:r>
            <w:r w:rsidRPr="00FD7B0B">
              <w:rPr>
                <w:rFonts w:ascii="Times New Roman" w:eastAsia="Times New Roman" w:hAnsi="Times New Roman"/>
                <w:lang w:val="en-US" w:eastAsia="ru-RU"/>
              </w:rPr>
              <w:t>0</w:t>
            </w:r>
            <w:r w:rsidRPr="00FD7B0B">
              <w:rPr>
                <w:rFonts w:ascii="Times New Roman" w:eastAsia="Times New Roman" w:hAnsi="Times New Roman"/>
                <w:lang w:eastAsia="ru-RU"/>
              </w:rPr>
              <w:t xml:space="preserve"> </w:t>
            </w:r>
          </w:p>
        </w:tc>
      </w:tr>
      <w:tr w:rsidR="00FD7B0B" w:rsidRPr="00FD7B0B" w14:paraId="71C8482D" w14:textId="77777777" w:rsidTr="004F64D9">
        <w:trPr>
          <w:trHeight w:val="255"/>
        </w:trPr>
        <w:tc>
          <w:tcPr>
            <w:tcW w:w="3686" w:type="dxa"/>
            <w:shd w:val="clear" w:color="auto" w:fill="auto"/>
            <w:vAlign w:val="bottom"/>
            <w:hideMark/>
          </w:tcPr>
          <w:p w14:paraId="67BA3746" w14:textId="77777777" w:rsidR="004F64D9" w:rsidRPr="00FD7B0B" w:rsidRDefault="004F64D9"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Агентство по организационному обеспечению деятельности мировых судей</w:t>
            </w:r>
          </w:p>
        </w:tc>
        <w:tc>
          <w:tcPr>
            <w:tcW w:w="1276" w:type="dxa"/>
            <w:shd w:val="clear" w:color="auto" w:fill="auto"/>
            <w:noWrap/>
            <w:hideMark/>
          </w:tcPr>
          <w:p w14:paraId="6DE757F6"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30 003,2 </w:t>
            </w:r>
          </w:p>
        </w:tc>
        <w:tc>
          <w:tcPr>
            <w:tcW w:w="1275" w:type="dxa"/>
            <w:shd w:val="clear" w:color="auto" w:fill="auto"/>
            <w:noWrap/>
            <w:hideMark/>
          </w:tcPr>
          <w:p w14:paraId="5F2668E8"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37 428,1 </w:t>
            </w:r>
          </w:p>
        </w:tc>
        <w:tc>
          <w:tcPr>
            <w:tcW w:w="1276" w:type="dxa"/>
            <w:shd w:val="clear" w:color="auto" w:fill="auto"/>
            <w:noWrap/>
            <w:hideMark/>
          </w:tcPr>
          <w:p w14:paraId="5F9385E3"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36 107,5 </w:t>
            </w:r>
          </w:p>
        </w:tc>
        <w:tc>
          <w:tcPr>
            <w:tcW w:w="1134" w:type="dxa"/>
            <w:shd w:val="clear" w:color="auto" w:fill="auto"/>
            <w:noWrap/>
            <w:hideMark/>
          </w:tcPr>
          <w:p w14:paraId="39844E1A"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96,5 </w:t>
            </w:r>
          </w:p>
        </w:tc>
        <w:tc>
          <w:tcPr>
            <w:tcW w:w="1418" w:type="dxa"/>
            <w:shd w:val="clear" w:color="auto" w:fill="auto"/>
            <w:noWrap/>
            <w:hideMark/>
          </w:tcPr>
          <w:p w14:paraId="23B4FFDB"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1,5 </w:t>
            </w:r>
          </w:p>
        </w:tc>
      </w:tr>
      <w:tr w:rsidR="00FD7B0B" w:rsidRPr="00FD7B0B" w14:paraId="7AE1480F" w14:textId="77777777" w:rsidTr="004F64D9">
        <w:trPr>
          <w:trHeight w:val="127"/>
        </w:trPr>
        <w:tc>
          <w:tcPr>
            <w:tcW w:w="3686" w:type="dxa"/>
            <w:shd w:val="clear" w:color="auto" w:fill="auto"/>
            <w:noWrap/>
            <w:vAlign w:val="bottom"/>
            <w:hideMark/>
          </w:tcPr>
          <w:p w14:paraId="2B85DB76" w14:textId="4F3E8DCB" w:rsidR="004F64D9" w:rsidRPr="00FD7B0B" w:rsidRDefault="004F64D9" w:rsidP="004F64D9">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Всего по ф. 0503127</w:t>
            </w:r>
          </w:p>
        </w:tc>
        <w:tc>
          <w:tcPr>
            <w:tcW w:w="1276" w:type="dxa"/>
            <w:shd w:val="clear" w:color="auto" w:fill="auto"/>
            <w:noWrap/>
            <w:hideMark/>
          </w:tcPr>
          <w:p w14:paraId="4941141C"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1 808 125,3 </w:t>
            </w:r>
          </w:p>
        </w:tc>
        <w:tc>
          <w:tcPr>
            <w:tcW w:w="1275" w:type="dxa"/>
            <w:shd w:val="clear" w:color="auto" w:fill="auto"/>
            <w:noWrap/>
            <w:hideMark/>
          </w:tcPr>
          <w:p w14:paraId="60AD52A2"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2 017 388,0 </w:t>
            </w:r>
          </w:p>
        </w:tc>
        <w:tc>
          <w:tcPr>
            <w:tcW w:w="1276" w:type="dxa"/>
            <w:shd w:val="clear" w:color="auto" w:fill="auto"/>
            <w:noWrap/>
            <w:hideMark/>
          </w:tcPr>
          <w:p w14:paraId="7447F03B"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2 337 656,7 </w:t>
            </w:r>
          </w:p>
        </w:tc>
        <w:tc>
          <w:tcPr>
            <w:tcW w:w="1134" w:type="dxa"/>
            <w:shd w:val="clear" w:color="auto" w:fill="auto"/>
            <w:noWrap/>
            <w:hideMark/>
          </w:tcPr>
          <w:p w14:paraId="06D81068"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115,9 </w:t>
            </w:r>
          </w:p>
        </w:tc>
        <w:tc>
          <w:tcPr>
            <w:tcW w:w="1418" w:type="dxa"/>
            <w:shd w:val="clear" w:color="auto" w:fill="auto"/>
            <w:noWrap/>
            <w:hideMark/>
          </w:tcPr>
          <w:p w14:paraId="29FA1AC2" w14:textId="77777777" w:rsidR="004F64D9" w:rsidRPr="00FD7B0B" w:rsidRDefault="004F64D9" w:rsidP="004F64D9">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100,00 </w:t>
            </w:r>
          </w:p>
        </w:tc>
      </w:tr>
    </w:tbl>
    <w:p w14:paraId="2F966182" w14:textId="77777777" w:rsidR="004F64D9" w:rsidRPr="00FD7B0B" w:rsidRDefault="004F64D9" w:rsidP="004F64D9">
      <w:pPr>
        <w:pStyle w:val="1a"/>
        <w:widowControl/>
        <w:spacing w:before="0" w:after="0" w:line="240" w:lineRule="auto"/>
        <w:ind w:firstLine="720"/>
        <w:rPr>
          <w:sz w:val="28"/>
          <w:szCs w:val="28"/>
        </w:rPr>
      </w:pPr>
    </w:p>
    <w:p w14:paraId="5BB5E1F2" w14:textId="77777777"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 xml:space="preserve">Значительная доля в формировании налоговых и неналоговых доходов областного бюджета в 2024 году, как и в 2023 году, обеспечена поступлением платы за использование лесов (1 425,5 млн.руб.), администрируемых Минприроды. </w:t>
      </w:r>
    </w:p>
    <w:p w14:paraId="6BA9F174" w14:textId="5916EF4E"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В соответствии с требованиями п.п. 4 п. 7 Порядка осуществления органами государственной власти Архангельской области и иными государственными органами Архангельской области бюджетных полномочий главных администраторов налоговых и неналоговых доходов, поступающих в областной бюджет и бюджеты муниципальных образований, утвержденного постановлением Правительства Архангельской области от 02.06.2021 </w:t>
      </w:r>
      <w:r w:rsidRPr="00FD7B0B">
        <w:rPr>
          <w:sz w:val="28"/>
          <w:szCs w:val="28"/>
        </w:rPr>
        <w:br/>
        <w:t xml:space="preserve">№ 273-пп, администраторы неналоговых доходов областного бюджета ежеквартально предоставляют в министерство финансов Архангельской области: 1) обобщенную информацию по администрируемым поступлениям, по которым производится начисление, нарастающим итогом с начала года; </w:t>
      </w:r>
      <w:r w:rsidRPr="00FD7B0B">
        <w:rPr>
          <w:sz w:val="28"/>
          <w:szCs w:val="28"/>
        </w:rPr>
        <w:br/>
        <w:t>2) анализ состава и структуры просроченной дебиторской задолженности, в том числе меры, принимаемые администратором по взыск</w:t>
      </w:r>
      <w:r w:rsidR="00240290" w:rsidRPr="00FD7B0B">
        <w:rPr>
          <w:sz w:val="28"/>
          <w:szCs w:val="28"/>
        </w:rPr>
        <w:t>анию задолженности по платежам.</w:t>
      </w:r>
    </w:p>
    <w:p w14:paraId="71A0E899"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По состоянию на 31.12.2024 указанная отчетность администраторами неналоговых доходов областного бюджета предоставлена в электронном виде посредством программного комплекса формирования консолидированной бюджетной и произвольной отчетности «Свод-Смарт» (далее – Информация).</w:t>
      </w:r>
    </w:p>
    <w:p w14:paraId="4508205B" w14:textId="1D275932" w:rsidR="000A2A7A" w:rsidRPr="00FD7B0B" w:rsidRDefault="000A2A7A" w:rsidP="000A2A7A">
      <w:pPr>
        <w:pStyle w:val="1a"/>
        <w:widowControl/>
        <w:spacing w:before="0" w:after="0" w:line="240" w:lineRule="auto"/>
        <w:ind w:firstLine="720"/>
        <w:rPr>
          <w:sz w:val="28"/>
          <w:szCs w:val="28"/>
        </w:rPr>
      </w:pPr>
      <w:r w:rsidRPr="00FD7B0B">
        <w:rPr>
          <w:sz w:val="28"/>
          <w:szCs w:val="28"/>
        </w:rPr>
        <w:t>Сводная информация о просроченной дебиторской задолженности по состоянию на 01.01.2024 и на 31.12.2024 представлена в таблице</w:t>
      </w:r>
      <w:r w:rsidR="00240290" w:rsidRPr="00FD7B0B">
        <w:rPr>
          <w:sz w:val="28"/>
          <w:szCs w:val="28"/>
        </w:rPr>
        <w:t xml:space="preserve"> </w:t>
      </w:r>
      <w:r w:rsidR="00FE680C" w:rsidRPr="00FD7B0B">
        <w:rPr>
          <w:sz w:val="28"/>
          <w:szCs w:val="28"/>
        </w:rPr>
        <w:t>45</w:t>
      </w:r>
      <w:r w:rsidRPr="00FD7B0B">
        <w:rPr>
          <w:sz w:val="28"/>
          <w:szCs w:val="28"/>
        </w:rPr>
        <w:t>.</w:t>
      </w:r>
    </w:p>
    <w:p w14:paraId="63CE16C0" w14:textId="77777777" w:rsidR="000A2A7A" w:rsidRPr="00FD7B0B" w:rsidRDefault="000A2A7A" w:rsidP="000A2A7A">
      <w:pPr>
        <w:pStyle w:val="aff0"/>
        <w:spacing w:after="0" w:line="240" w:lineRule="auto"/>
        <w:rPr>
          <w:b w:val="0"/>
          <w:sz w:val="24"/>
          <w:szCs w:val="24"/>
        </w:rPr>
      </w:pPr>
    </w:p>
    <w:p w14:paraId="0995909C" w14:textId="77777777" w:rsidR="00FE680C" w:rsidRPr="00FD7B0B" w:rsidRDefault="00FE680C" w:rsidP="000A2A7A">
      <w:pPr>
        <w:pStyle w:val="aff0"/>
        <w:spacing w:after="0" w:line="240" w:lineRule="auto"/>
        <w:rPr>
          <w:rFonts w:ascii="Times New Roman" w:hAnsi="Times New Roman"/>
          <w:b w:val="0"/>
          <w:sz w:val="24"/>
          <w:szCs w:val="24"/>
        </w:rPr>
      </w:pPr>
    </w:p>
    <w:p w14:paraId="49D9620D" w14:textId="77777777" w:rsidR="00FE680C" w:rsidRPr="00FD7B0B" w:rsidRDefault="00FE680C" w:rsidP="000A2A7A">
      <w:pPr>
        <w:pStyle w:val="aff0"/>
        <w:spacing w:after="0" w:line="240" w:lineRule="auto"/>
        <w:rPr>
          <w:rFonts w:ascii="Times New Roman" w:hAnsi="Times New Roman"/>
          <w:b w:val="0"/>
          <w:sz w:val="24"/>
          <w:szCs w:val="24"/>
        </w:rPr>
      </w:pPr>
    </w:p>
    <w:p w14:paraId="33935B19" w14:textId="77777777" w:rsidR="00FE680C" w:rsidRPr="00FD7B0B" w:rsidRDefault="00FE680C" w:rsidP="000A2A7A">
      <w:pPr>
        <w:pStyle w:val="aff0"/>
        <w:spacing w:after="0" w:line="240" w:lineRule="auto"/>
        <w:rPr>
          <w:rFonts w:ascii="Times New Roman" w:hAnsi="Times New Roman"/>
          <w:b w:val="0"/>
          <w:sz w:val="24"/>
          <w:szCs w:val="24"/>
        </w:rPr>
      </w:pPr>
    </w:p>
    <w:p w14:paraId="744BBFD4" w14:textId="77777777" w:rsidR="000A2A7A" w:rsidRPr="00FD7B0B" w:rsidRDefault="000A2A7A" w:rsidP="000A2A7A">
      <w:pPr>
        <w:pStyle w:val="aff0"/>
        <w:spacing w:after="0" w:line="240" w:lineRule="auto"/>
        <w:rPr>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45</w:t>
      </w:r>
      <w:r w:rsidRPr="00FD7B0B">
        <w:rPr>
          <w:rFonts w:ascii="Times New Roman" w:hAnsi="Times New Roman"/>
          <w:b w:val="0"/>
          <w:sz w:val="24"/>
          <w:szCs w:val="24"/>
        </w:rPr>
        <w:fldChar w:fldCharType="end"/>
      </w:r>
      <w:r w:rsidRPr="00FD7B0B">
        <w:rPr>
          <w:rFonts w:ascii="Times New Roman" w:hAnsi="Times New Roman"/>
          <w:b w:val="0"/>
          <w:sz w:val="24"/>
          <w:szCs w:val="24"/>
        </w:rPr>
        <w:t>. Сводная информация о просроченной дебиторской задолженности на 01.01.2024 и на 31.12.2024, млн.руб.</w:t>
      </w:r>
    </w:p>
    <w:tbl>
      <w:tblPr>
        <w:tblStyle w:val="a7"/>
        <w:tblW w:w="962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663"/>
        <w:gridCol w:w="1276"/>
        <w:gridCol w:w="1134"/>
        <w:gridCol w:w="1277"/>
        <w:gridCol w:w="1276"/>
      </w:tblGrid>
      <w:tr w:rsidR="00FD7B0B" w:rsidRPr="00FD7B0B" w14:paraId="683E997F" w14:textId="77777777" w:rsidTr="000A2A7A">
        <w:trPr>
          <w:tblHeader/>
        </w:trPr>
        <w:tc>
          <w:tcPr>
            <w:tcW w:w="4663" w:type="dxa"/>
            <w:vMerge w:val="restart"/>
            <w:shd w:val="clear" w:color="auto" w:fill="auto"/>
            <w:vAlign w:val="center"/>
          </w:tcPr>
          <w:p w14:paraId="190B206E" w14:textId="77777777" w:rsidR="000A2A7A" w:rsidRPr="00FD7B0B" w:rsidRDefault="000A2A7A" w:rsidP="000A2A7A">
            <w:pPr>
              <w:pStyle w:val="1a"/>
              <w:widowControl/>
              <w:shd w:val="clear" w:color="auto" w:fill="auto"/>
              <w:spacing w:before="0" w:after="0" w:line="240" w:lineRule="auto"/>
              <w:jc w:val="center"/>
              <w:rPr>
                <w:rStyle w:val="aff3"/>
                <w:sz w:val="22"/>
                <w:szCs w:val="22"/>
              </w:rPr>
            </w:pPr>
            <w:r w:rsidRPr="00FD7B0B">
              <w:rPr>
                <w:rStyle w:val="aff3"/>
                <w:sz w:val="22"/>
                <w:szCs w:val="22"/>
              </w:rPr>
              <w:t>Показатель</w:t>
            </w:r>
          </w:p>
        </w:tc>
        <w:tc>
          <w:tcPr>
            <w:tcW w:w="2410" w:type="dxa"/>
            <w:gridSpan w:val="2"/>
            <w:shd w:val="clear" w:color="auto" w:fill="auto"/>
            <w:vAlign w:val="center"/>
          </w:tcPr>
          <w:p w14:paraId="5AE7CB8A" w14:textId="77777777" w:rsidR="000A2A7A" w:rsidRPr="00FD7B0B" w:rsidRDefault="000A2A7A" w:rsidP="000A2A7A">
            <w:pPr>
              <w:pStyle w:val="1a"/>
              <w:widowControl/>
              <w:shd w:val="clear" w:color="auto" w:fill="auto"/>
              <w:spacing w:before="0" w:after="0" w:line="240" w:lineRule="auto"/>
              <w:ind w:left="-108" w:right="-108"/>
              <w:jc w:val="center"/>
              <w:rPr>
                <w:rStyle w:val="aff3"/>
                <w:sz w:val="22"/>
                <w:szCs w:val="22"/>
              </w:rPr>
            </w:pPr>
            <w:r w:rsidRPr="00FD7B0B">
              <w:rPr>
                <w:rStyle w:val="aff3"/>
                <w:sz w:val="22"/>
                <w:szCs w:val="22"/>
              </w:rPr>
              <w:t>Просроченная дебиторская задолженность</w:t>
            </w:r>
          </w:p>
        </w:tc>
        <w:tc>
          <w:tcPr>
            <w:tcW w:w="2553" w:type="dxa"/>
            <w:gridSpan w:val="2"/>
            <w:shd w:val="clear" w:color="auto" w:fill="auto"/>
            <w:vAlign w:val="center"/>
          </w:tcPr>
          <w:p w14:paraId="09785417" w14:textId="77777777" w:rsidR="000A2A7A" w:rsidRPr="00FD7B0B" w:rsidRDefault="000A2A7A" w:rsidP="000A2A7A">
            <w:pPr>
              <w:pStyle w:val="1a"/>
              <w:widowControl/>
              <w:shd w:val="clear" w:color="auto" w:fill="auto"/>
              <w:spacing w:before="0" w:after="0" w:line="240" w:lineRule="auto"/>
              <w:jc w:val="center"/>
              <w:rPr>
                <w:rStyle w:val="aff3"/>
                <w:sz w:val="22"/>
                <w:szCs w:val="22"/>
              </w:rPr>
            </w:pPr>
            <w:r w:rsidRPr="00FD7B0B">
              <w:rPr>
                <w:rStyle w:val="aff3"/>
                <w:sz w:val="22"/>
                <w:szCs w:val="22"/>
              </w:rPr>
              <w:t>Изменение дебиторской задолженности</w:t>
            </w:r>
          </w:p>
        </w:tc>
      </w:tr>
      <w:tr w:rsidR="00FD7B0B" w:rsidRPr="00FD7B0B" w14:paraId="6BEEEC3E" w14:textId="77777777" w:rsidTr="000A2A7A">
        <w:trPr>
          <w:tblHeader/>
        </w:trPr>
        <w:tc>
          <w:tcPr>
            <w:tcW w:w="4663" w:type="dxa"/>
            <w:vMerge/>
            <w:shd w:val="clear" w:color="auto" w:fill="auto"/>
            <w:vAlign w:val="center"/>
          </w:tcPr>
          <w:p w14:paraId="44937E3E" w14:textId="77777777" w:rsidR="000A2A7A" w:rsidRPr="00FD7B0B" w:rsidRDefault="000A2A7A" w:rsidP="000A2A7A">
            <w:pPr>
              <w:pStyle w:val="1a"/>
              <w:widowControl/>
              <w:shd w:val="clear" w:color="auto" w:fill="auto"/>
              <w:spacing w:before="0" w:after="0" w:line="240" w:lineRule="auto"/>
              <w:jc w:val="center"/>
              <w:rPr>
                <w:rStyle w:val="aff3"/>
                <w:sz w:val="22"/>
                <w:szCs w:val="22"/>
              </w:rPr>
            </w:pPr>
          </w:p>
        </w:tc>
        <w:tc>
          <w:tcPr>
            <w:tcW w:w="1276" w:type="dxa"/>
            <w:shd w:val="clear" w:color="auto" w:fill="auto"/>
            <w:vAlign w:val="center"/>
          </w:tcPr>
          <w:p w14:paraId="695EF9F2" w14:textId="77777777" w:rsidR="000A2A7A" w:rsidRPr="00FD7B0B" w:rsidRDefault="000A2A7A" w:rsidP="000A2A7A">
            <w:pPr>
              <w:pStyle w:val="1a"/>
              <w:widowControl/>
              <w:shd w:val="clear" w:color="auto" w:fill="auto"/>
              <w:spacing w:before="0" w:after="0" w:line="240" w:lineRule="auto"/>
              <w:ind w:left="-108" w:right="-108" w:hanging="39"/>
              <w:jc w:val="center"/>
              <w:rPr>
                <w:rStyle w:val="aff3"/>
                <w:sz w:val="22"/>
                <w:szCs w:val="22"/>
              </w:rPr>
            </w:pPr>
            <w:r w:rsidRPr="00FD7B0B">
              <w:rPr>
                <w:rStyle w:val="aff3"/>
                <w:sz w:val="22"/>
                <w:szCs w:val="22"/>
              </w:rPr>
              <w:t>01.01.2024</w:t>
            </w:r>
          </w:p>
        </w:tc>
        <w:tc>
          <w:tcPr>
            <w:tcW w:w="1134" w:type="dxa"/>
            <w:shd w:val="clear" w:color="auto" w:fill="auto"/>
            <w:vAlign w:val="center"/>
          </w:tcPr>
          <w:p w14:paraId="7BA7A88E" w14:textId="77777777" w:rsidR="000A2A7A" w:rsidRPr="00FD7B0B" w:rsidRDefault="000A2A7A" w:rsidP="000A2A7A">
            <w:pPr>
              <w:pStyle w:val="1a"/>
              <w:widowControl/>
              <w:shd w:val="clear" w:color="auto" w:fill="auto"/>
              <w:spacing w:before="0" w:after="0" w:line="240" w:lineRule="auto"/>
              <w:ind w:left="-108" w:right="-108"/>
              <w:jc w:val="center"/>
              <w:rPr>
                <w:rStyle w:val="aff3"/>
                <w:sz w:val="22"/>
                <w:szCs w:val="22"/>
              </w:rPr>
            </w:pPr>
            <w:r w:rsidRPr="00FD7B0B">
              <w:rPr>
                <w:rStyle w:val="aff3"/>
                <w:sz w:val="22"/>
                <w:szCs w:val="22"/>
              </w:rPr>
              <w:t>31.12.2024</w:t>
            </w:r>
          </w:p>
        </w:tc>
        <w:tc>
          <w:tcPr>
            <w:tcW w:w="1277" w:type="dxa"/>
            <w:shd w:val="clear" w:color="auto" w:fill="auto"/>
            <w:vAlign w:val="center"/>
          </w:tcPr>
          <w:p w14:paraId="69FA4226" w14:textId="77777777" w:rsidR="000A2A7A" w:rsidRPr="00FD7B0B" w:rsidRDefault="000A2A7A" w:rsidP="000A2A7A">
            <w:pPr>
              <w:pStyle w:val="1a"/>
              <w:widowControl/>
              <w:shd w:val="clear" w:color="auto" w:fill="auto"/>
              <w:spacing w:before="0" w:after="0" w:line="240" w:lineRule="auto"/>
              <w:ind w:left="-108" w:right="-108"/>
              <w:jc w:val="center"/>
              <w:rPr>
                <w:rStyle w:val="aff3"/>
                <w:sz w:val="22"/>
                <w:szCs w:val="22"/>
              </w:rPr>
            </w:pPr>
            <w:r w:rsidRPr="00FD7B0B">
              <w:rPr>
                <w:rStyle w:val="aff3"/>
                <w:sz w:val="22"/>
                <w:szCs w:val="22"/>
              </w:rPr>
              <w:t>млн.руб.</w:t>
            </w:r>
          </w:p>
        </w:tc>
        <w:tc>
          <w:tcPr>
            <w:tcW w:w="1276" w:type="dxa"/>
            <w:shd w:val="clear" w:color="auto" w:fill="auto"/>
            <w:vAlign w:val="center"/>
          </w:tcPr>
          <w:p w14:paraId="40C8A1AB" w14:textId="77777777" w:rsidR="000A2A7A" w:rsidRPr="00FD7B0B" w:rsidRDefault="000A2A7A" w:rsidP="000A2A7A">
            <w:pPr>
              <w:pStyle w:val="1a"/>
              <w:widowControl/>
              <w:shd w:val="clear" w:color="auto" w:fill="auto"/>
              <w:spacing w:before="0" w:after="0" w:line="240" w:lineRule="auto"/>
              <w:ind w:left="-108" w:right="-108"/>
              <w:jc w:val="center"/>
              <w:rPr>
                <w:rStyle w:val="aff3"/>
                <w:sz w:val="22"/>
                <w:szCs w:val="22"/>
              </w:rPr>
            </w:pPr>
            <w:r w:rsidRPr="00FD7B0B">
              <w:rPr>
                <w:rStyle w:val="aff3"/>
                <w:sz w:val="22"/>
                <w:szCs w:val="22"/>
              </w:rPr>
              <w:t>%</w:t>
            </w:r>
          </w:p>
        </w:tc>
      </w:tr>
      <w:tr w:rsidR="00FD7B0B" w:rsidRPr="00FD7B0B" w14:paraId="57355B55" w14:textId="77777777" w:rsidTr="000A2A7A">
        <w:trPr>
          <w:tblHeader/>
        </w:trPr>
        <w:tc>
          <w:tcPr>
            <w:tcW w:w="4663" w:type="dxa"/>
            <w:shd w:val="clear" w:color="auto" w:fill="auto"/>
            <w:vAlign w:val="center"/>
          </w:tcPr>
          <w:p w14:paraId="47E9FF88" w14:textId="77777777" w:rsidR="000A2A7A" w:rsidRPr="00FD7B0B" w:rsidRDefault="000A2A7A" w:rsidP="000A2A7A">
            <w:pPr>
              <w:pStyle w:val="1a"/>
              <w:widowControl/>
              <w:shd w:val="clear" w:color="auto" w:fill="auto"/>
              <w:spacing w:before="0" w:after="0" w:line="240" w:lineRule="auto"/>
              <w:jc w:val="center"/>
              <w:rPr>
                <w:rStyle w:val="aff3"/>
                <w:sz w:val="22"/>
                <w:szCs w:val="22"/>
              </w:rPr>
            </w:pPr>
            <w:r w:rsidRPr="00FD7B0B">
              <w:rPr>
                <w:rStyle w:val="aff3"/>
                <w:sz w:val="22"/>
                <w:szCs w:val="22"/>
              </w:rPr>
              <w:t>А</w:t>
            </w:r>
          </w:p>
        </w:tc>
        <w:tc>
          <w:tcPr>
            <w:tcW w:w="1276" w:type="dxa"/>
            <w:shd w:val="clear" w:color="auto" w:fill="auto"/>
            <w:vAlign w:val="center"/>
          </w:tcPr>
          <w:p w14:paraId="76FCEBBB" w14:textId="77777777" w:rsidR="000A2A7A" w:rsidRPr="00FD7B0B" w:rsidRDefault="000A2A7A" w:rsidP="000A2A7A">
            <w:pPr>
              <w:pStyle w:val="1a"/>
              <w:widowControl/>
              <w:shd w:val="clear" w:color="auto" w:fill="auto"/>
              <w:spacing w:before="0" w:after="0" w:line="240" w:lineRule="auto"/>
              <w:ind w:hanging="39"/>
              <w:jc w:val="center"/>
              <w:rPr>
                <w:rStyle w:val="aff3"/>
                <w:sz w:val="22"/>
                <w:szCs w:val="22"/>
              </w:rPr>
            </w:pPr>
            <w:r w:rsidRPr="00FD7B0B">
              <w:rPr>
                <w:rStyle w:val="aff3"/>
                <w:sz w:val="22"/>
                <w:szCs w:val="22"/>
              </w:rPr>
              <w:t>1</w:t>
            </w:r>
          </w:p>
        </w:tc>
        <w:tc>
          <w:tcPr>
            <w:tcW w:w="1134" w:type="dxa"/>
            <w:shd w:val="clear" w:color="auto" w:fill="auto"/>
            <w:vAlign w:val="center"/>
          </w:tcPr>
          <w:p w14:paraId="5FEC5147" w14:textId="77777777" w:rsidR="000A2A7A" w:rsidRPr="00FD7B0B" w:rsidRDefault="000A2A7A" w:rsidP="000A2A7A">
            <w:pPr>
              <w:pStyle w:val="1a"/>
              <w:widowControl/>
              <w:shd w:val="clear" w:color="auto" w:fill="auto"/>
              <w:spacing w:before="0" w:after="0" w:line="240" w:lineRule="auto"/>
              <w:jc w:val="center"/>
              <w:rPr>
                <w:rStyle w:val="aff3"/>
                <w:sz w:val="22"/>
                <w:szCs w:val="22"/>
              </w:rPr>
            </w:pPr>
            <w:r w:rsidRPr="00FD7B0B">
              <w:rPr>
                <w:rStyle w:val="aff3"/>
                <w:sz w:val="22"/>
                <w:szCs w:val="22"/>
              </w:rPr>
              <w:t>2</w:t>
            </w:r>
          </w:p>
        </w:tc>
        <w:tc>
          <w:tcPr>
            <w:tcW w:w="1277" w:type="dxa"/>
            <w:shd w:val="clear" w:color="auto" w:fill="auto"/>
            <w:vAlign w:val="center"/>
          </w:tcPr>
          <w:p w14:paraId="07F703D0" w14:textId="77777777" w:rsidR="000A2A7A" w:rsidRPr="00FD7B0B" w:rsidRDefault="000A2A7A" w:rsidP="000A2A7A">
            <w:pPr>
              <w:pStyle w:val="1a"/>
              <w:widowControl/>
              <w:shd w:val="clear" w:color="auto" w:fill="auto"/>
              <w:spacing w:before="0" w:after="0" w:line="240" w:lineRule="auto"/>
              <w:jc w:val="center"/>
              <w:rPr>
                <w:rStyle w:val="aff3"/>
                <w:sz w:val="22"/>
                <w:szCs w:val="22"/>
              </w:rPr>
            </w:pPr>
            <w:r w:rsidRPr="00FD7B0B">
              <w:rPr>
                <w:rStyle w:val="aff3"/>
                <w:sz w:val="22"/>
                <w:szCs w:val="22"/>
              </w:rPr>
              <w:t>3=2-1</w:t>
            </w:r>
          </w:p>
        </w:tc>
        <w:tc>
          <w:tcPr>
            <w:tcW w:w="1276" w:type="dxa"/>
            <w:shd w:val="clear" w:color="auto" w:fill="auto"/>
            <w:vAlign w:val="center"/>
          </w:tcPr>
          <w:p w14:paraId="2A59EF12" w14:textId="19644902" w:rsidR="000A2A7A" w:rsidRPr="00FD7B0B" w:rsidRDefault="000A2A7A" w:rsidP="000A2A7A">
            <w:pPr>
              <w:pStyle w:val="1a"/>
              <w:widowControl/>
              <w:shd w:val="clear" w:color="auto" w:fill="auto"/>
              <w:spacing w:before="0" w:after="0" w:line="240" w:lineRule="auto"/>
              <w:jc w:val="center"/>
              <w:rPr>
                <w:rStyle w:val="aff3"/>
                <w:sz w:val="22"/>
                <w:szCs w:val="22"/>
              </w:rPr>
            </w:pPr>
            <w:r w:rsidRPr="00FD7B0B">
              <w:rPr>
                <w:rStyle w:val="aff3"/>
                <w:sz w:val="22"/>
                <w:szCs w:val="22"/>
              </w:rPr>
              <w:t>4=2/1*100</w:t>
            </w:r>
            <w:r w:rsidR="000C22D9" w:rsidRPr="00FD7B0B">
              <w:rPr>
                <w:rStyle w:val="aff3"/>
                <w:sz w:val="22"/>
                <w:szCs w:val="22"/>
              </w:rPr>
              <w:t>-100</w:t>
            </w:r>
          </w:p>
        </w:tc>
      </w:tr>
      <w:tr w:rsidR="00FD7B0B" w:rsidRPr="00FD7B0B" w14:paraId="73FF18AC" w14:textId="77777777" w:rsidTr="000C7224">
        <w:tc>
          <w:tcPr>
            <w:tcW w:w="4663" w:type="dxa"/>
            <w:shd w:val="clear" w:color="auto" w:fill="auto"/>
          </w:tcPr>
          <w:p w14:paraId="34FDA4E5" w14:textId="77777777" w:rsidR="000A2A7A" w:rsidRPr="00FD7B0B" w:rsidRDefault="000A2A7A" w:rsidP="000A2A7A">
            <w:pPr>
              <w:pStyle w:val="1a"/>
              <w:widowControl/>
              <w:shd w:val="clear" w:color="auto" w:fill="auto"/>
              <w:spacing w:before="0" w:after="0" w:line="240" w:lineRule="auto"/>
              <w:jc w:val="left"/>
              <w:rPr>
                <w:rStyle w:val="aff3"/>
                <w:sz w:val="22"/>
                <w:szCs w:val="22"/>
              </w:rPr>
            </w:pPr>
            <w:r w:rsidRPr="00FD7B0B">
              <w:rPr>
                <w:rStyle w:val="aff3"/>
                <w:sz w:val="22"/>
                <w:szCs w:val="22"/>
              </w:rPr>
              <w:t>Доходы от использования имущества, находящегося в гос. и муниципальной собственности</w:t>
            </w:r>
          </w:p>
        </w:tc>
        <w:tc>
          <w:tcPr>
            <w:tcW w:w="1276" w:type="dxa"/>
            <w:shd w:val="clear" w:color="auto" w:fill="auto"/>
          </w:tcPr>
          <w:p w14:paraId="01ABB6F1"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4,1</w:t>
            </w:r>
          </w:p>
        </w:tc>
        <w:tc>
          <w:tcPr>
            <w:tcW w:w="1134" w:type="dxa"/>
            <w:shd w:val="clear" w:color="auto" w:fill="auto"/>
          </w:tcPr>
          <w:p w14:paraId="3395F58C"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39,4</w:t>
            </w:r>
          </w:p>
        </w:tc>
        <w:tc>
          <w:tcPr>
            <w:tcW w:w="1277" w:type="dxa"/>
            <w:shd w:val="clear" w:color="auto" w:fill="auto"/>
          </w:tcPr>
          <w:p w14:paraId="1AF9C5F8"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35,3</w:t>
            </w:r>
          </w:p>
        </w:tc>
        <w:tc>
          <w:tcPr>
            <w:tcW w:w="1276" w:type="dxa"/>
            <w:shd w:val="clear" w:color="auto" w:fill="auto"/>
          </w:tcPr>
          <w:p w14:paraId="7B2C77DB"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в 9,6 раза</w:t>
            </w:r>
          </w:p>
        </w:tc>
      </w:tr>
      <w:tr w:rsidR="00FD7B0B" w:rsidRPr="00FD7B0B" w14:paraId="48BC4CE6" w14:textId="77777777" w:rsidTr="000C7224">
        <w:tc>
          <w:tcPr>
            <w:tcW w:w="4663" w:type="dxa"/>
            <w:shd w:val="clear" w:color="auto" w:fill="auto"/>
          </w:tcPr>
          <w:p w14:paraId="1C62721A" w14:textId="77777777" w:rsidR="000A2A7A" w:rsidRPr="00FD7B0B" w:rsidRDefault="000A2A7A" w:rsidP="000A2A7A">
            <w:pPr>
              <w:pStyle w:val="1a"/>
              <w:widowControl/>
              <w:shd w:val="clear" w:color="auto" w:fill="auto"/>
              <w:spacing w:before="0" w:after="0" w:line="240" w:lineRule="auto"/>
              <w:jc w:val="left"/>
              <w:rPr>
                <w:rStyle w:val="aff3"/>
                <w:sz w:val="22"/>
                <w:szCs w:val="22"/>
              </w:rPr>
            </w:pPr>
            <w:r w:rsidRPr="00FD7B0B">
              <w:rPr>
                <w:rStyle w:val="aff3"/>
                <w:sz w:val="22"/>
                <w:szCs w:val="22"/>
              </w:rPr>
              <w:t>Платежи при пользовании природными ресурсами</w:t>
            </w:r>
          </w:p>
        </w:tc>
        <w:tc>
          <w:tcPr>
            <w:tcW w:w="1276" w:type="dxa"/>
            <w:shd w:val="clear" w:color="auto" w:fill="auto"/>
          </w:tcPr>
          <w:p w14:paraId="07C00D6A"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72,6</w:t>
            </w:r>
          </w:p>
        </w:tc>
        <w:tc>
          <w:tcPr>
            <w:tcW w:w="1134" w:type="dxa"/>
            <w:shd w:val="clear" w:color="auto" w:fill="auto"/>
          </w:tcPr>
          <w:p w14:paraId="6DCF574C"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53,9</w:t>
            </w:r>
          </w:p>
        </w:tc>
        <w:tc>
          <w:tcPr>
            <w:tcW w:w="1277" w:type="dxa"/>
            <w:shd w:val="clear" w:color="auto" w:fill="auto"/>
          </w:tcPr>
          <w:p w14:paraId="4654FCDD"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-18,7</w:t>
            </w:r>
          </w:p>
        </w:tc>
        <w:tc>
          <w:tcPr>
            <w:tcW w:w="1276" w:type="dxa"/>
            <w:shd w:val="clear" w:color="auto" w:fill="auto"/>
          </w:tcPr>
          <w:p w14:paraId="457586AC"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-25,8</w:t>
            </w:r>
          </w:p>
        </w:tc>
      </w:tr>
      <w:tr w:rsidR="00FD7B0B" w:rsidRPr="00FD7B0B" w14:paraId="7F077BD1" w14:textId="77777777" w:rsidTr="00295FBA">
        <w:trPr>
          <w:trHeight w:val="318"/>
        </w:trPr>
        <w:tc>
          <w:tcPr>
            <w:tcW w:w="4663" w:type="dxa"/>
            <w:shd w:val="clear" w:color="auto" w:fill="auto"/>
          </w:tcPr>
          <w:p w14:paraId="7ADEFA47" w14:textId="77777777" w:rsidR="000A2A7A" w:rsidRPr="00FD7B0B" w:rsidRDefault="000A2A7A" w:rsidP="000A2A7A">
            <w:pPr>
              <w:pStyle w:val="1a"/>
              <w:widowControl/>
              <w:shd w:val="clear" w:color="auto" w:fill="auto"/>
              <w:spacing w:before="0" w:after="0" w:line="240" w:lineRule="auto"/>
              <w:jc w:val="left"/>
              <w:rPr>
                <w:rStyle w:val="aff3"/>
                <w:sz w:val="22"/>
                <w:szCs w:val="22"/>
              </w:rPr>
            </w:pPr>
            <w:r w:rsidRPr="00FD7B0B">
              <w:rPr>
                <w:rStyle w:val="aff3"/>
                <w:sz w:val="22"/>
                <w:szCs w:val="22"/>
              </w:rPr>
              <w:t>Доходы от оказания платных услуг и компенсации затрат государства</w:t>
            </w:r>
          </w:p>
        </w:tc>
        <w:tc>
          <w:tcPr>
            <w:tcW w:w="1276" w:type="dxa"/>
            <w:shd w:val="clear" w:color="auto" w:fill="auto"/>
          </w:tcPr>
          <w:p w14:paraId="5734771E"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258,8</w:t>
            </w:r>
          </w:p>
        </w:tc>
        <w:tc>
          <w:tcPr>
            <w:tcW w:w="1134" w:type="dxa"/>
            <w:shd w:val="clear" w:color="auto" w:fill="auto"/>
          </w:tcPr>
          <w:p w14:paraId="12CAA786" w14:textId="247CD9CB" w:rsidR="000A2A7A" w:rsidRPr="00FD7B0B" w:rsidRDefault="00252C8A" w:rsidP="000C7224">
            <w:pPr>
              <w:pStyle w:val="1a"/>
              <w:widowControl/>
              <w:shd w:val="clear" w:color="auto" w:fill="auto"/>
              <w:spacing w:before="0" w:after="0" w:line="240" w:lineRule="auto"/>
              <w:jc w:val="right"/>
              <w:rPr>
                <w:rStyle w:val="aff3"/>
                <w:sz w:val="22"/>
                <w:szCs w:val="22"/>
              </w:rPr>
            </w:pPr>
            <w:r w:rsidRPr="00FD7B0B">
              <w:rPr>
                <w:rStyle w:val="aff3"/>
                <w:sz w:val="22"/>
                <w:szCs w:val="22"/>
              </w:rPr>
              <w:t>227,3</w:t>
            </w:r>
          </w:p>
        </w:tc>
        <w:tc>
          <w:tcPr>
            <w:tcW w:w="1277" w:type="dxa"/>
            <w:shd w:val="clear" w:color="auto" w:fill="auto"/>
          </w:tcPr>
          <w:p w14:paraId="03896932" w14:textId="414A0E2C" w:rsidR="000A2A7A" w:rsidRPr="00FD7B0B" w:rsidRDefault="000C22D9" w:rsidP="000C7224">
            <w:pPr>
              <w:pStyle w:val="1a"/>
              <w:widowControl/>
              <w:shd w:val="clear" w:color="auto" w:fill="auto"/>
              <w:spacing w:before="0" w:after="0" w:line="240" w:lineRule="auto"/>
              <w:jc w:val="right"/>
              <w:rPr>
                <w:rStyle w:val="aff3"/>
                <w:sz w:val="22"/>
                <w:szCs w:val="22"/>
              </w:rPr>
            </w:pPr>
            <w:r w:rsidRPr="00FD7B0B">
              <w:rPr>
                <w:rStyle w:val="aff3"/>
                <w:sz w:val="22"/>
                <w:szCs w:val="22"/>
              </w:rPr>
              <w:t>-31,5</w:t>
            </w:r>
          </w:p>
        </w:tc>
        <w:tc>
          <w:tcPr>
            <w:tcW w:w="1276" w:type="dxa"/>
            <w:shd w:val="clear" w:color="auto" w:fill="auto"/>
          </w:tcPr>
          <w:p w14:paraId="49954867" w14:textId="53D0F5D0" w:rsidR="000A2A7A" w:rsidRPr="00FD7B0B" w:rsidRDefault="000C22D9" w:rsidP="000C22D9">
            <w:pPr>
              <w:pStyle w:val="1a"/>
              <w:widowControl/>
              <w:shd w:val="clear" w:color="auto" w:fill="auto"/>
              <w:spacing w:before="0" w:after="0" w:line="240" w:lineRule="auto"/>
              <w:jc w:val="right"/>
              <w:rPr>
                <w:rStyle w:val="aff3"/>
                <w:sz w:val="22"/>
                <w:szCs w:val="22"/>
              </w:rPr>
            </w:pPr>
            <w:r w:rsidRPr="00FD7B0B">
              <w:rPr>
                <w:rStyle w:val="aff3"/>
                <w:sz w:val="22"/>
                <w:szCs w:val="22"/>
              </w:rPr>
              <w:t>-12,2</w:t>
            </w:r>
          </w:p>
        </w:tc>
      </w:tr>
      <w:tr w:rsidR="00FD7B0B" w:rsidRPr="00FD7B0B" w14:paraId="5FEB64D6" w14:textId="77777777" w:rsidTr="000C7224">
        <w:tc>
          <w:tcPr>
            <w:tcW w:w="4663" w:type="dxa"/>
            <w:shd w:val="clear" w:color="auto" w:fill="auto"/>
          </w:tcPr>
          <w:p w14:paraId="5D261069" w14:textId="77777777" w:rsidR="000A2A7A" w:rsidRPr="00FD7B0B" w:rsidRDefault="000A2A7A" w:rsidP="000A2A7A">
            <w:pPr>
              <w:pStyle w:val="1a"/>
              <w:widowControl/>
              <w:shd w:val="clear" w:color="auto" w:fill="auto"/>
              <w:spacing w:before="0" w:after="0" w:line="240" w:lineRule="auto"/>
              <w:jc w:val="left"/>
              <w:rPr>
                <w:rStyle w:val="aff3"/>
                <w:sz w:val="22"/>
                <w:szCs w:val="22"/>
              </w:rPr>
            </w:pPr>
            <w:r w:rsidRPr="00FD7B0B">
              <w:rPr>
                <w:rStyle w:val="aff3"/>
                <w:sz w:val="22"/>
                <w:szCs w:val="22"/>
              </w:rPr>
              <w:t>Штрафы, санкциям, возмещению ущерба</w:t>
            </w:r>
          </w:p>
        </w:tc>
        <w:tc>
          <w:tcPr>
            <w:tcW w:w="1276" w:type="dxa"/>
            <w:shd w:val="clear" w:color="auto" w:fill="auto"/>
          </w:tcPr>
          <w:p w14:paraId="1850865B"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92,8</w:t>
            </w:r>
          </w:p>
        </w:tc>
        <w:tc>
          <w:tcPr>
            <w:tcW w:w="1134" w:type="dxa"/>
            <w:shd w:val="clear" w:color="auto" w:fill="auto"/>
          </w:tcPr>
          <w:p w14:paraId="643F0E59" w14:textId="0E64468D" w:rsidR="000A2A7A" w:rsidRPr="00FD7B0B" w:rsidRDefault="00252C8A" w:rsidP="000C7224">
            <w:pPr>
              <w:pStyle w:val="1a"/>
              <w:widowControl/>
              <w:shd w:val="clear" w:color="auto" w:fill="auto"/>
              <w:spacing w:before="0" w:after="0" w:line="240" w:lineRule="auto"/>
              <w:jc w:val="right"/>
              <w:rPr>
                <w:rStyle w:val="aff3"/>
                <w:sz w:val="22"/>
                <w:szCs w:val="22"/>
              </w:rPr>
            </w:pPr>
            <w:r w:rsidRPr="00FD7B0B">
              <w:rPr>
                <w:rStyle w:val="aff3"/>
                <w:sz w:val="22"/>
                <w:szCs w:val="22"/>
              </w:rPr>
              <w:t>226,0</w:t>
            </w:r>
          </w:p>
        </w:tc>
        <w:tc>
          <w:tcPr>
            <w:tcW w:w="1277" w:type="dxa"/>
            <w:shd w:val="clear" w:color="auto" w:fill="auto"/>
          </w:tcPr>
          <w:p w14:paraId="62165C7F" w14:textId="1DF417CD" w:rsidR="000A2A7A" w:rsidRPr="00FD7B0B" w:rsidRDefault="000C22D9" w:rsidP="000C7224">
            <w:pPr>
              <w:pStyle w:val="1a"/>
              <w:widowControl/>
              <w:shd w:val="clear" w:color="auto" w:fill="auto"/>
              <w:spacing w:before="0" w:after="0" w:line="240" w:lineRule="auto"/>
              <w:jc w:val="right"/>
              <w:rPr>
                <w:rStyle w:val="aff3"/>
                <w:sz w:val="22"/>
                <w:szCs w:val="22"/>
              </w:rPr>
            </w:pPr>
            <w:r w:rsidRPr="00FD7B0B">
              <w:rPr>
                <w:rStyle w:val="aff3"/>
                <w:sz w:val="22"/>
                <w:szCs w:val="22"/>
              </w:rPr>
              <w:t>133,2</w:t>
            </w:r>
          </w:p>
        </w:tc>
        <w:tc>
          <w:tcPr>
            <w:tcW w:w="1276" w:type="dxa"/>
            <w:shd w:val="clear" w:color="auto" w:fill="auto"/>
          </w:tcPr>
          <w:p w14:paraId="0EE7711F" w14:textId="51378A65" w:rsidR="000A2A7A" w:rsidRPr="00FD7B0B" w:rsidRDefault="000A2A7A" w:rsidP="000C22D9">
            <w:pPr>
              <w:pStyle w:val="1a"/>
              <w:widowControl/>
              <w:shd w:val="clear" w:color="auto" w:fill="auto"/>
              <w:spacing w:before="0" w:after="0" w:line="240" w:lineRule="auto"/>
              <w:jc w:val="right"/>
              <w:rPr>
                <w:rStyle w:val="aff3"/>
                <w:sz w:val="22"/>
                <w:szCs w:val="22"/>
              </w:rPr>
            </w:pPr>
            <w:r w:rsidRPr="00FD7B0B">
              <w:rPr>
                <w:rStyle w:val="aff3"/>
                <w:sz w:val="22"/>
                <w:szCs w:val="22"/>
              </w:rPr>
              <w:t xml:space="preserve">в </w:t>
            </w:r>
            <w:r w:rsidR="000C22D9" w:rsidRPr="00FD7B0B">
              <w:rPr>
                <w:rStyle w:val="aff3"/>
                <w:sz w:val="22"/>
                <w:szCs w:val="22"/>
              </w:rPr>
              <w:t>2</w:t>
            </w:r>
            <w:r w:rsidRPr="00FD7B0B">
              <w:rPr>
                <w:rStyle w:val="aff3"/>
                <w:sz w:val="22"/>
                <w:szCs w:val="22"/>
              </w:rPr>
              <w:t>,4 раза</w:t>
            </w:r>
          </w:p>
        </w:tc>
      </w:tr>
      <w:tr w:rsidR="000A2A7A" w:rsidRPr="00FD7B0B" w14:paraId="7EB185D8" w14:textId="77777777" w:rsidTr="000C7224">
        <w:tc>
          <w:tcPr>
            <w:tcW w:w="4663" w:type="dxa"/>
            <w:shd w:val="clear" w:color="auto" w:fill="auto"/>
          </w:tcPr>
          <w:p w14:paraId="648856E2" w14:textId="77777777" w:rsidR="000A2A7A" w:rsidRPr="00FD7B0B" w:rsidRDefault="000A2A7A" w:rsidP="000A2A7A">
            <w:pPr>
              <w:pStyle w:val="1a"/>
              <w:widowControl/>
              <w:shd w:val="clear" w:color="auto" w:fill="auto"/>
              <w:spacing w:before="0" w:after="0" w:line="240" w:lineRule="auto"/>
              <w:jc w:val="left"/>
              <w:rPr>
                <w:rStyle w:val="aff3"/>
                <w:sz w:val="22"/>
                <w:szCs w:val="22"/>
              </w:rPr>
            </w:pPr>
            <w:r w:rsidRPr="00FD7B0B">
              <w:rPr>
                <w:rStyle w:val="aff3"/>
                <w:sz w:val="22"/>
                <w:szCs w:val="22"/>
              </w:rPr>
              <w:t>Итого</w:t>
            </w:r>
          </w:p>
        </w:tc>
        <w:tc>
          <w:tcPr>
            <w:tcW w:w="1276" w:type="dxa"/>
            <w:shd w:val="clear" w:color="auto" w:fill="auto"/>
          </w:tcPr>
          <w:p w14:paraId="5D7A0094"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428,3</w:t>
            </w:r>
          </w:p>
        </w:tc>
        <w:tc>
          <w:tcPr>
            <w:tcW w:w="1134" w:type="dxa"/>
            <w:shd w:val="clear" w:color="auto" w:fill="auto"/>
          </w:tcPr>
          <w:p w14:paraId="2C751DDC"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546,6</w:t>
            </w:r>
          </w:p>
        </w:tc>
        <w:tc>
          <w:tcPr>
            <w:tcW w:w="1277" w:type="dxa"/>
            <w:shd w:val="clear" w:color="auto" w:fill="auto"/>
          </w:tcPr>
          <w:p w14:paraId="24075093"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118,3</w:t>
            </w:r>
          </w:p>
        </w:tc>
        <w:tc>
          <w:tcPr>
            <w:tcW w:w="1276" w:type="dxa"/>
            <w:shd w:val="clear" w:color="auto" w:fill="auto"/>
          </w:tcPr>
          <w:p w14:paraId="47AACE1A" w14:textId="77777777" w:rsidR="000A2A7A" w:rsidRPr="00FD7B0B" w:rsidRDefault="000A2A7A" w:rsidP="000C7224">
            <w:pPr>
              <w:pStyle w:val="1a"/>
              <w:widowControl/>
              <w:shd w:val="clear" w:color="auto" w:fill="auto"/>
              <w:spacing w:before="0" w:after="0" w:line="240" w:lineRule="auto"/>
              <w:jc w:val="right"/>
              <w:rPr>
                <w:rStyle w:val="aff3"/>
                <w:sz w:val="22"/>
                <w:szCs w:val="22"/>
              </w:rPr>
            </w:pPr>
            <w:r w:rsidRPr="00FD7B0B">
              <w:rPr>
                <w:rStyle w:val="aff3"/>
                <w:sz w:val="22"/>
                <w:szCs w:val="22"/>
              </w:rPr>
              <w:t>в 1,2 раза</w:t>
            </w:r>
          </w:p>
        </w:tc>
      </w:tr>
    </w:tbl>
    <w:p w14:paraId="7B68BDD4" w14:textId="77777777" w:rsidR="000A2A7A" w:rsidRPr="00FD7B0B" w:rsidRDefault="000A2A7A" w:rsidP="000A2A7A">
      <w:pPr>
        <w:pStyle w:val="1a"/>
        <w:widowControl/>
        <w:spacing w:before="0" w:after="0" w:line="240" w:lineRule="auto"/>
        <w:ind w:firstLine="720"/>
      </w:pPr>
    </w:p>
    <w:p w14:paraId="7513BC0B" w14:textId="77777777" w:rsidR="00891ACE" w:rsidRPr="00FD7B0B" w:rsidRDefault="00891ACE" w:rsidP="00891ACE">
      <w:pPr>
        <w:pStyle w:val="1a"/>
        <w:widowControl/>
        <w:spacing w:before="0" w:after="0" w:line="240" w:lineRule="auto"/>
        <w:ind w:firstLine="720"/>
        <w:rPr>
          <w:sz w:val="28"/>
          <w:szCs w:val="28"/>
        </w:rPr>
      </w:pPr>
      <w:r w:rsidRPr="00FD7B0B">
        <w:rPr>
          <w:sz w:val="28"/>
          <w:szCs w:val="28"/>
        </w:rPr>
        <w:t>Согласно представленной информации, на 31.12.2024 значительную долю в общей сумме просроченной дебиторской задолженности составляет дебиторская задолженность по доходам от оказания платных услуг и компенсации затрат государства или 59,0 %, что на 1,47 процентных пункта меньше доли просроченной дебиторской задолженности по указанным доходам в общей сумме просроченной дебиторской задолженности по состоянию на 01.01.2024 (60,4 %). Также существенную долю в общей сумме просроченной дебиторской задолженности на 31.12.2024 составляет задолженность по штрафам, санкциям, возмещению ущерба или 21,7 %, что на 2,3 процентных пункта больше доли просроченной дебиторской задолженности по штрафам, санкциям, возмещению ущерба по состоянию на 01.01.2024 (21,7 %).</w:t>
      </w:r>
    </w:p>
    <w:p w14:paraId="5C08A454" w14:textId="339AD2B4" w:rsidR="000A2A7A" w:rsidRPr="00FD7B0B" w:rsidRDefault="000A2A7A" w:rsidP="000A2A7A">
      <w:pPr>
        <w:pStyle w:val="1a"/>
        <w:widowControl/>
        <w:spacing w:before="0" w:after="0" w:line="240" w:lineRule="auto"/>
        <w:ind w:firstLine="720"/>
        <w:rPr>
          <w:sz w:val="28"/>
          <w:szCs w:val="28"/>
        </w:rPr>
      </w:pPr>
      <w:r w:rsidRPr="00FD7B0B">
        <w:rPr>
          <w:sz w:val="28"/>
          <w:szCs w:val="28"/>
        </w:rPr>
        <w:t xml:space="preserve">В разрезе главных администраторов и кодов доходов просроченная задолженность на начало года (без учета переплат) и на конец отчетного периода (без учета переплат) с указанием мер, принимаемых главными администраторами доходов по взысканию задолженности представлена в приложении № </w:t>
      </w:r>
      <w:r w:rsidR="004F4294" w:rsidRPr="00FD7B0B">
        <w:rPr>
          <w:sz w:val="28"/>
          <w:szCs w:val="28"/>
        </w:rPr>
        <w:t>2</w:t>
      </w:r>
      <w:r w:rsidRPr="00FD7B0B">
        <w:rPr>
          <w:sz w:val="28"/>
          <w:szCs w:val="28"/>
        </w:rPr>
        <w:t xml:space="preserve"> к настоящему заключению.</w:t>
      </w:r>
    </w:p>
    <w:p w14:paraId="5295203A"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Согласно представленной Информации по состоянию на 31.12.2024 просроченная дебиторская задолженность с начала 2024 года увеличилась в 1,2 раза или на 118,3 млн.руб., наибольшие суммы сложились у следующих администраторов:</w:t>
      </w:r>
    </w:p>
    <w:p w14:paraId="3E02389F" w14:textId="2C0CC513" w:rsidR="000A2A7A" w:rsidRPr="00FD7B0B" w:rsidRDefault="000A2A7A" w:rsidP="0063072B">
      <w:pPr>
        <w:pStyle w:val="1a"/>
        <w:widowControl/>
        <w:numPr>
          <w:ilvl w:val="0"/>
          <w:numId w:val="13"/>
        </w:numPr>
        <w:spacing w:before="0" w:after="0" w:line="240" w:lineRule="auto"/>
        <w:ind w:left="0" w:firstLine="709"/>
        <w:rPr>
          <w:sz w:val="28"/>
          <w:szCs w:val="28"/>
        </w:rPr>
      </w:pPr>
      <w:r w:rsidRPr="00FD7B0B">
        <w:rPr>
          <w:sz w:val="28"/>
          <w:szCs w:val="28"/>
        </w:rPr>
        <w:t>министерство строительства и архитектуры Архангельской области – 259,4 млн.руб. компенсации затрат государства или 47,5 % от общей суммы задолженности, которая увеличилась к показателям на 01.01.2024 на 37,7 млн.руб. или на 17,0</w:t>
      </w:r>
      <w:r w:rsidR="00101DDF" w:rsidRPr="00FD7B0B">
        <w:rPr>
          <w:sz w:val="28"/>
          <w:szCs w:val="28"/>
        </w:rPr>
        <w:t xml:space="preserve"> </w:t>
      </w:r>
      <w:r w:rsidRPr="00FD7B0B">
        <w:rPr>
          <w:sz w:val="28"/>
          <w:szCs w:val="28"/>
        </w:rPr>
        <w:t>%;</w:t>
      </w:r>
    </w:p>
    <w:p w14:paraId="09103673"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t>–</w:t>
      </w:r>
      <w:r w:rsidRPr="00FD7B0B">
        <w:rPr>
          <w:sz w:val="28"/>
          <w:szCs w:val="28"/>
        </w:rPr>
        <w:tab/>
        <w:t>министерство природных ресурсов и лесопромышленного комплекса Архангельской области – 112,6 млн.руб. (53,9 млн.руб. – платежи при пользовании природными ресурсами; 57,8 млн.руб. – ш</w:t>
      </w:r>
      <w:r w:rsidRPr="00FD7B0B">
        <w:rPr>
          <w:rStyle w:val="aff3"/>
          <w:sz w:val="28"/>
          <w:szCs w:val="28"/>
        </w:rPr>
        <w:t>трафы, санкциям, возмещению ущерба)</w:t>
      </w:r>
      <w:r w:rsidRPr="00FD7B0B">
        <w:rPr>
          <w:sz w:val="28"/>
          <w:szCs w:val="28"/>
        </w:rPr>
        <w:t xml:space="preserve"> или 20,6 % от общей суммы дебиторской задолженности, с ростом к показателям задолженности на 01.01.2024 на 36,0 млн.руб. или в 1,4 раза;</w:t>
      </w:r>
    </w:p>
    <w:p w14:paraId="488CAB51" w14:textId="1513A2D1" w:rsidR="000A2A7A" w:rsidRPr="00FD7B0B" w:rsidRDefault="000A2A7A" w:rsidP="000A2A7A">
      <w:pPr>
        <w:pStyle w:val="1a"/>
        <w:widowControl/>
        <w:spacing w:before="0" w:after="0" w:line="240" w:lineRule="auto"/>
        <w:ind w:firstLine="686"/>
        <w:rPr>
          <w:sz w:val="28"/>
          <w:szCs w:val="28"/>
        </w:rPr>
      </w:pPr>
      <w:r w:rsidRPr="00FD7B0B">
        <w:rPr>
          <w:sz w:val="28"/>
          <w:szCs w:val="28"/>
        </w:rPr>
        <w:lastRenderedPageBreak/>
        <w:t>–</w:t>
      </w:r>
      <w:r w:rsidRPr="00FD7B0B">
        <w:rPr>
          <w:sz w:val="28"/>
          <w:szCs w:val="28"/>
        </w:rPr>
        <w:tab/>
        <w:t>министерство имущественных отношений Архангельской области – 39,4 млн.руб.</w:t>
      </w:r>
      <w:r w:rsidR="007724D1" w:rsidRPr="00FD7B0B">
        <w:rPr>
          <w:sz w:val="28"/>
          <w:szCs w:val="28"/>
        </w:rPr>
        <w:t>:</w:t>
      </w:r>
      <w:r w:rsidRPr="00FD7B0B">
        <w:rPr>
          <w:sz w:val="28"/>
          <w:szCs w:val="28"/>
        </w:rPr>
        <w:t xml:space="preserve"> доходы в виде прибыли… или дивидендов по акциям, принадлежащим Архангельской области, или 7,2 % от общей суммы задолженности, которая увеличилась к показателям на 01.01.2024 в 9,6 раза или на 35,3 млн.руб. (АО «2-ой Архангельский объединенный авиаотряд» – 34,8 млн.руб.);</w:t>
      </w:r>
    </w:p>
    <w:p w14:paraId="5795196B" w14:textId="597E6559" w:rsidR="000A2A7A" w:rsidRPr="00FD7B0B" w:rsidRDefault="000A2A7A" w:rsidP="0063072B">
      <w:pPr>
        <w:pStyle w:val="1a"/>
        <w:widowControl/>
        <w:numPr>
          <w:ilvl w:val="0"/>
          <w:numId w:val="13"/>
        </w:numPr>
        <w:spacing w:before="0" w:after="0" w:line="240" w:lineRule="auto"/>
        <w:ind w:left="0" w:firstLine="686"/>
        <w:rPr>
          <w:sz w:val="28"/>
          <w:szCs w:val="28"/>
        </w:rPr>
      </w:pPr>
      <w:r w:rsidRPr="00FD7B0B">
        <w:rPr>
          <w:sz w:val="28"/>
          <w:szCs w:val="28"/>
        </w:rPr>
        <w:t xml:space="preserve">агентство по организационному обеспечению деятельности мировых судей Архангельской области: штрафы, санкциям, возмещению ущерба – 53,6 млн.руб. или 9,8 % от общей суммы задолженности, которая </w:t>
      </w:r>
      <w:r w:rsidR="00783F19" w:rsidRPr="00FD7B0B">
        <w:rPr>
          <w:sz w:val="28"/>
          <w:szCs w:val="28"/>
        </w:rPr>
        <w:t>сократилась</w:t>
      </w:r>
      <w:r w:rsidRPr="00FD7B0B">
        <w:rPr>
          <w:sz w:val="28"/>
          <w:szCs w:val="28"/>
        </w:rPr>
        <w:t xml:space="preserve"> к показателям на 01.01.2024 на 15,1 млн.руб. или на 22,0 %</w:t>
      </w:r>
      <w:r w:rsidR="00783F19" w:rsidRPr="00FD7B0B">
        <w:rPr>
          <w:sz w:val="28"/>
          <w:szCs w:val="28"/>
        </w:rPr>
        <w:t>.</w:t>
      </w:r>
      <w:r w:rsidRPr="00FD7B0B">
        <w:rPr>
          <w:sz w:val="28"/>
          <w:szCs w:val="28"/>
        </w:rPr>
        <w:t xml:space="preserve"> </w:t>
      </w:r>
      <w:r w:rsidR="00783F19" w:rsidRPr="00FD7B0B">
        <w:rPr>
          <w:sz w:val="28"/>
          <w:szCs w:val="28"/>
        </w:rPr>
        <w:t>П</w:t>
      </w:r>
      <w:r w:rsidRPr="00FD7B0B">
        <w:rPr>
          <w:sz w:val="28"/>
          <w:szCs w:val="28"/>
        </w:rPr>
        <w:t xml:space="preserve">о видам административных штрафов, установленным Кодексом РФ об административных правонарушениях </w:t>
      </w:r>
      <w:r w:rsidR="00783F19" w:rsidRPr="00FD7B0B">
        <w:rPr>
          <w:sz w:val="28"/>
          <w:szCs w:val="28"/>
        </w:rPr>
        <w:t xml:space="preserve">сведения </w:t>
      </w:r>
      <w:r w:rsidRPr="00FD7B0B">
        <w:rPr>
          <w:sz w:val="28"/>
          <w:szCs w:val="28"/>
        </w:rPr>
        <w:t>представлен</w:t>
      </w:r>
      <w:r w:rsidR="00783F19" w:rsidRPr="00FD7B0B">
        <w:rPr>
          <w:sz w:val="28"/>
          <w:szCs w:val="28"/>
        </w:rPr>
        <w:t>ы</w:t>
      </w:r>
      <w:r w:rsidRPr="00FD7B0B">
        <w:rPr>
          <w:sz w:val="28"/>
          <w:szCs w:val="28"/>
        </w:rPr>
        <w:t xml:space="preserve"> в таблице</w:t>
      </w:r>
      <w:r w:rsidR="007724D1" w:rsidRPr="00FD7B0B">
        <w:rPr>
          <w:sz w:val="28"/>
          <w:szCs w:val="28"/>
        </w:rPr>
        <w:t xml:space="preserve"> </w:t>
      </w:r>
      <w:r w:rsidR="004F4294" w:rsidRPr="00FD7B0B">
        <w:rPr>
          <w:sz w:val="28"/>
          <w:szCs w:val="28"/>
        </w:rPr>
        <w:t>46</w:t>
      </w:r>
      <w:r w:rsidR="007724D1" w:rsidRPr="00FD7B0B">
        <w:rPr>
          <w:sz w:val="28"/>
          <w:szCs w:val="28"/>
        </w:rPr>
        <w:t>.</w:t>
      </w:r>
    </w:p>
    <w:p w14:paraId="0DFCF34B" w14:textId="77777777" w:rsidR="000A2A7A" w:rsidRPr="00FD7B0B" w:rsidRDefault="000A2A7A" w:rsidP="000A2A7A">
      <w:pPr>
        <w:pStyle w:val="1a"/>
        <w:widowControl/>
        <w:spacing w:before="0" w:after="0" w:line="240" w:lineRule="auto"/>
        <w:ind w:left="686"/>
        <w:rPr>
          <w:sz w:val="28"/>
          <w:szCs w:val="28"/>
        </w:rPr>
      </w:pPr>
    </w:p>
    <w:p w14:paraId="3C0E3A6B"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46</w:t>
      </w:r>
      <w:r w:rsidRPr="00FD7B0B">
        <w:rPr>
          <w:rFonts w:ascii="Times New Roman" w:hAnsi="Times New Roman"/>
          <w:b w:val="0"/>
          <w:sz w:val="24"/>
          <w:szCs w:val="24"/>
        </w:rPr>
        <w:fldChar w:fldCharType="end"/>
      </w:r>
      <w:r w:rsidRPr="00FD7B0B">
        <w:rPr>
          <w:rFonts w:ascii="Times New Roman" w:hAnsi="Times New Roman"/>
          <w:b w:val="0"/>
          <w:sz w:val="24"/>
          <w:szCs w:val="24"/>
        </w:rPr>
        <w:t>. Сводная информация о показателях просроченной дебиторской задолженности на 01.01.2024 и на 31.12.2024 по административным штрафам, установленным Кодексом РФ об административных правонарушениях, млн.руб.</w:t>
      </w:r>
    </w:p>
    <w:tbl>
      <w:tblPr>
        <w:tblW w:w="9781"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6379"/>
        <w:gridCol w:w="953"/>
        <w:gridCol w:w="1032"/>
        <w:gridCol w:w="1417"/>
      </w:tblGrid>
      <w:tr w:rsidR="00FD7B0B" w:rsidRPr="00FD7B0B" w14:paraId="6E90CFE7" w14:textId="77777777" w:rsidTr="000A2A7A">
        <w:trPr>
          <w:trHeight w:val="330"/>
          <w:tblHeader/>
        </w:trPr>
        <w:tc>
          <w:tcPr>
            <w:tcW w:w="6379" w:type="dxa"/>
            <w:vMerge w:val="restart"/>
            <w:shd w:val="clear" w:color="auto" w:fill="auto"/>
            <w:vAlign w:val="center"/>
            <w:hideMark/>
          </w:tcPr>
          <w:p w14:paraId="08E4013A" w14:textId="77777777" w:rsidR="000A2A7A" w:rsidRPr="00FD7B0B" w:rsidRDefault="000A2A7A" w:rsidP="000A2A7A">
            <w:pPr>
              <w:spacing w:after="0" w:line="240" w:lineRule="auto"/>
              <w:jc w:val="center"/>
              <w:rPr>
                <w:rFonts w:ascii="Times New Roman" w:eastAsia="Times New Roman" w:hAnsi="Times New Roman"/>
                <w:bCs/>
                <w:sz w:val="21"/>
                <w:szCs w:val="21"/>
                <w:lang w:eastAsia="ru-RU"/>
              </w:rPr>
            </w:pPr>
            <w:r w:rsidRPr="00FD7B0B">
              <w:rPr>
                <w:rFonts w:ascii="Times New Roman" w:eastAsia="Times New Roman" w:hAnsi="Times New Roman"/>
                <w:bCs/>
                <w:sz w:val="21"/>
                <w:szCs w:val="21"/>
                <w:lang w:eastAsia="ru-RU"/>
              </w:rPr>
              <w:t>Наименование</w:t>
            </w:r>
          </w:p>
        </w:tc>
        <w:tc>
          <w:tcPr>
            <w:tcW w:w="1985" w:type="dxa"/>
            <w:gridSpan w:val="2"/>
            <w:shd w:val="clear" w:color="auto" w:fill="auto"/>
            <w:vAlign w:val="center"/>
          </w:tcPr>
          <w:p w14:paraId="2E0FC631" w14:textId="77777777" w:rsidR="000A2A7A" w:rsidRPr="00FD7B0B" w:rsidRDefault="000A2A7A" w:rsidP="000A2A7A">
            <w:pPr>
              <w:spacing w:after="0" w:line="240" w:lineRule="auto"/>
              <w:ind w:left="-108" w:right="-107"/>
              <w:jc w:val="center"/>
              <w:rPr>
                <w:rFonts w:ascii="Times New Roman" w:eastAsia="Times New Roman" w:hAnsi="Times New Roman"/>
                <w:bCs/>
                <w:sz w:val="21"/>
                <w:szCs w:val="21"/>
                <w:lang w:eastAsia="ru-RU"/>
              </w:rPr>
            </w:pPr>
            <w:r w:rsidRPr="00FD7B0B">
              <w:rPr>
                <w:rFonts w:ascii="Times New Roman" w:eastAsia="Times New Roman" w:hAnsi="Times New Roman"/>
                <w:bCs/>
                <w:sz w:val="21"/>
                <w:szCs w:val="21"/>
                <w:lang w:eastAsia="ru-RU"/>
              </w:rPr>
              <w:t>2024 год</w:t>
            </w:r>
          </w:p>
        </w:tc>
        <w:tc>
          <w:tcPr>
            <w:tcW w:w="1417" w:type="dxa"/>
            <w:vMerge w:val="restart"/>
            <w:shd w:val="clear" w:color="auto" w:fill="auto"/>
            <w:vAlign w:val="center"/>
            <w:hideMark/>
          </w:tcPr>
          <w:p w14:paraId="2E332184" w14:textId="77777777" w:rsidR="000A2A7A" w:rsidRPr="00FD7B0B" w:rsidRDefault="000A2A7A" w:rsidP="000A2A7A">
            <w:pPr>
              <w:spacing w:after="0" w:line="240" w:lineRule="auto"/>
              <w:ind w:left="-108" w:right="-107"/>
              <w:jc w:val="center"/>
              <w:rPr>
                <w:rFonts w:ascii="Times New Roman" w:eastAsia="Times New Roman" w:hAnsi="Times New Roman"/>
                <w:bCs/>
                <w:sz w:val="21"/>
                <w:szCs w:val="21"/>
                <w:lang w:eastAsia="ru-RU"/>
              </w:rPr>
            </w:pPr>
            <w:r w:rsidRPr="00FD7B0B">
              <w:rPr>
                <w:rFonts w:ascii="Times New Roman" w:eastAsia="Times New Roman" w:hAnsi="Times New Roman"/>
                <w:bCs/>
                <w:sz w:val="21"/>
                <w:szCs w:val="21"/>
                <w:lang w:eastAsia="ru-RU"/>
              </w:rPr>
              <w:t>Изменение задолженности</w:t>
            </w:r>
          </w:p>
          <w:p w14:paraId="7A998503" w14:textId="77777777" w:rsidR="000A2A7A" w:rsidRPr="00FD7B0B" w:rsidRDefault="000A2A7A" w:rsidP="000A2A7A">
            <w:pPr>
              <w:spacing w:after="0" w:line="240" w:lineRule="auto"/>
              <w:ind w:left="-108" w:right="-107"/>
              <w:jc w:val="center"/>
              <w:rPr>
                <w:rFonts w:ascii="Times New Roman" w:eastAsia="Times New Roman" w:hAnsi="Times New Roman"/>
                <w:bCs/>
                <w:sz w:val="21"/>
                <w:szCs w:val="21"/>
                <w:lang w:eastAsia="ru-RU"/>
              </w:rPr>
            </w:pPr>
            <w:r w:rsidRPr="00FD7B0B">
              <w:rPr>
                <w:rFonts w:ascii="Times New Roman" w:eastAsia="Times New Roman" w:hAnsi="Times New Roman"/>
                <w:bCs/>
                <w:sz w:val="21"/>
                <w:szCs w:val="21"/>
                <w:lang w:eastAsia="ru-RU"/>
              </w:rPr>
              <w:t>на 31.12.24 // на 01.01.24, млн.руб.</w:t>
            </w:r>
          </w:p>
        </w:tc>
      </w:tr>
      <w:tr w:rsidR="00FD7B0B" w:rsidRPr="00FD7B0B" w14:paraId="65FB43E0" w14:textId="77777777" w:rsidTr="000A2A7A">
        <w:trPr>
          <w:trHeight w:val="330"/>
          <w:tblHeader/>
        </w:trPr>
        <w:tc>
          <w:tcPr>
            <w:tcW w:w="6379" w:type="dxa"/>
            <w:vMerge/>
            <w:shd w:val="clear" w:color="auto" w:fill="auto"/>
            <w:vAlign w:val="center"/>
          </w:tcPr>
          <w:p w14:paraId="4484CF06" w14:textId="77777777" w:rsidR="000A2A7A" w:rsidRPr="00FD7B0B" w:rsidRDefault="000A2A7A" w:rsidP="000A2A7A">
            <w:pPr>
              <w:spacing w:after="0" w:line="240" w:lineRule="auto"/>
              <w:jc w:val="center"/>
              <w:rPr>
                <w:rFonts w:ascii="Times New Roman" w:eastAsia="Times New Roman" w:hAnsi="Times New Roman"/>
                <w:bCs/>
                <w:sz w:val="21"/>
                <w:szCs w:val="21"/>
                <w:lang w:eastAsia="ru-RU"/>
              </w:rPr>
            </w:pPr>
          </w:p>
        </w:tc>
        <w:tc>
          <w:tcPr>
            <w:tcW w:w="953" w:type="dxa"/>
            <w:shd w:val="clear" w:color="auto" w:fill="auto"/>
            <w:vAlign w:val="center"/>
          </w:tcPr>
          <w:p w14:paraId="3606E7A1" w14:textId="77777777" w:rsidR="000A2A7A" w:rsidRPr="00FD7B0B" w:rsidRDefault="000A2A7A" w:rsidP="007724D1">
            <w:pPr>
              <w:spacing w:after="0" w:line="240" w:lineRule="auto"/>
              <w:ind w:left="-108" w:right="-6"/>
              <w:jc w:val="center"/>
              <w:rPr>
                <w:rFonts w:ascii="Times New Roman" w:eastAsia="Times New Roman" w:hAnsi="Times New Roman"/>
                <w:bCs/>
                <w:sz w:val="21"/>
                <w:szCs w:val="21"/>
                <w:lang w:eastAsia="ru-RU"/>
              </w:rPr>
            </w:pPr>
            <w:r w:rsidRPr="00FD7B0B">
              <w:rPr>
                <w:rFonts w:ascii="Times New Roman" w:eastAsia="Times New Roman" w:hAnsi="Times New Roman"/>
                <w:bCs/>
                <w:sz w:val="21"/>
                <w:szCs w:val="21"/>
                <w:lang w:eastAsia="ru-RU"/>
              </w:rPr>
              <w:t>на 01.01 млн.руб.</w:t>
            </w:r>
          </w:p>
        </w:tc>
        <w:tc>
          <w:tcPr>
            <w:tcW w:w="1032" w:type="dxa"/>
            <w:shd w:val="clear" w:color="auto" w:fill="auto"/>
            <w:vAlign w:val="center"/>
          </w:tcPr>
          <w:p w14:paraId="41F0EC25" w14:textId="77777777" w:rsidR="000A2A7A" w:rsidRPr="00FD7B0B" w:rsidRDefault="000A2A7A" w:rsidP="007724D1">
            <w:pPr>
              <w:spacing w:after="0" w:line="240" w:lineRule="auto"/>
              <w:ind w:left="-108" w:right="-6"/>
              <w:jc w:val="center"/>
              <w:rPr>
                <w:rFonts w:ascii="Times New Roman" w:eastAsia="Times New Roman" w:hAnsi="Times New Roman"/>
                <w:bCs/>
                <w:sz w:val="21"/>
                <w:szCs w:val="21"/>
                <w:lang w:eastAsia="ru-RU"/>
              </w:rPr>
            </w:pPr>
            <w:r w:rsidRPr="00FD7B0B">
              <w:rPr>
                <w:rFonts w:ascii="Times New Roman" w:eastAsia="Times New Roman" w:hAnsi="Times New Roman"/>
                <w:bCs/>
                <w:sz w:val="21"/>
                <w:szCs w:val="21"/>
                <w:lang w:eastAsia="ru-RU"/>
              </w:rPr>
              <w:t>на 31.12 млн.руб.</w:t>
            </w:r>
          </w:p>
        </w:tc>
        <w:tc>
          <w:tcPr>
            <w:tcW w:w="1417" w:type="dxa"/>
            <w:vMerge/>
            <w:shd w:val="clear" w:color="auto" w:fill="auto"/>
            <w:vAlign w:val="center"/>
          </w:tcPr>
          <w:p w14:paraId="52A02D6B" w14:textId="77777777" w:rsidR="000A2A7A" w:rsidRPr="00FD7B0B" w:rsidRDefault="000A2A7A" w:rsidP="000A2A7A">
            <w:pPr>
              <w:spacing w:after="0" w:line="240" w:lineRule="auto"/>
              <w:ind w:left="-108" w:right="-158"/>
              <w:jc w:val="center"/>
              <w:rPr>
                <w:rFonts w:ascii="Times New Roman" w:eastAsia="Times New Roman" w:hAnsi="Times New Roman"/>
                <w:bCs/>
                <w:sz w:val="21"/>
                <w:szCs w:val="21"/>
                <w:lang w:eastAsia="ru-RU"/>
              </w:rPr>
            </w:pPr>
          </w:p>
        </w:tc>
      </w:tr>
      <w:tr w:rsidR="00FD7B0B" w:rsidRPr="00FD7B0B" w14:paraId="429A14F3" w14:textId="77777777" w:rsidTr="000C7224">
        <w:trPr>
          <w:trHeight w:val="59"/>
        </w:trPr>
        <w:tc>
          <w:tcPr>
            <w:tcW w:w="6379" w:type="dxa"/>
            <w:shd w:val="clear" w:color="auto" w:fill="auto"/>
            <w:vAlign w:val="center"/>
          </w:tcPr>
          <w:p w14:paraId="7367D8B1" w14:textId="77777777" w:rsidR="000A2A7A" w:rsidRPr="00FD7B0B" w:rsidRDefault="000A2A7A" w:rsidP="000A2A7A">
            <w:pPr>
              <w:spacing w:after="0" w:line="240" w:lineRule="auto"/>
              <w:jc w:val="center"/>
              <w:rPr>
                <w:rFonts w:ascii="Times New Roman" w:eastAsia="Times New Roman" w:hAnsi="Times New Roman"/>
                <w:b/>
                <w:bCs/>
                <w:sz w:val="21"/>
                <w:szCs w:val="21"/>
                <w:lang w:eastAsia="ru-RU"/>
              </w:rPr>
            </w:pPr>
            <w:r w:rsidRPr="00FD7B0B">
              <w:rPr>
                <w:rFonts w:ascii="Times New Roman" w:eastAsia="Times New Roman" w:hAnsi="Times New Roman"/>
                <w:b/>
                <w:bCs/>
                <w:sz w:val="21"/>
                <w:szCs w:val="21"/>
                <w:lang w:eastAsia="ru-RU"/>
              </w:rPr>
              <w:t>Итого, из них:</w:t>
            </w:r>
          </w:p>
        </w:tc>
        <w:tc>
          <w:tcPr>
            <w:tcW w:w="953" w:type="dxa"/>
            <w:shd w:val="clear" w:color="auto" w:fill="auto"/>
          </w:tcPr>
          <w:p w14:paraId="71F0E2DA" w14:textId="77777777" w:rsidR="000A2A7A" w:rsidRPr="00FD7B0B" w:rsidRDefault="000A2A7A" w:rsidP="000C7224">
            <w:pPr>
              <w:spacing w:after="0" w:line="240" w:lineRule="auto"/>
              <w:jc w:val="right"/>
              <w:rPr>
                <w:rFonts w:ascii="Times New Roman" w:eastAsia="Times New Roman" w:hAnsi="Times New Roman"/>
                <w:b/>
                <w:bCs/>
                <w:sz w:val="21"/>
                <w:szCs w:val="21"/>
                <w:lang w:eastAsia="ru-RU"/>
              </w:rPr>
            </w:pPr>
            <w:r w:rsidRPr="00FD7B0B">
              <w:rPr>
                <w:rFonts w:ascii="Times New Roman" w:eastAsia="Times New Roman" w:hAnsi="Times New Roman"/>
                <w:b/>
                <w:bCs/>
                <w:sz w:val="21"/>
                <w:szCs w:val="21"/>
                <w:lang w:eastAsia="ru-RU"/>
              </w:rPr>
              <w:t xml:space="preserve">68,70 </w:t>
            </w:r>
          </w:p>
        </w:tc>
        <w:tc>
          <w:tcPr>
            <w:tcW w:w="1032" w:type="dxa"/>
            <w:shd w:val="clear" w:color="auto" w:fill="auto"/>
          </w:tcPr>
          <w:p w14:paraId="413BBC68" w14:textId="77777777" w:rsidR="000A2A7A" w:rsidRPr="00FD7B0B" w:rsidRDefault="000A2A7A" w:rsidP="000C7224">
            <w:pPr>
              <w:spacing w:after="0" w:line="240" w:lineRule="auto"/>
              <w:jc w:val="right"/>
              <w:rPr>
                <w:rFonts w:ascii="Times New Roman" w:eastAsia="Times New Roman" w:hAnsi="Times New Roman"/>
                <w:b/>
                <w:bCs/>
                <w:sz w:val="21"/>
                <w:szCs w:val="21"/>
                <w:lang w:eastAsia="ru-RU"/>
              </w:rPr>
            </w:pPr>
            <w:r w:rsidRPr="00FD7B0B">
              <w:rPr>
                <w:rFonts w:ascii="Times New Roman" w:eastAsia="Times New Roman" w:hAnsi="Times New Roman"/>
                <w:b/>
                <w:bCs/>
                <w:sz w:val="21"/>
                <w:szCs w:val="21"/>
                <w:lang w:eastAsia="ru-RU"/>
              </w:rPr>
              <w:t>53,58</w:t>
            </w:r>
          </w:p>
        </w:tc>
        <w:tc>
          <w:tcPr>
            <w:tcW w:w="1417" w:type="dxa"/>
            <w:shd w:val="clear" w:color="auto" w:fill="auto"/>
          </w:tcPr>
          <w:p w14:paraId="2BB7BB52" w14:textId="77777777" w:rsidR="000A2A7A" w:rsidRPr="00FD7B0B" w:rsidRDefault="000A2A7A" w:rsidP="000C7224">
            <w:pPr>
              <w:spacing w:after="0" w:line="240" w:lineRule="auto"/>
              <w:jc w:val="right"/>
              <w:rPr>
                <w:rFonts w:ascii="Times New Roman" w:eastAsia="Times New Roman" w:hAnsi="Times New Roman"/>
                <w:b/>
                <w:bCs/>
                <w:sz w:val="21"/>
                <w:szCs w:val="21"/>
                <w:lang w:eastAsia="ru-RU"/>
              </w:rPr>
            </w:pPr>
            <w:r w:rsidRPr="00FD7B0B">
              <w:rPr>
                <w:rFonts w:ascii="Times New Roman" w:eastAsia="Times New Roman" w:hAnsi="Times New Roman"/>
                <w:b/>
                <w:sz w:val="21"/>
                <w:szCs w:val="21"/>
                <w:lang w:eastAsia="ru-RU"/>
              </w:rPr>
              <w:t xml:space="preserve">-15,12 </w:t>
            </w:r>
          </w:p>
        </w:tc>
      </w:tr>
      <w:tr w:rsidR="00FD7B0B" w:rsidRPr="00FD7B0B" w14:paraId="7A7D8A27" w14:textId="77777777" w:rsidTr="000C7224">
        <w:trPr>
          <w:trHeight w:val="472"/>
        </w:trPr>
        <w:tc>
          <w:tcPr>
            <w:tcW w:w="6379" w:type="dxa"/>
            <w:shd w:val="clear" w:color="auto" w:fill="auto"/>
            <w:vAlign w:val="center"/>
            <w:hideMark/>
          </w:tcPr>
          <w:p w14:paraId="2C229827"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5 КоАП РФ, за админ. правонарушения, посягающие на права граждан, налагаемые мировыми судьями, комиссиями по делам несовершеннолетних и защите их прав</w:t>
            </w:r>
          </w:p>
        </w:tc>
        <w:tc>
          <w:tcPr>
            <w:tcW w:w="953" w:type="dxa"/>
            <w:shd w:val="clear" w:color="auto" w:fill="auto"/>
            <w:hideMark/>
          </w:tcPr>
          <w:p w14:paraId="4633DCE5"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2,00 </w:t>
            </w:r>
          </w:p>
        </w:tc>
        <w:tc>
          <w:tcPr>
            <w:tcW w:w="1032" w:type="dxa"/>
            <w:shd w:val="clear" w:color="auto" w:fill="auto"/>
            <w:hideMark/>
          </w:tcPr>
          <w:p w14:paraId="4EAE1708"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1,60 </w:t>
            </w:r>
          </w:p>
        </w:tc>
        <w:tc>
          <w:tcPr>
            <w:tcW w:w="1417" w:type="dxa"/>
            <w:shd w:val="clear" w:color="auto" w:fill="auto"/>
            <w:hideMark/>
          </w:tcPr>
          <w:p w14:paraId="07B65F95"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-0,40 </w:t>
            </w:r>
          </w:p>
        </w:tc>
      </w:tr>
      <w:tr w:rsidR="00FD7B0B" w:rsidRPr="00FD7B0B" w14:paraId="53538910" w14:textId="77777777" w:rsidTr="000C7224">
        <w:trPr>
          <w:trHeight w:val="529"/>
        </w:trPr>
        <w:tc>
          <w:tcPr>
            <w:tcW w:w="6379" w:type="dxa"/>
            <w:shd w:val="clear" w:color="auto" w:fill="auto"/>
            <w:vAlign w:val="center"/>
            <w:hideMark/>
          </w:tcPr>
          <w:p w14:paraId="3D29EEC2"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6 КоАП РФ, за админ. правонарушения, посягающие на здоровье, санитарно-эпидемиологическое благополучие населения и обществ. нравственность</w:t>
            </w:r>
          </w:p>
        </w:tc>
        <w:tc>
          <w:tcPr>
            <w:tcW w:w="953" w:type="dxa"/>
            <w:shd w:val="clear" w:color="auto" w:fill="auto"/>
            <w:hideMark/>
          </w:tcPr>
          <w:p w14:paraId="0CB9543C"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6,10 </w:t>
            </w:r>
          </w:p>
        </w:tc>
        <w:tc>
          <w:tcPr>
            <w:tcW w:w="1032" w:type="dxa"/>
            <w:shd w:val="clear" w:color="auto" w:fill="auto"/>
            <w:hideMark/>
          </w:tcPr>
          <w:p w14:paraId="3CE12769"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5,40 </w:t>
            </w:r>
          </w:p>
        </w:tc>
        <w:tc>
          <w:tcPr>
            <w:tcW w:w="1417" w:type="dxa"/>
            <w:shd w:val="clear" w:color="auto" w:fill="auto"/>
            <w:hideMark/>
          </w:tcPr>
          <w:p w14:paraId="24B1C807"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-0,70 </w:t>
            </w:r>
          </w:p>
        </w:tc>
      </w:tr>
      <w:tr w:rsidR="00FD7B0B" w:rsidRPr="00FD7B0B" w14:paraId="72864660" w14:textId="77777777" w:rsidTr="000C7224">
        <w:trPr>
          <w:trHeight w:val="358"/>
        </w:trPr>
        <w:tc>
          <w:tcPr>
            <w:tcW w:w="6379" w:type="dxa"/>
            <w:shd w:val="clear" w:color="auto" w:fill="auto"/>
            <w:vAlign w:val="center"/>
            <w:hideMark/>
          </w:tcPr>
          <w:p w14:paraId="46BE0075"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7 КоАП РФ, за административные правонарушения в области охраны собственности</w:t>
            </w:r>
          </w:p>
        </w:tc>
        <w:tc>
          <w:tcPr>
            <w:tcW w:w="953" w:type="dxa"/>
            <w:shd w:val="clear" w:color="auto" w:fill="auto"/>
            <w:hideMark/>
          </w:tcPr>
          <w:p w14:paraId="02245396"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13,90 </w:t>
            </w:r>
          </w:p>
        </w:tc>
        <w:tc>
          <w:tcPr>
            <w:tcW w:w="1032" w:type="dxa"/>
            <w:shd w:val="clear" w:color="auto" w:fill="auto"/>
            <w:hideMark/>
          </w:tcPr>
          <w:p w14:paraId="46A7551E"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11,00 </w:t>
            </w:r>
          </w:p>
        </w:tc>
        <w:tc>
          <w:tcPr>
            <w:tcW w:w="1417" w:type="dxa"/>
            <w:shd w:val="clear" w:color="auto" w:fill="auto"/>
            <w:hideMark/>
          </w:tcPr>
          <w:p w14:paraId="1C793F83"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-2,90 </w:t>
            </w:r>
          </w:p>
        </w:tc>
      </w:tr>
      <w:tr w:rsidR="00FD7B0B" w:rsidRPr="00FD7B0B" w14:paraId="68F09413" w14:textId="77777777" w:rsidTr="000C7224">
        <w:trPr>
          <w:trHeight w:val="638"/>
        </w:trPr>
        <w:tc>
          <w:tcPr>
            <w:tcW w:w="6379" w:type="dxa"/>
            <w:shd w:val="clear" w:color="auto" w:fill="auto"/>
            <w:vAlign w:val="center"/>
            <w:hideMark/>
          </w:tcPr>
          <w:p w14:paraId="2446BD26"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8 КоАП РФ, за административные правонарушения в области охраны окружающей среды, природопользования и обращения с животными</w:t>
            </w:r>
          </w:p>
        </w:tc>
        <w:tc>
          <w:tcPr>
            <w:tcW w:w="953" w:type="dxa"/>
            <w:shd w:val="clear" w:color="auto" w:fill="auto"/>
            <w:hideMark/>
          </w:tcPr>
          <w:p w14:paraId="48D3206A"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4,30 </w:t>
            </w:r>
          </w:p>
        </w:tc>
        <w:tc>
          <w:tcPr>
            <w:tcW w:w="1032" w:type="dxa"/>
            <w:shd w:val="clear" w:color="auto" w:fill="auto"/>
            <w:hideMark/>
          </w:tcPr>
          <w:p w14:paraId="668F5287"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2,50 </w:t>
            </w:r>
          </w:p>
        </w:tc>
        <w:tc>
          <w:tcPr>
            <w:tcW w:w="1417" w:type="dxa"/>
            <w:shd w:val="clear" w:color="auto" w:fill="auto"/>
            <w:hideMark/>
          </w:tcPr>
          <w:p w14:paraId="235E04F3"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-1,80 </w:t>
            </w:r>
          </w:p>
        </w:tc>
      </w:tr>
      <w:tr w:rsidR="00FD7B0B" w:rsidRPr="00FD7B0B" w14:paraId="05ACBAC9" w14:textId="77777777" w:rsidTr="000C7224">
        <w:trPr>
          <w:trHeight w:val="246"/>
        </w:trPr>
        <w:tc>
          <w:tcPr>
            <w:tcW w:w="6379" w:type="dxa"/>
            <w:shd w:val="clear" w:color="auto" w:fill="auto"/>
            <w:vAlign w:val="center"/>
            <w:hideMark/>
          </w:tcPr>
          <w:p w14:paraId="706D86C6"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9 КоАП РФ, за административные правонарушения в промышленности, строительстве и энергетике</w:t>
            </w:r>
          </w:p>
        </w:tc>
        <w:tc>
          <w:tcPr>
            <w:tcW w:w="953" w:type="dxa"/>
            <w:shd w:val="clear" w:color="auto" w:fill="auto"/>
            <w:hideMark/>
          </w:tcPr>
          <w:p w14:paraId="34D84D05"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0,10 </w:t>
            </w:r>
          </w:p>
        </w:tc>
        <w:tc>
          <w:tcPr>
            <w:tcW w:w="1032" w:type="dxa"/>
            <w:shd w:val="clear" w:color="auto" w:fill="auto"/>
            <w:hideMark/>
          </w:tcPr>
          <w:p w14:paraId="690F92A7"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0,15 </w:t>
            </w:r>
          </w:p>
        </w:tc>
        <w:tc>
          <w:tcPr>
            <w:tcW w:w="1417" w:type="dxa"/>
            <w:shd w:val="clear" w:color="auto" w:fill="auto"/>
            <w:hideMark/>
          </w:tcPr>
          <w:p w14:paraId="157A08B5"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0,05 </w:t>
            </w:r>
          </w:p>
        </w:tc>
      </w:tr>
      <w:tr w:rsidR="00FD7B0B" w:rsidRPr="00FD7B0B" w14:paraId="02790D31" w14:textId="77777777" w:rsidTr="000C7224">
        <w:trPr>
          <w:trHeight w:val="352"/>
        </w:trPr>
        <w:tc>
          <w:tcPr>
            <w:tcW w:w="6379" w:type="dxa"/>
            <w:shd w:val="clear" w:color="auto" w:fill="auto"/>
            <w:vAlign w:val="center"/>
            <w:hideMark/>
          </w:tcPr>
          <w:p w14:paraId="4E8658E1"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12 КоАП РФ, за административные правонарушения в области дорожного движения</w:t>
            </w:r>
          </w:p>
        </w:tc>
        <w:tc>
          <w:tcPr>
            <w:tcW w:w="953" w:type="dxa"/>
            <w:shd w:val="clear" w:color="auto" w:fill="auto"/>
            <w:hideMark/>
          </w:tcPr>
          <w:p w14:paraId="130CA1DB"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0,10 </w:t>
            </w:r>
          </w:p>
        </w:tc>
        <w:tc>
          <w:tcPr>
            <w:tcW w:w="1032" w:type="dxa"/>
            <w:shd w:val="clear" w:color="auto" w:fill="auto"/>
            <w:hideMark/>
          </w:tcPr>
          <w:p w14:paraId="66AA1A89"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0,01 </w:t>
            </w:r>
          </w:p>
        </w:tc>
        <w:tc>
          <w:tcPr>
            <w:tcW w:w="1417" w:type="dxa"/>
            <w:shd w:val="clear" w:color="auto" w:fill="auto"/>
            <w:hideMark/>
          </w:tcPr>
          <w:p w14:paraId="26C8DAA7"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-0,09 </w:t>
            </w:r>
          </w:p>
        </w:tc>
      </w:tr>
      <w:tr w:rsidR="00FD7B0B" w:rsidRPr="00FD7B0B" w14:paraId="3FC34732" w14:textId="77777777" w:rsidTr="000C7224">
        <w:trPr>
          <w:trHeight w:val="444"/>
        </w:trPr>
        <w:tc>
          <w:tcPr>
            <w:tcW w:w="6379" w:type="dxa"/>
            <w:shd w:val="clear" w:color="auto" w:fill="auto"/>
            <w:vAlign w:val="center"/>
            <w:hideMark/>
          </w:tcPr>
          <w:p w14:paraId="78FBC014"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14 КоАП РФ, за административные правонарушения в области предпринимательской деятельности и деятельности саморегулируемых организаций</w:t>
            </w:r>
          </w:p>
        </w:tc>
        <w:tc>
          <w:tcPr>
            <w:tcW w:w="953" w:type="dxa"/>
            <w:shd w:val="clear" w:color="auto" w:fill="auto"/>
            <w:hideMark/>
          </w:tcPr>
          <w:p w14:paraId="6D04B0B5"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4,50 </w:t>
            </w:r>
          </w:p>
        </w:tc>
        <w:tc>
          <w:tcPr>
            <w:tcW w:w="1032" w:type="dxa"/>
            <w:shd w:val="clear" w:color="auto" w:fill="auto"/>
          </w:tcPr>
          <w:p w14:paraId="67FC00D2"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2,50 </w:t>
            </w:r>
          </w:p>
        </w:tc>
        <w:tc>
          <w:tcPr>
            <w:tcW w:w="1417" w:type="dxa"/>
            <w:shd w:val="clear" w:color="auto" w:fill="auto"/>
          </w:tcPr>
          <w:p w14:paraId="49B855E0"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-2,00 </w:t>
            </w:r>
          </w:p>
        </w:tc>
      </w:tr>
      <w:tr w:rsidR="00FD7B0B" w:rsidRPr="00FD7B0B" w14:paraId="22C06531" w14:textId="77777777" w:rsidTr="000C7224">
        <w:trPr>
          <w:trHeight w:val="444"/>
        </w:trPr>
        <w:tc>
          <w:tcPr>
            <w:tcW w:w="6379" w:type="dxa"/>
            <w:shd w:val="clear" w:color="auto" w:fill="auto"/>
            <w:vAlign w:val="center"/>
          </w:tcPr>
          <w:p w14:paraId="418F1451"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15 КоАП РФ, за административные правонарушения в области финансов, налогов и сборов, страхования, рынка ценных бумаг, добычи, производства, использования и обращения драгоценных металлов и драгоценных камней (за исключением штрафов, указанных в п. 6 ст. 46 БК РФ)</w:t>
            </w:r>
          </w:p>
        </w:tc>
        <w:tc>
          <w:tcPr>
            <w:tcW w:w="953" w:type="dxa"/>
            <w:shd w:val="clear" w:color="auto" w:fill="auto"/>
          </w:tcPr>
          <w:p w14:paraId="290B4862"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0,70</w:t>
            </w:r>
          </w:p>
        </w:tc>
        <w:tc>
          <w:tcPr>
            <w:tcW w:w="1032" w:type="dxa"/>
            <w:shd w:val="clear" w:color="auto" w:fill="auto"/>
          </w:tcPr>
          <w:p w14:paraId="30E4B317" w14:textId="77777777" w:rsidR="000A2A7A" w:rsidRPr="00FD7B0B" w:rsidRDefault="000A2A7A" w:rsidP="000C7224">
            <w:pPr>
              <w:spacing w:after="0" w:line="240" w:lineRule="auto"/>
              <w:jc w:val="right"/>
              <w:rPr>
                <w:rFonts w:ascii="Times New Roman" w:hAnsi="Times New Roman"/>
              </w:rPr>
            </w:pPr>
            <w:r w:rsidRPr="00FD7B0B">
              <w:rPr>
                <w:rFonts w:ascii="Times New Roman" w:hAnsi="Times New Roman"/>
              </w:rPr>
              <w:t xml:space="preserve">0,11 </w:t>
            </w:r>
          </w:p>
        </w:tc>
        <w:tc>
          <w:tcPr>
            <w:tcW w:w="1417" w:type="dxa"/>
            <w:shd w:val="clear" w:color="auto" w:fill="auto"/>
          </w:tcPr>
          <w:p w14:paraId="50B74AE0" w14:textId="77777777" w:rsidR="000A2A7A" w:rsidRPr="00FD7B0B" w:rsidRDefault="000A2A7A" w:rsidP="000C7224">
            <w:pPr>
              <w:spacing w:after="0" w:line="240" w:lineRule="auto"/>
              <w:jc w:val="right"/>
              <w:rPr>
                <w:rFonts w:ascii="Times New Roman" w:hAnsi="Times New Roman"/>
              </w:rPr>
            </w:pPr>
            <w:r w:rsidRPr="00FD7B0B">
              <w:rPr>
                <w:rFonts w:ascii="Times New Roman" w:hAnsi="Times New Roman"/>
              </w:rPr>
              <w:t xml:space="preserve">-0,59 </w:t>
            </w:r>
          </w:p>
        </w:tc>
      </w:tr>
      <w:tr w:rsidR="00FD7B0B" w:rsidRPr="00FD7B0B" w14:paraId="344D76FC" w14:textId="77777777" w:rsidTr="000C7224">
        <w:trPr>
          <w:trHeight w:val="333"/>
        </w:trPr>
        <w:tc>
          <w:tcPr>
            <w:tcW w:w="6379" w:type="dxa"/>
            <w:shd w:val="clear" w:color="auto" w:fill="auto"/>
            <w:vAlign w:val="center"/>
            <w:hideMark/>
          </w:tcPr>
          <w:p w14:paraId="49F6DF45"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17 КоАП РФ, за административные правонарушения, посягающие на институты гос. власти</w:t>
            </w:r>
          </w:p>
        </w:tc>
        <w:tc>
          <w:tcPr>
            <w:tcW w:w="953" w:type="dxa"/>
            <w:shd w:val="clear" w:color="auto" w:fill="auto"/>
            <w:hideMark/>
          </w:tcPr>
          <w:p w14:paraId="1EE02512"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1,00 </w:t>
            </w:r>
          </w:p>
        </w:tc>
        <w:tc>
          <w:tcPr>
            <w:tcW w:w="1032" w:type="dxa"/>
            <w:shd w:val="clear" w:color="auto" w:fill="auto"/>
          </w:tcPr>
          <w:p w14:paraId="17FAF690"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1,33 </w:t>
            </w:r>
          </w:p>
        </w:tc>
        <w:tc>
          <w:tcPr>
            <w:tcW w:w="1417" w:type="dxa"/>
            <w:shd w:val="clear" w:color="auto" w:fill="auto"/>
          </w:tcPr>
          <w:p w14:paraId="11D1AFAF"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0,33 </w:t>
            </w:r>
          </w:p>
        </w:tc>
      </w:tr>
      <w:tr w:rsidR="00FD7B0B" w:rsidRPr="00FD7B0B" w14:paraId="50A56D82" w14:textId="77777777" w:rsidTr="000C7224">
        <w:trPr>
          <w:trHeight w:val="59"/>
        </w:trPr>
        <w:tc>
          <w:tcPr>
            <w:tcW w:w="6379" w:type="dxa"/>
            <w:shd w:val="clear" w:color="auto" w:fill="auto"/>
            <w:vAlign w:val="center"/>
            <w:hideMark/>
          </w:tcPr>
          <w:p w14:paraId="1ADA740C"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19 КоАП РФ, за административные правонарушения против порядка управления</w:t>
            </w:r>
          </w:p>
        </w:tc>
        <w:tc>
          <w:tcPr>
            <w:tcW w:w="953" w:type="dxa"/>
            <w:shd w:val="clear" w:color="auto" w:fill="auto"/>
            <w:hideMark/>
          </w:tcPr>
          <w:p w14:paraId="49A2A34F"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3,70 </w:t>
            </w:r>
          </w:p>
        </w:tc>
        <w:tc>
          <w:tcPr>
            <w:tcW w:w="1032" w:type="dxa"/>
            <w:shd w:val="clear" w:color="auto" w:fill="auto"/>
          </w:tcPr>
          <w:p w14:paraId="7F5FFB51"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4,18 </w:t>
            </w:r>
          </w:p>
        </w:tc>
        <w:tc>
          <w:tcPr>
            <w:tcW w:w="1417" w:type="dxa"/>
            <w:shd w:val="clear" w:color="auto" w:fill="auto"/>
          </w:tcPr>
          <w:p w14:paraId="203948AA"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0,48 </w:t>
            </w:r>
          </w:p>
        </w:tc>
      </w:tr>
      <w:tr w:rsidR="00FD7B0B" w:rsidRPr="00FD7B0B" w14:paraId="2B7F0521" w14:textId="77777777" w:rsidTr="000C7224">
        <w:trPr>
          <w:trHeight w:val="510"/>
        </w:trPr>
        <w:tc>
          <w:tcPr>
            <w:tcW w:w="6379" w:type="dxa"/>
            <w:shd w:val="clear" w:color="auto" w:fill="auto"/>
            <w:vAlign w:val="center"/>
            <w:hideMark/>
          </w:tcPr>
          <w:p w14:paraId="75670690" w14:textId="77777777" w:rsidR="000A2A7A" w:rsidRPr="00FD7B0B" w:rsidRDefault="000A2A7A" w:rsidP="000A2A7A">
            <w:pPr>
              <w:spacing w:after="0" w:line="240" w:lineRule="auto"/>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Установленные главой 20 КоАП РФ, за административные правонарушения, посягающие на общественный порядок и общественную безопасность</w:t>
            </w:r>
          </w:p>
        </w:tc>
        <w:tc>
          <w:tcPr>
            <w:tcW w:w="953" w:type="dxa"/>
            <w:shd w:val="clear" w:color="auto" w:fill="auto"/>
            <w:hideMark/>
          </w:tcPr>
          <w:p w14:paraId="0C73C990" w14:textId="77777777" w:rsidR="000A2A7A" w:rsidRPr="00FD7B0B" w:rsidRDefault="000A2A7A" w:rsidP="000C7224">
            <w:pPr>
              <w:spacing w:after="0" w:line="240" w:lineRule="auto"/>
              <w:jc w:val="right"/>
              <w:rPr>
                <w:rFonts w:ascii="Times New Roman" w:eastAsia="Times New Roman" w:hAnsi="Times New Roman"/>
                <w:sz w:val="21"/>
                <w:szCs w:val="21"/>
                <w:lang w:eastAsia="ru-RU"/>
              </w:rPr>
            </w:pPr>
            <w:r w:rsidRPr="00FD7B0B">
              <w:rPr>
                <w:rFonts w:ascii="Times New Roman" w:eastAsia="Times New Roman" w:hAnsi="Times New Roman"/>
                <w:sz w:val="21"/>
                <w:szCs w:val="21"/>
                <w:lang w:eastAsia="ru-RU"/>
              </w:rPr>
              <w:t xml:space="preserve">32,30 </w:t>
            </w:r>
          </w:p>
        </w:tc>
        <w:tc>
          <w:tcPr>
            <w:tcW w:w="1032" w:type="dxa"/>
            <w:shd w:val="clear" w:color="auto" w:fill="auto"/>
          </w:tcPr>
          <w:p w14:paraId="5108478B"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24,30 </w:t>
            </w:r>
          </w:p>
        </w:tc>
        <w:tc>
          <w:tcPr>
            <w:tcW w:w="1417" w:type="dxa"/>
            <w:shd w:val="clear" w:color="auto" w:fill="auto"/>
          </w:tcPr>
          <w:p w14:paraId="45AD7C1C"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hAnsi="Times New Roman"/>
              </w:rPr>
              <w:t xml:space="preserve">-8,00 </w:t>
            </w:r>
          </w:p>
        </w:tc>
      </w:tr>
    </w:tbl>
    <w:p w14:paraId="5DFF7FCB" w14:textId="77777777" w:rsidR="007724D1" w:rsidRPr="00FD7B0B" w:rsidRDefault="007724D1" w:rsidP="000A2A7A">
      <w:pPr>
        <w:pStyle w:val="1a"/>
        <w:widowControl/>
        <w:spacing w:before="0" w:after="0" w:line="240" w:lineRule="auto"/>
        <w:ind w:firstLine="720"/>
        <w:rPr>
          <w:sz w:val="28"/>
          <w:szCs w:val="28"/>
        </w:rPr>
      </w:pPr>
    </w:p>
    <w:p w14:paraId="42F49D5A" w14:textId="77777777" w:rsidR="000A2A7A" w:rsidRPr="00FD7B0B" w:rsidRDefault="000A2A7A" w:rsidP="000A2A7A">
      <w:pPr>
        <w:pStyle w:val="1a"/>
        <w:widowControl/>
        <w:spacing w:before="0" w:after="0" w:line="240" w:lineRule="auto"/>
        <w:ind w:firstLine="720"/>
        <w:rPr>
          <w:sz w:val="28"/>
          <w:szCs w:val="28"/>
        </w:rPr>
      </w:pPr>
      <w:r w:rsidRPr="00FD7B0B">
        <w:rPr>
          <w:sz w:val="28"/>
          <w:szCs w:val="28"/>
        </w:rPr>
        <w:lastRenderedPageBreak/>
        <w:t>По всей сумме просроченной дебиторской задолженности, образовавшейся на 31.12.2024 дела переданы в службу судебных приставов.</w:t>
      </w:r>
    </w:p>
    <w:p w14:paraId="3D4561C8" w14:textId="4A64EEA3" w:rsidR="000A2A7A" w:rsidRPr="00FD7B0B" w:rsidRDefault="000A2A7A" w:rsidP="000A2A7A">
      <w:pPr>
        <w:pStyle w:val="1a"/>
        <w:widowControl/>
        <w:spacing w:before="0" w:after="0" w:line="240" w:lineRule="auto"/>
        <w:ind w:firstLine="720"/>
        <w:rPr>
          <w:sz w:val="28"/>
          <w:szCs w:val="28"/>
        </w:rPr>
      </w:pPr>
      <w:r w:rsidRPr="00FD7B0B">
        <w:rPr>
          <w:sz w:val="28"/>
          <w:szCs w:val="28"/>
        </w:rPr>
        <w:t>В совокупности просроченная дебиторская задолженность указанных выше органов государственной власти Архангельской области составляет 465,0 млн.руб. или 85,1 % от общей суммы просроченной задолженнос</w:t>
      </w:r>
      <w:r w:rsidR="00783F19" w:rsidRPr="00FD7B0B">
        <w:rPr>
          <w:sz w:val="28"/>
          <w:szCs w:val="28"/>
        </w:rPr>
        <w:t>ти в областной бюджет.</w:t>
      </w:r>
    </w:p>
    <w:p w14:paraId="29C51890" w14:textId="4CF9BA86" w:rsidR="000A2A7A" w:rsidRPr="00FD7B0B" w:rsidRDefault="009B516C" w:rsidP="000A2A7A">
      <w:pPr>
        <w:pStyle w:val="2"/>
        <w:spacing w:before="120" w:after="0" w:line="240" w:lineRule="auto"/>
        <w:jc w:val="center"/>
        <w:rPr>
          <w:rFonts w:ascii="Times New Roman" w:hAnsi="Times New Roman"/>
          <w:lang w:val="ru-RU"/>
        </w:rPr>
      </w:pPr>
      <w:bookmarkStart w:id="107" w:name="_Toc177192022"/>
      <w:bookmarkStart w:id="108" w:name="_Toc184827145"/>
      <w:bookmarkStart w:id="109" w:name="_Toc198819127"/>
      <w:r w:rsidRPr="00FD7B0B">
        <w:rPr>
          <w:rFonts w:ascii="Times New Roman" w:hAnsi="Times New Roman"/>
          <w:lang w:val="ru-RU"/>
        </w:rPr>
        <w:t>3</w:t>
      </w:r>
      <w:r w:rsidR="000A2A7A" w:rsidRPr="00FD7B0B">
        <w:rPr>
          <w:rFonts w:ascii="Times New Roman" w:hAnsi="Times New Roman"/>
          <w:lang w:val="ru-RU"/>
        </w:rPr>
        <w:t>.2. Безвозмездные поступления</w:t>
      </w:r>
      <w:bookmarkEnd w:id="96"/>
      <w:bookmarkEnd w:id="104"/>
      <w:bookmarkEnd w:id="105"/>
      <w:bookmarkEnd w:id="106"/>
      <w:bookmarkEnd w:id="107"/>
      <w:bookmarkEnd w:id="108"/>
      <w:bookmarkEnd w:id="109"/>
    </w:p>
    <w:p w14:paraId="094C1D2A" w14:textId="7C5B63AF"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 xml:space="preserve">Согласно представленному отчету безвозмездные поступления в областной бюджет за 2024 года составили 37 952,6 млн.руб. или 28,0 % всех поступивших доходов областного бюджета. Годовой кассовый план безвозмездных поступлений выполнен на 100,3 %, </w:t>
      </w:r>
      <w:r w:rsidR="00F628A3" w:rsidRPr="00FD7B0B">
        <w:rPr>
          <w:rFonts w:ascii="Times New Roman" w:hAnsi="Times New Roman"/>
          <w:sz w:val="28"/>
          <w:szCs w:val="28"/>
        </w:rPr>
        <w:t xml:space="preserve">и </w:t>
      </w:r>
      <w:r w:rsidRPr="00FD7B0B">
        <w:rPr>
          <w:rFonts w:ascii="Times New Roman" w:hAnsi="Times New Roman"/>
          <w:sz w:val="28"/>
          <w:szCs w:val="28"/>
        </w:rPr>
        <w:t>по сравнению с 2023 годом в отчетном году поступило меньше на 5 838,4 млн.руб. (–13,3</w:t>
      </w:r>
      <w:r w:rsidR="00F628A3" w:rsidRPr="00FD7B0B">
        <w:rPr>
          <w:rFonts w:ascii="Times New Roman" w:hAnsi="Times New Roman"/>
          <w:sz w:val="28"/>
          <w:szCs w:val="28"/>
        </w:rPr>
        <w:t xml:space="preserve"> </w:t>
      </w:r>
      <w:r w:rsidRPr="00FD7B0B">
        <w:rPr>
          <w:rFonts w:ascii="Times New Roman" w:hAnsi="Times New Roman"/>
          <w:sz w:val="28"/>
          <w:szCs w:val="28"/>
        </w:rPr>
        <w:t xml:space="preserve">%), что в основном обусловлено уменьшением поступлений от </w:t>
      </w:r>
      <w:r w:rsidR="00F628A3" w:rsidRPr="00FD7B0B">
        <w:rPr>
          <w:rFonts w:ascii="Times New Roman" w:hAnsi="Times New Roman"/>
          <w:sz w:val="28"/>
          <w:szCs w:val="28"/>
        </w:rPr>
        <w:t>ППК «Фонд развития территорий».</w:t>
      </w:r>
    </w:p>
    <w:p w14:paraId="4807875C" w14:textId="49E2F628" w:rsidR="000A2A7A" w:rsidRPr="00FD7B0B" w:rsidRDefault="000A2A7A" w:rsidP="000A2A7A">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1. Основную долю в составе безвозмездных поступлений за 2024 год занимают безвозмездные поступления от других бюджетов (федеральный бюджет): 35 605,9 млн.руб., что меньше на 496,4 млн.руб. (–1,4 %) по сравнению с 2023 годом, в том числе в разрезе видов межбюджетных трансфертов сведения представлены в таблице </w:t>
      </w:r>
      <w:r w:rsidR="004F4294" w:rsidRPr="00FD7B0B">
        <w:rPr>
          <w:rFonts w:ascii="Times New Roman" w:hAnsi="Times New Roman"/>
          <w:sz w:val="28"/>
          <w:szCs w:val="28"/>
        </w:rPr>
        <w:t>47</w:t>
      </w:r>
      <w:r w:rsidR="00C74867" w:rsidRPr="00FD7B0B">
        <w:rPr>
          <w:rFonts w:ascii="Times New Roman" w:hAnsi="Times New Roman"/>
          <w:sz w:val="28"/>
          <w:szCs w:val="28"/>
        </w:rPr>
        <w:t>.</w:t>
      </w:r>
    </w:p>
    <w:p w14:paraId="63E0A99D" w14:textId="77777777" w:rsidR="000A2A7A" w:rsidRPr="00FD7B0B" w:rsidRDefault="000A2A7A" w:rsidP="000A2A7A">
      <w:pPr>
        <w:spacing w:after="0" w:line="240" w:lineRule="auto"/>
        <w:ind w:firstLine="709"/>
        <w:jc w:val="both"/>
        <w:rPr>
          <w:rFonts w:ascii="Times New Roman" w:hAnsi="Times New Roman"/>
          <w:sz w:val="28"/>
          <w:szCs w:val="28"/>
        </w:rPr>
      </w:pPr>
    </w:p>
    <w:p w14:paraId="3CD7DA08" w14:textId="77777777"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47</w:t>
      </w:r>
      <w:r w:rsidRPr="00FD7B0B">
        <w:rPr>
          <w:rFonts w:ascii="Times New Roman" w:hAnsi="Times New Roman"/>
          <w:b w:val="0"/>
          <w:sz w:val="24"/>
          <w:szCs w:val="24"/>
        </w:rPr>
        <w:fldChar w:fldCharType="end"/>
      </w:r>
      <w:r w:rsidRPr="00FD7B0B">
        <w:rPr>
          <w:rFonts w:ascii="Times New Roman" w:hAnsi="Times New Roman"/>
          <w:b w:val="0"/>
          <w:sz w:val="24"/>
          <w:szCs w:val="24"/>
        </w:rPr>
        <w:t>. Безвозмездные поступления от других бюджетов бюджетной системы Российской Федерации за 2023 и 2024 годы, млн.руб.</w:t>
      </w:r>
    </w:p>
    <w:tbl>
      <w:tblPr>
        <w:tblW w:w="9782"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1560"/>
        <w:gridCol w:w="990"/>
        <w:gridCol w:w="741"/>
        <w:gridCol w:w="960"/>
        <w:gridCol w:w="993"/>
        <w:gridCol w:w="708"/>
        <w:gridCol w:w="915"/>
        <w:gridCol w:w="930"/>
        <w:gridCol w:w="851"/>
        <w:gridCol w:w="1134"/>
      </w:tblGrid>
      <w:tr w:rsidR="00FD7B0B" w:rsidRPr="00FD7B0B" w14:paraId="778CCEEF" w14:textId="77777777" w:rsidTr="00E46356">
        <w:trPr>
          <w:trHeight w:val="438"/>
          <w:tblHeader/>
        </w:trPr>
        <w:tc>
          <w:tcPr>
            <w:tcW w:w="1560" w:type="dxa"/>
            <w:shd w:val="clear" w:color="auto" w:fill="auto"/>
            <w:vAlign w:val="center"/>
            <w:hideMark/>
          </w:tcPr>
          <w:p w14:paraId="3FD43142"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Показатель </w:t>
            </w:r>
          </w:p>
        </w:tc>
        <w:tc>
          <w:tcPr>
            <w:tcW w:w="990" w:type="dxa"/>
            <w:shd w:val="clear" w:color="auto" w:fill="auto"/>
            <w:vAlign w:val="center"/>
            <w:hideMark/>
          </w:tcPr>
          <w:p w14:paraId="4A728E56"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Факт 2023 г.</w:t>
            </w:r>
          </w:p>
        </w:tc>
        <w:tc>
          <w:tcPr>
            <w:tcW w:w="741" w:type="dxa"/>
            <w:shd w:val="clear" w:color="auto" w:fill="auto"/>
            <w:vAlign w:val="center"/>
            <w:hideMark/>
          </w:tcPr>
          <w:p w14:paraId="27CB5F85"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 к итогу</w:t>
            </w:r>
          </w:p>
        </w:tc>
        <w:tc>
          <w:tcPr>
            <w:tcW w:w="960" w:type="dxa"/>
            <w:shd w:val="clear" w:color="auto" w:fill="auto"/>
            <w:vAlign w:val="center"/>
            <w:hideMark/>
          </w:tcPr>
          <w:p w14:paraId="401C48D5"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 xml:space="preserve">КП 2024 г. </w:t>
            </w:r>
          </w:p>
        </w:tc>
        <w:tc>
          <w:tcPr>
            <w:tcW w:w="993" w:type="dxa"/>
            <w:shd w:val="clear" w:color="auto" w:fill="auto"/>
            <w:vAlign w:val="center"/>
            <w:hideMark/>
          </w:tcPr>
          <w:p w14:paraId="1822F337"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 xml:space="preserve">Факт 2024 г. </w:t>
            </w:r>
          </w:p>
        </w:tc>
        <w:tc>
          <w:tcPr>
            <w:tcW w:w="708" w:type="dxa"/>
            <w:shd w:val="clear" w:color="auto" w:fill="auto"/>
            <w:vAlign w:val="center"/>
            <w:hideMark/>
          </w:tcPr>
          <w:p w14:paraId="0FD944AC"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 к итогу</w:t>
            </w:r>
          </w:p>
        </w:tc>
        <w:tc>
          <w:tcPr>
            <w:tcW w:w="1845" w:type="dxa"/>
            <w:gridSpan w:val="2"/>
            <w:shd w:val="clear" w:color="auto" w:fill="auto"/>
            <w:vAlign w:val="center"/>
            <w:hideMark/>
          </w:tcPr>
          <w:p w14:paraId="1D2C3D19"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Исполнение к КП 2024</w:t>
            </w:r>
          </w:p>
        </w:tc>
        <w:tc>
          <w:tcPr>
            <w:tcW w:w="1985" w:type="dxa"/>
            <w:gridSpan w:val="2"/>
            <w:shd w:val="clear" w:color="auto" w:fill="auto"/>
            <w:vAlign w:val="center"/>
            <w:hideMark/>
          </w:tcPr>
          <w:p w14:paraId="4530ADEA"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Отклонение факт 2024 к 2023 (+ / -)</w:t>
            </w:r>
          </w:p>
        </w:tc>
      </w:tr>
      <w:tr w:rsidR="00FD7B0B" w:rsidRPr="00FD7B0B" w14:paraId="202D2E6C" w14:textId="77777777" w:rsidTr="000A2A7A">
        <w:trPr>
          <w:trHeight w:val="257"/>
          <w:tblHeader/>
        </w:trPr>
        <w:tc>
          <w:tcPr>
            <w:tcW w:w="1560" w:type="dxa"/>
            <w:shd w:val="clear" w:color="auto" w:fill="auto"/>
            <w:vAlign w:val="center"/>
            <w:hideMark/>
          </w:tcPr>
          <w:p w14:paraId="6FEB9A5C"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А</w:t>
            </w:r>
          </w:p>
        </w:tc>
        <w:tc>
          <w:tcPr>
            <w:tcW w:w="990" w:type="dxa"/>
            <w:shd w:val="clear" w:color="auto" w:fill="auto"/>
            <w:vAlign w:val="center"/>
            <w:hideMark/>
          </w:tcPr>
          <w:p w14:paraId="3C8DBF39"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1</w:t>
            </w:r>
          </w:p>
        </w:tc>
        <w:tc>
          <w:tcPr>
            <w:tcW w:w="741" w:type="dxa"/>
            <w:shd w:val="clear" w:color="auto" w:fill="auto"/>
            <w:vAlign w:val="center"/>
            <w:hideMark/>
          </w:tcPr>
          <w:p w14:paraId="24EDB4AB"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960" w:type="dxa"/>
            <w:shd w:val="clear" w:color="auto" w:fill="auto"/>
            <w:vAlign w:val="center"/>
            <w:hideMark/>
          </w:tcPr>
          <w:p w14:paraId="4E38B81F"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3</w:t>
            </w:r>
          </w:p>
        </w:tc>
        <w:tc>
          <w:tcPr>
            <w:tcW w:w="993" w:type="dxa"/>
            <w:shd w:val="clear" w:color="auto" w:fill="auto"/>
            <w:vAlign w:val="center"/>
            <w:hideMark/>
          </w:tcPr>
          <w:p w14:paraId="70FC5959"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4</w:t>
            </w:r>
          </w:p>
        </w:tc>
        <w:tc>
          <w:tcPr>
            <w:tcW w:w="708" w:type="dxa"/>
            <w:shd w:val="clear" w:color="auto" w:fill="auto"/>
            <w:vAlign w:val="center"/>
            <w:hideMark/>
          </w:tcPr>
          <w:p w14:paraId="1BFC8E3D"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5</w:t>
            </w:r>
          </w:p>
        </w:tc>
        <w:tc>
          <w:tcPr>
            <w:tcW w:w="915" w:type="dxa"/>
            <w:shd w:val="clear" w:color="auto" w:fill="auto"/>
            <w:vAlign w:val="center"/>
            <w:hideMark/>
          </w:tcPr>
          <w:p w14:paraId="42E98B02"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6=4-3, млн.руб.</w:t>
            </w:r>
          </w:p>
        </w:tc>
        <w:tc>
          <w:tcPr>
            <w:tcW w:w="930" w:type="dxa"/>
            <w:shd w:val="clear" w:color="auto" w:fill="auto"/>
            <w:vAlign w:val="center"/>
            <w:hideMark/>
          </w:tcPr>
          <w:p w14:paraId="1486A532"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7=4/3*100,%</w:t>
            </w:r>
          </w:p>
        </w:tc>
        <w:tc>
          <w:tcPr>
            <w:tcW w:w="851" w:type="dxa"/>
            <w:shd w:val="clear" w:color="auto" w:fill="auto"/>
            <w:vAlign w:val="center"/>
            <w:hideMark/>
          </w:tcPr>
          <w:p w14:paraId="0C7C1DFF" w14:textId="77777777" w:rsidR="000A2A7A" w:rsidRPr="00FD7B0B" w:rsidRDefault="000A2A7A" w:rsidP="000A2A7A">
            <w:pPr>
              <w:spacing w:after="0" w:line="240" w:lineRule="auto"/>
              <w:ind w:left="-110" w:right="-107"/>
              <w:jc w:val="center"/>
              <w:rPr>
                <w:rFonts w:ascii="Times New Roman" w:eastAsia="Times New Roman" w:hAnsi="Times New Roman"/>
                <w:lang w:eastAsia="ru-RU"/>
              </w:rPr>
            </w:pPr>
            <w:r w:rsidRPr="00FD7B0B">
              <w:rPr>
                <w:rFonts w:ascii="Times New Roman" w:eastAsia="Times New Roman" w:hAnsi="Times New Roman"/>
                <w:lang w:eastAsia="ru-RU"/>
              </w:rPr>
              <w:t>8=4-1, млн.руб.</w:t>
            </w:r>
          </w:p>
        </w:tc>
        <w:tc>
          <w:tcPr>
            <w:tcW w:w="1134" w:type="dxa"/>
            <w:shd w:val="clear" w:color="auto" w:fill="auto"/>
            <w:vAlign w:val="center"/>
            <w:hideMark/>
          </w:tcPr>
          <w:p w14:paraId="10978745" w14:textId="77777777" w:rsidR="000A2A7A" w:rsidRPr="00FD7B0B" w:rsidRDefault="000A2A7A" w:rsidP="000A2A7A">
            <w:pPr>
              <w:spacing w:after="0" w:line="240" w:lineRule="auto"/>
              <w:ind w:left="-110"/>
              <w:jc w:val="center"/>
              <w:rPr>
                <w:rFonts w:ascii="Times New Roman" w:eastAsia="Times New Roman" w:hAnsi="Times New Roman"/>
                <w:lang w:eastAsia="ru-RU"/>
              </w:rPr>
            </w:pPr>
            <w:r w:rsidRPr="00FD7B0B">
              <w:rPr>
                <w:rFonts w:ascii="Times New Roman" w:eastAsia="Times New Roman" w:hAnsi="Times New Roman"/>
                <w:lang w:eastAsia="ru-RU"/>
              </w:rPr>
              <w:t>9=4/1*100-100,%</w:t>
            </w:r>
          </w:p>
        </w:tc>
      </w:tr>
      <w:tr w:rsidR="00FD7B0B" w:rsidRPr="00FD7B0B" w14:paraId="44FFB816" w14:textId="77777777" w:rsidTr="000A2A7A">
        <w:trPr>
          <w:trHeight w:val="180"/>
        </w:trPr>
        <w:tc>
          <w:tcPr>
            <w:tcW w:w="1560" w:type="dxa"/>
            <w:shd w:val="clear" w:color="auto" w:fill="auto"/>
            <w:vAlign w:val="bottom"/>
            <w:hideMark/>
          </w:tcPr>
          <w:p w14:paraId="005A9C3C"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Дотации</w:t>
            </w:r>
          </w:p>
        </w:tc>
        <w:tc>
          <w:tcPr>
            <w:tcW w:w="990" w:type="dxa"/>
            <w:shd w:val="clear" w:color="auto" w:fill="auto"/>
            <w:vAlign w:val="bottom"/>
            <w:hideMark/>
          </w:tcPr>
          <w:p w14:paraId="2F2869B6"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12 550,3</w:t>
            </w:r>
          </w:p>
        </w:tc>
        <w:tc>
          <w:tcPr>
            <w:tcW w:w="741" w:type="dxa"/>
            <w:shd w:val="clear" w:color="auto" w:fill="auto"/>
            <w:vAlign w:val="bottom"/>
            <w:hideMark/>
          </w:tcPr>
          <w:p w14:paraId="3C6C42A3"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34,8</w:t>
            </w:r>
          </w:p>
        </w:tc>
        <w:tc>
          <w:tcPr>
            <w:tcW w:w="960" w:type="dxa"/>
            <w:shd w:val="clear" w:color="auto" w:fill="auto"/>
            <w:vAlign w:val="bottom"/>
            <w:hideMark/>
          </w:tcPr>
          <w:p w14:paraId="20452F13"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11 529,3</w:t>
            </w:r>
          </w:p>
        </w:tc>
        <w:tc>
          <w:tcPr>
            <w:tcW w:w="993" w:type="dxa"/>
            <w:shd w:val="clear" w:color="auto" w:fill="auto"/>
            <w:vAlign w:val="bottom"/>
            <w:hideMark/>
          </w:tcPr>
          <w:p w14:paraId="192BA6CC"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11 529,3</w:t>
            </w:r>
          </w:p>
        </w:tc>
        <w:tc>
          <w:tcPr>
            <w:tcW w:w="708" w:type="dxa"/>
            <w:shd w:val="clear" w:color="auto" w:fill="auto"/>
            <w:vAlign w:val="bottom"/>
            <w:hideMark/>
          </w:tcPr>
          <w:p w14:paraId="3AAAB11C"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32,4</w:t>
            </w:r>
          </w:p>
        </w:tc>
        <w:tc>
          <w:tcPr>
            <w:tcW w:w="915" w:type="dxa"/>
            <w:shd w:val="clear" w:color="auto" w:fill="auto"/>
            <w:vAlign w:val="bottom"/>
            <w:hideMark/>
          </w:tcPr>
          <w:p w14:paraId="41594036"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0,0 </w:t>
            </w:r>
          </w:p>
        </w:tc>
        <w:tc>
          <w:tcPr>
            <w:tcW w:w="930" w:type="dxa"/>
            <w:shd w:val="clear" w:color="auto" w:fill="auto"/>
            <w:vAlign w:val="bottom"/>
            <w:hideMark/>
          </w:tcPr>
          <w:p w14:paraId="18012492"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100,0 </w:t>
            </w:r>
          </w:p>
        </w:tc>
        <w:tc>
          <w:tcPr>
            <w:tcW w:w="851" w:type="dxa"/>
            <w:shd w:val="clear" w:color="auto" w:fill="auto"/>
            <w:vAlign w:val="bottom"/>
            <w:hideMark/>
          </w:tcPr>
          <w:p w14:paraId="7EE4BD6B"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-1 021,0</w:t>
            </w:r>
          </w:p>
        </w:tc>
        <w:tc>
          <w:tcPr>
            <w:tcW w:w="1134" w:type="dxa"/>
            <w:shd w:val="clear" w:color="auto" w:fill="auto"/>
            <w:vAlign w:val="bottom"/>
            <w:hideMark/>
          </w:tcPr>
          <w:p w14:paraId="28439D8B"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-8,1 </w:t>
            </w:r>
          </w:p>
        </w:tc>
      </w:tr>
      <w:tr w:rsidR="00FD7B0B" w:rsidRPr="00FD7B0B" w14:paraId="560A01F4" w14:textId="77777777" w:rsidTr="000A2A7A">
        <w:trPr>
          <w:trHeight w:val="185"/>
        </w:trPr>
        <w:tc>
          <w:tcPr>
            <w:tcW w:w="1560" w:type="dxa"/>
            <w:shd w:val="clear" w:color="auto" w:fill="auto"/>
            <w:vAlign w:val="bottom"/>
            <w:hideMark/>
          </w:tcPr>
          <w:p w14:paraId="2145EE9F"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Субсидии</w:t>
            </w:r>
          </w:p>
        </w:tc>
        <w:tc>
          <w:tcPr>
            <w:tcW w:w="990" w:type="dxa"/>
            <w:shd w:val="clear" w:color="auto" w:fill="auto"/>
            <w:vAlign w:val="bottom"/>
            <w:hideMark/>
          </w:tcPr>
          <w:p w14:paraId="12E0204F"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15 435,2</w:t>
            </w:r>
          </w:p>
        </w:tc>
        <w:tc>
          <w:tcPr>
            <w:tcW w:w="741" w:type="dxa"/>
            <w:shd w:val="clear" w:color="auto" w:fill="auto"/>
            <w:vAlign w:val="bottom"/>
            <w:hideMark/>
          </w:tcPr>
          <w:p w14:paraId="3B44224F"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42,8</w:t>
            </w:r>
          </w:p>
        </w:tc>
        <w:tc>
          <w:tcPr>
            <w:tcW w:w="960" w:type="dxa"/>
            <w:shd w:val="clear" w:color="auto" w:fill="auto"/>
            <w:vAlign w:val="bottom"/>
            <w:hideMark/>
          </w:tcPr>
          <w:p w14:paraId="3FE4FF99"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18 945,5</w:t>
            </w:r>
          </w:p>
        </w:tc>
        <w:tc>
          <w:tcPr>
            <w:tcW w:w="993" w:type="dxa"/>
            <w:shd w:val="clear" w:color="auto" w:fill="auto"/>
            <w:vAlign w:val="bottom"/>
            <w:hideMark/>
          </w:tcPr>
          <w:p w14:paraId="4F2E74B0"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18 869,3</w:t>
            </w:r>
          </w:p>
        </w:tc>
        <w:tc>
          <w:tcPr>
            <w:tcW w:w="708" w:type="dxa"/>
            <w:shd w:val="clear" w:color="auto" w:fill="auto"/>
            <w:vAlign w:val="bottom"/>
            <w:hideMark/>
          </w:tcPr>
          <w:p w14:paraId="443F5130"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53,0</w:t>
            </w:r>
          </w:p>
        </w:tc>
        <w:tc>
          <w:tcPr>
            <w:tcW w:w="915" w:type="dxa"/>
            <w:shd w:val="clear" w:color="auto" w:fill="auto"/>
            <w:vAlign w:val="bottom"/>
            <w:hideMark/>
          </w:tcPr>
          <w:p w14:paraId="4C1A82B1"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-76,2 </w:t>
            </w:r>
          </w:p>
        </w:tc>
        <w:tc>
          <w:tcPr>
            <w:tcW w:w="930" w:type="dxa"/>
            <w:shd w:val="clear" w:color="auto" w:fill="auto"/>
            <w:vAlign w:val="bottom"/>
            <w:hideMark/>
          </w:tcPr>
          <w:p w14:paraId="30149B7D"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99,6 </w:t>
            </w:r>
          </w:p>
        </w:tc>
        <w:tc>
          <w:tcPr>
            <w:tcW w:w="851" w:type="dxa"/>
            <w:shd w:val="clear" w:color="auto" w:fill="auto"/>
            <w:vAlign w:val="bottom"/>
            <w:hideMark/>
          </w:tcPr>
          <w:p w14:paraId="219DE66D"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3 434,1</w:t>
            </w:r>
          </w:p>
        </w:tc>
        <w:tc>
          <w:tcPr>
            <w:tcW w:w="1134" w:type="dxa"/>
            <w:shd w:val="clear" w:color="auto" w:fill="auto"/>
            <w:vAlign w:val="bottom"/>
            <w:hideMark/>
          </w:tcPr>
          <w:p w14:paraId="419D992C"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22,2 </w:t>
            </w:r>
          </w:p>
        </w:tc>
      </w:tr>
      <w:tr w:rsidR="00FD7B0B" w:rsidRPr="00FD7B0B" w14:paraId="3A9ABC63" w14:textId="77777777" w:rsidTr="000A2A7A">
        <w:trPr>
          <w:trHeight w:val="202"/>
        </w:trPr>
        <w:tc>
          <w:tcPr>
            <w:tcW w:w="1560" w:type="dxa"/>
            <w:shd w:val="clear" w:color="auto" w:fill="auto"/>
            <w:vAlign w:val="bottom"/>
            <w:hideMark/>
          </w:tcPr>
          <w:p w14:paraId="58F9C6BB"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Субвенции</w:t>
            </w:r>
          </w:p>
        </w:tc>
        <w:tc>
          <w:tcPr>
            <w:tcW w:w="990" w:type="dxa"/>
            <w:shd w:val="clear" w:color="auto" w:fill="auto"/>
            <w:vAlign w:val="bottom"/>
            <w:hideMark/>
          </w:tcPr>
          <w:p w14:paraId="0149CCA7"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3 376,5</w:t>
            </w:r>
          </w:p>
        </w:tc>
        <w:tc>
          <w:tcPr>
            <w:tcW w:w="741" w:type="dxa"/>
            <w:shd w:val="clear" w:color="auto" w:fill="auto"/>
            <w:vAlign w:val="bottom"/>
            <w:hideMark/>
          </w:tcPr>
          <w:p w14:paraId="073CD88C"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9,4</w:t>
            </w:r>
          </w:p>
        </w:tc>
        <w:tc>
          <w:tcPr>
            <w:tcW w:w="960" w:type="dxa"/>
            <w:shd w:val="clear" w:color="auto" w:fill="auto"/>
            <w:vAlign w:val="bottom"/>
            <w:hideMark/>
          </w:tcPr>
          <w:p w14:paraId="444C16FA"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3 601,7</w:t>
            </w:r>
          </w:p>
        </w:tc>
        <w:tc>
          <w:tcPr>
            <w:tcW w:w="993" w:type="dxa"/>
            <w:shd w:val="clear" w:color="auto" w:fill="auto"/>
            <w:vAlign w:val="bottom"/>
            <w:hideMark/>
          </w:tcPr>
          <w:p w14:paraId="361A48EE"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3 570,2</w:t>
            </w:r>
          </w:p>
        </w:tc>
        <w:tc>
          <w:tcPr>
            <w:tcW w:w="708" w:type="dxa"/>
            <w:shd w:val="clear" w:color="auto" w:fill="auto"/>
            <w:vAlign w:val="bottom"/>
            <w:hideMark/>
          </w:tcPr>
          <w:p w14:paraId="296C9500"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10,0</w:t>
            </w:r>
          </w:p>
        </w:tc>
        <w:tc>
          <w:tcPr>
            <w:tcW w:w="915" w:type="dxa"/>
            <w:shd w:val="clear" w:color="auto" w:fill="auto"/>
            <w:vAlign w:val="bottom"/>
            <w:hideMark/>
          </w:tcPr>
          <w:p w14:paraId="459CDFDD"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-31,5 </w:t>
            </w:r>
          </w:p>
        </w:tc>
        <w:tc>
          <w:tcPr>
            <w:tcW w:w="930" w:type="dxa"/>
            <w:shd w:val="clear" w:color="auto" w:fill="auto"/>
            <w:vAlign w:val="bottom"/>
            <w:hideMark/>
          </w:tcPr>
          <w:p w14:paraId="2E450A56"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99,1 </w:t>
            </w:r>
          </w:p>
        </w:tc>
        <w:tc>
          <w:tcPr>
            <w:tcW w:w="851" w:type="dxa"/>
            <w:shd w:val="clear" w:color="auto" w:fill="auto"/>
            <w:vAlign w:val="bottom"/>
            <w:hideMark/>
          </w:tcPr>
          <w:p w14:paraId="29AA520C"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193,7</w:t>
            </w:r>
          </w:p>
        </w:tc>
        <w:tc>
          <w:tcPr>
            <w:tcW w:w="1134" w:type="dxa"/>
            <w:shd w:val="clear" w:color="auto" w:fill="auto"/>
            <w:vAlign w:val="bottom"/>
            <w:hideMark/>
          </w:tcPr>
          <w:p w14:paraId="061A50CF"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5,7 </w:t>
            </w:r>
          </w:p>
        </w:tc>
      </w:tr>
      <w:tr w:rsidR="00FD7B0B" w:rsidRPr="00FD7B0B" w14:paraId="40928310" w14:textId="77777777" w:rsidTr="000A2A7A">
        <w:trPr>
          <w:trHeight w:val="221"/>
        </w:trPr>
        <w:tc>
          <w:tcPr>
            <w:tcW w:w="1560" w:type="dxa"/>
            <w:shd w:val="clear" w:color="auto" w:fill="auto"/>
            <w:vAlign w:val="bottom"/>
            <w:hideMark/>
          </w:tcPr>
          <w:p w14:paraId="5D39FBBA"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Иные МБТ</w:t>
            </w:r>
          </w:p>
        </w:tc>
        <w:tc>
          <w:tcPr>
            <w:tcW w:w="990" w:type="dxa"/>
            <w:shd w:val="clear" w:color="auto" w:fill="auto"/>
            <w:vAlign w:val="bottom"/>
            <w:hideMark/>
          </w:tcPr>
          <w:p w14:paraId="147AFFA4"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4 740,3</w:t>
            </w:r>
          </w:p>
        </w:tc>
        <w:tc>
          <w:tcPr>
            <w:tcW w:w="741" w:type="dxa"/>
            <w:shd w:val="clear" w:color="auto" w:fill="auto"/>
            <w:vAlign w:val="bottom"/>
            <w:hideMark/>
          </w:tcPr>
          <w:p w14:paraId="4DADEDBA"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13,1</w:t>
            </w:r>
          </w:p>
        </w:tc>
        <w:tc>
          <w:tcPr>
            <w:tcW w:w="960" w:type="dxa"/>
            <w:shd w:val="clear" w:color="auto" w:fill="auto"/>
            <w:vAlign w:val="bottom"/>
            <w:hideMark/>
          </w:tcPr>
          <w:p w14:paraId="2485C66C"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1 632,5</w:t>
            </w:r>
          </w:p>
        </w:tc>
        <w:tc>
          <w:tcPr>
            <w:tcW w:w="993" w:type="dxa"/>
            <w:shd w:val="clear" w:color="auto" w:fill="auto"/>
            <w:vAlign w:val="bottom"/>
            <w:hideMark/>
          </w:tcPr>
          <w:p w14:paraId="3B19EC82"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1 637,1</w:t>
            </w:r>
          </w:p>
        </w:tc>
        <w:tc>
          <w:tcPr>
            <w:tcW w:w="708" w:type="dxa"/>
            <w:shd w:val="clear" w:color="auto" w:fill="auto"/>
            <w:vAlign w:val="bottom"/>
            <w:hideMark/>
          </w:tcPr>
          <w:p w14:paraId="6C9317CF"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4,6</w:t>
            </w:r>
          </w:p>
        </w:tc>
        <w:tc>
          <w:tcPr>
            <w:tcW w:w="915" w:type="dxa"/>
            <w:shd w:val="clear" w:color="auto" w:fill="auto"/>
            <w:vAlign w:val="bottom"/>
            <w:hideMark/>
          </w:tcPr>
          <w:p w14:paraId="62053F35"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4,6 </w:t>
            </w:r>
          </w:p>
        </w:tc>
        <w:tc>
          <w:tcPr>
            <w:tcW w:w="930" w:type="dxa"/>
            <w:shd w:val="clear" w:color="auto" w:fill="auto"/>
            <w:vAlign w:val="bottom"/>
            <w:hideMark/>
          </w:tcPr>
          <w:p w14:paraId="7E56BA61"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100,3 </w:t>
            </w:r>
          </w:p>
        </w:tc>
        <w:tc>
          <w:tcPr>
            <w:tcW w:w="851" w:type="dxa"/>
            <w:shd w:val="clear" w:color="auto" w:fill="auto"/>
            <w:vAlign w:val="bottom"/>
            <w:hideMark/>
          </w:tcPr>
          <w:p w14:paraId="60390B2E"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-3 103,2</w:t>
            </w:r>
          </w:p>
        </w:tc>
        <w:tc>
          <w:tcPr>
            <w:tcW w:w="1134" w:type="dxa"/>
            <w:shd w:val="clear" w:color="auto" w:fill="auto"/>
            <w:vAlign w:val="bottom"/>
            <w:hideMark/>
          </w:tcPr>
          <w:p w14:paraId="076ECBF1"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eastAsia="Times New Roman" w:hAnsi="Times New Roman"/>
                <w:lang w:eastAsia="ru-RU"/>
              </w:rPr>
              <w:t xml:space="preserve">-65,5 </w:t>
            </w:r>
          </w:p>
        </w:tc>
      </w:tr>
      <w:tr w:rsidR="00FD7B0B" w:rsidRPr="00FD7B0B" w14:paraId="0B8B7439" w14:textId="77777777" w:rsidTr="000A2A7A">
        <w:trPr>
          <w:trHeight w:val="115"/>
        </w:trPr>
        <w:tc>
          <w:tcPr>
            <w:tcW w:w="1560" w:type="dxa"/>
            <w:shd w:val="clear" w:color="auto" w:fill="auto"/>
            <w:vAlign w:val="bottom"/>
          </w:tcPr>
          <w:p w14:paraId="4FBAE496"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Итого</w:t>
            </w:r>
          </w:p>
        </w:tc>
        <w:tc>
          <w:tcPr>
            <w:tcW w:w="990" w:type="dxa"/>
            <w:shd w:val="clear" w:color="auto" w:fill="auto"/>
            <w:vAlign w:val="bottom"/>
          </w:tcPr>
          <w:p w14:paraId="4FE03E49"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hAnsi="Times New Roman"/>
              </w:rPr>
              <w:t>36 102,3</w:t>
            </w:r>
          </w:p>
        </w:tc>
        <w:tc>
          <w:tcPr>
            <w:tcW w:w="741" w:type="dxa"/>
            <w:shd w:val="clear" w:color="auto" w:fill="auto"/>
            <w:vAlign w:val="bottom"/>
          </w:tcPr>
          <w:p w14:paraId="68C250A8"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hAnsi="Times New Roman"/>
              </w:rPr>
              <w:t>100,0</w:t>
            </w:r>
          </w:p>
        </w:tc>
        <w:tc>
          <w:tcPr>
            <w:tcW w:w="960" w:type="dxa"/>
            <w:shd w:val="clear" w:color="auto" w:fill="auto"/>
            <w:vAlign w:val="bottom"/>
          </w:tcPr>
          <w:p w14:paraId="019D2A95"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hAnsi="Times New Roman"/>
              </w:rPr>
              <w:t>35 709,0</w:t>
            </w:r>
          </w:p>
        </w:tc>
        <w:tc>
          <w:tcPr>
            <w:tcW w:w="993" w:type="dxa"/>
            <w:shd w:val="clear" w:color="auto" w:fill="auto"/>
            <w:vAlign w:val="bottom"/>
          </w:tcPr>
          <w:p w14:paraId="057738AD"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hAnsi="Times New Roman"/>
              </w:rPr>
              <w:t>35 605,9</w:t>
            </w:r>
          </w:p>
        </w:tc>
        <w:tc>
          <w:tcPr>
            <w:tcW w:w="708" w:type="dxa"/>
            <w:shd w:val="clear" w:color="auto" w:fill="auto"/>
            <w:vAlign w:val="bottom"/>
          </w:tcPr>
          <w:p w14:paraId="49C5EE35"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hAnsi="Times New Roman"/>
              </w:rPr>
              <w:t>100,0</w:t>
            </w:r>
          </w:p>
        </w:tc>
        <w:tc>
          <w:tcPr>
            <w:tcW w:w="915" w:type="dxa"/>
            <w:shd w:val="clear" w:color="auto" w:fill="auto"/>
            <w:vAlign w:val="bottom"/>
          </w:tcPr>
          <w:p w14:paraId="495056C8"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hAnsi="Times New Roman"/>
              </w:rPr>
              <w:t xml:space="preserve">-103,1 </w:t>
            </w:r>
          </w:p>
        </w:tc>
        <w:tc>
          <w:tcPr>
            <w:tcW w:w="930" w:type="dxa"/>
            <w:shd w:val="clear" w:color="auto" w:fill="auto"/>
            <w:vAlign w:val="bottom"/>
          </w:tcPr>
          <w:p w14:paraId="2A1E03FC"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hAnsi="Times New Roman"/>
              </w:rPr>
              <w:t xml:space="preserve">99,7 </w:t>
            </w:r>
          </w:p>
        </w:tc>
        <w:tc>
          <w:tcPr>
            <w:tcW w:w="851" w:type="dxa"/>
            <w:shd w:val="clear" w:color="auto" w:fill="auto"/>
            <w:vAlign w:val="bottom"/>
          </w:tcPr>
          <w:p w14:paraId="5C8B9F68"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hAnsi="Times New Roman"/>
              </w:rPr>
              <w:t>-496,4</w:t>
            </w:r>
          </w:p>
        </w:tc>
        <w:tc>
          <w:tcPr>
            <w:tcW w:w="1134" w:type="dxa"/>
            <w:shd w:val="clear" w:color="auto" w:fill="auto"/>
            <w:vAlign w:val="bottom"/>
          </w:tcPr>
          <w:p w14:paraId="736F2FD8" w14:textId="77777777" w:rsidR="000A2A7A" w:rsidRPr="00FD7B0B" w:rsidRDefault="000A2A7A" w:rsidP="000A2A7A">
            <w:pPr>
              <w:spacing w:after="0" w:line="240" w:lineRule="auto"/>
              <w:ind w:left="-110"/>
              <w:jc w:val="right"/>
              <w:rPr>
                <w:rFonts w:ascii="Times New Roman" w:eastAsia="Times New Roman" w:hAnsi="Times New Roman"/>
                <w:lang w:eastAsia="ru-RU"/>
              </w:rPr>
            </w:pPr>
            <w:r w:rsidRPr="00FD7B0B">
              <w:rPr>
                <w:rFonts w:ascii="Times New Roman" w:hAnsi="Times New Roman"/>
              </w:rPr>
              <w:t xml:space="preserve">-1,4 </w:t>
            </w:r>
          </w:p>
        </w:tc>
      </w:tr>
    </w:tbl>
    <w:p w14:paraId="7FF660D5" w14:textId="77777777" w:rsidR="000A2A7A" w:rsidRPr="00FD7B0B" w:rsidRDefault="000A2A7A" w:rsidP="00F628A3">
      <w:pPr>
        <w:pStyle w:val="aff0"/>
        <w:spacing w:after="0" w:line="240" w:lineRule="auto"/>
        <w:rPr>
          <w:rFonts w:ascii="Times New Roman" w:hAnsi="Times New Roman"/>
          <w:b w:val="0"/>
          <w:sz w:val="24"/>
          <w:szCs w:val="24"/>
        </w:rPr>
      </w:pPr>
    </w:p>
    <w:p w14:paraId="080C3B6E" w14:textId="77777777"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Оценивая структуру безвозмездных поступлений от других бюджетов бюджетной системы в 2024 году по сравнению с 2023 годом, необходимо отметить, что в отчетном году в областной бюджет получено меньше дотаций и иных межбюджетных трансфертов, а субсидий и субвенций больше.</w:t>
      </w:r>
    </w:p>
    <w:p w14:paraId="2507B685" w14:textId="3E851BAB"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1.1. За 2024 год дотации в областной бюджет получены в предусмотренном кассовым планом объеме.</w:t>
      </w:r>
      <w:r w:rsidR="00FE5EC5" w:rsidRPr="00FD7B0B">
        <w:rPr>
          <w:rFonts w:ascii="Times New Roman" w:hAnsi="Times New Roman"/>
          <w:sz w:val="28"/>
          <w:szCs w:val="28"/>
        </w:rPr>
        <w:t xml:space="preserve"> </w:t>
      </w:r>
      <w:r w:rsidRPr="00FD7B0B">
        <w:rPr>
          <w:rFonts w:ascii="Times New Roman" w:hAnsi="Times New Roman"/>
          <w:sz w:val="28"/>
          <w:szCs w:val="28"/>
        </w:rPr>
        <w:t>За 2024 год по сравнению с 2023 годом доля дотаций бюджету Архангельской области в структуре безвозмездных поступлений от других бюджетов бюджетной системы РФ уменьшилась на 2,4 процентных пункта и составила 32,4 %.</w:t>
      </w:r>
    </w:p>
    <w:p w14:paraId="33F1C69D" w14:textId="09DEEC18" w:rsidR="000A2A7A" w:rsidRPr="00FD7B0B" w:rsidRDefault="000A2A7A" w:rsidP="000A2A7A">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1.2. В 2024 году в областной бюджет поступило более 80 видов субсидий в сумме 18 869,3 млн.руб. По сравнению с 2023 годом объем в целом увеличился на 3 434,1 млн.руб. (+22,2 %), из них: за счет увеличения отдельных видов субсидий и поступления новых видов (+8 014,4 млн.руб.) и наиболее значительные суммы представлены в таблице </w:t>
      </w:r>
      <w:r w:rsidR="004F4294" w:rsidRPr="00FD7B0B">
        <w:rPr>
          <w:rFonts w:ascii="Times New Roman" w:hAnsi="Times New Roman"/>
          <w:sz w:val="28"/>
          <w:szCs w:val="28"/>
        </w:rPr>
        <w:t>48</w:t>
      </w:r>
      <w:r w:rsidRPr="00FD7B0B">
        <w:rPr>
          <w:rFonts w:ascii="Times New Roman" w:hAnsi="Times New Roman"/>
          <w:sz w:val="28"/>
          <w:szCs w:val="28"/>
        </w:rPr>
        <w:t>.</w:t>
      </w:r>
    </w:p>
    <w:p w14:paraId="5D5D34A6" w14:textId="77777777" w:rsidR="000A2A7A" w:rsidRPr="00FD7B0B" w:rsidRDefault="000A2A7A" w:rsidP="000A2A7A">
      <w:pPr>
        <w:pStyle w:val="aff0"/>
        <w:spacing w:after="0" w:line="240" w:lineRule="auto"/>
        <w:rPr>
          <w:rFonts w:ascii="Times New Roman" w:hAnsi="Times New Roman"/>
          <w:b w:val="0"/>
          <w:sz w:val="24"/>
          <w:szCs w:val="24"/>
        </w:rPr>
      </w:pPr>
    </w:p>
    <w:p w14:paraId="5BB9A64F" w14:textId="2F1B8205"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48</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Увеличение поступления отдельных видов субсидий и поступление новых видов субсидий за 2024 год в сравнении 2023 годом, млн.руб. (сумма увеличения – более </w:t>
      </w:r>
      <w:r w:rsidR="00FE5EC5" w:rsidRPr="00FD7B0B">
        <w:rPr>
          <w:rFonts w:ascii="Times New Roman" w:hAnsi="Times New Roman"/>
          <w:b w:val="0"/>
          <w:sz w:val="24"/>
          <w:szCs w:val="24"/>
        </w:rPr>
        <w:t>100</w:t>
      </w:r>
      <w:r w:rsidRPr="00FD7B0B">
        <w:rPr>
          <w:rFonts w:ascii="Times New Roman" w:hAnsi="Times New Roman"/>
          <w:b w:val="0"/>
          <w:sz w:val="24"/>
          <w:szCs w:val="24"/>
        </w:rPr>
        <w:t>,0 млн.руб.), млн.руб.</w:t>
      </w:r>
    </w:p>
    <w:tbl>
      <w:tblPr>
        <w:tblW w:w="9758" w:type="dxa"/>
        <w:tblLook w:val="04A0" w:firstRow="1" w:lastRow="0" w:firstColumn="1" w:lastColumn="0" w:noHBand="0" w:noVBand="1"/>
      </w:tblPr>
      <w:tblGrid>
        <w:gridCol w:w="8458"/>
        <w:gridCol w:w="1300"/>
      </w:tblGrid>
      <w:tr w:rsidR="00FD7B0B" w:rsidRPr="00FD7B0B" w14:paraId="20576094" w14:textId="77777777" w:rsidTr="00FE5EC5">
        <w:trPr>
          <w:trHeight w:val="405"/>
          <w:tblHeader/>
        </w:trPr>
        <w:tc>
          <w:tcPr>
            <w:tcW w:w="845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C2E1503"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Цель предоставления субсидий</w:t>
            </w:r>
          </w:p>
        </w:tc>
        <w:tc>
          <w:tcPr>
            <w:tcW w:w="1300" w:type="dxa"/>
            <w:tcBorders>
              <w:top w:val="double" w:sz="6" w:space="0" w:color="auto"/>
              <w:left w:val="single" w:sz="4" w:space="0" w:color="auto"/>
              <w:bottom w:val="single" w:sz="4" w:space="0" w:color="auto"/>
              <w:right w:val="double" w:sz="6" w:space="0" w:color="auto"/>
            </w:tcBorders>
            <w:shd w:val="clear" w:color="auto" w:fill="auto"/>
            <w:vAlign w:val="center"/>
            <w:hideMark/>
          </w:tcPr>
          <w:p w14:paraId="0EE91F03" w14:textId="5212E1FD" w:rsidR="000A2A7A" w:rsidRPr="00FD7B0B" w:rsidRDefault="00C364E6" w:rsidP="00C364E6">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Сумма увеличения</w:t>
            </w:r>
          </w:p>
        </w:tc>
      </w:tr>
      <w:tr w:rsidR="00FD7B0B" w:rsidRPr="00FD7B0B" w14:paraId="0CBD14E0" w14:textId="77777777" w:rsidTr="00FE5EC5">
        <w:trPr>
          <w:trHeight w:val="92"/>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2A65E0CD"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реализацию мероприятий по модернизации школьных систем образования</w:t>
            </w:r>
          </w:p>
        </w:tc>
        <w:tc>
          <w:tcPr>
            <w:tcW w:w="1300" w:type="dxa"/>
            <w:tcBorders>
              <w:top w:val="nil"/>
              <w:left w:val="single" w:sz="4" w:space="0" w:color="auto"/>
              <w:bottom w:val="single" w:sz="4" w:space="0" w:color="auto"/>
              <w:right w:val="double" w:sz="6" w:space="0" w:color="auto"/>
            </w:tcBorders>
            <w:shd w:val="clear" w:color="auto" w:fill="auto"/>
            <w:noWrap/>
            <w:hideMark/>
          </w:tcPr>
          <w:p w14:paraId="216DCF79"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442,8 </w:t>
            </w:r>
          </w:p>
        </w:tc>
      </w:tr>
      <w:tr w:rsidR="00FD7B0B" w:rsidRPr="00FD7B0B" w14:paraId="0F6E1F6E" w14:textId="77777777" w:rsidTr="00FE5EC5">
        <w:trPr>
          <w:trHeight w:val="395"/>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4CD68687"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реализацию программы комплексного развития молодежной политики в регионах РФ «Регион для молодых»</w:t>
            </w:r>
          </w:p>
        </w:tc>
        <w:tc>
          <w:tcPr>
            <w:tcW w:w="1300" w:type="dxa"/>
            <w:tcBorders>
              <w:top w:val="nil"/>
              <w:left w:val="single" w:sz="4" w:space="0" w:color="auto"/>
              <w:bottom w:val="single" w:sz="4" w:space="0" w:color="auto"/>
              <w:right w:val="double" w:sz="6" w:space="0" w:color="auto"/>
            </w:tcBorders>
            <w:shd w:val="clear" w:color="auto" w:fill="auto"/>
            <w:noWrap/>
            <w:hideMark/>
          </w:tcPr>
          <w:p w14:paraId="5CF3C8E0"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138,5 </w:t>
            </w:r>
          </w:p>
        </w:tc>
      </w:tr>
      <w:tr w:rsidR="00FD7B0B" w:rsidRPr="00FD7B0B" w14:paraId="4AF8F1CB" w14:textId="77777777" w:rsidTr="00FE5EC5">
        <w:trPr>
          <w:trHeight w:val="367"/>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65B640BF"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оснащение оборудованием региональных сосудистых центров и первичных сосудистых отделений</w:t>
            </w:r>
          </w:p>
        </w:tc>
        <w:tc>
          <w:tcPr>
            <w:tcW w:w="1300" w:type="dxa"/>
            <w:tcBorders>
              <w:top w:val="nil"/>
              <w:left w:val="single" w:sz="4" w:space="0" w:color="auto"/>
              <w:bottom w:val="single" w:sz="4" w:space="0" w:color="auto"/>
              <w:right w:val="double" w:sz="6" w:space="0" w:color="auto"/>
            </w:tcBorders>
            <w:shd w:val="clear" w:color="auto" w:fill="auto"/>
            <w:noWrap/>
            <w:hideMark/>
          </w:tcPr>
          <w:p w14:paraId="1BDEBCAD"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106,6 </w:t>
            </w:r>
          </w:p>
        </w:tc>
      </w:tr>
      <w:tr w:rsidR="00FD7B0B" w:rsidRPr="00FD7B0B" w14:paraId="62D69005" w14:textId="77777777" w:rsidTr="00FE5EC5">
        <w:trPr>
          <w:trHeight w:val="108"/>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4B60D462"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повышение эффективности службы занятости</w:t>
            </w:r>
          </w:p>
        </w:tc>
        <w:tc>
          <w:tcPr>
            <w:tcW w:w="1300" w:type="dxa"/>
            <w:tcBorders>
              <w:top w:val="nil"/>
              <w:left w:val="single" w:sz="4" w:space="0" w:color="auto"/>
              <w:bottom w:val="single" w:sz="4" w:space="0" w:color="auto"/>
              <w:right w:val="double" w:sz="6" w:space="0" w:color="auto"/>
            </w:tcBorders>
            <w:shd w:val="clear" w:color="auto" w:fill="auto"/>
            <w:noWrap/>
            <w:hideMark/>
          </w:tcPr>
          <w:p w14:paraId="5CC0930F"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286,1 </w:t>
            </w:r>
          </w:p>
        </w:tc>
      </w:tr>
      <w:tr w:rsidR="00FD7B0B" w:rsidRPr="00FD7B0B" w14:paraId="422F57A0" w14:textId="77777777" w:rsidTr="00FE5EC5">
        <w:trPr>
          <w:trHeight w:val="84"/>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5C600D65"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развитие транспортной инфраструктуры на сельских территориях</w:t>
            </w:r>
          </w:p>
        </w:tc>
        <w:tc>
          <w:tcPr>
            <w:tcW w:w="1300" w:type="dxa"/>
            <w:tcBorders>
              <w:top w:val="nil"/>
              <w:left w:val="single" w:sz="4" w:space="0" w:color="auto"/>
              <w:bottom w:val="single" w:sz="4" w:space="0" w:color="auto"/>
              <w:right w:val="double" w:sz="6" w:space="0" w:color="auto"/>
            </w:tcBorders>
            <w:shd w:val="clear" w:color="auto" w:fill="auto"/>
            <w:noWrap/>
            <w:hideMark/>
          </w:tcPr>
          <w:p w14:paraId="6BEEC603"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108,4 </w:t>
            </w:r>
          </w:p>
        </w:tc>
      </w:tr>
      <w:tr w:rsidR="00FD7B0B" w:rsidRPr="00FD7B0B" w14:paraId="0D0623B1" w14:textId="77777777" w:rsidTr="00FE5EC5">
        <w:trPr>
          <w:trHeight w:val="128"/>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2D417CC1"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прочие субсидии бюджетам субъектов Российской Федерации</w:t>
            </w:r>
          </w:p>
        </w:tc>
        <w:tc>
          <w:tcPr>
            <w:tcW w:w="1300" w:type="dxa"/>
            <w:tcBorders>
              <w:top w:val="nil"/>
              <w:left w:val="single" w:sz="4" w:space="0" w:color="auto"/>
              <w:bottom w:val="single" w:sz="4" w:space="0" w:color="auto"/>
              <w:right w:val="double" w:sz="6" w:space="0" w:color="auto"/>
            </w:tcBorders>
            <w:shd w:val="clear" w:color="auto" w:fill="auto"/>
            <w:noWrap/>
            <w:hideMark/>
          </w:tcPr>
          <w:p w14:paraId="445BB39B"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394,8 </w:t>
            </w:r>
          </w:p>
        </w:tc>
      </w:tr>
      <w:tr w:rsidR="00FD7B0B" w:rsidRPr="00FD7B0B" w14:paraId="19790070" w14:textId="77777777" w:rsidTr="00FE5EC5">
        <w:trPr>
          <w:trHeight w:val="627"/>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329CAACA"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tc>
        <w:tc>
          <w:tcPr>
            <w:tcW w:w="1300" w:type="dxa"/>
            <w:tcBorders>
              <w:top w:val="nil"/>
              <w:left w:val="single" w:sz="4" w:space="0" w:color="auto"/>
              <w:bottom w:val="single" w:sz="4" w:space="0" w:color="auto"/>
              <w:right w:val="double" w:sz="6" w:space="0" w:color="auto"/>
            </w:tcBorders>
            <w:shd w:val="clear" w:color="auto" w:fill="auto"/>
            <w:noWrap/>
            <w:hideMark/>
          </w:tcPr>
          <w:p w14:paraId="3F50CA98"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204,0 </w:t>
            </w:r>
          </w:p>
        </w:tc>
      </w:tr>
      <w:tr w:rsidR="00FD7B0B" w:rsidRPr="00FD7B0B" w14:paraId="25DC0BCC" w14:textId="77777777" w:rsidTr="00FE5EC5">
        <w:trPr>
          <w:trHeight w:val="378"/>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52128CA6"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поддержку приоритетных направлений агропромышленного комплекса и развитие малых форм хозяйствования</w:t>
            </w:r>
          </w:p>
        </w:tc>
        <w:tc>
          <w:tcPr>
            <w:tcW w:w="1300" w:type="dxa"/>
            <w:tcBorders>
              <w:top w:val="nil"/>
              <w:left w:val="single" w:sz="4" w:space="0" w:color="auto"/>
              <w:bottom w:val="single" w:sz="4" w:space="0" w:color="auto"/>
              <w:right w:val="double" w:sz="6" w:space="0" w:color="auto"/>
            </w:tcBorders>
            <w:shd w:val="clear" w:color="auto" w:fill="auto"/>
            <w:noWrap/>
            <w:hideMark/>
          </w:tcPr>
          <w:p w14:paraId="2CAA8C7B"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175,0 </w:t>
            </w:r>
          </w:p>
        </w:tc>
      </w:tr>
      <w:tr w:rsidR="00FD7B0B" w:rsidRPr="00FD7B0B" w14:paraId="32153F4E" w14:textId="77777777" w:rsidTr="00FE5EC5">
        <w:trPr>
          <w:trHeight w:val="555"/>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05BD6508"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реализацию мероприятий планов социального развития центров экономического роста субъектов РФ Арктической зоны РФ</w:t>
            </w:r>
          </w:p>
        </w:tc>
        <w:tc>
          <w:tcPr>
            <w:tcW w:w="1300" w:type="dxa"/>
            <w:tcBorders>
              <w:top w:val="nil"/>
              <w:left w:val="single" w:sz="4" w:space="0" w:color="auto"/>
              <w:bottom w:val="single" w:sz="4" w:space="0" w:color="auto"/>
              <w:right w:val="double" w:sz="6" w:space="0" w:color="auto"/>
            </w:tcBorders>
            <w:shd w:val="clear" w:color="auto" w:fill="auto"/>
            <w:noWrap/>
            <w:hideMark/>
          </w:tcPr>
          <w:p w14:paraId="4DD9A82A"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1 001,0 </w:t>
            </w:r>
          </w:p>
        </w:tc>
      </w:tr>
      <w:tr w:rsidR="00FD7B0B" w:rsidRPr="00FD7B0B" w14:paraId="146FD55D" w14:textId="77777777" w:rsidTr="00FE5EC5">
        <w:trPr>
          <w:trHeight w:val="371"/>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4BF8BBC6"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софинансирование капитальных вложений в объекты государственной собственности субъектов РФ</w:t>
            </w:r>
          </w:p>
        </w:tc>
        <w:tc>
          <w:tcPr>
            <w:tcW w:w="1300" w:type="dxa"/>
            <w:tcBorders>
              <w:top w:val="nil"/>
              <w:left w:val="single" w:sz="4" w:space="0" w:color="auto"/>
              <w:bottom w:val="single" w:sz="4" w:space="0" w:color="auto"/>
              <w:right w:val="double" w:sz="6" w:space="0" w:color="auto"/>
            </w:tcBorders>
            <w:shd w:val="clear" w:color="auto" w:fill="auto"/>
            <w:noWrap/>
            <w:hideMark/>
          </w:tcPr>
          <w:p w14:paraId="204865A3"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270,0 </w:t>
            </w:r>
          </w:p>
        </w:tc>
      </w:tr>
      <w:tr w:rsidR="00FD7B0B" w:rsidRPr="00FD7B0B" w14:paraId="5AACF5FE" w14:textId="77777777" w:rsidTr="00FE5EC5">
        <w:trPr>
          <w:trHeight w:val="577"/>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21591EA3"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софинансирование капитальных вложений в объекты государственной (муниципальной) собственности в рамках обеспечения комплексного развития сельских территорий</w:t>
            </w:r>
          </w:p>
        </w:tc>
        <w:tc>
          <w:tcPr>
            <w:tcW w:w="1300" w:type="dxa"/>
            <w:tcBorders>
              <w:top w:val="nil"/>
              <w:left w:val="single" w:sz="4" w:space="0" w:color="auto"/>
              <w:bottom w:val="single" w:sz="4" w:space="0" w:color="auto"/>
              <w:right w:val="double" w:sz="6" w:space="0" w:color="auto"/>
            </w:tcBorders>
            <w:shd w:val="clear" w:color="auto" w:fill="auto"/>
            <w:noWrap/>
            <w:hideMark/>
          </w:tcPr>
          <w:p w14:paraId="72F9227C"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472,8 </w:t>
            </w:r>
          </w:p>
        </w:tc>
      </w:tr>
      <w:tr w:rsidR="00FD7B0B" w:rsidRPr="00FD7B0B" w14:paraId="7F5283FC" w14:textId="77777777" w:rsidTr="00FE5EC5">
        <w:trPr>
          <w:trHeight w:val="100"/>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3865F05C"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за счет средств резервного фонда Правительства Российской Федерации</w:t>
            </w:r>
          </w:p>
        </w:tc>
        <w:tc>
          <w:tcPr>
            <w:tcW w:w="1300" w:type="dxa"/>
            <w:tcBorders>
              <w:top w:val="nil"/>
              <w:left w:val="single" w:sz="4" w:space="0" w:color="auto"/>
              <w:bottom w:val="single" w:sz="4" w:space="0" w:color="auto"/>
              <w:right w:val="double" w:sz="6" w:space="0" w:color="auto"/>
            </w:tcBorders>
            <w:shd w:val="clear" w:color="auto" w:fill="auto"/>
            <w:noWrap/>
            <w:hideMark/>
          </w:tcPr>
          <w:p w14:paraId="39C2C028"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808,1 </w:t>
            </w:r>
          </w:p>
        </w:tc>
      </w:tr>
      <w:tr w:rsidR="00FD7B0B" w:rsidRPr="00FD7B0B" w14:paraId="5B419E3F" w14:textId="77777777" w:rsidTr="00FE5EC5">
        <w:trPr>
          <w:trHeight w:val="510"/>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4318ECAC"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реализацию мероприятий по созданию в субъектах Российской Федерации новых мест в общеобразовательных организациях</w:t>
            </w:r>
          </w:p>
        </w:tc>
        <w:tc>
          <w:tcPr>
            <w:tcW w:w="1300" w:type="dxa"/>
            <w:tcBorders>
              <w:top w:val="nil"/>
              <w:left w:val="single" w:sz="4" w:space="0" w:color="auto"/>
              <w:bottom w:val="single" w:sz="4" w:space="0" w:color="auto"/>
              <w:right w:val="double" w:sz="6" w:space="0" w:color="auto"/>
            </w:tcBorders>
            <w:shd w:val="clear" w:color="auto" w:fill="auto"/>
            <w:noWrap/>
            <w:hideMark/>
          </w:tcPr>
          <w:p w14:paraId="2E3C52CF"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258,0 </w:t>
            </w:r>
          </w:p>
        </w:tc>
      </w:tr>
      <w:tr w:rsidR="00FD7B0B" w:rsidRPr="00FD7B0B" w14:paraId="4DEB98A0" w14:textId="77777777" w:rsidTr="00FE5EC5">
        <w:trPr>
          <w:trHeight w:val="435"/>
        </w:trPr>
        <w:tc>
          <w:tcPr>
            <w:tcW w:w="8458" w:type="dxa"/>
            <w:tcBorders>
              <w:top w:val="nil"/>
              <w:left w:val="double" w:sz="6" w:space="0" w:color="auto"/>
              <w:bottom w:val="single" w:sz="4" w:space="0" w:color="auto"/>
              <w:right w:val="single" w:sz="4" w:space="0" w:color="auto"/>
            </w:tcBorders>
            <w:shd w:val="clear" w:color="auto" w:fill="auto"/>
            <w:vAlign w:val="center"/>
            <w:hideMark/>
          </w:tcPr>
          <w:p w14:paraId="064CB3AC"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создание новых мест в общеобразовательных организациях в связи с ростом числа обучающихся, вызванным демографическим фактором</w:t>
            </w:r>
          </w:p>
        </w:tc>
        <w:tc>
          <w:tcPr>
            <w:tcW w:w="1300" w:type="dxa"/>
            <w:tcBorders>
              <w:top w:val="nil"/>
              <w:left w:val="single" w:sz="4" w:space="0" w:color="auto"/>
              <w:bottom w:val="single" w:sz="4" w:space="0" w:color="auto"/>
              <w:right w:val="double" w:sz="6" w:space="0" w:color="auto"/>
            </w:tcBorders>
            <w:shd w:val="clear" w:color="auto" w:fill="auto"/>
            <w:noWrap/>
            <w:hideMark/>
          </w:tcPr>
          <w:p w14:paraId="479583BC"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664,8 </w:t>
            </w:r>
          </w:p>
        </w:tc>
      </w:tr>
      <w:tr w:rsidR="000A2A7A" w:rsidRPr="00FD7B0B" w14:paraId="48215868" w14:textId="77777777" w:rsidTr="00FE5EC5">
        <w:trPr>
          <w:trHeight w:val="274"/>
        </w:trPr>
        <w:tc>
          <w:tcPr>
            <w:tcW w:w="8458" w:type="dxa"/>
            <w:tcBorders>
              <w:top w:val="nil"/>
              <w:left w:val="double" w:sz="6" w:space="0" w:color="auto"/>
              <w:bottom w:val="double" w:sz="6" w:space="0" w:color="auto"/>
              <w:right w:val="single" w:sz="4" w:space="0" w:color="auto"/>
            </w:tcBorders>
            <w:shd w:val="clear" w:color="auto" w:fill="auto"/>
            <w:vAlign w:val="center"/>
            <w:hideMark/>
          </w:tcPr>
          <w:p w14:paraId="624B1734"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на приведение в нормативное состояние автомобильных дорог и искусственных дорожных сооружений </w:t>
            </w:r>
          </w:p>
        </w:tc>
        <w:tc>
          <w:tcPr>
            <w:tcW w:w="1300" w:type="dxa"/>
            <w:tcBorders>
              <w:top w:val="nil"/>
              <w:left w:val="single" w:sz="4" w:space="0" w:color="auto"/>
              <w:bottom w:val="double" w:sz="6" w:space="0" w:color="auto"/>
              <w:right w:val="double" w:sz="6" w:space="0" w:color="auto"/>
            </w:tcBorders>
            <w:shd w:val="clear" w:color="auto" w:fill="auto"/>
            <w:noWrap/>
            <w:hideMark/>
          </w:tcPr>
          <w:p w14:paraId="75C60100" w14:textId="77777777" w:rsidR="000A2A7A" w:rsidRPr="00FD7B0B" w:rsidRDefault="000A2A7A" w:rsidP="00C364E6">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1 822,5 </w:t>
            </w:r>
          </w:p>
        </w:tc>
      </w:tr>
    </w:tbl>
    <w:p w14:paraId="42496DEA" w14:textId="77777777" w:rsidR="000A2A7A" w:rsidRPr="00FD7B0B" w:rsidRDefault="000A2A7A" w:rsidP="000A2A7A">
      <w:pPr>
        <w:pStyle w:val="ad"/>
        <w:ind w:firstLine="709"/>
        <w:jc w:val="both"/>
        <w:rPr>
          <w:rFonts w:ascii="Times New Roman" w:hAnsi="Times New Roman"/>
          <w:sz w:val="28"/>
          <w:szCs w:val="28"/>
        </w:rPr>
      </w:pPr>
    </w:p>
    <w:p w14:paraId="160A8593" w14:textId="0180F921"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Вместе с тем имеет место снижение поступления отдельны видов субсидий в целом на 4 580,2 млн.руб., из них наибольшие суммы представлены в таблице</w:t>
      </w:r>
      <w:r w:rsidR="004F4294" w:rsidRPr="00FD7B0B">
        <w:rPr>
          <w:rFonts w:ascii="Times New Roman" w:hAnsi="Times New Roman"/>
          <w:sz w:val="28"/>
          <w:szCs w:val="28"/>
        </w:rPr>
        <w:t> 49</w:t>
      </w:r>
      <w:r w:rsidRPr="00FD7B0B">
        <w:rPr>
          <w:rFonts w:ascii="Times New Roman" w:hAnsi="Times New Roman"/>
          <w:sz w:val="28"/>
          <w:szCs w:val="28"/>
        </w:rPr>
        <w:t>.</w:t>
      </w:r>
    </w:p>
    <w:p w14:paraId="2CB30A88" w14:textId="77777777" w:rsidR="000A2A7A" w:rsidRPr="00FD7B0B" w:rsidRDefault="000A2A7A" w:rsidP="000A2A7A">
      <w:pPr>
        <w:pStyle w:val="aff0"/>
        <w:spacing w:after="0" w:line="240" w:lineRule="auto"/>
        <w:rPr>
          <w:rFonts w:ascii="Times New Roman" w:hAnsi="Times New Roman"/>
          <w:b w:val="0"/>
          <w:sz w:val="24"/>
          <w:szCs w:val="24"/>
          <w:highlight w:val="cyan"/>
        </w:rPr>
      </w:pPr>
    </w:p>
    <w:p w14:paraId="6BA7CABC" w14:textId="3A322A4E"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49</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Уменьшение поступления отдельных видов субсидий за 2024 года в сравнении с 2023 годом, млн.руб. (сумма уменьшения – свыше </w:t>
      </w:r>
      <w:r w:rsidR="00FE5EC5" w:rsidRPr="00FD7B0B">
        <w:rPr>
          <w:rFonts w:ascii="Times New Roman" w:hAnsi="Times New Roman"/>
          <w:b w:val="0"/>
          <w:sz w:val="24"/>
          <w:szCs w:val="24"/>
        </w:rPr>
        <w:t>10</w:t>
      </w:r>
      <w:r w:rsidRPr="00FD7B0B">
        <w:rPr>
          <w:rFonts w:ascii="Times New Roman" w:hAnsi="Times New Roman"/>
          <w:b w:val="0"/>
          <w:sz w:val="24"/>
          <w:szCs w:val="24"/>
        </w:rPr>
        <w:t>0,0 млн.руб.), млн.руб.</w:t>
      </w:r>
    </w:p>
    <w:tbl>
      <w:tblPr>
        <w:tblW w:w="9726" w:type="dxa"/>
        <w:tblLook w:val="04A0" w:firstRow="1" w:lastRow="0" w:firstColumn="1" w:lastColumn="0" w:noHBand="0" w:noVBand="1"/>
      </w:tblPr>
      <w:tblGrid>
        <w:gridCol w:w="8341"/>
        <w:gridCol w:w="1385"/>
      </w:tblGrid>
      <w:tr w:rsidR="00FD7B0B" w:rsidRPr="00FD7B0B" w14:paraId="359C439E" w14:textId="77777777" w:rsidTr="003F062B">
        <w:trPr>
          <w:trHeight w:val="525"/>
          <w:tblHeader/>
        </w:trPr>
        <w:tc>
          <w:tcPr>
            <w:tcW w:w="8341"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1F198B81"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Цель предоставления субсидии </w:t>
            </w:r>
          </w:p>
        </w:tc>
        <w:tc>
          <w:tcPr>
            <w:tcW w:w="1385" w:type="dxa"/>
            <w:tcBorders>
              <w:top w:val="double" w:sz="6" w:space="0" w:color="auto"/>
              <w:left w:val="single" w:sz="4" w:space="0" w:color="auto"/>
              <w:bottom w:val="single" w:sz="4" w:space="0" w:color="auto"/>
              <w:right w:val="double" w:sz="6" w:space="0" w:color="auto"/>
            </w:tcBorders>
            <w:shd w:val="clear" w:color="auto" w:fill="auto"/>
            <w:vAlign w:val="center"/>
            <w:hideMark/>
          </w:tcPr>
          <w:p w14:paraId="32099B6C" w14:textId="3145BF5E" w:rsidR="000A2A7A" w:rsidRPr="00FD7B0B" w:rsidRDefault="003F062B" w:rsidP="003F062B">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Сумма уменьшения</w:t>
            </w:r>
          </w:p>
        </w:tc>
      </w:tr>
      <w:tr w:rsidR="00FD7B0B" w:rsidRPr="00FD7B0B" w14:paraId="7E51449D" w14:textId="77777777" w:rsidTr="003F062B">
        <w:trPr>
          <w:trHeight w:val="563"/>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46DAE5E1"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софинансирование капитальных вложений в объекты государственной (муниципальной) собственности субъектов РФ и (или) софинансирование мероприятий, не относящихся к капитальным вложениям в объекты государственной (муниципальной) собственности субъектов РФ</w:t>
            </w:r>
          </w:p>
        </w:tc>
        <w:tc>
          <w:tcPr>
            <w:tcW w:w="1385" w:type="dxa"/>
            <w:tcBorders>
              <w:top w:val="nil"/>
              <w:left w:val="single" w:sz="4" w:space="0" w:color="auto"/>
              <w:bottom w:val="single" w:sz="4" w:space="0" w:color="auto"/>
              <w:right w:val="double" w:sz="6" w:space="0" w:color="auto"/>
            </w:tcBorders>
            <w:shd w:val="clear" w:color="auto" w:fill="auto"/>
            <w:hideMark/>
          </w:tcPr>
          <w:p w14:paraId="56B1CEA4"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-150,0 </w:t>
            </w:r>
          </w:p>
        </w:tc>
      </w:tr>
      <w:tr w:rsidR="00FD7B0B" w:rsidRPr="00FD7B0B" w14:paraId="146AE7AE" w14:textId="77777777" w:rsidTr="003F062B">
        <w:trPr>
          <w:trHeight w:val="431"/>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0EC22F7A"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 на 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1385" w:type="dxa"/>
            <w:tcBorders>
              <w:top w:val="nil"/>
              <w:left w:val="single" w:sz="4" w:space="0" w:color="auto"/>
              <w:bottom w:val="single" w:sz="4" w:space="0" w:color="auto"/>
              <w:right w:val="double" w:sz="6" w:space="0" w:color="auto"/>
            </w:tcBorders>
            <w:shd w:val="clear" w:color="auto" w:fill="auto"/>
            <w:hideMark/>
          </w:tcPr>
          <w:p w14:paraId="4AA41949"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-290,0 </w:t>
            </w:r>
          </w:p>
        </w:tc>
      </w:tr>
      <w:tr w:rsidR="00FD7B0B" w:rsidRPr="00FD7B0B" w14:paraId="163F6FF3" w14:textId="77777777" w:rsidTr="003F062B">
        <w:trPr>
          <w:trHeight w:val="346"/>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106692FF"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ликвидацию несанкционированных свалок в границах городов и наиболее опасных объектов накопленного вреда окружающей среде</w:t>
            </w:r>
          </w:p>
        </w:tc>
        <w:tc>
          <w:tcPr>
            <w:tcW w:w="1385" w:type="dxa"/>
            <w:tcBorders>
              <w:top w:val="nil"/>
              <w:left w:val="single" w:sz="4" w:space="0" w:color="auto"/>
              <w:bottom w:val="single" w:sz="4" w:space="0" w:color="auto"/>
              <w:right w:val="double" w:sz="6" w:space="0" w:color="auto"/>
            </w:tcBorders>
            <w:shd w:val="clear" w:color="auto" w:fill="auto"/>
            <w:noWrap/>
            <w:hideMark/>
          </w:tcPr>
          <w:p w14:paraId="4A2205A5"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-351,3 </w:t>
            </w:r>
          </w:p>
        </w:tc>
      </w:tr>
      <w:tr w:rsidR="00FD7B0B" w:rsidRPr="00FD7B0B" w14:paraId="286921B8" w14:textId="77777777" w:rsidTr="003F062B">
        <w:trPr>
          <w:trHeight w:val="98"/>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1AB66B10"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строительство и реконструкцию (модернизацию) объектов питьевого водоснабжения</w:t>
            </w:r>
          </w:p>
        </w:tc>
        <w:tc>
          <w:tcPr>
            <w:tcW w:w="1385" w:type="dxa"/>
            <w:tcBorders>
              <w:top w:val="nil"/>
              <w:left w:val="single" w:sz="4" w:space="0" w:color="auto"/>
              <w:bottom w:val="single" w:sz="4" w:space="0" w:color="auto"/>
              <w:right w:val="double" w:sz="6" w:space="0" w:color="auto"/>
            </w:tcBorders>
            <w:shd w:val="clear" w:color="auto" w:fill="auto"/>
            <w:noWrap/>
            <w:hideMark/>
          </w:tcPr>
          <w:p w14:paraId="6335F79D"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-389,9 </w:t>
            </w:r>
          </w:p>
        </w:tc>
      </w:tr>
      <w:tr w:rsidR="00FD7B0B" w:rsidRPr="00FD7B0B" w14:paraId="38E236CB" w14:textId="77777777" w:rsidTr="003F062B">
        <w:trPr>
          <w:trHeight w:val="465"/>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643F67F5"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осуществление ежемесячных выплат на детей в возрасте от трех до семи лет включительно</w:t>
            </w:r>
          </w:p>
        </w:tc>
        <w:tc>
          <w:tcPr>
            <w:tcW w:w="1385" w:type="dxa"/>
            <w:tcBorders>
              <w:top w:val="nil"/>
              <w:left w:val="single" w:sz="4" w:space="0" w:color="auto"/>
              <w:bottom w:val="single" w:sz="4" w:space="0" w:color="auto"/>
              <w:right w:val="double" w:sz="6" w:space="0" w:color="auto"/>
            </w:tcBorders>
            <w:shd w:val="clear" w:color="auto" w:fill="auto"/>
            <w:noWrap/>
            <w:hideMark/>
          </w:tcPr>
          <w:p w14:paraId="6F841338"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-1 228,5 </w:t>
            </w:r>
          </w:p>
        </w:tc>
      </w:tr>
      <w:tr w:rsidR="00FD7B0B" w:rsidRPr="00FD7B0B" w14:paraId="4961E3F1" w14:textId="77777777" w:rsidTr="003F062B">
        <w:trPr>
          <w:trHeight w:val="510"/>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4A03F880"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lastRenderedPageBreak/>
              <w:t>на стимулирование развития приоритетных подотраслей агропромышленного комплекса и развитие малых форм хозяйствования</w:t>
            </w:r>
          </w:p>
        </w:tc>
        <w:tc>
          <w:tcPr>
            <w:tcW w:w="1385" w:type="dxa"/>
            <w:tcBorders>
              <w:top w:val="nil"/>
              <w:left w:val="single" w:sz="4" w:space="0" w:color="auto"/>
              <w:bottom w:val="single" w:sz="4" w:space="0" w:color="auto"/>
              <w:right w:val="double" w:sz="6" w:space="0" w:color="auto"/>
            </w:tcBorders>
            <w:shd w:val="clear" w:color="auto" w:fill="auto"/>
            <w:noWrap/>
            <w:hideMark/>
          </w:tcPr>
          <w:p w14:paraId="15611B52"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-129,0 </w:t>
            </w:r>
          </w:p>
        </w:tc>
      </w:tr>
      <w:tr w:rsidR="00FD7B0B" w:rsidRPr="00FD7B0B" w14:paraId="0B0037E9" w14:textId="77777777" w:rsidTr="003F062B">
        <w:trPr>
          <w:trHeight w:val="121"/>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1B6546D2"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поддержку отрасли культуры</w:t>
            </w:r>
          </w:p>
        </w:tc>
        <w:tc>
          <w:tcPr>
            <w:tcW w:w="1385" w:type="dxa"/>
            <w:tcBorders>
              <w:top w:val="nil"/>
              <w:left w:val="single" w:sz="4" w:space="0" w:color="auto"/>
              <w:bottom w:val="single" w:sz="4" w:space="0" w:color="auto"/>
              <w:right w:val="double" w:sz="6" w:space="0" w:color="auto"/>
            </w:tcBorders>
            <w:shd w:val="clear" w:color="auto" w:fill="auto"/>
            <w:noWrap/>
            <w:hideMark/>
          </w:tcPr>
          <w:p w14:paraId="175AA1DC"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-154,0 </w:t>
            </w:r>
          </w:p>
        </w:tc>
      </w:tr>
      <w:tr w:rsidR="00FD7B0B" w:rsidRPr="00FD7B0B" w14:paraId="6B848F90" w14:textId="77777777" w:rsidTr="003F062B">
        <w:trPr>
          <w:trHeight w:val="509"/>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226DA7F5"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государственную поддержку малого и среднего предпринимательства, а также физических лиц, применяющих специальный налоговый режим «Налог на профессиональный доход», в субъектах РФ</w:t>
            </w:r>
          </w:p>
        </w:tc>
        <w:tc>
          <w:tcPr>
            <w:tcW w:w="1385" w:type="dxa"/>
            <w:tcBorders>
              <w:top w:val="nil"/>
              <w:left w:val="single" w:sz="4" w:space="0" w:color="auto"/>
              <w:bottom w:val="single" w:sz="4" w:space="0" w:color="auto"/>
              <w:right w:val="double" w:sz="6" w:space="0" w:color="auto"/>
            </w:tcBorders>
            <w:shd w:val="clear" w:color="auto" w:fill="auto"/>
            <w:noWrap/>
            <w:hideMark/>
          </w:tcPr>
          <w:p w14:paraId="63D13253"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-177,8 </w:t>
            </w:r>
          </w:p>
        </w:tc>
      </w:tr>
      <w:tr w:rsidR="00FD7B0B" w:rsidRPr="00FD7B0B" w14:paraId="2A74F9EC" w14:textId="77777777" w:rsidTr="003F062B">
        <w:trPr>
          <w:trHeight w:val="166"/>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5784795A"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обеспечение комплексного развития сельских территорий</w:t>
            </w:r>
          </w:p>
        </w:tc>
        <w:tc>
          <w:tcPr>
            <w:tcW w:w="1385" w:type="dxa"/>
            <w:tcBorders>
              <w:top w:val="nil"/>
              <w:left w:val="single" w:sz="4" w:space="0" w:color="auto"/>
              <w:bottom w:val="single" w:sz="4" w:space="0" w:color="auto"/>
              <w:right w:val="double" w:sz="6" w:space="0" w:color="auto"/>
            </w:tcBorders>
            <w:shd w:val="clear" w:color="auto" w:fill="auto"/>
            <w:noWrap/>
            <w:hideMark/>
          </w:tcPr>
          <w:p w14:paraId="10305D38"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-200,4 </w:t>
            </w:r>
          </w:p>
        </w:tc>
      </w:tr>
      <w:tr w:rsidR="00FD7B0B" w:rsidRPr="00FD7B0B" w14:paraId="700CA3A0" w14:textId="77777777" w:rsidTr="003F062B">
        <w:trPr>
          <w:trHeight w:val="510"/>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64A49EA3"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обеспечение сокращения количества твердых коммунальных отходов, направленных на захоронение в субъектах РФ</w:t>
            </w:r>
          </w:p>
        </w:tc>
        <w:tc>
          <w:tcPr>
            <w:tcW w:w="1385" w:type="dxa"/>
            <w:tcBorders>
              <w:top w:val="nil"/>
              <w:left w:val="single" w:sz="4" w:space="0" w:color="auto"/>
              <w:bottom w:val="single" w:sz="4" w:space="0" w:color="auto"/>
              <w:right w:val="double" w:sz="6" w:space="0" w:color="auto"/>
            </w:tcBorders>
            <w:shd w:val="clear" w:color="auto" w:fill="auto"/>
            <w:noWrap/>
            <w:hideMark/>
          </w:tcPr>
          <w:p w14:paraId="1A66AD22"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-247,9 </w:t>
            </w:r>
          </w:p>
        </w:tc>
      </w:tr>
      <w:tr w:rsidR="00FD7B0B" w:rsidRPr="00FD7B0B" w14:paraId="7D2ED03C" w14:textId="77777777" w:rsidTr="003F062B">
        <w:trPr>
          <w:trHeight w:val="510"/>
        </w:trPr>
        <w:tc>
          <w:tcPr>
            <w:tcW w:w="8341" w:type="dxa"/>
            <w:tcBorders>
              <w:top w:val="nil"/>
              <w:left w:val="double" w:sz="6" w:space="0" w:color="auto"/>
              <w:bottom w:val="single" w:sz="4" w:space="0" w:color="auto"/>
              <w:right w:val="single" w:sz="4" w:space="0" w:color="auto"/>
            </w:tcBorders>
            <w:shd w:val="clear" w:color="auto" w:fill="auto"/>
            <w:vAlign w:val="center"/>
            <w:hideMark/>
          </w:tcPr>
          <w:p w14:paraId="2FEE2CC2"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 на софинансирование создания и (или) модернизации инфраструктуры в сфере культуры региональной (муниципальной) собственности</w:t>
            </w:r>
          </w:p>
        </w:tc>
        <w:tc>
          <w:tcPr>
            <w:tcW w:w="1385" w:type="dxa"/>
            <w:tcBorders>
              <w:top w:val="nil"/>
              <w:left w:val="single" w:sz="4" w:space="0" w:color="auto"/>
              <w:bottom w:val="single" w:sz="4" w:space="0" w:color="auto"/>
              <w:right w:val="double" w:sz="6" w:space="0" w:color="auto"/>
            </w:tcBorders>
            <w:shd w:val="clear" w:color="auto" w:fill="auto"/>
            <w:noWrap/>
            <w:hideMark/>
          </w:tcPr>
          <w:p w14:paraId="5F37DD3A"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-113,9 </w:t>
            </w:r>
          </w:p>
        </w:tc>
      </w:tr>
      <w:tr w:rsidR="000A2A7A" w:rsidRPr="00FD7B0B" w14:paraId="5117ED16" w14:textId="77777777" w:rsidTr="003F062B">
        <w:trPr>
          <w:trHeight w:val="390"/>
        </w:trPr>
        <w:tc>
          <w:tcPr>
            <w:tcW w:w="8341" w:type="dxa"/>
            <w:tcBorders>
              <w:top w:val="nil"/>
              <w:left w:val="double" w:sz="6" w:space="0" w:color="auto"/>
              <w:bottom w:val="double" w:sz="6" w:space="0" w:color="auto"/>
              <w:right w:val="single" w:sz="4" w:space="0" w:color="auto"/>
            </w:tcBorders>
            <w:shd w:val="clear" w:color="auto" w:fill="auto"/>
            <w:vAlign w:val="center"/>
            <w:hideMark/>
          </w:tcPr>
          <w:p w14:paraId="07F789A8"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реализацию мероприятий федеральной целевой программы «Развитие космодромов на период 2017 - 2025 годов в обеспечение космической деятельности РФ»</w:t>
            </w:r>
          </w:p>
        </w:tc>
        <w:tc>
          <w:tcPr>
            <w:tcW w:w="1385" w:type="dxa"/>
            <w:tcBorders>
              <w:top w:val="nil"/>
              <w:left w:val="single" w:sz="4" w:space="0" w:color="auto"/>
              <w:bottom w:val="double" w:sz="6" w:space="0" w:color="auto"/>
              <w:right w:val="double" w:sz="6" w:space="0" w:color="auto"/>
            </w:tcBorders>
            <w:shd w:val="clear" w:color="auto" w:fill="auto"/>
            <w:noWrap/>
            <w:hideMark/>
          </w:tcPr>
          <w:p w14:paraId="3E68AF40" w14:textId="77777777" w:rsidR="000A2A7A" w:rsidRPr="00FD7B0B" w:rsidRDefault="000A2A7A" w:rsidP="003F062B">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-382,9 </w:t>
            </w:r>
          </w:p>
        </w:tc>
      </w:tr>
    </w:tbl>
    <w:p w14:paraId="1DEF3FBC" w14:textId="77777777" w:rsidR="000A2A7A" w:rsidRPr="00FD7B0B" w:rsidRDefault="000A2A7A" w:rsidP="000A2A7A">
      <w:pPr>
        <w:pStyle w:val="ad"/>
        <w:ind w:firstLine="709"/>
        <w:jc w:val="both"/>
        <w:rPr>
          <w:rFonts w:ascii="Times New Roman" w:hAnsi="Times New Roman"/>
          <w:sz w:val="28"/>
          <w:szCs w:val="28"/>
        </w:rPr>
      </w:pPr>
    </w:p>
    <w:p w14:paraId="7E6CC17F" w14:textId="77777777"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В целом доля субсидий в структуре безвозмездных поступлений от других бюджетов бюджетной системы в 2024 году по сравнению с 2023 годом увеличилась на 10,2 процентных пункта и составила 53,0 %.</w:t>
      </w:r>
    </w:p>
    <w:p w14:paraId="2D4819CD" w14:textId="3EDDB883" w:rsidR="000A2A7A" w:rsidRPr="00FD7B0B" w:rsidRDefault="000A2A7A" w:rsidP="000A2A7A">
      <w:pPr>
        <w:pStyle w:val="ad"/>
        <w:ind w:firstLine="709"/>
        <w:jc w:val="both"/>
        <w:rPr>
          <w:rFonts w:ascii="Times New Roman" w:hAnsi="Times New Roman"/>
          <w:sz w:val="28"/>
          <w:szCs w:val="28"/>
          <w:highlight w:val="cyan"/>
        </w:rPr>
      </w:pPr>
      <w:r w:rsidRPr="00FD7B0B">
        <w:rPr>
          <w:rFonts w:ascii="Times New Roman" w:hAnsi="Times New Roman"/>
          <w:sz w:val="28"/>
          <w:szCs w:val="28"/>
        </w:rPr>
        <w:t xml:space="preserve">1.3 Объем поступления субвенций за 2024 года по сравнению с 2023 годом увеличился на 193,7 млн.руб. за счет увеличения поступления отдельных их видов (+318,6 млн.руб) и одновременного уменьшения поступления отдельных видов </w:t>
      </w:r>
      <w:r w:rsidR="00711FA2" w:rsidRPr="00FD7B0B">
        <w:rPr>
          <w:rFonts w:ascii="Times New Roman" w:hAnsi="Times New Roman"/>
          <w:sz w:val="28"/>
          <w:szCs w:val="28"/>
        </w:rPr>
        <w:t xml:space="preserve">на </w:t>
      </w:r>
      <w:r w:rsidRPr="00FD7B0B">
        <w:rPr>
          <w:rFonts w:ascii="Times New Roman" w:hAnsi="Times New Roman"/>
          <w:sz w:val="28"/>
          <w:szCs w:val="28"/>
        </w:rPr>
        <w:t>125,0 млн.руб), из них наиболее значительные суммы представлены в таблице</w:t>
      </w:r>
      <w:r w:rsidR="00711FA2" w:rsidRPr="00FD7B0B">
        <w:rPr>
          <w:rFonts w:ascii="Times New Roman" w:hAnsi="Times New Roman"/>
          <w:sz w:val="28"/>
          <w:szCs w:val="28"/>
        </w:rPr>
        <w:t xml:space="preserve"> </w:t>
      </w:r>
      <w:r w:rsidR="004F4294" w:rsidRPr="00FD7B0B">
        <w:rPr>
          <w:rFonts w:ascii="Times New Roman" w:hAnsi="Times New Roman"/>
          <w:sz w:val="28"/>
          <w:szCs w:val="28"/>
        </w:rPr>
        <w:t>50</w:t>
      </w:r>
      <w:r w:rsidRPr="00FD7B0B">
        <w:rPr>
          <w:rFonts w:ascii="Times New Roman" w:hAnsi="Times New Roman"/>
          <w:sz w:val="28"/>
          <w:szCs w:val="28"/>
        </w:rPr>
        <w:t>.</w:t>
      </w:r>
    </w:p>
    <w:p w14:paraId="4212A045" w14:textId="77777777" w:rsidR="000A2A7A" w:rsidRPr="00FD7B0B" w:rsidRDefault="000A2A7A" w:rsidP="000A2A7A">
      <w:pPr>
        <w:pStyle w:val="aff0"/>
        <w:spacing w:after="0" w:line="240" w:lineRule="auto"/>
        <w:rPr>
          <w:rFonts w:ascii="Times New Roman" w:hAnsi="Times New Roman"/>
          <w:b w:val="0"/>
          <w:sz w:val="24"/>
          <w:szCs w:val="24"/>
        </w:rPr>
      </w:pPr>
    </w:p>
    <w:p w14:paraId="5F9B45E4" w14:textId="324A0473"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50</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Изменение поступления отдельных видов субвенций за 2024 год в сравнении с 2023 годом, млн.руб. (сумма уменьшения и увеличения свыше </w:t>
      </w:r>
      <w:r w:rsidR="00CD7445" w:rsidRPr="00FD7B0B">
        <w:rPr>
          <w:rFonts w:ascii="Times New Roman" w:hAnsi="Times New Roman"/>
          <w:b w:val="0"/>
          <w:sz w:val="24"/>
          <w:szCs w:val="24"/>
        </w:rPr>
        <w:t>30</w:t>
      </w:r>
      <w:r w:rsidRPr="00FD7B0B">
        <w:rPr>
          <w:rFonts w:ascii="Times New Roman" w:hAnsi="Times New Roman"/>
          <w:b w:val="0"/>
          <w:sz w:val="24"/>
          <w:szCs w:val="24"/>
        </w:rPr>
        <w:t>,0 млн.руб.), млн.руб.</w:t>
      </w:r>
    </w:p>
    <w:tbl>
      <w:tblPr>
        <w:tblW w:w="9649"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8422"/>
        <w:gridCol w:w="1227"/>
      </w:tblGrid>
      <w:tr w:rsidR="00FD7B0B" w:rsidRPr="00FD7B0B" w14:paraId="35D10253" w14:textId="77777777" w:rsidTr="00CD7445">
        <w:trPr>
          <w:trHeight w:val="293"/>
          <w:tblHeader/>
        </w:trPr>
        <w:tc>
          <w:tcPr>
            <w:tcW w:w="8422" w:type="dxa"/>
            <w:shd w:val="clear" w:color="auto" w:fill="auto"/>
            <w:vAlign w:val="center"/>
            <w:hideMark/>
          </w:tcPr>
          <w:p w14:paraId="62D518F6"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 xml:space="preserve">Назначение субвенции </w:t>
            </w:r>
          </w:p>
        </w:tc>
        <w:tc>
          <w:tcPr>
            <w:tcW w:w="1227" w:type="dxa"/>
            <w:shd w:val="clear" w:color="auto" w:fill="auto"/>
            <w:vAlign w:val="center"/>
            <w:hideMark/>
          </w:tcPr>
          <w:p w14:paraId="242B8D1B" w14:textId="737C6200" w:rsidR="000A2A7A" w:rsidRPr="00FD7B0B" w:rsidRDefault="00557FC7" w:rsidP="00557FC7">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Сумма изменений</w:t>
            </w:r>
          </w:p>
        </w:tc>
      </w:tr>
      <w:tr w:rsidR="00FD7B0B" w:rsidRPr="00FD7B0B" w14:paraId="6F581832" w14:textId="77777777" w:rsidTr="00CD7445">
        <w:trPr>
          <w:trHeight w:val="431"/>
        </w:trPr>
        <w:tc>
          <w:tcPr>
            <w:tcW w:w="8422" w:type="dxa"/>
            <w:shd w:val="clear" w:color="auto" w:fill="auto"/>
            <w:vAlign w:val="bottom"/>
            <w:hideMark/>
          </w:tcPr>
          <w:p w14:paraId="2E5308DD" w14:textId="3A17A264" w:rsidR="000A2A7A" w:rsidRPr="00FD7B0B" w:rsidRDefault="000A2A7A" w:rsidP="00557FC7">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на приобретение беспилотных авиационных систем органами исполнительной власти субъектов </w:t>
            </w:r>
            <w:r w:rsidR="00557FC7" w:rsidRPr="00FD7B0B">
              <w:rPr>
                <w:rFonts w:ascii="Times New Roman" w:eastAsia="Times New Roman" w:hAnsi="Times New Roman"/>
                <w:lang w:eastAsia="ru-RU"/>
              </w:rPr>
              <w:t>РФ</w:t>
            </w:r>
            <w:r w:rsidRPr="00FD7B0B">
              <w:rPr>
                <w:rFonts w:ascii="Times New Roman" w:eastAsia="Times New Roman" w:hAnsi="Times New Roman"/>
                <w:lang w:eastAsia="ru-RU"/>
              </w:rPr>
              <w:t xml:space="preserve"> в области лесных отношений</w:t>
            </w:r>
          </w:p>
        </w:tc>
        <w:tc>
          <w:tcPr>
            <w:tcW w:w="1227" w:type="dxa"/>
            <w:shd w:val="clear" w:color="auto" w:fill="auto"/>
            <w:noWrap/>
            <w:hideMark/>
          </w:tcPr>
          <w:p w14:paraId="4287D08A"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30,0 </w:t>
            </w:r>
          </w:p>
        </w:tc>
      </w:tr>
      <w:tr w:rsidR="00FD7B0B" w:rsidRPr="00FD7B0B" w14:paraId="4DC30BF1" w14:textId="77777777" w:rsidTr="00CD7445">
        <w:trPr>
          <w:trHeight w:val="184"/>
        </w:trPr>
        <w:tc>
          <w:tcPr>
            <w:tcW w:w="8422" w:type="dxa"/>
            <w:shd w:val="clear" w:color="auto" w:fill="auto"/>
            <w:vAlign w:val="bottom"/>
            <w:hideMark/>
          </w:tcPr>
          <w:p w14:paraId="21A51CBE"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осуществление отдельных полномочий в области лесных отношений</w:t>
            </w:r>
          </w:p>
        </w:tc>
        <w:tc>
          <w:tcPr>
            <w:tcW w:w="1227" w:type="dxa"/>
            <w:shd w:val="clear" w:color="auto" w:fill="auto"/>
            <w:noWrap/>
            <w:hideMark/>
          </w:tcPr>
          <w:p w14:paraId="564C7220"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73,9 </w:t>
            </w:r>
          </w:p>
        </w:tc>
      </w:tr>
      <w:tr w:rsidR="00FD7B0B" w:rsidRPr="00FD7B0B" w14:paraId="7723C764" w14:textId="77777777" w:rsidTr="00CD7445">
        <w:trPr>
          <w:trHeight w:val="201"/>
        </w:trPr>
        <w:tc>
          <w:tcPr>
            <w:tcW w:w="8422" w:type="dxa"/>
            <w:shd w:val="clear" w:color="auto" w:fill="auto"/>
            <w:vAlign w:val="center"/>
            <w:hideMark/>
          </w:tcPr>
          <w:p w14:paraId="4EADFFFB"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осуществление мер пожарной безопасности и тушение лесных пожаров</w:t>
            </w:r>
          </w:p>
        </w:tc>
        <w:tc>
          <w:tcPr>
            <w:tcW w:w="1227" w:type="dxa"/>
            <w:shd w:val="clear" w:color="auto" w:fill="auto"/>
            <w:noWrap/>
            <w:hideMark/>
          </w:tcPr>
          <w:p w14:paraId="04421B73"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90,3 </w:t>
            </w:r>
          </w:p>
        </w:tc>
      </w:tr>
      <w:tr w:rsidR="00FD7B0B" w:rsidRPr="00FD7B0B" w14:paraId="0473F39C" w14:textId="77777777" w:rsidTr="00CD7445">
        <w:trPr>
          <w:trHeight w:val="289"/>
        </w:trPr>
        <w:tc>
          <w:tcPr>
            <w:tcW w:w="8422" w:type="dxa"/>
            <w:shd w:val="clear" w:color="auto" w:fill="auto"/>
            <w:vAlign w:val="center"/>
            <w:hideMark/>
          </w:tcPr>
          <w:p w14:paraId="32A54582"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1227" w:type="dxa"/>
            <w:shd w:val="clear" w:color="auto" w:fill="auto"/>
            <w:noWrap/>
            <w:hideMark/>
          </w:tcPr>
          <w:p w14:paraId="09686193"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57,1 </w:t>
            </w:r>
          </w:p>
        </w:tc>
      </w:tr>
      <w:tr w:rsidR="00FD7B0B" w:rsidRPr="00FD7B0B" w14:paraId="248DFF70" w14:textId="77777777" w:rsidTr="00CD7445">
        <w:trPr>
          <w:trHeight w:val="179"/>
        </w:trPr>
        <w:tc>
          <w:tcPr>
            <w:tcW w:w="8422" w:type="dxa"/>
            <w:shd w:val="clear" w:color="auto" w:fill="auto"/>
            <w:vAlign w:val="center"/>
            <w:hideMark/>
          </w:tcPr>
          <w:p w14:paraId="6F556BC7"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оплату жилищно-коммунальных услуг отдельным категориям граждан</w:t>
            </w:r>
          </w:p>
        </w:tc>
        <w:tc>
          <w:tcPr>
            <w:tcW w:w="1227" w:type="dxa"/>
            <w:shd w:val="clear" w:color="auto" w:fill="auto"/>
            <w:noWrap/>
            <w:hideMark/>
          </w:tcPr>
          <w:p w14:paraId="3B14B5C4"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33,7 </w:t>
            </w:r>
          </w:p>
        </w:tc>
      </w:tr>
      <w:tr w:rsidR="000A2A7A" w:rsidRPr="00FD7B0B" w14:paraId="65B2CA1B" w14:textId="77777777" w:rsidTr="00CD7445">
        <w:trPr>
          <w:trHeight w:val="430"/>
        </w:trPr>
        <w:tc>
          <w:tcPr>
            <w:tcW w:w="8422" w:type="dxa"/>
            <w:shd w:val="clear" w:color="auto" w:fill="auto"/>
            <w:vAlign w:val="bottom"/>
            <w:hideMark/>
          </w:tcPr>
          <w:p w14:paraId="43F7511E"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социальные выплаты безработным гражданам и иным категориям граждан в соответствии с законодательством о занятости населения</w:t>
            </w:r>
          </w:p>
        </w:tc>
        <w:tc>
          <w:tcPr>
            <w:tcW w:w="1227" w:type="dxa"/>
            <w:shd w:val="clear" w:color="auto" w:fill="auto"/>
            <w:noWrap/>
            <w:hideMark/>
          </w:tcPr>
          <w:p w14:paraId="01EFC059"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-112,1 </w:t>
            </w:r>
          </w:p>
        </w:tc>
      </w:tr>
    </w:tbl>
    <w:p w14:paraId="17005B5C" w14:textId="77777777" w:rsidR="000A2A7A" w:rsidRPr="00FD7B0B" w:rsidRDefault="000A2A7A" w:rsidP="000A2A7A">
      <w:pPr>
        <w:pStyle w:val="ad"/>
        <w:ind w:firstLine="709"/>
        <w:jc w:val="both"/>
        <w:rPr>
          <w:rFonts w:ascii="Times New Roman" w:hAnsi="Times New Roman"/>
          <w:sz w:val="28"/>
          <w:szCs w:val="28"/>
        </w:rPr>
      </w:pPr>
    </w:p>
    <w:p w14:paraId="03BD91F9" w14:textId="77777777"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Доля субвенций в структуре безвозмездных поступлений от других бюджетов бюджетной системы в 2024 году к 2023 году увеличилась на 0,7 процентных пункта и составила 10,0 %.</w:t>
      </w:r>
    </w:p>
    <w:p w14:paraId="1A959DC1" w14:textId="68F4B1A4"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 xml:space="preserve">1.4 Объем поступления иных межбюджетных трансфертов за 2024 год по сравнению с 2023 годом в целом уменьшился на 3 103,2 млн.руб. или на 65,5 % за счет увеличения на 430,2 млн.руб. отдельных видов иных межбюджетных </w:t>
      </w:r>
      <w:r w:rsidRPr="00FD7B0B">
        <w:rPr>
          <w:rFonts w:ascii="Times New Roman" w:hAnsi="Times New Roman"/>
          <w:sz w:val="28"/>
          <w:szCs w:val="28"/>
        </w:rPr>
        <w:lastRenderedPageBreak/>
        <w:t>трансфертов и уменьшения – на 3 533,5 млн.руб., из них значительные суммы представлены в таблице</w:t>
      </w:r>
      <w:r w:rsidR="00717DBD" w:rsidRPr="00FD7B0B">
        <w:rPr>
          <w:rFonts w:ascii="Times New Roman" w:hAnsi="Times New Roman"/>
          <w:sz w:val="28"/>
          <w:szCs w:val="28"/>
        </w:rPr>
        <w:t xml:space="preserve"> </w:t>
      </w:r>
      <w:r w:rsidR="004F4294" w:rsidRPr="00FD7B0B">
        <w:rPr>
          <w:rFonts w:ascii="Times New Roman" w:hAnsi="Times New Roman"/>
          <w:sz w:val="28"/>
          <w:szCs w:val="28"/>
        </w:rPr>
        <w:t>51</w:t>
      </w:r>
      <w:r w:rsidR="00717DBD" w:rsidRPr="00FD7B0B">
        <w:rPr>
          <w:rFonts w:ascii="Times New Roman" w:hAnsi="Times New Roman"/>
          <w:sz w:val="28"/>
          <w:szCs w:val="28"/>
        </w:rPr>
        <w:t>.</w:t>
      </w:r>
    </w:p>
    <w:p w14:paraId="78D1B39A" w14:textId="77777777" w:rsidR="000A2A7A" w:rsidRPr="00FD7B0B" w:rsidRDefault="000A2A7A" w:rsidP="000A2A7A">
      <w:pPr>
        <w:pStyle w:val="aff0"/>
        <w:spacing w:after="0" w:line="240" w:lineRule="auto"/>
        <w:rPr>
          <w:rFonts w:ascii="Times New Roman" w:hAnsi="Times New Roman"/>
          <w:b w:val="0"/>
          <w:sz w:val="24"/>
          <w:szCs w:val="24"/>
        </w:rPr>
      </w:pPr>
    </w:p>
    <w:p w14:paraId="1FE40785" w14:textId="0505A540"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51</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Динамика поступления отдельных видов иных межбюджетных трансфертов за 2024 год в сравнении с 2023 годом, млн.руб. (сумма увеличения/уменьшения – свыше </w:t>
      </w:r>
      <w:r w:rsidR="00CD7445" w:rsidRPr="00FD7B0B">
        <w:rPr>
          <w:rFonts w:ascii="Times New Roman" w:hAnsi="Times New Roman"/>
          <w:b w:val="0"/>
          <w:sz w:val="24"/>
          <w:szCs w:val="24"/>
        </w:rPr>
        <w:t>50</w:t>
      </w:r>
      <w:r w:rsidRPr="00FD7B0B">
        <w:rPr>
          <w:rFonts w:ascii="Times New Roman" w:hAnsi="Times New Roman"/>
          <w:b w:val="0"/>
          <w:sz w:val="24"/>
          <w:szCs w:val="24"/>
        </w:rPr>
        <w:t>,0 млн.руб.), млн.руб.</w:t>
      </w:r>
    </w:p>
    <w:tbl>
      <w:tblPr>
        <w:tblW w:w="962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8490"/>
        <w:gridCol w:w="1134"/>
      </w:tblGrid>
      <w:tr w:rsidR="00FD7B0B" w:rsidRPr="00FD7B0B" w14:paraId="6155C81B" w14:textId="77777777" w:rsidTr="00CD7445">
        <w:trPr>
          <w:trHeight w:val="525"/>
          <w:tblHeader/>
        </w:trPr>
        <w:tc>
          <w:tcPr>
            <w:tcW w:w="8490" w:type="dxa"/>
            <w:shd w:val="clear" w:color="auto" w:fill="auto"/>
            <w:vAlign w:val="center"/>
            <w:hideMark/>
          </w:tcPr>
          <w:p w14:paraId="0A013470"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Целевая направленность иных межбюджетных трансфертов</w:t>
            </w:r>
          </w:p>
        </w:tc>
        <w:tc>
          <w:tcPr>
            <w:tcW w:w="1134" w:type="dxa"/>
            <w:shd w:val="clear" w:color="auto" w:fill="auto"/>
            <w:vAlign w:val="center"/>
            <w:hideMark/>
          </w:tcPr>
          <w:p w14:paraId="6B456C39" w14:textId="31648670" w:rsidR="000A2A7A" w:rsidRPr="00FD7B0B" w:rsidRDefault="00557FC7" w:rsidP="00557FC7">
            <w:pPr>
              <w:spacing w:after="0" w:line="240" w:lineRule="auto"/>
              <w:ind w:left="-108" w:right="-75"/>
              <w:jc w:val="center"/>
              <w:rPr>
                <w:rFonts w:ascii="Times New Roman" w:eastAsia="Times New Roman" w:hAnsi="Times New Roman"/>
                <w:lang w:eastAsia="ru-RU"/>
              </w:rPr>
            </w:pPr>
            <w:r w:rsidRPr="00FD7B0B">
              <w:rPr>
                <w:rFonts w:ascii="Times New Roman" w:eastAsia="Times New Roman" w:hAnsi="Times New Roman"/>
                <w:lang w:eastAsia="ru-RU"/>
              </w:rPr>
              <w:t>Сумма изменений</w:t>
            </w:r>
          </w:p>
        </w:tc>
      </w:tr>
      <w:tr w:rsidR="00FD7B0B" w:rsidRPr="00FD7B0B" w14:paraId="5D5DBCC1" w14:textId="77777777" w:rsidTr="00CD7445">
        <w:trPr>
          <w:trHeight w:val="589"/>
        </w:trPr>
        <w:tc>
          <w:tcPr>
            <w:tcW w:w="8490" w:type="dxa"/>
            <w:shd w:val="clear" w:color="auto" w:fill="auto"/>
            <w:vAlign w:val="bottom"/>
            <w:hideMark/>
          </w:tcPr>
          <w:p w14:paraId="433744A5"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основного общего образования, среднего общего образования</w:t>
            </w:r>
          </w:p>
        </w:tc>
        <w:tc>
          <w:tcPr>
            <w:tcW w:w="1134" w:type="dxa"/>
            <w:shd w:val="clear" w:color="auto" w:fill="auto"/>
            <w:noWrap/>
            <w:hideMark/>
          </w:tcPr>
          <w:p w14:paraId="3A515604"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367,0 </w:t>
            </w:r>
          </w:p>
        </w:tc>
      </w:tr>
      <w:tr w:rsidR="00FD7B0B" w:rsidRPr="00FD7B0B" w14:paraId="4E460A5E" w14:textId="77777777" w:rsidTr="00CD7445">
        <w:trPr>
          <w:trHeight w:val="525"/>
        </w:trPr>
        <w:tc>
          <w:tcPr>
            <w:tcW w:w="8490" w:type="dxa"/>
            <w:shd w:val="clear" w:color="auto" w:fill="auto"/>
            <w:vAlign w:val="bottom"/>
            <w:hideMark/>
          </w:tcPr>
          <w:p w14:paraId="592DB133"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оснащение оборудованием региональных сосудистых центров и первичных сосудистых отделений</w:t>
            </w:r>
          </w:p>
        </w:tc>
        <w:tc>
          <w:tcPr>
            <w:tcW w:w="1134" w:type="dxa"/>
            <w:shd w:val="clear" w:color="auto" w:fill="auto"/>
            <w:noWrap/>
            <w:hideMark/>
          </w:tcPr>
          <w:p w14:paraId="48F3DBDA"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-83,8 </w:t>
            </w:r>
          </w:p>
        </w:tc>
      </w:tr>
      <w:tr w:rsidR="00FD7B0B" w:rsidRPr="00FD7B0B" w14:paraId="502A7933" w14:textId="77777777" w:rsidTr="00CD7445">
        <w:trPr>
          <w:trHeight w:val="174"/>
        </w:trPr>
        <w:tc>
          <w:tcPr>
            <w:tcW w:w="8490" w:type="dxa"/>
            <w:shd w:val="clear" w:color="auto" w:fill="auto"/>
            <w:vAlign w:val="bottom"/>
            <w:hideMark/>
          </w:tcPr>
          <w:p w14:paraId="402DC272"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развитие инфраструктуры дорожного хозяйства</w:t>
            </w:r>
          </w:p>
        </w:tc>
        <w:tc>
          <w:tcPr>
            <w:tcW w:w="1134" w:type="dxa"/>
            <w:shd w:val="clear" w:color="auto" w:fill="auto"/>
            <w:noWrap/>
            <w:hideMark/>
          </w:tcPr>
          <w:p w14:paraId="36896668" w14:textId="77777777" w:rsidR="000A2A7A" w:rsidRPr="00FD7B0B" w:rsidRDefault="000A2A7A" w:rsidP="00557FC7">
            <w:pPr>
              <w:spacing w:after="0" w:line="240" w:lineRule="auto"/>
              <w:ind w:left="-108" w:right="-41"/>
              <w:jc w:val="right"/>
              <w:rPr>
                <w:rFonts w:ascii="Times New Roman" w:eastAsia="Times New Roman" w:hAnsi="Times New Roman"/>
                <w:lang w:eastAsia="ru-RU"/>
              </w:rPr>
            </w:pPr>
            <w:r w:rsidRPr="00FD7B0B">
              <w:rPr>
                <w:rFonts w:ascii="Times New Roman" w:eastAsia="Times New Roman" w:hAnsi="Times New Roman"/>
                <w:lang w:eastAsia="ru-RU"/>
              </w:rPr>
              <w:t xml:space="preserve">-1 306,6 </w:t>
            </w:r>
          </w:p>
        </w:tc>
      </w:tr>
      <w:tr w:rsidR="00FD7B0B" w:rsidRPr="00FD7B0B" w14:paraId="549C6BBE" w14:textId="77777777" w:rsidTr="00CD7445">
        <w:trPr>
          <w:trHeight w:val="475"/>
        </w:trPr>
        <w:tc>
          <w:tcPr>
            <w:tcW w:w="8490" w:type="dxa"/>
            <w:shd w:val="clear" w:color="auto" w:fill="auto"/>
            <w:vAlign w:val="bottom"/>
            <w:hideMark/>
          </w:tcPr>
          <w:p w14:paraId="08787611"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tc>
        <w:tc>
          <w:tcPr>
            <w:tcW w:w="1134" w:type="dxa"/>
            <w:shd w:val="clear" w:color="auto" w:fill="auto"/>
            <w:noWrap/>
            <w:hideMark/>
          </w:tcPr>
          <w:p w14:paraId="10562A2B"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-175,0 </w:t>
            </w:r>
          </w:p>
        </w:tc>
      </w:tr>
      <w:tr w:rsidR="00FD7B0B" w:rsidRPr="00FD7B0B" w14:paraId="1FDD33AA" w14:textId="77777777" w:rsidTr="00CD7445">
        <w:trPr>
          <w:trHeight w:val="458"/>
        </w:trPr>
        <w:tc>
          <w:tcPr>
            <w:tcW w:w="8490" w:type="dxa"/>
            <w:shd w:val="clear" w:color="auto" w:fill="auto"/>
            <w:vAlign w:val="bottom"/>
            <w:hideMark/>
          </w:tcPr>
          <w:p w14:paraId="0FDE33BD" w14:textId="3876CF0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реализацию мероприятий планов социального развития центров экономического роста субъектов РФ, входя</w:t>
            </w:r>
            <w:r w:rsidR="00557FC7" w:rsidRPr="00FD7B0B">
              <w:rPr>
                <w:rFonts w:ascii="Times New Roman" w:eastAsia="Times New Roman" w:hAnsi="Times New Roman"/>
                <w:lang w:eastAsia="ru-RU"/>
              </w:rPr>
              <w:t>щих в состав Арктической зоны Р</w:t>
            </w:r>
            <w:r w:rsidRPr="00FD7B0B">
              <w:rPr>
                <w:rFonts w:ascii="Times New Roman" w:eastAsia="Times New Roman" w:hAnsi="Times New Roman"/>
                <w:lang w:eastAsia="ru-RU"/>
              </w:rPr>
              <w:t>Ф</w:t>
            </w:r>
          </w:p>
        </w:tc>
        <w:tc>
          <w:tcPr>
            <w:tcW w:w="1134" w:type="dxa"/>
            <w:shd w:val="clear" w:color="auto" w:fill="auto"/>
            <w:noWrap/>
            <w:hideMark/>
          </w:tcPr>
          <w:p w14:paraId="5A7399B9"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-903,1 </w:t>
            </w:r>
          </w:p>
        </w:tc>
      </w:tr>
      <w:tr w:rsidR="00FD7B0B" w:rsidRPr="00FD7B0B" w14:paraId="4DE0F343" w14:textId="77777777" w:rsidTr="00CD7445">
        <w:trPr>
          <w:trHeight w:val="613"/>
        </w:trPr>
        <w:tc>
          <w:tcPr>
            <w:tcW w:w="8490" w:type="dxa"/>
            <w:shd w:val="clear" w:color="auto" w:fill="auto"/>
            <w:vAlign w:val="bottom"/>
            <w:hideMark/>
          </w:tcPr>
          <w:p w14:paraId="0413B1FD"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внедрение интеллектуальных транспортных систем, предусматривающих автоматизацию процессов управления дорожным движением в городских агломерациях, включающих города с населением свыше 300 тыс. человек</w:t>
            </w:r>
          </w:p>
        </w:tc>
        <w:tc>
          <w:tcPr>
            <w:tcW w:w="1134" w:type="dxa"/>
            <w:shd w:val="clear" w:color="auto" w:fill="auto"/>
            <w:noWrap/>
            <w:hideMark/>
          </w:tcPr>
          <w:p w14:paraId="029FF75A"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-79,8 </w:t>
            </w:r>
          </w:p>
        </w:tc>
      </w:tr>
      <w:tr w:rsidR="000A2A7A" w:rsidRPr="00FD7B0B" w14:paraId="603481A7" w14:textId="77777777" w:rsidTr="00CD7445">
        <w:trPr>
          <w:trHeight w:val="351"/>
        </w:trPr>
        <w:tc>
          <w:tcPr>
            <w:tcW w:w="8490" w:type="dxa"/>
            <w:shd w:val="clear" w:color="auto" w:fill="auto"/>
            <w:vAlign w:val="bottom"/>
            <w:hideMark/>
          </w:tcPr>
          <w:p w14:paraId="49E13AB1"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финансирование дорожной деятельности в отношении автомобильных дорог общего пользования регионального или межмуниципального, местного значения</w:t>
            </w:r>
          </w:p>
        </w:tc>
        <w:tc>
          <w:tcPr>
            <w:tcW w:w="1134" w:type="dxa"/>
            <w:shd w:val="clear" w:color="auto" w:fill="auto"/>
            <w:noWrap/>
            <w:hideMark/>
          </w:tcPr>
          <w:p w14:paraId="6095719D" w14:textId="77777777" w:rsidR="000A2A7A" w:rsidRPr="00FD7B0B" w:rsidRDefault="000A2A7A" w:rsidP="00557FC7">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-834,9 </w:t>
            </w:r>
          </w:p>
        </w:tc>
      </w:tr>
    </w:tbl>
    <w:p w14:paraId="45353BFD" w14:textId="77777777" w:rsidR="000A2A7A" w:rsidRPr="00FD7B0B" w:rsidRDefault="000A2A7A" w:rsidP="000A2A7A">
      <w:pPr>
        <w:pStyle w:val="ad"/>
        <w:ind w:firstLine="709"/>
        <w:jc w:val="both"/>
        <w:rPr>
          <w:rFonts w:ascii="Times New Roman" w:hAnsi="Times New Roman"/>
          <w:sz w:val="28"/>
          <w:szCs w:val="28"/>
        </w:rPr>
      </w:pPr>
    </w:p>
    <w:p w14:paraId="264B2CAF" w14:textId="77777777"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Доля иных межбюджетных трансфертов в структуре безвозмездных поступлений от других бюджетов бюджетной системы в 2024 году к 2023 году уменьшилась на 8,5 процентный пункта и составила 4,6 %.</w:t>
      </w:r>
    </w:p>
    <w:p w14:paraId="40F10334" w14:textId="77777777" w:rsidR="00557FC7" w:rsidRPr="00FD7B0B" w:rsidRDefault="00557FC7" w:rsidP="000A2A7A">
      <w:pPr>
        <w:pStyle w:val="ad"/>
        <w:ind w:firstLine="709"/>
        <w:jc w:val="both"/>
        <w:rPr>
          <w:rFonts w:ascii="Times New Roman" w:hAnsi="Times New Roman"/>
          <w:sz w:val="28"/>
          <w:szCs w:val="28"/>
          <w:highlight w:val="cyan"/>
        </w:rPr>
      </w:pPr>
    </w:p>
    <w:p w14:paraId="2CFDEBE6" w14:textId="36A37FE3"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2. За отчетный период 2024 года безвозмездных поступлений в областной бюджет, за исключением поступлений из федерального бюджета, в целом получено 2 178,0 млн.руб. меньше аналогичных поступлений в 2023 году на 5 233,9 млн.руб. (–70,6</w:t>
      </w:r>
      <w:r w:rsidR="00C26DFE" w:rsidRPr="00FD7B0B">
        <w:rPr>
          <w:rFonts w:ascii="Times New Roman" w:hAnsi="Times New Roman"/>
          <w:sz w:val="28"/>
          <w:szCs w:val="28"/>
        </w:rPr>
        <w:t xml:space="preserve"> </w:t>
      </w:r>
      <w:r w:rsidRPr="00FD7B0B">
        <w:rPr>
          <w:rFonts w:ascii="Times New Roman" w:hAnsi="Times New Roman"/>
          <w:sz w:val="28"/>
          <w:szCs w:val="28"/>
        </w:rPr>
        <w:t>%) в основном за счет уменьшения поступления от ППК «Фонд развития территорий» (–5 287,8 млн.руб.), что обеспечено поступлениями, представленными в таблице</w:t>
      </w:r>
      <w:r w:rsidR="00980DF5" w:rsidRPr="00FD7B0B">
        <w:rPr>
          <w:rFonts w:ascii="Times New Roman" w:hAnsi="Times New Roman"/>
          <w:sz w:val="28"/>
          <w:szCs w:val="28"/>
        </w:rPr>
        <w:t xml:space="preserve"> </w:t>
      </w:r>
      <w:r w:rsidR="004F4294" w:rsidRPr="00FD7B0B">
        <w:rPr>
          <w:rFonts w:ascii="Times New Roman" w:hAnsi="Times New Roman"/>
          <w:sz w:val="28"/>
          <w:szCs w:val="28"/>
        </w:rPr>
        <w:t>52</w:t>
      </w:r>
      <w:r w:rsidRPr="00FD7B0B">
        <w:rPr>
          <w:rFonts w:ascii="Times New Roman" w:hAnsi="Times New Roman"/>
          <w:sz w:val="28"/>
          <w:szCs w:val="28"/>
        </w:rPr>
        <w:t>:</w:t>
      </w:r>
    </w:p>
    <w:p w14:paraId="244FA47B" w14:textId="77777777" w:rsidR="000A2A7A" w:rsidRPr="00FD7B0B" w:rsidRDefault="000A2A7A" w:rsidP="000A2A7A">
      <w:pPr>
        <w:pStyle w:val="ad"/>
        <w:ind w:firstLine="709"/>
        <w:jc w:val="both"/>
        <w:rPr>
          <w:rFonts w:ascii="Times New Roman" w:hAnsi="Times New Roman"/>
          <w:sz w:val="28"/>
          <w:szCs w:val="28"/>
        </w:rPr>
      </w:pPr>
    </w:p>
    <w:p w14:paraId="1E65D8EE" w14:textId="4DCD251E"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52</w:t>
      </w:r>
      <w:r w:rsidRPr="00FD7B0B">
        <w:rPr>
          <w:rFonts w:ascii="Times New Roman" w:hAnsi="Times New Roman"/>
          <w:b w:val="0"/>
          <w:sz w:val="24"/>
          <w:szCs w:val="24"/>
        </w:rPr>
        <w:fldChar w:fldCharType="end"/>
      </w:r>
      <w:r w:rsidR="00066D30" w:rsidRPr="00FD7B0B">
        <w:rPr>
          <w:rFonts w:ascii="Times New Roman" w:hAnsi="Times New Roman"/>
          <w:b w:val="0"/>
          <w:sz w:val="24"/>
          <w:szCs w:val="24"/>
        </w:rPr>
        <w:t>.</w:t>
      </w:r>
      <w:r w:rsidRPr="00FD7B0B">
        <w:rPr>
          <w:rFonts w:ascii="Times New Roman" w:hAnsi="Times New Roman"/>
          <w:b w:val="0"/>
          <w:sz w:val="24"/>
          <w:szCs w:val="24"/>
        </w:rPr>
        <w:t xml:space="preserve"> Безвозмездные поступления от государственных (муниципальных) организаций, прочие безвозмездные поступления за 2024 год, млн.руб.</w:t>
      </w:r>
    </w:p>
    <w:tbl>
      <w:tblPr>
        <w:tblW w:w="9791"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8766"/>
        <w:gridCol w:w="1025"/>
      </w:tblGrid>
      <w:tr w:rsidR="00FD7B0B" w:rsidRPr="00FD7B0B" w14:paraId="6E96307B" w14:textId="77777777" w:rsidTr="004F4294">
        <w:trPr>
          <w:trHeight w:val="385"/>
          <w:tblHeader/>
        </w:trPr>
        <w:tc>
          <w:tcPr>
            <w:tcW w:w="8766" w:type="dxa"/>
            <w:shd w:val="clear" w:color="auto" w:fill="auto"/>
            <w:vAlign w:val="center"/>
            <w:hideMark/>
          </w:tcPr>
          <w:p w14:paraId="443FD88F" w14:textId="77777777" w:rsidR="000A2A7A" w:rsidRPr="00FD7B0B" w:rsidRDefault="000A2A7A" w:rsidP="004F429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Плательщик/ ГРБС/плательщик/направление/основание</w:t>
            </w:r>
          </w:p>
        </w:tc>
        <w:tc>
          <w:tcPr>
            <w:tcW w:w="1025" w:type="dxa"/>
            <w:shd w:val="clear" w:color="auto" w:fill="auto"/>
            <w:vAlign w:val="center"/>
            <w:hideMark/>
          </w:tcPr>
          <w:p w14:paraId="6063C555" w14:textId="77777777" w:rsidR="000A2A7A" w:rsidRPr="00FD7B0B" w:rsidRDefault="000A2A7A" w:rsidP="004F429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Сумма, млн.руб.</w:t>
            </w:r>
          </w:p>
        </w:tc>
      </w:tr>
      <w:tr w:rsidR="00FD7B0B" w:rsidRPr="00FD7B0B" w14:paraId="2CAF49CA" w14:textId="77777777" w:rsidTr="004F4294">
        <w:trPr>
          <w:trHeight w:val="259"/>
        </w:trPr>
        <w:tc>
          <w:tcPr>
            <w:tcW w:w="8766" w:type="dxa"/>
            <w:shd w:val="clear" w:color="auto" w:fill="auto"/>
            <w:vAlign w:val="center"/>
            <w:hideMark/>
          </w:tcPr>
          <w:p w14:paraId="12CEE063" w14:textId="43EF1A62" w:rsidR="000A2A7A" w:rsidRPr="00FD7B0B" w:rsidRDefault="000A2A7A" w:rsidP="004F429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Публично-правовой компании «Ф</w:t>
            </w:r>
            <w:r w:rsidR="00C26DFE" w:rsidRPr="00FD7B0B">
              <w:rPr>
                <w:rFonts w:ascii="Times New Roman" w:eastAsia="Times New Roman" w:hAnsi="Times New Roman"/>
                <w:lang w:eastAsia="ru-RU"/>
              </w:rPr>
              <w:t>онд развития территорий»</w:t>
            </w:r>
          </w:p>
        </w:tc>
        <w:tc>
          <w:tcPr>
            <w:tcW w:w="1025" w:type="dxa"/>
            <w:shd w:val="clear" w:color="auto" w:fill="auto"/>
            <w:vAlign w:val="center"/>
            <w:hideMark/>
          </w:tcPr>
          <w:p w14:paraId="2582F9A1" w14:textId="77777777" w:rsidR="000A2A7A" w:rsidRPr="00FD7B0B" w:rsidRDefault="000A2A7A" w:rsidP="004F429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1 724,4 </w:t>
            </w:r>
          </w:p>
        </w:tc>
      </w:tr>
      <w:tr w:rsidR="00FD7B0B" w:rsidRPr="00FD7B0B" w14:paraId="6FBA796B" w14:textId="77777777" w:rsidTr="004F4294">
        <w:trPr>
          <w:trHeight w:val="402"/>
        </w:trPr>
        <w:tc>
          <w:tcPr>
            <w:tcW w:w="8766" w:type="dxa"/>
            <w:shd w:val="clear" w:color="auto" w:fill="auto"/>
            <w:vAlign w:val="center"/>
            <w:hideMark/>
          </w:tcPr>
          <w:p w14:paraId="574B2141" w14:textId="4DB26C1A" w:rsidR="000A2A7A" w:rsidRPr="00FD7B0B" w:rsidRDefault="000A2A7A" w:rsidP="004F429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Возврат государственными учреждениями, подведомственными ГРБС, средств субсидий по фак</w:t>
            </w:r>
            <w:r w:rsidR="00C26DFE" w:rsidRPr="00FD7B0B">
              <w:rPr>
                <w:rFonts w:ascii="Times New Roman" w:eastAsia="Times New Roman" w:hAnsi="Times New Roman"/>
                <w:lang w:eastAsia="ru-RU"/>
              </w:rPr>
              <w:t>там выявленных нарушений</w:t>
            </w:r>
          </w:p>
        </w:tc>
        <w:tc>
          <w:tcPr>
            <w:tcW w:w="1025" w:type="dxa"/>
            <w:shd w:val="clear" w:color="auto" w:fill="auto"/>
            <w:vAlign w:val="center"/>
            <w:hideMark/>
          </w:tcPr>
          <w:p w14:paraId="7847A60F" w14:textId="77777777" w:rsidR="000A2A7A" w:rsidRPr="00FD7B0B" w:rsidRDefault="000A2A7A" w:rsidP="004F429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20,5 </w:t>
            </w:r>
          </w:p>
        </w:tc>
      </w:tr>
      <w:tr w:rsidR="00FD7B0B" w:rsidRPr="00FD7B0B" w14:paraId="3B559955" w14:textId="77777777" w:rsidTr="004F4294">
        <w:trPr>
          <w:trHeight w:val="156"/>
        </w:trPr>
        <w:tc>
          <w:tcPr>
            <w:tcW w:w="8766" w:type="dxa"/>
            <w:shd w:val="clear" w:color="auto" w:fill="auto"/>
            <w:vAlign w:val="center"/>
            <w:hideMark/>
          </w:tcPr>
          <w:p w14:paraId="666A8E7F" w14:textId="3B3D327C" w:rsidR="000A2A7A" w:rsidRPr="00FD7B0B" w:rsidRDefault="000A2A7A" w:rsidP="004F429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Грант от Фонда поддержки детей, находящихся в тр</w:t>
            </w:r>
            <w:r w:rsidR="00C26DFE" w:rsidRPr="00FD7B0B">
              <w:rPr>
                <w:rFonts w:ascii="Times New Roman" w:eastAsia="Times New Roman" w:hAnsi="Times New Roman"/>
                <w:lang w:eastAsia="ru-RU"/>
              </w:rPr>
              <w:t>удной жизненной ситуации</w:t>
            </w:r>
          </w:p>
        </w:tc>
        <w:tc>
          <w:tcPr>
            <w:tcW w:w="1025" w:type="dxa"/>
            <w:shd w:val="clear" w:color="auto" w:fill="auto"/>
            <w:vAlign w:val="center"/>
            <w:hideMark/>
          </w:tcPr>
          <w:p w14:paraId="20E99068" w14:textId="77777777" w:rsidR="000A2A7A" w:rsidRPr="00FD7B0B" w:rsidRDefault="000A2A7A" w:rsidP="004F429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8,3 </w:t>
            </w:r>
          </w:p>
        </w:tc>
      </w:tr>
      <w:tr w:rsidR="00FD7B0B" w:rsidRPr="00FD7B0B" w14:paraId="36135FD9" w14:textId="77777777" w:rsidTr="004F4294">
        <w:trPr>
          <w:trHeight w:val="118"/>
        </w:trPr>
        <w:tc>
          <w:tcPr>
            <w:tcW w:w="8766" w:type="dxa"/>
            <w:shd w:val="clear" w:color="auto" w:fill="auto"/>
            <w:vAlign w:val="center"/>
            <w:hideMark/>
          </w:tcPr>
          <w:p w14:paraId="01C0D2F4" w14:textId="1F400A00" w:rsidR="000A2A7A" w:rsidRPr="00FD7B0B" w:rsidRDefault="00C26DFE" w:rsidP="004F429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ПАО «Газпром»</w:t>
            </w:r>
          </w:p>
        </w:tc>
        <w:tc>
          <w:tcPr>
            <w:tcW w:w="1025" w:type="dxa"/>
            <w:shd w:val="clear" w:color="auto" w:fill="auto"/>
            <w:vAlign w:val="center"/>
            <w:hideMark/>
          </w:tcPr>
          <w:p w14:paraId="5D699203" w14:textId="77777777" w:rsidR="000A2A7A" w:rsidRPr="00FD7B0B" w:rsidRDefault="000A2A7A" w:rsidP="004F429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300,0 </w:t>
            </w:r>
          </w:p>
        </w:tc>
      </w:tr>
      <w:tr w:rsidR="00FD7B0B" w:rsidRPr="00FD7B0B" w14:paraId="607AB764" w14:textId="77777777" w:rsidTr="004F4294">
        <w:trPr>
          <w:trHeight w:val="250"/>
        </w:trPr>
        <w:tc>
          <w:tcPr>
            <w:tcW w:w="8766" w:type="dxa"/>
            <w:shd w:val="clear" w:color="auto" w:fill="auto"/>
            <w:vAlign w:val="center"/>
            <w:hideMark/>
          </w:tcPr>
          <w:p w14:paraId="54859232" w14:textId="1B229686" w:rsidR="000A2A7A" w:rsidRPr="00FD7B0B" w:rsidRDefault="00C26DFE" w:rsidP="004F429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ООО ПКП «Титан»</w:t>
            </w:r>
          </w:p>
        </w:tc>
        <w:tc>
          <w:tcPr>
            <w:tcW w:w="1025" w:type="dxa"/>
            <w:shd w:val="clear" w:color="auto" w:fill="auto"/>
            <w:vAlign w:val="center"/>
            <w:hideMark/>
          </w:tcPr>
          <w:p w14:paraId="23467171" w14:textId="77777777" w:rsidR="000A2A7A" w:rsidRPr="00FD7B0B" w:rsidRDefault="000A2A7A" w:rsidP="004F429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100,0 </w:t>
            </w:r>
          </w:p>
        </w:tc>
      </w:tr>
      <w:tr w:rsidR="00FD7B0B" w:rsidRPr="00FD7B0B" w14:paraId="657C09A8" w14:textId="77777777" w:rsidTr="004F4294">
        <w:trPr>
          <w:trHeight w:val="167"/>
        </w:trPr>
        <w:tc>
          <w:tcPr>
            <w:tcW w:w="8766" w:type="dxa"/>
            <w:shd w:val="clear" w:color="auto" w:fill="auto"/>
            <w:vAlign w:val="center"/>
            <w:hideMark/>
          </w:tcPr>
          <w:p w14:paraId="3DABE380" w14:textId="1890902A" w:rsidR="000A2A7A" w:rsidRPr="00FD7B0B" w:rsidRDefault="00C26DFE" w:rsidP="004F429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ООО «Группа Компаний УЛК»</w:t>
            </w:r>
          </w:p>
        </w:tc>
        <w:tc>
          <w:tcPr>
            <w:tcW w:w="1025" w:type="dxa"/>
            <w:shd w:val="clear" w:color="auto" w:fill="auto"/>
            <w:vAlign w:val="center"/>
            <w:hideMark/>
          </w:tcPr>
          <w:p w14:paraId="064378C0" w14:textId="77777777" w:rsidR="000A2A7A" w:rsidRPr="00FD7B0B" w:rsidRDefault="000A2A7A" w:rsidP="004F429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0,8 </w:t>
            </w:r>
          </w:p>
        </w:tc>
      </w:tr>
      <w:tr w:rsidR="000A2A7A" w:rsidRPr="00FD7B0B" w14:paraId="567FD22E" w14:textId="77777777" w:rsidTr="004F4294">
        <w:trPr>
          <w:trHeight w:val="1290"/>
        </w:trPr>
        <w:tc>
          <w:tcPr>
            <w:tcW w:w="8766" w:type="dxa"/>
            <w:shd w:val="clear" w:color="auto" w:fill="auto"/>
            <w:vAlign w:val="center"/>
            <w:hideMark/>
          </w:tcPr>
          <w:p w14:paraId="404223CD" w14:textId="77777777" w:rsidR="000A2A7A" w:rsidRPr="00FD7B0B" w:rsidRDefault="000A2A7A" w:rsidP="004F429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lastRenderedPageBreak/>
              <w:t>Единовременные выплаты вынужденным переселенцам города Херсона и части Херсонской области на иные территории на постоянное место жительства (единовременных выплат на обзаведение имуществом и социальных выплат на приобретение жилых помещений на основании выдаваемых государственных жилищных сертификатов), всего</w:t>
            </w:r>
          </w:p>
        </w:tc>
        <w:tc>
          <w:tcPr>
            <w:tcW w:w="1025" w:type="dxa"/>
            <w:shd w:val="clear" w:color="auto" w:fill="auto"/>
            <w:vAlign w:val="center"/>
            <w:hideMark/>
          </w:tcPr>
          <w:p w14:paraId="44644A36" w14:textId="77777777" w:rsidR="000A2A7A" w:rsidRPr="00FD7B0B" w:rsidRDefault="000A2A7A" w:rsidP="004F429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 xml:space="preserve">24,0 </w:t>
            </w:r>
          </w:p>
        </w:tc>
      </w:tr>
    </w:tbl>
    <w:p w14:paraId="00AF2361" w14:textId="77777777" w:rsidR="000A2A7A" w:rsidRPr="00FD7B0B" w:rsidRDefault="000A2A7A" w:rsidP="000A2A7A">
      <w:pPr>
        <w:pStyle w:val="ad"/>
        <w:ind w:firstLine="709"/>
        <w:jc w:val="both"/>
        <w:rPr>
          <w:rFonts w:ascii="Times New Roman" w:hAnsi="Times New Roman"/>
          <w:sz w:val="28"/>
          <w:szCs w:val="28"/>
        </w:rPr>
      </w:pPr>
    </w:p>
    <w:p w14:paraId="59ECEC98" w14:textId="77777777" w:rsidR="000A2A7A" w:rsidRPr="00FD7B0B" w:rsidRDefault="000A2A7A" w:rsidP="000A2A7A">
      <w:pPr>
        <w:pStyle w:val="ad"/>
        <w:ind w:firstLine="709"/>
        <w:jc w:val="both"/>
        <w:rPr>
          <w:rFonts w:ascii="Times New Roman" w:hAnsi="Times New Roman"/>
          <w:sz w:val="28"/>
          <w:szCs w:val="28"/>
        </w:rPr>
      </w:pPr>
      <w:r w:rsidRPr="00FD7B0B">
        <w:rPr>
          <w:rFonts w:ascii="Times New Roman" w:hAnsi="Times New Roman"/>
          <w:sz w:val="28"/>
          <w:szCs w:val="28"/>
        </w:rPr>
        <w:t>3. Доходы от возврата остатков субсидий, субвенций и иных межбюджетных трансфертов, имеющих целевое назначение, прошлых лет (576,7 млн.руб.) с учетом возврата остатков субсидий, субвенций и иных межбюджетных трансфертов, имеющих целевое назначение, прошлых лет (–408,1 млн.руб.) составили 168,6 млн.руб.</w:t>
      </w:r>
    </w:p>
    <w:p w14:paraId="713D7170" w14:textId="6BE7D847" w:rsidR="000A2A7A" w:rsidRPr="00FD7B0B" w:rsidRDefault="000A2A7A" w:rsidP="000A2A7A">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результате экономии, сложившейся по результатам закупочных процедур, при отсутствии потребности, а также на основании соответствующих решений судов возвращены средства в федеральный бюджет</w:t>
      </w:r>
      <w:r w:rsidR="00A55886" w:rsidRPr="00FD7B0B">
        <w:rPr>
          <w:rFonts w:ascii="Times New Roman" w:hAnsi="Times New Roman"/>
          <w:sz w:val="28"/>
          <w:szCs w:val="28"/>
        </w:rPr>
        <w:t xml:space="preserve"> (</w:t>
      </w:r>
      <w:r w:rsidRPr="00FD7B0B">
        <w:rPr>
          <w:rFonts w:ascii="Times New Roman" w:hAnsi="Times New Roman"/>
          <w:sz w:val="28"/>
          <w:szCs w:val="28"/>
        </w:rPr>
        <w:t>таблиц</w:t>
      </w:r>
      <w:r w:rsidR="00A55886" w:rsidRPr="00FD7B0B">
        <w:rPr>
          <w:rFonts w:ascii="Times New Roman" w:hAnsi="Times New Roman"/>
          <w:sz w:val="28"/>
          <w:szCs w:val="28"/>
        </w:rPr>
        <w:t>а</w:t>
      </w:r>
      <w:r w:rsidRPr="00FD7B0B">
        <w:rPr>
          <w:rFonts w:ascii="Times New Roman" w:hAnsi="Times New Roman"/>
          <w:sz w:val="28"/>
          <w:szCs w:val="28"/>
        </w:rPr>
        <w:t xml:space="preserve"> </w:t>
      </w:r>
      <w:r w:rsidR="00066D30" w:rsidRPr="00FD7B0B">
        <w:rPr>
          <w:rFonts w:ascii="Times New Roman" w:hAnsi="Times New Roman"/>
          <w:sz w:val="28"/>
          <w:szCs w:val="28"/>
        </w:rPr>
        <w:t>53</w:t>
      </w:r>
      <w:r w:rsidR="00A55886" w:rsidRPr="00FD7B0B">
        <w:rPr>
          <w:rFonts w:ascii="Times New Roman" w:hAnsi="Times New Roman"/>
          <w:sz w:val="28"/>
          <w:szCs w:val="28"/>
        </w:rPr>
        <w:t>).</w:t>
      </w:r>
    </w:p>
    <w:p w14:paraId="5D35C268" w14:textId="77777777" w:rsidR="000A2A7A" w:rsidRPr="00FD7B0B" w:rsidRDefault="000A2A7A" w:rsidP="000A2A7A">
      <w:pPr>
        <w:spacing w:after="0" w:line="240" w:lineRule="auto"/>
        <w:ind w:firstLine="709"/>
        <w:jc w:val="both"/>
        <w:rPr>
          <w:rFonts w:ascii="Times New Roman" w:hAnsi="Times New Roman"/>
          <w:sz w:val="24"/>
          <w:szCs w:val="24"/>
        </w:rPr>
      </w:pPr>
    </w:p>
    <w:p w14:paraId="726FFF32" w14:textId="2EB4166D" w:rsidR="000A2A7A" w:rsidRPr="00FD7B0B" w:rsidRDefault="000A2A7A" w:rsidP="000A2A7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53</w:t>
      </w:r>
      <w:r w:rsidRPr="00FD7B0B">
        <w:rPr>
          <w:rFonts w:ascii="Times New Roman" w:hAnsi="Times New Roman"/>
          <w:b w:val="0"/>
          <w:sz w:val="24"/>
          <w:szCs w:val="24"/>
        </w:rPr>
        <w:fldChar w:fldCharType="end"/>
      </w:r>
      <w:r w:rsidR="00066D30" w:rsidRPr="00FD7B0B">
        <w:rPr>
          <w:rFonts w:ascii="Times New Roman" w:hAnsi="Times New Roman"/>
          <w:b w:val="0"/>
          <w:sz w:val="24"/>
          <w:szCs w:val="24"/>
        </w:rPr>
        <w:t>.</w:t>
      </w:r>
      <w:r w:rsidRPr="00FD7B0B">
        <w:rPr>
          <w:rFonts w:ascii="Times New Roman" w:hAnsi="Times New Roman"/>
          <w:b w:val="0"/>
          <w:sz w:val="24"/>
          <w:szCs w:val="24"/>
        </w:rPr>
        <w:t xml:space="preserve"> Возврат остатков субсидий, субвенций и иных межбюджетных трансфертов, имеющих целевое назначение, прошлых лет, в федеральный бюджет, млн.руб.</w:t>
      </w:r>
    </w:p>
    <w:tbl>
      <w:tblPr>
        <w:tblW w:w="9814" w:type="dxa"/>
        <w:tblInd w:w="-23" w:type="dxa"/>
        <w:tblLook w:val="04A0" w:firstRow="1" w:lastRow="0" w:firstColumn="1" w:lastColumn="0" w:noHBand="0" w:noVBand="1"/>
      </w:tblPr>
      <w:tblGrid>
        <w:gridCol w:w="8789"/>
        <w:gridCol w:w="1025"/>
      </w:tblGrid>
      <w:tr w:rsidR="00FD7B0B" w:rsidRPr="00FD7B0B" w14:paraId="38CDFDD8" w14:textId="77777777" w:rsidTr="00CE64DF">
        <w:trPr>
          <w:trHeight w:val="357"/>
          <w:tblHeader/>
        </w:trPr>
        <w:tc>
          <w:tcPr>
            <w:tcW w:w="878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D9E2530" w14:textId="77777777" w:rsidR="000A2A7A" w:rsidRPr="00FD7B0B" w:rsidRDefault="000A2A7A" w:rsidP="000A2A7A">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Целевая направленность</w:t>
            </w:r>
          </w:p>
        </w:tc>
        <w:tc>
          <w:tcPr>
            <w:tcW w:w="1025" w:type="dxa"/>
            <w:tcBorders>
              <w:top w:val="double" w:sz="6" w:space="0" w:color="auto"/>
              <w:left w:val="nil"/>
              <w:bottom w:val="single" w:sz="4" w:space="0" w:color="auto"/>
              <w:right w:val="double" w:sz="6" w:space="0" w:color="auto"/>
            </w:tcBorders>
            <w:shd w:val="clear" w:color="auto" w:fill="auto"/>
            <w:vAlign w:val="bottom"/>
            <w:hideMark/>
          </w:tcPr>
          <w:p w14:paraId="47057E60"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Сумма, млн.руб.</w:t>
            </w:r>
          </w:p>
        </w:tc>
      </w:tr>
      <w:tr w:rsidR="00FD7B0B" w:rsidRPr="00FD7B0B" w14:paraId="213DE6AB" w14:textId="77777777" w:rsidTr="00CE64DF">
        <w:trPr>
          <w:trHeight w:val="116"/>
        </w:trPr>
        <w:tc>
          <w:tcPr>
            <w:tcW w:w="9814" w:type="dxa"/>
            <w:gridSpan w:val="2"/>
            <w:tcBorders>
              <w:top w:val="single" w:sz="4" w:space="0" w:color="auto"/>
              <w:left w:val="double" w:sz="6" w:space="0" w:color="auto"/>
              <w:bottom w:val="single" w:sz="4" w:space="0" w:color="auto"/>
              <w:right w:val="double" w:sz="6" w:space="0" w:color="000000"/>
            </w:tcBorders>
            <w:shd w:val="clear" w:color="auto" w:fill="auto"/>
            <w:vAlign w:val="center"/>
            <w:hideMark/>
          </w:tcPr>
          <w:p w14:paraId="5190208F" w14:textId="36752987" w:rsidR="000A2A7A" w:rsidRPr="00FD7B0B" w:rsidRDefault="000A2A7A" w:rsidP="000A2A7A">
            <w:pPr>
              <w:spacing w:after="0" w:line="240" w:lineRule="auto"/>
              <w:jc w:val="center"/>
              <w:rPr>
                <w:rFonts w:ascii="Times New Roman" w:eastAsia="Times New Roman" w:hAnsi="Times New Roman"/>
                <w:i/>
                <w:lang w:eastAsia="ru-RU"/>
              </w:rPr>
            </w:pPr>
            <w:r w:rsidRPr="00FD7B0B">
              <w:rPr>
                <w:rFonts w:ascii="Times New Roman" w:eastAsia="Times New Roman" w:hAnsi="Times New Roman"/>
                <w:i/>
                <w:lang w:eastAsia="ru-RU"/>
              </w:rPr>
              <w:t>Субсидии, всего 375,1 млн.руб., из них</w:t>
            </w:r>
            <w:r w:rsidR="00116B40" w:rsidRPr="00FD7B0B">
              <w:rPr>
                <w:rFonts w:ascii="Times New Roman" w:eastAsia="Times New Roman" w:hAnsi="Times New Roman"/>
                <w:i/>
                <w:lang w:eastAsia="ru-RU"/>
              </w:rPr>
              <w:t xml:space="preserve"> свыше 100 млн.руб.</w:t>
            </w:r>
          </w:p>
        </w:tc>
      </w:tr>
      <w:tr w:rsidR="00FD7B0B" w:rsidRPr="00FD7B0B" w14:paraId="2B7DDF81" w14:textId="77777777" w:rsidTr="00CE64DF">
        <w:trPr>
          <w:trHeight w:val="1098"/>
        </w:trPr>
        <w:tc>
          <w:tcPr>
            <w:tcW w:w="8789" w:type="dxa"/>
            <w:tcBorders>
              <w:top w:val="nil"/>
              <w:left w:val="double" w:sz="6" w:space="0" w:color="auto"/>
              <w:bottom w:val="single" w:sz="4" w:space="0" w:color="auto"/>
              <w:right w:val="single" w:sz="4" w:space="0" w:color="auto"/>
            </w:tcBorders>
            <w:shd w:val="clear" w:color="auto" w:fill="auto"/>
            <w:vAlign w:val="center"/>
            <w:hideMark/>
          </w:tcPr>
          <w:p w14:paraId="5EC6E3FE"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на стимулирование программ развития жилищного строительства субъектов Российской Федерации из бюджетов субъектов РФ – 114,5 млн.руб. (возврат средств федеральной субсидии в Минстрой РФ в связи с возвратом средств неизрасходованного аванса от МО «Город Котлас по объекту: автодорога по ул. Ушинского на участке от ул. Маяковского до ул. Посадская (протяжен. 1900 м) г. Котлас</w:t>
            </w:r>
          </w:p>
        </w:tc>
        <w:tc>
          <w:tcPr>
            <w:tcW w:w="1025" w:type="dxa"/>
            <w:tcBorders>
              <w:top w:val="nil"/>
              <w:left w:val="nil"/>
              <w:bottom w:val="single" w:sz="4" w:space="0" w:color="auto"/>
              <w:right w:val="double" w:sz="6" w:space="0" w:color="auto"/>
            </w:tcBorders>
            <w:shd w:val="clear" w:color="auto" w:fill="auto"/>
            <w:noWrap/>
            <w:hideMark/>
          </w:tcPr>
          <w:p w14:paraId="0F25781E"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114,5</w:t>
            </w:r>
          </w:p>
        </w:tc>
      </w:tr>
      <w:tr w:rsidR="00FD7B0B" w:rsidRPr="00FD7B0B" w14:paraId="74F263B0" w14:textId="77777777" w:rsidTr="00CE64DF">
        <w:trPr>
          <w:trHeight w:val="717"/>
        </w:trPr>
        <w:tc>
          <w:tcPr>
            <w:tcW w:w="8789" w:type="dxa"/>
            <w:tcBorders>
              <w:top w:val="nil"/>
              <w:left w:val="double" w:sz="6" w:space="0" w:color="auto"/>
              <w:bottom w:val="single" w:sz="4" w:space="0" w:color="auto"/>
              <w:right w:val="single" w:sz="4" w:space="0" w:color="auto"/>
            </w:tcBorders>
            <w:shd w:val="clear" w:color="auto" w:fill="auto"/>
            <w:vAlign w:val="center"/>
            <w:hideMark/>
          </w:tcPr>
          <w:p w14:paraId="7BF9E398"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на создание новых мест в общеобразовательных организациях, расположенных в сельской местности и поселках городского типа, из бюджетов субъектов Российской Федерации в соответствии с расторжением соглашения о предоставлении субсидий из ФБ </w:t>
            </w:r>
          </w:p>
        </w:tc>
        <w:tc>
          <w:tcPr>
            <w:tcW w:w="1025" w:type="dxa"/>
            <w:tcBorders>
              <w:top w:val="nil"/>
              <w:left w:val="nil"/>
              <w:bottom w:val="single" w:sz="4" w:space="0" w:color="auto"/>
              <w:right w:val="double" w:sz="6" w:space="0" w:color="auto"/>
            </w:tcBorders>
            <w:shd w:val="clear" w:color="auto" w:fill="auto"/>
            <w:noWrap/>
            <w:hideMark/>
          </w:tcPr>
          <w:p w14:paraId="3C9D2DCA"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137,5</w:t>
            </w:r>
          </w:p>
        </w:tc>
      </w:tr>
      <w:tr w:rsidR="00FD7B0B" w:rsidRPr="00FD7B0B" w14:paraId="3C8AAF94" w14:textId="77777777" w:rsidTr="00CE64DF">
        <w:trPr>
          <w:trHeight w:val="129"/>
        </w:trPr>
        <w:tc>
          <w:tcPr>
            <w:tcW w:w="9814" w:type="dxa"/>
            <w:gridSpan w:val="2"/>
            <w:tcBorders>
              <w:top w:val="single" w:sz="4" w:space="0" w:color="auto"/>
              <w:left w:val="double" w:sz="6" w:space="0" w:color="auto"/>
              <w:bottom w:val="single" w:sz="4" w:space="0" w:color="auto"/>
              <w:right w:val="double" w:sz="6" w:space="0" w:color="000000"/>
            </w:tcBorders>
            <w:shd w:val="clear" w:color="auto" w:fill="auto"/>
            <w:vAlign w:val="center"/>
            <w:hideMark/>
          </w:tcPr>
          <w:p w14:paraId="1E40F1D8" w14:textId="77777777" w:rsidR="000A2A7A" w:rsidRPr="00FD7B0B" w:rsidRDefault="000A2A7A" w:rsidP="000A2A7A">
            <w:pPr>
              <w:spacing w:after="0" w:line="240" w:lineRule="auto"/>
              <w:jc w:val="center"/>
              <w:rPr>
                <w:rFonts w:ascii="Times New Roman" w:eastAsia="Times New Roman" w:hAnsi="Times New Roman"/>
                <w:i/>
                <w:lang w:eastAsia="ru-RU"/>
              </w:rPr>
            </w:pPr>
            <w:r w:rsidRPr="00FD7B0B">
              <w:rPr>
                <w:rFonts w:ascii="Times New Roman" w:eastAsia="Times New Roman" w:hAnsi="Times New Roman"/>
                <w:i/>
                <w:lang w:eastAsia="ru-RU"/>
              </w:rPr>
              <w:t>Субвенции, всего 7,9 млн.руб., из них</w:t>
            </w:r>
          </w:p>
        </w:tc>
      </w:tr>
      <w:tr w:rsidR="00FD7B0B" w:rsidRPr="00FD7B0B" w14:paraId="5E39D02B" w14:textId="77777777" w:rsidTr="00CE64DF">
        <w:trPr>
          <w:trHeight w:val="98"/>
        </w:trPr>
        <w:tc>
          <w:tcPr>
            <w:tcW w:w="8789" w:type="dxa"/>
            <w:tcBorders>
              <w:top w:val="nil"/>
              <w:left w:val="double" w:sz="6" w:space="0" w:color="auto"/>
              <w:bottom w:val="single" w:sz="4" w:space="0" w:color="auto"/>
              <w:right w:val="single" w:sz="4" w:space="0" w:color="auto"/>
            </w:tcBorders>
            <w:shd w:val="clear" w:color="auto" w:fill="auto"/>
            <w:vAlign w:val="center"/>
            <w:hideMark/>
          </w:tcPr>
          <w:p w14:paraId="1A2E3430" w14:textId="77777777" w:rsidR="000A2A7A" w:rsidRPr="00FD7B0B" w:rsidRDefault="000A2A7A" w:rsidP="000A2A7A">
            <w:pPr>
              <w:spacing w:after="0" w:line="240" w:lineRule="auto"/>
              <w:jc w:val="both"/>
              <w:rPr>
                <w:rFonts w:ascii="Times New Roman" w:eastAsia="Times New Roman" w:hAnsi="Times New Roman"/>
                <w:lang w:eastAsia="ru-RU"/>
              </w:rPr>
            </w:pPr>
            <w:r w:rsidRPr="00FD7B0B">
              <w:rPr>
                <w:rFonts w:ascii="Times New Roman" w:eastAsia="Times New Roman" w:hAnsi="Times New Roman"/>
                <w:lang w:eastAsia="ru-RU"/>
              </w:rPr>
              <w:t>на социальные выплаты безработным гражданам в соответствии с Законом РФ от 19.04.1991 № 1032-I «О занятости населения в Российской Федерации»</w:t>
            </w:r>
          </w:p>
        </w:tc>
        <w:tc>
          <w:tcPr>
            <w:tcW w:w="1025" w:type="dxa"/>
            <w:tcBorders>
              <w:top w:val="nil"/>
              <w:left w:val="nil"/>
              <w:bottom w:val="single" w:sz="4" w:space="0" w:color="auto"/>
              <w:right w:val="double" w:sz="6" w:space="0" w:color="auto"/>
            </w:tcBorders>
            <w:shd w:val="clear" w:color="auto" w:fill="auto"/>
            <w:noWrap/>
            <w:hideMark/>
          </w:tcPr>
          <w:p w14:paraId="7994D845"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4,4</w:t>
            </w:r>
          </w:p>
        </w:tc>
      </w:tr>
      <w:tr w:rsidR="00FD7B0B" w:rsidRPr="00FD7B0B" w14:paraId="3AF65210" w14:textId="77777777" w:rsidTr="00CE64DF">
        <w:trPr>
          <w:trHeight w:val="71"/>
        </w:trPr>
        <w:tc>
          <w:tcPr>
            <w:tcW w:w="9814" w:type="dxa"/>
            <w:gridSpan w:val="2"/>
            <w:tcBorders>
              <w:top w:val="single" w:sz="4" w:space="0" w:color="auto"/>
              <w:left w:val="double" w:sz="6" w:space="0" w:color="auto"/>
              <w:bottom w:val="single" w:sz="4" w:space="0" w:color="auto"/>
              <w:right w:val="double" w:sz="6" w:space="0" w:color="000000"/>
            </w:tcBorders>
            <w:shd w:val="clear" w:color="auto" w:fill="auto"/>
            <w:vAlign w:val="center"/>
            <w:hideMark/>
          </w:tcPr>
          <w:p w14:paraId="25E77167" w14:textId="77777777" w:rsidR="000A2A7A" w:rsidRPr="00FD7B0B" w:rsidRDefault="000A2A7A" w:rsidP="000A2A7A">
            <w:pPr>
              <w:spacing w:after="0" w:line="240" w:lineRule="auto"/>
              <w:jc w:val="center"/>
              <w:rPr>
                <w:rFonts w:ascii="Times New Roman" w:eastAsia="Times New Roman" w:hAnsi="Times New Roman"/>
                <w:i/>
                <w:lang w:eastAsia="ru-RU"/>
              </w:rPr>
            </w:pPr>
            <w:r w:rsidRPr="00FD7B0B">
              <w:rPr>
                <w:rFonts w:ascii="Times New Roman" w:eastAsia="Times New Roman" w:hAnsi="Times New Roman"/>
                <w:i/>
                <w:lang w:eastAsia="ru-RU"/>
              </w:rPr>
              <w:t>Иные межбюджетные трансферты, всего 22,9 млн.руб., из них:</w:t>
            </w:r>
          </w:p>
        </w:tc>
      </w:tr>
      <w:tr w:rsidR="00FD7B0B" w:rsidRPr="00FD7B0B" w14:paraId="6814EF88" w14:textId="77777777" w:rsidTr="00CE64DF">
        <w:trPr>
          <w:trHeight w:val="545"/>
        </w:trPr>
        <w:tc>
          <w:tcPr>
            <w:tcW w:w="8789" w:type="dxa"/>
            <w:tcBorders>
              <w:top w:val="nil"/>
              <w:left w:val="double" w:sz="6" w:space="0" w:color="auto"/>
              <w:bottom w:val="single" w:sz="4" w:space="0" w:color="auto"/>
              <w:right w:val="single" w:sz="4" w:space="0" w:color="auto"/>
            </w:tcBorders>
            <w:shd w:val="clear" w:color="auto" w:fill="auto"/>
            <w:vAlign w:val="center"/>
            <w:hideMark/>
          </w:tcPr>
          <w:p w14:paraId="16B6FAE5"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w:t>
            </w:r>
          </w:p>
        </w:tc>
        <w:tc>
          <w:tcPr>
            <w:tcW w:w="1025" w:type="dxa"/>
            <w:tcBorders>
              <w:top w:val="nil"/>
              <w:left w:val="nil"/>
              <w:bottom w:val="single" w:sz="4" w:space="0" w:color="auto"/>
              <w:right w:val="double" w:sz="6" w:space="0" w:color="auto"/>
            </w:tcBorders>
            <w:shd w:val="clear" w:color="auto" w:fill="auto"/>
            <w:noWrap/>
            <w:hideMark/>
          </w:tcPr>
          <w:p w14:paraId="04C3D6D2"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6,1</w:t>
            </w:r>
          </w:p>
        </w:tc>
      </w:tr>
      <w:tr w:rsidR="00FD7B0B" w:rsidRPr="00FD7B0B" w14:paraId="0FB70C0B" w14:textId="77777777" w:rsidTr="00CE64DF">
        <w:trPr>
          <w:trHeight w:val="344"/>
        </w:trPr>
        <w:tc>
          <w:tcPr>
            <w:tcW w:w="8789" w:type="dxa"/>
            <w:tcBorders>
              <w:top w:val="nil"/>
              <w:left w:val="double" w:sz="6" w:space="0" w:color="auto"/>
              <w:bottom w:val="single" w:sz="4" w:space="0" w:color="auto"/>
              <w:right w:val="single" w:sz="4" w:space="0" w:color="auto"/>
            </w:tcBorders>
            <w:shd w:val="clear" w:color="auto" w:fill="auto"/>
            <w:vAlign w:val="center"/>
            <w:hideMark/>
          </w:tcPr>
          <w:p w14:paraId="06362BEC"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 </w:t>
            </w:r>
          </w:p>
        </w:tc>
        <w:tc>
          <w:tcPr>
            <w:tcW w:w="1025" w:type="dxa"/>
            <w:tcBorders>
              <w:top w:val="nil"/>
              <w:left w:val="nil"/>
              <w:bottom w:val="single" w:sz="4" w:space="0" w:color="auto"/>
              <w:right w:val="double" w:sz="6" w:space="0" w:color="auto"/>
            </w:tcBorders>
            <w:shd w:val="clear" w:color="auto" w:fill="auto"/>
            <w:noWrap/>
            <w:hideMark/>
          </w:tcPr>
          <w:p w14:paraId="673FA558"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6,1</w:t>
            </w:r>
          </w:p>
        </w:tc>
      </w:tr>
      <w:tr w:rsidR="00FD7B0B" w:rsidRPr="00FD7B0B" w14:paraId="7BDEE85A" w14:textId="77777777" w:rsidTr="00CE64DF">
        <w:trPr>
          <w:trHeight w:val="252"/>
        </w:trPr>
        <w:tc>
          <w:tcPr>
            <w:tcW w:w="8789" w:type="dxa"/>
            <w:tcBorders>
              <w:top w:val="nil"/>
              <w:left w:val="double" w:sz="6" w:space="0" w:color="auto"/>
              <w:bottom w:val="single" w:sz="4" w:space="0" w:color="auto"/>
              <w:right w:val="single" w:sz="4" w:space="0" w:color="auto"/>
            </w:tcBorders>
            <w:shd w:val="clear" w:color="auto" w:fill="auto"/>
            <w:vAlign w:val="center"/>
            <w:hideMark/>
          </w:tcPr>
          <w:p w14:paraId="7C55CB1F"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на реализацию мероприятий планов социального развития центров экономического роста субъектов РФ, входящих в состав Арктической зоны РФ, из бюджетов субъектов РФ </w:t>
            </w:r>
          </w:p>
        </w:tc>
        <w:tc>
          <w:tcPr>
            <w:tcW w:w="1025" w:type="dxa"/>
            <w:tcBorders>
              <w:top w:val="nil"/>
              <w:left w:val="nil"/>
              <w:bottom w:val="single" w:sz="4" w:space="0" w:color="auto"/>
              <w:right w:val="double" w:sz="6" w:space="0" w:color="auto"/>
            </w:tcBorders>
            <w:shd w:val="clear" w:color="auto" w:fill="auto"/>
            <w:noWrap/>
            <w:hideMark/>
          </w:tcPr>
          <w:p w14:paraId="025E6F42"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4,6</w:t>
            </w:r>
          </w:p>
        </w:tc>
      </w:tr>
      <w:tr w:rsidR="00FD7B0B" w:rsidRPr="00FD7B0B" w14:paraId="6430249C" w14:textId="77777777" w:rsidTr="00CE64DF">
        <w:trPr>
          <w:trHeight w:val="198"/>
        </w:trPr>
        <w:tc>
          <w:tcPr>
            <w:tcW w:w="9814" w:type="dxa"/>
            <w:gridSpan w:val="2"/>
            <w:tcBorders>
              <w:top w:val="single" w:sz="4" w:space="0" w:color="auto"/>
              <w:left w:val="double" w:sz="6" w:space="0" w:color="auto"/>
              <w:bottom w:val="single" w:sz="4" w:space="0" w:color="auto"/>
              <w:right w:val="double" w:sz="6" w:space="0" w:color="000000"/>
            </w:tcBorders>
            <w:shd w:val="clear" w:color="auto" w:fill="auto"/>
            <w:vAlign w:val="center"/>
            <w:hideMark/>
          </w:tcPr>
          <w:p w14:paraId="00E4CA43" w14:textId="77777777" w:rsidR="000A2A7A" w:rsidRPr="00FD7B0B" w:rsidRDefault="000A2A7A" w:rsidP="000A2A7A">
            <w:pPr>
              <w:spacing w:after="0" w:line="240" w:lineRule="auto"/>
              <w:jc w:val="center"/>
              <w:rPr>
                <w:rFonts w:ascii="Times New Roman" w:eastAsia="Times New Roman" w:hAnsi="Times New Roman"/>
                <w:i/>
                <w:lang w:eastAsia="ru-RU"/>
              </w:rPr>
            </w:pPr>
            <w:r w:rsidRPr="00FD7B0B">
              <w:rPr>
                <w:rFonts w:ascii="Times New Roman" w:eastAsia="Times New Roman" w:hAnsi="Times New Roman"/>
                <w:i/>
                <w:lang w:eastAsia="ru-RU"/>
              </w:rPr>
              <w:t>Прочие остатки субсидий, субвенций и иных межбюджетных трансфертов, имеющих целевое назначение, прошлых лет из бюджетов субъектов РФ, всего 2,1 млн.руб., из них:</w:t>
            </w:r>
          </w:p>
        </w:tc>
      </w:tr>
      <w:tr w:rsidR="00FD7B0B" w:rsidRPr="00FD7B0B" w14:paraId="3E07FBDF" w14:textId="77777777" w:rsidTr="00CE64DF">
        <w:trPr>
          <w:trHeight w:val="546"/>
        </w:trPr>
        <w:tc>
          <w:tcPr>
            <w:tcW w:w="8789" w:type="dxa"/>
            <w:tcBorders>
              <w:top w:val="nil"/>
              <w:left w:val="double" w:sz="6" w:space="0" w:color="auto"/>
              <w:bottom w:val="single" w:sz="4" w:space="0" w:color="auto"/>
              <w:right w:val="single" w:sz="4" w:space="0" w:color="auto"/>
            </w:tcBorders>
            <w:shd w:val="clear" w:color="auto" w:fill="auto"/>
            <w:vAlign w:val="center"/>
            <w:hideMark/>
          </w:tcPr>
          <w:p w14:paraId="25F95E53" w14:textId="1AFF4653" w:rsidR="000A2A7A" w:rsidRPr="00FD7B0B" w:rsidRDefault="000A2A7A" w:rsidP="008C1E0B">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содействие достижению целевых показателей региональных программ развития агропромышленного комплекса (начинающие фермеры); на грантовую поддержку сельскохозяйственных потребительских кооперативов для развития МТБ и поддержку начинающих фермеров ввиду недостижения установленных показателей</w:t>
            </w:r>
          </w:p>
        </w:tc>
        <w:tc>
          <w:tcPr>
            <w:tcW w:w="1025" w:type="dxa"/>
            <w:tcBorders>
              <w:top w:val="nil"/>
              <w:left w:val="nil"/>
              <w:bottom w:val="single" w:sz="4" w:space="0" w:color="auto"/>
              <w:right w:val="double" w:sz="6" w:space="0" w:color="auto"/>
            </w:tcBorders>
            <w:shd w:val="clear" w:color="auto" w:fill="auto"/>
            <w:noWrap/>
            <w:hideMark/>
          </w:tcPr>
          <w:p w14:paraId="6AA45970"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0,7</w:t>
            </w:r>
          </w:p>
        </w:tc>
      </w:tr>
      <w:tr w:rsidR="00FD7B0B" w:rsidRPr="00FD7B0B" w14:paraId="52B7C935" w14:textId="77777777" w:rsidTr="00CE64DF">
        <w:trPr>
          <w:trHeight w:val="71"/>
        </w:trPr>
        <w:tc>
          <w:tcPr>
            <w:tcW w:w="8789" w:type="dxa"/>
            <w:tcBorders>
              <w:top w:val="nil"/>
              <w:left w:val="double" w:sz="6" w:space="0" w:color="auto"/>
              <w:bottom w:val="double" w:sz="6" w:space="0" w:color="auto"/>
              <w:right w:val="single" w:sz="4" w:space="0" w:color="auto"/>
            </w:tcBorders>
            <w:shd w:val="clear" w:color="auto" w:fill="auto"/>
            <w:vAlign w:val="center"/>
            <w:hideMark/>
          </w:tcPr>
          <w:p w14:paraId="38A72091" w14:textId="77777777" w:rsidR="000A2A7A" w:rsidRPr="00FD7B0B" w:rsidRDefault="000A2A7A" w:rsidP="000A2A7A">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на выплату региональной доплаты к пенсии </w:t>
            </w:r>
          </w:p>
        </w:tc>
        <w:tc>
          <w:tcPr>
            <w:tcW w:w="1025" w:type="dxa"/>
            <w:tcBorders>
              <w:top w:val="nil"/>
              <w:left w:val="nil"/>
              <w:bottom w:val="double" w:sz="6" w:space="0" w:color="auto"/>
              <w:right w:val="double" w:sz="6" w:space="0" w:color="auto"/>
            </w:tcBorders>
            <w:shd w:val="clear" w:color="auto" w:fill="auto"/>
            <w:noWrap/>
            <w:hideMark/>
          </w:tcPr>
          <w:p w14:paraId="7E991B43" w14:textId="77777777" w:rsidR="000A2A7A" w:rsidRPr="00FD7B0B" w:rsidRDefault="000A2A7A" w:rsidP="000C7224">
            <w:pPr>
              <w:spacing w:after="0" w:line="240" w:lineRule="auto"/>
              <w:jc w:val="right"/>
              <w:rPr>
                <w:rFonts w:ascii="Times New Roman" w:eastAsia="Times New Roman" w:hAnsi="Times New Roman"/>
                <w:lang w:eastAsia="ru-RU"/>
              </w:rPr>
            </w:pPr>
            <w:r w:rsidRPr="00FD7B0B">
              <w:rPr>
                <w:rFonts w:ascii="Times New Roman" w:eastAsia="Times New Roman" w:hAnsi="Times New Roman"/>
                <w:lang w:eastAsia="ru-RU"/>
              </w:rPr>
              <w:t>0,5</w:t>
            </w:r>
          </w:p>
        </w:tc>
      </w:tr>
    </w:tbl>
    <w:p w14:paraId="648B09D4" w14:textId="5D5E117C" w:rsidR="00971EC6" w:rsidRPr="00FD7B0B" w:rsidRDefault="0041599B" w:rsidP="00971EC6">
      <w:pPr>
        <w:pStyle w:val="10"/>
        <w:keepNext/>
        <w:keepLines/>
        <w:autoSpaceDE/>
        <w:autoSpaceDN/>
        <w:adjustRightInd/>
        <w:spacing w:before="240" w:after="120"/>
        <w:rPr>
          <w:rFonts w:ascii="Times New Roman" w:hAnsi="Times New Roman"/>
          <w:color w:val="auto"/>
          <w:sz w:val="28"/>
          <w:szCs w:val="28"/>
          <w:lang w:val="ru-RU" w:eastAsia="en-US"/>
        </w:rPr>
      </w:pPr>
      <w:bookmarkStart w:id="110" w:name="_Toc198819128"/>
      <w:r w:rsidRPr="00FD7B0B">
        <w:rPr>
          <w:rFonts w:ascii="Times New Roman" w:hAnsi="Times New Roman"/>
          <w:color w:val="auto"/>
          <w:sz w:val="28"/>
          <w:szCs w:val="28"/>
          <w:lang w:val="ru-RU" w:eastAsia="en-US"/>
        </w:rPr>
        <w:t>4</w:t>
      </w:r>
      <w:r w:rsidR="00971EC6" w:rsidRPr="00FD7B0B">
        <w:rPr>
          <w:rFonts w:ascii="Times New Roman" w:hAnsi="Times New Roman"/>
          <w:color w:val="auto"/>
          <w:sz w:val="28"/>
          <w:szCs w:val="28"/>
          <w:lang w:eastAsia="en-US"/>
        </w:rPr>
        <w:t xml:space="preserve">. Расходы областного бюджета </w:t>
      </w:r>
      <w:r w:rsidR="00971EC6" w:rsidRPr="00FD7B0B">
        <w:rPr>
          <w:rFonts w:ascii="Times New Roman" w:hAnsi="Times New Roman"/>
          <w:color w:val="auto"/>
          <w:sz w:val="28"/>
          <w:szCs w:val="28"/>
          <w:lang w:val="ru-RU" w:eastAsia="en-US"/>
        </w:rPr>
        <w:t>в</w:t>
      </w:r>
      <w:r w:rsidR="00971EC6" w:rsidRPr="00FD7B0B">
        <w:rPr>
          <w:rFonts w:ascii="Times New Roman" w:hAnsi="Times New Roman"/>
          <w:color w:val="auto"/>
          <w:sz w:val="28"/>
          <w:szCs w:val="28"/>
          <w:lang w:eastAsia="en-US"/>
        </w:rPr>
        <w:t xml:space="preserve"> 20</w:t>
      </w:r>
      <w:r w:rsidR="00971EC6" w:rsidRPr="00FD7B0B">
        <w:rPr>
          <w:rFonts w:ascii="Times New Roman" w:hAnsi="Times New Roman"/>
          <w:color w:val="auto"/>
          <w:sz w:val="28"/>
          <w:szCs w:val="28"/>
          <w:lang w:val="ru-RU" w:eastAsia="en-US"/>
        </w:rPr>
        <w:t>2</w:t>
      </w:r>
      <w:r w:rsidR="00373A15" w:rsidRPr="00FD7B0B">
        <w:rPr>
          <w:rFonts w:ascii="Times New Roman" w:hAnsi="Times New Roman"/>
          <w:color w:val="auto"/>
          <w:sz w:val="28"/>
          <w:szCs w:val="28"/>
          <w:lang w:val="ru-RU" w:eastAsia="en-US"/>
        </w:rPr>
        <w:t>4</w:t>
      </w:r>
      <w:r w:rsidR="00971EC6" w:rsidRPr="00FD7B0B">
        <w:rPr>
          <w:rFonts w:ascii="Times New Roman" w:hAnsi="Times New Roman"/>
          <w:color w:val="auto"/>
          <w:sz w:val="28"/>
          <w:szCs w:val="28"/>
          <w:lang w:eastAsia="en-US"/>
        </w:rPr>
        <w:t xml:space="preserve"> год</w:t>
      </w:r>
      <w:r w:rsidR="00971EC6" w:rsidRPr="00FD7B0B">
        <w:rPr>
          <w:rFonts w:ascii="Times New Roman" w:hAnsi="Times New Roman"/>
          <w:color w:val="auto"/>
          <w:sz w:val="28"/>
          <w:szCs w:val="28"/>
          <w:lang w:val="ru-RU" w:eastAsia="en-US"/>
        </w:rPr>
        <w:t>у</w:t>
      </w:r>
      <w:bookmarkEnd w:id="110"/>
    </w:p>
    <w:p w14:paraId="07337F45" w14:textId="69CE8CC7" w:rsidR="0041599B" w:rsidRPr="00FD7B0B" w:rsidRDefault="0041599B" w:rsidP="0041599B">
      <w:pPr>
        <w:spacing w:after="0" w:line="240" w:lineRule="auto"/>
        <w:ind w:firstLine="709"/>
        <w:jc w:val="both"/>
        <w:rPr>
          <w:rFonts w:ascii="Times New Roman" w:eastAsia="Calibri" w:hAnsi="Times New Roman" w:cs="Times New Roman"/>
          <w:sz w:val="28"/>
          <w:szCs w:val="28"/>
        </w:rPr>
      </w:pPr>
      <w:bookmarkStart w:id="111" w:name="_Toc121395632"/>
      <w:r w:rsidRPr="00FD7B0B">
        <w:rPr>
          <w:rFonts w:ascii="Times New Roman" w:eastAsia="Calibri" w:hAnsi="Times New Roman" w:cs="Times New Roman"/>
          <w:sz w:val="28"/>
          <w:szCs w:val="28"/>
        </w:rPr>
        <w:t xml:space="preserve">Сводная бюджетная роспись расходов областного бюджета на 2024 год (на 31.12.2024) утверждена в сумме 154 977,2 млн.руб., что на 1 959,8 млн.руб. </w:t>
      </w:r>
      <w:r w:rsidRPr="00FD7B0B">
        <w:rPr>
          <w:rFonts w:ascii="Times New Roman" w:eastAsia="Calibri" w:hAnsi="Times New Roman" w:cs="Times New Roman"/>
          <w:sz w:val="28"/>
          <w:szCs w:val="28"/>
        </w:rPr>
        <w:lastRenderedPageBreak/>
        <w:t xml:space="preserve">больше чем утверждено </w:t>
      </w:r>
      <w:r w:rsidR="00A01CF9" w:rsidRPr="00FD7B0B">
        <w:rPr>
          <w:rFonts w:ascii="Times New Roman" w:eastAsia="Calibri" w:hAnsi="Times New Roman" w:cs="Times New Roman"/>
          <w:sz w:val="28"/>
          <w:szCs w:val="28"/>
        </w:rPr>
        <w:t xml:space="preserve">областным </w:t>
      </w:r>
      <w:r w:rsidRPr="00FD7B0B">
        <w:rPr>
          <w:rFonts w:ascii="Times New Roman" w:eastAsia="Calibri" w:hAnsi="Times New Roman" w:cs="Times New Roman"/>
          <w:sz w:val="28"/>
          <w:szCs w:val="28"/>
        </w:rPr>
        <w:t>законом «Об областном бюджете на 2024 год» в ред. от 23.12.2024 (153 017,5 млн.руб.), который действовал на конец отчётного периода.</w:t>
      </w:r>
    </w:p>
    <w:p w14:paraId="5DA63003" w14:textId="77777777" w:rsidR="0041599B" w:rsidRPr="00FD7B0B" w:rsidRDefault="0041599B" w:rsidP="00A01CF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Расходы из областного бюджета за отчетный период произведены на общую сумму 153 201,1 млн.руб. или на 98,9 % к утвержденным показателям сводной бюджетной росписи на 2024 год.</w:t>
      </w:r>
    </w:p>
    <w:p w14:paraId="48C035F3" w14:textId="77777777" w:rsidR="003B33CF" w:rsidRPr="00FD7B0B" w:rsidRDefault="003B33CF" w:rsidP="003B33C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сравнению с 2023 годом расходы за отчетный период увеличились на 2 865,0 млн.руб. или на 1,9 %.</w:t>
      </w:r>
    </w:p>
    <w:p w14:paraId="4B8CDAE6" w14:textId="77777777" w:rsidR="0041599B" w:rsidRPr="00FD7B0B" w:rsidRDefault="0041599B" w:rsidP="00A01CF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2024 году основные расходы приходятся на социальную сферу (образование, культура, здравоохранение, социальная политика, физическая культура и спорт), сумма которых составила 88 024,6 млн.руб. или 57,5 % всех расходов областного бюджета. Расходы в сфере национальной экономики и жилищно-коммунального хозяйства произведены в сумме 41 594,0 млн.руб. или 27,1 % от общего объема расходов за отчетный период. В совокупности указанные расходы составляют 84,6 % всех произведенных расходов за 2024 год.</w:t>
      </w:r>
    </w:p>
    <w:p w14:paraId="763924E0" w14:textId="76F82709" w:rsidR="003B33CF" w:rsidRPr="00FD7B0B" w:rsidRDefault="003B33CF" w:rsidP="003B33C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Группировка расходов областного бюджета за 2023 и 2024 годы представлена на рисунке </w:t>
      </w:r>
      <w:r w:rsidR="00066D30" w:rsidRPr="00FD7B0B">
        <w:rPr>
          <w:rFonts w:ascii="Times New Roman" w:eastAsia="Calibri" w:hAnsi="Times New Roman" w:cs="Times New Roman"/>
          <w:sz w:val="28"/>
          <w:szCs w:val="28"/>
        </w:rPr>
        <w:t>7</w:t>
      </w:r>
      <w:r w:rsidRPr="00FD7B0B">
        <w:rPr>
          <w:rFonts w:ascii="Times New Roman" w:eastAsia="Calibri" w:hAnsi="Times New Roman" w:cs="Times New Roman"/>
          <w:sz w:val="28"/>
          <w:szCs w:val="28"/>
        </w:rPr>
        <w:t>.</w:t>
      </w:r>
    </w:p>
    <w:p w14:paraId="09488C1B" w14:textId="77777777" w:rsidR="003B33CF" w:rsidRPr="00FD7B0B" w:rsidRDefault="003B33CF" w:rsidP="003B33CF">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3BDBFC71" wp14:editId="01704F46">
            <wp:extent cx="6125845" cy="1979861"/>
            <wp:effectExtent l="0" t="0" r="0" b="190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6261" cy="2009083"/>
                    </a:xfrm>
                    <a:prstGeom prst="rect">
                      <a:avLst/>
                    </a:prstGeom>
                    <a:noFill/>
                  </pic:spPr>
                </pic:pic>
              </a:graphicData>
            </a:graphic>
          </wp:inline>
        </w:drawing>
      </w:r>
    </w:p>
    <w:p w14:paraId="3F339C7C" w14:textId="77777777" w:rsidR="003B33CF" w:rsidRPr="00FD7B0B" w:rsidRDefault="003B33CF" w:rsidP="003B33C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7</w:t>
      </w:r>
      <w:r w:rsidRPr="00FD7B0B">
        <w:rPr>
          <w:rFonts w:ascii="Times New Roman" w:hAnsi="Times New Roman"/>
          <w:b w:val="0"/>
          <w:sz w:val="24"/>
          <w:szCs w:val="24"/>
        </w:rPr>
        <w:fldChar w:fldCharType="end"/>
      </w:r>
      <w:r w:rsidRPr="00FD7B0B">
        <w:rPr>
          <w:rFonts w:ascii="Times New Roman" w:hAnsi="Times New Roman"/>
          <w:b w:val="0"/>
          <w:sz w:val="24"/>
          <w:szCs w:val="24"/>
        </w:rPr>
        <w:t>. Группировка расходов областного бюджета за 2023 и 2024 годы, млн.руб.</w:t>
      </w:r>
    </w:p>
    <w:p w14:paraId="751D0AED" w14:textId="77777777" w:rsidR="003B33CF" w:rsidRPr="00FD7B0B" w:rsidRDefault="003B33CF" w:rsidP="003B33CF">
      <w:pPr>
        <w:pStyle w:val="aff0"/>
        <w:spacing w:after="0" w:line="240" w:lineRule="auto"/>
        <w:rPr>
          <w:rFonts w:ascii="Times New Roman" w:hAnsi="Times New Roman"/>
          <w:b w:val="0"/>
          <w:sz w:val="24"/>
          <w:szCs w:val="24"/>
        </w:rPr>
      </w:pPr>
    </w:p>
    <w:p w14:paraId="22EF05C5" w14:textId="465A0F3F" w:rsidR="0041599B" w:rsidRPr="00FD7B0B" w:rsidRDefault="0041599B" w:rsidP="00786E4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Сведения о расходах областного бюджета за 2024 год и их сравнение с расходами за 2023 год представлены в приложении № </w:t>
      </w:r>
      <w:r w:rsidR="00066D30" w:rsidRPr="00FD7B0B">
        <w:rPr>
          <w:rFonts w:ascii="Times New Roman" w:eastAsia="Calibri" w:hAnsi="Times New Roman" w:cs="Times New Roman"/>
          <w:sz w:val="28"/>
          <w:szCs w:val="28"/>
        </w:rPr>
        <w:t>1</w:t>
      </w:r>
      <w:r w:rsidRPr="00FD7B0B">
        <w:rPr>
          <w:rFonts w:ascii="Times New Roman" w:eastAsia="Calibri" w:hAnsi="Times New Roman" w:cs="Times New Roman"/>
          <w:sz w:val="28"/>
          <w:szCs w:val="28"/>
        </w:rPr>
        <w:t xml:space="preserve"> к настоящему заключению.</w:t>
      </w:r>
    </w:p>
    <w:p w14:paraId="46BD2DC8" w14:textId="5DCB3560" w:rsidR="0041599B" w:rsidRPr="00FD7B0B" w:rsidRDefault="0041599B" w:rsidP="00786E4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Сведения о наибольших изменениях расходов бюджета в разрезе подразделов бюджетной классификации за 2024 год и сравнение с расходами 2023 года представлены в таблице </w:t>
      </w:r>
      <w:r w:rsidR="00066D30" w:rsidRPr="00FD7B0B">
        <w:rPr>
          <w:rFonts w:ascii="Times New Roman" w:eastAsia="Calibri" w:hAnsi="Times New Roman" w:cs="Times New Roman"/>
          <w:sz w:val="28"/>
          <w:szCs w:val="28"/>
        </w:rPr>
        <w:t>54</w:t>
      </w:r>
      <w:r w:rsidRPr="00FD7B0B">
        <w:rPr>
          <w:rFonts w:ascii="Times New Roman" w:eastAsia="Calibri" w:hAnsi="Times New Roman" w:cs="Times New Roman"/>
          <w:sz w:val="28"/>
          <w:szCs w:val="28"/>
        </w:rPr>
        <w:t>.</w:t>
      </w:r>
    </w:p>
    <w:p w14:paraId="62923BFA" w14:textId="77777777" w:rsidR="0041599B" w:rsidRPr="00FD7B0B" w:rsidRDefault="0041599B" w:rsidP="00786E48">
      <w:pPr>
        <w:pStyle w:val="aff0"/>
        <w:spacing w:after="0" w:line="240" w:lineRule="auto"/>
        <w:rPr>
          <w:rFonts w:ascii="Times New Roman" w:hAnsi="Times New Roman"/>
          <w:b w:val="0"/>
          <w:sz w:val="24"/>
          <w:szCs w:val="24"/>
        </w:rPr>
      </w:pPr>
    </w:p>
    <w:p w14:paraId="1F13DC5C" w14:textId="77777777" w:rsidR="0041599B" w:rsidRPr="00FD7B0B" w:rsidRDefault="0041599B" w:rsidP="00786E48">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54</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Изменение отдельных расходов областного бюджета по отдельным подразделам бюджетной классификации за 2024 год, млн.руб.</w:t>
      </w:r>
    </w:p>
    <w:tbl>
      <w:tblPr>
        <w:tblW w:w="9757" w:type="dxa"/>
        <w:tblLayout w:type="fixed"/>
        <w:tblLook w:val="04A0" w:firstRow="1" w:lastRow="0" w:firstColumn="1" w:lastColumn="0" w:noHBand="0" w:noVBand="1"/>
      </w:tblPr>
      <w:tblGrid>
        <w:gridCol w:w="5789"/>
        <w:gridCol w:w="992"/>
        <w:gridCol w:w="1026"/>
        <w:gridCol w:w="1134"/>
        <w:gridCol w:w="816"/>
      </w:tblGrid>
      <w:tr w:rsidR="00FD7B0B" w:rsidRPr="00FD7B0B" w14:paraId="7DD2FCFE" w14:textId="77777777" w:rsidTr="00E34E51">
        <w:trPr>
          <w:trHeight w:val="73"/>
          <w:tblHeader/>
        </w:trPr>
        <w:tc>
          <w:tcPr>
            <w:tcW w:w="578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7F97689" w14:textId="77777777" w:rsidR="0041599B" w:rsidRPr="00FD7B0B" w:rsidRDefault="0041599B" w:rsidP="00E34E51">
            <w:pPr>
              <w:spacing w:after="0" w:line="240" w:lineRule="auto"/>
              <w:jc w:val="center"/>
              <w:rPr>
                <w:rFonts w:ascii="Times New Roman" w:hAnsi="Times New Roman" w:cs="Times New Roman"/>
              </w:rPr>
            </w:pPr>
            <w:r w:rsidRPr="00FD7B0B">
              <w:rPr>
                <w:rFonts w:ascii="Times New Roman" w:hAnsi="Times New Roman" w:cs="Times New Roman"/>
              </w:rPr>
              <w:t>Наименование мероприятия (направления расходов)</w:t>
            </w:r>
          </w:p>
        </w:tc>
        <w:tc>
          <w:tcPr>
            <w:tcW w:w="2018" w:type="dxa"/>
            <w:gridSpan w:val="2"/>
            <w:tcBorders>
              <w:top w:val="double" w:sz="6" w:space="0" w:color="auto"/>
              <w:left w:val="nil"/>
              <w:bottom w:val="single" w:sz="4" w:space="0" w:color="auto"/>
              <w:right w:val="single" w:sz="4" w:space="0" w:color="auto"/>
            </w:tcBorders>
            <w:shd w:val="clear" w:color="auto" w:fill="auto"/>
            <w:vAlign w:val="center"/>
            <w:hideMark/>
          </w:tcPr>
          <w:p w14:paraId="184539B1" w14:textId="77777777" w:rsidR="0041599B" w:rsidRPr="00FD7B0B" w:rsidRDefault="0041599B" w:rsidP="00E34E51">
            <w:pPr>
              <w:spacing w:after="0" w:line="240" w:lineRule="auto"/>
              <w:jc w:val="center"/>
              <w:rPr>
                <w:rFonts w:ascii="Times New Roman" w:hAnsi="Times New Roman" w:cs="Times New Roman"/>
              </w:rPr>
            </w:pPr>
            <w:r w:rsidRPr="00FD7B0B">
              <w:rPr>
                <w:rFonts w:ascii="Times New Roman" w:hAnsi="Times New Roman" w:cs="Times New Roman"/>
              </w:rPr>
              <w:t>Исполнение</w:t>
            </w:r>
          </w:p>
        </w:tc>
        <w:tc>
          <w:tcPr>
            <w:tcW w:w="1950" w:type="dxa"/>
            <w:gridSpan w:val="2"/>
            <w:tcBorders>
              <w:top w:val="double" w:sz="6" w:space="0" w:color="auto"/>
              <w:left w:val="nil"/>
              <w:bottom w:val="single" w:sz="4" w:space="0" w:color="auto"/>
              <w:right w:val="double" w:sz="6" w:space="0" w:color="000000"/>
            </w:tcBorders>
            <w:shd w:val="clear" w:color="auto" w:fill="auto"/>
            <w:vAlign w:val="center"/>
            <w:hideMark/>
          </w:tcPr>
          <w:p w14:paraId="32C2FF90" w14:textId="77777777" w:rsidR="0041599B" w:rsidRPr="00FD7B0B" w:rsidRDefault="0041599B" w:rsidP="00E34E51">
            <w:pPr>
              <w:spacing w:after="0" w:line="240" w:lineRule="auto"/>
              <w:jc w:val="center"/>
              <w:rPr>
                <w:rFonts w:ascii="Times New Roman" w:hAnsi="Times New Roman" w:cs="Times New Roman"/>
              </w:rPr>
            </w:pPr>
            <w:r w:rsidRPr="00FD7B0B">
              <w:rPr>
                <w:rFonts w:ascii="Times New Roman" w:hAnsi="Times New Roman" w:cs="Times New Roman"/>
              </w:rPr>
              <w:t>Изменения (+,-)</w:t>
            </w:r>
          </w:p>
        </w:tc>
      </w:tr>
      <w:tr w:rsidR="00FD7B0B" w:rsidRPr="00FD7B0B" w14:paraId="227552E0" w14:textId="77777777" w:rsidTr="00E34E51">
        <w:trPr>
          <w:trHeight w:val="205"/>
          <w:tblHeader/>
        </w:trPr>
        <w:tc>
          <w:tcPr>
            <w:tcW w:w="5789" w:type="dxa"/>
            <w:vMerge/>
            <w:tcBorders>
              <w:top w:val="double" w:sz="6" w:space="0" w:color="auto"/>
              <w:left w:val="double" w:sz="6" w:space="0" w:color="auto"/>
              <w:bottom w:val="single" w:sz="4" w:space="0" w:color="auto"/>
              <w:right w:val="single" w:sz="4" w:space="0" w:color="auto"/>
            </w:tcBorders>
            <w:vAlign w:val="center"/>
            <w:hideMark/>
          </w:tcPr>
          <w:p w14:paraId="224099A1" w14:textId="77777777" w:rsidR="0041599B" w:rsidRPr="00FD7B0B" w:rsidRDefault="0041599B" w:rsidP="00E34E51">
            <w:pPr>
              <w:spacing w:after="0" w:line="240" w:lineRule="auto"/>
              <w:jc w:val="center"/>
              <w:rPr>
                <w:rFonts w:ascii="Times New Roman" w:hAnsi="Times New Roman" w:cs="Times New Roman"/>
              </w:rPr>
            </w:pPr>
          </w:p>
        </w:tc>
        <w:tc>
          <w:tcPr>
            <w:tcW w:w="992" w:type="dxa"/>
            <w:tcBorders>
              <w:top w:val="nil"/>
              <w:left w:val="nil"/>
              <w:bottom w:val="single" w:sz="4" w:space="0" w:color="auto"/>
              <w:right w:val="single" w:sz="4" w:space="0" w:color="auto"/>
            </w:tcBorders>
            <w:shd w:val="clear" w:color="auto" w:fill="auto"/>
            <w:vAlign w:val="center"/>
            <w:hideMark/>
          </w:tcPr>
          <w:p w14:paraId="23528AFC" w14:textId="77777777" w:rsidR="0041599B" w:rsidRPr="00FD7B0B" w:rsidRDefault="0041599B" w:rsidP="00E34E51">
            <w:pPr>
              <w:spacing w:after="0" w:line="240" w:lineRule="auto"/>
              <w:jc w:val="center"/>
              <w:rPr>
                <w:rFonts w:ascii="Times New Roman" w:hAnsi="Times New Roman" w:cs="Times New Roman"/>
              </w:rPr>
            </w:pPr>
            <w:r w:rsidRPr="00FD7B0B">
              <w:rPr>
                <w:rFonts w:ascii="Times New Roman" w:hAnsi="Times New Roman" w:cs="Times New Roman"/>
              </w:rPr>
              <w:t>2023 г.</w:t>
            </w:r>
          </w:p>
        </w:tc>
        <w:tc>
          <w:tcPr>
            <w:tcW w:w="1026" w:type="dxa"/>
            <w:tcBorders>
              <w:top w:val="nil"/>
              <w:left w:val="nil"/>
              <w:bottom w:val="single" w:sz="4" w:space="0" w:color="auto"/>
              <w:right w:val="single" w:sz="4" w:space="0" w:color="auto"/>
            </w:tcBorders>
            <w:shd w:val="clear" w:color="auto" w:fill="auto"/>
            <w:vAlign w:val="center"/>
            <w:hideMark/>
          </w:tcPr>
          <w:p w14:paraId="30AAA2B1" w14:textId="77777777" w:rsidR="0041599B" w:rsidRPr="00FD7B0B" w:rsidRDefault="0041599B" w:rsidP="00E34E51">
            <w:pPr>
              <w:spacing w:after="0" w:line="240" w:lineRule="auto"/>
              <w:jc w:val="center"/>
              <w:rPr>
                <w:rFonts w:ascii="Times New Roman" w:hAnsi="Times New Roman" w:cs="Times New Roman"/>
              </w:rPr>
            </w:pPr>
            <w:r w:rsidRPr="00FD7B0B">
              <w:rPr>
                <w:rFonts w:ascii="Times New Roman" w:hAnsi="Times New Roman" w:cs="Times New Roman"/>
              </w:rPr>
              <w:t>2024 г.</w:t>
            </w:r>
          </w:p>
        </w:tc>
        <w:tc>
          <w:tcPr>
            <w:tcW w:w="1134" w:type="dxa"/>
            <w:tcBorders>
              <w:top w:val="nil"/>
              <w:left w:val="nil"/>
              <w:bottom w:val="single" w:sz="4" w:space="0" w:color="auto"/>
              <w:right w:val="single" w:sz="4" w:space="0" w:color="auto"/>
            </w:tcBorders>
            <w:shd w:val="clear" w:color="auto" w:fill="auto"/>
            <w:vAlign w:val="center"/>
            <w:hideMark/>
          </w:tcPr>
          <w:p w14:paraId="1D301C2C" w14:textId="77777777" w:rsidR="0041599B" w:rsidRPr="00FD7B0B" w:rsidRDefault="0041599B" w:rsidP="00E34E51">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16" w:type="dxa"/>
            <w:tcBorders>
              <w:top w:val="nil"/>
              <w:left w:val="nil"/>
              <w:bottom w:val="single" w:sz="4" w:space="0" w:color="auto"/>
              <w:right w:val="double" w:sz="6" w:space="0" w:color="auto"/>
            </w:tcBorders>
            <w:shd w:val="clear" w:color="auto" w:fill="auto"/>
            <w:vAlign w:val="center"/>
            <w:hideMark/>
          </w:tcPr>
          <w:p w14:paraId="59B57C7B" w14:textId="22E4E6F1" w:rsidR="0041599B" w:rsidRPr="00FD7B0B" w:rsidRDefault="0041599B" w:rsidP="00E34E51">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7BCAA5EE"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09F92D33"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0402 "Топливно-энергетический комплекс",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3747BE7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97,0 </w:t>
            </w:r>
          </w:p>
        </w:tc>
        <w:tc>
          <w:tcPr>
            <w:tcW w:w="1026" w:type="dxa"/>
            <w:tcBorders>
              <w:top w:val="nil"/>
              <w:left w:val="nil"/>
              <w:bottom w:val="single" w:sz="4" w:space="0" w:color="auto"/>
              <w:right w:val="single" w:sz="4" w:space="0" w:color="auto"/>
            </w:tcBorders>
            <w:shd w:val="clear" w:color="000000" w:fill="E1F7FF"/>
            <w:vAlign w:val="center"/>
            <w:hideMark/>
          </w:tcPr>
          <w:p w14:paraId="5663ADC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5 164,8 </w:t>
            </w:r>
          </w:p>
        </w:tc>
        <w:tc>
          <w:tcPr>
            <w:tcW w:w="1134" w:type="dxa"/>
            <w:tcBorders>
              <w:top w:val="nil"/>
              <w:left w:val="nil"/>
              <w:bottom w:val="single" w:sz="4" w:space="0" w:color="auto"/>
              <w:right w:val="single" w:sz="4" w:space="0" w:color="auto"/>
            </w:tcBorders>
            <w:shd w:val="clear" w:color="000000" w:fill="E1F7FF"/>
            <w:vAlign w:val="center"/>
            <w:hideMark/>
          </w:tcPr>
          <w:p w14:paraId="490DB7FA"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5 067,8 </w:t>
            </w:r>
          </w:p>
        </w:tc>
        <w:tc>
          <w:tcPr>
            <w:tcW w:w="816" w:type="dxa"/>
            <w:tcBorders>
              <w:top w:val="nil"/>
              <w:left w:val="nil"/>
              <w:bottom w:val="single" w:sz="4" w:space="0" w:color="auto"/>
              <w:right w:val="double" w:sz="6" w:space="0" w:color="auto"/>
            </w:tcBorders>
            <w:shd w:val="clear" w:color="000000" w:fill="E1F7FF"/>
            <w:vAlign w:val="center"/>
            <w:hideMark/>
          </w:tcPr>
          <w:p w14:paraId="2E57DD1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в 53,3 раза</w:t>
            </w:r>
          </w:p>
        </w:tc>
      </w:tr>
      <w:tr w:rsidR="00FD7B0B" w:rsidRPr="00FD7B0B" w14:paraId="0305FAF7"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284C9A17"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субсидии ресурсоснабжающим организациям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tc>
        <w:tc>
          <w:tcPr>
            <w:tcW w:w="992" w:type="dxa"/>
            <w:tcBorders>
              <w:top w:val="nil"/>
              <w:left w:val="nil"/>
              <w:bottom w:val="single" w:sz="4" w:space="0" w:color="auto"/>
              <w:right w:val="single" w:sz="4" w:space="0" w:color="auto"/>
            </w:tcBorders>
            <w:shd w:val="clear" w:color="auto" w:fill="auto"/>
            <w:vAlign w:val="center"/>
            <w:hideMark/>
          </w:tcPr>
          <w:p w14:paraId="1DC03D4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26" w:type="dxa"/>
            <w:tcBorders>
              <w:top w:val="nil"/>
              <w:left w:val="nil"/>
              <w:bottom w:val="single" w:sz="4" w:space="0" w:color="auto"/>
              <w:right w:val="single" w:sz="4" w:space="0" w:color="auto"/>
            </w:tcBorders>
            <w:shd w:val="clear" w:color="auto" w:fill="auto"/>
            <w:vAlign w:val="center"/>
            <w:hideMark/>
          </w:tcPr>
          <w:p w14:paraId="72FC5763"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5 064,3 </w:t>
            </w:r>
          </w:p>
        </w:tc>
        <w:tc>
          <w:tcPr>
            <w:tcW w:w="1134" w:type="dxa"/>
            <w:tcBorders>
              <w:top w:val="nil"/>
              <w:left w:val="nil"/>
              <w:bottom w:val="single" w:sz="4" w:space="0" w:color="auto"/>
              <w:right w:val="single" w:sz="4" w:space="0" w:color="auto"/>
            </w:tcBorders>
            <w:shd w:val="clear" w:color="auto" w:fill="auto"/>
            <w:vAlign w:val="center"/>
            <w:hideMark/>
          </w:tcPr>
          <w:p w14:paraId="55B1557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5 064,3 </w:t>
            </w:r>
          </w:p>
        </w:tc>
        <w:tc>
          <w:tcPr>
            <w:tcW w:w="816" w:type="dxa"/>
            <w:tcBorders>
              <w:top w:val="nil"/>
              <w:left w:val="nil"/>
              <w:bottom w:val="single" w:sz="4" w:space="0" w:color="auto"/>
              <w:right w:val="double" w:sz="6" w:space="0" w:color="auto"/>
            </w:tcBorders>
            <w:shd w:val="clear" w:color="auto" w:fill="auto"/>
            <w:vAlign w:val="center"/>
            <w:hideMark/>
          </w:tcPr>
          <w:p w14:paraId="0F27C039"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2061F272"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1779884F"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lastRenderedPageBreak/>
              <w:t>Подраздел 0409 "Дорожное хозяйство (дорожные фонды),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2C6F097B"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18 177,7 </w:t>
            </w:r>
          </w:p>
        </w:tc>
        <w:tc>
          <w:tcPr>
            <w:tcW w:w="1026" w:type="dxa"/>
            <w:tcBorders>
              <w:top w:val="nil"/>
              <w:left w:val="nil"/>
              <w:bottom w:val="single" w:sz="4" w:space="0" w:color="auto"/>
              <w:right w:val="single" w:sz="4" w:space="0" w:color="auto"/>
            </w:tcBorders>
            <w:shd w:val="clear" w:color="000000" w:fill="E1F7FF"/>
            <w:vAlign w:val="center"/>
            <w:hideMark/>
          </w:tcPr>
          <w:p w14:paraId="3ACB88C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12 908,8 </w:t>
            </w:r>
          </w:p>
        </w:tc>
        <w:tc>
          <w:tcPr>
            <w:tcW w:w="1134" w:type="dxa"/>
            <w:tcBorders>
              <w:top w:val="nil"/>
              <w:left w:val="nil"/>
              <w:bottom w:val="single" w:sz="4" w:space="0" w:color="auto"/>
              <w:right w:val="single" w:sz="4" w:space="0" w:color="auto"/>
            </w:tcBorders>
            <w:shd w:val="clear" w:color="000000" w:fill="E1F7FF"/>
            <w:vAlign w:val="center"/>
            <w:hideMark/>
          </w:tcPr>
          <w:p w14:paraId="2D4C0780"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-5 268,9 </w:t>
            </w:r>
          </w:p>
        </w:tc>
        <w:tc>
          <w:tcPr>
            <w:tcW w:w="816" w:type="dxa"/>
            <w:tcBorders>
              <w:top w:val="nil"/>
              <w:left w:val="nil"/>
              <w:bottom w:val="single" w:sz="4" w:space="0" w:color="auto"/>
              <w:right w:val="double" w:sz="6" w:space="0" w:color="auto"/>
            </w:tcBorders>
            <w:shd w:val="clear" w:color="000000" w:fill="E1F7FF"/>
            <w:vAlign w:val="center"/>
            <w:hideMark/>
          </w:tcPr>
          <w:p w14:paraId="58C889F9"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-29,0 </w:t>
            </w:r>
          </w:p>
        </w:tc>
      </w:tr>
      <w:tr w:rsidR="00FD7B0B" w:rsidRPr="00FD7B0B" w14:paraId="7BB4AD27"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89EC2D9"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развитие инфраструктуры дорожного хозяйства</w:t>
            </w:r>
          </w:p>
        </w:tc>
        <w:tc>
          <w:tcPr>
            <w:tcW w:w="992" w:type="dxa"/>
            <w:tcBorders>
              <w:top w:val="nil"/>
              <w:left w:val="nil"/>
              <w:bottom w:val="single" w:sz="4" w:space="0" w:color="auto"/>
              <w:right w:val="single" w:sz="4" w:space="0" w:color="auto"/>
            </w:tcBorders>
            <w:shd w:val="clear" w:color="auto" w:fill="auto"/>
            <w:vAlign w:val="center"/>
            <w:hideMark/>
          </w:tcPr>
          <w:p w14:paraId="2DA5EAF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1 306,6 </w:t>
            </w:r>
          </w:p>
        </w:tc>
        <w:tc>
          <w:tcPr>
            <w:tcW w:w="1026" w:type="dxa"/>
            <w:tcBorders>
              <w:top w:val="nil"/>
              <w:left w:val="nil"/>
              <w:bottom w:val="single" w:sz="4" w:space="0" w:color="auto"/>
              <w:right w:val="single" w:sz="4" w:space="0" w:color="auto"/>
            </w:tcBorders>
            <w:shd w:val="clear" w:color="auto" w:fill="auto"/>
            <w:vAlign w:val="center"/>
            <w:hideMark/>
          </w:tcPr>
          <w:p w14:paraId="5133709A"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4" w:type="dxa"/>
            <w:tcBorders>
              <w:top w:val="nil"/>
              <w:left w:val="nil"/>
              <w:bottom w:val="single" w:sz="4" w:space="0" w:color="auto"/>
              <w:right w:val="single" w:sz="4" w:space="0" w:color="auto"/>
            </w:tcBorders>
            <w:shd w:val="clear" w:color="auto" w:fill="auto"/>
            <w:vAlign w:val="center"/>
            <w:hideMark/>
          </w:tcPr>
          <w:p w14:paraId="3D73953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-1 306,6 </w:t>
            </w:r>
          </w:p>
        </w:tc>
        <w:tc>
          <w:tcPr>
            <w:tcW w:w="816" w:type="dxa"/>
            <w:tcBorders>
              <w:top w:val="nil"/>
              <w:left w:val="nil"/>
              <w:bottom w:val="single" w:sz="4" w:space="0" w:color="auto"/>
              <w:right w:val="double" w:sz="6" w:space="0" w:color="auto"/>
            </w:tcBorders>
            <w:shd w:val="clear" w:color="auto" w:fill="auto"/>
            <w:vAlign w:val="center"/>
            <w:hideMark/>
          </w:tcPr>
          <w:p w14:paraId="16314870"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6A6F1A0"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D63A169"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приведение в нормативное состояние автомобильных дорог и искусственных дорожных сооружений, с учетом средств бюджетного кредита</w:t>
            </w:r>
          </w:p>
        </w:tc>
        <w:tc>
          <w:tcPr>
            <w:tcW w:w="992" w:type="dxa"/>
            <w:tcBorders>
              <w:top w:val="nil"/>
              <w:left w:val="nil"/>
              <w:bottom w:val="single" w:sz="4" w:space="0" w:color="auto"/>
              <w:right w:val="single" w:sz="4" w:space="0" w:color="auto"/>
            </w:tcBorders>
            <w:shd w:val="clear" w:color="auto" w:fill="auto"/>
            <w:vAlign w:val="center"/>
            <w:hideMark/>
          </w:tcPr>
          <w:p w14:paraId="523416E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5 576,2 </w:t>
            </w:r>
          </w:p>
        </w:tc>
        <w:tc>
          <w:tcPr>
            <w:tcW w:w="1026" w:type="dxa"/>
            <w:tcBorders>
              <w:top w:val="nil"/>
              <w:left w:val="nil"/>
              <w:bottom w:val="single" w:sz="4" w:space="0" w:color="auto"/>
              <w:right w:val="single" w:sz="4" w:space="0" w:color="auto"/>
            </w:tcBorders>
            <w:shd w:val="clear" w:color="auto" w:fill="auto"/>
            <w:vAlign w:val="center"/>
            <w:hideMark/>
          </w:tcPr>
          <w:p w14:paraId="335E987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2 222,1 </w:t>
            </w:r>
          </w:p>
        </w:tc>
        <w:tc>
          <w:tcPr>
            <w:tcW w:w="1134" w:type="dxa"/>
            <w:tcBorders>
              <w:top w:val="nil"/>
              <w:left w:val="nil"/>
              <w:bottom w:val="single" w:sz="4" w:space="0" w:color="auto"/>
              <w:right w:val="single" w:sz="4" w:space="0" w:color="auto"/>
            </w:tcBorders>
            <w:shd w:val="clear" w:color="auto" w:fill="auto"/>
            <w:vAlign w:val="center"/>
            <w:hideMark/>
          </w:tcPr>
          <w:p w14:paraId="4F0D030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-3 354,2 </w:t>
            </w:r>
          </w:p>
        </w:tc>
        <w:tc>
          <w:tcPr>
            <w:tcW w:w="816" w:type="dxa"/>
            <w:tcBorders>
              <w:top w:val="nil"/>
              <w:left w:val="nil"/>
              <w:bottom w:val="single" w:sz="4" w:space="0" w:color="auto"/>
              <w:right w:val="double" w:sz="6" w:space="0" w:color="auto"/>
            </w:tcBorders>
            <w:shd w:val="clear" w:color="auto" w:fill="auto"/>
            <w:vAlign w:val="center"/>
            <w:hideMark/>
          </w:tcPr>
          <w:p w14:paraId="413AC51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-60,2 </w:t>
            </w:r>
          </w:p>
        </w:tc>
      </w:tr>
      <w:tr w:rsidR="00FD7B0B" w:rsidRPr="00FD7B0B" w14:paraId="62125C83"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4D902F70"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реализация инфраструктурных проектов, источником финансового обеспечения которых являются бюджетные кредиты</w:t>
            </w:r>
          </w:p>
        </w:tc>
        <w:tc>
          <w:tcPr>
            <w:tcW w:w="992" w:type="dxa"/>
            <w:tcBorders>
              <w:top w:val="nil"/>
              <w:left w:val="nil"/>
              <w:bottom w:val="single" w:sz="4" w:space="0" w:color="auto"/>
              <w:right w:val="single" w:sz="4" w:space="0" w:color="auto"/>
            </w:tcBorders>
            <w:shd w:val="clear" w:color="auto" w:fill="auto"/>
            <w:vAlign w:val="center"/>
            <w:hideMark/>
          </w:tcPr>
          <w:p w14:paraId="2F78AAE3"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1 806,3 </w:t>
            </w:r>
          </w:p>
        </w:tc>
        <w:tc>
          <w:tcPr>
            <w:tcW w:w="1026" w:type="dxa"/>
            <w:tcBorders>
              <w:top w:val="nil"/>
              <w:left w:val="nil"/>
              <w:bottom w:val="single" w:sz="4" w:space="0" w:color="auto"/>
              <w:right w:val="single" w:sz="4" w:space="0" w:color="auto"/>
            </w:tcBorders>
            <w:shd w:val="clear" w:color="auto" w:fill="auto"/>
            <w:vAlign w:val="center"/>
            <w:hideMark/>
          </w:tcPr>
          <w:p w14:paraId="4340A01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746,2 </w:t>
            </w:r>
          </w:p>
        </w:tc>
        <w:tc>
          <w:tcPr>
            <w:tcW w:w="1134" w:type="dxa"/>
            <w:tcBorders>
              <w:top w:val="nil"/>
              <w:left w:val="nil"/>
              <w:bottom w:val="single" w:sz="4" w:space="0" w:color="auto"/>
              <w:right w:val="single" w:sz="4" w:space="0" w:color="auto"/>
            </w:tcBorders>
            <w:shd w:val="clear" w:color="auto" w:fill="auto"/>
            <w:vAlign w:val="center"/>
            <w:hideMark/>
          </w:tcPr>
          <w:p w14:paraId="214A0266"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-1 060,1 </w:t>
            </w:r>
          </w:p>
        </w:tc>
        <w:tc>
          <w:tcPr>
            <w:tcW w:w="816" w:type="dxa"/>
            <w:tcBorders>
              <w:top w:val="nil"/>
              <w:left w:val="nil"/>
              <w:bottom w:val="single" w:sz="4" w:space="0" w:color="auto"/>
              <w:right w:val="double" w:sz="6" w:space="0" w:color="auto"/>
            </w:tcBorders>
            <w:shd w:val="clear" w:color="auto" w:fill="auto"/>
            <w:vAlign w:val="center"/>
            <w:hideMark/>
          </w:tcPr>
          <w:p w14:paraId="2F4AC27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-58,7 </w:t>
            </w:r>
          </w:p>
        </w:tc>
      </w:tr>
      <w:tr w:rsidR="00FD7B0B" w:rsidRPr="00FD7B0B" w14:paraId="65B43F6D"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75740A45"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0501 "Жилищное хозяйство",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7FBADC7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9 877,6 </w:t>
            </w:r>
          </w:p>
        </w:tc>
        <w:tc>
          <w:tcPr>
            <w:tcW w:w="1026" w:type="dxa"/>
            <w:tcBorders>
              <w:top w:val="nil"/>
              <w:left w:val="nil"/>
              <w:bottom w:val="single" w:sz="4" w:space="0" w:color="auto"/>
              <w:right w:val="single" w:sz="4" w:space="0" w:color="auto"/>
            </w:tcBorders>
            <w:shd w:val="clear" w:color="000000" w:fill="E1F7FF"/>
            <w:vAlign w:val="center"/>
            <w:hideMark/>
          </w:tcPr>
          <w:p w14:paraId="3EA9CF7A"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4 294,2 </w:t>
            </w:r>
          </w:p>
        </w:tc>
        <w:tc>
          <w:tcPr>
            <w:tcW w:w="1134" w:type="dxa"/>
            <w:tcBorders>
              <w:top w:val="nil"/>
              <w:left w:val="nil"/>
              <w:bottom w:val="single" w:sz="4" w:space="0" w:color="auto"/>
              <w:right w:val="single" w:sz="4" w:space="0" w:color="auto"/>
            </w:tcBorders>
            <w:shd w:val="clear" w:color="000000" w:fill="E1F7FF"/>
            <w:vAlign w:val="center"/>
            <w:hideMark/>
          </w:tcPr>
          <w:p w14:paraId="13893EF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-5 583,5 </w:t>
            </w:r>
          </w:p>
        </w:tc>
        <w:tc>
          <w:tcPr>
            <w:tcW w:w="816" w:type="dxa"/>
            <w:tcBorders>
              <w:top w:val="nil"/>
              <w:left w:val="nil"/>
              <w:bottom w:val="single" w:sz="4" w:space="0" w:color="auto"/>
              <w:right w:val="double" w:sz="6" w:space="0" w:color="auto"/>
            </w:tcBorders>
            <w:shd w:val="clear" w:color="000000" w:fill="E1F7FF"/>
            <w:vAlign w:val="center"/>
            <w:hideMark/>
          </w:tcPr>
          <w:p w14:paraId="1341FDDA"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-56,5 </w:t>
            </w:r>
          </w:p>
        </w:tc>
      </w:tr>
      <w:tr w:rsidR="00FD7B0B" w:rsidRPr="00FD7B0B" w14:paraId="7E1B370C"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4EF23162"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обеспечение мероприятий по переселению граждан из аварийного жилищного фонда</w:t>
            </w:r>
          </w:p>
        </w:tc>
        <w:tc>
          <w:tcPr>
            <w:tcW w:w="992" w:type="dxa"/>
            <w:tcBorders>
              <w:top w:val="nil"/>
              <w:left w:val="nil"/>
              <w:bottom w:val="single" w:sz="4" w:space="0" w:color="auto"/>
              <w:right w:val="single" w:sz="4" w:space="0" w:color="auto"/>
            </w:tcBorders>
            <w:shd w:val="clear" w:color="auto" w:fill="auto"/>
            <w:vAlign w:val="center"/>
            <w:hideMark/>
          </w:tcPr>
          <w:p w14:paraId="3C5D4EF3"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8 853,1 </w:t>
            </w:r>
          </w:p>
        </w:tc>
        <w:tc>
          <w:tcPr>
            <w:tcW w:w="1026" w:type="dxa"/>
            <w:tcBorders>
              <w:top w:val="nil"/>
              <w:left w:val="nil"/>
              <w:bottom w:val="single" w:sz="4" w:space="0" w:color="auto"/>
              <w:right w:val="single" w:sz="4" w:space="0" w:color="auto"/>
            </w:tcBorders>
            <w:shd w:val="clear" w:color="auto" w:fill="auto"/>
            <w:vAlign w:val="center"/>
            <w:hideMark/>
          </w:tcPr>
          <w:p w14:paraId="62AA8BA7"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2 987,7 </w:t>
            </w:r>
          </w:p>
        </w:tc>
        <w:tc>
          <w:tcPr>
            <w:tcW w:w="1134" w:type="dxa"/>
            <w:tcBorders>
              <w:top w:val="nil"/>
              <w:left w:val="nil"/>
              <w:bottom w:val="single" w:sz="4" w:space="0" w:color="auto"/>
              <w:right w:val="single" w:sz="4" w:space="0" w:color="auto"/>
            </w:tcBorders>
            <w:shd w:val="clear" w:color="auto" w:fill="auto"/>
            <w:vAlign w:val="center"/>
            <w:hideMark/>
          </w:tcPr>
          <w:p w14:paraId="43BC7B8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-5 865,4 </w:t>
            </w:r>
          </w:p>
        </w:tc>
        <w:tc>
          <w:tcPr>
            <w:tcW w:w="816" w:type="dxa"/>
            <w:tcBorders>
              <w:top w:val="nil"/>
              <w:left w:val="nil"/>
              <w:bottom w:val="single" w:sz="4" w:space="0" w:color="auto"/>
              <w:right w:val="double" w:sz="6" w:space="0" w:color="auto"/>
            </w:tcBorders>
            <w:shd w:val="clear" w:color="auto" w:fill="auto"/>
            <w:vAlign w:val="center"/>
            <w:hideMark/>
          </w:tcPr>
          <w:p w14:paraId="30DBDF8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-66,3 </w:t>
            </w:r>
          </w:p>
        </w:tc>
      </w:tr>
      <w:tr w:rsidR="00FD7B0B" w:rsidRPr="00FD7B0B" w14:paraId="12903C84"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751BD4F9"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0502 "Коммунальное хозяйство",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47C639F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10 256,1 </w:t>
            </w:r>
          </w:p>
        </w:tc>
        <w:tc>
          <w:tcPr>
            <w:tcW w:w="1026" w:type="dxa"/>
            <w:tcBorders>
              <w:top w:val="nil"/>
              <w:left w:val="nil"/>
              <w:bottom w:val="single" w:sz="4" w:space="0" w:color="auto"/>
              <w:right w:val="single" w:sz="4" w:space="0" w:color="auto"/>
            </w:tcBorders>
            <w:shd w:val="clear" w:color="000000" w:fill="E1F7FF"/>
            <w:vAlign w:val="center"/>
            <w:hideMark/>
          </w:tcPr>
          <w:p w14:paraId="1AAB572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7 186,3 </w:t>
            </w:r>
          </w:p>
        </w:tc>
        <w:tc>
          <w:tcPr>
            <w:tcW w:w="1134" w:type="dxa"/>
            <w:tcBorders>
              <w:top w:val="nil"/>
              <w:left w:val="nil"/>
              <w:bottom w:val="single" w:sz="4" w:space="0" w:color="auto"/>
              <w:right w:val="single" w:sz="4" w:space="0" w:color="auto"/>
            </w:tcBorders>
            <w:shd w:val="clear" w:color="000000" w:fill="E1F7FF"/>
            <w:vAlign w:val="center"/>
            <w:hideMark/>
          </w:tcPr>
          <w:p w14:paraId="3A3C695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-3 069,7 </w:t>
            </w:r>
          </w:p>
        </w:tc>
        <w:tc>
          <w:tcPr>
            <w:tcW w:w="816" w:type="dxa"/>
            <w:tcBorders>
              <w:top w:val="nil"/>
              <w:left w:val="nil"/>
              <w:bottom w:val="single" w:sz="4" w:space="0" w:color="auto"/>
              <w:right w:val="double" w:sz="6" w:space="0" w:color="auto"/>
            </w:tcBorders>
            <w:shd w:val="clear" w:color="000000" w:fill="E1F7FF"/>
            <w:vAlign w:val="center"/>
            <w:hideMark/>
          </w:tcPr>
          <w:p w14:paraId="3AA2CC9B"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-29,9 </w:t>
            </w:r>
          </w:p>
        </w:tc>
      </w:tr>
      <w:tr w:rsidR="00FD7B0B" w:rsidRPr="00FD7B0B" w14:paraId="43247571"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426E3E23"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субсидии региональным операторам по обращению с твердыми коммунальными отходами на возмещение недополученных доходов, возникающих в результате государственного регулирования тарифов в сфере обращения с твердыми коммунальными отходами</w:t>
            </w:r>
          </w:p>
        </w:tc>
        <w:tc>
          <w:tcPr>
            <w:tcW w:w="992" w:type="dxa"/>
            <w:tcBorders>
              <w:top w:val="nil"/>
              <w:left w:val="nil"/>
              <w:bottom w:val="single" w:sz="4" w:space="0" w:color="auto"/>
              <w:right w:val="single" w:sz="4" w:space="0" w:color="auto"/>
            </w:tcBorders>
            <w:shd w:val="clear" w:color="auto" w:fill="auto"/>
            <w:vAlign w:val="center"/>
            <w:hideMark/>
          </w:tcPr>
          <w:p w14:paraId="1A52A8A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1 247,1 </w:t>
            </w:r>
          </w:p>
        </w:tc>
        <w:tc>
          <w:tcPr>
            <w:tcW w:w="1026" w:type="dxa"/>
            <w:tcBorders>
              <w:top w:val="nil"/>
              <w:left w:val="nil"/>
              <w:bottom w:val="single" w:sz="4" w:space="0" w:color="auto"/>
              <w:right w:val="single" w:sz="4" w:space="0" w:color="auto"/>
            </w:tcBorders>
            <w:shd w:val="clear" w:color="auto" w:fill="auto"/>
            <w:vAlign w:val="center"/>
            <w:hideMark/>
          </w:tcPr>
          <w:p w14:paraId="701D8DC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1 141,5 </w:t>
            </w:r>
          </w:p>
        </w:tc>
        <w:tc>
          <w:tcPr>
            <w:tcW w:w="1134" w:type="dxa"/>
            <w:tcBorders>
              <w:top w:val="nil"/>
              <w:left w:val="nil"/>
              <w:bottom w:val="single" w:sz="4" w:space="0" w:color="auto"/>
              <w:right w:val="single" w:sz="4" w:space="0" w:color="auto"/>
            </w:tcBorders>
            <w:shd w:val="clear" w:color="auto" w:fill="auto"/>
            <w:vAlign w:val="center"/>
            <w:hideMark/>
          </w:tcPr>
          <w:p w14:paraId="38D5B79B"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-105,5 </w:t>
            </w:r>
          </w:p>
        </w:tc>
        <w:tc>
          <w:tcPr>
            <w:tcW w:w="816" w:type="dxa"/>
            <w:tcBorders>
              <w:top w:val="nil"/>
              <w:left w:val="nil"/>
              <w:bottom w:val="single" w:sz="4" w:space="0" w:color="auto"/>
              <w:right w:val="double" w:sz="6" w:space="0" w:color="auto"/>
            </w:tcBorders>
            <w:shd w:val="clear" w:color="auto" w:fill="auto"/>
            <w:vAlign w:val="center"/>
            <w:hideMark/>
          </w:tcPr>
          <w:p w14:paraId="79F18FB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-8,5 </w:t>
            </w:r>
          </w:p>
        </w:tc>
      </w:tr>
      <w:tr w:rsidR="00FD7B0B" w:rsidRPr="00FD7B0B" w14:paraId="783792B8"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8BA4EFC"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возмещение недополученных доходов, возникающих в результате государственного регулирования тарифов на тепловую энергию, поставляемую населению и потребителям, приравненным к населению, на нужды теплоснабжения</w:t>
            </w:r>
          </w:p>
        </w:tc>
        <w:tc>
          <w:tcPr>
            <w:tcW w:w="992" w:type="dxa"/>
            <w:tcBorders>
              <w:top w:val="nil"/>
              <w:left w:val="nil"/>
              <w:bottom w:val="single" w:sz="4" w:space="0" w:color="auto"/>
              <w:right w:val="single" w:sz="4" w:space="0" w:color="auto"/>
            </w:tcBorders>
            <w:shd w:val="clear" w:color="auto" w:fill="auto"/>
            <w:vAlign w:val="center"/>
            <w:hideMark/>
          </w:tcPr>
          <w:p w14:paraId="4E74F8B5"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3 777,6 </w:t>
            </w:r>
          </w:p>
        </w:tc>
        <w:tc>
          <w:tcPr>
            <w:tcW w:w="1026" w:type="dxa"/>
            <w:tcBorders>
              <w:top w:val="nil"/>
              <w:left w:val="nil"/>
              <w:bottom w:val="single" w:sz="4" w:space="0" w:color="auto"/>
              <w:right w:val="single" w:sz="4" w:space="0" w:color="auto"/>
            </w:tcBorders>
            <w:shd w:val="clear" w:color="auto" w:fill="auto"/>
            <w:vAlign w:val="center"/>
            <w:hideMark/>
          </w:tcPr>
          <w:p w14:paraId="7876057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141,2 </w:t>
            </w:r>
          </w:p>
        </w:tc>
        <w:tc>
          <w:tcPr>
            <w:tcW w:w="1134" w:type="dxa"/>
            <w:tcBorders>
              <w:top w:val="nil"/>
              <w:left w:val="nil"/>
              <w:bottom w:val="single" w:sz="4" w:space="0" w:color="auto"/>
              <w:right w:val="single" w:sz="4" w:space="0" w:color="auto"/>
            </w:tcBorders>
            <w:shd w:val="clear" w:color="auto" w:fill="auto"/>
            <w:vAlign w:val="center"/>
            <w:hideMark/>
          </w:tcPr>
          <w:p w14:paraId="62BC1AD7"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-3 636,4 </w:t>
            </w:r>
          </w:p>
        </w:tc>
        <w:tc>
          <w:tcPr>
            <w:tcW w:w="816" w:type="dxa"/>
            <w:tcBorders>
              <w:top w:val="nil"/>
              <w:left w:val="nil"/>
              <w:bottom w:val="single" w:sz="4" w:space="0" w:color="auto"/>
              <w:right w:val="double" w:sz="6" w:space="0" w:color="auto"/>
            </w:tcBorders>
            <w:shd w:val="clear" w:color="auto" w:fill="auto"/>
            <w:vAlign w:val="center"/>
            <w:hideMark/>
          </w:tcPr>
          <w:p w14:paraId="655E92E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-96,3 </w:t>
            </w:r>
          </w:p>
        </w:tc>
      </w:tr>
      <w:tr w:rsidR="00FD7B0B" w:rsidRPr="00FD7B0B" w14:paraId="3B489E3F"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7048A05"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возмещение недополученных доходов, возникающих в результате государственного регулирования тарифов на горячую воду в закрытой системе, питьевую воду и (или) услуги водоотведения для населения и потребителей, приравненных к населению</w:t>
            </w:r>
          </w:p>
        </w:tc>
        <w:tc>
          <w:tcPr>
            <w:tcW w:w="992" w:type="dxa"/>
            <w:tcBorders>
              <w:top w:val="nil"/>
              <w:left w:val="nil"/>
              <w:bottom w:val="single" w:sz="4" w:space="0" w:color="auto"/>
              <w:right w:val="single" w:sz="4" w:space="0" w:color="auto"/>
            </w:tcBorders>
            <w:shd w:val="clear" w:color="auto" w:fill="auto"/>
            <w:vAlign w:val="center"/>
            <w:hideMark/>
          </w:tcPr>
          <w:p w14:paraId="542F87F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1 694,8 </w:t>
            </w:r>
          </w:p>
        </w:tc>
        <w:tc>
          <w:tcPr>
            <w:tcW w:w="1026" w:type="dxa"/>
            <w:tcBorders>
              <w:top w:val="nil"/>
              <w:left w:val="nil"/>
              <w:bottom w:val="single" w:sz="4" w:space="0" w:color="auto"/>
              <w:right w:val="single" w:sz="4" w:space="0" w:color="auto"/>
            </w:tcBorders>
            <w:shd w:val="clear" w:color="auto" w:fill="auto"/>
            <w:vAlign w:val="center"/>
            <w:hideMark/>
          </w:tcPr>
          <w:p w14:paraId="3E7F86F0"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1 605,5 </w:t>
            </w:r>
          </w:p>
        </w:tc>
        <w:tc>
          <w:tcPr>
            <w:tcW w:w="1134" w:type="dxa"/>
            <w:tcBorders>
              <w:top w:val="nil"/>
              <w:left w:val="nil"/>
              <w:bottom w:val="single" w:sz="4" w:space="0" w:color="auto"/>
              <w:right w:val="single" w:sz="4" w:space="0" w:color="auto"/>
            </w:tcBorders>
            <w:shd w:val="clear" w:color="auto" w:fill="auto"/>
            <w:vAlign w:val="center"/>
            <w:hideMark/>
          </w:tcPr>
          <w:p w14:paraId="3D688339"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-89,4 </w:t>
            </w:r>
          </w:p>
        </w:tc>
        <w:tc>
          <w:tcPr>
            <w:tcW w:w="816" w:type="dxa"/>
            <w:tcBorders>
              <w:top w:val="nil"/>
              <w:left w:val="nil"/>
              <w:bottom w:val="single" w:sz="4" w:space="0" w:color="auto"/>
              <w:right w:val="double" w:sz="6" w:space="0" w:color="auto"/>
            </w:tcBorders>
            <w:shd w:val="clear" w:color="auto" w:fill="auto"/>
            <w:vAlign w:val="center"/>
            <w:hideMark/>
          </w:tcPr>
          <w:p w14:paraId="6D7EF9F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-5,3 </w:t>
            </w:r>
          </w:p>
        </w:tc>
      </w:tr>
      <w:tr w:rsidR="00FD7B0B" w:rsidRPr="00FD7B0B" w14:paraId="57181769"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BEBBA2A"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возмещение недополученных доходов,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4D51D0F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1 962,9 </w:t>
            </w:r>
          </w:p>
        </w:tc>
        <w:tc>
          <w:tcPr>
            <w:tcW w:w="1026" w:type="dxa"/>
            <w:tcBorders>
              <w:top w:val="nil"/>
              <w:left w:val="nil"/>
              <w:bottom w:val="single" w:sz="4" w:space="0" w:color="auto"/>
              <w:right w:val="single" w:sz="4" w:space="0" w:color="auto"/>
            </w:tcBorders>
            <w:shd w:val="clear" w:color="auto" w:fill="auto"/>
            <w:vAlign w:val="center"/>
            <w:hideMark/>
          </w:tcPr>
          <w:p w14:paraId="56C9BF23"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1 767,5 </w:t>
            </w:r>
          </w:p>
        </w:tc>
        <w:tc>
          <w:tcPr>
            <w:tcW w:w="1134" w:type="dxa"/>
            <w:tcBorders>
              <w:top w:val="nil"/>
              <w:left w:val="nil"/>
              <w:bottom w:val="single" w:sz="4" w:space="0" w:color="auto"/>
              <w:right w:val="single" w:sz="4" w:space="0" w:color="auto"/>
            </w:tcBorders>
            <w:shd w:val="clear" w:color="auto" w:fill="auto"/>
            <w:vAlign w:val="center"/>
            <w:hideMark/>
          </w:tcPr>
          <w:p w14:paraId="14B678C9"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-195,3 </w:t>
            </w:r>
          </w:p>
        </w:tc>
        <w:tc>
          <w:tcPr>
            <w:tcW w:w="816" w:type="dxa"/>
            <w:tcBorders>
              <w:top w:val="nil"/>
              <w:left w:val="nil"/>
              <w:bottom w:val="single" w:sz="4" w:space="0" w:color="auto"/>
              <w:right w:val="double" w:sz="6" w:space="0" w:color="auto"/>
            </w:tcBorders>
            <w:shd w:val="clear" w:color="auto" w:fill="auto"/>
            <w:vAlign w:val="center"/>
            <w:hideMark/>
          </w:tcPr>
          <w:p w14:paraId="37446D0B"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-10,0 </w:t>
            </w:r>
          </w:p>
        </w:tc>
      </w:tr>
      <w:tr w:rsidR="00FD7B0B" w:rsidRPr="00FD7B0B" w14:paraId="0DFF1236"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246FDDF"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на модернизацию (строительство) котельных на твердом биотопливе, источником финансового обеспечения которых является специальный казначейский кредит</w:t>
            </w:r>
          </w:p>
        </w:tc>
        <w:tc>
          <w:tcPr>
            <w:tcW w:w="992" w:type="dxa"/>
            <w:tcBorders>
              <w:top w:val="nil"/>
              <w:left w:val="nil"/>
              <w:bottom w:val="single" w:sz="4" w:space="0" w:color="auto"/>
              <w:right w:val="single" w:sz="4" w:space="0" w:color="auto"/>
            </w:tcBorders>
            <w:shd w:val="clear" w:color="auto" w:fill="auto"/>
            <w:vAlign w:val="center"/>
            <w:hideMark/>
          </w:tcPr>
          <w:p w14:paraId="08862EFA"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26" w:type="dxa"/>
            <w:tcBorders>
              <w:top w:val="nil"/>
              <w:left w:val="nil"/>
              <w:bottom w:val="single" w:sz="4" w:space="0" w:color="auto"/>
              <w:right w:val="single" w:sz="4" w:space="0" w:color="auto"/>
            </w:tcBorders>
            <w:shd w:val="clear" w:color="auto" w:fill="auto"/>
            <w:vAlign w:val="center"/>
            <w:hideMark/>
          </w:tcPr>
          <w:p w14:paraId="1EC4F3E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1 008,3 </w:t>
            </w:r>
          </w:p>
        </w:tc>
        <w:tc>
          <w:tcPr>
            <w:tcW w:w="1134" w:type="dxa"/>
            <w:tcBorders>
              <w:top w:val="nil"/>
              <w:left w:val="nil"/>
              <w:bottom w:val="single" w:sz="4" w:space="0" w:color="auto"/>
              <w:right w:val="single" w:sz="4" w:space="0" w:color="auto"/>
            </w:tcBorders>
            <w:shd w:val="clear" w:color="auto" w:fill="auto"/>
            <w:vAlign w:val="center"/>
            <w:hideMark/>
          </w:tcPr>
          <w:p w14:paraId="04CEB367"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1 008,3 </w:t>
            </w:r>
          </w:p>
        </w:tc>
        <w:tc>
          <w:tcPr>
            <w:tcW w:w="816" w:type="dxa"/>
            <w:tcBorders>
              <w:top w:val="nil"/>
              <w:left w:val="nil"/>
              <w:bottom w:val="single" w:sz="4" w:space="0" w:color="auto"/>
              <w:right w:val="double" w:sz="6" w:space="0" w:color="auto"/>
            </w:tcBorders>
            <w:shd w:val="clear" w:color="auto" w:fill="auto"/>
            <w:vAlign w:val="center"/>
            <w:hideMark/>
          </w:tcPr>
          <w:p w14:paraId="08C523E7"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14A43E58"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0D6A6B6D"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0702 "Общее образование",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46A7E4DA"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25 044,8 </w:t>
            </w:r>
          </w:p>
        </w:tc>
        <w:tc>
          <w:tcPr>
            <w:tcW w:w="1026" w:type="dxa"/>
            <w:tcBorders>
              <w:top w:val="nil"/>
              <w:left w:val="nil"/>
              <w:bottom w:val="single" w:sz="4" w:space="0" w:color="auto"/>
              <w:right w:val="single" w:sz="4" w:space="0" w:color="auto"/>
            </w:tcBorders>
            <w:shd w:val="clear" w:color="000000" w:fill="E1F7FF"/>
            <w:vAlign w:val="center"/>
            <w:hideMark/>
          </w:tcPr>
          <w:p w14:paraId="32035823"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29 471,2 </w:t>
            </w:r>
          </w:p>
        </w:tc>
        <w:tc>
          <w:tcPr>
            <w:tcW w:w="1134" w:type="dxa"/>
            <w:tcBorders>
              <w:top w:val="nil"/>
              <w:left w:val="nil"/>
              <w:bottom w:val="single" w:sz="4" w:space="0" w:color="auto"/>
              <w:right w:val="single" w:sz="4" w:space="0" w:color="auto"/>
            </w:tcBorders>
            <w:shd w:val="clear" w:color="000000" w:fill="E1F7FF"/>
            <w:vAlign w:val="center"/>
            <w:hideMark/>
          </w:tcPr>
          <w:p w14:paraId="4559017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4 426,4 </w:t>
            </w:r>
          </w:p>
        </w:tc>
        <w:tc>
          <w:tcPr>
            <w:tcW w:w="816" w:type="dxa"/>
            <w:tcBorders>
              <w:top w:val="nil"/>
              <w:left w:val="nil"/>
              <w:bottom w:val="single" w:sz="4" w:space="0" w:color="auto"/>
              <w:right w:val="double" w:sz="6" w:space="0" w:color="auto"/>
            </w:tcBorders>
            <w:shd w:val="clear" w:color="000000" w:fill="E1F7FF"/>
            <w:vAlign w:val="center"/>
            <w:hideMark/>
          </w:tcPr>
          <w:p w14:paraId="029B234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17,7 </w:t>
            </w:r>
          </w:p>
        </w:tc>
      </w:tr>
      <w:tr w:rsidR="00FD7B0B" w:rsidRPr="00FD7B0B" w14:paraId="79A226D9"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BF8859E"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субвенции бюджетам на реализацию образовательных программ</w:t>
            </w:r>
          </w:p>
        </w:tc>
        <w:tc>
          <w:tcPr>
            <w:tcW w:w="992" w:type="dxa"/>
            <w:tcBorders>
              <w:top w:val="nil"/>
              <w:left w:val="nil"/>
              <w:bottom w:val="single" w:sz="4" w:space="0" w:color="auto"/>
              <w:right w:val="single" w:sz="4" w:space="0" w:color="auto"/>
            </w:tcBorders>
            <w:shd w:val="clear" w:color="auto" w:fill="auto"/>
            <w:vAlign w:val="center"/>
            <w:hideMark/>
          </w:tcPr>
          <w:p w14:paraId="082AF277"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19 660,4 </w:t>
            </w:r>
          </w:p>
        </w:tc>
        <w:tc>
          <w:tcPr>
            <w:tcW w:w="1026" w:type="dxa"/>
            <w:tcBorders>
              <w:top w:val="nil"/>
              <w:left w:val="nil"/>
              <w:bottom w:val="single" w:sz="4" w:space="0" w:color="auto"/>
              <w:right w:val="single" w:sz="4" w:space="0" w:color="auto"/>
            </w:tcBorders>
            <w:shd w:val="clear" w:color="auto" w:fill="auto"/>
            <w:vAlign w:val="center"/>
            <w:hideMark/>
          </w:tcPr>
          <w:p w14:paraId="72A480A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21 229,8 </w:t>
            </w:r>
          </w:p>
        </w:tc>
        <w:tc>
          <w:tcPr>
            <w:tcW w:w="1134" w:type="dxa"/>
            <w:tcBorders>
              <w:top w:val="nil"/>
              <w:left w:val="nil"/>
              <w:bottom w:val="single" w:sz="4" w:space="0" w:color="auto"/>
              <w:right w:val="single" w:sz="4" w:space="0" w:color="auto"/>
            </w:tcBorders>
            <w:shd w:val="clear" w:color="auto" w:fill="auto"/>
            <w:vAlign w:val="center"/>
            <w:hideMark/>
          </w:tcPr>
          <w:p w14:paraId="2BE8035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1 569,4 </w:t>
            </w:r>
          </w:p>
        </w:tc>
        <w:tc>
          <w:tcPr>
            <w:tcW w:w="816" w:type="dxa"/>
            <w:tcBorders>
              <w:top w:val="nil"/>
              <w:left w:val="nil"/>
              <w:bottom w:val="single" w:sz="4" w:space="0" w:color="auto"/>
              <w:right w:val="double" w:sz="6" w:space="0" w:color="auto"/>
            </w:tcBorders>
            <w:shd w:val="clear" w:color="auto" w:fill="auto"/>
            <w:vAlign w:val="center"/>
            <w:hideMark/>
          </w:tcPr>
          <w:p w14:paraId="7ED62DA6"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8,0 </w:t>
            </w:r>
          </w:p>
        </w:tc>
      </w:tr>
      <w:tr w:rsidR="00FD7B0B" w:rsidRPr="00FD7B0B" w14:paraId="342CBCAA"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CB94240"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создание новых мест в общеобразовательных организациях</w:t>
            </w:r>
          </w:p>
        </w:tc>
        <w:tc>
          <w:tcPr>
            <w:tcW w:w="992" w:type="dxa"/>
            <w:tcBorders>
              <w:top w:val="nil"/>
              <w:left w:val="nil"/>
              <w:bottom w:val="single" w:sz="4" w:space="0" w:color="auto"/>
              <w:right w:val="single" w:sz="4" w:space="0" w:color="auto"/>
            </w:tcBorders>
            <w:shd w:val="clear" w:color="auto" w:fill="auto"/>
            <w:vAlign w:val="center"/>
            <w:hideMark/>
          </w:tcPr>
          <w:p w14:paraId="4A2F6EF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870,5 </w:t>
            </w:r>
          </w:p>
        </w:tc>
        <w:tc>
          <w:tcPr>
            <w:tcW w:w="1026" w:type="dxa"/>
            <w:tcBorders>
              <w:top w:val="nil"/>
              <w:left w:val="nil"/>
              <w:bottom w:val="single" w:sz="4" w:space="0" w:color="auto"/>
              <w:right w:val="single" w:sz="4" w:space="0" w:color="auto"/>
            </w:tcBorders>
            <w:shd w:val="clear" w:color="auto" w:fill="auto"/>
            <w:vAlign w:val="center"/>
            <w:hideMark/>
          </w:tcPr>
          <w:p w14:paraId="18C19C4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2 492,9 </w:t>
            </w:r>
          </w:p>
        </w:tc>
        <w:tc>
          <w:tcPr>
            <w:tcW w:w="1134" w:type="dxa"/>
            <w:tcBorders>
              <w:top w:val="nil"/>
              <w:left w:val="nil"/>
              <w:bottom w:val="single" w:sz="4" w:space="0" w:color="auto"/>
              <w:right w:val="single" w:sz="4" w:space="0" w:color="auto"/>
            </w:tcBorders>
            <w:shd w:val="clear" w:color="auto" w:fill="auto"/>
            <w:vAlign w:val="center"/>
            <w:hideMark/>
          </w:tcPr>
          <w:p w14:paraId="56961F3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1 622,4 </w:t>
            </w:r>
          </w:p>
        </w:tc>
        <w:tc>
          <w:tcPr>
            <w:tcW w:w="816" w:type="dxa"/>
            <w:tcBorders>
              <w:top w:val="nil"/>
              <w:left w:val="nil"/>
              <w:bottom w:val="single" w:sz="4" w:space="0" w:color="auto"/>
              <w:right w:val="double" w:sz="6" w:space="0" w:color="auto"/>
            </w:tcBorders>
            <w:shd w:val="clear" w:color="auto" w:fill="auto"/>
            <w:vAlign w:val="center"/>
            <w:hideMark/>
          </w:tcPr>
          <w:p w14:paraId="5839959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в 2,9 раза</w:t>
            </w:r>
          </w:p>
        </w:tc>
      </w:tr>
      <w:tr w:rsidR="00FD7B0B" w:rsidRPr="00FD7B0B" w14:paraId="49D32097"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34E946F"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ежемесячное денежное вознаграждение за классное руководство</w:t>
            </w:r>
          </w:p>
        </w:tc>
        <w:tc>
          <w:tcPr>
            <w:tcW w:w="992" w:type="dxa"/>
            <w:tcBorders>
              <w:top w:val="nil"/>
              <w:left w:val="nil"/>
              <w:bottom w:val="single" w:sz="4" w:space="0" w:color="auto"/>
              <w:right w:val="single" w:sz="4" w:space="0" w:color="auto"/>
            </w:tcBorders>
            <w:shd w:val="clear" w:color="auto" w:fill="auto"/>
            <w:vAlign w:val="center"/>
            <w:hideMark/>
          </w:tcPr>
          <w:p w14:paraId="68A13585"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870,7 </w:t>
            </w:r>
          </w:p>
        </w:tc>
        <w:tc>
          <w:tcPr>
            <w:tcW w:w="1026" w:type="dxa"/>
            <w:tcBorders>
              <w:top w:val="nil"/>
              <w:left w:val="nil"/>
              <w:bottom w:val="single" w:sz="4" w:space="0" w:color="auto"/>
              <w:right w:val="single" w:sz="4" w:space="0" w:color="auto"/>
            </w:tcBorders>
            <w:shd w:val="clear" w:color="auto" w:fill="auto"/>
            <w:vAlign w:val="center"/>
            <w:hideMark/>
          </w:tcPr>
          <w:p w14:paraId="0B8F2F4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1 276,9 </w:t>
            </w:r>
          </w:p>
        </w:tc>
        <w:tc>
          <w:tcPr>
            <w:tcW w:w="1134" w:type="dxa"/>
            <w:tcBorders>
              <w:top w:val="nil"/>
              <w:left w:val="nil"/>
              <w:bottom w:val="single" w:sz="4" w:space="0" w:color="auto"/>
              <w:right w:val="single" w:sz="4" w:space="0" w:color="auto"/>
            </w:tcBorders>
            <w:shd w:val="clear" w:color="auto" w:fill="auto"/>
            <w:vAlign w:val="center"/>
            <w:hideMark/>
          </w:tcPr>
          <w:p w14:paraId="0F16336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406,3 </w:t>
            </w:r>
          </w:p>
        </w:tc>
        <w:tc>
          <w:tcPr>
            <w:tcW w:w="816" w:type="dxa"/>
            <w:tcBorders>
              <w:top w:val="nil"/>
              <w:left w:val="nil"/>
              <w:bottom w:val="single" w:sz="4" w:space="0" w:color="auto"/>
              <w:right w:val="double" w:sz="6" w:space="0" w:color="auto"/>
            </w:tcBorders>
            <w:shd w:val="clear" w:color="auto" w:fill="auto"/>
            <w:vAlign w:val="center"/>
            <w:hideMark/>
          </w:tcPr>
          <w:p w14:paraId="61BDCFA0"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46,7 </w:t>
            </w:r>
          </w:p>
        </w:tc>
      </w:tr>
      <w:tr w:rsidR="00FD7B0B" w:rsidRPr="00FD7B0B" w14:paraId="13AFEEFA"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4396172C"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реализация мероприятий по модернизации школьных систем образования</w:t>
            </w:r>
          </w:p>
        </w:tc>
        <w:tc>
          <w:tcPr>
            <w:tcW w:w="992" w:type="dxa"/>
            <w:tcBorders>
              <w:top w:val="nil"/>
              <w:left w:val="nil"/>
              <w:bottom w:val="single" w:sz="4" w:space="0" w:color="auto"/>
              <w:right w:val="single" w:sz="4" w:space="0" w:color="auto"/>
            </w:tcBorders>
            <w:shd w:val="clear" w:color="auto" w:fill="auto"/>
            <w:vAlign w:val="center"/>
            <w:hideMark/>
          </w:tcPr>
          <w:p w14:paraId="7003D669"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813,4 </w:t>
            </w:r>
          </w:p>
        </w:tc>
        <w:tc>
          <w:tcPr>
            <w:tcW w:w="1026" w:type="dxa"/>
            <w:tcBorders>
              <w:top w:val="nil"/>
              <w:left w:val="nil"/>
              <w:bottom w:val="single" w:sz="4" w:space="0" w:color="auto"/>
              <w:right w:val="single" w:sz="4" w:space="0" w:color="auto"/>
            </w:tcBorders>
            <w:shd w:val="clear" w:color="auto" w:fill="auto"/>
            <w:vAlign w:val="center"/>
            <w:hideMark/>
          </w:tcPr>
          <w:p w14:paraId="5E457BC5"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1 351,4 </w:t>
            </w:r>
          </w:p>
        </w:tc>
        <w:tc>
          <w:tcPr>
            <w:tcW w:w="1134" w:type="dxa"/>
            <w:tcBorders>
              <w:top w:val="nil"/>
              <w:left w:val="nil"/>
              <w:bottom w:val="single" w:sz="4" w:space="0" w:color="auto"/>
              <w:right w:val="single" w:sz="4" w:space="0" w:color="auto"/>
            </w:tcBorders>
            <w:shd w:val="clear" w:color="auto" w:fill="auto"/>
            <w:vAlign w:val="center"/>
            <w:hideMark/>
          </w:tcPr>
          <w:p w14:paraId="2AAA17B3"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538,0 </w:t>
            </w:r>
          </w:p>
        </w:tc>
        <w:tc>
          <w:tcPr>
            <w:tcW w:w="816" w:type="dxa"/>
            <w:tcBorders>
              <w:top w:val="nil"/>
              <w:left w:val="nil"/>
              <w:bottom w:val="single" w:sz="4" w:space="0" w:color="auto"/>
              <w:right w:val="double" w:sz="6" w:space="0" w:color="auto"/>
            </w:tcBorders>
            <w:shd w:val="clear" w:color="auto" w:fill="auto"/>
            <w:vAlign w:val="center"/>
            <w:hideMark/>
          </w:tcPr>
          <w:p w14:paraId="5A5BED6A"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66,1 </w:t>
            </w:r>
          </w:p>
        </w:tc>
      </w:tr>
      <w:tr w:rsidR="00FD7B0B" w:rsidRPr="00FD7B0B" w14:paraId="264CE2C3"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5F6F9CC6"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0902 "Амбулаторная помощь",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57DE3B5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4 289,6 </w:t>
            </w:r>
          </w:p>
        </w:tc>
        <w:tc>
          <w:tcPr>
            <w:tcW w:w="1026" w:type="dxa"/>
            <w:tcBorders>
              <w:top w:val="nil"/>
              <w:left w:val="nil"/>
              <w:bottom w:val="single" w:sz="4" w:space="0" w:color="auto"/>
              <w:right w:val="single" w:sz="4" w:space="0" w:color="auto"/>
            </w:tcBorders>
            <w:shd w:val="clear" w:color="000000" w:fill="E1F7FF"/>
            <w:vAlign w:val="center"/>
            <w:hideMark/>
          </w:tcPr>
          <w:p w14:paraId="039813B0"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5 396,0 </w:t>
            </w:r>
          </w:p>
        </w:tc>
        <w:tc>
          <w:tcPr>
            <w:tcW w:w="1134" w:type="dxa"/>
            <w:tcBorders>
              <w:top w:val="nil"/>
              <w:left w:val="nil"/>
              <w:bottom w:val="single" w:sz="4" w:space="0" w:color="auto"/>
              <w:right w:val="single" w:sz="4" w:space="0" w:color="auto"/>
            </w:tcBorders>
            <w:shd w:val="clear" w:color="000000" w:fill="E1F7FF"/>
            <w:vAlign w:val="center"/>
            <w:hideMark/>
          </w:tcPr>
          <w:p w14:paraId="7C38038D"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1 106,4 </w:t>
            </w:r>
          </w:p>
        </w:tc>
        <w:tc>
          <w:tcPr>
            <w:tcW w:w="816" w:type="dxa"/>
            <w:tcBorders>
              <w:top w:val="nil"/>
              <w:left w:val="nil"/>
              <w:bottom w:val="single" w:sz="4" w:space="0" w:color="auto"/>
              <w:right w:val="double" w:sz="6" w:space="0" w:color="auto"/>
            </w:tcBorders>
            <w:shd w:val="clear" w:color="000000" w:fill="E1F7FF"/>
            <w:vAlign w:val="center"/>
            <w:hideMark/>
          </w:tcPr>
          <w:p w14:paraId="0BED366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25,8 </w:t>
            </w:r>
          </w:p>
        </w:tc>
      </w:tr>
      <w:tr w:rsidR="00FD7B0B" w:rsidRPr="00FD7B0B" w14:paraId="4CF484A1"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EA42868"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992" w:type="dxa"/>
            <w:tcBorders>
              <w:top w:val="nil"/>
              <w:left w:val="nil"/>
              <w:bottom w:val="single" w:sz="4" w:space="0" w:color="auto"/>
              <w:right w:val="single" w:sz="4" w:space="0" w:color="auto"/>
            </w:tcBorders>
            <w:shd w:val="clear" w:color="auto" w:fill="auto"/>
            <w:vAlign w:val="center"/>
            <w:hideMark/>
          </w:tcPr>
          <w:p w14:paraId="2AAF084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445,4 </w:t>
            </w:r>
          </w:p>
        </w:tc>
        <w:tc>
          <w:tcPr>
            <w:tcW w:w="1026" w:type="dxa"/>
            <w:tcBorders>
              <w:top w:val="nil"/>
              <w:left w:val="nil"/>
              <w:bottom w:val="single" w:sz="4" w:space="0" w:color="auto"/>
              <w:right w:val="single" w:sz="4" w:space="0" w:color="auto"/>
            </w:tcBorders>
            <w:shd w:val="clear" w:color="auto" w:fill="auto"/>
            <w:vAlign w:val="center"/>
            <w:hideMark/>
          </w:tcPr>
          <w:p w14:paraId="17DC83CD"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502,5 </w:t>
            </w:r>
          </w:p>
        </w:tc>
        <w:tc>
          <w:tcPr>
            <w:tcW w:w="1134" w:type="dxa"/>
            <w:tcBorders>
              <w:top w:val="nil"/>
              <w:left w:val="nil"/>
              <w:bottom w:val="single" w:sz="4" w:space="0" w:color="auto"/>
              <w:right w:val="single" w:sz="4" w:space="0" w:color="auto"/>
            </w:tcBorders>
            <w:shd w:val="clear" w:color="auto" w:fill="auto"/>
            <w:vAlign w:val="center"/>
            <w:hideMark/>
          </w:tcPr>
          <w:p w14:paraId="01B90F5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57,1 </w:t>
            </w:r>
          </w:p>
        </w:tc>
        <w:tc>
          <w:tcPr>
            <w:tcW w:w="816" w:type="dxa"/>
            <w:tcBorders>
              <w:top w:val="nil"/>
              <w:left w:val="nil"/>
              <w:bottom w:val="single" w:sz="4" w:space="0" w:color="auto"/>
              <w:right w:val="double" w:sz="6" w:space="0" w:color="auto"/>
            </w:tcBorders>
            <w:shd w:val="clear" w:color="auto" w:fill="auto"/>
            <w:vAlign w:val="center"/>
            <w:hideMark/>
          </w:tcPr>
          <w:p w14:paraId="338D409D"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12,8 </w:t>
            </w:r>
          </w:p>
        </w:tc>
      </w:tr>
      <w:tr w:rsidR="00FD7B0B" w:rsidRPr="00FD7B0B" w14:paraId="17E2E00A"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B90EACE"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обеспечение лекарственными препаратами, медицинскими изделиями и специализированными </w:t>
            </w:r>
            <w:r w:rsidRPr="00FD7B0B">
              <w:rPr>
                <w:rFonts w:ascii="Times New Roman" w:hAnsi="Times New Roman" w:cs="Times New Roman"/>
              </w:rPr>
              <w:lastRenderedPageBreak/>
              <w:t>продуктами лечебного питания отдельных групп населения</w:t>
            </w:r>
          </w:p>
        </w:tc>
        <w:tc>
          <w:tcPr>
            <w:tcW w:w="992" w:type="dxa"/>
            <w:tcBorders>
              <w:top w:val="nil"/>
              <w:left w:val="nil"/>
              <w:bottom w:val="single" w:sz="4" w:space="0" w:color="auto"/>
              <w:right w:val="single" w:sz="4" w:space="0" w:color="auto"/>
            </w:tcBorders>
            <w:shd w:val="clear" w:color="auto" w:fill="auto"/>
            <w:vAlign w:val="center"/>
            <w:hideMark/>
          </w:tcPr>
          <w:p w14:paraId="618CC44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lastRenderedPageBreak/>
              <w:t xml:space="preserve">2 219,5 </w:t>
            </w:r>
          </w:p>
        </w:tc>
        <w:tc>
          <w:tcPr>
            <w:tcW w:w="1026" w:type="dxa"/>
            <w:tcBorders>
              <w:top w:val="nil"/>
              <w:left w:val="nil"/>
              <w:bottom w:val="single" w:sz="4" w:space="0" w:color="auto"/>
              <w:right w:val="single" w:sz="4" w:space="0" w:color="auto"/>
            </w:tcBorders>
            <w:shd w:val="clear" w:color="auto" w:fill="auto"/>
            <w:vAlign w:val="center"/>
            <w:hideMark/>
          </w:tcPr>
          <w:p w14:paraId="70523FF7"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2 809,9 </w:t>
            </w:r>
          </w:p>
        </w:tc>
        <w:tc>
          <w:tcPr>
            <w:tcW w:w="1134" w:type="dxa"/>
            <w:tcBorders>
              <w:top w:val="nil"/>
              <w:left w:val="nil"/>
              <w:bottom w:val="single" w:sz="4" w:space="0" w:color="auto"/>
              <w:right w:val="single" w:sz="4" w:space="0" w:color="auto"/>
            </w:tcBorders>
            <w:shd w:val="clear" w:color="auto" w:fill="auto"/>
            <w:vAlign w:val="center"/>
            <w:hideMark/>
          </w:tcPr>
          <w:p w14:paraId="1E6CC9B7"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590,4 </w:t>
            </w:r>
          </w:p>
        </w:tc>
        <w:tc>
          <w:tcPr>
            <w:tcW w:w="816" w:type="dxa"/>
            <w:tcBorders>
              <w:top w:val="nil"/>
              <w:left w:val="nil"/>
              <w:bottom w:val="single" w:sz="4" w:space="0" w:color="auto"/>
              <w:right w:val="double" w:sz="6" w:space="0" w:color="auto"/>
            </w:tcBorders>
            <w:shd w:val="clear" w:color="auto" w:fill="auto"/>
            <w:vAlign w:val="center"/>
            <w:hideMark/>
          </w:tcPr>
          <w:p w14:paraId="4E83230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26,6 </w:t>
            </w:r>
          </w:p>
        </w:tc>
      </w:tr>
      <w:tr w:rsidR="00FD7B0B" w:rsidRPr="00FD7B0B" w14:paraId="4FE14ACC"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5B9B114"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реализация региональных программ модернизации первичного звена здравоохранения</w:t>
            </w:r>
          </w:p>
        </w:tc>
        <w:tc>
          <w:tcPr>
            <w:tcW w:w="992" w:type="dxa"/>
            <w:tcBorders>
              <w:top w:val="nil"/>
              <w:left w:val="nil"/>
              <w:bottom w:val="single" w:sz="4" w:space="0" w:color="auto"/>
              <w:right w:val="single" w:sz="4" w:space="0" w:color="auto"/>
            </w:tcBorders>
            <w:shd w:val="clear" w:color="auto" w:fill="auto"/>
            <w:vAlign w:val="center"/>
            <w:hideMark/>
          </w:tcPr>
          <w:p w14:paraId="6FCB371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586,0 </w:t>
            </w:r>
          </w:p>
        </w:tc>
        <w:tc>
          <w:tcPr>
            <w:tcW w:w="1026" w:type="dxa"/>
            <w:tcBorders>
              <w:top w:val="nil"/>
              <w:left w:val="nil"/>
              <w:bottom w:val="single" w:sz="4" w:space="0" w:color="auto"/>
              <w:right w:val="single" w:sz="4" w:space="0" w:color="auto"/>
            </w:tcBorders>
            <w:shd w:val="clear" w:color="auto" w:fill="auto"/>
            <w:vAlign w:val="center"/>
            <w:hideMark/>
          </w:tcPr>
          <w:p w14:paraId="620E2E46"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884,2 </w:t>
            </w:r>
          </w:p>
        </w:tc>
        <w:tc>
          <w:tcPr>
            <w:tcW w:w="1134" w:type="dxa"/>
            <w:tcBorders>
              <w:top w:val="nil"/>
              <w:left w:val="nil"/>
              <w:bottom w:val="single" w:sz="4" w:space="0" w:color="auto"/>
              <w:right w:val="single" w:sz="4" w:space="0" w:color="auto"/>
            </w:tcBorders>
            <w:shd w:val="clear" w:color="auto" w:fill="auto"/>
            <w:vAlign w:val="center"/>
            <w:hideMark/>
          </w:tcPr>
          <w:p w14:paraId="55120C1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298,3 </w:t>
            </w:r>
          </w:p>
        </w:tc>
        <w:tc>
          <w:tcPr>
            <w:tcW w:w="816" w:type="dxa"/>
            <w:tcBorders>
              <w:top w:val="nil"/>
              <w:left w:val="nil"/>
              <w:bottom w:val="single" w:sz="4" w:space="0" w:color="auto"/>
              <w:right w:val="double" w:sz="6" w:space="0" w:color="auto"/>
            </w:tcBorders>
            <w:shd w:val="clear" w:color="auto" w:fill="auto"/>
            <w:vAlign w:val="center"/>
            <w:hideMark/>
          </w:tcPr>
          <w:p w14:paraId="3065E3C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50,9 </w:t>
            </w:r>
          </w:p>
        </w:tc>
      </w:tr>
      <w:tr w:rsidR="00FD7B0B" w:rsidRPr="00FD7B0B" w14:paraId="1BC5F80E"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10FF62B5"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1003 "Социальное обеспечение населения",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307A712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18 723,5 </w:t>
            </w:r>
          </w:p>
        </w:tc>
        <w:tc>
          <w:tcPr>
            <w:tcW w:w="1026" w:type="dxa"/>
            <w:tcBorders>
              <w:top w:val="nil"/>
              <w:left w:val="nil"/>
              <w:bottom w:val="single" w:sz="4" w:space="0" w:color="auto"/>
              <w:right w:val="single" w:sz="4" w:space="0" w:color="auto"/>
            </w:tcBorders>
            <w:shd w:val="clear" w:color="000000" w:fill="E1F7FF"/>
            <w:vAlign w:val="center"/>
            <w:hideMark/>
          </w:tcPr>
          <w:p w14:paraId="6452BB6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20 638,1 </w:t>
            </w:r>
          </w:p>
        </w:tc>
        <w:tc>
          <w:tcPr>
            <w:tcW w:w="1134" w:type="dxa"/>
            <w:tcBorders>
              <w:top w:val="nil"/>
              <w:left w:val="nil"/>
              <w:bottom w:val="single" w:sz="4" w:space="0" w:color="auto"/>
              <w:right w:val="single" w:sz="4" w:space="0" w:color="auto"/>
            </w:tcBorders>
            <w:shd w:val="clear" w:color="000000" w:fill="E1F7FF"/>
            <w:vAlign w:val="center"/>
            <w:hideMark/>
          </w:tcPr>
          <w:p w14:paraId="54EB6183"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1 914,5 </w:t>
            </w:r>
          </w:p>
        </w:tc>
        <w:tc>
          <w:tcPr>
            <w:tcW w:w="816" w:type="dxa"/>
            <w:tcBorders>
              <w:top w:val="nil"/>
              <w:left w:val="nil"/>
              <w:bottom w:val="single" w:sz="4" w:space="0" w:color="auto"/>
              <w:right w:val="double" w:sz="6" w:space="0" w:color="auto"/>
            </w:tcBorders>
            <w:shd w:val="clear" w:color="000000" w:fill="E1F7FF"/>
            <w:vAlign w:val="center"/>
            <w:hideMark/>
          </w:tcPr>
          <w:p w14:paraId="6508C04B"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10,2 </w:t>
            </w:r>
          </w:p>
        </w:tc>
      </w:tr>
      <w:tr w:rsidR="00FD7B0B" w:rsidRPr="00FD7B0B" w14:paraId="73020D39"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4C9FFC3"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обеспечение мер социальной поддержки ветеранов труда, включая субсидии в связи с предоставлением льгот по проезду ветеранам труда на пассажирском железнодорожном транспорте общего пользования в пригородном сообщении</w:t>
            </w:r>
          </w:p>
        </w:tc>
        <w:tc>
          <w:tcPr>
            <w:tcW w:w="992" w:type="dxa"/>
            <w:tcBorders>
              <w:top w:val="nil"/>
              <w:left w:val="nil"/>
              <w:bottom w:val="single" w:sz="4" w:space="0" w:color="auto"/>
              <w:right w:val="single" w:sz="4" w:space="0" w:color="auto"/>
            </w:tcBorders>
            <w:shd w:val="clear" w:color="auto" w:fill="auto"/>
            <w:vAlign w:val="center"/>
            <w:hideMark/>
          </w:tcPr>
          <w:p w14:paraId="2465AB0B"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1 949,5 </w:t>
            </w:r>
          </w:p>
        </w:tc>
        <w:tc>
          <w:tcPr>
            <w:tcW w:w="1026" w:type="dxa"/>
            <w:tcBorders>
              <w:top w:val="nil"/>
              <w:left w:val="nil"/>
              <w:bottom w:val="single" w:sz="4" w:space="0" w:color="auto"/>
              <w:right w:val="single" w:sz="4" w:space="0" w:color="auto"/>
            </w:tcBorders>
            <w:shd w:val="clear" w:color="auto" w:fill="auto"/>
            <w:vAlign w:val="center"/>
            <w:hideMark/>
          </w:tcPr>
          <w:p w14:paraId="6B5F783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2 146,3 </w:t>
            </w:r>
          </w:p>
        </w:tc>
        <w:tc>
          <w:tcPr>
            <w:tcW w:w="1134" w:type="dxa"/>
            <w:tcBorders>
              <w:top w:val="nil"/>
              <w:left w:val="nil"/>
              <w:bottom w:val="single" w:sz="4" w:space="0" w:color="auto"/>
              <w:right w:val="single" w:sz="4" w:space="0" w:color="auto"/>
            </w:tcBorders>
            <w:shd w:val="clear" w:color="auto" w:fill="auto"/>
            <w:vAlign w:val="center"/>
            <w:hideMark/>
          </w:tcPr>
          <w:p w14:paraId="4894EC0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196,8 </w:t>
            </w:r>
          </w:p>
        </w:tc>
        <w:tc>
          <w:tcPr>
            <w:tcW w:w="816" w:type="dxa"/>
            <w:tcBorders>
              <w:top w:val="nil"/>
              <w:left w:val="nil"/>
              <w:bottom w:val="single" w:sz="4" w:space="0" w:color="auto"/>
              <w:right w:val="double" w:sz="6" w:space="0" w:color="auto"/>
            </w:tcBorders>
            <w:shd w:val="clear" w:color="auto" w:fill="auto"/>
            <w:vAlign w:val="center"/>
            <w:hideMark/>
          </w:tcPr>
          <w:p w14:paraId="142F3B49"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10,1 </w:t>
            </w:r>
          </w:p>
        </w:tc>
      </w:tr>
      <w:tr w:rsidR="00FD7B0B" w:rsidRPr="00FD7B0B" w14:paraId="2A541EA0"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0C23C45"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обязательное медицинское страхование неработающего населения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68EE096"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9 324,2 </w:t>
            </w:r>
          </w:p>
        </w:tc>
        <w:tc>
          <w:tcPr>
            <w:tcW w:w="1026" w:type="dxa"/>
            <w:tcBorders>
              <w:top w:val="nil"/>
              <w:left w:val="nil"/>
              <w:bottom w:val="single" w:sz="4" w:space="0" w:color="auto"/>
              <w:right w:val="single" w:sz="4" w:space="0" w:color="auto"/>
            </w:tcBorders>
            <w:shd w:val="clear" w:color="auto" w:fill="auto"/>
            <w:vAlign w:val="center"/>
            <w:hideMark/>
          </w:tcPr>
          <w:p w14:paraId="524A92D6"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9 990,9 </w:t>
            </w:r>
          </w:p>
        </w:tc>
        <w:tc>
          <w:tcPr>
            <w:tcW w:w="1134" w:type="dxa"/>
            <w:tcBorders>
              <w:top w:val="nil"/>
              <w:left w:val="nil"/>
              <w:bottom w:val="single" w:sz="4" w:space="0" w:color="auto"/>
              <w:right w:val="single" w:sz="4" w:space="0" w:color="auto"/>
            </w:tcBorders>
            <w:shd w:val="clear" w:color="auto" w:fill="auto"/>
            <w:vAlign w:val="center"/>
            <w:hideMark/>
          </w:tcPr>
          <w:p w14:paraId="11F00C5D"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666,7 </w:t>
            </w:r>
          </w:p>
        </w:tc>
        <w:tc>
          <w:tcPr>
            <w:tcW w:w="816" w:type="dxa"/>
            <w:tcBorders>
              <w:top w:val="nil"/>
              <w:left w:val="nil"/>
              <w:bottom w:val="single" w:sz="4" w:space="0" w:color="auto"/>
              <w:right w:val="double" w:sz="6" w:space="0" w:color="auto"/>
            </w:tcBorders>
            <w:shd w:val="clear" w:color="auto" w:fill="auto"/>
            <w:vAlign w:val="center"/>
            <w:hideMark/>
          </w:tcPr>
          <w:p w14:paraId="4116FF7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7,1 </w:t>
            </w:r>
          </w:p>
        </w:tc>
      </w:tr>
      <w:tr w:rsidR="00FD7B0B" w:rsidRPr="00FD7B0B" w14:paraId="0A9421E1"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827AD26"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единовременная денежная выплата военнослужащим и лицам, проходящим службу в войсках национальной гвардии РФ и имеющим специальное звание полиции, либо призванным на военную службу по мобилизации... принимающим участие в специальной военной операции, а также членам их семей</w:t>
            </w:r>
          </w:p>
        </w:tc>
        <w:tc>
          <w:tcPr>
            <w:tcW w:w="992" w:type="dxa"/>
            <w:tcBorders>
              <w:top w:val="nil"/>
              <w:left w:val="nil"/>
              <w:bottom w:val="single" w:sz="4" w:space="0" w:color="auto"/>
              <w:right w:val="single" w:sz="4" w:space="0" w:color="auto"/>
            </w:tcBorders>
            <w:shd w:val="clear" w:color="auto" w:fill="auto"/>
            <w:vAlign w:val="center"/>
            <w:hideMark/>
          </w:tcPr>
          <w:p w14:paraId="252A8085"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912,0 </w:t>
            </w:r>
          </w:p>
        </w:tc>
        <w:tc>
          <w:tcPr>
            <w:tcW w:w="1026" w:type="dxa"/>
            <w:tcBorders>
              <w:top w:val="nil"/>
              <w:left w:val="nil"/>
              <w:bottom w:val="single" w:sz="4" w:space="0" w:color="auto"/>
              <w:right w:val="single" w:sz="4" w:space="0" w:color="auto"/>
            </w:tcBorders>
            <w:shd w:val="clear" w:color="auto" w:fill="auto"/>
            <w:vAlign w:val="center"/>
            <w:hideMark/>
          </w:tcPr>
          <w:p w14:paraId="6A912F9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2 329,4 </w:t>
            </w:r>
          </w:p>
        </w:tc>
        <w:tc>
          <w:tcPr>
            <w:tcW w:w="1134" w:type="dxa"/>
            <w:tcBorders>
              <w:top w:val="nil"/>
              <w:left w:val="nil"/>
              <w:bottom w:val="single" w:sz="4" w:space="0" w:color="auto"/>
              <w:right w:val="single" w:sz="4" w:space="0" w:color="auto"/>
            </w:tcBorders>
            <w:shd w:val="clear" w:color="auto" w:fill="auto"/>
            <w:vAlign w:val="center"/>
            <w:hideMark/>
          </w:tcPr>
          <w:p w14:paraId="5EDB229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1 417,4 </w:t>
            </w:r>
          </w:p>
        </w:tc>
        <w:tc>
          <w:tcPr>
            <w:tcW w:w="816" w:type="dxa"/>
            <w:tcBorders>
              <w:top w:val="nil"/>
              <w:left w:val="nil"/>
              <w:bottom w:val="single" w:sz="4" w:space="0" w:color="auto"/>
              <w:right w:val="double" w:sz="6" w:space="0" w:color="auto"/>
            </w:tcBorders>
            <w:shd w:val="clear" w:color="auto" w:fill="auto"/>
            <w:vAlign w:val="center"/>
            <w:hideMark/>
          </w:tcPr>
          <w:p w14:paraId="17CC1025"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в 2,6 раза</w:t>
            </w:r>
          </w:p>
        </w:tc>
      </w:tr>
      <w:tr w:rsidR="00FD7B0B" w:rsidRPr="00FD7B0B" w14:paraId="2E98F4AE" w14:textId="77777777" w:rsidTr="00E34E51">
        <w:trPr>
          <w:trHeight w:val="255"/>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6FE45E52"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1004 "Охрана семьи и детства",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270368BA"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6 262,7 </w:t>
            </w:r>
          </w:p>
        </w:tc>
        <w:tc>
          <w:tcPr>
            <w:tcW w:w="1026" w:type="dxa"/>
            <w:tcBorders>
              <w:top w:val="nil"/>
              <w:left w:val="nil"/>
              <w:bottom w:val="single" w:sz="4" w:space="0" w:color="auto"/>
              <w:right w:val="single" w:sz="4" w:space="0" w:color="auto"/>
            </w:tcBorders>
            <w:shd w:val="clear" w:color="000000" w:fill="E1F7FF"/>
            <w:vAlign w:val="center"/>
            <w:hideMark/>
          </w:tcPr>
          <w:p w14:paraId="48D561A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4 968,0 </w:t>
            </w:r>
          </w:p>
        </w:tc>
        <w:tc>
          <w:tcPr>
            <w:tcW w:w="1134" w:type="dxa"/>
            <w:tcBorders>
              <w:top w:val="nil"/>
              <w:left w:val="nil"/>
              <w:bottom w:val="single" w:sz="4" w:space="0" w:color="auto"/>
              <w:right w:val="single" w:sz="4" w:space="0" w:color="auto"/>
            </w:tcBorders>
            <w:shd w:val="clear" w:color="000000" w:fill="E1F7FF"/>
            <w:vAlign w:val="center"/>
            <w:hideMark/>
          </w:tcPr>
          <w:p w14:paraId="3D0FA1A7"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-1 294,7 </w:t>
            </w:r>
          </w:p>
        </w:tc>
        <w:tc>
          <w:tcPr>
            <w:tcW w:w="816" w:type="dxa"/>
            <w:tcBorders>
              <w:top w:val="nil"/>
              <w:left w:val="nil"/>
              <w:bottom w:val="single" w:sz="4" w:space="0" w:color="auto"/>
              <w:right w:val="double" w:sz="6" w:space="0" w:color="auto"/>
            </w:tcBorders>
            <w:shd w:val="clear" w:color="000000" w:fill="E1F7FF"/>
            <w:vAlign w:val="center"/>
            <w:hideMark/>
          </w:tcPr>
          <w:p w14:paraId="1BB94BAD"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-20,7 </w:t>
            </w:r>
          </w:p>
        </w:tc>
      </w:tr>
      <w:tr w:rsidR="00FD7B0B" w:rsidRPr="00FD7B0B" w14:paraId="1E6D3360"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CEF7FF8"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осуществление ежемесячных выплат на детей в возрасте от 3 до 7 лет включительно</w:t>
            </w:r>
          </w:p>
        </w:tc>
        <w:tc>
          <w:tcPr>
            <w:tcW w:w="992" w:type="dxa"/>
            <w:tcBorders>
              <w:top w:val="nil"/>
              <w:left w:val="nil"/>
              <w:bottom w:val="single" w:sz="4" w:space="0" w:color="auto"/>
              <w:right w:val="single" w:sz="4" w:space="0" w:color="auto"/>
            </w:tcBorders>
            <w:shd w:val="clear" w:color="auto" w:fill="auto"/>
            <w:vAlign w:val="center"/>
            <w:hideMark/>
          </w:tcPr>
          <w:p w14:paraId="4B0D0EE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1 365,0 </w:t>
            </w:r>
          </w:p>
        </w:tc>
        <w:tc>
          <w:tcPr>
            <w:tcW w:w="1026" w:type="dxa"/>
            <w:tcBorders>
              <w:top w:val="nil"/>
              <w:left w:val="nil"/>
              <w:bottom w:val="single" w:sz="4" w:space="0" w:color="auto"/>
              <w:right w:val="single" w:sz="4" w:space="0" w:color="auto"/>
            </w:tcBorders>
            <w:shd w:val="clear" w:color="auto" w:fill="auto"/>
            <w:vAlign w:val="center"/>
            <w:hideMark/>
          </w:tcPr>
          <w:p w14:paraId="4F00BA0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4" w:type="dxa"/>
            <w:tcBorders>
              <w:top w:val="nil"/>
              <w:left w:val="nil"/>
              <w:bottom w:val="single" w:sz="4" w:space="0" w:color="auto"/>
              <w:right w:val="single" w:sz="4" w:space="0" w:color="auto"/>
            </w:tcBorders>
            <w:shd w:val="clear" w:color="auto" w:fill="auto"/>
            <w:vAlign w:val="center"/>
            <w:hideMark/>
          </w:tcPr>
          <w:p w14:paraId="69ECCA9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-1 365,0 </w:t>
            </w:r>
          </w:p>
        </w:tc>
        <w:tc>
          <w:tcPr>
            <w:tcW w:w="816" w:type="dxa"/>
            <w:tcBorders>
              <w:top w:val="nil"/>
              <w:left w:val="nil"/>
              <w:bottom w:val="single" w:sz="4" w:space="0" w:color="auto"/>
              <w:right w:val="double" w:sz="6" w:space="0" w:color="auto"/>
            </w:tcBorders>
            <w:shd w:val="clear" w:color="auto" w:fill="auto"/>
            <w:vAlign w:val="center"/>
            <w:hideMark/>
          </w:tcPr>
          <w:p w14:paraId="3C26252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708284E4"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E589F4C"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субвенции бюджету Фонда пенсионного и социального страхования РФ на выплату ежемесячного пособия в связи с рождением и воспитанием ребенка</w:t>
            </w:r>
          </w:p>
        </w:tc>
        <w:tc>
          <w:tcPr>
            <w:tcW w:w="992" w:type="dxa"/>
            <w:tcBorders>
              <w:top w:val="nil"/>
              <w:left w:val="nil"/>
              <w:bottom w:val="single" w:sz="4" w:space="0" w:color="auto"/>
              <w:right w:val="single" w:sz="4" w:space="0" w:color="auto"/>
            </w:tcBorders>
            <w:shd w:val="clear" w:color="auto" w:fill="auto"/>
            <w:vAlign w:val="center"/>
            <w:hideMark/>
          </w:tcPr>
          <w:p w14:paraId="08E4140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687,2 </w:t>
            </w:r>
          </w:p>
        </w:tc>
        <w:tc>
          <w:tcPr>
            <w:tcW w:w="1026" w:type="dxa"/>
            <w:tcBorders>
              <w:top w:val="nil"/>
              <w:left w:val="nil"/>
              <w:bottom w:val="single" w:sz="4" w:space="0" w:color="auto"/>
              <w:right w:val="single" w:sz="4" w:space="0" w:color="auto"/>
            </w:tcBorders>
            <w:shd w:val="clear" w:color="auto" w:fill="auto"/>
            <w:vAlign w:val="center"/>
            <w:hideMark/>
          </w:tcPr>
          <w:p w14:paraId="30E04BB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1 038,4 </w:t>
            </w:r>
          </w:p>
        </w:tc>
        <w:tc>
          <w:tcPr>
            <w:tcW w:w="1134" w:type="dxa"/>
            <w:tcBorders>
              <w:top w:val="nil"/>
              <w:left w:val="nil"/>
              <w:bottom w:val="single" w:sz="4" w:space="0" w:color="auto"/>
              <w:right w:val="single" w:sz="4" w:space="0" w:color="auto"/>
            </w:tcBorders>
            <w:shd w:val="clear" w:color="auto" w:fill="auto"/>
            <w:vAlign w:val="center"/>
            <w:hideMark/>
          </w:tcPr>
          <w:p w14:paraId="27C4C3A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351,2 </w:t>
            </w:r>
          </w:p>
        </w:tc>
        <w:tc>
          <w:tcPr>
            <w:tcW w:w="816" w:type="dxa"/>
            <w:tcBorders>
              <w:top w:val="nil"/>
              <w:left w:val="nil"/>
              <w:bottom w:val="single" w:sz="4" w:space="0" w:color="auto"/>
              <w:right w:val="double" w:sz="6" w:space="0" w:color="auto"/>
            </w:tcBorders>
            <w:shd w:val="clear" w:color="auto" w:fill="auto"/>
            <w:vAlign w:val="center"/>
            <w:hideMark/>
          </w:tcPr>
          <w:p w14:paraId="4291DAC5"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51,1 </w:t>
            </w:r>
          </w:p>
        </w:tc>
      </w:tr>
      <w:tr w:rsidR="00FD7B0B" w:rsidRPr="00FD7B0B" w14:paraId="65D738F9" w14:textId="77777777" w:rsidTr="00E34E51">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A310A0D"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992" w:type="dxa"/>
            <w:tcBorders>
              <w:top w:val="nil"/>
              <w:left w:val="nil"/>
              <w:bottom w:val="single" w:sz="4" w:space="0" w:color="auto"/>
              <w:right w:val="single" w:sz="4" w:space="0" w:color="auto"/>
            </w:tcBorders>
            <w:shd w:val="clear" w:color="auto" w:fill="auto"/>
            <w:vAlign w:val="center"/>
            <w:hideMark/>
          </w:tcPr>
          <w:p w14:paraId="265B6BD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661,8 </w:t>
            </w:r>
          </w:p>
        </w:tc>
        <w:tc>
          <w:tcPr>
            <w:tcW w:w="1026" w:type="dxa"/>
            <w:tcBorders>
              <w:top w:val="nil"/>
              <w:left w:val="nil"/>
              <w:bottom w:val="single" w:sz="4" w:space="0" w:color="auto"/>
              <w:right w:val="single" w:sz="4" w:space="0" w:color="auto"/>
            </w:tcBorders>
            <w:shd w:val="clear" w:color="auto" w:fill="auto"/>
            <w:vAlign w:val="center"/>
            <w:hideMark/>
          </w:tcPr>
          <w:p w14:paraId="1C45E0A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339,4 </w:t>
            </w:r>
          </w:p>
        </w:tc>
        <w:tc>
          <w:tcPr>
            <w:tcW w:w="1134" w:type="dxa"/>
            <w:tcBorders>
              <w:top w:val="nil"/>
              <w:left w:val="nil"/>
              <w:bottom w:val="single" w:sz="4" w:space="0" w:color="auto"/>
              <w:right w:val="single" w:sz="4" w:space="0" w:color="auto"/>
            </w:tcBorders>
            <w:shd w:val="clear" w:color="auto" w:fill="auto"/>
            <w:vAlign w:val="center"/>
            <w:hideMark/>
          </w:tcPr>
          <w:p w14:paraId="3FC7C7D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-322,4 </w:t>
            </w:r>
          </w:p>
        </w:tc>
        <w:tc>
          <w:tcPr>
            <w:tcW w:w="816" w:type="dxa"/>
            <w:tcBorders>
              <w:top w:val="nil"/>
              <w:left w:val="nil"/>
              <w:bottom w:val="single" w:sz="4" w:space="0" w:color="auto"/>
              <w:right w:val="double" w:sz="6" w:space="0" w:color="auto"/>
            </w:tcBorders>
            <w:shd w:val="clear" w:color="auto" w:fill="auto"/>
            <w:vAlign w:val="center"/>
            <w:hideMark/>
          </w:tcPr>
          <w:p w14:paraId="6E4B9D1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-48,7 </w:t>
            </w:r>
          </w:p>
        </w:tc>
      </w:tr>
      <w:tr w:rsidR="00FD7B0B" w:rsidRPr="00FD7B0B" w14:paraId="3CC41296"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0CB1A7C3" w14:textId="29D65EF8"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1301 "Обслуживание государственного (муниципального) вн</w:t>
            </w:r>
            <w:r w:rsidR="00845142" w:rsidRPr="00FD7B0B">
              <w:rPr>
                <w:rFonts w:ascii="Times New Roman" w:hAnsi="Times New Roman" w:cs="Times New Roman"/>
              </w:rPr>
              <w:t>утреннего долга"</w:t>
            </w:r>
          </w:p>
        </w:tc>
        <w:tc>
          <w:tcPr>
            <w:tcW w:w="992" w:type="dxa"/>
            <w:tcBorders>
              <w:top w:val="nil"/>
              <w:left w:val="nil"/>
              <w:bottom w:val="single" w:sz="4" w:space="0" w:color="auto"/>
              <w:right w:val="single" w:sz="4" w:space="0" w:color="auto"/>
            </w:tcBorders>
            <w:shd w:val="clear" w:color="000000" w:fill="E1F7FF"/>
            <w:vAlign w:val="center"/>
            <w:hideMark/>
          </w:tcPr>
          <w:p w14:paraId="167DAE9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601,1 </w:t>
            </w:r>
          </w:p>
        </w:tc>
        <w:tc>
          <w:tcPr>
            <w:tcW w:w="1026" w:type="dxa"/>
            <w:tcBorders>
              <w:top w:val="nil"/>
              <w:left w:val="nil"/>
              <w:bottom w:val="single" w:sz="4" w:space="0" w:color="auto"/>
              <w:right w:val="single" w:sz="4" w:space="0" w:color="auto"/>
            </w:tcBorders>
            <w:shd w:val="clear" w:color="000000" w:fill="E1F7FF"/>
            <w:vAlign w:val="center"/>
            <w:hideMark/>
          </w:tcPr>
          <w:p w14:paraId="6EA0C7E0"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4 349,4 </w:t>
            </w:r>
          </w:p>
        </w:tc>
        <w:tc>
          <w:tcPr>
            <w:tcW w:w="1134" w:type="dxa"/>
            <w:tcBorders>
              <w:top w:val="nil"/>
              <w:left w:val="nil"/>
              <w:bottom w:val="single" w:sz="4" w:space="0" w:color="auto"/>
              <w:right w:val="single" w:sz="4" w:space="0" w:color="auto"/>
            </w:tcBorders>
            <w:shd w:val="clear" w:color="000000" w:fill="E1F7FF"/>
            <w:vAlign w:val="center"/>
            <w:hideMark/>
          </w:tcPr>
          <w:p w14:paraId="2920CC7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3 748,3 </w:t>
            </w:r>
          </w:p>
        </w:tc>
        <w:tc>
          <w:tcPr>
            <w:tcW w:w="816" w:type="dxa"/>
            <w:tcBorders>
              <w:top w:val="nil"/>
              <w:left w:val="nil"/>
              <w:bottom w:val="single" w:sz="4" w:space="0" w:color="auto"/>
              <w:right w:val="double" w:sz="6" w:space="0" w:color="auto"/>
            </w:tcBorders>
            <w:shd w:val="clear" w:color="000000" w:fill="E1F7FF"/>
            <w:vAlign w:val="center"/>
            <w:hideMark/>
          </w:tcPr>
          <w:p w14:paraId="6A50E73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в 7,2 раза</w:t>
            </w:r>
          </w:p>
        </w:tc>
      </w:tr>
      <w:tr w:rsidR="00FD7B0B" w:rsidRPr="00FD7B0B" w14:paraId="66520547"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05E52EBB"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1402 "Иные дотации",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443E7F3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152,3 </w:t>
            </w:r>
          </w:p>
        </w:tc>
        <w:tc>
          <w:tcPr>
            <w:tcW w:w="1026" w:type="dxa"/>
            <w:tcBorders>
              <w:top w:val="nil"/>
              <w:left w:val="nil"/>
              <w:bottom w:val="single" w:sz="4" w:space="0" w:color="auto"/>
              <w:right w:val="single" w:sz="4" w:space="0" w:color="auto"/>
            </w:tcBorders>
            <w:shd w:val="clear" w:color="000000" w:fill="E1F7FF"/>
            <w:vAlign w:val="center"/>
            <w:hideMark/>
          </w:tcPr>
          <w:p w14:paraId="2CA3658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6 396,3 </w:t>
            </w:r>
          </w:p>
        </w:tc>
        <w:tc>
          <w:tcPr>
            <w:tcW w:w="1134" w:type="dxa"/>
            <w:tcBorders>
              <w:top w:val="nil"/>
              <w:left w:val="nil"/>
              <w:bottom w:val="single" w:sz="4" w:space="0" w:color="auto"/>
              <w:right w:val="single" w:sz="4" w:space="0" w:color="auto"/>
            </w:tcBorders>
            <w:shd w:val="clear" w:color="000000" w:fill="E1F7FF"/>
            <w:vAlign w:val="center"/>
            <w:hideMark/>
          </w:tcPr>
          <w:p w14:paraId="137AD240"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6 244,0 </w:t>
            </w:r>
          </w:p>
        </w:tc>
        <w:tc>
          <w:tcPr>
            <w:tcW w:w="816" w:type="dxa"/>
            <w:tcBorders>
              <w:top w:val="nil"/>
              <w:left w:val="nil"/>
              <w:bottom w:val="single" w:sz="4" w:space="0" w:color="auto"/>
              <w:right w:val="double" w:sz="6" w:space="0" w:color="auto"/>
            </w:tcBorders>
            <w:shd w:val="clear" w:color="000000" w:fill="E1F7FF"/>
            <w:vAlign w:val="center"/>
            <w:hideMark/>
          </w:tcPr>
          <w:p w14:paraId="69E08B6F"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в 42,0 раза</w:t>
            </w:r>
          </w:p>
        </w:tc>
      </w:tr>
      <w:tr w:rsidR="00FD7B0B" w:rsidRPr="00FD7B0B" w14:paraId="22AA0433" w14:textId="77777777" w:rsidTr="00E34E51">
        <w:trPr>
          <w:trHeight w:val="51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3A15A78"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дотации бюджетам на поддержку мер по обеспечению сбалансированности местных бюджетов</w:t>
            </w:r>
          </w:p>
        </w:tc>
        <w:tc>
          <w:tcPr>
            <w:tcW w:w="992" w:type="dxa"/>
            <w:tcBorders>
              <w:top w:val="nil"/>
              <w:left w:val="nil"/>
              <w:bottom w:val="single" w:sz="4" w:space="0" w:color="auto"/>
              <w:right w:val="single" w:sz="4" w:space="0" w:color="auto"/>
            </w:tcBorders>
            <w:shd w:val="clear" w:color="auto" w:fill="auto"/>
            <w:vAlign w:val="center"/>
            <w:hideMark/>
          </w:tcPr>
          <w:p w14:paraId="10189A1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26" w:type="dxa"/>
            <w:tcBorders>
              <w:top w:val="nil"/>
              <w:left w:val="nil"/>
              <w:bottom w:val="single" w:sz="4" w:space="0" w:color="auto"/>
              <w:right w:val="single" w:sz="4" w:space="0" w:color="auto"/>
            </w:tcBorders>
            <w:shd w:val="clear" w:color="auto" w:fill="auto"/>
            <w:vAlign w:val="center"/>
            <w:hideMark/>
          </w:tcPr>
          <w:p w14:paraId="1ADC3EC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6 253,1 </w:t>
            </w:r>
          </w:p>
        </w:tc>
        <w:tc>
          <w:tcPr>
            <w:tcW w:w="1134" w:type="dxa"/>
            <w:tcBorders>
              <w:top w:val="nil"/>
              <w:left w:val="nil"/>
              <w:bottom w:val="single" w:sz="4" w:space="0" w:color="auto"/>
              <w:right w:val="single" w:sz="4" w:space="0" w:color="auto"/>
            </w:tcBorders>
            <w:shd w:val="clear" w:color="auto" w:fill="auto"/>
            <w:vAlign w:val="center"/>
            <w:hideMark/>
          </w:tcPr>
          <w:p w14:paraId="0E61D4CE"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6 253,1 </w:t>
            </w:r>
          </w:p>
        </w:tc>
        <w:tc>
          <w:tcPr>
            <w:tcW w:w="816" w:type="dxa"/>
            <w:tcBorders>
              <w:top w:val="nil"/>
              <w:left w:val="nil"/>
              <w:bottom w:val="single" w:sz="4" w:space="0" w:color="auto"/>
              <w:right w:val="double" w:sz="6" w:space="0" w:color="auto"/>
            </w:tcBorders>
            <w:shd w:val="clear" w:color="auto" w:fill="auto"/>
            <w:vAlign w:val="center"/>
            <w:hideMark/>
          </w:tcPr>
          <w:p w14:paraId="5A2D9B4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29B36760" w14:textId="77777777" w:rsidTr="00E34E51">
        <w:trPr>
          <w:trHeight w:val="70"/>
        </w:trPr>
        <w:tc>
          <w:tcPr>
            <w:tcW w:w="5789" w:type="dxa"/>
            <w:tcBorders>
              <w:top w:val="nil"/>
              <w:left w:val="double" w:sz="6" w:space="0" w:color="auto"/>
              <w:bottom w:val="single" w:sz="4" w:space="0" w:color="auto"/>
              <w:right w:val="single" w:sz="4" w:space="0" w:color="auto"/>
            </w:tcBorders>
            <w:shd w:val="clear" w:color="000000" w:fill="E1F7FF"/>
            <w:vAlign w:val="center"/>
            <w:hideMark/>
          </w:tcPr>
          <w:p w14:paraId="6F6FEE78"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Подраздел 1403 "Прочие межбюджетные трансферты общего характера",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341C588C"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6 168,7 </w:t>
            </w:r>
          </w:p>
        </w:tc>
        <w:tc>
          <w:tcPr>
            <w:tcW w:w="1026" w:type="dxa"/>
            <w:tcBorders>
              <w:top w:val="nil"/>
              <w:left w:val="nil"/>
              <w:bottom w:val="single" w:sz="4" w:space="0" w:color="auto"/>
              <w:right w:val="single" w:sz="4" w:space="0" w:color="auto"/>
            </w:tcBorders>
            <w:shd w:val="clear" w:color="000000" w:fill="E1F7FF"/>
            <w:vAlign w:val="center"/>
            <w:hideMark/>
          </w:tcPr>
          <w:p w14:paraId="3E7DBC84"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37,7 </w:t>
            </w:r>
          </w:p>
        </w:tc>
        <w:tc>
          <w:tcPr>
            <w:tcW w:w="1134" w:type="dxa"/>
            <w:tcBorders>
              <w:top w:val="nil"/>
              <w:left w:val="nil"/>
              <w:bottom w:val="single" w:sz="4" w:space="0" w:color="auto"/>
              <w:right w:val="single" w:sz="4" w:space="0" w:color="auto"/>
            </w:tcBorders>
            <w:shd w:val="clear" w:color="000000" w:fill="E1F7FF"/>
            <w:vAlign w:val="center"/>
            <w:hideMark/>
          </w:tcPr>
          <w:p w14:paraId="78B5DCA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-6 131,0 </w:t>
            </w:r>
          </w:p>
        </w:tc>
        <w:tc>
          <w:tcPr>
            <w:tcW w:w="816" w:type="dxa"/>
            <w:tcBorders>
              <w:top w:val="nil"/>
              <w:left w:val="nil"/>
              <w:bottom w:val="single" w:sz="4" w:space="0" w:color="auto"/>
              <w:right w:val="double" w:sz="6" w:space="0" w:color="auto"/>
            </w:tcBorders>
            <w:shd w:val="clear" w:color="000000" w:fill="E1F7FF"/>
            <w:vAlign w:val="center"/>
            <w:hideMark/>
          </w:tcPr>
          <w:p w14:paraId="73DE1408"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-99,4 </w:t>
            </w:r>
          </w:p>
        </w:tc>
      </w:tr>
      <w:tr w:rsidR="0041599B" w:rsidRPr="00FD7B0B" w14:paraId="120D0C74" w14:textId="77777777" w:rsidTr="00E34E51">
        <w:trPr>
          <w:trHeight w:val="62"/>
        </w:trPr>
        <w:tc>
          <w:tcPr>
            <w:tcW w:w="5789" w:type="dxa"/>
            <w:tcBorders>
              <w:top w:val="nil"/>
              <w:left w:val="double" w:sz="6" w:space="0" w:color="auto"/>
              <w:bottom w:val="double" w:sz="6" w:space="0" w:color="auto"/>
              <w:right w:val="single" w:sz="4" w:space="0" w:color="auto"/>
            </w:tcBorders>
            <w:shd w:val="clear" w:color="auto" w:fill="auto"/>
            <w:vAlign w:val="center"/>
            <w:hideMark/>
          </w:tcPr>
          <w:p w14:paraId="62919A13" w14:textId="77777777" w:rsidR="0041599B" w:rsidRPr="00FD7B0B" w:rsidRDefault="0041599B" w:rsidP="00E34E51">
            <w:pPr>
              <w:spacing w:after="0" w:line="240" w:lineRule="auto"/>
              <w:rPr>
                <w:rFonts w:ascii="Times New Roman" w:hAnsi="Times New Roman" w:cs="Times New Roman"/>
              </w:rPr>
            </w:pPr>
            <w:r w:rsidRPr="00FD7B0B">
              <w:rPr>
                <w:rFonts w:ascii="Times New Roman" w:hAnsi="Times New Roman" w:cs="Times New Roman"/>
              </w:rPr>
              <w:t xml:space="preserve"> - софинансирование вопросов местного значения</w:t>
            </w:r>
          </w:p>
        </w:tc>
        <w:tc>
          <w:tcPr>
            <w:tcW w:w="992" w:type="dxa"/>
            <w:tcBorders>
              <w:top w:val="nil"/>
              <w:left w:val="nil"/>
              <w:bottom w:val="double" w:sz="6" w:space="0" w:color="auto"/>
              <w:right w:val="single" w:sz="4" w:space="0" w:color="auto"/>
            </w:tcBorders>
            <w:shd w:val="clear" w:color="auto" w:fill="auto"/>
            <w:vAlign w:val="center"/>
            <w:hideMark/>
          </w:tcPr>
          <w:p w14:paraId="06D0C0B2"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6 101,1 </w:t>
            </w:r>
          </w:p>
        </w:tc>
        <w:tc>
          <w:tcPr>
            <w:tcW w:w="1026" w:type="dxa"/>
            <w:tcBorders>
              <w:top w:val="nil"/>
              <w:left w:val="nil"/>
              <w:bottom w:val="double" w:sz="6" w:space="0" w:color="auto"/>
              <w:right w:val="single" w:sz="4" w:space="0" w:color="auto"/>
            </w:tcBorders>
            <w:shd w:val="clear" w:color="auto" w:fill="auto"/>
            <w:vAlign w:val="center"/>
            <w:hideMark/>
          </w:tcPr>
          <w:p w14:paraId="117D0E76"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4" w:type="dxa"/>
            <w:tcBorders>
              <w:top w:val="nil"/>
              <w:left w:val="nil"/>
              <w:bottom w:val="double" w:sz="6" w:space="0" w:color="auto"/>
              <w:right w:val="single" w:sz="4" w:space="0" w:color="auto"/>
            </w:tcBorders>
            <w:shd w:val="clear" w:color="auto" w:fill="auto"/>
            <w:vAlign w:val="center"/>
            <w:hideMark/>
          </w:tcPr>
          <w:p w14:paraId="05A07546"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-6 101,1 </w:t>
            </w:r>
          </w:p>
        </w:tc>
        <w:tc>
          <w:tcPr>
            <w:tcW w:w="816" w:type="dxa"/>
            <w:tcBorders>
              <w:top w:val="nil"/>
              <w:left w:val="nil"/>
              <w:bottom w:val="double" w:sz="6" w:space="0" w:color="auto"/>
              <w:right w:val="double" w:sz="6" w:space="0" w:color="auto"/>
            </w:tcBorders>
            <w:shd w:val="clear" w:color="auto" w:fill="auto"/>
            <w:vAlign w:val="center"/>
            <w:hideMark/>
          </w:tcPr>
          <w:p w14:paraId="77BFBEF1" w14:textId="77777777" w:rsidR="0041599B" w:rsidRPr="00FD7B0B" w:rsidRDefault="0041599B" w:rsidP="00E34E51">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bl>
    <w:p w14:paraId="19A37D02" w14:textId="77777777" w:rsidR="0041599B" w:rsidRPr="00FD7B0B" w:rsidRDefault="0041599B" w:rsidP="0016471B">
      <w:pPr>
        <w:spacing w:after="0" w:line="240" w:lineRule="auto"/>
        <w:ind w:firstLine="709"/>
        <w:jc w:val="both"/>
        <w:rPr>
          <w:rFonts w:ascii="Times New Roman" w:eastAsia="Calibri" w:hAnsi="Times New Roman" w:cs="Times New Roman"/>
          <w:sz w:val="28"/>
          <w:szCs w:val="28"/>
        </w:rPr>
      </w:pPr>
    </w:p>
    <w:p w14:paraId="2FFF786A" w14:textId="77777777" w:rsidR="0041599B" w:rsidRPr="00FD7B0B" w:rsidRDefault="0041599B" w:rsidP="0016471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основном изменение расходов областного бюджета в текущем периоде характеризуется следующими показателями:</w:t>
      </w:r>
    </w:p>
    <w:p w14:paraId="76BB474E" w14:textId="22A74015" w:rsidR="0041599B" w:rsidRPr="00FD7B0B" w:rsidRDefault="0041599B" w:rsidP="0063072B">
      <w:pPr>
        <w:pStyle w:val="a8"/>
        <w:numPr>
          <w:ilvl w:val="0"/>
          <w:numId w:val="10"/>
        </w:numPr>
        <w:ind w:left="0" w:firstLine="704"/>
        <w:jc w:val="both"/>
        <w:rPr>
          <w:sz w:val="28"/>
          <w:szCs w:val="28"/>
        </w:rPr>
      </w:pPr>
      <w:r w:rsidRPr="00FD7B0B">
        <w:rPr>
          <w:sz w:val="28"/>
          <w:szCs w:val="28"/>
        </w:rPr>
        <w:t>по подразделу «Топливно-энергетический комплекс» (подраздел 0402) расходы увеличились на 5 067,8 млн.руб. или в 53,</w:t>
      </w:r>
      <w:r w:rsidR="001D01BB" w:rsidRPr="00FD7B0B">
        <w:rPr>
          <w:sz w:val="28"/>
          <w:szCs w:val="28"/>
        </w:rPr>
        <w:t>3</w:t>
      </w:r>
      <w:r w:rsidRPr="00FD7B0B">
        <w:rPr>
          <w:sz w:val="28"/>
          <w:szCs w:val="28"/>
        </w:rPr>
        <w:t xml:space="preserve"> раза, в основном за счет субсидии ресурсоснабжающим организациям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которые в 2023 год</w:t>
      </w:r>
      <w:r w:rsidR="001D01BB" w:rsidRPr="00FD7B0B">
        <w:rPr>
          <w:sz w:val="28"/>
          <w:szCs w:val="28"/>
        </w:rPr>
        <w:t>у</w:t>
      </w:r>
      <w:r w:rsidRPr="00FD7B0B">
        <w:rPr>
          <w:sz w:val="28"/>
          <w:szCs w:val="28"/>
        </w:rPr>
        <w:t xml:space="preserve"> отражались в составе расходов на коммунальное хозяйство (подраздел 0502) и с 01.01.2024 обусловлено требованиями Порядка формирования и применения кодов бюджетной классификации РФ, утвержденного приказом Минфина России от 24.05.2022 № 82н;</w:t>
      </w:r>
    </w:p>
    <w:p w14:paraId="09AB8283" w14:textId="14FCC8F8" w:rsidR="0041599B" w:rsidRPr="00FD7B0B" w:rsidRDefault="0041599B" w:rsidP="0063072B">
      <w:pPr>
        <w:pStyle w:val="a8"/>
        <w:numPr>
          <w:ilvl w:val="0"/>
          <w:numId w:val="10"/>
        </w:numPr>
        <w:ind w:left="0" w:firstLine="704"/>
        <w:jc w:val="both"/>
        <w:rPr>
          <w:sz w:val="28"/>
          <w:szCs w:val="28"/>
        </w:rPr>
      </w:pPr>
      <w:r w:rsidRPr="00FD7B0B">
        <w:rPr>
          <w:sz w:val="28"/>
          <w:szCs w:val="28"/>
        </w:rPr>
        <w:lastRenderedPageBreak/>
        <w:t xml:space="preserve">по подразделу «Дорожное хозяйство (дорожные фонды)» расходы сократились на 29,0 % (-5 268,9 млн.руб.), из которых приведение в нормативное состояние автомобильных дорог и искусственных дорожных сооружений – на 60,2 % (-3 354,2 млн.руб.), где в 2023 году за счет бюджетного кредита в целях опережающего финансового обеспечения расходных обязательств субъектов РФ было </w:t>
      </w:r>
      <w:r w:rsidR="00CC0CB8" w:rsidRPr="00FD7B0B">
        <w:rPr>
          <w:sz w:val="28"/>
          <w:szCs w:val="28"/>
        </w:rPr>
        <w:t>направлено</w:t>
      </w:r>
      <w:r w:rsidRPr="00FD7B0B">
        <w:rPr>
          <w:sz w:val="28"/>
          <w:szCs w:val="28"/>
        </w:rPr>
        <w:t xml:space="preserve"> 2 607,0 млн.руб. (в текущем периоде аналогичны</w:t>
      </w:r>
      <w:r w:rsidR="00CC0CB8" w:rsidRPr="00FD7B0B">
        <w:rPr>
          <w:sz w:val="28"/>
          <w:szCs w:val="28"/>
        </w:rPr>
        <w:t>е</w:t>
      </w:r>
      <w:r w:rsidRPr="00FD7B0B">
        <w:rPr>
          <w:sz w:val="28"/>
          <w:szCs w:val="28"/>
        </w:rPr>
        <w:t xml:space="preserve"> расход</w:t>
      </w:r>
      <w:r w:rsidR="00CC0CB8" w:rsidRPr="00FD7B0B">
        <w:rPr>
          <w:sz w:val="28"/>
          <w:szCs w:val="28"/>
        </w:rPr>
        <w:t>ы</w:t>
      </w:r>
      <w:r w:rsidRPr="00FD7B0B">
        <w:rPr>
          <w:sz w:val="28"/>
          <w:szCs w:val="28"/>
        </w:rPr>
        <w:t xml:space="preserve"> </w:t>
      </w:r>
      <w:r w:rsidR="00CC0CB8" w:rsidRPr="00FD7B0B">
        <w:rPr>
          <w:sz w:val="28"/>
          <w:szCs w:val="28"/>
        </w:rPr>
        <w:t>отсутствуют</w:t>
      </w:r>
      <w:r w:rsidRPr="00FD7B0B">
        <w:rPr>
          <w:sz w:val="28"/>
          <w:szCs w:val="28"/>
        </w:rPr>
        <w:t>). Также за отчетный период инвестиции из областного бюджета на дорожное хозяйство, с учетом субсидий местным бюджетам на указанные цели, составили 916,9 млн.руб., из них за счет федерального бюджета – 133,3 млн.руб., что на 2 439,9 млн.руб. или на 72,7 % меньше, чем за аналогичный период 2023 года, из них за счет федерального бюджета – на 1 205,0 млн.руб. (-90,0 %);</w:t>
      </w:r>
    </w:p>
    <w:p w14:paraId="13BA82C8" w14:textId="77777777" w:rsidR="0041599B" w:rsidRPr="00FD7B0B" w:rsidRDefault="0041599B" w:rsidP="0063072B">
      <w:pPr>
        <w:pStyle w:val="a8"/>
        <w:numPr>
          <w:ilvl w:val="0"/>
          <w:numId w:val="10"/>
        </w:numPr>
        <w:ind w:left="0" w:firstLine="704"/>
        <w:jc w:val="both"/>
        <w:rPr>
          <w:sz w:val="28"/>
          <w:szCs w:val="28"/>
        </w:rPr>
      </w:pPr>
      <w:r w:rsidRPr="00FD7B0B">
        <w:rPr>
          <w:sz w:val="28"/>
          <w:szCs w:val="28"/>
        </w:rPr>
        <w:t xml:space="preserve">по подразделу «Жилищное хозяйство» расходы снизились на 56,5 % </w:t>
      </w:r>
      <w:r w:rsidRPr="00FD7B0B">
        <w:rPr>
          <w:sz w:val="28"/>
          <w:szCs w:val="28"/>
        </w:rPr>
        <w:br/>
        <w:t>(-5 583,5 млн.руб.), из них средства на обеспечение мероприятий по переселению граждан из аварийного жилищного фонда – на 66,3 % (-5 865,4 млн.руб.), из которых расходы за счет средств, поступающих от публично-правовой компании «Фонд развития территорий» – на 71,1 % (-6 111,3 млн.руб.), за счет снижения поступлений из указанного фонда (за 2023 год поступило 6 842,6 млн.руб., а за 2024 – 1 593,2 млн.руб. или на 5 249,4 млн.руб. меньше);</w:t>
      </w:r>
    </w:p>
    <w:p w14:paraId="7537E60E" w14:textId="77777777" w:rsidR="0041599B" w:rsidRPr="00FD7B0B" w:rsidRDefault="0041599B" w:rsidP="0063072B">
      <w:pPr>
        <w:pStyle w:val="a8"/>
        <w:numPr>
          <w:ilvl w:val="0"/>
          <w:numId w:val="10"/>
        </w:numPr>
        <w:ind w:left="0" w:firstLine="704"/>
        <w:jc w:val="both"/>
        <w:rPr>
          <w:sz w:val="28"/>
          <w:szCs w:val="28"/>
        </w:rPr>
      </w:pPr>
      <w:r w:rsidRPr="00FD7B0B">
        <w:rPr>
          <w:sz w:val="28"/>
          <w:szCs w:val="28"/>
        </w:rPr>
        <w:t>по подразделу «Коммунальное хозяйство» – сокращение на 29,9 % или на 3 069,7 млн.руб.), из них за счет переноса в отчетном периоде основных расходов на возмещение недополученных доходов, возникающих в результате государственного регулирования тарифов на тепловую энергию, поставляемую населению и потребителям, приравненным к населению, на нужды теплоснабжения на подраздел «Топливно-энергетических комплекс» – на 96,3 % или на 3 636,4 млн.руб.);</w:t>
      </w:r>
    </w:p>
    <w:p w14:paraId="7C819826" w14:textId="77777777" w:rsidR="0041599B" w:rsidRPr="00FD7B0B" w:rsidRDefault="0041599B" w:rsidP="0063072B">
      <w:pPr>
        <w:pStyle w:val="a8"/>
        <w:numPr>
          <w:ilvl w:val="0"/>
          <w:numId w:val="10"/>
        </w:numPr>
        <w:ind w:left="0" w:firstLine="704"/>
        <w:jc w:val="both"/>
        <w:rPr>
          <w:sz w:val="28"/>
          <w:szCs w:val="28"/>
        </w:rPr>
      </w:pPr>
      <w:r w:rsidRPr="00FD7B0B">
        <w:rPr>
          <w:sz w:val="28"/>
          <w:szCs w:val="28"/>
        </w:rPr>
        <w:t>по подразделу «Общее образование» расходы увеличились на 17,7 % (+4 426,4 млн.руб.), из них на 1 569,4 млн.руб. (+8,0 %) увеличились субвенции местным бюджетам на реализацию образовательных программ и в 2,9 раза (+1 622,4 млн.руб.) увеличились расходы по созданию новых мест в общеобразовательных организациях;</w:t>
      </w:r>
    </w:p>
    <w:p w14:paraId="12B6EDC2" w14:textId="4C6E60DC" w:rsidR="0041599B" w:rsidRPr="00FD7B0B" w:rsidRDefault="0041599B" w:rsidP="0063072B">
      <w:pPr>
        <w:pStyle w:val="a8"/>
        <w:numPr>
          <w:ilvl w:val="0"/>
          <w:numId w:val="10"/>
        </w:numPr>
        <w:ind w:left="0" w:firstLine="704"/>
        <w:jc w:val="both"/>
        <w:rPr>
          <w:sz w:val="28"/>
          <w:szCs w:val="28"/>
        </w:rPr>
      </w:pPr>
      <w:r w:rsidRPr="00FD7B0B">
        <w:rPr>
          <w:sz w:val="28"/>
          <w:szCs w:val="28"/>
        </w:rPr>
        <w:t xml:space="preserve">по подразделу «Амбулаторная помощь» расходы увеличились на 25,8 % (+1 106,4 млн.руб.), из которых расходы на обеспечение лекарственными препаратами, медицинскими изделиями и специализированными продуктами лечебного питания отдельных групп населения </w:t>
      </w:r>
      <w:r w:rsidR="00942E26" w:rsidRPr="00FD7B0B">
        <w:rPr>
          <w:sz w:val="28"/>
          <w:szCs w:val="28"/>
        </w:rPr>
        <w:t>возросли</w:t>
      </w:r>
      <w:r w:rsidRPr="00FD7B0B">
        <w:rPr>
          <w:sz w:val="28"/>
          <w:szCs w:val="28"/>
        </w:rPr>
        <w:t xml:space="preserve"> на 26,6 % (+590,4 млн.руб.), а расходы на реализацию региональных программ модернизации первичного звена здравоохранения увеличились на 50,9 % (+298,3 млн.руб.);</w:t>
      </w:r>
    </w:p>
    <w:p w14:paraId="0ECBDA03" w14:textId="76593551" w:rsidR="0041599B" w:rsidRPr="00FD7B0B" w:rsidRDefault="0041599B" w:rsidP="0063072B">
      <w:pPr>
        <w:pStyle w:val="a8"/>
        <w:numPr>
          <w:ilvl w:val="0"/>
          <w:numId w:val="10"/>
        </w:numPr>
        <w:ind w:left="0" w:firstLine="704"/>
        <w:jc w:val="both"/>
        <w:rPr>
          <w:sz w:val="28"/>
          <w:szCs w:val="28"/>
        </w:rPr>
      </w:pPr>
      <w:r w:rsidRPr="00FD7B0B">
        <w:rPr>
          <w:sz w:val="28"/>
          <w:szCs w:val="28"/>
        </w:rPr>
        <w:t>по подразделу «Социальное обеспечение населения» расходы увеличились на 10,2 % (+1 914,5 млн.руб.), из которых в 2,6 раза (+1 417,4</w:t>
      </w:r>
      <w:r w:rsidR="000B0DD4" w:rsidRPr="00FD7B0B">
        <w:rPr>
          <w:sz w:val="28"/>
          <w:szCs w:val="28"/>
        </w:rPr>
        <w:t xml:space="preserve"> млн.руб.</w:t>
      </w:r>
      <w:r w:rsidRPr="00FD7B0B">
        <w:rPr>
          <w:sz w:val="28"/>
          <w:szCs w:val="28"/>
        </w:rPr>
        <w:t>) рост единовременных денежных выплат военнослужащим и лицам, проходящим службу в войсках национальной гвардии РФ и имеющим специальное звание полиции, либо призванным на военную службу по мобилизации... принимающим участие в специальной военной операции, а также членам их семей;</w:t>
      </w:r>
    </w:p>
    <w:p w14:paraId="3D7750D9" w14:textId="77777777" w:rsidR="0041599B" w:rsidRPr="00FD7B0B" w:rsidRDefault="0041599B" w:rsidP="0063072B">
      <w:pPr>
        <w:pStyle w:val="a8"/>
        <w:numPr>
          <w:ilvl w:val="0"/>
          <w:numId w:val="10"/>
        </w:numPr>
        <w:ind w:left="0" w:firstLine="704"/>
        <w:jc w:val="both"/>
        <w:rPr>
          <w:sz w:val="28"/>
          <w:szCs w:val="28"/>
        </w:rPr>
      </w:pPr>
      <w:r w:rsidRPr="00FD7B0B">
        <w:rPr>
          <w:sz w:val="28"/>
          <w:szCs w:val="28"/>
        </w:rPr>
        <w:lastRenderedPageBreak/>
        <w:t>по подразделу «Охрана семьи и детства» расходы сократились на 20,7 % (-1 294,7 млн.руб.), из них расходы на осуществление ежемесячных выплат на детей в возрасте от 3 до 7 лет включительно в текущем периоде из областного бюджета не осуществляются, т.к. данные полномочия осуществляются Социальным фондом России;</w:t>
      </w:r>
    </w:p>
    <w:p w14:paraId="256571AC" w14:textId="6D481FFD" w:rsidR="0041599B" w:rsidRPr="00FD7B0B" w:rsidRDefault="0041599B" w:rsidP="0063072B">
      <w:pPr>
        <w:pStyle w:val="a8"/>
        <w:numPr>
          <w:ilvl w:val="0"/>
          <w:numId w:val="10"/>
        </w:numPr>
        <w:ind w:left="0" w:firstLine="704"/>
        <w:jc w:val="both"/>
        <w:rPr>
          <w:sz w:val="28"/>
          <w:szCs w:val="28"/>
        </w:rPr>
      </w:pPr>
      <w:r w:rsidRPr="00FD7B0B">
        <w:rPr>
          <w:sz w:val="28"/>
          <w:szCs w:val="28"/>
        </w:rPr>
        <w:t>по подразделу «Обслуживание государственного (муниципального) внутреннего долга» расходы увеличились в 7,2 раза (+3 748,3 млн.руб.), что связано с ростом государственного долга Архангельской области и в большей части в результате привлечению коммерческих кредитов, ростом ключевой ставки Банка России и</w:t>
      </w:r>
      <w:r w:rsidR="0050728B" w:rsidRPr="00FD7B0B">
        <w:rPr>
          <w:sz w:val="28"/>
          <w:szCs w:val="28"/>
        </w:rPr>
        <w:t>,</w:t>
      </w:r>
      <w:r w:rsidRPr="00FD7B0B">
        <w:rPr>
          <w:sz w:val="28"/>
          <w:szCs w:val="28"/>
        </w:rPr>
        <w:t xml:space="preserve"> соответственно, ставок коммерческих банков;</w:t>
      </w:r>
    </w:p>
    <w:p w14:paraId="3FC688FC" w14:textId="77777777" w:rsidR="0041599B" w:rsidRPr="00FD7B0B" w:rsidRDefault="0041599B" w:rsidP="0063072B">
      <w:pPr>
        <w:pStyle w:val="a8"/>
        <w:numPr>
          <w:ilvl w:val="0"/>
          <w:numId w:val="10"/>
        </w:numPr>
        <w:ind w:left="0" w:firstLine="704"/>
        <w:jc w:val="both"/>
        <w:rPr>
          <w:sz w:val="28"/>
          <w:szCs w:val="28"/>
        </w:rPr>
      </w:pPr>
      <w:r w:rsidRPr="00FD7B0B">
        <w:rPr>
          <w:sz w:val="28"/>
          <w:szCs w:val="28"/>
        </w:rPr>
        <w:t>по подразделу «Иные дотации» расходы в отчетном периоде увеличились в 42,0 раза (+6 244,0 млн.руб.), что обусловлено выделением в 2024 году дотаций на поддержку мер по обеспечению сбалансированности местных бюджетов (6 253,1 млн.руб.), взамен предоставленных в 2023 году субсидий на софинансирование вопросов местного значения (6 101,1 млн.руб.) по подразделу «Прочие межбюджетные трансферты общего характера».</w:t>
      </w:r>
    </w:p>
    <w:p w14:paraId="3E81F98C" w14:textId="532CACDA" w:rsidR="0041599B" w:rsidRPr="00FD7B0B" w:rsidRDefault="0041599B" w:rsidP="00407172">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На рисунке </w:t>
      </w:r>
      <w:r w:rsidR="00066D30" w:rsidRPr="00FD7B0B">
        <w:rPr>
          <w:rFonts w:ascii="Times New Roman" w:eastAsia="Calibri" w:hAnsi="Times New Roman" w:cs="Times New Roman"/>
          <w:sz w:val="28"/>
          <w:szCs w:val="28"/>
        </w:rPr>
        <w:t>8</w:t>
      </w:r>
      <w:r w:rsidRPr="00FD7B0B">
        <w:rPr>
          <w:rFonts w:ascii="Times New Roman" w:eastAsia="Calibri" w:hAnsi="Times New Roman" w:cs="Times New Roman"/>
          <w:sz w:val="28"/>
          <w:szCs w:val="28"/>
        </w:rPr>
        <w:t xml:space="preserve"> представлена группировка расходов областного бюджета за 2023 и 2024 годы по видам расходов бюджетной классификации РФ.</w:t>
      </w:r>
    </w:p>
    <w:p w14:paraId="1B4F4D13" w14:textId="77777777" w:rsidR="0041599B" w:rsidRPr="00FD7B0B" w:rsidRDefault="0041599B" w:rsidP="00407172">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5316BAC1" wp14:editId="2A0756D4">
            <wp:extent cx="6210300" cy="215963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11355" cy="2160002"/>
                    </a:xfrm>
                    <a:prstGeom prst="rect">
                      <a:avLst/>
                    </a:prstGeom>
                    <a:noFill/>
                  </pic:spPr>
                </pic:pic>
              </a:graphicData>
            </a:graphic>
          </wp:inline>
        </w:drawing>
      </w:r>
    </w:p>
    <w:p w14:paraId="4C4C83E1" w14:textId="77777777" w:rsidR="0041599B" w:rsidRPr="00FD7B0B" w:rsidRDefault="0041599B" w:rsidP="00407172">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8</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областного бюджета по группам вида расходов бюджетной классификации РФ за 2023 и 2024 годы, млн.руб.</w:t>
      </w:r>
    </w:p>
    <w:p w14:paraId="2E6C2E7F" w14:textId="77777777" w:rsidR="0041599B" w:rsidRPr="00FD7B0B" w:rsidRDefault="0041599B" w:rsidP="00EE4EF8">
      <w:pPr>
        <w:spacing w:after="0" w:line="240" w:lineRule="auto"/>
        <w:ind w:firstLine="709"/>
        <w:jc w:val="both"/>
        <w:rPr>
          <w:rFonts w:ascii="Times New Roman" w:eastAsia="Calibri" w:hAnsi="Times New Roman" w:cs="Times New Roman"/>
          <w:sz w:val="28"/>
          <w:szCs w:val="28"/>
        </w:rPr>
      </w:pPr>
    </w:p>
    <w:p w14:paraId="07409D39" w14:textId="010B8481" w:rsidR="0041599B" w:rsidRPr="00FD7B0B" w:rsidRDefault="0041599B" w:rsidP="00EE4EF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Наибольший объем расходов областного бюджета в отчетном периоде составили расходы на предоставление межбюджетных трансфертов бюджетам бюджетной системы РФ: 46 091,7 млн.руб. или 30,1 % всех произведенных расходов, из которых бюджетам муниципальных образований Архангельской области направлено 45 043,1 млн.руб. В сравнении с аналогичным периодом прошлого финансового года указанные расходы сократились на 1 317,6 млн.руб. </w:t>
      </w:r>
      <w:r w:rsidRPr="00FD7B0B">
        <w:rPr>
          <w:rFonts w:ascii="Times New Roman" w:eastAsia="Calibri" w:hAnsi="Times New Roman" w:cs="Times New Roman"/>
          <w:sz w:val="28"/>
          <w:szCs w:val="28"/>
        </w:rPr>
        <w:br/>
        <w:t>(-2,8 %), из них местным бюджетам – на 1 497,6 млн.руб. (-3,2 %). Более подробно сведения представлены в подразделе «</w:t>
      </w:r>
      <w:hyperlink w:anchor="_3.2._Межбюджетные_трансферты_1" w:history="1">
        <w:r w:rsidRPr="00FD7B0B">
          <w:rPr>
            <w:rStyle w:val="afb"/>
            <w:rFonts w:ascii="Times New Roman" w:eastAsia="Calibri" w:hAnsi="Times New Roman" w:cs="Times New Roman"/>
            <w:color w:val="auto"/>
            <w:sz w:val="28"/>
            <w:szCs w:val="28"/>
          </w:rPr>
          <w:t>Межбюджетные трансферты из областного бюджета за 2024 год</w:t>
        </w:r>
      </w:hyperlink>
      <w:r w:rsidRPr="00FD7B0B">
        <w:rPr>
          <w:rFonts w:ascii="Times New Roman" w:eastAsia="Calibri" w:hAnsi="Times New Roman" w:cs="Times New Roman"/>
          <w:sz w:val="28"/>
          <w:szCs w:val="28"/>
        </w:rPr>
        <w:t>» настоящего заключения.</w:t>
      </w:r>
    </w:p>
    <w:p w14:paraId="24866683" w14:textId="707D8E7B" w:rsidR="0041599B" w:rsidRPr="00FD7B0B" w:rsidRDefault="0041599B" w:rsidP="00B72207">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Субсидии бюджетным, автономным учреждениям и иным некоммерческим организациям в отчетном году предоставлены на общую сумму 31 691,7 млн.руб. или 20,7 % всех произведенных расходов областного бюджета. </w:t>
      </w:r>
      <w:r w:rsidR="00EE4EF8" w:rsidRPr="00FD7B0B">
        <w:rPr>
          <w:rFonts w:ascii="Times New Roman" w:eastAsia="Calibri" w:hAnsi="Times New Roman" w:cs="Times New Roman"/>
          <w:sz w:val="28"/>
          <w:szCs w:val="28"/>
        </w:rPr>
        <w:t>Прир</w:t>
      </w:r>
      <w:r w:rsidRPr="00FD7B0B">
        <w:rPr>
          <w:rFonts w:ascii="Times New Roman" w:eastAsia="Calibri" w:hAnsi="Times New Roman" w:cs="Times New Roman"/>
          <w:sz w:val="28"/>
          <w:szCs w:val="28"/>
        </w:rPr>
        <w:t xml:space="preserve">ост указанных расходов к 2023 году составил 1 282,6 млн.руб. (+4,2 %), из </w:t>
      </w:r>
      <w:r w:rsidRPr="00FD7B0B">
        <w:rPr>
          <w:rFonts w:ascii="Times New Roman" w:eastAsia="Calibri" w:hAnsi="Times New Roman" w:cs="Times New Roman"/>
          <w:sz w:val="28"/>
          <w:szCs w:val="28"/>
        </w:rPr>
        <w:lastRenderedPageBreak/>
        <w:t xml:space="preserve">них субсидии на выполнение государственного задания государственным бюджетным и автономным учреждениям увеличились на 1 820,1 млн.руб. (+9,2 %), а субсидии на иные цели (целевые субсидии) указанным учреждениям </w:t>
      </w:r>
      <w:r w:rsidR="00EE4EF8" w:rsidRPr="00FD7B0B">
        <w:rPr>
          <w:rFonts w:ascii="Times New Roman" w:eastAsia="Calibri" w:hAnsi="Times New Roman" w:cs="Times New Roman"/>
          <w:sz w:val="28"/>
          <w:szCs w:val="28"/>
        </w:rPr>
        <w:t>сократились</w:t>
      </w:r>
      <w:r w:rsidRPr="00FD7B0B">
        <w:rPr>
          <w:rFonts w:ascii="Times New Roman" w:eastAsia="Calibri" w:hAnsi="Times New Roman" w:cs="Times New Roman"/>
          <w:sz w:val="28"/>
          <w:szCs w:val="28"/>
        </w:rPr>
        <w:t xml:space="preserve"> на 521,7 млн.руб. (</w:t>
      </w:r>
      <w:r w:rsidR="00EE4EF8"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6,0 %).</w:t>
      </w:r>
      <w:r w:rsidR="00B72207" w:rsidRPr="00FD7B0B">
        <w:rPr>
          <w:rFonts w:ascii="Times New Roman" w:eastAsia="Calibri" w:hAnsi="Times New Roman" w:cs="Times New Roman"/>
          <w:sz w:val="28"/>
          <w:szCs w:val="28"/>
        </w:rPr>
        <w:t xml:space="preserve"> В результате всего с</w:t>
      </w:r>
      <w:r w:rsidRPr="00FD7B0B">
        <w:rPr>
          <w:rFonts w:ascii="Times New Roman" w:eastAsia="Calibri" w:hAnsi="Times New Roman" w:cs="Times New Roman"/>
          <w:sz w:val="28"/>
          <w:szCs w:val="28"/>
        </w:rPr>
        <w:t>убсидии государственным бюджетным и автономных учреждениям (без учета грантов) увеличились на 1 298,3 млн.руб. (+4,6 %) и за отчетный период составили 29 711,3 млн.руб.</w:t>
      </w:r>
    </w:p>
    <w:p w14:paraId="531771AD" w14:textId="141A7E3B" w:rsidR="0041599B" w:rsidRPr="00FD7B0B" w:rsidRDefault="0041599B" w:rsidP="00A527B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Расходы на осуществление капитальных вложений в объекты государственной собственности (вид расходов 400) составили 7 086,5 млн.руб., и к расходам за 2023 год </w:t>
      </w:r>
      <w:r w:rsidR="00A527BE" w:rsidRPr="00FD7B0B">
        <w:rPr>
          <w:rFonts w:ascii="Times New Roman" w:eastAsia="Calibri" w:hAnsi="Times New Roman" w:cs="Times New Roman"/>
          <w:sz w:val="28"/>
          <w:szCs w:val="28"/>
        </w:rPr>
        <w:t xml:space="preserve">они </w:t>
      </w:r>
      <w:r w:rsidRPr="00FD7B0B">
        <w:rPr>
          <w:rFonts w:ascii="Times New Roman" w:eastAsia="Calibri" w:hAnsi="Times New Roman" w:cs="Times New Roman"/>
          <w:sz w:val="28"/>
          <w:szCs w:val="28"/>
        </w:rPr>
        <w:t xml:space="preserve">сократились на 3 187,8 млн.руб. </w:t>
      </w:r>
      <w:r w:rsidRPr="00FD7B0B">
        <w:rPr>
          <w:rFonts w:ascii="Times New Roman" w:eastAsia="Calibri" w:hAnsi="Times New Roman" w:cs="Times New Roman"/>
          <w:sz w:val="28"/>
          <w:szCs w:val="28"/>
        </w:rPr>
        <w:br/>
        <w:t>(-31,0 %), из них по государственной программе Архангельской области «Обеспечение качественным, доступным жильем и объектами инженерной инфраструктуры населения Архангельской области» и адресной программе «Переселение граждан из аварийного жилищного фонда на 2019 – 2025 годы» (с 01.01.2024 включена в состав госпрограммы «Обеспечение качественным, доступным жильем…») расходы сократились на 3 814,1 млн.руб. (-49,3 %), из них по переселению граждан из аварийного жилищного фонда – на 4 466,5 млн.руб. (-62,9 %), что в т.ч. объясняется авансовыми платежами в 2023 году.</w:t>
      </w:r>
    </w:p>
    <w:p w14:paraId="4570DBA1" w14:textId="77777777" w:rsidR="0041599B" w:rsidRPr="00FD7B0B" w:rsidRDefault="0041599B" w:rsidP="00BA60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Расходы на закупки товаров, работ и услуг за отчетный период составили 13 417,3 млн.руб., что на 1 605,4 млн.руб. или на 10,7 % меньше, чем за 2023 год.</w:t>
      </w:r>
    </w:p>
    <w:p w14:paraId="15A68AE7" w14:textId="1D685E54" w:rsidR="0041599B" w:rsidRPr="00FD7B0B" w:rsidRDefault="0041599B" w:rsidP="00BA60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Расходы на социальное обеспечение и иные выплаты населению произведены в сумме 26 554,1 млн.руб. и их удельный вес в общей сумме расходов областного бюджета за отчетный период составил 17,3 %. Расходы на указанные цели на 1 104,3 млн.руб. (+4,3 %) </w:t>
      </w:r>
      <w:r w:rsidR="00BA601E" w:rsidRPr="00FD7B0B">
        <w:rPr>
          <w:rFonts w:ascii="Times New Roman" w:eastAsia="Calibri" w:hAnsi="Times New Roman" w:cs="Times New Roman"/>
          <w:sz w:val="28"/>
          <w:szCs w:val="28"/>
        </w:rPr>
        <w:t>превысили</w:t>
      </w:r>
      <w:r w:rsidRPr="00FD7B0B">
        <w:rPr>
          <w:rFonts w:ascii="Times New Roman" w:eastAsia="Calibri" w:hAnsi="Times New Roman" w:cs="Times New Roman"/>
          <w:sz w:val="28"/>
          <w:szCs w:val="28"/>
        </w:rPr>
        <w:t xml:space="preserve"> аналогичны</w:t>
      </w:r>
      <w:r w:rsidR="00BA601E" w:rsidRPr="00FD7B0B">
        <w:rPr>
          <w:rFonts w:ascii="Times New Roman" w:eastAsia="Calibri" w:hAnsi="Times New Roman" w:cs="Times New Roman"/>
          <w:sz w:val="28"/>
          <w:szCs w:val="28"/>
        </w:rPr>
        <w:t>е</w:t>
      </w:r>
      <w:r w:rsidRPr="00FD7B0B">
        <w:rPr>
          <w:rFonts w:ascii="Times New Roman" w:eastAsia="Calibri" w:hAnsi="Times New Roman" w:cs="Times New Roman"/>
          <w:sz w:val="28"/>
          <w:szCs w:val="28"/>
        </w:rPr>
        <w:t xml:space="preserve"> расход</w:t>
      </w:r>
      <w:r w:rsidR="00BA601E" w:rsidRPr="00FD7B0B">
        <w:rPr>
          <w:rFonts w:ascii="Times New Roman" w:eastAsia="Calibri" w:hAnsi="Times New Roman" w:cs="Times New Roman"/>
          <w:sz w:val="28"/>
          <w:szCs w:val="28"/>
        </w:rPr>
        <w:t>ы</w:t>
      </w:r>
      <w:r w:rsidRPr="00FD7B0B">
        <w:rPr>
          <w:rFonts w:ascii="Times New Roman" w:eastAsia="Calibri" w:hAnsi="Times New Roman" w:cs="Times New Roman"/>
          <w:sz w:val="28"/>
          <w:szCs w:val="28"/>
        </w:rPr>
        <w:t xml:space="preserve"> за 2023 го</w:t>
      </w:r>
      <w:r w:rsidR="00CB420E" w:rsidRPr="00FD7B0B">
        <w:rPr>
          <w:rFonts w:ascii="Times New Roman" w:eastAsia="Calibri" w:hAnsi="Times New Roman" w:cs="Times New Roman"/>
          <w:sz w:val="28"/>
          <w:szCs w:val="28"/>
        </w:rPr>
        <w:t>д.</w:t>
      </w:r>
    </w:p>
    <w:p w14:paraId="1C4907A4" w14:textId="77777777" w:rsidR="0041599B" w:rsidRPr="00FD7B0B" w:rsidRDefault="0041599B" w:rsidP="002705B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Наибольшие расходы по группе вида расходов 300 «Социальное обеспечение и иные выплаты населению» сложились по следующим элементам:</w:t>
      </w:r>
    </w:p>
    <w:p w14:paraId="38B6D580" w14:textId="73DAB5D9" w:rsidR="0041599B" w:rsidRPr="00FD7B0B" w:rsidRDefault="0041599B" w:rsidP="001251F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1) По элементу вида расходов 313 «Пособия, компенсации, меры социальной поддержки по публичным нормативным обязательствам» расходы областного бюджета за отчетный период составили 5 312,4 млн.руб. (100 % к плану года) </w:t>
      </w:r>
      <w:r w:rsidR="001251F0" w:rsidRPr="00FD7B0B">
        <w:rPr>
          <w:rFonts w:ascii="Times New Roman" w:eastAsia="Calibri" w:hAnsi="Times New Roman" w:cs="Times New Roman"/>
          <w:sz w:val="28"/>
          <w:szCs w:val="28"/>
        </w:rPr>
        <w:t>или</w:t>
      </w:r>
      <w:r w:rsidRPr="00FD7B0B">
        <w:rPr>
          <w:rFonts w:ascii="Times New Roman" w:eastAsia="Calibri" w:hAnsi="Times New Roman" w:cs="Times New Roman"/>
          <w:sz w:val="28"/>
          <w:szCs w:val="28"/>
        </w:rPr>
        <w:t xml:space="preserve"> 20,0 % в сумме расходов по группе вида расходов 300 «Социальное обеспечение и иные выплаты населению». По отношению к аналогичным расходам за 2023 год сокращение составило 15,6 % (-980,5 млн.руб.).</w:t>
      </w:r>
    </w:p>
    <w:p w14:paraId="59296ECF" w14:textId="0E103E8A" w:rsidR="0041599B" w:rsidRPr="00FD7B0B" w:rsidRDefault="0041599B" w:rsidP="001251F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Наибольшие расходы по направлениям вида расходов 313 за 2023 и 2024 годы отражены в таблице </w:t>
      </w:r>
      <w:r w:rsidR="00066D30" w:rsidRPr="00FD7B0B">
        <w:rPr>
          <w:rFonts w:ascii="Times New Roman" w:eastAsia="Calibri" w:hAnsi="Times New Roman" w:cs="Times New Roman"/>
          <w:sz w:val="28"/>
          <w:szCs w:val="28"/>
        </w:rPr>
        <w:t>55</w:t>
      </w:r>
      <w:r w:rsidRPr="00FD7B0B">
        <w:rPr>
          <w:rFonts w:ascii="Times New Roman" w:eastAsia="Calibri" w:hAnsi="Times New Roman" w:cs="Times New Roman"/>
          <w:sz w:val="28"/>
          <w:szCs w:val="28"/>
        </w:rPr>
        <w:t>.</w:t>
      </w:r>
    </w:p>
    <w:p w14:paraId="258CD6D7" w14:textId="77777777" w:rsidR="0041599B" w:rsidRPr="00FD7B0B" w:rsidRDefault="0041599B" w:rsidP="001251F0">
      <w:pPr>
        <w:pStyle w:val="aff0"/>
        <w:spacing w:after="0" w:line="240" w:lineRule="auto"/>
        <w:rPr>
          <w:rFonts w:ascii="Times New Roman" w:hAnsi="Times New Roman"/>
          <w:b w:val="0"/>
          <w:sz w:val="24"/>
          <w:szCs w:val="24"/>
        </w:rPr>
      </w:pPr>
    </w:p>
    <w:p w14:paraId="271AAF34" w14:textId="2B4BD4A7" w:rsidR="0041599B" w:rsidRPr="00FD7B0B" w:rsidRDefault="0041599B" w:rsidP="001251F0">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55</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Отдельные расходы областного бюджета по элементу вида расходов 313 «Пособия, компенсации, меры социальной поддержки по публичным нормативным обязательствам» за 2023 и 2024 годы (свыше </w:t>
      </w:r>
      <w:r w:rsidR="00CB420E" w:rsidRPr="00FD7B0B">
        <w:rPr>
          <w:rFonts w:ascii="Times New Roman" w:hAnsi="Times New Roman"/>
          <w:b w:val="0"/>
          <w:sz w:val="24"/>
          <w:szCs w:val="24"/>
        </w:rPr>
        <w:t>3</w:t>
      </w:r>
      <w:r w:rsidRPr="00FD7B0B">
        <w:rPr>
          <w:rFonts w:ascii="Times New Roman" w:hAnsi="Times New Roman"/>
          <w:b w:val="0"/>
          <w:sz w:val="24"/>
          <w:szCs w:val="24"/>
        </w:rPr>
        <w:t>00 млн.руб.), млн.руб.</w:t>
      </w:r>
    </w:p>
    <w:tbl>
      <w:tblPr>
        <w:tblW w:w="9647" w:type="dxa"/>
        <w:tblLayout w:type="fixed"/>
        <w:tblLook w:val="04A0" w:firstRow="1" w:lastRow="0" w:firstColumn="1" w:lastColumn="0" w:noHBand="0" w:noVBand="1"/>
      </w:tblPr>
      <w:tblGrid>
        <w:gridCol w:w="5797"/>
        <w:gridCol w:w="958"/>
        <w:gridCol w:w="958"/>
        <w:gridCol w:w="1129"/>
        <w:gridCol w:w="805"/>
      </w:tblGrid>
      <w:tr w:rsidR="00FD7B0B" w:rsidRPr="00FD7B0B" w14:paraId="73D2D9CC" w14:textId="77777777" w:rsidTr="001251F0">
        <w:trPr>
          <w:trHeight w:val="35"/>
          <w:tblHeader/>
        </w:trPr>
        <w:tc>
          <w:tcPr>
            <w:tcW w:w="5797"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45C0211A" w14:textId="77777777" w:rsidR="0041599B" w:rsidRPr="00FD7B0B" w:rsidRDefault="0041599B" w:rsidP="001251F0">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95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6C2B9A9" w14:textId="77777777" w:rsidR="0041599B" w:rsidRPr="00FD7B0B" w:rsidRDefault="0041599B" w:rsidP="001251F0">
            <w:pPr>
              <w:spacing w:after="0" w:line="240" w:lineRule="auto"/>
              <w:jc w:val="center"/>
              <w:rPr>
                <w:rFonts w:ascii="Times New Roman" w:hAnsi="Times New Roman" w:cs="Times New Roman"/>
              </w:rPr>
            </w:pPr>
            <w:r w:rsidRPr="00FD7B0B">
              <w:rPr>
                <w:rFonts w:ascii="Times New Roman" w:hAnsi="Times New Roman" w:cs="Times New Roman"/>
              </w:rPr>
              <w:t>2023 год</w:t>
            </w:r>
          </w:p>
        </w:tc>
        <w:tc>
          <w:tcPr>
            <w:tcW w:w="95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75972B8" w14:textId="77777777" w:rsidR="0041599B" w:rsidRPr="00FD7B0B" w:rsidRDefault="0041599B" w:rsidP="001251F0">
            <w:pPr>
              <w:spacing w:after="0" w:line="240" w:lineRule="auto"/>
              <w:jc w:val="center"/>
              <w:rPr>
                <w:rFonts w:ascii="Times New Roman" w:hAnsi="Times New Roman" w:cs="Times New Roman"/>
              </w:rPr>
            </w:pPr>
            <w:r w:rsidRPr="00FD7B0B">
              <w:rPr>
                <w:rFonts w:ascii="Times New Roman" w:hAnsi="Times New Roman" w:cs="Times New Roman"/>
              </w:rPr>
              <w:t>2024 год</w:t>
            </w:r>
          </w:p>
        </w:tc>
        <w:tc>
          <w:tcPr>
            <w:tcW w:w="1934" w:type="dxa"/>
            <w:gridSpan w:val="2"/>
            <w:tcBorders>
              <w:top w:val="double" w:sz="4" w:space="0" w:color="auto"/>
              <w:left w:val="nil"/>
              <w:bottom w:val="single" w:sz="4" w:space="0" w:color="auto"/>
              <w:right w:val="double" w:sz="4" w:space="0" w:color="auto"/>
            </w:tcBorders>
            <w:shd w:val="clear" w:color="auto" w:fill="auto"/>
            <w:vAlign w:val="center"/>
            <w:hideMark/>
          </w:tcPr>
          <w:p w14:paraId="2D92CD18" w14:textId="77777777" w:rsidR="0041599B" w:rsidRPr="00FD7B0B" w:rsidRDefault="0041599B" w:rsidP="001251F0">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3618E611" w14:textId="77777777" w:rsidTr="001251F0">
        <w:trPr>
          <w:trHeight w:val="35"/>
          <w:tblHeader/>
        </w:trPr>
        <w:tc>
          <w:tcPr>
            <w:tcW w:w="5797" w:type="dxa"/>
            <w:vMerge/>
            <w:tcBorders>
              <w:top w:val="double" w:sz="6" w:space="0" w:color="auto"/>
              <w:left w:val="double" w:sz="4" w:space="0" w:color="auto"/>
              <w:bottom w:val="single" w:sz="4" w:space="0" w:color="auto"/>
              <w:right w:val="single" w:sz="4" w:space="0" w:color="auto"/>
            </w:tcBorders>
            <w:vAlign w:val="center"/>
            <w:hideMark/>
          </w:tcPr>
          <w:p w14:paraId="7AFA5D45" w14:textId="77777777" w:rsidR="0041599B" w:rsidRPr="00FD7B0B" w:rsidRDefault="0041599B" w:rsidP="001251F0">
            <w:pPr>
              <w:spacing w:after="0" w:line="240" w:lineRule="auto"/>
              <w:jc w:val="center"/>
              <w:rPr>
                <w:rFonts w:ascii="Times New Roman" w:hAnsi="Times New Roman" w:cs="Times New Roman"/>
              </w:rPr>
            </w:pPr>
          </w:p>
        </w:tc>
        <w:tc>
          <w:tcPr>
            <w:tcW w:w="958" w:type="dxa"/>
            <w:vMerge/>
            <w:tcBorders>
              <w:top w:val="double" w:sz="6" w:space="0" w:color="auto"/>
              <w:left w:val="single" w:sz="4" w:space="0" w:color="auto"/>
              <w:bottom w:val="single" w:sz="4" w:space="0" w:color="auto"/>
              <w:right w:val="single" w:sz="4" w:space="0" w:color="auto"/>
            </w:tcBorders>
            <w:vAlign w:val="center"/>
            <w:hideMark/>
          </w:tcPr>
          <w:p w14:paraId="71D90B23" w14:textId="77777777" w:rsidR="0041599B" w:rsidRPr="00FD7B0B" w:rsidRDefault="0041599B" w:rsidP="001251F0">
            <w:pPr>
              <w:spacing w:after="0" w:line="240" w:lineRule="auto"/>
              <w:jc w:val="center"/>
              <w:rPr>
                <w:rFonts w:ascii="Times New Roman" w:hAnsi="Times New Roman" w:cs="Times New Roman"/>
              </w:rPr>
            </w:pPr>
          </w:p>
        </w:tc>
        <w:tc>
          <w:tcPr>
            <w:tcW w:w="958" w:type="dxa"/>
            <w:vMerge/>
            <w:tcBorders>
              <w:top w:val="double" w:sz="6" w:space="0" w:color="auto"/>
              <w:left w:val="single" w:sz="4" w:space="0" w:color="auto"/>
              <w:bottom w:val="single" w:sz="4" w:space="0" w:color="auto"/>
              <w:right w:val="single" w:sz="4" w:space="0" w:color="auto"/>
            </w:tcBorders>
            <w:vAlign w:val="center"/>
            <w:hideMark/>
          </w:tcPr>
          <w:p w14:paraId="2E8D2D49" w14:textId="77777777" w:rsidR="0041599B" w:rsidRPr="00FD7B0B" w:rsidRDefault="0041599B" w:rsidP="001251F0">
            <w:pPr>
              <w:spacing w:after="0" w:line="240" w:lineRule="auto"/>
              <w:jc w:val="center"/>
              <w:rPr>
                <w:rFonts w:ascii="Times New Roman" w:hAnsi="Times New Roman" w:cs="Times New Roman"/>
              </w:rPr>
            </w:pPr>
          </w:p>
        </w:tc>
        <w:tc>
          <w:tcPr>
            <w:tcW w:w="1129" w:type="dxa"/>
            <w:tcBorders>
              <w:top w:val="nil"/>
              <w:left w:val="nil"/>
              <w:bottom w:val="single" w:sz="4" w:space="0" w:color="auto"/>
              <w:right w:val="single" w:sz="4" w:space="0" w:color="auto"/>
            </w:tcBorders>
            <w:shd w:val="clear" w:color="auto" w:fill="auto"/>
            <w:vAlign w:val="center"/>
            <w:hideMark/>
          </w:tcPr>
          <w:p w14:paraId="790F0ED3" w14:textId="77777777" w:rsidR="0041599B" w:rsidRPr="00FD7B0B" w:rsidRDefault="0041599B" w:rsidP="001251F0">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05" w:type="dxa"/>
            <w:tcBorders>
              <w:top w:val="nil"/>
              <w:left w:val="nil"/>
              <w:bottom w:val="single" w:sz="4" w:space="0" w:color="auto"/>
              <w:right w:val="double" w:sz="4" w:space="0" w:color="auto"/>
            </w:tcBorders>
            <w:shd w:val="clear" w:color="auto" w:fill="auto"/>
            <w:vAlign w:val="center"/>
            <w:hideMark/>
          </w:tcPr>
          <w:p w14:paraId="51B8B587" w14:textId="59BCDB8D" w:rsidR="0041599B" w:rsidRPr="00FD7B0B" w:rsidRDefault="0041599B" w:rsidP="001251F0">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353FFCE2" w14:textId="77777777" w:rsidTr="001251F0">
        <w:trPr>
          <w:trHeight w:val="70"/>
        </w:trPr>
        <w:tc>
          <w:tcPr>
            <w:tcW w:w="5797" w:type="dxa"/>
            <w:tcBorders>
              <w:top w:val="nil"/>
              <w:left w:val="double" w:sz="4" w:space="0" w:color="auto"/>
              <w:bottom w:val="single" w:sz="4" w:space="0" w:color="auto"/>
              <w:right w:val="single" w:sz="4" w:space="0" w:color="auto"/>
            </w:tcBorders>
            <w:shd w:val="clear" w:color="auto" w:fill="auto"/>
            <w:vAlign w:val="center"/>
            <w:hideMark/>
          </w:tcPr>
          <w:p w14:paraId="743EF4D6" w14:textId="77777777" w:rsidR="0041599B" w:rsidRPr="00FD7B0B" w:rsidRDefault="0041599B" w:rsidP="001251F0">
            <w:pPr>
              <w:spacing w:after="0" w:line="240" w:lineRule="auto"/>
              <w:rPr>
                <w:rFonts w:ascii="Times New Roman" w:hAnsi="Times New Roman" w:cs="Times New Roman"/>
              </w:rPr>
            </w:pPr>
            <w:r w:rsidRPr="00FD7B0B">
              <w:rPr>
                <w:rFonts w:ascii="Times New Roman" w:hAnsi="Times New Roman" w:cs="Times New Roman"/>
              </w:rPr>
              <w:t>Ежемесячные денежные выплаты ветеранам труда</w:t>
            </w:r>
          </w:p>
        </w:tc>
        <w:tc>
          <w:tcPr>
            <w:tcW w:w="958" w:type="dxa"/>
            <w:tcBorders>
              <w:top w:val="nil"/>
              <w:left w:val="nil"/>
              <w:bottom w:val="single" w:sz="4" w:space="0" w:color="auto"/>
              <w:right w:val="single" w:sz="4" w:space="0" w:color="auto"/>
            </w:tcBorders>
            <w:shd w:val="clear" w:color="auto" w:fill="auto"/>
            <w:vAlign w:val="center"/>
            <w:hideMark/>
          </w:tcPr>
          <w:p w14:paraId="2E43ADB4"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2 309,4 </w:t>
            </w:r>
          </w:p>
        </w:tc>
        <w:tc>
          <w:tcPr>
            <w:tcW w:w="958" w:type="dxa"/>
            <w:tcBorders>
              <w:top w:val="nil"/>
              <w:left w:val="nil"/>
              <w:bottom w:val="single" w:sz="4" w:space="0" w:color="auto"/>
              <w:right w:val="single" w:sz="4" w:space="0" w:color="auto"/>
            </w:tcBorders>
            <w:shd w:val="clear" w:color="auto" w:fill="auto"/>
            <w:vAlign w:val="center"/>
            <w:hideMark/>
          </w:tcPr>
          <w:p w14:paraId="756BA4E2"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2 124,2 </w:t>
            </w:r>
          </w:p>
        </w:tc>
        <w:tc>
          <w:tcPr>
            <w:tcW w:w="1129" w:type="dxa"/>
            <w:tcBorders>
              <w:top w:val="nil"/>
              <w:left w:val="nil"/>
              <w:bottom w:val="single" w:sz="4" w:space="0" w:color="auto"/>
              <w:right w:val="single" w:sz="4" w:space="0" w:color="auto"/>
            </w:tcBorders>
            <w:shd w:val="clear" w:color="auto" w:fill="auto"/>
            <w:vAlign w:val="center"/>
            <w:hideMark/>
          </w:tcPr>
          <w:p w14:paraId="3DA171C8"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-185,2 </w:t>
            </w:r>
          </w:p>
        </w:tc>
        <w:tc>
          <w:tcPr>
            <w:tcW w:w="805" w:type="dxa"/>
            <w:tcBorders>
              <w:top w:val="nil"/>
              <w:left w:val="nil"/>
              <w:bottom w:val="single" w:sz="4" w:space="0" w:color="auto"/>
              <w:right w:val="double" w:sz="4" w:space="0" w:color="auto"/>
            </w:tcBorders>
            <w:shd w:val="clear" w:color="auto" w:fill="auto"/>
            <w:vAlign w:val="center"/>
            <w:hideMark/>
          </w:tcPr>
          <w:p w14:paraId="7596CCE9"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-8,0 </w:t>
            </w:r>
          </w:p>
        </w:tc>
      </w:tr>
      <w:tr w:rsidR="00FD7B0B" w:rsidRPr="00FD7B0B" w14:paraId="7344BF00" w14:textId="77777777" w:rsidTr="001251F0">
        <w:trPr>
          <w:trHeight w:val="70"/>
        </w:trPr>
        <w:tc>
          <w:tcPr>
            <w:tcW w:w="5797" w:type="dxa"/>
            <w:tcBorders>
              <w:top w:val="nil"/>
              <w:left w:val="double" w:sz="4" w:space="0" w:color="auto"/>
              <w:bottom w:val="single" w:sz="4" w:space="0" w:color="auto"/>
              <w:right w:val="single" w:sz="4" w:space="0" w:color="auto"/>
            </w:tcBorders>
            <w:shd w:val="clear" w:color="auto" w:fill="auto"/>
            <w:vAlign w:val="center"/>
            <w:hideMark/>
          </w:tcPr>
          <w:p w14:paraId="72D535DA" w14:textId="77777777" w:rsidR="0041599B" w:rsidRPr="00FD7B0B" w:rsidRDefault="0041599B" w:rsidP="001251F0">
            <w:pPr>
              <w:spacing w:after="0" w:line="240" w:lineRule="auto"/>
              <w:rPr>
                <w:rFonts w:ascii="Times New Roman" w:hAnsi="Times New Roman" w:cs="Times New Roman"/>
              </w:rPr>
            </w:pPr>
            <w:r w:rsidRPr="00FD7B0B">
              <w:rPr>
                <w:rFonts w:ascii="Times New Roman" w:hAnsi="Times New Roman" w:cs="Times New Roman"/>
              </w:rPr>
              <w:t>Осуществление ежемесячных выплат на детей в возрасте от 3 до 7 лет включительно</w:t>
            </w:r>
          </w:p>
        </w:tc>
        <w:tc>
          <w:tcPr>
            <w:tcW w:w="958" w:type="dxa"/>
            <w:tcBorders>
              <w:top w:val="nil"/>
              <w:left w:val="nil"/>
              <w:bottom w:val="single" w:sz="4" w:space="0" w:color="auto"/>
              <w:right w:val="single" w:sz="4" w:space="0" w:color="auto"/>
            </w:tcBorders>
            <w:shd w:val="clear" w:color="auto" w:fill="auto"/>
            <w:vAlign w:val="center"/>
            <w:hideMark/>
          </w:tcPr>
          <w:p w14:paraId="787FDE88"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1 365,0 </w:t>
            </w:r>
          </w:p>
        </w:tc>
        <w:tc>
          <w:tcPr>
            <w:tcW w:w="958" w:type="dxa"/>
            <w:tcBorders>
              <w:top w:val="nil"/>
              <w:left w:val="nil"/>
              <w:bottom w:val="single" w:sz="4" w:space="0" w:color="auto"/>
              <w:right w:val="single" w:sz="4" w:space="0" w:color="auto"/>
            </w:tcBorders>
            <w:shd w:val="clear" w:color="auto" w:fill="auto"/>
            <w:vAlign w:val="center"/>
            <w:hideMark/>
          </w:tcPr>
          <w:p w14:paraId="5C890ECD"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29" w:type="dxa"/>
            <w:tcBorders>
              <w:top w:val="nil"/>
              <w:left w:val="nil"/>
              <w:bottom w:val="single" w:sz="4" w:space="0" w:color="auto"/>
              <w:right w:val="single" w:sz="4" w:space="0" w:color="auto"/>
            </w:tcBorders>
            <w:shd w:val="clear" w:color="auto" w:fill="auto"/>
            <w:vAlign w:val="center"/>
            <w:hideMark/>
          </w:tcPr>
          <w:p w14:paraId="1109B102"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-1 365,0 </w:t>
            </w:r>
          </w:p>
        </w:tc>
        <w:tc>
          <w:tcPr>
            <w:tcW w:w="805" w:type="dxa"/>
            <w:tcBorders>
              <w:top w:val="nil"/>
              <w:left w:val="nil"/>
              <w:bottom w:val="single" w:sz="4" w:space="0" w:color="auto"/>
              <w:right w:val="double" w:sz="4" w:space="0" w:color="auto"/>
            </w:tcBorders>
            <w:shd w:val="clear" w:color="auto" w:fill="auto"/>
            <w:vAlign w:val="center"/>
            <w:hideMark/>
          </w:tcPr>
          <w:p w14:paraId="3BD847BC"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9093F4A" w14:textId="77777777" w:rsidTr="001251F0">
        <w:trPr>
          <w:trHeight w:val="70"/>
        </w:trPr>
        <w:tc>
          <w:tcPr>
            <w:tcW w:w="5797" w:type="dxa"/>
            <w:tcBorders>
              <w:top w:val="nil"/>
              <w:left w:val="double" w:sz="4" w:space="0" w:color="auto"/>
              <w:bottom w:val="single" w:sz="4" w:space="0" w:color="auto"/>
              <w:right w:val="single" w:sz="4" w:space="0" w:color="auto"/>
            </w:tcBorders>
            <w:shd w:val="clear" w:color="auto" w:fill="auto"/>
            <w:vAlign w:val="center"/>
            <w:hideMark/>
          </w:tcPr>
          <w:p w14:paraId="2F605CAF" w14:textId="77777777" w:rsidR="0041599B" w:rsidRPr="00FD7B0B" w:rsidRDefault="0041599B" w:rsidP="001251F0">
            <w:pPr>
              <w:spacing w:after="0" w:line="240" w:lineRule="auto"/>
              <w:rPr>
                <w:rFonts w:ascii="Times New Roman" w:hAnsi="Times New Roman" w:cs="Times New Roman"/>
              </w:rPr>
            </w:pPr>
            <w:r w:rsidRPr="00FD7B0B">
              <w:rPr>
                <w:rFonts w:ascii="Times New Roman" w:hAnsi="Times New Roman" w:cs="Times New Roman"/>
              </w:rPr>
              <w:lastRenderedPageBreak/>
              <w:t>Ежемесячные денежные выплаты, назначаемые в случае рождения третьего ребенка или последующих детей до достижения ребенком возраста трех лет</w:t>
            </w:r>
          </w:p>
        </w:tc>
        <w:tc>
          <w:tcPr>
            <w:tcW w:w="958" w:type="dxa"/>
            <w:tcBorders>
              <w:top w:val="nil"/>
              <w:left w:val="nil"/>
              <w:bottom w:val="single" w:sz="4" w:space="0" w:color="auto"/>
              <w:right w:val="single" w:sz="4" w:space="0" w:color="auto"/>
            </w:tcBorders>
            <w:shd w:val="clear" w:color="auto" w:fill="auto"/>
            <w:vAlign w:val="center"/>
            <w:hideMark/>
          </w:tcPr>
          <w:p w14:paraId="1ED07ED1"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661,8 </w:t>
            </w:r>
          </w:p>
        </w:tc>
        <w:tc>
          <w:tcPr>
            <w:tcW w:w="958" w:type="dxa"/>
            <w:tcBorders>
              <w:top w:val="nil"/>
              <w:left w:val="nil"/>
              <w:bottom w:val="single" w:sz="4" w:space="0" w:color="auto"/>
              <w:right w:val="single" w:sz="4" w:space="0" w:color="auto"/>
            </w:tcBorders>
            <w:shd w:val="clear" w:color="auto" w:fill="auto"/>
            <w:vAlign w:val="center"/>
            <w:hideMark/>
          </w:tcPr>
          <w:p w14:paraId="3F9DD837"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339,4 </w:t>
            </w:r>
          </w:p>
        </w:tc>
        <w:tc>
          <w:tcPr>
            <w:tcW w:w="1129" w:type="dxa"/>
            <w:tcBorders>
              <w:top w:val="nil"/>
              <w:left w:val="nil"/>
              <w:bottom w:val="single" w:sz="4" w:space="0" w:color="auto"/>
              <w:right w:val="single" w:sz="4" w:space="0" w:color="auto"/>
            </w:tcBorders>
            <w:shd w:val="clear" w:color="auto" w:fill="auto"/>
            <w:vAlign w:val="center"/>
            <w:hideMark/>
          </w:tcPr>
          <w:p w14:paraId="257C89FA"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-322,4 </w:t>
            </w:r>
          </w:p>
        </w:tc>
        <w:tc>
          <w:tcPr>
            <w:tcW w:w="805" w:type="dxa"/>
            <w:tcBorders>
              <w:top w:val="nil"/>
              <w:left w:val="nil"/>
              <w:bottom w:val="single" w:sz="4" w:space="0" w:color="auto"/>
              <w:right w:val="double" w:sz="4" w:space="0" w:color="auto"/>
            </w:tcBorders>
            <w:shd w:val="clear" w:color="auto" w:fill="auto"/>
            <w:vAlign w:val="center"/>
            <w:hideMark/>
          </w:tcPr>
          <w:p w14:paraId="35C6070D"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-48,7 </w:t>
            </w:r>
          </w:p>
        </w:tc>
      </w:tr>
      <w:tr w:rsidR="00FD7B0B" w:rsidRPr="00FD7B0B" w14:paraId="1C6E6344" w14:textId="77777777" w:rsidTr="001251F0">
        <w:trPr>
          <w:trHeight w:val="70"/>
        </w:trPr>
        <w:tc>
          <w:tcPr>
            <w:tcW w:w="5797" w:type="dxa"/>
            <w:tcBorders>
              <w:top w:val="nil"/>
              <w:left w:val="double" w:sz="4" w:space="0" w:color="auto"/>
              <w:bottom w:val="single" w:sz="4" w:space="0" w:color="auto"/>
              <w:right w:val="single" w:sz="4" w:space="0" w:color="auto"/>
            </w:tcBorders>
            <w:shd w:val="clear" w:color="auto" w:fill="auto"/>
            <w:vAlign w:val="center"/>
            <w:hideMark/>
          </w:tcPr>
          <w:p w14:paraId="42CDAAE3" w14:textId="77777777" w:rsidR="0041599B" w:rsidRPr="00FD7B0B" w:rsidRDefault="0041599B" w:rsidP="001251F0">
            <w:pPr>
              <w:spacing w:after="0" w:line="240" w:lineRule="auto"/>
              <w:rPr>
                <w:rFonts w:ascii="Times New Roman" w:hAnsi="Times New Roman" w:cs="Times New Roman"/>
              </w:rPr>
            </w:pPr>
            <w:r w:rsidRPr="00FD7B0B">
              <w:rPr>
                <w:rFonts w:ascii="Times New Roman" w:hAnsi="Times New Roman" w:cs="Times New Roman"/>
              </w:rPr>
              <w:t>Единовременная денежная выплата военнослужащим и лицам, проходящим службу в войсках национальной гвардии РФ…</w:t>
            </w:r>
          </w:p>
        </w:tc>
        <w:tc>
          <w:tcPr>
            <w:tcW w:w="958" w:type="dxa"/>
            <w:tcBorders>
              <w:top w:val="nil"/>
              <w:left w:val="nil"/>
              <w:bottom w:val="single" w:sz="4" w:space="0" w:color="auto"/>
              <w:right w:val="single" w:sz="4" w:space="0" w:color="auto"/>
            </w:tcBorders>
            <w:shd w:val="clear" w:color="auto" w:fill="auto"/>
            <w:vAlign w:val="center"/>
            <w:hideMark/>
          </w:tcPr>
          <w:p w14:paraId="6721985C"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616,7 </w:t>
            </w:r>
          </w:p>
        </w:tc>
        <w:tc>
          <w:tcPr>
            <w:tcW w:w="958" w:type="dxa"/>
            <w:tcBorders>
              <w:top w:val="nil"/>
              <w:left w:val="nil"/>
              <w:bottom w:val="single" w:sz="4" w:space="0" w:color="auto"/>
              <w:right w:val="single" w:sz="4" w:space="0" w:color="auto"/>
            </w:tcBorders>
            <w:shd w:val="clear" w:color="auto" w:fill="auto"/>
            <w:vAlign w:val="center"/>
            <w:hideMark/>
          </w:tcPr>
          <w:p w14:paraId="0EDEEFB8"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1 503,5 </w:t>
            </w:r>
          </w:p>
        </w:tc>
        <w:tc>
          <w:tcPr>
            <w:tcW w:w="1129" w:type="dxa"/>
            <w:tcBorders>
              <w:top w:val="nil"/>
              <w:left w:val="nil"/>
              <w:bottom w:val="single" w:sz="4" w:space="0" w:color="auto"/>
              <w:right w:val="single" w:sz="4" w:space="0" w:color="auto"/>
            </w:tcBorders>
            <w:shd w:val="clear" w:color="auto" w:fill="auto"/>
            <w:vAlign w:val="center"/>
            <w:hideMark/>
          </w:tcPr>
          <w:p w14:paraId="199F27B5"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886,8 </w:t>
            </w:r>
          </w:p>
        </w:tc>
        <w:tc>
          <w:tcPr>
            <w:tcW w:w="805" w:type="dxa"/>
            <w:tcBorders>
              <w:top w:val="nil"/>
              <w:left w:val="nil"/>
              <w:bottom w:val="single" w:sz="4" w:space="0" w:color="auto"/>
              <w:right w:val="double" w:sz="4" w:space="0" w:color="auto"/>
            </w:tcBorders>
            <w:shd w:val="clear" w:color="auto" w:fill="auto"/>
            <w:vAlign w:val="center"/>
            <w:hideMark/>
          </w:tcPr>
          <w:p w14:paraId="09C317A2"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в 2,4 раза</w:t>
            </w:r>
          </w:p>
        </w:tc>
      </w:tr>
      <w:tr w:rsidR="0041599B" w:rsidRPr="00FD7B0B" w14:paraId="49A53A2D" w14:textId="77777777" w:rsidTr="00CB420E">
        <w:trPr>
          <w:trHeight w:val="70"/>
        </w:trPr>
        <w:tc>
          <w:tcPr>
            <w:tcW w:w="5797" w:type="dxa"/>
            <w:tcBorders>
              <w:top w:val="nil"/>
              <w:left w:val="double" w:sz="4" w:space="0" w:color="auto"/>
              <w:bottom w:val="double" w:sz="4" w:space="0" w:color="auto"/>
              <w:right w:val="single" w:sz="4" w:space="0" w:color="auto"/>
            </w:tcBorders>
            <w:shd w:val="clear" w:color="auto" w:fill="auto"/>
            <w:vAlign w:val="center"/>
            <w:hideMark/>
          </w:tcPr>
          <w:p w14:paraId="51E2F122" w14:textId="77777777" w:rsidR="0041599B" w:rsidRPr="00FD7B0B" w:rsidRDefault="0041599B" w:rsidP="001251F0">
            <w:pPr>
              <w:spacing w:after="0" w:line="240" w:lineRule="auto"/>
              <w:rPr>
                <w:rFonts w:ascii="Times New Roman" w:hAnsi="Times New Roman" w:cs="Times New Roman"/>
              </w:rPr>
            </w:pPr>
            <w:r w:rsidRPr="00FD7B0B">
              <w:rPr>
                <w:rFonts w:ascii="Times New Roman" w:hAnsi="Times New Roman" w:cs="Times New Roman"/>
              </w:rPr>
              <w:t>Обеспечение мер социальной поддержки многодетных семей в денежной форме</w:t>
            </w:r>
          </w:p>
        </w:tc>
        <w:tc>
          <w:tcPr>
            <w:tcW w:w="958" w:type="dxa"/>
            <w:tcBorders>
              <w:top w:val="nil"/>
              <w:left w:val="nil"/>
              <w:bottom w:val="double" w:sz="4" w:space="0" w:color="auto"/>
              <w:right w:val="single" w:sz="4" w:space="0" w:color="auto"/>
            </w:tcBorders>
            <w:shd w:val="clear" w:color="auto" w:fill="auto"/>
            <w:vAlign w:val="center"/>
            <w:hideMark/>
          </w:tcPr>
          <w:p w14:paraId="0A497F7E"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392,9 </w:t>
            </w:r>
          </w:p>
        </w:tc>
        <w:tc>
          <w:tcPr>
            <w:tcW w:w="958" w:type="dxa"/>
            <w:tcBorders>
              <w:top w:val="nil"/>
              <w:left w:val="nil"/>
              <w:bottom w:val="double" w:sz="4" w:space="0" w:color="auto"/>
              <w:right w:val="single" w:sz="4" w:space="0" w:color="auto"/>
            </w:tcBorders>
            <w:shd w:val="clear" w:color="auto" w:fill="auto"/>
            <w:vAlign w:val="center"/>
            <w:hideMark/>
          </w:tcPr>
          <w:p w14:paraId="40ACCBF5"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386,3 </w:t>
            </w:r>
          </w:p>
        </w:tc>
        <w:tc>
          <w:tcPr>
            <w:tcW w:w="1129" w:type="dxa"/>
            <w:tcBorders>
              <w:top w:val="nil"/>
              <w:left w:val="nil"/>
              <w:bottom w:val="double" w:sz="4" w:space="0" w:color="auto"/>
              <w:right w:val="single" w:sz="4" w:space="0" w:color="auto"/>
            </w:tcBorders>
            <w:shd w:val="clear" w:color="auto" w:fill="auto"/>
            <w:vAlign w:val="center"/>
            <w:hideMark/>
          </w:tcPr>
          <w:p w14:paraId="40193EE9"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-6,6 </w:t>
            </w:r>
          </w:p>
        </w:tc>
        <w:tc>
          <w:tcPr>
            <w:tcW w:w="805" w:type="dxa"/>
            <w:tcBorders>
              <w:top w:val="nil"/>
              <w:left w:val="nil"/>
              <w:bottom w:val="double" w:sz="4" w:space="0" w:color="auto"/>
              <w:right w:val="double" w:sz="4" w:space="0" w:color="auto"/>
            </w:tcBorders>
            <w:shd w:val="clear" w:color="auto" w:fill="auto"/>
            <w:vAlign w:val="center"/>
            <w:hideMark/>
          </w:tcPr>
          <w:p w14:paraId="238F405F" w14:textId="77777777" w:rsidR="0041599B" w:rsidRPr="00FD7B0B" w:rsidRDefault="0041599B" w:rsidP="001251F0">
            <w:pPr>
              <w:spacing w:after="0" w:line="240" w:lineRule="auto"/>
              <w:jc w:val="right"/>
              <w:rPr>
                <w:rFonts w:ascii="Times New Roman" w:hAnsi="Times New Roman" w:cs="Times New Roman"/>
              </w:rPr>
            </w:pPr>
            <w:r w:rsidRPr="00FD7B0B">
              <w:rPr>
                <w:rFonts w:ascii="Times New Roman" w:hAnsi="Times New Roman" w:cs="Times New Roman"/>
              </w:rPr>
              <w:t xml:space="preserve">-1,7 </w:t>
            </w:r>
          </w:p>
        </w:tc>
      </w:tr>
    </w:tbl>
    <w:p w14:paraId="1038B8D2" w14:textId="77777777" w:rsidR="0041599B" w:rsidRPr="00FD7B0B" w:rsidRDefault="0041599B" w:rsidP="007A6B5C">
      <w:pPr>
        <w:spacing w:after="0" w:line="240" w:lineRule="auto"/>
        <w:ind w:firstLine="709"/>
        <w:jc w:val="both"/>
        <w:rPr>
          <w:rFonts w:ascii="Times New Roman" w:eastAsia="Calibri" w:hAnsi="Times New Roman" w:cs="Times New Roman"/>
          <w:sz w:val="28"/>
          <w:szCs w:val="28"/>
        </w:rPr>
      </w:pPr>
    </w:p>
    <w:p w14:paraId="6B16F813" w14:textId="3067433D" w:rsidR="0041599B" w:rsidRPr="00FD7B0B" w:rsidRDefault="0041599B" w:rsidP="007A6B5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Расходы на осуществление ежемесячных выплат на детей в возрасте от 3 до 7 лет включительно в 2024 году в областном бюджете не предусмотрены в связи с тем, что указанные полномочия осуществляются Социальным Фондом России.</w:t>
      </w:r>
    </w:p>
    <w:p w14:paraId="6B37DC0C" w14:textId="3BB0032A" w:rsidR="0041599B" w:rsidRPr="00FD7B0B" w:rsidRDefault="0041599B" w:rsidP="007A6B5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2) По элементу вида расходов 321 «Пособия, компенсации и иные социальные выплаты гражданам, кроме публичных нормативных обязательств» расходы за отчетный период составили 4 650,4 млн.руб. (100 % к </w:t>
      </w:r>
      <w:r w:rsidR="007A6B5C" w:rsidRPr="00FD7B0B">
        <w:rPr>
          <w:rFonts w:ascii="Times New Roman" w:eastAsia="Calibri" w:hAnsi="Times New Roman" w:cs="Times New Roman"/>
          <w:sz w:val="28"/>
          <w:szCs w:val="28"/>
        </w:rPr>
        <w:t>плану года), которые к 2023 году</w:t>
      </w:r>
      <w:r w:rsidRPr="00FD7B0B">
        <w:rPr>
          <w:rFonts w:ascii="Times New Roman" w:eastAsia="Calibri" w:hAnsi="Times New Roman" w:cs="Times New Roman"/>
          <w:sz w:val="28"/>
          <w:szCs w:val="28"/>
        </w:rPr>
        <w:t xml:space="preserve"> </w:t>
      </w:r>
      <w:r w:rsidR="007A6B5C" w:rsidRPr="00FD7B0B">
        <w:rPr>
          <w:rFonts w:ascii="Times New Roman" w:eastAsia="Calibri" w:hAnsi="Times New Roman" w:cs="Times New Roman"/>
          <w:sz w:val="28"/>
          <w:szCs w:val="28"/>
        </w:rPr>
        <w:t>сократились</w:t>
      </w:r>
      <w:r w:rsidRPr="00FD7B0B">
        <w:rPr>
          <w:rFonts w:ascii="Times New Roman" w:eastAsia="Calibri" w:hAnsi="Times New Roman" w:cs="Times New Roman"/>
          <w:sz w:val="28"/>
          <w:szCs w:val="28"/>
        </w:rPr>
        <w:t xml:space="preserve"> на 17,0 млн.руб. (-0,4 %), из </w:t>
      </w:r>
      <w:r w:rsidR="007A6B5C" w:rsidRPr="00FD7B0B">
        <w:rPr>
          <w:rFonts w:ascii="Times New Roman" w:eastAsia="Calibri" w:hAnsi="Times New Roman" w:cs="Times New Roman"/>
          <w:sz w:val="28"/>
          <w:szCs w:val="28"/>
        </w:rPr>
        <w:t>них</w:t>
      </w:r>
      <w:r w:rsidRPr="00FD7B0B">
        <w:rPr>
          <w:rFonts w:ascii="Times New Roman" w:eastAsia="Calibri" w:hAnsi="Times New Roman" w:cs="Times New Roman"/>
          <w:sz w:val="28"/>
          <w:szCs w:val="28"/>
        </w:rPr>
        <w:t xml:space="preserve"> наибольшие отражены в таблице </w:t>
      </w:r>
      <w:r w:rsidR="00066D30" w:rsidRPr="00FD7B0B">
        <w:rPr>
          <w:rFonts w:ascii="Times New Roman" w:eastAsia="Calibri" w:hAnsi="Times New Roman" w:cs="Times New Roman"/>
          <w:sz w:val="28"/>
          <w:szCs w:val="28"/>
        </w:rPr>
        <w:t>56</w:t>
      </w:r>
      <w:r w:rsidRPr="00FD7B0B">
        <w:rPr>
          <w:rFonts w:ascii="Times New Roman" w:eastAsia="Calibri" w:hAnsi="Times New Roman" w:cs="Times New Roman"/>
          <w:sz w:val="28"/>
          <w:szCs w:val="28"/>
        </w:rPr>
        <w:t>.</w:t>
      </w:r>
    </w:p>
    <w:p w14:paraId="5901AEF8" w14:textId="77777777" w:rsidR="0041599B" w:rsidRPr="00FD7B0B" w:rsidRDefault="0041599B" w:rsidP="001B1B90">
      <w:pPr>
        <w:pStyle w:val="aff0"/>
        <w:spacing w:after="0" w:line="240" w:lineRule="auto"/>
        <w:rPr>
          <w:rFonts w:ascii="Times New Roman" w:hAnsi="Times New Roman"/>
          <w:b w:val="0"/>
          <w:sz w:val="24"/>
          <w:szCs w:val="24"/>
        </w:rPr>
      </w:pPr>
    </w:p>
    <w:p w14:paraId="30A24E9D" w14:textId="6F597F96" w:rsidR="0041599B" w:rsidRPr="00FD7B0B" w:rsidRDefault="0041599B" w:rsidP="001B1B90">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56</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Отдельные расходы областного бюджета по элементу вида расходов 321 «Пособия, компенсации и иные социальные выплаты гражданам, кроме публичных нормативных обязательств» за 2023 и 2024 годы (свыше </w:t>
      </w:r>
      <w:r w:rsidR="00EF481F" w:rsidRPr="00FD7B0B">
        <w:rPr>
          <w:rFonts w:ascii="Times New Roman" w:hAnsi="Times New Roman"/>
          <w:b w:val="0"/>
          <w:sz w:val="24"/>
          <w:szCs w:val="24"/>
        </w:rPr>
        <w:t>3</w:t>
      </w:r>
      <w:r w:rsidRPr="00FD7B0B">
        <w:rPr>
          <w:rFonts w:ascii="Times New Roman" w:hAnsi="Times New Roman"/>
          <w:b w:val="0"/>
          <w:sz w:val="24"/>
          <w:szCs w:val="24"/>
        </w:rPr>
        <w:t>00 млн.руб.), млн.руб.</w:t>
      </w:r>
    </w:p>
    <w:tbl>
      <w:tblPr>
        <w:tblW w:w="9771" w:type="dxa"/>
        <w:tblLayout w:type="fixed"/>
        <w:tblLook w:val="04A0" w:firstRow="1" w:lastRow="0" w:firstColumn="1" w:lastColumn="0" w:noHBand="0" w:noVBand="1"/>
      </w:tblPr>
      <w:tblGrid>
        <w:gridCol w:w="5931"/>
        <w:gridCol w:w="958"/>
        <w:gridCol w:w="958"/>
        <w:gridCol w:w="1120"/>
        <w:gridCol w:w="804"/>
      </w:tblGrid>
      <w:tr w:rsidR="00FD7B0B" w:rsidRPr="00FD7B0B" w14:paraId="23C93D72" w14:textId="77777777" w:rsidTr="00EF481F">
        <w:trPr>
          <w:trHeight w:val="35"/>
          <w:tblHeader/>
        </w:trPr>
        <w:tc>
          <w:tcPr>
            <w:tcW w:w="5931"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5DAEB3CD" w14:textId="77777777" w:rsidR="0041599B" w:rsidRPr="00FD7B0B" w:rsidRDefault="0041599B" w:rsidP="001B1B90">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95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234A65A" w14:textId="77777777" w:rsidR="0041599B" w:rsidRPr="00FD7B0B" w:rsidRDefault="0041599B" w:rsidP="001B1B90">
            <w:pPr>
              <w:spacing w:after="0" w:line="240" w:lineRule="auto"/>
              <w:jc w:val="center"/>
              <w:rPr>
                <w:rFonts w:ascii="Times New Roman" w:hAnsi="Times New Roman" w:cs="Times New Roman"/>
              </w:rPr>
            </w:pPr>
            <w:r w:rsidRPr="00FD7B0B">
              <w:rPr>
                <w:rFonts w:ascii="Times New Roman" w:hAnsi="Times New Roman" w:cs="Times New Roman"/>
              </w:rPr>
              <w:t>2023 год</w:t>
            </w:r>
          </w:p>
        </w:tc>
        <w:tc>
          <w:tcPr>
            <w:tcW w:w="95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8DE8D3C" w14:textId="77777777" w:rsidR="0041599B" w:rsidRPr="00FD7B0B" w:rsidRDefault="0041599B" w:rsidP="001B1B90">
            <w:pPr>
              <w:spacing w:after="0" w:line="240" w:lineRule="auto"/>
              <w:jc w:val="center"/>
              <w:rPr>
                <w:rFonts w:ascii="Times New Roman" w:hAnsi="Times New Roman" w:cs="Times New Roman"/>
              </w:rPr>
            </w:pPr>
            <w:r w:rsidRPr="00FD7B0B">
              <w:rPr>
                <w:rFonts w:ascii="Times New Roman" w:hAnsi="Times New Roman" w:cs="Times New Roman"/>
              </w:rPr>
              <w:t>2024 год</w:t>
            </w:r>
          </w:p>
        </w:tc>
        <w:tc>
          <w:tcPr>
            <w:tcW w:w="1924" w:type="dxa"/>
            <w:gridSpan w:val="2"/>
            <w:tcBorders>
              <w:top w:val="double" w:sz="4" w:space="0" w:color="auto"/>
              <w:left w:val="nil"/>
              <w:bottom w:val="single" w:sz="4" w:space="0" w:color="auto"/>
              <w:right w:val="double" w:sz="4" w:space="0" w:color="auto"/>
            </w:tcBorders>
            <w:shd w:val="clear" w:color="auto" w:fill="auto"/>
            <w:vAlign w:val="center"/>
            <w:hideMark/>
          </w:tcPr>
          <w:p w14:paraId="5CDCF5A9" w14:textId="77777777" w:rsidR="0041599B" w:rsidRPr="00FD7B0B" w:rsidRDefault="0041599B" w:rsidP="001B1B90">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0EA9AB77" w14:textId="77777777" w:rsidTr="00EF481F">
        <w:trPr>
          <w:trHeight w:val="35"/>
          <w:tblHeader/>
        </w:trPr>
        <w:tc>
          <w:tcPr>
            <w:tcW w:w="5931" w:type="dxa"/>
            <w:vMerge/>
            <w:tcBorders>
              <w:top w:val="double" w:sz="6" w:space="0" w:color="auto"/>
              <w:left w:val="double" w:sz="4" w:space="0" w:color="auto"/>
              <w:bottom w:val="single" w:sz="4" w:space="0" w:color="auto"/>
              <w:right w:val="single" w:sz="4" w:space="0" w:color="auto"/>
            </w:tcBorders>
            <w:vAlign w:val="center"/>
            <w:hideMark/>
          </w:tcPr>
          <w:p w14:paraId="7A470B36" w14:textId="77777777" w:rsidR="0041599B" w:rsidRPr="00FD7B0B" w:rsidRDefault="0041599B" w:rsidP="001B1B90">
            <w:pPr>
              <w:spacing w:after="0" w:line="240" w:lineRule="auto"/>
              <w:jc w:val="center"/>
              <w:rPr>
                <w:rFonts w:ascii="Times New Roman" w:hAnsi="Times New Roman" w:cs="Times New Roman"/>
              </w:rPr>
            </w:pPr>
          </w:p>
        </w:tc>
        <w:tc>
          <w:tcPr>
            <w:tcW w:w="958" w:type="dxa"/>
            <w:vMerge/>
            <w:tcBorders>
              <w:top w:val="double" w:sz="6" w:space="0" w:color="auto"/>
              <w:left w:val="single" w:sz="4" w:space="0" w:color="auto"/>
              <w:bottom w:val="single" w:sz="4" w:space="0" w:color="auto"/>
              <w:right w:val="single" w:sz="4" w:space="0" w:color="auto"/>
            </w:tcBorders>
            <w:vAlign w:val="center"/>
            <w:hideMark/>
          </w:tcPr>
          <w:p w14:paraId="12861DCA" w14:textId="77777777" w:rsidR="0041599B" w:rsidRPr="00FD7B0B" w:rsidRDefault="0041599B" w:rsidP="001B1B90">
            <w:pPr>
              <w:spacing w:after="0" w:line="240" w:lineRule="auto"/>
              <w:jc w:val="center"/>
              <w:rPr>
                <w:rFonts w:ascii="Times New Roman" w:hAnsi="Times New Roman" w:cs="Times New Roman"/>
              </w:rPr>
            </w:pPr>
          </w:p>
        </w:tc>
        <w:tc>
          <w:tcPr>
            <w:tcW w:w="958" w:type="dxa"/>
            <w:vMerge/>
            <w:tcBorders>
              <w:top w:val="double" w:sz="6" w:space="0" w:color="auto"/>
              <w:left w:val="single" w:sz="4" w:space="0" w:color="auto"/>
              <w:bottom w:val="single" w:sz="4" w:space="0" w:color="auto"/>
              <w:right w:val="single" w:sz="4" w:space="0" w:color="auto"/>
            </w:tcBorders>
            <w:vAlign w:val="center"/>
            <w:hideMark/>
          </w:tcPr>
          <w:p w14:paraId="3E319BEF" w14:textId="77777777" w:rsidR="0041599B" w:rsidRPr="00FD7B0B" w:rsidRDefault="0041599B" w:rsidP="001B1B90">
            <w:pPr>
              <w:spacing w:after="0" w:line="240" w:lineRule="auto"/>
              <w:jc w:val="center"/>
              <w:rPr>
                <w:rFonts w:ascii="Times New Roman" w:hAnsi="Times New Roman" w:cs="Times New Roman"/>
              </w:rPr>
            </w:pPr>
          </w:p>
        </w:tc>
        <w:tc>
          <w:tcPr>
            <w:tcW w:w="1120" w:type="dxa"/>
            <w:tcBorders>
              <w:top w:val="nil"/>
              <w:left w:val="nil"/>
              <w:bottom w:val="single" w:sz="4" w:space="0" w:color="auto"/>
              <w:right w:val="single" w:sz="4" w:space="0" w:color="auto"/>
            </w:tcBorders>
            <w:shd w:val="clear" w:color="auto" w:fill="auto"/>
            <w:vAlign w:val="center"/>
            <w:hideMark/>
          </w:tcPr>
          <w:p w14:paraId="1037F997" w14:textId="77777777" w:rsidR="0041599B" w:rsidRPr="00FD7B0B" w:rsidRDefault="0041599B" w:rsidP="001B1B90">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04" w:type="dxa"/>
            <w:tcBorders>
              <w:top w:val="nil"/>
              <w:left w:val="nil"/>
              <w:bottom w:val="single" w:sz="4" w:space="0" w:color="auto"/>
              <w:right w:val="double" w:sz="4" w:space="0" w:color="auto"/>
            </w:tcBorders>
            <w:shd w:val="clear" w:color="auto" w:fill="auto"/>
            <w:vAlign w:val="center"/>
            <w:hideMark/>
          </w:tcPr>
          <w:p w14:paraId="4E6EE08F" w14:textId="2F9F5171" w:rsidR="0041599B" w:rsidRPr="00FD7B0B" w:rsidRDefault="0041599B" w:rsidP="001B1B90">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25A3529E" w14:textId="77777777" w:rsidTr="00EF481F">
        <w:trPr>
          <w:trHeight w:val="70"/>
        </w:trPr>
        <w:tc>
          <w:tcPr>
            <w:tcW w:w="5931" w:type="dxa"/>
            <w:tcBorders>
              <w:top w:val="nil"/>
              <w:left w:val="double" w:sz="4" w:space="0" w:color="auto"/>
              <w:bottom w:val="single" w:sz="4" w:space="0" w:color="auto"/>
              <w:right w:val="single" w:sz="4" w:space="0" w:color="auto"/>
            </w:tcBorders>
            <w:shd w:val="clear" w:color="auto" w:fill="auto"/>
            <w:vAlign w:val="center"/>
            <w:hideMark/>
          </w:tcPr>
          <w:p w14:paraId="1E239BB8" w14:textId="77777777" w:rsidR="0041599B" w:rsidRPr="00FD7B0B" w:rsidRDefault="0041599B" w:rsidP="001B1B90">
            <w:pPr>
              <w:spacing w:after="0" w:line="240" w:lineRule="auto"/>
              <w:rPr>
                <w:rFonts w:ascii="Times New Roman" w:hAnsi="Times New Roman" w:cs="Times New Roman"/>
              </w:rPr>
            </w:pPr>
            <w:r w:rsidRPr="00FD7B0B">
              <w:rPr>
                <w:rFonts w:ascii="Times New Roman" w:hAnsi="Times New Roman" w:cs="Times New Roman"/>
              </w:rPr>
              <w:t>Обеспечение мер социальной поддержки ветеранов труда (за исключением публичных нормативных обязательств)</w:t>
            </w:r>
          </w:p>
        </w:tc>
        <w:tc>
          <w:tcPr>
            <w:tcW w:w="958" w:type="dxa"/>
            <w:tcBorders>
              <w:top w:val="nil"/>
              <w:left w:val="nil"/>
              <w:bottom w:val="single" w:sz="4" w:space="0" w:color="auto"/>
              <w:right w:val="single" w:sz="4" w:space="0" w:color="auto"/>
            </w:tcBorders>
            <w:shd w:val="clear" w:color="auto" w:fill="auto"/>
            <w:vAlign w:val="center"/>
            <w:hideMark/>
          </w:tcPr>
          <w:p w14:paraId="5719B11E"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1 910,3 </w:t>
            </w:r>
          </w:p>
        </w:tc>
        <w:tc>
          <w:tcPr>
            <w:tcW w:w="958" w:type="dxa"/>
            <w:tcBorders>
              <w:top w:val="nil"/>
              <w:left w:val="nil"/>
              <w:bottom w:val="single" w:sz="4" w:space="0" w:color="auto"/>
              <w:right w:val="single" w:sz="4" w:space="0" w:color="auto"/>
            </w:tcBorders>
            <w:shd w:val="clear" w:color="auto" w:fill="auto"/>
            <w:vAlign w:val="center"/>
            <w:hideMark/>
          </w:tcPr>
          <w:p w14:paraId="0FACAC7C"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2 103,6 </w:t>
            </w:r>
          </w:p>
        </w:tc>
        <w:tc>
          <w:tcPr>
            <w:tcW w:w="1120" w:type="dxa"/>
            <w:tcBorders>
              <w:top w:val="nil"/>
              <w:left w:val="nil"/>
              <w:bottom w:val="single" w:sz="4" w:space="0" w:color="auto"/>
              <w:right w:val="single" w:sz="4" w:space="0" w:color="auto"/>
            </w:tcBorders>
            <w:shd w:val="clear" w:color="auto" w:fill="auto"/>
            <w:vAlign w:val="center"/>
            <w:hideMark/>
          </w:tcPr>
          <w:p w14:paraId="6E61C9B1"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193,4 </w:t>
            </w:r>
          </w:p>
        </w:tc>
        <w:tc>
          <w:tcPr>
            <w:tcW w:w="804" w:type="dxa"/>
            <w:tcBorders>
              <w:top w:val="nil"/>
              <w:left w:val="nil"/>
              <w:bottom w:val="single" w:sz="4" w:space="0" w:color="auto"/>
              <w:right w:val="double" w:sz="4" w:space="0" w:color="auto"/>
            </w:tcBorders>
            <w:shd w:val="clear" w:color="auto" w:fill="auto"/>
            <w:vAlign w:val="center"/>
            <w:hideMark/>
          </w:tcPr>
          <w:p w14:paraId="3883716E"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10,1 </w:t>
            </w:r>
          </w:p>
        </w:tc>
      </w:tr>
      <w:tr w:rsidR="00FD7B0B" w:rsidRPr="00FD7B0B" w14:paraId="4BF06654" w14:textId="77777777" w:rsidTr="00EF481F">
        <w:trPr>
          <w:trHeight w:val="70"/>
        </w:trPr>
        <w:tc>
          <w:tcPr>
            <w:tcW w:w="5931" w:type="dxa"/>
            <w:tcBorders>
              <w:top w:val="nil"/>
              <w:left w:val="double" w:sz="4" w:space="0" w:color="auto"/>
              <w:bottom w:val="single" w:sz="4" w:space="0" w:color="auto"/>
              <w:right w:val="single" w:sz="4" w:space="0" w:color="auto"/>
            </w:tcBorders>
            <w:shd w:val="clear" w:color="auto" w:fill="auto"/>
            <w:vAlign w:val="center"/>
            <w:hideMark/>
          </w:tcPr>
          <w:p w14:paraId="3063ED98" w14:textId="77777777" w:rsidR="0041599B" w:rsidRPr="00FD7B0B" w:rsidRDefault="0041599B" w:rsidP="001B1B90">
            <w:pPr>
              <w:spacing w:after="0" w:line="240" w:lineRule="auto"/>
              <w:rPr>
                <w:rFonts w:ascii="Times New Roman" w:hAnsi="Times New Roman" w:cs="Times New Roman"/>
              </w:rPr>
            </w:pPr>
            <w:r w:rsidRPr="00FD7B0B">
              <w:rPr>
                <w:rFonts w:ascii="Times New Roman" w:hAnsi="Times New Roman" w:cs="Times New Roman"/>
              </w:rPr>
              <w:t>Социальные выплаты безработным гражданам и иным категориям граждан в соответствии с законодательством о занятости населения (социальные выплаты безработным гражданам)</w:t>
            </w:r>
          </w:p>
        </w:tc>
        <w:tc>
          <w:tcPr>
            <w:tcW w:w="958" w:type="dxa"/>
            <w:tcBorders>
              <w:top w:val="nil"/>
              <w:left w:val="nil"/>
              <w:bottom w:val="single" w:sz="4" w:space="0" w:color="auto"/>
              <w:right w:val="single" w:sz="4" w:space="0" w:color="auto"/>
            </w:tcBorders>
            <w:shd w:val="clear" w:color="auto" w:fill="auto"/>
            <w:vAlign w:val="center"/>
            <w:hideMark/>
          </w:tcPr>
          <w:p w14:paraId="049EB544"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564,8 </w:t>
            </w:r>
          </w:p>
        </w:tc>
        <w:tc>
          <w:tcPr>
            <w:tcW w:w="958" w:type="dxa"/>
            <w:tcBorders>
              <w:top w:val="nil"/>
              <w:left w:val="nil"/>
              <w:bottom w:val="single" w:sz="4" w:space="0" w:color="auto"/>
              <w:right w:val="single" w:sz="4" w:space="0" w:color="auto"/>
            </w:tcBorders>
            <w:shd w:val="clear" w:color="auto" w:fill="auto"/>
            <w:vAlign w:val="center"/>
            <w:hideMark/>
          </w:tcPr>
          <w:p w14:paraId="579CAB66"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455,0 </w:t>
            </w:r>
          </w:p>
        </w:tc>
        <w:tc>
          <w:tcPr>
            <w:tcW w:w="1120" w:type="dxa"/>
            <w:tcBorders>
              <w:top w:val="nil"/>
              <w:left w:val="nil"/>
              <w:bottom w:val="single" w:sz="4" w:space="0" w:color="auto"/>
              <w:right w:val="single" w:sz="4" w:space="0" w:color="auto"/>
            </w:tcBorders>
            <w:shd w:val="clear" w:color="auto" w:fill="auto"/>
            <w:vAlign w:val="center"/>
            <w:hideMark/>
          </w:tcPr>
          <w:p w14:paraId="30683CA6"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-109,8 </w:t>
            </w:r>
          </w:p>
        </w:tc>
        <w:tc>
          <w:tcPr>
            <w:tcW w:w="804" w:type="dxa"/>
            <w:tcBorders>
              <w:top w:val="nil"/>
              <w:left w:val="nil"/>
              <w:bottom w:val="single" w:sz="4" w:space="0" w:color="auto"/>
              <w:right w:val="double" w:sz="4" w:space="0" w:color="auto"/>
            </w:tcBorders>
            <w:shd w:val="clear" w:color="auto" w:fill="auto"/>
            <w:vAlign w:val="center"/>
            <w:hideMark/>
          </w:tcPr>
          <w:p w14:paraId="29EB88EB"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-19,4 </w:t>
            </w:r>
          </w:p>
        </w:tc>
      </w:tr>
      <w:tr w:rsidR="00FD7B0B" w:rsidRPr="00FD7B0B" w14:paraId="537720B9" w14:textId="77777777" w:rsidTr="00EF481F">
        <w:trPr>
          <w:trHeight w:val="70"/>
        </w:trPr>
        <w:tc>
          <w:tcPr>
            <w:tcW w:w="5931" w:type="dxa"/>
            <w:tcBorders>
              <w:top w:val="nil"/>
              <w:left w:val="double" w:sz="4" w:space="0" w:color="auto"/>
              <w:bottom w:val="single" w:sz="4" w:space="0" w:color="auto"/>
              <w:right w:val="single" w:sz="4" w:space="0" w:color="auto"/>
            </w:tcBorders>
            <w:shd w:val="clear" w:color="auto" w:fill="auto"/>
            <w:vAlign w:val="center"/>
            <w:hideMark/>
          </w:tcPr>
          <w:p w14:paraId="27A39037" w14:textId="77777777" w:rsidR="0041599B" w:rsidRPr="00FD7B0B" w:rsidRDefault="0041599B" w:rsidP="001B1B90">
            <w:pPr>
              <w:spacing w:after="0" w:line="240" w:lineRule="auto"/>
              <w:rPr>
                <w:rFonts w:ascii="Times New Roman" w:hAnsi="Times New Roman" w:cs="Times New Roman"/>
              </w:rPr>
            </w:pPr>
            <w:r w:rsidRPr="00FD7B0B">
              <w:rPr>
                <w:rFonts w:ascii="Times New Roman" w:hAnsi="Times New Roman" w:cs="Times New Roman"/>
              </w:rPr>
              <w:t>Оплата жилищно-коммунальных услуг отдельным категориям граждан</w:t>
            </w:r>
          </w:p>
        </w:tc>
        <w:tc>
          <w:tcPr>
            <w:tcW w:w="958" w:type="dxa"/>
            <w:tcBorders>
              <w:top w:val="nil"/>
              <w:left w:val="nil"/>
              <w:bottom w:val="single" w:sz="4" w:space="0" w:color="auto"/>
              <w:right w:val="single" w:sz="4" w:space="0" w:color="auto"/>
            </w:tcBorders>
            <w:shd w:val="clear" w:color="auto" w:fill="auto"/>
            <w:vAlign w:val="center"/>
            <w:hideMark/>
          </w:tcPr>
          <w:p w14:paraId="48E05A55"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982,3 </w:t>
            </w:r>
          </w:p>
        </w:tc>
        <w:tc>
          <w:tcPr>
            <w:tcW w:w="958" w:type="dxa"/>
            <w:tcBorders>
              <w:top w:val="nil"/>
              <w:left w:val="nil"/>
              <w:bottom w:val="single" w:sz="4" w:space="0" w:color="auto"/>
              <w:right w:val="single" w:sz="4" w:space="0" w:color="auto"/>
            </w:tcBorders>
            <w:shd w:val="clear" w:color="auto" w:fill="auto"/>
            <w:vAlign w:val="center"/>
            <w:hideMark/>
          </w:tcPr>
          <w:p w14:paraId="61F64C3D"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1 015,0 </w:t>
            </w:r>
          </w:p>
        </w:tc>
        <w:tc>
          <w:tcPr>
            <w:tcW w:w="1120" w:type="dxa"/>
            <w:tcBorders>
              <w:top w:val="nil"/>
              <w:left w:val="nil"/>
              <w:bottom w:val="single" w:sz="4" w:space="0" w:color="auto"/>
              <w:right w:val="single" w:sz="4" w:space="0" w:color="auto"/>
            </w:tcBorders>
            <w:shd w:val="clear" w:color="auto" w:fill="auto"/>
            <w:vAlign w:val="center"/>
            <w:hideMark/>
          </w:tcPr>
          <w:p w14:paraId="40D7A670"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32,6 </w:t>
            </w:r>
          </w:p>
        </w:tc>
        <w:tc>
          <w:tcPr>
            <w:tcW w:w="804" w:type="dxa"/>
            <w:tcBorders>
              <w:top w:val="nil"/>
              <w:left w:val="nil"/>
              <w:bottom w:val="single" w:sz="4" w:space="0" w:color="auto"/>
              <w:right w:val="double" w:sz="4" w:space="0" w:color="auto"/>
            </w:tcBorders>
            <w:shd w:val="clear" w:color="auto" w:fill="auto"/>
            <w:vAlign w:val="center"/>
            <w:hideMark/>
          </w:tcPr>
          <w:p w14:paraId="2C18EE35"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3,3 </w:t>
            </w:r>
          </w:p>
        </w:tc>
      </w:tr>
      <w:tr w:rsidR="0041599B" w:rsidRPr="00FD7B0B" w14:paraId="75CFA103" w14:textId="77777777" w:rsidTr="00EF481F">
        <w:trPr>
          <w:trHeight w:val="70"/>
        </w:trPr>
        <w:tc>
          <w:tcPr>
            <w:tcW w:w="5931" w:type="dxa"/>
            <w:tcBorders>
              <w:top w:val="nil"/>
              <w:left w:val="double" w:sz="4" w:space="0" w:color="auto"/>
              <w:bottom w:val="double" w:sz="4" w:space="0" w:color="auto"/>
              <w:right w:val="single" w:sz="4" w:space="0" w:color="auto"/>
            </w:tcBorders>
            <w:shd w:val="clear" w:color="auto" w:fill="auto"/>
            <w:vAlign w:val="center"/>
            <w:hideMark/>
          </w:tcPr>
          <w:p w14:paraId="1C2F3F43" w14:textId="77777777" w:rsidR="0041599B" w:rsidRPr="00FD7B0B" w:rsidRDefault="0041599B" w:rsidP="001B1B90">
            <w:pPr>
              <w:spacing w:after="0" w:line="240" w:lineRule="auto"/>
              <w:rPr>
                <w:rFonts w:ascii="Times New Roman" w:hAnsi="Times New Roman" w:cs="Times New Roman"/>
              </w:rPr>
            </w:pPr>
            <w:r w:rsidRPr="00FD7B0B">
              <w:rPr>
                <w:rFonts w:ascii="Times New Roman" w:hAnsi="Times New Roman" w:cs="Times New Roman"/>
              </w:rPr>
              <w:t>Расходы, связанные с оказанием государственной социальной помощи на основании социального контракта отдельным категориям граждан</w:t>
            </w:r>
          </w:p>
        </w:tc>
        <w:tc>
          <w:tcPr>
            <w:tcW w:w="958" w:type="dxa"/>
            <w:tcBorders>
              <w:top w:val="nil"/>
              <w:left w:val="nil"/>
              <w:bottom w:val="double" w:sz="4" w:space="0" w:color="auto"/>
              <w:right w:val="single" w:sz="4" w:space="0" w:color="auto"/>
            </w:tcBorders>
            <w:shd w:val="clear" w:color="auto" w:fill="auto"/>
            <w:vAlign w:val="center"/>
            <w:hideMark/>
          </w:tcPr>
          <w:p w14:paraId="5B9AAFF3"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345,4 </w:t>
            </w:r>
          </w:p>
        </w:tc>
        <w:tc>
          <w:tcPr>
            <w:tcW w:w="958" w:type="dxa"/>
            <w:tcBorders>
              <w:top w:val="nil"/>
              <w:left w:val="nil"/>
              <w:bottom w:val="double" w:sz="4" w:space="0" w:color="auto"/>
              <w:right w:val="single" w:sz="4" w:space="0" w:color="auto"/>
            </w:tcBorders>
            <w:shd w:val="clear" w:color="auto" w:fill="auto"/>
            <w:vAlign w:val="center"/>
            <w:hideMark/>
          </w:tcPr>
          <w:p w14:paraId="585CE979"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319,1 </w:t>
            </w:r>
          </w:p>
        </w:tc>
        <w:tc>
          <w:tcPr>
            <w:tcW w:w="1120" w:type="dxa"/>
            <w:tcBorders>
              <w:top w:val="nil"/>
              <w:left w:val="nil"/>
              <w:bottom w:val="double" w:sz="4" w:space="0" w:color="auto"/>
              <w:right w:val="single" w:sz="4" w:space="0" w:color="auto"/>
            </w:tcBorders>
            <w:shd w:val="clear" w:color="auto" w:fill="auto"/>
            <w:vAlign w:val="center"/>
            <w:hideMark/>
          </w:tcPr>
          <w:p w14:paraId="7F75ABE2"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-26,3 </w:t>
            </w:r>
          </w:p>
        </w:tc>
        <w:tc>
          <w:tcPr>
            <w:tcW w:w="804" w:type="dxa"/>
            <w:tcBorders>
              <w:top w:val="nil"/>
              <w:left w:val="nil"/>
              <w:bottom w:val="double" w:sz="4" w:space="0" w:color="auto"/>
              <w:right w:val="double" w:sz="4" w:space="0" w:color="auto"/>
            </w:tcBorders>
            <w:shd w:val="clear" w:color="auto" w:fill="auto"/>
            <w:vAlign w:val="center"/>
            <w:hideMark/>
          </w:tcPr>
          <w:p w14:paraId="604FF0A4" w14:textId="77777777" w:rsidR="0041599B" w:rsidRPr="00FD7B0B" w:rsidRDefault="0041599B" w:rsidP="001B1B90">
            <w:pPr>
              <w:spacing w:after="0" w:line="240" w:lineRule="auto"/>
              <w:jc w:val="right"/>
              <w:rPr>
                <w:rFonts w:ascii="Times New Roman" w:hAnsi="Times New Roman" w:cs="Times New Roman"/>
              </w:rPr>
            </w:pPr>
            <w:r w:rsidRPr="00FD7B0B">
              <w:rPr>
                <w:rFonts w:ascii="Times New Roman" w:hAnsi="Times New Roman" w:cs="Times New Roman"/>
              </w:rPr>
              <w:t xml:space="preserve">-7,6 </w:t>
            </w:r>
          </w:p>
        </w:tc>
      </w:tr>
    </w:tbl>
    <w:p w14:paraId="7D32AE9F" w14:textId="77777777" w:rsidR="0041599B" w:rsidRPr="00FD7B0B" w:rsidRDefault="0041599B" w:rsidP="002467A3">
      <w:pPr>
        <w:spacing w:after="0" w:line="240" w:lineRule="auto"/>
        <w:rPr>
          <w:rFonts w:ascii="Times New Roman" w:hAnsi="Times New Roman" w:cs="Times New Roman"/>
        </w:rPr>
      </w:pPr>
    </w:p>
    <w:p w14:paraId="1C621368" w14:textId="77777777" w:rsidR="0041599B" w:rsidRPr="00FD7B0B" w:rsidRDefault="0041599B" w:rsidP="002467A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Увеличение расходов отчетного периода по отношению к 2023 году по элементу вида расходов 321 в большей части обеспечивается за счет роста расходов на обеспечение мер социальной поддержки ветеранов труда (+193,4 млн.руб.) и выплат денежных компенсаций за наем жилых помещений работникам государственных медицинских организаций Архангельской области (+69,9 млн.руб.);</w:t>
      </w:r>
    </w:p>
    <w:p w14:paraId="798F4A2E" w14:textId="3D97B872" w:rsidR="0041599B" w:rsidRPr="00FD7B0B" w:rsidRDefault="0041599B" w:rsidP="002467A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3) По элементу вида расходов 323 «Приобретение товаров, работ, услуг в пользу граждан в целях их социального обеспечения» расходы за отчетный период составили 4 072,9 млн.руб. (100,0 % к плану года)</w:t>
      </w:r>
      <w:r w:rsidR="002467A3"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 xml:space="preserve"> и по сравнению с аналогичными расходами за 2023 год они увеличились на 22,4 % (+744,0 млн.руб.), из которых наибольшие отражены в таблице </w:t>
      </w:r>
      <w:r w:rsidR="00066D30" w:rsidRPr="00FD7B0B">
        <w:rPr>
          <w:rFonts w:ascii="Times New Roman" w:eastAsia="Calibri" w:hAnsi="Times New Roman" w:cs="Times New Roman"/>
          <w:sz w:val="28"/>
          <w:szCs w:val="28"/>
        </w:rPr>
        <w:t>57</w:t>
      </w:r>
      <w:r w:rsidRPr="00FD7B0B">
        <w:rPr>
          <w:rFonts w:ascii="Times New Roman" w:eastAsia="Calibri" w:hAnsi="Times New Roman" w:cs="Times New Roman"/>
          <w:sz w:val="28"/>
          <w:szCs w:val="28"/>
        </w:rPr>
        <w:t>.</w:t>
      </w:r>
    </w:p>
    <w:p w14:paraId="091DB8E8" w14:textId="77777777" w:rsidR="0041599B" w:rsidRPr="00FD7B0B" w:rsidRDefault="0041599B" w:rsidP="002467A3">
      <w:pPr>
        <w:pStyle w:val="aff0"/>
        <w:spacing w:after="0" w:line="240" w:lineRule="auto"/>
        <w:rPr>
          <w:rFonts w:ascii="Times New Roman" w:hAnsi="Times New Roman"/>
          <w:b w:val="0"/>
          <w:sz w:val="24"/>
          <w:szCs w:val="24"/>
        </w:rPr>
      </w:pPr>
    </w:p>
    <w:p w14:paraId="544B48DD" w14:textId="77773DBA" w:rsidR="0041599B" w:rsidRPr="00FD7B0B" w:rsidRDefault="0041599B" w:rsidP="002467A3">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57</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Отдельные расходы областного бюджета по элементу вида расходов 323 «Приобретение товаров, работ, услуг в пользу граждан в целях их социального обеспечения» за 2023 и 2024 годы (свыше </w:t>
      </w:r>
      <w:r w:rsidR="00EF481F" w:rsidRPr="00FD7B0B">
        <w:rPr>
          <w:rFonts w:ascii="Times New Roman" w:hAnsi="Times New Roman"/>
          <w:b w:val="0"/>
          <w:sz w:val="24"/>
          <w:szCs w:val="24"/>
        </w:rPr>
        <w:t>2</w:t>
      </w:r>
      <w:r w:rsidRPr="00FD7B0B">
        <w:rPr>
          <w:rFonts w:ascii="Times New Roman" w:hAnsi="Times New Roman"/>
          <w:b w:val="0"/>
          <w:sz w:val="24"/>
          <w:szCs w:val="24"/>
        </w:rPr>
        <w:t>00,0 млн.руб.), млн.руб.</w:t>
      </w:r>
    </w:p>
    <w:tbl>
      <w:tblPr>
        <w:tblW w:w="9862" w:type="dxa"/>
        <w:tblLayout w:type="fixed"/>
        <w:tblLook w:val="04A0" w:firstRow="1" w:lastRow="0" w:firstColumn="1" w:lastColumn="0" w:noHBand="0" w:noVBand="1"/>
      </w:tblPr>
      <w:tblGrid>
        <w:gridCol w:w="5797"/>
        <w:gridCol w:w="1134"/>
        <w:gridCol w:w="1139"/>
        <w:gridCol w:w="1129"/>
        <w:gridCol w:w="663"/>
      </w:tblGrid>
      <w:tr w:rsidR="00FD7B0B" w:rsidRPr="00FD7B0B" w14:paraId="28C3384A" w14:textId="77777777" w:rsidTr="00831C77">
        <w:trPr>
          <w:trHeight w:val="35"/>
          <w:tblHeader/>
        </w:trPr>
        <w:tc>
          <w:tcPr>
            <w:tcW w:w="5797"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737230B" w14:textId="77777777" w:rsidR="0041599B" w:rsidRPr="00FD7B0B" w:rsidRDefault="0041599B" w:rsidP="00831C77">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1134"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9485841" w14:textId="77777777" w:rsidR="0041599B" w:rsidRPr="00FD7B0B" w:rsidRDefault="0041599B" w:rsidP="00831C77">
            <w:pPr>
              <w:spacing w:after="0" w:line="240" w:lineRule="auto"/>
              <w:jc w:val="center"/>
              <w:rPr>
                <w:rFonts w:ascii="Times New Roman" w:hAnsi="Times New Roman" w:cs="Times New Roman"/>
              </w:rPr>
            </w:pPr>
            <w:r w:rsidRPr="00FD7B0B">
              <w:rPr>
                <w:rFonts w:ascii="Times New Roman" w:hAnsi="Times New Roman" w:cs="Times New Roman"/>
              </w:rPr>
              <w:t>2023 год</w:t>
            </w:r>
          </w:p>
        </w:tc>
        <w:tc>
          <w:tcPr>
            <w:tcW w:w="113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76E87BB" w14:textId="77777777" w:rsidR="0041599B" w:rsidRPr="00FD7B0B" w:rsidRDefault="0041599B" w:rsidP="00831C77">
            <w:pPr>
              <w:spacing w:after="0" w:line="240" w:lineRule="auto"/>
              <w:jc w:val="center"/>
              <w:rPr>
                <w:rFonts w:ascii="Times New Roman" w:hAnsi="Times New Roman" w:cs="Times New Roman"/>
              </w:rPr>
            </w:pPr>
            <w:r w:rsidRPr="00FD7B0B">
              <w:rPr>
                <w:rFonts w:ascii="Times New Roman" w:hAnsi="Times New Roman" w:cs="Times New Roman"/>
              </w:rPr>
              <w:t>2024 год</w:t>
            </w:r>
          </w:p>
        </w:tc>
        <w:tc>
          <w:tcPr>
            <w:tcW w:w="1792" w:type="dxa"/>
            <w:gridSpan w:val="2"/>
            <w:tcBorders>
              <w:top w:val="double" w:sz="4" w:space="0" w:color="auto"/>
              <w:left w:val="nil"/>
              <w:bottom w:val="single" w:sz="4" w:space="0" w:color="auto"/>
              <w:right w:val="double" w:sz="4" w:space="0" w:color="auto"/>
            </w:tcBorders>
            <w:shd w:val="clear" w:color="auto" w:fill="auto"/>
            <w:vAlign w:val="center"/>
            <w:hideMark/>
          </w:tcPr>
          <w:p w14:paraId="665A1422" w14:textId="77777777" w:rsidR="0041599B" w:rsidRPr="00FD7B0B" w:rsidRDefault="0041599B" w:rsidP="00831C77">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6CA80739" w14:textId="77777777" w:rsidTr="00831C77">
        <w:trPr>
          <w:trHeight w:val="35"/>
          <w:tblHeader/>
        </w:trPr>
        <w:tc>
          <w:tcPr>
            <w:tcW w:w="5797" w:type="dxa"/>
            <w:vMerge/>
            <w:tcBorders>
              <w:top w:val="double" w:sz="6" w:space="0" w:color="auto"/>
              <w:left w:val="double" w:sz="4" w:space="0" w:color="auto"/>
              <w:bottom w:val="single" w:sz="4" w:space="0" w:color="auto"/>
              <w:right w:val="single" w:sz="4" w:space="0" w:color="auto"/>
            </w:tcBorders>
            <w:vAlign w:val="center"/>
            <w:hideMark/>
          </w:tcPr>
          <w:p w14:paraId="645343D9" w14:textId="77777777" w:rsidR="0041599B" w:rsidRPr="00FD7B0B" w:rsidRDefault="0041599B" w:rsidP="00831C77">
            <w:pPr>
              <w:spacing w:after="0" w:line="240" w:lineRule="auto"/>
              <w:jc w:val="center"/>
              <w:rPr>
                <w:rFonts w:ascii="Times New Roman" w:hAnsi="Times New Roman" w:cs="Times New Roman"/>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695EDB48" w14:textId="77777777" w:rsidR="0041599B" w:rsidRPr="00FD7B0B" w:rsidRDefault="0041599B" w:rsidP="00831C77">
            <w:pPr>
              <w:spacing w:after="0" w:line="240" w:lineRule="auto"/>
              <w:jc w:val="center"/>
              <w:rPr>
                <w:rFonts w:ascii="Times New Roman" w:hAnsi="Times New Roman" w:cs="Times New Roman"/>
              </w:rPr>
            </w:pPr>
          </w:p>
        </w:tc>
        <w:tc>
          <w:tcPr>
            <w:tcW w:w="1139" w:type="dxa"/>
            <w:vMerge/>
            <w:tcBorders>
              <w:top w:val="double" w:sz="6" w:space="0" w:color="auto"/>
              <w:left w:val="single" w:sz="4" w:space="0" w:color="auto"/>
              <w:bottom w:val="single" w:sz="4" w:space="0" w:color="auto"/>
              <w:right w:val="single" w:sz="4" w:space="0" w:color="auto"/>
            </w:tcBorders>
            <w:vAlign w:val="center"/>
            <w:hideMark/>
          </w:tcPr>
          <w:p w14:paraId="770F583B" w14:textId="77777777" w:rsidR="0041599B" w:rsidRPr="00FD7B0B" w:rsidRDefault="0041599B" w:rsidP="00831C77">
            <w:pPr>
              <w:spacing w:after="0" w:line="240" w:lineRule="auto"/>
              <w:jc w:val="center"/>
              <w:rPr>
                <w:rFonts w:ascii="Times New Roman" w:hAnsi="Times New Roman" w:cs="Times New Roman"/>
              </w:rPr>
            </w:pPr>
          </w:p>
        </w:tc>
        <w:tc>
          <w:tcPr>
            <w:tcW w:w="1129" w:type="dxa"/>
            <w:tcBorders>
              <w:top w:val="nil"/>
              <w:left w:val="nil"/>
              <w:bottom w:val="single" w:sz="4" w:space="0" w:color="auto"/>
              <w:right w:val="single" w:sz="4" w:space="0" w:color="auto"/>
            </w:tcBorders>
            <w:shd w:val="clear" w:color="auto" w:fill="auto"/>
            <w:vAlign w:val="center"/>
            <w:hideMark/>
          </w:tcPr>
          <w:p w14:paraId="22B8D209" w14:textId="77777777" w:rsidR="0041599B" w:rsidRPr="00FD7B0B" w:rsidRDefault="0041599B" w:rsidP="00831C77">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663" w:type="dxa"/>
            <w:tcBorders>
              <w:top w:val="nil"/>
              <w:left w:val="nil"/>
              <w:bottom w:val="single" w:sz="4" w:space="0" w:color="auto"/>
              <w:right w:val="double" w:sz="4" w:space="0" w:color="auto"/>
            </w:tcBorders>
            <w:shd w:val="clear" w:color="auto" w:fill="auto"/>
            <w:vAlign w:val="center"/>
            <w:hideMark/>
          </w:tcPr>
          <w:p w14:paraId="275E6DD3" w14:textId="1B11C341" w:rsidR="0041599B" w:rsidRPr="00FD7B0B" w:rsidRDefault="0041599B" w:rsidP="00831C77">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2D927A47" w14:textId="77777777" w:rsidTr="00831C77">
        <w:trPr>
          <w:trHeight w:val="70"/>
        </w:trPr>
        <w:tc>
          <w:tcPr>
            <w:tcW w:w="5797" w:type="dxa"/>
            <w:tcBorders>
              <w:top w:val="nil"/>
              <w:left w:val="double" w:sz="4" w:space="0" w:color="auto"/>
              <w:bottom w:val="single" w:sz="4" w:space="0" w:color="auto"/>
              <w:right w:val="single" w:sz="4" w:space="0" w:color="auto"/>
            </w:tcBorders>
            <w:shd w:val="clear" w:color="auto" w:fill="auto"/>
            <w:vAlign w:val="center"/>
            <w:hideMark/>
          </w:tcPr>
          <w:p w14:paraId="45334773" w14:textId="77777777" w:rsidR="0041599B" w:rsidRPr="00FD7B0B" w:rsidRDefault="0041599B" w:rsidP="00831C77">
            <w:pPr>
              <w:spacing w:after="0" w:line="240" w:lineRule="auto"/>
              <w:rPr>
                <w:rFonts w:ascii="Times New Roman" w:hAnsi="Times New Roman" w:cs="Times New Roman"/>
              </w:rPr>
            </w:pPr>
            <w:r w:rsidRPr="00FD7B0B">
              <w:rPr>
                <w:rFonts w:ascii="Times New Roman" w:hAnsi="Times New Roman" w:cs="Times New Roman"/>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1134" w:type="dxa"/>
            <w:tcBorders>
              <w:top w:val="nil"/>
              <w:left w:val="nil"/>
              <w:bottom w:val="single" w:sz="4" w:space="0" w:color="auto"/>
              <w:right w:val="single" w:sz="4" w:space="0" w:color="auto"/>
            </w:tcBorders>
            <w:shd w:val="clear" w:color="auto" w:fill="auto"/>
            <w:vAlign w:val="center"/>
            <w:hideMark/>
          </w:tcPr>
          <w:p w14:paraId="5B48DAD8"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445,4 </w:t>
            </w:r>
          </w:p>
        </w:tc>
        <w:tc>
          <w:tcPr>
            <w:tcW w:w="1139" w:type="dxa"/>
            <w:tcBorders>
              <w:top w:val="nil"/>
              <w:left w:val="nil"/>
              <w:bottom w:val="single" w:sz="4" w:space="0" w:color="auto"/>
              <w:right w:val="single" w:sz="4" w:space="0" w:color="auto"/>
            </w:tcBorders>
            <w:shd w:val="clear" w:color="auto" w:fill="auto"/>
            <w:vAlign w:val="center"/>
            <w:hideMark/>
          </w:tcPr>
          <w:p w14:paraId="15008908"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502,5 </w:t>
            </w:r>
          </w:p>
        </w:tc>
        <w:tc>
          <w:tcPr>
            <w:tcW w:w="1129" w:type="dxa"/>
            <w:tcBorders>
              <w:top w:val="nil"/>
              <w:left w:val="nil"/>
              <w:bottom w:val="single" w:sz="4" w:space="0" w:color="auto"/>
              <w:right w:val="single" w:sz="4" w:space="0" w:color="auto"/>
            </w:tcBorders>
            <w:shd w:val="clear" w:color="auto" w:fill="auto"/>
            <w:vAlign w:val="center"/>
            <w:hideMark/>
          </w:tcPr>
          <w:p w14:paraId="5095B559"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57,1 </w:t>
            </w:r>
          </w:p>
        </w:tc>
        <w:tc>
          <w:tcPr>
            <w:tcW w:w="663" w:type="dxa"/>
            <w:tcBorders>
              <w:top w:val="nil"/>
              <w:left w:val="nil"/>
              <w:bottom w:val="single" w:sz="4" w:space="0" w:color="auto"/>
              <w:right w:val="double" w:sz="4" w:space="0" w:color="auto"/>
            </w:tcBorders>
            <w:shd w:val="clear" w:color="auto" w:fill="auto"/>
            <w:vAlign w:val="center"/>
            <w:hideMark/>
          </w:tcPr>
          <w:p w14:paraId="1A5AEF13"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12,8 </w:t>
            </w:r>
          </w:p>
        </w:tc>
      </w:tr>
      <w:tr w:rsidR="00FD7B0B" w:rsidRPr="00FD7B0B" w14:paraId="001BA02C" w14:textId="77777777" w:rsidTr="00831C77">
        <w:trPr>
          <w:trHeight w:val="70"/>
        </w:trPr>
        <w:tc>
          <w:tcPr>
            <w:tcW w:w="5797" w:type="dxa"/>
            <w:tcBorders>
              <w:top w:val="nil"/>
              <w:left w:val="double" w:sz="4" w:space="0" w:color="auto"/>
              <w:bottom w:val="single" w:sz="4" w:space="0" w:color="auto"/>
              <w:right w:val="single" w:sz="4" w:space="0" w:color="auto"/>
            </w:tcBorders>
            <w:shd w:val="clear" w:color="auto" w:fill="auto"/>
            <w:vAlign w:val="center"/>
            <w:hideMark/>
          </w:tcPr>
          <w:p w14:paraId="6769CF7B" w14:textId="77777777" w:rsidR="0041599B" w:rsidRPr="00FD7B0B" w:rsidRDefault="0041599B" w:rsidP="00831C77">
            <w:pPr>
              <w:spacing w:after="0" w:line="240" w:lineRule="auto"/>
              <w:rPr>
                <w:rFonts w:ascii="Times New Roman" w:hAnsi="Times New Roman" w:cs="Times New Roman"/>
              </w:rPr>
            </w:pPr>
            <w:r w:rsidRPr="00FD7B0B">
              <w:rPr>
                <w:rFonts w:ascii="Times New Roman" w:hAnsi="Times New Roman" w:cs="Times New Roman"/>
              </w:rPr>
              <w:t>Обеспечение лекарственными препаратами отдельных групп населения</w:t>
            </w:r>
          </w:p>
        </w:tc>
        <w:tc>
          <w:tcPr>
            <w:tcW w:w="1134" w:type="dxa"/>
            <w:tcBorders>
              <w:top w:val="nil"/>
              <w:left w:val="nil"/>
              <w:bottom w:val="single" w:sz="4" w:space="0" w:color="auto"/>
              <w:right w:val="single" w:sz="4" w:space="0" w:color="auto"/>
            </w:tcBorders>
            <w:shd w:val="clear" w:color="auto" w:fill="auto"/>
            <w:vAlign w:val="center"/>
            <w:hideMark/>
          </w:tcPr>
          <w:p w14:paraId="61498BC8"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1 933,9 </w:t>
            </w:r>
          </w:p>
        </w:tc>
        <w:tc>
          <w:tcPr>
            <w:tcW w:w="1139" w:type="dxa"/>
            <w:tcBorders>
              <w:top w:val="nil"/>
              <w:left w:val="nil"/>
              <w:bottom w:val="single" w:sz="4" w:space="0" w:color="auto"/>
              <w:right w:val="single" w:sz="4" w:space="0" w:color="auto"/>
            </w:tcBorders>
            <w:shd w:val="clear" w:color="auto" w:fill="auto"/>
            <w:vAlign w:val="center"/>
            <w:hideMark/>
          </w:tcPr>
          <w:p w14:paraId="5D845949"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2 524,3 </w:t>
            </w:r>
          </w:p>
        </w:tc>
        <w:tc>
          <w:tcPr>
            <w:tcW w:w="1129" w:type="dxa"/>
            <w:tcBorders>
              <w:top w:val="nil"/>
              <w:left w:val="nil"/>
              <w:bottom w:val="single" w:sz="4" w:space="0" w:color="auto"/>
              <w:right w:val="single" w:sz="4" w:space="0" w:color="auto"/>
            </w:tcBorders>
            <w:shd w:val="clear" w:color="auto" w:fill="auto"/>
            <w:vAlign w:val="center"/>
            <w:hideMark/>
          </w:tcPr>
          <w:p w14:paraId="3962395C"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590,4 </w:t>
            </w:r>
          </w:p>
        </w:tc>
        <w:tc>
          <w:tcPr>
            <w:tcW w:w="663" w:type="dxa"/>
            <w:tcBorders>
              <w:top w:val="nil"/>
              <w:left w:val="nil"/>
              <w:bottom w:val="single" w:sz="4" w:space="0" w:color="auto"/>
              <w:right w:val="double" w:sz="4" w:space="0" w:color="auto"/>
            </w:tcBorders>
            <w:shd w:val="clear" w:color="auto" w:fill="auto"/>
            <w:vAlign w:val="center"/>
            <w:hideMark/>
          </w:tcPr>
          <w:p w14:paraId="083F5139"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30,5 </w:t>
            </w:r>
          </w:p>
        </w:tc>
      </w:tr>
      <w:tr w:rsidR="0041599B" w:rsidRPr="00FD7B0B" w14:paraId="5959C023" w14:textId="77777777" w:rsidTr="00EF481F">
        <w:trPr>
          <w:trHeight w:val="70"/>
        </w:trPr>
        <w:tc>
          <w:tcPr>
            <w:tcW w:w="5797" w:type="dxa"/>
            <w:tcBorders>
              <w:top w:val="nil"/>
              <w:left w:val="double" w:sz="4" w:space="0" w:color="auto"/>
              <w:bottom w:val="double" w:sz="4" w:space="0" w:color="auto"/>
              <w:right w:val="single" w:sz="4" w:space="0" w:color="auto"/>
            </w:tcBorders>
            <w:shd w:val="clear" w:color="auto" w:fill="auto"/>
            <w:vAlign w:val="center"/>
            <w:hideMark/>
          </w:tcPr>
          <w:p w14:paraId="3EDC6EC2" w14:textId="77777777" w:rsidR="0041599B" w:rsidRPr="00FD7B0B" w:rsidRDefault="0041599B" w:rsidP="00831C77">
            <w:pPr>
              <w:spacing w:after="0" w:line="240" w:lineRule="auto"/>
              <w:rPr>
                <w:rFonts w:ascii="Times New Roman" w:hAnsi="Times New Roman" w:cs="Times New Roman"/>
              </w:rPr>
            </w:pPr>
            <w:r w:rsidRPr="00FD7B0B">
              <w:rPr>
                <w:rFonts w:ascii="Times New Roman" w:hAnsi="Times New Roman" w:cs="Times New Roman"/>
              </w:rPr>
              <w:t>Обеспечение медицинскими изделиями отдельных групп населения</w:t>
            </w:r>
          </w:p>
        </w:tc>
        <w:tc>
          <w:tcPr>
            <w:tcW w:w="1134" w:type="dxa"/>
            <w:tcBorders>
              <w:top w:val="nil"/>
              <w:left w:val="nil"/>
              <w:bottom w:val="double" w:sz="4" w:space="0" w:color="auto"/>
              <w:right w:val="single" w:sz="4" w:space="0" w:color="auto"/>
            </w:tcBorders>
            <w:shd w:val="clear" w:color="auto" w:fill="auto"/>
            <w:vAlign w:val="center"/>
            <w:hideMark/>
          </w:tcPr>
          <w:p w14:paraId="2991D9DA"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240,0 </w:t>
            </w:r>
          </w:p>
        </w:tc>
        <w:tc>
          <w:tcPr>
            <w:tcW w:w="1139" w:type="dxa"/>
            <w:tcBorders>
              <w:top w:val="nil"/>
              <w:left w:val="nil"/>
              <w:bottom w:val="double" w:sz="4" w:space="0" w:color="auto"/>
              <w:right w:val="single" w:sz="4" w:space="0" w:color="auto"/>
            </w:tcBorders>
            <w:shd w:val="clear" w:color="auto" w:fill="auto"/>
            <w:vAlign w:val="center"/>
            <w:hideMark/>
          </w:tcPr>
          <w:p w14:paraId="5B5F4C19"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226,4 </w:t>
            </w:r>
          </w:p>
        </w:tc>
        <w:tc>
          <w:tcPr>
            <w:tcW w:w="1129" w:type="dxa"/>
            <w:tcBorders>
              <w:top w:val="nil"/>
              <w:left w:val="nil"/>
              <w:bottom w:val="double" w:sz="4" w:space="0" w:color="auto"/>
              <w:right w:val="single" w:sz="4" w:space="0" w:color="auto"/>
            </w:tcBorders>
            <w:shd w:val="clear" w:color="auto" w:fill="auto"/>
            <w:vAlign w:val="center"/>
            <w:hideMark/>
          </w:tcPr>
          <w:p w14:paraId="71F734FE"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-13,6 </w:t>
            </w:r>
          </w:p>
        </w:tc>
        <w:tc>
          <w:tcPr>
            <w:tcW w:w="663" w:type="dxa"/>
            <w:tcBorders>
              <w:top w:val="nil"/>
              <w:left w:val="nil"/>
              <w:bottom w:val="double" w:sz="4" w:space="0" w:color="auto"/>
              <w:right w:val="double" w:sz="4" w:space="0" w:color="auto"/>
            </w:tcBorders>
            <w:shd w:val="clear" w:color="auto" w:fill="auto"/>
            <w:vAlign w:val="center"/>
            <w:hideMark/>
          </w:tcPr>
          <w:p w14:paraId="33B8F347" w14:textId="77777777" w:rsidR="0041599B" w:rsidRPr="00FD7B0B" w:rsidRDefault="0041599B" w:rsidP="00831C77">
            <w:pPr>
              <w:spacing w:after="0" w:line="240" w:lineRule="auto"/>
              <w:jc w:val="right"/>
              <w:rPr>
                <w:rFonts w:ascii="Times New Roman" w:hAnsi="Times New Roman" w:cs="Times New Roman"/>
              </w:rPr>
            </w:pPr>
            <w:r w:rsidRPr="00FD7B0B">
              <w:rPr>
                <w:rFonts w:ascii="Times New Roman" w:hAnsi="Times New Roman" w:cs="Times New Roman"/>
              </w:rPr>
              <w:t xml:space="preserve">-5,7 </w:t>
            </w:r>
          </w:p>
        </w:tc>
      </w:tr>
    </w:tbl>
    <w:p w14:paraId="0D4EC550" w14:textId="77777777" w:rsidR="0041599B" w:rsidRPr="00FD7B0B" w:rsidRDefault="0041599B" w:rsidP="00831C77">
      <w:pPr>
        <w:spacing w:after="0" w:line="240" w:lineRule="auto"/>
        <w:ind w:firstLine="709"/>
        <w:jc w:val="both"/>
        <w:rPr>
          <w:rFonts w:ascii="Times New Roman" w:eastAsia="Calibri" w:hAnsi="Times New Roman" w:cs="Times New Roman"/>
          <w:sz w:val="28"/>
          <w:szCs w:val="28"/>
        </w:rPr>
      </w:pPr>
    </w:p>
    <w:p w14:paraId="21F44271" w14:textId="16E3C13A" w:rsidR="0041599B" w:rsidRPr="00FD7B0B" w:rsidRDefault="00831C77" w:rsidP="00831C77">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Прир</w:t>
      </w:r>
      <w:r w:rsidR="0041599B" w:rsidRPr="00FD7B0B">
        <w:rPr>
          <w:rFonts w:ascii="Times New Roman" w:eastAsia="Calibri" w:hAnsi="Times New Roman" w:cs="Times New Roman"/>
          <w:sz w:val="28"/>
          <w:szCs w:val="28"/>
        </w:rPr>
        <w:t xml:space="preserve">ост расходов отчетного периода по </w:t>
      </w:r>
      <w:r w:rsidRPr="00FD7B0B">
        <w:rPr>
          <w:rFonts w:ascii="Times New Roman" w:eastAsia="Calibri" w:hAnsi="Times New Roman" w:cs="Times New Roman"/>
          <w:sz w:val="28"/>
          <w:szCs w:val="28"/>
        </w:rPr>
        <w:t xml:space="preserve">указанному </w:t>
      </w:r>
      <w:r w:rsidR="0041599B" w:rsidRPr="00FD7B0B">
        <w:rPr>
          <w:rFonts w:ascii="Times New Roman" w:eastAsia="Calibri" w:hAnsi="Times New Roman" w:cs="Times New Roman"/>
          <w:sz w:val="28"/>
          <w:szCs w:val="28"/>
        </w:rPr>
        <w:t xml:space="preserve">элементу вида расходов в большей части </w:t>
      </w:r>
      <w:r w:rsidRPr="00FD7B0B">
        <w:rPr>
          <w:rFonts w:ascii="Times New Roman" w:eastAsia="Calibri" w:hAnsi="Times New Roman" w:cs="Times New Roman"/>
          <w:sz w:val="28"/>
          <w:szCs w:val="28"/>
        </w:rPr>
        <w:t>обеспечен</w:t>
      </w:r>
      <w:r w:rsidR="0041599B" w:rsidRPr="00FD7B0B">
        <w:rPr>
          <w:rFonts w:ascii="Times New Roman" w:eastAsia="Calibri" w:hAnsi="Times New Roman" w:cs="Times New Roman"/>
          <w:sz w:val="28"/>
          <w:szCs w:val="28"/>
        </w:rPr>
        <w:t xml:space="preserve"> ростом расходов на обеспечение лекарственными препаратами отдельных групп населения на 30,5 % (+590,4 млн.руб.).</w:t>
      </w:r>
    </w:p>
    <w:p w14:paraId="32A59B41" w14:textId="1142B98F" w:rsidR="0041599B" w:rsidRPr="00FD7B0B" w:rsidRDefault="0041599B" w:rsidP="003D5AF2">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4) По элементу вида расходов 330 «Публичные нормативные выплаты гражданам несоциального характера» расходы составили 944,1 млн.руб. (99,8 % к плану года), что на 555,9 млн.руб. или в 2,4 раза превышают аналогичные расходы за 2023 год, наибольшие из которых отражены в таблице </w:t>
      </w:r>
      <w:r w:rsidR="00066D30" w:rsidRPr="00FD7B0B">
        <w:rPr>
          <w:rFonts w:ascii="Times New Roman" w:eastAsia="Calibri" w:hAnsi="Times New Roman" w:cs="Times New Roman"/>
          <w:sz w:val="28"/>
          <w:szCs w:val="28"/>
        </w:rPr>
        <w:t>58</w:t>
      </w:r>
      <w:r w:rsidRPr="00FD7B0B">
        <w:rPr>
          <w:rFonts w:ascii="Times New Roman" w:eastAsia="Calibri" w:hAnsi="Times New Roman" w:cs="Times New Roman"/>
          <w:sz w:val="28"/>
          <w:szCs w:val="28"/>
        </w:rPr>
        <w:t>.</w:t>
      </w:r>
    </w:p>
    <w:p w14:paraId="1641DAEB" w14:textId="77777777" w:rsidR="0041599B" w:rsidRPr="00FD7B0B" w:rsidRDefault="0041599B" w:rsidP="003D5AF2">
      <w:pPr>
        <w:pStyle w:val="aff0"/>
        <w:spacing w:after="0" w:line="240" w:lineRule="auto"/>
        <w:rPr>
          <w:rFonts w:ascii="Times New Roman" w:hAnsi="Times New Roman"/>
          <w:b w:val="0"/>
          <w:sz w:val="24"/>
          <w:szCs w:val="24"/>
        </w:rPr>
      </w:pPr>
    </w:p>
    <w:p w14:paraId="777815BA" w14:textId="6EC39CD8" w:rsidR="0041599B" w:rsidRPr="00FD7B0B" w:rsidRDefault="0041599B" w:rsidP="003D5AF2">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58</w:t>
      </w:r>
      <w:r w:rsidRPr="00FD7B0B">
        <w:rPr>
          <w:rFonts w:ascii="Times New Roman" w:hAnsi="Times New Roman"/>
          <w:b w:val="0"/>
          <w:sz w:val="24"/>
          <w:szCs w:val="24"/>
        </w:rPr>
        <w:fldChar w:fldCharType="end"/>
      </w:r>
      <w:r w:rsidRPr="00FD7B0B">
        <w:rPr>
          <w:rFonts w:ascii="Times New Roman" w:hAnsi="Times New Roman"/>
          <w:b w:val="0"/>
          <w:sz w:val="24"/>
          <w:szCs w:val="24"/>
        </w:rPr>
        <w:t>. Наибольшие расходы областного бюджета по элементу вида расходов 330 «Публичные нормативные выплаты гражданам несоциального характера» за 2023 и 2024 годы</w:t>
      </w:r>
      <w:r w:rsidR="00180C37" w:rsidRPr="00FD7B0B">
        <w:rPr>
          <w:rFonts w:ascii="Times New Roman" w:hAnsi="Times New Roman"/>
          <w:b w:val="0"/>
          <w:sz w:val="24"/>
          <w:szCs w:val="24"/>
        </w:rPr>
        <w:t xml:space="preserve"> (свыше 30 млн.руб.)</w:t>
      </w:r>
      <w:r w:rsidRPr="00FD7B0B">
        <w:rPr>
          <w:rFonts w:ascii="Times New Roman" w:hAnsi="Times New Roman"/>
          <w:b w:val="0"/>
          <w:sz w:val="24"/>
          <w:szCs w:val="24"/>
        </w:rPr>
        <w:t>, млн.руб.</w:t>
      </w:r>
    </w:p>
    <w:tbl>
      <w:tblPr>
        <w:tblW w:w="9673" w:type="dxa"/>
        <w:tblLayout w:type="fixed"/>
        <w:tblLook w:val="04A0" w:firstRow="1" w:lastRow="0" w:firstColumn="1" w:lastColumn="0" w:noHBand="0" w:noVBand="1"/>
      </w:tblPr>
      <w:tblGrid>
        <w:gridCol w:w="6214"/>
        <w:gridCol w:w="884"/>
        <w:gridCol w:w="743"/>
        <w:gridCol w:w="1123"/>
        <w:gridCol w:w="709"/>
      </w:tblGrid>
      <w:tr w:rsidR="00FD7B0B" w:rsidRPr="00FD7B0B" w14:paraId="069581FE" w14:textId="77777777" w:rsidTr="00397995">
        <w:trPr>
          <w:trHeight w:val="35"/>
          <w:tblHeader/>
        </w:trPr>
        <w:tc>
          <w:tcPr>
            <w:tcW w:w="621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4E66ECA" w14:textId="77777777" w:rsidR="0041599B" w:rsidRPr="00FD7B0B" w:rsidRDefault="0041599B" w:rsidP="003D5AF2">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88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7351CB7" w14:textId="77777777" w:rsidR="0041599B" w:rsidRPr="00FD7B0B" w:rsidRDefault="0041599B" w:rsidP="003D5AF2">
            <w:pPr>
              <w:spacing w:after="0" w:line="240" w:lineRule="auto"/>
              <w:jc w:val="center"/>
              <w:rPr>
                <w:rFonts w:ascii="Times New Roman" w:hAnsi="Times New Roman" w:cs="Times New Roman"/>
              </w:rPr>
            </w:pPr>
            <w:r w:rsidRPr="00FD7B0B">
              <w:rPr>
                <w:rFonts w:ascii="Times New Roman" w:hAnsi="Times New Roman" w:cs="Times New Roman"/>
              </w:rPr>
              <w:t>2023 год</w:t>
            </w:r>
          </w:p>
        </w:tc>
        <w:tc>
          <w:tcPr>
            <w:tcW w:w="74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B9B7072" w14:textId="77777777" w:rsidR="0041599B" w:rsidRPr="00FD7B0B" w:rsidRDefault="0041599B" w:rsidP="003D5AF2">
            <w:pPr>
              <w:spacing w:after="0" w:line="240" w:lineRule="auto"/>
              <w:jc w:val="center"/>
              <w:rPr>
                <w:rFonts w:ascii="Times New Roman" w:hAnsi="Times New Roman" w:cs="Times New Roman"/>
              </w:rPr>
            </w:pPr>
            <w:r w:rsidRPr="00FD7B0B">
              <w:rPr>
                <w:rFonts w:ascii="Times New Roman" w:hAnsi="Times New Roman" w:cs="Times New Roman"/>
              </w:rPr>
              <w:t>2024 год</w:t>
            </w:r>
          </w:p>
        </w:tc>
        <w:tc>
          <w:tcPr>
            <w:tcW w:w="1832" w:type="dxa"/>
            <w:gridSpan w:val="2"/>
            <w:tcBorders>
              <w:top w:val="double" w:sz="6" w:space="0" w:color="auto"/>
              <w:left w:val="nil"/>
              <w:bottom w:val="single" w:sz="4" w:space="0" w:color="auto"/>
              <w:right w:val="double" w:sz="6" w:space="0" w:color="000000"/>
            </w:tcBorders>
            <w:shd w:val="clear" w:color="auto" w:fill="auto"/>
            <w:vAlign w:val="center"/>
            <w:hideMark/>
          </w:tcPr>
          <w:p w14:paraId="5535A8B1" w14:textId="77777777" w:rsidR="0041599B" w:rsidRPr="00FD7B0B" w:rsidRDefault="0041599B" w:rsidP="003D5AF2">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5EB2690D" w14:textId="77777777" w:rsidTr="00397995">
        <w:trPr>
          <w:trHeight w:val="57"/>
          <w:tblHeader/>
        </w:trPr>
        <w:tc>
          <w:tcPr>
            <w:tcW w:w="6214" w:type="dxa"/>
            <w:vMerge/>
            <w:tcBorders>
              <w:top w:val="double" w:sz="6" w:space="0" w:color="auto"/>
              <w:left w:val="double" w:sz="6" w:space="0" w:color="auto"/>
              <w:bottom w:val="single" w:sz="4" w:space="0" w:color="auto"/>
              <w:right w:val="single" w:sz="4" w:space="0" w:color="auto"/>
            </w:tcBorders>
            <w:vAlign w:val="center"/>
            <w:hideMark/>
          </w:tcPr>
          <w:p w14:paraId="30A8B222" w14:textId="77777777" w:rsidR="0041599B" w:rsidRPr="00FD7B0B" w:rsidRDefault="0041599B" w:rsidP="003D5AF2">
            <w:pPr>
              <w:spacing w:after="0" w:line="240" w:lineRule="auto"/>
              <w:jc w:val="center"/>
              <w:rPr>
                <w:rFonts w:ascii="Times New Roman" w:hAnsi="Times New Roman" w:cs="Times New Roman"/>
              </w:rPr>
            </w:pPr>
          </w:p>
        </w:tc>
        <w:tc>
          <w:tcPr>
            <w:tcW w:w="884" w:type="dxa"/>
            <w:vMerge/>
            <w:tcBorders>
              <w:top w:val="double" w:sz="6" w:space="0" w:color="auto"/>
              <w:left w:val="single" w:sz="4" w:space="0" w:color="auto"/>
              <w:bottom w:val="single" w:sz="4" w:space="0" w:color="auto"/>
              <w:right w:val="single" w:sz="4" w:space="0" w:color="auto"/>
            </w:tcBorders>
            <w:vAlign w:val="center"/>
            <w:hideMark/>
          </w:tcPr>
          <w:p w14:paraId="52C6996B" w14:textId="77777777" w:rsidR="0041599B" w:rsidRPr="00FD7B0B" w:rsidRDefault="0041599B" w:rsidP="003D5AF2">
            <w:pPr>
              <w:spacing w:after="0" w:line="240" w:lineRule="auto"/>
              <w:jc w:val="center"/>
              <w:rPr>
                <w:rFonts w:ascii="Times New Roman" w:hAnsi="Times New Roman" w:cs="Times New Roman"/>
              </w:rPr>
            </w:pPr>
          </w:p>
        </w:tc>
        <w:tc>
          <w:tcPr>
            <w:tcW w:w="743" w:type="dxa"/>
            <w:vMerge/>
            <w:tcBorders>
              <w:top w:val="double" w:sz="6" w:space="0" w:color="auto"/>
              <w:left w:val="single" w:sz="4" w:space="0" w:color="auto"/>
              <w:bottom w:val="single" w:sz="4" w:space="0" w:color="auto"/>
              <w:right w:val="single" w:sz="4" w:space="0" w:color="auto"/>
            </w:tcBorders>
            <w:vAlign w:val="center"/>
            <w:hideMark/>
          </w:tcPr>
          <w:p w14:paraId="27F87A42" w14:textId="77777777" w:rsidR="0041599B" w:rsidRPr="00FD7B0B" w:rsidRDefault="0041599B" w:rsidP="003D5AF2">
            <w:pPr>
              <w:spacing w:after="0" w:line="240" w:lineRule="auto"/>
              <w:jc w:val="center"/>
              <w:rPr>
                <w:rFonts w:ascii="Times New Roman" w:hAnsi="Times New Roman" w:cs="Times New Roman"/>
              </w:rPr>
            </w:pPr>
          </w:p>
        </w:tc>
        <w:tc>
          <w:tcPr>
            <w:tcW w:w="1123" w:type="dxa"/>
            <w:tcBorders>
              <w:top w:val="nil"/>
              <w:left w:val="nil"/>
              <w:bottom w:val="single" w:sz="4" w:space="0" w:color="auto"/>
              <w:right w:val="single" w:sz="4" w:space="0" w:color="auto"/>
            </w:tcBorders>
            <w:shd w:val="clear" w:color="auto" w:fill="auto"/>
            <w:vAlign w:val="center"/>
            <w:hideMark/>
          </w:tcPr>
          <w:p w14:paraId="02770E65" w14:textId="77777777" w:rsidR="0041599B" w:rsidRPr="00FD7B0B" w:rsidRDefault="0041599B" w:rsidP="003D5AF2">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709" w:type="dxa"/>
            <w:tcBorders>
              <w:top w:val="nil"/>
              <w:left w:val="nil"/>
              <w:bottom w:val="single" w:sz="4" w:space="0" w:color="auto"/>
              <w:right w:val="double" w:sz="6" w:space="0" w:color="auto"/>
            </w:tcBorders>
            <w:shd w:val="clear" w:color="auto" w:fill="auto"/>
            <w:vAlign w:val="center"/>
            <w:hideMark/>
          </w:tcPr>
          <w:p w14:paraId="2C6FF90E" w14:textId="058F1939" w:rsidR="0041599B" w:rsidRPr="00FD7B0B" w:rsidRDefault="0041599B" w:rsidP="003D5AF2">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45F68D30" w14:textId="77777777" w:rsidTr="00397995">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D74F5D4" w14:textId="77777777" w:rsidR="0041599B" w:rsidRPr="00FD7B0B" w:rsidRDefault="0041599B" w:rsidP="003D5AF2">
            <w:pPr>
              <w:spacing w:after="0" w:line="240" w:lineRule="auto"/>
              <w:rPr>
                <w:rFonts w:ascii="Times New Roman" w:hAnsi="Times New Roman" w:cs="Times New Roman"/>
              </w:rPr>
            </w:pPr>
            <w:r w:rsidRPr="00FD7B0B">
              <w:rPr>
                <w:rFonts w:ascii="Times New Roman" w:hAnsi="Times New Roman" w:cs="Times New Roman"/>
              </w:rPr>
              <w:t>Выплата вознаграждения лауреатам премии Архангельской области "За отличное исполнение обязанностей по охране правопорядка на территории Архангельской области"</w:t>
            </w:r>
          </w:p>
        </w:tc>
        <w:tc>
          <w:tcPr>
            <w:tcW w:w="884" w:type="dxa"/>
            <w:tcBorders>
              <w:top w:val="nil"/>
              <w:left w:val="nil"/>
              <w:bottom w:val="single" w:sz="4" w:space="0" w:color="auto"/>
              <w:right w:val="single" w:sz="4" w:space="0" w:color="auto"/>
            </w:tcBorders>
            <w:shd w:val="clear" w:color="auto" w:fill="auto"/>
            <w:vAlign w:val="center"/>
            <w:hideMark/>
          </w:tcPr>
          <w:p w14:paraId="0B07CB9E"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36,0 </w:t>
            </w:r>
          </w:p>
        </w:tc>
        <w:tc>
          <w:tcPr>
            <w:tcW w:w="743" w:type="dxa"/>
            <w:tcBorders>
              <w:top w:val="nil"/>
              <w:left w:val="nil"/>
              <w:bottom w:val="single" w:sz="4" w:space="0" w:color="auto"/>
              <w:right w:val="single" w:sz="4" w:space="0" w:color="auto"/>
            </w:tcBorders>
            <w:shd w:val="clear" w:color="auto" w:fill="auto"/>
            <w:vAlign w:val="center"/>
            <w:hideMark/>
          </w:tcPr>
          <w:p w14:paraId="451B1AC7"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36,0 </w:t>
            </w:r>
          </w:p>
        </w:tc>
        <w:tc>
          <w:tcPr>
            <w:tcW w:w="1123" w:type="dxa"/>
            <w:tcBorders>
              <w:top w:val="nil"/>
              <w:left w:val="nil"/>
              <w:bottom w:val="single" w:sz="4" w:space="0" w:color="auto"/>
              <w:right w:val="single" w:sz="4" w:space="0" w:color="auto"/>
            </w:tcBorders>
            <w:shd w:val="clear" w:color="auto" w:fill="auto"/>
            <w:vAlign w:val="center"/>
            <w:hideMark/>
          </w:tcPr>
          <w:p w14:paraId="3BDF2ED7"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709" w:type="dxa"/>
            <w:tcBorders>
              <w:top w:val="nil"/>
              <w:left w:val="nil"/>
              <w:bottom w:val="single" w:sz="4" w:space="0" w:color="auto"/>
              <w:right w:val="double" w:sz="6" w:space="0" w:color="auto"/>
            </w:tcBorders>
            <w:shd w:val="clear" w:color="auto" w:fill="auto"/>
            <w:vAlign w:val="center"/>
            <w:hideMark/>
          </w:tcPr>
          <w:p w14:paraId="7C14D32E"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r>
      <w:tr w:rsidR="00FD7B0B" w:rsidRPr="00FD7B0B" w14:paraId="3774507E" w14:textId="77777777" w:rsidTr="00397995">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35B0955" w14:textId="77777777" w:rsidR="0041599B" w:rsidRPr="00FD7B0B" w:rsidRDefault="0041599B" w:rsidP="003D5AF2">
            <w:pPr>
              <w:spacing w:after="0" w:line="240" w:lineRule="auto"/>
              <w:rPr>
                <w:rFonts w:ascii="Times New Roman" w:hAnsi="Times New Roman" w:cs="Times New Roman"/>
              </w:rPr>
            </w:pPr>
            <w:r w:rsidRPr="00FD7B0B">
              <w:rPr>
                <w:rFonts w:ascii="Times New Roman" w:hAnsi="Times New Roman" w:cs="Times New Roman"/>
              </w:rPr>
              <w:t>Единовременная денежная выплата гражданам, проживающим на территории Архангельской области и поступающим на военную службу... участия в СВО, проводимой на территориях ДНР, ЛНР, Запорожской области, Херсонской области и Украины…</w:t>
            </w:r>
          </w:p>
        </w:tc>
        <w:tc>
          <w:tcPr>
            <w:tcW w:w="884" w:type="dxa"/>
            <w:tcBorders>
              <w:top w:val="nil"/>
              <w:left w:val="nil"/>
              <w:bottom w:val="single" w:sz="4" w:space="0" w:color="auto"/>
              <w:right w:val="single" w:sz="4" w:space="0" w:color="auto"/>
            </w:tcBorders>
            <w:shd w:val="clear" w:color="auto" w:fill="auto"/>
            <w:vAlign w:val="center"/>
            <w:hideMark/>
          </w:tcPr>
          <w:p w14:paraId="2681B881"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295,3 </w:t>
            </w:r>
          </w:p>
        </w:tc>
        <w:tc>
          <w:tcPr>
            <w:tcW w:w="743" w:type="dxa"/>
            <w:tcBorders>
              <w:top w:val="nil"/>
              <w:left w:val="nil"/>
              <w:bottom w:val="single" w:sz="4" w:space="0" w:color="auto"/>
              <w:right w:val="single" w:sz="4" w:space="0" w:color="auto"/>
            </w:tcBorders>
            <w:shd w:val="clear" w:color="auto" w:fill="auto"/>
            <w:vAlign w:val="center"/>
            <w:hideMark/>
          </w:tcPr>
          <w:p w14:paraId="598FF04C"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825,9 </w:t>
            </w:r>
          </w:p>
        </w:tc>
        <w:tc>
          <w:tcPr>
            <w:tcW w:w="1123" w:type="dxa"/>
            <w:tcBorders>
              <w:top w:val="nil"/>
              <w:left w:val="nil"/>
              <w:bottom w:val="single" w:sz="4" w:space="0" w:color="auto"/>
              <w:right w:val="single" w:sz="4" w:space="0" w:color="auto"/>
            </w:tcBorders>
            <w:shd w:val="clear" w:color="auto" w:fill="auto"/>
            <w:vAlign w:val="center"/>
            <w:hideMark/>
          </w:tcPr>
          <w:p w14:paraId="02027FBC"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530,6 </w:t>
            </w:r>
          </w:p>
        </w:tc>
        <w:tc>
          <w:tcPr>
            <w:tcW w:w="709" w:type="dxa"/>
            <w:tcBorders>
              <w:top w:val="nil"/>
              <w:left w:val="nil"/>
              <w:bottom w:val="single" w:sz="4" w:space="0" w:color="auto"/>
              <w:right w:val="double" w:sz="6" w:space="0" w:color="auto"/>
            </w:tcBorders>
            <w:shd w:val="clear" w:color="auto" w:fill="auto"/>
            <w:vAlign w:val="center"/>
            <w:hideMark/>
          </w:tcPr>
          <w:p w14:paraId="34EB06E5"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в 2,8 раза</w:t>
            </w:r>
          </w:p>
        </w:tc>
      </w:tr>
      <w:tr w:rsidR="0041599B" w:rsidRPr="00FD7B0B" w14:paraId="4312E4B2" w14:textId="77777777" w:rsidTr="00397995">
        <w:trPr>
          <w:trHeight w:val="7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0440BF54" w14:textId="77777777" w:rsidR="0041599B" w:rsidRPr="00FD7B0B" w:rsidRDefault="0041599B" w:rsidP="003D5AF2">
            <w:pPr>
              <w:spacing w:after="0" w:line="240" w:lineRule="auto"/>
              <w:rPr>
                <w:rFonts w:ascii="Times New Roman" w:hAnsi="Times New Roman" w:cs="Times New Roman"/>
              </w:rPr>
            </w:pPr>
            <w:r w:rsidRPr="00FD7B0B">
              <w:rPr>
                <w:rFonts w:ascii="Times New Roman" w:hAnsi="Times New Roman" w:cs="Times New Roman"/>
              </w:rPr>
              <w:t>Единовременная денежная выплата гражданам, проходящим военную службу по призыву в воинских частях, расположенных на территории Архангельской области, и поступающим на военную службу по контракту</w:t>
            </w:r>
          </w:p>
        </w:tc>
        <w:tc>
          <w:tcPr>
            <w:tcW w:w="884" w:type="dxa"/>
            <w:tcBorders>
              <w:top w:val="nil"/>
              <w:left w:val="nil"/>
              <w:bottom w:val="double" w:sz="6" w:space="0" w:color="auto"/>
              <w:right w:val="single" w:sz="4" w:space="0" w:color="auto"/>
            </w:tcBorders>
            <w:shd w:val="clear" w:color="auto" w:fill="auto"/>
            <w:vAlign w:val="center"/>
            <w:hideMark/>
          </w:tcPr>
          <w:p w14:paraId="42F8ACEB"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29,7 </w:t>
            </w:r>
          </w:p>
        </w:tc>
        <w:tc>
          <w:tcPr>
            <w:tcW w:w="743" w:type="dxa"/>
            <w:tcBorders>
              <w:top w:val="nil"/>
              <w:left w:val="nil"/>
              <w:bottom w:val="double" w:sz="6" w:space="0" w:color="auto"/>
              <w:right w:val="single" w:sz="4" w:space="0" w:color="auto"/>
            </w:tcBorders>
            <w:shd w:val="clear" w:color="auto" w:fill="auto"/>
            <w:vAlign w:val="center"/>
            <w:hideMark/>
          </w:tcPr>
          <w:p w14:paraId="590E7E13"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49,8 </w:t>
            </w:r>
          </w:p>
        </w:tc>
        <w:tc>
          <w:tcPr>
            <w:tcW w:w="1123" w:type="dxa"/>
            <w:tcBorders>
              <w:top w:val="nil"/>
              <w:left w:val="nil"/>
              <w:bottom w:val="double" w:sz="6" w:space="0" w:color="auto"/>
              <w:right w:val="single" w:sz="4" w:space="0" w:color="auto"/>
            </w:tcBorders>
            <w:shd w:val="clear" w:color="auto" w:fill="auto"/>
            <w:vAlign w:val="center"/>
            <w:hideMark/>
          </w:tcPr>
          <w:p w14:paraId="1C077C6A"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20,1 </w:t>
            </w:r>
          </w:p>
        </w:tc>
        <w:tc>
          <w:tcPr>
            <w:tcW w:w="709" w:type="dxa"/>
            <w:tcBorders>
              <w:top w:val="nil"/>
              <w:left w:val="nil"/>
              <w:bottom w:val="double" w:sz="6" w:space="0" w:color="auto"/>
              <w:right w:val="double" w:sz="6" w:space="0" w:color="auto"/>
            </w:tcBorders>
            <w:shd w:val="clear" w:color="auto" w:fill="auto"/>
            <w:vAlign w:val="center"/>
            <w:hideMark/>
          </w:tcPr>
          <w:p w14:paraId="663CBC5B" w14:textId="77777777" w:rsidR="0041599B" w:rsidRPr="00FD7B0B" w:rsidRDefault="0041599B" w:rsidP="003D5AF2">
            <w:pPr>
              <w:spacing w:after="0" w:line="240" w:lineRule="auto"/>
              <w:jc w:val="right"/>
              <w:rPr>
                <w:rFonts w:ascii="Times New Roman" w:hAnsi="Times New Roman" w:cs="Times New Roman"/>
              </w:rPr>
            </w:pPr>
            <w:r w:rsidRPr="00FD7B0B">
              <w:rPr>
                <w:rFonts w:ascii="Times New Roman" w:hAnsi="Times New Roman" w:cs="Times New Roman"/>
              </w:rPr>
              <w:t xml:space="preserve">67,7 </w:t>
            </w:r>
          </w:p>
        </w:tc>
      </w:tr>
    </w:tbl>
    <w:p w14:paraId="46DC613F" w14:textId="77777777" w:rsidR="0041599B" w:rsidRPr="00FD7B0B" w:rsidRDefault="0041599B" w:rsidP="00397995">
      <w:pPr>
        <w:spacing w:after="0" w:line="240" w:lineRule="auto"/>
        <w:ind w:firstLine="709"/>
        <w:jc w:val="both"/>
        <w:rPr>
          <w:rFonts w:ascii="Times New Roman" w:eastAsia="Calibri" w:hAnsi="Times New Roman" w:cs="Times New Roman"/>
          <w:sz w:val="28"/>
          <w:szCs w:val="28"/>
        </w:rPr>
      </w:pPr>
    </w:p>
    <w:p w14:paraId="0F8B8CE6" w14:textId="77777777" w:rsidR="0041599B" w:rsidRPr="00FD7B0B" w:rsidRDefault="0041599B" w:rsidP="0039799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отчетом периоде наблюдается наибольший рост расходов в виде единовременной денежной выплаты гражданам, проживающим на территории Архангельской области и поступающим на военную службу по контракту для участия в специальной военной операции, проводимой на территориях ДНР, ЛНР, Запорожской области, Херсонской области и Украины, либо заключившим контракт о пребывании в добровольческом формировании (о добровольном содействии в выполнении задач, возложенных на Вооруженные Силы РФ) для </w:t>
      </w:r>
      <w:r w:rsidRPr="00FD7B0B">
        <w:rPr>
          <w:rFonts w:ascii="Times New Roman" w:eastAsia="Calibri" w:hAnsi="Times New Roman" w:cs="Times New Roman"/>
          <w:sz w:val="28"/>
          <w:szCs w:val="28"/>
        </w:rPr>
        <w:lastRenderedPageBreak/>
        <w:t>участия в указанной специальной военной операции, либо призванным на военную службу по мобилизации в соответствии с Указом Президента России от 21.09.2022 № 647 «Об объявлении частичной мобилизации в Российской Федерации», которые увеличились в 2,8 раза (+530,6 млн.руб.).</w:t>
      </w:r>
    </w:p>
    <w:p w14:paraId="77A91351" w14:textId="77777777" w:rsidR="0041599B" w:rsidRPr="00FD7B0B" w:rsidRDefault="0041599B" w:rsidP="0039799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5) Удельный вес расходов, в виде страховых взносов на обязательное медицинское страхование неработающего населения (ВР 324) в составе расходов на социальное обеспечение и иные выплаты населению за отчетный период составил 37,6 % на сумму 9 990,9 млн.руб. (100,0 % к плану года). По отношению к аналогичным расходам за 2023 год данные платежи увеличились на 666,7 млн.руб. (+7,1 %).</w:t>
      </w:r>
    </w:p>
    <w:p w14:paraId="2C56FA5F" w14:textId="08A12ECB" w:rsidR="0041599B" w:rsidRPr="00FD7B0B" w:rsidRDefault="0041599B" w:rsidP="0039799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066D30" w:rsidRPr="00FD7B0B">
        <w:rPr>
          <w:rFonts w:ascii="Times New Roman" w:eastAsia="Calibri" w:hAnsi="Times New Roman" w:cs="Times New Roman"/>
          <w:sz w:val="28"/>
          <w:szCs w:val="28"/>
        </w:rPr>
        <w:t>59</w:t>
      </w:r>
      <w:r w:rsidRPr="00FD7B0B">
        <w:rPr>
          <w:rFonts w:ascii="Times New Roman" w:eastAsia="Calibri" w:hAnsi="Times New Roman" w:cs="Times New Roman"/>
          <w:sz w:val="28"/>
          <w:szCs w:val="28"/>
        </w:rPr>
        <w:t xml:space="preserve"> представлены расходы областного бюджета по элементам группы вида расходов 400 «Капитальные вложения в объекты государственной (муниципальной) собственности» за 2023 и 2024 годы.</w:t>
      </w:r>
    </w:p>
    <w:p w14:paraId="1FCFD060" w14:textId="77777777" w:rsidR="0041599B" w:rsidRPr="00FD7B0B" w:rsidRDefault="0041599B" w:rsidP="00397995">
      <w:pPr>
        <w:pStyle w:val="aff0"/>
        <w:spacing w:after="0" w:line="240" w:lineRule="auto"/>
        <w:rPr>
          <w:rFonts w:ascii="Times New Roman" w:hAnsi="Times New Roman"/>
          <w:b w:val="0"/>
          <w:sz w:val="24"/>
          <w:szCs w:val="24"/>
        </w:rPr>
      </w:pPr>
    </w:p>
    <w:p w14:paraId="0279BFC1" w14:textId="77777777" w:rsidR="0041599B" w:rsidRPr="00FD7B0B" w:rsidRDefault="0041599B" w:rsidP="0039799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59</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из областного бюджета, осуществленные по элементам группы вида расходов 400 «Капитальные вложения в объекты государственной (муниципальной) собственности» за 2023 и 2024 годы, млн.руб.</w:t>
      </w:r>
    </w:p>
    <w:tbl>
      <w:tblPr>
        <w:tblW w:w="9634" w:type="dxa"/>
        <w:tblLook w:val="04A0" w:firstRow="1" w:lastRow="0" w:firstColumn="1" w:lastColumn="0" w:noHBand="0" w:noVBand="1"/>
      </w:tblPr>
      <w:tblGrid>
        <w:gridCol w:w="585"/>
        <w:gridCol w:w="5173"/>
        <w:gridCol w:w="991"/>
        <w:gridCol w:w="883"/>
        <w:gridCol w:w="1059"/>
        <w:gridCol w:w="943"/>
      </w:tblGrid>
      <w:tr w:rsidR="00FD7B0B" w:rsidRPr="00FD7B0B" w14:paraId="332ADD6D" w14:textId="77777777" w:rsidTr="001F00F4">
        <w:trPr>
          <w:trHeight w:val="35"/>
          <w:tblHeader/>
        </w:trPr>
        <w:tc>
          <w:tcPr>
            <w:tcW w:w="58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3BE1087" w14:textId="77777777" w:rsidR="0041599B" w:rsidRPr="00FD7B0B" w:rsidRDefault="0041599B" w:rsidP="001F00F4">
            <w:pPr>
              <w:spacing w:after="0" w:line="240" w:lineRule="auto"/>
              <w:jc w:val="center"/>
              <w:rPr>
                <w:rFonts w:ascii="Times New Roman" w:hAnsi="Times New Roman" w:cs="Times New Roman"/>
              </w:rPr>
            </w:pPr>
            <w:r w:rsidRPr="00FD7B0B">
              <w:rPr>
                <w:rFonts w:ascii="Times New Roman" w:hAnsi="Times New Roman" w:cs="Times New Roman"/>
              </w:rPr>
              <w:t>Код</w:t>
            </w:r>
          </w:p>
        </w:tc>
        <w:tc>
          <w:tcPr>
            <w:tcW w:w="517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D8CD479" w14:textId="77777777" w:rsidR="0041599B" w:rsidRPr="00FD7B0B" w:rsidRDefault="0041599B" w:rsidP="001F00F4">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99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EC0171A" w14:textId="77777777" w:rsidR="0041599B" w:rsidRPr="00FD7B0B" w:rsidRDefault="0041599B" w:rsidP="001F00F4">
            <w:pPr>
              <w:spacing w:after="0" w:line="240" w:lineRule="auto"/>
              <w:jc w:val="center"/>
              <w:rPr>
                <w:rFonts w:ascii="Times New Roman" w:hAnsi="Times New Roman" w:cs="Times New Roman"/>
              </w:rPr>
            </w:pPr>
            <w:r w:rsidRPr="00FD7B0B">
              <w:rPr>
                <w:rFonts w:ascii="Times New Roman" w:hAnsi="Times New Roman" w:cs="Times New Roman"/>
              </w:rPr>
              <w:t>2023 год</w:t>
            </w:r>
          </w:p>
        </w:tc>
        <w:tc>
          <w:tcPr>
            <w:tcW w:w="88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A42FEB6" w14:textId="77777777" w:rsidR="0041599B" w:rsidRPr="00FD7B0B" w:rsidRDefault="0041599B" w:rsidP="001F00F4">
            <w:pPr>
              <w:spacing w:after="0" w:line="240" w:lineRule="auto"/>
              <w:jc w:val="center"/>
              <w:rPr>
                <w:rFonts w:ascii="Times New Roman" w:hAnsi="Times New Roman" w:cs="Times New Roman"/>
              </w:rPr>
            </w:pPr>
            <w:r w:rsidRPr="00FD7B0B">
              <w:rPr>
                <w:rFonts w:ascii="Times New Roman" w:hAnsi="Times New Roman" w:cs="Times New Roman"/>
              </w:rPr>
              <w:t>2024 год</w:t>
            </w:r>
          </w:p>
        </w:tc>
        <w:tc>
          <w:tcPr>
            <w:tcW w:w="2002" w:type="dxa"/>
            <w:gridSpan w:val="2"/>
            <w:tcBorders>
              <w:top w:val="double" w:sz="6" w:space="0" w:color="auto"/>
              <w:left w:val="nil"/>
              <w:bottom w:val="single" w:sz="4" w:space="0" w:color="auto"/>
              <w:right w:val="double" w:sz="6" w:space="0" w:color="000000"/>
            </w:tcBorders>
            <w:shd w:val="clear" w:color="auto" w:fill="auto"/>
            <w:vAlign w:val="center"/>
            <w:hideMark/>
          </w:tcPr>
          <w:p w14:paraId="073263C9" w14:textId="77777777" w:rsidR="0041599B" w:rsidRPr="00FD7B0B" w:rsidRDefault="0041599B" w:rsidP="001F00F4">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5C0333C6" w14:textId="77777777" w:rsidTr="001F00F4">
        <w:trPr>
          <w:trHeight w:val="35"/>
          <w:tblHeader/>
        </w:trPr>
        <w:tc>
          <w:tcPr>
            <w:tcW w:w="585" w:type="dxa"/>
            <w:vMerge/>
            <w:tcBorders>
              <w:top w:val="double" w:sz="6" w:space="0" w:color="auto"/>
              <w:left w:val="double" w:sz="6" w:space="0" w:color="auto"/>
              <w:bottom w:val="single" w:sz="4" w:space="0" w:color="auto"/>
              <w:right w:val="single" w:sz="4" w:space="0" w:color="auto"/>
            </w:tcBorders>
            <w:vAlign w:val="center"/>
            <w:hideMark/>
          </w:tcPr>
          <w:p w14:paraId="0E7D7C69" w14:textId="77777777" w:rsidR="0041599B" w:rsidRPr="00FD7B0B" w:rsidRDefault="0041599B" w:rsidP="001F00F4">
            <w:pPr>
              <w:spacing w:after="0" w:line="240" w:lineRule="auto"/>
              <w:jc w:val="center"/>
              <w:rPr>
                <w:rFonts w:ascii="Times New Roman" w:hAnsi="Times New Roman" w:cs="Times New Roman"/>
              </w:rPr>
            </w:pPr>
          </w:p>
        </w:tc>
        <w:tc>
          <w:tcPr>
            <w:tcW w:w="5173" w:type="dxa"/>
            <w:vMerge/>
            <w:tcBorders>
              <w:top w:val="double" w:sz="6" w:space="0" w:color="auto"/>
              <w:left w:val="single" w:sz="4" w:space="0" w:color="auto"/>
              <w:bottom w:val="single" w:sz="4" w:space="0" w:color="auto"/>
              <w:right w:val="single" w:sz="4" w:space="0" w:color="auto"/>
            </w:tcBorders>
            <w:vAlign w:val="center"/>
            <w:hideMark/>
          </w:tcPr>
          <w:p w14:paraId="7F1A8B80" w14:textId="77777777" w:rsidR="0041599B" w:rsidRPr="00FD7B0B" w:rsidRDefault="0041599B" w:rsidP="001F00F4">
            <w:pPr>
              <w:spacing w:after="0" w:line="240" w:lineRule="auto"/>
              <w:jc w:val="center"/>
              <w:rPr>
                <w:rFonts w:ascii="Times New Roman" w:hAnsi="Times New Roman" w:cs="Times New Roman"/>
              </w:rPr>
            </w:pPr>
          </w:p>
        </w:tc>
        <w:tc>
          <w:tcPr>
            <w:tcW w:w="991" w:type="dxa"/>
            <w:vMerge/>
            <w:tcBorders>
              <w:top w:val="double" w:sz="6" w:space="0" w:color="auto"/>
              <w:left w:val="single" w:sz="4" w:space="0" w:color="auto"/>
              <w:bottom w:val="single" w:sz="4" w:space="0" w:color="auto"/>
              <w:right w:val="single" w:sz="4" w:space="0" w:color="auto"/>
            </w:tcBorders>
            <w:vAlign w:val="center"/>
            <w:hideMark/>
          </w:tcPr>
          <w:p w14:paraId="3866B904" w14:textId="77777777" w:rsidR="0041599B" w:rsidRPr="00FD7B0B" w:rsidRDefault="0041599B" w:rsidP="001F00F4">
            <w:pPr>
              <w:spacing w:after="0" w:line="240" w:lineRule="auto"/>
              <w:jc w:val="center"/>
              <w:rPr>
                <w:rFonts w:ascii="Times New Roman" w:hAnsi="Times New Roman" w:cs="Times New Roman"/>
              </w:rPr>
            </w:pPr>
          </w:p>
        </w:tc>
        <w:tc>
          <w:tcPr>
            <w:tcW w:w="883" w:type="dxa"/>
            <w:vMerge/>
            <w:tcBorders>
              <w:top w:val="double" w:sz="6" w:space="0" w:color="auto"/>
              <w:left w:val="single" w:sz="4" w:space="0" w:color="auto"/>
              <w:bottom w:val="single" w:sz="4" w:space="0" w:color="auto"/>
              <w:right w:val="single" w:sz="4" w:space="0" w:color="auto"/>
            </w:tcBorders>
            <w:vAlign w:val="center"/>
            <w:hideMark/>
          </w:tcPr>
          <w:p w14:paraId="57D4B0AF" w14:textId="77777777" w:rsidR="0041599B" w:rsidRPr="00FD7B0B" w:rsidRDefault="0041599B" w:rsidP="001F00F4">
            <w:pPr>
              <w:spacing w:after="0" w:line="240" w:lineRule="auto"/>
              <w:jc w:val="center"/>
              <w:rPr>
                <w:rFonts w:ascii="Times New Roman" w:hAnsi="Times New Roman" w:cs="Times New Roman"/>
              </w:rPr>
            </w:pPr>
          </w:p>
        </w:tc>
        <w:tc>
          <w:tcPr>
            <w:tcW w:w="1059" w:type="dxa"/>
            <w:tcBorders>
              <w:top w:val="nil"/>
              <w:left w:val="nil"/>
              <w:bottom w:val="single" w:sz="4" w:space="0" w:color="auto"/>
              <w:right w:val="single" w:sz="4" w:space="0" w:color="auto"/>
            </w:tcBorders>
            <w:shd w:val="clear" w:color="auto" w:fill="auto"/>
            <w:vAlign w:val="center"/>
            <w:hideMark/>
          </w:tcPr>
          <w:p w14:paraId="158B0870" w14:textId="77777777" w:rsidR="0041599B" w:rsidRPr="00FD7B0B" w:rsidRDefault="0041599B" w:rsidP="001F00F4">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943" w:type="dxa"/>
            <w:tcBorders>
              <w:top w:val="nil"/>
              <w:left w:val="nil"/>
              <w:bottom w:val="single" w:sz="4" w:space="0" w:color="auto"/>
              <w:right w:val="double" w:sz="6" w:space="0" w:color="auto"/>
            </w:tcBorders>
            <w:shd w:val="clear" w:color="auto" w:fill="auto"/>
            <w:vAlign w:val="center"/>
            <w:hideMark/>
          </w:tcPr>
          <w:p w14:paraId="11CF6285" w14:textId="287B962D" w:rsidR="0041599B" w:rsidRPr="00FD7B0B" w:rsidRDefault="0041599B" w:rsidP="001F00F4">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631EA189" w14:textId="77777777" w:rsidTr="001F00F4">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01E61A43"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412</w:t>
            </w:r>
          </w:p>
        </w:tc>
        <w:tc>
          <w:tcPr>
            <w:tcW w:w="5173" w:type="dxa"/>
            <w:tcBorders>
              <w:top w:val="nil"/>
              <w:left w:val="nil"/>
              <w:bottom w:val="single" w:sz="4" w:space="0" w:color="auto"/>
              <w:right w:val="single" w:sz="4" w:space="0" w:color="auto"/>
            </w:tcBorders>
            <w:shd w:val="clear" w:color="auto" w:fill="auto"/>
            <w:vAlign w:val="center"/>
            <w:hideMark/>
          </w:tcPr>
          <w:p w14:paraId="738A1BF5"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Бюджетные инвестиции на приобретение объектов недвижимого имущества в государственную (муниципальную) собственность</w:t>
            </w:r>
          </w:p>
        </w:tc>
        <w:tc>
          <w:tcPr>
            <w:tcW w:w="991" w:type="dxa"/>
            <w:tcBorders>
              <w:top w:val="nil"/>
              <w:left w:val="nil"/>
              <w:bottom w:val="single" w:sz="4" w:space="0" w:color="auto"/>
              <w:right w:val="single" w:sz="4" w:space="0" w:color="auto"/>
            </w:tcBorders>
            <w:shd w:val="clear" w:color="auto" w:fill="auto"/>
            <w:vAlign w:val="center"/>
            <w:hideMark/>
          </w:tcPr>
          <w:p w14:paraId="145F78E0"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121,0 </w:t>
            </w:r>
          </w:p>
        </w:tc>
        <w:tc>
          <w:tcPr>
            <w:tcW w:w="883" w:type="dxa"/>
            <w:tcBorders>
              <w:top w:val="nil"/>
              <w:left w:val="nil"/>
              <w:bottom w:val="single" w:sz="4" w:space="0" w:color="auto"/>
              <w:right w:val="single" w:sz="4" w:space="0" w:color="auto"/>
            </w:tcBorders>
            <w:shd w:val="clear" w:color="auto" w:fill="auto"/>
            <w:vAlign w:val="center"/>
            <w:hideMark/>
          </w:tcPr>
          <w:p w14:paraId="2DACDEF3"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112,1 </w:t>
            </w:r>
          </w:p>
        </w:tc>
        <w:tc>
          <w:tcPr>
            <w:tcW w:w="1059" w:type="dxa"/>
            <w:tcBorders>
              <w:top w:val="nil"/>
              <w:left w:val="nil"/>
              <w:bottom w:val="single" w:sz="4" w:space="0" w:color="auto"/>
              <w:right w:val="single" w:sz="4" w:space="0" w:color="auto"/>
            </w:tcBorders>
            <w:shd w:val="clear" w:color="auto" w:fill="auto"/>
            <w:vAlign w:val="center"/>
            <w:hideMark/>
          </w:tcPr>
          <w:p w14:paraId="5BF1E53F"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-8,9 </w:t>
            </w:r>
          </w:p>
        </w:tc>
        <w:tc>
          <w:tcPr>
            <w:tcW w:w="943" w:type="dxa"/>
            <w:tcBorders>
              <w:top w:val="nil"/>
              <w:left w:val="nil"/>
              <w:bottom w:val="single" w:sz="4" w:space="0" w:color="auto"/>
              <w:right w:val="double" w:sz="6" w:space="0" w:color="auto"/>
            </w:tcBorders>
            <w:shd w:val="clear" w:color="auto" w:fill="auto"/>
            <w:vAlign w:val="center"/>
            <w:hideMark/>
          </w:tcPr>
          <w:p w14:paraId="69F47AF9"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-7,4 </w:t>
            </w:r>
          </w:p>
        </w:tc>
      </w:tr>
      <w:tr w:rsidR="00FD7B0B" w:rsidRPr="00FD7B0B" w14:paraId="744186B5" w14:textId="77777777" w:rsidTr="001F00F4">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2927E102"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414</w:t>
            </w:r>
          </w:p>
        </w:tc>
        <w:tc>
          <w:tcPr>
            <w:tcW w:w="5173" w:type="dxa"/>
            <w:tcBorders>
              <w:top w:val="nil"/>
              <w:left w:val="nil"/>
              <w:bottom w:val="single" w:sz="4" w:space="0" w:color="auto"/>
              <w:right w:val="single" w:sz="4" w:space="0" w:color="auto"/>
            </w:tcBorders>
            <w:shd w:val="clear" w:color="auto" w:fill="auto"/>
            <w:vAlign w:val="center"/>
            <w:hideMark/>
          </w:tcPr>
          <w:p w14:paraId="79EFD434"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Бюджетные инвестиции в объекты капитального строительства государственной (муниципальной) собственности</w:t>
            </w:r>
          </w:p>
        </w:tc>
        <w:tc>
          <w:tcPr>
            <w:tcW w:w="991" w:type="dxa"/>
            <w:tcBorders>
              <w:top w:val="nil"/>
              <w:left w:val="nil"/>
              <w:bottom w:val="single" w:sz="4" w:space="0" w:color="auto"/>
              <w:right w:val="single" w:sz="4" w:space="0" w:color="auto"/>
            </w:tcBorders>
            <w:shd w:val="clear" w:color="auto" w:fill="auto"/>
            <w:vAlign w:val="center"/>
            <w:hideMark/>
          </w:tcPr>
          <w:p w14:paraId="00ACBDDD"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9 793,9 </w:t>
            </w:r>
          </w:p>
        </w:tc>
        <w:tc>
          <w:tcPr>
            <w:tcW w:w="883" w:type="dxa"/>
            <w:tcBorders>
              <w:top w:val="nil"/>
              <w:left w:val="nil"/>
              <w:bottom w:val="single" w:sz="4" w:space="0" w:color="auto"/>
              <w:right w:val="single" w:sz="4" w:space="0" w:color="auto"/>
            </w:tcBorders>
            <w:shd w:val="clear" w:color="auto" w:fill="auto"/>
            <w:vAlign w:val="center"/>
            <w:hideMark/>
          </w:tcPr>
          <w:p w14:paraId="7DFC7B35"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6 450,1 </w:t>
            </w:r>
          </w:p>
        </w:tc>
        <w:tc>
          <w:tcPr>
            <w:tcW w:w="1059" w:type="dxa"/>
            <w:tcBorders>
              <w:top w:val="nil"/>
              <w:left w:val="nil"/>
              <w:bottom w:val="single" w:sz="4" w:space="0" w:color="auto"/>
              <w:right w:val="single" w:sz="4" w:space="0" w:color="auto"/>
            </w:tcBorders>
            <w:shd w:val="clear" w:color="auto" w:fill="auto"/>
            <w:vAlign w:val="center"/>
            <w:hideMark/>
          </w:tcPr>
          <w:p w14:paraId="5A0F9BBC"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-3 343,8 </w:t>
            </w:r>
          </w:p>
        </w:tc>
        <w:tc>
          <w:tcPr>
            <w:tcW w:w="943" w:type="dxa"/>
            <w:tcBorders>
              <w:top w:val="nil"/>
              <w:left w:val="nil"/>
              <w:bottom w:val="single" w:sz="4" w:space="0" w:color="auto"/>
              <w:right w:val="double" w:sz="6" w:space="0" w:color="auto"/>
            </w:tcBorders>
            <w:shd w:val="clear" w:color="auto" w:fill="auto"/>
            <w:vAlign w:val="center"/>
            <w:hideMark/>
          </w:tcPr>
          <w:p w14:paraId="23D66DDD"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-34,1 </w:t>
            </w:r>
          </w:p>
        </w:tc>
      </w:tr>
      <w:tr w:rsidR="00FD7B0B" w:rsidRPr="00FD7B0B" w14:paraId="55FD53A0" w14:textId="77777777" w:rsidTr="001F00F4">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10D9BC47"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451</w:t>
            </w:r>
          </w:p>
        </w:tc>
        <w:tc>
          <w:tcPr>
            <w:tcW w:w="5173" w:type="dxa"/>
            <w:tcBorders>
              <w:top w:val="nil"/>
              <w:left w:val="nil"/>
              <w:bottom w:val="single" w:sz="4" w:space="0" w:color="auto"/>
              <w:right w:val="single" w:sz="4" w:space="0" w:color="auto"/>
            </w:tcBorders>
            <w:shd w:val="clear" w:color="auto" w:fill="auto"/>
            <w:vAlign w:val="center"/>
            <w:hideMark/>
          </w:tcPr>
          <w:p w14:paraId="0C18A046"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Бюджетные инвестиции иным юридическим лицам в объекты капитального строительства</w:t>
            </w:r>
          </w:p>
        </w:tc>
        <w:tc>
          <w:tcPr>
            <w:tcW w:w="991" w:type="dxa"/>
            <w:tcBorders>
              <w:top w:val="nil"/>
              <w:left w:val="nil"/>
              <w:bottom w:val="single" w:sz="4" w:space="0" w:color="auto"/>
              <w:right w:val="single" w:sz="4" w:space="0" w:color="auto"/>
            </w:tcBorders>
            <w:shd w:val="clear" w:color="auto" w:fill="auto"/>
            <w:vAlign w:val="center"/>
            <w:hideMark/>
          </w:tcPr>
          <w:p w14:paraId="27C964EA"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83" w:type="dxa"/>
            <w:tcBorders>
              <w:top w:val="nil"/>
              <w:left w:val="nil"/>
              <w:bottom w:val="single" w:sz="4" w:space="0" w:color="auto"/>
              <w:right w:val="single" w:sz="4" w:space="0" w:color="auto"/>
            </w:tcBorders>
            <w:shd w:val="clear" w:color="auto" w:fill="auto"/>
            <w:vAlign w:val="center"/>
            <w:hideMark/>
          </w:tcPr>
          <w:p w14:paraId="7431236C"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204,5 </w:t>
            </w:r>
          </w:p>
        </w:tc>
        <w:tc>
          <w:tcPr>
            <w:tcW w:w="1059" w:type="dxa"/>
            <w:tcBorders>
              <w:top w:val="nil"/>
              <w:left w:val="nil"/>
              <w:bottom w:val="single" w:sz="4" w:space="0" w:color="auto"/>
              <w:right w:val="single" w:sz="4" w:space="0" w:color="auto"/>
            </w:tcBorders>
            <w:shd w:val="clear" w:color="auto" w:fill="auto"/>
            <w:vAlign w:val="center"/>
            <w:hideMark/>
          </w:tcPr>
          <w:p w14:paraId="1C28CBD7"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204,5 </w:t>
            </w:r>
          </w:p>
        </w:tc>
        <w:tc>
          <w:tcPr>
            <w:tcW w:w="943" w:type="dxa"/>
            <w:tcBorders>
              <w:top w:val="nil"/>
              <w:left w:val="nil"/>
              <w:bottom w:val="single" w:sz="4" w:space="0" w:color="auto"/>
              <w:right w:val="double" w:sz="6" w:space="0" w:color="auto"/>
            </w:tcBorders>
            <w:shd w:val="clear" w:color="auto" w:fill="auto"/>
            <w:vAlign w:val="center"/>
            <w:hideMark/>
          </w:tcPr>
          <w:p w14:paraId="6420B645"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27EFAC77" w14:textId="77777777" w:rsidTr="001F00F4">
        <w:trPr>
          <w:trHeight w:val="88"/>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727E03CE"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452</w:t>
            </w:r>
          </w:p>
        </w:tc>
        <w:tc>
          <w:tcPr>
            <w:tcW w:w="5173" w:type="dxa"/>
            <w:tcBorders>
              <w:top w:val="nil"/>
              <w:left w:val="nil"/>
              <w:bottom w:val="single" w:sz="4" w:space="0" w:color="auto"/>
              <w:right w:val="single" w:sz="4" w:space="0" w:color="auto"/>
            </w:tcBorders>
            <w:shd w:val="clear" w:color="auto" w:fill="auto"/>
            <w:vAlign w:val="center"/>
            <w:hideMark/>
          </w:tcPr>
          <w:p w14:paraId="6764D824"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Бюджетные инвестиции иным юридическим лицам, за исключением бюджетных инвестиций в объекты капитального строительства</w:t>
            </w:r>
          </w:p>
        </w:tc>
        <w:tc>
          <w:tcPr>
            <w:tcW w:w="991" w:type="dxa"/>
            <w:tcBorders>
              <w:top w:val="nil"/>
              <w:left w:val="nil"/>
              <w:bottom w:val="single" w:sz="4" w:space="0" w:color="auto"/>
              <w:right w:val="single" w:sz="4" w:space="0" w:color="auto"/>
            </w:tcBorders>
            <w:shd w:val="clear" w:color="auto" w:fill="auto"/>
            <w:vAlign w:val="center"/>
            <w:hideMark/>
          </w:tcPr>
          <w:p w14:paraId="22C4C2E8"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243,6 </w:t>
            </w:r>
          </w:p>
        </w:tc>
        <w:tc>
          <w:tcPr>
            <w:tcW w:w="883" w:type="dxa"/>
            <w:tcBorders>
              <w:top w:val="nil"/>
              <w:left w:val="nil"/>
              <w:bottom w:val="single" w:sz="4" w:space="0" w:color="auto"/>
              <w:right w:val="single" w:sz="4" w:space="0" w:color="auto"/>
            </w:tcBorders>
            <w:shd w:val="clear" w:color="auto" w:fill="auto"/>
            <w:vAlign w:val="center"/>
            <w:hideMark/>
          </w:tcPr>
          <w:p w14:paraId="71761259"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50,4 </w:t>
            </w:r>
          </w:p>
        </w:tc>
        <w:tc>
          <w:tcPr>
            <w:tcW w:w="1059" w:type="dxa"/>
            <w:tcBorders>
              <w:top w:val="nil"/>
              <w:left w:val="nil"/>
              <w:bottom w:val="single" w:sz="4" w:space="0" w:color="auto"/>
              <w:right w:val="single" w:sz="4" w:space="0" w:color="auto"/>
            </w:tcBorders>
            <w:shd w:val="clear" w:color="auto" w:fill="auto"/>
            <w:vAlign w:val="center"/>
            <w:hideMark/>
          </w:tcPr>
          <w:p w14:paraId="59AAD8E4"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-193,2 </w:t>
            </w:r>
          </w:p>
        </w:tc>
        <w:tc>
          <w:tcPr>
            <w:tcW w:w="943" w:type="dxa"/>
            <w:tcBorders>
              <w:top w:val="nil"/>
              <w:left w:val="nil"/>
              <w:bottom w:val="single" w:sz="4" w:space="0" w:color="auto"/>
              <w:right w:val="double" w:sz="6" w:space="0" w:color="auto"/>
            </w:tcBorders>
            <w:shd w:val="clear" w:color="auto" w:fill="auto"/>
            <w:vAlign w:val="center"/>
            <w:hideMark/>
          </w:tcPr>
          <w:p w14:paraId="0A4F86B6"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-79,3 </w:t>
            </w:r>
          </w:p>
        </w:tc>
      </w:tr>
      <w:tr w:rsidR="00FD7B0B" w:rsidRPr="00FD7B0B" w14:paraId="484BBCE0" w14:textId="77777777" w:rsidTr="001F00F4">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30B81B7C"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461</w:t>
            </w:r>
          </w:p>
        </w:tc>
        <w:tc>
          <w:tcPr>
            <w:tcW w:w="5173" w:type="dxa"/>
            <w:tcBorders>
              <w:top w:val="nil"/>
              <w:left w:val="nil"/>
              <w:bottom w:val="single" w:sz="4" w:space="0" w:color="auto"/>
              <w:right w:val="single" w:sz="4" w:space="0" w:color="auto"/>
            </w:tcBorders>
            <w:shd w:val="clear" w:color="auto" w:fill="auto"/>
            <w:vAlign w:val="center"/>
            <w:hideMark/>
          </w:tcPr>
          <w:p w14:paraId="22033E1D"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Субсидии на приобретение объектов недвижимого имущества в государственную (муниципальную) собственность бюджетным учреждениям</w:t>
            </w:r>
          </w:p>
        </w:tc>
        <w:tc>
          <w:tcPr>
            <w:tcW w:w="991" w:type="dxa"/>
            <w:tcBorders>
              <w:top w:val="nil"/>
              <w:left w:val="nil"/>
              <w:bottom w:val="single" w:sz="4" w:space="0" w:color="auto"/>
              <w:right w:val="single" w:sz="4" w:space="0" w:color="auto"/>
            </w:tcBorders>
            <w:shd w:val="clear" w:color="auto" w:fill="auto"/>
            <w:vAlign w:val="center"/>
            <w:hideMark/>
          </w:tcPr>
          <w:p w14:paraId="71729EBF"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57,6 </w:t>
            </w:r>
          </w:p>
        </w:tc>
        <w:tc>
          <w:tcPr>
            <w:tcW w:w="883" w:type="dxa"/>
            <w:tcBorders>
              <w:top w:val="nil"/>
              <w:left w:val="nil"/>
              <w:bottom w:val="single" w:sz="4" w:space="0" w:color="auto"/>
              <w:right w:val="single" w:sz="4" w:space="0" w:color="auto"/>
            </w:tcBorders>
            <w:shd w:val="clear" w:color="auto" w:fill="auto"/>
            <w:vAlign w:val="center"/>
            <w:hideMark/>
          </w:tcPr>
          <w:p w14:paraId="5540F8C6"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44,3 </w:t>
            </w:r>
          </w:p>
        </w:tc>
        <w:tc>
          <w:tcPr>
            <w:tcW w:w="1059" w:type="dxa"/>
            <w:tcBorders>
              <w:top w:val="nil"/>
              <w:left w:val="nil"/>
              <w:bottom w:val="single" w:sz="4" w:space="0" w:color="auto"/>
              <w:right w:val="single" w:sz="4" w:space="0" w:color="auto"/>
            </w:tcBorders>
            <w:shd w:val="clear" w:color="auto" w:fill="auto"/>
            <w:vAlign w:val="center"/>
            <w:hideMark/>
          </w:tcPr>
          <w:p w14:paraId="3894B9A5"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-13,2 </w:t>
            </w:r>
          </w:p>
        </w:tc>
        <w:tc>
          <w:tcPr>
            <w:tcW w:w="943" w:type="dxa"/>
            <w:tcBorders>
              <w:top w:val="nil"/>
              <w:left w:val="nil"/>
              <w:bottom w:val="single" w:sz="4" w:space="0" w:color="auto"/>
              <w:right w:val="double" w:sz="6" w:space="0" w:color="auto"/>
            </w:tcBorders>
            <w:shd w:val="clear" w:color="auto" w:fill="auto"/>
            <w:vAlign w:val="center"/>
            <w:hideMark/>
          </w:tcPr>
          <w:p w14:paraId="3CA2B021"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-23,0 </w:t>
            </w:r>
          </w:p>
        </w:tc>
      </w:tr>
      <w:tr w:rsidR="00FD7B0B" w:rsidRPr="00FD7B0B" w14:paraId="1FF876B9" w14:textId="77777777" w:rsidTr="001F00F4">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1C99C3E1"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462</w:t>
            </w:r>
          </w:p>
        </w:tc>
        <w:tc>
          <w:tcPr>
            <w:tcW w:w="5173" w:type="dxa"/>
            <w:tcBorders>
              <w:top w:val="nil"/>
              <w:left w:val="nil"/>
              <w:bottom w:val="single" w:sz="4" w:space="0" w:color="auto"/>
              <w:right w:val="single" w:sz="4" w:space="0" w:color="auto"/>
            </w:tcBorders>
            <w:shd w:val="clear" w:color="auto" w:fill="auto"/>
            <w:vAlign w:val="center"/>
            <w:hideMark/>
          </w:tcPr>
          <w:p w14:paraId="51FC54CC"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Субсидии на приобретение объектов недвижимого имущества в государственную (муниципальную) собственность автономным учреждениям</w:t>
            </w:r>
          </w:p>
        </w:tc>
        <w:tc>
          <w:tcPr>
            <w:tcW w:w="991" w:type="dxa"/>
            <w:tcBorders>
              <w:top w:val="nil"/>
              <w:left w:val="nil"/>
              <w:bottom w:val="single" w:sz="4" w:space="0" w:color="auto"/>
              <w:right w:val="single" w:sz="4" w:space="0" w:color="auto"/>
            </w:tcBorders>
            <w:shd w:val="clear" w:color="auto" w:fill="auto"/>
            <w:vAlign w:val="center"/>
            <w:hideMark/>
          </w:tcPr>
          <w:p w14:paraId="584DE994"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3,1 </w:t>
            </w:r>
          </w:p>
        </w:tc>
        <w:tc>
          <w:tcPr>
            <w:tcW w:w="883" w:type="dxa"/>
            <w:tcBorders>
              <w:top w:val="nil"/>
              <w:left w:val="nil"/>
              <w:bottom w:val="single" w:sz="4" w:space="0" w:color="auto"/>
              <w:right w:val="single" w:sz="4" w:space="0" w:color="auto"/>
            </w:tcBorders>
            <w:shd w:val="clear" w:color="auto" w:fill="auto"/>
            <w:vAlign w:val="center"/>
            <w:hideMark/>
          </w:tcPr>
          <w:p w14:paraId="4006B9F1"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59" w:type="dxa"/>
            <w:tcBorders>
              <w:top w:val="nil"/>
              <w:left w:val="nil"/>
              <w:bottom w:val="single" w:sz="4" w:space="0" w:color="auto"/>
              <w:right w:val="single" w:sz="4" w:space="0" w:color="auto"/>
            </w:tcBorders>
            <w:shd w:val="clear" w:color="auto" w:fill="auto"/>
            <w:vAlign w:val="center"/>
            <w:hideMark/>
          </w:tcPr>
          <w:p w14:paraId="5D1830F5"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-3,1 </w:t>
            </w:r>
          </w:p>
        </w:tc>
        <w:tc>
          <w:tcPr>
            <w:tcW w:w="943" w:type="dxa"/>
            <w:tcBorders>
              <w:top w:val="nil"/>
              <w:left w:val="nil"/>
              <w:bottom w:val="single" w:sz="4" w:space="0" w:color="auto"/>
              <w:right w:val="double" w:sz="6" w:space="0" w:color="auto"/>
            </w:tcBorders>
            <w:shd w:val="clear" w:color="auto" w:fill="auto"/>
            <w:vAlign w:val="center"/>
            <w:hideMark/>
          </w:tcPr>
          <w:p w14:paraId="041B221D"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7FF5FA5F" w14:textId="77777777" w:rsidTr="001F00F4">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19EF55ED"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464</w:t>
            </w:r>
          </w:p>
        </w:tc>
        <w:tc>
          <w:tcPr>
            <w:tcW w:w="5173" w:type="dxa"/>
            <w:tcBorders>
              <w:top w:val="nil"/>
              <w:left w:val="nil"/>
              <w:bottom w:val="single" w:sz="4" w:space="0" w:color="auto"/>
              <w:right w:val="single" w:sz="4" w:space="0" w:color="auto"/>
            </w:tcBorders>
            <w:shd w:val="clear" w:color="auto" w:fill="auto"/>
            <w:vAlign w:val="center"/>
            <w:hideMark/>
          </w:tcPr>
          <w:p w14:paraId="0DC019DA"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Субсидии на осуществление капитальных вложений в объекты капитального строительства государственной (муниципальной) собственности бюджетным учреждениям</w:t>
            </w:r>
          </w:p>
        </w:tc>
        <w:tc>
          <w:tcPr>
            <w:tcW w:w="991" w:type="dxa"/>
            <w:tcBorders>
              <w:top w:val="nil"/>
              <w:left w:val="nil"/>
              <w:bottom w:val="single" w:sz="4" w:space="0" w:color="auto"/>
              <w:right w:val="single" w:sz="4" w:space="0" w:color="auto"/>
            </w:tcBorders>
            <w:shd w:val="clear" w:color="auto" w:fill="auto"/>
            <w:vAlign w:val="center"/>
            <w:hideMark/>
          </w:tcPr>
          <w:p w14:paraId="1DAC6EE1"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55,1 </w:t>
            </w:r>
          </w:p>
        </w:tc>
        <w:tc>
          <w:tcPr>
            <w:tcW w:w="883" w:type="dxa"/>
            <w:tcBorders>
              <w:top w:val="nil"/>
              <w:left w:val="nil"/>
              <w:bottom w:val="single" w:sz="4" w:space="0" w:color="auto"/>
              <w:right w:val="single" w:sz="4" w:space="0" w:color="auto"/>
            </w:tcBorders>
            <w:shd w:val="clear" w:color="auto" w:fill="auto"/>
            <w:vAlign w:val="center"/>
            <w:hideMark/>
          </w:tcPr>
          <w:p w14:paraId="7B26676E"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224,2 </w:t>
            </w:r>
          </w:p>
        </w:tc>
        <w:tc>
          <w:tcPr>
            <w:tcW w:w="1059" w:type="dxa"/>
            <w:tcBorders>
              <w:top w:val="nil"/>
              <w:left w:val="nil"/>
              <w:bottom w:val="single" w:sz="4" w:space="0" w:color="auto"/>
              <w:right w:val="single" w:sz="4" w:space="0" w:color="auto"/>
            </w:tcBorders>
            <w:shd w:val="clear" w:color="auto" w:fill="auto"/>
            <w:vAlign w:val="center"/>
            <w:hideMark/>
          </w:tcPr>
          <w:p w14:paraId="0B5AE1EC"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169,1 </w:t>
            </w:r>
          </w:p>
        </w:tc>
        <w:tc>
          <w:tcPr>
            <w:tcW w:w="943" w:type="dxa"/>
            <w:tcBorders>
              <w:top w:val="nil"/>
              <w:left w:val="nil"/>
              <w:bottom w:val="single" w:sz="4" w:space="0" w:color="auto"/>
              <w:right w:val="double" w:sz="6" w:space="0" w:color="auto"/>
            </w:tcBorders>
            <w:shd w:val="clear" w:color="auto" w:fill="auto"/>
            <w:vAlign w:val="center"/>
            <w:hideMark/>
          </w:tcPr>
          <w:p w14:paraId="3899D10F"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306,7 </w:t>
            </w:r>
          </w:p>
        </w:tc>
      </w:tr>
      <w:tr w:rsidR="00FD7B0B" w:rsidRPr="00FD7B0B" w14:paraId="6DB9639B" w14:textId="77777777" w:rsidTr="001F00F4">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1A930B1F"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465</w:t>
            </w:r>
          </w:p>
        </w:tc>
        <w:tc>
          <w:tcPr>
            <w:tcW w:w="5173" w:type="dxa"/>
            <w:tcBorders>
              <w:top w:val="nil"/>
              <w:left w:val="nil"/>
              <w:bottom w:val="single" w:sz="4" w:space="0" w:color="auto"/>
              <w:right w:val="single" w:sz="4" w:space="0" w:color="auto"/>
            </w:tcBorders>
            <w:shd w:val="clear" w:color="auto" w:fill="auto"/>
            <w:vAlign w:val="center"/>
            <w:hideMark/>
          </w:tcPr>
          <w:p w14:paraId="161E5A70"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 xml:space="preserve"> Субсидии на осуществление капитальных вложений в объекты капитального строительства государственной (муниципальной) собственности автономным учреждениям</w:t>
            </w:r>
          </w:p>
        </w:tc>
        <w:tc>
          <w:tcPr>
            <w:tcW w:w="991" w:type="dxa"/>
            <w:tcBorders>
              <w:top w:val="nil"/>
              <w:left w:val="nil"/>
              <w:bottom w:val="single" w:sz="4" w:space="0" w:color="auto"/>
              <w:right w:val="single" w:sz="4" w:space="0" w:color="auto"/>
            </w:tcBorders>
            <w:shd w:val="clear" w:color="auto" w:fill="auto"/>
            <w:vAlign w:val="center"/>
            <w:hideMark/>
          </w:tcPr>
          <w:p w14:paraId="25803AAE"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83" w:type="dxa"/>
            <w:tcBorders>
              <w:top w:val="nil"/>
              <w:left w:val="nil"/>
              <w:bottom w:val="single" w:sz="4" w:space="0" w:color="auto"/>
              <w:right w:val="single" w:sz="4" w:space="0" w:color="auto"/>
            </w:tcBorders>
            <w:shd w:val="clear" w:color="auto" w:fill="auto"/>
            <w:vAlign w:val="center"/>
            <w:hideMark/>
          </w:tcPr>
          <w:p w14:paraId="4357DD55"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0,8 </w:t>
            </w:r>
          </w:p>
        </w:tc>
        <w:tc>
          <w:tcPr>
            <w:tcW w:w="1059" w:type="dxa"/>
            <w:tcBorders>
              <w:top w:val="nil"/>
              <w:left w:val="nil"/>
              <w:bottom w:val="single" w:sz="4" w:space="0" w:color="auto"/>
              <w:right w:val="single" w:sz="4" w:space="0" w:color="auto"/>
            </w:tcBorders>
            <w:shd w:val="clear" w:color="auto" w:fill="auto"/>
            <w:vAlign w:val="center"/>
            <w:hideMark/>
          </w:tcPr>
          <w:p w14:paraId="1CD2E198"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0,8 </w:t>
            </w:r>
          </w:p>
        </w:tc>
        <w:tc>
          <w:tcPr>
            <w:tcW w:w="943" w:type="dxa"/>
            <w:tcBorders>
              <w:top w:val="nil"/>
              <w:left w:val="nil"/>
              <w:bottom w:val="single" w:sz="4" w:space="0" w:color="auto"/>
              <w:right w:val="double" w:sz="6" w:space="0" w:color="auto"/>
            </w:tcBorders>
            <w:shd w:val="clear" w:color="auto" w:fill="auto"/>
            <w:vAlign w:val="center"/>
            <w:hideMark/>
          </w:tcPr>
          <w:p w14:paraId="61254448"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w:t>
            </w:r>
          </w:p>
        </w:tc>
      </w:tr>
      <w:tr w:rsidR="0041599B" w:rsidRPr="00FD7B0B" w14:paraId="75644FA8" w14:textId="77777777" w:rsidTr="001F00F4">
        <w:trPr>
          <w:trHeight w:val="333"/>
        </w:trPr>
        <w:tc>
          <w:tcPr>
            <w:tcW w:w="5758"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7C2F2F42" w14:textId="77777777" w:rsidR="0041599B" w:rsidRPr="00FD7B0B" w:rsidRDefault="0041599B" w:rsidP="001F00F4">
            <w:pPr>
              <w:spacing w:after="0" w:line="240" w:lineRule="auto"/>
              <w:rPr>
                <w:rFonts w:ascii="Times New Roman" w:hAnsi="Times New Roman" w:cs="Times New Roman"/>
              </w:rPr>
            </w:pPr>
            <w:r w:rsidRPr="00FD7B0B">
              <w:rPr>
                <w:rFonts w:ascii="Times New Roman" w:hAnsi="Times New Roman" w:cs="Times New Roman"/>
              </w:rPr>
              <w:t>Итого по группе 400 "Капитальные вложения в объекты государственной (муниципальной) собственности"</w:t>
            </w:r>
          </w:p>
        </w:tc>
        <w:tc>
          <w:tcPr>
            <w:tcW w:w="991" w:type="dxa"/>
            <w:tcBorders>
              <w:top w:val="nil"/>
              <w:left w:val="nil"/>
              <w:bottom w:val="double" w:sz="6" w:space="0" w:color="auto"/>
              <w:right w:val="single" w:sz="4" w:space="0" w:color="auto"/>
            </w:tcBorders>
            <w:shd w:val="clear" w:color="auto" w:fill="auto"/>
            <w:vAlign w:val="center"/>
            <w:hideMark/>
          </w:tcPr>
          <w:p w14:paraId="39350438"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10 274,3 </w:t>
            </w:r>
          </w:p>
        </w:tc>
        <w:tc>
          <w:tcPr>
            <w:tcW w:w="883" w:type="dxa"/>
            <w:tcBorders>
              <w:top w:val="nil"/>
              <w:left w:val="nil"/>
              <w:bottom w:val="double" w:sz="6" w:space="0" w:color="auto"/>
              <w:right w:val="single" w:sz="4" w:space="0" w:color="auto"/>
            </w:tcBorders>
            <w:shd w:val="clear" w:color="auto" w:fill="auto"/>
            <w:vAlign w:val="center"/>
            <w:hideMark/>
          </w:tcPr>
          <w:p w14:paraId="41EF9AF5"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7 086,5 </w:t>
            </w:r>
          </w:p>
        </w:tc>
        <w:tc>
          <w:tcPr>
            <w:tcW w:w="1059" w:type="dxa"/>
            <w:tcBorders>
              <w:top w:val="nil"/>
              <w:left w:val="nil"/>
              <w:bottom w:val="double" w:sz="6" w:space="0" w:color="auto"/>
              <w:right w:val="single" w:sz="4" w:space="0" w:color="auto"/>
            </w:tcBorders>
            <w:shd w:val="clear" w:color="auto" w:fill="auto"/>
            <w:vAlign w:val="center"/>
            <w:hideMark/>
          </w:tcPr>
          <w:p w14:paraId="20186ED7"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-3 187,8 </w:t>
            </w:r>
          </w:p>
        </w:tc>
        <w:tc>
          <w:tcPr>
            <w:tcW w:w="943" w:type="dxa"/>
            <w:tcBorders>
              <w:top w:val="nil"/>
              <w:left w:val="nil"/>
              <w:bottom w:val="double" w:sz="6" w:space="0" w:color="auto"/>
              <w:right w:val="double" w:sz="6" w:space="0" w:color="auto"/>
            </w:tcBorders>
            <w:shd w:val="clear" w:color="auto" w:fill="auto"/>
            <w:vAlign w:val="center"/>
            <w:hideMark/>
          </w:tcPr>
          <w:p w14:paraId="6460ECAB" w14:textId="77777777" w:rsidR="0041599B" w:rsidRPr="00FD7B0B" w:rsidRDefault="0041599B" w:rsidP="001F00F4">
            <w:pPr>
              <w:spacing w:after="0" w:line="240" w:lineRule="auto"/>
              <w:jc w:val="right"/>
              <w:rPr>
                <w:rFonts w:ascii="Times New Roman" w:hAnsi="Times New Roman" w:cs="Times New Roman"/>
              </w:rPr>
            </w:pPr>
            <w:r w:rsidRPr="00FD7B0B">
              <w:rPr>
                <w:rFonts w:ascii="Times New Roman" w:hAnsi="Times New Roman" w:cs="Times New Roman"/>
              </w:rPr>
              <w:t xml:space="preserve">-31,0 </w:t>
            </w:r>
          </w:p>
        </w:tc>
      </w:tr>
    </w:tbl>
    <w:p w14:paraId="2450E3AF" w14:textId="77777777" w:rsidR="0041599B" w:rsidRPr="00FD7B0B" w:rsidRDefault="0041599B" w:rsidP="0041599B">
      <w:pPr>
        <w:rPr>
          <w:highlight w:val="cyan"/>
        </w:rPr>
      </w:pPr>
    </w:p>
    <w:p w14:paraId="4E3B6998" w14:textId="0E68A8F1" w:rsidR="0041599B" w:rsidRPr="00FD7B0B" w:rsidRDefault="00156C31" w:rsidP="00156C3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элементам видов</w:t>
      </w:r>
      <w:r w:rsidR="0041599B" w:rsidRPr="00FD7B0B">
        <w:rPr>
          <w:rFonts w:ascii="Times New Roman" w:eastAsia="Calibri" w:hAnsi="Times New Roman" w:cs="Times New Roman"/>
          <w:sz w:val="28"/>
          <w:szCs w:val="28"/>
        </w:rPr>
        <w:t xml:space="preserve"> расходов 451 и 452 расходы за отчетный период осуществлены в виде взносов в уставный капитал на общую сумму 254,9 млн.руб. (100,0 % к плану года):</w:t>
      </w:r>
    </w:p>
    <w:p w14:paraId="584ECED3" w14:textId="77777777" w:rsidR="0041599B" w:rsidRPr="00FD7B0B" w:rsidRDefault="0041599B" w:rsidP="0063072B">
      <w:pPr>
        <w:pStyle w:val="a8"/>
        <w:numPr>
          <w:ilvl w:val="0"/>
          <w:numId w:val="10"/>
        </w:numPr>
        <w:ind w:left="0" w:firstLine="704"/>
        <w:jc w:val="both"/>
        <w:rPr>
          <w:sz w:val="28"/>
          <w:szCs w:val="28"/>
        </w:rPr>
      </w:pPr>
      <w:r w:rsidRPr="00FD7B0B">
        <w:rPr>
          <w:sz w:val="28"/>
          <w:szCs w:val="28"/>
        </w:rPr>
        <w:lastRenderedPageBreak/>
        <w:t>АО «Архангельский экологический оператор» на создание объекта «Комплекс обработки и утилизации твердых коммунальных отходов мощностью 70 000 тонн в год, расположенного по адресу: Котласский район, МО «Черемушское» – 204,5 млн.руб.;</w:t>
      </w:r>
    </w:p>
    <w:p w14:paraId="62614FFD" w14:textId="77777777" w:rsidR="0041599B" w:rsidRPr="00FD7B0B" w:rsidRDefault="0041599B" w:rsidP="0063072B">
      <w:pPr>
        <w:pStyle w:val="a8"/>
        <w:numPr>
          <w:ilvl w:val="0"/>
          <w:numId w:val="10"/>
        </w:numPr>
        <w:ind w:left="0" w:firstLine="704"/>
        <w:jc w:val="both"/>
        <w:rPr>
          <w:sz w:val="28"/>
          <w:szCs w:val="28"/>
        </w:rPr>
      </w:pPr>
      <w:r w:rsidRPr="00FD7B0B">
        <w:rPr>
          <w:sz w:val="28"/>
          <w:szCs w:val="28"/>
        </w:rPr>
        <w:t>АО «Гарантийная организация Архангельской области», в целях государственной поддержки малого и среднего предпринимательства, а также физических лиц, применяющих специальный налоговый режим «Налог на профессиональный доход», с целью увеличения областного гарантийного фонда – 50,4 млн.руб.</w:t>
      </w:r>
    </w:p>
    <w:p w14:paraId="4A4686DC" w14:textId="77777777" w:rsidR="0041599B" w:rsidRPr="00FD7B0B" w:rsidRDefault="0041599B" w:rsidP="00981A0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Наибольшие расходы произведены по элементу вида расходов 414 «Бюджетные инвестиции в объекты капитального строительства государственной (муниципальной) собственности» в размере 91,0 % в общей сумме расходов по группе вида расходов 400, которые составили 6 450,1 млн.руб. (99,4 % ку плану года), и по отношению к расходам за 2023 год они сократились на 34,1 % (-3 343,8 млн.руб.).</w:t>
      </w:r>
    </w:p>
    <w:p w14:paraId="0EB0799F" w14:textId="4357517F" w:rsidR="0041599B" w:rsidRPr="00FD7B0B" w:rsidRDefault="0041599B" w:rsidP="001C140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066D30" w:rsidRPr="00FD7B0B">
        <w:rPr>
          <w:rFonts w:ascii="Times New Roman" w:eastAsia="Calibri" w:hAnsi="Times New Roman" w:cs="Times New Roman"/>
          <w:sz w:val="28"/>
          <w:szCs w:val="28"/>
        </w:rPr>
        <w:t>60</w:t>
      </w:r>
      <w:r w:rsidRPr="00FD7B0B">
        <w:rPr>
          <w:rFonts w:ascii="Times New Roman" w:eastAsia="Calibri" w:hAnsi="Times New Roman" w:cs="Times New Roman"/>
          <w:sz w:val="28"/>
          <w:szCs w:val="28"/>
        </w:rPr>
        <w:t xml:space="preserve"> представлены расходы областного бюджета за 2023 – 2024 годы, направленные в виде бюджетных инвестиций в объекты капитального строительства государственной собственности в разрезе программ Архангельской области.</w:t>
      </w:r>
    </w:p>
    <w:p w14:paraId="2336781E" w14:textId="77777777" w:rsidR="0041599B" w:rsidRPr="00FD7B0B" w:rsidRDefault="0041599B" w:rsidP="001C140B">
      <w:pPr>
        <w:pStyle w:val="aff0"/>
        <w:spacing w:after="0" w:line="240" w:lineRule="auto"/>
        <w:rPr>
          <w:rFonts w:ascii="Times New Roman" w:hAnsi="Times New Roman"/>
          <w:b w:val="0"/>
          <w:sz w:val="24"/>
          <w:szCs w:val="24"/>
        </w:rPr>
      </w:pPr>
    </w:p>
    <w:p w14:paraId="7BAAE8F1" w14:textId="77777777" w:rsidR="0041599B" w:rsidRPr="00FD7B0B" w:rsidRDefault="0041599B" w:rsidP="001C140B">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60</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областного бюджета по элементу ВР 414 «Бюджетные инвестиции в объекты капитального строительства государственной (муниципальной) собственности» за 2023 – 2024 годы в разрезе программ, млн.руб.</w:t>
      </w:r>
    </w:p>
    <w:tbl>
      <w:tblPr>
        <w:tblW w:w="9712" w:type="dxa"/>
        <w:tblLayout w:type="fixed"/>
        <w:tblLook w:val="04A0" w:firstRow="1" w:lastRow="0" w:firstColumn="1" w:lastColumn="0" w:noHBand="0" w:noVBand="1"/>
      </w:tblPr>
      <w:tblGrid>
        <w:gridCol w:w="5789"/>
        <w:gridCol w:w="992"/>
        <w:gridCol w:w="1005"/>
        <w:gridCol w:w="1121"/>
        <w:gridCol w:w="805"/>
      </w:tblGrid>
      <w:tr w:rsidR="00FD7B0B" w:rsidRPr="00FD7B0B" w14:paraId="1DEB121E" w14:textId="77777777" w:rsidTr="001C140B">
        <w:trPr>
          <w:trHeight w:val="35"/>
          <w:tblHeader/>
        </w:trPr>
        <w:tc>
          <w:tcPr>
            <w:tcW w:w="578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6B761C8" w14:textId="77777777" w:rsidR="0041599B" w:rsidRPr="00FD7B0B" w:rsidRDefault="0041599B" w:rsidP="001C140B">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42F15CB" w14:textId="77777777" w:rsidR="0041599B" w:rsidRPr="00FD7B0B" w:rsidRDefault="0041599B" w:rsidP="001C140B">
            <w:pPr>
              <w:spacing w:after="0" w:line="240" w:lineRule="auto"/>
              <w:jc w:val="center"/>
              <w:rPr>
                <w:rFonts w:ascii="Times New Roman" w:hAnsi="Times New Roman" w:cs="Times New Roman"/>
              </w:rPr>
            </w:pPr>
            <w:r w:rsidRPr="00FD7B0B">
              <w:rPr>
                <w:rFonts w:ascii="Times New Roman" w:hAnsi="Times New Roman" w:cs="Times New Roman"/>
              </w:rPr>
              <w:t>2023 год</w:t>
            </w:r>
          </w:p>
        </w:tc>
        <w:tc>
          <w:tcPr>
            <w:tcW w:w="100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D63C1F2" w14:textId="77777777" w:rsidR="0041599B" w:rsidRPr="00FD7B0B" w:rsidRDefault="0041599B" w:rsidP="001C140B">
            <w:pPr>
              <w:spacing w:after="0" w:line="240" w:lineRule="auto"/>
              <w:jc w:val="center"/>
              <w:rPr>
                <w:rFonts w:ascii="Times New Roman" w:hAnsi="Times New Roman" w:cs="Times New Roman"/>
              </w:rPr>
            </w:pPr>
            <w:r w:rsidRPr="00FD7B0B">
              <w:rPr>
                <w:rFonts w:ascii="Times New Roman" w:hAnsi="Times New Roman" w:cs="Times New Roman"/>
              </w:rPr>
              <w:t>2024 год</w:t>
            </w:r>
          </w:p>
        </w:tc>
        <w:tc>
          <w:tcPr>
            <w:tcW w:w="1926" w:type="dxa"/>
            <w:gridSpan w:val="2"/>
            <w:tcBorders>
              <w:top w:val="double" w:sz="6" w:space="0" w:color="auto"/>
              <w:left w:val="nil"/>
              <w:bottom w:val="single" w:sz="4" w:space="0" w:color="auto"/>
              <w:right w:val="double" w:sz="6" w:space="0" w:color="000000"/>
            </w:tcBorders>
            <w:shd w:val="clear" w:color="auto" w:fill="auto"/>
            <w:vAlign w:val="center"/>
            <w:hideMark/>
          </w:tcPr>
          <w:p w14:paraId="37143968" w14:textId="77777777" w:rsidR="0041599B" w:rsidRPr="00FD7B0B" w:rsidRDefault="0041599B" w:rsidP="001C140B">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0D66CF84" w14:textId="77777777" w:rsidTr="001C140B">
        <w:trPr>
          <w:trHeight w:val="35"/>
          <w:tblHeader/>
        </w:trPr>
        <w:tc>
          <w:tcPr>
            <w:tcW w:w="5789" w:type="dxa"/>
            <w:vMerge/>
            <w:tcBorders>
              <w:top w:val="double" w:sz="6" w:space="0" w:color="auto"/>
              <w:left w:val="double" w:sz="6" w:space="0" w:color="auto"/>
              <w:bottom w:val="single" w:sz="4" w:space="0" w:color="auto"/>
              <w:right w:val="single" w:sz="4" w:space="0" w:color="auto"/>
            </w:tcBorders>
            <w:vAlign w:val="center"/>
            <w:hideMark/>
          </w:tcPr>
          <w:p w14:paraId="5E22B960" w14:textId="77777777" w:rsidR="0041599B" w:rsidRPr="00FD7B0B" w:rsidRDefault="0041599B" w:rsidP="001C140B">
            <w:pPr>
              <w:spacing w:after="0" w:line="240" w:lineRule="auto"/>
              <w:jc w:val="center"/>
              <w:rPr>
                <w:rFonts w:ascii="Times New Roman" w:hAnsi="Times New Roman" w:cs="Times New Roman"/>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52E85B8" w14:textId="77777777" w:rsidR="0041599B" w:rsidRPr="00FD7B0B" w:rsidRDefault="0041599B" w:rsidP="001C140B">
            <w:pPr>
              <w:spacing w:after="0" w:line="240" w:lineRule="auto"/>
              <w:jc w:val="center"/>
              <w:rPr>
                <w:rFonts w:ascii="Times New Roman" w:hAnsi="Times New Roman" w:cs="Times New Roman"/>
              </w:rPr>
            </w:pPr>
          </w:p>
        </w:tc>
        <w:tc>
          <w:tcPr>
            <w:tcW w:w="1005" w:type="dxa"/>
            <w:vMerge/>
            <w:tcBorders>
              <w:top w:val="double" w:sz="6" w:space="0" w:color="auto"/>
              <w:left w:val="single" w:sz="4" w:space="0" w:color="auto"/>
              <w:bottom w:val="single" w:sz="4" w:space="0" w:color="auto"/>
              <w:right w:val="single" w:sz="4" w:space="0" w:color="auto"/>
            </w:tcBorders>
            <w:vAlign w:val="center"/>
            <w:hideMark/>
          </w:tcPr>
          <w:p w14:paraId="14CCC8A0" w14:textId="77777777" w:rsidR="0041599B" w:rsidRPr="00FD7B0B" w:rsidRDefault="0041599B" w:rsidP="001C140B">
            <w:pPr>
              <w:spacing w:after="0" w:line="240" w:lineRule="auto"/>
              <w:jc w:val="center"/>
              <w:rPr>
                <w:rFonts w:ascii="Times New Roman" w:hAnsi="Times New Roman" w:cs="Times New Roman"/>
              </w:rPr>
            </w:pPr>
          </w:p>
        </w:tc>
        <w:tc>
          <w:tcPr>
            <w:tcW w:w="1121" w:type="dxa"/>
            <w:tcBorders>
              <w:top w:val="nil"/>
              <w:left w:val="nil"/>
              <w:bottom w:val="single" w:sz="4" w:space="0" w:color="auto"/>
              <w:right w:val="single" w:sz="4" w:space="0" w:color="auto"/>
            </w:tcBorders>
            <w:shd w:val="clear" w:color="auto" w:fill="auto"/>
            <w:vAlign w:val="center"/>
            <w:hideMark/>
          </w:tcPr>
          <w:p w14:paraId="0F396171" w14:textId="77777777" w:rsidR="0041599B" w:rsidRPr="00FD7B0B" w:rsidRDefault="0041599B" w:rsidP="001C140B">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05" w:type="dxa"/>
            <w:tcBorders>
              <w:top w:val="nil"/>
              <w:left w:val="nil"/>
              <w:bottom w:val="single" w:sz="4" w:space="0" w:color="auto"/>
              <w:right w:val="double" w:sz="6" w:space="0" w:color="auto"/>
            </w:tcBorders>
            <w:shd w:val="clear" w:color="auto" w:fill="auto"/>
            <w:vAlign w:val="center"/>
            <w:hideMark/>
          </w:tcPr>
          <w:p w14:paraId="275BF22F" w14:textId="63AADAB9" w:rsidR="0041599B" w:rsidRPr="00FD7B0B" w:rsidRDefault="0041599B" w:rsidP="001C140B">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53335E55"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C33B7A5"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"Развитие здравоохранения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71913BA"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559,5 </w:t>
            </w:r>
          </w:p>
        </w:tc>
        <w:tc>
          <w:tcPr>
            <w:tcW w:w="1005" w:type="dxa"/>
            <w:tcBorders>
              <w:top w:val="nil"/>
              <w:left w:val="nil"/>
              <w:bottom w:val="single" w:sz="4" w:space="0" w:color="auto"/>
              <w:right w:val="single" w:sz="4" w:space="0" w:color="auto"/>
            </w:tcBorders>
            <w:shd w:val="clear" w:color="auto" w:fill="auto"/>
            <w:vAlign w:val="center"/>
            <w:hideMark/>
          </w:tcPr>
          <w:p w14:paraId="081697CC"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248,6 </w:t>
            </w:r>
          </w:p>
        </w:tc>
        <w:tc>
          <w:tcPr>
            <w:tcW w:w="1121" w:type="dxa"/>
            <w:tcBorders>
              <w:top w:val="nil"/>
              <w:left w:val="nil"/>
              <w:bottom w:val="single" w:sz="4" w:space="0" w:color="auto"/>
              <w:right w:val="single" w:sz="4" w:space="0" w:color="auto"/>
            </w:tcBorders>
            <w:shd w:val="clear" w:color="auto" w:fill="auto"/>
            <w:vAlign w:val="center"/>
            <w:hideMark/>
          </w:tcPr>
          <w:p w14:paraId="65CA1CB0"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-310,9 </w:t>
            </w:r>
          </w:p>
        </w:tc>
        <w:tc>
          <w:tcPr>
            <w:tcW w:w="805" w:type="dxa"/>
            <w:tcBorders>
              <w:top w:val="nil"/>
              <w:left w:val="nil"/>
              <w:bottom w:val="single" w:sz="4" w:space="0" w:color="auto"/>
              <w:right w:val="double" w:sz="6" w:space="0" w:color="auto"/>
            </w:tcBorders>
            <w:shd w:val="clear" w:color="auto" w:fill="auto"/>
            <w:vAlign w:val="center"/>
            <w:hideMark/>
          </w:tcPr>
          <w:p w14:paraId="15BB72E4"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-55,6 </w:t>
            </w:r>
          </w:p>
        </w:tc>
      </w:tr>
      <w:tr w:rsidR="00FD7B0B" w:rsidRPr="00FD7B0B" w14:paraId="0C3B757B"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4B6C3FC"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"Развитие образования и науки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28983F9"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838,7 </w:t>
            </w:r>
          </w:p>
        </w:tc>
        <w:tc>
          <w:tcPr>
            <w:tcW w:w="1005" w:type="dxa"/>
            <w:tcBorders>
              <w:top w:val="nil"/>
              <w:left w:val="nil"/>
              <w:bottom w:val="single" w:sz="4" w:space="0" w:color="auto"/>
              <w:right w:val="single" w:sz="4" w:space="0" w:color="auto"/>
            </w:tcBorders>
            <w:shd w:val="clear" w:color="auto" w:fill="auto"/>
            <w:vAlign w:val="center"/>
            <w:hideMark/>
          </w:tcPr>
          <w:p w14:paraId="1098B0D1"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1 632,2 </w:t>
            </w:r>
          </w:p>
        </w:tc>
        <w:tc>
          <w:tcPr>
            <w:tcW w:w="1121" w:type="dxa"/>
            <w:tcBorders>
              <w:top w:val="nil"/>
              <w:left w:val="nil"/>
              <w:bottom w:val="single" w:sz="4" w:space="0" w:color="auto"/>
              <w:right w:val="single" w:sz="4" w:space="0" w:color="auto"/>
            </w:tcBorders>
            <w:shd w:val="clear" w:color="auto" w:fill="auto"/>
            <w:vAlign w:val="center"/>
            <w:hideMark/>
          </w:tcPr>
          <w:p w14:paraId="4CC3EEBC"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793,6 </w:t>
            </w:r>
          </w:p>
        </w:tc>
        <w:tc>
          <w:tcPr>
            <w:tcW w:w="805" w:type="dxa"/>
            <w:tcBorders>
              <w:top w:val="nil"/>
              <w:left w:val="nil"/>
              <w:bottom w:val="single" w:sz="4" w:space="0" w:color="auto"/>
              <w:right w:val="double" w:sz="6" w:space="0" w:color="auto"/>
            </w:tcBorders>
            <w:shd w:val="clear" w:color="auto" w:fill="auto"/>
            <w:vAlign w:val="center"/>
            <w:hideMark/>
          </w:tcPr>
          <w:p w14:paraId="13AA6D9A"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94,6 </w:t>
            </w:r>
          </w:p>
        </w:tc>
      </w:tr>
      <w:tr w:rsidR="00FD7B0B" w:rsidRPr="00FD7B0B" w14:paraId="5DDA1E32"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0169C90"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"Социальная поддержка граждан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5E8138F2"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1005" w:type="dxa"/>
            <w:tcBorders>
              <w:top w:val="nil"/>
              <w:left w:val="nil"/>
              <w:bottom w:val="single" w:sz="4" w:space="0" w:color="auto"/>
              <w:right w:val="single" w:sz="4" w:space="0" w:color="auto"/>
            </w:tcBorders>
            <w:shd w:val="clear" w:color="auto" w:fill="auto"/>
            <w:vAlign w:val="center"/>
            <w:hideMark/>
          </w:tcPr>
          <w:p w14:paraId="1E7286B0"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21" w:type="dxa"/>
            <w:tcBorders>
              <w:top w:val="nil"/>
              <w:left w:val="nil"/>
              <w:bottom w:val="single" w:sz="4" w:space="0" w:color="auto"/>
              <w:right w:val="single" w:sz="4" w:space="0" w:color="auto"/>
            </w:tcBorders>
            <w:shd w:val="clear" w:color="auto" w:fill="auto"/>
            <w:vAlign w:val="center"/>
            <w:hideMark/>
          </w:tcPr>
          <w:p w14:paraId="2AA5E18F"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805" w:type="dxa"/>
            <w:tcBorders>
              <w:top w:val="nil"/>
              <w:left w:val="nil"/>
              <w:bottom w:val="single" w:sz="4" w:space="0" w:color="auto"/>
              <w:right w:val="double" w:sz="6" w:space="0" w:color="auto"/>
            </w:tcBorders>
            <w:shd w:val="clear" w:color="auto" w:fill="auto"/>
            <w:vAlign w:val="center"/>
            <w:hideMark/>
          </w:tcPr>
          <w:p w14:paraId="38CAF9B3"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301EF5C"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3C539A9"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"Культура Русского Севера"</w:t>
            </w:r>
          </w:p>
        </w:tc>
        <w:tc>
          <w:tcPr>
            <w:tcW w:w="992" w:type="dxa"/>
            <w:tcBorders>
              <w:top w:val="nil"/>
              <w:left w:val="nil"/>
              <w:bottom w:val="single" w:sz="4" w:space="0" w:color="auto"/>
              <w:right w:val="single" w:sz="4" w:space="0" w:color="auto"/>
            </w:tcBorders>
            <w:shd w:val="clear" w:color="auto" w:fill="auto"/>
            <w:vAlign w:val="center"/>
            <w:hideMark/>
          </w:tcPr>
          <w:p w14:paraId="1041C58A"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515,9 </w:t>
            </w:r>
          </w:p>
        </w:tc>
        <w:tc>
          <w:tcPr>
            <w:tcW w:w="1005" w:type="dxa"/>
            <w:tcBorders>
              <w:top w:val="nil"/>
              <w:left w:val="nil"/>
              <w:bottom w:val="single" w:sz="4" w:space="0" w:color="auto"/>
              <w:right w:val="single" w:sz="4" w:space="0" w:color="auto"/>
            </w:tcBorders>
            <w:shd w:val="clear" w:color="auto" w:fill="auto"/>
            <w:vAlign w:val="center"/>
            <w:hideMark/>
          </w:tcPr>
          <w:p w14:paraId="4643FB00"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28,4 </w:t>
            </w:r>
          </w:p>
        </w:tc>
        <w:tc>
          <w:tcPr>
            <w:tcW w:w="1121" w:type="dxa"/>
            <w:tcBorders>
              <w:top w:val="nil"/>
              <w:left w:val="nil"/>
              <w:bottom w:val="single" w:sz="4" w:space="0" w:color="auto"/>
              <w:right w:val="single" w:sz="4" w:space="0" w:color="auto"/>
            </w:tcBorders>
            <w:shd w:val="clear" w:color="auto" w:fill="auto"/>
            <w:vAlign w:val="center"/>
            <w:hideMark/>
          </w:tcPr>
          <w:p w14:paraId="39010DDC"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-487,4 </w:t>
            </w:r>
          </w:p>
        </w:tc>
        <w:tc>
          <w:tcPr>
            <w:tcW w:w="805" w:type="dxa"/>
            <w:tcBorders>
              <w:top w:val="nil"/>
              <w:left w:val="nil"/>
              <w:bottom w:val="single" w:sz="4" w:space="0" w:color="auto"/>
              <w:right w:val="double" w:sz="6" w:space="0" w:color="auto"/>
            </w:tcBorders>
            <w:shd w:val="clear" w:color="auto" w:fill="auto"/>
            <w:vAlign w:val="center"/>
            <w:hideMark/>
          </w:tcPr>
          <w:p w14:paraId="787D891C"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-94,5 </w:t>
            </w:r>
          </w:p>
        </w:tc>
      </w:tr>
      <w:tr w:rsidR="00FD7B0B" w:rsidRPr="00FD7B0B" w14:paraId="094FA850"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C485D62"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"Обеспечение качественным, доступным жильем и объектами инженерной инфраструктуры населения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7F3364F2"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591,5 </w:t>
            </w:r>
          </w:p>
        </w:tc>
        <w:tc>
          <w:tcPr>
            <w:tcW w:w="1005" w:type="dxa"/>
            <w:tcBorders>
              <w:top w:val="nil"/>
              <w:left w:val="nil"/>
              <w:bottom w:val="single" w:sz="4" w:space="0" w:color="auto"/>
              <w:right w:val="single" w:sz="4" w:space="0" w:color="auto"/>
            </w:tcBorders>
            <w:shd w:val="clear" w:color="auto" w:fill="auto"/>
            <w:vAlign w:val="center"/>
            <w:hideMark/>
          </w:tcPr>
          <w:p w14:paraId="71B4A1DB"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3 878,4 </w:t>
            </w:r>
          </w:p>
        </w:tc>
        <w:tc>
          <w:tcPr>
            <w:tcW w:w="1121" w:type="dxa"/>
            <w:tcBorders>
              <w:top w:val="nil"/>
              <w:left w:val="nil"/>
              <w:bottom w:val="single" w:sz="4" w:space="0" w:color="auto"/>
              <w:right w:val="single" w:sz="4" w:space="0" w:color="auto"/>
            </w:tcBorders>
            <w:shd w:val="clear" w:color="auto" w:fill="auto"/>
            <w:vAlign w:val="center"/>
            <w:hideMark/>
          </w:tcPr>
          <w:p w14:paraId="39B237D5"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3 286,9 </w:t>
            </w:r>
          </w:p>
        </w:tc>
        <w:tc>
          <w:tcPr>
            <w:tcW w:w="805" w:type="dxa"/>
            <w:tcBorders>
              <w:top w:val="nil"/>
              <w:left w:val="nil"/>
              <w:bottom w:val="single" w:sz="4" w:space="0" w:color="auto"/>
              <w:right w:val="double" w:sz="6" w:space="0" w:color="auto"/>
            </w:tcBorders>
            <w:shd w:val="clear" w:color="auto" w:fill="auto"/>
            <w:vAlign w:val="center"/>
            <w:hideMark/>
          </w:tcPr>
          <w:p w14:paraId="0514C82A"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в 6,6 раза</w:t>
            </w:r>
          </w:p>
        </w:tc>
      </w:tr>
      <w:tr w:rsidR="00FD7B0B" w:rsidRPr="00FD7B0B" w14:paraId="5472D3D9"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4FF8A941"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Адресная программа АО "Переселение граждан из аварийного жилищного фонда на 2019 – 2025 годы"</w:t>
            </w:r>
          </w:p>
        </w:tc>
        <w:tc>
          <w:tcPr>
            <w:tcW w:w="992" w:type="dxa"/>
            <w:tcBorders>
              <w:top w:val="nil"/>
              <w:left w:val="nil"/>
              <w:bottom w:val="single" w:sz="4" w:space="0" w:color="auto"/>
              <w:right w:val="single" w:sz="4" w:space="0" w:color="auto"/>
            </w:tcBorders>
            <w:shd w:val="clear" w:color="auto" w:fill="auto"/>
            <w:vAlign w:val="center"/>
            <w:hideMark/>
          </w:tcPr>
          <w:p w14:paraId="1181F231"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7 010,9 </w:t>
            </w:r>
          </w:p>
        </w:tc>
        <w:tc>
          <w:tcPr>
            <w:tcW w:w="1005" w:type="dxa"/>
            <w:tcBorders>
              <w:top w:val="nil"/>
              <w:left w:val="nil"/>
              <w:bottom w:val="single" w:sz="4" w:space="0" w:color="auto"/>
              <w:right w:val="single" w:sz="4" w:space="0" w:color="auto"/>
            </w:tcBorders>
            <w:shd w:val="clear" w:color="auto" w:fill="auto"/>
            <w:vAlign w:val="center"/>
            <w:hideMark/>
          </w:tcPr>
          <w:p w14:paraId="4134F188"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21" w:type="dxa"/>
            <w:tcBorders>
              <w:top w:val="nil"/>
              <w:left w:val="nil"/>
              <w:bottom w:val="single" w:sz="4" w:space="0" w:color="auto"/>
              <w:right w:val="single" w:sz="4" w:space="0" w:color="auto"/>
            </w:tcBorders>
            <w:shd w:val="clear" w:color="auto" w:fill="auto"/>
            <w:vAlign w:val="center"/>
            <w:hideMark/>
          </w:tcPr>
          <w:p w14:paraId="2722BCEF"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-7 010,9 </w:t>
            </w:r>
          </w:p>
        </w:tc>
        <w:tc>
          <w:tcPr>
            <w:tcW w:w="805" w:type="dxa"/>
            <w:tcBorders>
              <w:top w:val="nil"/>
              <w:left w:val="nil"/>
              <w:bottom w:val="single" w:sz="4" w:space="0" w:color="auto"/>
              <w:right w:val="double" w:sz="6" w:space="0" w:color="auto"/>
            </w:tcBorders>
            <w:shd w:val="clear" w:color="auto" w:fill="auto"/>
            <w:vAlign w:val="center"/>
            <w:hideMark/>
          </w:tcPr>
          <w:p w14:paraId="7AB6DE15"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54C7D676"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4360E5D"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38D1DA28"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57,2 </w:t>
            </w:r>
          </w:p>
        </w:tc>
        <w:tc>
          <w:tcPr>
            <w:tcW w:w="1005" w:type="dxa"/>
            <w:tcBorders>
              <w:top w:val="nil"/>
              <w:left w:val="nil"/>
              <w:bottom w:val="single" w:sz="4" w:space="0" w:color="auto"/>
              <w:right w:val="single" w:sz="4" w:space="0" w:color="auto"/>
            </w:tcBorders>
            <w:shd w:val="clear" w:color="auto" w:fill="auto"/>
            <w:vAlign w:val="center"/>
            <w:hideMark/>
          </w:tcPr>
          <w:p w14:paraId="65AAF83C"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4,7 </w:t>
            </w:r>
          </w:p>
        </w:tc>
        <w:tc>
          <w:tcPr>
            <w:tcW w:w="1121" w:type="dxa"/>
            <w:tcBorders>
              <w:top w:val="nil"/>
              <w:left w:val="nil"/>
              <w:bottom w:val="single" w:sz="4" w:space="0" w:color="auto"/>
              <w:right w:val="single" w:sz="4" w:space="0" w:color="auto"/>
            </w:tcBorders>
            <w:shd w:val="clear" w:color="auto" w:fill="auto"/>
            <w:vAlign w:val="center"/>
            <w:hideMark/>
          </w:tcPr>
          <w:p w14:paraId="6B020F7A"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-52,6 </w:t>
            </w:r>
          </w:p>
        </w:tc>
        <w:tc>
          <w:tcPr>
            <w:tcW w:w="805" w:type="dxa"/>
            <w:tcBorders>
              <w:top w:val="nil"/>
              <w:left w:val="nil"/>
              <w:bottom w:val="single" w:sz="4" w:space="0" w:color="auto"/>
              <w:right w:val="double" w:sz="6" w:space="0" w:color="auto"/>
            </w:tcBorders>
            <w:shd w:val="clear" w:color="auto" w:fill="auto"/>
            <w:vAlign w:val="center"/>
            <w:hideMark/>
          </w:tcPr>
          <w:p w14:paraId="4918BAEC"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-91,9 </w:t>
            </w:r>
          </w:p>
        </w:tc>
      </w:tr>
      <w:tr w:rsidR="00FD7B0B" w:rsidRPr="00FD7B0B" w14:paraId="566D4251"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17B47D5"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"Защита населения и территорий Архангельской области от чрезвычайных ситуаций, обеспечение пожарной безопасности и безопасности на водных объектах"</w:t>
            </w:r>
          </w:p>
        </w:tc>
        <w:tc>
          <w:tcPr>
            <w:tcW w:w="992" w:type="dxa"/>
            <w:tcBorders>
              <w:top w:val="nil"/>
              <w:left w:val="nil"/>
              <w:bottom w:val="single" w:sz="4" w:space="0" w:color="auto"/>
              <w:right w:val="single" w:sz="4" w:space="0" w:color="auto"/>
            </w:tcBorders>
            <w:shd w:val="clear" w:color="auto" w:fill="auto"/>
            <w:vAlign w:val="center"/>
            <w:hideMark/>
          </w:tcPr>
          <w:p w14:paraId="417F7D7C"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1005" w:type="dxa"/>
            <w:tcBorders>
              <w:top w:val="nil"/>
              <w:left w:val="nil"/>
              <w:bottom w:val="single" w:sz="4" w:space="0" w:color="auto"/>
              <w:right w:val="single" w:sz="4" w:space="0" w:color="auto"/>
            </w:tcBorders>
            <w:shd w:val="clear" w:color="auto" w:fill="auto"/>
            <w:vAlign w:val="center"/>
            <w:hideMark/>
          </w:tcPr>
          <w:p w14:paraId="52FDE659"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21" w:type="dxa"/>
            <w:tcBorders>
              <w:top w:val="nil"/>
              <w:left w:val="nil"/>
              <w:bottom w:val="single" w:sz="4" w:space="0" w:color="auto"/>
              <w:right w:val="single" w:sz="4" w:space="0" w:color="auto"/>
            </w:tcBorders>
            <w:shd w:val="clear" w:color="auto" w:fill="auto"/>
            <w:vAlign w:val="center"/>
            <w:hideMark/>
          </w:tcPr>
          <w:p w14:paraId="717AB82D"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805" w:type="dxa"/>
            <w:tcBorders>
              <w:top w:val="nil"/>
              <w:left w:val="nil"/>
              <w:bottom w:val="single" w:sz="4" w:space="0" w:color="auto"/>
              <w:right w:val="double" w:sz="6" w:space="0" w:color="auto"/>
            </w:tcBorders>
            <w:shd w:val="clear" w:color="auto" w:fill="auto"/>
            <w:vAlign w:val="center"/>
            <w:hideMark/>
          </w:tcPr>
          <w:p w14:paraId="0BF87A01"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271F2EBB"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89601FB"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"Охрана окружающей среды, воспроизводство и использование природных ресурсов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6DD6CAE1"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1005" w:type="dxa"/>
            <w:tcBorders>
              <w:top w:val="nil"/>
              <w:left w:val="nil"/>
              <w:bottom w:val="single" w:sz="4" w:space="0" w:color="auto"/>
              <w:right w:val="single" w:sz="4" w:space="0" w:color="auto"/>
            </w:tcBorders>
            <w:shd w:val="clear" w:color="auto" w:fill="auto"/>
            <w:vAlign w:val="center"/>
            <w:hideMark/>
          </w:tcPr>
          <w:p w14:paraId="64320BA1"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21" w:type="dxa"/>
            <w:tcBorders>
              <w:top w:val="nil"/>
              <w:left w:val="nil"/>
              <w:bottom w:val="single" w:sz="4" w:space="0" w:color="auto"/>
              <w:right w:val="single" w:sz="4" w:space="0" w:color="auto"/>
            </w:tcBorders>
            <w:shd w:val="clear" w:color="auto" w:fill="auto"/>
            <w:vAlign w:val="center"/>
            <w:hideMark/>
          </w:tcPr>
          <w:p w14:paraId="6EF4FCEC"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805" w:type="dxa"/>
            <w:tcBorders>
              <w:top w:val="nil"/>
              <w:left w:val="nil"/>
              <w:bottom w:val="single" w:sz="4" w:space="0" w:color="auto"/>
              <w:right w:val="double" w:sz="6" w:space="0" w:color="auto"/>
            </w:tcBorders>
            <w:shd w:val="clear" w:color="auto" w:fill="auto"/>
            <w:vAlign w:val="center"/>
            <w:hideMark/>
          </w:tcPr>
          <w:p w14:paraId="4797D6FB"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4D8F590F"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25083B6"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"Развитие лесного комплекса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15D9DDC6"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0,5 </w:t>
            </w:r>
          </w:p>
        </w:tc>
        <w:tc>
          <w:tcPr>
            <w:tcW w:w="1005" w:type="dxa"/>
            <w:tcBorders>
              <w:top w:val="nil"/>
              <w:left w:val="nil"/>
              <w:bottom w:val="single" w:sz="4" w:space="0" w:color="auto"/>
              <w:right w:val="single" w:sz="4" w:space="0" w:color="auto"/>
            </w:tcBorders>
            <w:shd w:val="clear" w:color="auto" w:fill="auto"/>
            <w:vAlign w:val="center"/>
            <w:hideMark/>
          </w:tcPr>
          <w:p w14:paraId="621DA3C2"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110,6 </w:t>
            </w:r>
          </w:p>
        </w:tc>
        <w:tc>
          <w:tcPr>
            <w:tcW w:w="1121" w:type="dxa"/>
            <w:tcBorders>
              <w:top w:val="nil"/>
              <w:left w:val="nil"/>
              <w:bottom w:val="single" w:sz="4" w:space="0" w:color="auto"/>
              <w:right w:val="single" w:sz="4" w:space="0" w:color="auto"/>
            </w:tcBorders>
            <w:shd w:val="clear" w:color="auto" w:fill="auto"/>
            <w:vAlign w:val="center"/>
            <w:hideMark/>
          </w:tcPr>
          <w:p w14:paraId="26203779"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110,1 </w:t>
            </w:r>
          </w:p>
        </w:tc>
        <w:tc>
          <w:tcPr>
            <w:tcW w:w="805" w:type="dxa"/>
            <w:tcBorders>
              <w:top w:val="nil"/>
              <w:left w:val="nil"/>
              <w:bottom w:val="single" w:sz="4" w:space="0" w:color="auto"/>
              <w:right w:val="double" w:sz="6" w:space="0" w:color="auto"/>
            </w:tcBorders>
            <w:shd w:val="clear" w:color="auto" w:fill="auto"/>
            <w:vAlign w:val="center"/>
            <w:hideMark/>
          </w:tcPr>
          <w:p w14:paraId="3CFCE94F"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в 209 раз</w:t>
            </w:r>
          </w:p>
        </w:tc>
      </w:tr>
      <w:tr w:rsidR="00FD7B0B" w:rsidRPr="00FD7B0B" w14:paraId="35D3C9FC"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F587ABB"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lastRenderedPageBreak/>
              <w:t>ГП АО "Совершенствование государственного управления и местного самоуправления, развитие институтов гражданского общества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50690916"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74,7 </w:t>
            </w:r>
          </w:p>
        </w:tc>
        <w:tc>
          <w:tcPr>
            <w:tcW w:w="1005" w:type="dxa"/>
            <w:tcBorders>
              <w:top w:val="nil"/>
              <w:left w:val="nil"/>
              <w:bottom w:val="single" w:sz="4" w:space="0" w:color="auto"/>
              <w:right w:val="single" w:sz="4" w:space="0" w:color="auto"/>
            </w:tcBorders>
            <w:shd w:val="clear" w:color="auto" w:fill="auto"/>
            <w:vAlign w:val="center"/>
            <w:hideMark/>
          </w:tcPr>
          <w:p w14:paraId="688E70D3"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84,7 </w:t>
            </w:r>
          </w:p>
        </w:tc>
        <w:tc>
          <w:tcPr>
            <w:tcW w:w="1121" w:type="dxa"/>
            <w:tcBorders>
              <w:top w:val="nil"/>
              <w:left w:val="nil"/>
              <w:bottom w:val="single" w:sz="4" w:space="0" w:color="auto"/>
              <w:right w:val="single" w:sz="4" w:space="0" w:color="auto"/>
            </w:tcBorders>
            <w:shd w:val="clear" w:color="auto" w:fill="auto"/>
            <w:vAlign w:val="center"/>
            <w:hideMark/>
          </w:tcPr>
          <w:p w14:paraId="3B8B34B5"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10,0 </w:t>
            </w:r>
          </w:p>
        </w:tc>
        <w:tc>
          <w:tcPr>
            <w:tcW w:w="805" w:type="dxa"/>
            <w:tcBorders>
              <w:top w:val="nil"/>
              <w:left w:val="nil"/>
              <w:bottom w:val="single" w:sz="4" w:space="0" w:color="auto"/>
              <w:right w:val="double" w:sz="6" w:space="0" w:color="auto"/>
            </w:tcBorders>
            <w:shd w:val="clear" w:color="auto" w:fill="auto"/>
            <w:vAlign w:val="center"/>
            <w:hideMark/>
          </w:tcPr>
          <w:p w14:paraId="6671C65D"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13,4 </w:t>
            </w:r>
          </w:p>
        </w:tc>
      </w:tr>
      <w:tr w:rsidR="00FD7B0B" w:rsidRPr="00FD7B0B" w14:paraId="23ADDCB7"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8F8871D"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"Развитие транспортной системы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116430B7"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2,6 </w:t>
            </w:r>
          </w:p>
        </w:tc>
        <w:tc>
          <w:tcPr>
            <w:tcW w:w="1005" w:type="dxa"/>
            <w:tcBorders>
              <w:top w:val="nil"/>
              <w:left w:val="nil"/>
              <w:bottom w:val="single" w:sz="4" w:space="0" w:color="auto"/>
              <w:right w:val="single" w:sz="4" w:space="0" w:color="auto"/>
            </w:tcBorders>
            <w:shd w:val="clear" w:color="auto" w:fill="auto"/>
            <w:vAlign w:val="center"/>
            <w:hideMark/>
          </w:tcPr>
          <w:p w14:paraId="4BAD9367"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30,8 </w:t>
            </w:r>
          </w:p>
        </w:tc>
        <w:tc>
          <w:tcPr>
            <w:tcW w:w="1121" w:type="dxa"/>
            <w:tcBorders>
              <w:top w:val="nil"/>
              <w:left w:val="nil"/>
              <w:bottom w:val="single" w:sz="4" w:space="0" w:color="auto"/>
              <w:right w:val="single" w:sz="4" w:space="0" w:color="auto"/>
            </w:tcBorders>
            <w:shd w:val="clear" w:color="auto" w:fill="auto"/>
            <w:vAlign w:val="center"/>
            <w:hideMark/>
          </w:tcPr>
          <w:p w14:paraId="5CFCB5BA"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28,2 </w:t>
            </w:r>
          </w:p>
        </w:tc>
        <w:tc>
          <w:tcPr>
            <w:tcW w:w="805" w:type="dxa"/>
            <w:tcBorders>
              <w:top w:val="nil"/>
              <w:left w:val="nil"/>
              <w:bottom w:val="single" w:sz="4" w:space="0" w:color="auto"/>
              <w:right w:val="double" w:sz="6" w:space="0" w:color="auto"/>
            </w:tcBorders>
            <w:shd w:val="clear" w:color="auto" w:fill="auto"/>
            <w:vAlign w:val="center"/>
            <w:hideMark/>
          </w:tcPr>
          <w:p w14:paraId="65D47C35"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в 12 раз</w:t>
            </w:r>
          </w:p>
        </w:tc>
      </w:tr>
      <w:tr w:rsidR="00FD7B0B" w:rsidRPr="00FD7B0B" w14:paraId="43633F10"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FF91BB1"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"Развитие инфраструктуры Соловецкого архипелага"</w:t>
            </w:r>
          </w:p>
        </w:tc>
        <w:tc>
          <w:tcPr>
            <w:tcW w:w="992" w:type="dxa"/>
            <w:tcBorders>
              <w:top w:val="nil"/>
              <w:left w:val="nil"/>
              <w:bottom w:val="single" w:sz="4" w:space="0" w:color="auto"/>
              <w:right w:val="single" w:sz="4" w:space="0" w:color="auto"/>
            </w:tcBorders>
            <w:shd w:val="clear" w:color="auto" w:fill="auto"/>
            <w:vAlign w:val="center"/>
            <w:hideMark/>
          </w:tcPr>
          <w:p w14:paraId="72A82C84"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0,9 </w:t>
            </w:r>
          </w:p>
        </w:tc>
        <w:tc>
          <w:tcPr>
            <w:tcW w:w="1005" w:type="dxa"/>
            <w:tcBorders>
              <w:top w:val="nil"/>
              <w:left w:val="nil"/>
              <w:bottom w:val="single" w:sz="4" w:space="0" w:color="auto"/>
              <w:right w:val="single" w:sz="4" w:space="0" w:color="auto"/>
            </w:tcBorders>
            <w:shd w:val="clear" w:color="auto" w:fill="auto"/>
            <w:vAlign w:val="center"/>
            <w:hideMark/>
          </w:tcPr>
          <w:p w14:paraId="38C0AE47"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307,4 </w:t>
            </w:r>
          </w:p>
        </w:tc>
        <w:tc>
          <w:tcPr>
            <w:tcW w:w="1121" w:type="dxa"/>
            <w:tcBorders>
              <w:top w:val="nil"/>
              <w:left w:val="nil"/>
              <w:bottom w:val="single" w:sz="4" w:space="0" w:color="auto"/>
              <w:right w:val="single" w:sz="4" w:space="0" w:color="auto"/>
            </w:tcBorders>
            <w:shd w:val="clear" w:color="auto" w:fill="auto"/>
            <w:vAlign w:val="center"/>
            <w:hideMark/>
          </w:tcPr>
          <w:p w14:paraId="52EAAA0A"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306,5 </w:t>
            </w:r>
          </w:p>
        </w:tc>
        <w:tc>
          <w:tcPr>
            <w:tcW w:w="805" w:type="dxa"/>
            <w:tcBorders>
              <w:top w:val="nil"/>
              <w:left w:val="nil"/>
              <w:bottom w:val="single" w:sz="4" w:space="0" w:color="auto"/>
              <w:right w:val="double" w:sz="6" w:space="0" w:color="auto"/>
            </w:tcBorders>
            <w:shd w:val="clear" w:color="auto" w:fill="auto"/>
            <w:vAlign w:val="center"/>
            <w:hideMark/>
          </w:tcPr>
          <w:p w14:paraId="0F8A3015"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в 33,7 раза</w:t>
            </w:r>
          </w:p>
        </w:tc>
      </w:tr>
      <w:tr w:rsidR="00FD7B0B" w:rsidRPr="00FD7B0B" w14:paraId="7E15872E"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17733CF"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"Комплексное развитие сельских территорий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650B74B9"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106,8 </w:t>
            </w:r>
          </w:p>
        </w:tc>
        <w:tc>
          <w:tcPr>
            <w:tcW w:w="1005" w:type="dxa"/>
            <w:tcBorders>
              <w:top w:val="nil"/>
              <w:left w:val="nil"/>
              <w:bottom w:val="single" w:sz="4" w:space="0" w:color="auto"/>
              <w:right w:val="single" w:sz="4" w:space="0" w:color="auto"/>
            </w:tcBorders>
            <w:shd w:val="clear" w:color="auto" w:fill="auto"/>
            <w:vAlign w:val="center"/>
            <w:hideMark/>
          </w:tcPr>
          <w:p w14:paraId="0389C5F6"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124,3 </w:t>
            </w:r>
          </w:p>
        </w:tc>
        <w:tc>
          <w:tcPr>
            <w:tcW w:w="1121" w:type="dxa"/>
            <w:tcBorders>
              <w:top w:val="nil"/>
              <w:left w:val="nil"/>
              <w:bottom w:val="single" w:sz="4" w:space="0" w:color="auto"/>
              <w:right w:val="single" w:sz="4" w:space="0" w:color="auto"/>
            </w:tcBorders>
            <w:shd w:val="clear" w:color="auto" w:fill="auto"/>
            <w:vAlign w:val="center"/>
            <w:hideMark/>
          </w:tcPr>
          <w:p w14:paraId="577C1F4B"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17,5 </w:t>
            </w:r>
          </w:p>
        </w:tc>
        <w:tc>
          <w:tcPr>
            <w:tcW w:w="805" w:type="dxa"/>
            <w:tcBorders>
              <w:top w:val="nil"/>
              <w:left w:val="nil"/>
              <w:bottom w:val="single" w:sz="4" w:space="0" w:color="auto"/>
              <w:right w:val="double" w:sz="6" w:space="0" w:color="auto"/>
            </w:tcBorders>
            <w:shd w:val="clear" w:color="auto" w:fill="auto"/>
            <w:vAlign w:val="center"/>
            <w:hideMark/>
          </w:tcPr>
          <w:p w14:paraId="4FC97189"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16,4 </w:t>
            </w:r>
          </w:p>
        </w:tc>
      </w:tr>
      <w:tr w:rsidR="00FD7B0B" w:rsidRPr="00FD7B0B" w14:paraId="6CAD76E1" w14:textId="77777777" w:rsidTr="001C140B">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AEFFDED"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ГП АО "Развитие физической культуры и спорта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03ED3DA6"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33,0 </w:t>
            </w:r>
          </w:p>
        </w:tc>
        <w:tc>
          <w:tcPr>
            <w:tcW w:w="1005" w:type="dxa"/>
            <w:tcBorders>
              <w:top w:val="nil"/>
              <w:left w:val="nil"/>
              <w:bottom w:val="single" w:sz="4" w:space="0" w:color="auto"/>
              <w:right w:val="single" w:sz="4" w:space="0" w:color="auto"/>
            </w:tcBorders>
            <w:shd w:val="clear" w:color="auto" w:fill="auto"/>
            <w:vAlign w:val="center"/>
            <w:hideMark/>
          </w:tcPr>
          <w:p w14:paraId="3F62C6E5"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21" w:type="dxa"/>
            <w:tcBorders>
              <w:top w:val="nil"/>
              <w:left w:val="nil"/>
              <w:bottom w:val="single" w:sz="4" w:space="0" w:color="auto"/>
              <w:right w:val="single" w:sz="4" w:space="0" w:color="auto"/>
            </w:tcBorders>
            <w:shd w:val="clear" w:color="auto" w:fill="auto"/>
            <w:vAlign w:val="center"/>
            <w:hideMark/>
          </w:tcPr>
          <w:p w14:paraId="4B7524DE"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-33,0 </w:t>
            </w:r>
          </w:p>
        </w:tc>
        <w:tc>
          <w:tcPr>
            <w:tcW w:w="805" w:type="dxa"/>
            <w:tcBorders>
              <w:top w:val="nil"/>
              <w:left w:val="nil"/>
              <w:bottom w:val="single" w:sz="4" w:space="0" w:color="auto"/>
              <w:right w:val="double" w:sz="6" w:space="0" w:color="auto"/>
            </w:tcBorders>
            <w:shd w:val="clear" w:color="auto" w:fill="auto"/>
            <w:vAlign w:val="center"/>
            <w:hideMark/>
          </w:tcPr>
          <w:p w14:paraId="68144524"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41599B" w:rsidRPr="00FD7B0B" w14:paraId="7230A51E" w14:textId="77777777" w:rsidTr="001C140B">
        <w:trPr>
          <w:trHeight w:val="70"/>
        </w:trPr>
        <w:tc>
          <w:tcPr>
            <w:tcW w:w="5789" w:type="dxa"/>
            <w:tcBorders>
              <w:top w:val="nil"/>
              <w:left w:val="double" w:sz="6" w:space="0" w:color="auto"/>
              <w:bottom w:val="double" w:sz="6" w:space="0" w:color="auto"/>
              <w:right w:val="single" w:sz="4" w:space="0" w:color="auto"/>
            </w:tcBorders>
            <w:shd w:val="clear" w:color="auto" w:fill="auto"/>
            <w:vAlign w:val="center"/>
            <w:hideMark/>
          </w:tcPr>
          <w:p w14:paraId="55B678CB" w14:textId="77777777" w:rsidR="0041599B" w:rsidRPr="00FD7B0B" w:rsidRDefault="0041599B" w:rsidP="001C140B">
            <w:pPr>
              <w:spacing w:after="0" w:line="240" w:lineRule="auto"/>
              <w:rPr>
                <w:rFonts w:ascii="Times New Roman" w:hAnsi="Times New Roman" w:cs="Times New Roman"/>
              </w:rPr>
            </w:pPr>
            <w:r w:rsidRPr="00FD7B0B">
              <w:rPr>
                <w:rFonts w:ascii="Times New Roman" w:hAnsi="Times New Roman" w:cs="Times New Roman"/>
              </w:rPr>
              <w:t>Итого по элементу 414 "Бюджетные инвестиции в объекты капитального строительства государственной (муниципальной) собственности"</w:t>
            </w:r>
          </w:p>
        </w:tc>
        <w:tc>
          <w:tcPr>
            <w:tcW w:w="992" w:type="dxa"/>
            <w:tcBorders>
              <w:top w:val="nil"/>
              <w:left w:val="nil"/>
              <w:bottom w:val="double" w:sz="6" w:space="0" w:color="auto"/>
              <w:right w:val="single" w:sz="4" w:space="0" w:color="auto"/>
            </w:tcBorders>
            <w:shd w:val="clear" w:color="auto" w:fill="auto"/>
            <w:vAlign w:val="center"/>
            <w:hideMark/>
          </w:tcPr>
          <w:p w14:paraId="5444E2AE"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9 793,9 </w:t>
            </w:r>
          </w:p>
        </w:tc>
        <w:tc>
          <w:tcPr>
            <w:tcW w:w="1005" w:type="dxa"/>
            <w:tcBorders>
              <w:top w:val="nil"/>
              <w:left w:val="nil"/>
              <w:bottom w:val="double" w:sz="6" w:space="0" w:color="auto"/>
              <w:right w:val="single" w:sz="4" w:space="0" w:color="auto"/>
            </w:tcBorders>
            <w:shd w:val="clear" w:color="auto" w:fill="auto"/>
            <w:vAlign w:val="center"/>
            <w:hideMark/>
          </w:tcPr>
          <w:p w14:paraId="71B90C5E"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6 450,1 </w:t>
            </w:r>
          </w:p>
        </w:tc>
        <w:tc>
          <w:tcPr>
            <w:tcW w:w="1121" w:type="dxa"/>
            <w:tcBorders>
              <w:top w:val="nil"/>
              <w:left w:val="nil"/>
              <w:bottom w:val="double" w:sz="6" w:space="0" w:color="auto"/>
              <w:right w:val="single" w:sz="4" w:space="0" w:color="auto"/>
            </w:tcBorders>
            <w:shd w:val="clear" w:color="auto" w:fill="auto"/>
            <w:vAlign w:val="center"/>
            <w:hideMark/>
          </w:tcPr>
          <w:p w14:paraId="631C6636"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-3 343,8 </w:t>
            </w:r>
          </w:p>
        </w:tc>
        <w:tc>
          <w:tcPr>
            <w:tcW w:w="805" w:type="dxa"/>
            <w:tcBorders>
              <w:top w:val="nil"/>
              <w:left w:val="nil"/>
              <w:bottom w:val="double" w:sz="6" w:space="0" w:color="auto"/>
              <w:right w:val="double" w:sz="6" w:space="0" w:color="auto"/>
            </w:tcBorders>
            <w:shd w:val="clear" w:color="auto" w:fill="auto"/>
            <w:vAlign w:val="center"/>
            <w:hideMark/>
          </w:tcPr>
          <w:p w14:paraId="538A0D64" w14:textId="77777777" w:rsidR="0041599B" w:rsidRPr="00FD7B0B" w:rsidRDefault="0041599B" w:rsidP="001C140B">
            <w:pPr>
              <w:spacing w:after="0" w:line="240" w:lineRule="auto"/>
              <w:jc w:val="right"/>
              <w:rPr>
                <w:rFonts w:ascii="Times New Roman" w:hAnsi="Times New Roman" w:cs="Times New Roman"/>
              </w:rPr>
            </w:pPr>
            <w:r w:rsidRPr="00FD7B0B">
              <w:rPr>
                <w:rFonts w:ascii="Times New Roman" w:hAnsi="Times New Roman" w:cs="Times New Roman"/>
              </w:rPr>
              <w:t xml:space="preserve">-34,1 </w:t>
            </w:r>
          </w:p>
        </w:tc>
      </w:tr>
    </w:tbl>
    <w:p w14:paraId="4F3B7066" w14:textId="77777777" w:rsidR="0041599B" w:rsidRPr="00FD7B0B" w:rsidRDefault="0041599B" w:rsidP="001C140B">
      <w:pPr>
        <w:spacing w:after="0" w:line="240" w:lineRule="auto"/>
        <w:ind w:firstLine="709"/>
        <w:jc w:val="both"/>
        <w:rPr>
          <w:rFonts w:ascii="Times New Roman" w:eastAsia="Calibri" w:hAnsi="Times New Roman" w:cs="Times New Roman"/>
          <w:sz w:val="28"/>
          <w:szCs w:val="28"/>
        </w:rPr>
      </w:pPr>
    </w:p>
    <w:p w14:paraId="3653E6AD" w14:textId="77777777" w:rsidR="0041599B" w:rsidRPr="00FD7B0B" w:rsidRDefault="0041599B" w:rsidP="001C140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Отсутствие расходов в виде бюджетных инвестиций по реализацию адресной программы «Переселение граждан из аварийного жилищного фонда на 2019 – 2025 годы» объясняется тем, что в соответствии с требованиями нормативно-правовых актов, указанные расходы с 2024 года включены в государственную программу Архангельской области «Обеспечение качественным, доступным жильем и объектами инженерной инфраструктуры населения Архангельской области», которые за отчетный период исполнены на 99,7 % к плану года на сумму 3 878,4 млн.руб., из них за счет средств ППК «Фонд развития территорий» – 2 140,3 млн.руб. (100,0 % к плану года).</w:t>
      </w:r>
    </w:p>
    <w:p w14:paraId="4BC54AB9" w14:textId="77777777" w:rsidR="0041599B" w:rsidRPr="00FD7B0B" w:rsidRDefault="0041599B" w:rsidP="0089007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государственной программе Архангельской области «Развитие здравоохранения Архангельской области» снижение расходов за отчетный период к расходам за 2023 год составило 55,6 % (-310,9 млн.руб.), что связано в большей части направлением в 2023 году бюджетных инвестиций на реализацию региональных программ модернизации первичного звена здравоохранения (новое строительство (реконструкция) объектов медицинских организаций).</w:t>
      </w:r>
    </w:p>
    <w:p w14:paraId="6AD066CF" w14:textId="24CA1DE8" w:rsidR="0041599B" w:rsidRPr="00FD7B0B" w:rsidRDefault="0041599B" w:rsidP="0089007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Расходы в части иных бюджетных ассигнований (</w:t>
      </w:r>
      <w:r w:rsidR="00890079" w:rsidRPr="00FD7B0B">
        <w:rPr>
          <w:rFonts w:ascii="Times New Roman" w:eastAsia="Calibri" w:hAnsi="Times New Roman" w:cs="Times New Roman"/>
          <w:sz w:val="28"/>
          <w:szCs w:val="28"/>
        </w:rPr>
        <w:t xml:space="preserve">группа </w:t>
      </w:r>
      <w:r w:rsidRPr="00FD7B0B">
        <w:rPr>
          <w:rFonts w:ascii="Times New Roman" w:eastAsia="Calibri" w:hAnsi="Times New Roman" w:cs="Times New Roman"/>
          <w:sz w:val="28"/>
          <w:szCs w:val="28"/>
        </w:rPr>
        <w:t>вид</w:t>
      </w:r>
      <w:r w:rsidR="00890079" w:rsidRPr="00FD7B0B">
        <w:rPr>
          <w:rFonts w:ascii="Times New Roman" w:eastAsia="Calibri" w:hAnsi="Times New Roman" w:cs="Times New Roman"/>
          <w:sz w:val="28"/>
          <w:szCs w:val="28"/>
        </w:rPr>
        <w:t>а</w:t>
      </w:r>
      <w:r w:rsidRPr="00FD7B0B">
        <w:rPr>
          <w:rFonts w:ascii="Times New Roman" w:eastAsia="Calibri" w:hAnsi="Times New Roman" w:cs="Times New Roman"/>
          <w:sz w:val="28"/>
          <w:szCs w:val="28"/>
        </w:rPr>
        <w:t xml:space="preserve"> расходов 800) за 2024 года составили 15 535,0 млн.руб. (99,7 % к плану года) и в сравнении с 2023 годом прирост данных расходов составил 1 689,8 млн.руб. (+12,2 %).</w:t>
      </w:r>
    </w:p>
    <w:p w14:paraId="33D6EAFB" w14:textId="7331162D" w:rsidR="0041599B" w:rsidRPr="00FD7B0B" w:rsidRDefault="0041599B" w:rsidP="00FB69C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Наибольший удельный вес в общей сумме расходов по данной группе составили расходы по элементу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(удельный вес – 78,8 %), которые за 2024 год составили 12 237,4 млн.руб. (100,0 % к плану года)</w:t>
      </w:r>
      <w:r w:rsidR="00FB69C1"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 xml:space="preserve"> и по отношению к аналогичным расходам за 2023 год они увеличились на 955,8 млн.руб. (+8,5 %), из них наибольшие расходы отражены в таблице </w:t>
      </w:r>
      <w:r w:rsidR="005A25D0" w:rsidRPr="00FD7B0B">
        <w:rPr>
          <w:rFonts w:ascii="Times New Roman" w:eastAsia="Calibri" w:hAnsi="Times New Roman" w:cs="Times New Roman"/>
          <w:sz w:val="28"/>
          <w:szCs w:val="28"/>
        </w:rPr>
        <w:t>61</w:t>
      </w:r>
      <w:r w:rsidRPr="00FD7B0B">
        <w:rPr>
          <w:rFonts w:ascii="Times New Roman" w:eastAsia="Calibri" w:hAnsi="Times New Roman" w:cs="Times New Roman"/>
          <w:sz w:val="28"/>
          <w:szCs w:val="28"/>
        </w:rPr>
        <w:t>.</w:t>
      </w:r>
    </w:p>
    <w:p w14:paraId="5701708E" w14:textId="77777777" w:rsidR="0041599B" w:rsidRPr="00FD7B0B" w:rsidRDefault="0041599B" w:rsidP="00F90497">
      <w:pPr>
        <w:pStyle w:val="aff0"/>
        <w:spacing w:after="0" w:line="240" w:lineRule="auto"/>
        <w:rPr>
          <w:rFonts w:ascii="Times New Roman" w:hAnsi="Times New Roman"/>
          <w:b w:val="0"/>
          <w:sz w:val="24"/>
          <w:szCs w:val="24"/>
        </w:rPr>
      </w:pPr>
    </w:p>
    <w:p w14:paraId="3D2CC312" w14:textId="77777777" w:rsidR="005A25D0" w:rsidRPr="00FD7B0B" w:rsidRDefault="005A25D0" w:rsidP="00F90497">
      <w:pPr>
        <w:pStyle w:val="aff0"/>
        <w:spacing w:after="0" w:line="240" w:lineRule="auto"/>
        <w:rPr>
          <w:rFonts w:ascii="Times New Roman" w:hAnsi="Times New Roman"/>
          <w:b w:val="0"/>
          <w:sz w:val="24"/>
          <w:szCs w:val="24"/>
        </w:rPr>
      </w:pPr>
    </w:p>
    <w:p w14:paraId="794453CA" w14:textId="77777777" w:rsidR="005A25D0" w:rsidRPr="00FD7B0B" w:rsidRDefault="005A25D0" w:rsidP="00F90497">
      <w:pPr>
        <w:pStyle w:val="aff0"/>
        <w:spacing w:after="0" w:line="240" w:lineRule="auto"/>
        <w:rPr>
          <w:rFonts w:ascii="Times New Roman" w:hAnsi="Times New Roman"/>
          <w:b w:val="0"/>
          <w:sz w:val="24"/>
          <w:szCs w:val="24"/>
        </w:rPr>
      </w:pPr>
    </w:p>
    <w:p w14:paraId="4D4F6CCF" w14:textId="77777777" w:rsidR="005A25D0" w:rsidRPr="00FD7B0B" w:rsidRDefault="005A25D0" w:rsidP="00F90497">
      <w:pPr>
        <w:pStyle w:val="aff0"/>
        <w:spacing w:after="0" w:line="240" w:lineRule="auto"/>
        <w:rPr>
          <w:rFonts w:ascii="Times New Roman" w:hAnsi="Times New Roman"/>
          <w:b w:val="0"/>
          <w:sz w:val="24"/>
          <w:szCs w:val="24"/>
        </w:rPr>
      </w:pPr>
    </w:p>
    <w:p w14:paraId="6D47DB77" w14:textId="5EAB4E89" w:rsidR="0041599B" w:rsidRPr="00FD7B0B" w:rsidRDefault="0041599B" w:rsidP="00F90497">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61</w:t>
      </w:r>
      <w:r w:rsidRPr="00FD7B0B">
        <w:rPr>
          <w:rFonts w:ascii="Times New Roman" w:hAnsi="Times New Roman"/>
          <w:b w:val="0"/>
          <w:sz w:val="24"/>
          <w:szCs w:val="24"/>
        </w:rPr>
        <w:fldChar w:fldCharType="end"/>
      </w:r>
      <w:r w:rsidRPr="00FD7B0B">
        <w:rPr>
          <w:rFonts w:ascii="Times New Roman" w:hAnsi="Times New Roman"/>
          <w:b w:val="0"/>
          <w:sz w:val="24"/>
          <w:szCs w:val="24"/>
        </w:rPr>
        <w:t>. Наибольшие расходы областного бюджета по элементу вида расходов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за 2023 и 2024 годы</w:t>
      </w:r>
      <w:r w:rsidR="005A7804" w:rsidRPr="00FD7B0B">
        <w:rPr>
          <w:rFonts w:ascii="Times New Roman" w:hAnsi="Times New Roman"/>
          <w:b w:val="0"/>
          <w:sz w:val="24"/>
          <w:szCs w:val="24"/>
        </w:rPr>
        <w:t xml:space="preserve"> (свыше 500 млн.руб.)</w:t>
      </w:r>
      <w:r w:rsidRPr="00FD7B0B">
        <w:rPr>
          <w:rFonts w:ascii="Times New Roman" w:hAnsi="Times New Roman"/>
          <w:b w:val="0"/>
          <w:sz w:val="24"/>
          <w:szCs w:val="24"/>
        </w:rPr>
        <w:t>, млн.руб.</w:t>
      </w:r>
    </w:p>
    <w:tbl>
      <w:tblPr>
        <w:tblW w:w="9602" w:type="dxa"/>
        <w:tblLayout w:type="fixed"/>
        <w:tblLook w:val="04A0" w:firstRow="1" w:lastRow="0" w:firstColumn="1" w:lastColumn="0" w:noHBand="0" w:noVBand="1"/>
      </w:tblPr>
      <w:tblGrid>
        <w:gridCol w:w="5789"/>
        <w:gridCol w:w="992"/>
        <w:gridCol w:w="993"/>
        <w:gridCol w:w="1119"/>
        <w:gridCol w:w="709"/>
      </w:tblGrid>
      <w:tr w:rsidR="00FD7B0B" w:rsidRPr="00FD7B0B" w14:paraId="1F885245" w14:textId="77777777" w:rsidTr="005A7804">
        <w:trPr>
          <w:trHeight w:val="35"/>
          <w:tblHeader/>
        </w:trPr>
        <w:tc>
          <w:tcPr>
            <w:tcW w:w="5789"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8BB42F0" w14:textId="77777777" w:rsidR="0041599B" w:rsidRPr="00FD7B0B" w:rsidRDefault="0041599B" w:rsidP="00F90497">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992"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303E1CE" w14:textId="77777777" w:rsidR="0041599B" w:rsidRPr="00FD7B0B" w:rsidRDefault="0041599B" w:rsidP="00F90497">
            <w:pPr>
              <w:spacing w:after="0" w:line="240" w:lineRule="auto"/>
              <w:jc w:val="center"/>
              <w:rPr>
                <w:rFonts w:ascii="Times New Roman" w:hAnsi="Times New Roman" w:cs="Times New Roman"/>
              </w:rPr>
            </w:pPr>
            <w:r w:rsidRPr="00FD7B0B">
              <w:rPr>
                <w:rFonts w:ascii="Times New Roman" w:hAnsi="Times New Roman" w:cs="Times New Roman"/>
              </w:rPr>
              <w:t>2023 год</w:t>
            </w:r>
          </w:p>
        </w:tc>
        <w:tc>
          <w:tcPr>
            <w:tcW w:w="993"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6FA75FA" w14:textId="77777777" w:rsidR="0041599B" w:rsidRPr="00FD7B0B" w:rsidRDefault="0041599B" w:rsidP="00F90497">
            <w:pPr>
              <w:spacing w:after="0" w:line="240" w:lineRule="auto"/>
              <w:jc w:val="center"/>
              <w:rPr>
                <w:rFonts w:ascii="Times New Roman" w:hAnsi="Times New Roman" w:cs="Times New Roman"/>
              </w:rPr>
            </w:pPr>
            <w:r w:rsidRPr="00FD7B0B">
              <w:rPr>
                <w:rFonts w:ascii="Times New Roman" w:hAnsi="Times New Roman" w:cs="Times New Roman"/>
              </w:rPr>
              <w:t>2024 год</w:t>
            </w:r>
          </w:p>
        </w:tc>
        <w:tc>
          <w:tcPr>
            <w:tcW w:w="1828" w:type="dxa"/>
            <w:gridSpan w:val="2"/>
            <w:tcBorders>
              <w:top w:val="double" w:sz="4" w:space="0" w:color="auto"/>
              <w:left w:val="nil"/>
              <w:bottom w:val="single" w:sz="4" w:space="0" w:color="auto"/>
              <w:right w:val="double" w:sz="4" w:space="0" w:color="auto"/>
            </w:tcBorders>
            <w:shd w:val="clear" w:color="auto" w:fill="auto"/>
            <w:vAlign w:val="center"/>
            <w:hideMark/>
          </w:tcPr>
          <w:p w14:paraId="518CBF00" w14:textId="77777777" w:rsidR="0041599B" w:rsidRPr="00FD7B0B" w:rsidRDefault="0041599B" w:rsidP="00F90497">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3EFE2933" w14:textId="77777777" w:rsidTr="005A7804">
        <w:trPr>
          <w:trHeight w:val="35"/>
          <w:tblHeader/>
        </w:trPr>
        <w:tc>
          <w:tcPr>
            <w:tcW w:w="5789" w:type="dxa"/>
            <w:vMerge/>
            <w:tcBorders>
              <w:top w:val="double" w:sz="6" w:space="0" w:color="auto"/>
              <w:left w:val="double" w:sz="4" w:space="0" w:color="auto"/>
              <w:bottom w:val="single" w:sz="4" w:space="0" w:color="auto"/>
              <w:right w:val="single" w:sz="4" w:space="0" w:color="auto"/>
            </w:tcBorders>
            <w:vAlign w:val="center"/>
            <w:hideMark/>
          </w:tcPr>
          <w:p w14:paraId="4BC8F0CA" w14:textId="77777777" w:rsidR="0041599B" w:rsidRPr="00FD7B0B" w:rsidRDefault="0041599B" w:rsidP="00F90497">
            <w:pPr>
              <w:spacing w:after="0" w:line="240" w:lineRule="auto"/>
              <w:jc w:val="center"/>
              <w:rPr>
                <w:rFonts w:ascii="Times New Roman" w:hAnsi="Times New Roman" w:cs="Times New Roman"/>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6CA5969" w14:textId="77777777" w:rsidR="0041599B" w:rsidRPr="00FD7B0B" w:rsidRDefault="0041599B" w:rsidP="00F90497">
            <w:pPr>
              <w:spacing w:after="0" w:line="240" w:lineRule="auto"/>
              <w:jc w:val="center"/>
              <w:rPr>
                <w:rFonts w:ascii="Times New Roman" w:hAnsi="Times New Roman" w:cs="Times New Roman"/>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4BD4FDCA" w14:textId="77777777" w:rsidR="0041599B" w:rsidRPr="00FD7B0B" w:rsidRDefault="0041599B" w:rsidP="00F90497">
            <w:pPr>
              <w:spacing w:after="0" w:line="240" w:lineRule="auto"/>
              <w:jc w:val="center"/>
              <w:rPr>
                <w:rFonts w:ascii="Times New Roman" w:hAnsi="Times New Roman" w:cs="Times New Roman"/>
              </w:rPr>
            </w:pPr>
          </w:p>
        </w:tc>
        <w:tc>
          <w:tcPr>
            <w:tcW w:w="1119" w:type="dxa"/>
            <w:tcBorders>
              <w:top w:val="nil"/>
              <w:left w:val="nil"/>
              <w:bottom w:val="single" w:sz="4" w:space="0" w:color="auto"/>
              <w:right w:val="single" w:sz="4" w:space="0" w:color="auto"/>
            </w:tcBorders>
            <w:shd w:val="clear" w:color="auto" w:fill="auto"/>
            <w:vAlign w:val="center"/>
            <w:hideMark/>
          </w:tcPr>
          <w:p w14:paraId="451916E8" w14:textId="77777777" w:rsidR="0041599B" w:rsidRPr="00FD7B0B" w:rsidRDefault="0041599B" w:rsidP="00F90497">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709" w:type="dxa"/>
            <w:tcBorders>
              <w:top w:val="nil"/>
              <w:left w:val="nil"/>
              <w:bottom w:val="single" w:sz="4" w:space="0" w:color="auto"/>
              <w:right w:val="double" w:sz="4" w:space="0" w:color="auto"/>
            </w:tcBorders>
            <w:shd w:val="clear" w:color="auto" w:fill="auto"/>
            <w:vAlign w:val="center"/>
            <w:hideMark/>
          </w:tcPr>
          <w:p w14:paraId="6E90AB07" w14:textId="0AE572EE" w:rsidR="0041599B" w:rsidRPr="00FD7B0B" w:rsidRDefault="0041599B" w:rsidP="00F90497">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652ACC5F" w14:textId="77777777" w:rsidTr="005A7804">
        <w:trPr>
          <w:trHeight w:val="70"/>
        </w:trPr>
        <w:tc>
          <w:tcPr>
            <w:tcW w:w="5789" w:type="dxa"/>
            <w:tcBorders>
              <w:top w:val="nil"/>
              <w:left w:val="double" w:sz="4" w:space="0" w:color="auto"/>
              <w:bottom w:val="single" w:sz="4" w:space="0" w:color="auto"/>
              <w:right w:val="single" w:sz="4" w:space="0" w:color="auto"/>
            </w:tcBorders>
            <w:shd w:val="clear" w:color="auto" w:fill="auto"/>
            <w:vAlign w:val="center"/>
            <w:hideMark/>
          </w:tcPr>
          <w:p w14:paraId="5FA33B52" w14:textId="77777777" w:rsidR="0041599B" w:rsidRPr="00FD7B0B" w:rsidRDefault="0041599B" w:rsidP="00F90497">
            <w:pPr>
              <w:spacing w:after="0" w:line="240" w:lineRule="auto"/>
              <w:rPr>
                <w:rFonts w:ascii="Times New Roman" w:hAnsi="Times New Roman" w:cs="Times New Roman"/>
              </w:rPr>
            </w:pPr>
            <w:r w:rsidRPr="00FD7B0B">
              <w:rPr>
                <w:rFonts w:ascii="Times New Roman" w:hAnsi="Times New Roman" w:cs="Times New Roman"/>
              </w:rPr>
              <w:t>Субсидии организациям железнодорожного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 в пригородном и межмуниципальном сообщении</w:t>
            </w:r>
          </w:p>
        </w:tc>
        <w:tc>
          <w:tcPr>
            <w:tcW w:w="992" w:type="dxa"/>
            <w:tcBorders>
              <w:top w:val="nil"/>
              <w:left w:val="nil"/>
              <w:bottom w:val="single" w:sz="4" w:space="0" w:color="auto"/>
              <w:right w:val="single" w:sz="4" w:space="0" w:color="auto"/>
            </w:tcBorders>
            <w:shd w:val="clear" w:color="auto" w:fill="auto"/>
            <w:vAlign w:val="center"/>
            <w:hideMark/>
          </w:tcPr>
          <w:p w14:paraId="1427AA3C"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558,5 </w:t>
            </w:r>
          </w:p>
        </w:tc>
        <w:tc>
          <w:tcPr>
            <w:tcW w:w="993" w:type="dxa"/>
            <w:tcBorders>
              <w:top w:val="nil"/>
              <w:left w:val="nil"/>
              <w:bottom w:val="single" w:sz="4" w:space="0" w:color="auto"/>
              <w:right w:val="single" w:sz="4" w:space="0" w:color="auto"/>
            </w:tcBorders>
            <w:shd w:val="clear" w:color="auto" w:fill="auto"/>
            <w:vAlign w:val="center"/>
            <w:hideMark/>
          </w:tcPr>
          <w:p w14:paraId="50BA736C"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574,3 </w:t>
            </w:r>
          </w:p>
        </w:tc>
        <w:tc>
          <w:tcPr>
            <w:tcW w:w="1119" w:type="dxa"/>
            <w:tcBorders>
              <w:top w:val="nil"/>
              <w:left w:val="nil"/>
              <w:bottom w:val="single" w:sz="4" w:space="0" w:color="auto"/>
              <w:right w:val="single" w:sz="4" w:space="0" w:color="auto"/>
            </w:tcBorders>
            <w:shd w:val="clear" w:color="auto" w:fill="auto"/>
            <w:vAlign w:val="center"/>
            <w:hideMark/>
          </w:tcPr>
          <w:p w14:paraId="1BEAD5D8"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15,8 </w:t>
            </w:r>
          </w:p>
        </w:tc>
        <w:tc>
          <w:tcPr>
            <w:tcW w:w="709" w:type="dxa"/>
            <w:tcBorders>
              <w:top w:val="nil"/>
              <w:left w:val="nil"/>
              <w:bottom w:val="single" w:sz="4" w:space="0" w:color="auto"/>
              <w:right w:val="double" w:sz="4" w:space="0" w:color="auto"/>
            </w:tcBorders>
            <w:shd w:val="clear" w:color="auto" w:fill="auto"/>
            <w:vAlign w:val="center"/>
            <w:hideMark/>
          </w:tcPr>
          <w:p w14:paraId="1B1A909E"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2,8 </w:t>
            </w:r>
          </w:p>
        </w:tc>
      </w:tr>
      <w:tr w:rsidR="00FD7B0B" w:rsidRPr="00FD7B0B" w14:paraId="6160575B" w14:textId="77777777" w:rsidTr="005A7804">
        <w:trPr>
          <w:trHeight w:val="70"/>
        </w:trPr>
        <w:tc>
          <w:tcPr>
            <w:tcW w:w="5789" w:type="dxa"/>
            <w:tcBorders>
              <w:top w:val="nil"/>
              <w:left w:val="double" w:sz="4" w:space="0" w:color="auto"/>
              <w:bottom w:val="single" w:sz="4" w:space="0" w:color="auto"/>
              <w:right w:val="single" w:sz="4" w:space="0" w:color="auto"/>
            </w:tcBorders>
            <w:shd w:val="clear" w:color="auto" w:fill="auto"/>
            <w:vAlign w:val="center"/>
            <w:hideMark/>
          </w:tcPr>
          <w:p w14:paraId="3E81966E" w14:textId="77777777" w:rsidR="0041599B" w:rsidRPr="00FD7B0B" w:rsidRDefault="0041599B" w:rsidP="00F90497">
            <w:pPr>
              <w:spacing w:after="0" w:line="240" w:lineRule="auto"/>
              <w:rPr>
                <w:rFonts w:ascii="Times New Roman" w:hAnsi="Times New Roman" w:cs="Times New Roman"/>
              </w:rPr>
            </w:pPr>
            <w:r w:rsidRPr="00FD7B0B">
              <w:rPr>
                <w:rFonts w:ascii="Times New Roman" w:hAnsi="Times New Roman" w:cs="Times New Roman"/>
              </w:rPr>
              <w:t>Возмещение недополученных доходов организаций,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0C74DAFF"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1 962,9 </w:t>
            </w:r>
          </w:p>
        </w:tc>
        <w:tc>
          <w:tcPr>
            <w:tcW w:w="993" w:type="dxa"/>
            <w:tcBorders>
              <w:top w:val="nil"/>
              <w:left w:val="nil"/>
              <w:bottom w:val="single" w:sz="4" w:space="0" w:color="auto"/>
              <w:right w:val="single" w:sz="4" w:space="0" w:color="auto"/>
            </w:tcBorders>
            <w:shd w:val="clear" w:color="auto" w:fill="auto"/>
            <w:vAlign w:val="center"/>
            <w:hideMark/>
          </w:tcPr>
          <w:p w14:paraId="7A0224BA"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1 767,5 </w:t>
            </w:r>
          </w:p>
        </w:tc>
        <w:tc>
          <w:tcPr>
            <w:tcW w:w="1119" w:type="dxa"/>
            <w:tcBorders>
              <w:top w:val="nil"/>
              <w:left w:val="nil"/>
              <w:bottom w:val="single" w:sz="4" w:space="0" w:color="auto"/>
              <w:right w:val="single" w:sz="4" w:space="0" w:color="auto"/>
            </w:tcBorders>
            <w:shd w:val="clear" w:color="auto" w:fill="auto"/>
            <w:vAlign w:val="center"/>
            <w:hideMark/>
          </w:tcPr>
          <w:p w14:paraId="3F47E756"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-195,3 </w:t>
            </w:r>
          </w:p>
        </w:tc>
        <w:tc>
          <w:tcPr>
            <w:tcW w:w="709" w:type="dxa"/>
            <w:tcBorders>
              <w:top w:val="nil"/>
              <w:left w:val="nil"/>
              <w:bottom w:val="single" w:sz="4" w:space="0" w:color="auto"/>
              <w:right w:val="double" w:sz="4" w:space="0" w:color="auto"/>
            </w:tcBorders>
            <w:shd w:val="clear" w:color="auto" w:fill="auto"/>
            <w:vAlign w:val="center"/>
            <w:hideMark/>
          </w:tcPr>
          <w:p w14:paraId="44829A25"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-10,0 </w:t>
            </w:r>
          </w:p>
        </w:tc>
      </w:tr>
      <w:tr w:rsidR="00FD7B0B" w:rsidRPr="00FD7B0B" w14:paraId="28A2CE6F" w14:textId="77777777" w:rsidTr="005A7804">
        <w:trPr>
          <w:trHeight w:val="70"/>
        </w:trPr>
        <w:tc>
          <w:tcPr>
            <w:tcW w:w="5789" w:type="dxa"/>
            <w:tcBorders>
              <w:top w:val="nil"/>
              <w:left w:val="double" w:sz="4" w:space="0" w:color="auto"/>
              <w:bottom w:val="single" w:sz="4" w:space="0" w:color="auto"/>
              <w:right w:val="single" w:sz="4" w:space="0" w:color="auto"/>
            </w:tcBorders>
            <w:shd w:val="clear" w:color="auto" w:fill="auto"/>
            <w:vAlign w:val="center"/>
            <w:hideMark/>
          </w:tcPr>
          <w:p w14:paraId="480416B3" w14:textId="77777777" w:rsidR="0041599B" w:rsidRPr="00FD7B0B" w:rsidRDefault="0041599B" w:rsidP="00F90497">
            <w:pPr>
              <w:spacing w:after="0" w:line="240" w:lineRule="auto"/>
              <w:rPr>
                <w:rFonts w:ascii="Times New Roman" w:hAnsi="Times New Roman" w:cs="Times New Roman"/>
              </w:rPr>
            </w:pPr>
            <w:r w:rsidRPr="00FD7B0B">
              <w:rPr>
                <w:rFonts w:ascii="Times New Roman" w:hAnsi="Times New Roman" w:cs="Times New Roman"/>
              </w:rPr>
              <w:t>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tc>
        <w:tc>
          <w:tcPr>
            <w:tcW w:w="992" w:type="dxa"/>
            <w:tcBorders>
              <w:top w:val="nil"/>
              <w:left w:val="nil"/>
              <w:bottom w:val="single" w:sz="4" w:space="0" w:color="auto"/>
              <w:right w:val="single" w:sz="4" w:space="0" w:color="auto"/>
            </w:tcBorders>
            <w:shd w:val="clear" w:color="auto" w:fill="auto"/>
            <w:vAlign w:val="center"/>
            <w:hideMark/>
          </w:tcPr>
          <w:p w14:paraId="5FE7A64B"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3 628,5 </w:t>
            </w:r>
          </w:p>
        </w:tc>
        <w:tc>
          <w:tcPr>
            <w:tcW w:w="993" w:type="dxa"/>
            <w:tcBorders>
              <w:top w:val="nil"/>
              <w:left w:val="nil"/>
              <w:bottom w:val="single" w:sz="4" w:space="0" w:color="auto"/>
              <w:right w:val="single" w:sz="4" w:space="0" w:color="auto"/>
            </w:tcBorders>
            <w:shd w:val="clear" w:color="auto" w:fill="auto"/>
            <w:vAlign w:val="center"/>
            <w:hideMark/>
          </w:tcPr>
          <w:p w14:paraId="54E38035"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5 064,3 </w:t>
            </w:r>
          </w:p>
        </w:tc>
        <w:tc>
          <w:tcPr>
            <w:tcW w:w="1119" w:type="dxa"/>
            <w:tcBorders>
              <w:top w:val="nil"/>
              <w:left w:val="nil"/>
              <w:bottom w:val="single" w:sz="4" w:space="0" w:color="auto"/>
              <w:right w:val="single" w:sz="4" w:space="0" w:color="auto"/>
            </w:tcBorders>
            <w:shd w:val="clear" w:color="auto" w:fill="auto"/>
            <w:vAlign w:val="center"/>
            <w:hideMark/>
          </w:tcPr>
          <w:p w14:paraId="36BA5FD9"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1 435,8 </w:t>
            </w:r>
          </w:p>
        </w:tc>
        <w:tc>
          <w:tcPr>
            <w:tcW w:w="709" w:type="dxa"/>
            <w:tcBorders>
              <w:top w:val="nil"/>
              <w:left w:val="nil"/>
              <w:bottom w:val="single" w:sz="4" w:space="0" w:color="auto"/>
              <w:right w:val="double" w:sz="4" w:space="0" w:color="auto"/>
            </w:tcBorders>
            <w:shd w:val="clear" w:color="auto" w:fill="auto"/>
            <w:vAlign w:val="center"/>
            <w:hideMark/>
          </w:tcPr>
          <w:p w14:paraId="26FBE592"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39,6 </w:t>
            </w:r>
          </w:p>
        </w:tc>
      </w:tr>
      <w:tr w:rsidR="00FD7B0B" w:rsidRPr="00FD7B0B" w14:paraId="25C77E57" w14:textId="77777777" w:rsidTr="005A7804">
        <w:trPr>
          <w:trHeight w:val="70"/>
        </w:trPr>
        <w:tc>
          <w:tcPr>
            <w:tcW w:w="5789" w:type="dxa"/>
            <w:tcBorders>
              <w:top w:val="nil"/>
              <w:left w:val="double" w:sz="4" w:space="0" w:color="auto"/>
              <w:bottom w:val="single" w:sz="4" w:space="0" w:color="auto"/>
              <w:right w:val="single" w:sz="4" w:space="0" w:color="auto"/>
            </w:tcBorders>
            <w:shd w:val="clear" w:color="auto" w:fill="auto"/>
            <w:vAlign w:val="center"/>
            <w:hideMark/>
          </w:tcPr>
          <w:p w14:paraId="34877F16" w14:textId="77777777" w:rsidR="0041599B" w:rsidRPr="00FD7B0B" w:rsidRDefault="0041599B" w:rsidP="00F90497">
            <w:pPr>
              <w:spacing w:after="0" w:line="240" w:lineRule="auto"/>
              <w:rPr>
                <w:rFonts w:ascii="Times New Roman" w:hAnsi="Times New Roman" w:cs="Times New Roman"/>
              </w:rPr>
            </w:pPr>
            <w:r w:rsidRPr="00FD7B0B">
              <w:rPr>
                <w:rFonts w:ascii="Times New Roman" w:hAnsi="Times New Roman" w:cs="Times New Roman"/>
              </w:rPr>
              <w:t>Возмещение недополученных доходов, возникающих в результате государственного регулирования тарифов на холодную воду и водоотведение для населения и потребителей, приравненных к населению</w:t>
            </w:r>
          </w:p>
        </w:tc>
        <w:tc>
          <w:tcPr>
            <w:tcW w:w="992" w:type="dxa"/>
            <w:tcBorders>
              <w:top w:val="nil"/>
              <w:left w:val="nil"/>
              <w:bottom w:val="single" w:sz="4" w:space="0" w:color="auto"/>
              <w:right w:val="single" w:sz="4" w:space="0" w:color="auto"/>
            </w:tcBorders>
            <w:shd w:val="clear" w:color="auto" w:fill="auto"/>
            <w:vAlign w:val="center"/>
            <w:hideMark/>
          </w:tcPr>
          <w:p w14:paraId="4D232E62"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1 683,0 </w:t>
            </w:r>
          </w:p>
        </w:tc>
        <w:tc>
          <w:tcPr>
            <w:tcW w:w="993" w:type="dxa"/>
            <w:tcBorders>
              <w:top w:val="nil"/>
              <w:left w:val="nil"/>
              <w:bottom w:val="single" w:sz="4" w:space="0" w:color="auto"/>
              <w:right w:val="single" w:sz="4" w:space="0" w:color="auto"/>
            </w:tcBorders>
            <w:shd w:val="clear" w:color="auto" w:fill="auto"/>
            <w:vAlign w:val="center"/>
            <w:hideMark/>
          </w:tcPr>
          <w:p w14:paraId="59B732B4"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1 595,8 </w:t>
            </w:r>
          </w:p>
        </w:tc>
        <w:tc>
          <w:tcPr>
            <w:tcW w:w="1119" w:type="dxa"/>
            <w:tcBorders>
              <w:top w:val="nil"/>
              <w:left w:val="nil"/>
              <w:bottom w:val="single" w:sz="4" w:space="0" w:color="auto"/>
              <w:right w:val="single" w:sz="4" w:space="0" w:color="auto"/>
            </w:tcBorders>
            <w:shd w:val="clear" w:color="auto" w:fill="auto"/>
            <w:vAlign w:val="center"/>
            <w:hideMark/>
          </w:tcPr>
          <w:p w14:paraId="6420F9B5"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-87,2 </w:t>
            </w:r>
          </w:p>
        </w:tc>
        <w:tc>
          <w:tcPr>
            <w:tcW w:w="709" w:type="dxa"/>
            <w:tcBorders>
              <w:top w:val="nil"/>
              <w:left w:val="nil"/>
              <w:bottom w:val="single" w:sz="4" w:space="0" w:color="auto"/>
              <w:right w:val="double" w:sz="4" w:space="0" w:color="auto"/>
            </w:tcBorders>
            <w:shd w:val="clear" w:color="auto" w:fill="auto"/>
            <w:vAlign w:val="center"/>
            <w:hideMark/>
          </w:tcPr>
          <w:p w14:paraId="6018782F"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-5,2 </w:t>
            </w:r>
          </w:p>
        </w:tc>
      </w:tr>
      <w:tr w:rsidR="0041599B" w:rsidRPr="00FD7B0B" w14:paraId="71E89E07" w14:textId="77777777" w:rsidTr="005A7804">
        <w:trPr>
          <w:trHeight w:val="70"/>
        </w:trPr>
        <w:tc>
          <w:tcPr>
            <w:tcW w:w="5789" w:type="dxa"/>
            <w:tcBorders>
              <w:top w:val="nil"/>
              <w:left w:val="double" w:sz="4" w:space="0" w:color="auto"/>
              <w:bottom w:val="double" w:sz="4" w:space="0" w:color="auto"/>
              <w:right w:val="single" w:sz="4" w:space="0" w:color="auto"/>
            </w:tcBorders>
            <w:shd w:val="clear" w:color="auto" w:fill="auto"/>
            <w:vAlign w:val="center"/>
            <w:hideMark/>
          </w:tcPr>
          <w:p w14:paraId="71468C38" w14:textId="77777777" w:rsidR="0041599B" w:rsidRPr="00FD7B0B" w:rsidRDefault="0041599B" w:rsidP="00F90497">
            <w:pPr>
              <w:spacing w:after="0" w:line="240" w:lineRule="auto"/>
              <w:rPr>
                <w:rFonts w:ascii="Times New Roman" w:hAnsi="Times New Roman" w:cs="Times New Roman"/>
              </w:rPr>
            </w:pPr>
            <w:r w:rsidRPr="00FD7B0B">
              <w:rPr>
                <w:rFonts w:ascii="Times New Roman" w:hAnsi="Times New Roman" w:cs="Times New Roman"/>
              </w:rPr>
              <w:t>Возмещение недополученных доходов, возникающих в результате государственного регулирования тарифов в области обращения с твердыми коммунальными отходами</w:t>
            </w:r>
          </w:p>
        </w:tc>
        <w:tc>
          <w:tcPr>
            <w:tcW w:w="992" w:type="dxa"/>
            <w:tcBorders>
              <w:top w:val="nil"/>
              <w:left w:val="nil"/>
              <w:bottom w:val="double" w:sz="4" w:space="0" w:color="auto"/>
              <w:right w:val="single" w:sz="4" w:space="0" w:color="auto"/>
            </w:tcBorders>
            <w:shd w:val="clear" w:color="auto" w:fill="auto"/>
            <w:vAlign w:val="center"/>
            <w:hideMark/>
          </w:tcPr>
          <w:p w14:paraId="3A7E3E86"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1 247,1 </w:t>
            </w:r>
          </w:p>
        </w:tc>
        <w:tc>
          <w:tcPr>
            <w:tcW w:w="993" w:type="dxa"/>
            <w:tcBorders>
              <w:top w:val="nil"/>
              <w:left w:val="nil"/>
              <w:bottom w:val="double" w:sz="4" w:space="0" w:color="auto"/>
              <w:right w:val="single" w:sz="4" w:space="0" w:color="auto"/>
            </w:tcBorders>
            <w:shd w:val="clear" w:color="auto" w:fill="auto"/>
            <w:vAlign w:val="center"/>
            <w:hideMark/>
          </w:tcPr>
          <w:p w14:paraId="18317007"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1 141,5 </w:t>
            </w:r>
          </w:p>
        </w:tc>
        <w:tc>
          <w:tcPr>
            <w:tcW w:w="1119" w:type="dxa"/>
            <w:tcBorders>
              <w:top w:val="nil"/>
              <w:left w:val="nil"/>
              <w:bottom w:val="double" w:sz="4" w:space="0" w:color="auto"/>
              <w:right w:val="single" w:sz="4" w:space="0" w:color="auto"/>
            </w:tcBorders>
            <w:shd w:val="clear" w:color="auto" w:fill="auto"/>
            <w:vAlign w:val="center"/>
            <w:hideMark/>
          </w:tcPr>
          <w:p w14:paraId="3BA36BC0"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-105,5 </w:t>
            </w:r>
          </w:p>
        </w:tc>
        <w:tc>
          <w:tcPr>
            <w:tcW w:w="709" w:type="dxa"/>
            <w:tcBorders>
              <w:top w:val="nil"/>
              <w:left w:val="nil"/>
              <w:bottom w:val="double" w:sz="4" w:space="0" w:color="auto"/>
              <w:right w:val="double" w:sz="4" w:space="0" w:color="auto"/>
            </w:tcBorders>
            <w:shd w:val="clear" w:color="auto" w:fill="auto"/>
            <w:vAlign w:val="center"/>
            <w:hideMark/>
          </w:tcPr>
          <w:p w14:paraId="076968DD" w14:textId="77777777" w:rsidR="0041599B" w:rsidRPr="00FD7B0B" w:rsidRDefault="0041599B" w:rsidP="00F90497">
            <w:pPr>
              <w:spacing w:after="0" w:line="240" w:lineRule="auto"/>
              <w:jc w:val="right"/>
              <w:rPr>
                <w:rFonts w:ascii="Times New Roman" w:hAnsi="Times New Roman" w:cs="Times New Roman"/>
              </w:rPr>
            </w:pPr>
            <w:r w:rsidRPr="00FD7B0B">
              <w:rPr>
                <w:rFonts w:ascii="Times New Roman" w:hAnsi="Times New Roman" w:cs="Times New Roman"/>
              </w:rPr>
              <w:t xml:space="preserve">-8,5 </w:t>
            </w:r>
          </w:p>
        </w:tc>
      </w:tr>
    </w:tbl>
    <w:p w14:paraId="14DBBAEE" w14:textId="77777777" w:rsidR="0041599B" w:rsidRPr="00FD7B0B" w:rsidRDefault="0041599B" w:rsidP="008673D6">
      <w:pPr>
        <w:spacing w:after="0" w:line="240" w:lineRule="auto"/>
        <w:ind w:firstLine="709"/>
        <w:jc w:val="both"/>
        <w:rPr>
          <w:rFonts w:ascii="Times New Roman" w:eastAsia="Calibri" w:hAnsi="Times New Roman" w:cs="Times New Roman"/>
          <w:sz w:val="28"/>
          <w:szCs w:val="28"/>
        </w:rPr>
      </w:pPr>
    </w:p>
    <w:p w14:paraId="4C9EEAD7" w14:textId="662E27D0" w:rsidR="0041599B" w:rsidRPr="00FD7B0B" w:rsidRDefault="0041599B" w:rsidP="008673D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Наибольшее снижение расходов по выплатам на возмещение недополученных доходов, возникающих в результате государственного регулирования тарифов, в отчетном периоде фиксируется по субсидиям на электрическую энергию (-195,3 млн.руб.), субсидии на холодную воду и водоотведение для населения и потребителей, приравненных к населению </w:t>
      </w:r>
      <w:r w:rsidRPr="00FD7B0B">
        <w:rPr>
          <w:rFonts w:ascii="Times New Roman" w:eastAsia="Calibri" w:hAnsi="Times New Roman" w:cs="Times New Roman"/>
          <w:sz w:val="28"/>
          <w:szCs w:val="28"/>
        </w:rPr>
        <w:br/>
        <w:t xml:space="preserve">(-87,2 млн.руб.), субсидии в области обращения с твердыми коммунальными отходами (-105,5 млн.руб.), а рост </w:t>
      </w:r>
      <w:r w:rsidR="008673D6" w:rsidRPr="00FD7B0B">
        <w:rPr>
          <w:rFonts w:ascii="Times New Roman" w:eastAsia="Calibri" w:hAnsi="Times New Roman" w:cs="Times New Roman"/>
          <w:sz w:val="28"/>
          <w:szCs w:val="28"/>
        </w:rPr>
        <w:t xml:space="preserve">фиксируется </w:t>
      </w:r>
      <w:r w:rsidRPr="00FD7B0B">
        <w:rPr>
          <w:rFonts w:ascii="Times New Roman" w:eastAsia="Calibri" w:hAnsi="Times New Roman" w:cs="Times New Roman"/>
          <w:sz w:val="28"/>
          <w:szCs w:val="28"/>
        </w:rPr>
        <w:t>по субсидии на тепловую энергию, горячую воду в открытой системе, поставляемые населению и потребителям, приравненным к населению (+1 435,8 млн.руб.).</w:t>
      </w:r>
    </w:p>
    <w:p w14:paraId="07A424A8" w14:textId="31B5DED4" w:rsidR="0041599B" w:rsidRPr="00FD7B0B" w:rsidRDefault="0041599B" w:rsidP="008673D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Также субсидии сельхозтоваропроизводителям в целях стимулирования развития приоритетных подотраслей агропромышленного комплекса и развитие малых форм хозяйствования </w:t>
      </w:r>
      <w:r w:rsidR="008673D6" w:rsidRPr="00FD7B0B">
        <w:rPr>
          <w:rFonts w:ascii="Times New Roman" w:eastAsia="Calibri" w:hAnsi="Times New Roman" w:cs="Times New Roman"/>
          <w:sz w:val="28"/>
          <w:szCs w:val="28"/>
        </w:rPr>
        <w:t>сократились</w:t>
      </w:r>
      <w:r w:rsidRPr="00FD7B0B">
        <w:rPr>
          <w:rFonts w:ascii="Times New Roman" w:eastAsia="Calibri" w:hAnsi="Times New Roman" w:cs="Times New Roman"/>
          <w:sz w:val="28"/>
          <w:szCs w:val="28"/>
        </w:rPr>
        <w:t xml:space="preserve"> на 161,6 млн.руб.</w:t>
      </w:r>
    </w:p>
    <w:p w14:paraId="3F1EFFBF" w14:textId="0FDA13A0" w:rsidR="0041599B" w:rsidRPr="00FD7B0B" w:rsidRDefault="0041599B" w:rsidP="00B41A5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(элемент вида расходов 812) за отчетный период составили 1 652,4 млн.руб. (100,0 % к плану года), что в 2,1 раза (+870,8 млн.руб.) </w:t>
      </w:r>
      <w:r w:rsidR="00B41A5E" w:rsidRPr="00FD7B0B">
        <w:rPr>
          <w:rFonts w:ascii="Times New Roman" w:eastAsia="Calibri" w:hAnsi="Times New Roman" w:cs="Times New Roman"/>
          <w:sz w:val="28"/>
          <w:szCs w:val="28"/>
        </w:rPr>
        <w:t>превышает</w:t>
      </w:r>
      <w:r w:rsidRPr="00FD7B0B">
        <w:rPr>
          <w:rFonts w:ascii="Times New Roman" w:eastAsia="Calibri" w:hAnsi="Times New Roman" w:cs="Times New Roman"/>
          <w:sz w:val="28"/>
          <w:szCs w:val="28"/>
        </w:rPr>
        <w:t xml:space="preserve"> аналогичны</w:t>
      </w:r>
      <w:r w:rsidR="00B41A5E" w:rsidRPr="00FD7B0B">
        <w:rPr>
          <w:rFonts w:ascii="Times New Roman" w:eastAsia="Calibri" w:hAnsi="Times New Roman" w:cs="Times New Roman"/>
          <w:sz w:val="28"/>
          <w:szCs w:val="28"/>
        </w:rPr>
        <w:t>е</w:t>
      </w:r>
      <w:r w:rsidRPr="00FD7B0B">
        <w:rPr>
          <w:rFonts w:ascii="Times New Roman" w:eastAsia="Calibri" w:hAnsi="Times New Roman" w:cs="Times New Roman"/>
          <w:sz w:val="28"/>
          <w:szCs w:val="28"/>
        </w:rPr>
        <w:t xml:space="preserve"> расход</w:t>
      </w:r>
      <w:r w:rsidR="00B41A5E" w:rsidRPr="00FD7B0B">
        <w:rPr>
          <w:rFonts w:ascii="Times New Roman" w:eastAsia="Calibri" w:hAnsi="Times New Roman" w:cs="Times New Roman"/>
          <w:sz w:val="28"/>
          <w:szCs w:val="28"/>
        </w:rPr>
        <w:t>ы</w:t>
      </w:r>
      <w:r w:rsidRPr="00FD7B0B">
        <w:rPr>
          <w:rFonts w:ascii="Times New Roman" w:eastAsia="Calibri" w:hAnsi="Times New Roman" w:cs="Times New Roman"/>
          <w:sz w:val="28"/>
          <w:szCs w:val="28"/>
        </w:rPr>
        <w:t xml:space="preserve"> за 2023 год в основном за счет расходов, связанных с заключенными концессионными соглашениями.</w:t>
      </w:r>
    </w:p>
    <w:p w14:paraId="23461D80" w14:textId="53A34F12" w:rsidR="0041599B" w:rsidRPr="00FD7B0B" w:rsidRDefault="0041599B" w:rsidP="0012111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5A25D0" w:rsidRPr="00FD7B0B">
        <w:rPr>
          <w:rFonts w:ascii="Times New Roman" w:eastAsia="Calibri" w:hAnsi="Times New Roman" w:cs="Times New Roman"/>
          <w:sz w:val="28"/>
          <w:szCs w:val="28"/>
        </w:rPr>
        <w:t>62</w:t>
      </w:r>
      <w:r w:rsidRPr="00FD7B0B">
        <w:rPr>
          <w:rFonts w:ascii="Times New Roman" w:eastAsia="Calibri" w:hAnsi="Times New Roman" w:cs="Times New Roman"/>
          <w:sz w:val="28"/>
          <w:szCs w:val="28"/>
        </w:rPr>
        <w:t xml:space="preserve"> приведены наибольшие расходы областного бюджета за 2023 и 2024 годы по элементу вида расходов 812.</w:t>
      </w:r>
    </w:p>
    <w:p w14:paraId="53E68C8B" w14:textId="77777777" w:rsidR="0041599B" w:rsidRPr="00FD7B0B" w:rsidRDefault="0041599B" w:rsidP="0012111A">
      <w:pPr>
        <w:pStyle w:val="aff0"/>
        <w:spacing w:after="0" w:line="240" w:lineRule="auto"/>
        <w:rPr>
          <w:rFonts w:ascii="Times New Roman" w:hAnsi="Times New Roman"/>
          <w:b w:val="0"/>
          <w:sz w:val="24"/>
          <w:szCs w:val="24"/>
        </w:rPr>
      </w:pPr>
    </w:p>
    <w:p w14:paraId="4EAA908E" w14:textId="77777777" w:rsidR="0041599B" w:rsidRPr="00FD7B0B" w:rsidRDefault="0041599B" w:rsidP="0012111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62</w:t>
      </w:r>
      <w:r w:rsidRPr="00FD7B0B">
        <w:rPr>
          <w:rFonts w:ascii="Times New Roman" w:hAnsi="Times New Roman"/>
          <w:b w:val="0"/>
          <w:sz w:val="24"/>
          <w:szCs w:val="24"/>
        </w:rPr>
        <w:fldChar w:fldCharType="end"/>
      </w:r>
      <w:r w:rsidRPr="00FD7B0B">
        <w:rPr>
          <w:rFonts w:ascii="Times New Roman" w:hAnsi="Times New Roman"/>
          <w:b w:val="0"/>
          <w:sz w:val="24"/>
          <w:szCs w:val="24"/>
        </w:rPr>
        <w:t>. Наибольшие расходы из областного бюджета, осуществленные по элементу вида расходов 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за 2023 и 2024 годы, млн.руб.</w:t>
      </w:r>
    </w:p>
    <w:tbl>
      <w:tblPr>
        <w:tblW w:w="9734" w:type="dxa"/>
        <w:tblLayout w:type="fixed"/>
        <w:tblLook w:val="04A0" w:firstRow="1" w:lastRow="0" w:firstColumn="1" w:lastColumn="0" w:noHBand="0" w:noVBand="1"/>
      </w:tblPr>
      <w:tblGrid>
        <w:gridCol w:w="5897"/>
        <w:gridCol w:w="992"/>
        <w:gridCol w:w="893"/>
        <w:gridCol w:w="1138"/>
        <w:gridCol w:w="814"/>
      </w:tblGrid>
      <w:tr w:rsidR="00FD7B0B" w:rsidRPr="00FD7B0B" w14:paraId="462A1BF8" w14:textId="77777777" w:rsidTr="00776830">
        <w:trPr>
          <w:trHeight w:val="35"/>
          <w:tblHeader/>
        </w:trPr>
        <w:tc>
          <w:tcPr>
            <w:tcW w:w="5897"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00786C2F" w14:textId="77777777" w:rsidR="0041599B" w:rsidRPr="00FD7B0B" w:rsidRDefault="0041599B" w:rsidP="0012111A">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992"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6DAFD53" w14:textId="77777777" w:rsidR="0041599B" w:rsidRPr="00FD7B0B" w:rsidRDefault="0041599B" w:rsidP="0012111A">
            <w:pPr>
              <w:spacing w:after="0" w:line="240" w:lineRule="auto"/>
              <w:jc w:val="center"/>
              <w:rPr>
                <w:rFonts w:ascii="Times New Roman" w:hAnsi="Times New Roman" w:cs="Times New Roman"/>
              </w:rPr>
            </w:pPr>
            <w:r w:rsidRPr="00FD7B0B">
              <w:rPr>
                <w:rFonts w:ascii="Times New Roman" w:hAnsi="Times New Roman" w:cs="Times New Roman"/>
              </w:rPr>
              <w:t>2023 год</w:t>
            </w:r>
          </w:p>
        </w:tc>
        <w:tc>
          <w:tcPr>
            <w:tcW w:w="893"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3A35201C" w14:textId="77777777" w:rsidR="0041599B" w:rsidRPr="00FD7B0B" w:rsidRDefault="0041599B" w:rsidP="0012111A">
            <w:pPr>
              <w:spacing w:after="0" w:line="240" w:lineRule="auto"/>
              <w:jc w:val="center"/>
              <w:rPr>
                <w:rFonts w:ascii="Times New Roman" w:hAnsi="Times New Roman" w:cs="Times New Roman"/>
              </w:rPr>
            </w:pPr>
            <w:r w:rsidRPr="00FD7B0B">
              <w:rPr>
                <w:rFonts w:ascii="Times New Roman" w:hAnsi="Times New Roman" w:cs="Times New Roman"/>
              </w:rPr>
              <w:t>2024 год</w:t>
            </w:r>
          </w:p>
        </w:tc>
        <w:tc>
          <w:tcPr>
            <w:tcW w:w="1952" w:type="dxa"/>
            <w:gridSpan w:val="2"/>
            <w:tcBorders>
              <w:top w:val="double" w:sz="4" w:space="0" w:color="auto"/>
              <w:left w:val="nil"/>
              <w:bottom w:val="single" w:sz="4" w:space="0" w:color="auto"/>
              <w:right w:val="double" w:sz="4" w:space="0" w:color="auto"/>
            </w:tcBorders>
            <w:shd w:val="clear" w:color="auto" w:fill="auto"/>
            <w:vAlign w:val="center"/>
            <w:hideMark/>
          </w:tcPr>
          <w:p w14:paraId="231DB80A" w14:textId="77777777" w:rsidR="0041599B" w:rsidRPr="00FD7B0B" w:rsidRDefault="0041599B" w:rsidP="0012111A">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71BDC0BB" w14:textId="77777777" w:rsidTr="00776830">
        <w:trPr>
          <w:trHeight w:val="35"/>
          <w:tblHeader/>
        </w:trPr>
        <w:tc>
          <w:tcPr>
            <w:tcW w:w="5897" w:type="dxa"/>
            <w:vMerge/>
            <w:tcBorders>
              <w:top w:val="double" w:sz="6" w:space="0" w:color="auto"/>
              <w:left w:val="double" w:sz="4" w:space="0" w:color="auto"/>
              <w:bottom w:val="single" w:sz="4" w:space="0" w:color="auto"/>
              <w:right w:val="single" w:sz="4" w:space="0" w:color="auto"/>
            </w:tcBorders>
            <w:vAlign w:val="center"/>
            <w:hideMark/>
          </w:tcPr>
          <w:p w14:paraId="587FC5BF" w14:textId="77777777" w:rsidR="0041599B" w:rsidRPr="00FD7B0B" w:rsidRDefault="0041599B" w:rsidP="0012111A">
            <w:pPr>
              <w:spacing w:after="0" w:line="240" w:lineRule="auto"/>
              <w:jc w:val="center"/>
              <w:rPr>
                <w:rFonts w:ascii="Times New Roman" w:hAnsi="Times New Roman" w:cs="Times New Roman"/>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38D20342" w14:textId="77777777" w:rsidR="0041599B" w:rsidRPr="00FD7B0B" w:rsidRDefault="0041599B" w:rsidP="0012111A">
            <w:pPr>
              <w:spacing w:after="0" w:line="240" w:lineRule="auto"/>
              <w:jc w:val="center"/>
              <w:rPr>
                <w:rFonts w:ascii="Times New Roman" w:hAnsi="Times New Roman" w:cs="Times New Roman"/>
              </w:rPr>
            </w:pPr>
          </w:p>
        </w:tc>
        <w:tc>
          <w:tcPr>
            <w:tcW w:w="893" w:type="dxa"/>
            <w:vMerge/>
            <w:tcBorders>
              <w:top w:val="double" w:sz="6" w:space="0" w:color="auto"/>
              <w:left w:val="single" w:sz="4" w:space="0" w:color="auto"/>
              <w:bottom w:val="single" w:sz="4" w:space="0" w:color="auto"/>
              <w:right w:val="single" w:sz="4" w:space="0" w:color="auto"/>
            </w:tcBorders>
            <w:vAlign w:val="center"/>
            <w:hideMark/>
          </w:tcPr>
          <w:p w14:paraId="6BD3D0C4" w14:textId="77777777" w:rsidR="0041599B" w:rsidRPr="00FD7B0B" w:rsidRDefault="0041599B" w:rsidP="0012111A">
            <w:pPr>
              <w:spacing w:after="0" w:line="240" w:lineRule="auto"/>
              <w:jc w:val="center"/>
              <w:rPr>
                <w:rFonts w:ascii="Times New Roman" w:hAnsi="Times New Roman" w:cs="Times New Roman"/>
              </w:rPr>
            </w:pPr>
          </w:p>
        </w:tc>
        <w:tc>
          <w:tcPr>
            <w:tcW w:w="1138" w:type="dxa"/>
            <w:tcBorders>
              <w:top w:val="nil"/>
              <w:left w:val="nil"/>
              <w:bottom w:val="single" w:sz="4" w:space="0" w:color="auto"/>
              <w:right w:val="single" w:sz="4" w:space="0" w:color="auto"/>
            </w:tcBorders>
            <w:shd w:val="clear" w:color="auto" w:fill="auto"/>
            <w:vAlign w:val="center"/>
            <w:hideMark/>
          </w:tcPr>
          <w:p w14:paraId="37FCEE95" w14:textId="77777777" w:rsidR="0041599B" w:rsidRPr="00FD7B0B" w:rsidRDefault="0041599B" w:rsidP="0012111A">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14" w:type="dxa"/>
            <w:tcBorders>
              <w:top w:val="nil"/>
              <w:left w:val="nil"/>
              <w:bottom w:val="single" w:sz="4" w:space="0" w:color="auto"/>
              <w:right w:val="double" w:sz="4" w:space="0" w:color="auto"/>
            </w:tcBorders>
            <w:shd w:val="clear" w:color="auto" w:fill="auto"/>
            <w:vAlign w:val="center"/>
            <w:hideMark/>
          </w:tcPr>
          <w:p w14:paraId="7D599BDF" w14:textId="4957055E" w:rsidR="0041599B" w:rsidRPr="00FD7B0B" w:rsidRDefault="0041599B" w:rsidP="0012111A">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6CB4923C" w14:textId="77777777" w:rsidTr="00776830">
        <w:trPr>
          <w:trHeight w:val="70"/>
        </w:trPr>
        <w:tc>
          <w:tcPr>
            <w:tcW w:w="5897" w:type="dxa"/>
            <w:tcBorders>
              <w:top w:val="nil"/>
              <w:left w:val="double" w:sz="4" w:space="0" w:color="auto"/>
              <w:bottom w:val="single" w:sz="4" w:space="0" w:color="auto"/>
              <w:right w:val="single" w:sz="4" w:space="0" w:color="auto"/>
            </w:tcBorders>
            <w:shd w:val="clear" w:color="auto" w:fill="auto"/>
            <w:vAlign w:val="center"/>
            <w:hideMark/>
          </w:tcPr>
          <w:p w14:paraId="1797B68E" w14:textId="77777777" w:rsidR="0041599B" w:rsidRPr="00FD7B0B" w:rsidRDefault="0041599B" w:rsidP="0012111A">
            <w:pPr>
              <w:spacing w:after="0" w:line="240" w:lineRule="auto"/>
              <w:rPr>
                <w:rFonts w:ascii="Times New Roman" w:hAnsi="Times New Roman" w:cs="Times New Roman"/>
              </w:rPr>
            </w:pPr>
            <w:r w:rsidRPr="00FD7B0B">
              <w:rPr>
                <w:rFonts w:ascii="Times New Roman" w:hAnsi="Times New Roman" w:cs="Times New Roman"/>
              </w:rPr>
              <w:t>Создание новых мест в общеобразовательных организациях в связи с ростом числа обучающихся, вызванным демографическим фактором (субсидия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p>
        </w:tc>
        <w:tc>
          <w:tcPr>
            <w:tcW w:w="992" w:type="dxa"/>
            <w:tcBorders>
              <w:top w:val="nil"/>
              <w:left w:val="nil"/>
              <w:bottom w:val="single" w:sz="4" w:space="0" w:color="auto"/>
              <w:right w:val="single" w:sz="4" w:space="0" w:color="auto"/>
            </w:tcBorders>
            <w:shd w:val="clear" w:color="auto" w:fill="auto"/>
            <w:vAlign w:val="center"/>
            <w:hideMark/>
          </w:tcPr>
          <w:p w14:paraId="3243195D"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96,5 </w:t>
            </w:r>
          </w:p>
        </w:tc>
        <w:tc>
          <w:tcPr>
            <w:tcW w:w="893" w:type="dxa"/>
            <w:tcBorders>
              <w:top w:val="nil"/>
              <w:left w:val="nil"/>
              <w:bottom w:val="single" w:sz="4" w:space="0" w:color="auto"/>
              <w:right w:val="single" w:sz="4" w:space="0" w:color="auto"/>
            </w:tcBorders>
            <w:shd w:val="clear" w:color="auto" w:fill="auto"/>
            <w:vAlign w:val="center"/>
            <w:hideMark/>
          </w:tcPr>
          <w:p w14:paraId="5330CBF7"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861,0 </w:t>
            </w:r>
          </w:p>
        </w:tc>
        <w:tc>
          <w:tcPr>
            <w:tcW w:w="1138" w:type="dxa"/>
            <w:tcBorders>
              <w:top w:val="nil"/>
              <w:left w:val="nil"/>
              <w:bottom w:val="single" w:sz="4" w:space="0" w:color="auto"/>
              <w:right w:val="single" w:sz="4" w:space="0" w:color="auto"/>
            </w:tcBorders>
            <w:shd w:val="clear" w:color="auto" w:fill="auto"/>
            <w:vAlign w:val="center"/>
            <w:hideMark/>
          </w:tcPr>
          <w:p w14:paraId="120DB201"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764,5 </w:t>
            </w:r>
          </w:p>
        </w:tc>
        <w:tc>
          <w:tcPr>
            <w:tcW w:w="814" w:type="dxa"/>
            <w:tcBorders>
              <w:top w:val="nil"/>
              <w:left w:val="nil"/>
              <w:bottom w:val="single" w:sz="4" w:space="0" w:color="auto"/>
              <w:right w:val="double" w:sz="4" w:space="0" w:color="auto"/>
            </w:tcBorders>
            <w:shd w:val="clear" w:color="auto" w:fill="auto"/>
            <w:vAlign w:val="center"/>
            <w:hideMark/>
          </w:tcPr>
          <w:p w14:paraId="327279BA"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в 8,9 раза</w:t>
            </w:r>
          </w:p>
        </w:tc>
      </w:tr>
      <w:tr w:rsidR="00FD7B0B" w:rsidRPr="00FD7B0B" w14:paraId="2684B509" w14:textId="77777777" w:rsidTr="00776830">
        <w:trPr>
          <w:trHeight w:val="70"/>
        </w:trPr>
        <w:tc>
          <w:tcPr>
            <w:tcW w:w="5897" w:type="dxa"/>
            <w:tcBorders>
              <w:top w:val="nil"/>
              <w:left w:val="double" w:sz="4" w:space="0" w:color="auto"/>
              <w:bottom w:val="single" w:sz="4" w:space="0" w:color="auto"/>
              <w:right w:val="single" w:sz="4" w:space="0" w:color="auto"/>
            </w:tcBorders>
            <w:shd w:val="clear" w:color="auto" w:fill="auto"/>
            <w:vAlign w:val="center"/>
            <w:hideMark/>
          </w:tcPr>
          <w:p w14:paraId="665AF471" w14:textId="77777777" w:rsidR="0041599B" w:rsidRPr="00FD7B0B" w:rsidRDefault="0041599B" w:rsidP="0012111A">
            <w:pPr>
              <w:spacing w:after="0" w:line="240" w:lineRule="auto"/>
              <w:rPr>
                <w:rFonts w:ascii="Times New Roman" w:hAnsi="Times New Roman" w:cs="Times New Roman"/>
              </w:rPr>
            </w:pPr>
            <w:r w:rsidRPr="00FD7B0B">
              <w:rPr>
                <w:rFonts w:ascii="Times New Roman" w:hAnsi="Times New Roman" w:cs="Times New Roman"/>
              </w:rPr>
              <w:t>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992" w:type="dxa"/>
            <w:tcBorders>
              <w:top w:val="nil"/>
              <w:left w:val="nil"/>
              <w:bottom w:val="single" w:sz="4" w:space="0" w:color="auto"/>
              <w:right w:val="single" w:sz="4" w:space="0" w:color="auto"/>
            </w:tcBorders>
            <w:shd w:val="clear" w:color="auto" w:fill="auto"/>
            <w:vAlign w:val="center"/>
            <w:hideMark/>
          </w:tcPr>
          <w:p w14:paraId="4A607B93"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93" w:type="dxa"/>
            <w:tcBorders>
              <w:top w:val="nil"/>
              <w:left w:val="nil"/>
              <w:bottom w:val="single" w:sz="4" w:space="0" w:color="auto"/>
              <w:right w:val="single" w:sz="4" w:space="0" w:color="auto"/>
            </w:tcBorders>
            <w:shd w:val="clear" w:color="auto" w:fill="auto"/>
            <w:vAlign w:val="center"/>
            <w:hideMark/>
          </w:tcPr>
          <w:p w14:paraId="72719F26"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450,0 </w:t>
            </w:r>
          </w:p>
        </w:tc>
        <w:tc>
          <w:tcPr>
            <w:tcW w:w="1138" w:type="dxa"/>
            <w:tcBorders>
              <w:top w:val="nil"/>
              <w:left w:val="nil"/>
              <w:bottom w:val="single" w:sz="4" w:space="0" w:color="auto"/>
              <w:right w:val="single" w:sz="4" w:space="0" w:color="auto"/>
            </w:tcBorders>
            <w:shd w:val="clear" w:color="auto" w:fill="auto"/>
            <w:vAlign w:val="center"/>
            <w:hideMark/>
          </w:tcPr>
          <w:p w14:paraId="0BF37277"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450,0 </w:t>
            </w:r>
          </w:p>
        </w:tc>
        <w:tc>
          <w:tcPr>
            <w:tcW w:w="814" w:type="dxa"/>
            <w:tcBorders>
              <w:top w:val="nil"/>
              <w:left w:val="nil"/>
              <w:bottom w:val="single" w:sz="4" w:space="0" w:color="auto"/>
              <w:right w:val="double" w:sz="4" w:space="0" w:color="auto"/>
            </w:tcBorders>
            <w:shd w:val="clear" w:color="auto" w:fill="auto"/>
            <w:vAlign w:val="center"/>
            <w:hideMark/>
          </w:tcPr>
          <w:p w14:paraId="157AE3E0"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w:t>
            </w:r>
          </w:p>
        </w:tc>
      </w:tr>
      <w:tr w:rsidR="0041599B" w:rsidRPr="00FD7B0B" w14:paraId="574C328E" w14:textId="77777777" w:rsidTr="00776830">
        <w:trPr>
          <w:trHeight w:val="70"/>
        </w:trPr>
        <w:tc>
          <w:tcPr>
            <w:tcW w:w="5897" w:type="dxa"/>
            <w:tcBorders>
              <w:top w:val="nil"/>
              <w:left w:val="double" w:sz="4" w:space="0" w:color="auto"/>
              <w:bottom w:val="double" w:sz="4" w:space="0" w:color="auto"/>
              <w:right w:val="single" w:sz="4" w:space="0" w:color="auto"/>
            </w:tcBorders>
            <w:shd w:val="clear" w:color="auto" w:fill="auto"/>
            <w:vAlign w:val="center"/>
            <w:hideMark/>
          </w:tcPr>
          <w:p w14:paraId="4C21D7A3" w14:textId="77777777" w:rsidR="0041599B" w:rsidRPr="00FD7B0B" w:rsidRDefault="0041599B" w:rsidP="0012111A">
            <w:pPr>
              <w:spacing w:after="0" w:line="240" w:lineRule="auto"/>
              <w:rPr>
                <w:rFonts w:ascii="Times New Roman" w:hAnsi="Times New Roman" w:cs="Times New Roman"/>
              </w:rPr>
            </w:pPr>
            <w:r w:rsidRPr="00FD7B0B">
              <w:rPr>
                <w:rFonts w:ascii="Times New Roman" w:hAnsi="Times New Roman" w:cs="Times New Roman"/>
              </w:rPr>
              <w:t>Обеспечение сокращения количества твердых коммунальных отходов, направленных на захоронение в субъектах Российской Федерации (субсидия юридическому лицу в соответствии с концессионным соглашением на создание объекта "Комплекс обработки и утилизации твердых коммунальных отходов мощностью 70 000 тонн в год, расположенный по адресу: Архангельская область, Котласский район, муниципальное образование "Черемушское")</w:t>
            </w:r>
          </w:p>
        </w:tc>
        <w:tc>
          <w:tcPr>
            <w:tcW w:w="992" w:type="dxa"/>
            <w:tcBorders>
              <w:top w:val="nil"/>
              <w:left w:val="nil"/>
              <w:bottom w:val="double" w:sz="4" w:space="0" w:color="auto"/>
              <w:right w:val="single" w:sz="4" w:space="0" w:color="auto"/>
            </w:tcBorders>
            <w:shd w:val="clear" w:color="auto" w:fill="auto"/>
            <w:vAlign w:val="center"/>
            <w:hideMark/>
          </w:tcPr>
          <w:p w14:paraId="495A58FD"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530,7 </w:t>
            </w:r>
          </w:p>
        </w:tc>
        <w:tc>
          <w:tcPr>
            <w:tcW w:w="893" w:type="dxa"/>
            <w:tcBorders>
              <w:top w:val="nil"/>
              <w:left w:val="nil"/>
              <w:bottom w:val="double" w:sz="4" w:space="0" w:color="auto"/>
              <w:right w:val="single" w:sz="4" w:space="0" w:color="auto"/>
            </w:tcBorders>
            <w:shd w:val="clear" w:color="auto" w:fill="auto"/>
            <w:vAlign w:val="center"/>
            <w:hideMark/>
          </w:tcPr>
          <w:p w14:paraId="2A14B468"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277,8 </w:t>
            </w:r>
          </w:p>
        </w:tc>
        <w:tc>
          <w:tcPr>
            <w:tcW w:w="1138" w:type="dxa"/>
            <w:tcBorders>
              <w:top w:val="nil"/>
              <w:left w:val="nil"/>
              <w:bottom w:val="double" w:sz="4" w:space="0" w:color="auto"/>
              <w:right w:val="single" w:sz="4" w:space="0" w:color="auto"/>
            </w:tcBorders>
            <w:shd w:val="clear" w:color="auto" w:fill="auto"/>
            <w:vAlign w:val="center"/>
            <w:hideMark/>
          </w:tcPr>
          <w:p w14:paraId="7759D318"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-252,9 </w:t>
            </w:r>
          </w:p>
        </w:tc>
        <w:tc>
          <w:tcPr>
            <w:tcW w:w="814" w:type="dxa"/>
            <w:tcBorders>
              <w:top w:val="nil"/>
              <w:left w:val="nil"/>
              <w:bottom w:val="double" w:sz="4" w:space="0" w:color="auto"/>
              <w:right w:val="double" w:sz="4" w:space="0" w:color="auto"/>
            </w:tcBorders>
            <w:shd w:val="clear" w:color="auto" w:fill="auto"/>
            <w:vAlign w:val="center"/>
            <w:hideMark/>
          </w:tcPr>
          <w:p w14:paraId="4C042D57" w14:textId="77777777" w:rsidR="0041599B" w:rsidRPr="00FD7B0B" w:rsidRDefault="0041599B" w:rsidP="0012111A">
            <w:pPr>
              <w:spacing w:after="0" w:line="240" w:lineRule="auto"/>
              <w:jc w:val="right"/>
              <w:rPr>
                <w:rFonts w:ascii="Times New Roman" w:hAnsi="Times New Roman" w:cs="Times New Roman"/>
              </w:rPr>
            </w:pPr>
            <w:r w:rsidRPr="00FD7B0B">
              <w:rPr>
                <w:rFonts w:ascii="Times New Roman" w:hAnsi="Times New Roman" w:cs="Times New Roman"/>
              </w:rPr>
              <w:t xml:space="preserve">-47,7 </w:t>
            </w:r>
          </w:p>
        </w:tc>
      </w:tr>
    </w:tbl>
    <w:p w14:paraId="213C4429" w14:textId="77777777" w:rsidR="0041599B" w:rsidRPr="00FD7B0B" w:rsidRDefault="0041599B" w:rsidP="00776830">
      <w:pPr>
        <w:spacing w:after="0" w:line="240" w:lineRule="auto"/>
        <w:ind w:firstLine="709"/>
        <w:jc w:val="both"/>
        <w:rPr>
          <w:rFonts w:ascii="Times New Roman" w:eastAsia="Calibri" w:hAnsi="Times New Roman" w:cs="Times New Roman"/>
          <w:sz w:val="28"/>
          <w:szCs w:val="28"/>
        </w:rPr>
      </w:pPr>
    </w:p>
    <w:p w14:paraId="200F92D1" w14:textId="18F50758" w:rsidR="0041599B" w:rsidRPr="00FD7B0B" w:rsidRDefault="00776830" w:rsidP="0077683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Расходы в виде с</w:t>
      </w:r>
      <w:r w:rsidR="0041599B" w:rsidRPr="00FD7B0B">
        <w:rPr>
          <w:rFonts w:ascii="Times New Roman" w:eastAsia="Calibri" w:hAnsi="Times New Roman" w:cs="Times New Roman"/>
          <w:sz w:val="28"/>
          <w:szCs w:val="28"/>
        </w:rPr>
        <w:t>убсиди</w:t>
      </w:r>
      <w:r w:rsidRPr="00FD7B0B">
        <w:rPr>
          <w:rFonts w:ascii="Times New Roman" w:eastAsia="Calibri" w:hAnsi="Times New Roman" w:cs="Times New Roman"/>
          <w:sz w:val="28"/>
          <w:szCs w:val="28"/>
        </w:rPr>
        <w:t>й</w:t>
      </w:r>
      <w:r w:rsidR="0041599B" w:rsidRPr="00FD7B0B">
        <w:rPr>
          <w:rFonts w:ascii="Times New Roman" w:eastAsia="Calibri" w:hAnsi="Times New Roman" w:cs="Times New Roman"/>
          <w:sz w:val="28"/>
          <w:szCs w:val="28"/>
        </w:rPr>
        <w:t xml:space="preserve"> (грант</w:t>
      </w:r>
      <w:r w:rsidRPr="00FD7B0B">
        <w:rPr>
          <w:rFonts w:ascii="Times New Roman" w:eastAsia="Calibri" w:hAnsi="Times New Roman" w:cs="Times New Roman"/>
          <w:sz w:val="28"/>
          <w:szCs w:val="28"/>
        </w:rPr>
        <w:t>ов</w:t>
      </w:r>
      <w:r w:rsidR="0041599B" w:rsidRPr="00FD7B0B">
        <w:rPr>
          <w:rFonts w:ascii="Times New Roman" w:eastAsia="Calibri" w:hAnsi="Times New Roman" w:cs="Times New Roman"/>
          <w:sz w:val="28"/>
          <w:szCs w:val="28"/>
        </w:rPr>
        <w:t xml:space="preserve">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 (элемент вида расходов 813) за 2024 год составили</w:t>
      </w:r>
      <w:r w:rsidRPr="00FD7B0B">
        <w:rPr>
          <w:rFonts w:ascii="Times New Roman" w:eastAsia="Calibri" w:hAnsi="Times New Roman" w:cs="Times New Roman"/>
          <w:sz w:val="28"/>
          <w:szCs w:val="28"/>
        </w:rPr>
        <w:t xml:space="preserve"> в сумме</w:t>
      </w:r>
      <w:r w:rsidR="0041599B" w:rsidRPr="00FD7B0B">
        <w:rPr>
          <w:rFonts w:ascii="Times New Roman" w:eastAsia="Calibri" w:hAnsi="Times New Roman" w:cs="Times New Roman"/>
          <w:sz w:val="28"/>
          <w:szCs w:val="28"/>
        </w:rPr>
        <w:t xml:space="preserve"> 724,4 млн.руб. (99,0 % к плану года), что на 434,7 млн.руб. (-37,5 %) меньше, чем осуществлены расходы за 2023 год.</w:t>
      </w:r>
    </w:p>
    <w:p w14:paraId="10801F11" w14:textId="3B5FE994" w:rsidR="0041599B" w:rsidRPr="00FD7B0B" w:rsidRDefault="0041599B" w:rsidP="0077683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5A25D0" w:rsidRPr="00FD7B0B">
        <w:rPr>
          <w:rFonts w:ascii="Times New Roman" w:eastAsia="Calibri" w:hAnsi="Times New Roman" w:cs="Times New Roman"/>
          <w:sz w:val="28"/>
          <w:szCs w:val="28"/>
        </w:rPr>
        <w:t>63</w:t>
      </w:r>
      <w:r w:rsidRPr="00FD7B0B">
        <w:rPr>
          <w:rFonts w:ascii="Times New Roman" w:eastAsia="Calibri" w:hAnsi="Times New Roman" w:cs="Times New Roman"/>
          <w:sz w:val="28"/>
          <w:szCs w:val="28"/>
        </w:rPr>
        <w:t xml:space="preserve"> приведены наибольшие расходы областного бюджета за 2023 и 2024 годы по элементу вида расходов 813.</w:t>
      </w:r>
    </w:p>
    <w:p w14:paraId="1E347910" w14:textId="77777777" w:rsidR="0041599B" w:rsidRPr="00FD7B0B" w:rsidRDefault="0041599B" w:rsidP="00776830">
      <w:pPr>
        <w:pStyle w:val="aff0"/>
        <w:spacing w:after="0" w:line="240" w:lineRule="auto"/>
        <w:rPr>
          <w:rFonts w:ascii="Times New Roman" w:hAnsi="Times New Roman"/>
          <w:b w:val="0"/>
          <w:sz w:val="24"/>
          <w:szCs w:val="24"/>
        </w:rPr>
      </w:pPr>
    </w:p>
    <w:p w14:paraId="5E1522E4" w14:textId="79053612" w:rsidR="0041599B" w:rsidRPr="00FD7B0B" w:rsidRDefault="0041599B" w:rsidP="00776830">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63</w:t>
      </w:r>
      <w:r w:rsidRPr="00FD7B0B">
        <w:rPr>
          <w:rFonts w:ascii="Times New Roman" w:hAnsi="Times New Roman"/>
          <w:b w:val="0"/>
          <w:sz w:val="24"/>
          <w:szCs w:val="24"/>
        </w:rPr>
        <w:fldChar w:fldCharType="end"/>
      </w:r>
      <w:r w:rsidRPr="00FD7B0B">
        <w:rPr>
          <w:rFonts w:ascii="Times New Roman" w:hAnsi="Times New Roman"/>
          <w:b w:val="0"/>
          <w:sz w:val="24"/>
          <w:szCs w:val="24"/>
        </w:rPr>
        <w:t>. Наибольшие расходы из областного бюджета, осуществленные по элементу вида расходов 813 «Субсидии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 за 2023 и 2024 годы</w:t>
      </w:r>
      <w:r w:rsidR="005A7804" w:rsidRPr="00FD7B0B">
        <w:rPr>
          <w:rFonts w:ascii="Times New Roman" w:hAnsi="Times New Roman"/>
          <w:b w:val="0"/>
          <w:sz w:val="24"/>
          <w:szCs w:val="24"/>
        </w:rPr>
        <w:t xml:space="preserve"> (свыше 200 млн.руб.)</w:t>
      </w:r>
      <w:r w:rsidRPr="00FD7B0B">
        <w:rPr>
          <w:rFonts w:ascii="Times New Roman" w:hAnsi="Times New Roman"/>
          <w:b w:val="0"/>
          <w:sz w:val="24"/>
          <w:szCs w:val="24"/>
        </w:rPr>
        <w:t>, млн.руб.</w:t>
      </w:r>
    </w:p>
    <w:tbl>
      <w:tblPr>
        <w:tblW w:w="9610" w:type="dxa"/>
        <w:tblLayout w:type="fixed"/>
        <w:tblLook w:val="04A0" w:firstRow="1" w:lastRow="0" w:firstColumn="1" w:lastColumn="0" w:noHBand="0" w:noVBand="1"/>
      </w:tblPr>
      <w:tblGrid>
        <w:gridCol w:w="6073"/>
        <w:gridCol w:w="743"/>
        <w:gridCol w:w="850"/>
        <w:gridCol w:w="1130"/>
        <w:gridCol w:w="814"/>
      </w:tblGrid>
      <w:tr w:rsidR="00FD7B0B" w:rsidRPr="00FD7B0B" w14:paraId="337E66C9" w14:textId="77777777" w:rsidTr="0018322D">
        <w:trPr>
          <w:trHeight w:val="35"/>
          <w:tblHeader/>
        </w:trPr>
        <w:tc>
          <w:tcPr>
            <w:tcW w:w="6073"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BE87AFD" w14:textId="77777777" w:rsidR="0041599B" w:rsidRPr="00FD7B0B" w:rsidRDefault="0041599B" w:rsidP="00776830">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743"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0C326E8" w14:textId="77777777" w:rsidR="0041599B" w:rsidRPr="00FD7B0B" w:rsidRDefault="0041599B" w:rsidP="00776830">
            <w:pPr>
              <w:spacing w:after="0" w:line="240" w:lineRule="auto"/>
              <w:jc w:val="center"/>
              <w:rPr>
                <w:rFonts w:ascii="Times New Roman" w:hAnsi="Times New Roman" w:cs="Times New Roman"/>
              </w:rPr>
            </w:pPr>
            <w:r w:rsidRPr="00FD7B0B">
              <w:rPr>
                <w:rFonts w:ascii="Times New Roman" w:hAnsi="Times New Roman" w:cs="Times New Roman"/>
              </w:rPr>
              <w:t>2023 год</w:t>
            </w:r>
          </w:p>
        </w:tc>
        <w:tc>
          <w:tcPr>
            <w:tcW w:w="85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9B87ACE" w14:textId="77777777" w:rsidR="0041599B" w:rsidRPr="00FD7B0B" w:rsidRDefault="0041599B" w:rsidP="00776830">
            <w:pPr>
              <w:spacing w:after="0" w:line="240" w:lineRule="auto"/>
              <w:jc w:val="center"/>
              <w:rPr>
                <w:rFonts w:ascii="Times New Roman" w:hAnsi="Times New Roman" w:cs="Times New Roman"/>
              </w:rPr>
            </w:pPr>
            <w:r w:rsidRPr="00FD7B0B">
              <w:rPr>
                <w:rFonts w:ascii="Times New Roman" w:hAnsi="Times New Roman" w:cs="Times New Roman"/>
              </w:rPr>
              <w:t>2024 год</w:t>
            </w:r>
          </w:p>
        </w:tc>
        <w:tc>
          <w:tcPr>
            <w:tcW w:w="1944" w:type="dxa"/>
            <w:gridSpan w:val="2"/>
            <w:tcBorders>
              <w:top w:val="double" w:sz="4" w:space="0" w:color="auto"/>
              <w:left w:val="nil"/>
              <w:bottom w:val="single" w:sz="4" w:space="0" w:color="auto"/>
              <w:right w:val="double" w:sz="4" w:space="0" w:color="auto"/>
            </w:tcBorders>
            <w:shd w:val="clear" w:color="auto" w:fill="auto"/>
            <w:vAlign w:val="center"/>
            <w:hideMark/>
          </w:tcPr>
          <w:p w14:paraId="654C1995" w14:textId="77777777" w:rsidR="0041599B" w:rsidRPr="00FD7B0B" w:rsidRDefault="0041599B" w:rsidP="00776830">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052ABC3F" w14:textId="77777777" w:rsidTr="0018322D">
        <w:trPr>
          <w:trHeight w:val="35"/>
          <w:tblHeader/>
        </w:trPr>
        <w:tc>
          <w:tcPr>
            <w:tcW w:w="6073" w:type="dxa"/>
            <w:vMerge/>
            <w:tcBorders>
              <w:top w:val="double" w:sz="6" w:space="0" w:color="auto"/>
              <w:left w:val="double" w:sz="4" w:space="0" w:color="auto"/>
              <w:bottom w:val="single" w:sz="4" w:space="0" w:color="auto"/>
              <w:right w:val="single" w:sz="4" w:space="0" w:color="auto"/>
            </w:tcBorders>
            <w:vAlign w:val="center"/>
            <w:hideMark/>
          </w:tcPr>
          <w:p w14:paraId="1339F7F3" w14:textId="77777777" w:rsidR="0041599B" w:rsidRPr="00FD7B0B" w:rsidRDefault="0041599B" w:rsidP="00776830">
            <w:pPr>
              <w:spacing w:after="0" w:line="240" w:lineRule="auto"/>
              <w:jc w:val="center"/>
              <w:rPr>
                <w:rFonts w:ascii="Times New Roman" w:hAnsi="Times New Roman" w:cs="Times New Roman"/>
              </w:rPr>
            </w:pPr>
          </w:p>
        </w:tc>
        <w:tc>
          <w:tcPr>
            <w:tcW w:w="743" w:type="dxa"/>
            <w:vMerge/>
            <w:tcBorders>
              <w:top w:val="double" w:sz="6" w:space="0" w:color="auto"/>
              <w:left w:val="single" w:sz="4" w:space="0" w:color="auto"/>
              <w:bottom w:val="single" w:sz="4" w:space="0" w:color="auto"/>
              <w:right w:val="single" w:sz="4" w:space="0" w:color="auto"/>
            </w:tcBorders>
            <w:vAlign w:val="center"/>
            <w:hideMark/>
          </w:tcPr>
          <w:p w14:paraId="31E9F155" w14:textId="77777777" w:rsidR="0041599B" w:rsidRPr="00FD7B0B" w:rsidRDefault="0041599B" w:rsidP="00776830">
            <w:pPr>
              <w:spacing w:after="0" w:line="240" w:lineRule="auto"/>
              <w:jc w:val="center"/>
              <w:rPr>
                <w:rFonts w:ascii="Times New Roman" w:hAnsi="Times New Roman" w:cs="Times New Roman"/>
              </w:rPr>
            </w:pPr>
          </w:p>
        </w:tc>
        <w:tc>
          <w:tcPr>
            <w:tcW w:w="850" w:type="dxa"/>
            <w:vMerge/>
            <w:tcBorders>
              <w:top w:val="double" w:sz="6" w:space="0" w:color="auto"/>
              <w:left w:val="single" w:sz="4" w:space="0" w:color="auto"/>
              <w:bottom w:val="single" w:sz="4" w:space="0" w:color="auto"/>
              <w:right w:val="single" w:sz="4" w:space="0" w:color="auto"/>
            </w:tcBorders>
            <w:vAlign w:val="center"/>
            <w:hideMark/>
          </w:tcPr>
          <w:p w14:paraId="76DC0B5D" w14:textId="77777777" w:rsidR="0041599B" w:rsidRPr="00FD7B0B" w:rsidRDefault="0041599B" w:rsidP="00776830">
            <w:pPr>
              <w:spacing w:after="0" w:line="240" w:lineRule="auto"/>
              <w:jc w:val="center"/>
              <w:rPr>
                <w:rFonts w:ascii="Times New Roman" w:hAnsi="Times New Roman" w:cs="Times New Roman"/>
              </w:rPr>
            </w:pPr>
          </w:p>
        </w:tc>
        <w:tc>
          <w:tcPr>
            <w:tcW w:w="1130" w:type="dxa"/>
            <w:tcBorders>
              <w:top w:val="nil"/>
              <w:left w:val="nil"/>
              <w:bottom w:val="single" w:sz="4" w:space="0" w:color="auto"/>
              <w:right w:val="single" w:sz="4" w:space="0" w:color="auto"/>
            </w:tcBorders>
            <w:shd w:val="clear" w:color="auto" w:fill="auto"/>
            <w:vAlign w:val="center"/>
            <w:hideMark/>
          </w:tcPr>
          <w:p w14:paraId="72ACE58B" w14:textId="77777777" w:rsidR="0041599B" w:rsidRPr="00FD7B0B" w:rsidRDefault="0041599B" w:rsidP="00776830">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14" w:type="dxa"/>
            <w:tcBorders>
              <w:top w:val="nil"/>
              <w:left w:val="nil"/>
              <w:bottom w:val="single" w:sz="4" w:space="0" w:color="auto"/>
              <w:right w:val="double" w:sz="4" w:space="0" w:color="auto"/>
            </w:tcBorders>
            <w:shd w:val="clear" w:color="auto" w:fill="auto"/>
            <w:vAlign w:val="center"/>
            <w:hideMark/>
          </w:tcPr>
          <w:p w14:paraId="6DEF01F3" w14:textId="4D3A3C5E" w:rsidR="0041599B" w:rsidRPr="00FD7B0B" w:rsidRDefault="0041599B" w:rsidP="00776830">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0F0605FA" w14:textId="77777777" w:rsidTr="0018322D">
        <w:trPr>
          <w:trHeight w:val="70"/>
        </w:trPr>
        <w:tc>
          <w:tcPr>
            <w:tcW w:w="6073" w:type="dxa"/>
            <w:tcBorders>
              <w:top w:val="nil"/>
              <w:left w:val="double" w:sz="4" w:space="0" w:color="auto"/>
              <w:bottom w:val="single" w:sz="4" w:space="0" w:color="auto"/>
              <w:right w:val="single" w:sz="4" w:space="0" w:color="auto"/>
            </w:tcBorders>
            <w:shd w:val="clear" w:color="auto" w:fill="auto"/>
            <w:vAlign w:val="center"/>
          </w:tcPr>
          <w:p w14:paraId="2A7E1DC8" w14:textId="77777777" w:rsidR="00AE1EDA" w:rsidRPr="00FD7B0B" w:rsidRDefault="00AE1EDA" w:rsidP="00E2486A">
            <w:pPr>
              <w:spacing w:after="0" w:line="240" w:lineRule="auto"/>
              <w:rPr>
                <w:rFonts w:ascii="Times New Roman" w:hAnsi="Times New Roman" w:cs="Times New Roman"/>
              </w:rPr>
            </w:pPr>
            <w:r w:rsidRPr="00FD7B0B">
              <w:rPr>
                <w:rFonts w:ascii="Times New Roman" w:hAnsi="Times New Roman" w:cs="Times New Roman"/>
              </w:rPr>
              <w:t>Стимулирование развития приоритетных подотраслей агропромышленного комплекса и развитие малых форм хозяйствования</w:t>
            </w:r>
          </w:p>
        </w:tc>
        <w:tc>
          <w:tcPr>
            <w:tcW w:w="743" w:type="dxa"/>
            <w:tcBorders>
              <w:top w:val="nil"/>
              <w:left w:val="nil"/>
              <w:bottom w:val="single" w:sz="4" w:space="0" w:color="auto"/>
              <w:right w:val="single" w:sz="4" w:space="0" w:color="auto"/>
            </w:tcBorders>
            <w:shd w:val="clear" w:color="auto" w:fill="auto"/>
            <w:vAlign w:val="center"/>
          </w:tcPr>
          <w:p w14:paraId="43495281" w14:textId="77777777" w:rsidR="00AE1EDA" w:rsidRPr="00FD7B0B" w:rsidRDefault="00AE1EDA" w:rsidP="00E2486A">
            <w:pPr>
              <w:spacing w:after="0" w:line="240" w:lineRule="auto"/>
              <w:jc w:val="right"/>
              <w:rPr>
                <w:rFonts w:ascii="Times New Roman" w:hAnsi="Times New Roman" w:cs="Times New Roman"/>
              </w:rPr>
            </w:pPr>
            <w:r w:rsidRPr="00FD7B0B">
              <w:rPr>
                <w:rFonts w:ascii="Times New Roman" w:hAnsi="Times New Roman" w:cs="Times New Roman"/>
              </w:rPr>
              <w:t>358,7</w:t>
            </w:r>
          </w:p>
        </w:tc>
        <w:tc>
          <w:tcPr>
            <w:tcW w:w="850" w:type="dxa"/>
            <w:tcBorders>
              <w:top w:val="nil"/>
              <w:left w:val="nil"/>
              <w:bottom w:val="single" w:sz="4" w:space="0" w:color="auto"/>
              <w:right w:val="single" w:sz="4" w:space="0" w:color="auto"/>
            </w:tcBorders>
            <w:shd w:val="clear" w:color="auto" w:fill="auto"/>
            <w:vAlign w:val="center"/>
          </w:tcPr>
          <w:p w14:paraId="6EEEF853" w14:textId="77777777" w:rsidR="00AE1EDA" w:rsidRPr="00FD7B0B" w:rsidRDefault="00AE1EDA" w:rsidP="00E2486A">
            <w:pPr>
              <w:spacing w:after="0" w:line="240" w:lineRule="auto"/>
              <w:jc w:val="right"/>
              <w:rPr>
                <w:rFonts w:ascii="Times New Roman" w:hAnsi="Times New Roman" w:cs="Times New Roman"/>
              </w:rPr>
            </w:pPr>
            <w:r w:rsidRPr="00FD7B0B">
              <w:rPr>
                <w:rFonts w:ascii="Times New Roman" w:hAnsi="Times New Roman" w:cs="Times New Roman"/>
              </w:rPr>
              <w:t>550,1</w:t>
            </w:r>
          </w:p>
        </w:tc>
        <w:tc>
          <w:tcPr>
            <w:tcW w:w="1130" w:type="dxa"/>
            <w:tcBorders>
              <w:top w:val="nil"/>
              <w:left w:val="nil"/>
              <w:bottom w:val="single" w:sz="4" w:space="0" w:color="auto"/>
              <w:right w:val="single" w:sz="4" w:space="0" w:color="auto"/>
            </w:tcBorders>
            <w:shd w:val="clear" w:color="auto" w:fill="auto"/>
            <w:vAlign w:val="center"/>
          </w:tcPr>
          <w:p w14:paraId="60B983B5" w14:textId="77777777" w:rsidR="00AE1EDA" w:rsidRPr="00FD7B0B" w:rsidRDefault="00AE1EDA" w:rsidP="00E2486A">
            <w:pPr>
              <w:spacing w:after="0" w:line="240" w:lineRule="auto"/>
              <w:jc w:val="right"/>
              <w:rPr>
                <w:rFonts w:ascii="Times New Roman" w:hAnsi="Times New Roman" w:cs="Times New Roman"/>
              </w:rPr>
            </w:pPr>
            <w:r w:rsidRPr="00FD7B0B">
              <w:rPr>
                <w:rFonts w:ascii="Times New Roman" w:hAnsi="Times New Roman" w:cs="Times New Roman"/>
              </w:rPr>
              <w:t>191,4</w:t>
            </w:r>
          </w:p>
        </w:tc>
        <w:tc>
          <w:tcPr>
            <w:tcW w:w="814" w:type="dxa"/>
            <w:tcBorders>
              <w:top w:val="nil"/>
              <w:left w:val="nil"/>
              <w:bottom w:val="single" w:sz="4" w:space="0" w:color="auto"/>
              <w:right w:val="double" w:sz="4" w:space="0" w:color="auto"/>
            </w:tcBorders>
            <w:shd w:val="clear" w:color="auto" w:fill="auto"/>
            <w:vAlign w:val="center"/>
          </w:tcPr>
          <w:p w14:paraId="47FEA4D3" w14:textId="77777777" w:rsidR="00AE1EDA" w:rsidRPr="00FD7B0B" w:rsidRDefault="00AE1EDA" w:rsidP="00E2486A">
            <w:pPr>
              <w:spacing w:after="0" w:line="240" w:lineRule="auto"/>
              <w:jc w:val="right"/>
              <w:rPr>
                <w:rFonts w:ascii="Times New Roman" w:hAnsi="Times New Roman" w:cs="Times New Roman"/>
              </w:rPr>
            </w:pPr>
            <w:r w:rsidRPr="00FD7B0B">
              <w:rPr>
                <w:rFonts w:ascii="Times New Roman" w:hAnsi="Times New Roman" w:cs="Times New Roman"/>
              </w:rPr>
              <w:t>53,4</w:t>
            </w:r>
          </w:p>
        </w:tc>
      </w:tr>
      <w:tr w:rsidR="00FD7B0B" w:rsidRPr="00FD7B0B" w14:paraId="54FF3FEB" w14:textId="77777777" w:rsidTr="0018322D">
        <w:trPr>
          <w:trHeight w:val="70"/>
        </w:trPr>
        <w:tc>
          <w:tcPr>
            <w:tcW w:w="6073" w:type="dxa"/>
            <w:tcBorders>
              <w:top w:val="nil"/>
              <w:left w:val="double" w:sz="4" w:space="0" w:color="auto"/>
              <w:bottom w:val="single" w:sz="4" w:space="0" w:color="auto"/>
              <w:right w:val="single" w:sz="4" w:space="0" w:color="auto"/>
            </w:tcBorders>
            <w:shd w:val="clear" w:color="auto" w:fill="auto"/>
            <w:vAlign w:val="center"/>
            <w:hideMark/>
          </w:tcPr>
          <w:p w14:paraId="6069E8A6" w14:textId="67B3E9EC" w:rsidR="00955D3A" w:rsidRPr="00FD7B0B" w:rsidRDefault="00955D3A" w:rsidP="00955D3A">
            <w:pPr>
              <w:spacing w:after="0" w:line="240" w:lineRule="auto"/>
              <w:rPr>
                <w:rFonts w:ascii="Times New Roman" w:hAnsi="Times New Roman" w:cs="Times New Roman"/>
              </w:rPr>
            </w:pPr>
            <w:r w:rsidRPr="00FD7B0B">
              <w:rPr>
                <w:rFonts w:ascii="Times New Roman" w:hAnsi="Times New Roman" w:cs="Times New Roman"/>
              </w:rPr>
              <w:t>Субсидии акционерному обществу "2-ой Архангельский объединенный авиаотряд" на обеспечение обслуживания воздушных судов и пассажиров на аэродроме Архангельск (Васьково) в период реконструкции искусственной взлетно-посадочной полосы аэродрома Архангельск (Талаги)</w:t>
            </w:r>
          </w:p>
        </w:tc>
        <w:tc>
          <w:tcPr>
            <w:tcW w:w="743" w:type="dxa"/>
            <w:tcBorders>
              <w:top w:val="nil"/>
              <w:left w:val="nil"/>
              <w:bottom w:val="single" w:sz="4" w:space="0" w:color="auto"/>
              <w:right w:val="single" w:sz="4" w:space="0" w:color="auto"/>
            </w:tcBorders>
            <w:shd w:val="clear" w:color="auto" w:fill="auto"/>
            <w:vAlign w:val="center"/>
            <w:hideMark/>
          </w:tcPr>
          <w:p w14:paraId="5A0F1194" w14:textId="3CC3E64C" w:rsidR="00955D3A" w:rsidRPr="00FD7B0B" w:rsidRDefault="00955D3A" w:rsidP="00955D3A">
            <w:pPr>
              <w:spacing w:after="0" w:line="240" w:lineRule="auto"/>
              <w:jc w:val="right"/>
              <w:rPr>
                <w:rFonts w:ascii="Times New Roman" w:hAnsi="Times New Roman" w:cs="Times New Roman"/>
              </w:rPr>
            </w:pPr>
            <w:r w:rsidRPr="00FD7B0B">
              <w:rPr>
                <w:rFonts w:ascii="Times New Roman" w:hAnsi="Times New Roman" w:cs="Times New Roman"/>
              </w:rPr>
              <w:t xml:space="preserve">398,8 </w:t>
            </w:r>
          </w:p>
        </w:tc>
        <w:tc>
          <w:tcPr>
            <w:tcW w:w="850" w:type="dxa"/>
            <w:tcBorders>
              <w:top w:val="nil"/>
              <w:left w:val="nil"/>
              <w:bottom w:val="single" w:sz="4" w:space="0" w:color="auto"/>
              <w:right w:val="single" w:sz="4" w:space="0" w:color="auto"/>
            </w:tcBorders>
            <w:shd w:val="clear" w:color="auto" w:fill="auto"/>
            <w:vAlign w:val="center"/>
            <w:hideMark/>
          </w:tcPr>
          <w:p w14:paraId="0F223C7A" w14:textId="7944F2BA" w:rsidR="00955D3A" w:rsidRPr="00FD7B0B" w:rsidRDefault="00955D3A" w:rsidP="00955D3A">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0" w:type="dxa"/>
            <w:tcBorders>
              <w:top w:val="nil"/>
              <w:left w:val="nil"/>
              <w:bottom w:val="single" w:sz="4" w:space="0" w:color="auto"/>
              <w:right w:val="single" w:sz="4" w:space="0" w:color="auto"/>
            </w:tcBorders>
            <w:shd w:val="clear" w:color="auto" w:fill="auto"/>
            <w:vAlign w:val="center"/>
            <w:hideMark/>
          </w:tcPr>
          <w:p w14:paraId="2F76C267" w14:textId="0721D00F" w:rsidR="00955D3A" w:rsidRPr="00FD7B0B" w:rsidRDefault="00955D3A" w:rsidP="00955D3A">
            <w:pPr>
              <w:spacing w:after="0" w:line="240" w:lineRule="auto"/>
              <w:jc w:val="right"/>
              <w:rPr>
                <w:rFonts w:ascii="Times New Roman" w:hAnsi="Times New Roman" w:cs="Times New Roman"/>
              </w:rPr>
            </w:pPr>
            <w:r w:rsidRPr="00FD7B0B">
              <w:rPr>
                <w:rFonts w:ascii="Times New Roman" w:hAnsi="Times New Roman" w:cs="Times New Roman"/>
              </w:rPr>
              <w:t xml:space="preserve">-398,8 </w:t>
            </w:r>
          </w:p>
        </w:tc>
        <w:tc>
          <w:tcPr>
            <w:tcW w:w="814" w:type="dxa"/>
            <w:tcBorders>
              <w:top w:val="nil"/>
              <w:left w:val="nil"/>
              <w:bottom w:val="single" w:sz="4" w:space="0" w:color="auto"/>
              <w:right w:val="double" w:sz="4" w:space="0" w:color="auto"/>
            </w:tcBorders>
            <w:shd w:val="clear" w:color="auto" w:fill="auto"/>
            <w:vAlign w:val="center"/>
            <w:hideMark/>
          </w:tcPr>
          <w:p w14:paraId="7A0CB817" w14:textId="662B20D7" w:rsidR="00955D3A" w:rsidRPr="00FD7B0B" w:rsidRDefault="00955D3A" w:rsidP="00955D3A">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41599B" w:rsidRPr="00FD7B0B" w14:paraId="18842D30" w14:textId="77777777" w:rsidTr="0018322D">
        <w:trPr>
          <w:trHeight w:val="1096"/>
        </w:trPr>
        <w:tc>
          <w:tcPr>
            <w:tcW w:w="6073" w:type="dxa"/>
            <w:tcBorders>
              <w:top w:val="nil"/>
              <w:left w:val="double" w:sz="4" w:space="0" w:color="auto"/>
              <w:bottom w:val="double" w:sz="4" w:space="0" w:color="auto"/>
              <w:right w:val="single" w:sz="4" w:space="0" w:color="auto"/>
            </w:tcBorders>
            <w:shd w:val="clear" w:color="auto" w:fill="auto"/>
            <w:vAlign w:val="center"/>
            <w:hideMark/>
          </w:tcPr>
          <w:p w14:paraId="5F43F40F" w14:textId="77777777" w:rsidR="0041599B" w:rsidRPr="00FD7B0B" w:rsidRDefault="0041599B" w:rsidP="00776830">
            <w:pPr>
              <w:spacing w:after="0" w:line="240" w:lineRule="auto"/>
              <w:rPr>
                <w:rFonts w:ascii="Times New Roman" w:hAnsi="Times New Roman" w:cs="Times New Roman"/>
              </w:rPr>
            </w:pPr>
            <w:r w:rsidRPr="00FD7B0B">
              <w:rPr>
                <w:rFonts w:ascii="Times New Roman" w:hAnsi="Times New Roman" w:cs="Times New Roman"/>
              </w:rPr>
              <w:lastRenderedPageBreak/>
              <w:t>Субсидии в связи со снижением размера платы за оказание коммунальной услуги по обращению с твердыми коммунальными отходами вследствие снижения норматива накопления твердых коммунальных отходов на территории Архангельской области</w:t>
            </w:r>
          </w:p>
        </w:tc>
        <w:tc>
          <w:tcPr>
            <w:tcW w:w="743" w:type="dxa"/>
            <w:tcBorders>
              <w:top w:val="nil"/>
              <w:left w:val="nil"/>
              <w:bottom w:val="double" w:sz="4" w:space="0" w:color="auto"/>
              <w:right w:val="single" w:sz="4" w:space="0" w:color="auto"/>
            </w:tcBorders>
            <w:shd w:val="clear" w:color="auto" w:fill="auto"/>
            <w:vAlign w:val="center"/>
            <w:hideMark/>
          </w:tcPr>
          <w:p w14:paraId="4CF6CD8C" w14:textId="77777777" w:rsidR="0041599B" w:rsidRPr="00FD7B0B" w:rsidRDefault="0041599B" w:rsidP="003E0F7E">
            <w:pPr>
              <w:spacing w:after="0" w:line="240" w:lineRule="auto"/>
              <w:jc w:val="right"/>
              <w:rPr>
                <w:rFonts w:ascii="Times New Roman" w:hAnsi="Times New Roman" w:cs="Times New Roman"/>
              </w:rPr>
            </w:pPr>
            <w:r w:rsidRPr="00FD7B0B">
              <w:rPr>
                <w:rFonts w:ascii="Times New Roman" w:hAnsi="Times New Roman" w:cs="Times New Roman"/>
              </w:rPr>
              <w:t xml:space="preserve">208,2 </w:t>
            </w:r>
          </w:p>
        </w:tc>
        <w:tc>
          <w:tcPr>
            <w:tcW w:w="850" w:type="dxa"/>
            <w:tcBorders>
              <w:top w:val="nil"/>
              <w:left w:val="nil"/>
              <w:bottom w:val="double" w:sz="4" w:space="0" w:color="auto"/>
              <w:right w:val="single" w:sz="4" w:space="0" w:color="auto"/>
            </w:tcBorders>
            <w:shd w:val="clear" w:color="auto" w:fill="auto"/>
            <w:vAlign w:val="center"/>
            <w:hideMark/>
          </w:tcPr>
          <w:p w14:paraId="3338557E" w14:textId="77777777" w:rsidR="0041599B" w:rsidRPr="00FD7B0B" w:rsidRDefault="0041599B" w:rsidP="003E0F7E">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0" w:type="dxa"/>
            <w:tcBorders>
              <w:top w:val="nil"/>
              <w:left w:val="nil"/>
              <w:bottom w:val="double" w:sz="4" w:space="0" w:color="auto"/>
              <w:right w:val="single" w:sz="4" w:space="0" w:color="auto"/>
            </w:tcBorders>
            <w:shd w:val="clear" w:color="auto" w:fill="auto"/>
            <w:vAlign w:val="center"/>
            <w:hideMark/>
          </w:tcPr>
          <w:p w14:paraId="13349041" w14:textId="77777777" w:rsidR="0041599B" w:rsidRPr="00FD7B0B" w:rsidRDefault="0041599B" w:rsidP="003E0F7E">
            <w:pPr>
              <w:spacing w:after="0" w:line="240" w:lineRule="auto"/>
              <w:jc w:val="right"/>
              <w:rPr>
                <w:rFonts w:ascii="Times New Roman" w:hAnsi="Times New Roman" w:cs="Times New Roman"/>
              </w:rPr>
            </w:pPr>
            <w:r w:rsidRPr="00FD7B0B">
              <w:rPr>
                <w:rFonts w:ascii="Times New Roman" w:hAnsi="Times New Roman" w:cs="Times New Roman"/>
              </w:rPr>
              <w:t xml:space="preserve">-208,2 </w:t>
            </w:r>
          </w:p>
        </w:tc>
        <w:tc>
          <w:tcPr>
            <w:tcW w:w="814" w:type="dxa"/>
            <w:tcBorders>
              <w:top w:val="nil"/>
              <w:left w:val="nil"/>
              <w:bottom w:val="double" w:sz="4" w:space="0" w:color="auto"/>
              <w:right w:val="double" w:sz="4" w:space="0" w:color="auto"/>
            </w:tcBorders>
            <w:shd w:val="clear" w:color="auto" w:fill="auto"/>
            <w:vAlign w:val="center"/>
            <w:hideMark/>
          </w:tcPr>
          <w:p w14:paraId="628EBA0B" w14:textId="77777777" w:rsidR="0041599B" w:rsidRPr="00FD7B0B" w:rsidRDefault="0041599B" w:rsidP="003E0F7E">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bl>
    <w:p w14:paraId="21C64136" w14:textId="77777777" w:rsidR="0041599B" w:rsidRPr="00FD7B0B" w:rsidRDefault="0041599B" w:rsidP="00BC2499">
      <w:pPr>
        <w:spacing w:after="0" w:line="240" w:lineRule="auto"/>
        <w:ind w:firstLine="709"/>
        <w:jc w:val="both"/>
        <w:rPr>
          <w:rFonts w:ascii="Times New Roman" w:eastAsia="Calibri" w:hAnsi="Times New Roman" w:cs="Times New Roman"/>
          <w:sz w:val="28"/>
          <w:szCs w:val="28"/>
        </w:rPr>
      </w:pPr>
    </w:p>
    <w:p w14:paraId="52A52688" w14:textId="23A9A1D1" w:rsidR="00955D3A" w:rsidRPr="00FD7B0B" w:rsidRDefault="00955D3A" w:rsidP="00955D3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элементу вида расходов 853 «Уплата иных платежей» расходы за 2024 год составили 181,1 млн.руб., что в 12,6 раза или на 166,7 млн.руб. больше чем за 2023 год, из них за счет возврата средств в федеральный бюджет – 163,6 тыс.руб., в т.ч.:</w:t>
      </w:r>
    </w:p>
    <w:p w14:paraId="28B7E2DF" w14:textId="77777777" w:rsidR="005C3EB7" w:rsidRPr="00FD7B0B" w:rsidRDefault="005C3EB7" w:rsidP="0063072B">
      <w:pPr>
        <w:pStyle w:val="a8"/>
        <w:numPr>
          <w:ilvl w:val="0"/>
          <w:numId w:val="10"/>
        </w:numPr>
        <w:ind w:left="0" w:firstLine="704"/>
        <w:jc w:val="both"/>
        <w:rPr>
          <w:sz w:val="28"/>
          <w:szCs w:val="28"/>
        </w:rPr>
      </w:pPr>
      <w:r w:rsidRPr="00FD7B0B">
        <w:rPr>
          <w:sz w:val="28"/>
          <w:szCs w:val="28"/>
        </w:rPr>
        <w:t>в связи с невыполнением условий соглашений за 2021 год (направление расходов 70980) – 26,2 млн.руб., из них по реализации региональных проектов модернизации первичного звена здравоохранения за 2021 год – 23,9 млн.руб.;</w:t>
      </w:r>
    </w:p>
    <w:p w14:paraId="70670A17" w14:textId="3C1853A9" w:rsidR="0041599B" w:rsidRPr="00FD7B0B" w:rsidRDefault="0041599B" w:rsidP="0063072B">
      <w:pPr>
        <w:pStyle w:val="a8"/>
        <w:numPr>
          <w:ilvl w:val="0"/>
          <w:numId w:val="10"/>
        </w:numPr>
        <w:ind w:left="0" w:firstLine="704"/>
        <w:jc w:val="both"/>
        <w:rPr>
          <w:sz w:val="28"/>
          <w:szCs w:val="28"/>
        </w:rPr>
      </w:pPr>
      <w:r w:rsidRPr="00FD7B0B">
        <w:rPr>
          <w:sz w:val="28"/>
          <w:szCs w:val="28"/>
        </w:rPr>
        <w:t xml:space="preserve">в связи с расторжением соглашений о предоставлении субсидий из федерального бюджета бюджету Архангельской области – 137,5 млн.руб. по объекту «Проектирование и строительство средней общеобразовательной школы на 240 мест в поселке Оксовский Плесецкого муниципального округа Архангельской области», которые в 2022 – 2023 годах </w:t>
      </w:r>
      <w:r w:rsidR="009C55DF" w:rsidRPr="00FD7B0B">
        <w:rPr>
          <w:sz w:val="28"/>
          <w:szCs w:val="28"/>
        </w:rPr>
        <w:t>направлены</w:t>
      </w:r>
      <w:r w:rsidRPr="00FD7B0B">
        <w:rPr>
          <w:sz w:val="28"/>
          <w:szCs w:val="28"/>
        </w:rPr>
        <w:t xml:space="preserve"> в бюджет Плесецкого муниципального округа. В результате действий подрядчика (АО «Авиапромстрой») возникла необходимость сноса объекта незавершенного строительства, выполненного указанным подрядчиком. 22.12.2023 заключен контракт с новой подрядной организацией со сроком завершения работ до 15.12.2025. Всего за 2022 – 2023 году на указанный объект было перечислено из областного бюджета 140,3 млн.руб., из них за счет областного бюджета – 2,8 млн.руб., федерального бюджета – 137,5 млн.руб. Из бюджета Плесецкого муниципального округа, выделенные средства на данный объект в </w:t>
      </w:r>
      <w:r w:rsidR="009C55DF" w:rsidRPr="00FD7B0B">
        <w:rPr>
          <w:sz w:val="28"/>
          <w:szCs w:val="28"/>
        </w:rPr>
        <w:t>областной бюджет</w:t>
      </w:r>
      <w:r w:rsidRPr="00FD7B0B">
        <w:rPr>
          <w:sz w:val="28"/>
          <w:szCs w:val="28"/>
        </w:rPr>
        <w:t xml:space="preserve"> не возвращались</w:t>
      </w:r>
      <w:r w:rsidR="009C55DF" w:rsidRPr="00FD7B0B">
        <w:rPr>
          <w:sz w:val="28"/>
          <w:szCs w:val="28"/>
        </w:rPr>
        <w:t>.</w:t>
      </w:r>
    </w:p>
    <w:p w14:paraId="3BFB04F9" w14:textId="77777777" w:rsidR="0041599B" w:rsidRPr="00FD7B0B" w:rsidRDefault="0041599B" w:rsidP="009C55DF">
      <w:pPr>
        <w:spacing w:after="0" w:line="240" w:lineRule="auto"/>
        <w:ind w:firstLine="709"/>
        <w:jc w:val="both"/>
        <w:rPr>
          <w:rFonts w:ascii="Times New Roman" w:eastAsia="Calibri" w:hAnsi="Times New Roman" w:cs="Times New Roman"/>
          <w:sz w:val="28"/>
          <w:szCs w:val="28"/>
        </w:rPr>
      </w:pPr>
    </w:p>
    <w:p w14:paraId="27FA9E99" w14:textId="7BD04966" w:rsidR="0041599B" w:rsidRPr="00FD7B0B" w:rsidRDefault="0041599B" w:rsidP="009C55D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Общая сумма контрактуемых расходов из областного бюджета за отчетный период составила 24 052,3 млн.руб. или 97,9 % к плану года и их удельный вес в общей сумме расходов за 2024 год составил 15,7 %. Структура контрактуемых расходов приведена в таблице </w:t>
      </w:r>
      <w:r w:rsidR="008E012B" w:rsidRPr="00FD7B0B">
        <w:rPr>
          <w:rFonts w:ascii="Times New Roman" w:eastAsia="Calibri" w:hAnsi="Times New Roman" w:cs="Times New Roman"/>
          <w:sz w:val="28"/>
          <w:szCs w:val="28"/>
        </w:rPr>
        <w:t>64</w:t>
      </w:r>
      <w:r w:rsidRPr="00FD7B0B">
        <w:rPr>
          <w:rFonts w:ascii="Times New Roman" w:eastAsia="Calibri" w:hAnsi="Times New Roman" w:cs="Times New Roman"/>
          <w:sz w:val="28"/>
          <w:szCs w:val="28"/>
        </w:rPr>
        <w:t>.</w:t>
      </w:r>
    </w:p>
    <w:p w14:paraId="54A31AC3" w14:textId="77777777" w:rsidR="0041599B" w:rsidRPr="00FD7B0B" w:rsidRDefault="0041599B" w:rsidP="00E75D8E">
      <w:pPr>
        <w:pStyle w:val="aff0"/>
        <w:spacing w:after="0" w:line="240" w:lineRule="auto"/>
        <w:rPr>
          <w:rFonts w:ascii="Times New Roman" w:hAnsi="Times New Roman"/>
          <w:b w:val="0"/>
          <w:sz w:val="24"/>
          <w:szCs w:val="24"/>
        </w:rPr>
      </w:pPr>
    </w:p>
    <w:p w14:paraId="10469A1D" w14:textId="77777777" w:rsidR="0041599B" w:rsidRPr="00FD7B0B" w:rsidRDefault="0041599B" w:rsidP="00E75D8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64</w:t>
      </w:r>
      <w:r w:rsidRPr="00FD7B0B">
        <w:rPr>
          <w:rFonts w:ascii="Times New Roman" w:hAnsi="Times New Roman"/>
          <w:b w:val="0"/>
          <w:sz w:val="24"/>
          <w:szCs w:val="24"/>
        </w:rPr>
        <w:fldChar w:fldCharType="end"/>
      </w:r>
      <w:r w:rsidRPr="00FD7B0B">
        <w:rPr>
          <w:rFonts w:ascii="Times New Roman" w:hAnsi="Times New Roman"/>
          <w:b w:val="0"/>
          <w:sz w:val="24"/>
          <w:szCs w:val="24"/>
        </w:rPr>
        <w:t>. Контрактуемые расходов областного бюджета за 2024 год по подгруппам и элементам видов расходов бюджетной классификации РФ, млн.руб.</w:t>
      </w:r>
    </w:p>
    <w:tbl>
      <w:tblPr>
        <w:tblW w:w="9613" w:type="dxa"/>
        <w:tblLook w:val="04A0" w:firstRow="1" w:lastRow="0" w:firstColumn="1" w:lastColumn="0" w:noHBand="0" w:noVBand="1"/>
      </w:tblPr>
      <w:tblGrid>
        <w:gridCol w:w="585"/>
        <w:gridCol w:w="6163"/>
        <w:gridCol w:w="1026"/>
        <w:gridCol w:w="1128"/>
        <w:gridCol w:w="711"/>
      </w:tblGrid>
      <w:tr w:rsidR="00FD7B0B" w:rsidRPr="00FD7B0B" w14:paraId="296A196F" w14:textId="77777777" w:rsidTr="008E012B">
        <w:trPr>
          <w:trHeight w:val="35"/>
          <w:tblHeader/>
        </w:trPr>
        <w:tc>
          <w:tcPr>
            <w:tcW w:w="58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F92F3E4" w14:textId="77777777" w:rsidR="0041599B" w:rsidRPr="00FD7B0B" w:rsidRDefault="0041599B" w:rsidP="00E75D8E">
            <w:pPr>
              <w:spacing w:after="0" w:line="240" w:lineRule="auto"/>
              <w:jc w:val="center"/>
              <w:rPr>
                <w:rFonts w:ascii="Times New Roman" w:hAnsi="Times New Roman" w:cs="Times New Roman"/>
              </w:rPr>
            </w:pPr>
            <w:r w:rsidRPr="00FD7B0B">
              <w:rPr>
                <w:rFonts w:ascii="Times New Roman" w:hAnsi="Times New Roman" w:cs="Times New Roman"/>
              </w:rPr>
              <w:t>Код</w:t>
            </w:r>
          </w:p>
        </w:tc>
        <w:tc>
          <w:tcPr>
            <w:tcW w:w="6163" w:type="dxa"/>
            <w:tcBorders>
              <w:top w:val="double" w:sz="6" w:space="0" w:color="auto"/>
              <w:left w:val="nil"/>
              <w:bottom w:val="single" w:sz="4" w:space="0" w:color="auto"/>
              <w:right w:val="single" w:sz="4" w:space="0" w:color="auto"/>
            </w:tcBorders>
            <w:shd w:val="clear" w:color="auto" w:fill="auto"/>
            <w:vAlign w:val="center"/>
            <w:hideMark/>
          </w:tcPr>
          <w:p w14:paraId="43A37C39" w14:textId="77777777" w:rsidR="0041599B" w:rsidRPr="00FD7B0B" w:rsidRDefault="0041599B" w:rsidP="00E75D8E">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1026" w:type="dxa"/>
            <w:tcBorders>
              <w:top w:val="double" w:sz="6" w:space="0" w:color="auto"/>
              <w:left w:val="nil"/>
              <w:bottom w:val="single" w:sz="4" w:space="0" w:color="auto"/>
              <w:right w:val="single" w:sz="4" w:space="0" w:color="auto"/>
            </w:tcBorders>
            <w:shd w:val="clear" w:color="auto" w:fill="auto"/>
            <w:vAlign w:val="center"/>
            <w:hideMark/>
          </w:tcPr>
          <w:p w14:paraId="71E15D10" w14:textId="77777777" w:rsidR="0041599B" w:rsidRPr="00FD7B0B" w:rsidRDefault="0041599B" w:rsidP="00E75D8E">
            <w:pPr>
              <w:spacing w:after="0" w:line="240" w:lineRule="auto"/>
              <w:jc w:val="center"/>
              <w:rPr>
                <w:rFonts w:ascii="Times New Roman" w:hAnsi="Times New Roman" w:cs="Times New Roman"/>
              </w:rPr>
            </w:pPr>
            <w:r w:rsidRPr="00FD7B0B">
              <w:rPr>
                <w:rFonts w:ascii="Times New Roman" w:hAnsi="Times New Roman" w:cs="Times New Roman"/>
              </w:rPr>
              <w:t>План года</w:t>
            </w:r>
          </w:p>
        </w:tc>
        <w:tc>
          <w:tcPr>
            <w:tcW w:w="1128" w:type="dxa"/>
            <w:tcBorders>
              <w:top w:val="double" w:sz="6" w:space="0" w:color="auto"/>
              <w:left w:val="nil"/>
              <w:bottom w:val="single" w:sz="4" w:space="0" w:color="auto"/>
              <w:right w:val="single" w:sz="4" w:space="0" w:color="auto"/>
            </w:tcBorders>
            <w:shd w:val="clear" w:color="auto" w:fill="auto"/>
            <w:vAlign w:val="center"/>
            <w:hideMark/>
          </w:tcPr>
          <w:p w14:paraId="6DBC1E27" w14:textId="77777777" w:rsidR="0041599B" w:rsidRPr="00FD7B0B" w:rsidRDefault="0041599B" w:rsidP="00E75D8E">
            <w:pPr>
              <w:spacing w:after="0" w:line="240" w:lineRule="auto"/>
              <w:jc w:val="center"/>
              <w:rPr>
                <w:rFonts w:ascii="Times New Roman" w:hAnsi="Times New Roman" w:cs="Times New Roman"/>
              </w:rPr>
            </w:pPr>
            <w:r w:rsidRPr="00FD7B0B">
              <w:rPr>
                <w:rFonts w:ascii="Times New Roman" w:hAnsi="Times New Roman" w:cs="Times New Roman"/>
              </w:rPr>
              <w:t>Испол-нено</w:t>
            </w:r>
          </w:p>
        </w:tc>
        <w:tc>
          <w:tcPr>
            <w:tcW w:w="711" w:type="dxa"/>
            <w:tcBorders>
              <w:top w:val="double" w:sz="6" w:space="0" w:color="auto"/>
              <w:left w:val="nil"/>
              <w:bottom w:val="single" w:sz="4" w:space="0" w:color="auto"/>
              <w:right w:val="double" w:sz="6" w:space="0" w:color="auto"/>
            </w:tcBorders>
            <w:shd w:val="clear" w:color="auto" w:fill="auto"/>
            <w:vAlign w:val="center"/>
            <w:hideMark/>
          </w:tcPr>
          <w:p w14:paraId="64DDBB5F" w14:textId="77777777" w:rsidR="0041599B" w:rsidRPr="00FD7B0B" w:rsidRDefault="0041599B" w:rsidP="00E75D8E">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3501D76E"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665E7CB5"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230</w:t>
            </w:r>
          </w:p>
        </w:tc>
        <w:tc>
          <w:tcPr>
            <w:tcW w:w="6163" w:type="dxa"/>
            <w:tcBorders>
              <w:top w:val="nil"/>
              <w:left w:val="nil"/>
              <w:bottom w:val="single" w:sz="4" w:space="0" w:color="auto"/>
              <w:right w:val="single" w:sz="4" w:space="0" w:color="auto"/>
            </w:tcBorders>
            <w:shd w:val="clear" w:color="auto" w:fill="auto"/>
            <w:vAlign w:val="center"/>
            <w:hideMark/>
          </w:tcPr>
          <w:p w14:paraId="51E30D3C"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Закупка товаров, работ и услуг в целях формирования государственного материального резерва, из них:</w:t>
            </w:r>
          </w:p>
        </w:tc>
        <w:tc>
          <w:tcPr>
            <w:tcW w:w="1026" w:type="dxa"/>
            <w:tcBorders>
              <w:top w:val="nil"/>
              <w:left w:val="nil"/>
              <w:bottom w:val="single" w:sz="4" w:space="0" w:color="auto"/>
              <w:right w:val="single" w:sz="4" w:space="0" w:color="auto"/>
            </w:tcBorders>
            <w:shd w:val="clear" w:color="auto" w:fill="auto"/>
            <w:vAlign w:val="center"/>
            <w:hideMark/>
          </w:tcPr>
          <w:p w14:paraId="0E7F9CB4"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5,8 </w:t>
            </w:r>
          </w:p>
        </w:tc>
        <w:tc>
          <w:tcPr>
            <w:tcW w:w="1128" w:type="dxa"/>
            <w:tcBorders>
              <w:top w:val="nil"/>
              <w:left w:val="nil"/>
              <w:bottom w:val="single" w:sz="4" w:space="0" w:color="auto"/>
              <w:right w:val="single" w:sz="4" w:space="0" w:color="auto"/>
            </w:tcBorders>
            <w:shd w:val="clear" w:color="auto" w:fill="auto"/>
            <w:vAlign w:val="center"/>
            <w:hideMark/>
          </w:tcPr>
          <w:p w14:paraId="50AB5A11"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1,9 </w:t>
            </w:r>
          </w:p>
        </w:tc>
        <w:tc>
          <w:tcPr>
            <w:tcW w:w="711" w:type="dxa"/>
            <w:tcBorders>
              <w:top w:val="nil"/>
              <w:left w:val="nil"/>
              <w:bottom w:val="single" w:sz="4" w:space="0" w:color="auto"/>
              <w:right w:val="double" w:sz="6" w:space="0" w:color="auto"/>
            </w:tcBorders>
            <w:shd w:val="clear" w:color="auto" w:fill="auto"/>
            <w:vAlign w:val="center"/>
            <w:hideMark/>
          </w:tcPr>
          <w:p w14:paraId="58AB0C40"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32,4 </w:t>
            </w:r>
          </w:p>
        </w:tc>
      </w:tr>
      <w:tr w:rsidR="00FD7B0B" w:rsidRPr="00FD7B0B" w14:paraId="09C554CF"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22B26B2F"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232</w:t>
            </w:r>
          </w:p>
        </w:tc>
        <w:tc>
          <w:tcPr>
            <w:tcW w:w="6163" w:type="dxa"/>
            <w:tcBorders>
              <w:top w:val="nil"/>
              <w:left w:val="nil"/>
              <w:bottom w:val="single" w:sz="4" w:space="0" w:color="auto"/>
              <w:right w:val="single" w:sz="4" w:space="0" w:color="auto"/>
            </w:tcBorders>
            <w:shd w:val="clear" w:color="auto" w:fill="auto"/>
            <w:vAlign w:val="center"/>
            <w:hideMark/>
          </w:tcPr>
          <w:p w14:paraId="31C6A3D8"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 xml:space="preserve"> - закупка товаров, работ, услуг в целях обеспечения формирования государственного материального резерва, резервов материальных ресурсов</w:t>
            </w:r>
          </w:p>
        </w:tc>
        <w:tc>
          <w:tcPr>
            <w:tcW w:w="1026" w:type="dxa"/>
            <w:tcBorders>
              <w:top w:val="nil"/>
              <w:left w:val="nil"/>
              <w:bottom w:val="single" w:sz="4" w:space="0" w:color="auto"/>
              <w:right w:val="single" w:sz="4" w:space="0" w:color="auto"/>
            </w:tcBorders>
            <w:shd w:val="clear" w:color="auto" w:fill="auto"/>
            <w:vAlign w:val="center"/>
            <w:hideMark/>
          </w:tcPr>
          <w:p w14:paraId="2C887108"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5,8 </w:t>
            </w:r>
          </w:p>
        </w:tc>
        <w:tc>
          <w:tcPr>
            <w:tcW w:w="1128" w:type="dxa"/>
            <w:tcBorders>
              <w:top w:val="nil"/>
              <w:left w:val="nil"/>
              <w:bottom w:val="single" w:sz="4" w:space="0" w:color="auto"/>
              <w:right w:val="single" w:sz="4" w:space="0" w:color="auto"/>
            </w:tcBorders>
            <w:shd w:val="clear" w:color="auto" w:fill="auto"/>
            <w:vAlign w:val="center"/>
            <w:hideMark/>
          </w:tcPr>
          <w:p w14:paraId="09651866"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1,9 </w:t>
            </w:r>
          </w:p>
        </w:tc>
        <w:tc>
          <w:tcPr>
            <w:tcW w:w="711" w:type="dxa"/>
            <w:tcBorders>
              <w:top w:val="nil"/>
              <w:left w:val="nil"/>
              <w:bottom w:val="single" w:sz="4" w:space="0" w:color="auto"/>
              <w:right w:val="double" w:sz="6" w:space="0" w:color="auto"/>
            </w:tcBorders>
            <w:shd w:val="clear" w:color="auto" w:fill="auto"/>
            <w:vAlign w:val="center"/>
            <w:hideMark/>
          </w:tcPr>
          <w:p w14:paraId="0665C864"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32,4 </w:t>
            </w:r>
          </w:p>
        </w:tc>
      </w:tr>
      <w:tr w:rsidR="00FD7B0B" w:rsidRPr="00FD7B0B" w14:paraId="073C119B"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725350AE"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240</w:t>
            </w:r>
          </w:p>
        </w:tc>
        <w:tc>
          <w:tcPr>
            <w:tcW w:w="6163" w:type="dxa"/>
            <w:tcBorders>
              <w:top w:val="nil"/>
              <w:left w:val="nil"/>
              <w:bottom w:val="single" w:sz="4" w:space="0" w:color="auto"/>
              <w:right w:val="single" w:sz="4" w:space="0" w:color="auto"/>
            </w:tcBorders>
            <w:shd w:val="clear" w:color="auto" w:fill="auto"/>
            <w:vAlign w:val="center"/>
            <w:hideMark/>
          </w:tcPr>
          <w:p w14:paraId="014B07FE"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Иные закупки товаров, работ и услуг для обеспечения государственных (муниципальных) нужд, из них:</w:t>
            </w:r>
          </w:p>
        </w:tc>
        <w:tc>
          <w:tcPr>
            <w:tcW w:w="1026" w:type="dxa"/>
            <w:tcBorders>
              <w:top w:val="nil"/>
              <w:left w:val="nil"/>
              <w:bottom w:val="single" w:sz="4" w:space="0" w:color="auto"/>
              <w:right w:val="single" w:sz="4" w:space="0" w:color="auto"/>
            </w:tcBorders>
            <w:shd w:val="clear" w:color="auto" w:fill="auto"/>
            <w:vAlign w:val="center"/>
            <w:hideMark/>
          </w:tcPr>
          <w:p w14:paraId="367E5A97"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13 894,8 </w:t>
            </w:r>
          </w:p>
        </w:tc>
        <w:tc>
          <w:tcPr>
            <w:tcW w:w="1128" w:type="dxa"/>
            <w:tcBorders>
              <w:top w:val="nil"/>
              <w:left w:val="nil"/>
              <w:bottom w:val="single" w:sz="4" w:space="0" w:color="auto"/>
              <w:right w:val="single" w:sz="4" w:space="0" w:color="auto"/>
            </w:tcBorders>
            <w:shd w:val="clear" w:color="auto" w:fill="auto"/>
            <w:vAlign w:val="center"/>
            <w:hideMark/>
          </w:tcPr>
          <w:p w14:paraId="286618FE"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13 415,4 </w:t>
            </w:r>
          </w:p>
        </w:tc>
        <w:tc>
          <w:tcPr>
            <w:tcW w:w="711" w:type="dxa"/>
            <w:tcBorders>
              <w:top w:val="nil"/>
              <w:left w:val="nil"/>
              <w:bottom w:val="single" w:sz="4" w:space="0" w:color="auto"/>
              <w:right w:val="double" w:sz="6" w:space="0" w:color="auto"/>
            </w:tcBorders>
            <w:shd w:val="clear" w:color="auto" w:fill="auto"/>
            <w:vAlign w:val="center"/>
            <w:hideMark/>
          </w:tcPr>
          <w:p w14:paraId="6FD987CF"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96,6 </w:t>
            </w:r>
          </w:p>
        </w:tc>
      </w:tr>
      <w:tr w:rsidR="00FD7B0B" w:rsidRPr="00FD7B0B" w14:paraId="43617EDA"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267C0F19"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lastRenderedPageBreak/>
              <w:t>241</w:t>
            </w:r>
          </w:p>
        </w:tc>
        <w:tc>
          <w:tcPr>
            <w:tcW w:w="6163" w:type="dxa"/>
            <w:tcBorders>
              <w:top w:val="nil"/>
              <w:left w:val="nil"/>
              <w:bottom w:val="single" w:sz="4" w:space="0" w:color="auto"/>
              <w:right w:val="single" w:sz="4" w:space="0" w:color="auto"/>
            </w:tcBorders>
            <w:shd w:val="clear" w:color="auto" w:fill="auto"/>
            <w:vAlign w:val="center"/>
            <w:hideMark/>
          </w:tcPr>
          <w:p w14:paraId="005BF6DF"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 xml:space="preserve"> - научно-исследовательские, опытно-конструкторские и технологические работы</w:t>
            </w:r>
          </w:p>
        </w:tc>
        <w:tc>
          <w:tcPr>
            <w:tcW w:w="1026" w:type="dxa"/>
            <w:tcBorders>
              <w:top w:val="nil"/>
              <w:left w:val="nil"/>
              <w:bottom w:val="single" w:sz="4" w:space="0" w:color="auto"/>
              <w:right w:val="single" w:sz="4" w:space="0" w:color="auto"/>
            </w:tcBorders>
            <w:shd w:val="clear" w:color="auto" w:fill="auto"/>
            <w:vAlign w:val="center"/>
            <w:hideMark/>
          </w:tcPr>
          <w:p w14:paraId="631A72BF"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48,1 </w:t>
            </w:r>
          </w:p>
        </w:tc>
        <w:tc>
          <w:tcPr>
            <w:tcW w:w="1128" w:type="dxa"/>
            <w:tcBorders>
              <w:top w:val="nil"/>
              <w:left w:val="nil"/>
              <w:bottom w:val="single" w:sz="4" w:space="0" w:color="auto"/>
              <w:right w:val="single" w:sz="4" w:space="0" w:color="auto"/>
            </w:tcBorders>
            <w:shd w:val="clear" w:color="auto" w:fill="auto"/>
            <w:vAlign w:val="center"/>
            <w:hideMark/>
          </w:tcPr>
          <w:p w14:paraId="08B0E9E6"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1,9 </w:t>
            </w:r>
          </w:p>
        </w:tc>
        <w:tc>
          <w:tcPr>
            <w:tcW w:w="711" w:type="dxa"/>
            <w:tcBorders>
              <w:top w:val="nil"/>
              <w:left w:val="nil"/>
              <w:bottom w:val="single" w:sz="4" w:space="0" w:color="auto"/>
              <w:right w:val="double" w:sz="6" w:space="0" w:color="auto"/>
            </w:tcBorders>
            <w:shd w:val="clear" w:color="auto" w:fill="auto"/>
            <w:vAlign w:val="center"/>
            <w:hideMark/>
          </w:tcPr>
          <w:p w14:paraId="0609DC9F"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3,9 </w:t>
            </w:r>
          </w:p>
        </w:tc>
      </w:tr>
      <w:tr w:rsidR="00FD7B0B" w:rsidRPr="00FD7B0B" w14:paraId="6E3A3124"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0E4C48CA"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243</w:t>
            </w:r>
          </w:p>
        </w:tc>
        <w:tc>
          <w:tcPr>
            <w:tcW w:w="6163" w:type="dxa"/>
            <w:tcBorders>
              <w:top w:val="nil"/>
              <w:left w:val="nil"/>
              <w:bottom w:val="single" w:sz="4" w:space="0" w:color="auto"/>
              <w:right w:val="single" w:sz="4" w:space="0" w:color="auto"/>
            </w:tcBorders>
            <w:shd w:val="clear" w:color="auto" w:fill="auto"/>
            <w:vAlign w:val="center"/>
            <w:hideMark/>
          </w:tcPr>
          <w:p w14:paraId="1F912DD3"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 xml:space="preserve"> - закупка товаров, работ, услуг в целях капитального ремонта государственного (муниципального) имущества</w:t>
            </w:r>
          </w:p>
        </w:tc>
        <w:tc>
          <w:tcPr>
            <w:tcW w:w="1026" w:type="dxa"/>
            <w:tcBorders>
              <w:top w:val="nil"/>
              <w:left w:val="nil"/>
              <w:bottom w:val="single" w:sz="4" w:space="0" w:color="auto"/>
              <w:right w:val="single" w:sz="4" w:space="0" w:color="auto"/>
            </w:tcBorders>
            <w:shd w:val="clear" w:color="auto" w:fill="auto"/>
            <w:vAlign w:val="center"/>
            <w:hideMark/>
          </w:tcPr>
          <w:p w14:paraId="1F97B339"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3 298,3 </w:t>
            </w:r>
          </w:p>
        </w:tc>
        <w:tc>
          <w:tcPr>
            <w:tcW w:w="1128" w:type="dxa"/>
            <w:tcBorders>
              <w:top w:val="nil"/>
              <w:left w:val="nil"/>
              <w:bottom w:val="single" w:sz="4" w:space="0" w:color="auto"/>
              <w:right w:val="single" w:sz="4" w:space="0" w:color="auto"/>
            </w:tcBorders>
            <w:shd w:val="clear" w:color="auto" w:fill="auto"/>
            <w:vAlign w:val="center"/>
            <w:hideMark/>
          </w:tcPr>
          <w:p w14:paraId="19C354B2"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3 249,4 </w:t>
            </w:r>
          </w:p>
        </w:tc>
        <w:tc>
          <w:tcPr>
            <w:tcW w:w="711" w:type="dxa"/>
            <w:tcBorders>
              <w:top w:val="nil"/>
              <w:left w:val="nil"/>
              <w:bottom w:val="single" w:sz="4" w:space="0" w:color="auto"/>
              <w:right w:val="double" w:sz="6" w:space="0" w:color="auto"/>
            </w:tcBorders>
            <w:shd w:val="clear" w:color="auto" w:fill="auto"/>
            <w:vAlign w:val="center"/>
            <w:hideMark/>
          </w:tcPr>
          <w:p w14:paraId="7594F2F9"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98,5 </w:t>
            </w:r>
          </w:p>
        </w:tc>
      </w:tr>
      <w:tr w:rsidR="00FD7B0B" w:rsidRPr="00FD7B0B" w14:paraId="5C4E9680"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497C277E"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244</w:t>
            </w:r>
          </w:p>
        </w:tc>
        <w:tc>
          <w:tcPr>
            <w:tcW w:w="6163" w:type="dxa"/>
            <w:tcBorders>
              <w:top w:val="nil"/>
              <w:left w:val="nil"/>
              <w:bottom w:val="single" w:sz="4" w:space="0" w:color="auto"/>
              <w:right w:val="single" w:sz="4" w:space="0" w:color="auto"/>
            </w:tcBorders>
            <w:shd w:val="clear" w:color="auto" w:fill="auto"/>
            <w:vAlign w:val="center"/>
            <w:hideMark/>
          </w:tcPr>
          <w:p w14:paraId="3B03D887"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 xml:space="preserve"> - прочая закупка товаров, работ и услуг</w:t>
            </w:r>
          </w:p>
        </w:tc>
        <w:tc>
          <w:tcPr>
            <w:tcW w:w="1026" w:type="dxa"/>
            <w:tcBorders>
              <w:top w:val="nil"/>
              <w:left w:val="nil"/>
              <w:bottom w:val="single" w:sz="4" w:space="0" w:color="auto"/>
              <w:right w:val="single" w:sz="4" w:space="0" w:color="auto"/>
            </w:tcBorders>
            <w:shd w:val="clear" w:color="auto" w:fill="auto"/>
            <w:vAlign w:val="center"/>
            <w:hideMark/>
          </w:tcPr>
          <w:p w14:paraId="1D967F06"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10 337,7 </w:t>
            </w:r>
          </w:p>
        </w:tc>
        <w:tc>
          <w:tcPr>
            <w:tcW w:w="1128" w:type="dxa"/>
            <w:tcBorders>
              <w:top w:val="nil"/>
              <w:left w:val="nil"/>
              <w:bottom w:val="single" w:sz="4" w:space="0" w:color="auto"/>
              <w:right w:val="single" w:sz="4" w:space="0" w:color="auto"/>
            </w:tcBorders>
            <w:shd w:val="clear" w:color="auto" w:fill="auto"/>
            <w:vAlign w:val="center"/>
            <w:hideMark/>
          </w:tcPr>
          <w:p w14:paraId="3193C3B3"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9 966,4 </w:t>
            </w:r>
          </w:p>
        </w:tc>
        <w:tc>
          <w:tcPr>
            <w:tcW w:w="711" w:type="dxa"/>
            <w:tcBorders>
              <w:top w:val="nil"/>
              <w:left w:val="nil"/>
              <w:bottom w:val="single" w:sz="4" w:space="0" w:color="auto"/>
              <w:right w:val="double" w:sz="6" w:space="0" w:color="auto"/>
            </w:tcBorders>
            <w:shd w:val="clear" w:color="auto" w:fill="auto"/>
            <w:vAlign w:val="center"/>
            <w:hideMark/>
          </w:tcPr>
          <w:p w14:paraId="0CC77E8D"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96,4 </w:t>
            </w:r>
          </w:p>
        </w:tc>
      </w:tr>
      <w:tr w:rsidR="00FD7B0B" w:rsidRPr="00FD7B0B" w14:paraId="23A68B14"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4DF09DF1"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247</w:t>
            </w:r>
          </w:p>
        </w:tc>
        <w:tc>
          <w:tcPr>
            <w:tcW w:w="6163" w:type="dxa"/>
            <w:tcBorders>
              <w:top w:val="nil"/>
              <w:left w:val="nil"/>
              <w:bottom w:val="single" w:sz="4" w:space="0" w:color="auto"/>
              <w:right w:val="single" w:sz="4" w:space="0" w:color="auto"/>
            </w:tcBorders>
            <w:shd w:val="clear" w:color="auto" w:fill="auto"/>
            <w:vAlign w:val="center"/>
            <w:hideMark/>
          </w:tcPr>
          <w:p w14:paraId="22E8008B"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 xml:space="preserve"> - закупка энергетических ресурсов</w:t>
            </w:r>
          </w:p>
        </w:tc>
        <w:tc>
          <w:tcPr>
            <w:tcW w:w="1026" w:type="dxa"/>
            <w:tcBorders>
              <w:top w:val="nil"/>
              <w:left w:val="nil"/>
              <w:bottom w:val="single" w:sz="4" w:space="0" w:color="auto"/>
              <w:right w:val="single" w:sz="4" w:space="0" w:color="auto"/>
            </w:tcBorders>
            <w:shd w:val="clear" w:color="auto" w:fill="auto"/>
            <w:vAlign w:val="center"/>
            <w:hideMark/>
          </w:tcPr>
          <w:p w14:paraId="39698DBE"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210,7 </w:t>
            </w:r>
          </w:p>
        </w:tc>
        <w:tc>
          <w:tcPr>
            <w:tcW w:w="1128" w:type="dxa"/>
            <w:tcBorders>
              <w:top w:val="nil"/>
              <w:left w:val="nil"/>
              <w:bottom w:val="single" w:sz="4" w:space="0" w:color="auto"/>
              <w:right w:val="single" w:sz="4" w:space="0" w:color="auto"/>
            </w:tcBorders>
            <w:shd w:val="clear" w:color="auto" w:fill="auto"/>
            <w:vAlign w:val="center"/>
            <w:hideMark/>
          </w:tcPr>
          <w:p w14:paraId="216F832C"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197,8 </w:t>
            </w:r>
          </w:p>
        </w:tc>
        <w:tc>
          <w:tcPr>
            <w:tcW w:w="711" w:type="dxa"/>
            <w:tcBorders>
              <w:top w:val="nil"/>
              <w:left w:val="nil"/>
              <w:bottom w:val="single" w:sz="4" w:space="0" w:color="auto"/>
              <w:right w:val="double" w:sz="6" w:space="0" w:color="auto"/>
            </w:tcBorders>
            <w:shd w:val="clear" w:color="auto" w:fill="auto"/>
            <w:vAlign w:val="center"/>
            <w:hideMark/>
          </w:tcPr>
          <w:p w14:paraId="4E07FDF5"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93,9 </w:t>
            </w:r>
          </w:p>
        </w:tc>
      </w:tr>
      <w:tr w:rsidR="00FD7B0B" w:rsidRPr="00FD7B0B" w14:paraId="487DE5A5"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47324765"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323</w:t>
            </w:r>
          </w:p>
        </w:tc>
        <w:tc>
          <w:tcPr>
            <w:tcW w:w="6163" w:type="dxa"/>
            <w:tcBorders>
              <w:top w:val="nil"/>
              <w:left w:val="nil"/>
              <w:bottom w:val="single" w:sz="4" w:space="0" w:color="auto"/>
              <w:right w:val="single" w:sz="4" w:space="0" w:color="auto"/>
            </w:tcBorders>
            <w:shd w:val="clear" w:color="auto" w:fill="auto"/>
            <w:vAlign w:val="center"/>
            <w:hideMark/>
          </w:tcPr>
          <w:p w14:paraId="6EE9D251"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Приобретение товаров, работ, услуг в пользу граждан в целях их социального обеспечения</w:t>
            </w:r>
          </w:p>
        </w:tc>
        <w:tc>
          <w:tcPr>
            <w:tcW w:w="1026" w:type="dxa"/>
            <w:tcBorders>
              <w:top w:val="nil"/>
              <w:left w:val="nil"/>
              <w:bottom w:val="single" w:sz="4" w:space="0" w:color="auto"/>
              <w:right w:val="single" w:sz="4" w:space="0" w:color="auto"/>
            </w:tcBorders>
            <w:shd w:val="clear" w:color="auto" w:fill="auto"/>
            <w:vAlign w:val="center"/>
            <w:hideMark/>
          </w:tcPr>
          <w:p w14:paraId="1B366B75"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4 073,7 </w:t>
            </w:r>
          </w:p>
        </w:tc>
        <w:tc>
          <w:tcPr>
            <w:tcW w:w="1128" w:type="dxa"/>
            <w:tcBorders>
              <w:top w:val="nil"/>
              <w:left w:val="nil"/>
              <w:bottom w:val="single" w:sz="4" w:space="0" w:color="auto"/>
              <w:right w:val="single" w:sz="4" w:space="0" w:color="auto"/>
            </w:tcBorders>
            <w:shd w:val="clear" w:color="auto" w:fill="auto"/>
            <w:vAlign w:val="center"/>
            <w:hideMark/>
          </w:tcPr>
          <w:p w14:paraId="11C52F10"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4 072,9 </w:t>
            </w:r>
          </w:p>
        </w:tc>
        <w:tc>
          <w:tcPr>
            <w:tcW w:w="711" w:type="dxa"/>
            <w:tcBorders>
              <w:top w:val="nil"/>
              <w:left w:val="nil"/>
              <w:bottom w:val="single" w:sz="4" w:space="0" w:color="auto"/>
              <w:right w:val="double" w:sz="6" w:space="0" w:color="auto"/>
            </w:tcBorders>
            <w:shd w:val="clear" w:color="auto" w:fill="auto"/>
            <w:vAlign w:val="center"/>
            <w:hideMark/>
          </w:tcPr>
          <w:p w14:paraId="54AB3E32"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314AF60B"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20DFD0D9"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410</w:t>
            </w:r>
          </w:p>
        </w:tc>
        <w:tc>
          <w:tcPr>
            <w:tcW w:w="6163" w:type="dxa"/>
            <w:tcBorders>
              <w:top w:val="nil"/>
              <w:left w:val="nil"/>
              <w:bottom w:val="single" w:sz="4" w:space="0" w:color="auto"/>
              <w:right w:val="single" w:sz="4" w:space="0" w:color="auto"/>
            </w:tcBorders>
            <w:shd w:val="clear" w:color="auto" w:fill="auto"/>
            <w:vAlign w:val="center"/>
            <w:hideMark/>
          </w:tcPr>
          <w:p w14:paraId="455BC982"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Бюджетные инвестиции, из них:</w:t>
            </w:r>
          </w:p>
        </w:tc>
        <w:tc>
          <w:tcPr>
            <w:tcW w:w="1026" w:type="dxa"/>
            <w:tcBorders>
              <w:top w:val="nil"/>
              <w:left w:val="nil"/>
              <w:bottom w:val="single" w:sz="4" w:space="0" w:color="auto"/>
              <w:right w:val="single" w:sz="4" w:space="0" w:color="auto"/>
            </w:tcBorders>
            <w:shd w:val="clear" w:color="auto" w:fill="auto"/>
            <w:vAlign w:val="center"/>
            <w:hideMark/>
          </w:tcPr>
          <w:p w14:paraId="6D4E4E4D"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6 600,0 </w:t>
            </w:r>
          </w:p>
        </w:tc>
        <w:tc>
          <w:tcPr>
            <w:tcW w:w="1128" w:type="dxa"/>
            <w:tcBorders>
              <w:top w:val="nil"/>
              <w:left w:val="nil"/>
              <w:bottom w:val="single" w:sz="4" w:space="0" w:color="auto"/>
              <w:right w:val="single" w:sz="4" w:space="0" w:color="auto"/>
            </w:tcBorders>
            <w:shd w:val="clear" w:color="auto" w:fill="auto"/>
            <w:vAlign w:val="center"/>
            <w:hideMark/>
          </w:tcPr>
          <w:p w14:paraId="701EC426"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6 562,2 </w:t>
            </w:r>
          </w:p>
        </w:tc>
        <w:tc>
          <w:tcPr>
            <w:tcW w:w="711" w:type="dxa"/>
            <w:tcBorders>
              <w:top w:val="nil"/>
              <w:left w:val="nil"/>
              <w:bottom w:val="single" w:sz="4" w:space="0" w:color="auto"/>
              <w:right w:val="double" w:sz="6" w:space="0" w:color="auto"/>
            </w:tcBorders>
            <w:shd w:val="clear" w:color="auto" w:fill="auto"/>
            <w:vAlign w:val="center"/>
            <w:hideMark/>
          </w:tcPr>
          <w:p w14:paraId="6757E076"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99,4 </w:t>
            </w:r>
          </w:p>
        </w:tc>
      </w:tr>
      <w:tr w:rsidR="00FD7B0B" w:rsidRPr="00FD7B0B" w14:paraId="0FAD6D6B"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23CDE268"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412</w:t>
            </w:r>
          </w:p>
        </w:tc>
        <w:tc>
          <w:tcPr>
            <w:tcW w:w="6163" w:type="dxa"/>
            <w:tcBorders>
              <w:top w:val="nil"/>
              <w:left w:val="nil"/>
              <w:bottom w:val="single" w:sz="4" w:space="0" w:color="auto"/>
              <w:right w:val="single" w:sz="4" w:space="0" w:color="auto"/>
            </w:tcBorders>
            <w:shd w:val="clear" w:color="auto" w:fill="auto"/>
            <w:vAlign w:val="center"/>
            <w:hideMark/>
          </w:tcPr>
          <w:p w14:paraId="2C738487"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 xml:space="preserve"> - бюджетные инвестиции на приобретение объектов недвижимого имущества…</w:t>
            </w:r>
          </w:p>
        </w:tc>
        <w:tc>
          <w:tcPr>
            <w:tcW w:w="1026" w:type="dxa"/>
            <w:tcBorders>
              <w:top w:val="nil"/>
              <w:left w:val="nil"/>
              <w:bottom w:val="single" w:sz="4" w:space="0" w:color="auto"/>
              <w:right w:val="single" w:sz="4" w:space="0" w:color="auto"/>
            </w:tcBorders>
            <w:shd w:val="clear" w:color="auto" w:fill="auto"/>
            <w:vAlign w:val="center"/>
            <w:hideMark/>
          </w:tcPr>
          <w:p w14:paraId="66AFF33A"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112,1 </w:t>
            </w:r>
          </w:p>
        </w:tc>
        <w:tc>
          <w:tcPr>
            <w:tcW w:w="1128" w:type="dxa"/>
            <w:tcBorders>
              <w:top w:val="nil"/>
              <w:left w:val="nil"/>
              <w:bottom w:val="single" w:sz="4" w:space="0" w:color="auto"/>
              <w:right w:val="single" w:sz="4" w:space="0" w:color="auto"/>
            </w:tcBorders>
            <w:shd w:val="clear" w:color="auto" w:fill="auto"/>
            <w:vAlign w:val="center"/>
            <w:hideMark/>
          </w:tcPr>
          <w:p w14:paraId="0712DD27"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112,1 </w:t>
            </w:r>
          </w:p>
        </w:tc>
        <w:tc>
          <w:tcPr>
            <w:tcW w:w="711" w:type="dxa"/>
            <w:tcBorders>
              <w:top w:val="nil"/>
              <w:left w:val="nil"/>
              <w:bottom w:val="single" w:sz="4" w:space="0" w:color="auto"/>
              <w:right w:val="double" w:sz="6" w:space="0" w:color="auto"/>
            </w:tcBorders>
            <w:shd w:val="clear" w:color="auto" w:fill="auto"/>
            <w:vAlign w:val="center"/>
            <w:hideMark/>
          </w:tcPr>
          <w:p w14:paraId="79BAD5EA"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1D3488C" w14:textId="77777777" w:rsidTr="008E012B">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0B4B5BA5"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414</w:t>
            </w:r>
          </w:p>
        </w:tc>
        <w:tc>
          <w:tcPr>
            <w:tcW w:w="6163" w:type="dxa"/>
            <w:tcBorders>
              <w:top w:val="nil"/>
              <w:left w:val="nil"/>
              <w:bottom w:val="single" w:sz="4" w:space="0" w:color="auto"/>
              <w:right w:val="single" w:sz="4" w:space="0" w:color="auto"/>
            </w:tcBorders>
            <w:shd w:val="clear" w:color="auto" w:fill="auto"/>
            <w:vAlign w:val="center"/>
            <w:hideMark/>
          </w:tcPr>
          <w:p w14:paraId="65077E23"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 xml:space="preserve"> - бюджетные инвестиции в объекты капитального строительства…</w:t>
            </w:r>
          </w:p>
        </w:tc>
        <w:tc>
          <w:tcPr>
            <w:tcW w:w="1026" w:type="dxa"/>
            <w:tcBorders>
              <w:top w:val="nil"/>
              <w:left w:val="nil"/>
              <w:bottom w:val="single" w:sz="4" w:space="0" w:color="auto"/>
              <w:right w:val="single" w:sz="4" w:space="0" w:color="auto"/>
            </w:tcBorders>
            <w:shd w:val="clear" w:color="auto" w:fill="auto"/>
            <w:vAlign w:val="center"/>
            <w:hideMark/>
          </w:tcPr>
          <w:p w14:paraId="6B7F0391"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6 488,0 </w:t>
            </w:r>
          </w:p>
        </w:tc>
        <w:tc>
          <w:tcPr>
            <w:tcW w:w="1128" w:type="dxa"/>
            <w:tcBorders>
              <w:top w:val="nil"/>
              <w:left w:val="nil"/>
              <w:bottom w:val="single" w:sz="4" w:space="0" w:color="auto"/>
              <w:right w:val="single" w:sz="4" w:space="0" w:color="auto"/>
            </w:tcBorders>
            <w:shd w:val="clear" w:color="auto" w:fill="auto"/>
            <w:vAlign w:val="center"/>
            <w:hideMark/>
          </w:tcPr>
          <w:p w14:paraId="02B8BF60"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6 450,1 </w:t>
            </w:r>
          </w:p>
        </w:tc>
        <w:tc>
          <w:tcPr>
            <w:tcW w:w="711" w:type="dxa"/>
            <w:tcBorders>
              <w:top w:val="nil"/>
              <w:left w:val="nil"/>
              <w:bottom w:val="single" w:sz="4" w:space="0" w:color="auto"/>
              <w:right w:val="double" w:sz="6" w:space="0" w:color="auto"/>
            </w:tcBorders>
            <w:shd w:val="clear" w:color="auto" w:fill="auto"/>
            <w:vAlign w:val="center"/>
            <w:hideMark/>
          </w:tcPr>
          <w:p w14:paraId="0492765C"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99,4 </w:t>
            </w:r>
          </w:p>
        </w:tc>
      </w:tr>
      <w:tr w:rsidR="0041599B" w:rsidRPr="00FD7B0B" w14:paraId="0785F0E4" w14:textId="77777777" w:rsidTr="008E012B">
        <w:trPr>
          <w:trHeight w:val="70"/>
        </w:trPr>
        <w:tc>
          <w:tcPr>
            <w:tcW w:w="6748"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2192D1E8" w14:textId="77777777" w:rsidR="0041599B" w:rsidRPr="00FD7B0B" w:rsidRDefault="0041599B" w:rsidP="00E75D8E">
            <w:pPr>
              <w:spacing w:after="0" w:line="240" w:lineRule="auto"/>
              <w:rPr>
                <w:rFonts w:ascii="Times New Roman" w:hAnsi="Times New Roman" w:cs="Times New Roman"/>
              </w:rPr>
            </w:pPr>
            <w:r w:rsidRPr="00FD7B0B">
              <w:rPr>
                <w:rFonts w:ascii="Times New Roman" w:hAnsi="Times New Roman" w:cs="Times New Roman"/>
              </w:rPr>
              <w:t>Итого контрактуемые расходы</w:t>
            </w:r>
          </w:p>
        </w:tc>
        <w:tc>
          <w:tcPr>
            <w:tcW w:w="1026" w:type="dxa"/>
            <w:tcBorders>
              <w:top w:val="single" w:sz="4" w:space="0" w:color="auto"/>
              <w:left w:val="nil"/>
              <w:bottom w:val="double" w:sz="6" w:space="0" w:color="auto"/>
              <w:right w:val="single" w:sz="4" w:space="0" w:color="auto"/>
            </w:tcBorders>
            <w:shd w:val="clear" w:color="auto" w:fill="auto"/>
            <w:vAlign w:val="center"/>
            <w:hideMark/>
          </w:tcPr>
          <w:p w14:paraId="188B7E91"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24 574,3 </w:t>
            </w:r>
          </w:p>
        </w:tc>
        <w:tc>
          <w:tcPr>
            <w:tcW w:w="1128" w:type="dxa"/>
            <w:tcBorders>
              <w:top w:val="single" w:sz="4" w:space="0" w:color="auto"/>
              <w:left w:val="nil"/>
              <w:bottom w:val="double" w:sz="6" w:space="0" w:color="auto"/>
              <w:right w:val="single" w:sz="4" w:space="0" w:color="auto"/>
            </w:tcBorders>
            <w:shd w:val="clear" w:color="auto" w:fill="auto"/>
            <w:vAlign w:val="center"/>
            <w:hideMark/>
          </w:tcPr>
          <w:p w14:paraId="3A8336A0"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24 052,3 </w:t>
            </w:r>
          </w:p>
        </w:tc>
        <w:tc>
          <w:tcPr>
            <w:tcW w:w="711" w:type="dxa"/>
            <w:tcBorders>
              <w:top w:val="nil"/>
              <w:left w:val="nil"/>
              <w:bottom w:val="double" w:sz="6" w:space="0" w:color="auto"/>
              <w:right w:val="double" w:sz="6" w:space="0" w:color="auto"/>
            </w:tcBorders>
            <w:shd w:val="clear" w:color="auto" w:fill="auto"/>
            <w:vAlign w:val="center"/>
            <w:hideMark/>
          </w:tcPr>
          <w:p w14:paraId="56D36992" w14:textId="77777777" w:rsidR="0041599B" w:rsidRPr="00FD7B0B" w:rsidRDefault="0041599B" w:rsidP="00E75D8E">
            <w:pPr>
              <w:spacing w:after="0" w:line="240" w:lineRule="auto"/>
              <w:jc w:val="right"/>
              <w:rPr>
                <w:rFonts w:ascii="Times New Roman" w:hAnsi="Times New Roman" w:cs="Times New Roman"/>
              </w:rPr>
            </w:pPr>
            <w:r w:rsidRPr="00FD7B0B">
              <w:rPr>
                <w:rFonts w:ascii="Times New Roman" w:hAnsi="Times New Roman" w:cs="Times New Roman"/>
              </w:rPr>
              <w:t xml:space="preserve">97,9 </w:t>
            </w:r>
          </w:p>
        </w:tc>
      </w:tr>
    </w:tbl>
    <w:p w14:paraId="38770F0E" w14:textId="77777777" w:rsidR="0041599B" w:rsidRPr="00FD7B0B" w:rsidRDefault="0041599B" w:rsidP="00BE13F4">
      <w:pPr>
        <w:spacing w:after="0" w:line="240" w:lineRule="auto"/>
        <w:ind w:firstLine="709"/>
        <w:jc w:val="both"/>
        <w:rPr>
          <w:rFonts w:ascii="Times New Roman" w:eastAsia="Calibri" w:hAnsi="Times New Roman" w:cs="Times New Roman"/>
          <w:sz w:val="28"/>
          <w:szCs w:val="28"/>
        </w:rPr>
      </w:pPr>
    </w:p>
    <w:p w14:paraId="4A8956B7" w14:textId="77777777" w:rsidR="0041599B" w:rsidRPr="00FD7B0B" w:rsidRDefault="0041599B" w:rsidP="00BE13F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сравнению с контрактуемыми расходами за 2023 год расходы отчетного периода сократились на 4 214,1 млн.руб. (-14,9 %).</w:t>
      </w:r>
    </w:p>
    <w:p w14:paraId="50684F68" w14:textId="77777777" w:rsidR="0041599B" w:rsidRPr="00FD7B0B" w:rsidRDefault="0041599B" w:rsidP="00BE13F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Рост контрактуемых расходов за отчетный период фиксируется по элементу вида расходов 323 «Приобретению товаров, работ, услуг в пользу граждан в целях их социального обеспечения» – на 22,4 % (+744,0 млн.руб.), из них на обеспечение лекарственными препаратами отдельных групп населения – на 30,5 % или на 590,4 млн.руб. (см. выше).</w:t>
      </w:r>
    </w:p>
    <w:p w14:paraId="4CBB2D1C" w14:textId="77777777" w:rsidR="0041599B" w:rsidRPr="00FD7B0B" w:rsidRDefault="0041599B" w:rsidP="0077525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части бюджетных инвестиций снижение расходов составило 33,8 % или 3 352,7 млн.руб. (см. выше).</w:t>
      </w:r>
    </w:p>
    <w:p w14:paraId="43BE6D54" w14:textId="15933E7C" w:rsidR="0041599B" w:rsidRPr="00FD7B0B" w:rsidRDefault="0041599B" w:rsidP="0077525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Закупки товаров, работ и услуг для обеспечения государственных (муниципальных) нужд, по подгруппам вида расходов 230 и 240 в отчетном периоде сократились на 10,7 % (-1 605,4 млн.руб.) и сведения о них приведены в таблице </w:t>
      </w:r>
      <w:r w:rsidR="008E012B" w:rsidRPr="00FD7B0B">
        <w:rPr>
          <w:rFonts w:ascii="Times New Roman" w:eastAsia="Calibri" w:hAnsi="Times New Roman" w:cs="Times New Roman"/>
          <w:sz w:val="28"/>
          <w:szCs w:val="28"/>
        </w:rPr>
        <w:t>65</w:t>
      </w:r>
      <w:r w:rsidRPr="00FD7B0B">
        <w:rPr>
          <w:rFonts w:ascii="Times New Roman" w:eastAsia="Calibri" w:hAnsi="Times New Roman" w:cs="Times New Roman"/>
          <w:sz w:val="28"/>
          <w:szCs w:val="28"/>
        </w:rPr>
        <w:t>.</w:t>
      </w:r>
    </w:p>
    <w:p w14:paraId="7B750767" w14:textId="77777777" w:rsidR="0041599B" w:rsidRPr="00FD7B0B" w:rsidRDefault="0041599B" w:rsidP="00C61225">
      <w:pPr>
        <w:pStyle w:val="aff0"/>
        <w:spacing w:after="0" w:line="240" w:lineRule="auto"/>
        <w:rPr>
          <w:rFonts w:ascii="Times New Roman" w:hAnsi="Times New Roman"/>
          <w:b w:val="0"/>
          <w:sz w:val="24"/>
          <w:szCs w:val="24"/>
        </w:rPr>
      </w:pPr>
    </w:p>
    <w:p w14:paraId="53A9FD18" w14:textId="77777777" w:rsidR="0041599B" w:rsidRPr="00FD7B0B" w:rsidRDefault="0041599B" w:rsidP="00C6122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65</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из областного бюджета, направленные на закупку товаров, работ и услуг для обеспечения государственных (муниципальных) нужд по группе вида расходов 200 за 2023 и 2024 годы, млн.руб.</w:t>
      </w:r>
    </w:p>
    <w:tbl>
      <w:tblPr>
        <w:tblW w:w="9737" w:type="dxa"/>
        <w:tblLayout w:type="fixed"/>
        <w:tblLook w:val="04A0" w:firstRow="1" w:lastRow="0" w:firstColumn="1" w:lastColumn="0" w:noHBand="0" w:noVBand="1"/>
      </w:tblPr>
      <w:tblGrid>
        <w:gridCol w:w="568"/>
        <w:gridCol w:w="5183"/>
        <w:gridCol w:w="1030"/>
        <w:gridCol w:w="1109"/>
        <w:gridCol w:w="1080"/>
        <w:gridCol w:w="767"/>
      </w:tblGrid>
      <w:tr w:rsidR="00FD7B0B" w:rsidRPr="00FD7B0B" w14:paraId="395576DF" w14:textId="77777777" w:rsidTr="00C61225">
        <w:trPr>
          <w:trHeight w:val="35"/>
          <w:tblHeader/>
        </w:trPr>
        <w:tc>
          <w:tcPr>
            <w:tcW w:w="56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B5F532B" w14:textId="77777777" w:rsidR="0041599B" w:rsidRPr="00FD7B0B" w:rsidRDefault="0041599B" w:rsidP="00C61225">
            <w:pPr>
              <w:spacing w:after="0" w:line="240" w:lineRule="auto"/>
              <w:jc w:val="center"/>
              <w:rPr>
                <w:rFonts w:ascii="Times New Roman" w:hAnsi="Times New Roman" w:cs="Times New Roman"/>
              </w:rPr>
            </w:pPr>
            <w:r w:rsidRPr="00FD7B0B">
              <w:rPr>
                <w:rFonts w:ascii="Times New Roman" w:hAnsi="Times New Roman" w:cs="Times New Roman"/>
              </w:rPr>
              <w:t>Код</w:t>
            </w:r>
          </w:p>
        </w:tc>
        <w:tc>
          <w:tcPr>
            <w:tcW w:w="518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3065D1B" w14:textId="77777777" w:rsidR="0041599B" w:rsidRPr="00FD7B0B" w:rsidRDefault="0041599B" w:rsidP="00C61225">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103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62EAF66" w14:textId="77777777" w:rsidR="0041599B" w:rsidRPr="00FD7B0B" w:rsidRDefault="0041599B" w:rsidP="00C61225">
            <w:pPr>
              <w:spacing w:after="0" w:line="240" w:lineRule="auto"/>
              <w:jc w:val="center"/>
              <w:rPr>
                <w:rFonts w:ascii="Times New Roman" w:hAnsi="Times New Roman" w:cs="Times New Roman"/>
              </w:rPr>
            </w:pPr>
            <w:r w:rsidRPr="00FD7B0B">
              <w:rPr>
                <w:rFonts w:ascii="Times New Roman" w:hAnsi="Times New Roman" w:cs="Times New Roman"/>
              </w:rPr>
              <w:t>2023 г.</w:t>
            </w:r>
          </w:p>
        </w:tc>
        <w:tc>
          <w:tcPr>
            <w:tcW w:w="110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80BA6AF" w14:textId="77777777" w:rsidR="0041599B" w:rsidRPr="00FD7B0B" w:rsidRDefault="0041599B" w:rsidP="00C61225">
            <w:pPr>
              <w:spacing w:after="0" w:line="240" w:lineRule="auto"/>
              <w:jc w:val="center"/>
              <w:rPr>
                <w:rFonts w:ascii="Times New Roman" w:hAnsi="Times New Roman" w:cs="Times New Roman"/>
              </w:rPr>
            </w:pPr>
            <w:r w:rsidRPr="00FD7B0B">
              <w:rPr>
                <w:rFonts w:ascii="Times New Roman" w:hAnsi="Times New Roman" w:cs="Times New Roman"/>
              </w:rPr>
              <w:t>2024 г.</w:t>
            </w:r>
          </w:p>
        </w:tc>
        <w:tc>
          <w:tcPr>
            <w:tcW w:w="1847" w:type="dxa"/>
            <w:gridSpan w:val="2"/>
            <w:tcBorders>
              <w:top w:val="double" w:sz="6" w:space="0" w:color="auto"/>
              <w:left w:val="nil"/>
              <w:bottom w:val="single" w:sz="4" w:space="0" w:color="auto"/>
              <w:right w:val="double" w:sz="6" w:space="0" w:color="000000"/>
            </w:tcBorders>
            <w:shd w:val="clear" w:color="auto" w:fill="auto"/>
            <w:vAlign w:val="center"/>
            <w:hideMark/>
          </w:tcPr>
          <w:p w14:paraId="32065E1E" w14:textId="77777777" w:rsidR="0041599B" w:rsidRPr="00FD7B0B" w:rsidRDefault="0041599B" w:rsidP="00C61225">
            <w:pPr>
              <w:spacing w:after="0" w:line="240" w:lineRule="auto"/>
              <w:jc w:val="center"/>
              <w:rPr>
                <w:rFonts w:ascii="Times New Roman" w:hAnsi="Times New Roman" w:cs="Times New Roman"/>
              </w:rPr>
            </w:pPr>
            <w:r w:rsidRPr="00FD7B0B">
              <w:rPr>
                <w:rFonts w:ascii="Times New Roman" w:hAnsi="Times New Roman" w:cs="Times New Roman"/>
              </w:rPr>
              <w:t>Изменения (+,-)</w:t>
            </w:r>
          </w:p>
        </w:tc>
      </w:tr>
      <w:tr w:rsidR="00FD7B0B" w:rsidRPr="00FD7B0B" w14:paraId="4D6E4930" w14:textId="77777777" w:rsidTr="00C61225">
        <w:trPr>
          <w:trHeight w:val="35"/>
          <w:tblHeader/>
        </w:trPr>
        <w:tc>
          <w:tcPr>
            <w:tcW w:w="568" w:type="dxa"/>
            <w:vMerge/>
            <w:tcBorders>
              <w:top w:val="double" w:sz="6" w:space="0" w:color="auto"/>
              <w:left w:val="double" w:sz="6" w:space="0" w:color="auto"/>
              <w:bottom w:val="single" w:sz="4" w:space="0" w:color="auto"/>
              <w:right w:val="single" w:sz="4" w:space="0" w:color="auto"/>
            </w:tcBorders>
            <w:vAlign w:val="center"/>
            <w:hideMark/>
          </w:tcPr>
          <w:p w14:paraId="1EBE17EA" w14:textId="77777777" w:rsidR="0041599B" w:rsidRPr="00FD7B0B" w:rsidRDefault="0041599B" w:rsidP="00C61225">
            <w:pPr>
              <w:spacing w:after="0" w:line="240" w:lineRule="auto"/>
              <w:jc w:val="center"/>
              <w:rPr>
                <w:rFonts w:ascii="Times New Roman" w:hAnsi="Times New Roman" w:cs="Times New Roman"/>
              </w:rPr>
            </w:pPr>
          </w:p>
        </w:tc>
        <w:tc>
          <w:tcPr>
            <w:tcW w:w="5183" w:type="dxa"/>
            <w:vMerge/>
            <w:tcBorders>
              <w:top w:val="double" w:sz="6" w:space="0" w:color="auto"/>
              <w:left w:val="single" w:sz="4" w:space="0" w:color="auto"/>
              <w:bottom w:val="single" w:sz="4" w:space="0" w:color="auto"/>
              <w:right w:val="single" w:sz="4" w:space="0" w:color="auto"/>
            </w:tcBorders>
            <w:vAlign w:val="center"/>
            <w:hideMark/>
          </w:tcPr>
          <w:p w14:paraId="7DA829BF" w14:textId="77777777" w:rsidR="0041599B" w:rsidRPr="00FD7B0B" w:rsidRDefault="0041599B" w:rsidP="00C61225">
            <w:pPr>
              <w:spacing w:after="0" w:line="240" w:lineRule="auto"/>
              <w:jc w:val="center"/>
              <w:rPr>
                <w:rFonts w:ascii="Times New Roman" w:hAnsi="Times New Roman" w:cs="Times New Roman"/>
              </w:rPr>
            </w:pPr>
          </w:p>
        </w:tc>
        <w:tc>
          <w:tcPr>
            <w:tcW w:w="1030" w:type="dxa"/>
            <w:vMerge/>
            <w:tcBorders>
              <w:top w:val="double" w:sz="6" w:space="0" w:color="auto"/>
              <w:left w:val="single" w:sz="4" w:space="0" w:color="auto"/>
              <w:bottom w:val="single" w:sz="4" w:space="0" w:color="auto"/>
              <w:right w:val="single" w:sz="4" w:space="0" w:color="auto"/>
            </w:tcBorders>
            <w:vAlign w:val="center"/>
            <w:hideMark/>
          </w:tcPr>
          <w:p w14:paraId="37567800" w14:textId="77777777" w:rsidR="0041599B" w:rsidRPr="00FD7B0B" w:rsidRDefault="0041599B" w:rsidP="00C61225">
            <w:pPr>
              <w:spacing w:after="0" w:line="240" w:lineRule="auto"/>
              <w:jc w:val="center"/>
              <w:rPr>
                <w:rFonts w:ascii="Times New Roman" w:hAnsi="Times New Roman" w:cs="Times New Roman"/>
              </w:rPr>
            </w:pPr>
          </w:p>
        </w:tc>
        <w:tc>
          <w:tcPr>
            <w:tcW w:w="1109" w:type="dxa"/>
            <w:vMerge/>
            <w:tcBorders>
              <w:top w:val="double" w:sz="6" w:space="0" w:color="auto"/>
              <w:left w:val="single" w:sz="4" w:space="0" w:color="auto"/>
              <w:bottom w:val="single" w:sz="4" w:space="0" w:color="auto"/>
              <w:right w:val="single" w:sz="4" w:space="0" w:color="auto"/>
            </w:tcBorders>
            <w:vAlign w:val="center"/>
            <w:hideMark/>
          </w:tcPr>
          <w:p w14:paraId="0B467C55" w14:textId="77777777" w:rsidR="0041599B" w:rsidRPr="00FD7B0B" w:rsidRDefault="0041599B" w:rsidP="00C61225">
            <w:pPr>
              <w:spacing w:after="0" w:line="240" w:lineRule="auto"/>
              <w:jc w:val="center"/>
              <w:rPr>
                <w:rFonts w:ascii="Times New Roman" w:hAnsi="Times New Roman" w:cs="Times New Roman"/>
              </w:rPr>
            </w:pPr>
          </w:p>
        </w:tc>
        <w:tc>
          <w:tcPr>
            <w:tcW w:w="1080" w:type="dxa"/>
            <w:tcBorders>
              <w:top w:val="nil"/>
              <w:left w:val="nil"/>
              <w:bottom w:val="single" w:sz="4" w:space="0" w:color="auto"/>
              <w:right w:val="single" w:sz="4" w:space="0" w:color="auto"/>
            </w:tcBorders>
            <w:shd w:val="clear" w:color="auto" w:fill="auto"/>
            <w:vAlign w:val="center"/>
            <w:hideMark/>
          </w:tcPr>
          <w:p w14:paraId="2A1C84AC" w14:textId="77777777" w:rsidR="0041599B" w:rsidRPr="00FD7B0B" w:rsidRDefault="0041599B" w:rsidP="00C61225">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767" w:type="dxa"/>
            <w:tcBorders>
              <w:top w:val="nil"/>
              <w:left w:val="nil"/>
              <w:bottom w:val="single" w:sz="4" w:space="0" w:color="auto"/>
              <w:right w:val="double" w:sz="6" w:space="0" w:color="auto"/>
            </w:tcBorders>
            <w:shd w:val="clear" w:color="auto" w:fill="auto"/>
            <w:vAlign w:val="center"/>
            <w:hideMark/>
          </w:tcPr>
          <w:p w14:paraId="231A9261" w14:textId="3D68AF30" w:rsidR="0041599B" w:rsidRPr="00FD7B0B" w:rsidRDefault="0041599B" w:rsidP="00C61225">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22810BDD" w14:textId="77777777" w:rsidTr="00C61225">
        <w:trPr>
          <w:trHeight w:val="70"/>
        </w:trPr>
        <w:tc>
          <w:tcPr>
            <w:tcW w:w="568" w:type="dxa"/>
            <w:tcBorders>
              <w:top w:val="nil"/>
              <w:left w:val="double" w:sz="6" w:space="0" w:color="auto"/>
              <w:bottom w:val="single" w:sz="4" w:space="0" w:color="auto"/>
              <w:right w:val="single" w:sz="4" w:space="0" w:color="auto"/>
            </w:tcBorders>
            <w:shd w:val="clear" w:color="auto" w:fill="auto"/>
            <w:vAlign w:val="center"/>
            <w:hideMark/>
          </w:tcPr>
          <w:p w14:paraId="7CEEAEBB"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232</w:t>
            </w:r>
          </w:p>
        </w:tc>
        <w:tc>
          <w:tcPr>
            <w:tcW w:w="5183" w:type="dxa"/>
            <w:tcBorders>
              <w:top w:val="nil"/>
              <w:left w:val="nil"/>
              <w:bottom w:val="single" w:sz="4" w:space="0" w:color="auto"/>
              <w:right w:val="single" w:sz="4" w:space="0" w:color="auto"/>
            </w:tcBorders>
            <w:shd w:val="clear" w:color="auto" w:fill="auto"/>
            <w:vAlign w:val="center"/>
            <w:hideMark/>
          </w:tcPr>
          <w:p w14:paraId="6BB22FEC"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 xml:space="preserve"> - закупка товаров, работ, услуг в целях обеспечения формирования государственного материального резерва, резервов материальных ресурсов</w:t>
            </w:r>
          </w:p>
        </w:tc>
        <w:tc>
          <w:tcPr>
            <w:tcW w:w="1030" w:type="dxa"/>
            <w:tcBorders>
              <w:top w:val="nil"/>
              <w:left w:val="nil"/>
              <w:bottom w:val="single" w:sz="4" w:space="0" w:color="auto"/>
              <w:right w:val="single" w:sz="4" w:space="0" w:color="auto"/>
            </w:tcBorders>
            <w:shd w:val="clear" w:color="auto" w:fill="auto"/>
            <w:vAlign w:val="center"/>
            <w:hideMark/>
          </w:tcPr>
          <w:p w14:paraId="2DE55178"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1,3 </w:t>
            </w:r>
          </w:p>
        </w:tc>
        <w:tc>
          <w:tcPr>
            <w:tcW w:w="1109" w:type="dxa"/>
            <w:tcBorders>
              <w:top w:val="nil"/>
              <w:left w:val="nil"/>
              <w:bottom w:val="single" w:sz="4" w:space="0" w:color="auto"/>
              <w:right w:val="single" w:sz="4" w:space="0" w:color="auto"/>
            </w:tcBorders>
            <w:shd w:val="clear" w:color="auto" w:fill="auto"/>
            <w:vAlign w:val="center"/>
            <w:hideMark/>
          </w:tcPr>
          <w:p w14:paraId="51732F40"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1,9 </w:t>
            </w:r>
          </w:p>
        </w:tc>
        <w:tc>
          <w:tcPr>
            <w:tcW w:w="1080" w:type="dxa"/>
            <w:tcBorders>
              <w:top w:val="nil"/>
              <w:left w:val="nil"/>
              <w:bottom w:val="single" w:sz="4" w:space="0" w:color="auto"/>
              <w:right w:val="single" w:sz="4" w:space="0" w:color="auto"/>
            </w:tcBorders>
            <w:shd w:val="clear" w:color="auto" w:fill="auto"/>
            <w:vAlign w:val="center"/>
            <w:hideMark/>
          </w:tcPr>
          <w:p w14:paraId="4AE88F1A"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767" w:type="dxa"/>
            <w:tcBorders>
              <w:top w:val="nil"/>
              <w:left w:val="nil"/>
              <w:bottom w:val="single" w:sz="4" w:space="0" w:color="auto"/>
              <w:right w:val="double" w:sz="6" w:space="0" w:color="auto"/>
            </w:tcBorders>
            <w:shd w:val="clear" w:color="auto" w:fill="auto"/>
            <w:vAlign w:val="center"/>
            <w:hideMark/>
          </w:tcPr>
          <w:p w14:paraId="56C6C504"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48,8 </w:t>
            </w:r>
          </w:p>
        </w:tc>
      </w:tr>
      <w:tr w:rsidR="00FD7B0B" w:rsidRPr="00FD7B0B" w14:paraId="24E7E167" w14:textId="77777777" w:rsidTr="00C61225">
        <w:trPr>
          <w:trHeight w:val="70"/>
        </w:trPr>
        <w:tc>
          <w:tcPr>
            <w:tcW w:w="568" w:type="dxa"/>
            <w:tcBorders>
              <w:top w:val="nil"/>
              <w:left w:val="double" w:sz="6" w:space="0" w:color="auto"/>
              <w:bottom w:val="single" w:sz="4" w:space="0" w:color="auto"/>
              <w:right w:val="single" w:sz="4" w:space="0" w:color="auto"/>
            </w:tcBorders>
            <w:shd w:val="clear" w:color="auto" w:fill="auto"/>
            <w:vAlign w:val="center"/>
            <w:hideMark/>
          </w:tcPr>
          <w:p w14:paraId="2C876940"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241</w:t>
            </w:r>
          </w:p>
        </w:tc>
        <w:tc>
          <w:tcPr>
            <w:tcW w:w="5183" w:type="dxa"/>
            <w:tcBorders>
              <w:top w:val="nil"/>
              <w:left w:val="nil"/>
              <w:bottom w:val="single" w:sz="4" w:space="0" w:color="auto"/>
              <w:right w:val="single" w:sz="4" w:space="0" w:color="auto"/>
            </w:tcBorders>
            <w:shd w:val="clear" w:color="auto" w:fill="auto"/>
            <w:vAlign w:val="center"/>
            <w:hideMark/>
          </w:tcPr>
          <w:p w14:paraId="61DD812F"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 xml:space="preserve"> - научно-исследовательские, опытно-конструкторские и технологические работы</w:t>
            </w:r>
          </w:p>
        </w:tc>
        <w:tc>
          <w:tcPr>
            <w:tcW w:w="1030" w:type="dxa"/>
            <w:tcBorders>
              <w:top w:val="nil"/>
              <w:left w:val="nil"/>
              <w:bottom w:val="single" w:sz="4" w:space="0" w:color="auto"/>
              <w:right w:val="single" w:sz="4" w:space="0" w:color="auto"/>
            </w:tcBorders>
            <w:shd w:val="clear" w:color="auto" w:fill="auto"/>
            <w:vAlign w:val="center"/>
            <w:hideMark/>
          </w:tcPr>
          <w:p w14:paraId="09B1C61D"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4,0 </w:t>
            </w:r>
          </w:p>
        </w:tc>
        <w:tc>
          <w:tcPr>
            <w:tcW w:w="1109" w:type="dxa"/>
            <w:tcBorders>
              <w:top w:val="nil"/>
              <w:left w:val="nil"/>
              <w:bottom w:val="single" w:sz="4" w:space="0" w:color="auto"/>
              <w:right w:val="single" w:sz="4" w:space="0" w:color="auto"/>
            </w:tcBorders>
            <w:shd w:val="clear" w:color="auto" w:fill="auto"/>
            <w:vAlign w:val="center"/>
            <w:hideMark/>
          </w:tcPr>
          <w:p w14:paraId="0409F871"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1,9 </w:t>
            </w:r>
          </w:p>
        </w:tc>
        <w:tc>
          <w:tcPr>
            <w:tcW w:w="1080" w:type="dxa"/>
            <w:tcBorders>
              <w:top w:val="nil"/>
              <w:left w:val="nil"/>
              <w:bottom w:val="single" w:sz="4" w:space="0" w:color="auto"/>
              <w:right w:val="single" w:sz="4" w:space="0" w:color="auto"/>
            </w:tcBorders>
            <w:shd w:val="clear" w:color="auto" w:fill="auto"/>
            <w:vAlign w:val="center"/>
            <w:hideMark/>
          </w:tcPr>
          <w:p w14:paraId="0D8CB97B"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767" w:type="dxa"/>
            <w:tcBorders>
              <w:top w:val="nil"/>
              <w:left w:val="nil"/>
              <w:bottom w:val="single" w:sz="4" w:space="0" w:color="auto"/>
              <w:right w:val="double" w:sz="6" w:space="0" w:color="auto"/>
            </w:tcBorders>
            <w:shd w:val="clear" w:color="auto" w:fill="auto"/>
            <w:vAlign w:val="center"/>
            <w:hideMark/>
          </w:tcPr>
          <w:p w14:paraId="6AB46086"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-53,0 </w:t>
            </w:r>
          </w:p>
        </w:tc>
      </w:tr>
      <w:tr w:rsidR="00FD7B0B" w:rsidRPr="00FD7B0B" w14:paraId="633E394E" w14:textId="77777777" w:rsidTr="00C61225">
        <w:trPr>
          <w:trHeight w:val="70"/>
        </w:trPr>
        <w:tc>
          <w:tcPr>
            <w:tcW w:w="568" w:type="dxa"/>
            <w:tcBorders>
              <w:top w:val="nil"/>
              <w:left w:val="double" w:sz="6" w:space="0" w:color="auto"/>
              <w:bottom w:val="single" w:sz="4" w:space="0" w:color="auto"/>
              <w:right w:val="single" w:sz="4" w:space="0" w:color="auto"/>
            </w:tcBorders>
            <w:shd w:val="clear" w:color="auto" w:fill="auto"/>
            <w:vAlign w:val="center"/>
            <w:hideMark/>
          </w:tcPr>
          <w:p w14:paraId="6EBEF565"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243</w:t>
            </w:r>
          </w:p>
        </w:tc>
        <w:tc>
          <w:tcPr>
            <w:tcW w:w="5183" w:type="dxa"/>
            <w:tcBorders>
              <w:top w:val="nil"/>
              <w:left w:val="nil"/>
              <w:bottom w:val="single" w:sz="4" w:space="0" w:color="auto"/>
              <w:right w:val="single" w:sz="4" w:space="0" w:color="auto"/>
            </w:tcBorders>
            <w:shd w:val="clear" w:color="auto" w:fill="auto"/>
            <w:vAlign w:val="center"/>
            <w:hideMark/>
          </w:tcPr>
          <w:p w14:paraId="2ED920C0"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 xml:space="preserve"> - закупка товаров, работ, услуг в целях капитального ремонта государственного (муниципального) имущества</w:t>
            </w:r>
          </w:p>
        </w:tc>
        <w:tc>
          <w:tcPr>
            <w:tcW w:w="1030" w:type="dxa"/>
            <w:tcBorders>
              <w:top w:val="nil"/>
              <w:left w:val="nil"/>
              <w:bottom w:val="single" w:sz="4" w:space="0" w:color="auto"/>
              <w:right w:val="single" w:sz="4" w:space="0" w:color="auto"/>
            </w:tcBorders>
            <w:shd w:val="clear" w:color="auto" w:fill="auto"/>
            <w:vAlign w:val="center"/>
            <w:hideMark/>
          </w:tcPr>
          <w:p w14:paraId="5ACA1F5E"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2 672,6 </w:t>
            </w:r>
          </w:p>
        </w:tc>
        <w:tc>
          <w:tcPr>
            <w:tcW w:w="1109" w:type="dxa"/>
            <w:tcBorders>
              <w:top w:val="nil"/>
              <w:left w:val="nil"/>
              <w:bottom w:val="single" w:sz="4" w:space="0" w:color="auto"/>
              <w:right w:val="single" w:sz="4" w:space="0" w:color="auto"/>
            </w:tcBorders>
            <w:shd w:val="clear" w:color="auto" w:fill="auto"/>
            <w:vAlign w:val="center"/>
            <w:hideMark/>
          </w:tcPr>
          <w:p w14:paraId="17224D24"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3 249,4 </w:t>
            </w:r>
          </w:p>
        </w:tc>
        <w:tc>
          <w:tcPr>
            <w:tcW w:w="1080" w:type="dxa"/>
            <w:tcBorders>
              <w:top w:val="nil"/>
              <w:left w:val="nil"/>
              <w:bottom w:val="single" w:sz="4" w:space="0" w:color="auto"/>
              <w:right w:val="single" w:sz="4" w:space="0" w:color="auto"/>
            </w:tcBorders>
            <w:shd w:val="clear" w:color="auto" w:fill="auto"/>
            <w:vAlign w:val="center"/>
            <w:hideMark/>
          </w:tcPr>
          <w:p w14:paraId="19F61873"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576,8 </w:t>
            </w:r>
          </w:p>
        </w:tc>
        <w:tc>
          <w:tcPr>
            <w:tcW w:w="767" w:type="dxa"/>
            <w:tcBorders>
              <w:top w:val="nil"/>
              <w:left w:val="nil"/>
              <w:bottom w:val="single" w:sz="4" w:space="0" w:color="auto"/>
              <w:right w:val="double" w:sz="6" w:space="0" w:color="auto"/>
            </w:tcBorders>
            <w:shd w:val="clear" w:color="auto" w:fill="auto"/>
            <w:vAlign w:val="center"/>
            <w:hideMark/>
          </w:tcPr>
          <w:p w14:paraId="1114BA5D"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21,6 </w:t>
            </w:r>
          </w:p>
        </w:tc>
      </w:tr>
      <w:tr w:rsidR="00FD7B0B" w:rsidRPr="00FD7B0B" w14:paraId="68E15327" w14:textId="77777777" w:rsidTr="00C61225">
        <w:trPr>
          <w:trHeight w:val="70"/>
        </w:trPr>
        <w:tc>
          <w:tcPr>
            <w:tcW w:w="568" w:type="dxa"/>
            <w:tcBorders>
              <w:top w:val="nil"/>
              <w:left w:val="double" w:sz="6" w:space="0" w:color="auto"/>
              <w:bottom w:val="single" w:sz="4" w:space="0" w:color="auto"/>
              <w:right w:val="single" w:sz="4" w:space="0" w:color="auto"/>
            </w:tcBorders>
            <w:shd w:val="clear" w:color="auto" w:fill="auto"/>
            <w:vAlign w:val="center"/>
            <w:hideMark/>
          </w:tcPr>
          <w:p w14:paraId="65295607"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244</w:t>
            </w:r>
          </w:p>
        </w:tc>
        <w:tc>
          <w:tcPr>
            <w:tcW w:w="5183" w:type="dxa"/>
            <w:tcBorders>
              <w:top w:val="nil"/>
              <w:left w:val="nil"/>
              <w:bottom w:val="single" w:sz="4" w:space="0" w:color="auto"/>
              <w:right w:val="single" w:sz="4" w:space="0" w:color="auto"/>
            </w:tcBorders>
            <w:shd w:val="clear" w:color="auto" w:fill="auto"/>
            <w:vAlign w:val="center"/>
            <w:hideMark/>
          </w:tcPr>
          <w:p w14:paraId="7DD62B92"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 xml:space="preserve"> - прочая закупка товаров, работ и услуг</w:t>
            </w:r>
          </w:p>
        </w:tc>
        <w:tc>
          <w:tcPr>
            <w:tcW w:w="1030" w:type="dxa"/>
            <w:tcBorders>
              <w:top w:val="nil"/>
              <w:left w:val="nil"/>
              <w:bottom w:val="single" w:sz="4" w:space="0" w:color="auto"/>
              <w:right w:val="single" w:sz="4" w:space="0" w:color="auto"/>
            </w:tcBorders>
            <w:shd w:val="clear" w:color="auto" w:fill="auto"/>
            <w:vAlign w:val="center"/>
            <w:hideMark/>
          </w:tcPr>
          <w:p w14:paraId="1C5288DC"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12 174,7 </w:t>
            </w:r>
          </w:p>
        </w:tc>
        <w:tc>
          <w:tcPr>
            <w:tcW w:w="1109" w:type="dxa"/>
            <w:tcBorders>
              <w:top w:val="nil"/>
              <w:left w:val="nil"/>
              <w:bottom w:val="single" w:sz="4" w:space="0" w:color="auto"/>
              <w:right w:val="single" w:sz="4" w:space="0" w:color="auto"/>
            </w:tcBorders>
            <w:shd w:val="clear" w:color="auto" w:fill="auto"/>
            <w:vAlign w:val="center"/>
            <w:hideMark/>
          </w:tcPr>
          <w:p w14:paraId="25592D7A"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9 966,4 </w:t>
            </w:r>
          </w:p>
        </w:tc>
        <w:tc>
          <w:tcPr>
            <w:tcW w:w="1080" w:type="dxa"/>
            <w:tcBorders>
              <w:top w:val="nil"/>
              <w:left w:val="nil"/>
              <w:bottom w:val="single" w:sz="4" w:space="0" w:color="auto"/>
              <w:right w:val="single" w:sz="4" w:space="0" w:color="auto"/>
            </w:tcBorders>
            <w:shd w:val="clear" w:color="auto" w:fill="auto"/>
            <w:vAlign w:val="center"/>
            <w:hideMark/>
          </w:tcPr>
          <w:p w14:paraId="693254B8"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-2 208,4 </w:t>
            </w:r>
          </w:p>
        </w:tc>
        <w:tc>
          <w:tcPr>
            <w:tcW w:w="767" w:type="dxa"/>
            <w:tcBorders>
              <w:top w:val="nil"/>
              <w:left w:val="nil"/>
              <w:bottom w:val="single" w:sz="4" w:space="0" w:color="auto"/>
              <w:right w:val="double" w:sz="6" w:space="0" w:color="auto"/>
            </w:tcBorders>
            <w:shd w:val="clear" w:color="auto" w:fill="auto"/>
            <w:vAlign w:val="center"/>
            <w:hideMark/>
          </w:tcPr>
          <w:p w14:paraId="4AE907E9"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-18,1 </w:t>
            </w:r>
          </w:p>
        </w:tc>
      </w:tr>
      <w:tr w:rsidR="00FD7B0B" w:rsidRPr="00FD7B0B" w14:paraId="73F5EFAD" w14:textId="77777777" w:rsidTr="00C61225">
        <w:trPr>
          <w:trHeight w:val="70"/>
        </w:trPr>
        <w:tc>
          <w:tcPr>
            <w:tcW w:w="568" w:type="dxa"/>
            <w:tcBorders>
              <w:top w:val="nil"/>
              <w:left w:val="double" w:sz="6" w:space="0" w:color="auto"/>
              <w:bottom w:val="single" w:sz="4" w:space="0" w:color="auto"/>
              <w:right w:val="single" w:sz="4" w:space="0" w:color="auto"/>
            </w:tcBorders>
            <w:shd w:val="clear" w:color="auto" w:fill="auto"/>
            <w:vAlign w:val="center"/>
            <w:hideMark/>
          </w:tcPr>
          <w:p w14:paraId="273FF362"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247</w:t>
            </w:r>
          </w:p>
        </w:tc>
        <w:tc>
          <w:tcPr>
            <w:tcW w:w="5183" w:type="dxa"/>
            <w:tcBorders>
              <w:top w:val="nil"/>
              <w:left w:val="nil"/>
              <w:bottom w:val="single" w:sz="4" w:space="0" w:color="auto"/>
              <w:right w:val="single" w:sz="4" w:space="0" w:color="auto"/>
            </w:tcBorders>
            <w:shd w:val="clear" w:color="auto" w:fill="auto"/>
            <w:vAlign w:val="center"/>
            <w:hideMark/>
          </w:tcPr>
          <w:p w14:paraId="5B68C5E0"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 xml:space="preserve"> - закупка энергетических ресурсов</w:t>
            </w:r>
          </w:p>
        </w:tc>
        <w:tc>
          <w:tcPr>
            <w:tcW w:w="1030" w:type="dxa"/>
            <w:tcBorders>
              <w:top w:val="nil"/>
              <w:left w:val="nil"/>
              <w:bottom w:val="single" w:sz="4" w:space="0" w:color="auto"/>
              <w:right w:val="single" w:sz="4" w:space="0" w:color="auto"/>
            </w:tcBorders>
            <w:shd w:val="clear" w:color="auto" w:fill="auto"/>
            <w:vAlign w:val="center"/>
            <w:hideMark/>
          </w:tcPr>
          <w:p w14:paraId="5D7C02F5"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170,1 </w:t>
            </w:r>
          </w:p>
        </w:tc>
        <w:tc>
          <w:tcPr>
            <w:tcW w:w="1109" w:type="dxa"/>
            <w:tcBorders>
              <w:top w:val="nil"/>
              <w:left w:val="nil"/>
              <w:bottom w:val="single" w:sz="4" w:space="0" w:color="auto"/>
              <w:right w:val="single" w:sz="4" w:space="0" w:color="auto"/>
            </w:tcBorders>
            <w:shd w:val="clear" w:color="auto" w:fill="auto"/>
            <w:vAlign w:val="center"/>
            <w:hideMark/>
          </w:tcPr>
          <w:p w14:paraId="798A5003"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197,8 </w:t>
            </w:r>
          </w:p>
        </w:tc>
        <w:tc>
          <w:tcPr>
            <w:tcW w:w="1080" w:type="dxa"/>
            <w:tcBorders>
              <w:top w:val="nil"/>
              <w:left w:val="nil"/>
              <w:bottom w:val="single" w:sz="4" w:space="0" w:color="auto"/>
              <w:right w:val="single" w:sz="4" w:space="0" w:color="auto"/>
            </w:tcBorders>
            <w:shd w:val="clear" w:color="auto" w:fill="auto"/>
            <w:vAlign w:val="center"/>
            <w:hideMark/>
          </w:tcPr>
          <w:p w14:paraId="4A2C6938"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27,7 </w:t>
            </w:r>
          </w:p>
        </w:tc>
        <w:tc>
          <w:tcPr>
            <w:tcW w:w="767" w:type="dxa"/>
            <w:tcBorders>
              <w:top w:val="nil"/>
              <w:left w:val="nil"/>
              <w:bottom w:val="single" w:sz="4" w:space="0" w:color="auto"/>
              <w:right w:val="double" w:sz="6" w:space="0" w:color="auto"/>
            </w:tcBorders>
            <w:shd w:val="clear" w:color="auto" w:fill="auto"/>
            <w:vAlign w:val="center"/>
            <w:hideMark/>
          </w:tcPr>
          <w:p w14:paraId="24CD5300"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16,3 </w:t>
            </w:r>
          </w:p>
        </w:tc>
      </w:tr>
      <w:tr w:rsidR="0041599B" w:rsidRPr="00FD7B0B" w14:paraId="104BC165" w14:textId="77777777" w:rsidTr="00C61225">
        <w:trPr>
          <w:trHeight w:val="70"/>
        </w:trPr>
        <w:tc>
          <w:tcPr>
            <w:tcW w:w="5751" w:type="dxa"/>
            <w:gridSpan w:val="2"/>
            <w:tcBorders>
              <w:top w:val="nil"/>
              <w:left w:val="double" w:sz="6" w:space="0" w:color="auto"/>
              <w:bottom w:val="double" w:sz="6" w:space="0" w:color="auto"/>
              <w:right w:val="single" w:sz="4" w:space="0" w:color="auto"/>
            </w:tcBorders>
            <w:shd w:val="clear" w:color="auto" w:fill="auto"/>
            <w:vAlign w:val="center"/>
            <w:hideMark/>
          </w:tcPr>
          <w:p w14:paraId="3CF8C765" w14:textId="77777777" w:rsidR="0041599B" w:rsidRPr="00FD7B0B" w:rsidRDefault="0041599B" w:rsidP="00C61225">
            <w:pPr>
              <w:spacing w:after="0" w:line="240" w:lineRule="auto"/>
              <w:rPr>
                <w:rFonts w:ascii="Times New Roman" w:hAnsi="Times New Roman" w:cs="Times New Roman"/>
              </w:rPr>
            </w:pPr>
            <w:r w:rsidRPr="00FD7B0B">
              <w:rPr>
                <w:rFonts w:ascii="Times New Roman" w:hAnsi="Times New Roman" w:cs="Times New Roman"/>
              </w:rPr>
              <w:t>Итого закупка товаров, работ и услуг для обеспечения государственных (муниципальных) нужд</w:t>
            </w:r>
          </w:p>
        </w:tc>
        <w:tc>
          <w:tcPr>
            <w:tcW w:w="1030" w:type="dxa"/>
            <w:tcBorders>
              <w:top w:val="nil"/>
              <w:left w:val="nil"/>
              <w:bottom w:val="double" w:sz="6" w:space="0" w:color="auto"/>
              <w:right w:val="single" w:sz="4" w:space="0" w:color="auto"/>
            </w:tcBorders>
            <w:shd w:val="clear" w:color="auto" w:fill="auto"/>
            <w:vAlign w:val="center"/>
            <w:hideMark/>
          </w:tcPr>
          <w:p w14:paraId="2F0637CC"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15 022,7 </w:t>
            </w:r>
          </w:p>
        </w:tc>
        <w:tc>
          <w:tcPr>
            <w:tcW w:w="1109" w:type="dxa"/>
            <w:tcBorders>
              <w:top w:val="nil"/>
              <w:left w:val="nil"/>
              <w:bottom w:val="double" w:sz="6" w:space="0" w:color="auto"/>
              <w:right w:val="single" w:sz="4" w:space="0" w:color="auto"/>
            </w:tcBorders>
            <w:shd w:val="clear" w:color="auto" w:fill="auto"/>
            <w:vAlign w:val="center"/>
            <w:hideMark/>
          </w:tcPr>
          <w:p w14:paraId="1C97593D"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13 417,3 </w:t>
            </w:r>
          </w:p>
        </w:tc>
        <w:tc>
          <w:tcPr>
            <w:tcW w:w="1080" w:type="dxa"/>
            <w:tcBorders>
              <w:top w:val="nil"/>
              <w:left w:val="nil"/>
              <w:bottom w:val="double" w:sz="6" w:space="0" w:color="auto"/>
              <w:right w:val="single" w:sz="4" w:space="0" w:color="auto"/>
            </w:tcBorders>
            <w:shd w:val="clear" w:color="auto" w:fill="auto"/>
            <w:vAlign w:val="center"/>
            <w:hideMark/>
          </w:tcPr>
          <w:p w14:paraId="7547419D"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-1 605,4 </w:t>
            </w:r>
          </w:p>
        </w:tc>
        <w:tc>
          <w:tcPr>
            <w:tcW w:w="767" w:type="dxa"/>
            <w:tcBorders>
              <w:top w:val="nil"/>
              <w:left w:val="nil"/>
              <w:bottom w:val="double" w:sz="6" w:space="0" w:color="auto"/>
              <w:right w:val="double" w:sz="6" w:space="0" w:color="auto"/>
            </w:tcBorders>
            <w:shd w:val="clear" w:color="auto" w:fill="auto"/>
            <w:vAlign w:val="center"/>
            <w:hideMark/>
          </w:tcPr>
          <w:p w14:paraId="49AD16AD" w14:textId="77777777" w:rsidR="0041599B" w:rsidRPr="00FD7B0B" w:rsidRDefault="0041599B" w:rsidP="00C61225">
            <w:pPr>
              <w:spacing w:after="0" w:line="240" w:lineRule="auto"/>
              <w:jc w:val="right"/>
              <w:rPr>
                <w:rFonts w:ascii="Times New Roman" w:hAnsi="Times New Roman" w:cs="Times New Roman"/>
              </w:rPr>
            </w:pPr>
            <w:r w:rsidRPr="00FD7B0B">
              <w:rPr>
                <w:rFonts w:ascii="Times New Roman" w:hAnsi="Times New Roman" w:cs="Times New Roman"/>
              </w:rPr>
              <w:t xml:space="preserve">-10,7 </w:t>
            </w:r>
          </w:p>
        </w:tc>
      </w:tr>
    </w:tbl>
    <w:p w14:paraId="4546EB4D" w14:textId="77777777" w:rsidR="0041599B" w:rsidRPr="00FD7B0B" w:rsidRDefault="0041599B" w:rsidP="00C61225">
      <w:pPr>
        <w:spacing w:after="0" w:line="240" w:lineRule="auto"/>
        <w:ind w:firstLine="709"/>
        <w:jc w:val="both"/>
        <w:rPr>
          <w:rFonts w:ascii="Times New Roman" w:eastAsia="Calibri" w:hAnsi="Times New Roman" w:cs="Times New Roman"/>
          <w:sz w:val="28"/>
          <w:szCs w:val="28"/>
        </w:rPr>
      </w:pPr>
    </w:p>
    <w:p w14:paraId="4CBDB7DF" w14:textId="4ABEEBE7" w:rsidR="0041599B" w:rsidRPr="00FD7B0B" w:rsidRDefault="0041599B" w:rsidP="00C6122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составе расходов на закупку товаров (работ и услуг) для государственных нужд в отчетном периоде наиболее приоритетными </w:t>
      </w:r>
      <w:r w:rsidR="00886692" w:rsidRPr="00FD7B0B">
        <w:rPr>
          <w:rFonts w:ascii="Times New Roman" w:eastAsia="Calibri" w:hAnsi="Times New Roman" w:cs="Times New Roman"/>
          <w:sz w:val="28"/>
          <w:szCs w:val="28"/>
        </w:rPr>
        <w:t xml:space="preserve">по </w:t>
      </w:r>
      <w:r w:rsidR="00886692" w:rsidRPr="00FD7B0B">
        <w:rPr>
          <w:rFonts w:ascii="Times New Roman" w:eastAsia="Calibri" w:hAnsi="Times New Roman" w:cs="Times New Roman"/>
          <w:sz w:val="28"/>
          <w:szCs w:val="28"/>
        </w:rPr>
        <w:lastRenderedPageBreak/>
        <w:t xml:space="preserve">сравнению с 2023 годом </w:t>
      </w:r>
      <w:r w:rsidRPr="00FD7B0B">
        <w:rPr>
          <w:rFonts w:ascii="Times New Roman" w:eastAsia="Calibri" w:hAnsi="Times New Roman" w:cs="Times New Roman"/>
          <w:sz w:val="28"/>
          <w:szCs w:val="28"/>
        </w:rPr>
        <w:t>являлись расходы на закупку товаров (работ и услуг) в целях капитального ремонта государственного имущества, которые составили 3 249,4 млн.руб. (98,5 % к плану года), что на 21,6 % (+576,8 млн.руб.) больше аналогичных расходов ха 2023 год, из них расходы по реализации федерального (регионального) проекта «Региональная и местная дорожная сеть» – 3 052,7 млн.руб. (100,0 % к плану года), что на 50,2 % (+1 019,8 млн.руб.) больше, чем за 2023 год.</w:t>
      </w:r>
    </w:p>
    <w:p w14:paraId="2543CA1E" w14:textId="77777777" w:rsidR="0041599B" w:rsidRPr="00FD7B0B" w:rsidRDefault="0041599B" w:rsidP="00372E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При исполнении областного бюджета за 2024 года к плану года имеются неосуществленные расходы по отдельным направлениям расходов на общую сумму 50,2 млн.руб., что составило 0,03 % к утвержденным бюджетной росписью на год ассигнованиям, из них:</w:t>
      </w:r>
    </w:p>
    <w:p w14:paraId="34ADAE27" w14:textId="77777777" w:rsidR="0041599B" w:rsidRPr="00FD7B0B" w:rsidRDefault="0041599B" w:rsidP="0063072B">
      <w:pPr>
        <w:pStyle w:val="a8"/>
        <w:numPr>
          <w:ilvl w:val="0"/>
          <w:numId w:val="10"/>
        </w:numPr>
        <w:ind w:left="0" w:firstLine="704"/>
        <w:jc w:val="both"/>
        <w:rPr>
          <w:sz w:val="28"/>
          <w:szCs w:val="28"/>
        </w:rPr>
      </w:pPr>
      <w:r w:rsidRPr="00FD7B0B">
        <w:rPr>
          <w:sz w:val="28"/>
          <w:szCs w:val="28"/>
        </w:rPr>
        <w:t>по государственной программе Архангельской области «Защита населения и территорий Архангельской области от чрезвычайных ситуаций, обеспечение пожарной безопасности и безопасности на водных объектах» – 3,8 млн.руб. по мероприятию «Создание, хранение, использование и восполнение резерва материальных ресурсов для ликвидации чрезвычайных ситуаций», т.к. в соответствии с условиями контрактов поставка материалов и продуктов питания осуществляется на основании заявок заказчика, направляемых поставщику при возникновении чрезвычайной ситуации;</w:t>
      </w:r>
    </w:p>
    <w:p w14:paraId="05FECC10" w14:textId="77777777" w:rsidR="0041599B" w:rsidRPr="00FD7B0B" w:rsidRDefault="0041599B" w:rsidP="0063072B">
      <w:pPr>
        <w:pStyle w:val="a8"/>
        <w:numPr>
          <w:ilvl w:val="0"/>
          <w:numId w:val="10"/>
        </w:numPr>
        <w:ind w:left="0" w:firstLine="704"/>
        <w:jc w:val="both"/>
        <w:rPr>
          <w:sz w:val="28"/>
          <w:szCs w:val="28"/>
        </w:rPr>
      </w:pPr>
      <w:r w:rsidRPr="00FD7B0B">
        <w:rPr>
          <w:sz w:val="28"/>
          <w:szCs w:val="28"/>
        </w:rPr>
        <w:t>по государственной программе Архангельской области «Развитие транспортной системы Архангельской области» – 46,2 млн.руб. по разработке документов транспортного планирования Архангельской области, в связи с поэтапной оплатой работ в соответствии с условиями заключенных государственных контрактов.</w:t>
      </w:r>
    </w:p>
    <w:p w14:paraId="6C563E7D" w14:textId="7070E1B9" w:rsidR="00D9060D" w:rsidRPr="00FD7B0B" w:rsidRDefault="009B516C" w:rsidP="00D9060D">
      <w:pPr>
        <w:pStyle w:val="2"/>
        <w:spacing w:before="120" w:after="0" w:line="240" w:lineRule="auto"/>
        <w:jc w:val="center"/>
        <w:rPr>
          <w:rFonts w:ascii="Times New Roman" w:hAnsi="Times New Roman"/>
          <w:lang w:val="ru-RU"/>
        </w:rPr>
      </w:pPr>
      <w:bookmarkStart w:id="112" w:name="_Toc198819129"/>
      <w:r w:rsidRPr="00FD7B0B">
        <w:rPr>
          <w:rFonts w:ascii="Times New Roman" w:hAnsi="Times New Roman"/>
          <w:lang w:val="ru-RU"/>
        </w:rPr>
        <w:t>4</w:t>
      </w:r>
      <w:r w:rsidR="00D9060D" w:rsidRPr="00FD7B0B">
        <w:rPr>
          <w:rFonts w:ascii="Times New Roman" w:hAnsi="Times New Roman"/>
          <w:lang w:val="ru-RU"/>
        </w:rPr>
        <w:t>.</w:t>
      </w:r>
      <w:r w:rsidR="007B510D" w:rsidRPr="00FD7B0B">
        <w:rPr>
          <w:rFonts w:ascii="Times New Roman" w:hAnsi="Times New Roman"/>
          <w:lang w:val="ru-RU"/>
        </w:rPr>
        <w:t>1</w:t>
      </w:r>
      <w:r w:rsidR="00D9060D" w:rsidRPr="00FD7B0B">
        <w:rPr>
          <w:rFonts w:ascii="Times New Roman" w:hAnsi="Times New Roman"/>
          <w:lang w:val="ru-RU"/>
        </w:rPr>
        <w:t>. Расходы за счет средств резервного фонда Правительства Архангельской области</w:t>
      </w:r>
      <w:bookmarkEnd w:id="111"/>
      <w:bookmarkEnd w:id="112"/>
    </w:p>
    <w:p w14:paraId="7DCF2377" w14:textId="77777777" w:rsidR="00272461" w:rsidRPr="00FD7B0B" w:rsidRDefault="00272461" w:rsidP="00272461">
      <w:pPr>
        <w:spacing w:after="0" w:line="240" w:lineRule="auto"/>
        <w:ind w:firstLine="709"/>
        <w:jc w:val="both"/>
        <w:rPr>
          <w:rFonts w:ascii="Times New Roman" w:eastAsia="Calibri" w:hAnsi="Times New Roman" w:cs="Times New Roman"/>
          <w:sz w:val="28"/>
          <w:szCs w:val="28"/>
        </w:rPr>
      </w:pPr>
      <w:bookmarkStart w:id="113" w:name="_2.3._Межбюджетные_трансферты"/>
      <w:bookmarkStart w:id="114" w:name="_4.2._Характеристика_расходов"/>
      <w:bookmarkStart w:id="115" w:name="_3.2._Межбюджетные_трансферты"/>
      <w:bookmarkStart w:id="116" w:name="_3.3._Межбюджетные_трансферты"/>
      <w:bookmarkStart w:id="117" w:name="_3.2._Межбюджетные_трансферты_1"/>
      <w:bookmarkEnd w:id="113"/>
      <w:bookmarkEnd w:id="114"/>
      <w:bookmarkEnd w:id="115"/>
      <w:bookmarkEnd w:id="116"/>
      <w:bookmarkEnd w:id="117"/>
      <w:r w:rsidRPr="00FD7B0B">
        <w:rPr>
          <w:rFonts w:ascii="Times New Roman" w:eastAsia="Calibri" w:hAnsi="Times New Roman" w:cs="Times New Roman"/>
          <w:sz w:val="28"/>
          <w:szCs w:val="28"/>
        </w:rPr>
        <w:t>Законом «Об областном бюджете» в редакции, действующей на 01.01.2024, расходы за счет средств резервного фонда Правительства Архангельской области утверждены в сумме 375,2 млн.руб.</w:t>
      </w:r>
    </w:p>
    <w:p w14:paraId="0E907C40" w14:textId="6DC0379F"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течение 2024 года в результате внесения изменений и дополнений в закон о бюджете объем бюджетных ассигнования резервного фонда Правительства Архангельской области увеличен на 128,</w:t>
      </w:r>
      <w:r w:rsidR="00CB39E1" w:rsidRPr="00FD7B0B">
        <w:rPr>
          <w:rFonts w:ascii="Times New Roman" w:eastAsia="Calibri" w:hAnsi="Times New Roman" w:cs="Times New Roman"/>
          <w:sz w:val="28"/>
          <w:szCs w:val="28"/>
        </w:rPr>
        <w:t>4</w:t>
      </w:r>
      <w:r w:rsidRPr="00FD7B0B">
        <w:rPr>
          <w:rFonts w:ascii="Times New Roman" w:eastAsia="Calibri" w:hAnsi="Times New Roman" w:cs="Times New Roman"/>
          <w:sz w:val="28"/>
          <w:szCs w:val="28"/>
        </w:rPr>
        <w:t xml:space="preserve"> млн.руб. (+34,2 %) и в редакции областного закона от 23.12.2024 № 176-13-ОЗ он составил 503,5 млн.руб. или 0,3 % общей суммы расходов, утвержденных Законом «Об областном бюджете» в редакции, действующей на 31.12.2024.</w:t>
      </w:r>
    </w:p>
    <w:p w14:paraId="57FB6C01" w14:textId="464F31B1"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Уточненной </w:t>
      </w:r>
      <w:r w:rsidR="00A66239" w:rsidRPr="00FD7B0B">
        <w:rPr>
          <w:rFonts w:ascii="Times New Roman" w:eastAsia="Calibri" w:hAnsi="Times New Roman" w:cs="Times New Roman"/>
          <w:sz w:val="28"/>
          <w:szCs w:val="28"/>
        </w:rPr>
        <w:t xml:space="preserve">сводной </w:t>
      </w:r>
      <w:r w:rsidRPr="00FD7B0B">
        <w:rPr>
          <w:rFonts w:ascii="Times New Roman" w:eastAsia="Calibri" w:hAnsi="Times New Roman" w:cs="Times New Roman"/>
          <w:sz w:val="28"/>
          <w:szCs w:val="28"/>
        </w:rPr>
        <w:t>бюджетной росписью областного бюджета на 2024 год, действующей на 31.12.2024, объем резервного фонда Правительства Архангельской области утвержден в сумме 599,8 млн.руб., что на 96,3 млн.руб. (+19,1 %) больше, чем утверждено Законом «Об областном бюджете».</w:t>
      </w:r>
    </w:p>
    <w:p w14:paraId="636B4A83" w14:textId="44DD93B9"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Таким образом, в течение 2024 года объем резервного фонда Правительства Архангельской области (далее – резервный фонд) увелич</w:t>
      </w:r>
      <w:r w:rsidR="00A66239" w:rsidRPr="00FD7B0B">
        <w:rPr>
          <w:rFonts w:ascii="Times New Roman" w:eastAsia="Calibri" w:hAnsi="Times New Roman" w:cs="Times New Roman"/>
          <w:sz w:val="28"/>
          <w:szCs w:val="28"/>
        </w:rPr>
        <w:t>ен</w:t>
      </w:r>
      <w:r w:rsidRPr="00FD7B0B">
        <w:rPr>
          <w:rFonts w:ascii="Times New Roman" w:eastAsia="Calibri" w:hAnsi="Times New Roman" w:cs="Times New Roman"/>
          <w:sz w:val="28"/>
          <w:szCs w:val="28"/>
        </w:rPr>
        <w:t xml:space="preserve"> на 224,6 млн.руб.</w:t>
      </w:r>
    </w:p>
    <w:p w14:paraId="26166FDD" w14:textId="2D5EB6D3"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Расходы, произведенные за счет средств резервного фонда за 2024 год, составили 561,5 млн.руб. или 93,6 % годовых ассигнований, утвержденных сводной бюджетной росписью.</w:t>
      </w:r>
    </w:p>
    <w:p w14:paraId="45CE36D2" w14:textId="15BAFF27"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По подгруппам вида расходов бюджетной классификации РФ произведенные за отчетный период расходы за счет средств резервного фонда представлены в таблице </w:t>
      </w:r>
      <w:r w:rsidR="008E012B" w:rsidRPr="00FD7B0B">
        <w:rPr>
          <w:rFonts w:ascii="Times New Roman" w:eastAsia="Calibri" w:hAnsi="Times New Roman" w:cs="Times New Roman"/>
          <w:sz w:val="28"/>
          <w:szCs w:val="28"/>
        </w:rPr>
        <w:t>66</w:t>
      </w:r>
      <w:r w:rsidRPr="00FD7B0B">
        <w:rPr>
          <w:rFonts w:ascii="Times New Roman" w:eastAsia="Calibri" w:hAnsi="Times New Roman" w:cs="Times New Roman"/>
          <w:sz w:val="28"/>
          <w:szCs w:val="28"/>
        </w:rPr>
        <w:t>.</w:t>
      </w:r>
    </w:p>
    <w:p w14:paraId="002FD16C" w14:textId="77777777" w:rsidR="00104D99" w:rsidRPr="00FD7B0B" w:rsidRDefault="00104D99" w:rsidP="00272461">
      <w:pPr>
        <w:spacing w:after="0" w:line="240" w:lineRule="auto"/>
        <w:ind w:firstLine="709"/>
        <w:jc w:val="both"/>
        <w:rPr>
          <w:rFonts w:ascii="Times New Roman" w:eastAsia="Calibri" w:hAnsi="Times New Roman" w:cs="Times New Roman"/>
          <w:sz w:val="28"/>
          <w:szCs w:val="28"/>
        </w:rPr>
      </w:pPr>
    </w:p>
    <w:p w14:paraId="1319DF59" w14:textId="77777777" w:rsidR="00272461" w:rsidRPr="00FD7B0B" w:rsidRDefault="00272461" w:rsidP="00104D99">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66</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областного бюджета за счет средств резервного фонда Правительства Архангельской области за 2024 год по подгруппам видов расходов бюджетной классификации РФ, млн.руб.</w:t>
      </w:r>
    </w:p>
    <w:tbl>
      <w:tblPr>
        <w:tblW w:w="9674" w:type="dxa"/>
        <w:tblInd w:w="-23"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firstRow="1" w:lastRow="0" w:firstColumn="1" w:lastColumn="0" w:noHBand="0" w:noVBand="1"/>
      </w:tblPr>
      <w:tblGrid>
        <w:gridCol w:w="5954"/>
        <w:gridCol w:w="1430"/>
        <w:gridCol w:w="1307"/>
        <w:gridCol w:w="983"/>
      </w:tblGrid>
      <w:tr w:rsidR="00FD7B0B" w:rsidRPr="00FD7B0B" w14:paraId="56AAF483" w14:textId="77777777" w:rsidTr="00104D99">
        <w:trPr>
          <w:trHeight w:val="104"/>
          <w:tblHeader/>
        </w:trPr>
        <w:tc>
          <w:tcPr>
            <w:tcW w:w="5954" w:type="dxa"/>
            <w:shd w:val="clear" w:color="auto" w:fill="auto"/>
            <w:vAlign w:val="center"/>
            <w:hideMark/>
          </w:tcPr>
          <w:p w14:paraId="629A10A1"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Наименование</w:t>
            </w:r>
          </w:p>
        </w:tc>
        <w:tc>
          <w:tcPr>
            <w:tcW w:w="1430" w:type="dxa"/>
            <w:shd w:val="clear" w:color="auto" w:fill="auto"/>
            <w:vAlign w:val="center"/>
            <w:hideMark/>
          </w:tcPr>
          <w:p w14:paraId="4B7CCC46"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Утверждено</w:t>
            </w:r>
          </w:p>
        </w:tc>
        <w:tc>
          <w:tcPr>
            <w:tcW w:w="1307" w:type="dxa"/>
            <w:shd w:val="clear" w:color="auto" w:fill="auto"/>
            <w:vAlign w:val="center"/>
            <w:hideMark/>
          </w:tcPr>
          <w:p w14:paraId="0DB586D4"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Исполнено</w:t>
            </w:r>
          </w:p>
        </w:tc>
        <w:tc>
          <w:tcPr>
            <w:tcW w:w="983" w:type="dxa"/>
            <w:shd w:val="clear" w:color="auto" w:fill="auto"/>
            <w:vAlign w:val="center"/>
            <w:hideMark/>
          </w:tcPr>
          <w:p w14:paraId="08022DFD" w14:textId="4458A86C"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w:t>
            </w:r>
            <w:r w:rsidR="00104D99" w:rsidRPr="00FD7B0B">
              <w:rPr>
                <w:rFonts w:ascii="Times New Roman" w:eastAsia="Times New Roman" w:hAnsi="Times New Roman" w:cs="Times New Roman"/>
                <w:b/>
                <w:bCs/>
                <w:lang w:eastAsia="ru-RU"/>
              </w:rPr>
              <w:t xml:space="preserve"> исполн.</w:t>
            </w:r>
          </w:p>
        </w:tc>
      </w:tr>
      <w:tr w:rsidR="00FD7B0B" w:rsidRPr="00FD7B0B" w14:paraId="2EE03A26" w14:textId="77777777" w:rsidTr="008B0880">
        <w:trPr>
          <w:trHeight w:hRule="exact" w:val="255"/>
        </w:trPr>
        <w:tc>
          <w:tcPr>
            <w:tcW w:w="5954" w:type="dxa"/>
            <w:shd w:val="clear" w:color="auto" w:fill="auto"/>
            <w:vAlign w:val="center"/>
            <w:hideMark/>
          </w:tcPr>
          <w:p w14:paraId="777328DE"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Закупки товаров, работ и услуг... (ВР 240)</w:t>
            </w:r>
          </w:p>
        </w:tc>
        <w:tc>
          <w:tcPr>
            <w:tcW w:w="1430" w:type="dxa"/>
            <w:shd w:val="clear" w:color="auto" w:fill="auto"/>
            <w:vAlign w:val="center"/>
            <w:hideMark/>
          </w:tcPr>
          <w:p w14:paraId="17F3C05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26,0</w:t>
            </w:r>
          </w:p>
        </w:tc>
        <w:tc>
          <w:tcPr>
            <w:tcW w:w="1307" w:type="dxa"/>
            <w:shd w:val="clear" w:color="auto" w:fill="auto"/>
            <w:vAlign w:val="center"/>
            <w:hideMark/>
          </w:tcPr>
          <w:p w14:paraId="7D268E7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25,8</w:t>
            </w:r>
          </w:p>
        </w:tc>
        <w:tc>
          <w:tcPr>
            <w:tcW w:w="983" w:type="dxa"/>
            <w:shd w:val="clear" w:color="auto" w:fill="auto"/>
            <w:vAlign w:val="center"/>
            <w:hideMark/>
          </w:tcPr>
          <w:p w14:paraId="4B34424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99,4</w:t>
            </w:r>
          </w:p>
        </w:tc>
      </w:tr>
      <w:tr w:rsidR="00FD7B0B" w:rsidRPr="00FD7B0B" w14:paraId="6B7990FD" w14:textId="77777777" w:rsidTr="00104D99">
        <w:trPr>
          <w:trHeight w:val="308"/>
        </w:trPr>
        <w:tc>
          <w:tcPr>
            <w:tcW w:w="5954" w:type="dxa"/>
            <w:shd w:val="clear" w:color="auto" w:fill="auto"/>
            <w:vAlign w:val="center"/>
            <w:hideMark/>
          </w:tcPr>
          <w:p w14:paraId="6B2383CB"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Публичные нормативные социальные выплаты гражданам (ВР 310)</w:t>
            </w:r>
          </w:p>
        </w:tc>
        <w:tc>
          <w:tcPr>
            <w:tcW w:w="1430" w:type="dxa"/>
            <w:shd w:val="clear" w:color="auto" w:fill="auto"/>
            <w:vAlign w:val="center"/>
            <w:hideMark/>
          </w:tcPr>
          <w:p w14:paraId="4C83E13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w:t>
            </w:r>
          </w:p>
        </w:tc>
        <w:tc>
          <w:tcPr>
            <w:tcW w:w="1307" w:type="dxa"/>
            <w:shd w:val="clear" w:color="auto" w:fill="auto"/>
            <w:vAlign w:val="center"/>
            <w:hideMark/>
          </w:tcPr>
          <w:p w14:paraId="7A64703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w:t>
            </w:r>
          </w:p>
        </w:tc>
        <w:tc>
          <w:tcPr>
            <w:tcW w:w="983" w:type="dxa"/>
            <w:shd w:val="clear" w:color="auto" w:fill="auto"/>
            <w:vAlign w:val="center"/>
            <w:hideMark/>
          </w:tcPr>
          <w:p w14:paraId="7A3201B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64B98ACB" w14:textId="77777777" w:rsidTr="00104D99">
        <w:trPr>
          <w:trHeight w:val="230"/>
        </w:trPr>
        <w:tc>
          <w:tcPr>
            <w:tcW w:w="5954" w:type="dxa"/>
            <w:shd w:val="clear" w:color="auto" w:fill="auto"/>
            <w:vAlign w:val="center"/>
            <w:hideMark/>
          </w:tcPr>
          <w:p w14:paraId="31BC3851"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Социальные выплаты гражданам, кроме публичных нормативных социальных выплат (ВР 320)</w:t>
            </w:r>
          </w:p>
        </w:tc>
        <w:tc>
          <w:tcPr>
            <w:tcW w:w="1430" w:type="dxa"/>
            <w:shd w:val="clear" w:color="auto" w:fill="auto"/>
            <w:vAlign w:val="center"/>
            <w:hideMark/>
          </w:tcPr>
          <w:p w14:paraId="1CC93F6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0,6</w:t>
            </w:r>
          </w:p>
        </w:tc>
        <w:tc>
          <w:tcPr>
            <w:tcW w:w="1307" w:type="dxa"/>
            <w:shd w:val="clear" w:color="auto" w:fill="auto"/>
            <w:vAlign w:val="center"/>
            <w:hideMark/>
          </w:tcPr>
          <w:p w14:paraId="6F91892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0,6</w:t>
            </w:r>
          </w:p>
        </w:tc>
        <w:tc>
          <w:tcPr>
            <w:tcW w:w="983" w:type="dxa"/>
            <w:shd w:val="clear" w:color="auto" w:fill="auto"/>
            <w:vAlign w:val="center"/>
            <w:hideMark/>
          </w:tcPr>
          <w:p w14:paraId="3D46EB3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47B4A9DF" w14:textId="77777777" w:rsidTr="00104D99">
        <w:trPr>
          <w:trHeight w:val="279"/>
        </w:trPr>
        <w:tc>
          <w:tcPr>
            <w:tcW w:w="5954" w:type="dxa"/>
            <w:shd w:val="clear" w:color="auto" w:fill="auto"/>
            <w:vAlign w:val="center"/>
            <w:hideMark/>
          </w:tcPr>
          <w:p w14:paraId="3D0E7F56"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Публичные нормативные выплаты гражданам несоциального характера (ВР 330)</w:t>
            </w:r>
          </w:p>
        </w:tc>
        <w:tc>
          <w:tcPr>
            <w:tcW w:w="1430" w:type="dxa"/>
            <w:shd w:val="clear" w:color="auto" w:fill="auto"/>
            <w:vAlign w:val="center"/>
            <w:hideMark/>
          </w:tcPr>
          <w:p w14:paraId="7037EE2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5,1</w:t>
            </w:r>
          </w:p>
        </w:tc>
        <w:tc>
          <w:tcPr>
            <w:tcW w:w="1307" w:type="dxa"/>
            <w:shd w:val="clear" w:color="auto" w:fill="auto"/>
            <w:vAlign w:val="center"/>
            <w:hideMark/>
          </w:tcPr>
          <w:p w14:paraId="2CB8BEF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5,1</w:t>
            </w:r>
          </w:p>
        </w:tc>
        <w:tc>
          <w:tcPr>
            <w:tcW w:w="983" w:type="dxa"/>
            <w:shd w:val="clear" w:color="auto" w:fill="auto"/>
            <w:vAlign w:val="center"/>
            <w:hideMark/>
          </w:tcPr>
          <w:p w14:paraId="4683C1F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72EFABEE" w14:textId="77777777" w:rsidTr="008B0880">
        <w:trPr>
          <w:trHeight w:hRule="exact" w:val="255"/>
        </w:trPr>
        <w:tc>
          <w:tcPr>
            <w:tcW w:w="5954" w:type="dxa"/>
            <w:shd w:val="clear" w:color="auto" w:fill="auto"/>
            <w:vAlign w:val="center"/>
            <w:hideMark/>
          </w:tcPr>
          <w:p w14:paraId="78E5AFFE"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Иные выплаты населению (ВР 360)</w:t>
            </w:r>
          </w:p>
        </w:tc>
        <w:tc>
          <w:tcPr>
            <w:tcW w:w="1430" w:type="dxa"/>
            <w:shd w:val="clear" w:color="auto" w:fill="auto"/>
            <w:vAlign w:val="center"/>
            <w:hideMark/>
          </w:tcPr>
          <w:p w14:paraId="1E9D974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0,1</w:t>
            </w:r>
          </w:p>
        </w:tc>
        <w:tc>
          <w:tcPr>
            <w:tcW w:w="1307" w:type="dxa"/>
            <w:shd w:val="clear" w:color="auto" w:fill="auto"/>
            <w:vAlign w:val="center"/>
            <w:hideMark/>
          </w:tcPr>
          <w:p w14:paraId="1EC0C61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0,1</w:t>
            </w:r>
          </w:p>
        </w:tc>
        <w:tc>
          <w:tcPr>
            <w:tcW w:w="983" w:type="dxa"/>
            <w:shd w:val="clear" w:color="auto" w:fill="auto"/>
            <w:vAlign w:val="center"/>
            <w:hideMark/>
          </w:tcPr>
          <w:p w14:paraId="647B8D7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37AA7CDE" w14:textId="77777777" w:rsidTr="008B0880">
        <w:trPr>
          <w:trHeight w:hRule="exact" w:val="255"/>
        </w:trPr>
        <w:tc>
          <w:tcPr>
            <w:tcW w:w="5954" w:type="dxa"/>
            <w:shd w:val="clear" w:color="auto" w:fill="auto"/>
            <w:vAlign w:val="center"/>
            <w:hideMark/>
          </w:tcPr>
          <w:p w14:paraId="6FA3BA27"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Иные межбюджетные трансферты (ВР 540), из них:</w:t>
            </w:r>
          </w:p>
        </w:tc>
        <w:tc>
          <w:tcPr>
            <w:tcW w:w="1430" w:type="dxa"/>
            <w:shd w:val="clear" w:color="auto" w:fill="auto"/>
            <w:vAlign w:val="center"/>
            <w:hideMark/>
          </w:tcPr>
          <w:p w14:paraId="77294B3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129,3</w:t>
            </w:r>
          </w:p>
        </w:tc>
        <w:tc>
          <w:tcPr>
            <w:tcW w:w="1307" w:type="dxa"/>
            <w:shd w:val="clear" w:color="auto" w:fill="auto"/>
            <w:vAlign w:val="center"/>
            <w:hideMark/>
          </w:tcPr>
          <w:p w14:paraId="0636C61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129,2</w:t>
            </w:r>
          </w:p>
        </w:tc>
        <w:tc>
          <w:tcPr>
            <w:tcW w:w="983" w:type="dxa"/>
            <w:shd w:val="clear" w:color="auto" w:fill="auto"/>
            <w:vAlign w:val="center"/>
            <w:hideMark/>
          </w:tcPr>
          <w:p w14:paraId="7E5901E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99,9</w:t>
            </w:r>
          </w:p>
        </w:tc>
      </w:tr>
      <w:tr w:rsidR="00FD7B0B" w:rsidRPr="00FD7B0B" w14:paraId="094E8218" w14:textId="77777777" w:rsidTr="008B0880">
        <w:trPr>
          <w:trHeight w:hRule="exact" w:val="255"/>
        </w:trPr>
        <w:tc>
          <w:tcPr>
            <w:tcW w:w="5954" w:type="dxa"/>
            <w:shd w:val="clear" w:color="auto" w:fill="auto"/>
            <w:vAlign w:val="center"/>
            <w:hideMark/>
          </w:tcPr>
          <w:p w14:paraId="22852000" w14:textId="77777777" w:rsidR="00272461" w:rsidRPr="00FD7B0B" w:rsidRDefault="00272461" w:rsidP="00272461">
            <w:pPr>
              <w:spacing w:after="0" w:line="240" w:lineRule="auto"/>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 xml:space="preserve"> - на приобретение жилых помещений</w:t>
            </w:r>
          </w:p>
        </w:tc>
        <w:tc>
          <w:tcPr>
            <w:tcW w:w="1430" w:type="dxa"/>
            <w:shd w:val="clear" w:color="auto" w:fill="auto"/>
            <w:vAlign w:val="center"/>
            <w:hideMark/>
          </w:tcPr>
          <w:p w14:paraId="6829612F" w14:textId="77777777" w:rsidR="00272461" w:rsidRPr="00FD7B0B" w:rsidRDefault="00272461" w:rsidP="00272461">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6,3 </w:t>
            </w:r>
          </w:p>
        </w:tc>
        <w:tc>
          <w:tcPr>
            <w:tcW w:w="1307" w:type="dxa"/>
            <w:shd w:val="clear" w:color="auto" w:fill="auto"/>
            <w:vAlign w:val="center"/>
            <w:hideMark/>
          </w:tcPr>
          <w:p w14:paraId="16824954" w14:textId="77777777" w:rsidR="00272461" w:rsidRPr="00FD7B0B" w:rsidRDefault="00272461" w:rsidP="00272461">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6,3 </w:t>
            </w:r>
          </w:p>
        </w:tc>
        <w:tc>
          <w:tcPr>
            <w:tcW w:w="983" w:type="dxa"/>
            <w:shd w:val="clear" w:color="auto" w:fill="auto"/>
            <w:vAlign w:val="center"/>
            <w:hideMark/>
          </w:tcPr>
          <w:p w14:paraId="1F43DBA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100,0 </w:t>
            </w:r>
          </w:p>
        </w:tc>
      </w:tr>
      <w:tr w:rsidR="00FD7B0B" w:rsidRPr="00FD7B0B" w14:paraId="0449793B" w14:textId="77777777" w:rsidTr="008B0880">
        <w:trPr>
          <w:trHeight w:hRule="exact" w:val="255"/>
        </w:trPr>
        <w:tc>
          <w:tcPr>
            <w:tcW w:w="5954" w:type="dxa"/>
            <w:shd w:val="clear" w:color="auto" w:fill="auto"/>
            <w:vAlign w:val="center"/>
            <w:hideMark/>
          </w:tcPr>
          <w:p w14:paraId="23E17FD4"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Субсидии бюджетным учреждениям (ВР 610)</w:t>
            </w:r>
          </w:p>
        </w:tc>
        <w:tc>
          <w:tcPr>
            <w:tcW w:w="1430" w:type="dxa"/>
            <w:shd w:val="clear" w:color="auto" w:fill="auto"/>
            <w:vAlign w:val="center"/>
            <w:hideMark/>
          </w:tcPr>
          <w:p w14:paraId="1CF1A8D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54,4</w:t>
            </w:r>
          </w:p>
        </w:tc>
        <w:tc>
          <w:tcPr>
            <w:tcW w:w="1307" w:type="dxa"/>
            <w:shd w:val="clear" w:color="auto" w:fill="auto"/>
            <w:vAlign w:val="center"/>
            <w:hideMark/>
          </w:tcPr>
          <w:p w14:paraId="7DE6AB6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54,4</w:t>
            </w:r>
          </w:p>
        </w:tc>
        <w:tc>
          <w:tcPr>
            <w:tcW w:w="983" w:type="dxa"/>
            <w:shd w:val="clear" w:color="auto" w:fill="auto"/>
            <w:vAlign w:val="center"/>
            <w:hideMark/>
          </w:tcPr>
          <w:p w14:paraId="154B495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06FBE997" w14:textId="77777777" w:rsidTr="008B0880">
        <w:trPr>
          <w:trHeight w:hRule="exact" w:val="255"/>
        </w:trPr>
        <w:tc>
          <w:tcPr>
            <w:tcW w:w="5954" w:type="dxa"/>
            <w:shd w:val="clear" w:color="auto" w:fill="auto"/>
            <w:vAlign w:val="center"/>
            <w:hideMark/>
          </w:tcPr>
          <w:p w14:paraId="11BC921F"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Субсидии автономным учреждениям (ВР 620)</w:t>
            </w:r>
          </w:p>
        </w:tc>
        <w:tc>
          <w:tcPr>
            <w:tcW w:w="1430" w:type="dxa"/>
            <w:shd w:val="clear" w:color="auto" w:fill="auto"/>
            <w:vAlign w:val="center"/>
            <w:hideMark/>
          </w:tcPr>
          <w:p w14:paraId="0A3E5FE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188,4</w:t>
            </w:r>
          </w:p>
        </w:tc>
        <w:tc>
          <w:tcPr>
            <w:tcW w:w="1307" w:type="dxa"/>
            <w:shd w:val="clear" w:color="auto" w:fill="auto"/>
            <w:vAlign w:val="center"/>
            <w:hideMark/>
          </w:tcPr>
          <w:p w14:paraId="15F1834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188,4</w:t>
            </w:r>
          </w:p>
        </w:tc>
        <w:tc>
          <w:tcPr>
            <w:tcW w:w="983" w:type="dxa"/>
            <w:shd w:val="clear" w:color="auto" w:fill="auto"/>
            <w:vAlign w:val="center"/>
            <w:hideMark/>
          </w:tcPr>
          <w:p w14:paraId="6D44E46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28C2E7B6" w14:textId="77777777" w:rsidTr="008B0880">
        <w:trPr>
          <w:trHeight w:hRule="exact" w:val="255"/>
        </w:trPr>
        <w:tc>
          <w:tcPr>
            <w:tcW w:w="5954" w:type="dxa"/>
            <w:shd w:val="clear" w:color="auto" w:fill="auto"/>
            <w:vAlign w:val="center"/>
            <w:hideMark/>
          </w:tcPr>
          <w:p w14:paraId="093CFE21"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Субсидии некоммерческим организациям… (ВР 630)</w:t>
            </w:r>
          </w:p>
        </w:tc>
        <w:tc>
          <w:tcPr>
            <w:tcW w:w="1430" w:type="dxa"/>
            <w:shd w:val="clear" w:color="auto" w:fill="auto"/>
            <w:vAlign w:val="center"/>
            <w:hideMark/>
          </w:tcPr>
          <w:p w14:paraId="03EDFB4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154,2</w:t>
            </w:r>
          </w:p>
        </w:tc>
        <w:tc>
          <w:tcPr>
            <w:tcW w:w="1307" w:type="dxa"/>
            <w:shd w:val="clear" w:color="auto" w:fill="auto"/>
            <w:vAlign w:val="center"/>
            <w:hideMark/>
          </w:tcPr>
          <w:p w14:paraId="5BCD8A9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152,9</w:t>
            </w:r>
          </w:p>
        </w:tc>
        <w:tc>
          <w:tcPr>
            <w:tcW w:w="983" w:type="dxa"/>
            <w:shd w:val="clear" w:color="auto" w:fill="auto"/>
            <w:vAlign w:val="center"/>
            <w:hideMark/>
          </w:tcPr>
          <w:p w14:paraId="774B8F3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99,1</w:t>
            </w:r>
          </w:p>
        </w:tc>
      </w:tr>
      <w:tr w:rsidR="00FD7B0B" w:rsidRPr="00FD7B0B" w14:paraId="05E980FB" w14:textId="77777777" w:rsidTr="008B0880">
        <w:trPr>
          <w:trHeight w:hRule="exact" w:val="255"/>
        </w:trPr>
        <w:tc>
          <w:tcPr>
            <w:tcW w:w="5954" w:type="dxa"/>
            <w:shd w:val="clear" w:color="auto" w:fill="auto"/>
            <w:vAlign w:val="center"/>
            <w:hideMark/>
          </w:tcPr>
          <w:p w14:paraId="583FEEC8"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Субсидии...- производителям товаров, работ, услуг (ВР 810)</w:t>
            </w:r>
          </w:p>
        </w:tc>
        <w:tc>
          <w:tcPr>
            <w:tcW w:w="1430" w:type="dxa"/>
            <w:shd w:val="clear" w:color="auto" w:fill="auto"/>
            <w:vAlign w:val="center"/>
            <w:hideMark/>
          </w:tcPr>
          <w:p w14:paraId="27B85B4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7,6</w:t>
            </w:r>
          </w:p>
        </w:tc>
        <w:tc>
          <w:tcPr>
            <w:tcW w:w="1307" w:type="dxa"/>
            <w:shd w:val="clear" w:color="auto" w:fill="auto"/>
            <w:vAlign w:val="center"/>
            <w:hideMark/>
          </w:tcPr>
          <w:p w14:paraId="66938159" w14:textId="3D7C7FA7" w:rsidR="00272461" w:rsidRPr="00FD7B0B" w:rsidRDefault="008B0880"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r w:rsidR="00272461" w:rsidRPr="00FD7B0B">
              <w:rPr>
                <w:rFonts w:ascii="Times New Roman" w:eastAsia="Times New Roman" w:hAnsi="Times New Roman" w:cs="Times New Roman"/>
                <w:lang w:eastAsia="ru-RU"/>
              </w:rPr>
              <w:t> </w:t>
            </w:r>
          </w:p>
        </w:tc>
        <w:tc>
          <w:tcPr>
            <w:tcW w:w="983" w:type="dxa"/>
            <w:shd w:val="clear" w:color="auto" w:fill="auto"/>
            <w:vAlign w:val="center"/>
            <w:hideMark/>
          </w:tcPr>
          <w:p w14:paraId="43D60E2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5E57D38D" w14:textId="77777777" w:rsidTr="008B0880">
        <w:trPr>
          <w:trHeight w:val="312"/>
        </w:trPr>
        <w:tc>
          <w:tcPr>
            <w:tcW w:w="5954" w:type="dxa"/>
            <w:shd w:val="clear" w:color="auto" w:fill="auto"/>
            <w:vAlign w:val="center"/>
            <w:hideMark/>
          </w:tcPr>
          <w:p w14:paraId="6A05C0FF"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Субсидии государственным корпорациям (компаниям), публично-правовым компаниям (ВР 820)</w:t>
            </w:r>
          </w:p>
        </w:tc>
        <w:tc>
          <w:tcPr>
            <w:tcW w:w="1430" w:type="dxa"/>
            <w:shd w:val="clear" w:color="auto" w:fill="auto"/>
            <w:vAlign w:val="center"/>
            <w:hideMark/>
          </w:tcPr>
          <w:p w14:paraId="79C9F01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w:t>
            </w:r>
          </w:p>
        </w:tc>
        <w:tc>
          <w:tcPr>
            <w:tcW w:w="1307" w:type="dxa"/>
            <w:shd w:val="clear" w:color="auto" w:fill="auto"/>
            <w:vAlign w:val="center"/>
            <w:hideMark/>
          </w:tcPr>
          <w:p w14:paraId="530CB36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w:t>
            </w:r>
          </w:p>
        </w:tc>
        <w:tc>
          <w:tcPr>
            <w:tcW w:w="983" w:type="dxa"/>
            <w:shd w:val="clear" w:color="auto" w:fill="auto"/>
            <w:vAlign w:val="center"/>
            <w:hideMark/>
          </w:tcPr>
          <w:p w14:paraId="294BDC8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376A9FFC" w14:textId="77777777" w:rsidTr="008B0880">
        <w:trPr>
          <w:trHeight w:hRule="exact" w:val="255"/>
        </w:trPr>
        <w:tc>
          <w:tcPr>
            <w:tcW w:w="5954" w:type="dxa"/>
            <w:shd w:val="clear" w:color="auto" w:fill="auto"/>
            <w:vAlign w:val="center"/>
            <w:hideMark/>
          </w:tcPr>
          <w:p w14:paraId="6A5B9E03"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Резервные средства (ВР 870)</w:t>
            </w:r>
          </w:p>
        </w:tc>
        <w:tc>
          <w:tcPr>
            <w:tcW w:w="1430" w:type="dxa"/>
            <w:shd w:val="clear" w:color="auto" w:fill="auto"/>
            <w:vAlign w:val="center"/>
            <w:hideMark/>
          </w:tcPr>
          <w:p w14:paraId="57C9D87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29,1</w:t>
            </w:r>
          </w:p>
        </w:tc>
        <w:tc>
          <w:tcPr>
            <w:tcW w:w="1307" w:type="dxa"/>
            <w:shd w:val="clear" w:color="auto" w:fill="auto"/>
            <w:vAlign w:val="center"/>
            <w:hideMark/>
          </w:tcPr>
          <w:p w14:paraId="75824556" w14:textId="1193FD95" w:rsidR="00272461" w:rsidRPr="00FD7B0B" w:rsidRDefault="00AA69A8"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r w:rsidR="00272461" w:rsidRPr="00FD7B0B">
              <w:rPr>
                <w:rFonts w:ascii="Times New Roman" w:eastAsia="Times New Roman" w:hAnsi="Times New Roman" w:cs="Times New Roman"/>
                <w:lang w:eastAsia="ru-RU"/>
              </w:rPr>
              <w:t> </w:t>
            </w:r>
          </w:p>
        </w:tc>
        <w:tc>
          <w:tcPr>
            <w:tcW w:w="983" w:type="dxa"/>
            <w:shd w:val="clear" w:color="auto" w:fill="auto"/>
            <w:vAlign w:val="center"/>
            <w:hideMark/>
          </w:tcPr>
          <w:p w14:paraId="21AAFAF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18355AA2" w14:textId="77777777" w:rsidTr="008B0880">
        <w:trPr>
          <w:trHeight w:hRule="exact" w:val="255"/>
        </w:trPr>
        <w:tc>
          <w:tcPr>
            <w:tcW w:w="5954" w:type="dxa"/>
            <w:shd w:val="clear" w:color="auto" w:fill="auto"/>
            <w:vAlign w:val="center"/>
            <w:hideMark/>
          </w:tcPr>
          <w:p w14:paraId="1088609D" w14:textId="77777777" w:rsidR="00272461" w:rsidRPr="00FD7B0B" w:rsidRDefault="00272461" w:rsidP="00272461">
            <w:pPr>
              <w:spacing w:after="0" w:line="240" w:lineRule="auto"/>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Итого</w:t>
            </w:r>
          </w:p>
        </w:tc>
        <w:tc>
          <w:tcPr>
            <w:tcW w:w="1430" w:type="dxa"/>
            <w:shd w:val="clear" w:color="auto" w:fill="auto"/>
            <w:vAlign w:val="center"/>
            <w:hideMark/>
          </w:tcPr>
          <w:p w14:paraId="5AEF273F" w14:textId="77777777" w:rsidR="00272461" w:rsidRPr="00FD7B0B" w:rsidRDefault="00272461" w:rsidP="00272461">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599,8</w:t>
            </w:r>
          </w:p>
        </w:tc>
        <w:tc>
          <w:tcPr>
            <w:tcW w:w="1307" w:type="dxa"/>
            <w:shd w:val="clear" w:color="auto" w:fill="auto"/>
            <w:vAlign w:val="center"/>
            <w:hideMark/>
          </w:tcPr>
          <w:p w14:paraId="23C18F47" w14:textId="77777777" w:rsidR="00272461" w:rsidRPr="00FD7B0B" w:rsidRDefault="00272461" w:rsidP="00272461">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561,5</w:t>
            </w:r>
          </w:p>
        </w:tc>
        <w:tc>
          <w:tcPr>
            <w:tcW w:w="983" w:type="dxa"/>
            <w:shd w:val="clear" w:color="auto" w:fill="auto"/>
            <w:vAlign w:val="center"/>
            <w:hideMark/>
          </w:tcPr>
          <w:p w14:paraId="53A26624" w14:textId="77777777" w:rsidR="00272461" w:rsidRPr="00FD7B0B" w:rsidRDefault="00272461" w:rsidP="00272461">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93,6</w:t>
            </w:r>
          </w:p>
        </w:tc>
      </w:tr>
    </w:tbl>
    <w:p w14:paraId="51E2AD60" w14:textId="77777777" w:rsidR="00272461" w:rsidRPr="00FD7B0B" w:rsidRDefault="00272461" w:rsidP="00272461">
      <w:pPr>
        <w:spacing w:after="0" w:line="240" w:lineRule="auto"/>
        <w:ind w:firstLine="709"/>
        <w:jc w:val="both"/>
        <w:rPr>
          <w:rFonts w:ascii="Times New Roman" w:eastAsia="Calibri" w:hAnsi="Times New Roman" w:cs="Times New Roman"/>
          <w:sz w:val="28"/>
          <w:szCs w:val="28"/>
        </w:rPr>
      </w:pPr>
    </w:p>
    <w:p w14:paraId="00222262" w14:textId="77777777"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Наибольшая доля расходов за счет средств резервного фонда за отчетный период направлена в виде субсидий автономным учреждениям на сумму 188,4 млн.руб. или 33,6 % от общей суммы расходов за счет данного фонда.</w:t>
      </w:r>
    </w:p>
    <w:p w14:paraId="388DA94C" w14:textId="77777777" w:rsidR="00272461" w:rsidRPr="00FD7B0B" w:rsidRDefault="00272461" w:rsidP="00272461">
      <w:pPr>
        <w:spacing w:after="0" w:line="240" w:lineRule="auto"/>
        <w:ind w:firstLine="709"/>
        <w:jc w:val="both"/>
        <w:rPr>
          <w:rFonts w:ascii="Times New Roman" w:eastAsia="Calibri" w:hAnsi="Times New Roman" w:cs="Times New Roman"/>
          <w:sz w:val="28"/>
          <w:szCs w:val="28"/>
        </w:rPr>
      </w:pPr>
    </w:p>
    <w:p w14:paraId="2DA49C15" w14:textId="02CE2A01"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подразделам бюджетной классификации РФ расходы за счет резерв</w:t>
      </w:r>
      <w:r w:rsidR="006876B3" w:rsidRPr="00FD7B0B">
        <w:rPr>
          <w:rFonts w:ascii="Times New Roman" w:eastAsia="Calibri" w:hAnsi="Times New Roman" w:cs="Times New Roman"/>
          <w:sz w:val="28"/>
          <w:szCs w:val="28"/>
        </w:rPr>
        <w:t xml:space="preserve">ного фонда приведены в таблице </w:t>
      </w:r>
      <w:r w:rsidR="008E012B" w:rsidRPr="00FD7B0B">
        <w:rPr>
          <w:rFonts w:ascii="Times New Roman" w:eastAsia="Calibri" w:hAnsi="Times New Roman" w:cs="Times New Roman"/>
          <w:sz w:val="28"/>
          <w:szCs w:val="28"/>
        </w:rPr>
        <w:t>67</w:t>
      </w:r>
      <w:r w:rsidRPr="00FD7B0B">
        <w:rPr>
          <w:rFonts w:ascii="Times New Roman" w:eastAsia="Calibri" w:hAnsi="Times New Roman" w:cs="Times New Roman"/>
          <w:sz w:val="28"/>
          <w:szCs w:val="28"/>
        </w:rPr>
        <w:t>.</w:t>
      </w:r>
    </w:p>
    <w:p w14:paraId="1F04A0D5" w14:textId="77777777" w:rsidR="00272461" w:rsidRPr="00FD7B0B" w:rsidRDefault="00272461" w:rsidP="006876B3">
      <w:pPr>
        <w:pStyle w:val="aff0"/>
        <w:spacing w:after="0" w:line="240" w:lineRule="auto"/>
        <w:rPr>
          <w:rFonts w:ascii="Times New Roman" w:hAnsi="Times New Roman"/>
          <w:b w:val="0"/>
          <w:sz w:val="24"/>
          <w:szCs w:val="24"/>
        </w:rPr>
      </w:pPr>
    </w:p>
    <w:p w14:paraId="0F9ABEA2" w14:textId="77777777" w:rsidR="00272461" w:rsidRPr="00FD7B0B" w:rsidRDefault="00272461" w:rsidP="006876B3">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67</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областного бюджета за 2024 год за счет средств резервного фонда по подразделам бюджетной классификации РФ, млн.руб.</w:t>
      </w:r>
    </w:p>
    <w:tbl>
      <w:tblPr>
        <w:tblW w:w="9606" w:type="dxa"/>
        <w:tblInd w:w="-23"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firstRow="1" w:lastRow="0" w:firstColumn="1" w:lastColumn="0" w:noHBand="0" w:noVBand="1"/>
      </w:tblPr>
      <w:tblGrid>
        <w:gridCol w:w="5886"/>
        <w:gridCol w:w="1430"/>
        <w:gridCol w:w="1307"/>
        <w:gridCol w:w="983"/>
      </w:tblGrid>
      <w:tr w:rsidR="00FD7B0B" w:rsidRPr="00FD7B0B" w14:paraId="6E6EB107" w14:textId="77777777" w:rsidTr="006876B3">
        <w:trPr>
          <w:trHeight w:val="95"/>
          <w:tblHeader/>
        </w:trPr>
        <w:tc>
          <w:tcPr>
            <w:tcW w:w="5954" w:type="dxa"/>
            <w:shd w:val="clear" w:color="auto" w:fill="auto"/>
            <w:vAlign w:val="center"/>
            <w:hideMark/>
          </w:tcPr>
          <w:p w14:paraId="3E90099E"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Наименование</w:t>
            </w:r>
          </w:p>
        </w:tc>
        <w:tc>
          <w:tcPr>
            <w:tcW w:w="1430" w:type="dxa"/>
            <w:shd w:val="clear" w:color="auto" w:fill="auto"/>
            <w:vAlign w:val="center"/>
            <w:hideMark/>
          </w:tcPr>
          <w:p w14:paraId="36CDD827"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Утверждено</w:t>
            </w:r>
          </w:p>
        </w:tc>
        <w:tc>
          <w:tcPr>
            <w:tcW w:w="1307" w:type="dxa"/>
            <w:shd w:val="clear" w:color="auto" w:fill="auto"/>
            <w:vAlign w:val="center"/>
            <w:hideMark/>
          </w:tcPr>
          <w:p w14:paraId="11EA1D46"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Исполнено</w:t>
            </w:r>
          </w:p>
        </w:tc>
        <w:tc>
          <w:tcPr>
            <w:tcW w:w="915" w:type="dxa"/>
            <w:shd w:val="clear" w:color="auto" w:fill="auto"/>
            <w:vAlign w:val="center"/>
            <w:hideMark/>
          </w:tcPr>
          <w:p w14:paraId="5D71B662" w14:textId="35232CD0"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w:t>
            </w:r>
            <w:r w:rsidR="006876B3" w:rsidRPr="00FD7B0B">
              <w:rPr>
                <w:rFonts w:ascii="Times New Roman" w:eastAsia="Times New Roman" w:hAnsi="Times New Roman" w:cs="Times New Roman"/>
                <w:b/>
                <w:bCs/>
                <w:lang w:eastAsia="ru-RU"/>
              </w:rPr>
              <w:t xml:space="preserve"> исполн.</w:t>
            </w:r>
          </w:p>
        </w:tc>
      </w:tr>
      <w:tr w:rsidR="00FD7B0B" w:rsidRPr="00FD7B0B" w14:paraId="164C200E" w14:textId="77777777" w:rsidTr="00B9208F">
        <w:trPr>
          <w:trHeight w:hRule="exact" w:val="255"/>
        </w:trPr>
        <w:tc>
          <w:tcPr>
            <w:tcW w:w="5954" w:type="dxa"/>
            <w:shd w:val="clear" w:color="auto" w:fill="auto"/>
            <w:vAlign w:val="center"/>
            <w:hideMark/>
          </w:tcPr>
          <w:p w14:paraId="278A5B2C"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Резервные фонды</w:t>
            </w:r>
          </w:p>
        </w:tc>
        <w:tc>
          <w:tcPr>
            <w:tcW w:w="1430" w:type="dxa"/>
            <w:shd w:val="clear" w:color="auto" w:fill="auto"/>
            <w:vAlign w:val="center"/>
            <w:hideMark/>
          </w:tcPr>
          <w:p w14:paraId="01D863C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29,1</w:t>
            </w:r>
          </w:p>
        </w:tc>
        <w:tc>
          <w:tcPr>
            <w:tcW w:w="1307" w:type="dxa"/>
            <w:shd w:val="clear" w:color="auto" w:fill="auto"/>
            <w:vAlign w:val="center"/>
            <w:hideMark/>
          </w:tcPr>
          <w:p w14:paraId="6577A28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0,0 </w:t>
            </w:r>
          </w:p>
        </w:tc>
        <w:tc>
          <w:tcPr>
            <w:tcW w:w="915" w:type="dxa"/>
            <w:shd w:val="clear" w:color="auto" w:fill="auto"/>
            <w:vAlign w:val="center"/>
            <w:hideMark/>
          </w:tcPr>
          <w:p w14:paraId="39A1FBF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01CE9010" w14:textId="77777777" w:rsidTr="00B9208F">
        <w:trPr>
          <w:trHeight w:val="326"/>
        </w:trPr>
        <w:tc>
          <w:tcPr>
            <w:tcW w:w="5954" w:type="dxa"/>
            <w:shd w:val="clear" w:color="auto" w:fill="auto"/>
            <w:vAlign w:val="center"/>
            <w:hideMark/>
          </w:tcPr>
          <w:p w14:paraId="01766D17"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Прикладные научные исследования в области общегосударственных вопросов</w:t>
            </w:r>
          </w:p>
        </w:tc>
        <w:tc>
          <w:tcPr>
            <w:tcW w:w="1430" w:type="dxa"/>
            <w:shd w:val="clear" w:color="auto" w:fill="auto"/>
            <w:vAlign w:val="center"/>
            <w:hideMark/>
          </w:tcPr>
          <w:p w14:paraId="3743C11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w:t>
            </w:r>
          </w:p>
        </w:tc>
        <w:tc>
          <w:tcPr>
            <w:tcW w:w="1307" w:type="dxa"/>
            <w:shd w:val="clear" w:color="auto" w:fill="auto"/>
            <w:vAlign w:val="center"/>
            <w:hideMark/>
          </w:tcPr>
          <w:p w14:paraId="3D52FF2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w:t>
            </w:r>
          </w:p>
        </w:tc>
        <w:tc>
          <w:tcPr>
            <w:tcW w:w="915" w:type="dxa"/>
            <w:shd w:val="clear" w:color="auto" w:fill="auto"/>
            <w:vAlign w:val="center"/>
            <w:hideMark/>
          </w:tcPr>
          <w:p w14:paraId="3414174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24714262" w14:textId="77777777" w:rsidTr="00B9208F">
        <w:trPr>
          <w:trHeight w:hRule="exact" w:val="255"/>
        </w:trPr>
        <w:tc>
          <w:tcPr>
            <w:tcW w:w="5954" w:type="dxa"/>
            <w:shd w:val="clear" w:color="auto" w:fill="auto"/>
            <w:vAlign w:val="center"/>
            <w:hideMark/>
          </w:tcPr>
          <w:p w14:paraId="6C7953EE"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общегосударственные вопросы</w:t>
            </w:r>
          </w:p>
        </w:tc>
        <w:tc>
          <w:tcPr>
            <w:tcW w:w="1430" w:type="dxa"/>
            <w:shd w:val="clear" w:color="auto" w:fill="auto"/>
            <w:vAlign w:val="center"/>
            <w:hideMark/>
          </w:tcPr>
          <w:p w14:paraId="0595D26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71,2</w:t>
            </w:r>
          </w:p>
        </w:tc>
        <w:tc>
          <w:tcPr>
            <w:tcW w:w="1307" w:type="dxa"/>
            <w:shd w:val="clear" w:color="auto" w:fill="auto"/>
            <w:vAlign w:val="center"/>
            <w:hideMark/>
          </w:tcPr>
          <w:p w14:paraId="5FB60E2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69,9</w:t>
            </w:r>
          </w:p>
        </w:tc>
        <w:tc>
          <w:tcPr>
            <w:tcW w:w="915" w:type="dxa"/>
            <w:shd w:val="clear" w:color="auto" w:fill="auto"/>
            <w:vAlign w:val="center"/>
            <w:hideMark/>
          </w:tcPr>
          <w:p w14:paraId="6649488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98,2</w:t>
            </w:r>
          </w:p>
        </w:tc>
      </w:tr>
      <w:tr w:rsidR="00FD7B0B" w:rsidRPr="00FD7B0B" w14:paraId="4BB27553" w14:textId="77777777" w:rsidTr="00B9208F">
        <w:trPr>
          <w:trHeight w:hRule="exact" w:val="255"/>
        </w:trPr>
        <w:tc>
          <w:tcPr>
            <w:tcW w:w="5954" w:type="dxa"/>
            <w:shd w:val="clear" w:color="auto" w:fill="auto"/>
            <w:vAlign w:val="center"/>
            <w:hideMark/>
          </w:tcPr>
          <w:p w14:paraId="280C786E"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Мобилизационная и вневойсковая подготовка</w:t>
            </w:r>
          </w:p>
        </w:tc>
        <w:tc>
          <w:tcPr>
            <w:tcW w:w="1430" w:type="dxa"/>
            <w:shd w:val="clear" w:color="auto" w:fill="auto"/>
            <w:vAlign w:val="center"/>
            <w:hideMark/>
          </w:tcPr>
          <w:p w14:paraId="0174CAB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8,3</w:t>
            </w:r>
          </w:p>
        </w:tc>
        <w:tc>
          <w:tcPr>
            <w:tcW w:w="1307" w:type="dxa"/>
            <w:shd w:val="clear" w:color="auto" w:fill="auto"/>
            <w:vAlign w:val="center"/>
            <w:hideMark/>
          </w:tcPr>
          <w:p w14:paraId="78925FA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8,3</w:t>
            </w:r>
          </w:p>
        </w:tc>
        <w:tc>
          <w:tcPr>
            <w:tcW w:w="915" w:type="dxa"/>
            <w:shd w:val="clear" w:color="auto" w:fill="auto"/>
            <w:vAlign w:val="center"/>
            <w:hideMark/>
          </w:tcPr>
          <w:p w14:paraId="226D070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4C94B377" w14:textId="77777777" w:rsidTr="00B9208F">
        <w:trPr>
          <w:trHeight w:val="270"/>
        </w:trPr>
        <w:tc>
          <w:tcPr>
            <w:tcW w:w="5954" w:type="dxa"/>
            <w:shd w:val="clear" w:color="auto" w:fill="auto"/>
            <w:vAlign w:val="center"/>
            <w:hideMark/>
          </w:tcPr>
          <w:p w14:paraId="184BC154"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Защита населения и территории от ЧС природного и техногенного характера, пожарная безопасность</w:t>
            </w:r>
          </w:p>
        </w:tc>
        <w:tc>
          <w:tcPr>
            <w:tcW w:w="1430" w:type="dxa"/>
            <w:shd w:val="clear" w:color="auto" w:fill="auto"/>
            <w:vAlign w:val="center"/>
            <w:hideMark/>
          </w:tcPr>
          <w:p w14:paraId="2D4474A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w:t>
            </w:r>
          </w:p>
        </w:tc>
        <w:tc>
          <w:tcPr>
            <w:tcW w:w="1307" w:type="dxa"/>
            <w:shd w:val="clear" w:color="auto" w:fill="auto"/>
            <w:vAlign w:val="center"/>
            <w:hideMark/>
          </w:tcPr>
          <w:p w14:paraId="363B186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w:t>
            </w:r>
          </w:p>
        </w:tc>
        <w:tc>
          <w:tcPr>
            <w:tcW w:w="915" w:type="dxa"/>
            <w:shd w:val="clear" w:color="auto" w:fill="auto"/>
            <w:vAlign w:val="center"/>
            <w:hideMark/>
          </w:tcPr>
          <w:p w14:paraId="1424386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7F52193D" w14:textId="77777777" w:rsidTr="00B9208F">
        <w:trPr>
          <w:trHeight w:hRule="exact" w:val="255"/>
        </w:trPr>
        <w:tc>
          <w:tcPr>
            <w:tcW w:w="5954" w:type="dxa"/>
            <w:shd w:val="clear" w:color="auto" w:fill="auto"/>
            <w:vAlign w:val="center"/>
            <w:hideMark/>
          </w:tcPr>
          <w:p w14:paraId="7FB5B338"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Транспорт</w:t>
            </w:r>
          </w:p>
        </w:tc>
        <w:tc>
          <w:tcPr>
            <w:tcW w:w="1430" w:type="dxa"/>
            <w:shd w:val="clear" w:color="auto" w:fill="auto"/>
            <w:vAlign w:val="center"/>
            <w:hideMark/>
          </w:tcPr>
          <w:p w14:paraId="78A9671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12,4</w:t>
            </w:r>
          </w:p>
        </w:tc>
        <w:tc>
          <w:tcPr>
            <w:tcW w:w="1307" w:type="dxa"/>
            <w:shd w:val="clear" w:color="auto" w:fill="auto"/>
            <w:vAlign w:val="center"/>
            <w:hideMark/>
          </w:tcPr>
          <w:p w14:paraId="15E6132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4,9</w:t>
            </w:r>
          </w:p>
        </w:tc>
        <w:tc>
          <w:tcPr>
            <w:tcW w:w="915" w:type="dxa"/>
            <w:shd w:val="clear" w:color="auto" w:fill="auto"/>
            <w:vAlign w:val="center"/>
            <w:hideMark/>
          </w:tcPr>
          <w:p w14:paraId="3679F25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39,3</w:t>
            </w:r>
          </w:p>
        </w:tc>
      </w:tr>
      <w:tr w:rsidR="00FD7B0B" w:rsidRPr="00FD7B0B" w14:paraId="7BF9A1C1" w14:textId="77777777" w:rsidTr="00B9208F">
        <w:trPr>
          <w:trHeight w:hRule="exact" w:val="255"/>
        </w:trPr>
        <w:tc>
          <w:tcPr>
            <w:tcW w:w="5954" w:type="dxa"/>
            <w:shd w:val="clear" w:color="auto" w:fill="auto"/>
            <w:vAlign w:val="center"/>
            <w:hideMark/>
          </w:tcPr>
          <w:p w14:paraId="0B9F371E"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Дорожное хозяйство (дорожные фонды)</w:t>
            </w:r>
          </w:p>
        </w:tc>
        <w:tc>
          <w:tcPr>
            <w:tcW w:w="1430" w:type="dxa"/>
            <w:shd w:val="clear" w:color="auto" w:fill="auto"/>
            <w:vAlign w:val="center"/>
            <w:hideMark/>
          </w:tcPr>
          <w:p w14:paraId="76123A6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w:t>
            </w:r>
          </w:p>
        </w:tc>
        <w:tc>
          <w:tcPr>
            <w:tcW w:w="1307" w:type="dxa"/>
            <w:shd w:val="clear" w:color="auto" w:fill="auto"/>
            <w:vAlign w:val="center"/>
            <w:hideMark/>
          </w:tcPr>
          <w:p w14:paraId="3457B70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2,6</w:t>
            </w:r>
          </w:p>
        </w:tc>
        <w:tc>
          <w:tcPr>
            <w:tcW w:w="915" w:type="dxa"/>
            <w:shd w:val="clear" w:color="auto" w:fill="auto"/>
            <w:vAlign w:val="center"/>
            <w:hideMark/>
          </w:tcPr>
          <w:p w14:paraId="2416063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96,4</w:t>
            </w:r>
          </w:p>
        </w:tc>
      </w:tr>
      <w:tr w:rsidR="00FD7B0B" w:rsidRPr="00FD7B0B" w14:paraId="7E92CED2" w14:textId="77777777" w:rsidTr="00B9208F">
        <w:trPr>
          <w:trHeight w:hRule="exact" w:val="255"/>
        </w:trPr>
        <w:tc>
          <w:tcPr>
            <w:tcW w:w="5954" w:type="dxa"/>
            <w:shd w:val="clear" w:color="auto" w:fill="auto"/>
            <w:vAlign w:val="center"/>
            <w:hideMark/>
          </w:tcPr>
          <w:p w14:paraId="32BF5C47"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Связь и информатика</w:t>
            </w:r>
          </w:p>
        </w:tc>
        <w:tc>
          <w:tcPr>
            <w:tcW w:w="1430" w:type="dxa"/>
            <w:shd w:val="clear" w:color="auto" w:fill="auto"/>
            <w:vAlign w:val="center"/>
            <w:hideMark/>
          </w:tcPr>
          <w:p w14:paraId="7243F0A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15,2</w:t>
            </w:r>
          </w:p>
        </w:tc>
        <w:tc>
          <w:tcPr>
            <w:tcW w:w="1307" w:type="dxa"/>
            <w:shd w:val="clear" w:color="auto" w:fill="auto"/>
            <w:vAlign w:val="center"/>
            <w:hideMark/>
          </w:tcPr>
          <w:p w14:paraId="3374F15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15,2</w:t>
            </w:r>
          </w:p>
        </w:tc>
        <w:tc>
          <w:tcPr>
            <w:tcW w:w="915" w:type="dxa"/>
            <w:shd w:val="clear" w:color="auto" w:fill="auto"/>
            <w:vAlign w:val="center"/>
            <w:hideMark/>
          </w:tcPr>
          <w:p w14:paraId="285C78C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649C1481" w14:textId="77777777" w:rsidTr="00B9208F">
        <w:trPr>
          <w:trHeight w:hRule="exact" w:val="255"/>
        </w:trPr>
        <w:tc>
          <w:tcPr>
            <w:tcW w:w="5954" w:type="dxa"/>
            <w:shd w:val="clear" w:color="auto" w:fill="auto"/>
            <w:vAlign w:val="center"/>
            <w:hideMark/>
          </w:tcPr>
          <w:p w14:paraId="61154EA4"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lastRenderedPageBreak/>
              <w:t>Другие вопросы в области национальной экономики</w:t>
            </w:r>
          </w:p>
        </w:tc>
        <w:tc>
          <w:tcPr>
            <w:tcW w:w="1430" w:type="dxa"/>
            <w:shd w:val="clear" w:color="auto" w:fill="auto"/>
            <w:vAlign w:val="center"/>
            <w:hideMark/>
          </w:tcPr>
          <w:p w14:paraId="0976C94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56,0</w:t>
            </w:r>
          </w:p>
        </w:tc>
        <w:tc>
          <w:tcPr>
            <w:tcW w:w="1307" w:type="dxa"/>
            <w:shd w:val="clear" w:color="auto" w:fill="auto"/>
            <w:vAlign w:val="center"/>
            <w:hideMark/>
          </w:tcPr>
          <w:p w14:paraId="2D13E77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55,9</w:t>
            </w:r>
          </w:p>
        </w:tc>
        <w:tc>
          <w:tcPr>
            <w:tcW w:w="915" w:type="dxa"/>
            <w:shd w:val="clear" w:color="auto" w:fill="auto"/>
            <w:vAlign w:val="center"/>
            <w:hideMark/>
          </w:tcPr>
          <w:p w14:paraId="6FA33E5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99,8</w:t>
            </w:r>
          </w:p>
        </w:tc>
      </w:tr>
      <w:tr w:rsidR="00FD7B0B" w:rsidRPr="00FD7B0B" w14:paraId="7560A5AF" w14:textId="77777777" w:rsidTr="00B9208F">
        <w:trPr>
          <w:trHeight w:hRule="exact" w:val="255"/>
        </w:trPr>
        <w:tc>
          <w:tcPr>
            <w:tcW w:w="5954" w:type="dxa"/>
            <w:shd w:val="clear" w:color="auto" w:fill="auto"/>
            <w:vAlign w:val="center"/>
            <w:hideMark/>
          </w:tcPr>
          <w:p w14:paraId="52CB84FC"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Жилищное хозяйство</w:t>
            </w:r>
          </w:p>
        </w:tc>
        <w:tc>
          <w:tcPr>
            <w:tcW w:w="1430" w:type="dxa"/>
            <w:shd w:val="clear" w:color="auto" w:fill="auto"/>
            <w:vAlign w:val="center"/>
            <w:hideMark/>
          </w:tcPr>
          <w:p w14:paraId="64B9958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33,4</w:t>
            </w:r>
          </w:p>
        </w:tc>
        <w:tc>
          <w:tcPr>
            <w:tcW w:w="1307" w:type="dxa"/>
            <w:shd w:val="clear" w:color="auto" w:fill="auto"/>
            <w:vAlign w:val="center"/>
            <w:hideMark/>
          </w:tcPr>
          <w:p w14:paraId="3EA96D8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33,4</w:t>
            </w:r>
          </w:p>
        </w:tc>
        <w:tc>
          <w:tcPr>
            <w:tcW w:w="915" w:type="dxa"/>
            <w:shd w:val="clear" w:color="auto" w:fill="auto"/>
            <w:vAlign w:val="center"/>
            <w:hideMark/>
          </w:tcPr>
          <w:p w14:paraId="04DB8A9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2463BAF9" w14:textId="77777777" w:rsidTr="00B9208F">
        <w:trPr>
          <w:trHeight w:hRule="exact" w:val="255"/>
        </w:trPr>
        <w:tc>
          <w:tcPr>
            <w:tcW w:w="5954" w:type="dxa"/>
            <w:shd w:val="clear" w:color="auto" w:fill="auto"/>
            <w:vAlign w:val="center"/>
            <w:hideMark/>
          </w:tcPr>
          <w:p w14:paraId="17C11AD2"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Коммунальное хозяйство</w:t>
            </w:r>
          </w:p>
        </w:tc>
        <w:tc>
          <w:tcPr>
            <w:tcW w:w="1430" w:type="dxa"/>
            <w:shd w:val="clear" w:color="auto" w:fill="auto"/>
            <w:vAlign w:val="center"/>
            <w:hideMark/>
          </w:tcPr>
          <w:p w14:paraId="662EA1A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w:t>
            </w:r>
          </w:p>
        </w:tc>
        <w:tc>
          <w:tcPr>
            <w:tcW w:w="1307" w:type="dxa"/>
            <w:shd w:val="clear" w:color="auto" w:fill="auto"/>
            <w:vAlign w:val="center"/>
            <w:hideMark/>
          </w:tcPr>
          <w:p w14:paraId="25FCB32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w:t>
            </w:r>
          </w:p>
        </w:tc>
        <w:tc>
          <w:tcPr>
            <w:tcW w:w="915" w:type="dxa"/>
            <w:shd w:val="clear" w:color="auto" w:fill="auto"/>
            <w:vAlign w:val="center"/>
            <w:hideMark/>
          </w:tcPr>
          <w:p w14:paraId="6A71A21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0E7C0A2E" w14:textId="77777777" w:rsidTr="00B9208F">
        <w:trPr>
          <w:trHeight w:hRule="exact" w:val="255"/>
        </w:trPr>
        <w:tc>
          <w:tcPr>
            <w:tcW w:w="5954" w:type="dxa"/>
            <w:shd w:val="clear" w:color="auto" w:fill="auto"/>
            <w:vAlign w:val="center"/>
            <w:hideMark/>
          </w:tcPr>
          <w:p w14:paraId="2108B6E7"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Благоустройство</w:t>
            </w:r>
          </w:p>
        </w:tc>
        <w:tc>
          <w:tcPr>
            <w:tcW w:w="1430" w:type="dxa"/>
            <w:shd w:val="clear" w:color="auto" w:fill="auto"/>
            <w:vAlign w:val="center"/>
            <w:hideMark/>
          </w:tcPr>
          <w:p w14:paraId="665D8A9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4,1</w:t>
            </w:r>
          </w:p>
        </w:tc>
        <w:tc>
          <w:tcPr>
            <w:tcW w:w="1307" w:type="dxa"/>
            <w:shd w:val="clear" w:color="auto" w:fill="auto"/>
            <w:vAlign w:val="center"/>
            <w:hideMark/>
          </w:tcPr>
          <w:p w14:paraId="2D9AB86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4,1</w:t>
            </w:r>
          </w:p>
        </w:tc>
        <w:tc>
          <w:tcPr>
            <w:tcW w:w="915" w:type="dxa"/>
            <w:shd w:val="clear" w:color="auto" w:fill="auto"/>
            <w:vAlign w:val="center"/>
            <w:hideMark/>
          </w:tcPr>
          <w:p w14:paraId="23A1BA7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25A1E3A2" w14:textId="77777777" w:rsidTr="00B9208F">
        <w:trPr>
          <w:trHeight w:hRule="exact" w:val="255"/>
        </w:trPr>
        <w:tc>
          <w:tcPr>
            <w:tcW w:w="5954" w:type="dxa"/>
            <w:shd w:val="clear" w:color="auto" w:fill="auto"/>
            <w:vAlign w:val="center"/>
            <w:hideMark/>
          </w:tcPr>
          <w:p w14:paraId="479F461A"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вопросы в области ЖКХ</w:t>
            </w:r>
          </w:p>
        </w:tc>
        <w:tc>
          <w:tcPr>
            <w:tcW w:w="1430" w:type="dxa"/>
            <w:shd w:val="clear" w:color="auto" w:fill="auto"/>
            <w:vAlign w:val="center"/>
            <w:hideMark/>
          </w:tcPr>
          <w:p w14:paraId="4451208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w:t>
            </w:r>
          </w:p>
        </w:tc>
        <w:tc>
          <w:tcPr>
            <w:tcW w:w="1307" w:type="dxa"/>
            <w:shd w:val="clear" w:color="auto" w:fill="auto"/>
            <w:vAlign w:val="center"/>
            <w:hideMark/>
          </w:tcPr>
          <w:p w14:paraId="775A712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w:t>
            </w:r>
          </w:p>
        </w:tc>
        <w:tc>
          <w:tcPr>
            <w:tcW w:w="915" w:type="dxa"/>
            <w:shd w:val="clear" w:color="auto" w:fill="auto"/>
            <w:vAlign w:val="center"/>
            <w:hideMark/>
          </w:tcPr>
          <w:p w14:paraId="63B4AEC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1364809D" w14:textId="77777777" w:rsidTr="00B9208F">
        <w:trPr>
          <w:trHeight w:val="391"/>
        </w:trPr>
        <w:tc>
          <w:tcPr>
            <w:tcW w:w="5954" w:type="dxa"/>
            <w:shd w:val="clear" w:color="auto" w:fill="auto"/>
            <w:vAlign w:val="center"/>
            <w:hideMark/>
          </w:tcPr>
          <w:p w14:paraId="4EA68170"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Охрана объектов растительного и животного мира и среды их обитания</w:t>
            </w:r>
          </w:p>
        </w:tc>
        <w:tc>
          <w:tcPr>
            <w:tcW w:w="1430" w:type="dxa"/>
            <w:shd w:val="clear" w:color="auto" w:fill="auto"/>
            <w:vAlign w:val="center"/>
            <w:hideMark/>
          </w:tcPr>
          <w:p w14:paraId="64C0796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29,5</w:t>
            </w:r>
          </w:p>
        </w:tc>
        <w:tc>
          <w:tcPr>
            <w:tcW w:w="1307" w:type="dxa"/>
            <w:shd w:val="clear" w:color="auto" w:fill="auto"/>
            <w:vAlign w:val="center"/>
            <w:hideMark/>
          </w:tcPr>
          <w:p w14:paraId="46FD7A5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29,5</w:t>
            </w:r>
          </w:p>
        </w:tc>
        <w:tc>
          <w:tcPr>
            <w:tcW w:w="915" w:type="dxa"/>
            <w:shd w:val="clear" w:color="auto" w:fill="auto"/>
            <w:vAlign w:val="center"/>
            <w:hideMark/>
          </w:tcPr>
          <w:p w14:paraId="054A6DD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17E244E8" w14:textId="77777777" w:rsidTr="00B9208F">
        <w:trPr>
          <w:trHeight w:hRule="exact" w:val="255"/>
        </w:trPr>
        <w:tc>
          <w:tcPr>
            <w:tcW w:w="5954" w:type="dxa"/>
            <w:shd w:val="clear" w:color="auto" w:fill="auto"/>
            <w:vAlign w:val="center"/>
            <w:hideMark/>
          </w:tcPr>
          <w:p w14:paraId="11A6C0A8"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вопросы в области охраны окружающей среды</w:t>
            </w:r>
          </w:p>
        </w:tc>
        <w:tc>
          <w:tcPr>
            <w:tcW w:w="1430" w:type="dxa"/>
            <w:shd w:val="clear" w:color="auto" w:fill="auto"/>
            <w:vAlign w:val="center"/>
            <w:hideMark/>
          </w:tcPr>
          <w:p w14:paraId="4539BAA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13,4</w:t>
            </w:r>
          </w:p>
        </w:tc>
        <w:tc>
          <w:tcPr>
            <w:tcW w:w="1307" w:type="dxa"/>
            <w:shd w:val="clear" w:color="auto" w:fill="auto"/>
            <w:vAlign w:val="center"/>
            <w:hideMark/>
          </w:tcPr>
          <w:p w14:paraId="52BA9FC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13,4</w:t>
            </w:r>
          </w:p>
        </w:tc>
        <w:tc>
          <w:tcPr>
            <w:tcW w:w="915" w:type="dxa"/>
            <w:shd w:val="clear" w:color="auto" w:fill="auto"/>
            <w:vAlign w:val="center"/>
            <w:hideMark/>
          </w:tcPr>
          <w:p w14:paraId="5C8FE8C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588DADA0" w14:textId="77777777" w:rsidTr="00B9208F">
        <w:trPr>
          <w:trHeight w:hRule="exact" w:val="255"/>
        </w:trPr>
        <w:tc>
          <w:tcPr>
            <w:tcW w:w="5954" w:type="dxa"/>
            <w:shd w:val="clear" w:color="auto" w:fill="auto"/>
            <w:vAlign w:val="center"/>
            <w:hideMark/>
          </w:tcPr>
          <w:p w14:paraId="5E7A429C"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Дошкольное образование</w:t>
            </w:r>
          </w:p>
        </w:tc>
        <w:tc>
          <w:tcPr>
            <w:tcW w:w="1430" w:type="dxa"/>
            <w:shd w:val="clear" w:color="auto" w:fill="auto"/>
            <w:vAlign w:val="center"/>
            <w:hideMark/>
          </w:tcPr>
          <w:p w14:paraId="135A3BB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w:t>
            </w:r>
          </w:p>
        </w:tc>
        <w:tc>
          <w:tcPr>
            <w:tcW w:w="1307" w:type="dxa"/>
            <w:shd w:val="clear" w:color="auto" w:fill="auto"/>
            <w:vAlign w:val="center"/>
            <w:hideMark/>
          </w:tcPr>
          <w:p w14:paraId="07B14AD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w:t>
            </w:r>
          </w:p>
        </w:tc>
        <w:tc>
          <w:tcPr>
            <w:tcW w:w="915" w:type="dxa"/>
            <w:shd w:val="clear" w:color="auto" w:fill="auto"/>
            <w:vAlign w:val="center"/>
            <w:hideMark/>
          </w:tcPr>
          <w:p w14:paraId="3791343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77757F66" w14:textId="77777777" w:rsidTr="00B9208F">
        <w:trPr>
          <w:trHeight w:hRule="exact" w:val="255"/>
        </w:trPr>
        <w:tc>
          <w:tcPr>
            <w:tcW w:w="5954" w:type="dxa"/>
            <w:shd w:val="clear" w:color="auto" w:fill="auto"/>
            <w:vAlign w:val="center"/>
            <w:hideMark/>
          </w:tcPr>
          <w:p w14:paraId="4E4AA612"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Общее образование</w:t>
            </w:r>
          </w:p>
        </w:tc>
        <w:tc>
          <w:tcPr>
            <w:tcW w:w="1430" w:type="dxa"/>
            <w:shd w:val="clear" w:color="auto" w:fill="auto"/>
            <w:vAlign w:val="center"/>
            <w:hideMark/>
          </w:tcPr>
          <w:p w14:paraId="20D1DD4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25,3</w:t>
            </w:r>
          </w:p>
        </w:tc>
        <w:tc>
          <w:tcPr>
            <w:tcW w:w="1307" w:type="dxa"/>
            <w:shd w:val="clear" w:color="auto" w:fill="auto"/>
            <w:vAlign w:val="center"/>
            <w:hideMark/>
          </w:tcPr>
          <w:p w14:paraId="2E23A7D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25,3</w:t>
            </w:r>
          </w:p>
        </w:tc>
        <w:tc>
          <w:tcPr>
            <w:tcW w:w="915" w:type="dxa"/>
            <w:shd w:val="clear" w:color="auto" w:fill="auto"/>
            <w:vAlign w:val="center"/>
            <w:hideMark/>
          </w:tcPr>
          <w:p w14:paraId="28EBC1C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7808DFB5" w14:textId="77777777" w:rsidTr="00B9208F">
        <w:trPr>
          <w:trHeight w:hRule="exact" w:val="255"/>
        </w:trPr>
        <w:tc>
          <w:tcPr>
            <w:tcW w:w="5954" w:type="dxa"/>
            <w:shd w:val="clear" w:color="auto" w:fill="auto"/>
            <w:vAlign w:val="center"/>
            <w:hideMark/>
          </w:tcPr>
          <w:p w14:paraId="71A56E47"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Дополнительное образование детей</w:t>
            </w:r>
          </w:p>
        </w:tc>
        <w:tc>
          <w:tcPr>
            <w:tcW w:w="1430" w:type="dxa"/>
            <w:shd w:val="clear" w:color="auto" w:fill="auto"/>
            <w:vAlign w:val="center"/>
            <w:hideMark/>
          </w:tcPr>
          <w:p w14:paraId="72848E4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7,6</w:t>
            </w:r>
          </w:p>
        </w:tc>
        <w:tc>
          <w:tcPr>
            <w:tcW w:w="1307" w:type="dxa"/>
            <w:shd w:val="clear" w:color="auto" w:fill="auto"/>
            <w:vAlign w:val="center"/>
            <w:hideMark/>
          </w:tcPr>
          <w:p w14:paraId="6254318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7,6</w:t>
            </w:r>
          </w:p>
        </w:tc>
        <w:tc>
          <w:tcPr>
            <w:tcW w:w="915" w:type="dxa"/>
            <w:shd w:val="clear" w:color="auto" w:fill="auto"/>
            <w:vAlign w:val="center"/>
            <w:hideMark/>
          </w:tcPr>
          <w:p w14:paraId="52FE121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30DA7A9E" w14:textId="77777777" w:rsidTr="00B9208F">
        <w:trPr>
          <w:trHeight w:hRule="exact" w:val="255"/>
        </w:trPr>
        <w:tc>
          <w:tcPr>
            <w:tcW w:w="5954" w:type="dxa"/>
            <w:shd w:val="clear" w:color="auto" w:fill="auto"/>
            <w:vAlign w:val="center"/>
            <w:hideMark/>
          </w:tcPr>
          <w:p w14:paraId="077B1D6A"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Среднее профессиональное образование</w:t>
            </w:r>
          </w:p>
        </w:tc>
        <w:tc>
          <w:tcPr>
            <w:tcW w:w="1430" w:type="dxa"/>
            <w:shd w:val="clear" w:color="auto" w:fill="auto"/>
            <w:vAlign w:val="center"/>
            <w:hideMark/>
          </w:tcPr>
          <w:p w14:paraId="19242C5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0,5</w:t>
            </w:r>
          </w:p>
        </w:tc>
        <w:tc>
          <w:tcPr>
            <w:tcW w:w="1307" w:type="dxa"/>
            <w:shd w:val="clear" w:color="auto" w:fill="auto"/>
            <w:vAlign w:val="center"/>
            <w:hideMark/>
          </w:tcPr>
          <w:p w14:paraId="1BC5243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0,5</w:t>
            </w:r>
          </w:p>
        </w:tc>
        <w:tc>
          <w:tcPr>
            <w:tcW w:w="915" w:type="dxa"/>
            <w:shd w:val="clear" w:color="auto" w:fill="auto"/>
            <w:vAlign w:val="center"/>
            <w:hideMark/>
          </w:tcPr>
          <w:p w14:paraId="750A8D4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7F5C57A8" w14:textId="77777777" w:rsidTr="00B9208F">
        <w:trPr>
          <w:trHeight w:hRule="exact" w:val="255"/>
        </w:trPr>
        <w:tc>
          <w:tcPr>
            <w:tcW w:w="5954" w:type="dxa"/>
            <w:shd w:val="clear" w:color="auto" w:fill="auto"/>
            <w:vAlign w:val="center"/>
            <w:hideMark/>
          </w:tcPr>
          <w:p w14:paraId="489EBE43"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Молодежная политика</w:t>
            </w:r>
          </w:p>
        </w:tc>
        <w:tc>
          <w:tcPr>
            <w:tcW w:w="1430" w:type="dxa"/>
            <w:shd w:val="clear" w:color="auto" w:fill="auto"/>
            <w:vAlign w:val="center"/>
            <w:hideMark/>
          </w:tcPr>
          <w:p w14:paraId="0CF5F96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117,1</w:t>
            </w:r>
          </w:p>
        </w:tc>
        <w:tc>
          <w:tcPr>
            <w:tcW w:w="1307" w:type="dxa"/>
            <w:shd w:val="clear" w:color="auto" w:fill="auto"/>
            <w:vAlign w:val="center"/>
            <w:hideMark/>
          </w:tcPr>
          <w:p w14:paraId="536D3E2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117,1</w:t>
            </w:r>
          </w:p>
        </w:tc>
        <w:tc>
          <w:tcPr>
            <w:tcW w:w="915" w:type="dxa"/>
            <w:shd w:val="clear" w:color="auto" w:fill="auto"/>
            <w:vAlign w:val="center"/>
            <w:hideMark/>
          </w:tcPr>
          <w:p w14:paraId="20F558C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668AB4B7" w14:textId="77777777" w:rsidTr="00B9208F">
        <w:trPr>
          <w:trHeight w:hRule="exact" w:val="255"/>
        </w:trPr>
        <w:tc>
          <w:tcPr>
            <w:tcW w:w="5954" w:type="dxa"/>
            <w:shd w:val="clear" w:color="auto" w:fill="auto"/>
            <w:vAlign w:val="center"/>
            <w:hideMark/>
          </w:tcPr>
          <w:p w14:paraId="149BC829"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вопросы в области образования</w:t>
            </w:r>
          </w:p>
        </w:tc>
        <w:tc>
          <w:tcPr>
            <w:tcW w:w="1430" w:type="dxa"/>
            <w:shd w:val="clear" w:color="auto" w:fill="auto"/>
            <w:vAlign w:val="center"/>
            <w:hideMark/>
          </w:tcPr>
          <w:p w14:paraId="375A97C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9,0</w:t>
            </w:r>
          </w:p>
        </w:tc>
        <w:tc>
          <w:tcPr>
            <w:tcW w:w="1307" w:type="dxa"/>
            <w:shd w:val="clear" w:color="auto" w:fill="auto"/>
            <w:vAlign w:val="center"/>
            <w:hideMark/>
          </w:tcPr>
          <w:p w14:paraId="297C65D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9,0</w:t>
            </w:r>
          </w:p>
        </w:tc>
        <w:tc>
          <w:tcPr>
            <w:tcW w:w="915" w:type="dxa"/>
            <w:shd w:val="clear" w:color="auto" w:fill="auto"/>
            <w:vAlign w:val="center"/>
            <w:hideMark/>
          </w:tcPr>
          <w:p w14:paraId="245B885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4A118CE0" w14:textId="77777777" w:rsidTr="00B9208F">
        <w:trPr>
          <w:trHeight w:hRule="exact" w:val="255"/>
        </w:trPr>
        <w:tc>
          <w:tcPr>
            <w:tcW w:w="5954" w:type="dxa"/>
            <w:shd w:val="clear" w:color="auto" w:fill="auto"/>
            <w:vAlign w:val="center"/>
            <w:hideMark/>
          </w:tcPr>
          <w:p w14:paraId="7243D061"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Культура</w:t>
            </w:r>
          </w:p>
        </w:tc>
        <w:tc>
          <w:tcPr>
            <w:tcW w:w="1430" w:type="dxa"/>
            <w:shd w:val="clear" w:color="auto" w:fill="auto"/>
            <w:vAlign w:val="center"/>
            <w:hideMark/>
          </w:tcPr>
          <w:p w14:paraId="2E9E1BC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35,7</w:t>
            </w:r>
          </w:p>
        </w:tc>
        <w:tc>
          <w:tcPr>
            <w:tcW w:w="1307" w:type="dxa"/>
            <w:shd w:val="clear" w:color="auto" w:fill="auto"/>
            <w:vAlign w:val="center"/>
            <w:hideMark/>
          </w:tcPr>
          <w:p w14:paraId="029BF1D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35,6</w:t>
            </w:r>
          </w:p>
        </w:tc>
        <w:tc>
          <w:tcPr>
            <w:tcW w:w="915" w:type="dxa"/>
            <w:shd w:val="clear" w:color="auto" w:fill="auto"/>
            <w:vAlign w:val="center"/>
            <w:hideMark/>
          </w:tcPr>
          <w:p w14:paraId="339A85F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99,6</w:t>
            </w:r>
          </w:p>
        </w:tc>
      </w:tr>
      <w:tr w:rsidR="00FD7B0B" w:rsidRPr="00FD7B0B" w14:paraId="287D7039" w14:textId="77777777" w:rsidTr="00B9208F">
        <w:trPr>
          <w:trHeight w:hRule="exact" w:val="255"/>
        </w:trPr>
        <w:tc>
          <w:tcPr>
            <w:tcW w:w="5954" w:type="dxa"/>
            <w:shd w:val="clear" w:color="auto" w:fill="auto"/>
            <w:vAlign w:val="center"/>
            <w:hideMark/>
          </w:tcPr>
          <w:p w14:paraId="1E5656CD"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Амбулаторная помощь</w:t>
            </w:r>
          </w:p>
        </w:tc>
        <w:tc>
          <w:tcPr>
            <w:tcW w:w="1430" w:type="dxa"/>
            <w:shd w:val="clear" w:color="auto" w:fill="auto"/>
            <w:vAlign w:val="center"/>
            <w:hideMark/>
          </w:tcPr>
          <w:p w14:paraId="714CBFC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w:t>
            </w:r>
          </w:p>
        </w:tc>
        <w:tc>
          <w:tcPr>
            <w:tcW w:w="1307" w:type="dxa"/>
            <w:shd w:val="clear" w:color="auto" w:fill="auto"/>
            <w:vAlign w:val="center"/>
            <w:hideMark/>
          </w:tcPr>
          <w:p w14:paraId="28651B5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w:t>
            </w:r>
          </w:p>
        </w:tc>
        <w:tc>
          <w:tcPr>
            <w:tcW w:w="915" w:type="dxa"/>
            <w:shd w:val="clear" w:color="auto" w:fill="auto"/>
            <w:vAlign w:val="center"/>
            <w:hideMark/>
          </w:tcPr>
          <w:p w14:paraId="49D5C1E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6A5C795A" w14:textId="77777777" w:rsidTr="00B9208F">
        <w:trPr>
          <w:trHeight w:hRule="exact" w:val="255"/>
        </w:trPr>
        <w:tc>
          <w:tcPr>
            <w:tcW w:w="5954" w:type="dxa"/>
            <w:shd w:val="clear" w:color="auto" w:fill="auto"/>
            <w:vAlign w:val="center"/>
            <w:hideMark/>
          </w:tcPr>
          <w:p w14:paraId="6F470D5A"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Санаторно-оздоровительная помощь</w:t>
            </w:r>
          </w:p>
        </w:tc>
        <w:tc>
          <w:tcPr>
            <w:tcW w:w="1430" w:type="dxa"/>
            <w:shd w:val="clear" w:color="auto" w:fill="auto"/>
            <w:vAlign w:val="center"/>
            <w:hideMark/>
          </w:tcPr>
          <w:p w14:paraId="13D81CF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w:t>
            </w:r>
          </w:p>
        </w:tc>
        <w:tc>
          <w:tcPr>
            <w:tcW w:w="1307" w:type="dxa"/>
            <w:shd w:val="clear" w:color="auto" w:fill="auto"/>
            <w:vAlign w:val="center"/>
            <w:hideMark/>
          </w:tcPr>
          <w:p w14:paraId="64DB557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w:t>
            </w:r>
          </w:p>
        </w:tc>
        <w:tc>
          <w:tcPr>
            <w:tcW w:w="915" w:type="dxa"/>
            <w:shd w:val="clear" w:color="auto" w:fill="auto"/>
            <w:vAlign w:val="center"/>
            <w:hideMark/>
          </w:tcPr>
          <w:p w14:paraId="4D69AE9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41067301" w14:textId="77777777" w:rsidTr="00B9208F">
        <w:trPr>
          <w:trHeight w:hRule="exact" w:val="255"/>
        </w:trPr>
        <w:tc>
          <w:tcPr>
            <w:tcW w:w="5954" w:type="dxa"/>
            <w:shd w:val="clear" w:color="auto" w:fill="auto"/>
            <w:vAlign w:val="center"/>
            <w:hideMark/>
          </w:tcPr>
          <w:p w14:paraId="78A85400"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вопросы в области здравоохранения</w:t>
            </w:r>
          </w:p>
        </w:tc>
        <w:tc>
          <w:tcPr>
            <w:tcW w:w="1430" w:type="dxa"/>
            <w:shd w:val="clear" w:color="auto" w:fill="auto"/>
            <w:vAlign w:val="center"/>
            <w:hideMark/>
          </w:tcPr>
          <w:p w14:paraId="6CAB69D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0,8</w:t>
            </w:r>
          </w:p>
        </w:tc>
        <w:tc>
          <w:tcPr>
            <w:tcW w:w="1307" w:type="dxa"/>
            <w:shd w:val="clear" w:color="auto" w:fill="auto"/>
            <w:vAlign w:val="center"/>
            <w:hideMark/>
          </w:tcPr>
          <w:p w14:paraId="0707BE2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0,8</w:t>
            </w:r>
          </w:p>
        </w:tc>
        <w:tc>
          <w:tcPr>
            <w:tcW w:w="915" w:type="dxa"/>
            <w:shd w:val="clear" w:color="auto" w:fill="auto"/>
            <w:vAlign w:val="center"/>
            <w:hideMark/>
          </w:tcPr>
          <w:p w14:paraId="4F17042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98,0</w:t>
            </w:r>
          </w:p>
        </w:tc>
      </w:tr>
      <w:tr w:rsidR="00FD7B0B" w:rsidRPr="00FD7B0B" w14:paraId="05F41D3E" w14:textId="77777777" w:rsidTr="00B9208F">
        <w:trPr>
          <w:trHeight w:hRule="exact" w:val="255"/>
        </w:trPr>
        <w:tc>
          <w:tcPr>
            <w:tcW w:w="5954" w:type="dxa"/>
            <w:shd w:val="clear" w:color="auto" w:fill="auto"/>
            <w:vAlign w:val="center"/>
            <w:hideMark/>
          </w:tcPr>
          <w:p w14:paraId="2F76C15C"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Социальное обслуживание населения</w:t>
            </w:r>
          </w:p>
        </w:tc>
        <w:tc>
          <w:tcPr>
            <w:tcW w:w="1430" w:type="dxa"/>
            <w:shd w:val="clear" w:color="auto" w:fill="auto"/>
            <w:vAlign w:val="center"/>
            <w:hideMark/>
          </w:tcPr>
          <w:p w14:paraId="79E4B1A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24,4</w:t>
            </w:r>
          </w:p>
        </w:tc>
        <w:tc>
          <w:tcPr>
            <w:tcW w:w="1307" w:type="dxa"/>
            <w:shd w:val="clear" w:color="auto" w:fill="auto"/>
            <w:vAlign w:val="center"/>
            <w:hideMark/>
          </w:tcPr>
          <w:p w14:paraId="5580153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24,4</w:t>
            </w:r>
          </w:p>
        </w:tc>
        <w:tc>
          <w:tcPr>
            <w:tcW w:w="915" w:type="dxa"/>
            <w:shd w:val="clear" w:color="auto" w:fill="auto"/>
            <w:vAlign w:val="center"/>
            <w:hideMark/>
          </w:tcPr>
          <w:p w14:paraId="2DBB4FE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7B74B86C" w14:textId="77777777" w:rsidTr="00B9208F">
        <w:trPr>
          <w:trHeight w:hRule="exact" w:val="255"/>
        </w:trPr>
        <w:tc>
          <w:tcPr>
            <w:tcW w:w="5954" w:type="dxa"/>
            <w:shd w:val="clear" w:color="auto" w:fill="auto"/>
            <w:vAlign w:val="center"/>
            <w:hideMark/>
          </w:tcPr>
          <w:p w14:paraId="01129756"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Социальное обеспечение населения</w:t>
            </w:r>
          </w:p>
        </w:tc>
        <w:tc>
          <w:tcPr>
            <w:tcW w:w="1430" w:type="dxa"/>
            <w:shd w:val="clear" w:color="auto" w:fill="auto"/>
            <w:vAlign w:val="center"/>
            <w:hideMark/>
          </w:tcPr>
          <w:p w14:paraId="4144807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w:t>
            </w:r>
          </w:p>
        </w:tc>
        <w:tc>
          <w:tcPr>
            <w:tcW w:w="1307" w:type="dxa"/>
            <w:shd w:val="clear" w:color="auto" w:fill="auto"/>
            <w:vAlign w:val="center"/>
            <w:hideMark/>
          </w:tcPr>
          <w:p w14:paraId="7C01B80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w:t>
            </w:r>
          </w:p>
        </w:tc>
        <w:tc>
          <w:tcPr>
            <w:tcW w:w="915" w:type="dxa"/>
            <w:shd w:val="clear" w:color="auto" w:fill="auto"/>
            <w:vAlign w:val="center"/>
            <w:hideMark/>
          </w:tcPr>
          <w:p w14:paraId="68FE364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28E41A43" w14:textId="77777777" w:rsidTr="00B9208F">
        <w:trPr>
          <w:trHeight w:hRule="exact" w:val="255"/>
        </w:trPr>
        <w:tc>
          <w:tcPr>
            <w:tcW w:w="5954" w:type="dxa"/>
            <w:shd w:val="clear" w:color="auto" w:fill="auto"/>
            <w:vAlign w:val="center"/>
            <w:hideMark/>
          </w:tcPr>
          <w:p w14:paraId="47D412C0"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вопросы в области социальной политики</w:t>
            </w:r>
          </w:p>
        </w:tc>
        <w:tc>
          <w:tcPr>
            <w:tcW w:w="1430" w:type="dxa"/>
            <w:shd w:val="clear" w:color="auto" w:fill="auto"/>
            <w:vAlign w:val="center"/>
            <w:hideMark/>
          </w:tcPr>
          <w:p w14:paraId="2DE031F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39,6</w:t>
            </w:r>
          </w:p>
        </w:tc>
        <w:tc>
          <w:tcPr>
            <w:tcW w:w="1307" w:type="dxa"/>
            <w:shd w:val="clear" w:color="auto" w:fill="auto"/>
            <w:vAlign w:val="center"/>
            <w:hideMark/>
          </w:tcPr>
          <w:p w14:paraId="0CEA490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39,6</w:t>
            </w:r>
          </w:p>
        </w:tc>
        <w:tc>
          <w:tcPr>
            <w:tcW w:w="915" w:type="dxa"/>
            <w:shd w:val="clear" w:color="auto" w:fill="auto"/>
            <w:vAlign w:val="center"/>
            <w:hideMark/>
          </w:tcPr>
          <w:p w14:paraId="1301033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523FDDBF" w14:textId="77777777" w:rsidTr="00B9208F">
        <w:trPr>
          <w:trHeight w:hRule="exact" w:val="255"/>
        </w:trPr>
        <w:tc>
          <w:tcPr>
            <w:tcW w:w="5954" w:type="dxa"/>
            <w:shd w:val="clear" w:color="auto" w:fill="auto"/>
            <w:vAlign w:val="center"/>
            <w:hideMark/>
          </w:tcPr>
          <w:p w14:paraId="51D03D4D"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Массовый спорт</w:t>
            </w:r>
          </w:p>
        </w:tc>
        <w:tc>
          <w:tcPr>
            <w:tcW w:w="1430" w:type="dxa"/>
            <w:shd w:val="clear" w:color="auto" w:fill="auto"/>
            <w:vAlign w:val="center"/>
            <w:hideMark/>
          </w:tcPr>
          <w:p w14:paraId="3CCC9F5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19,0</w:t>
            </w:r>
          </w:p>
        </w:tc>
        <w:tc>
          <w:tcPr>
            <w:tcW w:w="1307" w:type="dxa"/>
            <w:shd w:val="clear" w:color="auto" w:fill="auto"/>
            <w:vAlign w:val="center"/>
            <w:hideMark/>
          </w:tcPr>
          <w:p w14:paraId="1108D94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19,0</w:t>
            </w:r>
          </w:p>
        </w:tc>
        <w:tc>
          <w:tcPr>
            <w:tcW w:w="915" w:type="dxa"/>
            <w:shd w:val="clear" w:color="auto" w:fill="auto"/>
            <w:vAlign w:val="center"/>
            <w:hideMark/>
          </w:tcPr>
          <w:p w14:paraId="1B84D72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55B6F531" w14:textId="77777777" w:rsidTr="00B9208F">
        <w:trPr>
          <w:trHeight w:hRule="exact" w:val="255"/>
        </w:trPr>
        <w:tc>
          <w:tcPr>
            <w:tcW w:w="5954" w:type="dxa"/>
            <w:shd w:val="clear" w:color="auto" w:fill="auto"/>
            <w:vAlign w:val="center"/>
            <w:hideMark/>
          </w:tcPr>
          <w:p w14:paraId="772AC0A6"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Спорт высших достижений</w:t>
            </w:r>
          </w:p>
        </w:tc>
        <w:tc>
          <w:tcPr>
            <w:tcW w:w="1430" w:type="dxa"/>
            <w:shd w:val="clear" w:color="auto" w:fill="auto"/>
            <w:vAlign w:val="center"/>
            <w:hideMark/>
          </w:tcPr>
          <w:p w14:paraId="3E2D9F7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3,6</w:t>
            </w:r>
          </w:p>
        </w:tc>
        <w:tc>
          <w:tcPr>
            <w:tcW w:w="1307" w:type="dxa"/>
            <w:shd w:val="clear" w:color="auto" w:fill="auto"/>
            <w:vAlign w:val="center"/>
            <w:hideMark/>
          </w:tcPr>
          <w:p w14:paraId="774B2EC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3,6</w:t>
            </w:r>
          </w:p>
        </w:tc>
        <w:tc>
          <w:tcPr>
            <w:tcW w:w="915" w:type="dxa"/>
            <w:shd w:val="clear" w:color="auto" w:fill="auto"/>
            <w:vAlign w:val="center"/>
            <w:hideMark/>
          </w:tcPr>
          <w:p w14:paraId="1A4EA25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095781F0" w14:textId="77777777" w:rsidTr="00B9208F">
        <w:trPr>
          <w:trHeight w:hRule="exact" w:val="255"/>
        </w:trPr>
        <w:tc>
          <w:tcPr>
            <w:tcW w:w="5954" w:type="dxa"/>
            <w:shd w:val="clear" w:color="auto" w:fill="auto"/>
            <w:vAlign w:val="center"/>
            <w:hideMark/>
          </w:tcPr>
          <w:p w14:paraId="66E92FDE"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Периодическая печать и издательства</w:t>
            </w:r>
          </w:p>
        </w:tc>
        <w:tc>
          <w:tcPr>
            <w:tcW w:w="1430" w:type="dxa"/>
            <w:shd w:val="clear" w:color="auto" w:fill="auto"/>
            <w:vAlign w:val="center"/>
            <w:hideMark/>
          </w:tcPr>
          <w:p w14:paraId="1ADE340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22,9</w:t>
            </w:r>
          </w:p>
        </w:tc>
        <w:tc>
          <w:tcPr>
            <w:tcW w:w="1307" w:type="dxa"/>
            <w:shd w:val="clear" w:color="auto" w:fill="auto"/>
            <w:vAlign w:val="center"/>
            <w:hideMark/>
          </w:tcPr>
          <w:p w14:paraId="597F15A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22,9</w:t>
            </w:r>
          </w:p>
        </w:tc>
        <w:tc>
          <w:tcPr>
            <w:tcW w:w="915" w:type="dxa"/>
            <w:shd w:val="clear" w:color="auto" w:fill="auto"/>
            <w:vAlign w:val="center"/>
            <w:hideMark/>
          </w:tcPr>
          <w:p w14:paraId="7B6FC14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4B2363AF" w14:textId="77777777" w:rsidTr="00B9208F">
        <w:trPr>
          <w:trHeight w:hRule="exact" w:val="255"/>
        </w:trPr>
        <w:tc>
          <w:tcPr>
            <w:tcW w:w="5954" w:type="dxa"/>
            <w:shd w:val="clear" w:color="auto" w:fill="auto"/>
            <w:vAlign w:val="center"/>
            <w:hideMark/>
          </w:tcPr>
          <w:p w14:paraId="7D209B71" w14:textId="77777777" w:rsidR="00272461" w:rsidRPr="00FD7B0B" w:rsidRDefault="00272461" w:rsidP="00272461">
            <w:pPr>
              <w:spacing w:after="0" w:line="240" w:lineRule="auto"/>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Итого</w:t>
            </w:r>
          </w:p>
        </w:tc>
        <w:tc>
          <w:tcPr>
            <w:tcW w:w="1430" w:type="dxa"/>
            <w:shd w:val="clear" w:color="auto" w:fill="auto"/>
            <w:vAlign w:val="center"/>
            <w:hideMark/>
          </w:tcPr>
          <w:p w14:paraId="66F83449" w14:textId="77777777" w:rsidR="00272461" w:rsidRPr="00FD7B0B" w:rsidRDefault="00272461" w:rsidP="00272461">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599,8</w:t>
            </w:r>
          </w:p>
        </w:tc>
        <w:tc>
          <w:tcPr>
            <w:tcW w:w="1307" w:type="dxa"/>
            <w:shd w:val="clear" w:color="auto" w:fill="auto"/>
            <w:vAlign w:val="center"/>
            <w:hideMark/>
          </w:tcPr>
          <w:p w14:paraId="5AFAC6A2" w14:textId="77777777" w:rsidR="00272461" w:rsidRPr="00FD7B0B" w:rsidRDefault="00272461" w:rsidP="00272461">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561,5</w:t>
            </w:r>
          </w:p>
        </w:tc>
        <w:tc>
          <w:tcPr>
            <w:tcW w:w="915" w:type="dxa"/>
            <w:shd w:val="clear" w:color="auto" w:fill="auto"/>
            <w:vAlign w:val="center"/>
            <w:hideMark/>
          </w:tcPr>
          <w:p w14:paraId="61A32731" w14:textId="77777777" w:rsidR="00272461" w:rsidRPr="00FD7B0B" w:rsidRDefault="00272461" w:rsidP="00272461">
            <w:pPr>
              <w:spacing w:after="0" w:line="240" w:lineRule="auto"/>
              <w:jc w:val="right"/>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93,6</w:t>
            </w:r>
          </w:p>
        </w:tc>
      </w:tr>
    </w:tbl>
    <w:p w14:paraId="27B40518" w14:textId="77777777" w:rsidR="00272461" w:rsidRPr="00FD7B0B" w:rsidRDefault="00272461" w:rsidP="00272461">
      <w:pPr>
        <w:spacing w:after="0" w:line="240" w:lineRule="auto"/>
        <w:ind w:firstLine="709"/>
        <w:contextualSpacing/>
        <w:jc w:val="both"/>
        <w:rPr>
          <w:rFonts w:ascii="Times New Roman" w:eastAsia="Calibri" w:hAnsi="Times New Roman" w:cs="Times New Roman"/>
          <w:sz w:val="16"/>
          <w:szCs w:val="16"/>
          <w:highlight w:val="cyan"/>
          <w:lang w:eastAsia="ru-RU"/>
        </w:rPr>
      </w:pPr>
    </w:p>
    <w:p w14:paraId="40343F5D" w14:textId="77777777"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Наиболее приоритетными направлениями расходования средств из резервного фонда в отчетном периоде являлись (более 50,0 млн.руб.):</w:t>
      </w:r>
    </w:p>
    <w:p w14:paraId="2F6F9DDD" w14:textId="77777777" w:rsidR="00272461" w:rsidRPr="00FD7B0B" w:rsidRDefault="00272461" w:rsidP="0063072B">
      <w:pPr>
        <w:pStyle w:val="a8"/>
        <w:numPr>
          <w:ilvl w:val="0"/>
          <w:numId w:val="12"/>
        </w:numPr>
        <w:ind w:left="0" w:firstLine="698"/>
        <w:jc w:val="both"/>
        <w:rPr>
          <w:rFonts w:eastAsia="Calibri"/>
          <w:sz w:val="28"/>
          <w:szCs w:val="16"/>
        </w:rPr>
      </w:pPr>
      <w:r w:rsidRPr="00FD7B0B">
        <w:rPr>
          <w:rFonts w:eastAsia="Calibri"/>
          <w:sz w:val="28"/>
          <w:szCs w:val="16"/>
        </w:rPr>
        <w:t>другие вопросы в области национальной экономики (подраздел 0412) – 55,9 млн.руб. и их удельный вес в общей сумме расходов составил 10,0 %;</w:t>
      </w:r>
    </w:p>
    <w:p w14:paraId="68080146" w14:textId="77777777" w:rsidR="00272461" w:rsidRPr="00FD7B0B" w:rsidRDefault="00272461" w:rsidP="0063072B">
      <w:pPr>
        <w:pStyle w:val="a8"/>
        <w:numPr>
          <w:ilvl w:val="0"/>
          <w:numId w:val="12"/>
        </w:numPr>
        <w:ind w:left="0" w:firstLine="698"/>
        <w:jc w:val="both"/>
        <w:rPr>
          <w:rFonts w:eastAsia="Calibri"/>
          <w:sz w:val="28"/>
          <w:szCs w:val="16"/>
        </w:rPr>
      </w:pPr>
      <w:r w:rsidRPr="00FD7B0B">
        <w:rPr>
          <w:rFonts w:eastAsia="Calibri"/>
          <w:sz w:val="28"/>
          <w:szCs w:val="16"/>
        </w:rPr>
        <w:t>другие общегосударственные вопросы (подраздел 0113) – 69,9 млн.руб., с удельным весом в размере 12,5 %;</w:t>
      </w:r>
    </w:p>
    <w:p w14:paraId="1625BA0B" w14:textId="1BB4F822" w:rsidR="00272461" w:rsidRPr="00FD7B0B" w:rsidRDefault="00272461" w:rsidP="0063072B">
      <w:pPr>
        <w:pStyle w:val="a8"/>
        <w:numPr>
          <w:ilvl w:val="0"/>
          <w:numId w:val="12"/>
        </w:numPr>
        <w:ind w:left="0" w:firstLine="698"/>
        <w:jc w:val="both"/>
        <w:rPr>
          <w:rFonts w:eastAsia="Calibri"/>
          <w:sz w:val="28"/>
          <w:szCs w:val="16"/>
        </w:rPr>
      </w:pPr>
      <w:r w:rsidRPr="00FD7B0B">
        <w:rPr>
          <w:rFonts w:eastAsia="Calibri"/>
          <w:sz w:val="28"/>
          <w:szCs w:val="16"/>
        </w:rPr>
        <w:t>молодежная политика (подраздел 0707) – 117,1 млн.руб. с удель</w:t>
      </w:r>
      <w:r w:rsidR="009923C5" w:rsidRPr="00FD7B0B">
        <w:rPr>
          <w:rFonts w:eastAsia="Calibri"/>
          <w:sz w:val="28"/>
          <w:szCs w:val="16"/>
        </w:rPr>
        <w:t>ным весом в размере 20,9 %.</w:t>
      </w:r>
    </w:p>
    <w:p w14:paraId="405EE2C8" w14:textId="77777777"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совокупности указанные расходы составляют 43,3 % от общей суммы расходов за счет резервного фонда за 2024 год.</w:t>
      </w:r>
    </w:p>
    <w:p w14:paraId="132EE1A2" w14:textId="695FD7C3"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разрезе главных распорядителей средств областного бюджета, произведенные за 2024 год расходы за счет средств резервног</w:t>
      </w:r>
      <w:r w:rsidR="00C5006A" w:rsidRPr="00FD7B0B">
        <w:rPr>
          <w:rFonts w:ascii="Times New Roman" w:eastAsia="Calibri" w:hAnsi="Times New Roman" w:cs="Times New Roman"/>
          <w:sz w:val="28"/>
          <w:szCs w:val="28"/>
        </w:rPr>
        <w:t>о фонда представлены в таблице </w:t>
      </w:r>
      <w:r w:rsidR="008E012B" w:rsidRPr="00FD7B0B">
        <w:rPr>
          <w:rFonts w:ascii="Times New Roman" w:eastAsia="Calibri" w:hAnsi="Times New Roman" w:cs="Times New Roman"/>
          <w:sz w:val="28"/>
          <w:szCs w:val="28"/>
        </w:rPr>
        <w:t>68</w:t>
      </w:r>
      <w:r w:rsidRPr="00FD7B0B">
        <w:rPr>
          <w:rFonts w:ascii="Times New Roman" w:eastAsia="Calibri" w:hAnsi="Times New Roman" w:cs="Times New Roman"/>
          <w:sz w:val="28"/>
          <w:szCs w:val="28"/>
        </w:rPr>
        <w:t>.</w:t>
      </w:r>
    </w:p>
    <w:p w14:paraId="0892C891" w14:textId="77777777" w:rsidR="00272461" w:rsidRPr="00FD7B0B" w:rsidRDefault="00272461" w:rsidP="00C5006A">
      <w:pPr>
        <w:pStyle w:val="aff0"/>
        <w:spacing w:after="0" w:line="240" w:lineRule="auto"/>
        <w:rPr>
          <w:rFonts w:ascii="Times New Roman" w:hAnsi="Times New Roman"/>
          <w:b w:val="0"/>
          <w:sz w:val="24"/>
          <w:szCs w:val="24"/>
        </w:rPr>
      </w:pPr>
    </w:p>
    <w:p w14:paraId="02250572" w14:textId="77777777" w:rsidR="00272461" w:rsidRPr="00FD7B0B" w:rsidRDefault="00272461" w:rsidP="00C5006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68</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за счет средств, выделенных из резервного фонда за 2024 год в разрезе главных распорядителей средств областного бюджета, млн.руб.</w:t>
      </w:r>
    </w:p>
    <w:tbl>
      <w:tblPr>
        <w:tblW w:w="9356" w:type="dxa"/>
        <w:tblInd w:w="-23"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firstRow="1" w:lastRow="0" w:firstColumn="1" w:lastColumn="0" w:noHBand="0" w:noVBand="1"/>
      </w:tblPr>
      <w:tblGrid>
        <w:gridCol w:w="4383"/>
        <w:gridCol w:w="1430"/>
        <w:gridCol w:w="1417"/>
        <w:gridCol w:w="1415"/>
        <w:gridCol w:w="711"/>
      </w:tblGrid>
      <w:tr w:rsidR="00FD7B0B" w:rsidRPr="00FD7B0B" w14:paraId="5725ADDC" w14:textId="77777777" w:rsidTr="008E012B">
        <w:trPr>
          <w:trHeight w:val="227"/>
          <w:tblHeader/>
        </w:trPr>
        <w:tc>
          <w:tcPr>
            <w:tcW w:w="4395" w:type="dxa"/>
            <w:shd w:val="clear" w:color="auto" w:fill="auto"/>
            <w:vAlign w:val="center"/>
            <w:hideMark/>
          </w:tcPr>
          <w:p w14:paraId="614EA4AE"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Главный распорядитель</w:t>
            </w:r>
          </w:p>
        </w:tc>
        <w:tc>
          <w:tcPr>
            <w:tcW w:w="1417" w:type="dxa"/>
            <w:shd w:val="clear" w:color="auto" w:fill="auto"/>
            <w:vAlign w:val="center"/>
            <w:hideMark/>
          </w:tcPr>
          <w:p w14:paraId="21107EE2"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Утверждено</w:t>
            </w:r>
          </w:p>
        </w:tc>
        <w:tc>
          <w:tcPr>
            <w:tcW w:w="1418" w:type="dxa"/>
            <w:shd w:val="clear" w:color="auto" w:fill="auto"/>
            <w:vAlign w:val="center"/>
            <w:hideMark/>
          </w:tcPr>
          <w:p w14:paraId="10E05C27"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Исполнено</w:t>
            </w:r>
          </w:p>
        </w:tc>
        <w:tc>
          <w:tcPr>
            <w:tcW w:w="1417" w:type="dxa"/>
            <w:shd w:val="clear" w:color="auto" w:fill="auto"/>
            <w:vAlign w:val="center"/>
            <w:hideMark/>
          </w:tcPr>
          <w:p w14:paraId="0A3BF28D" w14:textId="2264C95E" w:rsidR="00272461" w:rsidRPr="00FD7B0B" w:rsidRDefault="00C5006A"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исполн.</w:t>
            </w:r>
          </w:p>
        </w:tc>
        <w:tc>
          <w:tcPr>
            <w:tcW w:w="709" w:type="dxa"/>
            <w:shd w:val="clear" w:color="auto" w:fill="auto"/>
            <w:vAlign w:val="center"/>
            <w:hideMark/>
          </w:tcPr>
          <w:p w14:paraId="38D4CF68"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Уд. вес</w:t>
            </w:r>
          </w:p>
        </w:tc>
      </w:tr>
      <w:tr w:rsidR="00FD7B0B" w:rsidRPr="00FD7B0B" w14:paraId="1164B0F2" w14:textId="77777777" w:rsidTr="007A5BBA">
        <w:trPr>
          <w:trHeight w:hRule="exact" w:val="255"/>
        </w:trPr>
        <w:tc>
          <w:tcPr>
            <w:tcW w:w="4395" w:type="dxa"/>
            <w:shd w:val="clear" w:color="auto" w:fill="auto"/>
            <w:vAlign w:val="center"/>
            <w:hideMark/>
          </w:tcPr>
          <w:p w14:paraId="5B8BAC09"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Минстрой АО</w:t>
            </w:r>
          </w:p>
        </w:tc>
        <w:tc>
          <w:tcPr>
            <w:tcW w:w="1417" w:type="dxa"/>
            <w:shd w:val="clear" w:color="auto" w:fill="auto"/>
            <w:vAlign w:val="center"/>
            <w:hideMark/>
          </w:tcPr>
          <w:p w14:paraId="1853AA5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28,1</w:t>
            </w:r>
          </w:p>
        </w:tc>
        <w:tc>
          <w:tcPr>
            <w:tcW w:w="1418" w:type="dxa"/>
            <w:shd w:val="clear" w:color="auto" w:fill="auto"/>
            <w:vAlign w:val="center"/>
            <w:hideMark/>
          </w:tcPr>
          <w:p w14:paraId="5CB99F1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28,1</w:t>
            </w:r>
          </w:p>
        </w:tc>
        <w:tc>
          <w:tcPr>
            <w:tcW w:w="1417" w:type="dxa"/>
            <w:shd w:val="clear" w:color="auto" w:fill="auto"/>
            <w:vAlign w:val="center"/>
            <w:hideMark/>
          </w:tcPr>
          <w:p w14:paraId="581A3CD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019D7A2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5,0</w:t>
            </w:r>
          </w:p>
        </w:tc>
      </w:tr>
      <w:tr w:rsidR="00FD7B0B" w:rsidRPr="00FD7B0B" w14:paraId="31119C0B" w14:textId="77777777" w:rsidTr="007A5BBA">
        <w:trPr>
          <w:trHeight w:hRule="exact" w:val="255"/>
        </w:trPr>
        <w:tc>
          <w:tcPr>
            <w:tcW w:w="4395" w:type="dxa"/>
            <w:shd w:val="clear" w:color="auto" w:fill="auto"/>
            <w:vAlign w:val="center"/>
            <w:hideMark/>
          </w:tcPr>
          <w:p w14:paraId="5EE4E7EA"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Министерство ТЭК и ЖКХ АО</w:t>
            </w:r>
          </w:p>
        </w:tc>
        <w:tc>
          <w:tcPr>
            <w:tcW w:w="1417" w:type="dxa"/>
            <w:shd w:val="clear" w:color="auto" w:fill="auto"/>
            <w:vAlign w:val="center"/>
            <w:hideMark/>
          </w:tcPr>
          <w:p w14:paraId="0EA1E39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29,4</w:t>
            </w:r>
          </w:p>
        </w:tc>
        <w:tc>
          <w:tcPr>
            <w:tcW w:w="1418" w:type="dxa"/>
            <w:shd w:val="clear" w:color="auto" w:fill="auto"/>
            <w:vAlign w:val="center"/>
            <w:hideMark/>
          </w:tcPr>
          <w:p w14:paraId="73A52FC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29,4</w:t>
            </w:r>
          </w:p>
        </w:tc>
        <w:tc>
          <w:tcPr>
            <w:tcW w:w="1417" w:type="dxa"/>
            <w:shd w:val="clear" w:color="auto" w:fill="auto"/>
            <w:vAlign w:val="center"/>
            <w:hideMark/>
          </w:tcPr>
          <w:p w14:paraId="2328002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5099A31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5,2</w:t>
            </w:r>
          </w:p>
        </w:tc>
      </w:tr>
      <w:tr w:rsidR="00FD7B0B" w:rsidRPr="00FD7B0B" w14:paraId="376E2577" w14:textId="77777777" w:rsidTr="007A5BBA">
        <w:trPr>
          <w:trHeight w:hRule="exact" w:val="255"/>
        </w:trPr>
        <w:tc>
          <w:tcPr>
            <w:tcW w:w="4395" w:type="dxa"/>
            <w:shd w:val="clear" w:color="auto" w:fill="auto"/>
            <w:vAlign w:val="center"/>
            <w:hideMark/>
          </w:tcPr>
          <w:p w14:paraId="0B9C15CF"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Минлеспром АО</w:t>
            </w:r>
          </w:p>
        </w:tc>
        <w:tc>
          <w:tcPr>
            <w:tcW w:w="1417" w:type="dxa"/>
            <w:shd w:val="clear" w:color="auto" w:fill="auto"/>
            <w:vAlign w:val="center"/>
            <w:hideMark/>
          </w:tcPr>
          <w:p w14:paraId="7DFD686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45,7</w:t>
            </w:r>
          </w:p>
        </w:tc>
        <w:tc>
          <w:tcPr>
            <w:tcW w:w="1418" w:type="dxa"/>
            <w:shd w:val="clear" w:color="auto" w:fill="auto"/>
            <w:vAlign w:val="center"/>
            <w:hideMark/>
          </w:tcPr>
          <w:p w14:paraId="7D9C5A0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45,7</w:t>
            </w:r>
          </w:p>
        </w:tc>
        <w:tc>
          <w:tcPr>
            <w:tcW w:w="1417" w:type="dxa"/>
            <w:shd w:val="clear" w:color="auto" w:fill="auto"/>
            <w:vAlign w:val="center"/>
            <w:hideMark/>
          </w:tcPr>
          <w:p w14:paraId="72372B3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4982BBD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8,1</w:t>
            </w:r>
          </w:p>
        </w:tc>
      </w:tr>
      <w:tr w:rsidR="00FD7B0B" w:rsidRPr="00FD7B0B" w14:paraId="786BFABF" w14:textId="77777777" w:rsidTr="007A5BBA">
        <w:trPr>
          <w:trHeight w:hRule="exact" w:val="255"/>
        </w:trPr>
        <w:tc>
          <w:tcPr>
            <w:tcW w:w="4395" w:type="dxa"/>
            <w:shd w:val="clear" w:color="auto" w:fill="auto"/>
            <w:vAlign w:val="center"/>
            <w:hideMark/>
          </w:tcPr>
          <w:p w14:paraId="17A01CB3"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Минздрав АО</w:t>
            </w:r>
          </w:p>
        </w:tc>
        <w:tc>
          <w:tcPr>
            <w:tcW w:w="1417" w:type="dxa"/>
            <w:shd w:val="clear" w:color="auto" w:fill="auto"/>
            <w:vAlign w:val="center"/>
            <w:hideMark/>
          </w:tcPr>
          <w:p w14:paraId="7479CA0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w:t>
            </w:r>
          </w:p>
        </w:tc>
        <w:tc>
          <w:tcPr>
            <w:tcW w:w="1418" w:type="dxa"/>
            <w:shd w:val="clear" w:color="auto" w:fill="auto"/>
            <w:vAlign w:val="center"/>
            <w:hideMark/>
          </w:tcPr>
          <w:p w14:paraId="7F4867E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w:t>
            </w:r>
          </w:p>
        </w:tc>
        <w:tc>
          <w:tcPr>
            <w:tcW w:w="1417" w:type="dxa"/>
            <w:shd w:val="clear" w:color="auto" w:fill="auto"/>
            <w:vAlign w:val="center"/>
            <w:hideMark/>
          </w:tcPr>
          <w:p w14:paraId="17C7D2D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99,6</w:t>
            </w:r>
          </w:p>
        </w:tc>
        <w:tc>
          <w:tcPr>
            <w:tcW w:w="709" w:type="dxa"/>
            <w:shd w:val="clear" w:color="auto" w:fill="auto"/>
            <w:vAlign w:val="center"/>
            <w:hideMark/>
          </w:tcPr>
          <w:p w14:paraId="67EFDFD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0,7</w:t>
            </w:r>
          </w:p>
        </w:tc>
      </w:tr>
      <w:tr w:rsidR="00FD7B0B" w:rsidRPr="00FD7B0B" w14:paraId="414484D7" w14:textId="77777777" w:rsidTr="007A5BBA">
        <w:trPr>
          <w:trHeight w:hRule="exact" w:val="255"/>
        </w:trPr>
        <w:tc>
          <w:tcPr>
            <w:tcW w:w="4395" w:type="dxa"/>
            <w:shd w:val="clear" w:color="auto" w:fill="auto"/>
            <w:vAlign w:val="center"/>
            <w:hideMark/>
          </w:tcPr>
          <w:p w14:paraId="617F6CF1"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Инспекция по памятникам АО</w:t>
            </w:r>
          </w:p>
        </w:tc>
        <w:tc>
          <w:tcPr>
            <w:tcW w:w="1417" w:type="dxa"/>
            <w:shd w:val="clear" w:color="auto" w:fill="auto"/>
            <w:vAlign w:val="center"/>
            <w:hideMark/>
          </w:tcPr>
          <w:p w14:paraId="7083479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6,0</w:t>
            </w:r>
          </w:p>
        </w:tc>
        <w:tc>
          <w:tcPr>
            <w:tcW w:w="1418" w:type="dxa"/>
            <w:shd w:val="clear" w:color="auto" w:fill="auto"/>
            <w:vAlign w:val="center"/>
            <w:hideMark/>
          </w:tcPr>
          <w:p w14:paraId="775F721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6,0</w:t>
            </w:r>
          </w:p>
        </w:tc>
        <w:tc>
          <w:tcPr>
            <w:tcW w:w="1417" w:type="dxa"/>
            <w:shd w:val="clear" w:color="auto" w:fill="auto"/>
            <w:vAlign w:val="center"/>
            <w:hideMark/>
          </w:tcPr>
          <w:p w14:paraId="23A868D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0ECBF36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w:t>
            </w:r>
          </w:p>
        </w:tc>
      </w:tr>
      <w:tr w:rsidR="00FD7B0B" w:rsidRPr="00FD7B0B" w14:paraId="1D1C2133" w14:textId="77777777" w:rsidTr="007A5BBA">
        <w:trPr>
          <w:trHeight w:hRule="exact" w:val="255"/>
        </w:trPr>
        <w:tc>
          <w:tcPr>
            <w:tcW w:w="4395" w:type="dxa"/>
            <w:shd w:val="clear" w:color="auto" w:fill="auto"/>
            <w:vAlign w:val="center"/>
            <w:hideMark/>
          </w:tcPr>
          <w:p w14:paraId="7CA8F336"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Минкультуры АО</w:t>
            </w:r>
          </w:p>
        </w:tc>
        <w:tc>
          <w:tcPr>
            <w:tcW w:w="1417" w:type="dxa"/>
            <w:shd w:val="clear" w:color="auto" w:fill="auto"/>
            <w:vAlign w:val="center"/>
            <w:hideMark/>
          </w:tcPr>
          <w:p w14:paraId="788746E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34,2</w:t>
            </w:r>
          </w:p>
        </w:tc>
        <w:tc>
          <w:tcPr>
            <w:tcW w:w="1418" w:type="dxa"/>
            <w:shd w:val="clear" w:color="auto" w:fill="auto"/>
            <w:vAlign w:val="center"/>
            <w:hideMark/>
          </w:tcPr>
          <w:p w14:paraId="78B8793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34,0</w:t>
            </w:r>
          </w:p>
        </w:tc>
        <w:tc>
          <w:tcPr>
            <w:tcW w:w="1417" w:type="dxa"/>
            <w:shd w:val="clear" w:color="auto" w:fill="auto"/>
            <w:vAlign w:val="center"/>
            <w:hideMark/>
          </w:tcPr>
          <w:p w14:paraId="580F16B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99,5</w:t>
            </w:r>
          </w:p>
        </w:tc>
        <w:tc>
          <w:tcPr>
            <w:tcW w:w="709" w:type="dxa"/>
            <w:shd w:val="clear" w:color="auto" w:fill="auto"/>
            <w:vAlign w:val="center"/>
            <w:hideMark/>
          </w:tcPr>
          <w:p w14:paraId="55E714F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6,1</w:t>
            </w:r>
          </w:p>
        </w:tc>
      </w:tr>
      <w:tr w:rsidR="00FD7B0B" w:rsidRPr="00FD7B0B" w14:paraId="404B2EBB" w14:textId="77777777" w:rsidTr="007A5BBA">
        <w:trPr>
          <w:trHeight w:hRule="exact" w:val="255"/>
        </w:trPr>
        <w:tc>
          <w:tcPr>
            <w:tcW w:w="4395" w:type="dxa"/>
            <w:shd w:val="clear" w:color="auto" w:fill="auto"/>
            <w:vAlign w:val="center"/>
            <w:hideMark/>
          </w:tcPr>
          <w:p w14:paraId="5B32505B"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lastRenderedPageBreak/>
              <w:t>Минсвязи АО</w:t>
            </w:r>
          </w:p>
        </w:tc>
        <w:tc>
          <w:tcPr>
            <w:tcW w:w="1417" w:type="dxa"/>
            <w:shd w:val="clear" w:color="auto" w:fill="auto"/>
            <w:vAlign w:val="center"/>
            <w:hideMark/>
          </w:tcPr>
          <w:p w14:paraId="3441A10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15,7</w:t>
            </w:r>
          </w:p>
        </w:tc>
        <w:tc>
          <w:tcPr>
            <w:tcW w:w="1418" w:type="dxa"/>
            <w:shd w:val="clear" w:color="auto" w:fill="auto"/>
            <w:vAlign w:val="center"/>
            <w:hideMark/>
          </w:tcPr>
          <w:p w14:paraId="54CC627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15,7</w:t>
            </w:r>
          </w:p>
        </w:tc>
        <w:tc>
          <w:tcPr>
            <w:tcW w:w="1417" w:type="dxa"/>
            <w:shd w:val="clear" w:color="auto" w:fill="auto"/>
            <w:vAlign w:val="center"/>
            <w:hideMark/>
          </w:tcPr>
          <w:p w14:paraId="3FE9400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724AF2A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2,8</w:t>
            </w:r>
          </w:p>
        </w:tc>
      </w:tr>
      <w:tr w:rsidR="00FD7B0B" w:rsidRPr="00FD7B0B" w14:paraId="47C8EDD3" w14:textId="77777777" w:rsidTr="007A5BBA">
        <w:trPr>
          <w:trHeight w:hRule="exact" w:val="255"/>
        </w:trPr>
        <w:tc>
          <w:tcPr>
            <w:tcW w:w="4395" w:type="dxa"/>
            <w:shd w:val="clear" w:color="auto" w:fill="auto"/>
            <w:vAlign w:val="center"/>
            <w:hideMark/>
          </w:tcPr>
          <w:p w14:paraId="1F4C9BC5"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Минобазования АО</w:t>
            </w:r>
          </w:p>
        </w:tc>
        <w:tc>
          <w:tcPr>
            <w:tcW w:w="1417" w:type="dxa"/>
            <w:shd w:val="clear" w:color="auto" w:fill="auto"/>
            <w:vAlign w:val="center"/>
            <w:hideMark/>
          </w:tcPr>
          <w:p w14:paraId="5900944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43,4</w:t>
            </w:r>
          </w:p>
        </w:tc>
        <w:tc>
          <w:tcPr>
            <w:tcW w:w="1418" w:type="dxa"/>
            <w:shd w:val="clear" w:color="auto" w:fill="auto"/>
            <w:vAlign w:val="center"/>
            <w:hideMark/>
          </w:tcPr>
          <w:p w14:paraId="06446A9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43,4</w:t>
            </w:r>
          </w:p>
        </w:tc>
        <w:tc>
          <w:tcPr>
            <w:tcW w:w="1417" w:type="dxa"/>
            <w:shd w:val="clear" w:color="auto" w:fill="auto"/>
            <w:vAlign w:val="center"/>
            <w:hideMark/>
          </w:tcPr>
          <w:p w14:paraId="09B9E8B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3C208CD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7,7</w:t>
            </w:r>
          </w:p>
        </w:tc>
      </w:tr>
      <w:tr w:rsidR="00FD7B0B" w:rsidRPr="00FD7B0B" w14:paraId="36A830C9" w14:textId="77777777" w:rsidTr="007A5BBA">
        <w:trPr>
          <w:trHeight w:hRule="exact" w:val="255"/>
        </w:trPr>
        <w:tc>
          <w:tcPr>
            <w:tcW w:w="4395" w:type="dxa"/>
            <w:shd w:val="clear" w:color="auto" w:fill="auto"/>
            <w:vAlign w:val="center"/>
            <w:hideMark/>
          </w:tcPr>
          <w:p w14:paraId="025894F1"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Миннауки АО</w:t>
            </w:r>
          </w:p>
        </w:tc>
        <w:tc>
          <w:tcPr>
            <w:tcW w:w="1417" w:type="dxa"/>
            <w:shd w:val="clear" w:color="auto" w:fill="auto"/>
            <w:vAlign w:val="center"/>
            <w:hideMark/>
          </w:tcPr>
          <w:p w14:paraId="1B569A8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w:t>
            </w:r>
          </w:p>
        </w:tc>
        <w:tc>
          <w:tcPr>
            <w:tcW w:w="1418" w:type="dxa"/>
            <w:shd w:val="clear" w:color="auto" w:fill="auto"/>
            <w:vAlign w:val="center"/>
            <w:hideMark/>
          </w:tcPr>
          <w:p w14:paraId="6471D5C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w:t>
            </w:r>
          </w:p>
        </w:tc>
        <w:tc>
          <w:tcPr>
            <w:tcW w:w="1417" w:type="dxa"/>
            <w:shd w:val="clear" w:color="auto" w:fill="auto"/>
            <w:vAlign w:val="center"/>
            <w:hideMark/>
          </w:tcPr>
          <w:p w14:paraId="7E23036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2045F3D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0,4</w:t>
            </w:r>
          </w:p>
        </w:tc>
      </w:tr>
      <w:tr w:rsidR="00FD7B0B" w:rsidRPr="00FD7B0B" w14:paraId="281C554B" w14:textId="77777777" w:rsidTr="007A5BBA">
        <w:trPr>
          <w:trHeight w:hRule="exact" w:val="255"/>
        </w:trPr>
        <w:tc>
          <w:tcPr>
            <w:tcW w:w="4395" w:type="dxa"/>
            <w:shd w:val="clear" w:color="auto" w:fill="auto"/>
            <w:vAlign w:val="center"/>
            <w:hideMark/>
          </w:tcPr>
          <w:p w14:paraId="6D6452E7"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Минфин АО</w:t>
            </w:r>
          </w:p>
        </w:tc>
        <w:tc>
          <w:tcPr>
            <w:tcW w:w="1417" w:type="dxa"/>
            <w:shd w:val="clear" w:color="auto" w:fill="auto"/>
            <w:vAlign w:val="center"/>
            <w:hideMark/>
          </w:tcPr>
          <w:p w14:paraId="3CCD577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29,1</w:t>
            </w:r>
          </w:p>
        </w:tc>
        <w:tc>
          <w:tcPr>
            <w:tcW w:w="1418" w:type="dxa"/>
            <w:shd w:val="clear" w:color="auto" w:fill="auto"/>
            <w:vAlign w:val="center"/>
            <w:hideMark/>
          </w:tcPr>
          <w:p w14:paraId="2CA21BB8" w14:textId="431FFD3A" w:rsidR="00272461" w:rsidRPr="00FD7B0B" w:rsidRDefault="007A5BBA"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r w:rsidR="00272461" w:rsidRPr="00FD7B0B">
              <w:rPr>
                <w:rFonts w:ascii="Times New Roman" w:eastAsia="Times New Roman" w:hAnsi="Times New Roman" w:cs="Times New Roman"/>
                <w:lang w:eastAsia="ru-RU"/>
              </w:rPr>
              <w:t> </w:t>
            </w:r>
          </w:p>
        </w:tc>
        <w:tc>
          <w:tcPr>
            <w:tcW w:w="1417" w:type="dxa"/>
            <w:shd w:val="clear" w:color="auto" w:fill="auto"/>
            <w:vAlign w:val="center"/>
            <w:hideMark/>
          </w:tcPr>
          <w:p w14:paraId="620E3C5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709" w:type="dxa"/>
            <w:shd w:val="clear" w:color="auto" w:fill="auto"/>
            <w:vAlign w:val="center"/>
            <w:hideMark/>
          </w:tcPr>
          <w:p w14:paraId="572E591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677509A9" w14:textId="77777777" w:rsidTr="007A5BBA">
        <w:trPr>
          <w:trHeight w:hRule="exact" w:val="255"/>
        </w:trPr>
        <w:tc>
          <w:tcPr>
            <w:tcW w:w="4395" w:type="dxa"/>
            <w:shd w:val="clear" w:color="auto" w:fill="auto"/>
            <w:vAlign w:val="center"/>
            <w:hideMark/>
          </w:tcPr>
          <w:p w14:paraId="6200EFD7"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Минтранс АО</w:t>
            </w:r>
          </w:p>
        </w:tc>
        <w:tc>
          <w:tcPr>
            <w:tcW w:w="1417" w:type="dxa"/>
            <w:shd w:val="clear" w:color="auto" w:fill="auto"/>
            <w:vAlign w:val="center"/>
            <w:hideMark/>
          </w:tcPr>
          <w:p w14:paraId="58FE03E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15,2</w:t>
            </w:r>
          </w:p>
        </w:tc>
        <w:tc>
          <w:tcPr>
            <w:tcW w:w="1418" w:type="dxa"/>
            <w:shd w:val="clear" w:color="auto" w:fill="auto"/>
            <w:vAlign w:val="center"/>
            <w:hideMark/>
          </w:tcPr>
          <w:p w14:paraId="23E8142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7,5</w:t>
            </w:r>
          </w:p>
        </w:tc>
        <w:tc>
          <w:tcPr>
            <w:tcW w:w="1417" w:type="dxa"/>
            <w:shd w:val="clear" w:color="auto" w:fill="auto"/>
            <w:vAlign w:val="center"/>
            <w:hideMark/>
          </w:tcPr>
          <w:p w14:paraId="195ACDB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49,7</w:t>
            </w:r>
          </w:p>
        </w:tc>
        <w:tc>
          <w:tcPr>
            <w:tcW w:w="709" w:type="dxa"/>
            <w:shd w:val="clear" w:color="auto" w:fill="auto"/>
            <w:vAlign w:val="center"/>
            <w:hideMark/>
          </w:tcPr>
          <w:p w14:paraId="4B93281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w:t>
            </w:r>
          </w:p>
        </w:tc>
      </w:tr>
      <w:tr w:rsidR="00FD7B0B" w:rsidRPr="00FD7B0B" w14:paraId="0A564BD9" w14:textId="77777777" w:rsidTr="007A5BBA">
        <w:trPr>
          <w:trHeight w:hRule="exact" w:val="255"/>
        </w:trPr>
        <w:tc>
          <w:tcPr>
            <w:tcW w:w="4395" w:type="dxa"/>
            <w:shd w:val="clear" w:color="auto" w:fill="auto"/>
            <w:vAlign w:val="center"/>
            <w:hideMark/>
          </w:tcPr>
          <w:p w14:paraId="10009168"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Минэкономпром АО</w:t>
            </w:r>
          </w:p>
        </w:tc>
        <w:tc>
          <w:tcPr>
            <w:tcW w:w="1417" w:type="dxa"/>
            <w:shd w:val="clear" w:color="auto" w:fill="auto"/>
            <w:vAlign w:val="center"/>
            <w:hideMark/>
          </w:tcPr>
          <w:p w14:paraId="00D703A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34,3</w:t>
            </w:r>
          </w:p>
        </w:tc>
        <w:tc>
          <w:tcPr>
            <w:tcW w:w="1418" w:type="dxa"/>
            <w:shd w:val="clear" w:color="auto" w:fill="auto"/>
            <w:vAlign w:val="center"/>
            <w:hideMark/>
          </w:tcPr>
          <w:p w14:paraId="53B49C8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34,2</w:t>
            </w:r>
          </w:p>
        </w:tc>
        <w:tc>
          <w:tcPr>
            <w:tcW w:w="1417" w:type="dxa"/>
            <w:shd w:val="clear" w:color="auto" w:fill="auto"/>
            <w:vAlign w:val="center"/>
            <w:hideMark/>
          </w:tcPr>
          <w:p w14:paraId="52E4AB2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99,7</w:t>
            </w:r>
          </w:p>
        </w:tc>
        <w:tc>
          <w:tcPr>
            <w:tcW w:w="709" w:type="dxa"/>
            <w:shd w:val="clear" w:color="auto" w:fill="auto"/>
            <w:vAlign w:val="center"/>
            <w:hideMark/>
          </w:tcPr>
          <w:p w14:paraId="2985BAA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6,1</w:t>
            </w:r>
          </w:p>
        </w:tc>
      </w:tr>
      <w:tr w:rsidR="00FD7B0B" w:rsidRPr="00FD7B0B" w14:paraId="6B04873D" w14:textId="77777777" w:rsidTr="007A5BBA">
        <w:trPr>
          <w:trHeight w:hRule="exact" w:val="255"/>
        </w:trPr>
        <w:tc>
          <w:tcPr>
            <w:tcW w:w="4395" w:type="dxa"/>
            <w:shd w:val="clear" w:color="auto" w:fill="auto"/>
            <w:vAlign w:val="center"/>
            <w:hideMark/>
          </w:tcPr>
          <w:p w14:paraId="2BA879A2"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Минтрудсоцразвития АО</w:t>
            </w:r>
          </w:p>
        </w:tc>
        <w:tc>
          <w:tcPr>
            <w:tcW w:w="1417" w:type="dxa"/>
            <w:shd w:val="clear" w:color="auto" w:fill="auto"/>
            <w:vAlign w:val="center"/>
            <w:hideMark/>
          </w:tcPr>
          <w:p w14:paraId="794EFF5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70,8</w:t>
            </w:r>
          </w:p>
        </w:tc>
        <w:tc>
          <w:tcPr>
            <w:tcW w:w="1418" w:type="dxa"/>
            <w:shd w:val="clear" w:color="auto" w:fill="auto"/>
            <w:vAlign w:val="center"/>
            <w:hideMark/>
          </w:tcPr>
          <w:p w14:paraId="66A75F8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70,8</w:t>
            </w:r>
          </w:p>
        </w:tc>
        <w:tc>
          <w:tcPr>
            <w:tcW w:w="1417" w:type="dxa"/>
            <w:shd w:val="clear" w:color="auto" w:fill="auto"/>
            <w:vAlign w:val="center"/>
            <w:hideMark/>
          </w:tcPr>
          <w:p w14:paraId="3E07FE6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53B893A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12,6</w:t>
            </w:r>
          </w:p>
        </w:tc>
      </w:tr>
      <w:tr w:rsidR="00FD7B0B" w:rsidRPr="00FD7B0B" w14:paraId="75FC979A" w14:textId="77777777" w:rsidTr="007A5BBA">
        <w:trPr>
          <w:trHeight w:hRule="exact" w:val="255"/>
        </w:trPr>
        <w:tc>
          <w:tcPr>
            <w:tcW w:w="4395" w:type="dxa"/>
            <w:shd w:val="clear" w:color="auto" w:fill="auto"/>
            <w:vAlign w:val="center"/>
            <w:hideMark/>
          </w:tcPr>
          <w:p w14:paraId="27C523C0"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Агентство ГПС и ГЗ АО</w:t>
            </w:r>
          </w:p>
        </w:tc>
        <w:tc>
          <w:tcPr>
            <w:tcW w:w="1417" w:type="dxa"/>
            <w:shd w:val="clear" w:color="auto" w:fill="auto"/>
            <w:vAlign w:val="center"/>
            <w:hideMark/>
          </w:tcPr>
          <w:p w14:paraId="50F9488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w:t>
            </w:r>
          </w:p>
        </w:tc>
        <w:tc>
          <w:tcPr>
            <w:tcW w:w="1418" w:type="dxa"/>
            <w:shd w:val="clear" w:color="auto" w:fill="auto"/>
            <w:vAlign w:val="center"/>
            <w:hideMark/>
          </w:tcPr>
          <w:p w14:paraId="065F48D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w:t>
            </w:r>
          </w:p>
        </w:tc>
        <w:tc>
          <w:tcPr>
            <w:tcW w:w="1417" w:type="dxa"/>
            <w:shd w:val="clear" w:color="auto" w:fill="auto"/>
            <w:vAlign w:val="center"/>
            <w:hideMark/>
          </w:tcPr>
          <w:p w14:paraId="107A40F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3D1BFE6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0,2</w:t>
            </w:r>
          </w:p>
        </w:tc>
      </w:tr>
      <w:tr w:rsidR="00FD7B0B" w:rsidRPr="00FD7B0B" w14:paraId="6199C58E" w14:textId="77777777" w:rsidTr="007A5BBA">
        <w:trPr>
          <w:trHeight w:hRule="exact" w:val="255"/>
        </w:trPr>
        <w:tc>
          <w:tcPr>
            <w:tcW w:w="4395" w:type="dxa"/>
            <w:shd w:val="clear" w:color="auto" w:fill="auto"/>
            <w:vAlign w:val="center"/>
            <w:hideMark/>
          </w:tcPr>
          <w:p w14:paraId="7650E062"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Архмолодежь</w:t>
            </w:r>
          </w:p>
        </w:tc>
        <w:tc>
          <w:tcPr>
            <w:tcW w:w="1417" w:type="dxa"/>
            <w:shd w:val="clear" w:color="auto" w:fill="auto"/>
            <w:vAlign w:val="center"/>
            <w:hideMark/>
          </w:tcPr>
          <w:p w14:paraId="17BD101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114,1</w:t>
            </w:r>
          </w:p>
        </w:tc>
        <w:tc>
          <w:tcPr>
            <w:tcW w:w="1418" w:type="dxa"/>
            <w:shd w:val="clear" w:color="auto" w:fill="auto"/>
            <w:vAlign w:val="center"/>
            <w:hideMark/>
          </w:tcPr>
          <w:p w14:paraId="4B1FA31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114,1</w:t>
            </w:r>
          </w:p>
        </w:tc>
        <w:tc>
          <w:tcPr>
            <w:tcW w:w="1417" w:type="dxa"/>
            <w:shd w:val="clear" w:color="auto" w:fill="auto"/>
            <w:vAlign w:val="center"/>
            <w:hideMark/>
          </w:tcPr>
          <w:p w14:paraId="17BF930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2B79255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20,3</w:t>
            </w:r>
          </w:p>
        </w:tc>
      </w:tr>
      <w:tr w:rsidR="00FD7B0B" w:rsidRPr="00FD7B0B" w14:paraId="742880E7" w14:textId="77777777" w:rsidTr="007A5BBA">
        <w:trPr>
          <w:trHeight w:hRule="exact" w:val="255"/>
        </w:trPr>
        <w:tc>
          <w:tcPr>
            <w:tcW w:w="4395" w:type="dxa"/>
            <w:shd w:val="clear" w:color="auto" w:fill="auto"/>
            <w:vAlign w:val="center"/>
            <w:hideMark/>
          </w:tcPr>
          <w:p w14:paraId="633CC1B5"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Минспорт АО</w:t>
            </w:r>
          </w:p>
        </w:tc>
        <w:tc>
          <w:tcPr>
            <w:tcW w:w="1417" w:type="dxa"/>
            <w:shd w:val="clear" w:color="auto" w:fill="auto"/>
            <w:vAlign w:val="center"/>
            <w:hideMark/>
          </w:tcPr>
          <w:p w14:paraId="2CE036E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22,7</w:t>
            </w:r>
          </w:p>
        </w:tc>
        <w:tc>
          <w:tcPr>
            <w:tcW w:w="1418" w:type="dxa"/>
            <w:shd w:val="clear" w:color="auto" w:fill="auto"/>
            <w:vAlign w:val="center"/>
            <w:hideMark/>
          </w:tcPr>
          <w:p w14:paraId="30A67F2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22,7</w:t>
            </w:r>
          </w:p>
        </w:tc>
        <w:tc>
          <w:tcPr>
            <w:tcW w:w="1417" w:type="dxa"/>
            <w:shd w:val="clear" w:color="auto" w:fill="auto"/>
            <w:vAlign w:val="center"/>
            <w:hideMark/>
          </w:tcPr>
          <w:p w14:paraId="7E68C91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14F773F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w:t>
            </w:r>
          </w:p>
        </w:tc>
      </w:tr>
      <w:tr w:rsidR="00FD7B0B" w:rsidRPr="00FD7B0B" w14:paraId="14081FB9" w14:textId="77777777" w:rsidTr="007A5BBA">
        <w:trPr>
          <w:trHeight w:hRule="exact" w:val="255"/>
        </w:trPr>
        <w:tc>
          <w:tcPr>
            <w:tcW w:w="4395" w:type="dxa"/>
            <w:shd w:val="clear" w:color="auto" w:fill="auto"/>
            <w:vAlign w:val="center"/>
            <w:hideMark/>
          </w:tcPr>
          <w:p w14:paraId="50E60445"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Администрация ГАО и ПАО</w:t>
            </w:r>
          </w:p>
        </w:tc>
        <w:tc>
          <w:tcPr>
            <w:tcW w:w="1417" w:type="dxa"/>
            <w:shd w:val="clear" w:color="auto" w:fill="auto"/>
            <w:vAlign w:val="center"/>
            <w:hideMark/>
          </w:tcPr>
          <w:p w14:paraId="233EA9B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101,8</w:t>
            </w:r>
          </w:p>
        </w:tc>
        <w:tc>
          <w:tcPr>
            <w:tcW w:w="1418" w:type="dxa"/>
            <w:shd w:val="clear" w:color="auto" w:fill="auto"/>
            <w:vAlign w:val="center"/>
            <w:hideMark/>
          </w:tcPr>
          <w:p w14:paraId="360121A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100,6</w:t>
            </w:r>
          </w:p>
        </w:tc>
        <w:tc>
          <w:tcPr>
            <w:tcW w:w="1417" w:type="dxa"/>
            <w:shd w:val="clear" w:color="auto" w:fill="auto"/>
            <w:vAlign w:val="center"/>
            <w:hideMark/>
          </w:tcPr>
          <w:p w14:paraId="6475C80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98,8</w:t>
            </w:r>
          </w:p>
        </w:tc>
        <w:tc>
          <w:tcPr>
            <w:tcW w:w="709" w:type="dxa"/>
            <w:shd w:val="clear" w:color="auto" w:fill="auto"/>
            <w:vAlign w:val="center"/>
            <w:hideMark/>
          </w:tcPr>
          <w:p w14:paraId="1587C11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17,9</w:t>
            </w:r>
          </w:p>
        </w:tc>
      </w:tr>
      <w:tr w:rsidR="00FD7B0B" w:rsidRPr="00FD7B0B" w14:paraId="56764655" w14:textId="77777777" w:rsidTr="007A5BBA">
        <w:trPr>
          <w:trHeight w:hRule="exact" w:val="255"/>
        </w:trPr>
        <w:tc>
          <w:tcPr>
            <w:tcW w:w="4395" w:type="dxa"/>
            <w:shd w:val="clear" w:color="auto" w:fill="auto"/>
            <w:vAlign w:val="center"/>
            <w:hideMark/>
          </w:tcPr>
          <w:p w14:paraId="16B5B9CD"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Инспекция госстройнадзора АО</w:t>
            </w:r>
          </w:p>
        </w:tc>
        <w:tc>
          <w:tcPr>
            <w:tcW w:w="1417" w:type="dxa"/>
            <w:shd w:val="clear" w:color="auto" w:fill="auto"/>
            <w:vAlign w:val="center"/>
            <w:hideMark/>
          </w:tcPr>
          <w:p w14:paraId="54A5ACC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w:t>
            </w:r>
          </w:p>
        </w:tc>
        <w:tc>
          <w:tcPr>
            <w:tcW w:w="1418" w:type="dxa"/>
            <w:shd w:val="clear" w:color="auto" w:fill="auto"/>
            <w:vAlign w:val="center"/>
            <w:hideMark/>
          </w:tcPr>
          <w:p w14:paraId="72E2878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w:t>
            </w:r>
          </w:p>
        </w:tc>
        <w:tc>
          <w:tcPr>
            <w:tcW w:w="1417" w:type="dxa"/>
            <w:shd w:val="clear" w:color="auto" w:fill="auto"/>
            <w:vAlign w:val="center"/>
            <w:hideMark/>
          </w:tcPr>
          <w:p w14:paraId="7775AD6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c>
          <w:tcPr>
            <w:tcW w:w="709" w:type="dxa"/>
            <w:shd w:val="clear" w:color="auto" w:fill="auto"/>
            <w:vAlign w:val="center"/>
            <w:hideMark/>
          </w:tcPr>
          <w:p w14:paraId="7889B87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0,3</w:t>
            </w:r>
          </w:p>
        </w:tc>
      </w:tr>
      <w:tr w:rsidR="00FD7B0B" w:rsidRPr="00FD7B0B" w14:paraId="51DC9675" w14:textId="77777777" w:rsidTr="007A5BBA">
        <w:trPr>
          <w:trHeight w:hRule="exact" w:val="255"/>
        </w:trPr>
        <w:tc>
          <w:tcPr>
            <w:tcW w:w="4395" w:type="dxa"/>
            <w:shd w:val="clear" w:color="auto" w:fill="auto"/>
            <w:vAlign w:val="center"/>
            <w:hideMark/>
          </w:tcPr>
          <w:p w14:paraId="1274FF07" w14:textId="77777777" w:rsidR="00272461" w:rsidRPr="00FD7B0B" w:rsidRDefault="00272461" w:rsidP="00272461">
            <w:pPr>
              <w:spacing w:after="0" w:line="240" w:lineRule="auto"/>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Итого</w:t>
            </w:r>
          </w:p>
        </w:tc>
        <w:tc>
          <w:tcPr>
            <w:tcW w:w="1417" w:type="dxa"/>
            <w:shd w:val="clear" w:color="auto" w:fill="auto"/>
            <w:vAlign w:val="center"/>
            <w:hideMark/>
          </w:tcPr>
          <w:p w14:paraId="2D686259" w14:textId="77777777" w:rsidR="00272461" w:rsidRPr="00FD7B0B" w:rsidRDefault="00272461" w:rsidP="00272461">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599,8</w:t>
            </w:r>
          </w:p>
        </w:tc>
        <w:tc>
          <w:tcPr>
            <w:tcW w:w="1418" w:type="dxa"/>
            <w:shd w:val="clear" w:color="auto" w:fill="auto"/>
            <w:vAlign w:val="center"/>
            <w:hideMark/>
          </w:tcPr>
          <w:p w14:paraId="1891A9A8" w14:textId="77777777" w:rsidR="00272461" w:rsidRPr="00FD7B0B" w:rsidRDefault="00272461" w:rsidP="00272461">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561,5</w:t>
            </w:r>
          </w:p>
        </w:tc>
        <w:tc>
          <w:tcPr>
            <w:tcW w:w="1417" w:type="dxa"/>
            <w:shd w:val="clear" w:color="auto" w:fill="auto"/>
            <w:vAlign w:val="center"/>
            <w:hideMark/>
          </w:tcPr>
          <w:p w14:paraId="272643C9" w14:textId="77777777" w:rsidR="00272461" w:rsidRPr="00FD7B0B" w:rsidRDefault="00272461" w:rsidP="00272461">
            <w:pPr>
              <w:spacing w:after="0" w:line="240" w:lineRule="auto"/>
              <w:jc w:val="right"/>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93,6</w:t>
            </w:r>
          </w:p>
        </w:tc>
        <w:tc>
          <w:tcPr>
            <w:tcW w:w="709" w:type="dxa"/>
            <w:shd w:val="clear" w:color="auto" w:fill="auto"/>
            <w:vAlign w:val="center"/>
            <w:hideMark/>
          </w:tcPr>
          <w:p w14:paraId="020340E1" w14:textId="77777777" w:rsidR="00272461" w:rsidRPr="00FD7B0B" w:rsidRDefault="00272461" w:rsidP="00272461">
            <w:pPr>
              <w:spacing w:after="0" w:line="240" w:lineRule="auto"/>
              <w:jc w:val="right"/>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100,0</w:t>
            </w:r>
          </w:p>
        </w:tc>
      </w:tr>
    </w:tbl>
    <w:p w14:paraId="1684F27B" w14:textId="77777777" w:rsidR="00272461" w:rsidRPr="00FD7B0B" w:rsidRDefault="00272461" w:rsidP="00272461">
      <w:pPr>
        <w:spacing w:after="0" w:line="240" w:lineRule="auto"/>
        <w:ind w:firstLine="709"/>
        <w:jc w:val="both"/>
        <w:rPr>
          <w:rFonts w:ascii="Times New Roman" w:eastAsia="Calibri" w:hAnsi="Times New Roman" w:cs="Times New Roman"/>
          <w:sz w:val="28"/>
          <w:szCs w:val="28"/>
        </w:rPr>
      </w:pPr>
    </w:p>
    <w:p w14:paraId="0557195A" w14:textId="77777777"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Наибольшие расходы за счет средств резервного фонда осуществлены следующими главными распорядителями:</w:t>
      </w:r>
    </w:p>
    <w:p w14:paraId="79743BCD" w14:textId="733D0E63"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1. Агентством по делам молодежи Архангельской области – 114,1 млн.руб., что составляет 100,0 % к </w:t>
      </w:r>
      <w:r w:rsidR="009923C5" w:rsidRPr="00FD7B0B">
        <w:rPr>
          <w:rFonts w:ascii="Times New Roman" w:eastAsia="Calibri" w:hAnsi="Times New Roman" w:cs="Times New Roman"/>
          <w:sz w:val="28"/>
          <w:szCs w:val="28"/>
        </w:rPr>
        <w:t>распределенной</w:t>
      </w:r>
      <w:r w:rsidRPr="00FD7B0B">
        <w:rPr>
          <w:rFonts w:ascii="Times New Roman" w:eastAsia="Calibri" w:hAnsi="Times New Roman" w:cs="Times New Roman"/>
          <w:sz w:val="28"/>
          <w:szCs w:val="28"/>
        </w:rPr>
        <w:t xml:space="preserve"> сумме, в т.</w:t>
      </w:r>
      <w:r w:rsidR="003508D9"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xml:space="preserve">ч. </w:t>
      </w:r>
      <w:r w:rsidR="003508D9" w:rsidRPr="00FD7B0B">
        <w:rPr>
          <w:rFonts w:ascii="Times New Roman" w:eastAsia="Calibri" w:hAnsi="Times New Roman" w:cs="Times New Roman"/>
          <w:sz w:val="28"/>
          <w:szCs w:val="28"/>
        </w:rPr>
        <w:t xml:space="preserve">в виде </w:t>
      </w:r>
      <w:r w:rsidRPr="00FD7B0B">
        <w:rPr>
          <w:rFonts w:ascii="Times New Roman" w:eastAsia="Calibri" w:hAnsi="Times New Roman" w:cs="Times New Roman"/>
          <w:sz w:val="28"/>
          <w:szCs w:val="28"/>
        </w:rPr>
        <w:t xml:space="preserve">субсидий автономным учреждениям в размере 107,1 млн.руб., из них ГАУ АО «Региональный центр патриотического воспитания и подготовки граждан (молодежи) к военной службе» </w:t>
      </w:r>
      <w:r w:rsidR="00133847" w:rsidRPr="00FD7B0B">
        <w:rPr>
          <w:rFonts w:ascii="Times New Roman" w:eastAsia="Calibri" w:hAnsi="Times New Roman" w:cs="Times New Roman"/>
          <w:sz w:val="28"/>
          <w:szCs w:val="28"/>
        </w:rPr>
        <w:t>направлено</w:t>
      </w:r>
      <w:r w:rsidRPr="00FD7B0B">
        <w:rPr>
          <w:rFonts w:ascii="Times New Roman" w:eastAsia="Calibri" w:hAnsi="Times New Roman" w:cs="Times New Roman"/>
          <w:sz w:val="28"/>
          <w:szCs w:val="28"/>
        </w:rPr>
        <w:t xml:space="preserve"> 98,2 млн.руб.</w:t>
      </w:r>
      <w:r w:rsidR="00967F90" w:rsidRPr="00FD7B0B">
        <w:rPr>
          <w:rFonts w:ascii="Times New Roman" w:eastAsia="Calibri" w:hAnsi="Times New Roman" w:cs="Times New Roman"/>
          <w:sz w:val="28"/>
          <w:szCs w:val="28"/>
        </w:rPr>
        <w:t>, из которых:</w:t>
      </w:r>
    </w:p>
    <w:p w14:paraId="5A113F79" w14:textId="287A515A" w:rsidR="00967F90" w:rsidRPr="00FD7B0B" w:rsidRDefault="00967F90" w:rsidP="0063072B">
      <w:pPr>
        <w:pStyle w:val="a8"/>
        <w:numPr>
          <w:ilvl w:val="0"/>
          <w:numId w:val="12"/>
        </w:numPr>
        <w:ind w:left="0" w:firstLine="698"/>
        <w:jc w:val="both"/>
        <w:rPr>
          <w:rFonts w:eastAsia="Calibri"/>
          <w:sz w:val="28"/>
          <w:szCs w:val="16"/>
        </w:rPr>
      </w:pPr>
      <w:r w:rsidRPr="00FD7B0B">
        <w:rPr>
          <w:rFonts w:eastAsia="Calibri"/>
          <w:sz w:val="28"/>
          <w:szCs w:val="16"/>
        </w:rPr>
        <w:t>на организацию и проведение учебных патриотических сборов граждан Российской Федерации на территории Архангельской области – 58,1 млн.руб.;</w:t>
      </w:r>
    </w:p>
    <w:p w14:paraId="62BCF0DA" w14:textId="778FC208" w:rsidR="00967F90" w:rsidRPr="00FD7B0B" w:rsidRDefault="00967F90" w:rsidP="0063072B">
      <w:pPr>
        <w:pStyle w:val="a8"/>
        <w:numPr>
          <w:ilvl w:val="0"/>
          <w:numId w:val="12"/>
        </w:numPr>
        <w:ind w:left="0" w:firstLine="698"/>
        <w:jc w:val="both"/>
        <w:rPr>
          <w:rFonts w:eastAsia="Calibri"/>
          <w:sz w:val="28"/>
          <w:szCs w:val="16"/>
        </w:rPr>
      </w:pPr>
      <w:r w:rsidRPr="00FD7B0B">
        <w:rPr>
          <w:rFonts w:eastAsia="Calibri"/>
          <w:sz w:val="28"/>
          <w:szCs w:val="16"/>
        </w:rPr>
        <w:t>на оказание содействия по организации похорон членам семей участников специальной военной операции, погибших при исполнении воинского долга – 28,0 млн.руб.</w:t>
      </w:r>
    </w:p>
    <w:p w14:paraId="0280AC10" w14:textId="3BFBEF45"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2. Администрацией Губернатора Архангельской области и Правительства Архангельской области – 100,6 млн.руб., что составило 98,8 % к </w:t>
      </w:r>
      <w:r w:rsidR="00085B6A" w:rsidRPr="00FD7B0B">
        <w:rPr>
          <w:rFonts w:ascii="Times New Roman" w:eastAsia="Calibri" w:hAnsi="Times New Roman" w:cs="Times New Roman"/>
          <w:sz w:val="28"/>
          <w:szCs w:val="28"/>
        </w:rPr>
        <w:t>распределенной</w:t>
      </w:r>
      <w:r w:rsidRPr="00FD7B0B">
        <w:rPr>
          <w:rFonts w:ascii="Times New Roman" w:eastAsia="Calibri" w:hAnsi="Times New Roman" w:cs="Times New Roman"/>
          <w:sz w:val="28"/>
          <w:szCs w:val="28"/>
        </w:rPr>
        <w:t xml:space="preserve"> сумме, в т.ч. </w:t>
      </w:r>
      <w:r w:rsidR="00085B6A" w:rsidRPr="00FD7B0B">
        <w:rPr>
          <w:rFonts w:ascii="Times New Roman" w:eastAsia="Calibri" w:hAnsi="Times New Roman" w:cs="Times New Roman"/>
          <w:sz w:val="28"/>
          <w:szCs w:val="28"/>
        </w:rPr>
        <w:t xml:space="preserve">в виде </w:t>
      </w:r>
      <w:r w:rsidRPr="00FD7B0B">
        <w:rPr>
          <w:rFonts w:ascii="Times New Roman" w:eastAsia="Calibri" w:hAnsi="Times New Roman" w:cs="Times New Roman"/>
          <w:sz w:val="28"/>
          <w:szCs w:val="28"/>
        </w:rPr>
        <w:t>субсиди</w:t>
      </w:r>
      <w:r w:rsidR="00085B6A" w:rsidRPr="00FD7B0B">
        <w:rPr>
          <w:rFonts w:ascii="Times New Roman" w:eastAsia="Calibri" w:hAnsi="Times New Roman" w:cs="Times New Roman"/>
          <w:sz w:val="28"/>
          <w:szCs w:val="28"/>
        </w:rPr>
        <w:t>й</w:t>
      </w:r>
      <w:r w:rsidRPr="00FD7B0B">
        <w:rPr>
          <w:rFonts w:ascii="Times New Roman" w:eastAsia="Calibri" w:hAnsi="Times New Roman" w:cs="Times New Roman"/>
          <w:sz w:val="28"/>
          <w:szCs w:val="28"/>
        </w:rPr>
        <w:t xml:space="preserve"> некоммерческим организациям </w:t>
      </w:r>
      <w:r w:rsidR="00085B6A"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39,5 млн.руб., из них автономной некоммерческой организации «Губернаторский центр «Вместе мы сильнее» – 24,5 млн.руб.</w:t>
      </w:r>
      <w:r w:rsidR="005B4524" w:rsidRPr="00FD7B0B">
        <w:rPr>
          <w:rFonts w:ascii="Times New Roman" w:eastAsia="Calibri" w:hAnsi="Times New Roman" w:cs="Times New Roman"/>
          <w:sz w:val="28"/>
          <w:szCs w:val="28"/>
        </w:rPr>
        <w:t>, из них 21,3 млн.руб. – на организацию работы единого центра поддержки и помощи военнослужащим, сотрудникам некоторых федеральных органов исполнительной власти и федеральных государственных органов….</w:t>
      </w:r>
    </w:p>
    <w:p w14:paraId="1D559C42" w14:textId="090517EC"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3. Министерство труда, занятости и социального развития Архангельской области – 70,8 млн.руб., что составило 100,0</w:t>
      </w:r>
      <w:r w:rsidR="004D3BD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к выделенной сумме, в т.</w:t>
      </w:r>
      <w:r w:rsidR="00F34233"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xml:space="preserve">ч. </w:t>
      </w:r>
      <w:r w:rsidR="00F34233" w:rsidRPr="00FD7B0B">
        <w:rPr>
          <w:rFonts w:ascii="Times New Roman" w:eastAsia="Calibri" w:hAnsi="Times New Roman" w:cs="Times New Roman"/>
          <w:sz w:val="28"/>
          <w:szCs w:val="28"/>
        </w:rPr>
        <w:t xml:space="preserve">в виде </w:t>
      </w:r>
      <w:r w:rsidRPr="00FD7B0B">
        <w:rPr>
          <w:rFonts w:ascii="Times New Roman" w:eastAsia="Calibri" w:hAnsi="Times New Roman" w:cs="Times New Roman"/>
          <w:sz w:val="28"/>
          <w:szCs w:val="28"/>
        </w:rPr>
        <w:t>субсиди</w:t>
      </w:r>
      <w:r w:rsidR="00F34233" w:rsidRPr="00FD7B0B">
        <w:rPr>
          <w:rFonts w:ascii="Times New Roman" w:eastAsia="Calibri" w:hAnsi="Times New Roman" w:cs="Times New Roman"/>
          <w:sz w:val="28"/>
          <w:szCs w:val="28"/>
        </w:rPr>
        <w:t>й</w:t>
      </w:r>
      <w:r w:rsidRPr="00FD7B0B">
        <w:rPr>
          <w:rFonts w:ascii="Times New Roman" w:eastAsia="Calibri" w:hAnsi="Times New Roman" w:cs="Times New Roman"/>
          <w:sz w:val="28"/>
          <w:szCs w:val="28"/>
        </w:rPr>
        <w:t xml:space="preserve"> некоммерческим организациям 39,2 млн.руб. из них автономной некоммерческой организации «Губернаторский центр «Вместе мы сильнее» – 27,9 млн.руб.</w:t>
      </w:r>
      <w:r w:rsidR="005B4524" w:rsidRPr="00FD7B0B">
        <w:rPr>
          <w:rFonts w:ascii="Times New Roman" w:eastAsia="Calibri" w:hAnsi="Times New Roman" w:cs="Times New Roman"/>
          <w:sz w:val="28"/>
          <w:szCs w:val="28"/>
        </w:rPr>
        <w:t>, из них 27,5 млн.руб. – на приобретение новогодних подарков для детей военнослужащих и сотрудников федеральных органов исполнительной власти и федеральных государственных органов.</w:t>
      </w:r>
    </w:p>
    <w:p w14:paraId="78585D87" w14:textId="5E18B612"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совокупности расходы </w:t>
      </w:r>
      <w:r w:rsidR="00B12F27" w:rsidRPr="00FD7B0B">
        <w:rPr>
          <w:rFonts w:ascii="Times New Roman" w:eastAsia="Calibri" w:hAnsi="Times New Roman" w:cs="Times New Roman"/>
          <w:sz w:val="28"/>
          <w:szCs w:val="28"/>
        </w:rPr>
        <w:t xml:space="preserve">указанных выше </w:t>
      </w:r>
      <w:r w:rsidRPr="00FD7B0B">
        <w:rPr>
          <w:rFonts w:ascii="Times New Roman" w:eastAsia="Calibri" w:hAnsi="Times New Roman" w:cs="Times New Roman"/>
          <w:sz w:val="28"/>
          <w:szCs w:val="28"/>
        </w:rPr>
        <w:t>главных распорядителей составили 50,8 % от общей суммы расходов резервного фонда за 2024 год.</w:t>
      </w:r>
    </w:p>
    <w:p w14:paraId="7108F4CF" w14:textId="1878AF35"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 xml:space="preserve">По сравнению с расходами за счет средств резервного фонда за 2023 год, расходы отчетного периода сложились </w:t>
      </w:r>
      <w:r w:rsidR="001015DB" w:rsidRPr="00FD7B0B">
        <w:rPr>
          <w:rFonts w:ascii="Times New Roman" w:eastAsia="Calibri" w:hAnsi="Times New Roman" w:cs="Times New Roman"/>
          <w:sz w:val="28"/>
          <w:szCs w:val="28"/>
        </w:rPr>
        <w:t xml:space="preserve">в 2,3 раза </w:t>
      </w:r>
      <w:r w:rsidRPr="00FD7B0B">
        <w:rPr>
          <w:rFonts w:ascii="Times New Roman" w:eastAsia="Calibri" w:hAnsi="Times New Roman" w:cs="Times New Roman"/>
          <w:sz w:val="28"/>
          <w:szCs w:val="28"/>
        </w:rPr>
        <w:t>или на 717,2 млн.руб. ниже.</w:t>
      </w:r>
    </w:p>
    <w:p w14:paraId="7FA49145" w14:textId="481D9016" w:rsidR="00272461" w:rsidRPr="00FD7B0B" w:rsidRDefault="00272461" w:rsidP="002724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подразделам бюджетной классификации РФ наибольшие изменения (более 40,0 млн.руб.) в расходах, осуществленных из резервного фонда Правительства Архангельской области за 2023 и 202</w:t>
      </w:r>
      <w:r w:rsidR="00BF1FCA" w:rsidRPr="00FD7B0B">
        <w:rPr>
          <w:rFonts w:ascii="Times New Roman" w:eastAsia="Calibri" w:hAnsi="Times New Roman" w:cs="Times New Roman"/>
          <w:sz w:val="28"/>
          <w:szCs w:val="28"/>
        </w:rPr>
        <w:t xml:space="preserve">4 годы, представлены в таблице </w:t>
      </w:r>
      <w:r w:rsidR="008E012B" w:rsidRPr="00FD7B0B">
        <w:rPr>
          <w:rFonts w:ascii="Times New Roman" w:eastAsia="Calibri" w:hAnsi="Times New Roman" w:cs="Times New Roman"/>
          <w:sz w:val="28"/>
          <w:szCs w:val="28"/>
        </w:rPr>
        <w:t>69</w:t>
      </w:r>
      <w:r w:rsidRPr="00FD7B0B">
        <w:rPr>
          <w:rFonts w:ascii="Times New Roman" w:eastAsia="Calibri" w:hAnsi="Times New Roman" w:cs="Times New Roman"/>
          <w:sz w:val="28"/>
          <w:szCs w:val="28"/>
        </w:rPr>
        <w:t>.</w:t>
      </w:r>
    </w:p>
    <w:p w14:paraId="67660FCE" w14:textId="77777777" w:rsidR="00272461" w:rsidRPr="00FD7B0B" w:rsidRDefault="00272461" w:rsidP="00BF1FCA">
      <w:pPr>
        <w:pStyle w:val="aff0"/>
        <w:spacing w:after="0" w:line="240" w:lineRule="auto"/>
        <w:rPr>
          <w:rFonts w:ascii="Times New Roman" w:hAnsi="Times New Roman"/>
          <w:b w:val="0"/>
          <w:sz w:val="24"/>
          <w:szCs w:val="24"/>
        </w:rPr>
      </w:pPr>
    </w:p>
    <w:p w14:paraId="517948E5" w14:textId="77777777" w:rsidR="00272461" w:rsidRPr="00FD7B0B" w:rsidRDefault="00272461" w:rsidP="00BF1FC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69</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областного бюджета за счет средств резервного фонда за 2023 и 2024 годы по подразделам бюджетной классификации, по которым расходы в отчетном периоде сократились, более чем на 40,0 млн.руб., млн.руб.</w:t>
      </w:r>
    </w:p>
    <w:tbl>
      <w:tblPr>
        <w:tblW w:w="9593" w:type="dxa"/>
        <w:tblInd w:w="-23" w:type="dxa"/>
        <w:tblLook w:val="04A0" w:firstRow="1" w:lastRow="0" w:firstColumn="1" w:lastColumn="0" w:noHBand="0" w:noVBand="1"/>
      </w:tblPr>
      <w:tblGrid>
        <w:gridCol w:w="5670"/>
        <w:gridCol w:w="901"/>
        <w:gridCol w:w="993"/>
        <w:gridCol w:w="1069"/>
        <w:gridCol w:w="960"/>
      </w:tblGrid>
      <w:tr w:rsidR="00FD7B0B" w:rsidRPr="00FD7B0B" w14:paraId="2EFC5DAE" w14:textId="77777777" w:rsidTr="0044683C">
        <w:trPr>
          <w:trHeight w:val="150"/>
          <w:tblHeader/>
        </w:trPr>
        <w:tc>
          <w:tcPr>
            <w:tcW w:w="567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4EE6B15"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Наименование</w:t>
            </w:r>
          </w:p>
        </w:tc>
        <w:tc>
          <w:tcPr>
            <w:tcW w:w="90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98EE211"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2023 г.</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9836D0F"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2024 г.</w:t>
            </w:r>
          </w:p>
        </w:tc>
        <w:tc>
          <w:tcPr>
            <w:tcW w:w="2029" w:type="dxa"/>
            <w:gridSpan w:val="2"/>
            <w:tcBorders>
              <w:top w:val="double" w:sz="6" w:space="0" w:color="auto"/>
              <w:left w:val="nil"/>
              <w:bottom w:val="single" w:sz="4" w:space="0" w:color="auto"/>
              <w:right w:val="double" w:sz="6" w:space="0" w:color="000000"/>
            </w:tcBorders>
            <w:shd w:val="clear" w:color="auto" w:fill="auto"/>
            <w:vAlign w:val="center"/>
            <w:hideMark/>
          </w:tcPr>
          <w:p w14:paraId="01FBABD9"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Изменения (+,-)</w:t>
            </w:r>
          </w:p>
        </w:tc>
      </w:tr>
      <w:tr w:rsidR="00FD7B0B" w:rsidRPr="00FD7B0B" w14:paraId="6A38D285" w14:textId="77777777" w:rsidTr="0044683C">
        <w:trPr>
          <w:trHeight w:val="141"/>
          <w:tblHeader/>
        </w:trPr>
        <w:tc>
          <w:tcPr>
            <w:tcW w:w="5670" w:type="dxa"/>
            <w:vMerge/>
            <w:tcBorders>
              <w:top w:val="double" w:sz="6" w:space="0" w:color="auto"/>
              <w:left w:val="double" w:sz="6" w:space="0" w:color="auto"/>
              <w:bottom w:val="single" w:sz="4" w:space="0" w:color="auto"/>
              <w:right w:val="single" w:sz="4" w:space="0" w:color="auto"/>
            </w:tcBorders>
            <w:vAlign w:val="center"/>
            <w:hideMark/>
          </w:tcPr>
          <w:p w14:paraId="22A29862" w14:textId="77777777" w:rsidR="00272461" w:rsidRPr="00FD7B0B" w:rsidRDefault="00272461" w:rsidP="00272461">
            <w:pPr>
              <w:spacing w:after="0" w:line="240" w:lineRule="auto"/>
              <w:rPr>
                <w:rFonts w:ascii="Times New Roman" w:eastAsia="Times New Roman" w:hAnsi="Times New Roman" w:cs="Times New Roman"/>
                <w:b/>
                <w:bCs/>
                <w:lang w:eastAsia="ru-RU"/>
              </w:rPr>
            </w:pPr>
          </w:p>
        </w:tc>
        <w:tc>
          <w:tcPr>
            <w:tcW w:w="901" w:type="dxa"/>
            <w:vMerge/>
            <w:tcBorders>
              <w:top w:val="double" w:sz="6" w:space="0" w:color="auto"/>
              <w:left w:val="single" w:sz="4" w:space="0" w:color="auto"/>
              <w:bottom w:val="single" w:sz="4" w:space="0" w:color="auto"/>
              <w:right w:val="single" w:sz="4" w:space="0" w:color="auto"/>
            </w:tcBorders>
            <w:vAlign w:val="center"/>
            <w:hideMark/>
          </w:tcPr>
          <w:p w14:paraId="52BCAC9C" w14:textId="77777777" w:rsidR="00272461" w:rsidRPr="00FD7B0B" w:rsidRDefault="00272461" w:rsidP="00272461">
            <w:pPr>
              <w:spacing w:after="0" w:line="240" w:lineRule="auto"/>
              <w:rPr>
                <w:rFonts w:ascii="Times New Roman" w:eastAsia="Times New Roman" w:hAnsi="Times New Roman" w:cs="Times New Roman"/>
                <w:b/>
                <w:bCs/>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2B36C1AD" w14:textId="77777777" w:rsidR="00272461" w:rsidRPr="00FD7B0B" w:rsidRDefault="00272461" w:rsidP="00272461">
            <w:pPr>
              <w:spacing w:after="0" w:line="240" w:lineRule="auto"/>
              <w:rPr>
                <w:rFonts w:ascii="Times New Roman" w:eastAsia="Times New Roman" w:hAnsi="Times New Roman" w:cs="Times New Roman"/>
                <w:b/>
                <w:bCs/>
                <w:lang w:eastAsia="ru-RU"/>
              </w:rPr>
            </w:pPr>
          </w:p>
        </w:tc>
        <w:tc>
          <w:tcPr>
            <w:tcW w:w="1069" w:type="dxa"/>
            <w:tcBorders>
              <w:top w:val="nil"/>
              <w:left w:val="nil"/>
              <w:bottom w:val="single" w:sz="4" w:space="0" w:color="auto"/>
              <w:right w:val="single" w:sz="4" w:space="0" w:color="auto"/>
            </w:tcBorders>
            <w:shd w:val="clear" w:color="auto" w:fill="auto"/>
            <w:vAlign w:val="center"/>
            <w:hideMark/>
          </w:tcPr>
          <w:p w14:paraId="6EB0DDFD"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млн.руб.</w:t>
            </w:r>
          </w:p>
        </w:tc>
        <w:tc>
          <w:tcPr>
            <w:tcW w:w="960" w:type="dxa"/>
            <w:tcBorders>
              <w:top w:val="nil"/>
              <w:left w:val="nil"/>
              <w:bottom w:val="single" w:sz="4" w:space="0" w:color="auto"/>
              <w:right w:val="double" w:sz="6" w:space="0" w:color="auto"/>
            </w:tcBorders>
            <w:shd w:val="clear" w:color="auto" w:fill="auto"/>
            <w:vAlign w:val="center"/>
            <w:hideMark/>
          </w:tcPr>
          <w:p w14:paraId="12413271"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w:t>
            </w:r>
          </w:p>
        </w:tc>
      </w:tr>
      <w:tr w:rsidR="00FD7B0B" w:rsidRPr="00FD7B0B" w14:paraId="49B8C20D" w14:textId="77777777" w:rsidTr="00B06FD2">
        <w:trPr>
          <w:trHeight w:hRule="exact" w:val="255"/>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6F1CA753"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общегосударственные вопросы</w:t>
            </w:r>
          </w:p>
        </w:tc>
        <w:tc>
          <w:tcPr>
            <w:tcW w:w="901" w:type="dxa"/>
            <w:tcBorders>
              <w:top w:val="nil"/>
              <w:left w:val="nil"/>
              <w:bottom w:val="single" w:sz="4" w:space="0" w:color="auto"/>
              <w:right w:val="single" w:sz="4" w:space="0" w:color="auto"/>
            </w:tcBorders>
            <w:shd w:val="clear" w:color="auto" w:fill="auto"/>
            <w:vAlign w:val="center"/>
            <w:hideMark/>
          </w:tcPr>
          <w:p w14:paraId="394C1D2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278,5</w:t>
            </w:r>
          </w:p>
        </w:tc>
        <w:tc>
          <w:tcPr>
            <w:tcW w:w="993" w:type="dxa"/>
            <w:tcBorders>
              <w:top w:val="nil"/>
              <w:left w:val="nil"/>
              <w:bottom w:val="single" w:sz="4" w:space="0" w:color="auto"/>
              <w:right w:val="single" w:sz="4" w:space="0" w:color="auto"/>
            </w:tcBorders>
            <w:shd w:val="clear" w:color="auto" w:fill="auto"/>
            <w:vAlign w:val="center"/>
            <w:hideMark/>
          </w:tcPr>
          <w:p w14:paraId="380740B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69,9</w:t>
            </w:r>
          </w:p>
        </w:tc>
        <w:tc>
          <w:tcPr>
            <w:tcW w:w="1069" w:type="dxa"/>
            <w:tcBorders>
              <w:top w:val="nil"/>
              <w:left w:val="nil"/>
              <w:bottom w:val="single" w:sz="4" w:space="0" w:color="auto"/>
              <w:right w:val="single" w:sz="4" w:space="0" w:color="auto"/>
            </w:tcBorders>
            <w:shd w:val="clear" w:color="auto" w:fill="auto"/>
            <w:vAlign w:val="center"/>
            <w:hideMark/>
          </w:tcPr>
          <w:p w14:paraId="094A039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-208,6</w:t>
            </w:r>
          </w:p>
        </w:tc>
        <w:tc>
          <w:tcPr>
            <w:tcW w:w="960" w:type="dxa"/>
            <w:tcBorders>
              <w:top w:val="nil"/>
              <w:left w:val="nil"/>
              <w:bottom w:val="single" w:sz="4" w:space="0" w:color="auto"/>
              <w:right w:val="double" w:sz="6" w:space="0" w:color="auto"/>
            </w:tcBorders>
            <w:shd w:val="clear" w:color="auto" w:fill="auto"/>
            <w:noWrap/>
            <w:vAlign w:val="center"/>
            <w:hideMark/>
          </w:tcPr>
          <w:p w14:paraId="7777CB2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-74,9</w:t>
            </w:r>
          </w:p>
        </w:tc>
      </w:tr>
      <w:tr w:rsidR="00FD7B0B" w:rsidRPr="00FD7B0B" w14:paraId="368608C9" w14:textId="77777777" w:rsidTr="00B06FD2">
        <w:trPr>
          <w:trHeight w:hRule="exact" w:val="255"/>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4FF93960"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Жилищное хозяйство</w:t>
            </w:r>
          </w:p>
        </w:tc>
        <w:tc>
          <w:tcPr>
            <w:tcW w:w="901" w:type="dxa"/>
            <w:tcBorders>
              <w:top w:val="nil"/>
              <w:left w:val="nil"/>
              <w:bottom w:val="single" w:sz="4" w:space="0" w:color="auto"/>
              <w:right w:val="single" w:sz="4" w:space="0" w:color="auto"/>
            </w:tcBorders>
            <w:shd w:val="clear" w:color="auto" w:fill="auto"/>
            <w:vAlign w:val="center"/>
            <w:hideMark/>
          </w:tcPr>
          <w:p w14:paraId="271AEAB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79,3</w:t>
            </w:r>
          </w:p>
        </w:tc>
        <w:tc>
          <w:tcPr>
            <w:tcW w:w="993" w:type="dxa"/>
            <w:tcBorders>
              <w:top w:val="nil"/>
              <w:left w:val="nil"/>
              <w:bottom w:val="single" w:sz="4" w:space="0" w:color="auto"/>
              <w:right w:val="single" w:sz="4" w:space="0" w:color="auto"/>
            </w:tcBorders>
            <w:shd w:val="clear" w:color="auto" w:fill="auto"/>
            <w:vAlign w:val="center"/>
            <w:hideMark/>
          </w:tcPr>
          <w:p w14:paraId="4EAC772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33,4</w:t>
            </w:r>
          </w:p>
        </w:tc>
        <w:tc>
          <w:tcPr>
            <w:tcW w:w="1069" w:type="dxa"/>
            <w:tcBorders>
              <w:top w:val="nil"/>
              <w:left w:val="nil"/>
              <w:bottom w:val="single" w:sz="4" w:space="0" w:color="auto"/>
              <w:right w:val="single" w:sz="4" w:space="0" w:color="auto"/>
            </w:tcBorders>
            <w:shd w:val="clear" w:color="auto" w:fill="auto"/>
            <w:vAlign w:val="center"/>
            <w:hideMark/>
          </w:tcPr>
          <w:p w14:paraId="4964F8B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-45,9</w:t>
            </w:r>
          </w:p>
        </w:tc>
        <w:tc>
          <w:tcPr>
            <w:tcW w:w="960" w:type="dxa"/>
            <w:tcBorders>
              <w:top w:val="nil"/>
              <w:left w:val="nil"/>
              <w:bottom w:val="single" w:sz="4" w:space="0" w:color="auto"/>
              <w:right w:val="double" w:sz="6" w:space="0" w:color="auto"/>
            </w:tcBorders>
            <w:shd w:val="clear" w:color="auto" w:fill="auto"/>
            <w:noWrap/>
            <w:vAlign w:val="center"/>
            <w:hideMark/>
          </w:tcPr>
          <w:p w14:paraId="41A6C95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-57,9</w:t>
            </w:r>
          </w:p>
        </w:tc>
      </w:tr>
      <w:tr w:rsidR="00FD7B0B" w:rsidRPr="00FD7B0B" w14:paraId="1221CE54" w14:textId="77777777" w:rsidTr="00B06FD2">
        <w:trPr>
          <w:trHeight w:hRule="exact" w:val="255"/>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4F0BD11F"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Коммунальное хозяйство</w:t>
            </w:r>
          </w:p>
        </w:tc>
        <w:tc>
          <w:tcPr>
            <w:tcW w:w="901" w:type="dxa"/>
            <w:tcBorders>
              <w:top w:val="nil"/>
              <w:left w:val="nil"/>
              <w:bottom w:val="single" w:sz="4" w:space="0" w:color="auto"/>
              <w:right w:val="single" w:sz="4" w:space="0" w:color="auto"/>
            </w:tcBorders>
            <w:shd w:val="clear" w:color="auto" w:fill="auto"/>
            <w:vAlign w:val="center"/>
            <w:hideMark/>
          </w:tcPr>
          <w:p w14:paraId="136284C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55,2</w:t>
            </w:r>
          </w:p>
        </w:tc>
        <w:tc>
          <w:tcPr>
            <w:tcW w:w="993" w:type="dxa"/>
            <w:tcBorders>
              <w:top w:val="nil"/>
              <w:left w:val="nil"/>
              <w:bottom w:val="single" w:sz="4" w:space="0" w:color="auto"/>
              <w:right w:val="single" w:sz="4" w:space="0" w:color="auto"/>
            </w:tcBorders>
            <w:shd w:val="clear" w:color="auto" w:fill="auto"/>
            <w:vAlign w:val="center"/>
            <w:hideMark/>
          </w:tcPr>
          <w:p w14:paraId="458BA89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w:t>
            </w:r>
          </w:p>
        </w:tc>
        <w:tc>
          <w:tcPr>
            <w:tcW w:w="1069" w:type="dxa"/>
            <w:tcBorders>
              <w:top w:val="nil"/>
              <w:left w:val="nil"/>
              <w:bottom w:val="single" w:sz="4" w:space="0" w:color="auto"/>
              <w:right w:val="single" w:sz="4" w:space="0" w:color="auto"/>
            </w:tcBorders>
            <w:shd w:val="clear" w:color="auto" w:fill="auto"/>
            <w:vAlign w:val="center"/>
            <w:hideMark/>
          </w:tcPr>
          <w:p w14:paraId="19CEB55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-53,7</w:t>
            </w:r>
          </w:p>
        </w:tc>
        <w:tc>
          <w:tcPr>
            <w:tcW w:w="960" w:type="dxa"/>
            <w:tcBorders>
              <w:top w:val="nil"/>
              <w:left w:val="nil"/>
              <w:bottom w:val="single" w:sz="4" w:space="0" w:color="auto"/>
              <w:right w:val="double" w:sz="6" w:space="0" w:color="auto"/>
            </w:tcBorders>
            <w:shd w:val="clear" w:color="auto" w:fill="auto"/>
            <w:noWrap/>
            <w:vAlign w:val="center"/>
            <w:hideMark/>
          </w:tcPr>
          <w:p w14:paraId="2A0EBAD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-97,2</w:t>
            </w:r>
          </w:p>
        </w:tc>
      </w:tr>
      <w:tr w:rsidR="00FD7B0B" w:rsidRPr="00FD7B0B" w14:paraId="630BB285" w14:textId="77777777" w:rsidTr="00B06FD2">
        <w:trPr>
          <w:trHeight w:hRule="exact" w:val="255"/>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35F51D4B"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Общее образование</w:t>
            </w:r>
          </w:p>
        </w:tc>
        <w:tc>
          <w:tcPr>
            <w:tcW w:w="901" w:type="dxa"/>
            <w:tcBorders>
              <w:top w:val="nil"/>
              <w:left w:val="nil"/>
              <w:bottom w:val="single" w:sz="4" w:space="0" w:color="auto"/>
              <w:right w:val="single" w:sz="4" w:space="0" w:color="auto"/>
            </w:tcBorders>
            <w:shd w:val="clear" w:color="auto" w:fill="auto"/>
            <w:vAlign w:val="center"/>
            <w:hideMark/>
          </w:tcPr>
          <w:p w14:paraId="1771A99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114,5</w:t>
            </w:r>
          </w:p>
        </w:tc>
        <w:tc>
          <w:tcPr>
            <w:tcW w:w="993" w:type="dxa"/>
            <w:tcBorders>
              <w:top w:val="nil"/>
              <w:left w:val="nil"/>
              <w:bottom w:val="single" w:sz="4" w:space="0" w:color="auto"/>
              <w:right w:val="single" w:sz="4" w:space="0" w:color="auto"/>
            </w:tcBorders>
            <w:shd w:val="clear" w:color="auto" w:fill="auto"/>
            <w:vAlign w:val="center"/>
            <w:hideMark/>
          </w:tcPr>
          <w:p w14:paraId="7E844D3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25,3</w:t>
            </w:r>
          </w:p>
        </w:tc>
        <w:tc>
          <w:tcPr>
            <w:tcW w:w="1069" w:type="dxa"/>
            <w:tcBorders>
              <w:top w:val="nil"/>
              <w:left w:val="nil"/>
              <w:bottom w:val="single" w:sz="4" w:space="0" w:color="auto"/>
              <w:right w:val="single" w:sz="4" w:space="0" w:color="auto"/>
            </w:tcBorders>
            <w:shd w:val="clear" w:color="auto" w:fill="auto"/>
            <w:vAlign w:val="center"/>
            <w:hideMark/>
          </w:tcPr>
          <w:p w14:paraId="3494044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-89,2</w:t>
            </w:r>
          </w:p>
        </w:tc>
        <w:tc>
          <w:tcPr>
            <w:tcW w:w="960" w:type="dxa"/>
            <w:tcBorders>
              <w:top w:val="nil"/>
              <w:left w:val="nil"/>
              <w:bottom w:val="single" w:sz="4" w:space="0" w:color="auto"/>
              <w:right w:val="double" w:sz="6" w:space="0" w:color="auto"/>
            </w:tcBorders>
            <w:shd w:val="clear" w:color="auto" w:fill="auto"/>
            <w:noWrap/>
            <w:vAlign w:val="center"/>
            <w:hideMark/>
          </w:tcPr>
          <w:p w14:paraId="2D7455C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-77,9</w:t>
            </w:r>
          </w:p>
        </w:tc>
      </w:tr>
      <w:tr w:rsidR="00FD7B0B" w:rsidRPr="00FD7B0B" w14:paraId="0EBBFDB8" w14:textId="77777777" w:rsidTr="00B06FD2">
        <w:trPr>
          <w:trHeight w:hRule="exact" w:val="255"/>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52CC827D"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вопросы в области образования</w:t>
            </w:r>
          </w:p>
        </w:tc>
        <w:tc>
          <w:tcPr>
            <w:tcW w:w="901" w:type="dxa"/>
            <w:tcBorders>
              <w:top w:val="nil"/>
              <w:left w:val="nil"/>
              <w:bottom w:val="single" w:sz="4" w:space="0" w:color="auto"/>
              <w:right w:val="single" w:sz="4" w:space="0" w:color="auto"/>
            </w:tcBorders>
            <w:shd w:val="clear" w:color="auto" w:fill="auto"/>
            <w:vAlign w:val="center"/>
            <w:hideMark/>
          </w:tcPr>
          <w:p w14:paraId="0AB6DE0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89,4</w:t>
            </w:r>
          </w:p>
        </w:tc>
        <w:tc>
          <w:tcPr>
            <w:tcW w:w="993" w:type="dxa"/>
            <w:tcBorders>
              <w:top w:val="nil"/>
              <w:left w:val="nil"/>
              <w:bottom w:val="single" w:sz="4" w:space="0" w:color="auto"/>
              <w:right w:val="single" w:sz="4" w:space="0" w:color="auto"/>
            </w:tcBorders>
            <w:shd w:val="clear" w:color="auto" w:fill="auto"/>
            <w:vAlign w:val="center"/>
            <w:hideMark/>
          </w:tcPr>
          <w:p w14:paraId="246FE27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9,0</w:t>
            </w:r>
          </w:p>
        </w:tc>
        <w:tc>
          <w:tcPr>
            <w:tcW w:w="1069" w:type="dxa"/>
            <w:tcBorders>
              <w:top w:val="nil"/>
              <w:left w:val="nil"/>
              <w:bottom w:val="single" w:sz="4" w:space="0" w:color="auto"/>
              <w:right w:val="single" w:sz="4" w:space="0" w:color="auto"/>
            </w:tcBorders>
            <w:shd w:val="clear" w:color="auto" w:fill="auto"/>
            <w:vAlign w:val="center"/>
            <w:hideMark/>
          </w:tcPr>
          <w:p w14:paraId="734F0295"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-80,4</w:t>
            </w:r>
          </w:p>
        </w:tc>
        <w:tc>
          <w:tcPr>
            <w:tcW w:w="960" w:type="dxa"/>
            <w:tcBorders>
              <w:top w:val="nil"/>
              <w:left w:val="nil"/>
              <w:bottom w:val="single" w:sz="4" w:space="0" w:color="auto"/>
              <w:right w:val="double" w:sz="6" w:space="0" w:color="auto"/>
            </w:tcBorders>
            <w:shd w:val="clear" w:color="auto" w:fill="auto"/>
            <w:noWrap/>
            <w:vAlign w:val="center"/>
            <w:hideMark/>
          </w:tcPr>
          <w:p w14:paraId="3922FFC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-89,9</w:t>
            </w:r>
          </w:p>
        </w:tc>
      </w:tr>
      <w:tr w:rsidR="00FD7B0B" w:rsidRPr="00FD7B0B" w14:paraId="3BF04A74" w14:textId="77777777" w:rsidTr="00B06FD2">
        <w:trPr>
          <w:trHeight w:hRule="exact" w:val="255"/>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5D012FB1"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Культура</w:t>
            </w:r>
          </w:p>
        </w:tc>
        <w:tc>
          <w:tcPr>
            <w:tcW w:w="901" w:type="dxa"/>
            <w:tcBorders>
              <w:top w:val="nil"/>
              <w:left w:val="nil"/>
              <w:bottom w:val="single" w:sz="4" w:space="0" w:color="auto"/>
              <w:right w:val="single" w:sz="4" w:space="0" w:color="auto"/>
            </w:tcBorders>
            <w:shd w:val="clear" w:color="auto" w:fill="auto"/>
            <w:vAlign w:val="center"/>
            <w:hideMark/>
          </w:tcPr>
          <w:p w14:paraId="118F8DD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98,3</w:t>
            </w:r>
          </w:p>
        </w:tc>
        <w:tc>
          <w:tcPr>
            <w:tcW w:w="993" w:type="dxa"/>
            <w:tcBorders>
              <w:top w:val="nil"/>
              <w:left w:val="nil"/>
              <w:bottom w:val="single" w:sz="4" w:space="0" w:color="auto"/>
              <w:right w:val="single" w:sz="4" w:space="0" w:color="auto"/>
            </w:tcBorders>
            <w:shd w:val="clear" w:color="auto" w:fill="auto"/>
            <w:vAlign w:val="center"/>
            <w:hideMark/>
          </w:tcPr>
          <w:p w14:paraId="4B404FB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35,6</w:t>
            </w:r>
          </w:p>
        </w:tc>
        <w:tc>
          <w:tcPr>
            <w:tcW w:w="1069" w:type="dxa"/>
            <w:tcBorders>
              <w:top w:val="nil"/>
              <w:left w:val="nil"/>
              <w:bottom w:val="single" w:sz="4" w:space="0" w:color="auto"/>
              <w:right w:val="single" w:sz="4" w:space="0" w:color="auto"/>
            </w:tcBorders>
            <w:shd w:val="clear" w:color="auto" w:fill="auto"/>
            <w:vAlign w:val="center"/>
            <w:hideMark/>
          </w:tcPr>
          <w:p w14:paraId="7D3EC93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-62,7</w:t>
            </w:r>
          </w:p>
        </w:tc>
        <w:tc>
          <w:tcPr>
            <w:tcW w:w="960" w:type="dxa"/>
            <w:tcBorders>
              <w:top w:val="nil"/>
              <w:left w:val="nil"/>
              <w:bottom w:val="single" w:sz="4" w:space="0" w:color="auto"/>
              <w:right w:val="double" w:sz="6" w:space="0" w:color="auto"/>
            </w:tcBorders>
            <w:shd w:val="clear" w:color="auto" w:fill="auto"/>
            <w:noWrap/>
            <w:vAlign w:val="center"/>
            <w:hideMark/>
          </w:tcPr>
          <w:p w14:paraId="6CBA237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-63,8</w:t>
            </w:r>
          </w:p>
        </w:tc>
      </w:tr>
      <w:tr w:rsidR="00FD7B0B" w:rsidRPr="00FD7B0B" w14:paraId="1FF2B9B3" w14:textId="77777777" w:rsidTr="00B06FD2">
        <w:trPr>
          <w:trHeight w:hRule="exact" w:val="255"/>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0C65081B"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вопросы в области здравоохранения</w:t>
            </w:r>
          </w:p>
        </w:tc>
        <w:tc>
          <w:tcPr>
            <w:tcW w:w="901" w:type="dxa"/>
            <w:tcBorders>
              <w:top w:val="nil"/>
              <w:left w:val="nil"/>
              <w:bottom w:val="single" w:sz="4" w:space="0" w:color="auto"/>
              <w:right w:val="single" w:sz="4" w:space="0" w:color="auto"/>
            </w:tcBorders>
            <w:shd w:val="clear" w:color="auto" w:fill="auto"/>
            <w:vAlign w:val="center"/>
            <w:hideMark/>
          </w:tcPr>
          <w:p w14:paraId="1AF49D9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76,5</w:t>
            </w:r>
          </w:p>
        </w:tc>
        <w:tc>
          <w:tcPr>
            <w:tcW w:w="993" w:type="dxa"/>
            <w:tcBorders>
              <w:top w:val="nil"/>
              <w:left w:val="nil"/>
              <w:bottom w:val="single" w:sz="4" w:space="0" w:color="auto"/>
              <w:right w:val="single" w:sz="4" w:space="0" w:color="auto"/>
            </w:tcBorders>
            <w:shd w:val="clear" w:color="auto" w:fill="auto"/>
            <w:vAlign w:val="center"/>
            <w:hideMark/>
          </w:tcPr>
          <w:p w14:paraId="354F9DE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0,8</w:t>
            </w:r>
          </w:p>
        </w:tc>
        <w:tc>
          <w:tcPr>
            <w:tcW w:w="1069" w:type="dxa"/>
            <w:tcBorders>
              <w:top w:val="nil"/>
              <w:left w:val="nil"/>
              <w:bottom w:val="single" w:sz="4" w:space="0" w:color="auto"/>
              <w:right w:val="single" w:sz="4" w:space="0" w:color="auto"/>
            </w:tcBorders>
            <w:shd w:val="clear" w:color="auto" w:fill="auto"/>
            <w:vAlign w:val="center"/>
            <w:hideMark/>
          </w:tcPr>
          <w:p w14:paraId="4A686E4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-75,7</w:t>
            </w:r>
          </w:p>
        </w:tc>
        <w:tc>
          <w:tcPr>
            <w:tcW w:w="960" w:type="dxa"/>
            <w:tcBorders>
              <w:top w:val="nil"/>
              <w:left w:val="nil"/>
              <w:bottom w:val="single" w:sz="4" w:space="0" w:color="auto"/>
              <w:right w:val="double" w:sz="6" w:space="0" w:color="auto"/>
            </w:tcBorders>
            <w:shd w:val="clear" w:color="auto" w:fill="auto"/>
            <w:noWrap/>
            <w:vAlign w:val="center"/>
            <w:hideMark/>
          </w:tcPr>
          <w:p w14:paraId="235C1DDF"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-99,0</w:t>
            </w:r>
          </w:p>
        </w:tc>
      </w:tr>
      <w:tr w:rsidR="00FD7B0B" w:rsidRPr="00FD7B0B" w14:paraId="673E58FC" w14:textId="77777777" w:rsidTr="00B06FD2">
        <w:trPr>
          <w:trHeight w:hRule="exact" w:val="255"/>
        </w:trPr>
        <w:tc>
          <w:tcPr>
            <w:tcW w:w="5670" w:type="dxa"/>
            <w:tcBorders>
              <w:top w:val="nil"/>
              <w:left w:val="double" w:sz="6" w:space="0" w:color="auto"/>
              <w:bottom w:val="double" w:sz="6" w:space="0" w:color="auto"/>
              <w:right w:val="single" w:sz="4" w:space="0" w:color="auto"/>
            </w:tcBorders>
            <w:shd w:val="clear" w:color="auto" w:fill="auto"/>
            <w:vAlign w:val="center"/>
            <w:hideMark/>
          </w:tcPr>
          <w:p w14:paraId="3DCAB8A8"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Социальное обеспечение населения</w:t>
            </w:r>
          </w:p>
        </w:tc>
        <w:tc>
          <w:tcPr>
            <w:tcW w:w="901" w:type="dxa"/>
            <w:tcBorders>
              <w:top w:val="nil"/>
              <w:left w:val="nil"/>
              <w:bottom w:val="double" w:sz="6" w:space="0" w:color="auto"/>
              <w:right w:val="single" w:sz="4" w:space="0" w:color="auto"/>
            </w:tcBorders>
            <w:shd w:val="clear" w:color="auto" w:fill="auto"/>
            <w:vAlign w:val="center"/>
            <w:hideMark/>
          </w:tcPr>
          <w:p w14:paraId="251ADA7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103,4</w:t>
            </w:r>
          </w:p>
        </w:tc>
        <w:tc>
          <w:tcPr>
            <w:tcW w:w="993" w:type="dxa"/>
            <w:tcBorders>
              <w:top w:val="nil"/>
              <w:left w:val="nil"/>
              <w:bottom w:val="double" w:sz="6" w:space="0" w:color="auto"/>
              <w:right w:val="single" w:sz="4" w:space="0" w:color="auto"/>
            </w:tcBorders>
            <w:shd w:val="clear" w:color="auto" w:fill="auto"/>
            <w:vAlign w:val="center"/>
            <w:hideMark/>
          </w:tcPr>
          <w:p w14:paraId="123B4A5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w:t>
            </w:r>
          </w:p>
        </w:tc>
        <w:tc>
          <w:tcPr>
            <w:tcW w:w="1069" w:type="dxa"/>
            <w:tcBorders>
              <w:top w:val="nil"/>
              <w:left w:val="nil"/>
              <w:bottom w:val="double" w:sz="6" w:space="0" w:color="auto"/>
              <w:right w:val="single" w:sz="4" w:space="0" w:color="auto"/>
            </w:tcBorders>
            <w:shd w:val="clear" w:color="auto" w:fill="auto"/>
            <w:vAlign w:val="center"/>
            <w:hideMark/>
          </w:tcPr>
          <w:p w14:paraId="079EC56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-99,4</w:t>
            </w:r>
          </w:p>
        </w:tc>
        <w:tc>
          <w:tcPr>
            <w:tcW w:w="960" w:type="dxa"/>
            <w:tcBorders>
              <w:top w:val="nil"/>
              <w:left w:val="nil"/>
              <w:bottom w:val="double" w:sz="6" w:space="0" w:color="auto"/>
              <w:right w:val="double" w:sz="6" w:space="0" w:color="auto"/>
            </w:tcBorders>
            <w:shd w:val="clear" w:color="auto" w:fill="auto"/>
            <w:noWrap/>
            <w:vAlign w:val="center"/>
            <w:hideMark/>
          </w:tcPr>
          <w:p w14:paraId="710851F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-96,1</w:t>
            </w:r>
          </w:p>
        </w:tc>
      </w:tr>
    </w:tbl>
    <w:p w14:paraId="5DE8A1F9" w14:textId="77777777" w:rsidR="00272461" w:rsidRPr="00FD7B0B" w:rsidRDefault="00272461" w:rsidP="00272461">
      <w:pPr>
        <w:spacing w:after="0" w:line="240" w:lineRule="auto"/>
        <w:ind w:firstLine="709"/>
        <w:contextualSpacing/>
        <w:jc w:val="both"/>
        <w:rPr>
          <w:rFonts w:ascii="Times New Roman" w:eastAsia="Calibri" w:hAnsi="Times New Roman" w:cs="Times New Roman"/>
          <w:sz w:val="16"/>
          <w:szCs w:val="16"/>
          <w:lang w:eastAsia="ru-RU"/>
        </w:rPr>
      </w:pPr>
    </w:p>
    <w:p w14:paraId="409AB2E9" w14:textId="057D82F7" w:rsidR="00272461" w:rsidRPr="00FD7B0B" w:rsidRDefault="00272461" w:rsidP="00272461">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Одновременно с этим, по отдельным подразделам бюджетной классификации расходы за счет резервного фонда за 2024 год сложились выше, чем в 2023 году, что отражено в таблице </w:t>
      </w:r>
      <w:r w:rsidR="008E012B" w:rsidRPr="00FD7B0B">
        <w:rPr>
          <w:rFonts w:ascii="Times New Roman" w:eastAsia="Calibri" w:hAnsi="Times New Roman" w:cs="Times New Roman"/>
          <w:sz w:val="28"/>
          <w:szCs w:val="28"/>
          <w:lang w:eastAsia="ru-RU"/>
        </w:rPr>
        <w:t>70</w:t>
      </w:r>
      <w:r w:rsidRPr="00FD7B0B">
        <w:rPr>
          <w:rFonts w:ascii="Times New Roman" w:eastAsia="Calibri" w:hAnsi="Times New Roman" w:cs="Times New Roman"/>
          <w:sz w:val="28"/>
          <w:szCs w:val="28"/>
          <w:lang w:eastAsia="ru-RU"/>
        </w:rPr>
        <w:t xml:space="preserve"> (10,0 млн.руб. и более).</w:t>
      </w:r>
    </w:p>
    <w:p w14:paraId="09CE6C3D" w14:textId="77777777" w:rsidR="00272461" w:rsidRPr="00FD7B0B" w:rsidRDefault="00272461" w:rsidP="008830F4">
      <w:pPr>
        <w:pStyle w:val="aff0"/>
        <w:spacing w:after="0" w:line="240" w:lineRule="auto"/>
        <w:rPr>
          <w:rFonts w:ascii="Times New Roman" w:hAnsi="Times New Roman"/>
          <w:b w:val="0"/>
          <w:sz w:val="24"/>
          <w:szCs w:val="24"/>
        </w:rPr>
      </w:pPr>
    </w:p>
    <w:p w14:paraId="4F1B2099" w14:textId="77777777" w:rsidR="00272461" w:rsidRPr="00FD7B0B" w:rsidRDefault="00272461" w:rsidP="008830F4">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70</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областного бюджета за счет средств резервного фонда за 2023 и 2024 годы по подразделам бюджетной классификации, по которым расходы в отчетном периоде сложились на 10,0 млн.руб. и более расходов 2023 года, млн.руб.</w:t>
      </w:r>
    </w:p>
    <w:tbl>
      <w:tblPr>
        <w:tblW w:w="9587" w:type="dxa"/>
        <w:tblLayout w:type="fixed"/>
        <w:tblLook w:val="04A0" w:firstRow="1" w:lastRow="0" w:firstColumn="1" w:lastColumn="0" w:noHBand="0" w:noVBand="1"/>
      </w:tblPr>
      <w:tblGrid>
        <w:gridCol w:w="5506"/>
        <w:gridCol w:w="998"/>
        <w:gridCol w:w="1018"/>
        <w:gridCol w:w="1103"/>
        <w:gridCol w:w="962"/>
      </w:tblGrid>
      <w:tr w:rsidR="00FD7B0B" w:rsidRPr="00FD7B0B" w14:paraId="24BE0DB9" w14:textId="77777777" w:rsidTr="008830F4">
        <w:trPr>
          <w:trHeight w:val="229"/>
          <w:tblHeader/>
        </w:trPr>
        <w:tc>
          <w:tcPr>
            <w:tcW w:w="550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EBE6F83"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Наименование</w:t>
            </w:r>
          </w:p>
        </w:tc>
        <w:tc>
          <w:tcPr>
            <w:tcW w:w="99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AC8DDF0" w14:textId="3DD438AD"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2023</w:t>
            </w:r>
            <w:r w:rsidR="008830F4" w:rsidRPr="00FD7B0B">
              <w:rPr>
                <w:rFonts w:ascii="Times New Roman" w:eastAsia="Times New Roman" w:hAnsi="Times New Roman" w:cs="Times New Roman"/>
                <w:b/>
                <w:bCs/>
                <w:lang w:eastAsia="ru-RU"/>
              </w:rPr>
              <w:t xml:space="preserve"> год</w:t>
            </w:r>
          </w:p>
        </w:tc>
        <w:tc>
          <w:tcPr>
            <w:tcW w:w="101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6F728DD" w14:textId="118F13E6"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2024</w:t>
            </w:r>
            <w:r w:rsidR="008830F4" w:rsidRPr="00FD7B0B">
              <w:rPr>
                <w:rFonts w:ascii="Times New Roman" w:eastAsia="Times New Roman" w:hAnsi="Times New Roman" w:cs="Times New Roman"/>
                <w:b/>
                <w:bCs/>
                <w:lang w:eastAsia="ru-RU"/>
              </w:rPr>
              <w:t xml:space="preserve"> год</w:t>
            </w:r>
          </w:p>
        </w:tc>
        <w:tc>
          <w:tcPr>
            <w:tcW w:w="2065" w:type="dxa"/>
            <w:gridSpan w:val="2"/>
            <w:tcBorders>
              <w:top w:val="double" w:sz="6" w:space="0" w:color="auto"/>
              <w:left w:val="nil"/>
              <w:bottom w:val="single" w:sz="4" w:space="0" w:color="auto"/>
              <w:right w:val="double" w:sz="6" w:space="0" w:color="000000"/>
            </w:tcBorders>
            <w:shd w:val="clear" w:color="auto" w:fill="auto"/>
            <w:vAlign w:val="center"/>
            <w:hideMark/>
          </w:tcPr>
          <w:p w14:paraId="22E7769C"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Изменения (+,-)</w:t>
            </w:r>
          </w:p>
        </w:tc>
      </w:tr>
      <w:tr w:rsidR="00FD7B0B" w:rsidRPr="00FD7B0B" w14:paraId="1AB0C6F3" w14:textId="77777777" w:rsidTr="008830F4">
        <w:trPr>
          <w:trHeight w:val="91"/>
          <w:tblHeader/>
        </w:trPr>
        <w:tc>
          <w:tcPr>
            <w:tcW w:w="5506" w:type="dxa"/>
            <w:vMerge/>
            <w:tcBorders>
              <w:top w:val="double" w:sz="6" w:space="0" w:color="auto"/>
              <w:left w:val="double" w:sz="6" w:space="0" w:color="auto"/>
              <w:bottom w:val="single" w:sz="4" w:space="0" w:color="auto"/>
              <w:right w:val="single" w:sz="4" w:space="0" w:color="auto"/>
            </w:tcBorders>
            <w:vAlign w:val="center"/>
            <w:hideMark/>
          </w:tcPr>
          <w:p w14:paraId="2A213DE3" w14:textId="77777777" w:rsidR="00272461" w:rsidRPr="00FD7B0B" w:rsidRDefault="00272461" w:rsidP="00272461">
            <w:pPr>
              <w:spacing w:after="0" w:line="240" w:lineRule="auto"/>
              <w:rPr>
                <w:rFonts w:ascii="Times New Roman" w:eastAsia="Times New Roman" w:hAnsi="Times New Roman" w:cs="Times New Roman"/>
                <w:b/>
                <w:bCs/>
                <w:lang w:eastAsia="ru-RU"/>
              </w:rPr>
            </w:pPr>
          </w:p>
        </w:tc>
        <w:tc>
          <w:tcPr>
            <w:tcW w:w="998" w:type="dxa"/>
            <w:vMerge/>
            <w:tcBorders>
              <w:top w:val="double" w:sz="6" w:space="0" w:color="auto"/>
              <w:left w:val="single" w:sz="4" w:space="0" w:color="auto"/>
              <w:bottom w:val="single" w:sz="4" w:space="0" w:color="auto"/>
              <w:right w:val="single" w:sz="4" w:space="0" w:color="auto"/>
            </w:tcBorders>
            <w:vAlign w:val="center"/>
            <w:hideMark/>
          </w:tcPr>
          <w:p w14:paraId="584FF279" w14:textId="77777777" w:rsidR="00272461" w:rsidRPr="00FD7B0B" w:rsidRDefault="00272461" w:rsidP="00272461">
            <w:pPr>
              <w:spacing w:after="0" w:line="240" w:lineRule="auto"/>
              <w:rPr>
                <w:rFonts w:ascii="Times New Roman" w:eastAsia="Times New Roman" w:hAnsi="Times New Roman" w:cs="Times New Roman"/>
                <w:b/>
                <w:bCs/>
                <w:lang w:eastAsia="ru-RU"/>
              </w:rPr>
            </w:pPr>
          </w:p>
        </w:tc>
        <w:tc>
          <w:tcPr>
            <w:tcW w:w="1018" w:type="dxa"/>
            <w:vMerge/>
            <w:tcBorders>
              <w:top w:val="double" w:sz="6" w:space="0" w:color="auto"/>
              <w:left w:val="single" w:sz="4" w:space="0" w:color="auto"/>
              <w:bottom w:val="single" w:sz="4" w:space="0" w:color="auto"/>
              <w:right w:val="single" w:sz="4" w:space="0" w:color="auto"/>
            </w:tcBorders>
            <w:vAlign w:val="center"/>
            <w:hideMark/>
          </w:tcPr>
          <w:p w14:paraId="0E15F0F7" w14:textId="77777777" w:rsidR="00272461" w:rsidRPr="00FD7B0B" w:rsidRDefault="00272461" w:rsidP="00272461">
            <w:pPr>
              <w:spacing w:after="0" w:line="240" w:lineRule="auto"/>
              <w:rPr>
                <w:rFonts w:ascii="Times New Roman" w:eastAsia="Times New Roman" w:hAnsi="Times New Roman" w:cs="Times New Roman"/>
                <w:b/>
                <w:bCs/>
                <w:lang w:eastAsia="ru-RU"/>
              </w:rPr>
            </w:pPr>
          </w:p>
        </w:tc>
        <w:tc>
          <w:tcPr>
            <w:tcW w:w="1103" w:type="dxa"/>
            <w:tcBorders>
              <w:top w:val="nil"/>
              <w:left w:val="nil"/>
              <w:bottom w:val="single" w:sz="4" w:space="0" w:color="auto"/>
              <w:right w:val="single" w:sz="4" w:space="0" w:color="auto"/>
            </w:tcBorders>
            <w:shd w:val="clear" w:color="auto" w:fill="auto"/>
            <w:vAlign w:val="center"/>
            <w:hideMark/>
          </w:tcPr>
          <w:p w14:paraId="7AC9E182"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млн.руб.</w:t>
            </w:r>
          </w:p>
        </w:tc>
        <w:tc>
          <w:tcPr>
            <w:tcW w:w="962" w:type="dxa"/>
            <w:tcBorders>
              <w:top w:val="nil"/>
              <w:left w:val="nil"/>
              <w:bottom w:val="single" w:sz="4" w:space="0" w:color="auto"/>
              <w:right w:val="double" w:sz="6" w:space="0" w:color="auto"/>
            </w:tcBorders>
            <w:shd w:val="clear" w:color="auto" w:fill="auto"/>
            <w:vAlign w:val="center"/>
            <w:hideMark/>
          </w:tcPr>
          <w:p w14:paraId="2DDD37C2" w14:textId="77777777" w:rsidR="00272461" w:rsidRPr="00FD7B0B" w:rsidRDefault="00272461" w:rsidP="00272461">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w:t>
            </w:r>
          </w:p>
        </w:tc>
      </w:tr>
      <w:tr w:rsidR="00FD7B0B" w:rsidRPr="00FD7B0B" w14:paraId="7495FCE1" w14:textId="77777777" w:rsidTr="00E16650">
        <w:trPr>
          <w:trHeight w:val="255"/>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0727C12A"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Связь и информатика</w:t>
            </w:r>
          </w:p>
        </w:tc>
        <w:tc>
          <w:tcPr>
            <w:tcW w:w="998" w:type="dxa"/>
            <w:tcBorders>
              <w:top w:val="nil"/>
              <w:left w:val="nil"/>
              <w:bottom w:val="single" w:sz="4" w:space="0" w:color="auto"/>
              <w:right w:val="single" w:sz="4" w:space="0" w:color="auto"/>
            </w:tcBorders>
            <w:shd w:val="clear" w:color="auto" w:fill="auto"/>
            <w:vAlign w:val="center"/>
            <w:hideMark/>
          </w:tcPr>
          <w:p w14:paraId="1B2A1DE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1018" w:type="dxa"/>
            <w:tcBorders>
              <w:top w:val="nil"/>
              <w:left w:val="nil"/>
              <w:bottom w:val="single" w:sz="4" w:space="0" w:color="auto"/>
              <w:right w:val="single" w:sz="4" w:space="0" w:color="auto"/>
            </w:tcBorders>
            <w:shd w:val="clear" w:color="auto" w:fill="auto"/>
            <w:vAlign w:val="center"/>
            <w:hideMark/>
          </w:tcPr>
          <w:p w14:paraId="39CA293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15,2</w:t>
            </w:r>
          </w:p>
        </w:tc>
        <w:tc>
          <w:tcPr>
            <w:tcW w:w="1103" w:type="dxa"/>
            <w:tcBorders>
              <w:top w:val="nil"/>
              <w:left w:val="nil"/>
              <w:bottom w:val="single" w:sz="4" w:space="0" w:color="auto"/>
              <w:right w:val="single" w:sz="4" w:space="0" w:color="auto"/>
            </w:tcBorders>
            <w:shd w:val="clear" w:color="auto" w:fill="auto"/>
            <w:vAlign w:val="center"/>
            <w:hideMark/>
          </w:tcPr>
          <w:p w14:paraId="1B9C1E51"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15,2</w:t>
            </w:r>
          </w:p>
        </w:tc>
        <w:tc>
          <w:tcPr>
            <w:tcW w:w="962" w:type="dxa"/>
            <w:tcBorders>
              <w:top w:val="nil"/>
              <w:left w:val="nil"/>
              <w:bottom w:val="single" w:sz="4" w:space="0" w:color="auto"/>
              <w:right w:val="double" w:sz="6" w:space="0" w:color="auto"/>
            </w:tcBorders>
            <w:shd w:val="clear" w:color="auto" w:fill="auto"/>
            <w:noWrap/>
            <w:vAlign w:val="center"/>
            <w:hideMark/>
          </w:tcPr>
          <w:p w14:paraId="4F43BC2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r>
      <w:tr w:rsidR="00FD7B0B" w:rsidRPr="00FD7B0B" w14:paraId="4C4E0B7E" w14:textId="77777777" w:rsidTr="00E16650">
        <w:trPr>
          <w:trHeight w:val="255"/>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39134657"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вопросы в области национальной экономики</w:t>
            </w:r>
          </w:p>
        </w:tc>
        <w:tc>
          <w:tcPr>
            <w:tcW w:w="998" w:type="dxa"/>
            <w:tcBorders>
              <w:top w:val="nil"/>
              <w:left w:val="nil"/>
              <w:bottom w:val="single" w:sz="4" w:space="0" w:color="auto"/>
              <w:right w:val="single" w:sz="4" w:space="0" w:color="auto"/>
            </w:tcBorders>
            <w:shd w:val="clear" w:color="auto" w:fill="auto"/>
            <w:vAlign w:val="center"/>
            <w:hideMark/>
          </w:tcPr>
          <w:p w14:paraId="337E422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22,0</w:t>
            </w:r>
          </w:p>
        </w:tc>
        <w:tc>
          <w:tcPr>
            <w:tcW w:w="1018" w:type="dxa"/>
            <w:tcBorders>
              <w:top w:val="nil"/>
              <w:left w:val="nil"/>
              <w:bottom w:val="single" w:sz="4" w:space="0" w:color="auto"/>
              <w:right w:val="single" w:sz="4" w:space="0" w:color="auto"/>
            </w:tcBorders>
            <w:shd w:val="clear" w:color="auto" w:fill="auto"/>
            <w:vAlign w:val="center"/>
            <w:hideMark/>
          </w:tcPr>
          <w:p w14:paraId="0DBCEE7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55,9</w:t>
            </w:r>
          </w:p>
        </w:tc>
        <w:tc>
          <w:tcPr>
            <w:tcW w:w="1103" w:type="dxa"/>
            <w:tcBorders>
              <w:top w:val="nil"/>
              <w:left w:val="nil"/>
              <w:bottom w:val="single" w:sz="4" w:space="0" w:color="auto"/>
              <w:right w:val="single" w:sz="4" w:space="0" w:color="auto"/>
            </w:tcBorders>
            <w:shd w:val="clear" w:color="auto" w:fill="auto"/>
            <w:vAlign w:val="center"/>
            <w:hideMark/>
          </w:tcPr>
          <w:p w14:paraId="241547B0"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33,9</w:t>
            </w:r>
          </w:p>
        </w:tc>
        <w:tc>
          <w:tcPr>
            <w:tcW w:w="962" w:type="dxa"/>
            <w:tcBorders>
              <w:top w:val="nil"/>
              <w:left w:val="nil"/>
              <w:bottom w:val="single" w:sz="4" w:space="0" w:color="auto"/>
              <w:right w:val="double" w:sz="6" w:space="0" w:color="auto"/>
            </w:tcBorders>
            <w:shd w:val="clear" w:color="auto" w:fill="auto"/>
            <w:noWrap/>
            <w:vAlign w:val="center"/>
            <w:hideMark/>
          </w:tcPr>
          <w:p w14:paraId="5F6BF976"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 2,5 р</w:t>
            </w:r>
          </w:p>
        </w:tc>
      </w:tr>
      <w:tr w:rsidR="00FD7B0B" w:rsidRPr="00FD7B0B" w14:paraId="7F86FB57" w14:textId="77777777" w:rsidTr="008830F4">
        <w:trPr>
          <w:trHeight w:val="300"/>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691BC2A1"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Охрана объектов растительного и животного мира и среды их обитания</w:t>
            </w:r>
          </w:p>
        </w:tc>
        <w:tc>
          <w:tcPr>
            <w:tcW w:w="998" w:type="dxa"/>
            <w:tcBorders>
              <w:top w:val="nil"/>
              <w:left w:val="nil"/>
              <w:bottom w:val="single" w:sz="4" w:space="0" w:color="auto"/>
              <w:right w:val="single" w:sz="4" w:space="0" w:color="auto"/>
            </w:tcBorders>
            <w:shd w:val="clear" w:color="auto" w:fill="auto"/>
            <w:vAlign w:val="center"/>
            <w:hideMark/>
          </w:tcPr>
          <w:p w14:paraId="69067CD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w:t>
            </w:r>
          </w:p>
        </w:tc>
        <w:tc>
          <w:tcPr>
            <w:tcW w:w="1018" w:type="dxa"/>
            <w:tcBorders>
              <w:top w:val="nil"/>
              <w:left w:val="nil"/>
              <w:bottom w:val="single" w:sz="4" w:space="0" w:color="auto"/>
              <w:right w:val="single" w:sz="4" w:space="0" w:color="auto"/>
            </w:tcBorders>
            <w:shd w:val="clear" w:color="auto" w:fill="auto"/>
            <w:vAlign w:val="center"/>
            <w:hideMark/>
          </w:tcPr>
          <w:p w14:paraId="38F13D72"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29,5</w:t>
            </w:r>
          </w:p>
        </w:tc>
        <w:tc>
          <w:tcPr>
            <w:tcW w:w="1103" w:type="dxa"/>
            <w:tcBorders>
              <w:top w:val="nil"/>
              <w:left w:val="nil"/>
              <w:bottom w:val="single" w:sz="4" w:space="0" w:color="auto"/>
              <w:right w:val="single" w:sz="4" w:space="0" w:color="auto"/>
            </w:tcBorders>
            <w:shd w:val="clear" w:color="auto" w:fill="auto"/>
            <w:vAlign w:val="center"/>
            <w:hideMark/>
          </w:tcPr>
          <w:p w14:paraId="19CF0E5D"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19,1</w:t>
            </w:r>
          </w:p>
        </w:tc>
        <w:tc>
          <w:tcPr>
            <w:tcW w:w="962" w:type="dxa"/>
            <w:tcBorders>
              <w:top w:val="nil"/>
              <w:left w:val="nil"/>
              <w:bottom w:val="single" w:sz="4" w:space="0" w:color="auto"/>
              <w:right w:val="double" w:sz="6" w:space="0" w:color="auto"/>
            </w:tcBorders>
            <w:shd w:val="clear" w:color="auto" w:fill="auto"/>
            <w:noWrap/>
            <w:vAlign w:val="center"/>
            <w:hideMark/>
          </w:tcPr>
          <w:p w14:paraId="3766D85B"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 2,8 р</w:t>
            </w:r>
          </w:p>
        </w:tc>
      </w:tr>
      <w:tr w:rsidR="00FD7B0B" w:rsidRPr="00FD7B0B" w14:paraId="26BEBE95" w14:textId="77777777" w:rsidTr="00E16650">
        <w:trPr>
          <w:trHeight w:val="255"/>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7865221A"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Другие вопросы в области охраны окружающей среды</w:t>
            </w:r>
          </w:p>
        </w:tc>
        <w:tc>
          <w:tcPr>
            <w:tcW w:w="998" w:type="dxa"/>
            <w:tcBorders>
              <w:top w:val="nil"/>
              <w:left w:val="nil"/>
              <w:bottom w:val="single" w:sz="4" w:space="0" w:color="auto"/>
              <w:right w:val="single" w:sz="4" w:space="0" w:color="auto"/>
            </w:tcBorders>
            <w:shd w:val="clear" w:color="auto" w:fill="auto"/>
            <w:vAlign w:val="center"/>
            <w:hideMark/>
          </w:tcPr>
          <w:p w14:paraId="5ADA360E"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1018" w:type="dxa"/>
            <w:tcBorders>
              <w:top w:val="nil"/>
              <w:left w:val="nil"/>
              <w:bottom w:val="single" w:sz="4" w:space="0" w:color="auto"/>
              <w:right w:val="single" w:sz="4" w:space="0" w:color="auto"/>
            </w:tcBorders>
            <w:shd w:val="clear" w:color="auto" w:fill="auto"/>
            <w:vAlign w:val="center"/>
            <w:hideMark/>
          </w:tcPr>
          <w:p w14:paraId="0058A59C"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13,4</w:t>
            </w:r>
          </w:p>
        </w:tc>
        <w:tc>
          <w:tcPr>
            <w:tcW w:w="1103" w:type="dxa"/>
            <w:tcBorders>
              <w:top w:val="nil"/>
              <w:left w:val="nil"/>
              <w:bottom w:val="single" w:sz="4" w:space="0" w:color="auto"/>
              <w:right w:val="single" w:sz="4" w:space="0" w:color="auto"/>
            </w:tcBorders>
            <w:shd w:val="clear" w:color="auto" w:fill="auto"/>
            <w:vAlign w:val="center"/>
            <w:hideMark/>
          </w:tcPr>
          <w:p w14:paraId="63D60213"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13,4</w:t>
            </w:r>
          </w:p>
        </w:tc>
        <w:tc>
          <w:tcPr>
            <w:tcW w:w="962" w:type="dxa"/>
            <w:tcBorders>
              <w:top w:val="nil"/>
              <w:left w:val="nil"/>
              <w:bottom w:val="single" w:sz="4" w:space="0" w:color="auto"/>
              <w:right w:val="double" w:sz="6" w:space="0" w:color="auto"/>
            </w:tcBorders>
            <w:shd w:val="clear" w:color="auto" w:fill="auto"/>
            <w:noWrap/>
            <w:vAlign w:val="center"/>
            <w:hideMark/>
          </w:tcPr>
          <w:p w14:paraId="241A79C8"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r>
      <w:tr w:rsidR="00272461" w:rsidRPr="00FD7B0B" w14:paraId="1F7FC16B" w14:textId="77777777" w:rsidTr="00E16650">
        <w:trPr>
          <w:trHeight w:val="255"/>
        </w:trPr>
        <w:tc>
          <w:tcPr>
            <w:tcW w:w="5506" w:type="dxa"/>
            <w:tcBorders>
              <w:top w:val="nil"/>
              <w:left w:val="double" w:sz="6" w:space="0" w:color="auto"/>
              <w:bottom w:val="double" w:sz="6" w:space="0" w:color="auto"/>
              <w:right w:val="single" w:sz="4" w:space="0" w:color="auto"/>
            </w:tcBorders>
            <w:shd w:val="clear" w:color="auto" w:fill="auto"/>
            <w:vAlign w:val="center"/>
            <w:hideMark/>
          </w:tcPr>
          <w:p w14:paraId="7EA21432" w14:textId="77777777" w:rsidR="00272461" w:rsidRPr="00FD7B0B" w:rsidRDefault="00272461" w:rsidP="002724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Молодежная политика</w:t>
            </w:r>
          </w:p>
        </w:tc>
        <w:tc>
          <w:tcPr>
            <w:tcW w:w="998" w:type="dxa"/>
            <w:tcBorders>
              <w:top w:val="nil"/>
              <w:left w:val="nil"/>
              <w:bottom w:val="double" w:sz="6" w:space="0" w:color="auto"/>
              <w:right w:val="single" w:sz="4" w:space="0" w:color="auto"/>
            </w:tcBorders>
            <w:shd w:val="clear" w:color="auto" w:fill="auto"/>
            <w:vAlign w:val="center"/>
            <w:hideMark/>
          </w:tcPr>
          <w:p w14:paraId="2AEDB99A"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56,4</w:t>
            </w:r>
          </w:p>
        </w:tc>
        <w:tc>
          <w:tcPr>
            <w:tcW w:w="1018" w:type="dxa"/>
            <w:tcBorders>
              <w:top w:val="nil"/>
              <w:left w:val="nil"/>
              <w:bottom w:val="double" w:sz="6" w:space="0" w:color="auto"/>
              <w:right w:val="single" w:sz="4" w:space="0" w:color="auto"/>
            </w:tcBorders>
            <w:shd w:val="clear" w:color="auto" w:fill="auto"/>
            <w:vAlign w:val="center"/>
            <w:hideMark/>
          </w:tcPr>
          <w:p w14:paraId="7CF61119"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117,1</w:t>
            </w:r>
          </w:p>
        </w:tc>
        <w:tc>
          <w:tcPr>
            <w:tcW w:w="1103" w:type="dxa"/>
            <w:tcBorders>
              <w:top w:val="nil"/>
              <w:left w:val="nil"/>
              <w:bottom w:val="double" w:sz="6" w:space="0" w:color="auto"/>
              <w:right w:val="single" w:sz="4" w:space="0" w:color="auto"/>
            </w:tcBorders>
            <w:shd w:val="clear" w:color="auto" w:fill="auto"/>
            <w:vAlign w:val="center"/>
            <w:hideMark/>
          </w:tcPr>
          <w:p w14:paraId="06FAE937"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60,7</w:t>
            </w:r>
          </w:p>
        </w:tc>
        <w:tc>
          <w:tcPr>
            <w:tcW w:w="962" w:type="dxa"/>
            <w:tcBorders>
              <w:top w:val="nil"/>
              <w:left w:val="nil"/>
              <w:bottom w:val="double" w:sz="6" w:space="0" w:color="auto"/>
              <w:right w:val="double" w:sz="6" w:space="0" w:color="auto"/>
            </w:tcBorders>
            <w:shd w:val="clear" w:color="auto" w:fill="auto"/>
            <w:noWrap/>
            <w:vAlign w:val="center"/>
            <w:hideMark/>
          </w:tcPr>
          <w:p w14:paraId="62D1A3A4" w14:textId="77777777" w:rsidR="00272461" w:rsidRPr="00FD7B0B" w:rsidRDefault="00272461" w:rsidP="00272461">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 2,1 р</w:t>
            </w:r>
          </w:p>
        </w:tc>
      </w:tr>
    </w:tbl>
    <w:p w14:paraId="032BDC7F" w14:textId="77777777" w:rsidR="00272461" w:rsidRPr="00FD7B0B" w:rsidRDefault="00272461" w:rsidP="00272461">
      <w:pPr>
        <w:spacing w:after="0" w:line="240" w:lineRule="auto"/>
        <w:ind w:firstLine="709"/>
        <w:contextualSpacing/>
        <w:jc w:val="both"/>
        <w:rPr>
          <w:rFonts w:ascii="Times New Roman" w:eastAsia="Calibri" w:hAnsi="Times New Roman" w:cs="Times New Roman"/>
          <w:sz w:val="16"/>
          <w:szCs w:val="16"/>
          <w:lang w:eastAsia="ru-RU"/>
        </w:rPr>
      </w:pPr>
    </w:p>
    <w:p w14:paraId="2B4285A3" w14:textId="6DD81C31" w:rsidR="0044683C" w:rsidRPr="00FD7B0B" w:rsidRDefault="0044683C" w:rsidP="0044683C">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Исходя из удельного веса произведенных расходов, приоритеты использования средств резервного фонда в 2024 году смещены в сторону молодежной политики (117,1 млн.руб. или 20,9 % к общей сумме расходов за счет средств резервного фонда), тогда как в 2023 году наиболее приоритетным являлись расходы на решение других общегосударственных вопросов (278,5 млн.руб. или 21,8 %, из них 151,5 млн.руб.</w:t>
      </w:r>
      <w:r w:rsidRPr="00FD7B0B">
        <w:rPr>
          <w:rFonts w:ascii="Times New Roman" w:hAnsi="Times New Roman" w:cs="Times New Roman"/>
          <w:sz w:val="28"/>
          <w:szCs w:val="28"/>
        </w:rPr>
        <w:t xml:space="preserve"> </w:t>
      </w:r>
      <w:r w:rsidR="00936315" w:rsidRPr="00FD7B0B">
        <w:rPr>
          <w:rFonts w:ascii="Times New Roman" w:hAnsi="Times New Roman" w:cs="Times New Roman"/>
          <w:sz w:val="28"/>
          <w:szCs w:val="28"/>
        </w:rPr>
        <w:t xml:space="preserve">направлено </w:t>
      </w:r>
      <w:r w:rsidRPr="00FD7B0B">
        <w:rPr>
          <w:rFonts w:ascii="Times New Roman" w:eastAsia="Calibri" w:hAnsi="Times New Roman" w:cs="Times New Roman"/>
          <w:sz w:val="28"/>
          <w:szCs w:val="28"/>
          <w:lang w:eastAsia="ru-RU"/>
        </w:rPr>
        <w:t>автономной некоммерческой организации «Дирекция социальных и инфраструктурных проектов» на проведение капитального ремонта помещений в Запорожской области, г. Мелитополь).</w:t>
      </w:r>
    </w:p>
    <w:p w14:paraId="312544D3" w14:textId="0140F5B9" w:rsidR="00D304BC" w:rsidRPr="00FD7B0B" w:rsidRDefault="009B516C" w:rsidP="00D304BC">
      <w:pPr>
        <w:pStyle w:val="2"/>
        <w:spacing w:before="120" w:after="0" w:line="240" w:lineRule="auto"/>
        <w:jc w:val="center"/>
        <w:rPr>
          <w:rFonts w:ascii="Times New Roman" w:hAnsi="Times New Roman"/>
          <w:lang w:val="ru-RU"/>
        </w:rPr>
      </w:pPr>
      <w:bookmarkStart w:id="118" w:name="_Toc198819130"/>
      <w:r w:rsidRPr="00FD7B0B">
        <w:rPr>
          <w:rFonts w:ascii="Times New Roman" w:hAnsi="Times New Roman"/>
          <w:lang w:val="ru-RU"/>
        </w:rPr>
        <w:lastRenderedPageBreak/>
        <w:t>4</w:t>
      </w:r>
      <w:r w:rsidR="00D304BC" w:rsidRPr="00FD7B0B">
        <w:rPr>
          <w:rFonts w:ascii="Times New Roman" w:hAnsi="Times New Roman"/>
          <w:lang w:val="ru-RU"/>
        </w:rPr>
        <w:t>.</w:t>
      </w:r>
      <w:r w:rsidR="001D3D4C" w:rsidRPr="00FD7B0B">
        <w:rPr>
          <w:rFonts w:ascii="Times New Roman" w:hAnsi="Times New Roman"/>
          <w:lang w:val="ru-RU"/>
        </w:rPr>
        <w:t>2</w:t>
      </w:r>
      <w:r w:rsidR="00D304BC" w:rsidRPr="00FD7B0B">
        <w:rPr>
          <w:rFonts w:ascii="Times New Roman" w:hAnsi="Times New Roman"/>
          <w:lang w:val="ru-RU"/>
        </w:rPr>
        <w:t>. Межбюджетные трансферты из областного бюджета</w:t>
      </w:r>
      <w:bookmarkEnd w:id="118"/>
    </w:p>
    <w:p w14:paraId="273F7E4F" w14:textId="7E30A012" w:rsidR="00B420A9" w:rsidRPr="00FD7B0B" w:rsidRDefault="00B420A9" w:rsidP="002C0E7D">
      <w:pPr>
        <w:spacing w:after="0" w:line="240" w:lineRule="auto"/>
        <w:ind w:firstLine="709"/>
        <w:contextualSpacing/>
        <w:jc w:val="both"/>
        <w:rPr>
          <w:rFonts w:ascii="Times New Roman" w:eastAsia="Calibri" w:hAnsi="Times New Roman" w:cs="Times New Roman"/>
          <w:sz w:val="28"/>
          <w:szCs w:val="28"/>
          <w:lang w:eastAsia="ru-RU"/>
        </w:rPr>
      </w:pPr>
      <w:bookmarkStart w:id="119" w:name="_Toc152843417"/>
      <w:r w:rsidRPr="00FD7B0B">
        <w:rPr>
          <w:rFonts w:ascii="Times New Roman" w:eastAsia="Calibri" w:hAnsi="Times New Roman" w:cs="Times New Roman"/>
          <w:sz w:val="28"/>
          <w:szCs w:val="28"/>
          <w:lang w:eastAsia="ru-RU"/>
        </w:rPr>
        <w:t xml:space="preserve">Межбюджетные трансферты из областного бюджета в </w:t>
      </w:r>
      <w:r w:rsidR="002C0E7D" w:rsidRPr="00FD7B0B">
        <w:rPr>
          <w:rFonts w:ascii="Times New Roman" w:eastAsia="Calibri" w:hAnsi="Times New Roman" w:cs="Times New Roman"/>
          <w:sz w:val="28"/>
          <w:szCs w:val="28"/>
          <w:lang w:eastAsia="ru-RU"/>
        </w:rPr>
        <w:t xml:space="preserve">другие </w:t>
      </w:r>
      <w:r w:rsidRPr="00FD7B0B">
        <w:rPr>
          <w:rFonts w:ascii="Times New Roman" w:eastAsia="Calibri" w:hAnsi="Times New Roman" w:cs="Times New Roman"/>
          <w:sz w:val="28"/>
          <w:szCs w:val="28"/>
          <w:lang w:eastAsia="ru-RU"/>
        </w:rPr>
        <w:t>бюджеты за 2024 год составили в общей сумме 46 091,7 млн.руб., из них местным бюджетам Архангельской области – 45 043,1 млн.руб., другим бюджетам – 1 048,7 млн.руб.</w:t>
      </w:r>
    </w:p>
    <w:p w14:paraId="720F6E91" w14:textId="77777777" w:rsidR="00B420A9" w:rsidRPr="00FD7B0B" w:rsidRDefault="00B420A9" w:rsidP="00612084">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За 2023 год из областного бюджета перечисление межбюджетных трансфертов обеспечено на 93,9 % к плану года, а за 2024 год – 97,7 %.</w:t>
      </w:r>
    </w:p>
    <w:p w14:paraId="398C1086" w14:textId="77777777" w:rsidR="00B420A9" w:rsidRPr="00FD7B0B" w:rsidRDefault="00B420A9" w:rsidP="000707DF">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Основной объем межбюджетных трансфертов из областного бюджета направляется в местные бюджеты Архангельской области, удельный вес которых за 2024 год составил 97,7 % от общей суммы межбюджетных трансфертов. За 2023 год аналогичный показатель составлял 98,2 %.</w:t>
      </w:r>
    </w:p>
    <w:p w14:paraId="0E46F21A" w14:textId="36AB2E22" w:rsidR="00B420A9" w:rsidRPr="00FD7B0B" w:rsidRDefault="009B516C" w:rsidP="00D848BA">
      <w:pPr>
        <w:pStyle w:val="3"/>
        <w:spacing w:line="240" w:lineRule="auto"/>
        <w:jc w:val="center"/>
        <w:rPr>
          <w:rFonts w:ascii="Times New Roman" w:hAnsi="Times New Roman"/>
          <w:b w:val="0"/>
          <w:sz w:val="28"/>
          <w:szCs w:val="28"/>
          <w:u w:val="single"/>
          <w:lang w:val="ru-RU"/>
        </w:rPr>
      </w:pPr>
      <w:bookmarkStart w:id="120" w:name="_Toc184649435"/>
      <w:bookmarkStart w:id="121" w:name="_Toc198819131"/>
      <w:r w:rsidRPr="00FD7B0B">
        <w:rPr>
          <w:rFonts w:ascii="Times New Roman" w:hAnsi="Times New Roman"/>
          <w:b w:val="0"/>
          <w:sz w:val="28"/>
          <w:szCs w:val="28"/>
          <w:u w:val="single"/>
          <w:lang w:val="ru-RU"/>
        </w:rPr>
        <w:t>4</w:t>
      </w:r>
      <w:r w:rsidR="00B420A9" w:rsidRPr="00FD7B0B">
        <w:rPr>
          <w:rFonts w:ascii="Times New Roman" w:hAnsi="Times New Roman"/>
          <w:b w:val="0"/>
          <w:sz w:val="28"/>
          <w:szCs w:val="28"/>
          <w:u w:val="single"/>
          <w:lang w:val="ru-RU"/>
        </w:rPr>
        <w:t>.</w:t>
      </w:r>
      <w:r w:rsidR="00C5032A" w:rsidRPr="00FD7B0B">
        <w:rPr>
          <w:rFonts w:ascii="Times New Roman" w:hAnsi="Times New Roman"/>
          <w:b w:val="0"/>
          <w:sz w:val="28"/>
          <w:szCs w:val="28"/>
          <w:u w:val="single"/>
          <w:lang w:val="ru-RU"/>
        </w:rPr>
        <w:t>2</w:t>
      </w:r>
      <w:r w:rsidR="00B420A9" w:rsidRPr="00FD7B0B">
        <w:rPr>
          <w:rFonts w:ascii="Times New Roman" w:hAnsi="Times New Roman"/>
          <w:b w:val="0"/>
          <w:sz w:val="28"/>
          <w:szCs w:val="28"/>
          <w:u w:val="single"/>
          <w:lang w:val="ru-RU"/>
        </w:rPr>
        <w:t>.1. Межбюджетные трансферты бюджетам муниципальных образований Архангельской области</w:t>
      </w:r>
      <w:bookmarkEnd w:id="119"/>
      <w:bookmarkEnd w:id="120"/>
      <w:bookmarkEnd w:id="121"/>
    </w:p>
    <w:p w14:paraId="52C276DC" w14:textId="7C03AFC9" w:rsidR="00B420A9" w:rsidRPr="00FD7B0B" w:rsidRDefault="00B420A9" w:rsidP="00F13F17">
      <w:pPr>
        <w:spacing w:after="0" w:line="240" w:lineRule="auto"/>
        <w:ind w:firstLine="709"/>
        <w:contextualSpacing/>
        <w:jc w:val="both"/>
        <w:rPr>
          <w:rFonts w:ascii="Times New Roman" w:eastAsia="Calibri" w:hAnsi="Times New Roman" w:cs="Times New Roman"/>
          <w:sz w:val="28"/>
          <w:szCs w:val="28"/>
          <w:lang w:eastAsia="ru-RU"/>
        </w:rPr>
      </w:pPr>
      <w:bookmarkStart w:id="122" w:name="_Toc152843418"/>
      <w:r w:rsidRPr="00FD7B0B">
        <w:rPr>
          <w:rFonts w:ascii="Times New Roman" w:eastAsia="Calibri" w:hAnsi="Times New Roman" w:cs="Times New Roman"/>
          <w:sz w:val="28"/>
          <w:szCs w:val="28"/>
          <w:lang w:eastAsia="ru-RU"/>
        </w:rPr>
        <w:t xml:space="preserve">Согласно представленной отчетности, межбюджетные трансферты местным бюджетам из областного бюджета за 2024 год перечислены в общей сумме 45 043,1 млн.руб. или 97,7 % плану года. По отношению к аналогичным перечислениям местным бюджетам </w:t>
      </w:r>
      <w:r w:rsidR="00F13F17" w:rsidRPr="00FD7B0B">
        <w:rPr>
          <w:rFonts w:ascii="Times New Roman" w:eastAsia="Calibri" w:hAnsi="Times New Roman" w:cs="Times New Roman"/>
          <w:sz w:val="28"/>
          <w:szCs w:val="28"/>
          <w:lang w:eastAsia="ru-RU"/>
        </w:rPr>
        <w:t xml:space="preserve">за </w:t>
      </w:r>
      <w:r w:rsidRPr="00FD7B0B">
        <w:rPr>
          <w:rFonts w:ascii="Times New Roman" w:eastAsia="Calibri" w:hAnsi="Times New Roman" w:cs="Times New Roman"/>
          <w:sz w:val="28"/>
          <w:szCs w:val="28"/>
          <w:lang w:eastAsia="ru-RU"/>
        </w:rPr>
        <w:t>2023 год, в отчетном периоде расходы из областного бюджета сократились на 3,2 % или на 1 497,6 млн.руб.</w:t>
      </w:r>
    </w:p>
    <w:p w14:paraId="6EC3B0F1" w14:textId="03EC0662" w:rsidR="00B420A9" w:rsidRPr="00FD7B0B" w:rsidRDefault="00B420A9" w:rsidP="00F13F17">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Структура межбюджетных трансфертов в местные бюджеты за 2023 и 2024 годы представлены на рисунке </w:t>
      </w:r>
      <w:r w:rsidR="004F0970" w:rsidRPr="00FD7B0B">
        <w:rPr>
          <w:rFonts w:ascii="Times New Roman" w:eastAsia="Calibri" w:hAnsi="Times New Roman" w:cs="Times New Roman"/>
          <w:sz w:val="28"/>
          <w:szCs w:val="28"/>
          <w:lang w:eastAsia="ru-RU"/>
        </w:rPr>
        <w:t>9</w:t>
      </w:r>
      <w:r w:rsidRPr="00FD7B0B">
        <w:rPr>
          <w:rFonts w:ascii="Times New Roman" w:eastAsia="Calibri" w:hAnsi="Times New Roman" w:cs="Times New Roman"/>
          <w:sz w:val="28"/>
          <w:szCs w:val="28"/>
          <w:lang w:eastAsia="ru-RU"/>
        </w:rPr>
        <w:t>.</w:t>
      </w:r>
    </w:p>
    <w:p w14:paraId="646801FD" w14:textId="77777777" w:rsidR="00B420A9" w:rsidRPr="00FD7B0B" w:rsidRDefault="00B420A9" w:rsidP="008448A2">
      <w:pPr>
        <w:spacing w:after="0" w:line="240" w:lineRule="auto"/>
        <w:jc w:val="center"/>
        <w:rPr>
          <w:rFonts w:ascii="Times New Roman" w:eastAsia="Calibri" w:hAnsi="Times New Roman" w:cs="Times New Roman"/>
          <w:sz w:val="24"/>
          <w:szCs w:val="24"/>
        </w:rPr>
      </w:pPr>
      <w:r w:rsidRPr="00FD7B0B">
        <w:rPr>
          <w:rFonts w:ascii="Times New Roman" w:eastAsia="Calibri" w:hAnsi="Times New Roman" w:cs="Times New Roman"/>
          <w:noProof/>
          <w:sz w:val="24"/>
          <w:szCs w:val="24"/>
          <w:lang w:eastAsia="ru-RU"/>
        </w:rPr>
        <w:drawing>
          <wp:inline distT="0" distB="0" distL="0" distR="0" wp14:anchorId="0F857F65" wp14:editId="0F74F367">
            <wp:extent cx="6248400" cy="2015490"/>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49982" cy="2016000"/>
                    </a:xfrm>
                    <a:prstGeom prst="rect">
                      <a:avLst/>
                    </a:prstGeom>
                    <a:noFill/>
                  </pic:spPr>
                </pic:pic>
              </a:graphicData>
            </a:graphic>
          </wp:inline>
        </w:drawing>
      </w:r>
    </w:p>
    <w:p w14:paraId="05212B3E" w14:textId="77777777" w:rsidR="00B420A9" w:rsidRPr="00FD7B0B" w:rsidRDefault="00B420A9" w:rsidP="008448A2">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Рисунок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Рисунок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9</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Межбюджетные трансферты из областного бюджета в бюджеты муниципальных образований за 2023 и 2024 годы, млн.руб.</w:t>
      </w:r>
    </w:p>
    <w:p w14:paraId="6484A550" w14:textId="77777777" w:rsidR="00B420A9" w:rsidRPr="00FD7B0B" w:rsidRDefault="00B420A9" w:rsidP="008B050E">
      <w:pPr>
        <w:spacing w:after="0" w:line="240" w:lineRule="auto"/>
        <w:ind w:firstLine="709"/>
        <w:contextualSpacing/>
        <w:jc w:val="both"/>
        <w:rPr>
          <w:rFonts w:ascii="Times New Roman" w:eastAsia="Calibri" w:hAnsi="Times New Roman" w:cs="Times New Roman"/>
          <w:sz w:val="28"/>
          <w:szCs w:val="28"/>
          <w:lang w:eastAsia="ru-RU"/>
        </w:rPr>
      </w:pPr>
    </w:p>
    <w:p w14:paraId="4FC6EC51" w14:textId="21E6764A" w:rsidR="00B420A9" w:rsidRPr="00FD7B0B" w:rsidRDefault="00B420A9" w:rsidP="008B050E">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В отчетном периоде наблюдается рост дотаций (в 4,1 раза) и субвенций (на 0,0 %) местным бюджетам</w:t>
      </w:r>
      <w:r w:rsidR="004C581B" w:rsidRPr="00FD7B0B">
        <w:rPr>
          <w:rFonts w:ascii="Times New Roman" w:eastAsia="Calibri" w:hAnsi="Times New Roman" w:cs="Times New Roman"/>
          <w:sz w:val="28"/>
          <w:szCs w:val="28"/>
          <w:lang w:eastAsia="ru-RU"/>
        </w:rPr>
        <w:t xml:space="preserve"> и</w:t>
      </w:r>
      <w:r w:rsidRPr="00FD7B0B">
        <w:rPr>
          <w:rFonts w:ascii="Times New Roman" w:eastAsia="Calibri" w:hAnsi="Times New Roman" w:cs="Times New Roman"/>
          <w:sz w:val="28"/>
          <w:szCs w:val="28"/>
          <w:lang w:eastAsia="ru-RU"/>
        </w:rPr>
        <w:t xml:space="preserve"> снижение по перечисленным субсидиям (на 61,8 %) и иным межбюджетным трансфертам (на 18,2 %).</w:t>
      </w:r>
    </w:p>
    <w:p w14:paraId="1D64BBBD" w14:textId="77777777" w:rsidR="00B420A9" w:rsidRPr="00FD7B0B" w:rsidRDefault="00B420A9" w:rsidP="004C581B">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Дотации бюджетам муниципальных образований за 2024 год перечислены в общей сумме 8 864,3 млн.руб., что составило 100,0 % к плану года.</w:t>
      </w:r>
    </w:p>
    <w:p w14:paraId="3C83131C" w14:textId="7925DA2A" w:rsidR="00B420A9" w:rsidRPr="00FD7B0B" w:rsidRDefault="00B420A9" w:rsidP="004C581B">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Сопоставление перечисленных из областного бюджета дотаций за 2023 и 2024 годы по видам дотаций представлено в таблице </w:t>
      </w:r>
      <w:r w:rsidR="004F0970" w:rsidRPr="00FD7B0B">
        <w:rPr>
          <w:rFonts w:ascii="Times New Roman" w:eastAsia="Calibri" w:hAnsi="Times New Roman" w:cs="Times New Roman"/>
          <w:sz w:val="28"/>
          <w:szCs w:val="28"/>
          <w:lang w:eastAsia="ru-RU"/>
        </w:rPr>
        <w:t>71</w:t>
      </w:r>
      <w:r w:rsidRPr="00FD7B0B">
        <w:rPr>
          <w:rFonts w:ascii="Times New Roman" w:eastAsia="Calibri" w:hAnsi="Times New Roman" w:cs="Times New Roman"/>
          <w:sz w:val="28"/>
          <w:szCs w:val="28"/>
          <w:lang w:eastAsia="ru-RU"/>
        </w:rPr>
        <w:t>.</w:t>
      </w:r>
    </w:p>
    <w:p w14:paraId="0B80DDA9" w14:textId="77777777" w:rsidR="00B420A9" w:rsidRPr="00FD7B0B" w:rsidRDefault="00B420A9" w:rsidP="004C581B">
      <w:pPr>
        <w:spacing w:after="0" w:line="240" w:lineRule="auto"/>
        <w:rPr>
          <w:rFonts w:ascii="Times New Roman" w:eastAsia="Calibri" w:hAnsi="Times New Roman" w:cs="Times New Roman"/>
          <w:sz w:val="24"/>
          <w:szCs w:val="24"/>
        </w:rPr>
      </w:pPr>
    </w:p>
    <w:p w14:paraId="3C2F887A" w14:textId="77777777" w:rsidR="004F0970" w:rsidRPr="00FD7B0B" w:rsidRDefault="004F0970" w:rsidP="004C581B">
      <w:pPr>
        <w:spacing w:after="0" w:line="240" w:lineRule="auto"/>
        <w:rPr>
          <w:rFonts w:ascii="Times New Roman" w:eastAsia="Calibri" w:hAnsi="Times New Roman" w:cs="Times New Roman"/>
          <w:sz w:val="24"/>
          <w:szCs w:val="24"/>
        </w:rPr>
      </w:pPr>
    </w:p>
    <w:p w14:paraId="069376AF" w14:textId="77777777" w:rsidR="004F0970" w:rsidRPr="00FD7B0B" w:rsidRDefault="004F0970" w:rsidP="004C581B">
      <w:pPr>
        <w:spacing w:after="0" w:line="240" w:lineRule="auto"/>
        <w:rPr>
          <w:rFonts w:ascii="Times New Roman" w:eastAsia="Calibri" w:hAnsi="Times New Roman" w:cs="Times New Roman"/>
          <w:sz w:val="24"/>
          <w:szCs w:val="24"/>
        </w:rPr>
      </w:pPr>
    </w:p>
    <w:p w14:paraId="623CBA30" w14:textId="77777777" w:rsidR="004F0970" w:rsidRPr="00FD7B0B" w:rsidRDefault="004F0970" w:rsidP="004C581B">
      <w:pPr>
        <w:spacing w:after="0" w:line="240" w:lineRule="auto"/>
        <w:rPr>
          <w:rFonts w:ascii="Times New Roman" w:eastAsia="Calibri" w:hAnsi="Times New Roman" w:cs="Times New Roman"/>
          <w:sz w:val="24"/>
          <w:szCs w:val="24"/>
        </w:rPr>
      </w:pPr>
    </w:p>
    <w:p w14:paraId="2D4881AF" w14:textId="77777777" w:rsidR="004F0970" w:rsidRPr="00FD7B0B" w:rsidRDefault="004F0970" w:rsidP="004C581B">
      <w:pPr>
        <w:spacing w:after="0" w:line="240" w:lineRule="auto"/>
        <w:rPr>
          <w:rFonts w:ascii="Times New Roman" w:eastAsia="Calibri" w:hAnsi="Times New Roman" w:cs="Times New Roman"/>
          <w:sz w:val="24"/>
          <w:szCs w:val="24"/>
        </w:rPr>
      </w:pPr>
    </w:p>
    <w:p w14:paraId="69C4509E" w14:textId="4CC4C8C3" w:rsidR="00B420A9" w:rsidRPr="00FD7B0B" w:rsidRDefault="00B420A9" w:rsidP="004C581B">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lastRenderedPageBreak/>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71</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Дотации, перечисленные местным бюджетам Архангельской области за 2023 и 2024 годы, млн.руб.</w:t>
      </w:r>
    </w:p>
    <w:tbl>
      <w:tblPr>
        <w:tblW w:w="9574" w:type="dxa"/>
        <w:tblLook w:val="04A0" w:firstRow="1" w:lastRow="0" w:firstColumn="1" w:lastColumn="0" w:noHBand="0" w:noVBand="1"/>
      </w:tblPr>
      <w:tblGrid>
        <w:gridCol w:w="5862"/>
        <w:gridCol w:w="957"/>
        <w:gridCol w:w="957"/>
        <w:gridCol w:w="1132"/>
        <w:gridCol w:w="666"/>
      </w:tblGrid>
      <w:tr w:rsidR="00FD7B0B" w:rsidRPr="00FD7B0B" w14:paraId="2F524785" w14:textId="77777777" w:rsidTr="00487462">
        <w:trPr>
          <w:trHeight w:val="35"/>
          <w:tblHeader/>
        </w:trPr>
        <w:tc>
          <w:tcPr>
            <w:tcW w:w="5862" w:type="dxa"/>
            <w:vMerge w:val="restart"/>
            <w:tcBorders>
              <w:top w:val="double" w:sz="6" w:space="0" w:color="auto"/>
              <w:left w:val="double" w:sz="6" w:space="0" w:color="auto"/>
              <w:bottom w:val="single" w:sz="4" w:space="0" w:color="000000"/>
              <w:right w:val="single" w:sz="4" w:space="0" w:color="auto"/>
            </w:tcBorders>
            <w:shd w:val="clear" w:color="auto" w:fill="auto"/>
            <w:vAlign w:val="center"/>
            <w:hideMark/>
          </w:tcPr>
          <w:p w14:paraId="2B55AE64" w14:textId="77777777" w:rsidR="00B420A9" w:rsidRPr="00FD7B0B" w:rsidRDefault="00B420A9" w:rsidP="001416D7">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957"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111008E0" w14:textId="77777777" w:rsidR="00B420A9" w:rsidRPr="00FD7B0B" w:rsidRDefault="00B420A9" w:rsidP="001416D7">
            <w:pPr>
              <w:spacing w:after="0" w:line="240" w:lineRule="auto"/>
              <w:jc w:val="center"/>
              <w:rPr>
                <w:rFonts w:ascii="Times New Roman" w:hAnsi="Times New Roman" w:cs="Times New Roman"/>
              </w:rPr>
            </w:pPr>
            <w:r w:rsidRPr="00FD7B0B">
              <w:rPr>
                <w:rFonts w:ascii="Times New Roman" w:hAnsi="Times New Roman" w:cs="Times New Roman"/>
              </w:rPr>
              <w:t>2023 г.</w:t>
            </w:r>
          </w:p>
        </w:tc>
        <w:tc>
          <w:tcPr>
            <w:tcW w:w="957"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2F3124FC" w14:textId="77777777" w:rsidR="00B420A9" w:rsidRPr="00FD7B0B" w:rsidRDefault="00B420A9" w:rsidP="001416D7">
            <w:pPr>
              <w:spacing w:after="0" w:line="240" w:lineRule="auto"/>
              <w:jc w:val="center"/>
              <w:rPr>
                <w:rFonts w:ascii="Times New Roman" w:hAnsi="Times New Roman" w:cs="Times New Roman"/>
              </w:rPr>
            </w:pPr>
            <w:r w:rsidRPr="00FD7B0B">
              <w:rPr>
                <w:rFonts w:ascii="Times New Roman" w:hAnsi="Times New Roman" w:cs="Times New Roman"/>
              </w:rPr>
              <w:t>2024 г.</w:t>
            </w:r>
          </w:p>
        </w:tc>
        <w:tc>
          <w:tcPr>
            <w:tcW w:w="1798" w:type="dxa"/>
            <w:gridSpan w:val="2"/>
            <w:tcBorders>
              <w:top w:val="double" w:sz="6" w:space="0" w:color="auto"/>
              <w:left w:val="nil"/>
              <w:bottom w:val="single" w:sz="4" w:space="0" w:color="auto"/>
              <w:right w:val="double" w:sz="6" w:space="0" w:color="000000"/>
            </w:tcBorders>
            <w:shd w:val="clear" w:color="auto" w:fill="auto"/>
            <w:vAlign w:val="center"/>
            <w:hideMark/>
          </w:tcPr>
          <w:p w14:paraId="0B64A673" w14:textId="77777777" w:rsidR="00B420A9" w:rsidRPr="00FD7B0B" w:rsidRDefault="00B420A9" w:rsidP="001416D7">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57F0A530" w14:textId="77777777" w:rsidTr="00487462">
        <w:trPr>
          <w:trHeight w:val="35"/>
          <w:tblHeader/>
        </w:trPr>
        <w:tc>
          <w:tcPr>
            <w:tcW w:w="5862" w:type="dxa"/>
            <w:vMerge/>
            <w:tcBorders>
              <w:top w:val="double" w:sz="6" w:space="0" w:color="auto"/>
              <w:left w:val="double" w:sz="6" w:space="0" w:color="auto"/>
              <w:bottom w:val="single" w:sz="4" w:space="0" w:color="000000"/>
              <w:right w:val="single" w:sz="4" w:space="0" w:color="auto"/>
            </w:tcBorders>
            <w:vAlign w:val="center"/>
            <w:hideMark/>
          </w:tcPr>
          <w:p w14:paraId="028E8692" w14:textId="77777777" w:rsidR="00B420A9" w:rsidRPr="00FD7B0B" w:rsidRDefault="00B420A9" w:rsidP="001416D7">
            <w:pPr>
              <w:spacing w:after="0" w:line="240" w:lineRule="auto"/>
              <w:jc w:val="center"/>
              <w:rPr>
                <w:rFonts w:ascii="Times New Roman" w:hAnsi="Times New Roman" w:cs="Times New Roman"/>
              </w:rPr>
            </w:pPr>
          </w:p>
        </w:tc>
        <w:tc>
          <w:tcPr>
            <w:tcW w:w="957" w:type="dxa"/>
            <w:vMerge/>
            <w:tcBorders>
              <w:top w:val="double" w:sz="6" w:space="0" w:color="auto"/>
              <w:left w:val="single" w:sz="4" w:space="0" w:color="auto"/>
              <w:bottom w:val="single" w:sz="4" w:space="0" w:color="000000"/>
              <w:right w:val="single" w:sz="4" w:space="0" w:color="auto"/>
            </w:tcBorders>
            <w:vAlign w:val="center"/>
            <w:hideMark/>
          </w:tcPr>
          <w:p w14:paraId="30CD4CEE" w14:textId="77777777" w:rsidR="00B420A9" w:rsidRPr="00FD7B0B" w:rsidRDefault="00B420A9" w:rsidP="001416D7">
            <w:pPr>
              <w:spacing w:after="0" w:line="240" w:lineRule="auto"/>
              <w:jc w:val="center"/>
              <w:rPr>
                <w:rFonts w:ascii="Times New Roman" w:hAnsi="Times New Roman" w:cs="Times New Roman"/>
              </w:rPr>
            </w:pPr>
          </w:p>
        </w:tc>
        <w:tc>
          <w:tcPr>
            <w:tcW w:w="957" w:type="dxa"/>
            <w:vMerge/>
            <w:tcBorders>
              <w:top w:val="double" w:sz="6" w:space="0" w:color="auto"/>
              <w:left w:val="single" w:sz="4" w:space="0" w:color="auto"/>
              <w:bottom w:val="single" w:sz="4" w:space="0" w:color="000000"/>
              <w:right w:val="single" w:sz="4" w:space="0" w:color="auto"/>
            </w:tcBorders>
            <w:vAlign w:val="center"/>
            <w:hideMark/>
          </w:tcPr>
          <w:p w14:paraId="4F0D21A7" w14:textId="77777777" w:rsidR="00B420A9" w:rsidRPr="00FD7B0B" w:rsidRDefault="00B420A9" w:rsidP="001416D7">
            <w:pPr>
              <w:spacing w:after="0" w:line="240" w:lineRule="auto"/>
              <w:jc w:val="center"/>
              <w:rPr>
                <w:rFonts w:ascii="Times New Roman" w:hAnsi="Times New Roman" w:cs="Times New Roman"/>
              </w:rPr>
            </w:pPr>
          </w:p>
        </w:tc>
        <w:tc>
          <w:tcPr>
            <w:tcW w:w="1132" w:type="dxa"/>
            <w:tcBorders>
              <w:top w:val="nil"/>
              <w:left w:val="nil"/>
              <w:bottom w:val="single" w:sz="4" w:space="0" w:color="auto"/>
              <w:right w:val="single" w:sz="4" w:space="0" w:color="auto"/>
            </w:tcBorders>
            <w:shd w:val="clear" w:color="auto" w:fill="auto"/>
            <w:vAlign w:val="center"/>
            <w:hideMark/>
          </w:tcPr>
          <w:p w14:paraId="45D0D052" w14:textId="09E77AF7" w:rsidR="00B420A9" w:rsidRPr="00FD7B0B" w:rsidRDefault="00B420A9" w:rsidP="001416D7">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666" w:type="dxa"/>
            <w:tcBorders>
              <w:top w:val="nil"/>
              <w:left w:val="nil"/>
              <w:bottom w:val="single" w:sz="4" w:space="0" w:color="auto"/>
              <w:right w:val="double" w:sz="6" w:space="0" w:color="auto"/>
            </w:tcBorders>
            <w:shd w:val="clear" w:color="auto" w:fill="auto"/>
            <w:vAlign w:val="center"/>
            <w:hideMark/>
          </w:tcPr>
          <w:p w14:paraId="76D4ACA8" w14:textId="101EDC6B" w:rsidR="00B420A9" w:rsidRPr="00FD7B0B" w:rsidRDefault="00B420A9" w:rsidP="001416D7">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5A0609AB" w14:textId="77777777" w:rsidTr="00487462">
        <w:trPr>
          <w:trHeight w:val="70"/>
        </w:trPr>
        <w:tc>
          <w:tcPr>
            <w:tcW w:w="5862" w:type="dxa"/>
            <w:tcBorders>
              <w:top w:val="nil"/>
              <w:left w:val="double" w:sz="6" w:space="0" w:color="auto"/>
              <w:bottom w:val="single" w:sz="4" w:space="0" w:color="auto"/>
              <w:right w:val="single" w:sz="4" w:space="0" w:color="auto"/>
            </w:tcBorders>
            <w:shd w:val="clear" w:color="auto" w:fill="auto"/>
            <w:vAlign w:val="center"/>
            <w:hideMark/>
          </w:tcPr>
          <w:p w14:paraId="45FDFB87" w14:textId="77777777" w:rsidR="00B420A9" w:rsidRPr="00FD7B0B" w:rsidRDefault="00B420A9" w:rsidP="001416D7">
            <w:pPr>
              <w:spacing w:after="0" w:line="240" w:lineRule="auto"/>
              <w:rPr>
                <w:rFonts w:ascii="Times New Roman" w:hAnsi="Times New Roman" w:cs="Times New Roman"/>
              </w:rPr>
            </w:pPr>
            <w:r w:rsidRPr="00FD7B0B">
              <w:rPr>
                <w:rFonts w:ascii="Times New Roman" w:hAnsi="Times New Roman" w:cs="Times New Roman"/>
              </w:rPr>
              <w:t>Выравнивание бюджетной обеспеченности муниципальных районов (муниципальных округов, городских округов)</w:t>
            </w:r>
          </w:p>
        </w:tc>
        <w:tc>
          <w:tcPr>
            <w:tcW w:w="957" w:type="dxa"/>
            <w:tcBorders>
              <w:top w:val="nil"/>
              <w:left w:val="nil"/>
              <w:bottom w:val="single" w:sz="4" w:space="0" w:color="auto"/>
              <w:right w:val="single" w:sz="4" w:space="0" w:color="auto"/>
            </w:tcBorders>
            <w:shd w:val="clear" w:color="auto" w:fill="auto"/>
            <w:vAlign w:val="center"/>
            <w:hideMark/>
          </w:tcPr>
          <w:p w14:paraId="3BA742C2" w14:textId="77777777" w:rsidR="00B420A9" w:rsidRPr="00FD7B0B" w:rsidRDefault="00B420A9" w:rsidP="00487462">
            <w:pPr>
              <w:spacing w:after="0" w:line="240" w:lineRule="auto"/>
              <w:jc w:val="right"/>
              <w:rPr>
                <w:rFonts w:ascii="Times New Roman" w:hAnsi="Times New Roman" w:cs="Times New Roman"/>
              </w:rPr>
            </w:pPr>
            <w:r w:rsidRPr="00FD7B0B">
              <w:rPr>
                <w:rFonts w:ascii="Times New Roman" w:hAnsi="Times New Roman" w:cs="Times New Roman"/>
              </w:rPr>
              <w:t xml:space="preserve">1 998,9 </w:t>
            </w:r>
          </w:p>
        </w:tc>
        <w:tc>
          <w:tcPr>
            <w:tcW w:w="957" w:type="dxa"/>
            <w:tcBorders>
              <w:top w:val="nil"/>
              <w:left w:val="nil"/>
              <w:bottom w:val="single" w:sz="4" w:space="0" w:color="auto"/>
              <w:right w:val="single" w:sz="4" w:space="0" w:color="auto"/>
            </w:tcBorders>
            <w:shd w:val="clear" w:color="auto" w:fill="auto"/>
            <w:vAlign w:val="center"/>
            <w:hideMark/>
          </w:tcPr>
          <w:p w14:paraId="1AB8E8B7" w14:textId="77777777" w:rsidR="00B420A9" w:rsidRPr="00FD7B0B" w:rsidRDefault="00B420A9" w:rsidP="00487462">
            <w:pPr>
              <w:spacing w:after="0" w:line="240" w:lineRule="auto"/>
              <w:jc w:val="right"/>
              <w:rPr>
                <w:rFonts w:ascii="Times New Roman" w:hAnsi="Times New Roman" w:cs="Times New Roman"/>
              </w:rPr>
            </w:pPr>
            <w:r w:rsidRPr="00FD7B0B">
              <w:rPr>
                <w:rFonts w:ascii="Times New Roman" w:hAnsi="Times New Roman" w:cs="Times New Roman"/>
              </w:rPr>
              <w:t xml:space="preserve">2 468,0 </w:t>
            </w:r>
          </w:p>
        </w:tc>
        <w:tc>
          <w:tcPr>
            <w:tcW w:w="1132" w:type="dxa"/>
            <w:tcBorders>
              <w:top w:val="nil"/>
              <w:left w:val="nil"/>
              <w:bottom w:val="single" w:sz="4" w:space="0" w:color="auto"/>
              <w:right w:val="single" w:sz="4" w:space="0" w:color="auto"/>
            </w:tcBorders>
            <w:shd w:val="clear" w:color="auto" w:fill="auto"/>
            <w:vAlign w:val="center"/>
            <w:hideMark/>
          </w:tcPr>
          <w:p w14:paraId="42C47EF6" w14:textId="77777777" w:rsidR="00B420A9" w:rsidRPr="00FD7B0B" w:rsidRDefault="00B420A9" w:rsidP="00487462">
            <w:pPr>
              <w:spacing w:after="0" w:line="240" w:lineRule="auto"/>
              <w:jc w:val="right"/>
              <w:rPr>
                <w:rFonts w:ascii="Times New Roman" w:hAnsi="Times New Roman" w:cs="Times New Roman"/>
              </w:rPr>
            </w:pPr>
            <w:r w:rsidRPr="00FD7B0B">
              <w:rPr>
                <w:rFonts w:ascii="Times New Roman" w:hAnsi="Times New Roman" w:cs="Times New Roman"/>
              </w:rPr>
              <w:t xml:space="preserve">469,1 </w:t>
            </w:r>
          </w:p>
        </w:tc>
        <w:tc>
          <w:tcPr>
            <w:tcW w:w="666" w:type="dxa"/>
            <w:tcBorders>
              <w:top w:val="nil"/>
              <w:left w:val="nil"/>
              <w:bottom w:val="single" w:sz="4" w:space="0" w:color="auto"/>
              <w:right w:val="double" w:sz="6" w:space="0" w:color="auto"/>
            </w:tcBorders>
            <w:shd w:val="clear" w:color="auto" w:fill="auto"/>
            <w:vAlign w:val="center"/>
            <w:hideMark/>
          </w:tcPr>
          <w:p w14:paraId="07476BFA" w14:textId="77777777" w:rsidR="00B420A9" w:rsidRPr="00FD7B0B" w:rsidRDefault="00B420A9" w:rsidP="00487462">
            <w:pPr>
              <w:spacing w:after="0" w:line="240" w:lineRule="auto"/>
              <w:jc w:val="right"/>
              <w:rPr>
                <w:rFonts w:ascii="Times New Roman" w:hAnsi="Times New Roman" w:cs="Times New Roman"/>
              </w:rPr>
            </w:pPr>
            <w:r w:rsidRPr="00FD7B0B">
              <w:rPr>
                <w:rFonts w:ascii="Times New Roman" w:hAnsi="Times New Roman" w:cs="Times New Roman"/>
              </w:rPr>
              <w:t xml:space="preserve">23,5 </w:t>
            </w:r>
          </w:p>
        </w:tc>
      </w:tr>
      <w:tr w:rsidR="00FD7B0B" w:rsidRPr="00FD7B0B" w14:paraId="29DB7171" w14:textId="77777777" w:rsidTr="00487462">
        <w:trPr>
          <w:trHeight w:val="70"/>
        </w:trPr>
        <w:tc>
          <w:tcPr>
            <w:tcW w:w="5862" w:type="dxa"/>
            <w:tcBorders>
              <w:top w:val="nil"/>
              <w:left w:val="double" w:sz="6" w:space="0" w:color="auto"/>
              <w:bottom w:val="single" w:sz="4" w:space="0" w:color="auto"/>
              <w:right w:val="single" w:sz="4" w:space="0" w:color="auto"/>
            </w:tcBorders>
            <w:shd w:val="clear" w:color="auto" w:fill="auto"/>
            <w:vAlign w:val="center"/>
            <w:hideMark/>
          </w:tcPr>
          <w:p w14:paraId="34ADD9A3" w14:textId="77777777" w:rsidR="00B420A9" w:rsidRPr="00FD7B0B" w:rsidRDefault="00B420A9" w:rsidP="001416D7">
            <w:pPr>
              <w:spacing w:after="0" w:line="240" w:lineRule="auto"/>
              <w:rPr>
                <w:rFonts w:ascii="Times New Roman" w:hAnsi="Times New Roman" w:cs="Times New Roman"/>
              </w:rPr>
            </w:pPr>
            <w:r w:rsidRPr="00FD7B0B">
              <w:rPr>
                <w:rFonts w:ascii="Times New Roman" w:hAnsi="Times New Roman" w:cs="Times New Roman"/>
              </w:rPr>
              <w:t>Дотации, связанные с особым режимом безопасного функционирования ЗАТО</w:t>
            </w:r>
          </w:p>
        </w:tc>
        <w:tc>
          <w:tcPr>
            <w:tcW w:w="957" w:type="dxa"/>
            <w:tcBorders>
              <w:top w:val="nil"/>
              <w:left w:val="nil"/>
              <w:bottom w:val="single" w:sz="4" w:space="0" w:color="auto"/>
              <w:right w:val="single" w:sz="4" w:space="0" w:color="auto"/>
            </w:tcBorders>
            <w:shd w:val="clear" w:color="auto" w:fill="auto"/>
            <w:vAlign w:val="center"/>
            <w:hideMark/>
          </w:tcPr>
          <w:p w14:paraId="0C830701"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152,3 </w:t>
            </w:r>
          </w:p>
        </w:tc>
        <w:tc>
          <w:tcPr>
            <w:tcW w:w="957" w:type="dxa"/>
            <w:tcBorders>
              <w:top w:val="nil"/>
              <w:left w:val="nil"/>
              <w:bottom w:val="single" w:sz="4" w:space="0" w:color="auto"/>
              <w:right w:val="single" w:sz="4" w:space="0" w:color="auto"/>
            </w:tcBorders>
            <w:shd w:val="clear" w:color="auto" w:fill="auto"/>
            <w:vAlign w:val="center"/>
            <w:hideMark/>
          </w:tcPr>
          <w:p w14:paraId="19B05B1A"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143,3 </w:t>
            </w:r>
          </w:p>
        </w:tc>
        <w:tc>
          <w:tcPr>
            <w:tcW w:w="1132" w:type="dxa"/>
            <w:tcBorders>
              <w:top w:val="nil"/>
              <w:left w:val="nil"/>
              <w:bottom w:val="single" w:sz="4" w:space="0" w:color="auto"/>
              <w:right w:val="single" w:sz="4" w:space="0" w:color="auto"/>
            </w:tcBorders>
            <w:shd w:val="clear" w:color="auto" w:fill="auto"/>
            <w:vAlign w:val="center"/>
            <w:hideMark/>
          </w:tcPr>
          <w:p w14:paraId="1DA3AE98"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-9,0 </w:t>
            </w:r>
          </w:p>
        </w:tc>
        <w:tc>
          <w:tcPr>
            <w:tcW w:w="666" w:type="dxa"/>
            <w:tcBorders>
              <w:top w:val="nil"/>
              <w:left w:val="nil"/>
              <w:bottom w:val="single" w:sz="4" w:space="0" w:color="auto"/>
              <w:right w:val="double" w:sz="6" w:space="0" w:color="auto"/>
            </w:tcBorders>
            <w:shd w:val="clear" w:color="auto" w:fill="auto"/>
            <w:vAlign w:val="center"/>
            <w:hideMark/>
          </w:tcPr>
          <w:p w14:paraId="2B6DAEE6"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-5,9 </w:t>
            </w:r>
          </w:p>
        </w:tc>
      </w:tr>
      <w:tr w:rsidR="00FD7B0B" w:rsidRPr="00FD7B0B" w14:paraId="14FE63DB" w14:textId="77777777" w:rsidTr="00487462">
        <w:trPr>
          <w:trHeight w:val="70"/>
        </w:trPr>
        <w:tc>
          <w:tcPr>
            <w:tcW w:w="5862" w:type="dxa"/>
            <w:tcBorders>
              <w:top w:val="nil"/>
              <w:left w:val="double" w:sz="6" w:space="0" w:color="auto"/>
              <w:bottom w:val="single" w:sz="4" w:space="0" w:color="auto"/>
              <w:right w:val="single" w:sz="4" w:space="0" w:color="auto"/>
            </w:tcBorders>
            <w:shd w:val="clear" w:color="auto" w:fill="auto"/>
            <w:vAlign w:val="center"/>
            <w:hideMark/>
          </w:tcPr>
          <w:p w14:paraId="629BC541" w14:textId="77777777" w:rsidR="00B420A9" w:rsidRPr="00FD7B0B" w:rsidRDefault="00B420A9" w:rsidP="001416D7">
            <w:pPr>
              <w:spacing w:after="0" w:line="240" w:lineRule="auto"/>
              <w:rPr>
                <w:rFonts w:ascii="Times New Roman" w:hAnsi="Times New Roman" w:cs="Times New Roman"/>
              </w:rPr>
            </w:pPr>
            <w:r w:rsidRPr="00FD7B0B">
              <w:rPr>
                <w:rFonts w:ascii="Times New Roman" w:hAnsi="Times New Roman" w:cs="Times New Roman"/>
              </w:rPr>
              <w:t>Поддержка мер по обеспечению сбалансированности местных бюджетов</w:t>
            </w:r>
          </w:p>
        </w:tc>
        <w:tc>
          <w:tcPr>
            <w:tcW w:w="957" w:type="dxa"/>
            <w:tcBorders>
              <w:top w:val="nil"/>
              <w:left w:val="nil"/>
              <w:bottom w:val="single" w:sz="4" w:space="0" w:color="auto"/>
              <w:right w:val="single" w:sz="4" w:space="0" w:color="auto"/>
            </w:tcBorders>
            <w:shd w:val="clear" w:color="auto" w:fill="auto"/>
            <w:vAlign w:val="center"/>
            <w:hideMark/>
          </w:tcPr>
          <w:p w14:paraId="0CEB3A37"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957" w:type="dxa"/>
            <w:tcBorders>
              <w:top w:val="nil"/>
              <w:left w:val="nil"/>
              <w:bottom w:val="single" w:sz="4" w:space="0" w:color="auto"/>
              <w:right w:val="single" w:sz="4" w:space="0" w:color="auto"/>
            </w:tcBorders>
            <w:shd w:val="clear" w:color="auto" w:fill="auto"/>
            <w:vAlign w:val="center"/>
            <w:hideMark/>
          </w:tcPr>
          <w:p w14:paraId="3724FD2A"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6 253,1 </w:t>
            </w:r>
          </w:p>
        </w:tc>
        <w:tc>
          <w:tcPr>
            <w:tcW w:w="1132" w:type="dxa"/>
            <w:tcBorders>
              <w:top w:val="nil"/>
              <w:left w:val="nil"/>
              <w:bottom w:val="single" w:sz="4" w:space="0" w:color="auto"/>
              <w:right w:val="single" w:sz="4" w:space="0" w:color="auto"/>
            </w:tcBorders>
            <w:shd w:val="clear" w:color="auto" w:fill="auto"/>
            <w:vAlign w:val="center"/>
            <w:hideMark/>
          </w:tcPr>
          <w:p w14:paraId="2110FC0B"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6 253,1 </w:t>
            </w:r>
          </w:p>
        </w:tc>
        <w:tc>
          <w:tcPr>
            <w:tcW w:w="666" w:type="dxa"/>
            <w:tcBorders>
              <w:top w:val="nil"/>
              <w:left w:val="nil"/>
              <w:bottom w:val="single" w:sz="4" w:space="0" w:color="auto"/>
              <w:right w:val="double" w:sz="6" w:space="0" w:color="auto"/>
            </w:tcBorders>
            <w:shd w:val="clear" w:color="auto" w:fill="auto"/>
            <w:vAlign w:val="center"/>
            <w:hideMark/>
          </w:tcPr>
          <w:p w14:paraId="23A1E5EC"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w:t>
            </w:r>
          </w:p>
        </w:tc>
      </w:tr>
      <w:tr w:rsidR="00B420A9" w:rsidRPr="00FD7B0B" w14:paraId="227F0547" w14:textId="77777777" w:rsidTr="00487462">
        <w:trPr>
          <w:trHeight w:val="70"/>
        </w:trPr>
        <w:tc>
          <w:tcPr>
            <w:tcW w:w="5862" w:type="dxa"/>
            <w:tcBorders>
              <w:top w:val="nil"/>
              <w:left w:val="double" w:sz="6" w:space="0" w:color="auto"/>
              <w:bottom w:val="double" w:sz="6" w:space="0" w:color="auto"/>
              <w:right w:val="single" w:sz="4" w:space="0" w:color="auto"/>
            </w:tcBorders>
            <w:shd w:val="clear" w:color="auto" w:fill="auto"/>
            <w:vAlign w:val="center"/>
            <w:hideMark/>
          </w:tcPr>
          <w:p w14:paraId="7E498938" w14:textId="77777777" w:rsidR="00B420A9" w:rsidRPr="00FD7B0B" w:rsidRDefault="00B420A9" w:rsidP="001416D7">
            <w:pPr>
              <w:spacing w:after="0" w:line="240" w:lineRule="auto"/>
              <w:rPr>
                <w:rFonts w:ascii="Times New Roman" w:hAnsi="Times New Roman" w:cs="Times New Roman"/>
              </w:rPr>
            </w:pPr>
            <w:r w:rsidRPr="00FD7B0B">
              <w:rPr>
                <w:rFonts w:ascii="Times New Roman" w:hAnsi="Times New Roman" w:cs="Times New Roman"/>
              </w:rPr>
              <w:t>Итого</w:t>
            </w:r>
          </w:p>
        </w:tc>
        <w:tc>
          <w:tcPr>
            <w:tcW w:w="957" w:type="dxa"/>
            <w:tcBorders>
              <w:top w:val="nil"/>
              <w:left w:val="nil"/>
              <w:bottom w:val="double" w:sz="6" w:space="0" w:color="auto"/>
              <w:right w:val="single" w:sz="4" w:space="0" w:color="auto"/>
            </w:tcBorders>
            <w:shd w:val="clear" w:color="auto" w:fill="auto"/>
            <w:vAlign w:val="center"/>
            <w:hideMark/>
          </w:tcPr>
          <w:p w14:paraId="6622202E"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2 151,2 </w:t>
            </w:r>
          </w:p>
        </w:tc>
        <w:tc>
          <w:tcPr>
            <w:tcW w:w="957" w:type="dxa"/>
            <w:tcBorders>
              <w:top w:val="nil"/>
              <w:left w:val="nil"/>
              <w:bottom w:val="double" w:sz="6" w:space="0" w:color="auto"/>
              <w:right w:val="single" w:sz="4" w:space="0" w:color="auto"/>
            </w:tcBorders>
            <w:shd w:val="clear" w:color="auto" w:fill="auto"/>
            <w:vAlign w:val="center"/>
            <w:hideMark/>
          </w:tcPr>
          <w:p w14:paraId="463961D9"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8 864,3 </w:t>
            </w:r>
          </w:p>
        </w:tc>
        <w:tc>
          <w:tcPr>
            <w:tcW w:w="1132" w:type="dxa"/>
            <w:tcBorders>
              <w:top w:val="nil"/>
              <w:left w:val="nil"/>
              <w:bottom w:val="double" w:sz="6" w:space="0" w:color="auto"/>
              <w:right w:val="single" w:sz="4" w:space="0" w:color="auto"/>
            </w:tcBorders>
            <w:shd w:val="clear" w:color="auto" w:fill="auto"/>
            <w:vAlign w:val="center"/>
            <w:hideMark/>
          </w:tcPr>
          <w:p w14:paraId="226B9335"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 xml:space="preserve">6 713,1 </w:t>
            </w:r>
          </w:p>
        </w:tc>
        <w:tc>
          <w:tcPr>
            <w:tcW w:w="666" w:type="dxa"/>
            <w:tcBorders>
              <w:top w:val="nil"/>
              <w:left w:val="nil"/>
              <w:bottom w:val="double" w:sz="6" w:space="0" w:color="auto"/>
              <w:right w:val="double" w:sz="6" w:space="0" w:color="auto"/>
            </w:tcBorders>
            <w:shd w:val="clear" w:color="auto" w:fill="auto"/>
            <w:vAlign w:val="center"/>
            <w:hideMark/>
          </w:tcPr>
          <w:p w14:paraId="13FB15C6" w14:textId="77777777" w:rsidR="00B420A9" w:rsidRPr="00FD7B0B" w:rsidRDefault="00B420A9" w:rsidP="001416D7">
            <w:pPr>
              <w:spacing w:after="0" w:line="240" w:lineRule="auto"/>
              <w:jc w:val="right"/>
              <w:rPr>
                <w:rFonts w:ascii="Times New Roman" w:hAnsi="Times New Roman" w:cs="Times New Roman"/>
              </w:rPr>
            </w:pPr>
            <w:r w:rsidRPr="00FD7B0B">
              <w:rPr>
                <w:rFonts w:ascii="Times New Roman" w:hAnsi="Times New Roman" w:cs="Times New Roman"/>
              </w:rPr>
              <w:t>в 4,1 раза</w:t>
            </w:r>
          </w:p>
        </w:tc>
      </w:tr>
    </w:tbl>
    <w:p w14:paraId="7DFA3F0B" w14:textId="77777777" w:rsidR="00B420A9" w:rsidRPr="00FD7B0B" w:rsidRDefault="00B420A9" w:rsidP="00487462">
      <w:pPr>
        <w:spacing w:after="0" w:line="240" w:lineRule="auto"/>
        <w:ind w:firstLine="709"/>
        <w:contextualSpacing/>
        <w:jc w:val="both"/>
        <w:rPr>
          <w:rFonts w:ascii="Times New Roman" w:eastAsia="Calibri" w:hAnsi="Times New Roman" w:cs="Times New Roman"/>
          <w:sz w:val="28"/>
          <w:szCs w:val="28"/>
          <w:lang w:eastAsia="ru-RU"/>
        </w:rPr>
      </w:pPr>
    </w:p>
    <w:p w14:paraId="0451896D" w14:textId="7B1E6390" w:rsidR="00B420A9" w:rsidRPr="00FD7B0B" w:rsidRDefault="00B420A9" w:rsidP="00487462">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В основном рост дотаций в отчетном периоде обусловлен предоставлением дотации на поддержку мер по обеспечению сбалансированности местных бюджетов в размере 6 253,1 млн.руб., которые в 2023 году отсутствовали. В отчетном периоде указанный вид дотаций заменил субсидии на софинансирование вопросов местного значения, которые направлялись</w:t>
      </w:r>
      <w:r w:rsidR="00487462" w:rsidRPr="00FD7B0B">
        <w:rPr>
          <w:rFonts w:ascii="Times New Roman" w:eastAsia="Calibri" w:hAnsi="Times New Roman" w:cs="Times New Roman"/>
          <w:sz w:val="28"/>
          <w:szCs w:val="28"/>
          <w:lang w:eastAsia="ru-RU"/>
        </w:rPr>
        <w:t xml:space="preserve"> в местные бюджеты </w:t>
      </w:r>
      <w:r w:rsidRPr="00FD7B0B">
        <w:rPr>
          <w:rFonts w:ascii="Times New Roman" w:eastAsia="Calibri" w:hAnsi="Times New Roman" w:cs="Times New Roman"/>
          <w:sz w:val="28"/>
          <w:szCs w:val="28"/>
          <w:lang w:eastAsia="ru-RU"/>
        </w:rPr>
        <w:t>в 2023 году.</w:t>
      </w:r>
    </w:p>
    <w:p w14:paraId="4711DAF6" w14:textId="77777777" w:rsidR="00B420A9" w:rsidRPr="00FD7B0B" w:rsidRDefault="00B420A9" w:rsidP="00487462">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Кроме того, на 23,5 % (+469,1 млн.руб.) увеличились суммы дотаций на выравнивание бюджетной обеспеченности, выделяемые муниципальным и городским округам, на 5,9 % (-9,0 млн.руб.) снизились дотации из федерального бюджета, передаваемые в ГО «Мирный».</w:t>
      </w:r>
    </w:p>
    <w:p w14:paraId="1309EA55" w14:textId="77777777" w:rsidR="00B420A9" w:rsidRPr="00FD7B0B" w:rsidRDefault="00B420A9" w:rsidP="00487462">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Наибольший удельный вес в общей сумме межбюджетных трансфертов местным бюджетам за 2024 год занимают субвенции на выполнение переданных государственных полномочий – 55,5 % (за 2023 год – 49,7 %), которые перечислены в сумме 25 005,4 млн.руб. или 99,9 % к плану года.</w:t>
      </w:r>
    </w:p>
    <w:p w14:paraId="7E6F85FB" w14:textId="495D8565" w:rsidR="00B420A9" w:rsidRPr="00FD7B0B" w:rsidRDefault="00B420A9" w:rsidP="00643A41">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Менее чем на 95 % перечислена субвенция на предоставление государственных жилищных сертификатов детям-сиротам и детям, оставшимся без попечения родителей, лицам из их числа на приобретение жилых помещений в Архангельской области – 37,9 млн.руб., что составило 87,6 % к плану года. Согласно пояснительной записке минтрудсоцразвития (таблица </w:t>
      </w:r>
      <w:r w:rsidR="00643A41" w:rsidRPr="00FD7B0B">
        <w:rPr>
          <w:rFonts w:ascii="Times New Roman" w:eastAsia="Calibri" w:hAnsi="Times New Roman" w:cs="Times New Roman"/>
          <w:sz w:val="28"/>
          <w:szCs w:val="28"/>
          <w:lang w:eastAsia="ru-RU"/>
        </w:rPr>
        <w:t xml:space="preserve">№ </w:t>
      </w:r>
      <w:r w:rsidRPr="00FD7B0B">
        <w:rPr>
          <w:rFonts w:ascii="Times New Roman" w:eastAsia="Calibri" w:hAnsi="Times New Roman" w:cs="Times New Roman"/>
          <w:sz w:val="28"/>
          <w:szCs w:val="28"/>
          <w:lang w:eastAsia="ru-RU"/>
        </w:rPr>
        <w:t>13 к ф. 0503160): «Финансирование жилищного сертификата носит заявительный характер. В течение 2024 года выдано 15 жилищных сертификатов (стоимость одного сертификата 2 555 890 рубля), из них реализовано 6 сертификатов. 9 сертификатов реализовано за 2022 – 2023 годы. Остальные лица (9 человек), получившие жилищные сертификаты в 2024 году не обращаются за финансированием в связи с ростом стоимости жилых помещений в Архангельской области, невозможностью купить желаемое жилое помещение только на средства сертификата. Минтрудом АО в минфин АО направлено письмо о включении неосвоенного остатка в расходы бюджета в 2025 году».</w:t>
      </w:r>
    </w:p>
    <w:p w14:paraId="1773FCDA" w14:textId="77777777" w:rsidR="00B420A9" w:rsidRPr="00FD7B0B" w:rsidRDefault="00B420A9" w:rsidP="007E7D21">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Общая сумма субвенций бюджетам муниципальных образований по сравнению с 2023 годом увеличилась на 1 857,0 млн.руб. или на 8,0 %.</w:t>
      </w:r>
    </w:p>
    <w:p w14:paraId="57B7E4AD" w14:textId="22B6AE18" w:rsidR="00B420A9" w:rsidRPr="00FD7B0B" w:rsidRDefault="00B420A9" w:rsidP="007E7D21">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В таблице </w:t>
      </w:r>
      <w:r w:rsidR="004F0970" w:rsidRPr="00FD7B0B">
        <w:rPr>
          <w:rFonts w:ascii="Times New Roman" w:eastAsia="Calibri" w:hAnsi="Times New Roman" w:cs="Times New Roman"/>
          <w:sz w:val="28"/>
          <w:szCs w:val="28"/>
          <w:lang w:eastAsia="ru-RU"/>
        </w:rPr>
        <w:t>72</w:t>
      </w:r>
      <w:r w:rsidRPr="00FD7B0B">
        <w:rPr>
          <w:rFonts w:ascii="Times New Roman" w:eastAsia="Calibri" w:hAnsi="Times New Roman" w:cs="Times New Roman"/>
          <w:sz w:val="28"/>
          <w:szCs w:val="28"/>
          <w:lang w:eastAsia="ru-RU"/>
        </w:rPr>
        <w:t xml:space="preserve"> представлены сведения об отдельных субвенциях местным бюджетам за 2023 и 2024 годы.</w:t>
      </w:r>
    </w:p>
    <w:p w14:paraId="44CCA481" w14:textId="77777777" w:rsidR="00B420A9" w:rsidRPr="00FD7B0B" w:rsidRDefault="00B420A9" w:rsidP="007E7D21">
      <w:pPr>
        <w:spacing w:after="0" w:line="240" w:lineRule="auto"/>
        <w:rPr>
          <w:rFonts w:ascii="Times New Roman" w:eastAsia="Calibri" w:hAnsi="Times New Roman" w:cs="Times New Roman"/>
          <w:sz w:val="24"/>
          <w:szCs w:val="24"/>
        </w:rPr>
      </w:pPr>
    </w:p>
    <w:p w14:paraId="79CFB2AA" w14:textId="63E862A3" w:rsidR="00B420A9" w:rsidRPr="00FD7B0B" w:rsidRDefault="00B420A9" w:rsidP="007E7D21">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lastRenderedPageBreak/>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72</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Отдельные виды субвенций, перечисленные в бюджеты муниципальных образований Архангельской области за 2023 и 2024 годы</w:t>
      </w:r>
      <w:r w:rsidR="00896482" w:rsidRPr="00FD7B0B">
        <w:rPr>
          <w:rFonts w:ascii="Times New Roman" w:eastAsia="Calibri" w:hAnsi="Times New Roman" w:cs="Times New Roman"/>
          <w:sz w:val="24"/>
          <w:szCs w:val="24"/>
        </w:rPr>
        <w:t xml:space="preserve"> (свыше 500 млн.руб.)</w:t>
      </w:r>
      <w:r w:rsidRPr="00FD7B0B">
        <w:rPr>
          <w:rFonts w:ascii="Times New Roman" w:eastAsia="Calibri" w:hAnsi="Times New Roman" w:cs="Times New Roman"/>
          <w:sz w:val="24"/>
          <w:szCs w:val="24"/>
        </w:rPr>
        <w:t>, млн.руб.</w:t>
      </w:r>
    </w:p>
    <w:tbl>
      <w:tblPr>
        <w:tblW w:w="9724" w:type="dxa"/>
        <w:tblLook w:val="04A0" w:firstRow="1" w:lastRow="0" w:firstColumn="1" w:lastColumn="0" w:noHBand="0" w:noVBand="1"/>
      </w:tblPr>
      <w:tblGrid>
        <w:gridCol w:w="5396"/>
        <w:gridCol w:w="1109"/>
        <w:gridCol w:w="1109"/>
        <w:gridCol w:w="1245"/>
        <w:gridCol w:w="865"/>
      </w:tblGrid>
      <w:tr w:rsidR="00FD7B0B" w:rsidRPr="00FD7B0B" w14:paraId="3A913769" w14:textId="77777777" w:rsidTr="002C0E7D">
        <w:trPr>
          <w:trHeight w:val="35"/>
          <w:tblHeader/>
        </w:trPr>
        <w:tc>
          <w:tcPr>
            <w:tcW w:w="5396"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300620BD" w14:textId="77777777" w:rsidR="00B420A9" w:rsidRPr="00FD7B0B" w:rsidRDefault="00B420A9" w:rsidP="007E7D21">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110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622CB99" w14:textId="77777777" w:rsidR="00B420A9" w:rsidRPr="00FD7B0B" w:rsidRDefault="00B420A9" w:rsidP="007E7D21">
            <w:pPr>
              <w:spacing w:after="0" w:line="240" w:lineRule="auto"/>
              <w:jc w:val="center"/>
              <w:rPr>
                <w:rFonts w:ascii="Times New Roman" w:hAnsi="Times New Roman" w:cs="Times New Roman"/>
              </w:rPr>
            </w:pPr>
            <w:r w:rsidRPr="00FD7B0B">
              <w:rPr>
                <w:rFonts w:ascii="Times New Roman" w:hAnsi="Times New Roman" w:cs="Times New Roman"/>
              </w:rPr>
              <w:t>2023 г.</w:t>
            </w:r>
          </w:p>
        </w:tc>
        <w:tc>
          <w:tcPr>
            <w:tcW w:w="110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FE99DBA" w14:textId="77777777" w:rsidR="00B420A9" w:rsidRPr="00FD7B0B" w:rsidRDefault="00B420A9" w:rsidP="007E7D21">
            <w:pPr>
              <w:spacing w:after="0" w:line="240" w:lineRule="auto"/>
              <w:jc w:val="center"/>
              <w:rPr>
                <w:rFonts w:ascii="Times New Roman" w:hAnsi="Times New Roman" w:cs="Times New Roman"/>
              </w:rPr>
            </w:pPr>
            <w:r w:rsidRPr="00FD7B0B">
              <w:rPr>
                <w:rFonts w:ascii="Times New Roman" w:hAnsi="Times New Roman" w:cs="Times New Roman"/>
              </w:rPr>
              <w:t>2024 г.</w:t>
            </w:r>
          </w:p>
        </w:tc>
        <w:tc>
          <w:tcPr>
            <w:tcW w:w="2110" w:type="dxa"/>
            <w:gridSpan w:val="2"/>
            <w:tcBorders>
              <w:top w:val="double" w:sz="4" w:space="0" w:color="auto"/>
              <w:left w:val="nil"/>
              <w:bottom w:val="single" w:sz="4" w:space="0" w:color="auto"/>
              <w:right w:val="double" w:sz="4" w:space="0" w:color="auto"/>
            </w:tcBorders>
            <w:shd w:val="clear" w:color="auto" w:fill="auto"/>
            <w:vAlign w:val="center"/>
            <w:hideMark/>
          </w:tcPr>
          <w:p w14:paraId="3054A6D6" w14:textId="77777777" w:rsidR="00B420A9" w:rsidRPr="00FD7B0B" w:rsidRDefault="00B420A9" w:rsidP="007E7D21">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17DA0A53" w14:textId="77777777" w:rsidTr="002C0E7D">
        <w:trPr>
          <w:trHeight w:val="35"/>
          <w:tblHeader/>
        </w:trPr>
        <w:tc>
          <w:tcPr>
            <w:tcW w:w="5396" w:type="dxa"/>
            <w:vMerge/>
            <w:tcBorders>
              <w:top w:val="double" w:sz="6" w:space="0" w:color="auto"/>
              <w:left w:val="double" w:sz="4" w:space="0" w:color="auto"/>
              <w:bottom w:val="single" w:sz="4" w:space="0" w:color="auto"/>
              <w:right w:val="single" w:sz="4" w:space="0" w:color="auto"/>
            </w:tcBorders>
            <w:vAlign w:val="center"/>
            <w:hideMark/>
          </w:tcPr>
          <w:p w14:paraId="70077E8C" w14:textId="77777777" w:rsidR="00B420A9" w:rsidRPr="00FD7B0B" w:rsidRDefault="00B420A9" w:rsidP="007E7D21">
            <w:pPr>
              <w:spacing w:after="0" w:line="240" w:lineRule="auto"/>
              <w:jc w:val="center"/>
              <w:rPr>
                <w:rFonts w:ascii="Times New Roman" w:hAnsi="Times New Roman" w:cs="Times New Roman"/>
              </w:rPr>
            </w:pPr>
          </w:p>
        </w:tc>
        <w:tc>
          <w:tcPr>
            <w:tcW w:w="1109" w:type="dxa"/>
            <w:vMerge/>
            <w:tcBorders>
              <w:top w:val="double" w:sz="6" w:space="0" w:color="auto"/>
              <w:left w:val="single" w:sz="4" w:space="0" w:color="auto"/>
              <w:bottom w:val="single" w:sz="4" w:space="0" w:color="auto"/>
              <w:right w:val="single" w:sz="4" w:space="0" w:color="auto"/>
            </w:tcBorders>
            <w:vAlign w:val="center"/>
            <w:hideMark/>
          </w:tcPr>
          <w:p w14:paraId="6A8EC508" w14:textId="77777777" w:rsidR="00B420A9" w:rsidRPr="00FD7B0B" w:rsidRDefault="00B420A9" w:rsidP="007E7D21">
            <w:pPr>
              <w:spacing w:after="0" w:line="240" w:lineRule="auto"/>
              <w:jc w:val="center"/>
              <w:rPr>
                <w:rFonts w:ascii="Times New Roman" w:hAnsi="Times New Roman" w:cs="Times New Roman"/>
              </w:rPr>
            </w:pPr>
          </w:p>
        </w:tc>
        <w:tc>
          <w:tcPr>
            <w:tcW w:w="1109" w:type="dxa"/>
            <w:vMerge/>
            <w:tcBorders>
              <w:top w:val="double" w:sz="6" w:space="0" w:color="auto"/>
              <w:left w:val="single" w:sz="4" w:space="0" w:color="auto"/>
              <w:bottom w:val="single" w:sz="4" w:space="0" w:color="auto"/>
              <w:right w:val="single" w:sz="4" w:space="0" w:color="auto"/>
            </w:tcBorders>
            <w:vAlign w:val="center"/>
            <w:hideMark/>
          </w:tcPr>
          <w:p w14:paraId="0229ADA2" w14:textId="77777777" w:rsidR="00B420A9" w:rsidRPr="00FD7B0B" w:rsidRDefault="00B420A9" w:rsidP="007E7D21">
            <w:pPr>
              <w:spacing w:after="0" w:line="240" w:lineRule="auto"/>
              <w:jc w:val="center"/>
              <w:rPr>
                <w:rFonts w:ascii="Times New Roman" w:hAnsi="Times New Roman" w:cs="Times New Roman"/>
              </w:rPr>
            </w:pPr>
          </w:p>
        </w:tc>
        <w:tc>
          <w:tcPr>
            <w:tcW w:w="1245" w:type="dxa"/>
            <w:tcBorders>
              <w:top w:val="nil"/>
              <w:left w:val="nil"/>
              <w:bottom w:val="single" w:sz="4" w:space="0" w:color="auto"/>
              <w:right w:val="single" w:sz="4" w:space="0" w:color="auto"/>
            </w:tcBorders>
            <w:shd w:val="clear" w:color="auto" w:fill="auto"/>
            <w:vAlign w:val="center"/>
            <w:hideMark/>
          </w:tcPr>
          <w:p w14:paraId="13F6DEA5" w14:textId="694DE6FE" w:rsidR="00B420A9" w:rsidRPr="00FD7B0B" w:rsidRDefault="00B420A9" w:rsidP="007E7D21">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65" w:type="dxa"/>
            <w:tcBorders>
              <w:top w:val="nil"/>
              <w:left w:val="nil"/>
              <w:bottom w:val="single" w:sz="4" w:space="0" w:color="auto"/>
              <w:right w:val="double" w:sz="4" w:space="0" w:color="auto"/>
            </w:tcBorders>
            <w:shd w:val="clear" w:color="auto" w:fill="auto"/>
            <w:vAlign w:val="center"/>
            <w:hideMark/>
          </w:tcPr>
          <w:p w14:paraId="00C81BAA" w14:textId="5BB5E37C" w:rsidR="00B420A9" w:rsidRPr="00FD7B0B" w:rsidRDefault="00B420A9" w:rsidP="007E7D21">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1DC47557" w14:textId="77777777" w:rsidTr="002C0E7D">
        <w:trPr>
          <w:trHeight w:val="70"/>
        </w:trPr>
        <w:tc>
          <w:tcPr>
            <w:tcW w:w="5396" w:type="dxa"/>
            <w:tcBorders>
              <w:top w:val="nil"/>
              <w:left w:val="double" w:sz="4" w:space="0" w:color="auto"/>
              <w:bottom w:val="single" w:sz="4" w:space="0" w:color="auto"/>
              <w:right w:val="single" w:sz="4" w:space="0" w:color="auto"/>
            </w:tcBorders>
            <w:shd w:val="clear" w:color="auto" w:fill="auto"/>
            <w:vAlign w:val="center"/>
            <w:hideMark/>
          </w:tcPr>
          <w:p w14:paraId="22CAC329" w14:textId="77777777" w:rsidR="00B420A9" w:rsidRPr="00FD7B0B" w:rsidRDefault="00B420A9" w:rsidP="007E7D21">
            <w:pPr>
              <w:spacing w:after="0" w:line="240" w:lineRule="auto"/>
              <w:rPr>
                <w:rFonts w:ascii="Times New Roman" w:hAnsi="Times New Roman" w:cs="Times New Roman"/>
              </w:rPr>
            </w:pPr>
            <w:r w:rsidRPr="00FD7B0B">
              <w:rPr>
                <w:rFonts w:ascii="Times New Roman" w:hAnsi="Times New Roman" w:cs="Times New Roman"/>
              </w:rPr>
              <w:t>Субвенции местным бюджетам, ВСЕГО, из них (более 100 млн.руб.):</w:t>
            </w:r>
          </w:p>
        </w:tc>
        <w:tc>
          <w:tcPr>
            <w:tcW w:w="1109" w:type="dxa"/>
            <w:tcBorders>
              <w:top w:val="nil"/>
              <w:left w:val="nil"/>
              <w:bottom w:val="single" w:sz="4" w:space="0" w:color="auto"/>
              <w:right w:val="single" w:sz="4" w:space="0" w:color="auto"/>
            </w:tcBorders>
            <w:shd w:val="clear" w:color="auto" w:fill="auto"/>
            <w:vAlign w:val="center"/>
            <w:hideMark/>
          </w:tcPr>
          <w:p w14:paraId="57ADB2EE"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23 148,4 </w:t>
            </w:r>
          </w:p>
        </w:tc>
        <w:tc>
          <w:tcPr>
            <w:tcW w:w="1109" w:type="dxa"/>
            <w:tcBorders>
              <w:top w:val="nil"/>
              <w:left w:val="nil"/>
              <w:bottom w:val="single" w:sz="4" w:space="0" w:color="auto"/>
              <w:right w:val="single" w:sz="4" w:space="0" w:color="auto"/>
            </w:tcBorders>
            <w:shd w:val="clear" w:color="auto" w:fill="auto"/>
            <w:vAlign w:val="center"/>
            <w:hideMark/>
          </w:tcPr>
          <w:p w14:paraId="3DB62B0B"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25 005,4 </w:t>
            </w:r>
          </w:p>
        </w:tc>
        <w:tc>
          <w:tcPr>
            <w:tcW w:w="1245" w:type="dxa"/>
            <w:tcBorders>
              <w:top w:val="nil"/>
              <w:left w:val="nil"/>
              <w:bottom w:val="single" w:sz="4" w:space="0" w:color="auto"/>
              <w:right w:val="single" w:sz="4" w:space="0" w:color="auto"/>
            </w:tcBorders>
            <w:shd w:val="clear" w:color="auto" w:fill="auto"/>
            <w:vAlign w:val="center"/>
            <w:hideMark/>
          </w:tcPr>
          <w:p w14:paraId="109E073C"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1 857,0 </w:t>
            </w:r>
          </w:p>
        </w:tc>
        <w:tc>
          <w:tcPr>
            <w:tcW w:w="865" w:type="dxa"/>
            <w:tcBorders>
              <w:top w:val="nil"/>
              <w:left w:val="nil"/>
              <w:bottom w:val="single" w:sz="4" w:space="0" w:color="auto"/>
              <w:right w:val="double" w:sz="4" w:space="0" w:color="auto"/>
            </w:tcBorders>
            <w:shd w:val="clear" w:color="auto" w:fill="auto"/>
            <w:vAlign w:val="center"/>
            <w:hideMark/>
          </w:tcPr>
          <w:p w14:paraId="19885228"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8,0 </w:t>
            </w:r>
          </w:p>
        </w:tc>
      </w:tr>
      <w:tr w:rsidR="00FD7B0B" w:rsidRPr="00FD7B0B" w14:paraId="61DE6095" w14:textId="77777777" w:rsidTr="002C0E7D">
        <w:trPr>
          <w:trHeight w:val="70"/>
        </w:trPr>
        <w:tc>
          <w:tcPr>
            <w:tcW w:w="5396" w:type="dxa"/>
            <w:tcBorders>
              <w:top w:val="nil"/>
              <w:left w:val="double" w:sz="4" w:space="0" w:color="auto"/>
              <w:bottom w:val="single" w:sz="4" w:space="0" w:color="auto"/>
              <w:right w:val="single" w:sz="4" w:space="0" w:color="auto"/>
            </w:tcBorders>
            <w:shd w:val="clear" w:color="auto" w:fill="auto"/>
            <w:vAlign w:val="center"/>
            <w:hideMark/>
          </w:tcPr>
          <w:p w14:paraId="14D655E9" w14:textId="77777777" w:rsidR="00B420A9" w:rsidRPr="00FD7B0B" w:rsidRDefault="00B420A9" w:rsidP="007E7D21">
            <w:pPr>
              <w:spacing w:after="0" w:line="240" w:lineRule="auto"/>
              <w:rPr>
                <w:rFonts w:ascii="Times New Roman" w:hAnsi="Times New Roman" w:cs="Times New Roman"/>
              </w:rPr>
            </w:pPr>
            <w:r w:rsidRPr="00FD7B0B">
              <w:rPr>
                <w:rFonts w:ascii="Times New Roman" w:hAnsi="Times New Roman" w:cs="Times New Roman"/>
              </w:rPr>
              <w:t>Реализация образовательных программ</w:t>
            </w:r>
          </w:p>
        </w:tc>
        <w:tc>
          <w:tcPr>
            <w:tcW w:w="1109" w:type="dxa"/>
            <w:tcBorders>
              <w:top w:val="nil"/>
              <w:left w:val="nil"/>
              <w:bottom w:val="single" w:sz="4" w:space="0" w:color="auto"/>
              <w:right w:val="single" w:sz="4" w:space="0" w:color="auto"/>
            </w:tcBorders>
            <w:shd w:val="clear" w:color="auto" w:fill="auto"/>
            <w:vAlign w:val="center"/>
            <w:hideMark/>
          </w:tcPr>
          <w:p w14:paraId="7DAA942C"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19 660,4 </w:t>
            </w:r>
          </w:p>
        </w:tc>
        <w:tc>
          <w:tcPr>
            <w:tcW w:w="1109" w:type="dxa"/>
            <w:tcBorders>
              <w:top w:val="nil"/>
              <w:left w:val="nil"/>
              <w:bottom w:val="single" w:sz="4" w:space="0" w:color="auto"/>
              <w:right w:val="single" w:sz="4" w:space="0" w:color="auto"/>
            </w:tcBorders>
            <w:shd w:val="clear" w:color="auto" w:fill="auto"/>
            <w:vAlign w:val="center"/>
            <w:hideMark/>
          </w:tcPr>
          <w:p w14:paraId="14035599"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21 229,8 </w:t>
            </w:r>
          </w:p>
        </w:tc>
        <w:tc>
          <w:tcPr>
            <w:tcW w:w="1245" w:type="dxa"/>
            <w:tcBorders>
              <w:top w:val="nil"/>
              <w:left w:val="nil"/>
              <w:bottom w:val="single" w:sz="4" w:space="0" w:color="auto"/>
              <w:right w:val="single" w:sz="4" w:space="0" w:color="auto"/>
            </w:tcBorders>
            <w:shd w:val="clear" w:color="auto" w:fill="auto"/>
            <w:vAlign w:val="center"/>
            <w:hideMark/>
          </w:tcPr>
          <w:p w14:paraId="5EF77A90"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1 569,4 </w:t>
            </w:r>
          </w:p>
        </w:tc>
        <w:tc>
          <w:tcPr>
            <w:tcW w:w="865" w:type="dxa"/>
            <w:tcBorders>
              <w:top w:val="nil"/>
              <w:left w:val="nil"/>
              <w:bottom w:val="single" w:sz="4" w:space="0" w:color="auto"/>
              <w:right w:val="double" w:sz="4" w:space="0" w:color="auto"/>
            </w:tcBorders>
            <w:shd w:val="clear" w:color="auto" w:fill="auto"/>
            <w:vAlign w:val="center"/>
            <w:hideMark/>
          </w:tcPr>
          <w:p w14:paraId="5725D80D"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8,0 </w:t>
            </w:r>
          </w:p>
        </w:tc>
      </w:tr>
      <w:tr w:rsidR="00FD7B0B" w:rsidRPr="00FD7B0B" w14:paraId="01605406" w14:textId="77777777" w:rsidTr="002C0E7D">
        <w:trPr>
          <w:trHeight w:val="70"/>
        </w:trPr>
        <w:tc>
          <w:tcPr>
            <w:tcW w:w="5396" w:type="dxa"/>
            <w:tcBorders>
              <w:top w:val="nil"/>
              <w:left w:val="double" w:sz="4" w:space="0" w:color="auto"/>
              <w:bottom w:val="single" w:sz="4" w:space="0" w:color="auto"/>
              <w:right w:val="single" w:sz="4" w:space="0" w:color="auto"/>
            </w:tcBorders>
            <w:shd w:val="clear" w:color="auto" w:fill="auto"/>
            <w:vAlign w:val="center"/>
            <w:hideMark/>
          </w:tcPr>
          <w:p w14:paraId="2B2C299E" w14:textId="77777777" w:rsidR="00B420A9" w:rsidRPr="00FD7B0B" w:rsidRDefault="00B420A9" w:rsidP="007E7D21">
            <w:pPr>
              <w:spacing w:after="0" w:line="240" w:lineRule="auto"/>
              <w:rPr>
                <w:rFonts w:ascii="Times New Roman" w:hAnsi="Times New Roman" w:cs="Times New Roman"/>
              </w:rPr>
            </w:pPr>
            <w:r w:rsidRPr="00FD7B0B">
              <w:rPr>
                <w:rFonts w:ascii="Times New Roman" w:hAnsi="Times New Roman" w:cs="Times New Roman"/>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1109" w:type="dxa"/>
            <w:tcBorders>
              <w:top w:val="nil"/>
              <w:left w:val="nil"/>
              <w:bottom w:val="single" w:sz="4" w:space="0" w:color="auto"/>
              <w:right w:val="single" w:sz="4" w:space="0" w:color="auto"/>
            </w:tcBorders>
            <w:shd w:val="clear" w:color="auto" w:fill="auto"/>
            <w:vAlign w:val="center"/>
            <w:hideMark/>
          </w:tcPr>
          <w:p w14:paraId="5845650B"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870,7 </w:t>
            </w:r>
          </w:p>
        </w:tc>
        <w:tc>
          <w:tcPr>
            <w:tcW w:w="1109" w:type="dxa"/>
            <w:tcBorders>
              <w:top w:val="nil"/>
              <w:left w:val="nil"/>
              <w:bottom w:val="single" w:sz="4" w:space="0" w:color="auto"/>
              <w:right w:val="single" w:sz="4" w:space="0" w:color="auto"/>
            </w:tcBorders>
            <w:shd w:val="clear" w:color="auto" w:fill="auto"/>
            <w:vAlign w:val="center"/>
            <w:hideMark/>
          </w:tcPr>
          <w:p w14:paraId="79423E3E"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1 222,4 </w:t>
            </w:r>
          </w:p>
        </w:tc>
        <w:tc>
          <w:tcPr>
            <w:tcW w:w="1245" w:type="dxa"/>
            <w:tcBorders>
              <w:top w:val="nil"/>
              <w:left w:val="nil"/>
              <w:bottom w:val="single" w:sz="4" w:space="0" w:color="auto"/>
              <w:right w:val="single" w:sz="4" w:space="0" w:color="auto"/>
            </w:tcBorders>
            <w:shd w:val="clear" w:color="auto" w:fill="auto"/>
            <w:vAlign w:val="center"/>
            <w:hideMark/>
          </w:tcPr>
          <w:p w14:paraId="7D5ADC43"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351,7 </w:t>
            </w:r>
          </w:p>
        </w:tc>
        <w:tc>
          <w:tcPr>
            <w:tcW w:w="865" w:type="dxa"/>
            <w:tcBorders>
              <w:top w:val="nil"/>
              <w:left w:val="nil"/>
              <w:bottom w:val="single" w:sz="4" w:space="0" w:color="auto"/>
              <w:right w:val="double" w:sz="4" w:space="0" w:color="auto"/>
            </w:tcBorders>
            <w:shd w:val="clear" w:color="auto" w:fill="auto"/>
            <w:vAlign w:val="center"/>
            <w:hideMark/>
          </w:tcPr>
          <w:p w14:paraId="21C0ED67"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40,4 </w:t>
            </w:r>
          </w:p>
        </w:tc>
      </w:tr>
      <w:tr w:rsidR="00FD7B0B" w:rsidRPr="00FD7B0B" w14:paraId="6191925E" w14:textId="77777777" w:rsidTr="002C0E7D">
        <w:trPr>
          <w:trHeight w:val="70"/>
        </w:trPr>
        <w:tc>
          <w:tcPr>
            <w:tcW w:w="5396" w:type="dxa"/>
            <w:tcBorders>
              <w:top w:val="nil"/>
              <w:left w:val="double" w:sz="4" w:space="0" w:color="auto"/>
              <w:bottom w:val="single" w:sz="4" w:space="0" w:color="auto"/>
              <w:right w:val="single" w:sz="4" w:space="0" w:color="auto"/>
            </w:tcBorders>
            <w:shd w:val="clear" w:color="auto" w:fill="auto"/>
            <w:vAlign w:val="center"/>
            <w:hideMark/>
          </w:tcPr>
          <w:p w14:paraId="67842838" w14:textId="77777777" w:rsidR="00B420A9" w:rsidRPr="00FD7B0B" w:rsidRDefault="00B420A9" w:rsidP="007E7D21">
            <w:pPr>
              <w:spacing w:after="0" w:line="240" w:lineRule="auto"/>
              <w:rPr>
                <w:rFonts w:ascii="Times New Roman" w:hAnsi="Times New Roman" w:cs="Times New Roman"/>
              </w:rPr>
            </w:pPr>
            <w:r w:rsidRPr="00FD7B0B">
              <w:rPr>
                <w:rFonts w:ascii="Times New Roman" w:hAnsi="Times New Roman" w:cs="Times New Roman"/>
              </w:rPr>
              <w:t>Компенсация родительской платы за присмотр и уход за ребенком в образовательных организациях, реализующих образовательную программу дошкольного образования</w:t>
            </w:r>
          </w:p>
        </w:tc>
        <w:tc>
          <w:tcPr>
            <w:tcW w:w="1109" w:type="dxa"/>
            <w:tcBorders>
              <w:top w:val="nil"/>
              <w:left w:val="nil"/>
              <w:bottom w:val="single" w:sz="4" w:space="0" w:color="auto"/>
              <w:right w:val="single" w:sz="4" w:space="0" w:color="auto"/>
            </w:tcBorders>
            <w:shd w:val="clear" w:color="auto" w:fill="auto"/>
            <w:vAlign w:val="center"/>
            <w:hideMark/>
          </w:tcPr>
          <w:p w14:paraId="5407D578"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526,8 </w:t>
            </w:r>
          </w:p>
        </w:tc>
        <w:tc>
          <w:tcPr>
            <w:tcW w:w="1109" w:type="dxa"/>
            <w:tcBorders>
              <w:top w:val="nil"/>
              <w:left w:val="nil"/>
              <w:bottom w:val="single" w:sz="4" w:space="0" w:color="auto"/>
              <w:right w:val="single" w:sz="4" w:space="0" w:color="auto"/>
            </w:tcBorders>
            <w:shd w:val="clear" w:color="auto" w:fill="auto"/>
            <w:vAlign w:val="center"/>
            <w:hideMark/>
          </w:tcPr>
          <w:p w14:paraId="4B953BD4"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544,7 </w:t>
            </w:r>
          </w:p>
        </w:tc>
        <w:tc>
          <w:tcPr>
            <w:tcW w:w="1245" w:type="dxa"/>
            <w:tcBorders>
              <w:top w:val="nil"/>
              <w:left w:val="nil"/>
              <w:bottom w:val="single" w:sz="4" w:space="0" w:color="auto"/>
              <w:right w:val="single" w:sz="4" w:space="0" w:color="auto"/>
            </w:tcBorders>
            <w:shd w:val="clear" w:color="auto" w:fill="auto"/>
            <w:vAlign w:val="center"/>
            <w:hideMark/>
          </w:tcPr>
          <w:p w14:paraId="372508AF"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17,9 </w:t>
            </w:r>
          </w:p>
        </w:tc>
        <w:tc>
          <w:tcPr>
            <w:tcW w:w="865" w:type="dxa"/>
            <w:tcBorders>
              <w:top w:val="nil"/>
              <w:left w:val="nil"/>
              <w:bottom w:val="single" w:sz="4" w:space="0" w:color="auto"/>
              <w:right w:val="double" w:sz="4" w:space="0" w:color="auto"/>
            </w:tcBorders>
            <w:shd w:val="clear" w:color="auto" w:fill="auto"/>
            <w:vAlign w:val="center"/>
            <w:hideMark/>
          </w:tcPr>
          <w:p w14:paraId="22CB0528"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3,4 </w:t>
            </w:r>
          </w:p>
        </w:tc>
      </w:tr>
      <w:tr w:rsidR="00FD7B0B" w:rsidRPr="00FD7B0B" w14:paraId="46D44DEA" w14:textId="77777777" w:rsidTr="002C0E7D">
        <w:trPr>
          <w:trHeight w:val="70"/>
        </w:trPr>
        <w:tc>
          <w:tcPr>
            <w:tcW w:w="5396" w:type="dxa"/>
            <w:tcBorders>
              <w:top w:val="nil"/>
              <w:left w:val="double" w:sz="4" w:space="0" w:color="auto"/>
              <w:bottom w:val="single" w:sz="4" w:space="0" w:color="auto"/>
              <w:right w:val="single" w:sz="4" w:space="0" w:color="auto"/>
            </w:tcBorders>
            <w:shd w:val="clear" w:color="auto" w:fill="auto"/>
            <w:vAlign w:val="center"/>
            <w:hideMark/>
          </w:tcPr>
          <w:p w14:paraId="2E075EB5" w14:textId="77777777" w:rsidR="00B420A9" w:rsidRPr="00FD7B0B" w:rsidRDefault="00B420A9" w:rsidP="007E7D21">
            <w:pPr>
              <w:spacing w:after="0" w:line="240" w:lineRule="auto"/>
              <w:rPr>
                <w:rFonts w:ascii="Times New Roman" w:hAnsi="Times New Roman" w:cs="Times New Roman"/>
              </w:rPr>
            </w:pPr>
            <w:r w:rsidRPr="00FD7B0B">
              <w:rPr>
                <w:rFonts w:ascii="Times New Roman" w:hAnsi="Times New Roman" w:cs="Times New Roman"/>
              </w:rPr>
              <w:t>Возмещение расходов, связанных с реализацией мер социальной поддержки по предоставлению компенсации расходов на оплату жилых помещений, отопления и освещения педагогическим работникам образовательных организаций в сельских населенных пунктах, рабочих поселках (поселках городского типа)</w:t>
            </w:r>
          </w:p>
        </w:tc>
        <w:tc>
          <w:tcPr>
            <w:tcW w:w="1109" w:type="dxa"/>
            <w:tcBorders>
              <w:top w:val="nil"/>
              <w:left w:val="nil"/>
              <w:bottom w:val="single" w:sz="4" w:space="0" w:color="auto"/>
              <w:right w:val="single" w:sz="4" w:space="0" w:color="auto"/>
            </w:tcBorders>
            <w:shd w:val="clear" w:color="auto" w:fill="auto"/>
            <w:vAlign w:val="center"/>
            <w:hideMark/>
          </w:tcPr>
          <w:p w14:paraId="6BC9151A"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616,5 </w:t>
            </w:r>
          </w:p>
        </w:tc>
        <w:tc>
          <w:tcPr>
            <w:tcW w:w="1109" w:type="dxa"/>
            <w:tcBorders>
              <w:top w:val="nil"/>
              <w:left w:val="nil"/>
              <w:bottom w:val="single" w:sz="4" w:space="0" w:color="auto"/>
              <w:right w:val="single" w:sz="4" w:space="0" w:color="auto"/>
            </w:tcBorders>
            <w:shd w:val="clear" w:color="auto" w:fill="auto"/>
            <w:vAlign w:val="center"/>
            <w:hideMark/>
          </w:tcPr>
          <w:p w14:paraId="1C3B6E00"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662,6 </w:t>
            </w:r>
          </w:p>
        </w:tc>
        <w:tc>
          <w:tcPr>
            <w:tcW w:w="1245" w:type="dxa"/>
            <w:tcBorders>
              <w:top w:val="nil"/>
              <w:left w:val="nil"/>
              <w:bottom w:val="single" w:sz="4" w:space="0" w:color="auto"/>
              <w:right w:val="single" w:sz="4" w:space="0" w:color="auto"/>
            </w:tcBorders>
            <w:shd w:val="clear" w:color="auto" w:fill="auto"/>
            <w:vAlign w:val="center"/>
            <w:hideMark/>
          </w:tcPr>
          <w:p w14:paraId="2EF7AAAD"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46,2 </w:t>
            </w:r>
          </w:p>
        </w:tc>
        <w:tc>
          <w:tcPr>
            <w:tcW w:w="865" w:type="dxa"/>
            <w:tcBorders>
              <w:top w:val="nil"/>
              <w:left w:val="nil"/>
              <w:bottom w:val="single" w:sz="4" w:space="0" w:color="auto"/>
              <w:right w:val="double" w:sz="4" w:space="0" w:color="auto"/>
            </w:tcBorders>
            <w:shd w:val="clear" w:color="auto" w:fill="auto"/>
            <w:vAlign w:val="center"/>
            <w:hideMark/>
          </w:tcPr>
          <w:p w14:paraId="6E5B7CEC"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 xml:space="preserve">7,5 </w:t>
            </w:r>
          </w:p>
        </w:tc>
      </w:tr>
      <w:tr w:rsidR="00B420A9" w:rsidRPr="00FD7B0B" w14:paraId="3ACF5B98" w14:textId="77777777" w:rsidTr="00F2064A">
        <w:trPr>
          <w:trHeight w:val="70"/>
        </w:trPr>
        <w:tc>
          <w:tcPr>
            <w:tcW w:w="5396" w:type="dxa"/>
            <w:tcBorders>
              <w:top w:val="nil"/>
              <w:left w:val="double" w:sz="4" w:space="0" w:color="auto"/>
              <w:bottom w:val="double" w:sz="4" w:space="0" w:color="auto"/>
              <w:right w:val="single" w:sz="4" w:space="0" w:color="auto"/>
            </w:tcBorders>
            <w:shd w:val="clear" w:color="auto" w:fill="auto"/>
            <w:vAlign w:val="center"/>
            <w:hideMark/>
          </w:tcPr>
          <w:p w14:paraId="703EECE0" w14:textId="0605FA82" w:rsidR="00B420A9" w:rsidRPr="00FD7B0B" w:rsidRDefault="00B420A9" w:rsidP="00254AE7">
            <w:pPr>
              <w:spacing w:after="0" w:line="240" w:lineRule="auto"/>
              <w:rPr>
                <w:rFonts w:ascii="Times New Roman" w:hAnsi="Times New Roman" w:cs="Times New Roman"/>
              </w:rPr>
            </w:pPr>
            <w:r w:rsidRPr="00FD7B0B">
              <w:rPr>
                <w:rFonts w:ascii="Times New Roman" w:hAnsi="Times New Roman" w:cs="Times New Roman"/>
              </w:rPr>
              <w:t xml:space="preserve">Обеспечение мероприятий по переселению граждан из аварийного жилищного фонда (ППК </w:t>
            </w:r>
            <w:r w:rsidR="00254AE7" w:rsidRPr="00FD7B0B">
              <w:rPr>
                <w:rFonts w:ascii="Times New Roman" w:hAnsi="Times New Roman" w:cs="Times New Roman"/>
              </w:rPr>
              <w:t>«</w:t>
            </w:r>
            <w:r w:rsidRPr="00FD7B0B">
              <w:rPr>
                <w:rFonts w:ascii="Times New Roman" w:hAnsi="Times New Roman" w:cs="Times New Roman"/>
              </w:rPr>
              <w:t>Фонд развития территорий</w:t>
            </w:r>
            <w:r w:rsidR="00254AE7" w:rsidRPr="00FD7B0B">
              <w:rPr>
                <w:rFonts w:ascii="Times New Roman" w:hAnsi="Times New Roman" w:cs="Times New Roman"/>
              </w:rPr>
              <w:t>»</w:t>
            </w:r>
            <w:r w:rsidRPr="00FD7B0B">
              <w:rPr>
                <w:rFonts w:ascii="Times New Roman" w:hAnsi="Times New Roman" w:cs="Times New Roman"/>
              </w:rPr>
              <w:t xml:space="preserve"> и обл. бюдж)</w:t>
            </w:r>
          </w:p>
        </w:tc>
        <w:tc>
          <w:tcPr>
            <w:tcW w:w="1109" w:type="dxa"/>
            <w:tcBorders>
              <w:top w:val="nil"/>
              <w:left w:val="nil"/>
              <w:bottom w:val="double" w:sz="4" w:space="0" w:color="auto"/>
              <w:right w:val="single" w:sz="4" w:space="0" w:color="auto"/>
            </w:tcBorders>
            <w:shd w:val="clear" w:color="auto" w:fill="auto"/>
            <w:vAlign w:val="center"/>
            <w:hideMark/>
          </w:tcPr>
          <w:p w14:paraId="391242CA"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660,9</w:t>
            </w:r>
          </w:p>
        </w:tc>
        <w:tc>
          <w:tcPr>
            <w:tcW w:w="1109" w:type="dxa"/>
            <w:tcBorders>
              <w:top w:val="nil"/>
              <w:left w:val="nil"/>
              <w:bottom w:val="double" w:sz="4" w:space="0" w:color="auto"/>
              <w:right w:val="single" w:sz="4" w:space="0" w:color="auto"/>
            </w:tcBorders>
            <w:shd w:val="clear" w:color="auto" w:fill="auto"/>
            <w:vAlign w:val="center"/>
          </w:tcPr>
          <w:p w14:paraId="0C990B24"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154,2</w:t>
            </w:r>
          </w:p>
        </w:tc>
        <w:tc>
          <w:tcPr>
            <w:tcW w:w="1245" w:type="dxa"/>
            <w:tcBorders>
              <w:top w:val="nil"/>
              <w:left w:val="nil"/>
              <w:bottom w:val="double" w:sz="4" w:space="0" w:color="auto"/>
              <w:right w:val="single" w:sz="4" w:space="0" w:color="auto"/>
            </w:tcBorders>
            <w:shd w:val="clear" w:color="auto" w:fill="auto"/>
            <w:vAlign w:val="center"/>
          </w:tcPr>
          <w:p w14:paraId="664D09B1"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-506,7</w:t>
            </w:r>
          </w:p>
        </w:tc>
        <w:tc>
          <w:tcPr>
            <w:tcW w:w="865" w:type="dxa"/>
            <w:tcBorders>
              <w:top w:val="nil"/>
              <w:left w:val="nil"/>
              <w:bottom w:val="double" w:sz="4" w:space="0" w:color="auto"/>
              <w:right w:val="double" w:sz="4" w:space="0" w:color="auto"/>
            </w:tcBorders>
            <w:shd w:val="clear" w:color="auto" w:fill="auto"/>
            <w:vAlign w:val="center"/>
          </w:tcPr>
          <w:p w14:paraId="3479AC2F" w14:textId="77777777" w:rsidR="00B420A9" w:rsidRPr="00FD7B0B" w:rsidRDefault="00B420A9" w:rsidP="007E7D21">
            <w:pPr>
              <w:spacing w:after="0" w:line="240" w:lineRule="auto"/>
              <w:jc w:val="right"/>
              <w:rPr>
                <w:rFonts w:ascii="Times New Roman" w:hAnsi="Times New Roman" w:cs="Times New Roman"/>
              </w:rPr>
            </w:pPr>
            <w:r w:rsidRPr="00FD7B0B">
              <w:rPr>
                <w:rFonts w:ascii="Times New Roman" w:hAnsi="Times New Roman" w:cs="Times New Roman"/>
              </w:rPr>
              <w:t>-76,7</w:t>
            </w:r>
          </w:p>
        </w:tc>
      </w:tr>
    </w:tbl>
    <w:p w14:paraId="49826110" w14:textId="77777777" w:rsidR="00B420A9" w:rsidRPr="00FD7B0B" w:rsidRDefault="00B420A9" w:rsidP="00C9055C">
      <w:pPr>
        <w:spacing w:after="0" w:line="240" w:lineRule="auto"/>
        <w:ind w:firstLine="709"/>
        <w:contextualSpacing/>
        <w:jc w:val="both"/>
        <w:rPr>
          <w:rFonts w:ascii="Times New Roman" w:eastAsia="Calibri" w:hAnsi="Times New Roman" w:cs="Times New Roman"/>
          <w:sz w:val="28"/>
          <w:szCs w:val="28"/>
          <w:lang w:eastAsia="ru-RU"/>
        </w:rPr>
      </w:pPr>
    </w:p>
    <w:p w14:paraId="29D26BF2" w14:textId="5E3B7960" w:rsidR="00B420A9" w:rsidRPr="00FD7B0B" w:rsidRDefault="00B420A9" w:rsidP="00C9055C">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Наибольший </w:t>
      </w:r>
      <w:r w:rsidR="00C9055C" w:rsidRPr="00FD7B0B">
        <w:rPr>
          <w:rFonts w:ascii="Times New Roman" w:eastAsia="Calibri" w:hAnsi="Times New Roman" w:cs="Times New Roman"/>
          <w:sz w:val="28"/>
          <w:szCs w:val="28"/>
          <w:lang w:eastAsia="ru-RU"/>
        </w:rPr>
        <w:t>при</w:t>
      </w:r>
      <w:r w:rsidRPr="00FD7B0B">
        <w:rPr>
          <w:rFonts w:ascii="Times New Roman" w:eastAsia="Calibri" w:hAnsi="Times New Roman" w:cs="Times New Roman"/>
          <w:sz w:val="28"/>
          <w:szCs w:val="28"/>
          <w:lang w:eastAsia="ru-RU"/>
        </w:rPr>
        <w:t>рост в отчетном периоде составила субвенция местным бюджетам на реализацию образовательных программ – на 1 569,4 млн.руб. (+8,0 %).</w:t>
      </w:r>
    </w:p>
    <w:p w14:paraId="0883E12F" w14:textId="6C2501B7" w:rsidR="00B420A9" w:rsidRPr="00FD7B0B" w:rsidRDefault="00B420A9" w:rsidP="00494F11">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Наибольшее снижение сложилось по субвенциям, выделяемым на обеспечение мероприятий по переселению граждан из аварийного жилищного фонда за счет средств ППК «Фонд развития территорий» и областного бюджета – на 506,7 млн.руб. (-76,7 %).</w:t>
      </w:r>
    </w:p>
    <w:p w14:paraId="46627961" w14:textId="77777777" w:rsidR="00B420A9" w:rsidRPr="00FD7B0B" w:rsidRDefault="00B420A9" w:rsidP="00494F11">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Общая сумма субсидий, перечисленная за отчетный период местным бюджетам, составила 5 430,7 млн.руб. или 99,5 % к плану года, что на 61,8 % </w:t>
      </w:r>
      <w:r w:rsidRPr="00FD7B0B">
        <w:rPr>
          <w:rFonts w:ascii="Times New Roman" w:eastAsia="Calibri" w:hAnsi="Times New Roman" w:cs="Times New Roman"/>
          <w:sz w:val="28"/>
          <w:szCs w:val="28"/>
          <w:lang w:eastAsia="ru-RU"/>
        </w:rPr>
        <w:br/>
        <w:t>(-8 789,0 млн.руб.) меньше соответствующих расходов за 2023 год.</w:t>
      </w:r>
    </w:p>
    <w:p w14:paraId="4AD745A5" w14:textId="77777777" w:rsidR="00B420A9" w:rsidRPr="00FD7B0B" w:rsidRDefault="00B420A9" w:rsidP="00000612">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Основной объем субсидий за отчетный период перечислен в рамках реализации следующих государственных программ Архангельской области:</w:t>
      </w:r>
    </w:p>
    <w:p w14:paraId="3F97A8C1" w14:textId="77777777" w:rsidR="00B420A9" w:rsidRPr="00FD7B0B" w:rsidRDefault="00B420A9" w:rsidP="003B6A88">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1) ГП АО «Развитие образования и науки Архангельской области» – 829,0 млн.руб. (99,2 % к плану года), из них на организацию бесплатного горячего питания обучающихся, получающих начальное общее образование муниципальных образовательных организациях – 689,4 млн.руб. (99,5 % к плану года). Менее чем на 95 % осуществлены расходы в виде субсидий на укрепление материально-технической базы и развитие противопожарной инфраструктуры в муниципальных образовательных организациях муниципальных образований Архангельской области – 45,1 млн.руб. или 94,8 % к плану года, что обусловлено экономией, сложившаяся по результатам проведения конкурсных процедур в муниципальных образованиях;</w:t>
      </w:r>
    </w:p>
    <w:p w14:paraId="3831B77A" w14:textId="77777777" w:rsidR="00B420A9" w:rsidRPr="00FD7B0B" w:rsidRDefault="00B420A9" w:rsidP="00493B25">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2) ГП АО «Развитие энергетики и жилищно-коммунального хозяйства Архангельской области» – 718,9 млн.руб. (99,8 % к плану года), из них на </w:t>
      </w:r>
      <w:r w:rsidRPr="00FD7B0B">
        <w:rPr>
          <w:rFonts w:ascii="Times New Roman" w:eastAsia="Calibri" w:hAnsi="Times New Roman" w:cs="Times New Roman"/>
          <w:sz w:val="28"/>
          <w:szCs w:val="28"/>
          <w:lang w:eastAsia="ru-RU"/>
        </w:rPr>
        <w:lastRenderedPageBreak/>
        <w:t>строительство и реконструкцию (модернизацию) объектов питьевого водоснабжения – 497,7 млн.руб. (100 % к плану года). Отмечаем, что субсидии на разработку проектно-сметной документации для строительства и реконструкции (модернизации) объектов питьевого водоснабжения выделены в сумме 4,1 млн.руб. или 76,6 % к плану года, что связано с перечислением в пределах сумм, необходимых для оплаты денежных обязательств;</w:t>
      </w:r>
    </w:p>
    <w:p w14:paraId="6658821C" w14:textId="77777777" w:rsidR="00B420A9" w:rsidRPr="00FD7B0B" w:rsidRDefault="00B420A9" w:rsidP="00CD78D2">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3) ГП АО «Развитие транспортной системы Архангельской области» – 939,3 млн.руб. (98,5 % к плану года), из них субсидия бюджету ГО «Город Архангельск» на реализацию инфраструктурных проектов, источником финансового обеспечения которых являются бюджетные кредиты, предоставляемые из федерального бюджета – 746,2 млн.руб. (100,0 % плану года). Менее чем на 95 % осуществлены следующие расходы:</w:t>
      </w:r>
    </w:p>
    <w:p w14:paraId="6C844E40" w14:textId="758E1553" w:rsidR="00B420A9" w:rsidRPr="00FD7B0B" w:rsidRDefault="00B420A9" w:rsidP="00F2064A">
      <w:pPr>
        <w:pStyle w:val="a8"/>
        <w:numPr>
          <w:ilvl w:val="0"/>
          <w:numId w:val="27"/>
        </w:numPr>
        <w:ind w:left="0" w:firstLine="698"/>
        <w:jc w:val="both"/>
        <w:rPr>
          <w:sz w:val="28"/>
          <w:szCs w:val="28"/>
        </w:rPr>
      </w:pPr>
      <w:r w:rsidRPr="00FD7B0B">
        <w:rPr>
          <w:sz w:val="28"/>
          <w:szCs w:val="28"/>
        </w:rPr>
        <w:t>субсидии на организацию транспортного обслуживания населения на пассажирских муниципальных маршрутах автомобильного транспорта – 122,2 млн.руб. или 93,3 % к плану года в связи с перечислением межбюджетных трансфертов в пределах сумм, необходимых для оплаты денежных обязательств;</w:t>
      </w:r>
    </w:p>
    <w:p w14:paraId="2ABAE48A" w14:textId="77777777" w:rsidR="00B420A9" w:rsidRPr="00FD7B0B" w:rsidRDefault="00B420A9" w:rsidP="00F2064A">
      <w:pPr>
        <w:pStyle w:val="a8"/>
        <w:numPr>
          <w:ilvl w:val="0"/>
          <w:numId w:val="27"/>
        </w:numPr>
        <w:ind w:left="0" w:firstLine="698"/>
        <w:jc w:val="both"/>
        <w:rPr>
          <w:sz w:val="28"/>
          <w:szCs w:val="28"/>
        </w:rPr>
      </w:pPr>
      <w:r w:rsidRPr="00FD7B0B">
        <w:rPr>
          <w:sz w:val="28"/>
          <w:szCs w:val="28"/>
        </w:rPr>
        <w:t>субсидии на проведение ремонтных работ на пассажирских судах водного транспорта – 2,9 млн.руб. или 91,3 % к плану года – в пределах сумм потребности для оплаты обязательств;</w:t>
      </w:r>
    </w:p>
    <w:p w14:paraId="5EDE3C33" w14:textId="77777777" w:rsidR="00B420A9" w:rsidRPr="00FD7B0B" w:rsidRDefault="00B420A9" w:rsidP="00F2064A">
      <w:pPr>
        <w:pStyle w:val="a8"/>
        <w:numPr>
          <w:ilvl w:val="0"/>
          <w:numId w:val="27"/>
        </w:numPr>
        <w:ind w:left="0" w:firstLine="698"/>
        <w:jc w:val="both"/>
        <w:rPr>
          <w:sz w:val="28"/>
          <w:szCs w:val="28"/>
        </w:rPr>
      </w:pPr>
      <w:r w:rsidRPr="00FD7B0B">
        <w:rPr>
          <w:sz w:val="28"/>
          <w:szCs w:val="28"/>
        </w:rPr>
        <w:t>субсидии на мероприятия в сфере общественного пассажирского транспорта и транспортной инфраструктуры (содержание, ремонт, капитальный ремонт инфраструктуры технологической узкоколейной железной дороги «Липаково – Лужма – Сеза» Плесецкого муниципального округа Архангельской области, включая ремонт и капитальный ремонт подвижного состава) – 2,6 млн.руб. или 80,8 % к плану года – в пределах сумм потребности для оплаты обязательств;</w:t>
      </w:r>
    </w:p>
    <w:p w14:paraId="0EB867F7" w14:textId="77777777" w:rsidR="00B420A9" w:rsidRPr="00FD7B0B" w:rsidRDefault="00B420A9" w:rsidP="00F2064A">
      <w:pPr>
        <w:pStyle w:val="a8"/>
        <w:numPr>
          <w:ilvl w:val="0"/>
          <w:numId w:val="27"/>
        </w:numPr>
        <w:ind w:left="0" w:firstLine="698"/>
        <w:jc w:val="both"/>
        <w:rPr>
          <w:sz w:val="28"/>
          <w:szCs w:val="28"/>
        </w:rPr>
      </w:pPr>
      <w:r w:rsidRPr="00FD7B0B">
        <w:rPr>
          <w:sz w:val="28"/>
          <w:szCs w:val="28"/>
        </w:rPr>
        <w:t>субсидии на модернизацию нерегулируемых пешеходных переходов, светофорных объектов и установку светофорных объектов, пешеходных ограждений на автомобильных дорогах общего пользования местного значения – 37,5 млн.руб. или 93,7 % – в пределах сумм потребности для оплаты обязательств;</w:t>
      </w:r>
    </w:p>
    <w:p w14:paraId="537936BC" w14:textId="77777777" w:rsidR="00B420A9" w:rsidRPr="00FD7B0B" w:rsidRDefault="00B420A9" w:rsidP="00F2064A">
      <w:pPr>
        <w:pStyle w:val="a8"/>
        <w:numPr>
          <w:ilvl w:val="0"/>
          <w:numId w:val="27"/>
        </w:numPr>
        <w:ind w:left="0" w:firstLine="698"/>
        <w:jc w:val="both"/>
        <w:rPr>
          <w:sz w:val="28"/>
          <w:szCs w:val="28"/>
        </w:rPr>
      </w:pPr>
      <w:r w:rsidRPr="00FD7B0B">
        <w:rPr>
          <w:sz w:val="28"/>
          <w:szCs w:val="28"/>
        </w:rPr>
        <w:t>субсидии на мероприятия в сфере общественного пассажирского транспорта и транспортной инфраструктуры (капитальный ремонт привокзальной площади в г. Архангельске) – 9,2 млн.руб. или 85,3 % к плану года– в пределах сумм потребности для оплаты обязательств;</w:t>
      </w:r>
    </w:p>
    <w:p w14:paraId="6C35B97D" w14:textId="77777777" w:rsidR="00B420A9" w:rsidRPr="00FD7B0B" w:rsidRDefault="00B420A9" w:rsidP="00593F8F">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4) ГП АО «Комплексное развитие сельских территорий Архангельской области» – 878,7 млн.руб. (100 % к плану года), из них на софинансирование капитальных вложений – 714,7 млн.руб., из которых наибольшая сумма перечислена на объект «Строительство начальной школы-детского сада на 580 мест, в т. ч. 180 мест – под детский сад по адресу: Устьянский район, с. Березник» – 219,5 млн.руб. и на «Строительство Плоскостного спортивного сооружения в с. Карпогоры, кадастровый квартал 29:14:050303» – 182,3 млн.руб.</w:t>
      </w:r>
    </w:p>
    <w:p w14:paraId="6419DF87" w14:textId="42787717" w:rsidR="00B420A9" w:rsidRPr="00FD7B0B" w:rsidRDefault="00B420A9" w:rsidP="00593F8F">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lastRenderedPageBreak/>
        <w:t xml:space="preserve">В таблице </w:t>
      </w:r>
      <w:r w:rsidR="004F0970" w:rsidRPr="00FD7B0B">
        <w:rPr>
          <w:rFonts w:ascii="Times New Roman" w:eastAsia="Calibri" w:hAnsi="Times New Roman" w:cs="Times New Roman"/>
          <w:sz w:val="28"/>
          <w:szCs w:val="28"/>
          <w:lang w:eastAsia="ru-RU"/>
        </w:rPr>
        <w:t>73</w:t>
      </w:r>
      <w:r w:rsidRPr="00FD7B0B">
        <w:rPr>
          <w:rFonts w:ascii="Times New Roman" w:eastAsia="Calibri" w:hAnsi="Times New Roman" w:cs="Times New Roman"/>
          <w:sz w:val="28"/>
          <w:szCs w:val="28"/>
          <w:lang w:eastAsia="ru-RU"/>
        </w:rPr>
        <w:t xml:space="preserve"> представлена информация о перечислении субсидий местным бюджетам в разрезе программных и непрограммных направлений расходов за 2023 и 2024 годы.</w:t>
      </w:r>
    </w:p>
    <w:p w14:paraId="4FA12645" w14:textId="77777777" w:rsidR="00B420A9" w:rsidRPr="00FD7B0B" w:rsidRDefault="00B420A9" w:rsidP="00904963">
      <w:pPr>
        <w:spacing w:after="0" w:line="240" w:lineRule="auto"/>
        <w:rPr>
          <w:rFonts w:ascii="Times New Roman" w:eastAsia="Calibri" w:hAnsi="Times New Roman" w:cs="Times New Roman"/>
          <w:sz w:val="24"/>
          <w:szCs w:val="24"/>
        </w:rPr>
      </w:pPr>
    </w:p>
    <w:p w14:paraId="7445F1F1" w14:textId="77777777" w:rsidR="00B420A9" w:rsidRPr="00FD7B0B" w:rsidRDefault="00B420A9" w:rsidP="00904963">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73</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Субсидии местным бюджетам по программным и непрограммным направлениям и элементам видов расходов за 2023 и 2024 годы, млн.руб.</w:t>
      </w:r>
    </w:p>
    <w:tbl>
      <w:tblPr>
        <w:tblW w:w="9616" w:type="dxa"/>
        <w:tblLayout w:type="fixed"/>
        <w:tblLook w:val="04A0" w:firstRow="1" w:lastRow="0" w:firstColumn="1" w:lastColumn="0" w:noHBand="0" w:noVBand="1"/>
      </w:tblPr>
      <w:tblGrid>
        <w:gridCol w:w="5647"/>
        <w:gridCol w:w="1040"/>
        <w:gridCol w:w="985"/>
        <w:gridCol w:w="1093"/>
        <w:gridCol w:w="851"/>
      </w:tblGrid>
      <w:tr w:rsidR="00FD7B0B" w:rsidRPr="00FD7B0B" w14:paraId="293C6B2D" w14:textId="77777777" w:rsidTr="00904963">
        <w:trPr>
          <w:trHeight w:val="35"/>
          <w:tblHeader/>
        </w:trPr>
        <w:tc>
          <w:tcPr>
            <w:tcW w:w="564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A5F9254" w14:textId="77777777" w:rsidR="00B420A9" w:rsidRPr="00FD7B0B" w:rsidRDefault="00B420A9" w:rsidP="00904963">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104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F7D6A04" w14:textId="77777777" w:rsidR="00B420A9" w:rsidRPr="00FD7B0B" w:rsidRDefault="00B420A9" w:rsidP="00904963">
            <w:pPr>
              <w:spacing w:after="0" w:line="240" w:lineRule="auto"/>
              <w:jc w:val="center"/>
              <w:rPr>
                <w:rFonts w:ascii="Times New Roman" w:hAnsi="Times New Roman" w:cs="Times New Roman"/>
              </w:rPr>
            </w:pPr>
            <w:r w:rsidRPr="00FD7B0B">
              <w:rPr>
                <w:rFonts w:ascii="Times New Roman" w:hAnsi="Times New Roman" w:cs="Times New Roman"/>
              </w:rPr>
              <w:t>2023 г.</w:t>
            </w:r>
          </w:p>
        </w:tc>
        <w:tc>
          <w:tcPr>
            <w:tcW w:w="98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95922ED" w14:textId="77777777" w:rsidR="00B420A9" w:rsidRPr="00FD7B0B" w:rsidRDefault="00B420A9" w:rsidP="00904963">
            <w:pPr>
              <w:spacing w:after="0" w:line="240" w:lineRule="auto"/>
              <w:jc w:val="center"/>
              <w:rPr>
                <w:rFonts w:ascii="Times New Roman" w:hAnsi="Times New Roman" w:cs="Times New Roman"/>
              </w:rPr>
            </w:pPr>
            <w:r w:rsidRPr="00FD7B0B">
              <w:rPr>
                <w:rFonts w:ascii="Times New Roman" w:hAnsi="Times New Roman" w:cs="Times New Roman"/>
              </w:rPr>
              <w:t>2024 г.</w:t>
            </w:r>
          </w:p>
        </w:tc>
        <w:tc>
          <w:tcPr>
            <w:tcW w:w="1944" w:type="dxa"/>
            <w:gridSpan w:val="2"/>
            <w:tcBorders>
              <w:top w:val="double" w:sz="6" w:space="0" w:color="auto"/>
              <w:left w:val="nil"/>
              <w:bottom w:val="single" w:sz="4" w:space="0" w:color="auto"/>
              <w:right w:val="double" w:sz="6" w:space="0" w:color="000000"/>
            </w:tcBorders>
            <w:shd w:val="clear" w:color="auto" w:fill="auto"/>
            <w:vAlign w:val="center"/>
            <w:hideMark/>
          </w:tcPr>
          <w:p w14:paraId="3B9DA129" w14:textId="77777777" w:rsidR="00B420A9" w:rsidRPr="00FD7B0B" w:rsidRDefault="00B420A9" w:rsidP="00904963">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2F05FB79" w14:textId="77777777" w:rsidTr="00904963">
        <w:trPr>
          <w:trHeight w:val="35"/>
          <w:tblHeader/>
        </w:trPr>
        <w:tc>
          <w:tcPr>
            <w:tcW w:w="5647" w:type="dxa"/>
            <w:vMerge/>
            <w:tcBorders>
              <w:top w:val="double" w:sz="6" w:space="0" w:color="auto"/>
              <w:left w:val="double" w:sz="6" w:space="0" w:color="auto"/>
              <w:bottom w:val="single" w:sz="4" w:space="0" w:color="auto"/>
              <w:right w:val="single" w:sz="4" w:space="0" w:color="auto"/>
            </w:tcBorders>
            <w:shd w:val="clear" w:color="auto" w:fill="auto"/>
            <w:vAlign w:val="center"/>
            <w:hideMark/>
          </w:tcPr>
          <w:p w14:paraId="0DE8698E" w14:textId="77777777" w:rsidR="00B420A9" w:rsidRPr="00FD7B0B" w:rsidRDefault="00B420A9" w:rsidP="00904963">
            <w:pPr>
              <w:spacing w:after="0" w:line="240" w:lineRule="auto"/>
              <w:jc w:val="center"/>
              <w:rPr>
                <w:rFonts w:ascii="Times New Roman" w:hAnsi="Times New Roman" w:cs="Times New Roman"/>
              </w:rPr>
            </w:pPr>
          </w:p>
        </w:tc>
        <w:tc>
          <w:tcPr>
            <w:tcW w:w="1040"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282615A6" w14:textId="77777777" w:rsidR="00B420A9" w:rsidRPr="00FD7B0B" w:rsidRDefault="00B420A9" w:rsidP="00904963">
            <w:pPr>
              <w:spacing w:after="0" w:line="240" w:lineRule="auto"/>
              <w:jc w:val="center"/>
              <w:rPr>
                <w:rFonts w:ascii="Times New Roman" w:hAnsi="Times New Roman" w:cs="Times New Roman"/>
              </w:rPr>
            </w:pPr>
          </w:p>
        </w:tc>
        <w:tc>
          <w:tcPr>
            <w:tcW w:w="985"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58194976" w14:textId="77777777" w:rsidR="00B420A9" w:rsidRPr="00FD7B0B" w:rsidRDefault="00B420A9" w:rsidP="00904963">
            <w:pPr>
              <w:spacing w:after="0" w:line="240" w:lineRule="auto"/>
              <w:jc w:val="center"/>
              <w:rPr>
                <w:rFonts w:ascii="Times New Roman" w:hAnsi="Times New Roman" w:cs="Times New Roman"/>
              </w:rPr>
            </w:pPr>
          </w:p>
        </w:tc>
        <w:tc>
          <w:tcPr>
            <w:tcW w:w="1093" w:type="dxa"/>
            <w:tcBorders>
              <w:top w:val="nil"/>
              <w:left w:val="nil"/>
              <w:bottom w:val="single" w:sz="4" w:space="0" w:color="auto"/>
              <w:right w:val="single" w:sz="4" w:space="0" w:color="auto"/>
            </w:tcBorders>
            <w:shd w:val="clear" w:color="auto" w:fill="auto"/>
            <w:vAlign w:val="center"/>
            <w:hideMark/>
          </w:tcPr>
          <w:p w14:paraId="5D240AA2" w14:textId="77777777" w:rsidR="00B420A9" w:rsidRPr="00FD7B0B" w:rsidRDefault="00B420A9" w:rsidP="00904963">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51" w:type="dxa"/>
            <w:tcBorders>
              <w:top w:val="nil"/>
              <w:left w:val="nil"/>
              <w:bottom w:val="single" w:sz="4" w:space="0" w:color="auto"/>
              <w:right w:val="double" w:sz="6" w:space="0" w:color="auto"/>
            </w:tcBorders>
            <w:shd w:val="clear" w:color="auto" w:fill="auto"/>
            <w:vAlign w:val="center"/>
            <w:hideMark/>
          </w:tcPr>
          <w:p w14:paraId="4AB8CFBA" w14:textId="44FE262E" w:rsidR="00B420A9" w:rsidRPr="00FD7B0B" w:rsidRDefault="00B420A9" w:rsidP="00904963">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35544D8C"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138D0FD3" w14:textId="4E5396A8"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"Развитие образования и науки</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25A4D457"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820,3 </w:t>
            </w:r>
          </w:p>
        </w:tc>
        <w:tc>
          <w:tcPr>
            <w:tcW w:w="985" w:type="dxa"/>
            <w:tcBorders>
              <w:top w:val="nil"/>
              <w:left w:val="nil"/>
              <w:bottom w:val="single" w:sz="4" w:space="0" w:color="auto"/>
              <w:right w:val="single" w:sz="4" w:space="0" w:color="auto"/>
            </w:tcBorders>
            <w:shd w:val="clear" w:color="auto" w:fill="auto"/>
            <w:vAlign w:val="center"/>
            <w:hideMark/>
          </w:tcPr>
          <w:p w14:paraId="3F72DA68"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829,0 </w:t>
            </w:r>
          </w:p>
        </w:tc>
        <w:tc>
          <w:tcPr>
            <w:tcW w:w="1093" w:type="dxa"/>
            <w:tcBorders>
              <w:top w:val="nil"/>
              <w:left w:val="nil"/>
              <w:bottom w:val="single" w:sz="4" w:space="0" w:color="auto"/>
              <w:right w:val="single" w:sz="4" w:space="0" w:color="auto"/>
            </w:tcBorders>
            <w:shd w:val="clear" w:color="auto" w:fill="auto"/>
            <w:vAlign w:val="center"/>
            <w:hideMark/>
          </w:tcPr>
          <w:p w14:paraId="3431A897"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8,7 </w:t>
            </w:r>
          </w:p>
        </w:tc>
        <w:tc>
          <w:tcPr>
            <w:tcW w:w="851" w:type="dxa"/>
            <w:tcBorders>
              <w:top w:val="nil"/>
              <w:left w:val="nil"/>
              <w:bottom w:val="single" w:sz="4" w:space="0" w:color="auto"/>
              <w:right w:val="double" w:sz="6" w:space="0" w:color="auto"/>
            </w:tcBorders>
            <w:shd w:val="clear" w:color="auto" w:fill="auto"/>
            <w:vAlign w:val="center"/>
            <w:hideMark/>
          </w:tcPr>
          <w:p w14:paraId="701D7667"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1,1 </w:t>
            </w:r>
          </w:p>
        </w:tc>
      </w:tr>
      <w:tr w:rsidR="00FD7B0B" w:rsidRPr="00FD7B0B" w14:paraId="2D7EF8B4"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7D821DF6" w14:textId="0679812F"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"Социальная поддержка граждан в</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03C455A4"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985" w:type="dxa"/>
            <w:tcBorders>
              <w:top w:val="nil"/>
              <w:left w:val="nil"/>
              <w:bottom w:val="single" w:sz="4" w:space="0" w:color="auto"/>
              <w:right w:val="single" w:sz="4" w:space="0" w:color="auto"/>
            </w:tcBorders>
            <w:shd w:val="clear" w:color="auto" w:fill="auto"/>
            <w:vAlign w:val="center"/>
            <w:hideMark/>
          </w:tcPr>
          <w:p w14:paraId="1E161E04"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43,2 </w:t>
            </w:r>
          </w:p>
        </w:tc>
        <w:tc>
          <w:tcPr>
            <w:tcW w:w="1093" w:type="dxa"/>
            <w:tcBorders>
              <w:top w:val="nil"/>
              <w:left w:val="nil"/>
              <w:bottom w:val="single" w:sz="4" w:space="0" w:color="auto"/>
              <w:right w:val="single" w:sz="4" w:space="0" w:color="auto"/>
            </w:tcBorders>
            <w:shd w:val="clear" w:color="auto" w:fill="auto"/>
            <w:vAlign w:val="center"/>
            <w:hideMark/>
          </w:tcPr>
          <w:p w14:paraId="518A4416"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43,2 </w:t>
            </w:r>
          </w:p>
        </w:tc>
        <w:tc>
          <w:tcPr>
            <w:tcW w:w="851" w:type="dxa"/>
            <w:tcBorders>
              <w:top w:val="nil"/>
              <w:left w:val="nil"/>
              <w:bottom w:val="single" w:sz="4" w:space="0" w:color="auto"/>
              <w:right w:val="double" w:sz="6" w:space="0" w:color="auto"/>
            </w:tcBorders>
            <w:shd w:val="clear" w:color="auto" w:fill="auto"/>
            <w:vAlign w:val="center"/>
            <w:hideMark/>
          </w:tcPr>
          <w:p w14:paraId="4062E884"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11EC5426"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012E6BC3" w14:textId="671FADA9"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"Ку</w:t>
            </w:r>
            <w:r w:rsidR="00F2064A" w:rsidRPr="00FD7B0B">
              <w:rPr>
                <w:rFonts w:ascii="Times New Roman" w:hAnsi="Times New Roman" w:cs="Times New Roman"/>
              </w:rPr>
              <w:t>льтура Русского Севера"</w:t>
            </w:r>
          </w:p>
        </w:tc>
        <w:tc>
          <w:tcPr>
            <w:tcW w:w="1040" w:type="dxa"/>
            <w:tcBorders>
              <w:top w:val="nil"/>
              <w:left w:val="nil"/>
              <w:bottom w:val="single" w:sz="4" w:space="0" w:color="auto"/>
              <w:right w:val="single" w:sz="4" w:space="0" w:color="auto"/>
            </w:tcBorders>
            <w:shd w:val="clear" w:color="auto" w:fill="auto"/>
            <w:vAlign w:val="center"/>
            <w:hideMark/>
          </w:tcPr>
          <w:p w14:paraId="6CE8B6DC"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378,4 </w:t>
            </w:r>
          </w:p>
        </w:tc>
        <w:tc>
          <w:tcPr>
            <w:tcW w:w="985" w:type="dxa"/>
            <w:tcBorders>
              <w:top w:val="nil"/>
              <w:left w:val="nil"/>
              <w:bottom w:val="single" w:sz="4" w:space="0" w:color="auto"/>
              <w:right w:val="single" w:sz="4" w:space="0" w:color="auto"/>
            </w:tcBorders>
            <w:shd w:val="clear" w:color="auto" w:fill="auto"/>
            <w:vAlign w:val="center"/>
            <w:hideMark/>
          </w:tcPr>
          <w:p w14:paraId="36BBF768"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198,7 </w:t>
            </w:r>
          </w:p>
        </w:tc>
        <w:tc>
          <w:tcPr>
            <w:tcW w:w="1093" w:type="dxa"/>
            <w:tcBorders>
              <w:top w:val="nil"/>
              <w:left w:val="nil"/>
              <w:bottom w:val="single" w:sz="4" w:space="0" w:color="auto"/>
              <w:right w:val="single" w:sz="4" w:space="0" w:color="auto"/>
            </w:tcBorders>
            <w:shd w:val="clear" w:color="auto" w:fill="auto"/>
            <w:vAlign w:val="center"/>
            <w:hideMark/>
          </w:tcPr>
          <w:p w14:paraId="640F1BEF"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-179,7 </w:t>
            </w:r>
          </w:p>
        </w:tc>
        <w:tc>
          <w:tcPr>
            <w:tcW w:w="851" w:type="dxa"/>
            <w:tcBorders>
              <w:top w:val="nil"/>
              <w:left w:val="nil"/>
              <w:bottom w:val="single" w:sz="4" w:space="0" w:color="auto"/>
              <w:right w:val="double" w:sz="6" w:space="0" w:color="auto"/>
            </w:tcBorders>
            <w:shd w:val="clear" w:color="auto" w:fill="auto"/>
            <w:vAlign w:val="center"/>
            <w:hideMark/>
          </w:tcPr>
          <w:p w14:paraId="32AF80C8"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-47,5 </w:t>
            </w:r>
          </w:p>
        </w:tc>
      </w:tr>
      <w:tr w:rsidR="00FD7B0B" w:rsidRPr="00FD7B0B" w14:paraId="3B069B8D"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44392CB6" w14:textId="14A0CAC7"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Государственная программа развития сельского хозяйства и регулирования рынков сельскохозяйственной продукции, сырья и продовольстви</w:t>
            </w:r>
            <w:r w:rsidR="00F2064A" w:rsidRPr="00FD7B0B">
              <w:rPr>
                <w:rFonts w:ascii="Times New Roman" w:hAnsi="Times New Roman" w:cs="Times New Roman"/>
              </w:rPr>
              <w:t>я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60750CE5"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6,7 </w:t>
            </w:r>
          </w:p>
        </w:tc>
        <w:tc>
          <w:tcPr>
            <w:tcW w:w="985" w:type="dxa"/>
            <w:tcBorders>
              <w:top w:val="nil"/>
              <w:left w:val="nil"/>
              <w:bottom w:val="single" w:sz="4" w:space="0" w:color="auto"/>
              <w:right w:val="single" w:sz="4" w:space="0" w:color="auto"/>
            </w:tcBorders>
            <w:shd w:val="clear" w:color="auto" w:fill="auto"/>
            <w:vAlign w:val="center"/>
            <w:hideMark/>
          </w:tcPr>
          <w:p w14:paraId="057C91AD"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8,2 </w:t>
            </w:r>
          </w:p>
        </w:tc>
        <w:tc>
          <w:tcPr>
            <w:tcW w:w="1093" w:type="dxa"/>
            <w:tcBorders>
              <w:top w:val="nil"/>
              <w:left w:val="nil"/>
              <w:bottom w:val="single" w:sz="4" w:space="0" w:color="auto"/>
              <w:right w:val="single" w:sz="4" w:space="0" w:color="auto"/>
            </w:tcBorders>
            <w:shd w:val="clear" w:color="auto" w:fill="auto"/>
            <w:vAlign w:val="center"/>
            <w:hideMark/>
          </w:tcPr>
          <w:p w14:paraId="16ED3D37"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1,5 </w:t>
            </w:r>
          </w:p>
        </w:tc>
        <w:tc>
          <w:tcPr>
            <w:tcW w:w="851" w:type="dxa"/>
            <w:tcBorders>
              <w:top w:val="nil"/>
              <w:left w:val="nil"/>
              <w:bottom w:val="single" w:sz="4" w:space="0" w:color="auto"/>
              <w:right w:val="double" w:sz="6" w:space="0" w:color="auto"/>
            </w:tcBorders>
            <w:shd w:val="clear" w:color="auto" w:fill="auto"/>
            <w:vAlign w:val="center"/>
            <w:hideMark/>
          </w:tcPr>
          <w:p w14:paraId="265236A2"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22,3 </w:t>
            </w:r>
          </w:p>
        </w:tc>
      </w:tr>
      <w:tr w:rsidR="00FD7B0B" w:rsidRPr="00FD7B0B" w14:paraId="60C92873"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741EA3FD" w14:textId="66090A41"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"Обеспечение качественным, доступным жильем и объектами инженерной инфраструктуры населения</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56860A8F"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818,8 </w:t>
            </w:r>
          </w:p>
        </w:tc>
        <w:tc>
          <w:tcPr>
            <w:tcW w:w="985" w:type="dxa"/>
            <w:tcBorders>
              <w:top w:val="nil"/>
              <w:left w:val="nil"/>
              <w:bottom w:val="single" w:sz="4" w:space="0" w:color="auto"/>
              <w:right w:val="single" w:sz="4" w:space="0" w:color="auto"/>
            </w:tcBorders>
            <w:shd w:val="clear" w:color="auto" w:fill="auto"/>
            <w:vAlign w:val="center"/>
            <w:hideMark/>
          </w:tcPr>
          <w:p w14:paraId="6F4FEE48"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502,2 </w:t>
            </w:r>
          </w:p>
        </w:tc>
        <w:tc>
          <w:tcPr>
            <w:tcW w:w="1093" w:type="dxa"/>
            <w:tcBorders>
              <w:top w:val="nil"/>
              <w:left w:val="nil"/>
              <w:bottom w:val="single" w:sz="4" w:space="0" w:color="auto"/>
              <w:right w:val="single" w:sz="4" w:space="0" w:color="auto"/>
            </w:tcBorders>
            <w:shd w:val="clear" w:color="auto" w:fill="auto"/>
            <w:vAlign w:val="center"/>
            <w:hideMark/>
          </w:tcPr>
          <w:p w14:paraId="6875344B"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-316,6 </w:t>
            </w:r>
          </w:p>
        </w:tc>
        <w:tc>
          <w:tcPr>
            <w:tcW w:w="851" w:type="dxa"/>
            <w:tcBorders>
              <w:top w:val="nil"/>
              <w:left w:val="nil"/>
              <w:bottom w:val="single" w:sz="4" w:space="0" w:color="auto"/>
              <w:right w:val="double" w:sz="6" w:space="0" w:color="auto"/>
            </w:tcBorders>
            <w:shd w:val="clear" w:color="auto" w:fill="auto"/>
            <w:vAlign w:val="center"/>
            <w:hideMark/>
          </w:tcPr>
          <w:p w14:paraId="73641010"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-38,7 </w:t>
            </w:r>
          </w:p>
        </w:tc>
      </w:tr>
      <w:tr w:rsidR="00FD7B0B" w:rsidRPr="00FD7B0B" w14:paraId="04B0D158"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D20D923" w14:textId="77777777"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2037054F"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2,7 </w:t>
            </w:r>
          </w:p>
        </w:tc>
        <w:tc>
          <w:tcPr>
            <w:tcW w:w="985" w:type="dxa"/>
            <w:tcBorders>
              <w:top w:val="nil"/>
              <w:left w:val="nil"/>
              <w:bottom w:val="single" w:sz="4" w:space="0" w:color="auto"/>
              <w:right w:val="single" w:sz="4" w:space="0" w:color="auto"/>
            </w:tcBorders>
            <w:shd w:val="clear" w:color="auto" w:fill="auto"/>
            <w:vAlign w:val="center"/>
            <w:hideMark/>
          </w:tcPr>
          <w:p w14:paraId="79D36942"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93" w:type="dxa"/>
            <w:tcBorders>
              <w:top w:val="nil"/>
              <w:left w:val="nil"/>
              <w:bottom w:val="single" w:sz="4" w:space="0" w:color="auto"/>
              <w:right w:val="single" w:sz="4" w:space="0" w:color="auto"/>
            </w:tcBorders>
            <w:shd w:val="clear" w:color="auto" w:fill="auto"/>
            <w:vAlign w:val="center"/>
            <w:hideMark/>
          </w:tcPr>
          <w:p w14:paraId="3E7A06B5"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-2,7 </w:t>
            </w:r>
          </w:p>
        </w:tc>
        <w:tc>
          <w:tcPr>
            <w:tcW w:w="851" w:type="dxa"/>
            <w:tcBorders>
              <w:top w:val="nil"/>
              <w:left w:val="nil"/>
              <w:bottom w:val="single" w:sz="4" w:space="0" w:color="auto"/>
              <w:right w:val="double" w:sz="6" w:space="0" w:color="auto"/>
            </w:tcBorders>
            <w:shd w:val="clear" w:color="auto" w:fill="auto"/>
            <w:vAlign w:val="center"/>
            <w:hideMark/>
          </w:tcPr>
          <w:p w14:paraId="6A601FCC"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1220D275"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2D994A24" w14:textId="0FF23DE1"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 xml:space="preserve"> "Защита населения и территорий Архангельской области от чрезвычайных ситуаций, обеспечение пожарной безопасности и безопасно</w:t>
            </w:r>
            <w:r w:rsidR="00F2064A" w:rsidRPr="00FD7B0B">
              <w:rPr>
                <w:rFonts w:ascii="Times New Roman" w:hAnsi="Times New Roman" w:cs="Times New Roman"/>
              </w:rPr>
              <w:t>сти на водных объектах"</w:t>
            </w:r>
          </w:p>
        </w:tc>
        <w:tc>
          <w:tcPr>
            <w:tcW w:w="1040" w:type="dxa"/>
            <w:tcBorders>
              <w:top w:val="nil"/>
              <w:left w:val="nil"/>
              <w:bottom w:val="single" w:sz="4" w:space="0" w:color="auto"/>
              <w:right w:val="single" w:sz="4" w:space="0" w:color="auto"/>
            </w:tcBorders>
            <w:shd w:val="clear" w:color="auto" w:fill="auto"/>
            <w:vAlign w:val="center"/>
            <w:hideMark/>
          </w:tcPr>
          <w:p w14:paraId="6CBE0005"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86,9 </w:t>
            </w:r>
          </w:p>
        </w:tc>
        <w:tc>
          <w:tcPr>
            <w:tcW w:w="985" w:type="dxa"/>
            <w:tcBorders>
              <w:top w:val="nil"/>
              <w:left w:val="nil"/>
              <w:bottom w:val="single" w:sz="4" w:space="0" w:color="auto"/>
              <w:right w:val="single" w:sz="4" w:space="0" w:color="auto"/>
            </w:tcBorders>
            <w:shd w:val="clear" w:color="auto" w:fill="auto"/>
            <w:vAlign w:val="center"/>
            <w:hideMark/>
          </w:tcPr>
          <w:p w14:paraId="5013C1D1"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37,8 </w:t>
            </w:r>
          </w:p>
        </w:tc>
        <w:tc>
          <w:tcPr>
            <w:tcW w:w="1093" w:type="dxa"/>
            <w:tcBorders>
              <w:top w:val="nil"/>
              <w:left w:val="nil"/>
              <w:bottom w:val="single" w:sz="4" w:space="0" w:color="auto"/>
              <w:right w:val="single" w:sz="4" w:space="0" w:color="auto"/>
            </w:tcBorders>
            <w:shd w:val="clear" w:color="auto" w:fill="auto"/>
            <w:vAlign w:val="center"/>
            <w:hideMark/>
          </w:tcPr>
          <w:p w14:paraId="20FF4E76"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-49,1 </w:t>
            </w:r>
          </w:p>
        </w:tc>
        <w:tc>
          <w:tcPr>
            <w:tcW w:w="851" w:type="dxa"/>
            <w:tcBorders>
              <w:top w:val="nil"/>
              <w:left w:val="nil"/>
              <w:bottom w:val="single" w:sz="4" w:space="0" w:color="auto"/>
              <w:right w:val="double" w:sz="6" w:space="0" w:color="auto"/>
            </w:tcBorders>
            <w:shd w:val="clear" w:color="auto" w:fill="auto"/>
            <w:vAlign w:val="center"/>
            <w:hideMark/>
          </w:tcPr>
          <w:p w14:paraId="7D71CF0B"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-56,5 </w:t>
            </w:r>
          </w:p>
        </w:tc>
      </w:tr>
      <w:tr w:rsidR="00FD7B0B" w:rsidRPr="00FD7B0B" w14:paraId="0F54D53A"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55BAB0AA" w14:textId="3FEBFE2F"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"Охрана окружающей среды, воспроизводство и использование природных ресурсов</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7618489D"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52,4 </w:t>
            </w:r>
          </w:p>
        </w:tc>
        <w:tc>
          <w:tcPr>
            <w:tcW w:w="985" w:type="dxa"/>
            <w:tcBorders>
              <w:top w:val="nil"/>
              <w:left w:val="nil"/>
              <w:bottom w:val="single" w:sz="4" w:space="0" w:color="auto"/>
              <w:right w:val="single" w:sz="4" w:space="0" w:color="auto"/>
            </w:tcBorders>
            <w:shd w:val="clear" w:color="auto" w:fill="auto"/>
            <w:vAlign w:val="center"/>
            <w:hideMark/>
          </w:tcPr>
          <w:p w14:paraId="1CA6AD97"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93" w:type="dxa"/>
            <w:tcBorders>
              <w:top w:val="nil"/>
              <w:left w:val="nil"/>
              <w:bottom w:val="single" w:sz="4" w:space="0" w:color="auto"/>
              <w:right w:val="single" w:sz="4" w:space="0" w:color="auto"/>
            </w:tcBorders>
            <w:shd w:val="clear" w:color="auto" w:fill="auto"/>
            <w:vAlign w:val="center"/>
            <w:hideMark/>
          </w:tcPr>
          <w:p w14:paraId="415E4BC1"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-52,4 </w:t>
            </w:r>
          </w:p>
        </w:tc>
        <w:tc>
          <w:tcPr>
            <w:tcW w:w="851" w:type="dxa"/>
            <w:tcBorders>
              <w:top w:val="nil"/>
              <w:left w:val="nil"/>
              <w:bottom w:val="single" w:sz="4" w:space="0" w:color="auto"/>
              <w:right w:val="double" w:sz="6" w:space="0" w:color="auto"/>
            </w:tcBorders>
            <w:shd w:val="clear" w:color="auto" w:fill="auto"/>
            <w:vAlign w:val="center"/>
            <w:hideMark/>
          </w:tcPr>
          <w:p w14:paraId="598CF30B"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5698D0B2"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42023832" w14:textId="52F81A55"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"Формирование современной городской среды в</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6A32BA31"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338,7 </w:t>
            </w:r>
          </w:p>
        </w:tc>
        <w:tc>
          <w:tcPr>
            <w:tcW w:w="985" w:type="dxa"/>
            <w:tcBorders>
              <w:top w:val="nil"/>
              <w:left w:val="nil"/>
              <w:bottom w:val="single" w:sz="4" w:space="0" w:color="auto"/>
              <w:right w:val="single" w:sz="4" w:space="0" w:color="auto"/>
            </w:tcBorders>
            <w:shd w:val="clear" w:color="auto" w:fill="auto"/>
            <w:vAlign w:val="center"/>
            <w:hideMark/>
          </w:tcPr>
          <w:p w14:paraId="371DD673"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466,3 </w:t>
            </w:r>
          </w:p>
        </w:tc>
        <w:tc>
          <w:tcPr>
            <w:tcW w:w="1093" w:type="dxa"/>
            <w:tcBorders>
              <w:top w:val="nil"/>
              <w:left w:val="nil"/>
              <w:bottom w:val="single" w:sz="4" w:space="0" w:color="auto"/>
              <w:right w:val="single" w:sz="4" w:space="0" w:color="auto"/>
            </w:tcBorders>
            <w:shd w:val="clear" w:color="auto" w:fill="auto"/>
            <w:vAlign w:val="center"/>
            <w:hideMark/>
          </w:tcPr>
          <w:p w14:paraId="0EB8BBCB"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127,6 </w:t>
            </w:r>
          </w:p>
        </w:tc>
        <w:tc>
          <w:tcPr>
            <w:tcW w:w="851" w:type="dxa"/>
            <w:tcBorders>
              <w:top w:val="nil"/>
              <w:left w:val="nil"/>
              <w:bottom w:val="single" w:sz="4" w:space="0" w:color="auto"/>
              <w:right w:val="double" w:sz="6" w:space="0" w:color="auto"/>
            </w:tcBorders>
            <w:shd w:val="clear" w:color="auto" w:fill="auto"/>
            <w:vAlign w:val="center"/>
            <w:hideMark/>
          </w:tcPr>
          <w:p w14:paraId="60090F32"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37,7 </w:t>
            </w:r>
          </w:p>
        </w:tc>
      </w:tr>
      <w:tr w:rsidR="00FD7B0B" w:rsidRPr="00FD7B0B" w14:paraId="0E3598C7"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0D4579B9" w14:textId="77FAF264"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"Совершенствование государственного управления и местного самоуправления, развитие институтов гражданского общества в</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3D5B608F"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15,6 </w:t>
            </w:r>
          </w:p>
        </w:tc>
        <w:tc>
          <w:tcPr>
            <w:tcW w:w="985" w:type="dxa"/>
            <w:tcBorders>
              <w:top w:val="nil"/>
              <w:left w:val="nil"/>
              <w:bottom w:val="single" w:sz="4" w:space="0" w:color="auto"/>
              <w:right w:val="single" w:sz="4" w:space="0" w:color="auto"/>
            </w:tcBorders>
            <w:shd w:val="clear" w:color="auto" w:fill="auto"/>
            <w:vAlign w:val="center"/>
            <w:hideMark/>
          </w:tcPr>
          <w:p w14:paraId="75942A2F"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12,7 </w:t>
            </w:r>
          </w:p>
        </w:tc>
        <w:tc>
          <w:tcPr>
            <w:tcW w:w="1093" w:type="dxa"/>
            <w:tcBorders>
              <w:top w:val="nil"/>
              <w:left w:val="nil"/>
              <w:bottom w:val="single" w:sz="4" w:space="0" w:color="auto"/>
              <w:right w:val="single" w:sz="4" w:space="0" w:color="auto"/>
            </w:tcBorders>
            <w:shd w:val="clear" w:color="auto" w:fill="auto"/>
            <w:vAlign w:val="center"/>
            <w:hideMark/>
          </w:tcPr>
          <w:p w14:paraId="50233DEA"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-2,9 </w:t>
            </w:r>
          </w:p>
        </w:tc>
        <w:tc>
          <w:tcPr>
            <w:tcW w:w="851" w:type="dxa"/>
            <w:tcBorders>
              <w:top w:val="nil"/>
              <w:left w:val="nil"/>
              <w:bottom w:val="single" w:sz="4" w:space="0" w:color="auto"/>
              <w:right w:val="double" w:sz="6" w:space="0" w:color="auto"/>
            </w:tcBorders>
            <w:shd w:val="clear" w:color="auto" w:fill="auto"/>
            <w:vAlign w:val="center"/>
            <w:hideMark/>
          </w:tcPr>
          <w:p w14:paraId="730B2920"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-18,7 </w:t>
            </w:r>
          </w:p>
        </w:tc>
      </w:tr>
      <w:tr w:rsidR="00FD7B0B" w:rsidRPr="00FD7B0B" w14:paraId="222C8941"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3D0060C1" w14:textId="1E4F703B"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"Развитие энергетики и жилищно-коммунального хозяйства</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528C9FF5"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1 035,7 </w:t>
            </w:r>
          </w:p>
        </w:tc>
        <w:tc>
          <w:tcPr>
            <w:tcW w:w="985" w:type="dxa"/>
            <w:tcBorders>
              <w:top w:val="nil"/>
              <w:left w:val="nil"/>
              <w:bottom w:val="single" w:sz="4" w:space="0" w:color="auto"/>
              <w:right w:val="single" w:sz="4" w:space="0" w:color="auto"/>
            </w:tcBorders>
            <w:shd w:val="clear" w:color="auto" w:fill="auto"/>
            <w:vAlign w:val="center"/>
            <w:hideMark/>
          </w:tcPr>
          <w:p w14:paraId="77E15DA8"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718,9 </w:t>
            </w:r>
          </w:p>
        </w:tc>
        <w:tc>
          <w:tcPr>
            <w:tcW w:w="1093" w:type="dxa"/>
            <w:tcBorders>
              <w:top w:val="nil"/>
              <w:left w:val="nil"/>
              <w:bottom w:val="single" w:sz="4" w:space="0" w:color="auto"/>
              <w:right w:val="single" w:sz="4" w:space="0" w:color="auto"/>
            </w:tcBorders>
            <w:shd w:val="clear" w:color="auto" w:fill="auto"/>
            <w:vAlign w:val="center"/>
            <w:hideMark/>
          </w:tcPr>
          <w:p w14:paraId="1BD2E634"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-316,8 </w:t>
            </w:r>
          </w:p>
        </w:tc>
        <w:tc>
          <w:tcPr>
            <w:tcW w:w="851" w:type="dxa"/>
            <w:tcBorders>
              <w:top w:val="nil"/>
              <w:left w:val="nil"/>
              <w:bottom w:val="single" w:sz="4" w:space="0" w:color="auto"/>
              <w:right w:val="double" w:sz="6" w:space="0" w:color="auto"/>
            </w:tcBorders>
            <w:shd w:val="clear" w:color="auto" w:fill="auto"/>
            <w:vAlign w:val="center"/>
            <w:hideMark/>
          </w:tcPr>
          <w:p w14:paraId="04D60939"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-30,6 </w:t>
            </w:r>
          </w:p>
        </w:tc>
      </w:tr>
      <w:tr w:rsidR="00FD7B0B" w:rsidRPr="00FD7B0B" w14:paraId="0DDF3F3B"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7CF24AB5" w14:textId="28203C36"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"Развитие транспортной системы</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7628F464"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2 196,1 </w:t>
            </w:r>
          </w:p>
        </w:tc>
        <w:tc>
          <w:tcPr>
            <w:tcW w:w="985" w:type="dxa"/>
            <w:tcBorders>
              <w:top w:val="nil"/>
              <w:left w:val="nil"/>
              <w:bottom w:val="single" w:sz="4" w:space="0" w:color="auto"/>
              <w:right w:val="single" w:sz="4" w:space="0" w:color="auto"/>
            </w:tcBorders>
            <w:shd w:val="clear" w:color="auto" w:fill="auto"/>
            <w:vAlign w:val="center"/>
            <w:hideMark/>
          </w:tcPr>
          <w:p w14:paraId="1C349D3C"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939,3 </w:t>
            </w:r>
          </w:p>
        </w:tc>
        <w:tc>
          <w:tcPr>
            <w:tcW w:w="1093" w:type="dxa"/>
            <w:tcBorders>
              <w:top w:val="nil"/>
              <w:left w:val="nil"/>
              <w:bottom w:val="single" w:sz="4" w:space="0" w:color="auto"/>
              <w:right w:val="single" w:sz="4" w:space="0" w:color="auto"/>
            </w:tcBorders>
            <w:shd w:val="clear" w:color="auto" w:fill="auto"/>
            <w:vAlign w:val="center"/>
            <w:hideMark/>
          </w:tcPr>
          <w:p w14:paraId="2980D8D8"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-1 256,8 </w:t>
            </w:r>
          </w:p>
        </w:tc>
        <w:tc>
          <w:tcPr>
            <w:tcW w:w="851" w:type="dxa"/>
            <w:tcBorders>
              <w:top w:val="nil"/>
              <w:left w:val="nil"/>
              <w:bottom w:val="single" w:sz="4" w:space="0" w:color="auto"/>
              <w:right w:val="double" w:sz="6" w:space="0" w:color="auto"/>
            </w:tcBorders>
            <w:shd w:val="clear" w:color="auto" w:fill="auto"/>
            <w:vAlign w:val="center"/>
            <w:hideMark/>
          </w:tcPr>
          <w:p w14:paraId="4F0BAC56"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-57,2 </w:t>
            </w:r>
          </w:p>
        </w:tc>
      </w:tr>
      <w:tr w:rsidR="00FD7B0B" w:rsidRPr="00FD7B0B" w14:paraId="37C9D1DB"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7F31917C" w14:textId="1ED0468A"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 xml:space="preserve"> "Управление государственными финансами и государственным долгом</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2BA74194"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6 101,1 </w:t>
            </w:r>
          </w:p>
        </w:tc>
        <w:tc>
          <w:tcPr>
            <w:tcW w:w="985" w:type="dxa"/>
            <w:tcBorders>
              <w:top w:val="nil"/>
              <w:left w:val="nil"/>
              <w:bottom w:val="single" w:sz="4" w:space="0" w:color="auto"/>
              <w:right w:val="single" w:sz="4" w:space="0" w:color="auto"/>
            </w:tcBorders>
            <w:shd w:val="clear" w:color="auto" w:fill="auto"/>
            <w:vAlign w:val="center"/>
            <w:hideMark/>
          </w:tcPr>
          <w:p w14:paraId="4A8B8FA0"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93" w:type="dxa"/>
            <w:tcBorders>
              <w:top w:val="nil"/>
              <w:left w:val="nil"/>
              <w:bottom w:val="single" w:sz="4" w:space="0" w:color="auto"/>
              <w:right w:val="single" w:sz="4" w:space="0" w:color="auto"/>
            </w:tcBorders>
            <w:shd w:val="clear" w:color="auto" w:fill="auto"/>
            <w:vAlign w:val="center"/>
            <w:hideMark/>
          </w:tcPr>
          <w:p w14:paraId="6711C431"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-6 101,1 </w:t>
            </w:r>
          </w:p>
        </w:tc>
        <w:tc>
          <w:tcPr>
            <w:tcW w:w="851" w:type="dxa"/>
            <w:tcBorders>
              <w:top w:val="nil"/>
              <w:left w:val="nil"/>
              <w:bottom w:val="single" w:sz="4" w:space="0" w:color="auto"/>
              <w:right w:val="double" w:sz="6" w:space="0" w:color="auto"/>
            </w:tcBorders>
            <w:shd w:val="clear" w:color="auto" w:fill="auto"/>
            <w:vAlign w:val="center"/>
            <w:hideMark/>
          </w:tcPr>
          <w:p w14:paraId="2FA06830"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69D834EC"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2953E5F8" w14:textId="1E5D319E"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"Комплексное развитие сельских территорий</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12AA3529"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441,4 </w:t>
            </w:r>
          </w:p>
        </w:tc>
        <w:tc>
          <w:tcPr>
            <w:tcW w:w="985" w:type="dxa"/>
            <w:tcBorders>
              <w:top w:val="nil"/>
              <w:left w:val="nil"/>
              <w:bottom w:val="single" w:sz="4" w:space="0" w:color="auto"/>
              <w:right w:val="single" w:sz="4" w:space="0" w:color="auto"/>
            </w:tcBorders>
            <w:shd w:val="clear" w:color="auto" w:fill="auto"/>
            <w:vAlign w:val="center"/>
            <w:hideMark/>
          </w:tcPr>
          <w:p w14:paraId="26C6261C"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878,7 </w:t>
            </w:r>
          </w:p>
        </w:tc>
        <w:tc>
          <w:tcPr>
            <w:tcW w:w="1093" w:type="dxa"/>
            <w:tcBorders>
              <w:top w:val="nil"/>
              <w:left w:val="nil"/>
              <w:bottom w:val="single" w:sz="4" w:space="0" w:color="auto"/>
              <w:right w:val="single" w:sz="4" w:space="0" w:color="auto"/>
            </w:tcBorders>
            <w:shd w:val="clear" w:color="auto" w:fill="auto"/>
            <w:vAlign w:val="center"/>
            <w:hideMark/>
          </w:tcPr>
          <w:p w14:paraId="1AB0CD33"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437,4 </w:t>
            </w:r>
          </w:p>
        </w:tc>
        <w:tc>
          <w:tcPr>
            <w:tcW w:w="851" w:type="dxa"/>
            <w:tcBorders>
              <w:top w:val="nil"/>
              <w:left w:val="nil"/>
              <w:bottom w:val="single" w:sz="4" w:space="0" w:color="auto"/>
              <w:right w:val="double" w:sz="6" w:space="0" w:color="auto"/>
            </w:tcBorders>
            <w:shd w:val="clear" w:color="auto" w:fill="auto"/>
            <w:vAlign w:val="center"/>
            <w:hideMark/>
          </w:tcPr>
          <w:p w14:paraId="0BBCECE1"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99,1 </w:t>
            </w:r>
          </w:p>
        </w:tc>
      </w:tr>
      <w:tr w:rsidR="00FD7B0B" w:rsidRPr="00FD7B0B" w14:paraId="4174E221"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162CC47" w14:textId="111A7AC2"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"Развитие физической культуры и спорта в</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26439C7B"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538,9 </w:t>
            </w:r>
          </w:p>
        </w:tc>
        <w:tc>
          <w:tcPr>
            <w:tcW w:w="985" w:type="dxa"/>
            <w:tcBorders>
              <w:top w:val="nil"/>
              <w:left w:val="nil"/>
              <w:bottom w:val="single" w:sz="4" w:space="0" w:color="auto"/>
              <w:right w:val="single" w:sz="4" w:space="0" w:color="auto"/>
            </w:tcBorders>
            <w:shd w:val="clear" w:color="auto" w:fill="auto"/>
            <w:vAlign w:val="center"/>
            <w:hideMark/>
          </w:tcPr>
          <w:p w14:paraId="0AD6E89D"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283,3 </w:t>
            </w:r>
          </w:p>
        </w:tc>
        <w:tc>
          <w:tcPr>
            <w:tcW w:w="1093" w:type="dxa"/>
            <w:tcBorders>
              <w:top w:val="nil"/>
              <w:left w:val="nil"/>
              <w:bottom w:val="single" w:sz="4" w:space="0" w:color="auto"/>
              <w:right w:val="single" w:sz="4" w:space="0" w:color="auto"/>
            </w:tcBorders>
            <w:shd w:val="clear" w:color="auto" w:fill="auto"/>
            <w:vAlign w:val="center"/>
            <w:hideMark/>
          </w:tcPr>
          <w:p w14:paraId="71A67EE9"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-255,6 </w:t>
            </w:r>
          </w:p>
        </w:tc>
        <w:tc>
          <w:tcPr>
            <w:tcW w:w="851" w:type="dxa"/>
            <w:tcBorders>
              <w:top w:val="nil"/>
              <w:left w:val="nil"/>
              <w:bottom w:val="single" w:sz="4" w:space="0" w:color="auto"/>
              <w:right w:val="double" w:sz="6" w:space="0" w:color="auto"/>
            </w:tcBorders>
            <w:shd w:val="clear" w:color="auto" w:fill="auto"/>
            <w:vAlign w:val="center"/>
            <w:hideMark/>
          </w:tcPr>
          <w:p w14:paraId="1B5FB379"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-47,4 </w:t>
            </w:r>
          </w:p>
        </w:tc>
      </w:tr>
      <w:tr w:rsidR="00FD7B0B" w:rsidRPr="00FD7B0B" w14:paraId="4B09FF26"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35EC84C0" w14:textId="080A6A55" w:rsidR="00B420A9" w:rsidRPr="00FD7B0B" w:rsidRDefault="00F2064A" w:rsidP="00904963">
            <w:pPr>
              <w:spacing w:after="0" w:line="240" w:lineRule="auto"/>
              <w:rPr>
                <w:rFonts w:ascii="Times New Roman" w:hAnsi="Times New Roman" w:cs="Times New Roman"/>
              </w:rPr>
            </w:pPr>
            <w:r w:rsidRPr="00FD7B0B">
              <w:rPr>
                <w:rFonts w:ascii="Times New Roman" w:hAnsi="Times New Roman" w:cs="Times New Roman"/>
              </w:rPr>
              <w:t>"Молодежь Поморья"</w:t>
            </w:r>
          </w:p>
        </w:tc>
        <w:tc>
          <w:tcPr>
            <w:tcW w:w="1040" w:type="dxa"/>
            <w:tcBorders>
              <w:top w:val="nil"/>
              <w:left w:val="nil"/>
              <w:bottom w:val="single" w:sz="4" w:space="0" w:color="auto"/>
              <w:right w:val="single" w:sz="4" w:space="0" w:color="auto"/>
            </w:tcBorders>
            <w:shd w:val="clear" w:color="auto" w:fill="auto"/>
            <w:vAlign w:val="center"/>
            <w:hideMark/>
          </w:tcPr>
          <w:p w14:paraId="4DAD880D"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49,6 </w:t>
            </w:r>
          </w:p>
        </w:tc>
        <w:tc>
          <w:tcPr>
            <w:tcW w:w="985" w:type="dxa"/>
            <w:tcBorders>
              <w:top w:val="nil"/>
              <w:left w:val="nil"/>
              <w:bottom w:val="single" w:sz="4" w:space="0" w:color="auto"/>
              <w:right w:val="single" w:sz="4" w:space="0" w:color="auto"/>
            </w:tcBorders>
            <w:shd w:val="clear" w:color="auto" w:fill="auto"/>
            <w:vAlign w:val="center"/>
            <w:hideMark/>
          </w:tcPr>
          <w:p w14:paraId="15492D72"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74,9 </w:t>
            </w:r>
          </w:p>
        </w:tc>
        <w:tc>
          <w:tcPr>
            <w:tcW w:w="1093" w:type="dxa"/>
            <w:tcBorders>
              <w:top w:val="nil"/>
              <w:left w:val="nil"/>
              <w:bottom w:val="single" w:sz="4" w:space="0" w:color="auto"/>
              <w:right w:val="single" w:sz="4" w:space="0" w:color="auto"/>
            </w:tcBorders>
            <w:shd w:val="clear" w:color="auto" w:fill="auto"/>
            <w:vAlign w:val="center"/>
            <w:hideMark/>
          </w:tcPr>
          <w:p w14:paraId="33613645"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25,2 </w:t>
            </w:r>
          </w:p>
        </w:tc>
        <w:tc>
          <w:tcPr>
            <w:tcW w:w="851" w:type="dxa"/>
            <w:tcBorders>
              <w:top w:val="nil"/>
              <w:left w:val="nil"/>
              <w:bottom w:val="single" w:sz="4" w:space="0" w:color="auto"/>
              <w:right w:val="double" w:sz="6" w:space="0" w:color="auto"/>
            </w:tcBorders>
            <w:shd w:val="clear" w:color="auto" w:fill="auto"/>
            <w:vAlign w:val="center"/>
            <w:hideMark/>
          </w:tcPr>
          <w:p w14:paraId="336BD653"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50,9 </w:t>
            </w:r>
          </w:p>
        </w:tc>
      </w:tr>
      <w:tr w:rsidR="00FD7B0B" w:rsidRPr="00FD7B0B" w14:paraId="7FA10F56"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1C3CD524" w14:textId="2BF94301"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"Управление государственным имуществом и земельными ресурсами</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64C97D26"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20,2 </w:t>
            </w:r>
          </w:p>
        </w:tc>
        <w:tc>
          <w:tcPr>
            <w:tcW w:w="985" w:type="dxa"/>
            <w:tcBorders>
              <w:top w:val="nil"/>
              <w:left w:val="nil"/>
              <w:bottom w:val="single" w:sz="4" w:space="0" w:color="auto"/>
              <w:right w:val="single" w:sz="4" w:space="0" w:color="auto"/>
            </w:tcBorders>
            <w:shd w:val="clear" w:color="auto" w:fill="auto"/>
            <w:vAlign w:val="center"/>
            <w:hideMark/>
          </w:tcPr>
          <w:p w14:paraId="20D3080D"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20,4 </w:t>
            </w:r>
          </w:p>
        </w:tc>
        <w:tc>
          <w:tcPr>
            <w:tcW w:w="1093" w:type="dxa"/>
            <w:tcBorders>
              <w:top w:val="nil"/>
              <w:left w:val="nil"/>
              <w:bottom w:val="single" w:sz="4" w:space="0" w:color="auto"/>
              <w:right w:val="single" w:sz="4" w:space="0" w:color="auto"/>
            </w:tcBorders>
            <w:shd w:val="clear" w:color="auto" w:fill="auto"/>
            <w:vAlign w:val="center"/>
            <w:hideMark/>
          </w:tcPr>
          <w:p w14:paraId="5AE8AE1E"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0,3 </w:t>
            </w:r>
          </w:p>
        </w:tc>
        <w:tc>
          <w:tcPr>
            <w:tcW w:w="851" w:type="dxa"/>
            <w:tcBorders>
              <w:top w:val="nil"/>
              <w:left w:val="nil"/>
              <w:bottom w:val="single" w:sz="4" w:space="0" w:color="auto"/>
              <w:right w:val="double" w:sz="6" w:space="0" w:color="auto"/>
            </w:tcBorders>
            <w:shd w:val="clear" w:color="auto" w:fill="auto"/>
            <w:vAlign w:val="center"/>
            <w:hideMark/>
          </w:tcPr>
          <w:p w14:paraId="2B6C951C"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1,3 </w:t>
            </w:r>
          </w:p>
        </w:tc>
      </w:tr>
      <w:tr w:rsidR="00FD7B0B" w:rsidRPr="00FD7B0B" w14:paraId="1E910590"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0019D3EC" w14:textId="65568A71"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"Экономическое развитие и инвестиционная деятельность в</w:t>
            </w:r>
            <w:r w:rsidR="00F2064A" w:rsidRPr="00FD7B0B">
              <w:rPr>
                <w:rFonts w:ascii="Times New Roman" w:hAnsi="Times New Roman" w:cs="Times New Roman"/>
              </w:rPr>
              <w:t xml:space="preserve"> Архангельской области"</w:t>
            </w:r>
          </w:p>
        </w:tc>
        <w:tc>
          <w:tcPr>
            <w:tcW w:w="1040" w:type="dxa"/>
            <w:tcBorders>
              <w:top w:val="nil"/>
              <w:left w:val="nil"/>
              <w:bottom w:val="single" w:sz="4" w:space="0" w:color="auto"/>
              <w:right w:val="single" w:sz="4" w:space="0" w:color="auto"/>
            </w:tcBorders>
            <w:shd w:val="clear" w:color="auto" w:fill="auto"/>
            <w:vAlign w:val="center"/>
            <w:hideMark/>
          </w:tcPr>
          <w:p w14:paraId="79E3A3AD"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9,3 </w:t>
            </w:r>
          </w:p>
        </w:tc>
        <w:tc>
          <w:tcPr>
            <w:tcW w:w="985" w:type="dxa"/>
            <w:tcBorders>
              <w:top w:val="nil"/>
              <w:left w:val="nil"/>
              <w:bottom w:val="single" w:sz="4" w:space="0" w:color="auto"/>
              <w:right w:val="single" w:sz="4" w:space="0" w:color="auto"/>
            </w:tcBorders>
            <w:shd w:val="clear" w:color="auto" w:fill="auto"/>
            <w:vAlign w:val="center"/>
            <w:hideMark/>
          </w:tcPr>
          <w:p w14:paraId="2D0B24BA"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417,1 </w:t>
            </w:r>
          </w:p>
        </w:tc>
        <w:tc>
          <w:tcPr>
            <w:tcW w:w="1093" w:type="dxa"/>
            <w:tcBorders>
              <w:top w:val="nil"/>
              <w:left w:val="nil"/>
              <w:bottom w:val="single" w:sz="4" w:space="0" w:color="auto"/>
              <w:right w:val="single" w:sz="4" w:space="0" w:color="auto"/>
            </w:tcBorders>
            <w:shd w:val="clear" w:color="auto" w:fill="auto"/>
            <w:vAlign w:val="center"/>
            <w:hideMark/>
          </w:tcPr>
          <w:p w14:paraId="1F8CC505"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407,7 </w:t>
            </w:r>
          </w:p>
        </w:tc>
        <w:tc>
          <w:tcPr>
            <w:tcW w:w="851" w:type="dxa"/>
            <w:tcBorders>
              <w:top w:val="nil"/>
              <w:left w:val="nil"/>
              <w:bottom w:val="single" w:sz="4" w:space="0" w:color="auto"/>
              <w:right w:val="double" w:sz="6" w:space="0" w:color="auto"/>
            </w:tcBorders>
            <w:shd w:val="clear" w:color="auto" w:fill="auto"/>
            <w:vAlign w:val="center"/>
            <w:hideMark/>
          </w:tcPr>
          <w:p w14:paraId="766F154C"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в 44,6 раза</w:t>
            </w:r>
          </w:p>
        </w:tc>
      </w:tr>
      <w:tr w:rsidR="00FD7B0B" w:rsidRPr="00FD7B0B" w14:paraId="73F9C869"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0FC5CCDF" w14:textId="440A04AA" w:rsidR="00B420A9" w:rsidRPr="00FD7B0B" w:rsidRDefault="00B420A9" w:rsidP="00254AE7">
            <w:pPr>
              <w:spacing w:after="0" w:line="240" w:lineRule="auto"/>
              <w:rPr>
                <w:rFonts w:ascii="Times New Roman" w:hAnsi="Times New Roman" w:cs="Times New Roman"/>
              </w:rPr>
            </w:pPr>
            <w:r w:rsidRPr="00FD7B0B">
              <w:rPr>
                <w:rFonts w:ascii="Times New Roman" w:hAnsi="Times New Roman" w:cs="Times New Roman"/>
              </w:rPr>
              <w:t xml:space="preserve">Рег. прогр. </w:t>
            </w:r>
            <w:r w:rsidR="00254AE7" w:rsidRPr="00FD7B0B">
              <w:rPr>
                <w:rFonts w:ascii="Times New Roman" w:hAnsi="Times New Roman" w:cs="Times New Roman"/>
              </w:rPr>
              <w:t>«</w:t>
            </w:r>
            <w:r w:rsidRPr="00FD7B0B">
              <w:rPr>
                <w:rFonts w:ascii="Times New Roman" w:hAnsi="Times New Roman" w:cs="Times New Roman"/>
              </w:rPr>
              <w:t>Модернизация систем коммунальной ин</w:t>
            </w:r>
            <w:r w:rsidR="00254AE7" w:rsidRPr="00FD7B0B">
              <w:rPr>
                <w:rFonts w:ascii="Times New Roman" w:hAnsi="Times New Roman" w:cs="Times New Roman"/>
              </w:rPr>
              <w:t>фраструктуры (2023 ‒ 2027 годы)»</w:t>
            </w:r>
          </w:p>
        </w:tc>
        <w:tc>
          <w:tcPr>
            <w:tcW w:w="1040" w:type="dxa"/>
            <w:tcBorders>
              <w:top w:val="nil"/>
              <w:left w:val="nil"/>
              <w:bottom w:val="single" w:sz="4" w:space="0" w:color="auto"/>
              <w:right w:val="single" w:sz="4" w:space="0" w:color="auto"/>
            </w:tcBorders>
            <w:shd w:val="clear" w:color="auto" w:fill="auto"/>
            <w:vAlign w:val="center"/>
            <w:hideMark/>
          </w:tcPr>
          <w:p w14:paraId="32514CB2"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221,1 </w:t>
            </w:r>
          </w:p>
        </w:tc>
        <w:tc>
          <w:tcPr>
            <w:tcW w:w="985" w:type="dxa"/>
            <w:tcBorders>
              <w:top w:val="nil"/>
              <w:left w:val="nil"/>
              <w:bottom w:val="single" w:sz="4" w:space="0" w:color="auto"/>
              <w:right w:val="single" w:sz="4" w:space="0" w:color="auto"/>
            </w:tcBorders>
            <w:shd w:val="clear" w:color="auto" w:fill="auto"/>
            <w:vAlign w:val="center"/>
            <w:hideMark/>
          </w:tcPr>
          <w:p w14:paraId="73F81FA7"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93" w:type="dxa"/>
            <w:tcBorders>
              <w:top w:val="nil"/>
              <w:left w:val="nil"/>
              <w:bottom w:val="single" w:sz="4" w:space="0" w:color="auto"/>
              <w:right w:val="single" w:sz="4" w:space="0" w:color="auto"/>
            </w:tcBorders>
            <w:shd w:val="clear" w:color="auto" w:fill="auto"/>
            <w:vAlign w:val="center"/>
            <w:hideMark/>
          </w:tcPr>
          <w:p w14:paraId="10E34574"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-221,1 </w:t>
            </w:r>
          </w:p>
        </w:tc>
        <w:tc>
          <w:tcPr>
            <w:tcW w:w="851" w:type="dxa"/>
            <w:tcBorders>
              <w:top w:val="nil"/>
              <w:left w:val="nil"/>
              <w:bottom w:val="single" w:sz="4" w:space="0" w:color="auto"/>
              <w:right w:val="double" w:sz="6" w:space="0" w:color="auto"/>
            </w:tcBorders>
            <w:shd w:val="clear" w:color="auto" w:fill="auto"/>
            <w:vAlign w:val="center"/>
            <w:hideMark/>
          </w:tcPr>
          <w:p w14:paraId="79EC2950"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2ED570B0"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04F8DBA0" w14:textId="4F61D203" w:rsidR="00B420A9" w:rsidRPr="00FD7B0B" w:rsidRDefault="00B420A9" w:rsidP="00254AE7">
            <w:pPr>
              <w:spacing w:after="0" w:line="240" w:lineRule="auto"/>
              <w:rPr>
                <w:rFonts w:ascii="Times New Roman" w:hAnsi="Times New Roman" w:cs="Times New Roman"/>
              </w:rPr>
            </w:pPr>
            <w:r w:rsidRPr="00FD7B0B">
              <w:rPr>
                <w:rFonts w:ascii="Times New Roman" w:hAnsi="Times New Roman" w:cs="Times New Roman"/>
              </w:rPr>
              <w:t xml:space="preserve">АП </w:t>
            </w:r>
            <w:r w:rsidR="00254AE7" w:rsidRPr="00FD7B0B">
              <w:rPr>
                <w:rFonts w:ascii="Times New Roman" w:hAnsi="Times New Roman" w:cs="Times New Roman"/>
              </w:rPr>
              <w:t>«</w:t>
            </w:r>
            <w:r w:rsidRPr="00FD7B0B">
              <w:rPr>
                <w:rFonts w:ascii="Times New Roman" w:hAnsi="Times New Roman" w:cs="Times New Roman"/>
              </w:rPr>
              <w:t>Переселение граждан из аварийного жилищного фонда на 2019 – 2025 годы</w:t>
            </w:r>
            <w:r w:rsidR="00254AE7" w:rsidRPr="00FD7B0B">
              <w:rPr>
                <w:rFonts w:ascii="Times New Roman" w:hAnsi="Times New Roman" w:cs="Times New Roman"/>
              </w:rPr>
              <w:t>»</w:t>
            </w:r>
          </w:p>
        </w:tc>
        <w:tc>
          <w:tcPr>
            <w:tcW w:w="1040" w:type="dxa"/>
            <w:tcBorders>
              <w:top w:val="nil"/>
              <w:left w:val="nil"/>
              <w:bottom w:val="single" w:sz="4" w:space="0" w:color="auto"/>
              <w:right w:val="single" w:sz="4" w:space="0" w:color="auto"/>
            </w:tcBorders>
            <w:shd w:val="clear" w:color="auto" w:fill="auto"/>
            <w:vAlign w:val="center"/>
            <w:hideMark/>
          </w:tcPr>
          <w:p w14:paraId="5A0E2B37"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1 086,0 </w:t>
            </w:r>
          </w:p>
        </w:tc>
        <w:tc>
          <w:tcPr>
            <w:tcW w:w="985" w:type="dxa"/>
            <w:tcBorders>
              <w:top w:val="nil"/>
              <w:left w:val="nil"/>
              <w:bottom w:val="single" w:sz="4" w:space="0" w:color="auto"/>
              <w:right w:val="single" w:sz="4" w:space="0" w:color="auto"/>
            </w:tcBorders>
            <w:shd w:val="clear" w:color="auto" w:fill="auto"/>
            <w:vAlign w:val="center"/>
            <w:hideMark/>
          </w:tcPr>
          <w:p w14:paraId="6C9CCF9E"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93" w:type="dxa"/>
            <w:tcBorders>
              <w:top w:val="nil"/>
              <w:left w:val="nil"/>
              <w:bottom w:val="single" w:sz="4" w:space="0" w:color="auto"/>
              <w:right w:val="single" w:sz="4" w:space="0" w:color="auto"/>
            </w:tcBorders>
            <w:shd w:val="clear" w:color="auto" w:fill="auto"/>
            <w:vAlign w:val="center"/>
            <w:hideMark/>
          </w:tcPr>
          <w:p w14:paraId="56D5DD27"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-1 086,0 </w:t>
            </w:r>
          </w:p>
        </w:tc>
        <w:tc>
          <w:tcPr>
            <w:tcW w:w="851" w:type="dxa"/>
            <w:tcBorders>
              <w:top w:val="nil"/>
              <w:left w:val="nil"/>
              <w:bottom w:val="single" w:sz="4" w:space="0" w:color="auto"/>
              <w:right w:val="double" w:sz="6" w:space="0" w:color="auto"/>
            </w:tcBorders>
            <w:shd w:val="clear" w:color="auto" w:fill="auto"/>
            <w:vAlign w:val="center"/>
            <w:hideMark/>
          </w:tcPr>
          <w:p w14:paraId="65920BA4"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B420A9" w:rsidRPr="00FD7B0B" w14:paraId="455D1DC7" w14:textId="77777777" w:rsidTr="00904963">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1CE777C0" w14:textId="77777777" w:rsidR="00B420A9" w:rsidRPr="00FD7B0B" w:rsidRDefault="00B420A9" w:rsidP="00904963">
            <w:pPr>
              <w:spacing w:after="0" w:line="240" w:lineRule="auto"/>
              <w:rPr>
                <w:rFonts w:ascii="Times New Roman" w:hAnsi="Times New Roman" w:cs="Times New Roman"/>
              </w:rPr>
            </w:pPr>
            <w:r w:rsidRPr="00FD7B0B">
              <w:rPr>
                <w:rFonts w:ascii="Times New Roman" w:hAnsi="Times New Roman" w:cs="Times New Roman"/>
              </w:rPr>
              <w:t>Итого</w:t>
            </w:r>
          </w:p>
        </w:tc>
        <w:tc>
          <w:tcPr>
            <w:tcW w:w="1040" w:type="dxa"/>
            <w:tcBorders>
              <w:top w:val="nil"/>
              <w:left w:val="nil"/>
              <w:bottom w:val="single" w:sz="4" w:space="0" w:color="auto"/>
              <w:right w:val="single" w:sz="4" w:space="0" w:color="auto"/>
            </w:tcBorders>
            <w:shd w:val="clear" w:color="auto" w:fill="auto"/>
            <w:vAlign w:val="center"/>
            <w:hideMark/>
          </w:tcPr>
          <w:p w14:paraId="76E9AFF4"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14 219,8 </w:t>
            </w:r>
          </w:p>
        </w:tc>
        <w:tc>
          <w:tcPr>
            <w:tcW w:w="985" w:type="dxa"/>
            <w:tcBorders>
              <w:top w:val="nil"/>
              <w:left w:val="nil"/>
              <w:bottom w:val="single" w:sz="4" w:space="0" w:color="auto"/>
              <w:right w:val="single" w:sz="4" w:space="0" w:color="auto"/>
            </w:tcBorders>
            <w:shd w:val="clear" w:color="auto" w:fill="auto"/>
            <w:vAlign w:val="center"/>
            <w:hideMark/>
          </w:tcPr>
          <w:p w14:paraId="7E100E1C"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5 430,7 </w:t>
            </w:r>
          </w:p>
        </w:tc>
        <w:tc>
          <w:tcPr>
            <w:tcW w:w="1093" w:type="dxa"/>
            <w:tcBorders>
              <w:top w:val="nil"/>
              <w:left w:val="nil"/>
              <w:bottom w:val="single" w:sz="4" w:space="0" w:color="auto"/>
              <w:right w:val="single" w:sz="4" w:space="0" w:color="auto"/>
            </w:tcBorders>
            <w:shd w:val="clear" w:color="auto" w:fill="auto"/>
            <w:vAlign w:val="center"/>
            <w:hideMark/>
          </w:tcPr>
          <w:p w14:paraId="48FA4CB8"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-8 789,0 </w:t>
            </w:r>
          </w:p>
        </w:tc>
        <w:tc>
          <w:tcPr>
            <w:tcW w:w="851" w:type="dxa"/>
            <w:tcBorders>
              <w:top w:val="nil"/>
              <w:left w:val="nil"/>
              <w:bottom w:val="single" w:sz="4" w:space="0" w:color="auto"/>
              <w:right w:val="double" w:sz="6" w:space="0" w:color="auto"/>
            </w:tcBorders>
            <w:shd w:val="clear" w:color="auto" w:fill="auto"/>
            <w:vAlign w:val="center"/>
            <w:hideMark/>
          </w:tcPr>
          <w:p w14:paraId="455E151F" w14:textId="77777777" w:rsidR="00B420A9" w:rsidRPr="00FD7B0B" w:rsidRDefault="00B420A9" w:rsidP="00904963">
            <w:pPr>
              <w:spacing w:after="0" w:line="240" w:lineRule="auto"/>
              <w:jc w:val="right"/>
              <w:rPr>
                <w:rFonts w:ascii="Times New Roman" w:hAnsi="Times New Roman" w:cs="Times New Roman"/>
              </w:rPr>
            </w:pPr>
            <w:r w:rsidRPr="00FD7B0B">
              <w:rPr>
                <w:rFonts w:ascii="Times New Roman" w:hAnsi="Times New Roman" w:cs="Times New Roman"/>
              </w:rPr>
              <w:t xml:space="preserve">-61,8 </w:t>
            </w:r>
          </w:p>
        </w:tc>
      </w:tr>
    </w:tbl>
    <w:p w14:paraId="117C0026" w14:textId="77777777" w:rsidR="00B420A9" w:rsidRPr="00FD7B0B" w:rsidRDefault="00B420A9" w:rsidP="00C46BE2">
      <w:pPr>
        <w:spacing w:after="0" w:line="240" w:lineRule="auto"/>
        <w:ind w:firstLine="709"/>
        <w:contextualSpacing/>
        <w:jc w:val="both"/>
        <w:rPr>
          <w:rFonts w:ascii="Times New Roman" w:eastAsia="Calibri" w:hAnsi="Times New Roman" w:cs="Times New Roman"/>
          <w:sz w:val="28"/>
          <w:szCs w:val="28"/>
          <w:lang w:eastAsia="ru-RU"/>
        </w:rPr>
      </w:pPr>
    </w:p>
    <w:p w14:paraId="5D1E7ADC" w14:textId="77777777" w:rsidR="00B420A9" w:rsidRPr="00FD7B0B" w:rsidRDefault="00B420A9" w:rsidP="00C46BE2">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lastRenderedPageBreak/>
        <w:t>Основное снижение сумм субсидий обусловлено тем, что в 2023 году в рамках реализации мероприятий государственной программы Архангельской области «Управление государственными финансами и государственным долгом Архангельской области» местным бюджетам предоставлена субсидия на софинансирование вопросов местного значения в размере 6 101,1 млн.руб., которая в бюджете на 2024 год не предусмотрена, а взамен её предоставляется дотация на поддержку мер по обеспечению сбалансированности местных бюджетов (4 722,9 млн.руб., см. выше).</w:t>
      </w:r>
    </w:p>
    <w:p w14:paraId="755C2794" w14:textId="77777777" w:rsidR="00B420A9" w:rsidRPr="00FD7B0B" w:rsidRDefault="00B420A9" w:rsidP="00C46BE2">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Субсидии на софинансирование капитальных вложений местным бюджетам за отчетный период перечислены в размере 2 940,1 млн.руб. или 99,9 % к плану года и на 43,8 % (-2 292,7 млн.руб.) меньше, чем составили аналогичные расходы за 2023 год, из них:</w:t>
      </w:r>
    </w:p>
    <w:p w14:paraId="6B675AEA" w14:textId="128CB2A3" w:rsidR="00B420A9" w:rsidRPr="00FD7B0B" w:rsidRDefault="00B420A9" w:rsidP="00F2064A">
      <w:pPr>
        <w:pStyle w:val="a8"/>
        <w:numPr>
          <w:ilvl w:val="0"/>
          <w:numId w:val="27"/>
        </w:numPr>
        <w:ind w:left="0" w:firstLine="698"/>
        <w:jc w:val="both"/>
        <w:rPr>
          <w:sz w:val="28"/>
          <w:szCs w:val="28"/>
        </w:rPr>
      </w:pPr>
      <w:r w:rsidRPr="00FD7B0B">
        <w:rPr>
          <w:sz w:val="28"/>
          <w:szCs w:val="28"/>
        </w:rPr>
        <w:t>расходы на обеспечение мероприятий по переселению граждан из аварийного жилищного фонда снизились на 892,1 млн.руб. или на 82,1 % (2023 г. – 1 086,0 млн.</w:t>
      </w:r>
      <w:r w:rsidR="00E4460B" w:rsidRPr="00FD7B0B">
        <w:rPr>
          <w:sz w:val="28"/>
          <w:szCs w:val="28"/>
        </w:rPr>
        <w:t>руб., 2024 г. – 892,1 млн.руб.);</w:t>
      </w:r>
    </w:p>
    <w:p w14:paraId="7717B07A" w14:textId="55B56827" w:rsidR="00B420A9" w:rsidRPr="00FD7B0B" w:rsidRDefault="00B420A9" w:rsidP="00F2064A">
      <w:pPr>
        <w:pStyle w:val="a8"/>
        <w:numPr>
          <w:ilvl w:val="0"/>
          <w:numId w:val="27"/>
        </w:numPr>
        <w:ind w:left="0" w:firstLine="698"/>
        <w:jc w:val="both"/>
        <w:rPr>
          <w:sz w:val="28"/>
          <w:szCs w:val="28"/>
        </w:rPr>
      </w:pPr>
      <w:r w:rsidRPr="00FD7B0B">
        <w:rPr>
          <w:sz w:val="28"/>
          <w:szCs w:val="28"/>
        </w:rPr>
        <w:t xml:space="preserve">по государственной программе Архангельской области «Развитие транспортной системы Архангельской области» расходы в виде субсидий местным бюджетам на капитальные вложения </w:t>
      </w:r>
      <w:r w:rsidR="00E4460B" w:rsidRPr="00FD7B0B">
        <w:rPr>
          <w:sz w:val="28"/>
          <w:szCs w:val="28"/>
        </w:rPr>
        <w:t>сократились</w:t>
      </w:r>
      <w:r w:rsidRPr="00FD7B0B">
        <w:rPr>
          <w:sz w:val="28"/>
          <w:szCs w:val="28"/>
        </w:rPr>
        <w:t xml:space="preserve"> на 1 234,0 млн.руб. (-62,3 %), из них на реализацию инфраструктурных проектов, источником финансового обеспечения которых являются бюджетные кредиты, предоставляемые из федерального бюджета на финансовое обеспечение реализации инфраструктурных проектов – </w:t>
      </w:r>
      <w:r w:rsidR="00E4460B" w:rsidRPr="00FD7B0B">
        <w:rPr>
          <w:sz w:val="28"/>
          <w:szCs w:val="28"/>
        </w:rPr>
        <w:t xml:space="preserve">сократились на 1 060,1 млн.руб. («минус» </w:t>
      </w:r>
      <w:r w:rsidRPr="00FD7B0B">
        <w:rPr>
          <w:sz w:val="28"/>
          <w:szCs w:val="28"/>
        </w:rPr>
        <w:t>58,7 %);</w:t>
      </w:r>
    </w:p>
    <w:p w14:paraId="62DA20B2" w14:textId="77777777" w:rsidR="00B420A9" w:rsidRPr="00FD7B0B" w:rsidRDefault="00B420A9" w:rsidP="00E4460B">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Консолидированные субсидии в отчетном периоде перечислены в размере 686,4 млн.руб. (99,8 % к плану года), что на 45,2 % (+213,6 млн.руб.) больше, чем в 2023 году.</w:t>
      </w:r>
    </w:p>
    <w:p w14:paraId="6525278D" w14:textId="77777777" w:rsidR="00B420A9" w:rsidRPr="00FD7B0B" w:rsidRDefault="00B420A9" w:rsidP="00534DE8">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Субсидии, за исключением субсидий на софинансирование капитальных вложений в объекты муниципальной собственности за отчетный период перечислены в размере 1 804,2 млн.руб. или 98,7 % к плану года, что на 78,8 % </w:t>
      </w:r>
      <w:r w:rsidRPr="00FD7B0B">
        <w:rPr>
          <w:rFonts w:ascii="Times New Roman" w:eastAsia="Calibri" w:hAnsi="Times New Roman" w:cs="Times New Roman"/>
          <w:sz w:val="28"/>
          <w:szCs w:val="28"/>
          <w:lang w:eastAsia="ru-RU"/>
        </w:rPr>
        <w:br/>
        <w:t>(-6 710,0 млн.руб.) меньше аналогичных расходов из областного бюджета за 2023 год.</w:t>
      </w:r>
    </w:p>
    <w:p w14:paraId="5D6B32B9" w14:textId="77777777" w:rsidR="00B420A9" w:rsidRPr="00FD7B0B" w:rsidRDefault="00B420A9" w:rsidP="005B4B25">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Иные межбюджетные трансферты бюджетам муниципальных образований за отчетный период перечислены в общей сумме 5 742,6 млн.руб., что составило 84,8 % к плану года.</w:t>
      </w:r>
    </w:p>
    <w:p w14:paraId="7485CFA0" w14:textId="26F29AD9" w:rsidR="00B420A9" w:rsidRPr="00FD7B0B" w:rsidRDefault="00B420A9" w:rsidP="005B4B25">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В разрезе государственных программ Архангельской области, непрограммных расходов областного бюджета и направлений использования, перечисленные в местные бюджеты отдельные виды иных межбюджетных трансфертов за 2023 и 2024 годы, представлены в таблице </w:t>
      </w:r>
      <w:r w:rsidR="004F0970" w:rsidRPr="00FD7B0B">
        <w:rPr>
          <w:rFonts w:ascii="Times New Roman" w:eastAsia="Calibri" w:hAnsi="Times New Roman" w:cs="Times New Roman"/>
          <w:sz w:val="28"/>
          <w:szCs w:val="28"/>
          <w:lang w:eastAsia="ru-RU"/>
        </w:rPr>
        <w:t>74</w:t>
      </w:r>
      <w:r w:rsidRPr="00FD7B0B">
        <w:rPr>
          <w:rFonts w:ascii="Times New Roman" w:eastAsia="Calibri" w:hAnsi="Times New Roman" w:cs="Times New Roman"/>
          <w:sz w:val="28"/>
          <w:szCs w:val="28"/>
          <w:lang w:eastAsia="ru-RU"/>
        </w:rPr>
        <w:t>.</w:t>
      </w:r>
    </w:p>
    <w:p w14:paraId="4C7B26F5" w14:textId="77777777" w:rsidR="00B420A9" w:rsidRPr="00FD7B0B" w:rsidRDefault="00B420A9" w:rsidP="005B4B25">
      <w:pPr>
        <w:spacing w:after="0" w:line="240" w:lineRule="auto"/>
        <w:rPr>
          <w:rFonts w:ascii="Times New Roman" w:eastAsia="Calibri" w:hAnsi="Times New Roman" w:cs="Times New Roman"/>
          <w:sz w:val="24"/>
          <w:szCs w:val="24"/>
        </w:rPr>
      </w:pPr>
    </w:p>
    <w:p w14:paraId="2B926C55" w14:textId="77777777" w:rsidR="00B420A9" w:rsidRPr="00FD7B0B" w:rsidRDefault="00B420A9" w:rsidP="005B4B25">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74</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Иные межбюджетные трансферты бюджетам муниципальных образований из областного бюджета за 2023 и 2024 годы, млн.руб.</w:t>
      </w:r>
    </w:p>
    <w:tbl>
      <w:tblPr>
        <w:tblW w:w="10052" w:type="dxa"/>
        <w:tblInd w:w="-449" w:type="dxa"/>
        <w:tblLayout w:type="fixed"/>
        <w:tblLook w:val="04A0" w:firstRow="1" w:lastRow="0" w:firstColumn="1" w:lastColumn="0" w:noHBand="0" w:noVBand="1"/>
      </w:tblPr>
      <w:tblGrid>
        <w:gridCol w:w="6388"/>
        <w:gridCol w:w="892"/>
        <w:gridCol w:w="899"/>
        <w:gridCol w:w="1044"/>
        <w:gridCol w:w="829"/>
      </w:tblGrid>
      <w:tr w:rsidR="00FD7B0B" w:rsidRPr="00FD7B0B" w14:paraId="683B6E21" w14:textId="77777777" w:rsidTr="00AF058B">
        <w:trPr>
          <w:trHeight w:val="50"/>
          <w:tblHeader/>
        </w:trPr>
        <w:tc>
          <w:tcPr>
            <w:tcW w:w="6388"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2B52BEDD" w14:textId="77777777" w:rsidR="00B420A9" w:rsidRPr="00FD7B0B" w:rsidRDefault="00B420A9" w:rsidP="005B4B25">
            <w:pPr>
              <w:spacing w:after="0" w:line="240" w:lineRule="auto"/>
              <w:jc w:val="center"/>
              <w:rPr>
                <w:rFonts w:ascii="Times New Roman" w:hAnsi="Times New Roman" w:cs="Times New Roman"/>
              </w:rPr>
            </w:pPr>
            <w:r w:rsidRPr="00FD7B0B">
              <w:rPr>
                <w:rFonts w:ascii="Times New Roman" w:hAnsi="Times New Roman" w:cs="Times New Roman"/>
              </w:rPr>
              <w:t>Наименование программы / непрограммных расходов</w:t>
            </w:r>
          </w:p>
        </w:tc>
        <w:tc>
          <w:tcPr>
            <w:tcW w:w="892"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070F0CA" w14:textId="77777777" w:rsidR="00B420A9" w:rsidRPr="00FD7B0B" w:rsidRDefault="00B420A9" w:rsidP="005B4B25">
            <w:pPr>
              <w:spacing w:after="0" w:line="240" w:lineRule="auto"/>
              <w:jc w:val="center"/>
              <w:rPr>
                <w:rFonts w:ascii="Times New Roman" w:hAnsi="Times New Roman" w:cs="Times New Roman"/>
              </w:rPr>
            </w:pPr>
            <w:r w:rsidRPr="00FD7B0B">
              <w:rPr>
                <w:rFonts w:ascii="Times New Roman" w:hAnsi="Times New Roman" w:cs="Times New Roman"/>
              </w:rPr>
              <w:t>2023 г.</w:t>
            </w:r>
          </w:p>
        </w:tc>
        <w:tc>
          <w:tcPr>
            <w:tcW w:w="89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7D23A52" w14:textId="77777777" w:rsidR="00B420A9" w:rsidRPr="00FD7B0B" w:rsidRDefault="00B420A9" w:rsidP="005B4B25">
            <w:pPr>
              <w:spacing w:after="0" w:line="240" w:lineRule="auto"/>
              <w:jc w:val="center"/>
              <w:rPr>
                <w:rFonts w:ascii="Times New Roman" w:hAnsi="Times New Roman" w:cs="Times New Roman"/>
              </w:rPr>
            </w:pPr>
            <w:r w:rsidRPr="00FD7B0B">
              <w:rPr>
                <w:rFonts w:ascii="Times New Roman" w:hAnsi="Times New Roman" w:cs="Times New Roman"/>
              </w:rPr>
              <w:t>2024 г.</w:t>
            </w:r>
          </w:p>
        </w:tc>
        <w:tc>
          <w:tcPr>
            <w:tcW w:w="1873" w:type="dxa"/>
            <w:gridSpan w:val="2"/>
            <w:tcBorders>
              <w:top w:val="double" w:sz="4" w:space="0" w:color="auto"/>
              <w:left w:val="nil"/>
              <w:bottom w:val="single" w:sz="4" w:space="0" w:color="auto"/>
              <w:right w:val="double" w:sz="4" w:space="0" w:color="auto"/>
            </w:tcBorders>
            <w:shd w:val="clear" w:color="auto" w:fill="auto"/>
            <w:vAlign w:val="center"/>
            <w:hideMark/>
          </w:tcPr>
          <w:p w14:paraId="47141376" w14:textId="77777777" w:rsidR="00B420A9" w:rsidRPr="00FD7B0B" w:rsidRDefault="00B420A9" w:rsidP="005B4B25">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50B93DAD" w14:textId="77777777" w:rsidTr="00AF058B">
        <w:trPr>
          <w:trHeight w:val="35"/>
          <w:tblHeader/>
        </w:trPr>
        <w:tc>
          <w:tcPr>
            <w:tcW w:w="6388" w:type="dxa"/>
            <w:vMerge/>
            <w:tcBorders>
              <w:top w:val="double" w:sz="6" w:space="0" w:color="auto"/>
              <w:left w:val="double" w:sz="4" w:space="0" w:color="auto"/>
              <w:bottom w:val="single" w:sz="4" w:space="0" w:color="auto"/>
              <w:right w:val="single" w:sz="4" w:space="0" w:color="auto"/>
            </w:tcBorders>
            <w:shd w:val="clear" w:color="auto" w:fill="auto"/>
            <w:vAlign w:val="center"/>
            <w:hideMark/>
          </w:tcPr>
          <w:p w14:paraId="4AFCE724" w14:textId="77777777" w:rsidR="00B420A9" w:rsidRPr="00FD7B0B" w:rsidRDefault="00B420A9" w:rsidP="005B4B25">
            <w:pPr>
              <w:spacing w:after="0" w:line="240" w:lineRule="auto"/>
              <w:jc w:val="center"/>
              <w:rPr>
                <w:rFonts w:ascii="Times New Roman" w:hAnsi="Times New Roman" w:cs="Times New Roman"/>
              </w:rPr>
            </w:pPr>
          </w:p>
        </w:tc>
        <w:tc>
          <w:tcPr>
            <w:tcW w:w="892"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633C3348" w14:textId="77777777" w:rsidR="00B420A9" w:rsidRPr="00FD7B0B" w:rsidRDefault="00B420A9" w:rsidP="005B4B25">
            <w:pPr>
              <w:spacing w:after="0" w:line="240" w:lineRule="auto"/>
              <w:jc w:val="center"/>
              <w:rPr>
                <w:rFonts w:ascii="Times New Roman" w:hAnsi="Times New Roman" w:cs="Times New Roman"/>
              </w:rPr>
            </w:pPr>
          </w:p>
        </w:tc>
        <w:tc>
          <w:tcPr>
            <w:tcW w:w="899"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17883DE1" w14:textId="77777777" w:rsidR="00B420A9" w:rsidRPr="00FD7B0B" w:rsidRDefault="00B420A9" w:rsidP="005B4B25">
            <w:pPr>
              <w:spacing w:after="0" w:line="240" w:lineRule="auto"/>
              <w:jc w:val="center"/>
              <w:rPr>
                <w:rFonts w:ascii="Times New Roman" w:hAnsi="Times New Roman" w:cs="Times New Roman"/>
              </w:rPr>
            </w:pPr>
          </w:p>
        </w:tc>
        <w:tc>
          <w:tcPr>
            <w:tcW w:w="1044" w:type="dxa"/>
            <w:tcBorders>
              <w:top w:val="nil"/>
              <w:left w:val="nil"/>
              <w:bottom w:val="single" w:sz="4" w:space="0" w:color="auto"/>
              <w:right w:val="single" w:sz="4" w:space="0" w:color="auto"/>
            </w:tcBorders>
            <w:shd w:val="clear" w:color="auto" w:fill="auto"/>
            <w:vAlign w:val="center"/>
            <w:hideMark/>
          </w:tcPr>
          <w:p w14:paraId="60BAA9B7" w14:textId="77777777" w:rsidR="00B420A9" w:rsidRPr="00FD7B0B" w:rsidRDefault="00B420A9" w:rsidP="005B4B25">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29" w:type="dxa"/>
            <w:tcBorders>
              <w:top w:val="nil"/>
              <w:left w:val="nil"/>
              <w:bottom w:val="single" w:sz="4" w:space="0" w:color="auto"/>
              <w:right w:val="double" w:sz="4" w:space="0" w:color="auto"/>
            </w:tcBorders>
            <w:shd w:val="clear" w:color="auto" w:fill="auto"/>
            <w:vAlign w:val="center"/>
            <w:hideMark/>
          </w:tcPr>
          <w:p w14:paraId="740DCE88" w14:textId="7358F576" w:rsidR="00B420A9" w:rsidRPr="00FD7B0B" w:rsidRDefault="00B420A9" w:rsidP="005B4B25">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374DA366"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6D8002DE"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"Развитие образования и науки Архангельской области",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62FAE380"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1 401,9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4DF6923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1 766,5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07545DB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364,7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4A9AFFA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26,0 </w:t>
            </w:r>
          </w:p>
        </w:tc>
      </w:tr>
      <w:tr w:rsidR="00FD7B0B" w:rsidRPr="00FD7B0B" w14:paraId="2B651507"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381D0845"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Реализация мероприятий по модернизации школьных систем образования</w:t>
            </w:r>
          </w:p>
        </w:tc>
        <w:tc>
          <w:tcPr>
            <w:tcW w:w="892" w:type="dxa"/>
            <w:tcBorders>
              <w:top w:val="nil"/>
              <w:left w:val="nil"/>
              <w:bottom w:val="single" w:sz="4" w:space="0" w:color="auto"/>
              <w:right w:val="single" w:sz="4" w:space="0" w:color="auto"/>
            </w:tcBorders>
            <w:shd w:val="clear" w:color="auto" w:fill="auto"/>
            <w:vAlign w:val="center"/>
            <w:hideMark/>
          </w:tcPr>
          <w:p w14:paraId="4CD3233F"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1 134,9 </w:t>
            </w:r>
          </w:p>
        </w:tc>
        <w:tc>
          <w:tcPr>
            <w:tcW w:w="899" w:type="dxa"/>
            <w:tcBorders>
              <w:top w:val="nil"/>
              <w:left w:val="nil"/>
              <w:bottom w:val="single" w:sz="4" w:space="0" w:color="auto"/>
              <w:right w:val="single" w:sz="4" w:space="0" w:color="auto"/>
            </w:tcBorders>
            <w:shd w:val="clear" w:color="auto" w:fill="auto"/>
            <w:vAlign w:val="center"/>
            <w:hideMark/>
          </w:tcPr>
          <w:p w14:paraId="5AFBFC1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1 553,3 </w:t>
            </w:r>
          </w:p>
        </w:tc>
        <w:tc>
          <w:tcPr>
            <w:tcW w:w="1044" w:type="dxa"/>
            <w:tcBorders>
              <w:top w:val="nil"/>
              <w:left w:val="nil"/>
              <w:bottom w:val="single" w:sz="4" w:space="0" w:color="auto"/>
              <w:right w:val="single" w:sz="4" w:space="0" w:color="auto"/>
            </w:tcBorders>
            <w:shd w:val="clear" w:color="auto" w:fill="auto"/>
            <w:vAlign w:val="center"/>
            <w:hideMark/>
          </w:tcPr>
          <w:p w14:paraId="100377F2"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418,4 </w:t>
            </w:r>
          </w:p>
        </w:tc>
        <w:tc>
          <w:tcPr>
            <w:tcW w:w="829" w:type="dxa"/>
            <w:tcBorders>
              <w:top w:val="nil"/>
              <w:left w:val="nil"/>
              <w:bottom w:val="single" w:sz="4" w:space="0" w:color="auto"/>
              <w:right w:val="double" w:sz="4" w:space="0" w:color="auto"/>
            </w:tcBorders>
            <w:shd w:val="clear" w:color="auto" w:fill="auto"/>
            <w:vAlign w:val="center"/>
            <w:hideMark/>
          </w:tcPr>
          <w:p w14:paraId="701D341C"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36,9 </w:t>
            </w:r>
          </w:p>
        </w:tc>
      </w:tr>
      <w:tr w:rsidR="00FD7B0B" w:rsidRPr="00FD7B0B" w14:paraId="4BB0F7BF"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5FE474F3"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lastRenderedPageBreak/>
              <w:t>"Социальная поддержка граждан в Архангельской области",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5A676C1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5,3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4CAA71B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2,3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41D95EA2"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-3,0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4B104EEF"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-56,8 </w:t>
            </w:r>
          </w:p>
        </w:tc>
      </w:tr>
      <w:tr w:rsidR="00FD7B0B" w:rsidRPr="00FD7B0B" w14:paraId="6899505B" w14:textId="77777777" w:rsidTr="00AF058B">
        <w:trPr>
          <w:trHeight w:val="399"/>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5F1D3AD1" w14:textId="4357E99B" w:rsidR="00B420A9" w:rsidRPr="00FD7B0B" w:rsidRDefault="00B420A9" w:rsidP="002779ED">
            <w:pPr>
              <w:spacing w:after="0" w:line="240" w:lineRule="auto"/>
              <w:rPr>
                <w:rFonts w:ascii="Times New Roman" w:hAnsi="Times New Roman" w:cs="Times New Roman"/>
              </w:rPr>
            </w:pPr>
            <w:r w:rsidRPr="00FD7B0B">
              <w:rPr>
                <w:rFonts w:ascii="Times New Roman" w:hAnsi="Times New Roman" w:cs="Times New Roman"/>
              </w:rPr>
              <w:t>Обеспечение равной доступности услуг общественного транспорта (статьи 2 и 4 Федерального закона от 12.01.1995 № 5</w:t>
            </w:r>
            <w:r w:rsidR="002779ED" w:rsidRPr="00FD7B0B">
              <w:rPr>
                <w:rFonts w:ascii="Times New Roman" w:hAnsi="Times New Roman" w:cs="Times New Roman"/>
              </w:rPr>
              <w:noBreakHyphen/>
            </w:r>
            <w:r w:rsidRPr="00FD7B0B">
              <w:rPr>
                <w:rFonts w:ascii="Times New Roman" w:hAnsi="Times New Roman" w:cs="Times New Roman"/>
              </w:rPr>
              <w:t>ФЗ "О ветеранах")</w:t>
            </w:r>
          </w:p>
        </w:tc>
        <w:tc>
          <w:tcPr>
            <w:tcW w:w="892" w:type="dxa"/>
            <w:tcBorders>
              <w:top w:val="nil"/>
              <w:left w:val="nil"/>
              <w:bottom w:val="single" w:sz="4" w:space="0" w:color="auto"/>
              <w:right w:val="single" w:sz="4" w:space="0" w:color="auto"/>
            </w:tcBorders>
            <w:shd w:val="clear" w:color="auto" w:fill="auto"/>
            <w:vAlign w:val="center"/>
            <w:hideMark/>
          </w:tcPr>
          <w:p w14:paraId="7F665B5C"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5,3 </w:t>
            </w:r>
          </w:p>
        </w:tc>
        <w:tc>
          <w:tcPr>
            <w:tcW w:w="899" w:type="dxa"/>
            <w:tcBorders>
              <w:top w:val="nil"/>
              <w:left w:val="nil"/>
              <w:bottom w:val="single" w:sz="4" w:space="0" w:color="auto"/>
              <w:right w:val="single" w:sz="4" w:space="0" w:color="auto"/>
            </w:tcBorders>
            <w:shd w:val="clear" w:color="auto" w:fill="auto"/>
            <w:vAlign w:val="center"/>
            <w:hideMark/>
          </w:tcPr>
          <w:p w14:paraId="14CBC6C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2,3 </w:t>
            </w:r>
          </w:p>
        </w:tc>
        <w:tc>
          <w:tcPr>
            <w:tcW w:w="1044" w:type="dxa"/>
            <w:tcBorders>
              <w:top w:val="nil"/>
              <w:left w:val="nil"/>
              <w:bottom w:val="single" w:sz="4" w:space="0" w:color="auto"/>
              <w:right w:val="single" w:sz="4" w:space="0" w:color="auto"/>
            </w:tcBorders>
            <w:shd w:val="clear" w:color="auto" w:fill="auto"/>
            <w:vAlign w:val="center"/>
            <w:hideMark/>
          </w:tcPr>
          <w:p w14:paraId="689622A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-3,0 </w:t>
            </w:r>
          </w:p>
        </w:tc>
        <w:tc>
          <w:tcPr>
            <w:tcW w:w="829" w:type="dxa"/>
            <w:tcBorders>
              <w:top w:val="nil"/>
              <w:left w:val="nil"/>
              <w:bottom w:val="single" w:sz="4" w:space="0" w:color="auto"/>
              <w:right w:val="double" w:sz="4" w:space="0" w:color="auto"/>
            </w:tcBorders>
            <w:shd w:val="clear" w:color="auto" w:fill="auto"/>
            <w:vAlign w:val="center"/>
            <w:hideMark/>
          </w:tcPr>
          <w:p w14:paraId="62BC3064"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-56,8 </w:t>
            </w:r>
          </w:p>
        </w:tc>
      </w:tr>
      <w:tr w:rsidR="00FD7B0B" w:rsidRPr="00FD7B0B" w14:paraId="072AE774"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5CAC9FB4"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"Культура Русского Севера",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6577A4C4"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201,1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39F8CE04"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117,4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19044EFD"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-83,7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55570A1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-41,6 </w:t>
            </w:r>
          </w:p>
        </w:tc>
      </w:tr>
      <w:tr w:rsidR="00FD7B0B" w:rsidRPr="00FD7B0B" w14:paraId="133B5D3B"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13FE117A"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Реализация мероприятий по модернизации учреждений отрасли культуры</w:t>
            </w:r>
          </w:p>
        </w:tc>
        <w:tc>
          <w:tcPr>
            <w:tcW w:w="892" w:type="dxa"/>
            <w:tcBorders>
              <w:top w:val="nil"/>
              <w:left w:val="nil"/>
              <w:bottom w:val="single" w:sz="4" w:space="0" w:color="auto"/>
              <w:right w:val="single" w:sz="4" w:space="0" w:color="auto"/>
            </w:tcBorders>
            <w:shd w:val="clear" w:color="auto" w:fill="auto"/>
            <w:vAlign w:val="center"/>
            <w:hideMark/>
          </w:tcPr>
          <w:p w14:paraId="14F141FA"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111,1 </w:t>
            </w:r>
          </w:p>
        </w:tc>
        <w:tc>
          <w:tcPr>
            <w:tcW w:w="899" w:type="dxa"/>
            <w:tcBorders>
              <w:top w:val="nil"/>
              <w:left w:val="nil"/>
              <w:bottom w:val="single" w:sz="4" w:space="0" w:color="auto"/>
              <w:right w:val="single" w:sz="4" w:space="0" w:color="auto"/>
            </w:tcBorders>
            <w:shd w:val="clear" w:color="auto" w:fill="auto"/>
            <w:vAlign w:val="center"/>
            <w:hideMark/>
          </w:tcPr>
          <w:p w14:paraId="067CC055"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117,4 </w:t>
            </w:r>
          </w:p>
        </w:tc>
        <w:tc>
          <w:tcPr>
            <w:tcW w:w="1044" w:type="dxa"/>
            <w:tcBorders>
              <w:top w:val="nil"/>
              <w:left w:val="nil"/>
              <w:bottom w:val="single" w:sz="4" w:space="0" w:color="auto"/>
              <w:right w:val="single" w:sz="4" w:space="0" w:color="auto"/>
            </w:tcBorders>
            <w:shd w:val="clear" w:color="auto" w:fill="auto"/>
            <w:vAlign w:val="center"/>
            <w:hideMark/>
          </w:tcPr>
          <w:p w14:paraId="7AEB2C4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6,3 </w:t>
            </w:r>
          </w:p>
        </w:tc>
        <w:tc>
          <w:tcPr>
            <w:tcW w:w="829" w:type="dxa"/>
            <w:tcBorders>
              <w:top w:val="nil"/>
              <w:left w:val="nil"/>
              <w:bottom w:val="single" w:sz="4" w:space="0" w:color="auto"/>
              <w:right w:val="double" w:sz="4" w:space="0" w:color="auto"/>
            </w:tcBorders>
            <w:shd w:val="clear" w:color="auto" w:fill="auto"/>
            <w:vAlign w:val="center"/>
            <w:hideMark/>
          </w:tcPr>
          <w:p w14:paraId="2B0FABB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5,7 </w:t>
            </w:r>
          </w:p>
        </w:tc>
      </w:tr>
      <w:tr w:rsidR="00FD7B0B" w:rsidRPr="00FD7B0B" w14:paraId="5DCB7CB8"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67745A6D"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Обеспечение учреждений культуры автотранспортом</w:t>
            </w:r>
          </w:p>
        </w:tc>
        <w:tc>
          <w:tcPr>
            <w:tcW w:w="892" w:type="dxa"/>
            <w:tcBorders>
              <w:top w:val="nil"/>
              <w:left w:val="nil"/>
              <w:bottom w:val="single" w:sz="4" w:space="0" w:color="auto"/>
              <w:right w:val="single" w:sz="4" w:space="0" w:color="auto"/>
            </w:tcBorders>
            <w:shd w:val="clear" w:color="auto" w:fill="auto"/>
            <w:vAlign w:val="center"/>
            <w:hideMark/>
          </w:tcPr>
          <w:p w14:paraId="75BDF810"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55,0 </w:t>
            </w:r>
          </w:p>
        </w:tc>
        <w:tc>
          <w:tcPr>
            <w:tcW w:w="899" w:type="dxa"/>
            <w:tcBorders>
              <w:top w:val="nil"/>
              <w:left w:val="nil"/>
              <w:bottom w:val="single" w:sz="4" w:space="0" w:color="auto"/>
              <w:right w:val="single" w:sz="4" w:space="0" w:color="auto"/>
            </w:tcBorders>
            <w:shd w:val="clear" w:color="auto" w:fill="auto"/>
            <w:vAlign w:val="center"/>
            <w:hideMark/>
          </w:tcPr>
          <w:p w14:paraId="13E2704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44" w:type="dxa"/>
            <w:tcBorders>
              <w:top w:val="nil"/>
              <w:left w:val="nil"/>
              <w:bottom w:val="single" w:sz="4" w:space="0" w:color="auto"/>
              <w:right w:val="single" w:sz="4" w:space="0" w:color="auto"/>
            </w:tcBorders>
            <w:shd w:val="clear" w:color="auto" w:fill="auto"/>
            <w:vAlign w:val="center"/>
            <w:hideMark/>
          </w:tcPr>
          <w:p w14:paraId="70FB28CA"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-55,0 </w:t>
            </w:r>
          </w:p>
        </w:tc>
        <w:tc>
          <w:tcPr>
            <w:tcW w:w="829" w:type="dxa"/>
            <w:tcBorders>
              <w:top w:val="nil"/>
              <w:left w:val="nil"/>
              <w:bottom w:val="single" w:sz="4" w:space="0" w:color="auto"/>
              <w:right w:val="double" w:sz="4" w:space="0" w:color="auto"/>
            </w:tcBorders>
            <w:shd w:val="clear" w:color="auto" w:fill="auto"/>
            <w:vAlign w:val="center"/>
            <w:hideMark/>
          </w:tcPr>
          <w:p w14:paraId="6E58C005"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43A6F186" w14:textId="77777777" w:rsidTr="00AF058B">
        <w:trPr>
          <w:trHeight w:val="637"/>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3C09203A"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45262E4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70,5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64CA587F"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41B1DFE5"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-70,5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5FE7334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67FD5515" w14:textId="77777777" w:rsidTr="00AF058B">
        <w:trPr>
          <w:trHeight w:val="51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768C8D80"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Установка и обслуживание технических средств ограничения доступа в образовательные организации</w:t>
            </w:r>
          </w:p>
        </w:tc>
        <w:tc>
          <w:tcPr>
            <w:tcW w:w="892" w:type="dxa"/>
            <w:tcBorders>
              <w:top w:val="nil"/>
              <w:left w:val="nil"/>
              <w:bottom w:val="single" w:sz="4" w:space="0" w:color="auto"/>
              <w:right w:val="single" w:sz="4" w:space="0" w:color="auto"/>
            </w:tcBorders>
            <w:shd w:val="clear" w:color="auto" w:fill="auto"/>
            <w:vAlign w:val="center"/>
            <w:hideMark/>
          </w:tcPr>
          <w:p w14:paraId="091D4FF4"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37,5 </w:t>
            </w:r>
          </w:p>
        </w:tc>
        <w:tc>
          <w:tcPr>
            <w:tcW w:w="899" w:type="dxa"/>
            <w:tcBorders>
              <w:top w:val="nil"/>
              <w:left w:val="nil"/>
              <w:bottom w:val="single" w:sz="4" w:space="0" w:color="auto"/>
              <w:right w:val="single" w:sz="4" w:space="0" w:color="auto"/>
            </w:tcBorders>
            <w:shd w:val="clear" w:color="auto" w:fill="auto"/>
            <w:vAlign w:val="center"/>
            <w:hideMark/>
          </w:tcPr>
          <w:p w14:paraId="4490FF35"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44" w:type="dxa"/>
            <w:tcBorders>
              <w:top w:val="nil"/>
              <w:left w:val="nil"/>
              <w:bottom w:val="single" w:sz="4" w:space="0" w:color="auto"/>
              <w:right w:val="single" w:sz="4" w:space="0" w:color="auto"/>
            </w:tcBorders>
            <w:shd w:val="clear" w:color="auto" w:fill="auto"/>
            <w:vAlign w:val="center"/>
            <w:hideMark/>
          </w:tcPr>
          <w:p w14:paraId="099B7D9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-37,5 </w:t>
            </w:r>
          </w:p>
        </w:tc>
        <w:tc>
          <w:tcPr>
            <w:tcW w:w="829" w:type="dxa"/>
            <w:tcBorders>
              <w:top w:val="nil"/>
              <w:left w:val="nil"/>
              <w:bottom w:val="single" w:sz="4" w:space="0" w:color="auto"/>
              <w:right w:val="double" w:sz="4" w:space="0" w:color="auto"/>
            </w:tcBorders>
            <w:shd w:val="clear" w:color="auto" w:fill="auto"/>
            <w:vAlign w:val="center"/>
            <w:hideMark/>
          </w:tcPr>
          <w:p w14:paraId="2D2E659F"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74041BF6" w14:textId="77777777" w:rsidTr="00AF058B">
        <w:trPr>
          <w:trHeight w:val="51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7CB5FC0A" w14:textId="719DDA77" w:rsidR="00B420A9" w:rsidRPr="00FD7B0B" w:rsidRDefault="004E6D5C" w:rsidP="005B4B25">
            <w:pPr>
              <w:spacing w:after="0" w:line="240" w:lineRule="auto"/>
              <w:rPr>
                <w:rFonts w:ascii="Times New Roman" w:hAnsi="Times New Roman" w:cs="Times New Roman"/>
              </w:rPr>
            </w:pPr>
            <w:r w:rsidRPr="00FD7B0B">
              <w:rPr>
                <w:rFonts w:ascii="Times New Roman" w:hAnsi="Times New Roman" w:cs="Times New Roman"/>
              </w:rPr>
              <w:t>Р</w:t>
            </w:r>
            <w:r w:rsidR="00B420A9" w:rsidRPr="00FD7B0B">
              <w:rPr>
                <w:rFonts w:ascii="Times New Roman" w:hAnsi="Times New Roman" w:cs="Times New Roman"/>
              </w:rPr>
              <w:t>емонт объектов муниципальной собственности, используемых для осуществления мероприятий в сфере профилактики правонарушений</w:t>
            </w:r>
          </w:p>
        </w:tc>
        <w:tc>
          <w:tcPr>
            <w:tcW w:w="892" w:type="dxa"/>
            <w:tcBorders>
              <w:top w:val="nil"/>
              <w:left w:val="nil"/>
              <w:bottom w:val="single" w:sz="4" w:space="0" w:color="auto"/>
              <w:right w:val="single" w:sz="4" w:space="0" w:color="auto"/>
            </w:tcBorders>
            <w:shd w:val="clear" w:color="auto" w:fill="auto"/>
            <w:vAlign w:val="center"/>
            <w:hideMark/>
          </w:tcPr>
          <w:p w14:paraId="6C92FDAC"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33,0 </w:t>
            </w:r>
          </w:p>
        </w:tc>
        <w:tc>
          <w:tcPr>
            <w:tcW w:w="899" w:type="dxa"/>
            <w:tcBorders>
              <w:top w:val="nil"/>
              <w:left w:val="nil"/>
              <w:bottom w:val="single" w:sz="4" w:space="0" w:color="auto"/>
              <w:right w:val="single" w:sz="4" w:space="0" w:color="auto"/>
            </w:tcBorders>
            <w:shd w:val="clear" w:color="auto" w:fill="auto"/>
            <w:vAlign w:val="center"/>
            <w:hideMark/>
          </w:tcPr>
          <w:p w14:paraId="5E1A9B0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44" w:type="dxa"/>
            <w:tcBorders>
              <w:top w:val="nil"/>
              <w:left w:val="nil"/>
              <w:bottom w:val="single" w:sz="4" w:space="0" w:color="auto"/>
              <w:right w:val="single" w:sz="4" w:space="0" w:color="auto"/>
            </w:tcBorders>
            <w:shd w:val="clear" w:color="auto" w:fill="auto"/>
            <w:vAlign w:val="center"/>
            <w:hideMark/>
          </w:tcPr>
          <w:p w14:paraId="3DB9686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-33,0 </w:t>
            </w:r>
          </w:p>
        </w:tc>
        <w:tc>
          <w:tcPr>
            <w:tcW w:w="829" w:type="dxa"/>
            <w:tcBorders>
              <w:top w:val="nil"/>
              <w:left w:val="nil"/>
              <w:bottom w:val="single" w:sz="4" w:space="0" w:color="auto"/>
              <w:right w:val="double" w:sz="4" w:space="0" w:color="auto"/>
            </w:tcBorders>
            <w:shd w:val="clear" w:color="auto" w:fill="auto"/>
            <w:vAlign w:val="center"/>
            <w:hideMark/>
          </w:tcPr>
          <w:p w14:paraId="0CE6241D"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696B1032" w14:textId="77777777" w:rsidTr="00AF058B">
        <w:trPr>
          <w:trHeight w:val="51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5CB1ABBE"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"Формирование современной городской среды в Архангельской области",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2716902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966,4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27A448B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100,1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6486383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-866,3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0C27AED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-89,6 </w:t>
            </w:r>
          </w:p>
        </w:tc>
      </w:tr>
      <w:tr w:rsidR="00FD7B0B" w:rsidRPr="00FD7B0B" w14:paraId="262D3BF7"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4B5940CE"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Благоустройство территорий и приобретение уборочной и коммунальной техники</w:t>
            </w:r>
          </w:p>
        </w:tc>
        <w:tc>
          <w:tcPr>
            <w:tcW w:w="892" w:type="dxa"/>
            <w:tcBorders>
              <w:top w:val="nil"/>
              <w:left w:val="nil"/>
              <w:bottom w:val="single" w:sz="4" w:space="0" w:color="auto"/>
              <w:right w:val="single" w:sz="4" w:space="0" w:color="auto"/>
            </w:tcBorders>
            <w:shd w:val="clear" w:color="auto" w:fill="auto"/>
            <w:vAlign w:val="center"/>
            <w:hideMark/>
          </w:tcPr>
          <w:p w14:paraId="3A17F53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220,8 </w:t>
            </w:r>
          </w:p>
        </w:tc>
        <w:tc>
          <w:tcPr>
            <w:tcW w:w="899" w:type="dxa"/>
            <w:tcBorders>
              <w:top w:val="nil"/>
              <w:left w:val="nil"/>
              <w:bottom w:val="single" w:sz="4" w:space="0" w:color="auto"/>
              <w:right w:val="single" w:sz="4" w:space="0" w:color="auto"/>
            </w:tcBorders>
            <w:shd w:val="clear" w:color="auto" w:fill="auto"/>
            <w:vAlign w:val="center"/>
            <w:hideMark/>
          </w:tcPr>
          <w:p w14:paraId="44279C7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 </w:t>
            </w:r>
          </w:p>
        </w:tc>
        <w:tc>
          <w:tcPr>
            <w:tcW w:w="1044" w:type="dxa"/>
            <w:tcBorders>
              <w:top w:val="nil"/>
              <w:left w:val="nil"/>
              <w:bottom w:val="single" w:sz="4" w:space="0" w:color="auto"/>
              <w:right w:val="single" w:sz="4" w:space="0" w:color="auto"/>
            </w:tcBorders>
            <w:shd w:val="clear" w:color="auto" w:fill="auto"/>
            <w:vAlign w:val="center"/>
            <w:hideMark/>
          </w:tcPr>
          <w:p w14:paraId="3EAA7EBC"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-210,9 </w:t>
            </w:r>
          </w:p>
        </w:tc>
        <w:tc>
          <w:tcPr>
            <w:tcW w:w="829" w:type="dxa"/>
            <w:tcBorders>
              <w:top w:val="nil"/>
              <w:left w:val="nil"/>
              <w:bottom w:val="single" w:sz="4" w:space="0" w:color="auto"/>
              <w:right w:val="double" w:sz="4" w:space="0" w:color="auto"/>
            </w:tcBorders>
            <w:shd w:val="clear" w:color="auto" w:fill="auto"/>
            <w:vAlign w:val="center"/>
            <w:hideMark/>
          </w:tcPr>
          <w:p w14:paraId="2DCCD5A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-95,5 </w:t>
            </w:r>
          </w:p>
        </w:tc>
      </w:tr>
      <w:tr w:rsidR="00FD7B0B" w:rsidRPr="00FD7B0B" w14:paraId="38028283"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30623378"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Реконструкция пл. Профсоюзов в г. Архангельске</w:t>
            </w:r>
          </w:p>
        </w:tc>
        <w:tc>
          <w:tcPr>
            <w:tcW w:w="892" w:type="dxa"/>
            <w:tcBorders>
              <w:top w:val="nil"/>
              <w:left w:val="nil"/>
              <w:bottom w:val="single" w:sz="4" w:space="0" w:color="auto"/>
              <w:right w:val="single" w:sz="4" w:space="0" w:color="auto"/>
            </w:tcBorders>
            <w:shd w:val="clear" w:color="auto" w:fill="auto"/>
            <w:vAlign w:val="center"/>
            <w:hideMark/>
          </w:tcPr>
          <w:p w14:paraId="425D5A09"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507,3 </w:t>
            </w:r>
          </w:p>
        </w:tc>
        <w:tc>
          <w:tcPr>
            <w:tcW w:w="899" w:type="dxa"/>
            <w:tcBorders>
              <w:top w:val="nil"/>
              <w:left w:val="nil"/>
              <w:bottom w:val="single" w:sz="4" w:space="0" w:color="auto"/>
              <w:right w:val="single" w:sz="4" w:space="0" w:color="auto"/>
            </w:tcBorders>
            <w:shd w:val="clear" w:color="auto" w:fill="auto"/>
            <w:vAlign w:val="center"/>
            <w:hideMark/>
          </w:tcPr>
          <w:p w14:paraId="1253E42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44" w:type="dxa"/>
            <w:tcBorders>
              <w:top w:val="nil"/>
              <w:left w:val="nil"/>
              <w:bottom w:val="single" w:sz="4" w:space="0" w:color="auto"/>
              <w:right w:val="single" w:sz="4" w:space="0" w:color="auto"/>
            </w:tcBorders>
            <w:shd w:val="clear" w:color="auto" w:fill="auto"/>
            <w:vAlign w:val="center"/>
            <w:hideMark/>
          </w:tcPr>
          <w:p w14:paraId="3763D68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-507,3 </w:t>
            </w:r>
          </w:p>
        </w:tc>
        <w:tc>
          <w:tcPr>
            <w:tcW w:w="829" w:type="dxa"/>
            <w:tcBorders>
              <w:top w:val="nil"/>
              <w:left w:val="nil"/>
              <w:bottom w:val="single" w:sz="4" w:space="0" w:color="auto"/>
              <w:right w:val="double" w:sz="4" w:space="0" w:color="auto"/>
            </w:tcBorders>
            <w:shd w:val="clear" w:color="auto" w:fill="auto"/>
            <w:vAlign w:val="center"/>
            <w:hideMark/>
          </w:tcPr>
          <w:p w14:paraId="0C29BB4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8287152"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5355AEC2"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 xml:space="preserve">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w:t>
            </w:r>
          </w:p>
        </w:tc>
        <w:tc>
          <w:tcPr>
            <w:tcW w:w="892" w:type="dxa"/>
            <w:tcBorders>
              <w:top w:val="nil"/>
              <w:left w:val="nil"/>
              <w:bottom w:val="single" w:sz="4" w:space="0" w:color="auto"/>
              <w:right w:val="single" w:sz="4" w:space="0" w:color="auto"/>
            </w:tcBorders>
            <w:shd w:val="clear" w:color="auto" w:fill="auto"/>
            <w:vAlign w:val="center"/>
            <w:hideMark/>
          </w:tcPr>
          <w:p w14:paraId="191E3A25"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235,8 </w:t>
            </w:r>
          </w:p>
        </w:tc>
        <w:tc>
          <w:tcPr>
            <w:tcW w:w="899" w:type="dxa"/>
            <w:tcBorders>
              <w:top w:val="nil"/>
              <w:left w:val="nil"/>
              <w:bottom w:val="single" w:sz="4" w:space="0" w:color="auto"/>
              <w:right w:val="single" w:sz="4" w:space="0" w:color="auto"/>
            </w:tcBorders>
            <w:shd w:val="clear" w:color="auto" w:fill="auto"/>
            <w:vAlign w:val="center"/>
            <w:hideMark/>
          </w:tcPr>
          <w:p w14:paraId="37A965F9"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87,1 </w:t>
            </w:r>
          </w:p>
        </w:tc>
        <w:tc>
          <w:tcPr>
            <w:tcW w:w="1044" w:type="dxa"/>
            <w:tcBorders>
              <w:top w:val="nil"/>
              <w:left w:val="nil"/>
              <w:bottom w:val="single" w:sz="4" w:space="0" w:color="auto"/>
              <w:right w:val="single" w:sz="4" w:space="0" w:color="auto"/>
            </w:tcBorders>
            <w:shd w:val="clear" w:color="auto" w:fill="auto"/>
            <w:vAlign w:val="center"/>
            <w:hideMark/>
          </w:tcPr>
          <w:p w14:paraId="78B9D4B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-148,7 </w:t>
            </w:r>
          </w:p>
        </w:tc>
        <w:tc>
          <w:tcPr>
            <w:tcW w:w="829" w:type="dxa"/>
            <w:tcBorders>
              <w:top w:val="nil"/>
              <w:left w:val="nil"/>
              <w:bottom w:val="single" w:sz="4" w:space="0" w:color="auto"/>
              <w:right w:val="double" w:sz="4" w:space="0" w:color="auto"/>
            </w:tcBorders>
            <w:shd w:val="clear" w:color="auto" w:fill="auto"/>
            <w:vAlign w:val="center"/>
            <w:hideMark/>
          </w:tcPr>
          <w:p w14:paraId="0C21CFAA"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-63,0 </w:t>
            </w:r>
          </w:p>
        </w:tc>
      </w:tr>
      <w:tr w:rsidR="00FD7B0B" w:rsidRPr="00FD7B0B" w14:paraId="339C5152"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129011FC"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"Совершенствование государственного управления и местного самоуправления, развитие институтов гражданского общества в Архангельской области",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3C0EB70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522,9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1B916B0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961,6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34C2D3D0"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438,7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3144B339"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83,9 </w:t>
            </w:r>
          </w:p>
        </w:tc>
      </w:tr>
      <w:tr w:rsidR="00FD7B0B" w:rsidRPr="00FD7B0B" w14:paraId="76D892DB"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0EE898CC"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Реализация мероприятий по социально-экономическому развитию муниципальных округов</w:t>
            </w:r>
          </w:p>
        </w:tc>
        <w:tc>
          <w:tcPr>
            <w:tcW w:w="892" w:type="dxa"/>
            <w:tcBorders>
              <w:top w:val="nil"/>
              <w:left w:val="nil"/>
              <w:bottom w:val="single" w:sz="4" w:space="0" w:color="auto"/>
              <w:right w:val="single" w:sz="4" w:space="0" w:color="auto"/>
            </w:tcBorders>
            <w:shd w:val="clear" w:color="auto" w:fill="auto"/>
            <w:vAlign w:val="center"/>
            <w:hideMark/>
          </w:tcPr>
          <w:p w14:paraId="0C3A941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411,3 </w:t>
            </w:r>
          </w:p>
        </w:tc>
        <w:tc>
          <w:tcPr>
            <w:tcW w:w="899" w:type="dxa"/>
            <w:tcBorders>
              <w:top w:val="nil"/>
              <w:left w:val="nil"/>
              <w:bottom w:val="single" w:sz="4" w:space="0" w:color="auto"/>
              <w:right w:val="single" w:sz="4" w:space="0" w:color="auto"/>
            </w:tcBorders>
            <w:shd w:val="clear" w:color="auto" w:fill="auto"/>
            <w:vAlign w:val="center"/>
            <w:hideMark/>
          </w:tcPr>
          <w:p w14:paraId="3E4F0E5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598,3 </w:t>
            </w:r>
          </w:p>
        </w:tc>
        <w:tc>
          <w:tcPr>
            <w:tcW w:w="1044" w:type="dxa"/>
            <w:tcBorders>
              <w:top w:val="nil"/>
              <w:left w:val="nil"/>
              <w:bottom w:val="single" w:sz="4" w:space="0" w:color="auto"/>
              <w:right w:val="single" w:sz="4" w:space="0" w:color="auto"/>
            </w:tcBorders>
            <w:shd w:val="clear" w:color="auto" w:fill="auto"/>
            <w:vAlign w:val="center"/>
            <w:hideMark/>
          </w:tcPr>
          <w:p w14:paraId="79E6FCD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186,9 </w:t>
            </w:r>
          </w:p>
        </w:tc>
        <w:tc>
          <w:tcPr>
            <w:tcW w:w="829" w:type="dxa"/>
            <w:tcBorders>
              <w:top w:val="nil"/>
              <w:left w:val="nil"/>
              <w:bottom w:val="single" w:sz="4" w:space="0" w:color="auto"/>
              <w:right w:val="double" w:sz="4" w:space="0" w:color="auto"/>
            </w:tcBorders>
            <w:shd w:val="clear" w:color="auto" w:fill="auto"/>
            <w:vAlign w:val="center"/>
            <w:hideMark/>
          </w:tcPr>
          <w:p w14:paraId="2D7EDC5C"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45,4 </w:t>
            </w:r>
          </w:p>
        </w:tc>
      </w:tr>
      <w:tr w:rsidR="00FD7B0B" w:rsidRPr="00FD7B0B" w14:paraId="31A07C25"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6D86C8CD"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На реализацию инициативных проектов в рамках регионального проекта "Комфортное Поморье"</w:t>
            </w:r>
          </w:p>
        </w:tc>
        <w:tc>
          <w:tcPr>
            <w:tcW w:w="892" w:type="dxa"/>
            <w:tcBorders>
              <w:top w:val="nil"/>
              <w:left w:val="nil"/>
              <w:bottom w:val="single" w:sz="4" w:space="0" w:color="auto"/>
              <w:right w:val="single" w:sz="4" w:space="0" w:color="auto"/>
            </w:tcBorders>
            <w:shd w:val="clear" w:color="auto" w:fill="auto"/>
            <w:vAlign w:val="center"/>
            <w:hideMark/>
          </w:tcPr>
          <w:p w14:paraId="66D25A6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99" w:type="dxa"/>
            <w:tcBorders>
              <w:top w:val="nil"/>
              <w:left w:val="nil"/>
              <w:bottom w:val="single" w:sz="4" w:space="0" w:color="auto"/>
              <w:right w:val="single" w:sz="4" w:space="0" w:color="auto"/>
            </w:tcBorders>
            <w:shd w:val="clear" w:color="auto" w:fill="auto"/>
            <w:vAlign w:val="center"/>
            <w:hideMark/>
          </w:tcPr>
          <w:p w14:paraId="2EE2297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331,4 </w:t>
            </w:r>
          </w:p>
        </w:tc>
        <w:tc>
          <w:tcPr>
            <w:tcW w:w="1044" w:type="dxa"/>
            <w:tcBorders>
              <w:top w:val="nil"/>
              <w:left w:val="nil"/>
              <w:bottom w:val="single" w:sz="4" w:space="0" w:color="auto"/>
              <w:right w:val="single" w:sz="4" w:space="0" w:color="auto"/>
            </w:tcBorders>
            <w:shd w:val="clear" w:color="auto" w:fill="auto"/>
            <w:vAlign w:val="center"/>
            <w:hideMark/>
          </w:tcPr>
          <w:p w14:paraId="355D4EC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331,4 </w:t>
            </w:r>
          </w:p>
        </w:tc>
        <w:tc>
          <w:tcPr>
            <w:tcW w:w="829" w:type="dxa"/>
            <w:tcBorders>
              <w:top w:val="nil"/>
              <w:left w:val="nil"/>
              <w:bottom w:val="single" w:sz="4" w:space="0" w:color="auto"/>
              <w:right w:val="double" w:sz="4" w:space="0" w:color="auto"/>
            </w:tcBorders>
            <w:shd w:val="clear" w:color="auto" w:fill="auto"/>
            <w:vAlign w:val="center"/>
            <w:hideMark/>
          </w:tcPr>
          <w:p w14:paraId="57A35FD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1A04613C"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74C76464"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"Развитие энергетики и жилищно-коммунального хозяйства Архангельской области",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20633F1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9,6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1A77815D"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1 008,3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75AA8ED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998,7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2B37E2C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в 105,2 раза</w:t>
            </w:r>
          </w:p>
        </w:tc>
      </w:tr>
      <w:tr w:rsidR="00FD7B0B" w:rsidRPr="00FD7B0B" w14:paraId="08A0C14C" w14:textId="77777777" w:rsidTr="00AF058B">
        <w:trPr>
          <w:trHeight w:val="765"/>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35130C52"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Расходы на модернизацию (строительство) котельных на твердом биотопливе, источником финансового обеспечения которых является специальный казначейский кредит</w:t>
            </w:r>
          </w:p>
        </w:tc>
        <w:tc>
          <w:tcPr>
            <w:tcW w:w="892" w:type="dxa"/>
            <w:tcBorders>
              <w:top w:val="nil"/>
              <w:left w:val="nil"/>
              <w:bottom w:val="single" w:sz="4" w:space="0" w:color="auto"/>
              <w:right w:val="single" w:sz="4" w:space="0" w:color="auto"/>
            </w:tcBorders>
            <w:shd w:val="clear" w:color="auto" w:fill="auto"/>
            <w:vAlign w:val="center"/>
            <w:hideMark/>
          </w:tcPr>
          <w:p w14:paraId="36CC713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99" w:type="dxa"/>
            <w:tcBorders>
              <w:top w:val="nil"/>
              <w:left w:val="nil"/>
              <w:bottom w:val="single" w:sz="4" w:space="0" w:color="auto"/>
              <w:right w:val="single" w:sz="4" w:space="0" w:color="auto"/>
            </w:tcBorders>
            <w:shd w:val="clear" w:color="auto" w:fill="auto"/>
            <w:vAlign w:val="center"/>
            <w:hideMark/>
          </w:tcPr>
          <w:p w14:paraId="5C212DFD"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1 008,3 </w:t>
            </w:r>
          </w:p>
        </w:tc>
        <w:tc>
          <w:tcPr>
            <w:tcW w:w="1044" w:type="dxa"/>
            <w:tcBorders>
              <w:top w:val="nil"/>
              <w:left w:val="nil"/>
              <w:bottom w:val="single" w:sz="4" w:space="0" w:color="auto"/>
              <w:right w:val="single" w:sz="4" w:space="0" w:color="auto"/>
            </w:tcBorders>
            <w:shd w:val="clear" w:color="auto" w:fill="auto"/>
            <w:vAlign w:val="center"/>
            <w:hideMark/>
          </w:tcPr>
          <w:p w14:paraId="7FEE344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1 008,3 </w:t>
            </w:r>
          </w:p>
        </w:tc>
        <w:tc>
          <w:tcPr>
            <w:tcW w:w="829" w:type="dxa"/>
            <w:tcBorders>
              <w:top w:val="nil"/>
              <w:left w:val="nil"/>
              <w:bottom w:val="single" w:sz="4" w:space="0" w:color="auto"/>
              <w:right w:val="double" w:sz="4" w:space="0" w:color="auto"/>
            </w:tcBorders>
            <w:shd w:val="clear" w:color="auto" w:fill="auto"/>
            <w:vAlign w:val="center"/>
            <w:hideMark/>
          </w:tcPr>
          <w:p w14:paraId="70585AD0"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226B627E" w14:textId="77777777" w:rsidTr="00AF058B">
        <w:trPr>
          <w:trHeight w:val="255"/>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1A242B19"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"Развитие транспортной системы Архангельской области",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7896112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3 471,0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301E0D45"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1 543,5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0BEFD7C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-1 927,5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0B359A4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-55,5 </w:t>
            </w:r>
          </w:p>
        </w:tc>
      </w:tr>
      <w:tr w:rsidR="00FD7B0B" w:rsidRPr="00FD7B0B" w14:paraId="3F1F6442" w14:textId="77777777" w:rsidTr="00AF058B">
        <w:trPr>
          <w:trHeight w:val="765"/>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0CAE3C11" w14:textId="1E4F40E8" w:rsidR="00B420A9" w:rsidRPr="00FD7B0B" w:rsidRDefault="00B420A9" w:rsidP="00254AE7">
            <w:pPr>
              <w:spacing w:after="0" w:line="240" w:lineRule="auto"/>
              <w:rPr>
                <w:rFonts w:ascii="Times New Roman" w:hAnsi="Times New Roman" w:cs="Times New Roman"/>
              </w:rPr>
            </w:pPr>
            <w:r w:rsidRPr="00FD7B0B">
              <w:rPr>
                <w:rFonts w:ascii="Times New Roman" w:hAnsi="Times New Roman" w:cs="Times New Roman"/>
              </w:rPr>
              <w:t>Организация перевозок пассажиров и багажа на пассажирских муниципальных маршрутах автомобильного транспорта на территории ГО</w:t>
            </w:r>
            <w:r w:rsidR="00254AE7" w:rsidRPr="00FD7B0B">
              <w:rPr>
                <w:rFonts w:ascii="Times New Roman" w:hAnsi="Times New Roman" w:cs="Times New Roman"/>
              </w:rPr>
              <w:t xml:space="preserve"> «</w:t>
            </w:r>
            <w:r w:rsidRPr="00FD7B0B">
              <w:rPr>
                <w:rFonts w:ascii="Times New Roman" w:hAnsi="Times New Roman" w:cs="Times New Roman"/>
              </w:rPr>
              <w:t>Город Архангельск</w:t>
            </w:r>
            <w:r w:rsidR="00254AE7" w:rsidRPr="00FD7B0B">
              <w:rPr>
                <w:rFonts w:ascii="Times New Roman" w:hAnsi="Times New Roman" w:cs="Times New Roman"/>
              </w:rPr>
              <w:t>» и ГО «Северодвинск»</w:t>
            </w:r>
          </w:p>
        </w:tc>
        <w:tc>
          <w:tcPr>
            <w:tcW w:w="892" w:type="dxa"/>
            <w:tcBorders>
              <w:top w:val="nil"/>
              <w:left w:val="nil"/>
              <w:bottom w:val="single" w:sz="4" w:space="0" w:color="auto"/>
              <w:right w:val="single" w:sz="4" w:space="0" w:color="auto"/>
            </w:tcBorders>
            <w:shd w:val="clear" w:color="auto" w:fill="auto"/>
            <w:vAlign w:val="center"/>
            <w:hideMark/>
          </w:tcPr>
          <w:p w14:paraId="134305CF"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743,3 </w:t>
            </w:r>
          </w:p>
        </w:tc>
        <w:tc>
          <w:tcPr>
            <w:tcW w:w="899" w:type="dxa"/>
            <w:tcBorders>
              <w:top w:val="nil"/>
              <w:left w:val="nil"/>
              <w:bottom w:val="single" w:sz="4" w:space="0" w:color="auto"/>
              <w:right w:val="single" w:sz="4" w:space="0" w:color="auto"/>
            </w:tcBorders>
            <w:shd w:val="clear" w:color="auto" w:fill="auto"/>
            <w:vAlign w:val="center"/>
            <w:hideMark/>
          </w:tcPr>
          <w:p w14:paraId="0D42A16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743,3 </w:t>
            </w:r>
          </w:p>
        </w:tc>
        <w:tc>
          <w:tcPr>
            <w:tcW w:w="1044" w:type="dxa"/>
            <w:tcBorders>
              <w:top w:val="nil"/>
              <w:left w:val="nil"/>
              <w:bottom w:val="single" w:sz="4" w:space="0" w:color="auto"/>
              <w:right w:val="single" w:sz="4" w:space="0" w:color="auto"/>
            </w:tcBorders>
            <w:shd w:val="clear" w:color="auto" w:fill="auto"/>
            <w:vAlign w:val="center"/>
            <w:hideMark/>
          </w:tcPr>
          <w:p w14:paraId="5037BA8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29" w:type="dxa"/>
            <w:tcBorders>
              <w:top w:val="nil"/>
              <w:left w:val="nil"/>
              <w:bottom w:val="single" w:sz="4" w:space="0" w:color="auto"/>
              <w:right w:val="double" w:sz="4" w:space="0" w:color="auto"/>
            </w:tcBorders>
            <w:shd w:val="clear" w:color="auto" w:fill="auto"/>
            <w:vAlign w:val="center"/>
            <w:hideMark/>
          </w:tcPr>
          <w:p w14:paraId="04FB7E0D"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r>
      <w:tr w:rsidR="00FD7B0B" w:rsidRPr="00FD7B0B" w14:paraId="41B578DB"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3255FFE9"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Развитие инфраструктуры дорожного хозяйства</w:t>
            </w:r>
          </w:p>
        </w:tc>
        <w:tc>
          <w:tcPr>
            <w:tcW w:w="892" w:type="dxa"/>
            <w:tcBorders>
              <w:top w:val="nil"/>
              <w:left w:val="nil"/>
              <w:bottom w:val="single" w:sz="4" w:space="0" w:color="auto"/>
              <w:right w:val="single" w:sz="4" w:space="0" w:color="auto"/>
            </w:tcBorders>
            <w:shd w:val="clear" w:color="auto" w:fill="auto"/>
            <w:vAlign w:val="center"/>
            <w:hideMark/>
          </w:tcPr>
          <w:p w14:paraId="28474F82"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1 306,6 </w:t>
            </w:r>
          </w:p>
        </w:tc>
        <w:tc>
          <w:tcPr>
            <w:tcW w:w="899" w:type="dxa"/>
            <w:tcBorders>
              <w:top w:val="nil"/>
              <w:left w:val="nil"/>
              <w:bottom w:val="single" w:sz="4" w:space="0" w:color="auto"/>
              <w:right w:val="single" w:sz="4" w:space="0" w:color="auto"/>
            </w:tcBorders>
            <w:shd w:val="clear" w:color="auto" w:fill="auto"/>
            <w:vAlign w:val="center"/>
            <w:hideMark/>
          </w:tcPr>
          <w:p w14:paraId="52C1FB1A"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44" w:type="dxa"/>
            <w:tcBorders>
              <w:top w:val="nil"/>
              <w:left w:val="nil"/>
              <w:bottom w:val="single" w:sz="4" w:space="0" w:color="auto"/>
              <w:right w:val="single" w:sz="4" w:space="0" w:color="auto"/>
            </w:tcBorders>
            <w:shd w:val="clear" w:color="auto" w:fill="auto"/>
            <w:vAlign w:val="center"/>
            <w:hideMark/>
          </w:tcPr>
          <w:p w14:paraId="76CAFC3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-1 306,6 </w:t>
            </w:r>
          </w:p>
        </w:tc>
        <w:tc>
          <w:tcPr>
            <w:tcW w:w="829" w:type="dxa"/>
            <w:tcBorders>
              <w:top w:val="nil"/>
              <w:left w:val="nil"/>
              <w:bottom w:val="single" w:sz="4" w:space="0" w:color="auto"/>
              <w:right w:val="double" w:sz="4" w:space="0" w:color="auto"/>
            </w:tcBorders>
            <w:shd w:val="clear" w:color="auto" w:fill="auto"/>
            <w:vAlign w:val="center"/>
            <w:hideMark/>
          </w:tcPr>
          <w:p w14:paraId="643AE02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3E9B0E9A"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69EA30BD"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Проектирование, капитальный ремонт и ремонт искусственных сооружений на автомобильных дорогах общего пользования местного значения</w:t>
            </w:r>
          </w:p>
        </w:tc>
        <w:tc>
          <w:tcPr>
            <w:tcW w:w="892" w:type="dxa"/>
            <w:tcBorders>
              <w:top w:val="nil"/>
              <w:left w:val="nil"/>
              <w:bottom w:val="single" w:sz="4" w:space="0" w:color="auto"/>
              <w:right w:val="single" w:sz="4" w:space="0" w:color="auto"/>
            </w:tcBorders>
            <w:shd w:val="clear" w:color="auto" w:fill="auto"/>
            <w:vAlign w:val="center"/>
            <w:hideMark/>
          </w:tcPr>
          <w:p w14:paraId="585CB1ED"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324,9 </w:t>
            </w:r>
          </w:p>
        </w:tc>
        <w:tc>
          <w:tcPr>
            <w:tcW w:w="899" w:type="dxa"/>
            <w:tcBorders>
              <w:top w:val="nil"/>
              <w:left w:val="nil"/>
              <w:bottom w:val="single" w:sz="4" w:space="0" w:color="auto"/>
              <w:right w:val="single" w:sz="4" w:space="0" w:color="auto"/>
            </w:tcBorders>
            <w:shd w:val="clear" w:color="auto" w:fill="auto"/>
            <w:vAlign w:val="center"/>
            <w:hideMark/>
          </w:tcPr>
          <w:p w14:paraId="7722C72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44" w:type="dxa"/>
            <w:tcBorders>
              <w:top w:val="nil"/>
              <w:left w:val="nil"/>
              <w:bottom w:val="single" w:sz="4" w:space="0" w:color="auto"/>
              <w:right w:val="single" w:sz="4" w:space="0" w:color="auto"/>
            </w:tcBorders>
            <w:shd w:val="clear" w:color="auto" w:fill="auto"/>
            <w:vAlign w:val="center"/>
            <w:hideMark/>
          </w:tcPr>
          <w:p w14:paraId="0C403A1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-324,9 </w:t>
            </w:r>
          </w:p>
        </w:tc>
        <w:tc>
          <w:tcPr>
            <w:tcW w:w="829" w:type="dxa"/>
            <w:tcBorders>
              <w:top w:val="nil"/>
              <w:left w:val="nil"/>
              <w:bottom w:val="single" w:sz="4" w:space="0" w:color="auto"/>
              <w:right w:val="double" w:sz="4" w:space="0" w:color="auto"/>
            </w:tcBorders>
            <w:shd w:val="clear" w:color="auto" w:fill="auto"/>
            <w:vAlign w:val="center"/>
            <w:hideMark/>
          </w:tcPr>
          <w:p w14:paraId="1701E42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59A1805"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5D8C00A3"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Финансовое обеспечение дорожной деятельности в рамках реализации национального проекта "Безопасные и качественные автомобильные дороги"</w:t>
            </w:r>
          </w:p>
        </w:tc>
        <w:tc>
          <w:tcPr>
            <w:tcW w:w="892" w:type="dxa"/>
            <w:tcBorders>
              <w:top w:val="nil"/>
              <w:left w:val="nil"/>
              <w:bottom w:val="single" w:sz="4" w:space="0" w:color="auto"/>
              <w:right w:val="single" w:sz="4" w:space="0" w:color="auto"/>
            </w:tcBorders>
            <w:shd w:val="clear" w:color="auto" w:fill="auto"/>
            <w:vAlign w:val="center"/>
            <w:hideMark/>
          </w:tcPr>
          <w:p w14:paraId="5F014D1F"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695,3 </w:t>
            </w:r>
          </w:p>
        </w:tc>
        <w:tc>
          <w:tcPr>
            <w:tcW w:w="899" w:type="dxa"/>
            <w:tcBorders>
              <w:top w:val="nil"/>
              <w:left w:val="nil"/>
              <w:bottom w:val="single" w:sz="4" w:space="0" w:color="auto"/>
              <w:right w:val="single" w:sz="4" w:space="0" w:color="auto"/>
            </w:tcBorders>
            <w:shd w:val="clear" w:color="auto" w:fill="auto"/>
            <w:vAlign w:val="center"/>
            <w:hideMark/>
          </w:tcPr>
          <w:p w14:paraId="4FF88B4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701,2 </w:t>
            </w:r>
          </w:p>
        </w:tc>
        <w:tc>
          <w:tcPr>
            <w:tcW w:w="1044" w:type="dxa"/>
            <w:tcBorders>
              <w:top w:val="nil"/>
              <w:left w:val="nil"/>
              <w:bottom w:val="single" w:sz="4" w:space="0" w:color="auto"/>
              <w:right w:val="single" w:sz="4" w:space="0" w:color="auto"/>
            </w:tcBorders>
            <w:shd w:val="clear" w:color="auto" w:fill="auto"/>
            <w:vAlign w:val="center"/>
            <w:hideMark/>
          </w:tcPr>
          <w:p w14:paraId="0D042E0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5,9 </w:t>
            </w:r>
          </w:p>
        </w:tc>
        <w:tc>
          <w:tcPr>
            <w:tcW w:w="829" w:type="dxa"/>
            <w:tcBorders>
              <w:top w:val="nil"/>
              <w:left w:val="nil"/>
              <w:bottom w:val="single" w:sz="4" w:space="0" w:color="auto"/>
              <w:right w:val="double" w:sz="4" w:space="0" w:color="auto"/>
            </w:tcBorders>
            <w:shd w:val="clear" w:color="auto" w:fill="auto"/>
            <w:vAlign w:val="center"/>
            <w:hideMark/>
          </w:tcPr>
          <w:p w14:paraId="7465EF4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0,8 </w:t>
            </w:r>
          </w:p>
        </w:tc>
      </w:tr>
      <w:tr w:rsidR="00FD7B0B" w:rsidRPr="00FD7B0B" w14:paraId="25E41F44"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03983064"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"Развитие инфраструктуры Соловецкого архипелага",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0085252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12,0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0EEE0A54"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2,0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5D0EF9DA"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2294148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-83,7 </w:t>
            </w:r>
          </w:p>
        </w:tc>
      </w:tr>
      <w:tr w:rsidR="00FD7B0B" w:rsidRPr="00FD7B0B" w14:paraId="7371DF47"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3B902B3A"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lastRenderedPageBreak/>
              <w:t>Благоустройство территории сельского поселения "Соловецкое" Приморского муниципального района Архангельской области и приобретение уборочной и коммунальной техники</w:t>
            </w:r>
          </w:p>
        </w:tc>
        <w:tc>
          <w:tcPr>
            <w:tcW w:w="892" w:type="dxa"/>
            <w:tcBorders>
              <w:top w:val="nil"/>
              <w:left w:val="nil"/>
              <w:bottom w:val="single" w:sz="4" w:space="0" w:color="auto"/>
              <w:right w:val="single" w:sz="4" w:space="0" w:color="auto"/>
            </w:tcBorders>
            <w:shd w:val="clear" w:color="auto" w:fill="auto"/>
            <w:vAlign w:val="center"/>
            <w:hideMark/>
          </w:tcPr>
          <w:p w14:paraId="24D71A6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12,0 </w:t>
            </w:r>
          </w:p>
        </w:tc>
        <w:tc>
          <w:tcPr>
            <w:tcW w:w="899" w:type="dxa"/>
            <w:tcBorders>
              <w:top w:val="nil"/>
              <w:left w:val="nil"/>
              <w:bottom w:val="single" w:sz="4" w:space="0" w:color="auto"/>
              <w:right w:val="single" w:sz="4" w:space="0" w:color="auto"/>
            </w:tcBorders>
            <w:shd w:val="clear" w:color="auto" w:fill="auto"/>
            <w:vAlign w:val="center"/>
            <w:hideMark/>
          </w:tcPr>
          <w:p w14:paraId="6B1C9C1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2,0 </w:t>
            </w:r>
          </w:p>
        </w:tc>
        <w:tc>
          <w:tcPr>
            <w:tcW w:w="1044" w:type="dxa"/>
            <w:tcBorders>
              <w:top w:val="nil"/>
              <w:left w:val="nil"/>
              <w:bottom w:val="single" w:sz="4" w:space="0" w:color="auto"/>
              <w:right w:val="single" w:sz="4" w:space="0" w:color="auto"/>
            </w:tcBorders>
            <w:shd w:val="clear" w:color="auto" w:fill="auto"/>
            <w:vAlign w:val="center"/>
            <w:hideMark/>
          </w:tcPr>
          <w:p w14:paraId="439CDA7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 </w:t>
            </w:r>
          </w:p>
        </w:tc>
        <w:tc>
          <w:tcPr>
            <w:tcW w:w="829" w:type="dxa"/>
            <w:tcBorders>
              <w:top w:val="nil"/>
              <w:left w:val="nil"/>
              <w:bottom w:val="single" w:sz="4" w:space="0" w:color="auto"/>
              <w:right w:val="double" w:sz="4" w:space="0" w:color="auto"/>
            </w:tcBorders>
            <w:shd w:val="clear" w:color="auto" w:fill="auto"/>
            <w:vAlign w:val="center"/>
            <w:hideMark/>
          </w:tcPr>
          <w:p w14:paraId="73753B5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-83,7 </w:t>
            </w:r>
          </w:p>
        </w:tc>
      </w:tr>
      <w:tr w:rsidR="00FD7B0B" w:rsidRPr="00FD7B0B" w14:paraId="2557B55D"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728F9802"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"Управление государственными финансами и государственным долгом Архангельской области",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09C7704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0,4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432A13E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0,3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404A57CA"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-0,1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7F16B62C"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-21,9 </w:t>
            </w:r>
          </w:p>
        </w:tc>
      </w:tr>
      <w:tr w:rsidR="00FD7B0B" w:rsidRPr="00FD7B0B" w14:paraId="3276914F" w14:textId="77777777" w:rsidTr="00AF058B">
        <w:trPr>
          <w:trHeight w:val="1275"/>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30D58288"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Частичное возмещение расходов по предоставлению мер социальной поддержки квалифицированных специалистов учреждений культуры и образовательных организаций (кроме педагогических работников), финансируемых из местных бюджетов, проживающих и работающих в сельских населенных пунктах, рабочих поселках (поселках городского типа)</w:t>
            </w:r>
          </w:p>
        </w:tc>
        <w:tc>
          <w:tcPr>
            <w:tcW w:w="892" w:type="dxa"/>
            <w:tcBorders>
              <w:top w:val="nil"/>
              <w:left w:val="nil"/>
              <w:bottom w:val="single" w:sz="4" w:space="0" w:color="auto"/>
              <w:right w:val="single" w:sz="4" w:space="0" w:color="auto"/>
            </w:tcBorders>
            <w:shd w:val="clear" w:color="auto" w:fill="auto"/>
            <w:vAlign w:val="center"/>
            <w:hideMark/>
          </w:tcPr>
          <w:p w14:paraId="09FD7BC5"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0,4 </w:t>
            </w:r>
          </w:p>
        </w:tc>
        <w:tc>
          <w:tcPr>
            <w:tcW w:w="899" w:type="dxa"/>
            <w:tcBorders>
              <w:top w:val="nil"/>
              <w:left w:val="nil"/>
              <w:bottom w:val="single" w:sz="4" w:space="0" w:color="auto"/>
              <w:right w:val="single" w:sz="4" w:space="0" w:color="auto"/>
            </w:tcBorders>
            <w:shd w:val="clear" w:color="auto" w:fill="auto"/>
            <w:vAlign w:val="center"/>
            <w:hideMark/>
          </w:tcPr>
          <w:p w14:paraId="5C81D84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0,3 </w:t>
            </w:r>
          </w:p>
        </w:tc>
        <w:tc>
          <w:tcPr>
            <w:tcW w:w="1044" w:type="dxa"/>
            <w:tcBorders>
              <w:top w:val="nil"/>
              <w:left w:val="nil"/>
              <w:bottom w:val="single" w:sz="4" w:space="0" w:color="auto"/>
              <w:right w:val="single" w:sz="4" w:space="0" w:color="auto"/>
            </w:tcBorders>
            <w:shd w:val="clear" w:color="auto" w:fill="auto"/>
            <w:vAlign w:val="center"/>
            <w:hideMark/>
          </w:tcPr>
          <w:p w14:paraId="7C541AD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-0,1 </w:t>
            </w:r>
          </w:p>
        </w:tc>
        <w:tc>
          <w:tcPr>
            <w:tcW w:w="829" w:type="dxa"/>
            <w:tcBorders>
              <w:top w:val="nil"/>
              <w:left w:val="nil"/>
              <w:bottom w:val="single" w:sz="4" w:space="0" w:color="auto"/>
              <w:right w:val="double" w:sz="4" w:space="0" w:color="auto"/>
            </w:tcBorders>
            <w:shd w:val="clear" w:color="auto" w:fill="auto"/>
            <w:vAlign w:val="center"/>
            <w:hideMark/>
          </w:tcPr>
          <w:p w14:paraId="4195FF79"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-21,9 </w:t>
            </w:r>
          </w:p>
        </w:tc>
      </w:tr>
      <w:tr w:rsidR="00FD7B0B" w:rsidRPr="00FD7B0B" w14:paraId="7FD32E5D" w14:textId="77777777" w:rsidTr="00AF058B">
        <w:trPr>
          <w:trHeight w:val="51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09B16110"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"Экономическое развитие и инвестиционная деятельность в Архангельской области", из нее:</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74E562B9"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16,0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1F09511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437898D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-16,0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048BBCB5"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CD7A436" w14:textId="77777777" w:rsidTr="00AF058B">
        <w:trPr>
          <w:trHeight w:val="510"/>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63A691FB"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Выделение грантов муниципальным образованиям Архангельской области, достигшим наилучших значений показателей деятельности</w:t>
            </w:r>
          </w:p>
        </w:tc>
        <w:tc>
          <w:tcPr>
            <w:tcW w:w="892" w:type="dxa"/>
            <w:tcBorders>
              <w:top w:val="nil"/>
              <w:left w:val="nil"/>
              <w:bottom w:val="single" w:sz="4" w:space="0" w:color="auto"/>
              <w:right w:val="single" w:sz="4" w:space="0" w:color="auto"/>
            </w:tcBorders>
            <w:shd w:val="clear" w:color="auto" w:fill="auto"/>
            <w:vAlign w:val="center"/>
            <w:hideMark/>
          </w:tcPr>
          <w:p w14:paraId="083B2F1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16,0 </w:t>
            </w:r>
          </w:p>
        </w:tc>
        <w:tc>
          <w:tcPr>
            <w:tcW w:w="899" w:type="dxa"/>
            <w:tcBorders>
              <w:top w:val="nil"/>
              <w:left w:val="nil"/>
              <w:bottom w:val="single" w:sz="4" w:space="0" w:color="auto"/>
              <w:right w:val="single" w:sz="4" w:space="0" w:color="auto"/>
            </w:tcBorders>
            <w:shd w:val="clear" w:color="auto" w:fill="auto"/>
            <w:vAlign w:val="center"/>
            <w:hideMark/>
          </w:tcPr>
          <w:p w14:paraId="618B38B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w:t>
            </w:r>
          </w:p>
        </w:tc>
        <w:tc>
          <w:tcPr>
            <w:tcW w:w="1044" w:type="dxa"/>
            <w:tcBorders>
              <w:top w:val="nil"/>
              <w:left w:val="nil"/>
              <w:bottom w:val="single" w:sz="4" w:space="0" w:color="auto"/>
              <w:right w:val="single" w:sz="4" w:space="0" w:color="auto"/>
            </w:tcBorders>
            <w:shd w:val="clear" w:color="auto" w:fill="auto"/>
            <w:vAlign w:val="center"/>
            <w:hideMark/>
          </w:tcPr>
          <w:p w14:paraId="350B7B6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-16,0 </w:t>
            </w:r>
          </w:p>
        </w:tc>
        <w:tc>
          <w:tcPr>
            <w:tcW w:w="829" w:type="dxa"/>
            <w:tcBorders>
              <w:top w:val="nil"/>
              <w:left w:val="nil"/>
              <w:bottom w:val="single" w:sz="4" w:space="0" w:color="auto"/>
              <w:right w:val="double" w:sz="4" w:space="0" w:color="auto"/>
            </w:tcBorders>
            <w:shd w:val="clear" w:color="auto" w:fill="auto"/>
            <w:vAlign w:val="center"/>
            <w:hideMark/>
          </w:tcPr>
          <w:p w14:paraId="1489FDB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37563835" w14:textId="77777777" w:rsidTr="00AF058B">
        <w:trPr>
          <w:trHeight w:val="255"/>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47C364B6"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"Молодежь Поморья", из нее:</w:t>
            </w:r>
          </w:p>
        </w:tc>
        <w:tc>
          <w:tcPr>
            <w:tcW w:w="892"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DFB83B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9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4F7F485"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103,0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576C564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103,0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7236B1F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13488BE7" w14:textId="77777777" w:rsidTr="00AF058B">
        <w:trPr>
          <w:trHeight w:val="156"/>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01B71D41"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892" w:type="dxa"/>
            <w:tcBorders>
              <w:top w:val="nil"/>
              <w:left w:val="nil"/>
              <w:bottom w:val="single" w:sz="4" w:space="0" w:color="auto"/>
              <w:right w:val="single" w:sz="4" w:space="0" w:color="auto"/>
            </w:tcBorders>
            <w:shd w:val="clear" w:color="auto" w:fill="auto"/>
            <w:vAlign w:val="center"/>
            <w:hideMark/>
          </w:tcPr>
          <w:p w14:paraId="68E9EB7A"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0,0</w:t>
            </w:r>
          </w:p>
        </w:tc>
        <w:tc>
          <w:tcPr>
            <w:tcW w:w="899" w:type="dxa"/>
            <w:tcBorders>
              <w:top w:val="nil"/>
              <w:left w:val="nil"/>
              <w:bottom w:val="single" w:sz="4" w:space="0" w:color="auto"/>
              <w:right w:val="single" w:sz="4" w:space="0" w:color="auto"/>
            </w:tcBorders>
            <w:shd w:val="clear" w:color="auto" w:fill="auto"/>
            <w:vAlign w:val="center"/>
            <w:hideMark/>
          </w:tcPr>
          <w:p w14:paraId="70FB8F3F"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103,0 </w:t>
            </w:r>
          </w:p>
        </w:tc>
        <w:tc>
          <w:tcPr>
            <w:tcW w:w="1044" w:type="dxa"/>
            <w:tcBorders>
              <w:top w:val="nil"/>
              <w:left w:val="nil"/>
              <w:bottom w:val="single" w:sz="4" w:space="0" w:color="auto"/>
              <w:right w:val="single" w:sz="4" w:space="0" w:color="auto"/>
            </w:tcBorders>
            <w:shd w:val="clear" w:color="auto" w:fill="auto"/>
            <w:vAlign w:val="center"/>
            <w:hideMark/>
          </w:tcPr>
          <w:p w14:paraId="7DB3524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103,0 </w:t>
            </w:r>
          </w:p>
        </w:tc>
        <w:tc>
          <w:tcPr>
            <w:tcW w:w="829" w:type="dxa"/>
            <w:tcBorders>
              <w:top w:val="nil"/>
              <w:left w:val="nil"/>
              <w:bottom w:val="single" w:sz="4" w:space="0" w:color="auto"/>
              <w:right w:val="double" w:sz="4" w:space="0" w:color="auto"/>
            </w:tcBorders>
            <w:shd w:val="clear" w:color="auto" w:fill="auto"/>
            <w:vAlign w:val="center"/>
            <w:hideMark/>
          </w:tcPr>
          <w:p w14:paraId="636776E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69A2BBDD" w14:textId="77777777" w:rsidTr="00AF058B">
        <w:trPr>
          <w:trHeight w:val="70"/>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612BE18D"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Обеспечение деятельности избирательной комиссии Архангельской области, проведение выборов, из них:</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6B78C6BF"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136D7624"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6959F42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3AF87B6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7567EA32" w14:textId="77777777" w:rsidTr="00AF058B">
        <w:trPr>
          <w:trHeight w:val="255"/>
        </w:trPr>
        <w:tc>
          <w:tcPr>
            <w:tcW w:w="6388" w:type="dxa"/>
            <w:tcBorders>
              <w:top w:val="nil"/>
              <w:left w:val="double" w:sz="4" w:space="0" w:color="auto"/>
              <w:bottom w:val="single" w:sz="4" w:space="0" w:color="auto"/>
              <w:right w:val="single" w:sz="4" w:space="0" w:color="auto"/>
            </w:tcBorders>
            <w:shd w:val="clear" w:color="auto" w:fill="auto"/>
            <w:vAlign w:val="center"/>
            <w:hideMark/>
          </w:tcPr>
          <w:p w14:paraId="230DF5E3"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Проведение выборов в Архангельской области</w:t>
            </w:r>
          </w:p>
        </w:tc>
        <w:tc>
          <w:tcPr>
            <w:tcW w:w="892" w:type="dxa"/>
            <w:tcBorders>
              <w:top w:val="nil"/>
              <w:left w:val="nil"/>
              <w:bottom w:val="single" w:sz="4" w:space="0" w:color="auto"/>
              <w:right w:val="single" w:sz="4" w:space="0" w:color="auto"/>
            </w:tcBorders>
            <w:shd w:val="clear" w:color="auto" w:fill="auto"/>
            <w:vAlign w:val="center"/>
            <w:hideMark/>
          </w:tcPr>
          <w:p w14:paraId="699ECED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99" w:type="dxa"/>
            <w:tcBorders>
              <w:top w:val="nil"/>
              <w:left w:val="nil"/>
              <w:bottom w:val="single" w:sz="4" w:space="0" w:color="auto"/>
              <w:right w:val="single" w:sz="4" w:space="0" w:color="auto"/>
            </w:tcBorders>
            <w:shd w:val="clear" w:color="auto" w:fill="auto"/>
            <w:vAlign w:val="center"/>
            <w:hideMark/>
          </w:tcPr>
          <w:p w14:paraId="0C71217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1044" w:type="dxa"/>
            <w:tcBorders>
              <w:top w:val="nil"/>
              <w:left w:val="nil"/>
              <w:bottom w:val="single" w:sz="4" w:space="0" w:color="auto"/>
              <w:right w:val="single" w:sz="4" w:space="0" w:color="auto"/>
            </w:tcBorders>
            <w:shd w:val="clear" w:color="auto" w:fill="auto"/>
            <w:vAlign w:val="center"/>
            <w:hideMark/>
          </w:tcPr>
          <w:p w14:paraId="6B1D772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829" w:type="dxa"/>
            <w:tcBorders>
              <w:top w:val="nil"/>
              <w:left w:val="nil"/>
              <w:bottom w:val="single" w:sz="4" w:space="0" w:color="auto"/>
              <w:right w:val="double" w:sz="4" w:space="0" w:color="auto"/>
            </w:tcBorders>
            <w:shd w:val="clear" w:color="auto" w:fill="auto"/>
            <w:vAlign w:val="center"/>
            <w:hideMark/>
          </w:tcPr>
          <w:p w14:paraId="64719B8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0EC1F100" w14:textId="77777777" w:rsidTr="00AF058B">
        <w:trPr>
          <w:trHeight w:val="255"/>
        </w:trPr>
        <w:tc>
          <w:tcPr>
            <w:tcW w:w="6388" w:type="dxa"/>
            <w:tcBorders>
              <w:top w:val="nil"/>
              <w:left w:val="double" w:sz="4" w:space="0" w:color="auto"/>
              <w:bottom w:val="single" w:sz="4" w:space="0" w:color="auto"/>
              <w:right w:val="single" w:sz="4" w:space="0" w:color="auto"/>
            </w:tcBorders>
            <w:shd w:val="clear" w:color="auto" w:fill="E2EFD9" w:themeFill="accent6" w:themeFillTint="33"/>
            <w:vAlign w:val="center"/>
            <w:hideMark/>
          </w:tcPr>
          <w:p w14:paraId="2E9078CD" w14:textId="0AB7C1FF"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Резервный фонд Правительства</w:t>
            </w:r>
            <w:r w:rsidR="005B4B25" w:rsidRPr="00FD7B0B">
              <w:rPr>
                <w:rFonts w:ascii="Times New Roman" w:hAnsi="Times New Roman" w:cs="Times New Roman"/>
              </w:rPr>
              <w:t xml:space="preserve"> Архангельской области</w:t>
            </w:r>
          </w:p>
        </w:tc>
        <w:tc>
          <w:tcPr>
            <w:tcW w:w="892" w:type="dxa"/>
            <w:tcBorders>
              <w:top w:val="nil"/>
              <w:left w:val="nil"/>
              <w:bottom w:val="single" w:sz="4" w:space="0" w:color="auto"/>
              <w:right w:val="single" w:sz="4" w:space="0" w:color="auto"/>
            </w:tcBorders>
            <w:shd w:val="clear" w:color="auto" w:fill="E2EFD9" w:themeFill="accent6" w:themeFillTint="33"/>
            <w:vAlign w:val="center"/>
            <w:hideMark/>
          </w:tcPr>
          <w:p w14:paraId="7777150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334,4 </w:t>
            </w:r>
          </w:p>
        </w:tc>
        <w:tc>
          <w:tcPr>
            <w:tcW w:w="899" w:type="dxa"/>
            <w:tcBorders>
              <w:top w:val="nil"/>
              <w:left w:val="nil"/>
              <w:bottom w:val="single" w:sz="4" w:space="0" w:color="auto"/>
              <w:right w:val="single" w:sz="4" w:space="0" w:color="auto"/>
            </w:tcBorders>
            <w:shd w:val="clear" w:color="auto" w:fill="E2EFD9" w:themeFill="accent6" w:themeFillTint="33"/>
            <w:vAlign w:val="center"/>
            <w:hideMark/>
          </w:tcPr>
          <w:p w14:paraId="2E6EB577"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129,2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68345CE3"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-205,2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3BDC5552"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-61,4 </w:t>
            </w:r>
          </w:p>
        </w:tc>
      </w:tr>
      <w:tr w:rsidR="00FD7B0B" w:rsidRPr="00FD7B0B" w14:paraId="27CE024E" w14:textId="77777777" w:rsidTr="00AF058B">
        <w:trPr>
          <w:trHeight w:val="70"/>
        </w:trPr>
        <w:tc>
          <w:tcPr>
            <w:tcW w:w="6388" w:type="dxa"/>
            <w:tcBorders>
              <w:top w:val="single" w:sz="4" w:space="0" w:color="auto"/>
              <w:left w:val="double" w:sz="4" w:space="0" w:color="auto"/>
              <w:bottom w:val="nil"/>
              <w:right w:val="single" w:sz="4" w:space="0" w:color="auto"/>
            </w:tcBorders>
            <w:shd w:val="clear" w:color="auto" w:fill="E2EFD9" w:themeFill="accent6" w:themeFillTint="33"/>
            <w:vAlign w:val="center"/>
            <w:hideMark/>
          </w:tcPr>
          <w:p w14:paraId="36BD43D6" w14:textId="1F867D28"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 xml:space="preserve">Поощрение региональных и муниципальных управленческих команд за достижение показателей деятельности органов исполнительной власти субъектов Российской Федерации за счет дотации (гранта) </w:t>
            </w:r>
            <w:r w:rsidR="003D2F7B" w:rsidRPr="00FD7B0B">
              <w:rPr>
                <w:rFonts w:ascii="Times New Roman" w:hAnsi="Times New Roman" w:cs="Times New Roman"/>
              </w:rPr>
              <w:t>из федерального бюджета</w:t>
            </w:r>
          </w:p>
        </w:tc>
        <w:tc>
          <w:tcPr>
            <w:tcW w:w="892" w:type="dxa"/>
            <w:tcBorders>
              <w:top w:val="single" w:sz="4" w:space="0" w:color="auto"/>
              <w:left w:val="nil"/>
              <w:bottom w:val="nil"/>
              <w:right w:val="single" w:sz="4" w:space="0" w:color="auto"/>
            </w:tcBorders>
            <w:shd w:val="clear" w:color="auto" w:fill="E2EFD9" w:themeFill="accent6" w:themeFillTint="33"/>
            <w:vAlign w:val="center"/>
            <w:hideMark/>
          </w:tcPr>
          <w:p w14:paraId="15E0369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9,9 </w:t>
            </w:r>
          </w:p>
        </w:tc>
        <w:tc>
          <w:tcPr>
            <w:tcW w:w="899" w:type="dxa"/>
            <w:tcBorders>
              <w:top w:val="single" w:sz="4" w:space="0" w:color="auto"/>
              <w:left w:val="nil"/>
              <w:bottom w:val="nil"/>
              <w:right w:val="single" w:sz="4" w:space="0" w:color="auto"/>
            </w:tcBorders>
            <w:shd w:val="clear" w:color="auto" w:fill="E2EFD9" w:themeFill="accent6" w:themeFillTint="33"/>
            <w:vAlign w:val="center"/>
            <w:hideMark/>
          </w:tcPr>
          <w:p w14:paraId="559B347E"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6,3 </w:t>
            </w:r>
          </w:p>
        </w:tc>
        <w:tc>
          <w:tcPr>
            <w:tcW w:w="1044" w:type="dxa"/>
            <w:tcBorders>
              <w:top w:val="nil"/>
              <w:left w:val="nil"/>
              <w:bottom w:val="single" w:sz="4" w:space="0" w:color="auto"/>
              <w:right w:val="single" w:sz="4" w:space="0" w:color="auto"/>
            </w:tcBorders>
            <w:shd w:val="clear" w:color="auto" w:fill="E2EFD9" w:themeFill="accent6" w:themeFillTint="33"/>
            <w:vAlign w:val="center"/>
            <w:hideMark/>
          </w:tcPr>
          <w:p w14:paraId="3E39A65B"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-3,5 </w:t>
            </w:r>
          </w:p>
        </w:tc>
        <w:tc>
          <w:tcPr>
            <w:tcW w:w="829" w:type="dxa"/>
            <w:tcBorders>
              <w:top w:val="nil"/>
              <w:left w:val="nil"/>
              <w:bottom w:val="single" w:sz="4" w:space="0" w:color="auto"/>
              <w:right w:val="double" w:sz="4" w:space="0" w:color="auto"/>
            </w:tcBorders>
            <w:shd w:val="clear" w:color="auto" w:fill="E2EFD9" w:themeFill="accent6" w:themeFillTint="33"/>
            <w:vAlign w:val="center"/>
            <w:hideMark/>
          </w:tcPr>
          <w:p w14:paraId="44AFD011"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-35,7 </w:t>
            </w:r>
          </w:p>
        </w:tc>
      </w:tr>
      <w:tr w:rsidR="00FD7B0B" w:rsidRPr="00FD7B0B" w14:paraId="30520702" w14:textId="77777777" w:rsidTr="00AF058B">
        <w:trPr>
          <w:trHeight w:val="70"/>
        </w:trPr>
        <w:tc>
          <w:tcPr>
            <w:tcW w:w="6388" w:type="dxa"/>
            <w:tcBorders>
              <w:top w:val="single" w:sz="4" w:space="0" w:color="auto"/>
              <w:left w:val="double" w:sz="4" w:space="0" w:color="auto"/>
              <w:bottom w:val="double" w:sz="4" w:space="0" w:color="auto"/>
              <w:right w:val="single" w:sz="4" w:space="0" w:color="auto"/>
            </w:tcBorders>
            <w:shd w:val="clear" w:color="auto" w:fill="auto"/>
            <w:vAlign w:val="center"/>
            <w:hideMark/>
          </w:tcPr>
          <w:p w14:paraId="68CB5F1F" w14:textId="77777777" w:rsidR="00B420A9" w:rsidRPr="00FD7B0B" w:rsidRDefault="00B420A9" w:rsidP="005B4B25">
            <w:pPr>
              <w:spacing w:after="0" w:line="240" w:lineRule="auto"/>
              <w:rPr>
                <w:rFonts w:ascii="Times New Roman" w:hAnsi="Times New Roman" w:cs="Times New Roman"/>
              </w:rPr>
            </w:pPr>
            <w:r w:rsidRPr="00FD7B0B">
              <w:rPr>
                <w:rFonts w:ascii="Times New Roman" w:hAnsi="Times New Roman" w:cs="Times New Roman"/>
              </w:rPr>
              <w:t>Итого</w:t>
            </w:r>
          </w:p>
        </w:tc>
        <w:tc>
          <w:tcPr>
            <w:tcW w:w="892" w:type="dxa"/>
            <w:tcBorders>
              <w:top w:val="single" w:sz="4" w:space="0" w:color="auto"/>
              <w:left w:val="nil"/>
              <w:bottom w:val="double" w:sz="4" w:space="0" w:color="auto"/>
              <w:right w:val="single" w:sz="4" w:space="0" w:color="auto"/>
            </w:tcBorders>
            <w:shd w:val="clear" w:color="auto" w:fill="auto"/>
            <w:vAlign w:val="center"/>
            <w:hideMark/>
          </w:tcPr>
          <w:p w14:paraId="5D0D13C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7 021,3 </w:t>
            </w:r>
          </w:p>
        </w:tc>
        <w:tc>
          <w:tcPr>
            <w:tcW w:w="899" w:type="dxa"/>
            <w:tcBorders>
              <w:top w:val="single" w:sz="4" w:space="0" w:color="auto"/>
              <w:left w:val="nil"/>
              <w:bottom w:val="double" w:sz="4" w:space="0" w:color="auto"/>
              <w:right w:val="single" w:sz="4" w:space="0" w:color="auto"/>
            </w:tcBorders>
            <w:shd w:val="clear" w:color="auto" w:fill="auto"/>
            <w:vAlign w:val="center"/>
            <w:hideMark/>
          </w:tcPr>
          <w:p w14:paraId="59BCD298"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5 742,6 </w:t>
            </w:r>
          </w:p>
        </w:tc>
        <w:tc>
          <w:tcPr>
            <w:tcW w:w="1044" w:type="dxa"/>
            <w:tcBorders>
              <w:top w:val="nil"/>
              <w:left w:val="nil"/>
              <w:bottom w:val="double" w:sz="4" w:space="0" w:color="auto"/>
              <w:right w:val="single" w:sz="4" w:space="0" w:color="auto"/>
            </w:tcBorders>
            <w:shd w:val="clear" w:color="auto" w:fill="auto"/>
            <w:vAlign w:val="center"/>
            <w:hideMark/>
          </w:tcPr>
          <w:p w14:paraId="3BE8037C"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-1 278,7 </w:t>
            </w:r>
          </w:p>
        </w:tc>
        <w:tc>
          <w:tcPr>
            <w:tcW w:w="829" w:type="dxa"/>
            <w:tcBorders>
              <w:top w:val="nil"/>
              <w:left w:val="nil"/>
              <w:bottom w:val="double" w:sz="4" w:space="0" w:color="auto"/>
              <w:right w:val="double" w:sz="4" w:space="0" w:color="auto"/>
            </w:tcBorders>
            <w:shd w:val="clear" w:color="auto" w:fill="auto"/>
            <w:vAlign w:val="center"/>
            <w:hideMark/>
          </w:tcPr>
          <w:p w14:paraId="4EDA85F6" w14:textId="77777777" w:rsidR="00B420A9" w:rsidRPr="00FD7B0B" w:rsidRDefault="00B420A9" w:rsidP="005B4B25">
            <w:pPr>
              <w:spacing w:after="0" w:line="240" w:lineRule="auto"/>
              <w:jc w:val="right"/>
              <w:rPr>
                <w:rFonts w:ascii="Times New Roman" w:hAnsi="Times New Roman" w:cs="Times New Roman"/>
              </w:rPr>
            </w:pPr>
            <w:r w:rsidRPr="00FD7B0B">
              <w:rPr>
                <w:rFonts w:ascii="Times New Roman" w:hAnsi="Times New Roman" w:cs="Times New Roman"/>
              </w:rPr>
              <w:t xml:space="preserve">-18,2 </w:t>
            </w:r>
          </w:p>
        </w:tc>
      </w:tr>
    </w:tbl>
    <w:p w14:paraId="55E3ACFE" w14:textId="77777777" w:rsidR="00B420A9" w:rsidRPr="00FD7B0B" w:rsidRDefault="00B420A9" w:rsidP="00AF058B">
      <w:pPr>
        <w:spacing w:after="0" w:line="240" w:lineRule="auto"/>
        <w:ind w:firstLine="709"/>
        <w:contextualSpacing/>
        <w:jc w:val="both"/>
        <w:rPr>
          <w:rFonts w:ascii="Times New Roman" w:eastAsia="Calibri" w:hAnsi="Times New Roman" w:cs="Times New Roman"/>
          <w:sz w:val="28"/>
          <w:szCs w:val="28"/>
          <w:lang w:eastAsia="ru-RU"/>
        </w:rPr>
      </w:pPr>
    </w:p>
    <w:p w14:paraId="1A70813D" w14:textId="1CB03B3B" w:rsidR="00B420A9" w:rsidRPr="00FD7B0B" w:rsidRDefault="00B420A9" w:rsidP="00AF058B">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Всего снижение сумм иных межбюджетных трансфертов местным бюджетам из областного бюджета 2024 года к 2023 год</w:t>
      </w:r>
      <w:r w:rsidR="00AF058B" w:rsidRPr="00FD7B0B">
        <w:rPr>
          <w:rFonts w:ascii="Times New Roman" w:eastAsia="Calibri" w:hAnsi="Times New Roman" w:cs="Times New Roman"/>
          <w:sz w:val="28"/>
          <w:szCs w:val="28"/>
          <w:lang w:eastAsia="ru-RU"/>
        </w:rPr>
        <w:t>у</w:t>
      </w:r>
      <w:r w:rsidRPr="00FD7B0B">
        <w:rPr>
          <w:rFonts w:ascii="Times New Roman" w:eastAsia="Calibri" w:hAnsi="Times New Roman" w:cs="Times New Roman"/>
          <w:sz w:val="28"/>
          <w:szCs w:val="28"/>
          <w:lang w:eastAsia="ru-RU"/>
        </w:rPr>
        <w:t xml:space="preserve"> составило 18.2 % </w:t>
      </w:r>
      <w:r w:rsidRPr="00FD7B0B">
        <w:rPr>
          <w:rFonts w:ascii="Times New Roman" w:eastAsia="Calibri" w:hAnsi="Times New Roman" w:cs="Times New Roman"/>
          <w:sz w:val="28"/>
          <w:szCs w:val="28"/>
          <w:lang w:eastAsia="ru-RU"/>
        </w:rPr>
        <w:br/>
        <w:t>(-1 287,7 млн.руб) за счет изменения расходов, в т.ч.:</w:t>
      </w:r>
    </w:p>
    <w:p w14:paraId="691AC964" w14:textId="34410984" w:rsidR="00B420A9" w:rsidRPr="00FD7B0B" w:rsidRDefault="007971E7" w:rsidP="00C9603E">
      <w:pPr>
        <w:pStyle w:val="a8"/>
        <w:numPr>
          <w:ilvl w:val="0"/>
          <w:numId w:val="27"/>
        </w:numPr>
        <w:ind w:left="0" w:firstLine="698"/>
        <w:jc w:val="both"/>
        <w:rPr>
          <w:sz w:val="28"/>
          <w:szCs w:val="28"/>
        </w:rPr>
      </w:pPr>
      <w:r w:rsidRPr="00FD7B0B">
        <w:rPr>
          <w:sz w:val="28"/>
          <w:szCs w:val="28"/>
        </w:rPr>
        <w:t>сокращение</w:t>
      </w:r>
      <w:r w:rsidR="00B420A9" w:rsidRPr="00FD7B0B">
        <w:rPr>
          <w:sz w:val="28"/>
          <w:szCs w:val="28"/>
        </w:rPr>
        <w:t xml:space="preserve"> расходов на реализацию мероприятий государственных программ Архангельской области «Развитие транспортной системы Архангельской области» (-1 927,5 млн.руб.) и «Формирование современной городской среды в Архангельской области» (-866,3 млн.руб.);</w:t>
      </w:r>
    </w:p>
    <w:p w14:paraId="43ACDF10" w14:textId="77777777" w:rsidR="00B420A9" w:rsidRPr="00FD7B0B" w:rsidRDefault="00B420A9" w:rsidP="00C9603E">
      <w:pPr>
        <w:pStyle w:val="a8"/>
        <w:numPr>
          <w:ilvl w:val="0"/>
          <w:numId w:val="27"/>
        </w:numPr>
        <w:ind w:left="0" w:firstLine="698"/>
        <w:jc w:val="both"/>
        <w:rPr>
          <w:sz w:val="28"/>
          <w:szCs w:val="28"/>
        </w:rPr>
      </w:pPr>
      <w:r w:rsidRPr="00FD7B0B">
        <w:rPr>
          <w:sz w:val="28"/>
          <w:szCs w:val="28"/>
        </w:rPr>
        <w:t>увеличения расходов по государственной программе «Развитие энергетики и жилищно-коммунального хозяйства Архангельской области» (+998,7 млн.руб., в основном на строительство котельных) и «Совершенствование государственного управления и местного самоуправления, развитие институтов гражданского общества в Архангельской области» (+438,7 млн.руб., в большей части на реализацию инициативных проектов в рамках регионального проекта «Комфортное Поморье»).</w:t>
      </w:r>
    </w:p>
    <w:p w14:paraId="59F64B91" w14:textId="77777777" w:rsidR="00B420A9" w:rsidRPr="00FD7B0B" w:rsidRDefault="00B420A9" w:rsidP="000A40F7">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В составе иных межбюджетных трансфертов местным бюджетам в областном бюджете на 2024 год утверждено финансирование объектов капитальных вложений на общую сумму 2 014,2 млн.руб., расходы по которым в отчетном периоде составили 1 022,5 млн.руб. или 50,0 % к плану года, из них </w:t>
      </w:r>
      <w:r w:rsidRPr="00FD7B0B">
        <w:rPr>
          <w:rFonts w:ascii="Times New Roman" w:eastAsia="Calibri" w:hAnsi="Times New Roman" w:cs="Times New Roman"/>
          <w:sz w:val="28"/>
          <w:szCs w:val="28"/>
          <w:lang w:eastAsia="ru-RU"/>
        </w:rPr>
        <w:lastRenderedPageBreak/>
        <w:t>1 008,3 млн.руб. – на модернизацию (строительство) котельных на твердом биотопливе, источником финансового обеспечения которых является специальный казначейский кредит (план года – 2 000,0 млн.руб.) и расходы по ним обеспечены на 50,4 % к плану года, что объясняется перечислением межбюджетных трансфертов в пределах сумм, необходимых для оплаты денежных обязательств.</w:t>
      </w:r>
    </w:p>
    <w:p w14:paraId="58BDE2F3" w14:textId="396AE6CE" w:rsidR="00B420A9" w:rsidRPr="00FD7B0B" w:rsidRDefault="009B516C" w:rsidP="000A40F7">
      <w:pPr>
        <w:pStyle w:val="3"/>
        <w:spacing w:line="240" w:lineRule="auto"/>
        <w:jc w:val="center"/>
        <w:rPr>
          <w:rFonts w:ascii="Times New Roman" w:hAnsi="Times New Roman"/>
          <w:b w:val="0"/>
          <w:sz w:val="28"/>
          <w:szCs w:val="28"/>
          <w:u w:val="single"/>
          <w:lang w:val="ru-RU"/>
        </w:rPr>
      </w:pPr>
      <w:bookmarkStart w:id="123" w:name="_Toc184649436"/>
      <w:bookmarkStart w:id="124" w:name="_Toc198819132"/>
      <w:r w:rsidRPr="00FD7B0B">
        <w:rPr>
          <w:rFonts w:ascii="Times New Roman" w:hAnsi="Times New Roman"/>
          <w:b w:val="0"/>
          <w:sz w:val="28"/>
          <w:szCs w:val="28"/>
          <w:u w:val="single"/>
          <w:lang w:val="ru-RU"/>
        </w:rPr>
        <w:t>4</w:t>
      </w:r>
      <w:r w:rsidR="00B420A9" w:rsidRPr="00FD7B0B">
        <w:rPr>
          <w:rFonts w:ascii="Times New Roman" w:hAnsi="Times New Roman"/>
          <w:b w:val="0"/>
          <w:sz w:val="28"/>
          <w:szCs w:val="28"/>
          <w:u w:val="single"/>
          <w:lang w:val="ru-RU"/>
        </w:rPr>
        <w:t>.</w:t>
      </w:r>
      <w:r w:rsidR="00C5032A" w:rsidRPr="00FD7B0B">
        <w:rPr>
          <w:rFonts w:ascii="Times New Roman" w:hAnsi="Times New Roman"/>
          <w:b w:val="0"/>
          <w:sz w:val="28"/>
          <w:szCs w:val="28"/>
          <w:u w:val="single"/>
          <w:lang w:val="ru-RU"/>
        </w:rPr>
        <w:t>2</w:t>
      </w:r>
      <w:r w:rsidR="00B420A9" w:rsidRPr="00FD7B0B">
        <w:rPr>
          <w:rFonts w:ascii="Times New Roman" w:hAnsi="Times New Roman"/>
          <w:b w:val="0"/>
          <w:sz w:val="28"/>
          <w:szCs w:val="28"/>
          <w:u w:val="single"/>
          <w:lang w:val="ru-RU"/>
        </w:rPr>
        <w:t>.2. Межбюджетные трансферты другим бюджетам</w:t>
      </w:r>
      <w:bookmarkEnd w:id="122"/>
      <w:bookmarkEnd w:id="123"/>
      <w:bookmarkEnd w:id="124"/>
    </w:p>
    <w:p w14:paraId="07B865FD" w14:textId="42D9F3C3" w:rsidR="00B420A9" w:rsidRPr="00FD7B0B" w:rsidRDefault="00B420A9" w:rsidP="000A40F7">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Межбюджетные трансферты другим бюджетам </w:t>
      </w:r>
      <w:r w:rsidR="000A40F7" w:rsidRPr="00FD7B0B">
        <w:rPr>
          <w:rFonts w:ascii="Times New Roman" w:eastAsia="Calibri" w:hAnsi="Times New Roman" w:cs="Times New Roman"/>
          <w:sz w:val="28"/>
          <w:szCs w:val="28"/>
          <w:lang w:eastAsia="ru-RU"/>
        </w:rPr>
        <w:t xml:space="preserve">(за исключением местных бюджетов) </w:t>
      </w:r>
      <w:r w:rsidRPr="00FD7B0B">
        <w:rPr>
          <w:rFonts w:ascii="Times New Roman" w:eastAsia="Calibri" w:hAnsi="Times New Roman" w:cs="Times New Roman"/>
          <w:sz w:val="28"/>
          <w:szCs w:val="28"/>
          <w:lang w:eastAsia="ru-RU"/>
        </w:rPr>
        <w:t>за отчетный период составили в общей сумме 1 048,7 млн.руб. или 100,0 % к плану года и на 20,7 % (+180,0 млн.руб.) превышают аналогичные расходы за 2023 год.</w:t>
      </w:r>
    </w:p>
    <w:p w14:paraId="482D48FE" w14:textId="40207F73" w:rsidR="00B420A9" w:rsidRPr="00FD7B0B" w:rsidRDefault="00B420A9" w:rsidP="000A40F7">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В таблице </w:t>
      </w:r>
      <w:r w:rsidR="004F0970" w:rsidRPr="00FD7B0B">
        <w:rPr>
          <w:rFonts w:ascii="Times New Roman" w:eastAsia="Calibri" w:hAnsi="Times New Roman" w:cs="Times New Roman"/>
          <w:sz w:val="28"/>
          <w:szCs w:val="28"/>
          <w:lang w:eastAsia="ru-RU"/>
        </w:rPr>
        <w:t>75</w:t>
      </w:r>
      <w:r w:rsidRPr="00FD7B0B">
        <w:rPr>
          <w:rFonts w:ascii="Times New Roman" w:eastAsia="Calibri" w:hAnsi="Times New Roman" w:cs="Times New Roman"/>
          <w:sz w:val="28"/>
          <w:szCs w:val="28"/>
          <w:lang w:eastAsia="ru-RU"/>
        </w:rPr>
        <w:t xml:space="preserve"> представлены сведения о межбюджетных трансфертах другим бюджетам, перечисленные из областного бюджета за 2023 и 2024 годы.</w:t>
      </w:r>
    </w:p>
    <w:p w14:paraId="0C5606F4" w14:textId="77777777" w:rsidR="00B420A9" w:rsidRPr="00FD7B0B" w:rsidRDefault="00B420A9" w:rsidP="007F2F88">
      <w:pPr>
        <w:spacing w:after="0" w:line="240" w:lineRule="auto"/>
        <w:rPr>
          <w:rFonts w:ascii="Times New Roman" w:eastAsia="Calibri" w:hAnsi="Times New Roman" w:cs="Times New Roman"/>
          <w:sz w:val="24"/>
          <w:szCs w:val="24"/>
        </w:rPr>
      </w:pPr>
    </w:p>
    <w:p w14:paraId="5B55677A" w14:textId="77777777" w:rsidR="00B420A9" w:rsidRPr="00FD7B0B" w:rsidRDefault="00B420A9" w:rsidP="007F2F88">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75</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Межбюджетные трансферты из областного бюджета другим бюджетам за исключением местных бюджетов Архангельской области, перечисленные за 2023 и 2024 годы, млн.руб.</w:t>
      </w:r>
    </w:p>
    <w:tbl>
      <w:tblPr>
        <w:tblW w:w="9758" w:type="dxa"/>
        <w:tblLayout w:type="fixed"/>
        <w:tblLook w:val="04A0" w:firstRow="1" w:lastRow="0" w:firstColumn="1" w:lastColumn="0" w:noHBand="0" w:noVBand="1"/>
      </w:tblPr>
      <w:tblGrid>
        <w:gridCol w:w="5859"/>
        <w:gridCol w:w="958"/>
        <w:gridCol w:w="958"/>
        <w:gridCol w:w="1133"/>
        <w:gridCol w:w="850"/>
      </w:tblGrid>
      <w:tr w:rsidR="00FD7B0B" w:rsidRPr="00FD7B0B" w14:paraId="1F35EFF5" w14:textId="77777777" w:rsidTr="007F2F88">
        <w:trPr>
          <w:trHeight w:val="35"/>
          <w:tblHeader/>
        </w:trPr>
        <w:tc>
          <w:tcPr>
            <w:tcW w:w="585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66F8CEE" w14:textId="77777777" w:rsidR="00B420A9" w:rsidRPr="00FD7B0B" w:rsidRDefault="00B420A9" w:rsidP="007F2F88">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95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07E8FF5" w14:textId="77777777" w:rsidR="00B420A9" w:rsidRPr="00FD7B0B" w:rsidRDefault="00B420A9" w:rsidP="007F2F88">
            <w:pPr>
              <w:spacing w:after="0" w:line="240" w:lineRule="auto"/>
              <w:jc w:val="center"/>
              <w:rPr>
                <w:rFonts w:ascii="Times New Roman" w:hAnsi="Times New Roman" w:cs="Times New Roman"/>
              </w:rPr>
            </w:pPr>
            <w:r w:rsidRPr="00FD7B0B">
              <w:rPr>
                <w:rFonts w:ascii="Times New Roman" w:hAnsi="Times New Roman" w:cs="Times New Roman"/>
              </w:rPr>
              <w:t>2023 г.</w:t>
            </w:r>
          </w:p>
        </w:tc>
        <w:tc>
          <w:tcPr>
            <w:tcW w:w="95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2656979" w14:textId="77777777" w:rsidR="00B420A9" w:rsidRPr="00FD7B0B" w:rsidRDefault="00B420A9" w:rsidP="007F2F88">
            <w:pPr>
              <w:spacing w:after="0" w:line="240" w:lineRule="auto"/>
              <w:jc w:val="center"/>
              <w:rPr>
                <w:rFonts w:ascii="Times New Roman" w:hAnsi="Times New Roman" w:cs="Times New Roman"/>
              </w:rPr>
            </w:pPr>
            <w:r w:rsidRPr="00FD7B0B">
              <w:rPr>
                <w:rFonts w:ascii="Times New Roman" w:hAnsi="Times New Roman" w:cs="Times New Roman"/>
              </w:rPr>
              <w:t>2024 г.</w:t>
            </w:r>
          </w:p>
        </w:tc>
        <w:tc>
          <w:tcPr>
            <w:tcW w:w="1983" w:type="dxa"/>
            <w:gridSpan w:val="2"/>
            <w:tcBorders>
              <w:top w:val="double" w:sz="6" w:space="0" w:color="auto"/>
              <w:left w:val="nil"/>
              <w:bottom w:val="single" w:sz="4" w:space="0" w:color="auto"/>
              <w:right w:val="double" w:sz="6" w:space="0" w:color="000000"/>
            </w:tcBorders>
            <w:shd w:val="clear" w:color="auto" w:fill="auto"/>
            <w:vAlign w:val="center"/>
            <w:hideMark/>
          </w:tcPr>
          <w:p w14:paraId="078BF4AB" w14:textId="77777777" w:rsidR="00B420A9" w:rsidRPr="00FD7B0B" w:rsidRDefault="00B420A9" w:rsidP="007F2F88">
            <w:pPr>
              <w:spacing w:after="0" w:line="240" w:lineRule="auto"/>
              <w:jc w:val="center"/>
              <w:rPr>
                <w:rFonts w:ascii="Times New Roman" w:hAnsi="Times New Roman" w:cs="Times New Roman"/>
              </w:rPr>
            </w:pPr>
            <w:r w:rsidRPr="00FD7B0B">
              <w:rPr>
                <w:rFonts w:ascii="Times New Roman" w:hAnsi="Times New Roman" w:cs="Times New Roman"/>
              </w:rPr>
              <w:t>Изменение (+,-)</w:t>
            </w:r>
          </w:p>
        </w:tc>
      </w:tr>
      <w:tr w:rsidR="00FD7B0B" w:rsidRPr="00FD7B0B" w14:paraId="531F6776" w14:textId="77777777" w:rsidTr="007F2F88">
        <w:trPr>
          <w:trHeight w:val="35"/>
          <w:tblHeader/>
        </w:trPr>
        <w:tc>
          <w:tcPr>
            <w:tcW w:w="5859" w:type="dxa"/>
            <w:vMerge/>
            <w:tcBorders>
              <w:top w:val="double" w:sz="6" w:space="0" w:color="auto"/>
              <w:left w:val="double" w:sz="6" w:space="0" w:color="auto"/>
              <w:bottom w:val="single" w:sz="4" w:space="0" w:color="auto"/>
              <w:right w:val="single" w:sz="4" w:space="0" w:color="auto"/>
            </w:tcBorders>
            <w:vAlign w:val="center"/>
            <w:hideMark/>
          </w:tcPr>
          <w:p w14:paraId="73435E70" w14:textId="77777777" w:rsidR="00B420A9" w:rsidRPr="00FD7B0B" w:rsidRDefault="00B420A9" w:rsidP="007F2F88">
            <w:pPr>
              <w:spacing w:after="0" w:line="240" w:lineRule="auto"/>
              <w:jc w:val="center"/>
              <w:rPr>
                <w:rFonts w:ascii="Times New Roman" w:hAnsi="Times New Roman" w:cs="Times New Roman"/>
              </w:rPr>
            </w:pPr>
          </w:p>
        </w:tc>
        <w:tc>
          <w:tcPr>
            <w:tcW w:w="958" w:type="dxa"/>
            <w:vMerge/>
            <w:tcBorders>
              <w:top w:val="double" w:sz="6" w:space="0" w:color="auto"/>
              <w:left w:val="single" w:sz="4" w:space="0" w:color="auto"/>
              <w:bottom w:val="single" w:sz="4" w:space="0" w:color="auto"/>
              <w:right w:val="single" w:sz="4" w:space="0" w:color="auto"/>
            </w:tcBorders>
            <w:vAlign w:val="center"/>
            <w:hideMark/>
          </w:tcPr>
          <w:p w14:paraId="7A8AD479" w14:textId="77777777" w:rsidR="00B420A9" w:rsidRPr="00FD7B0B" w:rsidRDefault="00B420A9" w:rsidP="007F2F88">
            <w:pPr>
              <w:spacing w:after="0" w:line="240" w:lineRule="auto"/>
              <w:jc w:val="center"/>
              <w:rPr>
                <w:rFonts w:ascii="Times New Roman" w:hAnsi="Times New Roman" w:cs="Times New Roman"/>
              </w:rPr>
            </w:pPr>
          </w:p>
        </w:tc>
        <w:tc>
          <w:tcPr>
            <w:tcW w:w="958" w:type="dxa"/>
            <w:vMerge/>
            <w:tcBorders>
              <w:top w:val="double" w:sz="6" w:space="0" w:color="auto"/>
              <w:left w:val="single" w:sz="4" w:space="0" w:color="auto"/>
              <w:bottom w:val="single" w:sz="4" w:space="0" w:color="auto"/>
              <w:right w:val="single" w:sz="4" w:space="0" w:color="auto"/>
            </w:tcBorders>
            <w:vAlign w:val="center"/>
            <w:hideMark/>
          </w:tcPr>
          <w:p w14:paraId="3B063033" w14:textId="77777777" w:rsidR="00B420A9" w:rsidRPr="00FD7B0B" w:rsidRDefault="00B420A9" w:rsidP="007F2F88">
            <w:pPr>
              <w:spacing w:after="0" w:line="240" w:lineRule="auto"/>
              <w:jc w:val="center"/>
              <w:rPr>
                <w:rFonts w:ascii="Times New Roman" w:hAnsi="Times New Roman" w:cs="Times New Roman"/>
              </w:rPr>
            </w:pPr>
          </w:p>
        </w:tc>
        <w:tc>
          <w:tcPr>
            <w:tcW w:w="1133" w:type="dxa"/>
            <w:tcBorders>
              <w:top w:val="nil"/>
              <w:left w:val="nil"/>
              <w:bottom w:val="single" w:sz="4" w:space="0" w:color="auto"/>
              <w:right w:val="single" w:sz="4" w:space="0" w:color="auto"/>
            </w:tcBorders>
            <w:shd w:val="clear" w:color="auto" w:fill="auto"/>
            <w:vAlign w:val="center"/>
            <w:hideMark/>
          </w:tcPr>
          <w:p w14:paraId="7773F34F" w14:textId="77777777" w:rsidR="00B420A9" w:rsidRPr="00FD7B0B" w:rsidRDefault="00B420A9" w:rsidP="007F2F88">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50" w:type="dxa"/>
            <w:tcBorders>
              <w:top w:val="nil"/>
              <w:left w:val="nil"/>
              <w:bottom w:val="single" w:sz="4" w:space="0" w:color="auto"/>
              <w:right w:val="double" w:sz="6" w:space="0" w:color="auto"/>
            </w:tcBorders>
            <w:shd w:val="clear" w:color="auto" w:fill="auto"/>
            <w:vAlign w:val="center"/>
            <w:hideMark/>
          </w:tcPr>
          <w:p w14:paraId="364A1549" w14:textId="5CDDF01C" w:rsidR="00B420A9" w:rsidRPr="00FD7B0B" w:rsidRDefault="00B420A9" w:rsidP="007F2F88">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6B008C67" w14:textId="77777777" w:rsidTr="00FE6B63">
        <w:trPr>
          <w:trHeight w:val="70"/>
        </w:trPr>
        <w:tc>
          <w:tcPr>
            <w:tcW w:w="5859" w:type="dxa"/>
            <w:tcBorders>
              <w:top w:val="nil"/>
              <w:left w:val="double" w:sz="6" w:space="0" w:color="auto"/>
              <w:bottom w:val="single" w:sz="4" w:space="0" w:color="auto"/>
              <w:right w:val="single" w:sz="4" w:space="0" w:color="auto"/>
            </w:tcBorders>
            <w:shd w:val="clear" w:color="auto" w:fill="E2EFD9" w:themeFill="accent6" w:themeFillTint="33"/>
            <w:vAlign w:val="center"/>
            <w:hideMark/>
          </w:tcPr>
          <w:p w14:paraId="76D100D1" w14:textId="77777777" w:rsidR="00B420A9" w:rsidRPr="00FD7B0B" w:rsidRDefault="00B420A9" w:rsidP="007F2F88">
            <w:pPr>
              <w:spacing w:after="0" w:line="240" w:lineRule="auto"/>
              <w:rPr>
                <w:rFonts w:ascii="Times New Roman" w:hAnsi="Times New Roman" w:cs="Times New Roman"/>
              </w:rPr>
            </w:pPr>
            <w:r w:rsidRPr="00FD7B0B">
              <w:rPr>
                <w:rFonts w:ascii="Times New Roman" w:hAnsi="Times New Roman" w:cs="Times New Roman"/>
              </w:rPr>
              <w:t>Федеральный бюджет, в т.ч.:</w:t>
            </w:r>
          </w:p>
        </w:tc>
        <w:tc>
          <w:tcPr>
            <w:tcW w:w="958" w:type="dxa"/>
            <w:tcBorders>
              <w:top w:val="nil"/>
              <w:left w:val="nil"/>
              <w:bottom w:val="single" w:sz="4" w:space="0" w:color="auto"/>
              <w:right w:val="single" w:sz="4" w:space="0" w:color="auto"/>
            </w:tcBorders>
            <w:shd w:val="clear" w:color="auto" w:fill="E2EFD9" w:themeFill="accent6" w:themeFillTint="33"/>
            <w:vAlign w:val="center"/>
            <w:hideMark/>
          </w:tcPr>
          <w:p w14:paraId="4B1941CB"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3,4 </w:t>
            </w:r>
          </w:p>
        </w:tc>
        <w:tc>
          <w:tcPr>
            <w:tcW w:w="958" w:type="dxa"/>
            <w:tcBorders>
              <w:top w:val="nil"/>
              <w:left w:val="nil"/>
              <w:bottom w:val="single" w:sz="4" w:space="0" w:color="auto"/>
              <w:right w:val="single" w:sz="4" w:space="0" w:color="auto"/>
            </w:tcBorders>
            <w:shd w:val="clear" w:color="auto" w:fill="E2EFD9" w:themeFill="accent6" w:themeFillTint="33"/>
            <w:vAlign w:val="center"/>
            <w:hideMark/>
          </w:tcPr>
          <w:p w14:paraId="22FDE9EE"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8,5 </w:t>
            </w:r>
          </w:p>
        </w:tc>
        <w:tc>
          <w:tcPr>
            <w:tcW w:w="1133" w:type="dxa"/>
            <w:tcBorders>
              <w:top w:val="nil"/>
              <w:left w:val="nil"/>
              <w:bottom w:val="single" w:sz="4" w:space="0" w:color="auto"/>
              <w:right w:val="single" w:sz="4" w:space="0" w:color="auto"/>
            </w:tcBorders>
            <w:shd w:val="clear" w:color="auto" w:fill="E2EFD9" w:themeFill="accent6" w:themeFillTint="33"/>
            <w:vAlign w:val="center"/>
            <w:hideMark/>
          </w:tcPr>
          <w:p w14:paraId="0204197F"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5,1 </w:t>
            </w:r>
          </w:p>
        </w:tc>
        <w:tc>
          <w:tcPr>
            <w:tcW w:w="850" w:type="dxa"/>
            <w:tcBorders>
              <w:top w:val="nil"/>
              <w:left w:val="nil"/>
              <w:bottom w:val="single" w:sz="4" w:space="0" w:color="auto"/>
              <w:right w:val="double" w:sz="6" w:space="0" w:color="auto"/>
            </w:tcBorders>
            <w:shd w:val="clear" w:color="auto" w:fill="E2EFD9" w:themeFill="accent6" w:themeFillTint="33"/>
            <w:vAlign w:val="center"/>
            <w:hideMark/>
          </w:tcPr>
          <w:p w14:paraId="7252BBEE"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в 2,5 раза</w:t>
            </w:r>
          </w:p>
        </w:tc>
      </w:tr>
      <w:tr w:rsidR="00FD7B0B" w:rsidRPr="00FD7B0B" w14:paraId="715EA50F" w14:textId="77777777" w:rsidTr="007F2F88">
        <w:trPr>
          <w:trHeight w:val="70"/>
        </w:trPr>
        <w:tc>
          <w:tcPr>
            <w:tcW w:w="5859" w:type="dxa"/>
            <w:tcBorders>
              <w:top w:val="nil"/>
              <w:left w:val="double" w:sz="6" w:space="0" w:color="auto"/>
              <w:bottom w:val="single" w:sz="4" w:space="0" w:color="auto"/>
              <w:right w:val="single" w:sz="4" w:space="0" w:color="auto"/>
            </w:tcBorders>
            <w:shd w:val="clear" w:color="auto" w:fill="auto"/>
            <w:vAlign w:val="center"/>
            <w:hideMark/>
          </w:tcPr>
          <w:p w14:paraId="0F172E67" w14:textId="77777777" w:rsidR="00B420A9" w:rsidRPr="00FD7B0B" w:rsidRDefault="00B420A9" w:rsidP="007F2F88">
            <w:pPr>
              <w:spacing w:after="0" w:line="240" w:lineRule="auto"/>
              <w:rPr>
                <w:rFonts w:ascii="Times New Roman" w:hAnsi="Times New Roman" w:cs="Times New Roman"/>
              </w:rPr>
            </w:pPr>
            <w:r w:rsidRPr="00FD7B0B">
              <w:rPr>
                <w:rFonts w:ascii="Times New Roman" w:hAnsi="Times New Roman" w:cs="Times New Roman"/>
              </w:rPr>
              <w:t xml:space="preserve"> - осуществление части переданных полномочий по составлению протоколов об административных правонарушениях, посягающих на общественный порядок и общественную безопасность</w:t>
            </w:r>
          </w:p>
        </w:tc>
        <w:tc>
          <w:tcPr>
            <w:tcW w:w="958" w:type="dxa"/>
            <w:tcBorders>
              <w:top w:val="nil"/>
              <w:left w:val="nil"/>
              <w:bottom w:val="single" w:sz="4" w:space="0" w:color="auto"/>
              <w:right w:val="single" w:sz="4" w:space="0" w:color="auto"/>
            </w:tcBorders>
            <w:shd w:val="clear" w:color="auto" w:fill="auto"/>
            <w:vAlign w:val="center"/>
            <w:hideMark/>
          </w:tcPr>
          <w:p w14:paraId="075BD6F3"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3,4 </w:t>
            </w:r>
          </w:p>
        </w:tc>
        <w:tc>
          <w:tcPr>
            <w:tcW w:w="958" w:type="dxa"/>
            <w:tcBorders>
              <w:top w:val="nil"/>
              <w:left w:val="nil"/>
              <w:bottom w:val="single" w:sz="4" w:space="0" w:color="auto"/>
              <w:right w:val="single" w:sz="4" w:space="0" w:color="auto"/>
            </w:tcBorders>
            <w:shd w:val="clear" w:color="auto" w:fill="auto"/>
            <w:vAlign w:val="center"/>
            <w:hideMark/>
          </w:tcPr>
          <w:p w14:paraId="6951DE39"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8,5 </w:t>
            </w:r>
          </w:p>
        </w:tc>
        <w:tc>
          <w:tcPr>
            <w:tcW w:w="1133" w:type="dxa"/>
            <w:tcBorders>
              <w:top w:val="nil"/>
              <w:left w:val="nil"/>
              <w:bottom w:val="single" w:sz="4" w:space="0" w:color="auto"/>
              <w:right w:val="single" w:sz="4" w:space="0" w:color="auto"/>
            </w:tcBorders>
            <w:shd w:val="clear" w:color="auto" w:fill="auto"/>
            <w:vAlign w:val="center"/>
            <w:hideMark/>
          </w:tcPr>
          <w:p w14:paraId="04C72885"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5,1 </w:t>
            </w:r>
          </w:p>
        </w:tc>
        <w:tc>
          <w:tcPr>
            <w:tcW w:w="850" w:type="dxa"/>
            <w:tcBorders>
              <w:top w:val="nil"/>
              <w:left w:val="nil"/>
              <w:bottom w:val="single" w:sz="4" w:space="0" w:color="auto"/>
              <w:right w:val="double" w:sz="6" w:space="0" w:color="auto"/>
            </w:tcBorders>
            <w:shd w:val="clear" w:color="auto" w:fill="auto"/>
            <w:vAlign w:val="center"/>
            <w:hideMark/>
          </w:tcPr>
          <w:p w14:paraId="676A3ACC"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в 2,5 раза</w:t>
            </w:r>
          </w:p>
        </w:tc>
      </w:tr>
      <w:tr w:rsidR="00FD7B0B" w:rsidRPr="00FD7B0B" w14:paraId="0FF1959B" w14:textId="77777777" w:rsidTr="00FE6B63">
        <w:trPr>
          <w:trHeight w:val="70"/>
        </w:trPr>
        <w:tc>
          <w:tcPr>
            <w:tcW w:w="5859" w:type="dxa"/>
            <w:tcBorders>
              <w:top w:val="nil"/>
              <w:left w:val="double" w:sz="6" w:space="0" w:color="auto"/>
              <w:bottom w:val="single" w:sz="4" w:space="0" w:color="auto"/>
              <w:right w:val="single" w:sz="4" w:space="0" w:color="auto"/>
            </w:tcBorders>
            <w:shd w:val="clear" w:color="auto" w:fill="E2EFD9" w:themeFill="accent6" w:themeFillTint="33"/>
            <w:vAlign w:val="center"/>
            <w:hideMark/>
          </w:tcPr>
          <w:p w14:paraId="56EF2171" w14:textId="77777777" w:rsidR="00B420A9" w:rsidRPr="00FD7B0B" w:rsidRDefault="00B420A9" w:rsidP="007F2F88">
            <w:pPr>
              <w:spacing w:after="0" w:line="240" w:lineRule="auto"/>
              <w:rPr>
                <w:rFonts w:ascii="Times New Roman" w:hAnsi="Times New Roman" w:cs="Times New Roman"/>
              </w:rPr>
            </w:pPr>
            <w:r w:rsidRPr="00FD7B0B">
              <w:rPr>
                <w:rFonts w:ascii="Times New Roman" w:hAnsi="Times New Roman" w:cs="Times New Roman"/>
              </w:rPr>
              <w:t>Фонд пенсионного и социального страхования РФ, в т.ч.:</w:t>
            </w:r>
          </w:p>
        </w:tc>
        <w:tc>
          <w:tcPr>
            <w:tcW w:w="958" w:type="dxa"/>
            <w:tcBorders>
              <w:top w:val="nil"/>
              <w:left w:val="nil"/>
              <w:bottom w:val="single" w:sz="4" w:space="0" w:color="auto"/>
              <w:right w:val="single" w:sz="4" w:space="0" w:color="auto"/>
            </w:tcBorders>
            <w:shd w:val="clear" w:color="auto" w:fill="E2EFD9" w:themeFill="accent6" w:themeFillTint="33"/>
            <w:vAlign w:val="center"/>
            <w:hideMark/>
          </w:tcPr>
          <w:p w14:paraId="2EE2C298"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865,3 </w:t>
            </w:r>
          </w:p>
        </w:tc>
        <w:tc>
          <w:tcPr>
            <w:tcW w:w="958" w:type="dxa"/>
            <w:tcBorders>
              <w:top w:val="nil"/>
              <w:left w:val="nil"/>
              <w:bottom w:val="single" w:sz="4" w:space="0" w:color="auto"/>
              <w:right w:val="single" w:sz="4" w:space="0" w:color="auto"/>
            </w:tcBorders>
            <w:shd w:val="clear" w:color="auto" w:fill="E2EFD9" w:themeFill="accent6" w:themeFillTint="33"/>
            <w:vAlign w:val="center"/>
            <w:hideMark/>
          </w:tcPr>
          <w:p w14:paraId="4C501331"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1 040,2 </w:t>
            </w:r>
          </w:p>
        </w:tc>
        <w:tc>
          <w:tcPr>
            <w:tcW w:w="1133" w:type="dxa"/>
            <w:tcBorders>
              <w:top w:val="nil"/>
              <w:left w:val="nil"/>
              <w:bottom w:val="single" w:sz="4" w:space="0" w:color="auto"/>
              <w:right w:val="single" w:sz="4" w:space="0" w:color="auto"/>
            </w:tcBorders>
            <w:shd w:val="clear" w:color="auto" w:fill="E2EFD9" w:themeFill="accent6" w:themeFillTint="33"/>
            <w:vAlign w:val="center"/>
            <w:hideMark/>
          </w:tcPr>
          <w:p w14:paraId="36FD0DB3"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174,9 </w:t>
            </w:r>
          </w:p>
        </w:tc>
        <w:tc>
          <w:tcPr>
            <w:tcW w:w="850" w:type="dxa"/>
            <w:tcBorders>
              <w:top w:val="nil"/>
              <w:left w:val="nil"/>
              <w:bottom w:val="single" w:sz="4" w:space="0" w:color="auto"/>
              <w:right w:val="double" w:sz="6" w:space="0" w:color="auto"/>
            </w:tcBorders>
            <w:shd w:val="clear" w:color="auto" w:fill="E2EFD9" w:themeFill="accent6" w:themeFillTint="33"/>
            <w:vAlign w:val="center"/>
            <w:hideMark/>
          </w:tcPr>
          <w:p w14:paraId="25037022"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20,2 </w:t>
            </w:r>
          </w:p>
        </w:tc>
      </w:tr>
      <w:tr w:rsidR="00FD7B0B" w:rsidRPr="00FD7B0B" w14:paraId="180A953C" w14:textId="77777777" w:rsidTr="007F2F88">
        <w:trPr>
          <w:trHeight w:val="70"/>
        </w:trPr>
        <w:tc>
          <w:tcPr>
            <w:tcW w:w="5859" w:type="dxa"/>
            <w:tcBorders>
              <w:top w:val="nil"/>
              <w:left w:val="double" w:sz="6" w:space="0" w:color="auto"/>
              <w:bottom w:val="single" w:sz="4" w:space="0" w:color="auto"/>
              <w:right w:val="single" w:sz="4" w:space="0" w:color="auto"/>
            </w:tcBorders>
            <w:shd w:val="clear" w:color="auto" w:fill="auto"/>
            <w:vAlign w:val="center"/>
            <w:hideMark/>
          </w:tcPr>
          <w:p w14:paraId="42051933" w14:textId="77777777" w:rsidR="00B420A9" w:rsidRPr="00FD7B0B" w:rsidRDefault="00B420A9" w:rsidP="007F2F88">
            <w:pPr>
              <w:spacing w:after="0" w:line="240" w:lineRule="auto"/>
              <w:rPr>
                <w:rFonts w:ascii="Times New Roman" w:hAnsi="Times New Roman" w:cs="Times New Roman"/>
              </w:rPr>
            </w:pPr>
            <w:r w:rsidRPr="00FD7B0B">
              <w:rPr>
                <w:rFonts w:ascii="Times New Roman" w:hAnsi="Times New Roman" w:cs="Times New Roman"/>
              </w:rPr>
              <w:t xml:space="preserve"> - субвенции на социальные выплаты безработным гражданам и иным категориям граждан в соответствии с законодательством о занятости населения</w:t>
            </w:r>
          </w:p>
        </w:tc>
        <w:tc>
          <w:tcPr>
            <w:tcW w:w="958" w:type="dxa"/>
            <w:tcBorders>
              <w:top w:val="nil"/>
              <w:left w:val="nil"/>
              <w:bottom w:val="single" w:sz="4" w:space="0" w:color="auto"/>
              <w:right w:val="single" w:sz="4" w:space="0" w:color="auto"/>
            </w:tcBorders>
            <w:shd w:val="clear" w:color="auto" w:fill="auto"/>
            <w:vAlign w:val="center"/>
            <w:hideMark/>
          </w:tcPr>
          <w:p w14:paraId="58A494B7"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1,7 </w:t>
            </w:r>
          </w:p>
        </w:tc>
        <w:tc>
          <w:tcPr>
            <w:tcW w:w="958" w:type="dxa"/>
            <w:tcBorders>
              <w:top w:val="nil"/>
              <w:left w:val="nil"/>
              <w:bottom w:val="single" w:sz="4" w:space="0" w:color="auto"/>
              <w:right w:val="single" w:sz="4" w:space="0" w:color="auto"/>
            </w:tcBorders>
            <w:shd w:val="clear" w:color="auto" w:fill="auto"/>
            <w:vAlign w:val="center"/>
            <w:hideMark/>
          </w:tcPr>
          <w:p w14:paraId="3CEA0C7E"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1,8 </w:t>
            </w:r>
          </w:p>
        </w:tc>
        <w:tc>
          <w:tcPr>
            <w:tcW w:w="1133" w:type="dxa"/>
            <w:tcBorders>
              <w:top w:val="nil"/>
              <w:left w:val="nil"/>
              <w:bottom w:val="single" w:sz="4" w:space="0" w:color="auto"/>
              <w:right w:val="single" w:sz="4" w:space="0" w:color="auto"/>
            </w:tcBorders>
            <w:shd w:val="clear" w:color="auto" w:fill="auto"/>
            <w:vAlign w:val="center"/>
            <w:hideMark/>
          </w:tcPr>
          <w:p w14:paraId="79EE19B5"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50" w:type="dxa"/>
            <w:tcBorders>
              <w:top w:val="nil"/>
              <w:left w:val="nil"/>
              <w:bottom w:val="single" w:sz="4" w:space="0" w:color="auto"/>
              <w:right w:val="double" w:sz="6" w:space="0" w:color="auto"/>
            </w:tcBorders>
            <w:shd w:val="clear" w:color="auto" w:fill="auto"/>
            <w:vAlign w:val="center"/>
            <w:hideMark/>
          </w:tcPr>
          <w:p w14:paraId="3E5D3016"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0,4 </w:t>
            </w:r>
          </w:p>
        </w:tc>
      </w:tr>
      <w:tr w:rsidR="00FD7B0B" w:rsidRPr="00FD7B0B" w14:paraId="599E98C1" w14:textId="77777777" w:rsidTr="007F2F88">
        <w:trPr>
          <w:trHeight w:val="70"/>
        </w:trPr>
        <w:tc>
          <w:tcPr>
            <w:tcW w:w="5859" w:type="dxa"/>
            <w:tcBorders>
              <w:top w:val="nil"/>
              <w:left w:val="double" w:sz="6" w:space="0" w:color="auto"/>
              <w:bottom w:val="single" w:sz="4" w:space="0" w:color="auto"/>
              <w:right w:val="single" w:sz="4" w:space="0" w:color="auto"/>
            </w:tcBorders>
            <w:shd w:val="clear" w:color="auto" w:fill="auto"/>
            <w:vAlign w:val="center"/>
            <w:hideMark/>
          </w:tcPr>
          <w:p w14:paraId="690BDF15" w14:textId="77777777" w:rsidR="00B420A9" w:rsidRPr="00FD7B0B" w:rsidRDefault="00B420A9" w:rsidP="007F2F88">
            <w:pPr>
              <w:spacing w:after="0" w:line="240" w:lineRule="auto"/>
              <w:rPr>
                <w:rFonts w:ascii="Times New Roman" w:hAnsi="Times New Roman" w:cs="Times New Roman"/>
              </w:rPr>
            </w:pPr>
            <w:r w:rsidRPr="00FD7B0B">
              <w:rPr>
                <w:rFonts w:ascii="Times New Roman" w:hAnsi="Times New Roman" w:cs="Times New Roman"/>
              </w:rPr>
              <w:t xml:space="preserve"> - субвенции на осуществлении ежемесячной денежной выплаты на ребенка в возрасте от восьми до семнадцати лет</w:t>
            </w:r>
          </w:p>
        </w:tc>
        <w:tc>
          <w:tcPr>
            <w:tcW w:w="958" w:type="dxa"/>
            <w:tcBorders>
              <w:top w:val="nil"/>
              <w:left w:val="nil"/>
              <w:bottom w:val="single" w:sz="4" w:space="0" w:color="auto"/>
              <w:right w:val="single" w:sz="4" w:space="0" w:color="auto"/>
            </w:tcBorders>
            <w:shd w:val="clear" w:color="auto" w:fill="auto"/>
            <w:vAlign w:val="center"/>
            <w:hideMark/>
          </w:tcPr>
          <w:p w14:paraId="077A22FE"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176,3 </w:t>
            </w:r>
          </w:p>
        </w:tc>
        <w:tc>
          <w:tcPr>
            <w:tcW w:w="958" w:type="dxa"/>
            <w:tcBorders>
              <w:top w:val="nil"/>
              <w:left w:val="nil"/>
              <w:bottom w:val="single" w:sz="4" w:space="0" w:color="auto"/>
              <w:right w:val="single" w:sz="4" w:space="0" w:color="auto"/>
            </w:tcBorders>
            <w:shd w:val="clear" w:color="auto" w:fill="auto"/>
            <w:vAlign w:val="center"/>
            <w:hideMark/>
          </w:tcPr>
          <w:p w14:paraId="739D0F23"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3" w:type="dxa"/>
            <w:tcBorders>
              <w:top w:val="nil"/>
              <w:left w:val="nil"/>
              <w:bottom w:val="single" w:sz="4" w:space="0" w:color="auto"/>
              <w:right w:val="single" w:sz="4" w:space="0" w:color="auto"/>
            </w:tcBorders>
            <w:shd w:val="clear" w:color="auto" w:fill="auto"/>
            <w:vAlign w:val="center"/>
            <w:hideMark/>
          </w:tcPr>
          <w:p w14:paraId="6B5A99A3"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-176,3 </w:t>
            </w:r>
          </w:p>
        </w:tc>
        <w:tc>
          <w:tcPr>
            <w:tcW w:w="850" w:type="dxa"/>
            <w:tcBorders>
              <w:top w:val="nil"/>
              <w:left w:val="nil"/>
              <w:bottom w:val="single" w:sz="4" w:space="0" w:color="auto"/>
              <w:right w:val="double" w:sz="6" w:space="0" w:color="auto"/>
            </w:tcBorders>
            <w:shd w:val="clear" w:color="auto" w:fill="auto"/>
            <w:vAlign w:val="center"/>
            <w:hideMark/>
          </w:tcPr>
          <w:p w14:paraId="0DC50006"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387787CD" w14:textId="77777777" w:rsidTr="007F2F88">
        <w:trPr>
          <w:trHeight w:val="319"/>
        </w:trPr>
        <w:tc>
          <w:tcPr>
            <w:tcW w:w="5859" w:type="dxa"/>
            <w:tcBorders>
              <w:top w:val="nil"/>
              <w:left w:val="double" w:sz="6" w:space="0" w:color="auto"/>
              <w:bottom w:val="single" w:sz="4" w:space="0" w:color="auto"/>
              <w:right w:val="single" w:sz="4" w:space="0" w:color="auto"/>
            </w:tcBorders>
            <w:shd w:val="clear" w:color="auto" w:fill="auto"/>
            <w:vAlign w:val="center"/>
            <w:hideMark/>
          </w:tcPr>
          <w:p w14:paraId="34571542" w14:textId="77777777" w:rsidR="00B420A9" w:rsidRPr="00FD7B0B" w:rsidRDefault="00B420A9" w:rsidP="007F2F88">
            <w:pPr>
              <w:spacing w:after="0" w:line="240" w:lineRule="auto"/>
              <w:rPr>
                <w:rFonts w:ascii="Times New Roman" w:hAnsi="Times New Roman" w:cs="Times New Roman"/>
              </w:rPr>
            </w:pPr>
            <w:r w:rsidRPr="00FD7B0B">
              <w:rPr>
                <w:rFonts w:ascii="Times New Roman" w:hAnsi="Times New Roman" w:cs="Times New Roman"/>
              </w:rPr>
              <w:t xml:space="preserve"> -субвенции на выплату ежемесячного пособия в связи с рождением и воспитанием ребенка</w:t>
            </w:r>
          </w:p>
        </w:tc>
        <w:tc>
          <w:tcPr>
            <w:tcW w:w="958" w:type="dxa"/>
            <w:tcBorders>
              <w:top w:val="nil"/>
              <w:left w:val="nil"/>
              <w:bottom w:val="single" w:sz="4" w:space="0" w:color="auto"/>
              <w:right w:val="single" w:sz="4" w:space="0" w:color="auto"/>
            </w:tcBorders>
            <w:shd w:val="clear" w:color="auto" w:fill="auto"/>
            <w:vAlign w:val="center"/>
            <w:hideMark/>
          </w:tcPr>
          <w:p w14:paraId="0BD74318"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687,2 </w:t>
            </w:r>
          </w:p>
        </w:tc>
        <w:tc>
          <w:tcPr>
            <w:tcW w:w="958" w:type="dxa"/>
            <w:tcBorders>
              <w:top w:val="nil"/>
              <w:left w:val="nil"/>
              <w:bottom w:val="single" w:sz="4" w:space="0" w:color="auto"/>
              <w:right w:val="single" w:sz="4" w:space="0" w:color="auto"/>
            </w:tcBorders>
            <w:shd w:val="clear" w:color="auto" w:fill="auto"/>
            <w:vAlign w:val="center"/>
            <w:hideMark/>
          </w:tcPr>
          <w:p w14:paraId="5C35B972"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1 038,4 </w:t>
            </w:r>
          </w:p>
        </w:tc>
        <w:tc>
          <w:tcPr>
            <w:tcW w:w="1133" w:type="dxa"/>
            <w:tcBorders>
              <w:top w:val="nil"/>
              <w:left w:val="nil"/>
              <w:bottom w:val="single" w:sz="4" w:space="0" w:color="auto"/>
              <w:right w:val="single" w:sz="4" w:space="0" w:color="auto"/>
            </w:tcBorders>
            <w:shd w:val="clear" w:color="auto" w:fill="auto"/>
            <w:vAlign w:val="center"/>
            <w:hideMark/>
          </w:tcPr>
          <w:p w14:paraId="1418406E"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351,2 </w:t>
            </w:r>
          </w:p>
        </w:tc>
        <w:tc>
          <w:tcPr>
            <w:tcW w:w="850" w:type="dxa"/>
            <w:tcBorders>
              <w:top w:val="nil"/>
              <w:left w:val="nil"/>
              <w:bottom w:val="single" w:sz="4" w:space="0" w:color="auto"/>
              <w:right w:val="double" w:sz="6" w:space="0" w:color="auto"/>
            </w:tcBorders>
            <w:shd w:val="clear" w:color="auto" w:fill="auto"/>
            <w:vAlign w:val="center"/>
            <w:hideMark/>
          </w:tcPr>
          <w:p w14:paraId="016C72AA"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51,1 </w:t>
            </w:r>
          </w:p>
        </w:tc>
      </w:tr>
      <w:tr w:rsidR="00B420A9" w:rsidRPr="00FD7B0B" w14:paraId="27FBA4BF" w14:textId="77777777" w:rsidTr="00FE6B63">
        <w:trPr>
          <w:trHeight w:val="86"/>
        </w:trPr>
        <w:tc>
          <w:tcPr>
            <w:tcW w:w="5859" w:type="dxa"/>
            <w:tcBorders>
              <w:top w:val="nil"/>
              <w:left w:val="double" w:sz="6" w:space="0" w:color="auto"/>
              <w:bottom w:val="double" w:sz="6" w:space="0" w:color="auto"/>
              <w:right w:val="single" w:sz="4" w:space="0" w:color="auto"/>
            </w:tcBorders>
            <w:shd w:val="clear" w:color="auto" w:fill="auto"/>
            <w:vAlign w:val="center"/>
            <w:hideMark/>
          </w:tcPr>
          <w:p w14:paraId="5CA1851C" w14:textId="77777777" w:rsidR="00B420A9" w:rsidRPr="00FD7B0B" w:rsidRDefault="00B420A9" w:rsidP="007F2F88">
            <w:pPr>
              <w:spacing w:after="0" w:line="240" w:lineRule="auto"/>
              <w:rPr>
                <w:rFonts w:ascii="Times New Roman" w:hAnsi="Times New Roman" w:cs="Times New Roman"/>
              </w:rPr>
            </w:pPr>
            <w:r w:rsidRPr="00FD7B0B">
              <w:rPr>
                <w:rFonts w:ascii="Times New Roman" w:hAnsi="Times New Roman" w:cs="Times New Roman"/>
              </w:rPr>
              <w:t>Итого</w:t>
            </w:r>
          </w:p>
        </w:tc>
        <w:tc>
          <w:tcPr>
            <w:tcW w:w="958" w:type="dxa"/>
            <w:tcBorders>
              <w:top w:val="nil"/>
              <w:left w:val="nil"/>
              <w:bottom w:val="double" w:sz="6" w:space="0" w:color="auto"/>
              <w:right w:val="single" w:sz="4" w:space="0" w:color="auto"/>
            </w:tcBorders>
            <w:shd w:val="clear" w:color="auto" w:fill="auto"/>
            <w:vAlign w:val="center"/>
            <w:hideMark/>
          </w:tcPr>
          <w:p w14:paraId="3B7C6CF9"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868,7 </w:t>
            </w:r>
          </w:p>
        </w:tc>
        <w:tc>
          <w:tcPr>
            <w:tcW w:w="958" w:type="dxa"/>
            <w:tcBorders>
              <w:top w:val="nil"/>
              <w:left w:val="nil"/>
              <w:bottom w:val="double" w:sz="6" w:space="0" w:color="auto"/>
              <w:right w:val="single" w:sz="4" w:space="0" w:color="auto"/>
            </w:tcBorders>
            <w:shd w:val="clear" w:color="auto" w:fill="auto"/>
            <w:vAlign w:val="center"/>
            <w:hideMark/>
          </w:tcPr>
          <w:p w14:paraId="2F6D5237"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1 048,7 </w:t>
            </w:r>
          </w:p>
        </w:tc>
        <w:tc>
          <w:tcPr>
            <w:tcW w:w="1133" w:type="dxa"/>
            <w:tcBorders>
              <w:top w:val="nil"/>
              <w:left w:val="nil"/>
              <w:bottom w:val="double" w:sz="6" w:space="0" w:color="auto"/>
              <w:right w:val="single" w:sz="4" w:space="0" w:color="auto"/>
            </w:tcBorders>
            <w:shd w:val="clear" w:color="auto" w:fill="auto"/>
            <w:vAlign w:val="center"/>
            <w:hideMark/>
          </w:tcPr>
          <w:p w14:paraId="0FF7E5F2"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180,0 </w:t>
            </w:r>
          </w:p>
        </w:tc>
        <w:tc>
          <w:tcPr>
            <w:tcW w:w="850" w:type="dxa"/>
            <w:tcBorders>
              <w:top w:val="nil"/>
              <w:left w:val="nil"/>
              <w:bottom w:val="double" w:sz="6" w:space="0" w:color="auto"/>
              <w:right w:val="double" w:sz="6" w:space="0" w:color="auto"/>
            </w:tcBorders>
            <w:shd w:val="clear" w:color="auto" w:fill="auto"/>
            <w:vAlign w:val="center"/>
            <w:hideMark/>
          </w:tcPr>
          <w:p w14:paraId="343D1FD9" w14:textId="77777777" w:rsidR="00B420A9" w:rsidRPr="00FD7B0B" w:rsidRDefault="00B420A9" w:rsidP="007F2F88">
            <w:pPr>
              <w:spacing w:after="0" w:line="240" w:lineRule="auto"/>
              <w:jc w:val="right"/>
              <w:rPr>
                <w:rFonts w:ascii="Times New Roman" w:hAnsi="Times New Roman" w:cs="Times New Roman"/>
              </w:rPr>
            </w:pPr>
            <w:r w:rsidRPr="00FD7B0B">
              <w:rPr>
                <w:rFonts w:ascii="Times New Roman" w:hAnsi="Times New Roman" w:cs="Times New Roman"/>
              </w:rPr>
              <w:t xml:space="preserve">20,7 </w:t>
            </w:r>
          </w:p>
        </w:tc>
      </w:tr>
    </w:tbl>
    <w:p w14:paraId="7BEBEFDA" w14:textId="77777777" w:rsidR="00B420A9" w:rsidRPr="00FD7B0B" w:rsidRDefault="00B420A9" w:rsidP="00FE6B63">
      <w:pPr>
        <w:spacing w:after="0" w:line="240" w:lineRule="auto"/>
        <w:ind w:firstLine="709"/>
        <w:contextualSpacing/>
        <w:jc w:val="both"/>
        <w:rPr>
          <w:rFonts w:ascii="Times New Roman" w:eastAsia="Calibri" w:hAnsi="Times New Roman" w:cs="Times New Roman"/>
          <w:sz w:val="28"/>
          <w:szCs w:val="28"/>
          <w:lang w:eastAsia="ru-RU"/>
        </w:rPr>
      </w:pPr>
    </w:p>
    <w:p w14:paraId="255D6E71" w14:textId="77777777" w:rsidR="00B420A9" w:rsidRPr="00FD7B0B" w:rsidRDefault="00B420A9" w:rsidP="00FE6B63">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Основная сумма межбюджетных трансфертов другим бюджетам за 2024 года направлена в Социальный фонд России в сумме 1 040,2 млн.руб, что на 20,2 % (+174,9 млн.руб.) больше, чем за 2023 год, из неё субвенция на выплату ежемесячного пособия в связи с рождением и воспитанием ребенка увеличилась на 51,1 % раза (+351,2 млн.руб.) и составила 1 038,4 млн.руб.</w:t>
      </w:r>
    </w:p>
    <w:p w14:paraId="0C629C6D" w14:textId="5C99FE19" w:rsidR="00B420A9" w:rsidRPr="00FD7B0B" w:rsidRDefault="00B420A9" w:rsidP="0075272F">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В федеральный бюджет в I квартале 2024 года перечислена субвенция в сумме 8,5 млн.руб. (100,0 % к плану года), на основании соглашения между МВД России и Правительством Архангельской области от 04.02.2022 о передаче части полномочий по составлению протоколов об административных правонарушениях, посягающих на общественный порядок и общественную безопасность, предусмотренных законом Архангельской области от 03.06.2003 </w:t>
      </w:r>
      <w:r w:rsidRPr="00FD7B0B">
        <w:rPr>
          <w:rFonts w:ascii="Times New Roman" w:eastAsia="Calibri" w:hAnsi="Times New Roman" w:cs="Times New Roman"/>
          <w:sz w:val="28"/>
          <w:szCs w:val="28"/>
          <w:lang w:eastAsia="ru-RU"/>
        </w:rPr>
        <w:lastRenderedPageBreak/>
        <w:t>№ 172-22-ОЗ «Об административных правонарушениях». Указанное соглашение утверждено распоряжением Правительства РФ от 04.03.2022 № 414-р.</w:t>
      </w:r>
    </w:p>
    <w:p w14:paraId="0F2CBE23" w14:textId="0E609733" w:rsidR="00471725" w:rsidRPr="00FD7B0B" w:rsidRDefault="009B516C" w:rsidP="00471725">
      <w:pPr>
        <w:pStyle w:val="2"/>
        <w:spacing w:before="120" w:after="0" w:line="240" w:lineRule="auto"/>
        <w:jc w:val="center"/>
        <w:rPr>
          <w:rFonts w:ascii="Times New Roman" w:hAnsi="Times New Roman"/>
          <w:lang w:val="ru-RU"/>
        </w:rPr>
      </w:pPr>
      <w:bookmarkStart w:id="125" w:name="_Toc198819133"/>
      <w:r w:rsidRPr="00FD7B0B">
        <w:rPr>
          <w:rFonts w:ascii="Times New Roman" w:hAnsi="Times New Roman"/>
          <w:lang w:val="ru-RU"/>
        </w:rPr>
        <w:t>4</w:t>
      </w:r>
      <w:r w:rsidR="00471725" w:rsidRPr="00FD7B0B">
        <w:rPr>
          <w:rFonts w:ascii="Times New Roman" w:hAnsi="Times New Roman"/>
          <w:lang w:val="ru-RU"/>
        </w:rPr>
        <w:t>.</w:t>
      </w:r>
      <w:r w:rsidR="00671A9D" w:rsidRPr="00FD7B0B">
        <w:rPr>
          <w:rFonts w:ascii="Times New Roman" w:hAnsi="Times New Roman"/>
          <w:lang w:val="ru-RU"/>
        </w:rPr>
        <w:t>3</w:t>
      </w:r>
      <w:r w:rsidR="00471725" w:rsidRPr="00FD7B0B">
        <w:rPr>
          <w:rFonts w:ascii="Times New Roman" w:hAnsi="Times New Roman"/>
          <w:lang w:val="ru-RU"/>
        </w:rPr>
        <w:t>. Расходы на реализацию программ Архангельской области</w:t>
      </w:r>
      <w:bookmarkEnd w:id="125"/>
    </w:p>
    <w:p w14:paraId="7770A647" w14:textId="77777777"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состоянию на 31.12.2024 в областном бюджете предусмотрены ассигнования на реализацию 23 государственных программ Архангельской области (далее – ГП АО).</w:t>
      </w:r>
    </w:p>
    <w:p w14:paraId="37A7ED93" w14:textId="2CA78F9F"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Согласно представленному отчету об исполнении областного бюджета и информации министерства финансов Архангельской области, сведения об исполнении областного бюджета в части указанных выш</w:t>
      </w:r>
      <w:r w:rsidR="00332D4B" w:rsidRPr="00FD7B0B">
        <w:rPr>
          <w:rFonts w:ascii="Times New Roman" w:hAnsi="Times New Roman"/>
          <w:sz w:val="28"/>
          <w:szCs w:val="28"/>
        </w:rPr>
        <w:t xml:space="preserve">е программ приведены в таблице </w:t>
      </w:r>
      <w:r w:rsidR="004F0970" w:rsidRPr="00FD7B0B">
        <w:rPr>
          <w:rFonts w:ascii="Times New Roman" w:hAnsi="Times New Roman"/>
          <w:sz w:val="28"/>
          <w:szCs w:val="28"/>
        </w:rPr>
        <w:t>76</w:t>
      </w:r>
      <w:r w:rsidRPr="00FD7B0B">
        <w:rPr>
          <w:rFonts w:ascii="Times New Roman" w:hAnsi="Times New Roman"/>
          <w:sz w:val="28"/>
          <w:szCs w:val="28"/>
        </w:rPr>
        <w:t>.</w:t>
      </w:r>
    </w:p>
    <w:p w14:paraId="2E76B36C" w14:textId="77777777" w:rsidR="00332D4B" w:rsidRPr="00FD7B0B" w:rsidRDefault="00332D4B" w:rsidP="00332D4B">
      <w:pPr>
        <w:spacing w:after="0" w:line="240" w:lineRule="auto"/>
        <w:rPr>
          <w:rFonts w:ascii="Times New Roman" w:eastAsia="Calibri" w:hAnsi="Times New Roman" w:cs="Times New Roman"/>
          <w:sz w:val="24"/>
          <w:szCs w:val="24"/>
        </w:rPr>
      </w:pPr>
    </w:p>
    <w:p w14:paraId="4051FCF0" w14:textId="77777777" w:rsidR="00EA384B" w:rsidRPr="00FD7B0B" w:rsidRDefault="00EA384B" w:rsidP="00332D4B">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76</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Расходы областного бюджета за 2024 год на реализацию программ, млн.руб.</w:t>
      </w:r>
    </w:p>
    <w:tbl>
      <w:tblPr>
        <w:tblW w:w="9498" w:type="dxa"/>
        <w:tblInd w:w="-23" w:type="dxa"/>
        <w:tblLook w:val="04A0" w:firstRow="1" w:lastRow="0" w:firstColumn="1" w:lastColumn="0" w:noHBand="0" w:noVBand="1"/>
      </w:tblPr>
      <w:tblGrid>
        <w:gridCol w:w="4399"/>
        <w:gridCol w:w="1460"/>
        <w:gridCol w:w="1960"/>
        <w:gridCol w:w="1679"/>
      </w:tblGrid>
      <w:tr w:rsidR="00FD7B0B" w:rsidRPr="00FD7B0B" w14:paraId="1F8B910A" w14:textId="77777777" w:rsidTr="00EF10A9">
        <w:trPr>
          <w:trHeight w:val="224"/>
        </w:trPr>
        <w:tc>
          <w:tcPr>
            <w:tcW w:w="439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461698B" w14:textId="77777777" w:rsidR="00EA384B" w:rsidRPr="00FD7B0B" w:rsidRDefault="00EA384B" w:rsidP="00EA384B">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Источник финансирования</w:t>
            </w:r>
          </w:p>
        </w:tc>
        <w:tc>
          <w:tcPr>
            <w:tcW w:w="1460" w:type="dxa"/>
            <w:tcBorders>
              <w:top w:val="double" w:sz="6" w:space="0" w:color="auto"/>
              <w:left w:val="nil"/>
              <w:bottom w:val="single" w:sz="4" w:space="0" w:color="auto"/>
              <w:right w:val="single" w:sz="4" w:space="0" w:color="auto"/>
            </w:tcBorders>
            <w:shd w:val="clear" w:color="auto" w:fill="auto"/>
            <w:vAlign w:val="center"/>
            <w:hideMark/>
          </w:tcPr>
          <w:p w14:paraId="481AB19E" w14:textId="77777777" w:rsidR="00EA384B" w:rsidRPr="00FD7B0B" w:rsidRDefault="00EA384B" w:rsidP="00EA384B">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Утверждено</w:t>
            </w:r>
          </w:p>
        </w:tc>
        <w:tc>
          <w:tcPr>
            <w:tcW w:w="1960" w:type="dxa"/>
            <w:tcBorders>
              <w:top w:val="double" w:sz="6" w:space="0" w:color="auto"/>
              <w:left w:val="nil"/>
              <w:bottom w:val="single" w:sz="4" w:space="0" w:color="auto"/>
              <w:right w:val="single" w:sz="4" w:space="0" w:color="auto"/>
            </w:tcBorders>
            <w:shd w:val="clear" w:color="auto" w:fill="auto"/>
            <w:vAlign w:val="center"/>
            <w:hideMark/>
          </w:tcPr>
          <w:p w14:paraId="431CD61C" w14:textId="77777777" w:rsidR="00EA384B" w:rsidRPr="00FD7B0B" w:rsidRDefault="00EA384B" w:rsidP="00EA384B">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Исполнено</w:t>
            </w:r>
          </w:p>
        </w:tc>
        <w:tc>
          <w:tcPr>
            <w:tcW w:w="1679" w:type="dxa"/>
            <w:tcBorders>
              <w:top w:val="double" w:sz="6" w:space="0" w:color="auto"/>
              <w:left w:val="nil"/>
              <w:bottom w:val="single" w:sz="4" w:space="0" w:color="auto"/>
              <w:right w:val="double" w:sz="6" w:space="0" w:color="auto"/>
            </w:tcBorders>
            <w:shd w:val="clear" w:color="auto" w:fill="auto"/>
            <w:vAlign w:val="center"/>
            <w:hideMark/>
          </w:tcPr>
          <w:p w14:paraId="444ED699" w14:textId="77777777" w:rsidR="00EA384B" w:rsidRPr="00FD7B0B" w:rsidRDefault="00EA384B" w:rsidP="00EA384B">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исполнения</w:t>
            </w:r>
          </w:p>
        </w:tc>
      </w:tr>
      <w:tr w:rsidR="00FD7B0B" w:rsidRPr="00FD7B0B" w14:paraId="78D44CA2" w14:textId="77777777" w:rsidTr="00EF10A9">
        <w:trPr>
          <w:trHeight w:hRule="exact" w:val="300"/>
        </w:trPr>
        <w:tc>
          <w:tcPr>
            <w:tcW w:w="4399" w:type="dxa"/>
            <w:tcBorders>
              <w:top w:val="nil"/>
              <w:left w:val="double" w:sz="6" w:space="0" w:color="auto"/>
              <w:bottom w:val="single" w:sz="4" w:space="0" w:color="auto"/>
              <w:right w:val="single" w:sz="4" w:space="0" w:color="auto"/>
            </w:tcBorders>
            <w:shd w:val="clear" w:color="auto" w:fill="auto"/>
            <w:vAlign w:val="center"/>
            <w:hideMark/>
          </w:tcPr>
          <w:p w14:paraId="4847DDDC" w14:textId="77777777" w:rsidR="00EA384B" w:rsidRPr="00FD7B0B" w:rsidRDefault="00EA384B" w:rsidP="00EA384B">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Всего, в том числе:</w:t>
            </w:r>
          </w:p>
        </w:tc>
        <w:tc>
          <w:tcPr>
            <w:tcW w:w="1460" w:type="dxa"/>
            <w:tcBorders>
              <w:top w:val="nil"/>
              <w:left w:val="nil"/>
              <w:bottom w:val="single" w:sz="4" w:space="0" w:color="auto"/>
              <w:right w:val="single" w:sz="4" w:space="0" w:color="auto"/>
            </w:tcBorders>
            <w:shd w:val="clear" w:color="auto" w:fill="auto"/>
            <w:noWrap/>
            <w:vAlign w:val="center"/>
            <w:hideMark/>
          </w:tcPr>
          <w:p w14:paraId="081727BA" w14:textId="77777777" w:rsidR="00EA384B" w:rsidRPr="00FD7B0B" w:rsidRDefault="00EA384B" w:rsidP="00EA384B">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150 778,7</w:t>
            </w:r>
          </w:p>
        </w:tc>
        <w:tc>
          <w:tcPr>
            <w:tcW w:w="1960" w:type="dxa"/>
            <w:tcBorders>
              <w:top w:val="nil"/>
              <w:left w:val="nil"/>
              <w:bottom w:val="single" w:sz="4" w:space="0" w:color="auto"/>
              <w:right w:val="single" w:sz="4" w:space="0" w:color="auto"/>
            </w:tcBorders>
            <w:shd w:val="clear" w:color="auto" w:fill="auto"/>
            <w:noWrap/>
            <w:vAlign w:val="center"/>
            <w:hideMark/>
          </w:tcPr>
          <w:p w14:paraId="7B5BC623" w14:textId="77777777" w:rsidR="00EA384B" w:rsidRPr="00FD7B0B" w:rsidRDefault="00EA384B" w:rsidP="00EA384B">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149 054,4</w:t>
            </w:r>
          </w:p>
        </w:tc>
        <w:tc>
          <w:tcPr>
            <w:tcW w:w="1679" w:type="dxa"/>
            <w:tcBorders>
              <w:top w:val="nil"/>
              <w:left w:val="nil"/>
              <w:bottom w:val="single" w:sz="4" w:space="0" w:color="auto"/>
              <w:right w:val="double" w:sz="6" w:space="0" w:color="auto"/>
            </w:tcBorders>
            <w:shd w:val="clear" w:color="auto" w:fill="auto"/>
            <w:noWrap/>
            <w:vAlign w:val="center"/>
            <w:hideMark/>
          </w:tcPr>
          <w:p w14:paraId="0ACD1611" w14:textId="77777777" w:rsidR="00EA384B" w:rsidRPr="00FD7B0B" w:rsidRDefault="00EA384B" w:rsidP="00EA384B">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98,9</w:t>
            </w:r>
          </w:p>
        </w:tc>
      </w:tr>
      <w:tr w:rsidR="00FD7B0B" w:rsidRPr="00FD7B0B" w14:paraId="7C1E924D" w14:textId="77777777" w:rsidTr="00EF10A9">
        <w:trPr>
          <w:trHeight w:hRule="exact" w:val="300"/>
        </w:trPr>
        <w:tc>
          <w:tcPr>
            <w:tcW w:w="4399" w:type="dxa"/>
            <w:tcBorders>
              <w:top w:val="nil"/>
              <w:left w:val="double" w:sz="6" w:space="0" w:color="auto"/>
              <w:bottom w:val="single" w:sz="4" w:space="0" w:color="auto"/>
              <w:right w:val="single" w:sz="4" w:space="0" w:color="auto"/>
            </w:tcBorders>
            <w:shd w:val="clear" w:color="auto" w:fill="auto"/>
            <w:vAlign w:val="center"/>
            <w:hideMark/>
          </w:tcPr>
          <w:p w14:paraId="038CE77B" w14:textId="77777777" w:rsidR="00EA384B" w:rsidRPr="00FD7B0B" w:rsidRDefault="00EA384B" w:rsidP="00EA384B">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Федеральный бюджет</w:t>
            </w:r>
          </w:p>
        </w:tc>
        <w:tc>
          <w:tcPr>
            <w:tcW w:w="1460" w:type="dxa"/>
            <w:tcBorders>
              <w:top w:val="nil"/>
              <w:left w:val="nil"/>
              <w:bottom w:val="single" w:sz="4" w:space="0" w:color="auto"/>
              <w:right w:val="single" w:sz="4" w:space="0" w:color="auto"/>
            </w:tcBorders>
            <w:shd w:val="clear" w:color="auto" w:fill="auto"/>
            <w:noWrap/>
            <w:vAlign w:val="center"/>
            <w:hideMark/>
          </w:tcPr>
          <w:p w14:paraId="4F98FA47" w14:textId="77777777" w:rsidR="00EA384B" w:rsidRPr="00FD7B0B" w:rsidRDefault="00EA384B" w:rsidP="00EA384B">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val="en-US" w:eastAsia="ru-RU"/>
              </w:rPr>
              <w:t>21 688,4</w:t>
            </w:r>
          </w:p>
        </w:tc>
        <w:tc>
          <w:tcPr>
            <w:tcW w:w="1960" w:type="dxa"/>
            <w:tcBorders>
              <w:top w:val="nil"/>
              <w:left w:val="nil"/>
              <w:bottom w:val="single" w:sz="4" w:space="0" w:color="auto"/>
              <w:right w:val="single" w:sz="4" w:space="0" w:color="auto"/>
            </w:tcBorders>
            <w:shd w:val="clear" w:color="auto" w:fill="auto"/>
            <w:noWrap/>
            <w:vAlign w:val="center"/>
            <w:hideMark/>
          </w:tcPr>
          <w:p w14:paraId="3AC65028" w14:textId="77777777" w:rsidR="00EA384B" w:rsidRPr="00FD7B0B" w:rsidRDefault="00EA384B" w:rsidP="00EA384B">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21 572,5</w:t>
            </w:r>
          </w:p>
        </w:tc>
        <w:tc>
          <w:tcPr>
            <w:tcW w:w="1679" w:type="dxa"/>
            <w:tcBorders>
              <w:top w:val="nil"/>
              <w:left w:val="nil"/>
              <w:bottom w:val="single" w:sz="4" w:space="0" w:color="auto"/>
              <w:right w:val="double" w:sz="6" w:space="0" w:color="auto"/>
            </w:tcBorders>
            <w:shd w:val="clear" w:color="auto" w:fill="auto"/>
            <w:noWrap/>
            <w:vAlign w:val="center"/>
            <w:hideMark/>
          </w:tcPr>
          <w:p w14:paraId="64FDEA9E" w14:textId="77777777" w:rsidR="00EA384B" w:rsidRPr="00FD7B0B" w:rsidRDefault="00EA384B" w:rsidP="00EA384B">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99,5</w:t>
            </w:r>
          </w:p>
        </w:tc>
      </w:tr>
      <w:tr w:rsidR="00FD7B0B" w:rsidRPr="00FD7B0B" w14:paraId="3281BE5C" w14:textId="77777777" w:rsidTr="00EF10A9">
        <w:trPr>
          <w:trHeight w:hRule="exact" w:val="268"/>
        </w:trPr>
        <w:tc>
          <w:tcPr>
            <w:tcW w:w="4399" w:type="dxa"/>
            <w:tcBorders>
              <w:top w:val="nil"/>
              <w:left w:val="double" w:sz="6" w:space="0" w:color="auto"/>
              <w:bottom w:val="double" w:sz="4" w:space="0" w:color="auto"/>
              <w:right w:val="single" w:sz="4" w:space="0" w:color="auto"/>
            </w:tcBorders>
            <w:shd w:val="clear" w:color="auto" w:fill="auto"/>
            <w:vAlign w:val="center"/>
            <w:hideMark/>
          </w:tcPr>
          <w:p w14:paraId="3BDF8B2F" w14:textId="77777777" w:rsidR="00EA384B" w:rsidRPr="00FD7B0B" w:rsidRDefault="00EA384B" w:rsidP="00EA384B">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Областной бюджет</w:t>
            </w:r>
          </w:p>
        </w:tc>
        <w:tc>
          <w:tcPr>
            <w:tcW w:w="1460" w:type="dxa"/>
            <w:tcBorders>
              <w:top w:val="nil"/>
              <w:left w:val="nil"/>
              <w:bottom w:val="double" w:sz="6" w:space="0" w:color="auto"/>
              <w:right w:val="single" w:sz="4" w:space="0" w:color="auto"/>
            </w:tcBorders>
            <w:shd w:val="clear" w:color="auto" w:fill="auto"/>
            <w:noWrap/>
            <w:vAlign w:val="center"/>
            <w:hideMark/>
          </w:tcPr>
          <w:p w14:paraId="09EB639E" w14:textId="77777777" w:rsidR="00EA384B" w:rsidRPr="00FD7B0B" w:rsidRDefault="00EA384B" w:rsidP="00EA384B">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129 090,3</w:t>
            </w:r>
          </w:p>
        </w:tc>
        <w:tc>
          <w:tcPr>
            <w:tcW w:w="1960" w:type="dxa"/>
            <w:tcBorders>
              <w:top w:val="nil"/>
              <w:left w:val="nil"/>
              <w:bottom w:val="double" w:sz="6" w:space="0" w:color="auto"/>
              <w:right w:val="single" w:sz="4" w:space="0" w:color="auto"/>
            </w:tcBorders>
            <w:shd w:val="clear" w:color="auto" w:fill="auto"/>
            <w:noWrap/>
            <w:vAlign w:val="center"/>
            <w:hideMark/>
          </w:tcPr>
          <w:p w14:paraId="26595A33" w14:textId="77777777" w:rsidR="00EA384B" w:rsidRPr="00FD7B0B" w:rsidRDefault="00EA384B" w:rsidP="00EA384B">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127 481,9</w:t>
            </w:r>
          </w:p>
        </w:tc>
        <w:tc>
          <w:tcPr>
            <w:tcW w:w="1679" w:type="dxa"/>
            <w:tcBorders>
              <w:top w:val="nil"/>
              <w:left w:val="nil"/>
              <w:bottom w:val="double" w:sz="6" w:space="0" w:color="auto"/>
              <w:right w:val="double" w:sz="6" w:space="0" w:color="auto"/>
            </w:tcBorders>
            <w:shd w:val="clear" w:color="auto" w:fill="auto"/>
            <w:noWrap/>
            <w:vAlign w:val="center"/>
            <w:hideMark/>
          </w:tcPr>
          <w:p w14:paraId="4CE61A0A" w14:textId="77777777" w:rsidR="00EA384B" w:rsidRPr="00FD7B0B" w:rsidRDefault="00EA384B" w:rsidP="00EA384B">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98,8</w:t>
            </w:r>
          </w:p>
        </w:tc>
      </w:tr>
    </w:tbl>
    <w:p w14:paraId="75107132" w14:textId="77777777" w:rsidR="00332D4B" w:rsidRPr="00FD7B0B" w:rsidRDefault="00332D4B" w:rsidP="00EA384B">
      <w:pPr>
        <w:spacing w:after="0" w:line="240" w:lineRule="auto"/>
        <w:ind w:firstLine="709"/>
        <w:jc w:val="both"/>
        <w:rPr>
          <w:rFonts w:ascii="Times New Roman" w:hAnsi="Times New Roman"/>
          <w:sz w:val="28"/>
          <w:szCs w:val="28"/>
        </w:rPr>
      </w:pPr>
    </w:p>
    <w:p w14:paraId="3670A943" w14:textId="213035AA"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Ассигнования, формируемые в областном бюджете в рамках программ, на отчетную дату сводной бюджетной росписью утверждены в сумме 150 778,7 млн.руб. или 97,3 % в общем объеме расходов областного бюджета. Кассовые расходы на реализацию программ за 2024 год составили 149 054,4 млн.руб. или 98,9 % от предусмотренных бюджетных ассигнований и 97,3 % от общей суммы произведенных расходов (см. также приложение № </w:t>
      </w:r>
      <w:r w:rsidR="00C36FA0" w:rsidRPr="00FD7B0B">
        <w:rPr>
          <w:rFonts w:ascii="Times New Roman" w:hAnsi="Times New Roman"/>
          <w:sz w:val="28"/>
          <w:szCs w:val="28"/>
        </w:rPr>
        <w:t>3</w:t>
      </w:r>
      <w:r w:rsidRPr="00FD7B0B">
        <w:rPr>
          <w:rFonts w:ascii="Times New Roman" w:hAnsi="Times New Roman"/>
          <w:sz w:val="28"/>
          <w:szCs w:val="28"/>
        </w:rPr>
        <w:t xml:space="preserve"> к настоящему заключению).</w:t>
      </w:r>
    </w:p>
    <w:p w14:paraId="1B1A4104" w14:textId="30CBB00A"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В соответствии с п.п. 43, 44 </w:t>
      </w:r>
      <w:r w:rsidR="003C5586" w:rsidRPr="00FD7B0B">
        <w:rPr>
          <w:rFonts w:ascii="Times New Roman" w:hAnsi="Times New Roman"/>
          <w:sz w:val="28"/>
          <w:szCs w:val="28"/>
        </w:rPr>
        <w:t>Положения о системе управления государственными программами Архангельской области, утвержденного постановлением Правительства Архангельской области от 28.08.2023</w:t>
      </w:r>
      <w:r w:rsidRPr="00FD7B0B">
        <w:rPr>
          <w:rFonts w:ascii="Times New Roman" w:hAnsi="Times New Roman"/>
          <w:sz w:val="28"/>
          <w:szCs w:val="28"/>
        </w:rPr>
        <w:t xml:space="preserve"> № 793-пп</w:t>
      </w:r>
      <w:r w:rsidR="003C5586" w:rsidRPr="00FD7B0B">
        <w:rPr>
          <w:rFonts w:ascii="Times New Roman" w:hAnsi="Times New Roman"/>
          <w:sz w:val="28"/>
          <w:szCs w:val="28"/>
        </w:rPr>
        <w:t xml:space="preserve"> (далее – Положение № 793-пп)</w:t>
      </w:r>
      <w:r w:rsidRPr="00FD7B0B">
        <w:rPr>
          <w:rFonts w:ascii="Times New Roman" w:hAnsi="Times New Roman"/>
          <w:sz w:val="28"/>
          <w:szCs w:val="28"/>
        </w:rPr>
        <w:t xml:space="preserve"> ответственные исполнители государственных программ Архангельской области формируют и представляют не позднее 1 марта года, следующего за отчетным годом, годовой отчет о ходе реализации государственных программ.</w:t>
      </w:r>
    </w:p>
    <w:p w14:paraId="10D5E1E9" w14:textId="4E16B3A1"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Согласно п. 49 </w:t>
      </w:r>
      <w:r w:rsidR="003C5586" w:rsidRPr="00FD7B0B">
        <w:rPr>
          <w:rFonts w:ascii="Times New Roman" w:hAnsi="Times New Roman"/>
          <w:sz w:val="28"/>
          <w:szCs w:val="28"/>
        </w:rPr>
        <w:t>Положения</w:t>
      </w:r>
      <w:r w:rsidRPr="00FD7B0B">
        <w:rPr>
          <w:rFonts w:ascii="Times New Roman" w:hAnsi="Times New Roman"/>
          <w:sz w:val="28"/>
          <w:szCs w:val="28"/>
        </w:rPr>
        <w:t xml:space="preserve"> № 793-пп</w:t>
      </w:r>
      <w:r w:rsidR="003C5586" w:rsidRPr="00FD7B0B">
        <w:rPr>
          <w:rFonts w:ascii="Times New Roman" w:hAnsi="Times New Roman"/>
          <w:sz w:val="28"/>
          <w:szCs w:val="28"/>
        </w:rPr>
        <w:t>,</w:t>
      </w:r>
      <w:r w:rsidRPr="00FD7B0B">
        <w:rPr>
          <w:rFonts w:ascii="Times New Roman" w:hAnsi="Times New Roman"/>
          <w:sz w:val="28"/>
          <w:szCs w:val="28"/>
        </w:rPr>
        <w:t xml:space="preserve"> подготовка отчетов осуществляется на основании отчетов о ходе реализации структурных элементов, входящих в состав государственной программы (региональных проектов и комплексов процессных мероприятий).</w:t>
      </w:r>
      <w:r w:rsidR="000A2054" w:rsidRPr="00FD7B0B">
        <w:rPr>
          <w:rFonts w:ascii="Times New Roman" w:hAnsi="Times New Roman"/>
          <w:sz w:val="28"/>
          <w:szCs w:val="28"/>
        </w:rPr>
        <w:t xml:space="preserve"> Вместе с тем, </w:t>
      </w:r>
      <w:r w:rsidR="003C5586" w:rsidRPr="00FD7B0B">
        <w:rPr>
          <w:rFonts w:ascii="Times New Roman" w:hAnsi="Times New Roman"/>
          <w:sz w:val="28"/>
          <w:szCs w:val="28"/>
        </w:rPr>
        <w:t xml:space="preserve">Положением </w:t>
      </w:r>
      <w:r w:rsidRPr="00FD7B0B">
        <w:rPr>
          <w:rFonts w:ascii="Times New Roman" w:hAnsi="Times New Roman"/>
          <w:sz w:val="28"/>
          <w:szCs w:val="28"/>
        </w:rPr>
        <w:t>№ 793-пп не определены конкретные приложения (формы) отчета о ходе реализации государственных программ Архангельской области.</w:t>
      </w:r>
    </w:p>
    <w:p w14:paraId="0E7FDC09" w14:textId="355D5EC6" w:rsidR="00EA384B" w:rsidRPr="00FD7B0B" w:rsidRDefault="000A2054"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По запросу контрольно-счетной палаты министерством экономического развития и промышленности Архангельской области </w:t>
      </w:r>
      <w:r w:rsidR="00EA384B" w:rsidRPr="00FD7B0B">
        <w:rPr>
          <w:rFonts w:ascii="Times New Roman" w:hAnsi="Times New Roman"/>
          <w:sz w:val="28"/>
          <w:szCs w:val="28"/>
        </w:rPr>
        <w:t>представлены проекты отчетов о реали</w:t>
      </w:r>
      <w:r w:rsidRPr="00FD7B0B">
        <w:rPr>
          <w:rFonts w:ascii="Times New Roman" w:hAnsi="Times New Roman"/>
          <w:sz w:val="28"/>
          <w:szCs w:val="28"/>
        </w:rPr>
        <w:t xml:space="preserve">зации государственных программ за 2024 год. </w:t>
      </w:r>
      <w:r w:rsidR="00EA384B" w:rsidRPr="00FD7B0B">
        <w:rPr>
          <w:rFonts w:ascii="Times New Roman" w:hAnsi="Times New Roman"/>
          <w:sz w:val="28"/>
          <w:szCs w:val="28"/>
        </w:rPr>
        <w:t>Представленные проекты отчетов включают в себя различные между собой приложения и содержат разные показатели, в проектах отчетов отсутствует единообразие.</w:t>
      </w:r>
    </w:p>
    <w:p w14:paraId="5A28FFF0" w14:textId="5A099D3B" w:rsidR="00EA384B" w:rsidRPr="00FD7B0B" w:rsidRDefault="00EA384B" w:rsidP="00EA384B">
      <w:pPr>
        <w:spacing w:after="0" w:line="240" w:lineRule="auto"/>
        <w:ind w:firstLine="708"/>
        <w:jc w:val="both"/>
        <w:rPr>
          <w:rFonts w:ascii="Times New Roman" w:hAnsi="Times New Roman"/>
          <w:sz w:val="28"/>
          <w:szCs w:val="28"/>
        </w:rPr>
      </w:pPr>
      <w:r w:rsidRPr="00FD7B0B">
        <w:rPr>
          <w:rFonts w:ascii="Times New Roman" w:eastAsia="Calibri" w:hAnsi="Times New Roman" w:cs="Times New Roman"/>
          <w:sz w:val="28"/>
          <w:szCs w:val="28"/>
        </w:rPr>
        <w:t xml:space="preserve">На основании вышеизложенного контрольно-счетная палата предлагает </w:t>
      </w:r>
      <w:r w:rsidRPr="00FD7B0B">
        <w:rPr>
          <w:rFonts w:ascii="Times New Roman" w:hAnsi="Times New Roman"/>
          <w:sz w:val="28"/>
          <w:szCs w:val="28"/>
        </w:rPr>
        <w:t>определить требования к приложениям (формам) и показателям отчетов о реализации государственных программ Архангельской области.</w:t>
      </w:r>
    </w:p>
    <w:p w14:paraId="1E7F819C" w14:textId="77777777" w:rsidR="00BD33B0" w:rsidRPr="00FD7B0B" w:rsidRDefault="00BD33B0" w:rsidP="00EA384B">
      <w:pPr>
        <w:spacing w:after="0" w:line="240" w:lineRule="auto"/>
        <w:ind w:firstLine="709"/>
        <w:jc w:val="both"/>
        <w:rPr>
          <w:rFonts w:ascii="Times New Roman" w:hAnsi="Times New Roman"/>
          <w:sz w:val="28"/>
          <w:szCs w:val="28"/>
        </w:rPr>
      </w:pPr>
    </w:p>
    <w:p w14:paraId="71EF7CA4" w14:textId="71904313"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Согласно представленны</w:t>
      </w:r>
      <w:r w:rsidR="0069231C" w:rsidRPr="00FD7B0B">
        <w:rPr>
          <w:rFonts w:ascii="Times New Roman" w:hAnsi="Times New Roman"/>
          <w:sz w:val="28"/>
          <w:szCs w:val="28"/>
        </w:rPr>
        <w:t>м</w:t>
      </w:r>
      <w:r w:rsidRPr="00FD7B0B">
        <w:rPr>
          <w:rFonts w:ascii="Times New Roman" w:hAnsi="Times New Roman"/>
          <w:sz w:val="28"/>
          <w:szCs w:val="28"/>
        </w:rPr>
        <w:t xml:space="preserve"> проек</w:t>
      </w:r>
      <w:r w:rsidR="0069231C" w:rsidRPr="00FD7B0B">
        <w:rPr>
          <w:rFonts w:ascii="Times New Roman" w:hAnsi="Times New Roman"/>
          <w:sz w:val="28"/>
          <w:szCs w:val="28"/>
        </w:rPr>
        <w:t>там</w:t>
      </w:r>
      <w:r w:rsidRPr="00FD7B0B">
        <w:rPr>
          <w:rFonts w:ascii="Times New Roman" w:hAnsi="Times New Roman"/>
          <w:sz w:val="28"/>
          <w:szCs w:val="28"/>
        </w:rPr>
        <w:t xml:space="preserve"> отчетов в приложении № </w:t>
      </w:r>
      <w:r w:rsidR="00C36FA0" w:rsidRPr="00FD7B0B">
        <w:rPr>
          <w:rFonts w:ascii="Times New Roman" w:hAnsi="Times New Roman"/>
          <w:sz w:val="28"/>
          <w:szCs w:val="28"/>
        </w:rPr>
        <w:t>3</w:t>
      </w:r>
      <w:r w:rsidRPr="00FD7B0B">
        <w:rPr>
          <w:rFonts w:ascii="Times New Roman" w:hAnsi="Times New Roman"/>
          <w:sz w:val="28"/>
          <w:szCs w:val="28"/>
        </w:rPr>
        <w:t xml:space="preserve"> к настоящему заключению приведены сведения об оценке эффективности государственных программ Архангельской области за 2024 год.</w:t>
      </w:r>
    </w:p>
    <w:p w14:paraId="515A62DF" w14:textId="77777777"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отчетном периоде наиболее низкие показатели оценки эффективности зафиксированы по следующим государственным программам:</w:t>
      </w:r>
    </w:p>
    <w:p w14:paraId="138FDEEE" w14:textId="77777777" w:rsidR="00EA384B" w:rsidRPr="00FD7B0B" w:rsidRDefault="00EA384B" w:rsidP="005B599E">
      <w:pPr>
        <w:pStyle w:val="a8"/>
        <w:numPr>
          <w:ilvl w:val="0"/>
          <w:numId w:val="16"/>
        </w:numPr>
        <w:ind w:left="0" w:firstLine="698"/>
        <w:jc w:val="both"/>
        <w:rPr>
          <w:rFonts w:eastAsia="Calibri"/>
          <w:sz w:val="28"/>
          <w:szCs w:val="16"/>
        </w:rPr>
      </w:pPr>
      <w:r w:rsidRPr="00FD7B0B">
        <w:rPr>
          <w:rFonts w:eastAsia="Calibri"/>
          <w:sz w:val="28"/>
          <w:szCs w:val="16"/>
        </w:rPr>
        <w:t xml:space="preserve">ГП АО «Развитие здравоохранения Архангельской области» </w:t>
      </w:r>
      <w:r w:rsidRPr="00FD7B0B">
        <w:rPr>
          <w:rFonts w:eastAsia="Calibri"/>
          <w:sz w:val="28"/>
          <w:szCs w:val="28"/>
        </w:rPr>
        <w:t>–</w:t>
      </w:r>
      <w:r w:rsidRPr="00FD7B0B">
        <w:rPr>
          <w:rFonts w:eastAsia="Calibri"/>
          <w:sz w:val="28"/>
          <w:szCs w:val="16"/>
        </w:rPr>
        <w:t xml:space="preserve"> 83,6 балла и эффективность реализации программы за 2024 год признана средней. За 2023 год эффективность реализации данной государственной программы также признана средней (82,2 балла) и имела наименьшую оценку эффективности среди всех ГП АО;</w:t>
      </w:r>
    </w:p>
    <w:p w14:paraId="1263C353" w14:textId="77777777" w:rsidR="004500F6" w:rsidRPr="00FD7B0B" w:rsidRDefault="004500F6" w:rsidP="004500F6">
      <w:pPr>
        <w:pStyle w:val="a8"/>
        <w:numPr>
          <w:ilvl w:val="0"/>
          <w:numId w:val="16"/>
        </w:numPr>
        <w:ind w:left="0" w:firstLine="698"/>
        <w:jc w:val="both"/>
        <w:rPr>
          <w:rFonts w:eastAsia="Calibri"/>
          <w:sz w:val="28"/>
          <w:szCs w:val="16"/>
        </w:rPr>
      </w:pPr>
      <w:r w:rsidRPr="00FD7B0B">
        <w:rPr>
          <w:rFonts w:eastAsia="Calibri"/>
          <w:sz w:val="28"/>
          <w:szCs w:val="16"/>
        </w:rPr>
        <w:t>ГП АО «Охрана окружающей среды, воспроизводство и использование природных ресурсов Архангельской области» – 86,1 балла и эффективность реализации программы за 2024 год признана средней. За 2023 год эффективность реализации данной государственной программы являлась высокой – 91,6 балла;</w:t>
      </w:r>
    </w:p>
    <w:p w14:paraId="18491442" w14:textId="77777777" w:rsidR="004500F6" w:rsidRPr="00FD7B0B" w:rsidRDefault="004500F6" w:rsidP="004500F6">
      <w:pPr>
        <w:pStyle w:val="a8"/>
        <w:numPr>
          <w:ilvl w:val="0"/>
          <w:numId w:val="16"/>
        </w:numPr>
        <w:ind w:left="0" w:firstLine="698"/>
        <w:jc w:val="both"/>
        <w:rPr>
          <w:rFonts w:eastAsia="Calibri"/>
          <w:sz w:val="28"/>
          <w:szCs w:val="16"/>
        </w:rPr>
      </w:pPr>
      <w:r w:rsidRPr="00FD7B0B">
        <w:rPr>
          <w:rFonts w:eastAsia="Calibri"/>
          <w:sz w:val="28"/>
          <w:szCs w:val="16"/>
        </w:rPr>
        <w:t>ГП АО «Развитие энергетики и жилищно-коммунального хозяйства Архангельской области» – 86,1 балл и эффективность реализации программы в отчетном периоде признана средней. За 2023 год эффективность реализации данной государственной программы являлась высокой – 94,6 балла.</w:t>
      </w:r>
    </w:p>
    <w:p w14:paraId="469AD7EE" w14:textId="0C5A44C7" w:rsidR="004500F6" w:rsidRPr="00FD7B0B" w:rsidRDefault="004500F6" w:rsidP="004500F6">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Таким образом, эффективность реализации ГП АО «Развитие здравоохранения Архангельской области» госпрограммы осталась на уровне прошлого года, по остальным двум указанным выше государственным программам оценка эффективность реализации за отчетный период </w:t>
      </w:r>
      <w:r w:rsidR="000A4C6C" w:rsidRPr="00FD7B0B">
        <w:rPr>
          <w:rFonts w:ascii="Times New Roman" w:hAnsi="Times New Roman"/>
          <w:sz w:val="28"/>
          <w:szCs w:val="28"/>
        </w:rPr>
        <w:t>с</w:t>
      </w:r>
      <w:r w:rsidRPr="00FD7B0B">
        <w:rPr>
          <w:rFonts w:ascii="Times New Roman" w:hAnsi="Times New Roman"/>
          <w:sz w:val="28"/>
          <w:szCs w:val="28"/>
        </w:rPr>
        <w:t xml:space="preserve">низилась до средней, </w:t>
      </w:r>
      <w:r w:rsidRPr="00FD7B0B">
        <w:rPr>
          <w:rFonts w:ascii="Times New Roman" w:eastAsia="Calibri" w:hAnsi="Times New Roman" w:cs="Times New Roman"/>
          <w:sz w:val="28"/>
          <w:szCs w:val="16"/>
        </w:rPr>
        <w:t>что свидетельствует о снижении эффективности реализации указанн</w:t>
      </w:r>
      <w:r w:rsidR="000A4C6C" w:rsidRPr="00FD7B0B">
        <w:rPr>
          <w:rFonts w:ascii="Times New Roman" w:eastAsia="Calibri" w:hAnsi="Times New Roman" w:cs="Times New Roman"/>
          <w:sz w:val="28"/>
          <w:szCs w:val="16"/>
        </w:rPr>
        <w:t>ых</w:t>
      </w:r>
      <w:r w:rsidRPr="00FD7B0B">
        <w:rPr>
          <w:rFonts w:ascii="Times New Roman" w:eastAsia="Calibri" w:hAnsi="Times New Roman" w:cs="Times New Roman"/>
          <w:sz w:val="28"/>
          <w:szCs w:val="16"/>
        </w:rPr>
        <w:t xml:space="preserve"> программ</w:t>
      </w:r>
      <w:r w:rsidRPr="00FD7B0B">
        <w:rPr>
          <w:rFonts w:ascii="Times New Roman" w:hAnsi="Times New Roman" w:cs="Times New Roman"/>
          <w:sz w:val="28"/>
          <w:szCs w:val="28"/>
        </w:rPr>
        <w:t>.</w:t>
      </w:r>
    </w:p>
    <w:p w14:paraId="5E3DE1ED" w14:textId="77777777"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отчетном году повышены</w:t>
      </w:r>
      <w:r w:rsidRPr="00FD7B0B">
        <w:rPr>
          <w:rFonts w:ascii="Times New Roman" w:hAnsi="Times New Roman"/>
          <w:b/>
          <w:sz w:val="28"/>
          <w:szCs w:val="28"/>
        </w:rPr>
        <w:t xml:space="preserve"> </w:t>
      </w:r>
      <w:r w:rsidRPr="00FD7B0B">
        <w:rPr>
          <w:rFonts w:ascii="Times New Roman" w:hAnsi="Times New Roman"/>
          <w:sz w:val="28"/>
          <w:szCs w:val="28"/>
        </w:rPr>
        <w:t>значения оценки эффективности реализации по ряду госпрограмм:</w:t>
      </w:r>
    </w:p>
    <w:p w14:paraId="07113611" w14:textId="77777777" w:rsidR="00EA384B" w:rsidRPr="00FD7B0B" w:rsidRDefault="00EA384B" w:rsidP="005B599E">
      <w:pPr>
        <w:pStyle w:val="a8"/>
        <w:numPr>
          <w:ilvl w:val="0"/>
          <w:numId w:val="16"/>
        </w:numPr>
        <w:ind w:left="0" w:firstLine="698"/>
        <w:jc w:val="both"/>
        <w:rPr>
          <w:rFonts w:eastAsia="Calibri"/>
          <w:sz w:val="28"/>
          <w:szCs w:val="16"/>
        </w:rPr>
      </w:pPr>
      <w:r w:rsidRPr="00FD7B0B">
        <w:rPr>
          <w:rFonts w:eastAsia="Calibri"/>
          <w:sz w:val="28"/>
          <w:szCs w:val="16"/>
        </w:rPr>
        <w:t>ГП АО «Защита населения и территорий Архангельской области от чрезвычайных ситуаций, обеспечение пожарной безопасности и безопасности на водных объектах» - 93,1 балла и эффективность реализации программы за 2024 год признана высокой. По итогам 2023 года эффективность реализации данной государственной программы являлась средней и показатель составлял 86,2 баллов;</w:t>
      </w:r>
    </w:p>
    <w:p w14:paraId="3A53CC0B" w14:textId="77777777" w:rsidR="00EA384B" w:rsidRPr="00FD7B0B" w:rsidRDefault="00EA384B" w:rsidP="005B599E">
      <w:pPr>
        <w:pStyle w:val="a8"/>
        <w:numPr>
          <w:ilvl w:val="0"/>
          <w:numId w:val="16"/>
        </w:numPr>
        <w:ind w:left="0" w:firstLine="698"/>
        <w:jc w:val="both"/>
        <w:rPr>
          <w:rFonts w:eastAsia="Calibri"/>
          <w:sz w:val="28"/>
          <w:szCs w:val="16"/>
        </w:rPr>
      </w:pPr>
      <w:r w:rsidRPr="00FD7B0B">
        <w:rPr>
          <w:rFonts w:eastAsia="Calibri"/>
          <w:sz w:val="28"/>
          <w:szCs w:val="16"/>
        </w:rPr>
        <w:t>ГП АО «Развитие лесного комплекса Архангельской области» - 92,5 баллов и эффективность реализации программы за 2024 год признана высокой. За 2023 год эффективность реализации данной государственной программы являлась средней и показатель составлял 83,4 балла.</w:t>
      </w:r>
    </w:p>
    <w:p w14:paraId="3BC79FBB" w14:textId="0B84A027" w:rsidR="00EA384B" w:rsidRPr="00FD7B0B" w:rsidRDefault="00EA384B" w:rsidP="00EA384B">
      <w:pPr>
        <w:spacing w:after="0" w:line="240" w:lineRule="auto"/>
        <w:ind w:firstLine="709"/>
        <w:contextualSpacing/>
        <w:jc w:val="both"/>
        <w:rPr>
          <w:rFonts w:ascii="Times New Roman" w:eastAsia="Calibri" w:hAnsi="Times New Roman" w:cs="Times New Roman"/>
          <w:sz w:val="28"/>
          <w:szCs w:val="16"/>
        </w:rPr>
      </w:pPr>
      <w:r w:rsidRPr="00FD7B0B">
        <w:rPr>
          <w:rFonts w:ascii="Times New Roman" w:eastAsia="Calibri" w:hAnsi="Times New Roman" w:cs="Times New Roman"/>
          <w:sz w:val="28"/>
          <w:szCs w:val="16"/>
        </w:rPr>
        <w:t>Исходя из вышеизложенного, по указанным выше государственным программам эффективность реализации увеличилась, что свидетельствует о повышении эффективности их реализации.</w:t>
      </w:r>
    </w:p>
    <w:p w14:paraId="7447ABB0" w14:textId="68F4DD66"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Эффективность реализации остальных государственных программ за отчетный период осталась на уровне </w:t>
      </w:r>
      <w:r w:rsidR="006E2B36" w:rsidRPr="00FD7B0B">
        <w:rPr>
          <w:rFonts w:ascii="Times New Roman" w:hAnsi="Times New Roman"/>
          <w:sz w:val="28"/>
          <w:szCs w:val="28"/>
        </w:rPr>
        <w:t>2023</w:t>
      </w:r>
      <w:r w:rsidRPr="00FD7B0B">
        <w:rPr>
          <w:rFonts w:ascii="Times New Roman" w:hAnsi="Times New Roman"/>
          <w:sz w:val="28"/>
          <w:szCs w:val="28"/>
        </w:rPr>
        <w:t xml:space="preserve"> года.</w:t>
      </w:r>
    </w:p>
    <w:p w14:paraId="7C926835" w14:textId="0DBED499" w:rsidR="00EA384B" w:rsidRPr="00FD7B0B" w:rsidRDefault="00EA384B" w:rsidP="00EA384B">
      <w:pPr>
        <w:autoSpaceDE w:val="0"/>
        <w:autoSpaceDN w:val="0"/>
        <w:adjustRightInd w:val="0"/>
        <w:spacing w:after="0" w:line="240" w:lineRule="auto"/>
        <w:ind w:firstLine="709"/>
        <w:jc w:val="both"/>
        <w:rPr>
          <w:rFonts w:ascii="Times New Roman" w:hAnsi="Times New Roman" w:cs="Times New Roman"/>
          <w:sz w:val="28"/>
          <w:szCs w:val="28"/>
        </w:rPr>
      </w:pPr>
      <w:r w:rsidRPr="00FD7B0B">
        <w:rPr>
          <w:rFonts w:ascii="Times New Roman" w:hAnsi="Times New Roman"/>
          <w:sz w:val="28"/>
          <w:szCs w:val="28"/>
        </w:rPr>
        <w:lastRenderedPageBreak/>
        <w:t xml:space="preserve">Согласно </w:t>
      </w:r>
      <w:r w:rsidR="006E2B36" w:rsidRPr="00FD7B0B">
        <w:rPr>
          <w:rFonts w:ascii="Times New Roman" w:hAnsi="Times New Roman"/>
          <w:sz w:val="28"/>
          <w:szCs w:val="28"/>
        </w:rPr>
        <w:t>Положению</w:t>
      </w:r>
      <w:r w:rsidRPr="00FD7B0B">
        <w:rPr>
          <w:rFonts w:ascii="Times New Roman" w:hAnsi="Times New Roman"/>
          <w:sz w:val="28"/>
          <w:szCs w:val="28"/>
        </w:rPr>
        <w:t xml:space="preserve"> № 793-пп, оценка эффективности реализации государственной программы </w:t>
      </w:r>
      <w:r w:rsidRPr="00FD7B0B">
        <w:rPr>
          <w:rFonts w:ascii="Times New Roman" w:hAnsi="Times New Roman" w:cs="Times New Roman"/>
          <w:sz w:val="28"/>
          <w:szCs w:val="28"/>
        </w:rPr>
        <w:t>осуществляется на основании отчетов о ходе реализации государственных программ, представленных ответственными исполнителями государственных программ, и отчетов о ходе реализации структурных элементов государственной программы представленных соисполнителями государственных программ.</w:t>
      </w:r>
    </w:p>
    <w:p w14:paraId="17B4C167" w14:textId="77777777"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Значения оценки эффективности деятельности исполнителя, качества планирования и управления реализацией государственной программой и эффективности реализации государственной программы признается высоким, если данное значение составляет 90 и более баллов, средним, если значение составляет от 80 до 90 баллов, удовлетворительным, если значение составляет от 70 до 80 баллов. В случае, если значение оценки эффективности составляет менее 70 баллов, эффективность реализации государственной программы признается неудовлетворительной.</w:t>
      </w:r>
    </w:p>
    <w:p w14:paraId="3E017F66" w14:textId="77777777" w:rsidR="000A4C6C" w:rsidRPr="00FD7B0B" w:rsidRDefault="000A4C6C" w:rsidP="000A4C6C">
      <w:pPr>
        <w:spacing w:after="0" w:line="240" w:lineRule="auto"/>
        <w:ind w:firstLine="709"/>
        <w:jc w:val="both"/>
        <w:rPr>
          <w:rFonts w:ascii="Times New Roman" w:hAnsi="Times New Roman"/>
          <w:strike/>
          <w:sz w:val="28"/>
          <w:szCs w:val="28"/>
          <w:lang w:val="x-none"/>
        </w:rPr>
      </w:pPr>
      <w:r w:rsidRPr="00FD7B0B">
        <w:rPr>
          <w:rFonts w:ascii="Times New Roman" w:hAnsi="Times New Roman"/>
          <w:sz w:val="28"/>
          <w:szCs w:val="28"/>
        </w:rPr>
        <w:t>По результатам 2024 года (по состоянию на 21.05.2025) из 23 оценок эффективности реализации государственных программ, представленных в проектах отчетов, эффективность реализации 18 госпрограмм признана высокой и 5 госпрограмм – средней.</w:t>
      </w:r>
    </w:p>
    <w:p w14:paraId="301B4305" w14:textId="2180353B" w:rsidR="00EA384B" w:rsidRPr="00FD7B0B" w:rsidRDefault="00EA384B" w:rsidP="00EA384B">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В отчетном периоде ряд мероприятий (контрольных точек) государственных программ Архангельской области оказались не выполнены или выполнены не в полном объеме. Сведения об указанных мероприятиях (контрольных точках) представлены в приложении № </w:t>
      </w:r>
      <w:r w:rsidR="00C36FA0" w:rsidRPr="00FD7B0B">
        <w:rPr>
          <w:rFonts w:ascii="Times New Roman" w:hAnsi="Times New Roman"/>
          <w:sz w:val="28"/>
          <w:szCs w:val="28"/>
        </w:rPr>
        <w:t>4</w:t>
      </w:r>
      <w:r w:rsidRPr="00FD7B0B">
        <w:rPr>
          <w:rFonts w:ascii="Times New Roman" w:hAnsi="Times New Roman"/>
          <w:sz w:val="28"/>
          <w:szCs w:val="28"/>
        </w:rPr>
        <w:t xml:space="preserve"> к настоящему заключению.</w:t>
      </w:r>
    </w:p>
    <w:p w14:paraId="20E6E245" w14:textId="325F6482" w:rsidR="00EA384B" w:rsidRPr="00FD7B0B" w:rsidRDefault="00EA384B" w:rsidP="00EA384B">
      <w:pPr>
        <w:spacing w:after="0" w:line="240" w:lineRule="auto"/>
        <w:ind w:firstLine="708"/>
        <w:jc w:val="both"/>
        <w:rPr>
          <w:rFonts w:ascii="Times New Roman" w:hAnsi="Times New Roman"/>
          <w:sz w:val="28"/>
          <w:szCs w:val="28"/>
        </w:rPr>
      </w:pPr>
      <w:r w:rsidRPr="00FD7B0B">
        <w:rPr>
          <w:rFonts w:ascii="Times New Roman" w:hAnsi="Times New Roman"/>
          <w:sz w:val="28"/>
          <w:szCs w:val="28"/>
        </w:rPr>
        <w:t>Ниже приведены анализ и оценка реализации отдельных программ Архангельской области в 2024</w:t>
      </w:r>
      <w:r w:rsidR="00900FA0" w:rsidRPr="00FD7B0B">
        <w:rPr>
          <w:rFonts w:ascii="Times New Roman" w:hAnsi="Times New Roman"/>
          <w:sz w:val="28"/>
          <w:szCs w:val="28"/>
        </w:rPr>
        <w:t xml:space="preserve"> </w:t>
      </w:r>
      <w:r w:rsidRPr="00FD7B0B">
        <w:rPr>
          <w:rFonts w:ascii="Times New Roman" w:hAnsi="Times New Roman"/>
          <w:sz w:val="28"/>
          <w:szCs w:val="28"/>
        </w:rPr>
        <w:t>году, в том числе при оценке эффективности реализации отдельных госпрограмм контрольно-счетной палатой применена Методика оценки реализации государственных программ Российской Федерации в рамках осуществления последующего контроля за исполнением федерльного бюджета, утвержденная Коллегией Счетной палаты Российской Федерации (протокол от 28.02.2023 № 9К (1614) (далее – Методика оценки № 9К (1614)).</w:t>
      </w:r>
    </w:p>
    <w:p w14:paraId="3B40F5F1" w14:textId="3B566211" w:rsidR="00D304BC" w:rsidRPr="00FD7B0B" w:rsidRDefault="009B516C" w:rsidP="00D304BC">
      <w:pPr>
        <w:pStyle w:val="3"/>
        <w:spacing w:line="240" w:lineRule="auto"/>
        <w:jc w:val="center"/>
        <w:rPr>
          <w:rFonts w:ascii="Times New Roman" w:hAnsi="Times New Roman"/>
          <w:b w:val="0"/>
          <w:sz w:val="28"/>
          <w:szCs w:val="28"/>
          <w:u w:val="single"/>
        </w:rPr>
      </w:pPr>
      <w:bookmarkStart w:id="126" w:name="_Toc198819134"/>
      <w:r w:rsidRPr="00FD7B0B">
        <w:rPr>
          <w:rFonts w:ascii="Times New Roman" w:hAnsi="Times New Roman"/>
          <w:b w:val="0"/>
          <w:sz w:val="28"/>
          <w:szCs w:val="28"/>
          <w:u w:val="single"/>
          <w:lang w:val="ru-RU"/>
        </w:rPr>
        <w:t>4</w:t>
      </w:r>
      <w:r w:rsidR="00D304BC" w:rsidRPr="00FD7B0B">
        <w:rPr>
          <w:rFonts w:ascii="Times New Roman" w:hAnsi="Times New Roman"/>
          <w:b w:val="0"/>
          <w:sz w:val="28"/>
          <w:szCs w:val="28"/>
          <w:u w:val="single"/>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rPr>
        <w:t>.</w:t>
      </w:r>
      <w:r w:rsidR="00D304BC" w:rsidRPr="00FD7B0B">
        <w:rPr>
          <w:rFonts w:ascii="Times New Roman" w:hAnsi="Times New Roman"/>
          <w:b w:val="0"/>
          <w:sz w:val="28"/>
          <w:szCs w:val="28"/>
          <w:u w:val="single"/>
          <w:lang w:val="ru-RU"/>
        </w:rPr>
        <w:t>1</w:t>
      </w:r>
      <w:r w:rsidR="00D304BC" w:rsidRPr="00FD7B0B">
        <w:rPr>
          <w:rFonts w:ascii="Times New Roman" w:hAnsi="Times New Roman"/>
          <w:b w:val="0"/>
          <w:sz w:val="28"/>
          <w:szCs w:val="28"/>
          <w:u w:val="single"/>
        </w:rPr>
        <w:t xml:space="preserve">. Государственная программа </w:t>
      </w:r>
      <w:r w:rsidR="00D304BC" w:rsidRPr="00FD7B0B">
        <w:rPr>
          <w:rFonts w:ascii="Times New Roman" w:hAnsi="Times New Roman"/>
          <w:b w:val="0"/>
          <w:sz w:val="28"/>
          <w:szCs w:val="28"/>
          <w:u w:val="single"/>
          <w:lang w:val="ru-RU"/>
        </w:rPr>
        <w:t xml:space="preserve">Архангельской области </w:t>
      </w:r>
      <w:r w:rsidR="0065479F" w:rsidRPr="00FD7B0B">
        <w:rPr>
          <w:rFonts w:ascii="Times New Roman" w:hAnsi="Times New Roman"/>
          <w:b w:val="0"/>
          <w:sz w:val="28"/>
          <w:szCs w:val="28"/>
          <w:u w:val="single"/>
        </w:rPr>
        <w:t>«</w:t>
      </w:r>
      <w:r w:rsidR="00D304BC" w:rsidRPr="00FD7B0B">
        <w:rPr>
          <w:rFonts w:ascii="Times New Roman" w:hAnsi="Times New Roman"/>
          <w:b w:val="0"/>
          <w:sz w:val="28"/>
          <w:szCs w:val="28"/>
          <w:u w:val="single"/>
          <w:lang w:val="ru-RU"/>
        </w:rPr>
        <w:t>Развитие здравоохранения Архангельской области</w:t>
      </w:r>
      <w:r w:rsidR="0065479F" w:rsidRPr="00FD7B0B">
        <w:rPr>
          <w:rFonts w:ascii="Times New Roman" w:hAnsi="Times New Roman"/>
          <w:b w:val="0"/>
          <w:sz w:val="28"/>
          <w:szCs w:val="28"/>
          <w:u w:val="single"/>
        </w:rPr>
        <w:t>»</w:t>
      </w:r>
      <w:bookmarkEnd w:id="126"/>
    </w:p>
    <w:p w14:paraId="4265678D" w14:textId="77777777" w:rsidR="00205BFC" w:rsidRPr="00FD7B0B" w:rsidRDefault="008A02D2" w:rsidP="00205BFC">
      <w:pPr>
        <w:spacing w:after="0" w:line="240" w:lineRule="auto"/>
        <w:ind w:firstLine="709"/>
        <w:contextualSpacing/>
        <w:jc w:val="both"/>
        <w:rPr>
          <w:rFonts w:ascii="Times New Roman" w:eastAsia="Times New Roman" w:hAnsi="Times New Roman" w:cs="Times New Roman"/>
          <w:sz w:val="28"/>
          <w:szCs w:val="28"/>
          <w:lang w:eastAsia="ru-RU"/>
        </w:rPr>
      </w:pPr>
      <w:bookmarkStart w:id="127" w:name="_Toc103700253"/>
      <w:r w:rsidRPr="00FD7B0B">
        <w:rPr>
          <w:rFonts w:ascii="Times New Roman" w:eastAsia="Times New Roman" w:hAnsi="Times New Roman" w:cs="Times New Roman"/>
          <w:sz w:val="28"/>
          <w:szCs w:val="28"/>
          <w:lang w:eastAsia="ru-RU"/>
        </w:rPr>
        <w:t xml:space="preserve"> </w:t>
      </w:r>
      <w:r w:rsidR="00205BFC" w:rsidRPr="00FD7B0B">
        <w:rPr>
          <w:rFonts w:ascii="Times New Roman" w:eastAsia="Times New Roman" w:hAnsi="Times New Roman" w:cs="Times New Roman"/>
          <w:sz w:val="28"/>
          <w:szCs w:val="28"/>
          <w:lang w:eastAsia="ru-RU"/>
        </w:rPr>
        <w:t>Государственная программа Архангельской области «Развитие здравоохранения Архангельской области» утверждена постановлением Правительства Архангельской области от 12.10.2012 № 462-пп (далее – ГП № 01, госпрограмма).</w:t>
      </w:r>
    </w:p>
    <w:p w14:paraId="47427605" w14:textId="45E727DE"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Проектная часть государственной программы включает</w:t>
      </w:r>
      <w:r w:rsidR="00FB4A4C" w:rsidRPr="00FD7B0B">
        <w:rPr>
          <w:rFonts w:ascii="Times New Roman" w:hAnsi="Times New Roman" w:cs="Times New Roman"/>
          <w:sz w:val="28"/>
          <w:szCs w:val="24"/>
        </w:rPr>
        <w:t xml:space="preserve"> в себя 9 региональных проектов.</w:t>
      </w:r>
    </w:p>
    <w:p w14:paraId="0503D5FC"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Ответственным исполнителем госпрограммы является министерство здравоохранения Архангельской области (далее - минздрав АО).</w:t>
      </w:r>
    </w:p>
    <w:p w14:paraId="7F34DA0B"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На реализацию структурных элементов ГП № 01 в 2024 году, в редакции, действующей на 01.01.2024, утверждено финансирование в общей сумме </w:t>
      </w:r>
      <w:r w:rsidRPr="00FD7B0B">
        <w:rPr>
          <w:rFonts w:ascii="Times New Roman" w:hAnsi="Times New Roman" w:cs="Times New Roman"/>
          <w:sz w:val="28"/>
          <w:szCs w:val="24"/>
        </w:rPr>
        <w:lastRenderedPageBreak/>
        <w:t xml:space="preserve">55 355,3 </w:t>
      </w:r>
      <w:r w:rsidRPr="00FD7B0B">
        <w:rPr>
          <w:rFonts w:ascii="Times New Roman" w:eastAsia="Times New Roman" w:hAnsi="Times New Roman" w:cs="Times New Roman"/>
          <w:sz w:val="28"/>
          <w:szCs w:val="28"/>
          <w:lang w:eastAsia="ru-RU"/>
        </w:rPr>
        <w:t xml:space="preserve">млн.руб., в т.ч. за счет средств областного бюджета – </w:t>
      </w:r>
      <w:r w:rsidRPr="00FD7B0B">
        <w:rPr>
          <w:rFonts w:ascii="Times New Roman" w:hAnsi="Times New Roman" w:cs="Times New Roman"/>
          <w:sz w:val="28"/>
          <w:szCs w:val="24"/>
        </w:rPr>
        <w:t xml:space="preserve">22 934,4 </w:t>
      </w:r>
      <w:r w:rsidRPr="00FD7B0B">
        <w:rPr>
          <w:rFonts w:ascii="Times New Roman" w:eastAsia="Times New Roman" w:hAnsi="Times New Roman" w:cs="Times New Roman"/>
          <w:sz w:val="28"/>
          <w:szCs w:val="28"/>
          <w:lang w:eastAsia="ru-RU"/>
        </w:rPr>
        <w:t xml:space="preserve">млн.руб., бюджета ТФОМС – </w:t>
      </w:r>
      <w:r w:rsidRPr="00FD7B0B">
        <w:rPr>
          <w:rFonts w:ascii="Times New Roman" w:hAnsi="Times New Roman" w:cs="Times New Roman"/>
          <w:sz w:val="28"/>
          <w:szCs w:val="24"/>
        </w:rPr>
        <w:t xml:space="preserve">32 420,9 </w:t>
      </w:r>
      <w:r w:rsidRPr="00FD7B0B">
        <w:rPr>
          <w:rFonts w:ascii="Times New Roman" w:eastAsia="Times New Roman" w:hAnsi="Times New Roman" w:cs="Times New Roman"/>
          <w:sz w:val="28"/>
          <w:szCs w:val="28"/>
          <w:lang w:eastAsia="ru-RU"/>
        </w:rPr>
        <w:t>млн.руб.</w:t>
      </w:r>
    </w:p>
    <w:p w14:paraId="299DCC5D" w14:textId="24F224E4"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За отчетный период в ГП № 01 внесены изменения, увеличивающие сумму расходов на 2024 год на </w:t>
      </w:r>
      <w:r w:rsidRPr="00FD7B0B">
        <w:rPr>
          <w:rFonts w:ascii="Times New Roman" w:hAnsi="Times New Roman" w:cs="Times New Roman"/>
          <w:sz w:val="28"/>
          <w:szCs w:val="28"/>
        </w:rPr>
        <w:t xml:space="preserve">533,4 </w:t>
      </w:r>
      <w:r w:rsidRPr="00FD7B0B">
        <w:rPr>
          <w:rFonts w:ascii="Times New Roman" w:eastAsia="Times New Roman" w:hAnsi="Times New Roman" w:cs="Times New Roman"/>
          <w:sz w:val="28"/>
          <w:szCs w:val="28"/>
          <w:lang w:eastAsia="ru-RU"/>
        </w:rPr>
        <w:t>млн.руб. В разрезе структурных элементов и финансового обеспечения программы све</w:t>
      </w:r>
      <w:r w:rsidR="00397E62" w:rsidRPr="00FD7B0B">
        <w:rPr>
          <w:rFonts w:ascii="Times New Roman" w:eastAsia="Times New Roman" w:hAnsi="Times New Roman" w:cs="Times New Roman"/>
          <w:sz w:val="28"/>
          <w:szCs w:val="28"/>
          <w:lang w:eastAsia="ru-RU"/>
        </w:rPr>
        <w:t xml:space="preserve">дения представлены в таблице </w:t>
      </w:r>
      <w:r w:rsidR="00A54700" w:rsidRPr="00FD7B0B">
        <w:rPr>
          <w:rFonts w:ascii="Times New Roman" w:eastAsia="Times New Roman" w:hAnsi="Times New Roman" w:cs="Times New Roman"/>
          <w:sz w:val="28"/>
          <w:szCs w:val="28"/>
          <w:lang w:eastAsia="ru-RU"/>
        </w:rPr>
        <w:t>77</w:t>
      </w:r>
      <w:r w:rsidR="00397E62" w:rsidRPr="00FD7B0B">
        <w:rPr>
          <w:rFonts w:ascii="Times New Roman" w:eastAsia="Times New Roman" w:hAnsi="Times New Roman" w:cs="Times New Roman"/>
          <w:sz w:val="28"/>
          <w:szCs w:val="28"/>
          <w:lang w:eastAsia="ru-RU"/>
        </w:rPr>
        <w:t>.</w:t>
      </w:r>
    </w:p>
    <w:p w14:paraId="555D425C" w14:textId="77777777" w:rsidR="00397E62" w:rsidRPr="00FD7B0B" w:rsidRDefault="00397E62" w:rsidP="00CF0AA4">
      <w:pPr>
        <w:spacing w:after="0" w:line="240" w:lineRule="auto"/>
        <w:rPr>
          <w:rFonts w:ascii="Times New Roman" w:eastAsia="Calibri" w:hAnsi="Times New Roman" w:cs="Times New Roman"/>
          <w:sz w:val="24"/>
          <w:szCs w:val="24"/>
        </w:rPr>
      </w:pPr>
    </w:p>
    <w:p w14:paraId="25B5C2B6" w14:textId="77777777" w:rsidR="00205BFC" w:rsidRPr="00FD7B0B" w:rsidRDefault="00205BFC" w:rsidP="00CF0AA4">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77</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Изменения, внесенные в финансовое обеспечение ГП № 01 за 2024 год в разрезе структурных элементов программы, млн.руб.</w:t>
      </w:r>
    </w:p>
    <w:tbl>
      <w:tblPr>
        <w:tblStyle w:val="a7"/>
        <w:tblW w:w="966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246"/>
        <w:gridCol w:w="1819"/>
        <w:gridCol w:w="1819"/>
        <w:gridCol w:w="1539"/>
        <w:gridCol w:w="1245"/>
      </w:tblGrid>
      <w:tr w:rsidR="00FD7B0B" w:rsidRPr="00FD7B0B" w14:paraId="59F51A20" w14:textId="77777777" w:rsidTr="00FB4A4C">
        <w:trPr>
          <w:trHeight w:val="333"/>
          <w:tblHeader/>
        </w:trPr>
        <w:tc>
          <w:tcPr>
            <w:tcW w:w="3246" w:type="dxa"/>
            <w:vMerge w:val="restart"/>
          </w:tcPr>
          <w:p w14:paraId="5724CBE7" w14:textId="77777777" w:rsidR="00FB4A4C" w:rsidRPr="00FD7B0B" w:rsidRDefault="00FB4A4C" w:rsidP="00FB4A4C">
            <w:pPr>
              <w:contextualSpacing/>
              <w:jc w:val="center"/>
              <w:rPr>
                <w:rFonts w:ascii="Times New Roman" w:eastAsia="Times New Roman" w:hAnsi="Times New Roman"/>
                <w:sz w:val="22"/>
                <w:szCs w:val="16"/>
              </w:rPr>
            </w:pPr>
            <w:r w:rsidRPr="00FD7B0B">
              <w:rPr>
                <w:rFonts w:ascii="Times New Roman" w:eastAsia="Times New Roman" w:hAnsi="Times New Roman"/>
                <w:sz w:val="22"/>
                <w:szCs w:val="16"/>
              </w:rPr>
              <w:t>Подпрограмма, источник финансирования</w:t>
            </w:r>
          </w:p>
        </w:tc>
        <w:tc>
          <w:tcPr>
            <w:tcW w:w="1819" w:type="dxa"/>
            <w:vMerge w:val="restart"/>
          </w:tcPr>
          <w:p w14:paraId="39AF2FA4" w14:textId="77777777" w:rsidR="00FB4A4C" w:rsidRPr="00FD7B0B" w:rsidRDefault="00FB4A4C" w:rsidP="00FB4A4C">
            <w:pPr>
              <w:contextualSpacing/>
              <w:jc w:val="center"/>
              <w:rPr>
                <w:rFonts w:ascii="Times New Roman" w:eastAsia="Times New Roman" w:hAnsi="Times New Roman"/>
                <w:sz w:val="22"/>
              </w:rPr>
            </w:pPr>
            <w:r w:rsidRPr="00FD7B0B">
              <w:rPr>
                <w:rFonts w:ascii="Times New Roman" w:eastAsia="Times New Roman" w:hAnsi="Times New Roman"/>
                <w:sz w:val="22"/>
              </w:rPr>
              <w:t>Редакция ГП № 01 на 28.12.2023 в ред. № 1382-пп</w:t>
            </w:r>
          </w:p>
        </w:tc>
        <w:tc>
          <w:tcPr>
            <w:tcW w:w="1819" w:type="dxa"/>
            <w:vMerge w:val="restart"/>
          </w:tcPr>
          <w:p w14:paraId="10C36E70" w14:textId="77777777" w:rsidR="00FB4A4C" w:rsidRPr="00FD7B0B" w:rsidRDefault="00FB4A4C" w:rsidP="00FB4A4C">
            <w:pPr>
              <w:contextualSpacing/>
              <w:jc w:val="center"/>
              <w:rPr>
                <w:rFonts w:ascii="Times New Roman" w:eastAsia="Times New Roman" w:hAnsi="Times New Roman"/>
                <w:sz w:val="22"/>
              </w:rPr>
            </w:pPr>
            <w:r w:rsidRPr="00FD7B0B">
              <w:rPr>
                <w:rFonts w:ascii="Times New Roman" w:eastAsia="Times New Roman" w:hAnsi="Times New Roman"/>
                <w:sz w:val="22"/>
              </w:rPr>
              <w:t>Редакция ГП № 01 на 26.12.2024 в ред. № 1216-пп</w:t>
            </w:r>
          </w:p>
        </w:tc>
        <w:tc>
          <w:tcPr>
            <w:tcW w:w="2784" w:type="dxa"/>
            <w:gridSpan w:val="2"/>
          </w:tcPr>
          <w:p w14:paraId="34707995" w14:textId="77777777" w:rsidR="00FB4A4C" w:rsidRPr="00FD7B0B" w:rsidRDefault="00FB4A4C" w:rsidP="00FB4A4C">
            <w:pPr>
              <w:contextualSpacing/>
              <w:jc w:val="center"/>
              <w:rPr>
                <w:rFonts w:ascii="Times New Roman" w:eastAsia="Times New Roman" w:hAnsi="Times New Roman"/>
                <w:sz w:val="22"/>
                <w:szCs w:val="16"/>
              </w:rPr>
            </w:pPr>
            <w:r w:rsidRPr="00FD7B0B">
              <w:rPr>
                <w:rFonts w:ascii="Times New Roman" w:eastAsia="Times New Roman" w:hAnsi="Times New Roman"/>
                <w:sz w:val="22"/>
                <w:szCs w:val="16"/>
              </w:rPr>
              <w:t>Изменения за отчетный период (+/-)</w:t>
            </w:r>
          </w:p>
        </w:tc>
      </w:tr>
      <w:tr w:rsidR="00FD7B0B" w:rsidRPr="00FD7B0B" w14:paraId="3074603D" w14:textId="77777777" w:rsidTr="00FB4A4C">
        <w:trPr>
          <w:trHeight w:val="90"/>
          <w:tblHeader/>
        </w:trPr>
        <w:tc>
          <w:tcPr>
            <w:tcW w:w="3246" w:type="dxa"/>
            <w:vMerge/>
          </w:tcPr>
          <w:p w14:paraId="2AF82507" w14:textId="77777777" w:rsidR="00FB4A4C" w:rsidRPr="00FD7B0B" w:rsidRDefault="00FB4A4C" w:rsidP="00FB4A4C">
            <w:pPr>
              <w:contextualSpacing/>
              <w:jc w:val="center"/>
              <w:rPr>
                <w:rFonts w:ascii="Times New Roman" w:eastAsia="Times New Roman" w:hAnsi="Times New Roman"/>
                <w:sz w:val="22"/>
                <w:szCs w:val="16"/>
              </w:rPr>
            </w:pPr>
          </w:p>
        </w:tc>
        <w:tc>
          <w:tcPr>
            <w:tcW w:w="1819" w:type="dxa"/>
            <w:vMerge/>
          </w:tcPr>
          <w:p w14:paraId="0CB14A7F" w14:textId="77777777" w:rsidR="00FB4A4C" w:rsidRPr="00FD7B0B" w:rsidRDefault="00FB4A4C" w:rsidP="00FB4A4C">
            <w:pPr>
              <w:contextualSpacing/>
              <w:jc w:val="center"/>
              <w:rPr>
                <w:rFonts w:ascii="Times New Roman" w:eastAsia="Times New Roman" w:hAnsi="Times New Roman"/>
                <w:sz w:val="22"/>
                <w:szCs w:val="16"/>
              </w:rPr>
            </w:pPr>
          </w:p>
        </w:tc>
        <w:tc>
          <w:tcPr>
            <w:tcW w:w="1819" w:type="dxa"/>
            <w:vMerge/>
          </w:tcPr>
          <w:p w14:paraId="0883B285" w14:textId="77777777" w:rsidR="00FB4A4C" w:rsidRPr="00FD7B0B" w:rsidRDefault="00FB4A4C" w:rsidP="00FB4A4C">
            <w:pPr>
              <w:contextualSpacing/>
              <w:jc w:val="center"/>
              <w:rPr>
                <w:rFonts w:ascii="Times New Roman" w:eastAsia="Times New Roman" w:hAnsi="Times New Roman"/>
                <w:sz w:val="22"/>
                <w:szCs w:val="16"/>
              </w:rPr>
            </w:pPr>
          </w:p>
        </w:tc>
        <w:tc>
          <w:tcPr>
            <w:tcW w:w="1539" w:type="dxa"/>
          </w:tcPr>
          <w:p w14:paraId="3F645DA0" w14:textId="77777777" w:rsidR="00FB4A4C" w:rsidRPr="00FD7B0B" w:rsidRDefault="00FB4A4C" w:rsidP="00FB4A4C">
            <w:pPr>
              <w:contextualSpacing/>
              <w:jc w:val="center"/>
              <w:rPr>
                <w:rFonts w:ascii="Times New Roman" w:eastAsia="Times New Roman" w:hAnsi="Times New Roman"/>
                <w:sz w:val="22"/>
                <w:szCs w:val="16"/>
              </w:rPr>
            </w:pPr>
            <w:r w:rsidRPr="00FD7B0B">
              <w:rPr>
                <w:rFonts w:ascii="Times New Roman" w:eastAsia="Times New Roman" w:hAnsi="Times New Roman"/>
                <w:sz w:val="22"/>
                <w:szCs w:val="16"/>
              </w:rPr>
              <w:t>млн.руб.</w:t>
            </w:r>
          </w:p>
        </w:tc>
        <w:tc>
          <w:tcPr>
            <w:tcW w:w="1245" w:type="dxa"/>
          </w:tcPr>
          <w:p w14:paraId="08689DA4" w14:textId="77777777" w:rsidR="00FB4A4C" w:rsidRPr="00FD7B0B" w:rsidRDefault="00FB4A4C" w:rsidP="00FB4A4C">
            <w:pPr>
              <w:contextualSpacing/>
              <w:jc w:val="center"/>
              <w:rPr>
                <w:rFonts w:ascii="Times New Roman" w:eastAsia="Times New Roman" w:hAnsi="Times New Roman"/>
                <w:sz w:val="22"/>
                <w:szCs w:val="16"/>
              </w:rPr>
            </w:pPr>
            <w:r w:rsidRPr="00FD7B0B">
              <w:rPr>
                <w:rFonts w:ascii="Times New Roman" w:eastAsia="Times New Roman" w:hAnsi="Times New Roman"/>
                <w:sz w:val="22"/>
                <w:szCs w:val="16"/>
              </w:rPr>
              <w:t>%</w:t>
            </w:r>
          </w:p>
        </w:tc>
      </w:tr>
      <w:tr w:rsidR="00FD7B0B" w:rsidRPr="00FD7B0B" w14:paraId="044EAB42" w14:textId="77777777" w:rsidTr="00FB4A4C">
        <w:trPr>
          <w:trHeight w:val="264"/>
        </w:trPr>
        <w:tc>
          <w:tcPr>
            <w:tcW w:w="3246" w:type="dxa"/>
          </w:tcPr>
          <w:p w14:paraId="7B9CDED2" w14:textId="77777777" w:rsidR="00FB4A4C" w:rsidRPr="00FD7B0B" w:rsidRDefault="00FB4A4C" w:rsidP="00FB4A4C">
            <w:pPr>
              <w:contextualSpacing/>
              <w:jc w:val="center"/>
              <w:rPr>
                <w:rFonts w:ascii="Times New Roman" w:eastAsia="Times New Roman" w:hAnsi="Times New Roman"/>
                <w:sz w:val="22"/>
                <w:szCs w:val="16"/>
              </w:rPr>
            </w:pPr>
            <w:r w:rsidRPr="00FD7B0B">
              <w:rPr>
                <w:rFonts w:ascii="Times New Roman" w:eastAsia="Times New Roman" w:hAnsi="Times New Roman"/>
                <w:sz w:val="22"/>
                <w:szCs w:val="16"/>
              </w:rPr>
              <w:t>А</w:t>
            </w:r>
          </w:p>
        </w:tc>
        <w:tc>
          <w:tcPr>
            <w:tcW w:w="1819" w:type="dxa"/>
          </w:tcPr>
          <w:p w14:paraId="4C1D1640" w14:textId="77777777" w:rsidR="00FB4A4C" w:rsidRPr="00FD7B0B" w:rsidRDefault="00FB4A4C" w:rsidP="00FB4A4C">
            <w:pPr>
              <w:contextualSpacing/>
              <w:jc w:val="center"/>
              <w:rPr>
                <w:rFonts w:ascii="Times New Roman" w:eastAsia="Times New Roman" w:hAnsi="Times New Roman"/>
                <w:sz w:val="22"/>
                <w:szCs w:val="16"/>
              </w:rPr>
            </w:pPr>
            <w:r w:rsidRPr="00FD7B0B">
              <w:rPr>
                <w:rFonts w:ascii="Times New Roman" w:eastAsia="Times New Roman" w:hAnsi="Times New Roman"/>
                <w:sz w:val="22"/>
                <w:szCs w:val="16"/>
              </w:rPr>
              <w:t>1</w:t>
            </w:r>
          </w:p>
        </w:tc>
        <w:tc>
          <w:tcPr>
            <w:tcW w:w="1819" w:type="dxa"/>
          </w:tcPr>
          <w:p w14:paraId="12EB67C0" w14:textId="77777777" w:rsidR="00FB4A4C" w:rsidRPr="00FD7B0B" w:rsidRDefault="00FB4A4C" w:rsidP="00FB4A4C">
            <w:pPr>
              <w:contextualSpacing/>
              <w:jc w:val="center"/>
              <w:rPr>
                <w:rFonts w:ascii="Times New Roman" w:eastAsia="Times New Roman" w:hAnsi="Times New Roman"/>
                <w:sz w:val="22"/>
                <w:szCs w:val="16"/>
              </w:rPr>
            </w:pPr>
            <w:r w:rsidRPr="00FD7B0B">
              <w:rPr>
                <w:rFonts w:ascii="Times New Roman" w:eastAsia="Times New Roman" w:hAnsi="Times New Roman"/>
                <w:sz w:val="22"/>
                <w:szCs w:val="16"/>
              </w:rPr>
              <w:t>2</w:t>
            </w:r>
          </w:p>
        </w:tc>
        <w:tc>
          <w:tcPr>
            <w:tcW w:w="1539" w:type="dxa"/>
          </w:tcPr>
          <w:p w14:paraId="6BF7E3B3" w14:textId="77777777" w:rsidR="00FB4A4C" w:rsidRPr="00FD7B0B" w:rsidRDefault="00FB4A4C" w:rsidP="00FB4A4C">
            <w:pPr>
              <w:contextualSpacing/>
              <w:jc w:val="center"/>
              <w:rPr>
                <w:rFonts w:ascii="Times New Roman" w:eastAsia="Times New Roman" w:hAnsi="Times New Roman"/>
                <w:sz w:val="22"/>
                <w:szCs w:val="16"/>
              </w:rPr>
            </w:pPr>
            <w:r w:rsidRPr="00FD7B0B">
              <w:rPr>
                <w:rFonts w:ascii="Times New Roman" w:eastAsia="Times New Roman" w:hAnsi="Times New Roman"/>
                <w:sz w:val="22"/>
                <w:szCs w:val="16"/>
              </w:rPr>
              <w:t>3=2-1</w:t>
            </w:r>
          </w:p>
        </w:tc>
        <w:tc>
          <w:tcPr>
            <w:tcW w:w="1245" w:type="dxa"/>
          </w:tcPr>
          <w:p w14:paraId="1FE737A6" w14:textId="77777777" w:rsidR="00FB4A4C" w:rsidRPr="00FD7B0B" w:rsidRDefault="00FB4A4C" w:rsidP="00FB4A4C">
            <w:pPr>
              <w:contextualSpacing/>
              <w:jc w:val="center"/>
              <w:rPr>
                <w:rFonts w:ascii="Times New Roman" w:eastAsia="Times New Roman" w:hAnsi="Times New Roman"/>
                <w:sz w:val="22"/>
                <w:szCs w:val="16"/>
              </w:rPr>
            </w:pPr>
            <w:r w:rsidRPr="00FD7B0B">
              <w:rPr>
                <w:rFonts w:ascii="Times New Roman" w:eastAsia="Times New Roman" w:hAnsi="Times New Roman"/>
                <w:sz w:val="22"/>
                <w:szCs w:val="16"/>
              </w:rPr>
              <w:t>5=3/1*100</w:t>
            </w:r>
          </w:p>
        </w:tc>
      </w:tr>
      <w:tr w:rsidR="00FD7B0B" w:rsidRPr="00FD7B0B" w14:paraId="2C36B479" w14:textId="77777777" w:rsidTr="00FB4A4C">
        <w:tc>
          <w:tcPr>
            <w:tcW w:w="3246" w:type="dxa"/>
          </w:tcPr>
          <w:p w14:paraId="590CAF2F" w14:textId="77777777" w:rsidR="00FB4A4C" w:rsidRPr="00FD7B0B" w:rsidRDefault="00FB4A4C" w:rsidP="00FB4A4C">
            <w:pPr>
              <w:contextualSpacing/>
              <w:rPr>
                <w:rFonts w:ascii="Times New Roman" w:eastAsia="Times New Roman" w:hAnsi="Times New Roman"/>
                <w:b/>
                <w:sz w:val="16"/>
                <w:szCs w:val="16"/>
              </w:rPr>
            </w:pPr>
            <w:r w:rsidRPr="00FD7B0B">
              <w:rPr>
                <w:rFonts w:ascii="Times New Roman" w:eastAsia="Times New Roman" w:hAnsi="Times New Roman"/>
                <w:b/>
                <w:sz w:val="16"/>
                <w:szCs w:val="16"/>
              </w:rPr>
              <w:t>ГП № 01</w:t>
            </w:r>
          </w:p>
        </w:tc>
        <w:tc>
          <w:tcPr>
            <w:tcW w:w="1819" w:type="dxa"/>
            <w:vAlign w:val="center"/>
          </w:tcPr>
          <w:p w14:paraId="56A97E5B"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55 355,3</w:t>
            </w:r>
          </w:p>
        </w:tc>
        <w:tc>
          <w:tcPr>
            <w:tcW w:w="1819" w:type="dxa"/>
            <w:vAlign w:val="center"/>
          </w:tcPr>
          <w:p w14:paraId="3F61528F"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55 888,7</w:t>
            </w:r>
          </w:p>
        </w:tc>
        <w:tc>
          <w:tcPr>
            <w:tcW w:w="1539" w:type="dxa"/>
            <w:vAlign w:val="center"/>
          </w:tcPr>
          <w:p w14:paraId="13A90833"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533,4</w:t>
            </w:r>
          </w:p>
        </w:tc>
        <w:tc>
          <w:tcPr>
            <w:tcW w:w="1245" w:type="dxa"/>
            <w:vAlign w:val="center"/>
          </w:tcPr>
          <w:p w14:paraId="56AC549B"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0,96</w:t>
            </w:r>
          </w:p>
        </w:tc>
      </w:tr>
      <w:tr w:rsidR="00FD7B0B" w:rsidRPr="00FD7B0B" w14:paraId="45B5521F" w14:textId="77777777" w:rsidTr="00FB4A4C">
        <w:tc>
          <w:tcPr>
            <w:tcW w:w="3246" w:type="dxa"/>
          </w:tcPr>
          <w:p w14:paraId="49B64A97" w14:textId="77777777" w:rsidR="00FB4A4C" w:rsidRPr="00FD7B0B" w:rsidRDefault="00FB4A4C" w:rsidP="00FB4A4C">
            <w:pPr>
              <w:contextualSpacing/>
              <w:rPr>
                <w:rFonts w:ascii="Times New Roman" w:eastAsia="Times New Roman" w:hAnsi="Times New Roman"/>
                <w:sz w:val="16"/>
                <w:szCs w:val="16"/>
              </w:rPr>
            </w:pPr>
            <w:r w:rsidRPr="00FD7B0B">
              <w:rPr>
                <w:rFonts w:ascii="Times New Roman" w:eastAsia="Times New Roman" w:hAnsi="Times New Roman"/>
                <w:sz w:val="16"/>
                <w:szCs w:val="16"/>
              </w:rPr>
              <w:t>Областной бюджет</w:t>
            </w:r>
          </w:p>
        </w:tc>
        <w:tc>
          <w:tcPr>
            <w:tcW w:w="1819" w:type="dxa"/>
            <w:vAlign w:val="center"/>
          </w:tcPr>
          <w:p w14:paraId="71586B61"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22 934,4</w:t>
            </w:r>
          </w:p>
        </w:tc>
        <w:tc>
          <w:tcPr>
            <w:tcW w:w="1819" w:type="dxa"/>
            <w:vAlign w:val="center"/>
          </w:tcPr>
          <w:p w14:paraId="681C50FC"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23 467,8</w:t>
            </w:r>
          </w:p>
        </w:tc>
        <w:tc>
          <w:tcPr>
            <w:tcW w:w="1539" w:type="dxa"/>
            <w:vAlign w:val="center"/>
          </w:tcPr>
          <w:p w14:paraId="215BD15B"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533,4</w:t>
            </w:r>
          </w:p>
        </w:tc>
        <w:tc>
          <w:tcPr>
            <w:tcW w:w="1245" w:type="dxa"/>
            <w:vAlign w:val="center"/>
          </w:tcPr>
          <w:p w14:paraId="5A7B428F"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2,3</w:t>
            </w:r>
          </w:p>
        </w:tc>
      </w:tr>
      <w:tr w:rsidR="00FD7B0B" w:rsidRPr="00FD7B0B" w14:paraId="359836A5" w14:textId="77777777" w:rsidTr="00FB4A4C">
        <w:tc>
          <w:tcPr>
            <w:tcW w:w="3246" w:type="dxa"/>
          </w:tcPr>
          <w:p w14:paraId="581C57DC" w14:textId="77777777" w:rsidR="00FB4A4C" w:rsidRPr="00FD7B0B" w:rsidRDefault="00FB4A4C" w:rsidP="00FB4A4C">
            <w:pPr>
              <w:contextualSpacing/>
              <w:rPr>
                <w:rFonts w:ascii="Times New Roman" w:eastAsia="Times New Roman" w:hAnsi="Times New Roman"/>
                <w:sz w:val="16"/>
                <w:szCs w:val="16"/>
              </w:rPr>
            </w:pPr>
            <w:r w:rsidRPr="00FD7B0B">
              <w:rPr>
                <w:rFonts w:ascii="Times New Roman" w:eastAsia="Times New Roman" w:hAnsi="Times New Roman"/>
                <w:sz w:val="16"/>
                <w:szCs w:val="16"/>
              </w:rPr>
              <w:t>Бюджет ТФОМС</w:t>
            </w:r>
          </w:p>
        </w:tc>
        <w:tc>
          <w:tcPr>
            <w:tcW w:w="1819" w:type="dxa"/>
            <w:vAlign w:val="center"/>
          </w:tcPr>
          <w:p w14:paraId="526382A4"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32 420,9</w:t>
            </w:r>
          </w:p>
        </w:tc>
        <w:tc>
          <w:tcPr>
            <w:tcW w:w="1819" w:type="dxa"/>
            <w:vAlign w:val="center"/>
          </w:tcPr>
          <w:p w14:paraId="4E97A0BF"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32 420,9</w:t>
            </w:r>
          </w:p>
        </w:tc>
        <w:tc>
          <w:tcPr>
            <w:tcW w:w="1539" w:type="dxa"/>
            <w:vAlign w:val="center"/>
          </w:tcPr>
          <w:p w14:paraId="29FEB10E"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245" w:type="dxa"/>
            <w:vAlign w:val="center"/>
          </w:tcPr>
          <w:p w14:paraId="2ADB2E9E"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3701859C" w14:textId="77777777" w:rsidTr="00FB4A4C">
        <w:tc>
          <w:tcPr>
            <w:tcW w:w="3246" w:type="dxa"/>
          </w:tcPr>
          <w:p w14:paraId="2B752A37" w14:textId="77777777" w:rsidR="00FB4A4C" w:rsidRPr="00FD7B0B" w:rsidRDefault="00FB4A4C" w:rsidP="00FB4A4C">
            <w:pPr>
              <w:contextualSpacing/>
              <w:rPr>
                <w:rFonts w:ascii="Times New Roman" w:eastAsia="Times New Roman" w:hAnsi="Times New Roman"/>
                <w:b/>
                <w:sz w:val="16"/>
                <w:szCs w:val="16"/>
              </w:rPr>
            </w:pPr>
            <w:r w:rsidRPr="00FD7B0B">
              <w:rPr>
                <w:rFonts w:ascii="Times New Roman" w:eastAsia="Times New Roman" w:hAnsi="Times New Roman"/>
                <w:b/>
                <w:sz w:val="16"/>
                <w:szCs w:val="16"/>
              </w:rPr>
              <w:t>Региональные проекты, областной бюджет:</w:t>
            </w:r>
          </w:p>
        </w:tc>
        <w:tc>
          <w:tcPr>
            <w:tcW w:w="1819" w:type="dxa"/>
            <w:vAlign w:val="center"/>
          </w:tcPr>
          <w:p w14:paraId="48E14464" w14:textId="77777777" w:rsidR="00FB4A4C" w:rsidRPr="00FD7B0B" w:rsidRDefault="00FB4A4C" w:rsidP="00FB4A4C">
            <w:pPr>
              <w:jc w:val="center"/>
              <w:rPr>
                <w:rFonts w:ascii="Times New Roman" w:hAnsi="Times New Roman"/>
                <w:sz w:val="22"/>
              </w:rPr>
            </w:pPr>
          </w:p>
        </w:tc>
        <w:tc>
          <w:tcPr>
            <w:tcW w:w="1819" w:type="dxa"/>
            <w:vAlign w:val="center"/>
          </w:tcPr>
          <w:p w14:paraId="050983F4" w14:textId="77777777" w:rsidR="00FB4A4C" w:rsidRPr="00FD7B0B" w:rsidRDefault="00FB4A4C" w:rsidP="00FB4A4C">
            <w:pPr>
              <w:jc w:val="center"/>
              <w:rPr>
                <w:rFonts w:ascii="Times New Roman" w:hAnsi="Times New Roman"/>
                <w:sz w:val="22"/>
              </w:rPr>
            </w:pPr>
          </w:p>
        </w:tc>
        <w:tc>
          <w:tcPr>
            <w:tcW w:w="1539" w:type="dxa"/>
            <w:vAlign w:val="center"/>
          </w:tcPr>
          <w:p w14:paraId="5917D007" w14:textId="77777777" w:rsidR="00FB4A4C" w:rsidRPr="00FD7B0B" w:rsidRDefault="00FB4A4C" w:rsidP="00FB4A4C">
            <w:pPr>
              <w:jc w:val="center"/>
              <w:rPr>
                <w:rFonts w:ascii="Times New Roman" w:hAnsi="Times New Roman"/>
                <w:sz w:val="22"/>
              </w:rPr>
            </w:pPr>
          </w:p>
        </w:tc>
        <w:tc>
          <w:tcPr>
            <w:tcW w:w="1245" w:type="dxa"/>
            <w:vAlign w:val="center"/>
          </w:tcPr>
          <w:p w14:paraId="019472B7" w14:textId="77777777" w:rsidR="00FB4A4C" w:rsidRPr="00FD7B0B" w:rsidRDefault="00FB4A4C" w:rsidP="00FB4A4C">
            <w:pPr>
              <w:jc w:val="center"/>
              <w:rPr>
                <w:rFonts w:ascii="Times New Roman" w:hAnsi="Times New Roman"/>
                <w:sz w:val="22"/>
              </w:rPr>
            </w:pPr>
          </w:p>
        </w:tc>
      </w:tr>
      <w:tr w:rsidR="00FD7B0B" w:rsidRPr="00FD7B0B" w14:paraId="46C6BFAB" w14:textId="77777777" w:rsidTr="00FB4A4C">
        <w:tc>
          <w:tcPr>
            <w:tcW w:w="3246" w:type="dxa"/>
          </w:tcPr>
          <w:p w14:paraId="506F952D" w14:textId="77777777" w:rsidR="00FB4A4C" w:rsidRPr="00FD7B0B" w:rsidRDefault="00FB4A4C" w:rsidP="00FB4A4C">
            <w:pPr>
              <w:contextualSpacing/>
              <w:rPr>
                <w:rFonts w:ascii="Times New Roman" w:eastAsia="Times New Roman" w:hAnsi="Times New Roman"/>
                <w:sz w:val="16"/>
                <w:szCs w:val="16"/>
              </w:rPr>
            </w:pPr>
            <w:r w:rsidRPr="00FD7B0B">
              <w:rPr>
                <w:rFonts w:ascii="Times New Roman" w:eastAsia="Times New Roman" w:hAnsi="Times New Roman"/>
                <w:sz w:val="16"/>
                <w:szCs w:val="16"/>
              </w:rPr>
              <w:t>Проект 1 «Развитие системы оказания первичной медико-санитарной помощи (Архангельская область)»</w:t>
            </w:r>
          </w:p>
        </w:tc>
        <w:tc>
          <w:tcPr>
            <w:tcW w:w="1819" w:type="dxa"/>
            <w:vAlign w:val="center"/>
          </w:tcPr>
          <w:p w14:paraId="63BACD0A"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170,6</w:t>
            </w:r>
          </w:p>
        </w:tc>
        <w:tc>
          <w:tcPr>
            <w:tcW w:w="1819" w:type="dxa"/>
            <w:vAlign w:val="center"/>
          </w:tcPr>
          <w:p w14:paraId="1058F5D7"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170,6</w:t>
            </w:r>
          </w:p>
        </w:tc>
        <w:tc>
          <w:tcPr>
            <w:tcW w:w="1539" w:type="dxa"/>
            <w:vAlign w:val="center"/>
          </w:tcPr>
          <w:p w14:paraId="3FDC0096"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245" w:type="dxa"/>
            <w:vAlign w:val="center"/>
          </w:tcPr>
          <w:p w14:paraId="760F5F45"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48EF5C0B" w14:textId="77777777" w:rsidTr="00FB4A4C">
        <w:tc>
          <w:tcPr>
            <w:tcW w:w="3246" w:type="dxa"/>
          </w:tcPr>
          <w:p w14:paraId="51B3E8A6" w14:textId="77777777" w:rsidR="00FB4A4C" w:rsidRPr="00FD7B0B" w:rsidRDefault="00FB4A4C" w:rsidP="00FB4A4C">
            <w:pPr>
              <w:tabs>
                <w:tab w:val="left" w:pos="546"/>
              </w:tabs>
              <w:ind w:firstLine="9"/>
              <w:contextualSpacing/>
              <w:rPr>
                <w:rFonts w:ascii="Times New Roman" w:eastAsia="Times New Roman" w:hAnsi="Times New Roman"/>
                <w:sz w:val="16"/>
                <w:szCs w:val="16"/>
              </w:rPr>
            </w:pPr>
            <w:r w:rsidRPr="00FD7B0B">
              <w:rPr>
                <w:rFonts w:ascii="Times New Roman" w:eastAsia="Times New Roman" w:hAnsi="Times New Roman"/>
                <w:sz w:val="16"/>
                <w:szCs w:val="16"/>
              </w:rPr>
              <w:t>Проект 2 «Борьба с сердечно-сосудистыми заболеваниями»</w:t>
            </w:r>
          </w:p>
        </w:tc>
        <w:tc>
          <w:tcPr>
            <w:tcW w:w="1819" w:type="dxa"/>
            <w:vAlign w:val="center"/>
          </w:tcPr>
          <w:p w14:paraId="7DF106DC"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216,0</w:t>
            </w:r>
          </w:p>
        </w:tc>
        <w:tc>
          <w:tcPr>
            <w:tcW w:w="1819" w:type="dxa"/>
            <w:vAlign w:val="center"/>
          </w:tcPr>
          <w:p w14:paraId="22A12EF8"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216,0</w:t>
            </w:r>
          </w:p>
        </w:tc>
        <w:tc>
          <w:tcPr>
            <w:tcW w:w="1539" w:type="dxa"/>
            <w:vAlign w:val="center"/>
          </w:tcPr>
          <w:p w14:paraId="1C939C1D"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245" w:type="dxa"/>
            <w:vAlign w:val="center"/>
          </w:tcPr>
          <w:p w14:paraId="65D8CAF7"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407E1833" w14:textId="77777777" w:rsidTr="00FB4A4C">
        <w:tc>
          <w:tcPr>
            <w:tcW w:w="3246" w:type="dxa"/>
          </w:tcPr>
          <w:p w14:paraId="21AAE492" w14:textId="77777777" w:rsidR="00FB4A4C" w:rsidRPr="00FD7B0B" w:rsidRDefault="00FB4A4C" w:rsidP="00FB4A4C">
            <w:pPr>
              <w:ind w:firstLine="19"/>
              <w:contextualSpacing/>
              <w:rPr>
                <w:rFonts w:ascii="Times New Roman" w:eastAsia="Times New Roman" w:hAnsi="Times New Roman"/>
                <w:sz w:val="16"/>
                <w:szCs w:val="16"/>
              </w:rPr>
            </w:pPr>
            <w:r w:rsidRPr="00FD7B0B">
              <w:rPr>
                <w:rFonts w:ascii="Times New Roman" w:eastAsia="Times New Roman" w:hAnsi="Times New Roman"/>
                <w:sz w:val="16"/>
                <w:szCs w:val="16"/>
              </w:rPr>
              <w:t>Проект 3 «Борьба с онкологическими заболеваниями»</w:t>
            </w:r>
          </w:p>
        </w:tc>
        <w:tc>
          <w:tcPr>
            <w:tcW w:w="1819" w:type="dxa"/>
            <w:vAlign w:val="center"/>
          </w:tcPr>
          <w:p w14:paraId="340F6EF6"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54,3</w:t>
            </w:r>
          </w:p>
        </w:tc>
        <w:tc>
          <w:tcPr>
            <w:tcW w:w="1819" w:type="dxa"/>
            <w:vAlign w:val="center"/>
          </w:tcPr>
          <w:p w14:paraId="4F209681"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54,3</w:t>
            </w:r>
          </w:p>
        </w:tc>
        <w:tc>
          <w:tcPr>
            <w:tcW w:w="1539" w:type="dxa"/>
            <w:vAlign w:val="center"/>
          </w:tcPr>
          <w:p w14:paraId="303AA31D"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245" w:type="dxa"/>
            <w:vAlign w:val="center"/>
          </w:tcPr>
          <w:p w14:paraId="5490579E"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6CCD3B60" w14:textId="77777777" w:rsidTr="00FB4A4C">
        <w:tc>
          <w:tcPr>
            <w:tcW w:w="3246" w:type="dxa"/>
          </w:tcPr>
          <w:p w14:paraId="40732129" w14:textId="77777777" w:rsidR="00FB4A4C" w:rsidRPr="00FD7B0B" w:rsidRDefault="00FB4A4C" w:rsidP="00FB4A4C">
            <w:pPr>
              <w:contextualSpacing/>
              <w:rPr>
                <w:rFonts w:ascii="Times New Roman" w:eastAsia="Times New Roman" w:hAnsi="Times New Roman"/>
                <w:sz w:val="16"/>
                <w:szCs w:val="16"/>
              </w:rPr>
            </w:pPr>
            <w:r w:rsidRPr="00FD7B0B">
              <w:rPr>
                <w:rFonts w:ascii="Times New Roman" w:eastAsia="Times New Roman" w:hAnsi="Times New Roman"/>
                <w:sz w:val="16"/>
                <w:szCs w:val="16"/>
              </w:rPr>
              <w:t>Проект 4  «Создание единого цифрового контура в здравоохранении на основе единой государственной информационной системы здравоохранения (ЕГИСЗ) (Архангельская область)»</w:t>
            </w:r>
          </w:p>
        </w:tc>
        <w:tc>
          <w:tcPr>
            <w:tcW w:w="1819" w:type="dxa"/>
            <w:vAlign w:val="center"/>
          </w:tcPr>
          <w:p w14:paraId="1BCC0A6C"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63,6</w:t>
            </w:r>
          </w:p>
        </w:tc>
        <w:tc>
          <w:tcPr>
            <w:tcW w:w="1819" w:type="dxa"/>
            <w:vAlign w:val="center"/>
          </w:tcPr>
          <w:p w14:paraId="7DB8939E"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63,6</w:t>
            </w:r>
          </w:p>
        </w:tc>
        <w:tc>
          <w:tcPr>
            <w:tcW w:w="1539" w:type="dxa"/>
            <w:vAlign w:val="center"/>
          </w:tcPr>
          <w:p w14:paraId="2D04120E"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0,05</w:t>
            </w:r>
          </w:p>
        </w:tc>
        <w:tc>
          <w:tcPr>
            <w:tcW w:w="1245" w:type="dxa"/>
            <w:vAlign w:val="center"/>
          </w:tcPr>
          <w:p w14:paraId="10356E18"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0,1</w:t>
            </w:r>
          </w:p>
        </w:tc>
      </w:tr>
      <w:tr w:rsidR="00FD7B0B" w:rsidRPr="00FD7B0B" w14:paraId="706E7C38" w14:textId="77777777" w:rsidTr="00FB4A4C">
        <w:tc>
          <w:tcPr>
            <w:tcW w:w="3246" w:type="dxa"/>
          </w:tcPr>
          <w:p w14:paraId="186BB59B" w14:textId="77777777" w:rsidR="00FB4A4C" w:rsidRPr="00FD7B0B" w:rsidRDefault="00FB4A4C" w:rsidP="00FB4A4C">
            <w:pPr>
              <w:ind w:firstLine="19"/>
              <w:contextualSpacing/>
              <w:rPr>
                <w:rFonts w:ascii="Times New Roman" w:eastAsia="Times New Roman" w:hAnsi="Times New Roman"/>
                <w:sz w:val="16"/>
                <w:szCs w:val="16"/>
              </w:rPr>
            </w:pPr>
            <w:r w:rsidRPr="00FD7B0B">
              <w:rPr>
                <w:rFonts w:ascii="Times New Roman" w:eastAsia="Times New Roman" w:hAnsi="Times New Roman"/>
                <w:sz w:val="16"/>
                <w:szCs w:val="16"/>
              </w:rPr>
              <w:t>Проект 5. «Инвестиционная деятельность»</w:t>
            </w:r>
          </w:p>
        </w:tc>
        <w:tc>
          <w:tcPr>
            <w:tcW w:w="1819" w:type="dxa"/>
            <w:vAlign w:val="center"/>
          </w:tcPr>
          <w:p w14:paraId="7722CC27"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1 004,6</w:t>
            </w:r>
          </w:p>
        </w:tc>
        <w:tc>
          <w:tcPr>
            <w:tcW w:w="1819" w:type="dxa"/>
            <w:vAlign w:val="center"/>
          </w:tcPr>
          <w:p w14:paraId="0CFEF400"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1 012,7</w:t>
            </w:r>
          </w:p>
        </w:tc>
        <w:tc>
          <w:tcPr>
            <w:tcW w:w="1539" w:type="dxa"/>
            <w:vAlign w:val="center"/>
          </w:tcPr>
          <w:p w14:paraId="2BE352FB"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8,1</w:t>
            </w:r>
          </w:p>
        </w:tc>
        <w:tc>
          <w:tcPr>
            <w:tcW w:w="1245" w:type="dxa"/>
            <w:vAlign w:val="center"/>
          </w:tcPr>
          <w:p w14:paraId="4AF33CC0"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0,8</w:t>
            </w:r>
          </w:p>
        </w:tc>
      </w:tr>
      <w:tr w:rsidR="00FD7B0B" w:rsidRPr="00FD7B0B" w14:paraId="3004B037" w14:textId="77777777" w:rsidTr="00FB4A4C">
        <w:tc>
          <w:tcPr>
            <w:tcW w:w="3246" w:type="dxa"/>
          </w:tcPr>
          <w:p w14:paraId="59A074D1" w14:textId="77777777" w:rsidR="00FB4A4C" w:rsidRPr="00FD7B0B" w:rsidRDefault="00FB4A4C" w:rsidP="00FB4A4C">
            <w:pPr>
              <w:ind w:left="19"/>
              <w:contextualSpacing/>
              <w:rPr>
                <w:rFonts w:ascii="Times New Roman" w:eastAsia="Times New Roman" w:hAnsi="Times New Roman"/>
                <w:sz w:val="16"/>
                <w:szCs w:val="16"/>
              </w:rPr>
            </w:pPr>
            <w:r w:rsidRPr="00FD7B0B">
              <w:rPr>
                <w:rFonts w:ascii="Times New Roman" w:eastAsia="Times New Roman" w:hAnsi="Times New Roman"/>
                <w:sz w:val="16"/>
                <w:szCs w:val="16"/>
              </w:rPr>
              <w:t>Проект 6. «Развитие детского здравоохранения, включая создание современной инфраструктуры оказания медицинской помощи детям (Архангельская область)»</w:t>
            </w:r>
          </w:p>
        </w:tc>
        <w:tc>
          <w:tcPr>
            <w:tcW w:w="1819" w:type="dxa"/>
            <w:vAlign w:val="center"/>
          </w:tcPr>
          <w:p w14:paraId="7BAE5528"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819" w:type="dxa"/>
            <w:vAlign w:val="center"/>
          </w:tcPr>
          <w:p w14:paraId="6A05DA90"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539" w:type="dxa"/>
            <w:vAlign w:val="center"/>
          </w:tcPr>
          <w:p w14:paraId="7D9EAA0A"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245" w:type="dxa"/>
            <w:vAlign w:val="center"/>
          </w:tcPr>
          <w:p w14:paraId="4AEE38C5"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328D6293" w14:textId="77777777" w:rsidTr="00FB4A4C">
        <w:tc>
          <w:tcPr>
            <w:tcW w:w="3246" w:type="dxa"/>
          </w:tcPr>
          <w:p w14:paraId="3EE8EEDE" w14:textId="77777777" w:rsidR="00FB4A4C" w:rsidRPr="00FD7B0B" w:rsidRDefault="00FB4A4C" w:rsidP="00FB4A4C">
            <w:pPr>
              <w:ind w:left="19"/>
              <w:contextualSpacing/>
              <w:rPr>
                <w:rFonts w:ascii="Times New Roman" w:eastAsia="Times New Roman" w:hAnsi="Times New Roman"/>
                <w:sz w:val="16"/>
                <w:szCs w:val="16"/>
              </w:rPr>
            </w:pPr>
            <w:r w:rsidRPr="00FD7B0B">
              <w:rPr>
                <w:rFonts w:ascii="Times New Roman" w:eastAsia="Times New Roman" w:hAnsi="Times New Roman"/>
                <w:sz w:val="16"/>
                <w:szCs w:val="16"/>
              </w:rPr>
              <w:t>Проект 7«Обеспечение медицинских организаций системы здравоохранения квалифицированными кадрами (Архангельская область)»</w:t>
            </w:r>
          </w:p>
        </w:tc>
        <w:tc>
          <w:tcPr>
            <w:tcW w:w="1819" w:type="dxa"/>
            <w:vAlign w:val="center"/>
          </w:tcPr>
          <w:p w14:paraId="0920A008"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819" w:type="dxa"/>
            <w:vAlign w:val="center"/>
          </w:tcPr>
          <w:p w14:paraId="43A7FD2A"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539" w:type="dxa"/>
            <w:vAlign w:val="center"/>
          </w:tcPr>
          <w:p w14:paraId="1EA81F2F"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245" w:type="dxa"/>
            <w:vAlign w:val="center"/>
          </w:tcPr>
          <w:p w14:paraId="32C10945"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255AB442" w14:textId="77777777" w:rsidTr="00FB4A4C">
        <w:tc>
          <w:tcPr>
            <w:tcW w:w="3246" w:type="dxa"/>
          </w:tcPr>
          <w:p w14:paraId="750B7851" w14:textId="77777777" w:rsidR="00FB4A4C" w:rsidRPr="00FD7B0B" w:rsidRDefault="00FB4A4C" w:rsidP="00FB4A4C">
            <w:pPr>
              <w:ind w:firstLine="19"/>
              <w:contextualSpacing/>
              <w:rPr>
                <w:rFonts w:ascii="Times New Roman" w:eastAsia="Times New Roman" w:hAnsi="Times New Roman"/>
                <w:sz w:val="16"/>
                <w:szCs w:val="16"/>
              </w:rPr>
            </w:pPr>
            <w:r w:rsidRPr="00FD7B0B">
              <w:rPr>
                <w:rFonts w:ascii="Times New Roman" w:eastAsia="Times New Roman" w:hAnsi="Times New Roman"/>
                <w:sz w:val="16"/>
                <w:szCs w:val="16"/>
              </w:rPr>
              <w:t>Проект 8. «Развитие экспорта медицинских услуг (Архангельская область)»</w:t>
            </w:r>
          </w:p>
        </w:tc>
        <w:tc>
          <w:tcPr>
            <w:tcW w:w="1819" w:type="dxa"/>
            <w:vAlign w:val="center"/>
          </w:tcPr>
          <w:p w14:paraId="5413B03D"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819" w:type="dxa"/>
            <w:vAlign w:val="center"/>
          </w:tcPr>
          <w:p w14:paraId="125CF4E5"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539" w:type="dxa"/>
            <w:vAlign w:val="center"/>
          </w:tcPr>
          <w:p w14:paraId="132BBBC7"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245" w:type="dxa"/>
            <w:vAlign w:val="center"/>
          </w:tcPr>
          <w:p w14:paraId="0FCF78D1"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6FCC066A" w14:textId="77777777" w:rsidTr="00FB4A4C">
        <w:tc>
          <w:tcPr>
            <w:tcW w:w="3246" w:type="dxa"/>
          </w:tcPr>
          <w:p w14:paraId="23C202A6" w14:textId="77777777" w:rsidR="00FB4A4C" w:rsidRPr="00FD7B0B" w:rsidRDefault="00FB4A4C" w:rsidP="00FB4A4C">
            <w:pPr>
              <w:ind w:left="19"/>
              <w:contextualSpacing/>
              <w:rPr>
                <w:rFonts w:ascii="Times New Roman" w:eastAsia="Times New Roman" w:hAnsi="Times New Roman"/>
                <w:sz w:val="16"/>
                <w:szCs w:val="16"/>
              </w:rPr>
            </w:pPr>
            <w:r w:rsidRPr="00FD7B0B">
              <w:rPr>
                <w:rFonts w:ascii="Times New Roman" w:eastAsia="Times New Roman" w:hAnsi="Times New Roman"/>
                <w:sz w:val="16"/>
                <w:szCs w:val="16"/>
              </w:rPr>
              <w:t>Проект 9. «Формирование системы мотивации граждан к здоровому образу жизни, включая здоровое питание и отказ от вредных привычек (Архангельская область)»</w:t>
            </w:r>
          </w:p>
        </w:tc>
        <w:tc>
          <w:tcPr>
            <w:tcW w:w="1819" w:type="dxa"/>
            <w:vAlign w:val="center"/>
          </w:tcPr>
          <w:p w14:paraId="64EC5665"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819" w:type="dxa"/>
            <w:vAlign w:val="center"/>
          </w:tcPr>
          <w:p w14:paraId="59BB5474"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539" w:type="dxa"/>
            <w:vAlign w:val="center"/>
          </w:tcPr>
          <w:p w14:paraId="02A3D856"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245" w:type="dxa"/>
            <w:vAlign w:val="center"/>
          </w:tcPr>
          <w:p w14:paraId="62AF07D3"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44140FF3" w14:textId="77777777" w:rsidTr="00FB4A4C">
        <w:tc>
          <w:tcPr>
            <w:tcW w:w="3246" w:type="dxa"/>
          </w:tcPr>
          <w:p w14:paraId="011EFC69" w14:textId="77777777" w:rsidR="00FB4A4C" w:rsidRPr="00FD7B0B" w:rsidRDefault="00FB4A4C" w:rsidP="00FB4A4C">
            <w:pPr>
              <w:contextualSpacing/>
              <w:rPr>
                <w:rFonts w:ascii="Times New Roman" w:eastAsia="Times New Roman" w:hAnsi="Times New Roman"/>
                <w:b/>
                <w:sz w:val="16"/>
                <w:szCs w:val="16"/>
              </w:rPr>
            </w:pPr>
            <w:r w:rsidRPr="00FD7B0B">
              <w:rPr>
                <w:rFonts w:ascii="Times New Roman" w:eastAsia="Times New Roman" w:hAnsi="Times New Roman"/>
                <w:b/>
                <w:sz w:val="16"/>
                <w:szCs w:val="16"/>
              </w:rPr>
              <w:t>Процессная часть:</w:t>
            </w:r>
          </w:p>
        </w:tc>
        <w:tc>
          <w:tcPr>
            <w:tcW w:w="1819" w:type="dxa"/>
            <w:vAlign w:val="center"/>
          </w:tcPr>
          <w:p w14:paraId="1CC5EAD7" w14:textId="77777777" w:rsidR="00FB4A4C" w:rsidRPr="00FD7B0B" w:rsidRDefault="00FB4A4C" w:rsidP="00FB4A4C">
            <w:pPr>
              <w:jc w:val="center"/>
              <w:rPr>
                <w:rFonts w:ascii="Times New Roman" w:hAnsi="Times New Roman"/>
                <w:sz w:val="22"/>
              </w:rPr>
            </w:pPr>
          </w:p>
        </w:tc>
        <w:tc>
          <w:tcPr>
            <w:tcW w:w="1819" w:type="dxa"/>
            <w:vAlign w:val="center"/>
          </w:tcPr>
          <w:p w14:paraId="6FCEF167" w14:textId="77777777" w:rsidR="00FB4A4C" w:rsidRPr="00FD7B0B" w:rsidRDefault="00FB4A4C" w:rsidP="00FB4A4C">
            <w:pPr>
              <w:jc w:val="center"/>
              <w:rPr>
                <w:rFonts w:ascii="Times New Roman" w:hAnsi="Times New Roman"/>
                <w:sz w:val="22"/>
              </w:rPr>
            </w:pPr>
          </w:p>
        </w:tc>
        <w:tc>
          <w:tcPr>
            <w:tcW w:w="1539" w:type="dxa"/>
            <w:vAlign w:val="center"/>
          </w:tcPr>
          <w:p w14:paraId="710FE3B4" w14:textId="77777777" w:rsidR="00FB4A4C" w:rsidRPr="00FD7B0B" w:rsidRDefault="00FB4A4C" w:rsidP="00FB4A4C">
            <w:pPr>
              <w:jc w:val="center"/>
              <w:rPr>
                <w:rFonts w:ascii="Times New Roman" w:hAnsi="Times New Roman"/>
                <w:sz w:val="22"/>
              </w:rPr>
            </w:pPr>
          </w:p>
        </w:tc>
        <w:tc>
          <w:tcPr>
            <w:tcW w:w="1245" w:type="dxa"/>
            <w:vAlign w:val="center"/>
          </w:tcPr>
          <w:p w14:paraId="099F6C8D" w14:textId="77777777" w:rsidR="00FB4A4C" w:rsidRPr="00FD7B0B" w:rsidRDefault="00FB4A4C" w:rsidP="00FB4A4C">
            <w:pPr>
              <w:jc w:val="center"/>
              <w:rPr>
                <w:rFonts w:ascii="Times New Roman" w:hAnsi="Times New Roman"/>
                <w:sz w:val="22"/>
              </w:rPr>
            </w:pPr>
          </w:p>
        </w:tc>
      </w:tr>
      <w:tr w:rsidR="00FD7B0B" w:rsidRPr="00FD7B0B" w14:paraId="2189982F" w14:textId="77777777" w:rsidTr="00FB4A4C">
        <w:tc>
          <w:tcPr>
            <w:tcW w:w="3246" w:type="dxa"/>
          </w:tcPr>
          <w:p w14:paraId="50B4B5FE" w14:textId="77777777" w:rsidR="00FB4A4C" w:rsidRPr="00FD7B0B" w:rsidRDefault="00FB4A4C" w:rsidP="00FB4A4C">
            <w:pPr>
              <w:ind w:left="19"/>
              <w:contextualSpacing/>
              <w:rPr>
                <w:rFonts w:ascii="Times New Roman" w:eastAsia="Times New Roman" w:hAnsi="Times New Roman"/>
                <w:sz w:val="16"/>
                <w:szCs w:val="16"/>
              </w:rPr>
            </w:pPr>
            <w:r w:rsidRPr="00FD7B0B">
              <w:rPr>
                <w:rFonts w:ascii="Times New Roman" w:eastAsia="Times New Roman" w:hAnsi="Times New Roman"/>
                <w:sz w:val="16"/>
                <w:szCs w:val="16"/>
              </w:rPr>
              <w:t>КПМ 1.</w:t>
            </w:r>
            <w:r w:rsidRPr="00FD7B0B">
              <w:rPr>
                <w:rFonts w:ascii="Times New Roman" w:eastAsia="Times New Roman" w:hAnsi="Times New Roman"/>
                <w:sz w:val="16"/>
                <w:szCs w:val="16"/>
              </w:rPr>
              <w:tab/>
              <w:t>«Реализация отдельных мероприятий государственных программ Российской Федерации»</w:t>
            </w:r>
          </w:p>
        </w:tc>
        <w:tc>
          <w:tcPr>
            <w:tcW w:w="1819" w:type="dxa"/>
            <w:vAlign w:val="center"/>
          </w:tcPr>
          <w:p w14:paraId="3FB6AD83"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762,1</w:t>
            </w:r>
          </w:p>
        </w:tc>
        <w:tc>
          <w:tcPr>
            <w:tcW w:w="1819" w:type="dxa"/>
            <w:vAlign w:val="center"/>
          </w:tcPr>
          <w:p w14:paraId="5E2B4511"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819,2</w:t>
            </w:r>
          </w:p>
        </w:tc>
        <w:tc>
          <w:tcPr>
            <w:tcW w:w="1539" w:type="dxa"/>
            <w:vAlign w:val="center"/>
          </w:tcPr>
          <w:p w14:paraId="3D058C25"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57,1</w:t>
            </w:r>
          </w:p>
        </w:tc>
        <w:tc>
          <w:tcPr>
            <w:tcW w:w="1245" w:type="dxa"/>
            <w:vAlign w:val="center"/>
          </w:tcPr>
          <w:p w14:paraId="18DE41A8"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7,5</w:t>
            </w:r>
          </w:p>
        </w:tc>
      </w:tr>
      <w:tr w:rsidR="00FD7B0B" w:rsidRPr="00FD7B0B" w14:paraId="1D9F20EE" w14:textId="77777777" w:rsidTr="00FB4A4C">
        <w:tc>
          <w:tcPr>
            <w:tcW w:w="3246" w:type="dxa"/>
          </w:tcPr>
          <w:p w14:paraId="36A007DC" w14:textId="77777777" w:rsidR="00FB4A4C" w:rsidRPr="00FD7B0B" w:rsidRDefault="00FB4A4C" w:rsidP="00FB4A4C">
            <w:pPr>
              <w:ind w:left="19"/>
              <w:contextualSpacing/>
              <w:rPr>
                <w:rFonts w:ascii="Times New Roman" w:eastAsia="Times New Roman" w:hAnsi="Times New Roman"/>
                <w:sz w:val="16"/>
                <w:szCs w:val="16"/>
              </w:rPr>
            </w:pPr>
            <w:r w:rsidRPr="00FD7B0B">
              <w:rPr>
                <w:rFonts w:ascii="Times New Roman" w:eastAsia="Times New Roman" w:hAnsi="Times New Roman"/>
                <w:sz w:val="16"/>
                <w:szCs w:val="16"/>
              </w:rPr>
              <w:t>КПМ 2.</w:t>
            </w:r>
            <w:r w:rsidRPr="00FD7B0B">
              <w:rPr>
                <w:rFonts w:ascii="Times New Roman" w:eastAsia="Times New Roman" w:hAnsi="Times New Roman"/>
                <w:sz w:val="16"/>
                <w:szCs w:val="16"/>
              </w:rPr>
              <w:tab/>
              <w:t>«Кадровое обеспечение системы здравоохранения»</w:t>
            </w:r>
          </w:p>
        </w:tc>
        <w:tc>
          <w:tcPr>
            <w:tcW w:w="1819" w:type="dxa"/>
            <w:vAlign w:val="center"/>
          </w:tcPr>
          <w:p w14:paraId="345A5305" w14:textId="77777777" w:rsidR="00FB4A4C" w:rsidRPr="00FD7B0B" w:rsidRDefault="00FB4A4C" w:rsidP="00FB4A4C">
            <w:pPr>
              <w:jc w:val="center"/>
              <w:rPr>
                <w:rFonts w:ascii="Times New Roman" w:hAnsi="Times New Roman"/>
                <w:sz w:val="22"/>
                <w:szCs w:val="18"/>
              </w:rPr>
            </w:pPr>
            <w:r w:rsidRPr="00FD7B0B">
              <w:rPr>
                <w:rFonts w:ascii="Times New Roman" w:hAnsi="Times New Roman"/>
                <w:sz w:val="22"/>
                <w:szCs w:val="18"/>
              </w:rPr>
              <w:t>1052,2</w:t>
            </w:r>
          </w:p>
        </w:tc>
        <w:tc>
          <w:tcPr>
            <w:tcW w:w="1819" w:type="dxa"/>
            <w:vAlign w:val="center"/>
          </w:tcPr>
          <w:p w14:paraId="082FC754"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931,6</w:t>
            </w:r>
          </w:p>
        </w:tc>
        <w:tc>
          <w:tcPr>
            <w:tcW w:w="1539" w:type="dxa"/>
            <w:vAlign w:val="center"/>
          </w:tcPr>
          <w:p w14:paraId="2BFE9332"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-120,7</w:t>
            </w:r>
          </w:p>
        </w:tc>
        <w:tc>
          <w:tcPr>
            <w:tcW w:w="1245" w:type="dxa"/>
            <w:vAlign w:val="center"/>
          </w:tcPr>
          <w:p w14:paraId="6061A90C"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-11,5</w:t>
            </w:r>
          </w:p>
        </w:tc>
      </w:tr>
      <w:tr w:rsidR="00FD7B0B" w:rsidRPr="00FD7B0B" w14:paraId="2FC18D39" w14:textId="77777777" w:rsidTr="00FB4A4C">
        <w:tc>
          <w:tcPr>
            <w:tcW w:w="3246" w:type="dxa"/>
          </w:tcPr>
          <w:p w14:paraId="7CBF0FB1" w14:textId="787DF765" w:rsidR="00FB4A4C" w:rsidRPr="00FD7B0B" w:rsidRDefault="00FB4A4C" w:rsidP="00A54700">
            <w:pPr>
              <w:ind w:left="19"/>
              <w:contextualSpacing/>
              <w:rPr>
                <w:rFonts w:ascii="Times New Roman" w:eastAsia="Times New Roman" w:hAnsi="Times New Roman"/>
                <w:sz w:val="16"/>
                <w:szCs w:val="16"/>
              </w:rPr>
            </w:pPr>
            <w:r w:rsidRPr="00FD7B0B">
              <w:rPr>
                <w:rFonts w:ascii="Times New Roman" w:eastAsia="Times New Roman" w:hAnsi="Times New Roman"/>
                <w:sz w:val="16"/>
                <w:szCs w:val="16"/>
              </w:rPr>
              <w:t>КПМ 3.</w:t>
            </w:r>
            <w:r w:rsidRPr="00FD7B0B">
              <w:rPr>
                <w:rFonts w:ascii="Times New Roman" w:eastAsia="Times New Roman" w:hAnsi="Times New Roman"/>
                <w:sz w:val="16"/>
                <w:szCs w:val="16"/>
              </w:rPr>
              <w:tab/>
              <w:t>«Реализация территориальной программы государственных гарантий»</w:t>
            </w:r>
          </w:p>
        </w:tc>
        <w:tc>
          <w:tcPr>
            <w:tcW w:w="1819" w:type="dxa"/>
            <w:vAlign w:val="center"/>
          </w:tcPr>
          <w:p w14:paraId="48C9F335" w14:textId="77777777" w:rsidR="00FB4A4C" w:rsidRPr="00FD7B0B" w:rsidRDefault="00FB4A4C" w:rsidP="00FB4A4C">
            <w:pPr>
              <w:jc w:val="center"/>
              <w:rPr>
                <w:rFonts w:ascii="Times New Roman" w:hAnsi="Times New Roman"/>
                <w:sz w:val="22"/>
                <w:szCs w:val="22"/>
              </w:rPr>
            </w:pPr>
            <w:r w:rsidRPr="00FD7B0B">
              <w:rPr>
                <w:rFonts w:ascii="Times New Roman" w:hAnsi="Times New Roman"/>
                <w:sz w:val="22"/>
                <w:szCs w:val="22"/>
              </w:rPr>
              <w:t>38 204,7</w:t>
            </w:r>
          </w:p>
        </w:tc>
        <w:tc>
          <w:tcPr>
            <w:tcW w:w="1819" w:type="dxa"/>
            <w:vAlign w:val="center"/>
          </w:tcPr>
          <w:p w14:paraId="0684267A" w14:textId="77777777" w:rsidR="00FB4A4C" w:rsidRPr="00FD7B0B" w:rsidRDefault="00FB4A4C" w:rsidP="00FB4A4C">
            <w:pPr>
              <w:jc w:val="center"/>
              <w:rPr>
                <w:rFonts w:ascii="Times New Roman" w:hAnsi="Times New Roman"/>
                <w:sz w:val="22"/>
                <w:szCs w:val="22"/>
              </w:rPr>
            </w:pPr>
            <w:r w:rsidRPr="00FD7B0B">
              <w:rPr>
                <w:rFonts w:ascii="Times New Roman" w:hAnsi="Times New Roman"/>
                <w:sz w:val="22"/>
                <w:szCs w:val="22"/>
              </w:rPr>
              <w:t>38 204,8</w:t>
            </w:r>
          </w:p>
        </w:tc>
        <w:tc>
          <w:tcPr>
            <w:tcW w:w="1539" w:type="dxa"/>
            <w:vAlign w:val="center"/>
          </w:tcPr>
          <w:p w14:paraId="16C4D137"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0,003</w:t>
            </w:r>
          </w:p>
        </w:tc>
        <w:tc>
          <w:tcPr>
            <w:tcW w:w="1245" w:type="dxa"/>
            <w:vAlign w:val="center"/>
          </w:tcPr>
          <w:p w14:paraId="179AFBFB"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11EAABB6" w14:textId="77777777" w:rsidTr="00FB4A4C">
        <w:tc>
          <w:tcPr>
            <w:tcW w:w="3246" w:type="dxa"/>
          </w:tcPr>
          <w:p w14:paraId="2F5390A9" w14:textId="77777777" w:rsidR="00FB4A4C" w:rsidRPr="00FD7B0B" w:rsidRDefault="00FB4A4C" w:rsidP="00FB4A4C">
            <w:pPr>
              <w:ind w:left="303"/>
              <w:contextualSpacing/>
              <w:rPr>
                <w:rFonts w:ascii="Times New Roman" w:eastAsia="Times New Roman" w:hAnsi="Times New Roman"/>
                <w:sz w:val="16"/>
                <w:szCs w:val="16"/>
              </w:rPr>
            </w:pPr>
            <w:r w:rsidRPr="00FD7B0B">
              <w:rPr>
                <w:rFonts w:ascii="Times New Roman" w:eastAsia="Times New Roman" w:hAnsi="Times New Roman"/>
                <w:sz w:val="16"/>
                <w:szCs w:val="16"/>
              </w:rPr>
              <w:t>Областной бюджет</w:t>
            </w:r>
          </w:p>
        </w:tc>
        <w:tc>
          <w:tcPr>
            <w:tcW w:w="1819" w:type="dxa"/>
            <w:vAlign w:val="center"/>
          </w:tcPr>
          <w:p w14:paraId="33E16BC7" w14:textId="77777777" w:rsidR="00FB4A4C" w:rsidRPr="00FD7B0B" w:rsidRDefault="00FB4A4C" w:rsidP="00FB4A4C">
            <w:pPr>
              <w:jc w:val="center"/>
              <w:rPr>
                <w:rFonts w:ascii="Times New Roman" w:hAnsi="Times New Roman"/>
              </w:rPr>
            </w:pPr>
            <w:r w:rsidRPr="00FD7B0B">
              <w:rPr>
                <w:rFonts w:ascii="Times New Roman" w:hAnsi="Times New Roman"/>
              </w:rPr>
              <w:t>5 783,9</w:t>
            </w:r>
          </w:p>
        </w:tc>
        <w:tc>
          <w:tcPr>
            <w:tcW w:w="1819" w:type="dxa"/>
            <w:vAlign w:val="center"/>
          </w:tcPr>
          <w:p w14:paraId="69F07699" w14:textId="77777777" w:rsidR="00FB4A4C" w:rsidRPr="00FD7B0B" w:rsidRDefault="00FB4A4C" w:rsidP="00FB4A4C">
            <w:pPr>
              <w:jc w:val="center"/>
              <w:rPr>
                <w:rFonts w:ascii="Times New Roman" w:hAnsi="Times New Roman"/>
              </w:rPr>
            </w:pPr>
            <w:r w:rsidRPr="00FD7B0B">
              <w:rPr>
                <w:rFonts w:ascii="Times New Roman" w:hAnsi="Times New Roman"/>
              </w:rPr>
              <w:t>5 783,9</w:t>
            </w:r>
          </w:p>
        </w:tc>
        <w:tc>
          <w:tcPr>
            <w:tcW w:w="1539" w:type="dxa"/>
            <w:vAlign w:val="center"/>
          </w:tcPr>
          <w:p w14:paraId="4902CC75"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0,003</w:t>
            </w:r>
          </w:p>
        </w:tc>
        <w:tc>
          <w:tcPr>
            <w:tcW w:w="1245" w:type="dxa"/>
            <w:vAlign w:val="center"/>
          </w:tcPr>
          <w:p w14:paraId="0B6A8E88"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3FE39A17" w14:textId="77777777" w:rsidTr="00FB4A4C">
        <w:tc>
          <w:tcPr>
            <w:tcW w:w="3246" w:type="dxa"/>
          </w:tcPr>
          <w:p w14:paraId="72CA1059" w14:textId="77777777" w:rsidR="00FB4A4C" w:rsidRPr="00FD7B0B" w:rsidRDefault="00FB4A4C" w:rsidP="00FB4A4C">
            <w:pPr>
              <w:ind w:left="303"/>
              <w:contextualSpacing/>
              <w:rPr>
                <w:rFonts w:ascii="Times New Roman" w:eastAsia="Times New Roman" w:hAnsi="Times New Roman"/>
                <w:sz w:val="16"/>
                <w:szCs w:val="16"/>
              </w:rPr>
            </w:pPr>
            <w:r w:rsidRPr="00FD7B0B">
              <w:rPr>
                <w:rFonts w:ascii="Times New Roman" w:eastAsia="Times New Roman" w:hAnsi="Times New Roman"/>
                <w:sz w:val="16"/>
                <w:szCs w:val="16"/>
              </w:rPr>
              <w:t>Бюджет ТФОМС</w:t>
            </w:r>
          </w:p>
        </w:tc>
        <w:tc>
          <w:tcPr>
            <w:tcW w:w="1819" w:type="dxa"/>
            <w:vAlign w:val="center"/>
          </w:tcPr>
          <w:p w14:paraId="4CE21F1E" w14:textId="77777777" w:rsidR="00FB4A4C" w:rsidRPr="00FD7B0B" w:rsidRDefault="00FB4A4C" w:rsidP="00FB4A4C">
            <w:pPr>
              <w:jc w:val="center"/>
              <w:rPr>
                <w:rFonts w:ascii="Times New Roman" w:hAnsi="Times New Roman"/>
              </w:rPr>
            </w:pPr>
            <w:r w:rsidRPr="00FD7B0B">
              <w:rPr>
                <w:rFonts w:ascii="Times New Roman" w:hAnsi="Times New Roman"/>
              </w:rPr>
              <w:t>32 420,9</w:t>
            </w:r>
          </w:p>
        </w:tc>
        <w:tc>
          <w:tcPr>
            <w:tcW w:w="1819" w:type="dxa"/>
            <w:vAlign w:val="center"/>
          </w:tcPr>
          <w:p w14:paraId="19D0943F" w14:textId="77777777" w:rsidR="00FB4A4C" w:rsidRPr="00FD7B0B" w:rsidRDefault="00FB4A4C" w:rsidP="00FB4A4C">
            <w:pPr>
              <w:jc w:val="center"/>
              <w:rPr>
                <w:rFonts w:ascii="Times New Roman" w:hAnsi="Times New Roman"/>
              </w:rPr>
            </w:pPr>
            <w:r w:rsidRPr="00FD7B0B">
              <w:rPr>
                <w:rFonts w:ascii="Times New Roman" w:hAnsi="Times New Roman"/>
              </w:rPr>
              <w:t>32 420,9</w:t>
            </w:r>
          </w:p>
        </w:tc>
        <w:tc>
          <w:tcPr>
            <w:tcW w:w="1539" w:type="dxa"/>
            <w:vAlign w:val="center"/>
          </w:tcPr>
          <w:p w14:paraId="71D40043"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c>
          <w:tcPr>
            <w:tcW w:w="1245" w:type="dxa"/>
            <w:vAlign w:val="center"/>
          </w:tcPr>
          <w:p w14:paraId="6D1B0033"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0</w:t>
            </w:r>
          </w:p>
        </w:tc>
      </w:tr>
      <w:tr w:rsidR="00FD7B0B" w:rsidRPr="00FD7B0B" w14:paraId="6937255F" w14:textId="77777777" w:rsidTr="00FB4A4C">
        <w:tc>
          <w:tcPr>
            <w:tcW w:w="3246" w:type="dxa"/>
          </w:tcPr>
          <w:p w14:paraId="199B3E0C" w14:textId="77777777" w:rsidR="00FB4A4C" w:rsidRPr="00FD7B0B" w:rsidRDefault="00FB4A4C" w:rsidP="00FB4A4C">
            <w:pPr>
              <w:ind w:left="19"/>
              <w:contextualSpacing/>
              <w:rPr>
                <w:rFonts w:ascii="Times New Roman" w:eastAsia="Times New Roman" w:hAnsi="Times New Roman"/>
                <w:sz w:val="16"/>
                <w:szCs w:val="16"/>
              </w:rPr>
            </w:pPr>
            <w:r w:rsidRPr="00FD7B0B">
              <w:rPr>
                <w:rFonts w:ascii="Times New Roman" w:eastAsia="Times New Roman" w:hAnsi="Times New Roman"/>
                <w:sz w:val="16"/>
                <w:szCs w:val="16"/>
              </w:rPr>
              <w:t>КПМ 4.</w:t>
            </w:r>
            <w:r w:rsidRPr="00FD7B0B">
              <w:rPr>
                <w:rFonts w:ascii="Times New Roman" w:eastAsia="Times New Roman" w:hAnsi="Times New Roman"/>
                <w:sz w:val="16"/>
                <w:szCs w:val="16"/>
              </w:rPr>
              <w:tab/>
              <w:t>«Обеспечение деятельности государственных организаций, подведомственных министерству здравоохранения Архангельской области, в сфере охраны здоровья»</w:t>
            </w:r>
          </w:p>
        </w:tc>
        <w:tc>
          <w:tcPr>
            <w:tcW w:w="1819" w:type="dxa"/>
            <w:vAlign w:val="center"/>
          </w:tcPr>
          <w:p w14:paraId="73A81617" w14:textId="77777777" w:rsidR="00FB4A4C" w:rsidRPr="00FD7B0B" w:rsidRDefault="00FB4A4C" w:rsidP="00FB4A4C">
            <w:pPr>
              <w:jc w:val="center"/>
              <w:rPr>
                <w:rFonts w:ascii="Times New Roman" w:hAnsi="Times New Roman"/>
                <w:sz w:val="22"/>
                <w:szCs w:val="22"/>
              </w:rPr>
            </w:pPr>
            <w:r w:rsidRPr="00FD7B0B">
              <w:rPr>
                <w:rFonts w:ascii="Times New Roman" w:hAnsi="Times New Roman"/>
                <w:sz w:val="22"/>
                <w:szCs w:val="22"/>
              </w:rPr>
              <w:t>780,2</w:t>
            </w:r>
          </w:p>
        </w:tc>
        <w:tc>
          <w:tcPr>
            <w:tcW w:w="1819" w:type="dxa"/>
            <w:vAlign w:val="center"/>
          </w:tcPr>
          <w:p w14:paraId="1264785A" w14:textId="77777777" w:rsidR="00FB4A4C" w:rsidRPr="00FD7B0B" w:rsidRDefault="00FB4A4C" w:rsidP="00FB4A4C">
            <w:pPr>
              <w:jc w:val="center"/>
              <w:rPr>
                <w:rFonts w:ascii="Times New Roman" w:hAnsi="Times New Roman"/>
                <w:sz w:val="22"/>
                <w:szCs w:val="22"/>
              </w:rPr>
            </w:pPr>
            <w:r w:rsidRPr="00FD7B0B">
              <w:rPr>
                <w:rFonts w:ascii="Times New Roman" w:hAnsi="Times New Roman"/>
                <w:sz w:val="22"/>
                <w:szCs w:val="22"/>
              </w:rPr>
              <w:t>695,9</w:t>
            </w:r>
          </w:p>
        </w:tc>
        <w:tc>
          <w:tcPr>
            <w:tcW w:w="1539" w:type="dxa"/>
            <w:vAlign w:val="center"/>
          </w:tcPr>
          <w:p w14:paraId="3369E23F"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-84,3</w:t>
            </w:r>
          </w:p>
        </w:tc>
        <w:tc>
          <w:tcPr>
            <w:tcW w:w="1245" w:type="dxa"/>
            <w:vAlign w:val="center"/>
          </w:tcPr>
          <w:p w14:paraId="001964A8"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-10,8</w:t>
            </w:r>
          </w:p>
        </w:tc>
      </w:tr>
      <w:tr w:rsidR="00FD7B0B" w:rsidRPr="00FD7B0B" w14:paraId="446446E6" w14:textId="77777777" w:rsidTr="00FB4A4C">
        <w:tc>
          <w:tcPr>
            <w:tcW w:w="3246" w:type="dxa"/>
          </w:tcPr>
          <w:p w14:paraId="03A18B07" w14:textId="77777777" w:rsidR="00FB4A4C" w:rsidRPr="00FD7B0B" w:rsidRDefault="00FB4A4C" w:rsidP="00FB4A4C">
            <w:pPr>
              <w:ind w:left="19"/>
              <w:contextualSpacing/>
              <w:rPr>
                <w:rFonts w:ascii="Times New Roman" w:eastAsia="Times New Roman" w:hAnsi="Times New Roman"/>
                <w:sz w:val="16"/>
                <w:szCs w:val="16"/>
              </w:rPr>
            </w:pPr>
            <w:r w:rsidRPr="00FD7B0B">
              <w:rPr>
                <w:rFonts w:ascii="Times New Roman" w:eastAsia="Times New Roman" w:hAnsi="Times New Roman"/>
                <w:sz w:val="16"/>
                <w:szCs w:val="16"/>
              </w:rPr>
              <w:t>КПМ 5.</w:t>
            </w:r>
            <w:r w:rsidRPr="00FD7B0B">
              <w:rPr>
                <w:rFonts w:ascii="Times New Roman" w:eastAsia="Times New Roman" w:hAnsi="Times New Roman"/>
                <w:sz w:val="16"/>
                <w:szCs w:val="16"/>
              </w:rPr>
              <w:tab/>
              <w:t>«Инвестиционная деятельность»</w:t>
            </w:r>
          </w:p>
        </w:tc>
        <w:tc>
          <w:tcPr>
            <w:tcW w:w="1819" w:type="dxa"/>
            <w:vAlign w:val="center"/>
          </w:tcPr>
          <w:p w14:paraId="675F40AA" w14:textId="77777777" w:rsidR="00FB4A4C" w:rsidRPr="00FD7B0B" w:rsidRDefault="00FB4A4C" w:rsidP="00FB4A4C">
            <w:pPr>
              <w:jc w:val="center"/>
              <w:rPr>
                <w:rFonts w:ascii="Times New Roman" w:hAnsi="Times New Roman"/>
                <w:sz w:val="22"/>
                <w:szCs w:val="22"/>
              </w:rPr>
            </w:pPr>
            <w:r w:rsidRPr="00FD7B0B">
              <w:rPr>
                <w:rFonts w:ascii="Times New Roman" w:hAnsi="Times New Roman"/>
                <w:sz w:val="22"/>
                <w:szCs w:val="22"/>
              </w:rPr>
              <w:t>0</w:t>
            </w:r>
          </w:p>
        </w:tc>
        <w:tc>
          <w:tcPr>
            <w:tcW w:w="1819" w:type="dxa"/>
            <w:vAlign w:val="center"/>
          </w:tcPr>
          <w:p w14:paraId="4C40B1A5" w14:textId="77777777" w:rsidR="00FB4A4C" w:rsidRPr="00FD7B0B" w:rsidRDefault="00FB4A4C" w:rsidP="00FB4A4C">
            <w:pPr>
              <w:jc w:val="center"/>
              <w:rPr>
                <w:rFonts w:ascii="Times New Roman" w:hAnsi="Times New Roman"/>
                <w:sz w:val="22"/>
                <w:szCs w:val="22"/>
              </w:rPr>
            </w:pPr>
            <w:r w:rsidRPr="00FD7B0B">
              <w:rPr>
                <w:rFonts w:ascii="Times New Roman" w:hAnsi="Times New Roman"/>
                <w:sz w:val="22"/>
                <w:szCs w:val="22"/>
              </w:rPr>
              <w:t>11,6</w:t>
            </w:r>
          </w:p>
        </w:tc>
        <w:tc>
          <w:tcPr>
            <w:tcW w:w="1539" w:type="dxa"/>
            <w:vAlign w:val="center"/>
          </w:tcPr>
          <w:p w14:paraId="68EBD264"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11,6</w:t>
            </w:r>
          </w:p>
        </w:tc>
        <w:tc>
          <w:tcPr>
            <w:tcW w:w="1245" w:type="dxa"/>
            <w:vAlign w:val="center"/>
          </w:tcPr>
          <w:p w14:paraId="39F34329" w14:textId="77777777" w:rsidR="00FB4A4C" w:rsidRPr="00FD7B0B" w:rsidRDefault="00FB4A4C" w:rsidP="00FB4A4C">
            <w:pPr>
              <w:jc w:val="center"/>
              <w:rPr>
                <w:rFonts w:ascii="Times New Roman" w:hAnsi="Times New Roman"/>
                <w:sz w:val="22"/>
              </w:rPr>
            </w:pPr>
          </w:p>
        </w:tc>
      </w:tr>
      <w:tr w:rsidR="00FB4A4C" w:rsidRPr="00FD7B0B" w14:paraId="64773CAC" w14:textId="77777777" w:rsidTr="00FB4A4C">
        <w:tc>
          <w:tcPr>
            <w:tcW w:w="3246" w:type="dxa"/>
          </w:tcPr>
          <w:p w14:paraId="5600B893" w14:textId="77777777" w:rsidR="00FB4A4C" w:rsidRPr="00FD7B0B" w:rsidRDefault="00FB4A4C" w:rsidP="00FB4A4C">
            <w:pPr>
              <w:contextualSpacing/>
              <w:rPr>
                <w:rFonts w:ascii="Times New Roman" w:eastAsia="Times New Roman" w:hAnsi="Times New Roman"/>
                <w:sz w:val="16"/>
                <w:szCs w:val="16"/>
              </w:rPr>
            </w:pPr>
            <w:r w:rsidRPr="00FD7B0B">
              <w:rPr>
                <w:rFonts w:ascii="Times New Roman" w:eastAsia="Times New Roman" w:hAnsi="Times New Roman"/>
                <w:sz w:val="16"/>
                <w:szCs w:val="16"/>
              </w:rPr>
              <w:t>КПМ 6.</w:t>
            </w:r>
            <w:r w:rsidRPr="00FD7B0B">
              <w:rPr>
                <w:rFonts w:ascii="Times New Roman" w:eastAsia="Times New Roman" w:hAnsi="Times New Roman"/>
                <w:sz w:val="16"/>
                <w:szCs w:val="16"/>
              </w:rPr>
              <w:tab/>
              <w:t>«Осуществление деятельности министерства здравоохранения Архангельской области в сфере охраны здоровья»</w:t>
            </w:r>
          </w:p>
        </w:tc>
        <w:tc>
          <w:tcPr>
            <w:tcW w:w="1819" w:type="dxa"/>
            <w:vAlign w:val="center"/>
          </w:tcPr>
          <w:p w14:paraId="74B5C321" w14:textId="77777777" w:rsidR="00FB4A4C" w:rsidRPr="00FD7B0B" w:rsidRDefault="00FB4A4C" w:rsidP="00FB4A4C">
            <w:pPr>
              <w:jc w:val="center"/>
              <w:rPr>
                <w:rFonts w:ascii="Times New Roman" w:hAnsi="Times New Roman"/>
                <w:sz w:val="22"/>
                <w:szCs w:val="22"/>
              </w:rPr>
            </w:pPr>
            <w:r w:rsidRPr="00FD7B0B">
              <w:rPr>
                <w:rFonts w:ascii="Times New Roman" w:hAnsi="Times New Roman"/>
                <w:sz w:val="22"/>
                <w:szCs w:val="22"/>
              </w:rPr>
              <w:t>13 046,9</w:t>
            </w:r>
          </w:p>
        </w:tc>
        <w:tc>
          <w:tcPr>
            <w:tcW w:w="1819" w:type="dxa"/>
            <w:vAlign w:val="center"/>
          </w:tcPr>
          <w:p w14:paraId="7C0BC01F" w14:textId="77777777" w:rsidR="00FB4A4C" w:rsidRPr="00FD7B0B" w:rsidRDefault="00FB4A4C" w:rsidP="00FB4A4C">
            <w:pPr>
              <w:jc w:val="center"/>
              <w:rPr>
                <w:rFonts w:ascii="Times New Roman" w:hAnsi="Times New Roman"/>
                <w:sz w:val="22"/>
                <w:szCs w:val="22"/>
              </w:rPr>
            </w:pPr>
            <w:r w:rsidRPr="00FD7B0B">
              <w:rPr>
                <w:rFonts w:ascii="Times New Roman" w:hAnsi="Times New Roman"/>
                <w:sz w:val="22"/>
                <w:szCs w:val="22"/>
              </w:rPr>
              <w:t>13 708,4</w:t>
            </w:r>
          </w:p>
        </w:tc>
        <w:tc>
          <w:tcPr>
            <w:tcW w:w="1539" w:type="dxa"/>
            <w:vAlign w:val="center"/>
          </w:tcPr>
          <w:p w14:paraId="69D65E45"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661,5</w:t>
            </w:r>
          </w:p>
        </w:tc>
        <w:tc>
          <w:tcPr>
            <w:tcW w:w="1245" w:type="dxa"/>
            <w:vAlign w:val="center"/>
          </w:tcPr>
          <w:p w14:paraId="5FEB6464" w14:textId="77777777" w:rsidR="00FB4A4C" w:rsidRPr="00FD7B0B" w:rsidRDefault="00FB4A4C" w:rsidP="00FB4A4C">
            <w:pPr>
              <w:jc w:val="center"/>
              <w:rPr>
                <w:rFonts w:ascii="Times New Roman" w:hAnsi="Times New Roman"/>
                <w:sz w:val="22"/>
              </w:rPr>
            </w:pPr>
            <w:r w:rsidRPr="00FD7B0B">
              <w:rPr>
                <w:rFonts w:ascii="Times New Roman" w:hAnsi="Times New Roman"/>
                <w:sz w:val="22"/>
              </w:rPr>
              <w:t>5,1</w:t>
            </w:r>
          </w:p>
        </w:tc>
      </w:tr>
    </w:tbl>
    <w:p w14:paraId="1982BD1A" w14:textId="77777777" w:rsidR="00FB4A4C" w:rsidRPr="00FD7B0B" w:rsidRDefault="00FB4A4C" w:rsidP="00205BFC">
      <w:pPr>
        <w:spacing w:after="0" w:line="240" w:lineRule="auto"/>
        <w:ind w:firstLine="709"/>
        <w:contextualSpacing/>
        <w:jc w:val="both"/>
        <w:rPr>
          <w:rFonts w:ascii="Times New Roman" w:eastAsia="Times New Roman" w:hAnsi="Times New Roman" w:cs="Times New Roman"/>
          <w:sz w:val="28"/>
          <w:szCs w:val="28"/>
          <w:lang w:eastAsia="ru-RU"/>
        </w:rPr>
      </w:pPr>
    </w:p>
    <w:p w14:paraId="0B924E69" w14:textId="55972925"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 xml:space="preserve">Увеличение в целом по программе </w:t>
      </w:r>
      <w:r w:rsidRPr="00FD7B0B">
        <w:rPr>
          <w:rFonts w:ascii="Times New Roman" w:hAnsi="Times New Roman"/>
          <w:sz w:val="28"/>
          <w:szCs w:val="28"/>
        </w:rPr>
        <w:t>на 0,96</w:t>
      </w:r>
      <w:r w:rsidR="00CF0AA4" w:rsidRPr="00FD7B0B">
        <w:rPr>
          <w:rFonts w:ascii="Times New Roman" w:hAnsi="Times New Roman"/>
          <w:sz w:val="28"/>
          <w:szCs w:val="28"/>
        </w:rPr>
        <w:t xml:space="preserve"> </w:t>
      </w:r>
      <w:r w:rsidRPr="00FD7B0B">
        <w:rPr>
          <w:rFonts w:ascii="Times New Roman" w:hAnsi="Times New Roman"/>
          <w:sz w:val="28"/>
          <w:szCs w:val="28"/>
        </w:rPr>
        <w:t>%</w:t>
      </w:r>
      <w:r w:rsidRPr="00FD7B0B">
        <w:rPr>
          <w:rFonts w:ascii="Times New Roman" w:hAnsi="Times New Roman"/>
          <w:sz w:val="24"/>
          <w:szCs w:val="20"/>
        </w:rPr>
        <w:t xml:space="preserve"> </w:t>
      </w:r>
      <w:r w:rsidRPr="00FD7B0B">
        <w:rPr>
          <w:rFonts w:ascii="Times New Roman" w:eastAsia="Times New Roman" w:hAnsi="Times New Roman" w:cs="Times New Roman"/>
          <w:sz w:val="28"/>
          <w:szCs w:val="28"/>
          <w:lang w:eastAsia="ru-RU"/>
        </w:rPr>
        <w:t>сложилось за счет: увеличения средств областного бюджета по КПМ 6 «Осуществление деятельности министерства здравоохранения Архангельской области в сфере охраны здоровья», по КПМ 1 «Реализация отдельных мероприятий государственных программ Российской Федерации»,</w:t>
      </w:r>
      <w:r w:rsidRPr="00FD7B0B">
        <w:rPr>
          <w:sz w:val="28"/>
        </w:rPr>
        <w:t xml:space="preserve"> </w:t>
      </w:r>
      <w:r w:rsidRPr="00FD7B0B">
        <w:rPr>
          <w:rFonts w:ascii="Times New Roman" w:eastAsia="Times New Roman" w:hAnsi="Times New Roman" w:cs="Times New Roman"/>
          <w:sz w:val="28"/>
          <w:szCs w:val="28"/>
          <w:lang w:eastAsia="ru-RU"/>
        </w:rPr>
        <w:t>а также включения нового КПМ «Инвестиционная деятельность».</w:t>
      </w:r>
    </w:p>
    <w:p w14:paraId="06D6BEA8"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При этом отмечается снижение по КПМ 2 «Кадровое обеспечение системы здравоохранения» и КПМ 4 «Обеспечение деятельности государственных организаций, подведомственных министерству здравоохранения Архангельской области, в сфере охраны здоровья».</w:t>
      </w:r>
    </w:p>
    <w:p w14:paraId="775CE275"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Областным законом от «Об областном бюджете на 2024 год и на плановый период 2025 и 2026 годов» в редакции, действующей на 01.01.2024, расходы на реализацию мероприятий ГП № 01 утверждены в общей сумме 22 934,4 млн.руб.</w:t>
      </w:r>
    </w:p>
    <w:p w14:paraId="4168A1E2" w14:textId="5484F4A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течение отчетного периода областными законами о внесении изменений и дополнений в закон «Об областном бюджете» общая сумма ассигнований на реализацию мероприятий ГП № 01 увеличена на 349,8 млн.руб. и на 31.12.2024 составила 23 423,5 млн.руб. Сведения в разрезе структурных элементов и исполнителей госпр</w:t>
      </w:r>
      <w:r w:rsidR="00CF0AA4" w:rsidRPr="00FD7B0B">
        <w:rPr>
          <w:rFonts w:ascii="Times New Roman" w:eastAsia="Times New Roman" w:hAnsi="Times New Roman" w:cs="Times New Roman"/>
          <w:sz w:val="28"/>
          <w:szCs w:val="28"/>
          <w:lang w:eastAsia="ru-RU"/>
        </w:rPr>
        <w:t xml:space="preserve">ограммы представлены в таблице </w:t>
      </w:r>
      <w:r w:rsidR="00A54700" w:rsidRPr="00FD7B0B">
        <w:rPr>
          <w:rFonts w:ascii="Times New Roman" w:eastAsia="Times New Roman" w:hAnsi="Times New Roman" w:cs="Times New Roman"/>
          <w:sz w:val="28"/>
          <w:szCs w:val="28"/>
          <w:lang w:eastAsia="ru-RU"/>
        </w:rPr>
        <w:t>78</w:t>
      </w:r>
      <w:r w:rsidRPr="00FD7B0B">
        <w:rPr>
          <w:rFonts w:ascii="Times New Roman" w:eastAsia="Times New Roman" w:hAnsi="Times New Roman" w:cs="Times New Roman"/>
          <w:sz w:val="28"/>
          <w:szCs w:val="28"/>
          <w:lang w:eastAsia="ru-RU"/>
        </w:rPr>
        <w:t>.</w:t>
      </w:r>
    </w:p>
    <w:p w14:paraId="23124A6F" w14:textId="77777777" w:rsidR="00CF0AA4" w:rsidRPr="00FD7B0B" w:rsidRDefault="00CF0AA4" w:rsidP="00CF0AA4">
      <w:pPr>
        <w:spacing w:after="0" w:line="240" w:lineRule="auto"/>
        <w:rPr>
          <w:rFonts w:ascii="Times New Roman" w:eastAsia="Calibri" w:hAnsi="Times New Roman" w:cs="Times New Roman"/>
          <w:sz w:val="24"/>
          <w:szCs w:val="24"/>
        </w:rPr>
      </w:pPr>
    </w:p>
    <w:p w14:paraId="66172CD9" w14:textId="77777777" w:rsidR="00205BFC" w:rsidRPr="00FD7B0B" w:rsidRDefault="00205BFC" w:rsidP="00CF0AA4">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78</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Показатели областного закона «Об областном бюджете» в части бюджетных ассигнований на реализацию ГП № 01 в разрезе исполнителей, млн.руб.</w:t>
      </w:r>
    </w:p>
    <w:tbl>
      <w:tblPr>
        <w:tblW w:w="9286" w:type="dxa"/>
        <w:tblInd w:w="108" w:type="dxa"/>
        <w:tblLook w:val="04A0" w:firstRow="1" w:lastRow="0" w:firstColumn="1" w:lastColumn="0" w:noHBand="0" w:noVBand="1"/>
      </w:tblPr>
      <w:tblGrid>
        <w:gridCol w:w="2268"/>
        <w:gridCol w:w="2012"/>
        <w:gridCol w:w="2126"/>
        <w:gridCol w:w="1391"/>
        <w:gridCol w:w="1489"/>
      </w:tblGrid>
      <w:tr w:rsidR="00FD7B0B" w:rsidRPr="00FD7B0B" w14:paraId="0D62BA3A" w14:textId="77777777" w:rsidTr="000A095E">
        <w:trPr>
          <w:trHeight w:val="187"/>
        </w:trPr>
        <w:tc>
          <w:tcPr>
            <w:tcW w:w="226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2206131"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Подпрограмма, исполнитель</w:t>
            </w:r>
          </w:p>
        </w:tc>
        <w:tc>
          <w:tcPr>
            <w:tcW w:w="201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F3D5EE7" w14:textId="77777777" w:rsidR="00205BFC" w:rsidRPr="00FD7B0B" w:rsidRDefault="00205BFC" w:rsidP="00205BFC">
            <w:pPr>
              <w:spacing w:after="0" w:line="240" w:lineRule="auto"/>
              <w:ind w:firstLine="61"/>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Закон в ред. на 01.01.2024</w:t>
            </w:r>
          </w:p>
        </w:tc>
        <w:tc>
          <w:tcPr>
            <w:tcW w:w="212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06EB66A"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Закон в ред. на 31.12.2024</w:t>
            </w:r>
          </w:p>
        </w:tc>
        <w:tc>
          <w:tcPr>
            <w:tcW w:w="2880" w:type="dxa"/>
            <w:gridSpan w:val="2"/>
            <w:tcBorders>
              <w:top w:val="double" w:sz="6" w:space="0" w:color="auto"/>
              <w:left w:val="single" w:sz="4" w:space="0" w:color="auto"/>
              <w:bottom w:val="single" w:sz="4" w:space="0" w:color="auto"/>
              <w:right w:val="double" w:sz="6" w:space="0" w:color="000000"/>
            </w:tcBorders>
            <w:shd w:val="clear" w:color="auto" w:fill="auto"/>
            <w:vAlign w:val="center"/>
            <w:hideMark/>
          </w:tcPr>
          <w:p w14:paraId="3258A29A"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Изменения (+/-)</w:t>
            </w:r>
          </w:p>
        </w:tc>
      </w:tr>
      <w:tr w:rsidR="00FD7B0B" w:rsidRPr="00FD7B0B" w14:paraId="4F015200" w14:textId="77777777" w:rsidTr="00CF0AA4">
        <w:trPr>
          <w:trHeight w:val="20"/>
        </w:trPr>
        <w:tc>
          <w:tcPr>
            <w:tcW w:w="2268" w:type="dxa"/>
            <w:vMerge/>
            <w:tcBorders>
              <w:top w:val="single" w:sz="4" w:space="0" w:color="auto"/>
              <w:left w:val="double" w:sz="6" w:space="0" w:color="auto"/>
              <w:bottom w:val="single" w:sz="4" w:space="0" w:color="auto"/>
              <w:right w:val="single" w:sz="4" w:space="0" w:color="auto"/>
            </w:tcBorders>
            <w:vAlign w:val="center"/>
            <w:hideMark/>
          </w:tcPr>
          <w:p w14:paraId="1F8EFE9A" w14:textId="77777777" w:rsidR="00205BFC" w:rsidRPr="00FD7B0B" w:rsidRDefault="00205BFC" w:rsidP="00205BFC">
            <w:pPr>
              <w:spacing w:after="0" w:line="240" w:lineRule="auto"/>
              <w:rPr>
                <w:rFonts w:ascii="Times New Roman" w:eastAsia="Times New Roman" w:hAnsi="Times New Roman" w:cs="Times New Roman"/>
                <w:sz w:val="20"/>
                <w:szCs w:val="20"/>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4BCA2CA1" w14:textId="77777777" w:rsidR="00205BFC" w:rsidRPr="00FD7B0B" w:rsidRDefault="00205BFC" w:rsidP="00205BFC">
            <w:pPr>
              <w:spacing w:after="0" w:line="240" w:lineRule="auto"/>
              <w:rPr>
                <w:rFonts w:ascii="Times New Roman" w:eastAsia="Times New Roman" w:hAnsi="Times New Roman" w:cs="Times New Roman"/>
                <w:sz w:val="20"/>
                <w:szCs w:val="20"/>
                <w:lang w:eastAsia="ru-RU"/>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261EF40B" w14:textId="77777777" w:rsidR="00205BFC" w:rsidRPr="00FD7B0B" w:rsidRDefault="00205BFC" w:rsidP="00205BFC">
            <w:pPr>
              <w:spacing w:after="0" w:line="240" w:lineRule="auto"/>
              <w:rPr>
                <w:rFonts w:ascii="Times New Roman" w:eastAsia="Times New Roman" w:hAnsi="Times New Roman" w:cs="Times New Roman"/>
                <w:sz w:val="20"/>
                <w:szCs w:val="20"/>
                <w:lang w:eastAsia="ru-RU"/>
              </w:rPr>
            </w:pPr>
          </w:p>
        </w:tc>
        <w:tc>
          <w:tcPr>
            <w:tcW w:w="13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51A2C"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1489"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6949CB18"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r>
      <w:tr w:rsidR="00FD7B0B" w:rsidRPr="00FD7B0B" w14:paraId="5BD3003E" w14:textId="77777777" w:rsidTr="00CF0AA4">
        <w:trPr>
          <w:trHeight w:val="229"/>
        </w:trPr>
        <w:tc>
          <w:tcPr>
            <w:tcW w:w="2268"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00B3B4A1" w14:textId="77777777" w:rsidR="00205BFC" w:rsidRPr="00FD7B0B" w:rsidRDefault="00205BFC" w:rsidP="00205BFC">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 по госпрограмме</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tcPr>
          <w:p w14:paraId="092523D0"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22 934,4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0DB9331"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23 423,5</w:t>
            </w:r>
          </w:p>
        </w:tc>
        <w:tc>
          <w:tcPr>
            <w:tcW w:w="1391" w:type="dxa"/>
            <w:tcBorders>
              <w:top w:val="single" w:sz="4" w:space="0" w:color="auto"/>
              <w:left w:val="single" w:sz="4" w:space="0" w:color="auto"/>
              <w:bottom w:val="single" w:sz="4" w:space="0" w:color="auto"/>
              <w:right w:val="single" w:sz="4" w:space="0" w:color="auto"/>
            </w:tcBorders>
            <w:shd w:val="clear" w:color="auto" w:fill="auto"/>
            <w:vAlign w:val="center"/>
          </w:tcPr>
          <w:p w14:paraId="32AA9FB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489,1</w:t>
            </w:r>
          </w:p>
        </w:tc>
        <w:tc>
          <w:tcPr>
            <w:tcW w:w="1489" w:type="dxa"/>
            <w:tcBorders>
              <w:top w:val="single" w:sz="4" w:space="0" w:color="auto"/>
              <w:left w:val="single" w:sz="4" w:space="0" w:color="auto"/>
              <w:bottom w:val="single" w:sz="4" w:space="0" w:color="auto"/>
              <w:right w:val="double" w:sz="6" w:space="0" w:color="auto"/>
            </w:tcBorders>
            <w:shd w:val="clear" w:color="auto" w:fill="auto"/>
            <w:vAlign w:val="center"/>
          </w:tcPr>
          <w:p w14:paraId="56BE4111"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w:t>
            </w:r>
          </w:p>
        </w:tc>
      </w:tr>
      <w:tr w:rsidR="00FD7B0B" w:rsidRPr="00FD7B0B" w14:paraId="0CF5CDED" w14:textId="77777777" w:rsidTr="00CF0AA4">
        <w:trPr>
          <w:trHeight w:val="127"/>
        </w:trPr>
        <w:tc>
          <w:tcPr>
            <w:tcW w:w="2268"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48BD26E9" w14:textId="77777777" w:rsidR="00205BFC" w:rsidRPr="00FD7B0B" w:rsidRDefault="00205BFC" w:rsidP="00205BFC">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минздрав АО</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tcPr>
          <w:p w14:paraId="1B8A9110"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22 717,4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DEBD32D"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23 206,5</w:t>
            </w:r>
          </w:p>
        </w:tc>
        <w:tc>
          <w:tcPr>
            <w:tcW w:w="1391" w:type="dxa"/>
            <w:tcBorders>
              <w:top w:val="single" w:sz="4" w:space="0" w:color="auto"/>
              <w:left w:val="single" w:sz="4" w:space="0" w:color="auto"/>
              <w:bottom w:val="single" w:sz="4" w:space="0" w:color="auto"/>
              <w:right w:val="single" w:sz="4" w:space="0" w:color="auto"/>
            </w:tcBorders>
            <w:shd w:val="clear" w:color="auto" w:fill="auto"/>
            <w:vAlign w:val="center"/>
          </w:tcPr>
          <w:p w14:paraId="4B11404F"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489,1</w:t>
            </w:r>
          </w:p>
        </w:tc>
        <w:tc>
          <w:tcPr>
            <w:tcW w:w="1489" w:type="dxa"/>
            <w:tcBorders>
              <w:top w:val="single" w:sz="4" w:space="0" w:color="auto"/>
              <w:left w:val="single" w:sz="4" w:space="0" w:color="auto"/>
              <w:bottom w:val="single" w:sz="4" w:space="0" w:color="auto"/>
              <w:right w:val="double" w:sz="6" w:space="0" w:color="auto"/>
            </w:tcBorders>
            <w:shd w:val="clear" w:color="auto" w:fill="auto"/>
            <w:vAlign w:val="center"/>
          </w:tcPr>
          <w:p w14:paraId="6FDD042B"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w:t>
            </w:r>
          </w:p>
        </w:tc>
      </w:tr>
      <w:tr w:rsidR="00205BFC" w:rsidRPr="00FD7B0B" w14:paraId="66557894" w14:textId="77777777" w:rsidTr="00CF0AA4">
        <w:trPr>
          <w:trHeight w:val="182"/>
        </w:trPr>
        <w:tc>
          <w:tcPr>
            <w:tcW w:w="2268"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4CE9AA94" w14:textId="77777777" w:rsidR="00205BFC" w:rsidRPr="00FD7B0B" w:rsidRDefault="00205BFC" w:rsidP="00205BFC">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минстрой АО</w:t>
            </w:r>
          </w:p>
        </w:tc>
        <w:tc>
          <w:tcPr>
            <w:tcW w:w="2012"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3B41D36C"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217,0</w:t>
            </w:r>
          </w:p>
        </w:tc>
        <w:tc>
          <w:tcPr>
            <w:tcW w:w="2126"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6758A00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217,0</w:t>
            </w:r>
          </w:p>
        </w:tc>
        <w:tc>
          <w:tcPr>
            <w:tcW w:w="1391"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4E007640"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489" w:type="dxa"/>
            <w:tcBorders>
              <w:top w:val="single" w:sz="4" w:space="0" w:color="auto"/>
              <w:left w:val="single" w:sz="4" w:space="0" w:color="auto"/>
              <w:bottom w:val="double" w:sz="6" w:space="0" w:color="auto"/>
              <w:right w:val="double" w:sz="6" w:space="0" w:color="auto"/>
            </w:tcBorders>
            <w:shd w:val="clear" w:color="auto" w:fill="auto"/>
            <w:vAlign w:val="center"/>
            <w:hideMark/>
          </w:tcPr>
          <w:p w14:paraId="02C54E32"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bl>
    <w:p w14:paraId="0631DCEC" w14:textId="77777777" w:rsidR="000A095E" w:rsidRPr="00FD7B0B" w:rsidRDefault="000A095E" w:rsidP="00205BFC">
      <w:pPr>
        <w:spacing w:after="0" w:line="240" w:lineRule="auto"/>
        <w:ind w:firstLine="709"/>
        <w:contextualSpacing/>
        <w:jc w:val="both"/>
        <w:rPr>
          <w:rFonts w:ascii="Times New Roman" w:eastAsia="Times New Roman" w:hAnsi="Times New Roman" w:cs="Times New Roman"/>
          <w:sz w:val="28"/>
          <w:szCs w:val="28"/>
          <w:lang w:eastAsia="ru-RU"/>
        </w:rPr>
      </w:pPr>
    </w:p>
    <w:p w14:paraId="77FFAA3E"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основном увеличение общей суммы ассигнований на реализацию мероприятий ГП № 01 в течение отчетного периода сложилось за счет КПМ 6 «Осуществление деятельности министерства здравоохранения Архангельской области в сфере охраны здоровья» по мероприятию «Обеспечение лекарственными препаратами отдельных групп населения».</w:t>
      </w:r>
    </w:p>
    <w:p w14:paraId="2633139F" w14:textId="0E49CB1B"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Сопоставление объемов финансирования, утвержденных ГП № 01 и бюджетных ассигнований на ее реализацию, утвержденных СБР на 31.12.2024 и законом «Об областном б</w:t>
      </w:r>
      <w:r w:rsidR="000A095E" w:rsidRPr="00FD7B0B">
        <w:rPr>
          <w:rFonts w:ascii="Times New Roman" w:eastAsia="Times New Roman" w:hAnsi="Times New Roman" w:cs="Times New Roman"/>
          <w:sz w:val="28"/>
          <w:szCs w:val="28"/>
          <w:lang w:eastAsia="ru-RU"/>
        </w:rPr>
        <w:t xml:space="preserve">юджете» представлено в таблице </w:t>
      </w:r>
      <w:r w:rsidR="00A54700" w:rsidRPr="00FD7B0B">
        <w:rPr>
          <w:rFonts w:ascii="Times New Roman" w:eastAsia="Times New Roman" w:hAnsi="Times New Roman" w:cs="Times New Roman"/>
          <w:sz w:val="28"/>
          <w:szCs w:val="28"/>
          <w:lang w:eastAsia="ru-RU"/>
        </w:rPr>
        <w:t>79</w:t>
      </w:r>
      <w:r w:rsidRPr="00FD7B0B">
        <w:rPr>
          <w:rFonts w:ascii="Times New Roman" w:eastAsia="Times New Roman" w:hAnsi="Times New Roman" w:cs="Times New Roman"/>
          <w:sz w:val="28"/>
          <w:szCs w:val="28"/>
          <w:lang w:eastAsia="ru-RU"/>
        </w:rPr>
        <w:t>.</w:t>
      </w:r>
    </w:p>
    <w:p w14:paraId="594A8923" w14:textId="77777777" w:rsidR="000A095E" w:rsidRPr="00FD7B0B" w:rsidRDefault="000A095E" w:rsidP="00205BFC">
      <w:pPr>
        <w:pStyle w:val="aff0"/>
        <w:keepNext/>
        <w:spacing w:after="0"/>
        <w:ind w:firstLine="708"/>
        <w:jc w:val="both"/>
        <w:rPr>
          <w:rFonts w:ascii="Times New Roman" w:hAnsi="Times New Roman"/>
          <w:b w:val="0"/>
        </w:rPr>
      </w:pPr>
    </w:p>
    <w:p w14:paraId="1084816C" w14:textId="77777777" w:rsidR="00205BFC" w:rsidRPr="00FD7B0B" w:rsidRDefault="00205BFC" w:rsidP="000A095E">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79</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Сопоставление объемов финансирования, утвержденных ГП № 01 и бюджетных ассигнований на ее реализацию, утвержденных законом «Об областном бюджете», млн.руб.</w:t>
      </w:r>
    </w:p>
    <w:tbl>
      <w:tblPr>
        <w:tblW w:w="9572" w:type="dxa"/>
        <w:jc w:val="center"/>
        <w:tblBorders>
          <w:top w:val="double" w:sz="4" w:space="0" w:color="auto"/>
          <w:left w:val="double" w:sz="4" w:space="0" w:color="auto"/>
          <w:bottom w:val="sing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119"/>
        <w:gridCol w:w="1843"/>
        <w:gridCol w:w="1686"/>
        <w:gridCol w:w="1116"/>
        <w:gridCol w:w="1104"/>
        <w:gridCol w:w="704"/>
      </w:tblGrid>
      <w:tr w:rsidR="00FD7B0B" w:rsidRPr="00FD7B0B" w14:paraId="58C483BE" w14:textId="77777777" w:rsidTr="00FB4A4C">
        <w:trPr>
          <w:trHeight w:val="589"/>
          <w:tblHeader/>
          <w:jc w:val="center"/>
        </w:trPr>
        <w:tc>
          <w:tcPr>
            <w:tcW w:w="3119" w:type="dxa"/>
            <w:shd w:val="clear" w:color="auto" w:fill="auto"/>
            <w:vAlign w:val="center"/>
            <w:hideMark/>
          </w:tcPr>
          <w:p w14:paraId="4665CAB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Подпрограмма</w:t>
            </w:r>
          </w:p>
        </w:tc>
        <w:tc>
          <w:tcPr>
            <w:tcW w:w="1843" w:type="dxa"/>
            <w:shd w:val="clear" w:color="auto" w:fill="auto"/>
            <w:vAlign w:val="center"/>
            <w:hideMark/>
          </w:tcPr>
          <w:p w14:paraId="4A1F07C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Показатели закона о бюджете на 31.12.2024</w:t>
            </w:r>
          </w:p>
        </w:tc>
        <w:tc>
          <w:tcPr>
            <w:tcW w:w="1686" w:type="dxa"/>
            <w:shd w:val="clear" w:color="auto" w:fill="auto"/>
            <w:vAlign w:val="center"/>
            <w:hideMark/>
          </w:tcPr>
          <w:p w14:paraId="237A3EB4"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Редакция ГП № 01 на 26.12.2024 в ред. № 1216-пп</w:t>
            </w:r>
          </w:p>
        </w:tc>
        <w:tc>
          <w:tcPr>
            <w:tcW w:w="1116" w:type="dxa"/>
            <w:shd w:val="clear" w:color="auto" w:fill="auto"/>
            <w:vAlign w:val="center"/>
            <w:hideMark/>
          </w:tcPr>
          <w:p w14:paraId="23C437F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СБР на 31.12.2024</w:t>
            </w:r>
          </w:p>
        </w:tc>
        <w:tc>
          <w:tcPr>
            <w:tcW w:w="1808" w:type="dxa"/>
            <w:gridSpan w:val="2"/>
            <w:shd w:val="clear" w:color="auto" w:fill="auto"/>
            <w:vAlign w:val="center"/>
            <w:hideMark/>
          </w:tcPr>
          <w:p w14:paraId="39A3B78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СБР от бюджета(+/-)</w:t>
            </w:r>
          </w:p>
        </w:tc>
      </w:tr>
      <w:tr w:rsidR="00FD7B0B" w:rsidRPr="00FD7B0B" w14:paraId="6D8B4B66" w14:textId="77777777" w:rsidTr="00FB4A4C">
        <w:trPr>
          <w:trHeight w:val="144"/>
          <w:jc w:val="center"/>
        </w:trPr>
        <w:tc>
          <w:tcPr>
            <w:tcW w:w="3119" w:type="dxa"/>
            <w:shd w:val="clear" w:color="auto" w:fill="auto"/>
            <w:vAlign w:val="center"/>
            <w:hideMark/>
          </w:tcPr>
          <w:p w14:paraId="05FEF7BA"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w:t>
            </w:r>
          </w:p>
        </w:tc>
        <w:tc>
          <w:tcPr>
            <w:tcW w:w="1843" w:type="dxa"/>
            <w:shd w:val="clear" w:color="auto" w:fill="auto"/>
            <w:vAlign w:val="center"/>
            <w:hideMark/>
          </w:tcPr>
          <w:p w14:paraId="21725D0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686" w:type="dxa"/>
            <w:shd w:val="clear" w:color="auto" w:fill="auto"/>
            <w:vAlign w:val="center"/>
            <w:hideMark/>
          </w:tcPr>
          <w:p w14:paraId="3B67DA2B"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1116" w:type="dxa"/>
            <w:shd w:val="clear" w:color="auto" w:fill="auto"/>
            <w:vAlign w:val="center"/>
            <w:hideMark/>
          </w:tcPr>
          <w:p w14:paraId="1A296A6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1104" w:type="dxa"/>
            <w:shd w:val="clear" w:color="auto" w:fill="auto"/>
            <w:vAlign w:val="center"/>
            <w:hideMark/>
          </w:tcPr>
          <w:p w14:paraId="41E4CA63"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4=3-1</w:t>
            </w:r>
          </w:p>
        </w:tc>
        <w:tc>
          <w:tcPr>
            <w:tcW w:w="704" w:type="dxa"/>
            <w:shd w:val="clear" w:color="auto" w:fill="auto"/>
            <w:vAlign w:val="center"/>
            <w:hideMark/>
          </w:tcPr>
          <w:p w14:paraId="01351C4C"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r>
      <w:tr w:rsidR="00FD7B0B" w:rsidRPr="00FD7B0B" w14:paraId="495F9594" w14:textId="77777777" w:rsidTr="00FB4A4C">
        <w:trPr>
          <w:trHeight w:hRule="exact" w:val="255"/>
          <w:jc w:val="center"/>
        </w:trPr>
        <w:tc>
          <w:tcPr>
            <w:tcW w:w="3119" w:type="dxa"/>
            <w:shd w:val="clear" w:color="auto" w:fill="auto"/>
          </w:tcPr>
          <w:p w14:paraId="13D88650" w14:textId="77777777" w:rsidR="00205BFC" w:rsidRPr="00FD7B0B" w:rsidRDefault="00205BFC" w:rsidP="00205BFC">
            <w:pPr>
              <w:contextualSpacing/>
              <w:jc w:val="both"/>
              <w:rPr>
                <w:rFonts w:ascii="Times New Roman" w:eastAsia="Times New Roman" w:hAnsi="Times New Roman"/>
                <w:b/>
                <w:szCs w:val="16"/>
              </w:rPr>
            </w:pPr>
            <w:r w:rsidRPr="00FD7B0B">
              <w:rPr>
                <w:rFonts w:ascii="Times New Roman" w:eastAsia="Times New Roman" w:hAnsi="Times New Roman"/>
                <w:b/>
                <w:szCs w:val="16"/>
              </w:rPr>
              <w:t xml:space="preserve">Всего по ГП № 01 </w:t>
            </w:r>
          </w:p>
        </w:tc>
        <w:tc>
          <w:tcPr>
            <w:tcW w:w="1843" w:type="dxa"/>
            <w:shd w:val="clear" w:color="auto" w:fill="auto"/>
            <w:vAlign w:val="center"/>
          </w:tcPr>
          <w:p w14:paraId="74A56C9F" w14:textId="77777777" w:rsidR="00205BFC" w:rsidRPr="00FD7B0B" w:rsidRDefault="00205BFC" w:rsidP="00205BF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23 423, 5</w:t>
            </w:r>
          </w:p>
        </w:tc>
        <w:tc>
          <w:tcPr>
            <w:tcW w:w="1686" w:type="dxa"/>
            <w:shd w:val="clear" w:color="auto" w:fill="auto"/>
            <w:vAlign w:val="center"/>
          </w:tcPr>
          <w:p w14:paraId="09450D7F" w14:textId="77777777" w:rsidR="00205BFC" w:rsidRPr="00FD7B0B" w:rsidRDefault="00205BFC" w:rsidP="00205BF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23 467,8</w:t>
            </w:r>
          </w:p>
        </w:tc>
        <w:tc>
          <w:tcPr>
            <w:tcW w:w="1116" w:type="dxa"/>
            <w:shd w:val="clear" w:color="auto" w:fill="auto"/>
            <w:vAlign w:val="center"/>
          </w:tcPr>
          <w:p w14:paraId="39236CD2" w14:textId="77777777" w:rsidR="00205BFC" w:rsidRPr="00FD7B0B" w:rsidRDefault="00205BFC" w:rsidP="00205BF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23 780,2</w:t>
            </w:r>
          </w:p>
        </w:tc>
        <w:tc>
          <w:tcPr>
            <w:tcW w:w="1104" w:type="dxa"/>
            <w:shd w:val="clear" w:color="auto" w:fill="auto"/>
            <w:vAlign w:val="bottom"/>
          </w:tcPr>
          <w:p w14:paraId="1F128A2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356,7</w:t>
            </w:r>
          </w:p>
        </w:tc>
        <w:tc>
          <w:tcPr>
            <w:tcW w:w="704" w:type="dxa"/>
            <w:shd w:val="clear" w:color="auto" w:fill="auto"/>
            <w:vAlign w:val="bottom"/>
          </w:tcPr>
          <w:p w14:paraId="254B0084"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w:t>
            </w:r>
          </w:p>
        </w:tc>
      </w:tr>
      <w:tr w:rsidR="00FD7B0B" w:rsidRPr="00FD7B0B" w14:paraId="4AEDA8C3" w14:textId="77777777" w:rsidTr="00FB4A4C">
        <w:trPr>
          <w:trHeight w:hRule="exact" w:val="255"/>
          <w:jc w:val="center"/>
        </w:trPr>
        <w:tc>
          <w:tcPr>
            <w:tcW w:w="3119" w:type="dxa"/>
            <w:shd w:val="clear" w:color="auto" w:fill="auto"/>
          </w:tcPr>
          <w:p w14:paraId="72FA2F7F" w14:textId="77777777" w:rsidR="00205BFC" w:rsidRPr="00FD7B0B" w:rsidRDefault="00205BFC" w:rsidP="00205BFC">
            <w:pPr>
              <w:contextualSpacing/>
              <w:jc w:val="both"/>
              <w:rPr>
                <w:rFonts w:ascii="Times New Roman" w:eastAsia="Times New Roman" w:hAnsi="Times New Roman"/>
                <w:b/>
                <w:szCs w:val="16"/>
              </w:rPr>
            </w:pPr>
            <w:r w:rsidRPr="00FD7B0B">
              <w:rPr>
                <w:rFonts w:ascii="Times New Roman" w:eastAsia="Times New Roman" w:hAnsi="Times New Roman"/>
                <w:b/>
                <w:szCs w:val="16"/>
              </w:rPr>
              <w:t>Региональные проекты:</w:t>
            </w:r>
          </w:p>
        </w:tc>
        <w:tc>
          <w:tcPr>
            <w:tcW w:w="1843" w:type="dxa"/>
            <w:shd w:val="clear" w:color="auto" w:fill="auto"/>
            <w:vAlign w:val="center"/>
          </w:tcPr>
          <w:p w14:paraId="02FD0816" w14:textId="77777777" w:rsidR="00205BFC" w:rsidRPr="00FD7B0B" w:rsidRDefault="00205BFC" w:rsidP="00205BF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1 509, 1</w:t>
            </w:r>
          </w:p>
        </w:tc>
        <w:tc>
          <w:tcPr>
            <w:tcW w:w="1686" w:type="dxa"/>
            <w:shd w:val="clear" w:color="auto" w:fill="auto"/>
            <w:vAlign w:val="center"/>
          </w:tcPr>
          <w:p w14:paraId="402BEBAA" w14:textId="77777777" w:rsidR="00205BFC" w:rsidRPr="00FD7B0B" w:rsidRDefault="00205BFC" w:rsidP="00205BF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1 517,2</w:t>
            </w:r>
          </w:p>
        </w:tc>
        <w:tc>
          <w:tcPr>
            <w:tcW w:w="1116" w:type="dxa"/>
            <w:shd w:val="clear" w:color="auto" w:fill="auto"/>
            <w:vAlign w:val="center"/>
          </w:tcPr>
          <w:p w14:paraId="6FFCB106" w14:textId="77777777" w:rsidR="00205BFC" w:rsidRPr="00FD7B0B" w:rsidRDefault="00205BFC" w:rsidP="00205BF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1 628,7</w:t>
            </w:r>
          </w:p>
        </w:tc>
        <w:tc>
          <w:tcPr>
            <w:tcW w:w="1104" w:type="dxa"/>
            <w:shd w:val="clear" w:color="auto" w:fill="auto"/>
            <w:vAlign w:val="bottom"/>
          </w:tcPr>
          <w:p w14:paraId="4C2022F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119,6</w:t>
            </w:r>
          </w:p>
        </w:tc>
        <w:tc>
          <w:tcPr>
            <w:tcW w:w="704" w:type="dxa"/>
            <w:shd w:val="clear" w:color="auto" w:fill="auto"/>
            <w:vAlign w:val="bottom"/>
          </w:tcPr>
          <w:p w14:paraId="07EA849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w:t>
            </w:r>
          </w:p>
        </w:tc>
      </w:tr>
      <w:tr w:rsidR="00FD7B0B" w:rsidRPr="00FD7B0B" w14:paraId="5C07AF69" w14:textId="77777777" w:rsidTr="00FB4A4C">
        <w:trPr>
          <w:trHeight w:hRule="exact" w:val="255"/>
          <w:jc w:val="center"/>
        </w:trPr>
        <w:tc>
          <w:tcPr>
            <w:tcW w:w="3119" w:type="dxa"/>
            <w:shd w:val="clear" w:color="auto" w:fill="auto"/>
          </w:tcPr>
          <w:p w14:paraId="1A70301C" w14:textId="77777777" w:rsidR="00205BFC" w:rsidRPr="00FD7B0B" w:rsidRDefault="00205BFC" w:rsidP="00205BFC">
            <w:pPr>
              <w:contextualSpacing/>
              <w:jc w:val="both"/>
              <w:rPr>
                <w:rFonts w:ascii="Times New Roman" w:eastAsia="Times New Roman" w:hAnsi="Times New Roman"/>
                <w:szCs w:val="16"/>
              </w:rPr>
            </w:pPr>
            <w:r w:rsidRPr="00FD7B0B">
              <w:rPr>
                <w:rFonts w:ascii="Times New Roman" w:eastAsia="Times New Roman" w:hAnsi="Times New Roman"/>
                <w:szCs w:val="16"/>
              </w:rPr>
              <w:t>Проект 1</w:t>
            </w:r>
          </w:p>
        </w:tc>
        <w:tc>
          <w:tcPr>
            <w:tcW w:w="1843" w:type="dxa"/>
            <w:shd w:val="clear" w:color="auto" w:fill="auto"/>
            <w:vAlign w:val="center"/>
          </w:tcPr>
          <w:p w14:paraId="5CF271E5"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170, 6</w:t>
            </w:r>
          </w:p>
        </w:tc>
        <w:tc>
          <w:tcPr>
            <w:tcW w:w="1686" w:type="dxa"/>
            <w:shd w:val="clear" w:color="auto" w:fill="auto"/>
            <w:vAlign w:val="center"/>
          </w:tcPr>
          <w:p w14:paraId="5C084238"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170,6</w:t>
            </w:r>
          </w:p>
        </w:tc>
        <w:tc>
          <w:tcPr>
            <w:tcW w:w="1116" w:type="dxa"/>
            <w:shd w:val="clear" w:color="auto" w:fill="auto"/>
            <w:vAlign w:val="center"/>
          </w:tcPr>
          <w:p w14:paraId="43E14AFD"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170,6</w:t>
            </w:r>
          </w:p>
        </w:tc>
        <w:tc>
          <w:tcPr>
            <w:tcW w:w="1104" w:type="dxa"/>
            <w:shd w:val="clear" w:color="auto" w:fill="auto"/>
            <w:vAlign w:val="bottom"/>
          </w:tcPr>
          <w:p w14:paraId="3506B44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704" w:type="dxa"/>
            <w:shd w:val="clear" w:color="auto" w:fill="auto"/>
            <w:vAlign w:val="bottom"/>
          </w:tcPr>
          <w:p w14:paraId="5D3F2F55"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609837A7" w14:textId="77777777" w:rsidTr="00FB4A4C">
        <w:trPr>
          <w:trHeight w:hRule="exact" w:val="255"/>
          <w:jc w:val="center"/>
        </w:trPr>
        <w:tc>
          <w:tcPr>
            <w:tcW w:w="3119" w:type="dxa"/>
            <w:shd w:val="clear" w:color="auto" w:fill="auto"/>
          </w:tcPr>
          <w:p w14:paraId="2DE13FB0" w14:textId="77777777" w:rsidR="00205BFC" w:rsidRPr="00FD7B0B" w:rsidRDefault="00205BFC" w:rsidP="00205BFC">
            <w:pPr>
              <w:ind w:left="1163" w:hanging="1144"/>
              <w:contextualSpacing/>
              <w:jc w:val="both"/>
              <w:rPr>
                <w:rFonts w:ascii="Times New Roman" w:eastAsia="Times New Roman" w:hAnsi="Times New Roman"/>
                <w:szCs w:val="16"/>
              </w:rPr>
            </w:pPr>
            <w:r w:rsidRPr="00FD7B0B">
              <w:rPr>
                <w:rFonts w:ascii="Times New Roman" w:eastAsia="Times New Roman" w:hAnsi="Times New Roman"/>
                <w:szCs w:val="16"/>
              </w:rPr>
              <w:t>Проект 2</w:t>
            </w:r>
          </w:p>
        </w:tc>
        <w:tc>
          <w:tcPr>
            <w:tcW w:w="1843" w:type="dxa"/>
            <w:shd w:val="clear" w:color="auto" w:fill="auto"/>
            <w:vAlign w:val="center"/>
          </w:tcPr>
          <w:p w14:paraId="3555160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216,0</w:t>
            </w:r>
          </w:p>
        </w:tc>
        <w:tc>
          <w:tcPr>
            <w:tcW w:w="1686" w:type="dxa"/>
            <w:shd w:val="clear" w:color="auto" w:fill="auto"/>
            <w:vAlign w:val="center"/>
          </w:tcPr>
          <w:p w14:paraId="1C3B1B9B"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216,0</w:t>
            </w:r>
          </w:p>
        </w:tc>
        <w:tc>
          <w:tcPr>
            <w:tcW w:w="1116" w:type="dxa"/>
            <w:shd w:val="clear" w:color="auto" w:fill="auto"/>
            <w:vAlign w:val="center"/>
          </w:tcPr>
          <w:p w14:paraId="229ED5F6"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216,0</w:t>
            </w:r>
          </w:p>
        </w:tc>
        <w:tc>
          <w:tcPr>
            <w:tcW w:w="1104" w:type="dxa"/>
            <w:shd w:val="clear" w:color="auto" w:fill="auto"/>
            <w:vAlign w:val="bottom"/>
          </w:tcPr>
          <w:p w14:paraId="4283113D"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704" w:type="dxa"/>
            <w:shd w:val="clear" w:color="auto" w:fill="auto"/>
            <w:vAlign w:val="bottom"/>
          </w:tcPr>
          <w:p w14:paraId="393926F4"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76AE5657" w14:textId="77777777" w:rsidTr="00FB4A4C">
        <w:trPr>
          <w:trHeight w:hRule="exact" w:val="255"/>
          <w:jc w:val="center"/>
        </w:trPr>
        <w:tc>
          <w:tcPr>
            <w:tcW w:w="3119" w:type="dxa"/>
            <w:shd w:val="clear" w:color="auto" w:fill="auto"/>
          </w:tcPr>
          <w:p w14:paraId="4A9BF9C7" w14:textId="77777777" w:rsidR="00205BFC" w:rsidRPr="00FD7B0B" w:rsidRDefault="00205BFC" w:rsidP="00205BFC">
            <w:pPr>
              <w:ind w:left="1163" w:hanging="1144"/>
              <w:contextualSpacing/>
              <w:jc w:val="both"/>
              <w:rPr>
                <w:rFonts w:ascii="Times New Roman" w:eastAsia="Times New Roman" w:hAnsi="Times New Roman"/>
                <w:szCs w:val="16"/>
              </w:rPr>
            </w:pPr>
            <w:r w:rsidRPr="00FD7B0B">
              <w:rPr>
                <w:rFonts w:ascii="Times New Roman" w:eastAsia="Times New Roman" w:hAnsi="Times New Roman"/>
                <w:szCs w:val="16"/>
              </w:rPr>
              <w:t>Проект 3</w:t>
            </w:r>
          </w:p>
        </w:tc>
        <w:tc>
          <w:tcPr>
            <w:tcW w:w="1843" w:type="dxa"/>
            <w:shd w:val="clear" w:color="auto" w:fill="auto"/>
            <w:vAlign w:val="center"/>
          </w:tcPr>
          <w:p w14:paraId="5CCA27A6"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54,3</w:t>
            </w:r>
          </w:p>
        </w:tc>
        <w:tc>
          <w:tcPr>
            <w:tcW w:w="1686" w:type="dxa"/>
            <w:shd w:val="clear" w:color="auto" w:fill="auto"/>
            <w:vAlign w:val="center"/>
          </w:tcPr>
          <w:p w14:paraId="525FFBC5"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54,3</w:t>
            </w:r>
          </w:p>
        </w:tc>
        <w:tc>
          <w:tcPr>
            <w:tcW w:w="1116" w:type="dxa"/>
            <w:shd w:val="clear" w:color="auto" w:fill="auto"/>
            <w:vAlign w:val="center"/>
          </w:tcPr>
          <w:p w14:paraId="474AA70F"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54,3</w:t>
            </w:r>
          </w:p>
        </w:tc>
        <w:tc>
          <w:tcPr>
            <w:tcW w:w="1104" w:type="dxa"/>
            <w:shd w:val="clear" w:color="auto" w:fill="auto"/>
            <w:vAlign w:val="bottom"/>
          </w:tcPr>
          <w:p w14:paraId="15F7B2E8"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704" w:type="dxa"/>
            <w:shd w:val="clear" w:color="auto" w:fill="auto"/>
            <w:vAlign w:val="bottom"/>
          </w:tcPr>
          <w:p w14:paraId="5A973A8F"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2621CE84" w14:textId="77777777" w:rsidTr="00FB4A4C">
        <w:trPr>
          <w:trHeight w:hRule="exact" w:val="255"/>
          <w:jc w:val="center"/>
        </w:trPr>
        <w:tc>
          <w:tcPr>
            <w:tcW w:w="3119" w:type="dxa"/>
            <w:shd w:val="clear" w:color="auto" w:fill="auto"/>
          </w:tcPr>
          <w:p w14:paraId="19333202" w14:textId="77777777" w:rsidR="00205BFC" w:rsidRPr="00FD7B0B" w:rsidRDefault="00205BFC" w:rsidP="00205BFC">
            <w:pPr>
              <w:ind w:left="1163" w:hanging="1144"/>
              <w:contextualSpacing/>
              <w:jc w:val="both"/>
              <w:rPr>
                <w:rFonts w:ascii="Times New Roman" w:eastAsia="Times New Roman" w:hAnsi="Times New Roman"/>
                <w:szCs w:val="16"/>
              </w:rPr>
            </w:pPr>
            <w:r w:rsidRPr="00FD7B0B">
              <w:rPr>
                <w:rFonts w:ascii="Times New Roman" w:eastAsia="Times New Roman" w:hAnsi="Times New Roman"/>
                <w:szCs w:val="16"/>
              </w:rPr>
              <w:t>Проект 4</w:t>
            </w:r>
          </w:p>
        </w:tc>
        <w:tc>
          <w:tcPr>
            <w:tcW w:w="1843" w:type="dxa"/>
            <w:shd w:val="clear" w:color="auto" w:fill="auto"/>
            <w:vAlign w:val="center"/>
          </w:tcPr>
          <w:p w14:paraId="5C122781"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63,6</w:t>
            </w:r>
          </w:p>
        </w:tc>
        <w:tc>
          <w:tcPr>
            <w:tcW w:w="1686" w:type="dxa"/>
            <w:shd w:val="clear" w:color="auto" w:fill="auto"/>
            <w:vAlign w:val="center"/>
          </w:tcPr>
          <w:p w14:paraId="3F826338"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63,6</w:t>
            </w:r>
          </w:p>
        </w:tc>
        <w:tc>
          <w:tcPr>
            <w:tcW w:w="1116" w:type="dxa"/>
            <w:shd w:val="clear" w:color="auto" w:fill="auto"/>
            <w:vAlign w:val="center"/>
          </w:tcPr>
          <w:p w14:paraId="08252FA4"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63,6</w:t>
            </w:r>
          </w:p>
        </w:tc>
        <w:tc>
          <w:tcPr>
            <w:tcW w:w="1104" w:type="dxa"/>
            <w:shd w:val="clear" w:color="auto" w:fill="auto"/>
            <w:vAlign w:val="bottom"/>
          </w:tcPr>
          <w:p w14:paraId="15A16752"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704" w:type="dxa"/>
            <w:shd w:val="clear" w:color="auto" w:fill="auto"/>
            <w:vAlign w:val="bottom"/>
          </w:tcPr>
          <w:p w14:paraId="6C0565DD"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60E00CA6" w14:textId="77777777" w:rsidTr="00FB4A4C">
        <w:trPr>
          <w:trHeight w:hRule="exact" w:val="255"/>
          <w:jc w:val="center"/>
        </w:trPr>
        <w:tc>
          <w:tcPr>
            <w:tcW w:w="3119" w:type="dxa"/>
            <w:shd w:val="clear" w:color="auto" w:fill="auto"/>
          </w:tcPr>
          <w:p w14:paraId="79FC61E9" w14:textId="77777777" w:rsidR="00205BFC" w:rsidRPr="00FD7B0B" w:rsidRDefault="00205BFC" w:rsidP="00205BFC">
            <w:pPr>
              <w:ind w:left="1163" w:hanging="1163"/>
              <w:contextualSpacing/>
              <w:jc w:val="both"/>
              <w:rPr>
                <w:rFonts w:ascii="Times New Roman" w:eastAsia="Times New Roman" w:hAnsi="Times New Roman"/>
                <w:szCs w:val="16"/>
              </w:rPr>
            </w:pPr>
            <w:r w:rsidRPr="00FD7B0B">
              <w:rPr>
                <w:rFonts w:ascii="Times New Roman" w:eastAsia="Times New Roman" w:hAnsi="Times New Roman"/>
                <w:szCs w:val="16"/>
              </w:rPr>
              <w:t>Проект 5</w:t>
            </w:r>
          </w:p>
        </w:tc>
        <w:tc>
          <w:tcPr>
            <w:tcW w:w="1843" w:type="dxa"/>
            <w:shd w:val="clear" w:color="auto" w:fill="auto"/>
            <w:vAlign w:val="center"/>
          </w:tcPr>
          <w:p w14:paraId="62451E2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1 004, 6</w:t>
            </w:r>
          </w:p>
        </w:tc>
        <w:tc>
          <w:tcPr>
            <w:tcW w:w="1686" w:type="dxa"/>
            <w:shd w:val="clear" w:color="auto" w:fill="auto"/>
            <w:vAlign w:val="center"/>
          </w:tcPr>
          <w:p w14:paraId="10A3B25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1 012,7</w:t>
            </w:r>
          </w:p>
        </w:tc>
        <w:tc>
          <w:tcPr>
            <w:tcW w:w="1116" w:type="dxa"/>
            <w:shd w:val="clear" w:color="auto" w:fill="auto"/>
            <w:vAlign w:val="center"/>
          </w:tcPr>
          <w:p w14:paraId="72FD6F1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1 124,2</w:t>
            </w:r>
          </w:p>
        </w:tc>
        <w:tc>
          <w:tcPr>
            <w:tcW w:w="1104" w:type="dxa"/>
            <w:shd w:val="clear" w:color="auto" w:fill="auto"/>
            <w:vAlign w:val="bottom"/>
          </w:tcPr>
          <w:p w14:paraId="7F9BF476"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119,6</w:t>
            </w:r>
          </w:p>
        </w:tc>
        <w:tc>
          <w:tcPr>
            <w:tcW w:w="704" w:type="dxa"/>
            <w:shd w:val="clear" w:color="auto" w:fill="auto"/>
            <w:vAlign w:val="bottom"/>
          </w:tcPr>
          <w:p w14:paraId="1CFE3FB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11,9</w:t>
            </w:r>
          </w:p>
        </w:tc>
      </w:tr>
      <w:tr w:rsidR="00FD7B0B" w:rsidRPr="00FD7B0B" w14:paraId="4B374443" w14:textId="77777777" w:rsidTr="00FB4A4C">
        <w:trPr>
          <w:trHeight w:hRule="exact" w:val="255"/>
          <w:jc w:val="center"/>
        </w:trPr>
        <w:tc>
          <w:tcPr>
            <w:tcW w:w="3119" w:type="dxa"/>
            <w:shd w:val="clear" w:color="auto" w:fill="auto"/>
          </w:tcPr>
          <w:p w14:paraId="0E523817" w14:textId="77777777" w:rsidR="00205BFC" w:rsidRPr="00FD7B0B" w:rsidRDefault="00205BFC" w:rsidP="00205BFC">
            <w:pPr>
              <w:contextualSpacing/>
              <w:jc w:val="both"/>
              <w:rPr>
                <w:rFonts w:ascii="Times New Roman" w:eastAsia="Times New Roman" w:hAnsi="Times New Roman"/>
                <w:b/>
                <w:szCs w:val="16"/>
              </w:rPr>
            </w:pPr>
            <w:r w:rsidRPr="00FD7B0B">
              <w:rPr>
                <w:rFonts w:ascii="Times New Roman" w:eastAsia="Times New Roman" w:hAnsi="Times New Roman"/>
                <w:b/>
                <w:szCs w:val="16"/>
              </w:rPr>
              <w:lastRenderedPageBreak/>
              <w:t>Процессная часть:</w:t>
            </w:r>
          </w:p>
        </w:tc>
        <w:tc>
          <w:tcPr>
            <w:tcW w:w="1843" w:type="dxa"/>
            <w:shd w:val="clear" w:color="auto" w:fill="auto"/>
            <w:vAlign w:val="center"/>
          </w:tcPr>
          <w:p w14:paraId="033E8088" w14:textId="77777777" w:rsidR="00205BFC" w:rsidRPr="00FD7B0B" w:rsidRDefault="00205BFC" w:rsidP="00205BF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21 914,4</w:t>
            </w:r>
          </w:p>
        </w:tc>
        <w:tc>
          <w:tcPr>
            <w:tcW w:w="1686" w:type="dxa"/>
            <w:shd w:val="clear" w:color="auto" w:fill="auto"/>
            <w:vAlign w:val="center"/>
          </w:tcPr>
          <w:p w14:paraId="0FD5A166" w14:textId="77777777" w:rsidR="00205BFC" w:rsidRPr="00FD7B0B" w:rsidRDefault="00205BFC" w:rsidP="00205BF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21 950,5</w:t>
            </w:r>
          </w:p>
        </w:tc>
        <w:tc>
          <w:tcPr>
            <w:tcW w:w="1116" w:type="dxa"/>
            <w:shd w:val="clear" w:color="auto" w:fill="auto"/>
            <w:vAlign w:val="center"/>
          </w:tcPr>
          <w:p w14:paraId="119D7E2E" w14:textId="77777777" w:rsidR="00205BFC" w:rsidRPr="00FD7B0B" w:rsidRDefault="00205BFC" w:rsidP="00205BF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22 151,3</w:t>
            </w:r>
          </w:p>
        </w:tc>
        <w:tc>
          <w:tcPr>
            <w:tcW w:w="1104" w:type="dxa"/>
            <w:shd w:val="clear" w:color="auto" w:fill="auto"/>
            <w:vAlign w:val="bottom"/>
          </w:tcPr>
          <w:p w14:paraId="61FE7710"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236,9</w:t>
            </w:r>
          </w:p>
        </w:tc>
        <w:tc>
          <w:tcPr>
            <w:tcW w:w="704" w:type="dxa"/>
            <w:shd w:val="clear" w:color="auto" w:fill="auto"/>
            <w:vAlign w:val="bottom"/>
          </w:tcPr>
          <w:p w14:paraId="7A2A7E2C"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w:t>
            </w:r>
          </w:p>
        </w:tc>
      </w:tr>
      <w:tr w:rsidR="00FD7B0B" w:rsidRPr="00FD7B0B" w14:paraId="6EBD104E" w14:textId="77777777" w:rsidTr="00FB4A4C">
        <w:trPr>
          <w:trHeight w:hRule="exact" w:val="255"/>
          <w:jc w:val="center"/>
        </w:trPr>
        <w:tc>
          <w:tcPr>
            <w:tcW w:w="3119" w:type="dxa"/>
            <w:shd w:val="clear" w:color="auto" w:fill="auto"/>
          </w:tcPr>
          <w:p w14:paraId="224295EF" w14:textId="77777777" w:rsidR="00205BFC" w:rsidRPr="00FD7B0B" w:rsidRDefault="00205BFC" w:rsidP="00205BFC">
            <w:pPr>
              <w:ind w:left="303"/>
              <w:contextualSpacing/>
              <w:jc w:val="both"/>
              <w:rPr>
                <w:rFonts w:ascii="Times New Roman" w:eastAsia="Times New Roman" w:hAnsi="Times New Roman"/>
                <w:szCs w:val="16"/>
              </w:rPr>
            </w:pPr>
            <w:r w:rsidRPr="00FD7B0B">
              <w:rPr>
                <w:rFonts w:ascii="Times New Roman" w:eastAsia="Times New Roman" w:hAnsi="Times New Roman"/>
                <w:szCs w:val="16"/>
              </w:rPr>
              <w:t>КПМ 1</w:t>
            </w:r>
          </w:p>
        </w:tc>
        <w:tc>
          <w:tcPr>
            <w:tcW w:w="1843" w:type="dxa"/>
            <w:shd w:val="clear" w:color="auto" w:fill="auto"/>
            <w:vAlign w:val="center"/>
          </w:tcPr>
          <w:p w14:paraId="6F7EB243"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762, 1</w:t>
            </w:r>
          </w:p>
        </w:tc>
        <w:tc>
          <w:tcPr>
            <w:tcW w:w="1686" w:type="dxa"/>
            <w:shd w:val="clear" w:color="auto" w:fill="auto"/>
            <w:vAlign w:val="center"/>
          </w:tcPr>
          <w:p w14:paraId="6A899645"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819,2</w:t>
            </w:r>
          </w:p>
        </w:tc>
        <w:tc>
          <w:tcPr>
            <w:tcW w:w="1116" w:type="dxa"/>
            <w:shd w:val="clear" w:color="auto" w:fill="auto"/>
            <w:vAlign w:val="center"/>
          </w:tcPr>
          <w:p w14:paraId="3B56BE7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955,0</w:t>
            </w:r>
          </w:p>
        </w:tc>
        <w:tc>
          <w:tcPr>
            <w:tcW w:w="1104" w:type="dxa"/>
            <w:shd w:val="clear" w:color="auto" w:fill="auto"/>
            <w:vAlign w:val="bottom"/>
          </w:tcPr>
          <w:p w14:paraId="09D6B10F"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192,9</w:t>
            </w:r>
          </w:p>
        </w:tc>
        <w:tc>
          <w:tcPr>
            <w:tcW w:w="704" w:type="dxa"/>
            <w:shd w:val="clear" w:color="auto" w:fill="auto"/>
            <w:vAlign w:val="bottom"/>
          </w:tcPr>
          <w:p w14:paraId="0C53324B"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25,3</w:t>
            </w:r>
          </w:p>
        </w:tc>
      </w:tr>
      <w:tr w:rsidR="00FD7B0B" w:rsidRPr="00FD7B0B" w14:paraId="4F15D42D" w14:textId="77777777" w:rsidTr="00FB4A4C">
        <w:trPr>
          <w:trHeight w:hRule="exact" w:val="255"/>
          <w:jc w:val="center"/>
        </w:trPr>
        <w:tc>
          <w:tcPr>
            <w:tcW w:w="3119" w:type="dxa"/>
            <w:shd w:val="clear" w:color="auto" w:fill="auto"/>
          </w:tcPr>
          <w:p w14:paraId="66276EDA" w14:textId="77777777" w:rsidR="00205BFC" w:rsidRPr="00FD7B0B" w:rsidRDefault="00205BFC" w:rsidP="00205BFC">
            <w:pPr>
              <w:ind w:left="303"/>
              <w:contextualSpacing/>
              <w:jc w:val="both"/>
              <w:rPr>
                <w:rFonts w:ascii="Times New Roman" w:eastAsia="Times New Roman" w:hAnsi="Times New Roman"/>
                <w:szCs w:val="16"/>
              </w:rPr>
            </w:pPr>
            <w:r w:rsidRPr="00FD7B0B">
              <w:rPr>
                <w:rFonts w:ascii="Times New Roman" w:eastAsia="Times New Roman" w:hAnsi="Times New Roman"/>
                <w:szCs w:val="16"/>
              </w:rPr>
              <w:t>КПМ 2</w:t>
            </w:r>
          </w:p>
        </w:tc>
        <w:tc>
          <w:tcPr>
            <w:tcW w:w="1843" w:type="dxa"/>
            <w:shd w:val="clear" w:color="auto" w:fill="auto"/>
            <w:vAlign w:val="center"/>
          </w:tcPr>
          <w:p w14:paraId="11D49E6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904,1</w:t>
            </w:r>
          </w:p>
        </w:tc>
        <w:tc>
          <w:tcPr>
            <w:tcW w:w="1686" w:type="dxa"/>
            <w:shd w:val="clear" w:color="auto" w:fill="auto"/>
            <w:vAlign w:val="center"/>
          </w:tcPr>
          <w:p w14:paraId="24CD9CE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931,5</w:t>
            </w:r>
          </w:p>
        </w:tc>
        <w:tc>
          <w:tcPr>
            <w:tcW w:w="1116" w:type="dxa"/>
            <w:shd w:val="clear" w:color="auto" w:fill="auto"/>
            <w:vAlign w:val="center"/>
          </w:tcPr>
          <w:p w14:paraId="7F090854"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1 041,9</w:t>
            </w:r>
          </w:p>
        </w:tc>
        <w:tc>
          <w:tcPr>
            <w:tcW w:w="1104" w:type="dxa"/>
            <w:shd w:val="clear" w:color="auto" w:fill="auto"/>
            <w:vAlign w:val="bottom"/>
          </w:tcPr>
          <w:p w14:paraId="18918A7C"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137,8</w:t>
            </w:r>
          </w:p>
        </w:tc>
        <w:tc>
          <w:tcPr>
            <w:tcW w:w="704" w:type="dxa"/>
            <w:shd w:val="clear" w:color="auto" w:fill="auto"/>
            <w:vAlign w:val="bottom"/>
          </w:tcPr>
          <w:p w14:paraId="227A763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15,2</w:t>
            </w:r>
          </w:p>
        </w:tc>
      </w:tr>
      <w:tr w:rsidR="00FD7B0B" w:rsidRPr="00FD7B0B" w14:paraId="021ADB2A" w14:textId="77777777" w:rsidTr="00FB4A4C">
        <w:trPr>
          <w:trHeight w:hRule="exact" w:val="255"/>
          <w:jc w:val="center"/>
        </w:trPr>
        <w:tc>
          <w:tcPr>
            <w:tcW w:w="3119" w:type="dxa"/>
            <w:shd w:val="clear" w:color="auto" w:fill="auto"/>
          </w:tcPr>
          <w:p w14:paraId="1379A508" w14:textId="77777777" w:rsidR="00205BFC" w:rsidRPr="00FD7B0B" w:rsidRDefault="00205BFC" w:rsidP="00205BFC">
            <w:pPr>
              <w:ind w:left="303"/>
              <w:contextualSpacing/>
              <w:jc w:val="both"/>
              <w:rPr>
                <w:rFonts w:ascii="Times New Roman" w:eastAsia="Times New Roman" w:hAnsi="Times New Roman"/>
              </w:rPr>
            </w:pPr>
            <w:r w:rsidRPr="00FD7B0B">
              <w:rPr>
                <w:rFonts w:ascii="Times New Roman" w:eastAsia="Times New Roman" w:hAnsi="Times New Roman"/>
              </w:rPr>
              <w:t>КПМ 3</w:t>
            </w:r>
          </w:p>
        </w:tc>
        <w:tc>
          <w:tcPr>
            <w:tcW w:w="1843" w:type="dxa"/>
            <w:shd w:val="clear" w:color="auto" w:fill="auto"/>
            <w:vAlign w:val="center"/>
          </w:tcPr>
          <w:p w14:paraId="3CBCDFD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5 783, 9</w:t>
            </w:r>
          </w:p>
        </w:tc>
        <w:tc>
          <w:tcPr>
            <w:tcW w:w="1686" w:type="dxa"/>
            <w:shd w:val="clear" w:color="auto" w:fill="auto"/>
            <w:vAlign w:val="center"/>
          </w:tcPr>
          <w:p w14:paraId="34E46DA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5 783,9</w:t>
            </w:r>
          </w:p>
        </w:tc>
        <w:tc>
          <w:tcPr>
            <w:tcW w:w="1116" w:type="dxa"/>
            <w:shd w:val="clear" w:color="auto" w:fill="auto"/>
            <w:vAlign w:val="center"/>
          </w:tcPr>
          <w:p w14:paraId="3A4FC07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5 655,5</w:t>
            </w:r>
          </w:p>
        </w:tc>
        <w:tc>
          <w:tcPr>
            <w:tcW w:w="1104" w:type="dxa"/>
            <w:shd w:val="clear" w:color="auto" w:fill="auto"/>
            <w:vAlign w:val="bottom"/>
          </w:tcPr>
          <w:p w14:paraId="2097676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-128,4</w:t>
            </w:r>
          </w:p>
        </w:tc>
        <w:tc>
          <w:tcPr>
            <w:tcW w:w="704" w:type="dxa"/>
            <w:shd w:val="clear" w:color="auto" w:fill="auto"/>
            <w:vAlign w:val="bottom"/>
          </w:tcPr>
          <w:p w14:paraId="6B67A466"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r>
      <w:tr w:rsidR="00FD7B0B" w:rsidRPr="00FD7B0B" w14:paraId="3BB18E27" w14:textId="77777777" w:rsidTr="00FB4A4C">
        <w:trPr>
          <w:trHeight w:hRule="exact" w:val="255"/>
          <w:jc w:val="center"/>
        </w:trPr>
        <w:tc>
          <w:tcPr>
            <w:tcW w:w="3119" w:type="dxa"/>
            <w:shd w:val="clear" w:color="auto" w:fill="auto"/>
          </w:tcPr>
          <w:p w14:paraId="5B568258" w14:textId="77777777" w:rsidR="00205BFC" w:rsidRPr="00FD7B0B" w:rsidRDefault="00205BFC" w:rsidP="00205BFC">
            <w:pPr>
              <w:ind w:left="303"/>
              <w:contextualSpacing/>
              <w:jc w:val="both"/>
              <w:rPr>
                <w:rFonts w:ascii="Times New Roman" w:eastAsia="Times New Roman" w:hAnsi="Times New Roman"/>
              </w:rPr>
            </w:pPr>
            <w:r w:rsidRPr="00FD7B0B">
              <w:rPr>
                <w:rFonts w:ascii="Times New Roman" w:eastAsia="Times New Roman" w:hAnsi="Times New Roman"/>
              </w:rPr>
              <w:t>КПМ 4</w:t>
            </w:r>
          </w:p>
        </w:tc>
        <w:tc>
          <w:tcPr>
            <w:tcW w:w="1843" w:type="dxa"/>
            <w:shd w:val="clear" w:color="auto" w:fill="auto"/>
            <w:vAlign w:val="center"/>
          </w:tcPr>
          <w:p w14:paraId="20D34AA1" w14:textId="77777777" w:rsidR="00205BFC" w:rsidRPr="00FD7B0B" w:rsidRDefault="00205BFC" w:rsidP="00205BFC">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763,8</w:t>
            </w:r>
          </w:p>
        </w:tc>
        <w:tc>
          <w:tcPr>
            <w:tcW w:w="1686" w:type="dxa"/>
            <w:shd w:val="clear" w:color="auto" w:fill="auto"/>
            <w:vAlign w:val="center"/>
          </w:tcPr>
          <w:p w14:paraId="64E2D91A"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695,9</w:t>
            </w:r>
          </w:p>
        </w:tc>
        <w:tc>
          <w:tcPr>
            <w:tcW w:w="1116" w:type="dxa"/>
            <w:shd w:val="clear" w:color="auto" w:fill="auto"/>
            <w:vAlign w:val="center"/>
          </w:tcPr>
          <w:p w14:paraId="6DAFB9BF"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754,2</w:t>
            </w:r>
          </w:p>
        </w:tc>
        <w:tc>
          <w:tcPr>
            <w:tcW w:w="1104" w:type="dxa"/>
            <w:shd w:val="clear" w:color="auto" w:fill="auto"/>
            <w:vAlign w:val="bottom"/>
          </w:tcPr>
          <w:p w14:paraId="0975C588"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-9,6</w:t>
            </w:r>
          </w:p>
        </w:tc>
        <w:tc>
          <w:tcPr>
            <w:tcW w:w="704" w:type="dxa"/>
            <w:shd w:val="clear" w:color="auto" w:fill="auto"/>
            <w:vAlign w:val="bottom"/>
          </w:tcPr>
          <w:p w14:paraId="0627B0AD"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w:t>
            </w:r>
          </w:p>
        </w:tc>
      </w:tr>
      <w:tr w:rsidR="00FD7B0B" w:rsidRPr="00FD7B0B" w14:paraId="7EC40A71" w14:textId="77777777" w:rsidTr="00FB4A4C">
        <w:trPr>
          <w:trHeight w:hRule="exact" w:val="255"/>
          <w:jc w:val="center"/>
        </w:trPr>
        <w:tc>
          <w:tcPr>
            <w:tcW w:w="3119" w:type="dxa"/>
            <w:shd w:val="clear" w:color="auto" w:fill="auto"/>
          </w:tcPr>
          <w:p w14:paraId="25A73594" w14:textId="77777777" w:rsidR="00205BFC" w:rsidRPr="00FD7B0B" w:rsidRDefault="00205BFC" w:rsidP="00205BFC">
            <w:pPr>
              <w:ind w:left="303"/>
              <w:contextualSpacing/>
              <w:jc w:val="both"/>
              <w:rPr>
                <w:rFonts w:ascii="Times New Roman" w:eastAsia="Times New Roman" w:hAnsi="Times New Roman"/>
              </w:rPr>
            </w:pPr>
            <w:r w:rsidRPr="00FD7B0B">
              <w:rPr>
                <w:rFonts w:ascii="Times New Roman" w:eastAsia="Times New Roman" w:hAnsi="Times New Roman"/>
              </w:rPr>
              <w:t>КПМ 5</w:t>
            </w:r>
          </w:p>
        </w:tc>
        <w:tc>
          <w:tcPr>
            <w:tcW w:w="1843" w:type="dxa"/>
            <w:shd w:val="clear" w:color="auto" w:fill="auto"/>
            <w:vAlign w:val="center"/>
          </w:tcPr>
          <w:p w14:paraId="1ABF263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686" w:type="dxa"/>
            <w:shd w:val="clear" w:color="auto" w:fill="auto"/>
            <w:vAlign w:val="center"/>
          </w:tcPr>
          <w:p w14:paraId="3229CF58"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11,6</w:t>
            </w:r>
          </w:p>
        </w:tc>
        <w:tc>
          <w:tcPr>
            <w:tcW w:w="1116" w:type="dxa"/>
            <w:shd w:val="clear" w:color="auto" w:fill="auto"/>
            <w:vAlign w:val="center"/>
          </w:tcPr>
          <w:p w14:paraId="090421C3"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w:t>
            </w:r>
          </w:p>
        </w:tc>
        <w:tc>
          <w:tcPr>
            <w:tcW w:w="1104" w:type="dxa"/>
            <w:shd w:val="clear" w:color="auto" w:fill="auto"/>
            <w:vAlign w:val="bottom"/>
          </w:tcPr>
          <w:p w14:paraId="7E8FF18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w:t>
            </w:r>
          </w:p>
        </w:tc>
        <w:tc>
          <w:tcPr>
            <w:tcW w:w="704" w:type="dxa"/>
            <w:shd w:val="clear" w:color="auto" w:fill="auto"/>
            <w:vAlign w:val="bottom"/>
          </w:tcPr>
          <w:p w14:paraId="7332CBD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205BFC" w:rsidRPr="00FD7B0B" w14:paraId="25133896" w14:textId="77777777" w:rsidTr="00FB4A4C">
        <w:trPr>
          <w:trHeight w:hRule="exact" w:val="255"/>
          <w:jc w:val="center"/>
        </w:trPr>
        <w:tc>
          <w:tcPr>
            <w:tcW w:w="3119" w:type="dxa"/>
            <w:shd w:val="clear" w:color="auto" w:fill="auto"/>
          </w:tcPr>
          <w:p w14:paraId="41D18890" w14:textId="77777777" w:rsidR="00205BFC" w:rsidRPr="00FD7B0B" w:rsidRDefault="00205BFC" w:rsidP="00205BFC">
            <w:pPr>
              <w:ind w:left="303"/>
              <w:contextualSpacing/>
              <w:jc w:val="both"/>
              <w:rPr>
                <w:rFonts w:ascii="Times New Roman" w:eastAsia="Times New Roman" w:hAnsi="Times New Roman"/>
              </w:rPr>
            </w:pPr>
            <w:r w:rsidRPr="00FD7B0B">
              <w:rPr>
                <w:rFonts w:ascii="Times New Roman" w:eastAsia="Times New Roman" w:hAnsi="Times New Roman"/>
              </w:rPr>
              <w:t>КПМ 6</w:t>
            </w:r>
          </w:p>
        </w:tc>
        <w:tc>
          <w:tcPr>
            <w:tcW w:w="1843" w:type="dxa"/>
            <w:shd w:val="clear" w:color="auto" w:fill="auto"/>
            <w:vAlign w:val="center"/>
          </w:tcPr>
          <w:p w14:paraId="1E70CB5D"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13 700, 6</w:t>
            </w:r>
          </w:p>
        </w:tc>
        <w:tc>
          <w:tcPr>
            <w:tcW w:w="1686" w:type="dxa"/>
            <w:shd w:val="clear" w:color="auto" w:fill="auto"/>
            <w:vAlign w:val="center"/>
          </w:tcPr>
          <w:p w14:paraId="68367A76"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13 708,4</w:t>
            </w:r>
          </w:p>
        </w:tc>
        <w:tc>
          <w:tcPr>
            <w:tcW w:w="1116" w:type="dxa"/>
            <w:shd w:val="clear" w:color="auto" w:fill="auto"/>
            <w:vAlign w:val="center"/>
          </w:tcPr>
          <w:p w14:paraId="0D04EC3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13 735,0</w:t>
            </w:r>
          </w:p>
        </w:tc>
        <w:tc>
          <w:tcPr>
            <w:tcW w:w="1104" w:type="dxa"/>
            <w:shd w:val="clear" w:color="auto" w:fill="auto"/>
            <w:vAlign w:val="bottom"/>
          </w:tcPr>
          <w:p w14:paraId="10E7C52B"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34,4</w:t>
            </w:r>
          </w:p>
        </w:tc>
        <w:tc>
          <w:tcPr>
            <w:tcW w:w="704" w:type="dxa"/>
            <w:shd w:val="clear" w:color="auto" w:fill="auto"/>
            <w:vAlign w:val="bottom"/>
          </w:tcPr>
          <w:p w14:paraId="2683B06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0,3</w:t>
            </w:r>
          </w:p>
        </w:tc>
      </w:tr>
    </w:tbl>
    <w:p w14:paraId="3ABA7098" w14:textId="77777777" w:rsidR="000A095E" w:rsidRPr="00FD7B0B" w:rsidRDefault="000A095E" w:rsidP="00205BFC">
      <w:pPr>
        <w:spacing w:after="0" w:line="240" w:lineRule="auto"/>
        <w:ind w:firstLine="709"/>
        <w:contextualSpacing/>
        <w:jc w:val="both"/>
        <w:rPr>
          <w:rFonts w:ascii="Times New Roman" w:eastAsia="Times New Roman" w:hAnsi="Times New Roman" w:cs="Times New Roman"/>
          <w:sz w:val="28"/>
          <w:szCs w:val="28"/>
          <w:lang w:eastAsia="ru-RU"/>
        </w:rPr>
      </w:pPr>
    </w:p>
    <w:p w14:paraId="6D6E8BCF" w14:textId="69B01D1D"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Уточненной сводной бюджетной росписью областного бюджета на 31.12.2024 расходы на реализацию показателей ГП № 01 утверждены в общей сумме 23 780,2 млн.руб., что на 356,7 млн.руб. или на 1,5</w:t>
      </w:r>
      <w:r w:rsidR="000A095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больше параметров, утвержденные областным законом «Об областном бюджете» в редакции, действующей на 31.12.2024. Указанное отклонение обусловлено в основном доведением (отзывом) лимитов бюджетных обязательств расходными расписаниями от главных распорядителей средств федерального бюджета.</w:t>
      </w:r>
    </w:p>
    <w:p w14:paraId="44F682AE"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Согласно отчету о реализации мероприятий госпрограммы за 2024 год расходы за счет средств бюджета составили 23 736,9 млн.руб. или 99,8% к утвержденным сводной бюджетной росписью параметрам на 2024 год. </w:t>
      </w:r>
    </w:p>
    <w:p w14:paraId="6CC87E4C" w14:textId="69D79EEF"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Расходы областного бюджета на реализацию госпрограммы за 2024 год, а также параметры, утвержденные на 2024 год в разрезе главных распорядителей и подгрупп видов расходов, представлены в таблице </w:t>
      </w:r>
      <w:r w:rsidR="00A54700" w:rsidRPr="00FD7B0B">
        <w:rPr>
          <w:rFonts w:ascii="Times New Roman" w:eastAsia="Times New Roman" w:hAnsi="Times New Roman" w:cs="Times New Roman"/>
          <w:sz w:val="28"/>
          <w:szCs w:val="28"/>
          <w:lang w:eastAsia="ru-RU"/>
        </w:rPr>
        <w:t>80</w:t>
      </w:r>
      <w:r w:rsidRPr="00FD7B0B">
        <w:rPr>
          <w:rFonts w:ascii="Times New Roman" w:eastAsia="Times New Roman" w:hAnsi="Times New Roman" w:cs="Times New Roman"/>
          <w:sz w:val="28"/>
          <w:szCs w:val="28"/>
          <w:lang w:eastAsia="ru-RU"/>
        </w:rPr>
        <w:t>.</w:t>
      </w:r>
    </w:p>
    <w:p w14:paraId="4ECA0995" w14:textId="77777777" w:rsidR="00972C77" w:rsidRPr="00FD7B0B" w:rsidRDefault="00972C77" w:rsidP="00972C77">
      <w:pPr>
        <w:spacing w:after="0" w:line="240" w:lineRule="auto"/>
        <w:rPr>
          <w:rFonts w:ascii="Times New Roman" w:eastAsia="Calibri" w:hAnsi="Times New Roman" w:cs="Times New Roman"/>
          <w:sz w:val="24"/>
          <w:szCs w:val="24"/>
        </w:rPr>
      </w:pPr>
    </w:p>
    <w:p w14:paraId="62A22983" w14:textId="77777777" w:rsidR="00205BFC" w:rsidRPr="00FD7B0B" w:rsidRDefault="00205BFC" w:rsidP="00972C77">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80</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Основные параметры утвержденных и исполненных расходов из областного бюджета за 2024 год на реализацию мероприятий ГП № 01</w:t>
      </w:r>
    </w:p>
    <w:tbl>
      <w:tblPr>
        <w:tblW w:w="9617" w:type="dxa"/>
        <w:jc w:val="center"/>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Look w:val="04A0" w:firstRow="1" w:lastRow="0" w:firstColumn="1" w:lastColumn="0" w:noHBand="0" w:noVBand="1"/>
      </w:tblPr>
      <w:tblGrid>
        <w:gridCol w:w="3663"/>
        <w:gridCol w:w="567"/>
        <w:gridCol w:w="1276"/>
        <w:gridCol w:w="1559"/>
        <w:gridCol w:w="1134"/>
        <w:gridCol w:w="1418"/>
      </w:tblGrid>
      <w:tr w:rsidR="00FD7B0B" w:rsidRPr="00FD7B0B" w14:paraId="680B529F" w14:textId="77777777" w:rsidTr="00972C77">
        <w:trPr>
          <w:trHeight w:val="480"/>
          <w:tblHeader/>
          <w:jc w:val="center"/>
        </w:trPr>
        <w:tc>
          <w:tcPr>
            <w:tcW w:w="3663" w:type="dxa"/>
            <w:vMerge w:val="restart"/>
            <w:shd w:val="clear" w:color="auto" w:fill="auto"/>
            <w:vAlign w:val="center"/>
            <w:hideMark/>
          </w:tcPr>
          <w:p w14:paraId="021F62D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Главный распорядитель, подгруппы видов расходов</w:t>
            </w:r>
          </w:p>
        </w:tc>
        <w:tc>
          <w:tcPr>
            <w:tcW w:w="567" w:type="dxa"/>
            <w:vMerge w:val="restart"/>
            <w:shd w:val="clear" w:color="auto" w:fill="auto"/>
            <w:vAlign w:val="center"/>
            <w:hideMark/>
          </w:tcPr>
          <w:p w14:paraId="091F297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Код вида расходов</w:t>
            </w:r>
          </w:p>
        </w:tc>
        <w:tc>
          <w:tcPr>
            <w:tcW w:w="2835" w:type="dxa"/>
            <w:gridSpan w:val="2"/>
            <w:shd w:val="clear" w:color="auto" w:fill="auto"/>
            <w:vAlign w:val="center"/>
            <w:hideMark/>
          </w:tcPr>
          <w:p w14:paraId="0B87B5C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 2024 года на 31.12.2024, млн.руб.</w:t>
            </w:r>
          </w:p>
        </w:tc>
        <w:tc>
          <w:tcPr>
            <w:tcW w:w="2552" w:type="dxa"/>
            <w:gridSpan w:val="2"/>
            <w:shd w:val="clear" w:color="auto" w:fill="auto"/>
            <w:vAlign w:val="center"/>
            <w:hideMark/>
          </w:tcPr>
          <w:p w14:paraId="70542B3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на 31.12.2024</w:t>
            </w:r>
          </w:p>
        </w:tc>
      </w:tr>
      <w:tr w:rsidR="00FD7B0B" w:rsidRPr="00FD7B0B" w14:paraId="63B35AB7" w14:textId="77777777" w:rsidTr="00972C77">
        <w:trPr>
          <w:trHeight w:val="1455"/>
          <w:tblHeader/>
          <w:jc w:val="center"/>
        </w:trPr>
        <w:tc>
          <w:tcPr>
            <w:tcW w:w="3663" w:type="dxa"/>
            <w:vMerge/>
            <w:vAlign w:val="center"/>
            <w:hideMark/>
          </w:tcPr>
          <w:p w14:paraId="156D8F2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567" w:type="dxa"/>
            <w:vMerge/>
            <w:vAlign w:val="center"/>
            <w:hideMark/>
          </w:tcPr>
          <w:p w14:paraId="2718B80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276" w:type="dxa"/>
            <w:shd w:val="clear" w:color="auto" w:fill="auto"/>
            <w:vAlign w:val="center"/>
            <w:hideMark/>
          </w:tcPr>
          <w:p w14:paraId="7A580874"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Утверждено на год законом о бюджете</w:t>
            </w:r>
          </w:p>
        </w:tc>
        <w:tc>
          <w:tcPr>
            <w:tcW w:w="1559" w:type="dxa"/>
            <w:shd w:val="clear" w:color="auto" w:fill="auto"/>
            <w:vAlign w:val="center"/>
            <w:hideMark/>
          </w:tcPr>
          <w:p w14:paraId="1E49414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Сводная бюджетная роспись на 2024 год</w:t>
            </w:r>
          </w:p>
        </w:tc>
        <w:tc>
          <w:tcPr>
            <w:tcW w:w="1134" w:type="dxa"/>
            <w:shd w:val="clear" w:color="auto" w:fill="auto"/>
            <w:vAlign w:val="center"/>
            <w:hideMark/>
          </w:tcPr>
          <w:p w14:paraId="7B5A137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1418" w:type="dxa"/>
            <w:shd w:val="clear" w:color="auto" w:fill="auto"/>
            <w:vAlign w:val="center"/>
            <w:hideMark/>
          </w:tcPr>
          <w:p w14:paraId="49A896F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 % к уточненной сводной бюджетной росписи на год</w:t>
            </w:r>
          </w:p>
        </w:tc>
      </w:tr>
      <w:tr w:rsidR="00FD7B0B" w:rsidRPr="00FD7B0B" w14:paraId="43B7095A" w14:textId="77777777" w:rsidTr="00972C77">
        <w:trPr>
          <w:trHeight w:val="218"/>
          <w:jc w:val="center"/>
        </w:trPr>
        <w:tc>
          <w:tcPr>
            <w:tcW w:w="3663" w:type="dxa"/>
            <w:shd w:val="clear" w:color="auto" w:fill="auto"/>
            <w:vAlign w:val="center"/>
            <w:hideMark/>
          </w:tcPr>
          <w:p w14:paraId="72ABFD0A"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минздрав АО</w:t>
            </w:r>
          </w:p>
        </w:tc>
        <w:tc>
          <w:tcPr>
            <w:tcW w:w="567" w:type="dxa"/>
            <w:shd w:val="clear" w:color="auto" w:fill="auto"/>
            <w:vAlign w:val="center"/>
            <w:hideMark/>
          </w:tcPr>
          <w:p w14:paraId="4B174B5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1276" w:type="dxa"/>
            <w:shd w:val="clear" w:color="auto" w:fill="auto"/>
            <w:vAlign w:val="center"/>
            <w:hideMark/>
          </w:tcPr>
          <w:p w14:paraId="57B11E7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1559" w:type="dxa"/>
            <w:shd w:val="clear" w:color="auto" w:fill="auto"/>
            <w:vAlign w:val="center"/>
            <w:hideMark/>
          </w:tcPr>
          <w:p w14:paraId="40E9C1D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1134" w:type="dxa"/>
            <w:shd w:val="clear" w:color="auto" w:fill="auto"/>
            <w:vAlign w:val="center"/>
            <w:hideMark/>
          </w:tcPr>
          <w:p w14:paraId="62BE71C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1418" w:type="dxa"/>
            <w:shd w:val="clear" w:color="auto" w:fill="auto"/>
            <w:vAlign w:val="center"/>
            <w:hideMark/>
          </w:tcPr>
          <w:p w14:paraId="3F1FD83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r>
      <w:tr w:rsidR="00FD7B0B" w:rsidRPr="00FD7B0B" w14:paraId="5E9D68E8" w14:textId="77777777" w:rsidTr="00972C77">
        <w:trPr>
          <w:trHeight w:val="107"/>
          <w:jc w:val="center"/>
        </w:trPr>
        <w:tc>
          <w:tcPr>
            <w:tcW w:w="3663" w:type="dxa"/>
            <w:shd w:val="clear" w:color="auto" w:fill="auto"/>
            <w:vAlign w:val="center"/>
            <w:hideMark/>
          </w:tcPr>
          <w:p w14:paraId="5FEEAB31"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shd w:val="clear" w:color="auto" w:fill="auto"/>
            <w:vAlign w:val="center"/>
            <w:hideMark/>
          </w:tcPr>
          <w:p w14:paraId="622A6D6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276" w:type="dxa"/>
            <w:shd w:val="clear" w:color="auto" w:fill="auto"/>
            <w:vAlign w:val="center"/>
          </w:tcPr>
          <w:p w14:paraId="10B4439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534,5</w:t>
            </w:r>
          </w:p>
        </w:tc>
        <w:tc>
          <w:tcPr>
            <w:tcW w:w="1559" w:type="dxa"/>
            <w:shd w:val="clear" w:color="000000" w:fill="FFFFFF"/>
            <w:vAlign w:val="center"/>
          </w:tcPr>
          <w:p w14:paraId="6E91C7A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534,9</w:t>
            </w:r>
          </w:p>
        </w:tc>
        <w:tc>
          <w:tcPr>
            <w:tcW w:w="1134" w:type="dxa"/>
            <w:shd w:val="clear" w:color="auto" w:fill="auto"/>
            <w:vAlign w:val="center"/>
          </w:tcPr>
          <w:p w14:paraId="69A53CA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534,8</w:t>
            </w:r>
          </w:p>
        </w:tc>
        <w:tc>
          <w:tcPr>
            <w:tcW w:w="1418" w:type="dxa"/>
            <w:shd w:val="clear" w:color="auto" w:fill="auto"/>
            <w:vAlign w:val="center"/>
          </w:tcPr>
          <w:p w14:paraId="03152E4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DEFE84D" w14:textId="77777777" w:rsidTr="00972C77">
        <w:trPr>
          <w:trHeight w:val="140"/>
          <w:jc w:val="center"/>
        </w:trPr>
        <w:tc>
          <w:tcPr>
            <w:tcW w:w="3663" w:type="dxa"/>
            <w:shd w:val="clear" w:color="auto" w:fill="auto"/>
            <w:vAlign w:val="center"/>
            <w:hideMark/>
          </w:tcPr>
          <w:p w14:paraId="57CE6393"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Закупка товаров, работ и услуг для обеспечения государственных (муниципальных) нужд</w:t>
            </w:r>
          </w:p>
        </w:tc>
        <w:tc>
          <w:tcPr>
            <w:tcW w:w="567" w:type="dxa"/>
            <w:shd w:val="clear" w:color="auto" w:fill="auto"/>
            <w:vAlign w:val="center"/>
            <w:hideMark/>
          </w:tcPr>
          <w:p w14:paraId="23CEE05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w:t>
            </w:r>
          </w:p>
        </w:tc>
        <w:tc>
          <w:tcPr>
            <w:tcW w:w="1276" w:type="dxa"/>
            <w:shd w:val="clear" w:color="auto" w:fill="auto"/>
            <w:vAlign w:val="center"/>
          </w:tcPr>
          <w:p w14:paraId="5281063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351,0</w:t>
            </w:r>
          </w:p>
        </w:tc>
        <w:tc>
          <w:tcPr>
            <w:tcW w:w="1559" w:type="dxa"/>
            <w:shd w:val="clear" w:color="000000" w:fill="FFFFFF"/>
            <w:vAlign w:val="center"/>
          </w:tcPr>
          <w:p w14:paraId="3AD8C7B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245,8</w:t>
            </w:r>
          </w:p>
        </w:tc>
        <w:tc>
          <w:tcPr>
            <w:tcW w:w="1134" w:type="dxa"/>
            <w:shd w:val="clear" w:color="auto" w:fill="auto"/>
            <w:vAlign w:val="center"/>
          </w:tcPr>
          <w:p w14:paraId="2973BAB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240,5</w:t>
            </w:r>
          </w:p>
        </w:tc>
        <w:tc>
          <w:tcPr>
            <w:tcW w:w="1418" w:type="dxa"/>
            <w:shd w:val="clear" w:color="auto" w:fill="auto"/>
            <w:vAlign w:val="center"/>
          </w:tcPr>
          <w:p w14:paraId="57CEA72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97,9</w:t>
            </w:r>
          </w:p>
        </w:tc>
      </w:tr>
      <w:tr w:rsidR="00FD7B0B" w:rsidRPr="00FD7B0B" w14:paraId="3EA7F867" w14:textId="77777777" w:rsidTr="00972C77">
        <w:trPr>
          <w:trHeight w:val="185"/>
          <w:jc w:val="center"/>
        </w:trPr>
        <w:tc>
          <w:tcPr>
            <w:tcW w:w="3663" w:type="dxa"/>
            <w:shd w:val="clear" w:color="auto" w:fill="auto"/>
            <w:vAlign w:val="center"/>
            <w:hideMark/>
          </w:tcPr>
          <w:p w14:paraId="67AF96FB"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Социальное обеспечение и иные выплаты населению</w:t>
            </w:r>
          </w:p>
        </w:tc>
        <w:tc>
          <w:tcPr>
            <w:tcW w:w="567" w:type="dxa"/>
            <w:shd w:val="clear" w:color="auto" w:fill="auto"/>
            <w:vAlign w:val="center"/>
            <w:hideMark/>
          </w:tcPr>
          <w:p w14:paraId="5640003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300</w:t>
            </w:r>
          </w:p>
        </w:tc>
        <w:tc>
          <w:tcPr>
            <w:tcW w:w="1276" w:type="dxa"/>
            <w:shd w:val="clear" w:color="auto" w:fill="auto"/>
            <w:vAlign w:val="center"/>
          </w:tcPr>
          <w:p w14:paraId="70540594"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13 713,9</w:t>
            </w:r>
          </w:p>
        </w:tc>
        <w:tc>
          <w:tcPr>
            <w:tcW w:w="1559" w:type="dxa"/>
            <w:shd w:val="clear" w:color="000000" w:fill="FFFFFF"/>
            <w:vAlign w:val="center"/>
          </w:tcPr>
          <w:p w14:paraId="6266FE4B"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14 039,1</w:t>
            </w:r>
          </w:p>
        </w:tc>
        <w:tc>
          <w:tcPr>
            <w:tcW w:w="1134" w:type="dxa"/>
            <w:shd w:val="clear" w:color="auto" w:fill="auto"/>
            <w:vAlign w:val="center"/>
          </w:tcPr>
          <w:p w14:paraId="2436631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14 037,1</w:t>
            </w:r>
          </w:p>
        </w:tc>
        <w:tc>
          <w:tcPr>
            <w:tcW w:w="1418" w:type="dxa"/>
            <w:shd w:val="clear" w:color="auto" w:fill="auto"/>
            <w:vAlign w:val="center"/>
          </w:tcPr>
          <w:p w14:paraId="5583DC5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F10BE74" w14:textId="77777777" w:rsidTr="00972C77">
        <w:trPr>
          <w:trHeight w:val="218"/>
          <w:jc w:val="center"/>
        </w:trPr>
        <w:tc>
          <w:tcPr>
            <w:tcW w:w="3663" w:type="dxa"/>
            <w:shd w:val="clear" w:color="auto" w:fill="auto"/>
            <w:vAlign w:val="center"/>
            <w:hideMark/>
          </w:tcPr>
          <w:p w14:paraId="4CF14D40"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Капитальные вложения в объекты государственной (муниципальной) собственности</w:t>
            </w:r>
          </w:p>
        </w:tc>
        <w:tc>
          <w:tcPr>
            <w:tcW w:w="567" w:type="dxa"/>
            <w:shd w:val="clear" w:color="auto" w:fill="auto"/>
            <w:vAlign w:val="center"/>
            <w:hideMark/>
          </w:tcPr>
          <w:p w14:paraId="602D752D"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400</w:t>
            </w:r>
          </w:p>
        </w:tc>
        <w:tc>
          <w:tcPr>
            <w:tcW w:w="1276" w:type="dxa"/>
            <w:shd w:val="clear" w:color="auto" w:fill="auto"/>
            <w:vAlign w:val="center"/>
          </w:tcPr>
          <w:p w14:paraId="4AF532E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559" w:type="dxa"/>
            <w:shd w:val="clear" w:color="000000" w:fill="FFFFFF"/>
            <w:vAlign w:val="center"/>
          </w:tcPr>
          <w:p w14:paraId="3BAE0BC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200,8</w:t>
            </w:r>
          </w:p>
        </w:tc>
        <w:tc>
          <w:tcPr>
            <w:tcW w:w="1134" w:type="dxa"/>
            <w:shd w:val="clear" w:color="auto" w:fill="auto"/>
            <w:vAlign w:val="center"/>
          </w:tcPr>
          <w:p w14:paraId="1F05A41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200,8</w:t>
            </w:r>
          </w:p>
        </w:tc>
        <w:tc>
          <w:tcPr>
            <w:tcW w:w="1418" w:type="dxa"/>
            <w:shd w:val="clear" w:color="auto" w:fill="auto"/>
            <w:vAlign w:val="center"/>
          </w:tcPr>
          <w:p w14:paraId="3673AF1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0FD8EE6" w14:textId="77777777" w:rsidTr="00972C77">
        <w:trPr>
          <w:trHeight w:val="139"/>
          <w:jc w:val="center"/>
        </w:trPr>
        <w:tc>
          <w:tcPr>
            <w:tcW w:w="3663" w:type="dxa"/>
            <w:shd w:val="clear" w:color="auto" w:fill="auto"/>
            <w:vAlign w:val="center"/>
            <w:hideMark/>
          </w:tcPr>
          <w:p w14:paraId="10672B5B"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Межбюджетные трансферты</w:t>
            </w:r>
          </w:p>
        </w:tc>
        <w:tc>
          <w:tcPr>
            <w:tcW w:w="567" w:type="dxa"/>
            <w:shd w:val="clear" w:color="auto" w:fill="auto"/>
            <w:vAlign w:val="center"/>
            <w:hideMark/>
          </w:tcPr>
          <w:p w14:paraId="60F6F2E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500</w:t>
            </w:r>
          </w:p>
        </w:tc>
        <w:tc>
          <w:tcPr>
            <w:tcW w:w="1276" w:type="dxa"/>
            <w:shd w:val="clear" w:color="auto" w:fill="auto"/>
            <w:vAlign w:val="center"/>
          </w:tcPr>
          <w:p w14:paraId="7CD1BEF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559" w:type="dxa"/>
            <w:shd w:val="clear" w:color="000000" w:fill="FFFFFF"/>
            <w:vAlign w:val="center"/>
          </w:tcPr>
          <w:p w14:paraId="1598004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134" w:type="dxa"/>
            <w:shd w:val="clear" w:color="auto" w:fill="auto"/>
            <w:vAlign w:val="center"/>
          </w:tcPr>
          <w:p w14:paraId="034F185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418" w:type="dxa"/>
            <w:shd w:val="clear" w:color="auto" w:fill="auto"/>
            <w:vAlign w:val="center"/>
          </w:tcPr>
          <w:p w14:paraId="0C65306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460A0578" w14:textId="77777777" w:rsidTr="00972C77">
        <w:trPr>
          <w:trHeight w:val="139"/>
          <w:jc w:val="center"/>
        </w:trPr>
        <w:tc>
          <w:tcPr>
            <w:tcW w:w="3663" w:type="dxa"/>
            <w:shd w:val="clear" w:color="auto" w:fill="auto"/>
            <w:vAlign w:val="center"/>
            <w:hideMark/>
          </w:tcPr>
          <w:p w14:paraId="3A5FC49E"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Предоставление субсидий бюджетным, автономным учреждениям и иным некоммерческим организациям</w:t>
            </w:r>
          </w:p>
        </w:tc>
        <w:tc>
          <w:tcPr>
            <w:tcW w:w="567" w:type="dxa"/>
            <w:shd w:val="clear" w:color="auto" w:fill="auto"/>
            <w:vAlign w:val="center"/>
            <w:hideMark/>
          </w:tcPr>
          <w:p w14:paraId="0706BF6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600</w:t>
            </w:r>
          </w:p>
        </w:tc>
        <w:tc>
          <w:tcPr>
            <w:tcW w:w="1276" w:type="dxa"/>
            <w:shd w:val="clear" w:color="auto" w:fill="auto"/>
            <w:vAlign w:val="center"/>
          </w:tcPr>
          <w:p w14:paraId="28E96DB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8 598,4</w:t>
            </w:r>
          </w:p>
        </w:tc>
        <w:tc>
          <w:tcPr>
            <w:tcW w:w="1559" w:type="dxa"/>
            <w:shd w:val="clear" w:color="000000" w:fill="FFFFFF"/>
            <w:vAlign w:val="center"/>
          </w:tcPr>
          <w:p w14:paraId="1E21FDA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8 453,3</w:t>
            </w:r>
          </w:p>
        </w:tc>
        <w:tc>
          <w:tcPr>
            <w:tcW w:w="1134" w:type="dxa"/>
            <w:shd w:val="clear" w:color="auto" w:fill="auto"/>
            <w:vAlign w:val="center"/>
          </w:tcPr>
          <w:p w14:paraId="190C23FE"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8 434,9</w:t>
            </w:r>
          </w:p>
        </w:tc>
        <w:tc>
          <w:tcPr>
            <w:tcW w:w="1418" w:type="dxa"/>
            <w:shd w:val="clear" w:color="auto" w:fill="auto"/>
            <w:vAlign w:val="center"/>
          </w:tcPr>
          <w:p w14:paraId="01CD8F9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r>
      <w:tr w:rsidR="00FD7B0B" w:rsidRPr="00FD7B0B" w14:paraId="24207EFE" w14:textId="77777777" w:rsidTr="00972C77">
        <w:trPr>
          <w:trHeight w:val="186"/>
          <w:jc w:val="center"/>
        </w:trPr>
        <w:tc>
          <w:tcPr>
            <w:tcW w:w="3663" w:type="dxa"/>
            <w:shd w:val="clear" w:color="auto" w:fill="auto"/>
            <w:vAlign w:val="center"/>
            <w:hideMark/>
          </w:tcPr>
          <w:p w14:paraId="0980AB3C"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Иные бюджетные ассигнования</w:t>
            </w:r>
          </w:p>
        </w:tc>
        <w:tc>
          <w:tcPr>
            <w:tcW w:w="567" w:type="dxa"/>
            <w:shd w:val="clear" w:color="auto" w:fill="auto"/>
            <w:vAlign w:val="center"/>
            <w:hideMark/>
          </w:tcPr>
          <w:p w14:paraId="2835D0B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800</w:t>
            </w:r>
          </w:p>
        </w:tc>
        <w:tc>
          <w:tcPr>
            <w:tcW w:w="1276" w:type="dxa"/>
            <w:shd w:val="clear" w:color="auto" w:fill="auto"/>
            <w:vAlign w:val="center"/>
          </w:tcPr>
          <w:p w14:paraId="33951E54"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8,6</w:t>
            </w:r>
          </w:p>
        </w:tc>
        <w:tc>
          <w:tcPr>
            <w:tcW w:w="1559" w:type="dxa"/>
            <w:shd w:val="clear" w:color="000000" w:fill="FFFFFF"/>
            <w:vAlign w:val="center"/>
          </w:tcPr>
          <w:p w14:paraId="7AB93D2D"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35,7</w:t>
            </w:r>
          </w:p>
        </w:tc>
        <w:tc>
          <w:tcPr>
            <w:tcW w:w="1134" w:type="dxa"/>
            <w:shd w:val="clear" w:color="auto" w:fill="auto"/>
            <w:vAlign w:val="center"/>
          </w:tcPr>
          <w:p w14:paraId="2F6CDE2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35,6</w:t>
            </w:r>
          </w:p>
        </w:tc>
        <w:tc>
          <w:tcPr>
            <w:tcW w:w="1418" w:type="dxa"/>
            <w:shd w:val="clear" w:color="auto" w:fill="auto"/>
            <w:vAlign w:val="center"/>
          </w:tcPr>
          <w:p w14:paraId="7E948E3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r>
      <w:tr w:rsidR="00FD7B0B" w:rsidRPr="00FD7B0B" w14:paraId="262970E0" w14:textId="77777777" w:rsidTr="00972C77">
        <w:trPr>
          <w:trHeight w:val="217"/>
          <w:jc w:val="center"/>
        </w:trPr>
        <w:tc>
          <w:tcPr>
            <w:tcW w:w="3663" w:type="dxa"/>
            <w:shd w:val="clear" w:color="auto" w:fill="auto"/>
            <w:vAlign w:val="center"/>
            <w:hideMark/>
          </w:tcPr>
          <w:p w14:paraId="0DB493F1"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Контрактуемые расходы, всего </w:t>
            </w:r>
          </w:p>
        </w:tc>
        <w:tc>
          <w:tcPr>
            <w:tcW w:w="567" w:type="dxa"/>
            <w:shd w:val="clear" w:color="auto" w:fill="auto"/>
            <w:vAlign w:val="center"/>
            <w:hideMark/>
          </w:tcPr>
          <w:p w14:paraId="639C4AD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276" w:type="dxa"/>
            <w:shd w:val="clear" w:color="auto" w:fill="auto"/>
            <w:vAlign w:val="center"/>
          </w:tcPr>
          <w:p w14:paraId="7DEFB5C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559" w:type="dxa"/>
            <w:shd w:val="clear" w:color="auto" w:fill="auto"/>
            <w:vAlign w:val="center"/>
          </w:tcPr>
          <w:p w14:paraId="701C87EC"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auto" w:fill="auto"/>
            <w:vAlign w:val="center"/>
          </w:tcPr>
          <w:p w14:paraId="11976EA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418" w:type="dxa"/>
            <w:shd w:val="clear" w:color="auto" w:fill="auto"/>
            <w:vAlign w:val="center"/>
          </w:tcPr>
          <w:p w14:paraId="797C071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7704E631" w14:textId="77777777" w:rsidTr="00972C77">
        <w:trPr>
          <w:trHeight w:val="249"/>
          <w:jc w:val="center"/>
        </w:trPr>
        <w:tc>
          <w:tcPr>
            <w:tcW w:w="3663" w:type="dxa"/>
            <w:shd w:val="clear" w:color="auto" w:fill="auto"/>
            <w:vAlign w:val="center"/>
            <w:hideMark/>
          </w:tcPr>
          <w:p w14:paraId="1EDC01BE"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т.ч.</w:t>
            </w:r>
          </w:p>
        </w:tc>
        <w:tc>
          <w:tcPr>
            <w:tcW w:w="567" w:type="dxa"/>
            <w:shd w:val="clear" w:color="auto" w:fill="auto"/>
            <w:vAlign w:val="center"/>
            <w:hideMark/>
          </w:tcPr>
          <w:p w14:paraId="793B8A9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х</w:t>
            </w:r>
          </w:p>
        </w:tc>
        <w:tc>
          <w:tcPr>
            <w:tcW w:w="1276" w:type="dxa"/>
            <w:shd w:val="clear" w:color="auto" w:fill="auto"/>
            <w:vAlign w:val="center"/>
          </w:tcPr>
          <w:p w14:paraId="7C41E33B"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559" w:type="dxa"/>
            <w:shd w:val="clear" w:color="auto" w:fill="auto"/>
            <w:vAlign w:val="center"/>
          </w:tcPr>
          <w:p w14:paraId="06B736D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auto" w:fill="auto"/>
            <w:vAlign w:val="center"/>
          </w:tcPr>
          <w:p w14:paraId="3DBE7E1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418" w:type="dxa"/>
            <w:shd w:val="clear" w:color="auto" w:fill="auto"/>
            <w:vAlign w:val="center"/>
          </w:tcPr>
          <w:p w14:paraId="4FF7F87E"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561F071A" w14:textId="77777777" w:rsidTr="00972C77">
        <w:trPr>
          <w:trHeight w:val="140"/>
          <w:jc w:val="center"/>
        </w:trPr>
        <w:tc>
          <w:tcPr>
            <w:tcW w:w="3663" w:type="dxa"/>
            <w:shd w:val="clear" w:color="auto" w:fill="auto"/>
            <w:vAlign w:val="center"/>
            <w:hideMark/>
          </w:tcPr>
          <w:p w14:paraId="11FFDFA3"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-закупка товаров, работ и услуг для обеспечения государственных (муниципальных) нужд</w:t>
            </w:r>
          </w:p>
        </w:tc>
        <w:tc>
          <w:tcPr>
            <w:tcW w:w="567" w:type="dxa"/>
            <w:shd w:val="clear" w:color="auto" w:fill="auto"/>
            <w:vAlign w:val="center"/>
            <w:hideMark/>
          </w:tcPr>
          <w:p w14:paraId="2033312E"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w:t>
            </w:r>
          </w:p>
        </w:tc>
        <w:tc>
          <w:tcPr>
            <w:tcW w:w="1276" w:type="dxa"/>
            <w:shd w:val="clear" w:color="auto" w:fill="auto"/>
            <w:vAlign w:val="center"/>
          </w:tcPr>
          <w:p w14:paraId="66F277B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351,0</w:t>
            </w:r>
          </w:p>
        </w:tc>
        <w:tc>
          <w:tcPr>
            <w:tcW w:w="1559" w:type="dxa"/>
            <w:shd w:val="clear" w:color="000000" w:fill="FFFFFF"/>
            <w:vAlign w:val="center"/>
          </w:tcPr>
          <w:p w14:paraId="7EE6B42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245,8</w:t>
            </w:r>
          </w:p>
        </w:tc>
        <w:tc>
          <w:tcPr>
            <w:tcW w:w="1134" w:type="dxa"/>
            <w:shd w:val="clear" w:color="auto" w:fill="auto"/>
            <w:vAlign w:val="center"/>
          </w:tcPr>
          <w:p w14:paraId="739A9A8D"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240,5</w:t>
            </w:r>
          </w:p>
        </w:tc>
        <w:tc>
          <w:tcPr>
            <w:tcW w:w="1418" w:type="dxa"/>
            <w:shd w:val="clear" w:color="auto" w:fill="auto"/>
            <w:vAlign w:val="center"/>
          </w:tcPr>
          <w:p w14:paraId="0D2817A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97,9</w:t>
            </w:r>
          </w:p>
        </w:tc>
      </w:tr>
      <w:tr w:rsidR="00FD7B0B" w:rsidRPr="00FD7B0B" w14:paraId="1E8ABCF3" w14:textId="77777777" w:rsidTr="00972C77">
        <w:trPr>
          <w:trHeight w:val="509"/>
          <w:jc w:val="center"/>
        </w:trPr>
        <w:tc>
          <w:tcPr>
            <w:tcW w:w="3663" w:type="dxa"/>
            <w:shd w:val="clear" w:color="auto" w:fill="auto"/>
            <w:vAlign w:val="center"/>
            <w:hideMark/>
          </w:tcPr>
          <w:p w14:paraId="7F605033"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приобретение товаров, работ, услуг в пользу граждан</w:t>
            </w:r>
          </w:p>
        </w:tc>
        <w:tc>
          <w:tcPr>
            <w:tcW w:w="567" w:type="dxa"/>
            <w:shd w:val="clear" w:color="auto" w:fill="auto"/>
            <w:vAlign w:val="center"/>
            <w:hideMark/>
          </w:tcPr>
          <w:p w14:paraId="2CF1B9F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321,323</w:t>
            </w:r>
          </w:p>
        </w:tc>
        <w:tc>
          <w:tcPr>
            <w:tcW w:w="1276" w:type="dxa"/>
            <w:shd w:val="clear" w:color="auto" w:fill="auto"/>
            <w:noWrap/>
            <w:vAlign w:val="center"/>
          </w:tcPr>
          <w:p w14:paraId="507872A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3588,8</w:t>
            </w:r>
          </w:p>
        </w:tc>
        <w:tc>
          <w:tcPr>
            <w:tcW w:w="1559" w:type="dxa"/>
            <w:shd w:val="clear" w:color="auto" w:fill="auto"/>
            <w:vAlign w:val="center"/>
          </w:tcPr>
          <w:p w14:paraId="37D256E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3821,1</w:t>
            </w:r>
          </w:p>
        </w:tc>
        <w:tc>
          <w:tcPr>
            <w:tcW w:w="1134" w:type="dxa"/>
            <w:shd w:val="clear" w:color="auto" w:fill="auto"/>
            <w:vAlign w:val="center"/>
          </w:tcPr>
          <w:p w14:paraId="1B5D335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3 821,0</w:t>
            </w:r>
          </w:p>
        </w:tc>
        <w:tc>
          <w:tcPr>
            <w:tcW w:w="1418" w:type="dxa"/>
            <w:shd w:val="clear" w:color="auto" w:fill="auto"/>
            <w:vAlign w:val="center"/>
          </w:tcPr>
          <w:p w14:paraId="61874C6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2C15157" w14:textId="77777777" w:rsidTr="00972C77">
        <w:trPr>
          <w:trHeight w:val="50"/>
          <w:jc w:val="center"/>
        </w:trPr>
        <w:tc>
          <w:tcPr>
            <w:tcW w:w="3663" w:type="dxa"/>
            <w:shd w:val="clear" w:color="auto" w:fill="auto"/>
            <w:vAlign w:val="center"/>
            <w:hideMark/>
          </w:tcPr>
          <w:p w14:paraId="4B7F6C3A"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капитальные вложения</w:t>
            </w:r>
          </w:p>
        </w:tc>
        <w:tc>
          <w:tcPr>
            <w:tcW w:w="567" w:type="dxa"/>
            <w:shd w:val="clear" w:color="auto" w:fill="auto"/>
            <w:vAlign w:val="center"/>
            <w:hideMark/>
          </w:tcPr>
          <w:p w14:paraId="7267BE84"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400</w:t>
            </w:r>
          </w:p>
        </w:tc>
        <w:tc>
          <w:tcPr>
            <w:tcW w:w="1276" w:type="dxa"/>
            <w:shd w:val="clear" w:color="auto" w:fill="auto"/>
            <w:vAlign w:val="center"/>
          </w:tcPr>
          <w:p w14:paraId="1104B8CE"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559" w:type="dxa"/>
            <w:shd w:val="clear" w:color="000000" w:fill="FFFFFF"/>
            <w:vAlign w:val="center"/>
          </w:tcPr>
          <w:p w14:paraId="7D326B3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200,8</w:t>
            </w:r>
          </w:p>
        </w:tc>
        <w:tc>
          <w:tcPr>
            <w:tcW w:w="1134" w:type="dxa"/>
            <w:shd w:val="clear" w:color="auto" w:fill="auto"/>
            <w:vAlign w:val="center"/>
          </w:tcPr>
          <w:p w14:paraId="1247CF3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200,8</w:t>
            </w:r>
          </w:p>
        </w:tc>
        <w:tc>
          <w:tcPr>
            <w:tcW w:w="1418" w:type="dxa"/>
            <w:shd w:val="clear" w:color="auto" w:fill="auto"/>
            <w:vAlign w:val="center"/>
          </w:tcPr>
          <w:p w14:paraId="67E40C8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67DCCD51" w14:textId="77777777" w:rsidTr="00972C77">
        <w:trPr>
          <w:trHeight w:val="240"/>
          <w:jc w:val="center"/>
        </w:trPr>
        <w:tc>
          <w:tcPr>
            <w:tcW w:w="3663" w:type="dxa"/>
            <w:shd w:val="clear" w:color="auto" w:fill="auto"/>
            <w:vAlign w:val="center"/>
            <w:hideMark/>
          </w:tcPr>
          <w:p w14:paraId="3D5A3638"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минстрой АО</w:t>
            </w:r>
          </w:p>
        </w:tc>
        <w:tc>
          <w:tcPr>
            <w:tcW w:w="567" w:type="dxa"/>
            <w:shd w:val="clear" w:color="auto" w:fill="auto"/>
            <w:vAlign w:val="center"/>
            <w:hideMark/>
          </w:tcPr>
          <w:p w14:paraId="48DEE45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276" w:type="dxa"/>
            <w:shd w:val="clear" w:color="000000" w:fill="FFFFFF"/>
            <w:noWrap/>
            <w:vAlign w:val="center"/>
          </w:tcPr>
          <w:p w14:paraId="29EB1AA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559" w:type="dxa"/>
            <w:shd w:val="clear" w:color="000000" w:fill="FFFFFF"/>
            <w:vAlign w:val="center"/>
          </w:tcPr>
          <w:p w14:paraId="3B6A36DC"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000000" w:fill="FFFFFF"/>
            <w:vAlign w:val="center"/>
          </w:tcPr>
          <w:p w14:paraId="74C7669E"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418" w:type="dxa"/>
            <w:shd w:val="clear" w:color="auto" w:fill="auto"/>
            <w:vAlign w:val="center"/>
          </w:tcPr>
          <w:p w14:paraId="20B8AD4B"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11BD3CE5" w14:textId="77777777" w:rsidTr="00972C77">
        <w:trPr>
          <w:trHeight w:val="271"/>
          <w:jc w:val="center"/>
        </w:trPr>
        <w:tc>
          <w:tcPr>
            <w:tcW w:w="3663" w:type="dxa"/>
            <w:shd w:val="clear" w:color="auto" w:fill="auto"/>
            <w:vAlign w:val="center"/>
            <w:hideMark/>
          </w:tcPr>
          <w:p w14:paraId="1CBD89AC"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Закупка товаров, работ и услуг для обеспечения государственных (муниципальных) нужд</w:t>
            </w:r>
          </w:p>
        </w:tc>
        <w:tc>
          <w:tcPr>
            <w:tcW w:w="567" w:type="dxa"/>
            <w:shd w:val="clear" w:color="auto" w:fill="auto"/>
            <w:vAlign w:val="center"/>
            <w:hideMark/>
          </w:tcPr>
          <w:p w14:paraId="2E575EE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w:t>
            </w:r>
          </w:p>
        </w:tc>
        <w:tc>
          <w:tcPr>
            <w:tcW w:w="1276" w:type="dxa"/>
            <w:shd w:val="clear" w:color="auto" w:fill="auto"/>
            <w:vAlign w:val="center"/>
          </w:tcPr>
          <w:p w14:paraId="68DFBDF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559" w:type="dxa"/>
            <w:shd w:val="clear" w:color="000000" w:fill="FFFFFF"/>
            <w:vAlign w:val="center"/>
          </w:tcPr>
          <w:p w14:paraId="6A86CF7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5,2</w:t>
            </w:r>
          </w:p>
        </w:tc>
        <w:tc>
          <w:tcPr>
            <w:tcW w:w="1134" w:type="dxa"/>
            <w:shd w:val="clear" w:color="000000" w:fill="FFFFFF"/>
            <w:vAlign w:val="center"/>
          </w:tcPr>
          <w:p w14:paraId="50D11CC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w:t>
            </w:r>
          </w:p>
        </w:tc>
        <w:tc>
          <w:tcPr>
            <w:tcW w:w="1418" w:type="dxa"/>
            <w:shd w:val="clear" w:color="auto" w:fill="auto"/>
            <w:vAlign w:val="center"/>
          </w:tcPr>
          <w:p w14:paraId="014A12BB"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98,4</w:t>
            </w:r>
          </w:p>
        </w:tc>
      </w:tr>
      <w:tr w:rsidR="00FD7B0B" w:rsidRPr="00FD7B0B" w14:paraId="64679DF2" w14:textId="77777777" w:rsidTr="00972C77">
        <w:trPr>
          <w:trHeight w:val="315"/>
          <w:jc w:val="center"/>
        </w:trPr>
        <w:tc>
          <w:tcPr>
            <w:tcW w:w="3663" w:type="dxa"/>
            <w:shd w:val="clear" w:color="auto" w:fill="auto"/>
            <w:vAlign w:val="center"/>
            <w:hideMark/>
          </w:tcPr>
          <w:p w14:paraId="23D5D012"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Капитальные вложения в объекты государственной (муниципальной) собственности</w:t>
            </w:r>
          </w:p>
        </w:tc>
        <w:tc>
          <w:tcPr>
            <w:tcW w:w="567" w:type="dxa"/>
            <w:shd w:val="clear" w:color="auto" w:fill="auto"/>
            <w:vAlign w:val="center"/>
            <w:hideMark/>
          </w:tcPr>
          <w:p w14:paraId="5C9C0E54"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400</w:t>
            </w:r>
          </w:p>
        </w:tc>
        <w:tc>
          <w:tcPr>
            <w:tcW w:w="1276" w:type="dxa"/>
            <w:shd w:val="clear" w:color="000000" w:fill="FFFFFF"/>
            <w:noWrap/>
            <w:vAlign w:val="center"/>
          </w:tcPr>
          <w:p w14:paraId="69DE8F2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217,0</w:t>
            </w:r>
          </w:p>
        </w:tc>
        <w:tc>
          <w:tcPr>
            <w:tcW w:w="1559" w:type="dxa"/>
            <w:shd w:val="clear" w:color="000000" w:fill="FFFFFF"/>
            <w:vAlign w:val="center"/>
          </w:tcPr>
          <w:p w14:paraId="1A26E39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265,9</w:t>
            </w:r>
          </w:p>
        </w:tc>
        <w:tc>
          <w:tcPr>
            <w:tcW w:w="1134" w:type="dxa"/>
            <w:shd w:val="clear" w:color="000000" w:fill="FFFFFF"/>
            <w:vAlign w:val="center"/>
          </w:tcPr>
          <w:p w14:paraId="60F5436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248,6</w:t>
            </w:r>
          </w:p>
        </w:tc>
        <w:tc>
          <w:tcPr>
            <w:tcW w:w="1418" w:type="dxa"/>
            <w:shd w:val="clear" w:color="auto" w:fill="auto"/>
            <w:vAlign w:val="center"/>
          </w:tcPr>
          <w:p w14:paraId="3C27F82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93,5</w:t>
            </w:r>
          </w:p>
        </w:tc>
      </w:tr>
      <w:tr w:rsidR="00FD7B0B" w:rsidRPr="00FD7B0B" w14:paraId="0F6A064F" w14:textId="77777777" w:rsidTr="00972C77">
        <w:trPr>
          <w:trHeight w:val="190"/>
          <w:jc w:val="center"/>
        </w:trPr>
        <w:tc>
          <w:tcPr>
            <w:tcW w:w="3663" w:type="dxa"/>
            <w:shd w:val="clear" w:color="auto" w:fill="auto"/>
            <w:vAlign w:val="center"/>
            <w:hideMark/>
          </w:tcPr>
          <w:p w14:paraId="76234C70"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бюджетные ассигнования</w:t>
            </w:r>
          </w:p>
        </w:tc>
        <w:tc>
          <w:tcPr>
            <w:tcW w:w="567" w:type="dxa"/>
            <w:shd w:val="clear" w:color="auto" w:fill="auto"/>
            <w:vAlign w:val="center"/>
            <w:hideMark/>
          </w:tcPr>
          <w:p w14:paraId="43386ABC"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800</w:t>
            </w:r>
          </w:p>
        </w:tc>
        <w:tc>
          <w:tcPr>
            <w:tcW w:w="1276" w:type="dxa"/>
            <w:shd w:val="clear" w:color="auto" w:fill="auto"/>
            <w:vAlign w:val="center"/>
          </w:tcPr>
          <w:p w14:paraId="6663867C"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559" w:type="dxa"/>
            <w:shd w:val="clear" w:color="000000" w:fill="FFFFFF"/>
            <w:vAlign w:val="center"/>
          </w:tcPr>
          <w:p w14:paraId="132B3B3C"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134" w:type="dxa"/>
            <w:shd w:val="clear" w:color="000000" w:fill="FFFFFF"/>
            <w:vAlign w:val="center"/>
          </w:tcPr>
          <w:p w14:paraId="7C8C2DC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418" w:type="dxa"/>
            <w:shd w:val="clear" w:color="auto" w:fill="auto"/>
            <w:vAlign w:val="center"/>
          </w:tcPr>
          <w:p w14:paraId="28C457D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35CDEDEC" w14:textId="77777777" w:rsidTr="00A54700">
        <w:trPr>
          <w:trHeight w:val="160"/>
          <w:jc w:val="center"/>
        </w:trPr>
        <w:tc>
          <w:tcPr>
            <w:tcW w:w="3663" w:type="dxa"/>
            <w:shd w:val="clear" w:color="auto" w:fill="auto"/>
            <w:vAlign w:val="center"/>
            <w:hideMark/>
          </w:tcPr>
          <w:p w14:paraId="7180B134"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Контрактуемые расходы, всего</w:t>
            </w:r>
          </w:p>
        </w:tc>
        <w:tc>
          <w:tcPr>
            <w:tcW w:w="567" w:type="dxa"/>
            <w:shd w:val="clear" w:color="auto" w:fill="auto"/>
            <w:vAlign w:val="center"/>
            <w:hideMark/>
          </w:tcPr>
          <w:p w14:paraId="711B140B"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276" w:type="dxa"/>
            <w:shd w:val="clear" w:color="auto" w:fill="auto"/>
            <w:noWrap/>
            <w:vAlign w:val="center"/>
          </w:tcPr>
          <w:p w14:paraId="36DCE97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559" w:type="dxa"/>
            <w:shd w:val="clear" w:color="000000" w:fill="FFFFFF"/>
            <w:vAlign w:val="center"/>
          </w:tcPr>
          <w:p w14:paraId="53F4B99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000000" w:fill="FFFFFF"/>
            <w:vAlign w:val="center"/>
          </w:tcPr>
          <w:p w14:paraId="6E7FD2E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418" w:type="dxa"/>
            <w:shd w:val="clear" w:color="auto" w:fill="auto"/>
            <w:vAlign w:val="center"/>
          </w:tcPr>
          <w:p w14:paraId="38C9EE7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7F389E7A" w14:textId="77777777" w:rsidTr="00972C77">
        <w:trPr>
          <w:trHeight w:val="124"/>
          <w:jc w:val="center"/>
        </w:trPr>
        <w:tc>
          <w:tcPr>
            <w:tcW w:w="3663" w:type="dxa"/>
            <w:shd w:val="clear" w:color="auto" w:fill="auto"/>
            <w:vAlign w:val="center"/>
            <w:hideMark/>
          </w:tcPr>
          <w:p w14:paraId="382D5465"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т.ч.</w:t>
            </w:r>
          </w:p>
        </w:tc>
        <w:tc>
          <w:tcPr>
            <w:tcW w:w="567" w:type="dxa"/>
            <w:shd w:val="clear" w:color="auto" w:fill="auto"/>
            <w:vAlign w:val="center"/>
            <w:hideMark/>
          </w:tcPr>
          <w:p w14:paraId="3E0B827B"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х</w:t>
            </w:r>
          </w:p>
        </w:tc>
        <w:tc>
          <w:tcPr>
            <w:tcW w:w="1276" w:type="dxa"/>
            <w:shd w:val="clear" w:color="auto" w:fill="auto"/>
            <w:vAlign w:val="center"/>
          </w:tcPr>
          <w:p w14:paraId="5A996FB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559" w:type="dxa"/>
            <w:shd w:val="clear" w:color="000000" w:fill="FFFFFF"/>
            <w:vAlign w:val="center"/>
          </w:tcPr>
          <w:p w14:paraId="4B5FA0D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000000" w:fill="FFFFFF"/>
            <w:vAlign w:val="center"/>
          </w:tcPr>
          <w:p w14:paraId="2EA9238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418" w:type="dxa"/>
            <w:shd w:val="clear" w:color="auto" w:fill="auto"/>
            <w:vAlign w:val="center"/>
          </w:tcPr>
          <w:p w14:paraId="29C4D55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44870AFD" w14:textId="77777777" w:rsidTr="00972C77">
        <w:trPr>
          <w:trHeight w:val="213"/>
          <w:jc w:val="center"/>
        </w:trPr>
        <w:tc>
          <w:tcPr>
            <w:tcW w:w="3663" w:type="dxa"/>
            <w:shd w:val="clear" w:color="auto" w:fill="auto"/>
            <w:vAlign w:val="center"/>
            <w:hideMark/>
          </w:tcPr>
          <w:p w14:paraId="3A24998B"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закупки…</w:t>
            </w:r>
          </w:p>
        </w:tc>
        <w:tc>
          <w:tcPr>
            <w:tcW w:w="567" w:type="dxa"/>
            <w:shd w:val="clear" w:color="auto" w:fill="auto"/>
            <w:vAlign w:val="center"/>
            <w:hideMark/>
          </w:tcPr>
          <w:p w14:paraId="292340A4"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w:t>
            </w:r>
          </w:p>
        </w:tc>
        <w:tc>
          <w:tcPr>
            <w:tcW w:w="1276" w:type="dxa"/>
            <w:shd w:val="clear" w:color="auto" w:fill="auto"/>
            <w:vAlign w:val="center"/>
          </w:tcPr>
          <w:p w14:paraId="4873909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559" w:type="dxa"/>
            <w:shd w:val="clear" w:color="000000" w:fill="FFFFFF"/>
            <w:vAlign w:val="center"/>
          </w:tcPr>
          <w:p w14:paraId="147E055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5,2</w:t>
            </w:r>
          </w:p>
        </w:tc>
        <w:tc>
          <w:tcPr>
            <w:tcW w:w="1134" w:type="dxa"/>
            <w:shd w:val="clear" w:color="000000" w:fill="FFFFFF"/>
            <w:vAlign w:val="center"/>
          </w:tcPr>
          <w:p w14:paraId="419F74FB"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w:t>
            </w:r>
          </w:p>
        </w:tc>
        <w:tc>
          <w:tcPr>
            <w:tcW w:w="1418" w:type="dxa"/>
            <w:shd w:val="clear" w:color="auto" w:fill="auto"/>
            <w:vAlign w:val="center"/>
          </w:tcPr>
          <w:p w14:paraId="1D5798A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98,4</w:t>
            </w:r>
          </w:p>
        </w:tc>
      </w:tr>
      <w:tr w:rsidR="00FD7B0B" w:rsidRPr="00FD7B0B" w14:paraId="51FC53C3" w14:textId="77777777" w:rsidTr="00A54700">
        <w:trPr>
          <w:trHeight w:val="100"/>
          <w:jc w:val="center"/>
        </w:trPr>
        <w:tc>
          <w:tcPr>
            <w:tcW w:w="3663" w:type="dxa"/>
            <w:shd w:val="clear" w:color="auto" w:fill="auto"/>
            <w:vAlign w:val="center"/>
            <w:hideMark/>
          </w:tcPr>
          <w:p w14:paraId="0BBD7616"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капитальные вложения</w:t>
            </w:r>
          </w:p>
        </w:tc>
        <w:tc>
          <w:tcPr>
            <w:tcW w:w="567" w:type="dxa"/>
            <w:shd w:val="clear" w:color="auto" w:fill="auto"/>
            <w:vAlign w:val="center"/>
            <w:hideMark/>
          </w:tcPr>
          <w:p w14:paraId="7E67EC3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400</w:t>
            </w:r>
          </w:p>
        </w:tc>
        <w:tc>
          <w:tcPr>
            <w:tcW w:w="1276" w:type="dxa"/>
            <w:shd w:val="clear" w:color="000000" w:fill="FFFFFF"/>
            <w:noWrap/>
            <w:vAlign w:val="center"/>
          </w:tcPr>
          <w:p w14:paraId="73DE5CC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217,0</w:t>
            </w:r>
          </w:p>
        </w:tc>
        <w:tc>
          <w:tcPr>
            <w:tcW w:w="1559" w:type="dxa"/>
            <w:shd w:val="clear" w:color="000000" w:fill="FFFFFF"/>
            <w:vAlign w:val="center"/>
          </w:tcPr>
          <w:p w14:paraId="349A84A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265,9</w:t>
            </w:r>
          </w:p>
        </w:tc>
        <w:tc>
          <w:tcPr>
            <w:tcW w:w="1134" w:type="dxa"/>
            <w:shd w:val="clear" w:color="000000" w:fill="FFFFFF"/>
            <w:vAlign w:val="center"/>
          </w:tcPr>
          <w:p w14:paraId="26DEE6D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248,6</w:t>
            </w:r>
          </w:p>
        </w:tc>
        <w:tc>
          <w:tcPr>
            <w:tcW w:w="1418" w:type="dxa"/>
            <w:shd w:val="clear" w:color="auto" w:fill="auto"/>
            <w:vAlign w:val="center"/>
          </w:tcPr>
          <w:p w14:paraId="504A6B1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93,5</w:t>
            </w:r>
          </w:p>
        </w:tc>
      </w:tr>
      <w:tr w:rsidR="00FD7B0B" w:rsidRPr="00FD7B0B" w14:paraId="353AB427" w14:textId="77777777" w:rsidTr="00972C77">
        <w:trPr>
          <w:trHeight w:val="254"/>
          <w:jc w:val="center"/>
        </w:trPr>
        <w:tc>
          <w:tcPr>
            <w:tcW w:w="3663" w:type="dxa"/>
            <w:shd w:val="clear" w:color="auto" w:fill="auto"/>
            <w:vAlign w:val="center"/>
            <w:hideMark/>
          </w:tcPr>
          <w:p w14:paraId="58262EF7" w14:textId="77777777" w:rsidR="00205BFC" w:rsidRPr="00FD7B0B" w:rsidRDefault="00205BFC" w:rsidP="00205BFC">
            <w:pPr>
              <w:spacing w:after="0" w:line="240" w:lineRule="auto"/>
              <w:contextualSpacing/>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Всего</w:t>
            </w:r>
          </w:p>
        </w:tc>
        <w:tc>
          <w:tcPr>
            <w:tcW w:w="567" w:type="dxa"/>
            <w:shd w:val="clear" w:color="auto" w:fill="auto"/>
            <w:vAlign w:val="center"/>
            <w:hideMark/>
          </w:tcPr>
          <w:p w14:paraId="4BE48C6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276" w:type="dxa"/>
            <w:shd w:val="clear" w:color="auto" w:fill="auto"/>
            <w:vAlign w:val="center"/>
          </w:tcPr>
          <w:p w14:paraId="19EA2621" w14:textId="77777777" w:rsidR="00205BFC" w:rsidRPr="00FD7B0B" w:rsidRDefault="00205BFC" w:rsidP="00205BFC">
            <w:pPr>
              <w:spacing w:after="0" w:line="240" w:lineRule="auto"/>
              <w:contextualSpacing/>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23 423,5</w:t>
            </w:r>
          </w:p>
        </w:tc>
        <w:tc>
          <w:tcPr>
            <w:tcW w:w="1559" w:type="dxa"/>
            <w:shd w:val="clear" w:color="000000" w:fill="FFFFFF"/>
            <w:vAlign w:val="center"/>
          </w:tcPr>
          <w:p w14:paraId="46C57F01" w14:textId="77777777" w:rsidR="00205BFC" w:rsidRPr="00FD7B0B" w:rsidRDefault="00205BFC" w:rsidP="00205BFC">
            <w:pPr>
              <w:spacing w:after="0" w:line="240" w:lineRule="auto"/>
              <w:contextualSpacing/>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23 780,2</w:t>
            </w:r>
          </w:p>
        </w:tc>
        <w:tc>
          <w:tcPr>
            <w:tcW w:w="1134" w:type="dxa"/>
            <w:shd w:val="clear" w:color="000000" w:fill="FFFFFF"/>
            <w:vAlign w:val="center"/>
          </w:tcPr>
          <w:p w14:paraId="21A619FD" w14:textId="77777777" w:rsidR="00205BFC" w:rsidRPr="00FD7B0B" w:rsidRDefault="00205BFC" w:rsidP="00205BFC">
            <w:pPr>
              <w:spacing w:after="0" w:line="240" w:lineRule="auto"/>
              <w:contextualSpacing/>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23 736,9</w:t>
            </w:r>
          </w:p>
        </w:tc>
        <w:tc>
          <w:tcPr>
            <w:tcW w:w="1418" w:type="dxa"/>
            <w:shd w:val="clear" w:color="auto" w:fill="auto"/>
            <w:vAlign w:val="center"/>
          </w:tcPr>
          <w:p w14:paraId="7C3FC37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7AEEA6E6" w14:textId="77777777" w:rsidTr="00972C77">
        <w:trPr>
          <w:trHeight w:val="129"/>
          <w:jc w:val="center"/>
        </w:trPr>
        <w:tc>
          <w:tcPr>
            <w:tcW w:w="3663" w:type="dxa"/>
            <w:shd w:val="clear" w:color="auto" w:fill="auto"/>
            <w:vAlign w:val="center"/>
            <w:hideMark/>
          </w:tcPr>
          <w:p w14:paraId="281E02D4"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shd w:val="clear" w:color="auto" w:fill="auto"/>
            <w:vAlign w:val="center"/>
            <w:hideMark/>
          </w:tcPr>
          <w:p w14:paraId="225F3D8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276" w:type="dxa"/>
            <w:shd w:val="clear" w:color="auto" w:fill="auto"/>
            <w:vAlign w:val="center"/>
          </w:tcPr>
          <w:p w14:paraId="3AC76A6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534,5</w:t>
            </w:r>
          </w:p>
        </w:tc>
        <w:tc>
          <w:tcPr>
            <w:tcW w:w="1559" w:type="dxa"/>
            <w:shd w:val="clear" w:color="000000" w:fill="FFFFFF"/>
            <w:vAlign w:val="center"/>
          </w:tcPr>
          <w:p w14:paraId="0F4B05BC"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534,9</w:t>
            </w:r>
          </w:p>
        </w:tc>
        <w:tc>
          <w:tcPr>
            <w:tcW w:w="1134" w:type="dxa"/>
            <w:shd w:val="clear" w:color="auto" w:fill="auto"/>
            <w:vAlign w:val="center"/>
          </w:tcPr>
          <w:p w14:paraId="4C27B5DE"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534,8</w:t>
            </w:r>
          </w:p>
        </w:tc>
        <w:tc>
          <w:tcPr>
            <w:tcW w:w="1418" w:type="dxa"/>
            <w:shd w:val="clear" w:color="auto" w:fill="auto"/>
            <w:vAlign w:val="center"/>
          </w:tcPr>
          <w:p w14:paraId="2A78E4C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7D985AF" w14:textId="77777777" w:rsidTr="00972C77">
        <w:trPr>
          <w:trHeight w:val="162"/>
          <w:jc w:val="center"/>
        </w:trPr>
        <w:tc>
          <w:tcPr>
            <w:tcW w:w="3663" w:type="dxa"/>
            <w:shd w:val="clear" w:color="auto" w:fill="auto"/>
            <w:vAlign w:val="center"/>
            <w:hideMark/>
          </w:tcPr>
          <w:p w14:paraId="3085AD42"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Закупка товаров, работ и услуг для обеспечения государственных (муниципальных) нужд</w:t>
            </w:r>
          </w:p>
        </w:tc>
        <w:tc>
          <w:tcPr>
            <w:tcW w:w="567" w:type="dxa"/>
            <w:shd w:val="clear" w:color="auto" w:fill="auto"/>
            <w:vAlign w:val="center"/>
            <w:hideMark/>
          </w:tcPr>
          <w:p w14:paraId="13547F7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w:t>
            </w:r>
          </w:p>
        </w:tc>
        <w:tc>
          <w:tcPr>
            <w:tcW w:w="1276" w:type="dxa"/>
            <w:shd w:val="clear" w:color="auto" w:fill="auto"/>
            <w:vAlign w:val="center"/>
          </w:tcPr>
          <w:p w14:paraId="2BA9C9F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351,0</w:t>
            </w:r>
          </w:p>
        </w:tc>
        <w:tc>
          <w:tcPr>
            <w:tcW w:w="1559" w:type="dxa"/>
            <w:shd w:val="clear" w:color="000000" w:fill="FFFFFF"/>
            <w:vAlign w:val="center"/>
          </w:tcPr>
          <w:p w14:paraId="2BB5361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250,9</w:t>
            </w:r>
          </w:p>
        </w:tc>
        <w:tc>
          <w:tcPr>
            <w:tcW w:w="1134" w:type="dxa"/>
            <w:shd w:val="clear" w:color="auto" w:fill="auto"/>
            <w:vAlign w:val="center"/>
          </w:tcPr>
          <w:p w14:paraId="61E8B66B"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245,6</w:t>
            </w:r>
          </w:p>
        </w:tc>
        <w:tc>
          <w:tcPr>
            <w:tcW w:w="1418" w:type="dxa"/>
            <w:shd w:val="clear" w:color="auto" w:fill="auto"/>
            <w:vAlign w:val="center"/>
          </w:tcPr>
          <w:p w14:paraId="37AB0B3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97,9</w:t>
            </w:r>
          </w:p>
        </w:tc>
      </w:tr>
      <w:tr w:rsidR="00FD7B0B" w:rsidRPr="00FD7B0B" w14:paraId="5C023B14" w14:textId="77777777" w:rsidTr="00972C77">
        <w:trPr>
          <w:trHeight w:val="193"/>
          <w:jc w:val="center"/>
        </w:trPr>
        <w:tc>
          <w:tcPr>
            <w:tcW w:w="3663" w:type="dxa"/>
            <w:shd w:val="clear" w:color="auto" w:fill="auto"/>
            <w:vAlign w:val="center"/>
            <w:hideMark/>
          </w:tcPr>
          <w:p w14:paraId="2EEA6277"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Социальное обеспечение и иные выплаты населению</w:t>
            </w:r>
          </w:p>
        </w:tc>
        <w:tc>
          <w:tcPr>
            <w:tcW w:w="567" w:type="dxa"/>
            <w:shd w:val="clear" w:color="auto" w:fill="auto"/>
            <w:vAlign w:val="center"/>
            <w:hideMark/>
          </w:tcPr>
          <w:p w14:paraId="70D04B8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300</w:t>
            </w:r>
          </w:p>
        </w:tc>
        <w:tc>
          <w:tcPr>
            <w:tcW w:w="1276" w:type="dxa"/>
            <w:shd w:val="clear" w:color="auto" w:fill="auto"/>
            <w:vAlign w:val="center"/>
          </w:tcPr>
          <w:p w14:paraId="01EEE4F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13 713,9</w:t>
            </w:r>
          </w:p>
        </w:tc>
        <w:tc>
          <w:tcPr>
            <w:tcW w:w="1559" w:type="dxa"/>
            <w:shd w:val="clear" w:color="000000" w:fill="FFFFFF"/>
            <w:vAlign w:val="center"/>
          </w:tcPr>
          <w:p w14:paraId="44D1DC7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14 039,1</w:t>
            </w:r>
          </w:p>
        </w:tc>
        <w:tc>
          <w:tcPr>
            <w:tcW w:w="1134" w:type="dxa"/>
            <w:shd w:val="clear" w:color="auto" w:fill="auto"/>
            <w:vAlign w:val="center"/>
          </w:tcPr>
          <w:p w14:paraId="4203EF84"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14 037,1</w:t>
            </w:r>
          </w:p>
        </w:tc>
        <w:tc>
          <w:tcPr>
            <w:tcW w:w="1418" w:type="dxa"/>
            <w:shd w:val="clear" w:color="auto" w:fill="auto"/>
            <w:vAlign w:val="center"/>
          </w:tcPr>
          <w:p w14:paraId="2C08787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1B427C30" w14:textId="77777777" w:rsidTr="00972C77">
        <w:trPr>
          <w:trHeight w:val="226"/>
          <w:jc w:val="center"/>
        </w:trPr>
        <w:tc>
          <w:tcPr>
            <w:tcW w:w="3663" w:type="dxa"/>
            <w:shd w:val="clear" w:color="auto" w:fill="auto"/>
            <w:vAlign w:val="center"/>
            <w:hideMark/>
          </w:tcPr>
          <w:p w14:paraId="5CA163E7"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Капитальные вложения в объекты государственной (муниципальной) собственности</w:t>
            </w:r>
          </w:p>
        </w:tc>
        <w:tc>
          <w:tcPr>
            <w:tcW w:w="567" w:type="dxa"/>
            <w:shd w:val="clear" w:color="auto" w:fill="auto"/>
            <w:vAlign w:val="center"/>
            <w:hideMark/>
          </w:tcPr>
          <w:p w14:paraId="3682758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400</w:t>
            </w:r>
          </w:p>
        </w:tc>
        <w:tc>
          <w:tcPr>
            <w:tcW w:w="1276" w:type="dxa"/>
            <w:shd w:val="clear" w:color="000000" w:fill="FFFFFF"/>
            <w:noWrap/>
            <w:vAlign w:val="center"/>
          </w:tcPr>
          <w:p w14:paraId="45E28E8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217,0</w:t>
            </w:r>
          </w:p>
        </w:tc>
        <w:tc>
          <w:tcPr>
            <w:tcW w:w="1559" w:type="dxa"/>
            <w:shd w:val="clear" w:color="000000" w:fill="FFFFFF"/>
            <w:noWrap/>
            <w:vAlign w:val="center"/>
          </w:tcPr>
          <w:p w14:paraId="1F81F75B"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466,8</w:t>
            </w:r>
          </w:p>
        </w:tc>
        <w:tc>
          <w:tcPr>
            <w:tcW w:w="1134" w:type="dxa"/>
            <w:shd w:val="clear" w:color="000000" w:fill="FFFFFF"/>
            <w:noWrap/>
            <w:vAlign w:val="center"/>
          </w:tcPr>
          <w:p w14:paraId="57FB27A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449,4</w:t>
            </w:r>
          </w:p>
        </w:tc>
        <w:tc>
          <w:tcPr>
            <w:tcW w:w="1418" w:type="dxa"/>
            <w:shd w:val="clear" w:color="auto" w:fill="auto"/>
            <w:vAlign w:val="center"/>
          </w:tcPr>
          <w:p w14:paraId="592C804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96,3</w:t>
            </w:r>
          </w:p>
        </w:tc>
      </w:tr>
      <w:tr w:rsidR="00FD7B0B" w:rsidRPr="00FD7B0B" w14:paraId="710ADCD0" w14:textId="77777777" w:rsidTr="00972C77">
        <w:trPr>
          <w:trHeight w:val="257"/>
          <w:jc w:val="center"/>
        </w:trPr>
        <w:tc>
          <w:tcPr>
            <w:tcW w:w="3663" w:type="dxa"/>
            <w:shd w:val="clear" w:color="auto" w:fill="auto"/>
            <w:vAlign w:val="center"/>
            <w:hideMark/>
          </w:tcPr>
          <w:p w14:paraId="60A30717"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Межбюджетные трансферты</w:t>
            </w:r>
          </w:p>
        </w:tc>
        <w:tc>
          <w:tcPr>
            <w:tcW w:w="567" w:type="dxa"/>
            <w:shd w:val="clear" w:color="auto" w:fill="auto"/>
            <w:vAlign w:val="center"/>
            <w:hideMark/>
          </w:tcPr>
          <w:p w14:paraId="6953EC6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500</w:t>
            </w:r>
          </w:p>
        </w:tc>
        <w:tc>
          <w:tcPr>
            <w:tcW w:w="1276" w:type="dxa"/>
            <w:shd w:val="clear" w:color="auto" w:fill="auto"/>
            <w:vAlign w:val="center"/>
          </w:tcPr>
          <w:p w14:paraId="53A0E63C"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559" w:type="dxa"/>
            <w:shd w:val="clear" w:color="000000" w:fill="FFFFFF"/>
            <w:vAlign w:val="center"/>
          </w:tcPr>
          <w:p w14:paraId="5EAD7C3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134" w:type="dxa"/>
            <w:shd w:val="clear" w:color="auto" w:fill="auto"/>
            <w:vAlign w:val="center"/>
          </w:tcPr>
          <w:p w14:paraId="408228F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418" w:type="dxa"/>
            <w:shd w:val="clear" w:color="auto" w:fill="auto"/>
            <w:vAlign w:val="center"/>
          </w:tcPr>
          <w:p w14:paraId="5C6A31F1"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44FBFB05" w14:textId="77777777" w:rsidTr="00972C77">
        <w:trPr>
          <w:trHeight w:val="120"/>
          <w:jc w:val="center"/>
        </w:trPr>
        <w:tc>
          <w:tcPr>
            <w:tcW w:w="3663" w:type="dxa"/>
            <w:shd w:val="clear" w:color="auto" w:fill="auto"/>
            <w:vAlign w:val="center"/>
            <w:hideMark/>
          </w:tcPr>
          <w:p w14:paraId="48C617D7"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Предоставление субсидий бюджетным, автономным учреждениям и иным некоммерческим организациям</w:t>
            </w:r>
          </w:p>
        </w:tc>
        <w:tc>
          <w:tcPr>
            <w:tcW w:w="567" w:type="dxa"/>
            <w:shd w:val="clear" w:color="auto" w:fill="auto"/>
            <w:vAlign w:val="center"/>
            <w:hideMark/>
          </w:tcPr>
          <w:p w14:paraId="728D6BBE"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600</w:t>
            </w:r>
          </w:p>
        </w:tc>
        <w:tc>
          <w:tcPr>
            <w:tcW w:w="1276" w:type="dxa"/>
            <w:shd w:val="clear" w:color="auto" w:fill="auto"/>
            <w:vAlign w:val="center"/>
          </w:tcPr>
          <w:p w14:paraId="366B53A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8 598,4</w:t>
            </w:r>
          </w:p>
        </w:tc>
        <w:tc>
          <w:tcPr>
            <w:tcW w:w="1559" w:type="dxa"/>
            <w:shd w:val="clear" w:color="000000" w:fill="FFFFFF"/>
            <w:vAlign w:val="center"/>
          </w:tcPr>
          <w:p w14:paraId="4E7522C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8 453,3</w:t>
            </w:r>
          </w:p>
        </w:tc>
        <w:tc>
          <w:tcPr>
            <w:tcW w:w="1134" w:type="dxa"/>
            <w:shd w:val="clear" w:color="auto" w:fill="auto"/>
            <w:vAlign w:val="center"/>
          </w:tcPr>
          <w:p w14:paraId="7EC428D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8 434,9</w:t>
            </w:r>
          </w:p>
        </w:tc>
        <w:tc>
          <w:tcPr>
            <w:tcW w:w="1418" w:type="dxa"/>
            <w:shd w:val="clear" w:color="auto" w:fill="auto"/>
            <w:vAlign w:val="center"/>
          </w:tcPr>
          <w:p w14:paraId="465EFC2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r>
      <w:tr w:rsidR="00FD7B0B" w:rsidRPr="00FD7B0B" w14:paraId="00E50A9E" w14:textId="77777777" w:rsidTr="00972C77">
        <w:trPr>
          <w:trHeight w:val="151"/>
          <w:jc w:val="center"/>
        </w:trPr>
        <w:tc>
          <w:tcPr>
            <w:tcW w:w="3663" w:type="dxa"/>
            <w:shd w:val="clear" w:color="auto" w:fill="auto"/>
            <w:vAlign w:val="center"/>
            <w:hideMark/>
          </w:tcPr>
          <w:p w14:paraId="11D9D805"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бюджетные ассигнования</w:t>
            </w:r>
          </w:p>
        </w:tc>
        <w:tc>
          <w:tcPr>
            <w:tcW w:w="567" w:type="dxa"/>
            <w:shd w:val="clear" w:color="auto" w:fill="auto"/>
            <w:vAlign w:val="center"/>
            <w:hideMark/>
          </w:tcPr>
          <w:p w14:paraId="6D40EC3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800</w:t>
            </w:r>
          </w:p>
        </w:tc>
        <w:tc>
          <w:tcPr>
            <w:tcW w:w="1276" w:type="dxa"/>
            <w:shd w:val="clear" w:color="auto" w:fill="auto"/>
            <w:vAlign w:val="center"/>
          </w:tcPr>
          <w:p w14:paraId="6EB1EC5D"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8,6</w:t>
            </w:r>
          </w:p>
        </w:tc>
        <w:tc>
          <w:tcPr>
            <w:tcW w:w="1559" w:type="dxa"/>
            <w:shd w:val="clear" w:color="000000" w:fill="FFFFFF"/>
            <w:vAlign w:val="center"/>
          </w:tcPr>
          <w:p w14:paraId="3AC5A09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35,7</w:t>
            </w:r>
          </w:p>
        </w:tc>
        <w:tc>
          <w:tcPr>
            <w:tcW w:w="1134" w:type="dxa"/>
            <w:shd w:val="clear" w:color="auto" w:fill="auto"/>
            <w:vAlign w:val="center"/>
          </w:tcPr>
          <w:p w14:paraId="4AAEEE5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35,6</w:t>
            </w:r>
          </w:p>
        </w:tc>
        <w:tc>
          <w:tcPr>
            <w:tcW w:w="1418" w:type="dxa"/>
            <w:shd w:val="clear" w:color="auto" w:fill="auto"/>
            <w:vAlign w:val="center"/>
          </w:tcPr>
          <w:p w14:paraId="33F9600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r>
      <w:tr w:rsidR="00FD7B0B" w:rsidRPr="00FD7B0B" w14:paraId="73F15657" w14:textId="77777777" w:rsidTr="00972C77">
        <w:trPr>
          <w:trHeight w:val="130"/>
          <w:jc w:val="center"/>
        </w:trPr>
        <w:tc>
          <w:tcPr>
            <w:tcW w:w="3663" w:type="dxa"/>
            <w:shd w:val="clear" w:color="auto" w:fill="auto"/>
            <w:vAlign w:val="center"/>
            <w:hideMark/>
          </w:tcPr>
          <w:p w14:paraId="6DD4F35D"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Контрактуемые расходы, всего</w:t>
            </w:r>
          </w:p>
        </w:tc>
        <w:tc>
          <w:tcPr>
            <w:tcW w:w="567" w:type="dxa"/>
            <w:shd w:val="clear" w:color="auto" w:fill="auto"/>
            <w:vAlign w:val="center"/>
            <w:hideMark/>
          </w:tcPr>
          <w:p w14:paraId="1D8917D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276" w:type="dxa"/>
            <w:shd w:val="clear" w:color="auto" w:fill="auto"/>
            <w:vAlign w:val="center"/>
          </w:tcPr>
          <w:p w14:paraId="2F639AF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559" w:type="dxa"/>
            <w:shd w:val="clear" w:color="auto" w:fill="auto"/>
            <w:vAlign w:val="center"/>
          </w:tcPr>
          <w:p w14:paraId="1B3DFBF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auto" w:fill="auto"/>
            <w:vAlign w:val="center"/>
          </w:tcPr>
          <w:p w14:paraId="33F7BF3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418" w:type="dxa"/>
            <w:shd w:val="clear" w:color="auto" w:fill="auto"/>
            <w:vAlign w:val="center"/>
          </w:tcPr>
          <w:p w14:paraId="4270942D"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4168DD57" w14:textId="77777777" w:rsidTr="00972C77">
        <w:trPr>
          <w:trHeight w:val="126"/>
          <w:jc w:val="center"/>
        </w:trPr>
        <w:tc>
          <w:tcPr>
            <w:tcW w:w="3663" w:type="dxa"/>
            <w:shd w:val="clear" w:color="auto" w:fill="auto"/>
            <w:vAlign w:val="center"/>
            <w:hideMark/>
          </w:tcPr>
          <w:p w14:paraId="0C8A3933"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т.ч.</w:t>
            </w:r>
          </w:p>
        </w:tc>
        <w:tc>
          <w:tcPr>
            <w:tcW w:w="567" w:type="dxa"/>
            <w:shd w:val="clear" w:color="auto" w:fill="auto"/>
            <w:vAlign w:val="center"/>
            <w:hideMark/>
          </w:tcPr>
          <w:p w14:paraId="2DC11B1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х</w:t>
            </w:r>
          </w:p>
        </w:tc>
        <w:tc>
          <w:tcPr>
            <w:tcW w:w="1276" w:type="dxa"/>
            <w:shd w:val="clear" w:color="auto" w:fill="auto"/>
            <w:vAlign w:val="center"/>
          </w:tcPr>
          <w:p w14:paraId="643918B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559" w:type="dxa"/>
            <w:shd w:val="clear" w:color="auto" w:fill="auto"/>
            <w:vAlign w:val="center"/>
          </w:tcPr>
          <w:p w14:paraId="7D76431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134" w:type="dxa"/>
            <w:shd w:val="clear" w:color="auto" w:fill="auto"/>
            <w:vAlign w:val="center"/>
          </w:tcPr>
          <w:p w14:paraId="3CF92ABE"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c>
          <w:tcPr>
            <w:tcW w:w="1418" w:type="dxa"/>
            <w:shd w:val="clear" w:color="auto" w:fill="auto"/>
            <w:vAlign w:val="center"/>
          </w:tcPr>
          <w:p w14:paraId="3DE97CE3"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p>
        </w:tc>
      </w:tr>
      <w:tr w:rsidR="00FD7B0B" w:rsidRPr="00FD7B0B" w14:paraId="068E0351" w14:textId="77777777" w:rsidTr="00972C77">
        <w:trPr>
          <w:trHeight w:val="157"/>
          <w:jc w:val="center"/>
        </w:trPr>
        <w:tc>
          <w:tcPr>
            <w:tcW w:w="3663" w:type="dxa"/>
            <w:shd w:val="clear" w:color="auto" w:fill="auto"/>
            <w:vAlign w:val="center"/>
            <w:hideMark/>
          </w:tcPr>
          <w:p w14:paraId="6F003A61"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закупки…</w:t>
            </w:r>
          </w:p>
        </w:tc>
        <w:tc>
          <w:tcPr>
            <w:tcW w:w="567" w:type="dxa"/>
            <w:shd w:val="clear" w:color="auto" w:fill="auto"/>
            <w:vAlign w:val="center"/>
            <w:hideMark/>
          </w:tcPr>
          <w:p w14:paraId="76CC8B07"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w:t>
            </w:r>
          </w:p>
        </w:tc>
        <w:tc>
          <w:tcPr>
            <w:tcW w:w="1276" w:type="dxa"/>
            <w:shd w:val="clear" w:color="auto" w:fill="auto"/>
            <w:vAlign w:val="center"/>
          </w:tcPr>
          <w:p w14:paraId="1FFE8C0C"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351,0</w:t>
            </w:r>
          </w:p>
        </w:tc>
        <w:tc>
          <w:tcPr>
            <w:tcW w:w="1559" w:type="dxa"/>
            <w:shd w:val="clear" w:color="000000" w:fill="FFFFFF"/>
            <w:vAlign w:val="center"/>
          </w:tcPr>
          <w:p w14:paraId="034F6F9F"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250,9</w:t>
            </w:r>
          </w:p>
        </w:tc>
        <w:tc>
          <w:tcPr>
            <w:tcW w:w="1134" w:type="dxa"/>
            <w:shd w:val="clear" w:color="auto" w:fill="auto"/>
            <w:vAlign w:val="center"/>
          </w:tcPr>
          <w:p w14:paraId="1979D046"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245,6</w:t>
            </w:r>
          </w:p>
        </w:tc>
        <w:tc>
          <w:tcPr>
            <w:tcW w:w="1418" w:type="dxa"/>
            <w:shd w:val="clear" w:color="auto" w:fill="auto"/>
            <w:vAlign w:val="center"/>
          </w:tcPr>
          <w:p w14:paraId="7137D90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97,9</w:t>
            </w:r>
          </w:p>
        </w:tc>
      </w:tr>
      <w:tr w:rsidR="00FD7B0B" w:rsidRPr="00FD7B0B" w14:paraId="794100C6" w14:textId="77777777" w:rsidTr="00972C77">
        <w:trPr>
          <w:trHeight w:val="447"/>
          <w:jc w:val="center"/>
        </w:trPr>
        <w:tc>
          <w:tcPr>
            <w:tcW w:w="3663" w:type="dxa"/>
            <w:shd w:val="clear" w:color="auto" w:fill="auto"/>
            <w:vAlign w:val="center"/>
            <w:hideMark/>
          </w:tcPr>
          <w:p w14:paraId="1121F433"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приобретение товаров, работ, услуг в пользу граждан</w:t>
            </w:r>
          </w:p>
        </w:tc>
        <w:tc>
          <w:tcPr>
            <w:tcW w:w="567" w:type="dxa"/>
            <w:shd w:val="clear" w:color="auto" w:fill="auto"/>
            <w:vAlign w:val="center"/>
            <w:hideMark/>
          </w:tcPr>
          <w:p w14:paraId="5EA1FDB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321, 323</w:t>
            </w:r>
          </w:p>
        </w:tc>
        <w:tc>
          <w:tcPr>
            <w:tcW w:w="1276" w:type="dxa"/>
            <w:shd w:val="clear" w:color="auto" w:fill="auto"/>
            <w:noWrap/>
            <w:vAlign w:val="center"/>
          </w:tcPr>
          <w:p w14:paraId="078FA11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3588,8</w:t>
            </w:r>
          </w:p>
        </w:tc>
        <w:tc>
          <w:tcPr>
            <w:tcW w:w="1559" w:type="dxa"/>
            <w:shd w:val="clear" w:color="auto" w:fill="auto"/>
            <w:vAlign w:val="center"/>
          </w:tcPr>
          <w:p w14:paraId="2C22AA2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3821,1</w:t>
            </w:r>
          </w:p>
        </w:tc>
        <w:tc>
          <w:tcPr>
            <w:tcW w:w="1134" w:type="dxa"/>
            <w:shd w:val="clear" w:color="auto" w:fill="auto"/>
            <w:vAlign w:val="center"/>
          </w:tcPr>
          <w:p w14:paraId="48E6244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3 821,0</w:t>
            </w:r>
          </w:p>
        </w:tc>
        <w:tc>
          <w:tcPr>
            <w:tcW w:w="1418" w:type="dxa"/>
            <w:shd w:val="clear" w:color="auto" w:fill="auto"/>
            <w:vAlign w:val="center"/>
          </w:tcPr>
          <w:p w14:paraId="400ACC00"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2396B10" w14:textId="77777777" w:rsidTr="00972C77">
        <w:trPr>
          <w:trHeight w:val="260"/>
          <w:jc w:val="center"/>
        </w:trPr>
        <w:tc>
          <w:tcPr>
            <w:tcW w:w="3663" w:type="dxa"/>
            <w:shd w:val="clear" w:color="auto" w:fill="auto"/>
            <w:vAlign w:val="center"/>
            <w:hideMark/>
          </w:tcPr>
          <w:p w14:paraId="4DC7B7E5" w14:textId="77777777" w:rsidR="00205BFC" w:rsidRPr="00FD7B0B" w:rsidRDefault="00205BFC" w:rsidP="00205BFC">
            <w:pPr>
              <w:spacing w:after="0" w:line="240" w:lineRule="auto"/>
              <w:contextualSpacing/>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капитальные вложения</w:t>
            </w:r>
          </w:p>
        </w:tc>
        <w:tc>
          <w:tcPr>
            <w:tcW w:w="567" w:type="dxa"/>
            <w:shd w:val="clear" w:color="auto" w:fill="auto"/>
            <w:vAlign w:val="center"/>
            <w:hideMark/>
          </w:tcPr>
          <w:p w14:paraId="01E6B1B9"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400</w:t>
            </w:r>
          </w:p>
        </w:tc>
        <w:tc>
          <w:tcPr>
            <w:tcW w:w="1276" w:type="dxa"/>
            <w:shd w:val="clear" w:color="000000" w:fill="FFFFFF"/>
            <w:noWrap/>
            <w:vAlign w:val="center"/>
          </w:tcPr>
          <w:p w14:paraId="0A3CBE68"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217,0</w:t>
            </w:r>
          </w:p>
        </w:tc>
        <w:tc>
          <w:tcPr>
            <w:tcW w:w="1559" w:type="dxa"/>
            <w:shd w:val="clear" w:color="000000" w:fill="FFFFFF"/>
            <w:noWrap/>
            <w:vAlign w:val="center"/>
          </w:tcPr>
          <w:p w14:paraId="5761581A"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466,8</w:t>
            </w:r>
          </w:p>
        </w:tc>
        <w:tc>
          <w:tcPr>
            <w:tcW w:w="1134" w:type="dxa"/>
            <w:shd w:val="clear" w:color="000000" w:fill="FFFFFF"/>
            <w:noWrap/>
            <w:vAlign w:val="center"/>
          </w:tcPr>
          <w:p w14:paraId="4C7DB062"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449,4</w:t>
            </w:r>
          </w:p>
        </w:tc>
        <w:tc>
          <w:tcPr>
            <w:tcW w:w="1418" w:type="dxa"/>
            <w:shd w:val="clear" w:color="auto" w:fill="auto"/>
            <w:vAlign w:val="center"/>
          </w:tcPr>
          <w:p w14:paraId="0CE46D15" w14:textId="77777777" w:rsidR="00205BFC" w:rsidRPr="00FD7B0B" w:rsidRDefault="00205BFC" w:rsidP="00205BFC">
            <w:pPr>
              <w:spacing w:after="0" w:line="240" w:lineRule="auto"/>
              <w:contextualSpacing/>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96,3</w:t>
            </w:r>
          </w:p>
        </w:tc>
      </w:tr>
    </w:tbl>
    <w:p w14:paraId="4CB57731" w14:textId="77777777" w:rsidR="00972C77" w:rsidRPr="00FD7B0B" w:rsidRDefault="00972C77" w:rsidP="00205BFC">
      <w:pPr>
        <w:spacing w:after="0" w:line="240" w:lineRule="auto"/>
        <w:ind w:firstLine="851"/>
        <w:contextualSpacing/>
        <w:jc w:val="both"/>
        <w:rPr>
          <w:rFonts w:ascii="Times New Roman" w:eastAsia="Times New Roman" w:hAnsi="Times New Roman" w:cs="Times New Roman"/>
          <w:sz w:val="28"/>
          <w:szCs w:val="28"/>
          <w:lang w:eastAsia="ru-RU"/>
        </w:rPr>
      </w:pPr>
    </w:p>
    <w:p w14:paraId="5FCD13A3" w14:textId="7645BE7C" w:rsidR="00205BFC" w:rsidRPr="00FD7B0B" w:rsidRDefault="00205BFC" w:rsidP="00972C77">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Согласно отчетам о реализации государственных программ Архангельской области, представленных минэкономом АО письмом от 11.04.2025 (далее – отчет </w:t>
      </w:r>
      <w:r w:rsidRPr="00FD7B0B">
        <w:rPr>
          <w:rFonts w:ascii="Times New Roman" w:eastAsia="Times New Roman" w:hAnsi="Times New Roman" w:cs="Times New Roman"/>
          <w:sz w:val="28"/>
          <w:szCs w:val="28"/>
          <w:lang w:eastAsia="ru-RU"/>
        </w:rPr>
        <w:lastRenderedPageBreak/>
        <w:t>о реализации ГП № 1), в целом по ГП № 01 кассовое выполнение составило 98,4</w:t>
      </w:r>
      <w:r w:rsidR="00972C7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в том числе за счет средств областного бюджета 99,8</w:t>
      </w:r>
      <w:r w:rsidR="00972C7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за счет средств ТФОМС – 97,4</w:t>
      </w:r>
      <w:r w:rsidR="00972C7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59773159" w14:textId="5F144769" w:rsidR="00205BFC" w:rsidRPr="00FD7B0B" w:rsidRDefault="00205BFC" w:rsidP="00972C77">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Наименьший процент исполнения наблюдается по виду расходов 400 «Капитальные вложения в объекты государственной (муниципальной) собственности» по Минстрою АО – 93,5</w:t>
      </w:r>
      <w:r w:rsidR="00972C7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сводной бюджетной росписи.</w:t>
      </w:r>
    </w:p>
    <w:p w14:paraId="4CAD1B11" w14:textId="77777777" w:rsidR="00205BFC" w:rsidRPr="00FD7B0B" w:rsidRDefault="00205BFC" w:rsidP="00972C77">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Неполное исполнение средств минстроем АО обусловлено оплатой по фактическим представленным счетам и актам выполненных работ, а также по отдельным объектам в связи с невозможностью завершить строительство в 2024 году по причине некачественно разработанной проектной документации.</w:t>
      </w:r>
    </w:p>
    <w:p w14:paraId="27F43F0F"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p>
    <w:p w14:paraId="7A9263AE" w14:textId="3DAA9468" w:rsidR="00C83E1B" w:rsidRPr="00FD7B0B" w:rsidRDefault="00C83E1B" w:rsidP="00C83E1B">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Контрольно-счетная палата полагает необходимым отметить, несмотря на высокое кассовое исполнение программы за 2024 год в целом, согласно информации о расходовании средств субсидии на иные цели подведомственными медицинскими организациями, представленной минздравом АО </w:t>
      </w:r>
      <w:r w:rsidR="001A7359" w:rsidRPr="00FD7B0B">
        <w:rPr>
          <w:rFonts w:ascii="Times New Roman" w:eastAsia="Times New Roman" w:hAnsi="Times New Roman" w:cs="Times New Roman"/>
          <w:sz w:val="28"/>
          <w:szCs w:val="28"/>
          <w:lang w:eastAsia="ru-RU"/>
        </w:rPr>
        <w:t>04.03.2025</w:t>
      </w:r>
      <w:r w:rsidRPr="00FD7B0B">
        <w:rPr>
          <w:rFonts w:ascii="Times New Roman" w:eastAsia="Times New Roman" w:hAnsi="Times New Roman" w:cs="Times New Roman"/>
          <w:sz w:val="28"/>
          <w:szCs w:val="28"/>
          <w:lang w:eastAsia="ru-RU"/>
        </w:rPr>
        <w:t>, в разрезе отдельных мероприятий региональных проектов и КПМ по состоянию на 01.01.2025 отмечается низкое исполнение ряда мероприятий, так:</w:t>
      </w:r>
    </w:p>
    <w:p w14:paraId="5D071055" w14:textId="77777777" w:rsidR="00C83E1B" w:rsidRPr="00FD7B0B" w:rsidRDefault="00C83E1B" w:rsidP="00C83E1B">
      <w:pPr>
        <w:spacing w:after="0" w:line="240" w:lineRule="auto"/>
        <w:ind w:firstLine="709"/>
        <w:contextualSpacing/>
        <w:jc w:val="both"/>
        <w:rPr>
          <w:rFonts w:ascii="Times New Roman" w:hAnsi="Times New Roman" w:cs="Times New Roman"/>
          <w:sz w:val="28"/>
          <w:szCs w:val="24"/>
        </w:rPr>
      </w:pPr>
      <w:r w:rsidRPr="00FD7B0B">
        <w:rPr>
          <w:rFonts w:ascii="Times New Roman" w:eastAsia="Times New Roman" w:hAnsi="Times New Roman" w:cs="Times New Roman"/>
          <w:sz w:val="28"/>
          <w:szCs w:val="28"/>
          <w:lang w:eastAsia="ru-RU"/>
        </w:rPr>
        <w:t xml:space="preserve">При реализации регионального проекта </w:t>
      </w:r>
      <w:r w:rsidRPr="00FD7B0B">
        <w:rPr>
          <w:rFonts w:ascii="Times New Roman" w:hAnsi="Times New Roman" w:cs="Times New Roman"/>
          <w:sz w:val="28"/>
          <w:szCs w:val="24"/>
        </w:rPr>
        <w:t>«Борьба с сердечно-сосудистыми заболеваниями»</w:t>
      </w:r>
      <w:r w:rsidRPr="00FD7B0B">
        <w:rPr>
          <w:rFonts w:ascii="Times New Roman" w:hAnsi="Times New Roman" w:cs="Times New Roman"/>
          <w:b/>
          <w:sz w:val="28"/>
          <w:szCs w:val="24"/>
        </w:rPr>
        <w:t xml:space="preserve"> </w:t>
      </w:r>
      <w:r w:rsidRPr="00FD7B0B">
        <w:rPr>
          <w:rFonts w:ascii="Times New Roman" w:hAnsi="Times New Roman" w:cs="Times New Roman"/>
          <w:sz w:val="28"/>
          <w:szCs w:val="24"/>
        </w:rPr>
        <w:t>следует отметить:</w:t>
      </w:r>
    </w:p>
    <w:p w14:paraId="730A6C1C" w14:textId="15EAD3A0" w:rsidR="00C83E1B" w:rsidRPr="00FD7B0B" w:rsidRDefault="00C83E1B" w:rsidP="00C83E1B">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рамках мероприятия «Переоснащены/дооснащены медицинским оборудованием региональные сосудистые центры и первичные сосудистые отделения в субъектах Российской Федерации» предусмотрены бюджетные ассигнования в общем объеме 118,4 млн.руб. Минздравом АО денежные средства перечислены шести медицинским организациям в полном объеме, согласно отчетным данным, исполнено минздравом АО по данному мероприятию 100 %, при этом освоение средств медицинскими организациями составило 21,9 млн.руб. или всего 18,4 %. </w:t>
      </w:r>
    </w:p>
    <w:p w14:paraId="7AB8EE68"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Причины низкого исполнения следующие: </w:t>
      </w:r>
    </w:p>
    <w:p w14:paraId="239EFF2C"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Компьютерный томограф для ГБУЗ Архангельской области «Коряжемская городская больница» не поставлен в связи с задержкой проведения ремонтных работ по причине недобросовестности исполнителей по контрактам.</w:t>
      </w:r>
    </w:p>
    <w:p w14:paraId="25B00A56" w14:textId="60073694"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данным ЕИС «Закупки», согласно контракту на капитальный ремонт помещения, заключенного ГБУЗ Архангельской области «Коряжемская городская больница» с ООО «Каскад» от 19.09.2024, срок выполнения работ – 18.11.2024. По состоянию на 31.12.2024 года работы не выполнены, в связи с чем 27.12.2024 контракт расторгнут в одностороннем порядке по причине недобросовестного исполнения Подрядчиком обязательств.</w:t>
      </w:r>
    </w:p>
    <w:p w14:paraId="6D89466D" w14:textId="2FD315ED"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При этом, контракт на поставку системы компьютерной томографии заключен 11.09.2023 года (за год до заключения контракта на проведение ремонтных работ) № 68-ГК с ООО «Пром МедСнаб». Согласно п. 5.1 контракта, поставка оборудования осуществляется – не ранее 20.01.2024 и не позднее 29.03.2024. До настоящего времени поставка оборудования не осуществлена по причине расторжения контракта на ремонт помеще</w:t>
      </w:r>
      <w:r w:rsidR="00056FAF" w:rsidRPr="00FD7B0B">
        <w:rPr>
          <w:rFonts w:ascii="Times New Roman" w:eastAsia="Times New Roman" w:hAnsi="Times New Roman" w:cs="Times New Roman"/>
          <w:sz w:val="28"/>
          <w:szCs w:val="28"/>
          <w:lang w:eastAsia="ru-RU"/>
        </w:rPr>
        <w:t>ния под установку оборудования.</w:t>
      </w:r>
    </w:p>
    <w:p w14:paraId="465FC4D9" w14:textId="0CAFD308" w:rsidR="00205BFC" w:rsidRPr="00FD7B0B" w:rsidRDefault="00205BFC" w:rsidP="00056FAF">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Согласно п.8.1 контракта № 68-ГК, ООО «Пром МедСнаб» оплачен аван</w:t>
      </w:r>
      <w:r w:rsidR="00056FAF" w:rsidRPr="00FD7B0B">
        <w:rPr>
          <w:rFonts w:ascii="Times New Roman" w:eastAsia="Times New Roman" w:hAnsi="Times New Roman" w:cs="Times New Roman"/>
          <w:sz w:val="28"/>
          <w:szCs w:val="28"/>
          <w:lang w:eastAsia="ru-RU"/>
        </w:rPr>
        <w:t>с 02.02.2024 в размере 7,0 млн.</w:t>
      </w:r>
      <w:r w:rsidRPr="00FD7B0B">
        <w:rPr>
          <w:rFonts w:ascii="Times New Roman" w:eastAsia="Times New Roman" w:hAnsi="Times New Roman" w:cs="Times New Roman"/>
          <w:sz w:val="28"/>
          <w:szCs w:val="28"/>
          <w:lang w:eastAsia="ru-RU"/>
        </w:rPr>
        <w:t>руб. (15</w:t>
      </w:r>
      <w:r w:rsidR="00056FAF"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r w:rsidR="00056FAF" w:rsidRPr="00FD7B0B">
        <w:rPr>
          <w:rFonts w:ascii="Times New Roman" w:eastAsia="Times New Roman" w:hAnsi="Times New Roman" w:cs="Times New Roman"/>
          <w:sz w:val="28"/>
          <w:szCs w:val="28"/>
          <w:lang w:eastAsia="ru-RU"/>
        </w:rPr>
        <w:t>.</w:t>
      </w:r>
    </w:p>
    <w:p w14:paraId="630F9F68" w14:textId="5C1E090F" w:rsidR="00205BFC" w:rsidRPr="00FD7B0B" w:rsidRDefault="00205BFC" w:rsidP="00205BFC">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Таким образом, бюджет</w:t>
      </w:r>
      <w:r w:rsidR="00C83E1B" w:rsidRPr="00FD7B0B">
        <w:rPr>
          <w:rFonts w:ascii="Times New Roman" w:hAnsi="Times New Roman" w:cs="Times New Roman"/>
          <w:sz w:val="28"/>
          <w:szCs w:val="28"/>
        </w:rPr>
        <w:t>ные средства в размере 7,0 млн.</w:t>
      </w:r>
      <w:r w:rsidRPr="00FD7B0B">
        <w:rPr>
          <w:rFonts w:ascii="Times New Roman" w:hAnsi="Times New Roman" w:cs="Times New Roman"/>
          <w:sz w:val="28"/>
          <w:szCs w:val="28"/>
        </w:rPr>
        <w:t>руб. находятся в пользовании поставщика ООО «Пром МедСнаб» медицинского оборудования более года, при этом реализация мероприятия не осуществлена.</w:t>
      </w:r>
    </w:p>
    <w:p w14:paraId="69634C2B" w14:textId="77777777" w:rsidR="00205BFC" w:rsidRPr="00FD7B0B" w:rsidRDefault="00205BFC" w:rsidP="00205BFC">
      <w:pPr>
        <w:pStyle w:val="ConsPlusNonformat"/>
        <w:tabs>
          <w:tab w:val="left" w:pos="993"/>
        </w:tabs>
        <w:ind w:firstLine="709"/>
        <w:jc w:val="both"/>
        <w:rPr>
          <w:rFonts w:ascii="Times New Roman" w:hAnsi="Times New Roman" w:cs="Times New Roman"/>
          <w:sz w:val="28"/>
          <w:szCs w:val="28"/>
        </w:rPr>
      </w:pPr>
    </w:p>
    <w:p w14:paraId="216E0356" w14:textId="6CC54B9B" w:rsidR="00205BFC" w:rsidRPr="00FD7B0B" w:rsidRDefault="00205BFC" w:rsidP="00205BFC">
      <w:pPr>
        <w:autoSpaceDE w:val="0"/>
        <w:autoSpaceDN w:val="0"/>
        <w:adjustRightInd w:val="0"/>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t>Согласно Соглашени</w:t>
      </w:r>
      <w:r w:rsidR="00056FAF" w:rsidRPr="00FD7B0B">
        <w:rPr>
          <w:rFonts w:ascii="Times New Roman" w:hAnsi="Times New Roman" w:cs="Times New Roman"/>
          <w:sz w:val="28"/>
          <w:szCs w:val="28"/>
        </w:rPr>
        <w:t>ю</w:t>
      </w:r>
      <w:r w:rsidR="00C83E1B" w:rsidRPr="00FD7B0B">
        <w:rPr>
          <w:rFonts w:ascii="Times New Roman" w:hAnsi="Times New Roman" w:cs="Times New Roman"/>
          <w:sz w:val="28"/>
          <w:szCs w:val="28"/>
        </w:rPr>
        <w:t>,</w:t>
      </w:r>
      <w:r w:rsidRPr="00FD7B0B">
        <w:rPr>
          <w:rFonts w:ascii="Times New Roman" w:hAnsi="Times New Roman" w:cs="Times New Roman"/>
          <w:sz w:val="28"/>
          <w:szCs w:val="28"/>
        </w:rPr>
        <w:t xml:space="preserve"> средства субсидии предоставлены </w:t>
      </w:r>
      <w:r w:rsidRPr="00FD7B0B">
        <w:rPr>
          <w:rFonts w:ascii="Times New Roman" w:eastAsia="Times New Roman" w:hAnsi="Times New Roman" w:cs="Times New Roman"/>
          <w:sz w:val="28"/>
          <w:szCs w:val="28"/>
          <w:lang w:eastAsia="ru-RU"/>
        </w:rPr>
        <w:t xml:space="preserve">ГБУЗ Архангельской области «Архангельская областная клиническая больница» (далее – ГБУЗ АО «АОКБ») </w:t>
      </w:r>
      <w:r w:rsidRPr="00FD7B0B">
        <w:rPr>
          <w:rFonts w:ascii="Times New Roman" w:hAnsi="Times New Roman" w:cs="Times New Roman"/>
          <w:sz w:val="28"/>
          <w:szCs w:val="28"/>
        </w:rPr>
        <w:t>на оснащение оборудованием региональных сосудистых центров и первичных сосудистых отделений (далее – Соглашение).</w:t>
      </w:r>
    </w:p>
    <w:p w14:paraId="1482BB6F" w14:textId="5E6CB911"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ГБУЗ АО «АОКБ» на поставку системы рентгеновской ангиографической стационарной, цифровой заключен контракт от 27.09.2024 № 343-О </w:t>
      </w:r>
      <w:r w:rsidR="00A679E0" w:rsidRPr="00FD7B0B">
        <w:rPr>
          <w:rFonts w:ascii="Times New Roman" w:eastAsia="Times New Roman" w:hAnsi="Times New Roman" w:cs="Times New Roman"/>
          <w:sz w:val="28"/>
          <w:szCs w:val="28"/>
          <w:lang w:eastAsia="ru-RU"/>
        </w:rPr>
        <w:t>с ООО «Грин» на сумму 58,5 млн.</w:t>
      </w:r>
      <w:r w:rsidRPr="00FD7B0B">
        <w:rPr>
          <w:rFonts w:ascii="Times New Roman" w:eastAsia="Times New Roman" w:hAnsi="Times New Roman" w:cs="Times New Roman"/>
          <w:sz w:val="28"/>
          <w:szCs w:val="28"/>
          <w:lang w:eastAsia="ru-RU"/>
        </w:rPr>
        <w:t>руб.</w:t>
      </w:r>
    </w:p>
    <w:p w14:paraId="765D45D9"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 1.3 контракта, поставка оборудования осуществляется Поставщиком с разгрузкой транспортного средства по адресу: ГБУЗ Архангельской области «Вельская центральная районная больница» г. Вельск Архангельской области ул. Конева, д.28-а, (далее – Место доставки). Оказание Услуг осуществляется Поставщиком в Месте доставки.</w:t>
      </w:r>
    </w:p>
    <w:p w14:paraId="734D7C55" w14:textId="1986C87C" w:rsidR="00205BFC" w:rsidRPr="00FD7B0B" w:rsidRDefault="00205BFC" w:rsidP="00205BFC">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Согласно п. 1.1 контракта № 343-О, поставщик обязуется в порядке и сроки, предусмотренные Контрактом, осуществить поставку системы рентгеновской ангиографической стационарной, цифровой (код </w:t>
      </w:r>
      <w:hyperlink r:id="rId19" w:history="1">
        <w:r w:rsidRPr="00FD7B0B">
          <w:rPr>
            <w:rFonts w:ascii="Times New Roman" w:eastAsia="Times New Roman" w:hAnsi="Times New Roman" w:cs="Times New Roman"/>
            <w:sz w:val="28"/>
            <w:szCs w:val="28"/>
            <w:lang w:eastAsia="ru-RU"/>
          </w:rPr>
          <w:t>ОКПД</w:t>
        </w:r>
      </w:hyperlink>
      <w:r w:rsidRPr="00FD7B0B">
        <w:rPr>
          <w:rFonts w:ascii="Times New Roman" w:eastAsia="Times New Roman" w:hAnsi="Times New Roman" w:cs="Times New Roman"/>
          <w:sz w:val="28"/>
          <w:szCs w:val="28"/>
          <w:lang w:eastAsia="ru-RU"/>
        </w:rPr>
        <w:t>2 – 26.60.11.113) в соответствии со Спецификацией (</w:t>
      </w:r>
      <w:hyperlink r:id="rId20" w:anchor="P347" w:history="1">
        <w:r w:rsidRPr="00FD7B0B">
          <w:rPr>
            <w:rFonts w:ascii="Times New Roman" w:eastAsia="Times New Roman" w:hAnsi="Times New Roman" w:cs="Times New Roman"/>
            <w:sz w:val="28"/>
            <w:szCs w:val="28"/>
            <w:lang w:eastAsia="ru-RU"/>
          </w:rPr>
          <w:t>приложение № 1</w:t>
        </w:r>
      </w:hyperlink>
      <w:r w:rsidRPr="00FD7B0B">
        <w:rPr>
          <w:rFonts w:ascii="Times New Roman" w:eastAsia="Times New Roman" w:hAnsi="Times New Roman" w:cs="Times New Roman"/>
          <w:sz w:val="28"/>
          <w:szCs w:val="28"/>
          <w:lang w:eastAsia="ru-RU"/>
        </w:rPr>
        <w:t xml:space="preserve"> к Контракту) и надлежащим образом оказать услуги по доставке, разгрузке, сборке, монтажу и установке Оборудования, ввода в эксплуатацию Оборудования, обучению правилам эксплуатации и инструктажу специалистов Заказчика, эксплуатирующих Оборудование (далее - Услуги), а Заказчик обязуется в порядке и сроки, предусмотренные Контрактом, принять и оплатить поставленное </w:t>
      </w:r>
      <w:r w:rsidR="00A679E0" w:rsidRPr="00FD7B0B">
        <w:rPr>
          <w:rFonts w:ascii="Times New Roman" w:eastAsia="Times New Roman" w:hAnsi="Times New Roman" w:cs="Times New Roman"/>
          <w:sz w:val="28"/>
          <w:szCs w:val="28"/>
          <w:lang w:eastAsia="ru-RU"/>
        </w:rPr>
        <w:t>о</w:t>
      </w:r>
      <w:r w:rsidRPr="00FD7B0B">
        <w:rPr>
          <w:rFonts w:ascii="Times New Roman" w:eastAsia="Times New Roman" w:hAnsi="Times New Roman" w:cs="Times New Roman"/>
          <w:sz w:val="28"/>
          <w:szCs w:val="28"/>
          <w:lang w:eastAsia="ru-RU"/>
        </w:rPr>
        <w:t xml:space="preserve">борудование и надлежащим образам оказанные </w:t>
      </w:r>
      <w:r w:rsidR="00056FAF" w:rsidRPr="00FD7B0B">
        <w:rPr>
          <w:rFonts w:ascii="Times New Roman" w:eastAsia="Times New Roman" w:hAnsi="Times New Roman" w:cs="Times New Roman"/>
          <w:sz w:val="28"/>
          <w:szCs w:val="28"/>
          <w:lang w:eastAsia="ru-RU"/>
        </w:rPr>
        <w:t>у</w:t>
      </w:r>
      <w:r w:rsidRPr="00FD7B0B">
        <w:rPr>
          <w:rFonts w:ascii="Times New Roman" w:eastAsia="Times New Roman" w:hAnsi="Times New Roman" w:cs="Times New Roman"/>
          <w:sz w:val="28"/>
          <w:szCs w:val="28"/>
          <w:lang w:eastAsia="ru-RU"/>
        </w:rPr>
        <w:t>слуги.</w:t>
      </w:r>
    </w:p>
    <w:p w14:paraId="7EA7B54C" w14:textId="4041EB59"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ЕИС «Закупки» размещены передаточные и гарантийные документы на поставку оборудования. Так согласно решению приемочной комиссии, состоящей из работников ГБУЗ АО «АОКБ» от 21.03.2025, прием-передача оборудования произведена по адресу: ГБУЗ АО «Вельская ЦРБ» по адресу: г. Вельск, ул. Конева д.28-а, оборудование поставлено и введено в эксплуатацию 14.03.2025 года. Оплата по контракту произведена ГБУЗ АО «АОК</w:t>
      </w:r>
      <w:r w:rsidR="00A679E0" w:rsidRPr="00FD7B0B">
        <w:rPr>
          <w:rFonts w:ascii="Times New Roman" w:eastAsia="Times New Roman" w:hAnsi="Times New Roman" w:cs="Times New Roman"/>
          <w:sz w:val="28"/>
          <w:szCs w:val="28"/>
          <w:lang w:eastAsia="ru-RU"/>
        </w:rPr>
        <w:t>Б» 26.03.2025 в сумме 56,8 млн.</w:t>
      </w:r>
      <w:r w:rsidRPr="00FD7B0B">
        <w:rPr>
          <w:rFonts w:ascii="Times New Roman" w:eastAsia="Times New Roman" w:hAnsi="Times New Roman" w:cs="Times New Roman"/>
          <w:sz w:val="28"/>
          <w:szCs w:val="28"/>
          <w:lang w:eastAsia="ru-RU"/>
        </w:rPr>
        <w:t>руб.</w:t>
      </w:r>
    </w:p>
    <w:p w14:paraId="02E31E86"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Следует отметить, что согласно лицензии на медицинскую деятельность Л041-01152-29/00553316, выданной ГБУЗ АО «АОКБ» (выписки из реестра лицензий по состоянию на 16.12.2024 и на 25.03.2025 г.) в адреса мест осуществления лицензируемого вида деятельности с указанием выполняемых работ, оказываемых услуг, составляющих лицензируемый вид деятельности ГБУЗ АО «Вельская ЦРБ» не включено.</w:t>
      </w:r>
    </w:p>
    <w:p w14:paraId="5E169C2C" w14:textId="497EA216" w:rsidR="00205BFC" w:rsidRPr="00FD7B0B" w:rsidRDefault="00205BFC" w:rsidP="00FA1840">
      <w:pPr>
        <w:pStyle w:val="ConsPlusNonformat"/>
        <w:widowControl/>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Кроме того, согласно программе Архангельской области «Борьба с сердечно-сосудистыми заболеваниями», утвержденной постановлением Правительства Архангельской области от 14.06.2024 № 455-пп, приобретение </w:t>
      </w:r>
      <w:r w:rsidRPr="00FD7B0B">
        <w:rPr>
          <w:rFonts w:ascii="Times New Roman" w:hAnsi="Times New Roman" w:cs="Times New Roman"/>
          <w:sz w:val="28"/>
          <w:szCs w:val="28"/>
        </w:rPr>
        <w:lastRenderedPageBreak/>
        <w:t>системы рентгеновской ангиографической стационарной для ГБУЗ АО «</w:t>
      </w:r>
      <w:r w:rsidR="00A679E0" w:rsidRPr="00FD7B0B">
        <w:rPr>
          <w:rFonts w:ascii="Times New Roman" w:hAnsi="Times New Roman" w:cs="Times New Roman"/>
          <w:sz w:val="28"/>
          <w:szCs w:val="28"/>
        </w:rPr>
        <w:t>Вельская ЦРБ» не предусмотрено.</w:t>
      </w:r>
    </w:p>
    <w:p w14:paraId="2472253F" w14:textId="4393B83B" w:rsidR="00205BFC" w:rsidRPr="00FD7B0B" w:rsidRDefault="00205BFC" w:rsidP="00205BFC">
      <w:pPr>
        <w:spacing w:after="0" w:line="240" w:lineRule="auto"/>
        <w:ind w:firstLine="709"/>
        <w:contextualSpacing/>
        <w:jc w:val="both"/>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sz w:val="28"/>
          <w:szCs w:val="28"/>
          <w:lang w:eastAsia="ru-RU"/>
        </w:rPr>
        <w:t xml:space="preserve">Ввиду того, что согласно Соглашению бюджетные ассигнования предусмотрены ГБУЗ АО «АОКБ», фактически дорогостоящее оборудование поставлено и введено в эксплуатацию другой медицинской организацией -ГБУЗ АО «Вельская ЦРБ», оказание медицинской помощи в которой согласно лицензии на осуществление медицинской деятельности ГБУЗ АО «ОАКБ» не предусмотрено, контрольно-счетной палатой Архангельской области усматриваются </w:t>
      </w:r>
      <w:r w:rsidR="00F8574E" w:rsidRPr="00FD7B0B">
        <w:rPr>
          <w:rFonts w:ascii="Times New Roman" w:eastAsia="Times New Roman" w:hAnsi="Times New Roman" w:cs="Times New Roman"/>
          <w:sz w:val="28"/>
          <w:szCs w:val="28"/>
          <w:lang w:eastAsia="ru-RU"/>
        </w:rPr>
        <w:t>риски</w:t>
      </w:r>
      <w:r w:rsidRPr="00FD7B0B">
        <w:rPr>
          <w:rFonts w:ascii="Times New Roman" w:eastAsia="Times New Roman" w:hAnsi="Times New Roman" w:cs="Times New Roman"/>
          <w:sz w:val="28"/>
          <w:szCs w:val="28"/>
          <w:lang w:eastAsia="ru-RU"/>
        </w:rPr>
        <w:t xml:space="preserve"> нецелевого использования средств областного бюджета, выделенных на реализацию регионального проекта </w:t>
      </w:r>
      <w:r w:rsidRPr="00FD7B0B">
        <w:rPr>
          <w:rFonts w:ascii="Times New Roman" w:hAnsi="Times New Roman" w:cs="Times New Roman"/>
          <w:sz w:val="28"/>
          <w:szCs w:val="24"/>
        </w:rPr>
        <w:t>«Борьба с сердечно-сосудистыми заболеваниями»</w:t>
      </w:r>
      <w:r w:rsidRPr="00FD7B0B">
        <w:rPr>
          <w:rFonts w:ascii="Times New Roman" w:eastAsia="Times New Roman" w:hAnsi="Times New Roman" w:cs="Times New Roman"/>
          <w:sz w:val="28"/>
          <w:szCs w:val="28"/>
          <w:lang w:eastAsia="ru-RU"/>
        </w:rPr>
        <w:t xml:space="preserve"> на сумму 56,8 млн.руб.</w:t>
      </w:r>
    </w:p>
    <w:p w14:paraId="4A0BA386" w14:textId="686F3EF1"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Кроме того, за счет средств, предусмотренных для реализации КПМ 4 «Обеспечение деятельности государственных организаций, подведомственных министерству здравоохранения Архангельской области, в сфере охраны здоровья» на основании Соглашения предоставлена субсидия ГБУЗ АО «АОКБ» на проведение </w:t>
      </w:r>
      <w:r w:rsidR="00A679E0" w:rsidRPr="00FD7B0B">
        <w:rPr>
          <w:rFonts w:ascii="Times New Roman" w:eastAsia="Times New Roman" w:hAnsi="Times New Roman" w:cs="Times New Roman"/>
          <w:sz w:val="28"/>
          <w:szCs w:val="28"/>
          <w:lang w:eastAsia="ru-RU"/>
        </w:rPr>
        <w:t>капитального ремонта помещения.</w:t>
      </w:r>
    </w:p>
    <w:p w14:paraId="3B8D2A04" w14:textId="257BD6AC"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Согласно данным ЕИС «Закупки» между ГБУЗ АО «АОКБ» и ООО «Фридом» заключен контракт на выполнение капитального ремонта помещения для установки системы ангиографической рентгеновской </w:t>
      </w:r>
      <w:r w:rsidRPr="00FD7B0B">
        <w:rPr>
          <w:rFonts w:ascii="Times New Roman" w:eastAsia="Times New Roman" w:hAnsi="Times New Roman" w:cs="Times New Roman"/>
          <w:sz w:val="28"/>
          <w:szCs w:val="28"/>
          <w:lang w:val="en-US" w:eastAsia="ru-RU"/>
        </w:rPr>
        <w:t>Optima</w:t>
      </w:r>
      <w:r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val="en-US" w:eastAsia="ru-RU"/>
        </w:rPr>
        <w:t>IGS</w:t>
      </w:r>
      <w:r w:rsidRPr="00FD7B0B">
        <w:rPr>
          <w:rFonts w:ascii="Times New Roman" w:eastAsia="Times New Roman" w:hAnsi="Times New Roman" w:cs="Times New Roman"/>
          <w:sz w:val="28"/>
          <w:szCs w:val="28"/>
          <w:lang w:eastAsia="ru-RU"/>
        </w:rPr>
        <w:t xml:space="preserve"> 330 от 23.10.2024 № 1365-О. Согласно п. 1.4. контракта, место выполнения работ: г.</w:t>
      </w:r>
      <w:r w:rsidR="00A679E0"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Вельск, ул. Конева, д. 28а.</w:t>
      </w:r>
    </w:p>
    <w:p w14:paraId="3191A93B"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данным ЕИС капитальный ремонт помещения ГБУЗ АО «Вельская ЦРБ» произведен в полном объеме, оплата ГБУЗ АО «АОКБ по контракту осуществлена на сумму 30,8 млн.руб. (последний платеж произведен 15. 04. 2025 года).</w:t>
      </w:r>
    </w:p>
    <w:p w14:paraId="3C1604BD" w14:textId="7F161A8F" w:rsidR="00205BFC" w:rsidRPr="00FD7B0B" w:rsidRDefault="00205BFC" w:rsidP="00205BFC">
      <w:pPr>
        <w:spacing w:after="0" w:line="240" w:lineRule="auto"/>
        <w:ind w:firstLine="709"/>
        <w:contextualSpacing/>
        <w:jc w:val="both"/>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sz w:val="28"/>
          <w:szCs w:val="28"/>
          <w:lang w:eastAsia="ru-RU"/>
        </w:rPr>
        <w:t xml:space="preserve">Ввиду того, что согласно Соглашению бюджетные ассигнования предусмотрены ГБУЗ АО «АОКБ», фактически проведен капитальный ремонт имущества, принадлежащего другой медицинской организации ГБУЗ АО «Вельская ЦРБ», контрольно-счетной палатой Архангельской области усматриваются </w:t>
      </w:r>
      <w:r w:rsidR="00F8574E" w:rsidRPr="00FD7B0B">
        <w:rPr>
          <w:rFonts w:ascii="Times New Roman" w:eastAsia="Times New Roman" w:hAnsi="Times New Roman" w:cs="Times New Roman"/>
          <w:sz w:val="28"/>
          <w:szCs w:val="28"/>
          <w:lang w:eastAsia="ru-RU"/>
        </w:rPr>
        <w:t>риски</w:t>
      </w:r>
      <w:r w:rsidRPr="00FD7B0B">
        <w:rPr>
          <w:rFonts w:ascii="Times New Roman" w:eastAsia="Times New Roman" w:hAnsi="Times New Roman" w:cs="Times New Roman"/>
          <w:sz w:val="28"/>
          <w:szCs w:val="28"/>
          <w:lang w:eastAsia="ru-RU"/>
        </w:rPr>
        <w:t xml:space="preserve"> нецелевого использования средств областного бюджета, выделенных на реализацию КПМ 4 на сумму 30,8 млн.руб.</w:t>
      </w:r>
    </w:p>
    <w:p w14:paraId="33C0AB5D"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eastAsia="Times New Roman" w:hAnsi="Times New Roman" w:cs="Times New Roman"/>
          <w:sz w:val="28"/>
          <w:szCs w:val="28"/>
          <w:lang w:eastAsia="ru-RU"/>
        </w:rPr>
        <w:t xml:space="preserve">При реализации регионального проекта </w:t>
      </w:r>
      <w:r w:rsidRPr="00FD7B0B">
        <w:rPr>
          <w:rFonts w:ascii="Times New Roman" w:hAnsi="Times New Roman" w:cs="Times New Roman"/>
          <w:sz w:val="28"/>
          <w:szCs w:val="24"/>
        </w:rPr>
        <w:t>«Модернизация первичного звена здравоохранения РФ (Архангельская область)»</w:t>
      </w:r>
      <w:r w:rsidRPr="00FD7B0B">
        <w:rPr>
          <w:rFonts w:ascii="Times New Roman" w:hAnsi="Times New Roman" w:cs="Times New Roman"/>
          <w:b/>
          <w:sz w:val="28"/>
          <w:szCs w:val="24"/>
        </w:rPr>
        <w:t xml:space="preserve"> </w:t>
      </w:r>
      <w:r w:rsidRPr="00FD7B0B">
        <w:rPr>
          <w:rFonts w:ascii="Times New Roman" w:hAnsi="Times New Roman" w:cs="Times New Roman"/>
          <w:sz w:val="28"/>
          <w:szCs w:val="24"/>
        </w:rPr>
        <w:t>следует отметить:</w:t>
      </w:r>
    </w:p>
    <w:p w14:paraId="017AED6C"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4"/>
        </w:rPr>
      </w:pPr>
    </w:p>
    <w:p w14:paraId="63F30B85" w14:textId="3F2C7351"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По мероприятию «Приобретены и смонтированы быстровозводимые модульные конструкции объектов медицинских организаций» денежные средства перечислены минздравом АО ГБУЗ АО «Архангельская городская клиническая больница № 6» в сумме 27,0 млн.руб. или 100</w:t>
      </w:r>
      <w:r w:rsidR="001A7359" w:rsidRPr="00FD7B0B">
        <w:rPr>
          <w:rFonts w:ascii="Times New Roman" w:hAnsi="Times New Roman" w:cs="Times New Roman"/>
          <w:sz w:val="28"/>
          <w:szCs w:val="24"/>
        </w:rPr>
        <w:t xml:space="preserve"> </w:t>
      </w:r>
      <w:r w:rsidRPr="00FD7B0B">
        <w:rPr>
          <w:rFonts w:ascii="Times New Roman" w:hAnsi="Times New Roman" w:cs="Times New Roman"/>
          <w:sz w:val="28"/>
          <w:szCs w:val="24"/>
        </w:rPr>
        <w:t>%, освоение учреждением составило 0</w:t>
      </w:r>
      <w:r w:rsidR="00597643" w:rsidRPr="00FD7B0B">
        <w:rPr>
          <w:rFonts w:ascii="Times New Roman" w:hAnsi="Times New Roman" w:cs="Times New Roman"/>
          <w:sz w:val="28"/>
          <w:szCs w:val="24"/>
        </w:rPr>
        <w:t xml:space="preserve"> </w:t>
      </w:r>
      <w:r w:rsidRPr="00FD7B0B">
        <w:rPr>
          <w:rFonts w:ascii="Times New Roman" w:hAnsi="Times New Roman" w:cs="Times New Roman"/>
          <w:sz w:val="28"/>
          <w:szCs w:val="24"/>
        </w:rPr>
        <w:t>%.</w:t>
      </w:r>
    </w:p>
    <w:p w14:paraId="7E0DCB80"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Согласно данным ЕИС «Закупки» контракт ГБУЗ АО «Архангельская городская клиническая больница № 6» заключен с ООО «БизнесСтройКомплекс» от 20.05.2024 № 121-А по поставке и монтажу быстровозводимого модульного здания - офис врача общей практики.</w:t>
      </w:r>
    </w:p>
    <w:p w14:paraId="7244DF2A" w14:textId="77777777" w:rsidR="00205BFC" w:rsidRPr="00FD7B0B" w:rsidRDefault="00205BFC" w:rsidP="00205BFC">
      <w:pPr>
        <w:spacing w:after="0" w:line="240" w:lineRule="auto"/>
        <w:ind w:firstLine="709"/>
        <w:jc w:val="both"/>
        <w:rPr>
          <w:rFonts w:ascii="Times New Roman" w:hAnsi="Times New Roman" w:cs="Times New Roman"/>
          <w:sz w:val="28"/>
          <w:szCs w:val="24"/>
        </w:rPr>
      </w:pPr>
      <w:r w:rsidRPr="00FD7B0B">
        <w:rPr>
          <w:rFonts w:ascii="Times New Roman" w:hAnsi="Times New Roman" w:cs="Times New Roman"/>
          <w:sz w:val="28"/>
          <w:szCs w:val="28"/>
        </w:rPr>
        <w:t xml:space="preserve">Согласно отчету о выполнении ГП № 01, «в соответствии с экспертным заключением по результатам приемки ОВОП, техническое состояние объекта </w:t>
      </w:r>
      <w:r w:rsidRPr="00FD7B0B">
        <w:rPr>
          <w:rFonts w:ascii="Times New Roman" w:hAnsi="Times New Roman" w:cs="Times New Roman"/>
          <w:sz w:val="28"/>
          <w:szCs w:val="28"/>
        </w:rPr>
        <w:lastRenderedPageBreak/>
        <w:t xml:space="preserve">оценивается как аварийное. 24.12.2024 Заказчиком расторгнут контракт в одностороннем порядке в связи с недобросовестным исполнением поставщиком условий контракта. В адрес поставщика направлены требования об освобождении земельного участка и уплате неустойки. Срок исполнения до 31.01.2025. Требования не исполнены. </w:t>
      </w:r>
      <w:r w:rsidRPr="00FD7B0B">
        <w:rPr>
          <w:rFonts w:ascii="Times New Roman" w:eastAsia="Times New Roman" w:hAnsi="Times New Roman" w:cs="Times New Roman"/>
          <w:sz w:val="28"/>
          <w:szCs w:val="28"/>
          <w:lang w:eastAsia="ru-RU"/>
        </w:rPr>
        <w:t xml:space="preserve">В настоящий момент заключение контракта с новым поставщиком невозможно по причине того, что на земельном участке находится модульная конструкция, установленная предыдущим Поставщиком». </w:t>
      </w:r>
      <w:r w:rsidRPr="00FD7B0B">
        <w:rPr>
          <w:rFonts w:ascii="Times New Roman" w:hAnsi="Times New Roman" w:cs="Times New Roman"/>
          <w:sz w:val="28"/>
          <w:szCs w:val="24"/>
        </w:rPr>
        <w:t>В настоящее время ведутся судебные разбирательства.</w:t>
      </w:r>
    </w:p>
    <w:p w14:paraId="21C9CE72" w14:textId="5E19524F" w:rsidR="00820E2F" w:rsidRPr="00FD7B0B" w:rsidRDefault="00820E2F" w:rsidP="00820E2F">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По мероприятию «Приобретено оборудование в медицинские организации, оказывающие первичную медико-санитарную помощь, а также в медицинские организации, расположенные в сельской местности, поселках городского типа и малых городах с численностью населения до 50 тыс. человек» минздравом АО денежные средства перечислены 26 медицинским органи</w:t>
      </w:r>
      <w:r w:rsidR="00597643" w:rsidRPr="00FD7B0B">
        <w:rPr>
          <w:rFonts w:ascii="Times New Roman" w:hAnsi="Times New Roman" w:cs="Times New Roman"/>
          <w:sz w:val="28"/>
          <w:szCs w:val="24"/>
        </w:rPr>
        <w:t>зациям в общей сумме 236,6 млн.</w:t>
      </w:r>
      <w:r w:rsidRPr="00FD7B0B">
        <w:rPr>
          <w:rFonts w:ascii="Times New Roman" w:hAnsi="Times New Roman" w:cs="Times New Roman"/>
          <w:sz w:val="28"/>
          <w:szCs w:val="24"/>
        </w:rPr>
        <w:t>руб., минзравом АО исполнено мероприятие на 100%. Согласно информации о расходовании субсидии на иные цели, кассовые расходы учреждений составили 171,6 млн.руб. или 72,5 %.</w:t>
      </w:r>
    </w:p>
    <w:p w14:paraId="3D63B45C"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Причинами неполного освоения средств является:</w:t>
      </w:r>
    </w:p>
    <w:p w14:paraId="350B028B" w14:textId="48A52420"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Контракт на поставку системы рентгеновской компьютерной томографии всего тела, ввод в эксплуатацию системы рентгеновской компьютерной томографии всего тела, обучение правилам эксплуатации специалистов, эксплуатирующих систему рентгеновской компьютерной томографии всего тела от 11.09.2023 года № 0124200000623005659_86 заключен ГБУЗ АО «Карпогорская ЦРБ» с ООО «Альянс Хелз Технолоджи» стоимостью 38,0 млн.руб.</w:t>
      </w:r>
    </w:p>
    <w:p w14:paraId="026D4F2A" w14:textId="0E05CD7F"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Согласно п. 5.1. контракта, поставка оборудования и оказание услуг осуществляются не ранее 20.01.2024 и не позднее 29.03.2024. До настоящего времени томограф не поставлен.</w:t>
      </w:r>
    </w:p>
    <w:p w14:paraId="3682A85E" w14:textId="5F3787EE"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На выполнение работ по капитальному ремонту помещений для установки оборудования: Система компьютерной томографии Incisive CT с принадлежностями ГБУЗ АО «Карпогорская ЦРБ» заключен контракт с ООО «Вариант» от 18</w:t>
      </w:r>
      <w:r w:rsidR="007F1703" w:rsidRPr="00FD7B0B">
        <w:rPr>
          <w:rFonts w:ascii="Times New Roman" w:hAnsi="Times New Roman" w:cs="Times New Roman"/>
          <w:sz w:val="28"/>
          <w:szCs w:val="24"/>
        </w:rPr>
        <w:t>.09.2024 года на сумму 5,1 млн.</w:t>
      </w:r>
      <w:r w:rsidRPr="00FD7B0B">
        <w:rPr>
          <w:rFonts w:ascii="Times New Roman" w:hAnsi="Times New Roman" w:cs="Times New Roman"/>
          <w:sz w:val="28"/>
          <w:szCs w:val="24"/>
        </w:rPr>
        <w:t>руб., со сроком выполнения согласно п. 1.3 контракта в течение 90 календарных дней с даты заключения Контракта или до 15.12.2024 года.</w:t>
      </w:r>
    </w:p>
    <w:p w14:paraId="4D81FB23"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Согласно данным ГБУЗ АО «Карпогорская ЦРБ», необходимые ремонтные работы выполнены, помещение подготовлено под установку оборудования, для завершения ремонтных работ (зашивки стены) и оплаты по контракту требуется поставить томограф.</w:t>
      </w:r>
    </w:p>
    <w:p w14:paraId="0E8C4828"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Система компьютерной томографии до настоящего времени не поставлена. Учреждением ведется претензионная работа с ООО «Альянс Хелз Технолоджи» по нарушению сроков исполнения контракта.</w:t>
      </w:r>
    </w:p>
    <w:p w14:paraId="36B8E339" w14:textId="2974C712"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Следует отметит</w:t>
      </w:r>
      <w:r w:rsidR="007F1703" w:rsidRPr="00FD7B0B">
        <w:rPr>
          <w:rFonts w:ascii="Times New Roman" w:hAnsi="Times New Roman" w:cs="Times New Roman"/>
          <w:sz w:val="28"/>
          <w:szCs w:val="24"/>
        </w:rPr>
        <w:t>ь, что аванс в размере 5,7 млн.</w:t>
      </w:r>
      <w:r w:rsidRPr="00FD7B0B">
        <w:rPr>
          <w:rFonts w:ascii="Times New Roman" w:hAnsi="Times New Roman" w:cs="Times New Roman"/>
          <w:sz w:val="28"/>
          <w:szCs w:val="24"/>
        </w:rPr>
        <w:t>руб. перечислен поставщику 31.01.2024 (то есть более года назад), реализация мероприятия не осуществлена.</w:t>
      </w:r>
    </w:p>
    <w:p w14:paraId="6DF1E07D"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4"/>
        </w:rPr>
      </w:pPr>
    </w:p>
    <w:p w14:paraId="14C55E60" w14:textId="77777777" w:rsidR="00820E2F" w:rsidRPr="00FD7B0B" w:rsidRDefault="00820E2F" w:rsidP="00820E2F">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 xml:space="preserve">По мероприятию «Осуществление капитального ремонта зданий медицинских организаций и их обособленных структурных подразделений, </w:t>
      </w:r>
      <w:r w:rsidRPr="00FD7B0B">
        <w:rPr>
          <w:rFonts w:ascii="Times New Roman" w:hAnsi="Times New Roman" w:cs="Times New Roman"/>
          <w:sz w:val="28"/>
          <w:szCs w:val="24"/>
        </w:rPr>
        <w:lastRenderedPageBreak/>
        <w:t>расположенных в том числе в сельской местности, рабочих поселках, поселках городского типа и малых городах с численностью населения до 50 тыс. человек» средства распределены в полном объеме на проведение ремонтных работ на 17 объектах, освоено медицинским организациями 223,9 млн.руб. или на 61,2 %.</w:t>
      </w:r>
    </w:p>
    <w:p w14:paraId="2F6B9695" w14:textId="615A083B"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Между ГБУЗ АО «Яренская центральная районная больница» и ООО «ИНВЕСТСТРОЙ» заключен контракт от 30.05.2024 года на выполнение работ по капитальному ремонту поликлиники по адресу: Архангельская область, Ленский район, с. Яренск, ул. Братьев Покро</w:t>
      </w:r>
      <w:r w:rsidR="007F1703" w:rsidRPr="00FD7B0B">
        <w:rPr>
          <w:rFonts w:ascii="Times New Roman" w:hAnsi="Times New Roman" w:cs="Times New Roman"/>
          <w:sz w:val="28"/>
          <w:szCs w:val="24"/>
        </w:rPr>
        <w:t>вских, д. 35 на сумму 28,8 млн.</w:t>
      </w:r>
      <w:r w:rsidRPr="00FD7B0B">
        <w:rPr>
          <w:rFonts w:ascii="Times New Roman" w:hAnsi="Times New Roman" w:cs="Times New Roman"/>
          <w:sz w:val="28"/>
          <w:szCs w:val="24"/>
        </w:rPr>
        <w:t>руб.</w:t>
      </w:r>
    </w:p>
    <w:p w14:paraId="4D7C92CB" w14:textId="55FA9E71"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Согласно п. 3.5 контракта, оплата по Контракту производится с авансовым платежом в размере 15</w:t>
      </w:r>
      <w:r w:rsidR="007F1703" w:rsidRPr="00FD7B0B">
        <w:rPr>
          <w:rFonts w:ascii="Times New Roman" w:hAnsi="Times New Roman" w:cs="Times New Roman"/>
          <w:sz w:val="28"/>
          <w:szCs w:val="24"/>
        </w:rPr>
        <w:t xml:space="preserve"> </w:t>
      </w:r>
      <w:r w:rsidRPr="00FD7B0B">
        <w:rPr>
          <w:rFonts w:ascii="Times New Roman" w:hAnsi="Times New Roman" w:cs="Times New Roman"/>
          <w:sz w:val="28"/>
          <w:szCs w:val="24"/>
        </w:rPr>
        <w:t>% от цены Контракта в пределах соответствующих выплат, указанных в плане финансово-хозяйственной деятельности Заказчика.</w:t>
      </w:r>
    </w:p>
    <w:p w14:paraId="3F184638" w14:textId="465DE93D"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Аванс перечислен ООО «ИНВЕСТСТРОЙ» 0</w:t>
      </w:r>
      <w:r w:rsidR="007F1703" w:rsidRPr="00FD7B0B">
        <w:rPr>
          <w:rFonts w:ascii="Times New Roman" w:hAnsi="Times New Roman" w:cs="Times New Roman"/>
          <w:sz w:val="28"/>
          <w:szCs w:val="24"/>
        </w:rPr>
        <w:t>3.06.2024 года в сумме 4,3 млн.</w:t>
      </w:r>
      <w:r w:rsidRPr="00FD7B0B">
        <w:rPr>
          <w:rFonts w:ascii="Times New Roman" w:hAnsi="Times New Roman" w:cs="Times New Roman"/>
          <w:sz w:val="28"/>
          <w:szCs w:val="24"/>
        </w:rPr>
        <w:t>руб. (15</w:t>
      </w:r>
      <w:r w:rsidR="007F1703" w:rsidRPr="00FD7B0B">
        <w:rPr>
          <w:rFonts w:ascii="Times New Roman" w:hAnsi="Times New Roman" w:cs="Times New Roman"/>
          <w:sz w:val="28"/>
          <w:szCs w:val="24"/>
        </w:rPr>
        <w:t xml:space="preserve"> </w:t>
      </w:r>
      <w:r w:rsidRPr="00FD7B0B">
        <w:rPr>
          <w:rFonts w:ascii="Times New Roman" w:hAnsi="Times New Roman" w:cs="Times New Roman"/>
          <w:sz w:val="28"/>
          <w:szCs w:val="24"/>
        </w:rPr>
        <w:t xml:space="preserve">%). Кроме того, на основании акта о приемке выполненных работ от 05.09.2024 произведена оплата в сумме 2,0 </w:t>
      </w:r>
      <w:r w:rsidR="007F1703" w:rsidRPr="00FD7B0B">
        <w:rPr>
          <w:rFonts w:ascii="Times New Roman" w:hAnsi="Times New Roman" w:cs="Times New Roman"/>
          <w:sz w:val="28"/>
          <w:szCs w:val="24"/>
        </w:rPr>
        <w:t>млн.руб.</w:t>
      </w:r>
    </w:p>
    <w:p w14:paraId="214AAF55"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В связи с невыполнением ООО «ИНВЕСТСТРОЙ» обязательств по контракту, контракт расторгнут на основании решения об одностороннем отказе от исполнения контракта. Директору ООО «ИНВЕСТСТРОЙ» направлено решения об одностороннем отказе от исполнения контракта от 13.11.2024 года с требованием вернуть на счет медицинской организации неотработанный аванс.</w:t>
      </w:r>
    </w:p>
    <w:p w14:paraId="49351350" w14:textId="1BC9AC71" w:rsidR="00205BFC" w:rsidRPr="00FD7B0B" w:rsidRDefault="00205BFC" w:rsidP="00205BFC">
      <w:pPr>
        <w:spacing w:after="0" w:line="240" w:lineRule="auto"/>
        <w:ind w:firstLine="709"/>
        <w:contextualSpacing/>
        <w:jc w:val="both"/>
        <w:rPr>
          <w:rFonts w:ascii="Times New Roman" w:hAnsi="Times New Roman" w:cs="Times New Roman"/>
          <w:sz w:val="28"/>
          <w:szCs w:val="24"/>
        </w:rPr>
      </w:pPr>
      <w:r w:rsidRPr="00FD7B0B">
        <w:rPr>
          <w:rFonts w:ascii="Times New Roman" w:hAnsi="Times New Roman" w:cs="Times New Roman"/>
          <w:sz w:val="28"/>
          <w:szCs w:val="24"/>
        </w:rPr>
        <w:t>По состоянию на 20.04.2025 года неотработанный аванс в сумме 4,3 млн.руб. ГБУЗ АО «Яренская ЦРБ» не возвращен, мероприятие не выполнено.</w:t>
      </w:r>
    </w:p>
    <w:p w14:paraId="1432D030"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4"/>
        </w:rPr>
      </w:pPr>
    </w:p>
    <w:p w14:paraId="7C697908"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мероприятию «Осуществлено новое строительство (реконструкция) объектов медицинских организаций» следует отметить:</w:t>
      </w:r>
    </w:p>
    <w:p w14:paraId="75551F90" w14:textId="4F13BFC8"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объекту «Строительство поликлиники для детского населения в г.</w:t>
      </w:r>
      <w:r w:rsidR="002D3D91"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Котлас» следует отметить:</w:t>
      </w:r>
    </w:p>
    <w:p w14:paraId="5DA8DAA9"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отчету о реализации ГП № 01 за 2024 год, «Контракт на строительство поликлиники для детского населения в г. Котласе заключен 22.11.2021. Техническая готовность объекта составляет 94 %. Заказчиком 02.08.2024 контракт расторгнут в одностороннем порядке по причине недобросовестного исполнения подрядчиком обязательств. Проведена инвентаризация выполненных работ, корректировка проектной документации. 24.12.2024 заключен контракт на завершение строительно-монтажных работ. Срок завершения строительства – не позднее 30.09.2025»</w:t>
      </w:r>
    </w:p>
    <w:p w14:paraId="31D96F45" w14:textId="20B778B0"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При этом, согласно данным ЕИС «Закупки» цена контракта на строительство поликлиники для детского населения в г. Котлас», заключённого ГКУ «ГУКС» с  ООО «Бе</w:t>
      </w:r>
      <w:r w:rsidR="002D3D91" w:rsidRPr="00FD7B0B">
        <w:rPr>
          <w:rFonts w:ascii="Times New Roman" w:eastAsia="Times New Roman" w:hAnsi="Times New Roman" w:cs="Times New Roman"/>
          <w:sz w:val="28"/>
          <w:szCs w:val="28"/>
          <w:lang w:eastAsia="ru-RU"/>
        </w:rPr>
        <w:t>лый дом», составляла 868,2 млн.</w:t>
      </w:r>
      <w:r w:rsidRPr="00FD7B0B">
        <w:rPr>
          <w:rFonts w:ascii="Times New Roman" w:eastAsia="Times New Roman" w:hAnsi="Times New Roman" w:cs="Times New Roman"/>
          <w:sz w:val="28"/>
          <w:szCs w:val="28"/>
          <w:lang w:eastAsia="ru-RU"/>
        </w:rPr>
        <w:t>руб., стоимость принятых работ – 812,6 млн.руб., при этом</w:t>
      </w:r>
      <w:r w:rsidR="002D3D91" w:rsidRPr="00FD7B0B">
        <w:rPr>
          <w:rFonts w:ascii="Times New Roman" w:eastAsia="Times New Roman" w:hAnsi="Times New Roman" w:cs="Times New Roman"/>
          <w:sz w:val="28"/>
          <w:szCs w:val="28"/>
          <w:lang w:eastAsia="ru-RU"/>
        </w:rPr>
        <w:t xml:space="preserve"> фактически оплачено 851,4 млн.</w:t>
      </w:r>
      <w:r w:rsidRPr="00FD7B0B">
        <w:rPr>
          <w:rFonts w:ascii="Times New Roman" w:eastAsia="Times New Roman" w:hAnsi="Times New Roman" w:cs="Times New Roman"/>
          <w:sz w:val="28"/>
          <w:szCs w:val="28"/>
          <w:lang w:eastAsia="ru-RU"/>
        </w:rPr>
        <w:t>руб. Таким образом, сумма неотработанн</w:t>
      </w:r>
      <w:r w:rsidR="002D3D91" w:rsidRPr="00FD7B0B">
        <w:rPr>
          <w:rFonts w:ascii="Times New Roman" w:eastAsia="Times New Roman" w:hAnsi="Times New Roman" w:cs="Times New Roman"/>
          <w:sz w:val="28"/>
          <w:szCs w:val="28"/>
          <w:lang w:eastAsia="ru-RU"/>
        </w:rPr>
        <w:t>ого аванса составляет 38,8 млн.</w:t>
      </w:r>
      <w:r w:rsidRPr="00FD7B0B">
        <w:rPr>
          <w:rFonts w:ascii="Times New Roman" w:eastAsia="Times New Roman" w:hAnsi="Times New Roman" w:cs="Times New Roman"/>
          <w:sz w:val="28"/>
          <w:szCs w:val="28"/>
          <w:lang w:eastAsia="ru-RU"/>
        </w:rPr>
        <w:t>руб. Контракт расторгнут Заказчиком в одностороннем порядке 02.08.2024 по причине недобросовестного исполнения подрядчиком обязательств, ведется претензионная работа, таким образом существует риск причинения ущерба бюджету Архангел</w:t>
      </w:r>
      <w:r w:rsidR="002D3D91" w:rsidRPr="00FD7B0B">
        <w:rPr>
          <w:rFonts w:ascii="Times New Roman" w:eastAsia="Times New Roman" w:hAnsi="Times New Roman" w:cs="Times New Roman"/>
          <w:sz w:val="28"/>
          <w:szCs w:val="28"/>
          <w:lang w:eastAsia="ru-RU"/>
        </w:rPr>
        <w:t>ьской области в сумме 38,8 млн.</w:t>
      </w:r>
      <w:r w:rsidRPr="00FD7B0B">
        <w:rPr>
          <w:rFonts w:ascii="Times New Roman" w:eastAsia="Times New Roman" w:hAnsi="Times New Roman" w:cs="Times New Roman"/>
          <w:sz w:val="28"/>
          <w:szCs w:val="28"/>
          <w:lang w:eastAsia="ru-RU"/>
        </w:rPr>
        <w:t>руб.</w:t>
      </w:r>
    </w:p>
    <w:p w14:paraId="7D8E76CA" w14:textId="62D6E17F" w:rsidR="00205BFC" w:rsidRPr="00FD7B0B" w:rsidRDefault="00205BFC" w:rsidP="006C19C8">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Кроме того, согласно данным ЕИС «Закупки» в адрес ООО «Белый дом» выставлена неустойка (штрафы, пени) в 20</w:t>
      </w:r>
      <w:r w:rsidR="006C19C8" w:rsidRPr="00FD7B0B">
        <w:rPr>
          <w:rFonts w:ascii="Times New Roman" w:eastAsia="Times New Roman" w:hAnsi="Times New Roman" w:cs="Times New Roman"/>
          <w:sz w:val="28"/>
          <w:szCs w:val="28"/>
          <w:lang w:eastAsia="ru-RU"/>
        </w:rPr>
        <w:t>24 году на общую сумму 7,7 млн.</w:t>
      </w:r>
      <w:r w:rsidRPr="00FD7B0B">
        <w:rPr>
          <w:rFonts w:ascii="Times New Roman" w:eastAsia="Times New Roman" w:hAnsi="Times New Roman" w:cs="Times New Roman"/>
          <w:sz w:val="28"/>
          <w:szCs w:val="28"/>
          <w:lang w:eastAsia="ru-RU"/>
        </w:rPr>
        <w:t xml:space="preserve">руб. </w:t>
      </w:r>
      <w:r w:rsidRPr="00FD7B0B">
        <w:rPr>
          <w:rFonts w:ascii="Times New Roman" w:eastAsia="Times New Roman" w:hAnsi="Times New Roman" w:cs="Times New Roman"/>
          <w:sz w:val="28"/>
          <w:szCs w:val="28"/>
          <w:lang w:eastAsia="ru-RU"/>
        </w:rPr>
        <w:lastRenderedPageBreak/>
        <w:t>по причине просрочки исполнения поставщиком (подрядчиком, исполнителем) обязательств, предусмотренных контрактом (в том числе гарантийного обязательства) и ненадлежащее исполнение поставщиком (подрядчиком, исполнителем) обязательств, предусмотренных контрактом, за исключением просрочки исполнения поставщиком (подрядчиком, исполнителем) обязательств (в том числе гарантийного обязательства), предусмотренных контрактом.</w:t>
      </w:r>
    </w:p>
    <w:p w14:paraId="5D702395"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p>
    <w:p w14:paraId="2A6E3A0E" w14:textId="329623A0"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КПМ 6 «Осуществление деятельности министерства здравоохранения Архангельской области в сфере охр</w:t>
      </w:r>
      <w:r w:rsidR="00672C47" w:rsidRPr="00FD7B0B">
        <w:rPr>
          <w:rFonts w:ascii="Times New Roman" w:eastAsia="Times New Roman" w:hAnsi="Times New Roman" w:cs="Times New Roman"/>
          <w:sz w:val="28"/>
          <w:szCs w:val="28"/>
          <w:lang w:eastAsia="ru-RU"/>
        </w:rPr>
        <w:t>аны здоровья» следует отметить:</w:t>
      </w:r>
    </w:p>
    <w:p w14:paraId="61B5EDB2" w14:textId="3EC4A65F"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таблице 5 приведена информация о расходование средств бюджета по мероприятию «Обеспечены лекарственными препаратами, медицинскими изделиями и специализированными продуктами лечебного питания отдельные группы населени</w:t>
      </w:r>
      <w:r w:rsidR="00672C47" w:rsidRPr="00FD7B0B">
        <w:rPr>
          <w:rFonts w:ascii="Times New Roman" w:eastAsia="Times New Roman" w:hAnsi="Times New Roman" w:cs="Times New Roman"/>
          <w:sz w:val="28"/>
          <w:szCs w:val="28"/>
          <w:lang w:eastAsia="ru-RU"/>
        </w:rPr>
        <w:t>я» за 2023 и за 2024 годы, млн.</w:t>
      </w:r>
      <w:r w:rsidRPr="00FD7B0B">
        <w:rPr>
          <w:rFonts w:ascii="Times New Roman" w:eastAsia="Times New Roman" w:hAnsi="Times New Roman" w:cs="Times New Roman"/>
          <w:sz w:val="28"/>
          <w:szCs w:val="28"/>
          <w:lang w:eastAsia="ru-RU"/>
        </w:rPr>
        <w:t>руб.</w:t>
      </w:r>
      <w:r w:rsidR="00672C47" w:rsidRPr="00FD7B0B">
        <w:rPr>
          <w:rFonts w:ascii="Times New Roman" w:eastAsia="Times New Roman" w:hAnsi="Times New Roman" w:cs="Times New Roman"/>
          <w:sz w:val="28"/>
          <w:szCs w:val="28"/>
          <w:lang w:eastAsia="ru-RU"/>
        </w:rPr>
        <w:t>:</w:t>
      </w:r>
    </w:p>
    <w:tbl>
      <w:tblPr>
        <w:tblStyle w:val="a7"/>
        <w:tblW w:w="9483"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988"/>
        <w:gridCol w:w="1275"/>
        <w:gridCol w:w="993"/>
        <w:gridCol w:w="1134"/>
        <w:gridCol w:w="992"/>
        <w:gridCol w:w="1276"/>
        <w:gridCol w:w="992"/>
        <w:gridCol w:w="810"/>
        <w:gridCol w:w="1023"/>
      </w:tblGrid>
      <w:tr w:rsidR="00FD7B0B" w:rsidRPr="00FD7B0B" w14:paraId="0FE851B0" w14:textId="77777777" w:rsidTr="00672C47">
        <w:tc>
          <w:tcPr>
            <w:tcW w:w="2263" w:type="dxa"/>
            <w:gridSpan w:val="2"/>
          </w:tcPr>
          <w:p w14:paraId="33F029DA"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2023 год</w:t>
            </w:r>
          </w:p>
        </w:tc>
        <w:tc>
          <w:tcPr>
            <w:tcW w:w="993" w:type="dxa"/>
            <w:vMerge w:val="restart"/>
          </w:tcPr>
          <w:p w14:paraId="1F825D60"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Исполнено, %</w:t>
            </w:r>
          </w:p>
        </w:tc>
        <w:tc>
          <w:tcPr>
            <w:tcW w:w="3402" w:type="dxa"/>
            <w:gridSpan w:val="3"/>
          </w:tcPr>
          <w:p w14:paraId="6744E2CC"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2024 год</w:t>
            </w:r>
          </w:p>
        </w:tc>
        <w:tc>
          <w:tcPr>
            <w:tcW w:w="1802" w:type="dxa"/>
            <w:gridSpan w:val="2"/>
          </w:tcPr>
          <w:p w14:paraId="58BD8B6B"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Исполнено</w:t>
            </w:r>
          </w:p>
        </w:tc>
        <w:tc>
          <w:tcPr>
            <w:tcW w:w="1023" w:type="dxa"/>
            <w:vMerge w:val="restart"/>
          </w:tcPr>
          <w:p w14:paraId="7A9A6381" w14:textId="21AC8350"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Рост 2024 к 2023,</w:t>
            </w:r>
            <w:r w:rsidR="00672C47" w:rsidRPr="00FD7B0B">
              <w:rPr>
                <w:rFonts w:ascii="Times New Roman" w:eastAsia="Times New Roman" w:hAnsi="Times New Roman"/>
                <w:sz w:val="22"/>
                <w:szCs w:val="22"/>
              </w:rPr>
              <w:t xml:space="preserve"> </w:t>
            </w:r>
            <w:r w:rsidRPr="00FD7B0B">
              <w:rPr>
                <w:rFonts w:ascii="Times New Roman" w:eastAsia="Times New Roman" w:hAnsi="Times New Roman"/>
                <w:sz w:val="22"/>
                <w:szCs w:val="22"/>
              </w:rPr>
              <w:t>%</w:t>
            </w:r>
          </w:p>
        </w:tc>
      </w:tr>
      <w:tr w:rsidR="00FD7B0B" w:rsidRPr="00FD7B0B" w14:paraId="7E91ED9F" w14:textId="77777777" w:rsidTr="00672C47">
        <w:tc>
          <w:tcPr>
            <w:tcW w:w="988" w:type="dxa"/>
          </w:tcPr>
          <w:p w14:paraId="5E92904C"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СБР</w:t>
            </w:r>
          </w:p>
        </w:tc>
        <w:tc>
          <w:tcPr>
            <w:tcW w:w="1275" w:type="dxa"/>
          </w:tcPr>
          <w:p w14:paraId="37B698C3"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Исполнено</w:t>
            </w:r>
          </w:p>
        </w:tc>
        <w:tc>
          <w:tcPr>
            <w:tcW w:w="993" w:type="dxa"/>
            <w:vMerge/>
          </w:tcPr>
          <w:p w14:paraId="730F52EB" w14:textId="77777777" w:rsidR="00205BFC" w:rsidRPr="00FD7B0B" w:rsidRDefault="00205BFC" w:rsidP="00672C47">
            <w:pPr>
              <w:contextualSpacing/>
              <w:jc w:val="center"/>
              <w:rPr>
                <w:rFonts w:ascii="Times New Roman" w:eastAsia="Times New Roman" w:hAnsi="Times New Roman"/>
                <w:sz w:val="22"/>
                <w:szCs w:val="22"/>
              </w:rPr>
            </w:pPr>
          </w:p>
        </w:tc>
        <w:tc>
          <w:tcPr>
            <w:tcW w:w="1134" w:type="dxa"/>
          </w:tcPr>
          <w:p w14:paraId="2DECF8A9"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Бюджет</w:t>
            </w:r>
          </w:p>
        </w:tc>
        <w:tc>
          <w:tcPr>
            <w:tcW w:w="992" w:type="dxa"/>
          </w:tcPr>
          <w:p w14:paraId="770C2576"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СБР</w:t>
            </w:r>
          </w:p>
        </w:tc>
        <w:tc>
          <w:tcPr>
            <w:tcW w:w="1276" w:type="dxa"/>
          </w:tcPr>
          <w:p w14:paraId="2806174E"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Исполнено</w:t>
            </w:r>
          </w:p>
        </w:tc>
        <w:tc>
          <w:tcPr>
            <w:tcW w:w="992" w:type="dxa"/>
          </w:tcPr>
          <w:p w14:paraId="0CB8D37F"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 к закону</w:t>
            </w:r>
          </w:p>
        </w:tc>
        <w:tc>
          <w:tcPr>
            <w:tcW w:w="810" w:type="dxa"/>
          </w:tcPr>
          <w:p w14:paraId="29965F8B" w14:textId="77777777" w:rsidR="00205BFC" w:rsidRPr="00FD7B0B" w:rsidRDefault="00205BFC" w:rsidP="00672C47">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 к СБР</w:t>
            </w:r>
          </w:p>
        </w:tc>
        <w:tc>
          <w:tcPr>
            <w:tcW w:w="1023" w:type="dxa"/>
            <w:vMerge/>
          </w:tcPr>
          <w:p w14:paraId="08DC1803" w14:textId="77777777" w:rsidR="00205BFC" w:rsidRPr="00FD7B0B" w:rsidRDefault="00205BFC" w:rsidP="00672C47">
            <w:pPr>
              <w:contextualSpacing/>
              <w:jc w:val="center"/>
              <w:rPr>
                <w:rFonts w:ascii="Times New Roman" w:eastAsia="Times New Roman" w:hAnsi="Times New Roman"/>
                <w:sz w:val="22"/>
                <w:szCs w:val="22"/>
              </w:rPr>
            </w:pPr>
          </w:p>
        </w:tc>
      </w:tr>
      <w:tr w:rsidR="00205BFC" w:rsidRPr="00FD7B0B" w14:paraId="6983DF36" w14:textId="77777777" w:rsidTr="00672C47">
        <w:tc>
          <w:tcPr>
            <w:tcW w:w="988" w:type="dxa"/>
          </w:tcPr>
          <w:p w14:paraId="3F55F85A"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2 975,1</w:t>
            </w:r>
          </w:p>
        </w:tc>
        <w:tc>
          <w:tcPr>
            <w:tcW w:w="1275" w:type="dxa"/>
          </w:tcPr>
          <w:p w14:paraId="60257DD1"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2 974,7</w:t>
            </w:r>
          </w:p>
        </w:tc>
        <w:tc>
          <w:tcPr>
            <w:tcW w:w="993" w:type="dxa"/>
          </w:tcPr>
          <w:p w14:paraId="1958B510"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99,9</w:t>
            </w:r>
          </w:p>
        </w:tc>
        <w:tc>
          <w:tcPr>
            <w:tcW w:w="1134" w:type="dxa"/>
          </w:tcPr>
          <w:p w14:paraId="7B26DD22"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3 393,8</w:t>
            </w:r>
          </w:p>
        </w:tc>
        <w:tc>
          <w:tcPr>
            <w:tcW w:w="992" w:type="dxa"/>
          </w:tcPr>
          <w:p w14:paraId="1CFE55A5"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3 438,5</w:t>
            </w:r>
          </w:p>
        </w:tc>
        <w:tc>
          <w:tcPr>
            <w:tcW w:w="1276" w:type="dxa"/>
          </w:tcPr>
          <w:p w14:paraId="64284AD2"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3 438,5</w:t>
            </w:r>
          </w:p>
        </w:tc>
        <w:tc>
          <w:tcPr>
            <w:tcW w:w="992" w:type="dxa"/>
          </w:tcPr>
          <w:p w14:paraId="78CB36BF"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101,3</w:t>
            </w:r>
          </w:p>
        </w:tc>
        <w:tc>
          <w:tcPr>
            <w:tcW w:w="810" w:type="dxa"/>
          </w:tcPr>
          <w:p w14:paraId="27004323"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100</w:t>
            </w:r>
          </w:p>
        </w:tc>
        <w:tc>
          <w:tcPr>
            <w:tcW w:w="1023" w:type="dxa"/>
          </w:tcPr>
          <w:p w14:paraId="501C5208"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15,5</w:t>
            </w:r>
          </w:p>
        </w:tc>
      </w:tr>
    </w:tbl>
    <w:p w14:paraId="192F4FF9" w14:textId="77777777" w:rsidR="00672C47" w:rsidRPr="00FD7B0B" w:rsidRDefault="00672C47" w:rsidP="00205BFC">
      <w:pPr>
        <w:pStyle w:val="ConsPlusNonformat"/>
        <w:tabs>
          <w:tab w:val="left" w:pos="993"/>
        </w:tabs>
        <w:ind w:firstLine="709"/>
        <w:jc w:val="both"/>
        <w:rPr>
          <w:rFonts w:ascii="Times New Roman" w:hAnsi="Times New Roman" w:cs="Times New Roman"/>
          <w:sz w:val="28"/>
          <w:szCs w:val="28"/>
        </w:rPr>
      </w:pPr>
    </w:p>
    <w:p w14:paraId="03170073" w14:textId="5455C592" w:rsidR="00205BFC" w:rsidRPr="00FD7B0B" w:rsidRDefault="00205BFC" w:rsidP="00205BFC">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Как следует из таблицы, кассовые расходы за 2024 год по указанному мероприятию составили 100</w:t>
      </w:r>
      <w:r w:rsidR="00A048D8" w:rsidRPr="00FD7B0B">
        <w:rPr>
          <w:rFonts w:ascii="Times New Roman" w:hAnsi="Times New Roman" w:cs="Times New Roman"/>
          <w:sz w:val="28"/>
          <w:szCs w:val="28"/>
        </w:rPr>
        <w:t xml:space="preserve"> </w:t>
      </w:r>
      <w:r w:rsidRPr="00FD7B0B">
        <w:rPr>
          <w:rFonts w:ascii="Times New Roman" w:hAnsi="Times New Roman" w:cs="Times New Roman"/>
          <w:sz w:val="28"/>
          <w:szCs w:val="28"/>
        </w:rPr>
        <w:t>%, при этом рост расходов относительно 2023 год на 15,5</w:t>
      </w:r>
      <w:r w:rsidR="00A048D8" w:rsidRPr="00FD7B0B">
        <w:rPr>
          <w:rFonts w:ascii="Times New Roman" w:hAnsi="Times New Roman" w:cs="Times New Roman"/>
          <w:sz w:val="28"/>
          <w:szCs w:val="28"/>
        </w:rPr>
        <w:t xml:space="preserve"> </w:t>
      </w:r>
      <w:r w:rsidRPr="00FD7B0B">
        <w:rPr>
          <w:rFonts w:ascii="Times New Roman" w:hAnsi="Times New Roman" w:cs="Times New Roman"/>
          <w:sz w:val="28"/>
          <w:szCs w:val="28"/>
        </w:rPr>
        <w:t>%.</w:t>
      </w:r>
    </w:p>
    <w:p w14:paraId="2478E97C" w14:textId="27EF9A07" w:rsidR="00205BFC" w:rsidRPr="00FD7B0B" w:rsidRDefault="00205BFC" w:rsidP="00205BFC">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Согласно отчету по исполнению ГП № 01 за 2024 год, «по мероприятию (результату) «Обеспечены лекарственными препаратами, медицинскими изделиями и специализированными продуктами лечебного питания отдельные группы населения» предусмотрено 3 </w:t>
      </w:r>
      <w:r w:rsidR="00A048D8" w:rsidRPr="00FD7B0B">
        <w:rPr>
          <w:rFonts w:ascii="Times New Roman" w:hAnsi="Times New Roman" w:cs="Times New Roman"/>
          <w:sz w:val="28"/>
          <w:szCs w:val="28"/>
        </w:rPr>
        <w:t>438,5 млн.</w:t>
      </w:r>
      <w:r w:rsidRPr="00FD7B0B">
        <w:rPr>
          <w:rFonts w:ascii="Times New Roman" w:hAnsi="Times New Roman" w:cs="Times New Roman"/>
          <w:sz w:val="28"/>
          <w:szCs w:val="28"/>
        </w:rPr>
        <w:t xml:space="preserve">руб., в том числе средства </w:t>
      </w:r>
      <w:r w:rsidR="00A048D8" w:rsidRPr="00FD7B0B">
        <w:rPr>
          <w:rFonts w:ascii="Times New Roman" w:hAnsi="Times New Roman" w:cs="Times New Roman"/>
          <w:sz w:val="28"/>
          <w:szCs w:val="28"/>
        </w:rPr>
        <w:t>федерального бюджета 628,6 млн.</w:t>
      </w:r>
      <w:r w:rsidRPr="00FD7B0B">
        <w:rPr>
          <w:rFonts w:ascii="Times New Roman" w:hAnsi="Times New Roman" w:cs="Times New Roman"/>
          <w:sz w:val="28"/>
          <w:szCs w:val="28"/>
        </w:rPr>
        <w:t>руб. и средства о</w:t>
      </w:r>
      <w:r w:rsidR="00A048D8" w:rsidRPr="00FD7B0B">
        <w:rPr>
          <w:rFonts w:ascii="Times New Roman" w:hAnsi="Times New Roman" w:cs="Times New Roman"/>
          <w:sz w:val="28"/>
          <w:szCs w:val="28"/>
        </w:rPr>
        <w:t>бластного бюджета  2 809,9 млн.</w:t>
      </w:r>
      <w:r w:rsidRPr="00FD7B0B">
        <w:rPr>
          <w:rFonts w:ascii="Times New Roman" w:hAnsi="Times New Roman" w:cs="Times New Roman"/>
          <w:sz w:val="28"/>
          <w:szCs w:val="28"/>
        </w:rPr>
        <w:t>руб. Кассовые расходы за 12 месяцев 2</w:t>
      </w:r>
      <w:r w:rsidR="00A048D8" w:rsidRPr="00FD7B0B">
        <w:rPr>
          <w:rFonts w:ascii="Times New Roman" w:hAnsi="Times New Roman" w:cs="Times New Roman"/>
          <w:sz w:val="28"/>
          <w:szCs w:val="28"/>
        </w:rPr>
        <w:t>024 года составили 3 438,5 млн.</w:t>
      </w:r>
      <w:r w:rsidRPr="00FD7B0B">
        <w:rPr>
          <w:rFonts w:ascii="Times New Roman" w:hAnsi="Times New Roman" w:cs="Times New Roman"/>
          <w:sz w:val="28"/>
          <w:szCs w:val="28"/>
        </w:rPr>
        <w:t>руб., в том числе средства ф</w:t>
      </w:r>
      <w:r w:rsidR="00A048D8" w:rsidRPr="00FD7B0B">
        <w:rPr>
          <w:rFonts w:ascii="Times New Roman" w:hAnsi="Times New Roman" w:cs="Times New Roman"/>
          <w:sz w:val="28"/>
          <w:szCs w:val="28"/>
        </w:rPr>
        <w:t>едерального бюджета 628, 6 млн.</w:t>
      </w:r>
      <w:r w:rsidRPr="00FD7B0B">
        <w:rPr>
          <w:rFonts w:ascii="Times New Roman" w:hAnsi="Times New Roman" w:cs="Times New Roman"/>
          <w:sz w:val="28"/>
          <w:szCs w:val="28"/>
        </w:rPr>
        <w:t>руб. и средства о</w:t>
      </w:r>
      <w:r w:rsidR="00A048D8" w:rsidRPr="00FD7B0B">
        <w:rPr>
          <w:rFonts w:ascii="Times New Roman" w:hAnsi="Times New Roman" w:cs="Times New Roman"/>
          <w:sz w:val="28"/>
          <w:szCs w:val="28"/>
        </w:rPr>
        <w:t>бластного бюджета 2 809, 9 млн.руб.</w:t>
      </w:r>
    </w:p>
    <w:p w14:paraId="4DA20C3F" w14:textId="61072D9F" w:rsidR="00205BFC" w:rsidRPr="00FD7B0B" w:rsidRDefault="00205BFC" w:rsidP="00205BFC">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За 12 месяцев 2024 года обслужено 212 270 рецептов в рамках реализации Федерального закона от 17.07.1999 г. № 178-ФЗ «О государственной социальной помощи», 1 021179 рецептов – в рамках реализации Постановления Правительства Российской Федерации от 30.07.1994 № 890 «О государственной поддержке развития медицинской промышленности и улучшения обеспечения населения и учреждений здравоохранения лекарственными средствами и изделиями медицинского назначения»; обеспечена на 100 % потребность отдельных категорий граждан в необходимых лекарственных препаратах и медицинских изделиях, а также специализированных продуктах лечебного питания для детей-инвалидов, обеспечение которыми осуществляется за счет средств федерального бюджета; обеспечено на 100 % удовлетворение спроса на лекарственные препараты, предназначенные для лечения больных по «14 нозологиям». Мероприятие выполнено».</w:t>
      </w:r>
    </w:p>
    <w:p w14:paraId="5CBCA154"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При этом, согласно форме 0503169 «Сведения по дебиторской и кредиторской задолженности» годового отчета министерства здравоохранения Архангельской области за 2024 год, по состоянию на 01.01.2025 года по счету </w:t>
      </w:r>
      <w:r w:rsidRPr="00FD7B0B">
        <w:rPr>
          <w:rFonts w:ascii="Times New Roman" w:eastAsia="Times New Roman" w:hAnsi="Times New Roman" w:cs="Times New Roman"/>
          <w:sz w:val="28"/>
          <w:szCs w:val="28"/>
          <w:lang w:eastAsia="ru-RU"/>
        </w:rPr>
        <w:lastRenderedPageBreak/>
        <w:t>302.63 «Расчеты по пособиям по социальной помощи населению в натуральной форме» отражена кредиторская задолженность по лекарственному обеспечению на общую сумму 1 487,9 млн.руб., в том числе:</w:t>
      </w:r>
    </w:p>
    <w:tbl>
      <w:tblPr>
        <w:tblStyle w:val="a7"/>
        <w:tblW w:w="961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782"/>
        <w:gridCol w:w="1833"/>
      </w:tblGrid>
      <w:tr w:rsidR="00FD7B0B" w:rsidRPr="00FD7B0B" w14:paraId="0470AFFC" w14:textId="77777777" w:rsidTr="00A048D8">
        <w:tc>
          <w:tcPr>
            <w:tcW w:w="7782" w:type="dxa"/>
          </w:tcPr>
          <w:p w14:paraId="7002FEC8" w14:textId="77777777" w:rsidR="00205BFC" w:rsidRPr="00FD7B0B" w:rsidRDefault="00205BFC" w:rsidP="00A048D8">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Наименование</w:t>
            </w:r>
          </w:p>
        </w:tc>
        <w:tc>
          <w:tcPr>
            <w:tcW w:w="1833" w:type="dxa"/>
          </w:tcPr>
          <w:p w14:paraId="3DF53EA2" w14:textId="77777777" w:rsidR="00205BFC" w:rsidRPr="00FD7B0B" w:rsidRDefault="00205BFC" w:rsidP="00A048D8">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Кредиторская задолженность на 01.01.2025</w:t>
            </w:r>
          </w:p>
        </w:tc>
      </w:tr>
      <w:tr w:rsidR="00FD7B0B" w:rsidRPr="00FD7B0B" w14:paraId="37749E47" w14:textId="77777777" w:rsidTr="00A048D8">
        <w:trPr>
          <w:trHeight w:val="507"/>
        </w:trPr>
        <w:tc>
          <w:tcPr>
            <w:tcW w:w="7782" w:type="dxa"/>
            <w:vAlign w:val="center"/>
          </w:tcPr>
          <w:p w14:paraId="721C15EF" w14:textId="77777777" w:rsidR="00205BFC" w:rsidRPr="00FD7B0B" w:rsidRDefault="00205BFC" w:rsidP="00205BFC">
            <w:pPr>
              <w:rPr>
                <w:rFonts w:ascii="Times New Roman" w:hAnsi="Times New Roman"/>
              </w:rPr>
            </w:pPr>
            <w:r w:rsidRPr="00FD7B0B">
              <w:rPr>
                <w:rFonts w:ascii="Times New Roman" w:hAnsi="Times New Roman"/>
              </w:rPr>
              <w:t>Обеспечение профилактики развития сердечно-сосудистых заболеваний и сердечно-сосудистых осложнений у пациентов высокого риска, находящихся на диспансерном наблюдении</w:t>
            </w:r>
          </w:p>
        </w:tc>
        <w:tc>
          <w:tcPr>
            <w:tcW w:w="1833" w:type="dxa"/>
          </w:tcPr>
          <w:p w14:paraId="3A82654A"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5,2</w:t>
            </w:r>
          </w:p>
        </w:tc>
      </w:tr>
      <w:tr w:rsidR="00FD7B0B" w:rsidRPr="00FD7B0B" w14:paraId="699182E2" w14:textId="77777777" w:rsidTr="00FA1840">
        <w:trPr>
          <w:trHeight w:val="166"/>
        </w:trPr>
        <w:tc>
          <w:tcPr>
            <w:tcW w:w="7782" w:type="dxa"/>
            <w:vAlign w:val="center"/>
          </w:tcPr>
          <w:p w14:paraId="0FE8CDD5" w14:textId="77777777" w:rsidR="00205BFC" w:rsidRPr="00FD7B0B" w:rsidRDefault="00205BFC" w:rsidP="00205BFC">
            <w:pPr>
              <w:rPr>
                <w:rFonts w:ascii="Times New Roman" w:hAnsi="Times New Roman"/>
              </w:rPr>
            </w:pPr>
            <w:r w:rsidRPr="00FD7B0B">
              <w:rPr>
                <w:rFonts w:ascii="Times New Roman" w:hAnsi="Times New Roman"/>
              </w:rPr>
              <w:t>Реализация отдельных полномочий в области лекарственного обеспечения</w:t>
            </w:r>
          </w:p>
        </w:tc>
        <w:tc>
          <w:tcPr>
            <w:tcW w:w="1833" w:type="dxa"/>
          </w:tcPr>
          <w:p w14:paraId="712D1528"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29,7</w:t>
            </w:r>
          </w:p>
        </w:tc>
      </w:tr>
      <w:tr w:rsidR="00FD7B0B" w:rsidRPr="00FD7B0B" w14:paraId="098C6FFE" w14:textId="77777777" w:rsidTr="00A048D8">
        <w:tc>
          <w:tcPr>
            <w:tcW w:w="7782" w:type="dxa"/>
            <w:vAlign w:val="center"/>
          </w:tcPr>
          <w:p w14:paraId="0E5712EA" w14:textId="77777777" w:rsidR="00205BFC" w:rsidRPr="00FD7B0B" w:rsidRDefault="00205BFC" w:rsidP="00205BFC">
            <w:pPr>
              <w:rPr>
                <w:rFonts w:ascii="Times New Roman" w:hAnsi="Times New Roman"/>
              </w:rPr>
            </w:pPr>
            <w:r w:rsidRPr="00FD7B0B">
              <w:rPr>
                <w:rFonts w:ascii="Times New Roman" w:hAnsi="Times New Roman"/>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1833" w:type="dxa"/>
          </w:tcPr>
          <w:p w14:paraId="3D7D4352"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9,7</w:t>
            </w:r>
          </w:p>
        </w:tc>
      </w:tr>
      <w:tr w:rsidR="00FD7B0B" w:rsidRPr="00FD7B0B" w14:paraId="1017EC08" w14:textId="77777777" w:rsidTr="00A048D8">
        <w:trPr>
          <w:trHeight w:val="56"/>
        </w:trPr>
        <w:tc>
          <w:tcPr>
            <w:tcW w:w="7782" w:type="dxa"/>
            <w:vAlign w:val="center"/>
          </w:tcPr>
          <w:p w14:paraId="6BB11686" w14:textId="77777777" w:rsidR="00205BFC" w:rsidRPr="00FD7B0B" w:rsidRDefault="00205BFC" w:rsidP="00205BFC">
            <w:pPr>
              <w:rPr>
                <w:rFonts w:ascii="Times New Roman" w:hAnsi="Times New Roman"/>
              </w:rPr>
            </w:pPr>
            <w:r w:rsidRPr="00FD7B0B">
              <w:rPr>
                <w:rFonts w:ascii="Times New Roman" w:hAnsi="Times New Roman"/>
              </w:rPr>
              <w:t>Обеспечение лекарственными препаратами отдельных групп населения</w:t>
            </w:r>
          </w:p>
        </w:tc>
        <w:tc>
          <w:tcPr>
            <w:tcW w:w="1833" w:type="dxa"/>
          </w:tcPr>
          <w:p w14:paraId="03B9F5D0"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1 277,8</w:t>
            </w:r>
          </w:p>
        </w:tc>
      </w:tr>
      <w:tr w:rsidR="00FD7B0B" w:rsidRPr="00FD7B0B" w14:paraId="7D9C8C3C" w14:textId="77777777" w:rsidTr="00A048D8">
        <w:tc>
          <w:tcPr>
            <w:tcW w:w="7782" w:type="dxa"/>
            <w:vAlign w:val="center"/>
          </w:tcPr>
          <w:p w14:paraId="00C69C9E" w14:textId="77777777" w:rsidR="00205BFC" w:rsidRPr="00FD7B0B" w:rsidRDefault="00205BFC" w:rsidP="00205BFC">
            <w:pPr>
              <w:rPr>
                <w:rFonts w:ascii="Times New Roman" w:hAnsi="Times New Roman"/>
              </w:rPr>
            </w:pPr>
            <w:r w:rsidRPr="00FD7B0B">
              <w:rPr>
                <w:rFonts w:ascii="Times New Roman" w:hAnsi="Times New Roman"/>
              </w:rPr>
              <w:t>Обеспечение медицинскими изделиями отдельных групп населения</w:t>
            </w:r>
          </w:p>
        </w:tc>
        <w:tc>
          <w:tcPr>
            <w:tcW w:w="1833" w:type="dxa"/>
          </w:tcPr>
          <w:p w14:paraId="5E73053B"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144,5</w:t>
            </w:r>
          </w:p>
        </w:tc>
      </w:tr>
      <w:tr w:rsidR="00FD7B0B" w:rsidRPr="00FD7B0B" w14:paraId="566F6B48" w14:textId="77777777" w:rsidTr="00A048D8">
        <w:tc>
          <w:tcPr>
            <w:tcW w:w="7782" w:type="dxa"/>
            <w:vAlign w:val="center"/>
          </w:tcPr>
          <w:p w14:paraId="79BCE35D" w14:textId="77777777" w:rsidR="00205BFC" w:rsidRPr="00FD7B0B" w:rsidRDefault="00205BFC" w:rsidP="00205BFC">
            <w:pPr>
              <w:rPr>
                <w:rFonts w:ascii="Times New Roman" w:hAnsi="Times New Roman"/>
              </w:rPr>
            </w:pPr>
            <w:r w:rsidRPr="00FD7B0B">
              <w:rPr>
                <w:rFonts w:ascii="Times New Roman" w:hAnsi="Times New Roman"/>
              </w:rPr>
              <w:t>Обеспечение специализированными продуктами лечебного питания отдельных групп населения</w:t>
            </w:r>
          </w:p>
        </w:tc>
        <w:tc>
          <w:tcPr>
            <w:tcW w:w="1833" w:type="dxa"/>
          </w:tcPr>
          <w:p w14:paraId="5E6B5381"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20,9</w:t>
            </w:r>
          </w:p>
        </w:tc>
      </w:tr>
      <w:tr w:rsidR="00205BFC" w:rsidRPr="00FD7B0B" w14:paraId="4A84C283" w14:textId="77777777" w:rsidTr="00A048D8">
        <w:tc>
          <w:tcPr>
            <w:tcW w:w="7782" w:type="dxa"/>
            <w:vAlign w:val="center"/>
          </w:tcPr>
          <w:p w14:paraId="0B7386D2" w14:textId="77777777" w:rsidR="00205BFC" w:rsidRPr="00FD7B0B" w:rsidRDefault="00205BFC" w:rsidP="00205BFC">
            <w:pPr>
              <w:rPr>
                <w:rFonts w:ascii="Times New Roman" w:hAnsi="Times New Roman"/>
              </w:rPr>
            </w:pPr>
            <w:r w:rsidRPr="00FD7B0B">
              <w:rPr>
                <w:rFonts w:ascii="Times New Roman" w:hAnsi="Times New Roman"/>
              </w:rPr>
              <w:t>Итого:</w:t>
            </w:r>
          </w:p>
        </w:tc>
        <w:tc>
          <w:tcPr>
            <w:tcW w:w="1833" w:type="dxa"/>
          </w:tcPr>
          <w:p w14:paraId="6A07DBB6"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1 487,8</w:t>
            </w:r>
          </w:p>
        </w:tc>
      </w:tr>
    </w:tbl>
    <w:p w14:paraId="0C595ABD" w14:textId="77777777" w:rsidR="007F0716" w:rsidRPr="00FD7B0B" w:rsidRDefault="007F0716" w:rsidP="00205BFC">
      <w:pPr>
        <w:spacing w:after="0" w:line="240" w:lineRule="auto"/>
        <w:ind w:firstLine="709"/>
        <w:contextualSpacing/>
        <w:jc w:val="both"/>
        <w:rPr>
          <w:rFonts w:ascii="Times New Roman" w:eastAsia="Times New Roman" w:hAnsi="Times New Roman" w:cs="Times New Roman"/>
          <w:sz w:val="28"/>
          <w:szCs w:val="28"/>
          <w:lang w:eastAsia="ru-RU"/>
        </w:rPr>
      </w:pPr>
    </w:p>
    <w:p w14:paraId="6226FCEC" w14:textId="4B3971FF"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eastAsia="Times New Roman" w:hAnsi="Times New Roman" w:cs="Times New Roman"/>
          <w:sz w:val="28"/>
          <w:szCs w:val="28"/>
          <w:lang w:eastAsia="ru-RU"/>
        </w:rPr>
        <w:t>Таким образом, в связи с наличием кредиторской задолженности в общем объеме 1 487,8 млн.руб. или 43,2</w:t>
      </w:r>
      <w:r w:rsidR="007F071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 от годового объема средств в целом на мероприятие, вызывает сомнение </w:t>
      </w:r>
      <w:r w:rsidRPr="00FD7B0B">
        <w:rPr>
          <w:rFonts w:ascii="Times New Roman" w:hAnsi="Times New Roman" w:cs="Times New Roman"/>
          <w:sz w:val="28"/>
          <w:szCs w:val="28"/>
        </w:rPr>
        <w:t>обеспечение на 100 % потребности отдельных категорий граждан в необходимых лекарственных препаратах и медицинских изделиях, а также специализированных продуктах лечебного питания для детей-инвалидов, обеспечение которыми осуществляется за счет средств федерального бюджета; а также обеспечения на 100 % удовлетворения спроса на лекарственные препараты, предназначенные для лечения больных по «14 нозологиям» и выполнение Мероприятия в целом, отмеченное в отчете о выполнении ГП № 01 за 2024 год.</w:t>
      </w:r>
    </w:p>
    <w:p w14:paraId="0CC1C1B4" w14:textId="0EE6E705"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hAnsi="Times New Roman" w:cs="Times New Roman"/>
          <w:sz w:val="28"/>
          <w:szCs w:val="28"/>
        </w:rPr>
        <w:t>Наличие кредиторской задолженности может свидетельствовать о не</w:t>
      </w:r>
      <w:r w:rsidR="007F0716" w:rsidRPr="00FD7B0B">
        <w:rPr>
          <w:rFonts w:ascii="Times New Roman" w:hAnsi="Times New Roman" w:cs="Times New Roman"/>
          <w:sz w:val="28"/>
          <w:szCs w:val="28"/>
        </w:rPr>
        <w:t>с</w:t>
      </w:r>
      <w:r w:rsidRPr="00FD7B0B">
        <w:rPr>
          <w:rFonts w:ascii="Times New Roman" w:hAnsi="Times New Roman" w:cs="Times New Roman"/>
          <w:sz w:val="28"/>
          <w:szCs w:val="28"/>
        </w:rPr>
        <w:t>облюдении принципа достоверности бюджета, установленному ст. 37 БК РФ.</w:t>
      </w:r>
    </w:p>
    <w:p w14:paraId="0030D350" w14:textId="77777777" w:rsidR="00205BFC" w:rsidRPr="00FD7B0B" w:rsidRDefault="00205BFC" w:rsidP="00205BFC">
      <w:pPr>
        <w:spacing w:after="0" w:line="240" w:lineRule="auto"/>
        <w:contextualSpacing/>
        <w:jc w:val="center"/>
        <w:rPr>
          <w:rFonts w:ascii="Times New Roman" w:eastAsia="Times New Roman" w:hAnsi="Times New Roman" w:cs="Times New Roman"/>
          <w:b/>
          <w:sz w:val="28"/>
          <w:szCs w:val="28"/>
          <w:lang w:eastAsia="ru-RU"/>
        </w:rPr>
      </w:pPr>
    </w:p>
    <w:p w14:paraId="6C274B06" w14:textId="77777777" w:rsidR="00205BFC" w:rsidRPr="00FD7B0B" w:rsidRDefault="00205BFC" w:rsidP="00205BFC">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Оценка достижения показателей по итогам 2024 года</w:t>
      </w:r>
    </w:p>
    <w:p w14:paraId="5E6024F2" w14:textId="77777777" w:rsidR="00205BFC" w:rsidRPr="00FD7B0B" w:rsidRDefault="00205BFC" w:rsidP="0066056E">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При сопоставлении показателей, установленных стратегическими документами в сфере здравоохранения РФ с показателями, установленными ГП № 01 установлено:</w:t>
      </w:r>
    </w:p>
    <w:p w14:paraId="2976367A" w14:textId="102597DE" w:rsidR="00205BFC" w:rsidRPr="00FD7B0B" w:rsidRDefault="00205BFC" w:rsidP="00205BFC">
      <w:pPr>
        <w:spacing w:after="0" w:line="240" w:lineRule="auto"/>
        <w:ind w:firstLine="708"/>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 xml:space="preserve">Согласно данным таблицы </w:t>
      </w:r>
      <w:r w:rsidR="00FA1840" w:rsidRPr="00FD7B0B">
        <w:rPr>
          <w:rFonts w:ascii="Times New Roman" w:eastAsia="Times New Roman" w:hAnsi="Times New Roman"/>
          <w:sz w:val="28"/>
          <w:szCs w:val="28"/>
        </w:rPr>
        <w:t>81</w:t>
      </w:r>
      <w:r w:rsidRPr="00FD7B0B">
        <w:rPr>
          <w:rFonts w:ascii="Times New Roman" w:eastAsia="Times New Roman" w:hAnsi="Times New Roman"/>
          <w:sz w:val="28"/>
          <w:szCs w:val="28"/>
        </w:rPr>
        <w:t xml:space="preserve">, показатели, установленные </w:t>
      </w:r>
      <w:r w:rsidRPr="00FD7B0B">
        <w:rPr>
          <w:rFonts w:ascii="Times New Roman" w:eastAsia="Times New Roman" w:hAnsi="Times New Roman" w:cs="Times New Roman"/>
          <w:sz w:val="28"/>
          <w:szCs w:val="28"/>
          <w:lang w:eastAsia="ru-RU"/>
        </w:rPr>
        <w:t>п.</w:t>
      </w:r>
      <w:r w:rsidR="0066056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4 </w:t>
      </w:r>
      <w:r w:rsidRPr="00FD7B0B">
        <w:rPr>
          <w:rFonts w:ascii="Times New Roman" w:eastAsia="Times New Roman" w:hAnsi="Times New Roman"/>
          <w:sz w:val="28"/>
          <w:szCs w:val="28"/>
        </w:rPr>
        <w:t>Указа Президента РФ от 07.05.2018 № 204 «О национальных целях и стратегических задачах развития Российской Федерации на период до 2024 года» (далее- Указ № 204) в Архангельской области в 2024 году не обеспечены.</w:t>
      </w:r>
    </w:p>
    <w:p w14:paraId="5E697592" w14:textId="77777777" w:rsidR="0066056E" w:rsidRPr="00FD7B0B" w:rsidRDefault="0066056E" w:rsidP="0066056E">
      <w:pPr>
        <w:spacing w:after="0" w:line="240" w:lineRule="auto"/>
        <w:contextualSpacing/>
        <w:jc w:val="both"/>
        <w:rPr>
          <w:rFonts w:ascii="Times New Roman" w:hAnsi="Times New Roman"/>
          <w:sz w:val="24"/>
          <w:szCs w:val="24"/>
        </w:rPr>
      </w:pPr>
    </w:p>
    <w:p w14:paraId="3714A2A3" w14:textId="77777777" w:rsidR="00205BFC" w:rsidRPr="00FD7B0B" w:rsidRDefault="00205BFC" w:rsidP="0066056E">
      <w:pPr>
        <w:spacing w:after="0" w:line="240" w:lineRule="auto"/>
        <w:contextualSpacing/>
        <w:rPr>
          <w:rFonts w:ascii="Times New Roman" w:eastAsia="Times New Roman" w:hAnsi="Times New Roman"/>
          <w:sz w:val="28"/>
          <w:szCs w:val="28"/>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81</w:t>
      </w:r>
      <w:r w:rsidRPr="00FD7B0B">
        <w:rPr>
          <w:rFonts w:ascii="Times New Roman" w:hAnsi="Times New Roman"/>
          <w:sz w:val="24"/>
          <w:szCs w:val="24"/>
        </w:rPr>
        <w:fldChar w:fldCharType="end"/>
      </w:r>
      <w:r w:rsidRPr="00FD7B0B">
        <w:rPr>
          <w:rFonts w:ascii="Times New Roman" w:hAnsi="Times New Roman"/>
          <w:sz w:val="24"/>
          <w:szCs w:val="24"/>
        </w:rPr>
        <w:t>. Сопоставление показателей реализацию мероприятий ГП № 01 и показателей Прогноза СЭР и иных документов стратегического планирования на 2024 год, ед.</w:t>
      </w:r>
    </w:p>
    <w:tbl>
      <w:tblPr>
        <w:tblStyle w:val="a7"/>
        <w:tblW w:w="9617"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661"/>
        <w:gridCol w:w="3121"/>
        <w:gridCol w:w="1835"/>
      </w:tblGrid>
      <w:tr w:rsidR="00FD7B0B" w:rsidRPr="00FD7B0B" w14:paraId="2FAA37CA" w14:textId="77777777" w:rsidTr="00FB4A4C">
        <w:trPr>
          <w:tblHeader/>
        </w:trPr>
        <w:tc>
          <w:tcPr>
            <w:tcW w:w="4661" w:type="dxa"/>
          </w:tcPr>
          <w:p w14:paraId="2DB02986" w14:textId="77777777" w:rsidR="00205BFC" w:rsidRPr="00FD7B0B" w:rsidRDefault="00205BFC" w:rsidP="00FB4A4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Наименование показателя</w:t>
            </w:r>
          </w:p>
        </w:tc>
        <w:tc>
          <w:tcPr>
            <w:tcW w:w="3121" w:type="dxa"/>
          </w:tcPr>
          <w:p w14:paraId="5A35B925" w14:textId="77777777" w:rsidR="00205BFC" w:rsidRPr="00FD7B0B" w:rsidRDefault="00205BFC" w:rsidP="00FB4A4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Согласно Указу № 204</w:t>
            </w:r>
          </w:p>
        </w:tc>
        <w:tc>
          <w:tcPr>
            <w:tcW w:w="1835" w:type="dxa"/>
          </w:tcPr>
          <w:p w14:paraId="5A0C9482" w14:textId="77777777" w:rsidR="00205BFC" w:rsidRPr="00FD7B0B" w:rsidRDefault="00205BFC" w:rsidP="00FB4A4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ГП № 01</w:t>
            </w:r>
          </w:p>
        </w:tc>
      </w:tr>
      <w:tr w:rsidR="00FD7B0B" w:rsidRPr="00FD7B0B" w14:paraId="5A818A03" w14:textId="77777777" w:rsidTr="00227181">
        <w:tc>
          <w:tcPr>
            <w:tcW w:w="4661" w:type="dxa"/>
          </w:tcPr>
          <w:p w14:paraId="302AFDD3" w14:textId="77777777" w:rsidR="00205BFC" w:rsidRPr="00FD7B0B" w:rsidRDefault="00205BFC" w:rsidP="00227181">
            <w:pPr>
              <w:contextualSpacing/>
              <w:rPr>
                <w:rFonts w:ascii="Times New Roman" w:eastAsia="Times New Roman" w:hAnsi="Times New Roman"/>
                <w:sz w:val="22"/>
                <w:szCs w:val="22"/>
              </w:rPr>
            </w:pPr>
            <w:r w:rsidRPr="00FD7B0B">
              <w:rPr>
                <w:rFonts w:ascii="Times New Roman" w:eastAsia="Times New Roman" w:hAnsi="Times New Roman"/>
                <w:sz w:val="22"/>
                <w:szCs w:val="22"/>
              </w:rPr>
              <w:t>Снижение показателей смертности населения трудоспособного возраста</w:t>
            </w:r>
          </w:p>
        </w:tc>
        <w:tc>
          <w:tcPr>
            <w:tcW w:w="3121" w:type="dxa"/>
          </w:tcPr>
          <w:p w14:paraId="7C585F64" w14:textId="77777777" w:rsidR="00205BFC" w:rsidRPr="00FD7B0B" w:rsidRDefault="00205BFC" w:rsidP="00227181">
            <w:pPr>
              <w:contextualSpacing/>
              <w:rPr>
                <w:rFonts w:ascii="Times New Roman" w:eastAsia="Times New Roman" w:hAnsi="Times New Roman"/>
                <w:sz w:val="22"/>
                <w:szCs w:val="22"/>
              </w:rPr>
            </w:pPr>
            <w:r w:rsidRPr="00FD7B0B">
              <w:rPr>
                <w:rFonts w:ascii="Times New Roman" w:eastAsia="Times New Roman" w:hAnsi="Times New Roman"/>
                <w:sz w:val="22"/>
                <w:szCs w:val="22"/>
              </w:rPr>
              <w:t>до 350 случаев на 100 тыс. населения</w:t>
            </w:r>
          </w:p>
        </w:tc>
        <w:tc>
          <w:tcPr>
            <w:tcW w:w="1835" w:type="dxa"/>
          </w:tcPr>
          <w:p w14:paraId="65507411"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Показатель отсутствует</w:t>
            </w:r>
          </w:p>
        </w:tc>
      </w:tr>
      <w:tr w:rsidR="00FD7B0B" w:rsidRPr="00FD7B0B" w14:paraId="451D97F7" w14:textId="77777777" w:rsidTr="00227181">
        <w:tc>
          <w:tcPr>
            <w:tcW w:w="4661" w:type="dxa"/>
          </w:tcPr>
          <w:p w14:paraId="36988D20" w14:textId="77777777" w:rsidR="00205BFC" w:rsidRPr="00FD7B0B" w:rsidRDefault="00205BFC" w:rsidP="00227181">
            <w:pPr>
              <w:contextualSpacing/>
              <w:rPr>
                <w:rFonts w:ascii="Times New Roman" w:eastAsia="Times New Roman" w:hAnsi="Times New Roman"/>
                <w:sz w:val="22"/>
                <w:szCs w:val="22"/>
              </w:rPr>
            </w:pPr>
            <w:r w:rsidRPr="00FD7B0B">
              <w:rPr>
                <w:rFonts w:ascii="Times New Roman" w:eastAsia="Times New Roman" w:hAnsi="Times New Roman"/>
                <w:sz w:val="22"/>
                <w:szCs w:val="22"/>
              </w:rPr>
              <w:lastRenderedPageBreak/>
              <w:t>Смертности от болезней системы кровообращения</w:t>
            </w:r>
          </w:p>
        </w:tc>
        <w:tc>
          <w:tcPr>
            <w:tcW w:w="3121" w:type="dxa"/>
          </w:tcPr>
          <w:p w14:paraId="156ADE04" w14:textId="77777777" w:rsidR="00205BFC" w:rsidRPr="00FD7B0B" w:rsidRDefault="00205BFC" w:rsidP="00227181">
            <w:pPr>
              <w:contextualSpacing/>
              <w:rPr>
                <w:rFonts w:ascii="Times New Roman" w:eastAsia="Times New Roman" w:hAnsi="Times New Roman"/>
                <w:sz w:val="22"/>
                <w:szCs w:val="22"/>
              </w:rPr>
            </w:pPr>
            <w:r w:rsidRPr="00FD7B0B">
              <w:rPr>
                <w:rFonts w:ascii="Times New Roman" w:eastAsia="Times New Roman" w:hAnsi="Times New Roman"/>
                <w:sz w:val="22"/>
                <w:szCs w:val="22"/>
              </w:rPr>
              <w:t>до 450 случаев на 100 тыс. населения</w:t>
            </w:r>
          </w:p>
        </w:tc>
        <w:tc>
          <w:tcPr>
            <w:tcW w:w="1835" w:type="dxa"/>
          </w:tcPr>
          <w:p w14:paraId="3FD40DAE"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717,6</w:t>
            </w:r>
          </w:p>
        </w:tc>
      </w:tr>
      <w:tr w:rsidR="00FD7B0B" w:rsidRPr="00FD7B0B" w14:paraId="1D59F0F1" w14:textId="77777777" w:rsidTr="00227181">
        <w:tc>
          <w:tcPr>
            <w:tcW w:w="4661" w:type="dxa"/>
          </w:tcPr>
          <w:p w14:paraId="1B5BAAB6" w14:textId="77777777" w:rsidR="00205BFC" w:rsidRPr="00FD7B0B" w:rsidRDefault="00205BFC" w:rsidP="00227181">
            <w:pPr>
              <w:contextualSpacing/>
              <w:rPr>
                <w:rFonts w:ascii="Times New Roman" w:eastAsia="Times New Roman" w:hAnsi="Times New Roman"/>
                <w:sz w:val="22"/>
                <w:szCs w:val="22"/>
              </w:rPr>
            </w:pPr>
            <w:r w:rsidRPr="00FD7B0B">
              <w:rPr>
                <w:rFonts w:ascii="Times New Roman" w:eastAsia="Times New Roman" w:hAnsi="Times New Roman"/>
                <w:sz w:val="22"/>
                <w:szCs w:val="22"/>
              </w:rPr>
              <w:t>Смертности от новообразований, в том числе от злокачественных</w:t>
            </w:r>
          </w:p>
        </w:tc>
        <w:tc>
          <w:tcPr>
            <w:tcW w:w="3121" w:type="dxa"/>
          </w:tcPr>
          <w:p w14:paraId="26B0C2A3" w14:textId="77777777" w:rsidR="00205BFC" w:rsidRPr="00FD7B0B" w:rsidRDefault="00205BFC" w:rsidP="00227181">
            <w:pPr>
              <w:contextualSpacing/>
              <w:rPr>
                <w:rFonts w:ascii="Times New Roman" w:eastAsia="Times New Roman" w:hAnsi="Times New Roman"/>
                <w:sz w:val="22"/>
                <w:szCs w:val="22"/>
              </w:rPr>
            </w:pPr>
            <w:r w:rsidRPr="00FD7B0B">
              <w:rPr>
                <w:rFonts w:ascii="Times New Roman" w:eastAsia="Times New Roman" w:hAnsi="Times New Roman"/>
                <w:sz w:val="22"/>
                <w:szCs w:val="22"/>
              </w:rPr>
              <w:t>до 185 случаев на 100 тыс. населения</w:t>
            </w:r>
          </w:p>
        </w:tc>
        <w:tc>
          <w:tcPr>
            <w:tcW w:w="1835" w:type="dxa"/>
          </w:tcPr>
          <w:p w14:paraId="6627BBBB"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246,4</w:t>
            </w:r>
          </w:p>
        </w:tc>
      </w:tr>
      <w:tr w:rsidR="00205BFC" w:rsidRPr="00FD7B0B" w14:paraId="5317689C" w14:textId="77777777" w:rsidTr="00227181">
        <w:tc>
          <w:tcPr>
            <w:tcW w:w="4661" w:type="dxa"/>
          </w:tcPr>
          <w:p w14:paraId="1E7D18A2" w14:textId="77777777" w:rsidR="00205BFC" w:rsidRPr="00FD7B0B" w:rsidRDefault="00205BFC" w:rsidP="00227181">
            <w:pPr>
              <w:contextualSpacing/>
              <w:rPr>
                <w:rFonts w:ascii="Times New Roman" w:eastAsia="Times New Roman" w:hAnsi="Times New Roman"/>
                <w:sz w:val="22"/>
                <w:szCs w:val="22"/>
              </w:rPr>
            </w:pPr>
            <w:r w:rsidRPr="00FD7B0B">
              <w:rPr>
                <w:rFonts w:ascii="Times New Roman" w:eastAsia="Times New Roman" w:hAnsi="Times New Roman"/>
                <w:sz w:val="22"/>
                <w:szCs w:val="22"/>
              </w:rPr>
              <w:t>Младенческой смертности</w:t>
            </w:r>
          </w:p>
        </w:tc>
        <w:tc>
          <w:tcPr>
            <w:tcW w:w="3121" w:type="dxa"/>
          </w:tcPr>
          <w:p w14:paraId="4026B27A" w14:textId="77777777" w:rsidR="00205BFC" w:rsidRPr="00FD7B0B" w:rsidRDefault="00205BFC" w:rsidP="00227181">
            <w:pPr>
              <w:contextualSpacing/>
              <w:rPr>
                <w:rFonts w:ascii="Times New Roman" w:eastAsia="Times New Roman" w:hAnsi="Times New Roman"/>
                <w:sz w:val="22"/>
                <w:szCs w:val="22"/>
              </w:rPr>
            </w:pPr>
            <w:r w:rsidRPr="00FD7B0B">
              <w:rPr>
                <w:rFonts w:ascii="Times New Roman" w:eastAsia="Times New Roman" w:hAnsi="Times New Roman"/>
                <w:sz w:val="22"/>
                <w:szCs w:val="22"/>
              </w:rPr>
              <w:t>до 4,5 случая на 1 тыс. родившихся детей</w:t>
            </w:r>
          </w:p>
        </w:tc>
        <w:tc>
          <w:tcPr>
            <w:tcW w:w="1835" w:type="dxa"/>
          </w:tcPr>
          <w:p w14:paraId="2799D1EE" w14:textId="77777777" w:rsidR="00205BFC" w:rsidRPr="00FD7B0B" w:rsidRDefault="00205BFC" w:rsidP="00205BFC">
            <w:pPr>
              <w:contextualSpacing/>
              <w:jc w:val="center"/>
              <w:rPr>
                <w:rFonts w:ascii="Times New Roman" w:eastAsia="Times New Roman" w:hAnsi="Times New Roman"/>
                <w:sz w:val="22"/>
                <w:szCs w:val="22"/>
              </w:rPr>
            </w:pPr>
            <w:r w:rsidRPr="00FD7B0B">
              <w:rPr>
                <w:rFonts w:ascii="Times New Roman" w:eastAsia="Times New Roman" w:hAnsi="Times New Roman"/>
                <w:sz w:val="22"/>
                <w:szCs w:val="22"/>
              </w:rPr>
              <w:t>Показатель отсутствует</w:t>
            </w:r>
          </w:p>
        </w:tc>
      </w:tr>
    </w:tbl>
    <w:p w14:paraId="38A09EE8" w14:textId="77777777" w:rsidR="00227181" w:rsidRPr="00FD7B0B" w:rsidRDefault="00227181" w:rsidP="00227181">
      <w:pPr>
        <w:spacing w:after="0" w:line="240" w:lineRule="auto"/>
        <w:ind w:firstLine="708"/>
        <w:contextualSpacing/>
        <w:jc w:val="both"/>
        <w:rPr>
          <w:rFonts w:ascii="Times New Roman" w:eastAsia="Times New Roman" w:hAnsi="Times New Roman"/>
          <w:sz w:val="28"/>
          <w:szCs w:val="28"/>
        </w:rPr>
      </w:pPr>
    </w:p>
    <w:p w14:paraId="4414F7A5" w14:textId="77777777" w:rsidR="00205BFC" w:rsidRPr="00FD7B0B" w:rsidRDefault="00205BFC" w:rsidP="00227181">
      <w:pPr>
        <w:spacing w:after="0" w:line="240" w:lineRule="auto"/>
        <w:ind w:firstLine="708"/>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Кроме того, по показателю «Ожидаемая продолжительность жизни при рождении» значение в ГП № 01 установлено 73,51 значительно ниже, чем утверждено Стратегией развития здравоохранения в Российской Федерации на период до 2025 года, утвержденная Указом Президента Российской Федерации от 06.06.2019 № 254 (78 лет), а в редакции ГП № 01 от 09.01.2025 года данный показатель исключен.</w:t>
      </w:r>
    </w:p>
    <w:p w14:paraId="736D6003"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Таким образом, отдельные показатели ГП № 01 не соответствуют целям, определенным в основных стратегических документах в сфере здравоохранения РФ. </w:t>
      </w:r>
    </w:p>
    <w:p w14:paraId="46094295" w14:textId="77777777" w:rsidR="00205BFC" w:rsidRPr="00FD7B0B" w:rsidRDefault="00205BFC" w:rsidP="00205BFC">
      <w:pPr>
        <w:spacing w:after="0" w:line="240" w:lineRule="auto"/>
        <w:contextualSpacing/>
        <w:jc w:val="center"/>
        <w:rPr>
          <w:rFonts w:ascii="Times New Roman" w:eastAsia="Times New Roman" w:hAnsi="Times New Roman" w:cs="Times New Roman"/>
          <w:b/>
          <w:sz w:val="28"/>
          <w:szCs w:val="28"/>
          <w:lang w:eastAsia="ru-RU"/>
        </w:rPr>
      </w:pPr>
    </w:p>
    <w:p w14:paraId="6C4C32C1"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ГП № 01 в редакции актуальной на 31.12.2023 года было утверждено 4 показателя, в течение отчетного года ряд показателей подвергался корректировке и по состоянию на 31.12.2024 года утверждено 17 показателей. </w:t>
      </w:r>
    </w:p>
    <w:p w14:paraId="42441425" w14:textId="37DC4E53"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Сведения об изменении показателей представлены в таблице </w:t>
      </w:r>
      <w:r w:rsidR="00FA1840" w:rsidRPr="00FD7B0B">
        <w:rPr>
          <w:rFonts w:ascii="Times New Roman" w:eastAsia="Times New Roman" w:hAnsi="Times New Roman" w:cs="Times New Roman"/>
          <w:sz w:val="28"/>
          <w:szCs w:val="28"/>
          <w:lang w:eastAsia="ru-RU"/>
        </w:rPr>
        <w:t>82</w:t>
      </w:r>
      <w:r w:rsidRPr="00FD7B0B">
        <w:rPr>
          <w:rFonts w:ascii="Times New Roman" w:eastAsia="Times New Roman" w:hAnsi="Times New Roman" w:cs="Times New Roman"/>
          <w:sz w:val="28"/>
          <w:szCs w:val="28"/>
          <w:lang w:eastAsia="ru-RU"/>
        </w:rPr>
        <w:t>.</w:t>
      </w:r>
    </w:p>
    <w:p w14:paraId="0D3FE602" w14:textId="77777777" w:rsidR="00FA1840" w:rsidRPr="00FD7B0B" w:rsidRDefault="00FA1840" w:rsidP="00EC46F7">
      <w:pPr>
        <w:pStyle w:val="aff0"/>
        <w:keepNext/>
        <w:spacing w:after="0"/>
        <w:jc w:val="both"/>
        <w:rPr>
          <w:rFonts w:ascii="Times New Roman" w:hAnsi="Times New Roman"/>
          <w:b w:val="0"/>
          <w:sz w:val="24"/>
          <w:szCs w:val="24"/>
        </w:rPr>
      </w:pPr>
    </w:p>
    <w:p w14:paraId="48C596FF" w14:textId="77777777" w:rsidR="00205BFC" w:rsidRPr="00FD7B0B" w:rsidRDefault="00205BFC" w:rsidP="00EC46F7">
      <w:pPr>
        <w:pStyle w:val="aff0"/>
        <w:keepNext/>
        <w:spacing w:after="0"/>
        <w:jc w:val="both"/>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82</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об изменении показателей реализацию мероприятий ГП № 01</w:t>
      </w:r>
    </w:p>
    <w:tbl>
      <w:tblPr>
        <w:tblW w:w="9639"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53"/>
        <w:gridCol w:w="1162"/>
        <w:gridCol w:w="3496"/>
      </w:tblGrid>
      <w:tr w:rsidR="00FD7B0B" w:rsidRPr="00FD7B0B" w14:paraId="6509768B" w14:textId="77777777" w:rsidTr="00EC46F7">
        <w:trPr>
          <w:trHeight w:val="741"/>
        </w:trPr>
        <w:tc>
          <w:tcPr>
            <w:tcW w:w="2694" w:type="dxa"/>
            <w:shd w:val="clear" w:color="auto" w:fill="auto"/>
            <w:vAlign w:val="center"/>
            <w:hideMark/>
          </w:tcPr>
          <w:p w14:paraId="5F3EA062"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показатель, единица измерения</w:t>
            </w:r>
          </w:p>
        </w:tc>
        <w:tc>
          <w:tcPr>
            <w:tcW w:w="1134" w:type="dxa"/>
            <w:shd w:val="clear" w:color="auto" w:fill="auto"/>
            <w:vAlign w:val="center"/>
            <w:hideMark/>
          </w:tcPr>
          <w:p w14:paraId="009BB116"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ГП АО в ред. на 01.01.2024</w:t>
            </w:r>
          </w:p>
        </w:tc>
        <w:tc>
          <w:tcPr>
            <w:tcW w:w="1153" w:type="dxa"/>
            <w:shd w:val="clear" w:color="auto" w:fill="auto"/>
            <w:vAlign w:val="center"/>
            <w:hideMark/>
          </w:tcPr>
          <w:p w14:paraId="6FE5588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ГП АО в ред. на 26.12.2024</w:t>
            </w:r>
          </w:p>
        </w:tc>
        <w:tc>
          <w:tcPr>
            <w:tcW w:w="1162" w:type="dxa"/>
            <w:shd w:val="clear" w:color="auto" w:fill="auto"/>
            <w:vAlign w:val="center"/>
            <w:hideMark/>
          </w:tcPr>
          <w:p w14:paraId="4C823472"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Изменение (+/-)</w:t>
            </w:r>
          </w:p>
        </w:tc>
        <w:tc>
          <w:tcPr>
            <w:tcW w:w="3496" w:type="dxa"/>
            <w:shd w:val="clear" w:color="auto" w:fill="auto"/>
            <w:vAlign w:val="center"/>
            <w:hideMark/>
          </w:tcPr>
          <w:p w14:paraId="3A22D31B"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Причины</w:t>
            </w:r>
          </w:p>
        </w:tc>
      </w:tr>
      <w:tr w:rsidR="00FD7B0B" w:rsidRPr="00FD7B0B" w14:paraId="000FACB6" w14:textId="77777777" w:rsidTr="00EC46F7">
        <w:trPr>
          <w:trHeight w:val="322"/>
        </w:trPr>
        <w:tc>
          <w:tcPr>
            <w:tcW w:w="2694" w:type="dxa"/>
            <w:shd w:val="clear" w:color="auto" w:fill="auto"/>
            <w:vAlign w:val="center"/>
            <w:hideMark/>
          </w:tcPr>
          <w:p w14:paraId="37159421" w14:textId="77777777" w:rsidR="00205BFC" w:rsidRPr="00FD7B0B" w:rsidRDefault="00205BFC" w:rsidP="00131B70">
            <w:pPr>
              <w:pStyle w:val="a8"/>
              <w:numPr>
                <w:ilvl w:val="0"/>
                <w:numId w:val="21"/>
              </w:numPr>
              <w:autoSpaceDE w:val="0"/>
              <w:autoSpaceDN w:val="0"/>
              <w:adjustRightInd w:val="0"/>
              <w:ind w:left="19" w:right="-108" w:firstLine="157"/>
              <w:rPr>
                <w:sz w:val="20"/>
                <w:szCs w:val="20"/>
              </w:rPr>
            </w:pPr>
            <w:r w:rsidRPr="00FD7B0B">
              <w:rPr>
                <w:sz w:val="20"/>
                <w:szCs w:val="20"/>
              </w:rPr>
              <w:t>Смертность населения от всех причин смерти, на 1000 населения</w:t>
            </w:r>
          </w:p>
          <w:p w14:paraId="51E08377" w14:textId="77777777" w:rsidR="00205BFC" w:rsidRPr="00FD7B0B" w:rsidRDefault="00205BFC" w:rsidP="00205BFC">
            <w:pPr>
              <w:spacing w:after="0" w:line="240" w:lineRule="auto"/>
              <w:ind w:left="19" w:right="-108" w:firstLine="157"/>
              <w:rPr>
                <w:rFonts w:ascii="Times New Roman" w:eastAsia="Times New Roman" w:hAnsi="Times New Roman" w:cs="Times New Roman"/>
                <w:sz w:val="20"/>
                <w:szCs w:val="20"/>
                <w:lang w:eastAsia="ru-RU"/>
              </w:rPr>
            </w:pPr>
          </w:p>
        </w:tc>
        <w:tc>
          <w:tcPr>
            <w:tcW w:w="1134" w:type="dxa"/>
            <w:shd w:val="clear" w:color="auto" w:fill="auto"/>
          </w:tcPr>
          <w:p w14:paraId="2D203F0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15,1</w:t>
            </w:r>
          </w:p>
        </w:tc>
        <w:tc>
          <w:tcPr>
            <w:tcW w:w="1153" w:type="dxa"/>
            <w:shd w:val="clear" w:color="auto" w:fill="auto"/>
          </w:tcPr>
          <w:p w14:paraId="491EBE5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15,5</w:t>
            </w:r>
          </w:p>
        </w:tc>
        <w:tc>
          <w:tcPr>
            <w:tcW w:w="1162" w:type="dxa"/>
            <w:shd w:val="clear" w:color="auto" w:fill="auto"/>
            <w:hideMark/>
          </w:tcPr>
          <w:p w14:paraId="3B79F949"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+0,4 </w:t>
            </w:r>
          </w:p>
        </w:tc>
        <w:tc>
          <w:tcPr>
            <w:tcW w:w="3496" w:type="dxa"/>
            <w:vMerge w:val="restart"/>
            <w:shd w:val="clear" w:color="auto" w:fill="auto"/>
          </w:tcPr>
          <w:p w14:paraId="515D36E4" w14:textId="77777777" w:rsidR="00205BFC" w:rsidRPr="00FD7B0B" w:rsidRDefault="00205BFC" w:rsidP="00205BF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Дополнительное соглашение к соглашению о реализации на территории Архангельской области государственных программ субъекта РФ, направленных на достижение целей и показателей государственной программы "Развитие здравоохранения" от 24.09.2024 года № 2024-00287/1 между Министерством здравоохранения РФ и Правительством Архангельской области (далее - Соглашение)</w:t>
            </w:r>
          </w:p>
        </w:tc>
      </w:tr>
      <w:tr w:rsidR="00FD7B0B" w:rsidRPr="00FD7B0B" w14:paraId="6E19C2A7" w14:textId="77777777" w:rsidTr="00EC46F7">
        <w:trPr>
          <w:trHeight w:val="829"/>
        </w:trPr>
        <w:tc>
          <w:tcPr>
            <w:tcW w:w="2694" w:type="dxa"/>
            <w:shd w:val="clear" w:color="auto" w:fill="auto"/>
          </w:tcPr>
          <w:p w14:paraId="5AA3F17C" w14:textId="072C1531" w:rsidR="00205BFC" w:rsidRPr="00FD7B0B" w:rsidRDefault="00205BFC" w:rsidP="00131B70">
            <w:pPr>
              <w:pStyle w:val="a8"/>
              <w:numPr>
                <w:ilvl w:val="0"/>
                <w:numId w:val="21"/>
              </w:numPr>
              <w:autoSpaceDE w:val="0"/>
              <w:autoSpaceDN w:val="0"/>
              <w:adjustRightInd w:val="0"/>
              <w:ind w:left="19" w:right="-108" w:firstLine="157"/>
              <w:rPr>
                <w:sz w:val="20"/>
                <w:szCs w:val="20"/>
              </w:rPr>
            </w:pPr>
            <w:r w:rsidRPr="00FD7B0B">
              <w:rPr>
                <w:sz w:val="20"/>
                <w:szCs w:val="20"/>
              </w:rPr>
              <w:t>Удовлетворенность населения Архангельской области качеством медицинской помощи</w:t>
            </w:r>
          </w:p>
        </w:tc>
        <w:tc>
          <w:tcPr>
            <w:tcW w:w="1134" w:type="dxa"/>
            <w:shd w:val="clear" w:color="auto" w:fill="auto"/>
          </w:tcPr>
          <w:p w14:paraId="5E7409D2"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43,4</w:t>
            </w:r>
          </w:p>
        </w:tc>
        <w:tc>
          <w:tcPr>
            <w:tcW w:w="1153" w:type="dxa"/>
            <w:shd w:val="clear" w:color="auto" w:fill="auto"/>
          </w:tcPr>
          <w:p w14:paraId="24A9AD16"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исключен</w:t>
            </w:r>
          </w:p>
        </w:tc>
        <w:tc>
          <w:tcPr>
            <w:tcW w:w="1162" w:type="dxa"/>
            <w:shd w:val="clear" w:color="auto" w:fill="auto"/>
            <w:hideMark/>
          </w:tcPr>
          <w:p w14:paraId="1C61D8C5"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c>
          <w:tcPr>
            <w:tcW w:w="3496" w:type="dxa"/>
            <w:vMerge/>
            <w:shd w:val="clear" w:color="auto" w:fill="auto"/>
          </w:tcPr>
          <w:p w14:paraId="70C5C4BF" w14:textId="77777777" w:rsidR="00205BFC" w:rsidRPr="00FD7B0B" w:rsidRDefault="00205BFC" w:rsidP="00205BFC">
            <w:pPr>
              <w:spacing w:after="0" w:line="240" w:lineRule="auto"/>
              <w:rPr>
                <w:rFonts w:ascii="Times New Roman" w:eastAsia="Times New Roman" w:hAnsi="Times New Roman" w:cs="Times New Roman"/>
                <w:sz w:val="20"/>
                <w:szCs w:val="20"/>
                <w:lang w:eastAsia="ru-RU"/>
              </w:rPr>
            </w:pPr>
          </w:p>
        </w:tc>
      </w:tr>
    </w:tbl>
    <w:p w14:paraId="4135BCFC" w14:textId="77777777" w:rsidR="00EC46F7" w:rsidRPr="00FD7B0B" w:rsidRDefault="00EC46F7" w:rsidP="00205BFC">
      <w:pPr>
        <w:spacing w:after="0" w:line="240" w:lineRule="auto"/>
        <w:ind w:firstLine="709"/>
        <w:contextualSpacing/>
        <w:jc w:val="both"/>
        <w:rPr>
          <w:rFonts w:ascii="Times New Roman" w:eastAsia="Times New Roman" w:hAnsi="Times New Roman" w:cs="Times New Roman"/>
          <w:sz w:val="28"/>
          <w:szCs w:val="28"/>
          <w:lang w:eastAsia="ru-RU"/>
        </w:rPr>
      </w:pPr>
    </w:p>
    <w:p w14:paraId="6D4D76D4" w14:textId="0FF220F4"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редакции ГП № 01 на 03.10.2024 были дополнены 13 показателей в соответствии с дополнительным соглашением к соглашению о реализации на территории Архангельской области государственных программ субъекта РФ, направленных на достижение целей и показателей государственной программы «Развитие здравоохранения» от 24.09.2024 № 2024-00287/1 между Министерством здравоохранения РФ и Правительством Архангельской области (</w:t>
      </w:r>
      <w:r w:rsidR="00EC46F7" w:rsidRPr="00FD7B0B">
        <w:rPr>
          <w:rFonts w:ascii="Times New Roman" w:eastAsia="Times New Roman" w:hAnsi="Times New Roman" w:cs="Times New Roman"/>
          <w:sz w:val="28"/>
          <w:szCs w:val="28"/>
          <w:lang w:eastAsia="ru-RU"/>
        </w:rPr>
        <w:t>далее - Соглашение), а именно:</w:t>
      </w:r>
    </w:p>
    <w:p w14:paraId="4FD48E16"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-Улучшение материально-технической базы учреждений здравоохранения;</w:t>
      </w:r>
    </w:p>
    <w:p w14:paraId="285BD190"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lastRenderedPageBreak/>
        <w:t>-Доля пациентов с сахарным диабетом 1 и 2 типов с высокими ампутациями от всех пациентов с сахарным диабетом 1 и 2 типов с любыми ампутациями;</w:t>
      </w:r>
    </w:p>
    <w:p w14:paraId="6583468B"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 Доля пациентов с сахарным диабетом 1 и 2 типов, достигших уровня гликированного гемоглобина менее или равного 7 на конец года, от числа пациентов с сахарным диабетом 1 и 2 типов, охваченных исследованием гликированного гемоглобина с помощью лабораторных методов;</w:t>
      </w:r>
    </w:p>
    <w:p w14:paraId="78363C67"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-Доля пациентов с сахарным диабетом 1 и 2 типов, нуждающихся в заместительной почечной терапии, и пациентов со слепотой от всех пациентов с сахарным диабетом 1 и 2 типов с хронической болезнью почек и пациентов с диабетической ретинопатией;</w:t>
      </w:r>
    </w:p>
    <w:p w14:paraId="53B82990"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-Доля пациентов с сахарным диабетом 1 и 2 типов, охваченных диспансерным наблюдением, в том числе проводимым в рамках данного наблюдения исследованием гликированного гемоглобина с помощью лабораторных методов, ежегодно, не реже 1 раза в год, от общего числа пациентов с сахарным диабетом 1 и 2 типов;</w:t>
      </w:r>
    </w:p>
    <w:p w14:paraId="5B1F53C0"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-Доля пациентов с сахарным диабетом, выявленных впервые при профилактических медицинских осмотрах и диспансеризации в отчетном году, от общего числа зарегистрированных заболеваний с впервые в жизни установленным диагнозом сахарный диабет у взрослых за отчетный год;</w:t>
      </w:r>
    </w:p>
    <w:p w14:paraId="5BDCCFCE"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-Охват граждан исследованием глюкозы натощак;</w:t>
      </w:r>
    </w:p>
    <w:p w14:paraId="411CF09F" w14:textId="60A3B9DC"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 xml:space="preserve">-Доля новорожденных, обследованных на врожденные и (или) наследственные заболевания в рамках расширенного неонатального скрининга, от общего числа родившихся живыми в субъектах </w:t>
      </w:r>
      <w:r w:rsidR="003F7573" w:rsidRPr="00FD7B0B">
        <w:rPr>
          <w:rFonts w:ascii="Times New Roman" w:hAnsi="Times New Roman" w:cs="Times New Roman"/>
          <w:sz w:val="28"/>
          <w:szCs w:val="28"/>
        </w:rPr>
        <w:t>РФ</w:t>
      </w:r>
      <w:r w:rsidRPr="00FD7B0B">
        <w:rPr>
          <w:rFonts w:ascii="Times New Roman" w:hAnsi="Times New Roman" w:cs="Times New Roman"/>
          <w:sz w:val="28"/>
          <w:szCs w:val="28"/>
        </w:rPr>
        <w:t>, реализующих мероприятия по проведению расширенного неонатального скрининга на врожденные и (или) наследственные заболевания</w:t>
      </w:r>
      <w:r w:rsidR="003F7573" w:rsidRPr="00FD7B0B">
        <w:rPr>
          <w:rFonts w:ascii="Times New Roman" w:hAnsi="Times New Roman" w:cs="Times New Roman"/>
          <w:sz w:val="28"/>
          <w:szCs w:val="28"/>
        </w:rPr>
        <w:t>.</w:t>
      </w:r>
    </w:p>
    <w:p w14:paraId="0E47D4FD" w14:textId="041E2A0E" w:rsidR="00205BFC" w:rsidRPr="00FD7B0B" w:rsidRDefault="003F7573" w:rsidP="003F7573">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 xml:space="preserve">- </w:t>
      </w:r>
      <w:r w:rsidR="00205BFC" w:rsidRPr="00FD7B0B">
        <w:rPr>
          <w:rFonts w:ascii="Times New Roman" w:hAnsi="Times New Roman" w:cs="Times New Roman"/>
          <w:sz w:val="28"/>
          <w:szCs w:val="28"/>
        </w:rPr>
        <w:t>Доля пациентов, обученных в школе для пациентов с сахарным диабетом, от общего числа пациентов с сахарным диабетом 1 и 2 типов (Е10 - Е14) за отчетный год;</w:t>
      </w:r>
    </w:p>
    <w:p w14:paraId="74C29D7D"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-Смертность населения от новообразований, на 100 тыс. населения;</w:t>
      </w:r>
    </w:p>
    <w:p w14:paraId="6920AB5C"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-Смертность населения от болезней системы кровообращения, на 100 тыс. населения;</w:t>
      </w:r>
    </w:p>
    <w:p w14:paraId="255AD871"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eastAsia="Times New Roman" w:hAnsi="Times New Roman" w:cs="Times New Roman"/>
          <w:sz w:val="28"/>
          <w:szCs w:val="28"/>
          <w:lang w:eastAsia="ru-RU"/>
        </w:rPr>
        <w:t>-Снижение заболеваемости ВИЧ, на 100 тыс. населения;</w:t>
      </w:r>
    </w:p>
    <w:p w14:paraId="292E2FBC"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-Снижение заболеваемости гепатитом С, на 100 тыс. населения;</w:t>
      </w:r>
    </w:p>
    <w:p w14:paraId="6BE9FA1D"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-Снижение заболеваемости туберкулезом, на 100 тыс. населения;</w:t>
      </w:r>
    </w:p>
    <w:p w14:paraId="0A2D1AEE" w14:textId="77777777" w:rsidR="00205BFC" w:rsidRPr="00FD7B0B" w:rsidRDefault="00205BFC" w:rsidP="003F7573">
      <w:pPr>
        <w:pStyle w:val="a8"/>
        <w:autoSpaceDE w:val="0"/>
        <w:autoSpaceDN w:val="0"/>
        <w:adjustRightInd w:val="0"/>
        <w:ind w:left="0" w:firstLine="709"/>
        <w:jc w:val="both"/>
        <w:rPr>
          <w:sz w:val="28"/>
          <w:szCs w:val="28"/>
        </w:rPr>
      </w:pPr>
      <w:r w:rsidRPr="00FD7B0B">
        <w:rPr>
          <w:sz w:val="28"/>
          <w:szCs w:val="28"/>
        </w:rPr>
        <w:t>Исключен показатель «Удовлетворенность населения Архангельской области качеством медицинской помощи».</w:t>
      </w:r>
    </w:p>
    <w:p w14:paraId="7F6EE19E"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редакции ГП № 01 на 09.01.2025, с учетом всех изменений общее количество показателей составило 16.</w:t>
      </w:r>
    </w:p>
    <w:p w14:paraId="5BD25D56" w14:textId="77777777" w:rsidR="00205BFC" w:rsidRPr="00FD7B0B" w:rsidRDefault="00205BFC" w:rsidP="00205BFC">
      <w:pPr>
        <w:spacing w:after="0" w:line="240" w:lineRule="auto"/>
        <w:ind w:firstLine="709"/>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По итогам 2024 года не выполнены 5 показателей из 17, а именно:</w:t>
      </w:r>
    </w:p>
    <w:p w14:paraId="30539EA9" w14:textId="09D16457" w:rsidR="00205BFC" w:rsidRPr="00FD7B0B" w:rsidRDefault="00205BFC" w:rsidP="00205BFC">
      <w:pPr>
        <w:spacing w:after="0" w:line="240" w:lineRule="auto"/>
        <w:ind w:firstLine="709"/>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 «Ожидаемая продолжительность жизни при рождении» - 96,94</w:t>
      </w:r>
      <w:r w:rsidR="003F7573" w:rsidRPr="00FD7B0B">
        <w:rPr>
          <w:rFonts w:ascii="Times New Roman" w:eastAsia="Times New Roman" w:hAnsi="Times New Roman"/>
          <w:sz w:val="28"/>
          <w:szCs w:val="28"/>
        </w:rPr>
        <w:t xml:space="preserve"> </w:t>
      </w:r>
      <w:r w:rsidRPr="00FD7B0B">
        <w:rPr>
          <w:rFonts w:ascii="Times New Roman" w:eastAsia="Times New Roman" w:hAnsi="Times New Roman"/>
          <w:sz w:val="28"/>
          <w:szCs w:val="28"/>
        </w:rPr>
        <w:t>% (при плане 73,51 лет, выполнение за 11 месяцев 2024 года составило 71,26 лет). Причины минздравом в отчете не указаны, т.к. исполнение более 95</w:t>
      </w:r>
      <w:r w:rsidR="003F7573" w:rsidRPr="00FD7B0B">
        <w:rPr>
          <w:rFonts w:ascii="Times New Roman" w:eastAsia="Times New Roman" w:hAnsi="Times New Roman"/>
          <w:sz w:val="28"/>
          <w:szCs w:val="28"/>
        </w:rPr>
        <w:t xml:space="preserve"> </w:t>
      </w:r>
      <w:r w:rsidRPr="00FD7B0B">
        <w:rPr>
          <w:rFonts w:ascii="Times New Roman" w:eastAsia="Times New Roman" w:hAnsi="Times New Roman"/>
          <w:sz w:val="28"/>
          <w:szCs w:val="28"/>
        </w:rPr>
        <w:t>%;</w:t>
      </w:r>
    </w:p>
    <w:p w14:paraId="12FA7AE3" w14:textId="77777777" w:rsidR="00205BFC" w:rsidRPr="00FD7B0B" w:rsidRDefault="00205BFC" w:rsidP="00205BFC">
      <w:pPr>
        <w:spacing w:after="0" w:line="240" w:lineRule="auto"/>
        <w:ind w:firstLine="709"/>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По указанному показателю отмечаем следующее:</w:t>
      </w:r>
    </w:p>
    <w:tbl>
      <w:tblPr>
        <w:tblStyle w:val="a7"/>
        <w:tblW w:w="934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514"/>
        <w:gridCol w:w="1134"/>
        <w:gridCol w:w="992"/>
        <w:gridCol w:w="1701"/>
      </w:tblGrid>
      <w:tr w:rsidR="00FD7B0B" w:rsidRPr="00FD7B0B" w14:paraId="2AC5F6A6" w14:textId="77777777" w:rsidTr="00205BFC">
        <w:trPr>
          <w:tblHeader/>
        </w:trPr>
        <w:tc>
          <w:tcPr>
            <w:tcW w:w="5514" w:type="dxa"/>
          </w:tcPr>
          <w:p w14:paraId="41A50485"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lastRenderedPageBreak/>
              <w:t>Наименование показателя, единица измерения</w:t>
            </w:r>
          </w:p>
        </w:tc>
        <w:tc>
          <w:tcPr>
            <w:tcW w:w="1134" w:type="dxa"/>
          </w:tcPr>
          <w:p w14:paraId="72AB29DF"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План</w:t>
            </w:r>
          </w:p>
        </w:tc>
        <w:tc>
          <w:tcPr>
            <w:tcW w:w="992" w:type="dxa"/>
          </w:tcPr>
          <w:p w14:paraId="2B723BC3"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Факт</w:t>
            </w:r>
          </w:p>
        </w:tc>
        <w:tc>
          <w:tcPr>
            <w:tcW w:w="1701" w:type="dxa"/>
          </w:tcPr>
          <w:p w14:paraId="586B631B"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Исполнено, %</w:t>
            </w:r>
          </w:p>
        </w:tc>
      </w:tr>
      <w:tr w:rsidR="00FD7B0B" w:rsidRPr="00FD7B0B" w14:paraId="0603D339" w14:textId="77777777" w:rsidTr="00205BFC">
        <w:tc>
          <w:tcPr>
            <w:tcW w:w="5514" w:type="dxa"/>
          </w:tcPr>
          <w:p w14:paraId="0794111B"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А</w:t>
            </w:r>
          </w:p>
        </w:tc>
        <w:tc>
          <w:tcPr>
            <w:tcW w:w="1134" w:type="dxa"/>
          </w:tcPr>
          <w:p w14:paraId="5660E145"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1</w:t>
            </w:r>
          </w:p>
        </w:tc>
        <w:tc>
          <w:tcPr>
            <w:tcW w:w="992" w:type="dxa"/>
          </w:tcPr>
          <w:p w14:paraId="5DAEF133"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2</w:t>
            </w:r>
          </w:p>
        </w:tc>
        <w:tc>
          <w:tcPr>
            <w:tcW w:w="1701" w:type="dxa"/>
          </w:tcPr>
          <w:p w14:paraId="1B682944"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3=2/1*100</w:t>
            </w:r>
          </w:p>
        </w:tc>
      </w:tr>
      <w:tr w:rsidR="00FD7B0B" w:rsidRPr="00FD7B0B" w14:paraId="0766020F" w14:textId="77777777" w:rsidTr="00205BFC">
        <w:tc>
          <w:tcPr>
            <w:tcW w:w="5514" w:type="dxa"/>
          </w:tcPr>
          <w:p w14:paraId="5BCAEA0D" w14:textId="77777777" w:rsidR="00205BFC" w:rsidRPr="00FD7B0B" w:rsidRDefault="00205BFC" w:rsidP="00205BFC">
            <w:pPr>
              <w:contextualSpacing/>
              <w:rPr>
                <w:rFonts w:ascii="Times New Roman" w:eastAsia="Times New Roman" w:hAnsi="Times New Roman"/>
              </w:rPr>
            </w:pPr>
            <w:r w:rsidRPr="00FD7B0B">
              <w:rPr>
                <w:rFonts w:ascii="Times New Roman" w:eastAsia="Times New Roman" w:hAnsi="Times New Roman"/>
              </w:rPr>
              <w:t xml:space="preserve"> Ожидаемая продолжительность жизни при рождении</w:t>
            </w:r>
          </w:p>
        </w:tc>
        <w:tc>
          <w:tcPr>
            <w:tcW w:w="1134" w:type="dxa"/>
          </w:tcPr>
          <w:p w14:paraId="1281E558" w14:textId="77777777" w:rsidR="00205BFC" w:rsidRPr="00FD7B0B" w:rsidRDefault="00205BFC" w:rsidP="00205BFC">
            <w:pPr>
              <w:contextualSpacing/>
              <w:jc w:val="center"/>
              <w:rPr>
                <w:rFonts w:ascii="Times New Roman" w:eastAsia="Times New Roman" w:hAnsi="Times New Roman"/>
              </w:rPr>
            </w:pPr>
          </w:p>
        </w:tc>
        <w:tc>
          <w:tcPr>
            <w:tcW w:w="992" w:type="dxa"/>
          </w:tcPr>
          <w:p w14:paraId="1C4814AC" w14:textId="77777777" w:rsidR="00205BFC" w:rsidRPr="00FD7B0B" w:rsidRDefault="00205BFC" w:rsidP="00205BFC">
            <w:pPr>
              <w:contextualSpacing/>
              <w:jc w:val="center"/>
              <w:rPr>
                <w:rFonts w:ascii="Times New Roman" w:eastAsia="Times New Roman" w:hAnsi="Times New Roman"/>
              </w:rPr>
            </w:pPr>
          </w:p>
        </w:tc>
        <w:tc>
          <w:tcPr>
            <w:tcW w:w="1701" w:type="dxa"/>
          </w:tcPr>
          <w:p w14:paraId="144DCAB3" w14:textId="77777777" w:rsidR="00205BFC" w:rsidRPr="00FD7B0B" w:rsidRDefault="00205BFC" w:rsidP="00205BFC">
            <w:pPr>
              <w:contextualSpacing/>
              <w:jc w:val="center"/>
              <w:rPr>
                <w:rFonts w:ascii="Times New Roman" w:eastAsia="Times New Roman" w:hAnsi="Times New Roman"/>
              </w:rPr>
            </w:pPr>
          </w:p>
        </w:tc>
      </w:tr>
      <w:tr w:rsidR="00FD7B0B" w:rsidRPr="00FD7B0B" w14:paraId="22E4E34F" w14:textId="77777777" w:rsidTr="00205BFC">
        <w:tc>
          <w:tcPr>
            <w:tcW w:w="5514" w:type="dxa"/>
          </w:tcPr>
          <w:p w14:paraId="6F69A26F" w14:textId="77777777" w:rsidR="00205BFC" w:rsidRPr="00FD7B0B" w:rsidRDefault="00205BFC" w:rsidP="00205BFC">
            <w:pPr>
              <w:contextualSpacing/>
              <w:jc w:val="both"/>
              <w:rPr>
                <w:rFonts w:ascii="Times New Roman" w:eastAsia="Times New Roman" w:hAnsi="Times New Roman"/>
              </w:rPr>
            </w:pPr>
            <w:r w:rsidRPr="00FD7B0B">
              <w:rPr>
                <w:rFonts w:ascii="Times New Roman" w:eastAsia="Times New Roman" w:hAnsi="Times New Roman"/>
              </w:rPr>
              <w:t>2021 год</w:t>
            </w:r>
          </w:p>
        </w:tc>
        <w:tc>
          <w:tcPr>
            <w:tcW w:w="1134" w:type="dxa"/>
          </w:tcPr>
          <w:p w14:paraId="428963E0"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70,12</w:t>
            </w:r>
          </w:p>
        </w:tc>
        <w:tc>
          <w:tcPr>
            <w:tcW w:w="992" w:type="dxa"/>
          </w:tcPr>
          <w:p w14:paraId="2BC9636A"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69,60</w:t>
            </w:r>
          </w:p>
        </w:tc>
        <w:tc>
          <w:tcPr>
            <w:tcW w:w="1701" w:type="dxa"/>
          </w:tcPr>
          <w:p w14:paraId="67F7A795"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99,3</w:t>
            </w:r>
          </w:p>
        </w:tc>
      </w:tr>
      <w:tr w:rsidR="00FD7B0B" w:rsidRPr="00FD7B0B" w14:paraId="323F03B0" w14:textId="77777777" w:rsidTr="00205BFC">
        <w:tc>
          <w:tcPr>
            <w:tcW w:w="5514" w:type="dxa"/>
          </w:tcPr>
          <w:p w14:paraId="41F121EB" w14:textId="77777777" w:rsidR="00205BFC" w:rsidRPr="00FD7B0B" w:rsidRDefault="00205BFC" w:rsidP="00205BFC">
            <w:pPr>
              <w:contextualSpacing/>
              <w:jc w:val="both"/>
              <w:rPr>
                <w:rFonts w:ascii="Times New Roman" w:eastAsia="Times New Roman" w:hAnsi="Times New Roman"/>
              </w:rPr>
            </w:pPr>
            <w:r w:rsidRPr="00FD7B0B">
              <w:rPr>
                <w:rFonts w:ascii="Times New Roman" w:eastAsia="Times New Roman" w:hAnsi="Times New Roman"/>
              </w:rPr>
              <w:t>2022 год</w:t>
            </w:r>
          </w:p>
        </w:tc>
        <w:tc>
          <w:tcPr>
            <w:tcW w:w="1134" w:type="dxa"/>
          </w:tcPr>
          <w:p w14:paraId="5AAF1481"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70,9</w:t>
            </w:r>
          </w:p>
        </w:tc>
        <w:tc>
          <w:tcPr>
            <w:tcW w:w="992" w:type="dxa"/>
          </w:tcPr>
          <w:p w14:paraId="09B2746E"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70,96</w:t>
            </w:r>
          </w:p>
        </w:tc>
        <w:tc>
          <w:tcPr>
            <w:tcW w:w="1701" w:type="dxa"/>
            <w:vAlign w:val="bottom"/>
          </w:tcPr>
          <w:p w14:paraId="1E295217"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100,1</w:t>
            </w:r>
          </w:p>
        </w:tc>
      </w:tr>
      <w:tr w:rsidR="00FD7B0B" w:rsidRPr="00FD7B0B" w14:paraId="2361B9C6" w14:textId="77777777" w:rsidTr="00205BFC">
        <w:tc>
          <w:tcPr>
            <w:tcW w:w="5514" w:type="dxa"/>
          </w:tcPr>
          <w:p w14:paraId="367D4DC8" w14:textId="77777777" w:rsidR="00205BFC" w:rsidRPr="00FD7B0B" w:rsidRDefault="00205BFC" w:rsidP="00205BFC">
            <w:pPr>
              <w:contextualSpacing/>
              <w:jc w:val="both"/>
              <w:rPr>
                <w:rFonts w:ascii="Times New Roman" w:eastAsia="Times New Roman" w:hAnsi="Times New Roman"/>
              </w:rPr>
            </w:pPr>
            <w:r w:rsidRPr="00FD7B0B">
              <w:rPr>
                <w:rFonts w:ascii="Times New Roman" w:eastAsia="Times New Roman" w:hAnsi="Times New Roman"/>
              </w:rPr>
              <w:t>2023 год</w:t>
            </w:r>
          </w:p>
        </w:tc>
        <w:tc>
          <w:tcPr>
            <w:tcW w:w="1134" w:type="dxa"/>
          </w:tcPr>
          <w:p w14:paraId="001DB924"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72,97</w:t>
            </w:r>
          </w:p>
        </w:tc>
        <w:tc>
          <w:tcPr>
            <w:tcW w:w="992" w:type="dxa"/>
          </w:tcPr>
          <w:p w14:paraId="0F54587F"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71,6</w:t>
            </w:r>
          </w:p>
        </w:tc>
        <w:tc>
          <w:tcPr>
            <w:tcW w:w="1701" w:type="dxa"/>
            <w:vAlign w:val="bottom"/>
          </w:tcPr>
          <w:p w14:paraId="31D3BF61"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98,1</w:t>
            </w:r>
          </w:p>
        </w:tc>
      </w:tr>
      <w:tr w:rsidR="00FD7B0B" w:rsidRPr="00FD7B0B" w14:paraId="0C87A1EA" w14:textId="77777777" w:rsidTr="00205BFC">
        <w:tc>
          <w:tcPr>
            <w:tcW w:w="5514" w:type="dxa"/>
          </w:tcPr>
          <w:p w14:paraId="77209C32" w14:textId="77777777" w:rsidR="00205BFC" w:rsidRPr="00FD7B0B" w:rsidRDefault="00205BFC" w:rsidP="00205BFC">
            <w:pPr>
              <w:contextualSpacing/>
              <w:jc w:val="both"/>
              <w:rPr>
                <w:rFonts w:ascii="Times New Roman" w:eastAsia="Times New Roman" w:hAnsi="Times New Roman"/>
              </w:rPr>
            </w:pPr>
            <w:r w:rsidRPr="00FD7B0B">
              <w:rPr>
                <w:rFonts w:ascii="Times New Roman" w:eastAsia="Times New Roman" w:hAnsi="Times New Roman"/>
              </w:rPr>
              <w:t>2024 год</w:t>
            </w:r>
          </w:p>
        </w:tc>
        <w:tc>
          <w:tcPr>
            <w:tcW w:w="1134" w:type="dxa"/>
          </w:tcPr>
          <w:p w14:paraId="39151E01"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73,51</w:t>
            </w:r>
          </w:p>
        </w:tc>
        <w:tc>
          <w:tcPr>
            <w:tcW w:w="992" w:type="dxa"/>
          </w:tcPr>
          <w:p w14:paraId="7A2CDF4E"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71,26</w:t>
            </w:r>
          </w:p>
        </w:tc>
        <w:tc>
          <w:tcPr>
            <w:tcW w:w="1701" w:type="dxa"/>
            <w:vAlign w:val="bottom"/>
          </w:tcPr>
          <w:p w14:paraId="267FB676"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96,9</w:t>
            </w:r>
          </w:p>
        </w:tc>
      </w:tr>
      <w:tr w:rsidR="00205BFC" w:rsidRPr="00FD7B0B" w14:paraId="1F2BD829" w14:textId="77777777" w:rsidTr="00205BFC">
        <w:tc>
          <w:tcPr>
            <w:tcW w:w="5514" w:type="dxa"/>
          </w:tcPr>
          <w:p w14:paraId="4A5B47B4" w14:textId="77777777" w:rsidR="00205BFC" w:rsidRPr="00FD7B0B" w:rsidRDefault="00205BFC" w:rsidP="00205BFC">
            <w:pPr>
              <w:contextualSpacing/>
              <w:jc w:val="both"/>
              <w:rPr>
                <w:rFonts w:ascii="Times New Roman" w:eastAsia="Times New Roman" w:hAnsi="Times New Roman"/>
              </w:rPr>
            </w:pPr>
            <w:r w:rsidRPr="00FD7B0B">
              <w:rPr>
                <w:rFonts w:ascii="Times New Roman" w:eastAsia="Times New Roman" w:hAnsi="Times New Roman"/>
              </w:rPr>
              <w:t>2025 год</w:t>
            </w:r>
          </w:p>
        </w:tc>
        <w:tc>
          <w:tcPr>
            <w:tcW w:w="3827" w:type="dxa"/>
            <w:gridSpan w:val="3"/>
          </w:tcPr>
          <w:p w14:paraId="2ADA98FC"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исключен</w:t>
            </w:r>
          </w:p>
        </w:tc>
      </w:tr>
    </w:tbl>
    <w:p w14:paraId="2E205F63" w14:textId="77777777" w:rsidR="003F7573" w:rsidRPr="00FD7B0B" w:rsidRDefault="003F7573" w:rsidP="00205BFC">
      <w:pPr>
        <w:spacing w:after="0" w:line="240" w:lineRule="auto"/>
        <w:ind w:firstLine="709"/>
        <w:contextualSpacing/>
        <w:jc w:val="both"/>
        <w:rPr>
          <w:rFonts w:ascii="Times New Roman" w:eastAsia="Times New Roman" w:hAnsi="Times New Roman"/>
          <w:sz w:val="28"/>
          <w:szCs w:val="28"/>
        </w:rPr>
      </w:pPr>
    </w:p>
    <w:p w14:paraId="701063D9" w14:textId="2D49BA48" w:rsidR="00205BFC" w:rsidRPr="00FD7B0B" w:rsidRDefault="00205BFC" w:rsidP="00205BFC">
      <w:pPr>
        <w:spacing w:after="0" w:line="240" w:lineRule="auto"/>
        <w:ind w:firstLine="709"/>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Показатель «Ожидаемая продолжительность жизни при рождении» – не выполнялся в 2021, 2023, 2024 годы. Был выполнен лишь в 2022 году. В редакции ГП № 01 от 09.01.2025 данный показатель исключен из ГП № 01.</w:t>
      </w:r>
    </w:p>
    <w:p w14:paraId="3FD37C8F" w14:textId="5FBE8521" w:rsidR="00205BFC" w:rsidRPr="00FD7B0B" w:rsidRDefault="00205BFC" w:rsidP="00205BFC">
      <w:pPr>
        <w:spacing w:after="0" w:line="240" w:lineRule="auto"/>
        <w:ind w:firstLine="709"/>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 «Снижение заболеваемости ВИЧ, на 100 тыс. населения» - 92,81</w:t>
      </w:r>
      <w:r w:rsidR="003F7573" w:rsidRPr="00FD7B0B">
        <w:rPr>
          <w:rFonts w:ascii="Times New Roman" w:eastAsia="Times New Roman" w:hAnsi="Times New Roman"/>
          <w:sz w:val="28"/>
          <w:szCs w:val="28"/>
        </w:rPr>
        <w:t xml:space="preserve"> </w:t>
      </w:r>
      <w:r w:rsidRPr="00FD7B0B">
        <w:rPr>
          <w:rFonts w:ascii="Times New Roman" w:eastAsia="Times New Roman" w:hAnsi="Times New Roman"/>
          <w:sz w:val="28"/>
          <w:szCs w:val="28"/>
        </w:rPr>
        <w:t>% (при плане 16,8</w:t>
      </w:r>
      <w:r w:rsidR="003F7573" w:rsidRPr="00FD7B0B">
        <w:rPr>
          <w:rFonts w:ascii="Times New Roman" w:eastAsia="Times New Roman" w:hAnsi="Times New Roman"/>
          <w:sz w:val="28"/>
          <w:szCs w:val="28"/>
        </w:rPr>
        <w:t xml:space="preserve"> </w:t>
      </w:r>
      <w:r w:rsidRPr="00FD7B0B">
        <w:rPr>
          <w:rFonts w:ascii="Times New Roman" w:eastAsia="Times New Roman" w:hAnsi="Times New Roman"/>
          <w:sz w:val="28"/>
          <w:szCs w:val="28"/>
        </w:rPr>
        <w:t>%, фактическое значение составило 18,1</w:t>
      </w:r>
      <w:r w:rsidR="003F7573" w:rsidRPr="00FD7B0B">
        <w:rPr>
          <w:rFonts w:ascii="Times New Roman" w:eastAsia="Times New Roman" w:hAnsi="Times New Roman"/>
          <w:sz w:val="28"/>
          <w:szCs w:val="28"/>
        </w:rPr>
        <w:t xml:space="preserve"> </w:t>
      </w:r>
      <w:r w:rsidRPr="00FD7B0B">
        <w:rPr>
          <w:rFonts w:ascii="Times New Roman" w:eastAsia="Times New Roman" w:hAnsi="Times New Roman"/>
          <w:sz w:val="28"/>
          <w:szCs w:val="28"/>
        </w:rPr>
        <w:t>%). Согласно пояснениям минздрава АО, недостижение показателя связано с активизацией работы по проведению обследований, что приводит к росту выявленных случаев заболевания.</w:t>
      </w:r>
    </w:p>
    <w:p w14:paraId="2F5E5630" w14:textId="007C36D3" w:rsidR="00205BFC" w:rsidRPr="00FD7B0B" w:rsidRDefault="00205BFC" w:rsidP="00205BFC">
      <w:pPr>
        <w:spacing w:after="0" w:line="240" w:lineRule="auto"/>
        <w:ind w:firstLine="709"/>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 «Снижение заболеваемости гепатитом С, на 100 тыс. населения» - 62,64</w:t>
      </w:r>
      <w:r w:rsidR="003F7573" w:rsidRPr="00FD7B0B">
        <w:rPr>
          <w:rFonts w:ascii="Times New Roman" w:eastAsia="Times New Roman" w:hAnsi="Times New Roman"/>
          <w:sz w:val="28"/>
          <w:szCs w:val="28"/>
        </w:rPr>
        <w:t> </w:t>
      </w:r>
      <w:r w:rsidRPr="00FD7B0B">
        <w:rPr>
          <w:rFonts w:ascii="Times New Roman" w:eastAsia="Times New Roman" w:hAnsi="Times New Roman"/>
          <w:sz w:val="28"/>
          <w:szCs w:val="28"/>
        </w:rPr>
        <w:t xml:space="preserve">% (при плане 18,23, фактическое значение составило – 29,1) </w:t>
      </w:r>
      <w:r w:rsidRPr="00FD7B0B">
        <w:rPr>
          <w:rFonts w:ascii="Times New Roman" w:eastAsia="Times New Roman" w:hAnsi="Times New Roman" w:cs="Times New Roman"/>
          <w:sz w:val="28"/>
          <w:szCs w:val="28"/>
          <w:lang w:eastAsia="ru-RU"/>
        </w:rPr>
        <w:t>Недостижение показателя связано с увеличением числа лиц, обследованных на гепатит С, в рамках приказа Минздрава России от 27.04.2021 № 404н «Об утверждении Порядка проведения профилактического медицинского осмотра и диспансеризации определенных групп взрослого населения» с июля 2024 г,</w:t>
      </w:r>
      <w:r w:rsidRPr="00FD7B0B">
        <w:rPr>
          <w:rFonts w:ascii="Times New Roman" w:hAnsi="Times New Roman" w:cs="Times New Roman"/>
          <w:sz w:val="28"/>
          <w:szCs w:val="28"/>
        </w:rPr>
        <w:t xml:space="preserve"> </w:t>
      </w:r>
      <w:r w:rsidRPr="00FD7B0B">
        <w:rPr>
          <w:rFonts w:ascii="Times New Roman" w:eastAsia="Times New Roman" w:hAnsi="Times New Roman" w:cs="Times New Roman"/>
          <w:sz w:val="28"/>
          <w:szCs w:val="28"/>
          <w:lang w:eastAsia="ru-RU"/>
        </w:rPr>
        <w:t>а также с  активизацией работы по проведению обследований, что приводит к росту выявленных случаев заболевания</w:t>
      </w:r>
    </w:p>
    <w:p w14:paraId="511D39EA"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«Снижение заболеваемости туберкулезом, на 100 тыс. населения» - 90,79% (при плане – 14,8, факт составил 16,3%).  Недостижение показателя связано с активизацией работы по проведению обследований, что приводит к росту выявленных случаев заболевания.</w:t>
      </w:r>
    </w:p>
    <w:p w14:paraId="6943B4F9" w14:textId="7FCCFA25"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 «Смертность населения от</w:t>
      </w:r>
      <w:r w:rsidRPr="00FD7B0B">
        <w:rPr>
          <w:rFonts w:ascii="Times New Roman" w:hAnsi="Times New Roman" w:cs="Times New Roman"/>
          <w:sz w:val="28"/>
          <w:szCs w:val="28"/>
          <w:lang w:val="en-US"/>
        </w:rPr>
        <w:t> </w:t>
      </w:r>
      <w:r w:rsidRPr="00FD7B0B">
        <w:rPr>
          <w:rFonts w:ascii="Times New Roman" w:hAnsi="Times New Roman" w:cs="Times New Roman"/>
          <w:sz w:val="28"/>
          <w:szCs w:val="28"/>
        </w:rPr>
        <w:t>новообразований, на</w:t>
      </w:r>
      <w:r w:rsidRPr="00FD7B0B">
        <w:rPr>
          <w:rFonts w:ascii="Times New Roman" w:hAnsi="Times New Roman" w:cs="Times New Roman"/>
          <w:sz w:val="28"/>
          <w:szCs w:val="28"/>
          <w:lang w:val="en-US"/>
        </w:rPr>
        <w:t> </w:t>
      </w:r>
      <w:r w:rsidRPr="00FD7B0B">
        <w:rPr>
          <w:rFonts w:ascii="Times New Roman" w:hAnsi="Times New Roman" w:cs="Times New Roman"/>
          <w:sz w:val="28"/>
          <w:szCs w:val="28"/>
        </w:rPr>
        <w:t>100</w:t>
      </w:r>
      <w:r w:rsidRPr="00FD7B0B">
        <w:rPr>
          <w:rFonts w:ascii="Times New Roman" w:hAnsi="Times New Roman" w:cs="Times New Roman"/>
          <w:sz w:val="28"/>
          <w:szCs w:val="28"/>
          <w:lang w:val="en-US"/>
        </w:rPr>
        <w:t> </w:t>
      </w:r>
      <w:r w:rsidRPr="00FD7B0B">
        <w:rPr>
          <w:rFonts w:ascii="Times New Roman" w:hAnsi="Times New Roman" w:cs="Times New Roman"/>
          <w:sz w:val="28"/>
          <w:szCs w:val="28"/>
        </w:rPr>
        <w:t>тыс. населения» - 92,87</w:t>
      </w:r>
      <w:r w:rsidR="009A7809" w:rsidRPr="00FD7B0B">
        <w:rPr>
          <w:rFonts w:ascii="Times New Roman" w:hAnsi="Times New Roman" w:cs="Times New Roman"/>
          <w:sz w:val="28"/>
          <w:szCs w:val="28"/>
        </w:rPr>
        <w:t xml:space="preserve"> %.</w:t>
      </w:r>
    </w:p>
    <w:p w14:paraId="6582B508" w14:textId="77777777" w:rsidR="00205BFC" w:rsidRPr="00FD7B0B" w:rsidRDefault="00205BFC" w:rsidP="00205BFC">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По указанному показателю следует отметить:</w:t>
      </w:r>
    </w:p>
    <w:p w14:paraId="6267E86B" w14:textId="66D563B7" w:rsidR="00205BFC" w:rsidRPr="00FD7B0B" w:rsidRDefault="00205BFC" w:rsidP="00205BFC">
      <w:pPr>
        <w:spacing w:after="0" w:line="240" w:lineRule="auto"/>
        <w:ind w:firstLine="709"/>
        <w:contextualSpacing/>
        <w:jc w:val="both"/>
        <w:rPr>
          <w:rFonts w:ascii="Times New Roman" w:eastAsia="Calibri" w:hAnsi="Times New Roman" w:cs="Times New Roman"/>
          <w:bCs/>
          <w:sz w:val="24"/>
          <w:szCs w:val="24"/>
        </w:rPr>
      </w:pPr>
      <w:r w:rsidRPr="00FD7B0B">
        <w:rPr>
          <w:rFonts w:ascii="Times New Roman" w:hAnsi="Times New Roman" w:cs="Times New Roman"/>
          <w:sz w:val="28"/>
          <w:szCs w:val="28"/>
        </w:rPr>
        <w:t xml:space="preserve">В таблице </w:t>
      </w:r>
      <w:r w:rsidR="001C09FE" w:rsidRPr="00FD7B0B">
        <w:rPr>
          <w:rFonts w:ascii="Times New Roman" w:hAnsi="Times New Roman" w:cs="Times New Roman"/>
          <w:sz w:val="28"/>
          <w:szCs w:val="28"/>
        </w:rPr>
        <w:t>83</w:t>
      </w:r>
      <w:r w:rsidRPr="00FD7B0B">
        <w:rPr>
          <w:rFonts w:ascii="Times New Roman" w:hAnsi="Times New Roman" w:cs="Times New Roman"/>
          <w:sz w:val="28"/>
          <w:szCs w:val="28"/>
        </w:rPr>
        <w:t xml:space="preserve"> приведена информация об установленных значениях показателя «Смертность от новообразований, в том числе злокачественных, на 100 тыс. населения», согласно программе Архангельской области «Борьба с онкологическими заболеваниями», утвержденной постановлением Правительства Архангельской области от 24.07.2024 № 562-пп и ГП № 01</w:t>
      </w:r>
      <w:r w:rsidR="001C09FE" w:rsidRPr="00FD7B0B">
        <w:rPr>
          <w:rFonts w:ascii="Times New Roman" w:hAnsi="Times New Roman" w:cs="Times New Roman"/>
          <w:sz w:val="28"/>
          <w:szCs w:val="28"/>
        </w:rPr>
        <w:t>.</w:t>
      </w:r>
    </w:p>
    <w:p w14:paraId="75A54810" w14:textId="77777777" w:rsidR="009A7809" w:rsidRPr="00FD7B0B" w:rsidRDefault="009A7809" w:rsidP="00205BFC">
      <w:pPr>
        <w:pStyle w:val="aff0"/>
        <w:keepNext/>
        <w:spacing w:after="0" w:line="240" w:lineRule="auto"/>
        <w:jc w:val="both"/>
        <w:rPr>
          <w:rFonts w:ascii="Times New Roman" w:hAnsi="Times New Roman"/>
          <w:b w:val="0"/>
          <w:sz w:val="24"/>
          <w:szCs w:val="24"/>
        </w:rPr>
      </w:pPr>
    </w:p>
    <w:p w14:paraId="474C3C05" w14:textId="57C0F996" w:rsidR="00205BFC" w:rsidRPr="00FD7B0B" w:rsidRDefault="00205BFC" w:rsidP="009A7809">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83</w:t>
      </w:r>
      <w:r w:rsidRPr="00FD7B0B">
        <w:rPr>
          <w:rFonts w:ascii="Times New Roman" w:hAnsi="Times New Roman"/>
          <w:b w:val="0"/>
          <w:sz w:val="24"/>
          <w:szCs w:val="24"/>
        </w:rPr>
        <w:fldChar w:fldCharType="end"/>
      </w:r>
      <w:r w:rsidRPr="00FD7B0B">
        <w:rPr>
          <w:rFonts w:ascii="Times New Roman" w:hAnsi="Times New Roman"/>
          <w:b w:val="0"/>
          <w:sz w:val="24"/>
          <w:szCs w:val="24"/>
        </w:rPr>
        <w:t>. Значения показателя «Смертность от новообразований, в том числе злокачес</w:t>
      </w:r>
      <w:r w:rsidR="009A7809" w:rsidRPr="00FD7B0B">
        <w:rPr>
          <w:rFonts w:ascii="Times New Roman" w:hAnsi="Times New Roman"/>
          <w:b w:val="0"/>
          <w:sz w:val="24"/>
          <w:szCs w:val="24"/>
        </w:rPr>
        <w:t>твенных, на 100 тыс. населения»</w:t>
      </w:r>
    </w:p>
    <w:tbl>
      <w:tblPr>
        <w:tblStyle w:val="a7"/>
        <w:tblW w:w="9530"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096"/>
        <w:gridCol w:w="1040"/>
        <w:gridCol w:w="992"/>
        <w:gridCol w:w="1134"/>
        <w:gridCol w:w="1134"/>
        <w:gridCol w:w="1134"/>
      </w:tblGrid>
      <w:tr w:rsidR="00FD7B0B" w:rsidRPr="00FD7B0B" w14:paraId="62159BAA" w14:textId="77777777" w:rsidTr="009A7809">
        <w:tc>
          <w:tcPr>
            <w:tcW w:w="4096" w:type="dxa"/>
          </w:tcPr>
          <w:p w14:paraId="52A75BEA" w14:textId="77777777" w:rsidR="00205BFC" w:rsidRPr="00FD7B0B" w:rsidRDefault="00205BFC" w:rsidP="009A7809">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год</w:t>
            </w:r>
          </w:p>
        </w:tc>
        <w:tc>
          <w:tcPr>
            <w:tcW w:w="1040" w:type="dxa"/>
          </w:tcPr>
          <w:p w14:paraId="797E0083" w14:textId="77777777" w:rsidR="00205BFC" w:rsidRPr="00FD7B0B" w:rsidRDefault="00205BFC" w:rsidP="009A7809">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2022</w:t>
            </w:r>
          </w:p>
        </w:tc>
        <w:tc>
          <w:tcPr>
            <w:tcW w:w="992" w:type="dxa"/>
          </w:tcPr>
          <w:p w14:paraId="71E69FFE" w14:textId="77777777" w:rsidR="00205BFC" w:rsidRPr="00FD7B0B" w:rsidRDefault="00205BFC" w:rsidP="009A7809">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2023</w:t>
            </w:r>
          </w:p>
        </w:tc>
        <w:tc>
          <w:tcPr>
            <w:tcW w:w="1134" w:type="dxa"/>
          </w:tcPr>
          <w:p w14:paraId="3794BD99" w14:textId="77777777" w:rsidR="00205BFC" w:rsidRPr="00FD7B0B" w:rsidRDefault="00205BFC" w:rsidP="009A7809">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2024</w:t>
            </w:r>
          </w:p>
        </w:tc>
        <w:tc>
          <w:tcPr>
            <w:tcW w:w="1134" w:type="dxa"/>
          </w:tcPr>
          <w:p w14:paraId="603A66D4" w14:textId="77777777" w:rsidR="00205BFC" w:rsidRPr="00FD7B0B" w:rsidRDefault="00205BFC" w:rsidP="009A7809">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Факт 2024</w:t>
            </w:r>
          </w:p>
        </w:tc>
        <w:tc>
          <w:tcPr>
            <w:tcW w:w="1134" w:type="dxa"/>
          </w:tcPr>
          <w:p w14:paraId="3B87C176" w14:textId="77777777" w:rsidR="00205BFC" w:rsidRPr="00FD7B0B" w:rsidRDefault="00205BFC" w:rsidP="009A7809">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2030</w:t>
            </w:r>
          </w:p>
        </w:tc>
      </w:tr>
      <w:tr w:rsidR="00FD7B0B" w:rsidRPr="00FD7B0B" w14:paraId="29F0BAF8" w14:textId="77777777" w:rsidTr="009A7809">
        <w:tc>
          <w:tcPr>
            <w:tcW w:w="4096" w:type="dxa"/>
          </w:tcPr>
          <w:p w14:paraId="7201B3C1" w14:textId="77777777" w:rsidR="00205BFC" w:rsidRPr="00FD7B0B" w:rsidRDefault="00205BFC" w:rsidP="009A7809">
            <w:pPr>
              <w:contextualSpacing/>
              <w:rPr>
                <w:rFonts w:ascii="Times New Roman" w:eastAsia="Times New Roman" w:hAnsi="Times New Roman"/>
                <w:sz w:val="24"/>
                <w:szCs w:val="24"/>
              </w:rPr>
            </w:pPr>
            <w:r w:rsidRPr="00FD7B0B">
              <w:rPr>
                <w:rFonts w:ascii="Times New Roman" w:eastAsia="Times New Roman" w:hAnsi="Times New Roman"/>
                <w:sz w:val="24"/>
                <w:szCs w:val="24"/>
              </w:rPr>
              <w:t>Значение в Программе «Борьба с онкологическими заболеваниями»</w:t>
            </w:r>
          </w:p>
        </w:tc>
        <w:tc>
          <w:tcPr>
            <w:tcW w:w="1040" w:type="dxa"/>
          </w:tcPr>
          <w:p w14:paraId="4659DBA3"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233,8</w:t>
            </w:r>
          </w:p>
        </w:tc>
        <w:tc>
          <w:tcPr>
            <w:tcW w:w="992" w:type="dxa"/>
          </w:tcPr>
          <w:p w14:paraId="004BE50B"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231,8</w:t>
            </w:r>
          </w:p>
        </w:tc>
        <w:tc>
          <w:tcPr>
            <w:tcW w:w="1134" w:type="dxa"/>
          </w:tcPr>
          <w:p w14:paraId="7A9E8EE4"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229,8</w:t>
            </w:r>
          </w:p>
        </w:tc>
        <w:tc>
          <w:tcPr>
            <w:tcW w:w="1134" w:type="dxa"/>
          </w:tcPr>
          <w:p w14:paraId="2FDCAE00" w14:textId="77777777" w:rsidR="00205BFC" w:rsidRPr="00FD7B0B" w:rsidRDefault="00205BFC" w:rsidP="00205BFC">
            <w:pPr>
              <w:contextualSpacing/>
              <w:jc w:val="center"/>
              <w:rPr>
                <w:rFonts w:ascii="Times New Roman" w:eastAsia="Times New Roman" w:hAnsi="Times New Roman"/>
                <w:sz w:val="24"/>
                <w:szCs w:val="24"/>
              </w:rPr>
            </w:pPr>
          </w:p>
        </w:tc>
        <w:tc>
          <w:tcPr>
            <w:tcW w:w="1134" w:type="dxa"/>
          </w:tcPr>
          <w:p w14:paraId="400C10E3"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217,9</w:t>
            </w:r>
          </w:p>
        </w:tc>
      </w:tr>
      <w:tr w:rsidR="00205BFC" w:rsidRPr="00FD7B0B" w14:paraId="42D1B3CF" w14:textId="77777777" w:rsidTr="009A7809">
        <w:tc>
          <w:tcPr>
            <w:tcW w:w="4096" w:type="dxa"/>
          </w:tcPr>
          <w:p w14:paraId="13418228" w14:textId="77777777" w:rsidR="00205BFC" w:rsidRPr="00FD7B0B" w:rsidRDefault="00205BFC" w:rsidP="00205BFC">
            <w:pPr>
              <w:contextualSpacing/>
              <w:jc w:val="both"/>
              <w:rPr>
                <w:rFonts w:ascii="Times New Roman" w:eastAsia="Times New Roman" w:hAnsi="Times New Roman"/>
                <w:sz w:val="24"/>
                <w:szCs w:val="24"/>
              </w:rPr>
            </w:pPr>
            <w:r w:rsidRPr="00FD7B0B">
              <w:rPr>
                <w:rFonts w:ascii="Times New Roman" w:eastAsia="Times New Roman" w:hAnsi="Times New Roman"/>
                <w:sz w:val="24"/>
                <w:szCs w:val="24"/>
              </w:rPr>
              <w:t>Значение в ГП № 01</w:t>
            </w:r>
          </w:p>
        </w:tc>
        <w:tc>
          <w:tcPr>
            <w:tcW w:w="1040" w:type="dxa"/>
          </w:tcPr>
          <w:p w14:paraId="532AE5A3"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222,2</w:t>
            </w:r>
          </w:p>
        </w:tc>
        <w:tc>
          <w:tcPr>
            <w:tcW w:w="992" w:type="dxa"/>
          </w:tcPr>
          <w:p w14:paraId="2FB88564"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258,1</w:t>
            </w:r>
          </w:p>
        </w:tc>
        <w:tc>
          <w:tcPr>
            <w:tcW w:w="1134" w:type="dxa"/>
          </w:tcPr>
          <w:p w14:paraId="54E22BBD"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246,4</w:t>
            </w:r>
          </w:p>
        </w:tc>
        <w:tc>
          <w:tcPr>
            <w:tcW w:w="1134" w:type="dxa"/>
          </w:tcPr>
          <w:p w14:paraId="03B4C668"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265,3</w:t>
            </w:r>
          </w:p>
        </w:tc>
        <w:tc>
          <w:tcPr>
            <w:tcW w:w="1134" w:type="dxa"/>
          </w:tcPr>
          <w:p w14:paraId="492C47F7" w14:textId="77777777" w:rsidR="00205BFC" w:rsidRPr="00FD7B0B" w:rsidRDefault="00205BFC" w:rsidP="00205BFC">
            <w:pPr>
              <w:contextualSpacing/>
              <w:jc w:val="center"/>
              <w:rPr>
                <w:rFonts w:ascii="Times New Roman" w:eastAsia="Times New Roman" w:hAnsi="Times New Roman"/>
                <w:sz w:val="24"/>
                <w:szCs w:val="24"/>
              </w:rPr>
            </w:pPr>
          </w:p>
        </w:tc>
      </w:tr>
    </w:tbl>
    <w:p w14:paraId="60CA79EF" w14:textId="77777777" w:rsidR="009A7809" w:rsidRPr="00FD7B0B" w:rsidRDefault="009A7809" w:rsidP="00205BFC">
      <w:pPr>
        <w:spacing w:after="0" w:line="240" w:lineRule="auto"/>
        <w:ind w:firstLine="709"/>
        <w:contextualSpacing/>
        <w:jc w:val="both"/>
        <w:rPr>
          <w:rFonts w:ascii="Times New Roman" w:eastAsia="Times New Roman" w:hAnsi="Times New Roman"/>
          <w:sz w:val="28"/>
          <w:szCs w:val="28"/>
        </w:rPr>
      </w:pPr>
    </w:p>
    <w:p w14:paraId="01EBE751" w14:textId="77777777" w:rsidR="00205BFC" w:rsidRPr="00FD7B0B" w:rsidRDefault="00205BFC" w:rsidP="00205BFC">
      <w:pPr>
        <w:spacing w:after="0" w:line="240" w:lineRule="auto"/>
        <w:ind w:firstLine="709"/>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 xml:space="preserve">Таким образом, в программе «Борьба с онкологическими заболеваниями», показатель установлен значительно ниже, чем в ГП № 01 и значение его </w:t>
      </w:r>
      <w:r w:rsidRPr="00FD7B0B">
        <w:rPr>
          <w:rFonts w:ascii="Times New Roman" w:eastAsia="Times New Roman" w:hAnsi="Times New Roman"/>
          <w:sz w:val="28"/>
          <w:szCs w:val="28"/>
        </w:rPr>
        <w:lastRenderedPageBreak/>
        <w:t>снижается по годам (установлен с положительной динамикой), а фактически, как и установлено в ГП № 01 значение показателя ежегодно растет, что и отмечает минздрав АО в пояснениях: «В Архангельской области отмечается постоянный равномерный рост заболеваемости злокачественными новообразования (далее – ЗНО). Несмотря на рост заболеваемости, смертность от ЗНО в области снижается, разрыв между показателями заболеваемости и смертности ежегодно увеличивается (в 2014 году стандартизированный показатель смертности был равен 126,1 на 100 тыс., а к 2024 году он снизился до 117,7 на 100 тыс. населения».</w:t>
      </w:r>
    </w:p>
    <w:p w14:paraId="5215BD1B" w14:textId="77777777" w:rsidR="00205BFC" w:rsidRPr="00FD7B0B" w:rsidRDefault="00205BFC" w:rsidP="00205BFC">
      <w:pPr>
        <w:spacing w:after="0" w:line="240" w:lineRule="auto"/>
        <w:ind w:firstLine="709"/>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 xml:space="preserve">Таким образом, несмотря на реализацию регионального проекта «Борьба с онкологическими заболеваниями», выделению значительного объема бюджетных средств, показатель </w:t>
      </w:r>
      <w:r w:rsidRPr="00FD7B0B">
        <w:rPr>
          <w:rFonts w:ascii="Times New Roman" w:hAnsi="Times New Roman" w:cs="Times New Roman"/>
          <w:sz w:val="28"/>
          <w:szCs w:val="28"/>
        </w:rPr>
        <w:t>«Смертность от новообразований, в том числе злокачественных, на 100 тыс. населения» ежегодно растет, что свидетельствует о недостаточной эффективности реализации программы.</w:t>
      </w:r>
    </w:p>
    <w:p w14:paraId="270494DF" w14:textId="77777777" w:rsidR="00205BFC" w:rsidRPr="00FD7B0B" w:rsidRDefault="00205BFC" w:rsidP="00205BFC">
      <w:pPr>
        <w:spacing w:after="0" w:line="240" w:lineRule="auto"/>
        <w:ind w:firstLine="709"/>
        <w:contextualSpacing/>
        <w:jc w:val="both"/>
        <w:rPr>
          <w:rFonts w:ascii="Times New Roman" w:eastAsia="Times New Roman" w:hAnsi="Times New Roman"/>
          <w:strike/>
          <w:sz w:val="28"/>
          <w:szCs w:val="28"/>
        </w:rPr>
      </w:pPr>
    </w:p>
    <w:p w14:paraId="75CFF43E"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итогам 2024 года перевыполнены плановые значение девяти показателей:</w:t>
      </w:r>
    </w:p>
    <w:p w14:paraId="45D9E86F" w14:textId="74232232" w:rsidR="00205BFC" w:rsidRPr="00FD7B0B" w:rsidRDefault="00205BFC" w:rsidP="00205BFC">
      <w:pPr>
        <w:widowControl w:val="0"/>
        <w:spacing w:after="0" w:line="240" w:lineRule="auto"/>
        <w:ind w:firstLine="708"/>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пояснения минздравом АО даны в отчете лишь по тем показателям, которые выполнены более чем на 120</w:t>
      </w:r>
      <w:r w:rsidR="009A7809"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53B6B22E" w14:textId="54D0BDA9" w:rsidR="00205BFC" w:rsidRPr="00FD7B0B" w:rsidRDefault="00205BFC" w:rsidP="00205BFC">
      <w:pPr>
        <w:widowControl w:val="0"/>
        <w:spacing w:after="0" w:line="240" w:lineRule="auto"/>
        <w:ind w:firstLine="708"/>
        <w:jc w:val="both"/>
        <w:rPr>
          <w:rFonts w:ascii="Times New Roman" w:hAnsi="Times New Roman" w:cs="Times New Roman"/>
          <w:sz w:val="28"/>
          <w:szCs w:val="18"/>
        </w:rPr>
      </w:pPr>
      <w:r w:rsidRPr="00FD7B0B">
        <w:rPr>
          <w:rFonts w:ascii="Times New Roman" w:eastAsia="Times New Roman" w:hAnsi="Times New Roman" w:cs="Times New Roman"/>
          <w:sz w:val="28"/>
          <w:szCs w:val="28"/>
          <w:lang w:eastAsia="ru-RU"/>
        </w:rPr>
        <w:t>Так, по показателям: «Доля пациентов с сахарным диабетом 1 и 2 типов с высокими ампутациями от всех пациентов с сахарным диабетом 1 и 2 типов с любыми ампутациями» – 200</w:t>
      </w:r>
      <w:r w:rsidR="009A7809"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w:t>
      </w:r>
      <w:r w:rsidRPr="00FD7B0B">
        <w:rPr>
          <w:rFonts w:ascii="Times New Roman" w:hAnsi="Times New Roman" w:cs="Times New Roman"/>
          <w:sz w:val="28"/>
          <w:szCs w:val="18"/>
        </w:rPr>
        <w:t xml:space="preserve">Доля пациентов с сахарным </w:t>
      </w:r>
      <w:r w:rsidRPr="00FD7B0B">
        <w:rPr>
          <w:rFonts w:ascii="Times New Roman" w:hAnsi="Times New Roman" w:cs="Times New Roman"/>
          <w:spacing w:val="-6"/>
          <w:sz w:val="28"/>
          <w:szCs w:val="18"/>
        </w:rPr>
        <w:t>диабетом 1 и 2 типов, нуждающихся</w:t>
      </w:r>
      <w:r w:rsidRPr="00FD7B0B">
        <w:rPr>
          <w:rFonts w:ascii="Times New Roman" w:hAnsi="Times New Roman" w:cs="Times New Roman"/>
          <w:sz w:val="28"/>
          <w:szCs w:val="18"/>
        </w:rPr>
        <w:t xml:space="preserve"> в заместительной почечной терапии, и пациентов со слепотой от всех пациентов с сахарным диабетом 1 и 2 типов с хронической болезнью почек и пациентов с диабетической ретинопатией» – 129,24</w:t>
      </w:r>
      <w:r w:rsidR="009A7809" w:rsidRPr="00FD7B0B">
        <w:rPr>
          <w:rFonts w:ascii="Times New Roman" w:hAnsi="Times New Roman" w:cs="Times New Roman"/>
          <w:sz w:val="28"/>
          <w:szCs w:val="18"/>
        </w:rPr>
        <w:t xml:space="preserve"> </w:t>
      </w:r>
      <w:r w:rsidRPr="00FD7B0B">
        <w:rPr>
          <w:rFonts w:ascii="Times New Roman" w:hAnsi="Times New Roman" w:cs="Times New Roman"/>
          <w:sz w:val="28"/>
          <w:szCs w:val="18"/>
        </w:rPr>
        <w:t>%; «Доля пациентов с сахарным диабетом 1 и 2 типов, охваченных диспансерным наблюдением, в том числе проводимым в рамках данного наблюдения исследованием гликированного гемоглобина с помощью лабораторных методов, ежегодно, не реже 1 раза в год, от общего числа пациентов с сахарным диабетом 1 и 2 типов» – 145,75</w:t>
      </w:r>
      <w:r w:rsidR="009A7809" w:rsidRPr="00FD7B0B">
        <w:rPr>
          <w:rFonts w:ascii="Times New Roman" w:hAnsi="Times New Roman" w:cs="Times New Roman"/>
          <w:sz w:val="28"/>
          <w:szCs w:val="18"/>
        </w:rPr>
        <w:t xml:space="preserve"> </w:t>
      </w:r>
      <w:r w:rsidRPr="00FD7B0B">
        <w:rPr>
          <w:rFonts w:ascii="Times New Roman" w:hAnsi="Times New Roman" w:cs="Times New Roman"/>
          <w:sz w:val="28"/>
          <w:szCs w:val="18"/>
        </w:rPr>
        <w:t>%; «Охват граждан исследованием глюкозы натощак» - 133,17</w:t>
      </w:r>
      <w:r w:rsidR="009A7809" w:rsidRPr="00FD7B0B">
        <w:rPr>
          <w:rFonts w:ascii="Times New Roman" w:hAnsi="Times New Roman" w:cs="Times New Roman"/>
          <w:sz w:val="28"/>
          <w:szCs w:val="18"/>
        </w:rPr>
        <w:t xml:space="preserve"> </w:t>
      </w:r>
      <w:r w:rsidRPr="00FD7B0B">
        <w:rPr>
          <w:rFonts w:ascii="Times New Roman" w:hAnsi="Times New Roman" w:cs="Times New Roman"/>
          <w:sz w:val="28"/>
          <w:szCs w:val="18"/>
        </w:rPr>
        <w:t>% перевыполнение произошло по причине уточнения методики расчета показателей министерством здравоохранения Российской Федерации ФП «Борьба с сахарным диабетом» от 02.12.2024.</w:t>
      </w:r>
    </w:p>
    <w:p w14:paraId="22DE6FF8" w14:textId="57DEDB2D" w:rsidR="00205BFC" w:rsidRPr="00FD7B0B" w:rsidRDefault="00205BFC" w:rsidP="00205BFC">
      <w:pPr>
        <w:widowControl w:val="0"/>
        <w:spacing w:after="0" w:line="240" w:lineRule="auto"/>
        <w:ind w:firstLine="708"/>
        <w:jc w:val="both"/>
        <w:rPr>
          <w:rFonts w:ascii="Times New Roman" w:hAnsi="Times New Roman" w:cs="Times New Roman"/>
          <w:sz w:val="28"/>
          <w:szCs w:val="18"/>
        </w:rPr>
      </w:pPr>
      <w:r w:rsidRPr="00FD7B0B">
        <w:rPr>
          <w:rFonts w:ascii="Times New Roman" w:hAnsi="Times New Roman" w:cs="Times New Roman"/>
          <w:sz w:val="28"/>
          <w:szCs w:val="18"/>
        </w:rPr>
        <w:t xml:space="preserve">По перевыполнению показателя «Смертность населения от болезней системы кровообращения» следует отметить, что данный показатель установлен в ГП </w:t>
      </w:r>
      <w:r w:rsidR="009A7809" w:rsidRPr="00FD7B0B">
        <w:rPr>
          <w:rFonts w:ascii="Times New Roman" w:hAnsi="Times New Roman" w:cs="Times New Roman"/>
          <w:sz w:val="28"/>
          <w:szCs w:val="18"/>
        </w:rPr>
        <w:t>№ 01 с отрицательной динамикой:</w:t>
      </w:r>
    </w:p>
    <w:p w14:paraId="4A7A4E17" w14:textId="45A19199" w:rsidR="00205BFC" w:rsidRPr="00FD7B0B" w:rsidRDefault="00205BFC" w:rsidP="00205BFC">
      <w:pPr>
        <w:autoSpaceDE w:val="0"/>
        <w:autoSpaceDN w:val="0"/>
        <w:adjustRightInd w:val="0"/>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t xml:space="preserve">В таблице </w:t>
      </w:r>
      <w:r w:rsidR="001C09FE" w:rsidRPr="00FD7B0B">
        <w:rPr>
          <w:rFonts w:ascii="Times New Roman" w:hAnsi="Times New Roman" w:cs="Times New Roman"/>
          <w:sz w:val="28"/>
          <w:szCs w:val="28"/>
        </w:rPr>
        <w:t>84</w:t>
      </w:r>
      <w:r w:rsidRPr="00FD7B0B">
        <w:rPr>
          <w:rFonts w:ascii="Times New Roman" w:hAnsi="Times New Roman" w:cs="Times New Roman"/>
          <w:sz w:val="28"/>
          <w:szCs w:val="28"/>
        </w:rPr>
        <w:t xml:space="preserve"> приведена информация об установленных значениях показателя «Смертность от болезней системы кровообращения, на 100 тыс. населения», согласно программе Архангельской области «Борьба с сердечно-сосудистыми заболеваниями», утвержденной постановлением Правительства Архангельской области от</w:t>
      </w:r>
      <w:r w:rsidR="001C09FE" w:rsidRPr="00FD7B0B">
        <w:rPr>
          <w:rFonts w:ascii="Times New Roman" w:hAnsi="Times New Roman" w:cs="Times New Roman"/>
          <w:sz w:val="28"/>
          <w:szCs w:val="28"/>
        </w:rPr>
        <w:t xml:space="preserve"> 14.06.2024 № 455-пп и ГП № 01.</w:t>
      </w:r>
    </w:p>
    <w:p w14:paraId="1B8B3593" w14:textId="77777777" w:rsidR="009A7809" w:rsidRPr="00FD7B0B" w:rsidRDefault="009A7809" w:rsidP="009A7809">
      <w:pPr>
        <w:pStyle w:val="aff0"/>
        <w:keepNext/>
        <w:spacing w:after="0" w:line="240" w:lineRule="auto"/>
        <w:rPr>
          <w:rFonts w:ascii="Times New Roman" w:hAnsi="Times New Roman"/>
          <w:b w:val="0"/>
          <w:sz w:val="24"/>
          <w:szCs w:val="24"/>
        </w:rPr>
      </w:pPr>
    </w:p>
    <w:p w14:paraId="5112AFC1" w14:textId="105523BC" w:rsidR="00205BFC" w:rsidRPr="00FD7B0B" w:rsidRDefault="00205BFC" w:rsidP="009A7809">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84</w:t>
      </w:r>
      <w:r w:rsidRPr="00FD7B0B">
        <w:rPr>
          <w:rFonts w:ascii="Times New Roman" w:hAnsi="Times New Roman"/>
          <w:b w:val="0"/>
          <w:sz w:val="24"/>
          <w:szCs w:val="24"/>
        </w:rPr>
        <w:fldChar w:fldCharType="end"/>
      </w:r>
      <w:r w:rsidRPr="00FD7B0B">
        <w:rPr>
          <w:rFonts w:ascii="Times New Roman" w:hAnsi="Times New Roman"/>
          <w:b w:val="0"/>
          <w:sz w:val="24"/>
          <w:szCs w:val="24"/>
        </w:rPr>
        <w:t>. Значение показателя «Смертность от болезней системы кровооб</w:t>
      </w:r>
      <w:r w:rsidR="009A7809" w:rsidRPr="00FD7B0B">
        <w:rPr>
          <w:rFonts w:ascii="Times New Roman" w:hAnsi="Times New Roman"/>
          <w:b w:val="0"/>
          <w:sz w:val="24"/>
          <w:szCs w:val="24"/>
        </w:rPr>
        <w:t>ращения, на 100 тыс. населения»</w:t>
      </w:r>
    </w:p>
    <w:tbl>
      <w:tblPr>
        <w:tblStyle w:val="a7"/>
        <w:tblW w:w="935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390"/>
        <w:gridCol w:w="1417"/>
        <w:gridCol w:w="992"/>
        <w:gridCol w:w="993"/>
        <w:gridCol w:w="1559"/>
      </w:tblGrid>
      <w:tr w:rsidR="00FD7B0B" w:rsidRPr="00FD7B0B" w14:paraId="5C135B15" w14:textId="77777777" w:rsidTr="00FB4A4C">
        <w:trPr>
          <w:tblHeader/>
        </w:trPr>
        <w:tc>
          <w:tcPr>
            <w:tcW w:w="4390" w:type="dxa"/>
          </w:tcPr>
          <w:p w14:paraId="54ED726D"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год</w:t>
            </w:r>
          </w:p>
        </w:tc>
        <w:tc>
          <w:tcPr>
            <w:tcW w:w="1417" w:type="dxa"/>
          </w:tcPr>
          <w:p w14:paraId="344BAE58"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2022</w:t>
            </w:r>
          </w:p>
        </w:tc>
        <w:tc>
          <w:tcPr>
            <w:tcW w:w="992" w:type="dxa"/>
          </w:tcPr>
          <w:p w14:paraId="566C2B47"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2023</w:t>
            </w:r>
          </w:p>
        </w:tc>
        <w:tc>
          <w:tcPr>
            <w:tcW w:w="993" w:type="dxa"/>
          </w:tcPr>
          <w:p w14:paraId="0EC51D4F"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2024</w:t>
            </w:r>
          </w:p>
        </w:tc>
        <w:tc>
          <w:tcPr>
            <w:tcW w:w="1559" w:type="dxa"/>
          </w:tcPr>
          <w:p w14:paraId="3B02235C"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Факт 2024</w:t>
            </w:r>
          </w:p>
        </w:tc>
      </w:tr>
      <w:tr w:rsidR="00FD7B0B" w:rsidRPr="00FD7B0B" w14:paraId="75C64A3A" w14:textId="77777777" w:rsidTr="00205BFC">
        <w:tc>
          <w:tcPr>
            <w:tcW w:w="4390" w:type="dxa"/>
          </w:tcPr>
          <w:p w14:paraId="6D9A2C96" w14:textId="77777777" w:rsidR="00205BFC" w:rsidRPr="00FD7B0B" w:rsidRDefault="00205BFC" w:rsidP="00FB4A4C">
            <w:pPr>
              <w:contextualSpacing/>
              <w:rPr>
                <w:rFonts w:ascii="Times New Roman" w:eastAsia="Times New Roman" w:hAnsi="Times New Roman"/>
                <w:sz w:val="24"/>
                <w:szCs w:val="24"/>
              </w:rPr>
            </w:pPr>
            <w:r w:rsidRPr="00FD7B0B">
              <w:rPr>
                <w:rFonts w:ascii="Times New Roman" w:eastAsia="Times New Roman" w:hAnsi="Times New Roman"/>
                <w:sz w:val="24"/>
                <w:szCs w:val="24"/>
              </w:rPr>
              <w:t>Значение в Программе «Борьба с сердечно-сосудистыми заболеваниями»</w:t>
            </w:r>
          </w:p>
        </w:tc>
        <w:tc>
          <w:tcPr>
            <w:tcW w:w="1417" w:type="dxa"/>
          </w:tcPr>
          <w:p w14:paraId="4EAD6F47"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758,4</w:t>
            </w:r>
          </w:p>
        </w:tc>
        <w:tc>
          <w:tcPr>
            <w:tcW w:w="992" w:type="dxa"/>
          </w:tcPr>
          <w:p w14:paraId="6E92C923"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735,2</w:t>
            </w:r>
          </w:p>
        </w:tc>
        <w:tc>
          <w:tcPr>
            <w:tcW w:w="993" w:type="dxa"/>
          </w:tcPr>
          <w:p w14:paraId="103B3576"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eastAsia="Times New Roman" w:hAnsi="Times New Roman"/>
                <w:sz w:val="24"/>
                <w:szCs w:val="24"/>
              </w:rPr>
              <w:t>712,0</w:t>
            </w:r>
          </w:p>
        </w:tc>
        <w:tc>
          <w:tcPr>
            <w:tcW w:w="1559" w:type="dxa"/>
          </w:tcPr>
          <w:p w14:paraId="4A7E9927" w14:textId="77777777" w:rsidR="00205BFC" w:rsidRPr="00FD7B0B" w:rsidRDefault="00205BFC" w:rsidP="00205BFC">
            <w:pPr>
              <w:contextualSpacing/>
              <w:jc w:val="center"/>
              <w:rPr>
                <w:rFonts w:ascii="Times New Roman" w:eastAsia="Times New Roman" w:hAnsi="Times New Roman"/>
                <w:sz w:val="24"/>
                <w:szCs w:val="24"/>
              </w:rPr>
            </w:pPr>
          </w:p>
        </w:tc>
      </w:tr>
      <w:tr w:rsidR="00205BFC" w:rsidRPr="00FD7B0B" w14:paraId="7508B573" w14:textId="77777777" w:rsidTr="00205BFC">
        <w:tc>
          <w:tcPr>
            <w:tcW w:w="4390" w:type="dxa"/>
          </w:tcPr>
          <w:p w14:paraId="531A83D6" w14:textId="77777777" w:rsidR="00205BFC" w:rsidRPr="00FD7B0B" w:rsidRDefault="00205BFC" w:rsidP="00205BFC">
            <w:pPr>
              <w:contextualSpacing/>
              <w:jc w:val="both"/>
              <w:rPr>
                <w:rFonts w:ascii="Times New Roman" w:eastAsia="Times New Roman" w:hAnsi="Times New Roman"/>
                <w:sz w:val="24"/>
                <w:szCs w:val="24"/>
              </w:rPr>
            </w:pPr>
            <w:r w:rsidRPr="00FD7B0B">
              <w:rPr>
                <w:rFonts w:ascii="Times New Roman" w:eastAsia="Times New Roman" w:hAnsi="Times New Roman"/>
                <w:sz w:val="24"/>
                <w:szCs w:val="24"/>
              </w:rPr>
              <w:t>Значение в ГП № 01</w:t>
            </w:r>
          </w:p>
        </w:tc>
        <w:tc>
          <w:tcPr>
            <w:tcW w:w="1417" w:type="dxa"/>
          </w:tcPr>
          <w:p w14:paraId="3B4090D1"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hAnsi="Times New Roman"/>
                <w:sz w:val="24"/>
                <w:szCs w:val="24"/>
              </w:rPr>
              <w:t>635,7</w:t>
            </w:r>
          </w:p>
        </w:tc>
        <w:tc>
          <w:tcPr>
            <w:tcW w:w="992" w:type="dxa"/>
          </w:tcPr>
          <w:p w14:paraId="3700873B"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hAnsi="Times New Roman"/>
                <w:sz w:val="24"/>
                <w:szCs w:val="24"/>
              </w:rPr>
              <w:t>677,4</w:t>
            </w:r>
          </w:p>
        </w:tc>
        <w:tc>
          <w:tcPr>
            <w:tcW w:w="993" w:type="dxa"/>
          </w:tcPr>
          <w:p w14:paraId="2A50AC17"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hAnsi="Times New Roman"/>
                <w:sz w:val="24"/>
                <w:szCs w:val="24"/>
              </w:rPr>
              <w:t>717,6</w:t>
            </w:r>
          </w:p>
        </w:tc>
        <w:tc>
          <w:tcPr>
            <w:tcW w:w="1559" w:type="dxa"/>
          </w:tcPr>
          <w:p w14:paraId="73E6B708" w14:textId="77777777" w:rsidR="00205BFC" w:rsidRPr="00FD7B0B" w:rsidRDefault="00205BFC" w:rsidP="00205BFC">
            <w:pPr>
              <w:contextualSpacing/>
              <w:jc w:val="center"/>
              <w:rPr>
                <w:rFonts w:ascii="Times New Roman" w:eastAsia="Times New Roman" w:hAnsi="Times New Roman"/>
                <w:sz w:val="24"/>
                <w:szCs w:val="24"/>
              </w:rPr>
            </w:pPr>
            <w:r w:rsidRPr="00FD7B0B">
              <w:rPr>
                <w:rFonts w:ascii="Times New Roman" w:hAnsi="Times New Roman"/>
                <w:sz w:val="24"/>
                <w:szCs w:val="24"/>
              </w:rPr>
              <w:t>702</w:t>
            </w:r>
          </w:p>
        </w:tc>
      </w:tr>
    </w:tbl>
    <w:p w14:paraId="2133E595" w14:textId="77777777" w:rsidR="009A7809" w:rsidRPr="00FD7B0B" w:rsidRDefault="009A7809" w:rsidP="00205BFC">
      <w:pPr>
        <w:widowControl w:val="0"/>
        <w:spacing w:after="0" w:line="240" w:lineRule="auto"/>
        <w:ind w:firstLine="708"/>
        <w:jc w:val="both"/>
        <w:rPr>
          <w:rFonts w:ascii="Times New Roman" w:eastAsia="Times New Roman" w:hAnsi="Times New Roman"/>
          <w:sz w:val="28"/>
          <w:szCs w:val="28"/>
        </w:rPr>
      </w:pPr>
    </w:p>
    <w:p w14:paraId="6A25ED3E" w14:textId="3A21E757" w:rsidR="00205BFC" w:rsidRPr="00FD7B0B" w:rsidRDefault="00205BFC" w:rsidP="00205BFC">
      <w:pPr>
        <w:widowControl w:val="0"/>
        <w:spacing w:after="0" w:line="240" w:lineRule="auto"/>
        <w:ind w:firstLine="708"/>
        <w:jc w:val="both"/>
        <w:rPr>
          <w:rFonts w:ascii="Times New Roman" w:eastAsia="Times New Roman" w:hAnsi="Times New Roman"/>
          <w:sz w:val="28"/>
          <w:szCs w:val="28"/>
        </w:rPr>
      </w:pPr>
      <w:r w:rsidRPr="00FD7B0B">
        <w:rPr>
          <w:rFonts w:ascii="Times New Roman" w:eastAsia="Times New Roman" w:hAnsi="Times New Roman"/>
          <w:sz w:val="28"/>
          <w:szCs w:val="28"/>
        </w:rPr>
        <w:t xml:space="preserve">Как следует из </w:t>
      </w:r>
      <w:r w:rsidR="00380ADB" w:rsidRPr="00FD7B0B">
        <w:rPr>
          <w:rFonts w:ascii="Times New Roman" w:eastAsia="Times New Roman" w:hAnsi="Times New Roman"/>
          <w:sz w:val="28"/>
          <w:szCs w:val="28"/>
        </w:rPr>
        <w:t xml:space="preserve">вышеприведенной </w:t>
      </w:r>
      <w:r w:rsidRPr="00FD7B0B">
        <w:rPr>
          <w:rFonts w:ascii="Times New Roman" w:eastAsia="Times New Roman" w:hAnsi="Times New Roman"/>
          <w:sz w:val="28"/>
          <w:szCs w:val="28"/>
        </w:rPr>
        <w:t>таблицы, в программе «Борьба с сердечно-сосудистыми заболеваниями», показатель установлен значительно ниже, чем в ГП № 01 и значение его снижается по годам, а фактически, как и установлено в ГП № 01 значение показателя ежегодно растет.</w:t>
      </w:r>
    </w:p>
    <w:p w14:paraId="4C0B5617" w14:textId="77777777" w:rsidR="00205BFC" w:rsidRPr="00FD7B0B" w:rsidRDefault="00205BFC" w:rsidP="00205BFC">
      <w:pPr>
        <w:spacing w:after="0" w:line="240" w:lineRule="auto"/>
        <w:ind w:firstLine="709"/>
        <w:contextualSpacing/>
        <w:jc w:val="both"/>
        <w:rPr>
          <w:rFonts w:ascii="Times New Roman" w:eastAsia="Times New Roman" w:hAnsi="Times New Roman"/>
          <w:sz w:val="28"/>
          <w:szCs w:val="28"/>
        </w:rPr>
      </w:pPr>
      <w:r w:rsidRPr="00FD7B0B">
        <w:rPr>
          <w:rFonts w:ascii="Times New Roman" w:eastAsia="Times New Roman" w:hAnsi="Times New Roman"/>
          <w:sz w:val="28"/>
          <w:szCs w:val="28"/>
        </w:rPr>
        <w:t xml:space="preserve">Таким образом, несмотря на реализацию регионального проекта «Борьба с онкологическими заболеваниями», выделению значительного объема бюджетных средств, показатель </w:t>
      </w:r>
      <w:r w:rsidRPr="00FD7B0B">
        <w:rPr>
          <w:rFonts w:ascii="Times New Roman" w:hAnsi="Times New Roman" w:cs="Times New Roman"/>
          <w:sz w:val="28"/>
          <w:szCs w:val="28"/>
        </w:rPr>
        <w:t>«Смертность от новообразований, в том числе злокачественных, на 100 тыс. населения» ежегодно растет, что свидетельствует о недостаточной эффективности при реализации программ.</w:t>
      </w:r>
    </w:p>
    <w:p w14:paraId="69F27FC7" w14:textId="583DEB71" w:rsidR="00205BFC" w:rsidRPr="00FD7B0B" w:rsidRDefault="00205BFC" w:rsidP="00205BFC">
      <w:pPr>
        <w:widowControl w:val="0"/>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t xml:space="preserve">В таблице </w:t>
      </w:r>
      <w:r w:rsidR="001C09FE" w:rsidRPr="00FD7B0B">
        <w:rPr>
          <w:rFonts w:ascii="Times New Roman" w:hAnsi="Times New Roman" w:cs="Times New Roman"/>
          <w:sz w:val="28"/>
          <w:szCs w:val="28"/>
        </w:rPr>
        <w:t>85</w:t>
      </w:r>
      <w:r w:rsidR="00380ADB" w:rsidRPr="00FD7B0B">
        <w:rPr>
          <w:rFonts w:ascii="Times New Roman" w:hAnsi="Times New Roman" w:cs="Times New Roman"/>
          <w:sz w:val="28"/>
          <w:szCs w:val="28"/>
        </w:rPr>
        <w:t xml:space="preserve"> </w:t>
      </w:r>
      <w:r w:rsidRPr="00FD7B0B">
        <w:rPr>
          <w:rFonts w:ascii="Times New Roman" w:hAnsi="Times New Roman" w:cs="Times New Roman"/>
          <w:sz w:val="28"/>
          <w:szCs w:val="28"/>
        </w:rPr>
        <w:t xml:space="preserve">приведена информация о </w:t>
      </w:r>
      <w:r w:rsidRPr="00FD7B0B">
        <w:rPr>
          <w:rFonts w:ascii="Times New Roman" w:hAnsi="Times New Roman"/>
          <w:sz w:val="28"/>
          <w:szCs w:val="28"/>
        </w:rPr>
        <w:t>выполнении показателей ГП № 01, а также о расходах на их выполнение за 2024 год</w:t>
      </w:r>
      <w:r w:rsidR="00380ADB" w:rsidRPr="00FD7B0B">
        <w:rPr>
          <w:rFonts w:ascii="Times New Roman" w:hAnsi="Times New Roman"/>
          <w:sz w:val="28"/>
          <w:szCs w:val="28"/>
        </w:rPr>
        <w:t>.</w:t>
      </w:r>
    </w:p>
    <w:p w14:paraId="625B7804" w14:textId="77777777" w:rsidR="001C09FE" w:rsidRPr="00FD7B0B" w:rsidRDefault="001C09FE" w:rsidP="00380ADB">
      <w:pPr>
        <w:pStyle w:val="aff0"/>
        <w:keepNext/>
        <w:spacing w:after="0" w:line="240" w:lineRule="auto"/>
        <w:rPr>
          <w:rFonts w:ascii="Times New Roman" w:hAnsi="Times New Roman"/>
          <w:b w:val="0"/>
          <w:sz w:val="24"/>
          <w:szCs w:val="24"/>
        </w:rPr>
      </w:pPr>
    </w:p>
    <w:p w14:paraId="171CE3D1" w14:textId="2A272C9F" w:rsidR="00205BFC" w:rsidRPr="00FD7B0B" w:rsidRDefault="00205BFC" w:rsidP="00380ADB">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85</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 выполнении показателей ГП № 01, а также о расходах на и</w:t>
      </w:r>
      <w:r w:rsidR="00380ADB" w:rsidRPr="00FD7B0B">
        <w:rPr>
          <w:rFonts w:ascii="Times New Roman" w:hAnsi="Times New Roman"/>
          <w:b w:val="0"/>
          <w:sz w:val="24"/>
          <w:szCs w:val="24"/>
        </w:rPr>
        <w:t>х выполнение за 2024 год</w:t>
      </w:r>
    </w:p>
    <w:tbl>
      <w:tblPr>
        <w:tblStyle w:val="a7"/>
        <w:tblW w:w="9663"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433"/>
        <w:gridCol w:w="794"/>
        <w:gridCol w:w="832"/>
        <w:gridCol w:w="738"/>
        <w:gridCol w:w="1123"/>
        <w:gridCol w:w="1578"/>
        <w:gridCol w:w="1011"/>
        <w:gridCol w:w="1154"/>
      </w:tblGrid>
      <w:tr w:rsidR="00FD7B0B" w:rsidRPr="00FD7B0B" w14:paraId="6480D1A8" w14:textId="77777777" w:rsidTr="00B408AB">
        <w:trPr>
          <w:tblHeader/>
        </w:trPr>
        <w:tc>
          <w:tcPr>
            <w:tcW w:w="2433" w:type="dxa"/>
            <w:vMerge w:val="restart"/>
          </w:tcPr>
          <w:p w14:paraId="4A5C7954"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Подпрограмма</w:t>
            </w:r>
          </w:p>
        </w:tc>
        <w:tc>
          <w:tcPr>
            <w:tcW w:w="2364" w:type="dxa"/>
            <w:gridSpan w:val="3"/>
          </w:tcPr>
          <w:p w14:paraId="58A77264"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Количество показателей на 2024 год</w:t>
            </w:r>
          </w:p>
        </w:tc>
        <w:tc>
          <w:tcPr>
            <w:tcW w:w="2701" w:type="dxa"/>
            <w:gridSpan w:val="2"/>
          </w:tcPr>
          <w:p w14:paraId="2ADC4F3B"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 xml:space="preserve">Объем финансирования ГП №1 на 31.12.2024 </w:t>
            </w:r>
          </w:p>
        </w:tc>
        <w:tc>
          <w:tcPr>
            <w:tcW w:w="2165" w:type="dxa"/>
            <w:gridSpan w:val="2"/>
          </w:tcPr>
          <w:p w14:paraId="60D8494C"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Исполнено согласно отчету о реализации госпрограммы</w:t>
            </w:r>
          </w:p>
        </w:tc>
      </w:tr>
      <w:tr w:rsidR="00FD7B0B" w:rsidRPr="00FD7B0B" w14:paraId="6FEDB37C" w14:textId="77777777" w:rsidTr="00B408AB">
        <w:trPr>
          <w:tblHeader/>
        </w:trPr>
        <w:tc>
          <w:tcPr>
            <w:tcW w:w="2433" w:type="dxa"/>
            <w:vMerge/>
          </w:tcPr>
          <w:p w14:paraId="3CF80D32" w14:textId="77777777" w:rsidR="00205BFC" w:rsidRPr="00FD7B0B" w:rsidRDefault="00205BFC" w:rsidP="00205BFC">
            <w:pPr>
              <w:contextualSpacing/>
              <w:jc w:val="center"/>
              <w:rPr>
                <w:rFonts w:ascii="Times New Roman" w:eastAsia="Times New Roman" w:hAnsi="Times New Roman"/>
              </w:rPr>
            </w:pPr>
          </w:p>
        </w:tc>
        <w:tc>
          <w:tcPr>
            <w:tcW w:w="794" w:type="dxa"/>
          </w:tcPr>
          <w:p w14:paraId="131F17F9"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План</w:t>
            </w:r>
          </w:p>
        </w:tc>
        <w:tc>
          <w:tcPr>
            <w:tcW w:w="832" w:type="dxa"/>
          </w:tcPr>
          <w:p w14:paraId="2AE77902"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Фактическое выполнение</w:t>
            </w:r>
          </w:p>
        </w:tc>
        <w:tc>
          <w:tcPr>
            <w:tcW w:w="738" w:type="dxa"/>
          </w:tcPr>
          <w:p w14:paraId="0D1A1B7E"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 выполнения</w:t>
            </w:r>
          </w:p>
        </w:tc>
        <w:tc>
          <w:tcPr>
            <w:tcW w:w="1123" w:type="dxa"/>
          </w:tcPr>
          <w:p w14:paraId="3D9D7B7A"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млн.руб.</w:t>
            </w:r>
          </w:p>
        </w:tc>
        <w:tc>
          <w:tcPr>
            <w:tcW w:w="1578" w:type="dxa"/>
          </w:tcPr>
          <w:p w14:paraId="5D96D4D4"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изменение к показателю на 01.01.2024, %</w:t>
            </w:r>
          </w:p>
        </w:tc>
        <w:tc>
          <w:tcPr>
            <w:tcW w:w="1011" w:type="dxa"/>
          </w:tcPr>
          <w:p w14:paraId="7E6FBD3A"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млн.руб.</w:t>
            </w:r>
          </w:p>
        </w:tc>
        <w:tc>
          <w:tcPr>
            <w:tcW w:w="1154" w:type="dxa"/>
          </w:tcPr>
          <w:p w14:paraId="1FBB4FB6"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 выполнения</w:t>
            </w:r>
          </w:p>
        </w:tc>
      </w:tr>
      <w:tr w:rsidR="00FD7B0B" w:rsidRPr="00FD7B0B" w14:paraId="0F911A5F" w14:textId="77777777" w:rsidTr="00B408AB">
        <w:trPr>
          <w:trHeight w:val="345"/>
        </w:trPr>
        <w:tc>
          <w:tcPr>
            <w:tcW w:w="2433" w:type="dxa"/>
          </w:tcPr>
          <w:p w14:paraId="0D0B88FF"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А</w:t>
            </w:r>
          </w:p>
        </w:tc>
        <w:tc>
          <w:tcPr>
            <w:tcW w:w="794" w:type="dxa"/>
          </w:tcPr>
          <w:p w14:paraId="0E935650"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1</w:t>
            </w:r>
          </w:p>
        </w:tc>
        <w:tc>
          <w:tcPr>
            <w:tcW w:w="832" w:type="dxa"/>
          </w:tcPr>
          <w:p w14:paraId="4562ECF7"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2</w:t>
            </w:r>
          </w:p>
        </w:tc>
        <w:tc>
          <w:tcPr>
            <w:tcW w:w="738" w:type="dxa"/>
          </w:tcPr>
          <w:p w14:paraId="7F299884"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3=2/1*100</w:t>
            </w:r>
          </w:p>
        </w:tc>
        <w:tc>
          <w:tcPr>
            <w:tcW w:w="1123" w:type="dxa"/>
          </w:tcPr>
          <w:p w14:paraId="79CD0985"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4</w:t>
            </w:r>
          </w:p>
        </w:tc>
        <w:tc>
          <w:tcPr>
            <w:tcW w:w="1578" w:type="dxa"/>
          </w:tcPr>
          <w:p w14:paraId="49F32009"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5</w:t>
            </w:r>
          </w:p>
        </w:tc>
        <w:tc>
          <w:tcPr>
            <w:tcW w:w="1011" w:type="dxa"/>
          </w:tcPr>
          <w:p w14:paraId="0F20E8B1"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6</w:t>
            </w:r>
          </w:p>
        </w:tc>
        <w:tc>
          <w:tcPr>
            <w:tcW w:w="1154" w:type="dxa"/>
          </w:tcPr>
          <w:p w14:paraId="7C8B8598"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7</w:t>
            </w:r>
          </w:p>
        </w:tc>
      </w:tr>
      <w:tr w:rsidR="00205BFC" w:rsidRPr="00FD7B0B" w14:paraId="220CBA4F" w14:textId="77777777" w:rsidTr="00B408AB">
        <w:tc>
          <w:tcPr>
            <w:tcW w:w="2433" w:type="dxa"/>
          </w:tcPr>
          <w:p w14:paraId="4CAD759E" w14:textId="77777777" w:rsidR="00205BFC" w:rsidRPr="00FD7B0B" w:rsidRDefault="00205BFC" w:rsidP="00205BFC">
            <w:pPr>
              <w:contextualSpacing/>
              <w:jc w:val="both"/>
              <w:rPr>
                <w:rFonts w:ascii="Times New Roman" w:eastAsia="Times New Roman" w:hAnsi="Times New Roman"/>
              </w:rPr>
            </w:pPr>
            <w:r w:rsidRPr="00FD7B0B">
              <w:rPr>
                <w:rFonts w:ascii="Times New Roman" w:eastAsia="Times New Roman" w:hAnsi="Times New Roman"/>
              </w:rPr>
              <w:t>Госпрограмма № 01</w:t>
            </w:r>
          </w:p>
        </w:tc>
        <w:tc>
          <w:tcPr>
            <w:tcW w:w="794" w:type="dxa"/>
          </w:tcPr>
          <w:p w14:paraId="358616B3"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17</w:t>
            </w:r>
          </w:p>
        </w:tc>
        <w:tc>
          <w:tcPr>
            <w:tcW w:w="832" w:type="dxa"/>
          </w:tcPr>
          <w:p w14:paraId="7421A4DF"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10</w:t>
            </w:r>
          </w:p>
        </w:tc>
        <w:tc>
          <w:tcPr>
            <w:tcW w:w="738" w:type="dxa"/>
          </w:tcPr>
          <w:p w14:paraId="49BEE2AB"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58,8</w:t>
            </w:r>
          </w:p>
        </w:tc>
        <w:tc>
          <w:tcPr>
            <w:tcW w:w="1123" w:type="dxa"/>
          </w:tcPr>
          <w:p w14:paraId="3B0A8413" w14:textId="77777777" w:rsidR="00205BFC" w:rsidRPr="00FD7B0B" w:rsidRDefault="00205BFC" w:rsidP="00205BFC">
            <w:pPr>
              <w:contextualSpacing/>
              <w:jc w:val="right"/>
              <w:rPr>
                <w:rFonts w:ascii="Times New Roman" w:eastAsia="Times New Roman" w:hAnsi="Times New Roman"/>
              </w:rPr>
            </w:pPr>
            <w:r w:rsidRPr="00FD7B0B">
              <w:rPr>
                <w:rFonts w:ascii="Times New Roman" w:eastAsia="Times New Roman" w:hAnsi="Times New Roman"/>
              </w:rPr>
              <w:t>23 780,2</w:t>
            </w:r>
          </w:p>
        </w:tc>
        <w:tc>
          <w:tcPr>
            <w:tcW w:w="1578" w:type="dxa"/>
          </w:tcPr>
          <w:p w14:paraId="1D79B175"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3,6%</w:t>
            </w:r>
          </w:p>
        </w:tc>
        <w:tc>
          <w:tcPr>
            <w:tcW w:w="1011" w:type="dxa"/>
          </w:tcPr>
          <w:p w14:paraId="6099A633"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23 736,9</w:t>
            </w:r>
          </w:p>
        </w:tc>
        <w:tc>
          <w:tcPr>
            <w:tcW w:w="1154" w:type="dxa"/>
          </w:tcPr>
          <w:p w14:paraId="0189E46C" w14:textId="77777777" w:rsidR="00205BFC" w:rsidRPr="00FD7B0B" w:rsidRDefault="00205BFC" w:rsidP="00205BFC">
            <w:pPr>
              <w:contextualSpacing/>
              <w:jc w:val="center"/>
              <w:rPr>
                <w:rFonts w:ascii="Times New Roman" w:eastAsia="Times New Roman" w:hAnsi="Times New Roman"/>
              </w:rPr>
            </w:pPr>
            <w:r w:rsidRPr="00FD7B0B">
              <w:rPr>
                <w:rFonts w:ascii="Times New Roman" w:eastAsia="Times New Roman" w:hAnsi="Times New Roman"/>
              </w:rPr>
              <w:t>99,8%</w:t>
            </w:r>
          </w:p>
        </w:tc>
      </w:tr>
    </w:tbl>
    <w:p w14:paraId="5E495BD9" w14:textId="77777777" w:rsidR="00B408AB" w:rsidRPr="00FD7B0B" w:rsidRDefault="00B408AB" w:rsidP="00205BFC">
      <w:pPr>
        <w:spacing w:after="0" w:line="240" w:lineRule="auto"/>
        <w:ind w:firstLine="709"/>
        <w:contextualSpacing/>
        <w:jc w:val="both"/>
        <w:rPr>
          <w:rFonts w:ascii="Times New Roman" w:eastAsia="Times New Roman" w:hAnsi="Times New Roman" w:cs="Times New Roman"/>
          <w:sz w:val="28"/>
          <w:szCs w:val="28"/>
          <w:lang w:eastAsia="ru-RU"/>
        </w:rPr>
      </w:pPr>
    </w:p>
    <w:p w14:paraId="5D542F95" w14:textId="57C1782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Плановые значения на 2024 год в ГП № 01 представлены по 17 показателям, фактически выполнены 10 показателей или 58,8</w:t>
      </w:r>
      <w:r w:rsidR="00B408A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при увеличении объемов финансирования госпрограммы в течение года на 3,6</w:t>
      </w:r>
      <w:r w:rsidR="00B408A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При этом исполнение за счет всех источников составило 99,8</w:t>
      </w:r>
      <w:r w:rsidR="00B408A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01B24608" w14:textId="77777777" w:rsidR="00205BFC" w:rsidRPr="00FD7B0B" w:rsidRDefault="00205BFC" w:rsidP="00205BFC">
      <w:pPr>
        <w:spacing w:after="0" w:line="240" w:lineRule="auto"/>
        <w:ind w:firstLine="709"/>
        <w:contextualSpacing/>
        <w:jc w:val="center"/>
        <w:rPr>
          <w:rFonts w:ascii="Times New Roman" w:eastAsia="Times New Roman" w:hAnsi="Times New Roman" w:cs="Times New Roman"/>
          <w:sz w:val="28"/>
          <w:szCs w:val="28"/>
          <w:lang w:eastAsia="ru-RU"/>
        </w:rPr>
      </w:pPr>
    </w:p>
    <w:p w14:paraId="2F354313" w14:textId="77777777" w:rsidR="00205BFC" w:rsidRPr="00FD7B0B" w:rsidRDefault="00205BFC" w:rsidP="00205BFC">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Выполнение указов Президента Российской Федерации</w:t>
      </w:r>
    </w:p>
    <w:p w14:paraId="295B0327"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Госпрограммой предусмотрено выполнение указа Президента Российской Федерации от 07.05.2012 № 597 «О мероприятиях по реализации государственной социальной политики» (далее – указ).</w:t>
      </w:r>
    </w:p>
    <w:p w14:paraId="2394B215" w14:textId="35592E35"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Информация о выполнении индикативных значений средней заработной платы работников государственных медицинских организаций Архангельской области по категориям медицинского персонала, за 2024 год представлена в таблице </w:t>
      </w:r>
      <w:r w:rsidR="001C09FE" w:rsidRPr="00FD7B0B">
        <w:rPr>
          <w:rFonts w:ascii="Times New Roman" w:eastAsia="Times New Roman" w:hAnsi="Times New Roman" w:cs="Times New Roman"/>
          <w:sz w:val="28"/>
          <w:szCs w:val="28"/>
          <w:lang w:eastAsia="ru-RU"/>
        </w:rPr>
        <w:t>86</w:t>
      </w:r>
      <w:r w:rsidRPr="00FD7B0B">
        <w:rPr>
          <w:rFonts w:ascii="Times New Roman" w:eastAsia="Times New Roman" w:hAnsi="Times New Roman" w:cs="Times New Roman"/>
          <w:sz w:val="28"/>
          <w:szCs w:val="28"/>
          <w:lang w:eastAsia="ru-RU"/>
        </w:rPr>
        <w:t>.</w:t>
      </w:r>
    </w:p>
    <w:p w14:paraId="2A1ABC18" w14:textId="77777777" w:rsidR="00B408AB" w:rsidRPr="00FD7B0B" w:rsidRDefault="00B408AB" w:rsidP="00B408AB">
      <w:pPr>
        <w:pStyle w:val="aff0"/>
        <w:keepNext/>
        <w:spacing w:after="0" w:line="240" w:lineRule="auto"/>
        <w:rPr>
          <w:rFonts w:ascii="Times New Roman" w:hAnsi="Times New Roman"/>
          <w:b w:val="0"/>
          <w:sz w:val="24"/>
          <w:szCs w:val="24"/>
        </w:rPr>
      </w:pPr>
    </w:p>
    <w:p w14:paraId="1A808AFA" w14:textId="77777777" w:rsidR="00205BFC" w:rsidRPr="00FD7B0B" w:rsidRDefault="00205BFC" w:rsidP="00B408AB">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86</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 выполнении индикативных значений средней заработной платы работников государственных медицинских организаций Архангельской области за 2024 год</w:t>
      </w:r>
    </w:p>
    <w:tbl>
      <w:tblPr>
        <w:tblW w:w="9640" w:type="dxa"/>
        <w:tblInd w:w="-15" w:type="dxa"/>
        <w:tblLayout w:type="fixed"/>
        <w:tblLook w:val="04A0" w:firstRow="1" w:lastRow="0" w:firstColumn="1" w:lastColumn="0" w:noHBand="0" w:noVBand="1"/>
      </w:tblPr>
      <w:tblGrid>
        <w:gridCol w:w="5245"/>
        <w:gridCol w:w="992"/>
        <w:gridCol w:w="1134"/>
        <w:gridCol w:w="1135"/>
        <w:gridCol w:w="1134"/>
      </w:tblGrid>
      <w:tr w:rsidR="00FD7B0B" w:rsidRPr="00FD7B0B" w14:paraId="28D78A7D" w14:textId="77777777" w:rsidTr="00B408AB">
        <w:trPr>
          <w:trHeight w:val="1521"/>
          <w:tblHeader/>
        </w:trPr>
        <w:tc>
          <w:tcPr>
            <w:tcW w:w="5245" w:type="dxa"/>
            <w:vMerge w:val="restart"/>
            <w:tcBorders>
              <w:top w:val="double" w:sz="4" w:space="0" w:color="auto"/>
              <w:left w:val="double" w:sz="4" w:space="0" w:color="auto"/>
              <w:bottom w:val="nil"/>
              <w:right w:val="single" w:sz="4" w:space="0" w:color="auto"/>
            </w:tcBorders>
            <w:shd w:val="clear" w:color="auto" w:fill="auto"/>
            <w:vAlign w:val="center"/>
            <w:hideMark/>
          </w:tcPr>
          <w:p w14:paraId="506046E7"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Категория работников</w:t>
            </w:r>
          </w:p>
        </w:tc>
        <w:tc>
          <w:tcPr>
            <w:tcW w:w="2126" w:type="dxa"/>
            <w:gridSpan w:val="2"/>
            <w:tcBorders>
              <w:top w:val="double" w:sz="4" w:space="0" w:color="auto"/>
              <w:left w:val="single" w:sz="4" w:space="0" w:color="auto"/>
              <w:bottom w:val="single" w:sz="4" w:space="0" w:color="000000"/>
              <w:right w:val="single" w:sz="4" w:space="0" w:color="auto"/>
            </w:tcBorders>
            <w:shd w:val="clear" w:color="auto" w:fill="auto"/>
            <w:vAlign w:val="center"/>
            <w:hideMark/>
          </w:tcPr>
          <w:p w14:paraId="188CDA98"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Calibri" w:hAnsi="Times New Roman" w:cs="Times New Roman"/>
                <w:sz w:val="20"/>
                <w:szCs w:val="20"/>
              </w:rPr>
              <w:t>Отношение средней заработной платы медицинских работников к среднемесячному доходу от трудовой деятельности в АО, %</w:t>
            </w:r>
          </w:p>
        </w:tc>
        <w:tc>
          <w:tcPr>
            <w:tcW w:w="2269" w:type="dxa"/>
            <w:gridSpan w:val="2"/>
            <w:tcBorders>
              <w:top w:val="double" w:sz="4" w:space="0" w:color="auto"/>
              <w:left w:val="single" w:sz="4" w:space="0" w:color="auto"/>
              <w:bottom w:val="single" w:sz="4" w:space="0" w:color="000000"/>
              <w:right w:val="double" w:sz="4" w:space="0" w:color="auto"/>
            </w:tcBorders>
            <w:shd w:val="clear" w:color="auto" w:fill="auto"/>
            <w:vAlign w:val="center"/>
            <w:hideMark/>
          </w:tcPr>
          <w:p w14:paraId="6EAAC86A"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Средняя заработная плата медицинских работников за 2024 год, руб.</w:t>
            </w:r>
          </w:p>
        </w:tc>
      </w:tr>
      <w:tr w:rsidR="00FD7B0B" w:rsidRPr="00FD7B0B" w14:paraId="777BD3F5" w14:textId="77777777" w:rsidTr="00B408AB">
        <w:trPr>
          <w:trHeight w:val="227"/>
          <w:tblHeader/>
        </w:trPr>
        <w:tc>
          <w:tcPr>
            <w:tcW w:w="5245" w:type="dxa"/>
            <w:vMerge/>
            <w:tcBorders>
              <w:left w:val="double" w:sz="4" w:space="0" w:color="auto"/>
              <w:bottom w:val="single" w:sz="4" w:space="0" w:color="auto"/>
              <w:right w:val="single" w:sz="4" w:space="0" w:color="auto"/>
            </w:tcBorders>
            <w:vAlign w:val="center"/>
          </w:tcPr>
          <w:p w14:paraId="6FE89A2D"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p>
        </w:tc>
        <w:tc>
          <w:tcPr>
            <w:tcW w:w="992" w:type="dxa"/>
            <w:tcBorders>
              <w:top w:val="single" w:sz="4" w:space="0" w:color="auto"/>
              <w:left w:val="single" w:sz="4" w:space="0" w:color="auto"/>
              <w:bottom w:val="single" w:sz="4" w:space="0" w:color="000000"/>
              <w:right w:val="single" w:sz="4" w:space="0" w:color="auto"/>
            </w:tcBorders>
            <w:vAlign w:val="center"/>
          </w:tcPr>
          <w:p w14:paraId="496F961A"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1134" w:type="dxa"/>
            <w:tcBorders>
              <w:top w:val="single" w:sz="4" w:space="0" w:color="auto"/>
              <w:left w:val="single" w:sz="4" w:space="0" w:color="auto"/>
              <w:bottom w:val="single" w:sz="4" w:space="0" w:color="000000"/>
              <w:right w:val="single" w:sz="4" w:space="0" w:color="auto"/>
            </w:tcBorders>
            <w:vAlign w:val="center"/>
          </w:tcPr>
          <w:p w14:paraId="58DE30B2"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w:t>
            </w:r>
          </w:p>
        </w:tc>
        <w:tc>
          <w:tcPr>
            <w:tcW w:w="1135" w:type="dxa"/>
            <w:tcBorders>
              <w:top w:val="single" w:sz="4" w:space="0" w:color="auto"/>
              <w:left w:val="single" w:sz="4" w:space="0" w:color="auto"/>
              <w:bottom w:val="single" w:sz="4" w:space="0" w:color="000000"/>
              <w:right w:val="single" w:sz="4" w:space="0" w:color="auto"/>
            </w:tcBorders>
            <w:vAlign w:val="center"/>
          </w:tcPr>
          <w:p w14:paraId="5EFF00EB"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1134" w:type="dxa"/>
            <w:tcBorders>
              <w:top w:val="single" w:sz="4" w:space="0" w:color="auto"/>
              <w:left w:val="single" w:sz="4" w:space="0" w:color="auto"/>
              <w:bottom w:val="single" w:sz="4" w:space="0" w:color="000000"/>
              <w:right w:val="double" w:sz="4" w:space="0" w:color="auto"/>
            </w:tcBorders>
            <w:vAlign w:val="center"/>
          </w:tcPr>
          <w:p w14:paraId="77D3128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w:t>
            </w:r>
          </w:p>
        </w:tc>
      </w:tr>
      <w:tr w:rsidR="00FD7B0B" w:rsidRPr="00FD7B0B" w14:paraId="5F4B40D2" w14:textId="77777777" w:rsidTr="00B408AB">
        <w:trPr>
          <w:trHeight w:val="429"/>
        </w:trPr>
        <w:tc>
          <w:tcPr>
            <w:tcW w:w="5245" w:type="dxa"/>
            <w:tcBorders>
              <w:top w:val="nil"/>
              <w:left w:val="double" w:sz="4" w:space="0" w:color="auto"/>
              <w:bottom w:val="single" w:sz="4" w:space="0" w:color="auto"/>
              <w:right w:val="single" w:sz="4" w:space="0" w:color="auto"/>
            </w:tcBorders>
            <w:shd w:val="clear" w:color="auto" w:fill="auto"/>
            <w:hideMark/>
          </w:tcPr>
          <w:p w14:paraId="647F604D" w14:textId="77777777" w:rsidR="00205BFC" w:rsidRPr="00FD7B0B" w:rsidRDefault="00205BFC" w:rsidP="00205BF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Врачи и работники медицинских организаций, имеющие высшее медицинское (фармацевтическое) или иное высшее образование, предоставляющие медицинские услуги (обеспечивающие предоставление медицинских услуг)</w:t>
            </w:r>
          </w:p>
        </w:tc>
        <w:tc>
          <w:tcPr>
            <w:tcW w:w="992" w:type="dxa"/>
            <w:tcBorders>
              <w:top w:val="nil"/>
              <w:left w:val="nil"/>
              <w:bottom w:val="single" w:sz="4" w:space="0" w:color="auto"/>
              <w:right w:val="single" w:sz="4" w:space="0" w:color="auto"/>
            </w:tcBorders>
            <w:shd w:val="clear" w:color="auto" w:fill="auto"/>
            <w:noWrap/>
            <w:vAlign w:val="center"/>
          </w:tcPr>
          <w:p w14:paraId="059E6562"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w:t>
            </w:r>
          </w:p>
        </w:tc>
        <w:tc>
          <w:tcPr>
            <w:tcW w:w="1134" w:type="dxa"/>
            <w:tcBorders>
              <w:top w:val="nil"/>
              <w:left w:val="nil"/>
              <w:bottom w:val="single" w:sz="4" w:space="0" w:color="auto"/>
              <w:right w:val="single" w:sz="4" w:space="0" w:color="auto"/>
            </w:tcBorders>
            <w:shd w:val="clear" w:color="auto" w:fill="auto"/>
            <w:noWrap/>
            <w:vAlign w:val="center"/>
          </w:tcPr>
          <w:p w14:paraId="28A41A4C"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196,7</w:t>
            </w:r>
          </w:p>
        </w:tc>
        <w:tc>
          <w:tcPr>
            <w:tcW w:w="1135" w:type="dxa"/>
            <w:tcBorders>
              <w:top w:val="nil"/>
              <w:left w:val="nil"/>
              <w:bottom w:val="single" w:sz="4" w:space="0" w:color="auto"/>
              <w:right w:val="single" w:sz="4" w:space="0" w:color="auto"/>
            </w:tcBorders>
            <w:shd w:val="clear" w:color="auto" w:fill="auto"/>
            <w:noWrap/>
            <w:vAlign w:val="center"/>
          </w:tcPr>
          <w:p w14:paraId="3A91AA34"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132 399,0</w:t>
            </w:r>
          </w:p>
        </w:tc>
        <w:tc>
          <w:tcPr>
            <w:tcW w:w="1134" w:type="dxa"/>
            <w:tcBorders>
              <w:top w:val="nil"/>
              <w:left w:val="nil"/>
              <w:bottom w:val="single" w:sz="4" w:space="0" w:color="auto"/>
              <w:right w:val="double" w:sz="4" w:space="0" w:color="auto"/>
            </w:tcBorders>
            <w:shd w:val="clear" w:color="auto" w:fill="auto"/>
            <w:noWrap/>
            <w:vAlign w:val="center"/>
          </w:tcPr>
          <w:p w14:paraId="013B6982" w14:textId="77777777" w:rsidR="00205BFC" w:rsidRPr="00FD7B0B" w:rsidRDefault="00205BFC" w:rsidP="00205BF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130 198,45</w:t>
            </w:r>
          </w:p>
        </w:tc>
      </w:tr>
      <w:tr w:rsidR="00FD7B0B" w:rsidRPr="00FD7B0B" w14:paraId="6868055B" w14:textId="77777777" w:rsidTr="00B408AB">
        <w:trPr>
          <w:trHeight w:val="653"/>
        </w:trPr>
        <w:tc>
          <w:tcPr>
            <w:tcW w:w="5245" w:type="dxa"/>
            <w:tcBorders>
              <w:top w:val="nil"/>
              <w:left w:val="double" w:sz="4" w:space="0" w:color="auto"/>
              <w:bottom w:val="single" w:sz="4" w:space="0" w:color="auto"/>
              <w:right w:val="single" w:sz="4" w:space="0" w:color="auto"/>
            </w:tcBorders>
            <w:shd w:val="clear" w:color="auto" w:fill="auto"/>
            <w:hideMark/>
          </w:tcPr>
          <w:p w14:paraId="650292A7" w14:textId="77777777" w:rsidR="00205BFC" w:rsidRPr="00FD7B0B" w:rsidRDefault="00205BFC" w:rsidP="00205BF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медицинский (фармацевтический) персонал (персонал, обеспечивающий условия для предоставления медицинских услуг)</w:t>
            </w:r>
          </w:p>
        </w:tc>
        <w:tc>
          <w:tcPr>
            <w:tcW w:w="992" w:type="dxa"/>
            <w:tcBorders>
              <w:top w:val="nil"/>
              <w:left w:val="nil"/>
              <w:bottom w:val="single" w:sz="4" w:space="0" w:color="auto"/>
              <w:right w:val="single" w:sz="4" w:space="0" w:color="auto"/>
            </w:tcBorders>
            <w:shd w:val="clear" w:color="auto" w:fill="auto"/>
            <w:noWrap/>
            <w:vAlign w:val="center"/>
          </w:tcPr>
          <w:p w14:paraId="2EC0F838"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134" w:type="dxa"/>
            <w:tcBorders>
              <w:top w:val="nil"/>
              <w:left w:val="nil"/>
              <w:bottom w:val="single" w:sz="4" w:space="0" w:color="auto"/>
              <w:right w:val="single" w:sz="4" w:space="0" w:color="auto"/>
            </w:tcBorders>
            <w:shd w:val="clear" w:color="auto" w:fill="auto"/>
            <w:noWrap/>
            <w:vAlign w:val="center"/>
          </w:tcPr>
          <w:p w14:paraId="3BFF573B"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101,8</w:t>
            </w:r>
          </w:p>
        </w:tc>
        <w:tc>
          <w:tcPr>
            <w:tcW w:w="1135" w:type="dxa"/>
            <w:tcBorders>
              <w:top w:val="nil"/>
              <w:left w:val="nil"/>
              <w:bottom w:val="single" w:sz="4" w:space="0" w:color="auto"/>
              <w:right w:val="single" w:sz="4" w:space="0" w:color="auto"/>
            </w:tcBorders>
            <w:shd w:val="clear" w:color="auto" w:fill="auto"/>
            <w:noWrap/>
            <w:vAlign w:val="center"/>
          </w:tcPr>
          <w:p w14:paraId="4DC258EF"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66 199,5</w:t>
            </w:r>
          </w:p>
        </w:tc>
        <w:tc>
          <w:tcPr>
            <w:tcW w:w="1134" w:type="dxa"/>
            <w:tcBorders>
              <w:top w:val="nil"/>
              <w:left w:val="nil"/>
              <w:bottom w:val="single" w:sz="4" w:space="0" w:color="auto"/>
              <w:right w:val="double" w:sz="4" w:space="0" w:color="auto"/>
            </w:tcBorders>
            <w:shd w:val="clear" w:color="auto" w:fill="auto"/>
            <w:noWrap/>
            <w:vAlign w:val="center"/>
          </w:tcPr>
          <w:p w14:paraId="33DAB53F"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67 415,22</w:t>
            </w:r>
          </w:p>
        </w:tc>
      </w:tr>
      <w:tr w:rsidR="00FD7B0B" w:rsidRPr="00FD7B0B" w14:paraId="59474005" w14:textId="77777777" w:rsidTr="00B408AB">
        <w:trPr>
          <w:trHeight w:val="675"/>
        </w:trPr>
        <w:tc>
          <w:tcPr>
            <w:tcW w:w="5245" w:type="dxa"/>
            <w:tcBorders>
              <w:top w:val="nil"/>
              <w:left w:val="double" w:sz="4" w:space="0" w:color="auto"/>
              <w:bottom w:val="double" w:sz="4" w:space="0" w:color="auto"/>
              <w:right w:val="single" w:sz="4" w:space="0" w:color="auto"/>
            </w:tcBorders>
            <w:shd w:val="clear" w:color="auto" w:fill="auto"/>
            <w:hideMark/>
          </w:tcPr>
          <w:p w14:paraId="79A25B3B" w14:textId="77777777" w:rsidR="00205BFC" w:rsidRPr="00FD7B0B" w:rsidRDefault="00205BFC" w:rsidP="00205BF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Младший медицинский (фармацевтический) персонал (персонал, обеспечивающий условия для предоставления медицинских услуг)</w:t>
            </w:r>
          </w:p>
        </w:tc>
        <w:tc>
          <w:tcPr>
            <w:tcW w:w="992" w:type="dxa"/>
            <w:tcBorders>
              <w:top w:val="nil"/>
              <w:left w:val="nil"/>
              <w:bottom w:val="double" w:sz="4" w:space="0" w:color="auto"/>
              <w:right w:val="single" w:sz="4" w:space="0" w:color="auto"/>
            </w:tcBorders>
            <w:shd w:val="clear" w:color="auto" w:fill="auto"/>
            <w:noWrap/>
            <w:vAlign w:val="center"/>
          </w:tcPr>
          <w:p w14:paraId="6492EB34"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134" w:type="dxa"/>
            <w:tcBorders>
              <w:top w:val="nil"/>
              <w:left w:val="nil"/>
              <w:bottom w:val="double" w:sz="4" w:space="0" w:color="auto"/>
              <w:right w:val="single" w:sz="4" w:space="0" w:color="auto"/>
            </w:tcBorders>
            <w:shd w:val="clear" w:color="auto" w:fill="auto"/>
            <w:noWrap/>
            <w:vAlign w:val="center"/>
          </w:tcPr>
          <w:p w14:paraId="735624FF"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95,2</w:t>
            </w:r>
          </w:p>
        </w:tc>
        <w:tc>
          <w:tcPr>
            <w:tcW w:w="1135" w:type="dxa"/>
            <w:tcBorders>
              <w:top w:val="nil"/>
              <w:left w:val="nil"/>
              <w:bottom w:val="double" w:sz="4" w:space="0" w:color="auto"/>
              <w:right w:val="single" w:sz="4" w:space="0" w:color="auto"/>
            </w:tcBorders>
            <w:shd w:val="clear" w:color="auto" w:fill="auto"/>
            <w:noWrap/>
            <w:vAlign w:val="center"/>
          </w:tcPr>
          <w:p w14:paraId="4AD6352F"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66 199,5</w:t>
            </w:r>
          </w:p>
        </w:tc>
        <w:tc>
          <w:tcPr>
            <w:tcW w:w="1134" w:type="dxa"/>
            <w:tcBorders>
              <w:top w:val="nil"/>
              <w:left w:val="nil"/>
              <w:bottom w:val="double" w:sz="4" w:space="0" w:color="auto"/>
              <w:right w:val="double" w:sz="4" w:space="0" w:color="auto"/>
            </w:tcBorders>
            <w:shd w:val="clear" w:color="auto" w:fill="auto"/>
            <w:noWrap/>
            <w:vAlign w:val="center"/>
          </w:tcPr>
          <w:p w14:paraId="16C3314E" w14:textId="77777777" w:rsidR="00205BFC" w:rsidRPr="00FD7B0B" w:rsidRDefault="00205BFC" w:rsidP="00205BF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63 019,94</w:t>
            </w:r>
          </w:p>
        </w:tc>
      </w:tr>
    </w:tbl>
    <w:p w14:paraId="71BFD777" w14:textId="77777777" w:rsidR="00B408AB" w:rsidRPr="00FD7B0B" w:rsidRDefault="00B408AB" w:rsidP="00205BFC">
      <w:pPr>
        <w:spacing w:after="0" w:line="240" w:lineRule="auto"/>
        <w:ind w:firstLine="709"/>
        <w:contextualSpacing/>
        <w:jc w:val="both"/>
        <w:rPr>
          <w:rFonts w:ascii="Times New Roman" w:eastAsia="Times New Roman" w:hAnsi="Times New Roman" w:cs="Times New Roman"/>
          <w:sz w:val="28"/>
          <w:szCs w:val="28"/>
          <w:lang w:eastAsia="ru-RU"/>
        </w:rPr>
      </w:pPr>
    </w:p>
    <w:p w14:paraId="0B478649" w14:textId="0CFD961B" w:rsidR="00820E2F" w:rsidRPr="00FD7B0B" w:rsidRDefault="00820E2F" w:rsidP="00820E2F">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2024 году не удалось достичь выполнения индикативных значений средней заработной платы по врачам и работникам медицинских организаций, имеющих высшее медицинское (фармацевтическое) или иное высшее образование, предоставляющие медицинские услуги (обеспечивающие предоставление медицинских услуг), а также по младшему медицинскому (фармацевтическому) персоналу.</w:t>
      </w:r>
    </w:p>
    <w:p w14:paraId="6AC967FD"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При этом, отмечаем выполнение индикативного показателя по среднему медицинскому (фармацевтический) персоналу.</w:t>
      </w:r>
    </w:p>
    <w:p w14:paraId="4BA748D3" w14:textId="77777777" w:rsidR="00205BFC" w:rsidRPr="00FD7B0B" w:rsidRDefault="00205BFC" w:rsidP="00205BF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При анализе выполнения указа в разрезе медицинских организаций установлено следующее:</w:t>
      </w:r>
    </w:p>
    <w:p w14:paraId="6BA1A07D" w14:textId="2B062E83" w:rsidR="00205BFC" w:rsidRPr="00FD7B0B" w:rsidRDefault="00205BFC" w:rsidP="00205BFC">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Выполнение по категории «Врачи и работники медицинских организаций, имеющие высшее медицинское образование…»: из 54 медицинских организаций, по 30 или 55,5</w:t>
      </w:r>
      <w:r w:rsidR="00B408A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показатель не выполнен (менее 200</w:t>
      </w:r>
      <w:r w:rsidR="00B408A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наименьший уровень заработной платы сложился у следующих ГБУЗ АО: «Архангельская городская детская поликлиника» - 128,3</w:t>
      </w:r>
      <w:r w:rsidR="00597643"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(96 382,58 руб. при этом коэффициент совместительства составил (далее – К) 1,05); «Холмогорская ЦРБ» - 123,5</w:t>
      </w:r>
      <w:r w:rsidR="00B408A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(81 770,05 руб., К - 1,15); «Верхнетоемская ЦРБ» - 138,3</w:t>
      </w:r>
      <w:r w:rsidR="00B408A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(91 538,62 руб., К – 1,27).</w:t>
      </w:r>
    </w:p>
    <w:p w14:paraId="3296D372" w14:textId="2733242B" w:rsidR="00205BFC" w:rsidRPr="00FD7B0B" w:rsidRDefault="00205BFC" w:rsidP="00205BFC">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При этом значительное перевыполнение 272,7</w:t>
      </w:r>
      <w:r w:rsidR="00597643"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(180 554,53 руб., К – 1,39) у «Северодвинская станция скорой медицинской помощи».</w:t>
      </w:r>
    </w:p>
    <w:p w14:paraId="5F3A95F4" w14:textId="18C0A43C" w:rsidR="00205BFC" w:rsidRPr="00FD7B0B" w:rsidRDefault="00205BFC" w:rsidP="00205BFC">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Выполнение по категории «Средний медицинский (фармацевтический) персонал (персонал, обеспечивающий условия для предоставления медицинских услуг)»: из 54 медицинских организаций, по 26 или 44,4</w:t>
      </w:r>
      <w:r w:rsidR="001C09F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показатель не выполнен (менее 100</w:t>
      </w:r>
      <w:r w:rsidR="001C09F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наименьший уровень заработной платы сложился у следующих ГБУЗ АО: «Архангельская городская детская поликлиника» - 78</w:t>
      </w:r>
      <w:r w:rsidR="001C09F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(51</w:t>
      </w:r>
      <w:r w:rsidRPr="00FD7B0B">
        <w:rPr>
          <w:rFonts w:ascii="Times New Roman" w:eastAsia="Times New Roman" w:hAnsi="Times New Roman" w:cs="Times New Roman"/>
          <w:sz w:val="28"/>
          <w:szCs w:val="28"/>
          <w:lang w:val="en-US" w:eastAsia="ru-RU"/>
        </w:rPr>
        <w:t> </w:t>
      </w:r>
      <w:r w:rsidRPr="00FD7B0B">
        <w:rPr>
          <w:rFonts w:ascii="Times New Roman" w:eastAsia="Times New Roman" w:hAnsi="Times New Roman" w:cs="Times New Roman"/>
          <w:sz w:val="28"/>
          <w:szCs w:val="28"/>
          <w:lang w:eastAsia="ru-RU"/>
        </w:rPr>
        <w:t xml:space="preserve">640,88 руб. при этом коэффициент совместительства составил (далее – К) </w:t>
      </w:r>
      <w:r w:rsidRPr="00FD7B0B">
        <w:rPr>
          <w:rFonts w:ascii="Times New Roman" w:eastAsia="Times New Roman" w:hAnsi="Times New Roman" w:cs="Times New Roman"/>
          <w:sz w:val="28"/>
          <w:szCs w:val="28"/>
          <w:lang w:eastAsia="ru-RU"/>
        </w:rPr>
        <w:lastRenderedPageBreak/>
        <w:t>1,23); «Коношская ЦРБ» - 73,9</w:t>
      </w:r>
      <w:r w:rsidR="00597643"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(48 946,04 руб., К – 0,99); «Няндомская ЦРБ» - 76</w:t>
      </w:r>
      <w:r w:rsidR="00597643"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(50 331,6 руб., К – 1,06).</w:t>
      </w:r>
    </w:p>
    <w:p w14:paraId="65978DCD" w14:textId="6FFF5185" w:rsidR="00205BFC" w:rsidRPr="00FD7B0B" w:rsidRDefault="00205BFC" w:rsidP="00205BFC">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При этом перевыполнение 140</w:t>
      </w:r>
      <w:r w:rsidR="00597643"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(92 647,5 руб., К – 1,41) у ГБУЗ АО «Архангельская клиническая офтальмологическая больница» - 126,9 % (83 995,5 руб., К – 1,28).</w:t>
      </w:r>
    </w:p>
    <w:p w14:paraId="0227DB5A" w14:textId="5D8AADF0" w:rsidR="00205BFC" w:rsidRPr="00FD7B0B" w:rsidRDefault="00205BFC" w:rsidP="00205BFC">
      <w:pPr>
        <w:shd w:val="clear" w:color="auto" w:fill="FFFFFF"/>
        <w:spacing w:after="0" w:line="240" w:lineRule="auto"/>
        <w:ind w:firstLine="567"/>
        <w:jc w:val="both"/>
        <w:rPr>
          <w:rFonts w:ascii="Times New Roman" w:hAnsi="Times New Roman" w:cs="Times New Roman"/>
          <w:sz w:val="28"/>
          <w:szCs w:val="28"/>
        </w:rPr>
      </w:pPr>
      <w:r w:rsidRPr="00FD7B0B">
        <w:rPr>
          <w:rFonts w:ascii="Times New Roman" w:hAnsi="Times New Roman" w:cs="Times New Roman"/>
          <w:sz w:val="28"/>
          <w:szCs w:val="28"/>
        </w:rPr>
        <w:t xml:space="preserve">Таким образом, достижение индикативных </w:t>
      </w:r>
      <w:r w:rsidRPr="00FD7B0B">
        <w:rPr>
          <w:rFonts w:ascii="Times New Roman" w:eastAsia="Times New Roman" w:hAnsi="Times New Roman" w:cs="Times New Roman"/>
          <w:sz w:val="28"/>
          <w:szCs w:val="28"/>
          <w:lang w:eastAsia="ru-RU"/>
        </w:rPr>
        <w:t>значений средней заработной платы работников государственных медицинских организаций</w:t>
      </w:r>
      <w:r w:rsidRPr="00FD7B0B">
        <w:rPr>
          <w:rFonts w:ascii="Times New Roman" w:hAnsi="Times New Roman" w:cs="Times New Roman"/>
          <w:sz w:val="28"/>
          <w:szCs w:val="28"/>
        </w:rPr>
        <w:t xml:space="preserve"> в целом по области достигается путем перевыполнения показателей отдельн</w:t>
      </w:r>
      <w:r w:rsidR="00B408AB" w:rsidRPr="00FD7B0B">
        <w:rPr>
          <w:rFonts w:ascii="Times New Roman" w:hAnsi="Times New Roman" w:cs="Times New Roman"/>
          <w:sz w:val="28"/>
          <w:szCs w:val="28"/>
        </w:rPr>
        <w:t>ыми медицинскими организациями.</w:t>
      </w:r>
    </w:p>
    <w:p w14:paraId="4E16B20F" w14:textId="77777777" w:rsidR="00205BFC" w:rsidRPr="00FD7B0B" w:rsidRDefault="00205BFC" w:rsidP="00205BFC">
      <w:pPr>
        <w:shd w:val="clear" w:color="auto" w:fill="FFFFFF"/>
        <w:spacing w:after="0" w:line="240" w:lineRule="auto"/>
        <w:ind w:firstLine="567"/>
        <w:jc w:val="both"/>
        <w:rPr>
          <w:rFonts w:ascii="Times New Roman" w:hAnsi="Times New Roman" w:cs="Times New Roman"/>
          <w:sz w:val="28"/>
          <w:szCs w:val="28"/>
        </w:rPr>
      </w:pPr>
    </w:p>
    <w:p w14:paraId="57B9C34A" w14:textId="77777777" w:rsidR="00205BFC" w:rsidRPr="00FD7B0B" w:rsidRDefault="00205BFC" w:rsidP="00205BFC">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Оценка эффективности реализации госпрограммы по итогам</w:t>
      </w:r>
      <w:r w:rsidRPr="00FD7B0B">
        <w:rPr>
          <w:rFonts w:ascii="Times New Roman" w:eastAsia="Times New Roman" w:hAnsi="Times New Roman" w:cs="Times New Roman"/>
          <w:b/>
          <w:i/>
          <w:sz w:val="28"/>
          <w:szCs w:val="28"/>
          <w:lang w:eastAsia="ru-RU"/>
        </w:rPr>
        <w:t xml:space="preserve"> </w:t>
      </w:r>
      <w:r w:rsidRPr="00FD7B0B">
        <w:rPr>
          <w:rFonts w:ascii="Times New Roman" w:eastAsia="Times New Roman" w:hAnsi="Times New Roman" w:cs="Times New Roman"/>
          <w:b/>
          <w:sz w:val="28"/>
          <w:szCs w:val="28"/>
          <w:lang w:eastAsia="ru-RU"/>
        </w:rPr>
        <w:t>2024 года</w:t>
      </w:r>
    </w:p>
    <w:p w14:paraId="0584FC47" w14:textId="77777777" w:rsidR="00205BFC" w:rsidRPr="00FD7B0B" w:rsidRDefault="00205BFC" w:rsidP="007D728A">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соответствии с Положением о порядке проведения оценки эффективности реализации государственных программ Архангельской области и критериях такой оценки, утвержденным постановлением Правительства Архангельской области от 28.08.2023 № 793-пп, значение показателя эффективности реализации ГП № 01 по итогам 2024 года - 83,6 баллов, что свидетельствует о средней степени эффективности госпрограммы.</w:t>
      </w:r>
    </w:p>
    <w:p w14:paraId="59CED87A" w14:textId="03624E92" w:rsidR="00205BFC" w:rsidRPr="00FD7B0B" w:rsidRDefault="00205BFC" w:rsidP="007D728A">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При этом, согласно информации, представленной министерством экономического развития </w:t>
      </w:r>
      <w:r w:rsidR="005A7640" w:rsidRPr="00FD7B0B">
        <w:rPr>
          <w:rFonts w:ascii="Times New Roman" w:eastAsia="Times New Roman" w:hAnsi="Times New Roman" w:cs="Times New Roman"/>
          <w:sz w:val="28"/>
          <w:szCs w:val="28"/>
          <w:lang w:eastAsia="ru-RU"/>
        </w:rPr>
        <w:t xml:space="preserve">и промышленности </w:t>
      </w:r>
      <w:r w:rsidRPr="00FD7B0B">
        <w:rPr>
          <w:rFonts w:ascii="Times New Roman" w:eastAsia="Times New Roman" w:hAnsi="Times New Roman" w:cs="Times New Roman"/>
          <w:sz w:val="28"/>
          <w:szCs w:val="28"/>
          <w:lang w:eastAsia="ru-RU"/>
        </w:rPr>
        <w:t>Архангельской области, оценка качества планирования и управления реализацией госпрограммы – 45 баллов (низкая).</w:t>
      </w:r>
    </w:p>
    <w:p w14:paraId="6F53B25C" w14:textId="77777777" w:rsidR="00205BFC" w:rsidRPr="00FD7B0B" w:rsidRDefault="00205BFC" w:rsidP="00205BFC">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FD7B0B">
        <w:rPr>
          <w:rFonts w:ascii="Times New Roman" w:hAnsi="Times New Roman" w:cs="Times New Roman"/>
          <w:color w:val="auto"/>
          <w:sz w:val="28"/>
          <w:szCs w:val="28"/>
        </w:rPr>
        <w:t>На оценку качества планирования и управления реализацией госпрограммы оказало влияние, в т.ч.:</w:t>
      </w:r>
    </w:p>
    <w:p w14:paraId="78EE5ECA" w14:textId="77777777" w:rsidR="00205BFC" w:rsidRPr="00FD7B0B" w:rsidRDefault="00205BFC" w:rsidP="00205BFC">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FD7B0B">
        <w:rPr>
          <w:rFonts w:ascii="Times New Roman" w:hAnsi="Times New Roman" w:cs="Times New Roman"/>
          <w:color w:val="auto"/>
          <w:sz w:val="28"/>
          <w:szCs w:val="28"/>
        </w:rPr>
        <w:t>- недостаточная доля целевых показателей госпрограммы из числа официальных статистических данных;</w:t>
      </w:r>
    </w:p>
    <w:p w14:paraId="6BB776D2" w14:textId="77777777" w:rsidR="00205BFC" w:rsidRPr="00FD7B0B" w:rsidRDefault="00205BFC" w:rsidP="00205BFC">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FD7B0B">
        <w:rPr>
          <w:rFonts w:ascii="Times New Roman" w:hAnsi="Times New Roman" w:cs="Times New Roman"/>
          <w:color w:val="auto"/>
          <w:sz w:val="28"/>
          <w:szCs w:val="28"/>
        </w:rPr>
        <w:t>- фактический срок завершения более двух этапов плана реализации наступил ранее трех месяцев от даты, определенной в плане реализации государственной программы на отчетный год (недостаточное качество планирования);</w:t>
      </w:r>
    </w:p>
    <w:p w14:paraId="785657D6" w14:textId="77777777" w:rsidR="00205BFC" w:rsidRPr="00FD7B0B" w:rsidRDefault="00205BFC" w:rsidP="00205BFC">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FD7B0B">
        <w:rPr>
          <w:rFonts w:ascii="Times New Roman" w:hAnsi="Times New Roman" w:cs="Times New Roman"/>
          <w:color w:val="auto"/>
          <w:sz w:val="28"/>
          <w:szCs w:val="28"/>
        </w:rPr>
        <w:t>- несоблюдение сроков приведения госпрограммы в соответствие с областным законом об областном бюджете;</w:t>
      </w:r>
    </w:p>
    <w:p w14:paraId="2374AF32" w14:textId="77777777" w:rsidR="00205BFC" w:rsidRPr="00FD7B0B" w:rsidRDefault="00205BFC" w:rsidP="00205BFC">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FD7B0B">
        <w:rPr>
          <w:rFonts w:ascii="Times New Roman" w:hAnsi="Times New Roman" w:cs="Times New Roman"/>
          <w:color w:val="auto"/>
          <w:sz w:val="28"/>
          <w:szCs w:val="28"/>
        </w:rPr>
        <w:t>- отчетная информация предоставлялась с нарушениями сроков и первоначально не содержала полного объема сведений, что затруднило объективную оценку хода выполнения госпрограммы;</w:t>
      </w:r>
    </w:p>
    <w:p w14:paraId="4E71CDC8" w14:textId="77777777" w:rsidR="00205BFC" w:rsidRPr="00FD7B0B" w:rsidRDefault="00205BFC" w:rsidP="00205BFC">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FD7B0B">
        <w:rPr>
          <w:rFonts w:ascii="Times New Roman" w:hAnsi="Times New Roman" w:cs="Times New Roman"/>
          <w:color w:val="auto"/>
          <w:sz w:val="28"/>
          <w:szCs w:val="28"/>
        </w:rPr>
        <w:t>- неполное наличие актуальной информации о реализации госпрограммы на официальном сайте Правительства Архангельской области;</w:t>
      </w:r>
    </w:p>
    <w:p w14:paraId="7EF04978" w14:textId="6D6CF6CD" w:rsidR="00205BFC" w:rsidRPr="00FD7B0B" w:rsidRDefault="00205BFC" w:rsidP="00205BFC">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FD7B0B">
        <w:rPr>
          <w:rFonts w:ascii="Times New Roman" w:hAnsi="Times New Roman" w:cs="Times New Roman"/>
          <w:color w:val="auto"/>
          <w:sz w:val="28"/>
          <w:szCs w:val="28"/>
        </w:rPr>
        <w:t>- в мероприятиях региональных проектов и комплексов процессных мероприятий частично отсутствует установленное количество контрольных точек</w:t>
      </w:r>
      <w:r w:rsidR="005A7640" w:rsidRPr="00FD7B0B">
        <w:rPr>
          <w:rFonts w:ascii="Times New Roman" w:hAnsi="Times New Roman" w:cs="Times New Roman"/>
          <w:color w:val="auto"/>
          <w:sz w:val="28"/>
          <w:szCs w:val="28"/>
        </w:rPr>
        <w:t>;</w:t>
      </w:r>
    </w:p>
    <w:p w14:paraId="633F7C4C" w14:textId="77777777" w:rsidR="00205BFC" w:rsidRPr="00FD7B0B" w:rsidRDefault="00205BFC" w:rsidP="00205BFC">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FD7B0B">
        <w:rPr>
          <w:rFonts w:ascii="Times New Roman" w:hAnsi="Times New Roman" w:cs="Times New Roman"/>
          <w:color w:val="auto"/>
          <w:sz w:val="28"/>
          <w:szCs w:val="28"/>
        </w:rPr>
        <w:t>- возврат средств федерального бюджета в связи с невыполнением условий соглашения о предоставлении субсидий из федерального бюджета.</w:t>
      </w:r>
    </w:p>
    <w:p w14:paraId="24A0CBA6" w14:textId="77777777" w:rsidR="00205BFC" w:rsidRPr="00FD7B0B" w:rsidRDefault="00205BFC" w:rsidP="007D728A">
      <w:pPr>
        <w:pStyle w:val="aff4"/>
        <w:spacing w:before="0" w:beforeAutospacing="0" w:after="0" w:afterAutospacing="0" w:line="240" w:lineRule="auto"/>
        <w:ind w:firstLine="709"/>
        <w:jc w:val="both"/>
        <w:rPr>
          <w:rFonts w:ascii="Times New Roman" w:hAnsi="Times New Roman" w:cs="Times New Roman"/>
          <w:color w:val="auto"/>
          <w:sz w:val="28"/>
          <w:szCs w:val="28"/>
        </w:rPr>
      </w:pPr>
    </w:p>
    <w:p w14:paraId="47B16E21" w14:textId="77777777" w:rsidR="00205BFC" w:rsidRPr="00FD7B0B" w:rsidRDefault="00205BFC" w:rsidP="007D728A">
      <w:pPr>
        <w:pStyle w:val="aff4"/>
        <w:spacing w:before="0" w:beforeAutospacing="0" w:after="0" w:afterAutospacing="0" w:line="240" w:lineRule="auto"/>
        <w:jc w:val="center"/>
        <w:rPr>
          <w:rFonts w:ascii="Times New Roman" w:hAnsi="Times New Roman" w:cs="Times New Roman"/>
          <w:b/>
          <w:color w:val="auto"/>
          <w:sz w:val="28"/>
          <w:szCs w:val="28"/>
        </w:rPr>
      </w:pPr>
      <w:r w:rsidRPr="00FD7B0B">
        <w:rPr>
          <w:rFonts w:ascii="Times New Roman" w:hAnsi="Times New Roman" w:cs="Times New Roman"/>
          <w:b/>
          <w:color w:val="auto"/>
          <w:sz w:val="28"/>
          <w:szCs w:val="28"/>
        </w:rPr>
        <w:t>Итоговая оценка реализации государственной программы</w:t>
      </w:r>
    </w:p>
    <w:p w14:paraId="6FC92DFF" w14:textId="4D665B5D" w:rsidR="00205BFC" w:rsidRPr="00FD7B0B" w:rsidRDefault="00205BFC" w:rsidP="007D728A">
      <w:pPr>
        <w:pStyle w:val="aff4"/>
        <w:spacing w:before="0" w:beforeAutospacing="0" w:after="0" w:afterAutospacing="0" w:line="240" w:lineRule="auto"/>
        <w:ind w:firstLine="709"/>
        <w:jc w:val="both"/>
        <w:rPr>
          <w:rFonts w:ascii="Times New Roman" w:hAnsi="Times New Roman" w:cs="Times New Roman"/>
          <w:color w:val="auto"/>
          <w:sz w:val="28"/>
          <w:szCs w:val="28"/>
        </w:rPr>
      </w:pPr>
      <w:r w:rsidRPr="00FD7B0B">
        <w:rPr>
          <w:rFonts w:ascii="Times New Roman" w:hAnsi="Times New Roman" w:cs="Times New Roman"/>
          <w:color w:val="auto"/>
          <w:sz w:val="28"/>
          <w:szCs w:val="28"/>
        </w:rPr>
        <w:t>Оценка исполнения государственной программы по ресурсам и резул</w:t>
      </w:r>
      <w:r w:rsidR="007D728A" w:rsidRPr="00FD7B0B">
        <w:rPr>
          <w:rFonts w:ascii="Times New Roman" w:hAnsi="Times New Roman" w:cs="Times New Roman"/>
          <w:color w:val="auto"/>
          <w:sz w:val="28"/>
          <w:szCs w:val="28"/>
        </w:rPr>
        <w:t xml:space="preserve">ьтатам представлена в таблице </w:t>
      </w:r>
      <w:r w:rsidR="001C09FE" w:rsidRPr="00FD7B0B">
        <w:rPr>
          <w:rFonts w:ascii="Times New Roman" w:hAnsi="Times New Roman" w:cs="Times New Roman"/>
          <w:color w:val="auto"/>
          <w:sz w:val="28"/>
          <w:szCs w:val="28"/>
        </w:rPr>
        <w:t>87</w:t>
      </w:r>
      <w:r w:rsidRPr="00FD7B0B">
        <w:rPr>
          <w:rFonts w:ascii="Times New Roman" w:hAnsi="Times New Roman" w:cs="Times New Roman"/>
          <w:color w:val="auto"/>
          <w:sz w:val="28"/>
          <w:szCs w:val="28"/>
        </w:rPr>
        <w:t>.</w:t>
      </w:r>
    </w:p>
    <w:p w14:paraId="5847F81B" w14:textId="77777777" w:rsidR="007D728A" w:rsidRPr="00FD7B0B" w:rsidRDefault="007D728A" w:rsidP="007D728A">
      <w:pPr>
        <w:pStyle w:val="aff0"/>
        <w:keepNext/>
        <w:spacing w:after="0" w:line="240" w:lineRule="auto"/>
        <w:rPr>
          <w:rFonts w:ascii="Times New Roman" w:hAnsi="Times New Roman"/>
          <w:b w:val="0"/>
          <w:sz w:val="24"/>
          <w:szCs w:val="24"/>
        </w:rPr>
      </w:pPr>
    </w:p>
    <w:p w14:paraId="13F673AB" w14:textId="77777777" w:rsidR="00205BFC" w:rsidRPr="00FD7B0B" w:rsidRDefault="00205BFC" w:rsidP="007D728A">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87</w:t>
      </w:r>
      <w:r w:rsidRPr="00FD7B0B">
        <w:rPr>
          <w:rFonts w:ascii="Times New Roman" w:hAnsi="Times New Roman"/>
          <w:b w:val="0"/>
          <w:sz w:val="24"/>
          <w:szCs w:val="24"/>
        </w:rPr>
        <w:fldChar w:fldCharType="end"/>
      </w:r>
      <w:r w:rsidRPr="00FD7B0B">
        <w:rPr>
          <w:rFonts w:ascii="Times New Roman" w:hAnsi="Times New Roman"/>
          <w:b w:val="0"/>
          <w:sz w:val="24"/>
          <w:szCs w:val="24"/>
        </w:rPr>
        <w:t>. Оценка исполнения государственной программы по ресурсам и результатам</w:t>
      </w:r>
    </w:p>
    <w:tbl>
      <w:tblPr>
        <w:tblW w:w="956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88"/>
        <w:gridCol w:w="1188"/>
        <w:gridCol w:w="1188"/>
        <w:gridCol w:w="1304"/>
        <w:gridCol w:w="1188"/>
        <w:gridCol w:w="1188"/>
        <w:gridCol w:w="1256"/>
        <w:gridCol w:w="1066"/>
      </w:tblGrid>
      <w:tr w:rsidR="00FD7B0B" w:rsidRPr="00FD7B0B" w14:paraId="3760A6B8" w14:textId="77777777" w:rsidTr="007D728A">
        <w:tc>
          <w:tcPr>
            <w:tcW w:w="1188" w:type="dxa"/>
            <w:vMerge w:val="restart"/>
          </w:tcPr>
          <w:p w14:paraId="70C02D7A"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кассового исполнения ...</w:t>
            </w:r>
          </w:p>
        </w:tc>
        <w:tc>
          <w:tcPr>
            <w:tcW w:w="1188" w:type="dxa"/>
            <w:vMerge w:val="restart"/>
          </w:tcPr>
          <w:p w14:paraId="179D90AB"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объема изменений, внесенных в сводную бюджетную роспись ...</w:t>
            </w:r>
          </w:p>
        </w:tc>
        <w:tc>
          <w:tcPr>
            <w:tcW w:w="2492" w:type="dxa"/>
            <w:gridSpan w:val="2"/>
          </w:tcPr>
          <w:p w14:paraId="12C3A09A"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реализации мероприятий (достижения результатов) структурных элементов ...</w:t>
            </w:r>
          </w:p>
        </w:tc>
        <w:tc>
          <w:tcPr>
            <w:tcW w:w="2376" w:type="dxa"/>
            <w:gridSpan w:val="2"/>
          </w:tcPr>
          <w:p w14:paraId="75F4FB6D"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достижения ... показателей ...</w:t>
            </w:r>
          </w:p>
        </w:tc>
        <w:tc>
          <w:tcPr>
            <w:tcW w:w="1256" w:type="dxa"/>
            <w:vMerge w:val="restart"/>
          </w:tcPr>
          <w:p w14:paraId="525E6960"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ввода объектов в эксплуатацию ...</w:t>
            </w:r>
          </w:p>
        </w:tc>
        <w:tc>
          <w:tcPr>
            <w:tcW w:w="1066" w:type="dxa"/>
            <w:vMerge w:val="restart"/>
          </w:tcPr>
          <w:p w14:paraId="0AFD6D8E"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Итого</w:t>
            </w:r>
          </w:p>
        </w:tc>
      </w:tr>
      <w:tr w:rsidR="00FD7B0B" w:rsidRPr="00FD7B0B" w14:paraId="69ACE2BC" w14:textId="77777777" w:rsidTr="007D728A">
        <w:trPr>
          <w:trHeight w:val="1677"/>
        </w:trPr>
        <w:tc>
          <w:tcPr>
            <w:tcW w:w="1188" w:type="dxa"/>
            <w:vMerge/>
          </w:tcPr>
          <w:p w14:paraId="11E8BB49" w14:textId="77777777" w:rsidR="00205BFC" w:rsidRPr="00FD7B0B" w:rsidRDefault="00205BFC" w:rsidP="00205BFC">
            <w:pPr>
              <w:pStyle w:val="ConsPlusNormal"/>
              <w:ind w:hanging="67"/>
              <w:rPr>
                <w:rFonts w:ascii="Times New Roman" w:hAnsi="Times New Roman" w:cs="Times New Roman"/>
              </w:rPr>
            </w:pPr>
          </w:p>
        </w:tc>
        <w:tc>
          <w:tcPr>
            <w:tcW w:w="1188" w:type="dxa"/>
            <w:vMerge/>
          </w:tcPr>
          <w:p w14:paraId="28659C37" w14:textId="77777777" w:rsidR="00205BFC" w:rsidRPr="00FD7B0B" w:rsidRDefault="00205BFC" w:rsidP="00205BFC">
            <w:pPr>
              <w:pStyle w:val="ConsPlusNormal"/>
              <w:ind w:hanging="67"/>
              <w:rPr>
                <w:rFonts w:ascii="Times New Roman" w:hAnsi="Times New Roman" w:cs="Times New Roman"/>
              </w:rPr>
            </w:pPr>
          </w:p>
        </w:tc>
        <w:tc>
          <w:tcPr>
            <w:tcW w:w="1188" w:type="dxa"/>
          </w:tcPr>
          <w:p w14:paraId="5D26A266"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степень достижения мероприятий (результатов) ...</w:t>
            </w:r>
          </w:p>
        </w:tc>
        <w:tc>
          <w:tcPr>
            <w:tcW w:w="1304" w:type="dxa"/>
          </w:tcPr>
          <w:p w14:paraId="2E311AA4"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 xml:space="preserve">справочно </w:t>
            </w:r>
            <w:hyperlink w:anchor="P701">
              <w:r w:rsidRPr="00FD7B0B">
                <w:rPr>
                  <w:rFonts w:ascii="Times New Roman" w:hAnsi="Times New Roman" w:cs="Times New Roman"/>
                </w:rPr>
                <w:t>&lt;*&gt;</w:t>
              </w:r>
            </w:hyperlink>
            <w:r w:rsidRPr="00FD7B0B">
              <w:rPr>
                <w:rFonts w:ascii="Times New Roman" w:hAnsi="Times New Roman" w:cs="Times New Roman"/>
              </w:rPr>
              <w:t>: доля реализованных мероприятий (достигнутых результатов) ...</w:t>
            </w:r>
          </w:p>
        </w:tc>
        <w:tc>
          <w:tcPr>
            <w:tcW w:w="1188" w:type="dxa"/>
          </w:tcPr>
          <w:p w14:paraId="2CD7DB86"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степень достижения показателей ...</w:t>
            </w:r>
          </w:p>
        </w:tc>
        <w:tc>
          <w:tcPr>
            <w:tcW w:w="1188" w:type="dxa"/>
          </w:tcPr>
          <w:p w14:paraId="700D6444"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 xml:space="preserve">справочно </w:t>
            </w:r>
            <w:hyperlink w:anchor="P701">
              <w:r w:rsidRPr="00FD7B0B">
                <w:rPr>
                  <w:rFonts w:ascii="Times New Roman" w:hAnsi="Times New Roman" w:cs="Times New Roman"/>
                </w:rPr>
                <w:t>&lt;*&gt;</w:t>
              </w:r>
            </w:hyperlink>
            <w:r w:rsidRPr="00FD7B0B">
              <w:rPr>
                <w:rFonts w:ascii="Times New Roman" w:hAnsi="Times New Roman" w:cs="Times New Roman"/>
              </w:rPr>
              <w:t>: доля выполненных показателей ...</w:t>
            </w:r>
          </w:p>
        </w:tc>
        <w:tc>
          <w:tcPr>
            <w:tcW w:w="1256" w:type="dxa"/>
            <w:vMerge/>
          </w:tcPr>
          <w:p w14:paraId="4CCC7492" w14:textId="77777777" w:rsidR="00205BFC" w:rsidRPr="00FD7B0B" w:rsidRDefault="00205BFC" w:rsidP="00205BFC">
            <w:pPr>
              <w:pStyle w:val="ConsPlusNormal"/>
              <w:ind w:hanging="67"/>
              <w:rPr>
                <w:rFonts w:ascii="Times New Roman" w:hAnsi="Times New Roman" w:cs="Times New Roman"/>
              </w:rPr>
            </w:pPr>
          </w:p>
        </w:tc>
        <w:tc>
          <w:tcPr>
            <w:tcW w:w="1066" w:type="dxa"/>
            <w:vMerge/>
          </w:tcPr>
          <w:p w14:paraId="5AA0E638" w14:textId="77777777" w:rsidR="00205BFC" w:rsidRPr="00FD7B0B" w:rsidRDefault="00205BFC" w:rsidP="00205BFC">
            <w:pPr>
              <w:pStyle w:val="ConsPlusNormal"/>
              <w:ind w:hanging="67"/>
              <w:rPr>
                <w:rFonts w:ascii="Times New Roman" w:hAnsi="Times New Roman" w:cs="Times New Roman"/>
              </w:rPr>
            </w:pPr>
          </w:p>
        </w:tc>
      </w:tr>
      <w:tr w:rsidR="00FD7B0B" w:rsidRPr="00FD7B0B" w14:paraId="0295C6E0" w14:textId="77777777" w:rsidTr="007D728A">
        <w:tc>
          <w:tcPr>
            <w:tcW w:w="1188" w:type="dxa"/>
            <w:shd w:val="clear" w:color="auto" w:fill="00B050"/>
            <w:vAlign w:val="center"/>
          </w:tcPr>
          <w:p w14:paraId="288331D2"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высокий уровень</w:t>
            </w:r>
          </w:p>
        </w:tc>
        <w:tc>
          <w:tcPr>
            <w:tcW w:w="1188" w:type="dxa"/>
            <w:shd w:val="clear" w:color="auto" w:fill="00B050"/>
            <w:vAlign w:val="center"/>
          </w:tcPr>
          <w:p w14:paraId="4C1B11DE"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высокий уровень</w:t>
            </w:r>
          </w:p>
        </w:tc>
        <w:tc>
          <w:tcPr>
            <w:tcW w:w="2492" w:type="dxa"/>
            <w:gridSpan w:val="2"/>
            <w:shd w:val="clear" w:color="auto" w:fill="auto"/>
            <w:vAlign w:val="center"/>
          </w:tcPr>
          <w:p w14:paraId="45893D8D"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Не оценивалось</w:t>
            </w:r>
          </w:p>
        </w:tc>
        <w:tc>
          <w:tcPr>
            <w:tcW w:w="1188" w:type="dxa"/>
            <w:shd w:val="clear" w:color="auto" w:fill="00B050"/>
            <w:vAlign w:val="center"/>
          </w:tcPr>
          <w:p w14:paraId="3D0B2423"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высокий уровень</w:t>
            </w:r>
          </w:p>
        </w:tc>
        <w:tc>
          <w:tcPr>
            <w:tcW w:w="1188" w:type="dxa"/>
            <w:shd w:val="clear" w:color="auto" w:fill="FFFF00"/>
            <w:vAlign w:val="center"/>
          </w:tcPr>
          <w:p w14:paraId="6F762B5A"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средний уровень</w:t>
            </w:r>
          </w:p>
        </w:tc>
        <w:tc>
          <w:tcPr>
            <w:tcW w:w="1256" w:type="dxa"/>
            <w:shd w:val="clear" w:color="auto" w:fill="auto"/>
            <w:vAlign w:val="center"/>
          </w:tcPr>
          <w:p w14:paraId="236A1754"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Не оценивалось</w:t>
            </w:r>
          </w:p>
        </w:tc>
        <w:tc>
          <w:tcPr>
            <w:tcW w:w="1066" w:type="dxa"/>
            <w:shd w:val="clear" w:color="auto" w:fill="FFFF00"/>
            <w:vAlign w:val="center"/>
          </w:tcPr>
          <w:p w14:paraId="380DC044"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Выше среднего</w:t>
            </w:r>
          </w:p>
        </w:tc>
      </w:tr>
      <w:tr w:rsidR="00FD7B0B" w:rsidRPr="00FD7B0B" w14:paraId="2D8E0EAC" w14:textId="77777777" w:rsidTr="007D728A">
        <w:tc>
          <w:tcPr>
            <w:tcW w:w="1188" w:type="dxa"/>
            <w:vAlign w:val="center"/>
          </w:tcPr>
          <w:p w14:paraId="46FB2E81" w14:textId="77777777" w:rsidR="00205BFC" w:rsidRPr="00FD7B0B" w:rsidRDefault="00205BFC" w:rsidP="00205BFC">
            <w:pPr>
              <w:pStyle w:val="ConsPlusNormal"/>
              <w:ind w:firstLine="0"/>
              <w:jc w:val="center"/>
              <w:rPr>
                <w:rFonts w:ascii="Times New Roman" w:hAnsi="Times New Roman" w:cs="Times New Roman"/>
              </w:rPr>
            </w:pPr>
            <w:r w:rsidRPr="00FD7B0B">
              <w:rPr>
                <w:rFonts w:ascii="Times New Roman" w:hAnsi="Times New Roman" w:cs="Times New Roman"/>
              </w:rPr>
              <w:t>3</w:t>
            </w:r>
          </w:p>
        </w:tc>
        <w:tc>
          <w:tcPr>
            <w:tcW w:w="1188" w:type="dxa"/>
            <w:vAlign w:val="center"/>
          </w:tcPr>
          <w:p w14:paraId="2D33EE5F" w14:textId="77777777" w:rsidR="00205BFC" w:rsidRPr="00FD7B0B" w:rsidRDefault="00205BFC" w:rsidP="00205BFC">
            <w:pPr>
              <w:pStyle w:val="ConsPlusNormal"/>
              <w:ind w:firstLine="0"/>
              <w:jc w:val="center"/>
              <w:rPr>
                <w:rFonts w:ascii="Times New Roman" w:hAnsi="Times New Roman" w:cs="Times New Roman"/>
              </w:rPr>
            </w:pPr>
            <w:r w:rsidRPr="00FD7B0B">
              <w:rPr>
                <w:rFonts w:ascii="Times New Roman" w:hAnsi="Times New Roman" w:cs="Times New Roman"/>
              </w:rPr>
              <w:t>3</w:t>
            </w:r>
          </w:p>
        </w:tc>
        <w:tc>
          <w:tcPr>
            <w:tcW w:w="1188" w:type="dxa"/>
            <w:vAlign w:val="center"/>
          </w:tcPr>
          <w:p w14:paraId="3C4C8562" w14:textId="77777777" w:rsidR="00205BFC" w:rsidRPr="00FD7B0B" w:rsidRDefault="00205BFC" w:rsidP="00205BFC">
            <w:pPr>
              <w:pStyle w:val="ConsPlusNormal"/>
              <w:ind w:firstLine="0"/>
              <w:jc w:val="center"/>
              <w:rPr>
                <w:rFonts w:ascii="Times New Roman" w:hAnsi="Times New Roman" w:cs="Times New Roman"/>
              </w:rPr>
            </w:pPr>
            <w:r w:rsidRPr="00FD7B0B">
              <w:rPr>
                <w:rFonts w:ascii="Times New Roman" w:hAnsi="Times New Roman" w:cs="Times New Roman"/>
              </w:rPr>
              <w:t>0</w:t>
            </w:r>
          </w:p>
        </w:tc>
        <w:tc>
          <w:tcPr>
            <w:tcW w:w="1304" w:type="dxa"/>
            <w:vAlign w:val="center"/>
          </w:tcPr>
          <w:p w14:paraId="5EA5D665" w14:textId="77777777" w:rsidR="00205BFC" w:rsidRPr="00FD7B0B" w:rsidRDefault="00205BFC" w:rsidP="00205BFC">
            <w:pPr>
              <w:pStyle w:val="ConsPlusNormal"/>
              <w:ind w:firstLine="0"/>
              <w:jc w:val="center"/>
              <w:rPr>
                <w:rFonts w:ascii="Times New Roman" w:hAnsi="Times New Roman" w:cs="Times New Roman"/>
              </w:rPr>
            </w:pPr>
            <w:r w:rsidRPr="00FD7B0B">
              <w:rPr>
                <w:rFonts w:ascii="Times New Roman" w:hAnsi="Times New Roman" w:cs="Times New Roman"/>
              </w:rPr>
              <w:t>0</w:t>
            </w:r>
          </w:p>
        </w:tc>
        <w:tc>
          <w:tcPr>
            <w:tcW w:w="1188" w:type="dxa"/>
            <w:vAlign w:val="center"/>
          </w:tcPr>
          <w:p w14:paraId="1B1EB9B5" w14:textId="77777777" w:rsidR="00205BFC" w:rsidRPr="00FD7B0B" w:rsidRDefault="00205BFC" w:rsidP="00205BFC">
            <w:pPr>
              <w:pStyle w:val="ConsPlusNormal"/>
              <w:ind w:firstLine="0"/>
              <w:jc w:val="center"/>
              <w:rPr>
                <w:rFonts w:ascii="Times New Roman" w:hAnsi="Times New Roman" w:cs="Times New Roman"/>
              </w:rPr>
            </w:pPr>
            <w:r w:rsidRPr="00FD7B0B">
              <w:rPr>
                <w:rFonts w:ascii="Times New Roman" w:hAnsi="Times New Roman" w:cs="Times New Roman"/>
              </w:rPr>
              <w:t>3</w:t>
            </w:r>
          </w:p>
        </w:tc>
        <w:tc>
          <w:tcPr>
            <w:tcW w:w="1188" w:type="dxa"/>
            <w:vAlign w:val="center"/>
          </w:tcPr>
          <w:p w14:paraId="04C72681" w14:textId="77777777" w:rsidR="00205BFC" w:rsidRPr="00FD7B0B" w:rsidRDefault="00205BFC" w:rsidP="00205BFC">
            <w:pPr>
              <w:pStyle w:val="ConsPlusNormal"/>
              <w:ind w:firstLine="0"/>
              <w:jc w:val="center"/>
              <w:rPr>
                <w:rFonts w:ascii="Times New Roman" w:hAnsi="Times New Roman" w:cs="Times New Roman"/>
              </w:rPr>
            </w:pPr>
            <w:r w:rsidRPr="00FD7B0B">
              <w:rPr>
                <w:rFonts w:ascii="Times New Roman" w:hAnsi="Times New Roman" w:cs="Times New Roman"/>
              </w:rPr>
              <w:t>2</w:t>
            </w:r>
          </w:p>
        </w:tc>
        <w:tc>
          <w:tcPr>
            <w:tcW w:w="1256" w:type="dxa"/>
            <w:vAlign w:val="center"/>
          </w:tcPr>
          <w:p w14:paraId="671CDCDB" w14:textId="77777777" w:rsidR="00205BFC" w:rsidRPr="00FD7B0B" w:rsidRDefault="00205BFC" w:rsidP="00205BFC">
            <w:pPr>
              <w:pStyle w:val="ConsPlusNormal"/>
              <w:ind w:firstLine="0"/>
              <w:jc w:val="center"/>
              <w:rPr>
                <w:rFonts w:ascii="Times New Roman" w:hAnsi="Times New Roman" w:cs="Times New Roman"/>
              </w:rPr>
            </w:pPr>
            <w:r w:rsidRPr="00FD7B0B">
              <w:rPr>
                <w:rFonts w:ascii="Times New Roman" w:hAnsi="Times New Roman" w:cs="Times New Roman"/>
              </w:rPr>
              <w:t>0</w:t>
            </w:r>
          </w:p>
        </w:tc>
        <w:tc>
          <w:tcPr>
            <w:tcW w:w="1066" w:type="dxa"/>
            <w:vAlign w:val="center"/>
          </w:tcPr>
          <w:p w14:paraId="5951AE06" w14:textId="77777777" w:rsidR="00205BFC" w:rsidRPr="00FD7B0B" w:rsidRDefault="00205BFC" w:rsidP="00205BFC">
            <w:pPr>
              <w:pStyle w:val="ConsPlusNormal"/>
              <w:ind w:firstLine="0"/>
              <w:jc w:val="center"/>
              <w:rPr>
                <w:rFonts w:ascii="Times New Roman" w:hAnsi="Times New Roman" w:cs="Times New Roman"/>
              </w:rPr>
            </w:pPr>
            <w:r w:rsidRPr="00FD7B0B">
              <w:rPr>
                <w:rFonts w:ascii="Times New Roman" w:hAnsi="Times New Roman" w:cs="Times New Roman"/>
              </w:rPr>
              <w:t>2,75</w:t>
            </w:r>
          </w:p>
        </w:tc>
      </w:tr>
    </w:tbl>
    <w:p w14:paraId="3DD5A4F1" w14:textId="77777777" w:rsidR="00205BFC" w:rsidRPr="00FD7B0B" w:rsidRDefault="00205BFC" w:rsidP="00205BFC">
      <w:pPr>
        <w:spacing w:after="0" w:line="240" w:lineRule="auto"/>
        <w:contextualSpacing/>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ab/>
      </w:r>
    </w:p>
    <w:p w14:paraId="48257DD4" w14:textId="77777777" w:rsidR="00205BFC" w:rsidRPr="00FD7B0B" w:rsidRDefault="00205BFC" w:rsidP="00205BFC">
      <w:pPr>
        <w:spacing w:after="0" w:line="240" w:lineRule="auto"/>
        <w:ind w:firstLine="708"/>
        <w:contextualSpacing/>
        <w:jc w:val="both"/>
        <w:rPr>
          <w:rFonts w:ascii="Times New Roman" w:eastAsiaTheme="minorEastAsia" w:hAnsi="Times New Roman" w:cs="Times New Roman"/>
          <w:sz w:val="28"/>
          <w:szCs w:val="28"/>
          <w:lang w:eastAsia="ru-RU"/>
        </w:rPr>
      </w:pPr>
      <w:r w:rsidRPr="00FD7B0B">
        <w:rPr>
          <w:rFonts w:ascii="Times New Roman" w:eastAsiaTheme="minorEastAsia" w:hAnsi="Times New Roman" w:cs="Times New Roman"/>
          <w:sz w:val="28"/>
          <w:szCs w:val="28"/>
          <w:lang w:eastAsia="ru-RU"/>
        </w:rPr>
        <w:t>Таким образом, с учетом применения Методики исполнение государственной программы по ресурсам и результатам соответствует уровню выше среднего.</w:t>
      </w:r>
    </w:p>
    <w:p w14:paraId="61590468" w14:textId="77777777" w:rsidR="00205BFC" w:rsidRPr="00FD7B0B" w:rsidRDefault="00205BFC" w:rsidP="00205BFC">
      <w:pPr>
        <w:spacing w:after="0" w:line="240" w:lineRule="auto"/>
        <w:ind w:firstLine="708"/>
        <w:contextualSpacing/>
        <w:jc w:val="both"/>
        <w:rPr>
          <w:rFonts w:ascii="Times New Roman" w:eastAsiaTheme="minorEastAsia" w:hAnsi="Times New Roman" w:cs="Times New Roman"/>
          <w:sz w:val="28"/>
          <w:szCs w:val="28"/>
          <w:lang w:eastAsia="ru-RU"/>
        </w:rPr>
      </w:pPr>
      <w:r w:rsidRPr="00FD7B0B">
        <w:rPr>
          <w:rFonts w:ascii="Times New Roman" w:eastAsiaTheme="minorEastAsia" w:hAnsi="Times New Roman" w:cs="Times New Roman"/>
          <w:sz w:val="28"/>
          <w:szCs w:val="28"/>
          <w:lang w:eastAsia="ru-RU"/>
        </w:rPr>
        <w:t>Недостатки в реализации программы связаны с низким уровнем по блоку «Оценка реализации мероприятий (достижения результатов) структурных элементов» в основном по причине срыва срока строительства и ремонту объектов здравоохранения. По этой же причине сложился средний уровень реализации программы по блоку «Оценка ввода объектов в эксплуатацию в рамках реализации государственной программы».</w:t>
      </w:r>
    </w:p>
    <w:p w14:paraId="2F0AF42E" w14:textId="77777777" w:rsidR="00205BFC" w:rsidRPr="00FD7B0B" w:rsidRDefault="00205BFC" w:rsidP="00205BFC">
      <w:pPr>
        <w:spacing w:after="0" w:line="240" w:lineRule="auto"/>
        <w:ind w:firstLine="708"/>
        <w:contextualSpacing/>
        <w:jc w:val="both"/>
        <w:rPr>
          <w:rFonts w:ascii="Times New Roman" w:eastAsiaTheme="minorEastAsia" w:hAnsi="Times New Roman" w:cs="Times New Roman"/>
          <w:sz w:val="28"/>
          <w:szCs w:val="28"/>
          <w:lang w:eastAsia="ru-RU"/>
        </w:rPr>
      </w:pPr>
      <w:r w:rsidRPr="00FD7B0B">
        <w:rPr>
          <w:rFonts w:ascii="Times New Roman" w:eastAsiaTheme="minorEastAsia" w:hAnsi="Times New Roman" w:cs="Times New Roman"/>
          <w:sz w:val="28"/>
          <w:szCs w:val="28"/>
          <w:lang w:eastAsia="ru-RU"/>
        </w:rPr>
        <w:t xml:space="preserve"> </w:t>
      </w:r>
    </w:p>
    <w:p w14:paraId="52465FDA" w14:textId="4C71FFE7" w:rsidR="00205BFC" w:rsidRPr="00FD7B0B" w:rsidRDefault="00205BFC" w:rsidP="00205BFC">
      <w:pPr>
        <w:spacing w:after="0" w:line="240" w:lineRule="auto"/>
        <w:ind w:firstLine="708"/>
        <w:contextualSpacing/>
        <w:jc w:val="both"/>
        <w:rPr>
          <w:rFonts w:ascii="Times New Roman" w:eastAsiaTheme="minorEastAsia" w:hAnsi="Times New Roman" w:cs="Times New Roman"/>
          <w:sz w:val="28"/>
          <w:szCs w:val="28"/>
          <w:lang w:eastAsia="ru-RU"/>
        </w:rPr>
      </w:pPr>
      <w:r w:rsidRPr="00FD7B0B">
        <w:rPr>
          <w:rFonts w:ascii="Times New Roman" w:eastAsiaTheme="minorEastAsia" w:hAnsi="Times New Roman" w:cs="Times New Roman"/>
          <w:sz w:val="28"/>
          <w:szCs w:val="28"/>
          <w:lang w:eastAsia="ru-RU"/>
        </w:rPr>
        <w:t>Оценка формирования и использования системы показателей по результатам проверки исполнения государственной про</w:t>
      </w:r>
      <w:r w:rsidR="00524CE2" w:rsidRPr="00FD7B0B">
        <w:rPr>
          <w:rFonts w:ascii="Times New Roman" w:eastAsiaTheme="minorEastAsia" w:hAnsi="Times New Roman" w:cs="Times New Roman"/>
          <w:sz w:val="28"/>
          <w:szCs w:val="28"/>
          <w:lang w:eastAsia="ru-RU"/>
        </w:rPr>
        <w:t xml:space="preserve">граммы представлена в таблице </w:t>
      </w:r>
      <w:r w:rsidR="001C09FE" w:rsidRPr="00FD7B0B">
        <w:rPr>
          <w:rFonts w:ascii="Times New Roman" w:eastAsiaTheme="minorEastAsia" w:hAnsi="Times New Roman" w:cs="Times New Roman"/>
          <w:sz w:val="28"/>
          <w:szCs w:val="28"/>
          <w:lang w:eastAsia="ru-RU"/>
        </w:rPr>
        <w:t>88</w:t>
      </w:r>
      <w:r w:rsidRPr="00FD7B0B">
        <w:rPr>
          <w:rFonts w:ascii="Times New Roman" w:eastAsiaTheme="minorEastAsia" w:hAnsi="Times New Roman" w:cs="Times New Roman"/>
          <w:sz w:val="28"/>
          <w:szCs w:val="28"/>
          <w:lang w:eastAsia="ru-RU"/>
        </w:rPr>
        <w:t>.</w:t>
      </w:r>
    </w:p>
    <w:p w14:paraId="6ACBD626" w14:textId="77777777" w:rsidR="001C09FE" w:rsidRPr="00FD7B0B" w:rsidRDefault="001C09FE" w:rsidP="00524CE2">
      <w:pPr>
        <w:pStyle w:val="aff0"/>
        <w:keepNext/>
        <w:spacing w:after="0" w:line="240" w:lineRule="auto"/>
        <w:rPr>
          <w:rFonts w:ascii="Times New Roman" w:hAnsi="Times New Roman"/>
          <w:b w:val="0"/>
          <w:sz w:val="24"/>
          <w:szCs w:val="24"/>
        </w:rPr>
      </w:pPr>
    </w:p>
    <w:p w14:paraId="70D8118C" w14:textId="64ED3FF5" w:rsidR="00205BFC" w:rsidRPr="00FD7B0B" w:rsidRDefault="00205BFC" w:rsidP="00524CE2">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88</w:t>
      </w:r>
      <w:r w:rsidRPr="00FD7B0B">
        <w:rPr>
          <w:rFonts w:ascii="Times New Roman" w:hAnsi="Times New Roman"/>
          <w:b w:val="0"/>
          <w:sz w:val="24"/>
          <w:szCs w:val="24"/>
        </w:rPr>
        <w:fldChar w:fldCharType="end"/>
      </w:r>
      <w:r w:rsidRPr="00FD7B0B">
        <w:rPr>
          <w:rFonts w:ascii="Times New Roman" w:hAnsi="Times New Roman"/>
          <w:b w:val="0"/>
          <w:sz w:val="24"/>
          <w:szCs w:val="24"/>
        </w:rPr>
        <w:t>. Оценка формирования и использования системы показателей по результатам проверки исполнения государственной программы</w:t>
      </w:r>
    </w:p>
    <w:tbl>
      <w:tblPr>
        <w:tblW w:w="942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96"/>
        <w:gridCol w:w="1418"/>
        <w:gridCol w:w="1275"/>
        <w:gridCol w:w="2127"/>
        <w:gridCol w:w="2410"/>
        <w:gridCol w:w="1003"/>
      </w:tblGrid>
      <w:tr w:rsidR="00FD7B0B" w:rsidRPr="00FD7B0B" w14:paraId="2F17132D" w14:textId="77777777" w:rsidTr="00524CE2">
        <w:tc>
          <w:tcPr>
            <w:tcW w:w="1196" w:type="dxa"/>
          </w:tcPr>
          <w:p w14:paraId="2C262285"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состава показателей ...</w:t>
            </w:r>
          </w:p>
        </w:tc>
        <w:tc>
          <w:tcPr>
            <w:tcW w:w="1418" w:type="dxa"/>
          </w:tcPr>
          <w:p w14:paraId="4E070921"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стабильности состава показателей ... на протяжении отчетного года</w:t>
            </w:r>
          </w:p>
        </w:tc>
        <w:tc>
          <w:tcPr>
            <w:tcW w:w="1275" w:type="dxa"/>
          </w:tcPr>
          <w:p w14:paraId="7EF61565"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динамики ... значений показателей ...</w:t>
            </w:r>
          </w:p>
        </w:tc>
        <w:tc>
          <w:tcPr>
            <w:tcW w:w="2127" w:type="dxa"/>
          </w:tcPr>
          <w:p w14:paraId="419FBECC"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количества показателей ..., по которым представлены фактические значения за отчетный год ...</w:t>
            </w:r>
          </w:p>
        </w:tc>
        <w:tc>
          <w:tcPr>
            <w:tcW w:w="2410" w:type="dxa"/>
          </w:tcPr>
          <w:p w14:paraId="286782BC"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Оценка количества показателей ... по которым формируется официальная статистическая информация ...</w:t>
            </w:r>
          </w:p>
        </w:tc>
        <w:tc>
          <w:tcPr>
            <w:tcW w:w="1003" w:type="dxa"/>
          </w:tcPr>
          <w:p w14:paraId="260F2BFB"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Итого</w:t>
            </w:r>
          </w:p>
        </w:tc>
      </w:tr>
      <w:tr w:rsidR="00FD7B0B" w:rsidRPr="00FD7B0B" w14:paraId="7F80A2D8" w14:textId="77777777" w:rsidTr="00524CE2">
        <w:tc>
          <w:tcPr>
            <w:tcW w:w="1196" w:type="dxa"/>
            <w:shd w:val="clear" w:color="auto" w:fill="FF0000"/>
            <w:vAlign w:val="center"/>
          </w:tcPr>
          <w:p w14:paraId="23477AC5"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низкий уровень</w:t>
            </w:r>
          </w:p>
        </w:tc>
        <w:tc>
          <w:tcPr>
            <w:tcW w:w="1418" w:type="dxa"/>
            <w:shd w:val="clear" w:color="auto" w:fill="FFFF00"/>
            <w:vAlign w:val="center"/>
          </w:tcPr>
          <w:p w14:paraId="083D8DBE"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средний уровень</w:t>
            </w:r>
          </w:p>
        </w:tc>
        <w:tc>
          <w:tcPr>
            <w:tcW w:w="1275" w:type="dxa"/>
            <w:shd w:val="clear" w:color="auto" w:fill="FFFFFF" w:themeFill="background1"/>
            <w:vAlign w:val="center"/>
          </w:tcPr>
          <w:p w14:paraId="3C737203"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Не оценивалось</w:t>
            </w:r>
          </w:p>
        </w:tc>
        <w:tc>
          <w:tcPr>
            <w:tcW w:w="2127" w:type="dxa"/>
            <w:shd w:val="clear" w:color="auto" w:fill="00B050"/>
            <w:vAlign w:val="center"/>
          </w:tcPr>
          <w:p w14:paraId="33E9BB93"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высокий уровень</w:t>
            </w:r>
          </w:p>
        </w:tc>
        <w:tc>
          <w:tcPr>
            <w:tcW w:w="2410" w:type="dxa"/>
            <w:shd w:val="clear" w:color="auto" w:fill="FF0000"/>
            <w:vAlign w:val="center"/>
          </w:tcPr>
          <w:p w14:paraId="28CDD21E"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низкий уровень</w:t>
            </w:r>
          </w:p>
        </w:tc>
        <w:tc>
          <w:tcPr>
            <w:tcW w:w="1003" w:type="dxa"/>
            <w:shd w:val="clear" w:color="auto" w:fill="FFFF00"/>
            <w:vAlign w:val="center"/>
          </w:tcPr>
          <w:p w14:paraId="7B0288F5" w14:textId="77777777" w:rsidR="00205BFC" w:rsidRPr="00FD7B0B" w:rsidRDefault="00205BFC" w:rsidP="00205BFC">
            <w:pPr>
              <w:pStyle w:val="ConsPlusNormal"/>
              <w:ind w:hanging="67"/>
              <w:jc w:val="center"/>
              <w:rPr>
                <w:rFonts w:ascii="Times New Roman" w:hAnsi="Times New Roman" w:cs="Times New Roman"/>
              </w:rPr>
            </w:pPr>
          </w:p>
          <w:p w14:paraId="2B4D2AD2"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Средний</w:t>
            </w:r>
          </w:p>
          <w:p w14:paraId="4A709208"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уровень</w:t>
            </w:r>
          </w:p>
          <w:p w14:paraId="5B9F0B48" w14:textId="77777777" w:rsidR="00205BFC" w:rsidRPr="00FD7B0B" w:rsidRDefault="00205BFC" w:rsidP="00205BFC">
            <w:pPr>
              <w:pStyle w:val="ConsPlusNormal"/>
              <w:ind w:hanging="67"/>
              <w:jc w:val="center"/>
              <w:rPr>
                <w:rFonts w:ascii="Times New Roman" w:hAnsi="Times New Roman" w:cs="Times New Roman"/>
              </w:rPr>
            </w:pPr>
          </w:p>
        </w:tc>
      </w:tr>
      <w:tr w:rsidR="00205BFC" w:rsidRPr="00FD7B0B" w14:paraId="422AE37A" w14:textId="77777777" w:rsidTr="00524CE2">
        <w:tc>
          <w:tcPr>
            <w:tcW w:w="1196" w:type="dxa"/>
            <w:vAlign w:val="center"/>
          </w:tcPr>
          <w:p w14:paraId="04F42292"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1</w:t>
            </w:r>
          </w:p>
        </w:tc>
        <w:tc>
          <w:tcPr>
            <w:tcW w:w="1418" w:type="dxa"/>
            <w:vAlign w:val="center"/>
          </w:tcPr>
          <w:p w14:paraId="24DEF64F"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2</w:t>
            </w:r>
          </w:p>
        </w:tc>
        <w:tc>
          <w:tcPr>
            <w:tcW w:w="1275" w:type="dxa"/>
            <w:vAlign w:val="center"/>
          </w:tcPr>
          <w:p w14:paraId="189C022E"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0</w:t>
            </w:r>
          </w:p>
        </w:tc>
        <w:tc>
          <w:tcPr>
            <w:tcW w:w="2127" w:type="dxa"/>
            <w:vAlign w:val="center"/>
          </w:tcPr>
          <w:p w14:paraId="340C4B25"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3</w:t>
            </w:r>
          </w:p>
        </w:tc>
        <w:tc>
          <w:tcPr>
            <w:tcW w:w="2410" w:type="dxa"/>
            <w:vAlign w:val="center"/>
          </w:tcPr>
          <w:p w14:paraId="56AB9944"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1</w:t>
            </w:r>
          </w:p>
        </w:tc>
        <w:tc>
          <w:tcPr>
            <w:tcW w:w="1003" w:type="dxa"/>
            <w:vAlign w:val="center"/>
          </w:tcPr>
          <w:p w14:paraId="1023A2D8" w14:textId="77777777" w:rsidR="00205BFC" w:rsidRPr="00FD7B0B" w:rsidRDefault="00205BFC" w:rsidP="00205BFC">
            <w:pPr>
              <w:pStyle w:val="ConsPlusNormal"/>
              <w:ind w:hanging="67"/>
              <w:jc w:val="center"/>
              <w:rPr>
                <w:rFonts w:ascii="Times New Roman" w:hAnsi="Times New Roman" w:cs="Times New Roman"/>
              </w:rPr>
            </w:pPr>
            <w:r w:rsidRPr="00FD7B0B">
              <w:rPr>
                <w:rFonts w:ascii="Times New Roman" w:hAnsi="Times New Roman" w:cs="Times New Roman"/>
              </w:rPr>
              <w:t>1,75</w:t>
            </w:r>
          </w:p>
        </w:tc>
      </w:tr>
    </w:tbl>
    <w:p w14:paraId="7CBB94CF" w14:textId="77777777" w:rsidR="00524CE2" w:rsidRPr="00FD7B0B" w:rsidRDefault="00524CE2" w:rsidP="00205BFC">
      <w:pPr>
        <w:spacing w:after="0" w:line="240" w:lineRule="auto"/>
        <w:ind w:firstLine="708"/>
        <w:contextualSpacing/>
        <w:jc w:val="both"/>
        <w:rPr>
          <w:rFonts w:ascii="Times New Roman" w:eastAsiaTheme="minorEastAsia" w:hAnsi="Times New Roman" w:cs="Times New Roman"/>
          <w:sz w:val="28"/>
          <w:szCs w:val="28"/>
          <w:lang w:eastAsia="ru-RU"/>
        </w:rPr>
      </w:pPr>
    </w:p>
    <w:p w14:paraId="0265A334" w14:textId="77777777" w:rsidR="00205BFC" w:rsidRPr="00FD7B0B" w:rsidRDefault="00205BFC" w:rsidP="00205BFC">
      <w:pPr>
        <w:spacing w:after="0" w:line="240" w:lineRule="auto"/>
        <w:ind w:firstLine="708"/>
        <w:contextualSpacing/>
        <w:jc w:val="both"/>
        <w:rPr>
          <w:rFonts w:ascii="Times New Roman" w:eastAsiaTheme="minorEastAsia" w:hAnsi="Times New Roman" w:cs="Times New Roman"/>
          <w:sz w:val="28"/>
          <w:szCs w:val="28"/>
          <w:lang w:eastAsia="ru-RU"/>
        </w:rPr>
      </w:pPr>
      <w:r w:rsidRPr="00FD7B0B">
        <w:rPr>
          <w:rFonts w:ascii="Times New Roman" w:eastAsiaTheme="minorEastAsia" w:hAnsi="Times New Roman" w:cs="Times New Roman"/>
          <w:sz w:val="28"/>
          <w:szCs w:val="28"/>
          <w:lang w:eastAsia="ru-RU"/>
        </w:rPr>
        <w:lastRenderedPageBreak/>
        <w:t>С учетом применения Методики, формирование и использование системы показателей по результатам проверки исполнения государственной программы соответствует среднему уровню.</w:t>
      </w:r>
    </w:p>
    <w:p w14:paraId="27422B1A" w14:textId="3389300A" w:rsidR="00F33183" w:rsidRPr="00FD7B0B" w:rsidRDefault="009B516C" w:rsidP="00F33183">
      <w:pPr>
        <w:pStyle w:val="3"/>
        <w:spacing w:line="240" w:lineRule="auto"/>
        <w:jc w:val="center"/>
        <w:rPr>
          <w:rFonts w:ascii="Times New Roman" w:hAnsi="Times New Roman"/>
          <w:b w:val="0"/>
          <w:sz w:val="28"/>
          <w:szCs w:val="28"/>
          <w:u w:val="single"/>
        </w:rPr>
      </w:pPr>
      <w:bookmarkStart w:id="128" w:name="_Toc198819135"/>
      <w:r w:rsidRPr="00FD7B0B">
        <w:rPr>
          <w:rFonts w:ascii="Times New Roman" w:hAnsi="Times New Roman"/>
          <w:b w:val="0"/>
          <w:sz w:val="28"/>
          <w:szCs w:val="28"/>
          <w:u w:val="single"/>
          <w:lang w:val="ru-RU"/>
        </w:rPr>
        <w:t>4</w:t>
      </w:r>
      <w:r w:rsidR="00F33183" w:rsidRPr="00FD7B0B">
        <w:rPr>
          <w:rFonts w:ascii="Times New Roman" w:hAnsi="Times New Roman"/>
          <w:b w:val="0"/>
          <w:sz w:val="28"/>
          <w:szCs w:val="28"/>
          <w:u w:val="single"/>
        </w:rPr>
        <w:t>.</w:t>
      </w:r>
      <w:r w:rsidR="00671A9D" w:rsidRPr="00FD7B0B">
        <w:rPr>
          <w:rFonts w:ascii="Times New Roman" w:hAnsi="Times New Roman"/>
          <w:b w:val="0"/>
          <w:sz w:val="28"/>
          <w:szCs w:val="28"/>
          <w:u w:val="single"/>
          <w:lang w:val="ru-RU"/>
        </w:rPr>
        <w:t>3</w:t>
      </w:r>
      <w:r w:rsidR="00F33183" w:rsidRPr="00FD7B0B">
        <w:rPr>
          <w:rFonts w:ascii="Times New Roman" w:hAnsi="Times New Roman"/>
          <w:b w:val="0"/>
          <w:sz w:val="28"/>
          <w:szCs w:val="28"/>
          <w:u w:val="single"/>
        </w:rPr>
        <w:t>.</w:t>
      </w:r>
      <w:r w:rsidR="00F33183" w:rsidRPr="00FD7B0B">
        <w:rPr>
          <w:rFonts w:ascii="Times New Roman" w:hAnsi="Times New Roman"/>
          <w:b w:val="0"/>
          <w:sz w:val="28"/>
          <w:szCs w:val="28"/>
          <w:u w:val="single"/>
          <w:lang w:val="ru-RU"/>
        </w:rPr>
        <w:t>2</w:t>
      </w:r>
      <w:r w:rsidR="00F33183" w:rsidRPr="00FD7B0B">
        <w:rPr>
          <w:rFonts w:ascii="Times New Roman" w:hAnsi="Times New Roman"/>
          <w:b w:val="0"/>
          <w:sz w:val="28"/>
          <w:szCs w:val="28"/>
          <w:u w:val="single"/>
        </w:rPr>
        <w:t xml:space="preserve">. Государственная программа </w:t>
      </w:r>
      <w:r w:rsidR="00F33183" w:rsidRPr="00FD7B0B">
        <w:rPr>
          <w:rFonts w:ascii="Times New Roman" w:hAnsi="Times New Roman"/>
          <w:b w:val="0"/>
          <w:sz w:val="28"/>
          <w:szCs w:val="28"/>
          <w:u w:val="single"/>
          <w:lang w:val="ru-RU"/>
        </w:rPr>
        <w:t xml:space="preserve">Архангельской области </w:t>
      </w:r>
      <w:r w:rsidR="0065479F" w:rsidRPr="00FD7B0B">
        <w:rPr>
          <w:rFonts w:ascii="Times New Roman" w:hAnsi="Times New Roman"/>
          <w:b w:val="0"/>
          <w:sz w:val="28"/>
          <w:szCs w:val="28"/>
          <w:u w:val="single"/>
        </w:rPr>
        <w:t>«</w:t>
      </w:r>
      <w:r w:rsidR="00F33183" w:rsidRPr="00FD7B0B">
        <w:rPr>
          <w:rFonts w:ascii="Times New Roman" w:hAnsi="Times New Roman"/>
          <w:b w:val="0"/>
          <w:sz w:val="28"/>
          <w:szCs w:val="28"/>
          <w:u w:val="single"/>
          <w:lang w:val="ru-RU"/>
        </w:rPr>
        <w:t>Развитие образования и науки Архангельской области</w:t>
      </w:r>
      <w:r w:rsidR="0065479F" w:rsidRPr="00FD7B0B">
        <w:rPr>
          <w:rFonts w:ascii="Times New Roman" w:hAnsi="Times New Roman"/>
          <w:b w:val="0"/>
          <w:sz w:val="28"/>
          <w:szCs w:val="28"/>
          <w:u w:val="single"/>
        </w:rPr>
        <w:t>»</w:t>
      </w:r>
      <w:bookmarkEnd w:id="127"/>
      <w:bookmarkEnd w:id="128"/>
    </w:p>
    <w:p w14:paraId="3032AB57"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Государственная программа Архангельской области «</w:t>
      </w:r>
      <w:r w:rsidRPr="00FD7B0B">
        <w:rPr>
          <w:rFonts w:ascii="Times New Roman" w:eastAsia="Times New Roman" w:hAnsi="Times New Roman" w:cs="Times New Roman"/>
          <w:bCs/>
          <w:sz w:val="28"/>
          <w:szCs w:val="28"/>
          <w:lang w:eastAsia="ru-RU"/>
        </w:rPr>
        <w:t>Развитие образования и науки Архангельской области</w:t>
      </w:r>
      <w:r w:rsidRPr="00FD7B0B">
        <w:rPr>
          <w:rFonts w:ascii="Times New Roman" w:eastAsia="Times New Roman" w:hAnsi="Times New Roman" w:cs="Times New Roman"/>
          <w:sz w:val="28"/>
          <w:szCs w:val="28"/>
          <w:lang w:eastAsia="ru-RU"/>
        </w:rPr>
        <w:t xml:space="preserve">» утверждена постановлением Правительства Архангельской области от 12.10.2012 № 463-пп (далее – ГП </w:t>
      </w:r>
      <w:r w:rsidRPr="00FD7B0B">
        <w:rPr>
          <w:rFonts w:ascii="Times New Roman" w:eastAsia="Times New Roman" w:hAnsi="Times New Roman" w:cs="Times New Roman"/>
          <w:sz w:val="28"/>
          <w:szCs w:val="28"/>
          <w:lang w:eastAsia="ru-RU"/>
        </w:rPr>
        <w:br/>
        <w:t>№ 02, госпрограмма).</w:t>
      </w:r>
    </w:p>
    <w:p w14:paraId="22E3FF4D"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На реализацию мероприятий ГП № 02 на 2024 год, в редакции, действующей на 31.12.2024, утверждено финансирование в общей сумме 35 528,3 млн.руб., в т.ч. за счет средств областного бюджета – </w:t>
      </w:r>
      <w:r w:rsidRPr="00FD7B0B">
        <w:rPr>
          <w:rFonts w:ascii="Times New Roman" w:eastAsia="Times New Roman" w:hAnsi="Times New Roman" w:cs="Times New Roman"/>
          <w:bCs/>
          <w:sz w:val="28"/>
          <w:szCs w:val="28"/>
          <w:lang w:eastAsia="ru-RU"/>
        </w:rPr>
        <w:t xml:space="preserve">35 154,1 </w:t>
      </w:r>
      <w:r w:rsidRPr="00FD7B0B">
        <w:rPr>
          <w:rFonts w:ascii="Times New Roman" w:eastAsia="Times New Roman" w:hAnsi="Times New Roman" w:cs="Times New Roman"/>
          <w:sz w:val="28"/>
          <w:szCs w:val="28"/>
          <w:lang w:eastAsia="ru-RU"/>
        </w:rPr>
        <w:t xml:space="preserve">млн.руб., консолидированных </w:t>
      </w:r>
      <w:r w:rsidRPr="00FD7B0B">
        <w:rPr>
          <w:rFonts w:ascii="Times New Roman" w:eastAsia="Times New Roman" w:hAnsi="Times New Roman" w:cs="Times New Roman"/>
          <w:bCs/>
          <w:sz w:val="28"/>
          <w:szCs w:val="28"/>
          <w:lang w:eastAsia="ru-RU"/>
        </w:rPr>
        <w:t>бюджетов муниципальных образований Архангельской области</w:t>
      </w:r>
      <w:r w:rsidRPr="00FD7B0B">
        <w:rPr>
          <w:rFonts w:ascii="Times New Roman" w:eastAsia="Times New Roman" w:hAnsi="Times New Roman" w:cs="Times New Roman"/>
          <w:sz w:val="28"/>
          <w:szCs w:val="28"/>
          <w:lang w:eastAsia="ru-RU"/>
        </w:rPr>
        <w:t xml:space="preserve"> – </w:t>
      </w:r>
      <w:r w:rsidRPr="00FD7B0B">
        <w:rPr>
          <w:rFonts w:ascii="Times New Roman" w:eastAsia="Times New Roman" w:hAnsi="Times New Roman" w:cs="Times New Roman"/>
          <w:bCs/>
          <w:sz w:val="28"/>
          <w:szCs w:val="28"/>
          <w:lang w:eastAsia="ru-RU"/>
        </w:rPr>
        <w:t>25 713,9</w:t>
      </w:r>
      <w:r w:rsidRPr="00FD7B0B">
        <w:rPr>
          <w:rFonts w:ascii="Times New Roman" w:eastAsia="Times New Roman" w:hAnsi="Times New Roman" w:cs="Times New Roman"/>
          <w:sz w:val="28"/>
          <w:szCs w:val="28"/>
          <w:lang w:eastAsia="ru-RU"/>
        </w:rPr>
        <w:t xml:space="preserve"> млн.руб., внебюджетных источников – 329,9 млн.руб.</w:t>
      </w:r>
    </w:p>
    <w:p w14:paraId="1FC5E685" w14:textId="6DD14224"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Изменения в течение 2024 года в ГП № 02 не вносились. В разрезе структурных элементов </w:t>
      </w:r>
      <w:r w:rsidRPr="00FD7B0B">
        <w:rPr>
          <w:rFonts w:ascii="Times New Roman" w:eastAsia="Times New Roman" w:hAnsi="Times New Roman" w:cs="Times New Roman"/>
          <w:bCs/>
          <w:sz w:val="28"/>
          <w:szCs w:val="28"/>
          <w:lang w:eastAsia="ru-RU"/>
        </w:rPr>
        <w:t>ГП № 02 на 2024 год п</w:t>
      </w:r>
      <w:r w:rsidRPr="00FD7B0B">
        <w:rPr>
          <w:rFonts w:ascii="Times New Roman" w:eastAsia="Times New Roman" w:hAnsi="Times New Roman" w:cs="Times New Roman"/>
          <w:sz w:val="28"/>
          <w:szCs w:val="28"/>
          <w:lang w:eastAsia="ru-RU"/>
        </w:rPr>
        <w:t xml:space="preserve">редставлена в таблице </w:t>
      </w:r>
      <w:r w:rsidR="001C09FE" w:rsidRPr="00FD7B0B">
        <w:rPr>
          <w:rFonts w:ascii="Times New Roman" w:eastAsia="Times New Roman" w:hAnsi="Times New Roman" w:cs="Times New Roman"/>
          <w:sz w:val="28"/>
          <w:szCs w:val="28"/>
          <w:lang w:eastAsia="ru-RU"/>
        </w:rPr>
        <w:t>89</w:t>
      </w:r>
      <w:r w:rsidRPr="00FD7B0B">
        <w:rPr>
          <w:rFonts w:ascii="Times New Roman" w:eastAsia="Times New Roman" w:hAnsi="Times New Roman" w:cs="Times New Roman"/>
          <w:sz w:val="28"/>
          <w:szCs w:val="28"/>
          <w:lang w:eastAsia="ru-RU"/>
        </w:rPr>
        <w:t>.</w:t>
      </w:r>
    </w:p>
    <w:p w14:paraId="062942FA" w14:textId="77777777" w:rsidR="00632913" w:rsidRPr="00FD7B0B" w:rsidRDefault="00632913" w:rsidP="00632913">
      <w:pPr>
        <w:spacing w:after="0" w:line="240" w:lineRule="auto"/>
        <w:ind w:firstLine="851"/>
        <w:contextualSpacing/>
        <w:jc w:val="both"/>
        <w:rPr>
          <w:rFonts w:ascii="Times New Roman" w:eastAsia="Times New Roman" w:hAnsi="Times New Roman" w:cs="Times New Roman"/>
          <w:sz w:val="28"/>
          <w:szCs w:val="28"/>
          <w:lang w:eastAsia="ru-RU"/>
        </w:rPr>
      </w:pPr>
    </w:p>
    <w:p w14:paraId="7A52D644" w14:textId="672A9A58" w:rsidR="00632913" w:rsidRPr="00FD7B0B" w:rsidRDefault="00632913" w:rsidP="00632913">
      <w:pPr>
        <w:spacing w:after="0" w:line="240" w:lineRule="auto"/>
        <w:rPr>
          <w:rFonts w:ascii="Times New Roman" w:eastAsia="Times New Roman" w:hAnsi="Times New Roman" w:cs="Times New Roman"/>
          <w:bCs/>
          <w:sz w:val="24"/>
          <w:szCs w:val="24"/>
        </w:rPr>
      </w:pPr>
      <w:r w:rsidRPr="00FD7B0B">
        <w:rPr>
          <w:rFonts w:ascii="Times New Roman" w:eastAsia="Times New Roman" w:hAnsi="Times New Roman" w:cs="Times New Roman"/>
          <w:bCs/>
          <w:sz w:val="24"/>
          <w:szCs w:val="24"/>
        </w:rPr>
        <w:t xml:space="preserve">Таблица </w:t>
      </w:r>
      <w:r w:rsidRPr="00FD7B0B">
        <w:rPr>
          <w:rFonts w:ascii="Times New Roman" w:eastAsia="Times New Roman" w:hAnsi="Times New Roman" w:cs="Times New Roman"/>
          <w:bCs/>
          <w:sz w:val="24"/>
          <w:szCs w:val="24"/>
        </w:rPr>
        <w:fldChar w:fldCharType="begin"/>
      </w:r>
      <w:r w:rsidRPr="00FD7B0B">
        <w:rPr>
          <w:rFonts w:ascii="Times New Roman" w:eastAsia="Times New Roman" w:hAnsi="Times New Roman" w:cs="Times New Roman"/>
          <w:bCs/>
          <w:sz w:val="24"/>
          <w:szCs w:val="24"/>
        </w:rPr>
        <w:instrText xml:space="preserve"> SEQ Таблица \* ARABIC </w:instrText>
      </w:r>
      <w:r w:rsidRPr="00FD7B0B">
        <w:rPr>
          <w:rFonts w:ascii="Times New Roman" w:eastAsia="Times New Roman" w:hAnsi="Times New Roman" w:cs="Times New Roman"/>
          <w:bCs/>
          <w:sz w:val="24"/>
          <w:szCs w:val="24"/>
        </w:rPr>
        <w:fldChar w:fldCharType="separate"/>
      </w:r>
      <w:r w:rsidR="002959CD" w:rsidRPr="00FD7B0B">
        <w:rPr>
          <w:rFonts w:ascii="Times New Roman" w:eastAsia="Times New Roman" w:hAnsi="Times New Roman" w:cs="Times New Roman"/>
          <w:bCs/>
          <w:noProof/>
          <w:sz w:val="24"/>
          <w:szCs w:val="24"/>
        </w:rPr>
        <w:t>89</w:t>
      </w:r>
      <w:r w:rsidRPr="00FD7B0B">
        <w:rPr>
          <w:rFonts w:ascii="Times New Roman" w:eastAsia="Times New Roman" w:hAnsi="Times New Roman" w:cs="Times New Roman"/>
          <w:bCs/>
          <w:sz w:val="24"/>
          <w:szCs w:val="24"/>
        </w:rPr>
        <w:fldChar w:fldCharType="end"/>
      </w:r>
      <w:r w:rsidRPr="00FD7B0B">
        <w:rPr>
          <w:rFonts w:ascii="Times New Roman" w:eastAsia="Times New Roman" w:hAnsi="Times New Roman" w:cs="Times New Roman"/>
          <w:bCs/>
          <w:sz w:val="24"/>
          <w:szCs w:val="24"/>
        </w:rPr>
        <w:t>. ГП № 02 на 2024 год в разрезе структурных элементов и источников финансирования, млн.руб.</w:t>
      </w:r>
    </w:p>
    <w:tbl>
      <w:tblPr>
        <w:tblW w:w="966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62" w:type="dxa"/>
          <w:right w:w="62" w:type="dxa"/>
        </w:tblCellMar>
        <w:tblLook w:val="0000" w:firstRow="0" w:lastRow="0" w:firstColumn="0" w:lastColumn="0" w:noHBand="0" w:noVBand="0"/>
      </w:tblPr>
      <w:tblGrid>
        <w:gridCol w:w="8065"/>
        <w:gridCol w:w="1604"/>
      </w:tblGrid>
      <w:tr w:rsidR="00FD7B0B" w:rsidRPr="00FD7B0B" w14:paraId="2C1C79C0" w14:textId="77777777" w:rsidTr="00632913">
        <w:trPr>
          <w:trHeight w:val="283"/>
        </w:trPr>
        <w:tc>
          <w:tcPr>
            <w:tcW w:w="8065" w:type="dxa"/>
            <w:tcMar>
              <w:top w:w="0" w:type="dxa"/>
              <w:bottom w:w="0" w:type="dxa"/>
            </w:tcMar>
            <w:vAlign w:val="bottom"/>
          </w:tcPr>
          <w:p w14:paraId="56F2F68C" w14:textId="77777777" w:rsidR="00632913" w:rsidRPr="00FD7B0B" w:rsidRDefault="00632913" w:rsidP="00632913">
            <w:pPr>
              <w:spacing w:after="0" w:line="240" w:lineRule="auto"/>
              <w:jc w:val="center"/>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Наименование структурного элемента/ источник финансового обеспечения</w:t>
            </w:r>
          </w:p>
        </w:tc>
        <w:tc>
          <w:tcPr>
            <w:tcW w:w="1604" w:type="dxa"/>
            <w:vAlign w:val="bottom"/>
          </w:tcPr>
          <w:p w14:paraId="41E93ED6" w14:textId="77777777" w:rsidR="00632913" w:rsidRPr="00FD7B0B" w:rsidRDefault="00632913" w:rsidP="00632913">
            <w:pPr>
              <w:spacing w:after="0" w:line="240" w:lineRule="auto"/>
              <w:jc w:val="center"/>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2024 год</w:t>
            </w:r>
          </w:p>
        </w:tc>
      </w:tr>
      <w:tr w:rsidR="00FD7B0B" w:rsidRPr="00FD7B0B" w14:paraId="6CC5019C" w14:textId="77777777" w:rsidTr="00632913">
        <w:trPr>
          <w:trHeight w:hRule="exact" w:val="255"/>
        </w:trPr>
        <w:tc>
          <w:tcPr>
            <w:tcW w:w="8065" w:type="dxa"/>
            <w:tcMar>
              <w:top w:w="0" w:type="dxa"/>
              <w:bottom w:w="0" w:type="dxa"/>
            </w:tcMar>
            <w:vAlign w:val="bottom"/>
          </w:tcPr>
          <w:p w14:paraId="5B7784B4" w14:textId="77777777" w:rsidR="00632913" w:rsidRPr="00FD7B0B" w:rsidRDefault="00632913" w:rsidP="00632913">
            <w:pPr>
              <w:spacing w:after="0" w:line="240" w:lineRule="auto"/>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Государственная программа (всего), в том числе:</w:t>
            </w:r>
          </w:p>
        </w:tc>
        <w:tc>
          <w:tcPr>
            <w:tcW w:w="1604" w:type="dxa"/>
            <w:vAlign w:val="bottom"/>
          </w:tcPr>
          <w:p w14:paraId="132AD1F3"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35 528,3</w:t>
            </w:r>
          </w:p>
        </w:tc>
      </w:tr>
      <w:tr w:rsidR="00FD7B0B" w:rsidRPr="00FD7B0B" w14:paraId="3D2200A2" w14:textId="77777777" w:rsidTr="00632913">
        <w:trPr>
          <w:trHeight w:hRule="exact" w:val="255"/>
        </w:trPr>
        <w:tc>
          <w:tcPr>
            <w:tcW w:w="8065" w:type="dxa"/>
            <w:tcMar>
              <w:top w:w="0" w:type="dxa"/>
              <w:bottom w:w="0" w:type="dxa"/>
            </w:tcMar>
            <w:vAlign w:val="bottom"/>
          </w:tcPr>
          <w:p w14:paraId="5CDBAF90"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областной бюджет</w:t>
            </w:r>
          </w:p>
        </w:tc>
        <w:tc>
          <w:tcPr>
            <w:tcW w:w="1604" w:type="dxa"/>
            <w:vAlign w:val="bottom"/>
          </w:tcPr>
          <w:p w14:paraId="72EB04BF"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35 154,1</w:t>
            </w:r>
          </w:p>
        </w:tc>
      </w:tr>
      <w:tr w:rsidR="00FD7B0B" w:rsidRPr="00FD7B0B" w14:paraId="7ABC2607" w14:textId="77777777" w:rsidTr="00632913">
        <w:trPr>
          <w:trHeight w:hRule="exact" w:val="255"/>
        </w:trPr>
        <w:tc>
          <w:tcPr>
            <w:tcW w:w="8065" w:type="dxa"/>
            <w:tcMar>
              <w:top w:w="0" w:type="dxa"/>
              <w:bottom w:w="0" w:type="dxa"/>
            </w:tcMar>
            <w:vAlign w:val="bottom"/>
          </w:tcPr>
          <w:p w14:paraId="5C7F1A65"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консолидированные бюджеты муниципальных образований Архангельской области</w:t>
            </w:r>
          </w:p>
        </w:tc>
        <w:tc>
          <w:tcPr>
            <w:tcW w:w="1604" w:type="dxa"/>
            <w:vAlign w:val="bottom"/>
          </w:tcPr>
          <w:p w14:paraId="132482D7"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25 713,9</w:t>
            </w:r>
          </w:p>
        </w:tc>
      </w:tr>
      <w:tr w:rsidR="00FD7B0B" w:rsidRPr="00FD7B0B" w14:paraId="42CF40BA" w14:textId="77777777" w:rsidTr="00632913">
        <w:trPr>
          <w:trHeight w:hRule="exact" w:val="255"/>
        </w:trPr>
        <w:tc>
          <w:tcPr>
            <w:tcW w:w="8065" w:type="dxa"/>
            <w:tcMar>
              <w:top w:w="0" w:type="dxa"/>
              <w:bottom w:w="0" w:type="dxa"/>
            </w:tcMar>
            <w:vAlign w:val="bottom"/>
          </w:tcPr>
          <w:p w14:paraId="1F0BD607"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внебюджетные источники</w:t>
            </w:r>
          </w:p>
        </w:tc>
        <w:tc>
          <w:tcPr>
            <w:tcW w:w="1604" w:type="dxa"/>
            <w:vAlign w:val="bottom"/>
          </w:tcPr>
          <w:p w14:paraId="241E8B35"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329,9</w:t>
            </w:r>
          </w:p>
        </w:tc>
      </w:tr>
      <w:tr w:rsidR="00FD7B0B" w:rsidRPr="00FD7B0B" w14:paraId="2BA144BA" w14:textId="77777777" w:rsidTr="00632913">
        <w:trPr>
          <w:trHeight w:hRule="exact" w:val="255"/>
        </w:trPr>
        <w:tc>
          <w:tcPr>
            <w:tcW w:w="8065" w:type="dxa"/>
            <w:tcMar>
              <w:top w:w="0" w:type="dxa"/>
              <w:bottom w:w="0" w:type="dxa"/>
            </w:tcMar>
            <w:vAlign w:val="bottom"/>
          </w:tcPr>
          <w:p w14:paraId="23F2FC8F" w14:textId="77777777" w:rsidR="00632913" w:rsidRPr="00FD7B0B" w:rsidRDefault="00632913" w:rsidP="00632913">
            <w:pPr>
              <w:spacing w:after="0" w:line="240" w:lineRule="auto"/>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Региональный проект "Современная школа (Архангельская область)", в том числе:</w:t>
            </w:r>
          </w:p>
        </w:tc>
        <w:tc>
          <w:tcPr>
            <w:tcW w:w="1604" w:type="dxa"/>
            <w:vAlign w:val="bottom"/>
          </w:tcPr>
          <w:p w14:paraId="3BCFBD63"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2 326,2</w:t>
            </w:r>
          </w:p>
        </w:tc>
      </w:tr>
      <w:tr w:rsidR="00FD7B0B" w:rsidRPr="00FD7B0B" w14:paraId="239AF149" w14:textId="77777777" w:rsidTr="00632913">
        <w:trPr>
          <w:trHeight w:hRule="exact" w:val="255"/>
        </w:trPr>
        <w:tc>
          <w:tcPr>
            <w:tcW w:w="8065" w:type="dxa"/>
            <w:tcMar>
              <w:top w:w="0" w:type="dxa"/>
              <w:bottom w:w="0" w:type="dxa"/>
            </w:tcMar>
            <w:vAlign w:val="bottom"/>
          </w:tcPr>
          <w:p w14:paraId="64D64B2A"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областной бюджет</w:t>
            </w:r>
          </w:p>
        </w:tc>
        <w:tc>
          <w:tcPr>
            <w:tcW w:w="1604" w:type="dxa"/>
            <w:vAlign w:val="bottom"/>
          </w:tcPr>
          <w:p w14:paraId="0C0E81EC"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2 326,1</w:t>
            </w:r>
          </w:p>
        </w:tc>
      </w:tr>
      <w:tr w:rsidR="00FD7B0B" w:rsidRPr="00FD7B0B" w14:paraId="7808EAF7" w14:textId="77777777" w:rsidTr="00632913">
        <w:trPr>
          <w:trHeight w:hRule="exact" w:val="255"/>
        </w:trPr>
        <w:tc>
          <w:tcPr>
            <w:tcW w:w="8065" w:type="dxa"/>
            <w:tcMar>
              <w:top w:w="0" w:type="dxa"/>
              <w:bottom w:w="0" w:type="dxa"/>
            </w:tcMar>
            <w:vAlign w:val="bottom"/>
          </w:tcPr>
          <w:p w14:paraId="0A2739FE"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консолидированные бюджеты муниципальных образований Архангельской области</w:t>
            </w:r>
          </w:p>
        </w:tc>
        <w:tc>
          <w:tcPr>
            <w:tcW w:w="1604" w:type="dxa"/>
            <w:vAlign w:val="bottom"/>
          </w:tcPr>
          <w:p w14:paraId="1DE868CB"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86,6</w:t>
            </w:r>
          </w:p>
        </w:tc>
      </w:tr>
      <w:tr w:rsidR="00FD7B0B" w:rsidRPr="00FD7B0B" w14:paraId="07E0F1DB" w14:textId="77777777" w:rsidTr="00632913">
        <w:trPr>
          <w:trHeight w:hRule="exact" w:val="255"/>
        </w:trPr>
        <w:tc>
          <w:tcPr>
            <w:tcW w:w="8065" w:type="dxa"/>
            <w:tcMar>
              <w:top w:w="0" w:type="dxa"/>
              <w:bottom w:w="0" w:type="dxa"/>
            </w:tcMar>
            <w:vAlign w:val="bottom"/>
          </w:tcPr>
          <w:p w14:paraId="092B00EB" w14:textId="77777777" w:rsidR="00632913" w:rsidRPr="00FD7B0B" w:rsidRDefault="00632913" w:rsidP="00632913">
            <w:pPr>
              <w:spacing w:after="0" w:line="240" w:lineRule="auto"/>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Региональный проект "Успех каждого ребенка", в том числе:</w:t>
            </w:r>
          </w:p>
        </w:tc>
        <w:tc>
          <w:tcPr>
            <w:tcW w:w="1604" w:type="dxa"/>
            <w:vAlign w:val="bottom"/>
          </w:tcPr>
          <w:p w14:paraId="51CEDC29"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100,7</w:t>
            </w:r>
          </w:p>
        </w:tc>
      </w:tr>
      <w:tr w:rsidR="00FD7B0B" w:rsidRPr="00FD7B0B" w14:paraId="373A7489" w14:textId="77777777" w:rsidTr="00632913">
        <w:trPr>
          <w:trHeight w:hRule="exact" w:val="255"/>
        </w:trPr>
        <w:tc>
          <w:tcPr>
            <w:tcW w:w="8065" w:type="dxa"/>
            <w:tcMar>
              <w:top w:w="0" w:type="dxa"/>
              <w:bottom w:w="0" w:type="dxa"/>
            </w:tcMar>
            <w:vAlign w:val="bottom"/>
          </w:tcPr>
          <w:p w14:paraId="5BAB13AE"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областной бюджет</w:t>
            </w:r>
          </w:p>
        </w:tc>
        <w:tc>
          <w:tcPr>
            <w:tcW w:w="1604" w:type="dxa"/>
            <w:vAlign w:val="bottom"/>
          </w:tcPr>
          <w:p w14:paraId="4D1EF219"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100,7</w:t>
            </w:r>
          </w:p>
        </w:tc>
      </w:tr>
      <w:tr w:rsidR="00FD7B0B" w:rsidRPr="00FD7B0B" w14:paraId="1FE20348" w14:textId="77777777" w:rsidTr="00632913">
        <w:trPr>
          <w:trHeight w:hRule="exact" w:val="255"/>
        </w:trPr>
        <w:tc>
          <w:tcPr>
            <w:tcW w:w="8065" w:type="dxa"/>
            <w:tcMar>
              <w:top w:w="0" w:type="dxa"/>
              <w:bottom w:w="0" w:type="dxa"/>
            </w:tcMar>
            <w:vAlign w:val="bottom"/>
          </w:tcPr>
          <w:p w14:paraId="5895823C"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консолидированные бюджеты муниципальных образований Архангельской области</w:t>
            </w:r>
          </w:p>
        </w:tc>
        <w:tc>
          <w:tcPr>
            <w:tcW w:w="1604" w:type="dxa"/>
            <w:vAlign w:val="bottom"/>
          </w:tcPr>
          <w:p w14:paraId="7AB22929"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64,9</w:t>
            </w:r>
          </w:p>
        </w:tc>
      </w:tr>
      <w:tr w:rsidR="00FD7B0B" w:rsidRPr="00FD7B0B" w14:paraId="5FF573A3" w14:textId="77777777" w:rsidTr="00632913">
        <w:trPr>
          <w:trHeight w:hRule="exact" w:val="255"/>
        </w:trPr>
        <w:tc>
          <w:tcPr>
            <w:tcW w:w="8065" w:type="dxa"/>
            <w:tcMar>
              <w:top w:w="0" w:type="dxa"/>
              <w:bottom w:w="0" w:type="dxa"/>
            </w:tcMar>
            <w:vAlign w:val="bottom"/>
          </w:tcPr>
          <w:p w14:paraId="3CA49E86" w14:textId="77777777" w:rsidR="00632913" w:rsidRPr="00FD7B0B" w:rsidRDefault="00632913" w:rsidP="00632913">
            <w:pPr>
              <w:spacing w:after="0" w:line="240" w:lineRule="auto"/>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Региональный проект "Цифровая образовательная среда", в том числе:</w:t>
            </w:r>
          </w:p>
        </w:tc>
        <w:tc>
          <w:tcPr>
            <w:tcW w:w="1604" w:type="dxa"/>
            <w:vAlign w:val="bottom"/>
          </w:tcPr>
          <w:p w14:paraId="12624B75"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156,3</w:t>
            </w:r>
          </w:p>
        </w:tc>
      </w:tr>
      <w:tr w:rsidR="00FD7B0B" w:rsidRPr="00FD7B0B" w14:paraId="5BB706A1" w14:textId="77777777" w:rsidTr="00632913">
        <w:trPr>
          <w:trHeight w:hRule="exact" w:val="255"/>
        </w:trPr>
        <w:tc>
          <w:tcPr>
            <w:tcW w:w="8065" w:type="dxa"/>
            <w:tcMar>
              <w:top w:w="0" w:type="dxa"/>
              <w:bottom w:w="0" w:type="dxa"/>
            </w:tcMar>
            <w:vAlign w:val="bottom"/>
          </w:tcPr>
          <w:p w14:paraId="66620D87"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областной бюджет</w:t>
            </w:r>
          </w:p>
        </w:tc>
        <w:tc>
          <w:tcPr>
            <w:tcW w:w="1604" w:type="dxa"/>
            <w:vAlign w:val="bottom"/>
          </w:tcPr>
          <w:p w14:paraId="5AADE1A9"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156,3</w:t>
            </w:r>
          </w:p>
        </w:tc>
      </w:tr>
      <w:tr w:rsidR="00FD7B0B" w:rsidRPr="00FD7B0B" w14:paraId="492D6B9F" w14:textId="77777777" w:rsidTr="00632913">
        <w:trPr>
          <w:trHeight w:hRule="exact" w:val="255"/>
        </w:trPr>
        <w:tc>
          <w:tcPr>
            <w:tcW w:w="8065" w:type="dxa"/>
            <w:tcMar>
              <w:top w:w="0" w:type="dxa"/>
              <w:bottom w:w="0" w:type="dxa"/>
            </w:tcMar>
            <w:vAlign w:val="bottom"/>
          </w:tcPr>
          <w:p w14:paraId="17864075" w14:textId="77777777" w:rsidR="00632913" w:rsidRPr="00FD7B0B" w:rsidRDefault="00632913" w:rsidP="00632913">
            <w:pPr>
              <w:spacing w:after="0" w:line="240" w:lineRule="auto"/>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Региональный проект "Социальная активность (Архангельская область)", в том числе:</w:t>
            </w:r>
          </w:p>
        </w:tc>
        <w:tc>
          <w:tcPr>
            <w:tcW w:w="1604" w:type="dxa"/>
            <w:vAlign w:val="bottom"/>
          </w:tcPr>
          <w:p w14:paraId="1463868C"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10,6</w:t>
            </w:r>
          </w:p>
        </w:tc>
      </w:tr>
      <w:tr w:rsidR="00FD7B0B" w:rsidRPr="00FD7B0B" w14:paraId="77E522B7" w14:textId="77777777" w:rsidTr="00632913">
        <w:trPr>
          <w:trHeight w:hRule="exact" w:val="255"/>
        </w:trPr>
        <w:tc>
          <w:tcPr>
            <w:tcW w:w="8065" w:type="dxa"/>
            <w:tcMar>
              <w:top w:w="0" w:type="dxa"/>
              <w:bottom w:w="0" w:type="dxa"/>
            </w:tcMar>
            <w:vAlign w:val="bottom"/>
          </w:tcPr>
          <w:p w14:paraId="6E868687"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областной бюджет</w:t>
            </w:r>
          </w:p>
        </w:tc>
        <w:tc>
          <w:tcPr>
            <w:tcW w:w="1604" w:type="dxa"/>
            <w:vAlign w:val="bottom"/>
          </w:tcPr>
          <w:p w14:paraId="39E3EC18"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10,6</w:t>
            </w:r>
          </w:p>
        </w:tc>
      </w:tr>
      <w:tr w:rsidR="00FD7B0B" w:rsidRPr="00FD7B0B" w14:paraId="44CA5C5B" w14:textId="77777777" w:rsidTr="00632913">
        <w:trPr>
          <w:trHeight w:hRule="exact" w:val="255"/>
        </w:trPr>
        <w:tc>
          <w:tcPr>
            <w:tcW w:w="8065" w:type="dxa"/>
            <w:tcMar>
              <w:top w:w="0" w:type="dxa"/>
              <w:bottom w:w="0" w:type="dxa"/>
            </w:tcMar>
            <w:vAlign w:val="bottom"/>
          </w:tcPr>
          <w:p w14:paraId="2C71CA0E" w14:textId="40C2A8F7" w:rsidR="00632913" w:rsidRPr="00FD7B0B" w:rsidRDefault="00632913" w:rsidP="00597643">
            <w:pPr>
              <w:spacing w:after="0" w:line="240" w:lineRule="auto"/>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 xml:space="preserve">Региональный проект </w:t>
            </w:r>
            <w:r w:rsidR="00597643" w:rsidRPr="00FD7B0B">
              <w:rPr>
                <w:rFonts w:ascii="Times New Roman" w:eastAsia="Times New Roman" w:hAnsi="Times New Roman" w:cs="Times New Roman"/>
                <w:bCs/>
                <w:sz w:val="20"/>
                <w:szCs w:val="20"/>
              </w:rPr>
              <w:t>«</w:t>
            </w:r>
            <w:r w:rsidRPr="00FD7B0B">
              <w:rPr>
                <w:rFonts w:ascii="Times New Roman" w:eastAsia="Times New Roman" w:hAnsi="Times New Roman" w:cs="Times New Roman"/>
                <w:bCs/>
                <w:sz w:val="20"/>
                <w:szCs w:val="20"/>
              </w:rPr>
              <w:t>Профессионалитет</w:t>
            </w:r>
            <w:r w:rsidR="00597643" w:rsidRPr="00FD7B0B">
              <w:rPr>
                <w:rFonts w:ascii="Times New Roman" w:eastAsia="Times New Roman" w:hAnsi="Times New Roman" w:cs="Times New Roman"/>
                <w:bCs/>
                <w:sz w:val="20"/>
                <w:szCs w:val="20"/>
              </w:rPr>
              <w:t>»</w:t>
            </w:r>
            <w:r w:rsidRPr="00FD7B0B">
              <w:rPr>
                <w:rFonts w:ascii="Times New Roman" w:eastAsia="Times New Roman" w:hAnsi="Times New Roman" w:cs="Times New Roman"/>
                <w:bCs/>
                <w:sz w:val="20"/>
                <w:szCs w:val="20"/>
              </w:rPr>
              <w:t>, в том числе:</w:t>
            </w:r>
          </w:p>
        </w:tc>
        <w:tc>
          <w:tcPr>
            <w:tcW w:w="1604" w:type="dxa"/>
            <w:vAlign w:val="bottom"/>
          </w:tcPr>
          <w:p w14:paraId="2461536E"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137,3</w:t>
            </w:r>
          </w:p>
        </w:tc>
      </w:tr>
      <w:tr w:rsidR="00FD7B0B" w:rsidRPr="00FD7B0B" w14:paraId="44852BCE" w14:textId="77777777" w:rsidTr="00632913">
        <w:trPr>
          <w:trHeight w:hRule="exact" w:val="255"/>
        </w:trPr>
        <w:tc>
          <w:tcPr>
            <w:tcW w:w="8065" w:type="dxa"/>
            <w:tcMar>
              <w:top w:w="0" w:type="dxa"/>
              <w:bottom w:w="0" w:type="dxa"/>
            </w:tcMar>
            <w:vAlign w:val="bottom"/>
          </w:tcPr>
          <w:p w14:paraId="2245EE25"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областной бюджет</w:t>
            </w:r>
          </w:p>
        </w:tc>
        <w:tc>
          <w:tcPr>
            <w:tcW w:w="1604" w:type="dxa"/>
            <w:vAlign w:val="bottom"/>
          </w:tcPr>
          <w:p w14:paraId="6FCDC82C"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122,3</w:t>
            </w:r>
          </w:p>
        </w:tc>
      </w:tr>
      <w:tr w:rsidR="00FD7B0B" w:rsidRPr="00FD7B0B" w14:paraId="5BAE2F46" w14:textId="77777777" w:rsidTr="00632913">
        <w:trPr>
          <w:trHeight w:hRule="exact" w:val="255"/>
        </w:trPr>
        <w:tc>
          <w:tcPr>
            <w:tcW w:w="8065" w:type="dxa"/>
            <w:tcMar>
              <w:top w:w="0" w:type="dxa"/>
              <w:bottom w:w="0" w:type="dxa"/>
            </w:tcMar>
            <w:vAlign w:val="bottom"/>
          </w:tcPr>
          <w:p w14:paraId="43EE665C" w14:textId="77777777" w:rsidR="00632913" w:rsidRPr="00FD7B0B" w:rsidRDefault="00632913" w:rsidP="00632913">
            <w:pPr>
              <w:spacing w:after="0" w:line="240" w:lineRule="auto"/>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Региональный проект "Модернизация школьных систем образования", в том числе:</w:t>
            </w:r>
          </w:p>
        </w:tc>
        <w:tc>
          <w:tcPr>
            <w:tcW w:w="1604" w:type="dxa"/>
            <w:vAlign w:val="bottom"/>
          </w:tcPr>
          <w:p w14:paraId="2BD9C02C"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614,7</w:t>
            </w:r>
          </w:p>
        </w:tc>
      </w:tr>
      <w:tr w:rsidR="00FD7B0B" w:rsidRPr="00FD7B0B" w14:paraId="3C4765D4" w14:textId="77777777" w:rsidTr="00632913">
        <w:trPr>
          <w:trHeight w:hRule="exact" w:val="255"/>
        </w:trPr>
        <w:tc>
          <w:tcPr>
            <w:tcW w:w="8065" w:type="dxa"/>
            <w:tcMar>
              <w:top w:w="0" w:type="dxa"/>
              <w:bottom w:w="0" w:type="dxa"/>
            </w:tcMar>
            <w:vAlign w:val="bottom"/>
          </w:tcPr>
          <w:p w14:paraId="445881B9"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областной бюджет</w:t>
            </w:r>
          </w:p>
        </w:tc>
        <w:tc>
          <w:tcPr>
            <w:tcW w:w="1604" w:type="dxa"/>
            <w:vAlign w:val="bottom"/>
          </w:tcPr>
          <w:p w14:paraId="12756243"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614,7</w:t>
            </w:r>
          </w:p>
        </w:tc>
      </w:tr>
      <w:tr w:rsidR="00FD7B0B" w:rsidRPr="00FD7B0B" w14:paraId="562ED099" w14:textId="77777777" w:rsidTr="00632913">
        <w:trPr>
          <w:trHeight w:hRule="exact" w:val="255"/>
        </w:trPr>
        <w:tc>
          <w:tcPr>
            <w:tcW w:w="8065" w:type="dxa"/>
            <w:tcMar>
              <w:top w:w="0" w:type="dxa"/>
              <w:bottom w:w="0" w:type="dxa"/>
            </w:tcMar>
            <w:vAlign w:val="bottom"/>
          </w:tcPr>
          <w:p w14:paraId="1A1A466B"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консолидированные бюджеты муниципальных образований Архангельской области</w:t>
            </w:r>
          </w:p>
        </w:tc>
        <w:tc>
          <w:tcPr>
            <w:tcW w:w="1604" w:type="dxa"/>
            <w:vAlign w:val="bottom"/>
          </w:tcPr>
          <w:p w14:paraId="7D0C2686"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566,7</w:t>
            </w:r>
          </w:p>
        </w:tc>
      </w:tr>
      <w:tr w:rsidR="00FD7B0B" w:rsidRPr="00FD7B0B" w14:paraId="0828326F" w14:textId="77777777" w:rsidTr="00632913">
        <w:trPr>
          <w:trHeight w:val="283"/>
        </w:trPr>
        <w:tc>
          <w:tcPr>
            <w:tcW w:w="8065" w:type="dxa"/>
            <w:tcMar>
              <w:top w:w="0" w:type="dxa"/>
              <w:bottom w:w="0" w:type="dxa"/>
            </w:tcMar>
            <w:vAlign w:val="bottom"/>
          </w:tcPr>
          <w:p w14:paraId="5D056967" w14:textId="77777777" w:rsidR="00632913" w:rsidRPr="00FD7B0B" w:rsidRDefault="00632913" w:rsidP="00632913">
            <w:pPr>
              <w:spacing w:after="0" w:line="240" w:lineRule="auto"/>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Комплекс процессных мероприятий "Развитие образования Архангельской области", в том числе:</w:t>
            </w:r>
          </w:p>
        </w:tc>
        <w:tc>
          <w:tcPr>
            <w:tcW w:w="1604" w:type="dxa"/>
            <w:vAlign w:val="bottom"/>
          </w:tcPr>
          <w:p w14:paraId="33A97CDE"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32 182,3</w:t>
            </w:r>
          </w:p>
        </w:tc>
      </w:tr>
      <w:tr w:rsidR="00FD7B0B" w:rsidRPr="00FD7B0B" w14:paraId="1EC7ED8A" w14:textId="77777777" w:rsidTr="00632913">
        <w:trPr>
          <w:trHeight w:hRule="exact" w:val="255"/>
        </w:trPr>
        <w:tc>
          <w:tcPr>
            <w:tcW w:w="8065" w:type="dxa"/>
            <w:tcMar>
              <w:top w:w="0" w:type="dxa"/>
              <w:bottom w:w="0" w:type="dxa"/>
            </w:tcMar>
            <w:vAlign w:val="bottom"/>
          </w:tcPr>
          <w:p w14:paraId="09238161"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областной бюджет</w:t>
            </w:r>
          </w:p>
        </w:tc>
        <w:tc>
          <w:tcPr>
            <w:tcW w:w="1604" w:type="dxa"/>
            <w:vAlign w:val="bottom"/>
          </w:tcPr>
          <w:p w14:paraId="32270A6E"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31 823,2</w:t>
            </w:r>
          </w:p>
        </w:tc>
      </w:tr>
      <w:tr w:rsidR="00FD7B0B" w:rsidRPr="00FD7B0B" w14:paraId="3FCD4ED3" w14:textId="77777777" w:rsidTr="00632913">
        <w:trPr>
          <w:trHeight w:hRule="exact" w:val="255"/>
        </w:trPr>
        <w:tc>
          <w:tcPr>
            <w:tcW w:w="8065" w:type="dxa"/>
            <w:tcMar>
              <w:top w:w="0" w:type="dxa"/>
              <w:bottom w:w="0" w:type="dxa"/>
            </w:tcMar>
            <w:vAlign w:val="bottom"/>
          </w:tcPr>
          <w:p w14:paraId="76F076DC"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консолидированные бюджеты муниципальных образований Архангельской области</w:t>
            </w:r>
          </w:p>
        </w:tc>
        <w:tc>
          <w:tcPr>
            <w:tcW w:w="1604" w:type="dxa"/>
            <w:vAlign w:val="bottom"/>
          </w:tcPr>
          <w:p w14:paraId="020CCAD0"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24 995,6</w:t>
            </w:r>
          </w:p>
        </w:tc>
      </w:tr>
      <w:tr w:rsidR="00632913" w:rsidRPr="00FD7B0B" w14:paraId="65896E66" w14:textId="77777777" w:rsidTr="00632913">
        <w:trPr>
          <w:trHeight w:hRule="exact" w:val="255"/>
        </w:trPr>
        <w:tc>
          <w:tcPr>
            <w:tcW w:w="8065" w:type="dxa"/>
            <w:tcMar>
              <w:top w:w="0" w:type="dxa"/>
              <w:bottom w:w="0" w:type="dxa"/>
            </w:tcMar>
            <w:vAlign w:val="bottom"/>
          </w:tcPr>
          <w:p w14:paraId="4255D683"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внебюджетные источники</w:t>
            </w:r>
          </w:p>
        </w:tc>
        <w:tc>
          <w:tcPr>
            <w:tcW w:w="1604" w:type="dxa"/>
            <w:vAlign w:val="bottom"/>
          </w:tcPr>
          <w:p w14:paraId="7213329C" w14:textId="77777777" w:rsidR="00632913" w:rsidRPr="00FD7B0B" w:rsidRDefault="00632913" w:rsidP="00632913">
            <w:pPr>
              <w:spacing w:after="0" w:line="240" w:lineRule="auto"/>
              <w:jc w:val="right"/>
              <w:rPr>
                <w:rFonts w:ascii="Times New Roman" w:eastAsia="Times New Roman" w:hAnsi="Times New Roman" w:cs="Times New Roman"/>
                <w:bCs/>
                <w:sz w:val="20"/>
                <w:szCs w:val="20"/>
              </w:rPr>
            </w:pPr>
            <w:r w:rsidRPr="00FD7B0B">
              <w:rPr>
                <w:rFonts w:ascii="Times New Roman" w:eastAsia="Times New Roman" w:hAnsi="Times New Roman" w:cs="Times New Roman"/>
                <w:bCs/>
                <w:sz w:val="20"/>
                <w:szCs w:val="20"/>
              </w:rPr>
              <w:t>314,9</w:t>
            </w:r>
          </w:p>
        </w:tc>
      </w:tr>
    </w:tbl>
    <w:p w14:paraId="645D3644"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p>
    <w:p w14:paraId="66F7A82A" w14:textId="0EBD5825"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Законом «Об областном бюджете» в редакции, действующей на 01.01.2024, расходы на реализацию мероприятий ГП № 02 утверждены в общей сумме </w:t>
      </w:r>
      <w:r w:rsidRPr="00FD7B0B">
        <w:rPr>
          <w:rFonts w:ascii="Times New Roman" w:eastAsia="Times New Roman" w:hAnsi="Times New Roman" w:cs="Times New Roman"/>
          <w:bCs/>
          <w:sz w:val="28"/>
          <w:szCs w:val="28"/>
          <w:lang w:eastAsia="ru-RU"/>
        </w:rPr>
        <w:t>35 634,3</w:t>
      </w:r>
      <w:r w:rsidRPr="00FD7B0B">
        <w:rPr>
          <w:rFonts w:ascii="Times New Roman" w:eastAsia="Times New Roman" w:hAnsi="Times New Roman" w:cs="Times New Roman"/>
          <w:sz w:val="28"/>
          <w:szCs w:val="28"/>
          <w:lang w:eastAsia="ru-RU"/>
        </w:rPr>
        <w:t xml:space="preserve"> </w:t>
      </w:r>
      <w:r w:rsidR="000560EB" w:rsidRPr="00FD7B0B">
        <w:rPr>
          <w:rFonts w:ascii="Times New Roman" w:eastAsia="Times New Roman" w:hAnsi="Times New Roman" w:cs="Times New Roman"/>
          <w:sz w:val="28"/>
          <w:szCs w:val="28"/>
          <w:lang w:eastAsia="ru-RU"/>
        </w:rPr>
        <w:t>млн.руб.</w:t>
      </w:r>
    </w:p>
    <w:p w14:paraId="45FB4ED1" w14:textId="62128AC3"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 xml:space="preserve">В нарушение п. 29 Положения № 793-пп ГП № 02 и ее структурные элементы </w:t>
      </w:r>
      <w:r w:rsidRPr="00FD7B0B">
        <w:rPr>
          <w:rFonts w:ascii="Times New Roman" w:eastAsia="Times New Roman" w:hAnsi="Times New Roman" w:cs="Times New Roman"/>
          <w:bCs/>
          <w:sz w:val="28"/>
          <w:szCs w:val="28"/>
          <w:lang w:eastAsia="ru-RU"/>
        </w:rPr>
        <w:t>в срок до 1 апреля 2024 года</w:t>
      </w:r>
      <w:r w:rsidRPr="00FD7B0B">
        <w:rPr>
          <w:rFonts w:ascii="Times New Roman" w:eastAsia="Times New Roman" w:hAnsi="Times New Roman" w:cs="Times New Roman"/>
          <w:sz w:val="28"/>
          <w:szCs w:val="28"/>
          <w:lang w:eastAsia="ru-RU"/>
        </w:rPr>
        <w:t xml:space="preserve"> не </w:t>
      </w:r>
      <w:r w:rsidRPr="00FD7B0B">
        <w:rPr>
          <w:rFonts w:ascii="Times New Roman" w:eastAsia="Times New Roman" w:hAnsi="Times New Roman" w:cs="Times New Roman"/>
          <w:bCs/>
          <w:sz w:val="28"/>
          <w:szCs w:val="28"/>
          <w:lang w:eastAsia="ru-RU"/>
        </w:rPr>
        <w:t>приведены в соответствие с областным законом об областном бюджете на очередной финансовый год и плановый период.</w:t>
      </w:r>
    </w:p>
    <w:p w14:paraId="550B6F8E" w14:textId="08263C42"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течение отчетного периода областными законами о внесении изменений и дополнений в закон «Об областном бюджете на 2024 год» общая сумма ассигнований на реализацию мероприятий ГП № 02 увеличена на </w:t>
      </w:r>
      <w:r w:rsidRPr="00FD7B0B">
        <w:rPr>
          <w:rFonts w:ascii="Times New Roman" w:eastAsia="Times New Roman" w:hAnsi="Times New Roman" w:cs="Times New Roman"/>
          <w:bCs/>
          <w:sz w:val="28"/>
          <w:szCs w:val="28"/>
          <w:lang w:eastAsia="ru-RU"/>
        </w:rPr>
        <w:t>93,3 </w:t>
      </w:r>
      <w:r w:rsidRPr="00FD7B0B">
        <w:rPr>
          <w:rFonts w:ascii="Times New Roman" w:eastAsia="Times New Roman" w:hAnsi="Times New Roman" w:cs="Times New Roman"/>
          <w:sz w:val="28"/>
          <w:szCs w:val="28"/>
          <w:lang w:eastAsia="ru-RU"/>
        </w:rPr>
        <w:t xml:space="preserve">млн.руб. и на 31.12.2024 составила </w:t>
      </w:r>
      <w:r w:rsidRPr="00FD7B0B">
        <w:rPr>
          <w:rFonts w:ascii="Times New Roman" w:eastAsia="Times New Roman" w:hAnsi="Times New Roman" w:cs="Times New Roman"/>
          <w:bCs/>
          <w:sz w:val="28"/>
          <w:szCs w:val="28"/>
          <w:lang w:eastAsia="ru-RU"/>
        </w:rPr>
        <w:t xml:space="preserve">35 727,6 </w:t>
      </w:r>
      <w:r w:rsidRPr="00FD7B0B">
        <w:rPr>
          <w:rFonts w:ascii="Times New Roman" w:eastAsia="Times New Roman" w:hAnsi="Times New Roman" w:cs="Times New Roman"/>
          <w:sz w:val="28"/>
          <w:szCs w:val="28"/>
          <w:lang w:eastAsia="ru-RU"/>
        </w:rPr>
        <w:t xml:space="preserve">млн.руб. Сведения о внесенных изменениях в разрезе структурных элементов госпрограммы представлены в таблице </w:t>
      </w:r>
      <w:r w:rsidR="008A3946" w:rsidRPr="00FD7B0B">
        <w:rPr>
          <w:rFonts w:ascii="Times New Roman" w:eastAsia="Times New Roman" w:hAnsi="Times New Roman" w:cs="Times New Roman"/>
          <w:sz w:val="28"/>
          <w:szCs w:val="28"/>
          <w:lang w:eastAsia="ru-RU"/>
        </w:rPr>
        <w:t>90</w:t>
      </w:r>
      <w:r w:rsidRPr="00FD7B0B">
        <w:rPr>
          <w:rFonts w:ascii="Times New Roman" w:eastAsia="Times New Roman" w:hAnsi="Times New Roman" w:cs="Times New Roman"/>
          <w:sz w:val="28"/>
          <w:szCs w:val="28"/>
          <w:lang w:eastAsia="ru-RU"/>
        </w:rPr>
        <w:t>.</w:t>
      </w:r>
    </w:p>
    <w:p w14:paraId="32C38D4D" w14:textId="77777777" w:rsidR="00632913" w:rsidRPr="00FD7B0B" w:rsidRDefault="00632913" w:rsidP="00632913">
      <w:pPr>
        <w:spacing w:after="0" w:line="240" w:lineRule="auto"/>
        <w:rPr>
          <w:rFonts w:ascii="Times New Roman" w:eastAsia="Times New Roman" w:hAnsi="Times New Roman" w:cs="Times New Roman"/>
          <w:bCs/>
          <w:sz w:val="24"/>
          <w:szCs w:val="24"/>
        </w:rPr>
      </w:pPr>
    </w:p>
    <w:p w14:paraId="7FE3C327" w14:textId="62DF7EBB" w:rsidR="00632913" w:rsidRPr="00FD7B0B" w:rsidRDefault="00632913" w:rsidP="00421C45">
      <w:pPr>
        <w:spacing w:after="0" w:line="240" w:lineRule="auto"/>
        <w:rPr>
          <w:rFonts w:ascii="Times New Roman" w:eastAsia="Times New Roman" w:hAnsi="Times New Roman" w:cs="Times New Roman"/>
          <w:bCs/>
          <w:sz w:val="24"/>
          <w:szCs w:val="24"/>
        </w:rPr>
      </w:pPr>
      <w:r w:rsidRPr="00FD7B0B">
        <w:rPr>
          <w:rFonts w:ascii="Times New Roman" w:eastAsia="Times New Roman" w:hAnsi="Times New Roman" w:cs="Times New Roman"/>
          <w:bCs/>
          <w:sz w:val="24"/>
          <w:szCs w:val="24"/>
        </w:rPr>
        <w:t xml:space="preserve">Таблица </w:t>
      </w:r>
      <w:r w:rsidRPr="00FD7B0B">
        <w:rPr>
          <w:rFonts w:ascii="Times New Roman" w:eastAsia="Times New Roman" w:hAnsi="Times New Roman" w:cs="Times New Roman"/>
          <w:bCs/>
          <w:sz w:val="24"/>
          <w:szCs w:val="24"/>
        </w:rPr>
        <w:fldChar w:fldCharType="begin"/>
      </w:r>
      <w:r w:rsidRPr="00FD7B0B">
        <w:rPr>
          <w:rFonts w:ascii="Times New Roman" w:eastAsia="Times New Roman" w:hAnsi="Times New Roman" w:cs="Times New Roman"/>
          <w:bCs/>
          <w:sz w:val="24"/>
          <w:szCs w:val="24"/>
        </w:rPr>
        <w:instrText xml:space="preserve"> SEQ Таблица \* ARABIC </w:instrText>
      </w:r>
      <w:r w:rsidRPr="00FD7B0B">
        <w:rPr>
          <w:rFonts w:ascii="Times New Roman" w:eastAsia="Times New Roman" w:hAnsi="Times New Roman" w:cs="Times New Roman"/>
          <w:bCs/>
          <w:sz w:val="24"/>
          <w:szCs w:val="24"/>
        </w:rPr>
        <w:fldChar w:fldCharType="separate"/>
      </w:r>
      <w:r w:rsidR="002959CD" w:rsidRPr="00FD7B0B">
        <w:rPr>
          <w:rFonts w:ascii="Times New Roman" w:eastAsia="Times New Roman" w:hAnsi="Times New Roman" w:cs="Times New Roman"/>
          <w:bCs/>
          <w:noProof/>
          <w:sz w:val="24"/>
          <w:szCs w:val="24"/>
        </w:rPr>
        <w:t>90</w:t>
      </w:r>
      <w:r w:rsidRPr="00FD7B0B">
        <w:rPr>
          <w:rFonts w:ascii="Times New Roman" w:eastAsia="Times New Roman" w:hAnsi="Times New Roman" w:cs="Times New Roman"/>
          <w:bCs/>
          <w:sz w:val="24"/>
          <w:szCs w:val="24"/>
        </w:rPr>
        <w:fldChar w:fldCharType="end"/>
      </w:r>
      <w:r w:rsidRPr="00FD7B0B">
        <w:rPr>
          <w:rFonts w:ascii="Times New Roman" w:eastAsia="Times New Roman" w:hAnsi="Times New Roman" w:cs="Times New Roman"/>
          <w:bCs/>
          <w:sz w:val="24"/>
          <w:szCs w:val="24"/>
        </w:rPr>
        <w:t xml:space="preserve">. Показатели областного закона «Об областном бюджете» в части бюджетных ассигнований на реализацию ГП № 02 в разрезе </w:t>
      </w:r>
      <w:r w:rsidR="00421C45" w:rsidRPr="00FD7B0B">
        <w:rPr>
          <w:rFonts w:ascii="Times New Roman" w:eastAsia="Times New Roman" w:hAnsi="Times New Roman" w:cs="Times New Roman"/>
          <w:bCs/>
          <w:sz w:val="24"/>
          <w:szCs w:val="24"/>
        </w:rPr>
        <w:t>структурных элементов</w:t>
      </w:r>
    </w:p>
    <w:tbl>
      <w:tblPr>
        <w:tblStyle w:val="a7"/>
        <w:tblW w:w="962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059"/>
        <w:gridCol w:w="1424"/>
        <w:gridCol w:w="1566"/>
        <w:gridCol w:w="878"/>
        <w:gridCol w:w="701"/>
      </w:tblGrid>
      <w:tr w:rsidR="00FD7B0B" w:rsidRPr="00FD7B0B" w14:paraId="58BA9FD1" w14:textId="77777777" w:rsidTr="00421C45">
        <w:trPr>
          <w:trHeight w:val="765"/>
        </w:trPr>
        <w:tc>
          <w:tcPr>
            <w:tcW w:w="5088" w:type="dxa"/>
            <w:vMerge w:val="restart"/>
            <w:vAlign w:val="center"/>
          </w:tcPr>
          <w:p w14:paraId="5FC2AD0C" w14:textId="77777777" w:rsidR="00632913" w:rsidRPr="00FD7B0B" w:rsidRDefault="00632913" w:rsidP="00421C45">
            <w:pPr>
              <w:tabs>
                <w:tab w:val="left" w:pos="3079"/>
              </w:tabs>
              <w:jc w:val="center"/>
              <w:rPr>
                <w:rFonts w:ascii="Times New Roman" w:eastAsia="Times New Roman" w:hAnsi="Times New Roman"/>
                <w:bCs/>
                <w:sz w:val="18"/>
                <w:szCs w:val="18"/>
              </w:rPr>
            </w:pPr>
            <w:r w:rsidRPr="00FD7B0B">
              <w:rPr>
                <w:rFonts w:ascii="Times New Roman" w:eastAsia="Times New Roman" w:hAnsi="Times New Roman"/>
                <w:bCs/>
                <w:sz w:val="18"/>
                <w:szCs w:val="18"/>
              </w:rPr>
              <w:t>Наименование структурного элемента</w:t>
            </w:r>
          </w:p>
        </w:tc>
        <w:tc>
          <w:tcPr>
            <w:tcW w:w="1424" w:type="dxa"/>
            <w:vMerge w:val="restart"/>
            <w:shd w:val="clear" w:color="auto" w:fill="auto"/>
            <w:noWrap/>
            <w:vAlign w:val="center"/>
          </w:tcPr>
          <w:p w14:paraId="4A758531" w14:textId="63CD0ABE" w:rsidR="00632913" w:rsidRPr="00FD7B0B" w:rsidRDefault="00632913" w:rsidP="00421C45">
            <w:pPr>
              <w:jc w:val="center"/>
              <w:rPr>
                <w:rFonts w:ascii="Times New Roman" w:eastAsia="Times New Roman" w:hAnsi="Times New Roman"/>
                <w:bCs/>
                <w:sz w:val="18"/>
                <w:szCs w:val="18"/>
              </w:rPr>
            </w:pPr>
            <w:r w:rsidRPr="00FD7B0B">
              <w:rPr>
                <w:rFonts w:ascii="Times New Roman" w:hAnsi="Times New Roman"/>
                <w:sz w:val="18"/>
                <w:szCs w:val="18"/>
              </w:rPr>
              <w:t>Утверждено на год (в р</w:t>
            </w:r>
            <w:r w:rsidR="00421C45" w:rsidRPr="00FD7B0B">
              <w:rPr>
                <w:rFonts w:ascii="Times New Roman" w:hAnsi="Times New Roman"/>
                <w:sz w:val="18"/>
                <w:szCs w:val="18"/>
              </w:rPr>
              <w:t>ед. 15.12.2023 № 39-4-ОЗ), млн.</w:t>
            </w:r>
            <w:r w:rsidRPr="00FD7B0B">
              <w:rPr>
                <w:rFonts w:ascii="Times New Roman" w:hAnsi="Times New Roman"/>
                <w:sz w:val="18"/>
                <w:szCs w:val="18"/>
              </w:rPr>
              <w:t>руб.</w:t>
            </w:r>
          </w:p>
        </w:tc>
        <w:tc>
          <w:tcPr>
            <w:tcW w:w="1566" w:type="dxa"/>
            <w:vMerge w:val="restart"/>
            <w:shd w:val="clear" w:color="auto" w:fill="auto"/>
            <w:noWrap/>
            <w:vAlign w:val="center"/>
          </w:tcPr>
          <w:p w14:paraId="19838EDB" w14:textId="2CFF6C04" w:rsidR="00632913" w:rsidRPr="00FD7B0B" w:rsidRDefault="00632913" w:rsidP="00421C45">
            <w:pPr>
              <w:jc w:val="center"/>
              <w:rPr>
                <w:rFonts w:ascii="Times New Roman" w:eastAsia="Times New Roman" w:hAnsi="Times New Roman"/>
                <w:bCs/>
                <w:sz w:val="18"/>
                <w:szCs w:val="18"/>
              </w:rPr>
            </w:pPr>
            <w:r w:rsidRPr="00FD7B0B">
              <w:rPr>
                <w:rFonts w:ascii="Times New Roman" w:hAnsi="Times New Roman"/>
                <w:sz w:val="18"/>
                <w:szCs w:val="18"/>
              </w:rPr>
              <w:t xml:space="preserve">Утверждено на год (в ред. 23.12.2024 № 176-13-ОЗ) </w:t>
            </w:r>
            <w:r w:rsidR="000560EB" w:rsidRPr="00FD7B0B">
              <w:rPr>
                <w:rFonts w:ascii="Times New Roman" w:hAnsi="Times New Roman"/>
                <w:sz w:val="18"/>
                <w:szCs w:val="18"/>
              </w:rPr>
              <w:t>млн.руб.</w:t>
            </w:r>
          </w:p>
        </w:tc>
        <w:tc>
          <w:tcPr>
            <w:tcW w:w="1550" w:type="dxa"/>
            <w:gridSpan w:val="2"/>
            <w:shd w:val="clear" w:color="auto" w:fill="auto"/>
            <w:vAlign w:val="center"/>
          </w:tcPr>
          <w:p w14:paraId="670C2A2B" w14:textId="77777777" w:rsidR="00632913" w:rsidRPr="00FD7B0B" w:rsidRDefault="00632913" w:rsidP="00421C45">
            <w:pPr>
              <w:jc w:val="center"/>
              <w:rPr>
                <w:rFonts w:ascii="Times New Roman" w:eastAsia="Times New Roman" w:hAnsi="Times New Roman"/>
                <w:bCs/>
                <w:sz w:val="18"/>
                <w:szCs w:val="18"/>
              </w:rPr>
            </w:pPr>
            <w:r w:rsidRPr="00FD7B0B">
              <w:rPr>
                <w:rFonts w:ascii="Times New Roman" w:eastAsia="Times New Roman" w:hAnsi="Times New Roman"/>
                <w:sz w:val="18"/>
                <w:szCs w:val="18"/>
              </w:rPr>
              <w:t>Изменения (+/-)</w:t>
            </w:r>
          </w:p>
        </w:tc>
      </w:tr>
      <w:tr w:rsidR="00FD7B0B" w:rsidRPr="00FD7B0B" w14:paraId="3A249EB0" w14:textId="77777777" w:rsidTr="00421C45">
        <w:trPr>
          <w:trHeight w:val="64"/>
        </w:trPr>
        <w:tc>
          <w:tcPr>
            <w:tcW w:w="5088" w:type="dxa"/>
            <w:vMerge/>
          </w:tcPr>
          <w:p w14:paraId="0A91F9DC" w14:textId="77777777" w:rsidR="00632913" w:rsidRPr="00FD7B0B" w:rsidRDefault="00632913" w:rsidP="00421C45">
            <w:pPr>
              <w:jc w:val="center"/>
              <w:rPr>
                <w:rFonts w:ascii="Times New Roman" w:eastAsia="Times New Roman" w:hAnsi="Times New Roman"/>
                <w:bCs/>
                <w:sz w:val="18"/>
                <w:szCs w:val="18"/>
              </w:rPr>
            </w:pPr>
          </w:p>
        </w:tc>
        <w:tc>
          <w:tcPr>
            <w:tcW w:w="1424" w:type="dxa"/>
            <w:vMerge/>
            <w:shd w:val="clear" w:color="auto" w:fill="auto"/>
            <w:noWrap/>
            <w:vAlign w:val="center"/>
          </w:tcPr>
          <w:p w14:paraId="1D2B13BD" w14:textId="77777777" w:rsidR="00632913" w:rsidRPr="00FD7B0B" w:rsidRDefault="00632913" w:rsidP="00421C45">
            <w:pPr>
              <w:jc w:val="center"/>
              <w:rPr>
                <w:rFonts w:ascii="Times New Roman" w:hAnsi="Times New Roman"/>
                <w:sz w:val="18"/>
                <w:szCs w:val="18"/>
              </w:rPr>
            </w:pPr>
          </w:p>
        </w:tc>
        <w:tc>
          <w:tcPr>
            <w:tcW w:w="1566" w:type="dxa"/>
            <w:vMerge/>
            <w:shd w:val="clear" w:color="auto" w:fill="auto"/>
            <w:noWrap/>
            <w:vAlign w:val="center"/>
          </w:tcPr>
          <w:p w14:paraId="18A0F096" w14:textId="77777777" w:rsidR="00632913" w:rsidRPr="00FD7B0B" w:rsidRDefault="00632913" w:rsidP="00421C45">
            <w:pPr>
              <w:jc w:val="center"/>
              <w:rPr>
                <w:rFonts w:ascii="Times New Roman" w:hAnsi="Times New Roman"/>
                <w:sz w:val="18"/>
                <w:szCs w:val="18"/>
              </w:rPr>
            </w:pPr>
          </w:p>
        </w:tc>
        <w:tc>
          <w:tcPr>
            <w:tcW w:w="849" w:type="dxa"/>
            <w:shd w:val="clear" w:color="auto" w:fill="auto"/>
            <w:vAlign w:val="center"/>
          </w:tcPr>
          <w:p w14:paraId="713A636F" w14:textId="66AB6091" w:rsidR="00632913" w:rsidRPr="00FD7B0B" w:rsidRDefault="000560EB" w:rsidP="00421C45">
            <w:pPr>
              <w:jc w:val="center"/>
              <w:rPr>
                <w:rFonts w:ascii="Times New Roman" w:eastAsia="Times New Roman" w:hAnsi="Times New Roman"/>
                <w:bCs/>
                <w:sz w:val="18"/>
                <w:szCs w:val="18"/>
              </w:rPr>
            </w:pPr>
            <w:r w:rsidRPr="00FD7B0B">
              <w:rPr>
                <w:rFonts w:ascii="Times New Roman" w:eastAsia="Times New Roman" w:hAnsi="Times New Roman"/>
                <w:sz w:val="18"/>
                <w:szCs w:val="18"/>
              </w:rPr>
              <w:t>млн.руб.</w:t>
            </w:r>
          </w:p>
        </w:tc>
        <w:tc>
          <w:tcPr>
            <w:tcW w:w="701" w:type="dxa"/>
            <w:shd w:val="clear" w:color="auto" w:fill="auto"/>
            <w:vAlign w:val="center"/>
          </w:tcPr>
          <w:p w14:paraId="68059B53" w14:textId="77777777" w:rsidR="00632913" w:rsidRPr="00FD7B0B" w:rsidRDefault="00632913" w:rsidP="00421C45">
            <w:pPr>
              <w:jc w:val="center"/>
              <w:rPr>
                <w:rFonts w:ascii="Times New Roman" w:eastAsia="Times New Roman" w:hAnsi="Times New Roman"/>
                <w:bCs/>
                <w:sz w:val="18"/>
                <w:szCs w:val="18"/>
              </w:rPr>
            </w:pPr>
            <w:r w:rsidRPr="00FD7B0B">
              <w:rPr>
                <w:rFonts w:ascii="Times New Roman" w:eastAsia="Times New Roman" w:hAnsi="Times New Roman"/>
                <w:sz w:val="18"/>
                <w:szCs w:val="18"/>
              </w:rPr>
              <w:t>%</w:t>
            </w:r>
          </w:p>
        </w:tc>
      </w:tr>
      <w:tr w:rsidR="00FD7B0B" w:rsidRPr="00FD7B0B" w14:paraId="03D364CB" w14:textId="77777777" w:rsidTr="00421C45">
        <w:trPr>
          <w:trHeight w:val="480"/>
        </w:trPr>
        <w:tc>
          <w:tcPr>
            <w:tcW w:w="5088" w:type="dxa"/>
            <w:hideMark/>
          </w:tcPr>
          <w:p w14:paraId="29E8901E" w14:textId="77777777" w:rsidR="00632913" w:rsidRPr="00FD7B0B" w:rsidRDefault="00632913" w:rsidP="00421C45">
            <w:pPr>
              <w:rPr>
                <w:rFonts w:ascii="Times New Roman" w:eastAsia="Times New Roman" w:hAnsi="Times New Roman"/>
                <w:bCs/>
              </w:rPr>
            </w:pPr>
            <w:r w:rsidRPr="00FD7B0B">
              <w:rPr>
                <w:rFonts w:ascii="Times New Roman" w:eastAsia="Times New Roman" w:hAnsi="Times New Roman"/>
                <w:bCs/>
              </w:rPr>
              <w:t>Государственная программа Архангельской области "Развитие образования и науки Архангельской области"</w:t>
            </w:r>
          </w:p>
        </w:tc>
        <w:tc>
          <w:tcPr>
            <w:tcW w:w="1424" w:type="dxa"/>
            <w:noWrap/>
            <w:vAlign w:val="center"/>
            <w:hideMark/>
          </w:tcPr>
          <w:p w14:paraId="59EDA1FE"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35 634,3</w:t>
            </w:r>
          </w:p>
        </w:tc>
        <w:tc>
          <w:tcPr>
            <w:tcW w:w="1566" w:type="dxa"/>
            <w:noWrap/>
            <w:vAlign w:val="center"/>
            <w:hideMark/>
          </w:tcPr>
          <w:p w14:paraId="0C6C77FA"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35 727,6</w:t>
            </w:r>
          </w:p>
        </w:tc>
        <w:tc>
          <w:tcPr>
            <w:tcW w:w="849" w:type="dxa"/>
            <w:vAlign w:val="center"/>
          </w:tcPr>
          <w:p w14:paraId="3843581C"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93,3</w:t>
            </w:r>
          </w:p>
        </w:tc>
        <w:tc>
          <w:tcPr>
            <w:tcW w:w="701" w:type="dxa"/>
            <w:vAlign w:val="center"/>
          </w:tcPr>
          <w:p w14:paraId="0A97FD0C"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100,3</w:t>
            </w:r>
          </w:p>
        </w:tc>
      </w:tr>
      <w:tr w:rsidR="00FD7B0B" w:rsidRPr="00FD7B0B" w14:paraId="59739CCD" w14:textId="77777777" w:rsidTr="00421C45">
        <w:trPr>
          <w:trHeight w:val="544"/>
        </w:trPr>
        <w:tc>
          <w:tcPr>
            <w:tcW w:w="5088" w:type="dxa"/>
            <w:hideMark/>
          </w:tcPr>
          <w:p w14:paraId="5FCE7265" w14:textId="77777777" w:rsidR="00632913" w:rsidRPr="00FD7B0B" w:rsidRDefault="00632913" w:rsidP="00421C45">
            <w:pPr>
              <w:rPr>
                <w:rFonts w:ascii="Times New Roman" w:eastAsia="Times New Roman" w:hAnsi="Times New Roman"/>
                <w:bCs/>
                <w:i/>
              </w:rPr>
            </w:pPr>
            <w:r w:rsidRPr="00FD7B0B">
              <w:rPr>
                <w:rFonts w:ascii="Times New Roman" w:eastAsia="Times New Roman" w:hAnsi="Times New Roman"/>
                <w:bCs/>
                <w:i/>
              </w:rPr>
              <w:t>Региональные проекты, направленные на реализацию федеральных проектов, входящих в состав национальных проектов</w:t>
            </w:r>
          </w:p>
        </w:tc>
        <w:tc>
          <w:tcPr>
            <w:tcW w:w="1424" w:type="dxa"/>
            <w:noWrap/>
            <w:vAlign w:val="center"/>
            <w:hideMark/>
          </w:tcPr>
          <w:p w14:paraId="0E0784CE"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2 378,1</w:t>
            </w:r>
          </w:p>
        </w:tc>
        <w:tc>
          <w:tcPr>
            <w:tcW w:w="1566" w:type="dxa"/>
            <w:noWrap/>
            <w:vAlign w:val="center"/>
            <w:hideMark/>
          </w:tcPr>
          <w:p w14:paraId="517E8CD4"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2 388,9</w:t>
            </w:r>
          </w:p>
        </w:tc>
        <w:tc>
          <w:tcPr>
            <w:tcW w:w="849" w:type="dxa"/>
            <w:vAlign w:val="center"/>
          </w:tcPr>
          <w:p w14:paraId="7EED917B"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10,8</w:t>
            </w:r>
          </w:p>
        </w:tc>
        <w:tc>
          <w:tcPr>
            <w:tcW w:w="701" w:type="dxa"/>
            <w:vAlign w:val="center"/>
          </w:tcPr>
          <w:p w14:paraId="7AF30E2C"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100,4</w:t>
            </w:r>
          </w:p>
        </w:tc>
      </w:tr>
      <w:tr w:rsidR="00FD7B0B" w:rsidRPr="00FD7B0B" w14:paraId="507493E5" w14:textId="77777777" w:rsidTr="00421C45">
        <w:trPr>
          <w:trHeight w:val="128"/>
        </w:trPr>
        <w:tc>
          <w:tcPr>
            <w:tcW w:w="5088" w:type="dxa"/>
            <w:hideMark/>
          </w:tcPr>
          <w:p w14:paraId="43535730" w14:textId="77777777" w:rsidR="00632913" w:rsidRPr="00FD7B0B" w:rsidRDefault="00632913" w:rsidP="00421C45">
            <w:pPr>
              <w:rPr>
                <w:rFonts w:ascii="Times New Roman" w:eastAsia="Times New Roman" w:hAnsi="Times New Roman"/>
                <w:bCs/>
              </w:rPr>
            </w:pPr>
            <w:r w:rsidRPr="00FD7B0B">
              <w:rPr>
                <w:rFonts w:ascii="Times New Roman" w:eastAsia="Times New Roman" w:hAnsi="Times New Roman"/>
                <w:bCs/>
              </w:rPr>
              <w:t>Федеральный проект "Современная школа"</w:t>
            </w:r>
          </w:p>
        </w:tc>
        <w:tc>
          <w:tcPr>
            <w:tcW w:w="1424" w:type="dxa"/>
            <w:noWrap/>
            <w:vAlign w:val="center"/>
            <w:hideMark/>
          </w:tcPr>
          <w:p w14:paraId="6F44A9CC"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2 169,3</w:t>
            </w:r>
          </w:p>
        </w:tc>
        <w:tc>
          <w:tcPr>
            <w:tcW w:w="1566" w:type="dxa"/>
            <w:noWrap/>
            <w:vAlign w:val="center"/>
            <w:hideMark/>
          </w:tcPr>
          <w:p w14:paraId="3832DD63"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2 180,1</w:t>
            </w:r>
          </w:p>
        </w:tc>
        <w:tc>
          <w:tcPr>
            <w:tcW w:w="849" w:type="dxa"/>
            <w:vAlign w:val="center"/>
          </w:tcPr>
          <w:p w14:paraId="1263F68F"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10,8</w:t>
            </w:r>
          </w:p>
        </w:tc>
        <w:tc>
          <w:tcPr>
            <w:tcW w:w="701" w:type="dxa"/>
            <w:vAlign w:val="center"/>
          </w:tcPr>
          <w:p w14:paraId="1FF68C64"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100,4</w:t>
            </w:r>
          </w:p>
        </w:tc>
      </w:tr>
      <w:tr w:rsidR="00FD7B0B" w:rsidRPr="00FD7B0B" w14:paraId="6F93200B" w14:textId="77777777" w:rsidTr="00421C45">
        <w:trPr>
          <w:trHeight w:val="175"/>
        </w:trPr>
        <w:tc>
          <w:tcPr>
            <w:tcW w:w="5088" w:type="dxa"/>
            <w:hideMark/>
          </w:tcPr>
          <w:p w14:paraId="235AA18B" w14:textId="77777777" w:rsidR="00632913" w:rsidRPr="00FD7B0B" w:rsidRDefault="00632913" w:rsidP="00421C45">
            <w:pPr>
              <w:rPr>
                <w:rFonts w:ascii="Times New Roman" w:eastAsia="Times New Roman" w:hAnsi="Times New Roman"/>
                <w:bCs/>
              </w:rPr>
            </w:pPr>
            <w:r w:rsidRPr="00FD7B0B">
              <w:rPr>
                <w:rFonts w:ascii="Times New Roman" w:eastAsia="Times New Roman" w:hAnsi="Times New Roman"/>
                <w:bCs/>
              </w:rPr>
              <w:t>Федеральный проект "Успех каждого ребенка"</w:t>
            </w:r>
          </w:p>
        </w:tc>
        <w:tc>
          <w:tcPr>
            <w:tcW w:w="1424" w:type="dxa"/>
            <w:noWrap/>
            <w:vAlign w:val="center"/>
            <w:hideMark/>
          </w:tcPr>
          <w:p w14:paraId="66F413CE"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42,9</w:t>
            </w:r>
          </w:p>
        </w:tc>
        <w:tc>
          <w:tcPr>
            <w:tcW w:w="1566" w:type="dxa"/>
            <w:noWrap/>
            <w:vAlign w:val="center"/>
            <w:hideMark/>
          </w:tcPr>
          <w:p w14:paraId="3CA8BC86"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42,9</w:t>
            </w:r>
          </w:p>
        </w:tc>
        <w:tc>
          <w:tcPr>
            <w:tcW w:w="849" w:type="dxa"/>
            <w:vAlign w:val="center"/>
          </w:tcPr>
          <w:p w14:paraId="30552FBB"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c>
          <w:tcPr>
            <w:tcW w:w="701" w:type="dxa"/>
            <w:vAlign w:val="center"/>
          </w:tcPr>
          <w:p w14:paraId="4F14E49C"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r>
      <w:tr w:rsidR="00FD7B0B" w:rsidRPr="00FD7B0B" w14:paraId="7F4CD761" w14:textId="77777777" w:rsidTr="00421C45">
        <w:trPr>
          <w:trHeight w:val="65"/>
        </w:trPr>
        <w:tc>
          <w:tcPr>
            <w:tcW w:w="5088" w:type="dxa"/>
            <w:hideMark/>
          </w:tcPr>
          <w:p w14:paraId="7A412AFF" w14:textId="77777777" w:rsidR="00632913" w:rsidRPr="00FD7B0B" w:rsidRDefault="00632913" w:rsidP="00421C45">
            <w:pPr>
              <w:rPr>
                <w:rFonts w:ascii="Times New Roman" w:eastAsia="Times New Roman" w:hAnsi="Times New Roman"/>
                <w:bCs/>
              </w:rPr>
            </w:pPr>
            <w:r w:rsidRPr="00FD7B0B">
              <w:rPr>
                <w:rFonts w:ascii="Times New Roman" w:eastAsia="Times New Roman" w:hAnsi="Times New Roman"/>
                <w:bCs/>
              </w:rPr>
              <w:t>Федеральный проект "Цифровая образовательная среда"</w:t>
            </w:r>
          </w:p>
        </w:tc>
        <w:tc>
          <w:tcPr>
            <w:tcW w:w="1424" w:type="dxa"/>
            <w:noWrap/>
            <w:vAlign w:val="center"/>
            <w:hideMark/>
          </w:tcPr>
          <w:p w14:paraId="311B7325"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156,4</w:t>
            </w:r>
          </w:p>
        </w:tc>
        <w:tc>
          <w:tcPr>
            <w:tcW w:w="1566" w:type="dxa"/>
            <w:noWrap/>
            <w:vAlign w:val="center"/>
            <w:hideMark/>
          </w:tcPr>
          <w:p w14:paraId="051D2BAF"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156,4</w:t>
            </w:r>
          </w:p>
        </w:tc>
        <w:tc>
          <w:tcPr>
            <w:tcW w:w="849" w:type="dxa"/>
            <w:vAlign w:val="center"/>
          </w:tcPr>
          <w:p w14:paraId="4B2198DD"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c>
          <w:tcPr>
            <w:tcW w:w="701" w:type="dxa"/>
            <w:vAlign w:val="center"/>
          </w:tcPr>
          <w:p w14:paraId="62F22A47"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r>
      <w:tr w:rsidR="00FD7B0B" w:rsidRPr="00FD7B0B" w14:paraId="0C822767" w14:textId="77777777" w:rsidTr="00421C45">
        <w:trPr>
          <w:trHeight w:val="97"/>
        </w:trPr>
        <w:tc>
          <w:tcPr>
            <w:tcW w:w="5088" w:type="dxa"/>
            <w:hideMark/>
          </w:tcPr>
          <w:p w14:paraId="41EFB287" w14:textId="77777777" w:rsidR="00632913" w:rsidRPr="00FD7B0B" w:rsidRDefault="00632913" w:rsidP="00421C45">
            <w:pPr>
              <w:rPr>
                <w:rFonts w:ascii="Times New Roman" w:eastAsia="Times New Roman" w:hAnsi="Times New Roman"/>
                <w:bCs/>
              </w:rPr>
            </w:pPr>
            <w:r w:rsidRPr="00FD7B0B">
              <w:rPr>
                <w:rFonts w:ascii="Times New Roman" w:eastAsia="Times New Roman" w:hAnsi="Times New Roman"/>
                <w:bCs/>
              </w:rPr>
              <w:t>Федеральный проект "Социальная активность"</w:t>
            </w:r>
          </w:p>
        </w:tc>
        <w:tc>
          <w:tcPr>
            <w:tcW w:w="1424" w:type="dxa"/>
            <w:noWrap/>
            <w:vAlign w:val="center"/>
            <w:hideMark/>
          </w:tcPr>
          <w:p w14:paraId="23A0BC7D"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9,6</w:t>
            </w:r>
          </w:p>
        </w:tc>
        <w:tc>
          <w:tcPr>
            <w:tcW w:w="1566" w:type="dxa"/>
            <w:noWrap/>
            <w:vAlign w:val="center"/>
            <w:hideMark/>
          </w:tcPr>
          <w:p w14:paraId="686BB9E9"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9,6</w:t>
            </w:r>
          </w:p>
        </w:tc>
        <w:tc>
          <w:tcPr>
            <w:tcW w:w="849" w:type="dxa"/>
            <w:vAlign w:val="center"/>
          </w:tcPr>
          <w:p w14:paraId="07C809D2"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c>
          <w:tcPr>
            <w:tcW w:w="701" w:type="dxa"/>
            <w:vAlign w:val="center"/>
          </w:tcPr>
          <w:p w14:paraId="202D7F87"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r>
      <w:tr w:rsidR="00FD7B0B" w:rsidRPr="00FD7B0B" w14:paraId="0FD34B8B" w14:textId="77777777" w:rsidTr="00421C45">
        <w:trPr>
          <w:trHeight w:val="710"/>
        </w:trPr>
        <w:tc>
          <w:tcPr>
            <w:tcW w:w="5088" w:type="dxa"/>
            <w:hideMark/>
          </w:tcPr>
          <w:p w14:paraId="782E4739" w14:textId="77777777" w:rsidR="00632913" w:rsidRPr="00FD7B0B" w:rsidRDefault="00632913" w:rsidP="00421C45">
            <w:pPr>
              <w:rPr>
                <w:rFonts w:ascii="Times New Roman" w:eastAsia="Times New Roman" w:hAnsi="Times New Roman"/>
                <w:bCs/>
                <w:i/>
              </w:rPr>
            </w:pPr>
            <w:r w:rsidRPr="00FD7B0B">
              <w:rPr>
                <w:rFonts w:ascii="Times New Roman" w:eastAsia="Times New Roman" w:hAnsi="Times New Roman"/>
                <w:bCs/>
                <w:i/>
              </w:rPr>
              <w:t>Региональные проекты, направленные на реализацию федеральных проектов, не входящих в состав национальных проектов</w:t>
            </w:r>
          </w:p>
        </w:tc>
        <w:tc>
          <w:tcPr>
            <w:tcW w:w="1424" w:type="dxa"/>
            <w:noWrap/>
            <w:vAlign w:val="center"/>
            <w:hideMark/>
          </w:tcPr>
          <w:p w14:paraId="226F4760"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149,2</w:t>
            </w:r>
          </w:p>
        </w:tc>
        <w:tc>
          <w:tcPr>
            <w:tcW w:w="1566" w:type="dxa"/>
            <w:noWrap/>
            <w:vAlign w:val="center"/>
            <w:hideMark/>
          </w:tcPr>
          <w:p w14:paraId="2211F67C"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149,2</w:t>
            </w:r>
          </w:p>
        </w:tc>
        <w:tc>
          <w:tcPr>
            <w:tcW w:w="849" w:type="dxa"/>
            <w:vAlign w:val="center"/>
          </w:tcPr>
          <w:p w14:paraId="2629A6E6"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c>
          <w:tcPr>
            <w:tcW w:w="701" w:type="dxa"/>
            <w:vAlign w:val="center"/>
          </w:tcPr>
          <w:p w14:paraId="26F493B5"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r>
      <w:tr w:rsidR="00FD7B0B" w:rsidRPr="00FD7B0B" w14:paraId="2B240BC3" w14:textId="77777777" w:rsidTr="00421C45">
        <w:trPr>
          <w:trHeight w:val="124"/>
        </w:trPr>
        <w:tc>
          <w:tcPr>
            <w:tcW w:w="5088" w:type="dxa"/>
            <w:hideMark/>
          </w:tcPr>
          <w:p w14:paraId="3805BD3B" w14:textId="77777777" w:rsidR="00632913" w:rsidRPr="00FD7B0B" w:rsidRDefault="00632913" w:rsidP="00421C45">
            <w:pPr>
              <w:rPr>
                <w:rFonts w:ascii="Times New Roman" w:eastAsia="Times New Roman" w:hAnsi="Times New Roman"/>
                <w:bCs/>
              </w:rPr>
            </w:pPr>
            <w:r w:rsidRPr="00FD7B0B">
              <w:rPr>
                <w:rFonts w:ascii="Times New Roman" w:eastAsia="Times New Roman" w:hAnsi="Times New Roman"/>
                <w:bCs/>
              </w:rPr>
              <w:t>Федеральный проект "Профессионалитет"</w:t>
            </w:r>
          </w:p>
        </w:tc>
        <w:tc>
          <w:tcPr>
            <w:tcW w:w="1424" w:type="dxa"/>
            <w:noWrap/>
            <w:vAlign w:val="center"/>
            <w:hideMark/>
          </w:tcPr>
          <w:p w14:paraId="4F3960F1"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149,2</w:t>
            </w:r>
          </w:p>
        </w:tc>
        <w:tc>
          <w:tcPr>
            <w:tcW w:w="1566" w:type="dxa"/>
            <w:noWrap/>
            <w:vAlign w:val="center"/>
            <w:hideMark/>
          </w:tcPr>
          <w:p w14:paraId="6748D597"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149,2</w:t>
            </w:r>
          </w:p>
        </w:tc>
        <w:tc>
          <w:tcPr>
            <w:tcW w:w="849" w:type="dxa"/>
            <w:vAlign w:val="center"/>
          </w:tcPr>
          <w:p w14:paraId="7036EC1A"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c>
          <w:tcPr>
            <w:tcW w:w="701" w:type="dxa"/>
            <w:vAlign w:val="center"/>
          </w:tcPr>
          <w:p w14:paraId="060C9104"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w:t>
            </w:r>
          </w:p>
        </w:tc>
      </w:tr>
      <w:tr w:rsidR="00FD7B0B" w:rsidRPr="00FD7B0B" w14:paraId="0B5880C0" w14:textId="77777777" w:rsidTr="00421C45">
        <w:trPr>
          <w:trHeight w:val="313"/>
        </w:trPr>
        <w:tc>
          <w:tcPr>
            <w:tcW w:w="5088" w:type="dxa"/>
            <w:hideMark/>
          </w:tcPr>
          <w:p w14:paraId="20E4125B" w14:textId="77777777" w:rsidR="00632913" w:rsidRPr="00FD7B0B" w:rsidRDefault="00632913" w:rsidP="00421C45">
            <w:pPr>
              <w:rPr>
                <w:rFonts w:ascii="Times New Roman" w:eastAsia="Times New Roman" w:hAnsi="Times New Roman"/>
                <w:bCs/>
                <w:i/>
              </w:rPr>
            </w:pPr>
            <w:r w:rsidRPr="00FD7B0B">
              <w:rPr>
                <w:rFonts w:ascii="Times New Roman" w:eastAsia="Times New Roman" w:hAnsi="Times New Roman"/>
                <w:bCs/>
                <w:i/>
              </w:rPr>
              <w:t>Региональные проекты, не направленные на реализацию федеральных проектов</w:t>
            </w:r>
          </w:p>
        </w:tc>
        <w:tc>
          <w:tcPr>
            <w:tcW w:w="1424" w:type="dxa"/>
            <w:noWrap/>
            <w:vAlign w:val="center"/>
            <w:hideMark/>
          </w:tcPr>
          <w:p w14:paraId="68A0F0B7"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1 361,4</w:t>
            </w:r>
          </w:p>
        </w:tc>
        <w:tc>
          <w:tcPr>
            <w:tcW w:w="1566" w:type="dxa"/>
            <w:noWrap/>
            <w:vAlign w:val="center"/>
            <w:hideMark/>
          </w:tcPr>
          <w:p w14:paraId="013F9D83"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1 320,1</w:t>
            </w:r>
          </w:p>
        </w:tc>
        <w:tc>
          <w:tcPr>
            <w:tcW w:w="849" w:type="dxa"/>
            <w:vAlign w:val="center"/>
          </w:tcPr>
          <w:p w14:paraId="008A55D4"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-41,3</w:t>
            </w:r>
          </w:p>
        </w:tc>
        <w:tc>
          <w:tcPr>
            <w:tcW w:w="701" w:type="dxa"/>
            <w:vAlign w:val="center"/>
          </w:tcPr>
          <w:p w14:paraId="560B5213"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96,9</w:t>
            </w:r>
          </w:p>
        </w:tc>
      </w:tr>
      <w:tr w:rsidR="00FD7B0B" w:rsidRPr="00FD7B0B" w14:paraId="6DEEA450" w14:textId="77777777" w:rsidTr="00421C45">
        <w:trPr>
          <w:trHeight w:val="391"/>
        </w:trPr>
        <w:tc>
          <w:tcPr>
            <w:tcW w:w="5088" w:type="dxa"/>
            <w:hideMark/>
          </w:tcPr>
          <w:p w14:paraId="5D5008CF" w14:textId="77777777" w:rsidR="00632913" w:rsidRPr="00FD7B0B" w:rsidRDefault="00632913" w:rsidP="00421C45">
            <w:pPr>
              <w:rPr>
                <w:rFonts w:ascii="Times New Roman" w:eastAsia="Times New Roman" w:hAnsi="Times New Roman"/>
                <w:bCs/>
              </w:rPr>
            </w:pPr>
            <w:r w:rsidRPr="00FD7B0B">
              <w:rPr>
                <w:rFonts w:ascii="Times New Roman" w:eastAsia="Times New Roman" w:hAnsi="Times New Roman"/>
                <w:bCs/>
              </w:rPr>
              <w:t>Региональный проект "Модернизация школьных систем образования в Архангельской области"</w:t>
            </w:r>
          </w:p>
        </w:tc>
        <w:tc>
          <w:tcPr>
            <w:tcW w:w="1424" w:type="dxa"/>
            <w:noWrap/>
            <w:vAlign w:val="center"/>
            <w:hideMark/>
          </w:tcPr>
          <w:p w14:paraId="626EDCD7"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1 361,4</w:t>
            </w:r>
          </w:p>
        </w:tc>
        <w:tc>
          <w:tcPr>
            <w:tcW w:w="1566" w:type="dxa"/>
            <w:noWrap/>
            <w:vAlign w:val="center"/>
            <w:hideMark/>
          </w:tcPr>
          <w:p w14:paraId="521B16AC"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1 320,1</w:t>
            </w:r>
          </w:p>
        </w:tc>
        <w:tc>
          <w:tcPr>
            <w:tcW w:w="849" w:type="dxa"/>
            <w:vAlign w:val="center"/>
          </w:tcPr>
          <w:p w14:paraId="744193E8"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-41,3</w:t>
            </w:r>
          </w:p>
        </w:tc>
        <w:tc>
          <w:tcPr>
            <w:tcW w:w="701" w:type="dxa"/>
            <w:vAlign w:val="center"/>
          </w:tcPr>
          <w:p w14:paraId="12D419CE"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96,9</w:t>
            </w:r>
          </w:p>
        </w:tc>
      </w:tr>
      <w:tr w:rsidR="00632913" w:rsidRPr="00FD7B0B" w14:paraId="53AB9401" w14:textId="77777777" w:rsidTr="00421C45">
        <w:trPr>
          <w:trHeight w:val="212"/>
        </w:trPr>
        <w:tc>
          <w:tcPr>
            <w:tcW w:w="5088" w:type="dxa"/>
            <w:hideMark/>
          </w:tcPr>
          <w:p w14:paraId="77227EE8" w14:textId="77777777" w:rsidR="00632913" w:rsidRPr="00FD7B0B" w:rsidRDefault="00632913" w:rsidP="00421C45">
            <w:pPr>
              <w:rPr>
                <w:rFonts w:ascii="Times New Roman" w:eastAsia="Times New Roman" w:hAnsi="Times New Roman"/>
                <w:bCs/>
              </w:rPr>
            </w:pPr>
            <w:r w:rsidRPr="00FD7B0B">
              <w:rPr>
                <w:rFonts w:ascii="Times New Roman" w:eastAsia="Times New Roman" w:hAnsi="Times New Roman"/>
                <w:bCs/>
              </w:rPr>
              <w:t>Комплекс процессных мероприятий "Развитие образования Архангельской области"</w:t>
            </w:r>
          </w:p>
        </w:tc>
        <w:tc>
          <w:tcPr>
            <w:tcW w:w="1424" w:type="dxa"/>
            <w:noWrap/>
            <w:vAlign w:val="center"/>
            <w:hideMark/>
          </w:tcPr>
          <w:p w14:paraId="016B6F37"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31 745,6</w:t>
            </w:r>
          </w:p>
        </w:tc>
        <w:tc>
          <w:tcPr>
            <w:tcW w:w="1566" w:type="dxa"/>
            <w:noWrap/>
            <w:vAlign w:val="center"/>
            <w:hideMark/>
          </w:tcPr>
          <w:p w14:paraId="119637DF"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31 869,5</w:t>
            </w:r>
          </w:p>
        </w:tc>
        <w:tc>
          <w:tcPr>
            <w:tcW w:w="849" w:type="dxa"/>
            <w:vAlign w:val="center"/>
          </w:tcPr>
          <w:p w14:paraId="4AEA23E7"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123,9</w:t>
            </w:r>
          </w:p>
        </w:tc>
        <w:tc>
          <w:tcPr>
            <w:tcW w:w="701" w:type="dxa"/>
            <w:vAlign w:val="center"/>
          </w:tcPr>
          <w:p w14:paraId="13703B9C"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100,4</w:t>
            </w:r>
          </w:p>
        </w:tc>
      </w:tr>
    </w:tbl>
    <w:p w14:paraId="7859DD60"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0"/>
          <w:szCs w:val="20"/>
          <w:lang w:eastAsia="ru-RU"/>
        </w:rPr>
      </w:pPr>
    </w:p>
    <w:p w14:paraId="2A8EA51C" w14:textId="52BDDBF2"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Сопоставление объемов финансирования, утвержденных законом «Об областном бюджете» на реализацию мероприятий ГП № 02 и бюджетных ассигнований на ее реализацию, представлено в таблице </w:t>
      </w:r>
      <w:r w:rsidR="008A3946" w:rsidRPr="00FD7B0B">
        <w:rPr>
          <w:rFonts w:ascii="Times New Roman" w:eastAsia="Times New Roman" w:hAnsi="Times New Roman" w:cs="Times New Roman"/>
          <w:sz w:val="28"/>
          <w:szCs w:val="28"/>
          <w:lang w:eastAsia="ru-RU"/>
        </w:rPr>
        <w:t>91</w:t>
      </w:r>
      <w:r w:rsidRPr="00FD7B0B">
        <w:rPr>
          <w:rFonts w:ascii="Times New Roman" w:eastAsia="Times New Roman" w:hAnsi="Times New Roman" w:cs="Times New Roman"/>
          <w:sz w:val="28"/>
          <w:szCs w:val="28"/>
          <w:lang w:eastAsia="ru-RU"/>
        </w:rPr>
        <w:t>.</w:t>
      </w:r>
    </w:p>
    <w:p w14:paraId="3D60F91D"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p>
    <w:p w14:paraId="4C41B47C" w14:textId="5DA90002" w:rsidR="00632913" w:rsidRPr="00FD7B0B" w:rsidRDefault="00632913" w:rsidP="00421C45">
      <w:pPr>
        <w:spacing w:after="0" w:line="240" w:lineRule="auto"/>
        <w:rPr>
          <w:rFonts w:ascii="Times New Roman" w:eastAsia="Times New Roman" w:hAnsi="Times New Roman" w:cs="Times New Roman"/>
          <w:bCs/>
          <w:sz w:val="24"/>
          <w:szCs w:val="24"/>
        </w:rPr>
      </w:pPr>
      <w:r w:rsidRPr="00FD7B0B">
        <w:rPr>
          <w:rFonts w:ascii="Times New Roman" w:eastAsia="Times New Roman" w:hAnsi="Times New Roman" w:cs="Times New Roman"/>
          <w:bCs/>
          <w:sz w:val="24"/>
          <w:szCs w:val="24"/>
        </w:rPr>
        <w:t xml:space="preserve">Таблица </w:t>
      </w:r>
      <w:r w:rsidRPr="00FD7B0B">
        <w:rPr>
          <w:rFonts w:ascii="Times New Roman" w:eastAsia="Times New Roman" w:hAnsi="Times New Roman" w:cs="Times New Roman"/>
          <w:bCs/>
          <w:sz w:val="24"/>
          <w:szCs w:val="24"/>
        </w:rPr>
        <w:fldChar w:fldCharType="begin"/>
      </w:r>
      <w:r w:rsidRPr="00FD7B0B">
        <w:rPr>
          <w:rFonts w:ascii="Times New Roman" w:eastAsia="Times New Roman" w:hAnsi="Times New Roman" w:cs="Times New Roman"/>
          <w:bCs/>
          <w:sz w:val="24"/>
          <w:szCs w:val="24"/>
        </w:rPr>
        <w:instrText xml:space="preserve"> SEQ Таблица \* ARABIC </w:instrText>
      </w:r>
      <w:r w:rsidRPr="00FD7B0B">
        <w:rPr>
          <w:rFonts w:ascii="Times New Roman" w:eastAsia="Times New Roman" w:hAnsi="Times New Roman" w:cs="Times New Roman"/>
          <w:bCs/>
          <w:sz w:val="24"/>
          <w:szCs w:val="24"/>
        </w:rPr>
        <w:fldChar w:fldCharType="separate"/>
      </w:r>
      <w:r w:rsidR="002959CD" w:rsidRPr="00FD7B0B">
        <w:rPr>
          <w:rFonts w:ascii="Times New Roman" w:eastAsia="Times New Roman" w:hAnsi="Times New Roman" w:cs="Times New Roman"/>
          <w:bCs/>
          <w:noProof/>
          <w:sz w:val="24"/>
          <w:szCs w:val="24"/>
        </w:rPr>
        <w:t>91</w:t>
      </w:r>
      <w:r w:rsidRPr="00FD7B0B">
        <w:rPr>
          <w:rFonts w:ascii="Times New Roman" w:eastAsia="Times New Roman" w:hAnsi="Times New Roman" w:cs="Times New Roman"/>
          <w:bCs/>
          <w:sz w:val="24"/>
          <w:szCs w:val="24"/>
        </w:rPr>
        <w:fldChar w:fldCharType="end"/>
      </w:r>
      <w:r w:rsidRPr="00FD7B0B">
        <w:rPr>
          <w:rFonts w:ascii="Times New Roman" w:eastAsia="Times New Roman" w:hAnsi="Times New Roman" w:cs="Times New Roman"/>
          <w:bCs/>
          <w:sz w:val="24"/>
          <w:szCs w:val="24"/>
        </w:rPr>
        <w:t xml:space="preserve">. Сопоставление объемов финансирования, утвержденных законом «Об областном бюджете» на реализацию мероприятий ГП № 02 и бюджетных ассигнований, </w:t>
      </w:r>
      <w:r w:rsidR="000560EB" w:rsidRPr="00FD7B0B">
        <w:rPr>
          <w:rFonts w:ascii="Times New Roman" w:eastAsia="Times New Roman" w:hAnsi="Times New Roman" w:cs="Times New Roman"/>
          <w:bCs/>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380"/>
        <w:gridCol w:w="1832"/>
        <w:gridCol w:w="1801"/>
        <w:gridCol w:w="1561"/>
      </w:tblGrid>
      <w:tr w:rsidR="00FD7B0B" w:rsidRPr="00FD7B0B" w14:paraId="4E362582" w14:textId="77777777" w:rsidTr="000F5A51">
        <w:trPr>
          <w:trHeight w:val="164"/>
          <w:tblHeader/>
        </w:trPr>
        <w:tc>
          <w:tcPr>
            <w:tcW w:w="4380" w:type="dxa"/>
            <w:vMerge w:val="restart"/>
            <w:vAlign w:val="center"/>
          </w:tcPr>
          <w:p w14:paraId="0FB5E8EB" w14:textId="77777777" w:rsidR="00632913" w:rsidRPr="00FD7B0B" w:rsidRDefault="00632913" w:rsidP="00421C45">
            <w:pPr>
              <w:jc w:val="center"/>
              <w:rPr>
                <w:rFonts w:ascii="Times New Roman" w:eastAsia="Times New Roman" w:hAnsi="Times New Roman"/>
                <w:bCs/>
              </w:rPr>
            </w:pPr>
            <w:bookmarkStart w:id="129" w:name="OLE_LINK1"/>
            <w:r w:rsidRPr="00FD7B0B">
              <w:rPr>
                <w:rFonts w:ascii="Times New Roman" w:eastAsia="Times New Roman" w:hAnsi="Times New Roman"/>
                <w:bCs/>
              </w:rPr>
              <w:t>Наименование структурного элемента</w:t>
            </w:r>
          </w:p>
        </w:tc>
        <w:tc>
          <w:tcPr>
            <w:tcW w:w="1832" w:type="dxa"/>
            <w:vMerge w:val="restart"/>
            <w:shd w:val="clear" w:color="auto" w:fill="auto"/>
            <w:noWrap/>
          </w:tcPr>
          <w:p w14:paraId="50B53A1D" w14:textId="77777777" w:rsidR="00632913" w:rsidRPr="00FD7B0B" w:rsidRDefault="00632913" w:rsidP="00421C45">
            <w:pPr>
              <w:jc w:val="center"/>
              <w:rPr>
                <w:rFonts w:ascii="Times New Roman" w:eastAsia="Times New Roman" w:hAnsi="Times New Roman"/>
                <w:bCs/>
              </w:rPr>
            </w:pPr>
            <w:r w:rsidRPr="00FD7B0B">
              <w:rPr>
                <w:rFonts w:ascii="Times New Roman" w:hAnsi="Times New Roman"/>
              </w:rPr>
              <w:t>Показатели закона о бюджете (в ред. 23.12.2024 № 176-13-ОЗ)</w:t>
            </w:r>
          </w:p>
        </w:tc>
        <w:tc>
          <w:tcPr>
            <w:tcW w:w="1801" w:type="dxa"/>
            <w:vMerge w:val="restart"/>
            <w:shd w:val="clear" w:color="auto" w:fill="auto"/>
            <w:noWrap/>
          </w:tcPr>
          <w:p w14:paraId="538353F5" w14:textId="77777777" w:rsidR="00632913" w:rsidRPr="00FD7B0B" w:rsidRDefault="00632913" w:rsidP="00421C45">
            <w:pPr>
              <w:jc w:val="center"/>
              <w:rPr>
                <w:rFonts w:ascii="Times New Roman" w:eastAsia="Times New Roman" w:hAnsi="Times New Roman"/>
                <w:bCs/>
              </w:rPr>
            </w:pPr>
            <w:r w:rsidRPr="00FD7B0B">
              <w:rPr>
                <w:rFonts w:ascii="Times New Roman" w:hAnsi="Times New Roman"/>
              </w:rPr>
              <w:t>Сводная бюджетная роспись на 31.12.2024</w:t>
            </w:r>
          </w:p>
        </w:tc>
        <w:tc>
          <w:tcPr>
            <w:tcW w:w="1561" w:type="dxa"/>
            <w:shd w:val="clear" w:color="auto" w:fill="auto"/>
            <w:vAlign w:val="center"/>
          </w:tcPr>
          <w:p w14:paraId="7038CDA5" w14:textId="77777777" w:rsidR="00632913" w:rsidRPr="00FD7B0B" w:rsidRDefault="00632913" w:rsidP="00421C45">
            <w:pPr>
              <w:jc w:val="center"/>
              <w:rPr>
                <w:rFonts w:ascii="Times New Roman" w:eastAsia="Times New Roman" w:hAnsi="Times New Roman"/>
                <w:bCs/>
              </w:rPr>
            </w:pPr>
            <w:r w:rsidRPr="00FD7B0B">
              <w:rPr>
                <w:rFonts w:ascii="Times New Roman" w:eastAsia="Times New Roman" w:hAnsi="Times New Roman"/>
                <w:bCs/>
              </w:rPr>
              <w:t>Отклонение (+/-)</w:t>
            </w:r>
          </w:p>
        </w:tc>
      </w:tr>
      <w:tr w:rsidR="00FD7B0B" w:rsidRPr="00FD7B0B" w14:paraId="492BC0A8" w14:textId="77777777" w:rsidTr="000F5A51">
        <w:trPr>
          <w:trHeight w:val="63"/>
          <w:tblHeader/>
        </w:trPr>
        <w:tc>
          <w:tcPr>
            <w:tcW w:w="4380" w:type="dxa"/>
            <w:vMerge/>
          </w:tcPr>
          <w:p w14:paraId="0E49BBBB" w14:textId="77777777" w:rsidR="00632913" w:rsidRPr="00FD7B0B" w:rsidRDefault="00632913" w:rsidP="00421C45">
            <w:pPr>
              <w:jc w:val="center"/>
              <w:rPr>
                <w:rFonts w:ascii="Times New Roman" w:eastAsia="Times New Roman" w:hAnsi="Times New Roman"/>
                <w:bCs/>
              </w:rPr>
            </w:pPr>
          </w:p>
        </w:tc>
        <w:tc>
          <w:tcPr>
            <w:tcW w:w="1832" w:type="dxa"/>
            <w:vMerge/>
            <w:shd w:val="clear" w:color="auto" w:fill="auto"/>
            <w:noWrap/>
            <w:vAlign w:val="center"/>
          </w:tcPr>
          <w:p w14:paraId="3DB39DB2" w14:textId="77777777" w:rsidR="00632913" w:rsidRPr="00FD7B0B" w:rsidRDefault="00632913" w:rsidP="00421C45">
            <w:pPr>
              <w:jc w:val="center"/>
              <w:rPr>
                <w:rFonts w:ascii="Times New Roman" w:eastAsia="Times New Roman" w:hAnsi="Times New Roman"/>
                <w:bCs/>
              </w:rPr>
            </w:pPr>
          </w:p>
        </w:tc>
        <w:tc>
          <w:tcPr>
            <w:tcW w:w="1801" w:type="dxa"/>
            <w:vMerge/>
            <w:shd w:val="clear" w:color="auto" w:fill="auto"/>
            <w:noWrap/>
            <w:vAlign w:val="center"/>
          </w:tcPr>
          <w:p w14:paraId="2EB58850" w14:textId="77777777" w:rsidR="00632913" w:rsidRPr="00FD7B0B" w:rsidRDefault="00632913" w:rsidP="00421C45">
            <w:pPr>
              <w:jc w:val="center"/>
              <w:rPr>
                <w:rFonts w:ascii="Times New Roman" w:eastAsia="Times New Roman" w:hAnsi="Times New Roman"/>
                <w:bCs/>
              </w:rPr>
            </w:pPr>
          </w:p>
        </w:tc>
        <w:tc>
          <w:tcPr>
            <w:tcW w:w="1561" w:type="dxa"/>
            <w:shd w:val="clear" w:color="auto" w:fill="auto"/>
            <w:vAlign w:val="center"/>
          </w:tcPr>
          <w:p w14:paraId="053B25F4" w14:textId="20C1C04B" w:rsidR="00632913" w:rsidRPr="00FD7B0B" w:rsidRDefault="007625EA" w:rsidP="00421C45">
            <w:pPr>
              <w:jc w:val="center"/>
              <w:rPr>
                <w:rFonts w:ascii="Times New Roman" w:eastAsia="Times New Roman" w:hAnsi="Times New Roman"/>
                <w:bCs/>
              </w:rPr>
            </w:pPr>
            <w:r w:rsidRPr="00FD7B0B">
              <w:rPr>
                <w:rFonts w:ascii="Times New Roman" w:eastAsia="Times New Roman" w:hAnsi="Times New Roman"/>
                <w:bCs/>
              </w:rPr>
              <w:t>млн.</w:t>
            </w:r>
            <w:r w:rsidR="00632913" w:rsidRPr="00FD7B0B">
              <w:rPr>
                <w:rFonts w:ascii="Times New Roman" w:eastAsia="Times New Roman" w:hAnsi="Times New Roman"/>
                <w:bCs/>
              </w:rPr>
              <w:t>руб.</w:t>
            </w:r>
          </w:p>
        </w:tc>
      </w:tr>
      <w:tr w:rsidR="00FD7B0B" w:rsidRPr="00FD7B0B" w14:paraId="79BCE95E" w14:textId="77777777" w:rsidTr="007625EA">
        <w:trPr>
          <w:trHeight w:val="151"/>
        </w:trPr>
        <w:tc>
          <w:tcPr>
            <w:tcW w:w="4380" w:type="dxa"/>
          </w:tcPr>
          <w:p w14:paraId="2E8ABDA8"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А</w:t>
            </w:r>
          </w:p>
        </w:tc>
        <w:tc>
          <w:tcPr>
            <w:tcW w:w="1832" w:type="dxa"/>
            <w:noWrap/>
            <w:vAlign w:val="center"/>
          </w:tcPr>
          <w:p w14:paraId="1B9A9A98"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w:t>
            </w:r>
          </w:p>
        </w:tc>
        <w:tc>
          <w:tcPr>
            <w:tcW w:w="1801" w:type="dxa"/>
            <w:shd w:val="clear" w:color="auto" w:fill="auto"/>
            <w:noWrap/>
            <w:vAlign w:val="center"/>
          </w:tcPr>
          <w:p w14:paraId="1529746A" w14:textId="77777777" w:rsidR="00632913" w:rsidRPr="00FD7B0B" w:rsidRDefault="00632913" w:rsidP="00632913">
            <w:pPr>
              <w:jc w:val="center"/>
              <w:rPr>
                <w:rFonts w:ascii="Times New Roman" w:hAnsi="Times New Roman"/>
              </w:rPr>
            </w:pPr>
            <w:r w:rsidRPr="00FD7B0B">
              <w:rPr>
                <w:rFonts w:ascii="Times New Roman" w:hAnsi="Times New Roman"/>
              </w:rPr>
              <w:t>2</w:t>
            </w:r>
          </w:p>
        </w:tc>
        <w:tc>
          <w:tcPr>
            <w:tcW w:w="1561" w:type="dxa"/>
            <w:vAlign w:val="center"/>
          </w:tcPr>
          <w:p w14:paraId="7263CD03"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3</w:t>
            </w:r>
          </w:p>
        </w:tc>
      </w:tr>
      <w:tr w:rsidR="00FD7B0B" w:rsidRPr="00FD7B0B" w14:paraId="707BE94A" w14:textId="77777777" w:rsidTr="007625EA">
        <w:trPr>
          <w:trHeight w:val="125"/>
        </w:trPr>
        <w:tc>
          <w:tcPr>
            <w:tcW w:w="4380" w:type="dxa"/>
            <w:hideMark/>
          </w:tcPr>
          <w:p w14:paraId="5F51AFF6" w14:textId="77777777" w:rsidR="00632913" w:rsidRPr="00FD7B0B" w:rsidRDefault="00632913" w:rsidP="007625EA">
            <w:pPr>
              <w:rPr>
                <w:rFonts w:ascii="Times New Roman" w:eastAsia="Times New Roman" w:hAnsi="Times New Roman"/>
                <w:bCs/>
              </w:rPr>
            </w:pPr>
            <w:r w:rsidRPr="00FD7B0B">
              <w:rPr>
                <w:rFonts w:ascii="Times New Roman" w:eastAsia="Times New Roman" w:hAnsi="Times New Roman"/>
                <w:bCs/>
              </w:rPr>
              <w:t>Всего по ГП № 02</w:t>
            </w:r>
          </w:p>
        </w:tc>
        <w:tc>
          <w:tcPr>
            <w:tcW w:w="1832" w:type="dxa"/>
            <w:noWrap/>
            <w:vAlign w:val="center"/>
            <w:hideMark/>
          </w:tcPr>
          <w:p w14:paraId="5BD85119"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35 727,6</w:t>
            </w:r>
          </w:p>
        </w:tc>
        <w:tc>
          <w:tcPr>
            <w:tcW w:w="1801" w:type="dxa"/>
            <w:shd w:val="clear" w:color="auto" w:fill="auto"/>
            <w:noWrap/>
            <w:vAlign w:val="center"/>
            <w:hideMark/>
          </w:tcPr>
          <w:p w14:paraId="14AC1908"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36 204,30</w:t>
            </w:r>
          </w:p>
        </w:tc>
        <w:tc>
          <w:tcPr>
            <w:tcW w:w="1561" w:type="dxa"/>
            <w:shd w:val="clear" w:color="auto" w:fill="auto"/>
            <w:vAlign w:val="center"/>
          </w:tcPr>
          <w:p w14:paraId="2948FF6E"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476,7</w:t>
            </w:r>
          </w:p>
        </w:tc>
      </w:tr>
      <w:tr w:rsidR="00FD7B0B" w:rsidRPr="00FD7B0B" w14:paraId="2BCA0D5C" w14:textId="77777777" w:rsidTr="007625EA">
        <w:trPr>
          <w:trHeight w:val="38"/>
        </w:trPr>
        <w:tc>
          <w:tcPr>
            <w:tcW w:w="4380" w:type="dxa"/>
            <w:hideMark/>
          </w:tcPr>
          <w:p w14:paraId="5CB19CEA" w14:textId="77777777" w:rsidR="00632913" w:rsidRPr="00FD7B0B" w:rsidRDefault="00632913" w:rsidP="007625EA">
            <w:pPr>
              <w:rPr>
                <w:rFonts w:ascii="Times New Roman" w:eastAsia="Times New Roman" w:hAnsi="Times New Roman"/>
                <w:bCs/>
              </w:rPr>
            </w:pPr>
            <w:r w:rsidRPr="00FD7B0B">
              <w:rPr>
                <w:rFonts w:ascii="Times New Roman" w:eastAsia="Times New Roman" w:hAnsi="Times New Roman"/>
                <w:bCs/>
              </w:rPr>
              <w:t>Федеральный проект "Современная школа"</w:t>
            </w:r>
          </w:p>
        </w:tc>
        <w:tc>
          <w:tcPr>
            <w:tcW w:w="1832" w:type="dxa"/>
            <w:noWrap/>
            <w:vAlign w:val="center"/>
            <w:hideMark/>
          </w:tcPr>
          <w:p w14:paraId="24DD9F8A"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2 180,1</w:t>
            </w:r>
          </w:p>
        </w:tc>
        <w:tc>
          <w:tcPr>
            <w:tcW w:w="1801" w:type="dxa"/>
            <w:shd w:val="clear" w:color="auto" w:fill="auto"/>
            <w:noWrap/>
            <w:vAlign w:val="center"/>
            <w:hideMark/>
          </w:tcPr>
          <w:p w14:paraId="653E4580"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2 626,20</w:t>
            </w:r>
          </w:p>
        </w:tc>
        <w:tc>
          <w:tcPr>
            <w:tcW w:w="1561" w:type="dxa"/>
            <w:shd w:val="clear" w:color="auto" w:fill="auto"/>
            <w:vAlign w:val="center"/>
          </w:tcPr>
          <w:p w14:paraId="20FD2D92"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446,1</w:t>
            </w:r>
          </w:p>
        </w:tc>
      </w:tr>
      <w:tr w:rsidR="00FD7B0B" w:rsidRPr="00FD7B0B" w14:paraId="58F0178E" w14:textId="77777777" w:rsidTr="007625EA">
        <w:trPr>
          <w:trHeight w:val="203"/>
        </w:trPr>
        <w:tc>
          <w:tcPr>
            <w:tcW w:w="4380" w:type="dxa"/>
            <w:hideMark/>
          </w:tcPr>
          <w:p w14:paraId="016F5BAA" w14:textId="77777777" w:rsidR="00632913" w:rsidRPr="00FD7B0B" w:rsidRDefault="00632913" w:rsidP="007625EA">
            <w:pPr>
              <w:rPr>
                <w:rFonts w:ascii="Times New Roman" w:eastAsia="Times New Roman" w:hAnsi="Times New Roman"/>
                <w:bCs/>
              </w:rPr>
            </w:pPr>
            <w:r w:rsidRPr="00FD7B0B">
              <w:rPr>
                <w:rFonts w:ascii="Times New Roman" w:eastAsia="Times New Roman" w:hAnsi="Times New Roman"/>
                <w:bCs/>
              </w:rPr>
              <w:t>Федеральный проект "Успех каждого ребенка"</w:t>
            </w:r>
          </w:p>
        </w:tc>
        <w:tc>
          <w:tcPr>
            <w:tcW w:w="1832" w:type="dxa"/>
            <w:noWrap/>
            <w:vAlign w:val="center"/>
            <w:hideMark/>
          </w:tcPr>
          <w:p w14:paraId="281C490C"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42,9</w:t>
            </w:r>
          </w:p>
        </w:tc>
        <w:tc>
          <w:tcPr>
            <w:tcW w:w="1801" w:type="dxa"/>
            <w:shd w:val="clear" w:color="auto" w:fill="auto"/>
            <w:noWrap/>
            <w:vAlign w:val="center"/>
            <w:hideMark/>
          </w:tcPr>
          <w:p w14:paraId="602B255B"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42,00</w:t>
            </w:r>
          </w:p>
        </w:tc>
        <w:tc>
          <w:tcPr>
            <w:tcW w:w="1561" w:type="dxa"/>
            <w:shd w:val="clear" w:color="auto" w:fill="auto"/>
            <w:vAlign w:val="center"/>
          </w:tcPr>
          <w:p w14:paraId="7244EAC9"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-0,9</w:t>
            </w:r>
          </w:p>
        </w:tc>
      </w:tr>
      <w:tr w:rsidR="00FD7B0B" w:rsidRPr="00FD7B0B" w14:paraId="2B888A95" w14:textId="77777777" w:rsidTr="007625EA">
        <w:trPr>
          <w:trHeight w:val="502"/>
        </w:trPr>
        <w:tc>
          <w:tcPr>
            <w:tcW w:w="4380" w:type="dxa"/>
            <w:hideMark/>
          </w:tcPr>
          <w:p w14:paraId="0DC48A37" w14:textId="77777777" w:rsidR="00632913" w:rsidRPr="00FD7B0B" w:rsidRDefault="00632913" w:rsidP="007625EA">
            <w:pPr>
              <w:rPr>
                <w:rFonts w:ascii="Times New Roman" w:eastAsia="Times New Roman" w:hAnsi="Times New Roman"/>
                <w:bCs/>
              </w:rPr>
            </w:pPr>
            <w:r w:rsidRPr="00FD7B0B">
              <w:rPr>
                <w:rFonts w:ascii="Times New Roman" w:eastAsia="Times New Roman" w:hAnsi="Times New Roman"/>
                <w:bCs/>
              </w:rPr>
              <w:t>Федеральный проект "Цифровая образовательная среда"</w:t>
            </w:r>
          </w:p>
        </w:tc>
        <w:tc>
          <w:tcPr>
            <w:tcW w:w="1832" w:type="dxa"/>
            <w:noWrap/>
            <w:vAlign w:val="center"/>
            <w:hideMark/>
          </w:tcPr>
          <w:p w14:paraId="47F71B79"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156,4</w:t>
            </w:r>
          </w:p>
        </w:tc>
        <w:tc>
          <w:tcPr>
            <w:tcW w:w="1801" w:type="dxa"/>
            <w:shd w:val="clear" w:color="auto" w:fill="auto"/>
            <w:noWrap/>
            <w:vAlign w:val="center"/>
            <w:hideMark/>
          </w:tcPr>
          <w:p w14:paraId="6DE5D356"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156,50</w:t>
            </w:r>
          </w:p>
        </w:tc>
        <w:tc>
          <w:tcPr>
            <w:tcW w:w="1561" w:type="dxa"/>
            <w:shd w:val="clear" w:color="auto" w:fill="auto"/>
            <w:vAlign w:val="center"/>
          </w:tcPr>
          <w:p w14:paraId="24E9770A"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0,1</w:t>
            </w:r>
          </w:p>
        </w:tc>
      </w:tr>
      <w:tr w:rsidR="00FD7B0B" w:rsidRPr="00FD7B0B" w14:paraId="4659C560" w14:textId="77777777" w:rsidTr="006F7A1A">
        <w:trPr>
          <w:trHeight w:val="38"/>
        </w:trPr>
        <w:tc>
          <w:tcPr>
            <w:tcW w:w="4380" w:type="dxa"/>
            <w:hideMark/>
          </w:tcPr>
          <w:p w14:paraId="303948B4" w14:textId="77777777" w:rsidR="00632913" w:rsidRPr="00FD7B0B" w:rsidRDefault="00632913" w:rsidP="007625EA">
            <w:pPr>
              <w:rPr>
                <w:rFonts w:ascii="Times New Roman" w:eastAsia="Times New Roman" w:hAnsi="Times New Roman"/>
                <w:bCs/>
              </w:rPr>
            </w:pPr>
            <w:r w:rsidRPr="00FD7B0B">
              <w:rPr>
                <w:rFonts w:ascii="Times New Roman" w:eastAsia="Times New Roman" w:hAnsi="Times New Roman"/>
                <w:bCs/>
              </w:rPr>
              <w:t>Федеральный проект "Социальная активность"</w:t>
            </w:r>
          </w:p>
        </w:tc>
        <w:tc>
          <w:tcPr>
            <w:tcW w:w="1832" w:type="dxa"/>
            <w:noWrap/>
            <w:vAlign w:val="center"/>
            <w:hideMark/>
          </w:tcPr>
          <w:p w14:paraId="20A6DB50"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9,6</w:t>
            </w:r>
          </w:p>
        </w:tc>
        <w:tc>
          <w:tcPr>
            <w:tcW w:w="1801" w:type="dxa"/>
            <w:shd w:val="clear" w:color="auto" w:fill="auto"/>
            <w:noWrap/>
            <w:vAlign w:val="center"/>
            <w:hideMark/>
          </w:tcPr>
          <w:p w14:paraId="3C384F33"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9,60</w:t>
            </w:r>
          </w:p>
        </w:tc>
        <w:tc>
          <w:tcPr>
            <w:tcW w:w="1561" w:type="dxa"/>
            <w:shd w:val="clear" w:color="auto" w:fill="auto"/>
            <w:vAlign w:val="center"/>
          </w:tcPr>
          <w:p w14:paraId="574327C6"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0,0</w:t>
            </w:r>
          </w:p>
        </w:tc>
      </w:tr>
      <w:tr w:rsidR="00FD7B0B" w:rsidRPr="00FD7B0B" w14:paraId="4CF80686" w14:textId="77777777" w:rsidTr="006F7A1A">
        <w:trPr>
          <w:trHeight w:val="47"/>
        </w:trPr>
        <w:tc>
          <w:tcPr>
            <w:tcW w:w="4380" w:type="dxa"/>
            <w:hideMark/>
          </w:tcPr>
          <w:p w14:paraId="7CF5C3AC" w14:textId="77777777" w:rsidR="00632913" w:rsidRPr="00FD7B0B" w:rsidRDefault="00632913" w:rsidP="007625EA">
            <w:pPr>
              <w:rPr>
                <w:rFonts w:ascii="Times New Roman" w:eastAsia="Times New Roman" w:hAnsi="Times New Roman"/>
                <w:bCs/>
              </w:rPr>
            </w:pPr>
            <w:r w:rsidRPr="00FD7B0B">
              <w:rPr>
                <w:rFonts w:ascii="Times New Roman" w:eastAsia="Times New Roman" w:hAnsi="Times New Roman"/>
                <w:bCs/>
              </w:rPr>
              <w:lastRenderedPageBreak/>
              <w:t>Федеральный проект "Профессионалитет"</w:t>
            </w:r>
          </w:p>
        </w:tc>
        <w:tc>
          <w:tcPr>
            <w:tcW w:w="1832" w:type="dxa"/>
            <w:noWrap/>
            <w:vAlign w:val="center"/>
            <w:hideMark/>
          </w:tcPr>
          <w:p w14:paraId="7B60887B"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149,2</w:t>
            </w:r>
          </w:p>
        </w:tc>
        <w:tc>
          <w:tcPr>
            <w:tcW w:w="1801" w:type="dxa"/>
            <w:shd w:val="clear" w:color="auto" w:fill="auto"/>
            <w:noWrap/>
            <w:vAlign w:val="center"/>
            <w:hideMark/>
          </w:tcPr>
          <w:p w14:paraId="4160BF35"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131,00</w:t>
            </w:r>
          </w:p>
        </w:tc>
        <w:tc>
          <w:tcPr>
            <w:tcW w:w="1561" w:type="dxa"/>
            <w:shd w:val="clear" w:color="auto" w:fill="auto"/>
            <w:vAlign w:val="center"/>
          </w:tcPr>
          <w:p w14:paraId="37943D14"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-18,2</w:t>
            </w:r>
          </w:p>
        </w:tc>
      </w:tr>
      <w:tr w:rsidR="00FD7B0B" w:rsidRPr="00FD7B0B" w14:paraId="396D277B" w14:textId="77777777" w:rsidTr="007625EA">
        <w:trPr>
          <w:trHeight w:val="502"/>
        </w:trPr>
        <w:tc>
          <w:tcPr>
            <w:tcW w:w="4380" w:type="dxa"/>
            <w:hideMark/>
          </w:tcPr>
          <w:p w14:paraId="621F2FD9" w14:textId="77777777" w:rsidR="00632913" w:rsidRPr="00FD7B0B" w:rsidRDefault="00632913" w:rsidP="007625EA">
            <w:pPr>
              <w:rPr>
                <w:rFonts w:ascii="Times New Roman" w:eastAsia="Times New Roman" w:hAnsi="Times New Roman"/>
                <w:bCs/>
              </w:rPr>
            </w:pPr>
            <w:r w:rsidRPr="00FD7B0B">
              <w:rPr>
                <w:rFonts w:ascii="Times New Roman" w:eastAsia="Times New Roman" w:hAnsi="Times New Roman"/>
                <w:bCs/>
              </w:rPr>
              <w:t>Региональный проект "Модернизация школьных систем образования в Архангельской области"</w:t>
            </w:r>
          </w:p>
        </w:tc>
        <w:tc>
          <w:tcPr>
            <w:tcW w:w="1832" w:type="dxa"/>
            <w:noWrap/>
            <w:vAlign w:val="center"/>
            <w:hideMark/>
          </w:tcPr>
          <w:p w14:paraId="617B8A9F"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1 320,1</w:t>
            </w:r>
          </w:p>
        </w:tc>
        <w:tc>
          <w:tcPr>
            <w:tcW w:w="1801" w:type="dxa"/>
            <w:shd w:val="clear" w:color="auto" w:fill="auto"/>
            <w:noWrap/>
            <w:vAlign w:val="center"/>
            <w:hideMark/>
          </w:tcPr>
          <w:p w14:paraId="5B81DA17"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1 351,40</w:t>
            </w:r>
          </w:p>
        </w:tc>
        <w:tc>
          <w:tcPr>
            <w:tcW w:w="1561" w:type="dxa"/>
            <w:shd w:val="clear" w:color="auto" w:fill="auto"/>
            <w:vAlign w:val="center"/>
          </w:tcPr>
          <w:p w14:paraId="1F988684"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31,3</w:t>
            </w:r>
          </w:p>
        </w:tc>
      </w:tr>
      <w:tr w:rsidR="00632913" w:rsidRPr="00FD7B0B" w14:paraId="6E394C45" w14:textId="77777777" w:rsidTr="006F7A1A">
        <w:trPr>
          <w:trHeight w:val="372"/>
        </w:trPr>
        <w:tc>
          <w:tcPr>
            <w:tcW w:w="4380" w:type="dxa"/>
            <w:hideMark/>
          </w:tcPr>
          <w:p w14:paraId="2B9075FF" w14:textId="77777777" w:rsidR="00632913" w:rsidRPr="00FD7B0B" w:rsidRDefault="00632913" w:rsidP="007625EA">
            <w:pPr>
              <w:rPr>
                <w:rFonts w:ascii="Times New Roman" w:eastAsia="Times New Roman" w:hAnsi="Times New Roman"/>
                <w:bCs/>
              </w:rPr>
            </w:pPr>
            <w:r w:rsidRPr="00FD7B0B">
              <w:rPr>
                <w:rFonts w:ascii="Times New Roman" w:eastAsia="Times New Roman" w:hAnsi="Times New Roman"/>
                <w:bCs/>
              </w:rPr>
              <w:t>Комплекс процессных мероприятий "Развитие образования Архангельской области"</w:t>
            </w:r>
          </w:p>
        </w:tc>
        <w:tc>
          <w:tcPr>
            <w:tcW w:w="1832" w:type="dxa"/>
            <w:noWrap/>
            <w:vAlign w:val="center"/>
            <w:hideMark/>
          </w:tcPr>
          <w:p w14:paraId="600B8915" w14:textId="77777777" w:rsidR="00632913" w:rsidRPr="00FD7B0B" w:rsidRDefault="00632913" w:rsidP="00632913">
            <w:pPr>
              <w:jc w:val="center"/>
              <w:rPr>
                <w:rFonts w:ascii="Times New Roman" w:eastAsia="Times New Roman" w:hAnsi="Times New Roman"/>
                <w:bCs/>
              </w:rPr>
            </w:pPr>
            <w:r w:rsidRPr="00FD7B0B">
              <w:rPr>
                <w:rFonts w:ascii="Times New Roman" w:eastAsia="Times New Roman" w:hAnsi="Times New Roman"/>
                <w:bCs/>
              </w:rPr>
              <w:t>31 869,5</w:t>
            </w:r>
          </w:p>
        </w:tc>
        <w:tc>
          <w:tcPr>
            <w:tcW w:w="1801" w:type="dxa"/>
            <w:shd w:val="clear" w:color="auto" w:fill="auto"/>
            <w:noWrap/>
            <w:vAlign w:val="center"/>
            <w:hideMark/>
          </w:tcPr>
          <w:p w14:paraId="3596D57A"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31 887,60</w:t>
            </w:r>
          </w:p>
        </w:tc>
        <w:tc>
          <w:tcPr>
            <w:tcW w:w="1561" w:type="dxa"/>
            <w:shd w:val="clear" w:color="auto" w:fill="auto"/>
            <w:vAlign w:val="center"/>
          </w:tcPr>
          <w:p w14:paraId="768883E8" w14:textId="77777777" w:rsidR="00632913" w:rsidRPr="00FD7B0B" w:rsidRDefault="00632913" w:rsidP="00632913">
            <w:pPr>
              <w:jc w:val="center"/>
              <w:rPr>
                <w:rFonts w:ascii="Times New Roman" w:eastAsia="Times New Roman" w:hAnsi="Times New Roman"/>
                <w:bCs/>
              </w:rPr>
            </w:pPr>
            <w:r w:rsidRPr="00FD7B0B">
              <w:rPr>
                <w:rFonts w:ascii="Times New Roman" w:hAnsi="Times New Roman"/>
              </w:rPr>
              <w:t>18,1</w:t>
            </w:r>
          </w:p>
        </w:tc>
      </w:tr>
      <w:bookmarkEnd w:id="129"/>
    </w:tbl>
    <w:p w14:paraId="272FEFF9" w14:textId="77777777" w:rsidR="00632913" w:rsidRPr="00FD7B0B" w:rsidRDefault="00632913" w:rsidP="00632913">
      <w:pPr>
        <w:spacing w:after="0" w:line="240" w:lineRule="auto"/>
        <w:jc w:val="both"/>
        <w:rPr>
          <w:rFonts w:ascii="Times New Roman" w:eastAsia="Times New Roman" w:hAnsi="Times New Roman" w:cs="Times New Roman"/>
          <w:bCs/>
          <w:sz w:val="24"/>
          <w:szCs w:val="24"/>
        </w:rPr>
      </w:pPr>
    </w:p>
    <w:p w14:paraId="7515F580" w14:textId="1DBF1AD1"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состоянию на 31.12.2024 уточненной сводной бюджетной росписью областного бюджета на 2024 год расходы на реализацию мероприятий ГП № 02 утвержд</w:t>
      </w:r>
      <w:r w:rsidR="006F7A1A" w:rsidRPr="00FD7B0B">
        <w:rPr>
          <w:rFonts w:ascii="Times New Roman" w:eastAsia="Times New Roman" w:hAnsi="Times New Roman" w:cs="Times New Roman"/>
          <w:sz w:val="28"/>
          <w:szCs w:val="28"/>
          <w:lang w:eastAsia="ru-RU"/>
        </w:rPr>
        <w:t>ены в общей сумме 36 204,3 млн.</w:t>
      </w:r>
      <w:r w:rsidRPr="00FD7B0B">
        <w:rPr>
          <w:rFonts w:ascii="Times New Roman" w:eastAsia="Times New Roman" w:hAnsi="Times New Roman" w:cs="Times New Roman"/>
          <w:sz w:val="28"/>
          <w:szCs w:val="28"/>
          <w:lang w:eastAsia="ru-RU"/>
        </w:rPr>
        <w:t>руб</w:t>
      </w:r>
      <w:r w:rsidR="006F7A1A" w:rsidRPr="00FD7B0B">
        <w:rPr>
          <w:rFonts w:ascii="Times New Roman" w:eastAsia="Times New Roman" w:hAnsi="Times New Roman" w:cs="Times New Roman"/>
          <w:sz w:val="28"/>
          <w:szCs w:val="28"/>
          <w:lang w:eastAsia="ru-RU"/>
        </w:rPr>
        <w:t>., что на 476,7 млн.</w:t>
      </w:r>
      <w:r w:rsidRPr="00FD7B0B">
        <w:rPr>
          <w:rFonts w:ascii="Times New Roman" w:eastAsia="Times New Roman" w:hAnsi="Times New Roman" w:cs="Times New Roman"/>
          <w:sz w:val="28"/>
          <w:szCs w:val="28"/>
          <w:lang w:eastAsia="ru-RU"/>
        </w:rPr>
        <w:t>руб. или на 1,3 % выше параметров, утвержденных областным законом «Об областном бюджете» в редакции, действующей на 31.12.2024.</w:t>
      </w:r>
    </w:p>
    <w:p w14:paraId="66782BBB"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p>
    <w:p w14:paraId="2B328511" w14:textId="2921095C" w:rsidR="00632913" w:rsidRPr="00FD7B0B" w:rsidRDefault="00632913" w:rsidP="00632913">
      <w:pPr>
        <w:spacing w:after="0" w:line="240" w:lineRule="auto"/>
        <w:ind w:firstLine="851"/>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Информация о расходах областного бюджета на реализацию госпрограммы за 2024 год, а также параметры, утвержденные на 2024 год в разрезе главных распорядителей и видов расходов представлена в таблице </w:t>
      </w:r>
      <w:r w:rsidR="008A3946" w:rsidRPr="00FD7B0B">
        <w:rPr>
          <w:rFonts w:ascii="Times New Roman" w:eastAsia="Times New Roman" w:hAnsi="Times New Roman" w:cs="Times New Roman"/>
          <w:sz w:val="28"/>
          <w:szCs w:val="28"/>
          <w:lang w:eastAsia="ru-RU"/>
        </w:rPr>
        <w:t>92</w:t>
      </w:r>
      <w:r w:rsidRPr="00FD7B0B">
        <w:rPr>
          <w:rFonts w:ascii="Times New Roman" w:eastAsia="Times New Roman" w:hAnsi="Times New Roman" w:cs="Times New Roman"/>
          <w:sz w:val="28"/>
          <w:szCs w:val="28"/>
          <w:lang w:eastAsia="ru-RU"/>
        </w:rPr>
        <w:t>.</w:t>
      </w:r>
    </w:p>
    <w:p w14:paraId="4C27B8BD" w14:textId="77777777" w:rsidR="00632913" w:rsidRPr="00FD7B0B" w:rsidRDefault="00632913" w:rsidP="00632913">
      <w:pPr>
        <w:spacing w:after="0" w:line="240" w:lineRule="auto"/>
        <w:ind w:firstLine="851"/>
        <w:contextualSpacing/>
        <w:jc w:val="both"/>
        <w:rPr>
          <w:rFonts w:ascii="Times New Roman" w:eastAsia="Times New Roman" w:hAnsi="Times New Roman" w:cs="Times New Roman"/>
          <w:sz w:val="24"/>
          <w:szCs w:val="24"/>
          <w:lang w:eastAsia="ru-RU"/>
        </w:rPr>
      </w:pPr>
    </w:p>
    <w:p w14:paraId="7B70B67F" w14:textId="4774747B" w:rsidR="00632913" w:rsidRPr="00FD7B0B" w:rsidRDefault="00632913" w:rsidP="00632913">
      <w:pPr>
        <w:spacing w:after="0" w:line="240" w:lineRule="auto"/>
        <w:rPr>
          <w:rFonts w:ascii="Times New Roman" w:eastAsia="Times New Roman" w:hAnsi="Times New Roman" w:cs="Times New Roman"/>
          <w:bCs/>
          <w:sz w:val="24"/>
          <w:szCs w:val="24"/>
        </w:rPr>
      </w:pPr>
      <w:r w:rsidRPr="00FD7B0B">
        <w:rPr>
          <w:rFonts w:ascii="Times New Roman" w:eastAsia="Times New Roman" w:hAnsi="Times New Roman" w:cs="Times New Roman"/>
          <w:bCs/>
          <w:sz w:val="24"/>
          <w:szCs w:val="24"/>
        </w:rPr>
        <w:t xml:space="preserve">Таблица </w:t>
      </w:r>
      <w:r w:rsidRPr="00FD7B0B">
        <w:rPr>
          <w:rFonts w:ascii="Times New Roman" w:eastAsia="Times New Roman" w:hAnsi="Times New Roman" w:cs="Times New Roman"/>
          <w:bCs/>
          <w:sz w:val="24"/>
          <w:szCs w:val="24"/>
        </w:rPr>
        <w:fldChar w:fldCharType="begin"/>
      </w:r>
      <w:r w:rsidRPr="00FD7B0B">
        <w:rPr>
          <w:rFonts w:ascii="Times New Roman" w:eastAsia="Times New Roman" w:hAnsi="Times New Roman" w:cs="Times New Roman"/>
          <w:bCs/>
          <w:sz w:val="24"/>
          <w:szCs w:val="24"/>
        </w:rPr>
        <w:instrText xml:space="preserve"> SEQ Таблица \* ARABIC </w:instrText>
      </w:r>
      <w:r w:rsidRPr="00FD7B0B">
        <w:rPr>
          <w:rFonts w:ascii="Times New Roman" w:eastAsia="Times New Roman" w:hAnsi="Times New Roman" w:cs="Times New Roman"/>
          <w:bCs/>
          <w:sz w:val="24"/>
          <w:szCs w:val="24"/>
        </w:rPr>
        <w:fldChar w:fldCharType="separate"/>
      </w:r>
      <w:r w:rsidR="002959CD" w:rsidRPr="00FD7B0B">
        <w:rPr>
          <w:rFonts w:ascii="Times New Roman" w:eastAsia="Times New Roman" w:hAnsi="Times New Roman" w:cs="Times New Roman"/>
          <w:bCs/>
          <w:noProof/>
          <w:sz w:val="24"/>
          <w:szCs w:val="24"/>
        </w:rPr>
        <w:t>92</w:t>
      </w:r>
      <w:r w:rsidRPr="00FD7B0B">
        <w:rPr>
          <w:rFonts w:ascii="Times New Roman" w:eastAsia="Times New Roman" w:hAnsi="Times New Roman" w:cs="Times New Roman"/>
          <w:bCs/>
          <w:sz w:val="24"/>
          <w:szCs w:val="24"/>
        </w:rPr>
        <w:fldChar w:fldCharType="end"/>
      </w:r>
      <w:r w:rsidRPr="00FD7B0B">
        <w:rPr>
          <w:rFonts w:ascii="Times New Roman" w:eastAsia="Times New Roman" w:hAnsi="Times New Roman" w:cs="Times New Roman"/>
          <w:bCs/>
          <w:sz w:val="24"/>
          <w:szCs w:val="24"/>
        </w:rPr>
        <w:t>. Основные параметры утвержденных и исполненных расходов из областного бюджета за 2024 на реализацию мероприятий ГП № 02</w:t>
      </w:r>
    </w:p>
    <w:tbl>
      <w:tblPr>
        <w:tblW w:w="962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521"/>
        <w:gridCol w:w="708"/>
        <w:gridCol w:w="1134"/>
        <w:gridCol w:w="993"/>
        <w:gridCol w:w="1134"/>
        <w:gridCol w:w="1138"/>
      </w:tblGrid>
      <w:tr w:rsidR="00FD7B0B" w:rsidRPr="00FD7B0B" w14:paraId="4261463E" w14:textId="77777777" w:rsidTr="008A3946">
        <w:trPr>
          <w:trHeight w:val="230"/>
          <w:tblHeader/>
        </w:trPr>
        <w:tc>
          <w:tcPr>
            <w:tcW w:w="4521" w:type="dxa"/>
            <w:vMerge w:val="restart"/>
            <w:shd w:val="clear" w:color="auto" w:fill="auto"/>
            <w:vAlign w:val="center"/>
            <w:hideMark/>
          </w:tcPr>
          <w:p w14:paraId="2E162358" w14:textId="77777777" w:rsidR="00632913" w:rsidRPr="00FD7B0B" w:rsidRDefault="00632913" w:rsidP="006F7A1A">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Главный распорядитель, группы видов расходов</w:t>
            </w:r>
          </w:p>
        </w:tc>
        <w:tc>
          <w:tcPr>
            <w:tcW w:w="708" w:type="dxa"/>
            <w:vMerge w:val="restart"/>
            <w:shd w:val="clear" w:color="auto" w:fill="auto"/>
            <w:vAlign w:val="center"/>
            <w:hideMark/>
          </w:tcPr>
          <w:p w14:paraId="2256AE87" w14:textId="77777777" w:rsidR="00632913" w:rsidRPr="00FD7B0B" w:rsidRDefault="00632913" w:rsidP="006F7A1A">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Код вида расходов</w:t>
            </w:r>
          </w:p>
        </w:tc>
        <w:tc>
          <w:tcPr>
            <w:tcW w:w="2127" w:type="dxa"/>
            <w:gridSpan w:val="2"/>
            <w:shd w:val="clear" w:color="auto" w:fill="auto"/>
            <w:vAlign w:val="center"/>
            <w:hideMark/>
          </w:tcPr>
          <w:p w14:paraId="7272366C" w14:textId="7600D0B3" w:rsidR="00632913" w:rsidRPr="00FD7B0B" w:rsidRDefault="006F7A1A" w:rsidP="006F7A1A">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 2024 года, млн.</w:t>
            </w:r>
            <w:r w:rsidR="00632913" w:rsidRPr="00FD7B0B">
              <w:rPr>
                <w:rFonts w:ascii="Times New Roman" w:eastAsia="Times New Roman" w:hAnsi="Times New Roman" w:cs="Times New Roman"/>
                <w:sz w:val="18"/>
                <w:szCs w:val="18"/>
                <w:lang w:eastAsia="ru-RU"/>
              </w:rPr>
              <w:t>руб.</w:t>
            </w:r>
          </w:p>
        </w:tc>
        <w:tc>
          <w:tcPr>
            <w:tcW w:w="2272" w:type="dxa"/>
            <w:gridSpan w:val="2"/>
            <w:shd w:val="clear" w:color="auto" w:fill="auto"/>
            <w:vAlign w:val="center"/>
            <w:hideMark/>
          </w:tcPr>
          <w:p w14:paraId="229ED515" w14:textId="77777777" w:rsidR="00632913" w:rsidRPr="00FD7B0B" w:rsidRDefault="00632913" w:rsidP="006F7A1A">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Исполнение на 2024</w:t>
            </w:r>
          </w:p>
        </w:tc>
      </w:tr>
      <w:tr w:rsidR="00FD7B0B" w:rsidRPr="00FD7B0B" w14:paraId="2D43B42A" w14:textId="77777777" w:rsidTr="006F7A1A">
        <w:trPr>
          <w:trHeight w:val="1251"/>
          <w:tblHeader/>
        </w:trPr>
        <w:tc>
          <w:tcPr>
            <w:tcW w:w="4521" w:type="dxa"/>
            <w:vMerge/>
            <w:vAlign w:val="center"/>
            <w:hideMark/>
          </w:tcPr>
          <w:p w14:paraId="28D09A88" w14:textId="77777777" w:rsidR="00632913" w:rsidRPr="00FD7B0B" w:rsidRDefault="00632913" w:rsidP="006F7A1A">
            <w:pPr>
              <w:spacing w:after="0" w:line="240" w:lineRule="auto"/>
              <w:jc w:val="center"/>
              <w:rPr>
                <w:rFonts w:ascii="Times New Roman" w:eastAsia="Times New Roman" w:hAnsi="Times New Roman" w:cs="Times New Roman"/>
                <w:sz w:val="18"/>
                <w:szCs w:val="18"/>
                <w:lang w:eastAsia="ru-RU"/>
              </w:rPr>
            </w:pPr>
          </w:p>
        </w:tc>
        <w:tc>
          <w:tcPr>
            <w:tcW w:w="708" w:type="dxa"/>
            <w:vMerge/>
            <w:vAlign w:val="center"/>
            <w:hideMark/>
          </w:tcPr>
          <w:p w14:paraId="65C51D5C" w14:textId="77777777" w:rsidR="00632913" w:rsidRPr="00FD7B0B" w:rsidRDefault="00632913" w:rsidP="006F7A1A">
            <w:pPr>
              <w:spacing w:after="0" w:line="240" w:lineRule="auto"/>
              <w:jc w:val="center"/>
              <w:rPr>
                <w:rFonts w:ascii="Times New Roman" w:eastAsia="Times New Roman" w:hAnsi="Times New Roman" w:cs="Times New Roman"/>
                <w:sz w:val="18"/>
                <w:szCs w:val="18"/>
                <w:lang w:eastAsia="ru-RU"/>
              </w:rPr>
            </w:pPr>
          </w:p>
        </w:tc>
        <w:tc>
          <w:tcPr>
            <w:tcW w:w="1134" w:type="dxa"/>
            <w:shd w:val="clear" w:color="auto" w:fill="auto"/>
            <w:vAlign w:val="center"/>
            <w:hideMark/>
          </w:tcPr>
          <w:p w14:paraId="560436FA" w14:textId="77777777" w:rsidR="00632913" w:rsidRPr="00FD7B0B" w:rsidRDefault="00632913" w:rsidP="006F7A1A">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Утверждено на год законом о бюджете</w:t>
            </w:r>
          </w:p>
        </w:tc>
        <w:tc>
          <w:tcPr>
            <w:tcW w:w="993" w:type="dxa"/>
            <w:shd w:val="clear" w:color="auto" w:fill="auto"/>
            <w:vAlign w:val="center"/>
            <w:hideMark/>
          </w:tcPr>
          <w:p w14:paraId="7ABDE584" w14:textId="77777777" w:rsidR="00632913" w:rsidRPr="00FD7B0B" w:rsidRDefault="00632913" w:rsidP="006F7A1A">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Сводная бюджетная роспись на 2024 год</w:t>
            </w:r>
          </w:p>
        </w:tc>
        <w:tc>
          <w:tcPr>
            <w:tcW w:w="1134" w:type="dxa"/>
            <w:shd w:val="clear" w:color="auto" w:fill="auto"/>
            <w:vAlign w:val="center"/>
            <w:hideMark/>
          </w:tcPr>
          <w:p w14:paraId="621AEAD8" w14:textId="18536B66" w:rsidR="00632913" w:rsidRPr="00FD7B0B" w:rsidRDefault="00632913" w:rsidP="006F7A1A">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 на 31.12.2024, млн.руб.</w:t>
            </w:r>
          </w:p>
        </w:tc>
        <w:tc>
          <w:tcPr>
            <w:tcW w:w="1138" w:type="dxa"/>
            <w:shd w:val="clear" w:color="auto" w:fill="auto"/>
            <w:vAlign w:val="center"/>
            <w:hideMark/>
          </w:tcPr>
          <w:p w14:paraId="3DB03DE8" w14:textId="59A56122" w:rsidR="00632913" w:rsidRPr="00FD7B0B" w:rsidRDefault="00632913" w:rsidP="006F7A1A">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к уточненной сводной бюджетной росписи на год</w:t>
            </w:r>
          </w:p>
        </w:tc>
      </w:tr>
      <w:tr w:rsidR="00FD7B0B" w:rsidRPr="00FD7B0B" w14:paraId="2F810230" w14:textId="77777777" w:rsidTr="008A3946">
        <w:trPr>
          <w:trHeight w:val="99"/>
        </w:trPr>
        <w:tc>
          <w:tcPr>
            <w:tcW w:w="4521" w:type="dxa"/>
            <w:shd w:val="clear" w:color="000000" w:fill="C5D9F1"/>
            <w:noWrap/>
            <w:vAlign w:val="bottom"/>
            <w:hideMark/>
          </w:tcPr>
          <w:p w14:paraId="196382A8" w14:textId="77777777" w:rsidR="00632913" w:rsidRPr="00FD7B0B" w:rsidRDefault="00632913" w:rsidP="00632913">
            <w:pPr>
              <w:spacing w:after="0" w:line="240" w:lineRule="auto"/>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1. ГРБС 075 министерство образования</w:t>
            </w:r>
          </w:p>
        </w:tc>
        <w:tc>
          <w:tcPr>
            <w:tcW w:w="708" w:type="dxa"/>
            <w:shd w:val="clear" w:color="auto" w:fill="auto"/>
            <w:noWrap/>
            <w:vAlign w:val="bottom"/>
            <w:hideMark/>
          </w:tcPr>
          <w:p w14:paraId="199820E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p>
        </w:tc>
        <w:tc>
          <w:tcPr>
            <w:tcW w:w="1134" w:type="dxa"/>
            <w:shd w:val="clear" w:color="auto" w:fill="auto"/>
            <w:noWrap/>
            <w:vAlign w:val="bottom"/>
            <w:hideMark/>
          </w:tcPr>
          <w:p w14:paraId="7C3213E7"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34 467,80</w:t>
            </w:r>
          </w:p>
        </w:tc>
        <w:tc>
          <w:tcPr>
            <w:tcW w:w="993" w:type="dxa"/>
            <w:shd w:val="clear" w:color="auto" w:fill="auto"/>
            <w:noWrap/>
            <w:vAlign w:val="bottom"/>
            <w:hideMark/>
          </w:tcPr>
          <w:p w14:paraId="28327FA7"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34 330,50</w:t>
            </w:r>
          </w:p>
        </w:tc>
        <w:tc>
          <w:tcPr>
            <w:tcW w:w="1134" w:type="dxa"/>
            <w:shd w:val="clear" w:color="auto" w:fill="auto"/>
            <w:noWrap/>
            <w:vAlign w:val="bottom"/>
            <w:hideMark/>
          </w:tcPr>
          <w:p w14:paraId="3457F186"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34 295,00</w:t>
            </w:r>
          </w:p>
        </w:tc>
        <w:tc>
          <w:tcPr>
            <w:tcW w:w="1138" w:type="dxa"/>
            <w:shd w:val="clear" w:color="auto" w:fill="auto"/>
            <w:noWrap/>
            <w:vAlign w:val="bottom"/>
            <w:hideMark/>
          </w:tcPr>
          <w:p w14:paraId="2CD982F0"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99,9</w:t>
            </w:r>
          </w:p>
        </w:tc>
      </w:tr>
      <w:tr w:rsidR="00FD7B0B" w:rsidRPr="00FD7B0B" w14:paraId="014A7167" w14:textId="77777777" w:rsidTr="006F7A1A">
        <w:trPr>
          <w:trHeight w:val="38"/>
        </w:trPr>
        <w:tc>
          <w:tcPr>
            <w:tcW w:w="4521" w:type="dxa"/>
            <w:shd w:val="clear" w:color="auto" w:fill="auto"/>
            <w:vAlign w:val="bottom"/>
            <w:hideMark/>
          </w:tcPr>
          <w:p w14:paraId="033DAC7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казенных учреждений</w:t>
            </w:r>
          </w:p>
        </w:tc>
        <w:tc>
          <w:tcPr>
            <w:tcW w:w="708" w:type="dxa"/>
            <w:shd w:val="clear" w:color="auto" w:fill="auto"/>
            <w:noWrap/>
            <w:vAlign w:val="bottom"/>
            <w:hideMark/>
          </w:tcPr>
          <w:p w14:paraId="700E914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110</w:t>
            </w:r>
          </w:p>
        </w:tc>
        <w:tc>
          <w:tcPr>
            <w:tcW w:w="1134" w:type="dxa"/>
            <w:shd w:val="clear" w:color="auto" w:fill="auto"/>
            <w:noWrap/>
            <w:vAlign w:val="bottom"/>
            <w:hideMark/>
          </w:tcPr>
          <w:p w14:paraId="79E7F2CF"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66,0</w:t>
            </w:r>
          </w:p>
        </w:tc>
        <w:tc>
          <w:tcPr>
            <w:tcW w:w="993" w:type="dxa"/>
            <w:shd w:val="clear" w:color="auto" w:fill="auto"/>
            <w:noWrap/>
            <w:vAlign w:val="bottom"/>
            <w:hideMark/>
          </w:tcPr>
          <w:p w14:paraId="525AF1F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68,2</w:t>
            </w:r>
          </w:p>
        </w:tc>
        <w:tc>
          <w:tcPr>
            <w:tcW w:w="1134" w:type="dxa"/>
            <w:shd w:val="clear" w:color="auto" w:fill="auto"/>
            <w:noWrap/>
            <w:vAlign w:val="bottom"/>
            <w:hideMark/>
          </w:tcPr>
          <w:p w14:paraId="0600CFC6"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68,0</w:t>
            </w:r>
          </w:p>
        </w:tc>
        <w:tc>
          <w:tcPr>
            <w:tcW w:w="1138" w:type="dxa"/>
            <w:shd w:val="clear" w:color="auto" w:fill="auto"/>
            <w:noWrap/>
            <w:vAlign w:val="bottom"/>
            <w:hideMark/>
          </w:tcPr>
          <w:p w14:paraId="682F7FE5"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99,7</w:t>
            </w:r>
          </w:p>
        </w:tc>
      </w:tr>
      <w:tr w:rsidR="00FD7B0B" w:rsidRPr="00FD7B0B" w14:paraId="4BCEDACE" w14:textId="77777777" w:rsidTr="006F7A1A">
        <w:trPr>
          <w:trHeight w:val="217"/>
        </w:trPr>
        <w:tc>
          <w:tcPr>
            <w:tcW w:w="4521" w:type="dxa"/>
            <w:shd w:val="clear" w:color="auto" w:fill="auto"/>
            <w:vAlign w:val="bottom"/>
            <w:hideMark/>
          </w:tcPr>
          <w:p w14:paraId="1FED1D8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708" w:type="dxa"/>
            <w:shd w:val="clear" w:color="auto" w:fill="auto"/>
            <w:noWrap/>
            <w:vAlign w:val="bottom"/>
            <w:hideMark/>
          </w:tcPr>
          <w:p w14:paraId="6692F58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120</w:t>
            </w:r>
          </w:p>
        </w:tc>
        <w:tc>
          <w:tcPr>
            <w:tcW w:w="1134" w:type="dxa"/>
            <w:shd w:val="clear" w:color="auto" w:fill="auto"/>
            <w:noWrap/>
            <w:vAlign w:val="bottom"/>
            <w:hideMark/>
          </w:tcPr>
          <w:p w14:paraId="2EE2ECF7"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87,3</w:t>
            </w:r>
          </w:p>
        </w:tc>
        <w:tc>
          <w:tcPr>
            <w:tcW w:w="993" w:type="dxa"/>
            <w:shd w:val="clear" w:color="auto" w:fill="auto"/>
            <w:noWrap/>
            <w:vAlign w:val="bottom"/>
            <w:hideMark/>
          </w:tcPr>
          <w:p w14:paraId="52A98D81"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97,5</w:t>
            </w:r>
          </w:p>
        </w:tc>
        <w:tc>
          <w:tcPr>
            <w:tcW w:w="1134" w:type="dxa"/>
            <w:shd w:val="clear" w:color="auto" w:fill="auto"/>
            <w:noWrap/>
            <w:vAlign w:val="bottom"/>
            <w:hideMark/>
          </w:tcPr>
          <w:p w14:paraId="4DA67C88"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97,3</w:t>
            </w:r>
          </w:p>
        </w:tc>
        <w:tc>
          <w:tcPr>
            <w:tcW w:w="1138" w:type="dxa"/>
            <w:shd w:val="clear" w:color="auto" w:fill="auto"/>
            <w:noWrap/>
            <w:vAlign w:val="bottom"/>
            <w:hideMark/>
          </w:tcPr>
          <w:p w14:paraId="0704521D"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99,8</w:t>
            </w:r>
          </w:p>
        </w:tc>
      </w:tr>
      <w:tr w:rsidR="00FD7B0B" w:rsidRPr="00FD7B0B" w14:paraId="2663A379" w14:textId="77777777" w:rsidTr="006F7A1A">
        <w:trPr>
          <w:trHeight w:val="1156"/>
        </w:trPr>
        <w:tc>
          <w:tcPr>
            <w:tcW w:w="4521" w:type="dxa"/>
            <w:shd w:val="clear" w:color="auto" w:fill="auto"/>
            <w:vAlign w:val="bottom"/>
            <w:hideMark/>
          </w:tcPr>
          <w:p w14:paraId="59ACFA7C"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Социальные выплаты гражданам, кроме публичных нормативных социальных выплат (предоставление жилых помещений специализированного жилищного фонда детям-сиротам и детям, оставшимся без попечения родителей, лицам из числа детей-сирот и детей, оставшихся без попечения родителей…)</w:t>
            </w:r>
          </w:p>
        </w:tc>
        <w:tc>
          <w:tcPr>
            <w:tcW w:w="708" w:type="dxa"/>
            <w:shd w:val="clear" w:color="auto" w:fill="auto"/>
            <w:noWrap/>
            <w:vAlign w:val="bottom"/>
            <w:hideMark/>
          </w:tcPr>
          <w:p w14:paraId="5C12453B"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320</w:t>
            </w:r>
          </w:p>
        </w:tc>
        <w:tc>
          <w:tcPr>
            <w:tcW w:w="1134" w:type="dxa"/>
            <w:shd w:val="clear" w:color="auto" w:fill="auto"/>
            <w:noWrap/>
            <w:vAlign w:val="bottom"/>
            <w:hideMark/>
          </w:tcPr>
          <w:p w14:paraId="43F6CEA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23,0</w:t>
            </w:r>
          </w:p>
        </w:tc>
        <w:tc>
          <w:tcPr>
            <w:tcW w:w="993" w:type="dxa"/>
            <w:shd w:val="clear" w:color="auto" w:fill="auto"/>
            <w:noWrap/>
            <w:vAlign w:val="bottom"/>
            <w:hideMark/>
          </w:tcPr>
          <w:p w14:paraId="6E6213C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23,5</w:t>
            </w:r>
          </w:p>
        </w:tc>
        <w:tc>
          <w:tcPr>
            <w:tcW w:w="1134" w:type="dxa"/>
            <w:shd w:val="clear" w:color="auto" w:fill="auto"/>
            <w:noWrap/>
            <w:vAlign w:val="bottom"/>
            <w:hideMark/>
          </w:tcPr>
          <w:p w14:paraId="439D03CB"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23,5</w:t>
            </w:r>
          </w:p>
        </w:tc>
        <w:tc>
          <w:tcPr>
            <w:tcW w:w="1138" w:type="dxa"/>
            <w:shd w:val="clear" w:color="auto" w:fill="auto"/>
            <w:noWrap/>
            <w:vAlign w:val="bottom"/>
            <w:hideMark/>
          </w:tcPr>
          <w:p w14:paraId="79A76892"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0C9AEB9" w14:textId="77777777" w:rsidTr="006F7A1A">
        <w:trPr>
          <w:trHeight w:val="1097"/>
        </w:trPr>
        <w:tc>
          <w:tcPr>
            <w:tcW w:w="4521" w:type="dxa"/>
            <w:shd w:val="clear" w:color="auto" w:fill="auto"/>
            <w:vAlign w:val="bottom"/>
            <w:hideMark/>
          </w:tcPr>
          <w:p w14:paraId="57832B4D"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Премии и гранты (организация и проведение системы конкурсов на присуждение премий за достижения в педагогической деятельности: лучшим учителям; лучшим воспитателям лучшим педагогам дополнительного образования, тренерам-преподавателям образовательных организаций)</w:t>
            </w:r>
          </w:p>
        </w:tc>
        <w:tc>
          <w:tcPr>
            <w:tcW w:w="708" w:type="dxa"/>
            <w:shd w:val="clear" w:color="auto" w:fill="auto"/>
            <w:noWrap/>
            <w:vAlign w:val="bottom"/>
            <w:hideMark/>
          </w:tcPr>
          <w:p w14:paraId="5E211AB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350</w:t>
            </w:r>
          </w:p>
        </w:tc>
        <w:tc>
          <w:tcPr>
            <w:tcW w:w="1134" w:type="dxa"/>
            <w:shd w:val="clear" w:color="auto" w:fill="auto"/>
            <w:noWrap/>
            <w:vAlign w:val="bottom"/>
            <w:hideMark/>
          </w:tcPr>
          <w:p w14:paraId="370AADFB"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w:t>
            </w:r>
          </w:p>
        </w:tc>
        <w:tc>
          <w:tcPr>
            <w:tcW w:w="993" w:type="dxa"/>
            <w:shd w:val="clear" w:color="auto" w:fill="auto"/>
            <w:noWrap/>
            <w:vAlign w:val="bottom"/>
            <w:hideMark/>
          </w:tcPr>
          <w:p w14:paraId="2FC1454F"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3,7</w:t>
            </w:r>
          </w:p>
        </w:tc>
        <w:tc>
          <w:tcPr>
            <w:tcW w:w="1134" w:type="dxa"/>
            <w:shd w:val="clear" w:color="auto" w:fill="auto"/>
            <w:noWrap/>
            <w:vAlign w:val="bottom"/>
            <w:hideMark/>
          </w:tcPr>
          <w:p w14:paraId="248CBA59"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3,7</w:t>
            </w:r>
          </w:p>
        </w:tc>
        <w:tc>
          <w:tcPr>
            <w:tcW w:w="1138" w:type="dxa"/>
            <w:shd w:val="clear" w:color="auto" w:fill="auto"/>
            <w:noWrap/>
            <w:vAlign w:val="bottom"/>
            <w:hideMark/>
          </w:tcPr>
          <w:p w14:paraId="45D5A938"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F98570D" w14:textId="77777777" w:rsidTr="006F7A1A">
        <w:trPr>
          <w:trHeight w:val="244"/>
        </w:trPr>
        <w:tc>
          <w:tcPr>
            <w:tcW w:w="4521" w:type="dxa"/>
            <w:shd w:val="clear" w:color="auto" w:fill="auto"/>
            <w:vAlign w:val="bottom"/>
            <w:hideMark/>
          </w:tcPr>
          <w:p w14:paraId="4440BFD4"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выплаты населению (в том числе предоставление единовременной выплаты молодым специалистам в сфере образования в связи с поступлением на работу)</w:t>
            </w:r>
          </w:p>
        </w:tc>
        <w:tc>
          <w:tcPr>
            <w:tcW w:w="708" w:type="dxa"/>
            <w:shd w:val="clear" w:color="auto" w:fill="auto"/>
            <w:noWrap/>
            <w:vAlign w:val="bottom"/>
            <w:hideMark/>
          </w:tcPr>
          <w:p w14:paraId="030C12F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360</w:t>
            </w:r>
          </w:p>
        </w:tc>
        <w:tc>
          <w:tcPr>
            <w:tcW w:w="1134" w:type="dxa"/>
            <w:shd w:val="clear" w:color="auto" w:fill="auto"/>
            <w:noWrap/>
            <w:vAlign w:val="bottom"/>
            <w:hideMark/>
          </w:tcPr>
          <w:p w14:paraId="013F62C0"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41,6</w:t>
            </w:r>
          </w:p>
        </w:tc>
        <w:tc>
          <w:tcPr>
            <w:tcW w:w="993" w:type="dxa"/>
            <w:shd w:val="clear" w:color="auto" w:fill="auto"/>
            <w:noWrap/>
            <w:vAlign w:val="bottom"/>
            <w:hideMark/>
          </w:tcPr>
          <w:p w14:paraId="77BBFFE5"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42,2</w:t>
            </w:r>
          </w:p>
        </w:tc>
        <w:tc>
          <w:tcPr>
            <w:tcW w:w="1134" w:type="dxa"/>
            <w:shd w:val="clear" w:color="auto" w:fill="auto"/>
            <w:noWrap/>
            <w:vAlign w:val="bottom"/>
            <w:hideMark/>
          </w:tcPr>
          <w:p w14:paraId="0254E21C"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42,2</w:t>
            </w:r>
          </w:p>
        </w:tc>
        <w:tc>
          <w:tcPr>
            <w:tcW w:w="1138" w:type="dxa"/>
            <w:shd w:val="clear" w:color="auto" w:fill="auto"/>
            <w:noWrap/>
            <w:vAlign w:val="bottom"/>
            <w:hideMark/>
          </w:tcPr>
          <w:p w14:paraId="0D72FE7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79DBAE79" w14:textId="77777777" w:rsidTr="006F7A1A">
        <w:trPr>
          <w:trHeight w:val="182"/>
        </w:trPr>
        <w:tc>
          <w:tcPr>
            <w:tcW w:w="4521" w:type="dxa"/>
            <w:shd w:val="clear" w:color="auto" w:fill="auto"/>
            <w:vAlign w:val="bottom"/>
            <w:hideMark/>
          </w:tcPr>
          <w:p w14:paraId="62504CF6"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w:t>
            </w:r>
          </w:p>
        </w:tc>
        <w:tc>
          <w:tcPr>
            <w:tcW w:w="708" w:type="dxa"/>
            <w:shd w:val="clear" w:color="auto" w:fill="auto"/>
            <w:noWrap/>
            <w:vAlign w:val="bottom"/>
            <w:hideMark/>
          </w:tcPr>
          <w:p w14:paraId="3DA55EE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520</w:t>
            </w:r>
          </w:p>
        </w:tc>
        <w:tc>
          <w:tcPr>
            <w:tcW w:w="1134" w:type="dxa"/>
            <w:shd w:val="clear" w:color="auto" w:fill="auto"/>
            <w:noWrap/>
            <w:vAlign w:val="bottom"/>
            <w:hideMark/>
          </w:tcPr>
          <w:p w14:paraId="0C3655C1"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849,2</w:t>
            </w:r>
          </w:p>
        </w:tc>
        <w:tc>
          <w:tcPr>
            <w:tcW w:w="993" w:type="dxa"/>
            <w:shd w:val="clear" w:color="auto" w:fill="auto"/>
            <w:noWrap/>
            <w:vAlign w:val="bottom"/>
            <w:hideMark/>
          </w:tcPr>
          <w:p w14:paraId="1B84896F"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751,6</w:t>
            </w:r>
          </w:p>
        </w:tc>
        <w:tc>
          <w:tcPr>
            <w:tcW w:w="1134" w:type="dxa"/>
            <w:shd w:val="clear" w:color="auto" w:fill="auto"/>
            <w:noWrap/>
            <w:vAlign w:val="bottom"/>
            <w:hideMark/>
          </w:tcPr>
          <w:p w14:paraId="4699234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744,9</w:t>
            </w:r>
          </w:p>
        </w:tc>
        <w:tc>
          <w:tcPr>
            <w:tcW w:w="1138" w:type="dxa"/>
            <w:shd w:val="clear" w:color="auto" w:fill="auto"/>
            <w:noWrap/>
            <w:vAlign w:val="bottom"/>
            <w:hideMark/>
          </w:tcPr>
          <w:p w14:paraId="7BEACD87"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99,1</w:t>
            </w:r>
          </w:p>
        </w:tc>
      </w:tr>
      <w:tr w:rsidR="00FD7B0B" w:rsidRPr="00FD7B0B" w14:paraId="0D8EFF15" w14:textId="77777777" w:rsidTr="006F7A1A">
        <w:trPr>
          <w:trHeight w:val="138"/>
        </w:trPr>
        <w:tc>
          <w:tcPr>
            <w:tcW w:w="4521" w:type="dxa"/>
            <w:shd w:val="clear" w:color="auto" w:fill="auto"/>
            <w:vAlign w:val="bottom"/>
            <w:hideMark/>
          </w:tcPr>
          <w:p w14:paraId="7BC150A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Субвенции</w:t>
            </w:r>
          </w:p>
        </w:tc>
        <w:tc>
          <w:tcPr>
            <w:tcW w:w="708" w:type="dxa"/>
            <w:shd w:val="clear" w:color="auto" w:fill="auto"/>
            <w:noWrap/>
            <w:vAlign w:val="bottom"/>
            <w:hideMark/>
          </w:tcPr>
          <w:p w14:paraId="42407B9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530</w:t>
            </w:r>
          </w:p>
        </w:tc>
        <w:tc>
          <w:tcPr>
            <w:tcW w:w="1134" w:type="dxa"/>
            <w:shd w:val="clear" w:color="auto" w:fill="auto"/>
            <w:noWrap/>
            <w:vAlign w:val="bottom"/>
            <w:hideMark/>
          </w:tcPr>
          <w:p w14:paraId="3ED18CF2"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23 471,8</w:t>
            </w:r>
          </w:p>
        </w:tc>
        <w:tc>
          <w:tcPr>
            <w:tcW w:w="993" w:type="dxa"/>
            <w:shd w:val="clear" w:color="auto" w:fill="auto"/>
            <w:noWrap/>
            <w:vAlign w:val="bottom"/>
            <w:hideMark/>
          </w:tcPr>
          <w:p w14:paraId="0818F1E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23 662,7</w:t>
            </w:r>
          </w:p>
        </w:tc>
        <w:tc>
          <w:tcPr>
            <w:tcW w:w="1134" w:type="dxa"/>
            <w:shd w:val="clear" w:color="auto" w:fill="auto"/>
            <w:noWrap/>
            <w:vAlign w:val="bottom"/>
            <w:hideMark/>
          </w:tcPr>
          <w:p w14:paraId="4004605D"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23 659,5</w:t>
            </w:r>
          </w:p>
        </w:tc>
        <w:tc>
          <w:tcPr>
            <w:tcW w:w="1138" w:type="dxa"/>
            <w:shd w:val="clear" w:color="auto" w:fill="auto"/>
            <w:noWrap/>
            <w:vAlign w:val="bottom"/>
            <w:hideMark/>
          </w:tcPr>
          <w:p w14:paraId="02F1B3E5"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99,9</w:t>
            </w:r>
          </w:p>
        </w:tc>
      </w:tr>
      <w:tr w:rsidR="00FD7B0B" w:rsidRPr="00FD7B0B" w14:paraId="6421887F" w14:textId="77777777" w:rsidTr="006F7A1A">
        <w:trPr>
          <w:trHeight w:val="185"/>
        </w:trPr>
        <w:tc>
          <w:tcPr>
            <w:tcW w:w="4521" w:type="dxa"/>
            <w:shd w:val="clear" w:color="auto" w:fill="auto"/>
            <w:vAlign w:val="bottom"/>
            <w:hideMark/>
          </w:tcPr>
          <w:p w14:paraId="41DC8686"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межбюджетные трансферты</w:t>
            </w:r>
          </w:p>
        </w:tc>
        <w:tc>
          <w:tcPr>
            <w:tcW w:w="708" w:type="dxa"/>
            <w:shd w:val="clear" w:color="auto" w:fill="auto"/>
            <w:noWrap/>
            <w:vAlign w:val="bottom"/>
            <w:hideMark/>
          </w:tcPr>
          <w:p w14:paraId="44218E8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540</w:t>
            </w:r>
          </w:p>
        </w:tc>
        <w:tc>
          <w:tcPr>
            <w:tcW w:w="1134" w:type="dxa"/>
            <w:shd w:val="clear" w:color="auto" w:fill="auto"/>
            <w:noWrap/>
            <w:vAlign w:val="bottom"/>
            <w:hideMark/>
          </w:tcPr>
          <w:p w14:paraId="5664E42C"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1 988,9</w:t>
            </w:r>
          </w:p>
        </w:tc>
        <w:tc>
          <w:tcPr>
            <w:tcW w:w="993" w:type="dxa"/>
            <w:shd w:val="clear" w:color="auto" w:fill="auto"/>
            <w:noWrap/>
            <w:vAlign w:val="bottom"/>
            <w:hideMark/>
          </w:tcPr>
          <w:p w14:paraId="779248BE"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1 783,9</w:t>
            </w:r>
          </w:p>
        </w:tc>
        <w:tc>
          <w:tcPr>
            <w:tcW w:w="1134" w:type="dxa"/>
            <w:shd w:val="clear" w:color="auto" w:fill="auto"/>
            <w:noWrap/>
            <w:vAlign w:val="bottom"/>
            <w:hideMark/>
          </w:tcPr>
          <w:p w14:paraId="41FD9C48"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1 766,5</w:t>
            </w:r>
          </w:p>
        </w:tc>
        <w:tc>
          <w:tcPr>
            <w:tcW w:w="1138" w:type="dxa"/>
            <w:shd w:val="clear" w:color="auto" w:fill="auto"/>
            <w:noWrap/>
            <w:vAlign w:val="bottom"/>
            <w:hideMark/>
          </w:tcPr>
          <w:p w14:paraId="3961485A"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99,0</w:t>
            </w:r>
          </w:p>
        </w:tc>
      </w:tr>
      <w:tr w:rsidR="00FD7B0B" w:rsidRPr="00FD7B0B" w14:paraId="28A25B28" w14:textId="77777777" w:rsidTr="006F7A1A">
        <w:trPr>
          <w:trHeight w:val="79"/>
        </w:trPr>
        <w:tc>
          <w:tcPr>
            <w:tcW w:w="4521" w:type="dxa"/>
            <w:shd w:val="clear" w:color="auto" w:fill="auto"/>
            <w:vAlign w:val="bottom"/>
            <w:hideMark/>
          </w:tcPr>
          <w:p w14:paraId="757E6E3D"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учреждениям</w:t>
            </w:r>
          </w:p>
        </w:tc>
        <w:tc>
          <w:tcPr>
            <w:tcW w:w="708" w:type="dxa"/>
            <w:shd w:val="clear" w:color="auto" w:fill="auto"/>
            <w:noWrap/>
            <w:vAlign w:val="bottom"/>
            <w:hideMark/>
          </w:tcPr>
          <w:p w14:paraId="0E580EE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610</w:t>
            </w:r>
          </w:p>
        </w:tc>
        <w:tc>
          <w:tcPr>
            <w:tcW w:w="1134" w:type="dxa"/>
            <w:shd w:val="clear" w:color="auto" w:fill="auto"/>
            <w:noWrap/>
            <w:vAlign w:val="bottom"/>
            <w:hideMark/>
          </w:tcPr>
          <w:p w14:paraId="6340676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4 235,9</w:t>
            </w:r>
          </w:p>
        </w:tc>
        <w:tc>
          <w:tcPr>
            <w:tcW w:w="993" w:type="dxa"/>
            <w:shd w:val="clear" w:color="auto" w:fill="auto"/>
            <w:noWrap/>
            <w:vAlign w:val="bottom"/>
            <w:hideMark/>
          </w:tcPr>
          <w:p w14:paraId="38CB5F5D"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4 151,1</w:t>
            </w:r>
          </w:p>
        </w:tc>
        <w:tc>
          <w:tcPr>
            <w:tcW w:w="1134" w:type="dxa"/>
            <w:shd w:val="clear" w:color="auto" w:fill="auto"/>
            <w:noWrap/>
            <w:vAlign w:val="bottom"/>
            <w:hideMark/>
          </w:tcPr>
          <w:p w14:paraId="6D164C2C"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4 145,5</w:t>
            </w:r>
          </w:p>
        </w:tc>
        <w:tc>
          <w:tcPr>
            <w:tcW w:w="1138" w:type="dxa"/>
            <w:shd w:val="clear" w:color="auto" w:fill="auto"/>
            <w:noWrap/>
            <w:vAlign w:val="bottom"/>
            <w:hideMark/>
          </w:tcPr>
          <w:p w14:paraId="0B75289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99,9</w:t>
            </w:r>
          </w:p>
        </w:tc>
      </w:tr>
      <w:tr w:rsidR="00FD7B0B" w:rsidRPr="00FD7B0B" w14:paraId="41DACB51" w14:textId="77777777" w:rsidTr="006F7A1A">
        <w:trPr>
          <w:trHeight w:val="139"/>
        </w:trPr>
        <w:tc>
          <w:tcPr>
            <w:tcW w:w="4521" w:type="dxa"/>
            <w:shd w:val="clear" w:color="auto" w:fill="auto"/>
            <w:vAlign w:val="bottom"/>
            <w:hideMark/>
          </w:tcPr>
          <w:p w14:paraId="778FD98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автономным учреждениям</w:t>
            </w:r>
          </w:p>
        </w:tc>
        <w:tc>
          <w:tcPr>
            <w:tcW w:w="708" w:type="dxa"/>
            <w:shd w:val="clear" w:color="auto" w:fill="auto"/>
            <w:noWrap/>
            <w:vAlign w:val="bottom"/>
            <w:hideMark/>
          </w:tcPr>
          <w:p w14:paraId="6498311B"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620</w:t>
            </w:r>
          </w:p>
        </w:tc>
        <w:tc>
          <w:tcPr>
            <w:tcW w:w="1134" w:type="dxa"/>
            <w:shd w:val="clear" w:color="auto" w:fill="auto"/>
            <w:noWrap/>
            <w:vAlign w:val="bottom"/>
            <w:hideMark/>
          </w:tcPr>
          <w:p w14:paraId="3DA0D3C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2 399,8</w:t>
            </w:r>
          </w:p>
        </w:tc>
        <w:tc>
          <w:tcPr>
            <w:tcW w:w="993" w:type="dxa"/>
            <w:shd w:val="clear" w:color="auto" w:fill="auto"/>
            <w:noWrap/>
            <w:vAlign w:val="bottom"/>
            <w:hideMark/>
          </w:tcPr>
          <w:p w14:paraId="5DE8E2D0"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2 458,9</w:t>
            </w:r>
          </w:p>
        </w:tc>
        <w:tc>
          <w:tcPr>
            <w:tcW w:w="1134" w:type="dxa"/>
            <w:shd w:val="clear" w:color="auto" w:fill="auto"/>
            <w:noWrap/>
            <w:vAlign w:val="bottom"/>
            <w:hideMark/>
          </w:tcPr>
          <w:p w14:paraId="4A5232E2"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2 457,0</w:t>
            </w:r>
          </w:p>
        </w:tc>
        <w:tc>
          <w:tcPr>
            <w:tcW w:w="1138" w:type="dxa"/>
            <w:shd w:val="clear" w:color="auto" w:fill="auto"/>
            <w:noWrap/>
            <w:vAlign w:val="bottom"/>
            <w:hideMark/>
          </w:tcPr>
          <w:p w14:paraId="4E76E277"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99,9</w:t>
            </w:r>
          </w:p>
        </w:tc>
      </w:tr>
      <w:tr w:rsidR="00FD7B0B" w:rsidRPr="00FD7B0B" w14:paraId="7202E7EF" w14:textId="77777777" w:rsidTr="006F7A1A">
        <w:trPr>
          <w:trHeight w:val="834"/>
        </w:trPr>
        <w:tc>
          <w:tcPr>
            <w:tcW w:w="4521" w:type="dxa"/>
            <w:shd w:val="clear" w:color="auto" w:fill="auto"/>
            <w:vAlign w:val="bottom"/>
            <w:hideMark/>
          </w:tcPr>
          <w:p w14:paraId="01B6C556"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некоммерческим организациям (за исключением государственных (муниципальных) учреждений, государственных корпораций (компаний), публично-правовых компаний)</w:t>
            </w:r>
          </w:p>
        </w:tc>
        <w:tc>
          <w:tcPr>
            <w:tcW w:w="708" w:type="dxa"/>
            <w:shd w:val="clear" w:color="auto" w:fill="auto"/>
            <w:noWrap/>
            <w:vAlign w:val="bottom"/>
            <w:hideMark/>
          </w:tcPr>
          <w:p w14:paraId="5BBD1EB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630</w:t>
            </w:r>
          </w:p>
        </w:tc>
        <w:tc>
          <w:tcPr>
            <w:tcW w:w="1134" w:type="dxa"/>
            <w:shd w:val="clear" w:color="auto" w:fill="auto"/>
            <w:noWrap/>
            <w:vAlign w:val="bottom"/>
            <w:hideMark/>
          </w:tcPr>
          <w:p w14:paraId="01509F0B"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135,2</w:t>
            </w:r>
          </w:p>
        </w:tc>
        <w:tc>
          <w:tcPr>
            <w:tcW w:w="993" w:type="dxa"/>
            <w:shd w:val="clear" w:color="auto" w:fill="auto"/>
            <w:noWrap/>
            <w:vAlign w:val="bottom"/>
            <w:hideMark/>
          </w:tcPr>
          <w:p w14:paraId="0CF20878"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134,8</w:t>
            </w:r>
          </w:p>
        </w:tc>
        <w:tc>
          <w:tcPr>
            <w:tcW w:w="1134" w:type="dxa"/>
            <w:shd w:val="clear" w:color="auto" w:fill="auto"/>
            <w:noWrap/>
            <w:vAlign w:val="bottom"/>
            <w:hideMark/>
          </w:tcPr>
          <w:p w14:paraId="3C3BA229"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134,8</w:t>
            </w:r>
          </w:p>
        </w:tc>
        <w:tc>
          <w:tcPr>
            <w:tcW w:w="1138" w:type="dxa"/>
            <w:shd w:val="clear" w:color="auto" w:fill="auto"/>
            <w:noWrap/>
            <w:vAlign w:val="bottom"/>
            <w:hideMark/>
          </w:tcPr>
          <w:p w14:paraId="56C8D792"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6750C9C" w14:textId="77777777" w:rsidTr="006F7A1A">
        <w:trPr>
          <w:trHeight w:val="845"/>
        </w:trPr>
        <w:tc>
          <w:tcPr>
            <w:tcW w:w="4521" w:type="dxa"/>
            <w:shd w:val="clear" w:color="auto" w:fill="auto"/>
            <w:vAlign w:val="bottom"/>
            <w:hideMark/>
          </w:tcPr>
          <w:p w14:paraId="7488AB3D"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lastRenderedPageBreak/>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708" w:type="dxa"/>
            <w:shd w:val="clear" w:color="auto" w:fill="auto"/>
            <w:noWrap/>
            <w:vAlign w:val="bottom"/>
            <w:hideMark/>
          </w:tcPr>
          <w:p w14:paraId="3A1E474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810</w:t>
            </w:r>
          </w:p>
        </w:tc>
        <w:tc>
          <w:tcPr>
            <w:tcW w:w="1134" w:type="dxa"/>
            <w:shd w:val="clear" w:color="auto" w:fill="auto"/>
            <w:noWrap/>
            <w:vAlign w:val="bottom"/>
            <w:hideMark/>
          </w:tcPr>
          <w:p w14:paraId="36A091CF"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869,1</w:t>
            </w:r>
          </w:p>
        </w:tc>
        <w:tc>
          <w:tcPr>
            <w:tcW w:w="993" w:type="dxa"/>
            <w:shd w:val="clear" w:color="auto" w:fill="auto"/>
            <w:noWrap/>
            <w:vAlign w:val="bottom"/>
            <w:hideMark/>
          </w:tcPr>
          <w:p w14:paraId="49067C1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868,3</w:t>
            </w:r>
          </w:p>
        </w:tc>
        <w:tc>
          <w:tcPr>
            <w:tcW w:w="1134" w:type="dxa"/>
            <w:shd w:val="clear" w:color="auto" w:fill="auto"/>
            <w:noWrap/>
            <w:vAlign w:val="bottom"/>
            <w:hideMark/>
          </w:tcPr>
          <w:p w14:paraId="18D2E8DB"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868,3</w:t>
            </w:r>
          </w:p>
        </w:tc>
        <w:tc>
          <w:tcPr>
            <w:tcW w:w="1138" w:type="dxa"/>
            <w:shd w:val="clear" w:color="auto" w:fill="auto"/>
            <w:noWrap/>
            <w:vAlign w:val="bottom"/>
            <w:hideMark/>
          </w:tcPr>
          <w:p w14:paraId="6E3BC80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08BEAC9" w14:textId="77777777" w:rsidTr="006F7A1A">
        <w:trPr>
          <w:trHeight w:val="52"/>
        </w:trPr>
        <w:tc>
          <w:tcPr>
            <w:tcW w:w="4521" w:type="dxa"/>
            <w:shd w:val="clear" w:color="auto" w:fill="auto"/>
            <w:vAlign w:val="bottom"/>
            <w:hideMark/>
          </w:tcPr>
          <w:p w14:paraId="53717757"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Уплата налогов, сборов и иных платежей</w:t>
            </w:r>
          </w:p>
        </w:tc>
        <w:tc>
          <w:tcPr>
            <w:tcW w:w="708" w:type="dxa"/>
            <w:shd w:val="clear" w:color="auto" w:fill="auto"/>
            <w:noWrap/>
            <w:vAlign w:val="bottom"/>
            <w:hideMark/>
          </w:tcPr>
          <w:p w14:paraId="42FC271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850</w:t>
            </w:r>
          </w:p>
        </w:tc>
        <w:tc>
          <w:tcPr>
            <w:tcW w:w="1134" w:type="dxa"/>
            <w:shd w:val="clear" w:color="auto" w:fill="auto"/>
            <w:noWrap/>
            <w:vAlign w:val="bottom"/>
            <w:hideMark/>
          </w:tcPr>
          <w:p w14:paraId="5E735E36"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993" w:type="dxa"/>
            <w:shd w:val="clear" w:color="auto" w:fill="auto"/>
            <w:noWrap/>
            <w:vAlign w:val="bottom"/>
            <w:hideMark/>
          </w:tcPr>
          <w:p w14:paraId="0AF22FD0"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1134" w:type="dxa"/>
            <w:shd w:val="clear" w:color="auto" w:fill="auto"/>
            <w:noWrap/>
            <w:vAlign w:val="bottom"/>
            <w:hideMark/>
          </w:tcPr>
          <w:p w14:paraId="0820EB26"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1138" w:type="dxa"/>
            <w:shd w:val="clear" w:color="auto" w:fill="auto"/>
            <w:noWrap/>
            <w:vAlign w:val="bottom"/>
            <w:hideMark/>
          </w:tcPr>
          <w:p w14:paraId="71E9C73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6A73E639" w14:textId="77777777" w:rsidTr="006F7A1A">
        <w:trPr>
          <w:trHeight w:val="125"/>
        </w:trPr>
        <w:tc>
          <w:tcPr>
            <w:tcW w:w="4521" w:type="dxa"/>
            <w:shd w:val="clear" w:color="auto" w:fill="auto"/>
            <w:vAlign w:val="bottom"/>
            <w:hideMark/>
          </w:tcPr>
          <w:p w14:paraId="02BAF33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Контрактуемые расходы, всего</w:t>
            </w:r>
          </w:p>
        </w:tc>
        <w:tc>
          <w:tcPr>
            <w:tcW w:w="708" w:type="dxa"/>
            <w:shd w:val="clear" w:color="auto" w:fill="auto"/>
            <w:noWrap/>
            <w:vAlign w:val="bottom"/>
            <w:hideMark/>
          </w:tcPr>
          <w:p w14:paraId="591168C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p>
        </w:tc>
        <w:tc>
          <w:tcPr>
            <w:tcW w:w="1134" w:type="dxa"/>
            <w:shd w:val="clear" w:color="auto" w:fill="auto"/>
            <w:noWrap/>
            <w:vAlign w:val="bottom"/>
            <w:hideMark/>
          </w:tcPr>
          <w:p w14:paraId="0BEDBEC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p>
        </w:tc>
        <w:tc>
          <w:tcPr>
            <w:tcW w:w="993" w:type="dxa"/>
            <w:shd w:val="clear" w:color="auto" w:fill="auto"/>
            <w:noWrap/>
            <w:vAlign w:val="bottom"/>
            <w:hideMark/>
          </w:tcPr>
          <w:p w14:paraId="3ABC243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134" w:type="dxa"/>
            <w:shd w:val="clear" w:color="auto" w:fill="auto"/>
            <w:noWrap/>
            <w:vAlign w:val="bottom"/>
            <w:hideMark/>
          </w:tcPr>
          <w:p w14:paraId="5EC648F7"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138" w:type="dxa"/>
            <w:shd w:val="clear" w:color="auto" w:fill="auto"/>
            <w:noWrap/>
            <w:vAlign w:val="bottom"/>
            <w:hideMark/>
          </w:tcPr>
          <w:p w14:paraId="77EA16A6"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20D54E33" w14:textId="77777777" w:rsidTr="006F7A1A">
        <w:trPr>
          <w:trHeight w:val="172"/>
        </w:trPr>
        <w:tc>
          <w:tcPr>
            <w:tcW w:w="4521" w:type="dxa"/>
            <w:shd w:val="clear" w:color="auto" w:fill="auto"/>
            <w:vAlign w:val="bottom"/>
            <w:hideMark/>
          </w:tcPr>
          <w:p w14:paraId="7B5405B9"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708" w:type="dxa"/>
            <w:shd w:val="clear" w:color="auto" w:fill="auto"/>
            <w:noWrap/>
            <w:vAlign w:val="bottom"/>
            <w:hideMark/>
          </w:tcPr>
          <w:p w14:paraId="616C956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1134" w:type="dxa"/>
            <w:shd w:val="clear" w:color="auto" w:fill="auto"/>
            <w:noWrap/>
            <w:vAlign w:val="bottom"/>
            <w:hideMark/>
          </w:tcPr>
          <w:p w14:paraId="1DAD3CF5"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296,0</w:t>
            </w:r>
          </w:p>
        </w:tc>
        <w:tc>
          <w:tcPr>
            <w:tcW w:w="993" w:type="dxa"/>
            <w:shd w:val="clear" w:color="auto" w:fill="auto"/>
            <w:noWrap/>
            <w:vAlign w:val="bottom"/>
            <w:hideMark/>
          </w:tcPr>
          <w:p w14:paraId="1A084BFD"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282,0</w:t>
            </w:r>
          </w:p>
        </w:tc>
        <w:tc>
          <w:tcPr>
            <w:tcW w:w="1134" w:type="dxa"/>
            <w:shd w:val="clear" w:color="auto" w:fill="auto"/>
            <w:noWrap/>
            <w:vAlign w:val="bottom"/>
            <w:hideMark/>
          </w:tcPr>
          <w:p w14:paraId="4B57D93D"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281,7</w:t>
            </w:r>
          </w:p>
        </w:tc>
        <w:tc>
          <w:tcPr>
            <w:tcW w:w="1138" w:type="dxa"/>
            <w:shd w:val="clear" w:color="auto" w:fill="auto"/>
            <w:noWrap/>
            <w:vAlign w:val="bottom"/>
            <w:hideMark/>
          </w:tcPr>
          <w:p w14:paraId="0435D91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99,9</w:t>
            </w:r>
          </w:p>
        </w:tc>
      </w:tr>
      <w:tr w:rsidR="00FD7B0B" w:rsidRPr="00FD7B0B" w14:paraId="0E512D0D" w14:textId="77777777" w:rsidTr="006F7A1A">
        <w:trPr>
          <w:trHeight w:val="301"/>
        </w:trPr>
        <w:tc>
          <w:tcPr>
            <w:tcW w:w="4521" w:type="dxa"/>
            <w:shd w:val="clear" w:color="000000" w:fill="C5D9F1"/>
            <w:vAlign w:val="bottom"/>
            <w:hideMark/>
          </w:tcPr>
          <w:p w14:paraId="3225B905" w14:textId="77777777" w:rsidR="00632913" w:rsidRPr="00FD7B0B" w:rsidRDefault="00632913" w:rsidP="00632913">
            <w:pPr>
              <w:spacing w:after="0" w:line="240" w:lineRule="auto"/>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xml:space="preserve">2. ГРБС 019 министерство строительства и архитектуры </w:t>
            </w:r>
          </w:p>
        </w:tc>
        <w:tc>
          <w:tcPr>
            <w:tcW w:w="708" w:type="dxa"/>
            <w:shd w:val="clear" w:color="auto" w:fill="auto"/>
            <w:noWrap/>
            <w:vAlign w:val="bottom"/>
            <w:hideMark/>
          </w:tcPr>
          <w:p w14:paraId="6C37BB06" w14:textId="77777777" w:rsidR="00632913" w:rsidRPr="00FD7B0B" w:rsidRDefault="00632913" w:rsidP="00632913">
            <w:pPr>
              <w:spacing w:after="0" w:line="240" w:lineRule="auto"/>
              <w:jc w:val="center"/>
              <w:rPr>
                <w:rFonts w:ascii="Times New Roman" w:eastAsia="Times New Roman" w:hAnsi="Times New Roman" w:cs="Times New Roman"/>
                <w:b/>
                <w:sz w:val="18"/>
                <w:szCs w:val="18"/>
                <w:lang w:eastAsia="ru-RU"/>
              </w:rPr>
            </w:pPr>
          </w:p>
        </w:tc>
        <w:tc>
          <w:tcPr>
            <w:tcW w:w="1134" w:type="dxa"/>
            <w:shd w:val="clear" w:color="auto" w:fill="auto"/>
            <w:noWrap/>
            <w:vAlign w:val="bottom"/>
            <w:hideMark/>
          </w:tcPr>
          <w:p w14:paraId="310EB696"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1 241,7</w:t>
            </w:r>
          </w:p>
        </w:tc>
        <w:tc>
          <w:tcPr>
            <w:tcW w:w="993" w:type="dxa"/>
            <w:shd w:val="clear" w:color="auto" w:fill="auto"/>
            <w:noWrap/>
            <w:vAlign w:val="bottom"/>
            <w:hideMark/>
          </w:tcPr>
          <w:p w14:paraId="1C7F776E"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1 853,8</w:t>
            </w:r>
          </w:p>
        </w:tc>
        <w:tc>
          <w:tcPr>
            <w:tcW w:w="1134" w:type="dxa"/>
            <w:shd w:val="clear" w:color="auto" w:fill="auto"/>
            <w:noWrap/>
            <w:vAlign w:val="bottom"/>
            <w:hideMark/>
          </w:tcPr>
          <w:p w14:paraId="61156FC1"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1 853,8</w:t>
            </w:r>
          </w:p>
        </w:tc>
        <w:tc>
          <w:tcPr>
            <w:tcW w:w="1138" w:type="dxa"/>
            <w:shd w:val="clear" w:color="auto" w:fill="auto"/>
            <w:noWrap/>
            <w:vAlign w:val="bottom"/>
            <w:hideMark/>
          </w:tcPr>
          <w:p w14:paraId="0E6D332E"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100,0</w:t>
            </w:r>
          </w:p>
        </w:tc>
      </w:tr>
      <w:tr w:rsidR="00FD7B0B" w:rsidRPr="00FD7B0B" w14:paraId="158B831F" w14:textId="77777777" w:rsidTr="006F7A1A">
        <w:trPr>
          <w:trHeight w:val="624"/>
        </w:trPr>
        <w:tc>
          <w:tcPr>
            <w:tcW w:w="4521" w:type="dxa"/>
            <w:shd w:val="clear" w:color="auto" w:fill="auto"/>
            <w:vAlign w:val="bottom"/>
            <w:hideMark/>
          </w:tcPr>
          <w:p w14:paraId="5B3A0E2F"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Бюджетные инвестиции в объекты капитального строительства государственной (муниципальной) собственности</w:t>
            </w:r>
          </w:p>
        </w:tc>
        <w:tc>
          <w:tcPr>
            <w:tcW w:w="708" w:type="dxa"/>
            <w:shd w:val="clear" w:color="auto" w:fill="auto"/>
            <w:noWrap/>
            <w:vAlign w:val="bottom"/>
            <w:hideMark/>
          </w:tcPr>
          <w:p w14:paraId="5D3EFF5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410</w:t>
            </w:r>
          </w:p>
        </w:tc>
        <w:tc>
          <w:tcPr>
            <w:tcW w:w="1134" w:type="dxa"/>
            <w:shd w:val="clear" w:color="auto" w:fill="auto"/>
            <w:noWrap/>
            <w:vAlign w:val="bottom"/>
            <w:hideMark/>
          </w:tcPr>
          <w:p w14:paraId="54D64D0C"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1 112,0</w:t>
            </w:r>
          </w:p>
        </w:tc>
        <w:tc>
          <w:tcPr>
            <w:tcW w:w="993" w:type="dxa"/>
            <w:shd w:val="clear" w:color="auto" w:fill="auto"/>
            <w:noWrap/>
            <w:vAlign w:val="bottom"/>
            <w:hideMark/>
          </w:tcPr>
          <w:p w14:paraId="3C56B826"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1 632,2</w:t>
            </w:r>
          </w:p>
        </w:tc>
        <w:tc>
          <w:tcPr>
            <w:tcW w:w="1134" w:type="dxa"/>
            <w:shd w:val="clear" w:color="auto" w:fill="auto"/>
            <w:noWrap/>
            <w:vAlign w:val="bottom"/>
            <w:hideMark/>
          </w:tcPr>
          <w:p w14:paraId="65E36E22"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1 632,2</w:t>
            </w:r>
          </w:p>
        </w:tc>
        <w:tc>
          <w:tcPr>
            <w:tcW w:w="1138" w:type="dxa"/>
            <w:shd w:val="clear" w:color="auto" w:fill="auto"/>
            <w:noWrap/>
            <w:vAlign w:val="bottom"/>
            <w:hideMark/>
          </w:tcPr>
          <w:p w14:paraId="6104F082"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4E5AC6CD" w14:textId="77777777" w:rsidTr="006F7A1A">
        <w:trPr>
          <w:trHeight w:val="129"/>
        </w:trPr>
        <w:tc>
          <w:tcPr>
            <w:tcW w:w="4521" w:type="dxa"/>
            <w:shd w:val="clear" w:color="auto" w:fill="auto"/>
            <w:vAlign w:val="bottom"/>
            <w:hideMark/>
          </w:tcPr>
          <w:p w14:paraId="2431F236"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w:t>
            </w:r>
          </w:p>
        </w:tc>
        <w:tc>
          <w:tcPr>
            <w:tcW w:w="708" w:type="dxa"/>
            <w:shd w:val="clear" w:color="auto" w:fill="auto"/>
            <w:noWrap/>
            <w:vAlign w:val="bottom"/>
            <w:hideMark/>
          </w:tcPr>
          <w:p w14:paraId="2B25D31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520</w:t>
            </w:r>
          </w:p>
        </w:tc>
        <w:tc>
          <w:tcPr>
            <w:tcW w:w="1134" w:type="dxa"/>
            <w:shd w:val="clear" w:color="auto" w:fill="auto"/>
            <w:noWrap/>
            <w:vAlign w:val="bottom"/>
            <w:hideMark/>
          </w:tcPr>
          <w:p w14:paraId="651EF7A9"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129,7</w:t>
            </w:r>
          </w:p>
        </w:tc>
        <w:tc>
          <w:tcPr>
            <w:tcW w:w="993" w:type="dxa"/>
            <w:shd w:val="clear" w:color="auto" w:fill="auto"/>
            <w:noWrap/>
            <w:vAlign w:val="bottom"/>
            <w:hideMark/>
          </w:tcPr>
          <w:p w14:paraId="700FE8FB"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84,1</w:t>
            </w:r>
          </w:p>
        </w:tc>
        <w:tc>
          <w:tcPr>
            <w:tcW w:w="1134" w:type="dxa"/>
            <w:shd w:val="clear" w:color="auto" w:fill="auto"/>
            <w:noWrap/>
            <w:vAlign w:val="bottom"/>
            <w:hideMark/>
          </w:tcPr>
          <w:p w14:paraId="2D69D62D"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84,1</w:t>
            </w:r>
          </w:p>
        </w:tc>
        <w:tc>
          <w:tcPr>
            <w:tcW w:w="1138" w:type="dxa"/>
            <w:shd w:val="clear" w:color="auto" w:fill="auto"/>
            <w:noWrap/>
            <w:vAlign w:val="bottom"/>
            <w:hideMark/>
          </w:tcPr>
          <w:p w14:paraId="504A52E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C3BF982" w14:textId="77777777" w:rsidTr="006F7A1A">
        <w:trPr>
          <w:trHeight w:val="188"/>
        </w:trPr>
        <w:tc>
          <w:tcPr>
            <w:tcW w:w="4521" w:type="dxa"/>
            <w:shd w:val="clear" w:color="auto" w:fill="auto"/>
            <w:vAlign w:val="bottom"/>
            <w:hideMark/>
          </w:tcPr>
          <w:p w14:paraId="0B897560"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Уплата налогов, сборов и иных платежей</w:t>
            </w:r>
          </w:p>
        </w:tc>
        <w:tc>
          <w:tcPr>
            <w:tcW w:w="708" w:type="dxa"/>
            <w:shd w:val="clear" w:color="auto" w:fill="auto"/>
            <w:noWrap/>
            <w:vAlign w:val="bottom"/>
            <w:hideMark/>
          </w:tcPr>
          <w:p w14:paraId="3368A19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850</w:t>
            </w:r>
          </w:p>
        </w:tc>
        <w:tc>
          <w:tcPr>
            <w:tcW w:w="1134" w:type="dxa"/>
            <w:shd w:val="clear" w:color="auto" w:fill="auto"/>
            <w:noWrap/>
            <w:vAlign w:val="bottom"/>
            <w:hideMark/>
          </w:tcPr>
          <w:p w14:paraId="500CF7A6"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993" w:type="dxa"/>
            <w:shd w:val="clear" w:color="auto" w:fill="auto"/>
            <w:noWrap/>
            <w:vAlign w:val="bottom"/>
            <w:hideMark/>
          </w:tcPr>
          <w:p w14:paraId="1C857F90"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137,5</w:t>
            </w:r>
          </w:p>
        </w:tc>
        <w:tc>
          <w:tcPr>
            <w:tcW w:w="1134" w:type="dxa"/>
            <w:shd w:val="clear" w:color="auto" w:fill="auto"/>
            <w:noWrap/>
            <w:vAlign w:val="bottom"/>
            <w:hideMark/>
          </w:tcPr>
          <w:p w14:paraId="487B6C2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137,5</w:t>
            </w:r>
          </w:p>
        </w:tc>
        <w:tc>
          <w:tcPr>
            <w:tcW w:w="1138" w:type="dxa"/>
            <w:shd w:val="clear" w:color="auto" w:fill="auto"/>
            <w:noWrap/>
            <w:vAlign w:val="bottom"/>
            <w:hideMark/>
          </w:tcPr>
          <w:p w14:paraId="41F056BA"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76BC9DF" w14:textId="77777777" w:rsidTr="008A3946">
        <w:trPr>
          <w:trHeight w:val="139"/>
        </w:trPr>
        <w:tc>
          <w:tcPr>
            <w:tcW w:w="4521" w:type="dxa"/>
            <w:shd w:val="clear" w:color="000000" w:fill="C5D9F1"/>
            <w:vAlign w:val="bottom"/>
            <w:hideMark/>
          </w:tcPr>
          <w:p w14:paraId="63DFC532" w14:textId="77777777" w:rsidR="00632913" w:rsidRPr="00FD7B0B" w:rsidRDefault="00632913" w:rsidP="00632913">
            <w:pPr>
              <w:spacing w:after="0" w:line="240" w:lineRule="auto"/>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 ГРБС 062 министерство здравоохранения</w:t>
            </w:r>
          </w:p>
        </w:tc>
        <w:tc>
          <w:tcPr>
            <w:tcW w:w="708" w:type="dxa"/>
            <w:shd w:val="clear" w:color="auto" w:fill="auto"/>
            <w:noWrap/>
            <w:vAlign w:val="bottom"/>
            <w:hideMark/>
          </w:tcPr>
          <w:p w14:paraId="1A9CE842" w14:textId="77777777" w:rsidR="00632913" w:rsidRPr="00FD7B0B" w:rsidRDefault="00632913" w:rsidP="00632913">
            <w:pPr>
              <w:spacing w:after="0" w:line="240" w:lineRule="auto"/>
              <w:jc w:val="center"/>
              <w:rPr>
                <w:rFonts w:ascii="Times New Roman" w:eastAsia="Times New Roman" w:hAnsi="Times New Roman" w:cs="Times New Roman"/>
                <w:b/>
                <w:sz w:val="18"/>
                <w:szCs w:val="18"/>
                <w:lang w:eastAsia="ru-RU"/>
              </w:rPr>
            </w:pPr>
          </w:p>
        </w:tc>
        <w:tc>
          <w:tcPr>
            <w:tcW w:w="1134" w:type="dxa"/>
            <w:shd w:val="clear" w:color="auto" w:fill="auto"/>
            <w:noWrap/>
            <w:vAlign w:val="bottom"/>
            <w:hideMark/>
          </w:tcPr>
          <w:p w14:paraId="1086DE55"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1,5</w:t>
            </w:r>
          </w:p>
        </w:tc>
        <w:tc>
          <w:tcPr>
            <w:tcW w:w="993" w:type="dxa"/>
            <w:shd w:val="clear" w:color="auto" w:fill="auto"/>
            <w:noWrap/>
            <w:vAlign w:val="bottom"/>
            <w:hideMark/>
          </w:tcPr>
          <w:p w14:paraId="210C18C1"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2,1 </w:t>
            </w:r>
          </w:p>
        </w:tc>
        <w:tc>
          <w:tcPr>
            <w:tcW w:w="1134" w:type="dxa"/>
            <w:shd w:val="clear" w:color="auto" w:fill="auto"/>
            <w:noWrap/>
            <w:vAlign w:val="bottom"/>
            <w:hideMark/>
          </w:tcPr>
          <w:p w14:paraId="681E6E97"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2,0 </w:t>
            </w:r>
          </w:p>
        </w:tc>
        <w:tc>
          <w:tcPr>
            <w:tcW w:w="1138" w:type="dxa"/>
            <w:shd w:val="clear" w:color="auto" w:fill="auto"/>
            <w:noWrap/>
            <w:vAlign w:val="bottom"/>
            <w:hideMark/>
          </w:tcPr>
          <w:p w14:paraId="728585D2"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95,2 </w:t>
            </w:r>
          </w:p>
        </w:tc>
      </w:tr>
      <w:tr w:rsidR="00FD7B0B" w:rsidRPr="00FD7B0B" w14:paraId="1D46D73B" w14:textId="77777777" w:rsidTr="006F7A1A">
        <w:trPr>
          <w:trHeight w:val="616"/>
        </w:trPr>
        <w:tc>
          <w:tcPr>
            <w:tcW w:w="4521" w:type="dxa"/>
            <w:shd w:val="clear" w:color="auto" w:fill="auto"/>
            <w:vAlign w:val="bottom"/>
            <w:hideMark/>
          </w:tcPr>
          <w:p w14:paraId="4D2C17CC"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учреждениям (ежемесячное денежное вознаграждение за классное руководство (кураторство) педагогическим работникам)</w:t>
            </w:r>
          </w:p>
        </w:tc>
        <w:tc>
          <w:tcPr>
            <w:tcW w:w="708" w:type="dxa"/>
            <w:shd w:val="clear" w:color="auto" w:fill="auto"/>
            <w:noWrap/>
            <w:vAlign w:val="bottom"/>
            <w:hideMark/>
          </w:tcPr>
          <w:p w14:paraId="2F99D84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620</w:t>
            </w:r>
          </w:p>
        </w:tc>
        <w:tc>
          <w:tcPr>
            <w:tcW w:w="1134" w:type="dxa"/>
            <w:shd w:val="clear" w:color="auto" w:fill="auto"/>
            <w:noWrap/>
            <w:vAlign w:val="bottom"/>
            <w:hideMark/>
          </w:tcPr>
          <w:p w14:paraId="3C0A2C1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1,5</w:t>
            </w:r>
          </w:p>
        </w:tc>
        <w:tc>
          <w:tcPr>
            <w:tcW w:w="993" w:type="dxa"/>
            <w:shd w:val="clear" w:color="auto" w:fill="auto"/>
            <w:noWrap/>
            <w:vAlign w:val="bottom"/>
            <w:hideMark/>
          </w:tcPr>
          <w:p w14:paraId="6D49B568"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1134" w:type="dxa"/>
            <w:shd w:val="clear" w:color="auto" w:fill="auto"/>
            <w:noWrap/>
            <w:vAlign w:val="bottom"/>
            <w:hideMark/>
          </w:tcPr>
          <w:p w14:paraId="3FC15530"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w:t>
            </w:r>
          </w:p>
        </w:tc>
        <w:tc>
          <w:tcPr>
            <w:tcW w:w="1138" w:type="dxa"/>
            <w:shd w:val="clear" w:color="auto" w:fill="auto"/>
            <w:noWrap/>
            <w:vAlign w:val="bottom"/>
            <w:hideMark/>
          </w:tcPr>
          <w:p w14:paraId="76EDD665"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95,2</w:t>
            </w:r>
          </w:p>
        </w:tc>
      </w:tr>
      <w:tr w:rsidR="00FD7B0B" w:rsidRPr="00FD7B0B" w14:paraId="62EAA86B" w14:textId="77777777" w:rsidTr="006F7A1A">
        <w:trPr>
          <w:trHeight w:val="38"/>
        </w:trPr>
        <w:tc>
          <w:tcPr>
            <w:tcW w:w="4521" w:type="dxa"/>
            <w:shd w:val="clear" w:color="000000" w:fill="C5D9F1"/>
            <w:vAlign w:val="bottom"/>
            <w:hideMark/>
          </w:tcPr>
          <w:p w14:paraId="41BBB3B2" w14:textId="77777777" w:rsidR="00632913" w:rsidRPr="00FD7B0B" w:rsidRDefault="00632913" w:rsidP="00632913">
            <w:pPr>
              <w:spacing w:after="0" w:line="240" w:lineRule="auto"/>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4. ГРБС 069 министерство культуры</w:t>
            </w:r>
          </w:p>
        </w:tc>
        <w:tc>
          <w:tcPr>
            <w:tcW w:w="708" w:type="dxa"/>
            <w:shd w:val="clear" w:color="auto" w:fill="auto"/>
            <w:noWrap/>
            <w:vAlign w:val="bottom"/>
            <w:hideMark/>
          </w:tcPr>
          <w:p w14:paraId="58E99585" w14:textId="77777777" w:rsidR="00632913" w:rsidRPr="00FD7B0B" w:rsidRDefault="00632913" w:rsidP="00632913">
            <w:pPr>
              <w:spacing w:after="0" w:line="240" w:lineRule="auto"/>
              <w:jc w:val="center"/>
              <w:rPr>
                <w:rFonts w:ascii="Times New Roman" w:eastAsia="Times New Roman" w:hAnsi="Times New Roman" w:cs="Times New Roman"/>
                <w:b/>
                <w:sz w:val="18"/>
                <w:szCs w:val="18"/>
                <w:lang w:eastAsia="ru-RU"/>
              </w:rPr>
            </w:pPr>
          </w:p>
        </w:tc>
        <w:tc>
          <w:tcPr>
            <w:tcW w:w="1134" w:type="dxa"/>
            <w:shd w:val="clear" w:color="auto" w:fill="auto"/>
            <w:noWrap/>
            <w:vAlign w:val="bottom"/>
            <w:hideMark/>
          </w:tcPr>
          <w:p w14:paraId="1419F1B3"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4,8 </w:t>
            </w:r>
          </w:p>
        </w:tc>
        <w:tc>
          <w:tcPr>
            <w:tcW w:w="993" w:type="dxa"/>
            <w:shd w:val="clear" w:color="auto" w:fill="auto"/>
            <w:noWrap/>
            <w:vAlign w:val="bottom"/>
            <w:hideMark/>
          </w:tcPr>
          <w:p w14:paraId="425A2676"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4,9 </w:t>
            </w:r>
          </w:p>
        </w:tc>
        <w:tc>
          <w:tcPr>
            <w:tcW w:w="1134" w:type="dxa"/>
            <w:shd w:val="clear" w:color="auto" w:fill="auto"/>
            <w:noWrap/>
            <w:vAlign w:val="bottom"/>
            <w:hideMark/>
          </w:tcPr>
          <w:p w14:paraId="17824CD2"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4,8 </w:t>
            </w:r>
          </w:p>
        </w:tc>
        <w:tc>
          <w:tcPr>
            <w:tcW w:w="1138" w:type="dxa"/>
            <w:shd w:val="clear" w:color="auto" w:fill="auto"/>
            <w:noWrap/>
            <w:vAlign w:val="bottom"/>
            <w:hideMark/>
          </w:tcPr>
          <w:p w14:paraId="7CC9C07E"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98,0 </w:t>
            </w:r>
          </w:p>
        </w:tc>
      </w:tr>
      <w:tr w:rsidR="00FD7B0B" w:rsidRPr="00FD7B0B" w14:paraId="0099BDBB" w14:textId="77777777" w:rsidTr="006F7A1A">
        <w:trPr>
          <w:trHeight w:val="630"/>
        </w:trPr>
        <w:tc>
          <w:tcPr>
            <w:tcW w:w="4521" w:type="dxa"/>
            <w:shd w:val="clear" w:color="auto" w:fill="auto"/>
            <w:vAlign w:val="bottom"/>
            <w:hideMark/>
          </w:tcPr>
          <w:p w14:paraId="5F4BFA7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учреждениям (ежемесячное денежное вознаграждение за классное руководство (кураторство) педагогическим работникам)</w:t>
            </w:r>
          </w:p>
        </w:tc>
        <w:tc>
          <w:tcPr>
            <w:tcW w:w="708" w:type="dxa"/>
            <w:shd w:val="clear" w:color="auto" w:fill="auto"/>
            <w:noWrap/>
            <w:vAlign w:val="bottom"/>
            <w:hideMark/>
          </w:tcPr>
          <w:p w14:paraId="00D3BEA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610</w:t>
            </w:r>
          </w:p>
        </w:tc>
        <w:tc>
          <w:tcPr>
            <w:tcW w:w="1134" w:type="dxa"/>
            <w:shd w:val="clear" w:color="auto" w:fill="auto"/>
            <w:noWrap/>
            <w:vAlign w:val="bottom"/>
            <w:hideMark/>
          </w:tcPr>
          <w:p w14:paraId="564510CF"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4,8</w:t>
            </w:r>
          </w:p>
        </w:tc>
        <w:tc>
          <w:tcPr>
            <w:tcW w:w="993" w:type="dxa"/>
            <w:shd w:val="clear" w:color="auto" w:fill="auto"/>
            <w:noWrap/>
            <w:vAlign w:val="bottom"/>
            <w:hideMark/>
          </w:tcPr>
          <w:p w14:paraId="32A2CBBD"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4,9</w:t>
            </w:r>
          </w:p>
        </w:tc>
        <w:tc>
          <w:tcPr>
            <w:tcW w:w="1134" w:type="dxa"/>
            <w:shd w:val="clear" w:color="auto" w:fill="auto"/>
            <w:noWrap/>
            <w:vAlign w:val="bottom"/>
            <w:hideMark/>
          </w:tcPr>
          <w:p w14:paraId="2A6EDE3D"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4,8</w:t>
            </w:r>
          </w:p>
        </w:tc>
        <w:tc>
          <w:tcPr>
            <w:tcW w:w="1138" w:type="dxa"/>
            <w:shd w:val="clear" w:color="auto" w:fill="auto"/>
            <w:noWrap/>
            <w:vAlign w:val="bottom"/>
            <w:hideMark/>
          </w:tcPr>
          <w:p w14:paraId="7A50960F"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98,0</w:t>
            </w:r>
          </w:p>
        </w:tc>
      </w:tr>
      <w:tr w:rsidR="00FD7B0B" w:rsidRPr="00FD7B0B" w14:paraId="4E4C9363" w14:textId="77777777" w:rsidTr="006F7A1A">
        <w:trPr>
          <w:trHeight w:val="307"/>
        </w:trPr>
        <w:tc>
          <w:tcPr>
            <w:tcW w:w="4521" w:type="dxa"/>
            <w:shd w:val="clear" w:color="000000" w:fill="C5D9F1"/>
            <w:vAlign w:val="bottom"/>
            <w:hideMark/>
          </w:tcPr>
          <w:p w14:paraId="25106136" w14:textId="77777777" w:rsidR="00632913" w:rsidRPr="00FD7B0B" w:rsidRDefault="00632913" w:rsidP="00632913">
            <w:pPr>
              <w:spacing w:after="0" w:line="240" w:lineRule="auto"/>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5. ГРБС 156 министерство труда, занятости и социального развития</w:t>
            </w:r>
          </w:p>
        </w:tc>
        <w:tc>
          <w:tcPr>
            <w:tcW w:w="708" w:type="dxa"/>
            <w:shd w:val="clear" w:color="auto" w:fill="auto"/>
            <w:noWrap/>
            <w:vAlign w:val="bottom"/>
            <w:hideMark/>
          </w:tcPr>
          <w:p w14:paraId="006E29E4" w14:textId="77777777" w:rsidR="00632913" w:rsidRPr="00FD7B0B" w:rsidRDefault="00632913" w:rsidP="00632913">
            <w:pPr>
              <w:spacing w:after="0" w:line="240" w:lineRule="auto"/>
              <w:jc w:val="center"/>
              <w:rPr>
                <w:rFonts w:ascii="Times New Roman" w:eastAsia="Times New Roman" w:hAnsi="Times New Roman" w:cs="Times New Roman"/>
                <w:b/>
                <w:sz w:val="18"/>
                <w:szCs w:val="18"/>
                <w:lang w:eastAsia="ru-RU"/>
              </w:rPr>
            </w:pPr>
          </w:p>
        </w:tc>
        <w:tc>
          <w:tcPr>
            <w:tcW w:w="1134" w:type="dxa"/>
            <w:shd w:val="clear" w:color="auto" w:fill="auto"/>
            <w:noWrap/>
            <w:vAlign w:val="bottom"/>
            <w:hideMark/>
          </w:tcPr>
          <w:p w14:paraId="1D49C392"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2,1</w:t>
            </w:r>
          </w:p>
        </w:tc>
        <w:tc>
          <w:tcPr>
            <w:tcW w:w="993" w:type="dxa"/>
            <w:shd w:val="clear" w:color="auto" w:fill="auto"/>
            <w:noWrap/>
            <w:vAlign w:val="bottom"/>
            <w:hideMark/>
          </w:tcPr>
          <w:p w14:paraId="31E0688F"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3,5</w:t>
            </w:r>
          </w:p>
        </w:tc>
        <w:tc>
          <w:tcPr>
            <w:tcW w:w="1134" w:type="dxa"/>
            <w:shd w:val="clear" w:color="auto" w:fill="auto"/>
            <w:noWrap/>
            <w:vAlign w:val="bottom"/>
            <w:hideMark/>
          </w:tcPr>
          <w:p w14:paraId="0917F93D"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3,5</w:t>
            </w:r>
          </w:p>
        </w:tc>
        <w:tc>
          <w:tcPr>
            <w:tcW w:w="1138" w:type="dxa"/>
            <w:shd w:val="clear" w:color="auto" w:fill="auto"/>
            <w:noWrap/>
            <w:vAlign w:val="bottom"/>
            <w:hideMark/>
          </w:tcPr>
          <w:p w14:paraId="77C150FB"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100,0</w:t>
            </w:r>
          </w:p>
        </w:tc>
      </w:tr>
      <w:tr w:rsidR="00FD7B0B" w:rsidRPr="00FD7B0B" w14:paraId="3DFC8F36" w14:textId="77777777" w:rsidTr="006F7A1A">
        <w:trPr>
          <w:trHeight w:val="227"/>
        </w:trPr>
        <w:tc>
          <w:tcPr>
            <w:tcW w:w="4521" w:type="dxa"/>
            <w:shd w:val="clear" w:color="auto" w:fill="auto"/>
            <w:vAlign w:val="bottom"/>
            <w:hideMark/>
          </w:tcPr>
          <w:p w14:paraId="6ABF0D83"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учреждениям</w:t>
            </w:r>
          </w:p>
        </w:tc>
        <w:tc>
          <w:tcPr>
            <w:tcW w:w="708" w:type="dxa"/>
            <w:shd w:val="clear" w:color="auto" w:fill="auto"/>
            <w:noWrap/>
            <w:vAlign w:val="bottom"/>
            <w:hideMark/>
          </w:tcPr>
          <w:p w14:paraId="3E763E8B"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610</w:t>
            </w:r>
          </w:p>
        </w:tc>
        <w:tc>
          <w:tcPr>
            <w:tcW w:w="1134" w:type="dxa"/>
            <w:shd w:val="clear" w:color="auto" w:fill="auto"/>
            <w:noWrap/>
            <w:vAlign w:val="bottom"/>
            <w:hideMark/>
          </w:tcPr>
          <w:p w14:paraId="594A402C"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993" w:type="dxa"/>
            <w:shd w:val="clear" w:color="auto" w:fill="auto"/>
            <w:noWrap/>
            <w:vAlign w:val="bottom"/>
            <w:hideMark/>
          </w:tcPr>
          <w:p w14:paraId="108CC47C"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3,5</w:t>
            </w:r>
          </w:p>
        </w:tc>
        <w:tc>
          <w:tcPr>
            <w:tcW w:w="1134" w:type="dxa"/>
            <w:shd w:val="clear" w:color="auto" w:fill="auto"/>
            <w:noWrap/>
            <w:vAlign w:val="bottom"/>
            <w:hideMark/>
          </w:tcPr>
          <w:p w14:paraId="035A7D20"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3,5</w:t>
            </w:r>
          </w:p>
        </w:tc>
        <w:tc>
          <w:tcPr>
            <w:tcW w:w="1138" w:type="dxa"/>
            <w:shd w:val="clear" w:color="auto" w:fill="auto"/>
            <w:noWrap/>
            <w:vAlign w:val="bottom"/>
            <w:hideMark/>
          </w:tcPr>
          <w:p w14:paraId="417EF151"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E5D15E9" w14:textId="77777777" w:rsidTr="006F7A1A">
        <w:trPr>
          <w:trHeight w:val="212"/>
        </w:trPr>
        <w:tc>
          <w:tcPr>
            <w:tcW w:w="4521" w:type="dxa"/>
            <w:shd w:val="clear" w:color="000000" w:fill="C5D9F1"/>
            <w:vAlign w:val="bottom"/>
            <w:hideMark/>
          </w:tcPr>
          <w:p w14:paraId="1D0EDBD8" w14:textId="77777777" w:rsidR="00632913" w:rsidRPr="00FD7B0B" w:rsidRDefault="00632913" w:rsidP="00632913">
            <w:pPr>
              <w:spacing w:after="0" w:line="240" w:lineRule="auto"/>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6. ГРБС 261 агентство по делам молодежи</w:t>
            </w:r>
          </w:p>
        </w:tc>
        <w:tc>
          <w:tcPr>
            <w:tcW w:w="708" w:type="dxa"/>
            <w:shd w:val="clear" w:color="auto" w:fill="auto"/>
            <w:noWrap/>
            <w:vAlign w:val="bottom"/>
            <w:hideMark/>
          </w:tcPr>
          <w:p w14:paraId="5E149D0C" w14:textId="77777777" w:rsidR="00632913" w:rsidRPr="00FD7B0B" w:rsidRDefault="00632913" w:rsidP="00632913">
            <w:pPr>
              <w:spacing w:after="0" w:line="240" w:lineRule="auto"/>
              <w:jc w:val="center"/>
              <w:rPr>
                <w:rFonts w:ascii="Times New Roman" w:eastAsia="Times New Roman" w:hAnsi="Times New Roman" w:cs="Times New Roman"/>
                <w:b/>
                <w:sz w:val="18"/>
                <w:szCs w:val="18"/>
                <w:lang w:eastAsia="ru-RU"/>
              </w:rPr>
            </w:pPr>
          </w:p>
        </w:tc>
        <w:tc>
          <w:tcPr>
            <w:tcW w:w="1134" w:type="dxa"/>
            <w:shd w:val="clear" w:color="auto" w:fill="auto"/>
            <w:noWrap/>
            <w:vAlign w:val="bottom"/>
            <w:hideMark/>
          </w:tcPr>
          <w:p w14:paraId="57D9BC4F"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9,6</w:t>
            </w:r>
          </w:p>
        </w:tc>
        <w:tc>
          <w:tcPr>
            <w:tcW w:w="993" w:type="dxa"/>
            <w:shd w:val="clear" w:color="auto" w:fill="auto"/>
            <w:noWrap/>
            <w:vAlign w:val="bottom"/>
            <w:hideMark/>
          </w:tcPr>
          <w:p w14:paraId="571A1291"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9,5</w:t>
            </w:r>
          </w:p>
        </w:tc>
        <w:tc>
          <w:tcPr>
            <w:tcW w:w="1134" w:type="dxa"/>
            <w:shd w:val="clear" w:color="auto" w:fill="auto"/>
            <w:noWrap/>
            <w:vAlign w:val="bottom"/>
            <w:hideMark/>
          </w:tcPr>
          <w:p w14:paraId="1E4725C9"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9,5</w:t>
            </w:r>
          </w:p>
        </w:tc>
        <w:tc>
          <w:tcPr>
            <w:tcW w:w="1138" w:type="dxa"/>
            <w:shd w:val="clear" w:color="auto" w:fill="auto"/>
            <w:noWrap/>
            <w:vAlign w:val="bottom"/>
            <w:hideMark/>
          </w:tcPr>
          <w:p w14:paraId="2A815315"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100,0</w:t>
            </w:r>
          </w:p>
        </w:tc>
      </w:tr>
      <w:tr w:rsidR="00FD7B0B" w:rsidRPr="00FD7B0B" w14:paraId="61376572" w14:textId="77777777" w:rsidTr="006F7A1A">
        <w:trPr>
          <w:trHeight w:val="79"/>
        </w:trPr>
        <w:tc>
          <w:tcPr>
            <w:tcW w:w="4521" w:type="dxa"/>
            <w:shd w:val="clear" w:color="auto" w:fill="auto"/>
            <w:vAlign w:val="bottom"/>
            <w:hideMark/>
          </w:tcPr>
          <w:p w14:paraId="141E57D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учреждениям</w:t>
            </w:r>
          </w:p>
        </w:tc>
        <w:tc>
          <w:tcPr>
            <w:tcW w:w="708" w:type="dxa"/>
            <w:shd w:val="clear" w:color="auto" w:fill="auto"/>
            <w:noWrap/>
            <w:vAlign w:val="bottom"/>
            <w:hideMark/>
          </w:tcPr>
          <w:p w14:paraId="6B1CEF4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610</w:t>
            </w:r>
          </w:p>
        </w:tc>
        <w:tc>
          <w:tcPr>
            <w:tcW w:w="1134" w:type="dxa"/>
            <w:shd w:val="clear" w:color="auto" w:fill="auto"/>
            <w:noWrap/>
            <w:vAlign w:val="bottom"/>
            <w:hideMark/>
          </w:tcPr>
          <w:p w14:paraId="50137F22"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993" w:type="dxa"/>
            <w:shd w:val="clear" w:color="auto" w:fill="auto"/>
            <w:noWrap/>
            <w:vAlign w:val="bottom"/>
            <w:hideMark/>
          </w:tcPr>
          <w:p w14:paraId="17011232"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w:t>
            </w:r>
          </w:p>
        </w:tc>
        <w:tc>
          <w:tcPr>
            <w:tcW w:w="1134" w:type="dxa"/>
            <w:shd w:val="clear" w:color="auto" w:fill="auto"/>
            <w:noWrap/>
            <w:vAlign w:val="bottom"/>
            <w:hideMark/>
          </w:tcPr>
          <w:p w14:paraId="1F23CFA6"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w:t>
            </w:r>
          </w:p>
        </w:tc>
        <w:tc>
          <w:tcPr>
            <w:tcW w:w="1138" w:type="dxa"/>
            <w:shd w:val="clear" w:color="auto" w:fill="auto"/>
            <w:noWrap/>
            <w:vAlign w:val="bottom"/>
            <w:hideMark/>
          </w:tcPr>
          <w:p w14:paraId="3BE1D1B8"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5290E6E4" w14:textId="77777777" w:rsidTr="006F7A1A">
        <w:trPr>
          <w:trHeight w:val="138"/>
        </w:trPr>
        <w:tc>
          <w:tcPr>
            <w:tcW w:w="4521" w:type="dxa"/>
            <w:shd w:val="clear" w:color="auto" w:fill="auto"/>
            <w:vAlign w:val="bottom"/>
            <w:hideMark/>
          </w:tcPr>
          <w:p w14:paraId="253BABF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учреждениям</w:t>
            </w:r>
          </w:p>
        </w:tc>
        <w:tc>
          <w:tcPr>
            <w:tcW w:w="708" w:type="dxa"/>
            <w:shd w:val="clear" w:color="auto" w:fill="auto"/>
            <w:noWrap/>
            <w:vAlign w:val="bottom"/>
            <w:hideMark/>
          </w:tcPr>
          <w:p w14:paraId="7D401B1B"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620</w:t>
            </w:r>
          </w:p>
        </w:tc>
        <w:tc>
          <w:tcPr>
            <w:tcW w:w="1134" w:type="dxa"/>
            <w:shd w:val="clear" w:color="auto" w:fill="auto"/>
            <w:noWrap/>
            <w:vAlign w:val="bottom"/>
            <w:hideMark/>
          </w:tcPr>
          <w:p w14:paraId="1F5CE3DB"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993" w:type="dxa"/>
            <w:shd w:val="clear" w:color="auto" w:fill="auto"/>
            <w:noWrap/>
            <w:vAlign w:val="bottom"/>
            <w:hideMark/>
          </w:tcPr>
          <w:p w14:paraId="499E049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w:t>
            </w:r>
          </w:p>
        </w:tc>
        <w:tc>
          <w:tcPr>
            <w:tcW w:w="1134" w:type="dxa"/>
            <w:shd w:val="clear" w:color="auto" w:fill="auto"/>
            <w:noWrap/>
            <w:vAlign w:val="bottom"/>
            <w:hideMark/>
          </w:tcPr>
          <w:p w14:paraId="4E226833"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w:t>
            </w:r>
          </w:p>
        </w:tc>
        <w:tc>
          <w:tcPr>
            <w:tcW w:w="1138" w:type="dxa"/>
            <w:shd w:val="clear" w:color="auto" w:fill="auto"/>
            <w:noWrap/>
            <w:vAlign w:val="bottom"/>
            <w:hideMark/>
          </w:tcPr>
          <w:p w14:paraId="19043C7B"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DE1D83B" w14:textId="77777777" w:rsidTr="006F7A1A">
        <w:trPr>
          <w:trHeight w:val="833"/>
        </w:trPr>
        <w:tc>
          <w:tcPr>
            <w:tcW w:w="4521" w:type="dxa"/>
            <w:shd w:val="clear" w:color="auto" w:fill="auto"/>
            <w:vAlign w:val="bottom"/>
            <w:hideMark/>
          </w:tcPr>
          <w:p w14:paraId="1BF6991D"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некоммерческим организациям (за исключением государственных (муниципальных) учреждений, государственных корпораций (компаний), публично-правовых компаний)</w:t>
            </w:r>
          </w:p>
        </w:tc>
        <w:tc>
          <w:tcPr>
            <w:tcW w:w="708" w:type="dxa"/>
            <w:shd w:val="clear" w:color="auto" w:fill="auto"/>
            <w:noWrap/>
            <w:vAlign w:val="bottom"/>
            <w:hideMark/>
          </w:tcPr>
          <w:p w14:paraId="5E5CB0AB"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630</w:t>
            </w:r>
          </w:p>
        </w:tc>
        <w:tc>
          <w:tcPr>
            <w:tcW w:w="1134" w:type="dxa"/>
            <w:shd w:val="clear" w:color="auto" w:fill="auto"/>
            <w:noWrap/>
            <w:vAlign w:val="bottom"/>
            <w:hideMark/>
          </w:tcPr>
          <w:p w14:paraId="24F286BC"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w:t>
            </w:r>
          </w:p>
        </w:tc>
        <w:tc>
          <w:tcPr>
            <w:tcW w:w="993" w:type="dxa"/>
            <w:shd w:val="clear" w:color="auto" w:fill="auto"/>
            <w:noWrap/>
            <w:vAlign w:val="bottom"/>
            <w:hideMark/>
          </w:tcPr>
          <w:p w14:paraId="0727A262"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7,5</w:t>
            </w:r>
          </w:p>
        </w:tc>
        <w:tc>
          <w:tcPr>
            <w:tcW w:w="1134" w:type="dxa"/>
            <w:shd w:val="clear" w:color="auto" w:fill="auto"/>
            <w:noWrap/>
            <w:vAlign w:val="bottom"/>
            <w:hideMark/>
          </w:tcPr>
          <w:p w14:paraId="168D330A"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7,5</w:t>
            </w:r>
          </w:p>
        </w:tc>
        <w:tc>
          <w:tcPr>
            <w:tcW w:w="1138" w:type="dxa"/>
            <w:shd w:val="clear" w:color="auto" w:fill="auto"/>
            <w:noWrap/>
            <w:vAlign w:val="bottom"/>
            <w:hideMark/>
          </w:tcPr>
          <w:p w14:paraId="41EBCB44" w14:textId="77777777" w:rsidR="00632913" w:rsidRPr="00FD7B0B" w:rsidRDefault="00632913" w:rsidP="00632913">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2B27FFBD" w14:textId="77777777" w:rsidTr="006F7A1A">
        <w:trPr>
          <w:trHeight w:val="137"/>
        </w:trPr>
        <w:tc>
          <w:tcPr>
            <w:tcW w:w="4521" w:type="dxa"/>
            <w:shd w:val="clear" w:color="000000" w:fill="C5D9F1"/>
            <w:vAlign w:val="bottom"/>
            <w:hideMark/>
          </w:tcPr>
          <w:p w14:paraId="2C3111D2" w14:textId="77777777" w:rsidR="00632913" w:rsidRPr="00FD7B0B" w:rsidRDefault="00632913" w:rsidP="00632913">
            <w:pPr>
              <w:spacing w:after="0" w:line="240" w:lineRule="auto"/>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Всего</w:t>
            </w:r>
          </w:p>
        </w:tc>
        <w:tc>
          <w:tcPr>
            <w:tcW w:w="708" w:type="dxa"/>
            <w:shd w:val="clear" w:color="auto" w:fill="auto"/>
            <w:noWrap/>
            <w:vAlign w:val="bottom"/>
            <w:hideMark/>
          </w:tcPr>
          <w:p w14:paraId="71857C94" w14:textId="77777777" w:rsidR="00632913" w:rsidRPr="00FD7B0B" w:rsidRDefault="00632913" w:rsidP="00632913">
            <w:pPr>
              <w:spacing w:after="0" w:line="240" w:lineRule="auto"/>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w:t>
            </w:r>
          </w:p>
        </w:tc>
        <w:tc>
          <w:tcPr>
            <w:tcW w:w="1134" w:type="dxa"/>
            <w:shd w:val="clear" w:color="auto" w:fill="auto"/>
            <w:noWrap/>
            <w:vAlign w:val="bottom"/>
            <w:hideMark/>
          </w:tcPr>
          <w:p w14:paraId="29092B0F"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35 727,5</w:t>
            </w:r>
          </w:p>
        </w:tc>
        <w:tc>
          <w:tcPr>
            <w:tcW w:w="993" w:type="dxa"/>
            <w:shd w:val="clear" w:color="auto" w:fill="auto"/>
            <w:noWrap/>
            <w:vAlign w:val="bottom"/>
            <w:hideMark/>
          </w:tcPr>
          <w:p w14:paraId="5FC5AA80"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36 204,3</w:t>
            </w:r>
          </w:p>
        </w:tc>
        <w:tc>
          <w:tcPr>
            <w:tcW w:w="1134" w:type="dxa"/>
            <w:shd w:val="clear" w:color="auto" w:fill="auto"/>
            <w:noWrap/>
            <w:vAlign w:val="bottom"/>
            <w:hideMark/>
          </w:tcPr>
          <w:p w14:paraId="3D2AD85A"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36 168,6</w:t>
            </w:r>
          </w:p>
        </w:tc>
        <w:tc>
          <w:tcPr>
            <w:tcW w:w="1138" w:type="dxa"/>
            <w:shd w:val="clear" w:color="auto" w:fill="auto"/>
            <w:noWrap/>
            <w:vAlign w:val="bottom"/>
            <w:hideMark/>
          </w:tcPr>
          <w:p w14:paraId="2FBAC518" w14:textId="77777777" w:rsidR="00632913" w:rsidRPr="00FD7B0B" w:rsidRDefault="00632913" w:rsidP="00632913">
            <w:pPr>
              <w:spacing w:after="0" w:line="240" w:lineRule="auto"/>
              <w:jc w:val="right"/>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99,9</w:t>
            </w:r>
          </w:p>
        </w:tc>
      </w:tr>
    </w:tbl>
    <w:p w14:paraId="388ABD38" w14:textId="77777777" w:rsidR="00632913" w:rsidRPr="00FD7B0B" w:rsidRDefault="00632913" w:rsidP="00632913">
      <w:pPr>
        <w:spacing w:after="0" w:line="240" w:lineRule="auto"/>
        <w:ind w:firstLine="720"/>
        <w:jc w:val="both"/>
        <w:rPr>
          <w:rFonts w:ascii="Times New Roman" w:eastAsia="Times New Roman" w:hAnsi="Times New Roman" w:cs="Times New Roman"/>
          <w:sz w:val="20"/>
          <w:szCs w:val="20"/>
          <w:lang w:eastAsia="ru-RU"/>
        </w:rPr>
      </w:pPr>
    </w:p>
    <w:p w14:paraId="3D89D2BA" w14:textId="337A609D"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общий объем расходов по ГП № 02 утвержден законом о бюджете на</w:t>
      </w:r>
      <w:r w:rsidR="005F2C0D" w:rsidRPr="00FD7B0B">
        <w:rPr>
          <w:rFonts w:ascii="Times New Roman" w:eastAsia="Times New Roman" w:hAnsi="Times New Roman" w:cs="Times New Roman"/>
          <w:sz w:val="28"/>
          <w:szCs w:val="28"/>
          <w:lang w:eastAsia="ru-RU"/>
        </w:rPr>
        <w:t xml:space="preserve"> 2024 год в сумме 35 727,5 млн.</w:t>
      </w:r>
      <w:r w:rsidRPr="00FD7B0B">
        <w:rPr>
          <w:rFonts w:ascii="Times New Roman" w:eastAsia="Times New Roman" w:hAnsi="Times New Roman" w:cs="Times New Roman"/>
          <w:sz w:val="28"/>
          <w:szCs w:val="28"/>
          <w:lang w:eastAsia="ru-RU"/>
        </w:rPr>
        <w:t>руб., уточненный план в соответствии с показателями сводной бюджетной</w:t>
      </w:r>
      <w:r w:rsidR="005F2C0D" w:rsidRPr="00FD7B0B">
        <w:rPr>
          <w:rFonts w:ascii="Times New Roman" w:eastAsia="Times New Roman" w:hAnsi="Times New Roman" w:cs="Times New Roman"/>
          <w:sz w:val="28"/>
          <w:szCs w:val="28"/>
          <w:lang w:eastAsia="ru-RU"/>
        </w:rPr>
        <w:t xml:space="preserve"> росписи составил 36 204,3 млн.</w:t>
      </w:r>
      <w:r w:rsidRPr="00FD7B0B">
        <w:rPr>
          <w:rFonts w:ascii="Times New Roman" w:eastAsia="Times New Roman" w:hAnsi="Times New Roman" w:cs="Times New Roman"/>
          <w:sz w:val="28"/>
          <w:szCs w:val="28"/>
          <w:lang w:eastAsia="ru-RU"/>
        </w:rPr>
        <w:t xml:space="preserve">руб. Наибольший объем средств составила субвенция на реализацию образовательных программ в сумме 23 659,5 </w:t>
      </w:r>
      <w:r w:rsidR="000560EB" w:rsidRPr="00FD7B0B">
        <w:rPr>
          <w:rFonts w:ascii="Times New Roman" w:eastAsia="Times New Roman" w:hAnsi="Times New Roman" w:cs="Times New Roman"/>
          <w:sz w:val="28"/>
          <w:szCs w:val="28"/>
          <w:lang w:eastAsia="ru-RU"/>
        </w:rPr>
        <w:t>млн.руб.</w:t>
      </w:r>
      <w:r w:rsidRPr="00FD7B0B">
        <w:rPr>
          <w:rFonts w:ascii="Times New Roman" w:eastAsia="Times New Roman" w:hAnsi="Times New Roman" w:cs="Times New Roman"/>
          <w:sz w:val="28"/>
          <w:szCs w:val="28"/>
          <w:lang w:eastAsia="ru-RU"/>
        </w:rPr>
        <w:t xml:space="preserve"> (99,9 % к плану год</w:t>
      </w:r>
      <w:r w:rsidR="005F2C0D" w:rsidRPr="00FD7B0B">
        <w:rPr>
          <w:rFonts w:ascii="Times New Roman" w:eastAsia="Times New Roman" w:hAnsi="Times New Roman" w:cs="Times New Roman"/>
          <w:sz w:val="28"/>
          <w:szCs w:val="28"/>
          <w:lang w:eastAsia="ru-RU"/>
        </w:rPr>
        <w:t>а), что на 9,2 % (+1 985,2 млн.</w:t>
      </w:r>
      <w:r w:rsidRPr="00FD7B0B">
        <w:rPr>
          <w:rFonts w:ascii="Times New Roman" w:eastAsia="Times New Roman" w:hAnsi="Times New Roman" w:cs="Times New Roman"/>
          <w:sz w:val="28"/>
          <w:szCs w:val="28"/>
          <w:lang w:eastAsia="ru-RU"/>
        </w:rPr>
        <w:t>руб.) больше, чем перечислено за 2023 год, что в свою очередь позволяет сохранять приоритетные направления расходования средств, по обеспечению государственных гарантий реализации прав на получение общедоступного и бесплатного дошкольного, начального общего, основного общего, среднего общего и дополнительного образования.</w:t>
      </w:r>
    </w:p>
    <w:p w14:paraId="6B660B0D" w14:textId="5D9D7BAC"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Сведения о динамике прироста расходов на субвенцию на реализацию образовательных программ по ГП № 02, за период 2021</w:t>
      </w:r>
      <w:r w:rsidR="005F2C0D" w:rsidRPr="00FD7B0B">
        <w:rPr>
          <w:rFonts w:ascii="Times New Roman" w:eastAsia="Times New Roman" w:hAnsi="Times New Roman" w:cs="Times New Roman"/>
          <w:sz w:val="28"/>
          <w:szCs w:val="28"/>
          <w:lang w:eastAsia="ru-RU"/>
        </w:rPr>
        <w:t xml:space="preserve"> – </w:t>
      </w:r>
      <w:r w:rsidRPr="00FD7B0B">
        <w:rPr>
          <w:rFonts w:ascii="Times New Roman" w:eastAsia="Times New Roman" w:hAnsi="Times New Roman" w:cs="Times New Roman"/>
          <w:sz w:val="28"/>
          <w:szCs w:val="28"/>
          <w:lang w:eastAsia="ru-RU"/>
        </w:rPr>
        <w:t>2024 год</w:t>
      </w:r>
      <w:r w:rsidR="008A3946" w:rsidRPr="00FD7B0B">
        <w:rPr>
          <w:rFonts w:ascii="Times New Roman" w:eastAsia="Times New Roman" w:hAnsi="Times New Roman" w:cs="Times New Roman"/>
          <w:sz w:val="28"/>
          <w:szCs w:val="28"/>
          <w:lang w:eastAsia="ru-RU"/>
        </w:rPr>
        <w:t>ов</w:t>
      </w:r>
      <w:r w:rsidRPr="00FD7B0B">
        <w:rPr>
          <w:rFonts w:ascii="Times New Roman" w:eastAsia="Times New Roman" w:hAnsi="Times New Roman" w:cs="Times New Roman"/>
          <w:sz w:val="28"/>
          <w:szCs w:val="28"/>
          <w:lang w:eastAsia="ru-RU"/>
        </w:rPr>
        <w:t xml:space="preserve">, представлены на рисунке </w:t>
      </w:r>
      <w:r w:rsidR="008A3946" w:rsidRPr="00FD7B0B">
        <w:rPr>
          <w:rFonts w:ascii="Times New Roman" w:eastAsia="Times New Roman" w:hAnsi="Times New Roman" w:cs="Times New Roman"/>
          <w:sz w:val="28"/>
          <w:szCs w:val="28"/>
          <w:lang w:eastAsia="ru-RU"/>
        </w:rPr>
        <w:t>10</w:t>
      </w:r>
      <w:r w:rsidRPr="00FD7B0B">
        <w:rPr>
          <w:rFonts w:ascii="Times New Roman" w:eastAsia="Times New Roman" w:hAnsi="Times New Roman" w:cs="Times New Roman"/>
          <w:sz w:val="28"/>
          <w:szCs w:val="28"/>
          <w:lang w:eastAsia="ru-RU"/>
        </w:rPr>
        <w:t>.</w:t>
      </w:r>
    </w:p>
    <w:p w14:paraId="44C2D7A0" w14:textId="0FA5057C" w:rsidR="00632913" w:rsidRPr="00FD7B0B" w:rsidRDefault="005F2C0D" w:rsidP="005F2C0D">
      <w:pPr>
        <w:spacing w:after="0" w:line="240" w:lineRule="auto"/>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noProof/>
          <w:sz w:val="28"/>
          <w:szCs w:val="28"/>
          <w:lang w:eastAsia="ru-RU"/>
        </w:rPr>
        <w:lastRenderedPageBreak/>
        <w:drawing>
          <wp:inline distT="0" distB="0" distL="0" distR="0" wp14:anchorId="5C08F712" wp14:editId="47BBEDF7">
            <wp:extent cx="5779770" cy="2828925"/>
            <wp:effectExtent l="0" t="0" r="0"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9770" cy="2828925"/>
                    </a:xfrm>
                    <a:prstGeom prst="rect">
                      <a:avLst/>
                    </a:prstGeom>
                    <a:noFill/>
                  </pic:spPr>
                </pic:pic>
              </a:graphicData>
            </a:graphic>
          </wp:inline>
        </w:drawing>
      </w:r>
    </w:p>
    <w:p w14:paraId="2DC84956" w14:textId="77777777" w:rsidR="00632913" w:rsidRPr="00FD7B0B" w:rsidRDefault="00632913" w:rsidP="00632913">
      <w:pPr>
        <w:spacing w:after="0" w:line="240" w:lineRule="auto"/>
        <w:ind w:firstLine="720"/>
        <w:jc w:val="both"/>
        <w:rPr>
          <w:rFonts w:ascii="Times New Roman" w:eastAsia="Times New Roman" w:hAnsi="Times New Roman" w:cs="Times New Roman"/>
          <w:sz w:val="20"/>
          <w:szCs w:val="20"/>
          <w:lang w:eastAsia="ru-RU"/>
        </w:rPr>
      </w:pPr>
    </w:p>
    <w:p w14:paraId="77B2260F" w14:textId="5255F904" w:rsidR="00632913" w:rsidRPr="00FD7B0B" w:rsidRDefault="005F2C0D" w:rsidP="005F2C0D">
      <w:pPr>
        <w:spacing w:after="0" w:line="240" w:lineRule="auto"/>
        <w:rPr>
          <w:rFonts w:ascii="Times New Roman" w:eastAsia="Times New Roman" w:hAnsi="Times New Roman" w:cs="Times New Roman"/>
          <w:bCs/>
          <w:sz w:val="24"/>
          <w:szCs w:val="24"/>
        </w:rPr>
      </w:pPr>
      <w:r w:rsidRPr="00FD7B0B">
        <w:rPr>
          <w:rFonts w:ascii="Times New Roman" w:eastAsia="Times New Roman" w:hAnsi="Times New Roman" w:cs="Times New Roman"/>
          <w:bCs/>
          <w:sz w:val="24"/>
          <w:szCs w:val="24"/>
        </w:rPr>
        <w:t xml:space="preserve">Рисунок </w:t>
      </w:r>
      <w:r w:rsidRPr="00FD7B0B">
        <w:rPr>
          <w:rFonts w:ascii="Times New Roman" w:eastAsia="Times New Roman" w:hAnsi="Times New Roman" w:cs="Times New Roman"/>
          <w:bCs/>
          <w:sz w:val="24"/>
          <w:szCs w:val="24"/>
        </w:rPr>
        <w:fldChar w:fldCharType="begin"/>
      </w:r>
      <w:r w:rsidRPr="00FD7B0B">
        <w:rPr>
          <w:rFonts w:ascii="Times New Roman" w:eastAsia="Times New Roman" w:hAnsi="Times New Roman" w:cs="Times New Roman"/>
          <w:bCs/>
          <w:sz w:val="24"/>
          <w:szCs w:val="24"/>
        </w:rPr>
        <w:instrText xml:space="preserve"> SEQ Рисунок \* ARABIC </w:instrText>
      </w:r>
      <w:r w:rsidRPr="00FD7B0B">
        <w:rPr>
          <w:rFonts w:ascii="Times New Roman" w:eastAsia="Times New Roman" w:hAnsi="Times New Roman" w:cs="Times New Roman"/>
          <w:bCs/>
          <w:sz w:val="24"/>
          <w:szCs w:val="24"/>
        </w:rPr>
        <w:fldChar w:fldCharType="separate"/>
      </w:r>
      <w:r w:rsidR="002959CD" w:rsidRPr="00FD7B0B">
        <w:rPr>
          <w:rFonts w:ascii="Times New Roman" w:eastAsia="Times New Roman" w:hAnsi="Times New Roman" w:cs="Times New Roman"/>
          <w:bCs/>
          <w:noProof/>
          <w:sz w:val="24"/>
          <w:szCs w:val="24"/>
        </w:rPr>
        <w:t>10</w:t>
      </w:r>
      <w:r w:rsidRPr="00FD7B0B">
        <w:rPr>
          <w:rFonts w:ascii="Times New Roman" w:eastAsia="Times New Roman" w:hAnsi="Times New Roman" w:cs="Times New Roman"/>
          <w:bCs/>
          <w:sz w:val="24"/>
          <w:szCs w:val="24"/>
        </w:rPr>
        <w:fldChar w:fldCharType="end"/>
      </w:r>
      <w:r w:rsidRPr="00FD7B0B">
        <w:rPr>
          <w:rFonts w:ascii="Times New Roman" w:eastAsia="Times New Roman" w:hAnsi="Times New Roman" w:cs="Times New Roman"/>
          <w:bCs/>
          <w:sz w:val="24"/>
          <w:szCs w:val="24"/>
        </w:rPr>
        <w:t xml:space="preserve">. </w:t>
      </w:r>
      <w:r w:rsidR="00632913" w:rsidRPr="00FD7B0B">
        <w:rPr>
          <w:rFonts w:ascii="Times New Roman" w:eastAsia="Times New Roman" w:hAnsi="Times New Roman" w:cs="Times New Roman"/>
          <w:bCs/>
          <w:sz w:val="24"/>
          <w:szCs w:val="24"/>
        </w:rPr>
        <w:t>Динамика прироста расходов на субвенцию на реализацию образовательных программ по ГП № 02,</w:t>
      </w:r>
      <w:r w:rsidRPr="00FD7B0B">
        <w:rPr>
          <w:rFonts w:ascii="Times New Roman" w:eastAsia="Times New Roman" w:hAnsi="Times New Roman" w:cs="Times New Roman"/>
          <w:bCs/>
          <w:sz w:val="24"/>
          <w:szCs w:val="24"/>
        </w:rPr>
        <w:t xml:space="preserve"> за период 2021</w:t>
      </w:r>
      <w:r w:rsidR="008A3946" w:rsidRPr="00FD7B0B">
        <w:rPr>
          <w:rFonts w:ascii="Times New Roman" w:eastAsia="Times New Roman" w:hAnsi="Times New Roman" w:cs="Times New Roman"/>
          <w:bCs/>
          <w:sz w:val="24"/>
          <w:szCs w:val="24"/>
        </w:rPr>
        <w:t xml:space="preserve"> – </w:t>
      </w:r>
      <w:r w:rsidRPr="00FD7B0B">
        <w:rPr>
          <w:rFonts w:ascii="Times New Roman" w:eastAsia="Times New Roman" w:hAnsi="Times New Roman" w:cs="Times New Roman"/>
          <w:bCs/>
          <w:sz w:val="24"/>
          <w:szCs w:val="24"/>
        </w:rPr>
        <w:t>2024 годы, млн.</w:t>
      </w:r>
      <w:r w:rsidR="00632913" w:rsidRPr="00FD7B0B">
        <w:rPr>
          <w:rFonts w:ascii="Times New Roman" w:eastAsia="Times New Roman" w:hAnsi="Times New Roman" w:cs="Times New Roman"/>
          <w:bCs/>
          <w:sz w:val="24"/>
          <w:szCs w:val="24"/>
        </w:rPr>
        <w:t>руб., %.</w:t>
      </w:r>
    </w:p>
    <w:p w14:paraId="086AF8AD" w14:textId="77777777" w:rsidR="00632913" w:rsidRPr="00FD7B0B" w:rsidRDefault="00632913" w:rsidP="005F2C0D">
      <w:pPr>
        <w:spacing w:after="0" w:line="240" w:lineRule="auto"/>
        <w:rPr>
          <w:rFonts w:ascii="Times New Roman" w:eastAsia="Times New Roman" w:hAnsi="Times New Roman" w:cs="Times New Roman"/>
          <w:bCs/>
          <w:sz w:val="24"/>
          <w:szCs w:val="24"/>
        </w:rPr>
      </w:pPr>
    </w:p>
    <w:p w14:paraId="0AD2B5A1" w14:textId="043CEB51" w:rsidR="00632913" w:rsidRPr="00FD7B0B" w:rsidRDefault="005F2C0D"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w:t>
      </w:r>
      <w:r w:rsidR="00632913" w:rsidRPr="00FD7B0B">
        <w:rPr>
          <w:rFonts w:ascii="Times New Roman" w:eastAsia="Times New Roman" w:hAnsi="Times New Roman" w:cs="Times New Roman"/>
          <w:sz w:val="28"/>
          <w:szCs w:val="28"/>
          <w:lang w:eastAsia="ru-RU"/>
        </w:rPr>
        <w:t xml:space="preserve"> 2024 году наблюдается как абсолютное увеличение расходов на реализацию образовательных программ, так и увеличение доли указанных расходов по сравнению с 2022</w:t>
      </w:r>
      <w:r w:rsidRPr="00FD7B0B">
        <w:rPr>
          <w:rFonts w:ascii="Times New Roman" w:eastAsia="Times New Roman" w:hAnsi="Times New Roman" w:cs="Times New Roman"/>
          <w:sz w:val="28"/>
          <w:szCs w:val="28"/>
          <w:lang w:eastAsia="ru-RU"/>
        </w:rPr>
        <w:t xml:space="preserve"> – </w:t>
      </w:r>
      <w:r w:rsidR="00632913" w:rsidRPr="00FD7B0B">
        <w:rPr>
          <w:rFonts w:ascii="Times New Roman" w:eastAsia="Times New Roman" w:hAnsi="Times New Roman" w:cs="Times New Roman"/>
          <w:sz w:val="28"/>
          <w:szCs w:val="28"/>
          <w:lang w:eastAsia="ru-RU"/>
        </w:rPr>
        <w:t>2023 годами.</w:t>
      </w:r>
    </w:p>
    <w:p w14:paraId="508E9E7B" w14:textId="3F5E9CC8"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Общее исполнение по госпрограмме за 2024 год составило 36 168,6 </w:t>
      </w:r>
      <w:r w:rsidR="000560EB" w:rsidRPr="00FD7B0B">
        <w:rPr>
          <w:rFonts w:ascii="Times New Roman" w:eastAsia="Times New Roman" w:hAnsi="Times New Roman" w:cs="Times New Roman"/>
          <w:sz w:val="28"/>
          <w:szCs w:val="28"/>
          <w:lang w:eastAsia="ru-RU"/>
        </w:rPr>
        <w:t>млн.руб.</w:t>
      </w:r>
      <w:r w:rsidRPr="00FD7B0B">
        <w:rPr>
          <w:rFonts w:ascii="Times New Roman" w:eastAsia="Times New Roman" w:hAnsi="Times New Roman" w:cs="Times New Roman"/>
          <w:sz w:val="28"/>
          <w:szCs w:val="28"/>
          <w:lang w:eastAsia="ru-RU"/>
        </w:rPr>
        <w:t xml:space="preserve"> или 99,</w:t>
      </w:r>
      <w:r w:rsidR="005F2C0D" w:rsidRPr="00FD7B0B">
        <w:rPr>
          <w:rFonts w:ascii="Times New Roman" w:eastAsia="Times New Roman" w:hAnsi="Times New Roman" w:cs="Times New Roman"/>
          <w:sz w:val="28"/>
          <w:szCs w:val="28"/>
          <w:lang w:eastAsia="ru-RU"/>
        </w:rPr>
        <w:t>9% к сводной бюджетной росписи.</w:t>
      </w:r>
    </w:p>
    <w:p w14:paraId="0A62A8FB"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представленному проекту Отчета о реализации в 2024 году госпрограммы (далее – проект отчета) исполнение мероприятий ГП № 02 в разрезе структурных элементов характеризуется следующими результатами.</w:t>
      </w:r>
    </w:p>
    <w:p w14:paraId="05F965ED"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p>
    <w:p w14:paraId="4BC7E62D"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1. Региональный проект «Современная школа»</w:t>
      </w:r>
    </w:p>
    <w:p w14:paraId="085E72CB"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Паспортом регионального проекта «Современная школа» (далее – паспорт, РП «Современная школа») разделом 4. Мероприятия (результаты) регионального проекта предусмотрена в том числе реализация мероприятий:</w:t>
      </w:r>
    </w:p>
    <w:p w14:paraId="79B23F1A" w14:textId="77777777" w:rsidR="00CF69A6" w:rsidRPr="00FD7B0B" w:rsidRDefault="00CF69A6" w:rsidP="00CF69A6">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«1.1.Обновлена материально-техническая база в организациях, осуществляющих образовательную деятельность исключительно по адаптированным основным общеобразовательным программам. Нарастающий итог» единицы измерения – единица, значение результата на 2024 год - 12, базовое значение года отсутствует – 0. Отсутствие года базового значения, базового значения не соответствует требованиям Приложения № 3 к Положению № 793-пп,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w:t>
      </w:r>
    </w:p>
    <w:p w14:paraId="462BD323" w14:textId="77777777" w:rsidR="00CF69A6" w:rsidRPr="00FD7B0B" w:rsidRDefault="00CF69A6" w:rsidP="00CF69A6">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«1.3. Создано новых мест в общеобразовательных организациях. Нарастающий итог», единицы измерения – объект, значение результата на 2024 год - 7, базовое значение 2023 года – 6;</w:t>
      </w:r>
    </w:p>
    <w:p w14:paraId="1A4FC7F3" w14:textId="77777777" w:rsidR="00CF69A6" w:rsidRPr="00FD7B0B" w:rsidRDefault="00CF69A6" w:rsidP="00CF69A6">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«1.4. Создано новых мест в общеобразовательных организациях в связи с ростом числа обучающихся, вызванным демографическим фактором. </w:t>
      </w:r>
      <w:r w:rsidRPr="00FD7B0B">
        <w:rPr>
          <w:rFonts w:ascii="Times New Roman" w:eastAsia="Times New Roman" w:hAnsi="Times New Roman" w:cs="Times New Roman"/>
          <w:sz w:val="28"/>
          <w:szCs w:val="28"/>
          <w:lang w:eastAsia="ru-RU"/>
        </w:rPr>
        <w:lastRenderedPageBreak/>
        <w:t>Нарастающий итог», единицы измерения – объект, значение результата на 2024 год – 1, базовое значение 2023 года – 0;</w:t>
      </w:r>
    </w:p>
    <w:p w14:paraId="01B66DC7" w14:textId="77777777" w:rsidR="00CF69A6" w:rsidRPr="00FD7B0B" w:rsidRDefault="00CF69A6" w:rsidP="00CF69A6">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«1.5. Создано новых мест за счет средств субъектов РФ и внебюджетных источников. Нарастающий итог», единицы измерения – объект, значение результата на 2024 год – 2, базовое значение 2023 года – 2. Таким образом, при указании значения мероприятия (результата) за предыдущий год равное 2, указании значения на 2024 год равное 2 объектам и указании на то что результат достигается нарастающим итогом, реализация мероприятия в 2024 году не предусмотрена.</w:t>
      </w:r>
    </w:p>
    <w:p w14:paraId="4E9E1D1F" w14:textId="77777777" w:rsidR="00CF69A6" w:rsidRPr="00FD7B0B" w:rsidRDefault="00CF69A6" w:rsidP="00CF69A6">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«1.7. На базе общеобразовательных организаций созданы и функционируют детские технопарки «Кванториум». Нарастающий итог», единицы измерения – единица, значение результата на 2024 год – 5, базовое значение 2020 года – 0. Указание базового значения за 2020 год не соответствует требованиям Приложения № 3 к Положению № 793-пп,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w:t>
      </w:r>
    </w:p>
    <w:p w14:paraId="5F7E5757"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p>
    <w:p w14:paraId="0CE99D3E" w14:textId="77777777"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проекту отчета, за 2024 год в РП «Современная школа», реализуется 11 мероприятий (результатов), в том числе на отчетную дату, согласно Приложению № 1 к проекту отчета:</w:t>
      </w:r>
    </w:p>
    <w:p w14:paraId="794217EE" w14:textId="7BD30B75"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7 мероприятий (результатов) выполнены в полном </w:t>
      </w:r>
      <w:r w:rsidR="005F2C0D" w:rsidRPr="00FD7B0B">
        <w:rPr>
          <w:rFonts w:ascii="Times New Roman" w:eastAsia="Times New Roman" w:hAnsi="Times New Roman" w:cs="Times New Roman"/>
          <w:sz w:val="28"/>
          <w:szCs w:val="28"/>
          <w:lang w:eastAsia="ru-RU"/>
        </w:rPr>
        <w:t>объеме и в установленные сроки,</w:t>
      </w:r>
    </w:p>
    <w:p w14:paraId="779CFF71" w14:textId="77777777"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 мероприятие исполнено с нарушением сроков «2. Создано новых мест в общеобразовательных организациях в связи с ростом числа обучающихся, вызванным демографическим фактором» со сроком достижения результата 31.12.2024 года, результат по вводу в эксплуатацию школы на 860 мест в г. Архангельск, достигнут 05.02.2025 года;</w:t>
      </w:r>
    </w:p>
    <w:p w14:paraId="5D00872A" w14:textId="77777777"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 мероприятие «5. Создано новых мест в общеобразовательных организациях, расположенных в сельской местности и поселках городского типа» со сроком достижения результата 31.12.2024 года, исключено в соответствии с соглашением о реализации РП от 13.05.2024 № 073-2019-E10031-1/19;</w:t>
      </w:r>
    </w:p>
    <w:p w14:paraId="784E2C7F" w14:textId="1DFA309A"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1 мероприятию «1.Создано новых мест в общеобразовательных организациях» на 31.12.2024 результат не достигнут. Так школа на 90 учащихся в с. Долгощелье не введена в эксплуатацию по причине судебного запрета на проведение строительных работ. КСП АО уже отражало нарушение срока ввода в эксплуатацию указанной школы на 30 декабря 2022 года. Распоряжением Правительства Архангельской области от 26.05.2023 № 413-рп министерству строительства и архитектуры было дано поручение по обеспечению ввода в эксплуатацию школы на 90 учащихся в с. Долгощелье Мезенского района Арх</w:t>
      </w:r>
      <w:r w:rsidR="00272648" w:rsidRPr="00FD7B0B">
        <w:rPr>
          <w:rFonts w:ascii="Times New Roman" w:eastAsia="Times New Roman" w:hAnsi="Times New Roman" w:cs="Times New Roman"/>
          <w:sz w:val="28"/>
          <w:szCs w:val="28"/>
          <w:lang w:eastAsia="ru-RU"/>
        </w:rPr>
        <w:t>ангельской области в 2023 году.</w:t>
      </w:r>
    </w:p>
    <w:p w14:paraId="6A0E06F6" w14:textId="764C31E0"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по 1 результату мероприятия не исполнялись. По мероприятию (результату) «6. Создано новых мест за счет средств субъектов Российской Федерации и внебюджетных источников» со сроком достижения результата </w:t>
      </w:r>
      <w:r w:rsidRPr="00FD7B0B">
        <w:rPr>
          <w:rFonts w:ascii="Times New Roman" w:eastAsia="Times New Roman" w:hAnsi="Times New Roman" w:cs="Times New Roman"/>
          <w:sz w:val="28"/>
          <w:szCs w:val="28"/>
          <w:lang w:eastAsia="ru-RU"/>
        </w:rPr>
        <w:lastRenderedPageBreak/>
        <w:t xml:space="preserve">31.12.2024 года, плановым значением «2» объекта и фактическим значением «2», результат достигнут 30.09.2024 года, однако информация о создании 2 конкретных объектов строительства общеобразовательных организаций в отчете не представлена. При этом данные отчета противоречат пункту «1.5. Создано новых мест за счет средств субъектов </w:t>
      </w:r>
      <w:r w:rsidR="00272648" w:rsidRPr="00FD7B0B">
        <w:rPr>
          <w:rFonts w:ascii="Times New Roman" w:eastAsia="Times New Roman" w:hAnsi="Times New Roman" w:cs="Times New Roman"/>
          <w:sz w:val="28"/>
          <w:szCs w:val="28"/>
          <w:lang w:eastAsia="ru-RU"/>
        </w:rPr>
        <w:t>РФ</w:t>
      </w:r>
      <w:r w:rsidRPr="00FD7B0B">
        <w:rPr>
          <w:rFonts w:ascii="Times New Roman" w:eastAsia="Times New Roman" w:hAnsi="Times New Roman" w:cs="Times New Roman"/>
          <w:sz w:val="28"/>
          <w:szCs w:val="28"/>
          <w:lang w:eastAsia="ru-RU"/>
        </w:rPr>
        <w:t xml:space="preserve"> и внебюджетных источников. Нарастающий итог» раздела 4 паспорта РП «Современная школа».</w:t>
      </w:r>
    </w:p>
    <w:p w14:paraId="372DEAE7"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Отчету о ходе реализации РП «Современная школа» за 2024 год по мероприятию «1.6. Создано новых мест за счет средств субъектов Российской Федерации и внебюджетных источников» созданы два объекта с фактическим сроком исполнения 30.09.2024 года. В комментариях сделано указание на объекты: Ильинско-Подомское, Приводино. Однако, следует отметить, что разрешения на ввод в эксплуатацию здания начальной общеобразовательной школы на 320 учащихся в с. Ильинско-Подомское Вилегодского района Архангельской области выдано 26.06.2023 года, пристройки на 200 учащихся к зданию школы в пос. Приводино Котласского района 30.12.2022 года. Следует также отметить, что разделом 5 паспорта РП «Современная школа» финансовое обеспечение реализации данного мероприятия не предусмотрено.</w:t>
      </w:r>
    </w:p>
    <w:p w14:paraId="6C5CE14D"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в проект отчета, в Отчет о ходе реализации РП «Современная школа» за 2024 год, включены данные о реализации мероприятия «Создано новых мест за счет средств субъектов РФ и внебюджетных источников» реализация которого фактически в 2024 году не осуществлялась.</w:t>
      </w:r>
    </w:p>
    <w:p w14:paraId="5388142D" w14:textId="14A7701F"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Приложению № 1 к проекту отчета по мероприятию «3. Обновлена материально-техническая база в организациях, осуществляющих образовательную деятельность исключительно по адаптированным основным общеобразовательным программам» со сроком достижения результата 31.12.2024 года, плановым значением «12» единиц и фактическим значением «12», результат достигнут 31.12.2024 го</w:t>
      </w:r>
      <w:r w:rsidR="00272648" w:rsidRPr="00FD7B0B">
        <w:rPr>
          <w:rFonts w:ascii="Times New Roman" w:eastAsia="Times New Roman" w:hAnsi="Times New Roman" w:cs="Times New Roman"/>
          <w:sz w:val="28"/>
          <w:szCs w:val="28"/>
          <w:lang w:eastAsia="ru-RU"/>
        </w:rPr>
        <w:t>да.</w:t>
      </w:r>
    </w:p>
    <w:p w14:paraId="267AED1F"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По данному мероприятию предусматривается проведение мониторинга выполнения показателей реализации мероприятия, направленного на поддержку образования обучающихся с ограниченными возможностями здоровья через обновление материальной технической базы отдельных общеобразовательных организаций с периодичностью 1 раз в 2 месяца. </w:t>
      </w:r>
    </w:p>
    <w:p w14:paraId="54E791E1"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Однако мониторинг не отвечает понятию мероприятие (результат), определяемый в соответствии с пунктом 2 Положения № 793-пп как количественно измеримый итог деятельности, направленный на достижение показателей государственной программы и ее структурных элементов, сформулированный в виде завершенного действия по созданию (строительству, приобретению, оснащению, реконструкции и т.п.) определенного количества материальных и нематериальных объектов, предоставлению определенного объема услуг, выполнению определенного объема работ с заданными характеристиками</w:t>
      </w:r>
    </w:p>
    <w:p w14:paraId="52D459DA"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Согласно разделу </w:t>
      </w:r>
      <w:r w:rsidRPr="00FD7B0B">
        <w:rPr>
          <w:rFonts w:ascii="Times New Roman" w:eastAsia="Times New Roman" w:hAnsi="Times New Roman" w:cs="Times New Roman"/>
          <w:sz w:val="28"/>
          <w:szCs w:val="28"/>
          <w:lang w:val="en-US" w:eastAsia="ru-RU"/>
        </w:rPr>
        <w:t>II</w:t>
      </w:r>
      <w:r w:rsidRPr="00FD7B0B">
        <w:rPr>
          <w:rFonts w:ascii="Times New Roman" w:eastAsia="Times New Roman" w:hAnsi="Times New Roman" w:cs="Times New Roman"/>
          <w:sz w:val="28"/>
          <w:szCs w:val="28"/>
          <w:lang w:eastAsia="ru-RU"/>
        </w:rPr>
        <w:t xml:space="preserve"> проекта отчета «Объемы финансирования и кассовые расходы в рамках структурных элементов государственной программы» (далее - раздел </w:t>
      </w:r>
      <w:r w:rsidRPr="00FD7B0B">
        <w:rPr>
          <w:rFonts w:ascii="Times New Roman" w:eastAsia="Times New Roman" w:hAnsi="Times New Roman" w:cs="Times New Roman"/>
          <w:sz w:val="28"/>
          <w:szCs w:val="28"/>
          <w:lang w:val="en-US" w:eastAsia="ru-RU"/>
        </w:rPr>
        <w:t>II</w:t>
      </w:r>
      <w:r w:rsidRPr="00FD7B0B">
        <w:rPr>
          <w:rFonts w:ascii="Times New Roman" w:eastAsia="Times New Roman" w:hAnsi="Times New Roman" w:cs="Times New Roman"/>
          <w:sz w:val="28"/>
          <w:szCs w:val="28"/>
          <w:lang w:eastAsia="ru-RU"/>
        </w:rPr>
        <w:t xml:space="preserve"> проекта отчета) проекта отчета, а также разделу 5. паспорта РП </w:t>
      </w:r>
      <w:r w:rsidRPr="00FD7B0B">
        <w:rPr>
          <w:rFonts w:ascii="Times New Roman" w:eastAsia="Times New Roman" w:hAnsi="Times New Roman" w:cs="Times New Roman"/>
          <w:sz w:val="28"/>
          <w:szCs w:val="28"/>
          <w:lang w:eastAsia="ru-RU"/>
        </w:rPr>
        <w:lastRenderedPageBreak/>
        <w:t>«Современная школа», расходы на реализацию данного мероприятия не предусмотрены.</w:t>
      </w:r>
    </w:p>
    <w:p w14:paraId="3787D65D"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в нарушение пункта 2 Положения № 793-пп в проект отчета, в Отчет о ходе реализации регионального проекта за 2024 год, включены данные о реализации мероприятия «Обновлена материально-техническая база в организациях, осуществляющих образовательную деятельность исключительно по адаптированным основным общеобразовательным программам» не отвечающего понятию мероприятие (результат) при реализации проектной части государственной программы.</w:t>
      </w:r>
    </w:p>
    <w:p w14:paraId="71378347"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текстовой части проекта отчета «соглашением предусмотрены средства на строительство пяти школ по 320 мест:</w:t>
      </w:r>
    </w:p>
    <w:p w14:paraId="79B41E4B"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 школа в Вельском районе, дер. Горка Муравьевская;</w:t>
      </w:r>
    </w:p>
    <w:p w14:paraId="0DFB2BD8"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2) школа в Приморском районе, пос. Катунино;</w:t>
      </w:r>
    </w:p>
    <w:p w14:paraId="77CDB609"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3) школа в Каргопольском районе, г. Каргополь;</w:t>
      </w:r>
    </w:p>
    <w:p w14:paraId="29CD7CCB"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4) школа в Коношском районе, пос. Коноша;</w:t>
      </w:r>
    </w:p>
    <w:p w14:paraId="4B394599"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5) школа в г. Няндома.</w:t>
      </w:r>
    </w:p>
    <w:p w14:paraId="6F2FCDDB"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Заказчиком строительства объектов определено Государственное казенное учреждение Архангельской области «Главное управление капитального строительства».</w:t>
      </w:r>
    </w:p>
    <w:p w14:paraId="17F92B25"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всем объектам ведутся строительно-монтажные работы.</w:t>
      </w:r>
    </w:p>
    <w:p w14:paraId="4CF8E329" w14:textId="5EC99565"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связи с недостаточным объемом средств на строительство объектов дополнительным соглашением от 27.11.2024 № 073-09-2023-269/5 четыре школы (в дер. Горка Муравьевская, пос. Коноше, г. Каргополе, г. Няндоме) исключены из состава национального проекта. Сроки ввода в эксплуатацию перенесены на 2025 год. 28.12.2024 получено разрешение на ввод эксплуатацию первого этапа школы в Приморском районе, пос. Катунино»</w:t>
      </w:r>
      <w:r w:rsidR="00780711" w:rsidRPr="00FD7B0B">
        <w:rPr>
          <w:rFonts w:ascii="Times New Roman" w:eastAsia="Times New Roman" w:hAnsi="Times New Roman" w:cs="Times New Roman"/>
          <w:sz w:val="28"/>
          <w:szCs w:val="28"/>
          <w:lang w:eastAsia="ru-RU"/>
        </w:rPr>
        <w:t>.</w:t>
      </w:r>
    </w:p>
    <w:p w14:paraId="032F88FF"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Постановлением Администрации Приморского муниципального округа Архангельской области от 06.12.2024 № 3658 «О внесении изменений в разрешение на строительство № 29-523000-07-2023 от 15 августа 2023 года» в указанное разрешение внесены изменения в том числе в части разделения строительства объекта «Школа на 320 мест в пос. Катунино Приморского района» на 2 этапа. В рамках 2 этапа предусмотрено строительство блока столовой (Блок 2), технологическое оборудование, благоустройство в части: резинового покрытия, устройство искусственного газона, посев газона, посадка зеленых насаждений.</w:t>
      </w:r>
    </w:p>
    <w:p w14:paraId="51A73DBB"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bidi="ru-RU"/>
        </w:rPr>
      </w:pPr>
      <w:r w:rsidRPr="00FD7B0B">
        <w:rPr>
          <w:rFonts w:ascii="Times New Roman" w:eastAsia="Times New Roman" w:hAnsi="Times New Roman" w:cs="Times New Roman"/>
          <w:sz w:val="28"/>
          <w:szCs w:val="28"/>
          <w:lang w:eastAsia="ru-RU"/>
        </w:rPr>
        <w:t xml:space="preserve">Таким образом, </w:t>
      </w:r>
      <w:r w:rsidRPr="00FD7B0B">
        <w:rPr>
          <w:rFonts w:ascii="Times New Roman" w:eastAsia="Times New Roman" w:hAnsi="Times New Roman" w:cs="Times New Roman"/>
          <w:sz w:val="28"/>
          <w:szCs w:val="28"/>
          <w:lang w:eastAsia="ru-RU" w:bidi="ru-RU"/>
        </w:rPr>
        <w:t>в условиях отсутствия на объекте блока столовой, технологического оборудования не позволяет использовать объект по его функциональному назначению. Фактически, после сдачи работ по 1 этапу данный объект продолжает оставаться объектом незавершенного строительства, что в свою очередь свидетельствует о не достижении в 2024 году результатов по строительству всех 5 школ.</w:t>
      </w:r>
    </w:p>
    <w:p w14:paraId="17F81764" w14:textId="06ACF410"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Распоряжениями Правительства Архангельской области в декабре 2024 года приняты решения об изменении существенных условий государственных контрактов по строительству 4 школ в населенных пунктах дер. Горка Муравьевская, пос. Коноша, г. Каргополь, г. Няндома, в части изменения срока </w:t>
      </w:r>
      <w:r w:rsidRPr="00FD7B0B">
        <w:rPr>
          <w:rFonts w:ascii="Times New Roman" w:eastAsia="Times New Roman" w:hAnsi="Times New Roman" w:cs="Times New Roman"/>
          <w:sz w:val="28"/>
          <w:szCs w:val="28"/>
          <w:lang w:eastAsia="ru-RU"/>
        </w:rPr>
        <w:lastRenderedPageBreak/>
        <w:t>завершения строительства и ввода объектов в эксплуатацию не позднее 1 октября 2026 года. Таким образом, информация в части переноса сроков ввода в эксплуатацию на 2025 год не в полной мере достоверна. В свою очередь увеличение сроков строительства влечет за собой неизбежные риски по дальнейшему</w:t>
      </w:r>
      <w:r w:rsidR="00780711" w:rsidRPr="00FD7B0B">
        <w:rPr>
          <w:rFonts w:ascii="Times New Roman" w:eastAsia="Times New Roman" w:hAnsi="Times New Roman" w:cs="Times New Roman"/>
          <w:sz w:val="28"/>
          <w:szCs w:val="28"/>
          <w:lang w:eastAsia="ru-RU"/>
        </w:rPr>
        <w:t xml:space="preserve"> увеличению стоимости объектов.</w:t>
      </w:r>
    </w:p>
    <w:p w14:paraId="23A60363" w14:textId="556B077F"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Следует отметить, что согласно разделу </w:t>
      </w:r>
      <w:r w:rsidRPr="00FD7B0B">
        <w:rPr>
          <w:rFonts w:ascii="Times New Roman" w:eastAsia="Times New Roman" w:hAnsi="Times New Roman" w:cs="Times New Roman"/>
          <w:sz w:val="28"/>
          <w:szCs w:val="28"/>
          <w:lang w:val="en-US" w:eastAsia="ru-RU"/>
        </w:rPr>
        <w:t>II</w:t>
      </w:r>
      <w:r w:rsidRPr="00FD7B0B">
        <w:rPr>
          <w:rFonts w:ascii="Times New Roman" w:eastAsia="Times New Roman" w:hAnsi="Times New Roman" w:cs="Times New Roman"/>
          <w:sz w:val="28"/>
          <w:szCs w:val="28"/>
          <w:lang w:eastAsia="ru-RU"/>
        </w:rPr>
        <w:t xml:space="preserve"> проекта отчета по мероприятию «Создано новых мест в общеобразовательных организациях» министерству строительства и архитектуры Архангельской области предусмотрено финансирование в объеме 1 631,9 млн.руб., кассовые расходы составили 1 631,9 </w:t>
      </w:r>
      <w:r w:rsidR="000560EB" w:rsidRPr="00FD7B0B">
        <w:rPr>
          <w:rFonts w:ascii="Times New Roman" w:eastAsia="Times New Roman" w:hAnsi="Times New Roman" w:cs="Times New Roman"/>
          <w:sz w:val="28"/>
          <w:szCs w:val="28"/>
          <w:lang w:eastAsia="ru-RU"/>
        </w:rPr>
        <w:t>млн.руб.</w:t>
      </w:r>
      <w:r w:rsidRPr="00FD7B0B">
        <w:rPr>
          <w:rFonts w:ascii="Times New Roman" w:eastAsia="Times New Roman" w:hAnsi="Times New Roman" w:cs="Times New Roman"/>
          <w:sz w:val="28"/>
          <w:szCs w:val="28"/>
          <w:lang w:eastAsia="ru-RU"/>
        </w:rPr>
        <w:t xml:space="preserve"> или 100%.</w:t>
      </w:r>
    </w:p>
    <w:p w14:paraId="32DCBF50" w14:textId="74751D79"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в нарушение ст</w:t>
      </w:r>
      <w:r w:rsidR="003D039C"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xml:space="preserve"> 179 БК РФ, п</w:t>
      </w:r>
      <w:r w:rsidR="003D039C" w:rsidRPr="00FD7B0B">
        <w:rPr>
          <w:rFonts w:ascii="Times New Roman" w:eastAsia="Times New Roman" w:hAnsi="Times New Roman" w:cs="Times New Roman"/>
          <w:sz w:val="28"/>
          <w:szCs w:val="28"/>
          <w:lang w:eastAsia="ru-RU"/>
        </w:rPr>
        <w:t>.п.</w:t>
      </w:r>
      <w:r w:rsidRPr="00FD7B0B">
        <w:rPr>
          <w:rFonts w:ascii="Times New Roman" w:eastAsia="Times New Roman" w:hAnsi="Times New Roman" w:cs="Times New Roman"/>
          <w:sz w:val="28"/>
          <w:szCs w:val="28"/>
          <w:lang w:eastAsia="ru-RU"/>
        </w:rPr>
        <w:t xml:space="preserve"> 32,</w:t>
      </w:r>
      <w:r w:rsidR="00780711"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33 Положения №</w:t>
      </w:r>
      <w:r w:rsidR="003D039C"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793</w:t>
      </w:r>
      <w:r w:rsidR="003D039C" w:rsidRPr="00FD7B0B">
        <w:rPr>
          <w:rFonts w:ascii="Times New Roman" w:eastAsia="Times New Roman" w:hAnsi="Times New Roman" w:cs="Times New Roman"/>
          <w:sz w:val="28"/>
          <w:szCs w:val="28"/>
          <w:lang w:eastAsia="ru-RU"/>
        </w:rPr>
        <w:noBreakHyphen/>
      </w:r>
      <w:r w:rsidRPr="00FD7B0B">
        <w:rPr>
          <w:rFonts w:ascii="Times New Roman" w:eastAsia="Times New Roman" w:hAnsi="Times New Roman" w:cs="Times New Roman"/>
          <w:sz w:val="28"/>
          <w:szCs w:val="28"/>
          <w:lang w:eastAsia="ru-RU"/>
        </w:rPr>
        <w:t>пп в паспорт РП «Современная школа» не были включены мероприятия (результаты), а в Приложении № 1 к проекту отчета не отражено достижение мероприятий (результатов) по созданию новых мест в общеобразовательных организациях, реализация которых осуществлялась в 2024 году.</w:t>
      </w:r>
    </w:p>
    <w:p w14:paraId="59A42B70" w14:textId="35A89551"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текстовой части проекта отчета «созданы два детских технопарка «Кванториум» (далее – Школьный Кванториум) на базе муниципального бюджетного общеобразовательного учреждения городского округа «Город Архангельск» «Средняя школа № 45», муниципального автономного общеобразовательного учреждения «Лицей № 17» г. Северодвинск.». Согласно Приложению № 1 к проекту отчета по мероприятию «7. На базе общеобразовательных организаций созданы и функционируют детские технопарки «Кванториум» со сроком достижения результата 31.12.2024, плановое значение указано «5» единиц и фактическое значение «5». Таким образом, текстовая часть проекта отчета не соответствует Приложению № 1 к проекту отчета, что в свою очередь не позволяет произвести оценку достижения значения мероприятия (результата).</w:t>
      </w:r>
    </w:p>
    <w:p w14:paraId="0A235D8E"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p>
    <w:p w14:paraId="09C8B95A"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2. Региональный проект «Успех каждого ребенка»</w:t>
      </w:r>
    </w:p>
    <w:p w14:paraId="3BD12712"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Паспортом регионального проекта «Успех каждого ребенка» (далее – РП «Успех каждого ребенка») разделом 4. Мероприятия (результаты) регионального проекта предусмотрена в том числе реализация мероприятий:</w:t>
      </w:r>
    </w:p>
    <w:p w14:paraId="61D4C311"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«1.1. Созданы новые места в образовательных организациях различных типов для реализации дополнительных общеразвивающих программ всех направленностей. Нарастающий итог», единицы измерения – тысяча единиц, значение результата на 2024 год – 11,4130, базовое значение 2018 года – 0. Указание базового значения за 2018 год не соответствует требованиям Приложения № 3 к Положению № 793-пп,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w:t>
      </w:r>
    </w:p>
    <w:p w14:paraId="3A4C41BC"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«1.7. В общеобразовательных организациях обновлена материально-техническая база для занятий детей физической культурой и спортом. Нарастающий итог» единицы измерения –единица, значение результата на 2024 год – 74,0, базовое значение 2022 года – 54,0. Указание базового значения за 2022 год не соответствует требованиям Приложения № 3 к Положению № 793-пп, в </w:t>
      </w:r>
      <w:r w:rsidRPr="00FD7B0B">
        <w:rPr>
          <w:rFonts w:ascii="Times New Roman" w:eastAsia="Times New Roman" w:hAnsi="Times New Roman" w:cs="Times New Roman"/>
          <w:sz w:val="28"/>
          <w:szCs w:val="28"/>
          <w:lang w:eastAsia="ru-RU"/>
        </w:rPr>
        <w:lastRenderedPageBreak/>
        <w:t>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w:t>
      </w:r>
    </w:p>
    <w:p w14:paraId="1A82ABFB" w14:textId="6F7472CB"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 отчетный период в рамках РП «Успех каждого ребенка» осуществлялась реализация 4 мероприятий (результатов). Проектом отчета, представлена информация о значениях результатов двух мероприятий. В соответствии с текстовой частью проекта отчета</w:t>
      </w:r>
      <w:r w:rsidR="00780711" w:rsidRPr="00FD7B0B">
        <w:rPr>
          <w:rFonts w:ascii="Times New Roman" w:eastAsia="Times New Roman" w:hAnsi="Times New Roman" w:cs="Times New Roman"/>
          <w:sz w:val="28"/>
          <w:szCs w:val="28"/>
          <w:lang w:eastAsia="ru-RU"/>
        </w:rPr>
        <w:t>.</w:t>
      </w:r>
    </w:p>
    <w:p w14:paraId="220C7821"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ab/>
        <w:t xml:space="preserve"> «в рамках реализации соглашения о предоставлении субсидии из федерального бюджета бюджету Архангельской области на оснащение (обновление материально-технической базы) оборудованием, средствами обучения и воспитания образовательных организаций различных типов для реализации дополнительных общеразвивающих программ, для создания информационных систем в образовательных организациях (обеспечение деятельности государственных учреждений Архангельской области) от 29 декабря 2023 года № 073-09-2024-427» «Оборудование поставлено в 123 образовательные организации, создано 4550 новых мест».</w:t>
      </w:r>
    </w:p>
    <w:p w14:paraId="53694974" w14:textId="77777777" w:rsidR="00632913" w:rsidRPr="00FD7B0B" w:rsidRDefault="00632913" w:rsidP="00632913">
      <w:pPr>
        <w:spacing w:after="0" w:line="240" w:lineRule="auto"/>
        <w:ind w:firstLine="709"/>
        <w:contextualSpacing/>
        <w:jc w:val="both"/>
        <w:rPr>
          <w:rFonts w:ascii="Times New Roman" w:hAnsi="Times New Roman"/>
          <w:sz w:val="28"/>
          <w:szCs w:val="28"/>
        </w:rPr>
      </w:pPr>
      <w:r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ab/>
        <w:t xml:space="preserve"> «в рамках реализации соглашения о предоставлении субсидии из федерального бюджета бюджету Архангельской области на создание в общеобразовательных организациях, расположенных в сельской местности, условий для занятия физической культурой и спортом от 20 декабря 2023 года № 073-09-2024-025» </w:t>
      </w:r>
      <w:r w:rsidRPr="00FD7B0B">
        <w:rPr>
          <w:rFonts w:ascii="Times New Roman" w:eastAsia="Times New Roman" w:hAnsi="Times New Roman" w:cs="Times New Roman"/>
          <w:b/>
          <w:sz w:val="28"/>
          <w:szCs w:val="28"/>
          <w:lang w:eastAsia="ru-RU"/>
        </w:rPr>
        <w:t>«</w:t>
      </w:r>
      <w:r w:rsidRPr="00FD7B0B">
        <w:rPr>
          <w:rFonts w:ascii="Times New Roman" w:eastAsia="Times New Roman" w:hAnsi="Times New Roman" w:cs="Times New Roman"/>
          <w:sz w:val="28"/>
          <w:szCs w:val="28"/>
          <w:lang w:eastAsia="ru-RU"/>
        </w:rPr>
        <w:t>в</w:t>
      </w:r>
      <w:r w:rsidRPr="00FD7B0B">
        <w:rPr>
          <w:rFonts w:ascii="Times New Roman" w:hAnsi="Times New Roman"/>
          <w:sz w:val="28"/>
          <w:szCs w:val="28"/>
          <w:shd w:val="clear" w:color="auto" w:fill="FFFFFF"/>
        </w:rPr>
        <w:t xml:space="preserve"> 10 общеобразовательных организациях </w:t>
      </w:r>
      <w:r w:rsidRPr="00FD7B0B">
        <w:rPr>
          <w:rFonts w:ascii="Times New Roman" w:hAnsi="Times New Roman"/>
          <w:sz w:val="28"/>
          <w:szCs w:val="28"/>
        </w:rPr>
        <w:t>отремонтировано 8 спортивных залов и 2 плоскостных спортивных сооружения».</w:t>
      </w:r>
    </w:p>
    <w:p w14:paraId="0933BB37" w14:textId="77777777" w:rsidR="00632913" w:rsidRPr="00FD7B0B" w:rsidRDefault="00632913" w:rsidP="00632913">
      <w:pPr>
        <w:spacing w:after="0" w:line="240" w:lineRule="auto"/>
        <w:ind w:firstLine="709"/>
        <w:contextualSpacing/>
        <w:jc w:val="both"/>
        <w:rPr>
          <w:rFonts w:ascii="Times New Roman" w:hAnsi="Times New Roman"/>
          <w:sz w:val="28"/>
          <w:szCs w:val="28"/>
        </w:rPr>
      </w:pPr>
      <w:r w:rsidRPr="00FD7B0B">
        <w:rPr>
          <w:rFonts w:ascii="Times New Roman" w:hAnsi="Times New Roman"/>
          <w:sz w:val="28"/>
          <w:szCs w:val="28"/>
        </w:rPr>
        <w:t>В соответствии с пунктом 2.5. текстовой части проекта отчета, нарушения плана реализации структурного элемента государственной программы представлены в приложении № 1. Однако дополнительная информация в приложении № 1 к проекту отчета отсутствует.</w:t>
      </w:r>
    </w:p>
    <w:p w14:paraId="20A1D8D1" w14:textId="77777777" w:rsidR="00632913" w:rsidRPr="00FD7B0B" w:rsidRDefault="00632913" w:rsidP="00632913">
      <w:pPr>
        <w:spacing w:after="0" w:line="240" w:lineRule="auto"/>
        <w:ind w:firstLine="709"/>
        <w:contextualSpacing/>
        <w:jc w:val="both"/>
        <w:rPr>
          <w:rFonts w:ascii="Times New Roman" w:hAnsi="Times New Roman"/>
          <w:sz w:val="28"/>
          <w:szCs w:val="28"/>
        </w:rPr>
      </w:pPr>
      <w:r w:rsidRPr="00FD7B0B">
        <w:rPr>
          <w:rFonts w:ascii="Times New Roman" w:hAnsi="Times New Roman"/>
          <w:sz w:val="28"/>
          <w:szCs w:val="28"/>
        </w:rPr>
        <w:t>Таким образом, произвести оценку достижения 2 из 4 мероприятий (результатов) РП «Успех каждого ребенка», не представляется возможным.</w:t>
      </w:r>
    </w:p>
    <w:p w14:paraId="7C07875D"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p>
    <w:p w14:paraId="47E0F8E4"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3. Региональный проект «Цифровая образовательная среда»</w:t>
      </w:r>
    </w:p>
    <w:p w14:paraId="02D8B174"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Паспортом регионального проекта «Цифровая образовательная среда» (далее – РП «Цифровая образовательная среда») разделом 4. Мероприятия (результаты) регионального проекта предусмотрена реализация мероприятий:</w:t>
      </w:r>
    </w:p>
    <w:p w14:paraId="4E1C6EC1" w14:textId="598A9B4F"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«1.1. Образовательные организации обеспечены материально-технической базой для внедрения цифровой образовательной среды. Нарастающий итог», единицы измерения –единица, значение результата на 2024 год – 297, год базового значения отсутствует – 0. Отсутствие года базового значения, базового значения не соответствует требованиям Приложения № 3 к Положению №</w:t>
      </w:r>
      <w:r w:rsidR="00780711"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793</w:t>
      </w:r>
      <w:r w:rsidR="00780711" w:rsidRPr="00FD7B0B">
        <w:rPr>
          <w:rFonts w:ascii="Times New Roman" w:eastAsia="Times New Roman" w:hAnsi="Times New Roman" w:cs="Times New Roman"/>
          <w:sz w:val="28"/>
          <w:szCs w:val="28"/>
          <w:lang w:eastAsia="ru-RU"/>
        </w:rPr>
        <w:noBreakHyphen/>
      </w:r>
      <w:r w:rsidRPr="00FD7B0B">
        <w:rPr>
          <w:rFonts w:ascii="Times New Roman" w:eastAsia="Times New Roman" w:hAnsi="Times New Roman" w:cs="Times New Roman"/>
          <w:sz w:val="28"/>
          <w:szCs w:val="28"/>
          <w:lang w:eastAsia="ru-RU"/>
        </w:rPr>
        <w:t xml:space="preserve">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 Механизмом реализации мероприятия определено, что в 2019 – 2023 годах министерством закуплено и поставлено компьютерное оборудование в 258 образовательных организаций, в 2024 году запланировано оснащение </w:t>
      </w:r>
      <w:r w:rsidR="00780711" w:rsidRPr="00FD7B0B">
        <w:rPr>
          <w:rFonts w:ascii="Times New Roman" w:eastAsia="Times New Roman" w:hAnsi="Times New Roman" w:cs="Times New Roman"/>
          <w:sz w:val="28"/>
          <w:szCs w:val="28"/>
          <w:lang w:eastAsia="ru-RU"/>
        </w:rPr>
        <w:t>39 образовательных организаций.</w:t>
      </w:r>
    </w:p>
    <w:p w14:paraId="33D1C41F"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«2.1 Созданы центры цифрового образования детей "IT-куб". Нарастающий итог» единицы измерения –единица, значение результата на 2024 год – 1, базовое значение 2019 года – 0. Указание базового значения на 2019 год не соответствует требованиям Приложения № 3 к Положению № 793-пп,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w:t>
      </w:r>
    </w:p>
    <w:p w14:paraId="115DBA39" w14:textId="77777777" w:rsidR="00632913" w:rsidRPr="00FD7B0B" w:rsidRDefault="00632913" w:rsidP="00632913">
      <w:pPr>
        <w:spacing w:after="0" w:line="240" w:lineRule="auto"/>
        <w:ind w:firstLine="709"/>
        <w:contextualSpacing/>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За отчетный период в рамках РП «Цифровая образовательная среда» осуществлялась реализация 2 мероприятий (результатов). Текстовой частью проекта отчета, представлена информация о значениях результатов двух мероприятий. Мероприятия (результаты) выполнены в полном объеме и в установленные сроки.</w:t>
      </w:r>
    </w:p>
    <w:p w14:paraId="53BDD1D5" w14:textId="77777777" w:rsidR="00632913" w:rsidRPr="00FD7B0B" w:rsidRDefault="00632913" w:rsidP="00632913">
      <w:pPr>
        <w:spacing w:after="0" w:line="240" w:lineRule="auto"/>
        <w:ind w:firstLine="709"/>
        <w:contextualSpacing/>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соответствии с пунктом 3.5. текстовой части проекта отчета, нарушения плана реализации структурного элемента государственной программы представлены в приложении № 1. Однако информация в приложении № 1 к проекту отчета отсутствует.</w:t>
      </w:r>
    </w:p>
    <w:p w14:paraId="3427A9E7" w14:textId="77777777" w:rsidR="00632913" w:rsidRPr="00FD7B0B" w:rsidRDefault="00632913" w:rsidP="00632913">
      <w:pPr>
        <w:spacing w:after="0" w:line="240" w:lineRule="auto"/>
        <w:ind w:firstLine="709"/>
        <w:contextualSpacing/>
        <w:jc w:val="both"/>
        <w:rPr>
          <w:rFonts w:ascii="Times New Roman" w:eastAsia="Calibri" w:hAnsi="Times New Roman" w:cs="Times New Roman"/>
          <w:sz w:val="28"/>
          <w:szCs w:val="28"/>
        </w:rPr>
      </w:pPr>
    </w:p>
    <w:p w14:paraId="70ADCE5E"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4. Региональный проект «Социальная активность»</w:t>
      </w:r>
    </w:p>
    <w:p w14:paraId="7440B055"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Паспортом регионального проекта «Социальная активность» (далее – РП «Социальная активность») разделом 4. Мероприятия (результаты) регионального проекта предусмотрена реализация мероприятий:</w:t>
      </w:r>
    </w:p>
    <w:p w14:paraId="70B9B432"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«1.1. Осуществлены мероприятия с целью прохождения координаторами добровольцев (волонтеров) курсов (лекций, программ) по работе в сфере добровольчества (волонтерства) и технологиям работы с добровольцами (волонтерами) на базе центров поддержки добровольчества (волонтерства), НКО, образовательных организаций и иных учреждений, осуществляющих деятельность в сфере добровольчества (волонтерства). Нарастающий итог» единицы измерения – тысяча человек, значение результата на 2024 год – 0,282, год базового значения отсутствует – 0. Отсутствие года базового значения, базового значения не соответствует требованиям Приложения № 3 к Положению № 793-пп,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w:t>
      </w:r>
    </w:p>
    <w:p w14:paraId="1F42E42B" w14:textId="02ED01BD"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«1.2. Реализованы практики поддержки добровольчества (волонтерства) по итогам проведения ежегодного конкурса по предоставлению субсидии субъектам Российской Федерации на реализацию практик поддержки и развития добровольчества (волонтерства) </w:t>
      </w:r>
      <w:r w:rsidR="00780711"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Регион добрых дел</w:t>
      </w:r>
      <w:r w:rsidR="00780711"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единицы измерения – единица, значение результата на 2024 год – 1.</w:t>
      </w:r>
    </w:p>
    <w:p w14:paraId="6437FECA"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«1.3.В целях популяризации добровольчества (волонтерства) проведена информационная и рекламная кампания, в том числе размещены рекламные ролики на ТВ и в информационно-телекоммуникационной сети «Интернет»» единицы измерения - Миллион единиц, значение результата на 2024 год – 0,0375.</w:t>
      </w:r>
    </w:p>
    <w:p w14:paraId="53367BED" w14:textId="7E2FD232"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За отчетный период в рамках РП «Социальная активность» осуществлялась реализация 3 мероприятий (результатов). Согласно текстовой части проекта отчета мероприятия (результаты) выполнены в полном объеме и в </w:t>
      </w:r>
      <w:r w:rsidRPr="00FD7B0B">
        <w:rPr>
          <w:rFonts w:ascii="Times New Roman" w:eastAsia="Times New Roman" w:hAnsi="Times New Roman" w:cs="Times New Roman"/>
          <w:sz w:val="28"/>
          <w:szCs w:val="28"/>
          <w:lang w:eastAsia="ru-RU"/>
        </w:rPr>
        <w:lastRenderedPageBreak/>
        <w:t xml:space="preserve">установленные сроки. Однако, информация о выполнении мероприятий, достижении (результатов) в проекте отчета не представлена. Согласно разделу II проекта отчета весь объем финансирования в размере 9,6 </w:t>
      </w:r>
      <w:r w:rsidR="000560EB" w:rsidRPr="00FD7B0B">
        <w:rPr>
          <w:rFonts w:ascii="Times New Roman" w:eastAsia="Times New Roman" w:hAnsi="Times New Roman" w:cs="Times New Roman"/>
          <w:sz w:val="28"/>
          <w:szCs w:val="28"/>
          <w:lang w:eastAsia="ru-RU"/>
        </w:rPr>
        <w:t>млн.руб.</w:t>
      </w:r>
      <w:r w:rsidRPr="00FD7B0B">
        <w:rPr>
          <w:rFonts w:ascii="Times New Roman" w:eastAsia="Times New Roman" w:hAnsi="Times New Roman" w:cs="Times New Roman"/>
          <w:sz w:val="28"/>
          <w:szCs w:val="28"/>
          <w:lang w:eastAsia="ru-RU"/>
        </w:rPr>
        <w:t xml:space="preserve"> направлен на реализацию 1 мероприятия «Реализованы практики поддержки добровольчества (волонтерства) по итогам проведения ежегодного конкурса по предоставлению субсидии субъектам Российской Федерации на реализацию практик поддержки и развития добровольчества (волонтерства) «Регион добрых дел».</w:t>
      </w:r>
    </w:p>
    <w:p w14:paraId="6C3D0631"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произвести оценку достижения 2 из 3 мероприятий (результатов) РП «Социальная активность», не представляется возможным.</w:t>
      </w:r>
    </w:p>
    <w:p w14:paraId="7C23707F"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p>
    <w:p w14:paraId="769FAB26"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5. Региональный проект «Профессионалитет»</w:t>
      </w:r>
    </w:p>
    <w:p w14:paraId="4FD7975F"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Паспортом регионального проекта «Профессионалитет» (далее – РП «Профессионалитет») разделом 4. Мероприятия (результаты) регионального проекта предусмотрена реализация 2 мероприятий:</w:t>
      </w:r>
    </w:p>
    <w:p w14:paraId="1CD6F360"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«1.1. Созданы и функционируют центры опережающей профессиональной подготовки на базе организаций дополнительного профессионального образования и государственных профессиональных образовательных организаций Архангельской области» (далее – мероприятие по созданию и функционированию ЦООП), всего, единицы измерения – единица, значение результата на 2024 год – 2, базовое значение 2022 года – 0. Указание базового значения на 2022 год не соответствует требованиям Приложения № 3 к Положению № 793-пп,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 </w:t>
      </w:r>
    </w:p>
    <w:p w14:paraId="7D4377DF" w14:textId="77777777" w:rsidR="00632913" w:rsidRPr="00FD7B0B" w:rsidRDefault="00632913" w:rsidP="00632913">
      <w:pPr>
        <w:spacing w:after="0" w:line="240" w:lineRule="auto"/>
        <w:ind w:firstLine="720"/>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«1.2. Осуществлена государственная поддержка развития образовательно-производственных центров (кластеров) на основе интеграции образовательных организаций, реализующих программы среднего профессионального образования, и организаций, действующих в реальном секторе экономики, а также образовательных кластеров среднего профессионального образования», (далее – мероприятие по осуществлению господдержки кластеров) единицы измерения – единица, значение результата на 2024 год – 3, базовое значение 2022 года – 0. Указание базового значения на 2022 год не соответствует требованиям Приложения № 3 к Положению № 793-пп,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w:t>
      </w:r>
    </w:p>
    <w:p w14:paraId="205AA997"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рамках реализации мероприятия по созданию и функционированию ЦООП между министерством и автономной некоммерческой организацией дополнительного профессионального образования «Центр опережающей профессиональной подготовки Архангельской области» (далее – Центр) заключено соглашение о предоставлении из бюджета Архангельской области гранта в форме субсидий на реализацию мероприятий по обеспечению функционирования Центра от 09.02.2024 № 03-02-08/16 с учетом дополнительных соглашений на общую сумму 79 490 062,00 руб. Однако реализация мероприятий по обеспечению функционирования некоммерческой </w:t>
      </w:r>
      <w:r w:rsidRPr="00FD7B0B">
        <w:rPr>
          <w:rFonts w:ascii="Times New Roman" w:eastAsia="Times New Roman" w:hAnsi="Times New Roman" w:cs="Times New Roman"/>
          <w:sz w:val="28"/>
          <w:szCs w:val="28"/>
          <w:lang w:eastAsia="ru-RU"/>
        </w:rPr>
        <w:lastRenderedPageBreak/>
        <w:t xml:space="preserve">организации не отвечает понятию мероприятие (результат) при реализации проектной части государственной программы. </w:t>
      </w:r>
    </w:p>
    <w:p w14:paraId="5128B7D5" w14:textId="3D5DBC39"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в нарушение п</w:t>
      </w:r>
      <w:r w:rsidR="003D039C" w:rsidRPr="00FD7B0B">
        <w:rPr>
          <w:rFonts w:ascii="Times New Roman" w:eastAsia="Times New Roman" w:hAnsi="Times New Roman" w:cs="Times New Roman"/>
          <w:sz w:val="28"/>
          <w:szCs w:val="28"/>
          <w:lang w:eastAsia="ru-RU"/>
        </w:rPr>
        <w:t>.п.</w:t>
      </w:r>
      <w:r w:rsidRPr="00FD7B0B">
        <w:rPr>
          <w:rFonts w:ascii="Times New Roman" w:eastAsia="Times New Roman" w:hAnsi="Times New Roman" w:cs="Times New Roman"/>
          <w:sz w:val="28"/>
          <w:szCs w:val="28"/>
          <w:lang w:eastAsia="ru-RU"/>
        </w:rPr>
        <w:t xml:space="preserve"> 2, 3 Положения № 793-пп в паспорт РП «Профессионалитет», в проект отчета, включены данные о реализации мероприятия по функционированию ЦООП не отвечающего понятию мероприятие (результат) при реализации проектной части государственной программы, что в свою очередь привело к увеличению объема средств в рамках реализации мероприятий проектной </w:t>
      </w:r>
      <w:r w:rsidR="00780711" w:rsidRPr="00FD7B0B">
        <w:rPr>
          <w:rFonts w:ascii="Times New Roman" w:eastAsia="Times New Roman" w:hAnsi="Times New Roman" w:cs="Times New Roman"/>
          <w:sz w:val="28"/>
          <w:szCs w:val="28"/>
          <w:lang w:eastAsia="ru-RU"/>
        </w:rPr>
        <w:t>части госпрограммы на 79,5 млн.</w:t>
      </w:r>
      <w:r w:rsidRPr="00FD7B0B">
        <w:rPr>
          <w:rFonts w:ascii="Times New Roman" w:eastAsia="Times New Roman" w:hAnsi="Times New Roman" w:cs="Times New Roman"/>
          <w:sz w:val="28"/>
          <w:szCs w:val="28"/>
          <w:lang w:eastAsia="ru-RU"/>
        </w:rPr>
        <w:t>руб.</w:t>
      </w:r>
    </w:p>
    <w:p w14:paraId="22214624" w14:textId="25358402"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соответствии с пунктом 5.5 текстовой части проекта отчета все мероприятия реализованы в полном объеме в соответствии с планом реализации государственной программы. Однако, следует отметить, что разделом 7. План</w:t>
      </w:r>
      <w:r w:rsidR="00780711" w:rsidRPr="00FD7B0B">
        <w:rPr>
          <w:rFonts w:ascii="Times New Roman" w:eastAsia="Times New Roman" w:hAnsi="Times New Roman" w:cs="Times New Roman"/>
          <w:sz w:val="28"/>
          <w:szCs w:val="28"/>
          <w:lang w:eastAsia="ru-RU"/>
        </w:rPr>
        <w:t>а</w:t>
      </w:r>
      <w:r w:rsidRPr="00FD7B0B">
        <w:rPr>
          <w:rFonts w:ascii="Times New Roman" w:eastAsia="Times New Roman" w:hAnsi="Times New Roman" w:cs="Times New Roman"/>
          <w:sz w:val="28"/>
          <w:szCs w:val="28"/>
          <w:lang w:eastAsia="ru-RU"/>
        </w:rPr>
        <w:t xml:space="preserve"> реализации РП «Профессионалитет», мероприятия по осуществлению господдержки кластеров не предусмотрены, информация о проведении мероприятий (достижении результатов) по осуществлению господдержки кластеров в текстовой части проекта отчета не представлена. Согласно Приложению № 1 к проекту отчета по мероприятию по осуществлению господдержки кластеров поддержка осуществлена 3 кластерам при плановом значении 3. В соответствии с уточненной сводной бюджетной росписью на 2024 год по мероприятию по осуществлению господдержки кластеров предусмотрены средства в размере 31,0 </w:t>
      </w:r>
      <w:r w:rsidR="000560EB" w:rsidRPr="00FD7B0B">
        <w:rPr>
          <w:rFonts w:ascii="Times New Roman" w:eastAsia="Times New Roman" w:hAnsi="Times New Roman" w:cs="Times New Roman"/>
          <w:sz w:val="28"/>
          <w:szCs w:val="28"/>
          <w:lang w:eastAsia="ru-RU"/>
        </w:rPr>
        <w:t>млн.руб.</w:t>
      </w:r>
      <w:r w:rsidRPr="00FD7B0B">
        <w:rPr>
          <w:rFonts w:ascii="Times New Roman" w:eastAsia="Times New Roman" w:hAnsi="Times New Roman" w:cs="Times New Roman"/>
          <w:sz w:val="28"/>
          <w:szCs w:val="28"/>
          <w:lang w:eastAsia="ru-RU"/>
        </w:rPr>
        <w:t>, которые в свою очередь предоставлены в соответствии с соглашениями на иные цели ГБПОУ АО «Архангельский педколледж» в сум</w:t>
      </w:r>
      <w:r w:rsidR="00780711" w:rsidRPr="00FD7B0B">
        <w:rPr>
          <w:rFonts w:ascii="Times New Roman" w:eastAsia="Times New Roman" w:hAnsi="Times New Roman" w:cs="Times New Roman"/>
          <w:sz w:val="28"/>
          <w:szCs w:val="28"/>
          <w:lang w:eastAsia="ru-RU"/>
        </w:rPr>
        <w:t>ме 15,0 млн.</w:t>
      </w:r>
      <w:r w:rsidRPr="00FD7B0B">
        <w:rPr>
          <w:rFonts w:ascii="Times New Roman" w:eastAsia="Times New Roman" w:hAnsi="Times New Roman" w:cs="Times New Roman"/>
          <w:sz w:val="28"/>
          <w:szCs w:val="28"/>
          <w:lang w:eastAsia="ru-RU"/>
        </w:rPr>
        <w:t>руб. и ГАПОУ АО «Новодвинский индустриаль</w:t>
      </w:r>
      <w:r w:rsidR="00780711" w:rsidRPr="00FD7B0B">
        <w:rPr>
          <w:rFonts w:ascii="Times New Roman" w:eastAsia="Times New Roman" w:hAnsi="Times New Roman" w:cs="Times New Roman"/>
          <w:sz w:val="28"/>
          <w:szCs w:val="28"/>
          <w:lang w:eastAsia="ru-RU"/>
        </w:rPr>
        <w:t>ный техникум» в сумме 16,0 млн.</w:t>
      </w:r>
      <w:r w:rsidRPr="00FD7B0B">
        <w:rPr>
          <w:rFonts w:ascii="Times New Roman" w:eastAsia="Times New Roman" w:hAnsi="Times New Roman" w:cs="Times New Roman"/>
          <w:sz w:val="28"/>
          <w:szCs w:val="28"/>
          <w:lang w:eastAsia="ru-RU"/>
        </w:rPr>
        <w:t>руб.</w:t>
      </w:r>
    </w:p>
    <w:p w14:paraId="718C8BCC" w14:textId="5C64FB69"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Данные проекта отчета о реализации мероприятий (результатов) носят противоречивый и неполный характер, что в свою очередь не позволяет произвести оценку достижения мероприятий (результатов) РП «П</w:t>
      </w:r>
      <w:r w:rsidR="00780711" w:rsidRPr="00FD7B0B">
        <w:rPr>
          <w:rFonts w:ascii="Times New Roman" w:eastAsia="Times New Roman" w:hAnsi="Times New Roman" w:cs="Times New Roman"/>
          <w:sz w:val="28"/>
          <w:szCs w:val="28"/>
          <w:lang w:eastAsia="ru-RU"/>
        </w:rPr>
        <w:t>рофессионалитет» в полной мере.</w:t>
      </w:r>
    </w:p>
    <w:p w14:paraId="37DBFE35"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p>
    <w:p w14:paraId="0DB3FCB7" w14:textId="77777777" w:rsidR="00632913" w:rsidRPr="00FD7B0B" w:rsidRDefault="00632913" w:rsidP="00780711">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6. Региональный проект «Модернизация школьных систем образования в Архангельской области»</w:t>
      </w:r>
    </w:p>
    <w:p w14:paraId="16EC2E76"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Паспортом регионального проекта «Модернизация школьных систем образования в Архангельской области» (далее – РП «Модернизация школьных систем образования в Архангельской области») разделом 4. Мероприятия (результаты) регионального проекта предусмотрена реализация 2 мероприятий:</w:t>
      </w:r>
    </w:p>
    <w:p w14:paraId="7DBF19EA"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«1.1.Выполнены мероприятия по капитальному ремонту общеобразовательных организаций и их оснащению средствами обучения и воспитания» (далее – мероприятие 1.1. РП «Модернизация школьных систем образования в Архангельской области») единицы измерения – единица, значение результата на 2024 год – 39, базовое значение 2022 года – 17. Указание базового значения на 2022 год не соответствует требованиям Приложения № 3 к Положению № 793-пп,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w:t>
      </w:r>
    </w:p>
    <w:p w14:paraId="275216ED"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«1.2. Отремонтированные здания и (или) помещения общеобразовательных организаций соответствуют требованиям нормативного </w:t>
      </w:r>
      <w:r w:rsidRPr="00FD7B0B">
        <w:rPr>
          <w:rFonts w:ascii="Times New Roman" w:eastAsia="Times New Roman" w:hAnsi="Times New Roman" w:cs="Times New Roman"/>
          <w:sz w:val="28"/>
          <w:szCs w:val="28"/>
          <w:lang w:eastAsia="ru-RU"/>
        </w:rPr>
        <w:lastRenderedPageBreak/>
        <w:t>уровня антитеррористической защищенности» (далее – мероприятие 1.2 РП «Модернизация школьных систем образования в Архангельской области») единицы измерения – единица, значение результата на 2024 год – 39, базовое значение 2022 года – 17. Указание базового значения на 2022 год не соответствует требованиям Приложения № 3 к Положению № 793-пп, в соответствии с которым указывается значение мероприятия (результата) за предыдущий год, что в свою очередь не позволяет определить плановое значение результата на отчетный период.</w:t>
      </w:r>
    </w:p>
    <w:p w14:paraId="134651C0"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разделу 7 План реализации РП паспорта РП «Модернизация школьных систем образования в Архангельской области», в 2024 году предусмотрен капитальный ремонт 17 объектов образования.</w:t>
      </w:r>
    </w:p>
    <w:p w14:paraId="5A1FBE1D"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Информация о фактическом выполнении плановых значений указанных мероприятий в приложении № 1 к проекту отчета отсутствует.</w:t>
      </w:r>
    </w:p>
    <w:p w14:paraId="0ECD4950"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текстовой части проекта отчета в 2024 году</w:t>
      </w:r>
    </w:p>
    <w:p w14:paraId="74822F51"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 завершен ремонт 3 объектов однолетнего цикла 2024 года, </w:t>
      </w:r>
    </w:p>
    <w:p w14:paraId="415E2B8A"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по 4 объектам сроки завершения ремонта перенесены на 2025 год в соответствии с дополнительным соглашением от 12.12.2024 № 073-09-2022-961/12,</w:t>
      </w:r>
    </w:p>
    <w:p w14:paraId="54B92360"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по 10 объектам ведется ремонт в рамках двухлетнего цикла 2024 – 2025 годов.</w:t>
      </w:r>
    </w:p>
    <w:p w14:paraId="5D8EF656"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приложении № 1 к проекту отчета информация о фактическом выполнении мероприятия отсутствует.</w:t>
      </w:r>
    </w:p>
    <w:p w14:paraId="508D20A0"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мероприятие «Выполнены мероприятия по капитальному ремонту общеобразовательных организаций и их оснащению средствами обучения и воспитания» выполнено не в полном объеме.</w:t>
      </w:r>
    </w:p>
    <w:p w14:paraId="51297CBB"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Информация о реализации мероприятия 1.2. РП «Модернизация школьных систем образования в Архангельской области» в текстовой части проекта отчета, приложении № 1 к проекту отчета отсутствует.</w:t>
      </w:r>
    </w:p>
    <w:p w14:paraId="2F3BEF94"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Данные проекта отчета о реализации мероприятий (результатов) носят противоречивый и неполный характер, что в свою очередь не позволяет произвести оценку достижения мероприятий (результатов) РП «Модернизация школьных систем образования в Архангельской области» в полной мере.</w:t>
      </w:r>
    </w:p>
    <w:p w14:paraId="2962CA59"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p>
    <w:p w14:paraId="4DF9910C"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7. Комплекс процессных мероприятий «Развитие образования Архангельской области»</w:t>
      </w:r>
    </w:p>
    <w:p w14:paraId="44669910" w14:textId="77777777"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проекту отчета, за 2024 год в рамках комплекса процессных мероприятий «Развитие образования Архангельской области» (далее – КПМ развитие образования) в целях достижения 4 задач реализуется 23 мероприятия (результатов), в том числе на отчетную дату, согласно Приложению № 1 к проекту отчета:</w:t>
      </w:r>
    </w:p>
    <w:p w14:paraId="2F0AC392" w14:textId="77777777"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16 мероприятий (результатов) выполнены в полном объеме и в установленные сроки, </w:t>
      </w:r>
    </w:p>
    <w:p w14:paraId="4AFD79D3" w14:textId="57EE8D0C"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фактическое значение по реализации 7 мероприят</w:t>
      </w:r>
      <w:r w:rsidR="00780711" w:rsidRPr="00FD7B0B">
        <w:rPr>
          <w:rFonts w:ascii="Times New Roman" w:eastAsia="Times New Roman" w:hAnsi="Times New Roman" w:cs="Times New Roman"/>
          <w:sz w:val="28"/>
          <w:szCs w:val="28"/>
          <w:lang w:eastAsia="ru-RU"/>
        </w:rPr>
        <w:t>ий (результатов) - отсутствует.</w:t>
      </w:r>
    </w:p>
    <w:p w14:paraId="79377FEC"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По мероприятию «Реализованы мероприятия по строительству, приобретению и реконструкции дошкольных образовательных и общеобразовательных организаций в Архангельской области» (далее – мероприятия по строительству общеобразовательных организаций) установлены единицы измерения «условная единица», плановое значение «1», фактически достигнуто «1».</w:t>
      </w:r>
    </w:p>
    <w:p w14:paraId="61336CA1" w14:textId="59D22642"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рамках реализации мероприятий по строительству общеобразовательных организаций минстрою АО выделены средства в объеме 221,8 </w:t>
      </w:r>
      <w:r w:rsidR="000560EB" w:rsidRPr="00FD7B0B">
        <w:rPr>
          <w:rFonts w:ascii="Times New Roman" w:eastAsia="Times New Roman" w:hAnsi="Times New Roman" w:cs="Times New Roman"/>
          <w:sz w:val="28"/>
          <w:szCs w:val="28"/>
          <w:lang w:eastAsia="ru-RU"/>
        </w:rPr>
        <w:t>млн.руб.</w:t>
      </w:r>
      <w:r w:rsidRPr="00FD7B0B">
        <w:rPr>
          <w:rFonts w:ascii="Times New Roman" w:eastAsia="Times New Roman" w:hAnsi="Times New Roman" w:cs="Times New Roman"/>
          <w:sz w:val="28"/>
          <w:szCs w:val="28"/>
          <w:lang w:eastAsia="ru-RU"/>
        </w:rPr>
        <w:t xml:space="preserve"> в том числе:</w:t>
      </w:r>
    </w:p>
    <w:p w14:paraId="0CDB4BE9" w14:textId="1EFBAFF8"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 на софинансирование капитальных вложений в объекты муниципальной собственности муниципальных образований Архан</w:t>
      </w:r>
      <w:r w:rsidR="00780711" w:rsidRPr="00FD7B0B">
        <w:rPr>
          <w:rFonts w:ascii="Times New Roman" w:eastAsia="Times New Roman" w:hAnsi="Times New Roman" w:cs="Times New Roman"/>
          <w:sz w:val="28"/>
          <w:szCs w:val="28"/>
          <w:lang w:eastAsia="ru-RU"/>
        </w:rPr>
        <w:t>гельской области 84,1 млн.руб.</w:t>
      </w:r>
    </w:p>
    <w:p w14:paraId="53FBE0F1" w14:textId="196CF0BD"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реконструкцию здания теплицы – учебного класса МБОУ «Средняя школа № 10» под спортивный за</w:t>
      </w:r>
      <w:r w:rsidR="00780711" w:rsidRPr="00FD7B0B">
        <w:rPr>
          <w:rFonts w:ascii="Times New Roman" w:eastAsia="Times New Roman" w:hAnsi="Times New Roman" w:cs="Times New Roman"/>
          <w:sz w:val="28"/>
          <w:szCs w:val="28"/>
          <w:lang w:eastAsia="ru-RU"/>
        </w:rPr>
        <w:t>л 20,9 млн.</w:t>
      </w:r>
      <w:r w:rsidRPr="00FD7B0B">
        <w:rPr>
          <w:rFonts w:ascii="Times New Roman" w:eastAsia="Times New Roman" w:hAnsi="Times New Roman" w:cs="Times New Roman"/>
          <w:sz w:val="28"/>
          <w:szCs w:val="28"/>
          <w:lang w:eastAsia="ru-RU"/>
        </w:rPr>
        <w:t>руб. Объект введен в эксплуатацию в 2024 году;</w:t>
      </w:r>
    </w:p>
    <w:p w14:paraId="00F15958" w14:textId="03E90AA4"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на строительство средней общеобразовательной школы на 240 мест в поселке Оксовский Плесецкого му</w:t>
      </w:r>
      <w:r w:rsidR="00780711" w:rsidRPr="00FD7B0B">
        <w:rPr>
          <w:rFonts w:ascii="Times New Roman" w:eastAsia="Times New Roman" w:hAnsi="Times New Roman" w:cs="Times New Roman"/>
          <w:sz w:val="28"/>
          <w:szCs w:val="28"/>
          <w:lang w:eastAsia="ru-RU"/>
        </w:rPr>
        <w:t>ниципального округа – 63,2 млн.</w:t>
      </w:r>
      <w:r w:rsidRPr="00FD7B0B">
        <w:rPr>
          <w:rFonts w:ascii="Times New Roman" w:eastAsia="Times New Roman" w:hAnsi="Times New Roman" w:cs="Times New Roman"/>
          <w:sz w:val="28"/>
          <w:szCs w:val="28"/>
          <w:lang w:eastAsia="ru-RU"/>
        </w:rPr>
        <w:t xml:space="preserve">руб. </w:t>
      </w:r>
    </w:p>
    <w:p w14:paraId="45FD25A3" w14:textId="13C3B82B"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Ранее, в заключении об исполнении ГП № 02 за 2023 год, КСП АО уже отражало сложившуюся ситуацию, связанную с переносами сроков ввода в эксплуатацию школы в посел</w:t>
      </w:r>
      <w:r w:rsidR="00780711" w:rsidRPr="00FD7B0B">
        <w:rPr>
          <w:rFonts w:ascii="Times New Roman" w:eastAsia="Times New Roman" w:hAnsi="Times New Roman" w:cs="Times New Roman"/>
          <w:sz w:val="28"/>
          <w:szCs w:val="28"/>
          <w:lang w:eastAsia="ru-RU"/>
        </w:rPr>
        <w:t>ке Оксовский Плесецкого района.</w:t>
      </w:r>
    </w:p>
    <w:p w14:paraId="1B99BF8D"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После того как было установлено, что подрядчиком при монтаже свай допущены нарушения, из-за чего на стенах образовались трещины и возникла угроза обрушения объекта, в апреле 2024 года ситуация со строительством данной школы поставлена на контроль в Центральном аппарате Следственного Комитета Российской Федерации.</w:t>
      </w:r>
    </w:p>
    <w:p w14:paraId="74564149"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На текущий момент согласно смете на проведение работ предусмотрен полный демонтаж ранее построенных конструкций.</w:t>
      </w:r>
    </w:p>
    <w:p w14:paraId="2C138F26" w14:textId="542CB598"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Дополнительная информация о ходе реализации строительства средней общеобразовательной школы на 240 мест в поселке Оксовский Плесецкого муниципального округа изложена в разделе «</w:t>
      </w:r>
      <w:r w:rsidR="00DC2F11" w:rsidRPr="00FD7B0B">
        <w:rPr>
          <w:rFonts w:ascii="Times New Roman" w:eastAsia="Times New Roman" w:hAnsi="Times New Roman" w:cs="Times New Roman"/>
          <w:sz w:val="28"/>
          <w:szCs w:val="28"/>
          <w:lang w:eastAsia="ru-RU"/>
        </w:rPr>
        <w:t>Р</w:t>
      </w:r>
      <w:r w:rsidRPr="00FD7B0B">
        <w:rPr>
          <w:rFonts w:ascii="Times New Roman" w:eastAsia="Times New Roman" w:hAnsi="Times New Roman" w:cs="Times New Roman"/>
          <w:sz w:val="28"/>
          <w:szCs w:val="28"/>
          <w:lang w:eastAsia="ru-RU"/>
        </w:rPr>
        <w:t>еализаци</w:t>
      </w:r>
      <w:r w:rsidR="00DC2F11" w:rsidRPr="00FD7B0B">
        <w:rPr>
          <w:rFonts w:ascii="Times New Roman" w:eastAsia="Times New Roman" w:hAnsi="Times New Roman" w:cs="Times New Roman"/>
          <w:sz w:val="28"/>
          <w:szCs w:val="28"/>
          <w:lang w:eastAsia="ru-RU"/>
        </w:rPr>
        <w:t>я</w:t>
      </w:r>
      <w:r w:rsidRPr="00FD7B0B">
        <w:rPr>
          <w:rFonts w:ascii="Times New Roman" w:eastAsia="Times New Roman" w:hAnsi="Times New Roman" w:cs="Times New Roman"/>
          <w:sz w:val="28"/>
          <w:szCs w:val="28"/>
          <w:lang w:eastAsia="ru-RU"/>
        </w:rPr>
        <w:t xml:space="preserve"> областной адресной инвестиционной программы» настоящего заключения.</w:t>
      </w:r>
    </w:p>
    <w:p w14:paraId="43880FE8"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iCs/>
          <w:sz w:val="28"/>
          <w:szCs w:val="28"/>
          <w:lang w:eastAsia="ru-RU"/>
        </w:rPr>
      </w:pPr>
      <w:r w:rsidRPr="00FD7B0B">
        <w:rPr>
          <w:rFonts w:ascii="Times New Roman" w:eastAsia="Times New Roman" w:hAnsi="Times New Roman" w:cs="Times New Roman"/>
          <w:sz w:val="28"/>
          <w:szCs w:val="28"/>
          <w:lang w:eastAsia="ru-RU"/>
        </w:rPr>
        <w:t xml:space="preserve">2) на возврат средств в федеральный бюджет в связи с расторжением соглашений о предоставлении субсидий из федерального бюджета бюджету Архангельской области 137,5 млн.руб. </w:t>
      </w:r>
      <w:r w:rsidRPr="00FD7B0B">
        <w:rPr>
          <w:rFonts w:ascii="Times New Roman" w:eastAsia="Times New Roman" w:hAnsi="Times New Roman" w:cs="Times New Roman"/>
          <w:iCs/>
          <w:sz w:val="28"/>
          <w:szCs w:val="28"/>
          <w:lang w:eastAsia="ru-RU"/>
        </w:rPr>
        <w:t>Возврат осуществлен в связи с исключением объекта «Проектирование и строительство средней общеобразовательной школы на 240 мест в поселке Оксовский Плесецкого района Архангельской области» из состава НП «Образование».</w:t>
      </w:r>
    </w:p>
    <w:p w14:paraId="55D6FDDD"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Возврат в 2024 году средств в федеральный бюджет в связи с расторжением соглашений о предоставлении субсидий из федерального бюджета бюджету Архангельской области в сумме 137,5 млн.руб. не соответствует принципу эффективности использования бюджетных средств, установленному статьей 34 БК РФ.</w:t>
      </w:r>
    </w:p>
    <w:p w14:paraId="33D5E52C"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Информация о значениях результатов по реконструкции здания теплицы – учебного класса МБОУ «Средняя школа № 10» под спортивный зал, по возврату средств в федеральный бюджет в связи с расторжением соглашений о </w:t>
      </w:r>
      <w:r w:rsidRPr="00FD7B0B">
        <w:rPr>
          <w:rFonts w:ascii="Times New Roman" w:eastAsia="Times New Roman" w:hAnsi="Times New Roman" w:cs="Times New Roman"/>
          <w:sz w:val="28"/>
          <w:szCs w:val="28"/>
          <w:lang w:eastAsia="ru-RU"/>
        </w:rPr>
        <w:lastRenderedPageBreak/>
        <w:t>предоставлении субсидий из федерального бюджета бюджету Архангельской области в проект отчета не включены.</w:t>
      </w:r>
    </w:p>
    <w:p w14:paraId="2FC59351" w14:textId="58B28D61" w:rsidR="00EB4145" w:rsidRPr="00FD7B0B" w:rsidRDefault="00EB4145" w:rsidP="00EB4145">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в нарушение ст</w:t>
      </w:r>
      <w:r w:rsidR="00905118"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xml:space="preserve"> 179 БК РФ, п</w:t>
      </w:r>
      <w:r w:rsidR="00905118"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32 Положения № 793-пп в проект отчета не включены мероприятия (результаты), а в Приложении № 1 к проекту отчета не отражено достижение мероприятий (результатов) по реконструкции здания теплицы – учебного класса МБОУ «Средняя школа № 10» под спортивный зал, по возврату средств в федеральный бюджет, реализация которых осуществлялась в 2024 году.</w:t>
      </w:r>
    </w:p>
    <w:p w14:paraId="49B14518" w14:textId="77777777" w:rsidR="00EB4145" w:rsidRPr="00FD7B0B" w:rsidRDefault="00EB4145" w:rsidP="00EB4145">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Исходя из выше изложенного, представленный проект отчета о реализации ГП № 02 является некорректным.</w:t>
      </w:r>
    </w:p>
    <w:p w14:paraId="1D55F810" w14:textId="77777777" w:rsidR="00632913" w:rsidRPr="00FD7B0B" w:rsidRDefault="00632913" w:rsidP="00632913">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p>
    <w:p w14:paraId="061A3A6F"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Оценка достижения целевых показателей по итогам 2024 года</w:t>
      </w:r>
    </w:p>
    <w:p w14:paraId="3C8D58A3"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рамках государственной программы в целом на 2024 год утверждено 3 целевых показателя. Паспортами структурных элементов в рамках проектной части государственной программы утверждены 12 показателей, в рамках реализации КПМ развитие образования - 3 показателя.</w:t>
      </w:r>
    </w:p>
    <w:p w14:paraId="158E3AC9"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нарушение требований пункта 12 Положения № 793-пп показатель, КПМ развитие образования «Удовлетворенность населения качеством общего и дополнительного образования детей Архангельской области» дублирует аналогичный показатель государственной программы.</w:t>
      </w:r>
    </w:p>
    <w:p w14:paraId="0C71F522"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Показатель госпрограммы «Доля выпускников, освоивших образовательные программы среднего общего образования и успешно прошедших государственную итоговую аттестацию по образовательным программам среднего общего образования и получивших аттестат о среднем общем образовании», дублировавший аналогичный показатель государственной программы из паспорта КПМ развитие образования в редакции на конец года исключен.</w:t>
      </w:r>
    </w:p>
    <w:p w14:paraId="0AD5D11A"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Целевые показатели ГП № 02 в основном соответствуют целям и задачам, установленным документами стратегического планирования</w:t>
      </w:r>
      <w:r w:rsidRPr="00FD7B0B">
        <w:rPr>
          <w:rFonts w:ascii="Times New Roman" w:eastAsia="Times New Roman" w:hAnsi="Times New Roman" w:cs="Times New Roman"/>
          <w:sz w:val="28"/>
          <w:szCs w:val="28"/>
          <w:vertAlign w:val="superscript"/>
          <w:lang w:eastAsia="ru-RU"/>
        </w:rPr>
        <w:footnoteReference w:id="28"/>
      </w:r>
      <w:r w:rsidRPr="00FD7B0B">
        <w:rPr>
          <w:rFonts w:ascii="Times New Roman" w:eastAsia="Times New Roman" w:hAnsi="Times New Roman" w:cs="Times New Roman"/>
          <w:sz w:val="28"/>
          <w:szCs w:val="28"/>
          <w:lang w:eastAsia="ru-RU"/>
        </w:rPr>
        <w:t xml:space="preserve"> в сфере образования.</w:t>
      </w:r>
    </w:p>
    <w:p w14:paraId="4538D2C8" w14:textId="77777777" w:rsidR="00EB4145" w:rsidRPr="00FD7B0B" w:rsidRDefault="00EB4145" w:rsidP="00EB414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Однако, как ранее уже отмечалось КСП АО в заключении об исполнении ГП № 02 за 2023 год, ряд значений целевых показателей ГП № 02 не в полной мере соответствуют целям, задачам и значениям, установленным Указом Президента Российской Федерации от 7 мая 2018 г. № 204.</w:t>
      </w:r>
    </w:p>
    <w:tbl>
      <w:tblPr>
        <w:tblStyle w:val="2130"/>
        <w:tblW w:w="9644" w:type="dxa"/>
        <w:tblInd w:w="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514"/>
        <w:gridCol w:w="4130"/>
      </w:tblGrid>
      <w:tr w:rsidR="00FD7B0B" w:rsidRPr="00FD7B0B" w14:paraId="12932AF1" w14:textId="77777777" w:rsidTr="0023271E">
        <w:trPr>
          <w:tblHeader/>
        </w:trPr>
        <w:tc>
          <w:tcPr>
            <w:tcW w:w="5514" w:type="dxa"/>
            <w:hideMark/>
          </w:tcPr>
          <w:p w14:paraId="1319B74D" w14:textId="77777777" w:rsidR="00632913" w:rsidRPr="00FD7B0B" w:rsidRDefault="00632913" w:rsidP="00632913">
            <w:pPr>
              <w:contextualSpacing/>
              <w:jc w:val="center"/>
              <w:rPr>
                <w:rFonts w:ascii="Times New Roman" w:eastAsia="Times New Roman" w:hAnsi="Times New Roman"/>
                <w:sz w:val="20"/>
                <w:szCs w:val="20"/>
              </w:rPr>
            </w:pPr>
            <w:r w:rsidRPr="00FD7B0B">
              <w:rPr>
                <w:rFonts w:ascii="Times New Roman" w:eastAsia="Times New Roman" w:hAnsi="Times New Roman"/>
                <w:sz w:val="20"/>
                <w:szCs w:val="20"/>
              </w:rPr>
              <w:t>Цели и целевые показатели документов стратегического планирования с указанием их значений</w:t>
            </w:r>
          </w:p>
        </w:tc>
        <w:tc>
          <w:tcPr>
            <w:tcW w:w="4130" w:type="dxa"/>
            <w:hideMark/>
          </w:tcPr>
          <w:p w14:paraId="5C99C7CF" w14:textId="77777777" w:rsidR="00632913" w:rsidRPr="00FD7B0B" w:rsidRDefault="00632913" w:rsidP="00632913">
            <w:pPr>
              <w:contextualSpacing/>
              <w:jc w:val="center"/>
              <w:rPr>
                <w:rFonts w:ascii="Times New Roman" w:eastAsia="Times New Roman" w:hAnsi="Times New Roman"/>
                <w:sz w:val="20"/>
                <w:szCs w:val="20"/>
              </w:rPr>
            </w:pPr>
            <w:r w:rsidRPr="00FD7B0B">
              <w:rPr>
                <w:rFonts w:ascii="Times New Roman" w:eastAsia="Times New Roman" w:hAnsi="Times New Roman"/>
                <w:sz w:val="20"/>
                <w:szCs w:val="20"/>
              </w:rPr>
              <w:t>Целевые показатели ГП № 02 в ред. на 27.12.2024</w:t>
            </w:r>
          </w:p>
        </w:tc>
      </w:tr>
      <w:tr w:rsidR="00FD7B0B" w:rsidRPr="00FD7B0B" w14:paraId="4C2CE76A" w14:textId="77777777" w:rsidTr="0023271E">
        <w:tc>
          <w:tcPr>
            <w:tcW w:w="9644" w:type="dxa"/>
            <w:gridSpan w:val="2"/>
            <w:hideMark/>
          </w:tcPr>
          <w:p w14:paraId="32E311C1" w14:textId="77777777" w:rsidR="00632913" w:rsidRPr="00FD7B0B" w:rsidRDefault="00632913" w:rsidP="00632913">
            <w:pPr>
              <w:contextualSpacing/>
              <w:jc w:val="center"/>
              <w:rPr>
                <w:rFonts w:ascii="Times New Roman" w:eastAsia="Times New Roman" w:hAnsi="Times New Roman"/>
                <w:sz w:val="20"/>
                <w:szCs w:val="20"/>
              </w:rPr>
            </w:pPr>
            <w:r w:rsidRPr="00FD7B0B">
              <w:rPr>
                <w:rFonts w:ascii="Times New Roman" w:eastAsia="Times New Roman" w:hAnsi="Times New Roman"/>
                <w:b/>
                <w:sz w:val="20"/>
                <w:szCs w:val="20"/>
              </w:rPr>
              <w:t xml:space="preserve">Указ Президента Российской Федерации от 7 мая 2018 г. № 204 «О национальных целях и стратегических задачах развития Российской Федерации на период до 2024 года» </w:t>
            </w:r>
          </w:p>
        </w:tc>
      </w:tr>
      <w:tr w:rsidR="00FD7B0B" w:rsidRPr="00FD7B0B" w14:paraId="6863607F" w14:textId="77777777" w:rsidTr="0023271E">
        <w:tc>
          <w:tcPr>
            <w:tcW w:w="5514" w:type="dxa"/>
          </w:tcPr>
          <w:p w14:paraId="71B6A03A"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Правительству Российской Федерации при разработке национального проекта в сфере образования исходить из того, что в 2024 году необходимо обеспечить:</w:t>
            </w:r>
          </w:p>
          <w:p w14:paraId="062DBF4B"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а) достижение следующих целей и целевых показателей:</w:t>
            </w:r>
          </w:p>
          <w:p w14:paraId="24105B37"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воспитание гармонично развитой и социально ответственной личности на основе духовно-нравственных ценностей народов Российской Федерации, исторических и национально-культурных традиций;</w:t>
            </w:r>
          </w:p>
          <w:p w14:paraId="228824F3" w14:textId="77777777" w:rsidR="00632913" w:rsidRPr="00FD7B0B" w:rsidRDefault="00632913" w:rsidP="00632913">
            <w:pPr>
              <w:contextualSpacing/>
              <w:rPr>
                <w:rFonts w:ascii="Times New Roman" w:eastAsia="Times New Roman" w:hAnsi="Times New Roman"/>
                <w:sz w:val="20"/>
                <w:szCs w:val="20"/>
              </w:rPr>
            </w:pPr>
          </w:p>
          <w:p w14:paraId="5BFE3B31"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б) решение следующих задач:</w:t>
            </w:r>
          </w:p>
          <w:p w14:paraId="4331BA7D"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создание условий для раннего развития детей в возрасте до трех лет, реализация программы психолого-педагогической, методической и консультативной помощи родителям детей, получающих дошкольное образование в семье;</w:t>
            </w:r>
          </w:p>
          <w:p w14:paraId="65CC38A1" w14:textId="77777777" w:rsidR="00632913" w:rsidRPr="00FD7B0B" w:rsidRDefault="00632913" w:rsidP="00632913">
            <w:pPr>
              <w:contextualSpacing/>
              <w:rPr>
                <w:rFonts w:ascii="Times New Roman" w:eastAsia="Times New Roman" w:hAnsi="Times New Roman"/>
                <w:sz w:val="20"/>
                <w:szCs w:val="20"/>
              </w:rPr>
            </w:pPr>
          </w:p>
          <w:p w14:paraId="66A575EB"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внедрение национальной системы профессионального роста педагогических работников, охватывающей не менее 50 процентов учителей общеобразовательных организаций;</w:t>
            </w:r>
          </w:p>
          <w:p w14:paraId="74A994C1" w14:textId="77777777" w:rsidR="00632913" w:rsidRPr="00FD7B0B" w:rsidRDefault="00632913" w:rsidP="00632913">
            <w:pPr>
              <w:contextualSpacing/>
              <w:rPr>
                <w:rFonts w:ascii="Times New Roman" w:eastAsia="Times New Roman" w:hAnsi="Times New Roman"/>
                <w:sz w:val="20"/>
                <w:szCs w:val="20"/>
              </w:rPr>
            </w:pPr>
          </w:p>
          <w:p w14:paraId="28BCAEE5" w14:textId="77777777" w:rsidR="00632913" w:rsidRPr="00FD7B0B" w:rsidRDefault="00632913" w:rsidP="00632913">
            <w:pPr>
              <w:contextualSpacing/>
              <w:rPr>
                <w:rFonts w:ascii="Times New Roman" w:eastAsia="Times New Roman" w:hAnsi="Times New Roman"/>
                <w:sz w:val="20"/>
                <w:szCs w:val="20"/>
              </w:rPr>
            </w:pPr>
          </w:p>
          <w:p w14:paraId="30609C85" w14:textId="77777777" w:rsidR="0023271E" w:rsidRPr="00FD7B0B" w:rsidRDefault="0023271E" w:rsidP="00632913">
            <w:pPr>
              <w:contextualSpacing/>
              <w:rPr>
                <w:rFonts w:ascii="Times New Roman" w:eastAsia="Times New Roman" w:hAnsi="Times New Roman"/>
                <w:sz w:val="20"/>
                <w:szCs w:val="20"/>
              </w:rPr>
            </w:pPr>
          </w:p>
          <w:p w14:paraId="05616DCA" w14:textId="77777777" w:rsidR="0023271E" w:rsidRPr="00FD7B0B" w:rsidRDefault="0023271E" w:rsidP="00632913">
            <w:pPr>
              <w:contextualSpacing/>
              <w:rPr>
                <w:rFonts w:ascii="Times New Roman" w:eastAsia="Times New Roman" w:hAnsi="Times New Roman"/>
                <w:sz w:val="20"/>
                <w:szCs w:val="20"/>
              </w:rPr>
            </w:pPr>
          </w:p>
          <w:p w14:paraId="698E478D"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формирование системы непрерывного обновления работающими гражданами своих профессиональных знаний и приобретения ими новых профессиональных навыков, включая овладение компетенциями в области цифровой экономики всеми желающими;</w:t>
            </w:r>
          </w:p>
          <w:p w14:paraId="125BED8D" w14:textId="77777777" w:rsidR="00632913" w:rsidRPr="00FD7B0B" w:rsidRDefault="00632913" w:rsidP="00632913">
            <w:pPr>
              <w:contextualSpacing/>
              <w:rPr>
                <w:rFonts w:ascii="Times New Roman" w:eastAsia="Times New Roman" w:hAnsi="Times New Roman"/>
                <w:sz w:val="20"/>
                <w:szCs w:val="20"/>
              </w:rPr>
            </w:pPr>
          </w:p>
          <w:p w14:paraId="6BB50154"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формирование системы профессиональных конкурсов в целях предоставления гражданам возможностей для профессионального и карьерного роста;</w:t>
            </w:r>
          </w:p>
          <w:p w14:paraId="1A00DBD2" w14:textId="77777777" w:rsidR="00632913" w:rsidRPr="00FD7B0B" w:rsidRDefault="00632913" w:rsidP="00632913">
            <w:pPr>
              <w:contextualSpacing/>
              <w:rPr>
                <w:rFonts w:ascii="Times New Roman" w:eastAsia="Times New Roman" w:hAnsi="Times New Roman"/>
                <w:sz w:val="20"/>
                <w:szCs w:val="20"/>
              </w:rPr>
            </w:pPr>
          </w:p>
          <w:p w14:paraId="2DFDB4C6"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создание условий для развития наставничества, поддержки общественных инициатив и проектов, в том числе в сфере добровольчества (волонтерства);</w:t>
            </w:r>
          </w:p>
          <w:p w14:paraId="790CCD38" w14:textId="77777777" w:rsidR="00632913" w:rsidRPr="00FD7B0B" w:rsidRDefault="00632913" w:rsidP="00632913">
            <w:pPr>
              <w:contextualSpacing/>
              <w:rPr>
                <w:rFonts w:ascii="Times New Roman" w:eastAsia="Times New Roman" w:hAnsi="Times New Roman"/>
                <w:sz w:val="20"/>
                <w:szCs w:val="20"/>
              </w:rPr>
            </w:pPr>
          </w:p>
        </w:tc>
        <w:tc>
          <w:tcPr>
            <w:tcW w:w="4130" w:type="dxa"/>
          </w:tcPr>
          <w:p w14:paraId="7B29CD82" w14:textId="77777777" w:rsidR="00632913" w:rsidRPr="00FD7B0B" w:rsidRDefault="00632913" w:rsidP="00632913">
            <w:pPr>
              <w:contextualSpacing/>
              <w:rPr>
                <w:rFonts w:ascii="Times New Roman" w:eastAsia="Times New Roman" w:hAnsi="Times New Roman"/>
                <w:sz w:val="20"/>
                <w:szCs w:val="20"/>
              </w:rPr>
            </w:pPr>
          </w:p>
          <w:p w14:paraId="0DBDF149" w14:textId="77777777" w:rsidR="00632913" w:rsidRPr="00FD7B0B" w:rsidRDefault="00632913" w:rsidP="00632913">
            <w:pPr>
              <w:contextualSpacing/>
              <w:rPr>
                <w:rFonts w:ascii="Times New Roman" w:eastAsia="Times New Roman" w:hAnsi="Times New Roman"/>
                <w:sz w:val="20"/>
                <w:szCs w:val="20"/>
              </w:rPr>
            </w:pPr>
          </w:p>
          <w:p w14:paraId="4ADE3724" w14:textId="77777777" w:rsidR="00632913" w:rsidRPr="00FD7B0B" w:rsidRDefault="00632913" w:rsidP="00632913">
            <w:pPr>
              <w:contextualSpacing/>
              <w:rPr>
                <w:rFonts w:ascii="Times New Roman" w:eastAsia="Times New Roman" w:hAnsi="Times New Roman"/>
                <w:sz w:val="20"/>
                <w:szCs w:val="20"/>
              </w:rPr>
            </w:pPr>
          </w:p>
          <w:p w14:paraId="49F62DB4" w14:textId="77777777" w:rsidR="00632913" w:rsidRPr="00FD7B0B" w:rsidRDefault="00632913" w:rsidP="00632913">
            <w:pPr>
              <w:contextualSpacing/>
              <w:rPr>
                <w:rFonts w:ascii="Times New Roman" w:eastAsia="Times New Roman" w:hAnsi="Times New Roman"/>
                <w:sz w:val="20"/>
                <w:szCs w:val="20"/>
              </w:rPr>
            </w:pPr>
          </w:p>
          <w:p w14:paraId="04443321" w14:textId="77777777" w:rsidR="00632913" w:rsidRPr="00FD7B0B" w:rsidRDefault="00632913" w:rsidP="00632913">
            <w:pPr>
              <w:contextualSpacing/>
              <w:rPr>
                <w:rFonts w:ascii="Times New Roman" w:eastAsia="Times New Roman" w:hAnsi="Times New Roman"/>
                <w:sz w:val="20"/>
                <w:szCs w:val="20"/>
              </w:rPr>
            </w:pPr>
          </w:p>
          <w:p w14:paraId="476A1935" w14:textId="77777777" w:rsidR="00632913" w:rsidRPr="00FD7B0B" w:rsidRDefault="00632913" w:rsidP="00632913">
            <w:pPr>
              <w:contextualSpacing/>
              <w:rPr>
                <w:rFonts w:ascii="Times New Roman" w:eastAsia="Times New Roman" w:hAnsi="Times New Roman"/>
                <w:sz w:val="20"/>
                <w:szCs w:val="20"/>
              </w:rPr>
            </w:pPr>
          </w:p>
          <w:p w14:paraId="4C55E423" w14:textId="77777777" w:rsidR="00632913" w:rsidRPr="00FD7B0B" w:rsidRDefault="00632913" w:rsidP="00632913">
            <w:pPr>
              <w:contextualSpacing/>
              <w:rPr>
                <w:rFonts w:ascii="Times New Roman" w:eastAsia="Times New Roman" w:hAnsi="Times New Roman"/>
                <w:sz w:val="20"/>
                <w:szCs w:val="20"/>
              </w:rPr>
            </w:pPr>
          </w:p>
          <w:p w14:paraId="161E0369" w14:textId="77777777" w:rsidR="00632913" w:rsidRPr="00FD7B0B" w:rsidRDefault="00632913" w:rsidP="00632913">
            <w:pPr>
              <w:contextualSpacing/>
              <w:rPr>
                <w:rFonts w:ascii="Times New Roman" w:eastAsia="Times New Roman" w:hAnsi="Times New Roman"/>
                <w:sz w:val="20"/>
                <w:szCs w:val="20"/>
              </w:rPr>
            </w:pPr>
          </w:p>
          <w:p w14:paraId="18758DD1" w14:textId="77777777" w:rsidR="00632913" w:rsidRPr="00FD7B0B" w:rsidRDefault="00632913" w:rsidP="00632913">
            <w:pPr>
              <w:contextualSpacing/>
              <w:rPr>
                <w:rFonts w:ascii="Times New Roman" w:eastAsia="Times New Roman" w:hAnsi="Times New Roman"/>
                <w:sz w:val="20"/>
                <w:szCs w:val="20"/>
              </w:rPr>
            </w:pPr>
          </w:p>
          <w:p w14:paraId="34875838"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целевые показатели отсутствуют</w:t>
            </w:r>
          </w:p>
          <w:p w14:paraId="4750283F" w14:textId="77777777" w:rsidR="00632913" w:rsidRPr="00FD7B0B" w:rsidRDefault="00632913" w:rsidP="00632913">
            <w:pPr>
              <w:contextualSpacing/>
              <w:rPr>
                <w:rFonts w:ascii="Times New Roman" w:eastAsia="Times New Roman" w:hAnsi="Times New Roman"/>
                <w:sz w:val="20"/>
                <w:szCs w:val="20"/>
              </w:rPr>
            </w:pPr>
          </w:p>
          <w:p w14:paraId="6924D2CC" w14:textId="77777777" w:rsidR="00632913" w:rsidRPr="00FD7B0B" w:rsidRDefault="00632913" w:rsidP="00632913">
            <w:pPr>
              <w:contextualSpacing/>
              <w:rPr>
                <w:rFonts w:ascii="Times New Roman" w:eastAsia="Times New Roman" w:hAnsi="Times New Roman"/>
                <w:sz w:val="20"/>
                <w:szCs w:val="20"/>
              </w:rPr>
            </w:pPr>
          </w:p>
          <w:p w14:paraId="44B7DB1D" w14:textId="77777777" w:rsidR="00632913" w:rsidRPr="00FD7B0B" w:rsidRDefault="00632913" w:rsidP="00632913">
            <w:pPr>
              <w:contextualSpacing/>
              <w:rPr>
                <w:rFonts w:ascii="Times New Roman" w:eastAsia="Times New Roman" w:hAnsi="Times New Roman"/>
                <w:sz w:val="20"/>
                <w:szCs w:val="20"/>
              </w:rPr>
            </w:pPr>
          </w:p>
          <w:p w14:paraId="5C5DBCCD" w14:textId="77777777" w:rsidR="00632913" w:rsidRPr="00FD7B0B" w:rsidRDefault="00632913" w:rsidP="00632913">
            <w:pPr>
              <w:contextualSpacing/>
              <w:rPr>
                <w:rFonts w:ascii="Times New Roman" w:eastAsia="Times New Roman" w:hAnsi="Times New Roman"/>
                <w:sz w:val="20"/>
                <w:szCs w:val="20"/>
              </w:rPr>
            </w:pPr>
          </w:p>
          <w:p w14:paraId="1320F970" w14:textId="77777777" w:rsidR="00632913" w:rsidRPr="00FD7B0B" w:rsidRDefault="00632913" w:rsidP="00632913">
            <w:pPr>
              <w:contextualSpacing/>
              <w:rPr>
                <w:rFonts w:ascii="Times New Roman" w:eastAsia="Times New Roman" w:hAnsi="Times New Roman"/>
                <w:sz w:val="20"/>
                <w:szCs w:val="20"/>
              </w:rPr>
            </w:pPr>
          </w:p>
          <w:p w14:paraId="730E05EA"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показатель на 2024 год Доля педагогических работников общеобразовательных организаций, прошедших повышение квалификации, в том числе в центрах непрерывного повышения профессионального мастерства, % 26,3</w:t>
            </w:r>
          </w:p>
          <w:p w14:paraId="7C05E61A" w14:textId="77777777" w:rsidR="00632913" w:rsidRPr="00FD7B0B" w:rsidRDefault="00632913" w:rsidP="00632913">
            <w:pPr>
              <w:contextualSpacing/>
              <w:rPr>
                <w:rFonts w:ascii="Times New Roman" w:eastAsia="Times New Roman" w:hAnsi="Times New Roman"/>
                <w:sz w:val="20"/>
                <w:szCs w:val="20"/>
              </w:rPr>
            </w:pPr>
          </w:p>
          <w:p w14:paraId="09597CA5"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целевой показатель отсутствует</w:t>
            </w:r>
          </w:p>
          <w:p w14:paraId="490F6988" w14:textId="77777777" w:rsidR="00632913" w:rsidRPr="00FD7B0B" w:rsidRDefault="00632913" w:rsidP="00632913">
            <w:pPr>
              <w:contextualSpacing/>
              <w:rPr>
                <w:rFonts w:ascii="Times New Roman" w:eastAsia="Times New Roman" w:hAnsi="Times New Roman"/>
                <w:sz w:val="20"/>
                <w:szCs w:val="20"/>
              </w:rPr>
            </w:pPr>
          </w:p>
          <w:p w14:paraId="6F506AF5" w14:textId="77777777" w:rsidR="00632913" w:rsidRPr="00FD7B0B" w:rsidRDefault="00632913" w:rsidP="00632913">
            <w:pPr>
              <w:contextualSpacing/>
              <w:rPr>
                <w:rFonts w:ascii="Times New Roman" w:eastAsia="Times New Roman" w:hAnsi="Times New Roman"/>
                <w:sz w:val="20"/>
                <w:szCs w:val="20"/>
              </w:rPr>
            </w:pPr>
          </w:p>
          <w:p w14:paraId="7B243010" w14:textId="77777777" w:rsidR="00632913" w:rsidRPr="00FD7B0B" w:rsidRDefault="00632913" w:rsidP="00632913">
            <w:pPr>
              <w:contextualSpacing/>
              <w:rPr>
                <w:rFonts w:ascii="Times New Roman" w:eastAsia="Times New Roman" w:hAnsi="Times New Roman"/>
                <w:sz w:val="20"/>
                <w:szCs w:val="20"/>
              </w:rPr>
            </w:pPr>
          </w:p>
          <w:p w14:paraId="05BD9F33" w14:textId="77777777" w:rsidR="0023271E" w:rsidRPr="00FD7B0B" w:rsidRDefault="0023271E" w:rsidP="00632913">
            <w:pPr>
              <w:contextualSpacing/>
              <w:rPr>
                <w:rFonts w:ascii="Times New Roman" w:eastAsia="Times New Roman" w:hAnsi="Times New Roman"/>
                <w:sz w:val="20"/>
                <w:szCs w:val="20"/>
              </w:rPr>
            </w:pPr>
          </w:p>
          <w:p w14:paraId="56911F93" w14:textId="77777777" w:rsidR="0023271E" w:rsidRPr="00FD7B0B" w:rsidRDefault="0023271E" w:rsidP="00632913">
            <w:pPr>
              <w:contextualSpacing/>
              <w:rPr>
                <w:rFonts w:ascii="Times New Roman" w:eastAsia="Times New Roman" w:hAnsi="Times New Roman"/>
                <w:sz w:val="20"/>
                <w:szCs w:val="20"/>
              </w:rPr>
            </w:pPr>
          </w:p>
          <w:p w14:paraId="092DD2AA"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целевые показатели отсутствуют</w:t>
            </w:r>
          </w:p>
          <w:p w14:paraId="3DF76D0B" w14:textId="77777777" w:rsidR="00632913" w:rsidRPr="00FD7B0B" w:rsidRDefault="00632913" w:rsidP="00632913">
            <w:pPr>
              <w:contextualSpacing/>
              <w:rPr>
                <w:rFonts w:ascii="Times New Roman" w:eastAsia="Times New Roman" w:hAnsi="Times New Roman"/>
                <w:sz w:val="20"/>
                <w:szCs w:val="20"/>
              </w:rPr>
            </w:pPr>
          </w:p>
          <w:p w14:paraId="6F9A2F51" w14:textId="77777777" w:rsidR="0023271E" w:rsidRPr="00FD7B0B" w:rsidRDefault="0023271E" w:rsidP="00632913">
            <w:pPr>
              <w:contextualSpacing/>
              <w:rPr>
                <w:rFonts w:ascii="Times New Roman" w:eastAsia="Times New Roman" w:hAnsi="Times New Roman"/>
                <w:sz w:val="20"/>
                <w:szCs w:val="20"/>
              </w:rPr>
            </w:pPr>
          </w:p>
          <w:p w14:paraId="09161CEE" w14:textId="77777777" w:rsidR="0023271E" w:rsidRPr="00FD7B0B" w:rsidRDefault="0023271E" w:rsidP="00632913">
            <w:pPr>
              <w:contextualSpacing/>
              <w:rPr>
                <w:rFonts w:ascii="Times New Roman" w:eastAsia="Times New Roman" w:hAnsi="Times New Roman"/>
                <w:sz w:val="20"/>
                <w:szCs w:val="20"/>
              </w:rPr>
            </w:pPr>
          </w:p>
          <w:p w14:paraId="3C8435DB" w14:textId="77777777" w:rsidR="00632913" w:rsidRPr="00FD7B0B" w:rsidRDefault="00632913" w:rsidP="00632913">
            <w:pPr>
              <w:contextualSpacing/>
              <w:rPr>
                <w:rFonts w:ascii="Times New Roman" w:eastAsia="Times New Roman" w:hAnsi="Times New Roman"/>
                <w:sz w:val="20"/>
                <w:szCs w:val="20"/>
              </w:rPr>
            </w:pPr>
            <w:r w:rsidRPr="00FD7B0B">
              <w:rPr>
                <w:rFonts w:ascii="Times New Roman" w:eastAsia="Times New Roman" w:hAnsi="Times New Roman"/>
                <w:sz w:val="20"/>
                <w:szCs w:val="20"/>
              </w:rPr>
              <w:t>- целевые показатели в части создания условий для развития наставничества отсутствуют.</w:t>
            </w:r>
          </w:p>
          <w:p w14:paraId="3712D432" w14:textId="77777777" w:rsidR="00632913" w:rsidRPr="00FD7B0B" w:rsidRDefault="00632913" w:rsidP="00632913">
            <w:pPr>
              <w:contextualSpacing/>
              <w:rPr>
                <w:rFonts w:ascii="Times New Roman" w:eastAsia="Times New Roman" w:hAnsi="Times New Roman"/>
                <w:sz w:val="20"/>
                <w:szCs w:val="20"/>
              </w:rPr>
            </w:pPr>
          </w:p>
        </w:tc>
      </w:tr>
      <w:tr w:rsidR="00FD7B0B" w:rsidRPr="00FD7B0B" w14:paraId="2904581A" w14:textId="77777777" w:rsidTr="0023271E">
        <w:trPr>
          <w:trHeight w:val="309"/>
        </w:trPr>
        <w:tc>
          <w:tcPr>
            <w:tcW w:w="9644" w:type="dxa"/>
            <w:gridSpan w:val="2"/>
          </w:tcPr>
          <w:p w14:paraId="4779DC47" w14:textId="77777777" w:rsidR="00632913" w:rsidRPr="00FD7B0B" w:rsidRDefault="00632913" w:rsidP="00632913">
            <w:pPr>
              <w:contextualSpacing/>
              <w:jc w:val="center"/>
              <w:rPr>
                <w:rFonts w:ascii="Times New Roman" w:hAnsi="Times New Roman"/>
                <w:b/>
                <w:sz w:val="20"/>
                <w:szCs w:val="20"/>
              </w:rPr>
            </w:pPr>
            <w:r w:rsidRPr="00FD7B0B">
              <w:rPr>
                <w:rFonts w:ascii="Times New Roman" w:hAnsi="Times New Roman"/>
                <w:b/>
                <w:sz w:val="20"/>
                <w:szCs w:val="20"/>
              </w:rPr>
              <w:lastRenderedPageBreak/>
              <w:t>Указ Президента РФ от 07.05.2024 № 309 «О национальных целях развития Российской Федерации на период до 2030 года и на перспективу до 2036 года»</w:t>
            </w:r>
          </w:p>
        </w:tc>
      </w:tr>
      <w:tr w:rsidR="00FD7B0B" w:rsidRPr="00FD7B0B" w14:paraId="61597D24" w14:textId="77777777" w:rsidTr="0023271E">
        <w:trPr>
          <w:trHeight w:val="309"/>
        </w:trPr>
        <w:tc>
          <w:tcPr>
            <w:tcW w:w="5514" w:type="dxa"/>
          </w:tcPr>
          <w:p w14:paraId="26B49BCA" w14:textId="77777777" w:rsidR="00632913" w:rsidRPr="00FD7B0B" w:rsidRDefault="00632913" w:rsidP="0023271E">
            <w:pPr>
              <w:autoSpaceDE w:val="0"/>
              <w:autoSpaceDN w:val="0"/>
              <w:adjustRightInd w:val="0"/>
              <w:rPr>
                <w:rFonts w:ascii="Times New Roman" w:hAnsi="Times New Roman"/>
                <w:bCs/>
                <w:sz w:val="18"/>
                <w:szCs w:val="18"/>
              </w:rPr>
            </w:pPr>
            <w:r w:rsidRPr="00FD7B0B">
              <w:rPr>
                <w:rFonts w:ascii="Times New Roman" w:hAnsi="Times New Roman"/>
                <w:bCs/>
                <w:sz w:val="18"/>
                <w:szCs w:val="18"/>
              </w:rPr>
              <w:t>Показатели и задачи, выполнение которых характеризует достижение национальной цели «Реализация потенциала каждого человека, развитие его талантов, воспитание патриотичной и социально ответственной личности»</w:t>
            </w:r>
          </w:p>
          <w:p w14:paraId="79C94CA7" w14:textId="77777777" w:rsidR="00632913" w:rsidRPr="00FD7B0B" w:rsidRDefault="00632913" w:rsidP="0023271E">
            <w:pPr>
              <w:autoSpaceDE w:val="0"/>
              <w:autoSpaceDN w:val="0"/>
              <w:adjustRightInd w:val="0"/>
              <w:rPr>
                <w:rFonts w:ascii="Times New Roman" w:hAnsi="Times New Roman"/>
                <w:bCs/>
                <w:sz w:val="18"/>
                <w:szCs w:val="18"/>
              </w:rPr>
            </w:pPr>
          </w:p>
          <w:p w14:paraId="3A8E8C51" w14:textId="77777777" w:rsidR="00632913" w:rsidRPr="00FD7B0B" w:rsidRDefault="00632913" w:rsidP="0023271E">
            <w:pPr>
              <w:autoSpaceDE w:val="0"/>
              <w:autoSpaceDN w:val="0"/>
              <w:adjustRightInd w:val="0"/>
              <w:rPr>
                <w:rFonts w:ascii="Times New Roman" w:hAnsi="Times New Roman"/>
                <w:bCs/>
                <w:sz w:val="18"/>
                <w:szCs w:val="18"/>
              </w:rPr>
            </w:pPr>
            <w:r w:rsidRPr="00FD7B0B">
              <w:rPr>
                <w:rFonts w:ascii="Times New Roman" w:hAnsi="Times New Roman"/>
                <w:bCs/>
                <w:sz w:val="18"/>
                <w:szCs w:val="18"/>
              </w:rPr>
              <w:t>- увеличение к 2030 году доли молодых людей, участвующих в проектах и программах, направленных на профессиональное, личностное развитие и патриотическое воспитание, не менее чем до 75 процентов;</w:t>
            </w:r>
          </w:p>
          <w:p w14:paraId="09A9DDC4" w14:textId="77777777" w:rsidR="00632913" w:rsidRPr="00FD7B0B" w:rsidRDefault="00632913" w:rsidP="0023271E">
            <w:pPr>
              <w:autoSpaceDE w:val="0"/>
              <w:autoSpaceDN w:val="0"/>
              <w:adjustRightInd w:val="0"/>
              <w:rPr>
                <w:rFonts w:ascii="Times New Roman" w:hAnsi="Times New Roman"/>
                <w:bCs/>
                <w:sz w:val="18"/>
                <w:szCs w:val="18"/>
              </w:rPr>
            </w:pPr>
          </w:p>
          <w:p w14:paraId="54AD4F9D" w14:textId="77777777" w:rsidR="00632913" w:rsidRPr="00FD7B0B" w:rsidRDefault="00632913" w:rsidP="0023271E">
            <w:pPr>
              <w:autoSpaceDE w:val="0"/>
              <w:autoSpaceDN w:val="0"/>
              <w:adjustRightInd w:val="0"/>
              <w:rPr>
                <w:rFonts w:ascii="Times New Roman" w:hAnsi="Times New Roman"/>
                <w:bCs/>
                <w:sz w:val="18"/>
                <w:szCs w:val="18"/>
              </w:rPr>
            </w:pPr>
            <w:r w:rsidRPr="00FD7B0B">
              <w:rPr>
                <w:rFonts w:ascii="Times New Roman" w:hAnsi="Times New Roman"/>
                <w:bCs/>
                <w:sz w:val="18"/>
                <w:szCs w:val="18"/>
              </w:rPr>
              <w:t>- формирование к 2030 году современной системы профессионального развития педагогических работников для всех уровней образования, предусматривающей ежегодное дополнительное профессиональное образование на основе актуализированных профессиональных стандартов не менее чем 10 процентов педагогических работников на базе ведущих образовательных организаций высшего образования и научных организаций.</w:t>
            </w:r>
          </w:p>
          <w:p w14:paraId="17D428B5" w14:textId="77777777" w:rsidR="00632913" w:rsidRPr="00FD7B0B" w:rsidRDefault="00632913" w:rsidP="00632913">
            <w:pPr>
              <w:autoSpaceDE w:val="0"/>
              <w:autoSpaceDN w:val="0"/>
              <w:adjustRightInd w:val="0"/>
              <w:jc w:val="both"/>
              <w:rPr>
                <w:rFonts w:ascii="Times New Roman" w:hAnsi="Times New Roman"/>
                <w:bCs/>
                <w:sz w:val="18"/>
                <w:szCs w:val="18"/>
              </w:rPr>
            </w:pPr>
          </w:p>
          <w:p w14:paraId="412A6618" w14:textId="77777777" w:rsidR="00632913" w:rsidRPr="00FD7B0B" w:rsidRDefault="00632913" w:rsidP="0023271E">
            <w:pPr>
              <w:autoSpaceDE w:val="0"/>
              <w:autoSpaceDN w:val="0"/>
              <w:adjustRightInd w:val="0"/>
              <w:rPr>
                <w:rFonts w:ascii="Times New Roman" w:hAnsi="Times New Roman"/>
                <w:bCs/>
                <w:sz w:val="20"/>
                <w:szCs w:val="20"/>
              </w:rPr>
            </w:pPr>
            <w:r w:rsidRPr="00FD7B0B">
              <w:rPr>
                <w:rFonts w:ascii="Times New Roman" w:hAnsi="Times New Roman"/>
                <w:bCs/>
                <w:sz w:val="20"/>
                <w:szCs w:val="20"/>
              </w:rPr>
              <w:t>- обеспечение к 2030 году функционирования эффективной системы выявления, поддержки и развития способностей и талантов детей и молодежи, основанной на принципах ответственности, справедливости, всеобщности и направленной на самоопределение и профессиональную ориентацию 100 процентов обучающихся</w:t>
            </w:r>
          </w:p>
          <w:p w14:paraId="129B855B" w14:textId="77777777" w:rsidR="00632913" w:rsidRPr="00FD7B0B" w:rsidRDefault="00632913" w:rsidP="0023271E">
            <w:pPr>
              <w:autoSpaceDE w:val="0"/>
              <w:autoSpaceDN w:val="0"/>
              <w:adjustRightInd w:val="0"/>
              <w:rPr>
                <w:rFonts w:ascii="Times New Roman" w:hAnsi="Times New Roman"/>
                <w:bCs/>
                <w:sz w:val="20"/>
                <w:szCs w:val="20"/>
              </w:rPr>
            </w:pPr>
          </w:p>
          <w:p w14:paraId="7357B757" w14:textId="77777777" w:rsidR="00632913" w:rsidRPr="00FD7B0B" w:rsidRDefault="00632913" w:rsidP="0023271E">
            <w:pPr>
              <w:autoSpaceDE w:val="0"/>
              <w:autoSpaceDN w:val="0"/>
              <w:adjustRightInd w:val="0"/>
              <w:rPr>
                <w:rFonts w:ascii="Times New Roman" w:hAnsi="Times New Roman"/>
                <w:bCs/>
                <w:sz w:val="20"/>
                <w:szCs w:val="20"/>
              </w:rPr>
            </w:pPr>
            <w:r w:rsidRPr="00FD7B0B">
              <w:rPr>
                <w:rFonts w:ascii="Times New Roman" w:hAnsi="Times New Roman"/>
                <w:bCs/>
                <w:sz w:val="20"/>
                <w:szCs w:val="20"/>
              </w:rPr>
              <w:t>Показатели и задачи, выполнение которых характеризует достижение национальной цели "Комфортная и безопасная среда для жизни"</w:t>
            </w:r>
          </w:p>
          <w:p w14:paraId="07218928" w14:textId="77777777" w:rsidR="00632913" w:rsidRPr="00FD7B0B" w:rsidRDefault="00632913" w:rsidP="00632913">
            <w:pPr>
              <w:autoSpaceDE w:val="0"/>
              <w:autoSpaceDN w:val="0"/>
              <w:adjustRightInd w:val="0"/>
              <w:jc w:val="both"/>
              <w:rPr>
                <w:rFonts w:ascii="Times New Roman" w:hAnsi="Times New Roman"/>
                <w:bCs/>
                <w:sz w:val="20"/>
                <w:szCs w:val="20"/>
              </w:rPr>
            </w:pPr>
          </w:p>
          <w:p w14:paraId="2C978372" w14:textId="77777777" w:rsidR="00632913" w:rsidRPr="00FD7B0B" w:rsidRDefault="00632913" w:rsidP="00E95352">
            <w:pPr>
              <w:autoSpaceDE w:val="0"/>
              <w:autoSpaceDN w:val="0"/>
              <w:adjustRightInd w:val="0"/>
              <w:rPr>
                <w:rFonts w:ascii="Times New Roman" w:hAnsi="Times New Roman"/>
                <w:bCs/>
                <w:sz w:val="20"/>
                <w:szCs w:val="20"/>
              </w:rPr>
            </w:pPr>
            <w:r w:rsidRPr="00FD7B0B">
              <w:rPr>
                <w:rFonts w:ascii="Times New Roman" w:hAnsi="Times New Roman"/>
                <w:bCs/>
                <w:sz w:val="20"/>
                <w:szCs w:val="20"/>
              </w:rPr>
              <w:t xml:space="preserve">- завершение до конца 2030 года капитального ремонта зданий дошкольных образовательных организаций и </w:t>
            </w:r>
            <w:r w:rsidRPr="00FD7B0B">
              <w:rPr>
                <w:rFonts w:ascii="Times New Roman" w:hAnsi="Times New Roman"/>
                <w:bCs/>
                <w:sz w:val="20"/>
                <w:szCs w:val="20"/>
              </w:rPr>
              <w:lastRenderedPageBreak/>
              <w:t>общеобразовательных организаций, признанных нуждающимися в проведении такого ремонта по состоянию на 1 января 2025 г</w:t>
            </w:r>
          </w:p>
          <w:p w14:paraId="4B9A83EE" w14:textId="77777777" w:rsidR="00632913" w:rsidRPr="00FD7B0B" w:rsidRDefault="00632913" w:rsidP="00E95352">
            <w:pPr>
              <w:autoSpaceDE w:val="0"/>
              <w:autoSpaceDN w:val="0"/>
              <w:adjustRightInd w:val="0"/>
              <w:rPr>
                <w:rFonts w:ascii="Times New Roman" w:hAnsi="Times New Roman"/>
                <w:bCs/>
                <w:sz w:val="20"/>
                <w:szCs w:val="20"/>
              </w:rPr>
            </w:pPr>
          </w:p>
          <w:p w14:paraId="01C4214C" w14:textId="77777777" w:rsidR="00632913" w:rsidRPr="00FD7B0B" w:rsidRDefault="00632913" w:rsidP="00E95352">
            <w:pPr>
              <w:autoSpaceDE w:val="0"/>
              <w:autoSpaceDN w:val="0"/>
              <w:adjustRightInd w:val="0"/>
              <w:rPr>
                <w:rFonts w:ascii="Times New Roman" w:hAnsi="Times New Roman"/>
                <w:bCs/>
                <w:sz w:val="20"/>
                <w:szCs w:val="20"/>
              </w:rPr>
            </w:pPr>
            <w:r w:rsidRPr="00FD7B0B">
              <w:rPr>
                <w:rFonts w:ascii="Times New Roman" w:hAnsi="Times New Roman"/>
                <w:bCs/>
                <w:sz w:val="20"/>
                <w:szCs w:val="20"/>
              </w:rPr>
              <w:t>Показатели и задачи, выполнение которых характеризует достижение национальной цели "Устойчивая и динамичная экономика"</w:t>
            </w:r>
          </w:p>
          <w:p w14:paraId="5C3E204C" w14:textId="77777777" w:rsidR="00632913" w:rsidRPr="00FD7B0B" w:rsidRDefault="00632913" w:rsidP="00E95352">
            <w:pPr>
              <w:autoSpaceDE w:val="0"/>
              <w:autoSpaceDN w:val="0"/>
              <w:adjustRightInd w:val="0"/>
              <w:rPr>
                <w:rFonts w:ascii="Times New Roman" w:hAnsi="Times New Roman"/>
                <w:bCs/>
                <w:sz w:val="20"/>
                <w:szCs w:val="20"/>
              </w:rPr>
            </w:pPr>
          </w:p>
          <w:p w14:paraId="5669EC96" w14:textId="77777777" w:rsidR="00632913" w:rsidRPr="00FD7B0B" w:rsidRDefault="00632913" w:rsidP="00E95352">
            <w:pPr>
              <w:autoSpaceDE w:val="0"/>
              <w:autoSpaceDN w:val="0"/>
              <w:adjustRightInd w:val="0"/>
              <w:rPr>
                <w:rFonts w:ascii="Times New Roman" w:hAnsi="Times New Roman"/>
                <w:bCs/>
                <w:sz w:val="20"/>
                <w:szCs w:val="20"/>
              </w:rPr>
            </w:pPr>
            <w:r w:rsidRPr="00FD7B0B">
              <w:rPr>
                <w:rFonts w:ascii="Times New Roman" w:hAnsi="Times New Roman"/>
                <w:bCs/>
                <w:sz w:val="20"/>
                <w:szCs w:val="20"/>
              </w:rPr>
              <w:t>- создание к 2030 году эффективной системы подготовки, профессиональной переподготовки и повышения квалификации кадров для приоритетных отраслей экономики исходя из прогноза потребности в них;</w:t>
            </w:r>
          </w:p>
          <w:p w14:paraId="38A61354" w14:textId="77777777" w:rsidR="00632913" w:rsidRPr="00FD7B0B" w:rsidRDefault="00632913" w:rsidP="00E95352">
            <w:pPr>
              <w:autoSpaceDE w:val="0"/>
              <w:autoSpaceDN w:val="0"/>
              <w:adjustRightInd w:val="0"/>
              <w:rPr>
                <w:rFonts w:ascii="Times New Roman" w:hAnsi="Times New Roman"/>
                <w:bCs/>
                <w:sz w:val="20"/>
                <w:szCs w:val="20"/>
              </w:rPr>
            </w:pPr>
          </w:p>
          <w:p w14:paraId="56405960" w14:textId="77777777" w:rsidR="00632913" w:rsidRPr="00FD7B0B" w:rsidRDefault="00632913" w:rsidP="00E95352">
            <w:pPr>
              <w:autoSpaceDE w:val="0"/>
              <w:autoSpaceDN w:val="0"/>
              <w:adjustRightInd w:val="0"/>
              <w:rPr>
                <w:rFonts w:ascii="Times New Roman" w:hAnsi="Times New Roman"/>
                <w:bCs/>
                <w:sz w:val="20"/>
                <w:szCs w:val="20"/>
              </w:rPr>
            </w:pPr>
            <w:r w:rsidRPr="00FD7B0B">
              <w:rPr>
                <w:rFonts w:ascii="Times New Roman" w:hAnsi="Times New Roman"/>
                <w:bCs/>
                <w:sz w:val="20"/>
                <w:szCs w:val="20"/>
              </w:rPr>
              <w:t>- создание к 2030 году условий для одновременного освоения не менее чем 30 процентами студентов нескольких квалификаций в рамках профессионального образования;</w:t>
            </w:r>
          </w:p>
          <w:p w14:paraId="7DB1AC3C" w14:textId="77777777" w:rsidR="00632913" w:rsidRPr="00FD7B0B" w:rsidRDefault="00632913" w:rsidP="00E95352">
            <w:pPr>
              <w:autoSpaceDE w:val="0"/>
              <w:autoSpaceDN w:val="0"/>
              <w:adjustRightInd w:val="0"/>
              <w:rPr>
                <w:rFonts w:ascii="Times New Roman" w:hAnsi="Times New Roman"/>
                <w:bCs/>
                <w:sz w:val="20"/>
                <w:szCs w:val="20"/>
              </w:rPr>
            </w:pPr>
          </w:p>
          <w:p w14:paraId="24297D5F" w14:textId="77777777" w:rsidR="00632913" w:rsidRPr="00FD7B0B" w:rsidRDefault="00632913" w:rsidP="00E95352">
            <w:pPr>
              <w:autoSpaceDE w:val="0"/>
              <w:autoSpaceDN w:val="0"/>
              <w:adjustRightInd w:val="0"/>
              <w:rPr>
                <w:rFonts w:ascii="Times New Roman" w:hAnsi="Times New Roman"/>
                <w:bCs/>
                <w:sz w:val="20"/>
                <w:szCs w:val="20"/>
              </w:rPr>
            </w:pPr>
            <w:r w:rsidRPr="00FD7B0B">
              <w:rPr>
                <w:rFonts w:ascii="Times New Roman" w:hAnsi="Times New Roman"/>
                <w:bCs/>
                <w:sz w:val="20"/>
                <w:szCs w:val="20"/>
              </w:rPr>
              <w:t>- создание к 2030 году институциональных условий для постоянного профессионального развития работающих граждан, в том числе для получения новых профессий и повышения квалификации;</w:t>
            </w:r>
          </w:p>
          <w:p w14:paraId="66BB7DDA" w14:textId="77777777" w:rsidR="00632913" w:rsidRPr="00FD7B0B" w:rsidRDefault="00632913" w:rsidP="00632913">
            <w:pPr>
              <w:contextualSpacing/>
              <w:jc w:val="center"/>
              <w:rPr>
                <w:rFonts w:ascii="Times New Roman" w:hAnsi="Times New Roman"/>
                <w:sz w:val="20"/>
                <w:szCs w:val="20"/>
              </w:rPr>
            </w:pPr>
          </w:p>
        </w:tc>
        <w:tc>
          <w:tcPr>
            <w:tcW w:w="4130" w:type="dxa"/>
          </w:tcPr>
          <w:p w14:paraId="41D7F3F4" w14:textId="77777777" w:rsidR="00632913" w:rsidRPr="00FD7B0B" w:rsidRDefault="00632913" w:rsidP="00632913">
            <w:pPr>
              <w:contextualSpacing/>
              <w:rPr>
                <w:rFonts w:ascii="Times New Roman" w:hAnsi="Times New Roman"/>
                <w:b/>
                <w:sz w:val="20"/>
                <w:szCs w:val="20"/>
              </w:rPr>
            </w:pPr>
          </w:p>
          <w:p w14:paraId="14B6B6BA" w14:textId="77777777" w:rsidR="00632913" w:rsidRPr="00FD7B0B" w:rsidRDefault="00632913" w:rsidP="00632913">
            <w:pPr>
              <w:contextualSpacing/>
              <w:rPr>
                <w:rFonts w:ascii="Times New Roman" w:hAnsi="Times New Roman"/>
                <w:b/>
                <w:sz w:val="20"/>
                <w:szCs w:val="20"/>
              </w:rPr>
            </w:pPr>
          </w:p>
          <w:p w14:paraId="408CC44E" w14:textId="77777777" w:rsidR="00632913" w:rsidRPr="00FD7B0B" w:rsidRDefault="00632913" w:rsidP="00632913">
            <w:pPr>
              <w:contextualSpacing/>
              <w:rPr>
                <w:rFonts w:ascii="Times New Roman" w:hAnsi="Times New Roman"/>
                <w:b/>
                <w:sz w:val="20"/>
                <w:szCs w:val="20"/>
              </w:rPr>
            </w:pPr>
          </w:p>
          <w:p w14:paraId="7353A9CB" w14:textId="77777777" w:rsidR="00632913" w:rsidRPr="00FD7B0B" w:rsidRDefault="00632913" w:rsidP="00632913">
            <w:pPr>
              <w:contextualSpacing/>
              <w:rPr>
                <w:rFonts w:ascii="Times New Roman" w:hAnsi="Times New Roman"/>
                <w:b/>
                <w:sz w:val="20"/>
                <w:szCs w:val="20"/>
              </w:rPr>
            </w:pPr>
          </w:p>
          <w:p w14:paraId="5D6AA324" w14:textId="77777777" w:rsidR="00632913" w:rsidRPr="00FD7B0B" w:rsidRDefault="00632913" w:rsidP="00632913">
            <w:pPr>
              <w:contextualSpacing/>
              <w:rPr>
                <w:rFonts w:ascii="Times New Roman" w:hAnsi="Times New Roman"/>
                <w:sz w:val="20"/>
                <w:szCs w:val="20"/>
              </w:rPr>
            </w:pPr>
            <w:r w:rsidRPr="00FD7B0B">
              <w:rPr>
                <w:rFonts w:ascii="Times New Roman" w:hAnsi="Times New Roman"/>
                <w:b/>
                <w:sz w:val="20"/>
                <w:szCs w:val="20"/>
              </w:rPr>
              <w:t xml:space="preserve">- </w:t>
            </w:r>
            <w:r w:rsidRPr="00FD7B0B">
              <w:rPr>
                <w:rFonts w:ascii="Times New Roman" w:hAnsi="Times New Roman"/>
                <w:sz w:val="20"/>
                <w:szCs w:val="20"/>
              </w:rPr>
              <w:t>целевые показатели отсутствуют</w:t>
            </w:r>
          </w:p>
          <w:p w14:paraId="5F018BB8" w14:textId="77777777" w:rsidR="00632913" w:rsidRPr="00FD7B0B" w:rsidRDefault="00632913" w:rsidP="00632913">
            <w:pPr>
              <w:contextualSpacing/>
              <w:rPr>
                <w:rFonts w:ascii="Times New Roman" w:hAnsi="Times New Roman"/>
                <w:sz w:val="20"/>
                <w:szCs w:val="20"/>
              </w:rPr>
            </w:pPr>
          </w:p>
          <w:p w14:paraId="595A0468" w14:textId="77777777" w:rsidR="00632913" w:rsidRPr="00FD7B0B" w:rsidRDefault="00632913" w:rsidP="00632913">
            <w:pPr>
              <w:contextualSpacing/>
              <w:rPr>
                <w:rFonts w:ascii="Times New Roman" w:hAnsi="Times New Roman"/>
                <w:sz w:val="20"/>
                <w:szCs w:val="20"/>
              </w:rPr>
            </w:pPr>
          </w:p>
          <w:p w14:paraId="18751F26" w14:textId="77777777" w:rsidR="0023271E" w:rsidRPr="00FD7B0B" w:rsidRDefault="0023271E" w:rsidP="00632913">
            <w:pPr>
              <w:contextualSpacing/>
              <w:rPr>
                <w:rFonts w:ascii="Times New Roman" w:eastAsia="Times New Roman" w:hAnsi="Times New Roman"/>
                <w:sz w:val="18"/>
                <w:szCs w:val="18"/>
                <w:lang w:eastAsia="ru-RU"/>
              </w:rPr>
            </w:pPr>
          </w:p>
          <w:p w14:paraId="6038B8FD" w14:textId="77777777" w:rsidR="0023271E" w:rsidRPr="00FD7B0B" w:rsidRDefault="0023271E" w:rsidP="00632913">
            <w:pPr>
              <w:contextualSpacing/>
              <w:rPr>
                <w:rFonts w:ascii="Times New Roman" w:eastAsia="Times New Roman" w:hAnsi="Times New Roman"/>
                <w:sz w:val="18"/>
                <w:szCs w:val="18"/>
                <w:lang w:eastAsia="ru-RU"/>
              </w:rPr>
            </w:pPr>
          </w:p>
          <w:p w14:paraId="6D67FF91" w14:textId="77777777" w:rsidR="00632913" w:rsidRPr="00FD7B0B" w:rsidRDefault="00632913" w:rsidP="00632913">
            <w:pPr>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показатель на 2024 год Доля педагогических работников общеобразовательных организаций, прошедших повышение квалификации, в том числе в центрах непрерывного повышения профессионального мастерства, возрастающий, 26,3%, на плановый период показатель не предусмотрен.</w:t>
            </w:r>
          </w:p>
          <w:p w14:paraId="49C44C32" w14:textId="77777777" w:rsidR="00632913" w:rsidRPr="00FD7B0B" w:rsidRDefault="00632913" w:rsidP="00632913">
            <w:pPr>
              <w:contextualSpacing/>
              <w:rPr>
                <w:rFonts w:ascii="Times New Roman" w:eastAsia="Times New Roman" w:hAnsi="Times New Roman"/>
                <w:sz w:val="18"/>
                <w:szCs w:val="18"/>
                <w:lang w:eastAsia="ru-RU"/>
              </w:rPr>
            </w:pPr>
          </w:p>
          <w:p w14:paraId="0AABF102" w14:textId="77777777" w:rsidR="00632913" w:rsidRPr="00FD7B0B" w:rsidRDefault="00632913" w:rsidP="00632913">
            <w:pPr>
              <w:contextualSpacing/>
              <w:rPr>
                <w:rFonts w:ascii="Times New Roman" w:eastAsia="Times New Roman" w:hAnsi="Times New Roman"/>
                <w:sz w:val="18"/>
                <w:szCs w:val="18"/>
                <w:lang w:eastAsia="ru-RU"/>
              </w:rPr>
            </w:pPr>
          </w:p>
          <w:p w14:paraId="0149A136" w14:textId="77777777" w:rsidR="00632913" w:rsidRPr="00FD7B0B" w:rsidRDefault="00632913" w:rsidP="00632913">
            <w:pPr>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Доля обучающихся по образовательным программам основного и среднего общего образования, охваченных мероприятиями, направленными на раннюю профессиональную ориентацию, в том числе в рамках программы "Билет в будущее", возрастающий, 40%, на плановый период не установлен.</w:t>
            </w:r>
          </w:p>
          <w:p w14:paraId="00BA5309" w14:textId="77777777" w:rsidR="00632913" w:rsidRPr="00FD7B0B" w:rsidRDefault="00632913" w:rsidP="00632913">
            <w:pPr>
              <w:contextualSpacing/>
              <w:rPr>
                <w:rFonts w:ascii="Times New Roman" w:hAnsi="Times New Roman"/>
                <w:b/>
                <w:sz w:val="20"/>
                <w:szCs w:val="20"/>
              </w:rPr>
            </w:pPr>
          </w:p>
          <w:p w14:paraId="2FE112E0" w14:textId="68BCB23C" w:rsidR="00632913" w:rsidRPr="00FD7B0B" w:rsidRDefault="00632913" w:rsidP="00632913">
            <w:pPr>
              <w:contextualSpacing/>
              <w:rPr>
                <w:rFonts w:ascii="Times New Roman" w:hAnsi="Times New Roman"/>
                <w:sz w:val="20"/>
                <w:szCs w:val="20"/>
              </w:rPr>
            </w:pPr>
            <w:r w:rsidRPr="00FD7B0B">
              <w:rPr>
                <w:rFonts w:ascii="Times New Roman" w:hAnsi="Times New Roman"/>
                <w:b/>
                <w:sz w:val="20"/>
                <w:szCs w:val="20"/>
              </w:rPr>
              <w:t xml:space="preserve">- </w:t>
            </w:r>
            <w:r w:rsidRPr="00FD7B0B">
              <w:rPr>
                <w:rFonts w:ascii="Times New Roman" w:hAnsi="Times New Roman"/>
                <w:sz w:val="20"/>
                <w:szCs w:val="20"/>
              </w:rPr>
              <w:t>целевые показатели отсутствуют</w:t>
            </w:r>
          </w:p>
          <w:p w14:paraId="689DF5BD" w14:textId="77777777" w:rsidR="00632913" w:rsidRPr="00FD7B0B" w:rsidRDefault="00632913" w:rsidP="00632913">
            <w:pPr>
              <w:contextualSpacing/>
              <w:rPr>
                <w:rFonts w:ascii="Times New Roman" w:hAnsi="Times New Roman"/>
                <w:sz w:val="20"/>
                <w:szCs w:val="20"/>
              </w:rPr>
            </w:pPr>
          </w:p>
          <w:p w14:paraId="0EE92FC0" w14:textId="77777777" w:rsidR="00632913" w:rsidRPr="00FD7B0B" w:rsidRDefault="00632913" w:rsidP="00632913">
            <w:pPr>
              <w:contextualSpacing/>
              <w:rPr>
                <w:rFonts w:ascii="Times New Roman" w:hAnsi="Times New Roman"/>
                <w:sz w:val="20"/>
                <w:szCs w:val="20"/>
              </w:rPr>
            </w:pPr>
          </w:p>
          <w:p w14:paraId="22D9954B" w14:textId="77777777" w:rsidR="00632913" w:rsidRPr="00FD7B0B" w:rsidRDefault="00632913" w:rsidP="00632913">
            <w:pPr>
              <w:contextualSpacing/>
              <w:rPr>
                <w:rFonts w:ascii="Times New Roman" w:hAnsi="Times New Roman"/>
                <w:sz w:val="20"/>
                <w:szCs w:val="20"/>
              </w:rPr>
            </w:pPr>
          </w:p>
          <w:p w14:paraId="10412F19" w14:textId="77777777" w:rsidR="00632913" w:rsidRPr="00FD7B0B" w:rsidRDefault="00632913" w:rsidP="00632913">
            <w:pPr>
              <w:contextualSpacing/>
              <w:rPr>
                <w:rFonts w:ascii="Times New Roman" w:hAnsi="Times New Roman"/>
                <w:sz w:val="20"/>
                <w:szCs w:val="20"/>
              </w:rPr>
            </w:pPr>
          </w:p>
          <w:p w14:paraId="2FB8852F" w14:textId="77777777" w:rsidR="00632913" w:rsidRPr="00FD7B0B" w:rsidRDefault="00632913" w:rsidP="00632913">
            <w:pPr>
              <w:contextualSpacing/>
              <w:rPr>
                <w:rFonts w:ascii="Times New Roman" w:hAnsi="Times New Roman"/>
                <w:sz w:val="20"/>
                <w:szCs w:val="20"/>
              </w:rPr>
            </w:pPr>
          </w:p>
          <w:p w14:paraId="54DA3144" w14:textId="77777777" w:rsidR="00632913" w:rsidRPr="00FD7B0B" w:rsidRDefault="00632913" w:rsidP="00632913">
            <w:pPr>
              <w:contextualSpacing/>
              <w:rPr>
                <w:rFonts w:ascii="Times New Roman" w:hAnsi="Times New Roman"/>
                <w:sz w:val="20"/>
                <w:szCs w:val="20"/>
              </w:rPr>
            </w:pPr>
          </w:p>
          <w:p w14:paraId="51A0EBB2" w14:textId="77777777" w:rsidR="00632913" w:rsidRPr="00FD7B0B" w:rsidRDefault="00632913" w:rsidP="00632913">
            <w:pPr>
              <w:contextualSpacing/>
              <w:rPr>
                <w:rFonts w:ascii="Times New Roman" w:hAnsi="Times New Roman"/>
                <w:sz w:val="20"/>
                <w:szCs w:val="20"/>
              </w:rPr>
            </w:pPr>
          </w:p>
          <w:p w14:paraId="257EFE62" w14:textId="77777777" w:rsidR="00632913" w:rsidRPr="00FD7B0B" w:rsidRDefault="00632913" w:rsidP="00632913">
            <w:pPr>
              <w:contextualSpacing/>
              <w:rPr>
                <w:rFonts w:ascii="Times New Roman" w:hAnsi="Times New Roman"/>
                <w:sz w:val="20"/>
                <w:szCs w:val="20"/>
              </w:rPr>
            </w:pPr>
          </w:p>
          <w:p w14:paraId="13F1AC9A" w14:textId="77777777" w:rsidR="00632913" w:rsidRPr="00FD7B0B" w:rsidRDefault="00632913" w:rsidP="00632913">
            <w:pPr>
              <w:contextualSpacing/>
              <w:rPr>
                <w:rFonts w:ascii="Times New Roman" w:hAnsi="Times New Roman"/>
                <w:sz w:val="20"/>
                <w:szCs w:val="20"/>
              </w:rPr>
            </w:pPr>
          </w:p>
          <w:p w14:paraId="39774FDC" w14:textId="77777777" w:rsidR="00632913" w:rsidRPr="00FD7B0B" w:rsidRDefault="00632913" w:rsidP="00632913">
            <w:pPr>
              <w:contextualSpacing/>
              <w:rPr>
                <w:rFonts w:ascii="Times New Roman" w:hAnsi="Times New Roman"/>
                <w:sz w:val="20"/>
                <w:szCs w:val="20"/>
              </w:rPr>
            </w:pPr>
            <w:r w:rsidRPr="00FD7B0B">
              <w:rPr>
                <w:rFonts w:ascii="Times New Roman" w:hAnsi="Times New Roman"/>
                <w:b/>
                <w:sz w:val="20"/>
                <w:szCs w:val="20"/>
              </w:rPr>
              <w:t xml:space="preserve">- </w:t>
            </w:r>
            <w:r w:rsidRPr="00FD7B0B">
              <w:rPr>
                <w:rFonts w:ascii="Times New Roman" w:hAnsi="Times New Roman"/>
                <w:sz w:val="20"/>
                <w:szCs w:val="20"/>
              </w:rPr>
              <w:t>целевые показатели отсутствуют</w:t>
            </w:r>
          </w:p>
          <w:p w14:paraId="313F8270" w14:textId="77777777" w:rsidR="00632913" w:rsidRPr="00FD7B0B" w:rsidRDefault="00632913" w:rsidP="00632913">
            <w:pPr>
              <w:contextualSpacing/>
              <w:rPr>
                <w:rFonts w:ascii="Times New Roman" w:hAnsi="Times New Roman"/>
                <w:sz w:val="20"/>
                <w:szCs w:val="20"/>
              </w:rPr>
            </w:pPr>
          </w:p>
          <w:p w14:paraId="6C7BE285" w14:textId="77777777" w:rsidR="00632913" w:rsidRPr="00FD7B0B" w:rsidRDefault="00632913" w:rsidP="00632913">
            <w:pPr>
              <w:contextualSpacing/>
              <w:rPr>
                <w:rFonts w:ascii="Times New Roman" w:hAnsi="Times New Roman"/>
                <w:sz w:val="20"/>
                <w:szCs w:val="20"/>
              </w:rPr>
            </w:pPr>
          </w:p>
          <w:p w14:paraId="67ADEE5E" w14:textId="77777777" w:rsidR="00632913" w:rsidRPr="00FD7B0B" w:rsidRDefault="00632913" w:rsidP="00632913">
            <w:pPr>
              <w:contextualSpacing/>
              <w:rPr>
                <w:rFonts w:ascii="Times New Roman" w:hAnsi="Times New Roman"/>
                <w:sz w:val="20"/>
                <w:szCs w:val="20"/>
              </w:rPr>
            </w:pPr>
          </w:p>
          <w:p w14:paraId="169E7547" w14:textId="77777777" w:rsidR="00632913" w:rsidRPr="00FD7B0B" w:rsidRDefault="00632913" w:rsidP="00632913">
            <w:pPr>
              <w:contextualSpacing/>
              <w:rPr>
                <w:rFonts w:ascii="Times New Roman" w:hAnsi="Times New Roman"/>
                <w:sz w:val="20"/>
                <w:szCs w:val="20"/>
              </w:rPr>
            </w:pPr>
            <w:r w:rsidRPr="00FD7B0B">
              <w:rPr>
                <w:rFonts w:ascii="Times New Roman" w:hAnsi="Times New Roman"/>
                <w:b/>
                <w:sz w:val="20"/>
                <w:szCs w:val="20"/>
              </w:rPr>
              <w:t xml:space="preserve">- </w:t>
            </w:r>
            <w:r w:rsidRPr="00FD7B0B">
              <w:rPr>
                <w:rFonts w:ascii="Times New Roman" w:hAnsi="Times New Roman"/>
                <w:sz w:val="20"/>
                <w:szCs w:val="20"/>
              </w:rPr>
              <w:t>целевые показатели отсутствуют</w:t>
            </w:r>
          </w:p>
          <w:p w14:paraId="5805D233" w14:textId="77777777" w:rsidR="00632913" w:rsidRPr="00FD7B0B" w:rsidRDefault="00632913" w:rsidP="00632913">
            <w:pPr>
              <w:contextualSpacing/>
              <w:rPr>
                <w:rFonts w:ascii="Times New Roman" w:hAnsi="Times New Roman"/>
                <w:sz w:val="20"/>
                <w:szCs w:val="20"/>
              </w:rPr>
            </w:pPr>
          </w:p>
          <w:p w14:paraId="725DCB36" w14:textId="77777777" w:rsidR="00632913" w:rsidRPr="00FD7B0B" w:rsidRDefault="00632913" w:rsidP="00632913">
            <w:pPr>
              <w:contextualSpacing/>
              <w:rPr>
                <w:rFonts w:ascii="Times New Roman" w:hAnsi="Times New Roman"/>
                <w:sz w:val="20"/>
                <w:szCs w:val="20"/>
              </w:rPr>
            </w:pPr>
          </w:p>
          <w:p w14:paraId="1349CAE9" w14:textId="77777777" w:rsidR="00632913" w:rsidRPr="00FD7B0B" w:rsidRDefault="00632913" w:rsidP="00632913">
            <w:pPr>
              <w:contextualSpacing/>
              <w:rPr>
                <w:rFonts w:ascii="Times New Roman" w:hAnsi="Times New Roman"/>
                <w:sz w:val="20"/>
                <w:szCs w:val="20"/>
              </w:rPr>
            </w:pPr>
          </w:p>
          <w:p w14:paraId="7B1DA6FC" w14:textId="77777777" w:rsidR="0023271E" w:rsidRPr="00FD7B0B" w:rsidRDefault="0023271E" w:rsidP="00632913">
            <w:pPr>
              <w:contextualSpacing/>
              <w:rPr>
                <w:rFonts w:ascii="Times New Roman" w:hAnsi="Times New Roman"/>
                <w:sz w:val="20"/>
                <w:szCs w:val="20"/>
              </w:rPr>
            </w:pPr>
          </w:p>
          <w:p w14:paraId="10F9FC87" w14:textId="77777777" w:rsidR="00632913" w:rsidRPr="00FD7B0B" w:rsidRDefault="00632913" w:rsidP="00632913">
            <w:pPr>
              <w:contextualSpacing/>
              <w:rPr>
                <w:rFonts w:ascii="Times New Roman" w:hAnsi="Times New Roman"/>
                <w:sz w:val="20"/>
                <w:szCs w:val="20"/>
              </w:rPr>
            </w:pPr>
            <w:r w:rsidRPr="00FD7B0B">
              <w:rPr>
                <w:rFonts w:ascii="Times New Roman" w:hAnsi="Times New Roman"/>
                <w:sz w:val="20"/>
                <w:szCs w:val="20"/>
              </w:rPr>
              <w:t>- показатель на 2024 год Доля взрослых, прошедших обучение по программам среднего профессионального, дополнительного профессионального образования и профессионального обучения на территории Архангельской области, 95%</w:t>
            </w:r>
          </w:p>
        </w:tc>
      </w:tr>
      <w:tr w:rsidR="00FD7B0B" w:rsidRPr="00FD7B0B" w14:paraId="6A656A78" w14:textId="77777777" w:rsidTr="0023271E">
        <w:trPr>
          <w:trHeight w:val="309"/>
        </w:trPr>
        <w:tc>
          <w:tcPr>
            <w:tcW w:w="9644" w:type="dxa"/>
            <w:gridSpan w:val="2"/>
            <w:hideMark/>
          </w:tcPr>
          <w:p w14:paraId="4122AD76" w14:textId="77777777" w:rsidR="00632913" w:rsidRPr="00FD7B0B" w:rsidRDefault="00632913" w:rsidP="00632913">
            <w:pPr>
              <w:contextualSpacing/>
              <w:jc w:val="center"/>
              <w:rPr>
                <w:rFonts w:ascii="Times New Roman" w:eastAsia="Times New Roman" w:hAnsi="Times New Roman"/>
                <w:sz w:val="20"/>
                <w:szCs w:val="20"/>
              </w:rPr>
            </w:pPr>
            <w:r w:rsidRPr="00FD7B0B">
              <w:rPr>
                <w:rFonts w:ascii="Times New Roman" w:hAnsi="Times New Roman"/>
                <w:b/>
                <w:sz w:val="20"/>
                <w:szCs w:val="20"/>
              </w:rPr>
              <w:lastRenderedPageBreak/>
              <w:t>Закон Архангельской области от 18.02.2019 № 57-5-ОЗ "Об утверждении Стратегии социально-экономического развития Архангельской области до 2035 года"</w:t>
            </w:r>
          </w:p>
        </w:tc>
      </w:tr>
      <w:tr w:rsidR="00632913" w:rsidRPr="00FD7B0B" w14:paraId="2FC3E156" w14:textId="77777777" w:rsidTr="0023271E">
        <w:trPr>
          <w:trHeight w:val="487"/>
        </w:trPr>
        <w:tc>
          <w:tcPr>
            <w:tcW w:w="5514" w:type="dxa"/>
          </w:tcPr>
          <w:p w14:paraId="4FB27F4B" w14:textId="77777777" w:rsidR="00632913" w:rsidRPr="00FD7B0B" w:rsidRDefault="00632913" w:rsidP="00632913">
            <w:pPr>
              <w:jc w:val="both"/>
              <w:rPr>
                <w:rFonts w:ascii="Times New Roman" w:hAnsi="Times New Roman"/>
                <w:sz w:val="20"/>
                <w:szCs w:val="20"/>
              </w:rPr>
            </w:pPr>
            <w:r w:rsidRPr="00FD7B0B">
              <w:rPr>
                <w:rFonts w:ascii="Times New Roman" w:hAnsi="Times New Roman"/>
                <w:sz w:val="20"/>
                <w:szCs w:val="20"/>
              </w:rPr>
              <w:t xml:space="preserve">Проект «Дошкольное детство» </w:t>
            </w:r>
            <w:r w:rsidRPr="00FD7B0B">
              <w:rPr>
                <w:rFonts w:ascii="Times New Roman" w:hAnsi="Times New Roman"/>
                <w:b/>
                <w:sz w:val="20"/>
                <w:szCs w:val="20"/>
              </w:rPr>
              <w:t>результат</w:t>
            </w:r>
          </w:p>
          <w:p w14:paraId="0DCA4A33" w14:textId="77777777" w:rsidR="00632913" w:rsidRPr="00FD7B0B" w:rsidRDefault="00632913" w:rsidP="00632913">
            <w:pPr>
              <w:rPr>
                <w:rFonts w:ascii="Times New Roman" w:hAnsi="Times New Roman"/>
                <w:sz w:val="20"/>
                <w:szCs w:val="20"/>
              </w:rPr>
            </w:pPr>
            <w:r w:rsidRPr="00FD7B0B">
              <w:rPr>
                <w:rFonts w:ascii="Times New Roman" w:hAnsi="Times New Roman"/>
                <w:sz w:val="20"/>
                <w:szCs w:val="20"/>
              </w:rPr>
              <w:t>- доля детей в возрасте от 0 до 3 лет, имеющих возможность посещать дошкольные образовательные организации - 100% к 2024 году</w:t>
            </w:r>
          </w:p>
          <w:p w14:paraId="248D33DC" w14:textId="77777777" w:rsidR="00632913" w:rsidRPr="00FD7B0B" w:rsidRDefault="00632913" w:rsidP="00632913">
            <w:pPr>
              <w:rPr>
                <w:rFonts w:ascii="Times New Roman" w:hAnsi="Times New Roman"/>
                <w:sz w:val="20"/>
                <w:szCs w:val="20"/>
              </w:rPr>
            </w:pPr>
          </w:p>
          <w:p w14:paraId="580B54A4" w14:textId="77777777" w:rsidR="00632913" w:rsidRPr="00FD7B0B" w:rsidRDefault="00632913" w:rsidP="00632913">
            <w:pPr>
              <w:rPr>
                <w:rFonts w:ascii="Times New Roman" w:hAnsi="Times New Roman"/>
                <w:b/>
                <w:sz w:val="20"/>
                <w:szCs w:val="20"/>
              </w:rPr>
            </w:pPr>
            <w:r w:rsidRPr="00FD7B0B">
              <w:rPr>
                <w:rFonts w:ascii="Times New Roman" w:hAnsi="Times New Roman"/>
                <w:sz w:val="20"/>
                <w:szCs w:val="20"/>
              </w:rPr>
              <w:t>Проект «Кадровый потенциал» з</w:t>
            </w:r>
            <w:r w:rsidRPr="00FD7B0B">
              <w:rPr>
                <w:rFonts w:ascii="Times New Roman" w:hAnsi="Times New Roman"/>
                <w:b/>
                <w:sz w:val="20"/>
                <w:szCs w:val="20"/>
              </w:rPr>
              <w:t>адачи</w:t>
            </w:r>
          </w:p>
          <w:p w14:paraId="45BAE9A0" w14:textId="77777777" w:rsidR="00632913" w:rsidRPr="00FD7B0B" w:rsidRDefault="00632913" w:rsidP="00632913">
            <w:pPr>
              <w:rPr>
                <w:rFonts w:ascii="Times New Roman" w:hAnsi="Times New Roman"/>
                <w:sz w:val="20"/>
                <w:szCs w:val="20"/>
              </w:rPr>
            </w:pPr>
            <w:r w:rsidRPr="00FD7B0B">
              <w:rPr>
                <w:rFonts w:ascii="Times New Roman" w:hAnsi="Times New Roman"/>
                <w:sz w:val="20"/>
                <w:szCs w:val="20"/>
              </w:rPr>
              <w:t>- выделение сертификатов для стимулирования прохождения курсов дополнительного профессионального образования работающего и неработающего населения. Для работающего населения предполагается оплата сертификатом не более 50 процентов стоимости курса, оставшуюся сумму оплачивает работодатель или обучающийся. Для неработающего населения сертификатом оплачивается 100 процентов стоимости курса.</w:t>
            </w:r>
          </w:p>
          <w:p w14:paraId="2EA174FF" w14:textId="77777777" w:rsidR="00632913" w:rsidRPr="00FD7B0B" w:rsidRDefault="00632913" w:rsidP="00632913">
            <w:pPr>
              <w:rPr>
                <w:rFonts w:ascii="Times New Roman" w:hAnsi="Times New Roman"/>
                <w:sz w:val="20"/>
                <w:szCs w:val="20"/>
              </w:rPr>
            </w:pPr>
          </w:p>
          <w:p w14:paraId="03121443" w14:textId="77777777" w:rsidR="00632913" w:rsidRPr="00FD7B0B" w:rsidRDefault="00632913" w:rsidP="00632913">
            <w:pPr>
              <w:rPr>
                <w:rFonts w:ascii="Times New Roman" w:hAnsi="Times New Roman"/>
                <w:sz w:val="20"/>
                <w:szCs w:val="20"/>
              </w:rPr>
            </w:pPr>
            <w:r w:rsidRPr="00FD7B0B">
              <w:rPr>
                <w:rFonts w:ascii="Times New Roman" w:hAnsi="Times New Roman"/>
                <w:sz w:val="20"/>
                <w:szCs w:val="20"/>
              </w:rPr>
              <w:t>- формирование комфортной среды для непрерывного образования и обновления профессиональных компетенций для человека любой профессии и жителя любой местности.</w:t>
            </w:r>
          </w:p>
          <w:p w14:paraId="679FF59A" w14:textId="77777777" w:rsidR="00632913" w:rsidRPr="00FD7B0B" w:rsidRDefault="00632913" w:rsidP="00632913">
            <w:pPr>
              <w:rPr>
                <w:rFonts w:ascii="Times New Roman" w:hAnsi="Times New Roman"/>
                <w:sz w:val="20"/>
                <w:szCs w:val="20"/>
              </w:rPr>
            </w:pPr>
          </w:p>
          <w:p w14:paraId="7E9DF5AD" w14:textId="77777777" w:rsidR="00632913" w:rsidRPr="00FD7B0B" w:rsidRDefault="00632913" w:rsidP="00632913">
            <w:pPr>
              <w:rPr>
                <w:rFonts w:ascii="Times New Roman" w:hAnsi="Times New Roman"/>
                <w:b/>
                <w:sz w:val="20"/>
                <w:szCs w:val="20"/>
              </w:rPr>
            </w:pPr>
            <w:r w:rsidRPr="00FD7B0B">
              <w:rPr>
                <w:rFonts w:ascii="Times New Roman" w:hAnsi="Times New Roman"/>
                <w:sz w:val="20"/>
                <w:szCs w:val="20"/>
              </w:rPr>
              <w:t>- создание технологической платформы сетевого взаимодействия в целях ускоренного переобучения специалистов среднего звена и квалифицированных рабочих.</w:t>
            </w:r>
          </w:p>
        </w:tc>
        <w:tc>
          <w:tcPr>
            <w:tcW w:w="4130" w:type="dxa"/>
          </w:tcPr>
          <w:p w14:paraId="5B5B9C7C" w14:textId="77777777" w:rsidR="00632913" w:rsidRPr="00FD7B0B" w:rsidRDefault="00632913" w:rsidP="00632913">
            <w:pPr>
              <w:contextualSpacing/>
              <w:jc w:val="both"/>
              <w:rPr>
                <w:rFonts w:ascii="Times New Roman" w:eastAsia="Times New Roman" w:hAnsi="Times New Roman"/>
                <w:sz w:val="20"/>
                <w:szCs w:val="20"/>
              </w:rPr>
            </w:pPr>
            <w:r w:rsidRPr="00FD7B0B">
              <w:rPr>
                <w:rFonts w:ascii="Times New Roman" w:eastAsia="Times New Roman" w:hAnsi="Times New Roman"/>
                <w:sz w:val="20"/>
                <w:szCs w:val="20"/>
              </w:rPr>
              <w:t>Целевые показатели отсутствуют.</w:t>
            </w:r>
          </w:p>
          <w:p w14:paraId="648F1DE2" w14:textId="77777777" w:rsidR="00632913" w:rsidRPr="00FD7B0B" w:rsidRDefault="00632913" w:rsidP="00632913">
            <w:pPr>
              <w:contextualSpacing/>
              <w:jc w:val="both"/>
              <w:rPr>
                <w:rFonts w:ascii="Times New Roman" w:eastAsia="Times New Roman" w:hAnsi="Times New Roman"/>
                <w:sz w:val="20"/>
                <w:szCs w:val="20"/>
              </w:rPr>
            </w:pPr>
          </w:p>
          <w:p w14:paraId="617A42F6" w14:textId="77777777" w:rsidR="00632913" w:rsidRPr="00FD7B0B" w:rsidRDefault="00632913" w:rsidP="00632913">
            <w:pPr>
              <w:contextualSpacing/>
              <w:jc w:val="both"/>
              <w:rPr>
                <w:rFonts w:ascii="Times New Roman" w:eastAsia="Times New Roman" w:hAnsi="Times New Roman"/>
                <w:sz w:val="20"/>
                <w:szCs w:val="20"/>
              </w:rPr>
            </w:pPr>
          </w:p>
          <w:p w14:paraId="2A67CBBC" w14:textId="77777777" w:rsidR="00632913" w:rsidRPr="00FD7B0B" w:rsidRDefault="00632913" w:rsidP="00632913">
            <w:pPr>
              <w:contextualSpacing/>
              <w:jc w:val="both"/>
              <w:rPr>
                <w:rFonts w:ascii="Times New Roman" w:eastAsia="Times New Roman" w:hAnsi="Times New Roman"/>
                <w:sz w:val="20"/>
                <w:szCs w:val="20"/>
              </w:rPr>
            </w:pPr>
          </w:p>
          <w:p w14:paraId="78D221EA" w14:textId="77777777" w:rsidR="0023271E" w:rsidRPr="00FD7B0B" w:rsidRDefault="0023271E" w:rsidP="00632913">
            <w:pPr>
              <w:contextualSpacing/>
              <w:jc w:val="both"/>
              <w:rPr>
                <w:rFonts w:ascii="Times New Roman" w:eastAsia="Times New Roman" w:hAnsi="Times New Roman"/>
                <w:sz w:val="20"/>
                <w:szCs w:val="20"/>
              </w:rPr>
            </w:pPr>
          </w:p>
          <w:p w14:paraId="6AFFA224" w14:textId="77777777" w:rsidR="00632913" w:rsidRPr="00FD7B0B" w:rsidRDefault="00632913" w:rsidP="00632913">
            <w:pPr>
              <w:contextualSpacing/>
              <w:jc w:val="both"/>
              <w:rPr>
                <w:rFonts w:ascii="Times New Roman" w:eastAsia="Times New Roman" w:hAnsi="Times New Roman"/>
                <w:sz w:val="20"/>
                <w:szCs w:val="20"/>
              </w:rPr>
            </w:pPr>
            <w:r w:rsidRPr="00FD7B0B">
              <w:rPr>
                <w:rFonts w:ascii="Times New Roman" w:eastAsia="Times New Roman" w:hAnsi="Times New Roman"/>
                <w:sz w:val="20"/>
                <w:szCs w:val="20"/>
              </w:rPr>
              <w:t>Целевые показатели отсутствуют.</w:t>
            </w:r>
          </w:p>
          <w:p w14:paraId="6BFC3DC8" w14:textId="77777777" w:rsidR="00632913" w:rsidRPr="00FD7B0B" w:rsidRDefault="00632913" w:rsidP="00632913">
            <w:pPr>
              <w:contextualSpacing/>
              <w:jc w:val="both"/>
              <w:rPr>
                <w:rFonts w:ascii="Times New Roman" w:eastAsia="Times New Roman" w:hAnsi="Times New Roman"/>
                <w:sz w:val="20"/>
                <w:szCs w:val="20"/>
              </w:rPr>
            </w:pPr>
          </w:p>
          <w:p w14:paraId="46DB017D" w14:textId="77777777" w:rsidR="00632913" w:rsidRPr="00FD7B0B" w:rsidRDefault="00632913" w:rsidP="00632913">
            <w:pPr>
              <w:contextualSpacing/>
              <w:jc w:val="both"/>
              <w:rPr>
                <w:rFonts w:ascii="Times New Roman" w:eastAsia="Times New Roman" w:hAnsi="Times New Roman"/>
                <w:sz w:val="20"/>
                <w:szCs w:val="20"/>
              </w:rPr>
            </w:pPr>
          </w:p>
          <w:p w14:paraId="5AD4FE89" w14:textId="77777777" w:rsidR="00632913" w:rsidRPr="00FD7B0B" w:rsidRDefault="00632913" w:rsidP="00632913">
            <w:pPr>
              <w:contextualSpacing/>
              <w:jc w:val="both"/>
              <w:rPr>
                <w:rFonts w:ascii="Times New Roman" w:eastAsia="Times New Roman" w:hAnsi="Times New Roman"/>
                <w:sz w:val="20"/>
                <w:szCs w:val="20"/>
              </w:rPr>
            </w:pPr>
          </w:p>
          <w:p w14:paraId="3835BDB7" w14:textId="77777777" w:rsidR="00632913" w:rsidRPr="00FD7B0B" w:rsidRDefault="00632913" w:rsidP="00632913">
            <w:pPr>
              <w:contextualSpacing/>
              <w:jc w:val="both"/>
              <w:rPr>
                <w:rFonts w:ascii="Times New Roman" w:eastAsia="Times New Roman" w:hAnsi="Times New Roman"/>
                <w:sz w:val="20"/>
                <w:szCs w:val="20"/>
              </w:rPr>
            </w:pPr>
          </w:p>
          <w:p w14:paraId="00BBD732" w14:textId="77777777" w:rsidR="00632913" w:rsidRPr="00FD7B0B" w:rsidRDefault="00632913" w:rsidP="00632913">
            <w:pPr>
              <w:contextualSpacing/>
              <w:jc w:val="both"/>
              <w:rPr>
                <w:rFonts w:ascii="Times New Roman" w:eastAsia="Times New Roman" w:hAnsi="Times New Roman"/>
                <w:sz w:val="20"/>
                <w:szCs w:val="20"/>
              </w:rPr>
            </w:pPr>
          </w:p>
          <w:p w14:paraId="413B581B" w14:textId="77777777" w:rsidR="00632913" w:rsidRPr="00FD7B0B" w:rsidRDefault="00632913" w:rsidP="00632913">
            <w:pPr>
              <w:contextualSpacing/>
              <w:jc w:val="both"/>
              <w:rPr>
                <w:rFonts w:ascii="Times New Roman" w:eastAsia="Times New Roman" w:hAnsi="Times New Roman"/>
                <w:sz w:val="20"/>
                <w:szCs w:val="20"/>
              </w:rPr>
            </w:pPr>
          </w:p>
          <w:p w14:paraId="1CAFCD77" w14:textId="77777777" w:rsidR="00632913" w:rsidRPr="00FD7B0B" w:rsidRDefault="00632913" w:rsidP="00632913">
            <w:pPr>
              <w:contextualSpacing/>
              <w:jc w:val="both"/>
              <w:rPr>
                <w:rFonts w:ascii="Times New Roman" w:eastAsia="Times New Roman" w:hAnsi="Times New Roman"/>
                <w:sz w:val="20"/>
                <w:szCs w:val="20"/>
              </w:rPr>
            </w:pPr>
          </w:p>
          <w:p w14:paraId="1F6A2261" w14:textId="77777777" w:rsidR="00632913" w:rsidRPr="00FD7B0B" w:rsidRDefault="00632913" w:rsidP="00632913">
            <w:pPr>
              <w:contextualSpacing/>
              <w:jc w:val="both"/>
              <w:rPr>
                <w:rFonts w:ascii="Times New Roman" w:eastAsia="Times New Roman" w:hAnsi="Times New Roman"/>
                <w:sz w:val="20"/>
                <w:szCs w:val="20"/>
              </w:rPr>
            </w:pPr>
          </w:p>
          <w:p w14:paraId="45B5960A" w14:textId="77777777" w:rsidR="00632913" w:rsidRPr="00FD7B0B" w:rsidRDefault="00632913" w:rsidP="00632913">
            <w:pPr>
              <w:contextualSpacing/>
              <w:jc w:val="both"/>
              <w:rPr>
                <w:rFonts w:ascii="Times New Roman" w:eastAsia="Times New Roman" w:hAnsi="Times New Roman"/>
                <w:sz w:val="20"/>
                <w:szCs w:val="20"/>
              </w:rPr>
            </w:pPr>
          </w:p>
          <w:p w14:paraId="46BC448B" w14:textId="77777777" w:rsidR="00632913" w:rsidRPr="00FD7B0B" w:rsidRDefault="00632913" w:rsidP="00632913">
            <w:pPr>
              <w:contextualSpacing/>
              <w:jc w:val="both"/>
              <w:rPr>
                <w:rFonts w:ascii="Times New Roman" w:eastAsia="Times New Roman" w:hAnsi="Times New Roman"/>
                <w:sz w:val="20"/>
                <w:szCs w:val="20"/>
              </w:rPr>
            </w:pPr>
            <w:r w:rsidRPr="00FD7B0B">
              <w:rPr>
                <w:rFonts w:ascii="Times New Roman" w:eastAsia="Times New Roman" w:hAnsi="Times New Roman"/>
                <w:sz w:val="20"/>
                <w:szCs w:val="20"/>
              </w:rPr>
              <w:t>Целевые показатели отсутствуют.</w:t>
            </w:r>
          </w:p>
          <w:p w14:paraId="3F9E535A" w14:textId="77777777" w:rsidR="00632913" w:rsidRPr="00FD7B0B" w:rsidRDefault="00632913" w:rsidP="00632913">
            <w:pPr>
              <w:contextualSpacing/>
              <w:jc w:val="both"/>
              <w:rPr>
                <w:rFonts w:ascii="Times New Roman" w:eastAsia="Times New Roman" w:hAnsi="Times New Roman"/>
                <w:sz w:val="20"/>
                <w:szCs w:val="20"/>
              </w:rPr>
            </w:pPr>
          </w:p>
          <w:p w14:paraId="37F068C8" w14:textId="77777777" w:rsidR="00632913" w:rsidRPr="00FD7B0B" w:rsidRDefault="00632913" w:rsidP="00632913">
            <w:pPr>
              <w:contextualSpacing/>
              <w:jc w:val="both"/>
              <w:rPr>
                <w:rFonts w:ascii="Times New Roman" w:eastAsia="Times New Roman" w:hAnsi="Times New Roman"/>
                <w:sz w:val="20"/>
                <w:szCs w:val="20"/>
              </w:rPr>
            </w:pPr>
          </w:p>
          <w:p w14:paraId="1CF08644" w14:textId="77777777" w:rsidR="00632913" w:rsidRPr="00FD7B0B" w:rsidRDefault="00632913" w:rsidP="00632913">
            <w:pPr>
              <w:contextualSpacing/>
              <w:jc w:val="both"/>
              <w:rPr>
                <w:rFonts w:ascii="Times New Roman" w:eastAsia="Times New Roman" w:hAnsi="Times New Roman"/>
                <w:sz w:val="20"/>
                <w:szCs w:val="20"/>
              </w:rPr>
            </w:pPr>
          </w:p>
          <w:p w14:paraId="224AEF1D" w14:textId="77777777" w:rsidR="00632913" w:rsidRPr="00FD7B0B" w:rsidRDefault="00632913" w:rsidP="00632913">
            <w:pPr>
              <w:contextualSpacing/>
              <w:jc w:val="both"/>
              <w:rPr>
                <w:rFonts w:ascii="Times New Roman" w:eastAsia="Times New Roman" w:hAnsi="Times New Roman"/>
                <w:sz w:val="20"/>
                <w:szCs w:val="20"/>
              </w:rPr>
            </w:pPr>
            <w:r w:rsidRPr="00FD7B0B">
              <w:rPr>
                <w:rFonts w:ascii="Times New Roman" w:eastAsia="Times New Roman" w:hAnsi="Times New Roman"/>
                <w:sz w:val="20"/>
                <w:szCs w:val="20"/>
              </w:rPr>
              <w:t>Целевые показатели отсутствуют.</w:t>
            </w:r>
          </w:p>
        </w:tc>
      </w:tr>
    </w:tbl>
    <w:p w14:paraId="08A863C2"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p>
    <w:p w14:paraId="3F07AFD7" w14:textId="4DB230E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течение года два целевых показателя подверглись корректировке. Сведения об изменении целевых показателей представлены в таблице </w:t>
      </w:r>
      <w:r w:rsidR="00905118" w:rsidRPr="00FD7B0B">
        <w:rPr>
          <w:rFonts w:ascii="Times New Roman" w:eastAsia="Times New Roman" w:hAnsi="Times New Roman" w:cs="Times New Roman"/>
          <w:sz w:val="28"/>
          <w:szCs w:val="28"/>
          <w:lang w:eastAsia="ru-RU"/>
        </w:rPr>
        <w:t>93</w:t>
      </w:r>
      <w:r w:rsidRPr="00FD7B0B">
        <w:rPr>
          <w:rFonts w:ascii="Times New Roman" w:eastAsia="Times New Roman" w:hAnsi="Times New Roman" w:cs="Times New Roman"/>
          <w:sz w:val="28"/>
          <w:szCs w:val="28"/>
          <w:lang w:eastAsia="ru-RU"/>
        </w:rPr>
        <w:t>.</w:t>
      </w:r>
    </w:p>
    <w:p w14:paraId="24F1A4F2" w14:textId="77777777" w:rsidR="00632913" w:rsidRPr="00FD7B0B" w:rsidRDefault="00632913" w:rsidP="00632913">
      <w:pPr>
        <w:spacing w:after="0" w:line="240" w:lineRule="auto"/>
        <w:rPr>
          <w:rFonts w:ascii="Times New Roman" w:eastAsia="Times New Roman" w:hAnsi="Times New Roman" w:cs="Times New Roman"/>
          <w:bCs/>
          <w:sz w:val="24"/>
          <w:szCs w:val="24"/>
        </w:rPr>
      </w:pPr>
    </w:p>
    <w:p w14:paraId="6551A995" w14:textId="232B74E4" w:rsidR="00632913" w:rsidRPr="00FD7B0B" w:rsidRDefault="00E95352" w:rsidP="00E95352">
      <w:pPr>
        <w:spacing w:after="0" w:line="240" w:lineRule="auto"/>
        <w:rPr>
          <w:rFonts w:ascii="Times New Roman" w:eastAsia="Times New Roman" w:hAnsi="Times New Roman" w:cs="Times New Roman"/>
          <w:sz w:val="28"/>
          <w:szCs w:val="28"/>
          <w:lang w:eastAsia="ru-RU"/>
        </w:rPr>
      </w:pPr>
      <w:r w:rsidRPr="00FD7B0B">
        <w:rPr>
          <w:rFonts w:ascii="Times New Roman" w:eastAsia="Times New Roman" w:hAnsi="Times New Roman" w:cs="Times New Roman"/>
          <w:bCs/>
          <w:sz w:val="24"/>
          <w:szCs w:val="24"/>
        </w:rPr>
        <w:t xml:space="preserve">Таблица </w:t>
      </w:r>
      <w:r w:rsidRPr="00FD7B0B">
        <w:rPr>
          <w:rFonts w:ascii="Times New Roman" w:eastAsia="Times New Roman" w:hAnsi="Times New Roman" w:cs="Times New Roman"/>
          <w:bCs/>
          <w:sz w:val="24"/>
          <w:szCs w:val="24"/>
        </w:rPr>
        <w:fldChar w:fldCharType="begin"/>
      </w:r>
      <w:r w:rsidRPr="00FD7B0B">
        <w:rPr>
          <w:rFonts w:ascii="Times New Roman" w:eastAsia="Times New Roman" w:hAnsi="Times New Roman" w:cs="Times New Roman"/>
          <w:bCs/>
          <w:sz w:val="24"/>
          <w:szCs w:val="24"/>
        </w:rPr>
        <w:instrText xml:space="preserve"> SEQ Таблица \* ARABIC </w:instrText>
      </w:r>
      <w:r w:rsidRPr="00FD7B0B">
        <w:rPr>
          <w:rFonts w:ascii="Times New Roman" w:eastAsia="Times New Roman" w:hAnsi="Times New Roman" w:cs="Times New Roman"/>
          <w:bCs/>
          <w:sz w:val="24"/>
          <w:szCs w:val="24"/>
        </w:rPr>
        <w:fldChar w:fldCharType="separate"/>
      </w:r>
      <w:r w:rsidR="002959CD" w:rsidRPr="00FD7B0B">
        <w:rPr>
          <w:rFonts w:ascii="Times New Roman" w:eastAsia="Times New Roman" w:hAnsi="Times New Roman" w:cs="Times New Roman"/>
          <w:bCs/>
          <w:noProof/>
          <w:sz w:val="24"/>
          <w:szCs w:val="24"/>
        </w:rPr>
        <w:t>93</w:t>
      </w:r>
      <w:r w:rsidRPr="00FD7B0B">
        <w:rPr>
          <w:rFonts w:ascii="Times New Roman" w:eastAsia="Times New Roman" w:hAnsi="Times New Roman" w:cs="Times New Roman"/>
          <w:bCs/>
          <w:sz w:val="24"/>
          <w:szCs w:val="24"/>
        </w:rPr>
        <w:fldChar w:fldCharType="end"/>
      </w:r>
      <w:r w:rsidRPr="00FD7B0B">
        <w:rPr>
          <w:rFonts w:ascii="Times New Roman" w:eastAsia="Times New Roman" w:hAnsi="Times New Roman" w:cs="Times New Roman"/>
          <w:bCs/>
          <w:sz w:val="24"/>
          <w:szCs w:val="24"/>
        </w:rPr>
        <w:t xml:space="preserve">. </w:t>
      </w:r>
      <w:r w:rsidR="00632913" w:rsidRPr="00FD7B0B">
        <w:rPr>
          <w:rFonts w:ascii="Times New Roman" w:eastAsia="Times New Roman" w:hAnsi="Times New Roman" w:cs="Times New Roman"/>
          <w:bCs/>
          <w:sz w:val="24"/>
          <w:szCs w:val="24"/>
        </w:rPr>
        <w:t>Сведения об изменении целевых показателей реализации мероприятий ГП № 02 в 2024 году</w:t>
      </w:r>
    </w:p>
    <w:tbl>
      <w:tblPr>
        <w:tblW w:w="962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521"/>
        <w:gridCol w:w="993"/>
        <w:gridCol w:w="992"/>
        <w:gridCol w:w="850"/>
        <w:gridCol w:w="2268"/>
      </w:tblGrid>
      <w:tr w:rsidR="00FD7B0B" w:rsidRPr="00FD7B0B" w14:paraId="2EA96342" w14:textId="77777777" w:rsidTr="00E95352">
        <w:trPr>
          <w:trHeight w:val="493"/>
          <w:tblHeader/>
        </w:trPr>
        <w:tc>
          <w:tcPr>
            <w:tcW w:w="4521" w:type="dxa"/>
            <w:shd w:val="clear" w:color="auto" w:fill="auto"/>
            <w:vAlign w:val="center"/>
            <w:hideMark/>
          </w:tcPr>
          <w:p w14:paraId="08E3B8E3" w14:textId="77777777" w:rsidR="00632913" w:rsidRPr="00FD7B0B" w:rsidRDefault="00632913" w:rsidP="00E9535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Наименование целевого показателя, единица измерения</w:t>
            </w:r>
          </w:p>
        </w:tc>
        <w:tc>
          <w:tcPr>
            <w:tcW w:w="993" w:type="dxa"/>
            <w:shd w:val="clear" w:color="auto" w:fill="auto"/>
            <w:vAlign w:val="center"/>
            <w:hideMark/>
          </w:tcPr>
          <w:p w14:paraId="23388454" w14:textId="77777777" w:rsidR="00632913" w:rsidRPr="00FD7B0B" w:rsidRDefault="00632913" w:rsidP="00E9535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ГП АО в ред. на 01.01.2024</w:t>
            </w:r>
          </w:p>
        </w:tc>
        <w:tc>
          <w:tcPr>
            <w:tcW w:w="992" w:type="dxa"/>
            <w:shd w:val="clear" w:color="auto" w:fill="auto"/>
            <w:vAlign w:val="center"/>
            <w:hideMark/>
          </w:tcPr>
          <w:p w14:paraId="4A395645" w14:textId="77777777" w:rsidR="00632913" w:rsidRPr="00FD7B0B" w:rsidRDefault="00632913" w:rsidP="00E9535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ГП АО в ред. на 01.01.2025</w:t>
            </w:r>
          </w:p>
        </w:tc>
        <w:tc>
          <w:tcPr>
            <w:tcW w:w="850" w:type="dxa"/>
            <w:shd w:val="clear" w:color="auto" w:fill="auto"/>
            <w:vAlign w:val="center"/>
            <w:hideMark/>
          </w:tcPr>
          <w:p w14:paraId="14AF610C" w14:textId="77777777" w:rsidR="00632913" w:rsidRPr="00FD7B0B" w:rsidRDefault="00632913" w:rsidP="00E9535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Изменение, +/-</w:t>
            </w:r>
          </w:p>
        </w:tc>
        <w:tc>
          <w:tcPr>
            <w:tcW w:w="2268" w:type="dxa"/>
            <w:shd w:val="clear" w:color="auto" w:fill="auto"/>
            <w:vAlign w:val="center"/>
            <w:hideMark/>
          </w:tcPr>
          <w:p w14:paraId="272AC3E1" w14:textId="77777777" w:rsidR="00632913" w:rsidRPr="00FD7B0B" w:rsidRDefault="00632913" w:rsidP="00E9535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Причины</w:t>
            </w:r>
          </w:p>
        </w:tc>
      </w:tr>
      <w:tr w:rsidR="00FD7B0B" w:rsidRPr="00FD7B0B" w14:paraId="017933BD" w14:textId="77777777" w:rsidTr="00E95352">
        <w:trPr>
          <w:trHeight w:val="229"/>
        </w:trPr>
        <w:tc>
          <w:tcPr>
            <w:tcW w:w="4521" w:type="dxa"/>
            <w:shd w:val="clear" w:color="auto" w:fill="auto"/>
            <w:vAlign w:val="center"/>
          </w:tcPr>
          <w:p w14:paraId="3351B09F"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b/>
                <w:sz w:val="18"/>
                <w:szCs w:val="18"/>
                <w:lang w:eastAsia="ru-RU"/>
              </w:rPr>
              <w:t>РП «Цифровая образовательная среда»</w:t>
            </w:r>
          </w:p>
        </w:tc>
        <w:tc>
          <w:tcPr>
            <w:tcW w:w="993" w:type="dxa"/>
            <w:shd w:val="clear" w:color="auto" w:fill="auto"/>
            <w:vAlign w:val="center"/>
          </w:tcPr>
          <w:p w14:paraId="5FF18ED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p>
        </w:tc>
        <w:tc>
          <w:tcPr>
            <w:tcW w:w="992" w:type="dxa"/>
            <w:shd w:val="clear" w:color="auto" w:fill="auto"/>
            <w:vAlign w:val="center"/>
          </w:tcPr>
          <w:p w14:paraId="5101A81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p>
        </w:tc>
        <w:tc>
          <w:tcPr>
            <w:tcW w:w="850" w:type="dxa"/>
            <w:shd w:val="clear" w:color="auto" w:fill="auto"/>
            <w:vAlign w:val="center"/>
          </w:tcPr>
          <w:p w14:paraId="479A805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p>
        </w:tc>
        <w:tc>
          <w:tcPr>
            <w:tcW w:w="2268" w:type="dxa"/>
            <w:shd w:val="clear" w:color="auto" w:fill="auto"/>
            <w:vAlign w:val="center"/>
          </w:tcPr>
          <w:p w14:paraId="0D39E7A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r>
      <w:tr w:rsidR="00FD7B0B" w:rsidRPr="00FD7B0B" w14:paraId="7FADAA99" w14:textId="77777777" w:rsidTr="00E95352">
        <w:trPr>
          <w:trHeight w:val="262"/>
        </w:trPr>
        <w:tc>
          <w:tcPr>
            <w:tcW w:w="4521" w:type="dxa"/>
            <w:shd w:val="clear" w:color="auto" w:fill="auto"/>
            <w:vAlign w:val="center"/>
            <w:hideMark/>
          </w:tcPr>
          <w:p w14:paraId="21C2780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общеобразовательных организаций, оснащенных в целях внедрения цифровой образовательной среды, возрастающий</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2ADD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sz w:val="18"/>
                <w:szCs w:val="18"/>
              </w:rPr>
              <w:t>83,13</w:t>
            </w:r>
          </w:p>
        </w:tc>
        <w:tc>
          <w:tcPr>
            <w:tcW w:w="992" w:type="dxa"/>
            <w:tcBorders>
              <w:top w:val="nil"/>
              <w:left w:val="nil"/>
              <w:bottom w:val="nil"/>
              <w:right w:val="nil"/>
            </w:tcBorders>
            <w:shd w:val="clear" w:color="auto" w:fill="auto"/>
            <w:vAlign w:val="center"/>
            <w:hideMark/>
          </w:tcPr>
          <w:p w14:paraId="7C549AA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sz w:val="18"/>
                <w:szCs w:val="18"/>
              </w:rPr>
              <w:t>85,7595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384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sz w:val="18"/>
                <w:szCs w:val="18"/>
              </w:rPr>
              <w:t>2,6295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46DF4D84"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hAnsi="Times New Roman" w:cs="Times New Roman"/>
                <w:sz w:val="18"/>
                <w:szCs w:val="18"/>
              </w:rPr>
              <w:t xml:space="preserve">В связи с изменением общего количества </w:t>
            </w:r>
            <w:r w:rsidRPr="00FD7B0B">
              <w:rPr>
                <w:rFonts w:ascii="Times New Roman" w:hAnsi="Times New Roman" w:cs="Times New Roman"/>
                <w:sz w:val="18"/>
                <w:szCs w:val="18"/>
              </w:rPr>
              <w:lastRenderedPageBreak/>
              <w:t>общеобразовательных организаций</w:t>
            </w:r>
          </w:p>
        </w:tc>
      </w:tr>
      <w:tr w:rsidR="00FD7B0B" w:rsidRPr="00FD7B0B" w14:paraId="59BE4E07" w14:textId="77777777" w:rsidTr="00905118">
        <w:trPr>
          <w:trHeight w:val="83"/>
        </w:trPr>
        <w:tc>
          <w:tcPr>
            <w:tcW w:w="4521" w:type="dxa"/>
            <w:shd w:val="clear" w:color="auto" w:fill="auto"/>
            <w:vAlign w:val="center"/>
          </w:tcPr>
          <w:p w14:paraId="4476B42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hAnsi="Times New Roman"/>
                <w:b/>
                <w:sz w:val="18"/>
                <w:szCs w:val="18"/>
                <w:lang w:eastAsia="ru-RU"/>
              </w:rPr>
              <w:lastRenderedPageBreak/>
              <w:t>РП «Модернизация школьных систем образования»</w:t>
            </w:r>
          </w:p>
        </w:tc>
        <w:tc>
          <w:tcPr>
            <w:tcW w:w="993" w:type="dxa"/>
            <w:shd w:val="clear" w:color="auto" w:fill="auto"/>
            <w:vAlign w:val="center"/>
          </w:tcPr>
          <w:p w14:paraId="18E93C4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p>
        </w:tc>
        <w:tc>
          <w:tcPr>
            <w:tcW w:w="992" w:type="dxa"/>
            <w:shd w:val="clear" w:color="auto" w:fill="auto"/>
            <w:vAlign w:val="center"/>
          </w:tcPr>
          <w:p w14:paraId="46B9D43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p>
        </w:tc>
        <w:tc>
          <w:tcPr>
            <w:tcW w:w="850" w:type="dxa"/>
            <w:shd w:val="clear" w:color="auto" w:fill="auto"/>
            <w:vAlign w:val="center"/>
          </w:tcPr>
          <w:p w14:paraId="620F482D"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p>
        </w:tc>
        <w:tc>
          <w:tcPr>
            <w:tcW w:w="2268" w:type="dxa"/>
            <w:shd w:val="clear" w:color="auto" w:fill="auto"/>
            <w:vAlign w:val="center"/>
          </w:tcPr>
          <w:p w14:paraId="7F50CC65"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r>
      <w:tr w:rsidR="00632913" w:rsidRPr="00FD7B0B" w14:paraId="12401ECB" w14:textId="77777777" w:rsidTr="00E95352">
        <w:trPr>
          <w:trHeight w:val="499"/>
        </w:trPr>
        <w:tc>
          <w:tcPr>
            <w:tcW w:w="4521" w:type="dxa"/>
            <w:shd w:val="clear" w:color="auto" w:fill="auto"/>
            <w:vAlign w:val="center"/>
            <w:hideMark/>
          </w:tcPr>
          <w:p w14:paraId="74C44ED0"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учащихся в общеобразовательных организациях, в которых улучшены условия осуществления образовательного процесса, в том числе выполнен капитальный ремонт зданий (обособленных помещений)</w:t>
            </w:r>
          </w:p>
        </w:tc>
        <w:tc>
          <w:tcPr>
            <w:tcW w:w="993" w:type="dxa"/>
            <w:shd w:val="clear" w:color="auto" w:fill="auto"/>
            <w:vAlign w:val="center"/>
            <w:hideMark/>
          </w:tcPr>
          <w:p w14:paraId="2A106D7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17</w:t>
            </w:r>
          </w:p>
        </w:tc>
        <w:tc>
          <w:tcPr>
            <w:tcW w:w="992" w:type="dxa"/>
            <w:shd w:val="clear" w:color="auto" w:fill="auto"/>
            <w:vAlign w:val="center"/>
            <w:hideMark/>
          </w:tcPr>
          <w:p w14:paraId="534410E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w:t>
            </w:r>
          </w:p>
        </w:tc>
        <w:tc>
          <w:tcPr>
            <w:tcW w:w="850" w:type="dxa"/>
            <w:shd w:val="clear" w:color="auto" w:fill="auto"/>
            <w:vAlign w:val="center"/>
            <w:hideMark/>
          </w:tcPr>
          <w:p w14:paraId="754A0B6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w:t>
            </w:r>
          </w:p>
        </w:tc>
        <w:tc>
          <w:tcPr>
            <w:tcW w:w="2268" w:type="dxa"/>
            <w:shd w:val="clear" w:color="auto" w:fill="auto"/>
            <w:vAlign w:val="center"/>
            <w:hideMark/>
          </w:tcPr>
          <w:p w14:paraId="34A3FD7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перенос сроков завершения капитального ремонта по 4 объектам на 2025 год </w:t>
            </w:r>
          </w:p>
        </w:tc>
      </w:tr>
    </w:tbl>
    <w:p w14:paraId="40EA13AF"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p>
    <w:p w14:paraId="6F01F46B"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приложении № 2 к проекту отчета, сведения о достижении целевых показателей госпрограммы № 02 и структурных элементов, входящих в ее состав по итогам 2024 года, отсутствует информация о достижении фактических значений по 9 показателям, что не позволяет рассматривать представленные сведения как полноценные отчетные данные.</w:t>
      </w:r>
    </w:p>
    <w:p w14:paraId="390A9087"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Информация о выполнении целевых показателей, утвержденных на уровне госпрограммы в целом и структурных элементов подготовлена на основании данных полученных на запрос КСП АО</w:t>
      </w:r>
      <w:r w:rsidRPr="00FD7B0B">
        <w:rPr>
          <w:rStyle w:val="afff1"/>
          <w:rFonts w:ascii="Times New Roman" w:eastAsia="Times New Roman" w:hAnsi="Times New Roman" w:cs="Times New Roman"/>
          <w:sz w:val="28"/>
          <w:szCs w:val="28"/>
          <w:lang w:eastAsia="ru-RU"/>
        </w:rPr>
        <w:footnoteReference w:id="29"/>
      </w:r>
      <w:r w:rsidRPr="00FD7B0B">
        <w:rPr>
          <w:rFonts w:ascii="Times New Roman" w:eastAsia="Times New Roman" w:hAnsi="Times New Roman" w:cs="Times New Roman"/>
          <w:sz w:val="28"/>
          <w:szCs w:val="28"/>
          <w:lang w:eastAsia="ru-RU"/>
        </w:rPr>
        <w:t xml:space="preserve"> и представлена в таблице ниже:</w:t>
      </w:r>
    </w:p>
    <w:tbl>
      <w:tblPr>
        <w:tblW w:w="962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5230"/>
        <w:gridCol w:w="1418"/>
        <w:gridCol w:w="850"/>
        <w:gridCol w:w="851"/>
        <w:gridCol w:w="1275"/>
      </w:tblGrid>
      <w:tr w:rsidR="00FD7B0B" w:rsidRPr="00FD7B0B" w14:paraId="5C46EA10" w14:textId="77777777" w:rsidTr="004828EF">
        <w:trPr>
          <w:trHeight w:val="511"/>
          <w:tblHeader/>
        </w:trPr>
        <w:tc>
          <w:tcPr>
            <w:tcW w:w="5230" w:type="dxa"/>
            <w:shd w:val="clear" w:color="auto" w:fill="auto"/>
            <w:vAlign w:val="center"/>
            <w:hideMark/>
          </w:tcPr>
          <w:p w14:paraId="655754FF"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целевого показателя, единица измерения</w:t>
            </w:r>
          </w:p>
        </w:tc>
        <w:tc>
          <w:tcPr>
            <w:tcW w:w="1418" w:type="dxa"/>
            <w:shd w:val="clear" w:color="auto" w:fill="auto"/>
            <w:vAlign w:val="center"/>
            <w:hideMark/>
          </w:tcPr>
          <w:p w14:paraId="62649F30"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Ответственный исполнитель</w:t>
            </w:r>
          </w:p>
        </w:tc>
        <w:tc>
          <w:tcPr>
            <w:tcW w:w="850" w:type="dxa"/>
            <w:shd w:val="clear" w:color="auto" w:fill="auto"/>
            <w:vAlign w:val="center"/>
            <w:hideMark/>
          </w:tcPr>
          <w:p w14:paraId="493BEB80"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851" w:type="dxa"/>
            <w:shd w:val="clear" w:color="auto" w:fill="auto"/>
            <w:vAlign w:val="center"/>
            <w:hideMark/>
          </w:tcPr>
          <w:p w14:paraId="1AC65908"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w:t>
            </w:r>
          </w:p>
        </w:tc>
        <w:tc>
          <w:tcPr>
            <w:tcW w:w="1275" w:type="dxa"/>
            <w:shd w:val="clear" w:color="auto" w:fill="auto"/>
            <w:vAlign w:val="center"/>
            <w:hideMark/>
          </w:tcPr>
          <w:p w14:paraId="46523EFA"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r>
      <w:tr w:rsidR="00FD7B0B" w:rsidRPr="00FD7B0B" w14:paraId="74F2B6C0" w14:textId="77777777" w:rsidTr="004828EF">
        <w:trPr>
          <w:trHeight w:val="83"/>
        </w:trPr>
        <w:tc>
          <w:tcPr>
            <w:tcW w:w="5230" w:type="dxa"/>
            <w:shd w:val="clear" w:color="auto" w:fill="auto"/>
            <w:vAlign w:val="center"/>
            <w:hideMark/>
          </w:tcPr>
          <w:p w14:paraId="278E6193"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w:t>
            </w:r>
          </w:p>
        </w:tc>
        <w:tc>
          <w:tcPr>
            <w:tcW w:w="1418" w:type="dxa"/>
            <w:shd w:val="clear" w:color="auto" w:fill="auto"/>
            <w:vAlign w:val="center"/>
            <w:hideMark/>
          </w:tcPr>
          <w:p w14:paraId="1C41FE40"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Б</w:t>
            </w:r>
          </w:p>
        </w:tc>
        <w:tc>
          <w:tcPr>
            <w:tcW w:w="850" w:type="dxa"/>
            <w:shd w:val="clear" w:color="auto" w:fill="auto"/>
            <w:vAlign w:val="center"/>
            <w:hideMark/>
          </w:tcPr>
          <w:p w14:paraId="2AC3996B"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851" w:type="dxa"/>
            <w:shd w:val="clear" w:color="auto" w:fill="auto"/>
            <w:vAlign w:val="center"/>
            <w:hideMark/>
          </w:tcPr>
          <w:p w14:paraId="2CE1723E"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1275" w:type="dxa"/>
            <w:shd w:val="clear" w:color="auto" w:fill="auto"/>
            <w:vAlign w:val="center"/>
            <w:hideMark/>
          </w:tcPr>
          <w:p w14:paraId="5FE87C3A"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3=2-1</w:t>
            </w:r>
          </w:p>
        </w:tc>
      </w:tr>
      <w:tr w:rsidR="00FD7B0B" w:rsidRPr="00FD7B0B" w14:paraId="7973DA6B" w14:textId="77777777" w:rsidTr="004828EF">
        <w:trPr>
          <w:trHeight w:val="38"/>
        </w:trPr>
        <w:tc>
          <w:tcPr>
            <w:tcW w:w="9624" w:type="dxa"/>
            <w:gridSpan w:val="5"/>
            <w:shd w:val="clear" w:color="auto" w:fill="auto"/>
            <w:vAlign w:val="center"/>
            <w:hideMark/>
          </w:tcPr>
          <w:p w14:paraId="1E59E35B" w14:textId="77777777" w:rsidR="00632913" w:rsidRPr="00FD7B0B" w:rsidRDefault="00632913" w:rsidP="00632913">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Государственная программа «Развитие образования и науки Архангельской области»</w:t>
            </w:r>
          </w:p>
        </w:tc>
      </w:tr>
      <w:tr w:rsidR="00FD7B0B" w:rsidRPr="00FD7B0B" w14:paraId="55CD8435" w14:textId="77777777" w:rsidTr="00632913">
        <w:trPr>
          <w:trHeight w:val="930"/>
        </w:trPr>
        <w:tc>
          <w:tcPr>
            <w:tcW w:w="5230" w:type="dxa"/>
            <w:shd w:val="clear" w:color="000000" w:fill="DCE6F1"/>
            <w:vAlign w:val="center"/>
            <w:hideMark/>
          </w:tcPr>
          <w:p w14:paraId="6C8F3C3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выпускников, освоивших образовательные программы среднего общего образования и успешно прошедших государственную итоговую аттестацию по образовательным программам среднего общего образования и получивших аттестат о среднем общем образовании</w:t>
            </w:r>
          </w:p>
        </w:tc>
        <w:tc>
          <w:tcPr>
            <w:tcW w:w="1418" w:type="dxa"/>
            <w:vMerge w:val="restart"/>
            <w:shd w:val="clear" w:color="auto" w:fill="auto"/>
            <w:vAlign w:val="center"/>
            <w:hideMark/>
          </w:tcPr>
          <w:p w14:paraId="4E0537C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3939E9F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7DD1A1A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6E33D70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29CE9B7B" w14:textId="77777777" w:rsidTr="00632913">
        <w:trPr>
          <w:trHeight w:val="198"/>
        </w:trPr>
        <w:tc>
          <w:tcPr>
            <w:tcW w:w="5230" w:type="dxa"/>
            <w:shd w:val="clear" w:color="auto" w:fill="auto"/>
            <w:vAlign w:val="center"/>
            <w:hideMark/>
          </w:tcPr>
          <w:p w14:paraId="4855BC8C"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1C2F11C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54CA3E6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99,2</w:t>
            </w:r>
          </w:p>
        </w:tc>
        <w:tc>
          <w:tcPr>
            <w:tcW w:w="851" w:type="dxa"/>
            <w:shd w:val="clear" w:color="auto" w:fill="auto"/>
            <w:vAlign w:val="center"/>
            <w:hideMark/>
          </w:tcPr>
          <w:p w14:paraId="6DCA102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98,9</w:t>
            </w:r>
          </w:p>
        </w:tc>
        <w:tc>
          <w:tcPr>
            <w:tcW w:w="1275" w:type="dxa"/>
            <w:shd w:val="clear" w:color="auto" w:fill="auto"/>
            <w:vAlign w:val="center"/>
            <w:hideMark/>
          </w:tcPr>
          <w:p w14:paraId="7BDB5EB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-0,3</w:t>
            </w:r>
          </w:p>
        </w:tc>
      </w:tr>
      <w:tr w:rsidR="00FD7B0B" w:rsidRPr="00FD7B0B" w14:paraId="51DA7018" w14:textId="77777777" w:rsidTr="00632913">
        <w:trPr>
          <w:trHeight w:val="198"/>
        </w:trPr>
        <w:tc>
          <w:tcPr>
            <w:tcW w:w="5230" w:type="dxa"/>
            <w:shd w:val="clear" w:color="auto" w:fill="auto"/>
            <w:vAlign w:val="center"/>
            <w:hideMark/>
          </w:tcPr>
          <w:p w14:paraId="762F8C4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192594C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51C8677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99,2</w:t>
            </w:r>
          </w:p>
        </w:tc>
        <w:tc>
          <w:tcPr>
            <w:tcW w:w="851" w:type="dxa"/>
            <w:shd w:val="clear" w:color="auto" w:fill="auto"/>
            <w:vAlign w:val="center"/>
            <w:hideMark/>
          </w:tcPr>
          <w:p w14:paraId="1036E2C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99,4</w:t>
            </w:r>
          </w:p>
        </w:tc>
        <w:tc>
          <w:tcPr>
            <w:tcW w:w="1275" w:type="dxa"/>
            <w:shd w:val="clear" w:color="auto" w:fill="auto"/>
            <w:vAlign w:val="center"/>
            <w:hideMark/>
          </w:tcPr>
          <w:p w14:paraId="24A7BBC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0,2</w:t>
            </w:r>
          </w:p>
        </w:tc>
      </w:tr>
      <w:tr w:rsidR="00FD7B0B" w:rsidRPr="00FD7B0B" w14:paraId="66C19004" w14:textId="77777777" w:rsidTr="00632913">
        <w:trPr>
          <w:trHeight w:val="198"/>
        </w:trPr>
        <w:tc>
          <w:tcPr>
            <w:tcW w:w="5230" w:type="dxa"/>
            <w:shd w:val="clear" w:color="auto" w:fill="auto"/>
            <w:vAlign w:val="center"/>
            <w:hideMark/>
          </w:tcPr>
          <w:p w14:paraId="440B1D2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2025 год (текущий год)</w:t>
            </w:r>
          </w:p>
        </w:tc>
        <w:tc>
          <w:tcPr>
            <w:tcW w:w="1418" w:type="dxa"/>
            <w:vMerge/>
            <w:vAlign w:val="center"/>
            <w:hideMark/>
          </w:tcPr>
          <w:p w14:paraId="796AA2E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0AF97A0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99,2</w:t>
            </w:r>
          </w:p>
        </w:tc>
        <w:tc>
          <w:tcPr>
            <w:tcW w:w="851" w:type="dxa"/>
            <w:shd w:val="clear" w:color="auto" w:fill="auto"/>
            <w:noWrap/>
            <w:vAlign w:val="center"/>
            <w:hideMark/>
          </w:tcPr>
          <w:p w14:paraId="1FCB11D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4C795BB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71F885F8" w14:textId="77777777" w:rsidTr="00632913">
        <w:trPr>
          <w:trHeight w:val="198"/>
        </w:trPr>
        <w:tc>
          <w:tcPr>
            <w:tcW w:w="5230" w:type="dxa"/>
            <w:shd w:val="clear" w:color="auto" w:fill="auto"/>
            <w:vAlign w:val="center"/>
            <w:hideMark/>
          </w:tcPr>
          <w:p w14:paraId="2ABEDD4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2026 год (1-й год планового периода)</w:t>
            </w:r>
          </w:p>
        </w:tc>
        <w:tc>
          <w:tcPr>
            <w:tcW w:w="1418" w:type="dxa"/>
            <w:vMerge/>
            <w:vAlign w:val="center"/>
            <w:hideMark/>
          </w:tcPr>
          <w:p w14:paraId="773C590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6130C9D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99,2</w:t>
            </w:r>
          </w:p>
        </w:tc>
        <w:tc>
          <w:tcPr>
            <w:tcW w:w="851" w:type="dxa"/>
            <w:shd w:val="clear" w:color="auto" w:fill="auto"/>
            <w:noWrap/>
            <w:vAlign w:val="center"/>
            <w:hideMark/>
          </w:tcPr>
          <w:p w14:paraId="27BB5A6D"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5988D8F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75D0E748" w14:textId="77777777" w:rsidTr="00905118">
        <w:trPr>
          <w:trHeight w:val="258"/>
        </w:trPr>
        <w:tc>
          <w:tcPr>
            <w:tcW w:w="5230" w:type="dxa"/>
            <w:shd w:val="clear" w:color="000000" w:fill="DCE6F1"/>
            <w:vAlign w:val="center"/>
            <w:hideMark/>
          </w:tcPr>
          <w:p w14:paraId="6638802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Удовлетворенность населения качеством общего и дополнительного образования детей Архангельской области</w:t>
            </w:r>
          </w:p>
        </w:tc>
        <w:tc>
          <w:tcPr>
            <w:tcW w:w="1418" w:type="dxa"/>
            <w:vMerge w:val="restart"/>
            <w:shd w:val="clear" w:color="auto" w:fill="auto"/>
            <w:vAlign w:val="center"/>
            <w:hideMark/>
          </w:tcPr>
          <w:p w14:paraId="2099BBE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44C95A7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7B9F614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2C633ABB"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13721DB3" w14:textId="77777777" w:rsidTr="00632913">
        <w:trPr>
          <w:trHeight w:val="198"/>
        </w:trPr>
        <w:tc>
          <w:tcPr>
            <w:tcW w:w="5230" w:type="dxa"/>
            <w:shd w:val="clear" w:color="auto" w:fill="auto"/>
            <w:vAlign w:val="center"/>
            <w:hideMark/>
          </w:tcPr>
          <w:p w14:paraId="6A459CB4"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0B99A6CC"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20A087D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63,9</w:t>
            </w:r>
          </w:p>
        </w:tc>
        <w:tc>
          <w:tcPr>
            <w:tcW w:w="851" w:type="dxa"/>
            <w:shd w:val="clear" w:color="auto" w:fill="auto"/>
            <w:vAlign w:val="center"/>
            <w:hideMark/>
          </w:tcPr>
          <w:p w14:paraId="4987677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64,6</w:t>
            </w:r>
          </w:p>
        </w:tc>
        <w:tc>
          <w:tcPr>
            <w:tcW w:w="1275" w:type="dxa"/>
            <w:shd w:val="clear" w:color="auto" w:fill="auto"/>
            <w:vAlign w:val="center"/>
            <w:hideMark/>
          </w:tcPr>
          <w:p w14:paraId="6A993AD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w:t>
            </w:r>
          </w:p>
        </w:tc>
      </w:tr>
      <w:tr w:rsidR="00FD7B0B" w:rsidRPr="00FD7B0B" w14:paraId="644D0E47" w14:textId="77777777" w:rsidTr="00632913">
        <w:trPr>
          <w:trHeight w:val="198"/>
        </w:trPr>
        <w:tc>
          <w:tcPr>
            <w:tcW w:w="5230" w:type="dxa"/>
            <w:shd w:val="clear" w:color="auto" w:fill="auto"/>
            <w:vAlign w:val="center"/>
            <w:hideMark/>
          </w:tcPr>
          <w:p w14:paraId="1BEA113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7DA3B68F"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0C9F79A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64,3</w:t>
            </w:r>
          </w:p>
        </w:tc>
        <w:tc>
          <w:tcPr>
            <w:tcW w:w="851" w:type="dxa"/>
            <w:shd w:val="clear" w:color="auto" w:fill="auto"/>
            <w:vAlign w:val="center"/>
            <w:hideMark/>
          </w:tcPr>
          <w:p w14:paraId="5D0A85C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77,6</w:t>
            </w:r>
          </w:p>
        </w:tc>
        <w:tc>
          <w:tcPr>
            <w:tcW w:w="1275" w:type="dxa"/>
            <w:shd w:val="clear" w:color="auto" w:fill="auto"/>
            <w:vAlign w:val="center"/>
            <w:hideMark/>
          </w:tcPr>
          <w:p w14:paraId="77BB378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13,3</w:t>
            </w:r>
          </w:p>
        </w:tc>
      </w:tr>
      <w:tr w:rsidR="00FD7B0B" w:rsidRPr="00FD7B0B" w14:paraId="147DE534" w14:textId="77777777" w:rsidTr="00632913">
        <w:trPr>
          <w:trHeight w:val="198"/>
        </w:trPr>
        <w:tc>
          <w:tcPr>
            <w:tcW w:w="5230" w:type="dxa"/>
            <w:shd w:val="clear" w:color="auto" w:fill="auto"/>
            <w:vAlign w:val="center"/>
            <w:hideMark/>
          </w:tcPr>
          <w:p w14:paraId="7B299F7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2025 год (текущий год)</w:t>
            </w:r>
          </w:p>
        </w:tc>
        <w:tc>
          <w:tcPr>
            <w:tcW w:w="1418" w:type="dxa"/>
            <w:vMerge/>
            <w:vAlign w:val="center"/>
            <w:hideMark/>
          </w:tcPr>
          <w:p w14:paraId="06D7AB1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1ACB6BC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64,3</w:t>
            </w:r>
          </w:p>
        </w:tc>
        <w:tc>
          <w:tcPr>
            <w:tcW w:w="851" w:type="dxa"/>
            <w:shd w:val="clear" w:color="auto" w:fill="auto"/>
            <w:noWrap/>
            <w:vAlign w:val="center"/>
            <w:hideMark/>
          </w:tcPr>
          <w:p w14:paraId="08F32DC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7430F04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4C9BBFE5" w14:textId="77777777" w:rsidTr="00632913">
        <w:trPr>
          <w:trHeight w:val="198"/>
        </w:trPr>
        <w:tc>
          <w:tcPr>
            <w:tcW w:w="5230" w:type="dxa"/>
            <w:shd w:val="clear" w:color="auto" w:fill="auto"/>
            <w:vAlign w:val="center"/>
            <w:hideMark/>
          </w:tcPr>
          <w:p w14:paraId="3CCEAB7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2026 год (1-й год планового периода)</w:t>
            </w:r>
          </w:p>
        </w:tc>
        <w:tc>
          <w:tcPr>
            <w:tcW w:w="1418" w:type="dxa"/>
            <w:vMerge/>
            <w:vAlign w:val="center"/>
            <w:hideMark/>
          </w:tcPr>
          <w:p w14:paraId="5F95018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7269215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64,5</w:t>
            </w:r>
          </w:p>
        </w:tc>
        <w:tc>
          <w:tcPr>
            <w:tcW w:w="851" w:type="dxa"/>
            <w:shd w:val="clear" w:color="auto" w:fill="auto"/>
            <w:noWrap/>
            <w:vAlign w:val="center"/>
            <w:hideMark/>
          </w:tcPr>
          <w:p w14:paraId="4631CDE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7FB48D4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4C8F4740" w14:textId="77777777" w:rsidTr="00454B5B">
        <w:trPr>
          <w:trHeight w:val="79"/>
        </w:trPr>
        <w:tc>
          <w:tcPr>
            <w:tcW w:w="5230" w:type="dxa"/>
            <w:shd w:val="clear" w:color="000000" w:fill="DCE6F1"/>
            <w:vAlign w:val="center"/>
            <w:hideMark/>
          </w:tcPr>
          <w:p w14:paraId="0E1D808C" w14:textId="77777777" w:rsidR="00632913" w:rsidRPr="00FD7B0B" w:rsidRDefault="00632913" w:rsidP="00632913">
            <w:pPr>
              <w:spacing w:after="0" w:line="240" w:lineRule="auto"/>
              <w:jc w:val="both"/>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Уровень образования</w:t>
            </w:r>
          </w:p>
        </w:tc>
        <w:tc>
          <w:tcPr>
            <w:tcW w:w="1418" w:type="dxa"/>
            <w:vMerge w:val="restart"/>
            <w:shd w:val="clear" w:color="auto" w:fill="auto"/>
            <w:vAlign w:val="center"/>
            <w:hideMark/>
          </w:tcPr>
          <w:p w14:paraId="1CD931D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535A84D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52A6DD4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66830CC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08360525" w14:textId="77777777" w:rsidTr="00632913">
        <w:trPr>
          <w:trHeight w:val="198"/>
        </w:trPr>
        <w:tc>
          <w:tcPr>
            <w:tcW w:w="5230" w:type="dxa"/>
            <w:shd w:val="clear" w:color="auto" w:fill="auto"/>
            <w:vAlign w:val="center"/>
            <w:hideMark/>
          </w:tcPr>
          <w:p w14:paraId="2FAD4B3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262BB5E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75EE43D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72,21</w:t>
            </w:r>
          </w:p>
        </w:tc>
        <w:tc>
          <w:tcPr>
            <w:tcW w:w="851" w:type="dxa"/>
            <w:shd w:val="clear" w:color="auto" w:fill="auto"/>
            <w:vAlign w:val="center"/>
            <w:hideMark/>
          </w:tcPr>
          <w:p w14:paraId="50ADA90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72,21</w:t>
            </w:r>
          </w:p>
        </w:tc>
        <w:tc>
          <w:tcPr>
            <w:tcW w:w="1275" w:type="dxa"/>
            <w:shd w:val="clear" w:color="auto" w:fill="auto"/>
            <w:vAlign w:val="center"/>
            <w:hideMark/>
          </w:tcPr>
          <w:p w14:paraId="31398F2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r w:rsidR="00FD7B0B" w:rsidRPr="00FD7B0B" w14:paraId="3A2ACBAF" w14:textId="77777777" w:rsidTr="00632913">
        <w:trPr>
          <w:trHeight w:val="198"/>
        </w:trPr>
        <w:tc>
          <w:tcPr>
            <w:tcW w:w="5230" w:type="dxa"/>
            <w:shd w:val="clear" w:color="auto" w:fill="auto"/>
            <w:vAlign w:val="center"/>
            <w:hideMark/>
          </w:tcPr>
          <w:p w14:paraId="1B70097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3428472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083EF8CB"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72,99</w:t>
            </w:r>
          </w:p>
        </w:tc>
        <w:tc>
          <w:tcPr>
            <w:tcW w:w="851" w:type="dxa"/>
            <w:shd w:val="clear" w:color="auto" w:fill="auto"/>
            <w:vAlign w:val="center"/>
            <w:hideMark/>
          </w:tcPr>
          <w:p w14:paraId="72DB31C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72,99</w:t>
            </w:r>
          </w:p>
        </w:tc>
        <w:tc>
          <w:tcPr>
            <w:tcW w:w="1275" w:type="dxa"/>
            <w:shd w:val="clear" w:color="auto" w:fill="auto"/>
            <w:vAlign w:val="center"/>
            <w:hideMark/>
          </w:tcPr>
          <w:p w14:paraId="5E1080D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r w:rsidR="00FD7B0B" w:rsidRPr="00FD7B0B" w14:paraId="1F75A3F8" w14:textId="77777777" w:rsidTr="00632913">
        <w:trPr>
          <w:trHeight w:val="198"/>
        </w:trPr>
        <w:tc>
          <w:tcPr>
            <w:tcW w:w="5230" w:type="dxa"/>
            <w:shd w:val="clear" w:color="auto" w:fill="auto"/>
            <w:vAlign w:val="center"/>
            <w:hideMark/>
          </w:tcPr>
          <w:p w14:paraId="16D4D8C9"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2025 год (текущий год)</w:t>
            </w:r>
          </w:p>
        </w:tc>
        <w:tc>
          <w:tcPr>
            <w:tcW w:w="1418" w:type="dxa"/>
            <w:vMerge/>
            <w:vAlign w:val="center"/>
            <w:hideMark/>
          </w:tcPr>
          <w:p w14:paraId="7E8D532F"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0EBD2CC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72,99</w:t>
            </w:r>
          </w:p>
        </w:tc>
        <w:tc>
          <w:tcPr>
            <w:tcW w:w="851" w:type="dxa"/>
            <w:shd w:val="clear" w:color="auto" w:fill="auto"/>
            <w:noWrap/>
            <w:vAlign w:val="center"/>
            <w:hideMark/>
          </w:tcPr>
          <w:p w14:paraId="0A6CC90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0A69FF5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5E05962E" w14:textId="77777777" w:rsidTr="00632913">
        <w:trPr>
          <w:trHeight w:val="198"/>
        </w:trPr>
        <w:tc>
          <w:tcPr>
            <w:tcW w:w="5230" w:type="dxa"/>
            <w:shd w:val="clear" w:color="auto" w:fill="auto"/>
            <w:vAlign w:val="center"/>
            <w:hideMark/>
          </w:tcPr>
          <w:p w14:paraId="7F20222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2026 год (1-й год планового периода)</w:t>
            </w:r>
          </w:p>
        </w:tc>
        <w:tc>
          <w:tcPr>
            <w:tcW w:w="1418" w:type="dxa"/>
            <w:vMerge/>
            <w:vAlign w:val="center"/>
            <w:hideMark/>
          </w:tcPr>
          <w:p w14:paraId="0ECA3F4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7FEB5BC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72,99</w:t>
            </w:r>
          </w:p>
        </w:tc>
        <w:tc>
          <w:tcPr>
            <w:tcW w:w="851" w:type="dxa"/>
            <w:shd w:val="clear" w:color="auto" w:fill="auto"/>
            <w:noWrap/>
            <w:vAlign w:val="center"/>
            <w:hideMark/>
          </w:tcPr>
          <w:p w14:paraId="032D470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7B0A87B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3D7469F2" w14:textId="77777777" w:rsidTr="00632913">
        <w:trPr>
          <w:trHeight w:val="198"/>
        </w:trPr>
        <w:tc>
          <w:tcPr>
            <w:tcW w:w="9624" w:type="dxa"/>
            <w:gridSpan w:val="5"/>
            <w:shd w:val="clear" w:color="auto" w:fill="auto"/>
            <w:vAlign w:val="center"/>
            <w:hideMark/>
          </w:tcPr>
          <w:p w14:paraId="175F48B1" w14:textId="77777777" w:rsidR="00632913" w:rsidRPr="00FD7B0B" w:rsidRDefault="00632913" w:rsidP="00632913">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Проектная часть государственной программы</w:t>
            </w:r>
          </w:p>
        </w:tc>
      </w:tr>
      <w:tr w:rsidR="00FD7B0B" w:rsidRPr="00FD7B0B" w14:paraId="4CD95334" w14:textId="77777777" w:rsidTr="004828EF">
        <w:trPr>
          <w:trHeight w:val="87"/>
        </w:trPr>
        <w:tc>
          <w:tcPr>
            <w:tcW w:w="9624" w:type="dxa"/>
            <w:gridSpan w:val="5"/>
            <w:shd w:val="clear" w:color="auto" w:fill="auto"/>
            <w:vAlign w:val="center"/>
            <w:hideMark/>
          </w:tcPr>
          <w:p w14:paraId="361132DF" w14:textId="77777777" w:rsidR="00632913" w:rsidRPr="00FD7B0B" w:rsidRDefault="00632913" w:rsidP="00632913">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Региональный проект «Современная школа (Архангельская область)»</w:t>
            </w:r>
          </w:p>
        </w:tc>
      </w:tr>
      <w:tr w:rsidR="00FD7B0B" w:rsidRPr="00FD7B0B" w14:paraId="3D79028A" w14:textId="77777777" w:rsidTr="004828EF">
        <w:trPr>
          <w:trHeight w:val="572"/>
        </w:trPr>
        <w:tc>
          <w:tcPr>
            <w:tcW w:w="5230" w:type="dxa"/>
            <w:shd w:val="clear" w:color="000000" w:fill="DCE6F1"/>
            <w:vAlign w:val="center"/>
            <w:hideMark/>
          </w:tcPr>
          <w:p w14:paraId="4859C297"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педагогических работников общеобразовательных организаций, прошедших повышение квалификации, в том числе в центрах непрерывного повышения профессионального мастерства, возрастающий</w:t>
            </w:r>
          </w:p>
        </w:tc>
        <w:tc>
          <w:tcPr>
            <w:tcW w:w="1418" w:type="dxa"/>
            <w:vMerge w:val="restart"/>
            <w:shd w:val="clear" w:color="auto" w:fill="auto"/>
            <w:vAlign w:val="center"/>
            <w:hideMark/>
          </w:tcPr>
          <w:p w14:paraId="368AE66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09B51B0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03DB158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06D53C5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6A4735BE" w14:textId="77777777" w:rsidTr="00632913">
        <w:trPr>
          <w:trHeight w:val="198"/>
        </w:trPr>
        <w:tc>
          <w:tcPr>
            <w:tcW w:w="5230" w:type="dxa"/>
            <w:shd w:val="clear" w:color="auto" w:fill="auto"/>
            <w:vAlign w:val="center"/>
            <w:hideMark/>
          </w:tcPr>
          <w:p w14:paraId="66634AA9"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0A34302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0F2729B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851" w:type="dxa"/>
            <w:shd w:val="clear" w:color="auto" w:fill="auto"/>
            <w:vAlign w:val="center"/>
            <w:hideMark/>
          </w:tcPr>
          <w:p w14:paraId="6C7764FB"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w:t>
            </w:r>
          </w:p>
        </w:tc>
        <w:tc>
          <w:tcPr>
            <w:tcW w:w="1275" w:type="dxa"/>
            <w:shd w:val="clear" w:color="auto" w:fill="auto"/>
            <w:vAlign w:val="center"/>
            <w:hideMark/>
          </w:tcPr>
          <w:p w14:paraId="3B69F0C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w:t>
            </w:r>
          </w:p>
        </w:tc>
      </w:tr>
      <w:tr w:rsidR="00FD7B0B" w:rsidRPr="00FD7B0B" w14:paraId="1A35E04D" w14:textId="77777777" w:rsidTr="00632913">
        <w:trPr>
          <w:trHeight w:val="198"/>
        </w:trPr>
        <w:tc>
          <w:tcPr>
            <w:tcW w:w="5230" w:type="dxa"/>
            <w:shd w:val="clear" w:color="auto" w:fill="auto"/>
            <w:vAlign w:val="center"/>
            <w:hideMark/>
          </w:tcPr>
          <w:p w14:paraId="48E5BB59"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305132C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3616CAC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26,3</w:t>
            </w:r>
          </w:p>
        </w:tc>
        <w:tc>
          <w:tcPr>
            <w:tcW w:w="851" w:type="dxa"/>
            <w:shd w:val="clear" w:color="auto" w:fill="auto"/>
            <w:vAlign w:val="center"/>
            <w:hideMark/>
          </w:tcPr>
          <w:p w14:paraId="236DE1C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40,2</w:t>
            </w:r>
          </w:p>
        </w:tc>
        <w:tc>
          <w:tcPr>
            <w:tcW w:w="1275" w:type="dxa"/>
            <w:shd w:val="clear" w:color="auto" w:fill="auto"/>
            <w:vAlign w:val="center"/>
            <w:hideMark/>
          </w:tcPr>
          <w:p w14:paraId="497B4C9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13,9</w:t>
            </w:r>
          </w:p>
        </w:tc>
      </w:tr>
      <w:tr w:rsidR="00FD7B0B" w:rsidRPr="00FD7B0B" w14:paraId="062B7C04" w14:textId="77777777" w:rsidTr="004828EF">
        <w:trPr>
          <w:trHeight w:val="38"/>
        </w:trPr>
        <w:tc>
          <w:tcPr>
            <w:tcW w:w="9624" w:type="dxa"/>
            <w:gridSpan w:val="5"/>
            <w:shd w:val="clear" w:color="auto" w:fill="auto"/>
            <w:vAlign w:val="center"/>
            <w:hideMark/>
          </w:tcPr>
          <w:p w14:paraId="1FEA9A3B" w14:textId="77777777" w:rsidR="00632913" w:rsidRPr="00FD7B0B" w:rsidRDefault="00632913" w:rsidP="00632913">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Региональный проект «Успех каждого ребенка»</w:t>
            </w:r>
          </w:p>
        </w:tc>
      </w:tr>
      <w:tr w:rsidR="00FD7B0B" w:rsidRPr="00FD7B0B" w14:paraId="67A38925" w14:textId="77777777" w:rsidTr="004828EF">
        <w:trPr>
          <w:trHeight w:val="250"/>
        </w:trPr>
        <w:tc>
          <w:tcPr>
            <w:tcW w:w="5230" w:type="dxa"/>
            <w:shd w:val="clear" w:color="000000" w:fill="DCE6F1"/>
            <w:vAlign w:val="center"/>
            <w:hideMark/>
          </w:tcPr>
          <w:p w14:paraId="4D4149D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обучающихся по образовательным программам основного и среднего общего образования, охваченных мероприятиями, направленными на раннюю профессиональную ориентацию, в том числе в рамках программы "Билет в будущее", возрастающий</w:t>
            </w:r>
          </w:p>
        </w:tc>
        <w:tc>
          <w:tcPr>
            <w:tcW w:w="1418" w:type="dxa"/>
            <w:vMerge w:val="restart"/>
            <w:shd w:val="clear" w:color="auto" w:fill="auto"/>
            <w:vAlign w:val="center"/>
            <w:hideMark/>
          </w:tcPr>
          <w:p w14:paraId="5CBBAE2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2713F1B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432CEF7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2DEC91D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2F342B31" w14:textId="77777777" w:rsidTr="00632913">
        <w:trPr>
          <w:trHeight w:val="227"/>
        </w:trPr>
        <w:tc>
          <w:tcPr>
            <w:tcW w:w="5230" w:type="dxa"/>
            <w:shd w:val="clear" w:color="auto" w:fill="auto"/>
            <w:vAlign w:val="center"/>
            <w:hideMark/>
          </w:tcPr>
          <w:p w14:paraId="07D1387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lastRenderedPageBreak/>
              <w:t>2023 год (предшествующий отчетному)</w:t>
            </w:r>
          </w:p>
        </w:tc>
        <w:tc>
          <w:tcPr>
            <w:tcW w:w="1418" w:type="dxa"/>
            <w:vMerge/>
            <w:vAlign w:val="center"/>
            <w:hideMark/>
          </w:tcPr>
          <w:p w14:paraId="006F2564"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42FA14B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w:t>
            </w:r>
          </w:p>
        </w:tc>
        <w:tc>
          <w:tcPr>
            <w:tcW w:w="851" w:type="dxa"/>
            <w:shd w:val="clear" w:color="auto" w:fill="auto"/>
            <w:vAlign w:val="center"/>
            <w:hideMark/>
          </w:tcPr>
          <w:p w14:paraId="0EFA855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w:t>
            </w:r>
          </w:p>
        </w:tc>
        <w:tc>
          <w:tcPr>
            <w:tcW w:w="1275" w:type="dxa"/>
            <w:shd w:val="clear" w:color="auto" w:fill="auto"/>
            <w:vAlign w:val="center"/>
            <w:hideMark/>
          </w:tcPr>
          <w:p w14:paraId="3BD9D7A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r w:rsidR="00FD7B0B" w:rsidRPr="00FD7B0B" w14:paraId="1CD00A70" w14:textId="77777777" w:rsidTr="00454B5B">
        <w:trPr>
          <w:trHeight w:val="154"/>
        </w:trPr>
        <w:tc>
          <w:tcPr>
            <w:tcW w:w="5230" w:type="dxa"/>
            <w:shd w:val="clear" w:color="auto" w:fill="auto"/>
            <w:vAlign w:val="center"/>
            <w:hideMark/>
          </w:tcPr>
          <w:p w14:paraId="7F69CFBD"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195376C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32017B1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w:t>
            </w:r>
          </w:p>
        </w:tc>
        <w:tc>
          <w:tcPr>
            <w:tcW w:w="851" w:type="dxa"/>
            <w:shd w:val="clear" w:color="auto" w:fill="auto"/>
            <w:vAlign w:val="center"/>
            <w:hideMark/>
          </w:tcPr>
          <w:p w14:paraId="7DDC6C1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115,89</w:t>
            </w:r>
          </w:p>
        </w:tc>
        <w:tc>
          <w:tcPr>
            <w:tcW w:w="1275" w:type="dxa"/>
            <w:shd w:val="clear" w:color="auto" w:fill="auto"/>
            <w:vAlign w:val="center"/>
            <w:hideMark/>
          </w:tcPr>
          <w:p w14:paraId="0C2C5BF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75,89</w:t>
            </w:r>
          </w:p>
        </w:tc>
      </w:tr>
      <w:tr w:rsidR="00FD7B0B" w:rsidRPr="00FD7B0B" w14:paraId="7CF5C08D" w14:textId="77777777" w:rsidTr="00632913">
        <w:trPr>
          <w:trHeight w:val="847"/>
        </w:trPr>
        <w:tc>
          <w:tcPr>
            <w:tcW w:w="5230" w:type="dxa"/>
            <w:shd w:val="clear" w:color="000000" w:fill="DCE6F1"/>
            <w:vAlign w:val="center"/>
            <w:hideMark/>
          </w:tcPr>
          <w:p w14:paraId="742D3503"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Охват детей деятельностью региональных центров выявления, поддержки и развития способностей и талантов у детей и молодежи, технопарков «Кванториум» и центров «IТ-куб», возрастающий</w:t>
            </w:r>
          </w:p>
        </w:tc>
        <w:tc>
          <w:tcPr>
            <w:tcW w:w="1418" w:type="dxa"/>
            <w:vMerge w:val="restart"/>
            <w:shd w:val="clear" w:color="auto" w:fill="auto"/>
            <w:vAlign w:val="center"/>
            <w:hideMark/>
          </w:tcPr>
          <w:p w14:paraId="0557BB7D"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11C0669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1D2C102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3E73D66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5851C33C" w14:textId="77777777" w:rsidTr="00454B5B">
        <w:trPr>
          <w:trHeight w:val="69"/>
        </w:trPr>
        <w:tc>
          <w:tcPr>
            <w:tcW w:w="5230" w:type="dxa"/>
            <w:shd w:val="clear" w:color="auto" w:fill="auto"/>
            <w:vAlign w:val="center"/>
            <w:hideMark/>
          </w:tcPr>
          <w:p w14:paraId="7AE8E0D3"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5305E56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243D954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12,2</w:t>
            </w:r>
          </w:p>
        </w:tc>
        <w:tc>
          <w:tcPr>
            <w:tcW w:w="851" w:type="dxa"/>
            <w:shd w:val="clear" w:color="auto" w:fill="auto"/>
            <w:vAlign w:val="center"/>
            <w:hideMark/>
          </w:tcPr>
          <w:p w14:paraId="699492D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17,03</w:t>
            </w:r>
          </w:p>
        </w:tc>
        <w:tc>
          <w:tcPr>
            <w:tcW w:w="1275" w:type="dxa"/>
            <w:shd w:val="clear" w:color="auto" w:fill="auto"/>
            <w:vAlign w:val="center"/>
            <w:hideMark/>
          </w:tcPr>
          <w:p w14:paraId="03D332D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4,83</w:t>
            </w:r>
          </w:p>
        </w:tc>
      </w:tr>
      <w:tr w:rsidR="00FD7B0B" w:rsidRPr="00FD7B0B" w14:paraId="0DB44A0D" w14:textId="77777777" w:rsidTr="00632913">
        <w:trPr>
          <w:trHeight w:val="215"/>
        </w:trPr>
        <w:tc>
          <w:tcPr>
            <w:tcW w:w="5230" w:type="dxa"/>
            <w:shd w:val="clear" w:color="auto" w:fill="auto"/>
            <w:vAlign w:val="center"/>
            <w:hideMark/>
          </w:tcPr>
          <w:p w14:paraId="53BBB4E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6318EA06"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4DD6C0AB"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12,72</w:t>
            </w:r>
          </w:p>
        </w:tc>
        <w:tc>
          <w:tcPr>
            <w:tcW w:w="851" w:type="dxa"/>
            <w:shd w:val="clear" w:color="auto" w:fill="auto"/>
            <w:vAlign w:val="center"/>
            <w:hideMark/>
          </w:tcPr>
          <w:p w14:paraId="42AA4DD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18,55</w:t>
            </w:r>
          </w:p>
        </w:tc>
        <w:tc>
          <w:tcPr>
            <w:tcW w:w="1275" w:type="dxa"/>
            <w:shd w:val="clear" w:color="auto" w:fill="auto"/>
            <w:vAlign w:val="center"/>
            <w:hideMark/>
          </w:tcPr>
          <w:p w14:paraId="1A7821C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5,83</w:t>
            </w:r>
          </w:p>
        </w:tc>
      </w:tr>
      <w:tr w:rsidR="00FD7B0B" w:rsidRPr="00FD7B0B" w14:paraId="24B0A890" w14:textId="77777777" w:rsidTr="004828EF">
        <w:trPr>
          <w:trHeight w:val="119"/>
        </w:trPr>
        <w:tc>
          <w:tcPr>
            <w:tcW w:w="5230" w:type="dxa"/>
            <w:shd w:val="clear" w:color="000000" w:fill="DCE6F1"/>
            <w:vAlign w:val="bottom"/>
            <w:hideMark/>
          </w:tcPr>
          <w:p w14:paraId="58899323"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детей в возрасте от 5 до 18 лет, охваченных дополнительным образованием, возрастающий</w:t>
            </w:r>
          </w:p>
        </w:tc>
        <w:tc>
          <w:tcPr>
            <w:tcW w:w="1418" w:type="dxa"/>
            <w:vMerge w:val="restart"/>
            <w:shd w:val="clear" w:color="auto" w:fill="auto"/>
            <w:vAlign w:val="center"/>
            <w:hideMark/>
          </w:tcPr>
          <w:p w14:paraId="30DE8B5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649387F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0AD37A3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6E03D93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63C6FC0B" w14:textId="77777777" w:rsidTr="00632913">
        <w:trPr>
          <w:trHeight w:val="129"/>
        </w:trPr>
        <w:tc>
          <w:tcPr>
            <w:tcW w:w="5230" w:type="dxa"/>
            <w:shd w:val="clear" w:color="auto" w:fill="auto"/>
            <w:vAlign w:val="center"/>
            <w:hideMark/>
          </w:tcPr>
          <w:p w14:paraId="283F5BC7"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21B0B55D"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132A82F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80,5</w:t>
            </w:r>
          </w:p>
        </w:tc>
        <w:tc>
          <w:tcPr>
            <w:tcW w:w="851" w:type="dxa"/>
            <w:shd w:val="clear" w:color="auto" w:fill="auto"/>
            <w:vAlign w:val="center"/>
            <w:hideMark/>
          </w:tcPr>
          <w:p w14:paraId="60EFBAFD"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97,92</w:t>
            </w:r>
          </w:p>
        </w:tc>
        <w:tc>
          <w:tcPr>
            <w:tcW w:w="1275" w:type="dxa"/>
            <w:shd w:val="clear" w:color="auto" w:fill="auto"/>
            <w:vAlign w:val="center"/>
            <w:hideMark/>
          </w:tcPr>
          <w:p w14:paraId="67E553A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17,42</w:t>
            </w:r>
          </w:p>
        </w:tc>
      </w:tr>
      <w:tr w:rsidR="00FD7B0B" w:rsidRPr="00FD7B0B" w14:paraId="0F7F8C50" w14:textId="77777777" w:rsidTr="00632913">
        <w:trPr>
          <w:trHeight w:val="77"/>
        </w:trPr>
        <w:tc>
          <w:tcPr>
            <w:tcW w:w="5230" w:type="dxa"/>
            <w:shd w:val="clear" w:color="auto" w:fill="auto"/>
            <w:vAlign w:val="center"/>
            <w:hideMark/>
          </w:tcPr>
          <w:p w14:paraId="63C00BAF"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598D22AC"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1678021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81,21</w:t>
            </w:r>
          </w:p>
        </w:tc>
        <w:tc>
          <w:tcPr>
            <w:tcW w:w="851" w:type="dxa"/>
            <w:shd w:val="clear" w:color="auto" w:fill="auto"/>
            <w:vAlign w:val="center"/>
            <w:hideMark/>
          </w:tcPr>
          <w:p w14:paraId="14F6066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99,72</w:t>
            </w:r>
          </w:p>
        </w:tc>
        <w:tc>
          <w:tcPr>
            <w:tcW w:w="1275" w:type="dxa"/>
            <w:shd w:val="clear" w:color="auto" w:fill="auto"/>
            <w:vAlign w:val="center"/>
            <w:hideMark/>
          </w:tcPr>
          <w:p w14:paraId="3D5F63A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18,51</w:t>
            </w:r>
          </w:p>
        </w:tc>
      </w:tr>
      <w:tr w:rsidR="00FD7B0B" w:rsidRPr="00FD7B0B" w14:paraId="6738D61D" w14:textId="77777777" w:rsidTr="004828EF">
        <w:trPr>
          <w:trHeight w:val="38"/>
        </w:trPr>
        <w:tc>
          <w:tcPr>
            <w:tcW w:w="9624" w:type="dxa"/>
            <w:gridSpan w:val="5"/>
            <w:shd w:val="clear" w:color="auto" w:fill="auto"/>
            <w:vAlign w:val="center"/>
            <w:hideMark/>
          </w:tcPr>
          <w:p w14:paraId="2B368FD6" w14:textId="77777777" w:rsidR="00632913" w:rsidRPr="00FD7B0B" w:rsidRDefault="00632913" w:rsidP="00632913">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Региональный проект «Цифровая образовательная среда»</w:t>
            </w:r>
          </w:p>
        </w:tc>
      </w:tr>
      <w:tr w:rsidR="00FD7B0B" w:rsidRPr="00FD7B0B" w14:paraId="007A036C" w14:textId="77777777" w:rsidTr="004828EF">
        <w:trPr>
          <w:trHeight w:val="149"/>
        </w:trPr>
        <w:tc>
          <w:tcPr>
            <w:tcW w:w="5230" w:type="dxa"/>
            <w:shd w:val="clear" w:color="000000" w:fill="DCE6F1"/>
            <w:vAlign w:val="center"/>
            <w:hideMark/>
          </w:tcPr>
          <w:p w14:paraId="0A7AFA6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общеобразовательных организаций, оснащенных в целях внедрения цифровой образовательной среды, возрастающий</w:t>
            </w:r>
          </w:p>
        </w:tc>
        <w:tc>
          <w:tcPr>
            <w:tcW w:w="1418" w:type="dxa"/>
            <w:vMerge w:val="restart"/>
            <w:shd w:val="clear" w:color="auto" w:fill="auto"/>
            <w:vAlign w:val="center"/>
            <w:hideMark/>
          </w:tcPr>
          <w:p w14:paraId="2AE5933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444D959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6F70E8A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5999E88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54C1DACF" w14:textId="77777777" w:rsidTr="00632913">
        <w:trPr>
          <w:trHeight w:val="111"/>
        </w:trPr>
        <w:tc>
          <w:tcPr>
            <w:tcW w:w="5230" w:type="dxa"/>
            <w:shd w:val="clear" w:color="auto" w:fill="auto"/>
            <w:vAlign w:val="center"/>
            <w:hideMark/>
          </w:tcPr>
          <w:p w14:paraId="63E1F630"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6EAE72D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3579956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71,34</w:t>
            </w:r>
          </w:p>
        </w:tc>
        <w:tc>
          <w:tcPr>
            <w:tcW w:w="851" w:type="dxa"/>
            <w:shd w:val="clear" w:color="auto" w:fill="auto"/>
            <w:vAlign w:val="center"/>
            <w:hideMark/>
          </w:tcPr>
          <w:p w14:paraId="14645EE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71,34</w:t>
            </w:r>
          </w:p>
        </w:tc>
        <w:tc>
          <w:tcPr>
            <w:tcW w:w="1275" w:type="dxa"/>
            <w:shd w:val="clear" w:color="auto" w:fill="auto"/>
            <w:vAlign w:val="center"/>
            <w:hideMark/>
          </w:tcPr>
          <w:p w14:paraId="699A051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r w:rsidR="00FD7B0B" w:rsidRPr="00FD7B0B" w14:paraId="33A97948" w14:textId="77777777" w:rsidTr="00632913">
        <w:trPr>
          <w:trHeight w:val="73"/>
        </w:trPr>
        <w:tc>
          <w:tcPr>
            <w:tcW w:w="5230" w:type="dxa"/>
            <w:shd w:val="clear" w:color="auto" w:fill="auto"/>
            <w:vAlign w:val="center"/>
            <w:hideMark/>
          </w:tcPr>
          <w:p w14:paraId="2BF40B6C"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4C66E80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22DF49E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85,7595</w:t>
            </w:r>
          </w:p>
        </w:tc>
        <w:tc>
          <w:tcPr>
            <w:tcW w:w="851" w:type="dxa"/>
            <w:shd w:val="clear" w:color="auto" w:fill="auto"/>
            <w:vAlign w:val="center"/>
            <w:hideMark/>
          </w:tcPr>
          <w:p w14:paraId="6B23E19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86,08</w:t>
            </w:r>
          </w:p>
        </w:tc>
        <w:tc>
          <w:tcPr>
            <w:tcW w:w="1275" w:type="dxa"/>
            <w:shd w:val="clear" w:color="auto" w:fill="auto"/>
            <w:vAlign w:val="center"/>
            <w:hideMark/>
          </w:tcPr>
          <w:p w14:paraId="5A92253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0,32</w:t>
            </w:r>
          </w:p>
        </w:tc>
      </w:tr>
      <w:tr w:rsidR="00FD7B0B" w:rsidRPr="00FD7B0B" w14:paraId="55FEE363" w14:textId="77777777" w:rsidTr="00632913">
        <w:trPr>
          <w:trHeight w:val="1013"/>
        </w:trPr>
        <w:tc>
          <w:tcPr>
            <w:tcW w:w="5230" w:type="dxa"/>
            <w:shd w:val="clear" w:color="000000" w:fill="DCE6F1"/>
            <w:vAlign w:val="center"/>
            <w:hideMark/>
          </w:tcPr>
          <w:p w14:paraId="079E86A4"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обучающихся, для которых созданы равные условия получения качественного образования вне зависимости от места их нахождения посредством предоставления доступа к федеральной информационно-сервисной платформе цифровой образовательной среды, возрастающий</w:t>
            </w:r>
          </w:p>
        </w:tc>
        <w:tc>
          <w:tcPr>
            <w:tcW w:w="1418" w:type="dxa"/>
            <w:vMerge w:val="restart"/>
            <w:shd w:val="clear" w:color="auto" w:fill="auto"/>
            <w:vAlign w:val="center"/>
            <w:hideMark/>
          </w:tcPr>
          <w:p w14:paraId="679FFFF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002C98E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49F1AEE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57CFB27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6003F821" w14:textId="77777777" w:rsidTr="00632913">
        <w:trPr>
          <w:trHeight w:val="181"/>
        </w:trPr>
        <w:tc>
          <w:tcPr>
            <w:tcW w:w="5230" w:type="dxa"/>
            <w:shd w:val="clear" w:color="auto" w:fill="auto"/>
            <w:vAlign w:val="center"/>
            <w:hideMark/>
          </w:tcPr>
          <w:p w14:paraId="2E662A7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2078582C"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43DB5F4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w:t>
            </w:r>
          </w:p>
        </w:tc>
        <w:tc>
          <w:tcPr>
            <w:tcW w:w="851" w:type="dxa"/>
            <w:shd w:val="clear" w:color="auto" w:fill="auto"/>
            <w:vAlign w:val="center"/>
            <w:hideMark/>
          </w:tcPr>
          <w:p w14:paraId="51E2478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27,96</w:t>
            </w:r>
          </w:p>
        </w:tc>
        <w:tc>
          <w:tcPr>
            <w:tcW w:w="1275" w:type="dxa"/>
            <w:shd w:val="clear" w:color="auto" w:fill="auto"/>
            <w:vAlign w:val="center"/>
            <w:hideMark/>
          </w:tcPr>
          <w:p w14:paraId="70E017F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2,96</w:t>
            </w:r>
          </w:p>
        </w:tc>
      </w:tr>
      <w:tr w:rsidR="00FD7B0B" w:rsidRPr="00FD7B0B" w14:paraId="73045677" w14:textId="77777777" w:rsidTr="00632913">
        <w:trPr>
          <w:trHeight w:val="90"/>
        </w:trPr>
        <w:tc>
          <w:tcPr>
            <w:tcW w:w="5230" w:type="dxa"/>
            <w:shd w:val="clear" w:color="auto" w:fill="auto"/>
            <w:vAlign w:val="center"/>
            <w:hideMark/>
          </w:tcPr>
          <w:p w14:paraId="1352FA0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714DE76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54B361F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w:t>
            </w:r>
          </w:p>
        </w:tc>
        <w:tc>
          <w:tcPr>
            <w:tcW w:w="851" w:type="dxa"/>
            <w:shd w:val="clear" w:color="auto" w:fill="auto"/>
            <w:vAlign w:val="center"/>
            <w:hideMark/>
          </w:tcPr>
          <w:p w14:paraId="00C20AD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55,05</w:t>
            </w:r>
          </w:p>
        </w:tc>
        <w:tc>
          <w:tcPr>
            <w:tcW w:w="1275" w:type="dxa"/>
            <w:shd w:val="clear" w:color="auto" w:fill="auto"/>
            <w:vAlign w:val="center"/>
            <w:hideMark/>
          </w:tcPr>
          <w:p w14:paraId="2F267FD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5,05</w:t>
            </w:r>
          </w:p>
        </w:tc>
      </w:tr>
      <w:tr w:rsidR="00FD7B0B" w:rsidRPr="00FD7B0B" w14:paraId="09BA9266" w14:textId="77777777" w:rsidTr="00632913">
        <w:trPr>
          <w:trHeight w:val="482"/>
        </w:trPr>
        <w:tc>
          <w:tcPr>
            <w:tcW w:w="5230" w:type="dxa"/>
            <w:shd w:val="clear" w:color="000000" w:fill="DCE6F1"/>
            <w:vAlign w:val="center"/>
            <w:hideMark/>
          </w:tcPr>
          <w:p w14:paraId="08761160"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педагогических работников, использующих сервисы федеральной информационно сервисной платформы цифровой образовательной среды, возрастающий</w:t>
            </w:r>
          </w:p>
        </w:tc>
        <w:tc>
          <w:tcPr>
            <w:tcW w:w="1418" w:type="dxa"/>
            <w:vMerge w:val="restart"/>
            <w:shd w:val="clear" w:color="auto" w:fill="auto"/>
            <w:vAlign w:val="center"/>
            <w:hideMark/>
          </w:tcPr>
          <w:p w14:paraId="34854E9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7924D1F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1497EC2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234ADAD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6B16967C" w14:textId="77777777" w:rsidTr="00632913">
        <w:trPr>
          <w:trHeight w:val="197"/>
        </w:trPr>
        <w:tc>
          <w:tcPr>
            <w:tcW w:w="5230" w:type="dxa"/>
            <w:shd w:val="clear" w:color="auto" w:fill="auto"/>
            <w:vAlign w:val="center"/>
            <w:hideMark/>
          </w:tcPr>
          <w:p w14:paraId="558F052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6AC6A367"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6177A39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w:t>
            </w:r>
          </w:p>
        </w:tc>
        <w:tc>
          <w:tcPr>
            <w:tcW w:w="851" w:type="dxa"/>
            <w:shd w:val="clear" w:color="auto" w:fill="auto"/>
            <w:vAlign w:val="center"/>
            <w:hideMark/>
          </w:tcPr>
          <w:p w14:paraId="45CCF8A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85,26</w:t>
            </w:r>
          </w:p>
        </w:tc>
        <w:tc>
          <w:tcPr>
            <w:tcW w:w="1275" w:type="dxa"/>
            <w:shd w:val="clear" w:color="auto" w:fill="auto"/>
            <w:vAlign w:val="center"/>
            <w:hideMark/>
          </w:tcPr>
          <w:p w14:paraId="636D16F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45,26</w:t>
            </w:r>
          </w:p>
        </w:tc>
      </w:tr>
      <w:tr w:rsidR="00FD7B0B" w:rsidRPr="00FD7B0B" w14:paraId="55930B18" w14:textId="77777777" w:rsidTr="00632913">
        <w:trPr>
          <w:trHeight w:val="145"/>
        </w:trPr>
        <w:tc>
          <w:tcPr>
            <w:tcW w:w="5230" w:type="dxa"/>
            <w:shd w:val="clear" w:color="auto" w:fill="auto"/>
            <w:vAlign w:val="center"/>
            <w:hideMark/>
          </w:tcPr>
          <w:p w14:paraId="5C97F8F3"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4D365D5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39A6BA8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w:t>
            </w:r>
          </w:p>
        </w:tc>
        <w:tc>
          <w:tcPr>
            <w:tcW w:w="851" w:type="dxa"/>
            <w:shd w:val="clear" w:color="auto" w:fill="auto"/>
            <w:vAlign w:val="center"/>
            <w:hideMark/>
          </w:tcPr>
          <w:p w14:paraId="4C4DA4A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93,73</w:t>
            </w:r>
          </w:p>
        </w:tc>
        <w:tc>
          <w:tcPr>
            <w:tcW w:w="1275" w:type="dxa"/>
            <w:shd w:val="clear" w:color="auto" w:fill="auto"/>
            <w:vAlign w:val="center"/>
            <w:hideMark/>
          </w:tcPr>
          <w:p w14:paraId="59B37B6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12,73</w:t>
            </w:r>
          </w:p>
        </w:tc>
      </w:tr>
      <w:tr w:rsidR="00FD7B0B" w:rsidRPr="00FD7B0B" w14:paraId="38651D3E" w14:textId="77777777" w:rsidTr="00632913">
        <w:trPr>
          <w:trHeight w:val="1219"/>
        </w:trPr>
        <w:tc>
          <w:tcPr>
            <w:tcW w:w="5230" w:type="dxa"/>
            <w:shd w:val="clear" w:color="000000" w:fill="DCE6F1"/>
            <w:vAlign w:val="center"/>
            <w:hideMark/>
          </w:tcPr>
          <w:p w14:paraId="051D7349"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образовательных организаций, использующих сервисы федеральной информационно-сервисной</w:t>
            </w:r>
            <w:r w:rsidRPr="00FD7B0B">
              <w:rPr>
                <w:rFonts w:ascii="Times New Roman" w:eastAsia="Times New Roman" w:hAnsi="Times New Roman" w:cs="Times New Roman"/>
                <w:sz w:val="18"/>
                <w:szCs w:val="18"/>
                <w:lang w:eastAsia="ru-RU"/>
              </w:rPr>
              <w:br/>
              <w:t>платформы цифровой образовательной среды при реализации основных общеобразовательных программ начального общего, основного общего и среднего общего образования, возрастающий</w:t>
            </w:r>
          </w:p>
        </w:tc>
        <w:tc>
          <w:tcPr>
            <w:tcW w:w="1418" w:type="dxa"/>
            <w:vMerge w:val="restart"/>
            <w:shd w:val="clear" w:color="auto" w:fill="auto"/>
            <w:vAlign w:val="center"/>
            <w:hideMark/>
          </w:tcPr>
          <w:p w14:paraId="55DC69A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03CDCCA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0930600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1FE1E6E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5C69D82F" w14:textId="77777777" w:rsidTr="00632913">
        <w:trPr>
          <w:trHeight w:val="215"/>
        </w:trPr>
        <w:tc>
          <w:tcPr>
            <w:tcW w:w="5230" w:type="dxa"/>
            <w:shd w:val="clear" w:color="auto" w:fill="auto"/>
            <w:vAlign w:val="center"/>
            <w:hideMark/>
          </w:tcPr>
          <w:p w14:paraId="1A1F92C4"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484E285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796F7CB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w:t>
            </w:r>
          </w:p>
        </w:tc>
        <w:tc>
          <w:tcPr>
            <w:tcW w:w="851" w:type="dxa"/>
            <w:shd w:val="clear" w:color="auto" w:fill="auto"/>
            <w:vAlign w:val="center"/>
            <w:hideMark/>
          </w:tcPr>
          <w:p w14:paraId="45100E6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23,48</w:t>
            </w:r>
          </w:p>
        </w:tc>
        <w:tc>
          <w:tcPr>
            <w:tcW w:w="1275" w:type="dxa"/>
            <w:shd w:val="clear" w:color="auto" w:fill="auto"/>
            <w:vAlign w:val="center"/>
            <w:hideMark/>
          </w:tcPr>
          <w:p w14:paraId="14069AB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3,48</w:t>
            </w:r>
          </w:p>
        </w:tc>
      </w:tr>
      <w:tr w:rsidR="00FD7B0B" w:rsidRPr="00FD7B0B" w14:paraId="41902229" w14:textId="77777777" w:rsidTr="00632913">
        <w:trPr>
          <w:trHeight w:val="177"/>
        </w:trPr>
        <w:tc>
          <w:tcPr>
            <w:tcW w:w="5230" w:type="dxa"/>
            <w:shd w:val="clear" w:color="auto" w:fill="auto"/>
            <w:vAlign w:val="center"/>
            <w:hideMark/>
          </w:tcPr>
          <w:p w14:paraId="6397796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45189D89"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5C60710D"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33</w:t>
            </w:r>
          </w:p>
        </w:tc>
        <w:tc>
          <w:tcPr>
            <w:tcW w:w="851" w:type="dxa"/>
            <w:shd w:val="clear" w:color="auto" w:fill="auto"/>
            <w:vAlign w:val="center"/>
            <w:hideMark/>
          </w:tcPr>
          <w:p w14:paraId="7ADDE93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34,81</w:t>
            </w:r>
          </w:p>
        </w:tc>
        <w:tc>
          <w:tcPr>
            <w:tcW w:w="1275" w:type="dxa"/>
            <w:shd w:val="clear" w:color="auto" w:fill="auto"/>
            <w:vAlign w:val="center"/>
            <w:hideMark/>
          </w:tcPr>
          <w:p w14:paraId="2E48FFF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1,81</w:t>
            </w:r>
          </w:p>
        </w:tc>
      </w:tr>
      <w:tr w:rsidR="00FD7B0B" w:rsidRPr="00FD7B0B" w14:paraId="03921B46" w14:textId="77777777" w:rsidTr="004828EF">
        <w:trPr>
          <w:trHeight w:val="109"/>
        </w:trPr>
        <w:tc>
          <w:tcPr>
            <w:tcW w:w="9624" w:type="dxa"/>
            <w:gridSpan w:val="5"/>
            <w:shd w:val="clear" w:color="auto" w:fill="auto"/>
            <w:vAlign w:val="center"/>
            <w:hideMark/>
          </w:tcPr>
          <w:p w14:paraId="517B55A9" w14:textId="77777777" w:rsidR="00632913" w:rsidRPr="00FD7B0B" w:rsidRDefault="00632913" w:rsidP="00632913">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Региональный проект «Социальная активность (Архангельская область)»</w:t>
            </w:r>
          </w:p>
        </w:tc>
      </w:tr>
      <w:tr w:rsidR="00FD7B0B" w:rsidRPr="00FD7B0B" w14:paraId="0DEDC6FC" w14:textId="77777777" w:rsidTr="00454B5B">
        <w:trPr>
          <w:trHeight w:val="649"/>
        </w:trPr>
        <w:tc>
          <w:tcPr>
            <w:tcW w:w="5230" w:type="dxa"/>
            <w:shd w:val="clear" w:color="000000" w:fill="DCE6F1"/>
            <w:vAlign w:val="center"/>
            <w:hideMark/>
          </w:tcPr>
          <w:p w14:paraId="172D0EF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граждан, вовлеченных центрами (сообществами, объединениями) поддержки добровольчества (волонтерства) на базе образовательных организаций, некоммерческих организаций, государственных и муниципальных учреждений в добровольческую (волонтерскую) деятельность, возрастающий</w:t>
            </w:r>
          </w:p>
        </w:tc>
        <w:tc>
          <w:tcPr>
            <w:tcW w:w="1418" w:type="dxa"/>
            <w:vMerge w:val="restart"/>
            <w:shd w:val="clear" w:color="auto" w:fill="auto"/>
            <w:vAlign w:val="center"/>
            <w:hideMark/>
          </w:tcPr>
          <w:p w14:paraId="36A3FEF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Агентство по делам молодежи Архангельской области</w:t>
            </w:r>
          </w:p>
        </w:tc>
        <w:tc>
          <w:tcPr>
            <w:tcW w:w="850" w:type="dxa"/>
            <w:shd w:val="clear" w:color="000000" w:fill="DCE6F1"/>
            <w:vAlign w:val="center"/>
            <w:hideMark/>
          </w:tcPr>
          <w:p w14:paraId="4C78E60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551E73E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0C50AC4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2C8EF0EF" w14:textId="77777777" w:rsidTr="00632913">
        <w:trPr>
          <w:trHeight w:val="147"/>
        </w:trPr>
        <w:tc>
          <w:tcPr>
            <w:tcW w:w="5230" w:type="dxa"/>
            <w:shd w:val="clear" w:color="auto" w:fill="auto"/>
            <w:vAlign w:val="center"/>
            <w:hideMark/>
          </w:tcPr>
          <w:p w14:paraId="75F764F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2EE888F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29DBE2C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9,3</w:t>
            </w:r>
          </w:p>
        </w:tc>
        <w:tc>
          <w:tcPr>
            <w:tcW w:w="851" w:type="dxa"/>
            <w:shd w:val="clear" w:color="auto" w:fill="auto"/>
            <w:vAlign w:val="center"/>
            <w:hideMark/>
          </w:tcPr>
          <w:p w14:paraId="73977462"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9,3</w:t>
            </w:r>
          </w:p>
        </w:tc>
        <w:tc>
          <w:tcPr>
            <w:tcW w:w="1275" w:type="dxa"/>
            <w:shd w:val="clear" w:color="auto" w:fill="auto"/>
            <w:vAlign w:val="center"/>
            <w:hideMark/>
          </w:tcPr>
          <w:p w14:paraId="1458C51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r w:rsidR="00FD7B0B" w:rsidRPr="00FD7B0B" w14:paraId="440550C6" w14:textId="77777777" w:rsidTr="004828EF">
        <w:trPr>
          <w:trHeight w:val="38"/>
        </w:trPr>
        <w:tc>
          <w:tcPr>
            <w:tcW w:w="9624" w:type="dxa"/>
            <w:gridSpan w:val="5"/>
            <w:shd w:val="clear" w:color="auto" w:fill="auto"/>
            <w:vAlign w:val="center"/>
            <w:hideMark/>
          </w:tcPr>
          <w:p w14:paraId="02BDBCEC" w14:textId="77777777" w:rsidR="00632913" w:rsidRPr="00FD7B0B" w:rsidRDefault="00632913" w:rsidP="00632913">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Региональный проект «Профессионалитет»</w:t>
            </w:r>
          </w:p>
        </w:tc>
      </w:tr>
      <w:tr w:rsidR="00FD7B0B" w:rsidRPr="00FD7B0B" w14:paraId="4490AF29" w14:textId="77777777" w:rsidTr="004828EF">
        <w:trPr>
          <w:trHeight w:val="476"/>
        </w:trPr>
        <w:tc>
          <w:tcPr>
            <w:tcW w:w="5230" w:type="dxa"/>
            <w:shd w:val="clear" w:color="000000" w:fill="DCE6F1"/>
            <w:vAlign w:val="center"/>
            <w:hideMark/>
          </w:tcPr>
          <w:p w14:paraId="1AF887C3"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обучающихся образовательных организаций, реализующих программы среднего профессионального образования, использующих современную материально-техническую базу при обучении</w:t>
            </w:r>
          </w:p>
        </w:tc>
        <w:tc>
          <w:tcPr>
            <w:tcW w:w="1418" w:type="dxa"/>
            <w:vMerge w:val="restart"/>
            <w:shd w:val="clear" w:color="auto" w:fill="auto"/>
            <w:vAlign w:val="center"/>
            <w:hideMark/>
          </w:tcPr>
          <w:p w14:paraId="4B7D076D"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1692B44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151B76F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59AFB3C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0B24C846" w14:textId="77777777" w:rsidTr="00632913">
        <w:trPr>
          <w:trHeight w:val="198"/>
        </w:trPr>
        <w:tc>
          <w:tcPr>
            <w:tcW w:w="5230" w:type="dxa"/>
            <w:shd w:val="clear" w:color="auto" w:fill="auto"/>
            <w:vAlign w:val="center"/>
            <w:hideMark/>
          </w:tcPr>
          <w:p w14:paraId="7D9C97E0"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7B7B605C"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472CB08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w:t>
            </w:r>
          </w:p>
        </w:tc>
        <w:tc>
          <w:tcPr>
            <w:tcW w:w="851" w:type="dxa"/>
            <w:shd w:val="clear" w:color="auto" w:fill="auto"/>
            <w:vAlign w:val="center"/>
            <w:hideMark/>
          </w:tcPr>
          <w:p w14:paraId="187CA4F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w:t>
            </w:r>
          </w:p>
        </w:tc>
        <w:tc>
          <w:tcPr>
            <w:tcW w:w="1275" w:type="dxa"/>
            <w:shd w:val="clear" w:color="auto" w:fill="auto"/>
            <w:vAlign w:val="center"/>
            <w:hideMark/>
          </w:tcPr>
          <w:p w14:paraId="00D1C95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r w:rsidR="00FD7B0B" w:rsidRPr="00FD7B0B" w14:paraId="0A4FAC85" w14:textId="77777777" w:rsidTr="004828EF">
        <w:trPr>
          <w:trHeight w:val="122"/>
        </w:trPr>
        <w:tc>
          <w:tcPr>
            <w:tcW w:w="5230" w:type="dxa"/>
            <w:shd w:val="clear" w:color="000000" w:fill="DCE6F1"/>
            <w:vAlign w:val="center"/>
            <w:hideMark/>
          </w:tcPr>
          <w:p w14:paraId="1D23E07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образовательных организаций, оснащенных современным оборудованием</w:t>
            </w:r>
          </w:p>
        </w:tc>
        <w:tc>
          <w:tcPr>
            <w:tcW w:w="1418" w:type="dxa"/>
            <w:vMerge w:val="restart"/>
            <w:shd w:val="clear" w:color="auto" w:fill="auto"/>
            <w:vAlign w:val="center"/>
            <w:hideMark/>
          </w:tcPr>
          <w:p w14:paraId="04676C6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0EB6262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7CE1DAD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7F94CB7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0D28BB5B" w14:textId="77777777" w:rsidTr="00632913">
        <w:trPr>
          <w:trHeight w:val="198"/>
        </w:trPr>
        <w:tc>
          <w:tcPr>
            <w:tcW w:w="5230" w:type="dxa"/>
            <w:shd w:val="clear" w:color="auto" w:fill="auto"/>
            <w:vAlign w:val="center"/>
            <w:hideMark/>
          </w:tcPr>
          <w:p w14:paraId="2D9A14A7"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0B171633"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0FBB599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38</w:t>
            </w:r>
          </w:p>
        </w:tc>
        <w:tc>
          <w:tcPr>
            <w:tcW w:w="851" w:type="dxa"/>
            <w:shd w:val="clear" w:color="auto" w:fill="auto"/>
            <w:vAlign w:val="center"/>
            <w:hideMark/>
          </w:tcPr>
          <w:p w14:paraId="21692FD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38</w:t>
            </w:r>
          </w:p>
        </w:tc>
        <w:tc>
          <w:tcPr>
            <w:tcW w:w="1275" w:type="dxa"/>
            <w:shd w:val="clear" w:color="auto" w:fill="auto"/>
            <w:vAlign w:val="center"/>
            <w:hideMark/>
          </w:tcPr>
          <w:p w14:paraId="5B5CAB6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r w:rsidR="00FD7B0B" w:rsidRPr="00FD7B0B" w14:paraId="49CDDB70" w14:textId="77777777" w:rsidTr="004828EF">
        <w:trPr>
          <w:trHeight w:val="38"/>
        </w:trPr>
        <w:tc>
          <w:tcPr>
            <w:tcW w:w="9624" w:type="dxa"/>
            <w:gridSpan w:val="5"/>
            <w:shd w:val="clear" w:color="auto" w:fill="auto"/>
            <w:vAlign w:val="center"/>
            <w:hideMark/>
          </w:tcPr>
          <w:p w14:paraId="6EA84E39" w14:textId="77777777" w:rsidR="00632913" w:rsidRPr="00FD7B0B" w:rsidRDefault="00632913" w:rsidP="00632913">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Региональный проект «Модернизация школьных систем образования в Архангельской области»</w:t>
            </w:r>
          </w:p>
        </w:tc>
      </w:tr>
      <w:tr w:rsidR="00FD7B0B" w:rsidRPr="00FD7B0B" w14:paraId="2B32A9F2" w14:textId="77777777" w:rsidTr="004828EF">
        <w:trPr>
          <w:trHeight w:val="620"/>
        </w:trPr>
        <w:tc>
          <w:tcPr>
            <w:tcW w:w="5230" w:type="dxa"/>
            <w:shd w:val="clear" w:color="000000" w:fill="DCE6F1"/>
            <w:vAlign w:val="center"/>
            <w:hideMark/>
          </w:tcPr>
          <w:p w14:paraId="796845E7"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Доля учащихся в общеобразовательных организациях, в которых улучшены условия осуществления образовательного процесса, в том числе выполнен капитальный ремонт зданий (обособленных помещений)</w:t>
            </w:r>
          </w:p>
        </w:tc>
        <w:tc>
          <w:tcPr>
            <w:tcW w:w="1418" w:type="dxa"/>
            <w:vMerge w:val="restart"/>
            <w:shd w:val="clear" w:color="auto" w:fill="auto"/>
            <w:vAlign w:val="center"/>
            <w:hideMark/>
          </w:tcPr>
          <w:p w14:paraId="304EB68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56BD9D4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4347A22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2E23B71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711E901C" w14:textId="77777777" w:rsidTr="00632913">
        <w:trPr>
          <w:trHeight w:val="198"/>
        </w:trPr>
        <w:tc>
          <w:tcPr>
            <w:tcW w:w="5230" w:type="dxa"/>
            <w:shd w:val="clear" w:color="auto" w:fill="auto"/>
            <w:vAlign w:val="center"/>
            <w:hideMark/>
          </w:tcPr>
          <w:p w14:paraId="51AE672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2AB9276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1C287BA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w:t>
            </w:r>
          </w:p>
        </w:tc>
        <w:tc>
          <w:tcPr>
            <w:tcW w:w="851" w:type="dxa"/>
            <w:shd w:val="clear" w:color="auto" w:fill="auto"/>
            <w:vAlign w:val="center"/>
            <w:hideMark/>
          </w:tcPr>
          <w:p w14:paraId="581C46C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14,2</w:t>
            </w:r>
          </w:p>
        </w:tc>
        <w:tc>
          <w:tcPr>
            <w:tcW w:w="1275" w:type="dxa"/>
            <w:shd w:val="clear" w:color="auto" w:fill="auto"/>
            <w:vAlign w:val="center"/>
            <w:hideMark/>
          </w:tcPr>
          <w:p w14:paraId="4FD31D7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0,17</w:t>
            </w:r>
          </w:p>
        </w:tc>
      </w:tr>
      <w:tr w:rsidR="00FD7B0B" w:rsidRPr="00FD7B0B" w14:paraId="4A91E29C" w14:textId="77777777" w:rsidTr="004828EF">
        <w:trPr>
          <w:trHeight w:val="38"/>
        </w:trPr>
        <w:tc>
          <w:tcPr>
            <w:tcW w:w="9624" w:type="dxa"/>
            <w:gridSpan w:val="5"/>
            <w:shd w:val="clear" w:color="auto" w:fill="auto"/>
            <w:vAlign w:val="center"/>
            <w:hideMark/>
          </w:tcPr>
          <w:p w14:paraId="3C8B6441" w14:textId="77777777" w:rsidR="00632913" w:rsidRPr="00FD7B0B" w:rsidRDefault="00632913" w:rsidP="00632913">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Процессная часть государственной программы</w:t>
            </w:r>
          </w:p>
        </w:tc>
      </w:tr>
      <w:tr w:rsidR="00FD7B0B" w:rsidRPr="00FD7B0B" w14:paraId="38523FDB" w14:textId="77777777" w:rsidTr="004828EF">
        <w:trPr>
          <w:trHeight w:val="38"/>
        </w:trPr>
        <w:tc>
          <w:tcPr>
            <w:tcW w:w="9624" w:type="dxa"/>
            <w:gridSpan w:val="5"/>
            <w:shd w:val="clear" w:color="auto" w:fill="auto"/>
            <w:vAlign w:val="center"/>
            <w:hideMark/>
          </w:tcPr>
          <w:p w14:paraId="59AF6212" w14:textId="77777777" w:rsidR="00632913" w:rsidRPr="00FD7B0B" w:rsidRDefault="00632913" w:rsidP="00632913">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Комплекс процессных мероприятий «Развитие образования Архангельской области»</w:t>
            </w:r>
          </w:p>
        </w:tc>
      </w:tr>
      <w:tr w:rsidR="00FD7B0B" w:rsidRPr="00FD7B0B" w14:paraId="1EFBCC3C" w14:textId="77777777" w:rsidTr="00632913">
        <w:trPr>
          <w:trHeight w:val="995"/>
        </w:trPr>
        <w:tc>
          <w:tcPr>
            <w:tcW w:w="5230" w:type="dxa"/>
            <w:shd w:val="clear" w:color="000000" w:fill="DCE6F1"/>
            <w:vAlign w:val="center"/>
            <w:hideMark/>
          </w:tcPr>
          <w:p w14:paraId="46687CF0"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lastRenderedPageBreak/>
              <w:t>Доля выпускников, освоивших образовательные программы основного общего образования и успешно прошедших государственную итоговую аттестацию по образовательным программам основного общего образования и получивших аттестат об основном общем образовании</w:t>
            </w:r>
          </w:p>
        </w:tc>
        <w:tc>
          <w:tcPr>
            <w:tcW w:w="1418" w:type="dxa"/>
            <w:vMerge w:val="restart"/>
            <w:shd w:val="clear" w:color="auto" w:fill="auto"/>
            <w:vAlign w:val="center"/>
            <w:hideMark/>
          </w:tcPr>
          <w:p w14:paraId="318DEED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2D11487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0B14B45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345794F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0785572C" w14:textId="77777777" w:rsidTr="00632913">
        <w:trPr>
          <w:trHeight w:val="198"/>
        </w:trPr>
        <w:tc>
          <w:tcPr>
            <w:tcW w:w="5230" w:type="dxa"/>
            <w:shd w:val="clear" w:color="auto" w:fill="auto"/>
            <w:vAlign w:val="center"/>
            <w:hideMark/>
          </w:tcPr>
          <w:p w14:paraId="3CD6EC38"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1C30F2B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1CDB3BA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99,2</w:t>
            </w:r>
          </w:p>
        </w:tc>
        <w:tc>
          <w:tcPr>
            <w:tcW w:w="851" w:type="dxa"/>
            <w:shd w:val="clear" w:color="auto" w:fill="auto"/>
            <w:vAlign w:val="center"/>
            <w:hideMark/>
          </w:tcPr>
          <w:p w14:paraId="218D51B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94,4</w:t>
            </w:r>
          </w:p>
        </w:tc>
        <w:tc>
          <w:tcPr>
            <w:tcW w:w="1275" w:type="dxa"/>
            <w:shd w:val="clear" w:color="auto" w:fill="auto"/>
            <w:vAlign w:val="center"/>
            <w:hideMark/>
          </w:tcPr>
          <w:p w14:paraId="4584823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-4,80</w:t>
            </w:r>
          </w:p>
        </w:tc>
      </w:tr>
      <w:tr w:rsidR="00FD7B0B" w:rsidRPr="00FD7B0B" w14:paraId="3F0DC080" w14:textId="77777777" w:rsidTr="00632913">
        <w:trPr>
          <w:trHeight w:val="198"/>
        </w:trPr>
        <w:tc>
          <w:tcPr>
            <w:tcW w:w="5230" w:type="dxa"/>
            <w:shd w:val="clear" w:color="auto" w:fill="auto"/>
            <w:vAlign w:val="center"/>
            <w:hideMark/>
          </w:tcPr>
          <w:p w14:paraId="216DF3E0"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12319765"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1389A7F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99,2</w:t>
            </w:r>
          </w:p>
        </w:tc>
        <w:tc>
          <w:tcPr>
            <w:tcW w:w="851" w:type="dxa"/>
            <w:shd w:val="clear" w:color="auto" w:fill="auto"/>
            <w:vAlign w:val="center"/>
            <w:hideMark/>
          </w:tcPr>
          <w:p w14:paraId="22FD003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w:t>
            </w:r>
          </w:p>
        </w:tc>
        <w:tc>
          <w:tcPr>
            <w:tcW w:w="1275" w:type="dxa"/>
            <w:shd w:val="clear" w:color="auto" w:fill="auto"/>
            <w:vAlign w:val="center"/>
            <w:hideMark/>
          </w:tcPr>
          <w:p w14:paraId="5EFD861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-3,20</w:t>
            </w:r>
          </w:p>
        </w:tc>
      </w:tr>
      <w:tr w:rsidR="00FD7B0B" w:rsidRPr="00FD7B0B" w14:paraId="4F092032" w14:textId="77777777" w:rsidTr="00632913">
        <w:trPr>
          <w:trHeight w:val="198"/>
        </w:trPr>
        <w:tc>
          <w:tcPr>
            <w:tcW w:w="5230" w:type="dxa"/>
            <w:shd w:val="clear" w:color="auto" w:fill="auto"/>
            <w:vAlign w:val="center"/>
            <w:hideMark/>
          </w:tcPr>
          <w:p w14:paraId="0D9EC56C"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2025 год (текущий год)</w:t>
            </w:r>
          </w:p>
        </w:tc>
        <w:tc>
          <w:tcPr>
            <w:tcW w:w="1418" w:type="dxa"/>
            <w:vMerge/>
            <w:vAlign w:val="center"/>
            <w:hideMark/>
          </w:tcPr>
          <w:p w14:paraId="1F086853"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2096F27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99,2</w:t>
            </w:r>
          </w:p>
        </w:tc>
        <w:tc>
          <w:tcPr>
            <w:tcW w:w="851" w:type="dxa"/>
            <w:shd w:val="clear" w:color="auto" w:fill="auto"/>
            <w:noWrap/>
            <w:vAlign w:val="center"/>
            <w:hideMark/>
          </w:tcPr>
          <w:p w14:paraId="59DFE56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7D700F5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6CE9EC75" w14:textId="77777777" w:rsidTr="00632913">
        <w:trPr>
          <w:trHeight w:val="198"/>
        </w:trPr>
        <w:tc>
          <w:tcPr>
            <w:tcW w:w="5230" w:type="dxa"/>
            <w:shd w:val="clear" w:color="auto" w:fill="auto"/>
            <w:vAlign w:val="center"/>
            <w:hideMark/>
          </w:tcPr>
          <w:p w14:paraId="2C2502C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2026 год (1-й год планового периода)</w:t>
            </w:r>
          </w:p>
        </w:tc>
        <w:tc>
          <w:tcPr>
            <w:tcW w:w="1418" w:type="dxa"/>
            <w:vMerge/>
            <w:vAlign w:val="center"/>
            <w:hideMark/>
          </w:tcPr>
          <w:p w14:paraId="22E8FD6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5F4E92E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99,2</w:t>
            </w:r>
          </w:p>
        </w:tc>
        <w:tc>
          <w:tcPr>
            <w:tcW w:w="851" w:type="dxa"/>
            <w:shd w:val="clear" w:color="auto" w:fill="auto"/>
            <w:noWrap/>
            <w:vAlign w:val="center"/>
            <w:hideMark/>
          </w:tcPr>
          <w:p w14:paraId="6466F8D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5D6453A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69B2236B" w14:textId="77777777" w:rsidTr="004828EF">
        <w:trPr>
          <w:trHeight w:val="446"/>
        </w:trPr>
        <w:tc>
          <w:tcPr>
            <w:tcW w:w="5230" w:type="dxa"/>
            <w:shd w:val="clear" w:color="000000" w:fill="DCE6F1"/>
            <w:vAlign w:val="center"/>
            <w:hideMark/>
          </w:tcPr>
          <w:p w14:paraId="65212695"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Доля взрослых, прошедших обучение по программам среднего профессионального, дополнительного профессионального образования и профессионального обучения на территории Архангельской области </w:t>
            </w:r>
          </w:p>
        </w:tc>
        <w:tc>
          <w:tcPr>
            <w:tcW w:w="1418" w:type="dxa"/>
            <w:vMerge w:val="restart"/>
            <w:shd w:val="clear" w:color="auto" w:fill="auto"/>
            <w:vAlign w:val="center"/>
            <w:hideMark/>
          </w:tcPr>
          <w:p w14:paraId="43D2197D"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6E28B7C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2B20738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16FC576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034C74A5" w14:textId="77777777" w:rsidTr="00632913">
        <w:trPr>
          <w:trHeight w:val="198"/>
        </w:trPr>
        <w:tc>
          <w:tcPr>
            <w:tcW w:w="5230" w:type="dxa"/>
            <w:shd w:val="clear" w:color="auto" w:fill="auto"/>
            <w:vAlign w:val="center"/>
            <w:hideMark/>
          </w:tcPr>
          <w:p w14:paraId="7205BCA0"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61223085"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77AC5BD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80</w:t>
            </w:r>
          </w:p>
        </w:tc>
        <w:tc>
          <w:tcPr>
            <w:tcW w:w="851" w:type="dxa"/>
            <w:shd w:val="clear" w:color="auto" w:fill="auto"/>
            <w:vAlign w:val="center"/>
            <w:hideMark/>
          </w:tcPr>
          <w:p w14:paraId="2A4B6AA5"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80</w:t>
            </w:r>
          </w:p>
        </w:tc>
        <w:tc>
          <w:tcPr>
            <w:tcW w:w="1275" w:type="dxa"/>
            <w:shd w:val="clear" w:color="auto" w:fill="auto"/>
            <w:vAlign w:val="center"/>
            <w:hideMark/>
          </w:tcPr>
          <w:p w14:paraId="2A47106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0,00</w:t>
            </w:r>
          </w:p>
        </w:tc>
      </w:tr>
      <w:tr w:rsidR="00FD7B0B" w:rsidRPr="00FD7B0B" w14:paraId="05993A9A" w14:textId="77777777" w:rsidTr="00632913">
        <w:trPr>
          <w:trHeight w:val="198"/>
        </w:trPr>
        <w:tc>
          <w:tcPr>
            <w:tcW w:w="5230" w:type="dxa"/>
            <w:shd w:val="clear" w:color="auto" w:fill="auto"/>
            <w:vAlign w:val="center"/>
            <w:hideMark/>
          </w:tcPr>
          <w:p w14:paraId="272386C7"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18F659EA"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3DE4136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w:t>
            </w:r>
          </w:p>
        </w:tc>
        <w:tc>
          <w:tcPr>
            <w:tcW w:w="851" w:type="dxa"/>
            <w:shd w:val="clear" w:color="auto" w:fill="auto"/>
            <w:vAlign w:val="center"/>
            <w:hideMark/>
          </w:tcPr>
          <w:p w14:paraId="71C9A63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w:t>
            </w:r>
          </w:p>
        </w:tc>
        <w:tc>
          <w:tcPr>
            <w:tcW w:w="1275" w:type="dxa"/>
            <w:shd w:val="clear" w:color="auto" w:fill="auto"/>
            <w:vAlign w:val="center"/>
            <w:hideMark/>
          </w:tcPr>
          <w:p w14:paraId="5FF99A1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0,00</w:t>
            </w:r>
          </w:p>
        </w:tc>
      </w:tr>
      <w:tr w:rsidR="00FD7B0B" w:rsidRPr="00FD7B0B" w14:paraId="4E68B3B7" w14:textId="77777777" w:rsidTr="00632913">
        <w:trPr>
          <w:trHeight w:val="198"/>
        </w:trPr>
        <w:tc>
          <w:tcPr>
            <w:tcW w:w="5230" w:type="dxa"/>
            <w:shd w:val="clear" w:color="auto" w:fill="auto"/>
            <w:vAlign w:val="center"/>
            <w:hideMark/>
          </w:tcPr>
          <w:p w14:paraId="6269DC0B"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2025 год (текущий год)</w:t>
            </w:r>
          </w:p>
        </w:tc>
        <w:tc>
          <w:tcPr>
            <w:tcW w:w="1418" w:type="dxa"/>
            <w:vMerge/>
            <w:vAlign w:val="center"/>
            <w:hideMark/>
          </w:tcPr>
          <w:p w14:paraId="122B716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27A978D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w:t>
            </w:r>
          </w:p>
        </w:tc>
        <w:tc>
          <w:tcPr>
            <w:tcW w:w="851" w:type="dxa"/>
            <w:shd w:val="clear" w:color="auto" w:fill="auto"/>
            <w:noWrap/>
            <w:vAlign w:val="center"/>
            <w:hideMark/>
          </w:tcPr>
          <w:p w14:paraId="2B8DD1CF"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7AB6B5C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261CA50C" w14:textId="77777777" w:rsidTr="00632913">
        <w:trPr>
          <w:trHeight w:val="198"/>
        </w:trPr>
        <w:tc>
          <w:tcPr>
            <w:tcW w:w="5230" w:type="dxa"/>
            <w:shd w:val="clear" w:color="auto" w:fill="auto"/>
            <w:vAlign w:val="center"/>
            <w:hideMark/>
          </w:tcPr>
          <w:p w14:paraId="21C34947"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2026 год (1-й год планового периода)</w:t>
            </w:r>
          </w:p>
        </w:tc>
        <w:tc>
          <w:tcPr>
            <w:tcW w:w="1418" w:type="dxa"/>
            <w:vMerge/>
            <w:vAlign w:val="center"/>
            <w:hideMark/>
          </w:tcPr>
          <w:p w14:paraId="5BDEDB7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0F95762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w:t>
            </w:r>
          </w:p>
        </w:tc>
        <w:tc>
          <w:tcPr>
            <w:tcW w:w="851" w:type="dxa"/>
            <w:shd w:val="clear" w:color="auto" w:fill="auto"/>
            <w:noWrap/>
            <w:vAlign w:val="center"/>
            <w:hideMark/>
          </w:tcPr>
          <w:p w14:paraId="73E2E340"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6234FEB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7DF90F39" w14:textId="77777777" w:rsidTr="004828EF">
        <w:trPr>
          <w:trHeight w:val="272"/>
        </w:trPr>
        <w:tc>
          <w:tcPr>
            <w:tcW w:w="5230" w:type="dxa"/>
            <w:shd w:val="clear" w:color="000000" w:fill="DCE6F1"/>
            <w:vAlign w:val="center"/>
            <w:hideMark/>
          </w:tcPr>
          <w:p w14:paraId="33F48CC9"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Удовлетворенность населения качеством общего и дополнительного образования детей Архангельской области</w:t>
            </w:r>
          </w:p>
        </w:tc>
        <w:tc>
          <w:tcPr>
            <w:tcW w:w="1418" w:type="dxa"/>
            <w:vMerge w:val="restart"/>
            <w:shd w:val="clear" w:color="auto" w:fill="auto"/>
            <w:vAlign w:val="center"/>
            <w:hideMark/>
          </w:tcPr>
          <w:p w14:paraId="47C9C32D"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Министерство образования</w:t>
            </w:r>
            <w:r w:rsidRPr="00FD7B0B">
              <w:rPr>
                <w:rFonts w:ascii="Times New Roman" w:eastAsia="Times New Roman" w:hAnsi="Times New Roman" w:cs="Times New Roman"/>
                <w:sz w:val="18"/>
                <w:szCs w:val="18"/>
                <w:lang w:eastAsia="ru-RU"/>
              </w:rPr>
              <w:br/>
              <w:t xml:space="preserve">Архангельской области </w:t>
            </w:r>
          </w:p>
        </w:tc>
        <w:tc>
          <w:tcPr>
            <w:tcW w:w="850" w:type="dxa"/>
            <w:shd w:val="clear" w:color="000000" w:fill="DCE6F1"/>
            <w:vAlign w:val="center"/>
            <w:hideMark/>
          </w:tcPr>
          <w:p w14:paraId="22516C1E"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1" w:type="dxa"/>
            <w:shd w:val="clear" w:color="000000" w:fill="DCE6F1"/>
            <w:vAlign w:val="center"/>
            <w:hideMark/>
          </w:tcPr>
          <w:p w14:paraId="28AD7B6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275" w:type="dxa"/>
            <w:shd w:val="clear" w:color="000000" w:fill="DCE6F1"/>
            <w:vAlign w:val="center"/>
            <w:hideMark/>
          </w:tcPr>
          <w:p w14:paraId="2264540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7406EE4D" w14:textId="77777777" w:rsidTr="00632913">
        <w:trPr>
          <w:trHeight w:val="198"/>
        </w:trPr>
        <w:tc>
          <w:tcPr>
            <w:tcW w:w="5230" w:type="dxa"/>
            <w:shd w:val="clear" w:color="auto" w:fill="auto"/>
            <w:vAlign w:val="center"/>
            <w:hideMark/>
          </w:tcPr>
          <w:p w14:paraId="56C9E6C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 (предшествующий отчетному)</w:t>
            </w:r>
          </w:p>
        </w:tc>
        <w:tc>
          <w:tcPr>
            <w:tcW w:w="1418" w:type="dxa"/>
            <w:vMerge/>
            <w:vAlign w:val="center"/>
            <w:hideMark/>
          </w:tcPr>
          <w:p w14:paraId="1AA66D6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7DC0DD57"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63,9</w:t>
            </w:r>
          </w:p>
        </w:tc>
        <w:tc>
          <w:tcPr>
            <w:tcW w:w="851" w:type="dxa"/>
            <w:shd w:val="clear" w:color="auto" w:fill="auto"/>
            <w:vAlign w:val="center"/>
            <w:hideMark/>
          </w:tcPr>
          <w:p w14:paraId="6AF83E46"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64,6</w:t>
            </w:r>
          </w:p>
        </w:tc>
        <w:tc>
          <w:tcPr>
            <w:tcW w:w="1275" w:type="dxa"/>
            <w:shd w:val="clear" w:color="auto" w:fill="auto"/>
            <w:vAlign w:val="center"/>
            <w:hideMark/>
          </w:tcPr>
          <w:p w14:paraId="507A046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0,70</w:t>
            </w:r>
          </w:p>
        </w:tc>
      </w:tr>
      <w:tr w:rsidR="00FD7B0B" w:rsidRPr="00FD7B0B" w14:paraId="47C2F915" w14:textId="77777777" w:rsidTr="00632913">
        <w:trPr>
          <w:trHeight w:val="198"/>
        </w:trPr>
        <w:tc>
          <w:tcPr>
            <w:tcW w:w="5230" w:type="dxa"/>
            <w:shd w:val="clear" w:color="auto" w:fill="auto"/>
            <w:vAlign w:val="center"/>
            <w:hideMark/>
          </w:tcPr>
          <w:p w14:paraId="48F103D9"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 (отчетный год)</w:t>
            </w:r>
          </w:p>
        </w:tc>
        <w:tc>
          <w:tcPr>
            <w:tcW w:w="1418" w:type="dxa"/>
            <w:vMerge/>
            <w:vAlign w:val="center"/>
            <w:hideMark/>
          </w:tcPr>
          <w:p w14:paraId="612D69AE"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263C2DD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64,3</w:t>
            </w:r>
          </w:p>
        </w:tc>
        <w:tc>
          <w:tcPr>
            <w:tcW w:w="851" w:type="dxa"/>
            <w:shd w:val="clear" w:color="auto" w:fill="auto"/>
            <w:vAlign w:val="center"/>
            <w:hideMark/>
          </w:tcPr>
          <w:p w14:paraId="6DB7BE6A"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77,6</w:t>
            </w:r>
          </w:p>
        </w:tc>
        <w:tc>
          <w:tcPr>
            <w:tcW w:w="1275" w:type="dxa"/>
            <w:shd w:val="clear" w:color="auto" w:fill="auto"/>
            <w:vAlign w:val="center"/>
            <w:hideMark/>
          </w:tcPr>
          <w:p w14:paraId="3D10C784"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13,30</w:t>
            </w:r>
          </w:p>
        </w:tc>
      </w:tr>
      <w:tr w:rsidR="00FD7B0B" w:rsidRPr="00FD7B0B" w14:paraId="31033167" w14:textId="77777777" w:rsidTr="00632913">
        <w:trPr>
          <w:trHeight w:val="198"/>
        </w:trPr>
        <w:tc>
          <w:tcPr>
            <w:tcW w:w="5230" w:type="dxa"/>
            <w:shd w:val="clear" w:color="auto" w:fill="auto"/>
            <w:vAlign w:val="center"/>
            <w:hideMark/>
          </w:tcPr>
          <w:p w14:paraId="1DDA6436"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2025 год (текущий год)</w:t>
            </w:r>
          </w:p>
        </w:tc>
        <w:tc>
          <w:tcPr>
            <w:tcW w:w="1418" w:type="dxa"/>
            <w:vMerge/>
            <w:vAlign w:val="center"/>
            <w:hideMark/>
          </w:tcPr>
          <w:p w14:paraId="5E432D54"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522ED4D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64,5</w:t>
            </w:r>
          </w:p>
        </w:tc>
        <w:tc>
          <w:tcPr>
            <w:tcW w:w="851" w:type="dxa"/>
            <w:shd w:val="clear" w:color="auto" w:fill="auto"/>
            <w:noWrap/>
            <w:vAlign w:val="center"/>
            <w:hideMark/>
          </w:tcPr>
          <w:p w14:paraId="69A745F1"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51331D98"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632913" w:rsidRPr="00FD7B0B" w14:paraId="730AE2D8" w14:textId="77777777" w:rsidTr="00632913">
        <w:trPr>
          <w:trHeight w:val="198"/>
        </w:trPr>
        <w:tc>
          <w:tcPr>
            <w:tcW w:w="5230" w:type="dxa"/>
            <w:shd w:val="clear" w:color="auto" w:fill="auto"/>
            <w:vAlign w:val="center"/>
            <w:hideMark/>
          </w:tcPr>
          <w:p w14:paraId="628B0672"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2026 год (1-й год планового периода)</w:t>
            </w:r>
          </w:p>
        </w:tc>
        <w:tc>
          <w:tcPr>
            <w:tcW w:w="1418" w:type="dxa"/>
            <w:vMerge/>
            <w:vAlign w:val="center"/>
            <w:hideMark/>
          </w:tcPr>
          <w:p w14:paraId="0A832EF1" w14:textId="77777777" w:rsidR="00632913" w:rsidRPr="00FD7B0B" w:rsidRDefault="00632913" w:rsidP="00632913">
            <w:pPr>
              <w:spacing w:after="0" w:line="240" w:lineRule="auto"/>
              <w:rPr>
                <w:rFonts w:ascii="Times New Roman" w:eastAsia="Times New Roman" w:hAnsi="Times New Roman" w:cs="Times New Roman"/>
                <w:sz w:val="18"/>
                <w:szCs w:val="18"/>
                <w:lang w:eastAsia="ru-RU"/>
              </w:rPr>
            </w:pPr>
          </w:p>
        </w:tc>
        <w:tc>
          <w:tcPr>
            <w:tcW w:w="850" w:type="dxa"/>
            <w:shd w:val="clear" w:color="auto" w:fill="auto"/>
            <w:vAlign w:val="center"/>
            <w:hideMark/>
          </w:tcPr>
          <w:p w14:paraId="65AC79C3"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64,5</w:t>
            </w:r>
          </w:p>
        </w:tc>
        <w:tc>
          <w:tcPr>
            <w:tcW w:w="851" w:type="dxa"/>
            <w:shd w:val="clear" w:color="auto" w:fill="auto"/>
            <w:noWrap/>
            <w:vAlign w:val="center"/>
            <w:hideMark/>
          </w:tcPr>
          <w:p w14:paraId="24C8201C"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275" w:type="dxa"/>
            <w:shd w:val="clear" w:color="auto" w:fill="auto"/>
            <w:noWrap/>
            <w:vAlign w:val="center"/>
            <w:hideMark/>
          </w:tcPr>
          <w:p w14:paraId="2C8485B9" w14:textId="77777777" w:rsidR="00632913" w:rsidRPr="00FD7B0B" w:rsidRDefault="00632913" w:rsidP="0063291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bl>
    <w:p w14:paraId="03AD741B"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0"/>
          <w:szCs w:val="20"/>
          <w:lang w:eastAsia="ru-RU"/>
        </w:rPr>
      </w:pPr>
    </w:p>
    <w:p w14:paraId="304BD832"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итогам 2024 года не выполнено плановое значение целевого показателя:</w:t>
      </w:r>
    </w:p>
    <w:p w14:paraId="68B1CC54"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доля выпускников, освоивших образовательные программы основного общего образования и успешно прошедших государственную итоговую аттестацию по образовательным программам основного общего образования, степень не достижения 3,2 %.</w:t>
      </w:r>
    </w:p>
    <w:p w14:paraId="07F8AE60" w14:textId="5344949B" w:rsidR="00632913" w:rsidRPr="00FD7B0B" w:rsidRDefault="004828EF"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w:t>
      </w:r>
      <w:r w:rsidR="00632913" w:rsidRPr="00FD7B0B">
        <w:rPr>
          <w:rFonts w:ascii="Times New Roman" w:eastAsia="Times New Roman" w:hAnsi="Times New Roman" w:cs="Times New Roman"/>
          <w:sz w:val="28"/>
          <w:szCs w:val="28"/>
          <w:lang w:eastAsia="ru-RU"/>
        </w:rPr>
        <w:t>дин из 3 показателей госпрограммы в целом и 8 показателей структурных элементов значительно перевыполнены, при этом отдельные целевые показатели установлены в 2024 году без учета их перевыполнения в предыдущий период, что может свидетельствовать о занижении плановых значений показателей, то есть осуществление планирования без учета сложившейся ситуации в ходе реализации мероприятий госпрограммы.</w:t>
      </w:r>
    </w:p>
    <w:p w14:paraId="6A465604"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p>
    <w:p w14:paraId="670A9799"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t>КСП АО отмечает, что действующий порядок расчета значения показателя «Уровень образования» не соответствует требованиям приложения № 5 к постановлению Правительства РФ от 28.01.2025 № 58 «Об утверждении методик расчета показателей для оценки эффективности деятельности высших должностных лиц субъектов Российской Федерации и деятельности исполнительных органов субъектов Российской Федерации» (далее – постановление Правительства РФ от 28.01.2025 № 58).</w:t>
      </w:r>
    </w:p>
    <w:p w14:paraId="1C66C005"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t>Так Паспортом ГП № 02 для расчета показателя «Уровень образования» предусмотрено применение суммы минимальных значений 4 компонент:</w:t>
      </w:r>
    </w:p>
    <w:p w14:paraId="2CE147D3"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t>К1 - доступность дошкольного образования для детей в возрастной группе от 2 месяцев до 8 лет, процентов;</w:t>
      </w:r>
    </w:p>
    <w:p w14:paraId="598D327B"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t>K2 - доля населения в возрасте 15 - 21 года, охваченного образованием, процентов;</w:t>
      </w:r>
    </w:p>
    <w:p w14:paraId="18D687CE"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lastRenderedPageBreak/>
        <w:t>К3 - доля рабочей силы, имеющей профессиональное образование, процентов;</w:t>
      </w:r>
    </w:p>
    <w:p w14:paraId="7924AB9F"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t xml:space="preserve">К4 - доля граждан, прошедших обучение по дополнительным профессиональным программам и программам профессионального обучения в общей численности рабочей силы (от 15 лет и старше), процентов, </w:t>
      </w:r>
    </w:p>
    <w:p w14:paraId="0ED8DF09"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t>тогда как постановлением Правительства РФ от 28.01.2025 № 58 дополнительно предусмотрены компоненты, отражающие достижение таких результатов как:</w:t>
      </w:r>
    </w:p>
    <w:p w14:paraId="30F121E1"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t>К</w:t>
      </w:r>
      <w:r w:rsidRPr="00FD7B0B">
        <w:rPr>
          <w:rFonts w:ascii="Times New Roman" w:hAnsi="Times New Roman"/>
          <w:sz w:val="28"/>
          <w:szCs w:val="28"/>
          <w:vertAlign w:val="subscript"/>
          <w:lang w:val="ru-RU"/>
        </w:rPr>
        <w:t>5</w:t>
      </w:r>
      <w:r w:rsidRPr="00FD7B0B">
        <w:rPr>
          <w:rFonts w:ascii="Times New Roman" w:hAnsi="Times New Roman"/>
          <w:sz w:val="28"/>
          <w:szCs w:val="28"/>
          <w:lang w:val="ru-RU"/>
        </w:rPr>
        <w:t xml:space="preserve"> - обеспеченность дошкольных образовательных организаций и общеобразовательных организаций охраной, процентов;</w:t>
      </w:r>
    </w:p>
    <w:p w14:paraId="2DAD84C3"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t>К</w:t>
      </w:r>
      <w:r w:rsidRPr="00FD7B0B">
        <w:rPr>
          <w:rFonts w:ascii="Times New Roman" w:hAnsi="Times New Roman"/>
          <w:sz w:val="28"/>
          <w:szCs w:val="28"/>
          <w:vertAlign w:val="subscript"/>
          <w:lang w:val="ru-RU"/>
        </w:rPr>
        <w:t>6</w:t>
      </w:r>
      <w:r w:rsidRPr="00FD7B0B">
        <w:rPr>
          <w:rFonts w:ascii="Times New Roman" w:hAnsi="Times New Roman"/>
          <w:sz w:val="28"/>
          <w:szCs w:val="28"/>
          <w:lang w:val="ru-RU"/>
        </w:rPr>
        <w:t xml:space="preserve"> - проведение капитального ремонта зданий дошкольных образовательных организаций и общеобразовательных организаций, процентов;</w:t>
      </w:r>
    </w:p>
    <w:p w14:paraId="74CB0660" w14:textId="77777777" w:rsidR="000E0D39" w:rsidRPr="00FD7B0B" w:rsidRDefault="000E0D39" w:rsidP="000E0D39">
      <w:pPr>
        <w:pStyle w:val="af1"/>
        <w:spacing w:after="0"/>
        <w:ind w:firstLine="709"/>
        <w:jc w:val="both"/>
        <w:rPr>
          <w:rFonts w:ascii="Times New Roman" w:hAnsi="Times New Roman"/>
          <w:sz w:val="28"/>
          <w:szCs w:val="28"/>
          <w:lang w:val="ru-RU"/>
        </w:rPr>
      </w:pPr>
      <w:r w:rsidRPr="00FD7B0B">
        <w:rPr>
          <w:rFonts w:ascii="Times New Roman" w:hAnsi="Times New Roman"/>
          <w:sz w:val="28"/>
          <w:szCs w:val="28"/>
          <w:lang w:val="ru-RU"/>
        </w:rPr>
        <w:t>К</w:t>
      </w:r>
      <w:r w:rsidRPr="00FD7B0B">
        <w:rPr>
          <w:rFonts w:ascii="Times New Roman" w:hAnsi="Times New Roman"/>
          <w:sz w:val="28"/>
          <w:szCs w:val="28"/>
          <w:vertAlign w:val="subscript"/>
          <w:lang w:val="ru-RU"/>
        </w:rPr>
        <w:t>7</w:t>
      </w:r>
      <w:r w:rsidRPr="00FD7B0B">
        <w:rPr>
          <w:rFonts w:ascii="Times New Roman" w:hAnsi="Times New Roman"/>
          <w:sz w:val="28"/>
          <w:szCs w:val="28"/>
          <w:lang w:val="ru-RU"/>
        </w:rPr>
        <w:t xml:space="preserve"> - доступность дошкольных образовательных организаций и общеобразовательных организаций для инвалидов (детей-инвалидов), процентов;</w:t>
      </w:r>
    </w:p>
    <w:p w14:paraId="238E71E5"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действующий порядок расчета значения показателя «Уровень образования» не соответствует требованиям пункта 12 Приложения № 5 постановления Правительства РФ от 28.01.2025 № 58 в части отсутствия в расчете показателя «Уровень образования» для 2024 года значений компонент K</w:t>
      </w:r>
      <w:r w:rsidRPr="00FD7B0B">
        <w:rPr>
          <w:rFonts w:ascii="Times New Roman" w:eastAsia="Times New Roman" w:hAnsi="Times New Roman" w:cs="Times New Roman"/>
          <w:sz w:val="28"/>
          <w:szCs w:val="28"/>
          <w:vertAlign w:val="subscript"/>
          <w:lang w:eastAsia="ru-RU"/>
        </w:rPr>
        <w:t xml:space="preserve">5, </w:t>
      </w:r>
      <w:r w:rsidRPr="00FD7B0B">
        <w:rPr>
          <w:rFonts w:ascii="Times New Roman" w:eastAsia="Times New Roman" w:hAnsi="Times New Roman" w:cs="Times New Roman"/>
          <w:sz w:val="28"/>
          <w:szCs w:val="28"/>
          <w:lang w:eastAsia="ru-RU"/>
        </w:rPr>
        <w:t>K</w:t>
      </w:r>
      <w:r w:rsidRPr="00FD7B0B">
        <w:rPr>
          <w:rFonts w:ascii="Times New Roman" w:eastAsia="Times New Roman" w:hAnsi="Times New Roman" w:cs="Times New Roman"/>
          <w:sz w:val="28"/>
          <w:szCs w:val="28"/>
          <w:vertAlign w:val="subscript"/>
          <w:lang w:eastAsia="ru-RU"/>
        </w:rPr>
        <w:t xml:space="preserve">6, </w:t>
      </w:r>
      <w:r w:rsidRPr="00FD7B0B">
        <w:rPr>
          <w:rFonts w:ascii="Times New Roman" w:eastAsia="Times New Roman" w:hAnsi="Times New Roman" w:cs="Times New Roman"/>
          <w:sz w:val="28"/>
          <w:szCs w:val="28"/>
          <w:lang w:eastAsia="ru-RU"/>
        </w:rPr>
        <w:t>K</w:t>
      </w:r>
      <w:r w:rsidRPr="00FD7B0B">
        <w:rPr>
          <w:rFonts w:ascii="Times New Roman" w:eastAsia="Times New Roman" w:hAnsi="Times New Roman" w:cs="Times New Roman"/>
          <w:sz w:val="28"/>
          <w:szCs w:val="28"/>
          <w:vertAlign w:val="subscript"/>
          <w:lang w:eastAsia="ru-RU"/>
        </w:rPr>
        <w:t xml:space="preserve">7 </w:t>
      </w:r>
      <w:r w:rsidRPr="00FD7B0B">
        <w:rPr>
          <w:rFonts w:ascii="Times New Roman" w:eastAsia="Times New Roman" w:hAnsi="Times New Roman" w:cs="Times New Roman"/>
          <w:sz w:val="28"/>
          <w:szCs w:val="28"/>
          <w:lang w:eastAsia="ru-RU"/>
        </w:rPr>
        <w:t>и соответствующего числа компонентов (равного для 2024 года 7), по которым проводятся расчеты фактических значений в отчетном году.</w:t>
      </w:r>
    </w:p>
    <w:p w14:paraId="2AB42A2C"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Расчет значения показателя «Уровень образования» по формуле не соответствующей действующим требованиям Приложения № 5 постановления Правительства РФ от 28.01.2025 № 58 приводит к искажению фактически достигнутого значения показателя, что в свою очередь не позволяет рассматривать указанное значение показателя как достоверное.</w:t>
      </w:r>
    </w:p>
    <w:p w14:paraId="5CC29480" w14:textId="77777777" w:rsidR="00632913" w:rsidRPr="00FD7B0B" w:rsidRDefault="00632913" w:rsidP="00632913">
      <w:pPr>
        <w:spacing w:after="0" w:line="240" w:lineRule="auto"/>
        <w:ind w:firstLine="709"/>
        <w:contextualSpacing/>
        <w:jc w:val="both"/>
        <w:rPr>
          <w:rFonts w:ascii="Times New Roman" w:eastAsia="Times New Roman" w:hAnsi="Times New Roman" w:cs="Times New Roman"/>
          <w:sz w:val="28"/>
          <w:szCs w:val="28"/>
          <w:lang w:eastAsia="ru-RU"/>
        </w:rPr>
      </w:pPr>
    </w:p>
    <w:p w14:paraId="2FC7ED62" w14:textId="77777777" w:rsidR="00632913" w:rsidRPr="00FD7B0B" w:rsidRDefault="00632913" w:rsidP="00632913">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Выполнение указов Президента Российской Федерации</w:t>
      </w:r>
    </w:p>
    <w:p w14:paraId="7AC5A1F6" w14:textId="77777777"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Госпрограммой предусмотрено выполнение указов Президента Российской Федерации от 07.05.2012 года № 597 «О мероприятиях по реализации государственной социальной политики», от 01.06.2012 № 761 «О национальной стратегии действий в интересах детей на 2012 – 2017 годы».</w:t>
      </w:r>
    </w:p>
    <w:p w14:paraId="0AE35AB9" w14:textId="27166541"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Министерством образования АО представлены данные о средней заработной плате работников образования за 2024 год </w:t>
      </w:r>
      <w:r w:rsidR="000F778B" w:rsidRPr="00FD7B0B">
        <w:rPr>
          <w:rFonts w:ascii="Times New Roman" w:eastAsia="Times New Roman" w:hAnsi="Times New Roman" w:cs="Times New Roman"/>
          <w:sz w:val="28"/>
          <w:szCs w:val="28"/>
          <w:lang w:eastAsia="ru-RU"/>
        </w:rPr>
        <w:t>в разрезе категорий работников.</w:t>
      </w:r>
    </w:p>
    <w:p w14:paraId="4F1C2487" w14:textId="284B4DE1"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Информация о достижении целевых показателей, установленных указами Президента Российской Федерации, представлена в таблице </w:t>
      </w:r>
      <w:r w:rsidR="00454B5B" w:rsidRPr="00FD7B0B">
        <w:rPr>
          <w:rFonts w:ascii="Times New Roman" w:eastAsia="Times New Roman" w:hAnsi="Times New Roman" w:cs="Times New Roman"/>
          <w:sz w:val="28"/>
          <w:szCs w:val="28"/>
          <w:lang w:eastAsia="ru-RU"/>
        </w:rPr>
        <w:t>94</w:t>
      </w:r>
      <w:r w:rsidRPr="00FD7B0B">
        <w:rPr>
          <w:rFonts w:ascii="Times New Roman" w:eastAsia="Times New Roman" w:hAnsi="Times New Roman" w:cs="Times New Roman"/>
          <w:sz w:val="28"/>
          <w:szCs w:val="28"/>
          <w:lang w:eastAsia="ru-RU"/>
        </w:rPr>
        <w:t>.</w:t>
      </w:r>
    </w:p>
    <w:p w14:paraId="05B2272A" w14:textId="77777777"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p>
    <w:p w14:paraId="6BF774EC" w14:textId="77777777" w:rsidR="00454B5B" w:rsidRPr="00FD7B0B" w:rsidRDefault="00454B5B" w:rsidP="00632913">
      <w:pPr>
        <w:spacing w:after="0" w:line="240" w:lineRule="auto"/>
        <w:rPr>
          <w:rFonts w:ascii="Times New Roman" w:eastAsia="Times New Roman" w:hAnsi="Times New Roman" w:cs="Times New Roman"/>
          <w:bCs/>
          <w:sz w:val="24"/>
          <w:szCs w:val="24"/>
        </w:rPr>
      </w:pPr>
    </w:p>
    <w:p w14:paraId="0F4D66D1" w14:textId="77777777" w:rsidR="00454B5B" w:rsidRPr="00FD7B0B" w:rsidRDefault="00454B5B" w:rsidP="00632913">
      <w:pPr>
        <w:spacing w:after="0" w:line="240" w:lineRule="auto"/>
        <w:rPr>
          <w:rFonts w:ascii="Times New Roman" w:eastAsia="Times New Roman" w:hAnsi="Times New Roman" w:cs="Times New Roman"/>
          <w:bCs/>
          <w:sz w:val="24"/>
          <w:szCs w:val="24"/>
        </w:rPr>
      </w:pPr>
    </w:p>
    <w:p w14:paraId="276E14C1" w14:textId="77777777" w:rsidR="00454B5B" w:rsidRPr="00FD7B0B" w:rsidRDefault="00454B5B" w:rsidP="00632913">
      <w:pPr>
        <w:spacing w:after="0" w:line="240" w:lineRule="auto"/>
        <w:rPr>
          <w:rFonts w:ascii="Times New Roman" w:eastAsia="Times New Roman" w:hAnsi="Times New Roman" w:cs="Times New Roman"/>
          <w:bCs/>
          <w:sz w:val="24"/>
          <w:szCs w:val="24"/>
        </w:rPr>
      </w:pPr>
    </w:p>
    <w:p w14:paraId="451EE5C3" w14:textId="77777777" w:rsidR="00454B5B" w:rsidRPr="00FD7B0B" w:rsidRDefault="00454B5B" w:rsidP="00632913">
      <w:pPr>
        <w:spacing w:after="0" w:line="240" w:lineRule="auto"/>
        <w:rPr>
          <w:rFonts w:ascii="Times New Roman" w:eastAsia="Times New Roman" w:hAnsi="Times New Roman" w:cs="Times New Roman"/>
          <w:bCs/>
          <w:sz w:val="24"/>
          <w:szCs w:val="24"/>
        </w:rPr>
      </w:pPr>
    </w:p>
    <w:p w14:paraId="4D6145C7" w14:textId="77777777" w:rsidR="00454B5B" w:rsidRPr="00FD7B0B" w:rsidRDefault="00454B5B" w:rsidP="00632913">
      <w:pPr>
        <w:spacing w:after="0" w:line="240" w:lineRule="auto"/>
        <w:rPr>
          <w:rFonts w:ascii="Times New Roman" w:eastAsia="Times New Roman" w:hAnsi="Times New Roman" w:cs="Times New Roman"/>
          <w:bCs/>
          <w:sz w:val="24"/>
          <w:szCs w:val="24"/>
        </w:rPr>
      </w:pPr>
    </w:p>
    <w:p w14:paraId="27BEB843" w14:textId="77777777" w:rsidR="00454B5B" w:rsidRPr="00FD7B0B" w:rsidRDefault="00454B5B" w:rsidP="00632913">
      <w:pPr>
        <w:spacing w:after="0" w:line="240" w:lineRule="auto"/>
        <w:rPr>
          <w:rFonts w:ascii="Times New Roman" w:eastAsia="Times New Roman" w:hAnsi="Times New Roman" w:cs="Times New Roman"/>
          <w:bCs/>
          <w:sz w:val="24"/>
          <w:szCs w:val="24"/>
        </w:rPr>
      </w:pPr>
    </w:p>
    <w:p w14:paraId="5AAFBB6E" w14:textId="77777777" w:rsidR="00454B5B" w:rsidRPr="00FD7B0B" w:rsidRDefault="00454B5B" w:rsidP="00632913">
      <w:pPr>
        <w:spacing w:after="0" w:line="240" w:lineRule="auto"/>
        <w:rPr>
          <w:rFonts w:ascii="Times New Roman" w:eastAsia="Times New Roman" w:hAnsi="Times New Roman" w:cs="Times New Roman"/>
          <w:bCs/>
          <w:sz w:val="24"/>
          <w:szCs w:val="24"/>
        </w:rPr>
      </w:pPr>
    </w:p>
    <w:p w14:paraId="592FFCD5" w14:textId="003411B9" w:rsidR="00632913" w:rsidRPr="00FD7B0B" w:rsidRDefault="00632913" w:rsidP="00632913">
      <w:pPr>
        <w:spacing w:after="0" w:line="240" w:lineRule="auto"/>
        <w:rPr>
          <w:rFonts w:ascii="Times New Roman" w:eastAsia="Times New Roman" w:hAnsi="Times New Roman" w:cs="Times New Roman"/>
          <w:bCs/>
          <w:sz w:val="20"/>
          <w:szCs w:val="20"/>
        </w:rPr>
      </w:pPr>
      <w:r w:rsidRPr="00FD7B0B">
        <w:rPr>
          <w:rFonts w:ascii="Times New Roman" w:eastAsia="Times New Roman" w:hAnsi="Times New Roman" w:cs="Times New Roman"/>
          <w:bCs/>
          <w:sz w:val="24"/>
          <w:szCs w:val="24"/>
        </w:rPr>
        <w:lastRenderedPageBreak/>
        <w:t xml:space="preserve">Таблица </w:t>
      </w:r>
      <w:r w:rsidRPr="00FD7B0B">
        <w:rPr>
          <w:rFonts w:ascii="Times New Roman" w:eastAsia="Times New Roman" w:hAnsi="Times New Roman" w:cs="Times New Roman"/>
          <w:bCs/>
          <w:sz w:val="24"/>
          <w:szCs w:val="24"/>
        </w:rPr>
        <w:fldChar w:fldCharType="begin"/>
      </w:r>
      <w:r w:rsidRPr="00FD7B0B">
        <w:rPr>
          <w:rFonts w:ascii="Times New Roman" w:eastAsia="Times New Roman" w:hAnsi="Times New Roman" w:cs="Times New Roman"/>
          <w:bCs/>
          <w:sz w:val="24"/>
          <w:szCs w:val="24"/>
        </w:rPr>
        <w:instrText xml:space="preserve"> SEQ Таблица \* ARABIC </w:instrText>
      </w:r>
      <w:r w:rsidRPr="00FD7B0B">
        <w:rPr>
          <w:rFonts w:ascii="Times New Roman" w:eastAsia="Times New Roman" w:hAnsi="Times New Roman" w:cs="Times New Roman"/>
          <w:bCs/>
          <w:sz w:val="24"/>
          <w:szCs w:val="24"/>
        </w:rPr>
        <w:fldChar w:fldCharType="separate"/>
      </w:r>
      <w:r w:rsidR="002959CD" w:rsidRPr="00FD7B0B">
        <w:rPr>
          <w:rFonts w:ascii="Times New Roman" w:eastAsia="Times New Roman" w:hAnsi="Times New Roman" w:cs="Times New Roman"/>
          <w:bCs/>
          <w:noProof/>
          <w:sz w:val="24"/>
          <w:szCs w:val="24"/>
        </w:rPr>
        <w:t>94</w:t>
      </w:r>
      <w:r w:rsidRPr="00FD7B0B">
        <w:rPr>
          <w:rFonts w:ascii="Times New Roman" w:eastAsia="Times New Roman" w:hAnsi="Times New Roman" w:cs="Times New Roman"/>
          <w:bCs/>
          <w:sz w:val="24"/>
          <w:szCs w:val="24"/>
        </w:rPr>
        <w:fldChar w:fldCharType="end"/>
      </w:r>
      <w:r w:rsidRPr="00FD7B0B">
        <w:rPr>
          <w:rFonts w:ascii="Times New Roman" w:eastAsia="Times New Roman" w:hAnsi="Times New Roman" w:cs="Times New Roman"/>
          <w:bCs/>
          <w:sz w:val="24"/>
          <w:szCs w:val="24"/>
        </w:rPr>
        <w:t>. Сведения о выполнении индикативных значений средней заработной платы работников образования за 2024 год</w:t>
      </w:r>
    </w:p>
    <w:tbl>
      <w:tblPr>
        <w:tblW w:w="956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813"/>
        <w:gridCol w:w="1134"/>
        <w:gridCol w:w="1275"/>
        <w:gridCol w:w="1134"/>
        <w:gridCol w:w="1134"/>
        <w:gridCol w:w="1075"/>
      </w:tblGrid>
      <w:tr w:rsidR="00FD7B0B" w:rsidRPr="00FD7B0B" w14:paraId="30C2BCB7" w14:textId="77777777" w:rsidTr="00454B5B">
        <w:trPr>
          <w:trHeight w:val="1098"/>
          <w:tblHeader/>
        </w:trPr>
        <w:tc>
          <w:tcPr>
            <w:tcW w:w="3813" w:type="dxa"/>
            <w:vMerge w:val="restart"/>
            <w:shd w:val="clear" w:color="auto" w:fill="auto"/>
            <w:vAlign w:val="center"/>
            <w:hideMark/>
          </w:tcPr>
          <w:p w14:paraId="2103635A"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Категория работников</w:t>
            </w:r>
          </w:p>
        </w:tc>
        <w:tc>
          <w:tcPr>
            <w:tcW w:w="2409" w:type="dxa"/>
            <w:gridSpan w:val="2"/>
            <w:shd w:val="clear" w:color="auto" w:fill="auto"/>
            <w:vAlign w:val="center"/>
            <w:hideMark/>
          </w:tcPr>
          <w:p w14:paraId="1A0743B9"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Отношение средней заработной платы работников образования к среднемесячному доходу от трудовой деятельности в АО, %</w:t>
            </w:r>
          </w:p>
        </w:tc>
        <w:tc>
          <w:tcPr>
            <w:tcW w:w="1134" w:type="dxa"/>
            <w:vMerge w:val="restart"/>
            <w:shd w:val="clear" w:color="auto" w:fill="auto"/>
            <w:vAlign w:val="center"/>
            <w:hideMark/>
          </w:tcPr>
          <w:p w14:paraId="23BDC363"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выполнения</w:t>
            </w:r>
          </w:p>
        </w:tc>
        <w:tc>
          <w:tcPr>
            <w:tcW w:w="2209" w:type="dxa"/>
            <w:gridSpan w:val="2"/>
            <w:shd w:val="clear" w:color="auto" w:fill="auto"/>
            <w:vAlign w:val="center"/>
            <w:hideMark/>
          </w:tcPr>
          <w:p w14:paraId="41FD62C3"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Средняя заработная плата работников образования за 2024 год, руб.</w:t>
            </w:r>
          </w:p>
        </w:tc>
      </w:tr>
      <w:tr w:rsidR="00FD7B0B" w:rsidRPr="00FD7B0B" w14:paraId="614C9739" w14:textId="77777777" w:rsidTr="00454B5B">
        <w:trPr>
          <w:trHeight w:val="172"/>
          <w:tblHeader/>
        </w:trPr>
        <w:tc>
          <w:tcPr>
            <w:tcW w:w="3813" w:type="dxa"/>
            <w:vMerge/>
            <w:vAlign w:val="center"/>
            <w:hideMark/>
          </w:tcPr>
          <w:p w14:paraId="39CE8535" w14:textId="77777777" w:rsidR="00632913" w:rsidRPr="00FD7B0B" w:rsidRDefault="00632913" w:rsidP="00632913">
            <w:pPr>
              <w:spacing w:after="0" w:line="240" w:lineRule="auto"/>
              <w:rPr>
                <w:rFonts w:ascii="Times New Roman" w:eastAsia="Times New Roman" w:hAnsi="Times New Roman" w:cs="Times New Roman"/>
                <w:sz w:val="20"/>
                <w:szCs w:val="20"/>
                <w:lang w:eastAsia="ru-RU"/>
              </w:rPr>
            </w:pPr>
          </w:p>
        </w:tc>
        <w:tc>
          <w:tcPr>
            <w:tcW w:w="1134" w:type="dxa"/>
            <w:shd w:val="clear" w:color="auto" w:fill="auto"/>
            <w:vAlign w:val="center"/>
            <w:hideMark/>
          </w:tcPr>
          <w:p w14:paraId="42D91C18"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 2024 год</w:t>
            </w:r>
          </w:p>
        </w:tc>
        <w:tc>
          <w:tcPr>
            <w:tcW w:w="1275" w:type="dxa"/>
            <w:shd w:val="clear" w:color="auto" w:fill="auto"/>
            <w:vAlign w:val="center"/>
            <w:hideMark/>
          </w:tcPr>
          <w:p w14:paraId="1E179665"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 2024 год</w:t>
            </w:r>
          </w:p>
        </w:tc>
        <w:tc>
          <w:tcPr>
            <w:tcW w:w="1134" w:type="dxa"/>
            <w:vMerge/>
            <w:vAlign w:val="center"/>
            <w:hideMark/>
          </w:tcPr>
          <w:p w14:paraId="09F153B9" w14:textId="77777777" w:rsidR="00632913" w:rsidRPr="00FD7B0B" w:rsidRDefault="00632913" w:rsidP="00632913">
            <w:pPr>
              <w:spacing w:after="0" w:line="240" w:lineRule="auto"/>
              <w:rPr>
                <w:rFonts w:ascii="Times New Roman" w:eastAsia="Times New Roman" w:hAnsi="Times New Roman" w:cs="Times New Roman"/>
                <w:sz w:val="20"/>
                <w:szCs w:val="20"/>
                <w:lang w:eastAsia="ru-RU"/>
              </w:rPr>
            </w:pPr>
          </w:p>
        </w:tc>
        <w:tc>
          <w:tcPr>
            <w:tcW w:w="1134" w:type="dxa"/>
            <w:shd w:val="clear" w:color="auto" w:fill="auto"/>
            <w:vAlign w:val="center"/>
            <w:hideMark/>
          </w:tcPr>
          <w:p w14:paraId="0A258813"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1075" w:type="dxa"/>
            <w:shd w:val="clear" w:color="auto" w:fill="auto"/>
            <w:vAlign w:val="center"/>
            <w:hideMark/>
          </w:tcPr>
          <w:p w14:paraId="5CE1E64A"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w:t>
            </w:r>
          </w:p>
        </w:tc>
      </w:tr>
      <w:tr w:rsidR="00FD7B0B" w:rsidRPr="00FD7B0B" w14:paraId="4ED78B70" w14:textId="77777777" w:rsidTr="000F778B">
        <w:trPr>
          <w:trHeight w:val="375"/>
        </w:trPr>
        <w:tc>
          <w:tcPr>
            <w:tcW w:w="3813" w:type="dxa"/>
            <w:shd w:val="clear" w:color="auto" w:fill="auto"/>
            <w:vAlign w:val="center"/>
            <w:hideMark/>
          </w:tcPr>
          <w:p w14:paraId="52524697" w14:textId="77777777" w:rsidR="00632913" w:rsidRPr="00FD7B0B" w:rsidRDefault="00632913" w:rsidP="00632913">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Педагогические работники дошкольных образовательных учреждений</w:t>
            </w:r>
          </w:p>
        </w:tc>
        <w:tc>
          <w:tcPr>
            <w:tcW w:w="1134" w:type="dxa"/>
            <w:shd w:val="clear" w:color="auto" w:fill="auto"/>
            <w:noWrap/>
            <w:vAlign w:val="center"/>
            <w:hideMark/>
          </w:tcPr>
          <w:p w14:paraId="396AE360"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1275" w:type="dxa"/>
            <w:shd w:val="clear" w:color="auto" w:fill="auto"/>
            <w:vAlign w:val="center"/>
            <w:hideMark/>
          </w:tcPr>
          <w:p w14:paraId="54A1AF84"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95,7</w:t>
            </w:r>
          </w:p>
        </w:tc>
        <w:tc>
          <w:tcPr>
            <w:tcW w:w="1134" w:type="dxa"/>
            <w:shd w:val="clear" w:color="auto" w:fill="auto"/>
            <w:noWrap/>
            <w:vAlign w:val="center"/>
            <w:hideMark/>
          </w:tcPr>
          <w:p w14:paraId="59D74C65"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95,8</w:t>
            </w:r>
          </w:p>
        </w:tc>
        <w:tc>
          <w:tcPr>
            <w:tcW w:w="1134" w:type="dxa"/>
            <w:shd w:val="clear" w:color="auto" w:fill="auto"/>
            <w:noWrap/>
            <w:vAlign w:val="center"/>
            <w:hideMark/>
          </w:tcPr>
          <w:p w14:paraId="339A98AE"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58 369,39</w:t>
            </w:r>
          </w:p>
        </w:tc>
        <w:tc>
          <w:tcPr>
            <w:tcW w:w="1075" w:type="dxa"/>
            <w:shd w:val="clear" w:color="auto" w:fill="auto"/>
            <w:noWrap/>
            <w:vAlign w:val="center"/>
            <w:hideMark/>
          </w:tcPr>
          <w:p w14:paraId="4CE02AD2"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55 914,48</w:t>
            </w:r>
          </w:p>
        </w:tc>
      </w:tr>
      <w:tr w:rsidR="00FD7B0B" w:rsidRPr="00FD7B0B" w14:paraId="1D019213" w14:textId="77777777" w:rsidTr="000F778B">
        <w:trPr>
          <w:trHeight w:val="310"/>
        </w:trPr>
        <w:tc>
          <w:tcPr>
            <w:tcW w:w="3813" w:type="dxa"/>
            <w:shd w:val="clear" w:color="auto" w:fill="auto"/>
            <w:vAlign w:val="center"/>
            <w:hideMark/>
          </w:tcPr>
          <w:p w14:paraId="3E0D16AA" w14:textId="77777777" w:rsidR="00632913" w:rsidRPr="00FD7B0B" w:rsidRDefault="00632913" w:rsidP="00632913">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Педагогические работники образовательных организаций </w:t>
            </w:r>
          </w:p>
        </w:tc>
        <w:tc>
          <w:tcPr>
            <w:tcW w:w="1134" w:type="dxa"/>
            <w:shd w:val="clear" w:color="auto" w:fill="auto"/>
            <w:noWrap/>
            <w:vAlign w:val="center"/>
            <w:hideMark/>
          </w:tcPr>
          <w:p w14:paraId="172B3C78"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1275" w:type="dxa"/>
            <w:shd w:val="clear" w:color="auto" w:fill="auto"/>
            <w:noWrap/>
            <w:vAlign w:val="center"/>
            <w:hideMark/>
          </w:tcPr>
          <w:p w14:paraId="70BB90B9"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96,6</w:t>
            </w:r>
          </w:p>
        </w:tc>
        <w:tc>
          <w:tcPr>
            <w:tcW w:w="1134" w:type="dxa"/>
            <w:shd w:val="clear" w:color="auto" w:fill="auto"/>
            <w:noWrap/>
            <w:vAlign w:val="center"/>
            <w:hideMark/>
          </w:tcPr>
          <w:p w14:paraId="66ABEDD5"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96,6</w:t>
            </w:r>
          </w:p>
        </w:tc>
        <w:tc>
          <w:tcPr>
            <w:tcW w:w="1134" w:type="dxa"/>
            <w:shd w:val="clear" w:color="auto" w:fill="auto"/>
            <w:noWrap/>
            <w:vAlign w:val="center"/>
            <w:hideMark/>
          </w:tcPr>
          <w:p w14:paraId="6CD0027B"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66 199,50</w:t>
            </w:r>
          </w:p>
        </w:tc>
        <w:tc>
          <w:tcPr>
            <w:tcW w:w="1075" w:type="dxa"/>
            <w:shd w:val="clear" w:color="auto" w:fill="auto"/>
            <w:noWrap/>
            <w:vAlign w:val="center"/>
            <w:hideMark/>
          </w:tcPr>
          <w:p w14:paraId="02FC1D6D"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63 921,37</w:t>
            </w:r>
          </w:p>
        </w:tc>
      </w:tr>
      <w:tr w:rsidR="00FD7B0B" w:rsidRPr="00FD7B0B" w14:paraId="7AD4162B" w14:textId="77777777" w:rsidTr="00D66712">
        <w:trPr>
          <w:trHeight w:val="260"/>
        </w:trPr>
        <w:tc>
          <w:tcPr>
            <w:tcW w:w="3813" w:type="dxa"/>
            <w:shd w:val="clear" w:color="auto" w:fill="auto"/>
            <w:vAlign w:val="center"/>
            <w:hideMark/>
          </w:tcPr>
          <w:p w14:paraId="604DB493" w14:textId="77777777" w:rsidR="00632913" w:rsidRPr="00FD7B0B" w:rsidRDefault="00632913" w:rsidP="00632913">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Педагогические работники учреждений дополнительного образования детей</w:t>
            </w:r>
          </w:p>
        </w:tc>
        <w:tc>
          <w:tcPr>
            <w:tcW w:w="1134" w:type="dxa"/>
            <w:shd w:val="clear" w:color="auto" w:fill="auto"/>
            <w:noWrap/>
            <w:vAlign w:val="center"/>
            <w:hideMark/>
          </w:tcPr>
          <w:p w14:paraId="20155BCC"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1275" w:type="dxa"/>
            <w:shd w:val="clear" w:color="auto" w:fill="auto"/>
            <w:noWrap/>
            <w:vAlign w:val="center"/>
            <w:hideMark/>
          </w:tcPr>
          <w:p w14:paraId="6E6F6644"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98,3</w:t>
            </w:r>
          </w:p>
        </w:tc>
        <w:tc>
          <w:tcPr>
            <w:tcW w:w="1134" w:type="dxa"/>
            <w:shd w:val="clear" w:color="auto" w:fill="auto"/>
            <w:noWrap/>
            <w:vAlign w:val="center"/>
            <w:hideMark/>
          </w:tcPr>
          <w:p w14:paraId="42B331A5"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98,3</w:t>
            </w:r>
          </w:p>
        </w:tc>
        <w:tc>
          <w:tcPr>
            <w:tcW w:w="1134" w:type="dxa"/>
            <w:shd w:val="clear" w:color="auto" w:fill="auto"/>
            <w:noWrap/>
            <w:vAlign w:val="center"/>
            <w:hideMark/>
          </w:tcPr>
          <w:p w14:paraId="6F8452FE"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65 110,17</w:t>
            </w:r>
          </w:p>
        </w:tc>
        <w:tc>
          <w:tcPr>
            <w:tcW w:w="1075" w:type="dxa"/>
            <w:shd w:val="clear" w:color="auto" w:fill="auto"/>
            <w:noWrap/>
            <w:vAlign w:val="center"/>
            <w:hideMark/>
          </w:tcPr>
          <w:p w14:paraId="4270C220"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64 006,16</w:t>
            </w:r>
          </w:p>
        </w:tc>
      </w:tr>
      <w:tr w:rsidR="00FD7B0B" w:rsidRPr="00FD7B0B" w14:paraId="62C13E84" w14:textId="77777777" w:rsidTr="00632913">
        <w:trPr>
          <w:trHeight w:val="567"/>
        </w:trPr>
        <w:tc>
          <w:tcPr>
            <w:tcW w:w="3813" w:type="dxa"/>
            <w:shd w:val="clear" w:color="auto" w:fill="auto"/>
            <w:vAlign w:val="center"/>
            <w:hideMark/>
          </w:tcPr>
          <w:p w14:paraId="356379F1" w14:textId="77777777" w:rsidR="00632913" w:rsidRPr="00FD7B0B" w:rsidRDefault="00632913" w:rsidP="00632913">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Педагогические работники организаций для детей сирот и детей, оставшихся без попечения родителей </w:t>
            </w:r>
          </w:p>
        </w:tc>
        <w:tc>
          <w:tcPr>
            <w:tcW w:w="1134" w:type="dxa"/>
            <w:shd w:val="clear" w:color="auto" w:fill="auto"/>
            <w:noWrap/>
            <w:vAlign w:val="center"/>
            <w:hideMark/>
          </w:tcPr>
          <w:p w14:paraId="4449D204"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1275" w:type="dxa"/>
            <w:shd w:val="clear" w:color="auto" w:fill="auto"/>
            <w:noWrap/>
            <w:vAlign w:val="center"/>
            <w:hideMark/>
          </w:tcPr>
          <w:p w14:paraId="5F0AB785"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97,4</w:t>
            </w:r>
          </w:p>
        </w:tc>
        <w:tc>
          <w:tcPr>
            <w:tcW w:w="1134" w:type="dxa"/>
            <w:shd w:val="clear" w:color="auto" w:fill="auto"/>
            <w:noWrap/>
            <w:vAlign w:val="center"/>
            <w:hideMark/>
          </w:tcPr>
          <w:p w14:paraId="392F61E0"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97,4</w:t>
            </w:r>
          </w:p>
        </w:tc>
        <w:tc>
          <w:tcPr>
            <w:tcW w:w="1134" w:type="dxa"/>
            <w:shd w:val="clear" w:color="auto" w:fill="auto"/>
            <w:noWrap/>
            <w:vAlign w:val="center"/>
            <w:hideMark/>
          </w:tcPr>
          <w:p w14:paraId="69CAB22D"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66 199,50</w:t>
            </w:r>
          </w:p>
        </w:tc>
        <w:tc>
          <w:tcPr>
            <w:tcW w:w="1075" w:type="dxa"/>
            <w:shd w:val="clear" w:color="auto" w:fill="auto"/>
            <w:noWrap/>
            <w:vAlign w:val="center"/>
            <w:hideMark/>
          </w:tcPr>
          <w:p w14:paraId="20226674"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64 499,30</w:t>
            </w:r>
          </w:p>
        </w:tc>
      </w:tr>
      <w:tr w:rsidR="00632913" w:rsidRPr="00FD7B0B" w14:paraId="6DC15AC2" w14:textId="77777777" w:rsidTr="00632913">
        <w:trPr>
          <w:trHeight w:val="567"/>
        </w:trPr>
        <w:tc>
          <w:tcPr>
            <w:tcW w:w="3813" w:type="dxa"/>
            <w:shd w:val="clear" w:color="auto" w:fill="auto"/>
            <w:vAlign w:val="center"/>
            <w:hideMark/>
          </w:tcPr>
          <w:p w14:paraId="2A8827A5" w14:textId="77777777" w:rsidR="00632913" w:rsidRPr="00FD7B0B" w:rsidRDefault="00632913" w:rsidP="00632913">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Преподаватели и мастера производственного обучения профессиональных образовательных организаций</w:t>
            </w:r>
          </w:p>
        </w:tc>
        <w:tc>
          <w:tcPr>
            <w:tcW w:w="1134" w:type="dxa"/>
            <w:shd w:val="clear" w:color="auto" w:fill="auto"/>
            <w:noWrap/>
            <w:vAlign w:val="center"/>
            <w:hideMark/>
          </w:tcPr>
          <w:p w14:paraId="4465A8AD"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1275" w:type="dxa"/>
            <w:shd w:val="clear" w:color="auto" w:fill="auto"/>
            <w:noWrap/>
            <w:vAlign w:val="center"/>
            <w:hideMark/>
          </w:tcPr>
          <w:p w14:paraId="0B04D67C"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98,0</w:t>
            </w:r>
          </w:p>
        </w:tc>
        <w:tc>
          <w:tcPr>
            <w:tcW w:w="1134" w:type="dxa"/>
            <w:shd w:val="clear" w:color="auto" w:fill="auto"/>
            <w:noWrap/>
            <w:vAlign w:val="center"/>
            <w:hideMark/>
          </w:tcPr>
          <w:p w14:paraId="53A4FA29"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98,0</w:t>
            </w:r>
          </w:p>
        </w:tc>
        <w:tc>
          <w:tcPr>
            <w:tcW w:w="1134" w:type="dxa"/>
            <w:shd w:val="clear" w:color="auto" w:fill="auto"/>
            <w:noWrap/>
            <w:vAlign w:val="center"/>
            <w:hideMark/>
          </w:tcPr>
          <w:p w14:paraId="7B1DC9B0"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66 199,50</w:t>
            </w:r>
          </w:p>
        </w:tc>
        <w:tc>
          <w:tcPr>
            <w:tcW w:w="1075" w:type="dxa"/>
            <w:shd w:val="clear" w:color="auto" w:fill="auto"/>
            <w:noWrap/>
            <w:vAlign w:val="center"/>
            <w:hideMark/>
          </w:tcPr>
          <w:p w14:paraId="40CF5A20" w14:textId="77777777" w:rsidR="00632913" w:rsidRPr="00FD7B0B" w:rsidRDefault="00632913" w:rsidP="00632913">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64 897,14</w:t>
            </w:r>
          </w:p>
        </w:tc>
      </w:tr>
    </w:tbl>
    <w:p w14:paraId="2DC3BC37" w14:textId="77777777" w:rsidR="00632913" w:rsidRPr="00FD7B0B" w:rsidRDefault="00632913" w:rsidP="00632913">
      <w:pPr>
        <w:spacing w:after="0" w:line="240" w:lineRule="auto"/>
        <w:rPr>
          <w:rFonts w:ascii="Times New Roman" w:eastAsia="Times New Roman" w:hAnsi="Times New Roman" w:cs="Times New Roman"/>
          <w:bCs/>
          <w:sz w:val="24"/>
          <w:szCs w:val="24"/>
        </w:rPr>
      </w:pPr>
    </w:p>
    <w:p w14:paraId="35A014ED" w14:textId="64546CCF" w:rsidR="00916171" w:rsidRPr="00FD7B0B" w:rsidRDefault="00916171" w:rsidP="00916171">
      <w:pPr>
        <w:spacing w:after="0" w:line="240" w:lineRule="auto"/>
        <w:ind w:firstLine="709"/>
        <w:jc w:val="both"/>
        <w:rPr>
          <w:rFonts w:ascii="Times New Roman" w:eastAsia="Times New Roman" w:hAnsi="Times New Roman" w:cs="Times New Roman"/>
          <w:iCs/>
          <w:sz w:val="28"/>
          <w:szCs w:val="28"/>
          <w:lang w:eastAsia="ru-RU"/>
        </w:rPr>
      </w:pPr>
      <w:r w:rsidRPr="00FD7B0B">
        <w:rPr>
          <w:rFonts w:ascii="Times New Roman" w:eastAsia="Times New Roman" w:hAnsi="Times New Roman" w:cs="Times New Roman"/>
          <w:iCs/>
          <w:sz w:val="28"/>
          <w:szCs w:val="28"/>
          <w:lang w:eastAsia="ru-RU"/>
        </w:rPr>
        <w:t>В 2024 году не удалось достичь выполнения индикативных значений средней заработной платы, установленных указами Президента Российской Федерации.</w:t>
      </w:r>
    </w:p>
    <w:p w14:paraId="43817196" w14:textId="77777777"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Указу Президента РФ от 07.05.2012 № 597 «О мероприятиях по реализации государственной социальной политики» (далее – Указ Президента РФ от 07.05.2012 № 597), необходимо обеспечить доведение к 2018 году средней заработной платы преподавателей и мастеров производственного обучения образовательных учреждений начального и среднего профессионального образования до средней заработной платы в соответствующем регионе (далее – целевой показатель).</w:t>
      </w:r>
    </w:p>
    <w:p w14:paraId="57EF6FDE" w14:textId="77777777" w:rsidR="00632913" w:rsidRPr="00FD7B0B" w:rsidRDefault="00632913" w:rsidP="00632913">
      <w:pPr>
        <w:spacing w:after="2" w:line="240" w:lineRule="atLeast"/>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соответствии с показателями прогноза социально-экономического развития Архангельской области на 2024 год среднемесячная начисленная заработная плата наемных работников в организациях, у индивидуальных предпринимателей и физических лиц (среднемесячный доход от трудовой деятельности) по базовому варианту составит 65 450,07 рублей.</w:t>
      </w:r>
    </w:p>
    <w:p w14:paraId="17A37277" w14:textId="078EB67A" w:rsidR="00632913" w:rsidRPr="00FD7B0B" w:rsidRDefault="00454B5B" w:rsidP="00632913">
      <w:pPr>
        <w:spacing w:after="2" w:line="240" w:lineRule="atLeast"/>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w:t>
      </w:r>
      <w:r w:rsidR="00632913" w:rsidRPr="00FD7B0B">
        <w:rPr>
          <w:rFonts w:ascii="Times New Roman" w:eastAsia="Times New Roman" w:hAnsi="Times New Roman" w:cs="Times New Roman"/>
          <w:sz w:val="28"/>
          <w:szCs w:val="28"/>
          <w:lang w:eastAsia="ru-RU"/>
        </w:rPr>
        <w:t xml:space="preserve"> опубликованным данным Росстата АО (источник </w:t>
      </w:r>
      <w:hyperlink r:id="rId22" w:history="1">
        <w:r w:rsidR="00632913" w:rsidRPr="00FD7B0B">
          <w:rPr>
            <w:rStyle w:val="afb"/>
            <w:rFonts w:ascii="Times New Roman" w:eastAsia="Times New Roman" w:hAnsi="Times New Roman" w:cs="Times New Roman"/>
            <w:color w:val="auto"/>
            <w:sz w:val="28"/>
            <w:szCs w:val="28"/>
            <w:lang w:eastAsia="ru-RU"/>
          </w:rPr>
          <w:t>https://29.rosstat.gov.ru/storage/mediabank/АО%20без%20НАО.xlsx</w:t>
        </w:r>
      </w:hyperlink>
      <w:r w:rsidR="00632913" w:rsidRPr="00FD7B0B">
        <w:rPr>
          <w:rFonts w:ascii="Times New Roman" w:eastAsia="Times New Roman" w:hAnsi="Times New Roman" w:cs="Times New Roman"/>
          <w:sz w:val="28"/>
          <w:szCs w:val="28"/>
          <w:lang w:eastAsia="ru-RU"/>
        </w:rPr>
        <w:t>) в 2024 году уровень средней заработной платы в регионе фактически составил 80 510,96 рубля, в том числе по месяцам:</w:t>
      </w:r>
    </w:p>
    <w:tbl>
      <w:tblPr>
        <w:tblStyle w:val="a7"/>
        <w:tblW w:w="929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65"/>
        <w:gridCol w:w="774"/>
        <w:gridCol w:w="770"/>
        <w:gridCol w:w="770"/>
        <w:gridCol w:w="770"/>
        <w:gridCol w:w="770"/>
        <w:gridCol w:w="770"/>
        <w:gridCol w:w="770"/>
        <w:gridCol w:w="822"/>
        <w:gridCol w:w="772"/>
        <w:gridCol w:w="770"/>
        <w:gridCol w:w="772"/>
      </w:tblGrid>
      <w:tr w:rsidR="00FD7B0B" w:rsidRPr="00FD7B0B" w14:paraId="7CFBB6BD" w14:textId="77777777" w:rsidTr="00D66712">
        <w:trPr>
          <w:trHeight w:val="191"/>
        </w:trPr>
        <w:tc>
          <w:tcPr>
            <w:tcW w:w="771" w:type="dxa"/>
          </w:tcPr>
          <w:p w14:paraId="746AF866"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64581,9</w:t>
            </w:r>
          </w:p>
        </w:tc>
        <w:tc>
          <w:tcPr>
            <w:tcW w:w="774" w:type="dxa"/>
          </w:tcPr>
          <w:p w14:paraId="46C85199"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65175,7</w:t>
            </w:r>
          </w:p>
        </w:tc>
        <w:tc>
          <w:tcPr>
            <w:tcW w:w="775" w:type="dxa"/>
          </w:tcPr>
          <w:p w14:paraId="0DEF2DD5"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67449,7</w:t>
            </w:r>
          </w:p>
        </w:tc>
        <w:tc>
          <w:tcPr>
            <w:tcW w:w="775" w:type="dxa"/>
          </w:tcPr>
          <w:p w14:paraId="2BBDF04A"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68523,4</w:t>
            </w:r>
          </w:p>
        </w:tc>
        <w:tc>
          <w:tcPr>
            <w:tcW w:w="775" w:type="dxa"/>
          </w:tcPr>
          <w:p w14:paraId="30B80B4B"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74562,3</w:t>
            </w:r>
          </w:p>
        </w:tc>
        <w:tc>
          <w:tcPr>
            <w:tcW w:w="775" w:type="dxa"/>
          </w:tcPr>
          <w:p w14:paraId="1F960FDE"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79848,8</w:t>
            </w:r>
          </w:p>
        </w:tc>
        <w:tc>
          <w:tcPr>
            <w:tcW w:w="775" w:type="dxa"/>
          </w:tcPr>
          <w:p w14:paraId="5AEB8666"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68205,3</w:t>
            </w:r>
          </w:p>
        </w:tc>
        <w:tc>
          <w:tcPr>
            <w:tcW w:w="775" w:type="dxa"/>
          </w:tcPr>
          <w:p w14:paraId="188FCD3A"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65072,3</w:t>
            </w:r>
          </w:p>
        </w:tc>
        <w:tc>
          <w:tcPr>
            <w:tcW w:w="775" w:type="dxa"/>
          </w:tcPr>
          <w:p w14:paraId="5FC0D933"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69814,4</w:t>
            </w:r>
          </w:p>
        </w:tc>
        <w:tc>
          <w:tcPr>
            <w:tcW w:w="775" w:type="dxa"/>
          </w:tcPr>
          <w:p w14:paraId="04595D09"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70808,6</w:t>
            </w:r>
          </w:p>
        </w:tc>
        <w:tc>
          <w:tcPr>
            <w:tcW w:w="775" w:type="dxa"/>
          </w:tcPr>
          <w:p w14:paraId="7352DE22"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72197,4</w:t>
            </w:r>
          </w:p>
        </w:tc>
        <w:tc>
          <w:tcPr>
            <w:tcW w:w="775" w:type="dxa"/>
          </w:tcPr>
          <w:p w14:paraId="4D20C393"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94564,1</w:t>
            </w:r>
          </w:p>
        </w:tc>
      </w:tr>
      <w:tr w:rsidR="00632913" w:rsidRPr="00FD7B0B" w14:paraId="10C3B1A0" w14:textId="77777777" w:rsidTr="00D66712">
        <w:trPr>
          <w:trHeight w:val="164"/>
        </w:trPr>
        <w:tc>
          <w:tcPr>
            <w:tcW w:w="771" w:type="dxa"/>
          </w:tcPr>
          <w:p w14:paraId="5F9E76C8"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январь</w:t>
            </w:r>
          </w:p>
        </w:tc>
        <w:tc>
          <w:tcPr>
            <w:tcW w:w="774" w:type="dxa"/>
          </w:tcPr>
          <w:p w14:paraId="5D3FB5E3"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февраль</w:t>
            </w:r>
          </w:p>
        </w:tc>
        <w:tc>
          <w:tcPr>
            <w:tcW w:w="775" w:type="dxa"/>
          </w:tcPr>
          <w:p w14:paraId="7031C07F"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март</w:t>
            </w:r>
          </w:p>
        </w:tc>
        <w:tc>
          <w:tcPr>
            <w:tcW w:w="775" w:type="dxa"/>
          </w:tcPr>
          <w:p w14:paraId="3FB2ABB7"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апрель</w:t>
            </w:r>
          </w:p>
        </w:tc>
        <w:tc>
          <w:tcPr>
            <w:tcW w:w="775" w:type="dxa"/>
          </w:tcPr>
          <w:p w14:paraId="447274C1"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май</w:t>
            </w:r>
          </w:p>
        </w:tc>
        <w:tc>
          <w:tcPr>
            <w:tcW w:w="775" w:type="dxa"/>
          </w:tcPr>
          <w:p w14:paraId="75F5F1D1"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июнь</w:t>
            </w:r>
          </w:p>
        </w:tc>
        <w:tc>
          <w:tcPr>
            <w:tcW w:w="775" w:type="dxa"/>
          </w:tcPr>
          <w:p w14:paraId="774AD9BB"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июль</w:t>
            </w:r>
          </w:p>
        </w:tc>
        <w:tc>
          <w:tcPr>
            <w:tcW w:w="775" w:type="dxa"/>
          </w:tcPr>
          <w:p w14:paraId="0D8FD00D"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август</w:t>
            </w:r>
          </w:p>
        </w:tc>
        <w:tc>
          <w:tcPr>
            <w:tcW w:w="775" w:type="dxa"/>
          </w:tcPr>
          <w:p w14:paraId="612D329A"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сентябрь</w:t>
            </w:r>
          </w:p>
        </w:tc>
        <w:tc>
          <w:tcPr>
            <w:tcW w:w="775" w:type="dxa"/>
          </w:tcPr>
          <w:p w14:paraId="1DFB1A69"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октябрь</w:t>
            </w:r>
          </w:p>
        </w:tc>
        <w:tc>
          <w:tcPr>
            <w:tcW w:w="775" w:type="dxa"/>
          </w:tcPr>
          <w:p w14:paraId="4530E72A"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ноябрь</w:t>
            </w:r>
          </w:p>
        </w:tc>
        <w:tc>
          <w:tcPr>
            <w:tcW w:w="775" w:type="dxa"/>
          </w:tcPr>
          <w:p w14:paraId="002118DE" w14:textId="77777777" w:rsidR="00632913" w:rsidRPr="00FD7B0B" w:rsidRDefault="00632913" w:rsidP="00632913">
            <w:pPr>
              <w:spacing w:after="2"/>
              <w:jc w:val="both"/>
              <w:rPr>
                <w:rFonts w:ascii="Times New Roman" w:eastAsia="Times New Roman" w:hAnsi="Times New Roman"/>
                <w:sz w:val="16"/>
                <w:szCs w:val="16"/>
              </w:rPr>
            </w:pPr>
            <w:r w:rsidRPr="00FD7B0B">
              <w:rPr>
                <w:rFonts w:ascii="Times New Roman" w:eastAsia="Times New Roman" w:hAnsi="Times New Roman"/>
                <w:sz w:val="16"/>
                <w:szCs w:val="16"/>
              </w:rPr>
              <w:t>декабрь</w:t>
            </w:r>
          </w:p>
        </w:tc>
      </w:tr>
    </w:tbl>
    <w:p w14:paraId="3E820AB6" w14:textId="77777777" w:rsidR="00632913" w:rsidRPr="00FD7B0B" w:rsidRDefault="00632913" w:rsidP="00632913">
      <w:pPr>
        <w:spacing w:after="2" w:line="240" w:lineRule="auto"/>
        <w:ind w:firstLine="709"/>
        <w:jc w:val="both"/>
        <w:rPr>
          <w:rFonts w:ascii="Times New Roman" w:eastAsia="Times New Roman" w:hAnsi="Times New Roman" w:cs="Times New Roman"/>
          <w:sz w:val="28"/>
          <w:szCs w:val="28"/>
          <w:lang w:eastAsia="ru-RU"/>
        </w:rPr>
      </w:pPr>
    </w:p>
    <w:p w14:paraId="1DE1CA2F" w14:textId="77777777" w:rsidR="00632913" w:rsidRPr="00FD7B0B" w:rsidRDefault="00632913" w:rsidP="00632913">
      <w:pPr>
        <w:spacing w:after="2"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Значения показателей результативности предоставления Субсидии на финансовое обеспечение выполнения государственного задания на оказание государственных услуг (выполнение работ) соответствующие среднему уровню заработной платы в регионе в соответствии с показателями прогноза социально-</w:t>
      </w:r>
      <w:r w:rsidRPr="00FD7B0B">
        <w:rPr>
          <w:rFonts w:ascii="Times New Roman" w:eastAsia="Times New Roman" w:hAnsi="Times New Roman" w:cs="Times New Roman"/>
          <w:sz w:val="28"/>
          <w:szCs w:val="28"/>
          <w:lang w:eastAsia="ru-RU"/>
        </w:rPr>
        <w:lastRenderedPageBreak/>
        <w:t>экономического развития Архангельской области на 2024 год установлены министерством 12 профессиональным образовательным организациям из 34.</w:t>
      </w:r>
    </w:p>
    <w:p w14:paraId="7A161F7F" w14:textId="77777777" w:rsidR="00632913" w:rsidRPr="00FD7B0B" w:rsidRDefault="00632913" w:rsidP="00632913">
      <w:pPr>
        <w:spacing w:after="2"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Наиболее низкие целевые показатели министерством образования АО в 2024 году установлены для следующих профессиональных образовательных организаций: ГБПОУ АО «Верхнетоемский лесной техникум» - 51 497,33 руб., ГБПОУ АО «Каргопольский педколледж» - 55 259,49 руб., ГБПОУ АО «Котласский педагогический колледж имени А.М. Меркушева» - 57 787,53 руб., ГАПОУ АО «Архангельский торгово-экономический колледж» - 57 147,57 руб. </w:t>
      </w:r>
    </w:p>
    <w:p w14:paraId="3DC354B5" w14:textId="6CF84731" w:rsidR="00632913" w:rsidRPr="00FD7B0B" w:rsidRDefault="00632913" w:rsidP="00632913">
      <w:pPr>
        <w:spacing w:after="2"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Изменение заработной платы в 2024 г</w:t>
      </w:r>
      <w:r w:rsidR="00454B5B" w:rsidRPr="00FD7B0B">
        <w:rPr>
          <w:rFonts w:ascii="Times New Roman" w:eastAsia="Times New Roman" w:hAnsi="Times New Roman" w:cs="Times New Roman"/>
          <w:sz w:val="28"/>
          <w:szCs w:val="28"/>
          <w:lang w:eastAsia="ru-RU"/>
        </w:rPr>
        <w:t>оду представлено ниже в таблице:</w:t>
      </w:r>
    </w:p>
    <w:tbl>
      <w:tblPr>
        <w:tblStyle w:val="a7"/>
        <w:tblW w:w="961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096"/>
        <w:gridCol w:w="1559"/>
        <w:gridCol w:w="1417"/>
        <w:gridCol w:w="1276"/>
        <w:gridCol w:w="1270"/>
      </w:tblGrid>
      <w:tr w:rsidR="00FD7B0B" w:rsidRPr="00FD7B0B" w14:paraId="7270E70C" w14:textId="77777777" w:rsidTr="00916171">
        <w:trPr>
          <w:tblHeader/>
        </w:trPr>
        <w:tc>
          <w:tcPr>
            <w:tcW w:w="4096" w:type="dxa"/>
          </w:tcPr>
          <w:p w14:paraId="09956A1D" w14:textId="77777777" w:rsidR="00632913" w:rsidRPr="00FD7B0B" w:rsidRDefault="00632913" w:rsidP="00D66712">
            <w:pPr>
              <w:spacing w:after="2"/>
              <w:jc w:val="center"/>
              <w:rPr>
                <w:rFonts w:ascii="Times New Roman" w:eastAsia="Times New Roman" w:hAnsi="Times New Roman"/>
              </w:rPr>
            </w:pPr>
            <w:r w:rsidRPr="00FD7B0B">
              <w:rPr>
                <w:rFonts w:ascii="Times New Roman" w:eastAsia="Times New Roman" w:hAnsi="Times New Roman"/>
              </w:rPr>
              <w:t>Наименование учреждения</w:t>
            </w:r>
          </w:p>
        </w:tc>
        <w:tc>
          <w:tcPr>
            <w:tcW w:w="1559" w:type="dxa"/>
          </w:tcPr>
          <w:p w14:paraId="4414A384" w14:textId="77777777" w:rsidR="00632913" w:rsidRPr="00FD7B0B" w:rsidRDefault="00632913" w:rsidP="00D66712">
            <w:pPr>
              <w:spacing w:after="2"/>
              <w:jc w:val="center"/>
              <w:rPr>
                <w:rFonts w:ascii="Times New Roman" w:eastAsia="Times New Roman" w:hAnsi="Times New Roman"/>
              </w:rPr>
            </w:pPr>
            <w:r w:rsidRPr="00FD7B0B">
              <w:rPr>
                <w:rFonts w:ascii="Times New Roman" w:eastAsia="Times New Roman" w:hAnsi="Times New Roman"/>
              </w:rPr>
              <w:t>Уровень средней заработной платы в 2023 году, в руб.</w:t>
            </w:r>
          </w:p>
        </w:tc>
        <w:tc>
          <w:tcPr>
            <w:tcW w:w="1417" w:type="dxa"/>
          </w:tcPr>
          <w:p w14:paraId="66D1D5A5" w14:textId="77777777" w:rsidR="00632913" w:rsidRPr="00FD7B0B" w:rsidRDefault="00632913" w:rsidP="00D66712">
            <w:pPr>
              <w:spacing w:after="2"/>
              <w:jc w:val="center"/>
              <w:rPr>
                <w:rFonts w:ascii="Times New Roman" w:eastAsia="Times New Roman" w:hAnsi="Times New Roman"/>
              </w:rPr>
            </w:pPr>
            <w:r w:rsidRPr="00FD7B0B">
              <w:rPr>
                <w:rFonts w:ascii="Times New Roman" w:eastAsia="Times New Roman" w:hAnsi="Times New Roman"/>
              </w:rPr>
              <w:t>Уровень средней заработной платы в 2024 году, в руб.</w:t>
            </w:r>
          </w:p>
        </w:tc>
        <w:tc>
          <w:tcPr>
            <w:tcW w:w="1276" w:type="dxa"/>
          </w:tcPr>
          <w:p w14:paraId="1AFDFADA" w14:textId="47B3F387" w:rsidR="00632913" w:rsidRPr="00FD7B0B" w:rsidRDefault="00632913" w:rsidP="00454B5B">
            <w:pPr>
              <w:spacing w:after="2"/>
              <w:jc w:val="center"/>
              <w:rPr>
                <w:rFonts w:ascii="Times New Roman" w:eastAsia="Times New Roman" w:hAnsi="Times New Roman"/>
              </w:rPr>
            </w:pPr>
            <w:r w:rsidRPr="00FD7B0B">
              <w:rPr>
                <w:rFonts w:ascii="Times New Roman" w:eastAsia="Times New Roman" w:hAnsi="Times New Roman"/>
              </w:rPr>
              <w:t>Изменение, руб.</w:t>
            </w:r>
          </w:p>
        </w:tc>
        <w:tc>
          <w:tcPr>
            <w:tcW w:w="1270" w:type="dxa"/>
          </w:tcPr>
          <w:p w14:paraId="1C8D43DB" w14:textId="50327D6C" w:rsidR="00632913" w:rsidRPr="00FD7B0B" w:rsidRDefault="00632913" w:rsidP="00454B5B">
            <w:pPr>
              <w:spacing w:after="2"/>
              <w:jc w:val="center"/>
              <w:rPr>
                <w:rFonts w:ascii="Times New Roman" w:eastAsia="Times New Roman" w:hAnsi="Times New Roman"/>
              </w:rPr>
            </w:pPr>
            <w:r w:rsidRPr="00FD7B0B">
              <w:rPr>
                <w:rFonts w:ascii="Times New Roman" w:eastAsia="Times New Roman" w:hAnsi="Times New Roman"/>
              </w:rPr>
              <w:t>Изменение, %</w:t>
            </w:r>
          </w:p>
        </w:tc>
      </w:tr>
      <w:tr w:rsidR="00FD7B0B" w:rsidRPr="00FD7B0B" w14:paraId="3F245367" w14:textId="77777777" w:rsidTr="00D66712">
        <w:trPr>
          <w:trHeight w:val="221"/>
        </w:trPr>
        <w:tc>
          <w:tcPr>
            <w:tcW w:w="4096" w:type="dxa"/>
            <w:shd w:val="clear" w:color="auto" w:fill="auto"/>
            <w:vAlign w:val="bottom"/>
          </w:tcPr>
          <w:p w14:paraId="705CA3EE" w14:textId="77777777" w:rsidR="00632913" w:rsidRPr="00FD7B0B" w:rsidRDefault="00632913" w:rsidP="00D66712">
            <w:pPr>
              <w:spacing w:after="2"/>
              <w:rPr>
                <w:rFonts w:ascii="Times New Roman" w:eastAsia="Times New Roman" w:hAnsi="Times New Roman"/>
              </w:rPr>
            </w:pPr>
            <w:r w:rsidRPr="00FD7B0B">
              <w:rPr>
                <w:rFonts w:ascii="Times New Roman" w:hAnsi="Times New Roman"/>
              </w:rPr>
              <w:t>ГБПОУ АО "Специальное учебно-воспитательное учреждение"</w:t>
            </w:r>
          </w:p>
        </w:tc>
        <w:tc>
          <w:tcPr>
            <w:tcW w:w="1559" w:type="dxa"/>
          </w:tcPr>
          <w:p w14:paraId="2D09C2F2"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56 588,00</w:t>
            </w:r>
          </w:p>
        </w:tc>
        <w:tc>
          <w:tcPr>
            <w:tcW w:w="1417" w:type="dxa"/>
          </w:tcPr>
          <w:p w14:paraId="6A887D87"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58 876,38</w:t>
            </w:r>
          </w:p>
        </w:tc>
        <w:tc>
          <w:tcPr>
            <w:tcW w:w="1276" w:type="dxa"/>
          </w:tcPr>
          <w:p w14:paraId="1144860D"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2 288,38</w:t>
            </w:r>
          </w:p>
        </w:tc>
        <w:tc>
          <w:tcPr>
            <w:tcW w:w="1270" w:type="dxa"/>
          </w:tcPr>
          <w:p w14:paraId="0CD76AAE"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3,9</w:t>
            </w:r>
          </w:p>
        </w:tc>
      </w:tr>
      <w:tr w:rsidR="00FD7B0B" w:rsidRPr="00FD7B0B" w14:paraId="03BDC149" w14:textId="77777777" w:rsidTr="00D66712">
        <w:trPr>
          <w:trHeight w:val="38"/>
        </w:trPr>
        <w:tc>
          <w:tcPr>
            <w:tcW w:w="4096" w:type="dxa"/>
            <w:shd w:val="clear" w:color="auto" w:fill="auto"/>
            <w:vAlign w:val="bottom"/>
          </w:tcPr>
          <w:p w14:paraId="6FA0671D" w14:textId="77777777" w:rsidR="00632913" w:rsidRPr="00FD7B0B" w:rsidRDefault="00632913" w:rsidP="00D66712">
            <w:pPr>
              <w:spacing w:after="2"/>
              <w:rPr>
                <w:rFonts w:ascii="Times New Roman" w:eastAsia="Times New Roman" w:hAnsi="Times New Roman"/>
              </w:rPr>
            </w:pPr>
            <w:r w:rsidRPr="00FD7B0B">
              <w:rPr>
                <w:rFonts w:ascii="Times New Roman" w:hAnsi="Times New Roman"/>
              </w:rPr>
              <w:t>ГБПОУ АО "Каргопольский педколледж"</w:t>
            </w:r>
          </w:p>
        </w:tc>
        <w:tc>
          <w:tcPr>
            <w:tcW w:w="1559" w:type="dxa"/>
          </w:tcPr>
          <w:p w14:paraId="77A0B56C"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50 058,00</w:t>
            </w:r>
          </w:p>
        </w:tc>
        <w:tc>
          <w:tcPr>
            <w:tcW w:w="1417" w:type="dxa"/>
          </w:tcPr>
          <w:p w14:paraId="6B5CF408"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55 259,49</w:t>
            </w:r>
          </w:p>
        </w:tc>
        <w:tc>
          <w:tcPr>
            <w:tcW w:w="1276" w:type="dxa"/>
          </w:tcPr>
          <w:p w14:paraId="680AC439"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5 201,49</w:t>
            </w:r>
          </w:p>
        </w:tc>
        <w:tc>
          <w:tcPr>
            <w:tcW w:w="1270" w:type="dxa"/>
          </w:tcPr>
          <w:p w14:paraId="0016BF83"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9,4</w:t>
            </w:r>
          </w:p>
        </w:tc>
      </w:tr>
      <w:tr w:rsidR="00FD7B0B" w:rsidRPr="00FD7B0B" w14:paraId="55E363DA" w14:textId="77777777" w:rsidTr="00D66712">
        <w:trPr>
          <w:trHeight w:val="57"/>
        </w:trPr>
        <w:tc>
          <w:tcPr>
            <w:tcW w:w="4096" w:type="dxa"/>
            <w:shd w:val="clear" w:color="auto" w:fill="auto"/>
            <w:vAlign w:val="bottom"/>
          </w:tcPr>
          <w:p w14:paraId="21ACC5F2" w14:textId="77777777" w:rsidR="00632913" w:rsidRPr="00FD7B0B" w:rsidRDefault="00632913" w:rsidP="00D66712">
            <w:pPr>
              <w:spacing w:after="2"/>
              <w:rPr>
                <w:rFonts w:ascii="Times New Roman" w:eastAsia="Times New Roman" w:hAnsi="Times New Roman"/>
              </w:rPr>
            </w:pPr>
            <w:r w:rsidRPr="00FD7B0B">
              <w:rPr>
                <w:rFonts w:ascii="Times New Roman" w:hAnsi="Times New Roman"/>
              </w:rPr>
              <w:t>ГБПОУ АО "Котласский педагогический колледж имени А.М. Меркушева"</w:t>
            </w:r>
          </w:p>
        </w:tc>
        <w:tc>
          <w:tcPr>
            <w:tcW w:w="1559" w:type="dxa"/>
          </w:tcPr>
          <w:p w14:paraId="7C328D6D"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53 323,00</w:t>
            </w:r>
          </w:p>
        </w:tc>
        <w:tc>
          <w:tcPr>
            <w:tcW w:w="1417" w:type="dxa"/>
          </w:tcPr>
          <w:p w14:paraId="3A688549"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57 787,53</w:t>
            </w:r>
          </w:p>
        </w:tc>
        <w:tc>
          <w:tcPr>
            <w:tcW w:w="1276" w:type="dxa"/>
          </w:tcPr>
          <w:p w14:paraId="56CE1091"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4 464,53</w:t>
            </w:r>
          </w:p>
        </w:tc>
        <w:tc>
          <w:tcPr>
            <w:tcW w:w="1270" w:type="dxa"/>
          </w:tcPr>
          <w:p w14:paraId="3A5E7CB8"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7,7</w:t>
            </w:r>
          </w:p>
        </w:tc>
      </w:tr>
      <w:tr w:rsidR="00FD7B0B" w:rsidRPr="00FD7B0B" w14:paraId="5F7A5665" w14:textId="77777777" w:rsidTr="00D66712">
        <w:trPr>
          <w:trHeight w:val="57"/>
        </w:trPr>
        <w:tc>
          <w:tcPr>
            <w:tcW w:w="4096" w:type="dxa"/>
            <w:shd w:val="clear" w:color="auto" w:fill="auto"/>
            <w:vAlign w:val="bottom"/>
          </w:tcPr>
          <w:p w14:paraId="0F7A8734" w14:textId="77777777" w:rsidR="00632913" w:rsidRPr="00FD7B0B" w:rsidRDefault="00632913" w:rsidP="00D66712">
            <w:pPr>
              <w:spacing w:after="2"/>
              <w:rPr>
                <w:rFonts w:ascii="Times New Roman" w:eastAsia="Times New Roman" w:hAnsi="Times New Roman"/>
              </w:rPr>
            </w:pPr>
            <w:r w:rsidRPr="00FD7B0B">
              <w:rPr>
                <w:rFonts w:ascii="Times New Roman" w:hAnsi="Times New Roman"/>
              </w:rPr>
              <w:t>ГБПОУ АО "Верхнетоемский лесной техникум"</w:t>
            </w:r>
          </w:p>
        </w:tc>
        <w:tc>
          <w:tcPr>
            <w:tcW w:w="1559" w:type="dxa"/>
          </w:tcPr>
          <w:p w14:paraId="6AA183AB"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50 852,00</w:t>
            </w:r>
          </w:p>
        </w:tc>
        <w:tc>
          <w:tcPr>
            <w:tcW w:w="1417" w:type="dxa"/>
          </w:tcPr>
          <w:p w14:paraId="514536A6"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51 497,33</w:t>
            </w:r>
          </w:p>
        </w:tc>
        <w:tc>
          <w:tcPr>
            <w:tcW w:w="1276" w:type="dxa"/>
          </w:tcPr>
          <w:p w14:paraId="674E5DFC"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645,33</w:t>
            </w:r>
          </w:p>
        </w:tc>
        <w:tc>
          <w:tcPr>
            <w:tcW w:w="1270" w:type="dxa"/>
          </w:tcPr>
          <w:p w14:paraId="44788B07"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1,3</w:t>
            </w:r>
          </w:p>
        </w:tc>
      </w:tr>
      <w:tr w:rsidR="00FD7B0B" w:rsidRPr="00FD7B0B" w14:paraId="1026C021" w14:textId="77777777" w:rsidTr="00D66712">
        <w:trPr>
          <w:trHeight w:val="57"/>
        </w:trPr>
        <w:tc>
          <w:tcPr>
            <w:tcW w:w="4096" w:type="dxa"/>
            <w:shd w:val="clear" w:color="auto" w:fill="auto"/>
            <w:vAlign w:val="bottom"/>
          </w:tcPr>
          <w:p w14:paraId="73514C23" w14:textId="77777777" w:rsidR="00632913" w:rsidRPr="00FD7B0B" w:rsidRDefault="00632913" w:rsidP="00D66712">
            <w:pPr>
              <w:spacing w:after="2"/>
              <w:rPr>
                <w:rFonts w:ascii="Times New Roman" w:eastAsia="Times New Roman" w:hAnsi="Times New Roman"/>
              </w:rPr>
            </w:pPr>
            <w:r w:rsidRPr="00FD7B0B">
              <w:rPr>
                <w:rFonts w:ascii="Times New Roman" w:hAnsi="Times New Roman"/>
              </w:rPr>
              <w:t>ГАПОУ АО "Архангельский торгово-экономический колледж"</w:t>
            </w:r>
          </w:p>
        </w:tc>
        <w:tc>
          <w:tcPr>
            <w:tcW w:w="1559" w:type="dxa"/>
          </w:tcPr>
          <w:p w14:paraId="10E2C6B1"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54 027,00</w:t>
            </w:r>
          </w:p>
        </w:tc>
        <w:tc>
          <w:tcPr>
            <w:tcW w:w="1417" w:type="dxa"/>
          </w:tcPr>
          <w:p w14:paraId="66ED1E09"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57 147,57</w:t>
            </w:r>
          </w:p>
        </w:tc>
        <w:tc>
          <w:tcPr>
            <w:tcW w:w="1276" w:type="dxa"/>
          </w:tcPr>
          <w:p w14:paraId="31A61FC7"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3 120,57</w:t>
            </w:r>
          </w:p>
        </w:tc>
        <w:tc>
          <w:tcPr>
            <w:tcW w:w="1270" w:type="dxa"/>
          </w:tcPr>
          <w:p w14:paraId="4D1DED55"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5,5</w:t>
            </w:r>
          </w:p>
        </w:tc>
      </w:tr>
      <w:tr w:rsidR="00FD7B0B" w:rsidRPr="00FD7B0B" w14:paraId="63B8130A" w14:textId="77777777" w:rsidTr="00D66712">
        <w:trPr>
          <w:trHeight w:val="57"/>
        </w:trPr>
        <w:tc>
          <w:tcPr>
            <w:tcW w:w="4096" w:type="dxa"/>
            <w:shd w:val="clear" w:color="auto" w:fill="auto"/>
            <w:vAlign w:val="bottom"/>
          </w:tcPr>
          <w:p w14:paraId="39A57B32" w14:textId="77777777" w:rsidR="00632913" w:rsidRPr="00FD7B0B" w:rsidRDefault="00632913" w:rsidP="00D66712">
            <w:pPr>
              <w:spacing w:after="2"/>
              <w:rPr>
                <w:rFonts w:ascii="Times New Roman" w:eastAsia="Times New Roman" w:hAnsi="Times New Roman"/>
              </w:rPr>
            </w:pPr>
            <w:r w:rsidRPr="00FD7B0B">
              <w:rPr>
                <w:rFonts w:ascii="Times New Roman" w:hAnsi="Times New Roman"/>
              </w:rPr>
              <w:t>ГАПОУ АО "Каргопольский индустриальный техникум"</w:t>
            </w:r>
          </w:p>
        </w:tc>
        <w:tc>
          <w:tcPr>
            <w:tcW w:w="1559" w:type="dxa"/>
          </w:tcPr>
          <w:p w14:paraId="1C73F266"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53 148,00</w:t>
            </w:r>
          </w:p>
        </w:tc>
        <w:tc>
          <w:tcPr>
            <w:tcW w:w="1417" w:type="dxa"/>
          </w:tcPr>
          <w:p w14:paraId="2727069A"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57 191,89</w:t>
            </w:r>
          </w:p>
        </w:tc>
        <w:tc>
          <w:tcPr>
            <w:tcW w:w="1276" w:type="dxa"/>
          </w:tcPr>
          <w:p w14:paraId="1F3509BB"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4 043,89</w:t>
            </w:r>
          </w:p>
        </w:tc>
        <w:tc>
          <w:tcPr>
            <w:tcW w:w="1270" w:type="dxa"/>
          </w:tcPr>
          <w:p w14:paraId="50C2FEDC"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7,1</w:t>
            </w:r>
          </w:p>
        </w:tc>
      </w:tr>
      <w:tr w:rsidR="00632913" w:rsidRPr="00FD7B0B" w14:paraId="5C95EA72" w14:textId="77777777" w:rsidTr="00D66712">
        <w:trPr>
          <w:trHeight w:val="57"/>
        </w:trPr>
        <w:tc>
          <w:tcPr>
            <w:tcW w:w="4096" w:type="dxa"/>
            <w:shd w:val="clear" w:color="auto" w:fill="auto"/>
            <w:vAlign w:val="bottom"/>
          </w:tcPr>
          <w:p w14:paraId="27BF4DA9" w14:textId="77777777" w:rsidR="00632913" w:rsidRPr="00FD7B0B" w:rsidRDefault="00632913" w:rsidP="00D66712">
            <w:pPr>
              <w:spacing w:after="2"/>
              <w:rPr>
                <w:rFonts w:ascii="Times New Roman" w:eastAsia="Times New Roman" w:hAnsi="Times New Roman"/>
              </w:rPr>
            </w:pPr>
            <w:r w:rsidRPr="00FD7B0B">
              <w:rPr>
                <w:rFonts w:ascii="Times New Roman" w:hAnsi="Times New Roman"/>
              </w:rPr>
              <w:t>ГАПОУ АО "Няндомский железнодорожный колледж"</w:t>
            </w:r>
          </w:p>
        </w:tc>
        <w:tc>
          <w:tcPr>
            <w:tcW w:w="1559" w:type="dxa"/>
          </w:tcPr>
          <w:p w14:paraId="71131CDD"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56 577,00</w:t>
            </w:r>
          </w:p>
        </w:tc>
        <w:tc>
          <w:tcPr>
            <w:tcW w:w="1417" w:type="dxa"/>
          </w:tcPr>
          <w:p w14:paraId="05474DA3"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60 638,09</w:t>
            </w:r>
          </w:p>
        </w:tc>
        <w:tc>
          <w:tcPr>
            <w:tcW w:w="1276" w:type="dxa"/>
          </w:tcPr>
          <w:p w14:paraId="1B7A29BA"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4 061,09</w:t>
            </w:r>
          </w:p>
        </w:tc>
        <w:tc>
          <w:tcPr>
            <w:tcW w:w="1270" w:type="dxa"/>
          </w:tcPr>
          <w:p w14:paraId="389F914C" w14:textId="77777777" w:rsidR="00632913" w:rsidRPr="00FD7B0B" w:rsidRDefault="00632913" w:rsidP="00632913">
            <w:pPr>
              <w:spacing w:after="2"/>
              <w:jc w:val="center"/>
              <w:rPr>
                <w:rFonts w:ascii="Times New Roman" w:eastAsia="Times New Roman" w:hAnsi="Times New Roman"/>
              </w:rPr>
            </w:pPr>
            <w:r w:rsidRPr="00FD7B0B">
              <w:rPr>
                <w:rFonts w:ascii="Times New Roman" w:hAnsi="Times New Roman"/>
              </w:rPr>
              <w:t>6,7</w:t>
            </w:r>
          </w:p>
        </w:tc>
      </w:tr>
    </w:tbl>
    <w:p w14:paraId="14981DB9" w14:textId="77777777" w:rsidR="00D66712" w:rsidRPr="00FD7B0B" w:rsidRDefault="00D66712" w:rsidP="00632913">
      <w:pPr>
        <w:spacing w:after="2" w:line="240" w:lineRule="auto"/>
        <w:ind w:firstLine="709"/>
        <w:jc w:val="both"/>
        <w:rPr>
          <w:rFonts w:ascii="Times New Roman" w:eastAsia="Times New Roman" w:hAnsi="Times New Roman" w:cs="Times New Roman"/>
          <w:sz w:val="28"/>
          <w:szCs w:val="28"/>
          <w:lang w:eastAsia="ru-RU"/>
        </w:rPr>
      </w:pPr>
    </w:p>
    <w:p w14:paraId="7E500F72" w14:textId="77777777" w:rsidR="00632913" w:rsidRPr="00FD7B0B" w:rsidRDefault="00632913" w:rsidP="00632913">
      <w:pPr>
        <w:spacing w:after="2"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Как видно из данных таблицы по двум из учреждений увеличение уровня заработной платы составило менее 4,0%, предусмотренных в соответствии с Постановлением Правительства Архангельской области от 26.08.2024 № 663-пп с 1 октября 2024 года.</w:t>
      </w:r>
    </w:p>
    <w:p w14:paraId="606D882A" w14:textId="77777777" w:rsidR="00632913" w:rsidRPr="00FD7B0B" w:rsidRDefault="00632913" w:rsidP="0063291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установление целевых показателей, отличающихся от обозначенных в Указе Президента РФ от 07.05.2012 № 597, не в полной мере соответствует целям совершенствования государственной социальной политики.</w:t>
      </w:r>
    </w:p>
    <w:p w14:paraId="2AB8F4DC" w14:textId="77777777" w:rsidR="00D66712" w:rsidRPr="00FD7B0B" w:rsidRDefault="00D66712" w:rsidP="00632913">
      <w:pPr>
        <w:spacing w:after="0" w:line="240" w:lineRule="auto"/>
        <w:jc w:val="center"/>
        <w:rPr>
          <w:rFonts w:ascii="Times New Roman" w:eastAsia="Times New Roman" w:hAnsi="Times New Roman"/>
          <w:b/>
          <w:sz w:val="28"/>
          <w:szCs w:val="28"/>
          <w:lang w:eastAsia="ru-RU"/>
        </w:rPr>
      </w:pPr>
    </w:p>
    <w:p w14:paraId="57EFDB74" w14:textId="77777777" w:rsidR="00632913" w:rsidRPr="00FD7B0B" w:rsidRDefault="00632913" w:rsidP="00632913">
      <w:pPr>
        <w:spacing w:after="0" w:line="240" w:lineRule="auto"/>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реализации государственной программы № 02</w:t>
      </w:r>
      <w:r w:rsidRPr="00FD7B0B">
        <w:rPr>
          <w:b/>
        </w:rPr>
        <w:t xml:space="preserve"> </w:t>
      </w:r>
      <w:r w:rsidRPr="00FD7B0B">
        <w:rPr>
          <w:rFonts w:ascii="Times New Roman" w:eastAsia="Times New Roman" w:hAnsi="Times New Roman" w:cs="Times New Roman"/>
          <w:b/>
          <w:sz w:val="28"/>
          <w:szCs w:val="28"/>
          <w:lang w:eastAsia="ru-RU"/>
        </w:rPr>
        <w:t>согласно Методике оценки</w:t>
      </w:r>
      <w:r w:rsidRPr="00FD7B0B">
        <w:rPr>
          <w:rFonts w:ascii="Times New Roman" w:hAnsi="Times New Roman"/>
          <w:b/>
          <w:sz w:val="28"/>
          <w:szCs w:val="28"/>
        </w:rPr>
        <w:t xml:space="preserve"> № 9К (1614)</w:t>
      </w:r>
    </w:p>
    <w:p w14:paraId="27C2DF5D" w14:textId="77777777" w:rsidR="00632913" w:rsidRPr="00FD7B0B" w:rsidRDefault="00632913" w:rsidP="00632913">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Оценка исполнения ГП № 02 по ресурсам и результатам за 2024 год</w:t>
      </w:r>
    </w:p>
    <w:p w14:paraId="60B6BD35" w14:textId="77777777" w:rsidR="00632913" w:rsidRPr="00FD7B0B" w:rsidRDefault="00632913" w:rsidP="00632913">
      <w:pPr>
        <w:autoSpaceDE w:val="0"/>
        <w:autoSpaceDN w:val="0"/>
        <w:adjustRightInd w:val="0"/>
        <w:spacing w:after="0" w:line="240" w:lineRule="auto"/>
        <w:ind w:firstLine="709"/>
        <w:jc w:val="both"/>
        <w:rPr>
          <w:rFonts w:ascii="Times New Roman" w:eastAsia="Calibri" w:hAnsi="Times New Roman" w:cs="Times New Roman"/>
          <w:bCs/>
          <w:sz w:val="28"/>
          <w:szCs w:val="28"/>
        </w:rPr>
      </w:pPr>
      <w:r w:rsidRPr="00FD7B0B">
        <w:rPr>
          <w:rFonts w:ascii="Times New Roman" w:eastAsia="Calibri" w:hAnsi="Times New Roman" w:cs="Times New Roman"/>
          <w:bCs/>
          <w:sz w:val="28"/>
          <w:szCs w:val="28"/>
        </w:rPr>
        <w:t>Оценка реализации мероприятий (достижения результатов) государственной программы за отчетный год основывается на степени достижения мероприятий (результатов) государственной программы и доли реализованных мероприятий (достигнутых результатов) государственной программы за отчетный год (справочно).</w:t>
      </w:r>
    </w:p>
    <w:p w14:paraId="5D8581BA" w14:textId="24BE5AF7" w:rsidR="00632913" w:rsidRPr="00FD7B0B" w:rsidRDefault="00632913" w:rsidP="00632913">
      <w:pPr>
        <w:autoSpaceDE w:val="0"/>
        <w:autoSpaceDN w:val="0"/>
        <w:adjustRightInd w:val="0"/>
        <w:spacing w:after="0" w:line="240" w:lineRule="auto"/>
        <w:ind w:firstLine="709"/>
        <w:jc w:val="both"/>
        <w:rPr>
          <w:rFonts w:ascii="Times New Roman" w:eastAsia="Calibri" w:hAnsi="Times New Roman" w:cs="Times New Roman"/>
          <w:bCs/>
          <w:sz w:val="28"/>
          <w:szCs w:val="28"/>
        </w:rPr>
      </w:pPr>
      <w:r w:rsidRPr="00FD7B0B">
        <w:rPr>
          <w:rFonts w:ascii="Times New Roman" w:eastAsia="Calibri" w:hAnsi="Times New Roman" w:cs="Times New Roman"/>
          <w:bCs/>
          <w:sz w:val="28"/>
          <w:szCs w:val="28"/>
        </w:rPr>
        <w:t>В связи установленными слу</w:t>
      </w:r>
      <w:r w:rsidR="006D1DE5" w:rsidRPr="00FD7B0B">
        <w:rPr>
          <w:rFonts w:ascii="Times New Roman" w:eastAsia="Calibri" w:hAnsi="Times New Roman" w:cs="Times New Roman"/>
          <w:bCs/>
          <w:sz w:val="28"/>
          <w:szCs w:val="28"/>
        </w:rPr>
        <w:t>чаями включения в проект отчета</w:t>
      </w:r>
    </w:p>
    <w:p w14:paraId="65CEB6DA" w14:textId="77777777" w:rsidR="00632913" w:rsidRPr="00FD7B0B" w:rsidRDefault="00632913" w:rsidP="00632913">
      <w:pPr>
        <w:autoSpaceDE w:val="0"/>
        <w:autoSpaceDN w:val="0"/>
        <w:adjustRightInd w:val="0"/>
        <w:spacing w:after="0" w:line="240" w:lineRule="auto"/>
        <w:ind w:firstLine="709"/>
        <w:jc w:val="both"/>
        <w:rPr>
          <w:rFonts w:ascii="Times New Roman" w:eastAsia="Calibri" w:hAnsi="Times New Roman" w:cs="Times New Roman"/>
          <w:bCs/>
          <w:sz w:val="28"/>
          <w:szCs w:val="28"/>
        </w:rPr>
      </w:pPr>
      <w:r w:rsidRPr="00FD7B0B">
        <w:rPr>
          <w:rFonts w:ascii="Times New Roman" w:eastAsia="Calibri" w:hAnsi="Times New Roman" w:cs="Times New Roman"/>
          <w:bCs/>
          <w:sz w:val="28"/>
          <w:szCs w:val="28"/>
        </w:rPr>
        <w:t>данных о реализации мероприятия, фактическая реализация которого не осуществлялась,</w:t>
      </w:r>
    </w:p>
    <w:p w14:paraId="4649B3D1" w14:textId="77777777" w:rsidR="00632913" w:rsidRPr="00FD7B0B" w:rsidRDefault="00632913" w:rsidP="00632913">
      <w:pPr>
        <w:autoSpaceDE w:val="0"/>
        <w:autoSpaceDN w:val="0"/>
        <w:adjustRightInd w:val="0"/>
        <w:spacing w:after="0" w:line="240" w:lineRule="auto"/>
        <w:ind w:firstLine="709"/>
        <w:jc w:val="both"/>
        <w:rPr>
          <w:rFonts w:ascii="Times New Roman" w:eastAsia="Calibri" w:hAnsi="Times New Roman" w:cs="Times New Roman"/>
          <w:bCs/>
          <w:sz w:val="28"/>
          <w:szCs w:val="28"/>
        </w:rPr>
      </w:pPr>
      <w:r w:rsidRPr="00FD7B0B">
        <w:rPr>
          <w:rFonts w:ascii="Times New Roman" w:eastAsia="Calibri" w:hAnsi="Times New Roman" w:cs="Times New Roman"/>
          <w:bCs/>
          <w:sz w:val="28"/>
          <w:szCs w:val="28"/>
        </w:rPr>
        <w:t>данных о реализации мероприятия не отвечающего при реализации проектной части госпрограммы понятию мероприятию (результат),</w:t>
      </w:r>
    </w:p>
    <w:p w14:paraId="148444FA" w14:textId="77777777" w:rsidR="00632913" w:rsidRPr="00FD7B0B" w:rsidRDefault="00632913" w:rsidP="00632913">
      <w:pPr>
        <w:autoSpaceDE w:val="0"/>
        <w:autoSpaceDN w:val="0"/>
        <w:adjustRightInd w:val="0"/>
        <w:spacing w:after="0" w:line="240" w:lineRule="auto"/>
        <w:ind w:firstLine="709"/>
        <w:jc w:val="both"/>
        <w:rPr>
          <w:rFonts w:ascii="Times New Roman" w:eastAsia="Calibri" w:hAnsi="Times New Roman" w:cs="Times New Roman"/>
          <w:bCs/>
          <w:sz w:val="28"/>
          <w:szCs w:val="28"/>
        </w:rPr>
      </w:pPr>
      <w:r w:rsidRPr="00FD7B0B">
        <w:rPr>
          <w:rFonts w:ascii="Times New Roman" w:eastAsia="Calibri" w:hAnsi="Times New Roman" w:cs="Times New Roman"/>
          <w:bCs/>
          <w:sz w:val="28"/>
          <w:szCs w:val="28"/>
        </w:rPr>
        <w:lastRenderedPageBreak/>
        <w:t>фактических данных без предоставления данных о плановых значениях мероприятия (результата),</w:t>
      </w:r>
    </w:p>
    <w:p w14:paraId="3156DB73" w14:textId="77777777" w:rsidR="00632913" w:rsidRPr="00FD7B0B" w:rsidRDefault="00632913" w:rsidP="00632913">
      <w:pPr>
        <w:autoSpaceDE w:val="0"/>
        <w:autoSpaceDN w:val="0"/>
        <w:adjustRightInd w:val="0"/>
        <w:spacing w:after="0" w:line="240" w:lineRule="auto"/>
        <w:ind w:firstLine="709"/>
        <w:jc w:val="both"/>
        <w:rPr>
          <w:rFonts w:ascii="Times New Roman" w:eastAsia="Calibri" w:hAnsi="Times New Roman" w:cs="Times New Roman"/>
          <w:bCs/>
          <w:sz w:val="28"/>
          <w:szCs w:val="28"/>
        </w:rPr>
      </w:pPr>
      <w:r w:rsidRPr="00FD7B0B">
        <w:rPr>
          <w:rFonts w:ascii="Times New Roman" w:eastAsia="Calibri" w:hAnsi="Times New Roman" w:cs="Times New Roman"/>
          <w:bCs/>
          <w:sz w:val="28"/>
          <w:szCs w:val="28"/>
        </w:rPr>
        <w:t>противоречивых и неполных данных, а также отсутствие фактически достигнутых значений результатов не позволяет произвести оценку реализации мероприятий (достижения результатов) государственной программы за отчетный 2024 год.</w:t>
      </w:r>
    </w:p>
    <w:p w14:paraId="6C2DA031" w14:textId="77777777" w:rsidR="00632913" w:rsidRPr="00FD7B0B" w:rsidRDefault="00632913" w:rsidP="00632913">
      <w:pPr>
        <w:spacing w:after="0" w:line="240" w:lineRule="auto"/>
        <w:ind w:firstLine="709"/>
        <w:jc w:val="both"/>
        <w:rPr>
          <w:rFonts w:ascii="Times New Roman" w:eastAsia="Calibri" w:hAnsi="Times New Roman" w:cs="Times New Roman"/>
          <w:b/>
          <w:sz w:val="28"/>
        </w:rPr>
      </w:pPr>
    </w:p>
    <w:p w14:paraId="2D677AB4" w14:textId="77777777" w:rsidR="00632913" w:rsidRPr="00FD7B0B" w:rsidRDefault="00632913" w:rsidP="00632913">
      <w:pPr>
        <w:autoSpaceDE w:val="0"/>
        <w:autoSpaceDN w:val="0"/>
        <w:adjustRightInd w:val="0"/>
        <w:spacing w:after="0" w:line="240" w:lineRule="auto"/>
        <w:ind w:firstLine="709"/>
        <w:jc w:val="both"/>
        <w:rPr>
          <w:rFonts w:ascii="Times New Roman" w:eastAsia="Calibri" w:hAnsi="Times New Roman" w:cs="Times New Roman"/>
          <w:b/>
          <w:bCs/>
          <w:sz w:val="28"/>
          <w:szCs w:val="28"/>
        </w:rPr>
      </w:pPr>
      <w:r w:rsidRPr="00FD7B0B">
        <w:rPr>
          <w:rFonts w:ascii="Times New Roman" w:eastAsia="Calibri" w:hAnsi="Times New Roman" w:cs="Times New Roman"/>
          <w:b/>
          <w:bCs/>
          <w:sz w:val="28"/>
          <w:szCs w:val="28"/>
        </w:rPr>
        <w:t>Итоговая оценка реализации госпрограммы № 02</w:t>
      </w:r>
    </w:p>
    <w:p w14:paraId="75DB0B74" w14:textId="77777777" w:rsidR="00632913" w:rsidRPr="00FD7B0B" w:rsidRDefault="00632913" w:rsidP="00632913">
      <w:pPr>
        <w:autoSpaceDE w:val="0"/>
        <w:autoSpaceDN w:val="0"/>
        <w:adjustRightInd w:val="0"/>
        <w:spacing w:after="0" w:line="240" w:lineRule="auto"/>
        <w:ind w:firstLine="709"/>
        <w:jc w:val="both"/>
        <w:rPr>
          <w:rFonts w:ascii="Times New Roman" w:eastAsia="Calibri" w:hAnsi="Times New Roman" w:cs="Times New Roman"/>
          <w:bCs/>
          <w:sz w:val="18"/>
          <w:szCs w:val="18"/>
        </w:rPr>
      </w:pPr>
    </w:p>
    <w:tbl>
      <w:tblPr>
        <w:tblW w:w="966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94"/>
        <w:gridCol w:w="1196"/>
        <w:gridCol w:w="1197"/>
        <w:gridCol w:w="1407"/>
        <w:gridCol w:w="1097"/>
        <w:gridCol w:w="1404"/>
        <w:gridCol w:w="1289"/>
        <w:gridCol w:w="870"/>
        <w:gridCol w:w="13"/>
      </w:tblGrid>
      <w:tr w:rsidR="00FD7B0B" w:rsidRPr="00FD7B0B" w14:paraId="68C80CF5" w14:textId="77777777" w:rsidTr="006D1DE5">
        <w:trPr>
          <w:trHeight w:val="74"/>
        </w:trPr>
        <w:tc>
          <w:tcPr>
            <w:tcW w:w="9667" w:type="dxa"/>
            <w:gridSpan w:val="9"/>
          </w:tcPr>
          <w:p w14:paraId="6F534697"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Оценка исполнения государственной программы № 02 по ресурсам и результатам</w:t>
            </w:r>
          </w:p>
        </w:tc>
      </w:tr>
      <w:tr w:rsidR="00FD7B0B" w:rsidRPr="00FD7B0B" w14:paraId="62DCE118" w14:textId="77777777" w:rsidTr="006D1DE5">
        <w:trPr>
          <w:gridAfter w:val="1"/>
          <w:wAfter w:w="13" w:type="dxa"/>
          <w:trHeight w:val="667"/>
        </w:trPr>
        <w:tc>
          <w:tcPr>
            <w:tcW w:w="1194" w:type="dxa"/>
            <w:vMerge w:val="restart"/>
          </w:tcPr>
          <w:p w14:paraId="5DA607D1"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Оценка кассового исполнения госпрограммы № 02</w:t>
            </w:r>
          </w:p>
        </w:tc>
        <w:tc>
          <w:tcPr>
            <w:tcW w:w="1196" w:type="dxa"/>
            <w:vMerge w:val="restart"/>
          </w:tcPr>
          <w:p w14:paraId="4586BD95"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Оценка объема изменений, внесенных в сводную бюджетную роспись ...</w:t>
            </w:r>
          </w:p>
        </w:tc>
        <w:tc>
          <w:tcPr>
            <w:tcW w:w="2604" w:type="dxa"/>
            <w:gridSpan w:val="2"/>
          </w:tcPr>
          <w:p w14:paraId="5D23E31B"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Оценка реализации мероприятий (достижения результатов) структурных элементов госпрограммы</w:t>
            </w:r>
          </w:p>
        </w:tc>
        <w:tc>
          <w:tcPr>
            <w:tcW w:w="2501" w:type="dxa"/>
            <w:gridSpan w:val="2"/>
          </w:tcPr>
          <w:p w14:paraId="44CC64D1"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Оценка достижения ... показателей госпрограммы</w:t>
            </w:r>
          </w:p>
        </w:tc>
        <w:tc>
          <w:tcPr>
            <w:tcW w:w="1289" w:type="dxa"/>
            <w:vMerge w:val="restart"/>
          </w:tcPr>
          <w:p w14:paraId="70446FE1"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Оценка ввода объектов в эксплуатацию ...</w:t>
            </w:r>
          </w:p>
        </w:tc>
        <w:tc>
          <w:tcPr>
            <w:tcW w:w="870" w:type="dxa"/>
            <w:vMerge w:val="restart"/>
          </w:tcPr>
          <w:p w14:paraId="0C84EF4C"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Итого</w:t>
            </w:r>
          </w:p>
        </w:tc>
      </w:tr>
      <w:tr w:rsidR="00FD7B0B" w:rsidRPr="00FD7B0B" w14:paraId="5BFC78C6" w14:textId="77777777" w:rsidTr="006D1DE5">
        <w:trPr>
          <w:gridAfter w:val="1"/>
          <w:wAfter w:w="13" w:type="dxa"/>
          <w:trHeight w:val="1671"/>
        </w:trPr>
        <w:tc>
          <w:tcPr>
            <w:tcW w:w="1194" w:type="dxa"/>
            <w:vMerge/>
          </w:tcPr>
          <w:p w14:paraId="4EB42F2F" w14:textId="77777777" w:rsidR="00632913" w:rsidRPr="00FD7B0B" w:rsidRDefault="00632913" w:rsidP="00632913">
            <w:pPr>
              <w:rPr>
                <w:rFonts w:ascii="Times New Roman" w:hAnsi="Times New Roman" w:cs="Times New Roman"/>
                <w:sz w:val="18"/>
                <w:szCs w:val="18"/>
              </w:rPr>
            </w:pPr>
          </w:p>
        </w:tc>
        <w:tc>
          <w:tcPr>
            <w:tcW w:w="1196" w:type="dxa"/>
            <w:vMerge/>
          </w:tcPr>
          <w:p w14:paraId="7182F344" w14:textId="77777777" w:rsidR="00632913" w:rsidRPr="00FD7B0B" w:rsidRDefault="00632913" w:rsidP="00632913">
            <w:pPr>
              <w:rPr>
                <w:rFonts w:ascii="Times New Roman" w:hAnsi="Times New Roman" w:cs="Times New Roman"/>
                <w:sz w:val="18"/>
                <w:szCs w:val="18"/>
              </w:rPr>
            </w:pPr>
          </w:p>
        </w:tc>
        <w:tc>
          <w:tcPr>
            <w:tcW w:w="1197" w:type="dxa"/>
          </w:tcPr>
          <w:p w14:paraId="47BB65B3"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степень достижения мероприятий (результатов) госпрограммы № 02</w:t>
            </w:r>
          </w:p>
        </w:tc>
        <w:tc>
          <w:tcPr>
            <w:tcW w:w="1407" w:type="dxa"/>
          </w:tcPr>
          <w:p w14:paraId="7B395060"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справочно &lt;*&gt;: доля реализованных мероприятий (достигнутых результатов).</w:t>
            </w:r>
          </w:p>
        </w:tc>
        <w:tc>
          <w:tcPr>
            <w:tcW w:w="1097" w:type="dxa"/>
          </w:tcPr>
          <w:p w14:paraId="60CD7699"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степень достижения показателей госпрограммы № 02</w:t>
            </w:r>
          </w:p>
        </w:tc>
        <w:tc>
          <w:tcPr>
            <w:tcW w:w="1404" w:type="dxa"/>
          </w:tcPr>
          <w:p w14:paraId="454BB202"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справочно &lt;*&gt;: доля выполненных показателей госпрограммы № 02</w:t>
            </w:r>
          </w:p>
        </w:tc>
        <w:tc>
          <w:tcPr>
            <w:tcW w:w="1289" w:type="dxa"/>
            <w:vMerge/>
          </w:tcPr>
          <w:p w14:paraId="03F8DC2F" w14:textId="77777777" w:rsidR="00632913" w:rsidRPr="00FD7B0B" w:rsidRDefault="00632913" w:rsidP="00632913">
            <w:pPr>
              <w:rPr>
                <w:rFonts w:ascii="Times New Roman" w:hAnsi="Times New Roman" w:cs="Times New Roman"/>
                <w:sz w:val="18"/>
                <w:szCs w:val="18"/>
              </w:rPr>
            </w:pPr>
          </w:p>
        </w:tc>
        <w:tc>
          <w:tcPr>
            <w:tcW w:w="870" w:type="dxa"/>
            <w:vMerge/>
          </w:tcPr>
          <w:p w14:paraId="7D23A84C" w14:textId="77777777" w:rsidR="00632913" w:rsidRPr="00FD7B0B" w:rsidRDefault="00632913" w:rsidP="00632913">
            <w:pPr>
              <w:rPr>
                <w:rFonts w:ascii="Times New Roman" w:hAnsi="Times New Roman" w:cs="Times New Roman"/>
                <w:sz w:val="18"/>
                <w:szCs w:val="18"/>
              </w:rPr>
            </w:pPr>
          </w:p>
        </w:tc>
      </w:tr>
      <w:tr w:rsidR="00FD7B0B" w:rsidRPr="00FD7B0B" w14:paraId="4D10101B" w14:textId="77777777" w:rsidTr="006D1DE5">
        <w:trPr>
          <w:gridAfter w:val="1"/>
          <w:wAfter w:w="13" w:type="dxa"/>
          <w:trHeight w:val="40"/>
        </w:trPr>
        <w:tc>
          <w:tcPr>
            <w:tcW w:w="1194" w:type="dxa"/>
          </w:tcPr>
          <w:p w14:paraId="7FB225DB"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1</w:t>
            </w:r>
          </w:p>
        </w:tc>
        <w:tc>
          <w:tcPr>
            <w:tcW w:w="1196" w:type="dxa"/>
          </w:tcPr>
          <w:p w14:paraId="70635245"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2</w:t>
            </w:r>
          </w:p>
        </w:tc>
        <w:tc>
          <w:tcPr>
            <w:tcW w:w="2604" w:type="dxa"/>
            <w:gridSpan w:val="2"/>
          </w:tcPr>
          <w:p w14:paraId="2D5809E4"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3</w:t>
            </w:r>
          </w:p>
        </w:tc>
        <w:tc>
          <w:tcPr>
            <w:tcW w:w="2501" w:type="dxa"/>
            <w:gridSpan w:val="2"/>
          </w:tcPr>
          <w:p w14:paraId="25804E2A"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4</w:t>
            </w:r>
          </w:p>
        </w:tc>
        <w:tc>
          <w:tcPr>
            <w:tcW w:w="1289" w:type="dxa"/>
          </w:tcPr>
          <w:p w14:paraId="46436F09"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5</w:t>
            </w:r>
          </w:p>
        </w:tc>
        <w:tc>
          <w:tcPr>
            <w:tcW w:w="870" w:type="dxa"/>
          </w:tcPr>
          <w:p w14:paraId="24077494"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6</w:t>
            </w:r>
          </w:p>
        </w:tc>
      </w:tr>
      <w:tr w:rsidR="00FD7B0B" w:rsidRPr="00FD7B0B" w14:paraId="1B21B3EF" w14:textId="77777777" w:rsidTr="00454B5B">
        <w:trPr>
          <w:gridAfter w:val="1"/>
          <w:wAfter w:w="13" w:type="dxa"/>
          <w:trHeight w:val="337"/>
        </w:trPr>
        <w:tc>
          <w:tcPr>
            <w:tcW w:w="1194" w:type="dxa"/>
            <w:shd w:val="clear" w:color="auto" w:fill="92D050"/>
            <w:vAlign w:val="center"/>
          </w:tcPr>
          <w:p w14:paraId="7C46BA71"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высокий уровень</w:t>
            </w:r>
          </w:p>
        </w:tc>
        <w:tc>
          <w:tcPr>
            <w:tcW w:w="1196" w:type="dxa"/>
            <w:shd w:val="clear" w:color="auto" w:fill="92D050"/>
            <w:vAlign w:val="center"/>
          </w:tcPr>
          <w:p w14:paraId="406B6AB3"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высокий уровень</w:t>
            </w:r>
          </w:p>
        </w:tc>
        <w:tc>
          <w:tcPr>
            <w:tcW w:w="1197" w:type="dxa"/>
            <w:shd w:val="clear" w:color="auto" w:fill="FFFF00"/>
            <w:vAlign w:val="center"/>
          </w:tcPr>
          <w:p w14:paraId="73E9335C"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оценка не проводилась</w:t>
            </w:r>
          </w:p>
        </w:tc>
        <w:tc>
          <w:tcPr>
            <w:tcW w:w="1407" w:type="dxa"/>
            <w:shd w:val="clear" w:color="auto" w:fill="92D050"/>
            <w:vAlign w:val="center"/>
          </w:tcPr>
          <w:p w14:paraId="5464448F"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оценка не проводилась</w:t>
            </w:r>
          </w:p>
        </w:tc>
        <w:tc>
          <w:tcPr>
            <w:tcW w:w="1097" w:type="dxa"/>
            <w:shd w:val="clear" w:color="auto" w:fill="92D050"/>
            <w:vAlign w:val="center"/>
          </w:tcPr>
          <w:p w14:paraId="25A710C5"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высокий уровень</w:t>
            </w:r>
          </w:p>
        </w:tc>
        <w:tc>
          <w:tcPr>
            <w:tcW w:w="1404" w:type="dxa"/>
            <w:shd w:val="clear" w:color="auto" w:fill="FFFF00"/>
            <w:vAlign w:val="center"/>
          </w:tcPr>
          <w:p w14:paraId="153B21D9"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высокий уровень</w:t>
            </w:r>
          </w:p>
        </w:tc>
        <w:tc>
          <w:tcPr>
            <w:tcW w:w="1289" w:type="dxa"/>
            <w:shd w:val="clear" w:color="auto" w:fill="FF0000"/>
            <w:vAlign w:val="center"/>
          </w:tcPr>
          <w:p w14:paraId="188E31DD"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низкий уровень</w:t>
            </w:r>
          </w:p>
        </w:tc>
        <w:tc>
          <w:tcPr>
            <w:tcW w:w="870" w:type="dxa"/>
            <w:shd w:val="clear" w:color="auto" w:fill="FFFF00"/>
            <w:vAlign w:val="center"/>
          </w:tcPr>
          <w:p w14:paraId="221BAF52" w14:textId="77777777" w:rsidR="00632913" w:rsidRPr="00FD7B0B" w:rsidRDefault="00632913" w:rsidP="00632913">
            <w:pPr>
              <w:spacing w:after="1" w:line="280" w:lineRule="auto"/>
              <w:jc w:val="center"/>
              <w:rPr>
                <w:rFonts w:ascii="Times New Roman" w:hAnsi="Times New Roman" w:cs="Times New Roman"/>
                <w:b/>
                <w:sz w:val="18"/>
                <w:szCs w:val="18"/>
              </w:rPr>
            </w:pPr>
            <w:r w:rsidRPr="00FD7B0B">
              <w:rPr>
                <w:rFonts w:ascii="Times New Roman" w:hAnsi="Times New Roman" w:cs="Times New Roman"/>
                <w:b/>
                <w:sz w:val="18"/>
                <w:szCs w:val="18"/>
              </w:rPr>
              <w:t>уровень выше среднего</w:t>
            </w:r>
          </w:p>
        </w:tc>
      </w:tr>
      <w:tr w:rsidR="00632913" w:rsidRPr="00FD7B0B" w14:paraId="574D3BAA" w14:textId="77777777" w:rsidTr="006D1DE5">
        <w:trPr>
          <w:gridAfter w:val="1"/>
          <w:wAfter w:w="13" w:type="dxa"/>
          <w:trHeight w:val="170"/>
        </w:trPr>
        <w:tc>
          <w:tcPr>
            <w:tcW w:w="1194" w:type="dxa"/>
            <w:vAlign w:val="center"/>
          </w:tcPr>
          <w:p w14:paraId="770094D0"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3</w:t>
            </w:r>
          </w:p>
        </w:tc>
        <w:tc>
          <w:tcPr>
            <w:tcW w:w="1196" w:type="dxa"/>
            <w:vAlign w:val="center"/>
          </w:tcPr>
          <w:p w14:paraId="6C59EA38"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3</w:t>
            </w:r>
          </w:p>
        </w:tc>
        <w:tc>
          <w:tcPr>
            <w:tcW w:w="1197" w:type="dxa"/>
            <w:vAlign w:val="center"/>
          </w:tcPr>
          <w:p w14:paraId="507B4D85"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w:t>
            </w:r>
          </w:p>
        </w:tc>
        <w:tc>
          <w:tcPr>
            <w:tcW w:w="1407" w:type="dxa"/>
            <w:vAlign w:val="center"/>
          </w:tcPr>
          <w:p w14:paraId="2559C5CE"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w:t>
            </w:r>
          </w:p>
        </w:tc>
        <w:tc>
          <w:tcPr>
            <w:tcW w:w="1097" w:type="dxa"/>
            <w:vAlign w:val="center"/>
          </w:tcPr>
          <w:p w14:paraId="00062530"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3</w:t>
            </w:r>
          </w:p>
        </w:tc>
        <w:tc>
          <w:tcPr>
            <w:tcW w:w="1404" w:type="dxa"/>
            <w:vAlign w:val="center"/>
          </w:tcPr>
          <w:p w14:paraId="06CD6281"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w:t>
            </w:r>
          </w:p>
        </w:tc>
        <w:tc>
          <w:tcPr>
            <w:tcW w:w="1289" w:type="dxa"/>
            <w:vAlign w:val="center"/>
          </w:tcPr>
          <w:p w14:paraId="1048ADF5" w14:textId="77777777" w:rsidR="00632913" w:rsidRPr="00FD7B0B" w:rsidRDefault="00632913" w:rsidP="00632913">
            <w:pPr>
              <w:spacing w:after="1" w:line="280" w:lineRule="auto"/>
              <w:jc w:val="center"/>
              <w:rPr>
                <w:rFonts w:ascii="Times New Roman" w:hAnsi="Times New Roman" w:cs="Times New Roman"/>
                <w:sz w:val="18"/>
                <w:szCs w:val="18"/>
              </w:rPr>
            </w:pPr>
            <w:r w:rsidRPr="00FD7B0B">
              <w:rPr>
                <w:rFonts w:ascii="Times New Roman" w:hAnsi="Times New Roman" w:cs="Times New Roman"/>
                <w:sz w:val="18"/>
                <w:szCs w:val="18"/>
              </w:rPr>
              <w:t>1</w:t>
            </w:r>
          </w:p>
        </w:tc>
        <w:tc>
          <w:tcPr>
            <w:tcW w:w="870" w:type="dxa"/>
            <w:vAlign w:val="center"/>
          </w:tcPr>
          <w:p w14:paraId="4F464EE3" w14:textId="77777777" w:rsidR="00632913" w:rsidRPr="00FD7B0B" w:rsidRDefault="00632913" w:rsidP="00632913">
            <w:pPr>
              <w:spacing w:after="1" w:line="280" w:lineRule="auto"/>
              <w:jc w:val="center"/>
              <w:rPr>
                <w:rFonts w:ascii="Times New Roman" w:hAnsi="Times New Roman" w:cs="Times New Roman"/>
                <w:b/>
                <w:sz w:val="18"/>
                <w:szCs w:val="18"/>
              </w:rPr>
            </w:pPr>
            <w:r w:rsidRPr="00FD7B0B">
              <w:rPr>
                <w:rFonts w:ascii="Times New Roman" w:hAnsi="Times New Roman" w:cs="Times New Roman"/>
                <w:b/>
                <w:sz w:val="18"/>
                <w:szCs w:val="18"/>
              </w:rPr>
              <w:t>2,5</w:t>
            </w:r>
          </w:p>
        </w:tc>
      </w:tr>
    </w:tbl>
    <w:p w14:paraId="48F6D148" w14:textId="77777777" w:rsidR="00632913" w:rsidRPr="00FD7B0B" w:rsidRDefault="00632913" w:rsidP="00632913">
      <w:pPr>
        <w:ind w:left="780"/>
        <w:contextualSpacing/>
        <w:rPr>
          <w:highlight w:val="cyan"/>
        </w:rPr>
      </w:pPr>
    </w:p>
    <w:tbl>
      <w:tblPr>
        <w:tblW w:w="964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05"/>
        <w:gridCol w:w="1605"/>
        <w:gridCol w:w="1605"/>
        <w:gridCol w:w="1605"/>
        <w:gridCol w:w="1605"/>
        <w:gridCol w:w="1620"/>
      </w:tblGrid>
      <w:tr w:rsidR="00FD7B0B" w:rsidRPr="00FD7B0B" w14:paraId="684E5E92" w14:textId="77777777" w:rsidTr="006D1DE5">
        <w:trPr>
          <w:trHeight w:val="260"/>
        </w:trPr>
        <w:tc>
          <w:tcPr>
            <w:tcW w:w="9645" w:type="dxa"/>
            <w:gridSpan w:val="6"/>
          </w:tcPr>
          <w:p w14:paraId="3FC79FE8"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Оценка формирования и использования системы показателей исходя из приоритетов социально-экономического развития российской федерации по результатам проверки исполнения государственной программы № 02</w:t>
            </w:r>
          </w:p>
        </w:tc>
      </w:tr>
      <w:tr w:rsidR="00FD7B0B" w:rsidRPr="00FD7B0B" w14:paraId="26C1BE91" w14:textId="77777777" w:rsidTr="006D1DE5">
        <w:trPr>
          <w:trHeight w:val="1376"/>
        </w:trPr>
        <w:tc>
          <w:tcPr>
            <w:tcW w:w="1605" w:type="dxa"/>
          </w:tcPr>
          <w:p w14:paraId="218EF855"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Оценка состава показателей госпрограммы № 02 </w:t>
            </w:r>
          </w:p>
        </w:tc>
        <w:tc>
          <w:tcPr>
            <w:tcW w:w="1605" w:type="dxa"/>
          </w:tcPr>
          <w:p w14:paraId="04D9A0EF"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Оценка стабильности состава показателей госпрограммы № 02 на протяжении отчетного года </w:t>
            </w:r>
          </w:p>
        </w:tc>
        <w:tc>
          <w:tcPr>
            <w:tcW w:w="1605" w:type="dxa"/>
          </w:tcPr>
          <w:p w14:paraId="2BFFB250"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Оценка динамики плановых (фактических). значений показателей госпрограммы № 02  </w:t>
            </w:r>
          </w:p>
        </w:tc>
        <w:tc>
          <w:tcPr>
            <w:tcW w:w="1605" w:type="dxa"/>
          </w:tcPr>
          <w:p w14:paraId="0B687777"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Оценка количества показателей госпрограммы № 02 по которым представлены фактические значения за отчетный год ... </w:t>
            </w:r>
          </w:p>
        </w:tc>
        <w:tc>
          <w:tcPr>
            <w:tcW w:w="1605" w:type="dxa"/>
          </w:tcPr>
          <w:p w14:paraId="41BBBFE3"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Оценка количества показателей госпрограммы № 02 по которым формируется официальная статистическая информация ... </w:t>
            </w:r>
          </w:p>
        </w:tc>
        <w:tc>
          <w:tcPr>
            <w:tcW w:w="1620" w:type="dxa"/>
          </w:tcPr>
          <w:p w14:paraId="5ABD2F05"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Итого </w:t>
            </w:r>
          </w:p>
        </w:tc>
      </w:tr>
      <w:tr w:rsidR="00FD7B0B" w:rsidRPr="00FD7B0B" w14:paraId="1BBD9FD0" w14:textId="77777777" w:rsidTr="006D1DE5">
        <w:trPr>
          <w:trHeight w:val="166"/>
        </w:trPr>
        <w:tc>
          <w:tcPr>
            <w:tcW w:w="1605" w:type="dxa"/>
          </w:tcPr>
          <w:p w14:paraId="71B87BCB"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1 </w:t>
            </w:r>
          </w:p>
        </w:tc>
        <w:tc>
          <w:tcPr>
            <w:tcW w:w="1605" w:type="dxa"/>
          </w:tcPr>
          <w:p w14:paraId="4D7200A6"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2 </w:t>
            </w:r>
          </w:p>
        </w:tc>
        <w:tc>
          <w:tcPr>
            <w:tcW w:w="1605" w:type="dxa"/>
          </w:tcPr>
          <w:p w14:paraId="298FBB58"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3</w:t>
            </w:r>
          </w:p>
        </w:tc>
        <w:tc>
          <w:tcPr>
            <w:tcW w:w="1605" w:type="dxa"/>
          </w:tcPr>
          <w:p w14:paraId="0A12ED0C"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4</w:t>
            </w:r>
          </w:p>
        </w:tc>
        <w:tc>
          <w:tcPr>
            <w:tcW w:w="1605" w:type="dxa"/>
          </w:tcPr>
          <w:p w14:paraId="131CA32E"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5</w:t>
            </w:r>
          </w:p>
        </w:tc>
        <w:tc>
          <w:tcPr>
            <w:tcW w:w="1620" w:type="dxa"/>
          </w:tcPr>
          <w:p w14:paraId="4CACC991"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6</w:t>
            </w:r>
          </w:p>
        </w:tc>
      </w:tr>
      <w:tr w:rsidR="00FD7B0B" w:rsidRPr="00FD7B0B" w14:paraId="2A023EC7" w14:textId="77777777" w:rsidTr="006D1DE5">
        <w:trPr>
          <w:trHeight w:val="342"/>
        </w:trPr>
        <w:tc>
          <w:tcPr>
            <w:tcW w:w="1605" w:type="dxa"/>
            <w:shd w:val="clear" w:color="auto" w:fill="FF0000"/>
            <w:vAlign w:val="center"/>
          </w:tcPr>
          <w:p w14:paraId="54A8A3C3"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низкий уровень </w:t>
            </w:r>
          </w:p>
        </w:tc>
        <w:tc>
          <w:tcPr>
            <w:tcW w:w="1605" w:type="dxa"/>
            <w:shd w:val="clear" w:color="auto" w:fill="92D050"/>
            <w:vAlign w:val="center"/>
          </w:tcPr>
          <w:p w14:paraId="649F4854"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высокий уровень </w:t>
            </w:r>
          </w:p>
        </w:tc>
        <w:tc>
          <w:tcPr>
            <w:tcW w:w="1605" w:type="dxa"/>
            <w:shd w:val="clear" w:color="auto" w:fill="92D050"/>
            <w:vAlign w:val="center"/>
          </w:tcPr>
          <w:p w14:paraId="4DA6AC36"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высокий уровень </w:t>
            </w:r>
          </w:p>
        </w:tc>
        <w:tc>
          <w:tcPr>
            <w:tcW w:w="1605" w:type="dxa"/>
            <w:shd w:val="clear" w:color="auto" w:fill="92D050"/>
            <w:vAlign w:val="center"/>
          </w:tcPr>
          <w:p w14:paraId="0E296A76"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высокий уровень </w:t>
            </w:r>
          </w:p>
        </w:tc>
        <w:tc>
          <w:tcPr>
            <w:tcW w:w="1605" w:type="dxa"/>
            <w:shd w:val="clear" w:color="auto" w:fill="92D050"/>
            <w:vAlign w:val="center"/>
          </w:tcPr>
          <w:p w14:paraId="65E5F859"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 xml:space="preserve">высокий уровень </w:t>
            </w:r>
          </w:p>
        </w:tc>
        <w:tc>
          <w:tcPr>
            <w:tcW w:w="1620" w:type="dxa"/>
            <w:shd w:val="clear" w:color="auto" w:fill="FFFF00"/>
            <w:vAlign w:val="center"/>
          </w:tcPr>
          <w:p w14:paraId="4275531C"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b/>
                <w:sz w:val="18"/>
                <w:szCs w:val="18"/>
              </w:rPr>
            </w:pPr>
            <w:r w:rsidRPr="00FD7B0B">
              <w:rPr>
                <w:rFonts w:ascii="Times New Roman" w:hAnsi="Times New Roman" w:cs="Times New Roman"/>
                <w:b/>
                <w:sz w:val="18"/>
                <w:szCs w:val="18"/>
              </w:rPr>
              <w:t>уровень выше среднего</w:t>
            </w:r>
          </w:p>
        </w:tc>
      </w:tr>
      <w:tr w:rsidR="00FD7B0B" w:rsidRPr="00FD7B0B" w14:paraId="7EF95693" w14:textId="77777777" w:rsidTr="006D1DE5">
        <w:trPr>
          <w:trHeight w:val="342"/>
        </w:trPr>
        <w:tc>
          <w:tcPr>
            <w:tcW w:w="1605" w:type="dxa"/>
            <w:vAlign w:val="center"/>
          </w:tcPr>
          <w:p w14:paraId="332F1775"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1</w:t>
            </w:r>
          </w:p>
        </w:tc>
        <w:tc>
          <w:tcPr>
            <w:tcW w:w="1605" w:type="dxa"/>
            <w:vAlign w:val="center"/>
          </w:tcPr>
          <w:p w14:paraId="30A3C211"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3</w:t>
            </w:r>
          </w:p>
        </w:tc>
        <w:tc>
          <w:tcPr>
            <w:tcW w:w="1605" w:type="dxa"/>
            <w:vAlign w:val="center"/>
          </w:tcPr>
          <w:p w14:paraId="1558C27F"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3</w:t>
            </w:r>
          </w:p>
        </w:tc>
        <w:tc>
          <w:tcPr>
            <w:tcW w:w="1605" w:type="dxa"/>
            <w:vAlign w:val="center"/>
          </w:tcPr>
          <w:p w14:paraId="092A3E15"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3</w:t>
            </w:r>
          </w:p>
        </w:tc>
        <w:tc>
          <w:tcPr>
            <w:tcW w:w="1605" w:type="dxa"/>
            <w:vAlign w:val="center"/>
          </w:tcPr>
          <w:p w14:paraId="349C6B18"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sz w:val="18"/>
                <w:szCs w:val="18"/>
              </w:rPr>
            </w:pPr>
            <w:r w:rsidRPr="00FD7B0B">
              <w:rPr>
                <w:rFonts w:ascii="Times New Roman" w:hAnsi="Times New Roman" w:cs="Times New Roman"/>
                <w:sz w:val="18"/>
                <w:szCs w:val="18"/>
              </w:rPr>
              <w:t>3</w:t>
            </w:r>
          </w:p>
        </w:tc>
        <w:tc>
          <w:tcPr>
            <w:tcW w:w="1620" w:type="dxa"/>
            <w:vAlign w:val="center"/>
          </w:tcPr>
          <w:p w14:paraId="6FC54BC9" w14:textId="77777777" w:rsidR="00632913" w:rsidRPr="00FD7B0B" w:rsidRDefault="00632913" w:rsidP="00632913">
            <w:pPr>
              <w:autoSpaceDE w:val="0"/>
              <w:autoSpaceDN w:val="0"/>
              <w:adjustRightInd w:val="0"/>
              <w:spacing w:after="0" w:line="240" w:lineRule="auto"/>
              <w:jc w:val="center"/>
              <w:rPr>
                <w:rFonts w:ascii="Times New Roman" w:hAnsi="Times New Roman" w:cs="Times New Roman"/>
                <w:b/>
                <w:sz w:val="18"/>
                <w:szCs w:val="18"/>
              </w:rPr>
            </w:pPr>
            <w:r w:rsidRPr="00FD7B0B">
              <w:rPr>
                <w:rFonts w:ascii="Times New Roman" w:hAnsi="Times New Roman" w:cs="Times New Roman"/>
                <w:b/>
                <w:sz w:val="18"/>
                <w:szCs w:val="18"/>
              </w:rPr>
              <w:t>2,6</w:t>
            </w:r>
          </w:p>
        </w:tc>
      </w:tr>
    </w:tbl>
    <w:p w14:paraId="3E7B4FA5" w14:textId="77777777" w:rsidR="00632913" w:rsidRPr="00FD7B0B" w:rsidRDefault="00632913" w:rsidP="00632913">
      <w:pPr>
        <w:autoSpaceDE w:val="0"/>
        <w:autoSpaceDN w:val="0"/>
        <w:adjustRightInd w:val="0"/>
        <w:spacing w:after="0" w:line="240" w:lineRule="auto"/>
        <w:ind w:firstLine="540"/>
        <w:jc w:val="both"/>
        <w:rPr>
          <w:rFonts w:ascii="Times New Roman" w:hAnsi="Times New Roman" w:cs="Times New Roman"/>
          <w:sz w:val="20"/>
          <w:szCs w:val="20"/>
        </w:rPr>
      </w:pPr>
      <w:r w:rsidRPr="00FD7B0B">
        <w:rPr>
          <w:rFonts w:ascii="Times New Roman" w:hAnsi="Times New Roman" w:cs="Times New Roman"/>
          <w:sz w:val="20"/>
          <w:szCs w:val="20"/>
        </w:rPr>
        <w:t>&lt;*&gt; Оценка проводится аналитически (справочно) и не участвует в формировании итоговой оценки реализации государственной программы.</w:t>
      </w:r>
    </w:p>
    <w:p w14:paraId="76A90821" w14:textId="201973FA" w:rsidR="00D304BC" w:rsidRPr="00FD7B0B" w:rsidRDefault="009B516C" w:rsidP="00D304BC">
      <w:pPr>
        <w:pStyle w:val="3"/>
        <w:spacing w:line="240" w:lineRule="auto"/>
        <w:jc w:val="center"/>
        <w:rPr>
          <w:rFonts w:ascii="Times New Roman" w:hAnsi="Times New Roman"/>
          <w:b w:val="0"/>
          <w:sz w:val="28"/>
          <w:szCs w:val="28"/>
          <w:u w:val="single"/>
          <w:lang w:val="ru-RU"/>
        </w:rPr>
      </w:pPr>
      <w:bookmarkStart w:id="130" w:name="_Toc198819136"/>
      <w:r w:rsidRPr="00FD7B0B">
        <w:rPr>
          <w:rFonts w:ascii="Times New Roman" w:hAnsi="Times New Roman"/>
          <w:b w:val="0"/>
          <w:sz w:val="28"/>
          <w:szCs w:val="28"/>
          <w:u w:val="single"/>
          <w:lang w:val="ru-RU"/>
        </w:rPr>
        <w:lastRenderedPageBreak/>
        <w:t>4</w:t>
      </w:r>
      <w:r w:rsidR="00D304BC"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lang w:val="ru-RU"/>
        </w:rPr>
        <w:t xml:space="preserve">.3. Государственная программа Архангельской области </w:t>
      </w:r>
      <w:r w:rsidR="0065479F" w:rsidRPr="00FD7B0B">
        <w:rPr>
          <w:rFonts w:ascii="Times New Roman" w:hAnsi="Times New Roman"/>
          <w:b w:val="0"/>
          <w:sz w:val="28"/>
          <w:szCs w:val="28"/>
          <w:u w:val="single"/>
          <w:lang w:val="ru-RU"/>
        </w:rPr>
        <w:t>«</w:t>
      </w:r>
      <w:r w:rsidR="00D304BC" w:rsidRPr="00FD7B0B">
        <w:rPr>
          <w:rFonts w:ascii="Times New Roman" w:hAnsi="Times New Roman"/>
          <w:b w:val="0"/>
          <w:sz w:val="28"/>
          <w:szCs w:val="28"/>
          <w:u w:val="single"/>
          <w:lang w:val="ru-RU"/>
        </w:rPr>
        <w:t>Социальная поддержка граждан в Архангельской области</w:t>
      </w:r>
      <w:r w:rsidR="0065479F" w:rsidRPr="00FD7B0B">
        <w:rPr>
          <w:rFonts w:ascii="Times New Roman" w:hAnsi="Times New Roman"/>
          <w:b w:val="0"/>
          <w:sz w:val="28"/>
          <w:szCs w:val="28"/>
          <w:u w:val="single"/>
          <w:lang w:val="ru-RU"/>
        </w:rPr>
        <w:t>»</w:t>
      </w:r>
      <w:bookmarkEnd w:id="130"/>
    </w:p>
    <w:p w14:paraId="14785A9A" w14:textId="258C220D"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Государственная программа Архангельской области «Социальная поддержка граждан в Архангельской области» утверждена постановлением Правительства Архангельской области от 12.10.2012 № 464-пп (далее – ГП № 03, госпрограмма).</w:t>
      </w:r>
    </w:p>
    <w:p w14:paraId="683874EC" w14:textId="77777777" w:rsidR="002B392F" w:rsidRPr="00FD7B0B" w:rsidRDefault="002B392F" w:rsidP="002B392F">
      <w:pPr>
        <w:autoSpaceDE w:val="0"/>
        <w:autoSpaceDN w:val="0"/>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Госпрограмма № 03 состоит из проектной части, в которую входят четыре региональных проекта, из процессной части, состоящей из девяти комплексов процессных мероприятий.</w:t>
      </w:r>
    </w:p>
    <w:p w14:paraId="58EA7DAA" w14:textId="77777777"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Ответственным исполнителем госпрограммы является министерство труда, занятости и социального развития Архангельской области (далее ˗ минтрудсоцразвития АО).</w:t>
      </w:r>
    </w:p>
    <w:p w14:paraId="36E3CD3B" w14:textId="35390D03" w:rsidR="002B392F" w:rsidRPr="00FD7B0B" w:rsidRDefault="002B392F" w:rsidP="002B392F">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cs="Times New Roman"/>
          <w:sz w:val="28"/>
          <w:szCs w:val="28"/>
          <w:lang w:eastAsia="ru-RU"/>
        </w:rPr>
        <w:t>На реализацию мероприятий ГП № 03 на 2024 год в сводной бюджетной росписи на 31.12.2024 и в Отчете о реализации мероприятий ГП № 03 утверждено финансирование в общей сумме – 26 384,2 млн.руб., в т.ч. за счет средств федерального и областного бюджета – 17 056,8 млн.руб., местного бюджета – 2,3 млн.руб., внебюджетных источников – 9 325,2 млн.руб.</w:t>
      </w:r>
    </w:p>
    <w:p w14:paraId="5C452E8B" w14:textId="77777777"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p>
    <w:p w14:paraId="651769BA" w14:textId="77777777" w:rsidR="002B392F" w:rsidRPr="00FD7B0B" w:rsidRDefault="002B392F" w:rsidP="002B39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 MERGEFORMAT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95</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Изменения, внесенные в объемы финансирования мероприятий ГП № 03 за 2024 год в разрезе источников финансирования, млн.руб.</w:t>
      </w:r>
    </w:p>
    <w:tbl>
      <w:tblPr>
        <w:tblW w:w="9657" w:type="dxa"/>
        <w:tblInd w:w="-23" w:type="dxa"/>
        <w:tblLook w:val="04A0" w:firstRow="1" w:lastRow="0" w:firstColumn="1" w:lastColumn="0" w:noHBand="0" w:noVBand="1"/>
      </w:tblPr>
      <w:tblGrid>
        <w:gridCol w:w="2127"/>
        <w:gridCol w:w="1612"/>
        <w:gridCol w:w="1326"/>
        <w:gridCol w:w="1116"/>
        <w:gridCol w:w="1116"/>
        <w:gridCol w:w="1116"/>
        <w:gridCol w:w="1244"/>
      </w:tblGrid>
      <w:tr w:rsidR="00FD7B0B" w:rsidRPr="00FD7B0B" w14:paraId="64700FF4" w14:textId="77777777" w:rsidTr="003C4D89">
        <w:trPr>
          <w:trHeight w:val="794"/>
          <w:tblHeader/>
        </w:trPr>
        <w:tc>
          <w:tcPr>
            <w:tcW w:w="2127"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4E3FFF9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Источник финансирования</w:t>
            </w:r>
          </w:p>
        </w:tc>
        <w:tc>
          <w:tcPr>
            <w:tcW w:w="1612" w:type="dxa"/>
            <w:tcBorders>
              <w:top w:val="double" w:sz="6" w:space="0" w:color="auto"/>
              <w:left w:val="nil"/>
              <w:bottom w:val="single" w:sz="4" w:space="0" w:color="auto"/>
              <w:right w:val="single" w:sz="4" w:space="0" w:color="auto"/>
            </w:tcBorders>
            <w:shd w:val="clear" w:color="000000" w:fill="FFFFFF"/>
            <w:vAlign w:val="center"/>
            <w:hideMark/>
          </w:tcPr>
          <w:p w14:paraId="083D9A8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ред. ОЗ от 15.12.2023 года № 39-4-ОЗ</w:t>
            </w:r>
          </w:p>
        </w:tc>
        <w:tc>
          <w:tcPr>
            <w:tcW w:w="1326" w:type="dxa"/>
            <w:tcBorders>
              <w:top w:val="double" w:sz="6" w:space="0" w:color="auto"/>
              <w:left w:val="nil"/>
              <w:bottom w:val="single" w:sz="4" w:space="0" w:color="auto"/>
              <w:right w:val="single" w:sz="4" w:space="0" w:color="auto"/>
            </w:tcBorders>
            <w:shd w:val="clear" w:color="000000" w:fill="FFFFFF"/>
            <w:vAlign w:val="center"/>
            <w:hideMark/>
          </w:tcPr>
          <w:p w14:paraId="3E5DEFE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ред. ОЗ от 23.12.2024 № 176-13-ОЗ</w:t>
            </w:r>
          </w:p>
        </w:tc>
        <w:tc>
          <w:tcPr>
            <w:tcW w:w="1116" w:type="dxa"/>
            <w:tcBorders>
              <w:top w:val="double" w:sz="6" w:space="0" w:color="auto"/>
              <w:left w:val="nil"/>
              <w:bottom w:val="single" w:sz="4" w:space="0" w:color="auto"/>
              <w:right w:val="single" w:sz="4" w:space="0" w:color="auto"/>
            </w:tcBorders>
            <w:shd w:val="clear" w:color="auto" w:fill="auto"/>
            <w:vAlign w:val="center"/>
            <w:hideMark/>
          </w:tcPr>
          <w:p w14:paraId="34C8657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ГП в ред. от 27.12.2024</w:t>
            </w:r>
          </w:p>
        </w:tc>
        <w:tc>
          <w:tcPr>
            <w:tcW w:w="1116" w:type="dxa"/>
            <w:tcBorders>
              <w:top w:val="double" w:sz="6" w:space="0" w:color="auto"/>
              <w:left w:val="nil"/>
              <w:bottom w:val="single" w:sz="4" w:space="0" w:color="auto"/>
              <w:right w:val="single" w:sz="4" w:space="0" w:color="auto"/>
            </w:tcBorders>
            <w:shd w:val="clear" w:color="auto" w:fill="auto"/>
            <w:vAlign w:val="center"/>
            <w:hideMark/>
          </w:tcPr>
          <w:p w14:paraId="06E9D1E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СБР на 31.12.2024</w:t>
            </w:r>
          </w:p>
        </w:tc>
        <w:tc>
          <w:tcPr>
            <w:tcW w:w="1116" w:type="dxa"/>
            <w:tcBorders>
              <w:top w:val="double" w:sz="6" w:space="0" w:color="auto"/>
              <w:left w:val="nil"/>
              <w:bottom w:val="single" w:sz="4" w:space="0" w:color="auto"/>
              <w:right w:val="single" w:sz="4" w:space="0" w:color="auto"/>
            </w:tcBorders>
            <w:shd w:val="clear" w:color="auto" w:fill="auto"/>
            <w:vAlign w:val="bottom"/>
            <w:hideMark/>
          </w:tcPr>
          <w:p w14:paraId="5325BFC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 отчету ГП на 31.12.2024</w:t>
            </w:r>
          </w:p>
        </w:tc>
        <w:tc>
          <w:tcPr>
            <w:tcW w:w="1244" w:type="dxa"/>
            <w:tcBorders>
              <w:top w:val="double" w:sz="6" w:space="0" w:color="auto"/>
              <w:left w:val="nil"/>
              <w:bottom w:val="single" w:sz="4" w:space="0" w:color="auto"/>
              <w:right w:val="double" w:sz="6" w:space="0" w:color="auto"/>
            </w:tcBorders>
            <w:shd w:val="clear" w:color="auto" w:fill="auto"/>
            <w:vAlign w:val="center"/>
            <w:hideMark/>
          </w:tcPr>
          <w:p w14:paraId="6A3A94E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r>
      <w:tr w:rsidR="00FD7B0B" w:rsidRPr="00FD7B0B" w14:paraId="3A8B2CE2" w14:textId="77777777" w:rsidTr="00454B5B">
        <w:trPr>
          <w:trHeight w:val="135"/>
        </w:trPr>
        <w:tc>
          <w:tcPr>
            <w:tcW w:w="2127" w:type="dxa"/>
            <w:tcBorders>
              <w:top w:val="nil"/>
              <w:left w:val="double" w:sz="6" w:space="0" w:color="auto"/>
              <w:bottom w:val="single" w:sz="4" w:space="0" w:color="auto"/>
              <w:right w:val="single" w:sz="4" w:space="0" w:color="auto"/>
            </w:tcBorders>
            <w:shd w:val="clear" w:color="auto" w:fill="auto"/>
            <w:noWrap/>
            <w:vAlign w:val="center"/>
            <w:hideMark/>
          </w:tcPr>
          <w:p w14:paraId="3A20E4E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612" w:type="dxa"/>
            <w:tcBorders>
              <w:top w:val="nil"/>
              <w:left w:val="nil"/>
              <w:bottom w:val="single" w:sz="4" w:space="0" w:color="auto"/>
              <w:right w:val="single" w:sz="4" w:space="0" w:color="auto"/>
            </w:tcBorders>
            <w:shd w:val="clear" w:color="000000" w:fill="FFFFFF"/>
            <w:vAlign w:val="center"/>
            <w:hideMark/>
          </w:tcPr>
          <w:p w14:paraId="1AFA1C8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1326" w:type="dxa"/>
            <w:tcBorders>
              <w:top w:val="nil"/>
              <w:left w:val="nil"/>
              <w:bottom w:val="single" w:sz="4" w:space="0" w:color="auto"/>
              <w:right w:val="single" w:sz="4" w:space="0" w:color="auto"/>
            </w:tcBorders>
            <w:shd w:val="clear" w:color="000000" w:fill="FFFFFF"/>
            <w:vAlign w:val="center"/>
            <w:hideMark/>
          </w:tcPr>
          <w:p w14:paraId="082634A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1116" w:type="dxa"/>
            <w:tcBorders>
              <w:top w:val="nil"/>
              <w:left w:val="nil"/>
              <w:bottom w:val="single" w:sz="4" w:space="0" w:color="auto"/>
              <w:right w:val="single" w:sz="4" w:space="0" w:color="auto"/>
            </w:tcBorders>
            <w:shd w:val="clear" w:color="auto" w:fill="auto"/>
            <w:vAlign w:val="center"/>
            <w:hideMark/>
          </w:tcPr>
          <w:p w14:paraId="3CBDAB1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w:t>
            </w:r>
          </w:p>
        </w:tc>
        <w:tc>
          <w:tcPr>
            <w:tcW w:w="1116" w:type="dxa"/>
            <w:tcBorders>
              <w:top w:val="nil"/>
              <w:left w:val="nil"/>
              <w:bottom w:val="single" w:sz="4" w:space="0" w:color="auto"/>
              <w:right w:val="single" w:sz="4" w:space="0" w:color="auto"/>
            </w:tcBorders>
            <w:shd w:val="clear" w:color="auto" w:fill="auto"/>
            <w:vAlign w:val="center"/>
            <w:hideMark/>
          </w:tcPr>
          <w:p w14:paraId="5358E6A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1116" w:type="dxa"/>
            <w:tcBorders>
              <w:top w:val="nil"/>
              <w:left w:val="nil"/>
              <w:bottom w:val="single" w:sz="4" w:space="0" w:color="auto"/>
              <w:right w:val="single" w:sz="4" w:space="0" w:color="auto"/>
            </w:tcBorders>
            <w:shd w:val="clear" w:color="auto" w:fill="auto"/>
            <w:vAlign w:val="center"/>
            <w:hideMark/>
          </w:tcPr>
          <w:p w14:paraId="1495339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w:t>
            </w:r>
          </w:p>
        </w:tc>
        <w:tc>
          <w:tcPr>
            <w:tcW w:w="1244" w:type="dxa"/>
            <w:tcBorders>
              <w:top w:val="nil"/>
              <w:left w:val="nil"/>
              <w:bottom w:val="single" w:sz="4" w:space="0" w:color="auto"/>
              <w:right w:val="double" w:sz="6" w:space="0" w:color="auto"/>
            </w:tcBorders>
            <w:shd w:val="clear" w:color="auto" w:fill="auto"/>
            <w:vAlign w:val="center"/>
            <w:hideMark/>
          </w:tcPr>
          <w:p w14:paraId="3AE9E88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7=5-3</w:t>
            </w:r>
          </w:p>
        </w:tc>
      </w:tr>
      <w:tr w:rsidR="00FD7B0B" w:rsidRPr="00FD7B0B" w14:paraId="58A80D88" w14:textId="77777777" w:rsidTr="003C4D89">
        <w:trPr>
          <w:trHeight w:val="158"/>
        </w:trPr>
        <w:tc>
          <w:tcPr>
            <w:tcW w:w="2127" w:type="dxa"/>
            <w:tcBorders>
              <w:top w:val="nil"/>
              <w:left w:val="double" w:sz="6" w:space="0" w:color="auto"/>
              <w:bottom w:val="single" w:sz="4" w:space="0" w:color="auto"/>
              <w:right w:val="single" w:sz="4" w:space="0" w:color="auto"/>
            </w:tcBorders>
            <w:shd w:val="clear" w:color="auto" w:fill="auto"/>
            <w:noWrap/>
            <w:vAlign w:val="bottom"/>
            <w:hideMark/>
          </w:tcPr>
          <w:p w14:paraId="0845B4C5"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 по ГП №03</w:t>
            </w:r>
          </w:p>
        </w:tc>
        <w:tc>
          <w:tcPr>
            <w:tcW w:w="1612" w:type="dxa"/>
            <w:tcBorders>
              <w:top w:val="nil"/>
              <w:left w:val="nil"/>
              <w:bottom w:val="single" w:sz="4" w:space="0" w:color="auto"/>
              <w:right w:val="single" w:sz="4" w:space="0" w:color="auto"/>
            </w:tcBorders>
            <w:shd w:val="clear" w:color="auto" w:fill="auto"/>
            <w:noWrap/>
            <w:vAlign w:val="center"/>
            <w:hideMark/>
          </w:tcPr>
          <w:p w14:paraId="753494C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26 812,7</w:t>
            </w:r>
          </w:p>
        </w:tc>
        <w:tc>
          <w:tcPr>
            <w:tcW w:w="1326" w:type="dxa"/>
            <w:tcBorders>
              <w:top w:val="nil"/>
              <w:left w:val="nil"/>
              <w:bottom w:val="single" w:sz="4" w:space="0" w:color="auto"/>
              <w:right w:val="single" w:sz="4" w:space="0" w:color="auto"/>
            </w:tcBorders>
            <w:shd w:val="clear" w:color="auto" w:fill="auto"/>
            <w:noWrap/>
            <w:vAlign w:val="center"/>
            <w:hideMark/>
          </w:tcPr>
          <w:p w14:paraId="7D3D4EE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27 028,2</w:t>
            </w:r>
          </w:p>
        </w:tc>
        <w:tc>
          <w:tcPr>
            <w:tcW w:w="1116" w:type="dxa"/>
            <w:tcBorders>
              <w:top w:val="nil"/>
              <w:left w:val="nil"/>
              <w:bottom w:val="single" w:sz="4" w:space="0" w:color="auto"/>
              <w:right w:val="single" w:sz="4" w:space="0" w:color="auto"/>
            </w:tcBorders>
            <w:shd w:val="clear" w:color="auto" w:fill="auto"/>
            <w:noWrap/>
            <w:vAlign w:val="center"/>
            <w:hideMark/>
          </w:tcPr>
          <w:p w14:paraId="3408798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26 407,0</w:t>
            </w:r>
          </w:p>
        </w:tc>
        <w:tc>
          <w:tcPr>
            <w:tcW w:w="1116" w:type="dxa"/>
            <w:tcBorders>
              <w:top w:val="nil"/>
              <w:left w:val="nil"/>
              <w:bottom w:val="single" w:sz="4" w:space="0" w:color="auto"/>
              <w:right w:val="single" w:sz="4" w:space="0" w:color="auto"/>
            </w:tcBorders>
            <w:shd w:val="clear" w:color="auto" w:fill="auto"/>
            <w:noWrap/>
            <w:vAlign w:val="center"/>
            <w:hideMark/>
          </w:tcPr>
          <w:p w14:paraId="442B6E9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26 384,3</w:t>
            </w:r>
          </w:p>
        </w:tc>
        <w:tc>
          <w:tcPr>
            <w:tcW w:w="1116" w:type="dxa"/>
            <w:tcBorders>
              <w:top w:val="nil"/>
              <w:left w:val="nil"/>
              <w:bottom w:val="single" w:sz="4" w:space="0" w:color="auto"/>
              <w:right w:val="single" w:sz="4" w:space="0" w:color="auto"/>
            </w:tcBorders>
            <w:shd w:val="clear" w:color="auto" w:fill="auto"/>
            <w:noWrap/>
            <w:vAlign w:val="center"/>
            <w:hideMark/>
          </w:tcPr>
          <w:p w14:paraId="513E46F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26 384,2</w:t>
            </w:r>
          </w:p>
        </w:tc>
        <w:tc>
          <w:tcPr>
            <w:tcW w:w="1244" w:type="dxa"/>
            <w:tcBorders>
              <w:top w:val="nil"/>
              <w:left w:val="nil"/>
              <w:bottom w:val="single" w:sz="4" w:space="0" w:color="auto"/>
              <w:right w:val="double" w:sz="6" w:space="0" w:color="auto"/>
            </w:tcBorders>
            <w:shd w:val="clear" w:color="auto" w:fill="auto"/>
            <w:noWrap/>
            <w:vAlign w:val="center"/>
            <w:hideMark/>
          </w:tcPr>
          <w:p w14:paraId="5D35165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-643,9</w:t>
            </w:r>
          </w:p>
        </w:tc>
      </w:tr>
      <w:tr w:rsidR="00FD7B0B" w:rsidRPr="00FD7B0B" w14:paraId="3F763B77" w14:textId="77777777" w:rsidTr="003C4D89">
        <w:trPr>
          <w:trHeight w:val="293"/>
        </w:trPr>
        <w:tc>
          <w:tcPr>
            <w:tcW w:w="2127" w:type="dxa"/>
            <w:tcBorders>
              <w:top w:val="nil"/>
              <w:left w:val="double" w:sz="6" w:space="0" w:color="auto"/>
              <w:bottom w:val="single" w:sz="4" w:space="0" w:color="auto"/>
              <w:right w:val="single" w:sz="4" w:space="0" w:color="auto"/>
            </w:tcBorders>
            <w:shd w:val="clear" w:color="auto" w:fill="auto"/>
            <w:vAlign w:val="bottom"/>
            <w:hideMark/>
          </w:tcPr>
          <w:p w14:paraId="421BFE23"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федеральный и областной бюджет</w:t>
            </w:r>
          </w:p>
        </w:tc>
        <w:tc>
          <w:tcPr>
            <w:tcW w:w="1612" w:type="dxa"/>
            <w:tcBorders>
              <w:top w:val="nil"/>
              <w:left w:val="nil"/>
              <w:bottom w:val="single" w:sz="4" w:space="0" w:color="auto"/>
              <w:right w:val="single" w:sz="4" w:space="0" w:color="auto"/>
            </w:tcBorders>
            <w:shd w:val="clear" w:color="auto" w:fill="auto"/>
            <w:noWrap/>
            <w:vAlign w:val="center"/>
            <w:hideMark/>
          </w:tcPr>
          <w:p w14:paraId="46F1557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17 485,2</w:t>
            </w:r>
          </w:p>
        </w:tc>
        <w:tc>
          <w:tcPr>
            <w:tcW w:w="1326" w:type="dxa"/>
            <w:tcBorders>
              <w:top w:val="nil"/>
              <w:left w:val="nil"/>
              <w:bottom w:val="single" w:sz="4" w:space="0" w:color="auto"/>
              <w:right w:val="single" w:sz="4" w:space="0" w:color="auto"/>
            </w:tcBorders>
            <w:shd w:val="clear" w:color="auto" w:fill="auto"/>
            <w:noWrap/>
            <w:vAlign w:val="center"/>
            <w:hideMark/>
          </w:tcPr>
          <w:p w14:paraId="33696EE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17 700,7</w:t>
            </w:r>
          </w:p>
        </w:tc>
        <w:tc>
          <w:tcPr>
            <w:tcW w:w="1116" w:type="dxa"/>
            <w:tcBorders>
              <w:top w:val="nil"/>
              <w:left w:val="nil"/>
              <w:bottom w:val="single" w:sz="4" w:space="0" w:color="auto"/>
              <w:right w:val="single" w:sz="4" w:space="0" w:color="auto"/>
            </w:tcBorders>
            <w:shd w:val="clear" w:color="auto" w:fill="auto"/>
            <w:noWrap/>
            <w:vAlign w:val="center"/>
            <w:hideMark/>
          </w:tcPr>
          <w:p w14:paraId="6ED0939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17 079,5</w:t>
            </w:r>
          </w:p>
        </w:tc>
        <w:tc>
          <w:tcPr>
            <w:tcW w:w="1116" w:type="dxa"/>
            <w:tcBorders>
              <w:top w:val="nil"/>
              <w:left w:val="nil"/>
              <w:bottom w:val="single" w:sz="4" w:space="0" w:color="auto"/>
              <w:right w:val="single" w:sz="4" w:space="0" w:color="auto"/>
            </w:tcBorders>
            <w:shd w:val="clear" w:color="auto" w:fill="auto"/>
            <w:noWrap/>
            <w:vAlign w:val="center"/>
            <w:hideMark/>
          </w:tcPr>
          <w:p w14:paraId="52BB1BD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17 056,8</w:t>
            </w:r>
          </w:p>
        </w:tc>
        <w:tc>
          <w:tcPr>
            <w:tcW w:w="1116" w:type="dxa"/>
            <w:tcBorders>
              <w:top w:val="nil"/>
              <w:left w:val="nil"/>
              <w:bottom w:val="single" w:sz="4" w:space="0" w:color="auto"/>
              <w:right w:val="single" w:sz="4" w:space="0" w:color="auto"/>
            </w:tcBorders>
            <w:shd w:val="clear" w:color="auto" w:fill="auto"/>
            <w:noWrap/>
            <w:vAlign w:val="center"/>
            <w:hideMark/>
          </w:tcPr>
          <w:p w14:paraId="6F27D70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17 056,8</w:t>
            </w:r>
          </w:p>
        </w:tc>
        <w:tc>
          <w:tcPr>
            <w:tcW w:w="1244" w:type="dxa"/>
            <w:tcBorders>
              <w:top w:val="nil"/>
              <w:left w:val="nil"/>
              <w:bottom w:val="single" w:sz="4" w:space="0" w:color="auto"/>
              <w:right w:val="double" w:sz="6" w:space="0" w:color="auto"/>
            </w:tcBorders>
            <w:shd w:val="clear" w:color="auto" w:fill="auto"/>
            <w:noWrap/>
            <w:vAlign w:val="center"/>
            <w:hideMark/>
          </w:tcPr>
          <w:p w14:paraId="667206A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-643,9</w:t>
            </w:r>
          </w:p>
        </w:tc>
      </w:tr>
      <w:tr w:rsidR="00FD7B0B" w:rsidRPr="00FD7B0B" w14:paraId="56742AE1" w14:textId="77777777" w:rsidTr="003C4D89">
        <w:trPr>
          <w:trHeight w:val="293"/>
        </w:trPr>
        <w:tc>
          <w:tcPr>
            <w:tcW w:w="2127" w:type="dxa"/>
            <w:tcBorders>
              <w:top w:val="nil"/>
              <w:left w:val="double" w:sz="6" w:space="0" w:color="auto"/>
              <w:bottom w:val="single" w:sz="4" w:space="0" w:color="auto"/>
              <w:right w:val="single" w:sz="4" w:space="0" w:color="auto"/>
            </w:tcBorders>
            <w:shd w:val="clear" w:color="auto" w:fill="auto"/>
            <w:vAlign w:val="bottom"/>
            <w:hideMark/>
          </w:tcPr>
          <w:p w14:paraId="35D4154E"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местный бюджет по данным ГП №03</w:t>
            </w:r>
          </w:p>
        </w:tc>
        <w:tc>
          <w:tcPr>
            <w:tcW w:w="1612" w:type="dxa"/>
            <w:tcBorders>
              <w:top w:val="nil"/>
              <w:left w:val="nil"/>
              <w:bottom w:val="single" w:sz="4" w:space="0" w:color="auto"/>
              <w:right w:val="single" w:sz="4" w:space="0" w:color="auto"/>
            </w:tcBorders>
            <w:shd w:val="clear" w:color="auto" w:fill="auto"/>
            <w:noWrap/>
            <w:vAlign w:val="center"/>
            <w:hideMark/>
          </w:tcPr>
          <w:p w14:paraId="24421958"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1326" w:type="dxa"/>
            <w:tcBorders>
              <w:top w:val="nil"/>
              <w:left w:val="nil"/>
              <w:bottom w:val="single" w:sz="4" w:space="0" w:color="auto"/>
              <w:right w:val="single" w:sz="4" w:space="0" w:color="auto"/>
            </w:tcBorders>
            <w:shd w:val="clear" w:color="auto" w:fill="auto"/>
            <w:noWrap/>
            <w:vAlign w:val="center"/>
            <w:hideMark/>
          </w:tcPr>
          <w:p w14:paraId="16D30DCD"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1116" w:type="dxa"/>
            <w:tcBorders>
              <w:top w:val="nil"/>
              <w:left w:val="nil"/>
              <w:bottom w:val="single" w:sz="4" w:space="0" w:color="auto"/>
              <w:right w:val="single" w:sz="4" w:space="0" w:color="auto"/>
            </w:tcBorders>
            <w:shd w:val="clear" w:color="auto" w:fill="auto"/>
            <w:noWrap/>
            <w:vAlign w:val="center"/>
            <w:hideMark/>
          </w:tcPr>
          <w:p w14:paraId="39C53A3B"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1116" w:type="dxa"/>
            <w:tcBorders>
              <w:top w:val="nil"/>
              <w:left w:val="nil"/>
              <w:bottom w:val="single" w:sz="4" w:space="0" w:color="auto"/>
              <w:right w:val="single" w:sz="4" w:space="0" w:color="auto"/>
            </w:tcBorders>
            <w:shd w:val="clear" w:color="auto" w:fill="auto"/>
            <w:noWrap/>
            <w:vAlign w:val="center"/>
            <w:hideMark/>
          </w:tcPr>
          <w:p w14:paraId="5E57AB38"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1116" w:type="dxa"/>
            <w:tcBorders>
              <w:top w:val="nil"/>
              <w:left w:val="nil"/>
              <w:bottom w:val="single" w:sz="4" w:space="0" w:color="auto"/>
              <w:right w:val="single" w:sz="4" w:space="0" w:color="auto"/>
            </w:tcBorders>
            <w:shd w:val="clear" w:color="auto" w:fill="auto"/>
            <w:noWrap/>
            <w:vAlign w:val="center"/>
            <w:hideMark/>
          </w:tcPr>
          <w:p w14:paraId="64506F9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1244" w:type="dxa"/>
            <w:tcBorders>
              <w:top w:val="nil"/>
              <w:left w:val="nil"/>
              <w:bottom w:val="single" w:sz="4" w:space="0" w:color="auto"/>
              <w:right w:val="double" w:sz="6" w:space="0" w:color="auto"/>
            </w:tcBorders>
            <w:shd w:val="clear" w:color="auto" w:fill="auto"/>
            <w:noWrap/>
            <w:vAlign w:val="center"/>
            <w:hideMark/>
          </w:tcPr>
          <w:p w14:paraId="7CD6C5E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2D5C548D" w14:textId="77777777" w:rsidTr="003C4D89">
        <w:trPr>
          <w:trHeight w:val="323"/>
        </w:trPr>
        <w:tc>
          <w:tcPr>
            <w:tcW w:w="2127" w:type="dxa"/>
            <w:tcBorders>
              <w:top w:val="nil"/>
              <w:left w:val="double" w:sz="6" w:space="0" w:color="auto"/>
              <w:bottom w:val="double" w:sz="6" w:space="0" w:color="auto"/>
              <w:right w:val="single" w:sz="4" w:space="0" w:color="auto"/>
            </w:tcBorders>
            <w:shd w:val="clear" w:color="auto" w:fill="auto"/>
            <w:vAlign w:val="bottom"/>
            <w:hideMark/>
          </w:tcPr>
          <w:p w14:paraId="419DD779"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внебюджетные источники по данным ГП №03</w:t>
            </w:r>
          </w:p>
        </w:tc>
        <w:tc>
          <w:tcPr>
            <w:tcW w:w="1612" w:type="dxa"/>
            <w:tcBorders>
              <w:top w:val="nil"/>
              <w:left w:val="nil"/>
              <w:bottom w:val="double" w:sz="6" w:space="0" w:color="auto"/>
              <w:right w:val="single" w:sz="4" w:space="0" w:color="auto"/>
            </w:tcBorders>
            <w:shd w:val="clear" w:color="auto" w:fill="auto"/>
            <w:noWrap/>
            <w:vAlign w:val="center"/>
            <w:hideMark/>
          </w:tcPr>
          <w:p w14:paraId="5F601FB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9 325,2</w:t>
            </w:r>
          </w:p>
        </w:tc>
        <w:tc>
          <w:tcPr>
            <w:tcW w:w="1326" w:type="dxa"/>
            <w:tcBorders>
              <w:top w:val="nil"/>
              <w:left w:val="nil"/>
              <w:bottom w:val="double" w:sz="6" w:space="0" w:color="auto"/>
              <w:right w:val="single" w:sz="4" w:space="0" w:color="auto"/>
            </w:tcBorders>
            <w:shd w:val="clear" w:color="auto" w:fill="auto"/>
            <w:noWrap/>
            <w:vAlign w:val="center"/>
            <w:hideMark/>
          </w:tcPr>
          <w:p w14:paraId="05AD726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9 325,2</w:t>
            </w:r>
          </w:p>
        </w:tc>
        <w:tc>
          <w:tcPr>
            <w:tcW w:w="1116" w:type="dxa"/>
            <w:tcBorders>
              <w:top w:val="nil"/>
              <w:left w:val="nil"/>
              <w:bottom w:val="double" w:sz="6" w:space="0" w:color="auto"/>
              <w:right w:val="single" w:sz="4" w:space="0" w:color="auto"/>
            </w:tcBorders>
            <w:shd w:val="clear" w:color="auto" w:fill="auto"/>
            <w:noWrap/>
            <w:vAlign w:val="center"/>
            <w:hideMark/>
          </w:tcPr>
          <w:p w14:paraId="6A0A480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9 325,2</w:t>
            </w:r>
          </w:p>
        </w:tc>
        <w:tc>
          <w:tcPr>
            <w:tcW w:w="1116" w:type="dxa"/>
            <w:tcBorders>
              <w:top w:val="nil"/>
              <w:left w:val="nil"/>
              <w:bottom w:val="double" w:sz="6" w:space="0" w:color="auto"/>
              <w:right w:val="single" w:sz="4" w:space="0" w:color="auto"/>
            </w:tcBorders>
            <w:shd w:val="clear" w:color="auto" w:fill="auto"/>
            <w:noWrap/>
            <w:vAlign w:val="center"/>
            <w:hideMark/>
          </w:tcPr>
          <w:p w14:paraId="277A55B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9 325,2</w:t>
            </w:r>
          </w:p>
        </w:tc>
        <w:tc>
          <w:tcPr>
            <w:tcW w:w="1116" w:type="dxa"/>
            <w:tcBorders>
              <w:top w:val="nil"/>
              <w:left w:val="nil"/>
              <w:bottom w:val="double" w:sz="6" w:space="0" w:color="auto"/>
              <w:right w:val="single" w:sz="4" w:space="0" w:color="auto"/>
            </w:tcBorders>
            <w:shd w:val="clear" w:color="auto" w:fill="auto"/>
            <w:noWrap/>
            <w:vAlign w:val="center"/>
            <w:hideMark/>
          </w:tcPr>
          <w:p w14:paraId="1B371C2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9 325,2</w:t>
            </w:r>
          </w:p>
        </w:tc>
        <w:tc>
          <w:tcPr>
            <w:tcW w:w="1244" w:type="dxa"/>
            <w:tcBorders>
              <w:top w:val="nil"/>
              <w:left w:val="nil"/>
              <w:bottom w:val="double" w:sz="6" w:space="0" w:color="auto"/>
              <w:right w:val="double" w:sz="6" w:space="0" w:color="auto"/>
            </w:tcBorders>
            <w:shd w:val="clear" w:color="auto" w:fill="auto"/>
            <w:noWrap/>
            <w:vAlign w:val="center"/>
            <w:hideMark/>
          </w:tcPr>
          <w:p w14:paraId="2C3FF9B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bl>
    <w:p w14:paraId="4A2461FD" w14:textId="77777777" w:rsidR="002B392F" w:rsidRPr="00FD7B0B" w:rsidRDefault="002B392F" w:rsidP="002B392F">
      <w:pPr>
        <w:autoSpaceDE w:val="0"/>
        <w:autoSpaceDN w:val="0"/>
        <w:adjustRightInd w:val="0"/>
        <w:spacing w:after="0" w:line="240" w:lineRule="auto"/>
        <w:ind w:firstLine="709"/>
        <w:jc w:val="both"/>
        <w:rPr>
          <w:rFonts w:ascii="Times New Roman" w:hAnsi="Times New Roman" w:cs="Times New Roman"/>
          <w:spacing w:val="2"/>
          <w:sz w:val="28"/>
          <w:szCs w:val="28"/>
        </w:rPr>
      </w:pPr>
    </w:p>
    <w:p w14:paraId="70D00CA9" w14:textId="77777777" w:rsidR="002B392F" w:rsidRPr="00FD7B0B" w:rsidRDefault="002B392F" w:rsidP="002B392F">
      <w:pPr>
        <w:autoSpaceDE w:val="0"/>
        <w:autoSpaceDN w:val="0"/>
        <w:adjustRightInd w:val="0"/>
        <w:spacing w:after="0" w:line="240" w:lineRule="auto"/>
        <w:ind w:firstLine="709"/>
        <w:jc w:val="both"/>
        <w:rPr>
          <w:rFonts w:ascii="Times New Roman" w:hAnsi="Times New Roman" w:cs="Times New Roman"/>
          <w:spacing w:val="2"/>
          <w:sz w:val="28"/>
          <w:szCs w:val="28"/>
        </w:rPr>
      </w:pPr>
      <w:r w:rsidRPr="00FD7B0B">
        <w:rPr>
          <w:rFonts w:ascii="Times New Roman" w:hAnsi="Times New Roman" w:cs="Times New Roman"/>
          <w:spacing w:val="2"/>
          <w:sz w:val="28"/>
          <w:szCs w:val="28"/>
        </w:rPr>
        <w:t xml:space="preserve">Финансирование </w:t>
      </w:r>
      <w:r w:rsidRPr="00FD7B0B">
        <w:rPr>
          <w:rFonts w:ascii="Times New Roman" w:eastAsia="Times New Roman" w:hAnsi="Times New Roman" w:cs="Times New Roman"/>
          <w:sz w:val="28"/>
          <w:szCs w:val="28"/>
          <w:lang w:eastAsia="ru-RU"/>
        </w:rPr>
        <w:t xml:space="preserve">ГП № 03 </w:t>
      </w:r>
      <w:r w:rsidRPr="00FD7B0B">
        <w:rPr>
          <w:rFonts w:ascii="Times New Roman" w:hAnsi="Times New Roman" w:cs="Times New Roman"/>
          <w:spacing w:val="2"/>
          <w:sz w:val="28"/>
          <w:szCs w:val="28"/>
        </w:rPr>
        <w:t xml:space="preserve">на 2024 год, РП и КПМ приведено в соответствие с </w:t>
      </w:r>
      <w:r w:rsidRPr="00FD7B0B">
        <w:rPr>
          <w:rFonts w:ascii="Times New Roman" w:eastAsia="Times New Roman" w:hAnsi="Times New Roman" w:cs="Times New Roman"/>
          <w:sz w:val="28"/>
          <w:szCs w:val="28"/>
          <w:lang w:eastAsia="ru-RU"/>
        </w:rPr>
        <w:t xml:space="preserve">Законом «Об областном бюджете» </w:t>
      </w:r>
      <w:r w:rsidRPr="00FD7B0B">
        <w:rPr>
          <w:rFonts w:ascii="Times New Roman" w:hAnsi="Times New Roman" w:cs="Times New Roman"/>
          <w:spacing w:val="2"/>
          <w:sz w:val="28"/>
          <w:szCs w:val="28"/>
        </w:rPr>
        <w:t xml:space="preserve">и со сводной бюджетной росписью по состоянию на 13.12.2024. </w:t>
      </w:r>
      <w:r w:rsidRPr="00FD7B0B">
        <w:rPr>
          <w:rFonts w:ascii="Times New Roman" w:eastAsia="Times New Roman" w:hAnsi="Times New Roman" w:cs="Times New Roman"/>
          <w:sz w:val="28"/>
          <w:szCs w:val="28"/>
          <w:lang w:eastAsia="ru-RU"/>
        </w:rPr>
        <w:t>Бюджетные ассигнования на 2024 год, предусмотренные на реализацию ГП № 03,</w:t>
      </w:r>
      <w:r w:rsidRPr="00FD7B0B">
        <w:rPr>
          <w:rFonts w:ascii="Times New Roman" w:hAnsi="Times New Roman" w:cs="Times New Roman"/>
          <w:spacing w:val="2"/>
          <w:sz w:val="28"/>
          <w:szCs w:val="28"/>
        </w:rPr>
        <w:t xml:space="preserve"> РП и КПМ</w:t>
      </w:r>
      <w:r w:rsidRPr="00FD7B0B">
        <w:rPr>
          <w:rFonts w:ascii="Times New Roman" w:eastAsia="Times New Roman" w:hAnsi="Times New Roman" w:cs="Times New Roman"/>
          <w:sz w:val="28"/>
          <w:szCs w:val="28"/>
          <w:lang w:eastAsia="ru-RU"/>
        </w:rPr>
        <w:t xml:space="preserve"> в 2024 году не приведены в соответствие со сводной бюджетной росписью областного бюджета на 31.12.2024 года в связи с отсутствием правовых оснований для внесения изменений в редакцию госпрограммы, утратившую силу с 01.01.2025.  </w:t>
      </w:r>
      <w:r w:rsidRPr="00FD7B0B">
        <w:rPr>
          <w:rFonts w:ascii="Times New Roman" w:hAnsi="Times New Roman" w:cs="Times New Roman"/>
          <w:spacing w:val="2"/>
          <w:sz w:val="28"/>
          <w:szCs w:val="28"/>
        </w:rPr>
        <w:t>В отчете ГП №03 плановое финансовое обеспечение отражено в объеме ассигнований, утвержденных в СБР на 31.12.2024.</w:t>
      </w:r>
    </w:p>
    <w:p w14:paraId="7882A2DB" w14:textId="50D90190" w:rsidR="002B392F" w:rsidRPr="00FD7B0B" w:rsidRDefault="002B392F" w:rsidP="002B392F">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По состоянию на 31.12.2024 сводной бюджетной росписью областного бюджета расходы на реализацию мероприятий ГП № 03 утверждены в общей сумме 17 056,8 млн.руб., что на 643,9 млн.руб. меньше параметров, утвержденных </w:t>
      </w:r>
      <w:r w:rsidR="003C4D89" w:rsidRPr="00FD7B0B">
        <w:rPr>
          <w:rFonts w:ascii="Times New Roman" w:eastAsia="Times New Roman" w:hAnsi="Times New Roman" w:cs="Times New Roman"/>
          <w:sz w:val="28"/>
          <w:szCs w:val="28"/>
          <w:lang w:eastAsia="ru-RU"/>
        </w:rPr>
        <w:t>Законом «Об областном бюджете».</w:t>
      </w:r>
    </w:p>
    <w:p w14:paraId="46AEA850" w14:textId="0049DCE4" w:rsidR="002B392F" w:rsidRPr="00FD7B0B" w:rsidRDefault="002B392F" w:rsidP="002B392F">
      <w:pPr>
        <w:pStyle w:val="afe"/>
        <w:spacing w:after="0"/>
        <w:ind w:firstLine="709"/>
        <w:rPr>
          <w:rFonts w:ascii="Times New Roman" w:eastAsia="Times New Roman" w:hAnsi="Times New Roman"/>
          <w:sz w:val="28"/>
          <w:szCs w:val="28"/>
          <w:lang w:eastAsia="ru-RU"/>
        </w:rPr>
      </w:pPr>
      <w:r w:rsidRPr="00FD7B0B">
        <w:rPr>
          <w:rFonts w:ascii="Times New Roman" w:hAnsi="Times New Roman"/>
          <w:sz w:val="28"/>
          <w:szCs w:val="28"/>
          <w:lang w:val="ru-RU"/>
        </w:rPr>
        <w:lastRenderedPageBreak/>
        <w:t>Изменения в объемы финансирования ГП №</w:t>
      </w:r>
      <w:r w:rsidR="003C4D89" w:rsidRPr="00FD7B0B">
        <w:rPr>
          <w:rFonts w:ascii="Times New Roman" w:hAnsi="Times New Roman"/>
          <w:sz w:val="28"/>
          <w:szCs w:val="28"/>
          <w:lang w:val="ru-RU"/>
        </w:rPr>
        <w:t xml:space="preserve"> </w:t>
      </w:r>
      <w:r w:rsidRPr="00FD7B0B">
        <w:rPr>
          <w:rFonts w:ascii="Times New Roman" w:hAnsi="Times New Roman"/>
          <w:sz w:val="28"/>
          <w:szCs w:val="28"/>
          <w:lang w:val="ru-RU"/>
        </w:rPr>
        <w:t xml:space="preserve">03 и КПМ вносились </w:t>
      </w:r>
      <w:r w:rsidRPr="00FD7B0B">
        <w:rPr>
          <w:rFonts w:ascii="Times New Roman" w:hAnsi="Times New Roman"/>
          <w:sz w:val="28"/>
          <w:szCs w:val="28"/>
        </w:rPr>
        <w:t>в соответствие с уточненными объемами межбюджетных трансфертов бюджету Архангельской; в связи с изменениями</w:t>
      </w:r>
      <w:r w:rsidRPr="00FD7B0B">
        <w:rPr>
          <w:rFonts w:ascii="Times New Roman" w:hAnsi="Times New Roman"/>
          <w:sz w:val="28"/>
          <w:szCs w:val="28"/>
          <w:lang w:val="ru-RU"/>
        </w:rPr>
        <w:t>, внесёнными</w:t>
      </w:r>
      <w:r w:rsidRPr="00FD7B0B">
        <w:rPr>
          <w:rFonts w:ascii="Times New Roman" w:hAnsi="Times New Roman"/>
          <w:sz w:val="28"/>
          <w:szCs w:val="28"/>
        </w:rPr>
        <w:t xml:space="preserve"> </w:t>
      </w:r>
      <w:r w:rsidRPr="00FD7B0B">
        <w:rPr>
          <w:rFonts w:ascii="Times New Roman" w:hAnsi="Times New Roman"/>
          <w:sz w:val="28"/>
          <w:szCs w:val="28"/>
          <w:lang w:val="ru-RU"/>
        </w:rPr>
        <w:t xml:space="preserve">в областной закон о бюджете на 2024 год и </w:t>
      </w:r>
      <w:r w:rsidRPr="00FD7B0B">
        <w:rPr>
          <w:rFonts w:ascii="Times New Roman" w:hAnsi="Times New Roman"/>
          <w:sz w:val="28"/>
          <w:szCs w:val="28"/>
        </w:rPr>
        <w:t>в сводную бюджетную роспись областного бюджета на 2024 год</w:t>
      </w:r>
      <w:r w:rsidRPr="00FD7B0B">
        <w:rPr>
          <w:rFonts w:ascii="Times New Roman" w:hAnsi="Times New Roman"/>
          <w:sz w:val="28"/>
          <w:szCs w:val="28"/>
          <w:lang w:val="ru-RU"/>
        </w:rPr>
        <w:t>;</w:t>
      </w:r>
      <w:r w:rsidRPr="00FD7B0B">
        <w:rPr>
          <w:rFonts w:ascii="Times New Roman" w:hAnsi="Times New Roman"/>
          <w:sz w:val="28"/>
          <w:szCs w:val="28"/>
        </w:rPr>
        <w:t xml:space="preserve"> </w:t>
      </w:r>
      <w:r w:rsidRPr="00FD7B0B">
        <w:rPr>
          <w:rFonts w:ascii="Times New Roman" w:hAnsi="Times New Roman"/>
          <w:sz w:val="28"/>
          <w:szCs w:val="28"/>
          <w:lang w:val="ru-RU"/>
        </w:rPr>
        <w:t xml:space="preserve">с </w:t>
      </w:r>
      <w:r w:rsidRPr="00FD7B0B">
        <w:rPr>
          <w:rFonts w:ascii="Times New Roman" w:hAnsi="Times New Roman"/>
          <w:sz w:val="28"/>
          <w:szCs w:val="28"/>
        </w:rPr>
        <w:t>корректировк</w:t>
      </w:r>
      <w:r w:rsidRPr="00FD7B0B">
        <w:rPr>
          <w:rFonts w:ascii="Times New Roman" w:hAnsi="Times New Roman"/>
          <w:sz w:val="28"/>
          <w:szCs w:val="28"/>
          <w:lang w:val="ru-RU"/>
        </w:rPr>
        <w:t>ой</w:t>
      </w:r>
      <w:r w:rsidRPr="00FD7B0B">
        <w:rPr>
          <w:rFonts w:ascii="Times New Roman" w:hAnsi="Times New Roman"/>
          <w:sz w:val="28"/>
          <w:szCs w:val="28"/>
        </w:rPr>
        <w:t xml:space="preserve"> объемов финансирования КПМ на 2024 год </w:t>
      </w:r>
      <w:r w:rsidRPr="00FD7B0B">
        <w:rPr>
          <w:rFonts w:ascii="Times New Roman" w:hAnsi="Times New Roman"/>
          <w:sz w:val="28"/>
          <w:szCs w:val="28"/>
          <w:lang w:val="ru-RU"/>
        </w:rPr>
        <w:t>в части</w:t>
      </w:r>
      <w:r w:rsidRPr="00FD7B0B">
        <w:rPr>
          <w:rFonts w:ascii="Times New Roman" w:hAnsi="Times New Roman"/>
          <w:sz w:val="28"/>
          <w:szCs w:val="28"/>
        </w:rPr>
        <w:t xml:space="preserve"> перераспределени</w:t>
      </w:r>
      <w:r w:rsidRPr="00FD7B0B">
        <w:rPr>
          <w:rFonts w:ascii="Times New Roman" w:hAnsi="Times New Roman"/>
          <w:sz w:val="28"/>
          <w:szCs w:val="28"/>
          <w:lang w:val="ru-RU"/>
        </w:rPr>
        <w:t>я</w:t>
      </w:r>
      <w:r w:rsidRPr="00FD7B0B">
        <w:rPr>
          <w:rFonts w:ascii="Times New Roman" w:hAnsi="Times New Roman"/>
          <w:sz w:val="28"/>
          <w:szCs w:val="28"/>
        </w:rPr>
        <w:t xml:space="preserve"> средств, предусмотренных мероприятиями; </w:t>
      </w:r>
      <w:r w:rsidRPr="00FD7B0B">
        <w:rPr>
          <w:rFonts w:ascii="Times New Roman" w:eastAsiaTheme="minorHAnsi" w:hAnsi="Times New Roman"/>
          <w:sz w:val="28"/>
          <w:szCs w:val="28"/>
        </w:rPr>
        <w:t>в соответствии с дополнит</w:t>
      </w:r>
      <w:r w:rsidRPr="00FD7B0B">
        <w:rPr>
          <w:rFonts w:ascii="Times New Roman" w:hAnsi="Times New Roman"/>
          <w:sz w:val="28"/>
          <w:szCs w:val="28"/>
        </w:rPr>
        <w:t>ельным соглашением к соглашению</w:t>
      </w:r>
      <w:r w:rsidRPr="00FD7B0B">
        <w:rPr>
          <w:rFonts w:ascii="Times New Roman" w:eastAsiaTheme="minorHAnsi" w:hAnsi="Times New Roman"/>
          <w:sz w:val="28"/>
          <w:szCs w:val="28"/>
        </w:rPr>
        <w:t xml:space="preserve"> о реализации на территории Архангельской области государственных программ субъекта Российской Федерации, направленных на достижение целей и показателей государственной программы Российской Федерации «Доступная среда</w:t>
      </w:r>
      <w:r w:rsidRPr="00FD7B0B">
        <w:rPr>
          <w:rFonts w:ascii="Times New Roman" w:hAnsi="Times New Roman"/>
          <w:sz w:val="28"/>
          <w:szCs w:val="28"/>
        </w:rPr>
        <w:t>».</w:t>
      </w:r>
    </w:p>
    <w:p w14:paraId="301DBF8A" w14:textId="77777777" w:rsidR="003C4D89" w:rsidRPr="00FD7B0B" w:rsidRDefault="003C4D89" w:rsidP="002B392F">
      <w:pPr>
        <w:pStyle w:val="aff0"/>
        <w:spacing w:after="0" w:line="240" w:lineRule="auto"/>
        <w:rPr>
          <w:rFonts w:ascii="Times New Roman" w:hAnsi="Times New Roman"/>
          <w:b w:val="0"/>
          <w:sz w:val="24"/>
          <w:szCs w:val="24"/>
        </w:rPr>
      </w:pPr>
    </w:p>
    <w:p w14:paraId="357BEF89" w14:textId="77777777" w:rsidR="002B392F" w:rsidRPr="00FD7B0B" w:rsidRDefault="002B392F" w:rsidP="002B39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 MERGEFORMAT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96</w:t>
      </w:r>
      <w:r w:rsidRPr="00FD7B0B">
        <w:rPr>
          <w:rFonts w:ascii="Times New Roman" w:hAnsi="Times New Roman"/>
          <w:b w:val="0"/>
          <w:sz w:val="24"/>
          <w:szCs w:val="24"/>
        </w:rPr>
        <w:fldChar w:fldCharType="end"/>
      </w:r>
      <w:r w:rsidRPr="00FD7B0B">
        <w:rPr>
          <w:rFonts w:ascii="Times New Roman" w:hAnsi="Times New Roman"/>
          <w:b w:val="0"/>
          <w:sz w:val="24"/>
          <w:szCs w:val="24"/>
        </w:rPr>
        <w:t>. Показатели закона «Об областном бюджете» в части бюджетных ассигнований на реализацию ГП № 03 в разрезе РП и КПМ, млн.руб.</w:t>
      </w:r>
    </w:p>
    <w:tbl>
      <w:tblPr>
        <w:tblW w:w="9606" w:type="dxa"/>
        <w:tblInd w:w="-23" w:type="dxa"/>
        <w:tblLook w:val="04A0" w:firstRow="1" w:lastRow="0" w:firstColumn="1" w:lastColumn="0" w:noHBand="0" w:noVBand="1"/>
      </w:tblPr>
      <w:tblGrid>
        <w:gridCol w:w="4962"/>
        <w:gridCol w:w="1216"/>
        <w:gridCol w:w="1216"/>
        <w:gridCol w:w="966"/>
        <w:gridCol w:w="1246"/>
      </w:tblGrid>
      <w:tr w:rsidR="00FD7B0B" w:rsidRPr="00FD7B0B" w14:paraId="37B163FB" w14:textId="77777777" w:rsidTr="003C4D89">
        <w:trPr>
          <w:trHeight w:val="512"/>
          <w:tblHeader/>
        </w:trPr>
        <w:tc>
          <w:tcPr>
            <w:tcW w:w="496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EA138E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Наименование </w:t>
            </w:r>
          </w:p>
        </w:tc>
        <w:tc>
          <w:tcPr>
            <w:tcW w:w="121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A0FEEF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ред. ОЗ от 15.12.2023 года № 39-4-ОЗ</w:t>
            </w:r>
          </w:p>
        </w:tc>
        <w:tc>
          <w:tcPr>
            <w:tcW w:w="121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04F9B34" w14:textId="0D4EE2B6" w:rsidR="002B392F" w:rsidRPr="00FD7B0B" w:rsidRDefault="00B30BD8"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В ред. ОЗ от </w:t>
            </w:r>
            <w:r w:rsidR="002B392F" w:rsidRPr="00FD7B0B">
              <w:rPr>
                <w:rFonts w:ascii="Times New Roman" w:eastAsia="Times New Roman" w:hAnsi="Times New Roman" w:cs="Times New Roman"/>
                <w:sz w:val="20"/>
                <w:szCs w:val="20"/>
                <w:lang w:eastAsia="ru-RU"/>
              </w:rPr>
              <w:t>23.12.2024 № 176-13-ОЗ)</w:t>
            </w:r>
          </w:p>
        </w:tc>
        <w:tc>
          <w:tcPr>
            <w:tcW w:w="2212" w:type="dxa"/>
            <w:gridSpan w:val="2"/>
            <w:tcBorders>
              <w:top w:val="double" w:sz="6" w:space="0" w:color="auto"/>
              <w:left w:val="nil"/>
              <w:bottom w:val="single" w:sz="4" w:space="0" w:color="auto"/>
              <w:right w:val="double" w:sz="6" w:space="0" w:color="000000"/>
            </w:tcBorders>
            <w:shd w:val="clear" w:color="auto" w:fill="auto"/>
            <w:vAlign w:val="center"/>
            <w:hideMark/>
          </w:tcPr>
          <w:p w14:paraId="5901DE1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Изменения за отчетный период (+/-)</w:t>
            </w:r>
          </w:p>
        </w:tc>
      </w:tr>
      <w:tr w:rsidR="00FD7B0B" w:rsidRPr="00FD7B0B" w14:paraId="552089D7" w14:textId="77777777" w:rsidTr="003C4D89">
        <w:trPr>
          <w:trHeight w:val="312"/>
          <w:tblHeader/>
        </w:trPr>
        <w:tc>
          <w:tcPr>
            <w:tcW w:w="4962" w:type="dxa"/>
            <w:vMerge/>
            <w:tcBorders>
              <w:top w:val="double" w:sz="6" w:space="0" w:color="auto"/>
              <w:left w:val="double" w:sz="6" w:space="0" w:color="auto"/>
              <w:bottom w:val="single" w:sz="4" w:space="0" w:color="auto"/>
              <w:right w:val="single" w:sz="4" w:space="0" w:color="auto"/>
            </w:tcBorders>
            <w:vAlign w:val="center"/>
            <w:hideMark/>
          </w:tcPr>
          <w:p w14:paraId="2B556F4C"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1216" w:type="dxa"/>
            <w:vMerge/>
            <w:tcBorders>
              <w:top w:val="double" w:sz="6" w:space="0" w:color="auto"/>
              <w:left w:val="single" w:sz="4" w:space="0" w:color="auto"/>
              <w:bottom w:val="single" w:sz="4" w:space="0" w:color="auto"/>
              <w:right w:val="single" w:sz="4" w:space="0" w:color="auto"/>
            </w:tcBorders>
            <w:vAlign w:val="center"/>
            <w:hideMark/>
          </w:tcPr>
          <w:p w14:paraId="079B8BA8"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1216" w:type="dxa"/>
            <w:vMerge/>
            <w:tcBorders>
              <w:top w:val="double" w:sz="6" w:space="0" w:color="auto"/>
              <w:left w:val="single" w:sz="4" w:space="0" w:color="auto"/>
              <w:bottom w:val="single" w:sz="4" w:space="0" w:color="auto"/>
              <w:right w:val="single" w:sz="4" w:space="0" w:color="auto"/>
            </w:tcBorders>
            <w:vAlign w:val="center"/>
            <w:hideMark/>
          </w:tcPr>
          <w:p w14:paraId="754965B9"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1BD0652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1246" w:type="dxa"/>
            <w:tcBorders>
              <w:top w:val="nil"/>
              <w:left w:val="nil"/>
              <w:bottom w:val="single" w:sz="4" w:space="0" w:color="auto"/>
              <w:right w:val="double" w:sz="6" w:space="0" w:color="auto"/>
            </w:tcBorders>
            <w:shd w:val="clear" w:color="auto" w:fill="auto"/>
            <w:vAlign w:val="center"/>
            <w:hideMark/>
          </w:tcPr>
          <w:p w14:paraId="24C5D8F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r>
      <w:tr w:rsidR="00FD7B0B" w:rsidRPr="00FD7B0B" w14:paraId="1D101F89" w14:textId="77777777" w:rsidTr="003C4D89">
        <w:trPr>
          <w:trHeight w:val="633"/>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5C54D359"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Региональные проекты, направленные на реализацию федеральных проектов, входящих в состав национальных проектов, всего</w:t>
            </w:r>
          </w:p>
        </w:tc>
        <w:tc>
          <w:tcPr>
            <w:tcW w:w="1216" w:type="dxa"/>
            <w:tcBorders>
              <w:top w:val="nil"/>
              <w:left w:val="nil"/>
              <w:bottom w:val="single" w:sz="4" w:space="0" w:color="auto"/>
              <w:right w:val="single" w:sz="4" w:space="0" w:color="auto"/>
            </w:tcBorders>
            <w:shd w:val="clear" w:color="auto" w:fill="auto"/>
            <w:vAlign w:val="center"/>
            <w:hideMark/>
          </w:tcPr>
          <w:p w14:paraId="3D3CD9CB"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1 145,9</w:t>
            </w:r>
          </w:p>
        </w:tc>
        <w:tc>
          <w:tcPr>
            <w:tcW w:w="1216" w:type="dxa"/>
            <w:tcBorders>
              <w:top w:val="nil"/>
              <w:left w:val="nil"/>
              <w:bottom w:val="single" w:sz="4" w:space="0" w:color="auto"/>
              <w:right w:val="single" w:sz="4" w:space="0" w:color="auto"/>
            </w:tcBorders>
            <w:shd w:val="clear" w:color="auto" w:fill="auto"/>
            <w:vAlign w:val="center"/>
            <w:hideMark/>
          </w:tcPr>
          <w:p w14:paraId="627C2021"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1 145,9</w:t>
            </w:r>
          </w:p>
        </w:tc>
        <w:tc>
          <w:tcPr>
            <w:tcW w:w="966" w:type="dxa"/>
            <w:tcBorders>
              <w:top w:val="nil"/>
              <w:left w:val="nil"/>
              <w:bottom w:val="single" w:sz="4" w:space="0" w:color="auto"/>
              <w:right w:val="single" w:sz="4" w:space="0" w:color="auto"/>
            </w:tcBorders>
            <w:shd w:val="clear" w:color="auto" w:fill="auto"/>
            <w:vAlign w:val="center"/>
            <w:hideMark/>
          </w:tcPr>
          <w:p w14:paraId="4EE97498"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246" w:type="dxa"/>
            <w:tcBorders>
              <w:top w:val="nil"/>
              <w:left w:val="nil"/>
              <w:bottom w:val="single" w:sz="4" w:space="0" w:color="auto"/>
              <w:right w:val="double" w:sz="6" w:space="0" w:color="auto"/>
            </w:tcBorders>
            <w:shd w:val="clear" w:color="auto" w:fill="auto"/>
            <w:vAlign w:val="center"/>
            <w:hideMark/>
          </w:tcPr>
          <w:p w14:paraId="6D2AC68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DC800E9" w14:textId="77777777" w:rsidTr="003C4D89">
        <w:trPr>
          <w:trHeight w:val="301"/>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0E969E9E"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"Финансовая поддержка семей при рождении детей"</w:t>
            </w:r>
          </w:p>
        </w:tc>
        <w:tc>
          <w:tcPr>
            <w:tcW w:w="1216" w:type="dxa"/>
            <w:tcBorders>
              <w:top w:val="nil"/>
              <w:left w:val="nil"/>
              <w:bottom w:val="single" w:sz="4" w:space="0" w:color="auto"/>
              <w:right w:val="single" w:sz="4" w:space="0" w:color="auto"/>
            </w:tcBorders>
            <w:shd w:val="clear" w:color="auto" w:fill="auto"/>
            <w:vAlign w:val="center"/>
            <w:hideMark/>
          </w:tcPr>
          <w:p w14:paraId="434FD0B1"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1 073,8</w:t>
            </w:r>
          </w:p>
        </w:tc>
        <w:tc>
          <w:tcPr>
            <w:tcW w:w="1216" w:type="dxa"/>
            <w:tcBorders>
              <w:top w:val="nil"/>
              <w:left w:val="nil"/>
              <w:bottom w:val="single" w:sz="4" w:space="0" w:color="auto"/>
              <w:right w:val="single" w:sz="4" w:space="0" w:color="auto"/>
            </w:tcBorders>
            <w:shd w:val="clear" w:color="auto" w:fill="auto"/>
            <w:vAlign w:val="center"/>
            <w:hideMark/>
          </w:tcPr>
          <w:p w14:paraId="6805E01A"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1 073,8</w:t>
            </w:r>
          </w:p>
        </w:tc>
        <w:tc>
          <w:tcPr>
            <w:tcW w:w="966" w:type="dxa"/>
            <w:tcBorders>
              <w:top w:val="nil"/>
              <w:left w:val="nil"/>
              <w:bottom w:val="single" w:sz="4" w:space="0" w:color="auto"/>
              <w:right w:val="single" w:sz="4" w:space="0" w:color="auto"/>
            </w:tcBorders>
            <w:shd w:val="clear" w:color="auto" w:fill="auto"/>
            <w:vAlign w:val="center"/>
            <w:hideMark/>
          </w:tcPr>
          <w:p w14:paraId="4473426D"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246" w:type="dxa"/>
            <w:tcBorders>
              <w:top w:val="nil"/>
              <w:left w:val="nil"/>
              <w:bottom w:val="single" w:sz="4" w:space="0" w:color="auto"/>
              <w:right w:val="double" w:sz="6" w:space="0" w:color="auto"/>
            </w:tcBorders>
            <w:shd w:val="clear" w:color="auto" w:fill="auto"/>
            <w:vAlign w:val="center"/>
            <w:hideMark/>
          </w:tcPr>
          <w:p w14:paraId="14C8288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76690883" w14:textId="77777777" w:rsidTr="003C4D89">
        <w:trPr>
          <w:trHeight w:val="43"/>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5CD7CF1F"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"Старшее поколение"</w:t>
            </w:r>
          </w:p>
        </w:tc>
        <w:tc>
          <w:tcPr>
            <w:tcW w:w="1216" w:type="dxa"/>
            <w:tcBorders>
              <w:top w:val="nil"/>
              <w:left w:val="nil"/>
              <w:bottom w:val="single" w:sz="4" w:space="0" w:color="auto"/>
              <w:right w:val="single" w:sz="4" w:space="0" w:color="auto"/>
            </w:tcBorders>
            <w:shd w:val="clear" w:color="auto" w:fill="auto"/>
            <w:vAlign w:val="center"/>
            <w:hideMark/>
          </w:tcPr>
          <w:p w14:paraId="5E31C85A"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72,1</w:t>
            </w:r>
          </w:p>
        </w:tc>
        <w:tc>
          <w:tcPr>
            <w:tcW w:w="1216" w:type="dxa"/>
            <w:tcBorders>
              <w:top w:val="nil"/>
              <w:left w:val="nil"/>
              <w:bottom w:val="single" w:sz="4" w:space="0" w:color="auto"/>
              <w:right w:val="single" w:sz="4" w:space="0" w:color="auto"/>
            </w:tcBorders>
            <w:shd w:val="clear" w:color="auto" w:fill="auto"/>
            <w:vAlign w:val="center"/>
            <w:hideMark/>
          </w:tcPr>
          <w:p w14:paraId="36E01AB5"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72,1</w:t>
            </w:r>
          </w:p>
        </w:tc>
        <w:tc>
          <w:tcPr>
            <w:tcW w:w="966" w:type="dxa"/>
            <w:tcBorders>
              <w:top w:val="nil"/>
              <w:left w:val="nil"/>
              <w:bottom w:val="single" w:sz="4" w:space="0" w:color="auto"/>
              <w:right w:val="single" w:sz="4" w:space="0" w:color="auto"/>
            </w:tcBorders>
            <w:shd w:val="clear" w:color="auto" w:fill="auto"/>
            <w:vAlign w:val="center"/>
            <w:hideMark/>
          </w:tcPr>
          <w:p w14:paraId="4E6D6ED0"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246" w:type="dxa"/>
            <w:tcBorders>
              <w:top w:val="nil"/>
              <w:left w:val="nil"/>
              <w:bottom w:val="single" w:sz="4" w:space="0" w:color="auto"/>
              <w:right w:val="double" w:sz="6" w:space="0" w:color="auto"/>
            </w:tcBorders>
            <w:shd w:val="clear" w:color="auto" w:fill="auto"/>
            <w:vAlign w:val="center"/>
            <w:hideMark/>
          </w:tcPr>
          <w:p w14:paraId="5741125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1B71FB3" w14:textId="77777777" w:rsidTr="003C4D89">
        <w:trPr>
          <w:trHeight w:val="528"/>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36788E4A"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Региональные проекты, направленные на реализацию федеральных проектов, не входящих в состав национальных проектов</w:t>
            </w:r>
          </w:p>
        </w:tc>
        <w:tc>
          <w:tcPr>
            <w:tcW w:w="1216" w:type="dxa"/>
            <w:tcBorders>
              <w:top w:val="nil"/>
              <w:left w:val="nil"/>
              <w:bottom w:val="single" w:sz="4" w:space="0" w:color="auto"/>
              <w:right w:val="single" w:sz="4" w:space="0" w:color="auto"/>
            </w:tcBorders>
            <w:shd w:val="clear" w:color="auto" w:fill="auto"/>
            <w:vAlign w:val="center"/>
            <w:hideMark/>
          </w:tcPr>
          <w:p w14:paraId="49F77ABC"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181,7</w:t>
            </w:r>
          </w:p>
        </w:tc>
        <w:tc>
          <w:tcPr>
            <w:tcW w:w="1216" w:type="dxa"/>
            <w:tcBorders>
              <w:top w:val="nil"/>
              <w:left w:val="nil"/>
              <w:bottom w:val="single" w:sz="4" w:space="0" w:color="auto"/>
              <w:right w:val="single" w:sz="4" w:space="0" w:color="auto"/>
            </w:tcBorders>
            <w:shd w:val="clear" w:color="auto" w:fill="auto"/>
            <w:vAlign w:val="center"/>
            <w:hideMark/>
          </w:tcPr>
          <w:p w14:paraId="362C4D92"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181,7</w:t>
            </w:r>
          </w:p>
        </w:tc>
        <w:tc>
          <w:tcPr>
            <w:tcW w:w="966" w:type="dxa"/>
            <w:tcBorders>
              <w:top w:val="nil"/>
              <w:left w:val="nil"/>
              <w:bottom w:val="single" w:sz="4" w:space="0" w:color="auto"/>
              <w:right w:val="single" w:sz="4" w:space="0" w:color="auto"/>
            </w:tcBorders>
            <w:shd w:val="clear" w:color="auto" w:fill="auto"/>
            <w:vAlign w:val="center"/>
            <w:hideMark/>
          </w:tcPr>
          <w:p w14:paraId="5CA8BA9F"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246" w:type="dxa"/>
            <w:tcBorders>
              <w:top w:val="nil"/>
              <w:left w:val="nil"/>
              <w:bottom w:val="single" w:sz="4" w:space="0" w:color="auto"/>
              <w:right w:val="double" w:sz="6" w:space="0" w:color="auto"/>
            </w:tcBorders>
            <w:shd w:val="clear" w:color="auto" w:fill="auto"/>
            <w:vAlign w:val="center"/>
            <w:hideMark/>
          </w:tcPr>
          <w:p w14:paraId="500C44C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7961EDF" w14:textId="77777777" w:rsidTr="003C4D89">
        <w:trPr>
          <w:trHeight w:val="214"/>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6947B93E"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Комплексы процессных мероприятий, всего</w:t>
            </w:r>
          </w:p>
        </w:tc>
        <w:tc>
          <w:tcPr>
            <w:tcW w:w="1216" w:type="dxa"/>
            <w:tcBorders>
              <w:top w:val="nil"/>
              <w:left w:val="nil"/>
              <w:bottom w:val="single" w:sz="4" w:space="0" w:color="auto"/>
              <w:right w:val="single" w:sz="4" w:space="0" w:color="auto"/>
            </w:tcBorders>
            <w:shd w:val="clear" w:color="auto" w:fill="auto"/>
            <w:vAlign w:val="center"/>
            <w:hideMark/>
          </w:tcPr>
          <w:p w14:paraId="7F9A6799"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16 157,6</w:t>
            </w:r>
          </w:p>
        </w:tc>
        <w:tc>
          <w:tcPr>
            <w:tcW w:w="1216" w:type="dxa"/>
            <w:tcBorders>
              <w:top w:val="nil"/>
              <w:left w:val="nil"/>
              <w:bottom w:val="single" w:sz="4" w:space="0" w:color="auto"/>
              <w:right w:val="single" w:sz="4" w:space="0" w:color="auto"/>
            </w:tcBorders>
            <w:shd w:val="clear" w:color="auto" w:fill="auto"/>
            <w:vAlign w:val="center"/>
            <w:hideMark/>
          </w:tcPr>
          <w:p w14:paraId="618554E3"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16 373,1</w:t>
            </w:r>
          </w:p>
        </w:tc>
        <w:tc>
          <w:tcPr>
            <w:tcW w:w="966" w:type="dxa"/>
            <w:tcBorders>
              <w:top w:val="nil"/>
              <w:left w:val="nil"/>
              <w:bottom w:val="single" w:sz="4" w:space="0" w:color="auto"/>
              <w:right w:val="single" w:sz="4" w:space="0" w:color="auto"/>
            </w:tcBorders>
            <w:shd w:val="clear" w:color="auto" w:fill="auto"/>
            <w:vAlign w:val="center"/>
            <w:hideMark/>
          </w:tcPr>
          <w:p w14:paraId="53166F7E"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215,5</w:t>
            </w:r>
          </w:p>
        </w:tc>
        <w:tc>
          <w:tcPr>
            <w:tcW w:w="1246" w:type="dxa"/>
            <w:tcBorders>
              <w:top w:val="nil"/>
              <w:left w:val="nil"/>
              <w:bottom w:val="single" w:sz="4" w:space="0" w:color="auto"/>
              <w:right w:val="double" w:sz="6" w:space="0" w:color="auto"/>
            </w:tcBorders>
            <w:shd w:val="clear" w:color="auto" w:fill="auto"/>
            <w:vAlign w:val="center"/>
            <w:hideMark/>
          </w:tcPr>
          <w:p w14:paraId="1EC0054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101,3</w:t>
            </w:r>
          </w:p>
        </w:tc>
      </w:tr>
      <w:tr w:rsidR="00FD7B0B" w:rsidRPr="00FD7B0B" w14:paraId="710C63E5" w14:textId="77777777" w:rsidTr="003C4D89">
        <w:trPr>
          <w:trHeight w:val="528"/>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652B3ACF"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"Организация работы по социальному обслуживанию граждан и социальной защите населения в Архангельской области"</w:t>
            </w:r>
          </w:p>
        </w:tc>
        <w:tc>
          <w:tcPr>
            <w:tcW w:w="1216" w:type="dxa"/>
            <w:tcBorders>
              <w:top w:val="nil"/>
              <w:left w:val="nil"/>
              <w:bottom w:val="single" w:sz="4" w:space="0" w:color="auto"/>
              <w:right w:val="single" w:sz="4" w:space="0" w:color="auto"/>
            </w:tcBorders>
            <w:shd w:val="clear" w:color="auto" w:fill="auto"/>
            <w:vAlign w:val="center"/>
            <w:hideMark/>
          </w:tcPr>
          <w:p w14:paraId="467C0352"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4 414,0</w:t>
            </w:r>
          </w:p>
        </w:tc>
        <w:tc>
          <w:tcPr>
            <w:tcW w:w="1216" w:type="dxa"/>
            <w:tcBorders>
              <w:top w:val="nil"/>
              <w:left w:val="nil"/>
              <w:bottom w:val="single" w:sz="4" w:space="0" w:color="auto"/>
              <w:right w:val="single" w:sz="4" w:space="0" w:color="auto"/>
            </w:tcBorders>
            <w:shd w:val="clear" w:color="auto" w:fill="auto"/>
            <w:vAlign w:val="center"/>
            <w:hideMark/>
          </w:tcPr>
          <w:p w14:paraId="1E983EC0"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4 334,7</w:t>
            </w:r>
          </w:p>
        </w:tc>
        <w:tc>
          <w:tcPr>
            <w:tcW w:w="966" w:type="dxa"/>
            <w:tcBorders>
              <w:top w:val="nil"/>
              <w:left w:val="nil"/>
              <w:bottom w:val="single" w:sz="4" w:space="0" w:color="auto"/>
              <w:right w:val="single" w:sz="4" w:space="0" w:color="auto"/>
            </w:tcBorders>
            <w:shd w:val="clear" w:color="auto" w:fill="auto"/>
            <w:vAlign w:val="center"/>
            <w:hideMark/>
          </w:tcPr>
          <w:p w14:paraId="51AC1D0C"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-79,3</w:t>
            </w:r>
          </w:p>
        </w:tc>
        <w:tc>
          <w:tcPr>
            <w:tcW w:w="1246" w:type="dxa"/>
            <w:tcBorders>
              <w:top w:val="nil"/>
              <w:left w:val="nil"/>
              <w:bottom w:val="single" w:sz="4" w:space="0" w:color="auto"/>
              <w:right w:val="double" w:sz="6" w:space="0" w:color="auto"/>
            </w:tcBorders>
            <w:shd w:val="clear" w:color="auto" w:fill="auto"/>
            <w:vAlign w:val="center"/>
            <w:hideMark/>
          </w:tcPr>
          <w:p w14:paraId="52E3324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98,2</w:t>
            </w:r>
          </w:p>
        </w:tc>
      </w:tr>
      <w:tr w:rsidR="00FD7B0B" w:rsidRPr="00FD7B0B" w14:paraId="19682A2D" w14:textId="77777777" w:rsidTr="003C4D89">
        <w:trPr>
          <w:trHeight w:val="528"/>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03613870"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"Меры социальной поддержки отдельным категориям граждан, проживающим на территории Архангельской области"</w:t>
            </w:r>
          </w:p>
        </w:tc>
        <w:tc>
          <w:tcPr>
            <w:tcW w:w="1216" w:type="dxa"/>
            <w:tcBorders>
              <w:top w:val="nil"/>
              <w:left w:val="nil"/>
              <w:bottom w:val="single" w:sz="4" w:space="0" w:color="auto"/>
              <w:right w:val="single" w:sz="4" w:space="0" w:color="auto"/>
            </w:tcBorders>
            <w:shd w:val="clear" w:color="auto" w:fill="auto"/>
            <w:vAlign w:val="center"/>
            <w:hideMark/>
          </w:tcPr>
          <w:p w14:paraId="43BED80F"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9 890,8</w:t>
            </w:r>
          </w:p>
        </w:tc>
        <w:tc>
          <w:tcPr>
            <w:tcW w:w="1216" w:type="dxa"/>
            <w:tcBorders>
              <w:top w:val="nil"/>
              <w:left w:val="nil"/>
              <w:bottom w:val="single" w:sz="4" w:space="0" w:color="auto"/>
              <w:right w:val="single" w:sz="4" w:space="0" w:color="auto"/>
            </w:tcBorders>
            <w:shd w:val="clear" w:color="auto" w:fill="auto"/>
            <w:vAlign w:val="center"/>
            <w:hideMark/>
          </w:tcPr>
          <w:p w14:paraId="0B739A35"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10 217,0</w:t>
            </w:r>
          </w:p>
        </w:tc>
        <w:tc>
          <w:tcPr>
            <w:tcW w:w="966" w:type="dxa"/>
            <w:tcBorders>
              <w:top w:val="nil"/>
              <w:left w:val="nil"/>
              <w:bottom w:val="single" w:sz="4" w:space="0" w:color="auto"/>
              <w:right w:val="single" w:sz="4" w:space="0" w:color="auto"/>
            </w:tcBorders>
            <w:shd w:val="clear" w:color="auto" w:fill="auto"/>
            <w:vAlign w:val="center"/>
            <w:hideMark/>
          </w:tcPr>
          <w:p w14:paraId="6CEFA62A"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326,2</w:t>
            </w:r>
          </w:p>
        </w:tc>
        <w:tc>
          <w:tcPr>
            <w:tcW w:w="1246" w:type="dxa"/>
            <w:tcBorders>
              <w:top w:val="nil"/>
              <w:left w:val="nil"/>
              <w:bottom w:val="single" w:sz="4" w:space="0" w:color="auto"/>
              <w:right w:val="double" w:sz="6" w:space="0" w:color="auto"/>
            </w:tcBorders>
            <w:shd w:val="clear" w:color="auto" w:fill="auto"/>
            <w:vAlign w:val="center"/>
            <w:hideMark/>
          </w:tcPr>
          <w:p w14:paraId="40C67AF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103,3</w:t>
            </w:r>
          </w:p>
        </w:tc>
      </w:tr>
      <w:tr w:rsidR="00FD7B0B" w:rsidRPr="00FD7B0B" w14:paraId="3EAA4262" w14:textId="77777777" w:rsidTr="003C4D89">
        <w:trPr>
          <w:trHeight w:val="1176"/>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4C26CF06"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"Содержание, воспитание и социальное обеспечение детей-сирот и детей, оставшихся без попечения родителей, лиц из числа детей-сирот и детей, оставшихся без попечения родителей, детей с ограниченными возможностями здоровья"</w:t>
            </w:r>
          </w:p>
        </w:tc>
        <w:tc>
          <w:tcPr>
            <w:tcW w:w="1216" w:type="dxa"/>
            <w:tcBorders>
              <w:top w:val="nil"/>
              <w:left w:val="nil"/>
              <w:bottom w:val="single" w:sz="4" w:space="0" w:color="auto"/>
              <w:right w:val="single" w:sz="4" w:space="0" w:color="auto"/>
            </w:tcBorders>
            <w:shd w:val="clear" w:color="auto" w:fill="auto"/>
            <w:vAlign w:val="center"/>
            <w:hideMark/>
          </w:tcPr>
          <w:p w14:paraId="07E0E862"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1 136,3</w:t>
            </w:r>
          </w:p>
        </w:tc>
        <w:tc>
          <w:tcPr>
            <w:tcW w:w="1216" w:type="dxa"/>
            <w:tcBorders>
              <w:top w:val="nil"/>
              <w:left w:val="nil"/>
              <w:bottom w:val="single" w:sz="4" w:space="0" w:color="auto"/>
              <w:right w:val="single" w:sz="4" w:space="0" w:color="auto"/>
            </w:tcBorders>
            <w:shd w:val="clear" w:color="auto" w:fill="auto"/>
            <w:vAlign w:val="center"/>
            <w:hideMark/>
          </w:tcPr>
          <w:p w14:paraId="5A3FAADA"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1 111,0</w:t>
            </w:r>
          </w:p>
        </w:tc>
        <w:tc>
          <w:tcPr>
            <w:tcW w:w="966" w:type="dxa"/>
            <w:tcBorders>
              <w:top w:val="nil"/>
              <w:left w:val="nil"/>
              <w:bottom w:val="single" w:sz="4" w:space="0" w:color="auto"/>
              <w:right w:val="single" w:sz="4" w:space="0" w:color="auto"/>
            </w:tcBorders>
            <w:shd w:val="clear" w:color="auto" w:fill="auto"/>
            <w:vAlign w:val="center"/>
            <w:hideMark/>
          </w:tcPr>
          <w:p w14:paraId="578A5053"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-25,3</w:t>
            </w:r>
          </w:p>
        </w:tc>
        <w:tc>
          <w:tcPr>
            <w:tcW w:w="1246" w:type="dxa"/>
            <w:tcBorders>
              <w:top w:val="nil"/>
              <w:left w:val="nil"/>
              <w:bottom w:val="single" w:sz="4" w:space="0" w:color="auto"/>
              <w:right w:val="double" w:sz="6" w:space="0" w:color="auto"/>
            </w:tcBorders>
            <w:shd w:val="clear" w:color="auto" w:fill="auto"/>
            <w:vAlign w:val="center"/>
            <w:hideMark/>
          </w:tcPr>
          <w:p w14:paraId="703865E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97,8</w:t>
            </w:r>
          </w:p>
        </w:tc>
      </w:tr>
      <w:tr w:rsidR="00FD7B0B" w:rsidRPr="00FD7B0B" w14:paraId="06779AED" w14:textId="77777777" w:rsidTr="003C4D89">
        <w:trPr>
          <w:trHeight w:val="301"/>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24C17FFF"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"Развитие системы отдыха и оздоровления детей"</w:t>
            </w:r>
          </w:p>
        </w:tc>
        <w:tc>
          <w:tcPr>
            <w:tcW w:w="1216" w:type="dxa"/>
            <w:tcBorders>
              <w:top w:val="nil"/>
              <w:left w:val="nil"/>
              <w:bottom w:val="single" w:sz="4" w:space="0" w:color="auto"/>
              <w:right w:val="single" w:sz="4" w:space="0" w:color="auto"/>
            </w:tcBorders>
            <w:shd w:val="clear" w:color="auto" w:fill="auto"/>
            <w:vAlign w:val="center"/>
            <w:hideMark/>
          </w:tcPr>
          <w:p w14:paraId="2E581DAC"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503,6</w:t>
            </w:r>
          </w:p>
        </w:tc>
        <w:tc>
          <w:tcPr>
            <w:tcW w:w="1216" w:type="dxa"/>
            <w:tcBorders>
              <w:top w:val="nil"/>
              <w:left w:val="nil"/>
              <w:bottom w:val="single" w:sz="4" w:space="0" w:color="auto"/>
              <w:right w:val="single" w:sz="4" w:space="0" w:color="auto"/>
            </w:tcBorders>
            <w:shd w:val="clear" w:color="auto" w:fill="auto"/>
            <w:vAlign w:val="center"/>
            <w:hideMark/>
          </w:tcPr>
          <w:p w14:paraId="057726A1"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503,6</w:t>
            </w:r>
          </w:p>
        </w:tc>
        <w:tc>
          <w:tcPr>
            <w:tcW w:w="966" w:type="dxa"/>
            <w:tcBorders>
              <w:top w:val="nil"/>
              <w:left w:val="nil"/>
              <w:bottom w:val="single" w:sz="4" w:space="0" w:color="auto"/>
              <w:right w:val="single" w:sz="4" w:space="0" w:color="auto"/>
            </w:tcBorders>
            <w:shd w:val="clear" w:color="auto" w:fill="auto"/>
            <w:vAlign w:val="center"/>
            <w:hideMark/>
          </w:tcPr>
          <w:p w14:paraId="4711AB7B"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246" w:type="dxa"/>
            <w:tcBorders>
              <w:top w:val="nil"/>
              <w:left w:val="nil"/>
              <w:bottom w:val="single" w:sz="4" w:space="0" w:color="auto"/>
              <w:right w:val="double" w:sz="6" w:space="0" w:color="auto"/>
            </w:tcBorders>
            <w:shd w:val="clear" w:color="auto" w:fill="auto"/>
            <w:vAlign w:val="center"/>
            <w:hideMark/>
          </w:tcPr>
          <w:p w14:paraId="0BEC61F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EBF092A" w14:textId="77777777" w:rsidTr="003C4D89">
        <w:trPr>
          <w:trHeight w:val="48"/>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357F272D"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"Семья и дети в Архангельской области"</w:t>
            </w:r>
          </w:p>
        </w:tc>
        <w:tc>
          <w:tcPr>
            <w:tcW w:w="1216" w:type="dxa"/>
            <w:tcBorders>
              <w:top w:val="nil"/>
              <w:left w:val="nil"/>
              <w:bottom w:val="single" w:sz="4" w:space="0" w:color="auto"/>
              <w:right w:val="single" w:sz="4" w:space="0" w:color="auto"/>
            </w:tcBorders>
            <w:shd w:val="clear" w:color="auto" w:fill="auto"/>
            <w:vAlign w:val="center"/>
            <w:hideMark/>
          </w:tcPr>
          <w:p w14:paraId="6A0EC236"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119,8</w:t>
            </w:r>
          </w:p>
        </w:tc>
        <w:tc>
          <w:tcPr>
            <w:tcW w:w="1216" w:type="dxa"/>
            <w:tcBorders>
              <w:top w:val="nil"/>
              <w:left w:val="nil"/>
              <w:bottom w:val="single" w:sz="4" w:space="0" w:color="auto"/>
              <w:right w:val="single" w:sz="4" w:space="0" w:color="auto"/>
            </w:tcBorders>
            <w:shd w:val="clear" w:color="auto" w:fill="auto"/>
            <w:vAlign w:val="center"/>
            <w:hideMark/>
          </w:tcPr>
          <w:p w14:paraId="533D7BCA"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119,8</w:t>
            </w:r>
          </w:p>
        </w:tc>
        <w:tc>
          <w:tcPr>
            <w:tcW w:w="966" w:type="dxa"/>
            <w:tcBorders>
              <w:top w:val="nil"/>
              <w:left w:val="nil"/>
              <w:bottom w:val="single" w:sz="4" w:space="0" w:color="auto"/>
              <w:right w:val="single" w:sz="4" w:space="0" w:color="auto"/>
            </w:tcBorders>
            <w:shd w:val="clear" w:color="auto" w:fill="auto"/>
            <w:vAlign w:val="center"/>
            <w:hideMark/>
          </w:tcPr>
          <w:p w14:paraId="78C2DCFB"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246" w:type="dxa"/>
            <w:tcBorders>
              <w:top w:val="nil"/>
              <w:left w:val="nil"/>
              <w:bottom w:val="single" w:sz="4" w:space="0" w:color="auto"/>
              <w:right w:val="double" w:sz="6" w:space="0" w:color="auto"/>
            </w:tcBorders>
            <w:shd w:val="clear" w:color="auto" w:fill="auto"/>
            <w:vAlign w:val="center"/>
            <w:hideMark/>
          </w:tcPr>
          <w:p w14:paraId="66A478E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100,07</w:t>
            </w:r>
          </w:p>
        </w:tc>
      </w:tr>
      <w:tr w:rsidR="00FD7B0B" w:rsidRPr="00FD7B0B" w14:paraId="11F1249A" w14:textId="77777777" w:rsidTr="003C4D89">
        <w:trPr>
          <w:trHeight w:val="363"/>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11CF6288"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"Повышение качества жизни граждан пожилого возраста и инвалидов в Архангельской области"</w:t>
            </w:r>
          </w:p>
        </w:tc>
        <w:tc>
          <w:tcPr>
            <w:tcW w:w="1216" w:type="dxa"/>
            <w:tcBorders>
              <w:top w:val="nil"/>
              <w:left w:val="nil"/>
              <w:bottom w:val="single" w:sz="4" w:space="0" w:color="auto"/>
              <w:right w:val="single" w:sz="4" w:space="0" w:color="auto"/>
            </w:tcBorders>
            <w:shd w:val="clear" w:color="auto" w:fill="auto"/>
            <w:vAlign w:val="center"/>
            <w:hideMark/>
          </w:tcPr>
          <w:p w14:paraId="5C03BFD0"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39,6</w:t>
            </w:r>
          </w:p>
        </w:tc>
        <w:tc>
          <w:tcPr>
            <w:tcW w:w="1216" w:type="dxa"/>
            <w:tcBorders>
              <w:top w:val="nil"/>
              <w:left w:val="nil"/>
              <w:bottom w:val="single" w:sz="4" w:space="0" w:color="auto"/>
              <w:right w:val="single" w:sz="4" w:space="0" w:color="auto"/>
            </w:tcBorders>
            <w:shd w:val="clear" w:color="auto" w:fill="auto"/>
            <w:vAlign w:val="center"/>
            <w:hideMark/>
          </w:tcPr>
          <w:p w14:paraId="16E2888C"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39,6</w:t>
            </w:r>
          </w:p>
        </w:tc>
        <w:tc>
          <w:tcPr>
            <w:tcW w:w="966" w:type="dxa"/>
            <w:tcBorders>
              <w:top w:val="nil"/>
              <w:left w:val="nil"/>
              <w:bottom w:val="single" w:sz="4" w:space="0" w:color="auto"/>
              <w:right w:val="single" w:sz="4" w:space="0" w:color="auto"/>
            </w:tcBorders>
            <w:shd w:val="clear" w:color="auto" w:fill="auto"/>
            <w:vAlign w:val="center"/>
            <w:hideMark/>
          </w:tcPr>
          <w:p w14:paraId="0B9D319D"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246" w:type="dxa"/>
            <w:tcBorders>
              <w:top w:val="nil"/>
              <w:left w:val="nil"/>
              <w:bottom w:val="single" w:sz="4" w:space="0" w:color="auto"/>
              <w:right w:val="double" w:sz="6" w:space="0" w:color="auto"/>
            </w:tcBorders>
            <w:shd w:val="clear" w:color="auto" w:fill="auto"/>
            <w:vAlign w:val="center"/>
            <w:hideMark/>
          </w:tcPr>
          <w:p w14:paraId="288503D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1BFD2EDE" w14:textId="77777777" w:rsidTr="003C4D89">
        <w:trPr>
          <w:trHeight w:val="528"/>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6B15E516"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"Приоритетные социально значимые мероприятия в сфере социальной политики Архангельской области"</w:t>
            </w:r>
          </w:p>
        </w:tc>
        <w:tc>
          <w:tcPr>
            <w:tcW w:w="1216" w:type="dxa"/>
            <w:tcBorders>
              <w:top w:val="nil"/>
              <w:left w:val="nil"/>
              <w:bottom w:val="single" w:sz="4" w:space="0" w:color="auto"/>
              <w:right w:val="single" w:sz="4" w:space="0" w:color="auto"/>
            </w:tcBorders>
            <w:shd w:val="clear" w:color="auto" w:fill="auto"/>
            <w:vAlign w:val="center"/>
            <w:hideMark/>
          </w:tcPr>
          <w:p w14:paraId="42025F39"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w:t>
            </w:r>
          </w:p>
        </w:tc>
        <w:tc>
          <w:tcPr>
            <w:tcW w:w="1216" w:type="dxa"/>
            <w:tcBorders>
              <w:top w:val="nil"/>
              <w:left w:val="nil"/>
              <w:bottom w:val="single" w:sz="4" w:space="0" w:color="auto"/>
              <w:right w:val="single" w:sz="4" w:space="0" w:color="auto"/>
            </w:tcBorders>
            <w:shd w:val="clear" w:color="auto" w:fill="auto"/>
            <w:vAlign w:val="center"/>
            <w:hideMark/>
          </w:tcPr>
          <w:p w14:paraId="700BECA3"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w:t>
            </w:r>
          </w:p>
        </w:tc>
        <w:tc>
          <w:tcPr>
            <w:tcW w:w="966" w:type="dxa"/>
            <w:tcBorders>
              <w:top w:val="nil"/>
              <w:left w:val="nil"/>
              <w:bottom w:val="single" w:sz="4" w:space="0" w:color="auto"/>
              <w:right w:val="single" w:sz="4" w:space="0" w:color="auto"/>
            </w:tcBorders>
            <w:shd w:val="clear" w:color="auto" w:fill="auto"/>
            <w:vAlign w:val="center"/>
            <w:hideMark/>
          </w:tcPr>
          <w:p w14:paraId="14822EBD"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246" w:type="dxa"/>
            <w:tcBorders>
              <w:top w:val="nil"/>
              <w:left w:val="nil"/>
              <w:bottom w:val="single" w:sz="4" w:space="0" w:color="auto"/>
              <w:right w:val="double" w:sz="6" w:space="0" w:color="auto"/>
            </w:tcBorders>
            <w:shd w:val="clear" w:color="auto" w:fill="auto"/>
            <w:vAlign w:val="center"/>
            <w:hideMark/>
          </w:tcPr>
          <w:p w14:paraId="6147D68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9EF2E35" w14:textId="77777777" w:rsidTr="003C4D89">
        <w:trPr>
          <w:trHeight w:val="100"/>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5AFBB4DE"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"Доступная среда"</w:t>
            </w:r>
          </w:p>
        </w:tc>
        <w:tc>
          <w:tcPr>
            <w:tcW w:w="1216" w:type="dxa"/>
            <w:tcBorders>
              <w:top w:val="nil"/>
              <w:left w:val="nil"/>
              <w:bottom w:val="single" w:sz="4" w:space="0" w:color="auto"/>
              <w:right w:val="single" w:sz="4" w:space="0" w:color="auto"/>
            </w:tcBorders>
            <w:shd w:val="clear" w:color="auto" w:fill="auto"/>
            <w:vAlign w:val="center"/>
            <w:hideMark/>
          </w:tcPr>
          <w:p w14:paraId="055687A9"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31,6</w:t>
            </w:r>
          </w:p>
        </w:tc>
        <w:tc>
          <w:tcPr>
            <w:tcW w:w="1216" w:type="dxa"/>
            <w:tcBorders>
              <w:top w:val="nil"/>
              <w:left w:val="nil"/>
              <w:bottom w:val="single" w:sz="4" w:space="0" w:color="auto"/>
              <w:right w:val="single" w:sz="4" w:space="0" w:color="auto"/>
            </w:tcBorders>
            <w:shd w:val="clear" w:color="auto" w:fill="auto"/>
            <w:vAlign w:val="center"/>
            <w:hideMark/>
          </w:tcPr>
          <w:p w14:paraId="639F1E28"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25,5</w:t>
            </w:r>
          </w:p>
        </w:tc>
        <w:tc>
          <w:tcPr>
            <w:tcW w:w="966" w:type="dxa"/>
            <w:tcBorders>
              <w:top w:val="nil"/>
              <w:left w:val="nil"/>
              <w:bottom w:val="single" w:sz="4" w:space="0" w:color="auto"/>
              <w:right w:val="single" w:sz="4" w:space="0" w:color="auto"/>
            </w:tcBorders>
            <w:shd w:val="clear" w:color="auto" w:fill="auto"/>
            <w:vAlign w:val="center"/>
            <w:hideMark/>
          </w:tcPr>
          <w:p w14:paraId="6A54D479"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-6,1</w:t>
            </w:r>
          </w:p>
        </w:tc>
        <w:tc>
          <w:tcPr>
            <w:tcW w:w="1246" w:type="dxa"/>
            <w:tcBorders>
              <w:top w:val="nil"/>
              <w:left w:val="nil"/>
              <w:bottom w:val="single" w:sz="4" w:space="0" w:color="auto"/>
              <w:right w:val="double" w:sz="6" w:space="0" w:color="auto"/>
            </w:tcBorders>
            <w:shd w:val="clear" w:color="auto" w:fill="auto"/>
            <w:vAlign w:val="center"/>
            <w:hideMark/>
          </w:tcPr>
          <w:p w14:paraId="53680E0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80,7</w:t>
            </w:r>
          </w:p>
        </w:tc>
      </w:tr>
      <w:tr w:rsidR="00FD7B0B" w:rsidRPr="00FD7B0B" w14:paraId="110A7488" w14:textId="77777777" w:rsidTr="003C4D89">
        <w:trPr>
          <w:trHeight w:val="146"/>
        </w:trPr>
        <w:tc>
          <w:tcPr>
            <w:tcW w:w="4962" w:type="dxa"/>
            <w:tcBorders>
              <w:top w:val="nil"/>
              <w:left w:val="double" w:sz="6" w:space="0" w:color="auto"/>
              <w:bottom w:val="single" w:sz="4" w:space="0" w:color="auto"/>
              <w:right w:val="single" w:sz="4" w:space="0" w:color="auto"/>
            </w:tcBorders>
            <w:shd w:val="clear" w:color="auto" w:fill="auto"/>
            <w:vAlign w:val="bottom"/>
            <w:hideMark/>
          </w:tcPr>
          <w:p w14:paraId="47CC9746"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"Право быть равным"</w:t>
            </w:r>
          </w:p>
        </w:tc>
        <w:tc>
          <w:tcPr>
            <w:tcW w:w="1216" w:type="dxa"/>
            <w:tcBorders>
              <w:top w:val="nil"/>
              <w:left w:val="nil"/>
              <w:bottom w:val="single" w:sz="4" w:space="0" w:color="auto"/>
              <w:right w:val="single" w:sz="4" w:space="0" w:color="auto"/>
            </w:tcBorders>
            <w:shd w:val="clear" w:color="auto" w:fill="auto"/>
            <w:vAlign w:val="center"/>
            <w:hideMark/>
          </w:tcPr>
          <w:p w14:paraId="0ED4211D"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18,5</w:t>
            </w:r>
          </w:p>
        </w:tc>
        <w:tc>
          <w:tcPr>
            <w:tcW w:w="1216" w:type="dxa"/>
            <w:tcBorders>
              <w:top w:val="nil"/>
              <w:left w:val="nil"/>
              <w:bottom w:val="single" w:sz="4" w:space="0" w:color="auto"/>
              <w:right w:val="single" w:sz="4" w:space="0" w:color="auto"/>
            </w:tcBorders>
            <w:shd w:val="clear" w:color="auto" w:fill="auto"/>
            <w:vAlign w:val="center"/>
            <w:hideMark/>
          </w:tcPr>
          <w:p w14:paraId="7B07105A"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18,5</w:t>
            </w:r>
          </w:p>
        </w:tc>
        <w:tc>
          <w:tcPr>
            <w:tcW w:w="966" w:type="dxa"/>
            <w:tcBorders>
              <w:top w:val="nil"/>
              <w:left w:val="nil"/>
              <w:bottom w:val="single" w:sz="4" w:space="0" w:color="auto"/>
              <w:right w:val="single" w:sz="4" w:space="0" w:color="auto"/>
            </w:tcBorders>
            <w:shd w:val="clear" w:color="auto" w:fill="auto"/>
            <w:vAlign w:val="center"/>
            <w:hideMark/>
          </w:tcPr>
          <w:p w14:paraId="590B3D16"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246" w:type="dxa"/>
            <w:tcBorders>
              <w:top w:val="nil"/>
              <w:left w:val="nil"/>
              <w:bottom w:val="single" w:sz="4" w:space="0" w:color="auto"/>
              <w:right w:val="double" w:sz="6" w:space="0" w:color="auto"/>
            </w:tcBorders>
            <w:shd w:val="clear" w:color="auto" w:fill="auto"/>
            <w:vAlign w:val="center"/>
            <w:hideMark/>
          </w:tcPr>
          <w:p w14:paraId="1F33608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786CC9BA" w14:textId="77777777" w:rsidTr="001358BD">
        <w:trPr>
          <w:trHeight w:val="68"/>
        </w:trPr>
        <w:tc>
          <w:tcPr>
            <w:tcW w:w="4962" w:type="dxa"/>
            <w:tcBorders>
              <w:top w:val="nil"/>
              <w:left w:val="double" w:sz="6" w:space="0" w:color="auto"/>
              <w:bottom w:val="double" w:sz="6" w:space="0" w:color="auto"/>
              <w:right w:val="single" w:sz="4" w:space="0" w:color="auto"/>
            </w:tcBorders>
            <w:shd w:val="clear" w:color="auto" w:fill="auto"/>
            <w:vAlign w:val="bottom"/>
            <w:hideMark/>
          </w:tcPr>
          <w:p w14:paraId="5925514F" w14:textId="77777777" w:rsidR="002B392F" w:rsidRPr="00FD7B0B" w:rsidRDefault="002B392F" w:rsidP="003C4D8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ГП №03 всего</w:t>
            </w:r>
          </w:p>
        </w:tc>
        <w:tc>
          <w:tcPr>
            <w:tcW w:w="1216" w:type="dxa"/>
            <w:tcBorders>
              <w:top w:val="nil"/>
              <w:left w:val="nil"/>
              <w:bottom w:val="double" w:sz="6" w:space="0" w:color="auto"/>
              <w:right w:val="single" w:sz="4" w:space="0" w:color="auto"/>
            </w:tcBorders>
            <w:shd w:val="clear" w:color="auto" w:fill="auto"/>
            <w:vAlign w:val="center"/>
            <w:hideMark/>
          </w:tcPr>
          <w:p w14:paraId="07AD1D9E"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17 485,2</w:t>
            </w:r>
          </w:p>
        </w:tc>
        <w:tc>
          <w:tcPr>
            <w:tcW w:w="1216" w:type="dxa"/>
            <w:tcBorders>
              <w:top w:val="nil"/>
              <w:left w:val="nil"/>
              <w:bottom w:val="double" w:sz="6" w:space="0" w:color="auto"/>
              <w:right w:val="single" w:sz="4" w:space="0" w:color="auto"/>
            </w:tcBorders>
            <w:shd w:val="clear" w:color="auto" w:fill="auto"/>
            <w:vAlign w:val="center"/>
            <w:hideMark/>
          </w:tcPr>
          <w:p w14:paraId="1755E8AE"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17 700,7</w:t>
            </w:r>
          </w:p>
        </w:tc>
        <w:tc>
          <w:tcPr>
            <w:tcW w:w="966" w:type="dxa"/>
            <w:tcBorders>
              <w:top w:val="nil"/>
              <w:left w:val="nil"/>
              <w:bottom w:val="double" w:sz="6" w:space="0" w:color="auto"/>
              <w:right w:val="single" w:sz="4" w:space="0" w:color="auto"/>
            </w:tcBorders>
            <w:shd w:val="clear" w:color="auto" w:fill="auto"/>
            <w:vAlign w:val="center"/>
            <w:hideMark/>
          </w:tcPr>
          <w:p w14:paraId="55CC0A1D" w14:textId="77777777" w:rsidR="002B392F" w:rsidRPr="00FD7B0B" w:rsidRDefault="002B392F" w:rsidP="003C4D8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215,5</w:t>
            </w:r>
          </w:p>
        </w:tc>
        <w:tc>
          <w:tcPr>
            <w:tcW w:w="1246" w:type="dxa"/>
            <w:tcBorders>
              <w:top w:val="nil"/>
              <w:left w:val="nil"/>
              <w:bottom w:val="double" w:sz="6" w:space="0" w:color="auto"/>
              <w:right w:val="double" w:sz="6" w:space="0" w:color="auto"/>
            </w:tcBorders>
            <w:shd w:val="clear" w:color="auto" w:fill="auto"/>
            <w:vAlign w:val="center"/>
            <w:hideMark/>
          </w:tcPr>
          <w:p w14:paraId="0FACEF80"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101,2</w:t>
            </w:r>
          </w:p>
        </w:tc>
      </w:tr>
    </w:tbl>
    <w:p w14:paraId="62EC9161" w14:textId="77777777" w:rsidR="003C4D89" w:rsidRPr="00FD7B0B" w:rsidRDefault="003C4D89" w:rsidP="002B392F">
      <w:pPr>
        <w:spacing w:after="0" w:line="240" w:lineRule="auto"/>
        <w:ind w:firstLine="709"/>
        <w:jc w:val="both"/>
        <w:rPr>
          <w:rFonts w:ascii="Times New Roman" w:eastAsia="Times New Roman" w:hAnsi="Times New Roman" w:cs="Times New Roman"/>
          <w:sz w:val="28"/>
          <w:szCs w:val="28"/>
          <w:lang w:eastAsia="ru-RU"/>
        </w:rPr>
      </w:pPr>
    </w:p>
    <w:p w14:paraId="0083E8AC" w14:textId="77777777"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Областным законом «Об областном бюджете на 2024 год» (в ред. от 15.12.2023 года № 39-4-ОЗ) расходы 2024 года на реализацию мероприятий ГП № 03 утверждены в общей сумме 17 485,2 млн.руб. В течение отчетного периода областными законами о внесении изменений и дополнений в областной закон </w:t>
      </w:r>
      <w:r w:rsidRPr="00FD7B0B">
        <w:rPr>
          <w:rFonts w:ascii="Times New Roman" w:eastAsia="Times New Roman" w:hAnsi="Times New Roman" w:cs="Times New Roman"/>
          <w:sz w:val="28"/>
          <w:szCs w:val="28"/>
          <w:lang w:eastAsia="ru-RU"/>
        </w:rPr>
        <w:lastRenderedPageBreak/>
        <w:t>«Об областном бюджете» сумма ассигнований на реализацию мероприятий ГП № 03 увеличена на 215,5 млн.руб., и на 31.12.2024 она составила 17 700,7 млн.руб.</w:t>
      </w:r>
    </w:p>
    <w:p w14:paraId="5F81CAF3" w14:textId="77777777" w:rsidR="002B392F" w:rsidRPr="00FD7B0B" w:rsidRDefault="002B392F" w:rsidP="002B392F">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Согласно Отчету о реализации мероприятий госпрограммы за 2024 год расходы за счет средств областного и федерального бюджета составили </w:t>
      </w:r>
      <w:r w:rsidRPr="00FD7B0B">
        <w:rPr>
          <w:rFonts w:ascii="Times New Roman" w:eastAsia="Times New Roman" w:hAnsi="Times New Roman" w:cs="Times New Roman"/>
          <w:sz w:val="28"/>
          <w:szCs w:val="28"/>
          <w:lang w:eastAsia="ru-RU"/>
        </w:rPr>
        <w:t xml:space="preserve">17 045,0 </w:t>
      </w:r>
      <w:r w:rsidRPr="00FD7B0B">
        <w:rPr>
          <w:rFonts w:ascii="Times New Roman" w:eastAsia="Times New Roman" w:hAnsi="Times New Roman"/>
          <w:sz w:val="28"/>
          <w:szCs w:val="28"/>
          <w:lang w:eastAsia="ru-RU"/>
        </w:rPr>
        <w:t xml:space="preserve">млн.руб. или 99,9 % к уточненной сводной бюджетной росписи. </w:t>
      </w:r>
    </w:p>
    <w:p w14:paraId="1153BC86" w14:textId="77777777" w:rsidR="002B392F" w:rsidRPr="00FD7B0B" w:rsidRDefault="002B392F" w:rsidP="002B392F">
      <w:pPr>
        <w:spacing w:after="0" w:line="240" w:lineRule="auto"/>
        <w:ind w:firstLine="709"/>
        <w:jc w:val="both"/>
        <w:rPr>
          <w:rFonts w:ascii="Times New Roman" w:eastAsia="Times New Roman" w:hAnsi="Times New Roman"/>
          <w:sz w:val="28"/>
          <w:szCs w:val="28"/>
          <w:lang w:eastAsia="ru-RU"/>
        </w:rPr>
      </w:pPr>
    </w:p>
    <w:p w14:paraId="5474235D" w14:textId="77E328E1"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Исполнение госпрограммы в разрезе региональных проектов и комплексов процессных мероприятий за 202</w:t>
      </w:r>
      <w:r w:rsidR="00C37949" w:rsidRPr="00FD7B0B">
        <w:rPr>
          <w:rFonts w:ascii="Times New Roman" w:eastAsia="Times New Roman" w:hAnsi="Times New Roman" w:cs="Times New Roman"/>
          <w:sz w:val="28"/>
          <w:szCs w:val="28"/>
          <w:lang w:eastAsia="ru-RU"/>
        </w:rPr>
        <w:t xml:space="preserve">4 год представлены в таблице </w:t>
      </w:r>
      <w:r w:rsidR="001358BD" w:rsidRPr="00FD7B0B">
        <w:rPr>
          <w:rFonts w:ascii="Times New Roman" w:eastAsia="Times New Roman" w:hAnsi="Times New Roman" w:cs="Times New Roman"/>
          <w:sz w:val="28"/>
          <w:szCs w:val="28"/>
          <w:lang w:eastAsia="ru-RU"/>
        </w:rPr>
        <w:t>97</w:t>
      </w:r>
      <w:r w:rsidRPr="00FD7B0B">
        <w:rPr>
          <w:rFonts w:ascii="Times New Roman" w:eastAsia="Times New Roman" w:hAnsi="Times New Roman" w:cs="Times New Roman"/>
          <w:sz w:val="28"/>
          <w:szCs w:val="28"/>
          <w:lang w:eastAsia="ru-RU"/>
        </w:rPr>
        <w:t>.</w:t>
      </w:r>
    </w:p>
    <w:p w14:paraId="067D99F4" w14:textId="77777777"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p>
    <w:p w14:paraId="1B87E016" w14:textId="77777777" w:rsidR="002B392F" w:rsidRPr="00FD7B0B" w:rsidRDefault="002B392F" w:rsidP="002B39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97</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Pr="00FD7B0B">
        <w:rPr>
          <w:rFonts w:ascii="Times New Roman" w:eastAsia="Times New Roman" w:hAnsi="Times New Roman"/>
          <w:b w:val="0"/>
          <w:sz w:val="24"/>
          <w:szCs w:val="24"/>
          <w:lang w:eastAsia="ru-RU"/>
        </w:rPr>
        <w:t xml:space="preserve">Исполнение в разрезе региональных проектов и комплексов процессных мероприятий за 2024 год </w:t>
      </w:r>
      <w:r w:rsidRPr="00FD7B0B">
        <w:rPr>
          <w:rFonts w:ascii="Times New Roman" w:hAnsi="Times New Roman"/>
          <w:b w:val="0"/>
          <w:sz w:val="24"/>
          <w:szCs w:val="24"/>
        </w:rPr>
        <w:t>ГП № 03, млн.руб.</w:t>
      </w:r>
    </w:p>
    <w:tbl>
      <w:tblPr>
        <w:tblW w:w="9698" w:type="dxa"/>
        <w:tblLook w:val="04A0" w:firstRow="1" w:lastRow="0" w:firstColumn="1" w:lastColumn="0" w:noHBand="0" w:noVBand="1"/>
      </w:tblPr>
      <w:tblGrid>
        <w:gridCol w:w="3096"/>
        <w:gridCol w:w="926"/>
        <w:gridCol w:w="929"/>
        <w:gridCol w:w="930"/>
        <w:gridCol w:w="927"/>
        <w:gridCol w:w="929"/>
        <w:gridCol w:w="941"/>
        <w:gridCol w:w="1020"/>
      </w:tblGrid>
      <w:tr w:rsidR="00FD7B0B" w:rsidRPr="00FD7B0B" w14:paraId="1B1C4C14" w14:textId="77777777" w:rsidTr="00D64442">
        <w:trPr>
          <w:trHeight w:val="225"/>
          <w:tblHeader/>
        </w:trPr>
        <w:tc>
          <w:tcPr>
            <w:tcW w:w="3096" w:type="dxa"/>
            <w:vMerge w:val="restart"/>
            <w:tcBorders>
              <w:top w:val="double" w:sz="6" w:space="0" w:color="auto"/>
              <w:left w:val="double" w:sz="6" w:space="0" w:color="auto"/>
              <w:bottom w:val="single" w:sz="4" w:space="0" w:color="auto"/>
              <w:right w:val="single" w:sz="4" w:space="0" w:color="auto"/>
            </w:tcBorders>
            <w:shd w:val="clear" w:color="auto" w:fill="auto"/>
            <w:noWrap/>
            <w:vAlign w:val="bottom"/>
            <w:hideMark/>
          </w:tcPr>
          <w:p w14:paraId="46AC798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w:t>
            </w:r>
          </w:p>
        </w:tc>
        <w:tc>
          <w:tcPr>
            <w:tcW w:w="2785" w:type="dxa"/>
            <w:gridSpan w:val="3"/>
            <w:tcBorders>
              <w:top w:val="double" w:sz="6" w:space="0" w:color="auto"/>
              <w:left w:val="nil"/>
              <w:bottom w:val="single" w:sz="4" w:space="0" w:color="auto"/>
              <w:right w:val="single" w:sz="4" w:space="0" w:color="auto"/>
            </w:tcBorders>
            <w:shd w:val="clear" w:color="auto" w:fill="auto"/>
            <w:vAlign w:val="center"/>
            <w:hideMark/>
          </w:tcPr>
          <w:p w14:paraId="61BFA34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Запланированные объемы финансирования</w:t>
            </w:r>
          </w:p>
        </w:tc>
        <w:tc>
          <w:tcPr>
            <w:tcW w:w="2797" w:type="dxa"/>
            <w:gridSpan w:val="3"/>
            <w:tcBorders>
              <w:top w:val="double" w:sz="6" w:space="0" w:color="auto"/>
              <w:left w:val="nil"/>
              <w:bottom w:val="single" w:sz="4" w:space="0" w:color="auto"/>
              <w:right w:val="single" w:sz="4" w:space="0" w:color="auto"/>
            </w:tcBorders>
            <w:shd w:val="clear" w:color="auto" w:fill="auto"/>
            <w:vAlign w:val="center"/>
            <w:hideMark/>
          </w:tcPr>
          <w:p w14:paraId="0FE70C0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Кассовые расходы</w:t>
            </w:r>
          </w:p>
        </w:tc>
        <w:tc>
          <w:tcPr>
            <w:tcW w:w="1020"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2DC5DF82" w14:textId="2CD85D5D" w:rsidR="002B392F" w:rsidRPr="00FD7B0B" w:rsidRDefault="002B392F" w:rsidP="00B30BD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исп</w:t>
            </w:r>
            <w:r w:rsidR="00B30BD8" w:rsidRPr="00FD7B0B">
              <w:rPr>
                <w:rFonts w:ascii="Times New Roman" w:eastAsia="Times New Roman" w:hAnsi="Times New Roman" w:cs="Times New Roman"/>
                <w:sz w:val="20"/>
                <w:szCs w:val="20"/>
                <w:lang w:eastAsia="ru-RU"/>
              </w:rPr>
              <w:t>олн.</w:t>
            </w:r>
          </w:p>
        </w:tc>
      </w:tr>
      <w:tr w:rsidR="00FD7B0B" w:rsidRPr="00FD7B0B" w14:paraId="745AA0E8" w14:textId="77777777" w:rsidTr="00D64442">
        <w:trPr>
          <w:trHeight w:val="133"/>
          <w:tblHeader/>
        </w:trPr>
        <w:tc>
          <w:tcPr>
            <w:tcW w:w="3096" w:type="dxa"/>
            <w:vMerge/>
            <w:tcBorders>
              <w:top w:val="double" w:sz="6" w:space="0" w:color="auto"/>
              <w:left w:val="double" w:sz="6" w:space="0" w:color="auto"/>
              <w:bottom w:val="single" w:sz="4" w:space="0" w:color="auto"/>
              <w:right w:val="single" w:sz="4" w:space="0" w:color="auto"/>
            </w:tcBorders>
            <w:vAlign w:val="center"/>
            <w:hideMark/>
          </w:tcPr>
          <w:p w14:paraId="279F6A8B"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926" w:type="dxa"/>
            <w:tcBorders>
              <w:top w:val="nil"/>
              <w:left w:val="nil"/>
              <w:bottom w:val="single" w:sz="4" w:space="0" w:color="auto"/>
              <w:right w:val="single" w:sz="4" w:space="0" w:color="auto"/>
            </w:tcBorders>
            <w:shd w:val="clear" w:color="auto" w:fill="auto"/>
            <w:vAlign w:val="center"/>
            <w:hideMark/>
          </w:tcPr>
          <w:p w14:paraId="29C710B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w:t>
            </w:r>
          </w:p>
        </w:tc>
        <w:tc>
          <w:tcPr>
            <w:tcW w:w="929" w:type="dxa"/>
            <w:tcBorders>
              <w:top w:val="nil"/>
              <w:left w:val="nil"/>
              <w:bottom w:val="single" w:sz="4" w:space="0" w:color="auto"/>
              <w:right w:val="single" w:sz="4" w:space="0" w:color="auto"/>
            </w:tcBorders>
            <w:shd w:val="clear" w:color="auto" w:fill="auto"/>
            <w:vAlign w:val="center"/>
            <w:hideMark/>
          </w:tcPr>
          <w:p w14:paraId="54D91B7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ФБ</w:t>
            </w:r>
          </w:p>
        </w:tc>
        <w:tc>
          <w:tcPr>
            <w:tcW w:w="930" w:type="dxa"/>
            <w:tcBorders>
              <w:top w:val="nil"/>
              <w:left w:val="nil"/>
              <w:bottom w:val="single" w:sz="4" w:space="0" w:color="auto"/>
              <w:right w:val="single" w:sz="4" w:space="0" w:color="auto"/>
            </w:tcBorders>
            <w:shd w:val="clear" w:color="auto" w:fill="auto"/>
            <w:vAlign w:val="center"/>
            <w:hideMark/>
          </w:tcPr>
          <w:p w14:paraId="2800708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w:t>
            </w:r>
          </w:p>
        </w:tc>
        <w:tc>
          <w:tcPr>
            <w:tcW w:w="927" w:type="dxa"/>
            <w:tcBorders>
              <w:top w:val="nil"/>
              <w:left w:val="nil"/>
              <w:bottom w:val="single" w:sz="4" w:space="0" w:color="auto"/>
              <w:right w:val="single" w:sz="4" w:space="0" w:color="auto"/>
            </w:tcBorders>
            <w:shd w:val="clear" w:color="auto" w:fill="auto"/>
            <w:vAlign w:val="center"/>
            <w:hideMark/>
          </w:tcPr>
          <w:p w14:paraId="33EA27B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w:t>
            </w:r>
          </w:p>
        </w:tc>
        <w:tc>
          <w:tcPr>
            <w:tcW w:w="929" w:type="dxa"/>
            <w:tcBorders>
              <w:top w:val="nil"/>
              <w:left w:val="nil"/>
              <w:bottom w:val="single" w:sz="4" w:space="0" w:color="auto"/>
              <w:right w:val="single" w:sz="4" w:space="0" w:color="auto"/>
            </w:tcBorders>
            <w:shd w:val="clear" w:color="auto" w:fill="auto"/>
            <w:vAlign w:val="center"/>
            <w:hideMark/>
          </w:tcPr>
          <w:p w14:paraId="3902593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ФБ</w:t>
            </w:r>
          </w:p>
        </w:tc>
        <w:tc>
          <w:tcPr>
            <w:tcW w:w="941" w:type="dxa"/>
            <w:tcBorders>
              <w:top w:val="nil"/>
              <w:left w:val="nil"/>
              <w:bottom w:val="single" w:sz="4" w:space="0" w:color="auto"/>
              <w:right w:val="single" w:sz="4" w:space="0" w:color="auto"/>
            </w:tcBorders>
            <w:shd w:val="clear" w:color="auto" w:fill="auto"/>
            <w:vAlign w:val="center"/>
            <w:hideMark/>
          </w:tcPr>
          <w:p w14:paraId="2A24921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w:t>
            </w:r>
          </w:p>
        </w:tc>
        <w:tc>
          <w:tcPr>
            <w:tcW w:w="1020" w:type="dxa"/>
            <w:vMerge/>
            <w:tcBorders>
              <w:top w:val="double" w:sz="6" w:space="0" w:color="auto"/>
              <w:left w:val="single" w:sz="4" w:space="0" w:color="auto"/>
              <w:bottom w:val="single" w:sz="4" w:space="0" w:color="auto"/>
              <w:right w:val="double" w:sz="6" w:space="0" w:color="auto"/>
            </w:tcBorders>
            <w:vAlign w:val="center"/>
            <w:hideMark/>
          </w:tcPr>
          <w:p w14:paraId="5805DF76"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r>
      <w:tr w:rsidR="00FD7B0B" w:rsidRPr="00FD7B0B" w14:paraId="45D9D286" w14:textId="77777777" w:rsidTr="00D64442">
        <w:trPr>
          <w:trHeight w:val="414"/>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53DBEBD3"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«Финансовая поддержка семей при рождении детей»</w:t>
            </w:r>
          </w:p>
        </w:tc>
        <w:tc>
          <w:tcPr>
            <w:tcW w:w="926" w:type="dxa"/>
            <w:tcBorders>
              <w:top w:val="nil"/>
              <w:left w:val="nil"/>
              <w:bottom w:val="single" w:sz="4" w:space="0" w:color="auto"/>
              <w:right w:val="single" w:sz="4" w:space="0" w:color="auto"/>
            </w:tcBorders>
            <w:shd w:val="clear" w:color="auto" w:fill="auto"/>
            <w:vAlign w:val="center"/>
            <w:hideMark/>
          </w:tcPr>
          <w:p w14:paraId="36F2EE1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913,2</w:t>
            </w:r>
          </w:p>
        </w:tc>
        <w:tc>
          <w:tcPr>
            <w:tcW w:w="929" w:type="dxa"/>
            <w:tcBorders>
              <w:top w:val="nil"/>
              <w:left w:val="nil"/>
              <w:bottom w:val="single" w:sz="4" w:space="0" w:color="auto"/>
              <w:right w:val="single" w:sz="4" w:space="0" w:color="auto"/>
            </w:tcBorders>
            <w:shd w:val="clear" w:color="auto" w:fill="auto"/>
            <w:noWrap/>
            <w:vAlign w:val="center"/>
            <w:hideMark/>
          </w:tcPr>
          <w:p w14:paraId="20A5E764" w14:textId="77777777" w:rsidR="002B392F" w:rsidRPr="00FD7B0B" w:rsidRDefault="002B392F" w:rsidP="002B392F">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305,6</w:t>
            </w:r>
          </w:p>
        </w:tc>
        <w:tc>
          <w:tcPr>
            <w:tcW w:w="930" w:type="dxa"/>
            <w:tcBorders>
              <w:top w:val="nil"/>
              <w:left w:val="nil"/>
              <w:bottom w:val="single" w:sz="4" w:space="0" w:color="auto"/>
              <w:right w:val="single" w:sz="4" w:space="0" w:color="auto"/>
            </w:tcBorders>
            <w:shd w:val="clear" w:color="auto" w:fill="auto"/>
            <w:vAlign w:val="center"/>
            <w:hideMark/>
          </w:tcPr>
          <w:p w14:paraId="17AAAFC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607,6</w:t>
            </w:r>
          </w:p>
        </w:tc>
        <w:tc>
          <w:tcPr>
            <w:tcW w:w="927" w:type="dxa"/>
            <w:tcBorders>
              <w:top w:val="nil"/>
              <w:left w:val="nil"/>
              <w:bottom w:val="single" w:sz="4" w:space="0" w:color="auto"/>
              <w:right w:val="single" w:sz="4" w:space="0" w:color="auto"/>
            </w:tcBorders>
            <w:shd w:val="clear" w:color="auto" w:fill="auto"/>
            <w:vAlign w:val="center"/>
            <w:hideMark/>
          </w:tcPr>
          <w:p w14:paraId="0A267E4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912,9</w:t>
            </w:r>
          </w:p>
        </w:tc>
        <w:tc>
          <w:tcPr>
            <w:tcW w:w="929" w:type="dxa"/>
            <w:tcBorders>
              <w:top w:val="nil"/>
              <w:left w:val="nil"/>
              <w:bottom w:val="single" w:sz="4" w:space="0" w:color="auto"/>
              <w:right w:val="single" w:sz="4" w:space="0" w:color="auto"/>
            </w:tcBorders>
            <w:shd w:val="clear" w:color="auto" w:fill="auto"/>
            <w:vAlign w:val="center"/>
            <w:hideMark/>
          </w:tcPr>
          <w:p w14:paraId="01C8000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305,5</w:t>
            </w:r>
          </w:p>
        </w:tc>
        <w:tc>
          <w:tcPr>
            <w:tcW w:w="941" w:type="dxa"/>
            <w:tcBorders>
              <w:top w:val="nil"/>
              <w:left w:val="nil"/>
              <w:bottom w:val="single" w:sz="4" w:space="0" w:color="auto"/>
              <w:right w:val="single" w:sz="4" w:space="0" w:color="auto"/>
            </w:tcBorders>
            <w:shd w:val="clear" w:color="auto" w:fill="auto"/>
            <w:vAlign w:val="center"/>
            <w:hideMark/>
          </w:tcPr>
          <w:p w14:paraId="70B4EA6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607,4</w:t>
            </w:r>
          </w:p>
        </w:tc>
        <w:tc>
          <w:tcPr>
            <w:tcW w:w="1020" w:type="dxa"/>
            <w:tcBorders>
              <w:top w:val="nil"/>
              <w:left w:val="nil"/>
              <w:bottom w:val="single" w:sz="4" w:space="0" w:color="auto"/>
              <w:right w:val="double" w:sz="6" w:space="0" w:color="auto"/>
            </w:tcBorders>
            <w:shd w:val="clear" w:color="auto" w:fill="auto"/>
            <w:vAlign w:val="center"/>
            <w:hideMark/>
          </w:tcPr>
          <w:p w14:paraId="6791223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5867D7E" w14:textId="77777777" w:rsidTr="00D64442">
        <w:trPr>
          <w:trHeight w:val="1053"/>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506E29E8"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«Разработка и реализация программы системной поддержки и повышения качества жизни граждан старшего поколения»</w:t>
            </w:r>
          </w:p>
        </w:tc>
        <w:tc>
          <w:tcPr>
            <w:tcW w:w="926" w:type="dxa"/>
            <w:tcBorders>
              <w:top w:val="nil"/>
              <w:left w:val="nil"/>
              <w:bottom w:val="single" w:sz="4" w:space="0" w:color="auto"/>
              <w:right w:val="single" w:sz="4" w:space="0" w:color="auto"/>
            </w:tcBorders>
            <w:shd w:val="clear" w:color="auto" w:fill="auto"/>
            <w:vAlign w:val="center"/>
            <w:hideMark/>
          </w:tcPr>
          <w:p w14:paraId="2D4A913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133,3</w:t>
            </w:r>
          </w:p>
        </w:tc>
        <w:tc>
          <w:tcPr>
            <w:tcW w:w="929" w:type="dxa"/>
            <w:tcBorders>
              <w:top w:val="nil"/>
              <w:left w:val="nil"/>
              <w:bottom w:val="single" w:sz="4" w:space="0" w:color="auto"/>
              <w:right w:val="single" w:sz="4" w:space="0" w:color="auto"/>
            </w:tcBorders>
            <w:shd w:val="clear" w:color="auto" w:fill="auto"/>
            <w:vAlign w:val="center"/>
            <w:hideMark/>
          </w:tcPr>
          <w:p w14:paraId="20B1759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125,0</w:t>
            </w:r>
          </w:p>
        </w:tc>
        <w:tc>
          <w:tcPr>
            <w:tcW w:w="930" w:type="dxa"/>
            <w:tcBorders>
              <w:top w:val="nil"/>
              <w:left w:val="nil"/>
              <w:bottom w:val="single" w:sz="4" w:space="0" w:color="auto"/>
              <w:right w:val="single" w:sz="4" w:space="0" w:color="auto"/>
            </w:tcBorders>
            <w:shd w:val="clear" w:color="auto" w:fill="auto"/>
            <w:vAlign w:val="center"/>
            <w:hideMark/>
          </w:tcPr>
          <w:p w14:paraId="52FA26A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8,3</w:t>
            </w:r>
          </w:p>
        </w:tc>
        <w:tc>
          <w:tcPr>
            <w:tcW w:w="927" w:type="dxa"/>
            <w:tcBorders>
              <w:top w:val="nil"/>
              <w:left w:val="nil"/>
              <w:bottom w:val="single" w:sz="4" w:space="0" w:color="auto"/>
              <w:right w:val="single" w:sz="4" w:space="0" w:color="auto"/>
            </w:tcBorders>
            <w:shd w:val="clear" w:color="auto" w:fill="auto"/>
            <w:vAlign w:val="center"/>
            <w:hideMark/>
          </w:tcPr>
          <w:p w14:paraId="61A9E95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132,9</w:t>
            </w:r>
          </w:p>
        </w:tc>
        <w:tc>
          <w:tcPr>
            <w:tcW w:w="929" w:type="dxa"/>
            <w:tcBorders>
              <w:top w:val="nil"/>
              <w:left w:val="nil"/>
              <w:bottom w:val="single" w:sz="4" w:space="0" w:color="auto"/>
              <w:right w:val="single" w:sz="4" w:space="0" w:color="auto"/>
            </w:tcBorders>
            <w:shd w:val="clear" w:color="auto" w:fill="auto"/>
            <w:vAlign w:val="center"/>
            <w:hideMark/>
          </w:tcPr>
          <w:p w14:paraId="4E68FD6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125,0</w:t>
            </w:r>
          </w:p>
        </w:tc>
        <w:tc>
          <w:tcPr>
            <w:tcW w:w="941" w:type="dxa"/>
            <w:tcBorders>
              <w:top w:val="nil"/>
              <w:left w:val="nil"/>
              <w:bottom w:val="single" w:sz="4" w:space="0" w:color="auto"/>
              <w:right w:val="single" w:sz="4" w:space="0" w:color="auto"/>
            </w:tcBorders>
            <w:shd w:val="clear" w:color="auto" w:fill="auto"/>
            <w:vAlign w:val="center"/>
            <w:hideMark/>
          </w:tcPr>
          <w:p w14:paraId="2CCD3F1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w:t>
            </w:r>
          </w:p>
        </w:tc>
        <w:tc>
          <w:tcPr>
            <w:tcW w:w="1020" w:type="dxa"/>
            <w:tcBorders>
              <w:top w:val="nil"/>
              <w:left w:val="nil"/>
              <w:bottom w:val="single" w:sz="4" w:space="0" w:color="auto"/>
              <w:right w:val="double" w:sz="6" w:space="0" w:color="auto"/>
            </w:tcBorders>
            <w:shd w:val="clear" w:color="auto" w:fill="auto"/>
            <w:vAlign w:val="center"/>
            <w:hideMark/>
          </w:tcPr>
          <w:p w14:paraId="58FB234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99,7</w:t>
            </w:r>
          </w:p>
        </w:tc>
      </w:tr>
      <w:tr w:rsidR="00FD7B0B" w:rsidRPr="00FD7B0B" w14:paraId="7D37DA5A" w14:textId="77777777" w:rsidTr="00A625AB">
        <w:trPr>
          <w:trHeight w:val="569"/>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038924EB"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«Создание условий для обучения, отдыха и оздоровления детей и молодежи»</w:t>
            </w:r>
          </w:p>
        </w:tc>
        <w:tc>
          <w:tcPr>
            <w:tcW w:w="926" w:type="dxa"/>
            <w:tcBorders>
              <w:top w:val="nil"/>
              <w:left w:val="nil"/>
              <w:bottom w:val="single" w:sz="4" w:space="0" w:color="auto"/>
              <w:right w:val="single" w:sz="4" w:space="0" w:color="auto"/>
            </w:tcBorders>
            <w:shd w:val="clear" w:color="auto" w:fill="auto"/>
            <w:vAlign w:val="center"/>
            <w:hideMark/>
          </w:tcPr>
          <w:p w14:paraId="3F59EC3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181,3</w:t>
            </w:r>
          </w:p>
        </w:tc>
        <w:tc>
          <w:tcPr>
            <w:tcW w:w="929" w:type="dxa"/>
            <w:tcBorders>
              <w:top w:val="nil"/>
              <w:left w:val="nil"/>
              <w:bottom w:val="single" w:sz="4" w:space="0" w:color="auto"/>
              <w:right w:val="single" w:sz="4" w:space="0" w:color="auto"/>
            </w:tcBorders>
            <w:shd w:val="clear" w:color="auto" w:fill="auto"/>
            <w:vAlign w:val="center"/>
            <w:hideMark/>
          </w:tcPr>
          <w:p w14:paraId="77C6DCB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159,1</w:t>
            </w:r>
          </w:p>
        </w:tc>
        <w:tc>
          <w:tcPr>
            <w:tcW w:w="930" w:type="dxa"/>
            <w:tcBorders>
              <w:top w:val="nil"/>
              <w:left w:val="nil"/>
              <w:bottom w:val="single" w:sz="4" w:space="0" w:color="auto"/>
              <w:right w:val="single" w:sz="4" w:space="0" w:color="auto"/>
            </w:tcBorders>
            <w:shd w:val="clear" w:color="auto" w:fill="auto"/>
            <w:vAlign w:val="center"/>
            <w:hideMark/>
          </w:tcPr>
          <w:p w14:paraId="230DDB7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22,2</w:t>
            </w:r>
          </w:p>
        </w:tc>
        <w:tc>
          <w:tcPr>
            <w:tcW w:w="927" w:type="dxa"/>
            <w:tcBorders>
              <w:top w:val="nil"/>
              <w:left w:val="nil"/>
              <w:bottom w:val="single" w:sz="4" w:space="0" w:color="auto"/>
              <w:right w:val="single" w:sz="4" w:space="0" w:color="auto"/>
            </w:tcBorders>
            <w:shd w:val="clear" w:color="auto" w:fill="auto"/>
            <w:vAlign w:val="center"/>
            <w:hideMark/>
          </w:tcPr>
          <w:p w14:paraId="65A9BB5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181,2</w:t>
            </w:r>
          </w:p>
        </w:tc>
        <w:tc>
          <w:tcPr>
            <w:tcW w:w="929" w:type="dxa"/>
            <w:tcBorders>
              <w:top w:val="nil"/>
              <w:left w:val="nil"/>
              <w:bottom w:val="single" w:sz="4" w:space="0" w:color="auto"/>
              <w:right w:val="single" w:sz="4" w:space="0" w:color="auto"/>
            </w:tcBorders>
            <w:shd w:val="clear" w:color="auto" w:fill="auto"/>
            <w:vAlign w:val="center"/>
            <w:hideMark/>
          </w:tcPr>
          <w:p w14:paraId="3B8531F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159,0</w:t>
            </w:r>
          </w:p>
        </w:tc>
        <w:tc>
          <w:tcPr>
            <w:tcW w:w="941" w:type="dxa"/>
            <w:tcBorders>
              <w:top w:val="nil"/>
              <w:left w:val="nil"/>
              <w:bottom w:val="single" w:sz="4" w:space="0" w:color="auto"/>
              <w:right w:val="single" w:sz="4" w:space="0" w:color="auto"/>
            </w:tcBorders>
            <w:shd w:val="clear" w:color="auto" w:fill="auto"/>
            <w:vAlign w:val="center"/>
            <w:hideMark/>
          </w:tcPr>
          <w:p w14:paraId="7FDB2C3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22,2</w:t>
            </w:r>
          </w:p>
        </w:tc>
        <w:tc>
          <w:tcPr>
            <w:tcW w:w="1020" w:type="dxa"/>
            <w:tcBorders>
              <w:top w:val="nil"/>
              <w:left w:val="nil"/>
              <w:bottom w:val="single" w:sz="4" w:space="0" w:color="auto"/>
              <w:right w:val="double" w:sz="6" w:space="0" w:color="auto"/>
            </w:tcBorders>
            <w:shd w:val="clear" w:color="auto" w:fill="auto"/>
            <w:vAlign w:val="center"/>
            <w:hideMark/>
          </w:tcPr>
          <w:p w14:paraId="163B54F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7708A82C" w14:textId="77777777" w:rsidTr="00D64442">
        <w:trPr>
          <w:trHeight w:val="1133"/>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62C09F3C"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«Организация работы по социальному обслуживанию граждан и социальной защите населения в Архангельской области»</w:t>
            </w:r>
          </w:p>
        </w:tc>
        <w:tc>
          <w:tcPr>
            <w:tcW w:w="926" w:type="dxa"/>
            <w:tcBorders>
              <w:top w:val="nil"/>
              <w:left w:val="nil"/>
              <w:bottom w:val="single" w:sz="4" w:space="0" w:color="auto"/>
              <w:right w:val="single" w:sz="4" w:space="0" w:color="auto"/>
            </w:tcBorders>
            <w:shd w:val="clear" w:color="auto" w:fill="auto"/>
            <w:vAlign w:val="center"/>
            <w:hideMark/>
          </w:tcPr>
          <w:p w14:paraId="12A9BA6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4536,9</w:t>
            </w:r>
          </w:p>
        </w:tc>
        <w:tc>
          <w:tcPr>
            <w:tcW w:w="929" w:type="dxa"/>
            <w:tcBorders>
              <w:top w:val="nil"/>
              <w:left w:val="nil"/>
              <w:bottom w:val="single" w:sz="4" w:space="0" w:color="auto"/>
              <w:right w:val="single" w:sz="4" w:space="0" w:color="auto"/>
            </w:tcBorders>
            <w:shd w:val="clear" w:color="auto" w:fill="auto"/>
            <w:vAlign w:val="center"/>
            <w:hideMark/>
          </w:tcPr>
          <w:p w14:paraId="1460FA0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6765AF7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4536,9</w:t>
            </w:r>
          </w:p>
        </w:tc>
        <w:tc>
          <w:tcPr>
            <w:tcW w:w="927" w:type="dxa"/>
            <w:tcBorders>
              <w:top w:val="nil"/>
              <w:left w:val="nil"/>
              <w:bottom w:val="single" w:sz="4" w:space="0" w:color="auto"/>
              <w:right w:val="single" w:sz="4" w:space="0" w:color="auto"/>
            </w:tcBorders>
            <w:shd w:val="clear" w:color="auto" w:fill="auto"/>
            <w:vAlign w:val="center"/>
            <w:hideMark/>
          </w:tcPr>
          <w:p w14:paraId="430A6EC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4530,6</w:t>
            </w:r>
          </w:p>
        </w:tc>
        <w:tc>
          <w:tcPr>
            <w:tcW w:w="929" w:type="dxa"/>
            <w:tcBorders>
              <w:top w:val="nil"/>
              <w:left w:val="nil"/>
              <w:bottom w:val="single" w:sz="4" w:space="0" w:color="auto"/>
              <w:right w:val="single" w:sz="4" w:space="0" w:color="auto"/>
            </w:tcBorders>
            <w:shd w:val="clear" w:color="auto" w:fill="auto"/>
            <w:vAlign w:val="center"/>
            <w:hideMark/>
          </w:tcPr>
          <w:p w14:paraId="0247D73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41" w:type="dxa"/>
            <w:tcBorders>
              <w:top w:val="nil"/>
              <w:left w:val="nil"/>
              <w:bottom w:val="single" w:sz="4" w:space="0" w:color="auto"/>
              <w:right w:val="single" w:sz="4" w:space="0" w:color="auto"/>
            </w:tcBorders>
            <w:shd w:val="clear" w:color="auto" w:fill="auto"/>
            <w:vAlign w:val="center"/>
            <w:hideMark/>
          </w:tcPr>
          <w:p w14:paraId="1918A23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4530,6</w:t>
            </w:r>
          </w:p>
        </w:tc>
        <w:tc>
          <w:tcPr>
            <w:tcW w:w="1020" w:type="dxa"/>
            <w:tcBorders>
              <w:top w:val="nil"/>
              <w:left w:val="nil"/>
              <w:bottom w:val="single" w:sz="4" w:space="0" w:color="auto"/>
              <w:right w:val="double" w:sz="6" w:space="0" w:color="auto"/>
            </w:tcBorders>
            <w:shd w:val="clear" w:color="auto" w:fill="auto"/>
            <w:vAlign w:val="center"/>
            <w:hideMark/>
          </w:tcPr>
          <w:p w14:paraId="6114D3A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6C4B4846" w14:textId="77777777" w:rsidTr="00D64442">
        <w:trPr>
          <w:trHeight w:val="1034"/>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22289F84"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«Меры социальной поддержки отдельным категориям граждан, проживающим на территории Архангельской области»</w:t>
            </w:r>
          </w:p>
        </w:tc>
        <w:tc>
          <w:tcPr>
            <w:tcW w:w="926" w:type="dxa"/>
            <w:tcBorders>
              <w:top w:val="nil"/>
              <w:left w:val="nil"/>
              <w:bottom w:val="single" w:sz="4" w:space="0" w:color="auto"/>
              <w:right w:val="single" w:sz="4" w:space="0" w:color="auto"/>
            </w:tcBorders>
            <w:shd w:val="clear" w:color="auto" w:fill="auto"/>
            <w:vAlign w:val="center"/>
            <w:hideMark/>
          </w:tcPr>
          <w:p w14:paraId="0B7C446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9500,9</w:t>
            </w:r>
          </w:p>
        </w:tc>
        <w:tc>
          <w:tcPr>
            <w:tcW w:w="929" w:type="dxa"/>
            <w:tcBorders>
              <w:top w:val="nil"/>
              <w:left w:val="nil"/>
              <w:bottom w:val="single" w:sz="4" w:space="0" w:color="auto"/>
              <w:right w:val="single" w:sz="4" w:space="0" w:color="auto"/>
            </w:tcBorders>
            <w:shd w:val="clear" w:color="auto" w:fill="auto"/>
            <w:vAlign w:val="center"/>
            <w:hideMark/>
          </w:tcPr>
          <w:p w14:paraId="3959C94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2672,7</w:t>
            </w:r>
          </w:p>
        </w:tc>
        <w:tc>
          <w:tcPr>
            <w:tcW w:w="930" w:type="dxa"/>
            <w:tcBorders>
              <w:top w:val="nil"/>
              <w:left w:val="nil"/>
              <w:bottom w:val="single" w:sz="4" w:space="0" w:color="auto"/>
              <w:right w:val="single" w:sz="4" w:space="0" w:color="auto"/>
            </w:tcBorders>
            <w:shd w:val="clear" w:color="auto" w:fill="auto"/>
            <w:vAlign w:val="center"/>
            <w:hideMark/>
          </w:tcPr>
          <w:p w14:paraId="448BDE7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6828,2</w:t>
            </w:r>
          </w:p>
        </w:tc>
        <w:tc>
          <w:tcPr>
            <w:tcW w:w="927" w:type="dxa"/>
            <w:tcBorders>
              <w:top w:val="nil"/>
              <w:left w:val="nil"/>
              <w:bottom w:val="single" w:sz="4" w:space="0" w:color="auto"/>
              <w:right w:val="single" w:sz="4" w:space="0" w:color="auto"/>
            </w:tcBorders>
            <w:shd w:val="clear" w:color="auto" w:fill="auto"/>
            <w:vAlign w:val="center"/>
            <w:hideMark/>
          </w:tcPr>
          <w:p w14:paraId="44E373F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9497,9</w:t>
            </w:r>
          </w:p>
        </w:tc>
        <w:tc>
          <w:tcPr>
            <w:tcW w:w="929" w:type="dxa"/>
            <w:tcBorders>
              <w:top w:val="nil"/>
              <w:left w:val="nil"/>
              <w:bottom w:val="single" w:sz="4" w:space="0" w:color="auto"/>
              <w:right w:val="single" w:sz="4" w:space="0" w:color="auto"/>
            </w:tcBorders>
            <w:shd w:val="clear" w:color="auto" w:fill="auto"/>
            <w:vAlign w:val="center"/>
            <w:hideMark/>
          </w:tcPr>
          <w:p w14:paraId="64E4D60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2671,2</w:t>
            </w:r>
          </w:p>
        </w:tc>
        <w:tc>
          <w:tcPr>
            <w:tcW w:w="941" w:type="dxa"/>
            <w:tcBorders>
              <w:top w:val="nil"/>
              <w:left w:val="nil"/>
              <w:bottom w:val="single" w:sz="4" w:space="0" w:color="auto"/>
              <w:right w:val="single" w:sz="4" w:space="0" w:color="auto"/>
            </w:tcBorders>
            <w:shd w:val="clear" w:color="auto" w:fill="auto"/>
            <w:vAlign w:val="center"/>
            <w:hideMark/>
          </w:tcPr>
          <w:p w14:paraId="39F3715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6826,7</w:t>
            </w:r>
          </w:p>
        </w:tc>
        <w:tc>
          <w:tcPr>
            <w:tcW w:w="1020" w:type="dxa"/>
            <w:tcBorders>
              <w:top w:val="nil"/>
              <w:left w:val="nil"/>
              <w:bottom w:val="single" w:sz="4" w:space="0" w:color="auto"/>
              <w:right w:val="double" w:sz="6" w:space="0" w:color="auto"/>
            </w:tcBorders>
            <w:shd w:val="clear" w:color="auto" w:fill="auto"/>
            <w:vAlign w:val="center"/>
            <w:hideMark/>
          </w:tcPr>
          <w:p w14:paraId="4B508D5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B0BAEBF" w14:textId="77777777" w:rsidTr="00A625AB">
        <w:trPr>
          <w:trHeight w:val="1803"/>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1F20A76F"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«Содержание, воспитание и социальное обеспечение детей-сирот и детей, оставшихся без попечения родителей, лиц из числа детей-сирот и детей, оставшихся без попечения родителей, детей с ограниченными возможностями здоровья»</w:t>
            </w:r>
          </w:p>
        </w:tc>
        <w:tc>
          <w:tcPr>
            <w:tcW w:w="926" w:type="dxa"/>
            <w:tcBorders>
              <w:top w:val="nil"/>
              <w:left w:val="nil"/>
              <w:bottom w:val="single" w:sz="4" w:space="0" w:color="auto"/>
              <w:right w:val="single" w:sz="4" w:space="0" w:color="auto"/>
            </w:tcBorders>
            <w:shd w:val="clear" w:color="auto" w:fill="auto"/>
            <w:vAlign w:val="center"/>
            <w:hideMark/>
          </w:tcPr>
          <w:p w14:paraId="42C4067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1135,6</w:t>
            </w:r>
          </w:p>
        </w:tc>
        <w:tc>
          <w:tcPr>
            <w:tcW w:w="929" w:type="dxa"/>
            <w:tcBorders>
              <w:top w:val="nil"/>
              <w:left w:val="nil"/>
              <w:bottom w:val="single" w:sz="4" w:space="0" w:color="auto"/>
              <w:right w:val="single" w:sz="4" w:space="0" w:color="auto"/>
            </w:tcBorders>
            <w:shd w:val="clear" w:color="auto" w:fill="auto"/>
            <w:vAlign w:val="center"/>
            <w:hideMark/>
          </w:tcPr>
          <w:p w14:paraId="753A005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4D2AF68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1135,6</w:t>
            </w:r>
          </w:p>
        </w:tc>
        <w:tc>
          <w:tcPr>
            <w:tcW w:w="927" w:type="dxa"/>
            <w:tcBorders>
              <w:top w:val="nil"/>
              <w:left w:val="nil"/>
              <w:bottom w:val="single" w:sz="4" w:space="0" w:color="auto"/>
              <w:right w:val="single" w:sz="4" w:space="0" w:color="auto"/>
            </w:tcBorders>
            <w:shd w:val="clear" w:color="auto" w:fill="auto"/>
            <w:vAlign w:val="center"/>
            <w:hideMark/>
          </w:tcPr>
          <w:p w14:paraId="0440371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1135,2</w:t>
            </w:r>
          </w:p>
        </w:tc>
        <w:tc>
          <w:tcPr>
            <w:tcW w:w="929" w:type="dxa"/>
            <w:tcBorders>
              <w:top w:val="nil"/>
              <w:left w:val="nil"/>
              <w:bottom w:val="single" w:sz="4" w:space="0" w:color="auto"/>
              <w:right w:val="single" w:sz="4" w:space="0" w:color="auto"/>
            </w:tcBorders>
            <w:shd w:val="clear" w:color="auto" w:fill="auto"/>
            <w:vAlign w:val="center"/>
            <w:hideMark/>
          </w:tcPr>
          <w:p w14:paraId="2E8E40F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41" w:type="dxa"/>
            <w:tcBorders>
              <w:top w:val="nil"/>
              <w:left w:val="nil"/>
              <w:bottom w:val="single" w:sz="4" w:space="0" w:color="auto"/>
              <w:right w:val="single" w:sz="4" w:space="0" w:color="auto"/>
            </w:tcBorders>
            <w:shd w:val="clear" w:color="auto" w:fill="auto"/>
            <w:vAlign w:val="center"/>
            <w:hideMark/>
          </w:tcPr>
          <w:p w14:paraId="225F859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1135,2</w:t>
            </w:r>
          </w:p>
        </w:tc>
        <w:tc>
          <w:tcPr>
            <w:tcW w:w="1020" w:type="dxa"/>
            <w:tcBorders>
              <w:top w:val="nil"/>
              <w:left w:val="nil"/>
              <w:bottom w:val="single" w:sz="4" w:space="0" w:color="auto"/>
              <w:right w:val="double" w:sz="6" w:space="0" w:color="auto"/>
            </w:tcBorders>
            <w:shd w:val="clear" w:color="auto" w:fill="auto"/>
            <w:vAlign w:val="center"/>
            <w:hideMark/>
          </w:tcPr>
          <w:p w14:paraId="4594083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166B3D2" w14:textId="77777777" w:rsidTr="00D64442">
        <w:trPr>
          <w:trHeight w:val="428"/>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6A3BB8E4"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«Развитие системы отдыха и оздоровления детей»</w:t>
            </w:r>
          </w:p>
        </w:tc>
        <w:tc>
          <w:tcPr>
            <w:tcW w:w="926" w:type="dxa"/>
            <w:tcBorders>
              <w:top w:val="nil"/>
              <w:left w:val="nil"/>
              <w:bottom w:val="single" w:sz="4" w:space="0" w:color="auto"/>
              <w:right w:val="single" w:sz="4" w:space="0" w:color="auto"/>
            </w:tcBorders>
            <w:shd w:val="clear" w:color="auto" w:fill="auto"/>
            <w:vAlign w:val="center"/>
            <w:hideMark/>
          </w:tcPr>
          <w:p w14:paraId="1030E51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456,4</w:t>
            </w:r>
          </w:p>
        </w:tc>
        <w:tc>
          <w:tcPr>
            <w:tcW w:w="929" w:type="dxa"/>
            <w:tcBorders>
              <w:top w:val="nil"/>
              <w:left w:val="nil"/>
              <w:bottom w:val="single" w:sz="4" w:space="0" w:color="auto"/>
              <w:right w:val="single" w:sz="4" w:space="0" w:color="auto"/>
            </w:tcBorders>
            <w:shd w:val="clear" w:color="auto" w:fill="auto"/>
            <w:vAlign w:val="center"/>
            <w:hideMark/>
          </w:tcPr>
          <w:p w14:paraId="3ED04F4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587F61E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456,4</w:t>
            </w:r>
          </w:p>
        </w:tc>
        <w:tc>
          <w:tcPr>
            <w:tcW w:w="927" w:type="dxa"/>
            <w:tcBorders>
              <w:top w:val="nil"/>
              <w:left w:val="nil"/>
              <w:bottom w:val="single" w:sz="4" w:space="0" w:color="auto"/>
              <w:right w:val="single" w:sz="4" w:space="0" w:color="auto"/>
            </w:tcBorders>
            <w:shd w:val="clear" w:color="auto" w:fill="auto"/>
            <w:vAlign w:val="center"/>
            <w:hideMark/>
          </w:tcPr>
          <w:p w14:paraId="29DB39A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455,7</w:t>
            </w:r>
          </w:p>
        </w:tc>
        <w:tc>
          <w:tcPr>
            <w:tcW w:w="929" w:type="dxa"/>
            <w:tcBorders>
              <w:top w:val="nil"/>
              <w:left w:val="nil"/>
              <w:bottom w:val="single" w:sz="4" w:space="0" w:color="auto"/>
              <w:right w:val="single" w:sz="4" w:space="0" w:color="auto"/>
            </w:tcBorders>
            <w:shd w:val="clear" w:color="auto" w:fill="auto"/>
            <w:vAlign w:val="center"/>
            <w:hideMark/>
          </w:tcPr>
          <w:p w14:paraId="5A3F7CA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41" w:type="dxa"/>
            <w:tcBorders>
              <w:top w:val="nil"/>
              <w:left w:val="nil"/>
              <w:bottom w:val="single" w:sz="4" w:space="0" w:color="auto"/>
              <w:right w:val="single" w:sz="4" w:space="0" w:color="auto"/>
            </w:tcBorders>
            <w:shd w:val="clear" w:color="auto" w:fill="auto"/>
            <w:vAlign w:val="center"/>
            <w:hideMark/>
          </w:tcPr>
          <w:p w14:paraId="509D18D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455,7</w:t>
            </w:r>
          </w:p>
        </w:tc>
        <w:tc>
          <w:tcPr>
            <w:tcW w:w="1020" w:type="dxa"/>
            <w:tcBorders>
              <w:top w:val="nil"/>
              <w:left w:val="nil"/>
              <w:bottom w:val="single" w:sz="4" w:space="0" w:color="auto"/>
              <w:right w:val="double" w:sz="6" w:space="0" w:color="auto"/>
            </w:tcBorders>
            <w:shd w:val="clear" w:color="auto" w:fill="auto"/>
            <w:vAlign w:val="center"/>
            <w:hideMark/>
          </w:tcPr>
          <w:p w14:paraId="35CE963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r>
      <w:tr w:rsidR="00FD7B0B" w:rsidRPr="00FD7B0B" w14:paraId="6B986F2A" w14:textId="77777777" w:rsidTr="00D64442">
        <w:trPr>
          <w:trHeight w:val="464"/>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6C0D5D52"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«Семья и дети в Архангельской области»</w:t>
            </w:r>
          </w:p>
        </w:tc>
        <w:tc>
          <w:tcPr>
            <w:tcW w:w="926" w:type="dxa"/>
            <w:tcBorders>
              <w:top w:val="nil"/>
              <w:left w:val="nil"/>
              <w:bottom w:val="single" w:sz="4" w:space="0" w:color="auto"/>
              <w:right w:val="single" w:sz="4" w:space="0" w:color="auto"/>
            </w:tcBorders>
            <w:shd w:val="clear" w:color="auto" w:fill="auto"/>
            <w:vAlign w:val="center"/>
            <w:hideMark/>
          </w:tcPr>
          <w:p w14:paraId="57C2116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111,1</w:t>
            </w:r>
          </w:p>
        </w:tc>
        <w:tc>
          <w:tcPr>
            <w:tcW w:w="929" w:type="dxa"/>
            <w:tcBorders>
              <w:top w:val="nil"/>
              <w:left w:val="nil"/>
              <w:bottom w:val="single" w:sz="4" w:space="0" w:color="auto"/>
              <w:right w:val="single" w:sz="4" w:space="0" w:color="auto"/>
            </w:tcBorders>
            <w:shd w:val="clear" w:color="auto" w:fill="auto"/>
            <w:vAlign w:val="center"/>
            <w:hideMark/>
          </w:tcPr>
          <w:p w14:paraId="4B230ED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1AFC0C5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111,1</w:t>
            </w:r>
          </w:p>
        </w:tc>
        <w:tc>
          <w:tcPr>
            <w:tcW w:w="927" w:type="dxa"/>
            <w:tcBorders>
              <w:top w:val="nil"/>
              <w:left w:val="nil"/>
              <w:bottom w:val="single" w:sz="4" w:space="0" w:color="auto"/>
              <w:right w:val="single" w:sz="4" w:space="0" w:color="auto"/>
            </w:tcBorders>
            <w:shd w:val="clear" w:color="auto" w:fill="auto"/>
            <w:vAlign w:val="center"/>
            <w:hideMark/>
          </w:tcPr>
          <w:p w14:paraId="52724A1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111,1</w:t>
            </w:r>
          </w:p>
        </w:tc>
        <w:tc>
          <w:tcPr>
            <w:tcW w:w="929" w:type="dxa"/>
            <w:tcBorders>
              <w:top w:val="nil"/>
              <w:left w:val="nil"/>
              <w:bottom w:val="single" w:sz="4" w:space="0" w:color="auto"/>
              <w:right w:val="single" w:sz="4" w:space="0" w:color="auto"/>
            </w:tcBorders>
            <w:shd w:val="clear" w:color="auto" w:fill="auto"/>
            <w:vAlign w:val="center"/>
            <w:hideMark/>
          </w:tcPr>
          <w:p w14:paraId="0590F7B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41" w:type="dxa"/>
            <w:tcBorders>
              <w:top w:val="nil"/>
              <w:left w:val="nil"/>
              <w:bottom w:val="single" w:sz="4" w:space="0" w:color="auto"/>
              <w:right w:val="single" w:sz="4" w:space="0" w:color="auto"/>
            </w:tcBorders>
            <w:shd w:val="clear" w:color="auto" w:fill="auto"/>
            <w:vAlign w:val="center"/>
            <w:hideMark/>
          </w:tcPr>
          <w:p w14:paraId="257C43D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111,1</w:t>
            </w:r>
          </w:p>
        </w:tc>
        <w:tc>
          <w:tcPr>
            <w:tcW w:w="1020" w:type="dxa"/>
            <w:tcBorders>
              <w:top w:val="nil"/>
              <w:left w:val="nil"/>
              <w:bottom w:val="single" w:sz="4" w:space="0" w:color="auto"/>
              <w:right w:val="double" w:sz="6" w:space="0" w:color="auto"/>
            </w:tcBorders>
            <w:shd w:val="clear" w:color="auto" w:fill="auto"/>
            <w:vAlign w:val="center"/>
            <w:hideMark/>
          </w:tcPr>
          <w:p w14:paraId="2B44059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1C9FE34F" w14:textId="77777777" w:rsidTr="00D64442">
        <w:trPr>
          <w:trHeight w:val="925"/>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51ED8642"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«Повышение качества жизни граждан пожилого возраста и инвалидов в Архангельской области»</w:t>
            </w:r>
          </w:p>
        </w:tc>
        <w:tc>
          <w:tcPr>
            <w:tcW w:w="926" w:type="dxa"/>
            <w:tcBorders>
              <w:top w:val="nil"/>
              <w:left w:val="nil"/>
              <w:bottom w:val="single" w:sz="4" w:space="0" w:color="auto"/>
              <w:right w:val="single" w:sz="4" w:space="0" w:color="auto"/>
            </w:tcBorders>
            <w:shd w:val="clear" w:color="auto" w:fill="auto"/>
            <w:vAlign w:val="center"/>
            <w:hideMark/>
          </w:tcPr>
          <w:p w14:paraId="2044705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33,8</w:t>
            </w:r>
          </w:p>
        </w:tc>
        <w:tc>
          <w:tcPr>
            <w:tcW w:w="929" w:type="dxa"/>
            <w:tcBorders>
              <w:top w:val="nil"/>
              <w:left w:val="nil"/>
              <w:bottom w:val="single" w:sz="4" w:space="0" w:color="auto"/>
              <w:right w:val="single" w:sz="4" w:space="0" w:color="auto"/>
            </w:tcBorders>
            <w:shd w:val="clear" w:color="auto" w:fill="auto"/>
            <w:vAlign w:val="center"/>
            <w:hideMark/>
          </w:tcPr>
          <w:p w14:paraId="7C957AD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0D96526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33,8</w:t>
            </w:r>
          </w:p>
        </w:tc>
        <w:tc>
          <w:tcPr>
            <w:tcW w:w="927" w:type="dxa"/>
            <w:tcBorders>
              <w:top w:val="nil"/>
              <w:left w:val="nil"/>
              <w:bottom w:val="single" w:sz="4" w:space="0" w:color="auto"/>
              <w:right w:val="single" w:sz="4" w:space="0" w:color="auto"/>
            </w:tcBorders>
            <w:shd w:val="clear" w:color="auto" w:fill="auto"/>
            <w:vAlign w:val="center"/>
            <w:hideMark/>
          </w:tcPr>
          <w:p w14:paraId="5AE46AE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33,6</w:t>
            </w:r>
          </w:p>
        </w:tc>
        <w:tc>
          <w:tcPr>
            <w:tcW w:w="929" w:type="dxa"/>
            <w:tcBorders>
              <w:top w:val="nil"/>
              <w:left w:val="nil"/>
              <w:bottom w:val="single" w:sz="4" w:space="0" w:color="auto"/>
              <w:right w:val="single" w:sz="4" w:space="0" w:color="auto"/>
            </w:tcBorders>
            <w:shd w:val="clear" w:color="auto" w:fill="auto"/>
            <w:vAlign w:val="center"/>
            <w:hideMark/>
          </w:tcPr>
          <w:p w14:paraId="07E6C55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41" w:type="dxa"/>
            <w:tcBorders>
              <w:top w:val="nil"/>
              <w:left w:val="nil"/>
              <w:bottom w:val="single" w:sz="4" w:space="0" w:color="auto"/>
              <w:right w:val="single" w:sz="4" w:space="0" w:color="auto"/>
            </w:tcBorders>
            <w:shd w:val="clear" w:color="auto" w:fill="auto"/>
            <w:vAlign w:val="center"/>
            <w:hideMark/>
          </w:tcPr>
          <w:p w14:paraId="3B2D59C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33,6</w:t>
            </w:r>
          </w:p>
        </w:tc>
        <w:tc>
          <w:tcPr>
            <w:tcW w:w="1020" w:type="dxa"/>
            <w:tcBorders>
              <w:top w:val="nil"/>
              <w:left w:val="nil"/>
              <w:bottom w:val="single" w:sz="4" w:space="0" w:color="auto"/>
              <w:right w:val="double" w:sz="6" w:space="0" w:color="auto"/>
            </w:tcBorders>
            <w:shd w:val="clear" w:color="auto" w:fill="auto"/>
            <w:vAlign w:val="center"/>
            <w:hideMark/>
          </w:tcPr>
          <w:p w14:paraId="55D9B92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99,4</w:t>
            </w:r>
          </w:p>
        </w:tc>
      </w:tr>
      <w:tr w:rsidR="00FD7B0B" w:rsidRPr="00FD7B0B" w14:paraId="6BFD460F" w14:textId="77777777" w:rsidTr="00A625AB">
        <w:trPr>
          <w:trHeight w:val="811"/>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3CE009A4"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«Приоритетные социально значимые мероприятия в сфере социальной политики Архангельской области»</w:t>
            </w:r>
          </w:p>
        </w:tc>
        <w:tc>
          <w:tcPr>
            <w:tcW w:w="926" w:type="dxa"/>
            <w:tcBorders>
              <w:top w:val="nil"/>
              <w:left w:val="nil"/>
              <w:bottom w:val="single" w:sz="4" w:space="0" w:color="auto"/>
              <w:right w:val="single" w:sz="4" w:space="0" w:color="auto"/>
            </w:tcBorders>
            <w:shd w:val="clear" w:color="auto" w:fill="auto"/>
            <w:vAlign w:val="center"/>
            <w:hideMark/>
          </w:tcPr>
          <w:p w14:paraId="79DEBE6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10,9</w:t>
            </w:r>
          </w:p>
        </w:tc>
        <w:tc>
          <w:tcPr>
            <w:tcW w:w="929" w:type="dxa"/>
            <w:tcBorders>
              <w:top w:val="nil"/>
              <w:left w:val="nil"/>
              <w:bottom w:val="single" w:sz="4" w:space="0" w:color="auto"/>
              <w:right w:val="single" w:sz="4" w:space="0" w:color="auto"/>
            </w:tcBorders>
            <w:shd w:val="clear" w:color="auto" w:fill="auto"/>
            <w:vAlign w:val="center"/>
            <w:hideMark/>
          </w:tcPr>
          <w:p w14:paraId="713B6FD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103ED08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10,9</w:t>
            </w:r>
          </w:p>
        </w:tc>
        <w:tc>
          <w:tcPr>
            <w:tcW w:w="927" w:type="dxa"/>
            <w:tcBorders>
              <w:top w:val="nil"/>
              <w:left w:val="nil"/>
              <w:bottom w:val="single" w:sz="4" w:space="0" w:color="auto"/>
              <w:right w:val="single" w:sz="4" w:space="0" w:color="auto"/>
            </w:tcBorders>
            <w:shd w:val="clear" w:color="auto" w:fill="auto"/>
            <w:vAlign w:val="center"/>
            <w:hideMark/>
          </w:tcPr>
          <w:p w14:paraId="54D32FF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10,6</w:t>
            </w:r>
          </w:p>
        </w:tc>
        <w:tc>
          <w:tcPr>
            <w:tcW w:w="929" w:type="dxa"/>
            <w:tcBorders>
              <w:top w:val="nil"/>
              <w:left w:val="nil"/>
              <w:bottom w:val="single" w:sz="4" w:space="0" w:color="auto"/>
              <w:right w:val="single" w:sz="4" w:space="0" w:color="auto"/>
            </w:tcBorders>
            <w:shd w:val="clear" w:color="auto" w:fill="auto"/>
            <w:vAlign w:val="center"/>
            <w:hideMark/>
          </w:tcPr>
          <w:p w14:paraId="44E353B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41" w:type="dxa"/>
            <w:tcBorders>
              <w:top w:val="nil"/>
              <w:left w:val="nil"/>
              <w:bottom w:val="single" w:sz="4" w:space="0" w:color="auto"/>
              <w:right w:val="single" w:sz="4" w:space="0" w:color="auto"/>
            </w:tcBorders>
            <w:shd w:val="clear" w:color="auto" w:fill="auto"/>
            <w:vAlign w:val="center"/>
            <w:hideMark/>
          </w:tcPr>
          <w:p w14:paraId="6010916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10,6</w:t>
            </w:r>
          </w:p>
        </w:tc>
        <w:tc>
          <w:tcPr>
            <w:tcW w:w="1020" w:type="dxa"/>
            <w:tcBorders>
              <w:top w:val="nil"/>
              <w:left w:val="nil"/>
              <w:bottom w:val="single" w:sz="4" w:space="0" w:color="auto"/>
              <w:right w:val="double" w:sz="6" w:space="0" w:color="auto"/>
            </w:tcBorders>
            <w:shd w:val="clear" w:color="auto" w:fill="auto"/>
            <w:vAlign w:val="center"/>
            <w:hideMark/>
          </w:tcPr>
          <w:p w14:paraId="76A67C5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97,2</w:t>
            </w:r>
          </w:p>
        </w:tc>
      </w:tr>
      <w:tr w:rsidR="00FD7B0B" w:rsidRPr="00FD7B0B" w14:paraId="233997F1" w14:textId="77777777" w:rsidTr="00D64442">
        <w:trPr>
          <w:trHeight w:val="94"/>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6E75A4A8"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«Доступная среда»</w:t>
            </w:r>
          </w:p>
        </w:tc>
        <w:tc>
          <w:tcPr>
            <w:tcW w:w="926" w:type="dxa"/>
            <w:tcBorders>
              <w:top w:val="nil"/>
              <w:left w:val="nil"/>
              <w:bottom w:val="single" w:sz="4" w:space="0" w:color="auto"/>
              <w:right w:val="single" w:sz="4" w:space="0" w:color="auto"/>
            </w:tcBorders>
            <w:shd w:val="clear" w:color="auto" w:fill="auto"/>
            <w:vAlign w:val="center"/>
            <w:hideMark/>
          </w:tcPr>
          <w:p w14:paraId="323AC0E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25,4</w:t>
            </w:r>
          </w:p>
        </w:tc>
        <w:tc>
          <w:tcPr>
            <w:tcW w:w="929" w:type="dxa"/>
            <w:tcBorders>
              <w:top w:val="nil"/>
              <w:left w:val="nil"/>
              <w:bottom w:val="single" w:sz="4" w:space="0" w:color="auto"/>
              <w:right w:val="single" w:sz="4" w:space="0" w:color="auto"/>
            </w:tcBorders>
            <w:shd w:val="clear" w:color="auto" w:fill="auto"/>
            <w:vAlign w:val="center"/>
            <w:hideMark/>
          </w:tcPr>
          <w:p w14:paraId="13086D1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15,4</w:t>
            </w:r>
          </w:p>
        </w:tc>
        <w:tc>
          <w:tcPr>
            <w:tcW w:w="930" w:type="dxa"/>
            <w:tcBorders>
              <w:top w:val="nil"/>
              <w:left w:val="nil"/>
              <w:bottom w:val="single" w:sz="4" w:space="0" w:color="auto"/>
              <w:right w:val="single" w:sz="4" w:space="0" w:color="auto"/>
            </w:tcBorders>
            <w:shd w:val="clear" w:color="auto" w:fill="auto"/>
            <w:vAlign w:val="center"/>
            <w:hideMark/>
          </w:tcPr>
          <w:p w14:paraId="454CC94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27" w:type="dxa"/>
            <w:tcBorders>
              <w:top w:val="nil"/>
              <w:left w:val="nil"/>
              <w:bottom w:val="single" w:sz="4" w:space="0" w:color="auto"/>
              <w:right w:val="single" w:sz="4" w:space="0" w:color="auto"/>
            </w:tcBorders>
            <w:shd w:val="clear" w:color="auto" w:fill="auto"/>
            <w:vAlign w:val="center"/>
            <w:hideMark/>
          </w:tcPr>
          <w:p w14:paraId="2DD30AD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25,3</w:t>
            </w:r>
          </w:p>
        </w:tc>
        <w:tc>
          <w:tcPr>
            <w:tcW w:w="929" w:type="dxa"/>
            <w:tcBorders>
              <w:top w:val="nil"/>
              <w:left w:val="nil"/>
              <w:bottom w:val="single" w:sz="4" w:space="0" w:color="auto"/>
              <w:right w:val="single" w:sz="4" w:space="0" w:color="auto"/>
            </w:tcBorders>
            <w:shd w:val="clear" w:color="auto" w:fill="auto"/>
            <w:vAlign w:val="center"/>
            <w:hideMark/>
          </w:tcPr>
          <w:p w14:paraId="1454276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15,3</w:t>
            </w:r>
          </w:p>
        </w:tc>
        <w:tc>
          <w:tcPr>
            <w:tcW w:w="941" w:type="dxa"/>
            <w:tcBorders>
              <w:top w:val="nil"/>
              <w:left w:val="nil"/>
              <w:bottom w:val="single" w:sz="4" w:space="0" w:color="auto"/>
              <w:right w:val="single" w:sz="4" w:space="0" w:color="auto"/>
            </w:tcBorders>
            <w:shd w:val="clear" w:color="auto" w:fill="auto"/>
            <w:vAlign w:val="center"/>
            <w:hideMark/>
          </w:tcPr>
          <w:p w14:paraId="7B78B54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020" w:type="dxa"/>
            <w:tcBorders>
              <w:top w:val="nil"/>
              <w:left w:val="nil"/>
              <w:bottom w:val="single" w:sz="4" w:space="0" w:color="auto"/>
              <w:right w:val="double" w:sz="6" w:space="0" w:color="auto"/>
            </w:tcBorders>
            <w:shd w:val="clear" w:color="auto" w:fill="auto"/>
            <w:vAlign w:val="center"/>
            <w:hideMark/>
          </w:tcPr>
          <w:p w14:paraId="60CFE96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99,6</w:t>
            </w:r>
          </w:p>
        </w:tc>
      </w:tr>
      <w:tr w:rsidR="00FD7B0B" w:rsidRPr="00FD7B0B" w14:paraId="087DC797" w14:textId="77777777" w:rsidTr="00D64442">
        <w:trPr>
          <w:trHeight w:val="43"/>
        </w:trPr>
        <w:tc>
          <w:tcPr>
            <w:tcW w:w="3096" w:type="dxa"/>
            <w:tcBorders>
              <w:top w:val="nil"/>
              <w:left w:val="double" w:sz="6" w:space="0" w:color="auto"/>
              <w:bottom w:val="single" w:sz="4" w:space="0" w:color="auto"/>
              <w:right w:val="single" w:sz="4" w:space="0" w:color="auto"/>
            </w:tcBorders>
            <w:shd w:val="clear" w:color="auto" w:fill="auto"/>
            <w:vAlign w:val="bottom"/>
            <w:hideMark/>
          </w:tcPr>
          <w:p w14:paraId="7386C0A1"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КПМ «Право быть равным»</w:t>
            </w:r>
          </w:p>
        </w:tc>
        <w:tc>
          <w:tcPr>
            <w:tcW w:w="926" w:type="dxa"/>
            <w:tcBorders>
              <w:top w:val="nil"/>
              <w:left w:val="nil"/>
              <w:bottom w:val="single" w:sz="4" w:space="0" w:color="auto"/>
              <w:right w:val="single" w:sz="4" w:space="0" w:color="auto"/>
            </w:tcBorders>
            <w:shd w:val="clear" w:color="auto" w:fill="auto"/>
            <w:vAlign w:val="center"/>
            <w:hideMark/>
          </w:tcPr>
          <w:p w14:paraId="1398D6A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18,0</w:t>
            </w:r>
          </w:p>
        </w:tc>
        <w:tc>
          <w:tcPr>
            <w:tcW w:w="929" w:type="dxa"/>
            <w:tcBorders>
              <w:top w:val="nil"/>
              <w:left w:val="nil"/>
              <w:bottom w:val="single" w:sz="4" w:space="0" w:color="auto"/>
              <w:right w:val="single" w:sz="4" w:space="0" w:color="auto"/>
            </w:tcBorders>
            <w:shd w:val="clear" w:color="auto" w:fill="auto"/>
            <w:vAlign w:val="center"/>
            <w:hideMark/>
          </w:tcPr>
          <w:p w14:paraId="696F896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30" w:type="dxa"/>
            <w:tcBorders>
              <w:top w:val="nil"/>
              <w:left w:val="nil"/>
              <w:bottom w:val="single" w:sz="4" w:space="0" w:color="auto"/>
              <w:right w:val="single" w:sz="4" w:space="0" w:color="auto"/>
            </w:tcBorders>
            <w:shd w:val="clear" w:color="auto" w:fill="auto"/>
            <w:vAlign w:val="center"/>
            <w:hideMark/>
          </w:tcPr>
          <w:p w14:paraId="76F6175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18,0</w:t>
            </w:r>
          </w:p>
        </w:tc>
        <w:tc>
          <w:tcPr>
            <w:tcW w:w="927" w:type="dxa"/>
            <w:tcBorders>
              <w:top w:val="nil"/>
              <w:left w:val="nil"/>
              <w:bottom w:val="single" w:sz="4" w:space="0" w:color="auto"/>
              <w:right w:val="single" w:sz="4" w:space="0" w:color="auto"/>
            </w:tcBorders>
            <w:shd w:val="clear" w:color="auto" w:fill="auto"/>
            <w:vAlign w:val="center"/>
            <w:hideMark/>
          </w:tcPr>
          <w:p w14:paraId="59EB55C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18,0</w:t>
            </w:r>
          </w:p>
        </w:tc>
        <w:tc>
          <w:tcPr>
            <w:tcW w:w="929" w:type="dxa"/>
            <w:tcBorders>
              <w:top w:val="nil"/>
              <w:left w:val="nil"/>
              <w:bottom w:val="single" w:sz="4" w:space="0" w:color="auto"/>
              <w:right w:val="single" w:sz="4" w:space="0" w:color="auto"/>
            </w:tcBorders>
            <w:shd w:val="clear" w:color="auto" w:fill="auto"/>
            <w:vAlign w:val="center"/>
            <w:hideMark/>
          </w:tcPr>
          <w:p w14:paraId="34468B0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941" w:type="dxa"/>
            <w:tcBorders>
              <w:top w:val="nil"/>
              <w:left w:val="nil"/>
              <w:bottom w:val="single" w:sz="4" w:space="0" w:color="auto"/>
              <w:right w:val="single" w:sz="4" w:space="0" w:color="auto"/>
            </w:tcBorders>
            <w:shd w:val="clear" w:color="auto" w:fill="auto"/>
            <w:vAlign w:val="center"/>
            <w:hideMark/>
          </w:tcPr>
          <w:p w14:paraId="1150A6A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18,0</w:t>
            </w:r>
          </w:p>
        </w:tc>
        <w:tc>
          <w:tcPr>
            <w:tcW w:w="1020" w:type="dxa"/>
            <w:tcBorders>
              <w:top w:val="nil"/>
              <w:left w:val="nil"/>
              <w:bottom w:val="single" w:sz="4" w:space="0" w:color="auto"/>
              <w:right w:val="double" w:sz="6" w:space="0" w:color="auto"/>
            </w:tcBorders>
            <w:shd w:val="clear" w:color="auto" w:fill="auto"/>
            <w:vAlign w:val="center"/>
            <w:hideMark/>
          </w:tcPr>
          <w:p w14:paraId="5E15E1A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71470BDA" w14:textId="77777777" w:rsidTr="00D64442">
        <w:trPr>
          <w:trHeight w:val="186"/>
        </w:trPr>
        <w:tc>
          <w:tcPr>
            <w:tcW w:w="3096" w:type="dxa"/>
            <w:tcBorders>
              <w:top w:val="nil"/>
              <w:left w:val="double" w:sz="6" w:space="0" w:color="auto"/>
              <w:bottom w:val="single" w:sz="4" w:space="0" w:color="auto"/>
              <w:right w:val="single" w:sz="4" w:space="0" w:color="auto"/>
            </w:tcBorders>
            <w:shd w:val="clear" w:color="auto" w:fill="auto"/>
            <w:noWrap/>
            <w:vAlign w:val="bottom"/>
            <w:hideMark/>
          </w:tcPr>
          <w:p w14:paraId="5C5EA71F"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w:t>
            </w:r>
          </w:p>
        </w:tc>
        <w:tc>
          <w:tcPr>
            <w:tcW w:w="926" w:type="dxa"/>
            <w:tcBorders>
              <w:top w:val="nil"/>
              <w:left w:val="nil"/>
              <w:bottom w:val="single" w:sz="4" w:space="0" w:color="auto"/>
              <w:right w:val="single" w:sz="4" w:space="0" w:color="auto"/>
            </w:tcBorders>
            <w:shd w:val="clear" w:color="auto" w:fill="auto"/>
            <w:vAlign w:val="center"/>
            <w:hideMark/>
          </w:tcPr>
          <w:p w14:paraId="363E441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17 056,8</w:t>
            </w:r>
          </w:p>
        </w:tc>
        <w:tc>
          <w:tcPr>
            <w:tcW w:w="929" w:type="dxa"/>
            <w:tcBorders>
              <w:top w:val="nil"/>
              <w:left w:val="nil"/>
              <w:bottom w:val="single" w:sz="4" w:space="0" w:color="auto"/>
              <w:right w:val="single" w:sz="4" w:space="0" w:color="auto"/>
            </w:tcBorders>
            <w:shd w:val="clear" w:color="auto" w:fill="auto"/>
            <w:noWrap/>
            <w:vAlign w:val="center"/>
            <w:hideMark/>
          </w:tcPr>
          <w:p w14:paraId="0DC76C3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3 277,8</w:t>
            </w:r>
          </w:p>
        </w:tc>
        <w:tc>
          <w:tcPr>
            <w:tcW w:w="930" w:type="dxa"/>
            <w:tcBorders>
              <w:top w:val="nil"/>
              <w:left w:val="nil"/>
              <w:bottom w:val="single" w:sz="4" w:space="0" w:color="auto"/>
              <w:right w:val="single" w:sz="4" w:space="0" w:color="auto"/>
            </w:tcBorders>
            <w:shd w:val="clear" w:color="auto" w:fill="auto"/>
            <w:noWrap/>
            <w:vAlign w:val="center"/>
            <w:hideMark/>
          </w:tcPr>
          <w:p w14:paraId="3690555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13 779,0</w:t>
            </w:r>
          </w:p>
        </w:tc>
        <w:tc>
          <w:tcPr>
            <w:tcW w:w="927" w:type="dxa"/>
            <w:tcBorders>
              <w:top w:val="nil"/>
              <w:left w:val="nil"/>
              <w:bottom w:val="single" w:sz="4" w:space="0" w:color="auto"/>
              <w:right w:val="single" w:sz="4" w:space="0" w:color="auto"/>
            </w:tcBorders>
            <w:shd w:val="clear" w:color="auto" w:fill="auto"/>
            <w:vAlign w:val="center"/>
            <w:hideMark/>
          </w:tcPr>
          <w:p w14:paraId="5A27147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17 045,0</w:t>
            </w:r>
          </w:p>
        </w:tc>
        <w:tc>
          <w:tcPr>
            <w:tcW w:w="929" w:type="dxa"/>
            <w:tcBorders>
              <w:top w:val="nil"/>
              <w:left w:val="nil"/>
              <w:bottom w:val="single" w:sz="4" w:space="0" w:color="auto"/>
              <w:right w:val="single" w:sz="4" w:space="0" w:color="auto"/>
            </w:tcBorders>
            <w:shd w:val="clear" w:color="auto" w:fill="auto"/>
            <w:noWrap/>
            <w:vAlign w:val="center"/>
            <w:hideMark/>
          </w:tcPr>
          <w:p w14:paraId="284910F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3 276,0</w:t>
            </w:r>
          </w:p>
        </w:tc>
        <w:tc>
          <w:tcPr>
            <w:tcW w:w="941" w:type="dxa"/>
            <w:tcBorders>
              <w:top w:val="nil"/>
              <w:left w:val="nil"/>
              <w:bottom w:val="single" w:sz="4" w:space="0" w:color="auto"/>
              <w:right w:val="single" w:sz="4" w:space="0" w:color="auto"/>
            </w:tcBorders>
            <w:shd w:val="clear" w:color="auto" w:fill="auto"/>
            <w:noWrap/>
            <w:vAlign w:val="center"/>
            <w:hideMark/>
          </w:tcPr>
          <w:p w14:paraId="161CB79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13 769,0</w:t>
            </w:r>
          </w:p>
        </w:tc>
        <w:tc>
          <w:tcPr>
            <w:tcW w:w="1020" w:type="dxa"/>
            <w:tcBorders>
              <w:top w:val="nil"/>
              <w:left w:val="nil"/>
              <w:bottom w:val="single" w:sz="4" w:space="0" w:color="auto"/>
              <w:right w:val="double" w:sz="6" w:space="0" w:color="auto"/>
            </w:tcBorders>
            <w:shd w:val="clear" w:color="auto" w:fill="auto"/>
            <w:vAlign w:val="center"/>
            <w:hideMark/>
          </w:tcPr>
          <w:p w14:paraId="66BCBA6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7FA79C7B" w14:textId="77777777" w:rsidTr="00D64442">
        <w:trPr>
          <w:trHeight w:val="89"/>
        </w:trPr>
        <w:tc>
          <w:tcPr>
            <w:tcW w:w="6808" w:type="dxa"/>
            <w:gridSpan w:val="5"/>
            <w:tcBorders>
              <w:top w:val="single" w:sz="4" w:space="0" w:color="auto"/>
              <w:left w:val="double" w:sz="6" w:space="0" w:color="auto"/>
              <w:bottom w:val="single" w:sz="4" w:space="0" w:color="auto"/>
              <w:right w:val="single" w:sz="4" w:space="0" w:color="auto"/>
            </w:tcBorders>
            <w:shd w:val="clear" w:color="auto" w:fill="auto"/>
            <w:vAlign w:val="bottom"/>
            <w:hideMark/>
          </w:tcPr>
          <w:p w14:paraId="4D9EAA9F"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Кроме того,</w:t>
            </w:r>
          </w:p>
        </w:tc>
        <w:tc>
          <w:tcPr>
            <w:tcW w:w="929" w:type="dxa"/>
            <w:tcBorders>
              <w:top w:val="nil"/>
              <w:left w:val="nil"/>
              <w:bottom w:val="single" w:sz="4" w:space="0" w:color="auto"/>
              <w:right w:val="single" w:sz="4" w:space="0" w:color="auto"/>
            </w:tcBorders>
            <w:shd w:val="clear" w:color="auto" w:fill="auto"/>
            <w:vAlign w:val="bottom"/>
            <w:hideMark/>
          </w:tcPr>
          <w:p w14:paraId="5B047C7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941" w:type="dxa"/>
            <w:tcBorders>
              <w:top w:val="nil"/>
              <w:left w:val="nil"/>
              <w:bottom w:val="single" w:sz="4" w:space="0" w:color="auto"/>
              <w:right w:val="single" w:sz="4" w:space="0" w:color="auto"/>
            </w:tcBorders>
            <w:shd w:val="clear" w:color="auto" w:fill="auto"/>
            <w:vAlign w:val="bottom"/>
            <w:hideMark/>
          </w:tcPr>
          <w:p w14:paraId="5628A25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Расходы</w:t>
            </w:r>
          </w:p>
        </w:tc>
        <w:tc>
          <w:tcPr>
            <w:tcW w:w="1020" w:type="dxa"/>
            <w:tcBorders>
              <w:top w:val="nil"/>
              <w:left w:val="nil"/>
              <w:bottom w:val="single" w:sz="4" w:space="0" w:color="auto"/>
              <w:right w:val="double" w:sz="6" w:space="0" w:color="auto"/>
            </w:tcBorders>
            <w:shd w:val="clear" w:color="auto" w:fill="auto"/>
            <w:vAlign w:val="bottom"/>
            <w:hideMark/>
          </w:tcPr>
          <w:p w14:paraId="6FEA03F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испол.</w:t>
            </w:r>
          </w:p>
        </w:tc>
      </w:tr>
      <w:tr w:rsidR="00FD7B0B" w:rsidRPr="00FD7B0B" w14:paraId="3E455972" w14:textId="77777777" w:rsidTr="00D64442">
        <w:trPr>
          <w:trHeight w:val="57"/>
        </w:trPr>
        <w:tc>
          <w:tcPr>
            <w:tcW w:w="6808" w:type="dxa"/>
            <w:gridSpan w:val="5"/>
            <w:tcBorders>
              <w:top w:val="single" w:sz="4" w:space="0" w:color="auto"/>
              <w:left w:val="double" w:sz="6" w:space="0" w:color="auto"/>
              <w:bottom w:val="single" w:sz="4" w:space="0" w:color="auto"/>
              <w:right w:val="single" w:sz="4" w:space="0" w:color="auto"/>
            </w:tcBorders>
            <w:shd w:val="clear" w:color="auto" w:fill="auto"/>
            <w:vAlign w:val="bottom"/>
            <w:hideMark/>
          </w:tcPr>
          <w:p w14:paraId="5C2B14E4"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местный бюджет по КПМ «Развитие системы отдыха и оздоровления детей»</w:t>
            </w:r>
          </w:p>
        </w:tc>
        <w:tc>
          <w:tcPr>
            <w:tcW w:w="929" w:type="dxa"/>
            <w:tcBorders>
              <w:top w:val="nil"/>
              <w:left w:val="nil"/>
              <w:bottom w:val="single" w:sz="4" w:space="0" w:color="auto"/>
              <w:right w:val="single" w:sz="4" w:space="0" w:color="auto"/>
            </w:tcBorders>
            <w:shd w:val="clear" w:color="auto" w:fill="auto"/>
            <w:noWrap/>
            <w:vAlign w:val="center"/>
            <w:hideMark/>
          </w:tcPr>
          <w:p w14:paraId="7BCD528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941" w:type="dxa"/>
            <w:tcBorders>
              <w:top w:val="nil"/>
              <w:left w:val="nil"/>
              <w:bottom w:val="single" w:sz="4" w:space="0" w:color="auto"/>
              <w:right w:val="single" w:sz="4" w:space="0" w:color="auto"/>
            </w:tcBorders>
            <w:shd w:val="clear" w:color="auto" w:fill="auto"/>
            <w:vAlign w:val="center"/>
            <w:hideMark/>
          </w:tcPr>
          <w:p w14:paraId="0EE508B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1020" w:type="dxa"/>
            <w:tcBorders>
              <w:top w:val="nil"/>
              <w:left w:val="nil"/>
              <w:bottom w:val="single" w:sz="4" w:space="0" w:color="auto"/>
              <w:right w:val="double" w:sz="6" w:space="0" w:color="auto"/>
            </w:tcBorders>
            <w:shd w:val="clear" w:color="auto" w:fill="auto"/>
            <w:vAlign w:val="center"/>
            <w:hideMark/>
          </w:tcPr>
          <w:p w14:paraId="038C73D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2B392F" w:rsidRPr="00FD7B0B" w14:paraId="7DF8BD96" w14:textId="77777777" w:rsidTr="00D64442">
        <w:trPr>
          <w:trHeight w:val="613"/>
        </w:trPr>
        <w:tc>
          <w:tcPr>
            <w:tcW w:w="6808" w:type="dxa"/>
            <w:gridSpan w:val="5"/>
            <w:tcBorders>
              <w:top w:val="single" w:sz="4" w:space="0" w:color="auto"/>
              <w:left w:val="double" w:sz="6" w:space="0" w:color="auto"/>
              <w:bottom w:val="double" w:sz="6" w:space="0" w:color="auto"/>
              <w:right w:val="single" w:sz="4" w:space="0" w:color="auto"/>
            </w:tcBorders>
            <w:shd w:val="clear" w:color="auto" w:fill="auto"/>
            <w:vAlign w:val="bottom"/>
            <w:hideMark/>
          </w:tcPr>
          <w:p w14:paraId="05854FCC" w14:textId="77777777" w:rsidR="002B392F" w:rsidRPr="00FD7B0B" w:rsidRDefault="002B392F" w:rsidP="00C3794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внебюджетные источники по КПМ «Меры социальной поддержки отдельным категориям граждан, проживающим на территории Архангельской области»</w:t>
            </w:r>
          </w:p>
        </w:tc>
        <w:tc>
          <w:tcPr>
            <w:tcW w:w="929" w:type="dxa"/>
            <w:tcBorders>
              <w:top w:val="nil"/>
              <w:left w:val="nil"/>
              <w:bottom w:val="double" w:sz="6" w:space="0" w:color="auto"/>
              <w:right w:val="single" w:sz="4" w:space="0" w:color="auto"/>
            </w:tcBorders>
            <w:shd w:val="clear" w:color="auto" w:fill="auto"/>
            <w:noWrap/>
            <w:vAlign w:val="center"/>
            <w:hideMark/>
          </w:tcPr>
          <w:p w14:paraId="6652EF5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9325,2</w:t>
            </w:r>
          </w:p>
        </w:tc>
        <w:tc>
          <w:tcPr>
            <w:tcW w:w="941" w:type="dxa"/>
            <w:tcBorders>
              <w:top w:val="nil"/>
              <w:left w:val="nil"/>
              <w:bottom w:val="double" w:sz="6" w:space="0" w:color="auto"/>
              <w:right w:val="single" w:sz="4" w:space="0" w:color="auto"/>
            </w:tcBorders>
            <w:shd w:val="clear" w:color="auto" w:fill="auto"/>
            <w:noWrap/>
            <w:vAlign w:val="center"/>
            <w:hideMark/>
          </w:tcPr>
          <w:p w14:paraId="16B5D41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9325,2</w:t>
            </w:r>
          </w:p>
        </w:tc>
        <w:tc>
          <w:tcPr>
            <w:tcW w:w="1020" w:type="dxa"/>
            <w:tcBorders>
              <w:top w:val="nil"/>
              <w:left w:val="nil"/>
              <w:bottom w:val="double" w:sz="6" w:space="0" w:color="auto"/>
              <w:right w:val="double" w:sz="6" w:space="0" w:color="auto"/>
            </w:tcBorders>
            <w:shd w:val="clear" w:color="auto" w:fill="auto"/>
            <w:vAlign w:val="center"/>
            <w:hideMark/>
          </w:tcPr>
          <w:p w14:paraId="5895981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bl>
    <w:p w14:paraId="4A8E20C6" w14:textId="77777777" w:rsidR="002B392F" w:rsidRPr="00FD7B0B" w:rsidRDefault="002B392F" w:rsidP="002B392F">
      <w:pPr>
        <w:spacing w:after="0" w:line="240" w:lineRule="auto"/>
        <w:ind w:firstLine="709"/>
        <w:jc w:val="both"/>
        <w:rPr>
          <w:rFonts w:ascii="Times New Roman" w:eastAsia="Times New Roman" w:hAnsi="Times New Roman"/>
          <w:sz w:val="28"/>
          <w:szCs w:val="28"/>
          <w:lang w:eastAsia="ru-RU"/>
        </w:rPr>
      </w:pPr>
    </w:p>
    <w:p w14:paraId="498C1A61" w14:textId="1ED21999" w:rsidR="002B392F" w:rsidRPr="00FD7B0B" w:rsidRDefault="002B392F" w:rsidP="002B392F">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Расходы областного бюджета на реализацию госпрограммы за 2024 год, а также параметры, утвержденные в разрезе главных распорядителей и видов расх</w:t>
      </w:r>
      <w:r w:rsidR="00C37949" w:rsidRPr="00FD7B0B">
        <w:rPr>
          <w:rFonts w:ascii="Times New Roman" w:eastAsia="Times New Roman" w:hAnsi="Times New Roman"/>
          <w:sz w:val="28"/>
          <w:szCs w:val="28"/>
          <w:lang w:eastAsia="ru-RU"/>
        </w:rPr>
        <w:t xml:space="preserve">одов, представлены в таблице </w:t>
      </w:r>
      <w:r w:rsidR="001358BD" w:rsidRPr="00FD7B0B">
        <w:rPr>
          <w:rFonts w:ascii="Times New Roman" w:eastAsia="Times New Roman" w:hAnsi="Times New Roman"/>
          <w:sz w:val="28"/>
          <w:szCs w:val="28"/>
          <w:lang w:eastAsia="ru-RU"/>
        </w:rPr>
        <w:t>98</w:t>
      </w:r>
      <w:r w:rsidRPr="00FD7B0B">
        <w:rPr>
          <w:rFonts w:ascii="Times New Roman" w:eastAsia="Times New Roman" w:hAnsi="Times New Roman"/>
          <w:sz w:val="28"/>
          <w:szCs w:val="28"/>
          <w:lang w:eastAsia="ru-RU"/>
        </w:rPr>
        <w:t>.</w:t>
      </w:r>
    </w:p>
    <w:p w14:paraId="1EDCDBE6" w14:textId="77777777" w:rsidR="002B392F" w:rsidRPr="00FD7B0B" w:rsidRDefault="002B392F" w:rsidP="002B392F">
      <w:pPr>
        <w:spacing w:after="0" w:line="240" w:lineRule="auto"/>
        <w:ind w:firstLine="709"/>
        <w:contextualSpacing/>
        <w:jc w:val="both"/>
        <w:rPr>
          <w:rFonts w:ascii="Times New Roman" w:eastAsia="Times New Roman" w:hAnsi="Times New Roman"/>
          <w:sz w:val="28"/>
          <w:szCs w:val="28"/>
          <w:lang w:eastAsia="ru-RU"/>
        </w:rPr>
      </w:pPr>
    </w:p>
    <w:p w14:paraId="19ECC62C" w14:textId="77777777" w:rsidR="002B392F" w:rsidRPr="00FD7B0B" w:rsidRDefault="002B392F" w:rsidP="002B392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98</w:t>
      </w:r>
      <w:r w:rsidRPr="00FD7B0B">
        <w:rPr>
          <w:rFonts w:ascii="Times New Roman" w:hAnsi="Times New Roman"/>
          <w:b w:val="0"/>
          <w:sz w:val="24"/>
          <w:szCs w:val="24"/>
        </w:rPr>
        <w:fldChar w:fldCharType="end"/>
      </w:r>
      <w:r w:rsidRPr="00FD7B0B">
        <w:rPr>
          <w:rFonts w:ascii="Times New Roman" w:hAnsi="Times New Roman"/>
          <w:b w:val="0"/>
          <w:sz w:val="24"/>
          <w:szCs w:val="24"/>
        </w:rPr>
        <w:t>. Основные параметры утвержденных и исполненных расходов из областного бюджета за 2024 год на реализацию мероприятий ГП № 03, млн.руб.</w:t>
      </w:r>
    </w:p>
    <w:tbl>
      <w:tblPr>
        <w:tblW w:w="9761" w:type="dxa"/>
        <w:tblInd w:w="-23" w:type="dxa"/>
        <w:tblLayout w:type="fixed"/>
        <w:tblLook w:val="04A0" w:firstRow="1" w:lastRow="0" w:firstColumn="1" w:lastColumn="0" w:noHBand="0" w:noVBand="1"/>
      </w:tblPr>
      <w:tblGrid>
        <w:gridCol w:w="4536"/>
        <w:gridCol w:w="558"/>
        <w:gridCol w:w="1116"/>
        <w:gridCol w:w="1395"/>
        <w:gridCol w:w="977"/>
        <w:gridCol w:w="1179"/>
      </w:tblGrid>
      <w:tr w:rsidR="00FD7B0B" w:rsidRPr="00FD7B0B" w14:paraId="00486542" w14:textId="77777777" w:rsidTr="006B41E1">
        <w:trPr>
          <w:trHeight w:val="237"/>
          <w:tblHeader/>
        </w:trPr>
        <w:tc>
          <w:tcPr>
            <w:tcW w:w="4536" w:type="dxa"/>
            <w:vMerge w:val="restart"/>
            <w:tcBorders>
              <w:top w:val="double" w:sz="6" w:space="0" w:color="auto"/>
              <w:left w:val="double" w:sz="6" w:space="0" w:color="auto"/>
              <w:bottom w:val="single" w:sz="4" w:space="0" w:color="auto"/>
              <w:right w:val="single" w:sz="4" w:space="0" w:color="auto"/>
            </w:tcBorders>
            <w:shd w:val="clear" w:color="000000" w:fill="FFFFFF"/>
            <w:vAlign w:val="center"/>
            <w:hideMark/>
          </w:tcPr>
          <w:p w14:paraId="2B7B41A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w:t>
            </w:r>
          </w:p>
        </w:tc>
        <w:tc>
          <w:tcPr>
            <w:tcW w:w="558" w:type="dxa"/>
            <w:vMerge w:val="restart"/>
            <w:tcBorders>
              <w:top w:val="double" w:sz="6" w:space="0" w:color="auto"/>
              <w:left w:val="single" w:sz="4" w:space="0" w:color="auto"/>
              <w:bottom w:val="single" w:sz="4" w:space="0" w:color="auto"/>
              <w:right w:val="single" w:sz="4" w:space="0" w:color="auto"/>
            </w:tcBorders>
            <w:shd w:val="clear" w:color="000000" w:fill="FFFFFF"/>
            <w:vAlign w:val="center"/>
            <w:hideMark/>
          </w:tcPr>
          <w:p w14:paraId="3291877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КОСГУ</w:t>
            </w:r>
          </w:p>
        </w:tc>
        <w:tc>
          <w:tcPr>
            <w:tcW w:w="2511" w:type="dxa"/>
            <w:gridSpan w:val="2"/>
            <w:tcBorders>
              <w:top w:val="double" w:sz="6" w:space="0" w:color="auto"/>
              <w:left w:val="nil"/>
              <w:bottom w:val="single" w:sz="4" w:space="0" w:color="auto"/>
              <w:right w:val="single" w:sz="4" w:space="0" w:color="auto"/>
            </w:tcBorders>
            <w:shd w:val="clear" w:color="auto" w:fill="auto"/>
            <w:vAlign w:val="center"/>
            <w:hideMark/>
          </w:tcPr>
          <w:p w14:paraId="1405DE9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 2024 года, млн.руб.</w:t>
            </w:r>
          </w:p>
        </w:tc>
        <w:tc>
          <w:tcPr>
            <w:tcW w:w="2156" w:type="dxa"/>
            <w:gridSpan w:val="2"/>
            <w:tcBorders>
              <w:top w:val="double" w:sz="6" w:space="0" w:color="auto"/>
              <w:left w:val="nil"/>
              <w:bottom w:val="single" w:sz="4" w:space="0" w:color="auto"/>
              <w:right w:val="double" w:sz="6" w:space="0" w:color="000000"/>
            </w:tcBorders>
            <w:shd w:val="clear" w:color="auto" w:fill="auto"/>
            <w:vAlign w:val="center"/>
            <w:hideMark/>
          </w:tcPr>
          <w:p w14:paraId="4039B10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Исполнение на 31.12.2024</w:t>
            </w:r>
          </w:p>
        </w:tc>
      </w:tr>
      <w:tr w:rsidR="00FD7B0B" w:rsidRPr="00FD7B0B" w14:paraId="34FAE9D6" w14:textId="77777777" w:rsidTr="006B41E1">
        <w:trPr>
          <w:trHeight w:val="1010"/>
          <w:tblHeader/>
        </w:trPr>
        <w:tc>
          <w:tcPr>
            <w:tcW w:w="4536" w:type="dxa"/>
            <w:vMerge/>
            <w:tcBorders>
              <w:top w:val="double" w:sz="6" w:space="0" w:color="auto"/>
              <w:left w:val="double" w:sz="6" w:space="0" w:color="auto"/>
              <w:bottom w:val="single" w:sz="4" w:space="0" w:color="auto"/>
              <w:right w:val="single" w:sz="4" w:space="0" w:color="auto"/>
            </w:tcBorders>
            <w:vAlign w:val="center"/>
            <w:hideMark/>
          </w:tcPr>
          <w:p w14:paraId="74614C0C"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558" w:type="dxa"/>
            <w:vMerge/>
            <w:tcBorders>
              <w:top w:val="double" w:sz="6" w:space="0" w:color="auto"/>
              <w:left w:val="single" w:sz="4" w:space="0" w:color="auto"/>
              <w:bottom w:val="single" w:sz="4" w:space="0" w:color="auto"/>
              <w:right w:val="single" w:sz="4" w:space="0" w:color="auto"/>
            </w:tcBorders>
            <w:vAlign w:val="center"/>
            <w:hideMark/>
          </w:tcPr>
          <w:p w14:paraId="53AF559B"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1116" w:type="dxa"/>
            <w:tcBorders>
              <w:top w:val="nil"/>
              <w:left w:val="nil"/>
              <w:bottom w:val="single" w:sz="4" w:space="0" w:color="auto"/>
              <w:right w:val="single" w:sz="4" w:space="0" w:color="auto"/>
            </w:tcBorders>
            <w:shd w:val="clear" w:color="auto" w:fill="auto"/>
            <w:vAlign w:val="center"/>
            <w:hideMark/>
          </w:tcPr>
          <w:p w14:paraId="0873FD1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Утверждено на год законом о бюджете</w:t>
            </w:r>
          </w:p>
        </w:tc>
        <w:tc>
          <w:tcPr>
            <w:tcW w:w="1395" w:type="dxa"/>
            <w:tcBorders>
              <w:top w:val="nil"/>
              <w:left w:val="nil"/>
              <w:bottom w:val="single" w:sz="4" w:space="0" w:color="auto"/>
              <w:right w:val="single" w:sz="4" w:space="0" w:color="auto"/>
            </w:tcBorders>
            <w:shd w:val="clear" w:color="auto" w:fill="auto"/>
            <w:vAlign w:val="center"/>
            <w:hideMark/>
          </w:tcPr>
          <w:p w14:paraId="64C136C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Сводная бюджетная роспись на 2024 год</w:t>
            </w:r>
          </w:p>
        </w:tc>
        <w:tc>
          <w:tcPr>
            <w:tcW w:w="977" w:type="dxa"/>
            <w:tcBorders>
              <w:top w:val="nil"/>
              <w:left w:val="nil"/>
              <w:bottom w:val="single" w:sz="4" w:space="0" w:color="auto"/>
              <w:right w:val="single" w:sz="4" w:space="0" w:color="auto"/>
            </w:tcBorders>
            <w:shd w:val="clear" w:color="auto" w:fill="auto"/>
            <w:vAlign w:val="center"/>
            <w:hideMark/>
          </w:tcPr>
          <w:p w14:paraId="635EEE1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на 2024 год, млн.руб.</w:t>
            </w:r>
          </w:p>
        </w:tc>
        <w:tc>
          <w:tcPr>
            <w:tcW w:w="1179" w:type="dxa"/>
            <w:tcBorders>
              <w:top w:val="nil"/>
              <w:left w:val="nil"/>
              <w:bottom w:val="single" w:sz="4" w:space="0" w:color="auto"/>
              <w:right w:val="double" w:sz="6" w:space="0" w:color="auto"/>
            </w:tcBorders>
            <w:shd w:val="clear" w:color="auto" w:fill="auto"/>
            <w:vAlign w:val="center"/>
            <w:hideMark/>
          </w:tcPr>
          <w:p w14:paraId="4BE1EAD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к сводной бюджетной росписи на год</w:t>
            </w:r>
          </w:p>
        </w:tc>
      </w:tr>
      <w:tr w:rsidR="00FD7B0B" w:rsidRPr="00FD7B0B" w14:paraId="2046EAF1" w14:textId="77777777" w:rsidTr="006B41E1">
        <w:trPr>
          <w:trHeight w:val="92"/>
        </w:trPr>
        <w:tc>
          <w:tcPr>
            <w:tcW w:w="4536" w:type="dxa"/>
            <w:tcBorders>
              <w:top w:val="nil"/>
              <w:left w:val="double" w:sz="6" w:space="0" w:color="auto"/>
              <w:bottom w:val="single" w:sz="4" w:space="0" w:color="auto"/>
              <w:right w:val="single" w:sz="4" w:space="0" w:color="auto"/>
            </w:tcBorders>
            <w:shd w:val="clear" w:color="000000" w:fill="FEF1E7"/>
            <w:noWrap/>
            <w:vAlign w:val="bottom"/>
            <w:hideMark/>
          </w:tcPr>
          <w:p w14:paraId="18E98545"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Министерство строительства и архитектуры</w:t>
            </w:r>
          </w:p>
        </w:tc>
        <w:tc>
          <w:tcPr>
            <w:tcW w:w="558" w:type="dxa"/>
            <w:tcBorders>
              <w:top w:val="nil"/>
              <w:left w:val="nil"/>
              <w:bottom w:val="single" w:sz="4" w:space="0" w:color="auto"/>
              <w:right w:val="single" w:sz="4" w:space="0" w:color="auto"/>
            </w:tcBorders>
            <w:shd w:val="clear" w:color="000000" w:fill="FEF1E7"/>
            <w:noWrap/>
            <w:vAlign w:val="center"/>
            <w:hideMark/>
          </w:tcPr>
          <w:p w14:paraId="51AA6954" w14:textId="5A6093C2"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p>
        </w:tc>
        <w:tc>
          <w:tcPr>
            <w:tcW w:w="1116" w:type="dxa"/>
            <w:tcBorders>
              <w:top w:val="nil"/>
              <w:left w:val="nil"/>
              <w:bottom w:val="single" w:sz="4" w:space="0" w:color="auto"/>
              <w:right w:val="single" w:sz="4" w:space="0" w:color="auto"/>
            </w:tcBorders>
            <w:shd w:val="clear" w:color="000000" w:fill="FEF1E7"/>
            <w:noWrap/>
            <w:vAlign w:val="center"/>
            <w:hideMark/>
          </w:tcPr>
          <w:p w14:paraId="11979D6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w:t>
            </w:r>
          </w:p>
        </w:tc>
        <w:tc>
          <w:tcPr>
            <w:tcW w:w="1395" w:type="dxa"/>
            <w:tcBorders>
              <w:top w:val="nil"/>
              <w:left w:val="nil"/>
              <w:bottom w:val="single" w:sz="4" w:space="0" w:color="auto"/>
              <w:right w:val="single" w:sz="4" w:space="0" w:color="auto"/>
            </w:tcBorders>
            <w:shd w:val="clear" w:color="000000" w:fill="FEF1E7"/>
            <w:noWrap/>
            <w:vAlign w:val="center"/>
            <w:hideMark/>
          </w:tcPr>
          <w:p w14:paraId="007D27E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w:t>
            </w:r>
          </w:p>
        </w:tc>
        <w:tc>
          <w:tcPr>
            <w:tcW w:w="977" w:type="dxa"/>
            <w:tcBorders>
              <w:top w:val="nil"/>
              <w:left w:val="nil"/>
              <w:bottom w:val="single" w:sz="4" w:space="0" w:color="auto"/>
              <w:right w:val="single" w:sz="4" w:space="0" w:color="auto"/>
            </w:tcBorders>
            <w:shd w:val="clear" w:color="000000" w:fill="FEF1E7"/>
            <w:noWrap/>
            <w:vAlign w:val="center"/>
            <w:hideMark/>
          </w:tcPr>
          <w:p w14:paraId="5C70429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w:t>
            </w:r>
          </w:p>
        </w:tc>
        <w:tc>
          <w:tcPr>
            <w:tcW w:w="1179" w:type="dxa"/>
            <w:tcBorders>
              <w:top w:val="nil"/>
              <w:left w:val="nil"/>
              <w:bottom w:val="single" w:sz="4" w:space="0" w:color="auto"/>
              <w:right w:val="double" w:sz="6" w:space="0" w:color="auto"/>
            </w:tcBorders>
            <w:shd w:val="clear" w:color="000000" w:fill="FEF1E7"/>
            <w:noWrap/>
            <w:vAlign w:val="center"/>
            <w:hideMark/>
          </w:tcPr>
          <w:p w14:paraId="59B8C41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7D76CFD" w14:textId="77777777" w:rsidTr="006B41E1">
        <w:trPr>
          <w:trHeight w:val="421"/>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5BAFD174"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закупки товаров, работ и услуг для обеспечения государственных нужд</w:t>
            </w:r>
          </w:p>
        </w:tc>
        <w:tc>
          <w:tcPr>
            <w:tcW w:w="558" w:type="dxa"/>
            <w:tcBorders>
              <w:top w:val="nil"/>
              <w:left w:val="nil"/>
              <w:bottom w:val="single" w:sz="4" w:space="0" w:color="auto"/>
              <w:right w:val="single" w:sz="4" w:space="0" w:color="auto"/>
            </w:tcBorders>
            <w:shd w:val="clear" w:color="auto" w:fill="auto"/>
            <w:noWrap/>
            <w:vAlign w:val="center"/>
            <w:hideMark/>
          </w:tcPr>
          <w:p w14:paraId="030327EF"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w:t>
            </w:r>
          </w:p>
        </w:tc>
        <w:tc>
          <w:tcPr>
            <w:tcW w:w="1116" w:type="dxa"/>
            <w:tcBorders>
              <w:top w:val="nil"/>
              <w:left w:val="nil"/>
              <w:bottom w:val="single" w:sz="4" w:space="0" w:color="auto"/>
              <w:right w:val="single" w:sz="4" w:space="0" w:color="auto"/>
            </w:tcBorders>
            <w:shd w:val="clear" w:color="auto" w:fill="auto"/>
            <w:noWrap/>
            <w:vAlign w:val="center"/>
            <w:hideMark/>
          </w:tcPr>
          <w:p w14:paraId="2B1FB8A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w:t>
            </w:r>
          </w:p>
        </w:tc>
        <w:tc>
          <w:tcPr>
            <w:tcW w:w="1395" w:type="dxa"/>
            <w:tcBorders>
              <w:top w:val="nil"/>
              <w:left w:val="nil"/>
              <w:bottom w:val="single" w:sz="4" w:space="0" w:color="auto"/>
              <w:right w:val="single" w:sz="4" w:space="0" w:color="auto"/>
            </w:tcBorders>
            <w:shd w:val="clear" w:color="auto" w:fill="auto"/>
            <w:noWrap/>
            <w:vAlign w:val="center"/>
            <w:hideMark/>
          </w:tcPr>
          <w:p w14:paraId="7AFC3E7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w:t>
            </w:r>
          </w:p>
        </w:tc>
        <w:tc>
          <w:tcPr>
            <w:tcW w:w="977" w:type="dxa"/>
            <w:tcBorders>
              <w:top w:val="nil"/>
              <w:left w:val="nil"/>
              <w:bottom w:val="single" w:sz="4" w:space="0" w:color="auto"/>
              <w:right w:val="single" w:sz="4" w:space="0" w:color="auto"/>
            </w:tcBorders>
            <w:shd w:val="clear" w:color="auto" w:fill="auto"/>
            <w:noWrap/>
            <w:vAlign w:val="center"/>
            <w:hideMark/>
          </w:tcPr>
          <w:p w14:paraId="39F5D4A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w:t>
            </w:r>
          </w:p>
        </w:tc>
        <w:tc>
          <w:tcPr>
            <w:tcW w:w="1179" w:type="dxa"/>
            <w:tcBorders>
              <w:top w:val="nil"/>
              <w:left w:val="nil"/>
              <w:bottom w:val="single" w:sz="4" w:space="0" w:color="auto"/>
              <w:right w:val="double" w:sz="6" w:space="0" w:color="auto"/>
            </w:tcBorders>
            <w:shd w:val="clear" w:color="auto" w:fill="auto"/>
            <w:noWrap/>
            <w:vAlign w:val="center"/>
            <w:hideMark/>
          </w:tcPr>
          <w:p w14:paraId="26EC71D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A0BCFA0" w14:textId="77777777" w:rsidTr="006B41E1">
        <w:trPr>
          <w:trHeight w:val="88"/>
        </w:trPr>
        <w:tc>
          <w:tcPr>
            <w:tcW w:w="4536" w:type="dxa"/>
            <w:tcBorders>
              <w:top w:val="nil"/>
              <w:left w:val="double" w:sz="6" w:space="0" w:color="auto"/>
              <w:bottom w:val="single" w:sz="4" w:space="0" w:color="auto"/>
              <w:right w:val="single" w:sz="4" w:space="0" w:color="auto"/>
            </w:tcBorders>
            <w:shd w:val="clear" w:color="000000" w:fill="FEF1E7"/>
            <w:vAlign w:val="bottom"/>
            <w:hideMark/>
          </w:tcPr>
          <w:p w14:paraId="7E7D0EBB"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Министерство здравоохранения</w:t>
            </w:r>
          </w:p>
        </w:tc>
        <w:tc>
          <w:tcPr>
            <w:tcW w:w="558" w:type="dxa"/>
            <w:tcBorders>
              <w:top w:val="nil"/>
              <w:left w:val="nil"/>
              <w:bottom w:val="single" w:sz="4" w:space="0" w:color="auto"/>
              <w:right w:val="single" w:sz="4" w:space="0" w:color="auto"/>
            </w:tcBorders>
            <w:shd w:val="clear" w:color="000000" w:fill="FEF1E7"/>
            <w:noWrap/>
            <w:vAlign w:val="center"/>
            <w:hideMark/>
          </w:tcPr>
          <w:p w14:paraId="1EAB208F" w14:textId="46115005"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p>
        </w:tc>
        <w:tc>
          <w:tcPr>
            <w:tcW w:w="1116" w:type="dxa"/>
            <w:tcBorders>
              <w:top w:val="nil"/>
              <w:left w:val="nil"/>
              <w:bottom w:val="single" w:sz="4" w:space="0" w:color="auto"/>
              <w:right w:val="single" w:sz="4" w:space="0" w:color="auto"/>
            </w:tcBorders>
            <w:shd w:val="clear" w:color="000000" w:fill="FEF1E7"/>
            <w:noWrap/>
            <w:vAlign w:val="center"/>
            <w:hideMark/>
          </w:tcPr>
          <w:p w14:paraId="260CD4E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w:t>
            </w:r>
          </w:p>
        </w:tc>
        <w:tc>
          <w:tcPr>
            <w:tcW w:w="1395" w:type="dxa"/>
            <w:tcBorders>
              <w:top w:val="nil"/>
              <w:left w:val="nil"/>
              <w:bottom w:val="single" w:sz="4" w:space="0" w:color="auto"/>
              <w:right w:val="single" w:sz="4" w:space="0" w:color="auto"/>
            </w:tcBorders>
            <w:shd w:val="clear" w:color="000000" w:fill="FEF1E7"/>
            <w:noWrap/>
            <w:vAlign w:val="center"/>
            <w:hideMark/>
          </w:tcPr>
          <w:p w14:paraId="5550A2A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0,8</w:t>
            </w:r>
          </w:p>
        </w:tc>
        <w:tc>
          <w:tcPr>
            <w:tcW w:w="977" w:type="dxa"/>
            <w:tcBorders>
              <w:top w:val="nil"/>
              <w:left w:val="nil"/>
              <w:bottom w:val="single" w:sz="4" w:space="0" w:color="auto"/>
              <w:right w:val="single" w:sz="4" w:space="0" w:color="auto"/>
            </w:tcBorders>
            <w:shd w:val="clear" w:color="000000" w:fill="FEF1E7"/>
            <w:noWrap/>
            <w:vAlign w:val="center"/>
            <w:hideMark/>
          </w:tcPr>
          <w:p w14:paraId="117C700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0,8</w:t>
            </w:r>
          </w:p>
        </w:tc>
        <w:tc>
          <w:tcPr>
            <w:tcW w:w="1179" w:type="dxa"/>
            <w:tcBorders>
              <w:top w:val="nil"/>
              <w:left w:val="nil"/>
              <w:bottom w:val="single" w:sz="4" w:space="0" w:color="auto"/>
              <w:right w:val="double" w:sz="6" w:space="0" w:color="auto"/>
            </w:tcBorders>
            <w:shd w:val="clear" w:color="000000" w:fill="FEF1E7"/>
            <w:noWrap/>
            <w:vAlign w:val="center"/>
            <w:hideMark/>
          </w:tcPr>
          <w:p w14:paraId="6DE29F7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D7D65E6" w14:textId="77777777" w:rsidTr="006B41E1">
        <w:trPr>
          <w:trHeight w:val="276"/>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222906AB"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закупки товаров, работ и услуг для обеспечения государственных нужд</w:t>
            </w:r>
          </w:p>
        </w:tc>
        <w:tc>
          <w:tcPr>
            <w:tcW w:w="558" w:type="dxa"/>
            <w:tcBorders>
              <w:top w:val="nil"/>
              <w:left w:val="nil"/>
              <w:bottom w:val="single" w:sz="4" w:space="0" w:color="auto"/>
              <w:right w:val="single" w:sz="4" w:space="0" w:color="auto"/>
            </w:tcBorders>
            <w:shd w:val="clear" w:color="auto" w:fill="auto"/>
            <w:noWrap/>
            <w:vAlign w:val="center"/>
            <w:hideMark/>
          </w:tcPr>
          <w:p w14:paraId="1AF183EC"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w:t>
            </w:r>
          </w:p>
        </w:tc>
        <w:tc>
          <w:tcPr>
            <w:tcW w:w="1116" w:type="dxa"/>
            <w:tcBorders>
              <w:top w:val="nil"/>
              <w:left w:val="nil"/>
              <w:bottom w:val="single" w:sz="4" w:space="0" w:color="auto"/>
              <w:right w:val="single" w:sz="4" w:space="0" w:color="auto"/>
            </w:tcBorders>
            <w:shd w:val="clear" w:color="auto" w:fill="auto"/>
            <w:noWrap/>
            <w:vAlign w:val="center"/>
            <w:hideMark/>
          </w:tcPr>
          <w:p w14:paraId="3E5EB83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0,8</w:t>
            </w:r>
          </w:p>
        </w:tc>
        <w:tc>
          <w:tcPr>
            <w:tcW w:w="1395" w:type="dxa"/>
            <w:tcBorders>
              <w:top w:val="nil"/>
              <w:left w:val="nil"/>
              <w:bottom w:val="single" w:sz="4" w:space="0" w:color="auto"/>
              <w:right w:val="single" w:sz="4" w:space="0" w:color="auto"/>
            </w:tcBorders>
            <w:shd w:val="clear" w:color="auto" w:fill="auto"/>
            <w:noWrap/>
            <w:vAlign w:val="center"/>
            <w:hideMark/>
          </w:tcPr>
          <w:p w14:paraId="52CF159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0,8</w:t>
            </w:r>
          </w:p>
        </w:tc>
        <w:tc>
          <w:tcPr>
            <w:tcW w:w="977" w:type="dxa"/>
            <w:tcBorders>
              <w:top w:val="nil"/>
              <w:left w:val="nil"/>
              <w:bottom w:val="single" w:sz="4" w:space="0" w:color="auto"/>
              <w:right w:val="single" w:sz="4" w:space="0" w:color="auto"/>
            </w:tcBorders>
            <w:shd w:val="clear" w:color="auto" w:fill="auto"/>
            <w:noWrap/>
            <w:vAlign w:val="center"/>
            <w:hideMark/>
          </w:tcPr>
          <w:p w14:paraId="6D7D01D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0,8</w:t>
            </w:r>
          </w:p>
        </w:tc>
        <w:tc>
          <w:tcPr>
            <w:tcW w:w="1179" w:type="dxa"/>
            <w:tcBorders>
              <w:top w:val="nil"/>
              <w:left w:val="nil"/>
              <w:bottom w:val="single" w:sz="4" w:space="0" w:color="auto"/>
              <w:right w:val="double" w:sz="6" w:space="0" w:color="auto"/>
            </w:tcBorders>
            <w:shd w:val="clear" w:color="auto" w:fill="auto"/>
            <w:noWrap/>
            <w:vAlign w:val="center"/>
            <w:hideMark/>
          </w:tcPr>
          <w:p w14:paraId="6FBDC00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B1C38EC" w14:textId="77777777" w:rsidTr="006B41E1">
        <w:trPr>
          <w:trHeight w:val="83"/>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2EBB04CB"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бюджетным учреждениям</w:t>
            </w:r>
          </w:p>
        </w:tc>
        <w:tc>
          <w:tcPr>
            <w:tcW w:w="558" w:type="dxa"/>
            <w:tcBorders>
              <w:top w:val="nil"/>
              <w:left w:val="nil"/>
              <w:bottom w:val="single" w:sz="4" w:space="0" w:color="auto"/>
              <w:right w:val="single" w:sz="4" w:space="0" w:color="auto"/>
            </w:tcBorders>
            <w:shd w:val="clear" w:color="auto" w:fill="auto"/>
            <w:noWrap/>
            <w:vAlign w:val="center"/>
            <w:hideMark/>
          </w:tcPr>
          <w:p w14:paraId="57B3AA39"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610</w:t>
            </w:r>
          </w:p>
        </w:tc>
        <w:tc>
          <w:tcPr>
            <w:tcW w:w="1116" w:type="dxa"/>
            <w:tcBorders>
              <w:top w:val="nil"/>
              <w:left w:val="nil"/>
              <w:bottom w:val="single" w:sz="4" w:space="0" w:color="auto"/>
              <w:right w:val="single" w:sz="4" w:space="0" w:color="auto"/>
            </w:tcBorders>
            <w:shd w:val="clear" w:color="auto" w:fill="auto"/>
            <w:noWrap/>
            <w:vAlign w:val="center"/>
            <w:hideMark/>
          </w:tcPr>
          <w:p w14:paraId="22963BA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w:t>
            </w:r>
          </w:p>
        </w:tc>
        <w:tc>
          <w:tcPr>
            <w:tcW w:w="1395" w:type="dxa"/>
            <w:tcBorders>
              <w:top w:val="nil"/>
              <w:left w:val="nil"/>
              <w:bottom w:val="single" w:sz="4" w:space="0" w:color="auto"/>
              <w:right w:val="single" w:sz="4" w:space="0" w:color="auto"/>
            </w:tcBorders>
            <w:shd w:val="clear" w:color="auto" w:fill="auto"/>
            <w:noWrap/>
            <w:vAlign w:val="center"/>
            <w:hideMark/>
          </w:tcPr>
          <w:p w14:paraId="787C360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977" w:type="dxa"/>
            <w:tcBorders>
              <w:top w:val="nil"/>
              <w:left w:val="nil"/>
              <w:bottom w:val="single" w:sz="4" w:space="0" w:color="auto"/>
              <w:right w:val="single" w:sz="4" w:space="0" w:color="auto"/>
            </w:tcBorders>
            <w:shd w:val="clear" w:color="auto" w:fill="auto"/>
            <w:noWrap/>
            <w:vAlign w:val="center"/>
            <w:hideMark/>
          </w:tcPr>
          <w:p w14:paraId="5032D1F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1179" w:type="dxa"/>
            <w:tcBorders>
              <w:top w:val="nil"/>
              <w:left w:val="nil"/>
              <w:bottom w:val="single" w:sz="4" w:space="0" w:color="auto"/>
              <w:right w:val="double" w:sz="6" w:space="0" w:color="auto"/>
            </w:tcBorders>
            <w:shd w:val="clear" w:color="auto" w:fill="auto"/>
            <w:noWrap/>
            <w:vAlign w:val="center"/>
            <w:hideMark/>
          </w:tcPr>
          <w:p w14:paraId="48ADB59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17F5D6C9" w14:textId="77777777" w:rsidTr="006B41E1">
        <w:trPr>
          <w:trHeight w:val="130"/>
        </w:trPr>
        <w:tc>
          <w:tcPr>
            <w:tcW w:w="4536" w:type="dxa"/>
            <w:tcBorders>
              <w:top w:val="nil"/>
              <w:left w:val="double" w:sz="6" w:space="0" w:color="auto"/>
              <w:bottom w:val="single" w:sz="4" w:space="0" w:color="auto"/>
              <w:right w:val="single" w:sz="4" w:space="0" w:color="auto"/>
            </w:tcBorders>
            <w:shd w:val="clear" w:color="000000" w:fill="FEF1E7"/>
            <w:vAlign w:val="bottom"/>
            <w:hideMark/>
          </w:tcPr>
          <w:p w14:paraId="14C09220"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Министерство культуры </w:t>
            </w:r>
          </w:p>
        </w:tc>
        <w:tc>
          <w:tcPr>
            <w:tcW w:w="558" w:type="dxa"/>
            <w:tcBorders>
              <w:top w:val="nil"/>
              <w:left w:val="nil"/>
              <w:bottom w:val="single" w:sz="4" w:space="0" w:color="auto"/>
              <w:right w:val="single" w:sz="4" w:space="0" w:color="auto"/>
            </w:tcBorders>
            <w:shd w:val="clear" w:color="000000" w:fill="FEF1E7"/>
            <w:noWrap/>
            <w:vAlign w:val="center"/>
            <w:hideMark/>
          </w:tcPr>
          <w:p w14:paraId="3AB287AE" w14:textId="2137A1CA"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p>
        </w:tc>
        <w:tc>
          <w:tcPr>
            <w:tcW w:w="1116" w:type="dxa"/>
            <w:tcBorders>
              <w:top w:val="nil"/>
              <w:left w:val="nil"/>
              <w:bottom w:val="single" w:sz="4" w:space="0" w:color="auto"/>
              <w:right w:val="single" w:sz="4" w:space="0" w:color="auto"/>
            </w:tcBorders>
            <w:shd w:val="clear" w:color="000000" w:fill="FEF1E7"/>
            <w:noWrap/>
            <w:vAlign w:val="center"/>
            <w:hideMark/>
          </w:tcPr>
          <w:p w14:paraId="6E0BDE9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w:t>
            </w:r>
          </w:p>
        </w:tc>
        <w:tc>
          <w:tcPr>
            <w:tcW w:w="1395" w:type="dxa"/>
            <w:tcBorders>
              <w:top w:val="nil"/>
              <w:left w:val="nil"/>
              <w:bottom w:val="single" w:sz="4" w:space="0" w:color="auto"/>
              <w:right w:val="single" w:sz="4" w:space="0" w:color="auto"/>
            </w:tcBorders>
            <w:shd w:val="clear" w:color="000000" w:fill="FEF1E7"/>
            <w:noWrap/>
            <w:vAlign w:val="center"/>
            <w:hideMark/>
          </w:tcPr>
          <w:p w14:paraId="5866885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w:t>
            </w:r>
          </w:p>
        </w:tc>
        <w:tc>
          <w:tcPr>
            <w:tcW w:w="977" w:type="dxa"/>
            <w:tcBorders>
              <w:top w:val="nil"/>
              <w:left w:val="nil"/>
              <w:bottom w:val="single" w:sz="4" w:space="0" w:color="auto"/>
              <w:right w:val="single" w:sz="4" w:space="0" w:color="auto"/>
            </w:tcBorders>
            <w:shd w:val="clear" w:color="000000" w:fill="FEF1E7"/>
            <w:noWrap/>
            <w:vAlign w:val="center"/>
            <w:hideMark/>
          </w:tcPr>
          <w:p w14:paraId="708A456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w:t>
            </w:r>
          </w:p>
        </w:tc>
        <w:tc>
          <w:tcPr>
            <w:tcW w:w="1179" w:type="dxa"/>
            <w:tcBorders>
              <w:top w:val="nil"/>
              <w:left w:val="nil"/>
              <w:bottom w:val="single" w:sz="4" w:space="0" w:color="auto"/>
              <w:right w:val="double" w:sz="6" w:space="0" w:color="auto"/>
            </w:tcBorders>
            <w:shd w:val="clear" w:color="000000" w:fill="FEF1E7"/>
            <w:noWrap/>
            <w:vAlign w:val="center"/>
            <w:hideMark/>
          </w:tcPr>
          <w:p w14:paraId="039576A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9B9C728" w14:textId="77777777" w:rsidTr="006B41E1">
        <w:trPr>
          <w:trHeight w:val="175"/>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4D3DA8F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закупки товаров, работ и услуг для обеспечения государственных нужд</w:t>
            </w:r>
          </w:p>
        </w:tc>
        <w:tc>
          <w:tcPr>
            <w:tcW w:w="558" w:type="dxa"/>
            <w:tcBorders>
              <w:top w:val="nil"/>
              <w:left w:val="nil"/>
              <w:bottom w:val="single" w:sz="4" w:space="0" w:color="auto"/>
              <w:right w:val="single" w:sz="4" w:space="0" w:color="auto"/>
            </w:tcBorders>
            <w:shd w:val="clear" w:color="auto" w:fill="auto"/>
            <w:noWrap/>
            <w:vAlign w:val="center"/>
            <w:hideMark/>
          </w:tcPr>
          <w:p w14:paraId="51891F85"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w:t>
            </w:r>
          </w:p>
        </w:tc>
        <w:tc>
          <w:tcPr>
            <w:tcW w:w="1116" w:type="dxa"/>
            <w:tcBorders>
              <w:top w:val="nil"/>
              <w:left w:val="nil"/>
              <w:bottom w:val="single" w:sz="4" w:space="0" w:color="auto"/>
              <w:right w:val="single" w:sz="4" w:space="0" w:color="auto"/>
            </w:tcBorders>
            <w:shd w:val="clear" w:color="auto" w:fill="auto"/>
            <w:noWrap/>
            <w:vAlign w:val="center"/>
            <w:hideMark/>
          </w:tcPr>
          <w:p w14:paraId="148B05D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1395" w:type="dxa"/>
            <w:tcBorders>
              <w:top w:val="nil"/>
              <w:left w:val="nil"/>
              <w:bottom w:val="single" w:sz="4" w:space="0" w:color="auto"/>
              <w:right w:val="single" w:sz="4" w:space="0" w:color="auto"/>
            </w:tcBorders>
            <w:shd w:val="clear" w:color="auto" w:fill="auto"/>
            <w:noWrap/>
            <w:vAlign w:val="center"/>
            <w:hideMark/>
          </w:tcPr>
          <w:p w14:paraId="346BB86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977" w:type="dxa"/>
            <w:tcBorders>
              <w:top w:val="nil"/>
              <w:left w:val="nil"/>
              <w:bottom w:val="single" w:sz="4" w:space="0" w:color="auto"/>
              <w:right w:val="single" w:sz="4" w:space="0" w:color="auto"/>
            </w:tcBorders>
            <w:shd w:val="clear" w:color="auto" w:fill="auto"/>
            <w:noWrap/>
            <w:vAlign w:val="center"/>
            <w:hideMark/>
          </w:tcPr>
          <w:p w14:paraId="238D790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1179" w:type="dxa"/>
            <w:tcBorders>
              <w:top w:val="nil"/>
              <w:left w:val="nil"/>
              <w:bottom w:val="single" w:sz="4" w:space="0" w:color="auto"/>
              <w:right w:val="double" w:sz="6" w:space="0" w:color="auto"/>
            </w:tcBorders>
            <w:shd w:val="clear" w:color="auto" w:fill="auto"/>
            <w:noWrap/>
            <w:vAlign w:val="center"/>
            <w:hideMark/>
          </w:tcPr>
          <w:p w14:paraId="056974F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9119A9C" w14:textId="77777777" w:rsidTr="006B41E1">
        <w:trPr>
          <w:trHeight w:val="126"/>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271A1AAE"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бюджетным учреждениям</w:t>
            </w:r>
          </w:p>
        </w:tc>
        <w:tc>
          <w:tcPr>
            <w:tcW w:w="558" w:type="dxa"/>
            <w:tcBorders>
              <w:top w:val="nil"/>
              <w:left w:val="nil"/>
              <w:bottom w:val="single" w:sz="4" w:space="0" w:color="auto"/>
              <w:right w:val="single" w:sz="4" w:space="0" w:color="auto"/>
            </w:tcBorders>
            <w:shd w:val="clear" w:color="auto" w:fill="auto"/>
            <w:noWrap/>
            <w:vAlign w:val="center"/>
            <w:hideMark/>
          </w:tcPr>
          <w:p w14:paraId="2F7E5430"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610</w:t>
            </w:r>
          </w:p>
        </w:tc>
        <w:tc>
          <w:tcPr>
            <w:tcW w:w="1116" w:type="dxa"/>
            <w:tcBorders>
              <w:top w:val="nil"/>
              <w:left w:val="nil"/>
              <w:bottom w:val="single" w:sz="4" w:space="0" w:color="auto"/>
              <w:right w:val="single" w:sz="4" w:space="0" w:color="auto"/>
            </w:tcBorders>
            <w:shd w:val="clear" w:color="auto" w:fill="auto"/>
            <w:noWrap/>
            <w:vAlign w:val="center"/>
            <w:hideMark/>
          </w:tcPr>
          <w:p w14:paraId="1C707A2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w:t>
            </w:r>
          </w:p>
        </w:tc>
        <w:tc>
          <w:tcPr>
            <w:tcW w:w="1395" w:type="dxa"/>
            <w:tcBorders>
              <w:top w:val="nil"/>
              <w:left w:val="nil"/>
              <w:bottom w:val="single" w:sz="4" w:space="0" w:color="auto"/>
              <w:right w:val="single" w:sz="4" w:space="0" w:color="auto"/>
            </w:tcBorders>
            <w:shd w:val="clear" w:color="auto" w:fill="auto"/>
            <w:noWrap/>
            <w:vAlign w:val="center"/>
            <w:hideMark/>
          </w:tcPr>
          <w:p w14:paraId="220ACCF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w:t>
            </w:r>
          </w:p>
        </w:tc>
        <w:tc>
          <w:tcPr>
            <w:tcW w:w="977" w:type="dxa"/>
            <w:tcBorders>
              <w:top w:val="nil"/>
              <w:left w:val="nil"/>
              <w:bottom w:val="single" w:sz="4" w:space="0" w:color="auto"/>
              <w:right w:val="single" w:sz="4" w:space="0" w:color="auto"/>
            </w:tcBorders>
            <w:shd w:val="clear" w:color="auto" w:fill="auto"/>
            <w:noWrap/>
            <w:vAlign w:val="center"/>
            <w:hideMark/>
          </w:tcPr>
          <w:p w14:paraId="1364D17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w:t>
            </w:r>
          </w:p>
        </w:tc>
        <w:tc>
          <w:tcPr>
            <w:tcW w:w="1179" w:type="dxa"/>
            <w:tcBorders>
              <w:top w:val="nil"/>
              <w:left w:val="nil"/>
              <w:bottom w:val="single" w:sz="4" w:space="0" w:color="auto"/>
              <w:right w:val="double" w:sz="6" w:space="0" w:color="auto"/>
            </w:tcBorders>
            <w:shd w:val="clear" w:color="auto" w:fill="auto"/>
            <w:noWrap/>
            <w:vAlign w:val="center"/>
            <w:hideMark/>
          </w:tcPr>
          <w:p w14:paraId="1DC426C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AB94A25" w14:textId="77777777" w:rsidTr="006B41E1">
        <w:trPr>
          <w:trHeight w:val="43"/>
        </w:trPr>
        <w:tc>
          <w:tcPr>
            <w:tcW w:w="4536" w:type="dxa"/>
            <w:tcBorders>
              <w:top w:val="nil"/>
              <w:left w:val="double" w:sz="6" w:space="0" w:color="auto"/>
              <w:bottom w:val="single" w:sz="4" w:space="0" w:color="auto"/>
              <w:right w:val="single" w:sz="4" w:space="0" w:color="auto"/>
            </w:tcBorders>
            <w:shd w:val="clear" w:color="000000" w:fill="FEF1E7"/>
            <w:vAlign w:val="bottom"/>
            <w:hideMark/>
          </w:tcPr>
          <w:p w14:paraId="03650A1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Министерство образования и науки </w:t>
            </w:r>
          </w:p>
        </w:tc>
        <w:tc>
          <w:tcPr>
            <w:tcW w:w="558" w:type="dxa"/>
            <w:tcBorders>
              <w:top w:val="nil"/>
              <w:left w:val="nil"/>
              <w:bottom w:val="single" w:sz="4" w:space="0" w:color="auto"/>
              <w:right w:val="single" w:sz="4" w:space="0" w:color="auto"/>
            </w:tcBorders>
            <w:shd w:val="clear" w:color="000000" w:fill="FEF1E7"/>
            <w:noWrap/>
            <w:vAlign w:val="center"/>
            <w:hideMark/>
          </w:tcPr>
          <w:p w14:paraId="56420A9F" w14:textId="6E469148"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p>
        </w:tc>
        <w:tc>
          <w:tcPr>
            <w:tcW w:w="1116" w:type="dxa"/>
            <w:tcBorders>
              <w:top w:val="nil"/>
              <w:left w:val="nil"/>
              <w:bottom w:val="single" w:sz="4" w:space="0" w:color="auto"/>
              <w:right w:val="single" w:sz="4" w:space="0" w:color="auto"/>
            </w:tcBorders>
            <w:shd w:val="clear" w:color="000000" w:fill="FEF1E7"/>
            <w:noWrap/>
            <w:vAlign w:val="center"/>
            <w:hideMark/>
          </w:tcPr>
          <w:p w14:paraId="3E9E5AE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w:t>
            </w:r>
          </w:p>
        </w:tc>
        <w:tc>
          <w:tcPr>
            <w:tcW w:w="1395" w:type="dxa"/>
            <w:tcBorders>
              <w:top w:val="nil"/>
              <w:left w:val="nil"/>
              <w:bottom w:val="single" w:sz="4" w:space="0" w:color="auto"/>
              <w:right w:val="single" w:sz="4" w:space="0" w:color="auto"/>
            </w:tcBorders>
            <w:shd w:val="clear" w:color="000000" w:fill="FEF1E7"/>
            <w:noWrap/>
            <w:vAlign w:val="center"/>
            <w:hideMark/>
          </w:tcPr>
          <w:p w14:paraId="5C12A51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w:t>
            </w:r>
          </w:p>
        </w:tc>
        <w:tc>
          <w:tcPr>
            <w:tcW w:w="977" w:type="dxa"/>
            <w:tcBorders>
              <w:top w:val="nil"/>
              <w:left w:val="nil"/>
              <w:bottom w:val="single" w:sz="4" w:space="0" w:color="auto"/>
              <w:right w:val="single" w:sz="4" w:space="0" w:color="auto"/>
            </w:tcBorders>
            <w:shd w:val="clear" w:color="000000" w:fill="FEF1E7"/>
            <w:noWrap/>
            <w:vAlign w:val="center"/>
            <w:hideMark/>
          </w:tcPr>
          <w:p w14:paraId="5254344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w:t>
            </w:r>
          </w:p>
        </w:tc>
        <w:tc>
          <w:tcPr>
            <w:tcW w:w="1179" w:type="dxa"/>
            <w:tcBorders>
              <w:top w:val="nil"/>
              <w:left w:val="nil"/>
              <w:bottom w:val="single" w:sz="4" w:space="0" w:color="auto"/>
              <w:right w:val="double" w:sz="6" w:space="0" w:color="auto"/>
            </w:tcBorders>
            <w:shd w:val="clear" w:color="000000" w:fill="FEF1E7"/>
            <w:noWrap/>
            <w:vAlign w:val="center"/>
            <w:hideMark/>
          </w:tcPr>
          <w:p w14:paraId="0366683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1D51F09B" w14:textId="77777777" w:rsidTr="006B41E1">
        <w:trPr>
          <w:trHeight w:val="76"/>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015E3574"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бюджетным учреждениям</w:t>
            </w:r>
          </w:p>
        </w:tc>
        <w:tc>
          <w:tcPr>
            <w:tcW w:w="558" w:type="dxa"/>
            <w:tcBorders>
              <w:top w:val="nil"/>
              <w:left w:val="nil"/>
              <w:bottom w:val="single" w:sz="4" w:space="0" w:color="auto"/>
              <w:right w:val="single" w:sz="4" w:space="0" w:color="auto"/>
            </w:tcBorders>
            <w:shd w:val="clear" w:color="auto" w:fill="auto"/>
            <w:noWrap/>
            <w:vAlign w:val="center"/>
            <w:hideMark/>
          </w:tcPr>
          <w:p w14:paraId="1635459C"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610</w:t>
            </w:r>
          </w:p>
        </w:tc>
        <w:tc>
          <w:tcPr>
            <w:tcW w:w="1116" w:type="dxa"/>
            <w:tcBorders>
              <w:top w:val="nil"/>
              <w:left w:val="nil"/>
              <w:bottom w:val="single" w:sz="4" w:space="0" w:color="auto"/>
              <w:right w:val="single" w:sz="4" w:space="0" w:color="auto"/>
            </w:tcBorders>
            <w:shd w:val="clear" w:color="auto" w:fill="auto"/>
            <w:noWrap/>
            <w:vAlign w:val="center"/>
            <w:hideMark/>
          </w:tcPr>
          <w:p w14:paraId="14BC3A6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w:t>
            </w:r>
          </w:p>
        </w:tc>
        <w:tc>
          <w:tcPr>
            <w:tcW w:w="1395" w:type="dxa"/>
            <w:tcBorders>
              <w:top w:val="nil"/>
              <w:left w:val="nil"/>
              <w:bottom w:val="single" w:sz="4" w:space="0" w:color="auto"/>
              <w:right w:val="single" w:sz="4" w:space="0" w:color="auto"/>
            </w:tcBorders>
            <w:shd w:val="clear" w:color="auto" w:fill="auto"/>
            <w:noWrap/>
            <w:vAlign w:val="center"/>
            <w:hideMark/>
          </w:tcPr>
          <w:p w14:paraId="141A5B4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2,8</w:t>
            </w:r>
          </w:p>
        </w:tc>
        <w:tc>
          <w:tcPr>
            <w:tcW w:w="977" w:type="dxa"/>
            <w:tcBorders>
              <w:top w:val="nil"/>
              <w:left w:val="nil"/>
              <w:bottom w:val="single" w:sz="4" w:space="0" w:color="auto"/>
              <w:right w:val="single" w:sz="4" w:space="0" w:color="auto"/>
            </w:tcBorders>
            <w:shd w:val="clear" w:color="auto" w:fill="auto"/>
            <w:noWrap/>
            <w:vAlign w:val="center"/>
            <w:hideMark/>
          </w:tcPr>
          <w:p w14:paraId="522B7AC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2,8</w:t>
            </w:r>
          </w:p>
        </w:tc>
        <w:tc>
          <w:tcPr>
            <w:tcW w:w="1179" w:type="dxa"/>
            <w:tcBorders>
              <w:top w:val="nil"/>
              <w:left w:val="nil"/>
              <w:bottom w:val="single" w:sz="4" w:space="0" w:color="auto"/>
              <w:right w:val="double" w:sz="6" w:space="0" w:color="auto"/>
            </w:tcBorders>
            <w:shd w:val="clear" w:color="auto" w:fill="auto"/>
            <w:noWrap/>
            <w:vAlign w:val="center"/>
            <w:hideMark/>
          </w:tcPr>
          <w:p w14:paraId="69131D2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D16ED6E" w14:textId="77777777" w:rsidTr="006B41E1">
        <w:trPr>
          <w:trHeight w:val="122"/>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6B882DD1"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автономным учреждениям</w:t>
            </w:r>
          </w:p>
        </w:tc>
        <w:tc>
          <w:tcPr>
            <w:tcW w:w="558" w:type="dxa"/>
            <w:tcBorders>
              <w:top w:val="nil"/>
              <w:left w:val="nil"/>
              <w:bottom w:val="single" w:sz="4" w:space="0" w:color="auto"/>
              <w:right w:val="single" w:sz="4" w:space="0" w:color="auto"/>
            </w:tcBorders>
            <w:shd w:val="clear" w:color="auto" w:fill="auto"/>
            <w:noWrap/>
            <w:vAlign w:val="center"/>
            <w:hideMark/>
          </w:tcPr>
          <w:p w14:paraId="62529E04"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620</w:t>
            </w:r>
          </w:p>
        </w:tc>
        <w:tc>
          <w:tcPr>
            <w:tcW w:w="1116" w:type="dxa"/>
            <w:tcBorders>
              <w:top w:val="nil"/>
              <w:left w:val="nil"/>
              <w:bottom w:val="single" w:sz="4" w:space="0" w:color="auto"/>
              <w:right w:val="single" w:sz="4" w:space="0" w:color="auto"/>
            </w:tcBorders>
            <w:shd w:val="clear" w:color="auto" w:fill="auto"/>
            <w:noWrap/>
            <w:vAlign w:val="center"/>
            <w:hideMark/>
          </w:tcPr>
          <w:p w14:paraId="1684D94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1395" w:type="dxa"/>
            <w:tcBorders>
              <w:top w:val="nil"/>
              <w:left w:val="nil"/>
              <w:bottom w:val="single" w:sz="4" w:space="0" w:color="auto"/>
              <w:right w:val="single" w:sz="4" w:space="0" w:color="auto"/>
            </w:tcBorders>
            <w:shd w:val="clear" w:color="auto" w:fill="auto"/>
            <w:noWrap/>
            <w:vAlign w:val="center"/>
            <w:hideMark/>
          </w:tcPr>
          <w:p w14:paraId="0190E3E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977" w:type="dxa"/>
            <w:tcBorders>
              <w:top w:val="nil"/>
              <w:left w:val="nil"/>
              <w:bottom w:val="single" w:sz="4" w:space="0" w:color="auto"/>
              <w:right w:val="single" w:sz="4" w:space="0" w:color="auto"/>
            </w:tcBorders>
            <w:shd w:val="clear" w:color="auto" w:fill="auto"/>
            <w:noWrap/>
            <w:vAlign w:val="center"/>
            <w:hideMark/>
          </w:tcPr>
          <w:p w14:paraId="2E8487C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1179" w:type="dxa"/>
            <w:tcBorders>
              <w:top w:val="nil"/>
              <w:left w:val="nil"/>
              <w:bottom w:val="single" w:sz="4" w:space="0" w:color="auto"/>
              <w:right w:val="double" w:sz="6" w:space="0" w:color="auto"/>
            </w:tcBorders>
            <w:shd w:val="clear" w:color="auto" w:fill="auto"/>
            <w:noWrap/>
            <w:vAlign w:val="center"/>
            <w:hideMark/>
          </w:tcPr>
          <w:p w14:paraId="2D59121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65132A6F" w14:textId="77777777" w:rsidTr="006B41E1">
        <w:trPr>
          <w:trHeight w:val="296"/>
        </w:trPr>
        <w:tc>
          <w:tcPr>
            <w:tcW w:w="4536" w:type="dxa"/>
            <w:tcBorders>
              <w:top w:val="nil"/>
              <w:left w:val="double" w:sz="6" w:space="0" w:color="auto"/>
              <w:bottom w:val="single" w:sz="4" w:space="0" w:color="auto"/>
              <w:right w:val="single" w:sz="4" w:space="0" w:color="auto"/>
            </w:tcBorders>
            <w:shd w:val="clear" w:color="000000" w:fill="FEF1E7"/>
            <w:vAlign w:val="bottom"/>
            <w:hideMark/>
          </w:tcPr>
          <w:p w14:paraId="039F6F97"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Администрация Губернатора Архангельской области и Правительства АО</w:t>
            </w:r>
          </w:p>
        </w:tc>
        <w:tc>
          <w:tcPr>
            <w:tcW w:w="558" w:type="dxa"/>
            <w:tcBorders>
              <w:top w:val="nil"/>
              <w:left w:val="nil"/>
              <w:bottom w:val="single" w:sz="4" w:space="0" w:color="auto"/>
              <w:right w:val="single" w:sz="4" w:space="0" w:color="auto"/>
            </w:tcBorders>
            <w:shd w:val="clear" w:color="000000" w:fill="FEF1E7"/>
            <w:noWrap/>
            <w:vAlign w:val="center"/>
            <w:hideMark/>
          </w:tcPr>
          <w:p w14:paraId="1688AEC1" w14:textId="24405B43"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p>
        </w:tc>
        <w:tc>
          <w:tcPr>
            <w:tcW w:w="1116" w:type="dxa"/>
            <w:tcBorders>
              <w:top w:val="nil"/>
              <w:left w:val="nil"/>
              <w:bottom w:val="single" w:sz="4" w:space="0" w:color="auto"/>
              <w:right w:val="single" w:sz="4" w:space="0" w:color="auto"/>
            </w:tcBorders>
            <w:shd w:val="clear" w:color="000000" w:fill="FEF1E7"/>
            <w:noWrap/>
            <w:vAlign w:val="center"/>
            <w:hideMark/>
          </w:tcPr>
          <w:p w14:paraId="14A4CCC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1395" w:type="dxa"/>
            <w:tcBorders>
              <w:top w:val="nil"/>
              <w:left w:val="nil"/>
              <w:bottom w:val="single" w:sz="4" w:space="0" w:color="auto"/>
              <w:right w:val="single" w:sz="4" w:space="0" w:color="auto"/>
            </w:tcBorders>
            <w:shd w:val="clear" w:color="000000" w:fill="FEF1E7"/>
            <w:noWrap/>
            <w:vAlign w:val="center"/>
            <w:hideMark/>
          </w:tcPr>
          <w:p w14:paraId="114FA2C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977" w:type="dxa"/>
            <w:tcBorders>
              <w:top w:val="nil"/>
              <w:left w:val="nil"/>
              <w:bottom w:val="single" w:sz="4" w:space="0" w:color="auto"/>
              <w:right w:val="single" w:sz="4" w:space="0" w:color="auto"/>
            </w:tcBorders>
            <w:shd w:val="clear" w:color="000000" w:fill="FEF1E7"/>
            <w:noWrap/>
            <w:vAlign w:val="center"/>
            <w:hideMark/>
          </w:tcPr>
          <w:p w14:paraId="3724EC5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1179" w:type="dxa"/>
            <w:tcBorders>
              <w:top w:val="nil"/>
              <w:left w:val="nil"/>
              <w:bottom w:val="single" w:sz="4" w:space="0" w:color="auto"/>
              <w:right w:val="double" w:sz="6" w:space="0" w:color="auto"/>
            </w:tcBorders>
            <w:shd w:val="clear" w:color="000000" w:fill="FEF1E7"/>
            <w:noWrap/>
            <w:vAlign w:val="center"/>
            <w:hideMark/>
          </w:tcPr>
          <w:p w14:paraId="1E8B67A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8AB7BBD" w14:textId="77777777" w:rsidTr="006B41E1">
        <w:trPr>
          <w:trHeight w:val="118"/>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2B4FBED7"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автономным учреждениям</w:t>
            </w:r>
          </w:p>
        </w:tc>
        <w:tc>
          <w:tcPr>
            <w:tcW w:w="558" w:type="dxa"/>
            <w:tcBorders>
              <w:top w:val="nil"/>
              <w:left w:val="nil"/>
              <w:bottom w:val="single" w:sz="4" w:space="0" w:color="auto"/>
              <w:right w:val="single" w:sz="4" w:space="0" w:color="auto"/>
            </w:tcBorders>
            <w:shd w:val="clear" w:color="auto" w:fill="auto"/>
            <w:noWrap/>
            <w:vAlign w:val="center"/>
            <w:hideMark/>
          </w:tcPr>
          <w:p w14:paraId="2D5901C4"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620</w:t>
            </w:r>
          </w:p>
        </w:tc>
        <w:tc>
          <w:tcPr>
            <w:tcW w:w="1116" w:type="dxa"/>
            <w:tcBorders>
              <w:top w:val="nil"/>
              <w:left w:val="nil"/>
              <w:bottom w:val="single" w:sz="4" w:space="0" w:color="auto"/>
              <w:right w:val="single" w:sz="4" w:space="0" w:color="auto"/>
            </w:tcBorders>
            <w:shd w:val="clear" w:color="auto" w:fill="auto"/>
            <w:noWrap/>
            <w:vAlign w:val="center"/>
            <w:hideMark/>
          </w:tcPr>
          <w:p w14:paraId="4AA596D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1395" w:type="dxa"/>
            <w:tcBorders>
              <w:top w:val="nil"/>
              <w:left w:val="nil"/>
              <w:bottom w:val="single" w:sz="4" w:space="0" w:color="auto"/>
              <w:right w:val="single" w:sz="4" w:space="0" w:color="auto"/>
            </w:tcBorders>
            <w:shd w:val="clear" w:color="auto" w:fill="auto"/>
            <w:noWrap/>
            <w:vAlign w:val="center"/>
            <w:hideMark/>
          </w:tcPr>
          <w:p w14:paraId="4D99943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977" w:type="dxa"/>
            <w:tcBorders>
              <w:top w:val="nil"/>
              <w:left w:val="nil"/>
              <w:bottom w:val="single" w:sz="4" w:space="0" w:color="auto"/>
              <w:right w:val="single" w:sz="4" w:space="0" w:color="auto"/>
            </w:tcBorders>
            <w:shd w:val="clear" w:color="auto" w:fill="auto"/>
            <w:noWrap/>
            <w:vAlign w:val="center"/>
            <w:hideMark/>
          </w:tcPr>
          <w:p w14:paraId="17D9075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1179" w:type="dxa"/>
            <w:tcBorders>
              <w:top w:val="nil"/>
              <w:left w:val="nil"/>
              <w:bottom w:val="single" w:sz="4" w:space="0" w:color="auto"/>
              <w:right w:val="double" w:sz="6" w:space="0" w:color="auto"/>
            </w:tcBorders>
            <w:shd w:val="clear" w:color="auto" w:fill="auto"/>
            <w:noWrap/>
            <w:vAlign w:val="center"/>
            <w:hideMark/>
          </w:tcPr>
          <w:p w14:paraId="7BFA340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71DC4A4" w14:textId="77777777" w:rsidTr="006B41E1">
        <w:trPr>
          <w:trHeight w:val="164"/>
        </w:trPr>
        <w:tc>
          <w:tcPr>
            <w:tcW w:w="4536" w:type="dxa"/>
            <w:tcBorders>
              <w:top w:val="nil"/>
              <w:left w:val="double" w:sz="6" w:space="0" w:color="auto"/>
              <w:bottom w:val="single" w:sz="4" w:space="0" w:color="auto"/>
              <w:right w:val="single" w:sz="4" w:space="0" w:color="auto"/>
            </w:tcBorders>
            <w:shd w:val="clear" w:color="000000" w:fill="FEF1E7"/>
            <w:vAlign w:val="bottom"/>
            <w:hideMark/>
          </w:tcPr>
          <w:p w14:paraId="75B6D14E"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Минтрудсоцразвития АО</w:t>
            </w:r>
          </w:p>
        </w:tc>
        <w:tc>
          <w:tcPr>
            <w:tcW w:w="558" w:type="dxa"/>
            <w:tcBorders>
              <w:top w:val="nil"/>
              <w:left w:val="nil"/>
              <w:bottom w:val="single" w:sz="4" w:space="0" w:color="auto"/>
              <w:right w:val="single" w:sz="4" w:space="0" w:color="auto"/>
            </w:tcBorders>
            <w:shd w:val="clear" w:color="000000" w:fill="FEF1E7"/>
            <w:noWrap/>
            <w:vAlign w:val="center"/>
            <w:hideMark/>
          </w:tcPr>
          <w:p w14:paraId="0188A0C4" w14:textId="53F9E69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p>
        </w:tc>
        <w:tc>
          <w:tcPr>
            <w:tcW w:w="1116" w:type="dxa"/>
            <w:tcBorders>
              <w:top w:val="nil"/>
              <w:left w:val="nil"/>
              <w:bottom w:val="single" w:sz="4" w:space="0" w:color="auto"/>
              <w:right w:val="single" w:sz="4" w:space="0" w:color="auto"/>
            </w:tcBorders>
            <w:shd w:val="clear" w:color="000000" w:fill="FEF1E7"/>
            <w:noWrap/>
            <w:vAlign w:val="center"/>
            <w:hideMark/>
          </w:tcPr>
          <w:p w14:paraId="718C236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17 685,6</w:t>
            </w:r>
          </w:p>
        </w:tc>
        <w:tc>
          <w:tcPr>
            <w:tcW w:w="1395" w:type="dxa"/>
            <w:tcBorders>
              <w:top w:val="nil"/>
              <w:left w:val="nil"/>
              <w:bottom w:val="single" w:sz="4" w:space="0" w:color="auto"/>
              <w:right w:val="single" w:sz="4" w:space="0" w:color="auto"/>
            </w:tcBorders>
            <w:shd w:val="clear" w:color="000000" w:fill="FEF1E7"/>
            <w:noWrap/>
            <w:vAlign w:val="center"/>
            <w:hideMark/>
          </w:tcPr>
          <w:p w14:paraId="2836A94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17 045,8</w:t>
            </w:r>
          </w:p>
        </w:tc>
        <w:tc>
          <w:tcPr>
            <w:tcW w:w="977" w:type="dxa"/>
            <w:tcBorders>
              <w:top w:val="nil"/>
              <w:left w:val="nil"/>
              <w:bottom w:val="single" w:sz="4" w:space="0" w:color="auto"/>
              <w:right w:val="single" w:sz="4" w:space="0" w:color="auto"/>
            </w:tcBorders>
            <w:shd w:val="clear" w:color="000000" w:fill="FEF1E7"/>
            <w:noWrap/>
            <w:vAlign w:val="center"/>
            <w:hideMark/>
          </w:tcPr>
          <w:p w14:paraId="5408775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17 034,1</w:t>
            </w:r>
          </w:p>
        </w:tc>
        <w:tc>
          <w:tcPr>
            <w:tcW w:w="1179" w:type="dxa"/>
            <w:tcBorders>
              <w:top w:val="nil"/>
              <w:left w:val="nil"/>
              <w:bottom w:val="single" w:sz="4" w:space="0" w:color="auto"/>
              <w:right w:val="double" w:sz="6" w:space="0" w:color="auto"/>
            </w:tcBorders>
            <w:shd w:val="clear" w:color="000000" w:fill="FEF1E7"/>
            <w:noWrap/>
            <w:vAlign w:val="center"/>
            <w:hideMark/>
          </w:tcPr>
          <w:p w14:paraId="63D6EBB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2FFB64FE" w14:textId="77777777" w:rsidTr="006B41E1">
        <w:trPr>
          <w:trHeight w:val="195"/>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5C0D9667"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Расходы на выплаты персоналу казенных учреждений</w:t>
            </w:r>
          </w:p>
        </w:tc>
        <w:tc>
          <w:tcPr>
            <w:tcW w:w="558" w:type="dxa"/>
            <w:tcBorders>
              <w:top w:val="nil"/>
              <w:left w:val="nil"/>
              <w:bottom w:val="single" w:sz="4" w:space="0" w:color="auto"/>
              <w:right w:val="single" w:sz="4" w:space="0" w:color="auto"/>
            </w:tcBorders>
            <w:shd w:val="clear" w:color="auto" w:fill="auto"/>
            <w:noWrap/>
            <w:vAlign w:val="center"/>
            <w:hideMark/>
          </w:tcPr>
          <w:p w14:paraId="104FCA8F"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110</w:t>
            </w:r>
          </w:p>
        </w:tc>
        <w:tc>
          <w:tcPr>
            <w:tcW w:w="1116" w:type="dxa"/>
            <w:tcBorders>
              <w:top w:val="nil"/>
              <w:left w:val="nil"/>
              <w:bottom w:val="single" w:sz="4" w:space="0" w:color="auto"/>
              <w:right w:val="single" w:sz="4" w:space="0" w:color="auto"/>
            </w:tcBorders>
            <w:shd w:val="clear" w:color="auto" w:fill="auto"/>
            <w:noWrap/>
            <w:vAlign w:val="center"/>
            <w:hideMark/>
          </w:tcPr>
          <w:p w14:paraId="601A7AF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351,9</w:t>
            </w:r>
          </w:p>
        </w:tc>
        <w:tc>
          <w:tcPr>
            <w:tcW w:w="1395" w:type="dxa"/>
            <w:tcBorders>
              <w:top w:val="nil"/>
              <w:left w:val="nil"/>
              <w:bottom w:val="single" w:sz="4" w:space="0" w:color="auto"/>
              <w:right w:val="single" w:sz="4" w:space="0" w:color="auto"/>
            </w:tcBorders>
            <w:shd w:val="clear" w:color="auto" w:fill="auto"/>
            <w:noWrap/>
            <w:vAlign w:val="center"/>
            <w:hideMark/>
          </w:tcPr>
          <w:p w14:paraId="72EBECE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350,0</w:t>
            </w:r>
          </w:p>
        </w:tc>
        <w:tc>
          <w:tcPr>
            <w:tcW w:w="977" w:type="dxa"/>
            <w:tcBorders>
              <w:top w:val="nil"/>
              <w:left w:val="nil"/>
              <w:bottom w:val="single" w:sz="4" w:space="0" w:color="auto"/>
              <w:right w:val="single" w:sz="4" w:space="0" w:color="auto"/>
            </w:tcBorders>
            <w:shd w:val="clear" w:color="auto" w:fill="auto"/>
            <w:noWrap/>
            <w:vAlign w:val="center"/>
            <w:hideMark/>
          </w:tcPr>
          <w:p w14:paraId="5FEB78C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348,7</w:t>
            </w:r>
          </w:p>
        </w:tc>
        <w:tc>
          <w:tcPr>
            <w:tcW w:w="1179" w:type="dxa"/>
            <w:tcBorders>
              <w:top w:val="nil"/>
              <w:left w:val="nil"/>
              <w:bottom w:val="single" w:sz="4" w:space="0" w:color="auto"/>
              <w:right w:val="double" w:sz="6" w:space="0" w:color="auto"/>
            </w:tcBorders>
            <w:shd w:val="clear" w:color="auto" w:fill="auto"/>
            <w:noWrap/>
            <w:vAlign w:val="center"/>
            <w:hideMark/>
          </w:tcPr>
          <w:p w14:paraId="67868DD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99,6</w:t>
            </w:r>
          </w:p>
        </w:tc>
      </w:tr>
      <w:tr w:rsidR="00FD7B0B" w:rsidRPr="00FD7B0B" w14:paraId="6163C809" w14:textId="77777777" w:rsidTr="006B41E1">
        <w:trPr>
          <w:trHeight w:val="301"/>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5A5E247C"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закупки товаров, работ и услуг для обеспечения государственных нужд</w:t>
            </w:r>
          </w:p>
        </w:tc>
        <w:tc>
          <w:tcPr>
            <w:tcW w:w="558" w:type="dxa"/>
            <w:tcBorders>
              <w:top w:val="nil"/>
              <w:left w:val="nil"/>
              <w:bottom w:val="single" w:sz="4" w:space="0" w:color="auto"/>
              <w:right w:val="single" w:sz="4" w:space="0" w:color="auto"/>
            </w:tcBorders>
            <w:shd w:val="clear" w:color="auto" w:fill="auto"/>
            <w:noWrap/>
            <w:vAlign w:val="center"/>
            <w:hideMark/>
          </w:tcPr>
          <w:p w14:paraId="68AA9C6F"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w:t>
            </w:r>
          </w:p>
        </w:tc>
        <w:tc>
          <w:tcPr>
            <w:tcW w:w="1116" w:type="dxa"/>
            <w:tcBorders>
              <w:top w:val="nil"/>
              <w:left w:val="nil"/>
              <w:bottom w:val="single" w:sz="4" w:space="0" w:color="auto"/>
              <w:right w:val="single" w:sz="4" w:space="0" w:color="auto"/>
            </w:tcBorders>
            <w:shd w:val="clear" w:color="auto" w:fill="auto"/>
            <w:noWrap/>
            <w:vAlign w:val="center"/>
            <w:hideMark/>
          </w:tcPr>
          <w:p w14:paraId="7440440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174,7</w:t>
            </w:r>
          </w:p>
        </w:tc>
        <w:tc>
          <w:tcPr>
            <w:tcW w:w="1395" w:type="dxa"/>
            <w:tcBorders>
              <w:top w:val="nil"/>
              <w:left w:val="nil"/>
              <w:bottom w:val="single" w:sz="4" w:space="0" w:color="auto"/>
              <w:right w:val="single" w:sz="4" w:space="0" w:color="auto"/>
            </w:tcBorders>
            <w:shd w:val="clear" w:color="auto" w:fill="auto"/>
            <w:noWrap/>
            <w:vAlign w:val="center"/>
            <w:hideMark/>
          </w:tcPr>
          <w:p w14:paraId="607EF4D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163,5</w:t>
            </w:r>
          </w:p>
        </w:tc>
        <w:tc>
          <w:tcPr>
            <w:tcW w:w="977" w:type="dxa"/>
            <w:tcBorders>
              <w:top w:val="nil"/>
              <w:left w:val="nil"/>
              <w:bottom w:val="single" w:sz="4" w:space="0" w:color="auto"/>
              <w:right w:val="single" w:sz="4" w:space="0" w:color="auto"/>
            </w:tcBorders>
            <w:shd w:val="clear" w:color="auto" w:fill="auto"/>
            <w:noWrap/>
            <w:vAlign w:val="center"/>
            <w:hideMark/>
          </w:tcPr>
          <w:p w14:paraId="0182F75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159,6</w:t>
            </w:r>
          </w:p>
        </w:tc>
        <w:tc>
          <w:tcPr>
            <w:tcW w:w="1179" w:type="dxa"/>
            <w:tcBorders>
              <w:top w:val="nil"/>
              <w:left w:val="nil"/>
              <w:bottom w:val="single" w:sz="4" w:space="0" w:color="auto"/>
              <w:right w:val="double" w:sz="6" w:space="0" w:color="auto"/>
            </w:tcBorders>
            <w:shd w:val="clear" w:color="auto" w:fill="auto"/>
            <w:noWrap/>
            <w:vAlign w:val="center"/>
            <w:hideMark/>
          </w:tcPr>
          <w:p w14:paraId="18571F9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97,7</w:t>
            </w:r>
          </w:p>
        </w:tc>
      </w:tr>
      <w:tr w:rsidR="00FD7B0B" w:rsidRPr="00FD7B0B" w14:paraId="18D9F8A8" w14:textId="77777777" w:rsidTr="006B41E1">
        <w:trPr>
          <w:trHeight w:val="251"/>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4BFDE0FD"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Публичные нормативные социальные выплаты гражданам</w:t>
            </w:r>
          </w:p>
        </w:tc>
        <w:tc>
          <w:tcPr>
            <w:tcW w:w="558" w:type="dxa"/>
            <w:tcBorders>
              <w:top w:val="nil"/>
              <w:left w:val="nil"/>
              <w:bottom w:val="single" w:sz="4" w:space="0" w:color="auto"/>
              <w:right w:val="single" w:sz="4" w:space="0" w:color="auto"/>
            </w:tcBorders>
            <w:shd w:val="clear" w:color="auto" w:fill="auto"/>
            <w:noWrap/>
            <w:vAlign w:val="center"/>
            <w:hideMark/>
          </w:tcPr>
          <w:p w14:paraId="65AD38A7"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310</w:t>
            </w:r>
          </w:p>
        </w:tc>
        <w:tc>
          <w:tcPr>
            <w:tcW w:w="1116" w:type="dxa"/>
            <w:tcBorders>
              <w:top w:val="nil"/>
              <w:left w:val="nil"/>
              <w:bottom w:val="single" w:sz="4" w:space="0" w:color="auto"/>
              <w:right w:val="single" w:sz="4" w:space="0" w:color="auto"/>
            </w:tcBorders>
            <w:shd w:val="clear" w:color="auto" w:fill="auto"/>
            <w:noWrap/>
            <w:vAlign w:val="center"/>
            <w:hideMark/>
          </w:tcPr>
          <w:p w14:paraId="41634A5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6 087,4</w:t>
            </w:r>
          </w:p>
        </w:tc>
        <w:tc>
          <w:tcPr>
            <w:tcW w:w="1395" w:type="dxa"/>
            <w:tcBorders>
              <w:top w:val="nil"/>
              <w:left w:val="nil"/>
              <w:bottom w:val="single" w:sz="4" w:space="0" w:color="auto"/>
              <w:right w:val="single" w:sz="4" w:space="0" w:color="auto"/>
            </w:tcBorders>
            <w:shd w:val="clear" w:color="auto" w:fill="auto"/>
            <w:noWrap/>
            <w:vAlign w:val="center"/>
            <w:hideMark/>
          </w:tcPr>
          <w:p w14:paraId="1927C61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5 057,8</w:t>
            </w:r>
          </w:p>
        </w:tc>
        <w:tc>
          <w:tcPr>
            <w:tcW w:w="977" w:type="dxa"/>
            <w:tcBorders>
              <w:top w:val="nil"/>
              <w:left w:val="nil"/>
              <w:bottom w:val="single" w:sz="4" w:space="0" w:color="auto"/>
              <w:right w:val="single" w:sz="4" w:space="0" w:color="auto"/>
            </w:tcBorders>
            <w:shd w:val="clear" w:color="auto" w:fill="auto"/>
            <w:noWrap/>
            <w:vAlign w:val="center"/>
            <w:hideMark/>
          </w:tcPr>
          <w:p w14:paraId="25E856E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5 055,7</w:t>
            </w:r>
          </w:p>
        </w:tc>
        <w:tc>
          <w:tcPr>
            <w:tcW w:w="1179" w:type="dxa"/>
            <w:tcBorders>
              <w:top w:val="nil"/>
              <w:left w:val="nil"/>
              <w:bottom w:val="single" w:sz="4" w:space="0" w:color="auto"/>
              <w:right w:val="double" w:sz="6" w:space="0" w:color="auto"/>
            </w:tcBorders>
            <w:shd w:val="clear" w:color="auto" w:fill="auto"/>
            <w:noWrap/>
            <w:vAlign w:val="center"/>
            <w:hideMark/>
          </w:tcPr>
          <w:p w14:paraId="5D5B766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F7D7506" w14:textId="77777777" w:rsidTr="006B41E1">
        <w:trPr>
          <w:trHeight w:val="216"/>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7D24F116"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Социальные выплаты гражданам, кроме публичных нормативных социальных выплат</w:t>
            </w:r>
          </w:p>
        </w:tc>
        <w:tc>
          <w:tcPr>
            <w:tcW w:w="558" w:type="dxa"/>
            <w:tcBorders>
              <w:top w:val="nil"/>
              <w:left w:val="nil"/>
              <w:bottom w:val="single" w:sz="4" w:space="0" w:color="auto"/>
              <w:right w:val="single" w:sz="4" w:space="0" w:color="auto"/>
            </w:tcBorders>
            <w:shd w:val="clear" w:color="auto" w:fill="auto"/>
            <w:noWrap/>
            <w:vAlign w:val="center"/>
            <w:hideMark/>
          </w:tcPr>
          <w:p w14:paraId="0D41D1B5"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320</w:t>
            </w:r>
          </w:p>
        </w:tc>
        <w:tc>
          <w:tcPr>
            <w:tcW w:w="1116" w:type="dxa"/>
            <w:tcBorders>
              <w:top w:val="nil"/>
              <w:left w:val="nil"/>
              <w:bottom w:val="single" w:sz="4" w:space="0" w:color="auto"/>
              <w:right w:val="single" w:sz="4" w:space="0" w:color="auto"/>
            </w:tcBorders>
            <w:shd w:val="clear" w:color="auto" w:fill="auto"/>
            <w:noWrap/>
            <w:vAlign w:val="center"/>
            <w:hideMark/>
          </w:tcPr>
          <w:p w14:paraId="3116B1D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4 149,9</w:t>
            </w:r>
          </w:p>
        </w:tc>
        <w:tc>
          <w:tcPr>
            <w:tcW w:w="1395" w:type="dxa"/>
            <w:tcBorders>
              <w:top w:val="nil"/>
              <w:left w:val="nil"/>
              <w:bottom w:val="single" w:sz="4" w:space="0" w:color="auto"/>
              <w:right w:val="single" w:sz="4" w:space="0" w:color="auto"/>
            </w:tcBorders>
            <w:shd w:val="clear" w:color="auto" w:fill="auto"/>
            <w:noWrap/>
            <w:vAlign w:val="center"/>
            <w:hideMark/>
          </w:tcPr>
          <w:p w14:paraId="4EB181E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4 385,8</w:t>
            </w:r>
          </w:p>
        </w:tc>
        <w:tc>
          <w:tcPr>
            <w:tcW w:w="977" w:type="dxa"/>
            <w:tcBorders>
              <w:top w:val="nil"/>
              <w:left w:val="nil"/>
              <w:bottom w:val="single" w:sz="4" w:space="0" w:color="auto"/>
              <w:right w:val="single" w:sz="4" w:space="0" w:color="auto"/>
            </w:tcBorders>
            <w:shd w:val="clear" w:color="auto" w:fill="auto"/>
            <w:noWrap/>
            <w:vAlign w:val="center"/>
            <w:hideMark/>
          </w:tcPr>
          <w:p w14:paraId="0AD29F3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4 384,4</w:t>
            </w:r>
          </w:p>
        </w:tc>
        <w:tc>
          <w:tcPr>
            <w:tcW w:w="1179" w:type="dxa"/>
            <w:tcBorders>
              <w:top w:val="nil"/>
              <w:left w:val="nil"/>
              <w:bottom w:val="single" w:sz="4" w:space="0" w:color="auto"/>
              <w:right w:val="double" w:sz="6" w:space="0" w:color="auto"/>
            </w:tcBorders>
            <w:shd w:val="clear" w:color="auto" w:fill="auto"/>
            <w:noWrap/>
            <w:vAlign w:val="center"/>
            <w:hideMark/>
          </w:tcPr>
          <w:p w14:paraId="4D31EDD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60DE4FF6" w14:textId="77777777" w:rsidTr="006B41E1">
        <w:trPr>
          <w:trHeight w:val="166"/>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5AFF1196"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Публичные нормативные выплаты гражданам несоциального характера</w:t>
            </w:r>
          </w:p>
        </w:tc>
        <w:tc>
          <w:tcPr>
            <w:tcW w:w="558" w:type="dxa"/>
            <w:tcBorders>
              <w:top w:val="nil"/>
              <w:left w:val="nil"/>
              <w:bottom w:val="single" w:sz="4" w:space="0" w:color="auto"/>
              <w:right w:val="single" w:sz="4" w:space="0" w:color="auto"/>
            </w:tcBorders>
            <w:shd w:val="clear" w:color="auto" w:fill="auto"/>
            <w:noWrap/>
            <w:vAlign w:val="center"/>
            <w:hideMark/>
          </w:tcPr>
          <w:p w14:paraId="0652A05B"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330</w:t>
            </w:r>
          </w:p>
        </w:tc>
        <w:tc>
          <w:tcPr>
            <w:tcW w:w="1116" w:type="dxa"/>
            <w:tcBorders>
              <w:top w:val="nil"/>
              <w:left w:val="nil"/>
              <w:bottom w:val="single" w:sz="4" w:space="0" w:color="auto"/>
              <w:right w:val="single" w:sz="4" w:space="0" w:color="auto"/>
            </w:tcBorders>
            <w:shd w:val="clear" w:color="auto" w:fill="auto"/>
            <w:noWrap/>
            <w:vAlign w:val="center"/>
            <w:hideMark/>
          </w:tcPr>
          <w:p w14:paraId="2ADE760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c>
          <w:tcPr>
            <w:tcW w:w="1395" w:type="dxa"/>
            <w:tcBorders>
              <w:top w:val="nil"/>
              <w:left w:val="nil"/>
              <w:bottom w:val="single" w:sz="4" w:space="0" w:color="auto"/>
              <w:right w:val="single" w:sz="4" w:space="0" w:color="auto"/>
            </w:tcBorders>
            <w:shd w:val="clear" w:color="auto" w:fill="auto"/>
            <w:noWrap/>
            <w:vAlign w:val="center"/>
            <w:hideMark/>
          </w:tcPr>
          <w:p w14:paraId="3362185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c>
          <w:tcPr>
            <w:tcW w:w="977" w:type="dxa"/>
            <w:tcBorders>
              <w:top w:val="nil"/>
              <w:left w:val="nil"/>
              <w:bottom w:val="single" w:sz="4" w:space="0" w:color="auto"/>
              <w:right w:val="single" w:sz="4" w:space="0" w:color="auto"/>
            </w:tcBorders>
            <w:shd w:val="clear" w:color="auto" w:fill="auto"/>
            <w:noWrap/>
            <w:vAlign w:val="center"/>
            <w:hideMark/>
          </w:tcPr>
          <w:p w14:paraId="554CDE3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c>
          <w:tcPr>
            <w:tcW w:w="1179" w:type="dxa"/>
            <w:tcBorders>
              <w:top w:val="nil"/>
              <w:left w:val="nil"/>
              <w:bottom w:val="single" w:sz="4" w:space="0" w:color="auto"/>
              <w:right w:val="double" w:sz="6" w:space="0" w:color="auto"/>
            </w:tcBorders>
            <w:shd w:val="clear" w:color="auto" w:fill="auto"/>
            <w:noWrap/>
            <w:vAlign w:val="center"/>
            <w:hideMark/>
          </w:tcPr>
          <w:p w14:paraId="00F562D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FEF3406" w14:textId="77777777" w:rsidTr="006B41E1">
        <w:trPr>
          <w:trHeight w:val="116"/>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4BAE797E"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w:t>
            </w:r>
          </w:p>
        </w:tc>
        <w:tc>
          <w:tcPr>
            <w:tcW w:w="558" w:type="dxa"/>
            <w:tcBorders>
              <w:top w:val="nil"/>
              <w:left w:val="nil"/>
              <w:bottom w:val="single" w:sz="4" w:space="0" w:color="auto"/>
              <w:right w:val="single" w:sz="4" w:space="0" w:color="auto"/>
            </w:tcBorders>
            <w:shd w:val="clear" w:color="auto" w:fill="auto"/>
            <w:noWrap/>
            <w:vAlign w:val="center"/>
            <w:hideMark/>
          </w:tcPr>
          <w:p w14:paraId="7F77B601"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520</w:t>
            </w:r>
          </w:p>
        </w:tc>
        <w:tc>
          <w:tcPr>
            <w:tcW w:w="1116" w:type="dxa"/>
            <w:tcBorders>
              <w:top w:val="nil"/>
              <w:left w:val="nil"/>
              <w:bottom w:val="single" w:sz="4" w:space="0" w:color="auto"/>
              <w:right w:val="single" w:sz="4" w:space="0" w:color="auto"/>
            </w:tcBorders>
            <w:shd w:val="clear" w:color="auto" w:fill="auto"/>
            <w:noWrap/>
            <w:vAlign w:val="center"/>
            <w:hideMark/>
          </w:tcPr>
          <w:p w14:paraId="2E8E3F6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43,2</w:t>
            </w:r>
          </w:p>
        </w:tc>
        <w:tc>
          <w:tcPr>
            <w:tcW w:w="1395" w:type="dxa"/>
            <w:tcBorders>
              <w:top w:val="nil"/>
              <w:left w:val="nil"/>
              <w:bottom w:val="single" w:sz="4" w:space="0" w:color="auto"/>
              <w:right w:val="single" w:sz="4" w:space="0" w:color="auto"/>
            </w:tcBorders>
            <w:shd w:val="clear" w:color="auto" w:fill="auto"/>
            <w:noWrap/>
            <w:vAlign w:val="center"/>
            <w:hideMark/>
          </w:tcPr>
          <w:p w14:paraId="2222E96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43,2</w:t>
            </w:r>
          </w:p>
        </w:tc>
        <w:tc>
          <w:tcPr>
            <w:tcW w:w="977" w:type="dxa"/>
            <w:tcBorders>
              <w:top w:val="nil"/>
              <w:left w:val="nil"/>
              <w:bottom w:val="single" w:sz="4" w:space="0" w:color="auto"/>
              <w:right w:val="single" w:sz="4" w:space="0" w:color="auto"/>
            </w:tcBorders>
            <w:shd w:val="clear" w:color="auto" w:fill="auto"/>
            <w:noWrap/>
            <w:vAlign w:val="center"/>
            <w:hideMark/>
          </w:tcPr>
          <w:p w14:paraId="3061A50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43,2</w:t>
            </w:r>
          </w:p>
        </w:tc>
        <w:tc>
          <w:tcPr>
            <w:tcW w:w="1179" w:type="dxa"/>
            <w:tcBorders>
              <w:top w:val="nil"/>
              <w:left w:val="nil"/>
              <w:bottom w:val="single" w:sz="4" w:space="0" w:color="auto"/>
              <w:right w:val="double" w:sz="6" w:space="0" w:color="auto"/>
            </w:tcBorders>
            <w:shd w:val="clear" w:color="auto" w:fill="auto"/>
            <w:noWrap/>
            <w:vAlign w:val="center"/>
            <w:hideMark/>
          </w:tcPr>
          <w:p w14:paraId="2D04103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1E58F66E" w14:textId="77777777" w:rsidTr="006B41E1">
        <w:trPr>
          <w:trHeight w:val="43"/>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66AB916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Субвенции</w:t>
            </w:r>
          </w:p>
        </w:tc>
        <w:tc>
          <w:tcPr>
            <w:tcW w:w="558" w:type="dxa"/>
            <w:tcBorders>
              <w:top w:val="nil"/>
              <w:left w:val="nil"/>
              <w:bottom w:val="single" w:sz="4" w:space="0" w:color="auto"/>
              <w:right w:val="single" w:sz="4" w:space="0" w:color="auto"/>
            </w:tcBorders>
            <w:shd w:val="clear" w:color="auto" w:fill="auto"/>
            <w:noWrap/>
            <w:vAlign w:val="center"/>
            <w:hideMark/>
          </w:tcPr>
          <w:p w14:paraId="5EF7458F"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530</w:t>
            </w:r>
          </w:p>
        </w:tc>
        <w:tc>
          <w:tcPr>
            <w:tcW w:w="1116" w:type="dxa"/>
            <w:tcBorders>
              <w:top w:val="nil"/>
              <w:left w:val="nil"/>
              <w:bottom w:val="single" w:sz="4" w:space="0" w:color="auto"/>
              <w:right w:val="single" w:sz="4" w:space="0" w:color="auto"/>
            </w:tcBorders>
            <w:shd w:val="clear" w:color="auto" w:fill="auto"/>
            <w:noWrap/>
            <w:vAlign w:val="center"/>
            <w:hideMark/>
          </w:tcPr>
          <w:p w14:paraId="4F3470E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1 185,2</w:t>
            </w:r>
          </w:p>
        </w:tc>
        <w:tc>
          <w:tcPr>
            <w:tcW w:w="1395" w:type="dxa"/>
            <w:tcBorders>
              <w:top w:val="nil"/>
              <w:left w:val="nil"/>
              <w:bottom w:val="single" w:sz="4" w:space="0" w:color="auto"/>
              <w:right w:val="single" w:sz="4" w:space="0" w:color="auto"/>
            </w:tcBorders>
            <w:shd w:val="clear" w:color="auto" w:fill="auto"/>
            <w:noWrap/>
            <w:vAlign w:val="center"/>
            <w:hideMark/>
          </w:tcPr>
          <w:p w14:paraId="29DCA56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1 123,8</w:t>
            </w:r>
          </w:p>
        </w:tc>
        <w:tc>
          <w:tcPr>
            <w:tcW w:w="977" w:type="dxa"/>
            <w:tcBorders>
              <w:top w:val="nil"/>
              <w:left w:val="nil"/>
              <w:bottom w:val="single" w:sz="4" w:space="0" w:color="auto"/>
              <w:right w:val="single" w:sz="4" w:space="0" w:color="auto"/>
            </w:tcBorders>
            <w:shd w:val="clear" w:color="auto" w:fill="auto"/>
            <w:noWrap/>
            <w:vAlign w:val="center"/>
            <w:hideMark/>
          </w:tcPr>
          <w:p w14:paraId="10C2964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1 123,6</w:t>
            </w:r>
          </w:p>
        </w:tc>
        <w:tc>
          <w:tcPr>
            <w:tcW w:w="1179" w:type="dxa"/>
            <w:tcBorders>
              <w:top w:val="nil"/>
              <w:left w:val="nil"/>
              <w:bottom w:val="single" w:sz="4" w:space="0" w:color="auto"/>
              <w:right w:val="double" w:sz="6" w:space="0" w:color="auto"/>
            </w:tcBorders>
            <w:shd w:val="clear" w:color="auto" w:fill="auto"/>
            <w:noWrap/>
            <w:vAlign w:val="center"/>
            <w:hideMark/>
          </w:tcPr>
          <w:p w14:paraId="140BA8D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163ACEC9" w14:textId="77777777" w:rsidTr="006B41E1">
        <w:trPr>
          <w:trHeight w:val="65"/>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55F2A7E3"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межбюджетные трансферты</w:t>
            </w:r>
          </w:p>
        </w:tc>
        <w:tc>
          <w:tcPr>
            <w:tcW w:w="558" w:type="dxa"/>
            <w:tcBorders>
              <w:top w:val="nil"/>
              <w:left w:val="nil"/>
              <w:bottom w:val="single" w:sz="4" w:space="0" w:color="auto"/>
              <w:right w:val="single" w:sz="4" w:space="0" w:color="auto"/>
            </w:tcBorders>
            <w:shd w:val="clear" w:color="auto" w:fill="auto"/>
            <w:noWrap/>
            <w:vAlign w:val="center"/>
            <w:hideMark/>
          </w:tcPr>
          <w:p w14:paraId="591F85B5"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540</w:t>
            </w:r>
          </w:p>
        </w:tc>
        <w:tc>
          <w:tcPr>
            <w:tcW w:w="1116" w:type="dxa"/>
            <w:tcBorders>
              <w:top w:val="nil"/>
              <w:left w:val="nil"/>
              <w:bottom w:val="single" w:sz="4" w:space="0" w:color="auto"/>
              <w:right w:val="single" w:sz="4" w:space="0" w:color="auto"/>
            </w:tcBorders>
            <w:shd w:val="clear" w:color="auto" w:fill="auto"/>
            <w:noWrap/>
            <w:vAlign w:val="center"/>
            <w:hideMark/>
          </w:tcPr>
          <w:p w14:paraId="29594D3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w:t>
            </w:r>
          </w:p>
        </w:tc>
        <w:tc>
          <w:tcPr>
            <w:tcW w:w="1395" w:type="dxa"/>
            <w:tcBorders>
              <w:top w:val="nil"/>
              <w:left w:val="nil"/>
              <w:bottom w:val="single" w:sz="4" w:space="0" w:color="auto"/>
              <w:right w:val="single" w:sz="4" w:space="0" w:color="auto"/>
            </w:tcBorders>
            <w:shd w:val="clear" w:color="auto" w:fill="auto"/>
            <w:noWrap/>
            <w:vAlign w:val="center"/>
            <w:hideMark/>
          </w:tcPr>
          <w:p w14:paraId="61F4165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w:t>
            </w:r>
          </w:p>
        </w:tc>
        <w:tc>
          <w:tcPr>
            <w:tcW w:w="977" w:type="dxa"/>
            <w:tcBorders>
              <w:top w:val="nil"/>
              <w:left w:val="nil"/>
              <w:bottom w:val="single" w:sz="4" w:space="0" w:color="auto"/>
              <w:right w:val="single" w:sz="4" w:space="0" w:color="auto"/>
            </w:tcBorders>
            <w:shd w:val="clear" w:color="auto" w:fill="auto"/>
            <w:noWrap/>
            <w:vAlign w:val="center"/>
            <w:hideMark/>
          </w:tcPr>
          <w:p w14:paraId="6C0AD06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1179" w:type="dxa"/>
            <w:tcBorders>
              <w:top w:val="nil"/>
              <w:left w:val="nil"/>
              <w:bottom w:val="single" w:sz="4" w:space="0" w:color="auto"/>
              <w:right w:val="double" w:sz="6" w:space="0" w:color="auto"/>
            </w:tcBorders>
            <w:shd w:val="clear" w:color="auto" w:fill="auto"/>
            <w:noWrap/>
            <w:vAlign w:val="center"/>
            <w:hideMark/>
          </w:tcPr>
          <w:p w14:paraId="75E967A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97,1</w:t>
            </w:r>
          </w:p>
        </w:tc>
      </w:tr>
      <w:tr w:rsidR="00FD7B0B" w:rsidRPr="00FD7B0B" w14:paraId="6B648E5F" w14:textId="77777777" w:rsidTr="006B41E1">
        <w:trPr>
          <w:trHeight w:val="112"/>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691BA964"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бюджетным учреждениям</w:t>
            </w:r>
          </w:p>
        </w:tc>
        <w:tc>
          <w:tcPr>
            <w:tcW w:w="558" w:type="dxa"/>
            <w:tcBorders>
              <w:top w:val="nil"/>
              <w:left w:val="nil"/>
              <w:bottom w:val="single" w:sz="4" w:space="0" w:color="auto"/>
              <w:right w:val="single" w:sz="4" w:space="0" w:color="auto"/>
            </w:tcBorders>
            <w:shd w:val="clear" w:color="auto" w:fill="auto"/>
            <w:noWrap/>
            <w:vAlign w:val="center"/>
            <w:hideMark/>
          </w:tcPr>
          <w:p w14:paraId="653E6041"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610</w:t>
            </w:r>
          </w:p>
        </w:tc>
        <w:tc>
          <w:tcPr>
            <w:tcW w:w="1116" w:type="dxa"/>
            <w:tcBorders>
              <w:top w:val="nil"/>
              <w:left w:val="nil"/>
              <w:bottom w:val="single" w:sz="4" w:space="0" w:color="auto"/>
              <w:right w:val="single" w:sz="4" w:space="0" w:color="auto"/>
            </w:tcBorders>
            <w:shd w:val="clear" w:color="auto" w:fill="auto"/>
            <w:noWrap/>
            <w:vAlign w:val="center"/>
            <w:hideMark/>
          </w:tcPr>
          <w:p w14:paraId="24FF924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4 747,8</w:t>
            </w:r>
          </w:p>
        </w:tc>
        <w:tc>
          <w:tcPr>
            <w:tcW w:w="1395" w:type="dxa"/>
            <w:tcBorders>
              <w:top w:val="nil"/>
              <w:left w:val="nil"/>
              <w:bottom w:val="single" w:sz="4" w:space="0" w:color="auto"/>
              <w:right w:val="single" w:sz="4" w:space="0" w:color="auto"/>
            </w:tcBorders>
            <w:shd w:val="clear" w:color="auto" w:fill="auto"/>
            <w:noWrap/>
            <w:vAlign w:val="center"/>
            <w:hideMark/>
          </w:tcPr>
          <w:p w14:paraId="7B9B808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4 833,2</w:t>
            </w:r>
          </w:p>
        </w:tc>
        <w:tc>
          <w:tcPr>
            <w:tcW w:w="977" w:type="dxa"/>
            <w:tcBorders>
              <w:top w:val="nil"/>
              <w:left w:val="nil"/>
              <w:bottom w:val="single" w:sz="4" w:space="0" w:color="auto"/>
              <w:right w:val="single" w:sz="4" w:space="0" w:color="auto"/>
            </w:tcBorders>
            <w:shd w:val="clear" w:color="auto" w:fill="auto"/>
            <w:noWrap/>
            <w:vAlign w:val="center"/>
            <w:hideMark/>
          </w:tcPr>
          <w:p w14:paraId="179E0FD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4 830,8</w:t>
            </w:r>
          </w:p>
        </w:tc>
        <w:tc>
          <w:tcPr>
            <w:tcW w:w="1179" w:type="dxa"/>
            <w:tcBorders>
              <w:top w:val="nil"/>
              <w:left w:val="nil"/>
              <w:bottom w:val="single" w:sz="4" w:space="0" w:color="auto"/>
              <w:right w:val="double" w:sz="6" w:space="0" w:color="auto"/>
            </w:tcBorders>
            <w:shd w:val="clear" w:color="auto" w:fill="auto"/>
            <w:noWrap/>
            <w:vAlign w:val="center"/>
            <w:hideMark/>
          </w:tcPr>
          <w:p w14:paraId="25D1598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5C11D367" w14:textId="77777777" w:rsidTr="006B41E1">
        <w:trPr>
          <w:trHeight w:val="43"/>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0BB6B5CC"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автономным учреждениям</w:t>
            </w:r>
          </w:p>
        </w:tc>
        <w:tc>
          <w:tcPr>
            <w:tcW w:w="558" w:type="dxa"/>
            <w:tcBorders>
              <w:top w:val="nil"/>
              <w:left w:val="nil"/>
              <w:bottom w:val="single" w:sz="4" w:space="0" w:color="auto"/>
              <w:right w:val="single" w:sz="4" w:space="0" w:color="auto"/>
            </w:tcBorders>
            <w:shd w:val="clear" w:color="auto" w:fill="auto"/>
            <w:noWrap/>
            <w:vAlign w:val="center"/>
            <w:hideMark/>
          </w:tcPr>
          <w:p w14:paraId="7B68FA25"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620</w:t>
            </w:r>
          </w:p>
        </w:tc>
        <w:tc>
          <w:tcPr>
            <w:tcW w:w="1116" w:type="dxa"/>
            <w:tcBorders>
              <w:top w:val="nil"/>
              <w:left w:val="nil"/>
              <w:bottom w:val="single" w:sz="4" w:space="0" w:color="auto"/>
              <w:right w:val="single" w:sz="4" w:space="0" w:color="auto"/>
            </w:tcBorders>
            <w:shd w:val="clear" w:color="auto" w:fill="auto"/>
            <w:noWrap/>
            <w:vAlign w:val="center"/>
            <w:hideMark/>
          </w:tcPr>
          <w:p w14:paraId="05514FA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430,3</w:t>
            </w:r>
          </w:p>
        </w:tc>
        <w:tc>
          <w:tcPr>
            <w:tcW w:w="1395" w:type="dxa"/>
            <w:tcBorders>
              <w:top w:val="nil"/>
              <w:left w:val="nil"/>
              <w:bottom w:val="single" w:sz="4" w:space="0" w:color="auto"/>
              <w:right w:val="single" w:sz="4" w:space="0" w:color="auto"/>
            </w:tcBorders>
            <w:shd w:val="clear" w:color="auto" w:fill="auto"/>
            <w:noWrap/>
            <w:vAlign w:val="center"/>
            <w:hideMark/>
          </w:tcPr>
          <w:p w14:paraId="1B68CCC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444,0</w:t>
            </w:r>
          </w:p>
        </w:tc>
        <w:tc>
          <w:tcPr>
            <w:tcW w:w="977" w:type="dxa"/>
            <w:tcBorders>
              <w:top w:val="nil"/>
              <w:left w:val="nil"/>
              <w:bottom w:val="single" w:sz="4" w:space="0" w:color="auto"/>
              <w:right w:val="single" w:sz="4" w:space="0" w:color="auto"/>
            </w:tcBorders>
            <w:shd w:val="clear" w:color="auto" w:fill="auto"/>
            <w:noWrap/>
            <w:vAlign w:val="center"/>
            <w:hideMark/>
          </w:tcPr>
          <w:p w14:paraId="1E858AD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443,8</w:t>
            </w:r>
          </w:p>
        </w:tc>
        <w:tc>
          <w:tcPr>
            <w:tcW w:w="1179" w:type="dxa"/>
            <w:tcBorders>
              <w:top w:val="nil"/>
              <w:left w:val="nil"/>
              <w:bottom w:val="single" w:sz="4" w:space="0" w:color="auto"/>
              <w:right w:val="double" w:sz="6" w:space="0" w:color="auto"/>
            </w:tcBorders>
            <w:shd w:val="clear" w:color="auto" w:fill="auto"/>
            <w:noWrap/>
            <w:vAlign w:val="center"/>
            <w:hideMark/>
          </w:tcPr>
          <w:p w14:paraId="042D61E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D3724DF" w14:textId="77777777" w:rsidTr="006B41E1">
        <w:trPr>
          <w:trHeight w:val="62"/>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32E7F341"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Субсидии некоммерческим организациям </w:t>
            </w:r>
            <w:r w:rsidRPr="00FD7B0B">
              <w:rPr>
                <w:rFonts w:ascii="Times New Roman" w:eastAsia="Times New Roman" w:hAnsi="Times New Roman" w:cs="Times New Roman"/>
                <w:sz w:val="16"/>
                <w:szCs w:val="16"/>
                <w:lang w:eastAsia="ru-RU"/>
              </w:rPr>
              <w:t xml:space="preserve">&lt;…&gt; </w:t>
            </w:r>
          </w:p>
        </w:tc>
        <w:tc>
          <w:tcPr>
            <w:tcW w:w="558" w:type="dxa"/>
            <w:tcBorders>
              <w:top w:val="nil"/>
              <w:left w:val="nil"/>
              <w:bottom w:val="single" w:sz="4" w:space="0" w:color="auto"/>
              <w:right w:val="single" w:sz="4" w:space="0" w:color="auto"/>
            </w:tcBorders>
            <w:shd w:val="clear" w:color="auto" w:fill="auto"/>
            <w:noWrap/>
            <w:vAlign w:val="center"/>
            <w:hideMark/>
          </w:tcPr>
          <w:p w14:paraId="076BE07B"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630</w:t>
            </w:r>
          </w:p>
        </w:tc>
        <w:tc>
          <w:tcPr>
            <w:tcW w:w="1116" w:type="dxa"/>
            <w:tcBorders>
              <w:top w:val="nil"/>
              <w:left w:val="nil"/>
              <w:bottom w:val="single" w:sz="4" w:space="0" w:color="auto"/>
              <w:right w:val="single" w:sz="4" w:space="0" w:color="auto"/>
            </w:tcBorders>
            <w:shd w:val="clear" w:color="auto" w:fill="auto"/>
            <w:noWrap/>
            <w:vAlign w:val="center"/>
            <w:hideMark/>
          </w:tcPr>
          <w:p w14:paraId="508F765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49,4</w:t>
            </w:r>
          </w:p>
        </w:tc>
        <w:tc>
          <w:tcPr>
            <w:tcW w:w="1395" w:type="dxa"/>
            <w:tcBorders>
              <w:top w:val="nil"/>
              <w:left w:val="nil"/>
              <w:bottom w:val="single" w:sz="4" w:space="0" w:color="auto"/>
              <w:right w:val="single" w:sz="4" w:space="0" w:color="auto"/>
            </w:tcBorders>
            <w:shd w:val="clear" w:color="auto" w:fill="auto"/>
            <w:noWrap/>
            <w:vAlign w:val="center"/>
            <w:hideMark/>
          </w:tcPr>
          <w:p w14:paraId="2ABB050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47,7</w:t>
            </w:r>
          </w:p>
        </w:tc>
        <w:tc>
          <w:tcPr>
            <w:tcW w:w="977" w:type="dxa"/>
            <w:tcBorders>
              <w:top w:val="nil"/>
              <w:left w:val="nil"/>
              <w:bottom w:val="single" w:sz="4" w:space="0" w:color="auto"/>
              <w:right w:val="single" w:sz="4" w:space="0" w:color="auto"/>
            </w:tcBorders>
            <w:shd w:val="clear" w:color="auto" w:fill="auto"/>
            <w:noWrap/>
            <w:vAlign w:val="center"/>
            <w:hideMark/>
          </w:tcPr>
          <w:p w14:paraId="63BBA95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47,7</w:t>
            </w:r>
          </w:p>
        </w:tc>
        <w:tc>
          <w:tcPr>
            <w:tcW w:w="1179" w:type="dxa"/>
            <w:tcBorders>
              <w:top w:val="nil"/>
              <w:left w:val="nil"/>
              <w:bottom w:val="single" w:sz="4" w:space="0" w:color="auto"/>
              <w:right w:val="double" w:sz="6" w:space="0" w:color="auto"/>
            </w:tcBorders>
            <w:shd w:val="clear" w:color="auto" w:fill="auto"/>
            <w:noWrap/>
            <w:vAlign w:val="center"/>
            <w:hideMark/>
          </w:tcPr>
          <w:p w14:paraId="315C4E5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F1A0EA1" w14:textId="77777777" w:rsidTr="006B41E1">
        <w:trPr>
          <w:trHeight w:val="43"/>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078E45BF" w14:textId="3CD18C2A" w:rsidR="002B392F" w:rsidRPr="00FD7B0B" w:rsidRDefault="002B392F" w:rsidP="00D64442">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Субсидии юридическим лицам</w:t>
            </w:r>
            <w:r w:rsidRPr="00FD7B0B">
              <w:rPr>
                <w:rFonts w:ascii="Times New Roman" w:eastAsia="Times New Roman" w:hAnsi="Times New Roman" w:cs="Times New Roman"/>
                <w:sz w:val="16"/>
                <w:szCs w:val="16"/>
                <w:lang w:eastAsia="ru-RU"/>
              </w:rPr>
              <w:t xml:space="preserve"> &lt;…&gt; </w:t>
            </w:r>
          </w:p>
        </w:tc>
        <w:tc>
          <w:tcPr>
            <w:tcW w:w="558" w:type="dxa"/>
            <w:tcBorders>
              <w:top w:val="nil"/>
              <w:left w:val="nil"/>
              <w:bottom w:val="single" w:sz="4" w:space="0" w:color="auto"/>
              <w:right w:val="single" w:sz="4" w:space="0" w:color="auto"/>
            </w:tcBorders>
            <w:shd w:val="clear" w:color="auto" w:fill="auto"/>
            <w:noWrap/>
            <w:vAlign w:val="center"/>
            <w:hideMark/>
          </w:tcPr>
          <w:p w14:paraId="781675D8"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810</w:t>
            </w:r>
          </w:p>
        </w:tc>
        <w:tc>
          <w:tcPr>
            <w:tcW w:w="1116" w:type="dxa"/>
            <w:tcBorders>
              <w:top w:val="nil"/>
              <w:left w:val="nil"/>
              <w:bottom w:val="single" w:sz="4" w:space="0" w:color="auto"/>
              <w:right w:val="single" w:sz="4" w:space="0" w:color="auto"/>
            </w:tcBorders>
            <w:shd w:val="clear" w:color="auto" w:fill="auto"/>
            <w:noWrap/>
            <w:vAlign w:val="center"/>
            <w:hideMark/>
          </w:tcPr>
          <w:p w14:paraId="10B3C7E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458,5</w:t>
            </w:r>
          </w:p>
        </w:tc>
        <w:tc>
          <w:tcPr>
            <w:tcW w:w="1395" w:type="dxa"/>
            <w:tcBorders>
              <w:top w:val="nil"/>
              <w:left w:val="nil"/>
              <w:bottom w:val="single" w:sz="4" w:space="0" w:color="auto"/>
              <w:right w:val="single" w:sz="4" w:space="0" w:color="auto"/>
            </w:tcBorders>
            <w:shd w:val="clear" w:color="auto" w:fill="auto"/>
            <w:noWrap/>
            <w:vAlign w:val="center"/>
            <w:hideMark/>
          </w:tcPr>
          <w:p w14:paraId="5C09644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591,8</w:t>
            </w:r>
          </w:p>
        </w:tc>
        <w:tc>
          <w:tcPr>
            <w:tcW w:w="977" w:type="dxa"/>
            <w:tcBorders>
              <w:top w:val="nil"/>
              <w:left w:val="nil"/>
              <w:bottom w:val="single" w:sz="4" w:space="0" w:color="auto"/>
              <w:right w:val="single" w:sz="4" w:space="0" w:color="auto"/>
            </w:tcBorders>
            <w:shd w:val="clear" w:color="auto" w:fill="auto"/>
            <w:noWrap/>
            <w:vAlign w:val="center"/>
            <w:hideMark/>
          </w:tcPr>
          <w:p w14:paraId="6F59C75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591,6</w:t>
            </w:r>
          </w:p>
        </w:tc>
        <w:tc>
          <w:tcPr>
            <w:tcW w:w="1179" w:type="dxa"/>
            <w:tcBorders>
              <w:top w:val="nil"/>
              <w:left w:val="nil"/>
              <w:bottom w:val="single" w:sz="4" w:space="0" w:color="auto"/>
              <w:right w:val="double" w:sz="6" w:space="0" w:color="auto"/>
            </w:tcBorders>
            <w:shd w:val="clear" w:color="auto" w:fill="auto"/>
            <w:noWrap/>
            <w:vAlign w:val="center"/>
            <w:hideMark/>
          </w:tcPr>
          <w:p w14:paraId="62407D7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DCA9893" w14:textId="77777777" w:rsidTr="006B41E1">
        <w:trPr>
          <w:trHeight w:val="139"/>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05B00C83"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Исполнение судебных актов</w:t>
            </w:r>
          </w:p>
        </w:tc>
        <w:tc>
          <w:tcPr>
            <w:tcW w:w="558" w:type="dxa"/>
            <w:tcBorders>
              <w:top w:val="nil"/>
              <w:left w:val="nil"/>
              <w:bottom w:val="single" w:sz="4" w:space="0" w:color="auto"/>
              <w:right w:val="single" w:sz="4" w:space="0" w:color="auto"/>
            </w:tcBorders>
            <w:shd w:val="clear" w:color="auto" w:fill="auto"/>
            <w:noWrap/>
            <w:vAlign w:val="center"/>
            <w:hideMark/>
          </w:tcPr>
          <w:p w14:paraId="4DDC9EC8"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830</w:t>
            </w:r>
          </w:p>
        </w:tc>
        <w:tc>
          <w:tcPr>
            <w:tcW w:w="1116" w:type="dxa"/>
            <w:tcBorders>
              <w:top w:val="nil"/>
              <w:left w:val="nil"/>
              <w:bottom w:val="single" w:sz="4" w:space="0" w:color="auto"/>
              <w:right w:val="single" w:sz="4" w:space="0" w:color="auto"/>
            </w:tcBorders>
            <w:shd w:val="clear" w:color="auto" w:fill="auto"/>
            <w:noWrap/>
            <w:vAlign w:val="center"/>
            <w:hideMark/>
          </w:tcPr>
          <w:p w14:paraId="23C44A6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1395" w:type="dxa"/>
            <w:tcBorders>
              <w:top w:val="nil"/>
              <w:left w:val="nil"/>
              <w:bottom w:val="single" w:sz="4" w:space="0" w:color="auto"/>
              <w:right w:val="single" w:sz="4" w:space="0" w:color="auto"/>
            </w:tcBorders>
            <w:shd w:val="clear" w:color="auto" w:fill="auto"/>
            <w:noWrap/>
            <w:vAlign w:val="center"/>
            <w:hideMark/>
          </w:tcPr>
          <w:p w14:paraId="3C6732E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977" w:type="dxa"/>
            <w:tcBorders>
              <w:top w:val="nil"/>
              <w:left w:val="nil"/>
              <w:bottom w:val="single" w:sz="4" w:space="0" w:color="auto"/>
              <w:right w:val="single" w:sz="4" w:space="0" w:color="auto"/>
            </w:tcBorders>
            <w:shd w:val="clear" w:color="auto" w:fill="auto"/>
            <w:noWrap/>
            <w:vAlign w:val="center"/>
            <w:hideMark/>
          </w:tcPr>
          <w:p w14:paraId="5E18877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1179" w:type="dxa"/>
            <w:tcBorders>
              <w:top w:val="nil"/>
              <w:left w:val="nil"/>
              <w:bottom w:val="single" w:sz="4" w:space="0" w:color="auto"/>
              <w:right w:val="double" w:sz="6" w:space="0" w:color="auto"/>
            </w:tcBorders>
            <w:shd w:val="clear" w:color="auto" w:fill="auto"/>
            <w:noWrap/>
            <w:vAlign w:val="center"/>
            <w:hideMark/>
          </w:tcPr>
          <w:p w14:paraId="6E116E8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98,4</w:t>
            </w:r>
          </w:p>
        </w:tc>
      </w:tr>
      <w:tr w:rsidR="00FD7B0B" w:rsidRPr="00FD7B0B" w14:paraId="02D2A5D9" w14:textId="77777777" w:rsidTr="006B41E1">
        <w:trPr>
          <w:trHeight w:val="186"/>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504BFD5E"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Уплата налогов, сборов и иных платежей</w:t>
            </w:r>
          </w:p>
        </w:tc>
        <w:tc>
          <w:tcPr>
            <w:tcW w:w="558" w:type="dxa"/>
            <w:tcBorders>
              <w:top w:val="nil"/>
              <w:left w:val="nil"/>
              <w:bottom w:val="single" w:sz="4" w:space="0" w:color="auto"/>
              <w:right w:val="single" w:sz="4" w:space="0" w:color="auto"/>
            </w:tcBorders>
            <w:shd w:val="clear" w:color="auto" w:fill="auto"/>
            <w:noWrap/>
            <w:vAlign w:val="center"/>
            <w:hideMark/>
          </w:tcPr>
          <w:p w14:paraId="0E43E14F"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850</w:t>
            </w:r>
          </w:p>
        </w:tc>
        <w:tc>
          <w:tcPr>
            <w:tcW w:w="1116" w:type="dxa"/>
            <w:tcBorders>
              <w:top w:val="nil"/>
              <w:left w:val="nil"/>
              <w:bottom w:val="single" w:sz="4" w:space="0" w:color="auto"/>
              <w:right w:val="single" w:sz="4" w:space="0" w:color="auto"/>
            </w:tcBorders>
            <w:shd w:val="clear" w:color="auto" w:fill="auto"/>
            <w:noWrap/>
            <w:vAlign w:val="center"/>
            <w:hideMark/>
          </w:tcPr>
          <w:p w14:paraId="5D27453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w:t>
            </w:r>
          </w:p>
        </w:tc>
        <w:tc>
          <w:tcPr>
            <w:tcW w:w="1395" w:type="dxa"/>
            <w:tcBorders>
              <w:top w:val="nil"/>
              <w:left w:val="nil"/>
              <w:bottom w:val="single" w:sz="4" w:space="0" w:color="auto"/>
              <w:right w:val="single" w:sz="4" w:space="0" w:color="auto"/>
            </w:tcBorders>
            <w:shd w:val="clear" w:color="auto" w:fill="auto"/>
            <w:noWrap/>
            <w:vAlign w:val="center"/>
            <w:hideMark/>
          </w:tcPr>
          <w:p w14:paraId="46979E6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w:t>
            </w:r>
          </w:p>
        </w:tc>
        <w:tc>
          <w:tcPr>
            <w:tcW w:w="977" w:type="dxa"/>
            <w:tcBorders>
              <w:top w:val="nil"/>
              <w:left w:val="nil"/>
              <w:bottom w:val="single" w:sz="4" w:space="0" w:color="auto"/>
              <w:right w:val="single" w:sz="4" w:space="0" w:color="auto"/>
            </w:tcBorders>
            <w:shd w:val="clear" w:color="auto" w:fill="auto"/>
            <w:noWrap/>
            <w:vAlign w:val="center"/>
            <w:hideMark/>
          </w:tcPr>
          <w:p w14:paraId="41A3E70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1179" w:type="dxa"/>
            <w:tcBorders>
              <w:top w:val="nil"/>
              <w:left w:val="nil"/>
              <w:bottom w:val="single" w:sz="4" w:space="0" w:color="auto"/>
              <w:right w:val="double" w:sz="6" w:space="0" w:color="auto"/>
            </w:tcBorders>
            <w:shd w:val="clear" w:color="auto" w:fill="auto"/>
            <w:noWrap/>
            <w:vAlign w:val="center"/>
            <w:hideMark/>
          </w:tcPr>
          <w:p w14:paraId="47E3A23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48,3</w:t>
            </w:r>
          </w:p>
        </w:tc>
      </w:tr>
      <w:tr w:rsidR="00FD7B0B" w:rsidRPr="00FD7B0B" w14:paraId="5BA927E3" w14:textId="77777777" w:rsidTr="006B41E1">
        <w:trPr>
          <w:trHeight w:val="89"/>
        </w:trPr>
        <w:tc>
          <w:tcPr>
            <w:tcW w:w="4536" w:type="dxa"/>
            <w:tcBorders>
              <w:top w:val="nil"/>
              <w:left w:val="double" w:sz="6" w:space="0" w:color="auto"/>
              <w:bottom w:val="single" w:sz="4" w:space="0" w:color="auto"/>
              <w:right w:val="single" w:sz="4" w:space="0" w:color="auto"/>
            </w:tcBorders>
            <w:shd w:val="clear" w:color="000000" w:fill="FEF1E7"/>
            <w:noWrap/>
            <w:vAlign w:val="bottom"/>
            <w:hideMark/>
          </w:tcPr>
          <w:p w14:paraId="66311A18"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w:t>
            </w:r>
          </w:p>
        </w:tc>
        <w:tc>
          <w:tcPr>
            <w:tcW w:w="558" w:type="dxa"/>
            <w:tcBorders>
              <w:top w:val="nil"/>
              <w:left w:val="nil"/>
              <w:bottom w:val="single" w:sz="4" w:space="0" w:color="auto"/>
              <w:right w:val="single" w:sz="4" w:space="0" w:color="auto"/>
            </w:tcBorders>
            <w:shd w:val="clear" w:color="000000" w:fill="FEF1E7"/>
            <w:noWrap/>
            <w:vAlign w:val="center"/>
            <w:hideMark/>
          </w:tcPr>
          <w:p w14:paraId="04C307A1" w14:textId="3510131C"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p>
        </w:tc>
        <w:tc>
          <w:tcPr>
            <w:tcW w:w="1116" w:type="dxa"/>
            <w:tcBorders>
              <w:top w:val="nil"/>
              <w:left w:val="nil"/>
              <w:bottom w:val="single" w:sz="4" w:space="0" w:color="auto"/>
              <w:right w:val="single" w:sz="4" w:space="0" w:color="auto"/>
            </w:tcBorders>
            <w:shd w:val="clear" w:color="000000" w:fill="FEF1E7"/>
            <w:noWrap/>
            <w:vAlign w:val="bottom"/>
            <w:hideMark/>
          </w:tcPr>
          <w:p w14:paraId="49086E1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17 700,7</w:t>
            </w:r>
          </w:p>
        </w:tc>
        <w:tc>
          <w:tcPr>
            <w:tcW w:w="1395" w:type="dxa"/>
            <w:tcBorders>
              <w:top w:val="nil"/>
              <w:left w:val="nil"/>
              <w:bottom w:val="single" w:sz="4" w:space="0" w:color="auto"/>
              <w:right w:val="single" w:sz="4" w:space="0" w:color="auto"/>
            </w:tcBorders>
            <w:shd w:val="clear" w:color="000000" w:fill="FEF1E7"/>
            <w:noWrap/>
            <w:vAlign w:val="bottom"/>
            <w:hideMark/>
          </w:tcPr>
          <w:p w14:paraId="6374A14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17 056,8</w:t>
            </w:r>
          </w:p>
        </w:tc>
        <w:tc>
          <w:tcPr>
            <w:tcW w:w="977" w:type="dxa"/>
            <w:tcBorders>
              <w:top w:val="nil"/>
              <w:left w:val="nil"/>
              <w:bottom w:val="single" w:sz="4" w:space="0" w:color="auto"/>
              <w:right w:val="single" w:sz="4" w:space="0" w:color="auto"/>
            </w:tcBorders>
            <w:shd w:val="clear" w:color="000000" w:fill="FEF1E7"/>
            <w:noWrap/>
            <w:vAlign w:val="bottom"/>
            <w:hideMark/>
          </w:tcPr>
          <w:p w14:paraId="0C5C05B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17 045,0</w:t>
            </w:r>
          </w:p>
        </w:tc>
        <w:tc>
          <w:tcPr>
            <w:tcW w:w="1179" w:type="dxa"/>
            <w:tcBorders>
              <w:top w:val="nil"/>
              <w:left w:val="nil"/>
              <w:bottom w:val="single" w:sz="4" w:space="0" w:color="auto"/>
              <w:right w:val="double" w:sz="6" w:space="0" w:color="auto"/>
            </w:tcBorders>
            <w:shd w:val="clear" w:color="000000" w:fill="FEF1E7"/>
            <w:noWrap/>
            <w:vAlign w:val="center"/>
            <w:hideMark/>
          </w:tcPr>
          <w:p w14:paraId="4154576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5F601C23" w14:textId="77777777" w:rsidTr="006B41E1">
        <w:trPr>
          <w:trHeight w:val="136"/>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036C0EC7"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Расходы на выплаты персоналу казенных учреждений</w:t>
            </w:r>
          </w:p>
        </w:tc>
        <w:tc>
          <w:tcPr>
            <w:tcW w:w="558" w:type="dxa"/>
            <w:tcBorders>
              <w:top w:val="nil"/>
              <w:left w:val="nil"/>
              <w:bottom w:val="single" w:sz="4" w:space="0" w:color="auto"/>
              <w:right w:val="single" w:sz="4" w:space="0" w:color="auto"/>
            </w:tcBorders>
            <w:shd w:val="clear" w:color="auto" w:fill="auto"/>
            <w:noWrap/>
            <w:vAlign w:val="center"/>
            <w:hideMark/>
          </w:tcPr>
          <w:p w14:paraId="637F9D91"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110</w:t>
            </w:r>
          </w:p>
        </w:tc>
        <w:tc>
          <w:tcPr>
            <w:tcW w:w="1116" w:type="dxa"/>
            <w:tcBorders>
              <w:top w:val="nil"/>
              <w:left w:val="nil"/>
              <w:bottom w:val="single" w:sz="4" w:space="0" w:color="auto"/>
              <w:right w:val="single" w:sz="4" w:space="0" w:color="auto"/>
            </w:tcBorders>
            <w:shd w:val="clear" w:color="auto" w:fill="auto"/>
            <w:noWrap/>
            <w:vAlign w:val="center"/>
            <w:hideMark/>
          </w:tcPr>
          <w:p w14:paraId="31CCA32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351,9</w:t>
            </w:r>
          </w:p>
        </w:tc>
        <w:tc>
          <w:tcPr>
            <w:tcW w:w="1395" w:type="dxa"/>
            <w:tcBorders>
              <w:top w:val="nil"/>
              <w:left w:val="nil"/>
              <w:bottom w:val="single" w:sz="4" w:space="0" w:color="auto"/>
              <w:right w:val="single" w:sz="4" w:space="0" w:color="auto"/>
            </w:tcBorders>
            <w:shd w:val="clear" w:color="auto" w:fill="auto"/>
            <w:noWrap/>
            <w:vAlign w:val="center"/>
            <w:hideMark/>
          </w:tcPr>
          <w:p w14:paraId="129B38E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350,0</w:t>
            </w:r>
          </w:p>
        </w:tc>
        <w:tc>
          <w:tcPr>
            <w:tcW w:w="977" w:type="dxa"/>
            <w:tcBorders>
              <w:top w:val="nil"/>
              <w:left w:val="nil"/>
              <w:bottom w:val="single" w:sz="4" w:space="0" w:color="auto"/>
              <w:right w:val="single" w:sz="4" w:space="0" w:color="auto"/>
            </w:tcBorders>
            <w:shd w:val="clear" w:color="auto" w:fill="auto"/>
            <w:noWrap/>
            <w:vAlign w:val="center"/>
            <w:hideMark/>
          </w:tcPr>
          <w:p w14:paraId="67E3B35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348,7</w:t>
            </w:r>
          </w:p>
        </w:tc>
        <w:tc>
          <w:tcPr>
            <w:tcW w:w="1179" w:type="dxa"/>
            <w:tcBorders>
              <w:top w:val="nil"/>
              <w:left w:val="nil"/>
              <w:bottom w:val="single" w:sz="4" w:space="0" w:color="auto"/>
              <w:right w:val="double" w:sz="6" w:space="0" w:color="auto"/>
            </w:tcBorders>
            <w:shd w:val="clear" w:color="auto" w:fill="auto"/>
            <w:noWrap/>
            <w:vAlign w:val="center"/>
            <w:hideMark/>
          </w:tcPr>
          <w:p w14:paraId="2562EE6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99,6</w:t>
            </w:r>
          </w:p>
        </w:tc>
      </w:tr>
      <w:tr w:rsidR="00FD7B0B" w:rsidRPr="00FD7B0B" w14:paraId="47248A01" w14:textId="77777777" w:rsidTr="006B41E1">
        <w:trPr>
          <w:trHeight w:val="228"/>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05245232"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закупки товаров, работ и услуг для обеспечения государственных нужд</w:t>
            </w:r>
          </w:p>
        </w:tc>
        <w:tc>
          <w:tcPr>
            <w:tcW w:w="558" w:type="dxa"/>
            <w:tcBorders>
              <w:top w:val="nil"/>
              <w:left w:val="nil"/>
              <w:bottom w:val="single" w:sz="4" w:space="0" w:color="auto"/>
              <w:right w:val="single" w:sz="4" w:space="0" w:color="auto"/>
            </w:tcBorders>
            <w:shd w:val="clear" w:color="auto" w:fill="auto"/>
            <w:noWrap/>
            <w:vAlign w:val="center"/>
            <w:hideMark/>
          </w:tcPr>
          <w:p w14:paraId="5D71F5B8"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w:t>
            </w:r>
          </w:p>
        </w:tc>
        <w:tc>
          <w:tcPr>
            <w:tcW w:w="1116" w:type="dxa"/>
            <w:tcBorders>
              <w:top w:val="nil"/>
              <w:left w:val="nil"/>
              <w:bottom w:val="single" w:sz="4" w:space="0" w:color="auto"/>
              <w:right w:val="single" w:sz="4" w:space="0" w:color="auto"/>
            </w:tcBorders>
            <w:shd w:val="clear" w:color="auto" w:fill="auto"/>
            <w:noWrap/>
            <w:vAlign w:val="center"/>
            <w:hideMark/>
          </w:tcPr>
          <w:p w14:paraId="77EC7E7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178,4</w:t>
            </w:r>
          </w:p>
        </w:tc>
        <w:tc>
          <w:tcPr>
            <w:tcW w:w="1395" w:type="dxa"/>
            <w:tcBorders>
              <w:top w:val="nil"/>
              <w:left w:val="nil"/>
              <w:bottom w:val="single" w:sz="4" w:space="0" w:color="auto"/>
              <w:right w:val="single" w:sz="4" w:space="0" w:color="auto"/>
            </w:tcBorders>
            <w:shd w:val="clear" w:color="auto" w:fill="auto"/>
            <w:noWrap/>
            <w:vAlign w:val="center"/>
            <w:hideMark/>
          </w:tcPr>
          <w:p w14:paraId="46BC874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165,7</w:t>
            </w:r>
          </w:p>
        </w:tc>
        <w:tc>
          <w:tcPr>
            <w:tcW w:w="977" w:type="dxa"/>
            <w:tcBorders>
              <w:top w:val="nil"/>
              <w:left w:val="nil"/>
              <w:bottom w:val="single" w:sz="4" w:space="0" w:color="auto"/>
              <w:right w:val="single" w:sz="4" w:space="0" w:color="auto"/>
            </w:tcBorders>
            <w:shd w:val="clear" w:color="auto" w:fill="auto"/>
            <w:noWrap/>
            <w:vAlign w:val="center"/>
            <w:hideMark/>
          </w:tcPr>
          <w:p w14:paraId="499E85E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161,9</w:t>
            </w:r>
          </w:p>
        </w:tc>
        <w:tc>
          <w:tcPr>
            <w:tcW w:w="1179" w:type="dxa"/>
            <w:tcBorders>
              <w:top w:val="nil"/>
              <w:left w:val="nil"/>
              <w:bottom w:val="single" w:sz="4" w:space="0" w:color="auto"/>
              <w:right w:val="double" w:sz="6" w:space="0" w:color="auto"/>
            </w:tcBorders>
            <w:shd w:val="clear" w:color="auto" w:fill="auto"/>
            <w:noWrap/>
            <w:vAlign w:val="center"/>
            <w:hideMark/>
          </w:tcPr>
          <w:p w14:paraId="6185052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97,7</w:t>
            </w:r>
          </w:p>
        </w:tc>
      </w:tr>
      <w:tr w:rsidR="00FD7B0B" w:rsidRPr="00FD7B0B" w14:paraId="21347AAA" w14:textId="77777777" w:rsidTr="006B41E1">
        <w:trPr>
          <w:trHeight w:val="49"/>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5FCF2F77"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Публичные нормативные социальные выплаты гражданам</w:t>
            </w:r>
          </w:p>
        </w:tc>
        <w:tc>
          <w:tcPr>
            <w:tcW w:w="558" w:type="dxa"/>
            <w:tcBorders>
              <w:top w:val="nil"/>
              <w:left w:val="nil"/>
              <w:bottom w:val="single" w:sz="4" w:space="0" w:color="auto"/>
              <w:right w:val="single" w:sz="4" w:space="0" w:color="auto"/>
            </w:tcBorders>
            <w:shd w:val="clear" w:color="auto" w:fill="auto"/>
            <w:noWrap/>
            <w:vAlign w:val="center"/>
            <w:hideMark/>
          </w:tcPr>
          <w:p w14:paraId="2A5CBFAC"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310</w:t>
            </w:r>
          </w:p>
        </w:tc>
        <w:tc>
          <w:tcPr>
            <w:tcW w:w="1116" w:type="dxa"/>
            <w:tcBorders>
              <w:top w:val="nil"/>
              <w:left w:val="nil"/>
              <w:bottom w:val="single" w:sz="4" w:space="0" w:color="auto"/>
              <w:right w:val="single" w:sz="4" w:space="0" w:color="auto"/>
            </w:tcBorders>
            <w:shd w:val="clear" w:color="auto" w:fill="auto"/>
            <w:noWrap/>
            <w:vAlign w:val="center"/>
            <w:hideMark/>
          </w:tcPr>
          <w:p w14:paraId="4332025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6 087,4</w:t>
            </w:r>
          </w:p>
        </w:tc>
        <w:tc>
          <w:tcPr>
            <w:tcW w:w="1395" w:type="dxa"/>
            <w:tcBorders>
              <w:top w:val="nil"/>
              <w:left w:val="nil"/>
              <w:bottom w:val="single" w:sz="4" w:space="0" w:color="auto"/>
              <w:right w:val="single" w:sz="4" w:space="0" w:color="auto"/>
            </w:tcBorders>
            <w:shd w:val="clear" w:color="auto" w:fill="auto"/>
            <w:noWrap/>
            <w:vAlign w:val="center"/>
            <w:hideMark/>
          </w:tcPr>
          <w:p w14:paraId="7090FA8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5 057,8</w:t>
            </w:r>
          </w:p>
        </w:tc>
        <w:tc>
          <w:tcPr>
            <w:tcW w:w="977" w:type="dxa"/>
            <w:tcBorders>
              <w:top w:val="nil"/>
              <w:left w:val="nil"/>
              <w:bottom w:val="single" w:sz="4" w:space="0" w:color="auto"/>
              <w:right w:val="single" w:sz="4" w:space="0" w:color="auto"/>
            </w:tcBorders>
            <w:shd w:val="clear" w:color="auto" w:fill="auto"/>
            <w:noWrap/>
            <w:vAlign w:val="center"/>
            <w:hideMark/>
          </w:tcPr>
          <w:p w14:paraId="04E70F7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5 055,7</w:t>
            </w:r>
          </w:p>
        </w:tc>
        <w:tc>
          <w:tcPr>
            <w:tcW w:w="1179" w:type="dxa"/>
            <w:tcBorders>
              <w:top w:val="nil"/>
              <w:left w:val="nil"/>
              <w:bottom w:val="single" w:sz="4" w:space="0" w:color="auto"/>
              <w:right w:val="double" w:sz="6" w:space="0" w:color="auto"/>
            </w:tcBorders>
            <w:shd w:val="clear" w:color="auto" w:fill="auto"/>
            <w:noWrap/>
            <w:vAlign w:val="center"/>
            <w:hideMark/>
          </w:tcPr>
          <w:p w14:paraId="2F49119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67C7A077" w14:textId="77777777" w:rsidTr="006B41E1">
        <w:trPr>
          <w:trHeight w:val="464"/>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7552970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Социальные выплаты гражданам, кроме публичных нормативных социальных выплат</w:t>
            </w:r>
          </w:p>
        </w:tc>
        <w:tc>
          <w:tcPr>
            <w:tcW w:w="558" w:type="dxa"/>
            <w:tcBorders>
              <w:top w:val="nil"/>
              <w:left w:val="nil"/>
              <w:bottom w:val="single" w:sz="4" w:space="0" w:color="auto"/>
              <w:right w:val="single" w:sz="4" w:space="0" w:color="auto"/>
            </w:tcBorders>
            <w:shd w:val="clear" w:color="auto" w:fill="auto"/>
            <w:noWrap/>
            <w:vAlign w:val="center"/>
            <w:hideMark/>
          </w:tcPr>
          <w:p w14:paraId="7C7A0957"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320</w:t>
            </w:r>
          </w:p>
        </w:tc>
        <w:tc>
          <w:tcPr>
            <w:tcW w:w="1116" w:type="dxa"/>
            <w:tcBorders>
              <w:top w:val="nil"/>
              <w:left w:val="nil"/>
              <w:bottom w:val="single" w:sz="4" w:space="0" w:color="auto"/>
              <w:right w:val="single" w:sz="4" w:space="0" w:color="auto"/>
            </w:tcBorders>
            <w:shd w:val="clear" w:color="auto" w:fill="auto"/>
            <w:noWrap/>
            <w:vAlign w:val="center"/>
            <w:hideMark/>
          </w:tcPr>
          <w:p w14:paraId="70C5483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4 149,9</w:t>
            </w:r>
          </w:p>
        </w:tc>
        <w:tc>
          <w:tcPr>
            <w:tcW w:w="1395" w:type="dxa"/>
            <w:tcBorders>
              <w:top w:val="nil"/>
              <w:left w:val="nil"/>
              <w:bottom w:val="single" w:sz="4" w:space="0" w:color="auto"/>
              <w:right w:val="single" w:sz="4" w:space="0" w:color="auto"/>
            </w:tcBorders>
            <w:shd w:val="clear" w:color="auto" w:fill="auto"/>
            <w:noWrap/>
            <w:vAlign w:val="center"/>
            <w:hideMark/>
          </w:tcPr>
          <w:p w14:paraId="5B70385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4 385,8</w:t>
            </w:r>
          </w:p>
        </w:tc>
        <w:tc>
          <w:tcPr>
            <w:tcW w:w="977" w:type="dxa"/>
            <w:tcBorders>
              <w:top w:val="nil"/>
              <w:left w:val="nil"/>
              <w:bottom w:val="single" w:sz="4" w:space="0" w:color="auto"/>
              <w:right w:val="single" w:sz="4" w:space="0" w:color="auto"/>
            </w:tcBorders>
            <w:shd w:val="clear" w:color="auto" w:fill="auto"/>
            <w:noWrap/>
            <w:vAlign w:val="center"/>
            <w:hideMark/>
          </w:tcPr>
          <w:p w14:paraId="7B2DB9F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4 384,4</w:t>
            </w:r>
          </w:p>
        </w:tc>
        <w:tc>
          <w:tcPr>
            <w:tcW w:w="1179" w:type="dxa"/>
            <w:tcBorders>
              <w:top w:val="nil"/>
              <w:left w:val="nil"/>
              <w:bottom w:val="single" w:sz="4" w:space="0" w:color="auto"/>
              <w:right w:val="double" w:sz="6" w:space="0" w:color="auto"/>
            </w:tcBorders>
            <w:shd w:val="clear" w:color="auto" w:fill="auto"/>
            <w:noWrap/>
            <w:vAlign w:val="center"/>
            <w:hideMark/>
          </w:tcPr>
          <w:p w14:paraId="2444359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D7F070B" w14:textId="77777777" w:rsidTr="006B41E1">
        <w:trPr>
          <w:trHeight w:val="233"/>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7063D62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Публичные нормативные выплаты гражданам несоциального характера</w:t>
            </w:r>
          </w:p>
        </w:tc>
        <w:tc>
          <w:tcPr>
            <w:tcW w:w="558" w:type="dxa"/>
            <w:tcBorders>
              <w:top w:val="nil"/>
              <w:left w:val="nil"/>
              <w:bottom w:val="single" w:sz="4" w:space="0" w:color="auto"/>
              <w:right w:val="single" w:sz="4" w:space="0" w:color="auto"/>
            </w:tcBorders>
            <w:shd w:val="clear" w:color="auto" w:fill="auto"/>
            <w:noWrap/>
            <w:vAlign w:val="center"/>
            <w:hideMark/>
          </w:tcPr>
          <w:p w14:paraId="411CCAED"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330</w:t>
            </w:r>
          </w:p>
        </w:tc>
        <w:tc>
          <w:tcPr>
            <w:tcW w:w="1116" w:type="dxa"/>
            <w:tcBorders>
              <w:top w:val="nil"/>
              <w:left w:val="nil"/>
              <w:bottom w:val="single" w:sz="4" w:space="0" w:color="auto"/>
              <w:right w:val="single" w:sz="4" w:space="0" w:color="auto"/>
            </w:tcBorders>
            <w:shd w:val="clear" w:color="auto" w:fill="auto"/>
            <w:noWrap/>
            <w:vAlign w:val="center"/>
            <w:hideMark/>
          </w:tcPr>
          <w:p w14:paraId="08A1B7B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c>
          <w:tcPr>
            <w:tcW w:w="1395" w:type="dxa"/>
            <w:tcBorders>
              <w:top w:val="nil"/>
              <w:left w:val="nil"/>
              <w:bottom w:val="single" w:sz="4" w:space="0" w:color="auto"/>
              <w:right w:val="single" w:sz="4" w:space="0" w:color="auto"/>
            </w:tcBorders>
            <w:shd w:val="clear" w:color="auto" w:fill="auto"/>
            <w:noWrap/>
            <w:vAlign w:val="center"/>
            <w:hideMark/>
          </w:tcPr>
          <w:p w14:paraId="3F10FA1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c>
          <w:tcPr>
            <w:tcW w:w="977" w:type="dxa"/>
            <w:tcBorders>
              <w:top w:val="nil"/>
              <w:left w:val="nil"/>
              <w:bottom w:val="single" w:sz="4" w:space="0" w:color="auto"/>
              <w:right w:val="single" w:sz="4" w:space="0" w:color="auto"/>
            </w:tcBorders>
            <w:shd w:val="clear" w:color="auto" w:fill="auto"/>
            <w:noWrap/>
            <w:vAlign w:val="center"/>
            <w:hideMark/>
          </w:tcPr>
          <w:p w14:paraId="0956F05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c>
          <w:tcPr>
            <w:tcW w:w="1179" w:type="dxa"/>
            <w:tcBorders>
              <w:top w:val="nil"/>
              <w:left w:val="nil"/>
              <w:bottom w:val="single" w:sz="4" w:space="0" w:color="auto"/>
              <w:right w:val="double" w:sz="6" w:space="0" w:color="auto"/>
            </w:tcBorders>
            <w:shd w:val="clear" w:color="auto" w:fill="auto"/>
            <w:noWrap/>
            <w:vAlign w:val="center"/>
            <w:hideMark/>
          </w:tcPr>
          <w:p w14:paraId="674F04F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867C782" w14:textId="77777777" w:rsidTr="006B41E1">
        <w:trPr>
          <w:trHeight w:val="184"/>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6D3E267B"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w:t>
            </w:r>
          </w:p>
        </w:tc>
        <w:tc>
          <w:tcPr>
            <w:tcW w:w="558" w:type="dxa"/>
            <w:tcBorders>
              <w:top w:val="nil"/>
              <w:left w:val="nil"/>
              <w:bottom w:val="single" w:sz="4" w:space="0" w:color="auto"/>
              <w:right w:val="single" w:sz="4" w:space="0" w:color="auto"/>
            </w:tcBorders>
            <w:shd w:val="clear" w:color="auto" w:fill="auto"/>
            <w:noWrap/>
            <w:vAlign w:val="center"/>
            <w:hideMark/>
          </w:tcPr>
          <w:p w14:paraId="045735B2"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520</w:t>
            </w:r>
          </w:p>
        </w:tc>
        <w:tc>
          <w:tcPr>
            <w:tcW w:w="1116" w:type="dxa"/>
            <w:tcBorders>
              <w:top w:val="nil"/>
              <w:left w:val="nil"/>
              <w:bottom w:val="single" w:sz="4" w:space="0" w:color="auto"/>
              <w:right w:val="single" w:sz="4" w:space="0" w:color="auto"/>
            </w:tcBorders>
            <w:shd w:val="clear" w:color="auto" w:fill="auto"/>
            <w:noWrap/>
            <w:vAlign w:val="center"/>
            <w:hideMark/>
          </w:tcPr>
          <w:p w14:paraId="20B3AEA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43,2</w:t>
            </w:r>
          </w:p>
        </w:tc>
        <w:tc>
          <w:tcPr>
            <w:tcW w:w="1395" w:type="dxa"/>
            <w:tcBorders>
              <w:top w:val="nil"/>
              <w:left w:val="nil"/>
              <w:bottom w:val="single" w:sz="4" w:space="0" w:color="auto"/>
              <w:right w:val="single" w:sz="4" w:space="0" w:color="auto"/>
            </w:tcBorders>
            <w:shd w:val="clear" w:color="auto" w:fill="auto"/>
            <w:noWrap/>
            <w:vAlign w:val="center"/>
            <w:hideMark/>
          </w:tcPr>
          <w:p w14:paraId="283F1C7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43,2</w:t>
            </w:r>
          </w:p>
        </w:tc>
        <w:tc>
          <w:tcPr>
            <w:tcW w:w="977" w:type="dxa"/>
            <w:tcBorders>
              <w:top w:val="nil"/>
              <w:left w:val="nil"/>
              <w:bottom w:val="single" w:sz="4" w:space="0" w:color="auto"/>
              <w:right w:val="single" w:sz="4" w:space="0" w:color="auto"/>
            </w:tcBorders>
            <w:shd w:val="clear" w:color="auto" w:fill="auto"/>
            <w:noWrap/>
            <w:vAlign w:val="center"/>
            <w:hideMark/>
          </w:tcPr>
          <w:p w14:paraId="18341A7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43,2</w:t>
            </w:r>
          </w:p>
        </w:tc>
        <w:tc>
          <w:tcPr>
            <w:tcW w:w="1179" w:type="dxa"/>
            <w:tcBorders>
              <w:top w:val="nil"/>
              <w:left w:val="nil"/>
              <w:bottom w:val="single" w:sz="4" w:space="0" w:color="auto"/>
              <w:right w:val="double" w:sz="6" w:space="0" w:color="auto"/>
            </w:tcBorders>
            <w:shd w:val="clear" w:color="auto" w:fill="auto"/>
            <w:noWrap/>
            <w:vAlign w:val="center"/>
            <w:hideMark/>
          </w:tcPr>
          <w:p w14:paraId="21E7E5C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326B6AB" w14:textId="77777777" w:rsidTr="006B41E1">
        <w:trPr>
          <w:trHeight w:val="88"/>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205D9E7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Субвенции</w:t>
            </w:r>
          </w:p>
        </w:tc>
        <w:tc>
          <w:tcPr>
            <w:tcW w:w="558" w:type="dxa"/>
            <w:tcBorders>
              <w:top w:val="nil"/>
              <w:left w:val="nil"/>
              <w:bottom w:val="single" w:sz="4" w:space="0" w:color="auto"/>
              <w:right w:val="single" w:sz="4" w:space="0" w:color="auto"/>
            </w:tcBorders>
            <w:shd w:val="clear" w:color="auto" w:fill="auto"/>
            <w:noWrap/>
            <w:vAlign w:val="center"/>
            <w:hideMark/>
          </w:tcPr>
          <w:p w14:paraId="42962090"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530</w:t>
            </w:r>
          </w:p>
        </w:tc>
        <w:tc>
          <w:tcPr>
            <w:tcW w:w="1116" w:type="dxa"/>
            <w:tcBorders>
              <w:top w:val="nil"/>
              <w:left w:val="nil"/>
              <w:bottom w:val="single" w:sz="4" w:space="0" w:color="auto"/>
              <w:right w:val="single" w:sz="4" w:space="0" w:color="auto"/>
            </w:tcBorders>
            <w:shd w:val="clear" w:color="auto" w:fill="auto"/>
            <w:noWrap/>
            <w:vAlign w:val="center"/>
            <w:hideMark/>
          </w:tcPr>
          <w:p w14:paraId="146C178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1 185,2</w:t>
            </w:r>
          </w:p>
        </w:tc>
        <w:tc>
          <w:tcPr>
            <w:tcW w:w="1395" w:type="dxa"/>
            <w:tcBorders>
              <w:top w:val="nil"/>
              <w:left w:val="nil"/>
              <w:bottom w:val="single" w:sz="4" w:space="0" w:color="auto"/>
              <w:right w:val="single" w:sz="4" w:space="0" w:color="auto"/>
            </w:tcBorders>
            <w:shd w:val="clear" w:color="auto" w:fill="auto"/>
            <w:noWrap/>
            <w:vAlign w:val="center"/>
            <w:hideMark/>
          </w:tcPr>
          <w:p w14:paraId="11CF0FA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1 123,8</w:t>
            </w:r>
          </w:p>
        </w:tc>
        <w:tc>
          <w:tcPr>
            <w:tcW w:w="977" w:type="dxa"/>
            <w:tcBorders>
              <w:top w:val="nil"/>
              <w:left w:val="nil"/>
              <w:bottom w:val="single" w:sz="4" w:space="0" w:color="auto"/>
              <w:right w:val="single" w:sz="4" w:space="0" w:color="auto"/>
            </w:tcBorders>
            <w:shd w:val="clear" w:color="auto" w:fill="auto"/>
            <w:noWrap/>
            <w:vAlign w:val="center"/>
            <w:hideMark/>
          </w:tcPr>
          <w:p w14:paraId="4F9928D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1 123,6</w:t>
            </w:r>
          </w:p>
        </w:tc>
        <w:tc>
          <w:tcPr>
            <w:tcW w:w="1179" w:type="dxa"/>
            <w:tcBorders>
              <w:top w:val="nil"/>
              <w:left w:val="nil"/>
              <w:bottom w:val="single" w:sz="4" w:space="0" w:color="auto"/>
              <w:right w:val="double" w:sz="6" w:space="0" w:color="auto"/>
            </w:tcBorders>
            <w:shd w:val="clear" w:color="auto" w:fill="auto"/>
            <w:noWrap/>
            <w:vAlign w:val="center"/>
            <w:hideMark/>
          </w:tcPr>
          <w:p w14:paraId="41C023B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6D60B67F" w14:textId="77777777" w:rsidTr="006B41E1">
        <w:trPr>
          <w:trHeight w:val="134"/>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7F3A5E69"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межбюджетные трансферты</w:t>
            </w:r>
          </w:p>
        </w:tc>
        <w:tc>
          <w:tcPr>
            <w:tcW w:w="558" w:type="dxa"/>
            <w:tcBorders>
              <w:top w:val="nil"/>
              <w:left w:val="nil"/>
              <w:bottom w:val="single" w:sz="4" w:space="0" w:color="auto"/>
              <w:right w:val="single" w:sz="4" w:space="0" w:color="auto"/>
            </w:tcBorders>
            <w:shd w:val="clear" w:color="auto" w:fill="auto"/>
            <w:noWrap/>
            <w:vAlign w:val="center"/>
            <w:hideMark/>
          </w:tcPr>
          <w:p w14:paraId="7D44ED5C"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540</w:t>
            </w:r>
          </w:p>
        </w:tc>
        <w:tc>
          <w:tcPr>
            <w:tcW w:w="1116" w:type="dxa"/>
            <w:tcBorders>
              <w:top w:val="nil"/>
              <w:left w:val="nil"/>
              <w:bottom w:val="single" w:sz="4" w:space="0" w:color="auto"/>
              <w:right w:val="single" w:sz="4" w:space="0" w:color="auto"/>
            </w:tcBorders>
            <w:shd w:val="clear" w:color="auto" w:fill="auto"/>
            <w:noWrap/>
            <w:vAlign w:val="center"/>
            <w:hideMark/>
          </w:tcPr>
          <w:p w14:paraId="5852E61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w:t>
            </w:r>
          </w:p>
        </w:tc>
        <w:tc>
          <w:tcPr>
            <w:tcW w:w="1395" w:type="dxa"/>
            <w:tcBorders>
              <w:top w:val="nil"/>
              <w:left w:val="nil"/>
              <w:bottom w:val="single" w:sz="4" w:space="0" w:color="auto"/>
              <w:right w:val="single" w:sz="4" w:space="0" w:color="auto"/>
            </w:tcBorders>
            <w:shd w:val="clear" w:color="auto" w:fill="auto"/>
            <w:noWrap/>
            <w:vAlign w:val="center"/>
            <w:hideMark/>
          </w:tcPr>
          <w:p w14:paraId="7F511FE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w:t>
            </w:r>
          </w:p>
        </w:tc>
        <w:tc>
          <w:tcPr>
            <w:tcW w:w="977" w:type="dxa"/>
            <w:tcBorders>
              <w:top w:val="nil"/>
              <w:left w:val="nil"/>
              <w:bottom w:val="single" w:sz="4" w:space="0" w:color="auto"/>
              <w:right w:val="single" w:sz="4" w:space="0" w:color="auto"/>
            </w:tcBorders>
            <w:shd w:val="clear" w:color="auto" w:fill="auto"/>
            <w:noWrap/>
            <w:vAlign w:val="center"/>
            <w:hideMark/>
          </w:tcPr>
          <w:p w14:paraId="6642835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1179" w:type="dxa"/>
            <w:tcBorders>
              <w:top w:val="nil"/>
              <w:left w:val="nil"/>
              <w:bottom w:val="single" w:sz="4" w:space="0" w:color="auto"/>
              <w:right w:val="double" w:sz="6" w:space="0" w:color="auto"/>
            </w:tcBorders>
            <w:shd w:val="clear" w:color="auto" w:fill="auto"/>
            <w:noWrap/>
            <w:vAlign w:val="center"/>
            <w:hideMark/>
          </w:tcPr>
          <w:p w14:paraId="20B57BF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97,1</w:t>
            </w:r>
          </w:p>
        </w:tc>
      </w:tr>
      <w:tr w:rsidR="00FD7B0B" w:rsidRPr="00FD7B0B" w14:paraId="2EC72CFC" w14:textId="77777777" w:rsidTr="006B41E1">
        <w:trPr>
          <w:trHeight w:val="43"/>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32462032"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бюджетным учреждениям</w:t>
            </w:r>
          </w:p>
        </w:tc>
        <w:tc>
          <w:tcPr>
            <w:tcW w:w="558" w:type="dxa"/>
            <w:tcBorders>
              <w:top w:val="nil"/>
              <w:left w:val="nil"/>
              <w:bottom w:val="single" w:sz="4" w:space="0" w:color="auto"/>
              <w:right w:val="single" w:sz="4" w:space="0" w:color="auto"/>
            </w:tcBorders>
            <w:shd w:val="clear" w:color="auto" w:fill="auto"/>
            <w:noWrap/>
            <w:vAlign w:val="center"/>
            <w:hideMark/>
          </w:tcPr>
          <w:p w14:paraId="474DF3F5"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610</w:t>
            </w:r>
          </w:p>
        </w:tc>
        <w:tc>
          <w:tcPr>
            <w:tcW w:w="1116" w:type="dxa"/>
            <w:tcBorders>
              <w:top w:val="nil"/>
              <w:left w:val="nil"/>
              <w:bottom w:val="single" w:sz="4" w:space="0" w:color="auto"/>
              <w:right w:val="single" w:sz="4" w:space="0" w:color="auto"/>
            </w:tcBorders>
            <w:shd w:val="clear" w:color="auto" w:fill="auto"/>
            <w:noWrap/>
            <w:vAlign w:val="center"/>
            <w:hideMark/>
          </w:tcPr>
          <w:p w14:paraId="1494D70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4 757,7</w:t>
            </w:r>
          </w:p>
        </w:tc>
        <w:tc>
          <w:tcPr>
            <w:tcW w:w="1395" w:type="dxa"/>
            <w:tcBorders>
              <w:top w:val="nil"/>
              <w:left w:val="nil"/>
              <w:bottom w:val="single" w:sz="4" w:space="0" w:color="auto"/>
              <w:right w:val="single" w:sz="4" w:space="0" w:color="auto"/>
            </w:tcBorders>
            <w:shd w:val="clear" w:color="auto" w:fill="auto"/>
            <w:noWrap/>
            <w:vAlign w:val="center"/>
            <w:hideMark/>
          </w:tcPr>
          <w:p w14:paraId="2D09AC9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4 840,5</w:t>
            </w:r>
          </w:p>
        </w:tc>
        <w:tc>
          <w:tcPr>
            <w:tcW w:w="977" w:type="dxa"/>
            <w:tcBorders>
              <w:top w:val="nil"/>
              <w:left w:val="nil"/>
              <w:bottom w:val="single" w:sz="4" w:space="0" w:color="auto"/>
              <w:right w:val="single" w:sz="4" w:space="0" w:color="auto"/>
            </w:tcBorders>
            <w:shd w:val="clear" w:color="auto" w:fill="auto"/>
            <w:noWrap/>
            <w:vAlign w:val="center"/>
            <w:hideMark/>
          </w:tcPr>
          <w:p w14:paraId="672DF0A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4 838,1</w:t>
            </w:r>
          </w:p>
        </w:tc>
        <w:tc>
          <w:tcPr>
            <w:tcW w:w="1179" w:type="dxa"/>
            <w:tcBorders>
              <w:top w:val="nil"/>
              <w:left w:val="nil"/>
              <w:bottom w:val="single" w:sz="4" w:space="0" w:color="auto"/>
              <w:right w:val="double" w:sz="6" w:space="0" w:color="auto"/>
            </w:tcBorders>
            <w:shd w:val="clear" w:color="auto" w:fill="auto"/>
            <w:noWrap/>
            <w:vAlign w:val="center"/>
            <w:hideMark/>
          </w:tcPr>
          <w:p w14:paraId="6876C09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5E304F14" w14:textId="77777777" w:rsidTr="006B41E1">
        <w:trPr>
          <w:trHeight w:val="84"/>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2A158801"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автономным учреждениям</w:t>
            </w:r>
          </w:p>
        </w:tc>
        <w:tc>
          <w:tcPr>
            <w:tcW w:w="558" w:type="dxa"/>
            <w:tcBorders>
              <w:top w:val="nil"/>
              <w:left w:val="nil"/>
              <w:bottom w:val="single" w:sz="4" w:space="0" w:color="auto"/>
              <w:right w:val="single" w:sz="4" w:space="0" w:color="auto"/>
            </w:tcBorders>
            <w:shd w:val="clear" w:color="auto" w:fill="auto"/>
            <w:noWrap/>
            <w:vAlign w:val="center"/>
            <w:hideMark/>
          </w:tcPr>
          <w:p w14:paraId="170F5AA5"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620</w:t>
            </w:r>
          </w:p>
        </w:tc>
        <w:tc>
          <w:tcPr>
            <w:tcW w:w="1116" w:type="dxa"/>
            <w:tcBorders>
              <w:top w:val="nil"/>
              <w:left w:val="nil"/>
              <w:bottom w:val="single" w:sz="4" w:space="0" w:color="auto"/>
              <w:right w:val="single" w:sz="4" w:space="0" w:color="auto"/>
            </w:tcBorders>
            <w:shd w:val="clear" w:color="auto" w:fill="auto"/>
            <w:noWrap/>
            <w:vAlign w:val="center"/>
            <w:hideMark/>
          </w:tcPr>
          <w:p w14:paraId="43151BF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431,8</w:t>
            </w:r>
          </w:p>
        </w:tc>
        <w:tc>
          <w:tcPr>
            <w:tcW w:w="1395" w:type="dxa"/>
            <w:tcBorders>
              <w:top w:val="nil"/>
              <w:left w:val="nil"/>
              <w:bottom w:val="single" w:sz="4" w:space="0" w:color="auto"/>
              <w:right w:val="single" w:sz="4" w:space="0" w:color="auto"/>
            </w:tcBorders>
            <w:shd w:val="clear" w:color="auto" w:fill="auto"/>
            <w:noWrap/>
            <w:vAlign w:val="center"/>
            <w:hideMark/>
          </w:tcPr>
          <w:p w14:paraId="1BDEE37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445,4</w:t>
            </w:r>
          </w:p>
        </w:tc>
        <w:tc>
          <w:tcPr>
            <w:tcW w:w="977" w:type="dxa"/>
            <w:tcBorders>
              <w:top w:val="nil"/>
              <w:left w:val="nil"/>
              <w:bottom w:val="single" w:sz="4" w:space="0" w:color="auto"/>
              <w:right w:val="single" w:sz="4" w:space="0" w:color="auto"/>
            </w:tcBorders>
            <w:shd w:val="clear" w:color="auto" w:fill="auto"/>
            <w:noWrap/>
            <w:vAlign w:val="center"/>
            <w:hideMark/>
          </w:tcPr>
          <w:p w14:paraId="50CA2FE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445,2</w:t>
            </w:r>
          </w:p>
        </w:tc>
        <w:tc>
          <w:tcPr>
            <w:tcW w:w="1179" w:type="dxa"/>
            <w:tcBorders>
              <w:top w:val="nil"/>
              <w:left w:val="nil"/>
              <w:bottom w:val="single" w:sz="4" w:space="0" w:color="auto"/>
              <w:right w:val="double" w:sz="6" w:space="0" w:color="auto"/>
            </w:tcBorders>
            <w:shd w:val="clear" w:color="auto" w:fill="auto"/>
            <w:noWrap/>
            <w:vAlign w:val="center"/>
            <w:hideMark/>
          </w:tcPr>
          <w:p w14:paraId="779D075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694223F" w14:textId="77777777" w:rsidTr="006B41E1">
        <w:trPr>
          <w:trHeight w:val="130"/>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7E569970"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Субсидии некоммерческим организациям </w:t>
            </w:r>
            <w:r w:rsidRPr="00FD7B0B">
              <w:rPr>
                <w:rFonts w:ascii="Times New Roman" w:eastAsia="Times New Roman" w:hAnsi="Times New Roman" w:cs="Times New Roman"/>
                <w:sz w:val="16"/>
                <w:szCs w:val="16"/>
                <w:lang w:eastAsia="ru-RU"/>
              </w:rPr>
              <w:t xml:space="preserve">&lt;…&gt; </w:t>
            </w:r>
          </w:p>
        </w:tc>
        <w:tc>
          <w:tcPr>
            <w:tcW w:w="558" w:type="dxa"/>
            <w:tcBorders>
              <w:top w:val="nil"/>
              <w:left w:val="nil"/>
              <w:bottom w:val="single" w:sz="4" w:space="0" w:color="auto"/>
              <w:right w:val="single" w:sz="4" w:space="0" w:color="auto"/>
            </w:tcBorders>
            <w:shd w:val="clear" w:color="auto" w:fill="auto"/>
            <w:noWrap/>
            <w:vAlign w:val="center"/>
            <w:hideMark/>
          </w:tcPr>
          <w:p w14:paraId="5B496276"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630</w:t>
            </w:r>
          </w:p>
        </w:tc>
        <w:tc>
          <w:tcPr>
            <w:tcW w:w="1116" w:type="dxa"/>
            <w:tcBorders>
              <w:top w:val="nil"/>
              <w:left w:val="nil"/>
              <w:bottom w:val="single" w:sz="4" w:space="0" w:color="auto"/>
              <w:right w:val="single" w:sz="4" w:space="0" w:color="auto"/>
            </w:tcBorders>
            <w:shd w:val="clear" w:color="auto" w:fill="auto"/>
            <w:noWrap/>
            <w:vAlign w:val="center"/>
            <w:hideMark/>
          </w:tcPr>
          <w:p w14:paraId="29531D9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49,4</w:t>
            </w:r>
          </w:p>
        </w:tc>
        <w:tc>
          <w:tcPr>
            <w:tcW w:w="1395" w:type="dxa"/>
            <w:tcBorders>
              <w:top w:val="nil"/>
              <w:left w:val="nil"/>
              <w:bottom w:val="single" w:sz="4" w:space="0" w:color="auto"/>
              <w:right w:val="single" w:sz="4" w:space="0" w:color="auto"/>
            </w:tcBorders>
            <w:shd w:val="clear" w:color="auto" w:fill="auto"/>
            <w:noWrap/>
            <w:vAlign w:val="center"/>
            <w:hideMark/>
          </w:tcPr>
          <w:p w14:paraId="74A3D43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47,7</w:t>
            </w:r>
          </w:p>
        </w:tc>
        <w:tc>
          <w:tcPr>
            <w:tcW w:w="977" w:type="dxa"/>
            <w:tcBorders>
              <w:top w:val="nil"/>
              <w:left w:val="nil"/>
              <w:bottom w:val="single" w:sz="4" w:space="0" w:color="auto"/>
              <w:right w:val="single" w:sz="4" w:space="0" w:color="auto"/>
            </w:tcBorders>
            <w:shd w:val="clear" w:color="auto" w:fill="auto"/>
            <w:noWrap/>
            <w:vAlign w:val="center"/>
            <w:hideMark/>
          </w:tcPr>
          <w:p w14:paraId="4C114D6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47,7</w:t>
            </w:r>
          </w:p>
        </w:tc>
        <w:tc>
          <w:tcPr>
            <w:tcW w:w="1179" w:type="dxa"/>
            <w:tcBorders>
              <w:top w:val="nil"/>
              <w:left w:val="nil"/>
              <w:bottom w:val="single" w:sz="4" w:space="0" w:color="auto"/>
              <w:right w:val="double" w:sz="6" w:space="0" w:color="auto"/>
            </w:tcBorders>
            <w:shd w:val="clear" w:color="auto" w:fill="auto"/>
            <w:noWrap/>
            <w:vAlign w:val="center"/>
            <w:hideMark/>
          </w:tcPr>
          <w:p w14:paraId="4ED4036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C84F179" w14:textId="77777777" w:rsidTr="006B41E1">
        <w:trPr>
          <w:trHeight w:val="161"/>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6BF2A6D2"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юридическим лицам</w:t>
            </w:r>
            <w:r w:rsidRPr="00FD7B0B">
              <w:rPr>
                <w:rFonts w:ascii="Times New Roman" w:eastAsia="Times New Roman" w:hAnsi="Times New Roman" w:cs="Times New Roman"/>
                <w:sz w:val="16"/>
                <w:szCs w:val="16"/>
                <w:lang w:eastAsia="ru-RU"/>
              </w:rPr>
              <w:t xml:space="preserve"> &lt;…&gt; </w:t>
            </w:r>
          </w:p>
        </w:tc>
        <w:tc>
          <w:tcPr>
            <w:tcW w:w="558" w:type="dxa"/>
            <w:tcBorders>
              <w:top w:val="nil"/>
              <w:left w:val="nil"/>
              <w:bottom w:val="single" w:sz="4" w:space="0" w:color="auto"/>
              <w:right w:val="single" w:sz="4" w:space="0" w:color="auto"/>
            </w:tcBorders>
            <w:shd w:val="clear" w:color="auto" w:fill="auto"/>
            <w:noWrap/>
            <w:vAlign w:val="center"/>
            <w:hideMark/>
          </w:tcPr>
          <w:p w14:paraId="56F6C19F"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810</w:t>
            </w:r>
          </w:p>
        </w:tc>
        <w:tc>
          <w:tcPr>
            <w:tcW w:w="1116" w:type="dxa"/>
            <w:tcBorders>
              <w:top w:val="nil"/>
              <w:left w:val="nil"/>
              <w:bottom w:val="single" w:sz="4" w:space="0" w:color="auto"/>
              <w:right w:val="single" w:sz="4" w:space="0" w:color="auto"/>
            </w:tcBorders>
            <w:shd w:val="clear" w:color="auto" w:fill="auto"/>
            <w:noWrap/>
            <w:vAlign w:val="center"/>
            <w:hideMark/>
          </w:tcPr>
          <w:p w14:paraId="536ECA0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458,5</w:t>
            </w:r>
          </w:p>
        </w:tc>
        <w:tc>
          <w:tcPr>
            <w:tcW w:w="1395" w:type="dxa"/>
            <w:tcBorders>
              <w:top w:val="nil"/>
              <w:left w:val="nil"/>
              <w:bottom w:val="single" w:sz="4" w:space="0" w:color="auto"/>
              <w:right w:val="single" w:sz="4" w:space="0" w:color="auto"/>
            </w:tcBorders>
            <w:shd w:val="clear" w:color="auto" w:fill="auto"/>
            <w:noWrap/>
            <w:vAlign w:val="center"/>
            <w:hideMark/>
          </w:tcPr>
          <w:p w14:paraId="5C4848A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591,8</w:t>
            </w:r>
          </w:p>
        </w:tc>
        <w:tc>
          <w:tcPr>
            <w:tcW w:w="977" w:type="dxa"/>
            <w:tcBorders>
              <w:top w:val="nil"/>
              <w:left w:val="nil"/>
              <w:bottom w:val="single" w:sz="4" w:space="0" w:color="auto"/>
              <w:right w:val="single" w:sz="4" w:space="0" w:color="auto"/>
            </w:tcBorders>
            <w:shd w:val="clear" w:color="auto" w:fill="auto"/>
            <w:noWrap/>
            <w:vAlign w:val="center"/>
            <w:hideMark/>
          </w:tcPr>
          <w:p w14:paraId="5C1802A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591,6</w:t>
            </w:r>
          </w:p>
        </w:tc>
        <w:tc>
          <w:tcPr>
            <w:tcW w:w="1179" w:type="dxa"/>
            <w:tcBorders>
              <w:top w:val="nil"/>
              <w:left w:val="nil"/>
              <w:bottom w:val="single" w:sz="4" w:space="0" w:color="auto"/>
              <w:right w:val="double" w:sz="6" w:space="0" w:color="auto"/>
            </w:tcBorders>
            <w:shd w:val="clear" w:color="auto" w:fill="auto"/>
            <w:noWrap/>
            <w:vAlign w:val="center"/>
            <w:hideMark/>
          </w:tcPr>
          <w:p w14:paraId="202AFEF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88F19AC" w14:textId="77777777" w:rsidTr="006B41E1">
        <w:trPr>
          <w:trHeight w:val="130"/>
        </w:trPr>
        <w:tc>
          <w:tcPr>
            <w:tcW w:w="4536" w:type="dxa"/>
            <w:tcBorders>
              <w:top w:val="nil"/>
              <w:left w:val="double" w:sz="6" w:space="0" w:color="auto"/>
              <w:bottom w:val="single" w:sz="4" w:space="0" w:color="auto"/>
              <w:right w:val="single" w:sz="4" w:space="0" w:color="auto"/>
            </w:tcBorders>
            <w:shd w:val="clear" w:color="auto" w:fill="auto"/>
            <w:vAlign w:val="bottom"/>
            <w:hideMark/>
          </w:tcPr>
          <w:p w14:paraId="03308654"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Исполнение судебных актов</w:t>
            </w:r>
          </w:p>
        </w:tc>
        <w:tc>
          <w:tcPr>
            <w:tcW w:w="558" w:type="dxa"/>
            <w:tcBorders>
              <w:top w:val="nil"/>
              <w:left w:val="nil"/>
              <w:bottom w:val="single" w:sz="4" w:space="0" w:color="auto"/>
              <w:right w:val="single" w:sz="4" w:space="0" w:color="auto"/>
            </w:tcBorders>
            <w:shd w:val="clear" w:color="auto" w:fill="auto"/>
            <w:noWrap/>
            <w:vAlign w:val="center"/>
            <w:hideMark/>
          </w:tcPr>
          <w:p w14:paraId="779DF00C"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830</w:t>
            </w:r>
          </w:p>
        </w:tc>
        <w:tc>
          <w:tcPr>
            <w:tcW w:w="1116" w:type="dxa"/>
            <w:tcBorders>
              <w:top w:val="nil"/>
              <w:left w:val="nil"/>
              <w:bottom w:val="single" w:sz="4" w:space="0" w:color="auto"/>
              <w:right w:val="single" w:sz="4" w:space="0" w:color="auto"/>
            </w:tcBorders>
            <w:shd w:val="clear" w:color="auto" w:fill="auto"/>
            <w:noWrap/>
            <w:vAlign w:val="center"/>
            <w:hideMark/>
          </w:tcPr>
          <w:p w14:paraId="010EEAA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1395" w:type="dxa"/>
            <w:tcBorders>
              <w:top w:val="nil"/>
              <w:left w:val="nil"/>
              <w:bottom w:val="single" w:sz="4" w:space="0" w:color="auto"/>
              <w:right w:val="single" w:sz="4" w:space="0" w:color="auto"/>
            </w:tcBorders>
            <w:shd w:val="clear" w:color="auto" w:fill="auto"/>
            <w:noWrap/>
            <w:vAlign w:val="center"/>
            <w:hideMark/>
          </w:tcPr>
          <w:p w14:paraId="344D07F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977" w:type="dxa"/>
            <w:tcBorders>
              <w:top w:val="nil"/>
              <w:left w:val="nil"/>
              <w:bottom w:val="single" w:sz="4" w:space="0" w:color="auto"/>
              <w:right w:val="single" w:sz="4" w:space="0" w:color="auto"/>
            </w:tcBorders>
            <w:shd w:val="clear" w:color="auto" w:fill="auto"/>
            <w:noWrap/>
            <w:vAlign w:val="center"/>
            <w:hideMark/>
          </w:tcPr>
          <w:p w14:paraId="0A37A63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1179" w:type="dxa"/>
            <w:tcBorders>
              <w:top w:val="nil"/>
              <w:left w:val="nil"/>
              <w:bottom w:val="single" w:sz="4" w:space="0" w:color="auto"/>
              <w:right w:val="double" w:sz="6" w:space="0" w:color="auto"/>
            </w:tcBorders>
            <w:shd w:val="clear" w:color="auto" w:fill="auto"/>
            <w:noWrap/>
            <w:vAlign w:val="center"/>
            <w:hideMark/>
          </w:tcPr>
          <w:p w14:paraId="13F13BC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98,4</w:t>
            </w:r>
          </w:p>
        </w:tc>
      </w:tr>
      <w:tr w:rsidR="00FD7B0B" w:rsidRPr="00FD7B0B" w14:paraId="2404412B" w14:textId="77777777" w:rsidTr="006B41E1">
        <w:trPr>
          <w:trHeight w:val="49"/>
        </w:trPr>
        <w:tc>
          <w:tcPr>
            <w:tcW w:w="4536" w:type="dxa"/>
            <w:tcBorders>
              <w:top w:val="nil"/>
              <w:left w:val="double" w:sz="6" w:space="0" w:color="auto"/>
              <w:bottom w:val="double" w:sz="6" w:space="0" w:color="auto"/>
              <w:right w:val="single" w:sz="4" w:space="0" w:color="auto"/>
            </w:tcBorders>
            <w:shd w:val="clear" w:color="auto" w:fill="auto"/>
            <w:vAlign w:val="bottom"/>
            <w:hideMark/>
          </w:tcPr>
          <w:p w14:paraId="14D8AB8C"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Уплата налогов, сборов и иных платежей</w:t>
            </w:r>
          </w:p>
        </w:tc>
        <w:tc>
          <w:tcPr>
            <w:tcW w:w="558" w:type="dxa"/>
            <w:tcBorders>
              <w:top w:val="nil"/>
              <w:left w:val="nil"/>
              <w:bottom w:val="double" w:sz="6" w:space="0" w:color="auto"/>
              <w:right w:val="single" w:sz="4" w:space="0" w:color="auto"/>
            </w:tcBorders>
            <w:shd w:val="clear" w:color="auto" w:fill="auto"/>
            <w:noWrap/>
            <w:vAlign w:val="center"/>
            <w:hideMark/>
          </w:tcPr>
          <w:p w14:paraId="5739E3B3" w14:textId="77777777" w:rsidR="002B392F" w:rsidRPr="00FD7B0B" w:rsidRDefault="002B392F" w:rsidP="005577B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850</w:t>
            </w:r>
          </w:p>
        </w:tc>
        <w:tc>
          <w:tcPr>
            <w:tcW w:w="1116" w:type="dxa"/>
            <w:tcBorders>
              <w:top w:val="nil"/>
              <w:left w:val="nil"/>
              <w:bottom w:val="double" w:sz="6" w:space="0" w:color="auto"/>
              <w:right w:val="single" w:sz="4" w:space="0" w:color="auto"/>
            </w:tcBorders>
            <w:shd w:val="clear" w:color="auto" w:fill="auto"/>
            <w:noWrap/>
            <w:vAlign w:val="center"/>
            <w:hideMark/>
          </w:tcPr>
          <w:p w14:paraId="62E1374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w:t>
            </w:r>
          </w:p>
        </w:tc>
        <w:tc>
          <w:tcPr>
            <w:tcW w:w="1395" w:type="dxa"/>
            <w:tcBorders>
              <w:top w:val="nil"/>
              <w:left w:val="nil"/>
              <w:bottom w:val="double" w:sz="6" w:space="0" w:color="auto"/>
              <w:right w:val="single" w:sz="4" w:space="0" w:color="auto"/>
            </w:tcBorders>
            <w:shd w:val="clear" w:color="auto" w:fill="auto"/>
            <w:noWrap/>
            <w:vAlign w:val="center"/>
            <w:hideMark/>
          </w:tcPr>
          <w:p w14:paraId="7513BBC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w:t>
            </w:r>
          </w:p>
        </w:tc>
        <w:tc>
          <w:tcPr>
            <w:tcW w:w="977" w:type="dxa"/>
            <w:tcBorders>
              <w:top w:val="nil"/>
              <w:left w:val="nil"/>
              <w:bottom w:val="double" w:sz="6" w:space="0" w:color="auto"/>
              <w:right w:val="single" w:sz="4" w:space="0" w:color="auto"/>
            </w:tcBorders>
            <w:shd w:val="clear" w:color="auto" w:fill="auto"/>
            <w:noWrap/>
            <w:vAlign w:val="center"/>
            <w:hideMark/>
          </w:tcPr>
          <w:p w14:paraId="111862B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1179" w:type="dxa"/>
            <w:tcBorders>
              <w:top w:val="nil"/>
              <w:left w:val="nil"/>
              <w:bottom w:val="double" w:sz="6" w:space="0" w:color="auto"/>
              <w:right w:val="double" w:sz="6" w:space="0" w:color="auto"/>
            </w:tcBorders>
            <w:shd w:val="clear" w:color="auto" w:fill="auto"/>
            <w:noWrap/>
            <w:vAlign w:val="center"/>
            <w:hideMark/>
          </w:tcPr>
          <w:p w14:paraId="6F90E09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48,3</w:t>
            </w:r>
          </w:p>
        </w:tc>
      </w:tr>
    </w:tbl>
    <w:p w14:paraId="4477173D" w14:textId="77777777" w:rsidR="006B41E1" w:rsidRPr="00FD7B0B" w:rsidRDefault="006B41E1" w:rsidP="006B41E1">
      <w:pPr>
        <w:spacing w:after="0" w:line="240" w:lineRule="auto"/>
        <w:ind w:firstLine="709"/>
        <w:jc w:val="both"/>
        <w:rPr>
          <w:rFonts w:ascii="Times New Roman" w:eastAsia="Times New Roman" w:hAnsi="Times New Roman"/>
          <w:sz w:val="28"/>
          <w:szCs w:val="28"/>
          <w:lang w:eastAsia="ru-RU"/>
        </w:rPr>
      </w:pPr>
    </w:p>
    <w:p w14:paraId="5244D979" w14:textId="4D6FD47D" w:rsidR="002B392F" w:rsidRPr="00FD7B0B" w:rsidRDefault="002B392F" w:rsidP="006B41E1">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Основная часть расходов бюджета на реализацию мероприятий ГП 03 направлена на социальные выплаты гражданам 55,4</w:t>
      </w:r>
      <w:r w:rsidR="00C4775B"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предоставлено субсидий бюджетным и автономным учреждениям 31</w:t>
      </w:r>
      <w:r w:rsidR="006B41E1"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от общей суммы расходов.</w:t>
      </w:r>
    </w:p>
    <w:p w14:paraId="4AFADF3D" w14:textId="71C96EBE" w:rsidR="002B392F" w:rsidRPr="00FD7B0B" w:rsidRDefault="002B392F" w:rsidP="002B392F">
      <w:pPr>
        <w:spacing w:after="0" w:line="240" w:lineRule="auto"/>
        <w:ind w:firstLine="709"/>
        <w:contextualSpacing/>
        <w:jc w:val="both"/>
        <w:rPr>
          <w:rFonts w:ascii="Times New Roman" w:hAnsi="Times New Roman"/>
          <w:sz w:val="28"/>
          <w:szCs w:val="28"/>
        </w:rPr>
      </w:pPr>
      <w:r w:rsidRPr="00FD7B0B">
        <w:rPr>
          <w:rFonts w:ascii="Times New Roman" w:hAnsi="Times New Roman"/>
          <w:sz w:val="28"/>
          <w:szCs w:val="28"/>
        </w:rPr>
        <w:t xml:space="preserve">Кассовые расходы областного бюджета по субсидии на финансовое обеспечение государственного задания и субсидии на иные цели по всем подведомственным учреждениям </w:t>
      </w:r>
      <w:r w:rsidRPr="00FD7B0B">
        <w:rPr>
          <w:rFonts w:ascii="Times New Roman" w:eastAsia="Times New Roman" w:hAnsi="Times New Roman" w:cs="Times New Roman"/>
          <w:sz w:val="28"/>
          <w:szCs w:val="28"/>
          <w:lang w:eastAsia="ru-RU"/>
        </w:rPr>
        <w:t xml:space="preserve">минтрудсоцразвития АО, </w:t>
      </w:r>
      <w:r w:rsidR="00C4775B" w:rsidRPr="00FD7B0B">
        <w:rPr>
          <w:rFonts w:ascii="Times New Roman" w:hAnsi="Times New Roman"/>
          <w:sz w:val="28"/>
          <w:szCs w:val="28"/>
        </w:rPr>
        <w:t xml:space="preserve">представлены на рисунке </w:t>
      </w:r>
      <w:r w:rsidR="001358BD" w:rsidRPr="00FD7B0B">
        <w:rPr>
          <w:rFonts w:ascii="Times New Roman" w:hAnsi="Times New Roman"/>
          <w:sz w:val="28"/>
          <w:szCs w:val="28"/>
        </w:rPr>
        <w:t>11</w:t>
      </w:r>
      <w:r w:rsidRPr="00FD7B0B">
        <w:rPr>
          <w:rFonts w:ascii="Times New Roman" w:hAnsi="Times New Roman"/>
          <w:sz w:val="28"/>
          <w:szCs w:val="28"/>
        </w:rPr>
        <w:t>.</w:t>
      </w:r>
    </w:p>
    <w:p w14:paraId="7BA42C9A" w14:textId="72A98FFF" w:rsidR="002E7E31" w:rsidRPr="00FD7B0B" w:rsidRDefault="002E7E31" w:rsidP="002E7E31">
      <w:pPr>
        <w:spacing w:after="0" w:line="240" w:lineRule="auto"/>
        <w:contextualSpacing/>
        <w:jc w:val="center"/>
        <w:rPr>
          <w:rFonts w:ascii="Times New Roman" w:hAnsi="Times New Roman"/>
          <w:sz w:val="28"/>
          <w:szCs w:val="28"/>
        </w:rPr>
      </w:pPr>
      <w:r w:rsidRPr="00FD7B0B">
        <w:rPr>
          <w:rFonts w:ascii="Times New Roman" w:hAnsi="Times New Roman"/>
          <w:noProof/>
          <w:sz w:val="28"/>
          <w:szCs w:val="28"/>
          <w:lang w:eastAsia="ru-RU"/>
        </w:rPr>
        <w:drawing>
          <wp:inline distT="0" distB="0" distL="0" distR="0" wp14:anchorId="6C047085" wp14:editId="4F39ACDE">
            <wp:extent cx="5876925" cy="1249680"/>
            <wp:effectExtent l="0" t="0" r="9525" b="762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76925" cy="1249680"/>
                    </a:xfrm>
                    <a:prstGeom prst="rect">
                      <a:avLst/>
                    </a:prstGeom>
                    <a:noFill/>
                  </pic:spPr>
                </pic:pic>
              </a:graphicData>
            </a:graphic>
          </wp:inline>
        </w:drawing>
      </w:r>
    </w:p>
    <w:p w14:paraId="2A4F0636" w14:textId="77777777" w:rsidR="002B392F" w:rsidRPr="00FD7B0B" w:rsidRDefault="002B392F" w:rsidP="002B392F">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Рисунок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Рисунок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11</w:t>
      </w:r>
      <w:r w:rsidRPr="00FD7B0B">
        <w:rPr>
          <w:rFonts w:ascii="Times New Roman" w:hAnsi="Times New Roman"/>
          <w:sz w:val="24"/>
          <w:szCs w:val="24"/>
        </w:rPr>
        <w:fldChar w:fldCharType="end"/>
      </w:r>
      <w:r w:rsidRPr="00FD7B0B">
        <w:rPr>
          <w:rFonts w:ascii="Times New Roman" w:hAnsi="Times New Roman"/>
          <w:sz w:val="24"/>
          <w:szCs w:val="24"/>
        </w:rPr>
        <w:t xml:space="preserve">. Кассовые расходы областного бюджета за 2024 год подведомственных учреждений </w:t>
      </w:r>
      <w:r w:rsidRPr="00FD7B0B">
        <w:rPr>
          <w:rFonts w:ascii="Times New Roman" w:eastAsia="Times New Roman" w:hAnsi="Times New Roman" w:cs="Times New Roman"/>
          <w:sz w:val="24"/>
          <w:szCs w:val="24"/>
          <w:lang w:eastAsia="ru-RU"/>
        </w:rPr>
        <w:t>минтрудсоцразвития АО</w:t>
      </w:r>
      <w:r w:rsidRPr="00FD7B0B">
        <w:rPr>
          <w:rFonts w:ascii="Times New Roman" w:hAnsi="Times New Roman"/>
          <w:sz w:val="24"/>
          <w:szCs w:val="24"/>
        </w:rPr>
        <w:t xml:space="preserve"> в части субсидий, млн.руб.</w:t>
      </w:r>
    </w:p>
    <w:p w14:paraId="34AE0DC6" w14:textId="77777777" w:rsidR="002B392F" w:rsidRPr="00FD7B0B" w:rsidRDefault="002B392F" w:rsidP="002B392F">
      <w:pPr>
        <w:spacing w:after="0" w:line="240" w:lineRule="auto"/>
        <w:ind w:firstLine="709"/>
        <w:contextualSpacing/>
        <w:jc w:val="both"/>
        <w:rPr>
          <w:rFonts w:ascii="Times New Roman" w:hAnsi="Times New Roman"/>
          <w:sz w:val="28"/>
          <w:szCs w:val="28"/>
        </w:rPr>
      </w:pPr>
    </w:p>
    <w:p w14:paraId="14533BB3" w14:textId="4EACA791" w:rsidR="002B392F" w:rsidRPr="00FD7B0B" w:rsidRDefault="002B392F" w:rsidP="002B392F">
      <w:pPr>
        <w:spacing w:after="0" w:line="240" w:lineRule="auto"/>
        <w:ind w:firstLine="709"/>
        <w:contextualSpacing/>
        <w:jc w:val="both"/>
        <w:rPr>
          <w:rFonts w:ascii="Times New Roman" w:hAnsi="Times New Roman" w:cs="Times New Roman"/>
          <w:sz w:val="28"/>
          <w:szCs w:val="28"/>
        </w:rPr>
      </w:pPr>
      <w:r w:rsidRPr="00FD7B0B">
        <w:rPr>
          <w:rFonts w:ascii="Times New Roman" w:eastAsia="Calibri" w:hAnsi="Times New Roman" w:cs="Times New Roman"/>
          <w:sz w:val="28"/>
          <w:szCs w:val="28"/>
        </w:rPr>
        <w:t xml:space="preserve">По результатам выполнения установленных объемов государственного задания по государственным услугам на 2024 год, уточненных в сторону увеличения, ряд учреждений объем государственного задания по государственным услугам выполнили с учетом </w:t>
      </w:r>
      <w:r w:rsidRPr="00FD7B0B">
        <w:rPr>
          <w:rFonts w:ascii="Times New Roman" w:hAnsi="Times New Roman" w:cs="Times New Roman"/>
          <w:sz w:val="28"/>
          <w:szCs w:val="28"/>
        </w:rPr>
        <w:t xml:space="preserve">допустимых (возможных) отклонений от установленных показателей объема государственных услуг </w:t>
      </w:r>
      <w:r w:rsidRPr="00FD7B0B">
        <w:rPr>
          <w:rFonts w:ascii="Times New Roman" w:hAnsi="Times New Roman" w:cs="Times New Roman"/>
          <w:sz w:val="28"/>
          <w:szCs w:val="28"/>
        </w:rPr>
        <w:lastRenderedPageBreak/>
        <w:t xml:space="preserve">(работ), в пределах которых государственное задание считается выполненным. Допустимое (возможное) отклонение от установленных показателей объема государственной услуги (работы), в пределах которого государственное задание считается выполненным (%), </w:t>
      </w:r>
      <w:r w:rsidRPr="00FD7B0B">
        <w:rPr>
          <w:rFonts w:ascii="Times New Roman" w:eastAsia="Times New Roman" w:hAnsi="Times New Roman" w:cs="Times New Roman"/>
          <w:sz w:val="28"/>
          <w:szCs w:val="28"/>
          <w:lang w:eastAsia="ru-RU"/>
        </w:rPr>
        <w:t>минтрудсоцразвития АО</w:t>
      </w:r>
      <w:r w:rsidRPr="00FD7B0B">
        <w:rPr>
          <w:rFonts w:ascii="Times New Roman" w:hAnsi="Times New Roman" w:cs="Times New Roman"/>
          <w:sz w:val="28"/>
          <w:szCs w:val="28"/>
        </w:rPr>
        <w:t xml:space="preserve"> установлено от 5</w:t>
      </w:r>
      <w:r w:rsidR="002E7E31" w:rsidRPr="00FD7B0B">
        <w:rPr>
          <w:rFonts w:ascii="Times New Roman" w:hAnsi="Times New Roman" w:cs="Times New Roman"/>
          <w:sz w:val="28"/>
          <w:szCs w:val="28"/>
        </w:rPr>
        <w:t xml:space="preserve"> </w:t>
      </w:r>
      <w:r w:rsidRPr="00FD7B0B">
        <w:rPr>
          <w:rFonts w:ascii="Times New Roman" w:hAnsi="Times New Roman" w:cs="Times New Roman"/>
          <w:sz w:val="28"/>
          <w:szCs w:val="28"/>
        </w:rPr>
        <w:t>% до 30</w:t>
      </w:r>
      <w:r w:rsidR="002E7E31" w:rsidRPr="00FD7B0B">
        <w:rPr>
          <w:rFonts w:ascii="Times New Roman" w:hAnsi="Times New Roman" w:cs="Times New Roman"/>
          <w:sz w:val="28"/>
          <w:szCs w:val="28"/>
        </w:rPr>
        <w:t> </w:t>
      </w:r>
      <w:r w:rsidR="001358BD" w:rsidRPr="00FD7B0B">
        <w:rPr>
          <w:rFonts w:ascii="Times New Roman" w:hAnsi="Times New Roman" w:cs="Times New Roman"/>
          <w:sz w:val="28"/>
          <w:szCs w:val="28"/>
        </w:rPr>
        <w:t>%. Так, например:</w:t>
      </w:r>
    </w:p>
    <w:tbl>
      <w:tblPr>
        <w:tblW w:w="9643" w:type="dxa"/>
        <w:tblLayout w:type="fixed"/>
        <w:tblLook w:val="04A0" w:firstRow="1" w:lastRow="0" w:firstColumn="1" w:lastColumn="0" w:noHBand="0" w:noVBand="1"/>
      </w:tblPr>
      <w:tblGrid>
        <w:gridCol w:w="1825"/>
        <w:gridCol w:w="2830"/>
        <w:gridCol w:w="847"/>
        <w:gridCol w:w="709"/>
        <w:gridCol w:w="850"/>
        <w:gridCol w:w="737"/>
        <w:gridCol w:w="726"/>
        <w:gridCol w:w="1119"/>
      </w:tblGrid>
      <w:tr w:rsidR="00FD7B0B" w:rsidRPr="00FD7B0B" w14:paraId="2CFA7327" w14:textId="77777777" w:rsidTr="002E7E31">
        <w:trPr>
          <w:trHeight w:val="431"/>
          <w:tblHeader/>
        </w:trPr>
        <w:tc>
          <w:tcPr>
            <w:tcW w:w="1825" w:type="dxa"/>
            <w:vMerge w:val="restart"/>
            <w:tcBorders>
              <w:top w:val="double" w:sz="6" w:space="0" w:color="000000"/>
              <w:left w:val="double" w:sz="6" w:space="0" w:color="000000"/>
              <w:bottom w:val="single" w:sz="4" w:space="0" w:color="000000"/>
              <w:right w:val="single" w:sz="4" w:space="0" w:color="000000"/>
            </w:tcBorders>
            <w:shd w:val="clear" w:color="auto" w:fill="auto"/>
            <w:vAlign w:val="center"/>
            <w:hideMark/>
          </w:tcPr>
          <w:p w14:paraId="5826028A"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Учреждение</w:t>
            </w:r>
          </w:p>
        </w:tc>
        <w:tc>
          <w:tcPr>
            <w:tcW w:w="2830" w:type="dxa"/>
            <w:vMerge w:val="restart"/>
            <w:tcBorders>
              <w:top w:val="double" w:sz="6" w:space="0" w:color="000000"/>
              <w:left w:val="single" w:sz="4" w:space="0" w:color="000000"/>
              <w:bottom w:val="single" w:sz="4" w:space="0" w:color="000000"/>
              <w:right w:val="single" w:sz="4" w:space="0" w:color="000000"/>
            </w:tcBorders>
            <w:shd w:val="clear" w:color="auto" w:fill="auto"/>
            <w:vAlign w:val="center"/>
            <w:hideMark/>
          </w:tcPr>
          <w:p w14:paraId="453C5108"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Госуслуга </w:t>
            </w:r>
          </w:p>
        </w:tc>
        <w:tc>
          <w:tcPr>
            <w:tcW w:w="3143" w:type="dxa"/>
            <w:gridSpan w:val="4"/>
            <w:tcBorders>
              <w:top w:val="double" w:sz="6" w:space="0" w:color="000000"/>
              <w:left w:val="nil"/>
              <w:bottom w:val="single" w:sz="4" w:space="0" w:color="000000"/>
              <w:right w:val="single" w:sz="4" w:space="0" w:color="000000"/>
            </w:tcBorders>
            <w:shd w:val="clear" w:color="auto" w:fill="auto"/>
            <w:vAlign w:val="center"/>
            <w:hideMark/>
          </w:tcPr>
          <w:p w14:paraId="35FD852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Объемный показатель, утвержденный в государственном задании за отчетный период</w:t>
            </w:r>
          </w:p>
        </w:tc>
        <w:tc>
          <w:tcPr>
            <w:tcW w:w="726" w:type="dxa"/>
            <w:vMerge w:val="restart"/>
            <w:tcBorders>
              <w:top w:val="double" w:sz="6" w:space="0" w:color="000000"/>
              <w:left w:val="single" w:sz="4" w:space="0" w:color="000000"/>
              <w:bottom w:val="single" w:sz="4" w:space="0" w:color="000000"/>
              <w:right w:val="single" w:sz="4" w:space="0" w:color="000000"/>
            </w:tcBorders>
            <w:shd w:val="clear" w:color="auto" w:fill="auto"/>
            <w:vAlign w:val="center"/>
            <w:hideMark/>
          </w:tcPr>
          <w:p w14:paraId="59E95266"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выполнения</w:t>
            </w:r>
          </w:p>
        </w:tc>
        <w:tc>
          <w:tcPr>
            <w:tcW w:w="1119" w:type="dxa"/>
            <w:vMerge w:val="restart"/>
            <w:tcBorders>
              <w:top w:val="double" w:sz="6" w:space="0" w:color="000000"/>
              <w:left w:val="single" w:sz="4" w:space="0" w:color="000000"/>
              <w:bottom w:val="single" w:sz="4" w:space="0" w:color="000000"/>
              <w:right w:val="double" w:sz="6" w:space="0" w:color="000000"/>
            </w:tcBorders>
            <w:shd w:val="clear" w:color="auto" w:fill="auto"/>
            <w:vAlign w:val="center"/>
            <w:hideMark/>
          </w:tcPr>
          <w:p w14:paraId="670B0638"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допустимо (возможное) отклонение (%)</w:t>
            </w:r>
          </w:p>
        </w:tc>
      </w:tr>
      <w:tr w:rsidR="00FD7B0B" w:rsidRPr="00FD7B0B" w14:paraId="16999CB0" w14:textId="77777777" w:rsidTr="002E7E31">
        <w:trPr>
          <w:trHeight w:val="327"/>
          <w:tblHeader/>
        </w:trPr>
        <w:tc>
          <w:tcPr>
            <w:tcW w:w="1825" w:type="dxa"/>
            <w:vMerge/>
            <w:tcBorders>
              <w:top w:val="double" w:sz="6" w:space="0" w:color="000000"/>
              <w:left w:val="double" w:sz="6" w:space="0" w:color="000000"/>
              <w:bottom w:val="single" w:sz="4" w:space="0" w:color="000000"/>
              <w:right w:val="single" w:sz="4" w:space="0" w:color="000000"/>
            </w:tcBorders>
            <w:vAlign w:val="center"/>
            <w:hideMark/>
          </w:tcPr>
          <w:p w14:paraId="1F206CB9"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2830" w:type="dxa"/>
            <w:vMerge/>
            <w:tcBorders>
              <w:top w:val="double" w:sz="6" w:space="0" w:color="000000"/>
              <w:left w:val="single" w:sz="4" w:space="0" w:color="000000"/>
              <w:bottom w:val="single" w:sz="4" w:space="0" w:color="000000"/>
              <w:right w:val="single" w:sz="4" w:space="0" w:color="000000"/>
            </w:tcBorders>
            <w:vAlign w:val="center"/>
            <w:hideMark/>
          </w:tcPr>
          <w:p w14:paraId="39F7A89C"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847" w:type="dxa"/>
            <w:tcBorders>
              <w:top w:val="nil"/>
              <w:left w:val="nil"/>
              <w:bottom w:val="single" w:sz="4" w:space="0" w:color="000000"/>
              <w:right w:val="single" w:sz="4" w:space="0" w:color="000000"/>
            </w:tcBorders>
            <w:shd w:val="clear" w:color="auto" w:fill="auto"/>
            <w:vAlign w:val="center"/>
            <w:hideMark/>
          </w:tcPr>
          <w:p w14:paraId="6D0C335F"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Перв.</w:t>
            </w:r>
          </w:p>
          <w:p w14:paraId="081BC764"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w:t>
            </w:r>
          </w:p>
        </w:tc>
        <w:tc>
          <w:tcPr>
            <w:tcW w:w="709" w:type="dxa"/>
            <w:tcBorders>
              <w:top w:val="nil"/>
              <w:left w:val="nil"/>
              <w:bottom w:val="single" w:sz="4" w:space="0" w:color="000000"/>
              <w:right w:val="single" w:sz="4" w:space="0" w:color="000000"/>
            </w:tcBorders>
            <w:shd w:val="clear" w:color="auto" w:fill="auto"/>
            <w:vAlign w:val="center"/>
            <w:hideMark/>
          </w:tcPr>
          <w:p w14:paraId="2CBCEED1"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Уточн план</w:t>
            </w:r>
          </w:p>
        </w:tc>
        <w:tc>
          <w:tcPr>
            <w:tcW w:w="850" w:type="dxa"/>
            <w:tcBorders>
              <w:top w:val="nil"/>
              <w:left w:val="nil"/>
              <w:bottom w:val="single" w:sz="4" w:space="0" w:color="000000"/>
              <w:right w:val="single" w:sz="4" w:space="0" w:color="000000"/>
            </w:tcBorders>
            <w:shd w:val="clear" w:color="auto" w:fill="auto"/>
            <w:vAlign w:val="center"/>
            <w:hideMark/>
          </w:tcPr>
          <w:p w14:paraId="6722973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Изменение</w:t>
            </w:r>
          </w:p>
        </w:tc>
        <w:tc>
          <w:tcPr>
            <w:tcW w:w="737" w:type="dxa"/>
            <w:tcBorders>
              <w:top w:val="nil"/>
              <w:left w:val="nil"/>
              <w:bottom w:val="single" w:sz="4" w:space="0" w:color="000000"/>
              <w:right w:val="single" w:sz="4" w:space="0" w:color="000000"/>
            </w:tcBorders>
            <w:shd w:val="clear" w:color="auto" w:fill="auto"/>
            <w:vAlign w:val="center"/>
            <w:hideMark/>
          </w:tcPr>
          <w:p w14:paraId="350F601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Факт</w:t>
            </w:r>
          </w:p>
        </w:tc>
        <w:tc>
          <w:tcPr>
            <w:tcW w:w="726" w:type="dxa"/>
            <w:vMerge/>
            <w:tcBorders>
              <w:top w:val="double" w:sz="6" w:space="0" w:color="000000"/>
              <w:left w:val="single" w:sz="4" w:space="0" w:color="000000"/>
              <w:bottom w:val="single" w:sz="4" w:space="0" w:color="000000"/>
              <w:right w:val="single" w:sz="4" w:space="0" w:color="000000"/>
            </w:tcBorders>
            <w:vAlign w:val="center"/>
            <w:hideMark/>
          </w:tcPr>
          <w:p w14:paraId="29E6F12F"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1119" w:type="dxa"/>
            <w:vMerge/>
            <w:tcBorders>
              <w:top w:val="double" w:sz="6" w:space="0" w:color="000000"/>
              <w:left w:val="single" w:sz="4" w:space="0" w:color="000000"/>
              <w:bottom w:val="single" w:sz="4" w:space="0" w:color="000000"/>
              <w:right w:val="double" w:sz="6" w:space="0" w:color="000000"/>
            </w:tcBorders>
            <w:vAlign w:val="center"/>
            <w:hideMark/>
          </w:tcPr>
          <w:p w14:paraId="1BBF57D7"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r>
      <w:tr w:rsidR="00FD7B0B" w:rsidRPr="00FD7B0B" w14:paraId="23AED26A" w14:textId="77777777" w:rsidTr="002E7E31">
        <w:trPr>
          <w:trHeight w:val="402"/>
        </w:trPr>
        <w:tc>
          <w:tcPr>
            <w:tcW w:w="1825" w:type="dxa"/>
            <w:tcBorders>
              <w:top w:val="nil"/>
              <w:left w:val="double" w:sz="6" w:space="0" w:color="000000"/>
              <w:bottom w:val="single" w:sz="4" w:space="0" w:color="000000"/>
              <w:right w:val="single" w:sz="4" w:space="0" w:color="000000"/>
            </w:tcBorders>
            <w:shd w:val="clear" w:color="auto" w:fill="auto"/>
            <w:vAlign w:val="center"/>
            <w:hideMark/>
          </w:tcPr>
          <w:p w14:paraId="1E1CCDA7"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ГБУАО ЦР "Родник"</w:t>
            </w:r>
          </w:p>
        </w:tc>
        <w:tc>
          <w:tcPr>
            <w:tcW w:w="2830" w:type="dxa"/>
            <w:tcBorders>
              <w:top w:val="nil"/>
              <w:left w:val="nil"/>
              <w:bottom w:val="single" w:sz="4" w:space="0" w:color="000000"/>
              <w:right w:val="single" w:sz="4" w:space="0" w:color="000000"/>
            </w:tcBorders>
            <w:shd w:val="clear" w:color="auto" w:fill="auto"/>
            <w:vAlign w:val="center"/>
            <w:hideMark/>
          </w:tcPr>
          <w:p w14:paraId="520A3E9B"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Санаторно-курортное лечение Койко-день</w:t>
            </w:r>
          </w:p>
        </w:tc>
        <w:tc>
          <w:tcPr>
            <w:tcW w:w="847" w:type="dxa"/>
            <w:tcBorders>
              <w:top w:val="nil"/>
              <w:left w:val="nil"/>
              <w:bottom w:val="single" w:sz="4" w:space="0" w:color="000000"/>
              <w:right w:val="single" w:sz="4" w:space="0" w:color="000000"/>
            </w:tcBorders>
            <w:shd w:val="clear" w:color="auto" w:fill="auto"/>
            <w:vAlign w:val="center"/>
            <w:hideMark/>
          </w:tcPr>
          <w:p w14:paraId="6E10B05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36270</w:t>
            </w:r>
          </w:p>
        </w:tc>
        <w:tc>
          <w:tcPr>
            <w:tcW w:w="709" w:type="dxa"/>
            <w:tcBorders>
              <w:top w:val="nil"/>
              <w:left w:val="nil"/>
              <w:bottom w:val="single" w:sz="4" w:space="0" w:color="000000"/>
              <w:right w:val="single" w:sz="4" w:space="0" w:color="000000"/>
            </w:tcBorders>
            <w:shd w:val="clear" w:color="auto" w:fill="auto"/>
            <w:vAlign w:val="center"/>
            <w:hideMark/>
          </w:tcPr>
          <w:p w14:paraId="11494F3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40050</w:t>
            </w:r>
          </w:p>
        </w:tc>
        <w:tc>
          <w:tcPr>
            <w:tcW w:w="850" w:type="dxa"/>
            <w:tcBorders>
              <w:top w:val="nil"/>
              <w:left w:val="nil"/>
              <w:bottom w:val="single" w:sz="4" w:space="0" w:color="000000"/>
              <w:right w:val="single" w:sz="4" w:space="0" w:color="000000"/>
            </w:tcBorders>
            <w:shd w:val="clear" w:color="auto" w:fill="auto"/>
            <w:vAlign w:val="center"/>
            <w:hideMark/>
          </w:tcPr>
          <w:p w14:paraId="4470127F"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3 780</w:t>
            </w:r>
          </w:p>
        </w:tc>
        <w:tc>
          <w:tcPr>
            <w:tcW w:w="737" w:type="dxa"/>
            <w:tcBorders>
              <w:top w:val="nil"/>
              <w:left w:val="nil"/>
              <w:bottom w:val="single" w:sz="4" w:space="0" w:color="000000"/>
              <w:right w:val="single" w:sz="4" w:space="0" w:color="000000"/>
            </w:tcBorders>
            <w:shd w:val="clear" w:color="auto" w:fill="auto"/>
            <w:vAlign w:val="center"/>
            <w:hideMark/>
          </w:tcPr>
          <w:p w14:paraId="1A826A1B"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37737</w:t>
            </w:r>
          </w:p>
        </w:tc>
        <w:tc>
          <w:tcPr>
            <w:tcW w:w="726" w:type="dxa"/>
            <w:tcBorders>
              <w:top w:val="nil"/>
              <w:left w:val="nil"/>
              <w:bottom w:val="single" w:sz="4" w:space="0" w:color="000000"/>
              <w:right w:val="single" w:sz="4" w:space="0" w:color="000000"/>
            </w:tcBorders>
            <w:shd w:val="clear" w:color="auto" w:fill="auto"/>
            <w:vAlign w:val="center"/>
            <w:hideMark/>
          </w:tcPr>
          <w:p w14:paraId="182D4ABA"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94</w:t>
            </w:r>
          </w:p>
        </w:tc>
        <w:tc>
          <w:tcPr>
            <w:tcW w:w="1119" w:type="dxa"/>
            <w:tcBorders>
              <w:top w:val="nil"/>
              <w:left w:val="nil"/>
              <w:bottom w:val="single" w:sz="4" w:space="0" w:color="000000"/>
              <w:right w:val="double" w:sz="6" w:space="0" w:color="000000"/>
            </w:tcBorders>
            <w:shd w:val="clear" w:color="auto" w:fill="auto"/>
            <w:vAlign w:val="center"/>
            <w:hideMark/>
          </w:tcPr>
          <w:p w14:paraId="1C988EE6"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w:t>
            </w:r>
          </w:p>
        </w:tc>
      </w:tr>
      <w:tr w:rsidR="00FD7B0B" w:rsidRPr="00FD7B0B" w14:paraId="3C314449" w14:textId="77777777" w:rsidTr="002E7E31">
        <w:trPr>
          <w:trHeight w:val="372"/>
        </w:trPr>
        <w:tc>
          <w:tcPr>
            <w:tcW w:w="1825" w:type="dxa"/>
            <w:vMerge w:val="restart"/>
            <w:tcBorders>
              <w:top w:val="nil"/>
              <w:left w:val="double" w:sz="6" w:space="0" w:color="000000"/>
              <w:bottom w:val="single" w:sz="4" w:space="0" w:color="000000"/>
              <w:right w:val="single" w:sz="4" w:space="0" w:color="000000"/>
            </w:tcBorders>
            <w:shd w:val="clear" w:color="auto" w:fill="auto"/>
            <w:hideMark/>
          </w:tcPr>
          <w:p w14:paraId="04CB0394" w14:textId="6CDC7E4E" w:rsidR="002B392F" w:rsidRPr="00FD7B0B" w:rsidRDefault="002B392F" w:rsidP="00D64442">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ГБУСОН АО </w:t>
            </w:r>
            <w:r w:rsidR="00D64442" w:rsidRPr="00FD7B0B">
              <w:rPr>
                <w:rFonts w:ascii="Times New Roman" w:eastAsia="Times New Roman" w:hAnsi="Times New Roman" w:cs="Times New Roman"/>
                <w:sz w:val="18"/>
                <w:szCs w:val="18"/>
                <w:lang w:eastAsia="ru-RU"/>
              </w:rPr>
              <w:t>«Котласский КЦСО»</w:t>
            </w:r>
          </w:p>
        </w:tc>
        <w:tc>
          <w:tcPr>
            <w:tcW w:w="2830" w:type="dxa"/>
            <w:tcBorders>
              <w:top w:val="nil"/>
              <w:left w:val="nil"/>
              <w:bottom w:val="single" w:sz="4" w:space="0" w:color="000000"/>
              <w:right w:val="single" w:sz="4" w:space="0" w:color="000000"/>
            </w:tcBorders>
            <w:shd w:val="clear" w:color="auto" w:fill="auto"/>
            <w:vAlign w:val="center"/>
            <w:hideMark/>
          </w:tcPr>
          <w:p w14:paraId="7B54FAC9"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Предоставление социального обслуживания в форме на дому</w:t>
            </w:r>
          </w:p>
        </w:tc>
        <w:tc>
          <w:tcPr>
            <w:tcW w:w="847" w:type="dxa"/>
            <w:tcBorders>
              <w:top w:val="nil"/>
              <w:left w:val="nil"/>
              <w:bottom w:val="single" w:sz="4" w:space="0" w:color="000000"/>
              <w:right w:val="single" w:sz="4" w:space="0" w:color="000000"/>
            </w:tcBorders>
            <w:shd w:val="clear" w:color="auto" w:fill="auto"/>
            <w:vAlign w:val="center"/>
            <w:hideMark/>
          </w:tcPr>
          <w:p w14:paraId="0625EFCD"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786D4BD5"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850" w:type="dxa"/>
            <w:tcBorders>
              <w:top w:val="nil"/>
              <w:left w:val="nil"/>
              <w:bottom w:val="single" w:sz="4" w:space="0" w:color="000000"/>
              <w:right w:val="single" w:sz="4" w:space="0" w:color="000000"/>
            </w:tcBorders>
            <w:shd w:val="clear" w:color="auto" w:fill="auto"/>
            <w:vAlign w:val="center"/>
            <w:hideMark/>
          </w:tcPr>
          <w:p w14:paraId="14032BB5"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737" w:type="dxa"/>
            <w:tcBorders>
              <w:top w:val="nil"/>
              <w:left w:val="nil"/>
              <w:bottom w:val="single" w:sz="4" w:space="0" w:color="000000"/>
              <w:right w:val="single" w:sz="4" w:space="0" w:color="000000"/>
            </w:tcBorders>
            <w:shd w:val="clear" w:color="auto" w:fill="auto"/>
            <w:vAlign w:val="center"/>
            <w:hideMark/>
          </w:tcPr>
          <w:p w14:paraId="58B08602"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726" w:type="dxa"/>
            <w:tcBorders>
              <w:top w:val="nil"/>
              <w:left w:val="nil"/>
              <w:bottom w:val="single" w:sz="4" w:space="0" w:color="000000"/>
              <w:right w:val="single" w:sz="4" w:space="0" w:color="000000"/>
            </w:tcBorders>
            <w:shd w:val="clear" w:color="auto" w:fill="auto"/>
            <w:vAlign w:val="center"/>
            <w:hideMark/>
          </w:tcPr>
          <w:p w14:paraId="0711F0F8"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119" w:type="dxa"/>
            <w:tcBorders>
              <w:top w:val="nil"/>
              <w:left w:val="nil"/>
              <w:bottom w:val="single" w:sz="4" w:space="0" w:color="000000"/>
              <w:right w:val="double" w:sz="6" w:space="0" w:color="000000"/>
            </w:tcBorders>
            <w:shd w:val="clear" w:color="auto" w:fill="auto"/>
            <w:vAlign w:val="center"/>
            <w:hideMark/>
          </w:tcPr>
          <w:p w14:paraId="5655FF55"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4967426C" w14:textId="77777777" w:rsidTr="002E7E31">
        <w:trPr>
          <w:trHeight w:val="327"/>
        </w:trPr>
        <w:tc>
          <w:tcPr>
            <w:tcW w:w="1825" w:type="dxa"/>
            <w:vMerge/>
            <w:tcBorders>
              <w:top w:val="nil"/>
              <w:left w:val="double" w:sz="6" w:space="0" w:color="000000"/>
              <w:bottom w:val="single" w:sz="4" w:space="0" w:color="000000"/>
              <w:right w:val="single" w:sz="4" w:space="0" w:color="000000"/>
            </w:tcBorders>
            <w:vAlign w:val="center"/>
            <w:hideMark/>
          </w:tcPr>
          <w:p w14:paraId="49156748"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2830" w:type="dxa"/>
            <w:tcBorders>
              <w:top w:val="nil"/>
              <w:left w:val="nil"/>
              <w:bottom w:val="single" w:sz="4" w:space="0" w:color="000000"/>
              <w:right w:val="single" w:sz="4" w:space="0" w:color="000000"/>
            </w:tcBorders>
            <w:shd w:val="clear" w:color="auto" w:fill="auto"/>
            <w:vAlign w:val="center"/>
            <w:hideMark/>
          </w:tcPr>
          <w:p w14:paraId="552808ED" w14:textId="77777777" w:rsidR="002B392F" w:rsidRPr="00FD7B0B" w:rsidRDefault="002B392F" w:rsidP="002B392F">
            <w:pPr>
              <w:spacing w:after="0" w:line="240" w:lineRule="auto"/>
              <w:rPr>
                <w:rFonts w:ascii="Times New Roman" w:eastAsia="Times New Roman" w:hAnsi="Times New Roman" w:cs="Times New Roman"/>
                <w:iCs/>
                <w:sz w:val="18"/>
                <w:szCs w:val="18"/>
                <w:lang w:eastAsia="ru-RU"/>
              </w:rPr>
            </w:pPr>
            <w:r w:rsidRPr="00FD7B0B">
              <w:rPr>
                <w:rFonts w:ascii="Times New Roman" w:eastAsia="Times New Roman" w:hAnsi="Times New Roman" w:cs="Times New Roman"/>
                <w:iCs/>
                <w:sz w:val="18"/>
                <w:szCs w:val="18"/>
                <w:lang w:eastAsia="ru-RU"/>
              </w:rPr>
              <w:t>Численность граждан, получивших соцуслуги,</w:t>
            </w:r>
            <w:r w:rsidRPr="00FD7B0B">
              <w:rPr>
                <w:rFonts w:ascii="Times New Roman" w:eastAsia="Times New Roman" w:hAnsi="Times New Roman" w:cs="Times New Roman"/>
                <w:sz w:val="18"/>
                <w:szCs w:val="18"/>
                <w:lang w:eastAsia="ru-RU"/>
              </w:rPr>
              <w:t xml:space="preserve"> чел.</w:t>
            </w:r>
          </w:p>
        </w:tc>
        <w:tc>
          <w:tcPr>
            <w:tcW w:w="847" w:type="dxa"/>
            <w:tcBorders>
              <w:top w:val="nil"/>
              <w:left w:val="nil"/>
              <w:bottom w:val="single" w:sz="4" w:space="0" w:color="000000"/>
              <w:right w:val="single" w:sz="4" w:space="0" w:color="000000"/>
            </w:tcBorders>
            <w:shd w:val="clear" w:color="auto" w:fill="auto"/>
            <w:vAlign w:val="center"/>
            <w:hideMark/>
          </w:tcPr>
          <w:p w14:paraId="7BEB48C8"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230</w:t>
            </w:r>
          </w:p>
        </w:tc>
        <w:tc>
          <w:tcPr>
            <w:tcW w:w="709" w:type="dxa"/>
            <w:tcBorders>
              <w:top w:val="nil"/>
              <w:left w:val="nil"/>
              <w:bottom w:val="single" w:sz="4" w:space="0" w:color="000000"/>
              <w:right w:val="single" w:sz="4" w:space="0" w:color="000000"/>
            </w:tcBorders>
            <w:shd w:val="clear" w:color="auto" w:fill="auto"/>
            <w:vAlign w:val="center"/>
            <w:hideMark/>
          </w:tcPr>
          <w:p w14:paraId="0C5414F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275</w:t>
            </w:r>
          </w:p>
        </w:tc>
        <w:tc>
          <w:tcPr>
            <w:tcW w:w="850" w:type="dxa"/>
            <w:tcBorders>
              <w:top w:val="nil"/>
              <w:left w:val="nil"/>
              <w:bottom w:val="single" w:sz="4" w:space="0" w:color="000000"/>
              <w:right w:val="single" w:sz="4" w:space="0" w:color="000000"/>
            </w:tcBorders>
            <w:shd w:val="clear" w:color="auto" w:fill="auto"/>
            <w:vAlign w:val="center"/>
            <w:hideMark/>
          </w:tcPr>
          <w:p w14:paraId="10B45E2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w:t>
            </w:r>
          </w:p>
        </w:tc>
        <w:tc>
          <w:tcPr>
            <w:tcW w:w="737" w:type="dxa"/>
            <w:tcBorders>
              <w:top w:val="nil"/>
              <w:left w:val="nil"/>
              <w:bottom w:val="single" w:sz="4" w:space="0" w:color="000000"/>
              <w:right w:val="single" w:sz="4" w:space="0" w:color="000000"/>
            </w:tcBorders>
            <w:shd w:val="clear" w:color="auto" w:fill="auto"/>
            <w:vAlign w:val="center"/>
            <w:hideMark/>
          </w:tcPr>
          <w:p w14:paraId="728D00FD"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263</w:t>
            </w:r>
          </w:p>
        </w:tc>
        <w:tc>
          <w:tcPr>
            <w:tcW w:w="726" w:type="dxa"/>
            <w:tcBorders>
              <w:top w:val="nil"/>
              <w:left w:val="nil"/>
              <w:bottom w:val="single" w:sz="4" w:space="0" w:color="000000"/>
              <w:right w:val="single" w:sz="4" w:space="0" w:color="000000"/>
            </w:tcBorders>
            <w:shd w:val="clear" w:color="auto" w:fill="auto"/>
            <w:vAlign w:val="center"/>
            <w:hideMark/>
          </w:tcPr>
          <w:p w14:paraId="266BEFA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w:t>
            </w:r>
          </w:p>
        </w:tc>
        <w:tc>
          <w:tcPr>
            <w:tcW w:w="1119" w:type="dxa"/>
            <w:tcBorders>
              <w:top w:val="nil"/>
              <w:left w:val="nil"/>
              <w:bottom w:val="single" w:sz="4" w:space="0" w:color="000000"/>
              <w:right w:val="double" w:sz="6" w:space="0" w:color="000000"/>
            </w:tcBorders>
            <w:shd w:val="clear" w:color="auto" w:fill="auto"/>
            <w:vAlign w:val="center"/>
            <w:hideMark/>
          </w:tcPr>
          <w:p w14:paraId="15D5E2B7"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w:t>
            </w:r>
          </w:p>
        </w:tc>
      </w:tr>
      <w:tr w:rsidR="00FD7B0B" w:rsidRPr="00FD7B0B" w14:paraId="263B5B07" w14:textId="77777777" w:rsidTr="002E7E31">
        <w:trPr>
          <w:trHeight w:val="327"/>
        </w:trPr>
        <w:tc>
          <w:tcPr>
            <w:tcW w:w="1825" w:type="dxa"/>
            <w:vMerge/>
            <w:tcBorders>
              <w:top w:val="nil"/>
              <w:left w:val="double" w:sz="6" w:space="0" w:color="000000"/>
              <w:bottom w:val="single" w:sz="4" w:space="0" w:color="000000"/>
              <w:right w:val="single" w:sz="4" w:space="0" w:color="000000"/>
            </w:tcBorders>
            <w:vAlign w:val="center"/>
            <w:hideMark/>
          </w:tcPr>
          <w:p w14:paraId="196C0F11"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2830" w:type="dxa"/>
            <w:tcBorders>
              <w:top w:val="nil"/>
              <w:left w:val="nil"/>
              <w:bottom w:val="single" w:sz="4" w:space="0" w:color="000000"/>
              <w:right w:val="single" w:sz="4" w:space="0" w:color="000000"/>
            </w:tcBorders>
            <w:shd w:val="clear" w:color="auto" w:fill="auto"/>
            <w:vAlign w:val="center"/>
            <w:hideMark/>
          </w:tcPr>
          <w:p w14:paraId="618AACE1" w14:textId="77777777" w:rsidR="002B392F" w:rsidRPr="00FD7B0B" w:rsidRDefault="002B392F" w:rsidP="002B392F">
            <w:pPr>
              <w:spacing w:after="0" w:line="240" w:lineRule="auto"/>
              <w:rPr>
                <w:rFonts w:ascii="Times New Roman" w:eastAsia="Times New Roman" w:hAnsi="Times New Roman" w:cs="Times New Roman"/>
                <w:iCs/>
                <w:sz w:val="18"/>
                <w:szCs w:val="18"/>
                <w:lang w:eastAsia="ru-RU"/>
              </w:rPr>
            </w:pPr>
            <w:r w:rsidRPr="00FD7B0B">
              <w:rPr>
                <w:rFonts w:ascii="Times New Roman" w:eastAsia="Times New Roman" w:hAnsi="Times New Roman" w:cs="Times New Roman"/>
                <w:iCs/>
                <w:sz w:val="18"/>
                <w:szCs w:val="18"/>
                <w:lang w:eastAsia="ru-RU"/>
              </w:rPr>
              <w:t>Численность граждан, получивших соцуслуги</w:t>
            </w:r>
            <w:r w:rsidRPr="00FD7B0B">
              <w:rPr>
                <w:rFonts w:ascii="Times New Roman" w:eastAsia="Times New Roman" w:hAnsi="Times New Roman" w:cs="Times New Roman"/>
                <w:sz w:val="18"/>
                <w:szCs w:val="18"/>
                <w:lang w:eastAsia="ru-RU"/>
              </w:rPr>
              <w:t xml:space="preserve"> чел.</w:t>
            </w:r>
          </w:p>
        </w:tc>
        <w:tc>
          <w:tcPr>
            <w:tcW w:w="847" w:type="dxa"/>
            <w:tcBorders>
              <w:top w:val="nil"/>
              <w:left w:val="nil"/>
              <w:bottom w:val="single" w:sz="4" w:space="0" w:color="000000"/>
              <w:right w:val="single" w:sz="4" w:space="0" w:color="000000"/>
            </w:tcBorders>
            <w:shd w:val="clear" w:color="auto" w:fill="auto"/>
            <w:vAlign w:val="center"/>
            <w:hideMark/>
          </w:tcPr>
          <w:p w14:paraId="20172C4D"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70</w:t>
            </w:r>
          </w:p>
        </w:tc>
        <w:tc>
          <w:tcPr>
            <w:tcW w:w="709" w:type="dxa"/>
            <w:tcBorders>
              <w:top w:val="nil"/>
              <w:left w:val="nil"/>
              <w:bottom w:val="single" w:sz="4" w:space="0" w:color="000000"/>
              <w:right w:val="single" w:sz="4" w:space="0" w:color="000000"/>
            </w:tcBorders>
            <w:shd w:val="clear" w:color="auto" w:fill="auto"/>
            <w:vAlign w:val="center"/>
            <w:hideMark/>
          </w:tcPr>
          <w:p w14:paraId="340B436A"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125</w:t>
            </w:r>
          </w:p>
        </w:tc>
        <w:tc>
          <w:tcPr>
            <w:tcW w:w="850" w:type="dxa"/>
            <w:tcBorders>
              <w:top w:val="nil"/>
              <w:left w:val="nil"/>
              <w:bottom w:val="single" w:sz="4" w:space="0" w:color="000000"/>
              <w:right w:val="single" w:sz="4" w:space="0" w:color="000000"/>
            </w:tcBorders>
            <w:shd w:val="clear" w:color="auto" w:fill="auto"/>
            <w:vAlign w:val="center"/>
            <w:hideMark/>
          </w:tcPr>
          <w:p w14:paraId="2F26114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55</w:t>
            </w:r>
          </w:p>
        </w:tc>
        <w:tc>
          <w:tcPr>
            <w:tcW w:w="737" w:type="dxa"/>
            <w:tcBorders>
              <w:top w:val="nil"/>
              <w:left w:val="nil"/>
              <w:bottom w:val="single" w:sz="4" w:space="0" w:color="000000"/>
              <w:right w:val="single" w:sz="4" w:space="0" w:color="000000"/>
            </w:tcBorders>
            <w:shd w:val="clear" w:color="auto" w:fill="auto"/>
            <w:vAlign w:val="center"/>
            <w:hideMark/>
          </w:tcPr>
          <w:p w14:paraId="627092A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119</w:t>
            </w:r>
          </w:p>
        </w:tc>
        <w:tc>
          <w:tcPr>
            <w:tcW w:w="726" w:type="dxa"/>
            <w:tcBorders>
              <w:top w:val="nil"/>
              <w:left w:val="nil"/>
              <w:bottom w:val="single" w:sz="4" w:space="0" w:color="000000"/>
              <w:right w:val="single" w:sz="4" w:space="0" w:color="000000"/>
            </w:tcBorders>
            <w:shd w:val="clear" w:color="auto" w:fill="auto"/>
            <w:vAlign w:val="center"/>
            <w:hideMark/>
          </w:tcPr>
          <w:p w14:paraId="13B5DDD1"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w:t>
            </w:r>
          </w:p>
        </w:tc>
        <w:tc>
          <w:tcPr>
            <w:tcW w:w="1119" w:type="dxa"/>
            <w:tcBorders>
              <w:top w:val="nil"/>
              <w:left w:val="nil"/>
              <w:bottom w:val="single" w:sz="4" w:space="0" w:color="000000"/>
              <w:right w:val="double" w:sz="6" w:space="0" w:color="000000"/>
            </w:tcBorders>
            <w:shd w:val="clear" w:color="auto" w:fill="auto"/>
            <w:vAlign w:val="center"/>
            <w:hideMark/>
          </w:tcPr>
          <w:p w14:paraId="430B5EA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w:t>
            </w:r>
          </w:p>
        </w:tc>
      </w:tr>
      <w:tr w:rsidR="00FD7B0B" w:rsidRPr="00FD7B0B" w14:paraId="0060AA6B" w14:textId="77777777" w:rsidTr="002E7E31">
        <w:trPr>
          <w:trHeight w:val="446"/>
        </w:trPr>
        <w:tc>
          <w:tcPr>
            <w:tcW w:w="1825" w:type="dxa"/>
            <w:tcBorders>
              <w:top w:val="nil"/>
              <w:left w:val="double" w:sz="6" w:space="0" w:color="000000"/>
              <w:bottom w:val="single" w:sz="4" w:space="0" w:color="000000"/>
              <w:right w:val="single" w:sz="4" w:space="0" w:color="000000"/>
            </w:tcBorders>
            <w:shd w:val="clear" w:color="auto" w:fill="auto"/>
            <w:vAlign w:val="center"/>
            <w:hideMark/>
          </w:tcPr>
          <w:p w14:paraId="4E1FE905"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ГБУСОН АО "Верхнетоемский КЦСО"</w:t>
            </w:r>
          </w:p>
        </w:tc>
        <w:tc>
          <w:tcPr>
            <w:tcW w:w="2830" w:type="dxa"/>
            <w:tcBorders>
              <w:top w:val="nil"/>
              <w:left w:val="nil"/>
              <w:bottom w:val="single" w:sz="4" w:space="0" w:color="000000"/>
              <w:right w:val="single" w:sz="4" w:space="0" w:color="000000"/>
            </w:tcBorders>
            <w:shd w:val="clear" w:color="auto" w:fill="auto"/>
            <w:vAlign w:val="center"/>
            <w:hideMark/>
          </w:tcPr>
          <w:p w14:paraId="393B379D"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Предоставление социального обслуживания в форме на дому, чел.</w:t>
            </w:r>
          </w:p>
        </w:tc>
        <w:tc>
          <w:tcPr>
            <w:tcW w:w="847" w:type="dxa"/>
            <w:tcBorders>
              <w:top w:val="nil"/>
              <w:left w:val="nil"/>
              <w:bottom w:val="single" w:sz="4" w:space="0" w:color="000000"/>
              <w:right w:val="single" w:sz="4" w:space="0" w:color="000000"/>
            </w:tcBorders>
            <w:shd w:val="clear" w:color="auto" w:fill="auto"/>
            <w:vAlign w:val="center"/>
            <w:hideMark/>
          </w:tcPr>
          <w:p w14:paraId="2FD150D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90</w:t>
            </w:r>
          </w:p>
        </w:tc>
        <w:tc>
          <w:tcPr>
            <w:tcW w:w="709" w:type="dxa"/>
            <w:tcBorders>
              <w:top w:val="nil"/>
              <w:left w:val="nil"/>
              <w:bottom w:val="single" w:sz="4" w:space="0" w:color="000000"/>
              <w:right w:val="single" w:sz="4" w:space="0" w:color="000000"/>
            </w:tcBorders>
            <w:shd w:val="clear" w:color="auto" w:fill="auto"/>
            <w:vAlign w:val="center"/>
            <w:hideMark/>
          </w:tcPr>
          <w:p w14:paraId="0C17E51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w:t>
            </w:r>
          </w:p>
        </w:tc>
        <w:tc>
          <w:tcPr>
            <w:tcW w:w="850" w:type="dxa"/>
            <w:tcBorders>
              <w:top w:val="nil"/>
              <w:left w:val="nil"/>
              <w:bottom w:val="single" w:sz="4" w:space="0" w:color="000000"/>
              <w:right w:val="single" w:sz="4" w:space="0" w:color="000000"/>
            </w:tcBorders>
            <w:shd w:val="clear" w:color="auto" w:fill="auto"/>
            <w:vAlign w:val="center"/>
            <w:hideMark/>
          </w:tcPr>
          <w:p w14:paraId="0BBB41D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w:t>
            </w:r>
          </w:p>
        </w:tc>
        <w:tc>
          <w:tcPr>
            <w:tcW w:w="737" w:type="dxa"/>
            <w:tcBorders>
              <w:top w:val="nil"/>
              <w:left w:val="nil"/>
              <w:bottom w:val="single" w:sz="4" w:space="0" w:color="000000"/>
              <w:right w:val="single" w:sz="4" w:space="0" w:color="000000"/>
            </w:tcBorders>
            <w:shd w:val="clear" w:color="auto" w:fill="auto"/>
            <w:vAlign w:val="center"/>
            <w:hideMark/>
          </w:tcPr>
          <w:p w14:paraId="29D8F92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93</w:t>
            </w:r>
          </w:p>
        </w:tc>
        <w:tc>
          <w:tcPr>
            <w:tcW w:w="726" w:type="dxa"/>
            <w:tcBorders>
              <w:top w:val="nil"/>
              <w:left w:val="nil"/>
              <w:bottom w:val="single" w:sz="4" w:space="0" w:color="000000"/>
              <w:right w:val="single" w:sz="4" w:space="0" w:color="000000"/>
            </w:tcBorders>
            <w:shd w:val="clear" w:color="auto" w:fill="auto"/>
            <w:vAlign w:val="center"/>
            <w:hideMark/>
          </w:tcPr>
          <w:p w14:paraId="03DBC556"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w:t>
            </w:r>
          </w:p>
        </w:tc>
        <w:tc>
          <w:tcPr>
            <w:tcW w:w="1119" w:type="dxa"/>
            <w:tcBorders>
              <w:top w:val="nil"/>
              <w:left w:val="nil"/>
              <w:bottom w:val="single" w:sz="4" w:space="0" w:color="000000"/>
              <w:right w:val="double" w:sz="6" w:space="0" w:color="000000"/>
            </w:tcBorders>
            <w:shd w:val="clear" w:color="auto" w:fill="auto"/>
            <w:vAlign w:val="center"/>
            <w:hideMark/>
          </w:tcPr>
          <w:p w14:paraId="212E182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w:t>
            </w:r>
          </w:p>
        </w:tc>
      </w:tr>
      <w:tr w:rsidR="00FD7B0B" w:rsidRPr="00FD7B0B" w14:paraId="155241BE" w14:textId="77777777" w:rsidTr="001358BD">
        <w:trPr>
          <w:trHeight w:val="882"/>
        </w:trPr>
        <w:tc>
          <w:tcPr>
            <w:tcW w:w="1825" w:type="dxa"/>
            <w:tcBorders>
              <w:top w:val="nil"/>
              <w:left w:val="double" w:sz="6" w:space="0" w:color="000000"/>
              <w:bottom w:val="single" w:sz="4" w:space="0" w:color="000000"/>
              <w:right w:val="single" w:sz="4" w:space="0" w:color="000000"/>
            </w:tcBorders>
            <w:shd w:val="clear" w:color="auto" w:fill="auto"/>
            <w:vAlign w:val="center"/>
            <w:hideMark/>
          </w:tcPr>
          <w:p w14:paraId="17768B16"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ГБУ АО "Сольвычегодский центр содействия семейному устройству"</w:t>
            </w:r>
          </w:p>
        </w:tc>
        <w:tc>
          <w:tcPr>
            <w:tcW w:w="2830" w:type="dxa"/>
            <w:tcBorders>
              <w:top w:val="nil"/>
              <w:left w:val="nil"/>
              <w:bottom w:val="single" w:sz="4" w:space="0" w:color="000000"/>
              <w:right w:val="single" w:sz="4" w:space="0" w:color="000000"/>
            </w:tcBorders>
            <w:shd w:val="clear" w:color="auto" w:fill="auto"/>
            <w:vAlign w:val="center"/>
            <w:hideMark/>
          </w:tcPr>
          <w:p w14:paraId="39C29805"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Подготовка граждан, выразивших желание принять детей-сирот и детей, оставшихся без попечения родителей, на семейные формы устройства, чел.</w:t>
            </w:r>
          </w:p>
        </w:tc>
        <w:tc>
          <w:tcPr>
            <w:tcW w:w="847" w:type="dxa"/>
            <w:tcBorders>
              <w:top w:val="nil"/>
              <w:left w:val="nil"/>
              <w:bottom w:val="single" w:sz="4" w:space="0" w:color="000000"/>
              <w:right w:val="single" w:sz="4" w:space="0" w:color="000000"/>
            </w:tcBorders>
            <w:shd w:val="clear" w:color="auto" w:fill="auto"/>
            <w:vAlign w:val="center"/>
            <w:hideMark/>
          </w:tcPr>
          <w:p w14:paraId="794ED588"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w:t>
            </w:r>
          </w:p>
        </w:tc>
        <w:tc>
          <w:tcPr>
            <w:tcW w:w="709" w:type="dxa"/>
            <w:tcBorders>
              <w:top w:val="nil"/>
              <w:left w:val="nil"/>
              <w:bottom w:val="single" w:sz="4" w:space="0" w:color="000000"/>
              <w:right w:val="single" w:sz="4" w:space="0" w:color="000000"/>
            </w:tcBorders>
            <w:shd w:val="clear" w:color="auto" w:fill="auto"/>
            <w:vAlign w:val="center"/>
            <w:hideMark/>
          </w:tcPr>
          <w:p w14:paraId="6062AD07"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w:t>
            </w:r>
          </w:p>
        </w:tc>
        <w:tc>
          <w:tcPr>
            <w:tcW w:w="850" w:type="dxa"/>
            <w:tcBorders>
              <w:top w:val="nil"/>
              <w:left w:val="nil"/>
              <w:bottom w:val="single" w:sz="4" w:space="0" w:color="000000"/>
              <w:right w:val="single" w:sz="4" w:space="0" w:color="000000"/>
            </w:tcBorders>
            <w:shd w:val="clear" w:color="auto" w:fill="auto"/>
            <w:vAlign w:val="center"/>
            <w:hideMark/>
          </w:tcPr>
          <w:p w14:paraId="4494D1AA"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w:t>
            </w:r>
          </w:p>
        </w:tc>
        <w:tc>
          <w:tcPr>
            <w:tcW w:w="737" w:type="dxa"/>
            <w:tcBorders>
              <w:top w:val="nil"/>
              <w:left w:val="nil"/>
              <w:bottom w:val="single" w:sz="4" w:space="0" w:color="000000"/>
              <w:right w:val="single" w:sz="4" w:space="0" w:color="000000"/>
            </w:tcBorders>
            <w:shd w:val="clear" w:color="auto" w:fill="auto"/>
            <w:vAlign w:val="center"/>
            <w:hideMark/>
          </w:tcPr>
          <w:p w14:paraId="1C3C44B8"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18</w:t>
            </w:r>
          </w:p>
        </w:tc>
        <w:tc>
          <w:tcPr>
            <w:tcW w:w="726" w:type="dxa"/>
            <w:tcBorders>
              <w:top w:val="nil"/>
              <w:left w:val="nil"/>
              <w:bottom w:val="single" w:sz="4" w:space="0" w:color="000000"/>
              <w:right w:val="single" w:sz="4" w:space="0" w:color="000000"/>
            </w:tcBorders>
            <w:shd w:val="clear" w:color="auto" w:fill="auto"/>
            <w:vAlign w:val="center"/>
            <w:hideMark/>
          </w:tcPr>
          <w:p w14:paraId="4F251824"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90</w:t>
            </w:r>
          </w:p>
        </w:tc>
        <w:tc>
          <w:tcPr>
            <w:tcW w:w="1119" w:type="dxa"/>
            <w:tcBorders>
              <w:top w:val="nil"/>
              <w:left w:val="nil"/>
              <w:bottom w:val="single" w:sz="4" w:space="0" w:color="000000"/>
              <w:right w:val="double" w:sz="6" w:space="0" w:color="000000"/>
            </w:tcBorders>
            <w:shd w:val="clear" w:color="auto" w:fill="auto"/>
            <w:vAlign w:val="center"/>
            <w:hideMark/>
          </w:tcPr>
          <w:p w14:paraId="5D1BF9FD"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w:t>
            </w:r>
          </w:p>
        </w:tc>
      </w:tr>
      <w:tr w:rsidR="002B392F" w:rsidRPr="00FD7B0B" w14:paraId="783DE379" w14:textId="77777777" w:rsidTr="002E7E31">
        <w:trPr>
          <w:trHeight w:val="611"/>
        </w:trPr>
        <w:tc>
          <w:tcPr>
            <w:tcW w:w="1825" w:type="dxa"/>
            <w:tcBorders>
              <w:top w:val="nil"/>
              <w:left w:val="double" w:sz="6" w:space="0" w:color="000000"/>
              <w:bottom w:val="double" w:sz="6" w:space="0" w:color="000000"/>
              <w:right w:val="single" w:sz="4" w:space="0" w:color="000000"/>
            </w:tcBorders>
            <w:shd w:val="clear" w:color="auto" w:fill="auto"/>
            <w:vAlign w:val="center"/>
            <w:hideMark/>
          </w:tcPr>
          <w:p w14:paraId="0FB0DFE8"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ГБУСОН АО "Мезенский КЦСО"</w:t>
            </w:r>
          </w:p>
        </w:tc>
        <w:tc>
          <w:tcPr>
            <w:tcW w:w="2830" w:type="dxa"/>
            <w:tcBorders>
              <w:top w:val="nil"/>
              <w:left w:val="nil"/>
              <w:bottom w:val="double" w:sz="6" w:space="0" w:color="000000"/>
              <w:right w:val="single" w:sz="4" w:space="0" w:color="000000"/>
            </w:tcBorders>
            <w:shd w:val="clear" w:color="auto" w:fill="auto"/>
            <w:vAlign w:val="center"/>
            <w:hideMark/>
          </w:tcPr>
          <w:p w14:paraId="0F8A7E82"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Предоставление социального обслуживания в форме на дому, чел.</w:t>
            </w:r>
          </w:p>
        </w:tc>
        <w:tc>
          <w:tcPr>
            <w:tcW w:w="847" w:type="dxa"/>
            <w:tcBorders>
              <w:top w:val="nil"/>
              <w:left w:val="nil"/>
              <w:bottom w:val="double" w:sz="6" w:space="0" w:color="000000"/>
              <w:right w:val="single" w:sz="4" w:space="0" w:color="000000"/>
            </w:tcBorders>
            <w:shd w:val="clear" w:color="auto" w:fill="auto"/>
            <w:vAlign w:val="center"/>
            <w:hideMark/>
          </w:tcPr>
          <w:p w14:paraId="4F23EFA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120</w:t>
            </w:r>
          </w:p>
        </w:tc>
        <w:tc>
          <w:tcPr>
            <w:tcW w:w="709" w:type="dxa"/>
            <w:tcBorders>
              <w:top w:val="nil"/>
              <w:left w:val="nil"/>
              <w:bottom w:val="double" w:sz="6" w:space="0" w:color="000000"/>
              <w:right w:val="single" w:sz="4" w:space="0" w:color="000000"/>
            </w:tcBorders>
            <w:shd w:val="clear" w:color="auto" w:fill="auto"/>
            <w:vAlign w:val="center"/>
            <w:hideMark/>
          </w:tcPr>
          <w:p w14:paraId="30AED7BB"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140</w:t>
            </w:r>
          </w:p>
        </w:tc>
        <w:tc>
          <w:tcPr>
            <w:tcW w:w="850" w:type="dxa"/>
            <w:tcBorders>
              <w:top w:val="nil"/>
              <w:left w:val="nil"/>
              <w:bottom w:val="double" w:sz="6" w:space="0" w:color="000000"/>
              <w:right w:val="single" w:sz="4" w:space="0" w:color="000000"/>
            </w:tcBorders>
            <w:shd w:val="clear" w:color="auto" w:fill="auto"/>
            <w:vAlign w:val="center"/>
            <w:hideMark/>
          </w:tcPr>
          <w:p w14:paraId="3E96DB87"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w:t>
            </w:r>
          </w:p>
        </w:tc>
        <w:tc>
          <w:tcPr>
            <w:tcW w:w="737" w:type="dxa"/>
            <w:tcBorders>
              <w:top w:val="nil"/>
              <w:left w:val="nil"/>
              <w:bottom w:val="double" w:sz="6" w:space="0" w:color="000000"/>
              <w:right w:val="single" w:sz="4" w:space="0" w:color="000000"/>
            </w:tcBorders>
            <w:shd w:val="clear" w:color="auto" w:fill="auto"/>
            <w:vAlign w:val="center"/>
            <w:hideMark/>
          </w:tcPr>
          <w:p w14:paraId="3C70A588"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134</w:t>
            </w:r>
          </w:p>
        </w:tc>
        <w:tc>
          <w:tcPr>
            <w:tcW w:w="726" w:type="dxa"/>
            <w:tcBorders>
              <w:top w:val="nil"/>
              <w:left w:val="nil"/>
              <w:bottom w:val="double" w:sz="6" w:space="0" w:color="000000"/>
              <w:right w:val="single" w:sz="4" w:space="0" w:color="000000"/>
            </w:tcBorders>
            <w:shd w:val="clear" w:color="auto" w:fill="auto"/>
            <w:vAlign w:val="center"/>
            <w:hideMark/>
          </w:tcPr>
          <w:p w14:paraId="488B23E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w:t>
            </w:r>
          </w:p>
        </w:tc>
        <w:tc>
          <w:tcPr>
            <w:tcW w:w="1119" w:type="dxa"/>
            <w:tcBorders>
              <w:top w:val="nil"/>
              <w:left w:val="nil"/>
              <w:bottom w:val="double" w:sz="6" w:space="0" w:color="000000"/>
              <w:right w:val="double" w:sz="6" w:space="0" w:color="000000"/>
            </w:tcBorders>
            <w:shd w:val="clear" w:color="auto" w:fill="auto"/>
            <w:vAlign w:val="center"/>
            <w:hideMark/>
          </w:tcPr>
          <w:p w14:paraId="1CEE2CEB"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w:t>
            </w:r>
          </w:p>
        </w:tc>
      </w:tr>
    </w:tbl>
    <w:p w14:paraId="43F70176" w14:textId="77777777" w:rsidR="002E7E31" w:rsidRPr="00FD7B0B" w:rsidRDefault="002E7E31" w:rsidP="002B392F">
      <w:pPr>
        <w:spacing w:after="0" w:line="240" w:lineRule="auto"/>
        <w:ind w:firstLine="709"/>
        <w:contextualSpacing/>
        <w:jc w:val="both"/>
        <w:rPr>
          <w:rFonts w:ascii="Times New Roman" w:eastAsia="Calibri" w:hAnsi="Times New Roman" w:cs="Times New Roman"/>
          <w:sz w:val="28"/>
          <w:szCs w:val="28"/>
        </w:rPr>
      </w:pPr>
    </w:p>
    <w:p w14:paraId="794C8A52" w14:textId="07973AAB" w:rsidR="002B392F" w:rsidRPr="00FD7B0B" w:rsidRDefault="002B392F" w:rsidP="002B392F">
      <w:pPr>
        <w:spacing w:after="0" w:line="240" w:lineRule="auto"/>
        <w:ind w:firstLine="709"/>
        <w:contextualSpacing/>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При планируемом снижении объемов государственного задания отдельные учреждения объем государственного задания по государственным услуга</w:t>
      </w:r>
      <w:r w:rsidR="001358BD" w:rsidRPr="00FD7B0B">
        <w:rPr>
          <w:rFonts w:ascii="Times New Roman" w:eastAsia="Calibri" w:hAnsi="Times New Roman" w:cs="Times New Roman"/>
          <w:sz w:val="28"/>
          <w:szCs w:val="28"/>
        </w:rPr>
        <w:t>м перевыполнили. Так, например:</w:t>
      </w:r>
    </w:p>
    <w:tbl>
      <w:tblPr>
        <w:tblW w:w="9759" w:type="dxa"/>
        <w:tblLayout w:type="fixed"/>
        <w:tblLook w:val="04A0" w:firstRow="1" w:lastRow="0" w:firstColumn="1" w:lastColumn="0" w:noHBand="0" w:noVBand="1"/>
      </w:tblPr>
      <w:tblGrid>
        <w:gridCol w:w="1664"/>
        <w:gridCol w:w="3275"/>
        <w:gridCol w:w="850"/>
        <w:gridCol w:w="889"/>
        <w:gridCol w:w="812"/>
        <w:gridCol w:w="851"/>
        <w:gridCol w:w="567"/>
        <w:gridCol w:w="851"/>
      </w:tblGrid>
      <w:tr w:rsidR="00FD7B0B" w:rsidRPr="00FD7B0B" w14:paraId="1C06C8F2" w14:textId="77777777" w:rsidTr="00123E3C">
        <w:trPr>
          <w:trHeight w:val="270"/>
          <w:tblHeader/>
        </w:trPr>
        <w:tc>
          <w:tcPr>
            <w:tcW w:w="1664" w:type="dxa"/>
            <w:vMerge w:val="restart"/>
            <w:tcBorders>
              <w:top w:val="double" w:sz="6" w:space="0" w:color="000000"/>
              <w:left w:val="double" w:sz="6" w:space="0" w:color="000000"/>
              <w:bottom w:val="single" w:sz="4" w:space="0" w:color="000000"/>
              <w:right w:val="single" w:sz="4" w:space="0" w:color="000000"/>
            </w:tcBorders>
            <w:shd w:val="clear" w:color="auto" w:fill="auto"/>
            <w:vAlign w:val="center"/>
            <w:hideMark/>
          </w:tcPr>
          <w:p w14:paraId="0863654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Учреждение</w:t>
            </w:r>
          </w:p>
        </w:tc>
        <w:tc>
          <w:tcPr>
            <w:tcW w:w="3275" w:type="dxa"/>
            <w:vMerge w:val="restart"/>
            <w:tcBorders>
              <w:top w:val="double" w:sz="6" w:space="0" w:color="000000"/>
              <w:left w:val="single" w:sz="4" w:space="0" w:color="000000"/>
              <w:bottom w:val="single" w:sz="4" w:space="0" w:color="000000"/>
              <w:right w:val="single" w:sz="4" w:space="0" w:color="000000"/>
            </w:tcBorders>
            <w:shd w:val="clear" w:color="auto" w:fill="auto"/>
            <w:vAlign w:val="center"/>
            <w:hideMark/>
          </w:tcPr>
          <w:p w14:paraId="68300CA8"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Наименование учреждения, государственной услуги (работы), показателя объема</w:t>
            </w:r>
          </w:p>
        </w:tc>
        <w:tc>
          <w:tcPr>
            <w:tcW w:w="3402" w:type="dxa"/>
            <w:gridSpan w:val="4"/>
            <w:tcBorders>
              <w:top w:val="double" w:sz="6" w:space="0" w:color="000000"/>
              <w:left w:val="nil"/>
              <w:bottom w:val="single" w:sz="4" w:space="0" w:color="000000"/>
              <w:right w:val="single" w:sz="4" w:space="0" w:color="000000"/>
            </w:tcBorders>
            <w:shd w:val="clear" w:color="auto" w:fill="auto"/>
            <w:vAlign w:val="center"/>
            <w:hideMark/>
          </w:tcPr>
          <w:p w14:paraId="16628304"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Объемный показатель, утвержденный в государственном задании за отчетный период</w:t>
            </w:r>
          </w:p>
        </w:tc>
        <w:tc>
          <w:tcPr>
            <w:tcW w:w="567" w:type="dxa"/>
            <w:vMerge w:val="restart"/>
            <w:tcBorders>
              <w:top w:val="double" w:sz="6" w:space="0" w:color="000000"/>
              <w:left w:val="single" w:sz="4" w:space="0" w:color="000000"/>
              <w:bottom w:val="single" w:sz="4" w:space="0" w:color="000000"/>
              <w:right w:val="single" w:sz="4" w:space="0" w:color="000000"/>
            </w:tcBorders>
            <w:shd w:val="clear" w:color="auto" w:fill="auto"/>
            <w:vAlign w:val="center"/>
            <w:hideMark/>
          </w:tcPr>
          <w:p w14:paraId="5C48FF34"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выполнения</w:t>
            </w:r>
          </w:p>
        </w:tc>
        <w:tc>
          <w:tcPr>
            <w:tcW w:w="851" w:type="dxa"/>
            <w:vMerge w:val="restart"/>
            <w:tcBorders>
              <w:top w:val="double" w:sz="6" w:space="0" w:color="000000"/>
              <w:left w:val="single" w:sz="4" w:space="0" w:color="000000"/>
              <w:bottom w:val="single" w:sz="4" w:space="0" w:color="000000"/>
              <w:right w:val="double" w:sz="6" w:space="0" w:color="000000"/>
            </w:tcBorders>
            <w:shd w:val="clear" w:color="auto" w:fill="auto"/>
            <w:vAlign w:val="center"/>
            <w:hideMark/>
          </w:tcPr>
          <w:p w14:paraId="7773440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допустимо (возможное) отклонение (%)</w:t>
            </w:r>
          </w:p>
        </w:tc>
      </w:tr>
      <w:tr w:rsidR="00FD7B0B" w:rsidRPr="00FD7B0B" w14:paraId="7291F758" w14:textId="77777777" w:rsidTr="001358BD">
        <w:trPr>
          <w:trHeight w:val="432"/>
          <w:tblHeader/>
        </w:trPr>
        <w:tc>
          <w:tcPr>
            <w:tcW w:w="1664" w:type="dxa"/>
            <w:vMerge/>
            <w:tcBorders>
              <w:top w:val="double" w:sz="6" w:space="0" w:color="000000"/>
              <w:left w:val="double" w:sz="6" w:space="0" w:color="000000"/>
              <w:bottom w:val="single" w:sz="4" w:space="0" w:color="000000"/>
              <w:right w:val="single" w:sz="4" w:space="0" w:color="000000"/>
            </w:tcBorders>
            <w:vAlign w:val="center"/>
            <w:hideMark/>
          </w:tcPr>
          <w:p w14:paraId="4B57A921"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3275" w:type="dxa"/>
            <w:vMerge/>
            <w:tcBorders>
              <w:top w:val="double" w:sz="6" w:space="0" w:color="000000"/>
              <w:left w:val="single" w:sz="4" w:space="0" w:color="000000"/>
              <w:bottom w:val="single" w:sz="4" w:space="0" w:color="000000"/>
              <w:right w:val="single" w:sz="4" w:space="0" w:color="000000"/>
            </w:tcBorders>
            <w:vAlign w:val="center"/>
            <w:hideMark/>
          </w:tcPr>
          <w:p w14:paraId="7D00402F"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850" w:type="dxa"/>
            <w:tcBorders>
              <w:top w:val="nil"/>
              <w:left w:val="nil"/>
              <w:bottom w:val="single" w:sz="4" w:space="0" w:color="000000"/>
              <w:right w:val="single" w:sz="4" w:space="0" w:color="000000"/>
            </w:tcBorders>
            <w:shd w:val="clear" w:color="auto" w:fill="auto"/>
            <w:vAlign w:val="center"/>
            <w:hideMark/>
          </w:tcPr>
          <w:p w14:paraId="0DAB4C2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Перв. план</w:t>
            </w:r>
          </w:p>
        </w:tc>
        <w:tc>
          <w:tcPr>
            <w:tcW w:w="889" w:type="dxa"/>
            <w:tcBorders>
              <w:top w:val="nil"/>
              <w:left w:val="nil"/>
              <w:bottom w:val="single" w:sz="4" w:space="0" w:color="000000"/>
              <w:right w:val="single" w:sz="4" w:space="0" w:color="000000"/>
            </w:tcBorders>
            <w:shd w:val="clear" w:color="auto" w:fill="auto"/>
            <w:vAlign w:val="center"/>
            <w:hideMark/>
          </w:tcPr>
          <w:p w14:paraId="7F9632F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Уточн. план</w:t>
            </w:r>
          </w:p>
        </w:tc>
        <w:tc>
          <w:tcPr>
            <w:tcW w:w="812" w:type="dxa"/>
            <w:tcBorders>
              <w:top w:val="nil"/>
              <w:left w:val="nil"/>
              <w:bottom w:val="single" w:sz="4" w:space="0" w:color="000000"/>
              <w:right w:val="single" w:sz="4" w:space="0" w:color="000000"/>
            </w:tcBorders>
            <w:shd w:val="clear" w:color="auto" w:fill="auto"/>
            <w:vAlign w:val="center"/>
            <w:hideMark/>
          </w:tcPr>
          <w:p w14:paraId="402EE92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Изменения</w:t>
            </w:r>
          </w:p>
        </w:tc>
        <w:tc>
          <w:tcPr>
            <w:tcW w:w="851" w:type="dxa"/>
            <w:tcBorders>
              <w:top w:val="nil"/>
              <w:left w:val="nil"/>
              <w:bottom w:val="single" w:sz="4" w:space="0" w:color="000000"/>
              <w:right w:val="single" w:sz="4" w:space="0" w:color="000000"/>
            </w:tcBorders>
            <w:shd w:val="clear" w:color="auto" w:fill="auto"/>
            <w:vAlign w:val="center"/>
            <w:hideMark/>
          </w:tcPr>
          <w:p w14:paraId="62B45875"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Факт</w:t>
            </w:r>
          </w:p>
        </w:tc>
        <w:tc>
          <w:tcPr>
            <w:tcW w:w="567" w:type="dxa"/>
            <w:vMerge/>
            <w:tcBorders>
              <w:top w:val="double" w:sz="6" w:space="0" w:color="000000"/>
              <w:left w:val="single" w:sz="4" w:space="0" w:color="000000"/>
              <w:bottom w:val="single" w:sz="4" w:space="0" w:color="000000"/>
              <w:right w:val="single" w:sz="4" w:space="0" w:color="000000"/>
            </w:tcBorders>
            <w:vAlign w:val="center"/>
            <w:hideMark/>
          </w:tcPr>
          <w:p w14:paraId="3BB27D09"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851" w:type="dxa"/>
            <w:vMerge/>
            <w:tcBorders>
              <w:top w:val="double" w:sz="6" w:space="0" w:color="000000"/>
              <w:left w:val="single" w:sz="4" w:space="0" w:color="000000"/>
              <w:bottom w:val="single" w:sz="4" w:space="0" w:color="000000"/>
              <w:right w:val="double" w:sz="6" w:space="0" w:color="000000"/>
            </w:tcBorders>
            <w:vAlign w:val="center"/>
            <w:hideMark/>
          </w:tcPr>
          <w:p w14:paraId="497397C3"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r>
      <w:tr w:rsidR="00FD7B0B" w:rsidRPr="00FD7B0B" w14:paraId="16BB6553" w14:textId="77777777" w:rsidTr="002E7E31">
        <w:trPr>
          <w:trHeight w:val="450"/>
        </w:trPr>
        <w:tc>
          <w:tcPr>
            <w:tcW w:w="1664" w:type="dxa"/>
            <w:vMerge w:val="restart"/>
            <w:tcBorders>
              <w:top w:val="nil"/>
              <w:left w:val="double" w:sz="6" w:space="0" w:color="000000"/>
              <w:bottom w:val="single" w:sz="4" w:space="0" w:color="000000"/>
              <w:right w:val="single" w:sz="4" w:space="0" w:color="000000"/>
            </w:tcBorders>
            <w:shd w:val="clear" w:color="auto" w:fill="auto"/>
            <w:vAlign w:val="center"/>
            <w:hideMark/>
          </w:tcPr>
          <w:p w14:paraId="64CACD33"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ГАУ АО "Социальный консультативный центр"</w:t>
            </w:r>
          </w:p>
        </w:tc>
        <w:tc>
          <w:tcPr>
            <w:tcW w:w="3275" w:type="dxa"/>
            <w:tcBorders>
              <w:top w:val="nil"/>
              <w:left w:val="nil"/>
              <w:bottom w:val="single" w:sz="4" w:space="0" w:color="000000"/>
              <w:right w:val="single" w:sz="4" w:space="0" w:color="000000"/>
            </w:tcBorders>
            <w:shd w:val="clear" w:color="auto" w:fill="auto"/>
            <w:vAlign w:val="center"/>
            <w:hideMark/>
          </w:tcPr>
          <w:p w14:paraId="532EFC76" w14:textId="77777777" w:rsidR="002B392F" w:rsidRPr="00FD7B0B" w:rsidRDefault="002B392F" w:rsidP="002E7E3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Реализация дополнительных профессиональных программ повышения квалификации, чел-час</w:t>
            </w:r>
          </w:p>
        </w:tc>
        <w:tc>
          <w:tcPr>
            <w:tcW w:w="850" w:type="dxa"/>
            <w:tcBorders>
              <w:top w:val="nil"/>
              <w:left w:val="nil"/>
              <w:bottom w:val="single" w:sz="4" w:space="0" w:color="000000"/>
              <w:right w:val="single" w:sz="4" w:space="0" w:color="000000"/>
            </w:tcBorders>
            <w:shd w:val="clear" w:color="auto" w:fill="auto"/>
            <w:vAlign w:val="center"/>
            <w:hideMark/>
          </w:tcPr>
          <w:p w14:paraId="4C981A07"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37 975</w:t>
            </w:r>
          </w:p>
        </w:tc>
        <w:tc>
          <w:tcPr>
            <w:tcW w:w="889" w:type="dxa"/>
            <w:tcBorders>
              <w:top w:val="nil"/>
              <w:left w:val="nil"/>
              <w:bottom w:val="single" w:sz="4" w:space="0" w:color="000000"/>
              <w:right w:val="single" w:sz="4" w:space="0" w:color="000000"/>
            </w:tcBorders>
            <w:shd w:val="clear" w:color="auto" w:fill="auto"/>
            <w:vAlign w:val="center"/>
            <w:hideMark/>
          </w:tcPr>
          <w:p w14:paraId="022B4C3F"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32 872</w:t>
            </w:r>
          </w:p>
        </w:tc>
        <w:tc>
          <w:tcPr>
            <w:tcW w:w="812" w:type="dxa"/>
            <w:tcBorders>
              <w:top w:val="nil"/>
              <w:left w:val="nil"/>
              <w:bottom w:val="single" w:sz="4" w:space="0" w:color="000000"/>
              <w:right w:val="single" w:sz="4" w:space="0" w:color="000000"/>
            </w:tcBorders>
            <w:shd w:val="clear" w:color="auto" w:fill="auto"/>
            <w:vAlign w:val="center"/>
            <w:hideMark/>
          </w:tcPr>
          <w:p w14:paraId="5218CE3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-5 103</w:t>
            </w:r>
          </w:p>
        </w:tc>
        <w:tc>
          <w:tcPr>
            <w:tcW w:w="851" w:type="dxa"/>
            <w:tcBorders>
              <w:top w:val="nil"/>
              <w:left w:val="nil"/>
              <w:bottom w:val="single" w:sz="4" w:space="0" w:color="000000"/>
              <w:right w:val="single" w:sz="4" w:space="0" w:color="000000"/>
            </w:tcBorders>
            <w:shd w:val="clear" w:color="auto" w:fill="auto"/>
            <w:vAlign w:val="center"/>
            <w:hideMark/>
          </w:tcPr>
          <w:p w14:paraId="1CAC498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36 820</w:t>
            </w:r>
          </w:p>
        </w:tc>
        <w:tc>
          <w:tcPr>
            <w:tcW w:w="567" w:type="dxa"/>
            <w:tcBorders>
              <w:top w:val="nil"/>
              <w:left w:val="nil"/>
              <w:bottom w:val="single" w:sz="4" w:space="0" w:color="000000"/>
              <w:right w:val="single" w:sz="4" w:space="0" w:color="000000"/>
            </w:tcBorders>
            <w:shd w:val="clear" w:color="auto" w:fill="auto"/>
            <w:vAlign w:val="center"/>
            <w:hideMark/>
          </w:tcPr>
          <w:p w14:paraId="188DDBA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112</w:t>
            </w:r>
          </w:p>
        </w:tc>
        <w:tc>
          <w:tcPr>
            <w:tcW w:w="851" w:type="dxa"/>
            <w:tcBorders>
              <w:top w:val="nil"/>
              <w:left w:val="nil"/>
              <w:bottom w:val="single" w:sz="4" w:space="0" w:color="000000"/>
              <w:right w:val="double" w:sz="6" w:space="0" w:color="000000"/>
            </w:tcBorders>
            <w:shd w:val="clear" w:color="auto" w:fill="auto"/>
            <w:vAlign w:val="center"/>
            <w:hideMark/>
          </w:tcPr>
          <w:p w14:paraId="1531133A"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w:t>
            </w:r>
          </w:p>
        </w:tc>
      </w:tr>
      <w:tr w:rsidR="00FD7B0B" w:rsidRPr="00FD7B0B" w14:paraId="3FCC1B94" w14:textId="77777777" w:rsidTr="002E7E31">
        <w:trPr>
          <w:trHeight w:val="643"/>
        </w:trPr>
        <w:tc>
          <w:tcPr>
            <w:tcW w:w="1664" w:type="dxa"/>
            <w:vMerge/>
            <w:tcBorders>
              <w:top w:val="nil"/>
              <w:left w:val="double" w:sz="6" w:space="0" w:color="000000"/>
              <w:bottom w:val="single" w:sz="4" w:space="0" w:color="000000"/>
              <w:right w:val="single" w:sz="4" w:space="0" w:color="000000"/>
            </w:tcBorders>
            <w:vAlign w:val="center"/>
            <w:hideMark/>
          </w:tcPr>
          <w:p w14:paraId="2E2ADF0B"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3275" w:type="dxa"/>
            <w:tcBorders>
              <w:top w:val="nil"/>
              <w:left w:val="nil"/>
              <w:bottom w:val="single" w:sz="4" w:space="0" w:color="000000"/>
              <w:right w:val="single" w:sz="4" w:space="0" w:color="000000"/>
            </w:tcBorders>
            <w:shd w:val="clear" w:color="auto" w:fill="auto"/>
            <w:vAlign w:val="center"/>
            <w:hideMark/>
          </w:tcPr>
          <w:p w14:paraId="3DBB842F" w14:textId="77777777" w:rsidR="002B392F" w:rsidRPr="00FD7B0B" w:rsidRDefault="002B392F" w:rsidP="002E7E3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Реализация основных профессиональных образовательных программ профессионального обучения - программам переподготовки рабочих и служащих, чел-час</w:t>
            </w:r>
          </w:p>
        </w:tc>
        <w:tc>
          <w:tcPr>
            <w:tcW w:w="850" w:type="dxa"/>
            <w:tcBorders>
              <w:top w:val="nil"/>
              <w:left w:val="nil"/>
              <w:bottom w:val="single" w:sz="4" w:space="0" w:color="000000"/>
              <w:right w:val="single" w:sz="4" w:space="0" w:color="000000"/>
            </w:tcBorders>
            <w:shd w:val="clear" w:color="auto" w:fill="auto"/>
            <w:vAlign w:val="center"/>
            <w:hideMark/>
          </w:tcPr>
          <w:p w14:paraId="5DCADB16"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135 970</w:t>
            </w:r>
          </w:p>
        </w:tc>
        <w:tc>
          <w:tcPr>
            <w:tcW w:w="889" w:type="dxa"/>
            <w:tcBorders>
              <w:top w:val="nil"/>
              <w:left w:val="nil"/>
              <w:bottom w:val="single" w:sz="4" w:space="0" w:color="000000"/>
              <w:right w:val="single" w:sz="4" w:space="0" w:color="000000"/>
            </w:tcBorders>
            <w:shd w:val="clear" w:color="auto" w:fill="auto"/>
            <w:vAlign w:val="center"/>
            <w:hideMark/>
          </w:tcPr>
          <w:p w14:paraId="4A43B6E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110 033</w:t>
            </w:r>
          </w:p>
        </w:tc>
        <w:tc>
          <w:tcPr>
            <w:tcW w:w="812" w:type="dxa"/>
            <w:tcBorders>
              <w:top w:val="nil"/>
              <w:left w:val="nil"/>
              <w:bottom w:val="single" w:sz="4" w:space="0" w:color="000000"/>
              <w:right w:val="single" w:sz="4" w:space="0" w:color="000000"/>
            </w:tcBorders>
            <w:shd w:val="clear" w:color="auto" w:fill="auto"/>
            <w:vAlign w:val="center"/>
            <w:hideMark/>
          </w:tcPr>
          <w:p w14:paraId="22CD9D6F"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-25 937</w:t>
            </w:r>
          </w:p>
        </w:tc>
        <w:tc>
          <w:tcPr>
            <w:tcW w:w="851" w:type="dxa"/>
            <w:tcBorders>
              <w:top w:val="nil"/>
              <w:left w:val="nil"/>
              <w:bottom w:val="single" w:sz="4" w:space="0" w:color="000000"/>
              <w:right w:val="single" w:sz="4" w:space="0" w:color="000000"/>
            </w:tcBorders>
            <w:shd w:val="clear" w:color="auto" w:fill="auto"/>
            <w:vAlign w:val="center"/>
            <w:hideMark/>
          </w:tcPr>
          <w:p w14:paraId="451D5E0D"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122 239</w:t>
            </w:r>
          </w:p>
        </w:tc>
        <w:tc>
          <w:tcPr>
            <w:tcW w:w="567" w:type="dxa"/>
            <w:tcBorders>
              <w:top w:val="nil"/>
              <w:left w:val="nil"/>
              <w:bottom w:val="single" w:sz="4" w:space="0" w:color="000000"/>
              <w:right w:val="single" w:sz="4" w:space="0" w:color="000000"/>
            </w:tcBorders>
            <w:shd w:val="clear" w:color="auto" w:fill="auto"/>
            <w:vAlign w:val="center"/>
            <w:hideMark/>
          </w:tcPr>
          <w:p w14:paraId="12ADF171"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111</w:t>
            </w:r>
          </w:p>
        </w:tc>
        <w:tc>
          <w:tcPr>
            <w:tcW w:w="851" w:type="dxa"/>
            <w:tcBorders>
              <w:top w:val="nil"/>
              <w:left w:val="nil"/>
              <w:bottom w:val="single" w:sz="4" w:space="0" w:color="000000"/>
              <w:right w:val="double" w:sz="6" w:space="0" w:color="000000"/>
            </w:tcBorders>
            <w:shd w:val="clear" w:color="auto" w:fill="auto"/>
            <w:vAlign w:val="center"/>
            <w:hideMark/>
          </w:tcPr>
          <w:p w14:paraId="361431ED"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w:t>
            </w:r>
          </w:p>
        </w:tc>
      </w:tr>
      <w:tr w:rsidR="00FD7B0B" w:rsidRPr="00FD7B0B" w14:paraId="570D86B3" w14:textId="77777777" w:rsidTr="002E7E31">
        <w:trPr>
          <w:trHeight w:val="615"/>
        </w:trPr>
        <w:tc>
          <w:tcPr>
            <w:tcW w:w="1664" w:type="dxa"/>
            <w:tcBorders>
              <w:top w:val="nil"/>
              <w:left w:val="double" w:sz="6" w:space="0" w:color="000000"/>
              <w:bottom w:val="single" w:sz="4" w:space="0" w:color="000000"/>
              <w:right w:val="single" w:sz="4" w:space="0" w:color="000000"/>
            </w:tcBorders>
            <w:shd w:val="clear" w:color="auto" w:fill="auto"/>
            <w:vAlign w:val="center"/>
            <w:hideMark/>
          </w:tcPr>
          <w:p w14:paraId="144AC560"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ГБУ АО "Сольвычегодский центр содействия семейному устройству"</w:t>
            </w:r>
          </w:p>
        </w:tc>
        <w:tc>
          <w:tcPr>
            <w:tcW w:w="3275" w:type="dxa"/>
            <w:tcBorders>
              <w:top w:val="nil"/>
              <w:left w:val="nil"/>
              <w:bottom w:val="single" w:sz="4" w:space="0" w:color="000000"/>
              <w:right w:val="single" w:sz="4" w:space="0" w:color="000000"/>
            </w:tcBorders>
            <w:shd w:val="clear" w:color="auto" w:fill="auto"/>
            <w:vAlign w:val="center"/>
            <w:hideMark/>
          </w:tcPr>
          <w:p w14:paraId="1382A7BA" w14:textId="77777777" w:rsidR="002B392F" w:rsidRPr="00FD7B0B" w:rsidRDefault="002B392F" w:rsidP="002E7E3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Оказание консультативной, психологической, педагогической, юридической, социальной и иной помощи лицам из числа детей, завершивших пребывание в организации для детей-сирот, чел.</w:t>
            </w:r>
          </w:p>
        </w:tc>
        <w:tc>
          <w:tcPr>
            <w:tcW w:w="850" w:type="dxa"/>
            <w:tcBorders>
              <w:top w:val="nil"/>
              <w:left w:val="nil"/>
              <w:bottom w:val="single" w:sz="4" w:space="0" w:color="000000"/>
              <w:right w:val="single" w:sz="4" w:space="0" w:color="000000"/>
            </w:tcBorders>
            <w:shd w:val="clear" w:color="auto" w:fill="auto"/>
            <w:vAlign w:val="center"/>
            <w:hideMark/>
          </w:tcPr>
          <w:p w14:paraId="166958B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w:t>
            </w:r>
          </w:p>
        </w:tc>
        <w:tc>
          <w:tcPr>
            <w:tcW w:w="889" w:type="dxa"/>
            <w:tcBorders>
              <w:top w:val="nil"/>
              <w:left w:val="nil"/>
              <w:bottom w:val="single" w:sz="4" w:space="0" w:color="000000"/>
              <w:right w:val="single" w:sz="4" w:space="0" w:color="000000"/>
            </w:tcBorders>
            <w:shd w:val="clear" w:color="auto" w:fill="auto"/>
            <w:vAlign w:val="center"/>
            <w:hideMark/>
          </w:tcPr>
          <w:p w14:paraId="627D75FD"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w:t>
            </w:r>
          </w:p>
        </w:tc>
        <w:tc>
          <w:tcPr>
            <w:tcW w:w="812" w:type="dxa"/>
            <w:tcBorders>
              <w:top w:val="nil"/>
              <w:left w:val="nil"/>
              <w:bottom w:val="single" w:sz="4" w:space="0" w:color="000000"/>
              <w:right w:val="single" w:sz="4" w:space="0" w:color="000000"/>
            </w:tcBorders>
            <w:shd w:val="clear" w:color="auto" w:fill="auto"/>
            <w:vAlign w:val="center"/>
            <w:hideMark/>
          </w:tcPr>
          <w:p w14:paraId="0224616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w:t>
            </w:r>
          </w:p>
        </w:tc>
        <w:tc>
          <w:tcPr>
            <w:tcW w:w="851" w:type="dxa"/>
            <w:tcBorders>
              <w:top w:val="nil"/>
              <w:left w:val="nil"/>
              <w:bottom w:val="single" w:sz="4" w:space="0" w:color="000000"/>
              <w:right w:val="single" w:sz="4" w:space="0" w:color="000000"/>
            </w:tcBorders>
            <w:shd w:val="clear" w:color="auto" w:fill="auto"/>
            <w:vAlign w:val="center"/>
            <w:hideMark/>
          </w:tcPr>
          <w:p w14:paraId="48B85A05"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w:t>
            </w:r>
          </w:p>
        </w:tc>
        <w:tc>
          <w:tcPr>
            <w:tcW w:w="567" w:type="dxa"/>
            <w:tcBorders>
              <w:top w:val="nil"/>
              <w:left w:val="nil"/>
              <w:bottom w:val="single" w:sz="4" w:space="0" w:color="000000"/>
              <w:right w:val="single" w:sz="4" w:space="0" w:color="000000"/>
            </w:tcBorders>
            <w:shd w:val="clear" w:color="auto" w:fill="auto"/>
            <w:vAlign w:val="center"/>
            <w:hideMark/>
          </w:tcPr>
          <w:p w14:paraId="636249D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133</w:t>
            </w:r>
          </w:p>
        </w:tc>
        <w:tc>
          <w:tcPr>
            <w:tcW w:w="851" w:type="dxa"/>
            <w:tcBorders>
              <w:top w:val="nil"/>
              <w:left w:val="nil"/>
              <w:bottom w:val="single" w:sz="4" w:space="0" w:color="000000"/>
              <w:right w:val="double" w:sz="6" w:space="0" w:color="000000"/>
            </w:tcBorders>
            <w:shd w:val="clear" w:color="auto" w:fill="auto"/>
            <w:vAlign w:val="center"/>
            <w:hideMark/>
          </w:tcPr>
          <w:p w14:paraId="4CB857CF"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w:t>
            </w:r>
          </w:p>
        </w:tc>
      </w:tr>
      <w:tr w:rsidR="00FD7B0B" w:rsidRPr="00FD7B0B" w14:paraId="5C30D7E7" w14:textId="77777777" w:rsidTr="002E7E31">
        <w:trPr>
          <w:trHeight w:val="570"/>
        </w:trPr>
        <w:tc>
          <w:tcPr>
            <w:tcW w:w="1664" w:type="dxa"/>
            <w:tcBorders>
              <w:top w:val="nil"/>
              <w:left w:val="double" w:sz="6" w:space="0" w:color="000000"/>
              <w:bottom w:val="single" w:sz="4" w:space="0" w:color="000000"/>
              <w:right w:val="single" w:sz="4" w:space="0" w:color="000000"/>
            </w:tcBorders>
            <w:shd w:val="clear" w:color="auto" w:fill="auto"/>
            <w:vAlign w:val="center"/>
            <w:hideMark/>
          </w:tcPr>
          <w:p w14:paraId="3CF56D73"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ГБУ АО "Мошинский центр содействия семейному устройству"</w:t>
            </w:r>
          </w:p>
        </w:tc>
        <w:tc>
          <w:tcPr>
            <w:tcW w:w="3275" w:type="dxa"/>
            <w:tcBorders>
              <w:top w:val="nil"/>
              <w:left w:val="nil"/>
              <w:bottom w:val="single" w:sz="4" w:space="0" w:color="000000"/>
              <w:right w:val="single" w:sz="4" w:space="0" w:color="000000"/>
            </w:tcBorders>
            <w:shd w:val="clear" w:color="auto" w:fill="auto"/>
            <w:vAlign w:val="center"/>
            <w:hideMark/>
          </w:tcPr>
          <w:p w14:paraId="2E74A840" w14:textId="77777777" w:rsidR="002B392F" w:rsidRPr="00FD7B0B" w:rsidRDefault="002B392F" w:rsidP="002E7E3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Подготовка граждан, выразивших желание принять детей-сирот и детей, оставшихся без попечения родителей, на семейные формы устройства, чел.</w:t>
            </w:r>
          </w:p>
        </w:tc>
        <w:tc>
          <w:tcPr>
            <w:tcW w:w="850" w:type="dxa"/>
            <w:tcBorders>
              <w:top w:val="nil"/>
              <w:left w:val="nil"/>
              <w:bottom w:val="single" w:sz="4" w:space="0" w:color="000000"/>
              <w:right w:val="single" w:sz="4" w:space="0" w:color="000000"/>
            </w:tcBorders>
            <w:shd w:val="clear" w:color="auto" w:fill="auto"/>
            <w:vAlign w:val="center"/>
            <w:hideMark/>
          </w:tcPr>
          <w:p w14:paraId="4C67601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w:t>
            </w:r>
          </w:p>
        </w:tc>
        <w:tc>
          <w:tcPr>
            <w:tcW w:w="889" w:type="dxa"/>
            <w:tcBorders>
              <w:top w:val="nil"/>
              <w:left w:val="nil"/>
              <w:bottom w:val="single" w:sz="4" w:space="0" w:color="000000"/>
              <w:right w:val="single" w:sz="4" w:space="0" w:color="000000"/>
            </w:tcBorders>
            <w:shd w:val="clear" w:color="auto" w:fill="auto"/>
            <w:vAlign w:val="center"/>
            <w:hideMark/>
          </w:tcPr>
          <w:p w14:paraId="34DD243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9,00</w:t>
            </w:r>
          </w:p>
        </w:tc>
        <w:tc>
          <w:tcPr>
            <w:tcW w:w="812" w:type="dxa"/>
            <w:tcBorders>
              <w:top w:val="nil"/>
              <w:left w:val="nil"/>
              <w:bottom w:val="single" w:sz="4" w:space="0" w:color="000000"/>
              <w:right w:val="single" w:sz="4" w:space="0" w:color="000000"/>
            </w:tcBorders>
            <w:shd w:val="clear" w:color="auto" w:fill="auto"/>
            <w:vAlign w:val="center"/>
            <w:hideMark/>
          </w:tcPr>
          <w:p w14:paraId="22C37374"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w:t>
            </w:r>
          </w:p>
        </w:tc>
        <w:tc>
          <w:tcPr>
            <w:tcW w:w="851" w:type="dxa"/>
            <w:tcBorders>
              <w:top w:val="nil"/>
              <w:left w:val="nil"/>
              <w:bottom w:val="single" w:sz="4" w:space="0" w:color="000000"/>
              <w:right w:val="single" w:sz="4" w:space="0" w:color="000000"/>
            </w:tcBorders>
            <w:shd w:val="clear" w:color="auto" w:fill="auto"/>
            <w:vAlign w:val="center"/>
            <w:hideMark/>
          </w:tcPr>
          <w:p w14:paraId="3F30ED5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w:t>
            </w:r>
          </w:p>
        </w:tc>
        <w:tc>
          <w:tcPr>
            <w:tcW w:w="567" w:type="dxa"/>
            <w:tcBorders>
              <w:top w:val="nil"/>
              <w:left w:val="nil"/>
              <w:bottom w:val="single" w:sz="4" w:space="0" w:color="000000"/>
              <w:right w:val="single" w:sz="4" w:space="0" w:color="000000"/>
            </w:tcBorders>
            <w:shd w:val="clear" w:color="auto" w:fill="auto"/>
            <w:vAlign w:val="center"/>
            <w:hideMark/>
          </w:tcPr>
          <w:p w14:paraId="530D6E3B"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122</w:t>
            </w:r>
          </w:p>
        </w:tc>
        <w:tc>
          <w:tcPr>
            <w:tcW w:w="851" w:type="dxa"/>
            <w:tcBorders>
              <w:top w:val="nil"/>
              <w:left w:val="nil"/>
              <w:bottom w:val="single" w:sz="4" w:space="0" w:color="000000"/>
              <w:right w:val="double" w:sz="6" w:space="0" w:color="000000"/>
            </w:tcBorders>
            <w:shd w:val="clear" w:color="auto" w:fill="auto"/>
            <w:vAlign w:val="center"/>
            <w:hideMark/>
          </w:tcPr>
          <w:p w14:paraId="454AA88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w:t>
            </w:r>
          </w:p>
        </w:tc>
      </w:tr>
      <w:tr w:rsidR="002B392F" w:rsidRPr="00FD7B0B" w14:paraId="0948AB8C" w14:textId="77777777" w:rsidTr="002E7E31">
        <w:trPr>
          <w:trHeight w:val="411"/>
        </w:trPr>
        <w:tc>
          <w:tcPr>
            <w:tcW w:w="1664" w:type="dxa"/>
            <w:tcBorders>
              <w:top w:val="single" w:sz="4" w:space="0" w:color="000000"/>
              <w:left w:val="double" w:sz="6" w:space="0" w:color="000000"/>
              <w:bottom w:val="double" w:sz="4" w:space="0" w:color="000000"/>
              <w:right w:val="single" w:sz="4" w:space="0" w:color="000000"/>
            </w:tcBorders>
            <w:shd w:val="clear" w:color="auto" w:fill="auto"/>
            <w:vAlign w:val="center"/>
            <w:hideMark/>
          </w:tcPr>
          <w:p w14:paraId="58D798FA"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ГБУСОН АО "Устьянский КЦСО "</w:t>
            </w:r>
          </w:p>
        </w:tc>
        <w:tc>
          <w:tcPr>
            <w:tcW w:w="3275" w:type="dxa"/>
            <w:tcBorders>
              <w:top w:val="single" w:sz="4" w:space="0" w:color="000000"/>
              <w:left w:val="nil"/>
              <w:bottom w:val="double" w:sz="4" w:space="0" w:color="000000"/>
              <w:right w:val="single" w:sz="4" w:space="0" w:color="000000"/>
            </w:tcBorders>
            <w:shd w:val="clear" w:color="auto" w:fill="auto"/>
            <w:vAlign w:val="center"/>
            <w:hideMark/>
          </w:tcPr>
          <w:p w14:paraId="6214836A" w14:textId="77777777" w:rsidR="002B392F" w:rsidRPr="00FD7B0B" w:rsidRDefault="002B392F" w:rsidP="002E7E3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Предоставление социального обслуживания в стационарной форме, чел.</w:t>
            </w:r>
          </w:p>
        </w:tc>
        <w:tc>
          <w:tcPr>
            <w:tcW w:w="850" w:type="dxa"/>
            <w:tcBorders>
              <w:top w:val="single" w:sz="4" w:space="0" w:color="000000"/>
              <w:left w:val="nil"/>
              <w:bottom w:val="double" w:sz="4" w:space="0" w:color="000000"/>
              <w:right w:val="single" w:sz="4" w:space="0" w:color="000000"/>
            </w:tcBorders>
            <w:shd w:val="clear" w:color="auto" w:fill="auto"/>
            <w:vAlign w:val="center"/>
            <w:hideMark/>
          </w:tcPr>
          <w:p w14:paraId="4802561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w:t>
            </w:r>
          </w:p>
        </w:tc>
        <w:tc>
          <w:tcPr>
            <w:tcW w:w="889" w:type="dxa"/>
            <w:tcBorders>
              <w:top w:val="single" w:sz="4" w:space="0" w:color="000000"/>
              <w:left w:val="nil"/>
              <w:bottom w:val="double" w:sz="4" w:space="0" w:color="000000"/>
              <w:right w:val="single" w:sz="4" w:space="0" w:color="000000"/>
            </w:tcBorders>
            <w:shd w:val="clear" w:color="auto" w:fill="auto"/>
            <w:vAlign w:val="center"/>
            <w:hideMark/>
          </w:tcPr>
          <w:p w14:paraId="1CAEAA3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812" w:type="dxa"/>
            <w:tcBorders>
              <w:top w:val="single" w:sz="4" w:space="0" w:color="000000"/>
              <w:left w:val="nil"/>
              <w:bottom w:val="double" w:sz="4" w:space="0" w:color="000000"/>
              <w:right w:val="single" w:sz="4" w:space="0" w:color="000000"/>
            </w:tcBorders>
            <w:shd w:val="clear" w:color="auto" w:fill="auto"/>
            <w:vAlign w:val="center"/>
            <w:hideMark/>
          </w:tcPr>
          <w:p w14:paraId="73C500B4"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w:t>
            </w:r>
          </w:p>
        </w:tc>
        <w:tc>
          <w:tcPr>
            <w:tcW w:w="851" w:type="dxa"/>
            <w:tcBorders>
              <w:top w:val="single" w:sz="4" w:space="0" w:color="000000"/>
              <w:left w:val="nil"/>
              <w:bottom w:val="double" w:sz="4" w:space="0" w:color="000000"/>
              <w:right w:val="single" w:sz="4" w:space="0" w:color="000000"/>
            </w:tcBorders>
            <w:shd w:val="clear" w:color="auto" w:fill="auto"/>
            <w:vAlign w:val="center"/>
            <w:hideMark/>
          </w:tcPr>
          <w:p w14:paraId="67B8FBD7"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w:t>
            </w:r>
          </w:p>
        </w:tc>
        <w:tc>
          <w:tcPr>
            <w:tcW w:w="567" w:type="dxa"/>
            <w:tcBorders>
              <w:top w:val="single" w:sz="4" w:space="0" w:color="000000"/>
              <w:left w:val="nil"/>
              <w:bottom w:val="double" w:sz="4" w:space="0" w:color="000000"/>
              <w:right w:val="single" w:sz="4" w:space="0" w:color="000000"/>
            </w:tcBorders>
            <w:shd w:val="clear" w:color="auto" w:fill="auto"/>
            <w:vAlign w:val="center"/>
            <w:hideMark/>
          </w:tcPr>
          <w:p w14:paraId="3EA24A16"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110</w:t>
            </w:r>
          </w:p>
        </w:tc>
        <w:tc>
          <w:tcPr>
            <w:tcW w:w="851" w:type="dxa"/>
            <w:tcBorders>
              <w:top w:val="single" w:sz="4" w:space="0" w:color="000000"/>
              <w:left w:val="nil"/>
              <w:bottom w:val="double" w:sz="4" w:space="0" w:color="000000"/>
              <w:right w:val="double" w:sz="6" w:space="0" w:color="000000"/>
            </w:tcBorders>
            <w:shd w:val="clear" w:color="auto" w:fill="auto"/>
            <w:vAlign w:val="center"/>
            <w:hideMark/>
          </w:tcPr>
          <w:p w14:paraId="730105C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w:t>
            </w:r>
          </w:p>
        </w:tc>
      </w:tr>
    </w:tbl>
    <w:p w14:paraId="43E9C924" w14:textId="77777777" w:rsidR="002B392F" w:rsidRPr="00FD7B0B" w:rsidRDefault="002B392F" w:rsidP="002B392F">
      <w:pPr>
        <w:spacing w:after="0" w:line="240" w:lineRule="auto"/>
        <w:contextualSpacing/>
        <w:jc w:val="both"/>
        <w:rPr>
          <w:rFonts w:ascii="Times New Roman" w:eastAsia="Calibri" w:hAnsi="Times New Roman" w:cs="Times New Roman"/>
          <w:sz w:val="28"/>
          <w:szCs w:val="28"/>
        </w:rPr>
      </w:pPr>
    </w:p>
    <w:p w14:paraId="7AD63527" w14:textId="223B21BB" w:rsidR="002B392F" w:rsidRPr="00FD7B0B" w:rsidRDefault="002B392F" w:rsidP="002B392F">
      <w:pPr>
        <w:spacing w:after="0" w:line="240" w:lineRule="auto"/>
        <w:ind w:firstLine="709"/>
        <w:contextualSpacing/>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Объем субсидии на финансовое обеспечение госзадания выделенный бюджетным и автономным учреждениям в течение года увеличился с 4 695,2 млн.руб. до 4 755,</w:t>
      </w:r>
      <w:r w:rsidR="00F477A0" w:rsidRPr="00FD7B0B">
        <w:rPr>
          <w:rFonts w:ascii="Times New Roman" w:eastAsia="Calibri" w:hAnsi="Times New Roman" w:cs="Times New Roman"/>
          <w:sz w:val="28"/>
          <w:szCs w:val="28"/>
        </w:rPr>
        <w:t>8 млн.руб. или на 60,6 млн.руб.</w:t>
      </w:r>
    </w:p>
    <w:p w14:paraId="06C21986" w14:textId="77777777" w:rsidR="002B392F" w:rsidRPr="00FD7B0B" w:rsidRDefault="002B392F" w:rsidP="002B392F">
      <w:pPr>
        <w:spacing w:after="0" w:line="240" w:lineRule="auto"/>
        <w:ind w:firstLine="709"/>
        <w:contextualSpacing/>
        <w:jc w:val="both"/>
        <w:rPr>
          <w:rFonts w:ascii="Times New Roman" w:hAnsi="Times New Roman" w:cs="Times New Roman"/>
          <w:sz w:val="28"/>
          <w:szCs w:val="28"/>
        </w:rPr>
      </w:pPr>
      <w:r w:rsidRPr="00FD7B0B">
        <w:rPr>
          <w:rFonts w:ascii="Times New Roman" w:eastAsia="Calibri" w:hAnsi="Times New Roman" w:cs="Times New Roman"/>
          <w:sz w:val="28"/>
          <w:szCs w:val="28"/>
        </w:rPr>
        <w:t xml:space="preserve">По результатам исполнения государственного задания двумя учреждениями не выполнено установленное государственное задание, и </w:t>
      </w:r>
      <w:r w:rsidRPr="00FD7B0B">
        <w:rPr>
          <w:rFonts w:ascii="Times New Roman" w:eastAsia="Times New Roman" w:hAnsi="Times New Roman" w:cs="Times New Roman"/>
          <w:sz w:val="28"/>
          <w:szCs w:val="28"/>
          <w:lang w:eastAsia="ru-RU"/>
        </w:rPr>
        <w:t>минтрудсоцразвития АО</w:t>
      </w:r>
      <w:r w:rsidRPr="00FD7B0B">
        <w:rPr>
          <w:rFonts w:ascii="Times New Roman" w:eastAsia="Calibri" w:hAnsi="Times New Roman" w:cs="Times New Roman"/>
          <w:sz w:val="28"/>
          <w:szCs w:val="28"/>
        </w:rPr>
        <w:t xml:space="preserve"> выставило требование о </w:t>
      </w:r>
      <w:r w:rsidRPr="00FD7B0B">
        <w:rPr>
          <w:rFonts w:ascii="Times New Roman" w:hAnsi="Times New Roman" w:cs="Times New Roman"/>
          <w:sz w:val="28"/>
          <w:szCs w:val="28"/>
        </w:rPr>
        <w:t>возврате в бюджет средств субсидии в объеме, соответствующем не достигнутым показателям государственного задания:</w:t>
      </w:r>
    </w:p>
    <w:p w14:paraId="5F59E300" w14:textId="77777777" w:rsidR="002B392F" w:rsidRPr="00FD7B0B" w:rsidRDefault="002B392F" w:rsidP="002B392F">
      <w:pPr>
        <w:spacing w:after="0" w:line="240" w:lineRule="auto"/>
        <w:ind w:firstLine="709"/>
        <w:contextualSpacing/>
        <w:jc w:val="both"/>
        <w:rPr>
          <w:rFonts w:ascii="Times New Roman" w:hAnsi="Times New Roman" w:cs="Times New Roman"/>
          <w:sz w:val="28"/>
          <w:szCs w:val="28"/>
        </w:rPr>
      </w:pPr>
      <w:r w:rsidRPr="00FD7B0B">
        <w:rPr>
          <w:rFonts w:ascii="Times New Roman" w:eastAsia="Times New Roman" w:hAnsi="Times New Roman" w:cs="Times New Roman"/>
          <w:sz w:val="28"/>
          <w:szCs w:val="28"/>
          <w:lang w:eastAsia="ru-RU"/>
        </w:rPr>
        <w:t xml:space="preserve">ГБУСОН АО </w:t>
      </w:r>
      <w:r w:rsidRPr="00FD7B0B">
        <w:rPr>
          <w:rFonts w:ascii="Times New Roman" w:hAnsi="Times New Roman" w:cs="Times New Roman"/>
          <w:sz w:val="28"/>
          <w:szCs w:val="28"/>
        </w:rPr>
        <w:t>«Архангельский КЦСО» по госуслуге «Предоставление социального обслуживания в полустационарной форме, по одной из соцуслуг» сумма возврата 106,2 тыс.руб.,</w:t>
      </w:r>
    </w:p>
    <w:p w14:paraId="16664F1E" w14:textId="3BF2E27E" w:rsidR="002B392F" w:rsidRPr="00FD7B0B" w:rsidRDefault="002B392F" w:rsidP="002B392F">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ГБУАО ЦР «Родник» </w:t>
      </w:r>
      <w:r w:rsidRPr="00FD7B0B">
        <w:rPr>
          <w:rFonts w:ascii="Times New Roman" w:hAnsi="Times New Roman" w:cs="Times New Roman"/>
          <w:sz w:val="28"/>
          <w:szCs w:val="28"/>
        </w:rPr>
        <w:t xml:space="preserve">по госуслуге </w:t>
      </w:r>
      <w:r w:rsidRPr="00FD7B0B">
        <w:rPr>
          <w:rFonts w:ascii="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xml:space="preserve">Санаторно-курортное лечение» сумма возврата 2 860,8 тыс.руб., не выполнен объем госуслуги на 1619 койко-дней, при этом объемы госзадания по данной госуслуге были увеличены в ноябре 2024 г. на </w:t>
      </w:r>
      <w:r w:rsidR="00852CCF" w:rsidRPr="00FD7B0B">
        <w:rPr>
          <w:rFonts w:ascii="Times New Roman" w:eastAsia="Times New Roman" w:hAnsi="Times New Roman" w:cs="Times New Roman"/>
          <w:sz w:val="28"/>
          <w:szCs w:val="28"/>
          <w:lang w:eastAsia="ru-RU"/>
        </w:rPr>
        <w:t>3 780 койко-дней.</w:t>
      </w:r>
    </w:p>
    <w:p w14:paraId="406B1195" w14:textId="77777777" w:rsidR="00916171" w:rsidRPr="00FD7B0B" w:rsidRDefault="00916171" w:rsidP="00916171">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Контрольно-счетной палатой в рамках контрольных мероприятий, проводимых в 2021-2024 гг., неоднократно выявлялись нарушения в части формирования объемов государственных заданий учреждений, подведомственных минтрудсоцразвития АО, например:</w:t>
      </w:r>
    </w:p>
    <w:p w14:paraId="668E6515" w14:textId="77777777" w:rsidR="00916171" w:rsidRPr="00FD7B0B" w:rsidRDefault="00916171" w:rsidP="00916171">
      <w:pPr>
        <w:spacing w:after="0" w:line="320" w:lineRule="atLeast"/>
        <w:ind w:firstLine="709"/>
        <w:jc w:val="both"/>
        <w:rPr>
          <w:rFonts w:ascii="Times New Roman" w:hAnsi="Times New Roman" w:cs="Times New Roman"/>
          <w:sz w:val="28"/>
          <w:szCs w:val="28"/>
        </w:rPr>
      </w:pPr>
      <w:r w:rsidRPr="00FD7B0B">
        <w:rPr>
          <w:rFonts w:ascii="Times New Roman" w:eastAsia="Times New Roman" w:hAnsi="Times New Roman"/>
          <w:sz w:val="28"/>
          <w:szCs w:val="28"/>
          <w:lang w:eastAsia="ru-RU"/>
        </w:rPr>
        <w:t xml:space="preserve">-  </w:t>
      </w:r>
      <w:r w:rsidRPr="00FD7B0B">
        <w:rPr>
          <w:rFonts w:ascii="Times New Roman" w:eastAsia="Times New Roman" w:hAnsi="Times New Roman" w:cs="Times New Roman"/>
          <w:sz w:val="28"/>
          <w:szCs w:val="28"/>
          <w:lang w:eastAsia="ru-RU"/>
        </w:rPr>
        <w:t>минтрудсоцразвития АО</w:t>
      </w:r>
      <w:r w:rsidRPr="00FD7B0B">
        <w:rPr>
          <w:rFonts w:ascii="Times New Roman" w:hAnsi="Times New Roman" w:cs="Times New Roman"/>
          <w:sz w:val="28"/>
          <w:szCs w:val="28"/>
        </w:rPr>
        <w:t xml:space="preserve"> для ГБСУ АО «Северодвинский дом-интернат для престарелых и инвалидов» на период 2024 года формирование государственного задания произведено без учета востребованности государственных услуг в предшествующем финансовом году и прогнозируемой динамики количества потребителей государственных услуг в очередном финансовом году;</w:t>
      </w:r>
    </w:p>
    <w:p w14:paraId="7FC8BC4E" w14:textId="77777777" w:rsidR="00916171" w:rsidRPr="00FD7B0B" w:rsidRDefault="00916171" w:rsidP="00916171">
      <w:pPr>
        <w:pStyle w:val="a8"/>
        <w:widowControl w:val="0"/>
        <w:autoSpaceDE w:val="0"/>
        <w:autoSpaceDN w:val="0"/>
        <w:ind w:left="0" w:firstLine="709"/>
        <w:jc w:val="both"/>
        <w:rPr>
          <w:bCs/>
          <w:sz w:val="28"/>
          <w:szCs w:val="28"/>
        </w:rPr>
      </w:pPr>
      <w:r w:rsidRPr="00FD7B0B">
        <w:rPr>
          <w:bCs/>
          <w:sz w:val="28"/>
          <w:szCs w:val="28"/>
        </w:rPr>
        <w:t xml:space="preserve">- в </w:t>
      </w:r>
      <w:r w:rsidRPr="00FD7B0B">
        <w:rPr>
          <w:sz w:val="28"/>
          <w:szCs w:val="28"/>
        </w:rPr>
        <w:t xml:space="preserve">государственное задание на 2024 год, сформированное для ГБСУ АО «Северодвинский дом-интернат для престарелых и инвалидов», </w:t>
      </w:r>
      <w:r w:rsidRPr="00FD7B0B">
        <w:rPr>
          <w:bCs/>
          <w:sz w:val="28"/>
          <w:szCs w:val="28"/>
        </w:rPr>
        <w:t>не внесены изменения с учетом видов социальных услуг, оказываемых в стационарной форме социального обслуживания</w:t>
      </w:r>
      <w:r w:rsidRPr="00FD7B0B">
        <w:rPr>
          <w:sz w:val="28"/>
          <w:szCs w:val="28"/>
        </w:rPr>
        <w:t xml:space="preserve">, </w:t>
      </w:r>
      <w:r w:rsidRPr="00FD7B0B">
        <w:rPr>
          <w:bCs/>
          <w:sz w:val="28"/>
          <w:szCs w:val="28"/>
        </w:rPr>
        <w:t>не утверждены значения нормативных затрат для государственной услуги «</w:t>
      </w:r>
      <w:r w:rsidRPr="00FD7B0B">
        <w:rPr>
          <w:rFonts w:ascii="Roboto" w:hAnsi="Roboto"/>
          <w:sz w:val="28"/>
          <w:szCs w:val="28"/>
        </w:rPr>
        <w:t>Предоставление социального обслуживания в стационарной форме»</w:t>
      </w:r>
      <w:r w:rsidRPr="00FD7B0B">
        <w:rPr>
          <w:bCs/>
          <w:sz w:val="28"/>
          <w:szCs w:val="28"/>
        </w:rPr>
        <w:t>.</w:t>
      </w:r>
    </w:p>
    <w:p w14:paraId="52ECE8D5" w14:textId="77777777" w:rsidR="00916171" w:rsidRPr="00FD7B0B" w:rsidRDefault="00916171" w:rsidP="00916171">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cs="Times New Roman"/>
          <w:sz w:val="28"/>
          <w:szCs w:val="28"/>
          <w:lang w:eastAsia="ru-RU"/>
        </w:rPr>
        <w:t xml:space="preserve">В ходе контрольного мероприятия </w:t>
      </w:r>
      <w:r w:rsidRPr="00FD7B0B">
        <w:rPr>
          <w:rFonts w:ascii="Times New Roman" w:eastAsia="Times New Roman" w:hAnsi="Times New Roman"/>
          <w:sz w:val="28"/>
          <w:szCs w:val="28"/>
          <w:lang w:eastAsia="ru-RU"/>
        </w:rPr>
        <w:t xml:space="preserve">в </w:t>
      </w:r>
      <w:r w:rsidRPr="00FD7B0B">
        <w:rPr>
          <w:rFonts w:ascii="Times New Roman" w:eastAsia="Times New Roman" w:hAnsi="Times New Roman" w:cs="Times New Roman"/>
          <w:sz w:val="28"/>
          <w:szCs w:val="28"/>
          <w:lang w:eastAsia="ru-RU"/>
        </w:rPr>
        <w:t xml:space="preserve">ГБУ АО «Центр реабилитации «Родник»» </w:t>
      </w:r>
      <w:r w:rsidRPr="00FD7B0B">
        <w:rPr>
          <w:rFonts w:ascii="Times New Roman" w:eastAsia="Times New Roman" w:hAnsi="Times New Roman"/>
          <w:sz w:val="28"/>
          <w:szCs w:val="28"/>
          <w:lang w:eastAsia="ru-RU"/>
        </w:rPr>
        <w:t>установлено:</w:t>
      </w:r>
    </w:p>
    <w:p w14:paraId="65AD0DD1" w14:textId="77777777" w:rsidR="00916171" w:rsidRPr="00FD7B0B" w:rsidRDefault="00916171" w:rsidP="00916171">
      <w:pPr>
        <w:spacing w:after="0" w:line="320" w:lineRule="atLeast"/>
        <w:ind w:firstLine="709"/>
        <w:jc w:val="both"/>
        <w:rPr>
          <w:rFonts w:ascii="Times New Roman" w:hAnsi="Times New Roman" w:cs="Times New Roman"/>
          <w:sz w:val="28"/>
          <w:szCs w:val="28"/>
        </w:rPr>
      </w:pPr>
      <w:r w:rsidRPr="00FD7B0B">
        <w:rPr>
          <w:rFonts w:ascii="Times New Roman" w:hAnsi="Times New Roman"/>
          <w:sz w:val="28"/>
          <w:szCs w:val="28"/>
        </w:rPr>
        <w:t>- п</w:t>
      </w:r>
      <w:r w:rsidRPr="00FD7B0B">
        <w:rPr>
          <w:rFonts w:ascii="Times New Roman" w:hAnsi="Times New Roman" w:cs="Times New Roman"/>
          <w:sz w:val="28"/>
          <w:szCs w:val="28"/>
        </w:rPr>
        <w:t>ри заполнении сведений о фактическом достижении показателей, характеризующих объемы государственных услуг, утвержденных государственными заданиями на 2024 год, «</w:t>
      </w:r>
      <w:r w:rsidRPr="00FD7B0B">
        <w:rPr>
          <w:rFonts w:ascii="Times New Roman" w:eastAsia="Times New Roman" w:hAnsi="Times New Roman" w:cs="Times New Roman"/>
          <w:sz w:val="28"/>
          <w:szCs w:val="28"/>
        </w:rPr>
        <w:t xml:space="preserve">Предоставление социального обслуживания в полустационарной форме (22.042.0)», </w:t>
      </w:r>
      <w:r w:rsidRPr="00FD7B0B">
        <w:rPr>
          <w:rFonts w:ascii="Times New Roman" w:hAnsi="Times New Roman" w:cs="Times New Roman"/>
          <w:sz w:val="28"/>
          <w:szCs w:val="28"/>
        </w:rPr>
        <w:t>«</w:t>
      </w:r>
      <w:r w:rsidRPr="00FD7B0B">
        <w:rPr>
          <w:rFonts w:ascii="Times New Roman" w:eastAsia="Times New Roman" w:hAnsi="Times New Roman" w:cs="Times New Roman"/>
          <w:sz w:val="28"/>
          <w:szCs w:val="28"/>
        </w:rPr>
        <w:t>Санаторно-курортное лечение»,</w:t>
      </w:r>
      <w:r w:rsidRPr="00FD7B0B">
        <w:rPr>
          <w:rFonts w:ascii="Times New Roman" w:hAnsi="Times New Roman" w:cs="Times New Roman"/>
          <w:sz w:val="28"/>
          <w:szCs w:val="28"/>
        </w:rPr>
        <w:t xml:space="preserve"> учреждением допущено отражение недостоверных сведений о фактическом значении объема оказанных государственных услуг, что повлекло искажение информации, содержащейся в отчетах о выполнении государственных заданий за 2024 год;</w:t>
      </w:r>
    </w:p>
    <w:p w14:paraId="3AF7EDFB" w14:textId="77777777" w:rsidR="00916171" w:rsidRPr="00FD7B0B" w:rsidRDefault="00916171" w:rsidP="00916171">
      <w:pPr>
        <w:spacing w:after="0" w:line="320" w:lineRule="atLeast"/>
        <w:ind w:firstLine="709"/>
        <w:jc w:val="both"/>
        <w:rPr>
          <w:rFonts w:ascii="Times New Roman" w:eastAsia="Times New Roman" w:hAnsi="Times New Roman" w:cs="Times New Roman"/>
          <w:sz w:val="28"/>
          <w:szCs w:val="28"/>
        </w:rPr>
      </w:pPr>
      <w:r w:rsidRPr="00FD7B0B">
        <w:rPr>
          <w:rFonts w:ascii="Times New Roman" w:eastAsia="Times New Roman" w:hAnsi="Times New Roman" w:cs="Times New Roman"/>
          <w:sz w:val="28"/>
          <w:szCs w:val="28"/>
        </w:rPr>
        <w:t xml:space="preserve">- ГКУ АО «Архангельский областной центр социальной защиты населения» допускалось принятие решений </w:t>
      </w:r>
      <w:r w:rsidRPr="00FD7B0B">
        <w:rPr>
          <w:rFonts w:ascii="Times New Roman" w:hAnsi="Times New Roman" w:cs="Times New Roman"/>
          <w:sz w:val="28"/>
          <w:szCs w:val="28"/>
        </w:rPr>
        <w:t xml:space="preserve">о </w:t>
      </w:r>
      <w:r w:rsidRPr="00FD7B0B">
        <w:rPr>
          <w:rFonts w:ascii="Times New Roman" w:eastAsia="Times New Roman" w:hAnsi="Times New Roman" w:cs="Times New Roman"/>
          <w:sz w:val="28"/>
          <w:szCs w:val="28"/>
        </w:rPr>
        <w:t xml:space="preserve">признании граждан нуждающимся в предоставлении услуг по санаторно-курортному лечению более одного раза в год, что противоречит </w:t>
      </w:r>
      <w:r w:rsidRPr="00FD7B0B">
        <w:rPr>
          <w:rFonts w:ascii="Times New Roman" w:hAnsi="Times New Roman" w:cs="Times New Roman"/>
          <w:sz w:val="28"/>
          <w:szCs w:val="28"/>
        </w:rPr>
        <w:t xml:space="preserve">пункту 4 раздела 1 </w:t>
      </w:r>
      <w:r w:rsidRPr="00FD7B0B">
        <w:rPr>
          <w:rFonts w:ascii="Times New Roman" w:eastAsia="Times New Roman" w:hAnsi="Times New Roman" w:cs="Times New Roman"/>
          <w:sz w:val="28"/>
          <w:szCs w:val="28"/>
        </w:rPr>
        <w:t xml:space="preserve">Порядка предоставления услуг по </w:t>
      </w:r>
      <w:r w:rsidRPr="00FD7B0B">
        <w:rPr>
          <w:rFonts w:ascii="Times New Roman" w:eastAsia="Times New Roman" w:hAnsi="Times New Roman" w:cs="Times New Roman"/>
          <w:sz w:val="28"/>
          <w:szCs w:val="28"/>
        </w:rPr>
        <w:lastRenderedPageBreak/>
        <w:t>санитарно-курортному лечению отдельным категориям граждан, утвержденного постановлением Правительства Архангельской области от 12.10.2012 № 464-пп.</w:t>
      </w:r>
    </w:p>
    <w:p w14:paraId="6CA04D8C" w14:textId="77777777" w:rsidR="002B392F" w:rsidRPr="00FD7B0B" w:rsidRDefault="002B392F" w:rsidP="002B392F">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Согласно годовой отчетности за 2024 год и информации </w:t>
      </w:r>
      <w:r w:rsidRPr="00FD7B0B">
        <w:rPr>
          <w:rFonts w:ascii="Times New Roman" w:eastAsia="Times New Roman" w:hAnsi="Times New Roman" w:cs="Times New Roman"/>
          <w:sz w:val="28"/>
          <w:szCs w:val="28"/>
          <w:lang w:eastAsia="ru-RU"/>
        </w:rPr>
        <w:t>минтрудсоцразвития АО</w:t>
      </w:r>
      <w:r w:rsidRPr="00FD7B0B">
        <w:rPr>
          <w:rFonts w:ascii="Times New Roman" w:hAnsi="Times New Roman"/>
          <w:sz w:val="28"/>
          <w:szCs w:val="28"/>
        </w:rPr>
        <w:t xml:space="preserve">, кассовые расходы по целевым субсидиям составили 510,5 млн.руб., по состоянию на 01.01.2025 числится остаток целевых бюджетных средств в размере 51,0 млн.руб. </w:t>
      </w:r>
    </w:p>
    <w:p w14:paraId="5CCBE41A" w14:textId="2EC3B261" w:rsidR="002B392F" w:rsidRPr="00FD7B0B" w:rsidRDefault="002B392F" w:rsidP="002B392F">
      <w:pPr>
        <w:spacing w:after="0" w:line="240" w:lineRule="auto"/>
        <w:ind w:firstLine="709"/>
        <w:contextualSpacing/>
        <w:jc w:val="both"/>
        <w:rPr>
          <w:rFonts w:ascii="Times New Roman" w:hAnsi="Times New Roman"/>
          <w:sz w:val="28"/>
          <w:szCs w:val="28"/>
        </w:rPr>
      </w:pPr>
      <w:r w:rsidRPr="00FD7B0B">
        <w:rPr>
          <w:rFonts w:ascii="Times New Roman" w:hAnsi="Times New Roman"/>
          <w:sz w:val="28"/>
          <w:szCs w:val="28"/>
        </w:rPr>
        <w:t>Наибольшие остатки средств субсидии на иные цели за 2024</w:t>
      </w:r>
      <w:r w:rsidR="00852CCF" w:rsidRPr="00FD7B0B">
        <w:rPr>
          <w:rFonts w:ascii="Times New Roman" w:hAnsi="Times New Roman"/>
          <w:sz w:val="28"/>
          <w:szCs w:val="28"/>
        </w:rPr>
        <w:t xml:space="preserve"> год представлены в таблице </w:t>
      </w:r>
      <w:r w:rsidR="001358BD" w:rsidRPr="00FD7B0B">
        <w:rPr>
          <w:rFonts w:ascii="Times New Roman" w:hAnsi="Times New Roman"/>
          <w:sz w:val="28"/>
          <w:szCs w:val="28"/>
        </w:rPr>
        <w:t>99</w:t>
      </w:r>
      <w:r w:rsidRPr="00FD7B0B">
        <w:rPr>
          <w:rFonts w:ascii="Times New Roman" w:hAnsi="Times New Roman"/>
          <w:sz w:val="28"/>
          <w:szCs w:val="28"/>
        </w:rPr>
        <w:t>.</w:t>
      </w:r>
    </w:p>
    <w:p w14:paraId="66A3E60A" w14:textId="77777777" w:rsidR="00852CCF" w:rsidRPr="00FD7B0B" w:rsidRDefault="00852CCF" w:rsidP="002B392F">
      <w:pPr>
        <w:spacing w:after="0" w:line="240" w:lineRule="auto"/>
        <w:rPr>
          <w:rFonts w:ascii="Times New Roman" w:hAnsi="Times New Roman"/>
          <w:sz w:val="24"/>
          <w:szCs w:val="24"/>
        </w:rPr>
      </w:pPr>
    </w:p>
    <w:p w14:paraId="14FA972F" w14:textId="77777777" w:rsidR="002B392F" w:rsidRPr="00FD7B0B" w:rsidRDefault="002B392F" w:rsidP="002B392F">
      <w:pPr>
        <w:spacing w:after="0" w:line="240" w:lineRule="auto"/>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99</w:t>
      </w:r>
      <w:r w:rsidRPr="00FD7B0B">
        <w:rPr>
          <w:rFonts w:ascii="Times New Roman" w:hAnsi="Times New Roman"/>
          <w:sz w:val="24"/>
          <w:szCs w:val="24"/>
        </w:rPr>
        <w:fldChar w:fldCharType="end"/>
      </w:r>
      <w:r w:rsidRPr="00FD7B0B">
        <w:rPr>
          <w:rFonts w:ascii="Times New Roman" w:hAnsi="Times New Roman"/>
          <w:sz w:val="24"/>
          <w:szCs w:val="24"/>
        </w:rPr>
        <w:t>. Наибольшие остатки средств субсидии на иные цели за 2024 год, млн.руб.</w:t>
      </w:r>
    </w:p>
    <w:tbl>
      <w:tblPr>
        <w:tblW w:w="9639" w:type="dxa"/>
        <w:tblInd w:w="-23" w:type="dxa"/>
        <w:tblLayout w:type="fixed"/>
        <w:tblLook w:val="04A0" w:firstRow="1" w:lastRow="0" w:firstColumn="1" w:lastColumn="0" w:noHBand="0" w:noVBand="1"/>
      </w:tblPr>
      <w:tblGrid>
        <w:gridCol w:w="3685"/>
        <w:gridCol w:w="709"/>
        <w:gridCol w:w="708"/>
        <w:gridCol w:w="993"/>
        <w:gridCol w:w="3544"/>
      </w:tblGrid>
      <w:tr w:rsidR="00FD7B0B" w:rsidRPr="00FD7B0B" w14:paraId="0467129D" w14:textId="77777777" w:rsidTr="00C50445">
        <w:trPr>
          <w:trHeight w:val="525"/>
          <w:tblHeader/>
        </w:trPr>
        <w:tc>
          <w:tcPr>
            <w:tcW w:w="3685"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6C86A277" w14:textId="77777777" w:rsidR="002B392F" w:rsidRPr="00FD7B0B" w:rsidRDefault="002B392F" w:rsidP="00852CC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расходов</w:t>
            </w:r>
          </w:p>
        </w:tc>
        <w:tc>
          <w:tcPr>
            <w:tcW w:w="709" w:type="dxa"/>
            <w:tcBorders>
              <w:top w:val="double" w:sz="6" w:space="0" w:color="auto"/>
              <w:left w:val="nil"/>
              <w:bottom w:val="single" w:sz="4" w:space="0" w:color="auto"/>
              <w:right w:val="single" w:sz="4" w:space="0" w:color="auto"/>
            </w:tcBorders>
            <w:shd w:val="clear" w:color="auto" w:fill="auto"/>
            <w:noWrap/>
            <w:vAlign w:val="center"/>
            <w:hideMark/>
          </w:tcPr>
          <w:p w14:paraId="04139882" w14:textId="38BD0AC4" w:rsidR="002B392F" w:rsidRPr="00FD7B0B" w:rsidRDefault="002B392F" w:rsidP="00852CC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708" w:type="dxa"/>
            <w:tcBorders>
              <w:top w:val="double" w:sz="6" w:space="0" w:color="auto"/>
              <w:left w:val="nil"/>
              <w:bottom w:val="single" w:sz="4" w:space="0" w:color="auto"/>
              <w:right w:val="single" w:sz="4" w:space="0" w:color="auto"/>
            </w:tcBorders>
            <w:shd w:val="clear" w:color="auto" w:fill="auto"/>
            <w:noWrap/>
            <w:vAlign w:val="center"/>
            <w:hideMark/>
          </w:tcPr>
          <w:p w14:paraId="7ECE6EA4" w14:textId="4752C1B7" w:rsidR="002B392F" w:rsidRPr="00FD7B0B" w:rsidRDefault="002B392F" w:rsidP="00852CC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Расходы</w:t>
            </w:r>
          </w:p>
        </w:tc>
        <w:tc>
          <w:tcPr>
            <w:tcW w:w="993" w:type="dxa"/>
            <w:tcBorders>
              <w:top w:val="double" w:sz="6" w:space="0" w:color="auto"/>
              <w:left w:val="nil"/>
              <w:bottom w:val="single" w:sz="4" w:space="0" w:color="auto"/>
              <w:right w:val="double" w:sz="6" w:space="0" w:color="auto"/>
            </w:tcBorders>
            <w:shd w:val="clear" w:color="auto" w:fill="auto"/>
            <w:vAlign w:val="center"/>
            <w:hideMark/>
          </w:tcPr>
          <w:p w14:paraId="50778B5A" w14:textId="4CDE7261" w:rsidR="002B392F" w:rsidRPr="00FD7B0B" w:rsidRDefault="002B392F" w:rsidP="00852CC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Остаток на 01.01.2024</w:t>
            </w:r>
          </w:p>
        </w:tc>
        <w:tc>
          <w:tcPr>
            <w:tcW w:w="3544" w:type="dxa"/>
            <w:tcBorders>
              <w:top w:val="double" w:sz="6" w:space="0" w:color="auto"/>
              <w:left w:val="nil"/>
              <w:bottom w:val="single" w:sz="4" w:space="0" w:color="auto"/>
              <w:right w:val="double" w:sz="6" w:space="0" w:color="auto"/>
            </w:tcBorders>
            <w:vAlign w:val="center"/>
          </w:tcPr>
          <w:p w14:paraId="1529EC9D" w14:textId="77777777" w:rsidR="002B392F" w:rsidRPr="00FD7B0B" w:rsidRDefault="002B392F" w:rsidP="00852CC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Причина</w:t>
            </w:r>
          </w:p>
        </w:tc>
      </w:tr>
      <w:tr w:rsidR="00FD7B0B" w:rsidRPr="00FD7B0B" w14:paraId="2587106A" w14:textId="77777777" w:rsidTr="00C50445">
        <w:trPr>
          <w:trHeight w:val="514"/>
        </w:trPr>
        <w:tc>
          <w:tcPr>
            <w:tcW w:w="3685" w:type="dxa"/>
            <w:tcBorders>
              <w:top w:val="nil"/>
              <w:left w:val="double" w:sz="6" w:space="0" w:color="auto"/>
              <w:bottom w:val="single" w:sz="4" w:space="0" w:color="auto"/>
              <w:right w:val="single" w:sz="4" w:space="0" w:color="auto"/>
            </w:tcBorders>
            <w:shd w:val="clear" w:color="auto" w:fill="auto"/>
            <w:hideMark/>
          </w:tcPr>
          <w:p w14:paraId="0141C0C5" w14:textId="77777777" w:rsidR="002B392F" w:rsidRPr="00FD7B0B" w:rsidRDefault="002B392F" w:rsidP="00C504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На улучшение условий и качество оказания государственных услуг государственными учреждениями Архангельской области </w:t>
            </w:r>
          </w:p>
        </w:tc>
        <w:tc>
          <w:tcPr>
            <w:tcW w:w="709" w:type="dxa"/>
            <w:tcBorders>
              <w:top w:val="nil"/>
              <w:left w:val="nil"/>
              <w:bottom w:val="single" w:sz="4" w:space="0" w:color="auto"/>
              <w:right w:val="single" w:sz="4" w:space="0" w:color="auto"/>
            </w:tcBorders>
            <w:shd w:val="clear" w:color="auto" w:fill="auto"/>
            <w:noWrap/>
            <w:hideMark/>
          </w:tcPr>
          <w:p w14:paraId="528CEDBA" w14:textId="77777777" w:rsidR="002B392F" w:rsidRPr="00FD7B0B" w:rsidRDefault="002B392F" w:rsidP="00C504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12,7</w:t>
            </w:r>
          </w:p>
        </w:tc>
        <w:tc>
          <w:tcPr>
            <w:tcW w:w="708" w:type="dxa"/>
            <w:tcBorders>
              <w:top w:val="nil"/>
              <w:left w:val="nil"/>
              <w:bottom w:val="single" w:sz="4" w:space="0" w:color="auto"/>
              <w:right w:val="single" w:sz="4" w:space="0" w:color="auto"/>
            </w:tcBorders>
            <w:shd w:val="clear" w:color="auto" w:fill="auto"/>
            <w:noWrap/>
            <w:hideMark/>
          </w:tcPr>
          <w:p w14:paraId="0388E034" w14:textId="77777777" w:rsidR="002B392F" w:rsidRPr="00FD7B0B" w:rsidRDefault="002B392F" w:rsidP="00C504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993" w:type="dxa"/>
            <w:tcBorders>
              <w:top w:val="nil"/>
              <w:left w:val="nil"/>
              <w:bottom w:val="single" w:sz="4" w:space="0" w:color="auto"/>
              <w:right w:val="double" w:sz="6" w:space="0" w:color="auto"/>
            </w:tcBorders>
            <w:shd w:val="clear" w:color="auto" w:fill="auto"/>
            <w:noWrap/>
            <w:hideMark/>
          </w:tcPr>
          <w:p w14:paraId="350DCB7C" w14:textId="77777777" w:rsidR="002B392F" w:rsidRPr="00FD7B0B" w:rsidRDefault="002B392F" w:rsidP="00C504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11,5</w:t>
            </w:r>
          </w:p>
        </w:tc>
        <w:tc>
          <w:tcPr>
            <w:tcW w:w="3544" w:type="dxa"/>
            <w:tcBorders>
              <w:top w:val="nil"/>
              <w:left w:val="nil"/>
              <w:bottom w:val="single" w:sz="4" w:space="0" w:color="auto"/>
              <w:right w:val="double" w:sz="6" w:space="0" w:color="auto"/>
            </w:tcBorders>
          </w:tcPr>
          <w:p w14:paraId="6D442E68" w14:textId="77777777" w:rsidR="002B392F" w:rsidRPr="00FD7B0B" w:rsidRDefault="002B392F" w:rsidP="00C504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субсидия в целях проведения мероприятий по пожарной безопасности, не связанных с содержанием имущества – остаток 7,4 млн.руб. ГБСУ АО «Центр социальной поддержки и реабилитации для детей с серьезными нарушениями в интеллектуальном развитии «ВЕРА» образовался по причине произведения учреждением актуализации проектной документации и сметного расчета на проведение работ, определения достоверности сметной стоимости;</w:t>
            </w:r>
          </w:p>
          <w:p w14:paraId="6BB54E3B" w14:textId="77777777" w:rsidR="002B392F" w:rsidRPr="00FD7B0B" w:rsidRDefault="002B392F" w:rsidP="00C504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субсидия в целях обеспечения комплекса мероприятий по расширению деятельности ГБУСОН АО «Центр помощи совершеннолетним гражданам с ментальными особенностями» - остаток 2,4 млн.руб., средства учреждению были перераспределены в октябре 2024 года, проведены закупочные процедуры, ремонтные работы ведутся;</w:t>
            </w:r>
          </w:p>
        </w:tc>
      </w:tr>
      <w:tr w:rsidR="00FD7B0B" w:rsidRPr="00FD7B0B" w14:paraId="0B9373D6" w14:textId="77777777" w:rsidTr="00C50445">
        <w:trPr>
          <w:trHeight w:val="266"/>
        </w:trPr>
        <w:tc>
          <w:tcPr>
            <w:tcW w:w="3685" w:type="dxa"/>
            <w:tcBorders>
              <w:top w:val="nil"/>
              <w:left w:val="double" w:sz="6" w:space="0" w:color="auto"/>
              <w:bottom w:val="single" w:sz="4" w:space="0" w:color="auto"/>
              <w:right w:val="single" w:sz="4" w:space="0" w:color="auto"/>
            </w:tcBorders>
            <w:shd w:val="clear" w:color="auto" w:fill="auto"/>
            <w:hideMark/>
          </w:tcPr>
          <w:p w14:paraId="498D8A66" w14:textId="77777777" w:rsidR="002B392F" w:rsidRPr="00FD7B0B" w:rsidRDefault="002B392F" w:rsidP="00C504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Средства резервного фонда Правительства Архангельской области</w:t>
            </w:r>
          </w:p>
        </w:tc>
        <w:tc>
          <w:tcPr>
            <w:tcW w:w="709" w:type="dxa"/>
            <w:tcBorders>
              <w:top w:val="nil"/>
              <w:left w:val="nil"/>
              <w:bottom w:val="single" w:sz="4" w:space="0" w:color="auto"/>
              <w:right w:val="single" w:sz="4" w:space="0" w:color="auto"/>
            </w:tcBorders>
            <w:shd w:val="clear" w:color="auto" w:fill="auto"/>
            <w:noWrap/>
            <w:hideMark/>
          </w:tcPr>
          <w:p w14:paraId="5603475E" w14:textId="77777777" w:rsidR="002B392F" w:rsidRPr="00FD7B0B" w:rsidRDefault="002B392F" w:rsidP="00C504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32,7</w:t>
            </w:r>
          </w:p>
        </w:tc>
        <w:tc>
          <w:tcPr>
            <w:tcW w:w="708" w:type="dxa"/>
            <w:tcBorders>
              <w:top w:val="nil"/>
              <w:left w:val="nil"/>
              <w:bottom w:val="single" w:sz="4" w:space="0" w:color="auto"/>
              <w:right w:val="single" w:sz="4" w:space="0" w:color="auto"/>
            </w:tcBorders>
            <w:shd w:val="clear" w:color="auto" w:fill="auto"/>
            <w:noWrap/>
            <w:hideMark/>
          </w:tcPr>
          <w:p w14:paraId="56D5B298" w14:textId="77777777" w:rsidR="002B392F" w:rsidRPr="00FD7B0B" w:rsidRDefault="002B392F" w:rsidP="00C504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24,2</w:t>
            </w:r>
          </w:p>
        </w:tc>
        <w:tc>
          <w:tcPr>
            <w:tcW w:w="993" w:type="dxa"/>
            <w:tcBorders>
              <w:top w:val="nil"/>
              <w:left w:val="nil"/>
              <w:bottom w:val="single" w:sz="4" w:space="0" w:color="auto"/>
              <w:right w:val="double" w:sz="6" w:space="0" w:color="auto"/>
            </w:tcBorders>
            <w:shd w:val="clear" w:color="auto" w:fill="auto"/>
            <w:noWrap/>
            <w:hideMark/>
          </w:tcPr>
          <w:p w14:paraId="5F315C11" w14:textId="77777777" w:rsidR="002B392F" w:rsidRPr="00FD7B0B" w:rsidRDefault="002B392F" w:rsidP="00C504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8,5</w:t>
            </w:r>
          </w:p>
        </w:tc>
        <w:tc>
          <w:tcPr>
            <w:tcW w:w="3544" w:type="dxa"/>
            <w:tcBorders>
              <w:top w:val="nil"/>
              <w:left w:val="nil"/>
              <w:bottom w:val="single" w:sz="4" w:space="0" w:color="auto"/>
              <w:right w:val="double" w:sz="6" w:space="0" w:color="auto"/>
            </w:tcBorders>
          </w:tcPr>
          <w:p w14:paraId="03A5D2C5" w14:textId="77777777" w:rsidR="002B392F" w:rsidRPr="00FD7B0B" w:rsidRDefault="002B392F" w:rsidP="00C504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ГБУ АО Центр реабилитации «Родник» в сумме 6,5 млн.руб. в связи с продлением работы пункта временного размещения на 2025 год; ГБСУ АО «Центр социальной поддержки и реабилитации для детей с серьезными нарушениями в интеллектуальном развитии «ВЕРА» - 1,3 млн.руб. в связи с тем, что контракт от 11.11.2024 №277 на оказание услуг по разработке проектно-сметной документации для проведения капитального ремонта здания заключен со сроком исполнения 30.06.2025.</w:t>
            </w:r>
          </w:p>
        </w:tc>
      </w:tr>
      <w:tr w:rsidR="00FD7B0B" w:rsidRPr="00FD7B0B" w14:paraId="66F664F7" w14:textId="77777777" w:rsidTr="00916171">
        <w:trPr>
          <w:trHeight w:val="1009"/>
        </w:trPr>
        <w:tc>
          <w:tcPr>
            <w:tcW w:w="3685" w:type="dxa"/>
            <w:tcBorders>
              <w:top w:val="nil"/>
              <w:left w:val="double" w:sz="6" w:space="0" w:color="auto"/>
              <w:bottom w:val="single" w:sz="4" w:space="0" w:color="auto"/>
              <w:right w:val="single" w:sz="4" w:space="0" w:color="auto"/>
            </w:tcBorders>
            <w:shd w:val="clear" w:color="auto" w:fill="auto"/>
            <w:hideMark/>
          </w:tcPr>
          <w:p w14:paraId="32CF88EC" w14:textId="77777777" w:rsidR="002B392F" w:rsidRPr="00FD7B0B" w:rsidRDefault="002B392F" w:rsidP="00C504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улучшение материально-технической базы обособленного структурного подразделения ГАУ АО «ЦДО «Северный Артек»</w:t>
            </w:r>
          </w:p>
        </w:tc>
        <w:tc>
          <w:tcPr>
            <w:tcW w:w="709" w:type="dxa"/>
            <w:tcBorders>
              <w:top w:val="nil"/>
              <w:left w:val="nil"/>
              <w:bottom w:val="single" w:sz="4" w:space="0" w:color="auto"/>
              <w:right w:val="single" w:sz="4" w:space="0" w:color="auto"/>
            </w:tcBorders>
            <w:shd w:val="clear" w:color="auto" w:fill="auto"/>
            <w:noWrap/>
            <w:hideMark/>
          </w:tcPr>
          <w:p w14:paraId="5EC497B4" w14:textId="77777777" w:rsidR="002B392F" w:rsidRPr="00FD7B0B" w:rsidRDefault="002B392F" w:rsidP="00C504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27,1</w:t>
            </w:r>
          </w:p>
        </w:tc>
        <w:tc>
          <w:tcPr>
            <w:tcW w:w="708" w:type="dxa"/>
            <w:tcBorders>
              <w:top w:val="nil"/>
              <w:left w:val="nil"/>
              <w:bottom w:val="single" w:sz="4" w:space="0" w:color="auto"/>
              <w:right w:val="single" w:sz="4" w:space="0" w:color="auto"/>
            </w:tcBorders>
            <w:shd w:val="clear" w:color="auto" w:fill="auto"/>
            <w:noWrap/>
            <w:hideMark/>
          </w:tcPr>
          <w:p w14:paraId="36FCC9A7" w14:textId="77777777" w:rsidR="002B392F" w:rsidRPr="00FD7B0B" w:rsidRDefault="002B392F" w:rsidP="00C504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20,8</w:t>
            </w:r>
          </w:p>
        </w:tc>
        <w:tc>
          <w:tcPr>
            <w:tcW w:w="993" w:type="dxa"/>
            <w:tcBorders>
              <w:top w:val="nil"/>
              <w:left w:val="nil"/>
              <w:bottom w:val="single" w:sz="4" w:space="0" w:color="auto"/>
              <w:right w:val="double" w:sz="6" w:space="0" w:color="auto"/>
            </w:tcBorders>
            <w:shd w:val="clear" w:color="auto" w:fill="auto"/>
            <w:noWrap/>
            <w:hideMark/>
          </w:tcPr>
          <w:p w14:paraId="1AD0EFC6" w14:textId="77777777" w:rsidR="002B392F" w:rsidRPr="00FD7B0B" w:rsidRDefault="002B392F" w:rsidP="00C504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w:t>
            </w:r>
          </w:p>
        </w:tc>
        <w:tc>
          <w:tcPr>
            <w:tcW w:w="3544" w:type="dxa"/>
            <w:tcBorders>
              <w:top w:val="nil"/>
              <w:left w:val="nil"/>
              <w:bottom w:val="single" w:sz="4" w:space="0" w:color="auto"/>
              <w:right w:val="double" w:sz="6" w:space="0" w:color="auto"/>
            </w:tcBorders>
          </w:tcPr>
          <w:p w14:paraId="5C8B4C2E" w14:textId="77777777" w:rsidR="002B392F" w:rsidRPr="00FD7B0B" w:rsidRDefault="002B392F" w:rsidP="0091617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в том числе остаток 2023 г. 3,0 млн.руб. разрешен к использованию на финансирование работ по бурению скважины, из-за отсутствия исполнителя работ мероприятие не </w:t>
            </w:r>
            <w:r w:rsidRPr="00FD7B0B">
              <w:rPr>
                <w:rFonts w:ascii="Times New Roman" w:eastAsia="Times New Roman" w:hAnsi="Times New Roman" w:cs="Times New Roman"/>
                <w:sz w:val="20"/>
                <w:szCs w:val="20"/>
                <w:lang w:eastAsia="ru-RU"/>
              </w:rPr>
              <w:lastRenderedPageBreak/>
              <w:t>было проведено в 2024 году, по новому договору срок исполнения апрель 2025 г.; остаток 2024 г. 3,2 млн.руб. образовался в связи с выделением средств 24.12.2024</w:t>
            </w:r>
          </w:p>
        </w:tc>
      </w:tr>
    </w:tbl>
    <w:p w14:paraId="158C32EC" w14:textId="77777777" w:rsidR="002B392F" w:rsidRPr="00FD7B0B" w:rsidRDefault="002B392F" w:rsidP="002B392F">
      <w:pPr>
        <w:spacing w:after="0" w:line="240" w:lineRule="auto"/>
        <w:ind w:firstLine="709"/>
        <w:contextualSpacing/>
        <w:jc w:val="both"/>
        <w:rPr>
          <w:rFonts w:ascii="Times New Roman" w:eastAsia="Times New Roman" w:hAnsi="Times New Roman" w:cs="Times New Roman"/>
          <w:sz w:val="28"/>
          <w:szCs w:val="28"/>
          <w:lang w:eastAsia="ru-RU"/>
        </w:rPr>
      </w:pPr>
    </w:p>
    <w:p w14:paraId="3E8A3D62" w14:textId="77777777" w:rsidR="002B392F" w:rsidRPr="00FD7B0B" w:rsidRDefault="002B392F" w:rsidP="002B392F">
      <w:pPr>
        <w:widowControl w:val="0"/>
        <w:tabs>
          <w:tab w:val="left" w:pos="709"/>
          <w:tab w:val="left" w:pos="993"/>
        </w:tabs>
        <w:autoSpaceDE w:val="0"/>
        <w:autoSpaceDN w:val="0"/>
        <w:spacing w:after="0" w:line="240" w:lineRule="auto"/>
        <w:ind w:left="23" w:firstLine="686"/>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рамках реализации РП </w:t>
      </w:r>
      <w:r w:rsidRPr="00FD7B0B">
        <w:rPr>
          <w:rFonts w:ascii="Times New Roman" w:hAnsi="Times New Roman" w:cs="Times New Roman"/>
          <w:sz w:val="28"/>
          <w:szCs w:val="28"/>
        </w:rPr>
        <w:t xml:space="preserve">«Разработка и реализация программы системной поддержки и повышения качества жизни граждан старшего поколения» </w:t>
      </w:r>
      <w:r w:rsidRPr="00FD7B0B">
        <w:rPr>
          <w:rFonts w:ascii="Times New Roman" w:eastAsia="Calibri" w:hAnsi="Times New Roman" w:cs="Times New Roman"/>
          <w:sz w:val="28"/>
          <w:szCs w:val="28"/>
        </w:rPr>
        <w:t>за 2024 год осуществлялась реализация 6 мероприятий, на которые израсходовано 132,9 млн.руб. из 133,3 млн.руб. за счет федерального и областного бюджета.</w:t>
      </w:r>
    </w:p>
    <w:p w14:paraId="5861B48A" w14:textId="6AD89924" w:rsidR="002B392F" w:rsidRPr="00FD7B0B" w:rsidRDefault="002B392F" w:rsidP="002B392F">
      <w:pPr>
        <w:widowControl w:val="0"/>
        <w:tabs>
          <w:tab w:val="left" w:pos="3150"/>
        </w:tabs>
        <w:autoSpaceDE w:val="0"/>
        <w:autoSpaceDN w:val="0"/>
        <w:spacing w:after="0" w:line="240" w:lineRule="auto"/>
        <w:ind w:left="23" w:firstLine="686"/>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Плановые и фактические значения показателей РП «</w:t>
      </w:r>
      <w:r w:rsidRPr="00FD7B0B">
        <w:rPr>
          <w:rFonts w:ascii="Times New Roman" w:hAnsi="Times New Roman" w:cs="Times New Roman"/>
          <w:sz w:val="28"/>
          <w:szCs w:val="28"/>
        </w:rPr>
        <w:t xml:space="preserve">Разработка и реализация программы системной поддержки и повышения качества жизни граждан старшего поколения» </w:t>
      </w:r>
      <w:r w:rsidRPr="00FD7B0B">
        <w:rPr>
          <w:rFonts w:ascii="Times New Roman" w:eastAsia="Calibri" w:hAnsi="Times New Roman" w:cs="Times New Roman"/>
          <w:sz w:val="28"/>
          <w:szCs w:val="28"/>
        </w:rPr>
        <w:t>за 2024 год</w:t>
      </w:r>
      <w:r w:rsidR="00C50445" w:rsidRPr="00FD7B0B">
        <w:rPr>
          <w:rFonts w:ascii="Times New Roman" w:eastAsia="Times New Roman" w:hAnsi="Times New Roman" w:cs="Times New Roman"/>
          <w:sz w:val="28"/>
          <w:szCs w:val="28"/>
          <w:lang w:eastAsia="ru-RU"/>
        </w:rPr>
        <w:t xml:space="preserve"> представлены в таблице </w:t>
      </w:r>
      <w:r w:rsidR="001358BD" w:rsidRPr="00FD7B0B">
        <w:rPr>
          <w:rFonts w:ascii="Times New Roman" w:eastAsia="Times New Roman" w:hAnsi="Times New Roman" w:cs="Times New Roman"/>
          <w:sz w:val="28"/>
          <w:szCs w:val="28"/>
          <w:lang w:eastAsia="ru-RU"/>
        </w:rPr>
        <w:t>100</w:t>
      </w:r>
      <w:r w:rsidRPr="00FD7B0B">
        <w:rPr>
          <w:rFonts w:ascii="Times New Roman" w:eastAsia="Times New Roman" w:hAnsi="Times New Roman" w:cs="Times New Roman"/>
          <w:sz w:val="28"/>
          <w:szCs w:val="28"/>
          <w:lang w:eastAsia="ru-RU"/>
        </w:rPr>
        <w:t>.</w:t>
      </w:r>
    </w:p>
    <w:p w14:paraId="3757E71A" w14:textId="77777777" w:rsidR="002B392F" w:rsidRPr="00FD7B0B" w:rsidRDefault="002B392F" w:rsidP="002B392F">
      <w:pPr>
        <w:widowControl w:val="0"/>
        <w:tabs>
          <w:tab w:val="left" w:pos="709"/>
          <w:tab w:val="left" w:pos="993"/>
        </w:tabs>
        <w:autoSpaceDE w:val="0"/>
        <w:autoSpaceDN w:val="0"/>
        <w:spacing w:after="0" w:line="240" w:lineRule="auto"/>
        <w:ind w:left="23" w:hanging="23"/>
        <w:jc w:val="both"/>
        <w:rPr>
          <w:rFonts w:ascii="Times New Roman" w:eastAsia="Calibri" w:hAnsi="Times New Roman" w:cs="Times New Roman"/>
          <w:sz w:val="28"/>
          <w:szCs w:val="28"/>
        </w:rPr>
      </w:pPr>
    </w:p>
    <w:p w14:paraId="4249A989" w14:textId="38E91033" w:rsidR="002B392F" w:rsidRPr="00FD7B0B" w:rsidRDefault="002B392F" w:rsidP="002B392F">
      <w:pPr>
        <w:spacing w:after="0" w:line="240" w:lineRule="auto"/>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100</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Pr="00FD7B0B">
        <w:rPr>
          <w:rFonts w:ascii="Times New Roman" w:eastAsia="Times New Roman" w:hAnsi="Times New Roman" w:cs="Times New Roman"/>
          <w:sz w:val="24"/>
          <w:szCs w:val="24"/>
          <w:lang w:eastAsia="ru-RU"/>
        </w:rPr>
        <w:t>Плановые и фактические значения показателей РП «</w:t>
      </w:r>
      <w:r w:rsidRPr="00FD7B0B">
        <w:rPr>
          <w:rFonts w:ascii="Times New Roman" w:hAnsi="Times New Roman" w:cs="Times New Roman"/>
          <w:sz w:val="24"/>
          <w:szCs w:val="24"/>
        </w:rPr>
        <w:t xml:space="preserve">Разработка и реализация программы системной поддержки и повышения качества жизни граждан старшего поколения» </w:t>
      </w:r>
      <w:r w:rsidR="001358BD" w:rsidRPr="00FD7B0B">
        <w:rPr>
          <w:rFonts w:ascii="Times New Roman" w:eastAsia="Calibri" w:hAnsi="Times New Roman" w:cs="Times New Roman"/>
          <w:sz w:val="24"/>
          <w:szCs w:val="24"/>
        </w:rPr>
        <w:t>за 2024 год</w:t>
      </w:r>
    </w:p>
    <w:tbl>
      <w:tblPr>
        <w:tblW w:w="9704" w:type="dxa"/>
        <w:tblInd w:w="-23" w:type="dxa"/>
        <w:tblLayout w:type="fixed"/>
        <w:tblLook w:val="04A0" w:firstRow="1" w:lastRow="0" w:firstColumn="1" w:lastColumn="0" w:noHBand="0" w:noVBand="1"/>
      </w:tblPr>
      <w:tblGrid>
        <w:gridCol w:w="5103"/>
        <w:gridCol w:w="850"/>
        <w:gridCol w:w="851"/>
        <w:gridCol w:w="709"/>
        <w:gridCol w:w="855"/>
        <w:gridCol w:w="1336"/>
      </w:tblGrid>
      <w:tr w:rsidR="00FD7B0B" w:rsidRPr="00FD7B0B" w14:paraId="53D674FF" w14:textId="77777777" w:rsidTr="001358BD">
        <w:trPr>
          <w:trHeight w:val="65"/>
          <w:tblHeader/>
        </w:trPr>
        <w:tc>
          <w:tcPr>
            <w:tcW w:w="5103"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1EF9C57D"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Наименование показателя</w:t>
            </w:r>
          </w:p>
        </w:tc>
        <w:tc>
          <w:tcPr>
            <w:tcW w:w="4601" w:type="dxa"/>
            <w:gridSpan w:val="5"/>
            <w:tcBorders>
              <w:top w:val="double" w:sz="6" w:space="0" w:color="auto"/>
              <w:left w:val="nil"/>
              <w:bottom w:val="single" w:sz="4" w:space="0" w:color="auto"/>
              <w:right w:val="double" w:sz="6" w:space="0" w:color="000000"/>
            </w:tcBorders>
            <w:shd w:val="clear" w:color="auto" w:fill="auto"/>
            <w:noWrap/>
            <w:vAlign w:val="bottom"/>
            <w:hideMark/>
          </w:tcPr>
          <w:p w14:paraId="6F1A0248"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Значение показателя</w:t>
            </w:r>
          </w:p>
        </w:tc>
      </w:tr>
      <w:tr w:rsidR="00FD7B0B" w:rsidRPr="00FD7B0B" w14:paraId="73038B91" w14:textId="77777777" w:rsidTr="00C50445">
        <w:trPr>
          <w:trHeight w:val="20"/>
          <w:tblHeader/>
        </w:trPr>
        <w:tc>
          <w:tcPr>
            <w:tcW w:w="5103" w:type="dxa"/>
            <w:vMerge/>
            <w:tcBorders>
              <w:top w:val="double" w:sz="6" w:space="0" w:color="auto"/>
              <w:left w:val="double" w:sz="6" w:space="0" w:color="auto"/>
              <w:bottom w:val="single" w:sz="4" w:space="0" w:color="auto"/>
              <w:right w:val="single" w:sz="4" w:space="0" w:color="auto"/>
            </w:tcBorders>
            <w:vAlign w:val="center"/>
            <w:hideMark/>
          </w:tcPr>
          <w:p w14:paraId="655349C1" w14:textId="77777777" w:rsidR="002B392F" w:rsidRPr="00FD7B0B" w:rsidRDefault="002B392F" w:rsidP="002B392F">
            <w:pPr>
              <w:spacing w:after="0" w:line="240" w:lineRule="auto"/>
              <w:rPr>
                <w:rFonts w:ascii="Times New Roman" w:eastAsia="Times New Roman" w:hAnsi="Times New Roman" w:cs="Times New Roman"/>
                <w:lang w:eastAsia="ru-RU"/>
              </w:rPr>
            </w:pPr>
          </w:p>
        </w:tc>
        <w:tc>
          <w:tcPr>
            <w:tcW w:w="1701" w:type="dxa"/>
            <w:gridSpan w:val="2"/>
            <w:tcBorders>
              <w:top w:val="single" w:sz="4" w:space="0" w:color="auto"/>
              <w:left w:val="nil"/>
              <w:bottom w:val="single" w:sz="4" w:space="0" w:color="auto"/>
              <w:right w:val="single" w:sz="4" w:space="0" w:color="auto"/>
            </w:tcBorders>
            <w:shd w:val="clear" w:color="auto" w:fill="auto"/>
            <w:noWrap/>
            <w:vAlign w:val="bottom"/>
            <w:hideMark/>
          </w:tcPr>
          <w:p w14:paraId="47415943"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фактическое</w:t>
            </w:r>
          </w:p>
        </w:tc>
        <w:tc>
          <w:tcPr>
            <w:tcW w:w="2900" w:type="dxa"/>
            <w:gridSpan w:val="3"/>
            <w:tcBorders>
              <w:top w:val="single" w:sz="4" w:space="0" w:color="auto"/>
              <w:left w:val="nil"/>
              <w:bottom w:val="single" w:sz="4" w:space="0" w:color="auto"/>
              <w:right w:val="double" w:sz="6" w:space="0" w:color="000000"/>
            </w:tcBorders>
            <w:shd w:val="clear" w:color="auto" w:fill="auto"/>
            <w:noWrap/>
            <w:vAlign w:val="bottom"/>
            <w:hideMark/>
          </w:tcPr>
          <w:p w14:paraId="310A4B9D"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2024 год</w:t>
            </w:r>
          </w:p>
        </w:tc>
      </w:tr>
      <w:tr w:rsidR="00FD7B0B" w:rsidRPr="00FD7B0B" w14:paraId="0A609F88" w14:textId="77777777" w:rsidTr="00C50445">
        <w:trPr>
          <w:trHeight w:val="279"/>
          <w:tblHeader/>
        </w:trPr>
        <w:tc>
          <w:tcPr>
            <w:tcW w:w="5103" w:type="dxa"/>
            <w:vMerge/>
            <w:tcBorders>
              <w:top w:val="double" w:sz="6" w:space="0" w:color="auto"/>
              <w:left w:val="double" w:sz="6" w:space="0" w:color="auto"/>
              <w:bottom w:val="single" w:sz="4" w:space="0" w:color="auto"/>
              <w:right w:val="single" w:sz="4" w:space="0" w:color="auto"/>
            </w:tcBorders>
            <w:vAlign w:val="center"/>
            <w:hideMark/>
          </w:tcPr>
          <w:p w14:paraId="6A0E2918" w14:textId="77777777" w:rsidR="002B392F" w:rsidRPr="00FD7B0B" w:rsidRDefault="002B392F" w:rsidP="002B392F">
            <w:pPr>
              <w:spacing w:after="0" w:line="240" w:lineRule="auto"/>
              <w:rPr>
                <w:rFonts w:ascii="Times New Roman" w:eastAsia="Times New Roman" w:hAnsi="Times New Roman" w:cs="Times New Roman"/>
                <w:lang w:eastAsia="ru-RU"/>
              </w:rPr>
            </w:pPr>
          </w:p>
        </w:tc>
        <w:tc>
          <w:tcPr>
            <w:tcW w:w="850" w:type="dxa"/>
            <w:tcBorders>
              <w:top w:val="nil"/>
              <w:left w:val="nil"/>
              <w:bottom w:val="single" w:sz="4" w:space="0" w:color="auto"/>
              <w:right w:val="single" w:sz="4" w:space="0" w:color="auto"/>
            </w:tcBorders>
            <w:shd w:val="clear" w:color="auto" w:fill="auto"/>
            <w:noWrap/>
            <w:vAlign w:val="center"/>
            <w:hideMark/>
          </w:tcPr>
          <w:p w14:paraId="3C4B5B74"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2022 год</w:t>
            </w:r>
          </w:p>
        </w:tc>
        <w:tc>
          <w:tcPr>
            <w:tcW w:w="851" w:type="dxa"/>
            <w:tcBorders>
              <w:top w:val="nil"/>
              <w:left w:val="nil"/>
              <w:bottom w:val="single" w:sz="4" w:space="0" w:color="auto"/>
              <w:right w:val="single" w:sz="4" w:space="0" w:color="auto"/>
            </w:tcBorders>
            <w:shd w:val="clear" w:color="auto" w:fill="auto"/>
            <w:noWrap/>
            <w:vAlign w:val="center"/>
            <w:hideMark/>
          </w:tcPr>
          <w:p w14:paraId="320053E6"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2023 год</w:t>
            </w:r>
          </w:p>
        </w:tc>
        <w:tc>
          <w:tcPr>
            <w:tcW w:w="709" w:type="dxa"/>
            <w:tcBorders>
              <w:top w:val="nil"/>
              <w:left w:val="nil"/>
              <w:bottom w:val="single" w:sz="4" w:space="0" w:color="auto"/>
              <w:right w:val="single" w:sz="4" w:space="0" w:color="auto"/>
            </w:tcBorders>
            <w:shd w:val="clear" w:color="auto" w:fill="auto"/>
            <w:vAlign w:val="center"/>
            <w:hideMark/>
          </w:tcPr>
          <w:p w14:paraId="519F6177"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плановое </w:t>
            </w:r>
          </w:p>
        </w:tc>
        <w:tc>
          <w:tcPr>
            <w:tcW w:w="855" w:type="dxa"/>
            <w:tcBorders>
              <w:top w:val="nil"/>
              <w:left w:val="nil"/>
              <w:bottom w:val="single" w:sz="4" w:space="0" w:color="auto"/>
              <w:right w:val="single" w:sz="4" w:space="0" w:color="auto"/>
            </w:tcBorders>
            <w:shd w:val="clear" w:color="auto" w:fill="auto"/>
            <w:vAlign w:val="center"/>
            <w:hideMark/>
          </w:tcPr>
          <w:p w14:paraId="6A6AF3EF"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фактическое</w:t>
            </w:r>
          </w:p>
        </w:tc>
        <w:tc>
          <w:tcPr>
            <w:tcW w:w="1336" w:type="dxa"/>
            <w:tcBorders>
              <w:top w:val="nil"/>
              <w:left w:val="nil"/>
              <w:bottom w:val="single" w:sz="4" w:space="0" w:color="auto"/>
              <w:right w:val="double" w:sz="6" w:space="0" w:color="auto"/>
            </w:tcBorders>
            <w:shd w:val="clear" w:color="auto" w:fill="auto"/>
            <w:vAlign w:val="center"/>
            <w:hideMark/>
          </w:tcPr>
          <w:p w14:paraId="241D12A2"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степень достижения</w:t>
            </w:r>
          </w:p>
        </w:tc>
      </w:tr>
      <w:tr w:rsidR="00FD7B0B" w:rsidRPr="00FD7B0B" w14:paraId="0D377797" w14:textId="77777777" w:rsidTr="00C50445">
        <w:trPr>
          <w:trHeight w:val="1160"/>
        </w:trPr>
        <w:tc>
          <w:tcPr>
            <w:tcW w:w="5103" w:type="dxa"/>
            <w:tcBorders>
              <w:top w:val="nil"/>
              <w:left w:val="double" w:sz="6" w:space="0" w:color="auto"/>
              <w:bottom w:val="single" w:sz="4" w:space="0" w:color="auto"/>
              <w:right w:val="single" w:sz="4" w:space="0" w:color="auto"/>
            </w:tcBorders>
            <w:shd w:val="clear" w:color="000000" w:fill="FFFFFF"/>
            <w:vAlign w:val="center"/>
            <w:hideMark/>
          </w:tcPr>
          <w:p w14:paraId="37D4CD3E" w14:textId="77777777" w:rsidR="002B392F" w:rsidRPr="00FD7B0B" w:rsidRDefault="002B392F" w:rsidP="00C5044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Доля граждан старше трудоспособного возраста и инвалидов, получивших социальные услуги в организациях социального обслуживания, от общего числа граждан старше трудоспособного возраста и инвалидов, %</w:t>
            </w:r>
          </w:p>
        </w:tc>
        <w:tc>
          <w:tcPr>
            <w:tcW w:w="850" w:type="dxa"/>
            <w:tcBorders>
              <w:top w:val="nil"/>
              <w:left w:val="nil"/>
              <w:bottom w:val="single" w:sz="4" w:space="0" w:color="auto"/>
              <w:right w:val="single" w:sz="4" w:space="0" w:color="auto"/>
            </w:tcBorders>
            <w:shd w:val="clear" w:color="000000" w:fill="FFFFFF"/>
            <w:vAlign w:val="center"/>
            <w:hideMark/>
          </w:tcPr>
          <w:p w14:paraId="79D29D22"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4,88</w:t>
            </w:r>
          </w:p>
        </w:tc>
        <w:tc>
          <w:tcPr>
            <w:tcW w:w="851" w:type="dxa"/>
            <w:tcBorders>
              <w:top w:val="nil"/>
              <w:left w:val="nil"/>
              <w:bottom w:val="single" w:sz="4" w:space="0" w:color="auto"/>
              <w:right w:val="single" w:sz="4" w:space="0" w:color="auto"/>
            </w:tcBorders>
            <w:shd w:val="clear" w:color="000000" w:fill="FFFFFF"/>
            <w:vAlign w:val="center"/>
            <w:hideMark/>
          </w:tcPr>
          <w:p w14:paraId="1FE32AD9"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4,29</w:t>
            </w:r>
          </w:p>
        </w:tc>
        <w:tc>
          <w:tcPr>
            <w:tcW w:w="709" w:type="dxa"/>
            <w:tcBorders>
              <w:top w:val="nil"/>
              <w:left w:val="nil"/>
              <w:bottom w:val="single" w:sz="4" w:space="0" w:color="auto"/>
              <w:right w:val="single" w:sz="4" w:space="0" w:color="auto"/>
            </w:tcBorders>
            <w:shd w:val="clear" w:color="000000" w:fill="FFFFFF"/>
            <w:vAlign w:val="center"/>
            <w:hideMark/>
          </w:tcPr>
          <w:p w14:paraId="68EF864B"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4,32</w:t>
            </w:r>
          </w:p>
        </w:tc>
        <w:tc>
          <w:tcPr>
            <w:tcW w:w="855" w:type="dxa"/>
            <w:tcBorders>
              <w:top w:val="nil"/>
              <w:left w:val="nil"/>
              <w:bottom w:val="single" w:sz="4" w:space="0" w:color="auto"/>
              <w:right w:val="single" w:sz="4" w:space="0" w:color="auto"/>
            </w:tcBorders>
            <w:shd w:val="clear" w:color="000000" w:fill="FFFFFF"/>
            <w:vAlign w:val="center"/>
            <w:hideMark/>
          </w:tcPr>
          <w:p w14:paraId="47FFE5AE"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7,35</w:t>
            </w:r>
          </w:p>
        </w:tc>
        <w:tc>
          <w:tcPr>
            <w:tcW w:w="1336" w:type="dxa"/>
            <w:tcBorders>
              <w:top w:val="nil"/>
              <w:left w:val="nil"/>
              <w:bottom w:val="single" w:sz="4" w:space="0" w:color="auto"/>
              <w:right w:val="double" w:sz="6" w:space="0" w:color="auto"/>
            </w:tcBorders>
            <w:shd w:val="clear" w:color="000000" w:fill="FFFFFF"/>
            <w:vAlign w:val="center"/>
            <w:hideMark/>
          </w:tcPr>
          <w:p w14:paraId="3F1B1668"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170,1</w:t>
            </w:r>
          </w:p>
        </w:tc>
      </w:tr>
      <w:tr w:rsidR="00FD7B0B" w:rsidRPr="00FD7B0B" w14:paraId="4FF51339" w14:textId="77777777" w:rsidTr="00C50445">
        <w:trPr>
          <w:trHeight w:val="1048"/>
        </w:trPr>
        <w:tc>
          <w:tcPr>
            <w:tcW w:w="5103" w:type="dxa"/>
            <w:tcBorders>
              <w:top w:val="nil"/>
              <w:left w:val="double" w:sz="6" w:space="0" w:color="auto"/>
              <w:bottom w:val="single" w:sz="4" w:space="0" w:color="auto"/>
              <w:right w:val="single" w:sz="4" w:space="0" w:color="auto"/>
            </w:tcBorders>
            <w:shd w:val="clear" w:color="000000" w:fill="FFFFFF"/>
            <w:vAlign w:val="center"/>
            <w:hideMark/>
          </w:tcPr>
          <w:p w14:paraId="23F38D3C" w14:textId="77777777" w:rsidR="002B392F" w:rsidRPr="00FD7B0B" w:rsidRDefault="002B392F" w:rsidP="00C5044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Доля граждан старше трудоспособного возраста и инвалидов, получающих услуги в рамках системы долговременного ухода, от общего числа граждан старшего трудоспособного возраста и инвалидов, нуждающихся в долговременном уходе, %</w:t>
            </w:r>
          </w:p>
        </w:tc>
        <w:tc>
          <w:tcPr>
            <w:tcW w:w="850" w:type="dxa"/>
            <w:tcBorders>
              <w:top w:val="nil"/>
              <w:left w:val="nil"/>
              <w:bottom w:val="single" w:sz="4" w:space="0" w:color="auto"/>
              <w:right w:val="single" w:sz="4" w:space="0" w:color="auto"/>
            </w:tcBorders>
            <w:shd w:val="clear" w:color="000000" w:fill="FFFFFF"/>
            <w:vAlign w:val="center"/>
            <w:hideMark/>
          </w:tcPr>
          <w:p w14:paraId="517E052C"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6A9942AC"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2,1</w:t>
            </w:r>
          </w:p>
        </w:tc>
        <w:tc>
          <w:tcPr>
            <w:tcW w:w="709" w:type="dxa"/>
            <w:tcBorders>
              <w:top w:val="nil"/>
              <w:left w:val="nil"/>
              <w:bottom w:val="single" w:sz="4" w:space="0" w:color="auto"/>
              <w:right w:val="single" w:sz="4" w:space="0" w:color="auto"/>
            </w:tcBorders>
            <w:shd w:val="clear" w:color="000000" w:fill="FFFFFF"/>
            <w:vAlign w:val="center"/>
            <w:hideMark/>
          </w:tcPr>
          <w:p w14:paraId="149FAA96"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w:t>
            </w:r>
          </w:p>
        </w:tc>
        <w:tc>
          <w:tcPr>
            <w:tcW w:w="855" w:type="dxa"/>
            <w:tcBorders>
              <w:top w:val="nil"/>
              <w:left w:val="nil"/>
              <w:bottom w:val="single" w:sz="4" w:space="0" w:color="auto"/>
              <w:right w:val="single" w:sz="4" w:space="0" w:color="auto"/>
            </w:tcBorders>
            <w:shd w:val="clear" w:color="000000" w:fill="FFFFFF"/>
            <w:vAlign w:val="center"/>
            <w:hideMark/>
          </w:tcPr>
          <w:p w14:paraId="4C5FF7C3"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w:t>
            </w:r>
          </w:p>
        </w:tc>
        <w:tc>
          <w:tcPr>
            <w:tcW w:w="1336" w:type="dxa"/>
            <w:tcBorders>
              <w:top w:val="nil"/>
              <w:left w:val="nil"/>
              <w:bottom w:val="single" w:sz="4" w:space="0" w:color="auto"/>
              <w:right w:val="double" w:sz="6" w:space="0" w:color="auto"/>
            </w:tcBorders>
            <w:shd w:val="clear" w:color="000000" w:fill="FFFFFF"/>
            <w:vAlign w:val="center"/>
            <w:hideMark/>
          </w:tcPr>
          <w:p w14:paraId="18B0C152"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w:t>
            </w:r>
          </w:p>
        </w:tc>
      </w:tr>
      <w:tr w:rsidR="00FD7B0B" w:rsidRPr="00FD7B0B" w14:paraId="1E2C4812" w14:textId="77777777" w:rsidTr="00C50445">
        <w:trPr>
          <w:trHeight w:val="286"/>
        </w:trPr>
        <w:tc>
          <w:tcPr>
            <w:tcW w:w="5103" w:type="dxa"/>
            <w:tcBorders>
              <w:top w:val="nil"/>
              <w:left w:val="double" w:sz="6" w:space="0" w:color="auto"/>
              <w:bottom w:val="single" w:sz="4" w:space="0" w:color="auto"/>
              <w:right w:val="single" w:sz="4" w:space="0" w:color="auto"/>
            </w:tcBorders>
            <w:shd w:val="clear" w:color="000000" w:fill="FFFFFF"/>
            <w:vAlign w:val="center"/>
          </w:tcPr>
          <w:p w14:paraId="07EF4089" w14:textId="77777777" w:rsidR="002B392F" w:rsidRPr="00FD7B0B" w:rsidRDefault="002B392F" w:rsidP="00C50445">
            <w:pPr>
              <w:spacing w:after="0" w:line="240" w:lineRule="auto"/>
              <w:contextualSpacing/>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Уровень госпитализации на геронтологические койки лиц старше 60 лет на 10 тыс. населения соответствующего возраста, усл.ед. </w:t>
            </w:r>
          </w:p>
        </w:tc>
        <w:tc>
          <w:tcPr>
            <w:tcW w:w="850" w:type="dxa"/>
            <w:tcBorders>
              <w:top w:val="nil"/>
              <w:left w:val="nil"/>
              <w:bottom w:val="single" w:sz="4" w:space="0" w:color="auto"/>
              <w:right w:val="single" w:sz="4" w:space="0" w:color="auto"/>
            </w:tcBorders>
            <w:shd w:val="clear" w:color="000000" w:fill="FFFFFF"/>
            <w:vAlign w:val="center"/>
          </w:tcPr>
          <w:p w14:paraId="008B7E8C"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37,02</w:t>
            </w:r>
          </w:p>
        </w:tc>
        <w:tc>
          <w:tcPr>
            <w:tcW w:w="851" w:type="dxa"/>
            <w:tcBorders>
              <w:top w:val="nil"/>
              <w:left w:val="nil"/>
              <w:bottom w:val="single" w:sz="4" w:space="0" w:color="auto"/>
              <w:right w:val="single" w:sz="4" w:space="0" w:color="auto"/>
            </w:tcBorders>
            <w:shd w:val="clear" w:color="000000" w:fill="FFFFFF"/>
            <w:vAlign w:val="center"/>
          </w:tcPr>
          <w:p w14:paraId="02826BDF"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55,76</w:t>
            </w:r>
          </w:p>
        </w:tc>
        <w:tc>
          <w:tcPr>
            <w:tcW w:w="709" w:type="dxa"/>
            <w:tcBorders>
              <w:top w:val="nil"/>
              <w:left w:val="nil"/>
              <w:bottom w:val="single" w:sz="4" w:space="0" w:color="auto"/>
              <w:right w:val="single" w:sz="4" w:space="0" w:color="auto"/>
            </w:tcBorders>
            <w:shd w:val="clear" w:color="000000" w:fill="FFFFFF"/>
            <w:vAlign w:val="center"/>
          </w:tcPr>
          <w:p w14:paraId="60710787"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51,4</w:t>
            </w:r>
          </w:p>
        </w:tc>
        <w:tc>
          <w:tcPr>
            <w:tcW w:w="855" w:type="dxa"/>
            <w:tcBorders>
              <w:top w:val="nil"/>
              <w:left w:val="nil"/>
              <w:bottom w:val="single" w:sz="4" w:space="0" w:color="auto"/>
              <w:right w:val="single" w:sz="4" w:space="0" w:color="auto"/>
            </w:tcBorders>
            <w:shd w:val="clear" w:color="000000" w:fill="FFFFFF"/>
            <w:vAlign w:val="center"/>
          </w:tcPr>
          <w:p w14:paraId="6B3AB040"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55,3</w:t>
            </w:r>
          </w:p>
        </w:tc>
        <w:tc>
          <w:tcPr>
            <w:tcW w:w="1336" w:type="dxa"/>
            <w:tcBorders>
              <w:top w:val="nil"/>
              <w:left w:val="nil"/>
              <w:bottom w:val="single" w:sz="4" w:space="0" w:color="auto"/>
              <w:right w:val="double" w:sz="6" w:space="0" w:color="auto"/>
            </w:tcBorders>
            <w:shd w:val="clear" w:color="000000" w:fill="FFFFFF"/>
            <w:vAlign w:val="center"/>
          </w:tcPr>
          <w:p w14:paraId="45886F8D"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107,6</w:t>
            </w:r>
          </w:p>
        </w:tc>
      </w:tr>
      <w:tr w:rsidR="00FD7B0B" w:rsidRPr="00FD7B0B" w14:paraId="22C37ADF" w14:textId="77777777" w:rsidTr="00C50445">
        <w:trPr>
          <w:trHeight w:val="286"/>
        </w:trPr>
        <w:tc>
          <w:tcPr>
            <w:tcW w:w="5103" w:type="dxa"/>
            <w:tcBorders>
              <w:top w:val="nil"/>
              <w:left w:val="double" w:sz="6" w:space="0" w:color="auto"/>
              <w:bottom w:val="single" w:sz="4" w:space="0" w:color="auto"/>
              <w:right w:val="single" w:sz="4" w:space="0" w:color="auto"/>
            </w:tcBorders>
            <w:shd w:val="clear" w:color="000000" w:fill="FFFFFF"/>
            <w:vAlign w:val="center"/>
            <w:hideMark/>
          </w:tcPr>
          <w:p w14:paraId="23D597D5" w14:textId="77777777" w:rsidR="002B392F" w:rsidRPr="00FD7B0B" w:rsidRDefault="002B392F" w:rsidP="00C5044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Охват граждан старше трудоспособного возраста профилактическими осмотрами, включая диспансеризацию%</w:t>
            </w:r>
          </w:p>
        </w:tc>
        <w:tc>
          <w:tcPr>
            <w:tcW w:w="850" w:type="dxa"/>
            <w:tcBorders>
              <w:top w:val="nil"/>
              <w:left w:val="nil"/>
              <w:bottom w:val="single" w:sz="4" w:space="0" w:color="auto"/>
              <w:right w:val="single" w:sz="4" w:space="0" w:color="auto"/>
            </w:tcBorders>
            <w:shd w:val="clear" w:color="000000" w:fill="FFFFFF"/>
            <w:vAlign w:val="center"/>
            <w:hideMark/>
          </w:tcPr>
          <w:p w14:paraId="542E902F"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29,8</w:t>
            </w:r>
          </w:p>
        </w:tc>
        <w:tc>
          <w:tcPr>
            <w:tcW w:w="851" w:type="dxa"/>
            <w:tcBorders>
              <w:top w:val="nil"/>
              <w:left w:val="nil"/>
              <w:bottom w:val="single" w:sz="4" w:space="0" w:color="auto"/>
              <w:right w:val="single" w:sz="4" w:space="0" w:color="auto"/>
            </w:tcBorders>
            <w:shd w:val="clear" w:color="000000" w:fill="FFFFFF"/>
            <w:vAlign w:val="center"/>
            <w:hideMark/>
          </w:tcPr>
          <w:p w14:paraId="195E31B2"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65,33</w:t>
            </w:r>
          </w:p>
        </w:tc>
        <w:tc>
          <w:tcPr>
            <w:tcW w:w="709" w:type="dxa"/>
            <w:tcBorders>
              <w:top w:val="nil"/>
              <w:left w:val="nil"/>
              <w:bottom w:val="single" w:sz="4" w:space="0" w:color="auto"/>
              <w:right w:val="single" w:sz="4" w:space="0" w:color="auto"/>
            </w:tcBorders>
            <w:shd w:val="clear" w:color="000000" w:fill="FFFFFF"/>
            <w:vAlign w:val="center"/>
            <w:hideMark/>
          </w:tcPr>
          <w:p w14:paraId="4DA52C3D"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70</w:t>
            </w:r>
          </w:p>
        </w:tc>
        <w:tc>
          <w:tcPr>
            <w:tcW w:w="855" w:type="dxa"/>
            <w:tcBorders>
              <w:top w:val="nil"/>
              <w:left w:val="nil"/>
              <w:bottom w:val="single" w:sz="4" w:space="0" w:color="auto"/>
              <w:right w:val="single" w:sz="4" w:space="0" w:color="auto"/>
            </w:tcBorders>
            <w:shd w:val="clear" w:color="000000" w:fill="FFFFFF"/>
            <w:vAlign w:val="center"/>
            <w:hideMark/>
          </w:tcPr>
          <w:p w14:paraId="549F114D"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70,1</w:t>
            </w:r>
          </w:p>
        </w:tc>
        <w:tc>
          <w:tcPr>
            <w:tcW w:w="1336" w:type="dxa"/>
            <w:tcBorders>
              <w:top w:val="nil"/>
              <w:left w:val="nil"/>
              <w:bottom w:val="single" w:sz="4" w:space="0" w:color="auto"/>
              <w:right w:val="double" w:sz="6" w:space="0" w:color="auto"/>
            </w:tcBorders>
            <w:shd w:val="clear" w:color="000000" w:fill="FFFFFF"/>
            <w:vAlign w:val="center"/>
            <w:hideMark/>
          </w:tcPr>
          <w:p w14:paraId="75679B73"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100,1</w:t>
            </w:r>
          </w:p>
        </w:tc>
      </w:tr>
      <w:tr w:rsidR="00FD7B0B" w:rsidRPr="00FD7B0B" w14:paraId="358035BA" w14:textId="77777777" w:rsidTr="00C50445">
        <w:trPr>
          <w:trHeight w:val="642"/>
        </w:trPr>
        <w:tc>
          <w:tcPr>
            <w:tcW w:w="5103" w:type="dxa"/>
            <w:tcBorders>
              <w:top w:val="nil"/>
              <w:left w:val="double" w:sz="6" w:space="0" w:color="auto"/>
              <w:bottom w:val="double" w:sz="6" w:space="0" w:color="auto"/>
              <w:right w:val="single" w:sz="4" w:space="0" w:color="auto"/>
            </w:tcBorders>
            <w:shd w:val="clear" w:color="000000" w:fill="FFFFFF"/>
            <w:vAlign w:val="center"/>
            <w:hideMark/>
          </w:tcPr>
          <w:p w14:paraId="404D8CA9" w14:textId="77777777" w:rsidR="002B392F" w:rsidRPr="00FD7B0B" w:rsidRDefault="002B392F" w:rsidP="00C5044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Доля граждан старше трудоспособного возраста, у которых выявлены заболевания и патологические состояния, находящихся под диспансерным наблюдением, %</w:t>
            </w:r>
          </w:p>
        </w:tc>
        <w:tc>
          <w:tcPr>
            <w:tcW w:w="850" w:type="dxa"/>
            <w:tcBorders>
              <w:top w:val="nil"/>
              <w:left w:val="nil"/>
              <w:bottom w:val="double" w:sz="6" w:space="0" w:color="auto"/>
              <w:right w:val="single" w:sz="4" w:space="0" w:color="auto"/>
            </w:tcBorders>
            <w:shd w:val="clear" w:color="000000" w:fill="FFFFFF"/>
            <w:vAlign w:val="center"/>
            <w:hideMark/>
          </w:tcPr>
          <w:p w14:paraId="7A1A0C74"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75.16</w:t>
            </w:r>
          </w:p>
        </w:tc>
        <w:tc>
          <w:tcPr>
            <w:tcW w:w="851" w:type="dxa"/>
            <w:tcBorders>
              <w:top w:val="nil"/>
              <w:left w:val="nil"/>
              <w:bottom w:val="double" w:sz="6" w:space="0" w:color="auto"/>
              <w:right w:val="single" w:sz="4" w:space="0" w:color="auto"/>
            </w:tcBorders>
            <w:shd w:val="clear" w:color="000000" w:fill="FFFFFF"/>
            <w:vAlign w:val="center"/>
            <w:hideMark/>
          </w:tcPr>
          <w:p w14:paraId="545CAEE8"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93.06</w:t>
            </w:r>
          </w:p>
        </w:tc>
        <w:tc>
          <w:tcPr>
            <w:tcW w:w="709" w:type="dxa"/>
            <w:tcBorders>
              <w:top w:val="nil"/>
              <w:left w:val="nil"/>
              <w:bottom w:val="double" w:sz="6" w:space="0" w:color="auto"/>
              <w:right w:val="single" w:sz="4" w:space="0" w:color="auto"/>
            </w:tcBorders>
            <w:shd w:val="clear" w:color="000000" w:fill="FFFFFF"/>
            <w:vAlign w:val="center"/>
            <w:hideMark/>
          </w:tcPr>
          <w:p w14:paraId="02AEE25C"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90</w:t>
            </w:r>
          </w:p>
        </w:tc>
        <w:tc>
          <w:tcPr>
            <w:tcW w:w="855" w:type="dxa"/>
            <w:tcBorders>
              <w:top w:val="nil"/>
              <w:left w:val="nil"/>
              <w:bottom w:val="double" w:sz="6" w:space="0" w:color="auto"/>
              <w:right w:val="single" w:sz="4" w:space="0" w:color="auto"/>
            </w:tcBorders>
            <w:shd w:val="clear" w:color="000000" w:fill="FFFFFF"/>
            <w:vAlign w:val="center"/>
            <w:hideMark/>
          </w:tcPr>
          <w:p w14:paraId="0A2EA25E"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91,4</w:t>
            </w:r>
          </w:p>
        </w:tc>
        <w:tc>
          <w:tcPr>
            <w:tcW w:w="1336" w:type="dxa"/>
            <w:tcBorders>
              <w:top w:val="nil"/>
              <w:left w:val="nil"/>
              <w:bottom w:val="double" w:sz="6" w:space="0" w:color="auto"/>
              <w:right w:val="double" w:sz="6" w:space="0" w:color="auto"/>
            </w:tcBorders>
            <w:shd w:val="clear" w:color="000000" w:fill="FFFFFF"/>
            <w:vAlign w:val="center"/>
            <w:hideMark/>
          </w:tcPr>
          <w:p w14:paraId="3A179371"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101,5</w:t>
            </w:r>
          </w:p>
        </w:tc>
      </w:tr>
    </w:tbl>
    <w:p w14:paraId="6CD23B6E" w14:textId="77777777" w:rsidR="00C50445" w:rsidRPr="00FD7B0B" w:rsidRDefault="00C50445" w:rsidP="00C50445">
      <w:pPr>
        <w:widowControl w:val="0"/>
        <w:tabs>
          <w:tab w:val="left" w:pos="3150"/>
        </w:tabs>
        <w:autoSpaceDE w:val="0"/>
        <w:autoSpaceDN w:val="0"/>
        <w:spacing w:after="0" w:line="240" w:lineRule="auto"/>
        <w:ind w:left="23" w:firstLine="686"/>
        <w:jc w:val="both"/>
        <w:rPr>
          <w:rFonts w:ascii="Times New Roman" w:eastAsia="Times New Roman" w:hAnsi="Times New Roman" w:cs="Times New Roman"/>
          <w:sz w:val="28"/>
          <w:szCs w:val="28"/>
          <w:lang w:eastAsia="ru-RU"/>
        </w:rPr>
      </w:pPr>
    </w:p>
    <w:p w14:paraId="1299E967" w14:textId="77777777" w:rsidR="002B392F" w:rsidRPr="00FD7B0B" w:rsidRDefault="002B392F" w:rsidP="00C50445">
      <w:pPr>
        <w:widowControl w:val="0"/>
        <w:tabs>
          <w:tab w:val="left" w:pos="3150"/>
        </w:tabs>
        <w:autoSpaceDE w:val="0"/>
        <w:autoSpaceDN w:val="0"/>
        <w:spacing w:after="0" w:line="240" w:lineRule="auto"/>
        <w:ind w:left="23" w:firstLine="686"/>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Перевыполнен показатель «Доля граждан старше трудоспособного возраста и инвалидов, получивших социальные услуги в организациях социального обслуживания, от общего числа граждан старше трудоспособного возраста и инвалидов» в связи с внедрением пилотного проекта «Система долговременного ухода» и высоким спросом на срочные социальные услуги.</w:t>
      </w:r>
    </w:p>
    <w:p w14:paraId="359BDD2D" w14:textId="77777777" w:rsidR="002B392F" w:rsidRPr="00FD7B0B" w:rsidRDefault="002B392F" w:rsidP="00C50445">
      <w:pPr>
        <w:widowControl w:val="0"/>
        <w:tabs>
          <w:tab w:val="left" w:pos="3150"/>
        </w:tabs>
        <w:autoSpaceDE w:val="0"/>
        <w:autoSpaceDN w:val="0"/>
        <w:spacing w:after="0" w:line="240" w:lineRule="auto"/>
        <w:ind w:left="23" w:firstLine="686"/>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2024 году в рамках КПМ «Организация работы по социальному </w:t>
      </w:r>
      <w:r w:rsidRPr="00FD7B0B">
        <w:rPr>
          <w:rFonts w:ascii="Times New Roman" w:eastAsia="Times New Roman" w:hAnsi="Times New Roman" w:cs="Times New Roman"/>
          <w:sz w:val="28"/>
          <w:szCs w:val="28"/>
          <w:lang w:eastAsia="ru-RU"/>
        </w:rPr>
        <w:lastRenderedPageBreak/>
        <w:t>обслуживанию граждан и социальной защите населения Архангельской области» осуществлялась реализация 4 мероприятий, израсходовано средств областного бюджета 4 530,6 млн.руб. из 4 536,9 млн.руб. Обеспечено финансирование деятельности 49 учреждений, в реестр поставщиков социальных услуг Архангельской области включены 30 организаций, осуществляющих деятельность по социальному обслуживанию, независимая оценка качества поставщиков социальных услуг в Архангельской области проведена в 45 учреждениях социальной сферы, улучшены условия и качество оказания государственных услуг 7 государственными учреждениями Архангельской области.</w:t>
      </w:r>
    </w:p>
    <w:p w14:paraId="3780C923" w14:textId="77777777" w:rsidR="002B392F" w:rsidRPr="00FD7B0B" w:rsidRDefault="002B392F" w:rsidP="00C50445">
      <w:pPr>
        <w:widowControl w:val="0"/>
        <w:tabs>
          <w:tab w:val="left" w:pos="3150"/>
        </w:tabs>
        <w:autoSpaceDE w:val="0"/>
        <w:autoSpaceDN w:val="0"/>
        <w:spacing w:after="0" w:line="240" w:lineRule="auto"/>
        <w:ind w:left="23" w:firstLine="686"/>
        <w:jc w:val="both"/>
        <w:rPr>
          <w:rFonts w:ascii="Times New Roman" w:eastAsia="Times New Roman" w:hAnsi="Times New Roman" w:cs="Times New Roman"/>
          <w:sz w:val="28"/>
          <w:szCs w:val="28"/>
          <w:lang w:eastAsia="ru-RU"/>
        </w:rPr>
      </w:pPr>
    </w:p>
    <w:p w14:paraId="62B1099F" w14:textId="77777777" w:rsidR="002B392F" w:rsidRPr="00FD7B0B" w:rsidRDefault="002B392F" w:rsidP="002B392F">
      <w:pPr>
        <w:autoSpaceDE w:val="0"/>
        <w:autoSpaceDN w:val="0"/>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Меры социальной поддержки отдельных категорий граждан в 2024 году предусматривались по РП «Финансовая поддержка семей при рождении детей» и КПМ </w:t>
      </w:r>
      <w:r w:rsidRPr="00FD7B0B">
        <w:rPr>
          <w:rFonts w:ascii="Times New Roman" w:hAnsi="Times New Roman" w:cs="Times New Roman"/>
          <w:spacing w:val="-4"/>
          <w:sz w:val="28"/>
          <w:szCs w:val="28"/>
        </w:rPr>
        <w:t>«Меры социальной поддержки отдельным категориям граждан, проживающим на территории Архангельской области»</w:t>
      </w:r>
      <w:r w:rsidRPr="00FD7B0B">
        <w:rPr>
          <w:rFonts w:ascii="Times New Roman" w:hAnsi="Times New Roman" w:cs="Times New Roman"/>
          <w:sz w:val="28"/>
          <w:szCs w:val="28"/>
        </w:rPr>
        <w:t xml:space="preserve"> на общую сумму 10 414,0 млн.руб., данные выплаты носят заявительный характер.</w:t>
      </w:r>
    </w:p>
    <w:p w14:paraId="3CCB04A9" w14:textId="77777777" w:rsidR="002B392F" w:rsidRPr="00FD7B0B" w:rsidRDefault="002B392F" w:rsidP="002B392F">
      <w:pPr>
        <w:pStyle w:val="ConsPlusNonformat"/>
        <w:tabs>
          <w:tab w:val="left" w:pos="1080"/>
        </w:tabs>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Согласно Отчету о реализации мероприятий РП «Финансовая поддержка семей при рождении детей» и КПМ </w:t>
      </w:r>
      <w:r w:rsidRPr="00FD7B0B">
        <w:rPr>
          <w:rFonts w:ascii="Times New Roman" w:hAnsi="Times New Roman" w:cs="Times New Roman"/>
          <w:spacing w:val="-4"/>
          <w:sz w:val="28"/>
          <w:szCs w:val="28"/>
        </w:rPr>
        <w:t xml:space="preserve">«Меры социальной поддержки отдельным категориям граждан, проживающим на территории Архангельской области» </w:t>
      </w:r>
      <w:r w:rsidRPr="00FD7B0B">
        <w:rPr>
          <w:rFonts w:ascii="Times New Roman" w:hAnsi="Times New Roman" w:cs="Times New Roman"/>
          <w:sz w:val="28"/>
          <w:szCs w:val="28"/>
        </w:rPr>
        <w:t>общая сумма расходов за счет средств федерального и областного бюджета составила 10 411,0 млн.руб. из 10 414,0 млн.руб. Не израсходованы бюджетные ассигнования в сумме 3,0 млн.руб. по выплатам, носящим заявительный характер.</w:t>
      </w:r>
    </w:p>
    <w:p w14:paraId="537E9073" w14:textId="45B650C8" w:rsidR="002B392F" w:rsidRPr="00FD7B0B" w:rsidRDefault="002B392F" w:rsidP="002B392F">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Динамика средств, предоставленных отдельным категориям граждан мер социальной поддержки в 2017 – 2024 годах, млн.р</w:t>
      </w:r>
      <w:r w:rsidR="00C50445" w:rsidRPr="00FD7B0B">
        <w:rPr>
          <w:rFonts w:ascii="Times New Roman" w:hAnsi="Times New Roman" w:cs="Times New Roman"/>
          <w:sz w:val="28"/>
          <w:szCs w:val="28"/>
        </w:rPr>
        <w:t>уб., представлена на рисунке </w:t>
      </w:r>
      <w:r w:rsidR="001358BD" w:rsidRPr="00FD7B0B">
        <w:rPr>
          <w:rFonts w:ascii="Times New Roman" w:hAnsi="Times New Roman" w:cs="Times New Roman"/>
          <w:sz w:val="28"/>
          <w:szCs w:val="28"/>
        </w:rPr>
        <w:t>12</w:t>
      </w:r>
      <w:r w:rsidRPr="00FD7B0B">
        <w:rPr>
          <w:rFonts w:ascii="Times New Roman" w:hAnsi="Times New Roman" w:cs="Times New Roman"/>
          <w:sz w:val="28"/>
          <w:szCs w:val="28"/>
        </w:rPr>
        <w:t>.</w:t>
      </w:r>
    </w:p>
    <w:p w14:paraId="39786970" w14:textId="0A93573F" w:rsidR="002B392F" w:rsidRPr="00FD7B0B" w:rsidRDefault="00D93E1E" w:rsidP="00D93E1E">
      <w:pPr>
        <w:pStyle w:val="ConsPlusNonformat"/>
        <w:tabs>
          <w:tab w:val="left" w:pos="1080"/>
        </w:tabs>
        <w:jc w:val="center"/>
        <w:rPr>
          <w:rFonts w:ascii="Times New Roman" w:hAnsi="Times New Roman" w:cs="Times New Roman"/>
          <w:b/>
          <w:spacing w:val="-4"/>
          <w:sz w:val="28"/>
          <w:szCs w:val="28"/>
        </w:rPr>
      </w:pPr>
      <w:r w:rsidRPr="00FD7B0B">
        <w:rPr>
          <w:rFonts w:ascii="Times New Roman" w:hAnsi="Times New Roman" w:cs="Times New Roman"/>
          <w:b/>
          <w:noProof/>
          <w:spacing w:val="-4"/>
          <w:sz w:val="28"/>
          <w:szCs w:val="28"/>
        </w:rPr>
        <w:drawing>
          <wp:inline distT="0" distB="0" distL="0" distR="0" wp14:anchorId="1619F97C" wp14:editId="170C0278">
            <wp:extent cx="5393494" cy="1210214"/>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4517" cy="1217175"/>
                    </a:xfrm>
                    <a:prstGeom prst="rect">
                      <a:avLst/>
                    </a:prstGeom>
                    <a:noFill/>
                  </pic:spPr>
                </pic:pic>
              </a:graphicData>
            </a:graphic>
          </wp:inline>
        </w:drawing>
      </w:r>
    </w:p>
    <w:p w14:paraId="374B145A" w14:textId="77777777" w:rsidR="002B392F" w:rsidRPr="00FD7B0B" w:rsidRDefault="002B392F" w:rsidP="002B392F">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Рисунок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Рисунок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12</w:t>
      </w:r>
      <w:r w:rsidRPr="00FD7B0B">
        <w:rPr>
          <w:rFonts w:ascii="Times New Roman" w:hAnsi="Times New Roman"/>
          <w:sz w:val="24"/>
          <w:szCs w:val="24"/>
        </w:rPr>
        <w:fldChar w:fldCharType="end"/>
      </w:r>
      <w:r w:rsidRPr="00FD7B0B">
        <w:rPr>
          <w:rFonts w:ascii="Times New Roman" w:hAnsi="Times New Roman"/>
          <w:sz w:val="24"/>
          <w:szCs w:val="24"/>
        </w:rPr>
        <w:t>. Расходы на реализацию мер социальной поддержки за 2017 – 2024 год, млн.руб.</w:t>
      </w:r>
    </w:p>
    <w:p w14:paraId="42C76626" w14:textId="77777777" w:rsidR="00D93E1E" w:rsidRPr="00FD7B0B" w:rsidRDefault="00D93E1E" w:rsidP="002B392F">
      <w:pPr>
        <w:autoSpaceDE w:val="0"/>
        <w:autoSpaceDN w:val="0"/>
        <w:spacing w:after="0" w:line="240" w:lineRule="auto"/>
        <w:ind w:firstLine="709"/>
        <w:jc w:val="both"/>
        <w:rPr>
          <w:rFonts w:ascii="Times New Roman" w:hAnsi="Times New Roman" w:cs="Times New Roman"/>
          <w:sz w:val="28"/>
          <w:szCs w:val="28"/>
          <w:highlight w:val="cyan"/>
        </w:rPr>
      </w:pPr>
    </w:p>
    <w:p w14:paraId="494BB872" w14:textId="392C44D2" w:rsidR="002B392F" w:rsidRPr="00FD7B0B" w:rsidRDefault="002B392F" w:rsidP="002B392F">
      <w:pPr>
        <w:autoSpaceDE w:val="0"/>
        <w:autoSpaceDN w:val="0"/>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Финансирование мероприятий, направленных на развитие системы отдыха и оздоровления детей в 2024 году за счет средств областного бюджета в рамках реализации РП «Создание условий для обучения, отдыха и оздоровления детей и молодежи» и КПМ «Развитие системы отдыха и оздоровления детей» осуществлено в сумме 636,8 млн.руб. из 637,7 млн.руб. (99,8</w:t>
      </w:r>
      <w:r w:rsidR="00D93E1E" w:rsidRPr="00FD7B0B">
        <w:rPr>
          <w:rFonts w:ascii="Times New Roman" w:hAnsi="Times New Roman" w:cs="Times New Roman"/>
          <w:sz w:val="28"/>
          <w:szCs w:val="28"/>
        </w:rPr>
        <w:t xml:space="preserve"> </w:t>
      </w:r>
      <w:r w:rsidRPr="00FD7B0B">
        <w:rPr>
          <w:rFonts w:ascii="Times New Roman" w:hAnsi="Times New Roman" w:cs="Times New Roman"/>
          <w:sz w:val="28"/>
          <w:szCs w:val="28"/>
        </w:rPr>
        <w:t>%).</w:t>
      </w:r>
    </w:p>
    <w:p w14:paraId="78EFC47A" w14:textId="0E5AD0B0" w:rsidR="002B392F" w:rsidRPr="00FD7B0B" w:rsidRDefault="002B392F" w:rsidP="002B392F">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Основные сведения об объемах финансирования </w:t>
      </w:r>
      <w:r w:rsidRPr="00FD7B0B">
        <w:rPr>
          <w:rFonts w:ascii="Times New Roman" w:hAnsi="Times New Roman" w:cs="Times New Roman"/>
          <w:sz w:val="28"/>
          <w:szCs w:val="28"/>
        </w:rPr>
        <w:t>на развитие системы отдыха и оздоровления детей в 2024 году</w:t>
      </w:r>
      <w:r w:rsidR="00D93E1E" w:rsidRPr="00FD7B0B">
        <w:rPr>
          <w:rFonts w:ascii="Times New Roman" w:eastAsia="Times New Roman" w:hAnsi="Times New Roman"/>
          <w:sz w:val="28"/>
          <w:szCs w:val="28"/>
          <w:lang w:eastAsia="ru-RU"/>
        </w:rPr>
        <w:t xml:space="preserve"> представлены в таблице </w:t>
      </w:r>
      <w:r w:rsidR="001358BD" w:rsidRPr="00FD7B0B">
        <w:rPr>
          <w:rFonts w:ascii="Times New Roman" w:eastAsia="Times New Roman" w:hAnsi="Times New Roman"/>
          <w:sz w:val="28"/>
          <w:szCs w:val="28"/>
          <w:lang w:eastAsia="ru-RU"/>
        </w:rPr>
        <w:t>101</w:t>
      </w:r>
      <w:r w:rsidRPr="00FD7B0B">
        <w:rPr>
          <w:rFonts w:ascii="Times New Roman" w:eastAsia="Times New Roman" w:hAnsi="Times New Roman"/>
          <w:sz w:val="28"/>
          <w:szCs w:val="28"/>
          <w:lang w:eastAsia="ru-RU"/>
        </w:rPr>
        <w:t>.</w:t>
      </w:r>
    </w:p>
    <w:p w14:paraId="21517F13" w14:textId="77777777" w:rsidR="002B392F" w:rsidRPr="00FD7B0B" w:rsidRDefault="002B392F" w:rsidP="002B392F">
      <w:pPr>
        <w:spacing w:after="0" w:line="320" w:lineRule="atLeast"/>
        <w:ind w:firstLine="709"/>
        <w:jc w:val="both"/>
        <w:rPr>
          <w:rFonts w:ascii="Times New Roman" w:eastAsia="Times New Roman" w:hAnsi="Times New Roman"/>
          <w:sz w:val="24"/>
          <w:szCs w:val="24"/>
          <w:lang w:eastAsia="ru-RU"/>
        </w:rPr>
      </w:pPr>
    </w:p>
    <w:p w14:paraId="4D04ABBB" w14:textId="77777777" w:rsidR="001358BD" w:rsidRPr="00FD7B0B" w:rsidRDefault="001358BD" w:rsidP="002B392F">
      <w:pPr>
        <w:spacing w:after="0" w:line="240" w:lineRule="auto"/>
        <w:rPr>
          <w:rFonts w:ascii="Times New Roman" w:hAnsi="Times New Roman"/>
          <w:sz w:val="24"/>
          <w:szCs w:val="24"/>
        </w:rPr>
      </w:pPr>
    </w:p>
    <w:p w14:paraId="473CFCD3" w14:textId="77777777" w:rsidR="001358BD" w:rsidRPr="00FD7B0B" w:rsidRDefault="001358BD" w:rsidP="002B392F">
      <w:pPr>
        <w:spacing w:after="0" w:line="240" w:lineRule="auto"/>
        <w:rPr>
          <w:rFonts w:ascii="Times New Roman" w:hAnsi="Times New Roman"/>
          <w:sz w:val="24"/>
          <w:szCs w:val="24"/>
        </w:rPr>
      </w:pPr>
    </w:p>
    <w:p w14:paraId="09BC06F8" w14:textId="77777777" w:rsidR="001358BD" w:rsidRPr="00FD7B0B" w:rsidRDefault="001358BD" w:rsidP="002B392F">
      <w:pPr>
        <w:spacing w:after="0" w:line="240" w:lineRule="auto"/>
        <w:rPr>
          <w:rFonts w:ascii="Times New Roman" w:hAnsi="Times New Roman"/>
          <w:sz w:val="24"/>
          <w:szCs w:val="24"/>
        </w:rPr>
      </w:pPr>
    </w:p>
    <w:p w14:paraId="4E84AE07" w14:textId="77777777" w:rsidR="002B392F" w:rsidRPr="00FD7B0B" w:rsidRDefault="002B392F" w:rsidP="002B392F">
      <w:pPr>
        <w:spacing w:after="0" w:line="240" w:lineRule="auto"/>
        <w:rPr>
          <w:rFonts w:ascii="Times New Roman" w:hAnsi="Times New Roman"/>
          <w:sz w:val="24"/>
          <w:szCs w:val="24"/>
        </w:rPr>
      </w:pPr>
      <w:r w:rsidRPr="00FD7B0B">
        <w:rPr>
          <w:rFonts w:ascii="Times New Roman" w:hAnsi="Times New Roman"/>
          <w:sz w:val="24"/>
          <w:szCs w:val="24"/>
        </w:rPr>
        <w:lastRenderedPageBreak/>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101</w:t>
      </w:r>
      <w:r w:rsidRPr="00FD7B0B">
        <w:rPr>
          <w:rFonts w:ascii="Times New Roman" w:hAnsi="Times New Roman"/>
          <w:sz w:val="24"/>
          <w:szCs w:val="24"/>
        </w:rPr>
        <w:fldChar w:fldCharType="end"/>
      </w:r>
      <w:r w:rsidRPr="00FD7B0B">
        <w:rPr>
          <w:rFonts w:ascii="Times New Roman" w:hAnsi="Times New Roman"/>
          <w:sz w:val="24"/>
          <w:szCs w:val="24"/>
        </w:rPr>
        <w:t xml:space="preserve">. Основные </w:t>
      </w:r>
      <w:r w:rsidRPr="00FD7B0B">
        <w:rPr>
          <w:rFonts w:ascii="Times New Roman" w:eastAsia="Times New Roman" w:hAnsi="Times New Roman"/>
          <w:sz w:val="24"/>
          <w:szCs w:val="24"/>
          <w:lang w:eastAsia="ru-RU"/>
        </w:rPr>
        <w:t xml:space="preserve">сведения об объемах финансирования </w:t>
      </w:r>
      <w:r w:rsidRPr="00FD7B0B">
        <w:rPr>
          <w:rFonts w:ascii="Times New Roman" w:hAnsi="Times New Roman" w:cs="Times New Roman"/>
          <w:sz w:val="24"/>
          <w:szCs w:val="24"/>
        </w:rPr>
        <w:t>на развитие системы отдыха и оздоровления детей в 2024 году</w:t>
      </w:r>
      <w:r w:rsidRPr="00FD7B0B">
        <w:rPr>
          <w:rFonts w:ascii="Times New Roman" w:hAnsi="Times New Roman"/>
          <w:sz w:val="24"/>
          <w:szCs w:val="24"/>
        </w:rPr>
        <w:t>, млн.руб.</w:t>
      </w:r>
    </w:p>
    <w:tbl>
      <w:tblPr>
        <w:tblW w:w="9580" w:type="dxa"/>
        <w:tblLook w:val="04A0" w:firstRow="1" w:lastRow="0" w:firstColumn="1" w:lastColumn="0" w:noHBand="0" w:noVBand="1"/>
      </w:tblPr>
      <w:tblGrid>
        <w:gridCol w:w="5080"/>
        <w:gridCol w:w="1256"/>
        <w:gridCol w:w="1117"/>
        <w:gridCol w:w="1159"/>
        <w:gridCol w:w="968"/>
      </w:tblGrid>
      <w:tr w:rsidR="00FD7B0B" w:rsidRPr="00FD7B0B" w14:paraId="43C349B8" w14:textId="77777777" w:rsidTr="00123E3C">
        <w:trPr>
          <w:trHeight w:val="243"/>
          <w:tblHeader/>
        </w:trPr>
        <w:tc>
          <w:tcPr>
            <w:tcW w:w="5080"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5315303D" w14:textId="6587542E" w:rsidR="002B392F" w:rsidRPr="00FD7B0B" w:rsidRDefault="00D93E1E"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Направление</w:t>
            </w:r>
          </w:p>
        </w:tc>
        <w:tc>
          <w:tcPr>
            <w:tcW w:w="1256" w:type="dxa"/>
            <w:tcBorders>
              <w:top w:val="double" w:sz="6" w:space="0" w:color="auto"/>
              <w:left w:val="nil"/>
              <w:bottom w:val="single" w:sz="4" w:space="0" w:color="auto"/>
              <w:right w:val="single" w:sz="4" w:space="0" w:color="auto"/>
            </w:tcBorders>
            <w:shd w:val="clear" w:color="auto" w:fill="auto"/>
            <w:vAlign w:val="center"/>
            <w:hideMark/>
          </w:tcPr>
          <w:p w14:paraId="6EE86B0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в 2023 г.</w:t>
            </w:r>
          </w:p>
        </w:tc>
        <w:tc>
          <w:tcPr>
            <w:tcW w:w="1117" w:type="dxa"/>
            <w:tcBorders>
              <w:top w:val="double" w:sz="6" w:space="0" w:color="auto"/>
              <w:left w:val="nil"/>
              <w:bottom w:val="single" w:sz="4" w:space="0" w:color="auto"/>
              <w:right w:val="single" w:sz="4" w:space="0" w:color="auto"/>
            </w:tcBorders>
            <w:shd w:val="clear" w:color="auto" w:fill="auto"/>
            <w:vAlign w:val="center"/>
            <w:hideMark/>
          </w:tcPr>
          <w:p w14:paraId="655DCCD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СБР на 31.12.2024</w:t>
            </w:r>
          </w:p>
        </w:tc>
        <w:tc>
          <w:tcPr>
            <w:tcW w:w="1159" w:type="dxa"/>
            <w:tcBorders>
              <w:top w:val="double" w:sz="6" w:space="0" w:color="auto"/>
              <w:left w:val="nil"/>
              <w:bottom w:val="single" w:sz="4" w:space="0" w:color="auto"/>
              <w:right w:val="single" w:sz="4" w:space="0" w:color="auto"/>
            </w:tcBorders>
            <w:shd w:val="clear" w:color="auto" w:fill="auto"/>
            <w:vAlign w:val="center"/>
            <w:hideMark/>
          </w:tcPr>
          <w:p w14:paraId="5A885F6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в 2024 г.</w:t>
            </w:r>
          </w:p>
        </w:tc>
        <w:tc>
          <w:tcPr>
            <w:tcW w:w="968" w:type="dxa"/>
            <w:tcBorders>
              <w:top w:val="double" w:sz="6" w:space="0" w:color="auto"/>
              <w:left w:val="nil"/>
              <w:bottom w:val="single" w:sz="4" w:space="0" w:color="auto"/>
              <w:right w:val="double" w:sz="6" w:space="0" w:color="auto"/>
            </w:tcBorders>
            <w:shd w:val="clear" w:color="auto" w:fill="auto"/>
            <w:vAlign w:val="center"/>
            <w:hideMark/>
          </w:tcPr>
          <w:p w14:paraId="3CC0993B" w14:textId="1100C5B6" w:rsidR="002B392F" w:rsidRPr="00FD7B0B" w:rsidRDefault="002B392F" w:rsidP="00123E3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выпол</w:t>
            </w:r>
            <w:r w:rsidR="00123E3C" w:rsidRPr="00FD7B0B">
              <w:rPr>
                <w:rFonts w:ascii="Times New Roman" w:eastAsia="Times New Roman" w:hAnsi="Times New Roman" w:cs="Times New Roman"/>
                <w:sz w:val="20"/>
                <w:szCs w:val="20"/>
                <w:lang w:eastAsia="ru-RU"/>
              </w:rPr>
              <w:t>н.</w:t>
            </w:r>
            <w:r w:rsidRPr="00FD7B0B">
              <w:rPr>
                <w:rFonts w:ascii="Times New Roman" w:eastAsia="Times New Roman" w:hAnsi="Times New Roman" w:cs="Times New Roman"/>
                <w:sz w:val="20"/>
                <w:szCs w:val="20"/>
                <w:lang w:eastAsia="ru-RU"/>
              </w:rPr>
              <w:t xml:space="preserve"> </w:t>
            </w:r>
          </w:p>
        </w:tc>
      </w:tr>
      <w:tr w:rsidR="00FD7B0B" w:rsidRPr="00FD7B0B" w14:paraId="5B166330" w14:textId="77777777" w:rsidTr="00123E3C">
        <w:trPr>
          <w:trHeight w:val="58"/>
        </w:trPr>
        <w:tc>
          <w:tcPr>
            <w:tcW w:w="5080" w:type="dxa"/>
            <w:tcBorders>
              <w:top w:val="nil"/>
              <w:left w:val="double" w:sz="6" w:space="0" w:color="auto"/>
              <w:bottom w:val="single" w:sz="4" w:space="0" w:color="auto"/>
              <w:right w:val="single" w:sz="4" w:space="0" w:color="auto"/>
            </w:tcBorders>
            <w:shd w:val="clear" w:color="auto" w:fill="auto"/>
            <w:vAlign w:val="center"/>
          </w:tcPr>
          <w:p w14:paraId="35EFF727" w14:textId="77777777" w:rsidR="002B392F" w:rsidRPr="00FD7B0B" w:rsidRDefault="002B392F" w:rsidP="00D93E1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 из них</w:t>
            </w:r>
          </w:p>
        </w:tc>
        <w:tc>
          <w:tcPr>
            <w:tcW w:w="1256" w:type="dxa"/>
            <w:tcBorders>
              <w:top w:val="nil"/>
              <w:left w:val="nil"/>
              <w:bottom w:val="single" w:sz="4" w:space="0" w:color="auto"/>
              <w:right w:val="single" w:sz="4" w:space="0" w:color="auto"/>
            </w:tcBorders>
            <w:shd w:val="clear" w:color="auto" w:fill="auto"/>
            <w:vAlign w:val="center"/>
          </w:tcPr>
          <w:p w14:paraId="51E96EC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561,1</w:t>
            </w:r>
          </w:p>
        </w:tc>
        <w:tc>
          <w:tcPr>
            <w:tcW w:w="1117" w:type="dxa"/>
            <w:tcBorders>
              <w:top w:val="nil"/>
              <w:left w:val="nil"/>
              <w:bottom w:val="single" w:sz="4" w:space="0" w:color="auto"/>
              <w:right w:val="single" w:sz="4" w:space="0" w:color="auto"/>
            </w:tcBorders>
            <w:shd w:val="clear" w:color="auto" w:fill="auto"/>
            <w:vAlign w:val="center"/>
          </w:tcPr>
          <w:p w14:paraId="034CB44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637,7</w:t>
            </w:r>
          </w:p>
        </w:tc>
        <w:tc>
          <w:tcPr>
            <w:tcW w:w="1159" w:type="dxa"/>
            <w:tcBorders>
              <w:top w:val="nil"/>
              <w:left w:val="nil"/>
              <w:bottom w:val="single" w:sz="4" w:space="0" w:color="auto"/>
              <w:right w:val="single" w:sz="4" w:space="0" w:color="auto"/>
            </w:tcBorders>
            <w:shd w:val="clear" w:color="auto" w:fill="auto"/>
            <w:vAlign w:val="center"/>
          </w:tcPr>
          <w:p w14:paraId="30AD8AD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636,8</w:t>
            </w:r>
          </w:p>
        </w:tc>
        <w:tc>
          <w:tcPr>
            <w:tcW w:w="968" w:type="dxa"/>
            <w:tcBorders>
              <w:top w:val="nil"/>
              <w:left w:val="nil"/>
              <w:bottom w:val="single" w:sz="4" w:space="0" w:color="auto"/>
              <w:right w:val="double" w:sz="6" w:space="0" w:color="auto"/>
            </w:tcBorders>
            <w:shd w:val="clear" w:color="auto" w:fill="auto"/>
            <w:vAlign w:val="center"/>
          </w:tcPr>
          <w:p w14:paraId="0CB3718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75C26DF6" w14:textId="77777777" w:rsidTr="00123E3C">
        <w:trPr>
          <w:trHeight w:val="387"/>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04E815E9" w14:textId="77777777" w:rsidR="002B392F" w:rsidRPr="00FD7B0B" w:rsidRDefault="002B392F" w:rsidP="00D93E1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Средства на оплату путевок для детей, в том числе находящихся в трудной жизненной ситуации, детей, имеющих хронические заболевания</w:t>
            </w:r>
            <w:r w:rsidRPr="00FD7B0B">
              <w:rPr>
                <w:rFonts w:ascii="Times New Roman" w:eastAsia="Times New Roman" w:hAnsi="Times New Roman" w:cs="Times New Roman"/>
                <w:i/>
                <w:iCs/>
                <w:sz w:val="20"/>
                <w:szCs w:val="20"/>
                <w:lang w:eastAsia="ru-RU"/>
              </w:rPr>
              <w:t xml:space="preserve"> </w:t>
            </w:r>
          </w:p>
        </w:tc>
        <w:tc>
          <w:tcPr>
            <w:tcW w:w="1256" w:type="dxa"/>
            <w:tcBorders>
              <w:top w:val="nil"/>
              <w:left w:val="nil"/>
              <w:bottom w:val="single" w:sz="4" w:space="0" w:color="auto"/>
              <w:right w:val="single" w:sz="4" w:space="0" w:color="auto"/>
            </w:tcBorders>
            <w:shd w:val="clear" w:color="auto" w:fill="auto"/>
            <w:vAlign w:val="center"/>
            <w:hideMark/>
          </w:tcPr>
          <w:p w14:paraId="569D4D9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377,4</w:t>
            </w:r>
          </w:p>
        </w:tc>
        <w:tc>
          <w:tcPr>
            <w:tcW w:w="1117" w:type="dxa"/>
            <w:tcBorders>
              <w:top w:val="nil"/>
              <w:left w:val="nil"/>
              <w:bottom w:val="single" w:sz="4" w:space="0" w:color="auto"/>
              <w:right w:val="single" w:sz="4" w:space="0" w:color="auto"/>
            </w:tcBorders>
            <w:shd w:val="clear" w:color="auto" w:fill="auto"/>
            <w:vAlign w:val="center"/>
            <w:hideMark/>
          </w:tcPr>
          <w:p w14:paraId="6BB620F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406,0</w:t>
            </w:r>
          </w:p>
        </w:tc>
        <w:tc>
          <w:tcPr>
            <w:tcW w:w="1159" w:type="dxa"/>
            <w:tcBorders>
              <w:top w:val="nil"/>
              <w:left w:val="nil"/>
              <w:bottom w:val="single" w:sz="4" w:space="0" w:color="auto"/>
              <w:right w:val="single" w:sz="4" w:space="0" w:color="auto"/>
            </w:tcBorders>
            <w:shd w:val="clear" w:color="auto" w:fill="auto"/>
            <w:vAlign w:val="center"/>
            <w:hideMark/>
          </w:tcPr>
          <w:p w14:paraId="451BD41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405,1</w:t>
            </w:r>
          </w:p>
        </w:tc>
        <w:tc>
          <w:tcPr>
            <w:tcW w:w="968" w:type="dxa"/>
            <w:tcBorders>
              <w:top w:val="nil"/>
              <w:left w:val="nil"/>
              <w:bottom w:val="single" w:sz="4" w:space="0" w:color="auto"/>
              <w:right w:val="double" w:sz="6" w:space="0" w:color="auto"/>
            </w:tcBorders>
            <w:shd w:val="clear" w:color="auto" w:fill="auto"/>
            <w:vAlign w:val="center"/>
            <w:hideMark/>
          </w:tcPr>
          <w:p w14:paraId="57A5267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r>
      <w:tr w:rsidR="00FD7B0B" w:rsidRPr="00FD7B0B" w14:paraId="73EAE6F3" w14:textId="77777777" w:rsidTr="00123E3C">
        <w:trPr>
          <w:trHeight w:val="763"/>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3F016D6E" w14:textId="77777777" w:rsidR="002B392F" w:rsidRPr="00FD7B0B" w:rsidRDefault="002B392F" w:rsidP="00D93E1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Общий размер межбюджетных трансфертов из областного бюджета органам местного самоуправления муниципальных образований на организацию отдыха детей в каникулярное время </w:t>
            </w:r>
          </w:p>
        </w:tc>
        <w:tc>
          <w:tcPr>
            <w:tcW w:w="1256" w:type="dxa"/>
            <w:tcBorders>
              <w:top w:val="nil"/>
              <w:left w:val="nil"/>
              <w:bottom w:val="single" w:sz="4" w:space="0" w:color="auto"/>
              <w:right w:val="single" w:sz="4" w:space="0" w:color="auto"/>
            </w:tcBorders>
            <w:shd w:val="clear" w:color="auto" w:fill="auto"/>
            <w:vAlign w:val="center"/>
            <w:hideMark/>
          </w:tcPr>
          <w:p w14:paraId="34CFE09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76,7</w:t>
            </w:r>
          </w:p>
        </w:tc>
        <w:tc>
          <w:tcPr>
            <w:tcW w:w="1117" w:type="dxa"/>
            <w:tcBorders>
              <w:top w:val="nil"/>
              <w:left w:val="nil"/>
              <w:bottom w:val="single" w:sz="4" w:space="0" w:color="auto"/>
              <w:right w:val="single" w:sz="4" w:space="0" w:color="auto"/>
            </w:tcBorders>
            <w:shd w:val="clear" w:color="auto" w:fill="auto"/>
            <w:vAlign w:val="center"/>
            <w:hideMark/>
          </w:tcPr>
          <w:p w14:paraId="25E6D8B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79,7</w:t>
            </w:r>
          </w:p>
        </w:tc>
        <w:tc>
          <w:tcPr>
            <w:tcW w:w="1159" w:type="dxa"/>
            <w:tcBorders>
              <w:top w:val="nil"/>
              <w:left w:val="nil"/>
              <w:bottom w:val="single" w:sz="4" w:space="0" w:color="auto"/>
              <w:right w:val="single" w:sz="4" w:space="0" w:color="auto"/>
            </w:tcBorders>
            <w:shd w:val="clear" w:color="auto" w:fill="auto"/>
            <w:vAlign w:val="center"/>
            <w:hideMark/>
          </w:tcPr>
          <w:p w14:paraId="2414CD9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79,7</w:t>
            </w:r>
          </w:p>
        </w:tc>
        <w:tc>
          <w:tcPr>
            <w:tcW w:w="968" w:type="dxa"/>
            <w:tcBorders>
              <w:top w:val="nil"/>
              <w:left w:val="nil"/>
              <w:bottom w:val="single" w:sz="4" w:space="0" w:color="auto"/>
              <w:right w:val="double" w:sz="6" w:space="0" w:color="auto"/>
            </w:tcBorders>
            <w:shd w:val="clear" w:color="auto" w:fill="auto"/>
            <w:vAlign w:val="center"/>
            <w:hideMark/>
          </w:tcPr>
          <w:p w14:paraId="4D20871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234C4C1" w14:textId="77777777" w:rsidTr="00123E3C">
        <w:trPr>
          <w:trHeight w:val="508"/>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15AAEC92" w14:textId="77777777" w:rsidR="002B392F" w:rsidRPr="00FD7B0B" w:rsidRDefault="002B392F" w:rsidP="00D93E1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Организация отдыха и оздоровления детей, находящихся в трудной жизненной ситуации, в ГАУ АО «ЦТО «Северный Артек»</w:t>
            </w:r>
          </w:p>
        </w:tc>
        <w:tc>
          <w:tcPr>
            <w:tcW w:w="1256" w:type="dxa"/>
            <w:tcBorders>
              <w:top w:val="nil"/>
              <w:left w:val="nil"/>
              <w:bottom w:val="single" w:sz="4" w:space="0" w:color="auto"/>
              <w:right w:val="single" w:sz="4" w:space="0" w:color="auto"/>
            </w:tcBorders>
            <w:shd w:val="clear" w:color="auto" w:fill="auto"/>
            <w:vAlign w:val="center"/>
            <w:hideMark/>
          </w:tcPr>
          <w:p w14:paraId="59424CE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39,9</w:t>
            </w:r>
          </w:p>
        </w:tc>
        <w:tc>
          <w:tcPr>
            <w:tcW w:w="1117" w:type="dxa"/>
            <w:tcBorders>
              <w:top w:val="nil"/>
              <w:left w:val="nil"/>
              <w:bottom w:val="single" w:sz="4" w:space="0" w:color="auto"/>
              <w:right w:val="single" w:sz="4" w:space="0" w:color="auto"/>
            </w:tcBorders>
            <w:shd w:val="clear" w:color="auto" w:fill="auto"/>
            <w:vAlign w:val="center"/>
            <w:hideMark/>
          </w:tcPr>
          <w:p w14:paraId="5F8DAFD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39,0</w:t>
            </w:r>
          </w:p>
        </w:tc>
        <w:tc>
          <w:tcPr>
            <w:tcW w:w="1159" w:type="dxa"/>
            <w:tcBorders>
              <w:top w:val="nil"/>
              <w:left w:val="nil"/>
              <w:bottom w:val="single" w:sz="4" w:space="0" w:color="auto"/>
              <w:right w:val="single" w:sz="4" w:space="0" w:color="auto"/>
            </w:tcBorders>
            <w:shd w:val="clear" w:color="auto" w:fill="auto"/>
            <w:vAlign w:val="center"/>
            <w:hideMark/>
          </w:tcPr>
          <w:p w14:paraId="599F5DC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39,0</w:t>
            </w:r>
          </w:p>
        </w:tc>
        <w:tc>
          <w:tcPr>
            <w:tcW w:w="968" w:type="dxa"/>
            <w:tcBorders>
              <w:top w:val="nil"/>
              <w:left w:val="nil"/>
              <w:bottom w:val="single" w:sz="4" w:space="0" w:color="auto"/>
              <w:right w:val="double" w:sz="6" w:space="0" w:color="auto"/>
            </w:tcBorders>
            <w:shd w:val="clear" w:color="auto" w:fill="auto"/>
            <w:vAlign w:val="center"/>
            <w:hideMark/>
          </w:tcPr>
          <w:p w14:paraId="51DCE47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C05CCA1" w14:textId="77777777" w:rsidTr="00123E3C">
        <w:trPr>
          <w:trHeight w:val="763"/>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5D6CE3B2" w14:textId="77777777" w:rsidR="002B392F" w:rsidRPr="00FD7B0B" w:rsidRDefault="002B392F" w:rsidP="00D93E1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Организация и обеспечение сопровождения к месту отдыха и оздоровления детей, находящихся в трудной жизненной ситуации, в составе организованной группы и обратно</w:t>
            </w:r>
          </w:p>
        </w:tc>
        <w:tc>
          <w:tcPr>
            <w:tcW w:w="1256" w:type="dxa"/>
            <w:tcBorders>
              <w:top w:val="nil"/>
              <w:left w:val="nil"/>
              <w:bottom w:val="single" w:sz="4" w:space="0" w:color="auto"/>
              <w:right w:val="single" w:sz="4" w:space="0" w:color="auto"/>
            </w:tcBorders>
            <w:shd w:val="clear" w:color="auto" w:fill="auto"/>
            <w:vAlign w:val="center"/>
            <w:hideMark/>
          </w:tcPr>
          <w:p w14:paraId="35681DB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0,3</w:t>
            </w:r>
          </w:p>
        </w:tc>
        <w:tc>
          <w:tcPr>
            <w:tcW w:w="1117" w:type="dxa"/>
            <w:tcBorders>
              <w:top w:val="nil"/>
              <w:left w:val="nil"/>
              <w:bottom w:val="single" w:sz="4" w:space="0" w:color="auto"/>
              <w:right w:val="single" w:sz="4" w:space="0" w:color="auto"/>
            </w:tcBorders>
            <w:shd w:val="clear" w:color="auto" w:fill="auto"/>
            <w:vAlign w:val="center"/>
            <w:hideMark/>
          </w:tcPr>
          <w:p w14:paraId="764917E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w:t>
            </w:r>
          </w:p>
        </w:tc>
        <w:tc>
          <w:tcPr>
            <w:tcW w:w="1159" w:type="dxa"/>
            <w:tcBorders>
              <w:top w:val="nil"/>
              <w:left w:val="nil"/>
              <w:bottom w:val="single" w:sz="4" w:space="0" w:color="auto"/>
              <w:right w:val="single" w:sz="4" w:space="0" w:color="auto"/>
            </w:tcBorders>
            <w:shd w:val="clear" w:color="auto" w:fill="auto"/>
            <w:vAlign w:val="center"/>
            <w:hideMark/>
          </w:tcPr>
          <w:p w14:paraId="6D27B12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w:t>
            </w:r>
          </w:p>
        </w:tc>
        <w:tc>
          <w:tcPr>
            <w:tcW w:w="968" w:type="dxa"/>
            <w:tcBorders>
              <w:top w:val="nil"/>
              <w:left w:val="nil"/>
              <w:bottom w:val="single" w:sz="4" w:space="0" w:color="auto"/>
              <w:right w:val="double" w:sz="6" w:space="0" w:color="auto"/>
            </w:tcBorders>
            <w:shd w:val="clear" w:color="auto" w:fill="auto"/>
            <w:vAlign w:val="center"/>
            <w:hideMark/>
          </w:tcPr>
          <w:p w14:paraId="26C3AE6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53E7A577" w14:textId="77777777" w:rsidTr="00123E3C">
        <w:trPr>
          <w:trHeight w:val="1273"/>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45880CF6" w14:textId="77777777" w:rsidR="002B392F" w:rsidRPr="00FD7B0B" w:rsidRDefault="002B392F" w:rsidP="00D93E1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Проведение мероприятий в сфере отдыха детей и из оздоровления, в том числе регионального форума организатор Детского отдых «ЛЕТО ПЛЮС», а также проведение межрегионального практикума организаторов детского отдыха и участие в межрегиональных мероприятиях, посвященных вопросам организации детского отдыха</w:t>
            </w:r>
          </w:p>
        </w:tc>
        <w:tc>
          <w:tcPr>
            <w:tcW w:w="1256" w:type="dxa"/>
            <w:tcBorders>
              <w:top w:val="nil"/>
              <w:left w:val="nil"/>
              <w:bottom w:val="single" w:sz="4" w:space="0" w:color="auto"/>
              <w:right w:val="single" w:sz="4" w:space="0" w:color="auto"/>
            </w:tcBorders>
            <w:shd w:val="clear" w:color="auto" w:fill="auto"/>
            <w:vAlign w:val="center"/>
            <w:hideMark/>
          </w:tcPr>
          <w:p w14:paraId="0F66165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w:t>
            </w:r>
          </w:p>
        </w:tc>
        <w:tc>
          <w:tcPr>
            <w:tcW w:w="1117" w:type="dxa"/>
            <w:tcBorders>
              <w:top w:val="nil"/>
              <w:left w:val="nil"/>
              <w:bottom w:val="single" w:sz="4" w:space="0" w:color="auto"/>
              <w:right w:val="single" w:sz="4" w:space="0" w:color="auto"/>
            </w:tcBorders>
            <w:shd w:val="clear" w:color="auto" w:fill="auto"/>
            <w:vAlign w:val="center"/>
            <w:hideMark/>
          </w:tcPr>
          <w:p w14:paraId="5A74647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w:t>
            </w:r>
          </w:p>
        </w:tc>
        <w:tc>
          <w:tcPr>
            <w:tcW w:w="1159" w:type="dxa"/>
            <w:tcBorders>
              <w:top w:val="nil"/>
              <w:left w:val="nil"/>
              <w:bottom w:val="single" w:sz="4" w:space="0" w:color="auto"/>
              <w:right w:val="single" w:sz="4" w:space="0" w:color="auto"/>
            </w:tcBorders>
            <w:shd w:val="clear" w:color="auto" w:fill="auto"/>
            <w:vAlign w:val="center"/>
            <w:hideMark/>
          </w:tcPr>
          <w:p w14:paraId="3E4021E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w:t>
            </w:r>
          </w:p>
        </w:tc>
        <w:tc>
          <w:tcPr>
            <w:tcW w:w="968" w:type="dxa"/>
            <w:tcBorders>
              <w:top w:val="nil"/>
              <w:left w:val="nil"/>
              <w:bottom w:val="single" w:sz="4" w:space="0" w:color="auto"/>
              <w:right w:val="double" w:sz="6" w:space="0" w:color="auto"/>
            </w:tcBorders>
            <w:shd w:val="clear" w:color="auto" w:fill="auto"/>
            <w:vAlign w:val="center"/>
            <w:hideMark/>
          </w:tcPr>
          <w:p w14:paraId="3D612C2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DED6509" w14:textId="77777777" w:rsidTr="00123E3C">
        <w:trPr>
          <w:trHeight w:val="763"/>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78C3A323" w14:textId="77777777" w:rsidR="002B392F" w:rsidRPr="00FD7B0B" w:rsidRDefault="002B392F" w:rsidP="00D93E1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Оздоровление детей в оздоровительных лагерях с дневным пребыванием, лагерях палаточного типа, организованных государственными учреждениями социального обслуживания</w:t>
            </w:r>
          </w:p>
        </w:tc>
        <w:tc>
          <w:tcPr>
            <w:tcW w:w="1256" w:type="dxa"/>
            <w:tcBorders>
              <w:top w:val="nil"/>
              <w:left w:val="nil"/>
              <w:bottom w:val="single" w:sz="4" w:space="0" w:color="auto"/>
              <w:right w:val="single" w:sz="4" w:space="0" w:color="auto"/>
            </w:tcBorders>
            <w:shd w:val="clear" w:color="auto" w:fill="auto"/>
            <w:vAlign w:val="center"/>
            <w:hideMark/>
          </w:tcPr>
          <w:p w14:paraId="04567EE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4,9</w:t>
            </w:r>
          </w:p>
        </w:tc>
        <w:tc>
          <w:tcPr>
            <w:tcW w:w="1117" w:type="dxa"/>
            <w:tcBorders>
              <w:top w:val="nil"/>
              <w:left w:val="nil"/>
              <w:bottom w:val="single" w:sz="4" w:space="0" w:color="auto"/>
              <w:right w:val="single" w:sz="4" w:space="0" w:color="auto"/>
            </w:tcBorders>
            <w:shd w:val="clear" w:color="auto" w:fill="auto"/>
            <w:vAlign w:val="center"/>
            <w:hideMark/>
          </w:tcPr>
          <w:p w14:paraId="054F7A9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w:t>
            </w:r>
          </w:p>
        </w:tc>
        <w:tc>
          <w:tcPr>
            <w:tcW w:w="1159" w:type="dxa"/>
            <w:tcBorders>
              <w:top w:val="nil"/>
              <w:left w:val="nil"/>
              <w:bottom w:val="single" w:sz="4" w:space="0" w:color="auto"/>
              <w:right w:val="single" w:sz="4" w:space="0" w:color="auto"/>
            </w:tcBorders>
            <w:shd w:val="clear" w:color="auto" w:fill="auto"/>
            <w:vAlign w:val="center"/>
            <w:hideMark/>
          </w:tcPr>
          <w:p w14:paraId="551F242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w:t>
            </w:r>
          </w:p>
        </w:tc>
        <w:tc>
          <w:tcPr>
            <w:tcW w:w="968" w:type="dxa"/>
            <w:tcBorders>
              <w:top w:val="nil"/>
              <w:left w:val="nil"/>
              <w:bottom w:val="single" w:sz="4" w:space="0" w:color="auto"/>
              <w:right w:val="double" w:sz="6" w:space="0" w:color="auto"/>
            </w:tcBorders>
            <w:shd w:val="clear" w:color="auto" w:fill="auto"/>
            <w:vAlign w:val="center"/>
            <w:hideMark/>
          </w:tcPr>
          <w:p w14:paraId="26BA236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2B392F" w:rsidRPr="00FD7B0B" w14:paraId="3A7D3E70" w14:textId="77777777" w:rsidTr="00123E3C">
        <w:trPr>
          <w:trHeight w:val="269"/>
        </w:trPr>
        <w:tc>
          <w:tcPr>
            <w:tcW w:w="5080" w:type="dxa"/>
            <w:tcBorders>
              <w:top w:val="nil"/>
              <w:left w:val="double" w:sz="6" w:space="0" w:color="auto"/>
              <w:bottom w:val="double" w:sz="6" w:space="0" w:color="auto"/>
              <w:right w:val="single" w:sz="4" w:space="0" w:color="auto"/>
            </w:tcBorders>
            <w:shd w:val="clear" w:color="auto" w:fill="auto"/>
            <w:vAlign w:val="center"/>
          </w:tcPr>
          <w:p w14:paraId="2749E7B5" w14:textId="77777777" w:rsidR="002B392F" w:rsidRPr="00FD7B0B" w:rsidRDefault="002B392F" w:rsidP="00D93E1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Укрепление материально-технической базы организаций отдыха детей и их оздоровления, в том числе ГАУ АО «ЦТО «Северный Артек», «Альтаир»</w:t>
            </w:r>
          </w:p>
        </w:tc>
        <w:tc>
          <w:tcPr>
            <w:tcW w:w="1256" w:type="dxa"/>
            <w:tcBorders>
              <w:top w:val="nil"/>
              <w:left w:val="nil"/>
              <w:bottom w:val="double" w:sz="6" w:space="0" w:color="auto"/>
              <w:right w:val="single" w:sz="4" w:space="0" w:color="auto"/>
            </w:tcBorders>
            <w:shd w:val="clear" w:color="auto" w:fill="auto"/>
            <w:vAlign w:val="center"/>
          </w:tcPr>
          <w:p w14:paraId="594AD1A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58,9</w:t>
            </w:r>
          </w:p>
        </w:tc>
        <w:tc>
          <w:tcPr>
            <w:tcW w:w="1117" w:type="dxa"/>
            <w:tcBorders>
              <w:top w:val="nil"/>
              <w:left w:val="nil"/>
              <w:bottom w:val="double" w:sz="6" w:space="0" w:color="auto"/>
              <w:right w:val="single" w:sz="4" w:space="0" w:color="auto"/>
            </w:tcBorders>
            <w:shd w:val="clear" w:color="auto" w:fill="auto"/>
            <w:vAlign w:val="center"/>
          </w:tcPr>
          <w:p w14:paraId="26592D9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101,1</w:t>
            </w:r>
          </w:p>
        </w:tc>
        <w:tc>
          <w:tcPr>
            <w:tcW w:w="1159" w:type="dxa"/>
            <w:tcBorders>
              <w:top w:val="nil"/>
              <w:left w:val="nil"/>
              <w:bottom w:val="double" w:sz="6" w:space="0" w:color="auto"/>
              <w:right w:val="single" w:sz="4" w:space="0" w:color="auto"/>
            </w:tcBorders>
            <w:shd w:val="clear" w:color="auto" w:fill="auto"/>
            <w:vAlign w:val="center"/>
          </w:tcPr>
          <w:p w14:paraId="463799E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101,1</w:t>
            </w:r>
          </w:p>
        </w:tc>
        <w:tc>
          <w:tcPr>
            <w:tcW w:w="968" w:type="dxa"/>
            <w:tcBorders>
              <w:top w:val="nil"/>
              <w:left w:val="nil"/>
              <w:bottom w:val="double" w:sz="6" w:space="0" w:color="auto"/>
              <w:right w:val="double" w:sz="6" w:space="0" w:color="auto"/>
            </w:tcBorders>
            <w:shd w:val="clear" w:color="auto" w:fill="auto"/>
            <w:vAlign w:val="center"/>
          </w:tcPr>
          <w:p w14:paraId="5E172F4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bl>
    <w:p w14:paraId="71D11664" w14:textId="77777777" w:rsidR="002B392F" w:rsidRPr="00FD7B0B" w:rsidRDefault="002B392F" w:rsidP="002B392F">
      <w:pPr>
        <w:autoSpaceDE w:val="0"/>
        <w:autoSpaceDN w:val="0"/>
        <w:spacing w:after="0" w:line="240" w:lineRule="auto"/>
        <w:jc w:val="both"/>
        <w:rPr>
          <w:rFonts w:ascii="Times New Roman" w:hAnsi="Times New Roman" w:cs="Times New Roman"/>
          <w:sz w:val="28"/>
          <w:szCs w:val="28"/>
        </w:rPr>
      </w:pPr>
    </w:p>
    <w:p w14:paraId="7D54F402" w14:textId="730C18C0" w:rsidR="002B392F" w:rsidRPr="00FD7B0B" w:rsidRDefault="002B392F" w:rsidP="002B392F">
      <w:pPr>
        <w:pStyle w:val="a8"/>
        <w:ind w:left="0" w:firstLine="709"/>
        <w:jc w:val="both"/>
        <w:rPr>
          <w:sz w:val="28"/>
          <w:szCs w:val="28"/>
        </w:rPr>
      </w:pPr>
      <w:r w:rsidRPr="00FD7B0B">
        <w:rPr>
          <w:sz w:val="28"/>
          <w:szCs w:val="28"/>
        </w:rPr>
        <w:t>Динамика фактического количества детей, отдохнувших в оздоровительных лагерях в 2017 – 2024 го</w:t>
      </w:r>
      <w:r w:rsidR="00D93E1E" w:rsidRPr="00FD7B0B">
        <w:rPr>
          <w:sz w:val="28"/>
          <w:szCs w:val="28"/>
        </w:rPr>
        <w:t xml:space="preserve">дах представлена на рисунке </w:t>
      </w:r>
      <w:r w:rsidR="001358BD" w:rsidRPr="00FD7B0B">
        <w:rPr>
          <w:sz w:val="28"/>
          <w:szCs w:val="28"/>
        </w:rPr>
        <w:t>13</w:t>
      </w:r>
      <w:r w:rsidR="00D93E1E" w:rsidRPr="00FD7B0B">
        <w:rPr>
          <w:sz w:val="28"/>
          <w:szCs w:val="28"/>
        </w:rPr>
        <w:t>.</w:t>
      </w:r>
    </w:p>
    <w:p w14:paraId="5D2E3E67" w14:textId="1C8B4C8E" w:rsidR="00D93E1E" w:rsidRPr="00FD7B0B" w:rsidRDefault="00D93E1E" w:rsidP="00D93E1E">
      <w:pPr>
        <w:jc w:val="center"/>
        <w:rPr>
          <w:sz w:val="28"/>
          <w:szCs w:val="28"/>
        </w:rPr>
      </w:pPr>
      <w:r w:rsidRPr="00FD7B0B">
        <w:rPr>
          <w:noProof/>
          <w:sz w:val="28"/>
          <w:szCs w:val="28"/>
          <w:lang w:eastAsia="ru-RU"/>
        </w:rPr>
        <w:drawing>
          <wp:inline distT="0" distB="0" distL="0" distR="0" wp14:anchorId="0A611C46" wp14:editId="684ACFE3">
            <wp:extent cx="5476621" cy="1843998"/>
            <wp:effectExtent l="0" t="0" r="0" b="444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7414" cy="1847632"/>
                    </a:xfrm>
                    <a:prstGeom prst="rect">
                      <a:avLst/>
                    </a:prstGeom>
                    <a:noFill/>
                  </pic:spPr>
                </pic:pic>
              </a:graphicData>
            </a:graphic>
          </wp:inline>
        </w:drawing>
      </w:r>
    </w:p>
    <w:p w14:paraId="140DAD3F" w14:textId="77777777" w:rsidR="002B392F" w:rsidRPr="00FD7B0B" w:rsidRDefault="002B392F" w:rsidP="002B392F">
      <w:pPr>
        <w:pStyle w:val="a8"/>
        <w:ind w:left="0"/>
      </w:pPr>
      <w:r w:rsidRPr="00FD7B0B">
        <w:t xml:space="preserve">Рисунок </w:t>
      </w:r>
      <w:r w:rsidRPr="00FD7B0B">
        <w:rPr>
          <w:noProof/>
        </w:rPr>
        <w:fldChar w:fldCharType="begin"/>
      </w:r>
      <w:r w:rsidRPr="00FD7B0B">
        <w:rPr>
          <w:noProof/>
        </w:rPr>
        <w:instrText xml:space="preserve"> SEQ Рисунок \* ARABIC </w:instrText>
      </w:r>
      <w:r w:rsidRPr="00FD7B0B">
        <w:rPr>
          <w:noProof/>
        </w:rPr>
        <w:fldChar w:fldCharType="separate"/>
      </w:r>
      <w:r w:rsidR="002959CD" w:rsidRPr="00FD7B0B">
        <w:rPr>
          <w:noProof/>
        </w:rPr>
        <w:t>13</w:t>
      </w:r>
      <w:r w:rsidRPr="00FD7B0B">
        <w:rPr>
          <w:noProof/>
        </w:rPr>
        <w:fldChar w:fldCharType="end"/>
      </w:r>
      <w:r w:rsidRPr="00FD7B0B">
        <w:t>. Динамика фактического количества детей, отдохнувших в оздоровительных лагерях в 2017-2024 годах</w:t>
      </w:r>
    </w:p>
    <w:p w14:paraId="6BBBFE7C" w14:textId="77777777" w:rsidR="002B392F" w:rsidRPr="00FD7B0B" w:rsidRDefault="002B392F" w:rsidP="002B392F">
      <w:pPr>
        <w:pStyle w:val="aff0"/>
        <w:spacing w:after="0" w:line="240" w:lineRule="auto"/>
        <w:ind w:firstLine="720"/>
        <w:jc w:val="both"/>
        <w:rPr>
          <w:rFonts w:ascii="Times New Roman" w:hAnsi="Times New Roman"/>
          <w:b w:val="0"/>
          <w:sz w:val="24"/>
          <w:szCs w:val="24"/>
        </w:rPr>
      </w:pPr>
    </w:p>
    <w:p w14:paraId="261EC885" w14:textId="191620AB" w:rsidR="002B392F" w:rsidRPr="00FD7B0B" w:rsidRDefault="002B392F" w:rsidP="002B392F">
      <w:pPr>
        <w:pStyle w:val="ConsPlusNonformat"/>
        <w:tabs>
          <w:tab w:val="left" w:pos="1080"/>
        </w:tabs>
        <w:ind w:firstLine="709"/>
        <w:jc w:val="both"/>
        <w:rPr>
          <w:rFonts w:ascii="Times New Roman" w:hAnsi="Times New Roman" w:cs="Times New Roman"/>
          <w:spacing w:val="-4"/>
          <w:sz w:val="28"/>
          <w:szCs w:val="28"/>
        </w:rPr>
      </w:pPr>
      <w:r w:rsidRPr="00FD7B0B">
        <w:rPr>
          <w:rFonts w:ascii="Times New Roman" w:hAnsi="Times New Roman" w:cs="Times New Roman"/>
          <w:sz w:val="28"/>
          <w:szCs w:val="28"/>
        </w:rPr>
        <w:t>Расходы КПМ «</w:t>
      </w:r>
      <w:r w:rsidRPr="00FD7B0B">
        <w:rPr>
          <w:rFonts w:ascii="Times New Roman" w:hAnsi="Times New Roman" w:cs="Times New Roman"/>
          <w:bCs/>
          <w:sz w:val="28"/>
          <w:szCs w:val="28"/>
        </w:rPr>
        <w:t>Семья и дети в Архангельской области</w:t>
      </w:r>
      <w:r w:rsidRPr="00FD7B0B">
        <w:rPr>
          <w:rFonts w:ascii="Times New Roman" w:hAnsi="Times New Roman" w:cs="Times New Roman"/>
          <w:sz w:val="28"/>
          <w:szCs w:val="28"/>
        </w:rPr>
        <w:t>» за 2</w:t>
      </w:r>
      <w:r w:rsidRPr="00FD7B0B">
        <w:rPr>
          <w:rFonts w:ascii="Times New Roman" w:hAnsi="Times New Roman" w:cs="Times New Roman"/>
          <w:spacing w:val="-4"/>
          <w:sz w:val="28"/>
          <w:szCs w:val="28"/>
        </w:rPr>
        <w:t>024 год составили 111,1 млн.руб. из 111,1 млн.руб. (100</w:t>
      </w:r>
      <w:r w:rsidR="00D93E1E" w:rsidRPr="00FD7B0B">
        <w:rPr>
          <w:rFonts w:ascii="Times New Roman" w:hAnsi="Times New Roman" w:cs="Times New Roman"/>
          <w:spacing w:val="-4"/>
          <w:sz w:val="28"/>
          <w:szCs w:val="28"/>
        </w:rPr>
        <w:t xml:space="preserve"> </w:t>
      </w:r>
      <w:r w:rsidRPr="00FD7B0B">
        <w:rPr>
          <w:rFonts w:ascii="Times New Roman" w:hAnsi="Times New Roman" w:cs="Times New Roman"/>
          <w:spacing w:val="-4"/>
          <w:sz w:val="28"/>
          <w:szCs w:val="28"/>
        </w:rPr>
        <w:t>%) за счет областного бюджета, осуществлялась реализация 17 мероприятий.</w:t>
      </w:r>
    </w:p>
    <w:p w14:paraId="05FF5855" w14:textId="77777777" w:rsidR="002B392F" w:rsidRPr="00FD7B0B" w:rsidRDefault="002B392F" w:rsidP="002B392F">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Двумя учреждениями приобретены автомобили на общую сумму 3,4 млн.руб., три учреждения приобрели комплектующие (материальные запасы) </w:t>
      </w:r>
      <w:r w:rsidRPr="00FD7B0B">
        <w:rPr>
          <w:rFonts w:ascii="Times New Roman" w:hAnsi="Times New Roman" w:cs="Times New Roman"/>
          <w:sz w:val="28"/>
          <w:szCs w:val="28"/>
        </w:rPr>
        <w:lastRenderedPageBreak/>
        <w:t>для автомобилей на 0,5 млн.руб., пять учреждений провели работы по ремонту имеющегося автотранспорта на общую сумму 0,4 млн.руб., закуплено оборудование и мебель для оснащения комнат психологической разгрузки в двух учреждениях на 0,2 млн.руб.</w:t>
      </w:r>
    </w:p>
    <w:p w14:paraId="2FEC6954" w14:textId="77777777" w:rsidR="002B392F" w:rsidRPr="00FD7B0B" w:rsidRDefault="002B392F" w:rsidP="002B392F">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pacing w:val="-4"/>
          <w:sz w:val="28"/>
          <w:szCs w:val="28"/>
        </w:rPr>
        <w:t xml:space="preserve">На организацию работы пункта проката предметов первой необходимости, в том числе для новорожденных, двум учреждениям выделено 305,0 тыс.руб., расходы произведены на сумму 26,0 тыс.руб. (исполнение 8,5 %), остаток 279,0 тыс.руб. в связи с выделением средств ГБКУ АО «Котласский центр социальной помощи семье и детям «Маяк» в конце декабря 2024 года для реализации мероприятий в 2025 году. В 2024 году </w:t>
      </w:r>
      <w:r w:rsidRPr="00FD7B0B">
        <w:rPr>
          <w:rFonts w:ascii="Times New Roman" w:hAnsi="Times New Roman" w:cs="Times New Roman"/>
          <w:sz w:val="28"/>
          <w:szCs w:val="28"/>
        </w:rPr>
        <w:t>воспользовались услугами пунктов проката предметов первой необходимости, в том числе для новорожденных 33 человека.</w:t>
      </w:r>
    </w:p>
    <w:p w14:paraId="1B919B0D" w14:textId="77777777" w:rsidR="002B392F" w:rsidRPr="00FD7B0B" w:rsidRDefault="002B392F" w:rsidP="002B392F">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На базе 4 организаций социального обслуживания семьи и детей обеспечена деятельность служб социализации несовершеннолетних, вступивших в конфликт с законом, помощь оказана 273 несовершеннолетним, в 7 службах примирения оказана помощь 268 заявителям, на учете на 01.01.2025 состоит 1 496 семей в категории «семья, находящаяся в социально опасном положении», вновь поставлено на учет в отчетном году – 910 семей, оказано 2028 консультаций в части квалифицированной психологической помощи, детям, находящимся в трудной жизненной ситуации, службой детского телефона доверия в 3 государственных учреждениях социального обслуживания семьи и детей, в рамках деятельности службы социальных участковых и выездных служб тремя учреждениями осуществлено 5 выездов на отдаленные территории в целях оказания комплексной помощи семьям, оказавшимся в трудной жизненной ситуации, на базе 6 учреждений организована работа служб, осуществляющих социальное сопровождение семей с детьми, в том числе подвергшихся жестокому обращению, помощь получили 214 человек.</w:t>
      </w:r>
    </w:p>
    <w:p w14:paraId="3BF60BE7" w14:textId="77777777" w:rsidR="002B392F" w:rsidRPr="00FD7B0B" w:rsidRDefault="002B392F" w:rsidP="002B392F">
      <w:pPr>
        <w:widowControl w:val="0"/>
        <w:tabs>
          <w:tab w:val="left" w:pos="993"/>
        </w:tabs>
        <w:autoSpaceDE w:val="0"/>
        <w:autoSpaceDN w:val="0"/>
        <w:spacing w:after="0" w:line="240" w:lineRule="auto"/>
        <w:ind w:firstLine="709"/>
        <w:contextualSpacing/>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рамках </w:t>
      </w:r>
      <w:r w:rsidRPr="00FD7B0B">
        <w:rPr>
          <w:rFonts w:ascii="Times New Roman" w:eastAsia="Calibri" w:hAnsi="Times New Roman" w:cs="Times New Roman"/>
          <w:spacing w:val="-4"/>
          <w:sz w:val="28"/>
          <w:szCs w:val="28"/>
        </w:rPr>
        <w:t>КПМ «</w:t>
      </w:r>
      <w:r w:rsidRPr="00FD7B0B">
        <w:rPr>
          <w:rFonts w:ascii="Times New Roman" w:hAnsi="Times New Roman" w:cs="Times New Roman"/>
          <w:bCs/>
          <w:sz w:val="28"/>
          <w:szCs w:val="28"/>
        </w:rPr>
        <w:t>Доступная среда</w:t>
      </w:r>
      <w:r w:rsidRPr="00FD7B0B">
        <w:rPr>
          <w:rFonts w:ascii="Times New Roman" w:hAnsi="Times New Roman" w:cs="Times New Roman"/>
          <w:sz w:val="28"/>
          <w:szCs w:val="28"/>
          <w:lang w:eastAsia="zh-CN"/>
        </w:rPr>
        <w:t xml:space="preserve">» в 2024 году </w:t>
      </w:r>
      <w:r w:rsidRPr="00FD7B0B">
        <w:rPr>
          <w:rFonts w:ascii="Times New Roman" w:eastAsia="Calibri" w:hAnsi="Times New Roman" w:cs="Times New Roman"/>
          <w:sz w:val="28"/>
          <w:szCs w:val="28"/>
        </w:rPr>
        <w:t xml:space="preserve">осуществлялась реализация 20 мероприятий, </w:t>
      </w:r>
      <w:r w:rsidRPr="00FD7B0B">
        <w:rPr>
          <w:rFonts w:ascii="Times New Roman" w:eastAsia="Times New Roman" w:hAnsi="Times New Roman" w:cs="Times New Roman"/>
          <w:sz w:val="28"/>
          <w:szCs w:val="28"/>
          <w:lang w:eastAsia="ru-RU"/>
        </w:rPr>
        <w:t>кассовые расходы</w:t>
      </w:r>
      <w:r w:rsidRPr="00FD7B0B">
        <w:rPr>
          <w:rFonts w:ascii="Times New Roman" w:hAnsi="Times New Roman" w:cs="Times New Roman"/>
          <w:sz w:val="28"/>
          <w:szCs w:val="28"/>
        </w:rPr>
        <w:t xml:space="preserve"> составили 25,3 млн.руб. из 25,4 млн.руб. </w:t>
      </w:r>
      <w:r w:rsidRPr="00FD7B0B">
        <w:rPr>
          <w:rFonts w:ascii="Times New Roman" w:hAnsi="Times New Roman"/>
          <w:spacing w:val="-4"/>
          <w:sz w:val="28"/>
          <w:szCs w:val="28"/>
        </w:rPr>
        <w:t>С целью обеспечения беспрепятственного доступа инвалидов и других маломобильных групп населения к объектам социальной инфраструктуры доо</w:t>
      </w:r>
      <w:r w:rsidRPr="00FD7B0B">
        <w:rPr>
          <w:rFonts w:ascii="Times New Roman" w:hAnsi="Times New Roman"/>
          <w:sz w:val="28"/>
          <w:szCs w:val="28"/>
        </w:rPr>
        <w:t xml:space="preserve">борудованы: три объекта, находящихся в сфере социального обслуживания и один объект в сфере культуры на сумму 4,5 млн.руб. </w:t>
      </w:r>
      <w:r w:rsidRPr="00FD7B0B">
        <w:rPr>
          <w:rFonts w:ascii="Times New Roman" w:eastAsia="Calibri" w:hAnsi="Times New Roman" w:cs="Times New Roman"/>
          <w:sz w:val="28"/>
          <w:szCs w:val="28"/>
        </w:rPr>
        <w:t>В 2024 году обеспечены инвалиды (дети-инвалиды) техническими средствами реабилитации, не входящими в федеральный перечень реабилитационных мероприятий технических средств реабилитации и услуг, предоставляемых инвалиду в  пяти учреждениях в количестве 550 чел., оснащены реабилитационным оборудованием организации, включенные в систему комплексной реабилитации и абилитации инвалидов и детей-инвалидов и приобретена компьютерная техника, оргтехника и программное обеспечение в 21 учреждении образования, культуры, центрах занятости и социального обслуживания.</w:t>
      </w:r>
    </w:p>
    <w:p w14:paraId="69337003" w14:textId="77777777" w:rsidR="002B392F" w:rsidRPr="00FD7B0B" w:rsidRDefault="002B392F" w:rsidP="002B392F">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отчетном периоде не выполнено два мероприятия </w:t>
      </w:r>
      <w:r w:rsidRPr="00FD7B0B">
        <w:rPr>
          <w:rFonts w:ascii="Times New Roman" w:eastAsia="Calibri" w:hAnsi="Times New Roman" w:cs="Times New Roman"/>
          <w:spacing w:val="-4"/>
          <w:sz w:val="28"/>
          <w:szCs w:val="28"/>
        </w:rPr>
        <w:t>КПМ «</w:t>
      </w:r>
      <w:r w:rsidRPr="00FD7B0B">
        <w:rPr>
          <w:rFonts w:ascii="Times New Roman" w:hAnsi="Times New Roman" w:cs="Times New Roman"/>
          <w:bCs/>
          <w:sz w:val="28"/>
          <w:szCs w:val="28"/>
        </w:rPr>
        <w:t>Доступная среда</w:t>
      </w:r>
      <w:r w:rsidRPr="00FD7B0B">
        <w:rPr>
          <w:rFonts w:ascii="Times New Roman" w:hAnsi="Times New Roman" w:cs="Times New Roman"/>
          <w:sz w:val="28"/>
          <w:szCs w:val="28"/>
          <w:lang w:eastAsia="zh-CN"/>
        </w:rPr>
        <w:t>»</w:t>
      </w:r>
      <w:r w:rsidRPr="00FD7B0B">
        <w:rPr>
          <w:rFonts w:ascii="Times New Roman" w:eastAsia="Times New Roman" w:hAnsi="Times New Roman"/>
          <w:sz w:val="28"/>
          <w:szCs w:val="28"/>
          <w:lang w:eastAsia="ru-RU"/>
        </w:rPr>
        <w:t>:</w:t>
      </w:r>
    </w:p>
    <w:tbl>
      <w:tblPr>
        <w:tblW w:w="9672" w:type="dxa"/>
        <w:tblInd w:w="-23" w:type="dxa"/>
        <w:tblLayout w:type="fixed"/>
        <w:tblLook w:val="04A0" w:firstRow="1" w:lastRow="0" w:firstColumn="1" w:lastColumn="0" w:noHBand="0" w:noVBand="1"/>
      </w:tblPr>
      <w:tblGrid>
        <w:gridCol w:w="3544"/>
        <w:gridCol w:w="1124"/>
        <w:gridCol w:w="1169"/>
        <w:gridCol w:w="731"/>
        <w:gridCol w:w="730"/>
        <w:gridCol w:w="2374"/>
      </w:tblGrid>
      <w:tr w:rsidR="00FD7B0B" w:rsidRPr="00FD7B0B" w14:paraId="72ECD59C" w14:textId="77777777" w:rsidTr="006D1A1B">
        <w:trPr>
          <w:trHeight w:val="865"/>
          <w:tblHeader/>
        </w:trPr>
        <w:tc>
          <w:tcPr>
            <w:tcW w:w="3544" w:type="dxa"/>
            <w:vMerge w:val="restart"/>
            <w:tcBorders>
              <w:top w:val="double" w:sz="6" w:space="0" w:color="auto"/>
              <w:left w:val="double" w:sz="6" w:space="0" w:color="auto"/>
              <w:bottom w:val="single" w:sz="4" w:space="0" w:color="auto"/>
              <w:right w:val="single" w:sz="4" w:space="0" w:color="auto"/>
            </w:tcBorders>
            <w:shd w:val="clear" w:color="000000" w:fill="FFFFFF"/>
            <w:vAlign w:val="center"/>
            <w:hideMark/>
          </w:tcPr>
          <w:p w14:paraId="6A07EB3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Наименование мероприятия (результата), контрольной точки</w:t>
            </w:r>
          </w:p>
        </w:tc>
        <w:tc>
          <w:tcPr>
            <w:tcW w:w="2293" w:type="dxa"/>
            <w:gridSpan w:val="2"/>
            <w:tcBorders>
              <w:top w:val="double" w:sz="6" w:space="0" w:color="auto"/>
              <w:left w:val="nil"/>
              <w:bottom w:val="single" w:sz="4" w:space="0" w:color="auto"/>
              <w:right w:val="single" w:sz="4" w:space="0" w:color="auto"/>
            </w:tcBorders>
            <w:shd w:val="clear" w:color="000000" w:fill="FFFFFF"/>
            <w:vAlign w:val="center"/>
            <w:hideMark/>
          </w:tcPr>
          <w:p w14:paraId="4CD779B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Срок окончания реализации мероприятия (результата),</w:t>
            </w:r>
          </w:p>
        </w:tc>
        <w:tc>
          <w:tcPr>
            <w:tcW w:w="1461" w:type="dxa"/>
            <w:gridSpan w:val="2"/>
            <w:tcBorders>
              <w:top w:val="double" w:sz="6" w:space="0" w:color="auto"/>
              <w:left w:val="nil"/>
              <w:bottom w:val="single" w:sz="4" w:space="0" w:color="auto"/>
              <w:right w:val="single" w:sz="4" w:space="0" w:color="auto"/>
            </w:tcBorders>
            <w:shd w:val="clear" w:color="000000" w:fill="FFFFFF"/>
            <w:vAlign w:val="center"/>
            <w:hideMark/>
          </w:tcPr>
          <w:p w14:paraId="016642E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Значение мероприятия (результата)</w:t>
            </w:r>
          </w:p>
        </w:tc>
        <w:tc>
          <w:tcPr>
            <w:tcW w:w="2374" w:type="dxa"/>
            <w:vMerge w:val="restart"/>
            <w:tcBorders>
              <w:top w:val="double" w:sz="6" w:space="0" w:color="auto"/>
              <w:left w:val="single" w:sz="4" w:space="0" w:color="auto"/>
              <w:bottom w:val="single" w:sz="4" w:space="0" w:color="auto"/>
              <w:right w:val="double" w:sz="6" w:space="0" w:color="auto"/>
            </w:tcBorders>
            <w:shd w:val="clear" w:color="000000" w:fill="FFFFFF"/>
            <w:vAlign w:val="center"/>
            <w:hideMark/>
          </w:tcPr>
          <w:p w14:paraId="4B22037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Причины нарушения исполнения мероприятия (результата), контрольной точки</w:t>
            </w:r>
          </w:p>
        </w:tc>
      </w:tr>
      <w:tr w:rsidR="00FD7B0B" w:rsidRPr="00FD7B0B" w14:paraId="56A03525" w14:textId="77777777" w:rsidTr="006D1A1B">
        <w:trPr>
          <w:trHeight w:val="129"/>
          <w:tblHeader/>
        </w:trPr>
        <w:tc>
          <w:tcPr>
            <w:tcW w:w="3544" w:type="dxa"/>
            <w:vMerge/>
            <w:tcBorders>
              <w:top w:val="double" w:sz="6" w:space="0" w:color="auto"/>
              <w:left w:val="double" w:sz="6" w:space="0" w:color="auto"/>
              <w:bottom w:val="single" w:sz="4" w:space="0" w:color="auto"/>
              <w:right w:val="single" w:sz="4" w:space="0" w:color="auto"/>
            </w:tcBorders>
            <w:vAlign w:val="center"/>
            <w:hideMark/>
          </w:tcPr>
          <w:p w14:paraId="02CBA901"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1124" w:type="dxa"/>
            <w:tcBorders>
              <w:top w:val="nil"/>
              <w:left w:val="nil"/>
              <w:bottom w:val="single" w:sz="4" w:space="0" w:color="auto"/>
              <w:right w:val="single" w:sz="4" w:space="0" w:color="auto"/>
            </w:tcBorders>
            <w:shd w:val="clear" w:color="000000" w:fill="FFFFFF"/>
            <w:vAlign w:val="center"/>
            <w:hideMark/>
          </w:tcPr>
          <w:p w14:paraId="5A1F2B0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1169" w:type="dxa"/>
            <w:tcBorders>
              <w:top w:val="nil"/>
              <w:left w:val="nil"/>
              <w:bottom w:val="single" w:sz="4" w:space="0" w:color="auto"/>
              <w:right w:val="single" w:sz="4" w:space="0" w:color="auto"/>
            </w:tcBorders>
            <w:shd w:val="clear" w:color="000000" w:fill="FFFFFF"/>
            <w:vAlign w:val="center"/>
            <w:hideMark/>
          </w:tcPr>
          <w:p w14:paraId="78C3B1E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w:t>
            </w:r>
          </w:p>
        </w:tc>
        <w:tc>
          <w:tcPr>
            <w:tcW w:w="731" w:type="dxa"/>
            <w:tcBorders>
              <w:top w:val="nil"/>
              <w:left w:val="nil"/>
              <w:bottom w:val="single" w:sz="4" w:space="0" w:color="auto"/>
              <w:right w:val="single" w:sz="4" w:space="0" w:color="auto"/>
            </w:tcBorders>
            <w:shd w:val="clear" w:color="000000" w:fill="FFFFFF"/>
            <w:vAlign w:val="center"/>
            <w:hideMark/>
          </w:tcPr>
          <w:p w14:paraId="068D828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730" w:type="dxa"/>
            <w:tcBorders>
              <w:top w:val="nil"/>
              <w:left w:val="nil"/>
              <w:bottom w:val="single" w:sz="4" w:space="0" w:color="auto"/>
              <w:right w:val="single" w:sz="4" w:space="0" w:color="auto"/>
            </w:tcBorders>
            <w:shd w:val="clear" w:color="000000" w:fill="FFFFFF"/>
            <w:vAlign w:val="center"/>
            <w:hideMark/>
          </w:tcPr>
          <w:p w14:paraId="7DD6309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w:t>
            </w:r>
          </w:p>
        </w:tc>
        <w:tc>
          <w:tcPr>
            <w:tcW w:w="2374" w:type="dxa"/>
            <w:vMerge/>
            <w:tcBorders>
              <w:top w:val="double" w:sz="6" w:space="0" w:color="auto"/>
              <w:left w:val="single" w:sz="4" w:space="0" w:color="auto"/>
              <w:bottom w:val="single" w:sz="4" w:space="0" w:color="auto"/>
              <w:right w:val="double" w:sz="6" w:space="0" w:color="auto"/>
            </w:tcBorders>
            <w:vAlign w:val="center"/>
            <w:hideMark/>
          </w:tcPr>
          <w:p w14:paraId="1D12003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r>
      <w:tr w:rsidR="00FD7B0B" w:rsidRPr="00FD7B0B" w14:paraId="21832AD0" w14:textId="77777777" w:rsidTr="006D1A1B">
        <w:trPr>
          <w:trHeight w:val="659"/>
        </w:trPr>
        <w:tc>
          <w:tcPr>
            <w:tcW w:w="3544" w:type="dxa"/>
            <w:tcBorders>
              <w:top w:val="nil"/>
              <w:left w:val="double" w:sz="6" w:space="0" w:color="auto"/>
              <w:bottom w:val="single" w:sz="4" w:space="0" w:color="auto"/>
              <w:right w:val="single" w:sz="4" w:space="0" w:color="auto"/>
            </w:tcBorders>
            <w:shd w:val="clear" w:color="000000" w:fill="FFFFFF"/>
            <w:vAlign w:val="center"/>
            <w:hideMark/>
          </w:tcPr>
          <w:p w14:paraId="5B23B87D" w14:textId="77777777" w:rsidR="002B392F" w:rsidRPr="00FD7B0B" w:rsidRDefault="002B392F" w:rsidP="006D1A1B">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lang w:eastAsia="ru-RU"/>
              </w:rPr>
              <w:t>1.3. Оказаны инвалидам по слуху консультационно-информационные услуги посредством сурдоперевода диспетчерскими центрами видеотелефонной связи для инвалидов, усл.ед.</w:t>
            </w:r>
          </w:p>
        </w:tc>
        <w:tc>
          <w:tcPr>
            <w:tcW w:w="1124" w:type="dxa"/>
            <w:tcBorders>
              <w:top w:val="nil"/>
              <w:left w:val="nil"/>
              <w:bottom w:val="single" w:sz="4" w:space="0" w:color="auto"/>
              <w:right w:val="single" w:sz="4" w:space="0" w:color="auto"/>
            </w:tcBorders>
            <w:shd w:val="clear" w:color="000000" w:fill="FFFFFF"/>
            <w:vAlign w:val="center"/>
            <w:hideMark/>
          </w:tcPr>
          <w:p w14:paraId="04696A6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31.12.2024</w:t>
            </w:r>
          </w:p>
        </w:tc>
        <w:tc>
          <w:tcPr>
            <w:tcW w:w="1169" w:type="dxa"/>
            <w:tcBorders>
              <w:top w:val="nil"/>
              <w:left w:val="nil"/>
              <w:bottom w:val="single" w:sz="4" w:space="0" w:color="auto"/>
              <w:right w:val="single" w:sz="4" w:space="0" w:color="auto"/>
            </w:tcBorders>
            <w:shd w:val="clear" w:color="000000" w:fill="FFFFFF"/>
            <w:vAlign w:val="center"/>
            <w:hideMark/>
          </w:tcPr>
          <w:p w14:paraId="5B23C6D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31.12.2024</w:t>
            </w:r>
          </w:p>
        </w:tc>
        <w:tc>
          <w:tcPr>
            <w:tcW w:w="731" w:type="dxa"/>
            <w:tcBorders>
              <w:top w:val="nil"/>
              <w:left w:val="nil"/>
              <w:bottom w:val="single" w:sz="4" w:space="0" w:color="auto"/>
              <w:right w:val="single" w:sz="4" w:space="0" w:color="auto"/>
            </w:tcBorders>
            <w:shd w:val="clear" w:color="000000" w:fill="FFFFFF"/>
            <w:vAlign w:val="center"/>
            <w:hideMark/>
          </w:tcPr>
          <w:p w14:paraId="068FDC48"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8700</w:t>
            </w:r>
          </w:p>
        </w:tc>
        <w:tc>
          <w:tcPr>
            <w:tcW w:w="730" w:type="dxa"/>
            <w:tcBorders>
              <w:top w:val="nil"/>
              <w:left w:val="nil"/>
              <w:bottom w:val="single" w:sz="4" w:space="0" w:color="auto"/>
              <w:right w:val="single" w:sz="4" w:space="0" w:color="auto"/>
            </w:tcBorders>
            <w:shd w:val="clear" w:color="000000" w:fill="FFFFFF"/>
            <w:vAlign w:val="center"/>
            <w:hideMark/>
          </w:tcPr>
          <w:p w14:paraId="58027625"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4500</w:t>
            </w:r>
          </w:p>
        </w:tc>
        <w:tc>
          <w:tcPr>
            <w:tcW w:w="2374" w:type="dxa"/>
            <w:tcBorders>
              <w:top w:val="nil"/>
              <w:left w:val="nil"/>
              <w:bottom w:val="single" w:sz="4" w:space="0" w:color="auto"/>
              <w:right w:val="double" w:sz="6" w:space="0" w:color="auto"/>
            </w:tcBorders>
            <w:shd w:val="clear" w:color="000000" w:fill="FFFFFF"/>
            <w:vAlign w:val="center"/>
            <w:hideMark/>
          </w:tcPr>
          <w:p w14:paraId="717B47EC"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результат мероприятия снизился в связи с увеличением стоимости предоставления одной услуги</w:t>
            </w:r>
          </w:p>
        </w:tc>
      </w:tr>
      <w:tr w:rsidR="00FD7B0B" w:rsidRPr="00FD7B0B" w14:paraId="5328CC5F" w14:textId="77777777" w:rsidTr="006D1A1B">
        <w:trPr>
          <w:trHeight w:val="131"/>
        </w:trPr>
        <w:tc>
          <w:tcPr>
            <w:tcW w:w="3544" w:type="dxa"/>
            <w:tcBorders>
              <w:top w:val="nil"/>
              <w:left w:val="double" w:sz="6" w:space="0" w:color="auto"/>
              <w:bottom w:val="double" w:sz="6" w:space="0" w:color="auto"/>
              <w:right w:val="single" w:sz="4" w:space="0" w:color="auto"/>
            </w:tcBorders>
            <w:shd w:val="clear" w:color="000000" w:fill="FFFFFF"/>
            <w:vAlign w:val="center"/>
            <w:hideMark/>
          </w:tcPr>
          <w:p w14:paraId="400E2DA0" w14:textId="77777777" w:rsidR="002B392F" w:rsidRPr="00FD7B0B" w:rsidRDefault="002B392F" w:rsidP="006D1A1B">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lang w:eastAsia="ru-RU"/>
              </w:rPr>
              <w:t>1.5. Прошли обучение (профессиональную подготовку, повышение квалификации) русскому жестовому языку переводчиков в сфере профессиональной коммуникации неслышащих (переводчик жестового языка) и переводчиков в сфере профессиональной коммуникации лиц с нарушениями слуха и зрения (слепоглухих), в том числе тифлокомментаторов, чел.</w:t>
            </w:r>
          </w:p>
        </w:tc>
        <w:tc>
          <w:tcPr>
            <w:tcW w:w="1124" w:type="dxa"/>
            <w:tcBorders>
              <w:top w:val="nil"/>
              <w:left w:val="nil"/>
              <w:bottom w:val="double" w:sz="6" w:space="0" w:color="auto"/>
              <w:right w:val="single" w:sz="4" w:space="0" w:color="auto"/>
            </w:tcBorders>
            <w:shd w:val="clear" w:color="000000" w:fill="FFFFFF"/>
            <w:vAlign w:val="center"/>
            <w:hideMark/>
          </w:tcPr>
          <w:p w14:paraId="7AF9389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31.12.2024</w:t>
            </w:r>
          </w:p>
        </w:tc>
        <w:tc>
          <w:tcPr>
            <w:tcW w:w="1169" w:type="dxa"/>
            <w:tcBorders>
              <w:top w:val="nil"/>
              <w:left w:val="nil"/>
              <w:bottom w:val="double" w:sz="6" w:space="0" w:color="auto"/>
              <w:right w:val="single" w:sz="4" w:space="0" w:color="auto"/>
            </w:tcBorders>
            <w:shd w:val="clear" w:color="000000" w:fill="FFFFFF"/>
            <w:vAlign w:val="center"/>
            <w:hideMark/>
          </w:tcPr>
          <w:p w14:paraId="45FC5D5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31.12.2024</w:t>
            </w:r>
          </w:p>
        </w:tc>
        <w:tc>
          <w:tcPr>
            <w:tcW w:w="731" w:type="dxa"/>
            <w:tcBorders>
              <w:top w:val="nil"/>
              <w:left w:val="nil"/>
              <w:bottom w:val="double" w:sz="6" w:space="0" w:color="auto"/>
              <w:right w:val="single" w:sz="4" w:space="0" w:color="auto"/>
            </w:tcBorders>
            <w:shd w:val="clear" w:color="000000" w:fill="FFFFFF"/>
            <w:vAlign w:val="center"/>
            <w:hideMark/>
          </w:tcPr>
          <w:p w14:paraId="7D9652EF"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val="en-US" w:eastAsia="ru-RU"/>
              </w:rPr>
              <w:t>30</w:t>
            </w:r>
          </w:p>
        </w:tc>
        <w:tc>
          <w:tcPr>
            <w:tcW w:w="730" w:type="dxa"/>
            <w:tcBorders>
              <w:top w:val="nil"/>
              <w:left w:val="nil"/>
              <w:bottom w:val="double" w:sz="6" w:space="0" w:color="auto"/>
              <w:right w:val="single" w:sz="4" w:space="0" w:color="auto"/>
            </w:tcBorders>
            <w:shd w:val="clear" w:color="000000" w:fill="FFFFFF"/>
            <w:vAlign w:val="center"/>
            <w:hideMark/>
          </w:tcPr>
          <w:p w14:paraId="0AF883BA"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w:t>
            </w:r>
          </w:p>
        </w:tc>
        <w:tc>
          <w:tcPr>
            <w:tcW w:w="2374" w:type="dxa"/>
            <w:tcBorders>
              <w:top w:val="nil"/>
              <w:left w:val="nil"/>
              <w:bottom w:val="double" w:sz="6" w:space="0" w:color="auto"/>
              <w:right w:val="double" w:sz="6" w:space="0" w:color="auto"/>
            </w:tcBorders>
            <w:shd w:val="clear" w:color="000000" w:fill="FFFFFF"/>
            <w:vAlign w:val="center"/>
            <w:hideMark/>
          </w:tcPr>
          <w:p w14:paraId="7AE2356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результат мероприятия снизился в связи с увеличением стоимости обучения</w:t>
            </w:r>
          </w:p>
        </w:tc>
      </w:tr>
    </w:tbl>
    <w:p w14:paraId="5F354BD3" w14:textId="77777777" w:rsidR="002B392F" w:rsidRPr="00FD7B0B" w:rsidRDefault="002B392F" w:rsidP="002B392F">
      <w:pPr>
        <w:spacing w:after="0" w:line="240" w:lineRule="auto"/>
        <w:contextualSpacing/>
        <w:rPr>
          <w:rFonts w:ascii="Times New Roman" w:hAnsi="Times New Roman"/>
          <w:sz w:val="24"/>
          <w:szCs w:val="24"/>
          <w:highlight w:val="cyan"/>
        </w:rPr>
      </w:pPr>
    </w:p>
    <w:p w14:paraId="1AAACC66" w14:textId="77777777" w:rsidR="002B392F" w:rsidRPr="00FD7B0B" w:rsidRDefault="002B392F" w:rsidP="00C5306B">
      <w:pPr>
        <w:widowControl w:val="0"/>
        <w:autoSpaceDE w:val="0"/>
        <w:autoSpaceDN w:val="0"/>
        <w:spacing w:after="0" w:line="240" w:lineRule="auto"/>
        <w:jc w:val="center"/>
        <w:rPr>
          <w:rFonts w:ascii="Times New Roman" w:hAnsi="Times New Roman" w:cs="Times New Roman"/>
          <w:b/>
          <w:spacing w:val="-4"/>
          <w:sz w:val="28"/>
          <w:szCs w:val="28"/>
        </w:rPr>
      </w:pPr>
      <w:r w:rsidRPr="00FD7B0B">
        <w:rPr>
          <w:rFonts w:ascii="Times New Roman" w:hAnsi="Times New Roman" w:cs="Times New Roman"/>
          <w:b/>
          <w:spacing w:val="-4"/>
          <w:sz w:val="28"/>
          <w:szCs w:val="28"/>
        </w:rPr>
        <w:t>Оценка достижения показателей по итогам 2024 года</w:t>
      </w:r>
    </w:p>
    <w:p w14:paraId="5B160C4C" w14:textId="77777777" w:rsidR="002B392F" w:rsidRPr="00FD7B0B" w:rsidRDefault="002B392F" w:rsidP="002B392F">
      <w:pPr>
        <w:tabs>
          <w:tab w:val="left" w:pos="1230"/>
        </w:tab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Одной из важных задач, указанной в ГП № 03, исполнительных органов государственной власти Архангельской области являются повышение благосостояния населения, обеспечение высокого уровня и качества жизни, улучшение демографической ситуации в Архангельской области.</w:t>
      </w:r>
    </w:p>
    <w:p w14:paraId="77E2A9A1" w14:textId="77777777"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Указом Президента Российской Федерации от 21.07.2020 № 474 «О национальных целях развития Российской Федерации на период до 2030 года», действовавший до 07.05.2024, установлено требование об обеспечении устойчивого роста реальных доходов граждан.</w:t>
      </w:r>
    </w:p>
    <w:p w14:paraId="4D928684" w14:textId="77777777" w:rsidR="002B392F" w:rsidRPr="00FD7B0B" w:rsidRDefault="002B392F" w:rsidP="00830CAC">
      <w:pPr>
        <w:pStyle w:val="ConsPlusNormal"/>
        <w:widowControl/>
        <w:ind w:firstLine="709"/>
        <w:jc w:val="both"/>
        <w:rPr>
          <w:sz w:val="28"/>
          <w:szCs w:val="28"/>
        </w:rPr>
      </w:pPr>
      <w:r w:rsidRPr="00FD7B0B">
        <w:rPr>
          <w:rFonts w:ascii="Times New Roman" w:hAnsi="Times New Roman" w:cs="Times New Roman"/>
          <w:sz w:val="28"/>
          <w:szCs w:val="28"/>
        </w:rPr>
        <w:t>Указом Президента Российской Федерации от 07.05.2024 № 309 «О национальных целях развития Российской Федерации на период до 2030 года и на перспективу до 2036 года» определена одна из национальных целей «а) сохранение населения, укрепление здоровья и повышение благополучия людей, поддержка семьи</w:t>
      </w:r>
      <w:r w:rsidRPr="00FD7B0B">
        <w:rPr>
          <w:sz w:val="28"/>
          <w:szCs w:val="28"/>
        </w:rPr>
        <w:t>».</w:t>
      </w:r>
    </w:p>
    <w:p w14:paraId="093F47B4" w14:textId="77777777" w:rsidR="002B392F" w:rsidRPr="00FD7B0B" w:rsidRDefault="002B392F" w:rsidP="002B392F">
      <w:pPr>
        <w:spacing w:after="0" w:line="240" w:lineRule="auto"/>
        <w:contextualSpacing/>
        <w:rPr>
          <w:rFonts w:ascii="Times New Roman" w:hAnsi="Times New Roman"/>
          <w:sz w:val="24"/>
          <w:szCs w:val="24"/>
        </w:rPr>
      </w:pPr>
    </w:p>
    <w:p w14:paraId="5BAE7E62" w14:textId="77777777" w:rsidR="002B392F" w:rsidRPr="00FD7B0B" w:rsidRDefault="002B392F" w:rsidP="002B392F">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102</w:t>
      </w:r>
      <w:r w:rsidRPr="00FD7B0B">
        <w:rPr>
          <w:rFonts w:ascii="Times New Roman" w:hAnsi="Times New Roman"/>
          <w:sz w:val="24"/>
          <w:szCs w:val="24"/>
        </w:rPr>
        <w:fldChar w:fldCharType="end"/>
      </w:r>
      <w:r w:rsidRPr="00FD7B0B">
        <w:rPr>
          <w:rFonts w:ascii="Times New Roman" w:hAnsi="Times New Roman"/>
          <w:sz w:val="24"/>
          <w:szCs w:val="24"/>
        </w:rPr>
        <w:t>. Сопоставление показателей на реализацию мероприятий ГП № 03 с национальными целями развития</w:t>
      </w:r>
    </w:p>
    <w:tbl>
      <w:tblPr>
        <w:tblW w:w="9647" w:type="dxa"/>
        <w:tblInd w:w="-23" w:type="dxa"/>
        <w:tblLook w:val="04A0" w:firstRow="1" w:lastRow="0" w:firstColumn="1" w:lastColumn="0" w:noHBand="0" w:noVBand="1"/>
      </w:tblPr>
      <w:tblGrid>
        <w:gridCol w:w="4119"/>
        <w:gridCol w:w="5528"/>
      </w:tblGrid>
      <w:tr w:rsidR="00FD7B0B" w:rsidRPr="00FD7B0B" w14:paraId="5EDF8CAA" w14:textId="77777777" w:rsidTr="00D236ED">
        <w:trPr>
          <w:trHeight w:val="201"/>
          <w:tblHeader/>
        </w:trPr>
        <w:tc>
          <w:tcPr>
            <w:tcW w:w="9647" w:type="dxa"/>
            <w:gridSpan w:val="2"/>
            <w:tcBorders>
              <w:top w:val="double" w:sz="4" w:space="0" w:color="auto"/>
              <w:left w:val="double" w:sz="4" w:space="0" w:color="auto"/>
              <w:bottom w:val="single" w:sz="4" w:space="0" w:color="auto"/>
              <w:right w:val="double" w:sz="4" w:space="0" w:color="auto"/>
            </w:tcBorders>
            <w:shd w:val="clear" w:color="auto" w:fill="auto"/>
            <w:vAlign w:val="center"/>
          </w:tcPr>
          <w:p w14:paraId="50336611" w14:textId="77777777" w:rsidR="002B392F" w:rsidRPr="00FD7B0B" w:rsidRDefault="002B392F" w:rsidP="002B392F">
            <w:pPr>
              <w:spacing w:after="0" w:line="240" w:lineRule="auto"/>
              <w:jc w:val="center"/>
              <w:rPr>
                <w:rFonts w:ascii="Times New Roman" w:eastAsia="PMingLiU" w:hAnsi="Times New Roman" w:cs="Times New Roman"/>
                <w:sz w:val="20"/>
                <w:szCs w:val="20"/>
              </w:rPr>
            </w:pPr>
            <w:r w:rsidRPr="00FD7B0B">
              <w:rPr>
                <w:rFonts w:ascii="Times New Roman" w:eastAsia="PMingLiU" w:hAnsi="Times New Roman" w:cs="Times New Roman"/>
                <w:sz w:val="20"/>
                <w:szCs w:val="20"/>
              </w:rPr>
              <w:t xml:space="preserve">Указ Президента Российской Федерации </w:t>
            </w:r>
            <w:r w:rsidRPr="00FD7B0B">
              <w:rPr>
                <w:rFonts w:ascii="Times New Roman" w:hAnsi="Times New Roman" w:cs="Times New Roman"/>
                <w:sz w:val="20"/>
                <w:szCs w:val="20"/>
              </w:rPr>
              <w:t>от 07.05.2024 № 309 «О национальных целях развития Российской Федерации на период до 2030 года и на перспективу до 2036 года»</w:t>
            </w:r>
          </w:p>
        </w:tc>
      </w:tr>
      <w:tr w:rsidR="00FD7B0B" w:rsidRPr="00FD7B0B" w14:paraId="63A46A5C" w14:textId="77777777" w:rsidTr="00D236ED">
        <w:trPr>
          <w:trHeight w:val="705"/>
          <w:tblHeader/>
        </w:trPr>
        <w:tc>
          <w:tcPr>
            <w:tcW w:w="4119" w:type="dxa"/>
            <w:tcBorders>
              <w:top w:val="single" w:sz="4" w:space="0" w:color="auto"/>
              <w:left w:val="double" w:sz="4" w:space="0" w:color="auto"/>
              <w:bottom w:val="single" w:sz="4" w:space="0" w:color="auto"/>
              <w:right w:val="single" w:sz="4" w:space="0" w:color="auto"/>
            </w:tcBorders>
            <w:shd w:val="clear" w:color="auto" w:fill="auto"/>
            <w:hideMark/>
          </w:tcPr>
          <w:p w14:paraId="41244494" w14:textId="77777777" w:rsidR="002B392F" w:rsidRPr="00FD7B0B" w:rsidRDefault="002B392F" w:rsidP="00D236ED">
            <w:pPr>
              <w:spacing w:after="0" w:line="240" w:lineRule="auto"/>
              <w:rPr>
                <w:rFonts w:ascii="Times New Roman" w:hAnsi="Times New Roman" w:cs="Times New Roman"/>
                <w:sz w:val="20"/>
                <w:szCs w:val="20"/>
              </w:rPr>
            </w:pPr>
            <w:r w:rsidRPr="00FD7B0B">
              <w:rPr>
                <w:rFonts w:ascii="Times New Roman" w:hAnsi="Times New Roman" w:cs="Times New Roman"/>
                <w:sz w:val="20"/>
                <w:szCs w:val="20"/>
              </w:rPr>
              <w:t>Показатель, характеризующий достижение национальной цели «Сохранение населения, укрепление здоровья и повышение благополучия людей, поддержка семьи»</w:t>
            </w:r>
          </w:p>
        </w:tc>
        <w:tc>
          <w:tcPr>
            <w:tcW w:w="5528" w:type="dxa"/>
            <w:tcBorders>
              <w:top w:val="single" w:sz="4" w:space="0" w:color="auto"/>
              <w:left w:val="nil"/>
              <w:bottom w:val="single" w:sz="4" w:space="0" w:color="auto"/>
              <w:right w:val="double" w:sz="4" w:space="0" w:color="auto"/>
            </w:tcBorders>
            <w:shd w:val="clear" w:color="auto" w:fill="auto"/>
            <w:hideMark/>
          </w:tcPr>
          <w:p w14:paraId="4F8CB263" w14:textId="2BEF5554" w:rsidR="002B392F" w:rsidRPr="00FD7B0B" w:rsidRDefault="002B392F" w:rsidP="00D236ED">
            <w:pPr>
              <w:spacing w:after="0" w:line="240" w:lineRule="auto"/>
              <w:rPr>
                <w:rFonts w:ascii="Times New Roman" w:hAnsi="Times New Roman" w:cs="Times New Roman"/>
                <w:sz w:val="20"/>
                <w:szCs w:val="20"/>
              </w:rPr>
            </w:pPr>
            <w:r w:rsidRPr="00FD7B0B">
              <w:rPr>
                <w:rFonts w:ascii="Times New Roman" w:eastAsia="PMingLiU" w:hAnsi="Times New Roman" w:cs="Times New Roman"/>
                <w:sz w:val="20"/>
                <w:szCs w:val="20"/>
              </w:rPr>
              <w:t>Показатели, отраженные в госпрограмме № 03 и КПМ</w:t>
            </w:r>
          </w:p>
        </w:tc>
      </w:tr>
      <w:tr w:rsidR="00FD7B0B" w:rsidRPr="00FD7B0B" w14:paraId="34372970" w14:textId="77777777" w:rsidTr="00D236ED">
        <w:trPr>
          <w:trHeight w:val="1004"/>
        </w:trPr>
        <w:tc>
          <w:tcPr>
            <w:tcW w:w="4119" w:type="dxa"/>
            <w:tcBorders>
              <w:top w:val="nil"/>
              <w:left w:val="double" w:sz="4" w:space="0" w:color="auto"/>
              <w:bottom w:val="single" w:sz="4" w:space="0" w:color="auto"/>
              <w:right w:val="single" w:sz="4" w:space="0" w:color="auto"/>
            </w:tcBorders>
            <w:shd w:val="clear" w:color="auto" w:fill="auto"/>
            <w:hideMark/>
          </w:tcPr>
          <w:p w14:paraId="359148ED" w14:textId="77777777" w:rsidR="002B392F" w:rsidRPr="00FD7B0B" w:rsidRDefault="002B392F" w:rsidP="00D236ED">
            <w:pPr>
              <w:pStyle w:val="ConsPlusNormal"/>
              <w:ind w:firstLine="42"/>
              <w:rPr>
                <w:rFonts w:ascii="Times New Roman" w:hAnsi="Times New Roman" w:cs="Times New Roman"/>
              </w:rPr>
            </w:pPr>
            <w:r w:rsidRPr="00FD7B0B">
              <w:rPr>
                <w:rFonts w:ascii="Times New Roman" w:hAnsi="Times New Roman" w:cs="Times New Roman"/>
              </w:rPr>
              <w:t>ж) увеличение к 2030 году численности граждан пожилого возраста и инвалидов, получающих услуги долговременного ухода, не менее чем до 500 тыс. человек из числа наиболее нуждающихся в таких услугах</w:t>
            </w:r>
          </w:p>
        </w:tc>
        <w:tc>
          <w:tcPr>
            <w:tcW w:w="5528" w:type="dxa"/>
            <w:tcBorders>
              <w:top w:val="nil"/>
              <w:left w:val="nil"/>
              <w:bottom w:val="single" w:sz="4" w:space="0" w:color="auto"/>
              <w:right w:val="double" w:sz="4" w:space="0" w:color="auto"/>
            </w:tcBorders>
            <w:shd w:val="clear" w:color="auto" w:fill="auto"/>
            <w:hideMark/>
          </w:tcPr>
          <w:p w14:paraId="21A78F74" w14:textId="77777777" w:rsidR="002B392F" w:rsidRPr="00FD7B0B" w:rsidRDefault="002B392F" w:rsidP="00D236ED">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 xml:space="preserve">Удельный вес граждан старше трудоспособного возраста и инвалидов, получающих услуги в рамках системы долговременного ухода, от общего числа граждан старше трудоспособного возраста и инвалидов, нуждающихся в долговременном уходе </w:t>
            </w:r>
          </w:p>
        </w:tc>
      </w:tr>
      <w:tr w:rsidR="00FD7B0B" w:rsidRPr="00FD7B0B" w14:paraId="76FD704C" w14:textId="77777777" w:rsidTr="00D236ED">
        <w:trPr>
          <w:trHeight w:val="335"/>
        </w:trPr>
        <w:tc>
          <w:tcPr>
            <w:tcW w:w="4119" w:type="dxa"/>
            <w:tcBorders>
              <w:top w:val="nil"/>
              <w:left w:val="double" w:sz="4" w:space="0" w:color="auto"/>
              <w:bottom w:val="double" w:sz="4" w:space="0" w:color="auto"/>
              <w:right w:val="single" w:sz="4" w:space="0" w:color="auto"/>
            </w:tcBorders>
          </w:tcPr>
          <w:p w14:paraId="26C2230A" w14:textId="55250D19" w:rsidR="002B392F" w:rsidRPr="00FD7B0B" w:rsidRDefault="002B392F" w:rsidP="00D236ED">
            <w:pPr>
              <w:pStyle w:val="ConsPlusNormal"/>
              <w:ind w:firstLine="42"/>
              <w:rPr>
                <w:rFonts w:ascii="Times New Roman" w:hAnsi="Times New Roman" w:cs="Times New Roman"/>
              </w:rPr>
            </w:pPr>
            <w:r w:rsidRPr="00FD7B0B">
              <w:rPr>
                <w:rFonts w:ascii="Times New Roman" w:hAnsi="Times New Roman" w:cs="Times New Roman"/>
              </w:rPr>
              <w:t>к) снижение уровня бедности ниже 7 процентов к 2030 году и ниже 5 процентов к 2036 году, в том числе уровня бедности многодетных семей до 12 процентов к 2030 году и до 8 процентов к 2036 году;</w:t>
            </w:r>
          </w:p>
        </w:tc>
        <w:tc>
          <w:tcPr>
            <w:tcW w:w="5528" w:type="dxa"/>
            <w:tcBorders>
              <w:top w:val="nil"/>
              <w:left w:val="nil"/>
              <w:bottom w:val="double" w:sz="4" w:space="0" w:color="auto"/>
              <w:right w:val="double" w:sz="4" w:space="0" w:color="auto"/>
            </w:tcBorders>
            <w:shd w:val="clear" w:color="auto" w:fill="auto"/>
          </w:tcPr>
          <w:p w14:paraId="00C70F80" w14:textId="77777777" w:rsidR="002B392F" w:rsidRPr="00FD7B0B" w:rsidRDefault="002B392F" w:rsidP="00D236ED">
            <w:pPr>
              <w:spacing w:after="0" w:line="240" w:lineRule="auto"/>
              <w:rPr>
                <w:rFonts w:ascii="Times New Roman" w:hAnsi="Times New Roman" w:cs="Times New Roman"/>
                <w:sz w:val="20"/>
                <w:szCs w:val="20"/>
              </w:rPr>
            </w:pPr>
            <w:r w:rsidRPr="00FD7B0B">
              <w:rPr>
                <w:rFonts w:ascii="Times New Roman" w:hAnsi="Times New Roman" w:cs="Times New Roman"/>
                <w:sz w:val="20"/>
                <w:szCs w:val="20"/>
              </w:rPr>
              <w:t>Удельный вес детей из семей со среднедушевым доходом ниже величины прожиточного минимума, установленного в Архангельской области, от общей численности детей, проживающих в Архангельской области (убывающий),</w:t>
            </w:r>
          </w:p>
          <w:p w14:paraId="6FAA654F" w14:textId="77777777" w:rsidR="002B392F" w:rsidRPr="00FD7B0B" w:rsidRDefault="002B392F" w:rsidP="00D236ED">
            <w:pPr>
              <w:spacing w:after="0" w:line="240" w:lineRule="auto"/>
              <w:rPr>
                <w:rFonts w:ascii="Times New Roman" w:hAnsi="Times New Roman" w:cs="Times New Roman"/>
                <w:sz w:val="20"/>
                <w:szCs w:val="20"/>
              </w:rPr>
            </w:pPr>
            <w:r w:rsidRPr="00FD7B0B">
              <w:rPr>
                <w:rFonts w:ascii="Times New Roman" w:hAnsi="Times New Roman" w:cs="Times New Roman"/>
                <w:sz w:val="20"/>
                <w:szCs w:val="20"/>
              </w:rPr>
              <w:t>Доля населения с денежными доходами ниже величины прожиточного минимума, в процентах от общей численности населения (убывающий)</w:t>
            </w:r>
          </w:p>
        </w:tc>
      </w:tr>
    </w:tbl>
    <w:p w14:paraId="73CA0EDD" w14:textId="77777777" w:rsidR="002B392F" w:rsidRPr="00FD7B0B" w:rsidRDefault="002B392F" w:rsidP="002B392F">
      <w:pPr>
        <w:tabs>
          <w:tab w:val="left" w:pos="6300"/>
        </w:tabs>
        <w:spacing w:after="0" w:line="240" w:lineRule="auto"/>
        <w:ind w:firstLine="709"/>
        <w:jc w:val="both"/>
        <w:rPr>
          <w:rFonts w:ascii="Times New Roman" w:eastAsia="Times New Roman" w:hAnsi="Times New Roman" w:cs="Times New Roman"/>
          <w:sz w:val="28"/>
          <w:szCs w:val="28"/>
          <w:lang w:eastAsia="ru-RU"/>
        </w:rPr>
      </w:pPr>
    </w:p>
    <w:p w14:paraId="496587A4" w14:textId="77777777"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рамках ГП № 03 в целом по госпрограмме на 2024 год утверждены значения 8 показателей. Кроме того, в рамках КПМ утверждено 25 значений показателей их реализации.</w:t>
      </w:r>
    </w:p>
    <w:p w14:paraId="5259E8A8" w14:textId="0BB99F9D" w:rsidR="002B392F" w:rsidRPr="00FD7B0B" w:rsidRDefault="002B392F" w:rsidP="002B392F">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течение отчетного года ряд показателей подвергался корректировке. Сведения об изменении показа</w:t>
      </w:r>
      <w:r w:rsidR="00D236ED" w:rsidRPr="00FD7B0B">
        <w:rPr>
          <w:rFonts w:ascii="Times New Roman" w:eastAsia="Times New Roman" w:hAnsi="Times New Roman" w:cs="Times New Roman"/>
          <w:sz w:val="28"/>
          <w:szCs w:val="28"/>
          <w:lang w:eastAsia="ru-RU"/>
        </w:rPr>
        <w:t xml:space="preserve">телей представлены в таблице </w:t>
      </w:r>
      <w:r w:rsidR="00F745C4" w:rsidRPr="00FD7B0B">
        <w:rPr>
          <w:rFonts w:ascii="Times New Roman" w:eastAsia="Times New Roman" w:hAnsi="Times New Roman" w:cs="Times New Roman"/>
          <w:sz w:val="28"/>
          <w:szCs w:val="28"/>
          <w:lang w:eastAsia="ru-RU"/>
        </w:rPr>
        <w:t>103</w:t>
      </w:r>
      <w:r w:rsidRPr="00FD7B0B">
        <w:rPr>
          <w:rFonts w:ascii="Times New Roman" w:eastAsia="Times New Roman" w:hAnsi="Times New Roman" w:cs="Times New Roman"/>
          <w:sz w:val="28"/>
          <w:szCs w:val="28"/>
          <w:lang w:eastAsia="ru-RU"/>
        </w:rPr>
        <w:t>.</w:t>
      </w:r>
    </w:p>
    <w:p w14:paraId="5E3F5C95" w14:textId="77777777" w:rsidR="002B392F" w:rsidRPr="00FD7B0B" w:rsidRDefault="002B392F" w:rsidP="002B392F">
      <w:pPr>
        <w:spacing w:after="0" w:line="240" w:lineRule="auto"/>
        <w:ind w:firstLine="709"/>
        <w:contextualSpacing/>
        <w:jc w:val="both"/>
        <w:rPr>
          <w:rFonts w:ascii="Times New Roman" w:eastAsia="Times New Roman" w:hAnsi="Times New Roman" w:cs="Times New Roman"/>
          <w:sz w:val="28"/>
          <w:szCs w:val="28"/>
          <w:lang w:eastAsia="ru-RU"/>
        </w:rPr>
      </w:pPr>
    </w:p>
    <w:p w14:paraId="3FCF9B04" w14:textId="77777777" w:rsidR="002B392F" w:rsidRPr="00FD7B0B" w:rsidRDefault="002B392F" w:rsidP="002B392F">
      <w:pPr>
        <w:pStyle w:val="aff0"/>
        <w:keepNext/>
        <w:spacing w:after="0"/>
        <w:jc w:val="both"/>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103</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об изменении показателей реализацию мероприятий ГП № 03 и КПМ</w:t>
      </w:r>
    </w:p>
    <w:tbl>
      <w:tblPr>
        <w:tblW w:w="9607" w:type="dxa"/>
        <w:tblInd w:w="-23" w:type="dxa"/>
        <w:tblLayout w:type="fixed"/>
        <w:tblLook w:val="04A0" w:firstRow="1" w:lastRow="0" w:firstColumn="1" w:lastColumn="0" w:noHBand="0" w:noVBand="1"/>
      </w:tblPr>
      <w:tblGrid>
        <w:gridCol w:w="567"/>
        <w:gridCol w:w="2410"/>
        <w:gridCol w:w="676"/>
        <w:gridCol w:w="1025"/>
        <w:gridCol w:w="960"/>
        <w:gridCol w:w="709"/>
        <w:gridCol w:w="3260"/>
      </w:tblGrid>
      <w:tr w:rsidR="00FD7B0B" w:rsidRPr="00FD7B0B" w14:paraId="6A35D61E" w14:textId="77777777" w:rsidTr="008E741B">
        <w:trPr>
          <w:trHeight w:val="405"/>
          <w:tblHeader/>
        </w:trPr>
        <w:tc>
          <w:tcPr>
            <w:tcW w:w="567" w:type="dxa"/>
            <w:vMerge w:val="restart"/>
            <w:tcBorders>
              <w:top w:val="double" w:sz="6" w:space="0" w:color="auto"/>
              <w:left w:val="double" w:sz="6" w:space="0" w:color="auto"/>
              <w:bottom w:val="single" w:sz="4" w:space="0" w:color="auto"/>
              <w:right w:val="single" w:sz="4" w:space="0" w:color="auto"/>
            </w:tcBorders>
            <w:shd w:val="clear" w:color="auto" w:fill="auto"/>
            <w:noWrap/>
            <w:vAlign w:val="bottom"/>
            <w:hideMark/>
          </w:tcPr>
          <w:p w14:paraId="1A7ACEF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241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462530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показателя</w:t>
            </w:r>
          </w:p>
        </w:tc>
        <w:tc>
          <w:tcPr>
            <w:tcW w:w="676"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B19604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Признак возрастания / убывания</w:t>
            </w:r>
          </w:p>
        </w:tc>
        <w:tc>
          <w:tcPr>
            <w:tcW w:w="1985" w:type="dxa"/>
            <w:gridSpan w:val="2"/>
            <w:tcBorders>
              <w:top w:val="double" w:sz="4" w:space="0" w:color="auto"/>
              <w:left w:val="nil"/>
              <w:bottom w:val="single" w:sz="4" w:space="0" w:color="auto"/>
              <w:right w:val="single" w:sz="4" w:space="0" w:color="auto"/>
            </w:tcBorders>
            <w:shd w:val="clear" w:color="auto" w:fill="auto"/>
            <w:vAlign w:val="center"/>
            <w:hideMark/>
          </w:tcPr>
          <w:p w14:paraId="178F917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Значение показателя</w:t>
            </w:r>
          </w:p>
        </w:tc>
        <w:tc>
          <w:tcPr>
            <w:tcW w:w="70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9CD081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Изменения </w:t>
            </w:r>
          </w:p>
        </w:tc>
        <w:tc>
          <w:tcPr>
            <w:tcW w:w="3260" w:type="dxa"/>
            <w:vMerge w:val="restart"/>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49BCC74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Причины </w:t>
            </w:r>
          </w:p>
        </w:tc>
      </w:tr>
      <w:tr w:rsidR="00FD7B0B" w:rsidRPr="00FD7B0B" w14:paraId="1ACA35EB" w14:textId="77777777" w:rsidTr="008E741B">
        <w:trPr>
          <w:trHeight w:val="1041"/>
          <w:tblHeader/>
        </w:trPr>
        <w:tc>
          <w:tcPr>
            <w:tcW w:w="567" w:type="dxa"/>
            <w:vMerge/>
            <w:tcBorders>
              <w:top w:val="double" w:sz="6" w:space="0" w:color="auto"/>
              <w:left w:val="double" w:sz="6" w:space="0" w:color="auto"/>
              <w:bottom w:val="single" w:sz="4" w:space="0" w:color="auto"/>
              <w:right w:val="single" w:sz="4" w:space="0" w:color="auto"/>
            </w:tcBorders>
            <w:vAlign w:val="center"/>
            <w:hideMark/>
          </w:tcPr>
          <w:p w14:paraId="2E64293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538F2263"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676" w:type="dxa"/>
            <w:vMerge/>
            <w:tcBorders>
              <w:top w:val="single" w:sz="4" w:space="0" w:color="auto"/>
              <w:left w:val="single" w:sz="4" w:space="0" w:color="auto"/>
              <w:bottom w:val="single" w:sz="4" w:space="0" w:color="auto"/>
              <w:right w:val="single" w:sz="4" w:space="0" w:color="auto"/>
            </w:tcBorders>
            <w:vAlign w:val="center"/>
            <w:hideMark/>
          </w:tcPr>
          <w:p w14:paraId="35271B43"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384DB76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ГП АО в ред. от 30.09.2023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880B625" w14:textId="11AF2188"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ГП АО в ред.</w:t>
            </w:r>
            <w:r w:rsidR="00887621" w:rsidRPr="00FD7B0B">
              <w:rPr>
                <w:rFonts w:ascii="Times New Roman" w:eastAsia="Times New Roman" w:hAnsi="Times New Roman" w:cs="Times New Roman"/>
                <w:sz w:val="20"/>
                <w:szCs w:val="20"/>
                <w:lang w:eastAsia="ru-RU"/>
              </w:rPr>
              <w:t xml:space="preserve"> </w:t>
            </w:r>
            <w:r w:rsidRPr="00FD7B0B">
              <w:rPr>
                <w:rFonts w:ascii="Times New Roman" w:eastAsia="Times New Roman" w:hAnsi="Times New Roman" w:cs="Times New Roman"/>
                <w:sz w:val="20"/>
                <w:szCs w:val="20"/>
                <w:lang w:eastAsia="ru-RU"/>
              </w:rPr>
              <w:t xml:space="preserve">от 27.12.2024 </w:t>
            </w:r>
          </w:p>
        </w:tc>
        <w:tc>
          <w:tcPr>
            <w:tcW w:w="709" w:type="dxa"/>
            <w:vMerge/>
            <w:tcBorders>
              <w:top w:val="double" w:sz="6" w:space="0" w:color="auto"/>
              <w:left w:val="single" w:sz="4" w:space="0" w:color="auto"/>
              <w:bottom w:val="single" w:sz="4" w:space="0" w:color="auto"/>
              <w:right w:val="single" w:sz="4" w:space="0" w:color="auto"/>
            </w:tcBorders>
            <w:vAlign w:val="center"/>
            <w:hideMark/>
          </w:tcPr>
          <w:p w14:paraId="1CD85BDF"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3260" w:type="dxa"/>
            <w:vMerge/>
            <w:tcBorders>
              <w:top w:val="double" w:sz="6" w:space="0" w:color="auto"/>
              <w:left w:val="single" w:sz="4" w:space="0" w:color="auto"/>
              <w:bottom w:val="single" w:sz="4" w:space="0" w:color="auto"/>
              <w:right w:val="double" w:sz="6" w:space="0" w:color="auto"/>
            </w:tcBorders>
            <w:vAlign w:val="center"/>
            <w:hideMark/>
          </w:tcPr>
          <w:p w14:paraId="334936DB"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r>
      <w:tr w:rsidR="00FD7B0B" w:rsidRPr="00FD7B0B" w14:paraId="786EF062" w14:textId="77777777" w:rsidTr="008E741B">
        <w:trPr>
          <w:trHeight w:val="255"/>
        </w:trPr>
        <w:tc>
          <w:tcPr>
            <w:tcW w:w="9607" w:type="dxa"/>
            <w:gridSpan w:val="7"/>
            <w:tcBorders>
              <w:top w:val="single" w:sz="4" w:space="0" w:color="auto"/>
              <w:left w:val="double" w:sz="6" w:space="0" w:color="auto"/>
              <w:bottom w:val="single" w:sz="4" w:space="0" w:color="auto"/>
              <w:right w:val="double" w:sz="4" w:space="0" w:color="auto"/>
            </w:tcBorders>
            <w:shd w:val="clear" w:color="auto" w:fill="auto"/>
            <w:noWrap/>
            <w:vAlign w:val="bottom"/>
            <w:hideMark/>
          </w:tcPr>
          <w:p w14:paraId="5A83415A" w14:textId="77777777" w:rsidR="002B392F" w:rsidRPr="00FD7B0B" w:rsidRDefault="002B392F" w:rsidP="002B392F">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I. ГП № 03</w:t>
            </w:r>
          </w:p>
        </w:tc>
      </w:tr>
      <w:tr w:rsidR="00FD7B0B" w:rsidRPr="00FD7B0B" w14:paraId="0EFD2248" w14:textId="77777777" w:rsidTr="008E741B">
        <w:trPr>
          <w:trHeight w:val="2370"/>
        </w:trPr>
        <w:tc>
          <w:tcPr>
            <w:tcW w:w="567" w:type="dxa"/>
            <w:tcBorders>
              <w:top w:val="nil"/>
              <w:left w:val="double" w:sz="6" w:space="0" w:color="auto"/>
              <w:bottom w:val="single" w:sz="4" w:space="0" w:color="auto"/>
              <w:right w:val="single" w:sz="4" w:space="0" w:color="auto"/>
            </w:tcBorders>
            <w:shd w:val="clear" w:color="auto" w:fill="auto"/>
            <w:hideMark/>
          </w:tcPr>
          <w:p w14:paraId="5308E5DF" w14:textId="77777777" w:rsidR="002B392F" w:rsidRPr="00FD7B0B" w:rsidRDefault="002B392F" w:rsidP="00EE6D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2410" w:type="dxa"/>
            <w:tcBorders>
              <w:top w:val="nil"/>
              <w:left w:val="nil"/>
              <w:bottom w:val="single" w:sz="4" w:space="0" w:color="auto"/>
              <w:right w:val="single" w:sz="4" w:space="0" w:color="auto"/>
            </w:tcBorders>
            <w:shd w:val="clear" w:color="auto" w:fill="auto"/>
            <w:hideMark/>
          </w:tcPr>
          <w:p w14:paraId="17678909" w14:textId="77777777" w:rsidR="002B392F" w:rsidRPr="00FD7B0B" w:rsidRDefault="002B392F" w:rsidP="00EE6D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Удельный вес детей, охваченных организованными формами отдыха и оздоровления, в общей численности детей школьного возраста в Архангельской области</w:t>
            </w:r>
          </w:p>
        </w:tc>
        <w:tc>
          <w:tcPr>
            <w:tcW w:w="676" w:type="dxa"/>
            <w:tcBorders>
              <w:top w:val="nil"/>
              <w:left w:val="nil"/>
              <w:bottom w:val="single" w:sz="4" w:space="0" w:color="auto"/>
              <w:right w:val="single" w:sz="4" w:space="0" w:color="auto"/>
            </w:tcBorders>
            <w:shd w:val="clear" w:color="auto" w:fill="auto"/>
            <w:hideMark/>
          </w:tcPr>
          <w:p w14:paraId="7A00DCC2" w14:textId="77777777" w:rsidR="002B392F" w:rsidRPr="00FD7B0B" w:rsidRDefault="002B392F" w:rsidP="00EE6D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возрастающий, процент</w:t>
            </w:r>
          </w:p>
        </w:tc>
        <w:tc>
          <w:tcPr>
            <w:tcW w:w="1025" w:type="dxa"/>
            <w:tcBorders>
              <w:top w:val="nil"/>
              <w:left w:val="nil"/>
              <w:bottom w:val="single" w:sz="4" w:space="0" w:color="auto"/>
              <w:right w:val="single" w:sz="4" w:space="0" w:color="auto"/>
            </w:tcBorders>
            <w:shd w:val="clear" w:color="auto" w:fill="auto"/>
            <w:hideMark/>
          </w:tcPr>
          <w:p w14:paraId="0E21EB0D" w14:textId="77777777" w:rsidR="002B392F" w:rsidRPr="00FD7B0B" w:rsidRDefault="002B392F" w:rsidP="00EE6D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w:t>
            </w:r>
          </w:p>
        </w:tc>
        <w:tc>
          <w:tcPr>
            <w:tcW w:w="960" w:type="dxa"/>
            <w:tcBorders>
              <w:top w:val="nil"/>
              <w:left w:val="nil"/>
              <w:bottom w:val="single" w:sz="4" w:space="0" w:color="auto"/>
              <w:right w:val="single" w:sz="4" w:space="0" w:color="auto"/>
            </w:tcBorders>
            <w:shd w:val="clear" w:color="auto" w:fill="auto"/>
            <w:hideMark/>
          </w:tcPr>
          <w:p w14:paraId="46430CD7" w14:textId="77777777" w:rsidR="002B392F" w:rsidRPr="00FD7B0B" w:rsidRDefault="002B392F" w:rsidP="00EE6D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w:t>
            </w:r>
          </w:p>
        </w:tc>
        <w:tc>
          <w:tcPr>
            <w:tcW w:w="709" w:type="dxa"/>
            <w:tcBorders>
              <w:top w:val="nil"/>
              <w:left w:val="nil"/>
              <w:bottom w:val="single" w:sz="4" w:space="0" w:color="auto"/>
              <w:right w:val="single" w:sz="4" w:space="0" w:color="auto"/>
            </w:tcBorders>
            <w:shd w:val="clear" w:color="auto" w:fill="auto"/>
            <w:noWrap/>
            <w:hideMark/>
          </w:tcPr>
          <w:p w14:paraId="15507A03" w14:textId="77777777" w:rsidR="002B392F" w:rsidRPr="00FD7B0B" w:rsidRDefault="002B392F" w:rsidP="00EE6D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w:t>
            </w:r>
          </w:p>
        </w:tc>
        <w:tc>
          <w:tcPr>
            <w:tcW w:w="3260" w:type="dxa"/>
            <w:tcBorders>
              <w:top w:val="nil"/>
              <w:left w:val="nil"/>
              <w:bottom w:val="single" w:sz="4" w:space="0" w:color="auto"/>
              <w:right w:val="double" w:sz="6" w:space="0" w:color="auto"/>
            </w:tcBorders>
            <w:shd w:val="clear" w:color="auto" w:fill="auto"/>
            <w:hideMark/>
          </w:tcPr>
          <w:p w14:paraId="4B6579C4" w14:textId="77777777" w:rsidR="002B392F" w:rsidRPr="00FD7B0B" w:rsidRDefault="002B392F" w:rsidP="00EE6D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связи с изменением подхода к заполнению форм федерального мониторинга по организации отдыха детей и их оздоровления, уточнены значения по годам данного показателя. Ранее при расчете показателя дополнительно учитывались различные формы занятости несовершеннолетних школьного возраста в каникулярные периоды, в том числе малозатратные формы занятости (походы, экскурсии и т.д.). В настоящее время малозатратные формы детского отдыха из расчета показателя исключены.</w:t>
            </w:r>
          </w:p>
        </w:tc>
      </w:tr>
      <w:tr w:rsidR="00FD7B0B" w:rsidRPr="00FD7B0B" w14:paraId="4325BE62" w14:textId="77777777" w:rsidTr="008E741B">
        <w:trPr>
          <w:trHeight w:val="415"/>
        </w:trPr>
        <w:tc>
          <w:tcPr>
            <w:tcW w:w="567" w:type="dxa"/>
            <w:tcBorders>
              <w:top w:val="nil"/>
              <w:left w:val="double" w:sz="6" w:space="0" w:color="auto"/>
              <w:bottom w:val="single" w:sz="4" w:space="0" w:color="auto"/>
              <w:right w:val="single" w:sz="4" w:space="0" w:color="auto"/>
            </w:tcBorders>
            <w:shd w:val="clear" w:color="auto" w:fill="auto"/>
            <w:hideMark/>
          </w:tcPr>
          <w:p w14:paraId="2018E1F9" w14:textId="77777777" w:rsidR="002B392F" w:rsidRPr="00FD7B0B" w:rsidRDefault="002B392F" w:rsidP="00EE6D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w:t>
            </w:r>
          </w:p>
        </w:tc>
        <w:tc>
          <w:tcPr>
            <w:tcW w:w="2410" w:type="dxa"/>
            <w:tcBorders>
              <w:top w:val="nil"/>
              <w:left w:val="nil"/>
              <w:bottom w:val="single" w:sz="4" w:space="0" w:color="auto"/>
              <w:right w:val="single" w:sz="4" w:space="0" w:color="auto"/>
            </w:tcBorders>
            <w:shd w:val="clear" w:color="auto" w:fill="auto"/>
            <w:hideMark/>
          </w:tcPr>
          <w:p w14:paraId="75A1E1AC" w14:textId="77777777" w:rsidR="002B392F" w:rsidRPr="00FD7B0B" w:rsidRDefault="002B392F" w:rsidP="00EE6D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Удельный вес детей-сирот и детей, оставшихся без попечения родителей, переданных на усыновление, под опеку (попечительство) и в приемные семьи граждан, проживающих на территории Российской Федерации, от общей численности детей-сирот и детей, оставшихся без попечения родителей, проживающих на территории Архангельской области </w:t>
            </w:r>
          </w:p>
        </w:tc>
        <w:tc>
          <w:tcPr>
            <w:tcW w:w="676" w:type="dxa"/>
            <w:tcBorders>
              <w:top w:val="nil"/>
              <w:left w:val="nil"/>
              <w:bottom w:val="single" w:sz="4" w:space="0" w:color="auto"/>
              <w:right w:val="single" w:sz="4" w:space="0" w:color="auto"/>
            </w:tcBorders>
            <w:shd w:val="clear" w:color="auto" w:fill="auto"/>
            <w:vAlign w:val="center"/>
            <w:hideMark/>
          </w:tcPr>
          <w:p w14:paraId="5E5B89F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возрастающий, процент</w:t>
            </w:r>
          </w:p>
        </w:tc>
        <w:tc>
          <w:tcPr>
            <w:tcW w:w="1025" w:type="dxa"/>
            <w:tcBorders>
              <w:top w:val="nil"/>
              <w:left w:val="nil"/>
              <w:bottom w:val="single" w:sz="4" w:space="0" w:color="auto"/>
              <w:right w:val="single" w:sz="4" w:space="0" w:color="auto"/>
            </w:tcBorders>
            <w:shd w:val="clear" w:color="auto" w:fill="auto"/>
            <w:hideMark/>
          </w:tcPr>
          <w:p w14:paraId="78C93DD1" w14:textId="77777777" w:rsidR="002B392F" w:rsidRPr="00FD7B0B" w:rsidRDefault="002B392F" w:rsidP="00EE6D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w:t>
            </w:r>
          </w:p>
        </w:tc>
        <w:tc>
          <w:tcPr>
            <w:tcW w:w="960" w:type="dxa"/>
            <w:tcBorders>
              <w:top w:val="nil"/>
              <w:left w:val="nil"/>
              <w:bottom w:val="single" w:sz="4" w:space="0" w:color="auto"/>
              <w:right w:val="single" w:sz="4" w:space="0" w:color="auto"/>
            </w:tcBorders>
            <w:shd w:val="clear" w:color="auto" w:fill="auto"/>
            <w:hideMark/>
          </w:tcPr>
          <w:p w14:paraId="5B5580BF" w14:textId="77777777" w:rsidR="002B392F" w:rsidRPr="00FD7B0B" w:rsidRDefault="002B392F" w:rsidP="00EE6D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79,7</w:t>
            </w:r>
          </w:p>
        </w:tc>
        <w:tc>
          <w:tcPr>
            <w:tcW w:w="709" w:type="dxa"/>
            <w:tcBorders>
              <w:top w:val="nil"/>
              <w:left w:val="nil"/>
              <w:bottom w:val="single" w:sz="4" w:space="0" w:color="auto"/>
              <w:right w:val="single" w:sz="4" w:space="0" w:color="auto"/>
            </w:tcBorders>
            <w:shd w:val="clear" w:color="auto" w:fill="auto"/>
            <w:noWrap/>
            <w:hideMark/>
          </w:tcPr>
          <w:p w14:paraId="7A39091B" w14:textId="77777777" w:rsidR="002B392F" w:rsidRPr="00FD7B0B" w:rsidRDefault="002B392F" w:rsidP="00EE6D4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-0,3</w:t>
            </w:r>
          </w:p>
        </w:tc>
        <w:tc>
          <w:tcPr>
            <w:tcW w:w="3260" w:type="dxa"/>
            <w:tcBorders>
              <w:top w:val="nil"/>
              <w:left w:val="nil"/>
              <w:bottom w:val="single" w:sz="4" w:space="0" w:color="auto"/>
              <w:right w:val="double" w:sz="6" w:space="0" w:color="auto"/>
            </w:tcBorders>
            <w:shd w:val="clear" w:color="auto" w:fill="auto"/>
            <w:hideMark/>
          </w:tcPr>
          <w:p w14:paraId="791F5C52" w14:textId="77777777" w:rsidR="002B392F" w:rsidRPr="00FD7B0B" w:rsidRDefault="002B392F" w:rsidP="00EE6D4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изменение обусловлено снижением количества выявляемых детей, что в свою очередь служит причиной уменьшения количества детей, передаваемых на воспитание в семьи граждан. </w:t>
            </w:r>
          </w:p>
        </w:tc>
      </w:tr>
      <w:tr w:rsidR="00FD7B0B" w:rsidRPr="00FD7B0B" w14:paraId="641BBA29" w14:textId="77777777" w:rsidTr="008E741B">
        <w:trPr>
          <w:trHeight w:val="392"/>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1A05948A" w14:textId="77777777" w:rsidR="002B392F" w:rsidRPr="00FD7B0B" w:rsidRDefault="002B392F" w:rsidP="002B392F">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2</w:t>
            </w:r>
          </w:p>
        </w:tc>
        <w:tc>
          <w:tcPr>
            <w:tcW w:w="9040" w:type="dxa"/>
            <w:gridSpan w:val="6"/>
            <w:tcBorders>
              <w:top w:val="single" w:sz="4" w:space="0" w:color="auto"/>
              <w:left w:val="nil"/>
              <w:bottom w:val="single" w:sz="4" w:space="0" w:color="auto"/>
              <w:right w:val="double" w:sz="4" w:space="0" w:color="auto"/>
            </w:tcBorders>
            <w:shd w:val="clear" w:color="auto" w:fill="auto"/>
            <w:vAlign w:val="center"/>
            <w:hideMark/>
          </w:tcPr>
          <w:p w14:paraId="63202AED" w14:textId="77777777" w:rsidR="002B392F" w:rsidRPr="00FD7B0B" w:rsidRDefault="002B392F" w:rsidP="002B392F">
            <w:pPr>
              <w:spacing w:after="0" w:line="240" w:lineRule="auto"/>
              <w:jc w:val="center"/>
              <w:rPr>
                <w:rFonts w:ascii="Times New Roman" w:eastAsia="Times New Roman" w:hAnsi="Times New Roman" w:cs="Times New Roman"/>
                <w:bCs/>
                <w:iCs/>
                <w:sz w:val="20"/>
                <w:szCs w:val="20"/>
                <w:lang w:eastAsia="ru-RU"/>
              </w:rPr>
            </w:pPr>
            <w:r w:rsidRPr="00FD7B0B">
              <w:rPr>
                <w:rFonts w:ascii="Times New Roman" w:eastAsia="Times New Roman" w:hAnsi="Times New Roman" w:cs="Times New Roman"/>
                <w:bCs/>
                <w:iCs/>
                <w:sz w:val="20"/>
                <w:szCs w:val="20"/>
                <w:lang w:eastAsia="ru-RU"/>
              </w:rPr>
              <w:t>КПМ «Меры социальной поддержки отдельным категориям граждан, проживающим на территории Архангельской области»</w:t>
            </w:r>
          </w:p>
        </w:tc>
      </w:tr>
      <w:tr w:rsidR="00FD7B0B" w:rsidRPr="00FD7B0B" w14:paraId="1D64A192" w14:textId="77777777" w:rsidTr="008E741B">
        <w:trPr>
          <w:trHeight w:val="2445"/>
        </w:trPr>
        <w:tc>
          <w:tcPr>
            <w:tcW w:w="567" w:type="dxa"/>
            <w:tcBorders>
              <w:top w:val="nil"/>
              <w:left w:val="double" w:sz="6" w:space="0" w:color="auto"/>
              <w:bottom w:val="single" w:sz="4" w:space="0" w:color="auto"/>
              <w:right w:val="single" w:sz="4" w:space="0" w:color="auto"/>
            </w:tcBorders>
            <w:shd w:val="clear" w:color="auto" w:fill="auto"/>
            <w:hideMark/>
          </w:tcPr>
          <w:p w14:paraId="16C19E99" w14:textId="77777777" w:rsidR="002B392F" w:rsidRPr="00FD7B0B" w:rsidRDefault="002B392F" w:rsidP="008E741B">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1.3.</w:t>
            </w:r>
          </w:p>
        </w:tc>
        <w:tc>
          <w:tcPr>
            <w:tcW w:w="2410" w:type="dxa"/>
            <w:tcBorders>
              <w:top w:val="nil"/>
              <w:left w:val="nil"/>
              <w:bottom w:val="single" w:sz="4" w:space="0" w:color="auto"/>
              <w:right w:val="single" w:sz="4" w:space="0" w:color="auto"/>
            </w:tcBorders>
            <w:shd w:val="clear" w:color="auto" w:fill="auto"/>
            <w:hideMark/>
          </w:tcPr>
          <w:p w14:paraId="1CEE160C" w14:textId="77777777" w:rsidR="002B392F" w:rsidRPr="00FD7B0B" w:rsidRDefault="002B392F" w:rsidP="008E741B">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Доля граждан, охваченных государственной социальной помощью на основании социального контракта, в общей численности малоимущих граждан</w:t>
            </w:r>
          </w:p>
        </w:tc>
        <w:tc>
          <w:tcPr>
            <w:tcW w:w="676" w:type="dxa"/>
            <w:tcBorders>
              <w:top w:val="nil"/>
              <w:left w:val="nil"/>
              <w:bottom w:val="single" w:sz="4" w:space="0" w:color="auto"/>
              <w:right w:val="single" w:sz="4" w:space="0" w:color="auto"/>
            </w:tcBorders>
            <w:shd w:val="clear" w:color="auto" w:fill="auto"/>
            <w:vAlign w:val="center"/>
            <w:hideMark/>
          </w:tcPr>
          <w:p w14:paraId="74D0824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возрастающий, процент</w:t>
            </w:r>
          </w:p>
        </w:tc>
        <w:tc>
          <w:tcPr>
            <w:tcW w:w="1025" w:type="dxa"/>
            <w:tcBorders>
              <w:top w:val="nil"/>
              <w:left w:val="nil"/>
              <w:bottom w:val="single" w:sz="4" w:space="0" w:color="auto"/>
              <w:right w:val="single" w:sz="4" w:space="0" w:color="auto"/>
            </w:tcBorders>
            <w:shd w:val="clear" w:color="auto" w:fill="auto"/>
            <w:hideMark/>
          </w:tcPr>
          <w:p w14:paraId="7E21E4C8" w14:textId="77777777" w:rsidR="002B392F" w:rsidRPr="00FD7B0B" w:rsidRDefault="002B392F" w:rsidP="008E741B">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3,7</w:t>
            </w:r>
          </w:p>
        </w:tc>
        <w:tc>
          <w:tcPr>
            <w:tcW w:w="960" w:type="dxa"/>
            <w:tcBorders>
              <w:top w:val="nil"/>
              <w:left w:val="nil"/>
              <w:bottom w:val="single" w:sz="4" w:space="0" w:color="auto"/>
              <w:right w:val="single" w:sz="4" w:space="0" w:color="auto"/>
            </w:tcBorders>
            <w:shd w:val="clear" w:color="auto" w:fill="auto"/>
            <w:hideMark/>
          </w:tcPr>
          <w:p w14:paraId="7552BF85" w14:textId="77777777" w:rsidR="002B392F" w:rsidRPr="00FD7B0B" w:rsidRDefault="002B392F" w:rsidP="008E741B">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w:t>
            </w:r>
          </w:p>
        </w:tc>
        <w:tc>
          <w:tcPr>
            <w:tcW w:w="709" w:type="dxa"/>
            <w:tcBorders>
              <w:top w:val="nil"/>
              <w:left w:val="nil"/>
              <w:bottom w:val="single" w:sz="4" w:space="0" w:color="auto"/>
              <w:right w:val="single" w:sz="4" w:space="0" w:color="auto"/>
            </w:tcBorders>
            <w:shd w:val="clear" w:color="auto" w:fill="auto"/>
            <w:hideMark/>
          </w:tcPr>
          <w:p w14:paraId="028A3CB1" w14:textId="77777777" w:rsidR="002B392F" w:rsidRPr="00FD7B0B" w:rsidRDefault="002B392F" w:rsidP="008E741B">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-0,5</w:t>
            </w:r>
          </w:p>
        </w:tc>
        <w:tc>
          <w:tcPr>
            <w:tcW w:w="3260" w:type="dxa"/>
            <w:tcBorders>
              <w:top w:val="nil"/>
              <w:left w:val="nil"/>
              <w:bottom w:val="single" w:sz="4" w:space="0" w:color="auto"/>
              <w:right w:val="double" w:sz="6" w:space="0" w:color="auto"/>
            </w:tcBorders>
            <w:shd w:val="clear" w:color="auto" w:fill="auto"/>
            <w:hideMark/>
          </w:tcPr>
          <w:p w14:paraId="0C471105" w14:textId="77777777" w:rsidR="002B392F" w:rsidRPr="00FD7B0B" w:rsidRDefault="002B392F" w:rsidP="008E741B">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внесение изменений в дополнительное соглашение к соглашению о реализации на территории Архангельской области государственных программ субъекта Российской Федерации, направленных на достижение целей и показателей государственной программы Российской Федерации «Социальная поддержка граждан» (30.12.2023 №2022-010119/2)</w:t>
            </w:r>
          </w:p>
        </w:tc>
      </w:tr>
      <w:tr w:rsidR="00FD7B0B" w:rsidRPr="00FD7B0B" w14:paraId="35F8AC04" w14:textId="77777777" w:rsidTr="008E741B">
        <w:trPr>
          <w:trHeight w:val="3660"/>
        </w:trPr>
        <w:tc>
          <w:tcPr>
            <w:tcW w:w="567" w:type="dxa"/>
            <w:tcBorders>
              <w:top w:val="nil"/>
              <w:left w:val="double" w:sz="6" w:space="0" w:color="auto"/>
              <w:bottom w:val="double" w:sz="6" w:space="0" w:color="auto"/>
              <w:right w:val="single" w:sz="4" w:space="0" w:color="auto"/>
            </w:tcBorders>
            <w:shd w:val="clear" w:color="auto" w:fill="auto"/>
            <w:hideMark/>
          </w:tcPr>
          <w:p w14:paraId="389723B7" w14:textId="77777777" w:rsidR="002B392F" w:rsidRPr="00FD7B0B" w:rsidRDefault="002B392F" w:rsidP="008E741B">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w:t>
            </w:r>
          </w:p>
        </w:tc>
        <w:tc>
          <w:tcPr>
            <w:tcW w:w="2410" w:type="dxa"/>
            <w:tcBorders>
              <w:top w:val="nil"/>
              <w:left w:val="nil"/>
              <w:bottom w:val="double" w:sz="6" w:space="0" w:color="auto"/>
              <w:right w:val="single" w:sz="4" w:space="0" w:color="auto"/>
            </w:tcBorders>
            <w:shd w:val="clear" w:color="auto" w:fill="auto"/>
            <w:hideMark/>
          </w:tcPr>
          <w:p w14:paraId="1941EB3A" w14:textId="77777777" w:rsidR="002B392F" w:rsidRPr="00FD7B0B" w:rsidRDefault="002B392F" w:rsidP="008E741B">
            <w:pPr>
              <w:spacing w:after="0" w:line="240" w:lineRule="auto"/>
              <w:rPr>
                <w:rFonts w:ascii="Times New Roman" w:eastAsia="Times New Roman" w:hAnsi="Times New Roman" w:cs="Times New Roman"/>
                <w:sz w:val="20"/>
                <w:szCs w:val="20"/>
                <w:lang w:eastAsia="ru-RU"/>
              </w:rPr>
            </w:pPr>
            <w:r w:rsidRPr="00FD7B0B">
              <w:rPr>
                <w:rFonts w:ascii="XO Thames" w:hAnsi="XO Thames"/>
                <w:sz w:val="20"/>
                <w:szCs w:val="20"/>
              </w:rPr>
              <w:t>Предоставлено</w:t>
            </w:r>
            <w:r w:rsidRPr="00FD7B0B">
              <w:rPr>
                <w:rFonts w:ascii="XO Thames" w:hAnsi="XO Thames"/>
                <w:sz w:val="20"/>
                <w:szCs w:val="20"/>
                <w:shd w:val="clear" w:color="auto" w:fill="FFFFFF"/>
              </w:rPr>
              <w:t xml:space="preserve"> субсидий льготным категориям граждан на покупку и установку газоиспользующего оборудования, проведение работ при социальной газификации (догазификации) заменен на </w:t>
            </w:r>
          </w:p>
          <w:p w14:paraId="10E9D3A9" w14:textId="77777777" w:rsidR="002B392F" w:rsidRPr="00FD7B0B" w:rsidRDefault="002B392F" w:rsidP="008E741B">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Уровень обеспеченности домовладений экологически чистым видом топлива (природным газом) в рамках программы субсидирования</w:t>
            </w:r>
          </w:p>
        </w:tc>
        <w:tc>
          <w:tcPr>
            <w:tcW w:w="676" w:type="dxa"/>
            <w:tcBorders>
              <w:top w:val="nil"/>
              <w:left w:val="nil"/>
              <w:bottom w:val="double" w:sz="6" w:space="0" w:color="auto"/>
              <w:right w:val="single" w:sz="4" w:space="0" w:color="auto"/>
            </w:tcBorders>
            <w:shd w:val="clear" w:color="auto" w:fill="auto"/>
            <w:vAlign w:val="center"/>
            <w:hideMark/>
          </w:tcPr>
          <w:p w14:paraId="7569A7B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возрастающий, процент</w:t>
            </w:r>
          </w:p>
        </w:tc>
        <w:tc>
          <w:tcPr>
            <w:tcW w:w="1025" w:type="dxa"/>
            <w:tcBorders>
              <w:top w:val="nil"/>
              <w:left w:val="nil"/>
              <w:bottom w:val="double" w:sz="6" w:space="0" w:color="auto"/>
              <w:right w:val="single" w:sz="4" w:space="0" w:color="auto"/>
            </w:tcBorders>
            <w:shd w:val="clear" w:color="auto" w:fill="auto"/>
            <w:noWrap/>
            <w:hideMark/>
          </w:tcPr>
          <w:p w14:paraId="71546049" w14:textId="77777777" w:rsidR="002B392F" w:rsidRPr="00FD7B0B" w:rsidRDefault="002B392F" w:rsidP="008E741B">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c>
          <w:tcPr>
            <w:tcW w:w="960" w:type="dxa"/>
            <w:tcBorders>
              <w:top w:val="nil"/>
              <w:left w:val="nil"/>
              <w:bottom w:val="double" w:sz="6" w:space="0" w:color="auto"/>
              <w:right w:val="single" w:sz="4" w:space="0" w:color="auto"/>
            </w:tcBorders>
            <w:shd w:val="clear" w:color="auto" w:fill="auto"/>
            <w:hideMark/>
          </w:tcPr>
          <w:p w14:paraId="4CFEC8EE" w14:textId="77777777" w:rsidR="002B392F" w:rsidRPr="00FD7B0B" w:rsidRDefault="002B392F" w:rsidP="008E741B">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709" w:type="dxa"/>
            <w:tcBorders>
              <w:top w:val="nil"/>
              <w:left w:val="nil"/>
              <w:bottom w:val="double" w:sz="6" w:space="0" w:color="auto"/>
              <w:right w:val="single" w:sz="4" w:space="0" w:color="auto"/>
            </w:tcBorders>
            <w:shd w:val="clear" w:color="auto" w:fill="auto"/>
            <w:noWrap/>
            <w:hideMark/>
          </w:tcPr>
          <w:p w14:paraId="656F2867" w14:textId="77777777" w:rsidR="002B392F" w:rsidRPr="00FD7B0B" w:rsidRDefault="002B392F" w:rsidP="008E741B">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c>
          <w:tcPr>
            <w:tcW w:w="3260" w:type="dxa"/>
            <w:tcBorders>
              <w:top w:val="nil"/>
              <w:left w:val="nil"/>
              <w:bottom w:val="double" w:sz="6" w:space="0" w:color="auto"/>
              <w:right w:val="double" w:sz="6" w:space="0" w:color="auto"/>
            </w:tcBorders>
            <w:shd w:val="clear" w:color="auto" w:fill="auto"/>
            <w:hideMark/>
          </w:tcPr>
          <w:p w14:paraId="746DDE5E" w14:textId="77777777" w:rsidR="002B392F" w:rsidRPr="00FD7B0B" w:rsidRDefault="002B392F" w:rsidP="008E741B">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в связи с изменениями, запланированными в проекте доп. соглашения </w:t>
            </w:r>
            <w:r w:rsidRPr="00FD7B0B">
              <w:rPr>
                <w:rFonts w:ascii="Times New Roman" w:eastAsia="Times New Roman" w:hAnsi="Times New Roman" w:cs="Times New Roman"/>
                <w:sz w:val="20"/>
                <w:szCs w:val="20"/>
                <w:lang w:eastAsia="ru-RU"/>
              </w:rPr>
              <w:br w:type="page"/>
              <w:t>к Соглашению о реализации на территории Архангельской области государственных программ субъекта Российской Федерации, направленных на достижение целей и показателей государственной программы Российской Федерации «Развитие энергетики» от 15.04.2024. № 2024-00367 (проект № 2024-00367/1). В проекте показатель заменен на «Уровень обеспеченности домовладений экологически чистым видом топлива (природным газом) в рамках программы субсидирования»</w:t>
            </w:r>
            <w:r w:rsidRPr="00FD7B0B">
              <w:rPr>
                <w:rFonts w:ascii="Times New Roman" w:eastAsia="Times New Roman" w:hAnsi="Times New Roman" w:cs="Times New Roman"/>
                <w:sz w:val="20"/>
                <w:szCs w:val="20"/>
                <w:lang w:eastAsia="ru-RU"/>
              </w:rPr>
              <w:br w:type="page"/>
            </w:r>
          </w:p>
        </w:tc>
      </w:tr>
    </w:tbl>
    <w:p w14:paraId="1FEBF6A3" w14:textId="77777777"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p>
    <w:p w14:paraId="3A61953F" w14:textId="4F61D34A"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Плановые и фактические значения показателей ГП № 03 за 2022 – 202</w:t>
      </w:r>
      <w:r w:rsidR="008E741B" w:rsidRPr="00FD7B0B">
        <w:rPr>
          <w:rFonts w:ascii="Times New Roman" w:eastAsia="Times New Roman" w:hAnsi="Times New Roman" w:cs="Times New Roman"/>
          <w:sz w:val="28"/>
          <w:szCs w:val="28"/>
          <w:lang w:eastAsia="ru-RU"/>
        </w:rPr>
        <w:t xml:space="preserve">4 гг. представлены в таблице </w:t>
      </w:r>
      <w:r w:rsidR="00F745C4" w:rsidRPr="00FD7B0B">
        <w:rPr>
          <w:rFonts w:ascii="Times New Roman" w:eastAsia="Times New Roman" w:hAnsi="Times New Roman" w:cs="Times New Roman"/>
          <w:sz w:val="28"/>
          <w:szCs w:val="28"/>
          <w:lang w:eastAsia="ru-RU"/>
        </w:rPr>
        <w:t>104</w:t>
      </w:r>
      <w:r w:rsidRPr="00FD7B0B">
        <w:rPr>
          <w:rFonts w:ascii="Times New Roman" w:eastAsia="Times New Roman" w:hAnsi="Times New Roman" w:cs="Times New Roman"/>
          <w:sz w:val="28"/>
          <w:szCs w:val="28"/>
          <w:lang w:eastAsia="ru-RU"/>
        </w:rPr>
        <w:t>.</w:t>
      </w:r>
    </w:p>
    <w:p w14:paraId="4CA7570C" w14:textId="77777777" w:rsidR="002B392F" w:rsidRPr="00FD7B0B" w:rsidRDefault="002B392F" w:rsidP="002B392F">
      <w:pPr>
        <w:spacing w:after="0" w:line="240" w:lineRule="auto"/>
        <w:contextualSpacing/>
        <w:rPr>
          <w:rFonts w:ascii="Times New Roman" w:hAnsi="Times New Roman"/>
          <w:sz w:val="24"/>
          <w:szCs w:val="24"/>
        </w:rPr>
      </w:pPr>
    </w:p>
    <w:p w14:paraId="4AC333F0" w14:textId="77777777" w:rsidR="002B392F" w:rsidRPr="00FD7B0B" w:rsidRDefault="002B392F" w:rsidP="002B392F">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104</w:t>
      </w:r>
      <w:r w:rsidRPr="00FD7B0B">
        <w:rPr>
          <w:rFonts w:ascii="Times New Roman" w:hAnsi="Times New Roman"/>
          <w:sz w:val="24"/>
          <w:szCs w:val="24"/>
        </w:rPr>
        <w:fldChar w:fldCharType="end"/>
      </w:r>
      <w:r w:rsidRPr="00FD7B0B">
        <w:rPr>
          <w:rFonts w:ascii="Times New Roman" w:hAnsi="Times New Roman"/>
          <w:sz w:val="24"/>
          <w:szCs w:val="24"/>
        </w:rPr>
        <w:t>. Динамика значений показателей ГП № 03 (без показателей РП, КПМ) за 2022 – 2024 годы</w:t>
      </w:r>
    </w:p>
    <w:tbl>
      <w:tblPr>
        <w:tblW w:w="9653" w:type="dxa"/>
        <w:tblInd w:w="-23" w:type="dxa"/>
        <w:tblLook w:val="04A0" w:firstRow="1" w:lastRow="0" w:firstColumn="1" w:lastColumn="0" w:noHBand="0" w:noVBand="1"/>
      </w:tblPr>
      <w:tblGrid>
        <w:gridCol w:w="6237"/>
        <w:gridCol w:w="1073"/>
        <w:gridCol w:w="1134"/>
        <w:gridCol w:w="1209"/>
      </w:tblGrid>
      <w:tr w:rsidR="00FD7B0B" w:rsidRPr="00FD7B0B" w14:paraId="2CF682C8" w14:textId="77777777" w:rsidTr="001E4E82">
        <w:trPr>
          <w:trHeight w:hRule="exact" w:val="520"/>
          <w:tblHeader/>
        </w:trPr>
        <w:tc>
          <w:tcPr>
            <w:tcW w:w="623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DAC4A1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показателя</w:t>
            </w:r>
          </w:p>
        </w:tc>
        <w:tc>
          <w:tcPr>
            <w:tcW w:w="1073" w:type="dxa"/>
            <w:tcBorders>
              <w:top w:val="double" w:sz="6" w:space="0" w:color="auto"/>
              <w:left w:val="nil"/>
              <w:bottom w:val="single" w:sz="4" w:space="0" w:color="auto"/>
              <w:right w:val="single" w:sz="4" w:space="0" w:color="auto"/>
            </w:tcBorders>
            <w:shd w:val="clear" w:color="auto" w:fill="auto"/>
            <w:vAlign w:val="center"/>
            <w:hideMark/>
          </w:tcPr>
          <w:p w14:paraId="15A32E4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3032E5B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w:t>
            </w:r>
          </w:p>
        </w:tc>
        <w:tc>
          <w:tcPr>
            <w:tcW w:w="1209" w:type="dxa"/>
            <w:tcBorders>
              <w:top w:val="double" w:sz="6" w:space="0" w:color="auto"/>
              <w:left w:val="nil"/>
              <w:bottom w:val="single" w:sz="4" w:space="0" w:color="auto"/>
              <w:right w:val="double" w:sz="6" w:space="0" w:color="auto"/>
            </w:tcBorders>
            <w:shd w:val="clear" w:color="auto" w:fill="auto"/>
            <w:vAlign w:val="center"/>
            <w:hideMark/>
          </w:tcPr>
          <w:p w14:paraId="2BA3260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w:t>
            </w:r>
          </w:p>
        </w:tc>
      </w:tr>
      <w:tr w:rsidR="00FD7B0B" w:rsidRPr="00FD7B0B" w14:paraId="1BBCB434" w14:textId="77777777" w:rsidTr="001E4E82">
        <w:trPr>
          <w:trHeight w:val="80"/>
        </w:trPr>
        <w:tc>
          <w:tcPr>
            <w:tcW w:w="9653"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0803FAE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Удельный вес граждан, имеющих право на меры социальной поддержки, в общей численности населения Архангельской области, %</w:t>
            </w:r>
          </w:p>
        </w:tc>
      </w:tr>
      <w:tr w:rsidR="00FD7B0B" w:rsidRPr="00FD7B0B" w14:paraId="744E0C6C"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3159EB4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 год</w:t>
            </w:r>
          </w:p>
        </w:tc>
        <w:tc>
          <w:tcPr>
            <w:tcW w:w="1073" w:type="dxa"/>
            <w:tcBorders>
              <w:top w:val="nil"/>
              <w:left w:val="nil"/>
              <w:bottom w:val="single" w:sz="4" w:space="0" w:color="auto"/>
              <w:right w:val="single" w:sz="4" w:space="0" w:color="auto"/>
            </w:tcBorders>
            <w:shd w:val="clear" w:color="auto" w:fill="auto"/>
            <w:noWrap/>
            <w:vAlign w:val="center"/>
            <w:hideMark/>
          </w:tcPr>
          <w:p w14:paraId="61A4126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35,3</w:t>
            </w:r>
          </w:p>
        </w:tc>
        <w:tc>
          <w:tcPr>
            <w:tcW w:w="1134" w:type="dxa"/>
            <w:tcBorders>
              <w:top w:val="nil"/>
              <w:left w:val="nil"/>
              <w:bottom w:val="single" w:sz="4" w:space="0" w:color="auto"/>
              <w:right w:val="single" w:sz="4" w:space="0" w:color="auto"/>
            </w:tcBorders>
            <w:shd w:val="clear" w:color="auto" w:fill="auto"/>
            <w:noWrap/>
            <w:vAlign w:val="center"/>
            <w:hideMark/>
          </w:tcPr>
          <w:p w14:paraId="6E63E7A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36,9</w:t>
            </w:r>
          </w:p>
        </w:tc>
        <w:tc>
          <w:tcPr>
            <w:tcW w:w="1209" w:type="dxa"/>
            <w:tcBorders>
              <w:top w:val="nil"/>
              <w:left w:val="nil"/>
              <w:bottom w:val="single" w:sz="4" w:space="0" w:color="auto"/>
              <w:right w:val="double" w:sz="6" w:space="0" w:color="auto"/>
            </w:tcBorders>
            <w:shd w:val="clear" w:color="auto" w:fill="auto"/>
            <w:noWrap/>
            <w:vAlign w:val="center"/>
            <w:hideMark/>
          </w:tcPr>
          <w:p w14:paraId="09BB5F9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104,5</w:t>
            </w:r>
          </w:p>
        </w:tc>
      </w:tr>
      <w:tr w:rsidR="00FD7B0B" w:rsidRPr="00FD7B0B" w14:paraId="7C650659"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713F87C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73" w:type="dxa"/>
            <w:tcBorders>
              <w:top w:val="nil"/>
              <w:left w:val="nil"/>
              <w:bottom w:val="single" w:sz="4" w:space="0" w:color="auto"/>
              <w:right w:val="single" w:sz="4" w:space="0" w:color="auto"/>
            </w:tcBorders>
            <w:shd w:val="clear" w:color="auto" w:fill="auto"/>
            <w:noWrap/>
            <w:vAlign w:val="center"/>
            <w:hideMark/>
          </w:tcPr>
          <w:p w14:paraId="2D483FD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35,3</w:t>
            </w:r>
          </w:p>
        </w:tc>
        <w:tc>
          <w:tcPr>
            <w:tcW w:w="1134" w:type="dxa"/>
            <w:tcBorders>
              <w:top w:val="nil"/>
              <w:left w:val="nil"/>
              <w:bottom w:val="single" w:sz="4" w:space="0" w:color="auto"/>
              <w:right w:val="single" w:sz="4" w:space="0" w:color="auto"/>
            </w:tcBorders>
            <w:shd w:val="clear" w:color="auto" w:fill="auto"/>
            <w:noWrap/>
            <w:vAlign w:val="center"/>
            <w:hideMark/>
          </w:tcPr>
          <w:p w14:paraId="47C632F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36,5</w:t>
            </w:r>
          </w:p>
        </w:tc>
        <w:tc>
          <w:tcPr>
            <w:tcW w:w="1209" w:type="dxa"/>
            <w:tcBorders>
              <w:top w:val="nil"/>
              <w:left w:val="nil"/>
              <w:bottom w:val="single" w:sz="4" w:space="0" w:color="auto"/>
              <w:right w:val="double" w:sz="6" w:space="0" w:color="auto"/>
            </w:tcBorders>
            <w:shd w:val="clear" w:color="auto" w:fill="auto"/>
            <w:noWrap/>
            <w:vAlign w:val="center"/>
            <w:hideMark/>
          </w:tcPr>
          <w:p w14:paraId="199ECE8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103,4</w:t>
            </w:r>
          </w:p>
        </w:tc>
      </w:tr>
      <w:tr w:rsidR="00FD7B0B" w:rsidRPr="00FD7B0B" w14:paraId="55773F96"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4AB17C3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73" w:type="dxa"/>
            <w:tcBorders>
              <w:top w:val="nil"/>
              <w:left w:val="nil"/>
              <w:bottom w:val="single" w:sz="4" w:space="0" w:color="auto"/>
              <w:right w:val="single" w:sz="4" w:space="0" w:color="auto"/>
            </w:tcBorders>
            <w:shd w:val="clear" w:color="auto" w:fill="auto"/>
            <w:noWrap/>
            <w:vAlign w:val="center"/>
            <w:hideMark/>
          </w:tcPr>
          <w:p w14:paraId="15F73BC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35,3</w:t>
            </w:r>
          </w:p>
        </w:tc>
        <w:tc>
          <w:tcPr>
            <w:tcW w:w="1134" w:type="dxa"/>
            <w:tcBorders>
              <w:top w:val="nil"/>
              <w:left w:val="nil"/>
              <w:bottom w:val="single" w:sz="4" w:space="0" w:color="auto"/>
              <w:right w:val="single" w:sz="4" w:space="0" w:color="auto"/>
            </w:tcBorders>
            <w:shd w:val="clear" w:color="auto" w:fill="auto"/>
            <w:noWrap/>
            <w:vAlign w:val="center"/>
            <w:hideMark/>
          </w:tcPr>
          <w:p w14:paraId="48BDD79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37,3</w:t>
            </w:r>
          </w:p>
        </w:tc>
        <w:tc>
          <w:tcPr>
            <w:tcW w:w="1209" w:type="dxa"/>
            <w:tcBorders>
              <w:top w:val="nil"/>
              <w:left w:val="nil"/>
              <w:bottom w:val="single" w:sz="4" w:space="0" w:color="auto"/>
              <w:right w:val="double" w:sz="6" w:space="0" w:color="auto"/>
            </w:tcBorders>
            <w:shd w:val="clear" w:color="auto" w:fill="auto"/>
            <w:noWrap/>
            <w:vAlign w:val="center"/>
            <w:hideMark/>
          </w:tcPr>
          <w:p w14:paraId="360413C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105,7</w:t>
            </w:r>
          </w:p>
        </w:tc>
      </w:tr>
      <w:tr w:rsidR="00FD7B0B" w:rsidRPr="00FD7B0B" w14:paraId="5C05F87A" w14:textId="77777777" w:rsidTr="001E4E82">
        <w:trPr>
          <w:trHeight w:val="43"/>
        </w:trPr>
        <w:tc>
          <w:tcPr>
            <w:tcW w:w="9653"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5ACF413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Удельный вес детей, охваченных организованными формами отдыха и оздоровления, в общей численности детей школьного возраста в Архангельской области, %</w:t>
            </w:r>
          </w:p>
        </w:tc>
      </w:tr>
      <w:tr w:rsidR="00FD7B0B" w:rsidRPr="00FD7B0B" w14:paraId="58E093EF"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6C1A592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 год</w:t>
            </w:r>
          </w:p>
        </w:tc>
        <w:tc>
          <w:tcPr>
            <w:tcW w:w="1073" w:type="dxa"/>
            <w:tcBorders>
              <w:top w:val="nil"/>
              <w:left w:val="nil"/>
              <w:bottom w:val="single" w:sz="4" w:space="0" w:color="auto"/>
              <w:right w:val="single" w:sz="4" w:space="0" w:color="auto"/>
            </w:tcBorders>
            <w:shd w:val="clear" w:color="auto" w:fill="auto"/>
            <w:noWrap/>
            <w:vAlign w:val="center"/>
            <w:hideMark/>
          </w:tcPr>
          <w:p w14:paraId="49DC130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w:t>
            </w:r>
          </w:p>
        </w:tc>
        <w:tc>
          <w:tcPr>
            <w:tcW w:w="1134" w:type="dxa"/>
            <w:tcBorders>
              <w:top w:val="nil"/>
              <w:left w:val="nil"/>
              <w:bottom w:val="single" w:sz="4" w:space="0" w:color="auto"/>
              <w:right w:val="single" w:sz="4" w:space="0" w:color="auto"/>
            </w:tcBorders>
            <w:shd w:val="clear" w:color="auto" w:fill="auto"/>
            <w:noWrap/>
            <w:vAlign w:val="center"/>
            <w:hideMark/>
          </w:tcPr>
          <w:p w14:paraId="1AD2BAC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54,4</w:t>
            </w:r>
          </w:p>
        </w:tc>
        <w:tc>
          <w:tcPr>
            <w:tcW w:w="1209" w:type="dxa"/>
            <w:tcBorders>
              <w:top w:val="nil"/>
              <w:left w:val="nil"/>
              <w:bottom w:val="single" w:sz="4" w:space="0" w:color="auto"/>
              <w:right w:val="double" w:sz="6" w:space="0" w:color="auto"/>
            </w:tcBorders>
            <w:shd w:val="clear" w:color="auto" w:fill="auto"/>
            <w:noWrap/>
            <w:vAlign w:val="center"/>
            <w:hideMark/>
          </w:tcPr>
          <w:p w14:paraId="21551A5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102,6</w:t>
            </w:r>
          </w:p>
        </w:tc>
      </w:tr>
      <w:tr w:rsidR="00FD7B0B" w:rsidRPr="00FD7B0B" w14:paraId="46727F42"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3A981C3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73" w:type="dxa"/>
            <w:tcBorders>
              <w:top w:val="nil"/>
              <w:left w:val="nil"/>
              <w:bottom w:val="single" w:sz="4" w:space="0" w:color="auto"/>
              <w:right w:val="single" w:sz="4" w:space="0" w:color="auto"/>
            </w:tcBorders>
            <w:shd w:val="clear" w:color="auto" w:fill="auto"/>
            <w:noWrap/>
            <w:vAlign w:val="center"/>
            <w:hideMark/>
          </w:tcPr>
          <w:p w14:paraId="787FC63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w:t>
            </w:r>
          </w:p>
        </w:tc>
        <w:tc>
          <w:tcPr>
            <w:tcW w:w="1134" w:type="dxa"/>
            <w:tcBorders>
              <w:top w:val="nil"/>
              <w:left w:val="nil"/>
              <w:bottom w:val="single" w:sz="4" w:space="0" w:color="auto"/>
              <w:right w:val="single" w:sz="4" w:space="0" w:color="auto"/>
            </w:tcBorders>
            <w:shd w:val="clear" w:color="auto" w:fill="auto"/>
            <w:noWrap/>
            <w:vAlign w:val="center"/>
            <w:hideMark/>
          </w:tcPr>
          <w:p w14:paraId="58E33FE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w:t>
            </w:r>
          </w:p>
        </w:tc>
        <w:tc>
          <w:tcPr>
            <w:tcW w:w="1209" w:type="dxa"/>
            <w:tcBorders>
              <w:top w:val="nil"/>
              <w:left w:val="nil"/>
              <w:bottom w:val="single" w:sz="4" w:space="0" w:color="auto"/>
              <w:right w:val="double" w:sz="6" w:space="0" w:color="auto"/>
            </w:tcBorders>
            <w:shd w:val="clear" w:color="auto" w:fill="auto"/>
            <w:noWrap/>
            <w:vAlign w:val="center"/>
            <w:hideMark/>
          </w:tcPr>
          <w:p w14:paraId="211890A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84,9</w:t>
            </w:r>
          </w:p>
        </w:tc>
      </w:tr>
      <w:tr w:rsidR="00FD7B0B" w:rsidRPr="00FD7B0B" w14:paraId="26E30407"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3188D4F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73" w:type="dxa"/>
            <w:tcBorders>
              <w:top w:val="nil"/>
              <w:left w:val="nil"/>
              <w:bottom w:val="single" w:sz="4" w:space="0" w:color="auto"/>
              <w:right w:val="single" w:sz="4" w:space="0" w:color="auto"/>
            </w:tcBorders>
            <w:shd w:val="clear" w:color="auto" w:fill="auto"/>
            <w:noWrap/>
            <w:vAlign w:val="center"/>
            <w:hideMark/>
          </w:tcPr>
          <w:p w14:paraId="695F580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w:t>
            </w:r>
          </w:p>
        </w:tc>
        <w:tc>
          <w:tcPr>
            <w:tcW w:w="1134" w:type="dxa"/>
            <w:tcBorders>
              <w:top w:val="nil"/>
              <w:left w:val="nil"/>
              <w:bottom w:val="single" w:sz="4" w:space="0" w:color="auto"/>
              <w:right w:val="single" w:sz="4" w:space="0" w:color="auto"/>
            </w:tcBorders>
            <w:shd w:val="clear" w:color="auto" w:fill="auto"/>
            <w:noWrap/>
            <w:vAlign w:val="center"/>
            <w:hideMark/>
          </w:tcPr>
          <w:p w14:paraId="09C1034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52,4</w:t>
            </w:r>
          </w:p>
        </w:tc>
        <w:tc>
          <w:tcPr>
            <w:tcW w:w="1209" w:type="dxa"/>
            <w:tcBorders>
              <w:top w:val="nil"/>
              <w:left w:val="nil"/>
              <w:bottom w:val="single" w:sz="4" w:space="0" w:color="auto"/>
              <w:right w:val="double" w:sz="6" w:space="0" w:color="auto"/>
            </w:tcBorders>
            <w:shd w:val="clear" w:color="auto" w:fill="auto"/>
            <w:noWrap/>
            <w:vAlign w:val="center"/>
            <w:hideMark/>
          </w:tcPr>
          <w:p w14:paraId="4CA667A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163,8</w:t>
            </w:r>
          </w:p>
        </w:tc>
      </w:tr>
      <w:tr w:rsidR="00FD7B0B" w:rsidRPr="00FD7B0B" w14:paraId="1AA13441" w14:textId="77777777" w:rsidTr="001E4E82">
        <w:trPr>
          <w:trHeight w:val="272"/>
        </w:trPr>
        <w:tc>
          <w:tcPr>
            <w:tcW w:w="9653"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6E1E474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Удельный вес детей, находящихся в социально опасном положении, в общей численности детского населения Архангельской области</w:t>
            </w:r>
          </w:p>
        </w:tc>
      </w:tr>
      <w:tr w:rsidR="00FD7B0B" w:rsidRPr="00FD7B0B" w14:paraId="1018F744"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355E63C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2022 год</w:t>
            </w:r>
          </w:p>
        </w:tc>
        <w:tc>
          <w:tcPr>
            <w:tcW w:w="1073" w:type="dxa"/>
            <w:tcBorders>
              <w:top w:val="nil"/>
              <w:left w:val="nil"/>
              <w:bottom w:val="single" w:sz="4" w:space="0" w:color="auto"/>
              <w:right w:val="single" w:sz="4" w:space="0" w:color="auto"/>
            </w:tcBorders>
            <w:shd w:val="clear" w:color="auto" w:fill="auto"/>
            <w:noWrap/>
            <w:vAlign w:val="center"/>
            <w:hideMark/>
          </w:tcPr>
          <w:p w14:paraId="01268BA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w:t>
            </w:r>
          </w:p>
        </w:tc>
        <w:tc>
          <w:tcPr>
            <w:tcW w:w="1134" w:type="dxa"/>
            <w:tcBorders>
              <w:top w:val="nil"/>
              <w:left w:val="nil"/>
              <w:bottom w:val="single" w:sz="4" w:space="0" w:color="auto"/>
              <w:right w:val="single" w:sz="4" w:space="0" w:color="auto"/>
            </w:tcBorders>
            <w:shd w:val="clear" w:color="auto" w:fill="auto"/>
            <w:noWrap/>
            <w:vAlign w:val="center"/>
            <w:hideMark/>
          </w:tcPr>
          <w:p w14:paraId="3EC9698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w:t>
            </w:r>
          </w:p>
        </w:tc>
        <w:tc>
          <w:tcPr>
            <w:tcW w:w="1209" w:type="dxa"/>
            <w:tcBorders>
              <w:top w:val="nil"/>
              <w:left w:val="nil"/>
              <w:bottom w:val="single" w:sz="4" w:space="0" w:color="auto"/>
              <w:right w:val="double" w:sz="6" w:space="0" w:color="auto"/>
            </w:tcBorders>
            <w:shd w:val="clear" w:color="auto" w:fill="auto"/>
            <w:noWrap/>
            <w:vAlign w:val="center"/>
            <w:hideMark/>
          </w:tcPr>
          <w:p w14:paraId="4FE144C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115712C7"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28D2A52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73" w:type="dxa"/>
            <w:tcBorders>
              <w:top w:val="nil"/>
              <w:left w:val="nil"/>
              <w:bottom w:val="single" w:sz="4" w:space="0" w:color="auto"/>
              <w:right w:val="single" w:sz="4" w:space="0" w:color="auto"/>
            </w:tcBorders>
            <w:shd w:val="clear" w:color="auto" w:fill="auto"/>
            <w:noWrap/>
            <w:vAlign w:val="center"/>
            <w:hideMark/>
          </w:tcPr>
          <w:p w14:paraId="34176F0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1,28</w:t>
            </w:r>
          </w:p>
        </w:tc>
        <w:tc>
          <w:tcPr>
            <w:tcW w:w="1134" w:type="dxa"/>
            <w:tcBorders>
              <w:top w:val="nil"/>
              <w:left w:val="nil"/>
              <w:bottom w:val="single" w:sz="4" w:space="0" w:color="auto"/>
              <w:right w:val="single" w:sz="4" w:space="0" w:color="auto"/>
            </w:tcBorders>
            <w:shd w:val="clear" w:color="auto" w:fill="auto"/>
            <w:noWrap/>
            <w:vAlign w:val="center"/>
            <w:hideMark/>
          </w:tcPr>
          <w:p w14:paraId="020B954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1,29</w:t>
            </w:r>
          </w:p>
        </w:tc>
        <w:tc>
          <w:tcPr>
            <w:tcW w:w="1209" w:type="dxa"/>
            <w:tcBorders>
              <w:top w:val="nil"/>
              <w:left w:val="nil"/>
              <w:bottom w:val="single" w:sz="4" w:space="0" w:color="auto"/>
              <w:right w:val="double" w:sz="6" w:space="0" w:color="auto"/>
            </w:tcBorders>
            <w:shd w:val="clear" w:color="auto" w:fill="auto"/>
            <w:noWrap/>
            <w:vAlign w:val="center"/>
            <w:hideMark/>
          </w:tcPr>
          <w:p w14:paraId="116957B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99,2</w:t>
            </w:r>
          </w:p>
        </w:tc>
      </w:tr>
      <w:tr w:rsidR="00FD7B0B" w:rsidRPr="00FD7B0B" w14:paraId="4A858A73"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54781A1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73" w:type="dxa"/>
            <w:tcBorders>
              <w:top w:val="nil"/>
              <w:left w:val="nil"/>
              <w:bottom w:val="single" w:sz="4" w:space="0" w:color="auto"/>
              <w:right w:val="single" w:sz="4" w:space="0" w:color="auto"/>
            </w:tcBorders>
            <w:shd w:val="clear" w:color="auto" w:fill="auto"/>
            <w:noWrap/>
            <w:vAlign w:val="center"/>
            <w:hideMark/>
          </w:tcPr>
          <w:p w14:paraId="1E8E786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1,28</w:t>
            </w:r>
          </w:p>
        </w:tc>
        <w:tc>
          <w:tcPr>
            <w:tcW w:w="1134" w:type="dxa"/>
            <w:tcBorders>
              <w:top w:val="nil"/>
              <w:left w:val="nil"/>
              <w:bottom w:val="single" w:sz="4" w:space="0" w:color="auto"/>
              <w:right w:val="single" w:sz="4" w:space="0" w:color="auto"/>
            </w:tcBorders>
            <w:shd w:val="clear" w:color="auto" w:fill="auto"/>
            <w:noWrap/>
            <w:vAlign w:val="center"/>
            <w:hideMark/>
          </w:tcPr>
          <w:p w14:paraId="5AAD747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1,33</w:t>
            </w:r>
          </w:p>
        </w:tc>
        <w:tc>
          <w:tcPr>
            <w:tcW w:w="1209" w:type="dxa"/>
            <w:tcBorders>
              <w:top w:val="nil"/>
              <w:left w:val="nil"/>
              <w:bottom w:val="single" w:sz="4" w:space="0" w:color="auto"/>
              <w:right w:val="double" w:sz="6" w:space="0" w:color="auto"/>
            </w:tcBorders>
            <w:shd w:val="clear" w:color="auto" w:fill="auto"/>
            <w:noWrap/>
            <w:vAlign w:val="center"/>
            <w:hideMark/>
          </w:tcPr>
          <w:p w14:paraId="4B59AE6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96,2</w:t>
            </w:r>
          </w:p>
        </w:tc>
      </w:tr>
      <w:tr w:rsidR="00FD7B0B" w:rsidRPr="00FD7B0B" w14:paraId="7EE537CC" w14:textId="77777777" w:rsidTr="001E4E82">
        <w:trPr>
          <w:trHeight w:val="482"/>
        </w:trPr>
        <w:tc>
          <w:tcPr>
            <w:tcW w:w="9653"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001D4B7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Удельный вес объектов социальной инфраструктуры, на которые сформированы паспорта доступности, среди общего количества объектов социальной инфраструктуры в приоритетных сферах жизнедеятельности инвалидов и других маломобильных групп населения в Архангельской области, %</w:t>
            </w:r>
          </w:p>
        </w:tc>
      </w:tr>
      <w:tr w:rsidR="00FD7B0B" w:rsidRPr="00FD7B0B" w14:paraId="1AAAE69D"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3A9A7AF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 год</w:t>
            </w:r>
          </w:p>
        </w:tc>
        <w:tc>
          <w:tcPr>
            <w:tcW w:w="1073" w:type="dxa"/>
            <w:tcBorders>
              <w:top w:val="nil"/>
              <w:left w:val="nil"/>
              <w:bottom w:val="single" w:sz="4" w:space="0" w:color="auto"/>
              <w:right w:val="single" w:sz="4" w:space="0" w:color="auto"/>
            </w:tcBorders>
            <w:shd w:val="clear" w:color="auto" w:fill="auto"/>
            <w:noWrap/>
            <w:vAlign w:val="center"/>
            <w:hideMark/>
          </w:tcPr>
          <w:p w14:paraId="536BD5C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w:t>
            </w:r>
          </w:p>
        </w:tc>
        <w:tc>
          <w:tcPr>
            <w:tcW w:w="1134" w:type="dxa"/>
            <w:tcBorders>
              <w:top w:val="nil"/>
              <w:left w:val="nil"/>
              <w:bottom w:val="single" w:sz="4" w:space="0" w:color="auto"/>
              <w:right w:val="single" w:sz="4" w:space="0" w:color="auto"/>
            </w:tcBorders>
            <w:shd w:val="clear" w:color="auto" w:fill="auto"/>
            <w:noWrap/>
            <w:vAlign w:val="center"/>
            <w:hideMark/>
          </w:tcPr>
          <w:p w14:paraId="6AF620A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w:t>
            </w:r>
          </w:p>
        </w:tc>
        <w:tc>
          <w:tcPr>
            <w:tcW w:w="1209" w:type="dxa"/>
            <w:tcBorders>
              <w:top w:val="nil"/>
              <w:left w:val="nil"/>
              <w:bottom w:val="single" w:sz="4" w:space="0" w:color="auto"/>
              <w:right w:val="double" w:sz="6" w:space="0" w:color="auto"/>
            </w:tcBorders>
            <w:shd w:val="clear" w:color="auto" w:fill="auto"/>
            <w:noWrap/>
            <w:vAlign w:val="center"/>
            <w:hideMark/>
          </w:tcPr>
          <w:p w14:paraId="7F4F277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314597B9"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295DE6C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73" w:type="dxa"/>
            <w:tcBorders>
              <w:top w:val="nil"/>
              <w:left w:val="nil"/>
              <w:bottom w:val="single" w:sz="4" w:space="0" w:color="auto"/>
              <w:right w:val="single" w:sz="4" w:space="0" w:color="auto"/>
            </w:tcBorders>
            <w:shd w:val="clear" w:color="auto" w:fill="auto"/>
            <w:noWrap/>
            <w:vAlign w:val="center"/>
            <w:hideMark/>
          </w:tcPr>
          <w:p w14:paraId="126B670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84</w:t>
            </w:r>
          </w:p>
        </w:tc>
        <w:tc>
          <w:tcPr>
            <w:tcW w:w="1134" w:type="dxa"/>
            <w:tcBorders>
              <w:top w:val="nil"/>
              <w:left w:val="nil"/>
              <w:bottom w:val="single" w:sz="4" w:space="0" w:color="auto"/>
              <w:right w:val="single" w:sz="4" w:space="0" w:color="auto"/>
            </w:tcBorders>
            <w:shd w:val="clear" w:color="auto" w:fill="auto"/>
            <w:noWrap/>
            <w:vAlign w:val="center"/>
            <w:hideMark/>
          </w:tcPr>
          <w:p w14:paraId="3D5BCE8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84</w:t>
            </w:r>
          </w:p>
        </w:tc>
        <w:tc>
          <w:tcPr>
            <w:tcW w:w="1209" w:type="dxa"/>
            <w:tcBorders>
              <w:top w:val="nil"/>
              <w:left w:val="nil"/>
              <w:bottom w:val="single" w:sz="4" w:space="0" w:color="auto"/>
              <w:right w:val="double" w:sz="6" w:space="0" w:color="auto"/>
            </w:tcBorders>
            <w:shd w:val="clear" w:color="auto" w:fill="auto"/>
            <w:noWrap/>
            <w:vAlign w:val="center"/>
            <w:hideMark/>
          </w:tcPr>
          <w:p w14:paraId="0610101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51B6B4B5"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55DA607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73" w:type="dxa"/>
            <w:tcBorders>
              <w:top w:val="nil"/>
              <w:left w:val="nil"/>
              <w:bottom w:val="single" w:sz="4" w:space="0" w:color="auto"/>
              <w:right w:val="single" w:sz="4" w:space="0" w:color="auto"/>
            </w:tcBorders>
            <w:shd w:val="clear" w:color="auto" w:fill="auto"/>
            <w:noWrap/>
            <w:vAlign w:val="center"/>
            <w:hideMark/>
          </w:tcPr>
          <w:p w14:paraId="35B44B7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w:t>
            </w:r>
          </w:p>
        </w:tc>
        <w:tc>
          <w:tcPr>
            <w:tcW w:w="1134" w:type="dxa"/>
            <w:tcBorders>
              <w:top w:val="nil"/>
              <w:left w:val="nil"/>
              <w:bottom w:val="single" w:sz="4" w:space="0" w:color="auto"/>
              <w:right w:val="single" w:sz="4" w:space="0" w:color="auto"/>
            </w:tcBorders>
            <w:shd w:val="clear" w:color="auto" w:fill="auto"/>
            <w:noWrap/>
            <w:vAlign w:val="center"/>
            <w:hideMark/>
          </w:tcPr>
          <w:p w14:paraId="60BEF21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w:t>
            </w:r>
          </w:p>
        </w:tc>
        <w:tc>
          <w:tcPr>
            <w:tcW w:w="1209" w:type="dxa"/>
            <w:tcBorders>
              <w:top w:val="nil"/>
              <w:left w:val="nil"/>
              <w:bottom w:val="single" w:sz="4" w:space="0" w:color="auto"/>
              <w:right w:val="double" w:sz="6" w:space="0" w:color="auto"/>
            </w:tcBorders>
            <w:shd w:val="clear" w:color="auto" w:fill="auto"/>
            <w:noWrap/>
            <w:vAlign w:val="center"/>
            <w:hideMark/>
          </w:tcPr>
          <w:p w14:paraId="185A0D2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3E21AB76" w14:textId="77777777" w:rsidTr="001E4E82">
        <w:trPr>
          <w:trHeight w:val="532"/>
        </w:trPr>
        <w:tc>
          <w:tcPr>
            <w:tcW w:w="9653"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693F580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Удельный вес детей-инвалидов, получивших реабилитационные услуги в государственных организациях социального обслуживания, медицинских организациях, в общей численности детей-инвалидов Архангельской области, %</w:t>
            </w:r>
          </w:p>
        </w:tc>
      </w:tr>
      <w:tr w:rsidR="00FD7B0B" w:rsidRPr="00FD7B0B" w14:paraId="1B0720A9"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2CBBA54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 год</w:t>
            </w:r>
          </w:p>
        </w:tc>
        <w:tc>
          <w:tcPr>
            <w:tcW w:w="1073" w:type="dxa"/>
            <w:tcBorders>
              <w:top w:val="nil"/>
              <w:left w:val="nil"/>
              <w:bottom w:val="single" w:sz="4" w:space="0" w:color="auto"/>
              <w:right w:val="single" w:sz="4" w:space="0" w:color="auto"/>
            </w:tcBorders>
            <w:shd w:val="clear" w:color="auto" w:fill="auto"/>
            <w:noWrap/>
            <w:vAlign w:val="center"/>
            <w:hideMark/>
          </w:tcPr>
          <w:p w14:paraId="35C1A09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71</w:t>
            </w:r>
          </w:p>
        </w:tc>
        <w:tc>
          <w:tcPr>
            <w:tcW w:w="1134" w:type="dxa"/>
            <w:tcBorders>
              <w:top w:val="nil"/>
              <w:left w:val="nil"/>
              <w:bottom w:val="single" w:sz="4" w:space="0" w:color="auto"/>
              <w:right w:val="single" w:sz="4" w:space="0" w:color="auto"/>
            </w:tcBorders>
            <w:shd w:val="clear" w:color="auto" w:fill="auto"/>
            <w:noWrap/>
            <w:vAlign w:val="center"/>
            <w:hideMark/>
          </w:tcPr>
          <w:p w14:paraId="60399E7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71</w:t>
            </w:r>
          </w:p>
        </w:tc>
        <w:tc>
          <w:tcPr>
            <w:tcW w:w="1209" w:type="dxa"/>
            <w:tcBorders>
              <w:top w:val="nil"/>
              <w:left w:val="nil"/>
              <w:bottom w:val="single" w:sz="4" w:space="0" w:color="auto"/>
              <w:right w:val="double" w:sz="6" w:space="0" w:color="auto"/>
            </w:tcBorders>
            <w:shd w:val="clear" w:color="auto" w:fill="auto"/>
            <w:noWrap/>
            <w:vAlign w:val="center"/>
            <w:hideMark/>
          </w:tcPr>
          <w:p w14:paraId="1D81E3A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2DA96A9B"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7B7CC69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73" w:type="dxa"/>
            <w:tcBorders>
              <w:top w:val="nil"/>
              <w:left w:val="nil"/>
              <w:bottom w:val="single" w:sz="4" w:space="0" w:color="auto"/>
              <w:right w:val="single" w:sz="4" w:space="0" w:color="auto"/>
            </w:tcBorders>
            <w:shd w:val="clear" w:color="auto" w:fill="auto"/>
            <w:noWrap/>
            <w:vAlign w:val="center"/>
            <w:hideMark/>
          </w:tcPr>
          <w:p w14:paraId="7CDA73F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71</w:t>
            </w:r>
          </w:p>
        </w:tc>
        <w:tc>
          <w:tcPr>
            <w:tcW w:w="1134" w:type="dxa"/>
            <w:tcBorders>
              <w:top w:val="nil"/>
              <w:left w:val="nil"/>
              <w:bottom w:val="single" w:sz="4" w:space="0" w:color="auto"/>
              <w:right w:val="single" w:sz="4" w:space="0" w:color="auto"/>
            </w:tcBorders>
            <w:shd w:val="clear" w:color="auto" w:fill="auto"/>
            <w:noWrap/>
            <w:vAlign w:val="center"/>
            <w:hideMark/>
          </w:tcPr>
          <w:p w14:paraId="63A02CC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71</w:t>
            </w:r>
          </w:p>
        </w:tc>
        <w:tc>
          <w:tcPr>
            <w:tcW w:w="1209" w:type="dxa"/>
            <w:tcBorders>
              <w:top w:val="nil"/>
              <w:left w:val="nil"/>
              <w:bottom w:val="single" w:sz="4" w:space="0" w:color="auto"/>
              <w:right w:val="double" w:sz="6" w:space="0" w:color="auto"/>
            </w:tcBorders>
            <w:shd w:val="clear" w:color="auto" w:fill="auto"/>
            <w:noWrap/>
            <w:vAlign w:val="center"/>
            <w:hideMark/>
          </w:tcPr>
          <w:p w14:paraId="12E31BA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7D3881BC"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576B7CF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73" w:type="dxa"/>
            <w:tcBorders>
              <w:top w:val="nil"/>
              <w:left w:val="nil"/>
              <w:bottom w:val="single" w:sz="4" w:space="0" w:color="auto"/>
              <w:right w:val="single" w:sz="4" w:space="0" w:color="auto"/>
            </w:tcBorders>
            <w:shd w:val="clear" w:color="auto" w:fill="auto"/>
            <w:noWrap/>
            <w:vAlign w:val="center"/>
            <w:hideMark/>
          </w:tcPr>
          <w:p w14:paraId="51A62CE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71</w:t>
            </w:r>
          </w:p>
        </w:tc>
        <w:tc>
          <w:tcPr>
            <w:tcW w:w="1134" w:type="dxa"/>
            <w:tcBorders>
              <w:top w:val="nil"/>
              <w:left w:val="nil"/>
              <w:bottom w:val="single" w:sz="4" w:space="0" w:color="auto"/>
              <w:right w:val="single" w:sz="4" w:space="0" w:color="auto"/>
            </w:tcBorders>
            <w:shd w:val="clear" w:color="auto" w:fill="auto"/>
            <w:noWrap/>
            <w:vAlign w:val="center"/>
            <w:hideMark/>
          </w:tcPr>
          <w:p w14:paraId="6F16837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71</w:t>
            </w:r>
          </w:p>
        </w:tc>
        <w:tc>
          <w:tcPr>
            <w:tcW w:w="1209" w:type="dxa"/>
            <w:tcBorders>
              <w:top w:val="nil"/>
              <w:left w:val="nil"/>
              <w:bottom w:val="single" w:sz="4" w:space="0" w:color="auto"/>
              <w:right w:val="double" w:sz="6" w:space="0" w:color="auto"/>
            </w:tcBorders>
            <w:shd w:val="clear" w:color="auto" w:fill="auto"/>
            <w:noWrap/>
            <w:vAlign w:val="center"/>
            <w:hideMark/>
          </w:tcPr>
          <w:p w14:paraId="4DBD963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5DD55E35" w14:textId="77777777" w:rsidTr="001E4E82">
        <w:trPr>
          <w:trHeight w:val="241"/>
        </w:trPr>
        <w:tc>
          <w:tcPr>
            <w:tcW w:w="9653"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7BD60D9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6.Удовлетворенность качеством социальных услуг (в процентах от числа опрошенных клиентов социальных служб)</w:t>
            </w:r>
          </w:p>
        </w:tc>
      </w:tr>
      <w:tr w:rsidR="00FD7B0B" w:rsidRPr="00FD7B0B" w14:paraId="23D49B6D"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5D8C022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 год</w:t>
            </w:r>
          </w:p>
        </w:tc>
        <w:tc>
          <w:tcPr>
            <w:tcW w:w="1073" w:type="dxa"/>
            <w:tcBorders>
              <w:top w:val="nil"/>
              <w:left w:val="nil"/>
              <w:bottom w:val="single" w:sz="4" w:space="0" w:color="auto"/>
              <w:right w:val="single" w:sz="4" w:space="0" w:color="auto"/>
            </w:tcBorders>
            <w:shd w:val="clear" w:color="auto" w:fill="auto"/>
            <w:noWrap/>
            <w:vAlign w:val="center"/>
            <w:hideMark/>
          </w:tcPr>
          <w:p w14:paraId="5F3C59E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134" w:type="dxa"/>
            <w:tcBorders>
              <w:top w:val="nil"/>
              <w:left w:val="nil"/>
              <w:bottom w:val="single" w:sz="4" w:space="0" w:color="auto"/>
              <w:right w:val="single" w:sz="4" w:space="0" w:color="auto"/>
            </w:tcBorders>
            <w:shd w:val="clear" w:color="auto" w:fill="auto"/>
            <w:noWrap/>
            <w:vAlign w:val="center"/>
            <w:hideMark/>
          </w:tcPr>
          <w:p w14:paraId="2951DFC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209" w:type="dxa"/>
            <w:tcBorders>
              <w:top w:val="nil"/>
              <w:left w:val="nil"/>
              <w:bottom w:val="single" w:sz="4" w:space="0" w:color="auto"/>
              <w:right w:val="double" w:sz="6" w:space="0" w:color="auto"/>
            </w:tcBorders>
            <w:shd w:val="clear" w:color="auto" w:fill="auto"/>
            <w:noWrap/>
            <w:vAlign w:val="center"/>
            <w:hideMark/>
          </w:tcPr>
          <w:p w14:paraId="45031F4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686380CA"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2E5B5EE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73" w:type="dxa"/>
            <w:tcBorders>
              <w:top w:val="nil"/>
              <w:left w:val="nil"/>
              <w:bottom w:val="single" w:sz="4" w:space="0" w:color="auto"/>
              <w:right w:val="single" w:sz="4" w:space="0" w:color="auto"/>
            </w:tcBorders>
            <w:shd w:val="clear" w:color="auto" w:fill="auto"/>
            <w:noWrap/>
            <w:vAlign w:val="center"/>
            <w:hideMark/>
          </w:tcPr>
          <w:p w14:paraId="025436C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134" w:type="dxa"/>
            <w:tcBorders>
              <w:top w:val="nil"/>
              <w:left w:val="nil"/>
              <w:bottom w:val="single" w:sz="4" w:space="0" w:color="auto"/>
              <w:right w:val="single" w:sz="4" w:space="0" w:color="auto"/>
            </w:tcBorders>
            <w:shd w:val="clear" w:color="auto" w:fill="auto"/>
            <w:noWrap/>
            <w:vAlign w:val="center"/>
            <w:hideMark/>
          </w:tcPr>
          <w:p w14:paraId="73C75ED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209" w:type="dxa"/>
            <w:tcBorders>
              <w:top w:val="nil"/>
              <w:left w:val="nil"/>
              <w:bottom w:val="single" w:sz="4" w:space="0" w:color="auto"/>
              <w:right w:val="double" w:sz="6" w:space="0" w:color="auto"/>
            </w:tcBorders>
            <w:shd w:val="clear" w:color="auto" w:fill="auto"/>
            <w:noWrap/>
            <w:vAlign w:val="center"/>
            <w:hideMark/>
          </w:tcPr>
          <w:p w14:paraId="428E4E6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30D8897E"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4C50B36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73" w:type="dxa"/>
            <w:tcBorders>
              <w:top w:val="nil"/>
              <w:left w:val="nil"/>
              <w:bottom w:val="single" w:sz="4" w:space="0" w:color="auto"/>
              <w:right w:val="single" w:sz="4" w:space="0" w:color="auto"/>
            </w:tcBorders>
            <w:shd w:val="clear" w:color="auto" w:fill="auto"/>
            <w:noWrap/>
            <w:vAlign w:val="center"/>
            <w:hideMark/>
          </w:tcPr>
          <w:p w14:paraId="4EFE5C9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134" w:type="dxa"/>
            <w:tcBorders>
              <w:top w:val="nil"/>
              <w:left w:val="nil"/>
              <w:bottom w:val="single" w:sz="4" w:space="0" w:color="auto"/>
              <w:right w:val="single" w:sz="4" w:space="0" w:color="auto"/>
            </w:tcBorders>
            <w:shd w:val="clear" w:color="auto" w:fill="auto"/>
            <w:noWrap/>
            <w:vAlign w:val="center"/>
            <w:hideMark/>
          </w:tcPr>
          <w:p w14:paraId="0F32EA3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209" w:type="dxa"/>
            <w:tcBorders>
              <w:top w:val="nil"/>
              <w:left w:val="nil"/>
              <w:bottom w:val="single" w:sz="4" w:space="0" w:color="auto"/>
              <w:right w:val="double" w:sz="6" w:space="0" w:color="auto"/>
            </w:tcBorders>
            <w:shd w:val="clear" w:color="auto" w:fill="auto"/>
            <w:noWrap/>
            <w:vAlign w:val="center"/>
            <w:hideMark/>
          </w:tcPr>
          <w:p w14:paraId="2F50264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r w:rsidR="00FD7B0B" w:rsidRPr="00FD7B0B" w14:paraId="1A7BCE5D" w14:textId="77777777" w:rsidTr="001E4E82">
        <w:trPr>
          <w:trHeight w:val="665"/>
        </w:trPr>
        <w:tc>
          <w:tcPr>
            <w:tcW w:w="9653"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7E1F869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 Удельный вес граждан старше трудоспособного возраста и инвалидов, получающих услуги в рамках системы долговременного ухода, от общего числа граждан старше трудоспособного возраста и инвалидов, нуждающихся в долговременном уходе</w:t>
            </w:r>
          </w:p>
        </w:tc>
      </w:tr>
      <w:tr w:rsidR="00FD7B0B" w:rsidRPr="00FD7B0B" w14:paraId="06B4E2AD"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1AA8888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73" w:type="dxa"/>
            <w:tcBorders>
              <w:top w:val="nil"/>
              <w:left w:val="nil"/>
              <w:bottom w:val="single" w:sz="4" w:space="0" w:color="auto"/>
              <w:right w:val="single" w:sz="4" w:space="0" w:color="auto"/>
            </w:tcBorders>
            <w:shd w:val="clear" w:color="auto" w:fill="auto"/>
            <w:noWrap/>
            <w:vAlign w:val="center"/>
            <w:hideMark/>
          </w:tcPr>
          <w:p w14:paraId="4E8B36A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vAlign w:val="center"/>
            <w:hideMark/>
          </w:tcPr>
          <w:p w14:paraId="4DBB9B2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w:t>
            </w:r>
          </w:p>
        </w:tc>
        <w:tc>
          <w:tcPr>
            <w:tcW w:w="1209" w:type="dxa"/>
            <w:tcBorders>
              <w:top w:val="nil"/>
              <w:left w:val="nil"/>
              <w:bottom w:val="single" w:sz="4" w:space="0" w:color="auto"/>
              <w:right w:val="double" w:sz="6" w:space="0" w:color="auto"/>
            </w:tcBorders>
            <w:shd w:val="clear" w:color="auto" w:fill="auto"/>
            <w:noWrap/>
            <w:vAlign w:val="center"/>
            <w:hideMark/>
          </w:tcPr>
          <w:p w14:paraId="313CDB4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w:t>
            </w:r>
          </w:p>
        </w:tc>
      </w:tr>
      <w:tr w:rsidR="00FD7B0B" w:rsidRPr="00FD7B0B" w14:paraId="60A9435F"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6468BCF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73" w:type="dxa"/>
            <w:tcBorders>
              <w:top w:val="nil"/>
              <w:left w:val="nil"/>
              <w:bottom w:val="single" w:sz="4" w:space="0" w:color="auto"/>
              <w:right w:val="single" w:sz="4" w:space="0" w:color="auto"/>
            </w:tcBorders>
            <w:shd w:val="clear" w:color="auto" w:fill="auto"/>
            <w:noWrap/>
            <w:vAlign w:val="center"/>
            <w:hideMark/>
          </w:tcPr>
          <w:p w14:paraId="21256F4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vAlign w:val="center"/>
            <w:hideMark/>
          </w:tcPr>
          <w:p w14:paraId="342B993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c>
          <w:tcPr>
            <w:tcW w:w="1209" w:type="dxa"/>
            <w:tcBorders>
              <w:top w:val="nil"/>
              <w:left w:val="nil"/>
              <w:bottom w:val="single" w:sz="4" w:space="0" w:color="auto"/>
              <w:right w:val="double" w:sz="6" w:space="0" w:color="auto"/>
            </w:tcBorders>
            <w:shd w:val="clear" w:color="auto" w:fill="auto"/>
            <w:noWrap/>
            <w:vAlign w:val="center"/>
            <w:hideMark/>
          </w:tcPr>
          <w:p w14:paraId="07A1AE5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w:t>
            </w:r>
          </w:p>
        </w:tc>
      </w:tr>
      <w:tr w:rsidR="00FD7B0B" w:rsidRPr="00FD7B0B" w14:paraId="5665EFC2" w14:textId="77777777" w:rsidTr="001E4E82">
        <w:trPr>
          <w:trHeight w:val="675"/>
        </w:trPr>
        <w:tc>
          <w:tcPr>
            <w:tcW w:w="9653"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588A8D9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 Удельный вес детей-сирот и детей, оставшихся без попечения родителей, переданных на усыновление, под опеку (попечительство) и в приемные семьи граждан, проживающих на территории Российской Федерации, от общей численности детей-сирот и детей, оставшихся без попечения родителей, проживающих на территории Архангельской области </w:t>
            </w:r>
          </w:p>
        </w:tc>
      </w:tr>
      <w:tr w:rsidR="00FD7B0B" w:rsidRPr="00FD7B0B" w14:paraId="0ECD9874"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1FABB78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 год</w:t>
            </w:r>
          </w:p>
        </w:tc>
        <w:tc>
          <w:tcPr>
            <w:tcW w:w="1073" w:type="dxa"/>
            <w:tcBorders>
              <w:top w:val="nil"/>
              <w:left w:val="nil"/>
              <w:bottom w:val="single" w:sz="4" w:space="0" w:color="auto"/>
              <w:right w:val="single" w:sz="4" w:space="0" w:color="auto"/>
            </w:tcBorders>
            <w:shd w:val="clear" w:color="auto" w:fill="auto"/>
            <w:noWrap/>
            <w:vAlign w:val="center"/>
            <w:hideMark/>
          </w:tcPr>
          <w:p w14:paraId="19AC658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79,6</w:t>
            </w:r>
          </w:p>
        </w:tc>
        <w:tc>
          <w:tcPr>
            <w:tcW w:w="1134" w:type="dxa"/>
            <w:tcBorders>
              <w:top w:val="nil"/>
              <w:left w:val="nil"/>
              <w:bottom w:val="single" w:sz="4" w:space="0" w:color="auto"/>
              <w:right w:val="single" w:sz="4" w:space="0" w:color="auto"/>
            </w:tcBorders>
            <w:shd w:val="clear" w:color="auto" w:fill="auto"/>
            <w:noWrap/>
            <w:vAlign w:val="center"/>
            <w:hideMark/>
          </w:tcPr>
          <w:p w14:paraId="05C08BD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79,5</w:t>
            </w:r>
          </w:p>
        </w:tc>
        <w:tc>
          <w:tcPr>
            <w:tcW w:w="1209" w:type="dxa"/>
            <w:tcBorders>
              <w:top w:val="nil"/>
              <w:left w:val="nil"/>
              <w:bottom w:val="single" w:sz="4" w:space="0" w:color="auto"/>
              <w:right w:val="double" w:sz="6" w:space="0" w:color="auto"/>
            </w:tcBorders>
            <w:shd w:val="clear" w:color="auto" w:fill="auto"/>
            <w:noWrap/>
            <w:vAlign w:val="center"/>
            <w:hideMark/>
          </w:tcPr>
          <w:p w14:paraId="46C1AB1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100,1</w:t>
            </w:r>
          </w:p>
        </w:tc>
      </w:tr>
      <w:tr w:rsidR="00FD7B0B" w:rsidRPr="00FD7B0B" w14:paraId="4DAAACF4" w14:textId="77777777" w:rsidTr="001E4E82">
        <w:trPr>
          <w:trHeigh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005E60B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73" w:type="dxa"/>
            <w:tcBorders>
              <w:top w:val="nil"/>
              <w:left w:val="nil"/>
              <w:bottom w:val="single" w:sz="4" w:space="0" w:color="auto"/>
              <w:right w:val="single" w:sz="4" w:space="0" w:color="auto"/>
            </w:tcBorders>
            <w:shd w:val="clear" w:color="auto" w:fill="auto"/>
            <w:noWrap/>
            <w:vAlign w:val="center"/>
            <w:hideMark/>
          </w:tcPr>
          <w:p w14:paraId="3FB1771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w:t>
            </w:r>
          </w:p>
        </w:tc>
        <w:tc>
          <w:tcPr>
            <w:tcW w:w="1134" w:type="dxa"/>
            <w:tcBorders>
              <w:top w:val="nil"/>
              <w:left w:val="nil"/>
              <w:bottom w:val="single" w:sz="4" w:space="0" w:color="auto"/>
              <w:right w:val="single" w:sz="4" w:space="0" w:color="auto"/>
            </w:tcBorders>
            <w:shd w:val="clear" w:color="auto" w:fill="auto"/>
            <w:noWrap/>
            <w:vAlign w:val="center"/>
            <w:hideMark/>
          </w:tcPr>
          <w:p w14:paraId="16329E0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79,6</w:t>
            </w:r>
          </w:p>
        </w:tc>
        <w:tc>
          <w:tcPr>
            <w:tcW w:w="1209" w:type="dxa"/>
            <w:tcBorders>
              <w:top w:val="nil"/>
              <w:left w:val="nil"/>
              <w:bottom w:val="single" w:sz="4" w:space="0" w:color="auto"/>
              <w:right w:val="double" w:sz="6" w:space="0" w:color="auto"/>
            </w:tcBorders>
            <w:shd w:val="clear" w:color="auto" w:fill="auto"/>
            <w:noWrap/>
            <w:vAlign w:val="center"/>
            <w:hideMark/>
          </w:tcPr>
          <w:p w14:paraId="2EE621C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100,5</w:t>
            </w:r>
          </w:p>
        </w:tc>
      </w:tr>
      <w:tr w:rsidR="00FD7B0B" w:rsidRPr="00FD7B0B" w14:paraId="1C0AD5B6" w14:textId="77777777" w:rsidTr="001E4E82">
        <w:trPr>
          <w:trHeight w:val="255"/>
        </w:trPr>
        <w:tc>
          <w:tcPr>
            <w:tcW w:w="6237" w:type="dxa"/>
            <w:tcBorders>
              <w:top w:val="nil"/>
              <w:left w:val="double" w:sz="6" w:space="0" w:color="auto"/>
              <w:bottom w:val="double" w:sz="6" w:space="0" w:color="auto"/>
              <w:right w:val="single" w:sz="4" w:space="0" w:color="auto"/>
            </w:tcBorders>
            <w:shd w:val="clear" w:color="auto" w:fill="auto"/>
            <w:vAlign w:val="center"/>
            <w:hideMark/>
          </w:tcPr>
          <w:p w14:paraId="27B9E86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73" w:type="dxa"/>
            <w:tcBorders>
              <w:top w:val="nil"/>
              <w:left w:val="nil"/>
              <w:bottom w:val="double" w:sz="6" w:space="0" w:color="auto"/>
              <w:right w:val="single" w:sz="4" w:space="0" w:color="auto"/>
            </w:tcBorders>
            <w:shd w:val="clear" w:color="auto" w:fill="auto"/>
            <w:noWrap/>
            <w:vAlign w:val="center"/>
            <w:hideMark/>
          </w:tcPr>
          <w:p w14:paraId="22168AF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79,7</w:t>
            </w:r>
          </w:p>
        </w:tc>
        <w:tc>
          <w:tcPr>
            <w:tcW w:w="1134" w:type="dxa"/>
            <w:tcBorders>
              <w:top w:val="nil"/>
              <w:left w:val="nil"/>
              <w:bottom w:val="double" w:sz="6" w:space="0" w:color="auto"/>
              <w:right w:val="single" w:sz="4" w:space="0" w:color="auto"/>
            </w:tcBorders>
            <w:shd w:val="clear" w:color="auto" w:fill="auto"/>
            <w:noWrap/>
            <w:vAlign w:val="center"/>
            <w:hideMark/>
          </w:tcPr>
          <w:p w14:paraId="55DF139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79,7</w:t>
            </w:r>
          </w:p>
        </w:tc>
        <w:tc>
          <w:tcPr>
            <w:tcW w:w="1209" w:type="dxa"/>
            <w:tcBorders>
              <w:top w:val="nil"/>
              <w:left w:val="nil"/>
              <w:bottom w:val="double" w:sz="6" w:space="0" w:color="auto"/>
              <w:right w:val="double" w:sz="6" w:space="0" w:color="auto"/>
            </w:tcBorders>
            <w:shd w:val="clear" w:color="auto" w:fill="auto"/>
            <w:noWrap/>
            <w:vAlign w:val="center"/>
            <w:hideMark/>
          </w:tcPr>
          <w:p w14:paraId="69FFF94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bl>
    <w:p w14:paraId="21D618FD" w14:textId="77777777" w:rsidR="001E4E82" w:rsidRPr="00FD7B0B" w:rsidRDefault="001E4E82" w:rsidP="002B392F">
      <w:pPr>
        <w:spacing w:after="0" w:line="240" w:lineRule="auto"/>
        <w:ind w:firstLine="709"/>
        <w:jc w:val="both"/>
        <w:rPr>
          <w:rFonts w:ascii="Times New Roman" w:eastAsia="Times New Roman" w:hAnsi="Times New Roman" w:cs="Times New Roman"/>
          <w:sz w:val="28"/>
          <w:szCs w:val="28"/>
          <w:lang w:eastAsia="ru-RU"/>
        </w:rPr>
      </w:pPr>
    </w:p>
    <w:p w14:paraId="66B57471" w14:textId="6076F19D"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Не выполнено два показателя из 8 показателей госпрограммы №</w:t>
      </w:r>
      <w:r w:rsidR="001E4E82"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03</w:t>
      </w:r>
      <w:r w:rsidR="001E4E82" w:rsidRPr="00FD7B0B">
        <w:rPr>
          <w:rFonts w:ascii="Times New Roman" w:eastAsia="Times New Roman" w:hAnsi="Times New Roman" w:cs="Times New Roman"/>
          <w:sz w:val="28"/>
          <w:szCs w:val="28"/>
          <w:lang w:eastAsia="ru-RU"/>
        </w:rPr>
        <w:t>.</w:t>
      </w:r>
    </w:p>
    <w:p w14:paraId="5A40FE46" w14:textId="77777777" w:rsidR="002B392F" w:rsidRPr="00FD7B0B" w:rsidRDefault="002B392F" w:rsidP="002B392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«3. Удельный вес детей, находящихся в социально опасном положении, в общей численности детского населения Архангельской области» исполнение на 96,2 %, план 1,28 %, факт 1,33 %, так как общее количество детей, находящихся в социально опасном положении, по итогам 2024 года уменьшилось на 4%.</w:t>
      </w:r>
      <w:r w:rsidRPr="00FD7B0B">
        <w:rPr>
          <w:rFonts w:ascii="Times New Roman" w:hAnsi="Times New Roman" w:cs="Times New Roman"/>
          <w:sz w:val="28"/>
          <w:szCs w:val="28"/>
        </w:rPr>
        <w:t xml:space="preserve"> Снижение показателя обусловлено усилением профилактической работы с семьями, находящимися в ТЖС, открытием новых социальных сервисов, а также уменьшением факторов, отрицательно влияющих на воспитание детей со стороны родителей</w:t>
      </w:r>
      <w:r w:rsidRPr="00FD7B0B">
        <w:rPr>
          <w:rFonts w:ascii="Times New Roman" w:eastAsia="Times New Roman" w:hAnsi="Times New Roman" w:cs="Times New Roman"/>
          <w:sz w:val="28"/>
          <w:szCs w:val="28"/>
          <w:lang w:eastAsia="ru-RU"/>
        </w:rPr>
        <w:t>;</w:t>
      </w:r>
    </w:p>
    <w:p w14:paraId="0A679A80" w14:textId="69A8E296" w:rsidR="002B392F" w:rsidRPr="00FD7B0B" w:rsidRDefault="002B392F" w:rsidP="00E4100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«7. Удельный вес граждан старше трудоспособного возраста и инвалидов, получающих услуги в рамках системы долговременного ухода, от общего числа граждан старше трудоспособного возраста и инвалидов, нуждающихся в долговременном уходе» исполнение 5,5</w:t>
      </w:r>
      <w:r w:rsidR="00E4100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план 40</w:t>
      </w:r>
      <w:r w:rsidR="00E4100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факт 2,2</w:t>
      </w:r>
      <w:r w:rsidR="00E4100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в обосновании отклонения указано «Не приведен в соответствие с дополнительным соглашением к Сог</w:t>
      </w:r>
      <w:r w:rsidR="00E4100E" w:rsidRPr="00FD7B0B">
        <w:rPr>
          <w:rFonts w:ascii="Times New Roman" w:eastAsia="Times New Roman" w:hAnsi="Times New Roman" w:cs="Times New Roman"/>
          <w:sz w:val="28"/>
          <w:szCs w:val="28"/>
          <w:lang w:eastAsia="ru-RU"/>
        </w:rPr>
        <w:t>лашению №149-2019-РЗ0029-1/11».</w:t>
      </w:r>
    </w:p>
    <w:p w14:paraId="439ED686" w14:textId="77777777" w:rsidR="002B392F" w:rsidRPr="00FD7B0B" w:rsidRDefault="002B392F" w:rsidP="002B392F">
      <w:pPr>
        <w:spacing w:after="0" w:line="240" w:lineRule="auto"/>
        <w:contextualSpacing/>
        <w:rPr>
          <w:rFonts w:ascii="Times New Roman" w:eastAsia="Times New Roman" w:hAnsi="Times New Roman" w:cs="Times New Roman"/>
          <w:sz w:val="28"/>
          <w:szCs w:val="28"/>
          <w:highlight w:val="cyan"/>
          <w:lang w:eastAsia="ru-RU"/>
        </w:rPr>
      </w:pPr>
    </w:p>
    <w:p w14:paraId="3F98AB18" w14:textId="77777777" w:rsidR="002B392F" w:rsidRPr="00FD7B0B" w:rsidRDefault="002B392F" w:rsidP="002B392F">
      <w:pPr>
        <w:spacing w:after="0" w:line="240" w:lineRule="auto"/>
        <w:contextualSpacing/>
        <w:rPr>
          <w:rFonts w:ascii="Times New Roman" w:hAnsi="Times New Roman"/>
          <w:sz w:val="24"/>
          <w:szCs w:val="24"/>
        </w:rPr>
      </w:pPr>
      <w:r w:rsidRPr="00FD7B0B">
        <w:rPr>
          <w:rFonts w:ascii="Times New Roman" w:hAnsi="Times New Roman"/>
          <w:sz w:val="24"/>
          <w:szCs w:val="24"/>
        </w:rPr>
        <w:lastRenderedPageBreak/>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105</w:t>
      </w:r>
      <w:r w:rsidRPr="00FD7B0B">
        <w:rPr>
          <w:rFonts w:ascii="Times New Roman" w:hAnsi="Times New Roman"/>
          <w:sz w:val="24"/>
          <w:szCs w:val="24"/>
        </w:rPr>
        <w:fldChar w:fldCharType="end"/>
      </w:r>
      <w:r w:rsidRPr="00FD7B0B">
        <w:rPr>
          <w:rFonts w:ascii="Times New Roman" w:hAnsi="Times New Roman"/>
          <w:sz w:val="24"/>
          <w:szCs w:val="24"/>
        </w:rPr>
        <w:t>. Сведения о выполнении показателей ГП № 03, а также о расходах на их выполнение за 2024 год</w:t>
      </w:r>
    </w:p>
    <w:tbl>
      <w:tblPr>
        <w:tblW w:w="9615" w:type="dxa"/>
        <w:tblInd w:w="-23" w:type="dxa"/>
        <w:tblLayout w:type="fixed"/>
        <w:tblLook w:val="04A0" w:firstRow="1" w:lastRow="0" w:firstColumn="1" w:lastColumn="0" w:noHBand="0" w:noVBand="1"/>
      </w:tblPr>
      <w:tblGrid>
        <w:gridCol w:w="3544"/>
        <w:gridCol w:w="708"/>
        <w:gridCol w:w="1134"/>
        <w:gridCol w:w="1134"/>
        <w:gridCol w:w="993"/>
        <w:gridCol w:w="992"/>
        <w:gridCol w:w="1110"/>
      </w:tblGrid>
      <w:tr w:rsidR="00FD7B0B" w:rsidRPr="00FD7B0B" w14:paraId="043460EA" w14:textId="77777777" w:rsidTr="00995494">
        <w:trPr>
          <w:trHeight w:val="529"/>
          <w:tblHeader/>
        </w:trPr>
        <w:tc>
          <w:tcPr>
            <w:tcW w:w="3544" w:type="dxa"/>
            <w:vMerge w:val="restart"/>
            <w:tcBorders>
              <w:top w:val="double" w:sz="6" w:space="0" w:color="auto"/>
              <w:left w:val="double" w:sz="6" w:space="0" w:color="auto"/>
              <w:bottom w:val="single" w:sz="4" w:space="0" w:color="auto"/>
              <w:right w:val="single" w:sz="4" w:space="0" w:color="auto"/>
            </w:tcBorders>
            <w:shd w:val="clear" w:color="000000" w:fill="FFFFFF"/>
            <w:vAlign w:val="center"/>
            <w:hideMark/>
          </w:tcPr>
          <w:p w14:paraId="5EE89E7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Структурный элемент</w:t>
            </w:r>
          </w:p>
        </w:tc>
        <w:tc>
          <w:tcPr>
            <w:tcW w:w="2976" w:type="dxa"/>
            <w:gridSpan w:val="3"/>
            <w:tcBorders>
              <w:top w:val="double" w:sz="6" w:space="0" w:color="auto"/>
              <w:left w:val="nil"/>
              <w:bottom w:val="single" w:sz="4" w:space="0" w:color="auto"/>
              <w:right w:val="single" w:sz="4" w:space="0" w:color="auto"/>
            </w:tcBorders>
            <w:shd w:val="clear" w:color="000000" w:fill="FFFFFF"/>
            <w:vAlign w:val="center"/>
            <w:hideMark/>
          </w:tcPr>
          <w:p w14:paraId="1D13566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Кол-во показателей</w:t>
            </w:r>
          </w:p>
        </w:tc>
        <w:tc>
          <w:tcPr>
            <w:tcW w:w="993" w:type="dxa"/>
            <w:vMerge w:val="restart"/>
            <w:tcBorders>
              <w:top w:val="double" w:sz="6" w:space="0" w:color="auto"/>
              <w:left w:val="single" w:sz="4" w:space="0" w:color="auto"/>
              <w:bottom w:val="single" w:sz="4" w:space="0" w:color="auto"/>
              <w:right w:val="single" w:sz="4" w:space="0" w:color="auto"/>
            </w:tcBorders>
            <w:shd w:val="clear" w:color="000000" w:fill="FFFFFF"/>
            <w:vAlign w:val="center"/>
            <w:hideMark/>
          </w:tcPr>
          <w:p w14:paraId="09E58E5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Объем финансирования ГП 03 млн.руб. </w:t>
            </w:r>
          </w:p>
        </w:tc>
        <w:tc>
          <w:tcPr>
            <w:tcW w:w="2102" w:type="dxa"/>
            <w:gridSpan w:val="2"/>
            <w:tcBorders>
              <w:top w:val="double" w:sz="6" w:space="0" w:color="auto"/>
              <w:left w:val="nil"/>
              <w:bottom w:val="single" w:sz="4" w:space="0" w:color="auto"/>
              <w:right w:val="double" w:sz="6" w:space="0" w:color="000000"/>
            </w:tcBorders>
            <w:shd w:val="clear" w:color="000000" w:fill="FFFFFF"/>
            <w:vAlign w:val="center"/>
            <w:hideMark/>
          </w:tcPr>
          <w:p w14:paraId="4692AE4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согласно отчету о реализации госпрограммы</w:t>
            </w:r>
          </w:p>
        </w:tc>
      </w:tr>
      <w:tr w:rsidR="00FD7B0B" w:rsidRPr="00FD7B0B" w14:paraId="0B764C61" w14:textId="77777777" w:rsidTr="00995494">
        <w:trPr>
          <w:trHeight w:val="652"/>
          <w:tblHeader/>
        </w:trPr>
        <w:tc>
          <w:tcPr>
            <w:tcW w:w="3544" w:type="dxa"/>
            <w:vMerge/>
            <w:tcBorders>
              <w:top w:val="double" w:sz="6" w:space="0" w:color="auto"/>
              <w:left w:val="double" w:sz="6" w:space="0" w:color="auto"/>
              <w:bottom w:val="single" w:sz="4" w:space="0" w:color="auto"/>
              <w:right w:val="single" w:sz="4" w:space="0" w:color="auto"/>
            </w:tcBorders>
            <w:vAlign w:val="center"/>
            <w:hideMark/>
          </w:tcPr>
          <w:p w14:paraId="6876AE4C"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708" w:type="dxa"/>
            <w:tcBorders>
              <w:top w:val="nil"/>
              <w:left w:val="nil"/>
              <w:bottom w:val="single" w:sz="4" w:space="0" w:color="auto"/>
              <w:right w:val="single" w:sz="4" w:space="0" w:color="auto"/>
            </w:tcBorders>
            <w:shd w:val="clear" w:color="000000" w:fill="FFFFFF"/>
            <w:vAlign w:val="center"/>
            <w:hideMark/>
          </w:tcPr>
          <w:p w14:paraId="2C0989C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1134" w:type="dxa"/>
            <w:tcBorders>
              <w:top w:val="nil"/>
              <w:left w:val="nil"/>
              <w:bottom w:val="single" w:sz="4" w:space="0" w:color="auto"/>
              <w:right w:val="single" w:sz="4" w:space="0" w:color="auto"/>
            </w:tcBorders>
            <w:shd w:val="clear" w:color="000000" w:fill="FFFFFF"/>
            <w:vAlign w:val="center"/>
            <w:hideMark/>
          </w:tcPr>
          <w:p w14:paraId="04F76DE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 выполнение более 80%</w:t>
            </w:r>
          </w:p>
        </w:tc>
        <w:tc>
          <w:tcPr>
            <w:tcW w:w="1134" w:type="dxa"/>
            <w:tcBorders>
              <w:top w:val="nil"/>
              <w:left w:val="nil"/>
              <w:bottom w:val="single" w:sz="4" w:space="0" w:color="auto"/>
              <w:right w:val="single" w:sz="4" w:space="0" w:color="auto"/>
            </w:tcBorders>
            <w:shd w:val="clear" w:color="000000" w:fill="FFFFFF"/>
            <w:vAlign w:val="center"/>
            <w:hideMark/>
          </w:tcPr>
          <w:p w14:paraId="23405C9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выполн.</w:t>
            </w: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772CB145"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p>
        </w:tc>
        <w:tc>
          <w:tcPr>
            <w:tcW w:w="992" w:type="dxa"/>
            <w:tcBorders>
              <w:top w:val="nil"/>
              <w:left w:val="nil"/>
              <w:bottom w:val="single" w:sz="4" w:space="0" w:color="auto"/>
              <w:right w:val="single" w:sz="4" w:space="0" w:color="auto"/>
            </w:tcBorders>
            <w:shd w:val="clear" w:color="000000" w:fill="FFFFFF"/>
            <w:vAlign w:val="center"/>
            <w:hideMark/>
          </w:tcPr>
          <w:p w14:paraId="0899888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1110" w:type="dxa"/>
            <w:tcBorders>
              <w:top w:val="nil"/>
              <w:left w:val="nil"/>
              <w:bottom w:val="single" w:sz="4" w:space="0" w:color="auto"/>
              <w:right w:val="double" w:sz="6" w:space="0" w:color="auto"/>
            </w:tcBorders>
            <w:shd w:val="clear" w:color="000000" w:fill="FFFFFF"/>
            <w:vAlign w:val="center"/>
            <w:hideMark/>
          </w:tcPr>
          <w:p w14:paraId="05182CA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выполн.</w:t>
            </w:r>
          </w:p>
        </w:tc>
      </w:tr>
      <w:tr w:rsidR="00FD7B0B" w:rsidRPr="00FD7B0B" w14:paraId="12325258" w14:textId="77777777" w:rsidTr="00B83FF2">
        <w:trPr>
          <w:trHeight w:hRule="exact" w:val="252"/>
        </w:trPr>
        <w:tc>
          <w:tcPr>
            <w:tcW w:w="3544" w:type="dxa"/>
            <w:tcBorders>
              <w:top w:val="nil"/>
              <w:left w:val="double" w:sz="6" w:space="0" w:color="auto"/>
              <w:bottom w:val="single" w:sz="4" w:space="0" w:color="auto"/>
              <w:right w:val="single" w:sz="4" w:space="0" w:color="auto"/>
            </w:tcBorders>
            <w:shd w:val="clear" w:color="000000" w:fill="FFFFFF"/>
            <w:vAlign w:val="center"/>
            <w:hideMark/>
          </w:tcPr>
          <w:p w14:paraId="545CD7D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w:t>
            </w:r>
          </w:p>
        </w:tc>
        <w:tc>
          <w:tcPr>
            <w:tcW w:w="708" w:type="dxa"/>
            <w:tcBorders>
              <w:top w:val="nil"/>
              <w:left w:val="nil"/>
              <w:bottom w:val="single" w:sz="4" w:space="0" w:color="auto"/>
              <w:right w:val="single" w:sz="4" w:space="0" w:color="auto"/>
            </w:tcBorders>
            <w:shd w:val="clear" w:color="000000" w:fill="FFFFFF"/>
            <w:vAlign w:val="center"/>
            <w:hideMark/>
          </w:tcPr>
          <w:p w14:paraId="08D037B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000000" w:fill="FFFFFF"/>
            <w:vAlign w:val="center"/>
            <w:hideMark/>
          </w:tcPr>
          <w:p w14:paraId="36F5D8D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1134" w:type="dxa"/>
            <w:tcBorders>
              <w:top w:val="nil"/>
              <w:left w:val="nil"/>
              <w:bottom w:val="single" w:sz="4" w:space="0" w:color="auto"/>
              <w:right w:val="single" w:sz="4" w:space="0" w:color="auto"/>
            </w:tcBorders>
            <w:shd w:val="clear" w:color="000000" w:fill="FFFFFF"/>
            <w:vAlign w:val="center"/>
            <w:hideMark/>
          </w:tcPr>
          <w:p w14:paraId="108DACB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3=2/1*100</w:t>
            </w:r>
          </w:p>
        </w:tc>
        <w:tc>
          <w:tcPr>
            <w:tcW w:w="993" w:type="dxa"/>
            <w:tcBorders>
              <w:top w:val="nil"/>
              <w:left w:val="nil"/>
              <w:bottom w:val="single" w:sz="4" w:space="0" w:color="auto"/>
              <w:right w:val="single" w:sz="4" w:space="0" w:color="auto"/>
            </w:tcBorders>
            <w:shd w:val="clear" w:color="000000" w:fill="FFFFFF"/>
            <w:vAlign w:val="center"/>
            <w:hideMark/>
          </w:tcPr>
          <w:p w14:paraId="2628C4A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w:t>
            </w:r>
          </w:p>
        </w:tc>
        <w:tc>
          <w:tcPr>
            <w:tcW w:w="992" w:type="dxa"/>
            <w:tcBorders>
              <w:top w:val="nil"/>
              <w:left w:val="nil"/>
              <w:bottom w:val="single" w:sz="4" w:space="0" w:color="auto"/>
              <w:right w:val="single" w:sz="4" w:space="0" w:color="auto"/>
            </w:tcBorders>
            <w:shd w:val="clear" w:color="000000" w:fill="FFFFFF"/>
            <w:vAlign w:val="center"/>
            <w:hideMark/>
          </w:tcPr>
          <w:p w14:paraId="050DD78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1110" w:type="dxa"/>
            <w:tcBorders>
              <w:top w:val="nil"/>
              <w:left w:val="nil"/>
              <w:bottom w:val="single" w:sz="4" w:space="0" w:color="auto"/>
              <w:right w:val="double" w:sz="6" w:space="0" w:color="auto"/>
            </w:tcBorders>
            <w:shd w:val="clear" w:color="000000" w:fill="FFFFFF"/>
            <w:vAlign w:val="center"/>
            <w:hideMark/>
          </w:tcPr>
          <w:p w14:paraId="7F12E04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6=5/4*100</w:t>
            </w:r>
          </w:p>
        </w:tc>
      </w:tr>
      <w:tr w:rsidR="00FD7B0B" w:rsidRPr="00FD7B0B" w14:paraId="0BC21D26" w14:textId="77777777" w:rsidTr="00995494">
        <w:trPr>
          <w:trHeight w:hRule="exact" w:val="299"/>
        </w:trPr>
        <w:tc>
          <w:tcPr>
            <w:tcW w:w="3544" w:type="dxa"/>
            <w:tcBorders>
              <w:top w:val="nil"/>
              <w:left w:val="double" w:sz="6" w:space="0" w:color="auto"/>
              <w:bottom w:val="single" w:sz="4" w:space="0" w:color="auto"/>
              <w:right w:val="single" w:sz="4" w:space="0" w:color="auto"/>
            </w:tcBorders>
            <w:shd w:val="clear" w:color="auto" w:fill="auto"/>
            <w:noWrap/>
            <w:vAlign w:val="center"/>
            <w:hideMark/>
          </w:tcPr>
          <w:p w14:paraId="2F8DB1F1" w14:textId="77777777" w:rsidR="002B392F" w:rsidRPr="00FD7B0B" w:rsidRDefault="002B392F" w:rsidP="0099549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Госпрограмма № 03</w:t>
            </w:r>
          </w:p>
        </w:tc>
        <w:tc>
          <w:tcPr>
            <w:tcW w:w="708" w:type="dxa"/>
            <w:tcBorders>
              <w:top w:val="nil"/>
              <w:left w:val="nil"/>
              <w:bottom w:val="single" w:sz="4" w:space="0" w:color="auto"/>
              <w:right w:val="single" w:sz="4" w:space="0" w:color="auto"/>
            </w:tcBorders>
            <w:shd w:val="clear" w:color="auto" w:fill="auto"/>
            <w:vAlign w:val="center"/>
            <w:hideMark/>
          </w:tcPr>
          <w:p w14:paraId="69F0385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w:t>
            </w:r>
          </w:p>
        </w:tc>
        <w:tc>
          <w:tcPr>
            <w:tcW w:w="1134" w:type="dxa"/>
            <w:tcBorders>
              <w:top w:val="nil"/>
              <w:left w:val="nil"/>
              <w:bottom w:val="single" w:sz="4" w:space="0" w:color="auto"/>
              <w:right w:val="single" w:sz="4" w:space="0" w:color="auto"/>
            </w:tcBorders>
            <w:shd w:val="clear" w:color="auto" w:fill="auto"/>
            <w:vAlign w:val="center"/>
            <w:hideMark/>
          </w:tcPr>
          <w:p w14:paraId="3FADB6D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w:t>
            </w:r>
          </w:p>
        </w:tc>
        <w:tc>
          <w:tcPr>
            <w:tcW w:w="1134" w:type="dxa"/>
            <w:tcBorders>
              <w:top w:val="nil"/>
              <w:left w:val="nil"/>
              <w:bottom w:val="single" w:sz="4" w:space="0" w:color="auto"/>
              <w:right w:val="single" w:sz="4" w:space="0" w:color="auto"/>
            </w:tcBorders>
            <w:shd w:val="clear" w:color="000000" w:fill="FFFFFF"/>
            <w:vAlign w:val="center"/>
            <w:hideMark/>
          </w:tcPr>
          <w:p w14:paraId="064B7AF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vAlign w:val="center"/>
            <w:hideMark/>
          </w:tcPr>
          <w:p w14:paraId="18BA40E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17 056,8</w:t>
            </w:r>
          </w:p>
        </w:tc>
        <w:tc>
          <w:tcPr>
            <w:tcW w:w="992" w:type="dxa"/>
            <w:tcBorders>
              <w:top w:val="nil"/>
              <w:left w:val="nil"/>
              <w:bottom w:val="single" w:sz="4" w:space="0" w:color="auto"/>
              <w:right w:val="single" w:sz="4" w:space="0" w:color="auto"/>
            </w:tcBorders>
            <w:shd w:val="clear" w:color="000000" w:fill="FFFFFF"/>
            <w:vAlign w:val="center"/>
            <w:hideMark/>
          </w:tcPr>
          <w:p w14:paraId="3C58EDE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17 045,1</w:t>
            </w:r>
          </w:p>
        </w:tc>
        <w:tc>
          <w:tcPr>
            <w:tcW w:w="1110" w:type="dxa"/>
            <w:tcBorders>
              <w:top w:val="nil"/>
              <w:left w:val="nil"/>
              <w:bottom w:val="single" w:sz="4" w:space="0" w:color="auto"/>
              <w:right w:val="double" w:sz="6" w:space="0" w:color="auto"/>
            </w:tcBorders>
            <w:shd w:val="clear" w:color="000000" w:fill="FFFFFF"/>
            <w:noWrap/>
            <w:vAlign w:val="center"/>
            <w:hideMark/>
          </w:tcPr>
          <w:p w14:paraId="3AACA1A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11192B49" w14:textId="77777777" w:rsidTr="00995494">
        <w:trPr>
          <w:trHeight w:val="428"/>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30E4E4FE"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«Создание условий для отдыха и оздоровления детей, проживающих на территории Архангельской области, относящейся к Арктической зоне Российской Федерации»</w:t>
            </w:r>
          </w:p>
        </w:tc>
        <w:tc>
          <w:tcPr>
            <w:tcW w:w="708" w:type="dxa"/>
            <w:tcBorders>
              <w:top w:val="nil"/>
              <w:left w:val="nil"/>
              <w:bottom w:val="single" w:sz="4" w:space="0" w:color="auto"/>
              <w:right w:val="single" w:sz="4" w:space="0" w:color="auto"/>
            </w:tcBorders>
            <w:shd w:val="clear" w:color="auto" w:fill="auto"/>
            <w:vAlign w:val="center"/>
            <w:hideMark/>
          </w:tcPr>
          <w:p w14:paraId="5831A1D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14:paraId="031B80F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000000" w:fill="FFFFFF"/>
            <w:vAlign w:val="center"/>
            <w:hideMark/>
          </w:tcPr>
          <w:p w14:paraId="512F49D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vAlign w:val="center"/>
            <w:hideMark/>
          </w:tcPr>
          <w:p w14:paraId="1E317DB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181,3</w:t>
            </w:r>
          </w:p>
        </w:tc>
        <w:tc>
          <w:tcPr>
            <w:tcW w:w="992" w:type="dxa"/>
            <w:tcBorders>
              <w:top w:val="nil"/>
              <w:left w:val="nil"/>
              <w:bottom w:val="single" w:sz="4" w:space="0" w:color="auto"/>
              <w:right w:val="single" w:sz="4" w:space="0" w:color="auto"/>
            </w:tcBorders>
            <w:shd w:val="clear" w:color="000000" w:fill="FFFFFF"/>
            <w:vAlign w:val="center"/>
            <w:hideMark/>
          </w:tcPr>
          <w:p w14:paraId="6BB11C4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181,1</w:t>
            </w:r>
          </w:p>
        </w:tc>
        <w:tc>
          <w:tcPr>
            <w:tcW w:w="1110" w:type="dxa"/>
            <w:tcBorders>
              <w:top w:val="nil"/>
              <w:left w:val="nil"/>
              <w:bottom w:val="single" w:sz="4" w:space="0" w:color="auto"/>
              <w:right w:val="double" w:sz="6" w:space="0" w:color="auto"/>
            </w:tcBorders>
            <w:shd w:val="clear" w:color="000000" w:fill="FFFFFF"/>
            <w:noWrap/>
            <w:vAlign w:val="center"/>
            <w:hideMark/>
          </w:tcPr>
          <w:p w14:paraId="0496326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02EED9C0" w14:textId="77777777" w:rsidTr="00995494">
        <w:trPr>
          <w:trHeight w:val="763"/>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0D9E3F07"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«Разработка и реализация программы системной поддержки и повышения качества жизни граждан старшего поколения»</w:t>
            </w:r>
          </w:p>
        </w:tc>
        <w:tc>
          <w:tcPr>
            <w:tcW w:w="708" w:type="dxa"/>
            <w:tcBorders>
              <w:top w:val="nil"/>
              <w:left w:val="nil"/>
              <w:bottom w:val="single" w:sz="4" w:space="0" w:color="auto"/>
              <w:right w:val="single" w:sz="4" w:space="0" w:color="auto"/>
            </w:tcBorders>
            <w:shd w:val="clear" w:color="auto" w:fill="auto"/>
            <w:vAlign w:val="center"/>
            <w:hideMark/>
          </w:tcPr>
          <w:p w14:paraId="0AE4A92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1134" w:type="dxa"/>
            <w:tcBorders>
              <w:top w:val="nil"/>
              <w:left w:val="nil"/>
              <w:bottom w:val="single" w:sz="4" w:space="0" w:color="auto"/>
              <w:right w:val="single" w:sz="4" w:space="0" w:color="auto"/>
            </w:tcBorders>
            <w:shd w:val="clear" w:color="auto" w:fill="auto"/>
            <w:vAlign w:val="center"/>
            <w:hideMark/>
          </w:tcPr>
          <w:p w14:paraId="013A7DE3"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1134" w:type="dxa"/>
            <w:tcBorders>
              <w:top w:val="nil"/>
              <w:left w:val="nil"/>
              <w:bottom w:val="single" w:sz="4" w:space="0" w:color="auto"/>
              <w:right w:val="single" w:sz="4" w:space="0" w:color="auto"/>
            </w:tcBorders>
            <w:shd w:val="clear" w:color="000000" w:fill="FFFFFF"/>
            <w:vAlign w:val="center"/>
            <w:hideMark/>
          </w:tcPr>
          <w:p w14:paraId="3BFC27D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vAlign w:val="center"/>
            <w:hideMark/>
          </w:tcPr>
          <w:p w14:paraId="53910353"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133,3</w:t>
            </w:r>
          </w:p>
        </w:tc>
        <w:tc>
          <w:tcPr>
            <w:tcW w:w="992" w:type="dxa"/>
            <w:tcBorders>
              <w:top w:val="nil"/>
              <w:left w:val="nil"/>
              <w:bottom w:val="single" w:sz="4" w:space="0" w:color="auto"/>
              <w:right w:val="single" w:sz="4" w:space="0" w:color="auto"/>
            </w:tcBorders>
            <w:shd w:val="clear" w:color="000000" w:fill="FFFFFF"/>
            <w:vAlign w:val="center"/>
            <w:hideMark/>
          </w:tcPr>
          <w:p w14:paraId="7D397080" w14:textId="77777777" w:rsidR="002B392F" w:rsidRPr="00FD7B0B" w:rsidRDefault="002B392F" w:rsidP="002B392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132,9</w:t>
            </w:r>
          </w:p>
        </w:tc>
        <w:tc>
          <w:tcPr>
            <w:tcW w:w="1110" w:type="dxa"/>
            <w:tcBorders>
              <w:top w:val="nil"/>
              <w:left w:val="nil"/>
              <w:bottom w:val="single" w:sz="4" w:space="0" w:color="auto"/>
              <w:right w:val="double" w:sz="6" w:space="0" w:color="auto"/>
            </w:tcBorders>
            <w:shd w:val="clear" w:color="000000" w:fill="FFFFFF"/>
            <w:noWrap/>
            <w:vAlign w:val="center"/>
            <w:hideMark/>
          </w:tcPr>
          <w:p w14:paraId="1F9DC72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99,7</w:t>
            </w:r>
          </w:p>
        </w:tc>
      </w:tr>
      <w:tr w:rsidR="00FD7B0B" w:rsidRPr="00FD7B0B" w14:paraId="7691475C" w14:textId="77777777" w:rsidTr="00995494">
        <w:trPr>
          <w:trHeight w:val="598"/>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20244A68"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«Организация работы по социальному обслуживанию граждан и социальной защите населения в Архангельской области»</w:t>
            </w:r>
          </w:p>
        </w:tc>
        <w:tc>
          <w:tcPr>
            <w:tcW w:w="708" w:type="dxa"/>
            <w:tcBorders>
              <w:top w:val="nil"/>
              <w:left w:val="nil"/>
              <w:bottom w:val="single" w:sz="4" w:space="0" w:color="auto"/>
              <w:right w:val="single" w:sz="4" w:space="0" w:color="auto"/>
            </w:tcBorders>
            <w:shd w:val="clear" w:color="auto" w:fill="auto"/>
            <w:vAlign w:val="center"/>
            <w:hideMark/>
          </w:tcPr>
          <w:p w14:paraId="2B473F5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6755C8F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1134" w:type="dxa"/>
            <w:tcBorders>
              <w:top w:val="nil"/>
              <w:left w:val="nil"/>
              <w:bottom w:val="single" w:sz="4" w:space="0" w:color="auto"/>
              <w:right w:val="single" w:sz="4" w:space="0" w:color="auto"/>
            </w:tcBorders>
            <w:shd w:val="clear" w:color="000000" w:fill="FFFFFF"/>
            <w:vAlign w:val="center"/>
            <w:hideMark/>
          </w:tcPr>
          <w:p w14:paraId="610C90B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vAlign w:val="center"/>
            <w:hideMark/>
          </w:tcPr>
          <w:p w14:paraId="3A1796A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4536,9</w:t>
            </w:r>
          </w:p>
        </w:tc>
        <w:tc>
          <w:tcPr>
            <w:tcW w:w="992" w:type="dxa"/>
            <w:tcBorders>
              <w:top w:val="nil"/>
              <w:left w:val="nil"/>
              <w:bottom w:val="single" w:sz="4" w:space="0" w:color="auto"/>
              <w:right w:val="single" w:sz="4" w:space="0" w:color="auto"/>
            </w:tcBorders>
            <w:shd w:val="clear" w:color="000000" w:fill="FFFFFF"/>
            <w:vAlign w:val="center"/>
            <w:hideMark/>
          </w:tcPr>
          <w:p w14:paraId="35FBD2B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4530,6</w:t>
            </w:r>
          </w:p>
        </w:tc>
        <w:tc>
          <w:tcPr>
            <w:tcW w:w="1110" w:type="dxa"/>
            <w:tcBorders>
              <w:top w:val="nil"/>
              <w:left w:val="nil"/>
              <w:bottom w:val="single" w:sz="4" w:space="0" w:color="auto"/>
              <w:right w:val="double" w:sz="6" w:space="0" w:color="auto"/>
            </w:tcBorders>
            <w:shd w:val="clear" w:color="000000" w:fill="FFFFFF"/>
            <w:noWrap/>
            <w:vAlign w:val="center"/>
            <w:hideMark/>
          </w:tcPr>
          <w:p w14:paraId="18CFCA5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2388B0FD" w14:textId="77777777" w:rsidTr="00995494">
        <w:trPr>
          <w:trHeight w:val="598"/>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3E6B8EA1"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«Меры социальной поддержки отдельным категориям граждан, проживающим на территории Архангельской области»</w:t>
            </w:r>
          </w:p>
        </w:tc>
        <w:tc>
          <w:tcPr>
            <w:tcW w:w="708" w:type="dxa"/>
            <w:tcBorders>
              <w:top w:val="nil"/>
              <w:left w:val="nil"/>
              <w:bottom w:val="single" w:sz="4" w:space="0" w:color="auto"/>
              <w:right w:val="single" w:sz="4" w:space="0" w:color="auto"/>
            </w:tcBorders>
            <w:shd w:val="clear" w:color="auto" w:fill="auto"/>
            <w:vAlign w:val="center"/>
            <w:hideMark/>
          </w:tcPr>
          <w:p w14:paraId="3F4B9A3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1134" w:type="dxa"/>
            <w:tcBorders>
              <w:top w:val="nil"/>
              <w:left w:val="nil"/>
              <w:bottom w:val="single" w:sz="4" w:space="0" w:color="auto"/>
              <w:right w:val="single" w:sz="4" w:space="0" w:color="auto"/>
            </w:tcBorders>
            <w:shd w:val="clear" w:color="auto" w:fill="auto"/>
            <w:vAlign w:val="center"/>
            <w:hideMark/>
          </w:tcPr>
          <w:p w14:paraId="5268271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1134" w:type="dxa"/>
            <w:tcBorders>
              <w:top w:val="nil"/>
              <w:left w:val="nil"/>
              <w:bottom w:val="single" w:sz="4" w:space="0" w:color="auto"/>
              <w:right w:val="single" w:sz="4" w:space="0" w:color="auto"/>
            </w:tcBorders>
            <w:shd w:val="clear" w:color="000000" w:fill="FFFFFF"/>
            <w:vAlign w:val="center"/>
            <w:hideMark/>
          </w:tcPr>
          <w:p w14:paraId="00B17C6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vAlign w:val="center"/>
            <w:hideMark/>
          </w:tcPr>
          <w:p w14:paraId="33FE080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9500,9</w:t>
            </w:r>
          </w:p>
        </w:tc>
        <w:tc>
          <w:tcPr>
            <w:tcW w:w="992" w:type="dxa"/>
            <w:tcBorders>
              <w:top w:val="nil"/>
              <w:left w:val="nil"/>
              <w:bottom w:val="single" w:sz="4" w:space="0" w:color="auto"/>
              <w:right w:val="single" w:sz="4" w:space="0" w:color="auto"/>
            </w:tcBorders>
            <w:shd w:val="clear" w:color="000000" w:fill="FFFFFF"/>
            <w:vAlign w:val="center"/>
            <w:hideMark/>
          </w:tcPr>
          <w:p w14:paraId="3385FBF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9498,0</w:t>
            </w:r>
          </w:p>
        </w:tc>
        <w:tc>
          <w:tcPr>
            <w:tcW w:w="1110" w:type="dxa"/>
            <w:tcBorders>
              <w:top w:val="nil"/>
              <w:left w:val="nil"/>
              <w:bottom w:val="single" w:sz="4" w:space="0" w:color="auto"/>
              <w:right w:val="double" w:sz="6" w:space="0" w:color="auto"/>
            </w:tcBorders>
            <w:shd w:val="clear" w:color="000000" w:fill="FFFFFF"/>
            <w:noWrap/>
            <w:vAlign w:val="center"/>
            <w:hideMark/>
          </w:tcPr>
          <w:p w14:paraId="3620CDE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79F9F39" w14:textId="77777777" w:rsidTr="00995494">
        <w:trPr>
          <w:trHeight w:val="699"/>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4DFA9866"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«Содержание, воспитание и социальное обеспечение детей-сирот и детей, оставшихся без попечения родителей, лиц из числа детей-сирот и детей, оставшихся без попечения родителей, детей с ограниченными возможностями здоровья»</w:t>
            </w:r>
          </w:p>
        </w:tc>
        <w:tc>
          <w:tcPr>
            <w:tcW w:w="708" w:type="dxa"/>
            <w:tcBorders>
              <w:top w:val="nil"/>
              <w:left w:val="nil"/>
              <w:bottom w:val="single" w:sz="4" w:space="0" w:color="auto"/>
              <w:right w:val="single" w:sz="4" w:space="0" w:color="auto"/>
            </w:tcBorders>
            <w:shd w:val="clear" w:color="auto" w:fill="auto"/>
            <w:noWrap/>
            <w:vAlign w:val="center"/>
            <w:hideMark/>
          </w:tcPr>
          <w:p w14:paraId="21B56DA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1134" w:type="dxa"/>
            <w:tcBorders>
              <w:top w:val="nil"/>
              <w:left w:val="nil"/>
              <w:bottom w:val="single" w:sz="4" w:space="0" w:color="auto"/>
              <w:right w:val="single" w:sz="4" w:space="0" w:color="auto"/>
            </w:tcBorders>
            <w:shd w:val="clear" w:color="auto" w:fill="auto"/>
            <w:noWrap/>
            <w:vAlign w:val="center"/>
            <w:hideMark/>
          </w:tcPr>
          <w:p w14:paraId="483B748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1134" w:type="dxa"/>
            <w:tcBorders>
              <w:top w:val="nil"/>
              <w:left w:val="nil"/>
              <w:bottom w:val="single" w:sz="4" w:space="0" w:color="auto"/>
              <w:right w:val="single" w:sz="4" w:space="0" w:color="auto"/>
            </w:tcBorders>
            <w:shd w:val="clear" w:color="000000" w:fill="FFFFFF"/>
            <w:vAlign w:val="center"/>
            <w:hideMark/>
          </w:tcPr>
          <w:p w14:paraId="2BF2645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vAlign w:val="center"/>
            <w:hideMark/>
          </w:tcPr>
          <w:p w14:paraId="0D003CC5"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1135,6</w:t>
            </w:r>
          </w:p>
        </w:tc>
        <w:tc>
          <w:tcPr>
            <w:tcW w:w="992" w:type="dxa"/>
            <w:tcBorders>
              <w:top w:val="nil"/>
              <w:left w:val="nil"/>
              <w:bottom w:val="single" w:sz="4" w:space="0" w:color="auto"/>
              <w:right w:val="single" w:sz="4" w:space="0" w:color="auto"/>
            </w:tcBorders>
            <w:shd w:val="clear" w:color="000000" w:fill="FFFFFF"/>
            <w:vAlign w:val="center"/>
            <w:hideMark/>
          </w:tcPr>
          <w:p w14:paraId="5D27F8E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1135,2</w:t>
            </w:r>
          </w:p>
        </w:tc>
        <w:tc>
          <w:tcPr>
            <w:tcW w:w="1110" w:type="dxa"/>
            <w:tcBorders>
              <w:top w:val="nil"/>
              <w:left w:val="nil"/>
              <w:bottom w:val="single" w:sz="4" w:space="0" w:color="auto"/>
              <w:right w:val="double" w:sz="6" w:space="0" w:color="auto"/>
            </w:tcBorders>
            <w:shd w:val="clear" w:color="000000" w:fill="FFFFFF"/>
            <w:noWrap/>
            <w:vAlign w:val="center"/>
            <w:hideMark/>
          </w:tcPr>
          <w:p w14:paraId="61849D9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EC2C0A3" w14:textId="77777777" w:rsidTr="00995494">
        <w:trPr>
          <w:trHeight w:val="299"/>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01AC2BF9"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«Развитие системы отдыха и оздоровления детей»</w:t>
            </w:r>
          </w:p>
        </w:tc>
        <w:tc>
          <w:tcPr>
            <w:tcW w:w="708" w:type="dxa"/>
            <w:tcBorders>
              <w:top w:val="nil"/>
              <w:left w:val="nil"/>
              <w:bottom w:val="single" w:sz="4" w:space="0" w:color="auto"/>
              <w:right w:val="single" w:sz="4" w:space="0" w:color="auto"/>
            </w:tcBorders>
            <w:shd w:val="clear" w:color="auto" w:fill="auto"/>
            <w:noWrap/>
            <w:vAlign w:val="center"/>
            <w:hideMark/>
          </w:tcPr>
          <w:p w14:paraId="451F8FE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66E05D5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000000" w:fill="FFFFFF"/>
            <w:vAlign w:val="center"/>
            <w:hideMark/>
          </w:tcPr>
          <w:p w14:paraId="4869F44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noWrap/>
            <w:vAlign w:val="center"/>
            <w:hideMark/>
          </w:tcPr>
          <w:p w14:paraId="23CE071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456,4</w:t>
            </w:r>
          </w:p>
        </w:tc>
        <w:tc>
          <w:tcPr>
            <w:tcW w:w="992" w:type="dxa"/>
            <w:tcBorders>
              <w:top w:val="nil"/>
              <w:left w:val="nil"/>
              <w:bottom w:val="single" w:sz="4" w:space="0" w:color="auto"/>
              <w:right w:val="single" w:sz="4" w:space="0" w:color="auto"/>
            </w:tcBorders>
            <w:shd w:val="clear" w:color="000000" w:fill="FFFFFF"/>
            <w:vAlign w:val="center"/>
            <w:hideMark/>
          </w:tcPr>
          <w:p w14:paraId="31F1C98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455,7</w:t>
            </w:r>
          </w:p>
        </w:tc>
        <w:tc>
          <w:tcPr>
            <w:tcW w:w="1110" w:type="dxa"/>
            <w:tcBorders>
              <w:top w:val="nil"/>
              <w:left w:val="nil"/>
              <w:bottom w:val="single" w:sz="4" w:space="0" w:color="auto"/>
              <w:right w:val="double" w:sz="6" w:space="0" w:color="auto"/>
            </w:tcBorders>
            <w:shd w:val="clear" w:color="000000" w:fill="FFFFFF"/>
            <w:noWrap/>
            <w:vAlign w:val="center"/>
            <w:hideMark/>
          </w:tcPr>
          <w:p w14:paraId="23CD1C48"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r>
      <w:tr w:rsidR="00FD7B0B" w:rsidRPr="00FD7B0B" w14:paraId="4451B73E" w14:textId="77777777" w:rsidTr="00995494">
        <w:trPr>
          <w:trHeight w:val="299"/>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6064F5D2"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«Семья и дети в Архангельской области»</w:t>
            </w:r>
          </w:p>
        </w:tc>
        <w:tc>
          <w:tcPr>
            <w:tcW w:w="708" w:type="dxa"/>
            <w:tcBorders>
              <w:top w:val="nil"/>
              <w:left w:val="nil"/>
              <w:bottom w:val="single" w:sz="4" w:space="0" w:color="auto"/>
              <w:right w:val="single" w:sz="4" w:space="0" w:color="auto"/>
            </w:tcBorders>
            <w:shd w:val="clear" w:color="auto" w:fill="auto"/>
            <w:noWrap/>
            <w:vAlign w:val="center"/>
            <w:hideMark/>
          </w:tcPr>
          <w:p w14:paraId="1C37538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118B4A0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000000" w:fill="FFFFFF"/>
            <w:vAlign w:val="center"/>
            <w:hideMark/>
          </w:tcPr>
          <w:p w14:paraId="27A3403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noWrap/>
            <w:vAlign w:val="center"/>
            <w:hideMark/>
          </w:tcPr>
          <w:p w14:paraId="3CE43442"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111,1</w:t>
            </w:r>
          </w:p>
        </w:tc>
        <w:tc>
          <w:tcPr>
            <w:tcW w:w="992" w:type="dxa"/>
            <w:tcBorders>
              <w:top w:val="nil"/>
              <w:left w:val="nil"/>
              <w:bottom w:val="single" w:sz="4" w:space="0" w:color="auto"/>
              <w:right w:val="single" w:sz="4" w:space="0" w:color="auto"/>
            </w:tcBorders>
            <w:shd w:val="clear" w:color="000000" w:fill="FFFFFF"/>
            <w:vAlign w:val="center"/>
            <w:hideMark/>
          </w:tcPr>
          <w:p w14:paraId="19B5A87D"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111,1</w:t>
            </w:r>
          </w:p>
        </w:tc>
        <w:tc>
          <w:tcPr>
            <w:tcW w:w="1110" w:type="dxa"/>
            <w:tcBorders>
              <w:top w:val="nil"/>
              <w:left w:val="nil"/>
              <w:bottom w:val="single" w:sz="4" w:space="0" w:color="auto"/>
              <w:right w:val="double" w:sz="6" w:space="0" w:color="auto"/>
            </w:tcBorders>
            <w:shd w:val="clear" w:color="000000" w:fill="FFFFFF"/>
            <w:noWrap/>
            <w:vAlign w:val="center"/>
            <w:hideMark/>
          </w:tcPr>
          <w:p w14:paraId="690D7516"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6CADFE1A" w14:textId="77777777" w:rsidTr="00B83FF2">
        <w:trPr>
          <w:trHeight w:val="423"/>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0DEF8EBB"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«Повышение качества жизни граждан пожилого возраста и инвалидов в Архангельской области»</w:t>
            </w:r>
          </w:p>
        </w:tc>
        <w:tc>
          <w:tcPr>
            <w:tcW w:w="708" w:type="dxa"/>
            <w:tcBorders>
              <w:top w:val="nil"/>
              <w:left w:val="nil"/>
              <w:bottom w:val="single" w:sz="4" w:space="0" w:color="auto"/>
              <w:right w:val="single" w:sz="4" w:space="0" w:color="auto"/>
            </w:tcBorders>
            <w:shd w:val="clear" w:color="auto" w:fill="auto"/>
            <w:noWrap/>
            <w:vAlign w:val="center"/>
            <w:hideMark/>
          </w:tcPr>
          <w:p w14:paraId="3A43612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45F3822B"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000000" w:fill="FFFFFF"/>
            <w:vAlign w:val="center"/>
            <w:hideMark/>
          </w:tcPr>
          <w:p w14:paraId="29D57367"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noWrap/>
            <w:vAlign w:val="center"/>
            <w:hideMark/>
          </w:tcPr>
          <w:p w14:paraId="7CB910B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33,8</w:t>
            </w:r>
          </w:p>
        </w:tc>
        <w:tc>
          <w:tcPr>
            <w:tcW w:w="992" w:type="dxa"/>
            <w:tcBorders>
              <w:top w:val="nil"/>
              <w:left w:val="nil"/>
              <w:bottom w:val="single" w:sz="4" w:space="0" w:color="auto"/>
              <w:right w:val="single" w:sz="4" w:space="0" w:color="auto"/>
            </w:tcBorders>
            <w:shd w:val="clear" w:color="000000" w:fill="FFFFFF"/>
            <w:vAlign w:val="center"/>
            <w:hideMark/>
          </w:tcPr>
          <w:p w14:paraId="62C2C4D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33,6</w:t>
            </w:r>
          </w:p>
        </w:tc>
        <w:tc>
          <w:tcPr>
            <w:tcW w:w="1110" w:type="dxa"/>
            <w:tcBorders>
              <w:top w:val="nil"/>
              <w:left w:val="nil"/>
              <w:bottom w:val="single" w:sz="4" w:space="0" w:color="auto"/>
              <w:right w:val="double" w:sz="6" w:space="0" w:color="auto"/>
            </w:tcBorders>
            <w:shd w:val="clear" w:color="000000" w:fill="FFFFFF"/>
            <w:noWrap/>
            <w:vAlign w:val="center"/>
            <w:hideMark/>
          </w:tcPr>
          <w:p w14:paraId="65078609"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99,4</w:t>
            </w:r>
          </w:p>
        </w:tc>
      </w:tr>
      <w:tr w:rsidR="00FD7B0B" w:rsidRPr="00FD7B0B" w14:paraId="73951AF2" w14:textId="77777777" w:rsidTr="00995494">
        <w:trPr>
          <w:trHeight w:val="598"/>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69FA2ECB"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«Приоритетные социально значимые мероприятия в сфере социальной политики Архангельской области»</w:t>
            </w:r>
          </w:p>
        </w:tc>
        <w:tc>
          <w:tcPr>
            <w:tcW w:w="708" w:type="dxa"/>
            <w:tcBorders>
              <w:top w:val="nil"/>
              <w:left w:val="nil"/>
              <w:bottom w:val="single" w:sz="4" w:space="0" w:color="auto"/>
              <w:right w:val="single" w:sz="4" w:space="0" w:color="auto"/>
            </w:tcBorders>
            <w:shd w:val="clear" w:color="auto" w:fill="auto"/>
            <w:noWrap/>
            <w:vAlign w:val="center"/>
            <w:hideMark/>
          </w:tcPr>
          <w:p w14:paraId="3DE20B9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23E49F7E"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000000" w:fill="FFFFFF"/>
            <w:vAlign w:val="center"/>
            <w:hideMark/>
          </w:tcPr>
          <w:p w14:paraId="14C75841"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000000" w:fill="FFFFFF"/>
            <w:noWrap/>
            <w:vAlign w:val="center"/>
            <w:hideMark/>
          </w:tcPr>
          <w:p w14:paraId="3E9160E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10,9</w:t>
            </w:r>
          </w:p>
        </w:tc>
        <w:tc>
          <w:tcPr>
            <w:tcW w:w="992" w:type="dxa"/>
            <w:tcBorders>
              <w:top w:val="nil"/>
              <w:left w:val="nil"/>
              <w:bottom w:val="single" w:sz="4" w:space="0" w:color="auto"/>
              <w:right w:val="single" w:sz="4" w:space="0" w:color="auto"/>
            </w:tcBorders>
            <w:shd w:val="clear" w:color="000000" w:fill="FFFFFF"/>
            <w:noWrap/>
            <w:vAlign w:val="center"/>
            <w:hideMark/>
          </w:tcPr>
          <w:p w14:paraId="6A40171F"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10,6</w:t>
            </w:r>
          </w:p>
        </w:tc>
        <w:tc>
          <w:tcPr>
            <w:tcW w:w="1110" w:type="dxa"/>
            <w:tcBorders>
              <w:top w:val="nil"/>
              <w:left w:val="nil"/>
              <w:bottom w:val="single" w:sz="4" w:space="0" w:color="auto"/>
              <w:right w:val="double" w:sz="6" w:space="0" w:color="auto"/>
            </w:tcBorders>
            <w:shd w:val="clear" w:color="000000" w:fill="FFFFFF"/>
            <w:noWrap/>
            <w:vAlign w:val="center"/>
            <w:hideMark/>
          </w:tcPr>
          <w:p w14:paraId="37C3F4D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97,2</w:t>
            </w:r>
          </w:p>
        </w:tc>
      </w:tr>
      <w:tr w:rsidR="00FD7B0B" w:rsidRPr="00FD7B0B" w14:paraId="5820835D" w14:textId="77777777" w:rsidTr="00995494">
        <w:trPr>
          <w:trHeight w:val="186"/>
        </w:trPr>
        <w:tc>
          <w:tcPr>
            <w:tcW w:w="3544" w:type="dxa"/>
            <w:tcBorders>
              <w:top w:val="nil"/>
              <w:left w:val="double" w:sz="6" w:space="0" w:color="auto"/>
              <w:bottom w:val="single" w:sz="4" w:space="0" w:color="auto"/>
              <w:right w:val="single" w:sz="4" w:space="0" w:color="auto"/>
            </w:tcBorders>
            <w:shd w:val="clear" w:color="auto" w:fill="auto"/>
            <w:vAlign w:val="center"/>
            <w:hideMark/>
          </w:tcPr>
          <w:p w14:paraId="3A37A841"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«Доступная среда»</w:t>
            </w:r>
          </w:p>
        </w:tc>
        <w:tc>
          <w:tcPr>
            <w:tcW w:w="708" w:type="dxa"/>
            <w:tcBorders>
              <w:top w:val="nil"/>
              <w:left w:val="nil"/>
              <w:bottom w:val="single" w:sz="4" w:space="0" w:color="auto"/>
              <w:right w:val="single" w:sz="4" w:space="0" w:color="auto"/>
            </w:tcBorders>
            <w:shd w:val="clear" w:color="auto" w:fill="auto"/>
            <w:noWrap/>
            <w:vAlign w:val="center"/>
            <w:hideMark/>
          </w:tcPr>
          <w:p w14:paraId="043EA6A6"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w:t>
            </w:r>
          </w:p>
        </w:tc>
        <w:tc>
          <w:tcPr>
            <w:tcW w:w="1134" w:type="dxa"/>
            <w:tcBorders>
              <w:top w:val="nil"/>
              <w:left w:val="nil"/>
              <w:bottom w:val="single" w:sz="4" w:space="0" w:color="auto"/>
              <w:right w:val="single" w:sz="4" w:space="0" w:color="auto"/>
            </w:tcBorders>
            <w:shd w:val="clear" w:color="auto" w:fill="auto"/>
            <w:noWrap/>
            <w:vAlign w:val="center"/>
            <w:hideMark/>
          </w:tcPr>
          <w:p w14:paraId="728BEA65"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w:t>
            </w:r>
          </w:p>
        </w:tc>
        <w:tc>
          <w:tcPr>
            <w:tcW w:w="1134" w:type="dxa"/>
            <w:tcBorders>
              <w:top w:val="nil"/>
              <w:left w:val="nil"/>
              <w:bottom w:val="single" w:sz="4" w:space="0" w:color="auto"/>
              <w:right w:val="single" w:sz="4" w:space="0" w:color="auto"/>
            </w:tcBorders>
            <w:shd w:val="clear" w:color="000000" w:fill="FFFFFF"/>
            <w:vAlign w:val="center"/>
            <w:hideMark/>
          </w:tcPr>
          <w:p w14:paraId="7CAC1874"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single" w:sz="4" w:space="0" w:color="auto"/>
              <w:right w:val="single" w:sz="4" w:space="0" w:color="auto"/>
            </w:tcBorders>
            <w:shd w:val="clear" w:color="auto" w:fill="auto"/>
            <w:noWrap/>
            <w:vAlign w:val="center"/>
            <w:hideMark/>
          </w:tcPr>
          <w:p w14:paraId="71330C67"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25,4</w:t>
            </w:r>
          </w:p>
        </w:tc>
        <w:tc>
          <w:tcPr>
            <w:tcW w:w="992" w:type="dxa"/>
            <w:tcBorders>
              <w:top w:val="nil"/>
              <w:left w:val="nil"/>
              <w:bottom w:val="single" w:sz="4" w:space="0" w:color="auto"/>
              <w:right w:val="single" w:sz="4" w:space="0" w:color="auto"/>
            </w:tcBorders>
            <w:shd w:val="clear" w:color="auto" w:fill="auto"/>
            <w:noWrap/>
            <w:vAlign w:val="center"/>
            <w:hideMark/>
          </w:tcPr>
          <w:p w14:paraId="4E6FCBC5"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25,3</w:t>
            </w:r>
          </w:p>
        </w:tc>
        <w:tc>
          <w:tcPr>
            <w:tcW w:w="1110" w:type="dxa"/>
            <w:tcBorders>
              <w:top w:val="nil"/>
              <w:left w:val="nil"/>
              <w:bottom w:val="single" w:sz="4" w:space="0" w:color="auto"/>
              <w:right w:val="double" w:sz="6" w:space="0" w:color="auto"/>
            </w:tcBorders>
            <w:shd w:val="clear" w:color="000000" w:fill="FFFFFF"/>
            <w:noWrap/>
            <w:vAlign w:val="center"/>
            <w:hideMark/>
          </w:tcPr>
          <w:p w14:paraId="31E92440"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99,6</w:t>
            </w:r>
          </w:p>
        </w:tc>
      </w:tr>
      <w:tr w:rsidR="00FD7B0B" w:rsidRPr="00FD7B0B" w14:paraId="3FDB2080" w14:textId="77777777" w:rsidTr="00995494">
        <w:trPr>
          <w:trHeight w:val="161"/>
        </w:trPr>
        <w:tc>
          <w:tcPr>
            <w:tcW w:w="3544" w:type="dxa"/>
            <w:tcBorders>
              <w:top w:val="nil"/>
              <w:left w:val="double" w:sz="6" w:space="0" w:color="auto"/>
              <w:bottom w:val="double" w:sz="6" w:space="0" w:color="auto"/>
              <w:right w:val="single" w:sz="4" w:space="0" w:color="auto"/>
            </w:tcBorders>
            <w:shd w:val="clear" w:color="auto" w:fill="auto"/>
            <w:vAlign w:val="center"/>
            <w:hideMark/>
          </w:tcPr>
          <w:p w14:paraId="725C7800" w14:textId="77777777" w:rsidR="002B392F" w:rsidRPr="00FD7B0B" w:rsidRDefault="002B392F" w:rsidP="00995494">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«Право быть равным»</w:t>
            </w:r>
          </w:p>
        </w:tc>
        <w:tc>
          <w:tcPr>
            <w:tcW w:w="708" w:type="dxa"/>
            <w:tcBorders>
              <w:top w:val="nil"/>
              <w:left w:val="nil"/>
              <w:bottom w:val="double" w:sz="6" w:space="0" w:color="auto"/>
              <w:right w:val="single" w:sz="4" w:space="0" w:color="auto"/>
            </w:tcBorders>
            <w:shd w:val="clear" w:color="auto" w:fill="auto"/>
            <w:noWrap/>
            <w:vAlign w:val="center"/>
            <w:hideMark/>
          </w:tcPr>
          <w:p w14:paraId="60748372"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c>
          <w:tcPr>
            <w:tcW w:w="1134" w:type="dxa"/>
            <w:tcBorders>
              <w:top w:val="nil"/>
              <w:left w:val="nil"/>
              <w:bottom w:val="double" w:sz="6" w:space="0" w:color="auto"/>
              <w:right w:val="single" w:sz="4" w:space="0" w:color="auto"/>
            </w:tcBorders>
            <w:shd w:val="clear" w:color="auto" w:fill="auto"/>
            <w:noWrap/>
            <w:vAlign w:val="center"/>
            <w:hideMark/>
          </w:tcPr>
          <w:p w14:paraId="70E39888"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c>
          <w:tcPr>
            <w:tcW w:w="1134" w:type="dxa"/>
            <w:tcBorders>
              <w:top w:val="nil"/>
              <w:left w:val="nil"/>
              <w:bottom w:val="double" w:sz="6" w:space="0" w:color="auto"/>
              <w:right w:val="single" w:sz="4" w:space="0" w:color="auto"/>
            </w:tcBorders>
            <w:shd w:val="clear" w:color="000000" w:fill="FFFFFF"/>
            <w:vAlign w:val="center"/>
            <w:hideMark/>
          </w:tcPr>
          <w:p w14:paraId="665F9DBA"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993" w:type="dxa"/>
            <w:tcBorders>
              <w:top w:val="nil"/>
              <w:left w:val="nil"/>
              <w:bottom w:val="double" w:sz="6" w:space="0" w:color="auto"/>
              <w:right w:val="single" w:sz="4" w:space="0" w:color="auto"/>
            </w:tcBorders>
            <w:shd w:val="clear" w:color="auto" w:fill="auto"/>
            <w:noWrap/>
            <w:vAlign w:val="center"/>
            <w:hideMark/>
          </w:tcPr>
          <w:p w14:paraId="7D32E061"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18,0</w:t>
            </w:r>
          </w:p>
        </w:tc>
        <w:tc>
          <w:tcPr>
            <w:tcW w:w="992" w:type="dxa"/>
            <w:tcBorders>
              <w:top w:val="nil"/>
              <w:left w:val="nil"/>
              <w:bottom w:val="double" w:sz="6" w:space="0" w:color="auto"/>
              <w:right w:val="single" w:sz="4" w:space="0" w:color="auto"/>
            </w:tcBorders>
            <w:shd w:val="clear" w:color="auto" w:fill="auto"/>
            <w:noWrap/>
            <w:vAlign w:val="center"/>
            <w:hideMark/>
          </w:tcPr>
          <w:p w14:paraId="23D6D417" w14:textId="77777777" w:rsidR="002B392F" w:rsidRPr="00FD7B0B" w:rsidRDefault="002B392F" w:rsidP="002B392F">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18,0</w:t>
            </w:r>
          </w:p>
        </w:tc>
        <w:tc>
          <w:tcPr>
            <w:tcW w:w="1110" w:type="dxa"/>
            <w:tcBorders>
              <w:top w:val="nil"/>
              <w:left w:val="nil"/>
              <w:bottom w:val="double" w:sz="6" w:space="0" w:color="auto"/>
              <w:right w:val="double" w:sz="6" w:space="0" w:color="auto"/>
            </w:tcBorders>
            <w:shd w:val="clear" w:color="000000" w:fill="FFFFFF"/>
            <w:noWrap/>
            <w:vAlign w:val="center"/>
            <w:hideMark/>
          </w:tcPr>
          <w:p w14:paraId="03932ABC" w14:textId="77777777" w:rsidR="002B392F" w:rsidRPr="00FD7B0B" w:rsidRDefault="002B392F" w:rsidP="002B392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bl>
    <w:p w14:paraId="177A7F90" w14:textId="77777777" w:rsidR="00995494" w:rsidRPr="00FD7B0B" w:rsidRDefault="00995494" w:rsidP="002B392F">
      <w:pPr>
        <w:spacing w:after="0" w:line="240" w:lineRule="auto"/>
        <w:ind w:firstLine="709"/>
        <w:contextualSpacing/>
        <w:jc w:val="both"/>
        <w:rPr>
          <w:rFonts w:ascii="Times New Roman" w:eastAsia="Times New Roman" w:hAnsi="Times New Roman"/>
          <w:sz w:val="28"/>
          <w:szCs w:val="28"/>
          <w:lang w:eastAsia="ru-RU"/>
        </w:rPr>
      </w:pPr>
    </w:p>
    <w:p w14:paraId="547A9CCD" w14:textId="2C3F22E3" w:rsidR="002B392F" w:rsidRPr="00FD7B0B" w:rsidRDefault="002B392F" w:rsidP="002B392F">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sz w:val="28"/>
          <w:szCs w:val="28"/>
          <w:lang w:eastAsia="ru-RU"/>
        </w:rPr>
        <w:t xml:space="preserve">Плановые значения на 2024 год представлены по 33 показателям, </w:t>
      </w:r>
      <w:r w:rsidRPr="00FD7B0B">
        <w:rPr>
          <w:rFonts w:ascii="Times New Roman" w:eastAsia="Times New Roman" w:hAnsi="Times New Roman" w:cs="Times New Roman"/>
          <w:sz w:val="28"/>
          <w:szCs w:val="28"/>
          <w:lang w:eastAsia="ru-RU"/>
        </w:rPr>
        <w:t>процент исполнения от 96,2</w:t>
      </w:r>
      <w:r w:rsidR="00995494"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до 221,9</w:t>
      </w:r>
      <w:r w:rsidR="00995494"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 В основном перевыполнены показатели по </w:t>
      </w:r>
      <w:r w:rsidRPr="00FD7B0B">
        <w:rPr>
          <w:rFonts w:ascii="Times New Roman" w:eastAsia="Times New Roman" w:hAnsi="Times New Roman" w:cs="Times New Roman"/>
          <w:sz w:val="28"/>
          <w:szCs w:val="28"/>
          <w:lang w:eastAsia="ru-RU"/>
        </w:rPr>
        <w:lastRenderedPageBreak/>
        <w:t>КПМ «Меры социальной поддержки отдельным категориям граждан, проживающим на территории Архангельской области».</w:t>
      </w:r>
    </w:p>
    <w:p w14:paraId="7EDE3731" w14:textId="77777777" w:rsidR="002B392F" w:rsidRPr="00FD7B0B" w:rsidRDefault="002B392F" w:rsidP="002B392F">
      <w:pPr>
        <w:tabs>
          <w:tab w:val="left" w:pos="2460"/>
        </w:tab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ab/>
      </w:r>
    </w:p>
    <w:p w14:paraId="2DF84106" w14:textId="77777777" w:rsidR="002B392F" w:rsidRPr="00FD7B0B" w:rsidRDefault="002B392F" w:rsidP="002B392F">
      <w:pPr>
        <w:spacing w:after="0" w:line="240" w:lineRule="auto"/>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Выполнение Указов Президента Российской Федерации</w:t>
      </w:r>
    </w:p>
    <w:p w14:paraId="27E33E26" w14:textId="36B52E69" w:rsidR="002B392F" w:rsidRPr="00FD7B0B" w:rsidRDefault="002B392F" w:rsidP="002B392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Информация о достигнутых результатах по выполнению показателей по заработной плате отдельных категорий работников сферы социального обслуживания, определенных в Указах Президента Российской Федерации от 7.05.2012 № 597 и от 28.12.2012 № 1688, по состоянию на 1 января 2025 г. представлен</w:t>
      </w:r>
      <w:r w:rsidR="00995494" w:rsidRPr="00FD7B0B">
        <w:rPr>
          <w:rFonts w:ascii="Times New Roman" w:eastAsia="Times New Roman" w:hAnsi="Times New Roman"/>
          <w:sz w:val="28"/>
          <w:szCs w:val="28"/>
          <w:lang w:eastAsia="ru-RU"/>
        </w:rPr>
        <w:t xml:space="preserve">а в таблице </w:t>
      </w:r>
      <w:r w:rsidR="00F745C4" w:rsidRPr="00FD7B0B">
        <w:rPr>
          <w:rFonts w:ascii="Times New Roman" w:eastAsia="Times New Roman" w:hAnsi="Times New Roman"/>
          <w:sz w:val="28"/>
          <w:szCs w:val="28"/>
          <w:lang w:eastAsia="ru-RU"/>
        </w:rPr>
        <w:t>106</w:t>
      </w:r>
      <w:r w:rsidRPr="00FD7B0B">
        <w:rPr>
          <w:rFonts w:ascii="Times New Roman" w:eastAsia="Times New Roman" w:hAnsi="Times New Roman"/>
          <w:sz w:val="28"/>
          <w:szCs w:val="28"/>
          <w:lang w:eastAsia="ru-RU"/>
        </w:rPr>
        <w:t>.</w:t>
      </w:r>
    </w:p>
    <w:p w14:paraId="53D40FC5" w14:textId="77777777" w:rsidR="002B392F" w:rsidRPr="00FD7B0B" w:rsidRDefault="002B392F" w:rsidP="002C5D80">
      <w:pPr>
        <w:spacing w:after="0" w:line="240" w:lineRule="auto"/>
        <w:ind w:firstLine="709"/>
        <w:contextualSpacing/>
        <w:rPr>
          <w:rFonts w:ascii="Times New Roman" w:eastAsia="Times New Roman" w:hAnsi="Times New Roman"/>
          <w:sz w:val="28"/>
          <w:szCs w:val="28"/>
          <w:lang w:eastAsia="ru-RU"/>
        </w:rPr>
      </w:pPr>
    </w:p>
    <w:p w14:paraId="096DDBDA" w14:textId="77777777" w:rsidR="002B392F" w:rsidRPr="00FD7B0B" w:rsidRDefault="002B392F" w:rsidP="002C5D80">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106</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Сведения о выполнении индикативных значений средней заработной платы работников за 2024 год </w:t>
      </w:r>
    </w:p>
    <w:tbl>
      <w:tblPr>
        <w:tblW w:w="9714" w:type="dxa"/>
        <w:tblInd w:w="-23" w:type="dxa"/>
        <w:tblLayout w:type="fixed"/>
        <w:tblLook w:val="04A0" w:firstRow="1" w:lastRow="0" w:firstColumn="1" w:lastColumn="0" w:noHBand="0" w:noVBand="1"/>
      </w:tblPr>
      <w:tblGrid>
        <w:gridCol w:w="2977"/>
        <w:gridCol w:w="1100"/>
        <w:gridCol w:w="1101"/>
        <w:gridCol w:w="1155"/>
        <w:gridCol w:w="1180"/>
        <w:gridCol w:w="1100"/>
        <w:gridCol w:w="1101"/>
      </w:tblGrid>
      <w:tr w:rsidR="00FD7B0B" w:rsidRPr="00FD7B0B" w14:paraId="4B910D7F" w14:textId="77777777" w:rsidTr="002C5D80">
        <w:trPr>
          <w:trHeight w:val="417"/>
          <w:tblHeader/>
        </w:trPr>
        <w:tc>
          <w:tcPr>
            <w:tcW w:w="2977"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5697E128"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Категории работников</w:t>
            </w:r>
          </w:p>
        </w:tc>
        <w:tc>
          <w:tcPr>
            <w:tcW w:w="2201" w:type="dxa"/>
            <w:gridSpan w:val="2"/>
            <w:tcBorders>
              <w:top w:val="double" w:sz="6" w:space="0" w:color="auto"/>
              <w:left w:val="nil"/>
              <w:bottom w:val="single" w:sz="4" w:space="0" w:color="auto"/>
              <w:right w:val="single" w:sz="4" w:space="0" w:color="auto"/>
            </w:tcBorders>
            <w:shd w:val="clear" w:color="auto" w:fill="auto"/>
            <w:vAlign w:val="center"/>
            <w:hideMark/>
          </w:tcPr>
          <w:p w14:paraId="1BA5A6C2"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Фактические значения на 01.01.202</w:t>
            </w:r>
            <w:r w:rsidRPr="00FD7B0B">
              <w:rPr>
                <w:rFonts w:ascii="Times New Roman" w:eastAsia="Times New Roman" w:hAnsi="Times New Roman" w:cs="Times New Roman"/>
                <w:sz w:val="18"/>
                <w:szCs w:val="18"/>
                <w:lang w:val="en-US" w:eastAsia="ru-RU"/>
              </w:rPr>
              <w:t>4</w:t>
            </w:r>
            <w:r w:rsidRPr="00FD7B0B">
              <w:rPr>
                <w:rFonts w:ascii="Times New Roman" w:eastAsia="Times New Roman" w:hAnsi="Times New Roman" w:cs="Times New Roman"/>
                <w:sz w:val="18"/>
                <w:szCs w:val="18"/>
                <w:lang w:eastAsia="ru-RU"/>
              </w:rPr>
              <w:t xml:space="preserve"> </w:t>
            </w:r>
          </w:p>
        </w:tc>
        <w:tc>
          <w:tcPr>
            <w:tcW w:w="2335" w:type="dxa"/>
            <w:gridSpan w:val="2"/>
            <w:tcBorders>
              <w:top w:val="double" w:sz="6" w:space="0" w:color="auto"/>
              <w:left w:val="nil"/>
              <w:bottom w:val="single" w:sz="4" w:space="0" w:color="auto"/>
              <w:right w:val="single" w:sz="4" w:space="0" w:color="auto"/>
            </w:tcBorders>
            <w:shd w:val="clear" w:color="auto" w:fill="auto"/>
            <w:vAlign w:val="center"/>
            <w:hideMark/>
          </w:tcPr>
          <w:p w14:paraId="3CFB112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Значения показателей на 2024 год</w:t>
            </w:r>
          </w:p>
        </w:tc>
        <w:tc>
          <w:tcPr>
            <w:tcW w:w="2201" w:type="dxa"/>
            <w:gridSpan w:val="2"/>
            <w:tcBorders>
              <w:top w:val="double" w:sz="6" w:space="0" w:color="auto"/>
              <w:left w:val="nil"/>
              <w:bottom w:val="single" w:sz="4" w:space="0" w:color="auto"/>
              <w:right w:val="double" w:sz="6" w:space="0" w:color="000000"/>
            </w:tcBorders>
            <w:shd w:val="clear" w:color="auto" w:fill="auto"/>
            <w:vAlign w:val="center"/>
            <w:hideMark/>
          </w:tcPr>
          <w:p w14:paraId="06CEEE1A"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val="en-US" w:eastAsia="ru-RU"/>
              </w:rPr>
            </w:pPr>
            <w:r w:rsidRPr="00FD7B0B">
              <w:rPr>
                <w:rFonts w:ascii="Times New Roman" w:eastAsia="Times New Roman" w:hAnsi="Times New Roman" w:cs="Times New Roman"/>
                <w:sz w:val="18"/>
                <w:szCs w:val="18"/>
                <w:lang w:eastAsia="ru-RU"/>
              </w:rPr>
              <w:t>Фактические значения на 01.01.202</w:t>
            </w:r>
            <w:r w:rsidRPr="00FD7B0B">
              <w:rPr>
                <w:rFonts w:ascii="Times New Roman" w:eastAsia="Times New Roman" w:hAnsi="Times New Roman" w:cs="Times New Roman"/>
                <w:sz w:val="18"/>
                <w:szCs w:val="18"/>
                <w:lang w:val="en-US" w:eastAsia="ru-RU"/>
              </w:rPr>
              <w:t>5</w:t>
            </w:r>
          </w:p>
        </w:tc>
      </w:tr>
      <w:tr w:rsidR="00FD7B0B" w:rsidRPr="00FD7B0B" w14:paraId="4E0338B0" w14:textId="77777777" w:rsidTr="002C5D80">
        <w:trPr>
          <w:trHeight w:val="610"/>
          <w:tblHeader/>
        </w:trPr>
        <w:tc>
          <w:tcPr>
            <w:tcW w:w="2977" w:type="dxa"/>
            <w:vMerge/>
            <w:tcBorders>
              <w:top w:val="double" w:sz="6" w:space="0" w:color="auto"/>
              <w:left w:val="double" w:sz="6" w:space="0" w:color="auto"/>
              <w:bottom w:val="single" w:sz="4" w:space="0" w:color="auto"/>
              <w:right w:val="single" w:sz="4" w:space="0" w:color="auto"/>
            </w:tcBorders>
            <w:vAlign w:val="center"/>
            <w:hideMark/>
          </w:tcPr>
          <w:p w14:paraId="16BFA7DE"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97A43F"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руб.</w:t>
            </w:r>
          </w:p>
        </w:tc>
        <w:tc>
          <w:tcPr>
            <w:tcW w:w="1101" w:type="dxa"/>
            <w:tcBorders>
              <w:top w:val="nil"/>
              <w:left w:val="nil"/>
              <w:bottom w:val="single" w:sz="4" w:space="0" w:color="auto"/>
              <w:right w:val="single" w:sz="4" w:space="0" w:color="auto"/>
            </w:tcBorders>
            <w:shd w:val="clear" w:color="auto" w:fill="auto"/>
            <w:vAlign w:val="center"/>
            <w:hideMark/>
          </w:tcPr>
          <w:p w14:paraId="4184F25B"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отношение к средней зарплате, %</w:t>
            </w:r>
          </w:p>
        </w:tc>
        <w:tc>
          <w:tcPr>
            <w:tcW w:w="11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52755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руб.</w:t>
            </w:r>
          </w:p>
        </w:tc>
        <w:tc>
          <w:tcPr>
            <w:tcW w:w="1180" w:type="dxa"/>
            <w:tcBorders>
              <w:top w:val="nil"/>
              <w:left w:val="nil"/>
              <w:bottom w:val="single" w:sz="4" w:space="0" w:color="auto"/>
              <w:right w:val="single" w:sz="4" w:space="0" w:color="auto"/>
            </w:tcBorders>
            <w:shd w:val="clear" w:color="auto" w:fill="auto"/>
            <w:vAlign w:val="center"/>
            <w:hideMark/>
          </w:tcPr>
          <w:p w14:paraId="0A6D1E45"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отношение к средней зарплате, %</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2EFA5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руб.</w:t>
            </w:r>
          </w:p>
        </w:tc>
        <w:tc>
          <w:tcPr>
            <w:tcW w:w="1101" w:type="dxa"/>
            <w:tcBorders>
              <w:top w:val="nil"/>
              <w:left w:val="nil"/>
              <w:bottom w:val="single" w:sz="4" w:space="0" w:color="auto"/>
              <w:right w:val="double" w:sz="6" w:space="0" w:color="auto"/>
            </w:tcBorders>
            <w:shd w:val="clear" w:color="auto" w:fill="auto"/>
            <w:vAlign w:val="center"/>
            <w:hideMark/>
          </w:tcPr>
          <w:p w14:paraId="0047653B"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отношение к средней зарплате, %</w:t>
            </w:r>
          </w:p>
        </w:tc>
      </w:tr>
      <w:tr w:rsidR="00FD7B0B" w:rsidRPr="00FD7B0B" w14:paraId="7AA97E02" w14:textId="77777777" w:rsidTr="002C5D80">
        <w:trPr>
          <w:trHeight w:val="201"/>
          <w:tblHeader/>
        </w:trPr>
        <w:tc>
          <w:tcPr>
            <w:tcW w:w="2977" w:type="dxa"/>
            <w:vMerge/>
            <w:tcBorders>
              <w:top w:val="double" w:sz="6" w:space="0" w:color="auto"/>
              <w:left w:val="double" w:sz="6" w:space="0" w:color="auto"/>
              <w:bottom w:val="single" w:sz="4" w:space="0" w:color="auto"/>
              <w:right w:val="single" w:sz="4" w:space="0" w:color="auto"/>
            </w:tcBorders>
            <w:vAlign w:val="center"/>
            <w:hideMark/>
          </w:tcPr>
          <w:p w14:paraId="6CA290E0"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1100" w:type="dxa"/>
            <w:vMerge/>
            <w:tcBorders>
              <w:top w:val="nil"/>
              <w:left w:val="single" w:sz="4" w:space="0" w:color="auto"/>
              <w:bottom w:val="single" w:sz="4" w:space="0" w:color="auto"/>
              <w:right w:val="single" w:sz="4" w:space="0" w:color="auto"/>
            </w:tcBorders>
            <w:vAlign w:val="center"/>
            <w:hideMark/>
          </w:tcPr>
          <w:p w14:paraId="339CE0E7"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1101" w:type="dxa"/>
            <w:tcBorders>
              <w:top w:val="nil"/>
              <w:left w:val="nil"/>
              <w:bottom w:val="single" w:sz="4" w:space="0" w:color="auto"/>
              <w:right w:val="single" w:sz="4" w:space="0" w:color="auto"/>
            </w:tcBorders>
            <w:shd w:val="clear" w:color="auto" w:fill="auto"/>
            <w:vAlign w:val="center"/>
          </w:tcPr>
          <w:p w14:paraId="246CDDC1"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60 658,08 </w:t>
            </w:r>
          </w:p>
        </w:tc>
        <w:tc>
          <w:tcPr>
            <w:tcW w:w="1155" w:type="dxa"/>
            <w:vMerge/>
            <w:tcBorders>
              <w:top w:val="nil"/>
              <w:left w:val="single" w:sz="4" w:space="0" w:color="auto"/>
              <w:bottom w:val="single" w:sz="4" w:space="0" w:color="auto"/>
              <w:right w:val="single" w:sz="4" w:space="0" w:color="auto"/>
            </w:tcBorders>
            <w:vAlign w:val="center"/>
            <w:hideMark/>
          </w:tcPr>
          <w:p w14:paraId="7F83F4CC"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453457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w:t>
            </w:r>
            <w:r w:rsidRPr="00FD7B0B">
              <w:rPr>
                <w:rFonts w:ascii="Times New Roman" w:eastAsia="Times New Roman" w:hAnsi="Times New Roman" w:cs="Times New Roman"/>
                <w:sz w:val="18"/>
                <w:szCs w:val="18"/>
                <w:lang w:val="en-US" w:eastAsia="ru-RU"/>
              </w:rPr>
              <w:t xml:space="preserve"> </w:t>
            </w:r>
            <w:r w:rsidRPr="00FD7B0B">
              <w:rPr>
                <w:rFonts w:ascii="Times New Roman" w:eastAsia="Times New Roman" w:hAnsi="Times New Roman" w:cs="Times New Roman"/>
                <w:sz w:val="18"/>
                <w:szCs w:val="18"/>
                <w:lang w:eastAsia="ru-RU"/>
              </w:rPr>
              <w:t>199,5</w:t>
            </w:r>
          </w:p>
        </w:tc>
        <w:tc>
          <w:tcPr>
            <w:tcW w:w="1100" w:type="dxa"/>
            <w:vMerge/>
            <w:tcBorders>
              <w:top w:val="nil"/>
              <w:left w:val="single" w:sz="4" w:space="0" w:color="auto"/>
              <w:bottom w:val="single" w:sz="4" w:space="0" w:color="auto"/>
              <w:right w:val="single" w:sz="4" w:space="0" w:color="auto"/>
            </w:tcBorders>
            <w:vAlign w:val="center"/>
            <w:hideMark/>
          </w:tcPr>
          <w:p w14:paraId="099C12B0"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p>
        </w:tc>
        <w:tc>
          <w:tcPr>
            <w:tcW w:w="1101" w:type="dxa"/>
            <w:tcBorders>
              <w:top w:val="nil"/>
              <w:left w:val="nil"/>
              <w:bottom w:val="single" w:sz="4" w:space="0" w:color="auto"/>
              <w:right w:val="double" w:sz="6" w:space="0" w:color="auto"/>
            </w:tcBorders>
            <w:shd w:val="clear" w:color="auto" w:fill="auto"/>
            <w:vAlign w:val="center"/>
            <w:hideMark/>
          </w:tcPr>
          <w:p w14:paraId="4385AF7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w:t>
            </w:r>
            <w:r w:rsidRPr="00FD7B0B">
              <w:rPr>
                <w:rFonts w:ascii="Times New Roman" w:eastAsia="Times New Roman" w:hAnsi="Times New Roman" w:cs="Times New Roman"/>
                <w:sz w:val="18"/>
                <w:szCs w:val="18"/>
                <w:lang w:val="en-US" w:eastAsia="ru-RU"/>
              </w:rPr>
              <w:t xml:space="preserve"> </w:t>
            </w:r>
            <w:r w:rsidRPr="00FD7B0B">
              <w:rPr>
                <w:rFonts w:ascii="Times New Roman" w:eastAsia="Times New Roman" w:hAnsi="Times New Roman" w:cs="Times New Roman"/>
                <w:sz w:val="18"/>
                <w:szCs w:val="18"/>
                <w:lang w:eastAsia="ru-RU"/>
              </w:rPr>
              <w:t>199,5</w:t>
            </w:r>
          </w:p>
        </w:tc>
      </w:tr>
      <w:tr w:rsidR="00FD7B0B" w:rsidRPr="00FD7B0B" w14:paraId="20F90030" w14:textId="77777777" w:rsidTr="002C5D80">
        <w:trPr>
          <w:trHeight w:hRule="exact" w:val="251"/>
        </w:trPr>
        <w:tc>
          <w:tcPr>
            <w:tcW w:w="2977" w:type="dxa"/>
            <w:tcBorders>
              <w:top w:val="nil"/>
              <w:left w:val="double" w:sz="6" w:space="0" w:color="auto"/>
              <w:bottom w:val="single" w:sz="4" w:space="0" w:color="auto"/>
              <w:right w:val="single" w:sz="4" w:space="0" w:color="auto"/>
            </w:tcBorders>
            <w:shd w:val="clear" w:color="auto" w:fill="auto"/>
            <w:noWrap/>
            <w:vAlign w:val="center"/>
            <w:hideMark/>
          </w:tcPr>
          <w:p w14:paraId="535416C0" w14:textId="77777777" w:rsidR="002B392F" w:rsidRPr="00FD7B0B" w:rsidRDefault="002B392F" w:rsidP="002B392F">
            <w:pPr>
              <w:spacing w:after="0" w:line="240" w:lineRule="auto"/>
              <w:jc w:val="both"/>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Социальные работники</w:t>
            </w:r>
          </w:p>
        </w:tc>
        <w:tc>
          <w:tcPr>
            <w:tcW w:w="1100" w:type="dxa"/>
            <w:tcBorders>
              <w:top w:val="nil"/>
              <w:left w:val="nil"/>
              <w:bottom w:val="single" w:sz="4" w:space="0" w:color="auto"/>
              <w:right w:val="single" w:sz="4" w:space="0" w:color="auto"/>
            </w:tcBorders>
            <w:shd w:val="clear" w:color="auto" w:fill="auto"/>
            <w:noWrap/>
            <w:vAlign w:val="center"/>
          </w:tcPr>
          <w:p w14:paraId="5BF99FB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59 517,54</w:t>
            </w:r>
          </w:p>
        </w:tc>
        <w:tc>
          <w:tcPr>
            <w:tcW w:w="1101" w:type="dxa"/>
            <w:tcBorders>
              <w:top w:val="nil"/>
              <w:left w:val="nil"/>
              <w:bottom w:val="single" w:sz="4" w:space="0" w:color="auto"/>
              <w:right w:val="single" w:sz="4" w:space="0" w:color="auto"/>
            </w:tcBorders>
            <w:shd w:val="clear" w:color="auto" w:fill="auto"/>
            <w:noWrap/>
            <w:vAlign w:val="center"/>
          </w:tcPr>
          <w:p w14:paraId="126FF7E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w:t>
            </w:r>
          </w:p>
        </w:tc>
        <w:tc>
          <w:tcPr>
            <w:tcW w:w="1155" w:type="dxa"/>
            <w:tcBorders>
              <w:top w:val="nil"/>
              <w:left w:val="nil"/>
              <w:bottom w:val="single" w:sz="4" w:space="0" w:color="auto"/>
              <w:right w:val="single" w:sz="4" w:space="0" w:color="auto"/>
            </w:tcBorders>
            <w:shd w:val="clear" w:color="auto" w:fill="auto"/>
            <w:noWrap/>
            <w:vAlign w:val="center"/>
          </w:tcPr>
          <w:p w14:paraId="6C86585E"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w:t>
            </w:r>
            <w:r w:rsidRPr="00FD7B0B">
              <w:rPr>
                <w:rFonts w:ascii="Times New Roman" w:eastAsia="Times New Roman" w:hAnsi="Times New Roman" w:cs="Times New Roman"/>
                <w:sz w:val="18"/>
                <w:szCs w:val="18"/>
                <w:lang w:val="en-US" w:eastAsia="ru-RU"/>
              </w:rPr>
              <w:t xml:space="preserve"> </w:t>
            </w:r>
            <w:r w:rsidRPr="00FD7B0B">
              <w:rPr>
                <w:rFonts w:ascii="Times New Roman" w:eastAsia="Times New Roman" w:hAnsi="Times New Roman" w:cs="Times New Roman"/>
                <w:sz w:val="18"/>
                <w:szCs w:val="18"/>
                <w:lang w:eastAsia="ru-RU"/>
              </w:rPr>
              <w:t>199,5</w:t>
            </w:r>
          </w:p>
        </w:tc>
        <w:tc>
          <w:tcPr>
            <w:tcW w:w="1180" w:type="dxa"/>
            <w:tcBorders>
              <w:top w:val="nil"/>
              <w:left w:val="nil"/>
              <w:bottom w:val="single" w:sz="4" w:space="0" w:color="auto"/>
              <w:right w:val="single" w:sz="4" w:space="0" w:color="auto"/>
            </w:tcBorders>
            <w:shd w:val="clear" w:color="auto" w:fill="auto"/>
            <w:noWrap/>
            <w:vAlign w:val="center"/>
            <w:hideMark/>
          </w:tcPr>
          <w:p w14:paraId="78F90D3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c>
          <w:tcPr>
            <w:tcW w:w="1100" w:type="dxa"/>
            <w:tcBorders>
              <w:top w:val="nil"/>
              <w:left w:val="nil"/>
              <w:bottom w:val="single" w:sz="4" w:space="0" w:color="auto"/>
              <w:right w:val="single" w:sz="4" w:space="0" w:color="auto"/>
            </w:tcBorders>
            <w:shd w:val="clear" w:color="auto" w:fill="auto"/>
            <w:noWrap/>
            <w:vAlign w:val="center"/>
            <w:hideMark/>
          </w:tcPr>
          <w:p w14:paraId="057D465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w:t>
            </w:r>
            <w:r w:rsidRPr="00FD7B0B">
              <w:rPr>
                <w:rFonts w:ascii="Times New Roman" w:eastAsia="Times New Roman" w:hAnsi="Times New Roman" w:cs="Times New Roman"/>
                <w:sz w:val="18"/>
                <w:szCs w:val="18"/>
                <w:lang w:val="en-US" w:eastAsia="ru-RU"/>
              </w:rPr>
              <w:t xml:space="preserve"> </w:t>
            </w:r>
            <w:r w:rsidRPr="00FD7B0B">
              <w:rPr>
                <w:rFonts w:ascii="Times New Roman" w:eastAsia="Times New Roman" w:hAnsi="Times New Roman" w:cs="Times New Roman"/>
                <w:sz w:val="18"/>
                <w:szCs w:val="18"/>
                <w:lang w:eastAsia="ru-RU"/>
              </w:rPr>
              <w:t>799,27</w:t>
            </w:r>
          </w:p>
        </w:tc>
        <w:tc>
          <w:tcPr>
            <w:tcW w:w="1101" w:type="dxa"/>
            <w:tcBorders>
              <w:top w:val="nil"/>
              <w:left w:val="nil"/>
              <w:bottom w:val="single" w:sz="4" w:space="0" w:color="auto"/>
              <w:right w:val="double" w:sz="6" w:space="0" w:color="auto"/>
            </w:tcBorders>
            <w:shd w:val="clear" w:color="auto" w:fill="auto"/>
            <w:noWrap/>
            <w:vAlign w:val="center"/>
          </w:tcPr>
          <w:p w14:paraId="31FF0F41"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val="en-US" w:eastAsia="ru-RU"/>
              </w:rPr>
            </w:pPr>
            <w:r w:rsidRPr="00FD7B0B">
              <w:rPr>
                <w:rFonts w:ascii="Times New Roman" w:eastAsia="Times New Roman" w:hAnsi="Times New Roman" w:cs="Times New Roman"/>
                <w:sz w:val="18"/>
                <w:szCs w:val="18"/>
                <w:lang w:val="en-US" w:eastAsia="ru-RU"/>
              </w:rPr>
              <w:t>96</w:t>
            </w:r>
            <w:r w:rsidRPr="00FD7B0B">
              <w:rPr>
                <w:rFonts w:ascii="Times New Roman" w:eastAsia="Times New Roman" w:hAnsi="Times New Roman" w:cs="Times New Roman"/>
                <w:sz w:val="18"/>
                <w:szCs w:val="18"/>
                <w:lang w:eastAsia="ru-RU"/>
              </w:rPr>
              <w:t>,</w:t>
            </w:r>
            <w:r w:rsidRPr="00FD7B0B">
              <w:rPr>
                <w:rFonts w:ascii="Times New Roman" w:eastAsia="Times New Roman" w:hAnsi="Times New Roman" w:cs="Times New Roman"/>
                <w:sz w:val="18"/>
                <w:szCs w:val="18"/>
                <w:lang w:val="en-US" w:eastAsia="ru-RU"/>
              </w:rPr>
              <w:t>4</w:t>
            </w:r>
          </w:p>
        </w:tc>
      </w:tr>
      <w:tr w:rsidR="00FD7B0B" w:rsidRPr="00FD7B0B" w14:paraId="70193D13" w14:textId="77777777" w:rsidTr="002C5D80">
        <w:trPr>
          <w:trHeight w:hRule="exact" w:val="251"/>
        </w:trPr>
        <w:tc>
          <w:tcPr>
            <w:tcW w:w="2977" w:type="dxa"/>
            <w:tcBorders>
              <w:top w:val="nil"/>
              <w:left w:val="double" w:sz="6" w:space="0" w:color="auto"/>
              <w:bottom w:val="single" w:sz="4" w:space="0" w:color="auto"/>
              <w:right w:val="single" w:sz="4" w:space="0" w:color="auto"/>
            </w:tcBorders>
            <w:shd w:val="clear" w:color="auto" w:fill="auto"/>
            <w:noWrap/>
            <w:vAlign w:val="center"/>
            <w:hideMark/>
          </w:tcPr>
          <w:p w14:paraId="0B890789" w14:textId="77777777" w:rsidR="002B392F" w:rsidRPr="00FD7B0B" w:rsidRDefault="002B392F" w:rsidP="002B392F">
            <w:pPr>
              <w:spacing w:after="0" w:line="240" w:lineRule="auto"/>
              <w:jc w:val="both"/>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Врачи</w:t>
            </w:r>
          </w:p>
        </w:tc>
        <w:tc>
          <w:tcPr>
            <w:tcW w:w="1100" w:type="dxa"/>
            <w:tcBorders>
              <w:top w:val="nil"/>
              <w:left w:val="nil"/>
              <w:bottom w:val="single" w:sz="4" w:space="0" w:color="auto"/>
              <w:right w:val="single" w:sz="4" w:space="0" w:color="auto"/>
            </w:tcBorders>
            <w:shd w:val="clear" w:color="auto" w:fill="auto"/>
            <w:noWrap/>
            <w:vAlign w:val="center"/>
          </w:tcPr>
          <w:p w14:paraId="22F2BAEF"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116 681,80</w:t>
            </w:r>
          </w:p>
        </w:tc>
        <w:tc>
          <w:tcPr>
            <w:tcW w:w="1101" w:type="dxa"/>
            <w:tcBorders>
              <w:top w:val="nil"/>
              <w:left w:val="nil"/>
              <w:bottom w:val="single" w:sz="4" w:space="0" w:color="auto"/>
              <w:right w:val="single" w:sz="4" w:space="0" w:color="auto"/>
            </w:tcBorders>
            <w:shd w:val="clear" w:color="auto" w:fill="auto"/>
            <w:noWrap/>
            <w:vAlign w:val="center"/>
          </w:tcPr>
          <w:p w14:paraId="54FA2416"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192</w:t>
            </w:r>
          </w:p>
        </w:tc>
        <w:tc>
          <w:tcPr>
            <w:tcW w:w="1155" w:type="dxa"/>
            <w:tcBorders>
              <w:top w:val="nil"/>
              <w:left w:val="nil"/>
              <w:bottom w:val="single" w:sz="4" w:space="0" w:color="auto"/>
              <w:right w:val="single" w:sz="4" w:space="0" w:color="auto"/>
            </w:tcBorders>
            <w:shd w:val="clear" w:color="auto" w:fill="auto"/>
            <w:noWrap/>
            <w:vAlign w:val="center"/>
          </w:tcPr>
          <w:p w14:paraId="1B4741DA"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132 399,0</w:t>
            </w:r>
          </w:p>
        </w:tc>
        <w:tc>
          <w:tcPr>
            <w:tcW w:w="1180" w:type="dxa"/>
            <w:tcBorders>
              <w:top w:val="nil"/>
              <w:left w:val="nil"/>
              <w:bottom w:val="single" w:sz="4" w:space="0" w:color="auto"/>
              <w:right w:val="single" w:sz="4" w:space="0" w:color="auto"/>
            </w:tcBorders>
            <w:shd w:val="clear" w:color="auto" w:fill="auto"/>
            <w:noWrap/>
            <w:vAlign w:val="center"/>
            <w:hideMark/>
          </w:tcPr>
          <w:p w14:paraId="17B60437"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tc>
        <w:tc>
          <w:tcPr>
            <w:tcW w:w="1100" w:type="dxa"/>
            <w:tcBorders>
              <w:top w:val="nil"/>
              <w:left w:val="nil"/>
              <w:bottom w:val="single" w:sz="4" w:space="0" w:color="auto"/>
              <w:right w:val="single" w:sz="4" w:space="0" w:color="auto"/>
            </w:tcBorders>
            <w:shd w:val="clear" w:color="auto" w:fill="auto"/>
            <w:noWrap/>
            <w:vAlign w:val="center"/>
          </w:tcPr>
          <w:p w14:paraId="3CCC786A"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126 998,7</w:t>
            </w:r>
          </w:p>
        </w:tc>
        <w:tc>
          <w:tcPr>
            <w:tcW w:w="1101" w:type="dxa"/>
            <w:tcBorders>
              <w:top w:val="nil"/>
              <w:left w:val="nil"/>
              <w:bottom w:val="single" w:sz="4" w:space="0" w:color="auto"/>
              <w:right w:val="double" w:sz="6" w:space="0" w:color="auto"/>
            </w:tcBorders>
            <w:shd w:val="clear" w:color="auto" w:fill="auto"/>
            <w:noWrap/>
            <w:vAlign w:val="center"/>
          </w:tcPr>
          <w:p w14:paraId="0B344A76"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191,8</w:t>
            </w:r>
          </w:p>
        </w:tc>
      </w:tr>
      <w:tr w:rsidR="00FD7B0B" w:rsidRPr="00FD7B0B" w14:paraId="6D5EFDBC" w14:textId="77777777" w:rsidTr="00916171">
        <w:trPr>
          <w:trHeight w:hRule="exact" w:val="203"/>
        </w:trPr>
        <w:tc>
          <w:tcPr>
            <w:tcW w:w="2977" w:type="dxa"/>
            <w:tcBorders>
              <w:top w:val="nil"/>
              <w:left w:val="double" w:sz="6" w:space="0" w:color="auto"/>
              <w:bottom w:val="single" w:sz="4" w:space="0" w:color="auto"/>
              <w:right w:val="single" w:sz="4" w:space="0" w:color="auto"/>
            </w:tcBorders>
            <w:shd w:val="clear" w:color="auto" w:fill="auto"/>
            <w:noWrap/>
            <w:vAlign w:val="center"/>
            <w:hideMark/>
          </w:tcPr>
          <w:p w14:paraId="1348E230"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Средний медицинский персонал</w:t>
            </w:r>
          </w:p>
        </w:tc>
        <w:tc>
          <w:tcPr>
            <w:tcW w:w="1100" w:type="dxa"/>
            <w:tcBorders>
              <w:top w:val="nil"/>
              <w:left w:val="nil"/>
              <w:bottom w:val="single" w:sz="4" w:space="0" w:color="auto"/>
              <w:right w:val="single" w:sz="4" w:space="0" w:color="auto"/>
            </w:tcBorders>
            <w:shd w:val="clear" w:color="auto" w:fill="auto"/>
            <w:noWrap/>
            <w:vAlign w:val="center"/>
          </w:tcPr>
          <w:p w14:paraId="6E1A0EA5"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59 585,28</w:t>
            </w:r>
          </w:p>
        </w:tc>
        <w:tc>
          <w:tcPr>
            <w:tcW w:w="1101" w:type="dxa"/>
            <w:tcBorders>
              <w:top w:val="nil"/>
              <w:left w:val="nil"/>
              <w:bottom w:val="single" w:sz="4" w:space="0" w:color="auto"/>
              <w:right w:val="single" w:sz="4" w:space="0" w:color="auto"/>
            </w:tcBorders>
            <w:shd w:val="clear" w:color="auto" w:fill="auto"/>
            <w:noWrap/>
            <w:vAlign w:val="center"/>
          </w:tcPr>
          <w:p w14:paraId="78B0CD85"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w:t>
            </w:r>
          </w:p>
        </w:tc>
        <w:tc>
          <w:tcPr>
            <w:tcW w:w="1155" w:type="dxa"/>
            <w:tcBorders>
              <w:top w:val="nil"/>
              <w:left w:val="nil"/>
              <w:bottom w:val="single" w:sz="4" w:space="0" w:color="auto"/>
              <w:right w:val="single" w:sz="4" w:space="0" w:color="auto"/>
            </w:tcBorders>
            <w:shd w:val="clear" w:color="auto" w:fill="auto"/>
            <w:noWrap/>
            <w:vAlign w:val="center"/>
          </w:tcPr>
          <w:p w14:paraId="31C951A4"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66 199,5</w:t>
            </w:r>
          </w:p>
        </w:tc>
        <w:tc>
          <w:tcPr>
            <w:tcW w:w="1180" w:type="dxa"/>
            <w:tcBorders>
              <w:top w:val="nil"/>
              <w:left w:val="nil"/>
              <w:bottom w:val="single" w:sz="4" w:space="0" w:color="auto"/>
              <w:right w:val="single" w:sz="4" w:space="0" w:color="auto"/>
            </w:tcBorders>
            <w:shd w:val="clear" w:color="auto" w:fill="auto"/>
            <w:noWrap/>
            <w:vAlign w:val="center"/>
            <w:hideMark/>
          </w:tcPr>
          <w:p w14:paraId="134DD0D4"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c>
          <w:tcPr>
            <w:tcW w:w="1100" w:type="dxa"/>
            <w:tcBorders>
              <w:top w:val="nil"/>
              <w:left w:val="nil"/>
              <w:bottom w:val="single" w:sz="4" w:space="0" w:color="auto"/>
              <w:right w:val="single" w:sz="4" w:space="0" w:color="auto"/>
            </w:tcBorders>
            <w:shd w:val="clear" w:color="auto" w:fill="auto"/>
            <w:noWrap/>
            <w:vAlign w:val="center"/>
          </w:tcPr>
          <w:p w14:paraId="2B511D1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65 246,36</w:t>
            </w:r>
          </w:p>
        </w:tc>
        <w:tc>
          <w:tcPr>
            <w:tcW w:w="1101" w:type="dxa"/>
            <w:tcBorders>
              <w:top w:val="nil"/>
              <w:left w:val="nil"/>
              <w:bottom w:val="single" w:sz="4" w:space="0" w:color="auto"/>
              <w:right w:val="double" w:sz="6" w:space="0" w:color="auto"/>
            </w:tcBorders>
            <w:shd w:val="clear" w:color="auto" w:fill="auto"/>
            <w:noWrap/>
            <w:vAlign w:val="center"/>
          </w:tcPr>
          <w:p w14:paraId="61D617E1"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98,6</w:t>
            </w:r>
          </w:p>
        </w:tc>
      </w:tr>
      <w:tr w:rsidR="00FD7B0B" w:rsidRPr="00FD7B0B" w14:paraId="46D3FCD9" w14:textId="77777777" w:rsidTr="002C5D80">
        <w:trPr>
          <w:trHeight w:hRule="exact" w:val="276"/>
        </w:trPr>
        <w:tc>
          <w:tcPr>
            <w:tcW w:w="2977" w:type="dxa"/>
            <w:tcBorders>
              <w:top w:val="nil"/>
              <w:left w:val="double" w:sz="6" w:space="0" w:color="auto"/>
              <w:bottom w:val="single" w:sz="4" w:space="0" w:color="auto"/>
              <w:right w:val="single" w:sz="4" w:space="0" w:color="auto"/>
            </w:tcBorders>
            <w:shd w:val="clear" w:color="auto" w:fill="auto"/>
            <w:noWrap/>
            <w:vAlign w:val="center"/>
            <w:hideMark/>
          </w:tcPr>
          <w:p w14:paraId="7038FDD2" w14:textId="77777777" w:rsidR="002B392F" w:rsidRPr="00FD7B0B" w:rsidRDefault="002B392F" w:rsidP="002B392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Младший медицинский персонал</w:t>
            </w:r>
          </w:p>
        </w:tc>
        <w:tc>
          <w:tcPr>
            <w:tcW w:w="1100" w:type="dxa"/>
            <w:tcBorders>
              <w:top w:val="nil"/>
              <w:left w:val="nil"/>
              <w:bottom w:val="single" w:sz="4" w:space="0" w:color="auto"/>
              <w:right w:val="single" w:sz="4" w:space="0" w:color="auto"/>
            </w:tcBorders>
            <w:shd w:val="clear" w:color="auto" w:fill="auto"/>
            <w:noWrap/>
            <w:vAlign w:val="center"/>
          </w:tcPr>
          <w:p w14:paraId="556E4A1D"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57 766,72</w:t>
            </w:r>
          </w:p>
        </w:tc>
        <w:tc>
          <w:tcPr>
            <w:tcW w:w="1101" w:type="dxa"/>
            <w:tcBorders>
              <w:top w:val="nil"/>
              <w:left w:val="nil"/>
              <w:bottom w:val="single" w:sz="4" w:space="0" w:color="auto"/>
              <w:right w:val="single" w:sz="4" w:space="0" w:color="auto"/>
            </w:tcBorders>
            <w:shd w:val="clear" w:color="auto" w:fill="auto"/>
            <w:noWrap/>
            <w:vAlign w:val="center"/>
          </w:tcPr>
          <w:p w14:paraId="031E18E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w:t>
            </w:r>
          </w:p>
        </w:tc>
        <w:tc>
          <w:tcPr>
            <w:tcW w:w="1155" w:type="dxa"/>
            <w:tcBorders>
              <w:top w:val="nil"/>
              <w:left w:val="nil"/>
              <w:bottom w:val="single" w:sz="4" w:space="0" w:color="auto"/>
              <w:right w:val="single" w:sz="4" w:space="0" w:color="auto"/>
            </w:tcBorders>
            <w:shd w:val="clear" w:color="auto" w:fill="auto"/>
            <w:noWrap/>
            <w:vAlign w:val="center"/>
          </w:tcPr>
          <w:p w14:paraId="34ACF0CA"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66 199,5</w:t>
            </w:r>
          </w:p>
        </w:tc>
        <w:tc>
          <w:tcPr>
            <w:tcW w:w="1180" w:type="dxa"/>
            <w:tcBorders>
              <w:top w:val="nil"/>
              <w:left w:val="nil"/>
              <w:bottom w:val="single" w:sz="4" w:space="0" w:color="auto"/>
              <w:right w:val="single" w:sz="4" w:space="0" w:color="auto"/>
            </w:tcBorders>
            <w:shd w:val="clear" w:color="auto" w:fill="auto"/>
            <w:noWrap/>
            <w:vAlign w:val="center"/>
            <w:hideMark/>
          </w:tcPr>
          <w:p w14:paraId="699E3DB0"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c>
          <w:tcPr>
            <w:tcW w:w="1100" w:type="dxa"/>
            <w:tcBorders>
              <w:top w:val="nil"/>
              <w:left w:val="nil"/>
              <w:bottom w:val="single" w:sz="4" w:space="0" w:color="auto"/>
              <w:right w:val="single" w:sz="4" w:space="0" w:color="auto"/>
            </w:tcBorders>
            <w:shd w:val="clear" w:color="auto" w:fill="auto"/>
            <w:noWrap/>
            <w:vAlign w:val="center"/>
          </w:tcPr>
          <w:p w14:paraId="76B184A4"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63 223,69</w:t>
            </w:r>
          </w:p>
        </w:tc>
        <w:tc>
          <w:tcPr>
            <w:tcW w:w="1101" w:type="dxa"/>
            <w:tcBorders>
              <w:top w:val="nil"/>
              <w:left w:val="nil"/>
              <w:bottom w:val="single" w:sz="4" w:space="0" w:color="auto"/>
              <w:right w:val="double" w:sz="6" w:space="0" w:color="auto"/>
            </w:tcBorders>
            <w:shd w:val="clear" w:color="auto" w:fill="auto"/>
            <w:noWrap/>
            <w:vAlign w:val="center"/>
          </w:tcPr>
          <w:p w14:paraId="133A8383"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95,5</w:t>
            </w:r>
          </w:p>
        </w:tc>
      </w:tr>
      <w:tr w:rsidR="00FD7B0B" w:rsidRPr="00FD7B0B" w14:paraId="3AB2A5D4" w14:textId="77777777" w:rsidTr="002C5D80">
        <w:trPr>
          <w:trHeight w:hRule="exact" w:val="220"/>
        </w:trPr>
        <w:tc>
          <w:tcPr>
            <w:tcW w:w="2977" w:type="dxa"/>
            <w:tcBorders>
              <w:top w:val="nil"/>
              <w:left w:val="double" w:sz="6" w:space="0" w:color="auto"/>
              <w:bottom w:val="double" w:sz="6" w:space="0" w:color="auto"/>
              <w:right w:val="single" w:sz="4" w:space="0" w:color="auto"/>
            </w:tcBorders>
            <w:shd w:val="clear" w:color="auto" w:fill="auto"/>
            <w:noWrap/>
            <w:vAlign w:val="center"/>
            <w:hideMark/>
          </w:tcPr>
          <w:p w14:paraId="4D97FCE1" w14:textId="77777777" w:rsidR="002B392F" w:rsidRPr="00FD7B0B" w:rsidRDefault="002B392F" w:rsidP="002B392F">
            <w:pPr>
              <w:spacing w:after="0" w:line="240" w:lineRule="auto"/>
              <w:jc w:val="both"/>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Педагогические работники</w:t>
            </w:r>
          </w:p>
        </w:tc>
        <w:tc>
          <w:tcPr>
            <w:tcW w:w="1100" w:type="dxa"/>
            <w:tcBorders>
              <w:top w:val="nil"/>
              <w:left w:val="nil"/>
              <w:bottom w:val="double" w:sz="6" w:space="0" w:color="auto"/>
              <w:right w:val="single" w:sz="4" w:space="0" w:color="auto"/>
            </w:tcBorders>
            <w:shd w:val="clear" w:color="auto" w:fill="auto"/>
            <w:noWrap/>
            <w:vAlign w:val="center"/>
          </w:tcPr>
          <w:p w14:paraId="5ACD1ABB"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59 466,64</w:t>
            </w:r>
          </w:p>
        </w:tc>
        <w:tc>
          <w:tcPr>
            <w:tcW w:w="1101" w:type="dxa"/>
            <w:tcBorders>
              <w:top w:val="nil"/>
              <w:left w:val="nil"/>
              <w:bottom w:val="double" w:sz="6" w:space="0" w:color="auto"/>
              <w:right w:val="single" w:sz="4" w:space="0" w:color="auto"/>
            </w:tcBorders>
            <w:shd w:val="clear" w:color="auto" w:fill="auto"/>
            <w:noWrap/>
            <w:vAlign w:val="center"/>
          </w:tcPr>
          <w:p w14:paraId="09874D5B"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w:t>
            </w:r>
          </w:p>
        </w:tc>
        <w:tc>
          <w:tcPr>
            <w:tcW w:w="1155" w:type="dxa"/>
            <w:tcBorders>
              <w:top w:val="nil"/>
              <w:left w:val="nil"/>
              <w:bottom w:val="double" w:sz="6" w:space="0" w:color="auto"/>
              <w:right w:val="single" w:sz="4" w:space="0" w:color="auto"/>
            </w:tcBorders>
            <w:shd w:val="clear" w:color="auto" w:fill="auto"/>
            <w:noWrap/>
            <w:vAlign w:val="center"/>
          </w:tcPr>
          <w:p w14:paraId="26AF523C"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66 199,5</w:t>
            </w:r>
          </w:p>
        </w:tc>
        <w:tc>
          <w:tcPr>
            <w:tcW w:w="1180" w:type="dxa"/>
            <w:tcBorders>
              <w:top w:val="nil"/>
              <w:left w:val="nil"/>
              <w:bottom w:val="double" w:sz="6" w:space="0" w:color="auto"/>
              <w:right w:val="single" w:sz="4" w:space="0" w:color="auto"/>
            </w:tcBorders>
            <w:shd w:val="clear" w:color="auto" w:fill="auto"/>
            <w:noWrap/>
            <w:vAlign w:val="center"/>
            <w:hideMark/>
          </w:tcPr>
          <w:p w14:paraId="2EF287C9"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c>
          <w:tcPr>
            <w:tcW w:w="1100" w:type="dxa"/>
            <w:tcBorders>
              <w:top w:val="nil"/>
              <w:left w:val="nil"/>
              <w:bottom w:val="double" w:sz="6" w:space="0" w:color="auto"/>
              <w:right w:val="single" w:sz="4" w:space="0" w:color="auto"/>
            </w:tcBorders>
            <w:shd w:val="clear" w:color="auto" w:fill="auto"/>
            <w:noWrap/>
            <w:vAlign w:val="center"/>
          </w:tcPr>
          <w:p w14:paraId="29500881"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64 102,14</w:t>
            </w:r>
          </w:p>
        </w:tc>
        <w:tc>
          <w:tcPr>
            <w:tcW w:w="1101" w:type="dxa"/>
            <w:tcBorders>
              <w:top w:val="nil"/>
              <w:left w:val="nil"/>
              <w:bottom w:val="double" w:sz="6" w:space="0" w:color="auto"/>
              <w:right w:val="double" w:sz="6" w:space="0" w:color="auto"/>
            </w:tcBorders>
            <w:shd w:val="clear" w:color="auto" w:fill="auto"/>
            <w:noWrap/>
            <w:vAlign w:val="center"/>
          </w:tcPr>
          <w:p w14:paraId="7E631892" w14:textId="77777777" w:rsidR="002B392F" w:rsidRPr="00FD7B0B" w:rsidRDefault="002B392F" w:rsidP="002B392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96,8</w:t>
            </w:r>
          </w:p>
        </w:tc>
      </w:tr>
    </w:tbl>
    <w:p w14:paraId="69D28B35" w14:textId="77777777" w:rsidR="002C5D80" w:rsidRPr="00FD7B0B" w:rsidRDefault="002C5D80" w:rsidP="002B392F">
      <w:pPr>
        <w:spacing w:after="0" w:line="240" w:lineRule="auto"/>
        <w:ind w:firstLine="709"/>
        <w:jc w:val="both"/>
        <w:rPr>
          <w:rFonts w:ascii="Times New Roman" w:eastAsia="Times New Roman" w:hAnsi="Times New Roman" w:cs="Times New Roman"/>
          <w:sz w:val="28"/>
          <w:szCs w:val="28"/>
          <w:lang w:eastAsia="ru-RU"/>
        </w:rPr>
      </w:pPr>
    </w:p>
    <w:p w14:paraId="7E88A2CF" w14:textId="4A2A52C2" w:rsidR="00844D92" w:rsidRPr="00FD7B0B" w:rsidRDefault="00844D92" w:rsidP="00844D92">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Минтрудсоцразвития АО представлены данные о средней заработной плате работников за 2024 год в разрезе подведомственных учреждений, согласно которым невыполнение Указа Президента Российской Федерации от 7.05.2012 № 597 и от 28.12.2012 № 1688 связано с временной нетрудоспособностью врачей в ГБСУ АО «Октябрьский психоневрологический интернат», наличия вакантной должности в ГБСУ АО «Пинежский специальный дом-интернат»,</w:t>
      </w:r>
      <w:r w:rsidRPr="00FD7B0B">
        <w:t xml:space="preserve"> </w:t>
      </w:r>
      <w:r w:rsidRPr="00FD7B0B">
        <w:rPr>
          <w:rFonts w:ascii="Times New Roman" w:eastAsia="Times New Roman" w:hAnsi="Times New Roman" w:cs="Times New Roman"/>
          <w:sz w:val="28"/>
          <w:szCs w:val="28"/>
          <w:lang w:eastAsia="ru-RU"/>
        </w:rPr>
        <w:t>внутреннее совместительство врача ГБСУ АО «Сийский психоневрологический интернат»; с отпуском без сохранения заработной платы</w:t>
      </w:r>
      <w:r w:rsidRPr="00FD7B0B">
        <w:rPr>
          <w:rFonts w:ascii="Times New Roman" w:hAnsi="Times New Roman" w:cs="Times New Roman"/>
          <w:sz w:val="28"/>
          <w:szCs w:val="28"/>
        </w:rPr>
        <w:t xml:space="preserve"> и</w:t>
      </w:r>
      <w:r w:rsidRPr="00FD7B0B">
        <w:rPr>
          <w:rFonts w:ascii="Times New Roman" w:eastAsia="Times New Roman" w:hAnsi="Times New Roman" w:cs="Times New Roman"/>
          <w:sz w:val="28"/>
          <w:szCs w:val="28"/>
          <w:lang w:eastAsia="ru-RU"/>
        </w:rPr>
        <w:t xml:space="preserve"> временной нетрудоспособностью</w:t>
      </w:r>
      <w:r w:rsidRPr="00FD7B0B">
        <w:rPr>
          <w:rFonts w:ascii="Times New Roman" w:hAnsi="Times New Roman" w:cs="Times New Roman"/>
          <w:sz w:val="28"/>
          <w:szCs w:val="28"/>
        </w:rPr>
        <w:t xml:space="preserve"> социального работника в </w:t>
      </w:r>
      <w:r w:rsidRPr="00FD7B0B">
        <w:rPr>
          <w:rFonts w:ascii="Times New Roman" w:eastAsia="Times New Roman" w:hAnsi="Times New Roman" w:cs="Times New Roman"/>
          <w:sz w:val="28"/>
          <w:szCs w:val="28"/>
          <w:lang w:eastAsia="ru-RU"/>
        </w:rPr>
        <w:t>ГБСУ АО «Северодвинский дом-интернат для престарелых и инвалидов»; временной нетрудоспособностью среднего и младшего медицинского, педагогических работников социальных учреждений.</w:t>
      </w:r>
    </w:p>
    <w:p w14:paraId="51D7B5EA" w14:textId="77777777" w:rsidR="002B392F" w:rsidRPr="00FD7B0B" w:rsidRDefault="002B392F" w:rsidP="002B392F">
      <w:pPr>
        <w:widowControl w:val="0"/>
        <w:tabs>
          <w:tab w:val="left" w:pos="993"/>
        </w:tabs>
        <w:autoSpaceDE w:val="0"/>
        <w:autoSpaceDN w:val="0"/>
        <w:spacing w:after="0" w:line="240" w:lineRule="auto"/>
        <w:ind w:firstLine="709"/>
        <w:jc w:val="both"/>
        <w:rPr>
          <w:rFonts w:ascii="Times New Roman" w:eastAsia="Times New Roman" w:hAnsi="Times New Roman" w:cs="Times New Roman"/>
          <w:sz w:val="28"/>
          <w:szCs w:val="28"/>
          <w:lang w:eastAsia="ru-RU"/>
        </w:rPr>
      </w:pPr>
    </w:p>
    <w:p w14:paraId="5B6AC240" w14:textId="77777777" w:rsidR="002B392F" w:rsidRPr="00FD7B0B" w:rsidRDefault="002B392F" w:rsidP="008E0E49">
      <w:pPr>
        <w:spacing w:after="0" w:line="240" w:lineRule="auto"/>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Оценка эффективности реализации ГП № 03 по итогам 2024 года</w:t>
      </w:r>
    </w:p>
    <w:p w14:paraId="29AAEED6" w14:textId="5B54155E" w:rsidR="002B392F" w:rsidRPr="00FD7B0B" w:rsidRDefault="002B392F" w:rsidP="002B392F">
      <w:pPr>
        <w:autoSpaceDE w:val="0"/>
        <w:autoSpaceDN w:val="0"/>
        <w:adjustRightInd w:val="0"/>
        <w:spacing w:after="0" w:line="240" w:lineRule="auto"/>
        <w:ind w:firstLine="709"/>
        <w:jc w:val="both"/>
        <w:rPr>
          <w:rFonts w:ascii="Times New Roman" w:hAnsi="Times New Roman" w:cs="Times New Roman"/>
          <w:sz w:val="28"/>
          <w:szCs w:val="28"/>
        </w:rPr>
      </w:pPr>
      <w:r w:rsidRPr="00FD7B0B">
        <w:rPr>
          <w:rFonts w:ascii="Times New Roman" w:eastAsia="Times New Roman" w:hAnsi="Times New Roman" w:cs="Times New Roman"/>
          <w:sz w:val="28"/>
          <w:szCs w:val="28"/>
          <w:lang w:eastAsia="ru-RU"/>
        </w:rPr>
        <w:t>По предварительной оценке министерства экономического развития</w:t>
      </w:r>
      <w:r w:rsidR="000A4C6C" w:rsidRPr="00FD7B0B">
        <w:rPr>
          <w:rFonts w:ascii="Times New Roman" w:eastAsia="Times New Roman" w:hAnsi="Times New Roman" w:cs="Times New Roman"/>
          <w:sz w:val="28"/>
          <w:szCs w:val="28"/>
          <w:lang w:eastAsia="ru-RU"/>
        </w:rPr>
        <w:t xml:space="preserve"> и</w:t>
      </w:r>
      <w:r w:rsidRPr="00FD7B0B">
        <w:rPr>
          <w:rFonts w:ascii="Times New Roman" w:eastAsia="Times New Roman" w:hAnsi="Times New Roman" w:cs="Times New Roman"/>
          <w:sz w:val="28"/>
          <w:szCs w:val="28"/>
          <w:lang w:eastAsia="ru-RU"/>
        </w:rPr>
        <w:t xml:space="preserve"> </w:t>
      </w:r>
      <w:r w:rsidRPr="00FD7B0B">
        <w:rPr>
          <w:rFonts w:ascii="Times New Roman" w:hAnsi="Times New Roman" w:cs="Times New Roman"/>
          <w:sz w:val="28"/>
          <w:szCs w:val="28"/>
        </w:rPr>
        <w:t>промышленности Архангельской области, степень эффективности ГП №</w:t>
      </w:r>
      <w:r w:rsidR="000A4C6C" w:rsidRPr="00FD7B0B">
        <w:rPr>
          <w:rFonts w:ascii="Times New Roman" w:hAnsi="Times New Roman" w:cs="Times New Roman"/>
          <w:sz w:val="28"/>
          <w:szCs w:val="28"/>
        </w:rPr>
        <w:t xml:space="preserve"> </w:t>
      </w:r>
      <w:r w:rsidRPr="00FD7B0B">
        <w:rPr>
          <w:rFonts w:ascii="Times New Roman" w:hAnsi="Times New Roman" w:cs="Times New Roman"/>
          <w:sz w:val="28"/>
          <w:szCs w:val="28"/>
        </w:rPr>
        <w:t>03 в 2024 году составила 96,4 балла,</w:t>
      </w:r>
      <w:r w:rsidRPr="00FD7B0B">
        <w:rPr>
          <w:rFonts w:ascii="Times New Roman" w:eastAsia="Times New Roman" w:hAnsi="Times New Roman" w:cs="Times New Roman"/>
          <w:sz w:val="28"/>
          <w:szCs w:val="28"/>
          <w:lang w:eastAsia="ru-RU"/>
        </w:rPr>
        <w:t xml:space="preserve"> что свидетельствует о высокой степени эффективности реализации госпрограммы, которая определялась по четырем показателям.</w:t>
      </w:r>
    </w:p>
    <w:p w14:paraId="2F397471" w14:textId="305F3135" w:rsidR="00506585" w:rsidRPr="00FD7B0B" w:rsidRDefault="002B392F" w:rsidP="007B0B74">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Качество планирования и управления реализацией государственной программы по итогам отчетного года среднее, показатель оценки составил 82 балла.</w:t>
      </w:r>
    </w:p>
    <w:p w14:paraId="0943CE9E" w14:textId="3A21FA44" w:rsidR="00D304BC" w:rsidRPr="00FD7B0B" w:rsidRDefault="009B516C" w:rsidP="00D304BC">
      <w:pPr>
        <w:pStyle w:val="3"/>
        <w:spacing w:line="240" w:lineRule="auto"/>
        <w:jc w:val="center"/>
        <w:rPr>
          <w:rFonts w:ascii="Times New Roman" w:hAnsi="Times New Roman"/>
          <w:b w:val="0"/>
          <w:sz w:val="28"/>
          <w:szCs w:val="28"/>
          <w:u w:val="single"/>
        </w:rPr>
      </w:pPr>
      <w:bookmarkStart w:id="131" w:name="_Toc198819137"/>
      <w:r w:rsidRPr="00FD7B0B">
        <w:rPr>
          <w:rFonts w:ascii="Times New Roman" w:hAnsi="Times New Roman"/>
          <w:b w:val="0"/>
          <w:sz w:val="28"/>
          <w:szCs w:val="28"/>
          <w:u w:val="single"/>
          <w:lang w:val="ru-RU"/>
        </w:rPr>
        <w:lastRenderedPageBreak/>
        <w:t>4</w:t>
      </w:r>
      <w:r w:rsidR="00D304BC" w:rsidRPr="00FD7B0B">
        <w:rPr>
          <w:rFonts w:ascii="Times New Roman" w:hAnsi="Times New Roman"/>
          <w:b w:val="0"/>
          <w:sz w:val="28"/>
          <w:szCs w:val="28"/>
          <w:u w:val="single"/>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rPr>
        <w:t>.</w:t>
      </w:r>
      <w:r w:rsidR="00D304BC" w:rsidRPr="00FD7B0B">
        <w:rPr>
          <w:rFonts w:ascii="Times New Roman" w:hAnsi="Times New Roman"/>
          <w:b w:val="0"/>
          <w:sz w:val="28"/>
          <w:szCs w:val="28"/>
          <w:u w:val="single"/>
          <w:lang w:val="ru-RU"/>
        </w:rPr>
        <w:t>4</w:t>
      </w:r>
      <w:r w:rsidR="00D304BC" w:rsidRPr="00FD7B0B">
        <w:rPr>
          <w:rFonts w:ascii="Times New Roman" w:hAnsi="Times New Roman"/>
          <w:b w:val="0"/>
          <w:sz w:val="28"/>
          <w:szCs w:val="28"/>
          <w:u w:val="single"/>
        </w:rPr>
        <w:t xml:space="preserve">. Государственная программа </w:t>
      </w:r>
      <w:r w:rsidR="00D304BC" w:rsidRPr="00FD7B0B">
        <w:rPr>
          <w:rFonts w:ascii="Times New Roman" w:hAnsi="Times New Roman"/>
          <w:b w:val="0"/>
          <w:sz w:val="28"/>
          <w:szCs w:val="28"/>
          <w:u w:val="single"/>
          <w:lang w:val="ru-RU"/>
        </w:rPr>
        <w:t xml:space="preserve">Архангельской области </w:t>
      </w:r>
      <w:r w:rsidR="0065479F" w:rsidRPr="00FD7B0B">
        <w:rPr>
          <w:rFonts w:ascii="Times New Roman" w:hAnsi="Times New Roman"/>
          <w:b w:val="0"/>
          <w:sz w:val="28"/>
          <w:szCs w:val="28"/>
          <w:u w:val="single"/>
        </w:rPr>
        <w:t>«</w:t>
      </w:r>
      <w:r w:rsidR="00D304BC" w:rsidRPr="00FD7B0B">
        <w:rPr>
          <w:rFonts w:ascii="Times New Roman" w:hAnsi="Times New Roman"/>
          <w:b w:val="0"/>
          <w:sz w:val="28"/>
          <w:szCs w:val="28"/>
          <w:u w:val="single"/>
          <w:lang w:val="ru-RU"/>
        </w:rPr>
        <w:t>Культура Русского Севера</w:t>
      </w:r>
      <w:r w:rsidR="0065479F" w:rsidRPr="00FD7B0B">
        <w:rPr>
          <w:rFonts w:ascii="Times New Roman" w:hAnsi="Times New Roman"/>
          <w:b w:val="0"/>
          <w:sz w:val="28"/>
          <w:szCs w:val="28"/>
          <w:u w:val="single"/>
        </w:rPr>
        <w:t>»</w:t>
      </w:r>
      <w:bookmarkEnd w:id="131"/>
    </w:p>
    <w:p w14:paraId="1803BB88" w14:textId="088728A5"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Государственная программа Архангельской области «</w:t>
      </w:r>
      <w:r w:rsidRPr="00FD7B0B">
        <w:rPr>
          <w:rFonts w:ascii="Times New Roman" w:eastAsia="Times New Roman" w:hAnsi="Times New Roman"/>
          <w:bCs/>
          <w:sz w:val="28"/>
          <w:szCs w:val="28"/>
          <w:lang w:eastAsia="ru-RU"/>
        </w:rPr>
        <w:t>Культура Русского Севера»</w:t>
      </w:r>
      <w:r w:rsidRPr="00FD7B0B">
        <w:rPr>
          <w:rFonts w:ascii="Times New Roman" w:eastAsia="Times New Roman" w:hAnsi="Times New Roman"/>
          <w:sz w:val="28"/>
          <w:szCs w:val="28"/>
          <w:lang w:eastAsia="ru-RU"/>
        </w:rPr>
        <w:t xml:space="preserve"> утверждена постановлением Правительства Архангельской области от 12.10.2012 № 461-пп (далее – ГП № 04, госпрограмма).</w:t>
      </w:r>
    </w:p>
    <w:p w14:paraId="623E1ABC"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Ответственным исполнителем госпрограммы является министерство культуры Архангельской области (далее - министерство культуры).</w:t>
      </w:r>
    </w:p>
    <w:p w14:paraId="03949656" w14:textId="77777777" w:rsidR="00EA17E9" w:rsidRPr="00FD7B0B" w:rsidRDefault="00EA17E9" w:rsidP="00EA17E9">
      <w:pPr>
        <w:autoSpaceDE w:val="0"/>
        <w:autoSpaceDN w:val="0"/>
        <w:adjustRightInd w:val="0"/>
        <w:spacing w:after="0" w:line="240" w:lineRule="auto"/>
        <w:ind w:firstLine="708"/>
        <w:jc w:val="both"/>
        <w:rPr>
          <w:rFonts w:ascii="Times New Roman" w:eastAsia="Times New Roman" w:hAnsi="Times New Roman" w:cs="Times New Roman"/>
          <w:sz w:val="28"/>
          <w:szCs w:val="28"/>
          <w:lang w:bidi="en-US"/>
        </w:rPr>
      </w:pPr>
      <w:r w:rsidRPr="00FD7B0B">
        <w:rPr>
          <w:rFonts w:ascii="Times New Roman" w:eastAsia="Times New Roman" w:hAnsi="Times New Roman" w:cs="Times New Roman"/>
          <w:sz w:val="28"/>
          <w:szCs w:val="28"/>
          <w:lang w:bidi="en-US"/>
        </w:rPr>
        <w:t>В состав госпрограммы № 04 входят:</w:t>
      </w:r>
    </w:p>
    <w:p w14:paraId="76581444" w14:textId="77777777" w:rsidR="00EA17E9" w:rsidRPr="00FD7B0B" w:rsidRDefault="00EA17E9" w:rsidP="00EA17E9">
      <w:pPr>
        <w:pStyle w:val="af"/>
        <w:ind w:firstLine="709"/>
        <w:jc w:val="both"/>
        <w:rPr>
          <w:rFonts w:ascii="Times New Roman" w:eastAsia="Times New Roman" w:hAnsi="Times New Roman" w:cstheme="minorBidi"/>
          <w:sz w:val="28"/>
          <w:szCs w:val="28"/>
          <w:lang w:eastAsia="ru-RU"/>
        </w:rPr>
      </w:pPr>
      <w:r w:rsidRPr="00FD7B0B">
        <w:rPr>
          <w:rFonts w:ascii="Times New Roman" w:eastAsia="Times New Roman" w:hAnsi="Times New Roman" w:cs="Times New Roman"/>
          <w:sz w:val="28"/>
          <w:szCs w:val="28"/>
          <w:lang w:bidi="en-US"/>
        </w:rPr>
        <w:t xml:space="preserve">- </w:t>
      </w:r>
      <w:r w:rsidRPr="00FD7B0B">
        <w:rPr>
          <w:rFonts w:ascii="Times New Roman" w:eastAsia="Times New Roman" w:hAnsi="Times New Roman" w:cstheme="minorBidi"/>
          <w:sz w:val="28"/>
          <w:szCs w:val="28"/>
          <w:lang w:eastAsia="ru-RU"/>
        </w:rPr>
        <w:t>пять региональных проектов: «Культурная среда», «Творческие люди», «Цифровая культура», «Развитие искусства и творчества», «Развитие туристической инфраструктуры»;</w:t>
      </w:r>
    </w:p>
    <w:p w14:paraId="2C0E694B" w14:textId="4680B037" w:rsidR="00EA17E9" w:rsidRPr="00FD7B0B" w:rsidRDefault="00EA17E9" w:rsidP="00EA17E9">
      <w:pPr>
        <w:pStyle w:val="af"/>
        <w:ind w:firstLine="709"/>
        <w:jc w:val="both"/>
        <w:rPr>
          <w:rFonts w:ascii="Times New Roman" w:eastAsia="Times New Roman" w:hAnsi="Times New Roman" w:cs="Times New Roman"/>
          <w:sz w:val="28"/>
          <w:szCs w:val="28"/>
          <w:lang w:bidi="en-US"/>
        </w:rPr>
      </w:pPr>
      <w:r w:rsidRPr="00FD7B0B">
        <w:rPr>
          <w:rFonts w:ascii="Times New Roman" w:eastAsia="Times New Roman" w:hAnsi="Times New Roman" w:cs="Times New Roman"/>
          <w:sz w:val="28"/>
          <w:szCs w:val="28"/>
          <w:lang w:bidi="en-US"/>
        </w:rPr>
        <w:t>- два комплекса процессных мероприятий: «Культура Русского Севера» и «Сохранение объектов культурного наследия в Архангельской области».</w:t>
      </w:r>
    </w:p>
    <w:p w14:paraId="3FEA2E00" w14:textId="67C7DB68"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На реализацию мероприятий ГП № 04 на 2024 год, в редакции, действующей на 01.01.2024, утверждено финансирование в общей сумме 3 375,4 млн.руб. За отчетный период в ГП № 04 внесены изменения, которые уменьшили сумму расходов на 2024 год на 130,6 млн.руб. или на 3,9</w:t>
      </w:r>
      <w:r w:rsidR="00D92A08"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xml:space="preserve">%. В разрезе структурных элементов сведения представлены в таблице </w:t>
      </w:r>
      <w:r w:rsidR="00F745C4" w:rsidRPr="00FD7B0B">
        <w:rPr>
          <w:rFonts w:ascii="Times New Roman" w:eastAsia="Times New Roman" w:hAnsi="Times New Roman"/>
          <w:sz w:val="28"/>
          <w:szCs w:val="28"/>
          <w:lang w:eastAsia="ru-RU"/>
        </w:rPr>
        <w:t>107</w:t>
      </w:r>
      <w:r w:rsidRPr="00FD7B0B">
        <w:rPr>
          <w:rFonts w:ascii="Times New Roman" w:eastAsia="Times New Roman" w:hAnsi="Times New Roman"/>
          <w:sz w:val="28"/>
          <w:szCs w:val="28"/>
          <w:lang w:eastAsia="ru-RU"/>
        </w:rPr>
        <w:t>.</w:t>
      </w:r>
    </w:p>
    <w:p w14:paraId="15F381FB"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p>
    <w:p w14:paraId="39CE34B4" w14:textId="77777777" w:rsidR="00EA17E9" w:rsidRPr="00FD7B0B" w:rsidRDefault="00EA17E9" w:rsidP="00D92A08">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107</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Изменения, внесенные в объемы финансирования мероприятий ГП № 04 за 2024 год в разрезе структурных элементов, млн.руб.</w:t>
      </w:r>
    </w:p>
    <w:tbl>
      <w:tblPr>
        <w:tblStyle w:val="a7"/>
        <w:tblW w:w="961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663"/>
        <w:gridCol w:w="1340"/>
        <w:gridCol w:w="1495"/>
        <w:gridCol w:w="1071"/>
        <w:gridCol w:w="1045"/>
      </w:tblGrid>
      <w:tr w:rsidR="00FD7B0B" w:rsidRPr="00FD7B0B" w14:paraId="522EE7AB" w14:textId="77777777" w:rsidTr="00844D92">
        <w:trPr>
          <w:trHeight w:val="240"/>
          <w:tblHeader/>
        </w:trPr>
        <w:tc>
          <w:tcPr>
            <w:tcW w:w="4663" w:type="dxa"/>
            <w:vMerge w:val="restart"/>
            <w:vAlign w:val="center"/>
          </w:tcPr>
          <w:p w14:paraId="36C8B1E9"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Источник финансирования</w:t>
            </w:r>
          </w:p>
        </w:tc>
        <w:tc>
          <w:tcPr>
            <w:tcW w:w="1340" w:type="dxa"/>
            <w:vMerge w:val="restart"/>
            <w:vAlign w:val="center"/>
          </w:tcPr>
          <w:p w14:paraId="4C5E0D4A"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Редакция ГП № 04 на 01.01.2024</w:t>
            </w:r>
          </w:p>
        </w:tc>
        <w:tc>
          <w:tcPr>
            <w:tcW w:w="1495" w:type="dxa"/>
            <w:vMerge w:val="restart"/>
            <w:vAlign w:val="center"/>
          </w:tcPr>
          <w:p w14:paraId="4F309AF6"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Редакция ГП № 04 на 31.12.2024</w:t>
            </w:r>
          </w:p>
        </w:tc>
        <w:tc>
          <w:tcPr>
            <w:tcW w:w="2116" w:type="dxa"/>
            <w:gridSpan w:val="2"/>
            <w:vAlign w:val="center"/>
          </w:tcPr>
          <w:p w14:paraId="16B5A95C"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Изменения за отчетный период (+/-)</w:t>
            </w:r>
          </w:p>
        </w:tc>
      </w:tr>
      <w:tr w:rsidR="00FD7B0B" w:rsidRPr="00FD7B0B" w14:paraId="7A466401" w14:textId="77777777" w:rsidTr="00844D92">
        <w:trPr>
          <w:trHeight w:val="126"/>
          <w:tblHeader/>
        </w:trPr>
        <w:tc>
          <w:tcPr>
            <w:tcW w:w="4663" w:type="dxa"/>
            <w:vMerge/>
            <w:vAlign w:val="center"/>
          </w:tcPr>
          <w:p w14:paraId="6C7A5C44" w14:textId="77777777" w:rsidR="00EA17E9" w:rsidRPr="00FD7B0B" w:rsidRDefault="00EA17E9" w:rsidP="00EA17E9">
            <w:pPr>
              <w:contextualSpacing/>
              <w:jc w:val="center"/>
              <w:rPr>
                <w:rFonts w:ascii="Times New Roman" w:eastAsia="Times New Roman" w:hAnsi="Times New Roman"/>
              </w:rPr>
            </w:pPr>
          </w:p>
        </w:tc>
        <w:tc>
          <w:tcPr>
            <w:tcW w:w="1340" w:type="dxa"/>
            <w:vMerge/>
            <w:vAlign w:val="center"/>
          </w:tcPr>
          <w:p w14:paraId="2D32920B" w14:textId="77777777" w:rsidR="00EA17E9" w:rsidRPr="00FD7B0B" w:rsidRDefault="00EA17E9" w:rsidP="00EA17E9">
            <w:pPr>
              <w:contextualSpacing/>
              <w:jc w:val="center"/>
              <w:rPr>
                <w:rFonts w:ascii="Times New Roman" w:eastAsia="Times New Roman" w:hAnsi="Times New Roman"/>
              </w:rPr>
            </w:pPr>
          </w:p>
        </w:tc>
        <w:tc>
          <w:tcPr>
            <w:tcW w:w="1495" w:type="dxa"/>
            <w:vMerge/>
            <w:vAlign w:val="center"/>
          </w:tcPr>
          <w:p w14:paraId="081974DC" w14:textId="77777777" w:rsidR="00EA17E9" w:rsidRPr="00FD7B0B" w:rsidRDefault="00EA17E9" w:rsidP="00EA17E9">
            <w:pPr>
              <w:contextualSpacing/>
              <w:jc w:val="center"/>
              <w:rPr>
                <w:rFonts w:ascii="Times New Roman" w:eastAsia="Times New Roman" w:hAnsi="Times New Roman"/>
              </w:rPr>
            </w:pPr>
          </w:p>
        </w:tc>
        <w:tc>
          <w:tcPr>
            <w:tcW w:w="1071" w:type="dxa"/>
            <w:vAlign w:val="center"/>
          </w:tcPr>
          <w:p w14:paraId="53A4CCA0"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млн.руб.</w:t>
            </w:r>
          </w:p>
        </w:tc>
        <w:tc>
          <w:tcPr>
            <w:tcW w:w="1045" w:type="dxa"/>
            <w:vAlign w:val="center"/>
          </w:tcPr>
          <w:p w14:paraId="744AF282"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w:t>
            </w:r>
          </w:p>
        </w:tc>
      </w:tr>
      <w:tr w:rsidR="00FD7B0B" w:rsidRPr="00FD7B0B" w14:paraId="7EEB9EA9" w14:textId="77777777" w:rsidTr="00D92A08">
        <w:trPr>
          <w:trHeight w:val="231"/>
        </w:trPr>
        <w:tc>
          <w:tcPr>
            <w:tcW w:w="4663" w:type="dxa"/>
            <w:shd w:val="clear" w:color="auto" w:fill="auto"/>
          </w:tcPr>
          <w:p w14:paraId="79776116" w14:textId="77777777" w:rsidR="00EA17E9" w:rsidRPr="00FD7B0B" w:rsidRDefault="00EA17E9" w:rsidP="00EA17E9">
            <w:pPr>
              <w:contextualSpacing/>
              <w:jc w:val="right"/>
              <w:rPr>
                <w:rFonts w:ascii="Times New Roman" w:eastAsia="Times New Roman" w:hAnsi="Times New Roman"/>
              </w:rPr>
            </w:pPr>
            <w:r w:rsidRPr="00FD7B0B">
              <w:rPr>
                <w:rFonts w:ascii="Times New Roman" w:eastAsia="Times New Roman" w:hAnsi="Times New Roman"/>
              </w:rPr>
              <w:t>Всего по госпрограмме</w:t>
            </w:r>
          </w:p>
        </w:tc>
        <w:tc>
          <w:tcPr>
            <w:tcW w:w="1340" w:type="dxa"/>
            <w:shd w:val="clear" w:color="auto" w:fill="auto"/>
            <w:vAlign w:val="center"/>
          </w:tcPr>
          <w:p w14:paraId="73D48A64"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3 375,4</w:t>
            </w:r>
          </w:p>
        </w:tc>
        <w:tc>
          <w:tcPr>
            <w:tcW w:w="1495" w:type="dxa"/>
            <w:shd w:val="clear" w:color="auto" w:fill="auto"/>
            <w:vAlign w:val="center"/>
          </w:tcPr>
          <w:p w14:paraId="3BCE12D8"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3 244,8</w:t>
            </w:r>
          </w:p>
        </w:tc>
        <w:tc>
          <w:tcPr>
            <w:tcW w:w="1071" w:type="dxa"/>
            <w:shd w:val="clear" w:color="auto" w:fill="auto"/>
            <w:vAlign w:val="center"/>
          </w:tcPr>
          <w:p w14:paraId="6BB5AD53"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-130,6</w:t>
            </w:r>
          </w:p>
        </w:tc>
        <w:tc>
          <w:tcPr>
            <w:tcW w:w="1045" w:type="dxa"/>
            <w:shd w:val="clear" w:color="auto" w:fill="auto"/>
            <w:vAlign w:val="center"/>
          </w:tcPr>
          <w:p w14:paraId="33C74695"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-3,9</w:t>
            </w:r>
          </w:p>
        </w:tc>
      </w:tr>
      <w:tr w:rsidR="00FD7B0B" w:rsidRPr="00FD7B0B" w14:paraId="039377C4" w14:textId="77777777" w:rsidTr="00D92A08">
        <w:trPr>
          <w:trHeight w:val="84"/>
        </w:trPr>
        <w:tc>
          <w:tcPr>
            <w:tcW w:w="4663" w:type="dxa"/>
            <w:shd w:val="clear" w:color="auto" w:fill="auto"/>
          </w:tcPr>
          <w:p w14:paraId="3032C61C"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«Культурная среда»</w:t>
            </w:r>
          </w:p>
        </w:tc>
        <w:tc>
          <w:tcPr>
            <w:tcW w:w="1340" w:type="dxa"/>
            <w:shd w:val="clear" w:color="auto" w:fill="auto"/>
            <w:vAlign w:val="center"/>
          </w:tcPr>
          <w:p w14:paraId="26E6FECF"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428,8</w:t>
            </w:r>
          </w:p>
        </w:tc>
        <w:tc>
          <w:tcPr>
            <w:tcW w:w="1495" w:type="dxa"/>
            <w:shd w:val="clear" w:color="auto" w:fill="auto"/>
            <w:vAlign w:val="center"/>
          </w:tcPr>
          <w:p w14:paraId="06CA0E7D"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414,8</w:t>
            </w:r>
          </w:p>
        </w:tc>
        <w:tc>
          <w:tcPr>
            <w:tcW w:w="1071" w:type="dxa"/>
            <w:shd w:val="clear" w:color="auto" w:fill="auto"/>
            <w:vAlign w:val="center"/>
          </w:tcPr>
          <w:p w14:paraId="109A893C"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-14,0</w:t>
            </w:r>
          </w:p>
        </w:tc>
        <w:tc>
          <w:tcPr>
            <w:tcW w:w="1045" w:type="dxa"/>
            <w:shd w:val="clear" w:color="auto" w:fill="auto"/>
            <w:vAlign w:val="center"/>
          </w:tcPr>
          <w:p w14:paraId="138F82A4"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-3,3</w:t>
            </w:r>
          </w:p>
        </w:tc>
      </w:tr>
      <w:tr w:rsidR="00FD7B0B" w:rsidRPr="00FD7B0B" w14:paraId="744EEF75" w14:textId="77777777" w:rsidTr="00D92A08">
        <w:tc>
          <w:tcPr>
            <w:tcW w:w="4663" w:type="dxa"/>
            <w:shd w:val="clear" w:color="auto" w:fill="auto"/>
          </w:tcPr>
          <w:p w14:paraId="4B6657CB"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«Творческие люди»</w:t>
            </w:r>
          </w:p>
        </w:tc>
        <w:tc>
          <w:tcPr>
            <w:tcW w:w="1340" w:type="dxa"/>
            <w:shd w:val="clear" w:color="auto" w:fill="auto"/>
            <w:vAlign w:val="center"/>
          </w:tcPr>
          <w:p w14:paraId="3042EC6D"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1,7</w:t>
            </w:r>
          </w:p>
        </w:tc>
        <w:tc>
          <w:tcPr>
            <w:tcW w:w="1495" w:type="dxa"/>
            <w:shd w:val="clear" w:color="auto" w:fill="auto"/>
            <w:vAlign w:val="center"/>
          </w:tcPr>
          <w:p w14:paraId="1274D7BC"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1,7</w:t>
            </w:r>
          </w:p>
        </w:tc>
        <w:tc>
          <w:tcPr>
            <w:tcW w:w="1071" w:type="dxa"/>
            <w:shd w:val="clear" w:color="auto" w:fill="auto"/>
            <w:vAlign w:val="center"/>
          </w:tcPr>
          <w:p w14:paraId="2784FB60"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0,0</w:t>
            </w:r>
          </w:p>
        </w:tc>
        <w:tc>
          <w:tcPr>
            <w:tcW w:w="1045" w:type="dxa"/>
            <w:shd w:val="clear" w:color="auto" w:fill="auto"/>
            <w:vAlign w:val="center"/>
          </w:tcPr>
          <w:p w14:paraId="33AC4E91"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0,0</w:t>
            </w:r>
          </w:p>
        </w:tc>
      </w:tr>
      <w:tr w:rsidR="00FD7B0B" w:rsidRPr="00FD7B0B" w14:paraId="6800B954" w14:textId="77777777" w:rsidTr="00D92A08">
        <w:tc>
          <w:tcPr>
            <w:tcW w:w="4663" w:type="dxa"/>
            <w:shd w:val="clear" w:color="auto" w:fill="auto"/>
          </w:tcPr>
          <w:p w14:paraId="13455318"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«Цифровая культура»</w:t>
            </w:r>
          </w:p>
        </w:tc>
        <w:tc>
          <w:tcPr>
            <w:tcW w:w="1340" w:type="dxa"/>
            <w:shd w:val="clear" w:color="auto" w:fill="auto"/>
            <w:vAlign w:val="center"/>
          </w:tcPr>
          <w:p w14:paraId="65916F4C"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w:t>
            </w:r>
          </w:p>
        </w:tc>
        <w:tc>
          <w:tcPr>
            <w:tcW w:w="1495" w:type="dxa"/>
            <w:shd w:val="clear" w:color="auto" w:fill="auto"/>
            <w:vAlign w:val="center"/>
          </w:tcPr>
          <w:p w14:paraId="17679D90"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1,9</w:t>
            </w:r>
          </w:p>
        </w:tc>
        <w:tc>
          <w:tcPr>
            <w:tcW w:w="1071" w:type="dxa"/>
            <w:shd w:val="clear" w:color="auto" w:fill="auto"/>
            <w:vAlign w:val="center"/>
          </w:tcPr>
          <w:p w14:paraId="7D1466D0"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1,9</w:t>
            </w:r>
          </w:p>
        </w:tc>
        <w:tc>
          <w:tcPr>
            <w:tcW w:w="1045" w:type="dxa"/>
            <w:shd w:val="clear" w:color="auto" w:fill="auto"/>
            <w:vAlign w:val="center"/>
          </w:tcPr>
          <w:p w14:paraId="12B94109"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100,0</w:t>
            </w:r>
          </w:p>
        </w:tc>
      </w:tr>
      <w:tr w:rsidR="00FD7B0B" w:rsidRPr="00FD7B0B" w14:paraId="347B85FD" w14:textId="77777777" w:rsidTr="00D92A08">
        <w:tc>
          <w:tcPr>
            <w:tcW w:w="4663" w:type="dxa"/>
            <w:shd w:val="clear" w:color="auto" w:fill="auto"/>
          </w:tcPr>
          <w:p w14:paraId="7ED2BB28"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«Развитие искусства и творчества»</w:t>
            </w:r>
          </w:p>
        </w:tc>
        <w:tc>
          <w:tcPr>
            <w:tcW w:w="1340" w:type="dxa"/>
            <w:shd w:val="clear" w:color="auto" w:fill="auto"/>
            <w:vAlign w:val="center"/>
          </w:tcPr>
          <w:p w14:paraId="7562E018"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30,7</w:t>
            </w:r>
          </w:p>
        </w:tc>
        <w:tc>
          <w:tcPr>
            <w:tcW w:w="1495" w:type="dxa"/>
            <w:shd w:val="clear" w:color="auto" w:fill="auto"/>
            <w:vAlign w:val="center"/>
          </w:tcPr>
          <w:p w14:paraId="6D3BEE94"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27,6</w:t>
            </w:r>
          </w:p>
        </w:tc>
        <w:tc>
          <w:tcPr>
            <w:tcW w:w="1071" w:type="dxa"/>
            <w:shd w:val="clear" w:color="auto" w:fill="auto"/>
            <w:vAlign w:val="center"/>
          </w:tcPr>
          <w:p w14:paraId="2F3C9954"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-3,1</w:t>
            </w:r>
          </w:p>
        </w:tc>
        <w:tc>
          <w:tcPr>
            <w:tcW w:w="1045" w:type="dxa"/>
            <w:shd w:val="clear" w:color="auto" w:fill="auto"/>
            <w:vAlign w:val="center"/>
          </w:tcPr>
          <w:p w14:paraId="42D30534"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-10,1</w:t>
            </w:r>
          </w:p>
        </w:tc>
      </w:tr>
      <w:tr w:rsidR="00FD7B0B" w:rsidRPr="00FD7B0B" w14:paraId="5CB85575" w14:textId="77777777" w:rsidTr="00D92A08">
        <w:tc>
          <w:tcPr>
            <w:tcW w:w="4663" w:type="dxa"/>
            <w:shd w:val="clear" w:color="auto" w:fill="auto"/>
          </w:tcPr>
          <w:p w14:paraId="01D01C8C"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«Развитие туристической инфраструктуры»</w:t>
            </w:r>
          </w:p>
        </w:tc>
        <w:tc>
          <w:tcPr>
            <w:tcW w:w="1340" w:type="dxa"/>
            <w:shd w:val="clear" w:color="auto" w:fill="auto"/>
            <w:vAlign w:val="center"/>
          </w:tcPr>
          <w:p w14:paraId="27E3CDF9"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w:t>
            </w:r>
          </w:p>
        </w:tc>
        <w:tc>
          <w:tcPr>
            <w:tcW w:w="1495" w:type="dxa"/>
            <w:shd w:val="clear" w:color="auto" w:fill="auto"/>
            <w:vAlign w:val="center"/>
          </w:tcPr>
          <w:p w14:paraId="69619C41"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53,4</w:t>
            </w:r>
          </w:p>
        </w:tc>
        <w:tc>
          <w:tcPr>
            <w:tcW w:w="1071" w:type="dxa"/>
            <w:shd w:val="clear" w:color="auto" w:fill="auto"/>
            <w:vAlign w:val="center"/>
          </w:tcPr>
          <w:p w14:paraId="60B44F70"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53,4</w:t>
            </w:r>
          </w:p>
        </w:tc>
        <w:tc>
          <w:tcPr>
            <w:tcW w:w="1045" w:type="dxa"/>
            <w:shd w:val="clear" w:color="auto" w:fill="auto"/>
            <w:vAlign w:val="center"/>
          </w:tcPr>
          <w:p w14:paraId="00587620"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100,0</w:t>
            </w:r>
          </w:p>
        </w:tc>
      </w:tr>
      <w:tr w:rsidR="00FD7B0B" w:rsidRPr="00FD7B0B" w14:paraId="0A5836E1" w14:textId="77777777" w:rsidTr="00D92A08">
        <w:tc>
          <w:tcPr>
            <w:tcW w:w="4663" w:type="dxa"/>
            <w:shd w:val="clear" w:color="auto" w:fill="auto"/>
          </w:tcPr>
          <w:p w14:paraId="26B34D50" w14:textId="77777777" w:rsidR="00EA17E9" w:rsidRPr="00FD7B0B" w:rsidRDefault="00EA17E9" w:rsidP="00EA17E9">
            <w:pPr>
              <w:rPr>
                <w:rFonts w:ascii="Times New Roman" w:hAnsi="Times New Roman"/>
              </w:rPr>
            </w:pPr>
            <w:r w:rsidRPr="00FD7B0B">
              <w:rPr>
                <w:rFonts w:ascii="Times New Roman" w:hAnsi="Times New Roman"/>
              </w:rPr>
              <w:t>Комплекс процессных мероприятий «Культура Русского Севера»</w:t>
            </w:r>
          </w:p>
        </w:tc>
        <w:tc>
          <w:tcPr>
            <w:tcW w:w="1340" w:type="dxa"/>
            <w:shd w:val="clear" w:color="auto" w:fill="auto"/>
            <w:vAlign w:val="center"/>
          </w:tcPr>
          <w:p w14:paraId="47A9B5D4"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2 809,9</w:t>
            </w:r>
          </w:p>
        </w:tc>
        <w:tc>
          <w:tcPr>
            <w:tcW w:w="1495" w:type="dxa"/>
            <w:shd w:val="clear" w:color="auto" w:fill="auto"/>
            <w:vAlign w:val="center"/>
          </w:tcPr>
          <w:p w14:paraId="54B14F98"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2 641,2</w:t>
            </w:r>
          </w:p>
        </w:tc>
        <w:tc>
          <w:tcPr>
            <w:tcW w:w="1071" w:type="dxa"/>
            <w:shd w:val="clear" w:color="auto" w:fill="auto"/>
            <w:vAlign w:val="center"/>
          </w:tcPr>
          <w:p w14:paraId="3147624C"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-168,7</w:t>
            </w:r>
          </w:p>
        </w:tc>
        <w:tc>
          <w:tcPr>
            <w:tcW w:w="1045" w:type="dxa"/>
            <w:shd w:val="clear" w:color="auto" w:fill="auto"/>
            <w:vAlign w:val="center"/>
          </w:tcPr>
          <w:p w14:paraId="1A92BC8D"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-6,0</w:t>
            </w:r>
          </w:p>
        </w:tc>
      </w:tr>
      <w:tr w:rsidR="00EA17E9" w:rsidRPr="00FD7B0B" w14:paraId="2B8F918A" w14:textId="77777777" w:rsidTr="00D92A08">
        <w:tc>
          <w:tcPr>
            <w:tcW w:w="4663" w:type="dxa"/>
            <w:shd w:val="clear" w:color="auto" w:fill="auto"/>
          </w:tcPr>
          <w:p w14:paraId="753E1E6A" w14:textId="77777777" w:rsidR="00EA17E9" w:rsidRPr="00FD7B0B" w:rsidRDefault="00EA17E9" w:rsidP="00EA17E9">
            <w:pPr>
              <w:rPr>
                <w:rFonts w:ascii="Times New Roman" w:hAnsi="Times New Roman"/>
              </w:rPr>
            </w:pPr>
            <w:r w:rsidRPr="00FD7B0B">
              <w:rPr>
                <w:rFonts w:ascii="Times New Roman" w:hAnsi="Times New Roman"/>
              </w:rPr>
              <w:t>Комплекс процессных мероприятий «Сохранение объектов культурного наследия»</w:t>
            </w:r>
          </w:p>
        </w:tc>
        <w:tc>
          <w:tcPr>
            <w:tcW w:w="1340" w:type="dxa"/>
            <w:shd w:val="clear" w:color="auto" w:fill="auto"/>
            <w:vAlign w:val="center"/>
          </w:tcPr>
          <w:p w14:paraId="6B21D00D"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104,2</w:t>
            </w:r>
          </w:p>
        </w:tc>
        <w:tc>
          <w:tcPr>
            <w:tcW w:w="1495" w:type="dxa"/>
            <w:shd w:val="clear" w:color="auto" w:fill="auto"/>
            <w:vAlign w:val="center"/>
          </w:tcPr>
          <w:p w14:paraId="0B377332"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104,1</w:t>
            </w:r>
          </w:p>
        </w:tc>
        <w:tc>
          <w:tcPr>
            <w:tcW w:w="1071" w:type="dxa"/>
            <w:shd w:val="clear" w:color="auto" w:fill="auto"/>
            <w:vAlign w:val="center"/>
          </w:tcPr>
          <w:p w14:paraId="694AEB00"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-0,1</w:t>
            </w:r>
          </w:p>
        </w:tc>
        <w:tc>
          <w:tcPr>
            <w:tcW w:w="1045" w:type="dxa"/>
            <w:shd w:val="clear" w:color="auto" w:fill="auto"/>
            <w:vAlign w:val="center"/>
          </w:tcPr>
          <w:p w14:paraId="7A2654C9" w14:textId="77777777" w:rsidR="00EA17E9" w:rsidRPr="00FD7B0B" w:rsidRDefault="00EA17E9" w:rsidP="00D92A08">
            <w:pPr>
              <w:jc w:val="center"/>
              <w:rPr>
                <w:rFonts w:ascii="Times New Roman" w:eastAsia="Times New Roman" w:hAnsi="Times New Roman"/>
              </w:rPr>
            </w:pPr>
            <w:r w:rsidRPr="00FD7B0B">
              <w:rPr>
                <w:rFonts w:ascii="Times New Roman" w:eastAsia="Times New Roman" w:hAnsi="Times New Roman"/>
              </w:rPr>
              <w:t>-0,1</w:t>
            </w:r>
          </w:p>
        </w:tc>
      </w:tr>
    </w:tbl>
    <w:p w14:paraId="3DCF31FA"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p>
    <w:p w14:paraId="50BD0B4D" w14:textId="6A9D036A"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Как видно из таблицы, изменение объемов финансирования госпрограммы в 2024 году связано с включением в госпрограмму регионального проекта «Развитие туристической инфраструктуры», на реализацию которого предусмотрены средства в размере 53,4 млн.руб. и с сокращением финансирования на 168,7 млн.руб. по </w:t>
      </w:r>
      <w:r w:rsidR="00D92A08" w:rsidRPr="00FD7B0B">
        <w:rPr>
          <w:rFonts w:ascii="Times New Roman" w:eastAsia="Times New Roman" w:hAnsi="Times New Roman"/>
          <w:sz w:val="28"/>
          <w:szCs w:val="28"/>
          <w:lang w:eastAsia="ru-RU"/>
        </w:rPr>
        <w:t>КПМ «Культура Русского Севера».</w:t>
      </w:r>
    </w:p>
    <w:p w14:paraId="7F676DBF" w14:textId="77777777" w:rsidR="00EA17E9" w:rsidRPr="00FD7B0B" w:rsidRDefault="00EA17E9" w:rsidP="00EA17E9">
      <w:pPr>
        <w:spacing w:after="0" w:line="240" w:lineRule="auto"/>
        <w:ind w:firstLine="708"/>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Областным законом от 15.12.2023 N 39-4-ОЗ «Об областном бюджете на 2024 год и на плановый период 2025 и 2026 годов», в редакции, действующей на 01.01.2024, расходы на реализацию госпрограммы № 04 утверждены в общей сумме 3 413,8 млн.руб.</w:t>
      </w:r>
    </w:p>
    <w:p w14:paraId="3DEA445A" w14:textId="3A48DE32"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течение 2024 года областными законами о внесении изменений и дополнений в областной закон «Об областном бюджете» общая сумма ассигнований на реализацию мероприятий госпрограммы № 04 уменьшена на </w:t>
      </w:r>
      <w:r w:rsidRPr="00FD7B0B">
        <w:rPr>
          <w:rFonts w:ascii="Times New Roman" w:eastAsia="Times New Roman" w:hAnsi="Times New Roman"/>
          <w:sz w:val="28"/>
          <w:szCs w:val="28"/>
          <w:lang w:eastAsia="ru-RU"/>
        </w:rPr>
        <w:lastRenderedPageBreak/>
        <w:t xml:space="preserve">58,5 млн.руб. и на 31.12.2024 составила 3 355,3 млн.руб. Сведения о финансировании госпрограммы в разрезе главных распорядителей бюджетных </w:t>
      </w:r>
      <w:r w:rsidR="00D92A08" w:rsidRPr="00FD7B0B">
        <w:rPr>
          <w:rFonts w:ascii="Times New Roman" w:eastAsia="Times New Roman" w:hAnsi="Times New Roman"/>
          <w:sz w:val="28"/>
          <w:szCs w:val="28"/>
          <w:lang w:eastAsia="ru-RU"/>
        </w:rPr>
        <w:t xml:space="preserve">средств представлены в таблице </w:t>
      </w:r>
      <w:r w:rsidR="00F745C4" w:rsidRPr="00FD7B0B">
        <w:rPr>
          <w:rFonts w:ascii="Times New Roman" w:eastAsia="Times New Roman" w:hAnsi="Times New Roman"/>
          <w:sz w:val="28"/>
          <w:szCs w:val="28"/>
          <w:lang w:eastAsia="ru-RU"/>
        </w:rPr>
        <w:t>108</w:t>
      </w:r>
      <w:r w:rsidRPr="00FD7B0B">
        <w:rPr>
          <w:rFonts w:ascii="Times New Roman" w:eastAsia="Times New Roman" w:hAnsi="Times New Roman"/>
          <w:sz w:val="28"/>
          <w:szCs w:val="28"/>
          <w:lang w:eastAsia="ru-RU"/>
        </w:rPr>
        <w:t>.</w:t>
      </w:r>
    </w:p>
    <w:p w14:paraId="2498F597" w14:textId="77777777" w:rsidR="00D92A08" w:rsidRPr="00FD7B0B" w:rsidRDefault="00D92A08" w:rsidP="00EA17E9">
      <w:pPr>
        <w:pStyle w:val="aff0"/>
        <w:keepNext/>
        <w:spacing w:after="0" w:line="240" w:lineRule="auto"/>
        <w:jc w:val="both"/>
        <w:rPr>
          <w:rFonts w:ascii="Times New Roman" w:hAnsi="Times New Roman"/>
          <w:b w:val="0"/>
          <w:sz w:val="24"/>
          <w:szCs w:val="24"/>
        </w:rPr>
      </w:pPr>
    </w:p>
    <w:p w14:paraId="5F4D1639" w14:textId="77777777" w:rsidR="00EA17E9" w:rsidRPr="00FD7B0B" w:rsidRDefault="00EA17E9" w:rsidP="00D92A08">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108</w:t>
      </w:r>
      <w:r w:rsidRPr="00FD7B0B">
        <w:rPr>
          <w:rFonts w:ascii="Times New Roman" w:hAnsi="Times New Roman"/>
          <w:b w:val="0"/>
          <w:sz w:val="24"/>
          <w:szCs w:val="24"/>
        </w:rPr>
        <w:fldChar w:fldCharType="end"/>
      </w:r>
      <w:r w:rsidRPr="00FD7B0B">
        <w:rPr>
          <w:rFonts w:ascii="Times New Roman" w:hAnsi="Times New Roman"/>
          <w:b w:val="0"/>
          <w:sz w:val="24"/>
          <w:szCs w:val="24"/>
        </w:rPr>
        <w:t>. Показатели областного закона «Об областном бюджете» в части бюджетных ассигнований на реализацию ГП № 04 в разрезе ГРБС, млн.руб.</w:t>
      </w:r>
    </w:p>
    <w:tbl>
      <w:tblPr>
        <w:tblStyle w:val="a7"/>
        <w:tblW w:w="9550"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980"/>
        <w:gridCol w:w="1436"/>
        <w:gridCol w:w="1435"/>
        <w:gridCol w:w="954"/>
        <w:gridCol w:w="745"/>
      </w:tblGrid>
      <w:tr w:rsidR="00FD7B0B" w:rsidRPr="00FD7B0B" w14:paraId="3BDA173E" w14:textId="77777777" w:rsidTr="001B3033">
        <w:trPr>
          <w:tblHeader/>
        </w:trPr>
        <w:tc>
          <w:tcPr>
            <w:tcW w:w="4980" w:type="dxa"/>
            <w:vMerge w:val="restart"/>
            <w:vAlign w:val="center"/>
          </w:tcPr>
          <w:p w14:paraId="2B5A6745"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Исполнитель</w:t>
            </w:r>
          </w:p>
        </w:tc>
        <w:tc>
          <w:tcPr>
            <w:tcW w:w="1436" w:type="dxa"/>
            <w:vMerge w:val="restart"/>
          </w:tcPr>
          <w:p w14:paraId="46387E62"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Закон в ред. на 01.01.2024</w:t>
            </w:r>
          </w:p>
        </w:tc>
        <w:tc>
          <w:tcPr>
            <w:tcW w:w="1435" w:type="dxa"/>
            <w:vMerge w:val="restart"/>
          </w:tcPr>
          <w:p w14:paraId="005557E9"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Закон в ред. на 31.12.2024</w:t>
            </w:r>
          </w:p>
        </w:tc>
        <w:tc>
          <w:tcPr>
            <w:tcW w:w="1699" w:type="dxa"/>
            <w:gridSpan w:val="2"/>
          </w:tcPr>
          <w:p w14:paraId="651A451B"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Изменения (+/-)</w:t>
            </w:r>
          </w:p>
        </w:tc>
      </w:tr>
      <w:tr w:rsidR="00FD7B0B" w:rsidRPr="00FD7B0B" w14:paraId="79B5AFAE" w14:textId="77777777" w:rsidTr="001B3033">
        <w:trPr>
          <w:tblHeader/>
        </w:trPr>
        <w:tc>
          <w:tcPr>
            <w:tcW w:w="4980" w:type="dxa"/>
            <w:vMerge/>
          </w:tcPr>
          <w:p w14:paraId="38BA861B" w14:textId="77777777" w:rsidR="00EA17E9" w:rsidRPr="00FD7B0B" w:rsidRDefault="00EA17E9" w:rsidP="00EA17E9">
            <w:pPr>
              <w:contextualSpacing/>
              <w:jc w:val="center"/>
              <w:rPr>
                <w:rFonts w:ascii="Times New Roman" w:eastAsia="Times New Roman" w:hAnsi="Times New Roman"/>
              </w:rPr>
            </w:pPr>
          </w:p>
        </w:tc>
        <w:tc>
          <w:tcPr>
            <w:tcW w:w="1436" w:type="dxa"/>
            <w:vMerge/>
          </w:tcPr>
          <w:p w14:paraId="66B798D1" w14:textId="77777777" w:rsidR="00EA17E9" w:rsidRPr="00FD7B0B" w:rsidRDefault="00EA17E9" w:rsidP="00EA17E9">
            <w:pPr>
              <w:contextualSpacing/>
              <w:jc w:val="center"/>
              <w:rPr>
                <w:rFonts w:ascii="Times New Roman" w:eastAsia="Times New Roman" w:hAnsi="Times New Roman"/>
              </w:rPr>
            </w:pPr>
          </w:p>
        </w:tc>
        <w:tc>
          <w:tcPr>
            <w:tcW w:w="1435" w:type="dxa"/>
            <w:vMerge/>
          </w:tcPr>
          <w:p w14:paraId="2C6E700E" w14:textId="77777777" w:rsidR="00EA17E9" w:rsidRPr="00FD7B0B" w:rsidRDefault="00EA17E9" w:rsidP="00EA17E9">
            <w:pPr>
              <w:contextualSpacing/>
              <w:jc w:val="center"/>
              <w:rPr>
                <w:rFonts w:ascii="Times New Roman" w:eastAsia="Times New Roman" w:hAnsi="Times New Roman"/>
              </w:rPr>
            </w:pPr>
          </w:p>
        </w:tc>
        <w:tc>
          <w:tcPr>
            <w:tcW w:w="954" w:type="dxa"/>
          </w:tcPr>
          <w:p w14:paraId="23CD92AB"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млн.руб.</w:t>
            </w:r>
          </w:p>
        </w:tc>
        <w:tc>
          <w:tcPr>
            <w:tcW w:w="745" w:type="dxa"/>
          </w:tcPr>
          <w:p w14:paraId="20806BD6"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w:t>
            </w:r>
          </w:p>
        </w:tc>
      </w:tr>
      <w:tr w:rsidR="00FD7B0B" w:rsidRPr="00FD7B0B" w14:paraId="2B1D40B8" w14:textId="77777777" w:rsidTr="001B3033">
        <w:tc>
          <w:tcPr>
            <w:tcW w:w="4980" w:type="dxa"/>
            <w:vAlign w:val="center"/>
          </w:tcPr>
          <w:p w14:paraId="4A21963A" w14:textId="77777777" w:rsidR="00EA17E9" w:rsidRPr="00FD7B0B" w:rsidRDefault="00EA17E9" w:rsidP="00EA17E9">
            <w:pPr>
              <w:contextualSpacing/>
              <w:rPr>
                <w:rFonts w:ascii="Times New Roman" w:eastAsia="Times New Roman" w:hAnsi="Times New Roman"/>
              </w:rPr>
            </w:pPr>
            <w:r w:rsidRPr="00FD7B0B">
              <w:rPr>
                <w:rFonts w:ascii="Times New Roman" w:eastAsia="Times New Roman" w:hAnsi="Times New Roman"/>
              </w:rPr>
              <w:t>Всего по госпрограмме</w:t>
            </w:r>
          </w:p>
        </w:tc>
        <w:tc>
          <w:tcPr>
            <w:tcW w:w="1436" w:type="dxa"/>
            <w:vAlign w:val="center"/>
          </w:tcPr>
          <w:p w14:paraId="058D1E31"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3 413,8</w:t>
            </w:r>
          </w:p>
        </w:tc>
        <w:tc>
          <w:tcPr>
            <w:tcW w:w="1435" w:type="dxa"/>
            <w:vAlign w:val="center"/>
          </w:tcPr>
          <w:p w14:paraId="11CBFF97" w14:textId="77777777" w:rsidR="00EA17E9" w:rsidRPr="00FD7B0B" w:rsidRDefault="00EA17E9" w:rsidP="00EA17E9">
            <w:pPr>
              <w:jc w:val="center"/>
              <w:rPr>
                <w:rFonts w:ascii="Times New Roman" w:eastAsia="Times New Roman" w:hAnsi="Times New Roman"/>
              </w:rPr>
            </w:pPr>
            <w:r w:rsidRPr="00FD7B0B">
              <w:rPr>
                <w:rFonts w:ascii="Times New Roman" w:eastAsia="Times New Roman" w:hAnsi="Times New Roman"/>
              </w:rPr>
              <w:t>3 355,3</w:t>
            </w:r>
          </w:p>
        </w:tc>
        <w:tc>
          <w:tcPr>
            <w:tcW w:w="954" w:type="dxa"/>
            <w:shd w:val="clear" w:color="auto" w:fill="FFFFFF" w:themeFill="background1"/>
            <w:vAlign w:val="center"/>
          </w:tcPr>
          <w:p w14:paraId="5A1909C3"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-58,5</w:t>
            </w:r>
          </w:p>
        </w:tc>
        <w:tc>
          <w:tcPr>
            <w:tcW w:w="745" w:type="dxa"/>
            <w:shd w:val="clear" w:color="auto" w:fill="FFFFFF" w:themeFill="background1"/>
            <w:vAlign w:val="center"/>
          </w:tcPr>
          <w:p w14:paraId="0D9869BD"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-1,7</w:t>
            </w:r>
          </w:p>
        </w:tc>
      </w:tr>
      <w:tr w:rsidR="00FD7B0B" w:rsidRPr="00FD7B0B" w14:paraId="593FDB25" w14:textId="77777777" w:rsidTr="001B3033">
        <w:tc>
          <w:tcPr>
            <w:tcW w:w="4980" w:type="dxa"/>
          </w:tcPr>
          <w:p w14:paraId="1C488A25" w14:textId="77777777" w:rsidR="00EA17E9" w:rsidRPr="00FD7B0B" w:rsidRDefault="00EA17E9" w:rsidP="00EA17E9">
            <w:pPr>
              <w:contextualSpacing/>
              <w:rPr>
                <w:rFonts w:ascii="Times New Roman" w:eastAsia="Times New Roman" w:hAnsi="Times New Roman"/>
              </w:rPr>
            </w:pPr>
            <w:r w:rsidRPr="00FD7B0B">
              <w:rPr>
                <w:rFonts w:ascii="Times New Roman" w:eastAsia="Times New Roman" w:hAnsi="Times New Roman"/>
              </w:rPr>
              <w:t>Министерство строительства и архитектуры Архангельской области</w:t>
            </w:r>
          </w:p>
        </w:tc>
        <w:tc>
          <w:tcPr>
            <w:tcW w:w="1436" w:type="dxa"/>
            <w:vAlign w:val="center"/>
          </w:tcPr>
          <w:p w14:paraId="25E862DE" w14:textId="77777777" w:rsidR="00EA17E9" w:rsidRPr="00FD7B0B" w:rsidRDefault="00EA17E9" w:rsidP="00EA17E9">
            <w:pPr>
              <w:jc w:val="center"/>
              <w:rPr>
                <w:rFonts w:ascii="Times New Roman" w:eastAsia="Times New Roman" w:hAnsi="Times New Roman"/>
              </w:rPr>
            </w:pPr>
            <w:r w:rsidRPr="00FD7B0B">
              <w:rPr>
                <w:rFonts w:ascii="Times New Roman" w:eastAsia="Times New Roman" w:hAnsi="Times New Roman"/>
              </w:rPr>
              <w:t>350,5</w:t>
            </w:r>
          </w:p>
        </w:tc>
        <w:tc>
          <w:tcPr>
            <w:tcW w:w="1435" w:type="dxa"/>
            <w:vAlign w:val="center"/>
          </w:tcPr>
          <w:p w14:paraId="5F25A5AE" w14:textId="77777777" w:rsidR="00EA17E9" w:rsidRPr="00FD7B0B" w:rsidRDefault="00EA17E9" w:rsidP="00EA17E9">
            <w:pPr>
              <w:jc w:val="center"/>
              <w:rPr>
                <w:rFonts w:ascii="Times New Roman" w:eastAsia="Times New Roman" w:hAnsi="Times New Roman"/>
              </w:rPr>
            </w:pPr>
            <w:r w:rsidRPr="00FD7B0B">
              <w:rPr>
                <w:rFonts w:ascii="Times New Roman" w:eastAsia="Times New Roman" w:hAnsi="Times New Roman"/>
              </w:rPr>
              <w:t>350,5</w:t>
            </w:r>
          </w:p>
        </w:tc>
        <w:tc>
          <w:tcPr>
            <w:tcW w:w="954" w:type="dxa"/>
            <w:shd w:val="clear" w:color="auto" w:fill="FFFFFF" w:themeFill="background1"/>
            <w:vAlign w:val="center"/>
          </w:tcPr>
          <w:p w14:paraId="4251E58B"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0,00</w:t>
            </w:r>
          </w:p>
        </w:tc>
        <w:tc>
          <w:tcPr>
            <w:tcW w:w="745" w:type="dxa"/>
            <w:shd w:val="clear" w:color="auto" w:fill="FFFFFF" w:themeFill="background1"/>
            <w:vAlign w:val="center"/>
          </w:tcPr>
          <w:p w14:paraId="5ADFDD76"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0,0</w:t>
            </w:r>
          </w:p>
        </w:tc>
      </w:tr>
      <w:tr w:rsidR="00FD7B0B" w:rsidRPr="00FD7B0B" w14:paraId="3F2222E4" w14:textId="77777777" w:rsidTr="001B3033">
        <w:tc>
          <w:tcPr>
            <w:tcW w:w="4980" w:type="dxa"/>
          </w:tcPr>
          <w:p w14:paraId="01C70E23" w14:textId="77777777" w:rsidR="00EA17E9" w:rsidRPr="00FD7B0B" w:rsidRDefault="00EA17E9" w:rsidP="00EA17E9">
            <w:pPr>
              <w:contextualSpacing/>
              <w:rPr>
                <w:rFonts w:ascii="Times New Roman" w:eastAsia="Times New Roman" w:hAnsi="Times New Roman"/>
              </w:rPr>
            </w:pPr>
            <w:r w:rsidRPr="00FD7B0B">
              <w:rPr>
                <w:rFonts w:ascii="Times New Roman" w:eastAsia="Times New Roman" w:hAnsi="Times New Roman"/>
              </w:rPr>
              <w:t>Инспекция по охране объектов культурного наследия Архангельской области</w:t>
            </w:r>
          </w:p>
        </w:tc>
        <w:tc>
          <w:tcPr>
            <w:tcW w:w="1436" w:type="dxa"/>
            <w:vAlign w:val="center"/>
          </w:tcPr>
          <w:p w14:paraId="4C75F336" w14:textId="77777777" w:rsidR="00EA17E9" w:rsidRPr="00FD7B0B" w:rsidRDefault="00EA17E9" w:rsidP="00EA17E9">
            <w:pPr>
              <w:jc w:val="center"/>
              <w:rPr>
                <w:rFonts w:ascii="Times New Roman" w:eastAsia="Times New Roman" w:hAnsi="Times New Roman"/>
              </w:rPr>
            </w:pPr>
            <w:r w:rsidRPr="00FD7B0B">
              <w:rPr>
                <w:rFonts w:ascii="Times New Roman" w:eastAsia="Times New Roman" w:hAnsi="Times New Roman"/>
              </w:rPr>
              <w:t>103,1</w:t>
            </w:r>
          </w:p>
        </w:tc>
        <w:tc>
          <w:tcPr>
            <w:tcW w:w="1435" w:type="dxa"/>
            <w:vAlign w:val="center"/>
          </w:tcPr>
          <w:p w14:paraId="640035AF" w14:textId="77777777" w:rsidR="00EA17E9" w:rsidRPr="00FD7B0B" w:rsidRDefault="00EA17E9" w:rsidP="00EA17E9">
            <w:pPr>
              <w:jc w:val="center"/>
              <w:rPr>
                <w:rFonts w:ascii="Times New Roman" w:eastAsia="Times New Roman" w:hAnsi="Times New Roman"/>
              </w:rPr>
            </w:pPr>
            <w:r w:rsidRPr="00FD7B0B">
              <w:rPr>
                <w:rFonts w:ascii="Times New Roman" w:eastAsia="Times New Roman" w:hAnsi="Times New Roman"/>
              </w:rPr>
              <w:t>103,1</w:t>
            </w:r>
          </w:p>
        </w:tc>
        <w:tc>
          <w:tcPr>
            <w:tcW w:w="954" w:type="dxa"/>
            <w:shd w:val="clear" w:color="auto" w:fill="FFFFFF" w:themeFill="background1"/>
            <w:vAlign w:val="center"/>
          </w:tcPr>
          <w:p w14:paraId="77186DF6"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0,00</w:t>
            </w:r>
          </w:p>
        </w:tc>
        <w:tc>
          <w:tcPr>
            <w:tcW w:w="745" w:type="dxa"/>
            <w:shd w:val="clear" w:color="auto" w:fill="FFFFFF" w:themeFill="background1"/>
            <w:vAlign w:val="center"/>
          </w:tcPr>
          <w:p w14:paraId="7F3F6C13"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0,0</w:t>
            </w:r>
          </w:p>
        </w:tc>
      </w:tr>
      <w:tr w:rsidR="00FD7B0B" w:rsidRPr="00FD7B0B" w14:paraId="41A46736" w14:textId="77777777" w:rsidTr="001B3033">
        <w:tc>
          <w:tcPr>
            <w:tcW w:w="4980" w:type="dxa"/>
          </w:tcPr>
          <w:p w14:paraId="1BA166C3" w14:textId="77777777" w:rsidR="00EA17E9" w:rsidRPr="00FD7B0B" w:rsidRDefault="00EA17E9" w:rsidP="00EA17E9">
            <w:pPr>
              <w:contextualSpacing/>
              <w:rPr>
                <w:rFonts w:ascii="Times New Roman" w:eastAsia="Times New Roman" w:hAnsi="Times New Roman"/>
              </w:rPr>
            </w:pPr>
            <w:r w:rsidRPr="00FD7B0B">
              <w:rPr>
                <w:rFonts w:ascii="Times New Roman" w:eastAsia="Times New Roman" w:hAnsi="Times New Roman"/>
              </w:rPr>
              <w:t>Министерство культуры Архангельской области</w:t>
            </w:r>
          </w:p>
        </w:tc>
        <w:tc>
          <w:tcPr>
            <w:tcW w:w="1436" w:type="dxa"/>
            <w:vAlign w:val="center"/>
          </w:tcPr>
          <w:p w14:paraId="19F009D4"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2 820,2</w:t>
            </w:r>
          </w:p>
        </w:tc>
        <w:tc>
          <w:tcPr>
            <w:tcW w:w="1435" w:type="dxa"/>
            <w:vAlign w:val="center"/>
          </w:tcPr>
          <w:p w14:paraId="28B5CC54" w14:textId="77777777" w:rsidR="00EA17E9" w:rsidRPr="00FD7B0B" w:rsidRDefault="00EA17E9" w:rsidP="00EA17E9">
            <w:pPr>
              <w:jc w:val="center"/>
              <w:rPr>
                <w:rFonts w:ascii="Times New Roman" w:eastAsia="Times New Roman" w:hAnsi="Times New Roman"/>
              </w:rPr>
            </w:pPr>
            <w:r w:rsidRPr="00FD7B0B">
              <w:rPr>
                <w:rFonts w:ascii="Times New Roman" w:eastAsia="Times New Roman" w:hAnsi="Times New Roman"/>
              </w:rPr>
              <w:t>2 761,6</w:t>
            </w:r>
          </w:p>
        </w:tc>
        <w:tc>
          <w:tcPr>
            <w:tcW w:w="954" w:type="dxa"/>
            <w:shd w:val="clear" w:color="auto" w:fill="FFFFFF" w:themeFill="background1"/>
            <w:vAlign w:val="center"/>
          </w:tcPr>
          <w:p w14:paraId="616C82D6"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-58,5</w:t>
            </w:r>
          </w:p>
        </w:tc>
        <w:tc>
          <w:tcPr>
            <w:tcW w:w="745" w:type="dxa"/>
            <w:shd w:val="clear" w:color="auto" w:fill="FFFFFF" w:themeFill="background1"/>
            <w:vAlign w:val="center"/>
          </w:tcPr>
          <w:p w14:paraId="1AE44128"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2,1</w:t>
            </w:r>
          </w:p>
        </w:tc>
      </w:tr>
      <w:tr w:rsidR="00FD7B0B" w:rsidRPr="00FD7B0B" w14:paraId="0448D156" w14:textId="77777777" w:rsidTr="001B3033">
        <w:tc>
          <w:tcPr>
            <w:tcW w:w="4980" w:type="dxa"/>
          </w:tcPr>
          <w:p w14:paraId="5B1847A0" w14:textId="77777777" w:rsidR="00EA17E9" w:rsidRPr="00FD7B0B" w:rsidRDefault="00EA17E9" w:rsidP="00EA17E9">
            <w:pPr>
              <w:contextualSpacing/>
              <w:rPr>
                <w:rFonts w:ascii="Times New Roman" w:eastAsia="Times New Roman" w:hAnsi="Times New Roman"/>
              </w:rPr>
            </w:pPr>
            <w:r w:rsidRPr="00FD7B0B">
              <w:rPr>
                <w:rFonts w:ascii="Times New Roman" w:eastAsia="Times New Roman" w:hAnsi="Times New Roman"/>
              </w:rPr>
              <w:t>Министерство спорта Архангельской области</w:t>
            </w:r>
          </w:p>
        </w:tc>
        <w:tc>
          <w:tcPr>
            <w:tcW w:w="1436" w:type="dxa"/>
            <w:vAlign w:val="center"/>
          </w:tcPr>
          <w:p w14:paraId="4D80AA21"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140,0</w:t>
            </w:r>
          </w:p>
        </w:tc>
        <w:tc>
          <w:tcPr>
            <w:tcW w:w="1435" w:type="dxa"/>
            <w:vAlign w:val="center"/>
          </w:tcPr>
          <w:p w14:paraId="5C0B8822" w14:textId="77777777" w:rsidR="00EA17E9" w:rsidRPr="00FD7B0B" w:rsidRDefault="00EA17E9" w:rsidP="00EA17E9">
            <w:pPr>
              <w:jc w:val="center"/>
              <w:rPr>
                <w:rFonts w:ascii="Times New Roman" w:eastAsia="Times New Roman" w:hAnsi="Times New Roman"/>
              </w:rPr>
            </w:pPr>
            <w:r w:rsidRPr="00FD7B0B">
              <w:rPr>
                <w:rFonts w:ascii="Times New Roman" w:eastAsia="Times New Roman" w:hAnsi="Times New Roman"/>
              </w:rPr>
              <w:t>140,0</w:t>
            </w:r>
          </w:p>
        </w:tc>
        <w:tc>
          <w:tcPr>
            <w:tcW w:w="954" w:type="dxa"/>
            <w:shd w:val="clear" w:color="auto" w:fill="FFFFFF" w:themeFill="background1"/>
          </w:tcPr>
          <w:p w14:paraId="41725984"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0,00</w:t>
            </w:r>
          </w:p>
        </w:tc>
        <w:tc>
          <w:tcPr>
            <w:tcW w:w="745" w:type="dxa"/>
            <w:shd w:val="clear" w:color="auto" w:fill="FFFFFF" w:themeFill="background1"/>
          </w:tcPr>
          <w:p w14:paraId="5AE0FCA3"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0,0</w:t>
            </w:r>
          </w:p>
        </w:tc>
      </w:tr>
    </w:tbl>
    <w:p w14:paraId="789374BB"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p>
    <w:p w14:paraId="4BF21561" w14:textId="62AE3D62" w:rsidR="00EA17E9" w:rsidRPr="00FD7B0B" w:rsidRDefault="00EA17E9" w:rsidP="00EA17E9">
      <w:pPr>
        <w:pStyle w:val="af"/>
        <w:ind w:firstLine="708"/>
        <w:jc w:val="both"/>
        <w:rPr>
          <w:rFonts w:ascii="Times New Roman" w:eastAsia="Times New Roman" w:hAnsi="Times New Roman" w:cstheme="minorBidi"/>
          <w:sz w:val="28"/>
          <w:szCs w:val="28"/>
          <w:lang w:eastAsia="ru-RU"/>
        </w:rPr>
      </w:pPr>
      <w:r w:rsidRPr="00FD7B0B">
        <w:rPr>
          <w:rFonts w:ascii="Times New Roman" w:eastAsia="Times New Roman" w:hAnsi="Times New Roman" w:cs="Times New Roman"/>
          <w:sz w:val="28"/>
          <w:szCs w:val="28"/>
          <w:lang w:eastAsia="ru-RU"/>
        </w:rPr>
        <w:t>Уменьшение объемов финансирования на 58,5 млн.руб. или 2,1</w:t>
      </w:r>
      <w:r w:rsidR="001B3033"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 отмечается по </w:t>
      </w:r>
      <w:r w:rsidRPr="00FD7B0B">
        <w:rPr>
          <w:rFonts w:ascii="Times New Roman" w:eastAsia="Times New Roman" w:hAnsi="Times New Roman" w:cstheme="minorBidi"/>
          <w:sz w:val="28"/>
          <w:szCs w:val="28"/>
          <w:lang w:eastAsia="ru-RU"/>
        </w:rPr>
        <w:t>министерству культуры Архангельской области. Основное сокращение бюджетных ассигнований отмечается по сл</w:t>
      </w:r>
      <w:r w:rsidR="001B3033" w:rsidRPr="00FD7B0B">
        <w:rPr>
          <w:rFonts w:ascii="Times New Roman" w:eastAsia="Times New Roman" w:hAnsi="Times New Roman" w:cstheme="minorBidi"/>
          <w:sz w:val="28"/>
          <w:szCs w:val="28"/>
          <w:lang w:eastAsia="ru-RU"/>
        </w:rPr>
        <w:t>едующим направлениям расходов:</w:t>
      </w:r>
    </w:p>
    <w:p w14:paraId="212B165D" w14:textId="77777777" w:rsidR="00EA17E9" w:rsidRPr="00FD7B0B" w:rsidRDefault="00EA17E9" w:rsidP="00EA17E9">
      <w:pPr>
        <w:autoSpaceDE w:val="0"/>
        <w:autoSpaceDN w:val="0"/>
        <w:adjustRightInd w:val="0"/>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t>- на 9,0 млн.руб. сокращены субсидии бюджетам муниципальных районов, муниципальных округов и городских округов Архангельской области на оснащение детских школ искусств по видам искусств Архангельской области музыкальными инструментами, оборудованием и учебными материалами;</w:t>
      </w:r>
    </w:p>
    <w:p w14:paraId="0D05A563" w14:textId="77777777" w:rsidR="00EA17E9" w:rsidRPr="00FD7B0B" w:rsidRDefault="00EA17E9" w:rsidP="00EA17E9">
      <w:pPr>
        <w:autoSpaceDE w:val="0"/>
        <w:autoSpaceDN w:val="0"/>
        <w:adjustRightInd w:val="0"/>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t>- на 22,8 млн.руб. сокращены расходы, предусмотренные на реновацию учреждений отрасли культуры (средства были предусмотрены на капитальный ремонт здания библиотеки им. Н.А. Добролюбова);</w:t>
      </w:r>
    </w:p>
    <w:p w14:paraId="2CA671E6" w14:textId="77777777" w:rsidR="00EA17E9" w:rsidRPr="00FD7B0B" w:rsidRDefault="00EA17E9" w:rsidP="00EA17E9">
      <w:pPr>
        <w:autoSpaceDE w:val="0"/>
        <w:autoSpaceDN w:val="0"/>
        <w:adjustRightInd w:val="0"/>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t>-на 18,0 млн.руб.- сокращены субсидии на финансовое обеспечение мероприятий по капитальному ремонту объектов недвижимого имущества, включая разработку проектной документации объектов капитального строительства в целях их капитального ремонта.</w:t>
      </w:r>
    </w:p>
    <w:p w14:paraId="086C6178"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p>
    <w:p w14:paraId="40E3F510" w14:textId="397D0462"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Сопоставление объемов финансирования, утвержденных ГП № 04 сводной бюджетной росписью и бюджетных ассигнований, утвержденных законом «Об областном б</w:t>
      </w:r>
      <w:r w:rsidR="001B3033" w:rsidRPr="00FD7B0B">
        <w:rPr>
          <w:rFonts w:ascii="Times New Roman" w:eastAsia="Times New Roman" w:hAnsi="Times New Roman"/>
          <w:sz w:val="28"/>
          <w:szCs w:val="28"/>
          <w:lang w:eastAsia="ru-RU"/>
        </w:rPr>
        <w:t xml:space="preserve">юджете» представлено в таблице </w:t>
      </w:r>
      <w:r w:rsidR="00F745C4" w:rsidRPr="00FD7B0B">
        <w:rPr>
          <w:rFonts w:ascii="Times New Roman" w:eastAsia="Times New Roman" w:hAnsi="Times New Roman"/>
          <w:sz w:val="28"/>
          <w:szCs w:val="28"/>
          <w:lang w:eastAsia="ru-RU"/>
        </w:rPr>
        <w:t>109</w:t>
      </w:r>
      <w:r w:rsidRPr="00FD7B0B">
        <w:rPr>
          <w:rFonts w:ascii="Times New Roman" w:eastAsia="Times New Roman" w:hAnsi="Times New Roman"/>
          <w:sz w:val="28"/>
          <w:szCs w:val="28"/>
          <w:lang w:eastAsia="ru-RU"/>
        </w:rPr>
        <w:t>.</w:t>
      </w:r>
    </w:p>
    <w:p w14:paraId="043D30B2" w14:textId="77777777" w:rsidR="00EA17E9" w:rsidRPr="00FD7B0B" w:rsidRDefault="00EA17E9" w:rsidP="00EA17E9">
      <w:pPr>
        <w:spacing w:after="0" w:line="240" w:lineRule="auto"/>
        <w:ind w:firstLine="851"/>
        <w:contextualSpacing/>
        <w:jc w:val="both"/>
        <w:rPr>
          <w:rFonts w:ascii="Times New Roman" w:eastAsia="Times New Roman" w:hAnsi="Times New Roman"/>
          <w:sz w:val="28"/>
          <w:szCs w:val="28"/>
          <w:lang w:eastAsia="ru-RU"/>
        </w:rPr>
      </w:pPr>
    </w:p>
    <w:p w14:paraId="3A81D3E3" w14:textId="77777777" w:rsidR="00EA17E9" w:rsidRPr="00FD7B0B" w:rsidRDefault="00EA17E9" w:rsidP="001B3033">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109</w:t>
      </w:r>
      <w:r w:rsidRPr="00FD7B0B">
        <w:rPr>
          <w:rFonts w:ascii="Times New Roman" w:hAnsi="Times New Roman"/>
          <w:b w:val="0"/>
          <w:sz w:val="24"/>
          <w:szCs w:val="24"/>
        </w:rPr>
        <w:fldChar w:fldCharType="end"/>
      </w:r>
      <w:r w:rsidRPr="00FD7B0B">
        <w:rPr>
          <w:rFonts w:ascii="Times New Roman" w:hAnsi="Times New Roman"/>
          <w:b w:val="0"/>
          <w:sz w:val="24"/>
          <w:szCs w:val="24"/>
        </w:rPr>
        <w:t>. Сопоставление объемов финансирования, утвержденных ГП № 04 сводной бюджетной росписью и бюджетных ассигнований, утвержденных законом «Об областном бюджете», млн.руб.</w:t>
      </w:r>
    </w:p>
    <w:tbl>
      <w:tblPr>
        <w:tblStyle w:val="a7"/>
        <w:tblW w:w="9516"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980"/>
        <w:gridCol w:w="1843"/>
        <w:gridCol w:w="1418"/>
        <w:gridCol w:w="1275"/>
      </w:tblGrid>
      <w:tr w:rsidR="00FD7B0B" w:rsidRPr="00FD7B0B" w14:paraId="1CD527A8" w14:textId="77777777" w:rsidTr="001B3033">
        <w:trPr>
          <w:tblHeader/>
        </w:trPr>
        <w:tc>
          <w:tcPr>
            <w:tcW w:w="4980" w:type="dxa"/>
          </w:tcPr>
          <w:p w14:paraId="21AA8049"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Программа</w:t>
            </w:r>
          </w:p>
        </w:tc>
        <w:tc>
          <w:tcPr>
            <w:tcW w:w="1843" w:type="dxa"/>
          </w:tcPr>
          <w:p w14:paraId="25083BAD"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Показатели закона о бюджете на 31.12.2024</w:t>
            </w:r>
          </w:p>
        </w:tc>
        <w:tc>
          <w:tcPr>
            <w:tcW w:w="1418" w:type="dxa"/>
          </w:tcPr>
          <w:p w14:paraId="47E61671"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 xml:space="preserve">Показатели СБР на 31.12.2024 </w:t>
            </w:r>
          </w:p>
        </w:tc>
        <w:tc>
          <w:tcPr>
            <w:tcW w:w="1275" w:type="dxa"/>
          </w:tcPr>
          <w:p w14:paraId="60F7C889"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Отклонение (+/-)</w:t>
            </w:r>
          </w:p>
        </w:tc>
      </w:tr>
      <w:tr w:rsidR="00FD7B0B" w:rsidRPr="00FD7B0B" w14:paraId="0DDB37EA" w14:textId="77777777" w:rsidTr="001B3033">
        <w:tc>
          <w:tcPr>
            <w:tcW w:w="4980" w:type="dxa"/>
          </w:tcPr>
          <w:p w14:paraId="385F237C"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А</w:t>
            </w:r>
          </w:p>
        </w:tc>
        <w:tc>
          <w:tcPr>
            <w:tcW w:w="1843" w:type="dxa"/>
          </w:tcPr>
          <w:p w14:paraId="34E12284"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w:t>
            </w:r>
          </w:p>
        </w:tc>
        <w:tc>
          <w:tcPr>
            <w:tcW w:w="1418" w:type="dxa"/>
          </w:tcPr>
          <w:p w14:paraId="3BF5ECF5"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w:t>
            </w:r>
          </w:p>
        </w:tc>
        <w:tc>
          <w:tcPr>
            <w:tcW w:w="1275" w:type="dxa"/>
          </w:tcPr>
          <w:p w14:paraId="64904606"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3=2-1</w:t>
            </w:r>
          </w:p>
        </w:tc>
      </w:tr>
      <w:tr w:rsidR="00FD7B0B" w:rsidRPr="00FD7B0B" w14:paraId="0831BB4A" w14:textId="77777777" w:rsidTr="001B3033">
        <w:tc>
          <w:tcPr>
            <w:tcW w:w="4980" w:type="dxa"/>
            <w:shd w:val="clear" w:color="auto" w:fill="auto"/>
          </w:tcPr>
          <w:p w14:paraId="2DFCB66B"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«Культурная среда»</w:t>
            </w:r>
          </w:p>
        </w:tc>
        <w:tc>
          <w:tcPr>
            <w:tcW w:w="1843" w:type="dxa"/>
          </w:tcPr>
          <w:p w14:paraId="52EEF95E"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401,4</w:t>
            </w:r>
          </w:p>
        </w:tc>
        <w:tc>
          <w:tcPr>
            <w:tcW w:w="1418" w:type="dxa"/>
          </w:tcPr>
          <w:p w14:paraId="34E16477"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404,0</w:t>
            </w:r>
          </w:p>
        </w:tc>
        <w:tc>
          <w:tcPr>
            <w:tcW w:w="1275" w:type="dxa"/>
          </w:tcPr>
          <w:p w14:paraId="45D7F07D"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2,6</w:t>
            </w:r>
          </w:p>
        </w:tc>
      </w:tr>
      <w:tr w:rsidR="00FD7B0B" w:rsidRPr="00FD7B0B" w14:paraId="34A9CEB3" w14:textId="77777777" w:rsidTr="001B3033">
        <w:tc>
          <w:tcPr>
            <w:tcW w:w="4980" w:type="dxa"/>
            <w:shd w:val="clear" w:color="auto" w:fill="auto"/>
          </w:tcPr>
          <w:p w14:paraId="76EAAB1F"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«Творческие люди»</w:t>
            </w:r>
          </w:p>
        </w:tc>
        <w:tc>
          <w:tcPr>
            <w:tcW w:w="1843" w:type="dxa"/>
          </w:tcPr>
          <w:p w14:paraId="23B3A8AB"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1,6</w:t>
            </w:r>
          </w:p>
        </w:tc>
        <w:tc>
          <w:tcPr>
            <w:tcW w:w="1418" w:type="dxa"/>
          </w:tcPr>
          <w:p w14:paraId="3E5A6AE2"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1,6</w:t>
            </w:r>
          </w:p>
        </w:tc>
        <w:tc>
          <w:tcPr>
            <w:tcW w:w="1275" w:type="dxa"/>
          </w:tcPr>
          <w:p w14:paraId="2DC333DF"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0,0</w:t>
            </w:r>
          </w:p>
        </w:tc>
      </w:tr>
      <w:tr w:rsidR="00FD7B0B" w:rsidRPr="00FD7B0B" w14:paraId="65E21E29" w14:textId="77777777" w:rsidTr="001B3033">
        <w:tc>
          <w:tcPr>
            <w:tcW w:w="4980" w:type="dxa"/>
            <w:shd w:val="clear" w:color="auto" w:fill="auto"/>
          </w:tcPr>
          <w:p w14:paraId="716B76F3"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«Цифровая культура»</w:t>
            </w:r>
          </w:p>
        </w:tc>
        <w:tc>
          <w:tcPr>
            <w:tcW w:w="1843" w:type="dxa"/>
          </w:tcPr>
          <w:p w14:paraId="42BF44E2"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1,6</w:t>
            </w:r>
          </w:p>
        </w:tc>
        <w:tc>
          <w:tcPr>
            <w:tcW w:w="1418" w:type="dxa"/>
          </w:tcPr>
          <w:p w14:paraId="3EC26EA3"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1,6</w:t>
            </w:r>
          </w:p>
        </w:tc>
        <w:tc>
          <w:tcPr>
            <w:tcW w:w="1275" w:type="dxa"/>
          </w:tcPr>
          <w:p w14:paraId="441B4991"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0,0</w:t>
            </w:r>
          </w:p>
        </w:tc>
      </w:tr>
      <w:tr w:rsidR="00FD7B0B" w:rsidRPr="00FD7B0B" w14:paraId="1EE6B87C" w14:textId="77777777" w:rsidTr="001B3033">
        <w:tc>
          <w:tcPr>
            <w:tcW w:w="4980" w:type="dxa"/>
            <w:shd w:val="clear" w:color="auto" w:fill="auto"/>
          </w:tcPr>
          <w:p w14:paraId="2EABE69C"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«Развитие искусства и творчества»</w:t>
            </w:r>
          </w:p>
        </w:tc>
        <w:tc>
          <w:tcPr>
            <w:tcW w:w="1843" w:type="dxa"/>
          </w:tcPr>
          <w:p w14:paraId="13BAAEBD"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25,0</w:t>
            </w:r>
          </w:p>
        </w:tc>
        <w:tc>
          <w:tcPr>
            <w:tcW w:w="1418" w:type="dxa"/>
          </w:tcPr>
          <w:p w14:paraId="7BCE47BF"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24,9</w:t>
            </w:r>
          </w:p>
        </w:tc>
        <w:tc>
          <w:tcPr>
            <w:tcW w:w="1275" w:type="dxa"/>
          </w:tcPr>
          <w:p w14:paraId="33A36858"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-0,1</w:t>
            </w:r>
          </w:p>
        </w:tc>
      </w:tr>
      <w:tr w:rsidR="00FD7B0B" w:rsidRPr="00FD7B0B" w14:paraId="0DD39F02" w14:textId="77777777" w:rsidTr="001B3033">
        <w:tc>
          <w:tcPr>
            <w:tcW w:w="4980" w:type="dxa"/>
            <w:shd w:val="clear" w:color="auto" w:fill="auto"/>
          </w:tcPr>
          <w:p w14:paraId="14402F96"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Региональный проект «Развитие туристической инфраструктуры»</w:t>
            </w:r>
          </w:p>
        </w:tc>
        <w:tc>
          <w:tcPr>
            <w:tcW w:w="1843" w:type="dxa"/>
          </w:tcPr>
          <w:p w14:paraId="7D6E4C5B"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216,7</w:t>
            </w:r>
          </w:p>
        </w:tc>
        <w:tc>
          <w:tcPr>
            <w:tcW w:w="1418" w:type="dxa"/>
          </w:tcPr>
          <w:p w14:paraId="0B74281D"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53,2</w:t>
            </w:r>
          </w:p>
        </w:tc>
        <w:tc>
          <w:tcPr>
            <w:tcW w:w="1275" w:type="dxa"/>
          </w:tcPr>
          <w:p w14:paraId="02338721"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-163,5</w:t>
            </w:r>
          </w:p>
        </w:tc>
      </w:tr>
      <w:tr w:rsidR="00FD7B0B" w:rsidRPr="00FD7B0B" w14:paraId="57410038" w14:textId="77777777" w:rsidTr="001B3033">
        <w:tc>
          <w:tcPr>
            <w:tcW w:w="4980" w:type="dxa"/>
            <w:shd w:val="clear" w:color="auto" w:fill="auto"/>
          </w:tcPr>
          <w:p w14:paraId="0A87D50B" w14:textId="77777777" w:rsidR="00EA17E9" w:rsidRPr="00FD7B0B" w:rsidRDefault="00EA17E9" w:rsidP="00EA17E9">
            <w:pPr>
              <w:rPr>
                <w:rFonts w:ascii="Times New Roman" w:hAnsi="Times New Roman"/>
              </w:rPr>
            </w:pPr>
            <w:r w:rsidRPr="00FD7B0B">
              <w:rPr>
                <w:rFonts w:ascii="Times New Roman" w:hAnsi="Times New Roman"/>
              </w:rPr>
              <w:lastRenderedPageBreak/>
              <w:t>Комплекс процессных мероприятий «Культура Русского Севера»</w:t>
            </w:r>
          </w:p>
        </w:tc>
        <w:tc>
          <w:tcPr>
            <w:tcW w:w="1843" w:type="dxa"/>
          </w:tcPr>
          <w:p w14:paraId="1804ABCA"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2 605,7</w:t>
            </w:r>
          </w:p>
        </w:tc>
        <w:tc>
          <w:tcPr>
            <w:tcW w:w="1418" w:type="dxa"/>
          </w:tcPr>
          <w:p w14:paraId="063F1EFB"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2 338,0</w:t>
            </w:r>
          </w:p>
        </w:tc>
        <w:tc>
          <w:tcPr>
            <w:tcW w:w="1275" w:type="dxa"/>
          </w:tcPr>
          <w:p w14:paraId="3E94384F"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-267,7</w:t>
            </w:r>
          </w:p>
        </w:tc>
      </w:tr>
      <w:tr w:rsidR="00FD7B0B" w:rsidRPr="00FD7B0B" w14:paraId="36D80614" w14:textId="77777777" w:rsidTr="001B3033">
        <w:tc>
          <w:tcPr>
            <w:tcW w:w="4980" w:type="dxa"/>
          </w:tcPr>
          <w:p w14:paraId="73B25628" w14:textId="77777777" w:rsidR="00EA17E9" w:rsidRPr="00FD7B0B" w:rsidRDefault="00EA17E9" w:rsidP="00EA17E9">
            <w:pPr>
              <w:contextualSpacing/>
              <w:rPr>
                <w:rFonts w:ascii="Times New Roman" w:eastAsia="Times New Roman" w:hAnsi="Times New Roman"/>
              </w:rPr>
            </w:pPr>
            <w:r w:rsidRPr="00FD7B0B">
              <w:rPr>
                <w:rFonts w:ascii="Times New Roman" w:hAnsi="Times New Roman"/>
              </w:rPr>
              <w:t>Комплекс процессных мероприятий «Сохранение объектов культурного наследия»</w:t>
            </w:r>
          </w:p>
        </w:tc>
        <w:tc>
          <w:tcPr>
            <w:tcW w:w="1843" w:type="dxa"/>
          </w:tcPr>
          <w:p w14:paraId="1BA0395D"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103,2</w:t>
            </w:r>
          </w:p>
        </w:tc>
        <w:tc>
          <w:tcPr>
            <w:tcW w:w="1418" w:type="dxa"/>
          </w:tcPr>
          <w:p w14:paraId="6CC56FF0"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101,2</w:t>
            </w:r>
          </w:p>
        </w:tc>
        <w:tc>
          <w:tcPr>
            <w:tcW w:w="1275" w:type="dxa"/>
          </w:tcPr>
          <w:p w14:paraId="6D642B24"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-2,0</w:t>
            </w:r>
          </w:p>
        </w:tc>
      </w:tr>
      <w:tr w:rsidR="00FD7B0B" w:rsidRPr="00FD7B0B" w14:paraId="47A3E8C9" w14:textId="77777777" w:rsidTr="001B3033">
        <w:tc>
          <w:tcPr>
            <w:tcW w:w="4980" w:type="dxa"/>
          </w:tcPr>
          <w:p w14:paraId="186E0CCD" w14:textId="77777777" w:rsidR="00EA17E9" w:rsidRPr="00FD7B0B" w:rsidRDefault="00EA17E9" w:rsidP="00EA17E9">
            <w:pPr>
              <w:contextualSpacing/>
              <w:jc w:val="both"/>
              <w:rPr>
                <w:rFonts w:ascii="Times New Roman" w:eastAsia="Times New Roman" w:hAnsi="Times New Roman"/>
              </w:rPr>
            </w:pPr>
            <w:r w:rsidRPr="00FD7B0B">
              <w:rPr>
                <w:rFonts w:ascii="Times New Roman" w:eastAsia="Times New Roman" w:hAnsi="Times New Roman"/>
              </w:rPr>
              <w:t>Всего по госпрограмме</w:t>
            </w:r>
          </w:p>
        </w:tc>
        <w:tc>
          <w:tcPr>
            <w:tcW w:w="1843" w:type="dxa"/>
          </w:tcPr>
          <w:p w14:paraId="50EDDEA7"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3 355,3</w:t>
            </w:r>
          </w:p>
        </w:tc>
        <w:tc>
          <w:tcPr>
            <w:tcW w:w="1418" w:type="dxa"/>
          </w:tcPr>
          <w:p w14:paraId="50837FC3" w14:textId="77777777" w:rsidR="00EA17E9" w:rsidRPr="00FD7B0B" w:rsidRDefault="00EA17E9" w:rsidP="00EA17E9">
            <w:pPr>
              <w:tabs>
                <w:tab w:val="left" w:pos="480"/>
                <w:tab w:val="center" w:pos="955"/>
              </w:tabs>
              <w:contextualSpacing/>
              <w:jc w:val="center"/>
              <w:rPr>
                <w:rFonts w:ascii="Times New Roman" w:eastAsia="Times New Roman" w:hAnsi="Times New Roman"/>
              </w:rPr>
            </w:pPr>
            <w:r w:rsidRPr="00FD7B0B">
              <w:rPr>
                <w:rFonts w:ascii="Times New Roman" w:eastAsia="Times New Roman" w:hAnsi="Times New Roman"/>
              </w:rPr>
              <w:t>2 924,5</w:t>
            </w:r>
          </w:p>
        </w:tc>
        <w:tc>
          <w:tcPr>
            <w:tcW w:w="1275" w:type="dxa"/>
          </w:tcPr>
          <w:p w14:paraId="5FC94689"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-430,8</w:t>
            </w:r>
          </w:p>
        </w:tc>
      </w:tr>
    </w:tbl>
    <w:p w14:paraId="762639E3"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p>
    <w:p w14:paraId="3387B59F"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течение 2024 года изменения в сводную бюджетную роспись вносились на основании постановлений Правительства Архангельской области. По состоянию на 31.12.2024 уточненной сводной бюджетной росписью областного бюджета на 2024 год расходы на реализацию мероприятий ГП № 04 утверждены в общей сумме 2 924,5 млн.руб., что на 430,8 млн.руб. или на 12,8 % ниже параметров, утвержденных областным законом «Об областном бюджете» в редакции, действующей на 31.12.2024. Указанное отклонение обусловлено следующим:</w:t>
      </w:r>
    </w:p>
    <w:p w14:paraId="784F6DD9"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в сводной бюджетной росписи по состоянию на 31.12.2024 исключены бюджетные ассигнования в размере 140,0 млн.руб., предусмотренные на создание модульных некапитальных средств размещения при реализации инвестиционных проектов (субсидия предусматривалась ООО «Виктория» на финансовое обеспечение части затрат на создание модульных некапитальных средств размещения) в связи с отказом ООО «Виктория» от заключения соглашения на предоставление субсидий;</w:t>
      </w:r>
    </w:p>
    <w:p w14:paraId="1A361CEA" w14:textId="28A07685"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на 23,1 млн.руб. сокращены бюджетные ассигнования, предусмотренные на поддержку и продвижение событийных мероприятий в туристских зонах Архангельской области в рамках единой субсидии на достижение показателей государственной программы Российской Федерации «Развитие туризма» по причине отзыва лимитов бюджетных обязательств федерального бюджета (уведомление министерства финансов Российской Федерации от 27.03.2024);</w:t>
      </w:r>
    </w:p>
    <w:p w14:paraId="28FFF2E2"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на 235,5 млн.руб. сокращены бюджетные ассигнования, предусмотренные на строительство и реконструкцию объектов капитального строительства государственной собственности Архангельской области, а также субсидии бюджетам муниципальных районов, муниципальных округов, городских округов, городских и сельских поселений Архангельской области на софинансирование капитальных вложений в объекты муниципальной собственности муниципальных образований Архангельской области.</w:t>
      </w:r>
    </w:p>
    <w:p w14:paraId="7E159294" w14:textId="4B462865" w:rsidR="00EA17E9" w:rsidRPr="00FD7B0B" w:rsidRDefault="00EA17E9" w:rsidP="00EA17E9">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При этом необходимо отметить, по состоянию на 01.04.2024 государственная программа не была приведена в соответствие с Законом Архангельской области от 15.12.2023 N 39-4-ОЗ «Об областном бюджете на 2024 год и на плановый период 2025 и 2026 годов», что является нарушением пункта 29 Положения </w:t>
      </w:r>
      <w:r w:rsidR="00CE7961" w:rsidRPr="00FD7B0B">
        <w:rPr>
          <w:rFonts w:ascii="Times New Roman" w:eastAsia="Times New Roman" w:hAnsi="Times New Roman"/>
          <w:sz w:val="28"/>
          <w:szCs w:val="28"/>
          <w:lang w:eastAsia="ru-RU"/>
        </w:rPr>
        <w:t>№</w:t>
      </w:r>
      <w:r w:rsidRPr="00FD7B0B">
        <w:rPr>
          <w:rFonts w:ascii="Times New Roman" w:eastAsia="Times New Roman" w:hAnsi="Times New Roman"/>
          <w:sz w:val="28"/>
          <w:szCs w:val="28"/>
          <w:lang w:eastAsia="ru-RU"/>
        </w:rPr>
        <w:t xml:space="preserve"> 793-пп.</w:t>
      </w:r>
    </w:p>
    <w:p w14:paraId="1CA526BD" w14:textId="1B2DAD36"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Расходы областного бюджета на реализацию госпрограммы за 2024 год, а также параметры, утвержденные на 2024 год в разрезе главных распорядителей и видов ра</w:t>
      </w:r>
      <w:r w:rsidR="00CE7961" w:rsidRPr="00FD7B0B">
        <w:rPr>
          <w:rFonts w:ascii="Times New Roman" w:eastAsia="Times New Roman" w:hAnsi="Times New Roman"/>
          <w:sz w:val="28"/>
          <w:szCs w:val="28"/>
          <w:lang w:eastAsia="ru-RU"/>
        </w:rPr>
        <w:t xml:space="preserve">сходов, представлены в таблице </w:t>
      </w:r>
      <w:r w:rsidR="00F745C4" w:rsidRPr="00FD7B0B">
        <w:rPr>
          <w:rFonts w:ascii="Times New Roman" w:eastAsia="Times New Roman" w:hAnsi="Times New Roman"/>
          <w:sz w:val="28"/>
          <w:szCs w:val="28"/>
          <w:lang w:eastAsia="ru-RU"/>
        </w:rPr>
        <w:t>110</w:t>
      </w:r>
      <w:r w:rsidRPr="00FD7B0B">
        <w:rPr>
          <w:rFonts w:ascii="Times New Roman" w:eastAsia="Times New Roman" w:hAnsi="Times New Roman"/>
          <w:sz w:val="28"/>
          <w:szCs w:val="28"/>
          <w:lang w:eastAsia="ru-RU"/>
        </w:rPr>
        <w:t>.</w:t>
      </w:r>
    </w:p>
    <w:p w14:paraId="06CBD497" w14:textId="77777777" w:rsidR="00EA17E9" w:rsidRPr="00FD7B0B" w:rsidRDefault="00EA17E9" w:rsidP="00EA17E9">
      <w:pPr>
        <w:spacing w:after="0" w:line="240" w:lineRule="auto"/>
        <w:ind w:firstLine="851"/>
        <w:contextualSpacing/>
        <w:jc w:val="both"/>
        <w:rPr>
          <w:rFonts w:ascii="Times New Roman" w:eastAsia="Times New Roman" w:hAnsi="Times New Roman"/>
          <w:sz w:val="24"/>
          <w:szCs w:val="24"/>
          <w:highlight w:val="cyan"/>
          <w:lang w:eastAsia="ru-RU"/>
        </w:rPr>
      </w:pPr>
    </w:p>
    <w:p w14:paraId="54A7539C" w14:textId="77777777" w:rsidR="00EA17E9" w:rsidRPr="00FD7B0B" w:rsidRDefault="00EA17E9" w:rsidP="00EA17E9">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110</w:t>
      </w:r>
      <w:r w:rsidRPr="00FD7B0B">
        <w:rPr>
          <w:rFonts w:ascii="Times New Roman" w:hAnsi="Times New Roman"/>
          <w:b w:val="0"/>
          <w:sz w:val="24"/>
          <w:szCs w:val="24"/>
        </w:rPr>
        <w:fldChar w:fldCharType="end"/>
      </w:r>
      <w:r w:rsidRPr="00FD7B0B">
        <w:rPr>
          <w:rFonts w:ascii="Times New Roman" w:hAnsi="Times New Roman"/>
          <w:b w:val="0"/>
          <w:sz w:val="24"/>
          <w:szCs w:val="24"/>
        </w:rPr>
        <w:t>. Основные параметры утвержденных и исполненных расходов из областного бюджета за 2024 год на реализацию мероприятий ГП № 04</w:t>
      </w:r>
    </w:p>
    <w:tbl>
      <w:tblPr>
        <w:tblW w:w="9781" w:type="dxa"/>
        <w:tblInd w:w="-15" w:type="dxa"/>
        <w:tblLook w:val="04A0" w:firstRow="1" w:lastRow="0" w:firstColumn="1" w:lastColumn="0" w:noHBand="0" w:noVBand="1"/>
      </w:tblPr>
      <w:tblGrid>
        <w:gridCol w:w="4111"/>
        <w:gridCol w:w="966"/>
        <w:gridCol w:w="1160"/>
        <w:gridCol w:w="1117"/>
        <w:gridCol w:w="1151"/>
        <w:gridCol w:w="1276"/>
      </w:tblGrid>
      <w:tr w:rsidR="00FD7B0B" w:rsidRPr="00FD7B0B" w14:paraId="6EC2B096" w14:textId="77777777" w:rsidTr="00CE7961">
        <w:trPr>
          <w:trHeight w:val="132"/>
          <w:tblHeader/>
        </w:trPr>
        <w:tc>
          <w:tcPr>
            <w:tcW w:w="4111"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323F6EB3"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Главный распорядитель, группы видов расходов</w:t>
            </w:r>
          </w:p>
        </w:tc>
        <w:tc>
          <w:tcPr>
            <w:tcW w:w="966"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686998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Код вида расходов</w:t>
            </w:r>
          </w:p>
        </w:tc>
        <w:tc>
          <w:tcPr>
            <w:tcW w:w="2277" w:type="dxa"/>
            <w:gridSpan w:val="2"/>
            <w:tcBorders>
              <w:top w:val="double" w:sz="4" w:space="0" w:color="auto"/>
              <w:left w:val="nil"/>
              <w:bottom w:val="single" w:sz="4" w:space="0" w:color="auto"/>
              <w:right w:val="single" w:sz="4" w:space="0" w:color="auto"/>
            </w:tcBorders>
            <w:shd w:val="clear" w:color="auto" w:fill="auto"/>
            <w:vAlign w:val="center"/>
            <w:hideMark/>
          </w:tcPr>
          <w:p w14:paraId="34BBA07D" w14:textId="01CB2FF4" w:rsidR="00EA17E9" w:rsidRPr="00FD7B0B" w:rsidRDefault="00CE7961"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 2024 года, млн.</w:t>
            </w:r>
            <w:r w:rsidR="00EA17E9" w:rsidRPr="00FD7B0B">
              <w:rPr>
                <w:rFonts w:ascii="Times New Roman" w:eastAsia="Times New Roman" w:hAnsi="Times New Roman" w:cs="Times New Roman"/>
                <w:sz w:val="18"/>
                <w:szCs w:val="18"/>
                <w:lang w:eastAsia="ru-RU"/>
              </w:rPr>
              <w:t>руб.</w:t>
            </w:r>
          </w:p>
        </w:tc>
        <w:tc>
          <w:tcPr>
            <w:tcW w:w="2427" w:type="dxa"/>
            <w:gridSpan w:val="2"/>
            <w:tcBorders>
              <w:top w:val="double" w:sz="4" w:space="0" w:color="auto"/>
              <w:left w:val="nil"/>
              <w:bottom w:val="single" w:sz="4" w:space="0" w:color="auto"/>
              <w:right w:val="double" w:sz="4" w:space="0" w:color="auto"/>
            </w:tcBorders>
            <w:shd w:val="clear" w:color="auto" w:fill="auto"/>
            <w:vAlign w:val="center"/>
            <w:hideMark/>
          </w:tcPr>
          <w:p w14:paraId="1D089ED9"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Исполнение на 31.12.2024</w:t>
            </w:r>
          </w:p>
        </w:tc>
      </w:tr>
      <w:tr w:rsidR="00FD7B0B" w:rsidRPr="00FD7B0B" w14:paraId="68FEE1EF" w14:textId="77777777" w:rsidTr="00CE7961">
        <w:trPr>
          <w:trHeight w:val="1191"/>
          <w:tblHeader/>
        </w:trPr>
        <w:tc>
          <w:tcPr>
            <w:tcW w:w="4111" w:type="dxa"/>
            <w:vMerge/>
            <w:tcBorders>
              <w:top w:val="single" w:sz="4" w:space="0" w:color="auto"/>
              <w:left w:val="double" w:sz="4" w:space="0" w:color="auto"/>
              <w:bottom w:val="single" w:sz="4" w:space="0" w:color="auto"/>
              <w:right w:val="single" w:sz="4" w:space="0" w:color="auto"/>
            </w:tcBorders>
            <w:vAlign w:val="center"/>
            <w:hideMark/>
          </w:tcPr>
          <w:p w14:paraId="3DFD6ED1"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3E911960"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p>
        </w:tc>
        <w:tc>
          <w:tcPr>
            <w:tcW w:w="1160" w:type="dxa"/>
            <w:tcBorders>
              <w:top w:val="nil"/>
              <w:left w:val="nil"/>
              <w:bottom w:val="single" w:sz="4" w:space="0" w:color="auto"/>
              <w:right w:val="single" w:sz="4" w:space="0" w:color="auto"/>
            </w:tcBorders>
            <w:shd w:val="clear" w:color="auto" w:fill="auto"/>
            <w:vAlign w:val="center"/>
            <w:hideMark/>
          </w:tcPr>
          <w:p w14:paraId="5F873C5C"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Утверждено на год законом о бюджете</w:t>
            </w:r>
          </w:p>
        </w:tc>
        <w:tc>
          <w:tcPr>
            <w:tcW w:w="1117" w:type="dxa"/>
            <w:tcBorders>
              <w:top w:val="nil"/>
              <w:left w:val="nil"/>
              <w:bottom w:val="single" w:sz="4" w:space="0" w:color="auto"/>
              <w:right w:val="single" w:sz="4" w:space="0" w:color="auto"/>
            </w:tcBorders>
            <w:shd w:val="clear" w:color="auto" w:fill="auto"/>
            <w:vAlign w:val="center"/>
            <w:hideMark/>
          </w:tcPr>
          <w:p w14:paraId="62237002"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Сводная бюджетная роспись на 2024 год</w:t>
            </w:r>
          </w:p>
        </w:tc>
        <w:tc>
          <w:tcPr>
            <w:tcW w:w="1151" w:type="dxa"/>
            <w:tcBorders>
              <w:top w:val="nil"/>
              <w:left w:val="nil"/>
              <w:bottom w:val="single" w:sz="4" w:space="0" w:color="auto"/>
              <w:right w:val="single" w:sz="4" w:space="0" w:color="auto"/>
            </w:tcBorders>
            <w:shd w:val="clear" w:color="auto" w:fill="auto"/>
            <w:vAlign w:val="center"/>
            <w:hideMark/>
          </w:tcPr>
          <w:p w14:paraId="048CEDB9"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 на 2024 год, млн.руб.</w:t>
            </w:r>
          </w:p>
        </w:tc>
        <w:tc>
          <w:tcPr>
            <w:tcW w:w="1276" w:type="dxa"/>
            <w:tcBorders>
              <w:top w:val="nil"/>
              <w:left w:val="nil"/>
              <w:bottom w:val="single" w:sz="4" w:space="0" w:color="auto"/>
              <w:right w:val="double" w:sz="4" w:space="0" w:color="auto"/>
            </w:tcBorders>
            <w:shd w:val="clear" w:color="auto" w:fill="auto"/>
            <w:vAlign w:val="center"/>
            <w:hideMark/>
          </w:tcPr>
          <w:p w14:paraId="2D888263"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 % к уточненной сводной бюджетной росписи на год</w:t>
            </w:r>
          </w:p>
        </w:tc>
      </w:tr>
      <w:tr w:rsidR="00FD7B0B" w:rsidRPr="00FD7B0B" w14:paraId="3C920061" w14:textId="77777777" w:rsidTr="00CE7961">
        <w:trPr>
          <w:trHeight w:val="357"/>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152E8317"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Министерство строительства и архитектуры Архангельской области</w:t>
            </w:r>
          </w:p>
        </w:tc>
        <w:tc>
          <w:tcPr>
            <w:tcW w:w="966" w:type="dxa"/>
            <w:tcBorders>
              <w:top w:val="nil"/>
              <w:left w:val="nil"/>
              <w:bottom w:val="single" w:sz="4" w:space="0" w:color="auto"/>
              <w:right w:val="single" w:sz="4" w:space="0" w:color="auto"/>
            </w:tcBorders>
            <w:shd w:val="clear" w:color="auto" w:fill="auto"/>
            <w:vAlign w:val="center"/>
            <w:hideMark/>
          </w:tcPr>
          <w:p w14:paraId="3467C719"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160" w:type="dxa"/>
            <w:tcBorders>
              <w:top w:val="nil"/>
              <w:left w:val="nil"/>
              <w:bottom w:val="single" w:sz="4" w:space="0" w:color="auto"/>
              <w:right w:val="single" w:sz="4" w:space="0" w:color="auto"/>
            </w:tcBorders>
            <w:shd w:val="clear" w:color="auto" w:fill="auto"/>
            <w:vAlign w:val="center"/>
          </w:tcPr>
          <w:p w14:paraId="0C4DD756"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350,5</w:t>
            </w:r>
          </w:p>
        </w:tc>
        <w:tc>
          <w:tcPr>
            <w:tcW w:w="1117" w:type="dxa"/>
            <w:tcBorders>
              <w:top w:val="nil"/>
              <w:left w:val="nil"/>
              <w:bottom w:val="single" w:sz="4" w:space="0" w:color="auto"/>
              <w:right w:val="single" w:sz="4" w:space="0" w:color="auto"/>
            </w:tcBorders>
            <w:shd w:val="clear" w:color="auto" w:fill="auto"/>
            <w:vAlign w:val="center"/>
          </w:tcPr>
          <w:p w14:paraId="214ABC23"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96,9</w:t>
            </w:r>
          </w:p>
        </w:tc>
        <w:tc>
          <w:tcPr>
            <w:tcW w:w="1151" w:type="dxa"/>
            <w:tcBorders>
              <w:top w:val="nil"/>
              <w:left w:val="nil"/>
              <w:bottom w:val="single" w:sz="4" w:space="0" w:color="auto"/>
              <w:right w:val="single" w:sz="4" w:space="0" w:color="auto"/>
            </w:tcBorders>
            <w:shd w:val="clear" w:color="auto" w:fill="auto"/>
            <w:vAlign w:val="center"/>
          </w:tcPr>
          <w:p w14:paraId="4B203F8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96,9</w:t>
            </w:r>
          </w:p>
        </w:tc>
        <w:tc>
          <w:tcPr>
            <w:tcW w:w="1276" w:type="dxa"/>
            <w:tcBorders>
              <w:top w:val="nil"/>
              <w:left w:val="nil"/>
              <w:bottom w:val="single" w:sz="4" w:space="0" w:color="auto"/>
              <w:right w:val="double" w:sz="4" w:space="0" w:color="auto"/>
            </w:tcBorders>
            <w:shd w:val="clear" w:color="auto" w:fill="auto"/>
            <w:vAlign w:val="center"/>
            <w:hideMark/>
          </w:tcPr>
          <w:p w14:paraId="2F326D25"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41192B29" w14:textId="77777777" w:rsidTr="00CE7961">
        <w:trPr>
          <w:trHeight w:val="80"/>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48255E35"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Бюджетные инвестиции</w:t>
            </w:r>
          </w:p>
        </w:tc>
        <w:tc>
          <w:tcPr>
            <w:tcW w:w="966" w:type="dxa"/>
            <w:tcBorders>
              <w:top w:val="nil"/>
              <w:left w:val="nil"/>
              <w:bottom w:val="single" w:sz="4" w:space="0" w:color="auto"/>
              <w:right w:val="single" w:sz="4" w:space="0" w:color="auto"/>
            </w:tcBorders>
            <w:shd w:val="clear" w:color="auto" w:fill="auto"/>
            <w:vAlign w:val="center"/>
            <w:hideMark/>
          </w:tcPr>
          <w:p w14:paraId="5C9BF058"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410</w:t>
            </w:r>
          </w:p>
        </w:tc>
        <w:tc>
          <w:tcPr>
            <w:tcW w:w="1160" w:type="dxa"/>
            <w:tcBorders>
              <w:top w:val="nil"/>
              <w:left w:val="nil"/>
              <w:bottom w:val="single" w:sz="4" w:space="0" w:color="auto"/>
              <w:right w:val="single" w:sz="4" w:space="0" w:color="auto"/>
            </w:tcBorders>
            <w:shd w:val="clear" w:color="auto" w:fill="auto"/>
            <w:vAlign w:val="center"/>
          </w:tcPr>
          <w:p w14:paraId="656038AF"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168,6</w:t>
            </w:r>
          </w:p>
        </w:tc>
        <w:tc>
          <w:tcPr>
            <w:tcW w:w="1117" w:type="dxa"/>
            <w:tcBorders>
              <w:top w:val="nil"/>
              <w:left w:val="nil"/>
              <w:bottom w:val="single" w:sz="4" w:space="0" w:color="auto"/>
              <w:right w:val="single" w:sz="4" w:space="0" w:color="auto"/>
            </w:tcBorders>
            <w:shd w:val="clear" w:color="auto" w:fill="auto"/>
            <w:vAlign w:val="center"/>
          </w:tcPr>
          <w:p w14:paraId="376B6DD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28,4</w:t>
            </w:r>
          </w:p>
        </w:tc>
        <w:tc>
          <w:tcPr>
            <w:tcW w:w="1151" w:type="dxa"/>
            <w:tcBorders>
              <w:top w:val="nil"/>
              <w:left w:val="nil"/>
              <w:bottom w:val="single" w:sz="4" w:space="0" w:color="auto"/>
              <w:right w:val="single" w:sz="4" w:space="0" w:color="auto"/>
            </w:tcBorders>
            <w:shd w:val="clear" w:color="auto" w:fill="auto"/>
            <w:vAlign w:val="center"/>
          </w:tcPr>
          <w:p w14:paraId="2F608F0B"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28,4</w:t>
            </w:r>
          </w:p>
        </w:tc>
        <w:tc>
          <w:tcPr>
            <w:tcW w:w="1276" w:type="dxa"/>
            <w:tcBorders>
              <w:top w:val="nil"/>
              <w:left w:val="nil"/>
              <w:bottom w:val="single" w:sz="4" w:space="0" w:color="auto"/>
              <w:right w:val="double" w:sz="4" w:space="0" w:color="auto"/>
            </w:tcBorders>
            <w:shd w:val="clear" w:color="auto" w:fill="auto"/>
            <w:vAlign w:val="center"/>
          </w:tcPr>
          <w:p w14:paraId="265C619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F44C641" w14:textId="77777777" w:rsidTr="00CE7961">
        <w:trPr>
          <w:trHeight w:val="140"/>
        </w:trPr>
        <w:tc>
          <w:tcPr>
            <w:tcW w:w="4111" w:type="dxa"/>
            <w:tcBorders>
              <w:top w:val="nil"/>
              <w:left w:val="double" w:sz="4" w:space="0" w:color="auto"/>
              <w:bottom w:val="single" w:sz="4" w:space="0" w:color="auto"/>
              <w:right w:val="single" w:sz="4" w:space="0" w:color="auto"/>
            </w:tcBorders>
            <w:shd w:val="clear" w:color="000000" w:fill="FFFFFF"/>
            <w:vAlign w:val="center"/>
            <w:hideMark/>
          </w:tcPr>
          <w:p w14:paraId="7D99920B"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w:t>
            </w:r>
          </w:p>
        </w:tc>
        <w:tc>
          <w:tcPr>
            <w:tcW w:w="966" w:type="dxa"/>
            <w:tcBorders>
              <w:top w:val="nil"/>
              <w:left w:val="nil"/>
              <w:bottom w:val="single" w:sz="4" w:space="0" w:color="auto"/>
              <w:right w:val="single" w:sz="4" w:space="0" w:color="auto"/>
            </w:tcBorders>
            <w:shd w:val="clear" w:color="auto" w:fill="auto"/>
            <w:vAlign w:val="center"/>
            <w:hideMark/>
          </w:tcPr>
          <w:p w14:paraId="07849B26"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520</w:t>
            </w:r>
          </w:p>
        </w:tc>
        <w:tc>
          <w:tcPr>
            <w:tcW w:w="1160" w:type="dxa"/>
            <w:tcBorders>
              <w:top w:val="nil"/>
              <w:left w:val="nil"/>
              <w:bottom w:val="single" w:sz="4" w:space="0" w:color="auto"/>
              <w:right w:val="single" w:sz="4" w:space="0" w:color="auto"/>
            </w:tcBorders>
            <w:shd w:val="clear" w:color="auto" w:fill="auto"/>
            <w:vAlign w:val="center"/>
          </w:tcPr>
          <w:p w14:paraId="0540AAB2"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181,9</w:t>
            </w:r>
          </w:p>
        </w:tc>
        <w:tc>
          <w:tcPr>
            <w:tcW w:w="1117" w:type="dxa"/>
            <w:tcBorders>
              <w:top w:val="nil"/>
              <w:left w:val="nil"/>
              <w:bottom w:val="single" w:sz="4" w:space="0" w:color="auto"/>
              <w:right w:val="single" w:sz="4" w:space="0" w:color="auto"/>
            </w:tcBorders>
            <w:shd w:val="clear" w:color="auto" w:fill="auto"/>
            <w:vAlign w:val="center"/>
          </w:tcPr>
          <w:p w14:paraId="1CE11062"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68,5</w:t>
            </w:r>
          </w:p>
        </w:tc>
        <w:tc>
          <w:tcPr>
            <w:tcW w:w="1151" w:type="dxa"/>
            <w:tcBorders>
              <w:top w:val="nil"/>
              <w:left w:val="nil"/>
              <w:bottom w:val="single" w:sz="4" w:space="0" w:color="auto"/>
              <w:right w:val="single" w:sz="4" w:space="0" w:color="auto"/>
            </w:tcBorders>
            <w:shd w:val="clear" w:color="auto" w:fill="auto"/>
            <w:vAlign w:val="center"/>
          </w:tcPr>
          <w:p w14:paraId="013E4F68"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68,5</w:t>
            </w:r>
          </w:p>
        </w:tc>
        <w:tc>
          <w:tcPr>
            <w:tcW w:w="1276" w:type="dxa"/>
            <w:tcBorders>
              <w:top w:val="nil"/>
              <w:left w:val="nil"/>
              <w:bottom w:val="single" w:sz="4" w:space="0" w:color="auto"/>
              <w:right w:val="double" w:sz="4" w:space="0" w:color="auto"/>
            </w:tcBorders>
            <w:shd w:val="clear" w:color="auto" w:fill="auto"/>
            <w:vAlign w:val="center"/>
            <w:hideMark/>
          </w:tcPr>
          <w:p w14:paraId="4E78E70D"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2E9FFFC8" w14:textId="77777777" w:rsidTr="00CE7961">
        <w:trPr>
          <w:trHeight w:val="214"/>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C765319"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Инспекция по охране объектов культурного наследия Архангельской области</w:t>
            </w:r>
          </w:p>
        </w:tc>
        <w:tc>
          <w:tcPr>
            <w:tcW w:w="966" w:type="dxa"/>
            <w:tcBorders>
              <w:top w:val="nil"/>
              <w:left w:val="nil"/>
              <w:bottom w:val="single" w:sz="4" w:space="0" w:color="auto"/>
              <w:right w:val="single" w:sz="4" w:space="0" w:color="auto"/>
            </w:tcBorders>
            <w:shd w:val="clear" w:color="auto" w:fill="auto"/>
            <w:vAlign w:val="center"/>
            <w:hideMark/>
          </w:tcPr>
          <w:p w14:paraId="425EDBB8"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160" w:type="dxa"/>
            <w:tcBorders>
              <w:top w:val="nil"/>
              <w:left w:val="nil"/>
              <w:bottom w:val="single" w:sz="4" w:space="0" w:color="auto"/>
              <w:right w:val="single" w:sz="4" w:space="0" w:color="auto"/>
            </w:tcBorders>
            <w:shd w:val="clear" w:color="auto" w:fill="auto"/>
            <w:vAlign w:val="center"/>
          </w:tcPr>
          <w:p w14:paraId="4C20026D"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103,2</w:t>
            </w:r>
          </w:p>
        </w:tc>
        <w:tc>
          <w:tcPr>
            <w:tcW w:w="1117" w:type="dxa"/>
            <w:tcBorders>
              <w:top w:val="nil"/>
              <w:left w:val="nil"/>
              <w:bottom w:val="single" w:sz="4" w:space="0" w:color="auto"/>
              <w:right w:val="single" w:sz="4" w:space="0" w:color="auto"/>
            </w:tcBorders>
            <w:shd w:val="clear" w:color="auto" w:fill="auto"/>
            <w:vAlign w:val="center"/>
          </w:tcPr>
          <w:p w14:paraId="0309EE9C"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101,2</w:t>
            </w:r>
          </w:p>
        </w:tc>
        <w:tc>
          <w:tcPr>
            <w:tcW w:w="1151" w:type="dxa"/>
            <w:tcBorders>
              <w:top w:val="nil"/>
              <w:left w:val="nil"/>
              <w:bottom w:val="single" w:sz="4" w:space="0" w:color="auto"/>
              <w:right w:val="single" w:sz="4" w:space="0" w:color="auto"/>
            </w:tcBorders>
            <w:shd w:val="clear" w:color="auto" w:fill="auto"/>
            <w:vAlign w:val="center"/>
          </w:tcPr>
          <w:p w14:paraId="2F13967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101,1</w:t>
            </w:r>
          </w:p>
        </w:tc>
        <w:tc>
          <w:tcPr>
            <w:tcW w:w="1276" w:type="dxa"/>
            <w:tcBorders>
              <w:top w:val="nil"/>
              <w:left w:val="nil"/>
              <w:bottom w:val="single" w:sz="4" w:space="0" w:color="auto"/>
              <w:right w:val="double" w:sz="4" w:space="0" w:color="auto"/>
            </w:tcBorders>
            <w:shd w:val="clear" w:color="auto" w:fill="auto"/>
            <w:vAlign w:val="center"/>
          </w:tcPr>
          <w:p w14:paraId="1D7F1046"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99,9</w:t>
            </w:r>
          </w:p>
        </w:tc>
      </w:tr>
      <w:tr w:rsidR="00FD7B0B" w:rsidRPr="00FD7B0B" w14:paraId="436F9676" w14:textId="77777777" w:rsidTr="00CE7961">
        <w:trPr>
          <w:trHeight w:val="20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4B2477E5"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966" w:type="dxa"/>
            <w:tcBorders>
              <w:top w:val="nil"/>
              <w:left w:val="nil"/>
              <w:bottom w:val="single" w:sz="4" w:space="0" w:color="auto"/>
              <w:right w:val="single" w:sz="4" w:space="0" w:color="auto"/>
            </w:tcBorders>
            <w:shd w:val="clear" w:color="auto" w:fill="auto"/>
            <w:vAlign w:val="center"/>
            <w:hideMark/>
          </w:tcPr>
          <w:p w14:paraId="511856AB"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120</w:t>
            </w:r>
          </w:p>
        </w:tc>
        <w:tc>
          <w:tcPr>
            <w:tcW w:w="1160" w:type="dxa"/>
            <w:tcBorders>
              <w:top w:val="nil"/>
              <w:left w:val="nil"/>
              <w:bottom w:val="single" w:sz="4" w:space="0" w:color="auto"/>
              <w:right w:val="single" w:sz="4" w:space="0" w:color="auto"/>
            </w:tcBorders>
            <w:shd w:val="clear" w:color="auto" w:fill="auto"/>
            <w:vAlign w:val="center"/>
          </w:tcPr>
          <w:p w14:paraId="2DC1CD17"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27,5</w:t>
            </w:r>
          </w:p>
        </w:tc>
        <w:tc>
          <w:tcPr>
            <w:tcW w:w="1117" w:type="dxa"/>
            <w:tcBorders>
              <w:top w:val="nil"/>
              <w:left w:val="nil"/>
              <w:bottom w:val="single" w:sz="4" w:space="0" w:color="auto"/>
              <w:right w:val="single" w:sz="4" w:space="0" w:color="auto"/>
            </w:tcBorders>
            <w:shd w:val="clear" w:color="auto" w:fill="auto"/>
            <w:vAlign w:val="center"/>
          </w:tcPr>
          <w:p w14:paraId="7EE5C591"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25,5</w:t>
            </w:r>
          </w:p>
        </w:tc>
        <w:tc>
          <w:tcPr>
            <w:tcW w:w="1151" w:type="dxa"/>
            <w:tcBorders>
              <w:top w:val="nil"/>
              <w:left w:val="nil"/>
              <w:bottom w:val="single" w:sz="4" w:space="0" w:color="auto"/>
              <w:right w:val="single" w:sz="4" w:space="0" w:color="auto"/>
            </w:tcBorders>
            <w:shd w:val="clear" w:color="auto" w:fill="auto"/>
            <w:vAlign w:val="center"/>
          </w:tcPr>
          <w:p w14:paraId="4FD9403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25,4</w:t>
            </w:r>
          </w:p>
        </w:tc>
        <w:tc>
          <w:tcPr>
            <w:tcW w:w="1276" w:type="dxa"/>
            <w:tcBorders>
              <w:top w:val="nil"/>
              <w:left w:val="nil"/>
              <w:bottom w:val="single" w:sz="4" w:space="0" w:color="auto"/>
              <w:right w:val="double" w:sz="4" w:space="0" w:color="auto"/>
            </w:tcBorders>
            <w:shd w:val="clear" w:color="auto" w:fill="auto"/>
            <w:vAlign w:val="center"/>
          </w:tcPr>
          <w:p w14:paraId="5C805CA9"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99,6</w:t>
            </w:r>
          </w:p>
        </w:tc>
      </w:tr>
      <w:tr w:rsidR="00FD7B0B" w:rsidRPr="00FD7B0B" w14:paraId="0FAA18F5" w14:textId="77777777" w:rsidTr="00CE7961">
        <w:trPr>
          <w:trHeight w:val="62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2AEC0941"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966" w:type="dxa"/>
            <w:tcBorders>
              <w:top w:val="nil"/>
              <w:left w:val="nil"/>
              <w:bottom w:val="single" w:sz="4" w:space="0" w:color="auto"/>
              <w:right w:val="single" w:sz="4" w:space="0" w:color="auto"/>
            </w:tcBorders>
            <w:shd w:val="clear" w:color="auto" w:fill="auto"/>
            <w:vAlign w:val="center"/>
            <w:hideMark/>
          </w:tcPr>
          <w:p w14:paraId="3C2BDB07"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1160" w:type="dxa"/>
            <w:tcBorders>
              <w:top w:val="nil"/>
              <w:left w:val="nil"/>
              <w:bottom w:val="single" w:sz="4" w:space="0" w:color="auto"/>
              <w:right w:val="single" w:sz="4" w:space="0" w:color="auto"/>
            </w:tcBorders>
            <w:shd w:val="clear" w:color="auto" w:fill="auto"/>
            <w:vAlign w:val="center"/>
          </w:tcPr>
          <w:p w14:paraId="797E824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22,0</w:t>
            </w:r>
          </w:p>
        </w:tc>
        <w:tc>
          <w:tcPr>
            <w:tcW w:w="1117" w:type="dxa"/>
            <w:tcBorders>
              <w:top w:val="nil"/>
              <w:left w:val="nil"/>
              <w:bottom w:val="single" w:sz="4" w:space="0" w:color="auto"/>
              <w:right w:val="single" w:sz="4" w:space="0" w:color="auto"/>
            </w:tcBorders>
            <w:shd w:val="clear" w:color="auto" w:fill="auto"/>
            <w:vAlign w:val="center"/>
          </w:tcPr>
          <w:p w14:paraId="05586C09"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22,0</w:t>
            </w:r>
          </w:p>
        </w:tc>
        <w:tc>
          <w:tcPr>
            <w:tcW w:w="1151" w:type="dxa"/>
            <w:tcBorders>
              <w:top w:val="nil"/>
              <w:left w:val="nil"/>
              <w:bottom w:val="single" w:sz="4" w:space="0" w:color="auto"/>
              <w:right w:val="single" w:sz="4" w:space="0" w:color="auto"/>
            </w:tcBorders>
            <w:shd w:val="clear" w:color="auto" w:fill="auto"/>
            <w:vAlign w:val="center"/>
          </w:tcPr>
          <w:p w14:paraId="2C35362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21,9</w:t>
            </w:r>
          </w:p>
        </w:tc>
        <w:tc>
          <w:tcPr>
            <w:tcW w:w="1276" w:type="dxa"/>
            <w:tcBorders>
              <w:top w:val="nil"/>
              <w:left w:val="nil"/>
              <w:bottom w:val="single" w:sz="4" w:space="0" w:color="auto"/>
              <w:right w:val="double" w:sz="4" w:space="0" w:color="auto"/>
            </w:tcBorders>
            <w:shd w:val="clear" w:color="auto" w:fill="auto"/>
            <w:vAlign w:val="center"/>
          </w:tcPr>
          <w:p w14:paraId="106BB922"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99,5</w:t>
            </w:r>
          </w:p>
        </w:tc>
      </w:tr>
      <w:tr w:rsidR="00FD7B0B" w:rsidRPr="00FD7B0B" w14:paraId="60DB2C09" w14:textId="77777777" w:rsidTr="00AA092D">
        <w:trPr>
          <w:trHeight w:val="150"/>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0B8C2D0C"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автономным учреждениям</w:t>
            </w:r>
          </w:p>
        </w:tc>
        <w:tc>
          <w:tcPr>
            <w:tcW w:w="966" w:type="dxa"/>
            <w:tcBorders>
              <w:top w:val="nil"/>
              <w:left w:val="nil"/>
              <w:bottom w:val="single" w:sz="4" w:space="0" w:color="auto"/>
              <w:right w:val="single" w:sz="4" w:space="0" w:color="auto"/>
            </w:tcBorders>
            <w:shd w:val="clear" w:color="auto" w:fill="auto"/>
            <w:vAlign w:val="center"/>
            <w:hideMark/>
          </w:tcPr>
          <w:p w14:paraId="1BA8E81F"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620</w:t>
            </w:r>
          </w:p>
        </w:tc>
        <w:tc>
          <w:tcPr>
            <w:tcW w:w="1160" w:type="dxa"/>
            <w:tcBorders>
              <w:top w:val="nil"/>
              <w:left w:val="nil"/>
              <w:bottom w:val="single" w:sz="4" w:space="0" w:color="auto"/>
              <w:right w:val="single" w:sz="4" w:space="0" w:color="auto"/>
            </w:tcBorders>
            <w:shd w:val="clear" w:color="auto" w:fill="auto"/>
            <w:vAlign w:val="center"/>
          </w:tcPr>
          <w:p w14:paraId="39DDC108"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53,6</w:t>
            </w:r>
          </w:p>
        </w:tc>
        <w:tc>
          <w:tcPr>
            <w:tcW w:w="1117" w:type="dxa"/>
            <w:tcBorders>
              <w:top w:val="nil"/>
              <w:left w:val="nil"/>
              <w:bottom w:val="single" w:sz="4" w:space="0" w:color="auto"/>
              <w:right w:val="single" w:sz="4" w:space="0" w:color="auto"/>
            </w:tcBorders>
            <w:shd w:val="clear" w:color="auto" w:fill="auto"/>
            <w:vAlign w:val="center"/>
          </w:tcPr>
          <w:p w14:paraId="0B432C99"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53,7</w:t>
            </w:r>
          </w:p>
        </w:tc>
        <w:tc>
          <w:tcPr>
            <w:tcW w:w="1151" w:type="dxa"/>
            <w:tcBorders>
              <w:top w:val="nil"/>
              <w:left w:val="nil"/>
              <w:bottom w:val="single" w:sz="4" w:space="0" w:color="auto"/>
              <w:right w:val="single" w:sz="4" w:space="0" w:color="auto"/>
            </w:tcBorders>
            <w:shd w:val="clear" w:color="auto" w:fill="auto"/>
            <w:vAlign w:val="center"/>
          </w:tcPr>
          <w:p w14:paraId="2B129125"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53,7</w:t>
            </w:r>
          </w:p>
        </w:tc>
        <w:tc>
          <w:tcPr>
            <w:tcW w:w="1276" w:type="dxa"/>
            <w:tcBorders>
              <w:top w:val="nil"/>
              <w:left w:val="nil"/>
              <w:bottom w:val="single" w:sz="4" w:space="0" w:color="auto"/>
              <w:right w:val="double" w:sz="4" w:space="0" w:color="auto"/>
            </w:tcBorders>
            <w:shd w:val="clear" w:color="auto" w:fill="auto"/>
            <w:vAlign w:val="center"/>
          </w:tcPr>
          <w:p w14:paraId="02570EB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27929B0" w14:textId="77777777" w:rsidTr="00CE7961">
        <w:trPr>
          <w:trHeight w:val="399"/>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33534A8"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Министерство культуры Архангельской области</w:t>
            </w:r>
          </w:p>
        </w:tc>
        <w:tc>
          <w:tcPr>
            <w:tcW w:w="966" w:type="dxa"/>
            <w:tcBorders>
              <w:top w:val="nil"/>
              <w:left w:val="nil"/>
              <w:bottom w:val="single" w:sz="4" w:space="0" w:color="auto"/>
              <w:right w:val="single" w:sz="4" w:space="0" w:color="auto"/>
            </w:tcBorders>
            <w:shd w:val="clear" w:color="auto" w:fill="auto"/>
            <w:vAlign w:val="center"/>
            <w:hideMark/>
          </w:tcPr>
          <w:p w14:paraId="3B31E447"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1160" w:type="dxa"/>
            <w:tcBorders>
              <w:top w:val="nil"/>
              <w:left w:val="nil"/>
              <w:bottom w:val="single" w:sz="4" w:space="0" w:color="auto"/>
              <w:right w:val="single" w:sz="4" w:space="0" w:color="auto"/>
            </w:tcBorders>
            <w:shd w:val="clear" w:color="auto" w:fill="auto"/>
            <w:vAlign w:val="center"/>
          </w:tcPr>
          <w:p w14:paraId="040F4A11"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2761,6</w:t>
            </w:r>
          </w:p>
        </w:tc>
        <w:tc>
          <w:tcPr>
            <w:tcW w:w="1117" w:type="dxa"/>
            <w:tcBorders>
              <w:top w:val="nil"/>
              <w:left w:val="nil"/>
              <w:bottom w:val="single" w:sz="4" w:space="0" w:color="auto"/>
              <w:right w:val="single" w:sz="4" w:space="0" w:color="auto"/>
            </w:tcBorders>
            <w:shd w:val="clear" w:color="auto" w:fill="auto"/>
            <w:vAlign w:val="center"/>
          </w:tcPr>
          <w:p w14:paraId="59993296"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2726,4</w:t>
            </w:r>
          </w:p>
        </w:tc>
        <w:tc>
          <w:tcPr>
            <w:tcW w:w="1151" w:type="dxa"/>
            <w:tcBorders>
              <w:top w:val="nil"/>
              <w:left w:val="nil"/>
              <w:bottom w:val="single" w:sz="4" w:space="0" w:color="auto"/>
              <w:right w:val="single" w:sz="4" w:space="0" w:color="auto"/>
            </w:tcBorders>
            <w:shd w:val="clear" w:color="auto" w:fill="auto"/>
            <w:vAlign w:val="center"/>
          </w:tcPr>
          <w:p w14:paraId="6536781C"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2725,9</w:t>
            </w:r>
          </w:p>
        </w:tc>
        <w:tc>
          <w:tcPr>
            <w:tcW w:w="1276" w:type="dxa"/>
            <w:tcBorders>
              <w:top w:val="nil"/>
              <w:left w:val="nil"/>
              <w:bottom w:val="single" w:sz="4" w:space="0" w:color="auto"/>
              <w:right w:val="double" w:sz="4" w:space="0" w:color="auto"/>
            </w:tcBorders>
            <w:shd w:val="clear" w:color="auto" w:fill="auto"/>
            <w:vAlign w:val="center"/>
          </w:tcPr>
          <w:p w14:paraId="75AABF48"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63DE19DC" w14:textId="77777777" w:rsidTr="00AA092D">
        <w:trPr>
          <w:trHeight w:val="357"/>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6D411A94"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казенных учреждений</w:t>
            </w:r>
          </w:p>
        </w:tc>
        <w:tc>
          <w:tcPr>
            <w:tcW w:w="966" w:type="dxa"/>
            <w:tcBorders>
              <w:top w:val="nil"/>
              <w:left w:val="nil"/>
              <w:bottom w:val="single" w:sz="4" w:space="0" w:color="auto"/>
              <w:right w:val="single" w:sz="4" w:space="0" w:color="auto"/>
            </w:tcBorders>
            <w:shd w:val="clear" w:color="auto" w:fill="auto"/>
            <w:vAlign w:val="center"/>
            <w:hideMark/>
          </w:tcPr>
          <w:p w14:paraId="75A5913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110</w:t>
            </w:r>
          </w:p>
        </w:tc>
        <w:tc>
          <w:tcPr>
            <w:tcW w:w="1160" w:type="dxa"/>
            <w:tcBorders>
              <w:top w:val="nil"/>
              <w:left w:val="nil"/>
              <w:bottom w:val="single" w:sz="4" w:space="0" w:color="auto"/>
              <w:right w:val="single" w:sz="4" w:space="0" w:color="auto"/>
            </w:tcBorders>
            <w:shd w:val="clear" w:color="auto" w:fill="auto"/>
            <w:vAlign w:val="center"/>
          </w:tcPr>
          <w:p w14:paraId="6BC0786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24,7</w:t>
            </w:r>
          </w:p>
        </w:tc>
        <w:tc>
          <w:tcPr>
            <w:tcW w:w="1117" w:type="dxa"/>
            <w:tcBorders>
              <w:top w:val="nil"/>
              <w:left w:val="nil"/>
              <w:bottom w:val="single" w:sz="4" w:space="0" w:color="auto"/>
              <w:right w:val="single" w:sz="4" w:space="0" w:color="auto"/>
            </w:tcBorders>
            <w:shd w:val="clear" w:color="auto" w:fill="auto"/>
            <w:vAlign w:val="center"/>
          </w:tcPr>
          <w:p w14:paraId="51D781F3"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37,9</w:t>
            </w:r>
          </w:p>
        </w:tc>
        <w:tc>
          <w:tcPr>
            <w:tcW w:w="1151" w:type="dxa"/>
            <w:tcBorders>
              <w:top w:val="nil"/>
              <w:left w:val="nil"/>
              <w:bottom w:val="single" w:sz="4" w:space="0" w:color="auto"/>
              <w:right w:val="single" w:sz="4" w:space="0" w:color="auto"/>
            </w:tcBorders>
            <w:shd w:val="clear" w:color="auto" w:fill="auto"/>
            <w:vAlign w:val="center"/>
          </w:tcPr>
          <w:p w14:paraId="53A1173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37,9</w:t>
            </w:r>
          </w:p>
        </w:tc>
        <w:tc>
          <w:tcPr>
            <w:tcW w:w="1276" w:type="dxa"/>
            <w:tcBorders>
              <w:top w:val="nil"/>
              <w:left w:val="nil"/>
              <w:bottom w:val="single" w:sz="4" w:space="0" w:color="auto"/>
              <w:right w:val="double" w:sz="4" w:space="0" w:color="auto"/>
            </w:tcBorders>
            <w:shd w:val="clear" w:color="auto" w:fill="auto"/>
            <w:vAlign w:val="center"/>
          </w:tcPr>
          <w:p w14:paraId="6604DEA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22E9E192" w14:textId="77777777" w:rsidTr="00AA092D">
        <w:trPr>
          <w:trHeight w:val="66"/>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A92F66B"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966" w:type="dxa"/>
            <w:tcBorders>
              <w:top w:val="nil"/>
              <w:left w:val="nil"/>
              <w:bottom w:val="single" w:sz="4" w:space="0" w:color="auto"/>
              <w:right w:val="single" w:sz="4" w:space="0" w:color="auto"/>
            </w:tcBorders>
            <w:shd w:val="clear" w:color="auto" w:fill="auto"/>
            <w:vAlign w:val="center"/>
            <w:hideMark/>
          </w:tcPr>
          <w:p w14:paraId="53045D7B"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120</w:t>
            </w:r>
          </w:p>
        </w:tc>
        <w:tc>
          <w:tcPr>
            <w:tcW w:w="1160" w:type="dxa"/>
            <w:tcBorders>
              <w:top w:val="nil"/>
              <w:left w:val="nil"/>
              <w:bottom w:val="single" w:sz="4" w:space="0" w:color="auto"/>
              <w:right w:val="single" w:sz="4" w:space="0" w:color="auto"/>
            </w:tcBorders>
            <w:shd w:val="clear" w:color="auto" w:fill="auto"/>
            <w:vAlign w:val="center"/>
          </w:tcPr>
          <w:p w14:paraId="6983262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66,4</w:t>
            </w:r>
          </w:p>
        </w:tc>
        <w:tc>
          <w:tcPr>
            <w:tcW w:w="1117" w:type="dxa"/>
            <w:tcBorders>
              <w:top w:val="nil"/>
              <w:left w:val="nil"/>
              <w:bottom w:val="single" w:sz="4" w:space="0" w:color="auto"/>
              <w:right w:val="single" w:sz="4" w:space="0" w:color="auto"/>
            </w:tcBorders>
            <w:shd w:val="clear" w:color="auto" w:fill="auto"/>
            <w:vAlign w:val="center"/>
          </w:tcPr>
          <w:p w14:paraId="675A8FC9"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68,9</w:t>
            </w:r>
          </w:p>
        </w:tc>
        <w:tc>
          <w:tcPr>
            <w:tcW w:w="1151" w:type="dxa"/>
            <w:tcBorders>
              <w:top w:val="nil"/>
              <w:left w:val="nil"/>
              <w:bottom w:val="single" w:sz="4" w:space="0" w:color="auto"/>
              <w:right w:val="single" w:sz="4" w:space="0" w:color="auto"/>
            </w:tcBorders>
            <w:shd w:val="clear" w:color="auto" w:fill="auto"/>
            <w:vAlign w:val="center"/>
          </w:tcPr>
          <w:p w14:paraId="184AFD05"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68,9</w:t>
            </w:r>
          </w:p>
        </w:tc>
        <w:tc>
          <w:tcPr>
            <w:tcW w:w="1276" w:type="dxa"/>
            <w:tcBorders>
              <w:top w:val="nil"/>
              <w:left w:val="nil"/>
              <w:bottom w:val="single" w:sz="4" w:space="0" w:color="auto"/>
              <w:right w:val="double" w:sz="4" w:space="0" w:color="auto"/>
            </w:tcBorders>
            <w:shd w:val="clear" w:color="auto" w:fill="auto"/>
            <w:vAlign w:val="center"/>
          </w:tcPr>
          <w:p w14:paraId="0FD96AFB"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20EEEA26" w14:textId="77777777" w:rsidTr="00CE7961">
        <w:trPr>
          <w:trHeight w:val="523"/>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017F7556"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966" w:type="dxa"/>
            <w:tcBorders>
              <w:top w:val="nil"/>
              <w:left w:val="nil"/>
              <w:bottom w:val="single" w:sz="4" w:space="0" w:color="auto"/>
              <w:right w:val="single" w:sz="4" w:space="0" w:color="auto"/>
            </w:tcBorders>
            <w:shd w:val="clear" w:color="auto" w:fill="auto"/>
            <w:vAlign w:val="center"/>
            <w:hideMark/>
          </w:tcPr>
          <w:p w14:paraId="11C508CF"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1160" w:type="dxa"/>
            <w:tcBorders>
              <w:top w:val="nil"/>
              <w:left w:val="nil"/>
              <w:bottom w:val="single" w:sz="4" w:space="0" w:color="auto"/>
              <w:right w:val="single" w:sz="4" w:space="0" w:color="auto"/>
            </w:tcBorders>
            <w:shd w:val="clear" w:color="auto" w:fill="auto"/>
            <w:vAlign w:val="center"/>
          </w:tcPr>
          <w:p w14:paraId="4EEFB941"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89,4</w:t>
            </w:r>
          </w:p>
        </w:tc>
        <w:tc>
          <w:tcPr>
            <w:tcW w:w="1117" w:type="dxa"/>
            <w:tcBorders>
              <w:top w:val="nil"/>
              <w:left w:val="nil"/>
              <w:bottom w:val="single" w:sz="4" w:space="0" w:color="auto"/>
              <w:right w:val="single" w:sz="4" w:space="0" w:color="auto"/>
            </w:tcBorders>
            <w:shd w:val="clear" w:color="auto" w:fill="auto"/>
            <w:vAlign w:val="center"/>
          </w:tcPr>
          <w:p w14:paraId="5DA2BF9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57,4</w:t>
            </w:r>
          </w:p>
        </w:tc>
        <w:tc>
          <w:tcPr>
            <w:tcW w:w="1151" w:type="dxa"/>
            <w:tcBorders>
              <w:top w:val="nil"/>
              <w:left w:val="nil"/>
              <w:bottom w:val="single" w:sz="4" w:space="0" w:color="auto"/>
              <w:right w:val="single" w:sz="4" w:space="0" w:color="auto"/>
            </w:tcBorders>
            <w:shd w:val="clear" w:color="auto" w:fill="auto"/>
            <w:vAlign w:val="center"/>
          </w:tcPr>
          <w:p w14:paraId="479D55F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57,0</w:t>
            </w:r>
          </w:p>
        </w:tc>
        <w:tc>
          <w:tcPr>
            <w:tcW w:w="1276" w:type="dxa"/>
            <w:tcBorders>
              <w:top w:val="nil"/>
              <w:left w:val="nil"/>
              <w:bottom w:val="single" w:sz="4" w:space="0" w:color="auto"/>
              <w:right w:val="double" w:sz="4" w:space="0" w:color="auto"/>
            </w:tcBorders>
            <w:shd w:val="clear" w:color="auto" w:fill="auto"/>
            <w:vAlign w:val="center"/>
          </w:tcPr>
          <w:p w14:paraId="79F757C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99,3</w:t>
            </w:r>
          </w:p>
        </w:tc>
      </w:tr>
      <w:tr w:rsidR="00FD7B0B" w:rsidRPr="00FD7B0B" w14:paraId="363CC7C6" w14:textId="77777777" w:rsidTr="00AA092D">
        <w:trPr>
          <w:trHeight w:val="294"/>
        </w:trPr>
        <w:tc>
          <w:tcPr>
            <w:tcW w:w="4111" w:type="dxa"/>
            <w:tcBorders>
              <w:top w:val="nil"/>
              <w:left w:val="double" w:sz="4" w:space="0" w:color="auto"/>
              <w:bottom w:val="single" w:sz="4" w:space="0" w:color="auto"/>
              <w:right w:val="single" w:sz="4" w:space="0" w:color="auto"/>
            </w:tcBorders>
            <w:shd w:val="clear" w:color="auto" w:fill="auto"/>
            <w:vAlign w:val="center"/>
          </w:tcPr>
          <w:p w14:paraId="089975AC"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Публичные нормативные выплаты гражданам несоциального характера</w:t>
            </w:r>
          </w:p>
        </w:tc>
        <w:tc>
          <w:tcPr>
            <w:tcW w:w="966" w:type="dxa"/>
            <w:tcBorders>
              <w:top w:val="nil"/>
              <w:left w:val="nil"/>
              <w:bottom w:val="single" w:sz="4" w:space="0" w:color="auto"/>
              <w:right w:val="single" w:sz="4" w:space="0" w:color="auto"/>
            </w:tcBorders>
            <w:shd w:val="clear" w:color="auto" w:fill="auto"/>
            <w:vAlign w:val="center"/>
          </w:tcPr>
          <w:p w14:paraId="0243EE0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330</w:t>
            </w:r>
          </w:p>
        </w:tc>
        <w:tc>
          <w:tcPr>
            <w:tcW w:w="1160" w:type="dxa"/>
            <w:tcBorders>
              <w:top w:val="nil"/>
              <w:left w:val="nil"/>
              <w:bottom w:val="single" w:sz="4" w:space="0" w:color="auto"/>
              <w:right w:val="single" w:sz="4" w:space="0" w:color="auto"/>
            </w:tcBorders>
            <w:shd w:val="clear" w:color="auto" w:fill="auto"/>
            <w:vAlign w:val="center"/>
          </w:tcPr>
          <w:p w14:paraId="030E376B"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0,09</w:t>
            </w:r>
          </w:p>
        </w:tc>
        <w:tc>
          <w:tcPr>
            <w:tcW w:w="1117" w:type="dxa"/>
            <w:tcBorders>
              <w:top w:val="nil"/>
              <w:left w:val="nil"/>
              <w:bottom w:val="single" w:sz="4" w:space="0" w:color="auto"/>
              <w:right w:val="single" w:sz="4" w:space="0" w:color="auto"/>
            </w:tcBorders>
            <w:shd w:val="clear" w:color="auto" w:fill="auto"/>
            <w:vAlign w:val="center"/>
          </w:tcPr>
          <w:p w14:paraId="5370A6F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0,09</w:t>
            </w:r>
          </w:p>
        </w:tc>
        <w:tc>
          <w:tcPr>
            <w:tcW w:w="1151" w:type="dxa"/>
            <w:tcBorders>
              <w:top w:val="nil"/>
              <w:left w:val="nil"/>
              <w:bottom w:val="single" w:sz="4" w:space="0" w:color="auto"/>
              <w:right w:val="single" w:sz="4" w:space="0" w:color="auto"/>
            </w:tcBorders>
            <w:shd w:val="clear" w:color="auto" w:fill="auto"/>
            <w:vAlign w:val="center"/>
          </w:tcPr>
          <w:p w14:paraId="23C1365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0,09</w:t>
            </w:r>
          </w:p>
        </w:tc>
        <w:tc>
          <w:tcPr>
            <w:tcW w:w="1276" w:type="dxa"/>
            <w:tcBorders>
              <w:top w:val="nil"/>
              <w:left w:val="nil"/>
              <w:bottom w:val="single" w:sz="4" w:space="0" w:color="auto"/>
              <w:right w:val="double" w:sz="4" w:space="0" w:color="auto"/>
            </w:tcBorders>
            <w:shd w:val="clear" w:color="auto" w:fill="auto"/>
            <w:vAlign w:val="center"/>
          </w:tcPr>
          <w:p w14:paraId="464DEAFD"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1899E315" w14:textId="77777777" w:rsidTr="00AA092D">
        <w:trPr>
          <w:trHeight w:val="41"/>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4C8C4EE"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Премии и гранты</w:t>
            </w:r>
          </w:p>
        </w:tc>
        <w:tc>
          <w:tcPr>
            <w:tcW w:w="966" w:type="dxa"/>
            <w:tcBorders>
              <w:top w:val="nil"/>
              <w:left w:val="nil"/>
              <w:bottom w:val="single" w:sz="4" w:space="0" w:color="auto"/>
              <w:right w:val="single" w:sz="4" w:space="0" w:color="auto"/>
            </w:tcBorders>
            <w:shd w:val="clear" w:color="auto" w:fill="auto"/>
            <w:vAlign w:val="center"/>
            <w:hideMark/>
          </w:tcPr>
          <w:p w14:paraId="3537BBAC"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350</w:t>
            </w:r>
          </w:p>
        </w:tc>
        <w:tc>
          <w:tcPr>
            <w:tcW w:w="1160" w:type="dxa"/>
            <w:tcBorders>
              <w:top w:val="nil"/>
              <w:left w:val="nil"/>
              <w:bottom w:val="single" w:sz="4" w:space="0" w:color="auto"/>
              <w:right w:val="single" w:sz="4" w:space="0" w:color="auto"/>
            </w:tcBorders>
            <w:shd w:val="clear" w:color="auto" w:fill="auto"/>
            <w:vAlign w:val="center"/>
          </w:tcPr>
          <w:p w14:paraId="36278DD3"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w:t>
            </w:r>
          </w:p>
        </w:tc>
        <w:tc>
          <w:tcPr>
            <w:tcW w:w="1117" w:type="dxa"/>
            <w:tcBorders>
              <w:top w:val="nil"/>
              <w:left w:val="nil"/>
              <w:bottom w:val="single" w:sz="4" w:space="0" w:color="auto"/>
              <w:right w:val="single" w:sz="4" w:space="0" w:color="auto"/>
            </w:tcBorders>
            <w:shd w:val="clear" w:color="auto" w:fill="auto"/>
            <w:vAlign w:val="center"/>
          </w:tcPr>
          <w:p w14:paraId="2678B76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w:t>
            </w:r>
          </w:p>
        </w:tc>
        <w:tc>
          <w:tcPr>
            <w:tcW w:w="1151" w:type="dxa"/>
            <w:tcBorders>
              <w:top w:val="nil"/>
              <w:left w:val="nil"/>
              <w:bottom w:val="single" w:sz="4" w:space="0" w:color="auto"/>
              <w:right w:val="single" w:sz="4" w:space="0" w:color="auto"/>
            </w:tcBorders>
            <w:shd w:val="clear" w:color="auto" w:fill="auto"/>
            <w:vAlign w:val="center"/>
          </w:tcPr>
          <w:p w14:paraId="0021163C"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w:t>
            </w:r>
          </w:p>
        </w:tc>
        <w:tc>
          <w:tcPr>
            <w:tcW w:w="1276" w:type="dxa"/>
            <w:tcBorders>
              <w:top w:val="nil"/>
              <w:left w:val="nil"/>
              <w:bottom w:val="single" w:sz="4" w:space="0" w:color="auto"/>
              <w:right w:val="double" w:sz="4" w:space="0" w:color="auto"/>
            </w:tcBorders>
            <w:shd w:val="clear" w:color="auto" w:fill="auto"/>
            <w:vAlign w:val="center"/>
          </w:tcPr>
          <w:p w14:paraId="105E9C2B"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4BA4C76" w14:textId="77777777" w:rsidTr="00AA092D">
        <w:trPr>
          <w:trHeight w:val="76"/>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62A96D15"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выплаты населению</w:t>
            </w:r>
          </w:p>
        </w:tc>
        <w:tc>
          <w:tcPr>
            <w:tcW w:w="966" w:type="dxa"/>
            <w:tcBorders>
              <w:top w:val="nil"/>
              <w:left w:val="nil"/>
              <w:bottom w:val="single" w:sz="4" w:space="0" w:color="auto"/>
              <w:right w:val="single" w:sz="4" w:space="0" w:color="auto"/>
            </w:tcBorders>
            <w:shd w:val="clear" w:color="auto" w:fill="auto"/>
            <w:vAlign w:val="center"/>
            <w:hideMark/>
          </w:tcPr>
          <w:p w14:paraId="18CAA377"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360</w:t>
            </w:r>
          </w:p>
        </w:tc>
        <w:tc>
          <w:tcPr>
            <w:tcW w:w="1160" w:type="dxa"/>
            <w:tcBorders>
              <w:top w:val="nil"/>
              <w:left w:val="nil"/>
              <w:bottom w:val="single" w:sz="4" w:space="0" w:color="auto"/>
              <w:right w:val="single" w:sz="4" w:space="0" w:color="auto"/>
            </w:tcBorders>
            <w:shd w:val="clear" w:color="auto" w:fill="auto"/>
            <w:vAlign w:val="center"/>
          </w:tcPr>
          <w:p w14:paraId="30EDDA4F"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0,6</w:t>
            </w:r>
          </w:p>
        </w:tc>
        <w:tc>
          <w:tcPr>
            <w:tcW w:w="1117" w:type="dxa"/>
            <w:tcBorders>
              <w:top w:val="nil"/>
              <w:left w:val="nil"/>
              <w:bottom w:val="single" w:sz="4" w:space="0" w:color="auto"/>
              <w:right w:val="single" w:sz="4" w:space="0" w:color="auto"/>
            </w:tcBorders>
            <w:shd w:val="clear" w:color="auto" w:fill="auto"/>
            <w:vAlign w:val="center"/>
          </w:tcPr>
          <w:p w14:paraId="2FDCC68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0,5</w:t>
            </w:r>
          </w:p>
        </w:tc>
        <w:tc>
          <w:tcPr>
            <w:tcW w:w="1151" w:type="dxa"/>
            <w:tcBorders>
              <w:top w:val="nil"/>
              <w:left w:val="nil"/>
              <w:bottom w:val="single" w:sz="4" w:space="0" w:color="auto"/>
              <w:right w:val="single" w:sz="4" w:space="0" w:color="auto"/>
            </w:tcBorders>
            <w:shd w:val="clear" w:color="auto" w:fill="auto"/>
            <w:vAlign w:val="center"/>
          </w:tcPr>
          <w:p w14:paraId="43B88A2C"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0,5</w:t>
            </w:r>
          </w:p>
        </w:tc>
        <w:tc>
          <w:tcPr>
            <w:tcW w:w="1276" w:type="dxa"/>
            <w:tcBorders>
              <w:top w:val="nil"/>
              <w:left w:val="nil"/>
              <w:bottom w:val="single" w:sz="4" w:space="0" w:color="auto"/>
              <w:right w:val="double" w:sz="4" w:space="0" w:color="auto"/>
            </w:tcBorders>
            <w:shd w:val="clear" w:color="auto" w:fill="auto"/>
            <w:vAlign w:val="center"/>
          </w:tcPr>
          <w:p w14:paraId="19999A1F"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C312B25" w14:textId="77777777" w:rsidTr="00AA092D">
        <w:trPr>
          <w:trHeight w:val="149"/>
        </w:trPr>
        <w:tc>
          <w:tcPr>
            <w:tcW w:w="4111" w:type="dxa"/>
            <w:tcBorders>
              <w:top w:val="nil"/>
              <w:left w:val="double" w:sz="4" w:space="0" w:color="auto"/>
              <w:bottom w:val="single" w:sz="4" w:space="0" w:color="auto"/>
              <w:right w:val="single" w:sz="4" w:space="0" w:color="auto"/>
            </w:tcBorders>
            <w:shd w:val="clear" w:color="000000" w:fill="FFFFFF"/>
            <w:vAlign w:val="center"/>
            <w:hideMark/>
          </w:tcPr>
          <w:p w14:paraId="6A14235B"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w:t>
            </w:r>
          </w:p>
        </w:tc>
        <w:tc>
          <w:tcPr>
            <w:tcW w:w="966" w:type="dxa"/>
            <w:tcBorders>
              <w:top w:val="nil"/>
              <w:left w:val="nil"/>
              <w:bottom w:val="single" w:sz="4" w:space="0" w:color="auto"/>
              <w:right w:val="single" w:sz="4" w:space="0" w:color="auto"/>
            </w:tcBorders>
            <w:shd w:val="clear" w:color="auto" w:fill="auto"/>
            <w:vAlign w:val="center"/>
            <w:hideMark/>
          </w:tcPr>
          <w:p w14:paraId="219D47C1"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520</w:t>
            </w:r>
          </w:p>
        </w:tc>
        <w:tc>
          <w:tcPr>
            <w:tcW w:w="1160" w:type="dxa"/>
            <w:tcBorders>
              <w:top w:val="nil"/>
              <w:left w:val="nil"/>
              <w:bottom w:val="single" w:sz="4" w:space="0" w:color="auto"/>
              <w:right w:val="single" w:sz="4" w:space="0" w:color="auto"/>
            </w:tcBorders>
            <w:shd w:val="clear" w:color="auto" w:fill="auto"/>
            <w:vAlign w:val="center"/>
          </w:tcPr>
          <w:p w14:paraId="29D68DF5"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118,1</w:t>
            </w:r>
          </w:p>
        </w:tc>
        <w:tc>
          <w:tcPr>
            <w:tcW w:w="1117" w:type="dxa"/>
            <w:tcBorders>
              <w:top w:val="nil"/>
              <w:left w:val="nil"/>
              <w:bottom w:val="single" w:sz="4" w:space="0" w:color="auto"/>
              <w:right w:val="single" w:sz="4" w:space="0" w:color="auto"/>
            </w:tcBorders>
            <w:shd w:val="clear" w:color="auto" w:fill="auto"/>
            <w:vAlign w:val="center"/>
          </w:tcPr>
          <w:p w14:paraId="2710B77D"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130,3</w:t>
            </w:r>
          </w:p>
        </w:tc>
        <w:tc>
          <w:tcPr>
            <w:tcW w:w="1151" w:type="dxa"/>
            <w:tcBorders>
              <w:top w:val="nil"/>
              <w:left w:val="nil"/>
              <w:bottom w:val="single" w:sz="4" w:space="0" w:color="auto"/>
              <w:right w:val="single" w:sz="4" w:space="0" w:color="auto"/>
            </w:tcBorders>
            <w:shd w:val="clear" w:color="auto" w:fill="auto"/>
            <w:vAlign w:val="center"/>
          </w:tcPr>
          <w:p w14:paraId="475BF4D3"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130,2</w:t>
            </w:r>
          </w:p>
        </w:tc>
        <w:tc>
          <w:tcPr>
            <w:tcW w:w="1276" w:type="dxa"/>
            <w:tcBorders>
              <w:top w:val="nil"/>
              <w:left w:val="nil"/>
              <w:bottom w:val="single" w:sz="4" w:space="0" w:color="auto"/>
              <w:right w:val="double" w:sz="4" w:space="0" w:color="auto"/>
            </w:tcBorders>
            <w:shd w:val="clear" w:color="auto" w:fill="auto"/>
            <w:vAlign w:val="center"/>
          </w:tcPr>
          <w:p w14:paraId="2DCC2842"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99,9</w:t>
            </w:r>
          </w:p>
        </w:tc>
      </w:tr>
      <w:tr w:rsidR="00FD7B0B" w:rsidRPr="00FD7B0B" w14:paraId="0E39EDEE" w14:textId="77777777" w:rsidTr="00AA092D">
        <w:trPr>
          <w:trHeight w:val="68"/>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550E2A3"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межбюджетные трансферты</w:t>
            </w:r>
          </w:p>
        </w:tc>
        <w:tc>
          <w:tcPr>
            <w:tcW w:w="966" w:type="dxa"/>
            <w:tcBorders>
              <w:top w:val="nil"/>
              <w:left w:val="nil"/>
              <w:bottom w:val="single" w:sz="4" w:space="0" w:color="auto"/>
              <w:right w:val="single" w:sz="4" w:space="0" w:color="auto"/>
            </w:tcBorders>
            <w:shd w:val="clear" w:color="auto" w:fill="auto"/>
            <w:vAlign w:val="center"/>
            <w:hideMark/>
          </w:tcPr>
          <w:p w14:paraId="1B1369E6"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540</w:t>
            </w:r>
          </w:p>
        </w:tc>
        <w:tc>
          <w:tcPr>
            <w:tcW w:w="1160" w:type="dxa"/>
            <w:tcBorders>
              <w:top w:val="nil"/>
              <w:left w:val="nil"/>
              <w:bottom w:val="single" w:sz="4" w:space="0" w:color="auto"/>
              <w:right w:val="single" w:sz="4" w:space="0" w:color="auto"/>
            </w:tcBorders>
            <w:shd w:val="clear" w:color="auto" w:fill="auto"/>
            <w:vAlign w:val="center"/>
          </w:tcPr>
          <w:p w14:paraId="52D2587F"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141,7</w:t>
            </w:r>
          </w:p>
        </w:tc>
        <w:tc>
          <w:tcPr>
            <w:tcW w:w="1117" w:type="dxa"/>
            <w:tcBorders>
              <w:top w:val="nil"/>
              <w:left w:val="nil"/>
              <w:bottom w:val="single" w:sz="4" w:space="0" w:color="auto"/>
              <w:right w:val="single" w:sz="4" w:space="0" w:color="auto"/>
            </w:tcBorders>
            <w:shd w:val="clear" w:color="auto" w:fill="auto"/>
            <w:vAlign w:val="center"/>
          </w:tcPr>
          <w:p w14:paraId="6A99E5F6"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117,4</w:t>
            </w:r>
          </w:p>
        </w:tc>
        <w:tc>
          <w:tcPr>
            <w:tcW w:w="1151" w:type="dxa"/>
            <w:tcBorders>
              <w:top w:val="nil"/>
              <w:left w:val="nil"/>
              <w:bottom w:val="single" w:sz="4" w:space="0" w:color="auto"/>
              <w:right w:val="single" w:sz="4" w:space="0" w:color="auto"/>
            </w:tcBorders>
            <w:shd w:val="clear" w:color="auto" w:fill="auto"/>
            <w:vAlign w:val="center"/>
          </w:tcPr>
          <w:p w14:paraId="2D1808CD"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117,4</w:t>
            </w:r>
          </w:p>
        </w:tc>
        <w:tc>
          <w:tcPr>
            <w:tcW w:w="1276" w:type="dxa"/>
            <w:tcBorders>
              <w:top w:val="nil"/>
              <w:left w:val="nil"/>
              <w:bottom w:val="single" w:sz="4" w:space="0" w:color="auto"/>
              <w:right w:val="double" w:sz="4" w:space="0" w:color="auto"/>
            </w:tcBorders>
            <w:shd w:val="clear" w:color="auto" w:fill="auto"/>
            <w:vAlign w:val="center"/>
          </w:tcPr>
          <w:p w14:paraId="0E1672AC"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3C05B74" w14:textId="77777777" w:rsidTr="00AA092D">
        <w:trPr>
          <w:trHeight w:val="142"/>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F6974D6"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учреждениям</w:t>
            </w:r>
          </w:p>
        </w:tc>
        <w:tc>
          <w:tcPr>
            <w:tcW w:w="966" w:type="dxa"/>
            <w:tcBorders>
              <w:top w:val="nil"/>
              <w:left w:val="nil"/>
              <w:bottom w:val="single" w:sz="4" w:space="0" w:color="auto"/>
              <w:right w:val="single" w:sz="4" w:space="0" w:color="auto"/>
            </w:tcBorders>
            <w:shd w:val="clear" w:color="auto" w:fill="auto"/>
            <w:vAlign w:val="center"/>
            <w:hideMark/>
          </w:tcPr>
          <w:p w14:paraId="6BB42A7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610</w:t>
            </w:r>
          </w:p>
        </w:tc>
        <w:tc>
          <w:tcPr>
            <w:tcW w:w="1160" w:type="dxa"/>
            <w:tcBorders>
              <w:top w:val="nil"/>
              <w:left w:val="nil"/>
              <w:bottom w:val="single" w:sz="4" w:space="0" w:color="auto"/>
              <w:right w:val="single" w:sz="4" w:space="0" w:color="auto"/>
            </w:tcBorders>
            <w:shd w:val="clear" w:color="auto" w:fill="auto"/>
            <w:vAlign w:val="center"/>
          </w:tcPr>
          <w:p w14:paraId="79CE8A5F"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2 158,0</w:t>
            </w:r>
          </w:p>
        </w:tc>
        <w:tc>
          <w:tcPr>
            <w:tcW w:w="1117" w:type="dxa"/>
            <w:tcBorders>
              <w:top w:val="nil"/>
              <w:left w:val="nil"/>
              <w:bottom w:val="single" w:sz="4" w:space="0" w:color="auto"/>
              <w:right w:val="single" w:sz="4" w:space="0" w:color="auto"/>
            </w:tcBorders>
            <w:shd w:val="clear" w:color="auto" w:fill="auto"/>
            <w:vAlign w:val="center"/>
          </w:tcPr>
          <w:p w14:paraId="039F48B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2 151,9</w:t>
            </w:r>
          </w:p>
        </w:tc>
        <w:tc>
          <w:tcPr>
            <w:tcW w:w="1151" w:type="dxa"/>
            <w:tcBorders>
              <w:top w:val="nil"/>
              <w:left w:val="nil"/>
              <w:bottom w:val="single" w:sz="4" w:space="0" w:color="auto"/>
              <w:right w:val="single" w:sz="4" w:space="0" w:color="auto"/>
            </w:tcBorders>
            <w:shd w:val="clear" w:color="auto" w:fill="auto"/>
            <w:vAlign w:val="center"/>
          </w:tcPr>
          <w:p w14:paraId="10B44A41"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2 151,9</w:t>
            </w:r>
          </w:p>
        </w:tc>
        <w:tc>
          <w:tcPr>
            <w:tcW w:w="1276" w:type="dxa"/>
            <w:tcBorders>
              <w:top w:val="nil"/>
              <w:left w:val="nil"/>
              <w:bottom w:val="single" w:sz="4" w:space="0" w:color="auto"/>
              <w:right w:val="double" w:sz="4" w:space="0" w:color="auto"/>
            </w:tcBorders>
            <w:shd w:val="clear" w:color="auto" w:fill="auto"/>
            <w:vAlign w:val="center"/>
          </w:tcPr>
          <w:p w14:paraId="6F914992"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58172CBC" w14:textId="77777777" w:rsidTr="00AA092D">
        <w:trPr>
          <w:trHeight w:val="60"/>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75813CE4"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автономным учреждениям</w:t>
            </w:r>
          </w:p>
        </w:tc>
        <w:tc>
          <w:tcPr>
            <w:tcW w:w="966" w:type="dxa"/>
            <w:tcBorders>
              <w:top w:val="nil"/>
              <w:left w:val="nil"/>
              <w:bottom w:val="single" w:sz="4" w:space="0" w:color="auto"/>
              <w:right w:val="single" w:sz="4" w:space="0" w:color="auto"/>
            </w:tcBorders>
            <w:shd w:val="clear" w:color="auto" w:fill="auto"/>
            <w:vAlign w:val="center"/>
            <w:hideMark/>
          </w:tcPr>
          <w:p w14:paraId="7A09E92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620</w:t>
            </w:r>
          </w:p>
        </w:tc>
        <w:tc>
          <w:tcPr>
            <w:tcW w:w="1160" w:type="dxa"/>
            <w:tcBorders>
              <w:top w:val="nil"/>
              <w:left w:val="nil"/>
              <w:bottom w:val="single" w:sz="4" w:space="0" w:color="auto"/>
              <w:right w:val="single" w:sz="4" w:space="0" w:color="auto"/>
            </w:tcBorders>
            <w:shd w:val="clear" w:color="auto" w:fill="auto"/>
            <w:vAlign w:val="center"/>
          </w:tcPr>
          <w:p w14:paraId="6942F7A7"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132,2</w:t>
            </w:r>
          </w:p>
        </w:tc>
        <w:tc>
          <w:tcPr>
            <w:tcW w:w="1117" w:type="dxa"/>
            <w:tcBorders>
              <w:top w:val="nil"/>
              <w:left w:val="nil"/>
              <w:bottom w:val="single" w:sz="4" w:space="0" w:color="auto"/>
              <w:right w:val="single" w:sz="4" w:space="0" w:color="auto"/>
            </w:tcBorders>
            <w:shd w:val="clear" w:color="auto" w:fill="auto"/>
            <w:vAlign w:val="center"/>
          </w:tcPr>
          <w:p w14:paraId="4923A433"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133,6</w:t>
            </w:r>
          </w:p>
        </w:tc>
        <w:tc>
          <w:tcPr>
            <w:tcW w:w="1151" w:type="dxa"/>
            <w:tcBorders>
              <w:top w:val="nil"/>
              <w:left w:val="nil"/>
              <w:bottom w:val="single" w:sz="4" w:space="0" w:color="auto"/>
              <w:right w:val="single" w:sz="4" w:space="0" w:color="auto"/>
            </w:tcBorders>
            <w:shd w:val="clear" w:color="auto" w:fill="auto"/>
            <w:vAlign w:val="center"/>
          </w:tcPr>
          <w:p w14:paraId="775F0CE5"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133,6</w:t>
            </w:r>
          </w:p>
        </w:tc>
        <w:tc>
          <w:tcPr>
            <w:tcW w:w="1276" w:type="dxa"/>
            <w:tcBorders>
              <w:top w:val="nil"/>
              <w:left w:val="nil"/>
              <w:bottom w:val="single" w:sz="4" w:space="0" w:color="auto"/>
              <w:right w:val="double" w:sz="4" w:space="0" w:color="auto"/>
            </w:tcBorders>
            <w:shd w:val="clear" w:color="auto" w:fill="auto"/>
            <w:vAlign w:val="center"/>
          </w:tcPr>
          <w:p w14:paraId="147E9B4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7A5E7ACA" w14:textId="77777777" w:rsidTr="00AA092D">
        <w:trPr>
          <w:trHeight w:val="403"/>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0C1C0882"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некоммерческим организациям (за исключением государственных (муниципальных) учреждений, государственных корпораций (компаний), публично-правовых компаний)</w:t>
            </w:r>
          </w:p>
        </w:tc>
        <w:tc>
          <w:tcPr>
            <w:tcW w:w="966" w:type="dxa"/>
            <w:tcBorders>
              <w:top w:val="nil"/>
              <w:left w:val="nil"/>
              <w:bottom w:val="single" w:sz="4" w:space="0" w:color="auto"/>
              <w:right w:val="single" w:sz="4" w:space="0" w:color="auto"/>
            </w:tcBorders>
            <w:shd w:val="clear" w:color="auto" w:fill="auto"/>
            <w:vAlign w:val="center"/>
            <w:hideMark/>
          </w:tcPr>
          <w:p w14:paraId="2A7F1F65"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630</w:t>
            </w:r>
          </w:p>
        </w:tc>
        <w:tc>
          <w:tcPr>
            <w:tcW w:w="1160" w:type="dxa"/>
            <w:tcBorders>
              <w:top w:val="nil"/>
              <w:left w:val="nil"/>
              <w:bottom w:val="single" w:sz="4" w:space="0" w:color="auto"/>
              <w:right w:val="single" w:sz="4" w:space="0" w:color="auto"/>
            </w:tcBorders>
            <w:shd w:val="clear" w:color="auto" w:fill="auto"/>
            <w:vAlign w:val="center"/>
          </w:tcPr>
          <w:p w14:paraId="69E43A0F"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15,8</w:t>
            </w:r>
          </w:p>
        </w:tc>
        <w:tc>
          <w:tcPr>
            <w:tcW w:w="1117" w:type="dxa"/>
            <w:tcBorders>
              <w:top w:val="nil"/>
              <w:left w:val="nil"/>
              <w:bottom w:val="single" w:sz="4" w:space="0" w:color="auto"/>
              <w:right w:val="single" w:sz="4" w:space="0" w:color="auto"/>
            </w:tcBorders>
            <w:shd w:val="clear" w:color="auto" w:fill="auto"/>
            <w:vAlign w:val="center"/>
          </w:tcPr>
          <w:p w14:paraId="73943F8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15,4</w:t>
            </w:r>
          </w:p>
        </w:tc>
        <w:tc>
          <w:tcPr>
            <w:tcW w:w="1151" w:type="dxa"/>
            <w:tcBorders>
              <w:top w:val="nil"/>
              <w:left w:val="nil"/>
              <w:bottom w:val="single" w:sz="4" w:space="0" w:color="auto"/>
              <w:right w:val="single" w:sz="4" w:space="0" w:color="auto"/>
            </w:tcBorders>
            <w:shd w:val="clear" w:color="auto" w:fill="auto"/>
            <w:vAlign w:val="center"/>
          </w:tcPr>
          <w:p w14:paraId="1955A4A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15,4</w:t>
            </w:r>
          </w:p>
        </w:tc>
        <w:tc>
          <w:tcPr>
            <w:tcW w:w="1276" w:type="dxa"/>
            <w:tcBorders>
              <w:top w:val="nil"/>
              <w:left w:val="nil"/>
              <w:bottom w:val="single" w:sz="4" w:space="0" w:color="auto"/>
              <w:right w:val="double" w:sz="4" w:space="0" w:color="auto"/>
            </w:tcBorders>
            <w:shd w:val="clear" w:color="auto" w:fill="auto"/>
            <w:vAlign w:val="center"/>
          </w:tcPr>
          <w:p w14:paraId="0599DA75"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23FE6CC1" w14:textId="77777777" w:rsidTr="00AA092D">
        <w:trPr>
          <w:trHeight w:val="557"/>
        </w:trPr>
        <w:tc>
          <w:tcPr>
            <w:tcW w:w="4111" w:type="dxa"/>
            <w:tcBorders>
              <w:top w:val="nil"/>
              <w:left w:val="double" w:sz="4" w:space="0" w:color="auto"/>
              <w:bottom w:val="single" w:sz="4" w:space="0" w:color="auto"/>
              <w:right w:val="single" w:sz="4" w:space="0" w:color="auto"/>
            </w:tcBorders>
            <w:shd w:val="clear" w:color="auto" w:fill="auto"/>
            <w:vAlign w:val="center"/>
          </w:tcPr>
          <w:p w14:paraId="159991BE" w14:textId="7DBC99E0" w:rsidR="00EA17E9" w:rsidRPr="00FD7B0B" w:rsidRDefault="00EA17E9" w:rsidP="00AA092D">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юридическим лицам (кроме некоммерческих организаций), индивидуальным предпринимателям, физическим лицам</w:t>
            </w:r>
            <w:r w:rsidR="00AA092D" w:rsidRPr="00FD7B0B">
              <w:rPr>
                <w:rFonts w:ascii="Times New Roman" w:eastAsia="Times New Roman" w:hAnsi="Times New Roman" w:cs="Times New Roman"/>
                <w:sz w:val="18"/>
                <w:szCs w:val="18"/>
                <w:lang w:eastAsia="ru-RU"/>
              </w:rPr>
              <w:t xml:space="preserve"> – п</w:t>
            </w:r>
            <w:r w:rsidRPr="00FD7B0B">
              <w:rPr>
                <w:rFonts w:ascii="Times New Roman" w:eastAsia="Times New Roman" w:hAnsi="Times New Roman" w:cs="Times New Roman"/>
                <w:sz w:val="18"/>
                <w:szCs w:val="18"/>
                <w:lang w:eastAsia="ru-RU"/>
              </w:rPr>
              <w:t>роизводителям товаров, работ, услуг</w:t>
            </w:r>
          </w:p>
        </w:tc>
        <w:tc>
          <w:tcPr>
            <w:tcW w:w="966" w:type="dxa"/>
            <w:tcBorders>
              <w:top w:val="nil"/>
              <w:left w:val="nil"/>
              <w:bottom w:val="single" w:sz="4" w:space="0" w:color="auto"/>
              <w:right w:val="single" w:sz="4" w:space="0" w:color="auto"/>
            </w:tcBorders>
            <w:shd w:val="clear" w:color="auto" w:fill="auto"/>
            <w:vAlign w:val="center"/>
          </w:tcPr>
          <w:p w14:paraId="3F78F15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810</w:t>
            </w:r>
          </w:p>
        </w:tc>
        <w:tc>
          <w:tcPr>
            <w:tcW w:w="1160" w:type="dxa"/>
            <w:tcBorders>
              <w:top w:val="nil"/>
              <w:left w:val="nil"/>
              <w:bottom w:val="single" w:sz="4" w:space="0" w:color="auto"/>
              <w:right w:val="single" w:sz="4" w:space="0" w:color="auto"/>
            </w:tcBorders>
            <w:shd w:val="clear" w:color="auto" w:fill="auto"/>
            <w:vAlign w:val="center"/>
          </w:tcPr>
          <w:p w14:paraId="1DCEEC0C"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13,5</w:t>
            </w:r>
          </w:p>
        </w:tc>
        <w:tc>
          <w:tcPr>
            <w:tcW w:w="1117" w:type="dxa"/>
            <w:tcBorders>
              <w:top w:val="nil"/>
              <w:left w:val="nil"/>
              <w:bottom w:val="single" w:sz="4" w:space="0" w:color="auto"/>
              <w:right w:val="single" w:sz="4" w:space="0" w:color="auto"/>
            </w:tcBorders>
            <w:shd w:val="clear" w:color="auto" w:fill="auto"/>
            <w:vAlign w:val="center"/>
          </w:tcPr>
          <w:p w14:paraId="26425B9B"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11,7</w:t>
            </w:r>
          </w:p>
        </w:tc>
        <w:tc>
          <w:tcPr>
            <w:tcW w:w="1151" w:type="dxa"/>
            <w:tcBorders>
              <w:top w:val="nil"/>
              <w:left w:val="nil"/>
              <w:bottom w:val="single" w:sz="4" w:space="0" w:color="auto"/>
              <w:right w:val="single" w:sz="4" w:space="0" w:color="auto"/>
            </w:tcBorders>
            <w:shd w:val="clear" w:color="auto" w:fill="auto"/>
            <w:vAlign w:val="center"/>
          </w:tcPr>
          <w:p w14:paraId="5AC11B9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11,7</w:t>
            </w:r>
          </w:p>
        </w:tc>
        <w:tc>
          <w:tcPr>
            <w:tcW w:w="1276" w:type="dxa"/>
            <w:tcBorders>
              <w:top w:val="nil"/>
              <w:left w:val="nil"/>
              <w:bottom w:val="single" w:sz="4" w:space="0" w:color="auto"/>
              <w:right w:val="double" w:sz="4" w:space="0" w:color="auto"/>
            </w:tcBorders>
            <w:shd w:val="clear" w:color="auto" w:fill="auto"/>
            <w:vAlign w:val="center"/>
          </w:tcPr>
          <w:p w14:paraId="3D4BE78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67F9F0D2" w14:textId="77777777" w:rsidTr="00AA092D">
        <w:trPr>
          <w:trHeight w:val="41"/>
        </w:trPr>
        <w:tc>
          <w:tcPr>
            <w:tcW w:w="4111" w:type="dxa"/>
            <w:tcBorders>
              <w:top w:val="nil"/>
              <w:left w:val="double" w:sz="4" w:space="0" w:color="auto"/>
              <w:bottom w:val="single" w:sz="4" w:space="0" w:color="auto"/>
              <w:right w:val="single" w:sz="4" w:space="0" w:color="auto"/>
            </w:tcBorders>
            <w:shd w:val="clear" w:color="auto" w:fill="auto"/>
            <w:vAlign w:val="center"/>
          </w:tcPr>
          <w:p w14:paraId="729EF6DC"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Уплата налогов, сборов и иных платежей</w:t>
            </w:r>
          </w:p>
        </w:tc>
        <w:tc>
          <w:tcPr>
            <w:tcW w:w="966" w:type="dxa"/>
            <w:tcBorders>
              <w:top w:val="nil"/>
              <w:left w:val="nil"/>
              <w:bottom w:val="single" w:sz="4" w:space="0" w:color="auto"/>
              <w:right w:val="single" w:sz="4" w:space="0" w:color="auto"/>
            </w:tcBorders>
            <w:shd w:val="clear" w:color="auto" w:fill="auto"/>
            <w:vAlign w:val="center"/>
          </w:tcPr>
          <w:p w14:paraId="57715274"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850</w:t>
            </w:r>
          </w:p>
        </w:tc>
        <w:tc>
          <w:tcPr>
            <w:tcW w:w="1160" w:type="dxa"/>
            <w:tcBorders>
              <w:top w:val="nil"/>
              <w:left w:val="nil"/>
              <w:bottom w:val="single" w:sz="4" w:space="0" w:color="auto"/>
              <w:right w:val="single" w:sz="4" w:space="0" w:color="auto"/>
            </w:tcBorders>
            <w:shd w:val="clear" w:color="auto" w:fill="auto"/>
            <w:vAlign w:val="center"/>
          </w:tcPr>
          <w:p w14:paraId="317501C9"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1117" w:type="dxa"/>
            <w:tcBorders>
              <w:top w:val="nil"/>
              <w:left w:val="nil"/>
              <w:bottom w:val="single" w:sz="4" w:space="0" w:color="auto"/>
              <w:right w:val="single" w:sz="4" w:space="0" w:color="auto"/>
            </w:tcBorders>
            <w:shd w:val="clear" w:color="auto" w:fill="auto"/>
            <w:vAlign w:val="center"/>
          </w:tcPr>
          <w:p w14:paraId="70D24718"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0,08</w:t>
            </w:r>
          </w:p>
        </w:tc>
        <w:tc>
          <w:tcPr>
            <w:tcW w:w="1151" w:type="dxa"/>
            <w:tcBorders>
              <w:top w:val="nil"/>
              <w:left w:val="nil"/>
              <w:bottom w:val="single" w:sz="4" w:space="0" w:color="auto"/>
              <w:right w:val="single" w:sz="4" w:space="0" w:color="auto"/>
            </w:tcBorders>
            <w:shd w:val="clear" w:color="auto" w:fill="auto"/>
            <w:vAlign w:val="center"/>
          </w:tcPr>
          <w:p w14:paraId="4DFE6412"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0,08</w:t>
            </w:r>
          </w:p>
        </w:tc>
        <w:tc>
          <w:tcPr>
            <w:tcW w:w="1276" w:type="dxa"/>
            <w:tcBorders>
              <w:top w:val="nil"/>
              <w:left w:val="nil"/>
              <w:bottom w:val="single" w:sz="4" w:space="0" w:color="auto"/>
              <w:right w:val="double" w:sz="4" w:space="0" w:color="auto"/>
            </w:tcBorders>
            <w:shd w:val="clear" w:color="auto" w:fill="auto"/>
            <w:vAlign w:val="center"/>
          </w:tcPr>
          <w:p w14:paraId="3351E639"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4236C67" w14:textId="77777777" w:rsidTr="00AA092D">
        <w:trPr>
          <w:trHeight w:val="76"/>
        </w:trPr>
        <w:tc>
          <w:tcPr>
            <w:tcW w:w="4111" w:type="dxa"/>
            <w:tcBorders>
              <w:top w:val="nil"/>
              <w:left w:val="double" w:sz="4" w:space="0" w:color="auto"/>
              <w:bottom w:val="single" w:sz="4" w:space="0" w:color="auto"/>
              <w:right w:val="single" w:sz="4" w:space="0" w:color="auto"/>
            </w:tcBorders>
            <w:shd w:val="clear" w:color="auto" w:fill="auto"/>
            <w:vAlign w:val="center"/>
          </w:tcPr>
          <w:p w14:paraId="7A989981" w14:textId="77777777" w:rsidR="00EA17E9" w:rsidRPr="00FD7B0B" w:rsidRDefault="00EA17E9" w:rsidP="00EA17E9">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Министерство спорта Архангельской области</w:t>
            </w:r>
          </w:p>
        </w:tc>
        <w:tc>
          <w:tcPr>
            <w:tcW w:w="966" w:type="dxa"/>
            <w:tcBorders>
              <w:top w:val="nil"/>
              <w:left w:val="nil"/>
              <w:bottom w:val="single" w:sz="4" w:space="0" w:color="auto"/>
              <w:right w:val="single" w:sz="4" w:space="0" w:color="auto"/>
            </w:tcBorders>
            <w:shd w:val="clear" w:color="auto" w:fill="auto"/>
            <w:vAlign w:val="center"/>
          </w:tcPr>
          <w:p w14:paraId="4B45D54F"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p>
        </w:tc>
        <w:tc>
          <w:tcPr>
            <w:tcW w:w="1160" w:type="dxa"/>
            <w:tcBorders>
              <w:top w:val="nil"/>
              <w:left w:val="nil"/>
              <w:bottom w:val="single" w:sz="4" w:space="0" w:color="auto"/>
              <w:right w:val="single" w:sz="4" w:space="0" w:color="auto"/>
            </w:tcBorders>
            <w:shd w:val="clear" w:color="auto" w:fill="auto"/>
            <w:vAlign w:val="center"/>
          </w:tcPr>
          <w:p w14:paraId="511523D2"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140,0</w:t>
            </w:r>
          </w:p>
        </w:tc>
        <w:tc>
          <w:tcPr>
            <w:tcW w:w="1117" w:type="dxa"/>
            <w:tcBorders>
              <w:top w:val="nil"/>
              <w:left w:val="nil"/>
              <w:bottom w:val="single" w:sz="4" w:space="0" w:color="auto"/>
              <w:right w:val="single" w:sz="4" w:space="0" w:color="auto"/>
            </w:tcBorders>
            <w:shd w:val="clear" w:color="auto" w:fill="auto"/>
            <w:vAlign w:val="center"/>
          </w:tcPr>
          <w:p w14:paraId="330C0D40"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1151" w:type="dxa"/>
            <w:tcBorders>
              <w:top w:val="nil"/>
              <w:left w:val="nil"/>
              <w:bottom w:val="single" w:sz="4" w:space="0" w:color="auto"/>
              <w:right w:val="single" w:sz="4" w:space="0" w:color="auto"/>
            </w:tcBorders>
            <w:shd w:val="clear" w:color="auto" w:fill="auto"/>
            <w:vAlign w:val="center"/>
          </w:tcPr>
          <w:p w14:paraId="7065218B"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1276" w:type="dxa"/>
            <w:tcBorders>
              <w:top w:val="nil"/>
              <w:left w:val="nil"/>
              <w:bottom w:val="single" w:sz="4" w:space="0" w:color="auto"/>
              <w:right w:val="double" w:sz="4" w:space="0" w:color="auto"/>
            </w:tcBorders>
            <w:shd w:val="clear" w:color="auto" w:fill="auto"/>
            <w:vAlign w:val="center"/>
          </w:tcPr>
          <w:p w14:paraId="72C4D4C5"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r>
      <w:tr w:rsidR="00FD7B0B" w:rsidRPr="00FD7B0B" w14:paraId="22F23BDE" w14:textId="77777777" w:rsidTr="00AA092D">
        <w:trPr>
          <w:trHeight w:val="278"/>
        </w:trPr>
        <w:tc>
          <w:tcPr>
            <w:tcW w:w="4111" w:type="dxa"/>
            <w:tcBorders>
              <w:top w:val="nil"/>
              <w:left w:val="double" w:sz="4" w:space="0" w:color="auto"/>
              <w:bottom w:val="double" w:sz="4" w:space="0" w:color="auto"/>
              <w:right w:val="single" w:sz="4" w:space="0" w:color="auto"/>
            </w:tcBorders>
            <w:shd w:val="clear" w:color="auto" w:fill="auto"/>
            <w:vAlign w:val="center"/>
            <w:hideMark/>
          </w:tcPr>
          <w:p w14:paraId="5E024F02" w14:textId="7DF15C26" w:rsidR="00EA17E9" w:rsidRPr="00FD7B0B" w:rsidRDefault="00EA17E9" w:rsidP="00AA092D">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юридическим лицам (кроме некоммерческих организаций), индивидуальным предпринимателям, физическим лицам</w:t>
            </w:r>
            <w:r w:rsidR="00AA092D" w:rsidRPr="00FD7B0B">
              <w:rPr>
                <w:rFonts w:ascii="Times New Roman" w:eastAsia="Times New Roman" w:hAnsi="Times New Roman" w:cs="Times New Roman"/>
                <w:sz w:val="18"/>
                <w:szCs w:val="18"/>
                <w:lang w:eastAsia="ru-RU"/>
              </w:rPr>
              <w:t xml:space="preserve"> – </w:t>
            </w:r>
            <w:r w:rsidRPr="00FD7B0B">
              <w:rPr>
                <w:rFonts w:ascii="Times New Roman" w:eastAsia="Times New Roman" w:hAnsi="Times New Roman" w:cs="Times New Roman"/>
                <w:sz w:val="18"/>
                <w:szCs w:val="18"/>
                <w:lang w:eastAsia="ru-RU"/>
              </w:rPr>
              <w:t>производителям товаров, работ, услуг</w:t>
            </w:r>
          </w:p>
        </w:tc>
        <w:tc>
          <w:tcPr>
            <w:tcW w:w="966" w:type="dxa"/>
            <w:tcBorders>
              <w:top w:val="nil"/>
              <w:left w:val="nil"/>
              <w:bottom w:val="double" w:sz="4" w:space="0" w:color="auto"/>
              <w:right w:val="single" w:sz="4" w:space="0" w:color="auto"/>
            </w:tcBorders>
            <w:shd w:val="clear" w:color="auto" w:fill="auto"/>
            <w:vAlign w:val="center"/>
            <w:hideMark/>
          </w:tcPr>
          <w:p w14:paraId="199DE448"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810</w:t>
            </w:r>
          </w:p>
        </w:tc>
        <w:tc>
          <w:tcPr>
            <w:tcW w:w="1160" w:type="dxa"/>
            <w:tcBorders>
              <w:top w:val="nil"/>
              <w:left w:val="nil"/>
              <w:bottom w:val="double" w:sz="4" w:space="0" w:color="auto"/>
              <w:right w:val="single" w:sz="4" w:space="0" w:color="auto"/>
            </w:tcBorders>
            <w:shd w:val="clear" w:color="auto" w:fill="auto"/>
            <w:vAlign w:val="center"/>
          </w:tcPr>
          <w:p w14:paraId="594B6EDA"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140,0</w:t>
            </w:r>
          </w:p>
        </w:tc>
        <w:tc>
          <w:tcPr>
            <w:tcW w:w="1117" w:type="dxa"/>
            <w:tcBorders>
              <w:top w:val="nil"/>
              <w:left w:val="nil"/>
              <w:bottom w:val="double" w:sz="4" w:space="0" w:color="auto"/>
              <w:right w:val="single" w:sz="4" w:space="0" w:color="auto"/>
            </w:tcBorders>
            <w:shd w:val="clear" w:color="auto" w:fill="auto"/>
            <w:vAlign w:val="center"/>
          </w:tcPr>
          <w:p w14:paraId="3DE89316"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1151" w:type="dxa"/>
            <w:tcBorders>
              <w:top w:val="nil"/>
              <w:left w:val="nil"/>
              <w:bottom w:val="double" w:sz="4" w:space="0" w:color="auto"/>
              <w:right w:val="single" w:sz="4" w:space="0" w:color="auto"/>
            </w:tcBorders>
            <w:shd w:val="clear" w:color="auto" w:fill="auto"/>
            <w:vAlign w:val="center"/>
          </w:tcPr>
          <w:p w14:paraId="1E5F906E"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1276" w:type="dxa"/>
            <w:tcBorders>
              <w:top w:val="nil"/>
              <w:left w:val="nil"/>
              <w:bottom w:val="double" w:sz="4" w:space="0" w:color="auto"/>
              <w:right w:val="double" w:sz="4" w:space="0" w:color="auto"/>
            </w:tcBorders>
            <w:shd w:val="clear" w:color="auto" w:fill="auto"/>
            <w:vAlign w:val="center"/>
          </w:tcPr>
          <w:p w14:paraId="533492D8" w14:textId="77777777" w:rsidR="00EA17E9" w:rsidRPr="00FD7B0B" w:rsidRDefault="00EA17E9" w:rsidP="00EA17E9">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r>
    </w:tbl>
    <w:p w14:paraId="46D0BCE1" w14:textId="77777777" w:rsidR="00AA092D" w:rsidRPr="00FD7B0B" w:rsidRDefault="00AA092D" w:rsidP="00EA17E9">
      <w:pPr>
        <w:autoSpaceDE w:val="0"/>
        <w:autoSpaceDN w:val="0"/>
        <w:adjustRightInd w:val="0"/>
        <w:spacing w:after="0" w:line="240" w:lineRule="auto"/>
        <w:ind w:firstLine="708"/>
        <w:jc w:val="both"/>
        <w:rPr>
          <w:rFonts w:ascii="Times New Roman" w:eastAsia="Times New Roman" w:hAnsi="Times New Roman"/>
          <w:sz w:val="28"/>
          <w:szCs w:val="28"/>
          <w:lang w:eastAsia="ru-RU"/>
        </w:rPr>
      </w:pPr>
    </w:p>
    <w:p w14:paraId="41EF6D7E" w14:textId="6EA07BEC" w:rsidR="00EA17E9" w:rsidRPr="00FD7B0B" w:rsidRDefault="00EA17E9" w:rsidP="00EA17E9">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Самый низкий процент исполнения отмечается по виду расходов 810 «Субсидии юридическим лицам (кроме некоммерческих организаций), индивидуальным предпринимателям, физическим лицам</w:t>
      </w:r>
      <w:r w:rsidR="00AA092D" w:rsidRPr="00FD7B0B">
        <w:rPr>
          <w:rFonts w:ascii="Times New Roman" w:eastAsia="Times New Roman" w:hAnsi="Times New Roman"/>
          <w:sz w:val="28"/>
          <w:szCs w:val="28"/>
          <w:lang w:eastAsia="ru-RU"/>
        </w:rPr>
        <w:t xml:space="preserve"> – </w:t>
      </w:r>
      <w:r w:rsidRPr="00FD7B0B">
        <w:rPr>
          <w:rFonts w:ascii="Times New Roman" w:eastAsia="Times New Roman" w:hAnsi="Times New Roman"/>
          <w:sz w:val="28"/>
          <w:szCs w:val="28"/>
          <w:lang w:eastAsia="ru-RU"/>
        </w:rPr>
        <w:t xml:space="preserve">производителям товаров, работ, услуг» по министерству спорта Архангельской области. Субсидия предусматривалась ООО «Виктория» на финансовое обеспечение части затрат на создание модульных некапитальных средств размещения. В связи с тем, что ООО «Виктория» отказалось от заключения соглашения на предоставление субсидий, Правительством Архангельской области 19.11.2024 </w:t>
      </w:r>
      <w:r w:rsidRPr="00FD7B0B">
        <w:rPr>
          <w:rFonts w:ascii="Times New Roman" w:eastAsia="Times New Roman" w:hAnsi="Times New Roman"/>
          <w:sz w:val="28"/>
          <w:szCs w:val="28"/>
          <w:lang w:eastAsia="ru-RU"/>
        </w:rPr>
        <w:lastRenderedPageBreak/>
        <w:t>было расторгнуто соглашение, заключенное с министерством экономического развития РФ от 18.10.2023 № 139-09-2023.</w:t>
      </w:r>
    </w:p>
    <w:p w14:paraId="19485D4F"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p>
    <w:p w14:paraId="08304DB5" w14:textId="58B9DFBF"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Динамика исполнения мероприятий ГП № 04 в части контрактуемых расходов, капитальных вложений и межбюджетных трансфертов представлена на рисунках </w:t>
      </w:r>
      <w:r w:rsidR="00F745C4" w:rsidRPr="00FD7B0B">
        <w:rPr>
          <w:rFonts w:ascii="Times New Roman" w:eastAsia="Times New Roman" w:hAnsi="Times New Roman"/>
          <w:sz w:val="28"/>
          <w:szCs w:val="28"/>
          <w:lang w:eastAsia="ru-RU"/>
        </w:rPr>
        <w:t>14</w:t>
      </w:r>
      <w:r w:rsidR="00AA092D" w:rsidRPr="00FD7B0B">
        <w:rPr>
          <w:rFonts w:ascii="Times New Roman" w:eastAsia="Times New Roman" w:hAnsi="Times New Roman"/>
          <w:sz w:val="28"/>
          <w:szCs w:val="28"/>
          <w:lang w:eastAsia="ru-RU"/>
        </w:rPr>
        <w:t xml:space="preserve"> </w:t>
      </w:r>
      <w:r w:rsidR="00F745C4" w:rsidRPr="00FD7B0B">
        <w:rPr>
          <w:rFonts w:ascii="Times New Roman" w:eastAsia="Times New Roman" w:hAnsi="Times New Roman"/>
          <w:sz w:val="28"/>
          <w:szCs w:val="28"/>
          <w:lang w:eastAsia="ru-RU"/>
        </w:rPr>
        <w:t>– 16</w:t>
      </w:r>
      <w:r w:rsidRPr="00FD7B0B">
        <w:rPr>
          <w:rFonts w:ascii="Times New Roman" w:eastAsia="Times New Roman" w:hAnsi="Times New Roman"/>
          <w:sz w:val="28"/>
          <w:szCs w:val="28"/>
          <w:lang w:eastAsia="ru-RU"/>
        </w:rPr>
        <w:t xml:space="preserve"> соответственно.</w:t>
      </w:r>
    </w:p>
    <w:p w14:paraId="4021E076" w14:textId="79C3256F" w:rsidR="00EA17E9" w:rsidRPr="00FD7B0B" w:rsidRDefault="000F3666" w:rsidP="000F3666">
      <w:pPr>
        <w:spacing w:after="0" w:line="240" w:lineRule="auto"/>
        <w:contextualSpacing/>
        <w:jc w:val="center"/>
        <w:rPr>
          <w:rFonts w:ascii="Times New Roman" w:eastAsia="Times New Roman" w:hAnsi="Times New Roman"/>
          <w:sz w:val="28"/>
          <w:szCs w:val="28"/>
          <w:lang w:eastAsia="ru-RU"/>
        </w:rPr>
      </w:pPr>
      <w:r w:rsidRPr="00FD7B0B">
        <w:rPr>
          <w:rFonts w:ascii="Times New Roman" w:eastAsia="Times New Roman" w:hAnsi="Times New Roman"/>
          <w:noProof/>
          <w:sz w:val="28"/>
          <w:szCs w:val="28"/>
          <w:lang w:eastAsia="ru-RU"/>
        </w:rPr>
        <w:drawing>
          <wp:inline distT="0" distB="0" distL="0" distR="0" wp14:anchorId="6E1F38CE" wp14:editId="2146662E">
            <wp:extent cx="5134332" cy="2012621"/>
            <wp:effectExtent l="0" t="0" r="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53302" cy="2020057"/>
                    </a:xfrm>
                    <a:prstGeom prst="rect">
                      <a:avLst/>
                    </a:prstGeom>
                    <a:noFill/>
                  </pic:spPr>
                </pic:pic>
              </a:graphicData>
            </a:graphic>
          </wp:inline>
        </w:drawing>
      </w:r>
    </w:p>
    <w:p w14:paraId="796E24AD" w14:textId="77777777" w:rsidR="00EA17E9" w:rsidRPr="00FD7B0B" w:rsidRDefault="00EA17E9" w:rsidP="00EA17E9">
      <w:pPr>
        <w:pStyle w:val="aff0"/>
        <w:spacing w:after="0" w:line="240" w:lineRule="auto"/>
        <w:jc w:val="both"/>
        <w:rPr>
          <w:rFonts w:ascii="Times New Roman" w:eastAsiaTheme="minorHAnsi" w:hAnsi="Times New Roman" w:cstheme="minorBidi"/>
          <w:b w:val="0"/>
          <w:bCs w:val="0"/>
          <w:sz w:val="24"/>
          <w:szCs w:val="24"/>
        </w:rPr>
      </w:pPr>
      <w:r w:rsidRPr="00FD7B0B">
        <w:rPr>
          <w:rFonts w:ascii="Times New Roman" w:eastAsiaTheme="minorHAnsi" w:hAnsi="Times New Roman" w:cstheme="minorBidi"/>
          <w:b w:val="0"/>
          <w:bCs w:val="0"/>
          <w:sz w:val="24"/>
          <w:szCs w:val="24"/>
        </w:rPr>
        <w:t xml:space="preserve">Рисунок </w:t>
      </w:r>
      <w:r w:rsidRPr="00FD7B0B">
        <w:rPr>
          <w:rFonts w:ascii="Times New Roman" w:eastAsiaTheme="minorHAnsi" w:hAnsi="Times New Roman" w:cstheme="minorBidi"/>
          <w:b w:val="0"/>
          <w:bCs w:val="0"/>
          <w:sz w:val="24"/>
          <w:szCs w:val="24"/>
        </w:rPr>
        <w:fldChar w:fldCharType="begin"/>
      </w:r>
      <w:r w:rsidRPr="00FD7B0B">
        <w:rPr>
          <w:rFonts w:ascii="Times New Roman" w:eastAsiaTheme="minorHAnsi" w:hAnsi="Times New Roman" w:cstheme="minorBidi"/>
          <w:b w:val="0"/>
          <w:bCs w:val="0"/>
          <w:sz w:val="24"/>
          <w:szCs w:val="24"/>
        </w:rPr>
        <w:instrText xml:space="preserve"> SEQ Рисунок \* ARABIC </w:instrText>
      </w:r>
      <w:r w:rsidRPr="00FD7B0B">
        <w:rPr>
          <w:rFonts w:ascii="Times New Roman" w:eastAsiaTheme="minorHAnsi" w:hAnsi="Times New Roman" w:cstheme="minorBidi"/>
          <w:b w:val="0"/>
          <w:bCs w:val="0"/>
          <w:sz w:val="24"/>
          <w:szCs w:val="24"/>
        </w:rPr>
        <w:fldChar w:fldCharType="separate"/>
      </w:r>
      <w:r w:rsidR="002959CD" w:rsidRPr="00FD7B0B">
        <w:rPr>
          <w:rFonts w:ascii="Times New Roman" w:eastAsiaTheme="minorHAnsi" w:hAnsi="Times New Roman" w:cstheme="minorBidi"/>
          <w:b w:val="0"/>
          <w:bCs w:val="0"/>
          <w:noProof/>
          <w:sz w:val="24"/>
          <w:szCs w:val="24"/>
        </w:rPr>
        <w:t>14</w:t>
      </w:r>
      <w:r w:rsidRPr="00FD7B0B">
        <w:rPr>
          <w:rFonts w:ascii="Times New Roman" w:eastAsiaTheme="minorHAnsi" w:hAnsi="Times New Roman" w:cstheme="minorBidi"/>
          <w:b w:val="0"/>
          <w:bCs w:val="0"/>
          <w:sz w:val="24"/>
          <w:szCs w:val="24"/>
        </w:rPr>
        <w:fldChar w:fldCharType="end"/>
      </w:r>
      <w:r w:rsidRPr="00FD7B0B">
        <w:rPr>
          <w:rFonts w:ascii="Times New Roman" w:eastAsiaTheme="minorHAnsi" w:hAnsi="Times New Roman" w:cstheme="minorBidi"/>
          <w:b w:val="0"/>
          <w:bCs w:val="0"/>
          <w:sz w:val="24"/>
          <w:szCs w:val="24"/>
        </w:rPr>
        <w:t>. Расходы областного бюджета за 2024 год на реализацию мероприятий ГП № 04 в части контрактуемых расходов, млн.руб.</w:t>
      </w:r>
    </w:p>
    <w:p w14:paraId="3D902D62" w14:textId="77777777" w:rsidR="00D15A2E" w:rsidRPr="00FD7B0B" w:rsidRDefault="00D15A2E" w:rsidP="00D15A2E"/>
    <w:p w14:paraId="1181E794" w14:textId="26819D3B" w:rsidR="00EA17E9" w:rsidRPr="00FD7B0B" w:rsidRDefault="00D15A2E" w:rsidP="00D15A2E">
      <w:pPr>
        <w:pStyle w:val="aff0"/>
        <w:spacing w:after="0" w:line="240" w:lineRule="auto"/>
        <w:jc w:val="center"/>
        <w:rPr>
          <w:rFonts w:ascii="Times New Roman" w:eastAsiaTheme="minorHAnsi" w:hAnsi="Times New Roman" w:cstheme="minorBidi"/>
          <w:b w:val="0"/>
          <w:bCs w:val="0"/>
          <w:sz w:val="24"/>
          <w:szCs w:val="24"/>
        </w:rPr>
      </w:pPr>
      <w:r w:rsidRPr="00FD7B0B">
        <w:rPr>
          <w:rFonts w:ascii="Times New Roman" w:eastAsiaTheme="minorHAnsi" w:hAnsi="Times New Roman" w:cstheme="minorBidi"/>
          <w:b w:val="0"/>
          <w:bCs w:val="0"/>
          <w:noProof/>
          <w:sz w:val="24"/>
          <w:szCs w:val="24"/>
          <w:lang w:eastAsia="ru-RU"/>
        </w:rPr>
        <w:drawing>
          <wp:inline distT="0" distB="0" distL="0" distR="0" wp14:anchorId="6E5D7258" wp14:editId="509AD4BB">
            <wp:extent cx="5393493" cy="1602758"/>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12241" cy="1608329"/>
                    </a:xfrm>
                    <a:prstGeom prst="rect">
                      <a:avLst/>
                    </a:prstGeom>
                    <a:noFill/>
                  </pic:spPr>
                </pic:pic>
              </a:graphicData>
            </a:graphic>
          </wp:inline>
        </w:drawing>
      </w:r>
    </w:p>
    <w:p w14:paraId="3F9DCD71" w14:textId="5579A717" w:rsidR="00EA17E9" w:rsidRPr="00FD7B0B" w:rsidRDefault="00EA17E9" w:rsidP="00D15A2E">
      <w:pPr>
        <w:pStyle w:val="aff0"/>
        <w:spacing w:after="0" w:line="240" w:lineRule="auto"/>
        <w:jc w:val="both"/>
        <w:rPr>
          <w:rFonts w:ascii="Times New Roman" w:eastAsiaTheme="minorHAnsi" w:hAnsi="Times New Roman" w:cstheme="minorBidi"/>
          <w:b w:val="0"/>
          <w:bCs w:val="0"/>
          <w:sz w:val="24"/>
          <w:szCs w:val="24"/>
        </w:rPr>
      </w:pPr>
      <w:r w:rsidRPr="00FD7B0B">
        <w:rPr>
          <w:rFonts w:ascii="Times New Roman" w:eastAsiaTheme="minorHAnsi" w:hAnsi="Times New Roman" w:cstheme="minorBidi"/>
          <w:b w:val="0"/>
          <w:bCs w:val="0"/>
          <w:sz w:val="24"/>
          <w:szCs w:val="24"/>
        </w:rPr>
        <w:t xml:space="preserve">Рисунок </w:t>
      </w:r>
      <w:r w:rsidRPr="00FD7B0B">
        <w:rPr>
          <w:rFonts w:ascii="Times New Roman" w:eastAsiaTheme="minorHAnsi" w:hAnsi="Times New Roman" w:cstheme="minorBidi"/>
          <w:b w:val="0"/>
          <w:bCs w:val="0"/>
          <w:sz w:val="24"/>
          <w:szCs w:val="24"/>
        </w:rPr>
        <w:fldChar w:fldCharType="begin"/>
      </w:r>
      <w:r w:rsidRPr="00FD7B0B">
        <w:rPr>
          <w:rFonts w:ascii="Times New Roman" w:eastAsiaTheme="minorHAnsi" w:hAnsi="Times New Roman" w:cstheme="minorBidi"/>
          <w:b w:val="0"/>
          <w:bCs w:val="0"/>
          <w:sz w:val="24"/>
          <w:szCs w:val="24"/>
        </w:rPr>
        <w:instrText xml:space="preserve"> SEQ Рисунок \* ARABIC </w:instrText>
      </w:r>
      <w:r w:rsidRPr="00FD7B0B">
        <w:rPr>
          <w:rFonts w:ascii="Times New Roman" w:eastAsiaTheme="minorHAnsi" w:hAnsi="Times New Roman" w:cstheme="minorBidi"/>
          <w:b w:val="0"/>
          <w:bCs w:val="0"/>
          <w:sz w:val="24"/>
          <w:szCs w:val="24"/>
        </w:rPr>
        <w:fldChar w:fldCharType="separate"/>
      </w:r>
      <w:r w:rsidR="002959CD" w:rsidRPr="00FD7B0B">
        <w:rPr>
          <w:rFonts w:ascii="Times New Roman" w:eastAsiaTheme="minorHAnsi" w:hAnsi="Times New Roman" w:cstheme="minorBidi"/>
          <w:b w:val="0"/>
          <w:bCs w:val="0"/>
          <w:noProof/>
          <w:sz w:val="24"/>
          <w:szCs w:val="24"/>
        </w:rPr>
        <w:t>15</w:t>
      </w:r>
      <w:r w:rsidRPr="00FD7B0B">
        <w:rPr>
          <w:rFonts w:ascii="Times New Roman" w:eastAsiaTheme="minorHAnsi" w:hAnsi="Times New Roman" w:cstheme="minorBidi"/>
          <w:b w:val="0"/>
          <w:bCs w:val="0"/>
          <w:sz w:val="24"/>
          <w:szCs w:val="24"/>
        </w:rPr>
        <w:fldChar w:fldCharType="end"/>
      </w:r>
      <w:r w:rsidRPr="00FD7B0B">
        <w:rPr>
          <w:rFonts w:ascii="Times New Roman" w:eastAsiaTheme="minorHAnsi" w:hAnsi="Times New Roman" w:cstheme="minorBidi"/>
          <w:b w:val="0"/>
          <w:bCs w:val="0"/>
          <w:sz w:val="24"/>
          <w:szCs w:val="24"/>
        </w:rPr>
        <w:t>. Расходы областного бюджета за 2024 год на реализацию мероприятий ГП № 04 в части капитальных вложений, млн.руб.</w:t>
      </w:r>
    </w:p>
    <w:p w14:paraId="5EDFFD19" w14:textId="77777777" w:rsidR="001361A6" w:rsidRPr="00FD7B0B" w:rsidRDefault="001361A6" w:rsidP="001361A6">
      <w:pPr>
        <w:pStyle w:val="aff0"/>
        <w:spacing w:after="0" w:line="240" w:lineRule="auto"/>
        <w:jc w:val="both"/>
        <w:rPr>
          <w:rFonts w:ascii="Times New Roman" w:eastAsiaTheme="minorHAnsi" w:hAnsi="Times New Roman" w:cstheme="minorBidi"/>
          <w:b w:val="0"/>
          <w:bCs w:val="0"/>
          <w:sz w:val="24"/>
          <w:szCs w:val="24"/>
        </w:rPr>
      </w:pPr>
    </w:p>
    <w:p w14:paraId="5B96F612" w14:textId="2B8A395E" w:rsidR="00D15A2E" w:rsidRPr="00FD7B0B" w:rsidRDefault="00D15A2E" w:rsidP="00D15A2E">
      <w:pPr>
        <w:pStyle w:val="aff0"/>
        <w:spacing w:after="0" w:line="240" w:lineRule="auto"/>
        <w:jc w:val="center"/>
        <w:rPr>
          <w:rFonts w:ascii="Times New Roman" w:eastAsiaTheme="minorHAnsi" w:hAnsi="Times New Roman" w:cstheme="minorBidi"/>
          <w:b w:val="0"/>
          <w:bCs w:val="0"/>
          <w:sz w:val="24"/>
          <w:szCs w:val="24"/>
        </w:rPr>
      </w:pPr>
      <w:r w:rsidRPr="00FD7B0B">
        <w:rPr>
          <w:rFonts w:ascii="Times New Roman" w:eastAsiaTheme="minorHAnsi" w:hAnsi="Times New Roman" w:cstheme="minorBidi"/>
          <w:b w:val="0"/>
          <w:bCs w:val="0"/>
          <w:noProof/>
          <w:sz w:val="24"/>
          <w:szCs w:val="24"/>
          <w:lang w:eastAsia="ru-RU"/>
        </w:rPr>
        <w:drawing>
          <wp:inline distT="0" distB="0" distL="0" distR="0" wp14:anchorId="280CE1A0" wp14:editId="130420B3">
            <wp:extent cx="5109882" cy="185103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31114" cy="1858726"/>
                    </a:xfrm>
                    <a:prstGeom prst="rect">
                      <a:avLst/>
                    </a:prstGeom>
                    <a:noFill/>
                  </pic:spPr>
                </pic:pic>
              </a:graphicData>
            </a:graphic>
          </wp:inline>
        </w:drawing>
      </w:r>
    </w:p>
    <w:p w14:paraId="452C4DCE" w14:textId="77777777" w:rsidR="00EA17E9" w:rsidRPr="00FD7B0B" w:rsidRDefault="00EA17E9" w:rsidP="00EA17E9">
      <w:pPr>
        <w:pStyle w:val="aff0"/>
        <w:spacing w:after="0" w:line="240" w:lineRule="auto"/>
        <w:jc w:val="both"/>
        <w:rPr>
          <w:rFonts w:ascii="Times New Roman" w:eastAsiaTheme="minorHAnsi" w:hAnsi="Times New Roman" w:cstheme="minorBidi"/>
          <w:b w:val="0"/>
          <w:bCs w:val="0"/>
          <w:sz w:val="24"/>
          <w:szCs w:val="24"/>
        </w:rPr>
      </w:pPr>
      <w:r w:rsidRPr="00FD7B0B">
        <w:rPr>
          <w:rFonts w:ascii="Times New Roman" w:eastAsiaTheme="minorHAnsi" w:hAnsi="Times New Roman" w:cstheme="minorBidi"/>
          <w:b w:val="0"/>
          <w:bCs w:val="0"/>
          <w:sz w:val="24"/>
          <w:szCs w:val="24"/>
        </w:rPr>
        <w:t xml:space="preserve">Рисунок </w:t>
      </w:r>
      <w:r w:rsidRPr="00FD7B0B">
        <w:rPr>
          <w:rFonts w:ascii="Times New Roman" w:eastAsiaTheme="minorHAnsi" w:hAnsi="Times New Roman" w:cstheme="minorBidi"/>
          <w:b w:val="0"/>
          <w:bCs w:val="0"/>
          <w:sz w:val="24"/>
          <w:szCs w:val="24"/>
        </w:rPr>
        <w:fldChar w:fldCharType="begin"/>
      </w:r>
      <w:r w:rsidRPr="00FD7B0B">
        <w:rPr>
          <w:rFonts w:ascii="Times New Roman" w:eastAsiaTheme="minorHAnsi" w:hAnsi="Times New Roman" w:cstheme="minorBidi"/>
          <w:b w:val="0"/>
          <w:bCs w:val="0"/>
          <w:sz w:val="24"/>
          <w:szCs w:val="24"/>
        </w:rPr>
        <w:instrText xml:space="preserve"> SEQ Рисунок \* ARABIC </w:instrText>
      </w:r>
      <w:r w:rsidRPr="00FD7B0B">
        <w:rPr>
          <w:rFonts w:ascii="Times New Roman" w:eastAsiaTheme="minorHAnsi" w:hAnsi="Times New Roman" w:cstheme="minorBidi"/>
          <w:b w:val="0"/>
          <w:bCs w:val="0"/>
          <w:sz w:val="24"/>
          <w:szCs w:val="24"/>
        </w:rPr>
        <w:fldChar w:fldCharType="separate"/>
      </w:r>
      <w:r w:rsidR="002959CD" w:rsidRPr="00FD7B0B">
        <w:rPr>
          <w:rFonts w:ascii="Times New Roman" w:eastAsiaTheme="minorHAnsi" w:hAnsi="Times New Roman" w:cstheme="minorBidi"/>
          <w:b w:val="0"/>
          <w:bCs w:val="0"/>
          <w:noProof/>
          <w:sz w:val="24"/>
          <w:szCs w:val="24"/>
        </w:rPr>
        <w:t>16</w:t>
      </w:r>
      <w:r w:rsidRPr="00FD7B0B">
        <w:rPr>
          <w:rFonts w:ascii="Times New Roman" w:eastAsiaTheme="minorHAnsi" w:hAnsi="Times New Roman" w:cstheme="minorBidi"/>
          <w:b w:val="0"/>
          <w:bCs w:val="0"/>
          <w:sz w:val="24"/>
          <w:szCs w:val="24"/>
        </w:rPr>
        <w:fldChar w:fldCharType="end"/>
      </w:r>
      <w:r w:rsidRPr="00FD7B0B">
        <w:rPr>
          <w:rFonts w:ascii="Times New Roman" w:eastAsiaTheme="minorHAnsi" w:hAnsi="Times New Roman" w:cstheme="minorBidi"/>
          <w:b w:val="0"/>
          <w:bCs w:val="0"/>
          <w:sz w:val="24"/>
          <w:szCs w:val="24"/>
        </w:rPr>
        <w:t>. Расходы областного бюджета за 2024 год на реализацию мероприятий ГП № 04 в части межбюджетных трансфертов, млн.руб.</w:t>
      </w:r>
    </w:p>
    <w:p w14:paraId="72BB4D55" w14:textId="77777777" w:rsidR="00D15A2E" w:rsidRPr="00FD7B0B" w:rsidRDefault="00D15A2E" w:rsidP="001361A6">
      <w:pPr>
        <w:pStyle w:val="aff0"/>
        <w:spacing w:after="0" w:line="240" w:lineRule="auto"/>
        <w:jc w:val="both"/>
        <w:rPr>
          <w:rFonts w:ascii="Times New Roman" w:eastAsiaTheme="minorHAnsi" w:hAnsi="Times New Roman" w:cstheme="minorBidi"/>
          <w:b w:val="0"/>
          <w:bCs w:val="0"/>
          <w:sz w:val="24"/>
          <w:szCs w:val="24"/>
        </w:rPr>
      </w:pPr>
    </w:p>
    <w:p w14:paraId="4FB1AC0E" w14:textId="77777777" w:rsidR="00EA17E9" w:rsidRPr="00FD7B0B" w:rsidRDefault="00EA17E9" w:rsidP="00EA17E9">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Проект отчета о реализации в 2024 году государственной программы Архангельской области «Культура Русского Севера» в контрольно-счетную палату Архангельской области направлен письмом министерства экономического развития и промышленности от 11.04.2025 № 206-07/796.</w:t>
      </w:r>
    </w:p>
    <w:p w14:paraId="6E227537" w14:textId="11E4FD78" w:rsidR="00EA17E9" w:rsidRPr="00FD7B0B" w:rsidRDefault="00EA17E9" w:rsidP="00EA17E9">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При анализе данных вышеуказанного проекта отчета о реализации ГП №</w:t>
      </w:r>
      <w:r w:rsidR="00D15A2E"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04 за 2024 год, а также информации, содержащейся в отчетах о реализации региональных проектов за 2024 год, необходимо отметить следующее.</w:t>
      </w:r>
    </w:p>
    <w:p w14:paraId="3AF7C0E8" w14:textId="64777D0B" w:rsidR="00EA17E9" w:rsidRPr="00FD7B0B" w:rsidRDefault="00EA17E9" w:rsidP="00EA17E9">
      <w:pPr>
        <w:pStyle w:val="af"/>
        <w:ind w:firstLine="708"/>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 В рамках регионального проекта «Обеспечение качественно нового уровня развития инфраструктуры культуры («Культурная среда») проводился капитальный ремонт здания библиотеки имени Н.А. Доброл</w:t>
      </w:r>
      <w:r w:rsidR="00D15A2E" w:rsidRPr="00FD7B0B">
        <w:rPr>
          <w:rFonts w:ascii="Times New Roman" w:eastAsia="Times New Roman" w:hAnsi="Times New Roman" w:cs="Times New Roman"/>
          <w:sz w:val="28"/>
          <w:szCs w:val="28"/>
          <w:lang w:eastAsia="ru-RU"/>
        </w:rPr>
        <w:t>юбова.</w:t>
      </w:r>
    </w:p>
    <w:p w14:paraId="4DB05CEC" w14:textId="0FA6365D" w:rsidR="00EA17E9" w:rsidRPr="00FD7B0B" w:rsidRDefault="00EA17E9" w:rsidP="00D15A2E">
      <w:pPr>
        <w:pStyle w:val="af"/>
        <w:ind w:firstLine="708"/>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данным размещенным в Единой информационной системе (далее - ЕИС) по состоянию на 11.04.2025 учреждением - АОНБ им. Н.А. Добролюбова с ООО «Центррегионстрой» заключен контракт от 29.04.2022 на выполнение работ по капитальному ремонту здания библиотеки, расположенному по адресу: г. Архангельск, ул. Логинова, д. 2 на сумму 360,0 млн.руб. Согласно пункту 1.2 контракта срок завершения работ – не позднее 15.12.2023 с учетом подписания всех документов о приемке. Дополнительным соглашением от 18.04.2024 № 11 срок завершения работ продлен, работы должны быть завершены не позднее 31.10.2024. Цена контракта увеличена на основании дополнительного соглашения № 10 от 10.04.2024 на 208,3 млн.руб. (или на 57,9</w:t>
      </w:r>
      <w:r w:rsidR="00472F7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от первоначальной цены контракта и составила 568,3 млн.руб. Согласно вкладке «Исполнение (расторжение) контракта» по состоянию на 11.05.2025: цена контракта – 568,3 млн.руб., стоимость исполненных подрядчиком обязательств составляет 482,4 млн.руб., фактически оплачено – 446,9 млн.руб. Статус контракта в ЕИС – «Исполнение». Следовательно, с момента заключения контракта, то есть с 29.04.2022 и до 11.04.2025 подрядчиком выполнены работы только на 84,9% при установленном контрактом сроке</w:t>
      </w:r>
      <w:r w:rsidR="00472F76" w:rsidRPr="00FD7B0B">
        <w:rPr>
          <w:rFonts w:ascii="Times New Roman" w:eastAsia="Times New Roman" w:hAnsi="Times New Roman" w:cs="Times New Roman"/>
          <w:sz w:val="28"/>
          <w:szCs w:val="28"/>
          <w:lang w:eastAsia="ru-RU"/>
        </w:rPr>
        <w:t xml:space="preserve"> их выполнения – до 31.10.2024.</w:t>
      </w:r>
    </w:p>
    <w:p w14:paraId="01E99F02" w14:textId="54097E38" w:rsidR="00EA17E9" w:rsidRPr="00FD7B0B" w:rsidRDefault="00EA17E9" w:rsidP="00EA17E9">
      <w:pPr>
        <w:spacing w:after="0" w:line="240" w:lineRule="auto"/>
        <w:ind w:firstLine="708"/>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представленному к проверке Отчету о реализации в 2024 году государственной программы Архангельской области «Культура Русского Севера» кассовые расходы составили 265,3 млн.руб. или 100</w:t>
      </w:r>
      <w:r w:rsidR="00472F7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нарушений плана реализации регионального проекта «Обеспечение качественно нового уровня развития инфраструктуры культуры («Культурная среда») государственной программы Архангельской области нет.</w:t>
      </w:r>
    </w:p>
    <w:p w14:paraId="7A85B7F6" w14:textId="1DC4041A" w:rsidR="00EA17E9" w:rsidRPr="00FD7B0B" w:rsidRDefault="00EA17E9" w:rsidP="00EA17E9">
      <w:pPr>
        <w:spacing w:after="0" w:line="240" w:lineRule="auto"/>
        <w:ind w:firstLine="708"/>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соответствии с отчетом о ходе реализации регионального проекта за 2024 год «Обеспечение качественно нового уровня развития инфраструктуры культуры («Культурная среда»): проведены работы по капитальному ремонту ГБУК АО «Архангельская областная научная библиотека им. Н.А. Добролюбова». В сведениях о достижении мероприятий (результатов), параметров характеристики и контрольных точек регионального проекта указано: проведена реновация региональных и (или) муниципальных организаций отрасли культуры, направленная на улучшение качества культурной среды Значение: 2,0000 Дата: 31.12.2024, мероприятие выполнено, риск снят.</w:t>
      </w:r>
    </w:p>
    <w:p w14:paraId="76EF46F6" w14:textId="77777777" w:rsidR="00EA17E9" w:rsidRPr="00FD7B0B" w:rsidRDefault="00EA17E9" w:rsidP="00EA17E9">
      <w:pPr>
        <w:pStyle w:val="af"/>
        <w:ind w:firstLine="708"/>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Следует отметить, что срок окончания реализации федерального проекта «Культурная среда» - 31.12.2024.</w:t>
      </w:r>
    </w:p>
    <w:p w14:paraId="5482402E" w14:textId="1F7E2563" w:rsidR="00EA17E9" w:rsidRPr="00FD7B0B" w:rsidRDefault="00EA17E9" w:rsidP="00472F76">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На момент проведения экспертно-аналитического мероприятия (</w:t>
      </w:r>
      <w:r w:rsidR="000A4C6C" w:rsidRPr="00FD7B0B">
        <w:rPr>
          <w:rFonts w:ascii="Times New Roman" w:eastAsia="Times New Roman" w:hAnsi="Times New Roman" w:cs="Times New Roman"/>
          <w:sz w:val="28"/>
          <w:szCs w:val="28"/>
          <w:lang w:eastAsia="ru-RU"/>
        </w:rPr>
        <w:t>20</w:t>
      </w:r>
      <w:r w:rsidRPr="00FD7B0B">
        <w:rPr>
          <w:rFonts w:ascii="Times New Roman" w:eastAsia="Times New Roman" w:hAnsi="Times New Roman" w:cs="Times New Roman"/>
          <w:sz w:val="28"/>
          <w:szCs w:val="28"/>
          <w:lang w:eastAsia="ru-RU"/>
        </w:rPr>
        <w:t>.0</w:t>
      </w:r>
      <w:r w:rsidR="000A4C6C" w:rsidRPr="00FD7B0B">
        <w:rPr>
          <w:rFonts w:ascii="Times New Roman" w:eastAsia="Times New Roman" w:hAnsi="Times New Roman" w:cs="Times New Roman"/>
          <w:sz w:val="28"/>
          <w:szCs w:val="28"/>
          <w:lang w:eastAsia="ru-RU"/>
        </w:rPr>
        <w:t>5</w:t>
      </w:r>
      <w:r w:rsidRPr="00FD7B0B">
        <w:rPr>
          <w:rFonts w:ascii="Times New Roman" w:eastAsia="Times New Roman" w:hAnsi="Times New Roman" w:cs="Times New Roman"/>
          <w:sz w:val="28"/>
          <w:szCs w:val="28"/>
          <w:lang w:eastAsia="ru-RU"/>
        </w:rPr>
        <w:t>.2025) здание библиотеки им. Н.А. Добролюбова, расположенное по адресу: г. Архангельск, ул. Логинова, д. 2, закрыто для посетителей.</w:t>
      </w:r>
    </w:p>
    <w:p w14:paraId="23E50572" w14:textId="407C51CF" w:rsidR="00EA17E9" w:rsidRPr="00FD7B0B" w:rsidRDefault="00EA17E9" w:rsidP="00EA17E9">
      <w:pPr>
        <w:spacing w:after="0" w:line="240" w:lineRule="auto"/>
        <w:ind w:firstLine="708"/>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Таким образом, проект отчета о реализации мероприятий государственной программы Архангельской области «</w:t>
      </w:r>
      <w:r w:rsidRPr="00FD7B0B">
        <w:rPr>
          <w:rFonts w:ascii="Times New Roman" w:hAnsi="Times New Roman"/>
          <w:sz w:val="28"/>
          <w:szCs w:val="28"/>
        </w:rPr>
        <w:t>Культура Русского Севера</w:t>
      </w:r>
      <w:r w:rsidRPr="00FD7B0B">
        <w:rPr>
          <w:rFonts w:ascii="Times New Roman" w:eastAsia="Times New Roman" w:hAnsi="Times New Roman" w:cs="Times New Roman"/>
          <w:sz w:val="28"/>
          <w:szCs w:val="28"/>
          <w:lang w:eastAsia="ru-RU"/>
        </w:rPr>
        <w:t>», представленный письмом министерства экономического развития и промышленности от 11.04.2025 № 206-07/796 и отчет о ходе реализации регионального проекта за 2024 год «Обеспечение качественно нового уровня развития инфраструктуры культуры («Культурная среда»)</w:t>
      </w:r>
      <w:r w:rsidR="006B1103"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xml:space="preserve"> может содержать недостоверные данные о выполнении работ по капитальному ремонту здания библиотеки им. Н.А. Добролюбова.</w:t>
      </w:r>
    </w:p>
    <w:p w14:paraId="240EAD00" w14:textId="7C5B5181" w:rsidR="00EA17E9" w:rsidRPr="00FD7B0B" w:rsidRDefault="00EA17E9" w:rsidP="006B1103">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Более того, в заключении на исполнении бюджета за 2023 год контрольно-счетная палата Архангельской области отмечала, что на данном объекте существует риск срыва сроков выполнения работ по капитальному ремонту, что в свою очередь может привести к невыполнению мероприятия </w:t>
      </w:r>
      <w:hyperlink r:id="rId29" w:history="1">
        <w:r w:rsidRPr="00FD7B0B">
          <w:rPr>
            <w:rFonts w:ascii="Times New Roman" w:eastAsia="Times New Roman" w:hAnsi="Times New Roman" w:cs="Times New Roman"/>
            <w:sz w:val="28"/>
            <w:szCs w:val="28"/>
            <w:lang w:eastAsia="ru-RU"/>
          </w:rPr>
          <w:t>федерального проекта</w:t>
        </w:r>
      </w:hyperlink>
      <w:r w:rsidRPr="00FD7B0B">
        <w:rPr>
          <w:rFonts w:ascii="Times New Roman" w:eastAsia="Times New Roman" w:hAnsi="Times New Roman" w:cs="Times New Roman"/>
          <w:sz w:val="28"/>
          <w:szCs w:val="28"/>
          <w:lang w:eastAsia="ru-RU"/>
        </w:rPr>
        <w:t xml:space="preserve"> «Культурная среда» </w:t>
      </w:r>
      <w:hyperlink r:id="rId30" w:history="1">
        <w:r w:rsidRPr="00FD7B0B">
          <w:rPr>
            <w:rFonts w:ascii="Times New Roman" w:eastAsia="Times New Roman" w:hAnsi="Times New Roman" w:cs="Times New Roman"/>
            <w:sz w:val="28"/>
            <w:szCs w:val="28"/>
            <w:lang w:eastAsia="ru-RU"/>
          </w:rPr>
          <w:t>национального проекта</w:t>
        </w:r>
      </w:hyperlink>
      <w:r w:rsidRPr="00FD7B0B">
        <w:rPr>
          <w:rFonts w:ascii="Times New Roman" w:eastAsia="Times New Roman" w:hAnsi="Times New Roman" w:cs="Times New Roman"/>
          <w:sz w:val="28"/>
          <w:szCs w:val="28"/>
          <w:lang w:eastAsia="ru-RU"/>
        </w:rPr>
        <w:t xml:space="preserve"> «Культура».</w:t>
      </w:r>
    </w:p>
    <w:p w14:paraId="0A282F03" w14:textId="77777777" w:rsidR="00EA17E9" w:rsidRPr="00FD7B0B" w:rsidRDefault="00EA17E9" w:rsidP="00EA17E9">
      <w:pPr>
        <w:spacing w:after="0" w:line="240" w:lineRule="auto"/>
        <w:ind w:firstLine="708"/>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2) В 2024 году в рамках государственной программы Архангельской области «Культура Русского Севера» в областную адресную инвестиционную программу на 2024 год и на плановый период 2025 и 2026 годов (в редакции постановления Правительства Архангельской области от 24.12.2024 № 1196-пп) были включены 3 объекта:</w:t>
      </w:r>
    </w:p>
    <w:p w14:paraId="42A040C2" w14:textId="77777777" w:rsidR="00EA17E9" w:rsidRPr="00FD7B0B" w:rsidRDefault="00EA17E9" w:rsidP="00EA17E9">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проектирование и реконструкция здания Новодвинского ГКЦ (прогнозный срок окончания строительства 2024 год);</w:t>
      </w:r>
    </w:p>
    <w:p w14:paraId="18E134EF" w14:textId="77777777" w:rsidR="00EA17E9" w:rsidRPr="00FD7B0B" w:rsidRDefault="00EA17E9" w:rsidP="00EA17E9">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проектирование и строительство Дома культуры в р.п. Обозерский (завершение строительства объекта запланировано в 2025 году);</w:t>
      </w:r>
    </w:p>
    <w:p w14:paraId="12B8823A" w14:textId="77777777" w:rsidR="00EA17E9" w:rsidRPr="00FD7B0B" w:rsidRDefault="00EA17E9" w:rsidP="00EA17E9">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строительство культурно-досугового центра в пос. Пинега Пинежского района Архангельской области (завершение строительства объекта запланировано в 2025 году).</w:t>
      </w:r>
    </w:p>
    <w:p w14:paraId="4B68B6E6" w14:textId="2D92E73B" w:rsidR="00EA17E9" w:rsidRPr="00FD7B0B" w:rsidRDefault="00EA17E9" w:rsidP="006B1103">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Следует отметить, что согласно отчету по государственной программе «Культура Русского Севера», размещенному в КИАС за 2023 год, доля выполнения работ по реконструкции здания Новодвинского ГКЦ в 2023 году составила </w:t>
      </w:r>
      <w:r w:rsidR="00A01A98" w:rsidRPr="00FD7B0B">
        <w:rPr>
          <w:rFonts w:ascii="Times New Roman" w:eastAsia="Times New Roman" w:hAnsi="Times New Roman"/>
          <w:sz w:val="28"/>
          <w:szCs w:val="28"/>
          <w:lang w:eastAsia="ru-RU"/>
        </w:rPr>
        <w:t>–</w:t>
      </w:r>
      <w:r w:rsidRPr="00FD7B0B">
        <w:rPr>
          <w:rFonts w:ascii="Times New Roman" w:eastAsia="Times New Roman" w:hAnsi="Times New Roman"/>
          <w:sz w:val="28"/>
          <w:szCs w:val="28"/>
          <w:lang w:eastAsia="ru-RU"/>
        </w:rPr>
        <w:t xml:space="preserve"> 100</w:t>
      </w:r>
      <w:r w:rsidR="00A01A98"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и он введен в эксплуатацию 29.12.2023. В то же время в ЕИС по состоянию на 13.05.2024 контракт на реконструкцию здания Новодвинского ГКЦ имел статус - «Исполнение». В своем заключении на исполнение бюджета за 2023 год, контрольно-счетная палата отмечала, что «отчет о реализации мероприятий государственной программы Архангельской области «Культура Русского Севера», размещенный в КИАС содержит недостоверные данные о доле выполнения работ по реконструкции объекта здания Новодвинского ГКЦ», что в конечном итоге нашло подтверждение в отчетных данных за 2024 год.</w:t>
      </w:r>
    </w:p>
    <w:p w14:paraId="0B3D6881" w14:textId="7281C9F0" w:rsidR="00EA17E9" w:rsidRPr="00FD7B0B" w:rsidRDefault="00EA17E9" w:rsidP="00A01A98">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По объекту «Проектирование и строительство Дома культуры в р.п. Обозерский» областной адресной инвестиционной программой (далее ОАИП) на 2023 год и на плановый период 2024 и 2025, утвержденной постановлением Правительства Архангельской области от 07.10.2022 № 794-пп, прогнозный срок окончания строительства был запланирован в 2024 году. Аналогичный срок окончания строительства объекта был установлен в ОАИП на 2024 год и на плановый период 2025 и 2026, утвержденной постановлением Правительства Архангельской области от 06.10.2023 № 954-пп в первоначальной редакции. Постановлением Правительства Архангельской области от 24.10.2024 № 877-пп </w:t>
      </w:r>
      <w:r w:rsidRPr="00FD7B0B">
        <w:rPr>
          <w:rFonts w:ascii="Times New Roman" w:eastAsia="Times New Roman" w:hAnsi="Times New Roman"/>
          <w:sz w:val="28"/>
          <w:szCs w:val="28"/>
          <w:lang w:eastAsia="ru-RU"/>
        </w:rPr>
        <w:lastRenderedPageBreak/>
        <w:t>в ОАИП на 2024 год внесены изменения, согласно которым срок сдачи объекта перенесен с 2024 на 2025 год. Таким образом, своевременное исполнение мероприятия (результата) госпрограммы достигается путем переноса срока его реализации.</w:t>
      </w:r>
    </w:p>
    <w:p w14:paraId="0A16DDB3" w14:textId="378A4A2E" w:rsidR="00EA17E9" w:rsidRPr="00FD7B0B" w:rsidRDefault="00EA17E9" w:rsidP="00EA17E9">
      <w:pPr>
        <w:spacing w:after="0" w:line="240" w:lineRule="auto"/>
        <w:jc w:val="both"/>
        <w:rPr>
          <w:rFonts w:ascii="Times New Roman" w:hAnsi="Times New Roman" w:cs="Times New Roman"/>
          <w:sz w:val="28"/>
          <w:szCs w:val="28"/>
        </w:rPr>
      </w:pPr>
    </w:p>
    <w:p w14:paraId="2A43E2C3" w14:textId="77777777" w:rsidR="00EA17E9" w:rsidRPr="00FD7B0B" w:rsidRDefault="00EA17E9" w:rsidP="00EA17E9">
      <w:pPr>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достижения показателей ГП № 04 по итогам 2024 года</w:t>
      </w:r>
    </w:p>
    <w:p w14:paraId="095F184D" w14:textId="77777777" w:rsidR="00EA17E9" w:rsidRPr="00FD7B0B" w:rsidRDefault="00EA17E9" w:rsidP="004801B7">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рамках государственной программы в целом на 2024 год утверждено:</w:t>
      </w:r>
    </w:p>
    <w:p w14:paraId="20340410" w14:textId="77777777" w:rsidR="00EA17E9" w:rsidRPr="00FD7B0B" w:rsidRDefault="00EA17E9" w:rsidP="004801B7">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- 6 показателей в редакции ГП № 04 от 14.11.2023 № 915-пп;</w:t>
      </w:r>
    </w:p>
    <w:p w14:paraId="068C953C" w14:textId="77777777" w:rsidR="00EA17E9" w:rsidRPr="00FD7B0B" w:rsidRDefault="00EA17E9" w:rsidP="004801B7">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- 8 показателей в редакции ГП № 04 от 27.12.2024 № 1245</w:t>
      </w:r>
      <w:r w:rsidRPr="00FD7B0B">
        <w:rPr>
          <w:rFonts w:ascii="Times New Roman" w:eastAsia="Times New Roman" w:hAnsi="Times New Roman" w:cs="Times New Roman"/>
          <w:sz w:val="28"/>
          <w:szCs w:val="28"/>
          <w:lang w:eastAsia="ru-RU"/>
        </w:rPr>
        <w:noBreakHyphen/>
        <w:t>пп.</w:t>
      </w:r>
    </w:p>
    <w:p w14:paraId="5A45D3D8" w14:textId="7D236440" w:rsidR="00EA17E9" w:rsidRPr="00FD7B0B" w:rsidRDefault="00EA17E9" w:rsidP="004801B7">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течение 2024 года из ГП № 04 исключены два показателя: «Количество новых книг, поступивших в фонды библиотек муниципальных образований и государственных общедоступных библиотек Архангельской области» и «Количество созданных (реконструированных) объектов </w:t>
      </w:r>
      <w:r w:rsidR="004801B7" w:rsidRPr="00FD7B0B">
        <w:rPr>
          <w:rFonts w:ascii="Times New Roman" w:eastAsia="Times New Roman" w:hAnsi="Times New Roman" w:cs="Times New Roman"/>
          <w:sz w:val="28"/>
          <w:szCs w:val="28"/>
          <w:lang w:eastAsia="ru-RU"/>
        </w:rPr>
        <w:t>культуры (нарастающим итогом)».</w:t>
      </w:r>
    </w:p>
    <w:p w14:paraId="43DCF663" w14:textId="35987389" w:rsidR="00EA17E9" w:rsidRPr="00FD7B0B" w:rsidRDefault="00EA17E9" w:rsidP="004801B7">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ГП № 04 дополнена 4 показателями: «Доля готовности объектов культуры, в отношении которых запланированы работы по созданию (реконструкции)», «Отношение средней заработной платы работников учреждений культуры к среднемесячной начисленной заработной плате наемных работников в организациях, у индивидуальных предпринимателей и физических лиц (среднемесячному доходу от трудовой деятельности) по Архангельской области», «Увеличение книговыдач в Архангельской области», «Число туристских поездок». Введенные в 2024 году показатели предусмотрены Соглашением о реализации на территории Архангельской области государственных программ субъекта Российской Федерации, направленных на достижение целей и показателей </w:t>
      </w:r>
      <w:hyperlink r:id="rId31" w:history="1">
        <w:r w:rsidRPr="00FD7B0B">
          <w:rPr>
            <w:rFonts w:ascii="Times New Roman" w:eastAsia="Times New Roman" w:hAnsi="Times New Roman" w:cs="Times New Roman"/>
            <w:sz w:val="28"/>
            <w:szCs w:val="28"/>
            <w:lang w:eastAsia="ru-RU"/>
          </w:rPr>
          <w:t>государственной программы</w:t>
        </w:r>
      </w:hyperlink>
      <w:r w:rsidRPr="00FD7B0B">
        <w:rPr>
          <w:rFonts w:ascii="Times New Roman" w:eastAsia="Times New Roman" w:hAnsi="Times New Roman" w:cs="Times New Roman"/>
          <w:sz w:val="28"/>
          <w:szCs w:val="28"/>
          <w:lang w:eastAsia="ru-RU"/>
        </w:rPr>
        <w:t xml:space="preserve"> Российской Федерации «Развитие культуры» от 14.12.2022 года N 2022-00495 (в редакции дополнительного соглашения от 30.12.2024 № 2022-00495/4), Соглашением о реализации на территории Архангельской области государственных программ субъекта Российской Федерации, направленных на достижение целей и показателей государственной программы Российской Федерации «Развитие туризма» от 28.12.2023 № 2023-00828.</w:t>
      </w:r>
    </w:p>
    <w:p w14:paraId="0EE5038B" w14:textId="6D3CF5C8" w:rsidR="00EA17E9" w:rsidRPr="00FD7B0B" w:rsidRDefault="00EA17E9" w:rsidP="00EA17E9">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течение отчетного года два показателя подверглись корректировке. Сведения об изменении целевых показателей представлены в таблице </w:t>
      </w:r>
      <w:r w:rsidR="001361A6" w:rsidRPr="00FD7B0B">
        <w:rPr>
          <w:rFonts w:ascii="Times New Roman" w:eastAsia="Times New Roman" w:hAnsi="Times New Roman"/>
          <w:sz w:val="28"/>
          <w:szCs w:val="28"/>
          <w:lang w:eastAsia="ru-RU"/>
        </w:rPr>
        <w:t>111</w:t>
      </w:r>
      <w:r w:rsidRPr="00FD7B0B">
        <w:rPr>
          <w:rFonts w:ascii="Times New Roman" w:eastAsia="Times New Roman" w:hAnsi="Times New Roman"/>
          <w:sz w:val="28"/>
          <w:szCs w:val="28"/>
          <w:lang w:eastAsia="ru-RU"/>
        </w:rPr>
        <w:t>.</w:t>
      </w:r>
    </w:p>
    <w:p w14:paraId="02C59B3B" w14:textId="77777777" w:rsidR="00EA17E9" w:rsidRPr="00FD7B0B" w:rsidRDefault="00EA17E9" w:rsidP="00EA17E9">
      <w:pPr>
        <w:spacing w:after="0" w:line="240" w:lineRule="auto"/>
        <w:ind w:firstLine="851"/>
        <w:contextualSpacing/>
        <w:jc w:val="both"/>
        <w:rPr>
          <w:rFonts w:ascii="Times New Roman" w:eastAsia="Times New Roman" w:hAnsi="Times New Roman"/>
          <w:sz w:val="28"/>
          <w:szCs w:val="28"/>
          <w:lang w:eastAsia="ru-RU"/>
        </w:rPr>
      </w:pPr>
    </w:p>
    <w:p w14:paraId="71E0CE98" w14:textId="77777777" w:rsidR="00EA17E9" w:rsidRPr="00FD7B0B" w:rsidRDefault="00EA17E9" w:rsidP="00EA17E9">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111</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об изменении показателей реализацию мероприятий ГП № 04</w:t>
      </w:r>
    </w:p>
    <w:tbl>
      <w:tblPr>
        <w:tblStyle w:val="a7"/>
        <w:tblW w:w="9624"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962"/>
        <w:gridCol w:w="1134"/>
        <w:gridCol w:w="1116"/>
        <w:gridCol w:w="1229"/>
        <w:gridCol w:w="3183"/>
      </w:tblGrid>
      <w:tr w:rsidR="00FD7B0B" w:rsidRPr="00FD7B0B" w14:paraId="37878F1C" w14:textId="77777777" w:rsidTr="00427B6C">
        <w:trPr>
          <w:tblHeader/>
        </w:trPr>
        <w:tc>
          <w:tcPr>
            <w:tcW w:w="2962" w:type="dxa"/>
          </w:tcPr>
          <w:p w14:paraId="586284D9"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Целевой показатель, единица измерения</w:t>
            </w:r>
          </w:p>
        </w:tc>
        <w:tc>
          <w:tcPr>
            <w:tcW w:w="1134" w:type="dxa"/>
          </w:tcPr>
          <w:p w14:paraId="568F4B54"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ГП АО в ред. на 01.01.2024</w:t>
            </w:r>
          </w:p>
        </w:tc>
        <w:tc>
          <w:tcPr>
            <w:tcW w:w="1116" w:type="dxa"/>
          </w:tcPr>
          <w:p w14:paraId="5249AED4"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 xml:space="preserve">ГП АО в ред. от 31.12.2024  </w:t>
            </w:r>
          </w:p>
        </w:tc>
        <w:tc>
          <w:tcPr>
            <w:tcW w:w="1229" w:type="dxa"/>
          </w:tcPr>
          <w:p w14:paraId="6FC4E8A2"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Изменение (+/-)</w:t>
            </w:r>
          </w:p>
        </w:tc>
        <w:tc>
          <w:tcPr>
            <w:tcW w:w="3183" w:type="dxa"/>
          </w:tcPr>
          <w:p w14:paraId="701D8516"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Причины</w:t>
            </w:r>
          </w:p>
        </w:tc>
      </w:tr>
      <w:tr w:rsidR="00FD7B0B" w:rsidRPr="00FD7B0B" w14:paraId="2FED2800" w14:textId="77777777" w:rsidTr="008C192E">
        <w:tc>
          <w:tcPr>
            <w:tcW w:w="2962" w:type="dxa"/>
          </w:tcPr>
          <w:p w14:paraId="6689F139" w14:textId="77777777" w:rsidR="00EA17E9" w:rsidRPr="00FD7B0B" w:rsidRDefault="00EA17E9" w:rsidP="00EA17E9">
            <w:pPr>
              <w:autoSpaceDE w:val="0"/>
              <w:autoSpaceDN w:val="0"/>
              <w:adjustRightInd w:val="0"/>
              <w:rPr>
                <w:rFonts w:ascii="Times New Roman" w:eastAsia="Times New Roman" w:hAnsi="Times New Roman"/>
              </w:rPr>
            </w:pPr>
            <w:r w:rsidRPr="00FD7B0B">
              <w:rPr>
                <w:rFonts w:ascii="Times New Roman" w:hAnsi="Times New Roman"/>
              </w:rPr>
              <w:t>Доля зданий учреждений культуры, находящихся в удовлетворительном состоянии, в общем количестве зданий данных учреждений</w:t>
            </w:r>
          </w:p>
        </w:tc>
        <w:tc>
          <w:tcPr>
            <w:tcW w:w="1134" w:type="dxa"/>
            <w:vAlign w:val="center"/>
          </w:tcPr>
          <w:p w14:paraId="54F7FF8F"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79,0</w:t>
            </w:r>
          </w:p>
        </w:tc>
        <w:tc>
          <w:tcPr>
            <w:tcW w:w="1116" w:type="dxa"/>
            <w:vAlign w:val="center"/>
          </w:tcPr>
          <w:p w14:paraId="4913E159"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84,3</w:t>
            </w:r>
          </w:p>
        </w:tc>
        <w:tc>
          <w:tcPr>
            <w:tcW w:w="1229" w:type="dxa"/>
            <w:vAlign w:val="center"/>
          </w:tcPr>
          <w:p w14:paraId="1AB8E95A"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5,3</w:t>
            </w:r>
          </w:p>
        </w:tc>
        <w:tc>
          <w:tcPr>
            <w:tcW w:w="3183" w:type="dxa"/>
          </w:tcPr>
          <w:p w14:paraId="42DCE941" w14:textId="77777777" w:rsidR="00EA17E9" w:rsidRPr="00FD7B0B" w:rsidRDefault="00EA17E9" w:rsidP="00EA17E9">
            <w:pPr>
              <w:contextualSpacing/>
              <w:rPr>
                <w:rFonts w:ascii="Times New Roman" w:eastAsia="Times New Roman" w:hAnsi="Times New Roman"/>
              </w:rPr>
            </w:pPr>
            <w:r w:rsidRPr="00FD7B0B">
              <w:rPr>
                <w:rFonts w:ascii="Times New Roman" w:hAnsi="Times New Roman"/>
              </w:rPr>
              <w:t xml:space="preserve">Плановое значение на 2024 год 79,0% скорректировано до 84,3% письмом Минкультуры России письмом от 04.06.2024 № </w:t>
            </w:r>
            <w:hyperlink r:id="rId32" w:history="1">
              <w:r w:rsidRPr="00FD7B0B">
                <w:rPr>
                  <w:rFonts w:ascii="Times New Roman" w:hAnsi="Times New Roman"/>
                </w:rPr>
                <w:t>333-01.1-39@-ВО</w:t>
              </w:r>
            </w:hyperlink>
            <w:r w:rsidRPr="00FD7B0B">
              <w:rPr>
                <w:rFonts w:ascii="Times New Roman" w:eastAsia="Times New Roman" w:hAnsi="Times New Roman"/>
              </w:rPr>
              <w:t xml:space="preserve"> </w:t>
            </w:r>
          </w:p>
        </w:tc>
      </w:tr>
      <w:tr w:rsidR="00EA17E9" w:rsidRPr="00FD7B0B" w14:paraId="323F4568" w14:textId="77777777" w:rsidTr="008C192E">
        <w:tc>
          <w:tcPr>
            <w:tcW w:w="2962" w:type="dxa"/>
            <w:vAlign w:val="center"/>
          </w:tcPr>
          <w:p w14:paraId="3824431F" w14:textId="77777777" w:rsidR="00EA17E9" w:rsidRPr="00FD7B0B" w:rsidRDefault="00EA17E9" w:rsidP="00EA17E9">
            <w:pPr>
              <w:autoSpaceDE w:val="0"/>
              <w:autoSpaceDN w:val="0"/>
              <w:adjustRightInd w:val="0"/>
              <w:rPr>
                <w:rFonts w:ascii="Times New Roman" w:eastAsiaTheme="minorHAnsi" w:hAnsi="Times New Roman"/>
              </w:rPr>
            </w:pPr>
            <w:r w:rsidRPr="00FD7B0B">
              <w:rPr>
                <w:rFonts w:ascii="Times New Roman" w:hAnsi="Times New Roman"/>
              </w:rPr>
              <w:t>Уровень обеспеченности Архангельской области организациями культуры</w:t>
            </w:r>
          </w:p>
        </w:tc>
        <w:tc>
          <w:tcPr>
            <w:tcW w:w="1134" w:type="dxa"/>
            <w:vAlign w:val="center"/>
          </w:tcPr>
          <w:p w14:paraId="622FBBCD"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83,9</w:t>
            </w:r>
          </w:p>
        </w:tc>
        <w:tc>
          <w:tcPr>
            <w:tcW w:w="1116" w:type="dxa"/>
            <w:vAlign w:val="center"/>
          </w:tcPr>
          <w:p w14:paraId="5C448282"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100</w:t>
            </w:r>
          </w:p>
        </w:tc>
        <w:tc>
          <w:tcPr>
            <w:tcW w:w="1229" w:type="dxa"/>
            <w:vAlign w:val="center"/>
          </w:tcPr>
          <w:p w14:paraId="4B4FA9AA"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16,1</w:t>
            </w:r>
          </w:p>
        </w:tc>
        <w:tc>
          <w:tcPr>
            <w:tcW w:w="3183" w:type="dxa"/>
            <w:vAlign w:val="center"/>
          </w:tcPr>
          <w:p w14:paraId="4A2CC2F0" w14:textId="77777777" w:rsidR="00EA17E9" w:rsidRPr="00FD7B0B" w:rsidRDefault="00EA17E9" w:rsidP="00EA17E9">
            <w:pPr>
              <w:contextualSpacing/>
              <w:rPr>
                <w:rFonts w:ascii="Times New Roman" w:eastAsiaTheme="minorHAnsi" w:hAnsi="Times New Roman"/>
              </w:rPr>
            </w:pPr>
            <w:r w:rsidRPr="00FD7B0B">
              <w:rPr>
                <w:rFonts w:ascii="Times New Roman" w:hAnsi="Times New Roman"/>
              </w:rPr>
              <w:t>Плановое значение 83,9% скорректировано до 100% письмом Минкультуры России от 17.07.2024 № 423-01.1-39@-НП</w:t>
            </w:r>
            <w:r w:rsidRPr="00FD7B0B">
              <w:rPr>
                <w:rFonts w:ascii="Times New Roman" w:eastAsiaTheme="minorHAnsi" w:hAnsi="Times New Roman"/>
              </w:rPr>
              <w:t xml:space="preserve"> </w:t>
            </w:r>
          </w:p>
        </w:tc>
      </w:tr>
    </w:tbl>
    <w:p w14:paraId="2F60A9B8" w14:textId="77777777" w:rsidR="008C192E" w:rsidRPr="00FD7B0B" w:rsidRDefault="008C192E" w:rsidP="008C192E">
      <w:pPr>
        <w:autoSpaceDE w:val="0"/>
        <w:autoSpaceDN w:val="0"/>
        <w:adjustRightInd w:val="0"/>
        <w:spacing w:after="0" w:line="240" w:lineRule="auto"/>
        <w:ind w:firstLine="708"/>
        <w:jc w:val="both"/>
        <w:rPr>
          <w:rFonts w:ascii="Times New Roman" w:eastAsia="Times New Roman" w:hAnsi="Times New Roman"/>
          <w:sz w:val="28"/>
          <w:szCs w:val="28"/>
          <w:lang w:eastAsia="ru-RU"/>
        </w:rPr>
      </w:pPr>
    </w:p>
    <w:p w14:paraId="405686EA" w14:textId="77777777" w:rsidR="00EA17E9" w:rsidRPr="00FD7B0B" w:rsidRDefault="00EA17E9" w:rsidP="008C192E">
      <w:pPr>
        <w:autoSpaceDE w:val="0"/>
        <w:autoSpaceDN w:val="0"/>
        <w:adjustRightInd w:val="0"/>
        <w:spacing w:after="0" w:line="240" w:lineRule="auto"/>
        <w:ind w:firstLine="708"/>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Скорректированные плановые значения указанных показателей доведены Минкультуры России на основании дополнительного соглашения к соглашению о реализации на территории Архангельской области государственных программ субъекта Российской Федерации, направленных на достижение целей и показателей государственной программы Российской Федерации «Развитие культуры» от 30.12.2024 № 2022-00495/4.</w:t>
      </w:r>
    </w:p>
    <w:p w14:paraId="52829A92" w14:textId="77777777" w:rsidR="00EA17E9" w:rsidRPr="00FD7B0B" w:rsidRDefault="00EA17E9" w:rsidP="008C192E">
      <w:pPr>
        <w:autoSpaceDE w:val="0"/>
        <w:autoSpaceDN w:val="0"/>
        <w:adjustRightInd w:val="0"/>
        <w:spacing w:after="0" w:line="240" w:lineRule="auto"/>
        <w:ind w:firstLine="708"/>
        <w:jc w:val="both"/>
        <w:rPr>
          <w:rFonts w:ascii="Times New Roman" w:eastAsia="Times New Roman" w:hAnsi="Times New Roman"/>
          <w:sz w:val="28"/>
          <w:szCs w:val="28"/>
          <w:lang w:eastAsia="ru-RU"/>
        </w:rPr>
      </w:pPr>
    </w:p>
    <w:p w14:paraId="7770AB87" w14:textId="54F3FAC4"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cs="Times New Roman"/>
          <w:sz w:val="28"/>
          <w:szCs w:val="28"/>
          <w:lang w:eastAsia="ru-RU"/>
        </w:rPr>
        <w:t>Согласно проект</w:t>
      </w:r>
      <w:r w:rsidR="008C192E" w:rsidRPr="00FD7B0B">
        <w:rPr>
          <w:rFonts w:ascii="Times New Roman" w:eastAsia="Times New Roman" w:hAnsi="Times New Roman" w:cs="Times New Roman"/>
          <w:sz w:val="28"/>
          <w:szCs w:val="28"/>
          <w:lang w:eastAsia="ru-RU"/>
        </w:rPr>
        <w:t>у</w:t>
      </w:r>
      <w:r w:rsidRPr="00FD7B0B">
        <w:rPr>
          <w:rFonts w:ascii="Times New Roman" w:eastAsia="Times New Roman" w:hAnsi="Times New Roman" w:cs="Times New Roman"/>
          <w:sz w:val="28"/>
          <w:szCs w:val="28"/>
          <w:lang w:eastAsia="ru-RU"/>
        </w:rPr>
        <w:t xml:space="preserve"> отчета о реализации в 2024 году государственной программы Архангельской области «Культура Русского Севера», </w:t>
      </w:r>
      <w:r w:rsidRPr="00FD7B0B">
        <w:rPr>
          <w:rFonts w:ascii="Times New Roman" w:eastAsia="Times New Roman" w:hAnsi="Times New Roman"/>
          <w:sz w:val="28"/>
          <w:szCs w:val="28"/>
          <w:lang w:eastAsia="ru-RU"/>
        </w:rPr>
        <w:t>по итогам 2024 года невыполненные показатели отсутствуют. В отчетном периоде семь показателей госпрограммы выполнены в диапазоне от 96,1</w:t>
      </w:r>
      <w:r w:rsidR="008C192E"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до 109,0</w:t>
      </w:r>
      <w:r w:rsidR="008C192E"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от установленных плановых значений, по одному показателю «Число туристских поездок» фактическое значение показателя, сложившееся за 2024 год, не указано</w:t>
      </w:r>
      <w:r w:rsidR="00AA66A0" w:rsidRPr="00FD7B0B">
        <w:rPr>
          <w:rFonts w:ascii="Times New Roman" w:eastAsia="Times New Roman" w:hAnsi="Times New Roman"/>
          <w:sz w:val="28"/>
          <w:szCs w:val="28"/>
          <w:lang w:eastAsia="ru-RU"/>
        </w:rPr>
        <w:t>.</w:t>
      </w:r>
    </w:p>
    <w:p w14:paraId="387147BD" w14:textId="4784697F"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состоянию на 29.04.2025 в ЕМИСС опубликовано значение показателя «Численность размещенных лиц в коллективных средствах размещения» за 2024 год, которое для Архангельской области составило 407 847 тыс. человек, при плане – 0,41 млн. человек. Таким образом, показатель выполнен на 99,5</w:t>
      </w:r>
      <w:r w:rsidR="000960E7"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w:t>
      </w:r>
    </w:p>
    <w:p w14:paraId="6CD9F480"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p>
    <w:p w14:paraId="0085C059" w14:textId="7822060A"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Сведения о выполнении целевых показателей ГП № 04, а также о расходах на их выполнение за 2024 год представлены в таблице </w:t>
      </w:r>
      <w:r w:rsidR="00AA66A0" w:rsidRPr="00FD7B0B">
        <w:rPr>
          <w:rFonts w:ascii="Times New Roman" w:eastAsia="Times New Roman" w:hAnsi="Times New Roman"/>
          <w:sz w:val="28"/>
          <w:szCs w:val="28"/>
          <w:lang w:eastAsia="ru-RU"/>
        </w:rPr>
        <w:t>112</w:t>
      </w:r>
      <w:r w:rsidRPr="00FD7B0B">
        <w:rPr>
          <w:rFonts w:ascii="Times New Roman" w:eastAsia="Times New Roman" w:hAnsi="Times New Roman"/>
          <w:sz w:val="28"/>
          <w:szCs w:val="28"/>
          <w:lang w:eastAsia="ru-RU"/>
        </w:rPr>
        <w:t>.</w:t>
      </w:r>
    </w:p>
    <w:p w14:paraId="3DD01104" w14:textId="77777777" w:rsidR="000960E7" w:rsidRPr="00FD7B0B" w:rsidRDefault="000960E7" w:rsidP="00EA17E9">
      <w:pPr>
        <w:pStyle w:val="aff0"/>
        <w:keepNext/>
        <w:spacing w:after="0" w:line="240" w:lineRule="auto"/>
        <w:rPr>
          <w:rFonts w:ascii="Times New Roman" w:hAnsi="Times New Roman"/>
          <w:b w:val="0"/>
          <w:sz w:val="24"/>
          <w:szCs w:val="24"/>
        </w:rPr>
      </w:pPr>
    </w:p>
    <w:p w14:paraId="2630D4E6" w14:textId="67CB71CD" w:rsidR="00EA17E9" w:rsidRPr="00FD7B0B" w:rsidRDefault="000960E7" w:rsidP="00EA17E9">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112</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EA17E9" w:rsidRPr="00FD7B0B">
        <w:rPr>
          <w:rFonts w:ascii="Times New Roman" w:hAnsi="Times New Roman"/>
          <w:b w:val="0"/>
          <w:sz w:val="24"/>
          <w:szCs w:val="24"/>
        </w:rPr>
        <w:t>Сведения о выполнении целевых показателей ГП № 04, а также о расходах на их выполнение за 2024 год</w:t>
      </w:r>
    </w:p>
    <w:tbl>
      <w:tblPr>
        <w:tblStyle w:val="a7"/>
        <w:tblW w:w="962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433"/>
        <w:gridCol w:w="944"/>
        <w:gridCol w:w="832"/>
        <w:gridCol w:w="738"/>
        <w:gridCol w:w="992"/>
        <w:gridCol w:w="1404"/>
        <w:gridCol w:w="987"/>
        <w:gridCol w:w="1294"/>
      </w:tblGrid>
      <w:tr w:rsidR="00FD7B0B" w:rsidRPr="00FD7B0B" w14:paraId="12F0C7DE" w14:textId="77777777" w:rsidTr="00AA66A0">
        <w:trPr>
          <w:tblHeader/>
        </w:trPr>
        <w:tc>
          <w:tcPr>
            <w:tcW w:w="2433" w:type="dxa"/>
            <w:vMerge w:val="restart"/>
            <w:vAlign w:val="center"/>
          </w:tcPr>
          <w:p w14:paraId="3A6448BC"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Программа</w:t>
            </w:r>
          </w:p>
        </w:tc>
        <w:tc>
          <w:tcPr>
            <w:tcW w:w="2514" w:type="dxa"/>
            <w:gridSpan w:val="3"/>
            <w:vAlign w:val="center"/>
          </w:tcPr>
          <w:p w14:paraId="344716B9"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Кол-во целевых показателей</w:t>
            </w:r>
          </w:p>
        </w:tc>
        <w:tc>
          <w:tcPr>
            <w:tcW w:w="2396" w:type="dxa"/>
            <w:gridSpan w:val="2"/>
            <w:vAlign w:val="center"/>
          </w:tcPr>
          <w:p w14:paraId="263F7ED7"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 xml:space="preserve">Объем финансирования ГП № 04 на 2024 год </w:t>
            </w:r>
          </w:p>
        </w:tc>
        <w:tc>
          <w:tcPr>
            <w:tcW w:w="2281" w:type="dxa"/>
            <w:gridSpan w:val="2"/>
            <w:vAlign w:val="center"/>
          </w:tcPr>
          <w:p w14:paraId="6CF1CA74"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Исполнено согласно отчету о реализации госпрограммы</w:t>
            </w:r>
          </w:p>
        </w:tc>
      </w:tr>
      <w:tr w:rsidR="00FD7B0B" w:rsidRPr="00FD7B0B" w14:paraId="7221A974" w14:textId="77777777" w:rsidTr="00AA66A0">
        <w:trPr>
          <w:tblHeader/>
        </w:trPr>
        <w:tc>
          <w:tcPr>
            <w:tcW w:w="2433" w:type="dxa"/>
            <w:vMerge/>
            <w:vAlign w:val="center"/>
          </w:tcPr>
          <w:p w14:paraId="3A304FB6" w14:textId="77777777" w:rsidR="00EA17E9" w:rsidRPr="00FD7B0B" w:rsidRDefault="00EA17E9" w:rsidP="00EA17E9">
            <w:pPr>
              <w:contextualSpacing/>
              <w:jc w:val="center"/>
              <w:rPr>
                <w:rFonts w:ascii="Times New Roman" w:eastAsia="Times New Roman" w:hAnsi="Times New Roman"/>
              </w:rPr>
            </w:pPr>
          </w:p>
        </w:tc>
        <w:tc>
          <w:tcPr>
            <w:tcW w:w="944" w:type="dxa"/>
            <w:vAlign w:val="center"/>
          </w:tcPr>
          <w:p w14:paraId="6A6EDE91"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План</w:t>
            </w:r>
          </w:p>
        </w:tc>
        <w:tc>
          <w:tcPr>
            <w:tcW w:w="832" w:type="dxa"/>
            <w:vAlign w:val="center"/>
          </w:tcPr>
          <w:p w14:paraId="3A5D5EA2"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Фактическое выполнение</w:t>
            </w:r>
          </w:p>
        </w:tc>
        <w:tc>
          <w:tcPr>
            <w:tcW w:w="738" w:type="dxa"/>
            <w:vAlign w:val="center"/>
          </w:tcPr>
          <w:p w14:paraId="2B042D4B"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 выполнения</w:t>
            </w:r>
          </w:p>
        </w:tc>
        <w:tc>
          <w:tcPr>
            <w:tcW w:w="992" w:type="dxa"/>
            <w:vAlign w:val="center"/>
          </w:tcPr>
          <w:p w14:paraId="5A4A51D0" w14:textId="77777777" w:rsidR="00EA17E9" w:rsidRPr="00FD7B0B" w:rsidRDefault="00EA17E9" w:rsidP="00EA17E9">
            <w:pPr>
              <w:ind w:left="-127" w:right="-89"/>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согласно показателям СБР, млн.руб.</w:t>
            </w:r>
          </w:p>
        </w:tc>
        <w:tc>
          <w:tcPr>
            <w:tcW w:w="1404" w:type="dxa"/>
            <w:vAlign w:val="center"/>
          </w:tcPr>
          <w:p w14:paraId="703181E9"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изменение к показателю на 01.01.2024, %</w:t>
            </w:r>
          </w:p>
        </w:tc>
        <w:tc>
          <w:tcPr>
            <w:tcW w:w="987" w:type="dxa"/>
            <w:vAlign w:val="center"/>
          </w:tcPr>
          <w:p w14:paraId="3651B052"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млн.руб.</w:t>
            </w:r>
          </w:p>
        </w:tc>
        <w:tc>
          <w:tcPr>
            <w:tcW w:w="1294" w:type="dxa"/>
            <w:vAlign w:val="center"/>
          </w:tcPr>
          <w:p w14:paraId="76E60A2F"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 выполнения</w:t>
            </w:r>
          </w:p>
        </w:tc>
      </w:tr>
      <w:tr w:rsidR="00FD7B0B" w:rsidRPr="00FD7B0B" w14:paraId="3A339F82" w14:textId="77777777" w:rsidTr="00AA66A0">
        <w:tc>
          <w:tcPr>
            <w:tcW w:w="2433" w:type="dxa"/>
            <w:vAlign w:val="center"/>
          </w:tcPr>
          <w:p w14:paraId="106EB510" w14:textId="77777777" w:rsidR="00EA17E9" w:rsidRPr="00FD7B0B" w:rsidRDefault="00EA17E9" w:rsidP="00EA17E9">
            <w:pPr>
              <w:contextualSpacing/>
              <w:jc w:val="both"/>
              <w:rPr>
                <w:rFonts w:ascii="Times New Roman" w:eastAsia="Times New Roman" w:hAnsi="Times New Roman"/>
              </w:rPr>
            </w:pPr>
            <w:r w:rsidRPr="00FD7B0B">
              <w:rPr>
                <w:rFonts w:ascii="Times New Roman" w:eastAsia="Times New Roman" w:hAnsi="Times New Roman"/>
              </w:rPr>
              <w:t>Госпрограмма № 04</w:t>
            </w:r>
          </w:p>
        </w:tc>
        <w:tc>
          <w:tcPr>
            <w:tcW w:w="944" w:type="dxa"/>
            <w:vAlign w:val="center"/>
          </w:tcPr>
          <w:p w14:paraId="0224EC46"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8</w:t>
            </w:r>
          </w:p>
        </w:tc>
        <w:tc>
          <w:tcPr>
            <w:tcW w:w="832" w:type="dxa"/>
            <w:vAlign w:val="center"/>
          </w:tcPr>
          <w:p w14:paraId="5D88FB84"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8</w:t>
            </w:r>
          </w:p>
        </w:tc>
        <w:tc>
          <w:tcPr>
            <w:tcW w:w="738" w:type="dxa"/>
            <w:vAlign w:val="center"/>
          </w:tcPr>
          <w:p w14:paraId="6B25D8BC"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100</w:t>
            </w:r>
          </w:p>
        </w:tc>
        <w:tc>
          <w:tcPr>
            <w:tcW w:w="992" w:type="dxa"/>
            <w:vAlign w:val="center"/>
          </w:tcPr>
          <w:p w14:paraId="25F896B7"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2 924,5</w:t>
            </w:r>
          </w:p>
        </w:tc>
        <w:tc>
          <w:tcPr>
            <w:tcW w:w="1404" w:type="dxa"/>
            <w:vAlign w:val="center"/>
          </w:tcPr>
          <w:p w14:paraId="4CBAAC0B"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-14,3</w:t>
            </w:r>
          </w:p>
        </w:tc>
        <w:tc>
          <w:tcPr>
            <w:tcW w:w="987" w:type="dxa"/>
            <w:vAlign w:val="center"/>
          </w:tcPr>
          <w:p w14:paraId="3066F95D"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2 923,9</w:t>
            </w:r>
          </w:p>
        </w:tc>
        <w:tc>
          <w:tcPr>
            <w:tcW w:w="1294" w:type="dxa"/>
            <w:vAlign w:val="center"/>
          </w:tcPr>
          <w:p w14:paraId="797936AE"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100,0</w:t>
            </w:r>
          </w:p>
        </w:tc>
      </w:tr>
      <w:tr w:rsidR="00EA17E9" w:rsidRPr="00FD7B0B" w14:paraId="198CFFD0" w14:textId="77777777" w:rsidTr="00AA66A0">
        <w:tc>
          <w:tcPr>
            <w:tcW w:w="2433" w:type="dxa"/>
            <w:vAlign w:val="center"/>
          </w:tcPr>
          <w:p w14:paraId="697B0016" w14:textId="77777777" w:rsidR="00EA17E9" w:rsidRPr="00FD7B0B" w:rsidRDefault="00EA17E9" w:rsidP="00EA17E9">
            <w:pPr>
              <w:contextualSpacing/>
              <w:jc w:val="both"/>
              <w:rPr>
                <w:rFonts w:ascii="Times New Roman" w:eastAsia="Times New Roman" w:hAnsi="Times New Roman"/>
              </w:rPr>
            </w:pPr>
            <w:r w:rsidRPr="00FD7B0B">
              <w:rPr>
                <w:rFonts w:ascii="Times New Roman" w:eastAsia="Times New Roman" w:hAnsi="Times New Roman"/>
              </w:rPr>
              <w:t>Итого</w:t>
            </w:r>
          </w:p>
        </w:tc>
        <w:tc>
          <w:tcPr>
            <w:tcW w:w="944" w:type="dxa"/>
            <w:vAlign w:val="center"/>
          </w:tcPr>
          <w:p w14:paraId="2EBF3F3C"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8</w:t>
            </w:r>
          </w:p>
        </w:tc>
        <w:tc>
          <w:tcPr>
            <w:tcW w:w="832" w:type="dxa"/>
            <w:vAlign w:val="center"/>
          </w:tcPr>
          <w:p w14:paraId="79E9A235"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8</w:t>
            </w:r>
          </w:p>
        </w:tc>
        <w:tc>
          <w:tcPr>
            <w:tcW w:w="738" w:type="dxa"/>
            <w:vAlign w:val="center"/>
          </w:tcPr>
          <w:p w14:paraId="1300BB0D"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100</w:t>
            </w:r>
          </w:p>
        </w:tc>
        <w:tc>
          <w:tcPr>
            <w:tcW w:w="992" w:type="dxa"/>
            <w:vAlign w:val="center"/>
          </w:tcPr>
          <w:p w14:paraId="1E149580"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2 924,5</w:t>
            </w:r>
          </w:p>
        </w:tc>
        <w:tc>
          <w:tcPr>
            <w:tcW w:w="1404" w:type="dxa"/>
            <w:vAlign w:val="center"/>
          </w:tcPr>
          <w:p w14:paraId="16B816AF"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-14,3</w:t>
            </w:r>
          </w:p>
        </w:tc>
        <w:tc>
          <w:tcPr>
            <w:tcW w:w="987" w:type="dxa"/>
            <w:vAlign w:val="center"/>
          </w:tcPr>
          <w:p w14:paraId="2F4B007B"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2 923,9</w:t>
            </w:r>
          </w:p>
        </w:tc>
        <w:tc>
          <w:tcPr>
            <w:tcW w:w="1294" w:type="dxa"/>
            <w:vAlign w:val="center"/>
          </w:tcPr>
          <w:p w14:paraId="6B5E3E68" w14:textId="77777777" w:rsidR="00EA17E9" w:rsidRPr="00FD7B0B" w:rsidRDefault="00EA17E9" w:rsidP="00EA17E9">
            <w:pPr>
              <w:contextualSpacing/>
              <w:jc w:val="center"/>
              <w:rPr>
                <w:rFonts w:ascii="Times New Roman" w:eastAsia="Times New Roman" w:hAnsi="Times New Roman"/>
              </w:rPr>
            </w:pPr>
            <w:r w:rsidRPr="00FD7B0B">
              <w:rPr>
                <w:rFonts w:ascii="Times New Roman" w:eastAsia="Times New Roman" w:hAnsi="Times New Roman"/>
              </w:rPr>
              <w:t>100,0</w:t>
            </w:r>
          </w:p>
        </w:tc>
      </w:tr>
    </w:tbl>
    <w:p w14:paraId="513E94EB"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p>
    <w:p w14:paraId="68E3EAB6"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Плановые значения на 2024 год установлены по 8 показателям, фактически выполнены 8 показателей.</w:t>
      </w:r>
    </w:p>
    <w:p w14:paraId="0AB0452D" w14:textId="399B5B5F"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Уровень выполнения 8 показателей в целом по ГП составил 100</w:t>
      </w:r>
      <w:r w:rsidR="000960E7"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при уменьшении объемов финансирования госпрограммы на 2024 на 489,3 млн.руб. или на 14,3</w:t>
      </w:r>
      <w:r w:rsidR="000960E7"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При этом исполнение за счет средств областного и федерального бюджета составило 100,0</w:t>
      </w:r>
      <w:r w:rsidR="000960E7"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к уточне</w:t>
      </w:r>
      <w:r w:rsidR="000960E7" w:rsidRPr="00FD7B0B">
        <w:rPr>
          <w:rFonts w:ascii="Times New Roman" w:eastAsia="Times New Roman" w:hAnsi="Times New Roman"/>
          <w:sz w:val="28"/>
          <w:szCs w:val="28"/>
          <w:lang w:eastAsia="ru-RU"/>
        </w:rPr>
        <w:t>нной сводной бюджетной росписи.</w:t>
      </w:r>
    </w:p>
    <w:p w14:paraId="275A88E5" w14:textId="77777777" w:rsidR="00EA17E9" w:rsidRPr="00FD7B0B" w:rsidRDefault="00EA17E9" w:rsidP="00EA17E9">
      <w:pPr>
        <w:spacing w:after="0" w:line="240" w:lineRule="auto"/>
        <w:ind w:firstLine="709"/>
        <w:contextualSpacing/>
        <w:jc w:val="both"/>
        <w:rPr>
          <w:rFonts w:ascii="Times New Roman" w:eastAsia="Times New Roman" w:hAnsi="Times New Roman"/>
          <w:sz w:val="28"/>
          <w:szCs w:val="28"/>
          <w:lang w:eastAsia="ru-RU"/>
        </w:rPr>
      </w:pPr>
    </w:p>
    <w:p w14:paraId="57427FD9" w14:textId="77777777" w:rsidR="00EA17E9" w:rsidRPr="00FD7B0B" w:rsidRDefault="00EA17E9" w:rsidP="00EA17E9">
      <w:pPr>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эффективности реализации госпрограммы по итогам 2024 года</w:t>
      </w:r>
    </w:p>
    <w:p w14:paraId="2D2F8CB0" w14:textId="77777777" w:rsidR="00EA17E9" w:rsidRPr="00FD7B0B" w:rsidRDefault="00EA17E9" w:rsidP="00EA17E9">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соответствии с Положением о порядке проведения оценки эффективности реализации государственных программ Архангельской области и критериях такой оценки, утвержденным постановлением Правительства Архангельской области от 28.08.2023 № 793-пп, интегральная оценка эффективности реализации ГП № 04 по итогам 2024 года составил 94,1 балла, </w:t>
      </w:r>
      <w:r w:rsidRPr="00FD7B0B">
        <w:rPr>
          <w:rFonts w:ascii="Times New Roman" w:eastAsia="Times New Roman" w:hAnsi="Times New Roman"/>
          <w:sz w:val="28"/>
          <w:szCs w:val="28"/>
          <w:lang w:eastAsia="ru-RU"/>
        </w:rPr>
        <w:lastRenderedPageBreak/>
        <w:t>что свидетельствует о высокой степени эффективности реализации госпрограммы.</w:t>
      </w:r>
    </w:p>
    <w:p w14:paraId="14350226" w14:textId="77777777" w:rsidR="00EA17E9" w:rsidRPr="00FD7B0B" w:rsidRDefault="00EA17E9" w:rsidP="00EA17E9">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Показатель оценки качества планирования и управления реализацией государственной программы по итогам отчетного года составил 72,5 балла, что свидетельствует об удовлетворительном качестве. Удовлетворительное качество планирования и управления реализацией государственной программы обусловлено следующими основными причинами:</w:t>
      </w:r>
    </w:p>
    <w:p w14:paraId="50A026D9" w14:textId="77777777" w:rsidR="00EA17E9" w:rsidRPr="00FD7B0B" w:rsidRDefault="00EA17E9" w:rsidP="00EA17E9">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фактический срок завершения более двух этапов плана реализации наступил ранее трех месяцев от даты, определенной в плане реализации государственной программы на отчетный год (недостаточное качество планирования);</w:t>
      </w:r>
    </w:p>
    <w:p w14:paraId="2AFF31C5" w14:textId="77777777" w:rsidR="00EA17E9" w:rsidRPr="00FD7B0B" w:rsidRDefault="00EA17E9" w:rsidP="00EA17E9">
      <w:pPr>
        <w:pStyle w:val="a8"/>
        <w:ind w:left="0" w:firstLine="709"/>
        <w:jc w:val="both"/>
        <w:rPr>
          <w:rFonts w:cstheme="minorBidi"/>
          <w:sz w:val="28"/>
          <w:szCs w:val="28"/>
        </w:rPr>
      </w:pPr>
      <w:r w:rsidRPr="00FD7B0B">
        <w:rPr>
          <w:rFonts w:cstheme="minorBidi"/>
          <w:sz w:val="28"/>
          <w:szCs w:val="28"/>
        </w:rPr>
        <w:t>- первоначально отчетная информация не содержала полного объема сведений, что затруднило объективную оценку хода выполнения госпрограммы;</w:t>
      </w:r>
    </w:p>
    <w:p w14:paraId="1B250B5D" w14:textId="77777777" w:rsidR="00EA17E9" w:rsidRPr="00FD7B0B" w:rsidRDefault="00EA17E9" w:rsidP="00EA17E9">
      <w:pPr>
        <w:pStyle w:val="a8"/>
        <w:ind w:left="0" w:firstLine="709"/>
        <w:jc w:val="both"/>
        <w:rPr>
          <w:rFonts w:cstheme="minorBidi"/>
          <w:sz w:val="28"/>
          <w:szCs w:val="28"/>
        </w:rPr>
      </w:pPr>
      <w:r w:rsidRPr="00FD7B0B">
        <w:rPr>
          <w:rFonts w:cstheme="minorBidi"/>
          <w:sz w:val="28"/>
          <w:szCs w:val="28"/>
        </w:rPr>
        <w:t>- в мероприятиях региональных проектов и комплексов процессных мероприятий частично отсутствует установленное количество контрольных точек.</w:t>
      </w:r>
    </w:p>
    <w:p w14:paraId="7731BC7C" w14:textId="77777777" w:rsidR="00EA17E9" w:rsidRPr="00FD7B0B" w:rsidRDefault="00EA17E9" w:rsidP="00EA17E9">
      <w:pPr>
        <w:pStyle w:val="a8"/>
        <w:ind w:left="0" w:firstLine="709"/>
        <w:jc w:val="both"/>
        <w:rPr>
          <w:rFonts w:cstheme="minorBidi"/>
          <w:sz w:val="28"/>
          <w:szCs w:val="28"/>
        </w:rPr>
      </w:pPr>
    </w:p>
    <w:p w14:paraId="4A18C8BF" w14:textId="77777777" w:rsidR="00EA17E9" w:rsidRPr="00FD7B0B" w:rsidRDefault="00EA17E9" w:rsidP="006F72BE">
      <w:pPr>
        <w:pStyle w:val="a8"/>
        <w:ind w:left="0"/>
        <w:jc w:val="center"/>
        <w:rPr>
          <w:rFonts w:cstheme="minorBidi"/>
          <w:b/>
          <w:sz w:val="28"/>
          <w:szCs w:val="28"/>
        </w:rPr>
      </w:pPr>
      <w:r w:rsidRPr="00FD7B0B">
        <w:rPr>
          <w:rFonts w:cstheme="minorBidi"/>
          <w:b/>
          <w:sz w:val="28"/>
          <w:szCs w:val="28"/>
        </w:rPr>
        <w:t>Итоговая оценка реализации государственной программы</w:t>
      </w:r>
    </w:p>
    <w:p w14:paraId="33DA3036" w14:textId="77777777" w:rsidR="00EA17E9" w:rsidRPr="00FD7B0B" w:rsidRDefault="00EA17E9" w:rsidP="0044049E">
      <w:pPr>
        <w:pStyle w:val="a8"/>
        <w:ind w:left="0" w:firstLine="709"/>
        <w:jc w:val="both"/>
        <w:rPr>
          <w:rFonts w:cstheme="minorBidi"/>
          <w:sz w:val="28"/>
          <w:szCs w:val="28"/>
        </w:rPr>
      </w:pPr>
      <w:r w:rsidRPr="00FD7B0B">
        <w:rPr>
          <w:rFonts w:cstheme="minorBidi"/>
          <w:sz w:val="28"/>
          <w:szCs w:val="28"/>
        </w:rPr>
        <w:t>Для оценки государственной программы Архангельской области «Культура Русского Севера» использована Методика оценки реализации государственных программ Российской Федерации в рамках осуществления последующего контроля за исполнением федерального бюджета, утвержденная Коллегией Счетной палаты Российской Федерации, протокол от 28.02.2023 №9К (1614), без учета оценки динамики дебиторской задолженности по расчетам по авансовым платежам за 2024 год.</w:t>
      </w:r>
    </w:p>
    <w:p w14:paraId="547865E0" w14:textId="76A2C98F" w:rsidR="00EA17E9" w:rsidRPr="00FD7B0B" w:rsidRDefault="00EA17E9" w:rsidP="0044049E">
      <w:pPr>
        <w:pStyle w:val="a8"/>
        <w:ind w:left="0" w:firstLine="709"/>
        <w:jc w:val="both"/>
        <w:rPr>
          <w:rFonts w:cstheme="minorBidi"/>
          <w:sz w:val="28"/>
          <w:szCs w:val="28"/>
        </w:rPr>
      </w:pPr>
      <w:r w:rsidRPr="00FD7B0B">
        <w:rPr>
          <w:rFonts w:cstheme="minorBidi"/>
          <w:sz w:val="28"/>
          <w:szCs w:val="28"/>
        </w:rPr>
        <w:t xml:space="preserve">Оценка исполнения государственной программы по ресурсам и результатам представлена в таблице </w:t>
      </w:r>
      <w:r w:rsidR="00AA66A0" w:rsidRPr="00FD7B0B">
        <w:rPr>
          <w:rFonts w:cstheme="minorBidi"/>
          <w:sz w:val="28"/>
          <w:szCs w:val="28"/>
        </w:rPr>
        <w:t>113</w:t>
      </w:r>
      <w:r w:rsidRPr="00FD7B0B">
        <w:rPr>
          <w:rFonts w:cstheme="minorBidi"/>
          <w:sz w:val="28"/>
          <w:szCs w:val="28"/>
        </w:rPr>
        <w:t>.</w:t>
      </w:r>
    </w:p>
    <w:p w14:paraId="56821716" w14:textId="77777777" w:rsidR="0044049E" w:rsidRPr="00FD7B0B" w:rsidRDefault="0044049E" w:rsidP="00EA17E9">
      <w:pPr>
        <w:keepNext/>
        <w:spacing w:after="0" w:line="240" w:lineRule="auto"/>
        <w:rPr>
          <w:rFonts w:ascii="Times New Roman" w:eastAsiaTheme="minorEastAsia" w:hAnsi="Times New Roman" w:cs="Times New Roman"/>
          <w:sz w:val="20"/>
          <w:szCs w:val="20"/>
          <w:lang w:eastAsia="ru-RU"/>
        </w:rPr>
      </w:pPr>
    </w:p>
    <w:p w14:paraId="29E92F8C" w14:textId="40BCDAE0" w:rsidR="00EA17E9" w:rsidRPr="00FD7B0B" w:rsidRDefault="0044049E" w:rsidP="0044049E">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113</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EA17E9" w:rsidRPr="00FD7B0B">
        <w:rPr>
          <w:rFonts w:ascii="Times New Roman" w:hAnsi="Times New Roman"/>
          <w:b w:val="0"/>
          <w:sz w:val="24"/>
          <w:szCs w:val="24"/>
        </w:rPr>
        <w:t>Оценка исполнения государственной программы по ресурсам и результатам</w:t>
      </w:r>
    </w:p>
    <w:tbl>
      <w:tblPr>
        <w:tblW w:w="962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88"/>
        <w:gridCol w:w="1188"/>
        <w:gridCol w:w="1655"/>
        <w:gridCol w:w="1885"/>
        <w:gridCol w:w="1188"/>
        <w:gridCol w:w="1386"/>
        <w:gridCol w:w="1134"/>
      </w:tblGrid>
      <w:tr w:rsidR="00FD7B0B" w:rsidRPr="00FD7B0B" w14:paraId="35523169" w14:textId="77777777" w:rsidTr="0044049E">
        <w:trPr>
          <w:trHeight w:val="367"/>
        </w:trPr>
        <w:tc>
          <w:tcPr>
            <w:tcW w:w="1188" w:type="dxa"/>
            <w:vMerge w:val="restart"/>
          </w:tcPr>
          <w:p w14:paraId="71D1DA49"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w:t>
            </w:r>
            <w:r w:rsidRPr="00FD7B0B">
              <w:rPr>
                <w:rFonts w:ascii="Times New Roman" w:eastAsiaTheme="minorEastAsia" w:hAnsi="Times New Roman" w:cs="Times New Roman"/>
                <w:sz w:val="20"/>
                <w:szCs w:val="20"/>
                <w:lang w:eastAsia="ru-RU"/>
              </w:rPr>
              <w:t xml:space="preserve"> кассового исполнения ...</w:t>
            </w:r>
          </w:p>
        </w:tc>
        <w:tc>
          <w:tcPr>
            <w:tcW w:w="1188" w:type="dxa"/>
            <w:vMerge w:val="restart"/>
          </w:tcPr>
          <w:p w14:paraId="1AB006DA"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Оценка объема изменений, внесенных в сводную бюджетную роспись ...</w:t>
            </w:r>
          </w:p>
        </w:tc>
        <w:tc>
          <w:tcPr>
            <w:tcW w:w="3540" w:type="dxa"/>
            <w:gridSpan w:val="2"/>
          </w:tcPr>
          <w:p w14:paraId="6E03950F"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Оценка реализации мероприятий (достижения результатов) структурных элементов ...</w:t>
            </w:r>
          </w:p>
        </w:tc>
        <w:tc>
          <w:tcPr>
            <w:tcW w:w="2574" w:type="dxa"/>
            <w:gridSpan w:val="2"/>
          </w:tcPr>
          <w:p w14:paraId="1A7A65AD"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Оценка достижения ... показателей ...</w:t>
            </w:r>
          </w:p>
        </w:tc>
        <w:tc>
          <w:tcPr>
            <w:tcW w:w="1134" w:type="dxa"/>
            <w:vMerge w:val="restart"/>
          </w:tcPr>
          <w:p w14:paraId="649B4FD3"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Итого</w:t>
            </w:r>
          </w:p>
        </w:tc>
      </w:tr>
      <w:tr w:rsidR="00FD7B0B" w:rsidRPr="00FD7B0B" w14:paraId="30E358B2" w14:textId="77777777" w:rsidTr="0044049E">
        <w:tc>
          <w:tcPr>
            <w:tcW w:w="1188" w:type="dxa"/>
            <w:vMerge/>
          </w:tcPr>
          <w:p w14:paraId="2D3E683B" w14:textId="77777777" w:rsidR="00EA17E9" w:rsidRPr="00FD7B0B" w:rsidRDefault="00EA17E9" w:rsidP="00EA17E9">
            <w:pPr>
              <w:widowControl w:val="0"/>
              <w:autoSpaceDE w:val="0"/>
              <w:autoSpaceDN w:val="0"/>
              <w:spacing w:after="0" w:line="240" w:lineRule="auto"/>
              <w:rPr>
                <w:rFonts w:ascii="Times New Roman" w:eastAsiaTheme="minorEastAsia" w:hAnsi="Times New Roman" w:cs="Times New Roman"/>
                <w:sz w:val="20"/>
                <w:szCs w:val="20"/>
                <w:lang w:eastAsia="ru-RU"/>
              </w:rPr>
            </w:pPr>
          </w:p>
        </w:tc>
        <w:tc>
          <w:tcPr>
            <w:tcW w:w="1188" w:type="dxa"/>
            <w:vMerge/>
          </w:tcPr>
          <w:p w14:paraId="4E31662A" w14:textId="77777777" w:rsidR="00EA17E9" w:rsidRPr="00FD7B0B" w:rsidRDefault="00EA17E9" w:rsidP="00EA17E9">
            <w:pPr>
              <w:widowControl w:val="0"/>
              <w:autoSpaceDE w:val="0"/>
              <w:autoSpaceDN w:val="0"/>
              <w:spacing w:after="0" w:line="240" w:lineRule="auto"/>
              <w:rPr>
                <w:rFonts w:ascii="Times New Roman" w:eastAsiaTheme="minorEastAsia" w:hAnsi="Times New Roman" w:cs="Times New Roman"/>
                <w:sz w:val="20"/>
                <w:szCs w:val="20"/>
                <w:lang w:eastAsia="ru-RU"/>
              </w:rPr>
            </w:pPr>
          </w:p>
        </w:tc>
        <w:tc>
          <w:tcPr>
            <w:tcW w:w="1655" w:type="dxa"/>
          </w:tcPr>
          <w:p w14:paraId="58294514"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степень достижения мероприятий (результатов) ...</w:t>
            </w:r>
          </w:p>
        </w:tc>
        <w:tc>
          <w:tcPr>
            <w:tcW w:w="1885" w:type="dxa"/>
          </w:tcPr>
          <w:p w14:paraId="424BF8B7"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 xml:space="preserve">справочно </w:t>
            </w:r>
            <w:hyperlink w:anchor="P701">
              <w:r w:rsidRPr="00FD7B0B">
                <w:rPr>
                  <w:rFonts w:ascii="Times New Roman" w:eastAsiaTheme="minorEastAsia" w:hAnsi="Times New Roman" w:cs="Times New Roman"/>
                  <w:sz w:val="20"/>
                  <w:szCs w:val="20"/>
                  <w:lang w:eastAsia="ru-RU"/>
                </w:rPr>
                <w:t>&lt;*&gt;</w:t>
              </w:r>
            </w:hyperlink>
            <w:r w:rsidRPr="00FD7B0B">
              <w:rPr>
                <w:rFonts w:ascii="Times New Roman" w:eastAsiaTheme="minorEastAsia" w:hAnsi="Times New Roman" w:cs="Times New Roman"/>
                <w:sz w:val="20"/>
                <w:szCs w:val="20"/>
                <w:lang w:eastAsia="ru-RU"/>
              </w:rPr>
              <w:t>: доля реализованных мероприятий (достигнутых результатов) ...</w:t>
            </w:r>
          </w:p>
        </w:tc>
        <w:tc>
          <w:tcPr>
            <w:tcW w:w="1188" w:type="dxa"/>
          </w:tcPr>
          <w:p w14:paraId="77916642"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степень достижения показателей ...</w:t>
            </w:r>
          </w:p>
        </w:tc>
        <w:tc>
          <w:tcPr>
            <w:tcW w:w="1386" w:type="dxa"/>
          </w:tcPr>
          <w:p w14:paraId="200CF3C1"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 xml:space="preserve">справочно </w:t>
            </w:r>
            <w:hyperlink w:anchor="P701">
              <w:r w:rsidRPr="00FD7B0B">
                <w:rPr>
                  <w:rFonts w:ascii="Times New Roman" w:eastAsiaTheme="minorEastAsia" w:hAnsi="Times New Roman" w:cs="Times New Roman"/>
                  <w:sz w:val="20"/>
                  <w:szCs w:val="20"/>
                  <w:lang w:eastAsia="ru-RU"/>
                </w:rPr>
                <w:t>&lt;*&gt;</w:t>
              </w:r>
            </w:hyperlink>
            <w:r w:rsidRPr="00FD7B0B">
              <w:rPr>
                <w:rFonts w:ascii="Times New Roman" w:eastAsiaTheme="minorEastAsia" w:hAnsi="Times New Roman" w:cs="Times New Roman"/>
                <w:sz w:val="20"/>
                <w:szCs w:val="20"/>
                <w:lang w:eastAsia="ru-RU"/>
              </w:rPr>
              <w:t>: доля выполненных показателей ...</w:t>
            </w:r>
          </w:p>
        </w:tc>
        <w:tc>
          <w:tcPr>
            <w:tcW w:w="1134" w:type="dxa"/>
            <w:vMerge/>
          </w:tcPr>
          <w:p w14:paraId="2BEFFDAB" w14:textId="77777777" w:rsidR="00EA17E9" w:rsidRPr="00FD7B0B" w:rsidRDefault="00EA17E9" w:rsidP="00EA17E9">
            <w:pPr>
              <w:widowControl w:val="0"/>
              <w:autoSpaceDE w:val="0"/>
              <w:autoSpaceDN w:val="0"/>
              <w:spacing w:after="0" w:line="240" w:lineRule="auto"/>
              <w:rPr>
                <w:rFonts w:ascii="Times New Roman" w:eastAsiaTheme="minorEastAsia" w:hAnsi="Times New Roman" w:cs="Times New Roman"/>
                <w:sz w:val="20"/>
                <w:szCs w:val="20"/>
                <w:lang w:eastAsia="ru-RU"/>
              </w:rPr>
            </w:pPr>
          </w:p>
        </w:tc>
      </w:tr>
      <w:tr w:rsidR="00FD7B0B" w:rsidRPr="00FD7B0B" w14:paraId="1E5949AA" w14:textId="77777777" w:rsidTr="00680E4D">
        <w:tc>
          <w:tcPr>
            <w:tcW w:w="1188" w:type="dxa"/>
            <w:shd w:val="clear" w:color="auto" w:fill="92D050"/>
            <w:vAlign w:val="center"/>
          </w:tcPr>
          <w:p w14:paraId="1CCE7AC2"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высокий уровень</w:t>
            </w:r>
          </w:p>
        </w:tc>
        <w:tc>
          <w:tcPr>
            <w:tcW w:w="1188" w:type="dxa"/>
            <w:shd w:val="clear" w:color="auto" w:fill="92D050"/>
            <w:vAlign w:val="center"/>
          </w:tcPr>
          <w:p w14:paraId="38483301"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высокий уровень</w:t>
            </w:r>
          </w:p>
        </w:tc>
        <w:tc>
          <w:tcPr>
            <w:tcW w:w="1655" w:type="dxa"/>
            <w:shd w:val="clear" w:color="auto" w:fill="FFFF00"/>
            <w:vAlign w:val="center"/>
          </w:tcPr>
          <w:p w14:paraId="44D96EA0"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низкий уровень</w:t>
            </w:r>
          </w:p>
        </w:tc>
        <w:tc>
          <w:tcPr>
            <w:tcW w:w="1885" w:type="dxa"/>
            <w:shd w:val="clear" w:color="auto" w:fill="FFFF00"/>
            <w:vAlign w:val="center"/>
          </w:tcPr>
          <w:p w14:paraId="6475D1FB"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низкий уровень</w:t>
            </w:r>
          </w:p>
        </w:tc>
        <w:tc>
          <w:tcPr>
            <w:tcW w:w="1188" w:type="dxa"/>
            <w:shd w:val="clear" w:color="auto" w:fill="92D050"/>
            <w:vAlign w:val="center"/>
          </w:tcPr>
          <w:p w14:paraId="17056C91" w14:textId="77777777" w:rsidR="00EA17E9" w:rsidRPr="00FD7B0B" w:rsidRDefault="00EA17E9" w:rsidP="00EA17E9">
            <w:pPr>
              <w:spacing w:after="0" w:line="240" w:lineRule="auto"/>
              <w:jc w:val="center"/>
            </w:pPr>
            <w:r w:rsidRPr="00FD7B0B">
              <w:rPr>
                <w:rFonts w:ascii="Times New Roman" w:hAnsi="Times New Roman" w:cs="Times New Roman"/>
                <w:sz w:val="20"/>
                <w:szCs w:val="20"/>
              </w:rPr>
              <w:t>высокий уровень</w:t>
            </w:r>
          </w:p>
        </w:tc>
        <w:tc>
          <w:tcPr>
            <w:tcW w:w="1386" w:type="dxa"/>
            <w:shd w:val="clear" w:color="auto" w:fill="92D050"/>
            <w:vAlign w:val="center"/>
          </w:tcPr>
          <w:p w14:paraId="4622BD1C" w14:textId="77777777" w:rsidR="00EA17E9" w:rsidRPr="00FD7B0B" w:rsidRDefault="00EA17E9" w:rsidP="00EA17E9">
            <w:pPr>
              <w:spacing w:after="0" w:line="240" w:lineRule="auto"/>
              <w:jc w:val="center"/>
            </w:pPr>
            <w:r w:rsidRPr="00FD7B0B">
              <w:rPr>
                <w:rFonts w:ascii="Times New Roman" w:hAnsi="Times New Roman" w:cs="Times New Roman"/>
                <w:sz w:val="20"/>
                <w:szCs w:val="20"/>
              </w:rPr>
              <w:t>высокий уровень</w:t>
            </w:r>
          </w:p>
        </w:tc>
        <w:tc>
          <w:tcPr>
            <w:tcW w:w="1134" w:type="dxa"/>
            <w:shd w:val="clear" w:color="auto" w:fill="FFFF00"/>
            <w:vAlign w:val="center"/>
          </w:tcPr>
          <w:p w14:paraId="3DBDAB1F"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Уровень</w:t>
            </w:r>
          </w:p>
          <w:p w14:paraId="305A96D5"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выше среднего</w:t>
            </w:r>
          </w:p>
        </w:tc>
      </w:tr>
    </w:tbl>
    <w:p w14:paraId="224CC17E" w14:textId="77777777" w:rsidR="0044049E" w:rsidRPr="00FD7B0B" w:rsidRDefault="0044049E" w:rsidP="0044049E">
      <w:pPr>
        <w:pStyle w:val="a8"/>
        <w:ind w:left="0" w:firstLine="709"/>
        <w:jc w:val="both"/>
        <w:rPr>
          <w:rFonts w:cstheme="minorBidi"/>
          <w:sz w:val="28"/>
          <w:szCs w:val="28"/>
        </w:rPr>
      </w:pPr>
    </w:p>
    <w:p w14:paraId="626BC1E4" w14:textId="7941C445" w:rsidR="00EA17E9" w:rsidRPr="00FD7B0B" w:rsidRDefault="00EA17E9" w:rsidP="0044049E">
      <w:pPr>
        <w:pStyle w:val="a8"/>
        <w:ind w:left="0" w:firstLine="709"/>
        <w:jc w:val="both"/>
        <w:rPr>
          <w:rFonts w:cstheme="minorBidi"/>
          <w:sz w:val="28"/>
          <w:szCs w:val="28"/>
        </w:rPr>
      </w:pPr>
      <w:r w:rsidRPr="00FD7B0B">
        <w:rPr>
          <w:rFonts w:cstheme="minorBidi"/>
          <w:sz w:val="28"/>
          <w:szCs w:val="28"/>
        </w:rPr>
        <w:t xml:space="preserve">Оценка формирования и использования системы показателей по результатам проверки исполнения государственной программы представлена в таблице </w:t>
      </w:r>
      <w:r w:rsidR="00AA66A0" w:rsidRPr="00FD7B0B">
        <w:rPr>
          <w:rFonts w:cstheme="minorBidi"/>
          <w:sz w:val="28"/>
          <w:szCs w:val="28"/>
        </w:rPr>
        <w:t>114</w:t>
      </w:r>
      <w:r w:rsidRPr="00FD7B0B">
        <w:rPr>
          <w:rFonts w:cstheme="minorBidi"/>
          <w:sz w:val="28"/>
          <w:szCs w:val="28"/>
        </w:rPr>
        <w:t>.</w:t>
      </w:r>
    </w:p>
    <w:p w14:paraId="2D9BF346" w14:textId="77777777" w:rsidR="0044049E" w:rsidRPr="00FD7B0B" w:rsidRDefault="0044049E" w:rsidP="0044049E">
      <w:pPr>
        <w:pStyle w:val="aff0"/>
        <w:keepNext/>
        <w:spacing w:after="0" w:line="240" w:lineRule="auto"/>
        <w:rPr>
          <w:rFonts w:ascii="Times New Roman" w:hAnsi="Times New Roman"/>
          <w:b w:val="0"/>
          <w:sz w:val="24"/>
          <w:szCs w:val="24"/>
        </w:rPr>
      </w:pPr>
    </w:p>
    <w:p w14:paraId="5AFA3E70" w14:textId="77777777" w:rsidR="00EA17E9" w:rsidRPr="00FD7B0B" w:rsidRDefault="00EA17E9" w:rsidP="0044049E">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114</w:t>
      </w:r>
      <w:r w:rsidRPr="00FD7B0B">
        <w:rPr>
          <w:rFonts w:ascii="Times New Roman" w:hAnsi="Times New Roman"/>
          <w:b w:val="0"/>
          <w:sz w:val="24"/>
          <w:szCs w:val="24"/>
        </w:rPr>
        <w:fldChar w:fldCharType="end"/>
      </w:r>
      <w:r w:rsidRPr="00FD7B0B">
        <w:rPr>
          <w:rFonts w:ascii="Times New Roman" w:hAnsi="Times New Roman"/>
          <w:b w:val="0"/>
          <w:sz w:val="24"/>
          <w:szCs w:val="24"/>
        </w:rPr>
        <w:t>. Оценка формирования и использования системы показателей по результатам проверки исполнения государственной программы</w:t>
      </w:r>
    </w:p>
    <w:tbl>
      <w:tblPr>
        <w:tblW w:w="955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96"/>
        <w:gridCol w:w="1483"/>
        <w:gridCol w:w="1275"/>
        <w:gridCol w:w="2127"/>
        <w:gridCol w:w="2474"/>
        <w:gridCol w:w="1003"/>
      </w:tblGrid>
      <w:tr w:rsidR="00FD7B0B" w:rsidRPr="00FD7B0B" w14:paraId="50DC17E7" w14:textId="77777777" w:rsidTr="00AA66A0">
        <w:tc>
          <w:tcPr>
            <w:tcW w:w="1196" w:type="dxa"/>
          </w:tcPr>
          <w:p w14:paraId="4D3A3D22"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Оценка состава показателей ...</w:t>
            </w:r>
          </w:p>
        </w:tc>
        <w:tc>
          <w:tcPr>
            <w:tcW w:w="1483" w:type="dxa"/>
          </w:tcPr>
          <w:p w14:paraId="4E481126"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Оценка стабильности состава показателей ... на протяжении отчетного года</w:t>
            </w:r>
          </w:p>
        </w:tc>
        <w:tc>
          <w:tcPr>
            <w:tcW w:w="1275" w:type="dxa"/>
          </w:tcPr>
          <w:p w14:paraId="3DC6C9CE"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Оценка динамики ... значений показателей ...</w:t>
            </w:r>
          </w:p>
        </w:tc>
        <w:tc>
          <w:tcPr>
            <w:tcW w:w="2127" w:type="dxa"/>
          </w:tcPr>
          <w:p w14:paraId="0E38A600"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Оценка количества показателей ..., по которым представлены фактические значения за отчетный год ...</w:t>
            </w:r>
          </w:p>
        </w:tc>
        <w:tc>
          <w:tcPr>
            <w:tcW w:w="2474" w:type="dxa"/>
          </w:tcPr>
          <w:p w14:paraId="2E451063"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Оценка количества показателей ... по которым формируется официальная статистическая информация ...</w:t>
            </w:r>
          </w:p>
        </w:tc>
        <w:tc>
          <w:tcPr>
            <w:tcW w:w="1003" w:type="dxa"/>
          </w:tcPr>
          <w:p w14:paraId="2A927D42"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Итого</w:t>
            </w:r>
          </w:p>
        </w:tc>
      </w:tr>
      <w:tr w:rsidR="00FD7B0B" w:rsidRPr="00FD7B0B" w14:paraId="54F84E23" w14:textId="77777777" w:rsidTr="00AA66A0">
        <w:tc>
          <w:tcPr>
            <w:tcW w:w="1196" w:type="dxa"/>
            <w:shd w:val="clear" w:color="auto" w:fill="FF0000"/>
            <w:vAlign w:val="center"/>
          </w:tcPr>
          <w:p w14:paraId="268DEB56"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низкий уровень</w:t>
            </w:r>
          </w:p>
        </w:tc>
        <w:tc>
          <w:tcPr>
            <w:tcW w:w="1483" w:type="dxa"/>
            <w:shd w:val="clear" w:color="auto" w:fill="92D050"/>
            <w:vAlign w:val="center"/>
          </w:tcPr>
          <w:p w14:paraId="2D8A03BB"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высокий уровень</w:t>
            </w:r>
          </w:p>
        </w:tc>
        <w:tc>
          <w:tcPr>
            <w:tcW w:w="1275" w:type="dxa"/>
            <w:shd w:val="clear" w:color="auto" w:fill="FF0000"/>
            <w:vAlign w:val="center"/>
          </w:tcPr>
          <w:p w14:paraId="22BDED55"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низкий уровень</w:t>
            </w:r>
          </w:p>
        </w:tc>
        <w:tc>
          <w:tcPr>
            <w:tcW w:w="2127" w:type="dxa"/>
            <w:shd w:val="clear" w:color="auto" w:fill="92D050"/>
            <w:vAlign w:val="center"/>
          </w:tcPr>
          <w:p w14:paraId="6B46ABE5"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высокий уровень</w:t>
            </w:r>
          </w:p>
        </w:tc>
        <w:tc>
          <w:tcPr>
            <w:tcW w:w="2474" w:type="dxa"/>
            <w:shd w:val="clear" w:color="auto" w:fill="FFFF00"/>
            <w:vAlign w:val="center"/>
          </w:tcPr>
          <w:p w14:paraId="113D5E1D"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средний уровень</w:t>
            </w:r>
          </w:p>
        </w:tc>
        <w:tc>
          <w:tcPr>
            <w:tcW w:w="1003" w:type="dxa"/>
            <w:shd w:val="clear" w:color="auto" w:fill="FFFF00"/>
            <w:vAlign w:val="center"/>
          </w:tcPr>
          <w:p w14:paraId="7A5043FE"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Средний</w:t>
            </w:r>
          </w:p>
          <w:p w14:paraId="744D4FB8" w14:textId="77777777" w:rsidR="00EA17E9" w:rsidRPr="00FD7B0B" w:rsidRDefault="00EA17E9" w:rsidP="00EA17E9">
            <w:pPr>
              <w:widowControl w:val="0"/>
              <w:autoSpaceDE w:val="0"/>
              <w:autoSpaceDN w:val="0"/>
              <w:spacing w:after="0" w:line="240" w:lineRule="auto"/>
              <w:jc w:val="center"/>
              <w:rPr>
                <w:rFonts w:ascii="Times New Roman" w:eastAsiaTheme="minorEastAsia" w:hAnsi="Times New Roman" w:cs="Times New Roman"/>
                <w:sz w:val="20"/>
                <w:szCs w:val="20"/>
                <w:lang w:eastAsia="ru-RU"/>
              </w:rPr>
            </w:pPr>
            <w:r w:rsidRPr="00FD7B0B">
              <w:rPr>
                <w:rFonts w:ascii="Times New Roman" w:eastAsiaTheme="minorEastAsia" w:hAnsi="Times New Roman" w:cs="Times New Roman"/>
                <w:sz w:val="20"/>
                <w:szCs w:val="20"/>
                <w:lang w:eastAsia="ru-RU"/>
              </w:rPr>
              <w:t xml:space="preserve">уровень </w:t>
            </w:r>
          </w:p>
        </w:tc>
      </w:tr>
    </w:tbl>
    <w:p w14:paraId="54DA7E23" w14:textId="77777777" w:rsidR="00EA17E9" w:rsidRPr="00FD7B0B" w:rsidRDefault="00EA17E9" w:rsidP="0044049E">
      <w:pPr>
        <w:pStyle w:val="a8"/>
        <w:ind w:left="0" w:firstLine="709"/>
        <w:jc w:val="both"/>
        <w:rPr>
          <w:rFonts w:cstheme="minorBidi"/>
          <w:sz w:val="28"/>
          <w:szCs w:val="28"/>
        </w:rPr>
      </w:pPr>
    </w:p>
    <w:p w14:paraId="5D25F45B" w14:textId="77777777" w:rsidR="00EA17E9" w:rsidRPr="00FD7B0B" w:rsidRDefault="00EA17E9" w:rsidP="0044049E">
      <w:pPr>
        <w:pStyle w:val="a8"/>
        <w:ind w:left="0" w:firstLine="709"/>
        <w:jc w:val="both"/>
        <w:rPr>
          <w:rFonts w:cstheme="minorBidi"/>
          <w:sz w:val="28"/>
          <w:szCs w:val="28"/>
        </w:rPr>
      </w:pPr>
      <w:r w:rsidRPr="00FD7B0B">
        <w:rPr>
          <w:rFonts w:cstheme="minorBidi"/>
          <w:sz w:val="28"/>
          <w:szCs w:val="28"/>
        </w:rPr>
        <w:t>В соответствии с Методикой оценки реализации государственных программ Российской Федерации в рамках осуществления последующего контроля за исполнением федерального бюджета, утвержденной Коллегией Счетной палаты Российской Федерации, протокол от 28.02.2023 №9К (1614):</w:t>
      </w:r>
    </w:p>
    <w:p w14:paraId="141C39A1" w14:textId="5EFD6075" w:rsidR="00EA17E9" w:rsidRPr="00FD7B0B" w:rsidRDefault="00EA17E9" w:rsidP="0044049E">
      <w:pPr>
        <w:pStyle w:val="a8"/>
        <w:ind w:left="0" w:firstLine="709"/>
        <w:jc w:val="both"/>
        <w:rPr>
          <w:rFonts w:cstheme="minorBidi"/>
          <w:sz w:val="28"/>
          <w:szCs w:val="28"/>
        </w:rPr>
      </w:pPr>
      <w:r w:rsidRPr="00FD7B0B">
        <w:rPr>
          <w:rFonts w:cstheme="minorBidi"/>
          <w:sz w:val="28"/>
          <w:szCs w:val="28"/>
        </w:rPr>
        <w:t>- оценка исполнения государственной программы по ресурсам и результатам соответствует уровню выше среднего;</w:t>
      </w:r>
    </w:p>
    <w:p w14:paraId="19DB7E8D" w14:textId="396A49C3" w:rsidR="00EA17E9" w:rsidRPr="00FD7B0B" w:rsidRDefault="00EA17E9" w:rsidP="0044049E">
      <w:pPr>
        <w:pStyle w:val="a8"/>
        <w:ind w:left="0" w:firstLine="709"/>
        <w:jc w:val="both"/>
        <w:rPr>
          <w:rFonts w:cstheme="minorBidi"/>
          <w:sz w:val="28"/>
          <w:szCs w:val="28"/>
        </w:rPr>
      </w:pPr>
      <w:r w:rsidRPr="00FD7B0B">
        <w:rPr>
          <w:rFonts w:cstheme="minorBidi"/>
          <w:sz w:val="28"/>
          <w:szCs w:val="28"/>
        </w:rPr>
        <w:t>- оценка формирования и использования системы показателей по результатам проверки исполнения государственной программы соответствует среднему уровню.</w:t>
      </w:r>
    </w:p>
    <w:p w14:paraId="1492AF62" w14:textId="77777777" w:rsidR="00EA17E9" w:rsidRPr="00FD7B0B" w:rsidRDefault="00EA17E9" w:rsidP="005C50FB">
      <w:pPr>
        <w:pStyle w:val="a8"/>
        <w:ind w:left="0" w:firstLine="709"/>
        <w:jc w:val="both"/>
        <w:rPr>
          <w:rFonts w:cstheme="minorBidi"/>
          <w:sz w:val="28"/>
          <w:szCs w:val="28"/>
        </w:rPr>
      </w:pPr>
      <w:r w:rsidRPr="00FD7B0B">
        <w:rPr>
          <w:rFonts w:cstheme="minorBidi"/>
          <w:sz w:val="28"/>
          <w:szCs w:val="28"/>
        </w:rPr>
        <w:t>В соответствии с Положением о порядке проведения оценки эффективности реализации государственных программ Архангельской области и критериях такой оценки, утвержденным постановлением Правительства Архангельской области от 28.08.2023 № 793-пп Интегральная оценка эффективности реализации ГП № 04 по итогам 2024 года составил 94,1 балла, что свидетельствует о высокой степени эффективности реализации госпрограммы. Показатель оценки качества планирования и управления реализацией государственной программы по итогам отчетного года составил 72,5 балла, что свидетельствует об удовлетворительном качестве.</w:t>
      </w:r>
    </w:p>
    <w:p w14:paraId="160B92BB" w14:textId="77777777" w:rsidR="000735DA" w:rsidRPr="00FD7B0B" w:rsidRDefault="000735DA" w:rsidP="000735DA">
      <w:pPr>
        <w:pStyle w:val="a8"/>
        <w:ind w:left="0" w:firstLine="709"/>
        <w:jc w:val="both"/>
        <w:rPr>
          <w:rFonts w:cstheme="minorBidi"/>
          <w:sz w:val="28"/>
          <w:szCs w:val="28"/>
        </w:rPr>
      </w:pPr>
      <w:r w:rsidRPr="00FD7B0B">
        <w:rPr>
          <w:rFonts w:cstheme="minorBidi"/>
          <w:sz w:val="28"/>
          <w:szCs w:val="28"/>
        </w:rPr>
        <w:t>Таким образом, оценка планирования и реализации госпрограммы при использовании двух методик будет преимущественно равнозначной.</w:t>
      </w:r>
    </w:p>
    <w:p w14:paraId="676D84B9" w14:textId="1A5EBEA9" w:rsidR="00D304BC" w:rsidRPr="00FD7B0B" w:rsidRDefault="009B516C" w:rsidP="00D304BC">
      <w:pPr>
        <w:pStyle w:val="3"/>
        <w:spacing w:line="240" w:lineRule="auto"/>
        <w:jc w:val="center"/>
        <w:rPr>
          <w:rFonts w:ascii="Times New Roman" w:hAnsi="Times New Roman"/>
          <w:b w:val="0"/>
          <w:sz w:val="28"/>
          <w:szCs w:val="28"/>
          <w:u w:val="single"/>
        </w:rPr>
      </w:pPr>
      <w:bookmarkStart w:id="132" w:name="_Toc198819138"/>
      <w:r w:rsidRPr="00FD7B0B">
        <w:rPr>
          <w:rFonts w:ascii="Times New Roman" w:hAnsi="Times New Roman"/>
          <w:b w:val="0"/>
          <w:sz w:val="28"/>
          <w:szCs w:val="28"/>
          <w:u w:val="single"/>
          <w:lang w:val="ru-RU"/>
        </w:rPr>
        <w:t>4</w:t>
      </w:r>
      <w:r w:rsidR="00D304BC" w:rsidRPr="00FD7B0B">
        <w:rPr>
          <w:rFonts w:ascii="Times New Roman" w:hAnsi="Times New Roman"/>
          <w:b w:val="0"/>
          <w:sz w:val="28"/>
          <w:szCs w:val="28"/>
          <w:u w:val="single"/>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rPr>
        <w:t>.</w:t>
      </w:r>
      <w:r w:rsidR="00D304BC" w:rsidRPr="00FD7B0B">
        <w:rPr>
          <w:rFonts w:ascii="Times New Roman" w:hAnsi="Times New Roman"/>
          <w:b w:val="0"/>
          <w:sz w:val="28"/>
          <w:szCs w:val="28"/>
          <w:u w:val="single"/>
          <w:lang w:val="ru-RU"/>
        </w:rPr>
        <w:t>5</w:t>
      </w:r>
      <w:r w:rsidR="00D304BC" w:rsidRPr="00FD7B0B">
        <w:rPr>
          <w:rFonts w:ascii="Times New Roman" w:hAnsi="Times New Roman"/>
          <w:b w:val="0"/>
          <w:sz w:val="28"/>
          <w:szCs w:val="28"/>
          <w:u w:val="single"/>
        </w:rPr>
        <w:t>. 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w:t>
      </w:r>
      <w:bookmarkEnd w:id="132"/>
    </w:p>
    <w:p w14:paraId="43E2164F" w14:textId="72973577" w:rsidR="000B08C9" w:rsidRPr="00FD7B0B" w:rsidRDefault="0091774C" w:rsidP="000B08C9">
      <w:pPr>
        <w:spacing w:after="0" w:line="240" w:lineRule="auto"/>
        <w:ind w:firstLine="709"/>
        <w:jc w:val="both"/>
        <w:rPr>
          <w:rFonts w:ascii="Times New Roman" w:eastAsia="Calibri" w:hAnsi="Times New Roman" w:cs="Times New Roman"/>
          <w:sz w:val="28"/>
          <w:szCs w:val="28"/>
          <w:lang w:eastAsia="ru-RU"/>
        </w:rPr>
      </w:pPr>
      <w:r w:rsidRPr="00FD7B0B">
        <w:rPr>
          <w:rFonts w:ascii="Times New Roman" w:hAnsi="Times New Roman"/>
          <w:sz w:val="28"/>
          <w:szCs w:val="28"/>
          <w:lang w:eastAsia="ru-RU"/>
        </w:rPr>
        <w:t xml:space="preserve"> </w:t>
      </w:r>
      <w:r w:rsidR="000B08C9" w:rsidRPr="00FD7B0B">
        <w:rPr>
          <w:rFonts w:ascii="Times New Roman" w:eastAsia="Calibri" w:hAnsi="Times New Roman" w:cs="Times New Roman"/>
          <w:sz w:val="28"/>
          <w:szCs w:val="28"/>
          <w:lang w:eastAsia="ru-RU"/>
        </w:rPr>
        <w:t>Государственная программа Архангельской области развития сельского хозяйства и регулирования рынков сельскохозяйственной продукции, сырья и продовольствия Архангельской области утверждена постановлением Правительства Архангельской области от 09.10.2012 № 436-пп (далее – ГП № 05).</w:t>
      </w:r>
    </w:p>
    <w:p w14:paraId="537EB6EE"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Объем финансового обеспечения ГП № 05 на 2024 год определен в сумме 1 588,6 млн.руб., из них областной бюджет (с учетом межбюджетных трансфертов) – 1 588,6 млн.руб.</w:t>
      </w:r>
    </w:p>
    <w:p w14:paraId="3F3CA752"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 xml:space="preserve">В сравнении с редакцией ГП № 05 от 09.01.2024 объемы финансирования госпрограммы на 2024 год снижены на общую сумму </w:t>
      </w:r>
      <w:r w:rsidRPr="00FD7B0B">
        <w:rPr>
          <w:rFonts w:ascii="Times New Roman" w:eastAsia="Calibri" w:hAnsi="Times New Roman" w:cs="Times New Roman"/>
          <w:sz w:val="28"/>
          <w:szCs w:val="28"/>
          <w:lang w:eastAsia="ru-RU"/>
        </w:rPr>
        <w:br/>
      </w:r>
      <w:r w:rsidRPr="00FD7B0B">
        <w:rPr>
          <w:rFonts w:ascii="Times New Roman" w:eastAsia="Calibri" w:hAnsi="Times New Roman" w:cs="Times New Roman"/>
          <w:sz w:val="28"/>
          <w:szCs w:val="28"/>
          <w:lang w:eastAsia="ru-RU"/>
        </w:rPr>
        <w:lastRenderedPageBreak/>
        <w:t xml:space="preserve">9,5 млн.руб., в том числе за счет средств областного бюджета на сумму </w:t>
      </w:r>
      <w:r w:rsidRPr="00FD7B0B">
        <w:rPr>
          <w:rFonts w:ascii="Times New Roman" w:eastAsia="Calibri" w:hAnsi="Times New Roman" w:cs="Times New Roman"/>
          <w:sz w:val="28"/>
          <w:szCs w:val="28"/>
          <w:lang w:eastAsia="ru-RU"/>
        </w:rPr>
        <w:br/>
        <w:t>3,5 млн.руб., местного – 6,0 млн.руб.</w:t>
      </w:r>
    </w:p>
    <w:p w14:paraId="14EBCCFC" w14:textId="2C0CEA8D" w:rsidR="000B08C9" w:rsidRPr="00FD7B0B" w:rsidRDefault="000B08C9" w:rsidP="000B08C9">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разрезе проектной и процессной частей</w:t>
      </w:r>
      <w:r w:rsidRPr="00FD7B0B">
        <w:t xml:space="preserve"> </w:t>
      </w:r>
      <w:r w:rsidRPr="00FD7B0B">
        <w:rPr>
          <w:rFonts w:ascii="Times New Roman" w:eastAsia="Times New Roman" w:hAnsi="Times New Roman" w:cs="Times New Roman"/>
          <w:sz w:val="28"/>
          <w:szCs w:val="28"/>
          <w:lang w:eastAsia="ru-RU"/>
        </w:rPr>
        <w:t xml:space="preserve">ГП № 05, источников финансирования сведения представлены в таблице </w:t>
      </w:r>
      <w:r w:rsidR="00AA66A0" w:rsidRPr="00FD7B0B">
        <w:rPr>
          <w:rFonts w:ascii="Times New Roman" w:eastAsia="Times New Roman" w:hAnsi="Times New Roman" w:cs="Times New Roman"/>
          <w:sz w:val="28"/>
          <w:szCs w:val="28"/>
          <w:lang w:eastAsia="ru-RU"/>
        </w:rPr>
        <w:t>115</w:t>
      </w:r>
      <w:r w:rsidRPr="00FD7B0B">
        <w:rPr>
          <w:rFonts w:ascii="Times New Roman" w:eastAsia="Times New Roman" w:hAnsi="Times New Roman" w:cs="Times New Roman"/>
          <w:sz w:val="28"/>
          <w:szCs w:val="28"/>
          <w:lang w:eastAsia="ru-RU"/>
        </w:rPr>
        <w:t>.</w:t>
      </w:r>
    </w:p>
    <w:p w14:paraId="35238B02" w14:textId="77777777" w:rsidR="000B08C9" w:rsidRPr="00FD7B0B" w:rsidRDefault="000B08C9" w:rsidP="000B08C9">
      <w:pPr>
        <w:spacing w:after="0" w:line="240" w:lineRule="auto"/>
        <w:ind w:firstLine="709"/>
        <w:jc w:val="both"/>
        <w:rPr>
          <w:rFonts w:ascii="Times New Roman" w:eastAsia="Times New Roman" w:hAnsi="Times New Roman" w:cs="Times New Roman"/>
          <w:sz w:val="28"/>
          <w:szCs w:val="28"/>
          <w:lang w:eastAsia="ru-RU"/>
        </w:rPr>
      </w:pPr>
    </w:p>
    <w:p w14:paraId="2F988CB1"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115</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Изменения, внесенные в объемы финансирования мероприятий ГП № 05 за 2024 год, в разрезе проектной и процессной части и источников финансирования, млн.руб.</w:t>
      </w:r>
    </w:p>
    <w:tbl>
      <w:tblPr>
        <w:tblW w:w="9629"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959"/>
        <w:gridCol w:w="1701"/>
        <w:gridCol w:w="1843"/>
        <w:gridCol w:w="992"/>
        <w:gridCol w:w="1134"/>
      </w:tblGrid>
      <w:tr w:rsidR="00FD7B0B" w:rsidRPr="00FD7B0B" w14:paraId="7C32F34D" w14:textId="77777777" w:rsidTr="006F7AEC">
        <w:trPr>
          <w:trHeight w:val="255"/>
          <w:tblHeader/>
        </w:trPr>
        <w:tc>
          <w:tcPr>
            <w:tcW w:w="3959" w:type="dxa"/>
            <w:vMerge w:val="restart"/>
            <w:shd w:val="clear" w:color="000000" w:fill="FFFFFF"/>
            <w:vAlign w:val="center"/>
            <w:hideMark/>
          </w:tcPr>
          <w:p w14:paraId="0A5A284A"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Структура госпрограммы</w:t>
            </w:r>
          </w:p>
        </w:tc>
        <w:tc>
          <w:tcPr>
            <w:tcW w:w="1701" w:type="dxa"/>
            <w:vMerge w:val="restart"/>
            <w:shd w:val="clear" w:color="000000" w:fill="FFFFFF"/>
            <w:vAlign w:val="center"/>
            <w:hideMark/>
          </w:tcPr>
          <w:p w14:paraId="3FC84506"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Редакция ГП № 05, действующая по состоянию на 09.01.2024 (в редакции ПП АО от 09.01.2024 №7-пп)</w:t>
            </w:r>
          </w:p>
        </w:tc>
        <w:tc>
          <w:tcPr>
            <w:tcW w:w="1843" w:type="dxa"/>
            <w:vMerge w:val="restart"/>
            <w:shd w:val="clear" w:color="auto" w:fill="auto"/>
            <w:vAlign w:val="center"/>
            <w:hideMark/>
          </w:tcPr>
          <w:p w14:paraId="010CBC1E"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Редакция ГП № 05, действующая по состоянию на 31.12.2024 (в редакции ПП АО от 27.12.2024 № 1249-пп)</w:t>
            </w:r>
          </w:p>
        </w:tc>
        <w:tc>
          <w:tcPr>
            <w:tcW w:w="2126" w:type="dxa"/>
            <w:gridSpan w:val="2"/>
            <w:shd w:val="clear" w:color="auto" w:fill="auto"/>
            <w:vAlign w:val="center"/>
            <w:hideMark/>
          </w:tcPr>
          <w:p w14:paraId="60998292"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Изменения за отчетный период (+/-)</w:t>
            </w:r>
          </w:p>
        </w:tc>
      </w:tr>
      <w:tr w:rsidR="00FD7B0B" w:rsidRPr="00FD7B0B" w14:paraId="7254AA65" w14:textId="77777777" w:rsidTr="006F7AEC">
        <w:trPr>
          <w:trHeight w:val="677"/>
          <w:tblHeader/>
        </w:trPr>
        <w:tc>
          <w:tcPr>
            <w:tcW w:w="3959" w:type="dxa"/>
            <w:vMerge/>
            <w:vAlign w:val="center"/>
            <w:hideMark/>
          </w:tcPr>
          <w:p w14:paraId="49ACDB97"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p>
        </w:tc>
        <w:tc>
          <w:tcPr>
            <w:tcW w:w="1701" w:type="dxa"/>
            <w:vMerge/>
            <w:vAlign w:val="center"/>
            <w:hideMark/>
          </w:tcPr>
          <w:p w14:paraId="07710B32"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p>
        </w:tc>
        <w:tc>
          <w:tcPr>
            <w:tcW w:w="1843" w:type="dxa"/>
            <w:vMerge/>
            <w:vAlign w:val="center"/>
            <w:hideMark/>
          </w:tcPr>
          <w:p w14:paraId="16C740C1"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p>
        </w:tc>
        <w:tc>
          <w:tcPr>
            <w:tcW w:w="992" w:type="dxa"/>
            <w:shd w:val="clear" w:color="auto" w:fill="auto"/>
            <w:vAlign w:val="center"/>
            <w:hideMark/>
          </w:tcPr>
          <w:p w14:paraId="750BD971"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1134" w:type="dxa"/>
            <w:shd w:val="clear" w:color="auto" w:fill="auto"/>
            <w:vAlign w:val="center"/>
            <w:hideMark/>
          </w:tcPr>
          <w:p w14:paraId="62A1C021"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r>
      <w:tr w:rsidR="00FD7B0B" w:rsidRPr="00FD7B0B" w14:paraId="5328DDB4" w14:textId="77777777" w:rsidTr="006F7AEC">
        <w:trPr>
          <w:trHeight w:val="36"/>
        </w:trPr>
        <w:tc>
          <w:tcPr>
            <w:tcW w:w="3959" w:type="dxa"/>
            <w:shd w:val="clear" w:color="000000" w:fill="FFFFFF"/>
            <w:vAlign w:val="center"/>
            <w:hideMark/>
          </w:tcPr>
          <w:p w14:paraId="3519E0EC" w14:textId="77777777" w:rsidR="000B08C9" w:rsidRPr="00FD7B0B" w:rsidRDefault="000B08C9" w:rsidP="000B08C9">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А</w:t>
            </w:r>
          </w:p>
        </w:tc>
        <w:tc>
          <w:tcPr>
            <w:tcW w:w="1701" w:type="dxa"/>
            <w:shd w:val="clear" w:color="000000" w:fill="FFFFFF"/>
            <w:vAlign w:val="center"/>
            <w:hideMark/>
          </w:tcPr>
          <w:p w14:paraId="3CD69DDE" w14:textId="77777777" w:rsidR="000B08C9" w:rsidRPr="00FD7B0B" w:rsidRDefault="000B08C9" w:rsidP="000B08C9">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1</w:t>
            </w:r>
          </w:p>
        </w:tc>
        <w:tc>
          <w:tcPr>
            <w:tcW w:w="1843" w:type="dxa"/>
            <w:shd w:val="clear" w:color="auto" w:fill="auto"/>
            <w:vAlign w:val="center"/>
            <w:hideMark/>
          </w:tcPr>
          <w:p w14:paraId="10732937" w14:textId="77777777" w:rsidR="000B08C9" w:rsidRPr="00FD7B0B" w:rsidRDefault="000B08C9" w:rsidP="000B08C9">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2</w:t>
            </w:r>
          </w:p>
        </w:tc>
        <w:tc>
          <w:tcPr>
            <w:tcW w:w="992" w:type="dxa"/>
            <w:shd w:val="clear" w:color="auto" w:fill="auto"/>
            <w:vAlign w:val="center"/>
            <w:hideMark/>
          </w:tcPr>
          <w:p w14:paraId="2D00D51C" w14:textId="77777777" w:rsidR="000B08C9" w:rsidRPr="00FD7B0B" w:rsidRDefault="000B08C9" w:rsidP="000B08C9">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3=2-1</w:t>
            </w:r>
          </w:p>
        </w:tc>
        <w:tc>
          <w:tcPr>
            <w:tcW w:w="1134" w:type="dxa"/>
            <w:shd w:val="clear" w:color="auto" w:fill="auto"/>
            <w:vAlign w:val="center"/>
            <w:hideMark/>
          </w:tcPr>
          <w:p w14:paraId="13FC5A82" w14:textId="77777777" w:rsidR="000B08C9" w:rsidRPr="00FD7B0B" w:rsidRDefault="000B08C9" w:rsidP="000B08C9">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4=2/1*100-100</w:t>
            </w:r>
          </w:p>
        </w:tc>
      </w:tr>
      <w:tr w:rsidR="00FD7B0B" w:rsidRPr="00FD7B0B" w14:paraId="73A933A5" w14:textId="77777777" w:rsidTr="006F7AEC">
        <w:trPr>
          <w:trHeight w:hRule="exact" w:val="255"/>
        </w:trPr>
        <w:tc>
          <w:tcPr>
            <w:tcW w:w="3959" w:type="dxa"/>
            <w:shd w:val="clear" w:color="000000" w:fill="FFFFFF"/>
            <w:vAlign w:val="center"/>
            <w:hideMark/>
          </w:tcPr>
          <w:p w14:paraId="61CE303C"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Проектная часть</w:t>
            </w:r>
          </w:p>
        </w:tc>
        <w:tc>
          <w:tcPr>
            <w:tcW w:w="1701" w:type="dxa"/>
            <w:shd w:val="clear" w:color="000000" w:fill="FFFFFF"/>
            <w:vAlign w:val="center"/>
            <w:hideMark/>
          </w:tcPr>
          <w:p w14:paraId="3E1D5293"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879,1</w:t>
            </w:r>
          </w:p>
        </w:tc>
        <w:tc>
          <w:tcPr>
            <w:tcW w:w="1843" w:type="dxa"/>
            <w:shd w:val="clear" w:color="000000" w:fill="FFFFFF"/>
            <w:vAlign w:val="center"/>
            <w:hideMark/>
          </w:tcPr>
          <w:p w14:paraId="05F5B702"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896,8</w:t>
            </w:r>
          </w:p>
        </w:tc>
        <w:tc>
          <w:tcPr>
            <w:tcW w:w="992" w:type="dxa"/>
            <w:shd w:val="clear" w:color="000000" w:fill="FFFFFF"/>
            <w:vAlign w:val="center"/>
            <w:hideMark/>
          </w:tcPr>
          <w:p w14:paraId="3E7A86E4"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+17,7</w:t>
            </w:r>
          </w:p>
        </w:tc>
        <w:tc>
          <w:tcPr>
            <w:tcW w:w="1134" w:type="dxa"/>
            <w:shd w:val="clear" w:color="auto" w:fill="auto"/>
            <w:vAlign w:val="center"/>
            <w:hideMark/>
          </w:tcPr>
          <w:p w14:paraId="7D95B762"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+2,0</w:t>
            </w:r>
          </w:p>
        </w:tc>
      </w:tr>
      <w:tr w:rsidR="00FD7B0B" w:rsidRPr="00FD7B0B" w14:paraId="59BD42DD" w14:textId="77777777" w:rsidTr="006F7AEC">
        <w:trPr>
          <w:trHeight w:hRule="exact" w:val="255"/>
        </w:trPr>
        <w:tc>
          <w:tcPr>
            <w:tcW w:w="3959" w:type="dxa"/>
            <w:shd w:val="clear" w:color="000000" w:fill="FFFFFF"/>
            <w:vAlign w:val="center"/>
            <w:hideMark/>
          </w:tcPr>
          <w:p w14:paraId="3D2F2353" w14:textId="77777777" w:rsidR="000B08C9" w:rsidRPr="00FD7B0B" w:rsidRDefault="000B08C9" w:rsidP="000B08C9">
            <w:pPr>
              <w:spacing w:after="0" w:line="240" w:lineRule="auto"/>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областной бюджет</w:t>
            </w:r>
          </w:p>
        </w:tc>
        <w:tc>
          <w:tcPr>
            <w:tcW w:w="1701" w:type="dxa"/>
            <w:vAlign w:val="center"/>
            <w:hideMark/>
          </w:tcPr>
          <w:p w14:paraId="546AEDA9"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878,5</w:t>
            </w:r>
          </w:p>
        </w:tc>
        <w:tc>
          <w:tcPr>
            <w:tcW w:w="1843" w:type="dxa"/>
            <w:vAlign w:val="center"/>
            <w:hideMark/>
          </w:tcPr>
          <w:p w14:paraId="252C4350"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896,8</w:t>
            </w:r>
          </w:p>
        </w:tc>
        <w:tc>
          <w:tcPr>
            <w:tcW w:w="992" w:type="dxa"/>
            <w:vAlign w:val="center"/>
            <w:hideMark/>
          </w:tcPr>
          <w:p w14:paraId="2E1F2284"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+18,3</w:t>
            </w:r>
          </w:p>
        </w:tc>
        <w:tc>
          <w:tcPr>
            <w:tcW w:w="1134" w:type="dxa"/>
            <w:vAlign w:val="center"/>
            <w:hideMark/>
          </w:tcPr>
          <w:p w14:paraId="7B7BDC3E"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+2,1</w:t>
            </w:r>
          </w:p>
        </w:tc>
      </w:tr>
      <w:tr w:rsidR="00FD7B0B" w:rsidRPr="00FD7B0B" w14:paraId="7DEE5C56" w14:textId="77777777" w:rsidTr="006F7AEC">
        <w:trPr>
          <w:trHeight w:hRule="exact" w:val="505"/>
        </w:trPr>
        <w:tc>
          <w:tcPr>
            <w:tcW w:w="3959" w:type="dxa"/>
            <w:shd w:val="clear" w:color="000000" w:fill="FFFFFF"/>
            <w:vAlign w:val="center"/>
          </w:tcPr>
          <w:p w14:paraId="4CBAFA5E" w14:textId="77777777" w:rsidR="000B08C9" w:rsidRPr="00FD7B0B" w:rsidRDefault="000B08C9" w:rsidP="000B08C9">
            <w:pPr>
              <w:autoSpaceDE w:val="0"/>
              <w:autoSpaceDN w:val="0"/>
              <w:adjustRightInd w:val="0"/>
              <w:spacing w:after="0" w:line="240" w:lineRule="auto"/>
              <w:rPr>
                <w:rFonts w:ascii="Times New Roman" w:eastAsia="Times New Roman" w:hAnsi="Times New Roman" w:cs="Times New Roman"/>
                <w:b/>
                <w:sz w:val="20"/>
                <w:szCs w:val="20"/>
                <w:lang w:eastAsia="ru-RU"/>
              </w:rPr>
            </w:pPr>
            <w:r w:rsidRPr="00FD7B0B">
              <w:rPr>
                <w:rFonts w:ascii="Times New Roman" w:hAnsi="Times New Roman" w:cs="Times New Roman"/>
                <w:b/>
                <w:bCs/>
                <w:sz w:val="20"/>
                <w:szCs w:val="20"/>
              </w:rPr>
              <w:t xml:space="preserve">консолидированные бюджеты муниципальных образований </w:t>
            </w:r>
          </w:p>
        </w:tc>
        <w:tc>
          <w:tcPr>
            <w:tcW w:w="1701" w:type="dxa"/>
            <w:vAlign w:val="center"/>
          </w:tcPr>
          <w:p w14:paraId="3C23B912"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54,3</w:t>
            </w:r>
          </w:p>
        </w:tc>
        <w:tc>
          <w:tcPr>
            <w:tcW w:w="1843" w:type="dxa"/>
            <w:vAlign w:val="center"/>
          </w:tcPr>
          <w:p w14:paraId="417FC7F9"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1,2</w:t>
            </w:r>
          </w:p>
        </w:tc>
        <w:tc>
          <w:tcPr>
            <w:tcW w:w="992" w:type="dxa"/>
            <w:vAlign w:val="center"/>
          </w:tcPr>
          <w:p w14:paraId="5E276C87"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-53,1</w:t>
            </w:r>
          </w:p>
        </w:tc>
        <w:tc>
          <w:tcPr>
            <w:tcW w:w="1134" w:type="dxa"/>
            <w:vAlign w:val="center"/>
          </w:tcPr>
          <w:p w14:paraId="297B656A"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-97,8</w:t>
            </w:r>
          </w:p>
        </w:tc>
      </w:tr>
      <w:tr w:rsidR="00FD7B0B" w:rsidRPr="00FD7B0B" w14:paraId="4F6E5A1D" w14:textId="77777777" w:rsidTr="006F7AEC">
        <w:trPr>
          <w:trHeight w:hRule="exact" w:val="286"/>
        </w:trPr>
        <w:tc>
          <w:tcPr>
            <w:tcW w:w="3959" w:type="dxa"/>
            <w:shd w:val="clear" w:color="000000" w:fill="FFFFFF"/>
            <w:vAlign w:val="center"/>
            <w:hideMark/>
          </w:tcPr>
          <w:p w14:paraId="3C593E5D" w14:textId="77777777" w:rsidR="000B08C9" w:rsidRPr="00FD7B0B" w:rsidRDefault="000B08C9" w:rsidP="000B08C9">
            <w:pPr>
              <w:autoSpaceDE w:val="0"/>
              <w:autoSpaceDN w:val="0"/>
              <w:adjustRightInd w:val="0"/>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РП </w:t>
            </w:r>
            <w:r w:rsidRPr="00FD7B0B">
              <w:rPr>
                <w:rFonts w:ascii="Times New Roman" w:hAnsi="Times New Roman" w:cs="Times New Roman"/>
                <w:sz w:val="20"/>
                <w:szCs w:val="20"/>
              </w:rPr>
              <w:t>"Экспорт продукции АПК"</w:t>
            </w:r>
          </w:p>
        </w:tc>
        <w:tc>
          <w:tcPr>
            <w:tcW w:w="1701" w:type="dxa"/>
            <w:shd w:val="clear" w:color="000000" w:fill="FFFFFF"/>
            <w:vAlign w:val="center"/>
            <w:hideMark/>
          </w:tcPr>
          <w:p w14:paraId="46BA37A6"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w:t>
            </w:r>
          </w:p>
        </w:tc>
        <w:tc>
          <w:tcPr>
            <w:tcW w:w="1843" w:type="dxa"/>
            <w:shd w:val="clear" w:color="auto" w:fill="auto"/>
            <w:vAlign w:val="center"/>
            <w:hideMark/>
          </w:tcPr>
          <w:p w14:paraId="70F5A82E"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9,2</w:t>
            </w:r>
          </w:p>
        </w:tc>
        <w:tc>
          <w:tcPr>
            <w:tcW w:w="992" w:type="dxa"/>
            <w:shd w:val="clear" w:color="auto" w:fill="auto"/>
            <w:vAlign w:val="center"/>
            <w:hideMark/>
          </w:tcPr>
          <w:p w14:paraId="1B41D47D"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-0,3</w:t>
            </w:r>
          </w:p>
        </w:tc>
        <w:tc>
          <w:tcPr>
            <w:tcW w:w="1134" w:type="dxa"/>
            <w:shd w:val="clear" w:color="auto" w:fill="auto"/>
            <w:vAlign w:val="center"/>
            <w:hideMark/>
          </w:tcPr>
          <w:p w14:paraId="478188EA"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w:t>
            </w:r>
          </w:p>
        </w:tc>
      </w:tr>
      <w:tr w:rsidR="00FD7B0B" w:rsidRPr="00FD7B0B" w14:paraId="18C9A850" w14:textId="77777777" w:rsidTr="006F7AEC">
        <w:trPr>
          <w:trHeight w:hRule="exact" w:val="276"/>
        </w:trPr>
        <w:tc>
          <w:tcPr>
            <w:tcW w:w="3959" w:type="dxa"/>
            <w:shd w:val="clear" w:color="000000" w:fill="FFFFFF"/>
            <w:vAlign w:val="center"/>
          </w:tcPr>
          <w:p w14:paraId="5783F3F5" w14:textId="77777777" w:rsidR="000B08C9" w:rsidRPr="00FD7B0B" w:rsidRDefault="000B08C9" w:rsidP="000B08C9">
            <w:pPr>
              <w:autoSpaceDE w:val="0"/>
              <w:autoSpaceDN w:val="0"/>
              <w:adjustRightInd w:val="0"/>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701" w:type="dxa"/>
            <w:shd w:val="clear" w:color="000000" w:fill="FFFFFF"/>
            <w:vAlign w:val="center"/>
          </w:tcPr>
          <w:p w14:paraId="7C32EDA5"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w:t>
            </w:r>
          </w:p>
        </w:tc>
        <w:tc>
          <w:tcPr>
            <w:tcW w:w="1843" w:type="dxa"/>
            <w:shd w:val="clear" w:color="auto" w:fill="auto"/>
            <w:vAlign w:val="center"/>
          </w:tcPr>
          <w:p w14:paraId="48D3C582"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9,2</w:t>
            </w:r>
          </w:p>
        </w:tc>
        <w:tc>
          <w:tcPr>
            <w:tcW w:w="992" w:type="dxa"/>
            <w:shd w:val="clear" w:color="auto" w:fill="auto"/>
            <w:vAlign w:val="center"/>
          </w:tcPr>
          <w:p w14:paraId="7F4CDBB9"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-0,3</w:t>
            </w:r>
          </w:p>
        </w:tc>
        <w:tc>
          <w:tcPr>
            <w:tcW w:w="1134" w:type="dxa"/>
            <w:shd w:val="clear" w:color="auto" w:fill="auto"/>
            <w:vAlign w:val="center"/>
          </w:tcPr>
          <w:p w14:paraId="42963DB2"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w:t>
            </w:r>
          </w:p>
        </w:tc>
      </w:tr>
      <w:tr w:rsidR="00FD7B0B" w:rsidRPr="00FD7B0B" w14:paraId="485AED04" w14:textId="77777777" w:rsidTr="006F7AEC">
        <w:trPr>
          <w:trHeight w:val="699"/>
        </w:trPr>
        <w:tc>
          <w:tcPr>
            <w:tcW w:w="3959" w:type="dxa"/>
            <w:shd w:val="clear" w:color="000000" w:fill="FFFFFF"/>
            <w:vAlign w:val="center"/>
            <w:hideMark/>
          </w:tcPr>
          <w:p w14:paraId="0B4AC5F4" w14:textId="77777777" w:rsidR="000B08C9" w:rsidRPr="00FD7B0B" w:rsidRDefault="000B08C9" w:rsidP="000B08C9">
            <w:pPr>
              <w:autoSpaceDE w:val="0"/>
              <w:autoSpaceDN w:val="0"/>
              <w:adjustRightInd w:val="0"/>
              <w:spacing w:after="0" w:line="240" w:lineRule="auto"/>
              <w:rPr>
                <w:rFonts w:ascii="Times New Roman" w:eastAsia="Times New Roman" w:hAnsi="Times New Roman" w:cs="Times New Roman"/>
                <w:sz w:val="20"/>
                <w:szCs w:val="20"/>
                <w:lang w:eastAsia="ru-RU"/>
              </w:rPr>
            </w:pPr>
            <w:r w:rsidRPr="00FD7B0B">
              <w:rPr>
                <w:rFonts w:ascii="Times New Roman" w:hAnsi="Times New Roman" w:cs="Times New Roman"/>
                <w:bCs/>
                <w:sz w:val="20"/>
                <w:szCs w:val="20"/>
              </w:rPr>
              <w:t>РП "Развитие отраслей и техническая модернизация агропромышленного комплекса</w:t>
            </w:r>
          </w:p>
        </w:tc>
        <w:tc>
          <w:tcPr>
            <w:tcW w:w="1701" w:type="dxa"/>
            <w:shd w:val="clear" w:color="000000" w:fill="FFFFFF"/>
            <w:vAlign w:val="center"/>
            <w:hideMark/>
          </w:tcPr>
          <w:p w14:paraId="4E98E0A8"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750,0</w:t>
            </w:r>
          </w:p>
        </w:tc>
        <w:tc>
          <w:tcPr>
            <w:tcW w:w="1843" w:type="dxa"/>
            <w:shd w:val="clear" w:color="auto" w:fill="auto"/>
            <w:vAlign w:val="center"/>
            <w:hideMark/>
          </w:tcPr>
          <w:p w14:paraId="59EF5DA7"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788,5</w:t>
            </w:r>
          </w:p>
        </w:tc>
        <w:tc>
          <w:tcPr>
            <w:tcW w:w="992" w:type="dxa"/>
            <w:shd w:val="clear" w:color="auto" w:fill="auto"/>
            <w:vAlign w:val="center"/>
            <w:hideMark/>
          </w:tcPr>
          <w:p w14:paraId="4EE8BA97"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+38,5</w:t>
            </w:r>
          </w:p>
        </w:tc>
        <w:tc>
          <w:tcPr>
            <w:tcW w:w="1134" w:type="dxa"/>
            <w:shd w:val="clear" w:color="auto" w:fill="auto"/>
            <w:vAlign w:val="center"/>
            <w:hideMark/>
          </w:tcPr>
          <w:p w14:paraId="514B1469"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w:t>
            </w:r>
          </w:p>
        </w:tc>
      </w:tr>
      <w:tr w:rsidR="00FD7B0B" w:rsidRPr="00FD7B0B" w14:paraId="3C5498F5" w14:textId="77777777" w:rsidTr="006F7AEC">
        <w:trPr>
          <w:trHeight w:hRule="exact" w:val="255"/>
        </w:trPr>
        <w:tc>
          <w:tcPr>
            <w:tcW w:w="3959" w:type="dxa"/>
            <w:shd w:val="clear" w:color="000000" w:fill="FFFFFF"/>
            <w:vAlign w:val="center"/>
            <w:hideMark/>
          </w:tcPr>
          <w:p w14:paraId="6343895E" w14:textId="77777777" w:rsidR="000B08C9" w:rsidRPr="00FD7B0B" w:rsidRDefault="000B08C9" w:rsidP="000B08C9">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701" w:type="dxa"/>
            <w:shd w:val="clear" w:color="000000" w:fill="FFFFFF"/>
            <w:vAlign w:val="center"/>
            <w:hideMark/>
          </w:tcPr>
          <w:p w14:paraId="30F9CFF6"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750,0</w:t>
            </w:r>
          </w:p>
        </w:tc>
        <w:tc>
          <w:tcPr>
            <w:tcW w:w="1843" w:type="dxa"/>
            <w:shd w:val="clear" w:color="000000" w:fill="FFFFFF"/>
            <w:vAlign w:val="center"/>
            <w:hideMark/>
          </w:tcPr>
          <w:p w14:paraId="7AABF105"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788,5</w:t>
            </w:r>
          </w:p>
        </w:tc>
        <w:tc>
          <w:tcPr>
            <w:tcW w:w="992" w:type="dxa"/>
            <w:shd w:val="clear" w:color="000000" w:fill="FFFFFF"/>
            <w:vAlign w:val="center"/>
            <w:hideMark/>
          </w:tcPr>
          <w:p w14:paraId="314A5929"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w:t>
            </w:r>
            <w:r w:rsidRPr="00FD7B0B">
              <w:rPr>
                <w:rFonts w:ascii="Times New Roman" w:eastAsia="Times New Roman" w:hAnsi="Times New Roman" w:cs="Times New Roman"/>
                <w:bCs/>
                <w:sz w:val="20"/>
                <w:szCs w:val="20"/>
                <w:lang w:eastAsia="ru-RU"/>
              </w:rPr>
              <w:t>38,5</w:t>
            </w:r>
          </w:p>
        </w:tc>
        <w:tc>
          <w:tcPr>
            <w:tcW w:w="1134" w:type="dxa"/>
            <w:shd w:val="clear" w:color="auto" w:fill="auto"/>
            <w:vAlign w:val="center"/>
            <w:hideMark/>
          </w:tcPr>
          <w:p w14:paraId="0C4B359E"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+5,1</w:t>
            </w:r>
          </w:p>
        </w:tc>
      </w:tr>
      <w:tr w:rsidR="00FD7B0B" w:rsidRPr="00FD7B0B" w14:paraId="568C32EE" w14:textId="77777777" w:rsidTr="006F7AEC">
        <w:trPr>
          <w:trHeight w:hRule="exact" w:val="729"/>
        </w:trPr>
        <w:tc>
          <w:tcPr>
            <w:tcW w:w="3959" w:type="dxa"/>
            <w:shd w:val="clear" w:color="000000" w:fill="FFFFFF"/>
            <w:vAlign w:val="center"/>
            <w:hideMark/>
          </w:tcPr>
          <w:p w14:paraId="147CCF71" w14:textId="77777777" w:rsidR="000B08C9" w:rsidRPr="00FD7B0B" w:rsidRDefault="000B08C9" w:rsidP="000B08C9">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РП "Стимулирование инвестиционной деятельности в агропромышленном комплексе", в том числе:</w:t>
            </w:r>
          </w:p>
          <w:p w14:paraId="132ECCC3"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p>
        </w:tc>
        <w:tc>
          <w:tcPr>
            <w:tcW w:w="1701" w:type="dxa"/>
            <w:vAlign w:val="center"/>
            <w:hideMark/>
          </w:tcPr>
          <w:p w14:paraId="05721CDA"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27,5</w:t>
            </w:r>
          </w:p>
        </w:tc>
        <w:tc>
          <w:tcPr>
            <w:tcW w:w="1843" w:type="dxa"/>
            <w:vAlign w:val="center"/>
            <w:hideMark/>
          </w:tcPr>
          <w:p w14:paraId="05C979AB"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27,5</w:t>
            </w:r>
          </w:p>
        </w:tc>
        <w:tc>
          <w:tcPr>
            <w:tcW w:w="992" w:type="dxa"/>
            <w:vAlign w:val="center"/>
            <w:hideMark/>
          </w:tcPr>
          <w:p w14:paraId="1D4D3784"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134" w:type="dxa"/>
            <w:vAlign w:val="center"/>
            <w:hideMark/>
          </w:tcPr>
          <w:p w14:paraId="365784BE"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7EEA8E64" w14:textId="77777777" w:rsidTr="006F7AEC">
        <w:trPr>
          <w:trHeight w:hRule="exact" w:val="255"/>
        </w:trPr>
        <w:tc>
          <w:tcPr>
            <w:tcW w:w="3959" w:type="dxa"/>
            <w:shd w:val="clear" w:color="000000" w:fill="FFFFFF"/>
            <w:vAlign w:val="center"/>
            <w:hideMark/>
          </w:tcPr>
          <w:p w14:paraId="5B8AC05B"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701" w:type="dxa"/>
            <w:shd w:val="clear" w:color="000000" w:fill="FFFFFF"/>
            <w:vAlign w:val="center"/>
            <w:hideMark/>
          </w:tcPr>
          <w:p w14:paraId="75025279"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27,5</w:t>
            </w:r>
          </w:p>
        </w:tc>
        <w:tc>
          <w:tcPr>
            <w:tcW w:w="1843" w:type="dxa"/>
            <w:shd w:val="clear" w:color="auto" w:fill="auto"/>
            <w:vAlign w:val="center"/>
            <w:hideMark/>
          </w:tcPr>
          <w:p w14:paraId="7522EFFA"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27,5</w:t>
            </w:r>
          </w:p>
        </w:tc>
        <w:tc>
          <w:tcPr>
            <w:tcW w:w="992" w:type="dxa"/>
            <w:shd w:val="clear" w:color="auto" w:fill="auto"/>
            <w:vAlign w:val="center"/>
            <w:hideMark/>
          </w:tcPr>
          <w:p w14:paraId="585D4C1F"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134" w:type="dxa"/>
            <w:shd w:val="clear" w:color="auto" w:fill="auto"/>
            <w:vAlign w:val="center"/>
            <w:hideMark/>
          </w:tcPr>
          <w:p w14:paraId="0E3E164F"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7B751083" w14:textId="77777777" w:rsidTr="006F7AEC">
        <w:trPr>
          <w:trHeight w:hRule="exact" w:val="255"/>
        </w:trPr>
        <w:tc>
          <w:tcPr>
            <w:tcW w:w="3959" w:type="dxa"/>
            <w:shd w:val="clear" w:color="000000" w:fill="FFFFFF"/>
            <w:vAlign w:val="center"/>
            <w:hideMark/>
          </w:tcPr>
          <w:p w14:paraId="07658D4A" w14:textId="77777777" w:rsidR="000B08C9" w:rsidRPr="00FD7B0B" w:rsidRDefault="000B08C9" w:rsidP="000B08C9">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РП "Развитие сельского туризма"</w:t>
            </w:r>
          </w:p>
          <w:p w14:paraId="5DEA0634" w14:textId="77777777" w:rsidR="000B08C9" w:rsidRPr="00FD7B0B" w:rsidRDefault="000B08C9" w:rsidP="000B08C9">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РП </w:t>
            </w:r>
          </w:p>
        </w:tc>
        <w:tc>
          <w:tcPr>
            <w:tcW w:w="1701" w:type="dxa"/>
            <w:shd w:val="clear" w:color="000000" w:fill="FFFFFF"/>
            <w:vAlign w:val="center"/>
            <w:hideMark/>
          </w:tcPr>
          <w:p w14:paraId="75FCED2D"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8</w:t>
            </w:r>
          </w:p>
        </w:tc>
        <w:tc>
          <w:tcPr>
            <w:tcW w:w="1843" w:type="dxa"/>
            <w:shd w:val="clear" w:color="000000" w:fill="FFFFFF"/>
            <w:vAlign w:val="center"/>
            <w:hideMark/>
          </w:tcPr>
          <w:p w14:paraId="0323D3F5"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0</w:t>
            </w:r>
          </w:p>
        </w:tc>
        <w:tc>
          <w:tcPr>
            <w:tcW w:w="992" w:type="dxa"/>
            <w:shd w:val="clear" w:color="000000" w:fill="FFFFFF"/>
            <w:vAlign w:val="center"/>
            <w:hideMark/>
          </w:tcPr>
          <w:p w14:paraId="1087142E"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0</w:t>
            </w:r>
          </w:p>
        </w:tc>
        <w:tc>
          <w:tcPr>
            <w:tcW w:w="1134" w:type="dxa"/>
            <w:shd w:val="clear" w:color="auto" w:fill="auto"/>
            <w:vAlign w:val="center"/>
            <w:hideMark/>
          </w:tcPr>
          <w:p w14:paraId="291DE8B4"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0</w:t>
            </w:r>
          </w:p>
        </w:tc>
      </w:tr>
      <w:tr w:rsidR="00FD7B0B" w:rsidRPr="00FD7B0B" w14:paraId="5013224A" w14:textId="77777777" w:rsidTr="006F7AEC">
        <w:trPr>
          <w:trHeight w:hRule="exact" w:val="255"/>
        </w:trPr>
        <w:tc>
          <w:tcPr>
            <w:tcW w:w="3959" w:type="dxa"/>
            <w:shd w:val="clear" w:color="000000" w:fill="FFFFFF"/>
            <w:vAlign w:val="center"/>
            <w:hideMark/>
          </w:tcPr>
          <w:p w14:paraId="55076A99"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701" w:type="dxa"/>
            <w:shd w:val="clear" w:color="000000" w:fill="FFFFFF"/>
            <w:vAlign w:val="center"/>
            <w:hideMark/>
          </w:tcPr>
          <w:p w14:paraId="189156E9"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w:t>
            </w:r>
          </w:p>
        </w:tc>
        <w:tc>
          <w:tcPr>
            <w:tcW w:w="1843" w:type="dxa"/>
            <w:shd w:val="clear" w:color="auto" w:fill="auto"/>
            <w:vAlign w:val="center"/>
            <w:hideMark/>
          </w:tcPr>
          <w:p w14:paraId="1ABFEEA1"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992" w:type="dxa"/>
            <w:shd w:val="clear" w:color="auto" w:fill="auto"/>
            <w:vAlign w:val="center"/>
            <w:hideMark/>
          </w:tcPr>
          <w:p w14:paraId="503262FD"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134" w:type="dxa"/>
            <w:shd w:val="clear" w:color="auto" w:fill="auto"/>
            <w:vAlign w:val="center"/>
            <w:hideMark/>
          </w:tcPr>
          <w:p w14:paraId="380C6F35"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0F7F4B1D" w14:textId="77777777" w:rsidTr="006F7AEC">
        <w:trPr>
          <w:trHeight w:hRule="exact" w:val="499"/>
        </w:trPr>
        <w:tc>
          <w:tcPr>
            <w:tcW w:w="3959" w:type="dxa"/>
            <w:shd w:val="clear" w:color="000000" w:fill="FFFFFF"/>
            <w:vAlign w:val="center"/>
            <w:hideMark/>
          </w:tcPr>
          <w:p w14:paraId="09174927" w14:textId="77777777" w:rsidR="000B08C9" w:rsidRPr="00FD7B0B" w:rsidRDefault="000B08C9" w:rsidP="000B08C9">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РП "Развитие отраслей овощеводства и картофелеводства"</w:t>
            </w:r>
          </w:p>
          <w:p w14:paraId="5D5E0F98"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p>
        </w:tc>
        <w:tc>
          <w:tcPr>
            <w:tcW w:w="1701" w:type="dxa"/>
            <w:shd w:val="clear" w:color="000000" w:fill="FFFFFF"/>
            <w:vAlign w:val="center"/>
            <w:hideMark/>
          </w:tcPr>
          <w:p w14:paraId="7C891D6C"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13,3</w:t>
            </w:r>
          </w:p>
        </w:tc>
        <w:tc>
          <w:tcPr>
            <w:tcW w:w="1843" w:type="dxa"/>
            <w:shd w:val="clear" w:color="auto" w:fill="auto"/>
            <w:vAlign w:val="center"/>
            <w:hideMark/>
          </w:tcPr>
          <w:p w14:paraId="333AA4F5"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15,8</w:t>
            </w:r>
          </w:p>
        </w:tc>
        <w:tc>
          <w:tcPr>
            <w:tcW w:w="992" w:type="dxa"/>
            <w:shd w:val="clear" w:color="auto" w:fill="auto"/>
            <w:vAlign w:val="center"/>
            <w:hideMark/>
          </w:tcPr>
          <w:p w14:paraId="6BD7140F"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w:t>
            </w:r>
          </w:p>
        </w:tc>
        <w:tc>
          <w:tcPr>
            <w:tcW w:w="1134" w:type="dxa"/>
            <w:shd w:val="clear" w:color="auto" w:fill="auto"/>
            <w:vAlign w:val="center"/>
            <w:hideMark/>
          </w:tcPr>
          <w:p w14:paraId="3529611C"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+18,8</w:t>
            </w:r>
          </w:p>
        </w:tc>
      </w:tr>
      <w:tr w:rsidR="00FD7B0B" w:rsidRPr="00FD7B0B" w14:paraId="19200194" w14:textId="77777777" w:rsidTr="006F7AEC">
        <w:trPr>
          <w:trHeight w:hRule="exact" w:val="255"/>
        </w:trPr>
        <w:tc>
          <w:tcPr>
            <w:tcW w:w="3959" w:type="dxa"/>
            <w:shd w:val="clear" w:color="000000" w:fill="FFFFFF"/>
            <w:vAlign w:val="center"/>
            <w:hideMark/>
          </w:tcPr>
          <w:p w14:paraId="21714625" w14:textId="77777777" w:rsidR="000B08C9" w:rsidRPr="00FD7B0B" w:rsidRDefault="000B08C9" w:rsidP="000B08C9">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701" w:type="dxa"/>
            <w:shd w:val="clear" w:color="000000" w:fill="FFFFFF"/>
            <w:vAlign w:val="center"/>
            <w:hideMark/>
          </w:tcPr>
          <w:p w14:paraId="119CAC2C"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13,3</w:t>
            </w:r>
          </w:p>
          <w:p w14:paraId="4285C656"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33</w:t>
            </w:r>
          </w:p>
        </w:tc>
        <w:tc>
          <w:tcPr>
            <w:tcW w:w="1843" w:type="dxa"/>
            <w:shd w:val="clear" w:color="000000" w:fill="FFFFFF"/>
            <w:vAlign w:val="center"/>
            <w:hideMark/>
          </w:tcPr>
          <w:p w14:paraId="2116AD7B"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15,8</w:t>
            </w:r>
          </w:p>
        </w:tc>
        <w:tc>
          <w:tcPr>
            <w:tcW w:w="992" w:type="dxa"/>
            <w:shd w:val="clear" w:color="000000" w:fill="FFFFFF"/>
            <w:vAlign w:val="center"/>
            <w:hideMark/>
          </w:tcPr>
          <w:p w14:paraId="7E0A1229"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+2,5</w:t>
            </w:r>
          </w:p>
        </w:tc>
        <w:tc>
          <w:tcPr>
            <w:tcW w:w="1134" w:type="dxa"/>
            <w:shd w:val="clear" w:color="auto" w:fill="auto"/>
            <w:vAlign w:val="center"/>
            <w:hideMark/>
          </w:tcPr>
          <w:p w14:paraId="63679DDD"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+18,8</w:t>
            </w:r>
          </w:p>
        </w:tc>
      </w:tr>
      <w:tr w:rsidR="00FD7B0B" w:rsidRPr="00FD7B0B" w14:paraId="42E809F0" w14:textId="77777777" w:rsidTr="006F7AEC">
        <w:trPr>
          <w:trHeight w:hRule="exact" w:val="750"/>
        </w:trPr>
        <w:tc>
          <w:tcPr>
            <w:tcW w:w="3959" w:type="dxa"/>
            <w:shd w:val="clear" w:color="000000" w:fill="FFFFFF"/>
            <w:vAlign w:val="center"/>
            <w:hideMark/>
          </w:tcPr>
          <w:p w14:paraId="7BE93984" w14:textId="77777777" w:rsidR="000B08C9" w:rsidRPr="00FD7B0B" w:rsidRDefault="000B08C9" w:rsidP="000B08C9">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РП "Вовлечение в оборот и комплексная мелиорация земель сельскохозяйственного назначения"</w:t>
            </w:r>
          </w:p>
          <w:p w14:paraId="3D508A58"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p>
        </w:tc>
        <w:tc>
          <w:tcPr>
            <w:tcW w:w="1701" w:type="dxa"/>
            <w:vAlign w:val="center"/>
            <w:hideMark/>
          </w:tcPr>
          <w:p w14:paraId="55D82284"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70,7</w:t>
            </w:r>
          </w:p>
        </w:tc>
        <w:tc>
          <w:tcPr>
            <w:tcW w:w="1843" w:type="dxa"/>
            <w:vAlign w:val="center"/>
            <w:hideMark/>
          </w:tcPr>
          <w:p w14:paraId="5FB105E8"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55,8</w:t>
            </w:r>
          </w:p>
        </w:tc>
        <w:tc>
          <w:tcPr>
            <w:tcW w:w="992" w:type="dxa"/>
            <w:vAlign w:val="center"/>
            <w:hideMark/>
          </w:tcPr>
          <w:p w14:paraId="253C7AF6"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-14,9</w:t>
            </w:r>
          </w:p>
        </w:tc>
        <w:tc>
          <w:tcPr>
            <w:tcW w:w="1134" w:type="dxa"/>
            <w:vAlign w:val="center"/>
            <w:hideMark/>
          </w:tcPr>
          <w:p w14:paraId="1C45F581"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-21,1</w:t>
            </w:r>
          </w:p>
        </w:tc>
      </w:tr>
      <w:tr w:rsidR="00FD7B0B" w:rsidRPr="00FD7B0B" w14:paraId="42EBA2FA" w14:textId="77777777" w:rsidTr="006F7AEC">
        <w:trPr>
          <w:trHeight w:hRule="exact" w:val="255"/>
        </w:trPr>
        <w:tc>
          <w:tcPr>
            <w:tcW w:w="3959" w:type="dxa"/>
            <w:shd w:val="clear" w:color="000000" w:fill="FFFFFF"/>
            <w:vAlign w:val="center"/>
            <w:hideMark/>
          </w:tcPr>
          <w:p w14:paraId="5AD21F3E"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701" w:type="dxa"/>
            <w:shd w:val="clear" w:color="000000" w:fill="FFFFFF"/>
            <w:vAlign w:val="center"/>
            <w:hideMark/>
          </w:tcPr>
          <w:p w14:paraId="4A056C4F"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70,2</w:t>
            </w:r>
          </w:p>
        </w:tc>
        <w:tc>
          <w:tcPr>
            <w:tcW w:w="1843" w:type="dxa"/>
            <w:shd w:val="clear" w:color="auto" w:fill="auto"/>
            <w:vAlign w:val="center"/>
            <w:hideMark/>
          </w:tcPr>
          <w:p w14:paraId="4D18E3EC"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55,8</w:t>
            </w:r>
          </w:p>
        </w:tc>
        <w:tc>
          <w:tcPr>
            <w:tcW w:w="992" w:type="dxa"/>
            <w:shd w:val="clear" w:color="auto" w:fill="auto"/>
            <w:vAlign w:val="center"/>
            <w:hideMark/>
          </w:tcPr>
          <w:p w14:paraId="4EECAAAD"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-14,9</w:t>
            </w:r>
          </w:p>
        </w:tc>
        <w:tc>
          <w:tcPr>
            <w:tcW w:w="1134" w:type="dxa"/>
            <w:shd w:val="clear" w:color="auto" w:fill="auto"/>
            <w:vAlign w:val="center"/>
            <w:hideMark/>
          </w:tcPr>
          <w:p w14:paraId="685C95CC"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-21,1</w:t>
            </w:r>
          </w:p>
        </w:tc>
      </w:tr>
      <w:tr w:rsidR="00FD7B0B" w:rsidRPr="00FD7B0B" w14:paraId="4F6CE963" w14:textId="77777777" w:rsidTr="006F7AEC">
        <w:trPr>
          <w:trHeight w:hRule="exact" w:val="311"/>
        </w:trPr>
        <w:tc>
          <w:tcPr>
            <w:tcW w:w="3959" w:type="dxa"/>
            <w:shd w:val="clear" w:color="000000" w:fill="FFFFFF"/>
            <w:vAlign w:val="center"/>
          </w:tcPr>
          <w:p w14:paraId="64D831ED" w14:textId="77777777" w:rsidR="000B08C9" w:rsidRPr="00FD7B0B" w:rsidRDefault="000B08C9" w:rsidP="000B08C9">
            <w:pPr>
              <w:autoSpaceDE w:val="0"/>
              <w:autoSpaceDN w:val="0"/>
              <w:adjustRightInd w:val="0"/>
              <w:spacing w:after="0" w:line="240" w:lineRule="auto"/>
              <w:rPr>
                <w:rFonts w:ascii="Times New Roman" w:eastAsia="Times New Roman" w:hAnsi="Times New Roman" w:cs="Times New Roman"/>
                <w:b/>
                <w:sz w:val="20"/>
                <w:szCs w:val="20"/>
                <w:lang w:eastAsia="ru-RU"/>
              </w:rPr>
            </w:pPr>
            <w:r w:rsidRPr="00FD7B0B">
              <w:rPr>
                <w:rFonts w:ascii="Times New Roman" w:hAnsi="Times New Roman" w:cs="Times New Roman"/>
                <w:bCs/>
                <w:sz w:val="20"/>
                <w:szCs w:val="20"/>
              </w:rPr>
              <w:t xml:space="preserve">консолидированные бюджеты МО </w:t>
            </w:r>
          </w:p>
        </w:tc>
        <w:tc>
          <w:tcPr>
            <w:tcW w:w="1701" w:type="dxa"/>
            <w:shd w:val="clear" w:color="auto" w:fill="auto"/>
            <w:noWrap/>
            <w:vAlign w:val="center"/>
          </w:tcPr>
          <w:p w14:paraId="55003A85"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54,3</w:t>
            </w:r>
          </w:p>
        </w:tc>
        <w:tc>
          <w:tcPr>
            <w:tcW w:w="1843" w:type="dxa"/>
            <w:shd w:val="clear" w:color="auto" w:fill="auto"/>
            <w:noWrap/>
            <w:vAlign w:val="center"/>
          </w:tcPr>
          <w:p w14:paraId="04D1EFF7"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992" w:type="dxa"/>
            <w:shd w:val="clear" w:color="000000" w:fill="FFFFFF"/>
            <w:vAlign w:val="center"/>
          </w:tcPr>
          <w:p w14:paraId="04EF7C93"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-53,1</w:t>
            </w:r>
          </w:p>
        </w:tc>
        <w:tc>
          <w:tcPr>
            <w:tcW w:w="1134" w:type="dxa"/>
            <w:shd w:val="clear" w:color="auto" w:fill="auto"/>
            <w:vAlign w:val="center"/>
          </w:tcPr>
          <w:p w14:paraId="728ABC76"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-97,8</w:t>
            </w:r>
          </w:p>
        </w:tc>
      </w:tr>
      <w:tr w:rsidR="00FD7B0B" w:rsidRPr="00FD7B0B" w14:paraId="13154B76" w14:textId="77777777" w:rsidTr="006F7AEC">
        <w:trPr>
          <w:trHeight w:hRule="exact" w:val="280"/>
        </w:trPr>
        <w:tc>
          <w:tcPr>
            <w:tcW w:w="3959" w:type="dxa"/>
            <w:shd w:val="clear" w:color="000000" w:fill="FFFFFF"/>
            <w:vAlign w:val="center"/>
          </w:tcPr>
          <w:p w14:paraId="204251CF"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b/>
                <w:bCs/>
                <w:sz w:val="20"/>
                <w:szCs w:val="20"/>
              </w:rPr>
            </w:pPr>
            <w:r w:rsidRPr="00FD7B0B">
              <w:rPr>
                <w:rFonts w:ascii="Times New Roman" w:hAnsi="Times New Roman" w:cs="Times New Roman"/>
                <w:b/>
                <w:bCs/>
                <w:sz w:val="20"/>
                <w:szCs w:val="20"/>
              </w:rPr>
              <w:t>Процессная часть</w:t>
            </w:r>
          </w:p>
        </w:tc>
        <w:tc>
          <w:tcPr>
            <w:tcW w:w="1701" w:type="dxa"/>
            <w:shd w:val="clear" w:color="auto" w:fill="auto"/>
            <w:noWrap/>
            <w:vAlign w:val="center"/>
          </w:tcPr>
          <w:p w14:paraId="2B4939AF"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719,0</w:t>
            </w:r>
          </w:p>
        </w:tc>
        <w:tc>
          <w:tcPr>
            <w:tcW w:w="1843" w:type="dxa"/>
            <w:shd w:val="clear" w:color="auto" w:fill="auto"/>
            <w:noWrap/>
            <w:vAlign w:val="center"/>
          </w:tcPr>
          <w:p w14:paraId="3336ACFE"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691,8</w:t>
            </w:r>
          </w:p>
        </w:tc>
        <w:tc>
          <w:tcPr>
            <w:tcW w:w="992" w:type="dxa"/>
            <w:shd w:val="clear" w:color="000000" w:fill="FFFFFF"/>
            <w:vAlign w:val="center"/>
          </w:tcPr>
          <w:p w14:paraId="53974B83"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-27,2</w:t>
            </w:r>
          </w:p>
        </w:tc>
        <w:tc>
          <w:tcPr>
            <w:tcW w:w="1134" w:type="dxa"/>
            <w:shd w:val="clear" w:color="auto" w:fill="auto"/>
            <w:vAlign w:val="center"/>
          </w:tcPr>
          <w:p w14:paraId="6E38C61D"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-3,8</w:t>
            </w:r>
          </w:p>
        </w:tc>
      </w:tr>
      <w:tr w:rsidR="00FD7B0B" w:rsidRPr="00FD7B0B" w14:paraId="09795040" w14:textId="77777777" w:rsidTr="006F7AEC">
        <w:trPr>
          <w:trHeight w:hRule="exact" w:val="297"/>
        </w:trPr>
        <w:tc>
          <w:tcPr>
            <w:tcW w:w="3959" w:type="dxa"/>
            <w:shd w:val="clear" w:color="000000" w:fill="FFFFFF"/>
            <w:vAlign w:val="center"/>
          </w:tcPr>
          <w:p w14:paraId="32FCAA56" w14:textId="77777777" w:rsidR="000B08C9" w:rsidRPr="00FD7B0B" w:rsidRDefault="000B08C9" w:rsidP="000B08C9">
            <w:pPr>
              <w:autoSpaceDE w:val="0"/>
              <w:autoSpaceDN w:val="0"/>
              <w:adjustRightInd w:val="0"/>
              <w:spacing w:after="0" w:line="240" w:lineRule="auto"/>
              <w:rPr>
                <w:rFonts w:ascii="Times New Roman" w:hAnsi="Times New Roman" w:cs="Times New Roman"/>
                <w:b/>
                <w:bCs/>
                <w:sz w:val="20"/>
                <w:szCs w:val="20"/>
              </w:rPr>
            </w:pPr>
            <w:r w:rsidRPr="00FD7B0B">
              <w:rPr>
                <w:rFonts w:ascii="Times New Roman" w:eastAsia="Times New Roman" w:hAnsi="Times New Roman" w:cs="Times New Roman"/>
                <w:b/>
                <w:sz w:val="20"/>
                <w:szCs w:val="20"/>
                <w:lang w:eastAsia="ru-RU"/>
              </w:rPr>
              <w:t>областной бюджет</w:t>
            </w:r>
          </w:p>
        </w:tc>
        <w:tc>
          <w:tcPr>
            <w:tcW w:w="1701" w:type="dxa"/>
            <w:shd w:val="clear" w:color="auto" w:fill="auto"/>
            <w:noWrap/>
            <w:vAlign w:val="center"/>
          </w:tcPr>
          <w:p w14:paraId="221F6F20"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713,5</w:t>
            </w:r>
          </w:p>
        </w:tc>
        <w:tc>
          <w:tcPr>
            <w:tcW w:w="1843" w:type="dxa"/>
            <w:shd w:val="clear" w:color="auto" w:fill="auto"/>
            <w:noWrap/>
            <w:vAlign w:val="center"/>
          </w:tcPr>
          <w:p w14:paraId="2AF6D5D9"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691,8</w:t>
            </w:r>
          </w:p>
        </w:tc>
        <w:tc>
          <w:tcPr>
            <w:tcW w:w="992" w:type="dxa"/>
            <w:shd w:val="clear" w:color="000000" w:fill="FFFFFF"/>
            <w:vAlign w:val="center"/>
          </w:tcPr>
          <w:p w14:paraId="5A76BAA6"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-21,7</w:t>
            </w:r>
          </w:p>
        </w:tc>
        <w:tc>
          <w:tcPr>
            <w:tcW w:w="1134" w:type="dxa"/>
            <w:shd w:val="clear" w:color="auto" w:fill="auto"/>
            <w:vAlign w:val="center"/>
          </w:tcPr>
          <w:p w14:paraId="17E363D3"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-3,0</w:t>
            </w:r>
          </w:p>
        </w:tc>
      </w:tr>
      <w:tr w:rsidR="00FD7B0B" w:rsidRPr="00FD7B0B" w14:paraId="0934B530" w14:textId="77777777" w:rsidTr="006F7AEC">
        <w:trPr>
          <w:trHeight w:hRule="exact" w:val="282"/>
        </w:trPr>
        <w:tc>
          <w:tcPr>
            <w:tcW w:w="3959" w:type="dxa"/>
            <w:shd w:val="clear" w:color="000000" w:fill="FFFFFF"/>
            <w:vAlign w:val="center"/>
          </w:tcPr>
          <w:p w14:paraId="0E085C61" w14:textId="77777777" w:rsidR="000B08C9" w:rsidRPr="00FD7B0B" w:rsidRDefault="000B08C9" w:rsidP="000B08C9">
            <w:pPr>
              <w:autoSpaceDE w:val="0"/>
              <w:autoSpaceDN w:val="0"/>
              <w:adjustRightInd w:val="0"/>
              <w:spacing w:after="0" w:line="240" w:lineRule="auto"/>
              <w:rPr>
                <w:rFonts w:ascii="Times New Roman" w:hAnsi="Times New Roman" w:cs="Times New Roman"/>
                <w:b/>
                <w:bCs/>
                <w:sz w:val="20"/>
                <w:szCs w:val="20"/>
              </w:rPr>
            </w:pPr>
            <w:r w:rsidRPr="00FD7B0B">
              <w:rPr>
                <w:rFonts w:ascii="Times New Roman" w:hAnsi="Times New Roman" w:cs="Times New Roman"/>
                <w:b/>
                <w:bCs/>
                <w:sz w:val="20"/>
                <w:szCs w:val="20"/>
              </w:rPr>
              <w:t xml:space="preserve">консолидированные бюджеты МО </w:t>
            </w:r>
          </w:p>
        </w:tc>
        <w:tc>
          <w:tcPr>
            <w:tcW w:w="1701" w:type="dxa"/>
            <w:shd w:val="clear" w:color="auto" w:fill="auto"/>
            <w:noWrap/>
            <w:vAlign w:val="center"/>
          </w:tcPr>
          <w:p w14:paraId="71CCA065"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15,7</w:t>
            </w:r>
          </w:p>
        </w:tc>
        <w:tc>
          <w:tcPr>
            <w:tcW w:w="1843" w:type="dxa"/>
            <w:shd w:val="clear" w:color="auto" w:fill="auto"/>
            <w:noWrap/>
            <w:vAlign w:val="center"/>
          </w:tcPr>
          <w:p w14:paraId="52323482"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8,2</w:t>
            </w:r>
          </w:p>
        </w:tc>
        <w:tc>
          <w:tcPr>
            <w:tcW w:w="992" w:type="dxa"/>
            <w:shd w:val="clear" w:color="000000" w:fill="FFFFFF"/>
            <w:vAlign w:val="center"/>
          </w:tcPr>
          <w:p w14:paraId="6B1535C4"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-7,5</w:t>
            </w:r>
          </w:p>
        </w:tc>
        <w:tc>
          <w:tcPr>
            <w:tcW w:w="1134" w:type="dxa"/>
            <w:shd w:val="clear" w:color="auto" w:fill="auto"/>
            <w:vAlign w:val="center"/>
          </w:tcPr>
          <w:p w14:paraId="27BC988A"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-47,8</w:t>
            </w:r>
          </w:p>
        </w:tc>
      </w:tr>
      <w:tr w:rsidR="00FD7B0B" w:rsidRPr="00FD7B0B" w14:paraId="05448535" w14:textId="77777777" w:rsidTr="006F7AEC">
        <w:trPr>
          <w:trHeight w:hRule="exact" w:val="707"/>
        </w:trPr>
        <w:tc>
          <w:tcPr>
            <w:tcW w:w="3959" w:type="dxa"/>
            <w:shd w:val="clear" w:color="000000" w:fill="FFFFFF"/>
            <w:vAlign w:val="center"/>
          </w:tcPr>
          <w:p w14:paraId="461797C0" w14:textId="77777777" w:rsidR="000B08C9" w:rsidRPr="00FD7B0B" w:rsidRDefault="000B08C9" w:rsidP="000B08C9">
            <w:pPr>
              <w:autoSpaceDE w:val="0"/>
              <w:autoSpaceDN w:val="0"/>
              <w:adjustRightInd w:val="0"/>
              <w:spacing w:after="0" w:line="240" w:lineRule="auto"/>
              <w:rPr>
                <w:rFonts w:ascii="Times New Roman" w:hAnsi="Times New Roman" w:cs="Times New Roman"/>
                <w:bCs/>
                <w:sz w:val="20"/>
                <w:szCs w:val="20"/>
              </w:rPr>
            </w:pPr>
            <w:r w:rsidRPr="00FD7B0B">
              <w:rPr>
                <w:rFonts w:ascii="Times New Roman" w:hAnsi="Times New Roman" w:cs="Times New Roman"/>
                <w:bCs/>
                <w:sz w:val="20"/>
                <w:szCs w:val="20"/>
              </w:rPr>
              <w:t>КПМ "Обеспечение развития агропромышленного комплекса Архангельской области"</w:t>
            </w:r>
          </w:p>
          <w:p w14:paraId="12258C20"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p>
        </w:tc>
        <w:tc>
          <w:tcPr>
            <w:tcW w:w="1701" w:type="dxa"/>
            <w:shd w:val="clear" w:color="auto" w:fill="auto"/>
            <w:noWrap/>
            <w:vAlign w:val="center"/>
          </w:tcPr>
          <w:p w14:paraId="457D6644"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237,1</w:t>
            </w:r>
          </w:p>
        </w:tc>
        <w:tc>
          <w:tcPr>
            <w:tcW w:w="1843" w:type="dxa"/>
            <w:shd w:val="clear" w:color="auto" w:fill="auto"/>
            <w:noWrap/>
            <w:vAlign w:val="center"/>
          </w:tcPr>
          <w:p w14:paraId="76C912D8"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218,4</w:t>
            </w:r>
          </w:p>
        </w:tc>
        <w:tc>
          <w:tcPr>
            <w:tcW w:w="992" w:type="dxa"/>
            <w:shd w:val="clear" w:color="000000" w:fill="FFFFFF"/>
            <w:vAlign w:val="center"/>
          </w:tcPr>
          <w:p w14:paraId="5AA50178"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-18,7</w:t>
            </w:r>
          </w:p>
        </w:tc>
        <w:tc>
          <w:tcPr>
            <w:tcW w:w="1134" w:type="dxa"/>
            <w:shd w:val="clear" w:color="auto" w:fill="auto"/>
            <w:vAlign w:val="center"/>
          </w:tcPr>
          <w:p w14:paraId="470E28EA"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-7,9</w:t>
            </w:r>
          </w:p>
        </w:tc>
      </w:tr>
      <w:tr w:rsidR="00FD7B0B" w:rsidRPr="00FD7B0B" w14:paraId="1CB1DF2C" w14:textId="77777777" w:rsidTr="006F7AEC">
        <w:trPr>
          <w:trHeight w:hRule="exact" w:val="255"/>
        </w:trPr>
        <w:tc>
          <w:tcPr>
            <w:tcW w:w="3959" w:type="dxa"/>
            <w:shd w:val="clear" w:color="000000" w:fill="FFFFFF"/>
            <w:vAlign w:val="center"/>
          </w:tcPr>
          <w:p w14:paraId="30B700D2"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701" w:type="dxa"/>
            <w:shd w:val="clear" w:color="auto" w:fill="auto"/>
            <w:noWrap/>
            <w:vAlign w:val="center"/>
          </w:tcPr>
          <w:p w14:paraId="77A74576"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237,1</w:t>
            </w:r>
          </w:p>
        </w:tc>
        <w:tc>
          <w:tcPr>
            <w:tcW w:w="1843" w:type="dxa"/>
            <w:shd w:val="clear" w:color="auto" w:fill="auto"/>
            <w:noWrap/>
            <w:vAlign w:val="center"/>
          </w:tcPr>
          <w:p w14:paraId="6720C384"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218,4</w:t>
            </w:r>
          </w:p>
        </w:tc>
        <w:tc>
          <w:tcPr>
            <w:tcW w:w="992" w:type="dxa"/>
            <w:shd w:val="clear" w:color="000000" w:fill="FFFFFF"/>
            <w:vAlign w:val="center"/>
          </w:tcPr>
          <w:p w14:paraId="6EF97E56"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-18,7</w:t>
            </w:r>
          </w:p>
        </w:tc>
        <w:tc>
          <w:tcPr>
            <w:tcW w:w="1134" w:type="dxa"/>
            <w:shd w:val="clear" w:color="auto" w:fill="auto"/>
            <w:vAlign w:val="center"/>
          </w:tcPr>
          <w:p w14:paraId="74708BD8" w14:textId="77777777" w:rsidR="000B08C9" w:rsidRPr="00FD7B0B" w:rsidRDefault="000B08C9" w:rsidP="006F7AEC">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-7,9</w:t>
            </w:r>
          </w:p>
        </w:tc>
      </w:tr>
      <w:tr w:rsidR="00FD7B0B" w:rsidRPr="00FD7B0B" w14:paraId="5F7F61DE" w14:textId="77777777" w:rsidTr="006F7AEC">
        <w:trPr>
          <w:trHeight w:hRule="exact" w:val="749"/>
        </w:trPr>
        <w:tc>
          <w:tcPr>
            <w:tcW w:w="3959" w:type="dxa"/>
            <w:shd w:val="clear" w:color="000000" w:fill="FFFFFF"/>
            <w:vAlign w:val="center"/>
          </w:tcPr>
          <w:p w14:paraId="6ECB5EA4" w14:textId="77777777" w:rsidR="000B08C9" w:rsidRPr="00FD7B0B" w:rsidRDefault="000B08C9" w:rsidP="000B08C9">
            <w:pPr>
              <w:autoSpaceDE w:val="0"/>
              <w:autoSpaceDN w:val="0"/>
              <w:adjustRightInd w:val="0"/>
              <w:spacing w:after="0" w:line="240" w:lineRule="auto"/>
              <w:rPr>
                <w:rFonts w:ascii="Times New Roman" w:hAnsi="Times New Roman" w:cs="Times New Roman"/>
                <w:bCs/>
                <w:sz w:val="20"/>
                <w:szCs w:val="20"/>
              </w:rPr>
            </w:pPr>
            <w:r w:rsidRPr="00FD7B0B">
              <w:rPr>
                <w:rFonts w:ascii="Times New Roman" w:hAnsi="Times New Roman" w:cs="Times New Roman"/>
                <w:bCs/>
                <w:sz w:val="20"/>
                <w:szCs w:val="20"/>
              </w:rPr>
              <w:t>КПМ "Обеспечение выполнения функций в сфере агропромышленного комплекса, торговли и ветеринарии"</w:t>
            </w:r>
          </w:p>
          <w:p w14:paraId="0AFABA9C" w14:textId="77777777" w:rsidR="000B08C9" w:rsidRPr="00FD7B0B" w:rsidRDefault="000B08C9" w:rsidP="000B08C9">
            <w:pPr>
              <w:spacing w:after="0" w:line="240" w:lineRule="auto"/>
              <w:rPr>
                <w:rFonts w:ascii="Times New Roman" w:eastAsia="Times New Roman" w:hAnsi="Times New Roman" w:cs="Times New Roman"/>
                <w:sz w:val="20"/>
                <w:szCs w:val="20"/>
                <w:lang w:eastAsia="ru-RU"/>
              </w:rPr>
            </w:pPr>
          </w:p>
        </w:tc>
        <w:tc>
          <w:tcPr>
            <w:tcW w:w="1701" w:type="dxa"/>
            <w:shd w:val="clear" w:color="auto" w:fill="auto"/>
            <w:noWrap/>
            <w:vAlign w:val="center"/>
          </w:tcPr>
          <w:p w14:paraId="4FD59E0E"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481,9</w:t>
            </w:r>
          </w:p>
        </w:tc>
        <w:tc>
          <w:tcPr>
            <w:tcW w:w="1843" w:type="dxa"/>
            <w:shd w:val="clear" w:color="auto" w:fill="auto"/>
            <w:noWrap/>
            <w:vAlign w:val="center"/>
          </w:tcPr>
          <w:p w14:paraId="511D5F71"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473,4</w:t>
            </w:r>
          </w:p>
        </w:tc>
        <w:tc>
          <w:tcPr>
            <w:tcW w:w="992" w:type="dxa"/>
            <w:shd w:val="clear" w:color="000000" w:fill="FFFFFF"/>
            <w:vAlign w:val="center"/>
          </w:tcPr>
          <w:p w14:paraId="6EE36284"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-8,5</w:t>
            </w:r>
          </w:p>
        </w:tc>
        <w:tc>
          <w:tcPr>
            <w:tcW w:w="1134" w:type="dxa"/>
            <w:shd w:val="clear" w:color="auto" w:fill="auto"/>
            <w:vAlign w:val="center"/>
          </w:tcPr>
          <w:p w14:paraId="24475472"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-1,8</w:t>
            </w:r>
          </w:p>
        </w:tc>
      </w:tr>
      <w:tr w:rsidR="00FD7B0B" w:rsidRPr="00FD7B0B" w14:paraId="2EE0F5E9" w14:textId="77777777" w:rsidTr="006F7AEC">
        <w:trPr>
          <w:trHeight w:hRule="exact" w:val="255"/>
        </w:trPr>
        <w:tc>
          <w:tcPr>
            <w:tcW w:w="3959" w:type="dxa"/>
            <w:shd w:val="clear" w:color="000000" w:fill="FFFFFF"/>
            <w:vAlign w:val="center"/>
          </w:tcPr>
          <w:p w14:paraId="34DA744A" w14:textId="77777777" w:rsidR="000B08C9" w:rsidRPr="00FD7B0B" w:rsidRDefault="000B08C9" w:rsidP="000B08C9">
            <w:pPr>
              <w:spacing w:after="0" w:line="240" w:lineRule="auto"/>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701" w:type="dxa"/>
            <w:shd w:val="clear" w:color="auto" w:fill="auto"/>
            <w:noWrap/>
            <w:vAlign w:val="center"/>
          </w:tcPr>
          <w:p w14:paraId="3BAC1147"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476,4</w:t>
            </w:r>
          </w:p>
        </w:tc>
        <w:tc>
          <w:tcPr>
            <w:tcW w:w="1843" w:type="dxa"/>
            <w:shd w:val="clear" w:color="auto" w:fill="auto"/>
            <w:noWrap/>
            <w:vAlign w:val="center"/>
          </w:tcPr>
          <w:p w14:paraId="531F94D4"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473,4</w:t>
            </w:r>
          </w:p>
        </w:tc>
        <w:tc>
          <w:tcPr>
            <w:tcW w:w="992" w:type="dxa"/>
            <w:shd w:val="clear" w:color="000000" w:fill="FFFFFF"/>
            <w:vAlign w:val="center"/>
          </w:tcPr>
          <w:p w14:paraId="7D9D6027"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-3</w:t>
            </w:r>
          </w:p>
        </w:tc>
        <w:tc>
          <w:tcPr>
            <w:tcW w:w="1134" w:type="dxa"/>
            <w:shd w:val="clear" w:color="auto" w:fill="auto"/>
            <w:vAlign w:val="center"/>
          </w:tcPr>
          <w:p w14:paraId="197EC1E4"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-0,6</w:t>
            </w:r>
          </w:p>
        </w:tc>
      </w:tr>
      <w:tr w:rsidR="00FD7B0B" w:rsidRPr="00FD7B0B" w14:paraId="25AAE7E5" w14:textId="77777777" w:rsidTr="006F7AEC">
        <w:trPr>
          <w:trHeight w:hRule="exact" w:val="236"/>
        </w:trPr>
        <w:tc>
          <w:tcPr>
            <w:tcW w:w="3959" w:type="dxa"/>
            <w:shd w:val="clear" w:color="000000" w:fill="FFFFFF"/>
            <w:vAlign w:val="center"/>
          </w:tcPr>
          <w:p w14:paraId="0746BA53" w14:textId="77777777" w:rsidR="000B08C9" w:rsidRPr="00FD7B0B" w:rsidRDefault="000B08C9" w:rsidP="000B08C9">
            <w:pPr>
              <w:autoSpaceDE w:val="0"/>
              <w:autoSpaceDN w:val="0"/>
              <w:adjustRightInd w:val="0"/>
              <w:spacing w:after="0" w:line="240" w:lineRule="auto"/>
              <w:rPr>
                <w:rFonts w:ascii="Times New Roman" w:eastAsia="Times New Roman" w:hAnsi="Times New Roman" w:cs="Times New Roman"/>
                <w:b/>
                <w:sz w:val="20"/>
                <w:szCs w:val="20"/>
                <w:lang w:eastAsia="ru-RU"/>
              </w:rPr>
            </w:pPr>
            <w:r w:rsidRPr="00FD7B0B">
              <w:rPr>
                <w:rFonts w:ascii="Times New Roman" w:hAnsi="Times New Roman" w:cs="Times New Roman"/>
                <w:bCs/>
                <w:sz w:val="20"/>
                <w:szCs w:val="20"/>
              </w:rPr>
              <w:t>консолидированные бюджеты МО</w:t>
            </w:r>
          </w:p>
        </w:tc>
        <w:tc>
          <w:tcPr>
            <w:tcW w:w="1701" w:type="dxa"/>
            <w:shd w:val="clear" w:color="auto" w:fill="auto"/>
            <w:noWrap/>
            <w:vAlign w:val="center"/>
          </w:tcPr>
          <w:p w14:paraId="3F66AAFD"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15,7</w:t>
            </w:r>
          </w:p>
        </w:tc>
        <w:tc>
          <w:tcPr>
            <w:tcW w:w="1843" w:type="dxa"/>
            <w:shd w:val="clear" w:color="auto" w:fill="auto"/>
            <w:noWrap/>
            <w:vAlign w:val="center"/>
          </w:tcPr>
          <w:p w14:paraId="60BA8586" w14:textId="77777777" w:rsidR="000B08C9" w:rsidRPr="00FD7B0B" w:rsidRDefault="000B08C9" w:rsidP="006F7AE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8,2</w:t>
            </w:r>
          </w:p>
        </w:tc>
        <w:tc>
          <w:tcPr>
            <w:tcW w:w="992" w:type="dxa"/>
            <w:shd w:val="clear" w:color="000000" w:fill="FFFFFF"/>
            <w:vAlign w:val="center"/>
          </w:tcPr>
          <w:p w14:paraId="6EA148CF"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-7,5</w:t>
            </w:r>
          </w:p>
        </w:tc>
        <w:tc>
          <w:tcPr>
            <w:tcW w:w="1134" w:type="dxa"/>
            <w:shd w:val="clear" w:color="auto" w:fill="auto"/>
            <w:vAlign w:val="center"/>
          </w:tcPr>
          <w:p w14:paraId="3C7312F4"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-47,8</w:t>
            </w:r>
          </w:p>
        </w:tc>
      </w:tr>
      <w:tr w:rsidR="00FD7B0B" w:rsidRPr="00FD7B0B" w14:paraId="0271BE50" w14:textId="77777777" w:rsidTr="006F7AEC">
        <w:trPr>
          <w:trHeight w:hRule="exact" w:val="255"/>
        </w:trPr>
        <w:tc>
          <w:tcPr>
            <w:tcW w:w="3959" w:type="dxa"/>
            <w:shd w:val="clear" w:color="000000" w:fill="FFFFFF"/>
            <w:vAlign w:val="center"/>
            <w:hideMark/>
          </w:tcPr>
          <w:p w14:paraId="288EFA15" w14:textId="77777777" w:rsidR="000B08C9" w:rsidRPr="00FD7B0B" w:rsidRDefault="000B08C9" w:rsidP="000B08C9">
            <w:pPr>
              <w:spacing w:after="0" w:line="240" w:lineRule="auto"/>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ВСЕГО</w:t>
            </w:r>
          </w:p>
        </w:tc>
        <w:tc>
          <w:tcPr>
            <w:tcW w:w="1701" w:type="dxa"/>
            <w:shd w:val="clear" w:color="auto" w:fill="auto"/>
            <w:noWrap/>
            <w:vAlign w:val="center"/>
            <w:hideMark/>
          </w:tcPr>
          <w:p w14:paraId="101CD2D2"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1 598,1</w:t>
            </w:r>
          </w:p>
        </w:tc>
        <w:tc>
          <w:tcPr>
            <w:tcW w:w="1843" w:type="dxa"/>
            <w:shd w:val="clear" w:color="auto" w:fill="auto"/>
            <w:noWrap/>
            <w:vAlign w:val="center"/>
            <w:hideMark/>
          </w:tcPr>
          <w:p w14:paraId="3CD077F0"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1 588,6</w:t>
            </w:r>
          </w:p>
        </w:tc>
        <w:tc>
          <w:tcPr>
            <w:tcW w:w="992" w:type="dxa"/>
            <w:shd w:val="clear" w:color="000000" w:fill="FFFFFF"/>
            <w:vAlign w:val="center"/>
            <w:hideMark/>
          </w:tcPr>
          <w:p w14:paraId="24960E20"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-9,5</w:t>
            </w:r>
          </w:p>
        </w:tc>
        <w:tc>
          <w:tcPr>
            <w:tcW w:w="1134" w:type="dxa"/>
            <w:shd w:val="clear" w:color="auto" w:fill="auto"/>
            <w:vAlign w:val="center"/>
            <w:hideMark/>
          </w:tcPr>
          <w:p w14:paraId="2BA8B698" w14:textId="77777777" w:rsidR="000B08C9" w:rsidRPr="00FD7B0B" w:rsidRDefault="000B08C9" w:rsidP="006F7AE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-0,59</w:t>
            </w:r>
          </w:p>
        </w:tc>
      </w:tr>
      <w:tr w:rsidR="00FD7B0B" w:rsidRPr="00FD7B0B" w14:paraId="30AA8D7E" w14:textId="77777777" w:rsidTr="006F7AEC">
        <w:trPr>
          <w:trHeight w:hRule="exact" w:val="255"/>
        </w:trPr>
        <w:tc>
          <w:tcPr>
            <w:tcW w:w="3959" w:type="dxa"/>
            <w:shd w:val="clear" w:color="000000" w:fill="FFFFFF"/>
            <w:vAlign w:val="center"/>
            <w:hideMark/>
          </w:tcPr>
          <w:p w14:paraId="609EB56A" w14:textId="77777777" w:rsidR="000B08C9" w:rsidRPr="00FD7B0B" w:rsidRDefault="000B08C9" w:rsidP="000B08C9">
            <w:pPr>
              <w:spacing w:after="0" w:line="240" w:lineRule="auto"/>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областной бюджет</w:t>
            </w:r>
          </w:p>
        </w:tc>
        <w:tc>
          <w:tcPr>
            <w:tcW w:w="1701" w:type="dxa"/>
            <w:shd w:val="clear" w:color="auto" w:fill="auto"/>
            <w:noWrap/>
            <w:vAlign w:val="center"/>
            <w:hideMark/>
          </w:tcPr>
          <w:p w14:paraId="43A27FBF"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1 592,1</w:t>
            </w:r>
          </w:p>
        </w:tc>
        <w:tc>
          <w:tcPr>
            <w:tcW w:w="1843" w:type="dxa"/>
            <w:shd w:val="clear" w:color="auto" w:fill="auto"/>
            <w:noWrap/>
            <w:vAlign w:val="center"/>
            <w:hideMark/>
          </w:tcPr>
          <w:p w14:paraId="4C0BA3DE"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1 588,6</w:t>
            </w:r>
          </w:p>
        </w:tc>
        <w:tc>
          <w:tcPr>
            <w:tcW w:w="992" w:type="dxa"/>
            <w:shd w:val="clear" w:color="auto" w:fill="auto"/>
            <w:vAlign w:val="center"/>
            <w:hideMark/>
          </w:tcPr>
          <w:p w14:paraId="759A618C"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-3,5</w:t>
            </w:r>
          </w:p>
        </w:tc>
        <w:tc>
          <w:tcPr>
            <w:tcW w:w="1134" w:type="dxa"/>
            <w:shd w:val="clear" w:color="auto" w:fill="auto"/>
            <w:noWrap/>
            <w:vAlign w:val="center"/>
            <w:hideMark/>
          </w:tcPr>
          <w:p w14:paraId="3E9D3943"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-0,2</w:t>
            </w:r>
          </w:p>
        </w:tc>
      </w:tr>
      <w:tr w:rsidR="00FD7B0B" w:rsidRPr="00FD7B0B" w14:paraId="45352584" w14:textId="77777777" w:rsidTr="006F7AEC">
        <w:trPr>
          <w:trHeight w:val="171"/>
        </w:trPr>
        <w:tc>
          <w:tcPr>
            <w:tcW w:w="3959" w:type="dxa"/>
            <w:shd w:val="clear" w:color="000000" w:fill="FFFFFF"/>
            <w:vAlign w:val="center"/>
            <w:hideMark/>
          </w:tcPr>
          <w:p w14:paraId="1A02DF8F" w14:textId="77777777" w:rsidR="000B08C9" w:rsidRPr="00FD7B0B" w:rsidRDefault="000B08C9" w:rsidP="000B08C9">
            <w:pPr>
              <w:autoSpaceDE w:val="0"/>
              <w:autoSpaceDN w:val="0"/>
              <w:adjustRightInd w:val="0"/>
              <w:spacing w:after="0" w:line="240" w:lineRule="auto"/>
              <w:rPr>
                <w:rFonts w:ascii="Times New Roman" w:eastAsia="Times New Roman" w:hAnsi="Times New Roman" w:cs="Times New Roman"/>
                <w:b/>
                <w:sz w:val="20"/>
                <w:szCs w:val="20"/>
                <w:lang w:eastAsia="ru-RU"/>
              </w:rPr>
            </w:pPr>
            <w:r w:rsidRPr="00FD7B0B">
              <w:rPr>
                <w:rFonts w:ascii="Times New Roman" w:hAnsi="Times New Roman" w:cs="Times New Roman"/>
                <w:b/>
                <w:bCs/>
                <w:sz w:val="20"/>
                <w:szCs w:val="20"/>
              </w:rPr>
              <w:t>консолидированные бюджеты МО</w:t>
            </w:r>
          </w:p>
        </w:tc>
        <w:tc>
          <w:tcPr>
            <w:tcW w:w="1701" w:type="dxa"/>
            <w:shd w:val="clear" w:color="auto" w:fill="auto"/>
            <w:noWrap/>
            <w:vAlign w:val="center"/>
            <w:hideMark/>
          </w:tcPr>
          <w:p w14:paraId="7B47410B"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70,0</w:t>
            </w:r>
          </w:p>
        </w:tc>
        <w:tc>
          <w:tcPr>
            <w:tcW w:w="1843" w:type="dxa"/>
            <w:shd w:val="clear" w:color="auto" w:fill="auto"/>
            <w:noWrap/>
            <w:vAlign w:val="center"/>
            <w:hideMark/>
          </w:tcPr>
          <w:p w14:paraId="779749DD"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9,4</w:t>
            </w:r>
          </w:p>
        </w:tc>
        <w:tc>
          <w:tcPr>
            <w:tcW w:w="992" w:type="dxa"/>
            <w:shd w:val="clear" w:color="auto" w:fill="auto"/>
            <w:vAlign w:val="center"/>
            <w:hideMark/>
          </w:tcPr>
          <w:p w14:paraId="01F9A1B1"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-60,6</w:t>
            </w:r>
          </w:p>
        </w:tc>
        <w:tc>
          <w:tcPr>
            <w:tcW w:w="1134" w:type="dxa"/>
            <w:shd w:val="clear" w:color="auto" w:fill="auto"/>
            <w:noWrap/>
            <w:vAlign w:val="center"/>
            <w:hideMark/>
          </w:tcPr>
          <w:p w14:paraId="60BCC742" w14:textId="77777777" w:rsidR="000B08C9" w:rsidRPr="00FD7B0B" w:rsidRDefault="000B08C9" w:rsidP="006F7AEC">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-86,6</w:t>
            </w:r>
          </w:p>
        </w:tc>
      </w:tr>
    </w:tbl>
    <w:p w14:paraId="22ED1112" w14:textId="77777777" w:rsidR="000B08C9" w:rsidRPr="00FD7B0B" w:rsidRDefault="000B08C9" w:rsidP="000B08C9">
      <w:pPr>
        <w:autoSpaceDE w:val="0"/>
        <w:autoSpaceDN w:val="0"/>
        <w:adjustRightInd w:val="0"/>
        <w:spacing w:after="0" w:line="240" w:lineRule="auto"/>
        <w:ind w:firstLine="708"/>
        <w:jc w:val="both"/>
        <w:rPr>
          <w:rFonts w:ascii="Times New Roman" w:hAnsi="Times New Roman" w:cs="Times New Roman"/>
          <w:sz w:val="28"/>
          <w:szCs w:val="28"/>
        </w:rPr>
      </w:pPr>
    </w:p>
    <w:p w14:paraId="7BB4AA64" w14:textId="0E75D43A" w:rsidR="000B08C9" w:rsidRPr="00FD7B0B" w:rsidRDefault="000B08C9" w:rsidP="000B08C9">
      <w:pPr>
        <w:autoSpaceDE w:val="0"/>
        <w:autoSpaceDN w:val="0"/>
        <w:adjustRightInd w:val="0"/>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lastRenderedPageBreak/>
        <w:t xml:space="preserve">Анализ соответствия параметров финансового обеспечения структурных элементов госпрограммы, приведенных в паспорте ГП № 15 </w:t>
      </w:r>
      <w:r w:rsidRPr="00FD7B0B">
        <w:rPr>
          <w:rFonts w:ascii="Times New Roman" w:hAnsi="Times New Roman" w:cs="Times New Roman"/>
          <w:sz w:val="28"/>
          <w:szCs w:val="28"/>
        </w:rPr>
        <w:br/>
        <w:t>(1</w:t>
      </w:r>
      <w:r w:rsidR="006F7AEC" w:rsidRPr="00FD7B0B">
        <w:rPr>
          <w:rFonts w:ascii="Times New Roman" w:hAnsi="Times New Roman" w:cs="Times New Roman"/>
          <w:sz w:val="28"/>
          <w:szCs w:val="28"/>
        </w:rPr>
        <w:t> </w:t>
      </w:r>
      <w:r w:rsidRPr="00FD7B0B">
        <w:rPr>
          <w:rFonts w:ascii="Times New Roman" w:hAnsi="Times New Roman" w:cs="Times New Roman"/>
          <w:sz w:val="28"/>
          <w:szCs w:val="28"/>
        </w:rPr>
        <w:t>588,6 млн.руб.) и паспортах соответствующих структурных элементов госпрограммы (1 593,3 млн.руб.), размещенных в ГИИС «Электронный бюджет» (областной бюджет Архангельской области 2024-2026) показал, что выявлены ра</w:t>
      </w:r>
      <w:r w:rsidR="006F7AEC" w:rsidRPr="00FD7B0B">
        <w:rPr>
          <w:rFonts w:ascii="Times New Roman" w:hAnsi="Times New Roman" w:cs="Times New Roman"/>
          <w:sz w:val="28"/>
          <w:szCs w:val="28"/>
        </w:rPr>
        <w:t>схождения на сумму 4,7 млн.руб.</w:t>
      </w:r>
    </w:p>
    <w:p w14:paraId="70F2FD0C" w14:textId="03D8036E" w:rsidR="000B08C9" w:rsidRPr="00FD7B0B" w:rsidRDefault="000B08C9" w:rsidP="000B08C9">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bookmarkStart w:id="133" w:name="sub_1"/>
      <w:r w:rsidRPr="00FD7B0B">
        <w:rPr>
          <w:rFonts w:ascii="Times New Roman" w:eastAsia="Times New Roman" w:hAnsi="Times New Roman"/>
          <w:sz w:val="28"/>
          <w:szCs w:val="28"/>
          <w:lang w:eastAsia="ru-RU"/>
        </w:rPr>
        <w:t xml:space="preserve">Согласно предоставленному министерством экономического развития и промышленности Архангельской области отчету о </w:t>
      </w:r>
      <w:r w:rsidRPr="00FD7B0B">
        <w:rPr>
          <w:rFonts w:ascii="Times New Roman" w:eastAsia="Times New Roman" w:hAnsi="Times New Roman" w:cs="Times New Roman"/>
          <w:sz w:val="28"/>
          <w:szCs w:val="28"/>
          <w:lang w:eastAsia="ru-RU"/>
        </w:rPr>
        <w:t>реализации в 2024 году ГП №</w:t>
      </w:r>
      <w:r w:rsidR="006F7AEC"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05 кассовые расходы по мероприятиям госпрограммы составили 1 579,6 млн.руб. (или 100,3 % к плановым параметрам на 2024 год), в том числе за счет областного бюджета (с учетом межбюджетных трансфертов) в сумме 1 574,8 млн.руб. (99,9</w:t>
      </w:r>
      <w:r w:rsidR="006F7AEC"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 за счет местного бюджета в сумме 4,8 млн.руб.</w:t>
      </w:r>
    </w:p>
    <w:bookmarkEnd w:id="133"/>
    <w:p w14:paraId="78FA4005" w14:textId="463A8790"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Расходы областного бюджета на реализацию ГП № 05 за 2024 год, а также параметры, утвержденные на 2024 год в разрезе главных распорядителей и видов расходов, представлены в таблице </w:t>
      </w:r>
      <w:r w:rsidR="00AA66A0" w:rsidRPr="00FD7B0B">
        <w:rPr>
          <w:rFonts w:ascii="Times New Roman" w:eastAsia="Times New Roman" w:hAnsi="Times New Roman"/>
          <w:sz w:val="28"/>
          <w:szCs w:val="28"/>
          <w:lang w:eastAsia="ru-RU"/>
        </w:rPr>
        <w:t>116</w:t>
      </w:r>
      <w:r w:rsidRPr="00FD7B0B">
        <w:rPr>
          <w:rFonts w:ascii="Times New Roman" w:eastAsia="Times New Roman" w:hAnsi="Times New Roman"/>
          <w:sz w:val="28"/>
          <w:szCs w:val="28"/>
          <w:lang w:eastAsia="ru-RU"/>
        </w:rPr>
        <w:t>.</w:t>
      </w:r>
    </w:p>
    <w:p w14:paraId="3376EAAA"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sz w:val="28"/>
          <w:szCs w:val="28"/>
          <w:highlight w:val="cyan"/>
          <w:lang w:eastAsia="ru-RU"/>
        </w:rPr>
      </w:pPr>
    </w:p>
    <w:p w14:paraId="7415567E"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116</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Основные параметры утвержденных и исполненных расходов из областного бюджета за 2024 год на реализацию мероприятий ГП № 05.</w:t>
      </w:r>
    </w:p>
    <w:tbl>
      <w:tblPr>
        <w:tblW w:w="9640" w:type="dxa"/>
        <w:tblInd w:w="-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818"/>
        <w:gridCol w:w="1417"/>
        <w:gridCol w:w="1953"/>
        <w:gridCol w:w="1166"/>
        <w:gridCol w:w="1286"/>
      </w:tblGrid>
      <w:tr w:rsidR="00FD7B0B" w:rsidRPr="00FD7B0B" w14:paraId="0A10A455" w14:textId="77777777" w:rsidTr="00CF501D">
        <w:trPr>
          <w:trHeight w:val="853"/>
          <w:tblHeader/>
        </w:trPr>
        <w:tc>
          <w:tcPr>
            <w:tcW w:w="3818" w:type="dxa"/>
            <w:shd w:val="clear" w:color="auto" w:fill="auto"/>
            <w:vAlign w:val="center"/>
            <w:hideMark/>
          </w:tcPr>
          <w:p w14:paraId="71A41EB3"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Главный распорядитель, группа видов расходов</w:t>
            </w:r>
          </w:p>
        </w:tc>
        <w:tc>
          <w:tcPr>
            <w:tcW w:w="1417" w:type="dxa"/>
            <w:shd w:val="clear" w:color="auto" w:fill="auto"/>
            <w:vAlign w:val="center"/>
            <w:hideMark/>
          </w:tcPr>
          <w:p w14:paraId="403AADD7"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Утверждено на год (в редакции ОЗ от 23.12.2024), </w:t>
            </w:r>
          </w:p>
          <w:p w14:paraId="262BF1D7"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1953" w:type="dxa"/>
            <w:shd w:val="clear" w:color="auto" w:fill="auto"/>
            <w:vAlign w:val="center"/>
            <w:hideMark/>
          </w:tcPr>
          <w:p w14:paraId="7EE98BAF"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Уточненная СБР на 2024 год по состоянию на 31.12.2024, </w:t>
            </w:r>
          </w:p>
          <w:p w14:paraId="60A0BCD2"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1166" w:type="dxa"/>
            <w:shd w:val="clear" w:color="auto" w:fill="auto"/>
            <w:vAlign w:val="center"/>
            <w:hideMark/>
          </w:tcPr>
          <w:p w14:paraId="1178B50F"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на 31.12.2024,</w:t>
            </w:r>
            <w:r w:rsidRPr="00FD7B0B">
              <w:t xml:space="preserve"> </w:t>
            </w:r>
            <w:r w:rsidRPr="00FD7B0B">
              <w:rPr>
                <w:rFonts w:ascii="Times New Roman" w:eastAsia="Times New Roman" w:hAnsi="Times New Roman" w:cs="Times New Roman"/>
                <w:sz w:val="20"/>
                <w:szCs w:val="20"/>
                <w:lang w:eastAsia="ru-RU"/>
              </w:rPr>
              <w:t xml:space="preserve">млн.руб. </w:t>
            </w:r>
          </w:p>
        </w:tc>
        <w:tc>
          <w:tcPr>
            <w:tcW w:w="1286" w:type="dxa"/>
            <w:shd w:val="clear" w:color="auto" w:fill="auto"/>
            <w:vAlign w:val="center"/>
            <w:hideMark/>
          </w:tcPr>
          <w:p w14:paraId="5EC6C216" w14:textId="285EDE1F" w:rsidR="000B08C9" w:rsidRPr="00FD7B0B" w:rsidRDefault="000B08C9" w:rsidP="00AA66A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 уточненной СБР на год, %</w:t>
            </w:r>
          </w:p>
        </w:tc>
      </w:tr>
      <w:tr w:rsidR="00FD7B0B" w:rsidRPr="00FD7B0B" w14:paraId="47D5BD77" w14:textId="77777777" w:rsidTr="000B08C9">
        <w:trPr>
          <w:trHeight w:hRule="exact" w:val="255"/>
        </w:trPr>
        <w:tc>
          <w:tcPr>
            <w:tcW w:w="3818" w:type="dxa"/>
            <w:shd w:val="clear" w:color="auto" w:fill="auto"/>
            <w:noWrap/>
            <w:vAlign w:val="bottom"/>
            <w:hideMark/>
          </w:tcPr>
          <w:p w14:paraId="3B7CF84B" w14:textId="77777777" w:rsidR="000B08C9" w:rsidRPr="00FD7B0B" w:rsidRDefault="000B08C9" w:rsidP="000B08C9">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Министерство АПК</w:t>
            </w:r>
          </w:p>
        </w:tc>
        <w:tc>
          <w:tcPr>
            <w:tcW w:w="1417" w:type="dxa"/>
            <w:shd w:val="clear" w:color="auto" w:fill="auto"/>
            <w:noWrap/>
            <w:vAlign w:val="bottom"/>
            <w:hideMark/>
          </w:tcPr>
          <w:p w14:paraId="444E1D8D"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1 276,2</w:t>
            </w:r>
          </w:p>
        </w:tc>
        <w:tc>
          <w:tcPr>
            <w:tcW w:w="1953" w:type="dxa"/>
            <w:shd w:val="clear" w:color="auto" w:fill="auto"/>
            <w:noWrap/>
            <w:vAlign w:val="bottom"/>
            <w:hideMark/>
          </w:tcPr>
          <w:p w14:paraId="03D08EEE"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1 205,1</w:t>
            </w:r>
          </w:p>
        </w:tc>
        <w:tc>
          <w:tcPr>
            <w:tcW w:w="1166" w:type="dxa"/>
            <w:shd w:val="clear" w:color="auto" w:fill="auto"/>
            <w:noWrap/>
            <w:vAlign w:val="bottom"/>
            <w:hideMark/>
          </w:tcPr>
          <w:p w14:paraId="7307F8BB"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1204,9</w:t>
            </w:r>
          </w:p>
        </w:tc>
        <w:tc>
          <w:tcPr>
            <w:tcW w:w="1286" w:type="dxa"/>
            <w:shd w:val="clear" w:color="auto" w:fill="auto"/>
            <w:noWrap/>
            <w:vAlign w:val="bottom"/>
            <w:hideMark/>
          </w:tcPr>
          <w:p w14:paraId="13DE0796"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99,98</w:t>
            </w:r>
          </w:p>
        </w:tc>
      </w:tr>
      <w:tr w:rsidR="00FD7B0B" w:rsidRPr="00FD7B0B" w14:paraId="6AFCF1EF" w14:textId="77777777" w:rsidTr="000B08C9">
        <w:trPr>
          <w:trHeight w:hRule="exact" w:val="255"/>
        </w:trPr>
        <w:tc>
          <w:tcPr>
            <w:tcW w:w="3818" w:type="dxa"/>
            <w:shd w:val="clear" w:color="auto" w:fill="auto"/>
            <w:noWrap/>
            <w:vAlign w:val="bottom"/>
            <w:hideMark/>
          </w:tcPr>
          <w:p w14:paraId="6DD24C01"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417" w:type="dxa"/>
            <w:shd w:val="clear" w:color="auto" w:fill="auto"/>
            <w:noWrap/>
            <w:vAlign w:val="bottom"/>
            <w:hideMark/>
          </w:tcPr>
          <w:p w14:paraId="37BAB109"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98,8</w:t>
            </w:r>
          </w:p>
        </w:tc>
        <w:tc>
          <w:tcPr>
            <w:tcW w:w="1953" w:type="dxa"/>
            <w:shd w:val="clear" w:color="auto" w:fill="auto"/>
            <w:noWrap/>
            <w:vAlign w:val="bottom"/>
            <w:hideMark/>
          </w:tcPr>
          <w:p w14:paraId="102664B0"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99,2</w:t>
            </w:r>
          </w:p>
        </w:tc>
        <w:tc>
          <w:tcPr>
            <w:tcW w:w="1166" w:type="dxa"/>
            <w:shd w:val="clear" w:color="auto" w:fill="auto"/>
            <w:noWrap/>
            <w:vAlign w:val="bottom"/>
            <w:hideMark/>
          </w:tcPr>
          <w:p w14:paraId="2BF1732E"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99,2</w:t>
            </w:r>
          </w:p>
        </w:tc>
        <w:tc>
          <w:tcPr>
            <w:tcW w:w="1286" w:type="dxa"/>
            <w:shd w:val="clear" w:color="auto" w:fill="auto"/>
            <w:noWrap/>
            <w:vAlign w:val="bottom"/>
            <w:hideMark/>
          </w:tcPr>
          <w:p w14:paraId="68DC6AE0"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99,93</w:t>
            </w:r>
          </w:p>
        </w:tc>
      </w:tr>
      <w:tr w:rsidR="00FD7B0B" w:rsidRPr="00FD7B0B" w14:paraId="0194E397" w14:textId="77777777" w:rsidTr="000B08C9">
        <w:trPr>
          <w:trHeight w:hRule="exact" w:val="255"/>
        </w:trPr>
        <w:tc>
          <w:tcPr>
            <w:tcW w:w="3818" w:type="dxa"/>
            <w:shd w:val="clear" w:color="auto" w:fill="auto"/>
            <w:noWrap/>
            <w:vAlign w:val="bottom"/>
            <w:hideMark/>
          </w:tcPr>
          <w:p w14:paraId="04DA4082"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w:t>
            </w:r>
          </w:p>
        </w:tc>
        <w:tc>
          <w:tcPr>
            <w:tcW w:w="1417" w:type="dxa"/>
            <w:shd w:val="clear" w:color="auto" w:fill="auto"/>
            <w:noWrap/>
            <w:vAlign w:val="bottom"/>
            <w:hideMark/>
          </w:tcPr>
          <w:p w14:paraId="43E9773F"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7,7</w:t>
            </w:r>
          </w:p>
        </w:tc>
        <w:tc>
          <w:tcPr>
            <w:tcW w:w="1953" w:type="dxa"/>
            <w:shd w:val="clear" w:color="auto" w:fill="auto"/>
            <w:noWrap/>
            <w:vAlign w:val="bottom"/>
            <w:hideMark/>
          </w:tcPr>
          <w:p w14:paraId="6E907251"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16,6</w:t>
            </w:r>
          </w:p>
        </w:tc>
        <w:tc>
          <w:tcPr>
            <w:tcW w:w="1166" w:type="dxa"/>
            <w:shd w:val="clear" w:color="auto" w:fill="auto"/>
            <w:noWrap/>
            <w:vAlign w:val="bottom"/>
            <w:hideMark/>
          </w:tcPr>
          <w:p w14:paraId="367E83BD"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16,6</w:t>
            </w:r>
          </w:p>
        </w:tc>
        <w:tc>
          <w:tcPr>
            <w:tcW w:w="1286" w:type="dxa"/>
            <w:shd w:val="clear" w:color="auto" w:fill="auto"/>
            <w:noWrap/>
            <w:vAlign w:val="bottom"/>
            <w:hideMark/>
          </w:tcPr>
          <w:p w14:paraId="2E90BC4F"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6ADFCD4F" w14:textId="77777777" w:rsidTr="000B08C9">
        <w:trPr>
          <w:trHeight w:hRule="exact" w:val="255"/>
        </w:trPr>
        <w:tc>
          <w:tcPr>
            <w:tcW w:w="3818" w:type="dxa"/>
            <w:shd w:val="clear" w:color="auto" w:fill="auto"/>
            <w:noWrap/>
            <w:vAlign w:val="bottom"/>
            <w:hideMark/>
          </w:tcPr>
          <w:p w14:paraId="47EBD6DF"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300</w:t>
            </w:r>
          </w:p>
        </w:tc>
        <w:tc>
          <w:tcPr>
            <w:tcW w:w="1417" w:type="dxa"/>
            <w:shd w:val="clear" w:color="auto" w:fill="auto"/>
            <w:noWrap/>
            <w:vAlign w:val="bottom"/>
            <w:hideMark/>
          </w:tcPr>
          <w:p w14:paraId="3D9EF9A3"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1953" w:type="dxa"/>
            <w:shd w:val="clear" w:color="auto" w:fill="auto"/>
            <w:noWrap/>
            <w:vAlign w:val="bottom"/>
            <w:hideMark/>
          </w:tcPr>
          <w:p w14:paraId="16DBB23E"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1166" w:type="dxa"/>
            <w:shd w:val="clear" w:color="auto" w:fill="auto"/>
            <w:noWrap/>
            <w:vAlign w:val="bottom"/>
            <w:hideMark/>
          </w:tcPr>
          <w:p w14:paraId="0551A7B4"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0,06</w:t>
            </w:r>
          </w:p>
        </w:tc>
        <w:tc>
          <w:tcPr>
            <w:tcW w:w="1286" w:type="dxa"/>
            <w:shd w:val="clear" w:color="auto" w:fill="auto"/>
            <w:noWrap/>
            <w:vAlign w:val="bottom"/>
            <w:hideMark/>
          </w:tcPr>
          <w:p w14:paraId="289B5A31"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50,0</w:t>
            </w:r>
          </w:p>
        </w:tc>
      </w:tr>
      <w:tr w:rsidR="00FD7B0B" w:rsidRPr="00FD7B0B" w14:paraId="32B1D53C" w14:textId="77777777" w:rsidTr="000B08C9">
        <w:trPr>
          <w:trHeight w:hRule="exact" w:val="255"/>
        </w:trPr>
        <w:tc>
          <w:tcPr>
            <w:tcW w:w="3818" w:type="dxa"/>
            <w:shd w:val="clear" w:color="auto" w:fill="auto"/>
            <w:noWrap/>
            <w:vAlign w:val="bottom"/>
            <w:hideMark/>
          </w:tcPr>
          <w:p w14:paraId="26D442CA"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500</w:t>
            </w:r>
          </w:p>
        </w:tc>
        <w:tc>
          <w:tcPr>
            <w:tcW w:w="1417" w:type="dxa"/>
            <w:shd w:val="clear" w:color="auto" w:fill="auto"/>
            <w:noWrap/>
            <w:vAlign w:val="bottom"/>
            <w:hideMark/>
          </w:tcPr>
          <w:p w14:paraId="38131939"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65,3</w:t>
            </w:r>
          </w:p>
        </w:tc>
        <w:tc>
          <w:tcPr>
            <w:tcW w:w="1953" w:type="dxa"/>
            <w:shd w:val="clear" w:color="auto" w:fill="auto"/>
            <w:noWrap/>
            <w:vAlign w:val="bottom"/>
            <w:hideMark/>
          </w:tcPr>
          <w:p w14:paraId="4FBB7161"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9,4</w:t>
            </w:r>
          </w:p>
        </w:tc>
        <w:tc>
          <w:tcPr>
            <w:tcW w:w="1166" w:type="dxa"/>
            <w:shd w:val="clear" w:color="auto" w:fill="auto"/>
            <w:noWrap/>
            <w:vAlign w:val="bottom"/>
            <w:hideMark/>
          </w:tcPr>
          <w:p w14:paraId="64F96FA0"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9,4</w:t>
            </w:r>
          </w:p>
        </w:tc>
        <w:tc>
          <w:tcPr>
            <w:tcW w:w="1286" w:type="dxa"/>
            <w:shd w:val="clear" w:color="auto" w:fill="auto"/>
            <w:noWrap/>
            <w:vAlign w:val="bottom"/>
            <w:hideMark/>
          </w:tcPr>
          <w:p w14:paraId="503C41B6"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398E0E7E" w14:textId="77777777" w:rsidTr="000B08C9">
        <w:trPr>
          <w:trHeight w:hRule="exact" w:val="255"/>
        </w:trPr>
        <w:tc>
          <w:tcPr>
            <w:tcW w:w="3818" w:type="dxa"/>
            <w:shd w:val="clear" w:color="auto" w:fill="auto"/>
            <w:noWrap/>
            <w:vAlign w:val="bottom"/>
            <w:hideMark/>
          </w:tcPr>
          <w:p w14:paraId="6B4E2AC6"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600</w:t>
            </w:r>
          </w:p>
        </w:tc>
        <w:tc>
          <w:tcPr>
            <w:tcW w:w="1417" w:type="dxa"/>
            <w:shd w:val="clear" w:color="auto" w:fill="auto"/>
            <w:noWrap/>
            <w:vAlign w:val="bottom"/>
            <w:hideMark/>
          </w:tcPr>
          <w:p w14:paraId="30CBCED0"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13,6</w:t>
            </w:r>
          </w:p>
        </w:tc>
        <w:tc>
          <w:tcPr>
            <w:tcW w:w="1953" w:type="dxa"/>
            <w:shd w:val="clear" w:color="auto" w:fill="auto"/>
            <w:noWrap/>
            <w:vAlign w:val="bottom"/>
            <w:hideMark/>
          </w:tcPr>
          <w:p w14:paraId="15C9D629"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w:t>
            </w:r>
          </w:p>
        </w:tc>
        <w:tc>
          <w:tcPr>
            <w:tcW w:w="1166" w:type="dxa"/>
            <w:shd w:val="clear" w:color="auto" w:fill="auto"/>
            <w:noWrap/>
            <w:vAlign w:val="bottom"/>
            <w:hideMark/>
          </w:tcPr>
          <w:p w14:paraId="7B299924"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w:t>
            </w:r>
          </w:p>
        </w:tc>
        <w:tc>
          <w:tcPr>
            <w:tcW w:w="1286" w:type="dxa"/>
            <w:shd w:val="clear" w:color="auto" w:fill="auto"/>
            <w:noWrap/>
            <w:vAlign w:val="bottom"/>
            <w:hideMark/>
          </w:tcPr>
          <w:p w14:paraId="05E4E767"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29B74D8" w14:textId="77777777" w:rsidTr="000B08C9">
        <w:trPr>
          <w:trHeight w:hRule="exact" w:val="255"/>
        </w:trPr>
        <w:tc>
          <w:tcPr>
            <w:tcW w:w="3818" w:type="dxa"/>
            <w:shd w:val="clear" w:color="auto" w:fill="auto"/>
            <w:noWrap/>
            <w:vAlign w:val="bottom"/>
            <w:hideMark/>
          </w:tcPr>
          <w:p w14:paraId="19CEDAD5"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800</w:t>
            </w:r>
          </w:p>
        </w:tc>
        <w:tc>
          <w:tcPr>
            <w:tcW w:w="1417" w:type="dxa"/>
            <w:shd w:val="clear" w:color="auto" w:fill="auto"/>
            <w:noWrap/>
            <w:vAlign w:val="bottom"/>
            <w:hideMark/>
          </w:tcPr>
          <w:p w14:paraId="2FADD5CD"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1 090,7</w:t>
            </w:r>
          </w:p>
        </w:tc>
        <w:tc>
          <w:tcPr>
            <w:tcW w:w="1953" w:type="dxa"/>
            <w:shd w:val="clear" w:color="auto" w:fill="auto"/>
            <w:noWrap/>
            <w:vAlign w:val="bottom"/>
            <w:hideMark/>
          </w:tcPr>
          <w:p w14:paraId="3AEFEAB2"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1 076,2</w:t>
            </w:r>
          </w:p>
        </w:tc>
        <w:tc>
          <w:tcPr>
            <w:tcW w:w="1166" w:type="dxa"/>
            <w:shd w:val="clear" w:color="auto" w:fill="auto"/>
            <w:noWrap/>
            <w:vAlign w:val="bottom"/>
            <w:hideMark/>
          </w:tcPr>
          <w:p w14:paraId="210B849C"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1 076,1</w:t>
            </w:r>
          </w:p>
        </w:tc>
        <w:tc>
          <w:tcPr>
            <w:tcW w:w="1286" w:type="dxa"/>
            <w:shd w:val="clear" w:color="auto" w:fill="auto"/>
            <w:noWrap/>
            <w:vAlign w:val="bottom"/>
            <w:hideMark/>
          </w:tcPr>
          <w:p w14:paraId="51EB1542"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99,99</w:t>
            </w:r>
          </w:p>
        </w:tc>
      </w:tr>
      <w:tr w:rsidR="00FD7B0B" w:rsidRPr="00FD7B0B" w14:paraId="1272C812" w14:textId="77777777" w:rsidTr="00CA7700">
        <w:trPr>
          <w:trHeight w:val="169"/>
        </w:trPr>
        <w:tc>
          <w:tcPr>
            <w:tcW w:w="3818" w:type="dxa"/>
            <w:shd w:val="clear" w:color="auto" w:fill="auto"/>
            <w:noWrap/>
            <w:vAlign w:val="bottom"/>
            <w:hideMark/>
          </w:tcPr>
          <w:p w14:paraId="60DE6393" w14:textId="77777777" w:rsidR="000B08C9" w:rsidRPr="00FD7B0B" w:rsidRDefault="000B08C9" w:rsidP="000B08C9">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Инспекция по ветеринарному надзору</w:t>
            </w:r>
          </w:p>
        </w:tc>
        <w:tc>
          <w:tcPr>
            <w:tcW w:w="1417" w:type="dxa"/>
            <w:shd w:val="clear" w:color="auto" w:fill="auto"/>
            <w:noWrap/>
            <w:vAlign w:val="bottom"/>
            <w:hideMark/>
          </w:tcPr>
          <w:p w14:paraId="4E9EE7D3"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371,9</w:t>
            </w:r>
          </w:p>
        </w:tc>
        <w:tc>
          <w:tcPr>
            <w:tcW w:w="1953" w:type="dxa"/>
            <w:shd w:val="clear" w:color="auto" w:fill="auto"/>
            <w:noWrap/>
            <w:vAlign w:val="bottom"/>
            <w:hideMark/>
          </w:tcPr>
          <w:p w14:paraId="4130794C"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369,9</w:t>
            </w:r>
          </w:p>
        </w:tc>
        <w:tc>
          <w:tcPr>
            <w:tcW w:w="1166" w:type="dxa"/>
            <w:shd w:val="clear" w:color="auto" w:fill="auto"/>
            <w:noWrap/>
            <w:vAlign w:val="bottom"/>
            <w:hideMark/>
          </w:tcPr>
          <w:p w14:paraId="7BAA24CF"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369,9</w:t>
            </w:r>
          </w:p>
        </w:tc>
        <w:tc>
          <w:tcPr>
            <w:tcW w:w="1286" w:type="dxa"/>
            <w:shd w:val="clear" w:color="auto" w:fill="auto"/>
            <w:noWrap/>
            <w:vAlign w:val="bottom"/>
            <w:hideMark/>
          </w:tcPr>
          <w:p w14:paraId="49530EFC"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100,0</w:t>
            </w:r>
          </w:p>
        </w:tc>
      </w:tr>
      <w:tr w:rsidR="00FD7B0B" w:rsidRPr="00FD7B0B" w14:paraId="7395278A" w14:textId="77777777" w:rsidTr="000B08C9">
        <w:trPr>
          <w:trHeight w:hRule="exact" w:val="255"/>
        </w:trPr>
        <w:tc>
          <w:tcPr>
            <w:tcW w:w="3818" w:type="dxa"/>
            <w:shd w:val="clear" w:color="auto" w:fill="auto"/>
            <w:noWrap/>
            <w:vAlign w:val="bottom"/>
            <w:hideMark/>
          </w:tcPr>
          <w:p w14:paraId="58720AF1"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417" w:type="dxa"/>
            <w:shd w:val="clear" w:color="auto" w:fill="auto"/>
            <w:noWrap/>
            <w:vAlign w:val="bottom"/>
            <w:hideMark/>
          </w:tcPr>
          <w:p w14:paraId="2A1AA66E"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19,8</w:t>
            </w:r>
          </w:p>
        </w:tc>
        <w:tc>
          <w:tcPr>
            <w:tcW w:w="1953" w:type="dxa"/>
            <w:shd w:val="clear" w:color="auto" w:fill="auto"/>
            <w:noWrap/>
            <w:vAlign w:val="bottom"/>
            <w:hideMark/>
          </w:tcPr>
          <w:p w14:paraId="5B6F8C7F"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19,8</w:t>
            </w:r>
          </w:p>
        </w:tc>
        <w:tc>
          <w:tcPr>
            <w:tcW w:w="1166" w:type="dxa"/>
            <w:shd w:val="clear" w:color="auto" w:fill="auto"/>
            <w:noWrap/>
            <w:vAlign w:val="bottom"/>
            <w:hideMark/>
          </w:tcPr>
          <w:p w14:paraId="616DC95D"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19,8</w:t>
            </w:r>
          </w:p>
        </w:tc>
        <w:tc>
          <w:tcPr>
            <w:tcW w:w="1286" w:type="dxa"/>
            <w:shd w:val="clear" w:color="auto" w:fill="auto"/>
            <w:noWrap/>
            <w:vAlign w:val="bottom"/>
            <w:hideMark/>
          </w:tcPr>
          <w:p w14:paraId="4BD2DDD6"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71F973B3" w14:textId="77777777" w:rsidTr="000B08C9">
        <w:trPr>
          <w:trHeight w:hRule="exact" w:val="255"/>
        </w:trPr>
        <w:tc>
          <w:tcPr>
            <w:tcW w:w="3818" w:type="dxa"/>
            <w:shd w:val="clear" w:color="auto" w:fill="auto"/>
            <w:noWrap/>
            <w:vAlign w:val="bottom"/>
            <w:hideMark/>
          </w:tcPr>
          <w:p w14:paraId="3C1AE04E"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200</w:t>
            </w:r>
          </w:p>
        </w:tc>
        <w:tc>
          <w:tcPr>
            <w:tcW w:w="1417" w:type="dxa"/>
            <w:shd w:val="clear" w:color="auto" w:fill="auto"/>
            <w:noWrap/>
            <w:vAlign w:val="bottom"/>
            <w:hideMark/>
          </w:tcPr>
          <w:p w14:paraId="6E1BDDE2"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w:t>
            </w:r>
          </w:p>
        </w:tc>
        <w:tc>
          <w:tcPr>
            <w:tcW w:w="1953" w:type="dxa"/>
            <w:shd w:val="clear" w:color="auto" w:fill="auto"/>
            <w:noWrap/>
            <w:vAlign w:val="bottom"/>
            <w:hideMark/>
          </w:tcPr>
          <w:p w14:paraId="3E1C273B"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w:t>
            </w:r>
          </w:p>
        </w:tc>
        <w:tc>
          <w:tcPr>
            <w:tcW w:w="1166" w:type="dxa"/>
            <w:shd w:val="clear" w:color="auto" w:fill="auto"/>
            <w:noWrap/>
            <w:vAlign w:val="bottom"/>
            <w:hideMark/>
          </w:tcPr>
          <w:p w14:paraId="5919CD49"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w:t>
            </w:r>
          </w:p>
        </w:tc>
        <w:tc>
          <w:tcPr>
            <w:tcW w:w="1286" w:type="dxa"/>
            <w:shd w:val="clear" w:color="auto" w:fill="auto"/>
            <w:noWrap/>
            <w:vAlign w:val="bottom"/>
            <w:hideMark/>
          </w:tcPr>
          <w:p w14:paraId="4DE554F7"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EEBD4E2" w14:textId="77777777" w:rsidTr="000B08C9">
        <w:trPr>
          <w:trHeight w:hRule="exact" w:val="255"/>
        </w:trPr>
        <w:tc>
          <w:tcPr>
            <w:tcW w:w="3818" w:type="dxa"/>
            <w:shd w:val="clear" w:color="auto" w:fill="auto"/>
            <w:noWrap/>
            <w:vAlign w:val="bottom"/>
            <w:hideMark/>
          </w:tcPr>
          <w:p w14:paraId="09D8906B"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600</w:t>
            </w:r>
          </w:p>
        </w:tc>
        <w:tc>
          <w:tcPr>
            <w:tcW w:w="1417" w:type="dxa"/>
            <w:shd w:val="clear" w:color="auto" w:fill="auto"/>
            <w:noWrap/>
            <w:vAlign w:val="bottom"/>
            <w:hideMark/>
          </w:tcPr>
          <w:p w14:paraId="54290C0C"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346,8</w:t>
            </w:r>
          </w:p>
        </w:tc>
        <w:tc>
          <w:tcPr>
            <w:tcW w:w="1953" w:type="dxa"/>
            <w:shd w:val="clear" w:color="auto" w:fill="auto"/>
            <w:noWrap/>
            <w:vAlign w:val="bottom"/>
            <w:hideMark/>
          </w:tcPr>
          <w:p w14:paraId="45C00485"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344,8</w:t>
            </w:r>
          </w:p>
        </w:tc>
        <w:tc>
          <w:tcPr>
            <w:tcW w:w="1166" w:type="dxa"/>
            <w:shd w:val="clear" w:color="auto" w:fill="auto"/>
            <w:noWrap/>
            <w:vAlign w:val="bottom"/>
            <w:hideMark/>
          </w:tcPr>
          <w:p w14:paraId="727A4C30"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344,8</w:t>
            </w:r>
          </w:p>
        </w:tc>
        <w:tc>
          <w:tcPr>
            <w:tcW w:w="1286" w:type="dxa"/>
            <w:shd w:val="clear" w:color="auto" w:fill="auto"/>
            <w:noWrap/>
            <w:vAlign w:val="bottom"/>
            <w:hideMark/>
          </w:tcPr>
          <w:p w14:paraId="58C9C087" w14:textId="77777777" w:rsidR="000B08C9" w:rsidRPr="00FD7B0B" w:rsidRDefault="000B08C9" w:rsidP="000B08C9">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F3C7251" w14:textId="77777777" w:rsidTr="000B08C9">
        <w:trPr>
          <w:trHeight w:hRule="exact" w:val="255"/>
        </w:trPr>
        <w:tc>
          <w:tcPr>
            <w:tcW w:w="3818" w:type="dxa"/>
            <w:shd w:val="clear" w:color="auto" w:fill="auto"/>
            <w:noWrap/>
            <w:vAlign w:val="bottom"/>
            <w:hideMark/>
          </w:tcPr>
          <w:p w14:paraId="4852B3C6"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w:t>
            </w:r>
          </w:p>
        </w:tc>
        <w:tc>
          <w:tcPr>
            <w:tcW w:w="1417" w:type="dxa"/>
            <w:shd w:val="clear" w:color="auto" w:fill="auto"/>
            <w:noWrap/>
            <w:vAlign w:val="bottom"/>
            <w:hideMark/>
          </w:tcPr>
          <w:p w14:paraId="27C78C52"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1 648,2</w:t>
            </w:r>
          </w:p>
        </w:tc>
        <w:tc>
          <w:tcPr>
            <w:tcW w:w="1953" w:type="dxa"/>
            <w:shd w:val="clear" w:color="auto" w:fill="auto"/>
            <w:noWrap/>
            <w:vAlign w:val="bottom"/>
            <w:hideMark/>
          </w:tcPr>
          <w:p w14:paraId="2D5EF404"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1 575,0</w:t>
            </w:r>
          </w:p>
        </w:tc>
        <w:tc>
          <w:tcPr>
            <w:tcW w:w="1166" w:type="dxa"/>
            <w:shd w:val="clear" w:color="auto" w:fill="auto"/>
            <w:noWrap/>
            <w:vAlign w:val="bottom"/>
            <w:hideMark/>
          </w:tcPr>
          <w:p w14:paraId="2EC40935"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1 574,8</w:t>
            </w:r>
          </w:p>
        </w:tc>
        <w:tc>
          <w:tcPr>
            <w:tcW w:w="1286" w:type="dxa"/>
            <w:shd w:val="clear" w:color="auto" w:fill="auto"/>
            <w:noWrap/>
            <w:vAlign w:val="bottom"/>
            <w:hideMark/>
          </w:tcPr>
          <w:p w14:paraId="31A2023B" w14:textId="77777777" w:rsidR="000B08C9" w:rsidRPr="00FD7B0B" w:rsidRDefault="000B08C9" w:rsidP="000B08C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100,0</w:t>
            </w:r>
          </w:p>
        </w:tc>
      </w:tr>
    </w:tbl>
    <w:p w14:paraId="3CFA61F2" w14:textId="77777777" w:rsidR="000B08C9" w:rsidRPr="00FD7B0B" w:rsidRDefault="000B08C9" w:rsidP="000B08C9">
      <w:pPr>
        <w:spacing w:after="0" w:line="240" w:lineRule="auto"/>
        <w:rPr>
          <w:rFonts w:ascii="Times New Roman" w:eastAsia="Calibri" w:hAnsi="Times New Roman" w:cs="Times New Roman"/>
          <w:bCs/>
          <w:sz w:val="24"/>
          <w:szCs w:val="24"/>
        </w:rPr>
      </w:pPr>
    </w:p>
    <w:p w14:paraId="6C8C568E"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Основная часть расходов бюджета на реализацию мероприятий ГП № 05 (68,3%) направлена в виде субсидий юридическим лицам (кроме некоммерческих организаций), индивидуальным предпринимателям, физическим лицам – производителям товаров, работ, услуг; межбюджетные трансферты составили 0,6 % к общим расходам, на предоставление субсидий бюджетным учреждениям ветеринарии и ГАУ АО «Инвестсельстрой» направлено 348,4 млн.руб., что составляет 22,12 % к общим расходам.</w:t>
      </w:r>
    </w:p>
    <w:p w14:paraId="5EE17707" w14:textId="211C143A" w:rsidR="000B08C9" w:rsidRPr="00FD7B0B" w:rsidRDefault="000B08C9" w:rsidP="000B08C9">
      <w:pPr>
        <w:autoSpaceDE w:val="0"/>
        <w:autoSpaceDN w:val="0"/>
        <w:adjustRightInd w:val="0"/>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Субсидии на создание условий для обеспечения поселений и жителей городских округов услугами торговли в сумме 6,9 млн.руб. перечислены </w:t>
      </w:r>
      <w:r w:rsidRPr="00FD7B0B">
        <w:rPr>
          <w:rFonts w:ascii="Times New Roman" w:hAnsi="Times New Roman" w:cs="Times New Roman"/>
          <w:sz w:val="28"/>
          <w:szCs w:val="28"/>
        </w:rPr>
        <w:br/>
        <w:t>15-ти муниципальным образованиям, из них по 12-ти МО в пределах, распределенных законом «Об областном бюджете» (таблица 17 приложение</w:t>
      </w:r>
      <w:r w:rsidR="00CA7700" w:rsidRPr="00FD7B0B">
        <w:rPr>
          <w:rFonts w:ascii="Times New Roman" w:hAnsi="Times New Roman" w:cs="Times New Roman"/>
          <w:sz w:val="28"/>
          <w:szCs w:val="28"/>
        </w:rPr>
        <w:t xml:space="preserve"> </w:t>
      </w:r>
      <w:r w:rsidRPr="00FD7B0B">
        <w:rPr>
          <w:rFonts w:ascii="Times New Roman" w:hAnsi="Times New Roman" w:cs="Times New Roman"/>
          <w:sz w:val="28"/>
          <w:szCs w:val="28"/>
        </w:rPr>
        <w:t>№</w:t>
      </w:r>
      <w:r w:rsidR="00CA7700" w:rsidRPr="00FD7B0B">
        <w:rPr>
          <w:rFonts w:ascii="Times New Roman" w:hAnsi="Times New Roman" w:cs="Times New Roman"/>
          <w:sz w:val="28"/>
          <w:szCs w:val="28"/>
        </w:rPr>
        <w:t> </w:t>
      </w:r>
      <w:r w:rsidRPr="00FD7B0B">
        <w:rPr>
          <w:rFonts w:ascii="Times New Roman" w:hAnsi="Times New Roman" w:cs="Times New Roman"/>
          <w:sz w:val="28"/>
          <w:szCs w:val="28"/>
        </w:rPr>
        <w:t xml:space="preserve">11) бюджетных ассигнований, по 3-м МО расходы превысили законодательно </w:t>
      </w:r>
      <w:r w:rsidRPr="00FD7B0B">
        <w:rPr>
          <w:rFonts w:ascii="Times New Roman" w:hAnsi="Times New Roman" w:cs="Times New Roman"/>
          <w:sz w:val="28"/>
          <w:szCs w:val="28"/>
        </w:rPr>
        <w:lastRenderedPageBreak/>
        <w:t>утверждение бюджетные ассигнования (в соответствии со ст. 20 закона «Об областном бюджете»):</w:t>
      </w:r>
    </w:p>
    <w:tbl>
      <w:tblPr>
        <w:tblStyle w:val="a7"/>
        <w:tblW w:w="961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813"/>
        <w:gridCol w:w="2835"/>
        <w:gridCol w:w="1559"/>
        <w:gridCol w:w="1412"/>
      </w:tblGrid>
      <w:tr w:rsidR="00FD7B0B" w:rsidRPr="00FD7B0B" w14:paraId="0053E05C" w14:textId="77777777" w:rsidTr="00CA7700">
        <w:tc>
          <w:tcPr>
            <w:tcW w:w="3813" w:type="dxa"/>
          </w:tcPr>
          <w:p w14:paraId="0AA021AF" w14:textId="77777777" w:rsidR="000B08C9" w:rsidRPr="00FD7B0B" w:rsidRDefault="000B08C9" w:rsidP="00CA7700">
            <w:pPr>
              <w:autoSpaceDE w:val="0"/>
              <w:autoSpaceDN w:val="0"/>
              <w:adjustRightInd w:val="0"/>
              <w:jc w:val="center"/>
              <w:rPr>
                <w:rFonts w:ascii="Times New Roman" w:hAnsi="Times New Roman"/>
                <w:bCs/>
              </w:rPr>
            </w:pPr>
            <w:r w:rsidRPr="00FD7B0B">
              <w:rPr>
                <w:rFonts w:ascii="Times New Roman" w:hAnsi="Times New Roman"/>
                <w:bCs/>
              </w:rPr>
              <w:t>Муниципальное образование</w:t>
            </w:r>
          </w:p>
        </w:tc>
        <w:tc>
          <w:tcPr>
            <w:tcW w:w="2835" w:type="dxa"/>
          </w:tcPr>
          <w:p w14:paraId="3C38FDC2" w14:textId="77777777" w:rsidR="000B08C9" w:rsidRPr="00FD7B0B" w:rsidRDefault="000B08C9" w:rsidP="00CA7700">
            <w:pPr>
              <w:autoSpaceDE w:val="0"/>
              <w:autoSpaceDN w:val="0"/>
              <w:adjustRightInd w:val="0"/>
              <w:jc w:val="center"/>
              <w:rPr>
                <w:rFonts w:ascii="Times New Roman" w:hAnsi="Times New Roman"/>
                <w:bCs/>
              </w:rPr>
            </w:pPr>
            <w:r w:rsidRPr="00FD7B0B">
              <w:rPr>
                <w:rFonts w:ascii="Times New Roman" w:hAnsi="Times New Roman"/>
                <w:bCs/>
              </w:rPr>
              <w:t>Утверждено законом «Об областном бюджете», тыс.руб.</w:t>
            </w:r>
          </w:p>
        </w:tc>
        <w:tc>
          <w:tcPr>
            <w:tcW w:w="1559" w:type="dxa"/>
          </w:tcPr>
          <w:p w14:paraId="716BC461" w14:textId="77777777" w:rsidR="000B08C9" w:rsidRPr="00FD7B0B" w:rsidRDefault="000B08C9" w:rsidP="00CA7700">
            <w:pPr>
              <w:autoSpaceDE w:val="0"/>
              <w:autoSpaceDN w:val="0"/>
              <w:adjustRightInd w:val="0"/>
              <w:jc w:val="center"/>
              <w:rPr>
                <w:rFonts w:ascii="Times New Roman" w:hAnsi="Times New Roman"/>
                <w:bCs/>
              </w:rPr>
            </w:pPr>
            <w:r w:rsidRPr="00FD7B0B">
              <w:rPr>
                <w:rFonts w:ascii="Times New Roman" w:hAnsi="Times New Roman"/>
                <w:bCs/>
              </w:rPr>
              <w:t>Перечислено МО, тыс.руб.</w:t>
            </w:r>
          </w:p>
        </w:tc>
        <w:tc>
          <w:tcPr>
            <w:tcW w:w="1412" w:type="dxa"/>
          </w:tcPr>
          <w:p w14:paraId="4E59B353" w14:textId="77777777" w:rsidR="000B08C9" w:rsidRPr="00FD7B0B" w:rsidRDefault="000B08C9" w:rsidP="00CA7700">
            <w:pPr>
              <w:autoSpaceDE w:val="0"/>
              <w:autoSpaceDN w:val="0"/>
              <w:adjustRightInd w:val="0"/>
              <w:jc w:val="center"/>
              <w:rPr>
                <w:rFonts w:ascii="Times New Roman" w:hAnsi="Times New Roman"/>
                <w:bCs/>
              </w:rPr>
            </w:pPr>
            <w:r w:rsidRPr="00FD7B0B">
              <w:rPr>
                <w:rFonts w:ascii="Times New Roman" w:hAnsi="Times New Roman"/>
                <w:bCs/>
              </w:rPr>
              <w:t>Отклонения</w:t>
            </w:r>
          </w:p>
          <w:p w14:paraId="62415B2E" w14:textId="77777777" w:rsidR="000B08C9" w:rsidRPr="00FD7B0B" w:rsidRDefault="000B08C9" w:rsidP="00CA7700">
            <w:pPr>
              <w:autoSpaceDE w:val="0"/>
              <w:autoSpaceDN w:val="0"/>
              <w:adjustRightInd w:val="0"/>
              <w:jc w:val="center"/>
              <w:rPr>
                <w:rFonts w:ascii="Times New Roman" w:hAnsi="Times New Roman"/>
                <w:bCs/>
              </w:rPr>
            </w:pPr>
            <w:r w:rsidRPr="00FD7B0B">
              <w:rPr>
                <w:rFonts w:ascii="Times New Roman" w:hAnsi="Times New Roman"/>
                <w:bCs/>
              </w:rPr>
              <w:t>тыс.руб.</w:t>
            </w:r>
          </w:p>
        </w:tc>
      </w:tr>
      <w:tr w:rsidR="00FD7B0B" w:rsidRPr="00FD7B0B" w14:paraId="69CDD110" w14:textId="77777777" w:rsidTr="00CA7700">
        <w:tc>
          <w:tcPr>
            <w:tcW w:w="3813" w:type="dxa"/>
          </w:tcPr>
          <w:p w14:paraId="2CD2EB6F" w14:textId="77777777" w:rsidR="000B08C9" w:rsidRPr="00FD7B0B" w:rsidRDefault="000B08C9" w:rsidP="00CA7700">
            <w:pPr>
              <w:autoSpaceDE w:val="0"/>
              <w:autoSpaceDN w:val="0"/>
              <w:adjustRightInd w:val="0"/>
              <w:rPr>
                <w:rFonts w:ascii="Times New Roman" w:hAnsi="Times New Roman"/>
                <w:bCs/>
              </w:rPr>
            </w:pPr>
            <w:r w:rsidRPr="00FD7B0B">
              <w:rPr>
                <w:rFonts w:ascii="Times New Roman" w:hAnsi="Times New Roman"/>
                <w:bCs/>
              </w:rPr>
              <w:t>Вилегодский муниципальный округ Архангельской области</w:t>
            </w:r>
          </w:p>
        </w:tc>
        <w:tc>
          <w:tcPr>
            <w:tcW w:w="2835" w:type="dxa"/>
          </w:tcPr>
          <w:p w14:paraId="329EDC24" w14:textId="77777777" w:rsidR="000B08C9" w:rsidRPr="00FD7B0B" w:rsidRDefault="000B08C9" w:rsidP="000B08C9">
            <w:pPr>
              <w:autoSpaceDE w:val="0"/>
              <w:autoSpaceDN w:val="0"/>
              <w:adjustRightInd w:val="0"/>
              <w:jc w:val="center"/>
              <w:rPr>
                <w:rFonts w:ascii="Times New Roman" w:hAnsi="Times New Roman"/>
                <w:bCs/>
              </w:rPr>
            </w:pPr>
            <w:r w:rsidRPr="00FD7B0B">
              <w:rPr>
                <w:rFonts w:ascii="Times New Roman" w:hAnsi="Times New Roman"/>
                <w:bCs/>
              </w:rPr>
              <w:t>840,0</w:t>
            </w:r>
          </w:p>
        </w:tc>
        <w:tc>
          <w:tcPr>
            <w:tcW w:w="1559" w:type="dxa"/>
          </w:tcPr>
          <w:p w14:paraId="137018A3" w14:textId="77777777" w:rsidR="000B08C9" w:rsidRPr="00FD7B0B" w:rsidRDefault="000B08C9" w:rsidP="000B08C9">
            <w:pPr>
              <w:autoSpaceDE w:val="0"/>
              <w:autoSpaceDN w:val="0"/>
              <w:adjustRightInd w:val="0"/>
              <w:jc w:val="center"/>
              <w:rPr>
                <w:rFonts w:ascii="Times New Roman" w:hAnsi="Times New Roman"/>
                <w:bCs/>
              </w:rPr>
            </w:pPr>
            <w:r w:rsidRPr="00FD7B0B">
              <w:rPr>
                <w:rFonts w:ascii="Times New Roman" w:hAnsi="Times New Roman"/>
                <w:bCs/>
              </w:rPr>
              <w:t>883,6</w:t>
            </w:r>
          </w:p>
        </w:tc>
        <w:tc>
          <w:tcPr>
            <w:tcW w:w="1412" w:type="dxa"/>
          </w:tcPr>
          <w:p w14:paraId="4E6DEA99" w14:textId="77777777" w:rsidR="000B08C9" w:rsidRPr="00FD7B0B" w:rsidRDefault="000B08C9" w:rsidP="000B08C9">
            <w:pPr>
              <w:autoSpaceDE w:val="0"/>
              <w:autoSpaceDN w:val="0"/>
              <w:adjustRightInd w:val="0"/>
              <w:jc w:val="center"/>
              <w:rPr>
                <w:rFonts w:ascii="Times New Roman" w:hAnsi="Times New Roman"/>
                <w:bCs/>
              </w:rPr>
            </w:pPr>
            <w:r w:rsidRPr="00FD7B0B">
              <w:rPr>
                <w:rFonts w:ascii="Times New Roman" w:hAnsi="Times New Roman"/>
                <w:bCs/>
              </w:rPr>
              <w:t>+43,6</w:t>
            </w:r>
          </w:p>
        </w:tc>
      </w:tr>
      <w:tr w:rsidR="00FD7B0B" w:rsidRPr="00FD7B0B" w14:paraId="1CF16673" w14:textId="77777777" w:rsidTr="00CA7700">
        <w:tc>
          <w:tcPr>
            <w:tcW w:w="3813" w:type="dxa"/>
          </w:tcPr>
          <w:p w14:paraId="17DA38B8" w14:textId="77777777" w:rsidR="000B08C9" w:rsidRPr="00FD7B0B" w:rsidRDefault="000B08C9" w:rsidP="00CA7700">
            <w:pPr>
              <w:autoSpaceDE w:val="0"/>
              <w:autoSpaceDN w:val="0"/>
              <w:adjustRightInd w:val="0"/>
              <w:rPr>
                <w:rFonts w:ascii="Times New Roman" w:hAnsi="Times New Roman"/>
                <w:bCs/>
              </w:rPr>
            </w:pPr>
            <w:r w:rsidRPr="00FD7B0B">
              <w:rPr>
                <w:rFonts w:ascii="Times New Roman" w:hAnsi="Times New Roman"/>
                <w:bCs/>
              </w:rPr>
              <w:t>Каргопольский муниципальный округ Архангельской области</w:t>
            </w:r>
          </w:p>
        </w:tc>
        <w:tc>
          <w:tcPr>
            <w:tcW w:w="2835" w:type="dxa"/>
          </w:tcPr>
          <w:p w14:paraId="29BE9F85" w14:textId="77777777" w:rsidR="000B08C9" w:rsidRPr="00FD7B0B" w:rsidRDefault="000B08C9" w:rsidP="000B08C9">
            <w:pPr>
              <w:autoSpaceDE w:val="0"/>
              <w:autoSpaceDN w:val="0"/>
              <w:adjustRightInd w:val="0"/>
              <w:jc w:val="center"/>
              <w:rPr>
                <w:rFonts w:ascii="Times New Roman" w:hAnsi="Times New Roman"/>
                <w:bCs/>
              </w:rPr>
            </w:pPr>
            <w:r w:rsidRPr="00FD7B0B">
              <w:rPr>
                <w:rFonts w:ascii="Times New Roman" w:hAnsi="Times New Roman"/>
                <w:bCs/>
              </w:rPr>
              <w:t>48,0</w:t>
            </w:r>
          </w:p>
        </w:tc>
        <w:tc>
          <w:tcPr>
            <w:tcW w:w="1559" w:type="dxa"/>
          </w:tcPr>
          <w:p w14:paraId="10FA7F65" w14:textId="77777777" w:rsidR="000B08C9" w:rsidRPr="00FD7B0B" w:rsidRDefault="000B08C9" w:rsidP="000B08C9">
            <w:pPr>
              <w:autoSpaceDE w:val="0"/>
              <w:autoSpaceDN w:val="0"/>
              <w:adjustRightInd w:val="0"/>
              <w:jc w:val="center"/>
              <w:rPr>
                <w:rFonts w:ascii="Times New Roman" w:hAnsi="Times New Roman"/>
                <w:bCs/>
              </w:rPr>
            </w:pPr>
            <w:r w:rsidRPr="00FD7B0B">
              <w:rPr>
                <w:rFonts w:ascii="Times New Roman" w:hAnsi="Times New Roman"/>
                <w:bCs/>
              </w:rPr>
              <w:t>258,0</w:t>
            </w:r>
          </w:p>
        </w:tc>
        <w:tc>
          <w:tcPr>
            <w:tcW w:w="1412" w:type="dxa"/>
          </w:tcPr>
          <w:p w14:paraId="74F60381" w14:textId="77777777" w:rsidR="000B08C9" w:rsidRPr="00FD7B0B" w:rsidRDefault="000B08C9" w:rsidP="000B08C9">
            <w:pPr>
              <w:autoSpaceDE w:val="0"/>
              <w:autoSpaceDN w:val="0"/>
              <w:adjustRightInd w:val="0"/>
              <w:jc w:val="center"/>
              <w:rPr>
                <w:rFonts w:ascii="Times New Roman" w:hAnsi="Times New Roman"/>
                <w:bCs/>
              </w:rPr>
            </w:pPr>
            <w:r w:rsidRPr="00FD7B0B">
              <w:rPr>
                <w:rFonts w:ascii="Times New Roman" w:hAnsi="Times New Roman"/>
                <w:bCs/>
              </w:rPr>
              <w:t>+210,0</w:t>
            </w:r>
          </w:p>
        </w:tc>
      </w:tr>
      <w:tr w:rsidR="000B08C9" w:rsidRPr="00FD7B0B" w14:paraId="5F619669" w14:textId="77777777" w:rsidTr="00CA7700">
        <w:tc>
          <w:tcPr>
            <w:tcW w:w="3813" w:type="dxa"/>
          </w:tcPr>
          <w:p w14:paraId="73F4038B" w14:textId="77777777" w:rsidR="000B08C9" w:rsidRPr="00FD7B0B" w:rsidRDefault="000B08C9" w:rsidP="00CA7700">
            <w:pPr>
              <w:autoSpaceDE w:val="0"/>
              <w:autoSpaceDN w:val="0"/>
              <w:adjustRightInd w:val="0"/>
              <w:rPr>
                <w:rFonts w:ascii="Times New Roman" w:hAnsi="Times New Roman"/>
                <w:bCs/>
              </w:rPr>
            </w:pPr>
            <w:r w:rsidRPr="00FD7B0B">
              <w:rPr>
                <w:rFonts w:ascii="Times New Roman" w:hAnsi="Times New Roman"/>
                <w:bCs/>
              </w:rPr>
              <w:t>Няндомский муниципальный округ Архангельской области</w:t>
            </w:r>
          </w:p>
        </w:tc>
        <w:tc>
          <w:tcPr>
            <w:tcW w:w="2835" w:type="dxa"/>
          </w:tcPr>
          <w:p w14:paraId="7338ED6B" w14:textId="77777777" w:rsidR="000B08C9" w:rsidRPr="00FD7B0B" w:rsidRDefault="000B08C9" w:rsidP="000B08C9">
            <w:pPr>
              <w:autoSpaceDE w:val="0"/>
              <w:autoSpaceDN w:val="0"/>
              <w:adjustRightInd w:val="0"/>
              <w:jc w:val="center"/>
              <w:rPr>
                <w:rFonts w:ascii="Times New Roman" w:hAnsi="Times New Roman"/>
                <w:bCs/>
              </w:rPr>
            </w:pPr>
            <w:r w:rsidRPr="00FD7B0B">
              <w:rPr>
                <w:rFonts w:ascii="Times New Roman" w:hAnsi="Times New Roman"/>
                <w:bCs/>
              </w:rPr>
              <w:t>164,8</w:t>
            </w:r>
          </w:p>
        </w:tc>
        <w:tc>
          <w:tcPr>
            <w:tcW w:w="1559" w:type="dxa"/>
          </w:tcPr>
          <w:p w14:paraId="69F920DF" w14:textId="77777777" w:rsidR="000B08C9" w:rsidRPr="00FD7B0B" w:rsidRDefault="000B08C9" w:rsidP="000B08C9">
            <w:pPr>
              <w:autoSpaceDE w:val="0"/>
              <w:autoSpaceDN w:val="0"/>
              <w:adjustRightInd w:val="0"/>
              <w:jc w:val="center"/>
              <w:rPr>
                <w:rFonts w:ascii="Times New Roman" w:hAnsi="Times New Roman"/>
                <w:bCs/>
              </w:rPr>
            </w:pPr>
            <w:r w:rsidRPr="00FD7B0B">
              <w:rPr>
                <w:rFonts w:ascii="Times New Roman" w:hAnsi="Times New Roman"/>
                <w:bCs/>
              </w:rPr>
              <w:t>177,3</w:t>
            </w:r>
          </w:p>
        </w:tc>
        <w:tc>
          <w:tcPr>
            <w:tcW w:w="1412" w:type="dxa"/>
          </w:tcPr>
          <w:p w14:paraId="156F06B9" w14:textId="77777777" w:rsidR="000B08C9" w:rsidRPr="00FD7B0B" w:rsidRDefault="000B08C9" w:rsidP="000B08C9">
            <w:pPr>
              <w:autoSpaceDE w:val="0"/>
              <w:autoSpaceDN w:val="0"/>
              <w:adjustRightInd w:val="0"/>
              <w:jc w:val="center"/>
              <w:rPr>
                <w:rFonts w:ascii="Times New Roman" w:hAnsi="Times New Roman"/>
                <w:bCs/>
              </w:rPr>
            </w:pPr>
            <w:r w:rsidRPr="00FD7B0B">
              <w:rPr>
                <w:rFonts w:ascii="Times New Roman" w:hAnsi="Times New Roman"/>
                <w:bCs/>
              </w:rPr>
              <w:t>+12,5</w:t>
            </w:r>
          </w:p>
        </w:tc>
      </w:tr>
    </w:tbl>
    <w:p w14:paraId="3DD4249E" w14:textId="77777777" w:rsidR="000B08C9" w:rsidRPr="00FD7B0B" w:rsidRDefault="000B08C9" w:rsidP="000B08C9">
      <w:pPr>
        <w:autoSpaceDE w:val="0"/>
        <w:autoSpaceDN w:val="0"/>
        <w:adjustRightInd w:val="0"/>
        <w:spacing w:after="0" w:line="240" w:lineRule="auto"/>
        <w:ind w:firstLine="709"/>
        <w:jc w:val="both"/>
        <w:rPr>
          <w:rFonts w:ascii="Times New Roman" w:hAnsi="Times New Roman" w:cs="Times New Roman"/>
          <w:bCs/>
          <w:sz w:val="28"/>
          <w:szCs w:val="28"/>
        </w:rPr>
      </w:pPr>
    </w:p>
    <w:p w14:paraId="0E8D9F83" w14:textId="5F790E8A" w:rsidR="000B08C9" w:rsidRPr="00FD7B0B" w:rsidRDefault="000B08C9" w:rsidP="000B08C9">
      <w:pPr>
        <w:autoSpaceDE w:val="0"/>
        <w:autoSpaceDN w:val="0"/>
        <w:adjustRightInd w:val="0"/>
        <w:spacing w:after="0" w:line="240" w:lineRule="auto"/>
        <w:ind w:firstLine="709"/>
        <w:jc w:val="both"/>
        <w:rPr>
          <w:rFonts w:ascii="Times New Roman" w:eastAsia="Calibri" w:hAnsi="Times New Roman" w:cs="Times New Roman"/>
          <w:sz w:val="28"/>
          <w:szCs w:val="28"/>
        </w:rPr>
      </w:pPr>
      <w:r w:rsidRPr="00FD7B0B">
        <w:rPr>
          <w:rFonts w:ascii="Times New Roman" w:hAnsi="Times New Roman" w:cs="Times New Roman"/>
          <w:bCs/>
          <w:sz w:val="28"/>
          <w:szCs w:val="28"/>
        </w:rPr>
        <w:t xml:space="preserve">Постановлением Правительства АО от 06.03.2024 № 176-пп (с учетом от 23.09.2024 № 753-пп) утверждено распределение </w:t>
      </w:r>
      <w:r w:rsidRPr="00FD7B0B">
        <w:rPr>
          <w:rFonts w:ascii="Times New Roman" w:hAnsi="Times New Roman" w:cs="Times New Roman"/>
          <w:sz w:val="28"/>
          <w:szCs w:val="28"/>
        </w:rPr>
        <w:t>средств федерального и областного бюджетов бюджетам муниципальных районов, муниципальных округов, городских округов, городских и сельских поселений Архангельской области на софинансирование мероприятий по подготовке проектов межевания земельных участков и проведению кадастровых работ на 2024 год. Средства распределены по 6-ти муниципальным образованиям и сельским поселениям в сумме 1,2 млн.руб. из предусмотренных 46,7 млн.руб.</w:t>
      </w:r>
      <w:r w:rsidRPr="00FD7B0B">
        <w:rPr>
          <w:rFonts w:ascii="Times New Roman" w:eastAsia="Calibri" w:hAnsi="Times New Roman" w:cs="Times New Roman"/>
          <w:sz w:val="28"/>
          <w:szCs w:val="28"/>
        </w:rPr>
        <w:t xml:space="preserve">, таблица </w:t>
      </w:r>
      <w:r w:rsidR="00A41985" w:rsidRPr="00FD7B0B">
        <w:rPr>
          <w:rFonts w:ascii="Times New Roman" w:eastAsia="Calibri" w:hAnsi="Times New Roman" w:cs="Times New Roman"/>
          <w:sz w:val="28"/>
          <w:szCs w:val="28"/>
        </w:rPr>
        <w:t>117</w:t>
      </w:r>
      <w:r w:rsidRPr="00FD7B0B">
        <w:rPr>
          <w:rFonts w:ascii="Times New Roman" w:eastAsia="Calibri" w:hAnsi="Times New Roman" w:cs="Times New Roman"/>
          <w:sz w:val="28"/>
          <w:szCs w:val="28"/>
        </w:rPr>
        <w:t>.</w:t>
      </w:r>
    </w:p>
    <w:p w14:paraId="6A2D1D75"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p>
    <w:p w14:paraId="5FD00C89" w14:textId="77777777" w:rsidR="000B08C9" w:rsidRPr="00FD7B0B" w:rsidRDefault="000B08C9" w:rsidP="000B08C9">
      <w:pPr>
        <w:spacing w:after="0" w:line="240" w:lineRule="auto"/>
        <w:rPr>
          <w:rFonts w:ascii="Times New Roman" w:eastAsia="Calibri" w:hAnsi="Times New Roman" w:cs="Times New Roman"/>
          <w:sz w:val="24"/>
          <w:szCs w:val="24"/>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117</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 xml:space="preserve">. Распределение субсидии на подготовку проектов межевания и проведение кадастровых работ </w:t>
      </w:r>
    </w:p>
    <w:tbl>
      <w:tblPr>
        <w:tblW w:w="9596" w:type="dxa"/>
        <w:tblInd w:w="-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firstRow="0" w:lastRow="0" w:firstColumn="0" w:lastColumn="0" w:noHBand="0" w:noVBand="0"/>
      </w:tblPr>
      <w:tblGrid>
        <w:gridCol w:w="4952"/>
        <w:gridCol w:w="958"/>
        <w:gridCol w:w="1134"/>
        <w:gridCol w:w="1134"/>
        <w:gridCol w:w="1418"/>
      </w:tblGrid>
      <w:tr w:rsidR="00FD7B0B" w:rsidRPr="00FD7B0B" w14:paraId="50188A02" w14:textId="77777777" w:rsidTr="000B08C9">
        <w:trPr>
          <w:tblHeader/>
        </w:trPr>
        <w:tc>
          <w:tcPr>
            <w:tcW w:w="4952" w:type="dxa"/>
            <w:vMerge w:val="restart"/>
          </w:tcPr>
          <w:p w14:paraId="4B7DC759"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Наименование муниципального образования Архангельской области</w:t>
            </w:r>
          </w:p>
        </w:tc>
        <w:tc>
          <w:tcPr>
            <w:tcW w:w="3226" w:type="dxa"/>
            <w:gridSpan w:val="3"/>
          </w:tcPr>
          <w:p w14:paraId="33558A88" w14:textId="49A21A13"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ПП АО от 21.03.2024 г. № 176-пп</w:t>
            </w:r>
          </w:p>
        </w:tc>
        <w:tc>
          <w:tcPr>
            <w:tcW w:w="1418" w:type="dxa"/>
            <w:vMerge w:val="restart"/>
          </w:tcPr>
          <w:p w14:paraId="73B05E24"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Перечислено МО, тыс.руб.</w:t>
            </w:r>
          </w:p>
        </w:tc>
      </w:tr>
      <w:tr w:rsidR="00FD7B0B" w:rsidRPr="00FD7B0B" w14:paraId="3BC503FD" w14:textId="77777777" w:rsidTr="000B08C9">
        <w:trPr>
          <w:tblHeader/>
        </w:trPr>
        <w:tc>
          <w:tcPr>
            <w:tcW w:w="4952" w:type="dxa"/>
            <w:vMerge/>
          </w:tcPr>
          <w:p w14:paraId="58733D2D"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p>
        </w:tc>
        <w:tc>
          <w:tcPr>
            <w:tcW w:w="958" w:type="dxa"/>
            <w:vMerge w:val="restart"/>
          </w:tcPr>
          <w:p w14:paraId="57FEC801"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Всего, тыс.руб.</w:t>
            </w:r>
          </w:p>
        </w:tc>
        <w:tc>
          <w:tcPr>
            <w:tcW w:w="2268" w:type="dxa"/>
            <w:gridSpan w:val="2"/>
          </w:tcPr>
          <w:p w14:paraId="644BB457"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В том числе</w:t>
            </w:r>
          </w:p>
        </w:tc>
        <w:tc>
          <w:tcPr>
            <w:tcW w:w="1418" w:type="dxa"/>
            <w:vMerge/>
          </w:tcPr>
          <w:p w14:paraId="47524F9D"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p>
        </w:tc>
      </w:tr>
      <w:tr w:rsidR="00FD7B0B" w:rsidRPr="00FD7B0B" w14:paraId="0868D861" w14:textId="77777777" w:rsidTr="000B08C9">
        <w:trPr>
          <w:tblHeader/>
        </w:trPr>
        <w:tc>
          <w:tcPr>
            <w:tcW w:w="4952" w:type="dxa"/>
            <w:vMerge/>
          </w:tcPr>
          <w:p w14:paraId="1036E578"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p>
        </w:tc>
        <w:tc>
          <w:tcPr>
            <w:tcW w:w="958" w:type="dxa"/>
            <w:vMerge/>
          </w:tcPr>
          <w:p w14:paraId="250DD6EE"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p>
        </w:tc>
        <w:tc>
          <w:tcPr>
            <w:tcW w:w="1134" w:type="dxa"/>
          </w:tcPr>
          <w:p w14:paraId="1EFB33FE"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из ФБ</w:t>
            </w:r>
          </w:p>
        </w:tc>
        <w:tc>
          <w:tcPr>
            <w:tcW w:w="1134" w:type="dxa"/>
          </w:tcPr>
          <w:p w14:paraId="26064E59"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из ОБ</w:t>
            </w:r>
          </w:p>
        </w:tc>
        <w:tc>
          <w:tcPr>
            <w:tcW w:w="1418" w:type="dxa"/>
            <w:vMerge/>
          </w:tcPr>
          <w:p w14:paraId="5AF87336" w14:textId="77777777" w:rsidR="000B08C9" w:rsidRPr="00FD7B0B" w:rsidRDefault="000B08C9" w:rsidP="00CA7700">
            <w:pPr>
              <w:autoSpaceDE w:val="0"/>
              <w:autoSpaceDN w:val="0"/>
              <w:adjustRightInd w:val="0"/>
              <w:spacing w:after="0" w:line="240" w:lineRule="auto"/>
              <w:jc w:val="center"/>
              <w:rPr>
                <w:rFonts w:ascii="Times New Roman" w:hAnsi="Times New Roman" w:cs="Times New Roman"/>
                <w:sz w:val="20"/>
                <w:szCs w:val="20"/>
              </w:rPr>
            </w:pPr>
          </w:p>
        </w:tc>
      </w:tr>
      <w:tr w:rsidR="00FD7B0B" w:rsidRPr="00FD7B0B" w14:paraId="753CDD78" w14:textId="77777777" w:rsidTr="000B08C9">
        <w:tc>
          <w:tcPr>
            <w:tcW w:w="4952" w:type="dxa"/>
          </w:tcPr>
          <w:p w14:paraId="3941BB15" w14:textId="77777777" w:rsidR="000B08C9" w:rsidRPr="00FD7B0B" w:rsidRDefault="000B08C9" w:rsidP="000B08C9">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 xml:space="preserve">1. Вельский муниципальный район </w:t>
            </w:r>
          </w:p>
        </w:tc>
        <w:tc>
          <w:tcPr>
            <w:tcW w:w="958" w:type="dxa"/>
          </w:tcPr>
          <w:p w14:paraId="29B2F729"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138,0</w:t>
            </w:r>
          </w:p>
        </w:tc>
        <w:tc>
          <w:tcPr>
            <w:tcW w:w="1134" w:type="dxa"/>
          </w:tcPr>
          <w:p w14:paraId="51C0B443"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124,2</w:t>
            </w:r>
          </w:p>
        </w:tc>
        <w:tc>
          <w:tcPr>
            <w:tcW w:w="1134" w:type="dxa"/>
          </w:tcPr>
          <w:p w14:paraId="68D05C68"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13,8</w:t>
            </w:r>
          </w:p>
        </w:tc>
        <w:tc>
          <w:tcPr>
            <w:tcW w:w="1418" w:type="dxa"/>
          </w:tcPr>
          <w:p w14:paraId="1C75FB78"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eastAsia="Times New Roman" w:hAnsi="Times New Roman" w:cs="Times New Roman"/>
                <w:sz w:val="20"/>
                <w:szCs w:val="20"/>
                <w:lang w:eastAsia="ru-RU"/>
              </w:rPr>
              <w:t>138,0</w:t>
            </w:r>
          </w:p>
        </w:tc>
      </w:tr>
      <w:tr w:rsidR="00FD7B0B" w:rsidRPr="00FD7B0B" w14:paraId="7F2BE573" w14:textId="77777777" w:rsidTr="000B08C9">
        <w:tc>
          <w:tcPr>
            <w:tcW w:w="4952" w:type="dxa"/>
          </w:tcPr>
          <w:p w14:paraId="3B092B3F" w14:textId="77777777" w:rsidR="000B08C9" w:rsidRPr="00FD7B0B" w:rsidRDefault="000B08C9" w:rsidP="000B08C9">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 xml:space="preserve">2. Вилегодский муниципальный округ </w:t>
            </w:r>
          </w:p>
        </w:tc>
        <w:tc>
          <w:tcPr>
            <w:tcW w:w="958" w:type="dxa"/>
          </w:tcPr>
          <w:p w14:paraId="69CCE407"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239,0</w:t>
            </w:r>
          </w:p>
        </w:tc>
        <w:tc>
          <w:tcPr>
            <w:tcW w:w="1134" w:type="dxa"/>
          </w:tcPr>
          <w:p w14:paraId="7454E011"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215,1</w:t>
            </w:r>
          </w:p>
        </w:tc>
        <w:tc>
          <w:tcPr>
            <w:tcW w:w="1134" w:type="dxa"/>
          </w:tcPr>
          <w:p w14:paraId="7724F238"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23,9</w:t>
            </w:r>
          </w:p>
        </w:tc>
        <w:tc>
          <w:tcPr>
            <w:tcW w:w="1418" w:type="dxa"/>
          </w:tcPr>
          <w:p w14:paraId="5F6D4CE5"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239,0</w:t>
            </w:r>
          </w:p>
        </w:tc>
      </w:tr>
      <w:tr w:rsidR="00FD7B0B" w:rsidRPr="00FD7B0B" w14:paraId="22E0B6BD" w14:textId="77777777" w:rsidTr="000B08C9">
        <w:tc>
          <w:tcPr>
            <w:tcW w:w="4952" w:type="dxa"/>
          </w:tcPr>
          <w:p w14:paraId="520E5B12" w14:textId="77777777" w:rsidR="000B08C9" w:rsidRPr="00FD7B0B" w:rsidRDefault="000B08C9" w:rsidP="000B08C9">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 xml:space="preserve">3. Пинежский муниципальный округ </w:t>
            </w:r>
          </w:p>
        </w:tc>
        <w:tc>
          <w:tcPr>
            <w:tcW w:w="958" w:type="dxa"/>
          </w:tcPr>
          <w:p w14:paraId="0BC8A9C5"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50,0</w:t>
            </w:r>
          </w:p>
        </w:tc>
        <w:tc>
          <w:tcPr>
            <w:tcW w:w="1134" w:type="dxa"/>
          </w:tcPr>
          <w:p w14:paraId="2C259115"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45,0</w:t>
            </w:r>
          </w:p>
        </w:tc>
        <w:tc>
          <w:tcPr>
            <w:tcW w:w="1134" w:type="dxa"/>
          </w:tcPr>
          <w:p w14:paraId="383B940B"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5</w:t>
            </w:r>
          </w:p>
        </w:tc>
        <w:tc>
          <w:tcPr>
            <w:tcW w:w="1418" w:type="dxa"/>
          </w:tcPr>
          <w:p w14:paraId="60AB336D"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eastAsia="Times New Roman" w:hAnsi="Times New Roman" w:cs="Times New Roman"/>
                <w:sz w:val="20"/>
                <w:szCs w:val="20"/>
                <w:lang w:eastAsia="ru-RU"/>
              </w:rPr>
              <w:t>50,0</w:t>
            </w:r>
          </w:p>
        </w:tc>
      </w:tr>
      <w:tr w:rsidR="00FD7B0B" w:rsidRPr="00FD7B0B" w14:paraId="1C82D9CE" w14:textId="77777777" w:rsidTr="000B08C9">
        <w:tc>
          <w:tcPr>
            <w:tcW w:w="4952" w:type="dxa"/>
          </w:tcPr>
          <w:p w14:paraId="21CF37D8" w14:textId="05A1C2F4" w:rsidR="000B08C9" w:rsidRPr="00FD7B0B" w:rsidRDefault="000B08C9" w:rsidP="00887621">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 xml:space="preserve">4. Сельское поселение </w:t>
            </w:r>
            <w:r w:rsidR="00887621" w:rsidRPr="00FD7B0B">
              <w:rPr>
                <w:rFonts w:ascii="Times New Roman" w:hAnsi="Times New Roman" w:cs="Times New Roman"/>
                <w:sz w:val="20"/>
                <w:szCs w:val="20"/>
              </w:rPr>
              <w:t>«</w:t>
            </w:r>
            <w:r w:rsidRPr="00FD7B0B">
              <w:rPr>
                <w:rFonts w:ascii="Times New Roman" w:hAnsi="Times New Roman" w:cs="Times New Roman"/>
                <w:sz w:val="20"/>
                <w:szCs w:val="20"/>
              </w:rPr>
              <w:t>Попонаволоцкое</w:t>
            </w:r>
            <w:r w:rsidR="00887621" w:rsidRPr="00FD7B0B">
              <w:rPr>
                <w:rFonts w:ascii="Times New Roman" w:hAnsi="Times New Roman" w:cs="Times New Roman"/>
                <w:sz w:val="20"/>
                <w:szCs w:val="20"/>
              </w:rPr>
              <w:t>»</w:t>
            </w:r>
            <w:r w:rsidRPr="00FD7B0B">
              <w:rPr>
                <w:rFonts w:ascii="Times New Roman" w:hAnsi="Times New Roman" w:cs="Times New Roman"/>
                <w:sz w:val="20"/>
                <w:szCs w:val="20"/>
              </w:rPr>
              <w:t xml:space="preserve"> Вельского муниципального района </w:t>
            </w:r>
          </w:p>
        </w:tc>
        <w:tc>
          <w:tcPr>
            <w:tcW w:w="958" w:type="dxa"/>
          </w:tcPr>
          <w:p w14:paraId="259E2260"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42,1</w:t>
            </w:r>
          </w:p>
        </w:tc>
        <w:tc>
          <w:tcPr>
            <w:tcW w:w="1134" w:type="dxa"/>
          </w:tcPr>
          <w:p w14:paraId="3E998C99"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37,9</w:t>
            </w:r>
          </w:p>
        </w:tc>
        <w:tc>
          <w:tcPr>
            <w:tcW w:w="1134" w:type="dxa"/>
          </w:tcPr>
          <w:p w14:paraId="23B3AD9D"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4,2</w:t>
            </w:r>
          </w:p>
        </w:tc>
        <w:tc>
          <w:tcPr>
            <w:tcW w:w="1418" w:type="dxa"/>
          </w:tcPr>
          <w:p w14:paraId="3F182651"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42,1</w:t>
            </w:r>
          </w:p>
        </w:tc>
      </w:tr>
      <w:tr w:rsidR="00FD7B0B" w:rsidRPr="00FD7B0B" w14:paraId="49CDBFDA" w14:textId="77777777" w:rsidTr="000B08C9">
        <w:tc>
          <w:tcPr>
            <w:tcW w:w="4952" w:type="dxa"/>
          </w:tcPr>
          <w:p w14:paraId="62EA6849" w14:textId="690A4729" w:rsidR="000B08C9" w:rsidRPr="00FD7B0B" w:rsidRDefault="000B08C9" w:rsidP="00887621">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 xml:space="preserve">5. Сельское поселение </w:t>
            </w:r>
            <w:r w:rsidR="00887621" w:rsidRPr="00FD7B0B">
              <w:rPr>
                <w:rFonts w:ascii="Times New Roman" w:hAnsi="Times New Roman" w:cs="Times New Roman"/>
                <w:sz w:val="20"/>
                <w:szCs w:val="20"/>
              </w:rPr>
              <w:t xml:space="preserve">«Ракуло-Кокшеньгское» </w:t>
            </w:r>
            <w:r w:rsidRPr="00FD7B0B">
              <w:rPr>
                <w:rFonts w:ascii="Times New Roman" w:hAnsi="Times New Roman" w:cs="Times New Roman"/>
                <w:sz w:val="20"/>
                <w:szCs w:val="20"/>
              </w:rPr>
              <w:t xml:space="preserve">Вельского муниципального района </w:t>
            </w:r>
          </w:p>
        </w:tc>
        <w:tc>
          <w:tcPr>
            <w:tcW w:w="958" w:type="dxa"/>
          </w:tcPr>
          <w:p w14:paraId="55AF980D"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107,7</w:t>
            </w:r>
          </w:p>
        </w:tc>
        <w:tc>
          <w:tcPr>
            <w:tcW w:w="1134" w:type="dxa"/>
          </w:tcPr>
          <w:p w14:paraId="4C691B44"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96,9</w:t>
            </w:r>
          </w:p>
        </w:tc>
        <w:tc>
          <w:tcPr>
            <w:tcW w:w="1134" w:type="dxa"/>
          </w:tcPr>
          <w:p w14:paraId="7747D2CC"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10,8</w:t>
            </w:r>
          </w:p>
        </w:tc>
        <w:tc>
          <w:tcPr>
            <w:tcW w:w="1418" w:type="dxa"/>
          </w:tcPr>
          <w:p w14:paraId="196EC6CF"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107,7</w:t>
            </w:r>
          </w:p>
        </w:tc>
      </w:tr>
      <w:tr w:rsidR="00FD7B0B" w:rsidRPr="00FD7B0B" w14:paraId="7ABE633D" w14:textId="77777777" w:rsidTr="000B08C9">
        <w:trPr>
          <w:trHeight w:val="136"/>
        </w:trPr>
        <w:tc>
          <w:tcPr>
            <w:tcW w:w="4952" w:type="dxa"/>
          </w:tcPr>
          <w:p w14:paraId="7545E110" w14:textId="77777777" w:rsidR="000B08C9" w:rsidRPr="00FD7B0B" w:rsidRDefault="000B08C9" w:rsidP="000B08C9">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 xml:space="preserve">6.Шенкурский муниципальный округ </w:t>
            </w:r>
          </w:p>
        </w:tc>
        <w:tc>
          <w:tcPr>
            <w:tcW w:w="958" w:type="dxa"/>
          </w:tcPr>
          <w:p w14:paraId="14D81EF9"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629,4</w:t>
            </w:r>
          </w:p>
        </w:tc>
        <w:tc>
          <w:tcPr>
            <w:tcW w:w="1134" w:type="dxa"/>
          </w:tcPr>
          <w:p w14:paraId="4228E92F"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566,5</w:t>
            </w:r>
          </w:p>
        </w:tc>
        <w:tc>
          <w:tcPr>
            <w:tcW w:w="1134" w:type="dxa"/>
          </w:tcPr>
          <w:p w14:paraId="368688CA"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63,9</w:t>
            </w:r>
          </w:p>
        </w:tc>
        <w:tc>
          <w:tcPr>
            <w:tcW w:w="1418" w:type="dxa"/>
          </w:tcPr>
          <w:p w14:paraId="623A899E" w14:textId="77777777" w:rsidR="000B08C9" w:rsidRPr="00FD7B0B" w:rsidRDefault="000B08C9" w:rsidP="000B08C9">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629,4</w:t>
            </w:r>
          </w:p>
        </w:tc>
      </w:tr>
      <w:tr w:rsidR="00FD7B0B" w:rsidRPr="00FD7B0B" w14:paraId="21DAA132" w14:textId="77777777" w:rsidTr="000B08C9">
        <w:tc>
          <w:tcPr>
            <w:tcW w:w="4952" w:type="dxa"/>
          </w:tcPr>
          <w:p w14:paraId="74F20A20" w14:textId="77777777" w:rsidR="000B08C9" w:rsidRPr="00FD7B0B" w:rsidRDefault="000B08C9" w:rsidP="000B08C9">
            <w:pPr>
              <w:autoSpaceDE w:val="0"/>
              <w:autoSpaceDN w:val="0"/>
              <w:adjustRightInd w:val="0"/>
              <w:spacing w:after="0" w:line="240" w:lineRule="auto"/>
              <w:rPr>
                <w:rFonts w:ascii="Times New Roman" w:hAnsi="Times New Roman" w:cs="Times New Roman"/>
                <w:b/>
                <w:sz w:val="20"/>
                <w:szCs w:val="20"/>
              </w:rPr>
            </w:pPr>
            <w:r w:rsidRPr="00FD7B0B">
              <w:rPr>
                <w:rFonts w:ascii="Times New Roman" w:hAnsi="Times New Roman" w:cs="Times New Roman"/>
                <w:b/>
                <w:sz w:val="20"/>
                <w:szCs w:val="20"/>
              </w:rPr>
              <w:t>Нераспределенный резерв</w:t>
            </w:r>
          </w:p>
        </w:tc>
        <w:tc>
          <w:tcPr>
            <w:tcW w:w="958" w:type="dxa"/>
          </w:tcPr>
          <w:p w14:paraId="047B6E48"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b/>
                <w:sz w:val="20"/>
                <w:szCs w:val="20"/>
              </w:rPr>
            </w:pPr>
            <w:r w:rsidRPr="00FD7B0B">
              <w:rPr>
                <w:rFonts w:ascii="Times New Roman" w:hAnsi="Times New Roman" w:cs="Times New Roman"/>
                <w:b/>
                <w:sz w:val="20"/>
                <w:szCs w:val="20"/>
              </w:rPr>
              <w:t>45 475,4</w:t>
            </w:r>
          </w:p>
        </w:tc>
        <w:tc>
          <w:tcPr>
            <w:tcW w:w="1134" w:type="dxa"/>
          </w:tcPr>
          <w:p w14:paraId="0E426EFD"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b/>
                <w:sz w:val="20"/>
                <w:szCs w:val="20"/>
              </w:rPr>
            </w:pPr>
            <w:r w:rsidRPr="00FD7B0B">
              <w:rPr>
                <w:rFonts w:ascii="Times New Roman" w:hAnsi="Times New Roman" w:cs="Times New Roman"/>
                <w:b/>
                <w:sz w:val="20"/>
                <w:szCs w:val="20"/>
              </w:rPr>
              <w:t>40 927,9</w:t>
            </w:r>
          </w:p>
        </w:tc>
        <w:tc>
          <w:tcPr>
            <w:tcW w:w="1134" w:type="dxa"/>
          </w:tcPr>
          <w:p w14:paraId="25A8A78B"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b/>
                <w:sz w:val="20"/>
                <w:szCs w:val="20"/>
              </w:rPr>
            </w:pPr>
            <w:r w:rsidRPr="00FD7B0B">
              <w:rPr>
                <w:rFonts w:ascii="Times New Roman" w:hAnsi="Times New Roman" w:cs="Times New Roman"/>
                <w:b/>
                <w:sz w:val="20"/>
                <w:szCs w:val="20"/>
              </w:rPr>
              <w:t>4 547,5</w:t>
            </w:r>
          </w:p>
        </w:tc>
        <w:tc>
          <w:tcPr>
            <w:tcW w:w="1418" w:type="dxa"/>
          </w:tcPr>
          <w:p w14:paraId="52304BD9" w14:textId="77777777" w:rsidR="000B08C9" w:rsidRPr="00FD7B0B" w:rsidRDefault="000B08C9" w:rsidP="000B08C9">
            <w:pPr>
              <w:autoSpaceDE w:val="0"/>
              <w:autoSpaceDN w:val="0"/>
              <w:adjustRightInd w:val="0"/>
              <w:spacing w:after="0" w:line="240" w:lineRule="auto"/>
              <w:jc w:val="center"/>
              <w:rPr>
                <w:rFonts w:ascii="Times New Roman" w:eastAsia="Times New Roman" w:hAnsi="Times New Roman" w:cs="Times New Roman"/>
                <w:b/>
                <w:sz w:val="20"/>
                <w:szCs w:val="20"/>
                <w:lang w:eastAsia="ru-RU"/>
              </w:rPr>
            </w:pPr>
          </w:p>
        </w:tc>
      </w:tr>
      <w:tr w:rsidR="00FD7B0B" w:rsidRPr="00FD7B0B" w14:paraId="2D73754E" w14:textId="77777777" w:rsidTr="000B08C9">
        <w:tc>
          <w:tcPr>
            <w:tcW w:w="4952" w:type="dxa"/>
          </w:tcPr>
          <w:p w14:paraId="5B66BB14" w14:textId="77777777" w:rsidR="000B08C9" w:rsidRPr="00FD7B0B" w:rsidRDefault="000B08C9" w:rsidP="000B08C9">
            <w:pPr>
              <w:autoSpaceDE w:val="0"/>
              <w:autoSpaceDN w:val="0"/>
              <w:adjustRightInd w:val="0"/>
              <w:spacing w:after="0" w:line="240" w:lineRule="auto"/>
              <w:rPr>
                <w:rFonts w:ascii="Times New Roman" w:hAnsi="Times New Roman" w:cs="Times New Roman"/>
                <w:b/>
                <w:sz w:val="20"/>
                <w:szCs w:val="20"/>
              </w:rPr>
            </w:pPr>
            <w:r w:rsidRPr="00FD7B0B">
              <w:rPr>
                <w:rFonts w:ascii="Times New Roman" w:hAnsi="Times New Roman" w:cs="Times New Roman"/>
                <w:b/>
                <w:sz w:val="20"/>
                <w:szCs w:val="20"/>
              </w:rPr>
              <w:t>ВСЕГО</w:t>
            </w:r>
          </w:p>
        </w:tc>
        <w:tc>
          <w:tcPr>
            <w:tcW w:w="958" w:type="dxa"/>
          </w:tcPr>
          <w:p w14:paraId="0F23C5C9"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b/>
                <w:sz w:val="20"/>
                <w:szCs w:val="20"/>
              </w:rPr>
            </w:pPr>
            <w:r w:rsidRPr="00FD7B0B">
              <w:rPr>
                <w:rFonts w:ascii="Times New Roman" w:hAnsi="Times New Roman" w:cs="Times New Roman"/>
                <w:b/>
                <w:sz w:val="20"/>
                <w:szCs w:val="20"/>
              </w:rPr>
              <w:t>46 681,6</w:t>
            </w:r>
          </w:p>
        </w:tc>
        <w:tc>
          <w:tcPr>
            <w:tcW w:w="1134" w:type="dxa"/>
          </w:tcPr>
          <w:p w14:paraId="6A67697D"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b/>
                <w:sz w:val="20"/>
                <w:szCs w:val="20"/>
              </w:rPr>
            </w:pPr>
            <w:r w:rsidRPr="00FD7B0B">
              <w:rPr>
                <w:rFonts w:ascii="Times New Roman" w:hAnsi="Times New Roman" w:cs="Times New Roman"/>
                <w:b/>
                <w:sz w:val="20"/>
                <w:szCs w:val="20"/>
              </w:rPr>
              <w:t>42 013,4</w:t>
            </w:r>
          </w:p>
        </w:tc>
        <w:tc>
          <w:tcPr>
            <w:tcW w:w="1134" w:type="dxa"/>
          </w:tcPr>
          <w:p w14:paraId="1C46C677" w14:textId="77777777" w:rsidR="000B08C9" w:rsidRPr="00FD7B0B" w:rsidRDefault="000B08C9" w:rsidP="000B08C9">
            <w:pPr>
              <w:autoSpaceDE w:val="0"/>
              <w:autoSpaceDN w:val="0"/>
              <w:adjustRightInd w:val="0"/>
              <w:spacing w:after="0" w:line="240" w:lineRule="auto"/>
              <w:jc w:val="center"/>
              <w:rPr>
                <w:rFonts w:ascii="Times New Roman" w:hAnsi="Times New Roman" w:cs="Times New Roman"/>
                <w:b/>
                <w:sz w:val="20"/>
                <w:szCs w:val="20"/>
              </w:rPr>
            </w:pPr>
            <w:r w:rsidRPr="00FD7B0B">
              <w:rPr>
                <w:rFonts w:ascii="Times New Roman" w:hAnsi="Times New Roman" w:cs="Times New Roman"/>
                <w:b/>
                <w:sz w:val="20"/>
                <w:szCs w:val="20"/>
              </w:rPr>
              <w:t>4 668,2</w:t>
            </w:r>
          </w:p>
        </w:tc>
        <w:tc>
          <w:tcPr>
            <w:tcW w:w="1418" w:type="dxa"/>
          </w:tcPr>
          <w:p w14:paraId="623885D7" w14:textId="77777777" w:rsidR="000B08C9" w:rsidRPr="00FD7B0B" w:rsidRDefault="000B08C9" w:rsidP="000B08C9">
            <w:pPr>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1 206,21</w:t>
            </w:r>
          </w:p>
        </w:tc>
      </w:tr>
    </w:tbl>
    <w:p w14:paraId="4167EFE7"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p>
    <w:p w14:paraId="4B6B3E18"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Государственная поддержка</w:t>
      </w:r>
      <w:r w:rsidRPr="00FD7B0B">
        <w:t xml:space="preserve"> </w:t>
      </w:r>
      <w:r w:rsidRPr="00FD7B0B">
        <w:rPr>
          <w:rFonts w:ascii="Times New Roman" w:eastAsia="Calibri" w:hAnsi="Times New Roman" w:cs="Times New Roman"/>
          <w:sz w:val="28"/>
          <w:szCs w:val="28"/>
        </w:rPr>
        <w:t>в 2024 году</w:t>
      </w:r>
      <w:r w:rsidRPr="00FD7B0B">
        <w:t xml:space="preserve"> </w:t>
      </w:r>
      <w:r w:rsidRPr="00FD7B0B">
        <w:rPr>
          <w:rFonts w:ascii="Times New Roman" w:eastAsia="Calibri" w:hAnsi="Times New Roman" w:cs="Times New Roman"/>
          <w:sz w:val="28"/>
          <w:szCs w:val="28"/>
        </w:rPr>
        <w:t>оказывалась сельскохозяйственным товаропроизводителям по 28 направлениям</w:t>
      </w:r>
      <w:r w:rsidRPr="00FD7B0B">
        <w:t xml:space="preserve"> </w:t>
      </w:r>
      <w:r w:rsidRPr="00FD7B0B">
        <w:rPr>
          <w:rFonts w:ascii="Times New Roman" w:eastAsia="Calibri" w:hAnsi="Times New Roman" w:cs="Times New Roman"/>
          <w:sz w:val="28"/>
          <w:szCs w:val="28"/>
        </w:rPr>
        <w:t>84 сельскохозяйственным предприятиям, включая КФХ, ИП и перерабатывающие предприятия.</w:t>
      </w:r>
    </w:p>
    <w:p w14:paraId="6C39FC01"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Основными получателями государственной поддержки агропромышленного комплекса за 2024 год, как и в предыдущие годы, являются:</w:t>
      </w:r>
    </w:p>
    <w:p w14:paraId="078591AD" w14:textId="2A6E1124"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ООО «Устьянская молочная компания» - 227,1 млн.руб., к общим расходам доля 21,1</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(в 2023 году 239,4 млн.руб., 22,2</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w:t>
      </w:r>
    </w:p>
    <w:p w14:paraId="2A324F20" w14:textId="665C1ACB"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АО «Агрофирма «Вельская» - 133,8 млн.руб., доля 12,4</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(в 2023 году 116,3 млн.руб., 10,8</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w:t>
      </w:r>
    </w:p>
    <w:p w14:paraId="671237B8" w14:textId="55B1FA1F"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АО «Важское» - 153,5 млн.руб., доля 14,2</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(в 2023 году 122,9 млн.руб., 11,4</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w:t>
      </w:r>
    </w:p>
    <w:p w14:paraId="40F0776B" w14:textId="752699E6"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ООО «Пежма» - 67,3 млн.руб., доля 6,2</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(в 2023 году 68,2 млн.руб., 6,2</w:t>
      </w:r>
      <w:r w:rsidR="00AA7AF4" w:rsidRPr="00FD7B0B">
        <w:rPr>
          <w:rFonts w:ascii="Times New Roman" w:eastAsia="Calibri" w:hAnsi="Times New Roman" w:cs="Times New Roman"/>
          <w:sz w:val="28"/>
          <w:szCs w:val="28"/>
        </w:rPr>
        <w:t> </w:t>
      </w:r>
      <w:r w:rsidRPr="00FD7B0B">
        <w:rPr>
          <w:rFonts w:ascii="Times New Roman" w:eastAsia="Calibri" w:hAnsi="Times New Roman" w:cs="Times New Roman"/>
          <w:sz w:val="28"/>
          <w:szCs w:val="28"/>
        </w:rPr>
        <w:t>%),</w:t>
      </w:r>
    </w:p>
    <w:p w14:paraId="64221B16" w14:textId="267AF5A4"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 ООО «Агрофирма «Судромская» - 47,3 млн.руб., доля 4,4</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(в 2023 году 49,2 млн.руб.,4,5</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w:t>
      </w:r>
    </w:p>
    <w:p w14:paraId="0B760552" w14:textId="3989CBC8"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ООО «Ростово» - 88,1 млн.руб., доля 8,2</w:t>
      </w:r>
      <w:r w:rsidR="00AA7AF4"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(в 2023 году 85,0 млн.руб., 7,9</w:t>
      </w:r>
      <w:r w:rsidR="00AA7AF4" w:rsidRPr="00FD7B0B">
        <w:rPr>
          <w:rFonts w:ascii="Times New Roman" w:eastAsia="Calibri" w:hAnsi="Times New Roman" w:cs="Times New Roman"/>
          <w:sz w:val="28"/>
          <w:szCs w:val="28"/>
        </w:rPr>
        <w:t> </w:t>
      </w:r>
      <w:r w:rsidRPr="00FD7B0B">
        <w:rPr>
          <w:rFonts w:ascii="Times New Roman" w:eastAsia="Calibri" w:hAnsi="Times New Roman" w:cs="Times New Roman"/>
          <w:sz w:val="28"/>
          <w:szCs w:val="28"/>
        </w:rPr>
        <w:t>%).</w:t>
      </w:r>
    </w:p>
    <w:p w14:paraId="49B6C499" w14:textId="32372EC8" w:rsidR="000B08C9" w:rsidRPr="00FD7B0B" w:rsidRDefault="000B08C9" w:rsidP="000B08C9">
      <w:pPr>
        <w:spacing w:after="0" w:line="240" w:lineRule="auto"/>
        <w:ind w:firstLine="709"/>
        <w:jc w:val="both"/>
        <w:rPr>
          <w:rFonts w:ascii="Times New Roman" w:eastAsia="Calibri" w:hAnsi="Times New Roman" w:cs="Times New Roman"/>
          <w:sz w:val="24"/>
          <w:szCs w:val="24"/>
        </w:rPr>
      </w:pPr>
      <w:r w:rsidRPr="00FD7B0B">
        <w:rPr>
          <w:rFonts w:ascii="Times New Roman" w:eastAsia="Calibri" w:hAnsi="Times New Roman" w:cs="Times New Roman"/>
          <w:sz w:val="28"/>
          <w:szCs w:val="28"/>
        </w:rPr>
        <w:t>Основная часть бюджетных средств направлена на предоставление субсидий на повышение продуктивности в молочном скотоводстве, общая сумма выплаченных средств за 2024 год составила 667,7 млн.руб. (за 2023 год – 714,9 млн.руб., за 2022 год - 658,5 млн.руб., за 2021 год -587,5 млн.руб.), субсидию получили 27 сельскохозяйственных това</w:t>
      </w:r>
      <w:r w:rsidR="00AA7AF4" w:rsidRPr="00FD7B0B">
        <w:rPr>
          <w:rFonts w:ascii="Times New Roman" w:eastAsia="Calibri" w:hAnsi="Times New Roman" w:cs="Times New Roman"/>
          <w:sz w:val="28"/>
          <w:szCs w:val="28"/>
        </w:rPr>
        <w:t>ропроизводителя, включая К(Ф)Х.</w:t>
      </w:r>
    </w:p>
    <w:p w14:paraId="03A10910"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рамках ГП № 05 в 2024 году реализовывалось пять региональных проектов.</w:t>
      </w:r>
    </w:p>
    <w:p w14:paraId="53E5585E"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cs="Times New Roman"/>
          <w:sz w:val="28"/>
          <w:szCs w:val="28"/>
          <w:lang w:eastAsia="ru-RU"/>
        </w:rPr>
        <w:t xml:space="preserve">На реализацию мероприятий региональных проектов, входящих в состав национальных проектов, направлено в сумме 9,2 млн.руб. Бюджетные средства предусмотрены на </w:t>
      </w:r>
      <w:r w:rsidRPr="00FD7B0B">
        <w:rPr>
          <w:rFonts w:ascii="Times New Roman" w:eastAsia="Times New Roman" w:hAnsi="Times New Roman"/>
          <w:sz w:val="28"/>
          <w:szCs w:val="28"/>
          <w:lang w:eastAsia="ru-RU"/>
        </w:rPr>
        <w:t xml:space="preserve">мероприятия по аккредитации ветеринарных лабораторий в национальной системе аккредитации </w:t>
      </w:r>
      <w:r w:rsidRPr="00FD7B0B">
        <w:rPr>
          <w:rFonts w:ascii="Times New Roman" w:eastAsia="Times New Roman" w:hAnsi="Times New Roman" w:cs="Times New Roman"/>
          <w:sz w:val="28"/>
          <w:szCs w:val="28"/>
          <w:lang w:eastAsia="ru-RU"/>
        </w:rPr>
        <w:t xml:space="preserve">и направлены </w:t>
      </w:r>
      <w:r w:rsidRPr="00FD7B0B">
        <w:rPr>
          <w:rFonts w:ascii="Times New Roman" w:eastAsia="Times New Roman" w:hAnsi="Times New Roman"/>
          <w:sz w:val="28"/>
          <w:szCs w:val="28"/>
          <w:lang w:eastAsia="ru-RU"/>
        </w:rPr>
        <w:t>ГБУАО «</w:t>
      </w:r>
      <w:r w:rsidRPr="00FD7B0B">
        <w:rPr>
          <w:rFonts w:ascii="Times New Roman" w:eastAsia="Times New Roman" w:hAnsi="Times New Roman" w:cs="Times New Roman"/>
          <w:sz w:val="28"/>
          <w:szCs w:val="28"/>
          <w:lang w:eastAsia="ru-RU"/>
        </w:rPr>
        <w:t>Архангельская областная ветеринарная лаборатория»</w:t>
      </w:r>
      <w:r w:rsidRPr="00FD7B0B">
        <w:rPr>
          <w:rFonts w:ascii="Times New Roman" w:eastAsia="Times New Roman" w:hAnsi="Times New Roman"/>
          <w:sz w:val="28"/>
          <w:szCs w:val="28"/>
          <w:lang w:eastAsia="ru-RU"/>
        </w:rPr>
        <w:t>, в том числе за счет средств федерального бюджета в сумме 9,0 млн.руб.</w:t>
      </w:r>
    </w:p>
    <w:p w14:paraId="207BF8C6"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Результатом реализации РП «Экспорт продукции АПК» являются:</w:t>
      </w:r>
    </w:p>
    <w:p w14:paraId="4F03899D" w14:textId="39865D3E"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о</w:t>
      </w:r>
      <w:r w:rsidRPr="00FD7B0B">
        <w:rPr>
          <w:rFonts w:ascii="Times New Roman" w:hAnsi="Times New Roman" w:cs="Times New Roman"/>
          <w:sz w:val="28"/>
          <w:szCs w:val="28"/>
          <w:shd w:val="clear" w:color="auto" w:fill="FFFFFF"/>
        </w:rPr>
        <w:t xml:space="preserve">беспечена аккредитация и (или) расширена область аккредитации в национальной системе аккредитации ветеринарных лабораторий, подведомственных органам исполнительной власти субъектов </w:t>
      </w:r>
      <w:r w:rsidR="00AA7AF4" w:rsidRPr="00FD7B0B">
        <w:rPr>
          <w:rFonts w:ascii="Times New Roman" w:hAnsi="Times New Roman" w:cs="Times New Roman"/>
          <w:sz w:val="28"/>
          <w:szCs w:val="28"/>
          <w:shd w:val="clear" w:color="auto" w:fill="FFFFFF"/>
        </w:rPr>
        <w:t>РФ</w:t>
      </w:r>
      <w:r w:rsidRPr="00FD7B0B">
        <w:rPr>
          <w:rFonts w:ascii="Times New Roman" w:hAnsi="Times New Roman" w:cs="Times New Roman"/>
          <w:sz w:val="28"/>
          <w:szCs w:val="28"/>
          <w:shd w:val="clear" w:color="auto" w:fill="FFFFFF"/>
        </w:rPr>
        <w:t>– 2 штуки,</w:t>
      </w:r>
    </w:p>
    <w:p w14:paraId="55C32307" w14:textId="2F1CC129"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hAnsi="Times New Roman" w:cs="Times New Roman"/>
          <w:sz w:val="28"/>
          <w:szCs w:val="28"/>
          <w:shd w:val="clear" w:color="auto" w:fill="FFFFFF"/>
        </w:rPr>
        <w:t xml:space="preserve">- объем экспорта продукции агропромышленного комплекса (в сопоставимых ценах) </w:t>
      </w:r>
      <w:r w:rsidR="00AA7AF4" w:rsidRPr="00FD7B0B">
        <w:rPr>
          <w:rFonts w:ascii="Times New Roman" w:hAnsi="Times New Roman" w:cs="Times New Roman"/>
          <w:sz w:val="28"/>
          <w:szCs w:val="28"/>
          <w:shd w:val="clear" w:color="auto" w:fill="FFFFFF"/>
        </w:rPr>
        <w:t xml:space="preserve">– </w:t>
      </w:r>
      <w:r w:rsidRPr="00FD7B0B">
        <w:rPr>
          <w:rFonts w:ascii="Times New Roman" w:hAnsi="Times New Roman" w:cs="Times New Roman"/>
          <w:sz w:val="28"/>
          <w:szCs w:val="28"/>
          <w:shd w:val="clear" w:color="auto" w:fill="FFFFFF"/>
        </w:rPr>
        <w:t xml:space="preserve">0,120 </w:t>
      </w:r>
      <w:r w:rsidRPr="00FD7B0B">
        <w:rPr>
          <w:rFonts w:ascii="Times New Roman" w:eastAsia="Times New Roman" w:hAnsi="Times New Roman" w:cs="Times New Roman"/>
          <w:sz w:val="28"/>
          <w:szCs w:val="28"/>
          <w:lang w:eastAsia="ru-RU"/>
        </w:rPr>
        <w:t>миллиардов долларов.</w:t>
      </w:r>
    </w:p>
    <w:p w14:paraId="3A2398F6" w14:textId="5076C991"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Согласно отчету, по предварительным данным министерства сельского хозяйства РФ, объем экспорта продукции АПК по Архангельской области в 2024 году </w:t>
      </w:r>
      <w:r w:rsidR="00AA7AF4" w:rsidRPr="00FD7B0B">
        <w:rPr>
          <w:rFonts w:ascii="Times New Roman" w:eastAsia="Times New Roman" w:hAnsi="Times New Roman" w:cs="Times New Roman"/>
          <w:sz w:val="28"/>
          <w:szCs w:val="28"/>
          <w:lang w:eastAsia="ru-RU"/>
        </w:rPr>
        <w:t>составил 0,1466 млрд. долларов.</w:t>
      </w:r>
    </w:p>
    <w:p w14:paraId="02AFF1E8"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2024 году ГБУ АО «Архангельская областная ветеринарная лаборатория» подтверждена компетентность и расширена область аккредитации бюджетного учреждения (получены приказы Федеральной службы по аккредитации от 24.05.2024 № ПК1-1112 и от 22.10.2024 № Ра-456).</w:t>
      </w:r>
    </w:p>
    <w:p w14:paraId="32E01145"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На реализацию мероприятий РП, не входящих в состав национальных проектов, направлено 874,2 млн.руб, из них:</w:t>
      </w:r>
    </w:p>
    <w:p w14:paraId="5903628D"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 ФП «Развитие отраслей и техническая модернизация агропромышленного комплекса» в сумме 788,5 млн.руб., в том числе за счет федеральных субсидий в сумме 175,0 млн.руб. (соглашение от 27.12.2023 № 082-09-2024-163 на общую сумму с учетом софинансирования 194,4 млн.руб.).</w:t>
      </w:r>
    </w:p>
    <w:p w14:paraId="71E8ADEF"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Государственная поддержка оказана 43 сельскохозяйственным предприятиям и направлена на возмещение части затрат на развитие элитного оленеводства, поддержку племенного животноводства, поддержку завоза семян для выращивания кормовых культур Крайнего Севера, оказание несвязанной поддержки сельскохозяйственным товаропроизводителям в области растениеводства, на финансовое обеспечение затрат на </w:t>
      </w:r>
      <w:r w:rsidRPr="00FD7B0B">
        <w:rPr>
          <w:rFonts w:ascii="Times New Roman" w:eastAsia="Times New Roman" w:hAnsi="Times New Roman" w:cs="Times New Roman"/>
          <w:bCs/>
          <w:sz w:val="28"/>
          <w:szCs w:val="28"/>
          <w:lang w:eastAsia="ru-RU"/>
        </w:rPr>
        <w:t>переработку молока</w:t>
      </w:r>
      <w:r w:rsidRPr="00FD7B0B">
        <w:rPr>
          <w:rFonts w:ascii="Times New Roman" w:eastAsia="Times New Roman" w:hAnsi="Times New Roman" w:cs="Times New Roman"/>
          <w:b/>
          <w:bCs/>
          <w:sz w:val="28"/>
          <w:szCs w:val="28"/>
          <w:lang w:eastAsia="ru-RU"/>
        </w:rPr>
        <w:t xml:space="preserve"> </w:t>
      </w:r>
      <w:r w:rsidRPr="00FD7B0B">
        <w:rPr>
          <w:rFonts w:ascii="Times New Roman" w:eastAsia="Times New Roman" w:hAnsi="Times New Roman" w:cs="Times New Roman"/>
          <w:sz w:val="28"/>
          <w:szCs w:val="28"/>
          <w:lang w:eastAsia="ru-RU"/>
        </w:rPr>
        <w:t>сырого КРС и козьего на пищевую продукцию, на повышение продуктивности в молочном скотоводстве).</w:t>
      </w:r>
    </w:p>
    <w:p w14:paraId="0665AD8D"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 xml:space="preserve">2) ФП «Развитие отраслей овощеводства и картофелеводства» в сумме </w:t>
      </w:r>
      <w:r w:rsidRPr="00FD7B0B">
        <w:rPr>
          <w:rFonts w:ascii="Times New Roman" w:eastAsia="Times New Roman" w:hAnsi="Times New Roman" w:cs="Times New Roman"/>
          <w:sz w:val="28"/>
          <w:szCs w:val="28"/>
          <w:lang w:eastAsia="ru-RU"/>
        </w:rPr>
        <w:br/>
        <w:t>15,8 млн.руб., в том числе за счет федеральных субсидий в сумме 6,7 млн.руб. (соглашение от 20.12.2023 № 082-09-2024-444 с учетом софинансирования 7,4 млн.руб.). Государственная поддержка оказана 22 сельскохозяйственным предприятиям из расчета за 1 тонну произведённого картофеля и овощей и на 1 гектар посевных площадей.</w:t>
      </w:r>
    </w:p>
    <w:p w14:paraId="05BFBA4A" w14:textId="082E9A0C"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3) ФП «Стимулирование инвестиционной деятельности в агропромышленном комплексе» в сумме 14,1 млн.руб., средства областного бюджета выделены ООО «Агрохолдинг </w:t>
      </w:r>
      <w:r w:rsidR="00D2318C"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Каргопольский</w:t>
      </w:r>
      <w:r w:rsidR="00D2318C"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на возмещение части прямых понесенных з</w:t>
      </w:r>
      <w:r w:rsidR="00D2318C" w:rsidRPr="00FD7B0B">
        <w:rPr>
          <w:rFonts w:ascii="Times New Roman" w:eastAsia="Times New Roman" w:hAnsi="Times New Roman" w:cs="Times New Roman"/>
          <w:sz w:val="28"/>
          <w:szCs w:val="28"/>
          <w:lang w:eastAsia="ru-RU"/>
        </w:rPr>
        <w:t>атрат на создание объектов АПК.</w:t>
      </w:r>
    </w:p>
    <w:p w14:paraId="275A67F9" w14:textId="4EB10624"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4) ФП «Вовлечение в оборот и комплексная мелиорация земель сельскохозяйственного назначения» в сумме 55,8 млн.руб., в том числе за счет средств федер</w:t>
      </w:r>
      <w:r w:rsidR="00D2318C" w:rsidRPr="00FD7B0B">
        <w:rPr>
          <w:rFonts w:ascii="Times New Roman" w:eastAsia="Times New Roman" w:hAnsi="Times New Roman" w:cs="Times New Roman"/>
          <w:sz w:val="28"/>
          <w:szCs w:val="28"/>
          <w:lang w:eastAsia="ru-RU"/>
        </w:rPr>
        <w:t>ального бюджета - 50,2 млн.руб.</w:t>
      </w:r>
    </w:p>
    <w:p w14:paraId="5253930C" w14:textId="77777777" w:rsidR="000B08C9" w:rsidRPr="00FD7B0B" w:rsidRDefault="000B08C9" w:rsidP="000B08C9">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Из них 54,6 млн.руб. направлено в рамках заключенного с министерством сельского хозяйства РФ соглашения от 27.12.2023 № 082-009-2024-071 на гидромелиоративные мероприятия ООО «Ростово» в сумме 16,1 млн.руб., АО «Агрофирма «Вельская» в сумме 7,0 млн.руб., АО «Важское» - 31,5 млн.руб. Согласно отчету о расходах по субсидии на реализацию мероприятий ФЦП «Развитие мелиоративного комплекса России» по состоянию на 01.01.2025 объем фактически произведенных затрат сельхозпредприятиями по мелиорации земель составил 109,4 млн.руб.</w:t>
      </w:r>
    </w:p>
    <w:p w14:paraId="6B3D1A29"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Times New Roman" w:hAnsi="Times New Roman" w:cs="Times New Roman"/>
          <w:sz w:val="28"/>
          <w:szCs w:val="28"/>
          <w:lang w:eastAsia="ru-RU"/>
        </w:rPr>
        <w:t xml:space="preserve">В целом на реализацию мероприятий ГП № 05 в 2024 году между министерством сельского хозяйства РФ и Правительством Архангельской области заключено пять соглашений </w:t>
      </w:r>
      <w:r w:rsidRPr="00FD7B0B">
        <w:rPr>
          <w:rFonts w:ascii="Times New Roman" w:eastAsia="Calibri" w:hAnsi="Times New Roman" w:cs="Times New Roman"/>
          <w:sz w:val="28"/>
          <w:szCs w:val="28"/>
        </w:rPr>
        <w:t>о предоставлении в 2024 году субсидий из федерального бюджета на реализацию мероприятий госпрограммы (далее – Соглашения).</w:t>
      </w:r>
    </w:p>
    <w:p w14:paraId="79252013"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Результативность предоставления субсидии и иного межбюджетного трансферта оценивается по 19 показателям (индикаторам).</w:t>
      </w:r>
    </w:p>
    <w:p w14:paraId="204C688C"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Из федерального бюджета в 2024 году в рамках заключенных Соглашений на 2024 год поступило 241,0 млн.руб.</w:t>
      </w:r>
    </w:p>
    <w:p w14:paraId="2E538F36"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информации, размещенной на сайте Министерства сельского хозяйства РФ «Предварительный расчёт размера возврата средств связи с недостижением показателей результативности предоставления субсидии в 2024 году» (размещено на сайте 19.03.2025), количество невыполненных показателей Архангельской областью – 0, объем средств, подлежащих возврату – 0.</w:t>
      </w:r>
    </w:p>
    <w:p w14:paraId="4F354819" w14:textId="184CF0F7"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 мероприятия, включённые в Комплексы процессных мероприятий (далее – КПМ) госпрограммы, в 2024 году направлено 691,4 млн.руб., в том числе министерством АПК на сумму 330,7 мл</w:t>
      </w:r>
      <w:r w:rsidR="003A4F28" w:rsidRPr="00FD7B0B">
        <w:rPr>
          <w:rFonts w:ascii="Times New Roman" w:eastAsia="Calibri" w:hAnsi="Times New Roman" w:cs="Times New Roman"/>
          <w:sz w:val="28"/>
          <w:szCs w:val="28"/>
        </w:rPr>
        <w:t>н.руб., инспекцией - 360,7 млн.</w:t>
      </w:r>
      <w:r w:rsidRPr="00FD7B0B">
        <w:rPr>
          <w:rFonts w:ascii="Times New Roman" w:eastAsia="Calibri" w:hAnsi="Times New Roman" w:cs="Times New Roman"/>
          <w:sz w:val="28"/>
          <w:szCs w:val="28"/>
        </w:rPr>
        <w:t>руб.</w:t>
      </w:r>
    </w:p>
    <w:p w14:paraId="4A1BBE99"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Учреждениям ветеринарии направлено 335,6 млн.руб., из них на выполнение государственного задания в сумме 290,2 млн.руб., целевые субсидии – 45,3 млн.руб.</w:t>
      </w:r>
    </w:p>
    <w:p w14:paraId="256BD36B" w14:textId="4A58E648"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информации инспекции показатели государственного задания выполнены на 94 и более процентов (в пределах допустимых</w:t>
      </w:r>
      <w:r w:rsidR="00887621"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отклонений 10</w:t>
      </w:r>
      <w:r w:rsidR="003A4F28"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w:t>
      </w:r>
    </w:p>
    <w:p w14:paraId="23B6A9ED" w14:textId="25DF85DE" w:rsidR="000B08C9" w:rsidRPr="00FD7B0B" w:rsidRDefault="000B08C9" w:rsidP="000B08C9">
      <w:pPr>
        <w:spacing w:after="0" w:line="240" w:lineRule="auto"/>
        <w:ind w:firstLine="709"/>
        <w:jc w:val="both"/>
        <w:rPr>
          <w:rFonts w:ascii="Times New Roman" w:hAnsi="Times New Roman" w:cs="Times New Roman"/>
          <w:sz w:val="28"/>
          <w:szCs w:val="28"/>
        </w:rPr>
      </w:pPr>
      <w:r w:rsidRPr="00FD7B0B">
        <w:rPr>
          <w:rFonts w:ascii="Times New Roman" w:eastAsia="Calibri" w:hAnsi="Times New Roman" w:cs="Times New Roman"/>
          <w:sz w:val="28"/>
          <w:szCs w:val="28"/>
        </w:rPr>
        <w:t xml:space="preserve">Муниципальным образованиям перечислено 8,2 млн.руб., в том числе субсидии на софинансирование расходов по созданию условий для обеспечения </w:t>
      </w:r>
      <w:r w:rsidRPr="00FD7B0B">
        <w:rPr>
          <w:rFonts w:ascii="Times New Roman" w:eastAsia="Calibri" w:hAnsi="Times New Roman" w:cs="Times New Roman"/>
          <w:sz w:val="28"/>
          <w:szCs w:val="28"/>
        </w:rPr>
        <w:lastRenderedPageBreak/>
        <w:t>поселений услугами торговли в сумме 6,9 млн.руб. Согласно отчету о расходах областного бюджета по субсидии по состоянию на 01.01.2025 транспортные расходы юридических лиц и предпринимателей, без образования юридического лица, обеспечивающих доставку товаров в населенные пункты и их реализацию жителям, за 2024 год составили 29,4 млн.руб., перечислено субсидий в общей сумме 11,7 млн.руб. (39,8</w:t>
      </w:r>
      <w:r w:rsidR="00CF501D"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xml:space="preserve">% от расходов), в том числе за счет областного бюджета в сумме 6,9 млн.руб. или в пределах </w:t>
      </w:r>
      <w:r w:rsidRPr="00FD7B0B">
        <w:rPr>
          <w:rFonts w:ascii="Times New Roman" w:hAnsi="Times New Roman" w:cs="Times New Roman"/>
          <w:sz w:val="28"/>
          <w:szCs w:val="28"/>
        </w:rPr>
        <w:t>определённого по</w:t>
      </w:r>
      <w:r w:rsidR="003A4F28" w:rsidRPr="00FD7B0B">
        <w:rPr>
          <w:rFonts w:ascii="Times New Roman" w:hAnsi="Times New Roman" w:cs="Times New Roman"/>
          <w:sz w:val="28"/>
          <w:szCs w:val="28"/>
        </w:rPr>
        <w:t>рядком уровня софинансирования.</w:t>
      </w:r>
    </w:p>
    <w:p w14:paraId="31A1AEEF" w14:textId="21847D23" w:rsidR="000B08C9" w:rsidRPr="00FD7B0B" w:rsidRDefault="000B08C9" w:rsidP="000B08C9">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В рамках КПМ перечислено субсидий юридическим лицам, индивидуальным предпринимателям, физическим лицам - производителям товаров, работ, услуг в сумме 203,0 млн.руб., государственная поддер</w:t>
      </w:r>
      <w:r w:rsidR="003A4F28" w:rsidRPr="00FD7B0B">
        <w:rPr>
          <w:rFonts w:ascii="Times New Roman" w:hAnsi="Times New Roman"/>
          <w:sz w:val="28"/>
          <w:szCs w:val="28"/>
        </w:rPr>
        <w:t>жка оказана по 14 направлениям.</w:t>
      </w:r>
    </w:p>
    <w:p w14:paraId="22C0C564" w14:textId="4F8731B2" w:rsidR="000B08C9" w:rsidRPr="00FD7B0B" w:rsidRDefault="000B08C9" w:rsidP="000B08C9">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На поддержку овощеводства защищенного грунта и компенсацию части затрат на газ, использованный на производство овощей защищенного грунта перечислено ООО «Северодвинский Агрокомбинат» в сумме 16,7 млн.руб. Субсидию на животноводческую продукцию получили 17 сельскохозяйственных предприяти</w:t>
      </w:r>
      <w:r w:rsidR="003A4F28" w:rsidRPr="00FD7B0B">
        <w:rPr>
          <w:rFonts w:ascii="Times New Roman" w:hAnsi="Times New Roman"/>
          <w:sz w:val="28"/>
          <w:szCs w:val="28"/>
        </w:rPr>
        <w:t>й</w:t>
      </w:r>
      <w:r w:rsidRPr="00FD7B0B">
        <w:rPr>
          <w:rFonts w:ascii="Times New Roman" w:hAnsi="Times New Roman"/>
          <w:sz w:val="28"/>
          <w:szCs w:val="28"/>
        </w:rPr>
        <w:t xml:space="preserve">, включая К(Ф)Х и ИП на общую сумму 30,2 млн.руб., из них направлено ООО «Птицефабрика </w:t>
      </w:r>
      <w:r w:rsidR="003A4F28" w:rsidRPr="00FD7B0B">
        <w:rPr>
          <w:rFonts w:ascii="Times New Roman" w:hAnsi="Times New Roman"/>
          <w:sz w:val="28"/>
          <w:szCs w:val="28"/>
        </w:rPr>
        <w:t>«</w:t>
      </w:r>
      <w:r w:rsidRPr="00FD7B0B">
        <w:rPr>
          <w:rFonts w:ascii="Times New Roman" w:hAnsi="Times New Roman"/>
          <w:sz w:val="28"/>
          <w:szCs w:val="28"/>
        </w:rPr>
        <w:t>Кот</w:t>
      </w:r>
      <w:r w:rsidR="003A4F28" w:rsidRPr="00FD7B0B">
        <w:rPr>
          <w:rFonts w:ascii="Times New Roman" w:hAnsi="Times New Roman"/>
          <w:sz w:val="28"/>
          <w:szCs w:val="28"/>
        </w:rPr>
        <w:t>ласская» в сумме 19,7 млн.руб.</w:t>
      </w:r>
    </w:p>
    <w:p w14:paraId="58615A81" w14:textId="34915856" w:rsidR="000B08C9" w:rsidRPr="00FD7B0B" w:rsidRDefault="000B08C9" w:rsidP="000B08C9">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На закупку сельскохозяйственной техники и оборудования направлено 75,0 млн.руб. 32-м сельскохозяйственным товаропроизводителям, включенным в единый реестр субъектов малого и среднего предпринимательства, отвечающим критериям малого предприятия, согласно сводному отчету о расходах по субсидии по состоянию на 01.01.2025, сельскохозяйственными товаропроизводителями приобретено 101 единица сельскохозяйственной техники на сумму 198,2 млн.руб. (доля компенсации 70</w:t>
      </w:r>
      <w:r w:rsidR="003A4F28" w:rsidRPr="00FD7B0B">
        <w:rPr>
          <w:rFonts w:ascii="Times New Roman" w:hAnsi="Times New Roman"/>
          <w:sz w:val="28"/>
          <w:szCs w:val="28"/>
        </w:rPr>
        <w:t xml:space="preserve"> </w:t>
      </w:r>
      <w:r w:rsidRPr="00FD7B0B">
        <w:rPr>
          <w:rFonts w:ascii="Times New Roman" w:hAnsi="Times New Roman"/>
          <w:sz w:val="28"/>
          <w:szCs w:val="28"/>
        </w:rPr>
        <w:t>%).</w:t>
      </w:r>
    </w:p>
    <w:p w14:paraId="29D9E427" w14:textId="77777777" w:rsidR="000B08C9" w:rsidRPr="00FD7B0B" w:rsidRDefault="000B08C9" w:rsidP="000B08C9">
      <w:pPr>
        <w:autoSpaceDE w:val="0"/>
        <w:autoSpaceDN w:val="0"/>
        <w:adjustRightInd w:val="0"/>
        <w:spacing w:after="0" w:line="240" w:lineRule="auto"/>
        <w:ind w:firstLine="709"/>
        <w:jc w:val="both"/>
        <w:rPr>
          <w:rFonts w:ascii="Times New Roman" w:hAnsi="Times New Roman"/>
          <w:sz w:val="28"/>
          <w:szCs w:val="28"/>
        </w:rPr>
      </w:pPr>
    </w:p>
    <w:p w14:paraId="2712651E" w14:textId="77777777" w:rsidR="000B08C9" w:rsidRPr="00FD7B0B" w:rsidRDefault="000B08C9" w:rsidP="000B08C9">
      <w:pPr>
        <w:shd w:val="clear" w:color="auto" w:fill="FFFFFF"/>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достижения результатов структурного элемента госпрограммы.</w:t>
      </w:r>
    </w:p>
    <w:p w14:paraId="07BDE52D" w14:textId="77777777" w:rsidR="000B08C9" w:rsidRPr="00FD7B0B" w:rsidRDefault="000B08C9" w:rsidP="000B08C9">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В рамках ГП № 05 в целом на 2024 год утверждено 5 показателей.</w:t>
      </w:r>
    </w:p>
    <w:p w14:paraId="1B0DA872" w14:textId="088AAB75"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Плановые и фактические значения отдельных целевых показателей ГП №05 за ряд лет представлены в та</w:t>
      </w:r>
      <w:r w:rsidR="00FB4C8F" w:rsidRPr="00FD7B0B">
        <w:rPr>
          <w:rFonts w:ascii="Times New Roman" w:eastAsia="Calibri" w:hAnsi="Times New Roman" w:cs="Times New Roman"/>
          <w:sz w:val="28"/>
          <w:szCs w:val="28"/>
        </w:rPr>
        <w:t xml:space="preserve">блице </w:t>
      </w:r>
      <w:r w:rsidR="00A41985" w:rsidRPr="00FD7B0B">
        <w:rPr>
          <w:rFonts w:ascii="Times New Roman" w:eastAsia="Calibri" w:hAnsi="Times New Roman" w:cs="Times New Roman"/>
          <w:sz w:val="28"/>
          <w:szCs w:val="28"/>
        </w:rPr>
        <w:t>118</w:t>
      </w:r>
      <w:r w:rsidRPr="00FD7B0B">
        <w:rPr>
          <w:rFonts w:ascii="Times New Roman" w:eastAsia="Calibri" w:hAnsi="Times New Roman" w:cs="Times New Roman"/>
          <w:sz w:val="28"/>
          <w:szCs w:val="28"/>
        </w:rPr>
        <w:t>.</w:t>
      </w:r>
    </w:p>
    <w:p w14:paraId="7603E09F"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p>
    <w:p w14:paraId="0DCD3158" w14:textId="2705F489"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118</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Динамика значений целевых показателей ГП № 05 (без показателей по структурным элементам) за 2020</w:t>
      </w:r>
      <w:r w:rsidR="00A41985" w:rsidRPr="00FD7B0B">
        <w:rPr>
          <w:rFonts w:ascii="Times New Roman" w:eastAsia="Calibri" w:hAnsi="Times New Roman" w:cs="Times New Roman"/>
          <w:bCs/>
          <w:sz w:val="24"/>
          <w:szCs w:val="24"/>
        </w:rPr>
        <w:t xml:space="preserve"> – </w:t>
      </w:r>
      <w:r w:rsidRPr="00FD7B0B">
        <w:rPr>
          <w:rFonts w:ascii="Times New Roman" w:eastAsia="Calibri" w:hAnsi="Times New Roman" w:cs="Times New Roman"/>
          <w:bCs/>
          <w:sz w:val="24"/>
          <w:szCs w:val="24"/>
        </w:rPr>
        <w:t>2025 годы</w:t>
      </w:r>
    </w:p>
    <w:tbl>
      <w:tblPr>
        <w:tblW w:w="9644"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245"/>
        <w:gridCol w:w="1275"/>
        <w:gridCol w:w="993"/>
        <w:gridCol w:w="992"/>
        <w:gridCol w:w="1139"/>
      </w:tblGrid>
      <w:tr w:rsidR="00FD7B0B" w:rsidRPr="00FD7B0B" w14:paraId="3E9285F6" w14:textId="77777777" w:rsidTr="00A41985">
        <w:trPr>
          <w:trHeight w:val="308"/>
          <w:tblHeader/>
        </w:trPr>
        <w:tc>
          <w:tcPr>
            <w:tcW w:w="5245" w:type="dxa"/>
            <w:shd w:val="clear" w:color="auto" w:fill="auto"/>
            <w:vAlign w:val="center"/>
            <w:hideMark/>
          </w:tcPr>
          <w:p w14:paraId="13EAC0E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Наименование целевого показателя, единица измерения</w:t>
            </w:r>
          </w:p>
        </w:tc>
        <w:tc>
          <w:tcPr>
            <w:tcW w:w="1275" w:type="dxa"/>
            <w:shd w:val="clear" w:color="auto" w:fill="auto"/>
            <w:vAlign w:val="center"/>
            <w:hideMark/>
          </w:tcPr>
          <w:p w14:paraId="2FF83AA3"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Ответственный исполнитель</w:t>
            </w:r>
          </w:p>
        </w:tc>
        <w:tc>
          <w:tcPr>
            <w:tcW w:w="993" w:type="dxa"/>
            <w:shd w:val="clear" w:color="auto" w:fill="auto"/>
            <w:vAlign w:val="center"/>
            <w:hideMark/>
          </w:tcPr>
          <w:p w14:paraId="60EE4053"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План</w:t>
            </w:r>
          </w:p>
        </w:tc>
        <w:tc>
          <w:tcPr>
            <w:tcW w:w="992" w:type="dxa"/>
            <w:shd w:val="clear" w:color="auto" w:fill="auto"/>
            <w:vAlign w:val="center"/>
            <w:hideMark/>
          </w:tcPr>
          <w:p w14:paraId="2F26AA7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Факт</w:t>
            </w:r>
          </w:p>
        </w:tc>
        <w:tc>
          <w:tcPr>
            <w:tcW w:w="1139" w:type="dxa"/>
            <w:shd w:val="clear" w:color="auto" w:fill="auto"/>
            <w:vAlign w:val="center"/>
            <w:hideMark/>
          </w:tcPr>
          <w:p w14:paraId="79654EF2"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Отклонение в %</w:t>
            </w:r>
          </w:p>
        </w:tc>
      </w:tr>
      <w:tr w:rsidR="00FD7B0B" w:rsidRPr="00FD7B0B" w14:paraId="1AF11171" w14:textId="77777777" w:rsidTr="000B08C9">
        <w:trPr>
          <w:trHeight w:val="208"/>
        </w:trPr>
        <w:tc>
          <w:tcPr>
            <w:tcW w:w="5245" w:type="dxa"/>
            <w:shd w:val="clear" w:color="auto" w:fill="auto"/>
            <w:vAlign w:val="center"/>
            <w:hideMark/>
          </w:tcPr>
          <w:p w14:paraId="162A0583" w14:textId="77777777" w:rsidR="000B08C9" w:rsidRPr="00FD7B0B" w:rsidRDefault="000B08C9" w:rsidP="000B08C9">
            <w:pPr>
              <w:autoSpaceDE w:val="0"/>
              <w:autoSpaceDN w:val="0"/>
              <w:adjustRightInd w:val="0"/>
              <w:spacing w:after="0" w:line="240" w:lineRule="auto"/>
              <w:rPr>
                <w:rFonts w:ascii="Times New Roman" w:eastAsia="Times New Roman" w:hAnsi="Times New Roman"/>
                <w:sz w:val="20"/>
                <w:szCs w:val="20"/>
                <w:lang w:eastAsia="ru-RU"/>
              </w:rPr>
            </w:pPr>
            <w:r w:rsidRPr="00FD7B0B">
              <w:rPr>
                <w:rFonts w:ascii="Times New Roman" w:hAnsi="Times New Roman" w:cs="Times New Roman"/>
                <w:sz w:val="20"/>
                <w:szCs w:val="20"/>
              </w:rPr>
              <w:t>1. Индекс производства продукции сельского хозяйства (в сопоставимых ценах) к уровню 2020 года</w:t>
            </w:r>
          </w:p>
        </w:tc>
        <w:tc>
          <w:tcPr>
            <w:tcW w:w="1275" w:type="dxa"/>
            <w:shd w:val="clear" w:color="auto" w:fill="auto"/>
            <w:vAlign w:val="center"/>
            <w:hideMark/>
          </w:tcPr>
          <w:p w14:paraId="65222F94"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Министерство АПК</w:t>
            </w:r>
          </w:p>
        </w:tc>
        <w:tc>
          <w:tcPr>
            <w:tcW w:w="993" w:type="dxa"/>
            <w:shd w:val="clear" w:color="auto" w:fill="auto"/>
            <w:vAlign w:val="center"/>
            <w:hideMark/>
          </w:tcPr>
          <w:p w14:paraId="6B883B6C"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w:t>
            </w:r>
          </w:p>
        </w:tc>
        <w:tc>
          <w:tcPr>
            <w:tcW w:w="992" w:type="dxa"/>
            <w:shd w:val="clear" w:color="auto" w:fill="auto"/>
            <w:vAlign w:val="center"/>
            <w:hideMark/>
          </w:tcPr>
          <w:p w14:paraId="645C855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w:t>
            </w:r>
          </w:p>
        </w:tc>
        <w:tc>
          <w:tcPr>
            <w:tcW w:w="1139" w:type="dxa"/>
            <w:shd w:val="clear" w:color="auto" w:fill="auto"/>
            <w:vAlign w:val="center"/>
            <w:hideMark/>
          </w:tcPr>
          <w:p w14:paraId="4C740BA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75583296" w14:textId="77777777" w:rsidTr="000B08C9">
        <w:trPr>
          <w:trHeight w:hRule="exact" w:val="255"/>
        </w:trPr>
        <w:tc>
          <w:tcPr>
            <w:tcW w:w="5245" w:type="dxa"/>
            <w:shd w:val="clear" w:color="auto" w:fill="auto"/>
            <w:vAlign w:val="center"/>
            <w:hideMark/>
          </w:tcPr>
          <w:p w14:paraId="2D36DFDD"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2020 год (базовый)</w:t>
            </w:r>
          </w:p>
        </w:tc>
        <w:tc>
          <w:tcPr>
            <w:tcW w:w="1275" w:type="dxa"/>
            <w:shd w:val="clear" w:color="auto" w:fill="auto"/>
            <w:vAlign w:val="center"/>
            <w:hideMark/>
          </w:tcPr>
          <w:p w14:paraId="2D36E386"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2DC35509"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992" w:type="dxa"/>
            <w:shd w:val="clear" w:color="auto" w:fill="auto"/>
            <w:vAlign w:val="center"/>
            <w:hideMark/>
          </w:tcPr>
          <w:p w14:paraId="39A20D71"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101,5 </w:t>
            </w:r>
          </w:p>
        </w:tc>
        <w:tc>
          <w:tcPr>
            <w:tcW w:w="1139" w:type="dxa"/>
            <w:shd w:val="clear" w:color="auto" w:fill="auto"/>
            <w:vAlign w:val="center"/>
            <w:hideMark/>
          </w:tcPr>
          <w:p w14:paraId="18EA735B"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5E01FD65" w14:textId="77777777" w:rsidTr="000B08C9">
        <w:trPr>
          <w:trHeight w:hRule="exact" w:val="255"/>
        </w:trPr>
        <w:tc>
          <w:tcPr>
            <w:tcW w:w="5245" w:type="dxa"/>
            <w:shd w:val="clear" w:color="auto" w:fill="auto"/>
            <w:vAlign w:val="center"/>
            <w:hideMark/>
          </w:tcPr>
          <w:p w14:paraId="53999E1A"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2021 год</w:t>
            </w:r>
          </w:p>
        </w:tc>
        <w:tc>
          <w:tcPr>
            <w:tcW w:w="1275" w:type="dxa"/>
            <w:shd w:val="clear" w:color="auto" w:fill="auto"/>
            <w:vAlign w:val="center"/>
            <w:hideMark/>
          </w:tcPr>
          <w:p w14:paraId="47531DCB"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5AAAC01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99,2</w:t>
            </w:r>
          </w:p>
        </w:tc>
        <w:tc>
          <w:tcPr>
            <w:tcW w:w="992" w:type="dxa"/>
            <w:shd w:val="clear" w:color="auto" w:fill="auto"/>
            <w:vAlign w:val="center"/>
            <w:hideMark/>
          </w:tcPr>
          <w:p w14:paraId="63995B1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99,6</w:t>
            </w:r>
          </w:p>
        </w:tc>
        <w:tc>
          <w:tcPr>
            <w:tcW w:w="1139" w:type="dxa"/>
            <w:shd w:val="clear" w:color="auto" w:fill="auto"/>
            <w:vAlign w:val="center"/>
            <w:hideMark/>
          </w:tcPr>
          <w:p w14:paraId="0D49A9C1"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100,4</w:t>
            </w:r>
          </w:p>
        </w:tc>
      </w:tr>
      <w:tr w:rsidR="00FD7B0B" w:rsidRPr="00FD7B0B" w14:paraId="0C6B1C2B" w14:textId="77777777" w:rsidTr="000B08C9">
        <w:trPr>
          <w:trHeight w:hRule="exact" w:val="255"/>
        </w:trPr>
        <w:tc>
          <w:tcPr>
            <w:tcW w:w="5245" w:type="dxa"/>
            <w:shd w:val="clear" w:color="auto" w:fill="auto"/>
            <w:vAlign w:val="center"/>
            <w:hideMark/>
          </w:tcPr>
          <w:p w14:paraId="0D62F2F2"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2022 год </w:t>
            </w:r>
          </w:p>
        </w:tc>
        <w:tc>
          <w:tcPr>
            <w:tcW w:w="1275" w:type="dxa"/>
            <w:shd w:val="clear" w:color="auto" w:fill="auto"/>
            <w:vAlign w:val="center"/>
            <w:hideMark/>
          </w:tcPr>
          <w:p w14:paraId="280EECEE"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5FA4371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100,0</w:t>
            </w:r>
          </w:p>
        </w:tc>
        <w:tc>
          <w:tcPr>
            <w:tcW w:w="992" w:type="dxa"/>
            <w:shd w:val="clear" w:color="auto" w:fill="auto"/>
            <w:vAlign w:val="center"/>
            <w:hideMark/>
          </w:tcPr>
          <w:p w14:paraId="39E20B8D"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98,6 </w:t>
            </w:r>
          </w:p>
        </w:tc>
        <w:tc>
          <w:tcPr>
            <w:tcW w:w="1139" w:type="dxa"/>
            <w:shd w:val="clear" w:color="auto" w:fill="auto"/>
            <w:vAlign w:val="center"/>
            <w:hideMark/>
          </w:tcPr>
          <w:p w14:paraId="2FE201C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98,6 </w:t>
            </w:r>
          </w:p>
        </w:tc>
      </w:tr>
      <w:tr w:rsidR="00FD7B0B" w:rsidRPr="00FD7B0B" w14:paraId="2B800795" w14:textId="77777777" w:rsidTr="000B08C9">
        <w:trPr>
          <w:trHeight w:hRule="exact" w:val="255"/>
        </w:trPr>
        <w:tc>
          <w:tcPr>
            <w:tcW w:w="5245" w:type="dxa"/>
            <w:shd w:val="clear" w:color="auto" w:fill="auto"/>
            <w:vAlign w:val="center"/>
            <w:hideMark/>
          </w:tcPr>
          <w:p w14:paraId="04244E2E"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2023 год </w:t>
            </w:r>
          </w:p>
        </w:tc>
        <w:tc>
          <w:tcPr>
            <w:tcW w:w="1275" w:type="dxa"/>
            <w:shd w:val="clear" w:color="auto" w:fill="auto"/>
            <w:vAlign w:val="center"/>
            <w:hideMark/>
          </w:tcPr>
          <w:p w14:paraId="7FD7E2CB"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18248CC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100,1</w:t>
            </w:r>
          </w:p>
        </w:tc>
        <w:tc>
          <w:tcPr>
            <w:tcW w:w="992" w:type="dxa"/>
            <w:shd w:val="clear" w:color="auto" w:fill="auto"/>
            <w:vAlign w:val="center"/>
            <w:hideMark/>
          </w:tcPr>
          <w:p w14:paraId="4D392154"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98,2</w:t>
            </w:r>
          </w:p>
        </w:tc>
        <w:tc>
          <w:tcPr>
            <w:tcW w:w="1139" w:type="dxa"/>
            <w:shd w:val="clear" w:color="auto" w:fill="auto"/>
            <w:vAlign w:val="center"/>
            <w:hideMark/>
          </w:tcPr>
          <w:p w14:paraId="23C08376"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98,1 </w:t>
            </w:r>
          </w:p>
        </w:tc>
      </w:tr>
      <w:tr w:rsidR="00FD7B0B" w:rsidRPr="00FD7B0B" w14:paraId="6A087F2F" w14:textId="77777777" w:rsidTr="000B08C9">
        <w:trPr>
          <w:trHeight w:hRule="exact" w:val="255"/>
        </w:trPr>
        <w:tc>
          <w:tcPr>
            <w:tcW w:w="5245" w:type="dxa"/>
            <w:shd w:val="clear" w:color="auto" w:fill="auto"/>
            <w:vAlign w:val="center"/>
          </w:tcPr>
          <w:p w14:paraId="69AF9E11"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31.12.2023</w:t>
            </w:r>
          </w:p>
        </w:tc>
        <w:tc>
          <w:tcPr>
            <w:tcW w:w="1275" w:type="dxa"/>
            <w:shd w:val="clear" w:color="auto" w:fill="auto"/>
            <w:vAlign w:val="center"/>
          </w:tcPr>
          <w:p w14:paraId="114FE232"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40A560D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100,2</w:t>
            </w:r>
          </w:p>
        </w:tc>
        <w:tc>
          <w:tcPr>
            <w:tcW w:w="992" w:type="dxa"/>
            <w:shd w:val="clear" w:color="auto" w:fill="auto"/>
            <w:vAlign w:val="center"/>
          </w:tcPr>
          <w:p w14:paraId="23811FA7"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tcPr>
          <w:p w14:paraId="2BA813B3"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06C4AE4D" w14:textId="77777777" w:rsidTr="000B08C9">
        <w:trPr>
          <w:trHeight w:hRule="exact" w:val="255"/>
        </w:trPr>
        <w:tc>
          <w:tcPr>
            <w:tcW w:w="5245" w:type="dxa"/>
            <w:shd w:val="clear" w:color="auto" w:fill="auto"/>
            <w:vAlign w:val="center"/>
          </w:tcPr>
          <w:p w14:paraId="63042103"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01.04.2024</w:t>
            </w:r>
          </w:p>
        </w:tc>
        <w:tc>
          <w:tcPr>
            <w:tcW w:w="1275" w:type="dxa"/>
            <w:shd w:val="clear" w:color="auto" w:fill="auto"/>
            <w:vAlign w:val="center"/>
          </w:tcPr>
          <w:p w14:paraId="3073625B"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559116F9"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99,1</w:t>
            </w:r>
          </w:p>
        </w:tc>
        <w:tc>
          <w:tcPr>
            <w:tcW w:w="992" w:type="dxa"/>
            <w:shd w:val="clear" w:color="auto" w:fill="auto"/>
            <w:vAlign w:val="center"/>
          </w:tcPr>
          <w:p w14:paraId="3A2B2719"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tcPr>
          <w:p w14:paraId="2487BF5A"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1DCCDF75" w14:textId="77777777" w:rsidTr="000B08C9">
        <w:trPr>
          <w:trHeight w:hRule="exact" w:val="255"/>
        </w:trPr>
        <w:tc>
          <w:tcPr>
            <w:tcW w:w="5245" w:type="dxa"/>
            <w:shd w:val="clear" w:color="auto" w:fill="auto"/>
            <w:vAlign w:val="center"/>
          </w:tcPr>
          <w:p w14:paraId="425F61D7"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27.12.2024</w:t>
            </w:r>
          </w:p>
        </w:tc>
        <w:tc>
          <w:tcPr>
            <w:tcW w:w="1275" w:type="dxa"/>
            <w:shd w:val="clear" w:color="auto" w:fill="auto"/>
            <w:vAlign w:val="center"/>
          </w:tcPr>
          <w:p w14:paraId="603952D7"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122BE4DD"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96,8</w:t>
            </w:r>
          </w:p>
        </w:tc>
        <w:tc>
          <w:tcPr>
            <w:tcW w:w="992" w:type="dxa"/>
            <w:shd w:val="clear" w:color="auto" w:fill="auto"/>
            <w:vAlign w:val="center"/>
          </w:tcPr>
          <w:p w14:paraId="38F7B532"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97,7</w:t>
            </w:r>
          </w:p>
        </w:tc>
        <w:tc>
          <w:tcPr>
            <w:tcW w:w="1139" w:type="dxa"/>
            <w:shd w:val="clear" w:color="auto" w:fill="auto"/>
            <w:vAlign w:val="center"/>
          </w:tcPr>
          <w:p w14:paraId="11EF20E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100,9</w:t>
            </w:r>
          </w:p>
        </w:tc>
      </w:tr>
      <w:tr w:rsidR="00FD7B0B" w:rsidRPr="00FD7B0B" w14:paraId="0E327691" w14:textId="77777777" w:rsidTr="000B08C9">
        <w:trPr>
          <w:trHeight w:hRule="exact" w:val="255"/>
        </w:trPr>
        <w:tc>
          <w:tcPr>
            <w:tcW w:w="5245" w:type="dxa"/>
            <w:shd w:val="clear" w:color="auto" w:fill="auto"/>
            <w:vAlign w:val="center"/>
          </w:tcPr>
          <w:p w14:paraId="57A55A2D"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2025 год в редакции действующей на 27.12.2024</w:t>
            </w:r>
          </w:p>
        </w:tc>
        <w:tc>
          <w:tcPr>
            <w:tcW w:w="1275" w:type="dxa"/>
            <w:shd w:val="clear" w:color="auto" w:fill="auto"/>
            <w:vAlign w:val="center"/>
          </w:tcPr>
          <w:p w14:paraId="7D8165E8"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682F7542"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96,9</w:t>
            </w:r>
          </w:p>
        </w:tc>
        <w:tc>
          <w:tcPr>
            <w:tcW w:w="992" w:type="dxa"/>
            <w:shd w:val="clear" w:color="auto" w:fill="auto"/>
            <w:vAlign w:val="center"/>
          </w:tcPr>
          <w:p w14:paraId="7FB2481A"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tcPr>
          <w:p w14:paraId="7585198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535CB003" w14:textId="77777777" w:rsidTr="000B08C9">
        <w:trPr>
          <w:trHeight w:val="698"/>
        </w:trPr>
        <w:tc>
          <w:tcPr>
            <w:tcW w:w="5245" w:type="dxa"/>
            <w:shd w:val="clear" w:color="auto" w:fill="auto"/>
            <w:vAlign w:val="center"/>
            <w:hideMark/>
          </w:tcPr>
          <w:p w14:paraId="40FB56A4"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lastRenderedPageBreak/>
              <w:t>2. Среднемесячная заработная плата работников сельского хозяйства (без субъектов малого предпринимательства), рублей</w:t>
            </w:r>
          </w:p>
        </w:tc>
        <w:tc>
          <w:tcPr>
            <w:tcW w:w="1275" w:type="dxa"/>
            <w:shd w:val="clear" w:color="auto" w:fill="auto"/>
            <w:vAlign w:val="center"/>
            <w:hideMark/>
          </w:tcPr>
          <w:p w14:paraId="0537B3BD"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Министерство АПК</w:t>
            </w:r>
          </w:p>
        </w:tc>
        <w:tc>
          <w:tcPr>
            <w:tcW w:w="993" w:type="dxa"/>
            <w:shd w:val="clear" w:color="auto" w:fill="auto"/>
            <w:vAlign w:val="center"/>
            <w:hideMark/>
          </w:tcPr>
          <w:p w14:paraId="44F70B3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w:t>
            </w:r>
          </w:p>
        </w:tc>
        <w:tc>
          <w:tcPr>
            <w:tcW w:w="992" w:type="dxa"/>
            <w:shd w:val="clear" w:color="auto" w:fill="auto"/>
            <w:vAlign w:val="center"/>
            <w:hideMark/>
          </w:tcPr>
          <w:p w14:paraId="54750CC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w:t>
            </w:r>
          </w:p>
        </w:tc>
        <w:tc>
          <w:tcPr>
            <w:tcW w:w="1139" w:type="dxa"/>
            <w:shd w:val="clear" w:color="auto" w:fill="auto"/>
            <w:vAlign w:val="center"/>
            <w:hideMark/>
          </w:tcPr>
          <w:p w14:paraId="2976F333"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w:t>
            </w:r>
          </w:p>
        </w:tc>
      </w:tr>
      <w:tr w:rsidR="00FD7B0B" w:rsidRPr="00FD7B0B" w14:paraId="1BFAC268" w14:textId="77777777" w:rsidTr="000B08C9">
        <w:trPr>
          <w:trHeight w:hRule="exact" w:val="255"/>
        </w:trPr>
        <w:tc>
          <w:tcPr>
            <w:tcW w:w="5245" w:type="dxa"/>
            <w:shd w:val="clear" w:color="auto" w:fill="auto"/>
            <w:vAlign w:val="center"/>
            <w:hideMark/>
          </w:tcPr>
          <w:p w14:paraId="25D93DAE"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2022 год </w:t>
            </w:r>
          </w:p>
        </w:tc>
        <w:tc>
          <w:tcPr>
            <w:tcW w:w="1275" w:type="dxa"/>
            <w:shd w:val="clear" w:color="auto" w:fill="auto"/>
            <w:vAlign w:val="center"/>
            <w:hideMark/>
          </w:tcPr>
          <w:p w14:paraId="1A2006D8"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59B33CA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43 839</w:t>
            </w:r>
          </w:p>
        </w:tc>
        <w:tc>
          <w:tcPr>
            <w:tcW w:w="992" w:type="dxa"/>
            <w:shd w:val="clear" w:color="auto" w:fill="auto"/>
            <w:vAlign w:val="center"/>
            <w:hideMark/>
          </w:tcPr>
          <w:p w14:paraId="4C2A7E47"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50 360,0 </w:t>
            </w:r>
          </w:p>
        </w:tc>
        <w:tc>
          <w:tcPr>
            <w:tcW w:w="1139" w:type="dxa"/>
            <w:shd w:val="clear" w:color="auto" w:fill="auto"/>
            <w:vAlign w:val="center"/>
            <w:hideMark/>
          </w:tcPr>
          <w:p w14:paraId="153B38B2"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114,9</w:t>
            </w:r>
          </w:p>
        </w:tc>
      </w:tr>
      <w:tr w:rsidR="00FD7B0B" w:rsidRPr="00FD7B0B" w14:paraId="5FC9117E" w14:textId="77777777" w:rsidTr="000B08C9">
        <w:trPr>
          <w:trHeight w:hRule="exact" w:val="255"/>
        </w:trPr>
        <w:tc>
          <w:tcPr>
            <w:tcW w:w="5245" w:type="dxa"/>
            <w:shd w:val="clear" w:color="auto" w:fill="auto"/>
            <w:vAlign w:val="center"/>
            <w:hideMark/>
          </w:tcPr>
          <w:p w14:paraId="7E00DD07"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2023 год </w:t>
            </w:r>
          </w:p>
        </w:tc>
        <w:tc>
          <w:tcPr>
            <w:tcW w:w="1275" w:type="dxa"/>
            <w:shd w:val="clear" w:color="auto" w:fill="auto"/>
            <w:vAlign w:val="center"/>
            <w:hideMark/>
          </w:tcPr>
          <w:p w14:paraId="022C602A"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7B71E03B"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46 075</w:t>
            </w:r>
          </w:p>
        </w:tc>
        <w:tc>
          <w:tcPr>
            <w:tcW w:w="992" w:type="dxa"/>
            <w:shd w:val="clear" w:color="auto" w:fill="auto"/>
            <w:vAlign w:val="center"/>
            <w:hideMark/>
          </w:tcPr>
          <w:p w14:paraId="5AB42162"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54 904 </w:t>
            </w:r>
          </w:p>
        </w:tc>
        <w:tc>
          <w:tcPr>
            <w:tcW w:w="1139" w:type="dxa"/>
            <w:shd w:val="clear" w:color="auto" w:fill="auto"/>
            <w:vAlign w:val="center"/>
            <w:hideMark/>
          </w:tcPr>
          <w:p w14:paraId="4B71976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119,2</w:t>
            </w:r>
          </w:p>
        </w:tc>
      </w:tr>
      <w:tr w:rsidR="00FD7B0B" w:rsidRPr="00FD7B0B" w14:paraId="2813BC4C" w14:textId="77777777" w:rsidTr="000B08C9">
        <w:trPr>
          <w:trHeight w:hRule="exact" w:val="255"/>
        </w:trPr>
        <w:tc>
          <w:tcPr>
            <w:tcW w:w="5245" w:type="dxa"/>
            <w:shd w:val="clear" w:color="auto" w:fill="auto"/>
            <w:vAlign w:val="center"/>
          </w:tcPr>
          <w:p w14:paraId="3FB103E3"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31.12.2023</w:t>
            </w:r>
          </w:p>
        </w:tc>
        <w:tc>
          <w:tcPr>
            <w:tcW w:w="1275" w:type="dxa"/>
            <w:shd w:val="clear" w:color="auto" w:fill="auto"/>
            <w:vAlign w:val="center"/>
          </w:tcPr>
          <w:p w14:paraId="04EEF1A3"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5DB8A95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48 425</w:t>
            </w:r>
          </w:p>
        </w:tc>
        <w:tc>
          <w:tcPr>
            <w:tcW w:w="992" w:type="dxa"/>
            <w:shd w:val="clear" w:color="auto" w:fill="auto"/>
            <w:vAlign w:val="center"/>
          </w:tcPr>
          <w:p w14:paraId="1045787A"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tcPr>
          <w:p w14:paraId="542B9C3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1CFAE888" w14:textId="77777777" w:rsidTr="000B08C9">
        <w:trPr>
          <w:trHeight w:hRule="exact" w:val="255"/>
        </w:trPr>
        <w:tc>
          <w:tcPr>
            <w:tcW w:w="5245" w:type="dxa"/>
            <w:shd w:val="clear" w:color="auto" w:fill="auto"/>
            <w:vAlign w:val="center"/>
          </w:tcPr>
          <w:p w14:paraId="182B87CD"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01.04.2024</w:t>
            </w:r>
          </w:p>
        </w:tc>
        <w:tc>
          <w:tcPr>
            <w:tcW w:w="1275" w:type="dxa"/>
            <w:shd w:val="clear" w:color="auto" w:fill="auto"/>
            <w:vAlign w:val="center"/>
          </w:tcPr>
          <w:p w14:paraId="5905954B"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463D4592"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48 425</w:t>
            </w:r>
          </w:p>
        </w:tc>
        <w:tc>
          <w:tcPr>
            <w:tcW w:w="992" w:type="dxa"/>
            <w:shd w:val="clear" w:color="auto" w:fill="auto"/>
            <w:vAlign w:val="center"/>
          </w:tcPr>
          <w:p w14:paraId="37A2DE63"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tcPr>
          <w:p w14:paraId="7E3A4877"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5796D6C1" w14:textId="77777777" w:rsidTr="000B08C9">
        <w:trPr>
          <w:trHeight w:hRule="exact" w:val="255"/>
        </w:trPr>
        <w:tc>
          <w:tcPr>
            <w:tcW w:w="5245" w:type="dxa"/>
            <w:shd w:val="clear" w:color="auto" w:fill="auto"/>
            <w:vAlign w:val="center"/>
          </w:tcPr>
          <w:p w14:paraId="60B76114"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27.12.2024</w:t>
            </w:r>
          </w:p>
        </w:tc>
        <w:tc>
          <w:tcPr>
            <w:tcW w:w="1275" w:type="dxa"/>
            <w:shd w:val="clear" w:color="auto" w:fill="auto"/>
            <w:vAlign w:val="center"/>
          </w:tcPr>
          <w:p w14:paraId="76141487"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7B647E31"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48 425</w:t>
            </w:r>
          </w:p>
        </w:tc>
        <w:tc>
          <w:tcPr>
            <w:tcW w:w="992" w:type="dxa"/>
            <w:shd w:val="clear" w:color="auto" w:fill="auto"/>
            <w:vAlign w:val="center"/>
          </w:tcPr>
          <w:p w14:paraId="594A2771"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67 448,8</w:t>
            </w:r>
          </w:p>
        </w:tc>
        <w:tc>
          <w:tcPr>
            <w:tcW w:w="1139" w:type="dxa"/>
            <w:shd w:val="clear" w:color="auto" w:fill="auto"/>
            <w:vAlign w:val="center"/>
          </w:tcPr>
          <w:p w14:paraId="0CD80DD2"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139,3</w:t>
            </w:r>
          </w:p>
        </w:tc>
      </w:tr>
      <w:tr w:rsidR="00FD7B0B" w:rsidRPr="00FD7B0B" w14:paraId="6360AC64" w14:textId="77777777" w:rsidTr="000B08C9">
        <w:trPr>
          <w:trHeight w:hRule="exact" w:val="255"/>
        </w:trPr>
        <w:tc>
          <w:tcPr>
            <w:tcW w:w="5245" w:type="dxa"/>
            <w:shd w:val="clear" w:color="auto" w:fill="auto"/>
            <w:vAlign w:val="center"/>
          </w:tcPr>
          <w:p w14:paraId="50B97D0F"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2025 год в редакции действующей на 27.12.2024</w:t>
            </w:r>
          </w:p>
        </w:tc>
        <w:tc>
          <w:tcPr>
            <w:tcW w:w="1275" w:type="dxa"/>
            <w:shd w:val="clear" w:color="auto" w:fill="auto"/>
            <w:vAlign w:val="center"/>
          </w:tcPr>
          <w:p w14:paraId="76FF8535"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43A63D83"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50 894</w:t>
            </w:r>
          </w:p>
        </w:tc>
        <w:tc>
          <w:tcPr>
            <w:tcW w:w="992" w:type="dxa"/>
            <w:shd w:val="clear" w:color="auto" w:fill="auto"/>
            <w:vAlign w:val="center"/>
          </w:tcPr>
          <w:p w14:paraId="5B929CC9"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c>
          <w:tcPr>
            <w:tcW w:w="1139" w:type="dxa"/>
            <w:shd w:val="clear" w:color="auto" w:fill="auto"/>
            <w:vAlign w:val="center"/>
          </w:tcPr>
          <w:p w14:paraId="2295AED3"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073B6E3B" w14:textId="77777777" w:rsidTr="000B08C9">
        <w:trPr>
          <w:trHeight w:val="116"/>
        </w:trPr>
        <w:tc>
          <w:tcPr>
            <w:tcW w:w="5245" w:type="dxa"/>
            <w:shd w:val="clear" w:color="auto" w:fill="auto"/>
            <w:vAlign w:val="center"/>
            <w:hideMark/>
          </w:tcPr>
          <w:p w14:paraId="0EC26D12"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 Индекс производства пищевых продуктов (в сопоставимых ценах) к уровню 2020 года, процентов</w:t>
            </w:r>
          </w:p>
        </w:tc>
        <w:tc>
          <w:tcPr>
            <w:tcW w:w="1275" w:type="dxa"/>
            <w:shd w:val="clear" w:color="auto" w:fill="auto"/>
            <w:vAlign w:val="center"/>
            <w:hideMark/>
          </w:tcPr>
          <w:p w14:paraId="53DEFEDD"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Министерство АПК</w:t>
            </w:r>
          </w:p>
        </w:tc>
        <w:tc>
          <w:tcPr>
            <w:tcW w:w="993" w:type="dxa"/>
            <w:shd w:val="clear" w:color="auto" w:fill="auto"/>
            <w:vAlign w:val="center"/>
            <w:hideMark/>
          </w:tcPr>
          <w:p w14:paraId="2CE44E63"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992" w:type="dxa"/>
            <w:shd w:val="clear" w:color="auto" w:fill="auto"/>
            <w:vAlign w:val="center"/>
            <w:hideMark/>
          </w:tcPr>
          <w:p w14:paraId="4D9FE73C"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w:t>
            </w:r>
          </w:p>
        </w:tc>
        <w:tc>
          <w:tcPr>
            <w:tcW w:w="1139" w:type="dxa"/>
            <w:shd w:val="clear" w:color="auto" w:fill="auto"/>
            <w:vAlign w:val="center"/>
            <w:hideMark/>
          </w:tcPr>
          <w:p w14:paraId="0A76B647"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6723FD76" w14:textId="77777777" w:rsidTr="000B08C9">
        <w:trPr>
          <w:trHeight w:hRule="exact" w:val="255"/>
        </w:trPr>
        <w:tc>
          <w:tcPr>
            <w:tcW w:w="5245" w:type="dxa"/>
            <w:shd w:val="clear" w:color="auto" w:fill="auto"/>
            <w:vAlign w:val="center"/>
            <w:hideMark/>
          </w:tcPr>
          <w:p w14:paraId="0E0075E6"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2020 год (базовый)</w:t>
            </w:r>
          </w:p>
        </w:tc>
        <w:tc>
          <w:tcPr>
            <w:tcW w:w="1275" w:type="dxa"/>
            <w:shd w:val="clear" w:color="auto" w:fill="auto"/>
            <w:vAlign w:val="center"/>
            <w:hideMark/>
          </w:tcPr>
          <w:p w14:paraId="42B7AF54"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1BCDFAE4"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992" w:type="dxa"/>
            <w:shd w:val="clear" w:color="auto" w:fill="auto"/>
            <w:vAlign w:val="center"/>
            <w:hideMark/>
          </w:tcPr>
          <w:p w14:paraId="481EBA5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91,4</w:t>
            </w:r>
          </w:p>
        </w:tc>
        <w:tc>
          <w:tcPr>
            <w:tcW w:w="1139" w:type="dxa"/>
            <w:shd w:val="clear" w:color="auto" w:fill="auto"/>
            <w:vAlign w:val="center"/>
            <w:hideMark/>
          </w:tcPr>
          <w:p w14:paraId="5DDFA0AD"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2BD7BE64" w14:textId="77777777" w:rsidTr="000B08C9">
        <w:trPr>
          <w:trHeight w:hRule="exact" w:val="255"/>
        </w:trPr>
        <w:tc>
          <w:tcPr>
            <w:tcW w:w="5245" w:type="dxa"/>
            <w:shd w:val="clear" w:color="auto" w:fill="auto"/>
            <w:vAlign w:val="center"/>
            <w:hideMark/>
          </w:tcPr>
          <w:p w14:paraId="6ABF984B"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2021 год</w:t>
            </w:r>
          </w:p>
        </w:tc>
        <w:tc>
          <w:tcPr>
            <w:tcW w:w="1275" w:type="dxa"/>
            <w:shd w:val="clear" w:color="auto" w:fill="auto"/>
            <w:vAlign w:val="center"/>
            <w:hideMark/>
          </w:tcPr>
          <w:p w14:paraId="53425BD2"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33C97AAE"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100,1</w:t>
            </w:r>
          </w:p>
        </w:tc>
        <w:tc>
          <w:tcPr>
            <w:tcW w:w="992" w:type="dxa"/>
            <w:shd w:val="clear" w:color="auto" w:fill="auto"/>
            <w:vAlign w:val="center"/>
            <w:hideMark/>
          </w:tcPr>
          <w:p w14:paraId="5374348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92,6</w:t>
            </w:r>
          </w:p>
        </w:tc>
        <w:tc>
          <w:tcPr>
            <w:tcW w:w="1139" w:type="dxa"/>
            <w:shd w:val="clear" w:color="auto" w:fill="auto"/>
            <w:vAlign w:val="center"/>
            <w:hideMark/>
          </w:tcPr>
          <w:p w14:paraId="2C11398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92,5</w:t>
            </w:r>
          </w:p>
        </w:tc>
      </w:tr>
      <w:tr w:rsidR="00FD7B0B" w:rsidRPr="00FD7B0B" w14:paraId="2B10B7E8" w14:textId="77777777" w:rsidTr="000B08C9">
        <w:trPr>
          <w:trHeight w:hRule="exact" w:val="255"/>
        </w:trPr>
        <w:tc>
          <w:tcPr>
            <w:tcW w:w="5245" w:type="dxa"/>
            <w:shd w:val="clear" w:color="auto" w:fill="auto"/>
            <w:vAlign w:val="center"/>
            <w:hideMark/>
          </w:tcPr>
          <w:p w14:paraId="0EAFC278"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2022 год </w:t>
            </w:r>
          </w:p>
        </w:tc>
        <w:tc>
          <w:tcPr>
            <w:tcW w:w="1275" w:type="dxa"/>
            <w:shd w:val="clear" w:color="auto" w:fill="auto"/>
            <w:vAlign w:val="center"/>
            <w:hideMark/>
          </w:tcPr>
          <w:p w14:paraId="07C43BA8"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0E314924"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100,6</w:t>
            </w:r>
          </w:p>
        </w:tc>
        <w:tc>
          <w:tcPr>
            <w:tcW w:w="992" w:type="dxa"/>
            <w:shd w:val="clear" w:color="auto" w:fill="auto"/>
            <w:vAlign w:val="center"/>
            <w:hideMark/>
          </w:tcPr>
          <w:p w14:paraId="13CFAAE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97,5</w:t>
            </w:r>
          </w:p>
        </w:tc>
        <w:tc>
          <w:tcPr>
            <w:tcW w:w="1139" w:type="dxa"/>
            <w:shd w:val="clear" w:color="auto" w:fill="auto"/>
            <w:vAlign w:val="center"/>
            <w:hideMark/>
          </w:tcPr>
          <w:p w14:paraId="20DBCB3D"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96,9</w:t>
            </w:r>
          </w:p>
        </w:tc>
      </w:tr>
      <w:tr w:rsidR="00FD7B0B" w:rsidRPr="00FD7B0B" w14:paraId="798272BD" w14:textId="77777777" w:rsidTr="000B08C9">
        <w:trPr>
          <w:trHeight w:hRule="exact" w:val="255"/>
        </w:trPr>
        <w:tc>
          <w:tcPr>
            <w:tcW w:w="5245" w:type="dxa"/>
            <w:shd w:val="clear" w:color="auto" w:fill="auto"/>
            <w:vAlign w:val="center"/>
            <w:hideMark/>
          </w:tcPr>
          <w:p w14:paraId="3B6C0377"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2023 год </w:t>
            </w:r>
          </w:p>
        </w:tc>
        <w:tc>
          <w:tcPr>
            <w:tcW w:w="1275" w:type="dxa"/>
            <w:shd w:val="clear" w:color="auto" w:fill="auto"/>
            <w:vAlign w:val="center"/>
            <w:hideMark/>
          </w:tcPr>
          <w:p w14:paraId="39CDD14F"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27E39ED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100,1</w:t>
            </w:r>
          </w:p>
        </w:tc>
        <w:tc>
          <w:tcPr>
            <w:tcW w:w="992" w:type="dxa"/>
            <w:shd w:val="clear" w:color="auto" w:fill="auto"/>
            <w:vAlign w:val="center"/>
            <w:hideMark/>
          </w:tcPr>
          <w:p w14:paraId="6250669B"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96,1</w:t>
            </w:r>
          </w:p>
        </w:tc>
        <w:tc>
          <w:tcPr>
            <w:tcW w:w="1139" w:type="dxa"/>
            <w:shd w:val="clear" w:color="auto" w:fill="auto"/>
            <w:vAlign w:val="center"/>
            <w:hideMark/>
          </w:tcPr>
          <w:p w14:paraId="417D285E"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96,0</w:t>
            </w:r>
          </w:p>
        </w:tc>
      </w:tr>
      <w:tr w:rsidR="00FD7B0B" w:rsidRPr="00FD7B0B" w14:paraId="55D5A503" w14:textId="77777777" w:rsidTr="000B08C9">
        <w:trPr>
          <w:trHeight w:hRule="exact" w:val="255"/>
        </w:trPr>
        <w:tc>
          <w:tcPr>
            <w:tcW w:w="5245" w:type="dxa"/>
            <w:shd w:val="clear" w:color="auto" w:fill="auto"/>
            <w:vAlign w:val="center"/>
          </w:tcPr>
          <w:p w14:paraId="1C78BFA3"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31.12.2023</w:t>
            </w:r>
          </w:p>
        </w:tc>
        <w:tc>
          <w:tcPr>
            <w:tcW w:w="1275" w:type="dxa"/>
            <w:shd w:val="clear" w:color="auto" w:fill="auto"/>
            <w:vAlign w:val="center"/>
          </w:tcPr>
          <w:p w14:paraId="5F5C972C"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7E204D5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100,1</w:t>
            </w:r>
          </w:p>
        </w:tc>
        <w:tc>
          <w:tcPr>
            <w:tcW w:w="992" w:type="dxa"/>
            <w:shd w:val="clear" w:color="auto" w:fill="auto"/>
            <w:vAlign w:val="center"/>
          </w:tcPr>
          <w:p w14:paraId="38442B6B"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tcPr>
          <w:p w14:paraId="2A428ADA"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52B3CEF6" w14:textId="77777777" w:rsidTr="000B08C9">
        <w:trPr>
          <w:trHeight w:hRule="exact" w:val="255"/>
        </w:trPr>
        <w:tc>
          <w:tcPr>
            <w:tcW w:w="5245" w:type="dxa"/>
            <w:shd w:val="clear" w:color="auto" w:fill="auto"/>
            <w:vAlign w:val="center"/>
          </w:tcPr>
          <w:p w14:paraId="00283970"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01.04.2024</w:t>
            </w:r>
          </w:p>
        </w:tc>
        <w:tc>
          <w:tcPr>
            <w:tcW w:w="1275" w:type="dxa"/>
            <w:shd w:val="clear" w:color="auto" w:fill="auto"/>
            <w:vAlign w:val="center"/>
          </w:tcPr>
          <w:p w14:paraId="22302CE5"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2D37114E"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97,3</w:t>
            </w:r>
          </w:p>
        </w:tc>
        <w:tc>
          <w:tcPr>
            <w:tcW w:w="992" w:type="dxa"/>
            <w:shd w:val="clear" w:color="auto" w:fill="auto"/>
            <w:vAlign w:val="center"/>
          </w:tcPr>
          <w:p w14:paraId="349FA37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tcPr>
          <w:p w14:paraId="6B4F0D0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740C60B5" w14:textId="77777777" w:rsidTr="000B08C9">
        <w:trPr>
          <w:trHeight w:hRule="exact" w:val="255"/>
        </w:trPr>
        <w:tc>
          <w:tcPr>
            <w:tcW w:w="5245" w:type="dxa"/>
            <w:shd w:val="clear" w:color="auto" w:fill="auto"/>
            <w:vAlign w:val="center"/>
          </w:tcPr>
          <w:p w14:paraId="5717924D"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27.12.2024</w:t>
            </w:r>
          </w:p>
        </w:tc>
        <w:tc>
          <w:tcPr>
            <w:tcW w:w="1275" w:type="dxa"/>
            <w:shd w:val="clear" w:color="auto" w:fill="auto"/>
            <w:vAlign w:val="center"/>
          </w:tcPr>
          <w:p w14:paraId="3E547322"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48D1AD0D"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92,7</w:t>
            </w:r>
          </w:p>
        </w:tc>
        <w:tc>
          <w:tcPr>
            <w:tcW w:w="992" w:type="dxa"/>
            <w:shd w:val="clear" w:color="auto" w:fill="auto"/>
            <w:vAlign w:val="center"/>
          </w:tcPr>
          <w:p w14:paraId="2EE8B36D"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103,7</w:t>
            </w:r>
          </w:p>
        </w:tc>
        <w:tc>
          <w:tcPr>
            <w:tcW w:w="1139" w:type="dxa"/>
            <w:shd w:val="clear" w:color="auto" w:fill="auto"/>
            <w:vAlign w:val="center"/>
          </w:tcPr>
          <w:p w14:paraId="30381F0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111,9</w:t>
            </w:r>
          </w:p>
        </w:tc>
      </w:tr>
      <w:tr w:rsidR="00FD7B0B" w:rsidRPr="00FD7B0B" w14:paraId="5ADF4C1A" w14:textId="77777777" w:rsidTr="000B08C9">
        <w:trPr>
          <w:trHeight w:hRule="exact" w:val="255"/>
        </w:trPr>
        <w:tc>
          <w:tcPr>
            <w:tcW w:w="5245" w:type="dxa"/>
            <w:shd w:val="clear" w:color="auto" w:fill="auto"/>
            <w:vAlign w:val="center"/>
          </w:tcPr>
          <w:p w14:paraId="19E6ECED"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2025 год в редакции действующей на 27.12.2024</w:t>
            </w:r>
          </w:p>
        </w:tc>
        <w:tc>
          <w:tcPr>
            <w:tcW w:w="1275" w:type="dxa"/>
            <w:shd w:val="clear" w:color="auto" w:fill="auto"/>
            <w:vAlign w:val="center"/>
          </w:tcPr>
          <w:p w14:paraId="4B1C0C99"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0E1C34E2"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94,8</w:t>
            </w:r>
          </w:p>
        </w:tc>
        <w:tc>
          <w:tcPr>
            <w:tcW w:w="992" w:type="dxa"/>
            <w:shd w:val="clear" w:color="auto" w:fill="auto"/>
            <w:vAlign w:val="center"/>
          </w:tcPr>
          <w:p w14:paraId="6B2579C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c>
          <w:tcPr>
            <w:tcW w:w="1139" w:type="dxa"/>
            <w:shd w:val="clear" w:color="auto" w:fill="auto"/>
            <w:vAlign w:val="center"/>
          </w:tcPr>
          <w:p w14:paraId="17BD7933"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02C13B5D" w14:textId="77777777" w:rsidTr="000B08C9">
        <w:trPr>
          <w:trHeight w:val="234"/>
        </w:trPr>
        <w:tc>
          <w:tcPr>
            <w:tcW w:w="5245" w:type="dxa"/>
            <w:shd w:val="clear" w:color="auto" w:fill="auto"/>
            <w:vAlign w:val="center"/>
            <w:hideMark/>
          </w:tcPr>
          <w:p w14:paraId="43777296" w14:textId="77777777" w:rsidR="000B08C9" w:rsidRPr="00FD7B0B" w:rsidRDefault="000B08C9" w:rsidP="000B08C9">
            <w:pPr>
              <w:autoSpaceDE w:val="0"/>
              <w:autoSpaceDN w:val="0"/>
              <w:adjustRightInd w:val="0"/>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4. </w:t>
            </w:r>
            <w:r w:rsidRPr="00FD7B0B">
              <w:rPr>
                <w:rFonts w:ascii="Times New Roman" w:hAnsi="Times New Roman" w:cs="Times New Roman"/>
                <w:sz w:val="20"/>
                <w:szCs w:val="20"/>
              </w:rPr>
              <w:t>Площадь вовлеченных в оборот земель сельскохозяйственного назначения, нарастающим итогом, тысяч гектар</w:t>
            </w:r>
          </w:p>
        </w:tc>
        <w:tc>
          <w:tcPr>
            <w:tcW w:w="1275" w:type="dxa"/>
            <w:shd w:val="clear" w:color="auto" w:fill="auto"/>
            <w:vAlign w:val="center"/>
            <w:hideMark/>
          </w:tcPr>
          <w:p w14:paraId="5873C8F8"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Министерство АПК</w:t>
            </w:r>
          </w:p>
        </w:tc>
        <w:tc>
          <w:tcPr>
            <w:tcW w:w="993" w:type="dxa"/>
            <w:shd w:val="clear" w:color="auto" w:fill="auto"/>
            <w:vAlign w:val="center"/>
            <w:hideMark/>
          </w:tcPr>
          <w:p w14:paraId="6CF1C22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w:t>
            </w:r>
          </w:p>
        </w:tc>
        <w:tc>
          <w:tcPr>
            <w:tcW w:w="992" w:type="dxa"/>
            <w:shd w:val="clear" w:color="auto" w:fill="auto"/>
            <w:vAlign w:val="center"/>
            <w:hideMark/>
          </w:tcPr>
          <w:p w14:paraId="11B37B17"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w:t>
            </w:r>
          </w:p>
        </w:tc>
        <w:tc>
          <w:tcPr>
            <w:tcW w:w="1139" w:type="dxa"/>
            <w:shd w:val="clear" w:color="auto" w:fill="auto"/>
            <w:vAlign w:val="center"/>
            <w:hideMark/>
          </w:tcPr>
          <w:p w14:paraId="2D85D821"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454E44BF" w14:textId="77777777" w:rsidTr="000B08C9">
        <w:trPr>
          <w:trHeight w:hRule="exact" w:val="255"/>
        </w:trPr>
        <w:tc>
          <w:tcPr>
            <w:tcW w:w="5245" w:type="dxa"/>
            <w:shd w:val="clear" w:color="auto" w:fill="auto"/>
            <w:vAlign w:val="center"/>
            <w:hideMark/>
          </w:tcPr>
          <w:p w14:paraId="4A0F1C4D"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01.04.2024</w:t>
            </w:r>
          </w:p>
        </w:tc>
        <w:tc>
          <w:tcPr>
            <w:tcW w:w="1275" w:type="dxa"/>
            <w:shd w:val="clear" w:color="auto" w:fill="auto"/>
            <w:vAlign w:val="center"/>
            <w:hideMark/>
          </w:tcPr>
          <w:p w14:paraId="40BD94AF"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43FDDED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30,1767</w:t>
            </w:r>
          </w:p>
        </w:tc>
        <w:tc>
          <w:tcPr>
            <w:tcW w:w="992" w:type="dxa"/>
            <w:shd w:val="clear" w:color="auto" w:fill="auto"/>
            <w:vAlign w:val="center"/>
            <w:hideMark/>
          </w:tcPr>
          <w:p w14:paraId="7D5A625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hideMark/>
          </w:tcPr>
          <w:p w14:paraId="0F7CE44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620586A6" w14:textId="77777777" w:rsidTr="000B08C9">
        <w:trPr>
          <w:trHeight w:hRule="exact" w:val="255"/>
        </w:trPr>
        <w:tc>
          <w:tcPr>
            <w:tcW w:w="5245" w:type="dxa"/>
            <w:shd w:val="clear" w:color="auto" w:fill="auto"/>
            <w:vAlign w:val="center"/>
            <w:hideMark/>
          </w:tcPr>
          <w:p w14:paraId="66B01BC4"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27.12.2024</w:t>
            </w:r>
          </w:p>
        </w:tc>
        <w:tc>
          <w:tcPr>
            <w:tcW w:w="1275" w:type="dxa"/>
            <w:shd w:val="clear" w:color="auto" w:fill="auto"/>
            <w:vAlign w:val="center"/>
            <w:hideMark/>
          </w:tcPr>
          <w:p w14:paraId="0D2619E1"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09BB80E4" w14:textId="77777777" w:rsidR="000B08C9" w:rsidRPr="00FD7B0B" w:rsidRDefault="000B08C9" w:rsidP="000B08C9">
            <w:pPr>
              <w:spacing w:after="0" w:line="240" w:lineRule="auto"/>
              <w:jc w:val="center"/>
              <w:rPr>
                <w:rFonts w:ascii="Times New Roman" w:eastAsia="Times New Roman" w:hAnsi="Times New Roman"/>
                <w:b/>
                <w:sz w:val="20"/>
                <w:szCs w:val="20"/>
                <w:lang w:eastAsia="ru-RU"/>
              </w:rPr>
            </w:pPr>
            <w:r w:rsidRPr="00FD7B0B">
              <w:rPr>
                <w:rFonts w:ascii="Times New Roman" w:eastAsia="Times New Roman" w:hAnsi="Times New Roman"/>
                <w:b/>
                <w:sz w:val="20"/>
                <w:szCs w:val="20"/>
                <w:lang w:eastAsia="ru-RU"/>
              </w:rPr>
              <w:t>30,4287</w:t>
            </w:r>
          </w:p>
        </w:tc>
        <w:tc>
          <w:tcPr>
            <w:tcW w:w="992" w:type="dxa"/>
            <w:shd w:val="clear" w:color="auto" w:fill="auto"/>
            <w:vAlign w:val="center"/>
            <w:hideMark/>
          </w:tcPr>
          <w:p w14:paraId="794C6E7C" w14:textId="77777777" w:rsidR="000B08C9" w:rsidRPr="00FD7B0B" w:rsidRDefault="000B08C9" w:rsidP="000B08C9">
            <w:pPr>
              <w:spacing w:after="0" w:line="240" w:lineRule="auto"/>
              <w:jc w:val="center"/>
              <w:rPr>
                <w:rFonts w:ascii="Times New Roman" w:eastAsia="Times New Roman" w:hAnsi="Times New Roman"/>
                <w:b/>
                <w:sz w:val="20"/>
                <w:szCs w:val="20"/>
                <w:lang w:eastAsia="ru-RU"/>
              </w:rPr>
            </w:pPr>
            <w:r w:rsidRPr="00FD7B0B">
              <w:rPr>
                <w:rFonts w:ascii="Times New Roman" w:eastAsia="Times New Roman" w:hAnsi="Times New Roman"/>
                <w:b/>
                <w:sz w:val="20"/>
                <w:szCs w:val="20"/>
                <w:lang w:eastAsia="ru-RU"/>
              </w:rPr>
              <w:t>2,9868</w:t>
            </w:r>
          </w:p>
        </w:tc>
        <w:tc>
          <w:tcPr>
            <w:tcW w:w="1139" w:type="dxa"/>
            <w:shd w:val="clear" w:color="auto" w:fill="auto"/>
            <w:vAlign w:val="center"/>
            <w:hideMark/>
          </w:tcPr>
          <w:p w14:paraId="04378C14"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100,00</w:t>
            </w:r>
          </w:p>
        </w:tc>
      </w:tr>
      <w:tr w:rsidR="00FD7B0B" w:rsidRPr="00FD7B0B" w14:paraId="664D481E" w14:textId="77777777" w:rsidTr="000B08C9">
        <w:trPr>
          <w:trHeight w:hRule="exact" w:val="255"/>
        </w:trPr>
        <w:tc>
          <w:tcPr>
            <w:tcW w:w="5245" w:type="dxa"/>
            <w:shd w:val="clear" w:color="auto" w:fill="auto"/>
            <w:vAlign w:val="center"/>
            <w:hideMark/>
          </w:tcPr>
          <w:p w14:paraId="090B6EAB"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2025 год в редакции действующей на 27.12.2024</w:t>
            </w:r>
          </w:p>
        </w:tc>
        <w:tc>
          <w:tcPr>
            <w:tcW w:w="1275" w:type="dxa"/>
            <w:shd w:val="clear" w:color="auto" w:fill="auto"/>
            <w:vAlign w:val="center"/>
            <w:hideMark/>
          </w:tcPr>
          <w:p w14:paraId="16A139DD"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hideMark/>
          </w:tcPr>
          <w:p w14:paraId="42359F6A"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65,6746</w:t>
            </w:r>
          </w:p>
        </w:tc>
        <w:tc>
          <w:tcPr>
            <w:tcW w:w="992" w:type="dxa"/>
            <w:shd w:val="clear" w:color="auto" w:fill="auto"/>
            <w:vAlign w:val="center"/>
            <w:hideMark/>
          </w:tcPr>
          <w:p w14:paraId="1E316DF7"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hideMark/>
          </w:tcPr>
          <w:p w14:paraId="69546901"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1D480CD7" w14:textId="77777777" w:rsidTr="000B08C9">
        <w:trPr>
          <w:trHeight w:hRule="exact" w:val="707"/>
        </w:trPr>
        <w:tc>
          <w:tcPr>
            <w:tcW w:w="5245" w:type="dxa"/>
            <w:shd w:val="clear" w:color="auto" w:fill="auto"/>
            <w:vAlign w:val="center"/>
          </w:tcPr>
          <w:p w14:paraId="3DD4914C" w14:textId="77777777" w:rsidR="000B08C9" w:rsidRPr="00FD7B0B" w:rsidRDefault="000B08C9" w:rsidP="000B08C9">
            <w:pPr>
              <w:autoSpaceDE w:val="0"/>
              <w:autoSpaceDN w:val="0"/>
              <w:adjustRightInd w:val="0"/>
              <w:spacing w:after="0" w:line="240" w:lineRule="auto"/>
              <w:rPr>
                <w:rFonts w:ascii="Times New Roman" w:hAnsi="Times New Roman" w:cs="Times New Roman"/>
                <w:sz w:val="20"/>
                <w:szCs w:val="20"/>
              </w:rPr>
            </w:pPr>
            <w:r w:rsidRPr="00FD7B0B">
              <w:rPr>
                <w:rFonts w:ascii="Times New Roman" w:eastAsia="Times New Roman" w:hAnsi="Times New Roman"/>
                <w:sz w:val="20"/>
                <w:szCs w:val="20"/>
                <w:lang w:eastAsia="ru-RU"/>
              </w:rPr>
              <w:t>5.</w:t>
            </w:r>
            <w:r w:rsidRPr="00FD7B0B">
              <w:rPr>
                <w:rFonts w:ascii="Times New Roman" w:hAnsi="Times New Roman" w:cs="Times New Roman"/>
                <w:sz w:val="20"/>
                <w:szCs w:val="20"/>
              </w:rPr>
              <w:t xml:space="preserve"> Площадь земель, сохраненных в сельскохозяйственном обороте за счет проведения мелиоративных мероприятий, тысяч гектар</w:t>
            </w:r>
          </w:p>
          <w:p w14:paraId="1ED6E7C1"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1275" w:type="dxa"/>
            <w:shd w:val="clear" w:color="auto" w:fill="auto"/>
            <w:vAlign w:val="center"/>
          </w:tcPr>
          <w:p w14:paraId="3585941B"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608FA41A"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992" w:type="dxa"/>
            <w:shd w:val="clear" w:color="auto" w:fill="auto"/>
            <w:vAlign w:val="center"/>
          </w:tcPr>
          <w:p w14:paraId="0197608D"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139" w:type="dxa"/>
            <w:shd w:val="clear" w:color="auto" w:fill="auto"/>
            <w:vAlign w:val="center"/>
          </w:tcPr>
          <w:p w14:paraId="275FB24D"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6B0EE5CA" w14:textId="77777777" w:rsidTr="000B08C9">
        <w:trPr>
          <w:trHeight w:hRule="exact" w:val="255"/>
        </w:trPr>
        <w:tc>
          <w:tcPr>
            <w:tcW w:w="5245" w:type="dxa"/>
            <w:shd w:val="clear" w:color="auto" w:fill="auto"/>
            <w:vAlign w:val="center"/>
          </w:tcPr>
          <w:p w14:paraId="7021636A"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01.04.2024</w:t>
            </w:r>
          </w:p>
        </w:tc>
        <w:tc>
          <w:tcPr>
            <w:tcW w:w="1275" w:type="dxa"/>
            <w:shd w:val="clear" w:color="auto" w:fill="auto"/>
            <w:vAlign w:val="center"/>
          </w:tcPr>
          <w:p w14:paraId="4BEFD0C1"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4A286C4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2,6132</w:t>
            </w:r>
          </w:p>
        </w:tc>
        <w:tc>
          <w:tcPr>
            <w:tcW w:w="992" w:type="dxa"/>
            <w:shd w:val="clear" w:color="auto" w:fill="auto"/>
            <w:vAlign w:val="center"/>
          </w:tcPr>
          <w:p w14:paraId="0BCEDCC7"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c>
          <w:tcPr>
            <w:tcW w:w="1139" w:type="dxa"/>
            <w:shd w:val="clear" w:color="auto" w:fill="auto"/>
            <w:vAlign w:val="center"/>
          </w:tcPr>
          <w:p w14:paraId="19F870D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r w:rsidR="00FD7B0B" w:rsidRPr="00FD7B0B" w14:paraId="17D209DC" w14:textId="77777777" w:rsidTr="000B08C9">
        <w:trPr>
          <w:trHeight w:hRule="exact" w:val="255"/>
        </w:trPr>
        <w:tc>
          <w:tcPr>
            <w:tcW w:w="5245" w:type="dxa"/>
            <w:shd w:val="clear" w:color="auto" w:fill="auto"/>
            <w:vAlign w:val="center"/>
          </w:tcPr>
          <w:p w14:paraId="35925ADD"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2024 год в редакции действующей на 27.12.2024</w:t>
            </w:r>
          </w:p>
        </w:tc>
        <w:tc>
          <w:tcPr>
            <w:tcW w:w="1275" w:type="dxa"/>
            <w:shd w:val="clear" w:color="auto" w:fill="auto"/>
            <w:vAlign w:val="center"/>
          </w:tcPr>
          <w:p w14:paraId="4AB49A17"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0D883AFA"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2,6056</w:t>
            </w:r>
          </w:p>
        </w:tc>
        <w:tc>
          <w:tcPr>
            <w:tcW w:w="992" w:type="dxa"/>
            <w:shd w:val="clear" w:color="auto" w:fill="auto"/>
            <w:vAlign w:val="center"/>
          </w:tcPr>
          <w:p w14:paraId="3E4B3B66"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2,6056</w:t>
            </w:r>
          </w:p>
        </w:tc>
        <w:tc>
          <w:tcPr>
            <w:tcW w:w="1139" w:type="dxa"/>
            <w:shd w:val="clear" w:color="auto" w:fill="auto"/>
            <w:vAlign w:val="center"/>
          </w:tcPr>
          <w:p w14:paraId="673282D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100,0</w:t>
            </w:r>
          </w:p>
        </w:tc>
      </w:tr>
      <w:tr w:rsidR="00FD7B0B" w:rsidRPr="00FD7B0B" w14:paraId="1F995ADA" w14:textId="77777777" w:rsidTr="000B08C9">
        <w:trPr>
          <w:trHeight w:hRule="exact" w:val="255"/>
        </w:trPr>
        <w:tc>
          <w:tcPr>
            <w:tcW w:w="5245" w:type="dxa"/>
            <w:shd w:val="clear" w:color="auto" w:fill="auto"/>
            <w:vAlign w:val="center"/>
          </w:tcPr>
          <w:p w14:paraId="6FD106A6" w14:textId="77777777" w:rsidR="000B08C9" w:rsidRPr="00FD7B0B" w:rsidRDefault="000B08C9" w:rsidP="000B08C9">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2025 год в редакции действующей на 27.12.2024</w:t>
            </w:r>
          </w:p>
        </w:tc>
        <w:tc>
          <w:tcPr>
            <w:tcW w:w="1275" w:type="dxa"/>
            <w:shd w:val="clear" w:color="auto" w:fill="auto"/>
            <w:vAlign w:val="center"/>
          </w:tcPr>
          <w:p w14:paraId="40F90451"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p>
        </w:tc>
        <w:tc>
          <w:tcPr>
            <w:tcW w:w="993" w:type="dxa"/>
            <w:shd w:val="clear" w:color="auto" w:fill="auto"/>
            <w:vAlign w:val="center"/>
          </w:tcPr>
          <w:p w14:paraId="2C27749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4,7189</w:t>
            </w:r>
          </w:p>
        </w:tc>
        <w:tc>
          <w:tcPr>
            <w:tcW w:w="992" w:type="dxa"/>
            <w:shd w:val="clear" w:color="auto" w:fill="auto"/>
            <w:vAlign w:val="center"/>
          </w:tcPr>
          <w:p w14:paraId="00AF89B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c>
          <w:tcPr>
            <w:tcW w:w="1139" w:type="dxa"/>
            <w:shd w:val="clear" w:color="auto" w:fill="auto"/>
            <w:vAlign w:val="center"/>
          </w:tcPr>
          <w:p w14:paraId="6941E274"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r>
    </w:tbl>
    <w:p w14:paraId="593F32E9"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p>
    <w:p w14:paraId="0A6E1BA1" w14:textId="29DB76E9"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итогам 2024 года все показатели выполнены (согласно пояснению министерства АПК, выполнение по показателю</w:t>
      </w:r>
      <w:r w:rsidRPr="00FD7B0B">
        <w:rPr>
          <w:rFonts w:ascii="Times New Roman" w:hAnsi="Times New Roman" w:cs="Times New Roman"/>
          <w:sz w:val="28"/>
          <w:szCs w:val="28"/>
        </w:rPr>
        <w:t xml:space="preserve"> «Площадь вовлеченных в оборот земель сельскохозяйственного назначения, нарастающим итогом, тысяч гектар» составило 100</w:t>
      </w:r>
      <w:r w:rsidR="00B7277D" w:rsidRPr="00FD7B0B">
        <w:rPr>
          <w:rFonts w:ascii="Times New Roman" w:hAnsi="Times New Roman" w:cs="Times New Roman"/>
          <w:sz w:val="28"/>
          <w:szCs w:val="28"/>
        </w:rPr>
        <w:t xml:space="preserve"> </w:t>
      </w:r>
      <w:r w:rsidRPr="00FD7B0B">
        <w:rPr>
          <w:rFonts w:ascii="Times New Roman" w:hAnsi="Times New Roman" w:cs="Times New Roman"/>
          <w:sz w:val="28"/>
          <w:szCs w:val="28"/>
        </w:rPr>
        <w:t xml:space="preserve">%, некорректное отражение планового показателя в соглашении с Министерством сельского </w:t>
      </w:r>
      <w:r w:rsidRPr="00FD7B0B">
        <w:rPr>
          <w:rFonts w:ascii="Times New Roman" w:eastAsia="Calibri" w:hAnsi="Times New Roman" w:cs="Times New Roman"/>
          <w:sz w:val="28"/>
          <w:szCs w:val="28"/>
        </w:rPr>
        <w:t>хозяйства РФ и технической возможности его корректировки в ГИИС «Электронный бюджет» (наличие технических проблем в работе ГИИС «Электронный бюджет»).</w:t>
      </w:r>
    </w:p>
    <w:p w14:paraId="3D2696C0"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итогам 2024 года значительно перевыполнен показатель по среднемесячной заработной плате работников сельского хозяйства (без субъектов малого предпринимательства). Отмечаем, что на протяжении четырех лет по показателю фактические значения значительно превышают запланированные, что свидетельствует о недостатках планирования значений показателя.</w:t>
      </w:r>
    </w:p>
    <w:p w14:paraId="0C72247C" w14:textId="085E8482"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Сведения о выполнении показателей ГП № 05, а также о расходах на их выполнение за счет всех источников, отражены в таблице </w:t>
      </w:r>
      <w:r w:rsidR="00A41985" w:rsidRPr="00FD7B0B">
        <w:rPr>
          <w:rFonts w:ascii="Times New Roman" w:eastAsia="Calibri" w:hAnsi="Times New Roman" w:cs="Times New Roman"/>
          <w:sz w:val="28"/>
          <w:szCs w:val="28"/>
        </w:rPr>
        <w:t>119</w:t>
      </w:r>
      <w:r w:rsidRPr="00FD7B0B">
        <w:rPr>
          <w:rFonts w:ascii="Times New Roman" w:eastAsia="Calibri" w:hAnsi="Times New Roman" w:cs="Times New Roman"/>
          <w:sz w:val="28"/>
          <w:szCs w:val="28"/>
        </w:rPr>
        <w:t>.</w:t>
      </w:r>
    </w:p>
    <w:p w14:paraId="11EE6FA2"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p>
    <w:p w14:paraId="2D0E1C1C" w14:textId="77777777" w:rsidR="00A41985" w:rsidRPr="00FD7B0B" w:rsidRDefault="00A41985" w:rsidP="000B08C9">
      <w:pPr>
        <w:spacing w:after="0" w:line="240" w:lineRule="auto"/>
        <w:rPr>
          <w:rFonts w:ascii="Times New Roman" w:eastAsia="Calibri" w:hAnsi="Times New Roman" w:cs="Times New Roman"/>
          <w:bCs/>
          <w:sz w:val="24"/>
          <w:szCs w:val="24"/>
        </w:rPr>
      </w:pPr>
    </w:p>
    <w:p w14:paraId="11593072" w14:textId="77777777" w:rsidR="00A41985" w:rsidRPr="00FD7B0B" w:rsidRDefault="00A41985" w:rsidP="000B08C9">
      <w:pPr>
        <w:spacing w:after="0" w:line="240" w:lineRule="auto"/>
        <w:rPr>
          <w:rFonts w:ascii="Times New Roman" w:eastAsia="Calibri" w:hAnsi="Times New Roman" w:cs="Times New Roman"/>
          <w:bCs/>
          <w:sz w:val="24"/>
          <w:szCs w:val="24"/>
        </w:rPr>
      </w:pPr>
    </w:p>
    <w:p w14:paraId="033D5161"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lastRenderedPageBreak/>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119</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Сведения о выполнении целевых показателей ГП № 05, а также о расходах на их выполнение за 2024 год</w:t>
      </w:r>
    </w:p>
    <w:tbl>
      <w:tblPr>
        <w:tblW w:w="9650" w:type="dxa"/>
        <w:tblInd w:w="-34" w:type="dxa"/>
        <w:tblLayout w:type="fixed"/>
        <w:tblLook w:val="04A0" w:firstRow="1" w:lastRow="0" w:firstColumn="1" w:lastColumn="0" w:noHBand="0" w:noVBand="1"/>
      </w:tblPr>
      <w:tblGrid>
        <w:gridCol w:w="2563"/>
        <w:gridCol w:w="850"/>
        <w:gridCol w:w="851"/>
        <w:gridCol w:w="1003"/>
        <w:gridCol w:w="992"/>
        <w:gridCol w:w="1407"/>
        <w:gridCol w:w="992"/>
        <w:gridCol w:w="992"/>
      </w:tblGrid>
      <w:tr w:rsidR="00FD7B0B" w:rsidRPr="00FD7B0B" w14:paraId="532C8C0A" w14:textId="77777777" w:rsidTr="000B08C9">
        <w:trPr>
          <w:trHeight w:val="358"/>
          <w:tblHeader/>
        </w:trPr>
        <w:tc>
          <w:tcPr>
            <w:tcW w:w="256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2679A34"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Подпрограмма</w:t>
            </w:r>
          </w:p>
        </w:tc>
        <w:tc>
          <w:tcPr>
            <w:tcW w:w="2704" w:type="dxa"/>
            <w:gridSpan w:val="3"/>
            <w:tcBorders>
              <w:top w:val="double" w:sz="6" w:space="0" w:color="auto"/>
              <w:left w:val="single" w:sz="4" w:space="0" w:color="auto"/>
              <w:bottom w:val="single" w:sz="4" w:space="0" w:color="auto"/>
              <w:right w:val="single" w:sz="4" w:space="0" w:color="auto"/>
            </w:tcBorders>
            <w:shd w:val="clear" w:color="auto" w:fill="auto"/>
            <w:vAlign w:val="center"/>
            <w:hideMark/>
          </w:tcPr>
          <w:p w14:paraId="3B939DED"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Кол-во показателей на 2024 год, согласно предварительному </w:t>
            </w:r>
          </w:p>
          <w:p w14:paraId="291E6032"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отчету за 2024 год</w:t>
            </w:r>
          </w:p>
        </w:tc>
        <w:tc>
          <w:tcPr>
            <w:tcW w:w="2399"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0D5D2281"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Объем финансирования ГП № 05 на 2024 год (согласно отчету о реализации)</w:t>
            </w:r>
          </w:p>
        </w:tc>
        <w:tc>
          <w:tcPr>
            <w:tcW w:w="1984" w:type="dxa"/>
            <w:gridSpan w:val="2"/>
            <w:tcBorders>
              <w:top w:val="double" w:sz="6" w:space="0" w:color="auto"/>
              <w:left w:val="single" w:sz="4" w:space="0" w:color="auto"/>
              <w:bottom w:val="single" w:sz="4" w:space="0" w:color="auto"/>
              <w:right w:val="double" w:sz="6" w:space="0" w:color="000000"/>
            </w:tcBorders>
            <w:shd w:val="clear" w:color="auto" w:fill="auto"/>
            <w:vAlign w:val="center"/>
            <w:hideMark/>
          </w:tcPr>
          <w:p w14:paraId="49015527"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Исполнено согласно отчету о реализации госпрограммы</w:t>
            </w:r>
          </w:p>
        </w:tc>
      </w:tr>
      <w:tr w:rsidR="00FD7B0B" w:rsidRPr="00FD7B0B" w14:paraId="3FE80497" w14:textId="77777777" w:rsidTr="000B08C9">
        <w:trPr>
          <w:trHeight w:val="450"/>
          <w:tblHeader/>
        </w:trPr>
        <w:tc>
          <w:tcPr>
            <w:tcW w:w="2563" w:type="dxa"/>
            <w:vMerge/>
            <w:tcBorders>
              <w:top w:val="single" w:sz="4" w:space="0" w:color="auto"/>
              <w:left w:val="double" w:sz="6" w:space="0" w:color="auto"/>
              <w:bottom w:val="single" w:sz="4" w:space="0" w:color="auto"/>
              <w:right w:val="single" w:sz="4" w:space="0" w:color="auto"/>
            </w:tcBorders>
            <w:shd w:val="clear" w:color="auto" w:fill="auto"/>
            <w:vAlign w:val="center"/>
            <w:hideMark/>
          </w:tcPr>
          <w:p w14:paraId="6F05316C" w14:textId="77777777" w:rsidR="000B08C9" w:rsidRPr="00FD7B0B" w:rsidRDefault="000B08C9" w:rsidP="000B08C9">
            <w:pPr>
              <w:spacing w:after="0" w:line="240" w:lineRule="auto"/>
              <w:rPr>
                <w:rFonts w:ascii="Times New Roman" w:eastAsia="Times New Roman" w:hAnsi="Times New Roman"/>
                <w:sz w:val="16"/>
                <w:szCs w:val="16"/>
                <w:lang w:eastAsia="ru-RU"/>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45FB9D"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План</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D287C8"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Фактическое выполнение</w:t>
            </w:r>
          </w:p>
        </w:tc>
        <w:tc>
          <w:tcPr>
            <w:tcW w:w="10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AFE404"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выполнения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B378F"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млн.руб.</w:t>
            </w:r>
          </w:p>
        </w:tc>
        <w:tc>
          <w:tcPr>
            <w:tcW w:w="14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1F3514"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изменение к показателю на 09.01.2024, %</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4408B8"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млн.руб.</w:t>
            </w:r>
          </w:p>
        </w:tc>
        <w:tc>
          <w:tcPr>
            <w:tcW w:w="992" w:type="dxa"/>
            <w:vMerge w:val="restart"/>
            <w:tcBorders>
              <w:top w:val="single" w:sz="4" w:space="0" w:color="auto"/>
              <w:left w:val="single" w:sz="4" w:space="0" w:color="auto"/>
              <w:bottom w:val="single" w:sz="4" w:space="0" w:color="auto"/>
              <w:right w:val="double" w:sz="6" w:space="0" w:color="auto"/>
            </w:tcBorders>
            <w:shd w:val="clear" w:color="auto" w:fill="auto"/>
            <w:vAlign w:val="center"/>
            <w:hideMark/>
          </w:tcPr>
          <w:p w14:paraId="590F6D7C"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выполнения</w:t>
            </w:r>
          </w:p>
        </w:tc>
      </w:tr>
      <w:tr w:rsidR="00FD7B0B" w:rsidRPr="00FD7B0B" w14:paraId="2C807CC0" w14:textId="77777777" w:rsidTr="000B08C9">
        <w:trPr>
          <w:trHeight w:val="450"/>
          <w:tblHeader/>
        </w:trPr>
        <w:tc>
          <w:tcPr>
            <w:tcW w:w="2563" w:type="dxa"/>
            <w:vMerge/>
            <w:tcBorders>
              <w:top w:val="single" w:sz="4" w:space="0" w:color="auto"/>
              <w:left w:val="double" w:sz="6" w:space="0" w:color="auto"/>
              <w:bottom w:val="single" w:sz="4" w:space="0" w:color="auto"/>
              <w:right w:val="single" w:sz="4" w:space="0" w:color="auto"/>
            </w:tcBorders>
            <w:shd w:val="clear" w:color="auto" w:fill="auto"/>
            <w:vAlign w:val="center"/>
            <w:hideMark/>
          </w:tcPr>
          <w:p w14:paraId="4304E6D4"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1821EB"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D9F21C"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10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2A0FC9"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AAC7658"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140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545167D"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7C9174"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992" w:type="dxa"/>
            <w:vMerge/>
            <w:tcBorders>
              <w:top w:val="single" w:sz="4" w:space="0" w:color="auto"/>
              <w:left w:val="single" w:sz="4" w:space="0" w:color="auto"/>
              <w:bottom w:val="single" w:sz="4" w:space="0" w:color="auto"/>
              <w:right w:val="double" w:sz="6" w:space="0" w:color="auto"/>
            </w:tcBorders>
            <w:shd w:val="clear" w:color="auto" w:fill="auto"/>
            <w:vAlign w:val="center"/>
            <w:hideMark/>
          </w:tcPr>
          <w:p w14:paraId="73E4D306" w14:textId="77777777" w:rsidR="000B08C9" w:rsidRPr="00FD7B0B" w:rsidRDefault="000B08C9" w:rsidP="000B08C9">
            <w:pPr>
              <w:spacing w:after="0" w:line="240" w:lineRule="auto"/>
              <w:rPr>
                <w:rFonts w:ascii="Times New Roman" w:eastAsia="Times New Roman" w:hAnsi="Times New Roman"/>
                <w:sz w:val="20"/>
                <w:szCs w:val="20"/>
                <w:lang w:eastAsia="ru-RU"/>
              </w:rPr>
            </w:pPr>
          </w:p>
        </w:tc>
      </w:tr>
      <w:tr w:rsidR="00FD7B0B" w:rsidRPr="00FD7B0B" w14:paraId="7A51C4E9" w14:textId="77777777" w:rsidTr="00A41985">
        <w:trPr>
          <w:trHeight w:hRule="exact" w:val="61"/>
          <w:tblHeader/>
        </w:trPr>
        <w:tc>
          <w:tcPr>
            <w:tcW w:w="2563" w:type="dxa"/>
            <w:vMerge/>
            <w:tcBorders>
              <w:top w:val="single" w:sz="4" w:space="0" w:color="auto"/>
              <w:left w:val="double" w:sz="6" w:space="0" w:color="auto"/>
              <w:bottom w:val="single" w:sz="4" w:space="0" w:color="auto"/>
              <w:right w:val="single" w:sz="4" w:space="0" w:color="auto"/>
            </w:tcBorders>
            <w:shd w:val="clear" w:color="auto" w:fill="auto"/>
            <w:vAlign w:val="center"/>
            <w:hideMark/>
          </w:tcPr>
          <w:p w14:paraId="583E970F"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35F4F6"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036B64"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10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3BB610"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482BE"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140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D88178"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EBDF9D" w14:textId="77777777" w:rsidR="000B08C9" w:rsidRPr="00FD7B0B" w:rsidRDefault="000B08C9" w:rsidP="000B08C9">
            <w:pPr>
              <w:spacing w:after="0" w:line="240" w:lineRule="auto"/>
              <w:rPr>
                <w:rFonts w:ascii="Times New Roman" w:eastAsia="Times New Roman" w:hAnsi="Times New Roman"/>
                <w:sz w:val="20"/>
                <w:szCs w:val="20"/>
                <w:lang w:eastAsia="ru-RU"/>
              </w:rPr>
            </w:pPr>
          </w:p>
        </w:tc>
        <w:tc>
          <w:tcPr>
            <w:tcW w:w="992" w:type="dxa"/>
            <w:vMerge/>
            <w:tcBorders>
              <w:top w:val="single" w:sz="4" w:space="0" w:color="auto"/>
              <w:left w:val="single" w:sz="4" w:space="0" w:color="auto"/>
              <w:bottom w:val="single" w:sz="4" w:space="0" w:color="auto"/>
              <w:right w:val="double" w:sz="6" w:space="0" w:color="auto"/>
            </w:tcBorders>
            <w:shd w:val="clear" w:color="auto" w:fill="auto"/>
            <w:vAlign w:val="center"/>
            <w:hideMark/>
          </w:tcPr>
          <w:p w14:paraId="74EE7029" w14:textId="77777777" w:rsidR="000B08C9" w:rsidRPr="00FD7B0B" w:rsidRDefault="000B08C9" w:rsidP="000B08C9">
            <w:pPr>
              <w:spacing w:after="0" w:line="240" w:lineRule="auto"/>
              <w:rPr>
                <w:rFonts w:ascii="Times New Roman" w:eastAsia="Times New Roman" w:hAnsi="Times New Roman"/>
                <w:sz w:val="20"/>
                <w:szCs w:val="20"/>
                <w:lang w:eastAsia="ru-RU"/>
              </w:rPr>
            </w:pPr>
          </w:p>
        </w:tc>
      </w:tr>
      <w:tr w:rsidR="00FD7B0B" w:rsidRPr="00FD7B0B" w14:paraId="2C6545EB" w14:textId="77777777" w:rsidTr="000B08C9">
        <w:trPr>
          <w:trHeight w:val="60"/>
        </w:trPr>
        <w:tc>
          <w:tcPr>
            <w:tcW w:w="2563"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2DFC0DC4"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8DA11"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28B0E"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0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D597F"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3=2/1*100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F4CEE"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w:t>
            </w:r>
          </w:p>
        </w:tc>
        <w:tc>
          <w:tcPr>
            <w:tcW w:w="14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7209A"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2A7B21"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w:t>
            </w:r>
          </w:p>
        </w:tc>
        <w:tc>
          <w:tcPr>
            <w:tcW w:w="992"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3BC269E5" w14:textId="77777777" w:rsidR="000B08C9" w:rsidRPr="00FD7B0B" w:rsidRDefault="000B08C9" w:rsidP="000B08C9">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w:t>
            </w:r>
          </w:p>
        </w:tc>
      </w:tr>
      <w:tr w:rsidR="00FD7B0B" w:rsidRPr="00FD7B0B" w14:paraId="588A5467" w14:textId="77777777" w:rsidTr="000B08C9">
        <w:trPr>
          <w:trHeight w:hRule="exact" w:val="255"/>
        </w:trPr>
        <w:tc>
          <w:tcPr>
            <w:tcW w:w="2563"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4438060A" w14:textId="77777777" w:rsidR="000B08C9" w:rsidRPr="00FD7B0B" w:rsidRDefault="000B08C9" w:rsidP="000B08C9">
            <w:pPr>
              <w:spacing w:after="0" w:line="240" w:lineRule="auto"/>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ГП № 05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C73EB"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07C061"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w:t>
            </w:r>
          </w:p>
        </w:tc>
        <w:tc>
          <w:tcPr>
            <w:tcW w:w="10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C4A6A"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6FA40B"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1407" w:type="dxa"/>
            <w:tcBorders>
              <w:top w:val="single" w:sz="4" w:space="0" w:color="auto"/>
              <w:left w:val="single" w:sz="4" w:space="0" w:color="auto"/>
              <w:bottom w:val="single" w:sz="4" w:space="0" w:color="auto"/>
              <w:right w:val="single" w:sz="4" w:space="0" w:color="auto"/>
            </w:tcBorders>
            <w:shd w:val="clear" w:color="auto" w:fill="auto"/>
            <w:vAlign w:val="center"/>
          </w:tcPr>
          <w:p w14:paraId="5EF5042C"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8AE0571"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c>
          <w:tcPr>
            <w:tcW w:w="992" w:type="dxa"/>
            <w:tcBorders>
              <w:top w:val="single" w:sz="4" w:space="0" w:color="auto"/>
              <w:left w:val="single" w:sz="4" w:space="0" w:color="auto"/>
              <w:bottom w:val="single" w:sz="4" w:space="0" w:color="auto"/>
              <w:right w:val="double" w:sz="6" w:space="0" w:color="auto"/>
            </w:tcBorders>
            <w:shd w:val="clear" w:color="auto" w:fill="auto"/>
            <w:vAlign w:val="center"/>
          </w:tcPr>
          <w:p w14:paraId="4713AAC0"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p>
        </w:tc>
      </w:tr>
      <w:tr w:rsidR="00FD7B0B" w:rsidRPr="00FD7B0B" w14:paraId="3FC8B899" w14:textId="77777777" w:rsidTr="000B08C9">
        <w:trPr>
          <w:trHeight w:hRule="exact" w:val="255"/>
        </w:trPr>
        <w:tc>
          <w:tcPr>
            <w:tcW w:w="2563"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4DD4C64A" w14:textId="77777777" w:rsidR="000B08C9" w:rsidRPr="00FD7B0B" w:rsidRDefault="000B08C9" w:rsidP="000B08C9">
            <w:pPr>
              <w:spacing w:after="0" w:line="240" w:lineRule="auto"/>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Проектная часть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7DAAC"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CF7DC"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14</w:t>
            </w:r>
          </w:p>
        </w:tc>
        <w:tc>
          <w:tcPr>
            <w:tcW w:w="10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DAB09"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82,4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73256"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883,4</w:t>
            </w:r>
          </w:p>
        </w:tc>
        <w:tc>
          <w:tcPr>
            <w:tcW w:w="14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304AE"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74F3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883,4</w:t>
            </w:r>
          </w:p>
        </w:tc>
        <w:tc>
          <w:tcPr>
            <w:tcW w:w="992"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5956E02C"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100,0</w:t>
            </w:r>
          </w:p>
          <w:p w14:paraId="74E2E71A"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3F39D8CB" w14:textId="77777777" w:rsidTr="000B08C9">
        <w:trPr>
          <w:trHeight w:hRule="exact" w:val="255"/>
        </w:trPr>
        <w:tc>
          <w:tcPr>
            <w:tcW w:w="2563"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125E8BA5" w14:textId="77777777" w:rsidR="000B08C9" w:rsidRPr="00FD7B0B" w:rsidRDefault="000B08C9" w:rsidP="000B08C9">
            <w:pPr>
              <w:spacing w:after="0" w:line="240" w:lineRule="auto"/>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Процессная часть</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FE60C"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94188"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w:t>
            </w:r>
          </w:p>
        </w:tc>
        <w:tc>
          <w:tcPr>
            <w:tcW w:w="10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4032E"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AD07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691,6</w:t>
            </w:r>
          </w:p>
        </w:tc>
        <w:tc>
          <w:tcPr>
            <w:tcW w:w="14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DCAF"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E3104"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696,2</w:t>
            </w:r>
          </w:p>
        </w:tc>
        <w:tc>
          <w:tcPr>
            <w:tcW w:w="992"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28BB41A5"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100,7</w:t>
            </w:r>
          </w:p>
          <w:p w14:paraId="32D20C97" w14:textId="77777777" w:rsidR="000B08C9" w:rsidRPr="00FD7B0B" w:rsidRDefault="000B08C9" w:rsidP="000B08C9">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w:t>
            </w:r>
          </w:p>
        </w:tc>
      </w:tr>
      <w:tr w:rsidR="00FD7B0B" w:rsidRPr="00FD7B0B" w14:paraId="38A70E45" w14:textId="77777777" w:rsidTr="000B08C9">
        <w:trPr>
          <w:trHeight w:val="140"/>
        </w:trPr>
        <w:tc>
          <w:tcPr>
            <w:tcW w:w="2563"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293EB8B7" w14:textId="77777777" w:rsidR="000B08C9" w:rsidRPr="00FD7B0B" w:rsidRDefault="000B08C9" w:rsidP="000B08C9">
            <w:pPr>
              <w:spacing w:after="0" w:line="240" w:lineRule="auto"/>
              <w:jc w:val="both"/>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Итого</w:t>
            </w:r>
          </w:p>
        </w:tc>
        <w:tc>
          <w:tcPr>
            <w:tcW w:w="850"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66411D91" w14:textId="77777777" w:rsidR="000B08C9" w:rsidRPr="00FD7B0B" w:rsidRDefault="000B08C9" w:rsidP="000B08C9">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27</w:t>
            </w:r>
          </w:p>
        </w:tc>
        <w:tc>
          <w:tcPr>
            <w:tcW w:w="851"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6B1842C0" w14:textId="77777777" w:rsidR="000B08C9" w:rsidRPr="00FD7B0B" w:rsidRDefault="000B08C9" w:rsidP="000B08C9">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24</w:t>
            </w:r>
          </w:p>
        </w:tc>
        <w:tc>
          <w:tcPr>
            <w:tcW w:w="1003"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1CC5C25A" w14:textId="77777777" w:rsidR="000B08C9" w:rsidRPr="00FD7B0B" w:rsidRDefault="000B08C9" w:rsidP="000B08C9">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88,9</w:t>
            </w:r>
          </w:p>
        </w:tc>
        <w:tc>
          <w:tcPr>
            <w:tcW w:w="992"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69BDC13F" w14:textId="77777777" w:rsidR="000B08C9" w:rsidRPr="00FD7B0B" w:rsidRDefault="000B08C9" w:rsidP="000B08C9">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1 575,0</w:t>
            </w:r>
          </w:p>
        </w:tc>
        <w:tc>
          <w:tcPr>
            <w:tcW w:w="1407"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2FAB83D3" w14:textId="77777777" w:rsidR="000B08C9" w:rsidRPr="00FD7B0B" w:rsidRDefault="000B08C9" w:rsidP="000B08C9">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98,6</w:t>
            </w:r>
          </w:p>
        </w:tc>
        <w:tc>
          <w:tcPr>
            <w:tcW w:w="992"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61ED0BBE" w14:textId="77777777" w:rsidR="000B08C9" w:rsidRPr="00FD7B0B" w:rsidRDefault="000B08C9" w:rsidP="000B08C9">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1 579,6</w:t>
            </w:r>
          </w:p>
        </w:tc>
        <w:tc>
          <w:tcPr>
            <w:tcW w:w="992" w:type="dxa"/>
            <w:tcBorders>
              <w:top w:val="single" w:sz="4" w:space="0" w:color="auto"/>
              <w:left w:val="single" w:sz="4" w:space="0" w:color="auto"/>
              <w:bottom w:val="double" w:sz="6" w:space="0" w:color="auto"/>
              <w:right w:val="single" w:sz="8" w:space="0" w:color="auto"/>
            </w:tcBorders>
            <w:shd w:val="clear" w:color="auto" w:fill="auto"/>
            <w:vAlign w:val="center"/>
            <w:hideMark/>
          </w:tcPr>
          <w:p w14:paraId="5DE86CE9" w14:textId="77777777" w:rsidR="000B08C9" w:rsidRPr="00FD7B0B" w:rsidRDefault="000B08C9" w:rsidP="000B08C9">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100,0</w:t>
            </w:r>
          </w:p>
        </w:tc>
      </w:tr>
    </w:tbl>
    <w:p w14:paraId="7BDB4EEB"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lang w:val="en-US"/>
        </w:rPr>
      </w:pPr>
    </w:p>
    <w:p w14:paraId="276F961E" w14:textId="2AC76CE3"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Уровень выполнения показателей по проектной части составил 82,4% при стопроцент</w:t>
      </w:r>
      <w:r w:rsidR="00B7277D" w:rsidRPr="00FD7B0B">
        <w:rPr>
          <w:rFonts w:ascii="Times New Roman" w:eastAsia="Calibri" w:hAnsi="Times New Roman" w:cs="Times New Roman"/>
          <w:sz w:val="28"/>
          <w:szCs w:val="28"/>
        </w:rPr>
        <w:t>ном финансировании мероприятий.</w:t>
      </w:r>
    </w:p>
    <w:p w14:paraId="7EDEC367" w14:textId="6DB4CBE1"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Не выполнен показатель по индексу производства продукции растениеводства к уровню 2020 года, при плане 92,6</w:t>
      </w:r>
      <w:r w:rsidR="00B7277D"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индекс составил 91,0</w:t>
      </w:r>
      <w:r w:rsidR="00B7277D"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согласно статистическим данным «Индексы производства продукции сельского хозяйства по категориям хозяйств» индекс производства продукции растениеводства по итогам 2024 года к 2023 году составил 94,7</w:t>
      </w:r>
      <w:r w:rsidR="00B7277D"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2023 год к 2022 году 99,0</w:t>
      </w:r>
      <w:r w:rsidR="00B7277D"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2022 год к 2021 году – 99,0</w:t>
      </w:r>
      <w:r w:rsidR="00B7277D"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2021 год к 2020 году 98,0</w:t>
      </w:r>
      <w:r w:rsidR="00B7277D"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w:t>
      </w:r>
    </w:p>
    <w:p w14:paraId="42FB43B3" w14:textId="3F8E0CD3" w:rsidR="000B08C9" w:rsidRPr="00FD7B0B" w:rsidRDefault="000B08C9" w:rsidP="000B08C9">
      <w:pPr>
        <w:autoSpaceDE w:val="0"/>
        <w:autoSpaceDN w:val="0"/>
        <w:adjustRightInd w:val="0"/>
        <w:spacing w:after="0" w:line="240" w:lineRule="auto"/>
        <w:ind w:firstLine="708"/>
        <w:jc w:val="both"/>
        <w:rPr>
          <w:rFonts w:ascii="Times New Roman" w:hAnsi="Times New Roman" w:cs="Times New Roman"/>
          <w:sz w:val="28"/>
          <w:szCs w:val="28"/>
        </w:rPr>
      </w:pPr>
      <w:r w:rsidRPr="00FD7B0B">
        <w:rPr>
          <w:rFonts w:ascii="Times New Roman" w:eastAsia="Calibri" w:hAnsi="Times New Roman" w:cs="Times New Roman"/>
          <w:sz w:val="28"/>
          <w:szCs w:val="28"/>
        </w:rPr>
        <w:t>Не выполнен показатель по доле К(Ф)Х и ИП в производстве продукции сельского хозяйства, при плановом показателе 5,0</w:t>
      </w:r>
      <w:r w:rsidR="00451119"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фактический - 3,9</w:t>
      </w:r>
      <w:r w:rsidR="00451119"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xml:space="preserve">%, согласно статистическим данным «Продукция сельского хозяйства по категориям хозяйств» в целом объём производства продукции сельского хозяйства за 2024 год составил 15 078,3 млн.руб, что ниже показателя, предусмотренного </w:t>
      </w:r>
      <w:r w:rsidRPr="00FD7B0B">
        <w:rPr>
          <w:rFonts w:ascii="Times New Roman" w:hAnsi="Times New Roman" w:cs="Times New Roman"/>
          <w:sz w:val="28"/>
          <w:szCs w:val="28"/>
        </w:rPr>
        <w:t>Стратегией социально-экономического развития Архангельской области до 2035 года (17,03 млрд.руб.)</w:t>
      </w:r>
      <w:r w:rsidR="00451119" w:rsidRPr="00FD7B0B">
        <w:rPr>
          <w:rFonts w:ascii="Times New Roman" w:hAnsi="Times New Roman" w:cs="Times New Roman"/>
          <w:sz w:val="28"/>
          <w:szCs w:val="28"/>
        </w:rPr>
        <w:t>.</w:t>
      </w:r>
    </w:p>
    <w:p w14:paraId="3C60F87A" w14:textId="4CBCFFFB"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Объём производства продукции сельского хозяйства за 2024 год от К(Ф)Х и ИП составил 583,1 млн.руб., что составляет 3,9%, в том числе по растениеводству доля составила 5,1</w:t>
      </w:r>
      <w:r w:rsidR="00451119"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по животноводству – 2,8</w:t>
      </w:r>
      <w:r w:rsidR="00451119"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w:t>
      </w:r>
    </w:p>
    <w:p w14:paraId="6F2940FA" w14:textId="042724AF" w:rsidR="000B08C9" w:rsidRPr="00FD7B0B" w:rsidRDefault="000B08C9" w:rsidP="000B08C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Не выполнен показатель по приросту объема производства картофеля в сельскохозяйственных организациях, К(Ф)Х и ИП к уровню 2021 году, при плане 1</w:t>
      </w:r>
      <w:r w:rsidR="00451119"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увеличения нет, согласно статистическим данным «О ходе уборки урожая на 1 ноября 2024 года в Архангельской области без НАО» валовый сбор картофеля составил 64,3 тысяч тонн, к 1 ноябрю 2023 года - 86,9</w:t>
      </w:r>
      <w:r w:rsidR="00451119"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 (снижение урожайности картофеля).</w:t>
      </w:r>
    </w:p>
    <w:p w14:paraId="1CAE9CCD"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highlight w:val="cyan"/>
        </w:rPr>
      </w:pPr>
    </w:p>
    <w:p w14:paraId="71C22030" w14:textId="77777777" w:rsidR="000B08C9" w:rsidRPr="00FD7B0B" w:rsidRDefault="000B08C9" w:rsidP="000B08C9">
      <w:pPr>
        <w:spacing w:after="0" w:line="240" w:lineRule="auto"/>
        <w:jc w:val="center"/>
        <w:rPr>
          <w:rFonts w:ascii="Times New Roman" w:hAnsi="Times New Roman" w:cs="Times New Roman"/>
          <w:b/>
          <w:sz w:val="28"/>
          <w:szCs w:val="28"/>
        </w:rPr>
      </w:pPr>
      <w:r w:rsidRPr="00FD7B0B">
        <w:rPr>
          <w:rFonts w:ascii="Times New Roman" w:eastAsia="Times New Roman" w:hAnsi="Times New Roman" w:cs="Times New Roman"/>
          <w:b/>
          <w:sz w:val="28"/>
          <w:szCs w:val="28"/>
          <w:lang w:eastAsia="ru-RU"/>
        </w:rPr>
        <w:t>Оценка реализации ГП № 05</w:t>
      </w:r>
      <w:r w:rsidRPr="00FD7B0B">
        <w:rPr>
          <w:rFonts w:ascii="Times New Roman" w:hAnsi="Times New Roman" w:cs="Times New Roman"/>
          <w:b/>
          <w:sz w:val="28"/>
          <w:szCs w:val="28"/>
        </w:rPr>
        <w:t xml:space="preserve"> согласно Методики оценки № 9К (1614))</w:t>
      </w:r>
    </w:p>
    <w:p w14:paraId="3F59C8B9" w14:textId="36C89E3B" w:rsidR="000B08C9" w:rsidRPr="00FD7B0B" w:rsidRDefault="000B08C9" w:rsidP="00451119">
      <w:pPr>
        <w:spacing w:after="0" w:line="240" w:lineRule="auto"/>
        <w:jc w:val="center"/>
        <w:rPr>
          <w:rFonts w:ascii="Times New Roman" w:eastAsia="Calibri" w:hAnsi="Times New Roman" w:cs="Times New Roman"/>
          <w:sz w:val="28"/>
          <w:szCs w:val="28"/>
        </w:rPr>
      </w:pPr>
      <w:r w:rsidRPr="00FD7B0B">
        <w:rPr>
          <w:rFonts w:ascii="Times New Roman" w:eastAsia="Calibri" w:hAnsi="Times New Roman" w:cs="Times New Roman"/>
          <w:sz w:val="28"/>
          <w:szCs w:val="28"/>
        </w:rPr>
        <w:t>Оценка исполнения ГП № 05 по ресурсам и результатам за 2024 год</w:t>
      </w:r>
      <w:r w:rsidR="00A41985" w:rsidRPr="00FD7B0B">
        <w:rPr>
          <w:rFonts w:ascii="Times New Roman" w:eastAsia="Calibri" w:hAnsi="Times New Roman" w:cs="Times New Roman"/>
          <w:sz w:val="28"/>
          <w:szCs w:val="28"/>
        </w:rPr>
        <w:t>.</w:t>
      </w:r>
    </w:p>
    <w:p w14:paraId="05995AA1" w14:textId="77777777" w:rsidR="00451119" w:rsidRPr="00FD7B0B" w:rsidRDefault="00451119" w:rsidP="000B08C9">
      <w:pPr>
        <w:spacing w:after="0" w:line="240" w:lineRule="auto"/>
        <w:rPr>
          <w:rFonts w:ascii="Times New Roman" w:eastAsia="Calibri" w:hAnsi="Times New Roman" w:cs="Times New Roman"/>
          <w:bCs/>
          <w:sz w:val="24"/>
          <w:szCs w:val="24"/>
        </w:rPr>
      </w:pPr>
    </w:p>
    <w:p w14:paraId="727641A3"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120</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xml:space="preserve">. Оценка кассового исполнения по расходам областного бюджета </w:t>
      </w:r>
    </w:p>
    <w:tbl>
      <w:tblPr>
        <w:tblStyle w:val="a7"/>
        <w:tblW w:w="9621" w:type="dxa"/>
        <w:tblInd w:w="-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101"/>
        <w:gridCol w:w="3068"/>
        <w:gridCol w:w="2452"/>
      </w:tblGrid>
      <w:tr w:rsidR="00FD7B0B" w:rsidRPr="00FD7B0B" w14:paraId="4FF333BF" w14:textId="77777777" w:rsidTr="00451119">
        <w:tc>
          <w:tcPr>
            <w:tcW w:w="4101" w:type="dxa"/>
          </w:tcPr>
          <w:p w14:paraId="3DC101A7"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Бюджетные ассигнования областного бюджета, запланированные на реализацию ГП № 05(в соответствии с показателями сводной бюджетной росписи областного бюджета на 31 декабря отчетного года), млн.руб.</w:t>
            </w:r>
          </w:p>
        </w:tc>
        <w:tc>
          <w:tcPr>
            <w:tcW w:w="3068" w:type="dxa"/>
          </w:tcPr>
          <w:p w14:paraId="30692BD3"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Кассовые расходы областного бюджета на реализацию ГП № 05 за отчетный год, млн.руб.</w:t>
            </w:r>
          </w:p>
        </w:tc>
        <w:tc>
          <w:tcPr>
            <w:tcW w:w="2452" w:type="dxa"/>
          </w:tcPr>
          <w:p w14:paraId="4DC3146B"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Степень кассового исполнения по расходам областного бюджета на реализацию ГП № 05 за отчетный год, %</w:t>
            </w:r>
          </w:p>
        </w:tc>
      </w:tr>
      <w:tr w:rsidR="00FD7B0B" w:rsidRPr="00FD7B0B" w14:paraId="7D7C857D" w14:textId="77777777" w:rsidTr="00451119">
        <w:tc>
          <w:tcPr>
            <w:tcW w:w="4101" w:type="dxa"/>
          </w:tcPr>
          <w:p w14:paraId="40150F49" w14:textId="77777777" w:rsidR="000B08C9" w:rsidRPr="00FD7B0B" w:rsidRDefault="000B08C9" w:rsidP="000B08C9">
            <w:pPr>
              <w:ind w:firstLine="142"/>
              <w:contextualSpacing/>
              <w:jc w:val="center"/>
              <w:rPr>
                <w:rFonts w:ascii="Times New Roman" w:eastAsia="Times New Roman" w:hAnsi="Times New Roman"/>
              </w:rPr>
            </w:pPr>
            <w:r w:rsidRPr="00FD7B0B">
              <w:rPr>
                <w:rFonts w:ascii="Times New Roman" w:eastAsia="Times New Roman" w:hAnsi="Times New Roman"/>
              </w:rPr>
              <w:t>1 575,0</w:t>
            </w:r>
          </w:p>
        </w:tc>
        <w:tc>
          <w:tcPr>
            <w:tcW w:w="3068" w:type="dxa"/>
          </w:tcPr>
          <w:p w14:paraId="02F848C0" w14:textId="77777777" w:rsidR="000B08C9" w:rsidRPr="00FD7B0B" w:rsidRDefault="000B08C9" w:rsidP="000B08C9">
            <w:pPr>
              <w:ind w:firstLine="142"/>
              <w:contextualSpacing/>
              <w:jc w:val="center"/>
              <w:rPr>
                <w:rFonts w:ascii="Times New Roman" w:eastAsia="Times New Roman" w:hAnsi="Times New Roman"/>
              </w:rPr>
            </w:pPr>
            <w:r w:rsidRPr="00FD7B0B">
              <w:rPr>
                <w:rFonts w:ascii="Times New Roman" w:eastAsia="Times New Roman" w:hAnsi="Times New Roman"/>
              </w:rPr>
              <w:t>1 574,8</w:t>
            </w:r>
          </w:p>
        </w:tc>
        <w:tc>
          <w:tcPr>
            <w:tcW w:w="2452" w:type="dxa"/>
          </w:tcPr>
          <w:p w14:paraId="0A0BB071" w14:textId="77777777" w:rsidR="000B08C9" w:rsidRPr="00FD7B0B" w:rsidRDefault="000B08C9" w:rsidP="000B08C9">
            <w:pPr>
              <w:ind w:firstLine="142"/>
              <w:contextualSpacing/>
              <w:jc w:val="center"/>
              <w:rPr>
                <w:rFonts w:ascii="Times New Roman" w:eastAsia="Times New Roman" w:hAnsi="Times New Roman"/>
              </w:rPr>
            </w:pPr>
            <w:r w:rsidRPr="00FD7B0B">
              <w:rPr>
                <w:rFonts w:ascii="Times New Roman" w:eastAsia="Times New Roman" w:hAnsi="Times New Roman"/>
              </w:rPr>
              <w:t>99,99</w:t>
            </w:r>
          </w:p>
        </w:tc>
      </w:tr>
      <w:tr w:rsidR="00FD7B0B" w:rsidRPr="00FD7B0B" w14:paraId="28260813" w14:textId="77777777" w:rsidTr="00451119">
        <w:tc>
          <w:tcPr>
            <w:tcW w:w="4101" w:type="dxa"/>
          </w:tcPr>
          <w:p w14:paraId="2D1A0436" w14:textId="77777777" w:rsidR="000B08C9" w:rsidRPr="00FD7B0B" w:rsidRDefault="000B08C9" w:rsidP="000B08C9">
            <w:pPr>
              <w:ind w:firstLine="142"/>
              <w:jc w:val="both"/>
              <w:rPr>
                <w:rFonts w:ascii="Times New Roman" w:hAnsi="Times New Roman"/>
              </w:rPr>
            </w:pPr>
            <w:r w:rsidRPr="00FD7B0B">
              <w:rPr>
                <w:rFonts w:ascii="Times New Roman" w:hAnsi="Times New Roman"/>
              </w:rPr>
              <w:t>Оценка</w:t>
            </w:r>
          </w:p>
        </w:tc>
        <w:tc>
          <w:tcPr>
            <w:tcW w:w="5520" w:type="dxa"/>
            <w:gridSpan w:val="2"/>
          </w:tcPr>
          <w:p w14:paraId="5A206741" w14:textId="77777777" w:rsidR="000B08C9" w:rsidRPr="00FD7B0B" w:rsidRDefault="000B08C9" w:rsidP="000B08C9">
            <w:pPr>
              <w:ind w:firstLine="142"/>
              <w:jc w:val="center"/>
              <w:rPr>
                <w:rFonts w:ascii="Times New Roman" w:hAnsi="Times New Roman"/>
              </w:rPr>
            </w:pPr>
            <w:r w:rsidRPr="00FD7B0B">
              <w:rPr>
                <w:rFonts w:ascii="Times New Roman" w:hAnsi="Times New Roman"/>
              </w:rPr>
              <w:t>«Высокий уровень»</w:t>
            </w:r>
          </w:p>
        </w:tc>
      </w:tr>
    </w:tbl>
    <w:p w14:paraId="5610841D" w14:textId="77777777" w:rsidR="000B08C9" w:rsidRPr="00FD7B0B" w:rsidRDefault="000B08C9" w:rsidP="000B08C9">
      <w:pPr>
        <w:spacing w:after="0" w:line="240" w:lineRule="auto"/>
        <w:ind w:firstLine="709"/>
        <w:contextualSpacing/>
        <w:jc w:val="center"/>
        <w:rPr>
          <w:rFonts w:ascii="Times New Roman" w:eastAsia="Times New Roman" w:hAnsi="Times New Roman" w:cs="Times New Roman"/>
          <w:sz w:val="24"/>
          <w:szCs w:val="24"/>
          <w:lang w:eastAsia="ru-RU"/>
        </w:rPr>
      </w:pPr>
    </w:p>
    <w:p w14:paraId="52A923C0"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121</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Анализ объема проектной части государственной программы</w:t>
      </w:r>
    </w:p>
    <w:tbl>
      <w:tblPr>
        <w:tblStyle w:val="a7"/>
        <w:tblW w:w="9630" w:type="dxa"/>
        <w:tblInd w:w="-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668"/>
        <w:gridCol w:w="3402"/>
        <w:gridCol w:w="1560"/>
      </w:tblGrid>
      <w:tr w:rsidR="00FD7B0B" w:rsidRPr="00FD7B0B" w14:paraId="3EDFD129" w14:textId="77777777" w:rsidTr="00451119">
        <w:tc>
          <w:tcPr>
            <w:tcW w:w="4668" w:type="dxa"/>
          </w:tcPr>
          <w:p w14:paraId="3DCD6713"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Объем расходов областного бюджета, направленных на реализацию федеральных (областных) проектов, ведомственных (областных) проектов, федеральных (областных) целевых программ, реализуемых в рамках государственной программы (в соответствии с показателями сводной бюджетной росписи областного бюджета на 31 декабря отчетного финансового года), млн.руб.</w:t>
            </w:r>
          </w:p>
        </w:tc>
        <w:tc>
          <w:tcPr>
            <w:tcW w:w="3402" w:type="dxa"/>
          </w:tcPr>
          <w:p w14:paraId="0BF81414"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Общий объем расходов областного бюджета, направленных на реализацию государственной программы (в соответствии с показателями сводной бюджетной росписи областного бюджета на 31 декабря отчетного финансового года), млн.руб.</w:t>
            </w:r>
          </w:p>
        </w:tc>
        <w:tc>
          <w:tcPr>
            <w:tcW w:w="1560" w:type="dxa"/>
          </w:tcPr>
          <w:p w14:paraId="47270461"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Доля проектной части государственной программы, в %</w:t>
            </w:r>
          </w:p>
        </w:tc>
      </w:tr>
      <w:tr w:rsidR="00FD7B0B" w:rsidRPr="00FD7B0B" w14:paraId="45797BE0" w14:textId="77777777" w:rsidTr="00451119">
        <w:trPr>
          <w:trHeight w:val="74"/>
        </w:trPr>
        <w:tc>
          <w:tcPr>
            <w:tcW w:w="4668" w:type="dxa"/>
          </w:tcPr>
          <w:p w14:paraId="2B67D628" w14:textId="77777777" w:rsidR="000B08C9" w:rsidRPr="00FD7B0B" w:rsidRDefault="000B08C9" w:rsidP="000B08C9">
            <w:pPr>
              <w:ind w:firstLine="709"/>
              <w:jc w:val="center"/>
              <w:rPr>
                <w:sz w:val="16"/>
                <w:szCs w:val="16"/>
              </w:rPr>
            </w:pPr>
            <w:r w:rsidRPr="00FD7B0B">
              <w:rPr>
                <w:rFonts w:ascii="Times New Roman" w:hAnsi="Times New Roman"/>
                <w:sz w:val="16"/>
                <w:szCs w:val="16"/>
              </w:rPr>
              <w:t>883,4</w:t>
            </w:r>
          </w:p>
        </w:tc>
        <w:tc>
          <w:tcPr>
            <w:tcW w:w="3402" w:type="dxa"/>
          </w:tcPr>
          <w:p w14:paraId="498F8237" w14:textId="77777777" w:rsidR="000B08C9" w:rsidRPr="00FD7B0B" w:rsidRDefault="000B08C9" w:rsidP="000B08C9">
            <w:pPr>
              <w:ind w:left="567" w:firstLine="709"/>
              <w:contextualSpacing/>
              <w:rPr>
                <w:rFonts w:ascii="Times New Roman" w:eastAsia="Times New Roman" w:hAnsi="Times New Roman"/>
                <w:sz w:val="16"/>
                <w:szCs w:val="16"/>
              </w:rPr>
            </w:pPr>
            <w:r w:rsidRPr="00FD7B0B">
              <w:rPr>
                <w:rFonts w:ascii="Times New Roman" w:eastAsia="Times New Roman" w:hAnsi="Times New Roman"/>
                <w:sz w:val="16"/>
                <w:szCs w:val="16"/>
              </w:rPr>
              <w:t>1 575,0</w:t>
            </w:r>
          </w:p>
        </w:tc>
        <w:tc>
          <w:tcPr>
            <w:tcW w:w="1560" w:type="dxa"/>
          </w:tcPr>
          <w:p w14:paraId="21834EF9" w14:textId="77777777" w:rsidR="000B08C9" w:rsidRPr="00FD7B0B" w:rsidRDefault="000B08C9" w:rsidP="000B08C9">
            <w:pPr>
              <w:ind w:left="567" w:firstLine="176"/>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56</w:t>
            </w:r>
          </w:p>
        </w:tc>
      </w:tr>
    </w:tbl>
    <w:p w14:paraId="60921CE9"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p>
    <w:p w14:paraId="606BFCFF" w14:textId="77777777" w:rsidR="000B08C9" w:rsidRPr="00FD7B0B" w:rsidRDefault="000B08C9" w:rsidP="0045111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122</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Оценка объема изменений, внесенных в сводную бюджетную роспись областного бюджета (в отчетном году)</w:t>
      </w:r>
    </w:p>
    <w:tbl>
      <w:tblPr>
        <w:tblStyle w:val="a7"/>
        <w:tblW w:w="9776" w:type="dxa"/>
        <w:jc w:val="center"/>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413"/>
        <w:gridCol w:w="3260"/>
        <w:gridCol w:w="3119"/>
        <w:gridCol w:w="1984"/>
      </w:tblGrid>
      <w:tr w:rsidR="00FD7B0B" w:rsidRPr="00FD7B0B" w14:paraId="54B79E26" w14:textId="77777777" w:rsidTr="000B08C9">
        <w:trPr>
          <w:jc w:val="center"/>
        </w:trPr>
        <w:tc>
          <w:tcPr>
            <w:tcW w:w="1413" w:type="dxa"/>
          </w:tcPr>
          <w:p w14:paraId="29D5A11F" w14:textId="77777777" w:rsidR="000B08C9" w:rsidRPr="00FD7B0B" w:rsidRDefault="000B08C9" w:rsidP="000B08C9">
            <w:pPr>
              <w:rPr>
                <w:rFonts w:ascii="Times New Roman" w:hAnsi="Times New Roman"/>
                <w:sz w:val="16"/>
                <w:szCs w:val="16"/>
              </w:rPr>
            </w:pPr>
          </w:p>
        </w:tc>
        <w:tc>
          <w:tcPr>
            <w:tcW w:w="3260" w:type="dxa"/>
          </w:tcPr>
          <w:p w14:paraId="0392FDFA"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Бюджетные ассигнования областного бюджета, запланированные на реализацию государственной программы (в соответствии с утвержденными показателями сводной бюджетной росписи областного бюджета на 1 января отчетного года), млн.руб.</w:t>
            </w:r>
          </w:p>
        </w:tc>
        <w:tc>
          <w:tcPr>
            <w:tcW w:w="3119" w:type="dxa"/>
            <w:shd w:val="clear" w:color="auto" w:fill="auto"/>
          </w:tcPr>
          <w:p w14:paraId="39261FE2"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Объем изменений, внесенных в сводную бюджетную роспись областного бюджета,</w:t>
            </w:r>
          </w:p>
          <w:p w14:paraId="06A2068F"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(Объем изменения (увеличения и (или) сокращения, внутреннего перераспределения) объема бюджетных ассигнований по государственной программе), млн.руб.</w:t>
            </w:r>
          </w:p>
        </w:tc>
        <w:tc>
          <w:tcPr>
            <w:tcW w:w="1984" w:type="dxa"/>
            <w:shd w:val="clear" w:color="auto" w:fill="auto"/>
          </w:tcPr>
          <w:p w14:paraId="10E24D2E"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Доля объема изменений (увеличения и (или) сокращения, внутреннего перераспределения) бюджетных ассигнований</w:t>
            </w:r>
          </w:p>
        </w:tc>
      </w:tr>
      <w:tr w:rsidR="00FD7B0B" w:rsidRPr="00FD7B0B" w14:paraId="65A7D541" w14:textId="77777777" w:rsidTr="000B08C9">
        <w:trPr>
          <w:jc w:val="center"/>
        </w:trPr>
        <w:tc>
          <w:tcPr>
            <w:tcW w:w="1413" w:type="dxa"/>
          </w:tcPr>
          <w:p w14:paraId="233AF9BD" w14:textId="77777777" w:rsidR="000B08C9" w:rsidRPr="00FD7B0B" w:rsidRDefault="000B08C9" w:rsidP="00451119">
            <w:pPr>
              <w:rPr>
                <w:rFonts w:ascii="Times New Roman" w:hAnsi="Times New Roman"/>
                <w:sz w:val="16"/>
                <w:szCs w:val="16"/>
              </w:rPr>
            </w:pPr>
            <w:r w:rsidRPr="00FD7B0B">
              <w:rPr>
                <w:rFonts w:ascii="Times New Roman" w:hAnsi="Times New Roman"/>
                <w:sz w:val="16"/>
                <w:szCs w:val="16"/>
              </w:rPr>
              <w:t>Министерство АПК</w:t>
            </w:r>
          </w:p>
        </w:tc>
        <w:tc>
          <w:tcPr>
            <w:tcW w:w="3260" w:type="dxa"/>
          </w:tcPr>
          <w:p w14:paraId="288B8AA6" w14:textId="77777777" w:rsidR="000B08C9" w:rsidRPr="00FD7B0B" w:rsidRDefault="000B08C9" w:rsidP="000B08C9">
            <w:pPr>
              <w:widowControl w:val="0"/>
              <w:autoSpaceDE w:val="0"/>
              <w:autoSpaceDN w:val="0"/>
              <w:adjustRightInd w:val="0"/>
              <w:ind w:firstLine="720"/>
              <w:jc w:val="center"/>
              <w:rPr>
                <w:rFonts w:ascii="Times New Roman" w:eastAsia="Times New Roman" w:hAnsi="Times New Roman"/>
                <w:sz w:val="16"/>
                <w:szCs w:val="16"/>
              </w:rPr>
            </w:pPr>
            <w:r w:rsidRPr="00FD7B0B">
              <w:rPr>
                <w:rFonts w:ascii="Times New Roman" w:eastAsia="Times New Roman" w:hAnsi="Times New Roman"/>
                <w:sz w:val="16"/>
                <w:szCs w:val="16"/>
              </w:rPr>
              <w:t>1 276,2</w:t>
            </w:r>
          </w:p>
        </w:tc>
        <w:tc>
          <w:tcPr>
            <w:tcW w:w="3119" w:type="dxa"/>
            <w:shd w:val="clear" w:color="auto" w:fill="auto"/>
          </w:tcPr>
          <w:p w14:paraId="0C52C49F" w14:textId="77777777" w:rsidR="000B08C9" w:rsidRPr="00FD7B0B" w:rsidRDefault="000B08C9" w:rsidP="000B08C9">
            <w:pPr>
              <w:widowControl w:val="0"/>
              <w:autoSpaceDE w:val="0"/>
              <w:autoSpaceDN w:val="0"/>
              <w:adjustRightInd w:val="0"/>
              <w:ind w:firstLine="720"/>
              <w:jc w:val="center"/>
              <w:rPr>
                <w:rFonts w:ascii="Times New Roman" w:eastAsia="Times New Roman" w:hAnsi="Times New Roman"/>
                <w:sz w:val="16"/>
                <w:szCs w:val="16"/>
              </w:rPr>
            </w:pPr>
            <w:r w:rsidRPr="00FD7B0B">
              <w:rPr>
                <w:rFonts w:ascii="Times New Roman" w:eastAsia="Times New Roman" w:hAnsi="Times New Roman"/>
                <w:sz w:val="16"/>
                <w:szCs w:val="16"/>
              </w:rPr>
              <w:t>198,0</w:t>
            </w:r>
          </w:p>
        </w:tc>
        <w:tc>
          <w:tcPr>
            <w:tcW w:w="1984" w:type="dxa"/>
            <w:shd w:val="clear" w:color="auto" w:fill="auto"/>
          </w:tcPr>
          <w:p w14:paraId="5E4DB1B8"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15,5%</w:t>
            </w:r>
          </w:p>
        </w:tc>
      </w:tr>
      <w:tr w:rsidR="00FD7B0B" w:rsidRPr="00FD7B0B" w14:paraId="4B3AD759" w14:textId="77777777" w:rsidTr="000B08C9">
        <w:trPr>
          <w:jc w:val="center"/>
        </w:trPr>
        <w:tc>
          <w:tcPr>
            <w:tcW w:w="1413" w:type="dxa"/>
          </w:tcPr>
          <w:p w14:paraId="72AD10A7" w14:textId="77777777" w:rsidR="000B08C9" w:rsidRPr="00FD7B0B" w:rsidRDefault="000B08C9" w:rsidP="00451119">
            <w:pPr>
              <w:rPr>
                <w:rFonts w:ascii="Times New Roman" w:hAnsi="Times New Roman"/>
                <w:sz w:val="16"/>
                <w:szCs w:val="16"/>
              </w:rPr>
            </w:pPr>
            <w:r w:rsidRPr="00FD7B0B">
              <w:rPr>
                <w:rFonts w:ascii="Times New Roman" w:hAnsi="Times New Roman"/>
                <w:sz w:val="16"/>
                <w:szCs w:val="16"/>
              </w:rPr>
              <w:t>Инспекция по ветеринарному надзору</w:t>
            </w:r>
          </w:p>
        </w:tc>
        <w:tc>
          <w:tcPr>
            <w:tcW w:w="3260" w:type="dxa"/>
          </w:tcPr>
          <w:p w14:paraId="7464C20A" w14:textId="77777777" w:rsidR="000B08C9" w:rsidRPr="00FD7B0B" w:rsidRDefault="000B08C9" w:rsidP="000B08C9">
            <w:pPr>
              <w:widowControl w:val="0"/>
              <w:autoSpaceDE w:val="0"/>
              <w:autoSpaceDN w:val="0"/>
              <w:adjustRightInd w:val="0"/>
              <w:ind w:firstLine="720"/>
              <w:jc w:val="center"/>
              <w:rPr>
                <w:rFonts w:ascii="Times New Roman" w:eastAsia="Times New Roman" w:hAnsi="Times New Roman"/>
                <w:sz w:val="16"/>
                <w:szCs w:val="16"/>
              </w:rPr>
            </w:pPr>
            <w:r w:rsidRPr="00FD7B0B">
              <w:rPr>
                <w:rFonts w:ascii="Times New Roman" w:eastAsia="Times New Roman" w:hAnsi="Times New Roman"/>
                <w:sz w:val="16"/>
                <w:szCs w:val="16"/>
              </w:rPr>
              <w:t>372,0</w:t>
            </w:r>
          </w:p>
        </w:tc>
        <w:tc>
          <w:tcPr>
            <w:tcW w:w="3119" w:type="dxa"/>
            <w:shd w:val="clear" w:color="auto" w:fill="auto"/>
          </w:tcPr>
          <w:p w14:paraId="5874DEB6" w14:textId="77777777" w:rsidR="000B08C9" w:rsidRPr="00FD7B0B" w:rsidRDefault="000B08C9" w:rsidP="000B08C9">
            <w:pPr>
              <w:widowControl w:val="0"/>
              <w:autoSpaceDE w:val="0"/>
              <w:autoSpaceDN w:val="0"/>
              <w:adjustRightInd w:val="0"/>
              <w:ind w:firstLine="720"/>
              <w:jc w:val="center"/>
              <w:rPr>
                <w:rFonts w:ascii="Times New Roman" w:eastAsia="Times New Roman" w:hAnsi="Times New Roman"/>
                <w:sz w:val="16"/>
                <w:szCs w:val="16"/>
              </w:rPr>
            </w:pPr>
            <w:r w:rsidRPr="00FD7B0B">
              <w:rPr>
                <w:rFonts w:ascii="Times New Roman" w:eastAsia="Times New Roman" w:hAnsi="Times New Roman"/>
                <w:sz w:val="16"/>
                <w:szCs w:val="16"/>
              </w:rPr>
              <w:t>2,2</w:t>
            </w:r>
          </w:p>
        </w:tc>
        <w:tc>
          <w:tcPr>
            <w:tcW w:w="1984" w:type="dxa"/>
            <w:shd w:val="clear" w:color="auto" w:fill="auto"/>
          </w:tcPr>
          <w:p w14:paraId="1690C74F"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0,6%</w:t>
            </w:r>
          </w:p>
        </w:tc>
      </w:tr>
      <w:tr w:rsidR="00FD7B0B" w:rsidRPr="00FD7B0B" w14:paraId="3C8BEFF4" w14:textId="77777777" w:rsidTr="000B08C9">
        <w:trPr>
          <w:jc w:val="center"/>
        </w:trPr>
        <w:tc>
          <w:tcPr>
            <w:tcW w:w="1413" w:type="dxa"/>
            <w:vAlign w:val="center"/>
          </w:tcPr>
          <w:p w14:paraId="2B644D45" w14:textId="77777777" w:rsidR="000B08C9" w:rsidRPr="00FD7B0B" w:rsidRDefault="000B08C9" w:rsidP="000B08C9">
            <w:pPr>
              <w:jc w:val="both"/>
              <w:rPr>
                <w:rFonts w:ascii="Times New Roman" w:hAnsi="Times New Roman"/>
                <w:b/>
                <w:sz w:val="16"/>
                <w:szCs w:val="16"/>
              </w:rPr>
            </w:pPr>
            <w:r w:rsidRPr="00FD7B0B">
              <w:rPr>
                <w:rFonts w:ascii="Times New Roman" w:hAnsi="Times New Roman"/>
                <w:b/>
                <w:sz w:val="16"/>
                <w:szCs w:val="16"/>
              </w:rPr>
              <w:t>ИТОГО</w:t>
            </w:r>
          </w:p>
        </w:tc>
        <w:tc>
          <w:tcPr>
            <w:tcW w:w="3260" w:type="dxa"/>
          </w:tcPr>
          <w:p w14:paraId="41F52509" w14:textId="77777777" w:rsidR="000B08C9" w:rsidRPr="00FD7B0B" w:rsidRDefault="000B08C9" w:rsidP="000B08C9">
            <w:pPr>
              <w:widowControl w:val="0"/>
              <w:autoSpaceDE w:val="0"/>
              <w:autoSpaceDN w:val="0"/>
              <w:adjustRightInd w:val="0"/>
              <w:ind w:firstLine="720"/>
              <w:jc w:val="center"/>
              <w:rPr>
                <w:rFonts w:ascii="Times New Roman" w:eastAsia="Times New Roman" w:hAnsi="Times New Roman"/>
                <w:sz w:val="16"/>
                <w:szCs w:val="16"/>
              </w:rPr>
            </w:pPr>
            <w:r w:rsidRPr="00FD7B0B">
              <w:rPr>
                <w:rFonts w:ascii="Times New Roman" w:eastAsia="Times New Roman" w:hAnsi="Times New Roman"/>
                <w:sz w:val="16"/>
                <w:szCs w:val="16"/>
              </w:rPr>
              <w:t>1 648,2</w:t>
            </w:r>
          </w:p>
        </w:tc>
        <w:tc>
          <w:tcPr>
            <w:tcW w:w="3119" w:type="dxa"/>
            <w:shd w:val="clear" w:color="auto" w:fill="auto"/>
          </w:tcPr>
          <w:p w14:paraId="749AA35B" w14:textId="77777777" w:rsidR="000B08C9" w:rsidRPr="00FD7B0B" w:rsidRDefault="000B08C9" w:rsidP="000B08C9">
            <w:pPr>
              <w:widowControl w:val="0"/>
              <w:autoSpaceDE w:val="0"/>
              <w:autoSpaceDN w:val="0"/>
              <w:adjustRightInd w:val="0"/>
              <w:ind w:firstLine="720"/>
              <w:jc w:val="center"/>
              <w:rPr>
                <w:rFonts w:ascii="Times New Roman" w:eastAsia="Times New Roman" w:hAnsi="Times New Roman"/>
                <w:sz w:val="16"/>
                <w:szCs w:val="16"/>
              </w:rPr>
            </w:pPr>
            <w:r w:rsidRPr="00FD7B0B">
              <w:rPr>
                <w:rFonts w:ascii="Times New Roman" w:eastAsia="Times New Roman" w:hAnsi="Times New Roman"/>
                <w:sz w:val="16"/>
                <w:szCs w:val="16"/>
              </w:rPr>
              <w:t>200,2</w:t>
            </w:r>
          </w:p>
        </w:tc>
        <w:tc>
          <w:tcPr>
            <w:tcW w:w="1984" w:type="dxa"/>
            <w:shd w:val="clear" w:color="auto" w:fill="auto"/>
            <w:vAlign w:val="center"/>
          </w:tcPr>
          <w:p w14:paraId="6B79D922"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12,1%</w:t>
            </w:r>
          </w:p>
        </w:tc>
      </w:tr>
      <w:tr w:rsidR="000B08C9" w:rsidRPr="00FD7B0B" w14:paraId="7B4C9DB6" w14:textId="77777777" w:rsidTr="00451119">
        <w:trPr>
          <w:jc w:val="center"/>
        </w:trPr>
        <w:tc>
          <w:tcPr>
            <w:tcW w:w="7792" w:type="dxa"/>
            <w:gridSpan w:val="3"/>
            <w:shd w:val="clear" w:color="auto" w:fill="auto"/>
          </w:tcPr>
          <w:p w14:paraId="5F812E31" w14:textId="77777777" w:rsidR="000B08C9" w:rsidRPr="00FD7B0B" w:rsidRDefault="000B08C9" w:rsidP="00451119">
            <w:pPr>
              <w:autoSpaceDE w:val="0"/>
              <w:autoSpaceDN w:val="0"/>
              <w:adjustRightInd w:val="0"/>
              <w:rPr>
                <w:rFonts w:ascii="Times New Roman" w:eastAsia="Times New Roman" w:hAnsi="Times New Roman"/>
                <w:sz w:val="16"/>
                <w:szCs w:val="16"/>
              </w:rPr>
            </w:pPr>
            <w:r w:rsidRPr="00FD7B0B">
              <w:rPr>
                <w:rFonts w:ascii="Times New Roman" w:hAnsi="Times New Roman"/>
              </w:rPr>
              <w:t>"высокий уровень" - доля объема изменений (увеличения и (или) сокращения, внутреннего перераспределения) бюджетных ассигнований составляет менее 30%</w:t>
            </w:r>
          </w:p>
        </w:tc>
        <w:tc>
          <w:tcPr>
            <w:tcW w:w="1984" w:type="dxa"/>
            <w:shd w:val="clear" w:color="auto" w:fill="auto"/>
            <w:vAlign w:val="center"/>
          </w:tcPr>
          <w:p w14:paraId="225A3FC1" w14:textId="77777777" w:rsidR="000B08C9" w:rsidRPr="00FD7B0B" w:rsidRDefault="000B08C9" w:rsidP="00451119">
            <w:pPr>
              <w:rPr>
                <w:rFonts w:ascii="Times New Roman" w:hAnsi="Times New Roman"/>
                <w:sz w:val="16"/>
                <w:szCs w:val="16"/>
              </w:rPr>
            </w:pPr>
            <w:r w:rsidRPr="00FD7B0B">
              <w:rPr>
                <w:rFonts w:ascii="Times New Roman" w:hAnsi="Times New Roman"/>
                <w:sz w:val="16"/>
                <w:szCs w:val="16"/>
              </w:rPr>
              <w:t>Высокий уровень</w:t>
            </w:r>
          </w:p>
        </w:tc>
      </w:tr>
    </w:tbl>
    <w:p w14:paraId="454B3DB6" w14:textId="77777777" w:rsidR="000B08C9" w:rsidRPr="00FD7B0B" w:rsidRDefault="000B08C9" w:rsidP="000B08C9">
      <w:pPr>
        <w:spacing w:after="0" w:line="240" w:lineRule="auto"/>
        <w:ind w:left="284" w:firstLine="850"/>
        <w:rPr>
          <w:rFonts w:ascii="Times New Roman" w:eastAsia="Calibri" w:hAnsi="Times New Roman" w:cs="Times New Roman"/>
          <w:sz w:val="20"/>
          <w:szCs w:val="20"/>
        </w:rPr>
      </w:pPr>
    </w:p>
    <w:p w14:paraId="728B4CDA"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123</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Оценка реализации всех мероприятий (достижения результатов) государственной программы за отчетный год</w:t>
      </w:r>
    </w:p>
    <w:tbl>
      <w:tblPr>
        <w:tblStyle w:val="a7"/>
        <w:tblW w:w="9923" w:type="dxa"/>
        <w:tblInd w:w="-299"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291"/>
        <w:gridCol w:w="2602"/>
        <w:gridCol w:w="2373"/>
        <w:gridCol w:w="2657"/>
      </w:tblGrid>
      <w:tr w:rsidR="00FD7B0B" w:rsidRPr="00FD7B0B" w14:paraId="3775EEF1" w14:textId="77777777" w:rsidTr="000B08C9">
        <w:tc>
          <w:tcPr>
            <w:tcW w:w="2291" w:type="dxa"/>
          </w:tcPr>
          <w:p w14:paraId="651029F3" w14:textId="77777777" w:rsidR="000B08C9" w:rsidRPr="00FD7B0B" w:rsidRDefault="000B08C9" w:rsidP="000B08C9">
            <w:pPr>
              <w:jc w:val="center"/>
              <w:rPr>
                <w:rFonts w:ascii="Times New Roman" w:hAnsi="Times New Roman"/>
                <w:sz w:val="16"/>
                <w:szCs w:val="16"/>
              </w:rPr>
            </w:pPr>
          </w:p>
        </w:tc>
        <w:tc>
          <w:tcPr>
            <w:tcW w:w="2602" w:type="dxa"/>
          </w:tcPr>
          <w:p w14:paraId="382638B4"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Плановое значение мероприятия (результата) государственной программы на отчетный год.</w:t>
            </w:r>
          </w:p>
          <w:p w14:paraId="2D5A1AAC" w14:textId="77777777" w:rsidR="000B08C9" w:rsidRPr="00FD7B0B" w:rsidRDefault="000B08C9" w:rsidP="000B08C9">
            <w:pPr>
              <w:jc w:val="center"/>
              <w:rPr>
                <w:rFonts w:ascii="Times New Roman" w:hAnsi="Times New Roman"/>
                <w:sz w:val="16"/>
                <w:szCs w:val="16"/>
              </w:rPr>
            </w:pPr>
          </w:p>
        </w:tc>
        <w:tc>
          <w:tcPr>
            <w:tcW w:w="2373" w:type="dxa"/>
          </w:tcPr>
          <w:p w14:paraId="74BE04AF"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Фактическое исполнение мероприятия (результата) государственной программы на отчетный год</w:t>
            </w:r>
          </w:p>
        </w:tc>
        <w:tc>
          <w:tcPr>
            <w:tcW w:w="2657" w:type="dxa"/>
          </w:tcPr>
          <w:p w14:paraId="38C6A35D"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Степень достижения всех мероприятий (результата) государственной программы за отчетный год;</w:t>
            </w:r>
          </w:p>
        </w:tc>
      </w:tr>
      <w:tr w:rsidR="00FD7B0B" w:rsidRPr="00FD7B0B" w14:paraId="2C8A5B36" w14:textId="77777777" w:rsidTr="000B08C9">
        <w:tc>
          <w:tcPr>
            <w:tcW w:w="2291" w:type="dxa"/>
          </w:tcPr>
          <w:p w14:paraId="425C6A51" w14:textId="77777777" w:rsidR="000B08C9" w:rsidRPr="00FD7B0B" w:rsidRDefault="000B08C9" w:rsidP="000B08C9">
            <w:pPr>
              <w:rPr>
                <w:rFonts w:ascii="Times New Roman" w:hAnsi="Times New Roman"/>
                <w:sz w:val="16"/>
                <w:szCs w:val="16"/>
              </w:rPr>
            </w:pPr>
            <w:r w:rsidRPr="00FD7B0B">
              <w:rPr>
                <w:rFonts w:ascii="Times New Roman" w:hAnsi="Times New Roman"/>
                <w:sz w:val="16"/>
                <w:szCs w:val="16"/>
              </w:rPr>
              <w:t xml:space="preserve">В целом по государственной программе </w:t>
            </w:r>
          </w:p>
        </w:tc>
        <w:tc>
          <w:tcPr>
            <w:tcW w:w="2602" w:type="dxa"/>
          </w:tcPr>
          <w:p w14:paraId="6E678C4D" w14:textId="77777777" w:rsidR="000B08C9" w:rsidRPr="00FD7B0B" w:rsidRDefault="000B08C9" w:rsidP="000B08C9">
            <w:pPr>
              <w:ind w:left="567" w:firstLine="709"/>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27</w:t>
            </w:r>
          </w:p>
        </w:tc>
        <w:tc>
          <w:tcPr>
            <w:tcW w:w="2373" w:type="dxa"/>
          </w:tcPr>
          <w:p w14:paraId="157E4EE0" w14:textId="77777777" w:rsidR="000B08C9" w:rsidRPr="00FD7B0B" w:rsidRDefault="000B08C9" w:rsidP="000B08C9">
            <w:pPr>
              <w:ind w:left="567" w:firstLine="709"/>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24*</w:t>
            </w:r>
          </w:p>
        </w:tc>
        <w:tc>
          <w:tcPr>
            <w:tcW w:w="2657" w:type="dxa"/>
          </w:tcPr>
          <w:p w14:paraId="29A4A63E" w14:textId="77777777" w:rsidR="000B08C9" w:rsidRPr="00FD7B0B" w:rsidRDefault="000B08C9" w:rsidP="000B08C9">
            <w:pPr>
              <w:ind w:left="567" w:firstLine="709"/>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88,9</w:t>
            </w:r>
          </w:p>
        </w:tc>
      </w:tr>
      <w:tr w:rsidR="00FD7B0B" w:rsidRPr="00FD7B0B" w14:paraId="635B229A" w14:textId="77777777" w:rsidTr="000B08C9">
        <w:tc>
          <w:tcPr>
            <w:tcW w:w="2291" w:type="dxa"/>
          </w:tcPr>
          <w:p w14:paraId="52D9F36B" w14:textId="77777777" w:rsidR="000B08C9" w:rsidRPr="00FD7B0B" w:rsidRDefault="000B08C9" w:rsidP="000B08C9">
            <w:pPr>
              <w:jc w:val="both"/>
              <w:rPr>
                <w:rFonts w:ascii="Times New Roman" w:hAnsi="Times New Roman"/>
                <w:sz w:val="16"/>
                <w:szCs w:val="16"/>
              </w:rPr>
            </w:pPr>
          </w:p>
        </w:tc>
        <w:tc>
          <w:tcPr>
            <w:tcW w:w="4975" w:type="dxa"/>
            <w:gridSpan w:val="2"/>
          </w:tcPr>
          <w:p w14:paraId="0E5C30AF" w14:textId="77777777" w:rsidR="000B08C9" w:rsidRPr="00FD7B0B" w:rsidRDefault="000B08C9" w:rsidP="000B08C9">
            <w:pPr>
              <w:jc w:val="both"/>
              <w:rPr>
                <w:rFonts w:ascii="Times New Roman" w:hAnsi="Times New Roman"/>
                <w:sz w:val="16"/>
                <w:szCs w:val="16"/>
              </w:rPr>
            </w:pPr>
            <w:r w:rsidRPr="00FD7B0B">
              <w:rPr>
                <w:rFonts w:ascii="Times New Roman" w:hAnsi="Times New Roman"/>
                <w:sz w:val="16"/>
                <w:szCs w:val="16"/>
              </w:rPr>
              <w:t>Оценка</w:t>
            </w:r>
          </w:p>
        </w:tc>
        <w:tc>
          <w:tcPr>
            <w:tcW w:w="2657" w:type="dxa"/>
          </w:tcPr>
          <w:p w14:paraId="01C450C4" w14:textId="77777777" w:rsidR="000B08C9" w:rsidRPr="00FD7B0B" w:rsidRDefault="000B08C9" w:rsidP="000B08C9">
            <w:pPr>
              <w:jc w:val="both"/>
              <w:rPr>
                <w:rFonts w:ascii="Times New Roman" w:hAnsi="Times New Roman"/>
                <w:sz w:val="16"/>
                <w:szCs w:val="16"/>
              </w:rPr>
            </w:pPr>
            <w:r w:rsidRPr="00FD7B0B">
              <w:rPr>
                <w:rFonts w:ascii="Times New Roman" w:hAnsi="Times New Roman"/>
                <w:sz w:val="16"/>
                <w:szCs w:val="16"/>
              </w:rPr>
              <w:t>«Средний уровень»</w:t>
            </w:r>
          </w:p>
        </w:tc>
      </w:tr>
      <w:tr w:rsidR="00FD7B0B" w:rsidRPr="00FD7B0B" w14:paraId="1D3FC5F8" w14:textId="77777777" w:rsidTr="000B08C9">
        <w:tc>
          <w:tcPr>
            <w:tcW w:w="2291" w:type="dxa"/>
          </w:tcPr>
          <w:p w14:paraId="3A4B5F04" w14:textId="77777777" w:rsidR="000B08C9" w:rsidRPr="00FD7B0B" w:rsidRDefault="000B08C9" w:rsidP="000B08C9">
            <w:pPr>
              <w:jc w:val="both"/>
              <w:rPr>
                <w:rFonts w:ascii="Times New Roman" w:hAnsi="Times New Roman"/>
                <w:sz w:val="16"/>
                <w:szCs w:val="16"/>
              </w:rPr>
            </w:pPr>
          </w:p>
        </w:tc>
        <w:tc>
          <w:tcPr>
            <w:tcW w:w="4975" w:type="dxa"/>
            <w:gridSpan w:val="2"/>
          </w:tcPr>
          <w:p w14:paraId="7888EA9A" w14:textId="77777777" w:rsidR="000B08C9" w:rsidRPr="00FD7B0B" w:rsidRDefault="000B08C9" w:rsidP="000B08C9">
            <w:pPr>
              <w:rPr>
                <w:rFonts w:ascii="Times New Roman" w:hAnsi="Times New Roman"/>
                <w:sz w:val="16"/>
                <w:szCs w:val="16"/>
              </w:rPr>
            </w:pPr>
            <w:r w:rsidRPr="00FD7B0B">
              <w:rPr>
                <w:rFonts w:ascii="Times New Roman" w:hAnsi="Times New Roman"/>
                <w:sz w:val="16"/>
                <w:szCs w:val="16"/>
              </w:rPr>
              <w:t>Оценка снижена в связи с изменением плана после 1 декабря (Паспорт КПМ «Обеспечение выполнение функций в сфере АПК, торговли и ветеринарии)</w:t>
            </w:r>
          </w:p>
        </w:tc>
        <w:tc>
          <w:tcPr>
            <w:tcW w:w="2657" w:type="dxa"/>
          </w:tcPr>
          <w:p w14:paraId="379D0118" w14:textId="77777777" w:rsidR="000B08C9" w:rsidRPr="00FD7B0B" w:rsidRDefault="000B08C9" w:rsidP="000B08C9">
            <w:pPr>
              <w:jc w:val="both"/>
              <w:rPr>
                <w:rFonts w:ascii="Times New Roman" w:hAnsi="Times New Roman"/>
                <w:sz w:val="16"/>
                <w:szCs w:val="16"/>
              </w:rPr>
            </w:pPr>
            <w:r w:rsidRPr="00FD7B0B">
              <w:rPr>
                <w:rFonts w:ascii="Times New Roman" w:hAnsi="Times New Roman"/>
                <w:sz w:val="16"/>
                <w:szCs w:val="16"/>
              </w:rPr>
              <w:t>«Низкий уровень»</w:t>
            </w:r>
          </w:p>
        </w:tc>
      </w:tr>
      <w:tr w:rsidR="00FD7B0B" w:rsidRPr="00FD7B0B" w14:paraId="7CECAC5D" w14:textId="77777777" w:rsidTr="000B08C9">
        <w:tc>
          <w:tcPr>
            <w:tcW w:w="2291" w:type="dxa"/>
          </w:tcPr>
          <w:p w14:paraId="329A832D" w14:textId="77777777" w:rsidR="000B08C9" w:rsidRPr="00FD7B0B" w:rsidRDefault="000B08C9" w:rsidP="000B08C9">
            <w:pPr>
              <w:jc w:val="both"/>
              <w:rPr>
                <w:rFonts w:ascii="Times New Roman" w:hAnsi="Times New Roman"/>
                <w:sz w:val="16"/>
                <w:szCs w:val="16"/>
              </w:rPr>
            </w:pPr>
          </w:p>
        </w:tc>
        <w:tc>
          <w:tcPr>
            <w:tcW w:w="4975" w:type="dxa"/>
            <w:gridSpan w:val="2"/>
          </w:tcPr>
          <w:p w14:paraId="6CA72525" w14:textId="77777777" w:rsidR="000B08C9" w:rsidRPr="00FD7B0B" w:rsidRDefault="000B08C9" w:rsidP="000B08C9">
            <w:pPr>
              <w:rPr>
                <w:rFonts w:ascii="Times New Roman" w:hAnsi="Times New Roman"/>
                <w:sz w:val="16"/>
                <w:szCs w:val="16"/>
              </w:rPr>
            </w:pPr>
            <w:r w:rsidRPr="00FD7B0B">
              <w:rPr>
                <w:rFonts w:ascii="Times New Roman" w:hAnsi="Times New Roman"/>
                <w:sz w:val="16"/>
                <w:szCs w:val="16"/>
              </w:rPr>
              <w:t>Доля реализованных мероприятий (достигнутых результатов) всех структурных элементов</w:t>
            </w:r>
          </w:p>
          <w:p w14:paraId="6348E770" w14:textId="77777777" w:rsidR="000B08C9" w:rsidRPr="00FD7B0B" w:rsidRDefault="000B08C9" w:rsidP="000B08C9">
            <w:pPr>
              <w:jc w:val="both"/>
              <w:rPr>
                <w:rFonts w:ascii="Times New Roman" w:hAnsi="Times New Roman"/>
                <w:sz w:val="16"/>
                <w:szCs w:val="16"/>
              </w:rPr>
            </w:pPr>
            <w:r w:rsidRPr="00FD7B0B">
              <w:rPr>
                <w:rFonts w:ascii="Times New Roman" w:hAnsi="Times New Roman"/>
                <w:sz w:val="16"/>
                <w:szCs w:val="16"/>
              </w:rPr>
              <w:t>92,6 %</w:t>
            </w:r>
          </w:p>
        </w:tc>
        <w:tc>
          <w:tcPr>
            <w:tcW w:w="2657" w:type="dxa"/>
          </w:tcPr>
          <w:p w14:paraId="7EE39C35" w14:textId="77777777" w:rsidR="000B08C9" w:rsidRPr="00FD7B0B" w:rsidRDefault="000B08C9" w:rsidP="000B08C9">
            <w:pPr>
              <w:jc w:val="both"/>
              <w:rPr>
                <w:rFonts w:ascii="Times New Roman" w:hAnsi="Times New Roman"/>
                <w:sz w:val="16"/>
                <w:szCs w:val="16"/>
              </w:rPr>
            </w:pPr>
            <w:r w:rsidRPr="00FD7B0B">
              <w:rPr>
                <w:rFonts w:ascii="Times New Roman" w:hAnsi="Times New Roman"/>
                <w:sz w:val="16"/>
                <w:szCs w:val="16"/>
              </w:rPr>
              <w:t>«Высокий уровень»</w:t>
            </w:r>
          </w:p>
        </w:tc>
      </w:tr>
    </w:tbl>
    <w:p w14:paraId="1E9D6998" w14:textId="77777777" w:rsidR="000B08C9" w:rsidRPr="00FD7B0B" w:rsidRDefault="000B08C9" w:rsidP="000B08C9">
      <w:pPr>
        <w:spacing w:after="0" w:line="240" w:lineRule="auto"/>
        <w:ind w:firstLine="709"/>
        <w:jc w:val="both"/>
        <w:rPr>
          <w:rFonts w:ascii="Times New Roman" w:eastAsia="Calibri" w:hAnsi="Times New Roman" w:cs="Times New Roman"/>
          <w:sz w:val="24"/>
          <w:szCs w:val="24"/>
        </w:rPr>
      </w:pPr>
      <w:r w:rsidRPr="00FD7B0B">
        <w:rPr>
          <w:rFonts w:ascii="Times New Roman" w:eastAsia="Calibri" w:hAnsi="Times New Roman" w:cs="Times New Roman"/>
          <w:sz w:val="24"/>
          <w:szCs w:val="24"/>
        </w:rPr>
        <w:t>По результатам оценки реализации всех мероприятий (достижения результатов) государственной программы за отчетный год присваивается «низкий уровень».</w:t>
      </w:r>
    </w:p>
    <w:p w14:paraId="17E89ECC"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p>
    <w:p w14:paraId="5220C2E3"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124</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Оценка достижения плановых показателей государственной программы за отчетный год</w:t>
      </w:r>
    </w:p>
    <w:tbl>
      <w:tblPr>
        <w:tblW w:w="963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5230"/>
        <w:gridCol w:w="992"/>
        <w:gridCol w:w="851"/>
        <w:gridCol w:w="850"/>
        <w:gridCol w:w="1713"/>
      </w:tblGrid>
      <w:tr w:rsidR="00FD7B0B" w:rsidRPr="00FD7B0B" w14:paraId="2D2F61EB" w14:textId="77777777" w:rsidTr="000B08C9">
        <w:trPr>
          <w:trHeight w:val="130"/>
          <w:tblHeader/>
        </w:trPr>
        <w:tc>
          <w:tcPr>
            <w:tcW w:w="5230" w:type="dxa"/>
            <w:vMerge w:val="restart"/>
            <w:shd w:val="clear" w:color="auto" w:fill="auto"/>
            <w:vAlign w:val="center"/>
          </w:tcPr>
          <w:p w14:paraId="4DE162F1" w14:textId="77777777" w:rsidR="000B08C9" w:rsidRPr="00FD7B0B" w:rsidRDefault="000B08C9" w:rsidP="000B08C9">
            <w:pPr>
              <w:spacing w:after="0" w:line="240" w:lineRule="auto"/>
              <w:jc w:val="center"/>
              <w:rPr>
                <w:rFonts w:ascii="Times New Roman" w:eastAsia="Calibri" w:hAnsi="Times New Roman" w:cs="Times New Roman"/>
                <w:sz w:val="16"/>
                <w:szCs w:val="16"/>
                <w:lang w:eastAsia="ru-RU"/>
              </w:rPr>
            </w:pPr>
            <w:r w:rsidRPr="00FD7B0B">
              <w:rPr>
                <w:rFonts w:ascii="Times New Roman" w:eastAsia="Calibri" w:hAnsi="Times New Roman" w:cs="Times New Roman"/>
                <w:sz w:val="16"/>
                <w:szCs w:val="16"/>
                <w:lang w:eastAsia="ru-RU"/>
              </w:rPr>
              <w:t>Наименование целевого показателя (индикатора)</w:t>
            </w:r>
          </w:p>
        </w:tc>
        <w:tc>
          <w:tcPr>
            <w:tcW w:w="992" w:type="dxa"/>
            <w:vMerge w:val="restart"/>
            <w:shd w:val="clear" w:color="auto" w:fill="auto"/>
            <w:vAlign w:val="center"/>
          </w:tcPr>
          <w:p w14:paraId="5A9DA7A4" w14:textId="77777777" w:rsidR="000B08C9" w:rsidRPr="00FD7B0B" w:rsidRDefault="000B08C9" w:rsidP="000B08C9">
            <w:pPr>
              <w:spacing w:after="0" w:line="240" w:lineRule="auto"/>
              <w:jc w:val="center"/>
              <w:rPr>
                <w:rFonts w:ascii="Times New Roman" w:eastAsia="Calibri" w:hAnsi="Times New Roman" w:cs="Times New Roman"/>
                <w:sz w:val="16"/>
                <w:szCs w:val="16"/>
                <w:lang w:eastAsia="ru-RU"/>
              </w:rPr>
            </w:pPr>
            <w:r w:rsidRPr="00FD7B0B">
              <w:rPr>
                <w:rFonts w:ascii="Times New Roman" w:eastAsia="Calibri" w:hAnsi="Times New Roman" w:cs="Times New Roman"/>
                <w:sz w:val="16"/>
                <w:szCs w:val="16"/>
                <w:lang w:eastAsia="ru-RU"/>
              </w:rPr>
              <w:t>Ед. измерения</w:t>
            </w:r>
          </w:p>
        </w:tc>
        <w:tc>
          <w:tcPr>
            <w:tcW w:w="3414" w:type="dxa"/>
            <w:gridSpan w:val="3"/>
          </w:tcPr>
          <w:p w14:paraId="6D353496"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Значения целевых показателей на 2023 год</w:t>
            </w:r>
          </w:p>
        </w:tc>
      </w:tr>
      <w:tr w:rsidR="00FD7B0B" w:rsidRPr="00FD7B0B" w14:paraId="486D1DF9" w14:textId="77777777" w:rsidTr="000B08C9">
        <w:trPr>
          <w:trHeight w:val="76"/>
          <w:tblHeader/>
        </w:trPr>
        <w:tc>
          <w:tcPr>
            <w:tcW w:w="5230" w:type="dxa"/>
            <w:vMerge/>
            <w:shd w:val="clear" w:color="auto" w:fill="auto"/>
            <w:vAlign w:val="center"/>
          </w:tcPr>
          <w:p w14:paraId="0DCC3EEE" w14:textId="77777777" w:rsidR="000B08C9" w:rsidRPr="00FD7B0B" w:rsidRDefault="000B08C9" w:rsidP="000B08C9">
            <w:pPr>
              <w:spacing w:after="0" w:line="240" w:lineRule="auto"/>
              <w:jc w:val="center"/>
              <w:rPr>
                <w:rFonts w:ascii="Times New Roman" w:eastAsia="Calibri" w:hAnsi="Times New Roman" w:cs="Times New Roman"/>
                <w:sz w:val="16"/>
                <w:szCs w:val="16"/>
                <w:lang w:eastAsia="ru-RU"/>
              </w:rPr>
            </w:pPr>
          </w:p>
        </w:tc>
        <w:tc>
          <w:tcPr>
            <w:tcW w:w="992" w:type="dxa"/>
            <w:vMerge/>
            <w:shd w:val="clear" w:color="auto" w:fill="auto"/>
            <w:vAlign w:val="center"/>
          </w:tcPr>
          <w:p w14:paraId="6F96D9AB" w14:textId="77777777" w:rsidR="000B08C9" w:rsidRPr="00FD7B0B" w:rsidRDefault="000B08C9" w:rsidP="000B08C9">
            <w:pPr>
              <w:spacing w:after="0" w:line="240" w:lineRule="auto"/>
              <w:jc w:val="center"/>
              <w:rPr>
                <w:rFonts w:ascii="Times New Roman" w:eastAsia="Calibri" w:hAnsi="Times New Roman" w:cs="Times New Roman"/>
                <w:sz w:val="16"/>
                <w:szCs w:val="16"/>
                <w:lang w:eastAsia="ru-RU"/>
              </w:rPr>
            </w:pPr>
          </w:p>
        </w:tc>
        <w:tc>
          <w:tcPr>
            <w:tcW w:w="851" w:type="dxa"/>
          </w:tcPr>
          <w:p w14:paraId="09297195" w14:textId="77777777" w:rsidR="000B08C9" w:rsidRPr="00FD7B0B" w:rsidRDefault="000B08C9" w:rsidP="000B08C9">
            <w:pPr>
              <w:spacing w:after="0" w:line="240" w:lineRule="auto"/>
              <w:jc w:val="center"/>
              <w:rPr>
                <w:rFonts w:ascii="Times New Roman" w:eastAsia="Calibri" w:hAnsi="Times New Roman" w:cs="Times New Roman"/>
                <w:sz w:val="16"/>
                <w:szCs w:val="16"/>
                <w:lang w:eastAsia="ru-RU"/>
              </w:rPr>
            </w:pPr>
            <w:r w:rsidRPr="00FD7B0B">
              <w:rPr>
                <w:rFonts w:ascii="Times New Roman" w:eastAsia="Calibri" w:hAnsi="Times New Roman" w:cs="Times New Roman"/>
                <w:sz w:val="16"/>
                <w:szCs w:val="16"/>
                <w:lang w:eastAsia="ru-RU"/>
              </w:rPr>
              <w:t>План</w:t>
            </w:r>
          </w:p>
        </w:tc>
        <w:tc>
          <w:tcPr>
            <w:tcW w:w="850" w:type="dxa"/>
          </w:tcPr>
          <w:p w14:paraId="15F7095E" w14:textId="77777777" w:rsidR="000B08C9" w:rsidRPr="00FD7B0B" w:rsidRDefault="000B08C9" w:rsidP="000B08C9">
            <w:pPr>
              <w:spacing w:after="0" w:line="240" w:lineRule="auto"/>
              <w:jc w:val="center"/>
              <w:rPr>
                <w:rFonts w:ascii="Times New Roman" w:eastAsia="Calibri" w:hAnsi="Times New Roman" w:cs="Times New Roman"/>
                <w:sz w:val="16"/>
                <w:szCs w:val="16"/>
                <w:lang w:eastAsia="ru-RU"/>
              </w:rPr>
            </w:pPr>
            <w:r w:rsidRPr="00FD7B0B">
              <w:rPr>
                <w:rFonts w:ascii="Times New Roman" w:eastAsia="Calibri" w:hAnsi="Times New Roman" w:cs="Times New Roman"/>
                <w:sz w:val="16"/>
                <w:szCs w:val="16"/>
                <w:lang w:eastAsia="ru-RU"/>
              </w:rPr>
              <w:t>Факт</w:t>
            </w:r>
          </w:p>
        </w:tc>
        <w:tc>
          <w:tcPr>
            <w:tcW w:w="1713" w:type="dxa"/>
          </w:tcPr>
          <w:p w14:paraId="412F2361"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lang w:eastAsia="ru-RU"/>
              </w:rPr>
              <w:t>% исполнения</w:t>
            </w:r>
          </w:p>
        </w:tc>
      </w:tr>
      <w:tr w:rsidR="00FD7B0B" w:rsidRPr="00FD7B0B" w14:paraId="731E9D0C" w14:textId="77777777" w:rsidTr="000B08C9">
        <w:trPr>
          <w:trHeight w:val="224"/>
        </w:trPr>
        <w:tc>
          <w:tcPr>
            <w:tcW w:w="5230" w:type="dxa"/>
            <w:shd w:val="clear" w:color="auto" w:fill="auto"/>
            <w:vAlign w:val="center"/>
            <w:hideMark/>
          </w:tcPr>
          <w:p w14:paraId="1D23BC37"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Индекс производства продукции сельского хозяйства </w:t>
            </w:r>
          </w:p>
          <w:p w14:paraId="7EF84CE3"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 сопоставимых ценах) к уровню 2020 года</w:t>
            </w:r>
          </w:p>
        </w:tc>
        <w:tc>
          <w:tcPr>
            <w:tcW w:w="992" w:type="dxa"/>
            <w:shd w:val="clear" w:color="auto" w:fill="auto"/>
            <w:hideMark/>
          </w:tcPr>
          <w:p w14:paraId="16AAA88A"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851" w:type="dxa"/>
          </w:tcPr>
          <w:p w14:paraId="2C106437"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96,8</w:t>
            </w:r>
          </w:p>
        </w:tc>
        <w:tc>
          <w:tcPr>
            <w:tcW w:w="850" w:type="dxa"/>
          </w:tcPr>
          <w:p w14:paraId="0BE160A9"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97,7</w:t>
            </w:r>
          </w:p>
        </w:tc>
        <w:tc>
          <w:tcPr>
            <w:tcW w:w="1713" w:type="dxa"/>
          </w:tcPr>
          <w:p w14:paraId="6045DC3B"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100,9</w:t>
            </w:r>
          </w:p>
        </w:tc>
      </w:tr>
      <w:tr w:rsidR="00FD7B0B" w:rsidRPr="00FD7B0B" w14:paraId="5FA62B30" w14:textId="77777777" w:rsidTr="001F6663">
        <w:trPr>
          <w:trHeight w:val="292"/>
        </w:trPr>
        <w:tc>
          <w:tcPr>
            <w:tcW w:w="5230" w:type="dxa"/>
            <w:shd w:val="clear" w:color="auto" w:fill="auto"/>
            <w:vAlign w:val="center"/>
            <w:hideMark/>
          </w:tcPr>
          <w:p w14:paraId="787BB87D"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Среднемесячная начисленная заработная плата работников сельского хозяйства (без субъектов малого предпринимательства)</w:t>
            </w:r>
          </w:p>
        </w:tc>
        <w:tc>
          <w:tcPr>
            <w:tcW w:w="992" w:type="dxa"/>
            <w:shd w:val="clear" w:color="auto" w:fill="auto"/>
            <w:hideMark/>
          </w:tcPr>
          <w:p w14:paraId="3D61793D"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руб.</w:t>
            </w:r>
          </w:p>
        </w:tc>
        <w:tc>
          <w:tcPr>
            <w:tcW w:w="851" w:type="dxa"/>
          </w:tcPr>
          <w:p w14:paraId="5F74ED4E"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48 425</w:t>
            </w:r>
          </w:p>
        </w:tc>
        <w:tc>
          <w:tcPr>
            <w:tcW w:w="850" w:type="dxa"/>
          </w:tcPr>
          <w:p w14:paraId="23C0A281"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67 448,8</w:t>
            </w:r>
          </w:p>
        </w:tc>
        <w:tc>
          <w:tcPr>
            <w:tcW w:w="1713" w:type="dxa"/>
          </w:tcPr>
          <w:p w14:paraId="3026E82F"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139,3</w:t>
            </w:r>
          </w:p>
        </w:tc>
      </w:tr>
      <w:tr w:rsidR="00FD7B0B" w:rsidRPr="00FD7B0B" w14:paraId="4640479F" w14:textId="77777777" w:rsidTr="000B08C9">
        <w:trPr>
          <w:trHeight w:val="402"/>
        </w:trPr>
        <w:tc>
          <w:tcPr>
            <w:tcW w:w="5230" w:type="dxa"/>
            <w:shd w:val="clear" w:color="auto" w:fill="auto"/>
            <w:vAlign w:val="center"/>
          </w:tcPr>
          <w:p w14:paraId="04D3C1A8"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Индекс производства пищевых продуктов (в сопоставимых ценах) к уровню 2020 года</w:t>
            </w:r>
          </w:p>
        </w:tc>
        <w:tc>
          <w:tcPr>
            <w:tcW w:w="992" w:type="dxa"/>
            <w:shd w:val="clear" w:color="auto" w:fill="auto"/>
          </w:tcPr>
          <w:p w14:paraId="4AB90F1D"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851" w:type="dxa"/>
          </w:tcPr>
          <w:p w14:paraId="3885B782"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92,7</w:t>
            </w:r>
          </w:p>
        </w:tc>
        <w:tc>
          <w:tcPr>
            <w:tcW w:w="850" w:type="dxa"/>
          </w:tcPr>
          <w:p w14:paraId="7CDDC63F"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103,7</w:t>
            </w:r>
          </w:p>
        </w:tc>
        <w:tc>
          <w:tcPr>
            <w:tcW w:w="1713" w:type="dxa"/>
          </w:tcPr>
          <w:p w14:paraId="630B5ECA"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hAnsi="Times New Roman" w:cs="Times New Roman"/>
                <w:sz w:val="16"/>
                <w:szCs w:val="16"/>
              </w:rPr>
              <w:t>111,9</w:t>
            </w:r>
          </w:p>
        </w:tc>
      </w:tr>
      <w:tr w:rsidR="00FD7B0B" w:rsidRPr="00FD7B0B" w14:paraId="4661AD0A" w14:textId="77777777" w:rsidTr="000B08C9">
        <w:trPr>
          <w:trHeight w:val="421"/>
        </w:trPr>
        <w:tc>
          <w:tcPr>
            <w:tcW w:w="5230" w:type="dxa"/>
            <w:shd w:val="clear" w:color="auto" w:fill="auto"/>
            <w:vAlign w:val="center"/>
          </w:tcPr>
          <w:p w14:paraId="2B08693E"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Площадь вовлеченных в оборот земель сельскохозяйственного назначения, нарастающим итогом </w:t>
            </w:r>
          </w:p>
        </w:tc>
        <w:tc>
          <w:tcPr>
            <w:tcW w:w="992" w:type="dxa"/>
            <w:shd w:val="clear" w:color="auto" w:fill="auto"/>
          </w:tcPr>
          <w:p w14:paraId="7CBA3820"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тысяч гектар</w:t>
            </w:r>
          </w:p>
        </w:tc>
        <w:tc>
          <w:tcPr>
            <w:tcW w:w="3414" w:type="dxa"/>
            <w:gridSpan w:val="3"/>
          </w:tcPr>
          <w:p w14:paraId="0F082435"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Не оценивается</w:t>
            </w:r>
          </w:p>
        </w:tc>
      </w:tr>
      <w:tr w:rsidR="00FD7B0B" w:rsidRPr="00FD7B0B" w14:paraId="6DF7EA69" w14:textId="77777777" w:rsidTr="000B08C9">
        <w:trPr>
          <w:trHeight w:val="421"/>
        </w:trPr>
        <w:tc>
          <w:tcPr>
            <w:tcW w:w="5230" w:type="dxa"/>
            <w:shd w:val="clear" w:color="auto" w:fill="auto"/>
            <w:vAlign w:val="center"/>
          </w:tcPr>
          <w:p w14:paraId="2C3843C8"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Площадь земель, сохранённых в сельскохозяйственном обороте за счет проведения мелиоративных мероприятий</w:t>
            </w:r>
          </w:p>
        </w:tc>
        <w:tc>
          <w:tcPr>
            <w:tcW w:w="992" w:type="dxa"/>
            <w:shd w:val="clear" w:color="auto" w:fill="auto"/>
            <w:vAlign w:val="center"/>
          </w:tcPr>
          <w:p w14:paraId="058D1FC2"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тысяч гектар</w:t>
            </w:r>
          </w:p>
        </w:tc>
        <w:tc>
          <w:tcPr>
            <w:tcW w:w="851" w:type="dxa"/>
          </w:tcPr>
          <w:p w14:paraId="12080FA0"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2,6056</w:t>
            </w:r>
          </w:p>
        </w:tc>
        <w:tc>
          <w:tcPr>
            <w:tcW w:w="850" w:type="dxa"/>
          </w:tcPr>
          <w:p w14:paraId="5A4C1ECD"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2,6056</w:t>
            </w:r>
          </w:p>
        </w:tc>
        <w:tc>
          <w:tcPr>
            <w:tcW w:w="1713" w:type="dxa"/>
          </w:tcPr>
          <w:p w14:paraId="354688B9"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100,00</w:t>
            </w:r>
          </w:p>
        </w:tc>
      </w:tr>
      <w:tr w:rsidR="00FD7B0B" w:rsidRPr="00FD7B0B" w14:paraId="2641AA21" w14:textId="77777777" w:rsidTr="001F6663">
        <w:trPr>
          <w:trHeight w:val="147"/>
        </w:trPr>
        <w:tc>
          <w:tcPr>
            <w:tcW w:w="5230" w:type="dxa"/>
            <w:shd w:val="clear" w:color="auto" w:fill="auto"/>
            <w:vAlign w:val="center"/>
          </w:tcPr>
          <w:p w14:paraId="5AE8A9BE"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Степень достижения всех показателей государственной программы </w:t>
            </w:r>
          </w:p>
        </w:tc>
        <w:tc>
          <w:tcPr>
            <w:tcW w:w="992" w:type="dxa"/>
            <w:shd w:val="clear" w:color="auto" w:fill="auto"/>
            <w:vAlign w:val="center"/>
          </w:tcPr>
          <w:p w14:paraId="2AC4B192"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c>
          <w:tcPr>
            <w:tcW w:w="851" w:type="dxa"/>
          </w:tcPr>
          <w:p w14:paraId="56DCF5D2"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c>
          <w:tcPr>
            <w:tcW w:w="850" w:type="dxa"/>
          </w:tcPr>
          <w:p w14:paraId="75CF5393"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c>
          <w:tcPr>
            <w:tcW w:w="1713" w:type="dxa"/>
          </w:tcPr>
          <w:p w14:paraId="2DC629E3"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100,00</w:t>
            </w:r>
          </w:p>
        </w:tc>
      </w:tr>
      <w:tr w:rsidR="00FD7B0B" w:rsidRPr="00FD7B0B" w14:paraId="6B38471D" w14:textId="77777777" w:rsidTr="000B08C9">
        <w:trPr>
          <w:trHeight w:val="243"/>
        </w:trPr>
        <w:tc>
          <w:tcPr>
            <w:tcW w:w="5230" w:type="dxa"/>
            <w:shd w:val="clear" w:color="auto" w:fill="auto"/>
            <w:vAlign w:val="center"/>
          </w:tcPr>
          <w:p w14:paraId="40288476"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степени</w:t>
            </w:r>
            <w:r w:rsidRPr="00FD7B0B">
              <w:rPr>
                <w:rFonts w:ascii="Times New Roman" w:hAnsi="Times New Roman" w:cs="Times New Roman"/>
                <w:sz w:val="16"/>
                <w:szCs w:val="16"/>
              </w:rPr>
              <w:t xml:space="preserve"> достижения всех показателей</w:t>
            </w:r>
          </w:p>
        </w:tc>
        <w:tc>
          <w:tcPr>
            <w:tcW w:w="992" w:type="dxa"/>
            <w:shd w:val="clear" w:color="auto" w:fill="auto"/>
            <w:vAlign w:val="center"/>
          </w:tcPr>
          <w:p w14:paraId="6D6E7FDA"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c>
          <w:tcPr>
            <w:tcW w:w="851" w:type="dxa"/>
          </w:tcPr>
          <w:p w14:paraId="432BB7FF"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c>
          <w:tcPr>
            <w:tcW w:w="850" w:type="dxa"/>
          </w:tcPr>
          <w:p w14:paraId="7F3E7764"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c>
          <w:tcPr>
            <w:tcW w:w="1713" w:type="dxa"/>
          </w:tcPr>
          <w:p w14:paraId="1A773BA7"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r>
      <w:tr w:rsidR="000B08C9" w:rsidRPr="00FD7B0B" w14:paraId="7FA40960" w14:textId="77777777" w:rsidTr="001F6663">
        <w:trPr>
          <w:trHeight w:val="180"/>
        </w:trPr>
        <w:tc>
          <w:tcPr>
            <w:tcW w:w="5230" w:type="dxa"/>
            <w:shd w:val="clear" w:color="auto" w:fill="auto"/>
            <w:vAlign w:val="center"/>
          </w:tcPr>
          <w:p w14:paraId="690D0E61"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доли выполненных показателей государственной программы</w:t>
            </w:r>
          </w:p>
        </w:tc>
        <w:tc>
          <w:tcPr>
            <w:tcW w:w="992" w:type="dxa"/>
            <w:shd w:val="clear" w:color="auto" w:fill="auto"/>
            <w:vAlign w:val="center"/>
          </w:tcPr>
          <w:p w14:paraId="34EDA057"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c>
          <w:tcPr>
            <w:tcW w:w="851" w:type="dxa"/>
          </w:tcPr>
          <w:p w14:paraId="1B2D022C"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c>
          <w:tcPr>
            <w:tcW w:w="850" w:type="dxa"/>
          </w:tcPr>
          <w:p w14:paraId="28B92049"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c>
          <w:tcPr>
            <w:tcW w:w="1713" w:type="dxa"/>
            <w:vAlign w:val="center"/>
          </w:tcPr>
          <w:p w14:paraId="6118633D" w14:textId="77777777" w:rsidR="000B08C9" w:rsidRPr="00FD7B0B" w:rsidRDefault="000B08C9" w:rsidP="0045111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 высокий уровень</w:t>
            </w:r>
          </w:p>
        </w:tc>
      </w:tr>
    </w:tbl>
    <w:p w14:paraId="5308AF7F" w14:textId="77777777" w:rsidR="000B08C9" w:rsidRPr="00FD7B0B" w:rsidRDefault="000B08C9" w:rsidP="001F6663">
      <w:pPr>
        <w:spacing w:after="0" w:line="240" w:lineRule="auto"/>
        <w:ind w:firstLine="709"/>
        <w:jc w:val="center"/>
        <w:rPr>
          <w:rFonts w:ascii="Times New Roman" w:eastAsia="Calibri" w:hAnsi="Times New Roman" w:cs="Times New Roman"/>
          <w:sz w:val="28"/>
          <w:szCs w:val="28"/>
        </w:rPr>
      </w:pPr>
    </w:p>
    <w:p w14:paraId="0F416C4A" w14:textId="32FE5D64" w:rsidR="000B08C9" w:rsidRPr="00FD7B0B" w:rsidRDefault="000B08C9" w:rsidP="001F6663">
      <w:pPr>
        <w:spacing w:after="0" w:line="240" w:lineRule="auto"/>
        <w:ind w:firstLine="709"/>
        <w:jc w:val="center"/>
        <w:rPr>
          <w:rFonts w:ascii="Times New Roman" w:eastAsia="Calibri" w:hAnsi="Times New Roman" w:cs="Times New Roman"/>
          <w:sz w:val="24"/>
          <w:szCs w:val="24"/>
        </w:rPr>
      </w:pPr>
      <w:r w:rsidRPr="00FD7B0B">
        <w:rPr>
          <w:rFonts w:ascii="Times New Roman" w:eastAsia="Calibri" w:hAnsi="Times New Roman" w:cs="Times New Roman"/>
          <w:sz w:val="24"/>
          <w:szCs w:val="24"/>
        </w:rPr>
        <w:lastRenderedPageBreak/>
        <w:t>Оценка формирования и использования системы показателей исходя из приоритетов социально-экономического развития Российской Федерации,</w:t>
      </w:r>
    </w:p>
    <w:p w14:paraId="5BE3FB7E" w14:textId="77777777" w:rsidR="000B08C9" w:rsidRPr="00FD7B0B" w:rsidRDefault="000B08C9" w:rsidP="001F6663">
      <w:pPr>
        <w:spacing w:after="0" w:line="240" w:lineRule="auto"/>
        <w:ind w:firstLine="709"/>
        <w:jc w:val="center"/>
        <w:rPr>
          <w:rFonts w:ascii="Times New Roman" w:eastAsia="Calibri" w:hAnsi="Times New Roman" w:cs="Times New Roman"/>
          <w:sz w:val="24"/>
          <w:szCs w:val="24"/>
        </w:rPr>
      </w:pPr>
      <w:r w:rsidRPr="00FD7B0B">
        <w:rPr>
          <w:rFonts w:ascii="Times New Roman" w:eastAsia="Calibri" w:hAnsi="Times New Roman" w:cs="Times New Roman"/>
          <w:sz w:val="24"/>
          <w:szCs w:val="24"/>
        </w:rPr>
        <w:t>Архангельской области</w:t>
      </w:r>
    </w:p>
    <w:p w14:paraId="635190C7" w14:textId="77777777" w:rsidR="001F6663" w:rsidRPr="00FD7B0B" w:rsidRDefault="001F6663" w:rsidP="000B08C9">
      <w:pPr>
        <w:spacing w:after="0" w:line="240" w:lineRule="auto"/>
        <w:rPr>
          <w:rFonts w:ascii="Times New Roman" w:eastAsia="Calibri" w:hAnsi="Times New Roman" w:cs="Times New Roman"/>
          <w:bCs/>
          <w:sz w:val="24"/>
          <w:szCs w:val="24"/>
        </w:rPr>
      </w:pPr>
    </w:p>
    <w:p w14:paraId="5433FBD8"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125</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xml:space="preserve">. Оценка состава показателей </w:t>
      </w:r>
    </w:p>
    <w:tbl>
      <w:tblPr>
        <w:tblStyle w:val="a7"/>
        <w:tblW w:w="963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5939"/>
        <w:gridCol w:w="1418"/>
        <w:gridCol w:w="850"/>
        <w:gridCol w:w="1427"/>
      </w:tblGrid>
      <w:tr w:rsidR="00FD7B0B" w:rsidRPr="00FD7B0B" w14:paraId="51535093" w14:textId="77777777" w:rsidTr="001F6663">
        <w:trPr>
          <w:tblHeader/>
        </w:trPr>
        <w:tc>
          <w:tcPr>
            <w:tcW w:w="5939" w:type="dxa"/>
          </w:tcPr>
          <w:p w14:paraId="69517CF6" w14:textId="77777777" w:rsidR="000B08C9" w:rsidRPr="00FD7B0B" w:rsidRDefault="000B08C9" w:rsidP="000B08C9">
            <w:pPr>
              <w:autoSpaceDE w:val="0"/>
              <w:autoSpaceDN w:val="0"/>
              <w:adjustRightInd w:val="0"/>
              <w:jc w:val="both"/>
              <w:rPr>
                <w:rFonts w:ascii="Times New Roman" w:hAnsi="Times New Roman"/>
                <w:bCs/>
                <w:sz w:val="16"/>
                <w:szCs w:val="16"/>
              </w:rPr>
            </w:pPr>
          </w:p>
        </w:tc>
        <w:tc>
          <w:tcPr>
            <w:tcW w:w="1418" w:type="dxa"/>
          </w:tcPr>
          <w:p w14:paraId="7633CDFE"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Количество, ед.</w:t>
            </w:r>
          </w:p>
        </w:tc>
        <w:tc>
          <w:tcPr>
            <w:tcW w:w="850" w:type="dxa"/>
          </w:tcPr>
          <w:p w14:paraId="3C72874E"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Доля, %</w:t>
            </w:r>
          </w:p>
        </w:tc>
        <w:tc>
          <w:tcPr>
            <w:tcW w:w="1427" w:type="dxa"/>
          </w:tcPr>
          <w:p w14:paraId="10BD82E5"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Оценка</w:t>
            </w:r>
          </w:p>
        </w:tc>
      </w:tr>
      <w:tr w:rsidR="00FD7B0B" w:rsidRPr="00FD7B0B" w14:paraId="642503F3" w14:textId="77777777" w:rsidTr="001F6663">
        <w:tc>
          <w:tcPr>
            <w:tcW w:w="5939" w:type="dxa"/>
          </w:tcPr>
          <w:p w14:paraId="0446F8E3" w14:textId="77777777" w:rsidR="000B08C9" w:rsidRPr="00FD7B0B" w:rsidRDefault="000B08C9" w:rsidP="000B08C9">
            <w:pPr>
              <w:rPr>
                <w:rFonts w:ascii="Times New Roman" w:hAnsi="Times New Roman"/>
                <w:bCs/>
                <w:sz w:val="16"/>
                <w:szCs w:val="16"/>
              </w:rPr>
            </w:pPr>
            <w:r w:rsidRPr="00FD7B0B">
              <w:rPr>
                <w:rFonts w:ascii="Times New Roman" w:hAnsi="Times New Roman"/>
                <w:sz w:val="16"/>
                <w:szCs w:val="16"/>
              </w:rPr>
              <w:t>количество показателей государственной программы, характеризующих непосредственные результаты</w:t>
            </w:r>
          </w:p>
        </w:tc>
        <w:tc>
          <w:tcPr>
            <w:tcW w:w="1418" w:type="dxa"/>
          </w:tcPr>
          <w:p w14:paraId="31C6DC01"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0</w:t>
            </w:r>
          </w:p>
        </w:tc>
        <w:tc>
          <w:tcPr>
            <w:tcW w:w="850" w:type="dxa"/>
          </w:tcPr>
          <w:p w14:paraId="34F2ED67"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0</w:t>
            </w:r>
          </w:p>
        </w:tc>
        <w:tc>
          <w:tcPr>
            <w:tcW w:w="1427" w:type="dxa"/>
          </w:tcPr>
          <w:p w14:paraId="668A567E" w14:textId="77777777" w:rsidR="000B08C9" w:rsidRPr="00FD7B0B" w:rsidRDefault="000B08C9" w:rsidP="000B08C9">
            <w:pPr>
              <w:autoSpaceDE w:val="0"/>
              <w:autoSpaceDN w:val="0"/>
              <w:adjustRightInd w:val="0"/>
              <w:jc w:val="center"/>
              <w:rPr>
                <w:rFonts w:ascii="Times New Roman" w:hAnsi="Times New Roman"/>
                <w:bCs/>
                <w:sz w:val="16"/>
                <w:szCs w:val="16"/>
              </w:rPr>
            </w:pPr>
          </w:p>
        </w:tc>
      </w:tr>
      <w:tr w:rsidR="00FD7B0B" w:rsidRPr="00FD7B0B" w14:paraId="28BE5665" w14:textId="77777777" w:rsidTr="001F6663">
        <w:trPr>
          <w:trHeight w:val="415"/>
        </w:trPr>
        <w:tc>
          <w:tcPr>
            <w:tcW w:w="5939" w:type="dxa"/>
          </w:tcPr>
          <w:p w14:paraId="7B157BDB" w14:textId="77777777" w:rsidR="000B08C9" w:rsidRPr="00FD7B0B" w:rsidRDefault="000B08C9" w:rsidP="000B08C9">
            <w:pPr>
              <w:rPr>
                <w:rFonts w:ascii="Times New Roman" w:eastAsia="Times New Roman" w:hAnsi="Times New Roman"/>
                <w:i/>
                <w:sz w:val="16"/>
                <w:szCs w:val="16"/>
              </w:rPr>
            </w:pPr>
            <w:r w:rsidRPr="00FD7B0B">
              <w:rPr>
                <w:rFonts w:ascii="Times New Roman" w:hAnsi="Times New Roman"/>
                <w:sz w:val="16"/>
                <w:szCs w:val="16"/>
              </w:rPr>
              <w:t>количество показателей государственной программы, характеризующих конечные результаты и итоговые эффекты</w:t>
            </w:r>
          </w:p>
        </w:tc>
        <w:tc>
          <w:tcPr>
            <w:tcW w:w="1418" w:type="dxa"/>
          </w:tcPr>
          <w:p w14:paraId="023D870F"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5</w:t>
            </w:r>
          </w:p>
        </w:tc>
        <w:tc>
          <w:tcPr>
            <w:tcW w:w="850" w:type="dxa"/>
          </w:tcPr>
          <w:p w14:paraId="0D72FFBA"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100,00</w:t>
            </w:r>
          </w:p>
          <w:p w14:paraId="0FC93BAC" w14:textId="77777777" w:rsidR="000B08C9" w:rsidRPr="00FD7B0B" w:rsidRDefault="000B08C9" w:rsidP="000B08C9">
            <w:pPr>
              <w:autoSpaceDE w:val="0"/>
              <w:autoSpaceDN w:val="0"/>
              <w:adjustRightInd w:val="0"/>
              <w:rPr>
                <w:rFonts w:ascii="Times New Roman" w:hAnsi="Times New Roman"/>
                <w:bCs/>
                <w:sz w:val="16"/>
                <w:szCs w:val="16"/>
              </w:rPr>
            </w:pPr>
          </w:p>
        </w:tc>
        <w:tc>
          <w:tcPr>
            <w:tcW w:w="1427" w:type="dxa"/>
          </w:tcPr>
          <w:p w14:paraId="3602E956" w14:textId="77777777" w:rsidR="000B08C9" w:rsidRPr="00FD7B0B" w:rsidRDefault="000B08C9" w:rsidP="000B08C9">
            <w:pPr>
              <w:autoSpaceDE w:val="0"/>
              <w:autoSpaceDN w:val="0"/>
              <w:adjustRightInd w:val="0"/>
              <w:jc w:val="center"/>
              <w:rPr>
                <w:rFonts w:ascii="Times New Roman" w:hAnsi="Times New Roman"/>
                <w:bCs/>
                <w:sz w:val="16"/>
                <w:szCs w:val="16"/>
              </w:rPr>
            </w:pPr>
          </w:p>
        </w:tc>
      </w:tr>
      <w:tr w:rsidR="00FD7B0B" w:rsidRPr="00FD7B0B" w14:paraId="4699690B" w14:textId="77777777" w:rsidTr="001F6663">
        <w:trPr>
          <w:trHeight w:val="415"/>
        </w:trPr>
        <w:tc>
          <w:tcPr>
            <w:tcW w:w="5939" w:type="dxa"/>
          </w:tcPr>
          <w:p w14:paraId="2905257A" w14:textId="77777777" w:rsidR="000B08C9" w:rsidRPr="00FD7B0B" w:rsidRDefault="000B08C9" w:rsidP="000B08C9">
            <w:pPr>
              <w:rPr>
                <w:rFonts w:ascii="Times New Roman" w:hAnsi="Times New Roman"/>
                <w:bCs/>
                <w:sz w:val="16"/>
                <w:szCs w:val="16"/>
              </w:rPr>
            </w:pPr>
            <w:r w:rsidRPr="00FD7B0B">
              <w:rPr>
                <w:rFonts w:ascii="Times New Roman" w:hAnsi="Times New Roman"/>
                <w:sz w:val="16"/>
                <w:szCs w:val="16"/>
              </w:rPr>
              <w:t>количество показателей государственной программы, характеризующих иные результаты</w:t>
            </w:r>
          </w:p>
        </w:tc>
        <w:tc>
          <w:tcPr>
            <w:tcW w:w="1418" w:type="dxa"/>
          </w:tcPr>
          <w:p w14:paraId="457B896B"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0</w:t>
            </w:r>
          </w:p>
        </w:tc>
        <w:tc>
          <w:tcPr>
            <w:tcW w:w="850" w:type="dxa"/>
          </w:tcPr>
          <w:p w14:paraId="2F53AE61"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0</w:t>
            </w:r>
          </w:p>
        </w:tc>
        <w:tc>
          <w:tcPr>
            <w:tcW w:w="1427" w:type="dxa"/>
          </w:tcPr>
          <w:p w14:paraId="38559748" w14:textId="77777777" w:rsidR="000B08C9" w:rsidRPr="00FD7B0B" w:rsidRDefault="000B08C9" w:rsidP="000B08C9">
            <w:pPr>
              <w:autoSpaceDE w:val="0"/>
              <w:autoSpaceDN w:val="0"/>
              <w:adjustRightInd w:val="0"/>
              <w:jc w:val="center"/>
              <w:rPr>
                <w:rFonts w:ascii="Times New Roman" w:hAnsi="Times New Roman"/>
                <w:bCs/>
                <w:sz w:val="16"/>
                <w:szCs w:val="16"/>
              </w:rPr>
            </w:pPr>
          </w:p>
        </w:tc>
      </w:tr>
      <w:tr w:rsidR="000B08C9" w:rsidRPr="00FD7B0B" w14:paraId="260137A5" w14:textId="77777777" w:rsidTr="001F6663">
        <w:tc>
          <w:tcPr>
            <w:tcW w:w="5939" w:type="dxa"/>
          </w:tcPr>
          <w:p w14:paraId="065F9434" w14:textId="77777777" w:rsidR="000B08C9" w:rsidRPr="00FD7B0B" w:rsidRDefault="000B08C9" w:rsidP="000B08C9">
            <w:pPr>
              <w:rPr>
                <w:rFonts w:ascii="Times New Roman" w:hAnsi="Times New Roman"/>
                <w:sz w:val="16"/>
                <w:szCs w:val="16"/>
              </w:rPr>
            </w:pPr>
            <w:r w:rsidRPr="00FD7B0B">
              <w:rPr>
                <w:rFonts w:ascii="Times New Roman" w:hAnsi="Times New Roman"/>
                <w:sz w:val="16"/>
                <w:szCs w:val="16"/>
              </w:rPr>
              <w:t>Общее количество показателей государственной программы</w:t>
            </w:r>
          </w:p>
        </w:tc>
        <w:tc>
          <w:tcPr>
            <w:tcW w:w="1418" w:type="dxa"/>
          </w:tcPr>
          <w:p w14:paraId="1BC55420"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5</w:t>
            </w:r>
          </w:p>
        </w:tc>
        <w:tc>
          <w:tcPr>
            <w:tcW w:w="850" w:type="dxa"/>
          </w:tcPr>
          <w:p w14:paraId="7C39232B"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100,00</w:t>
            </w:r>
          </w:p>
        </w:tc>
        <w:tc>
          <w:tcPr>
            <w:tcW w:w="1427" w:type="dxa"/>
          </w:tcPr>
          <w:p w14:paraId="370716C4" w14:textId="77777777" w:rsidR="000B08C9" w:rsidRPr="00FD7B0B" w:rsidRDefault="000B08C9" w:rsidP="000B08C9">
            <w:pPr>
              <w:autoSpaceDE w:val="0"/>
              <w:autoSpaceDN w:val="0"/>
              <w:adjustRightInd w:val="0"/>
              <w:jc w:val="center"/>
              <w:rPr>
                <w:rFonts w:ascii="Times New Roman" w:hAnsi="Times New Roman"/>
                <w:bCs/>
                <w:sz w:val="16"/>
                <w:szCs w:val="16"/>
              </w:rPr>
            </w:pPr>
            <w:r w:rsidRPr="00FD7B0B">
              <w:rPr>
                <w:rFonts w:ascii="Times New Roman" w:hAnsi="Times New Roman"/>
                <w:bCs/>
                <w:sz w:val="16"/>
                <w:szCs w:val="16"/>
              </w:rPr>
              <w:t>Высокий уровень</w:t>
            </w:r>
          </w:p>
        </w:tc>
      </w:tr>
    </w:tbl>
    <w:p w14:paraId="17C071A3" w14:textId="77777777" w:rsidR="000B08C9" w:rsidRPr="00FD7B0B" w:rsidRDefault="000B08C9" w:rsidP="000B08C9">
      <w:pPr>
        <w:spacing w:after="0" w:line="240" w:lineRule="auto"/>
        <w:rPr>
          <w:rFonts w:ascii="Times New Roman" w:eastAsia="Calibri" w:hAnsi="Times New Roman" w:cs="Times New Roman"/>
          <w:bCs/>
          <w:sz w:val="24"/>
          <w:szCs w:val="24"/>
        </w:rPr>
      </w:pPr>
    </w:p>
    <w:p w14:paraId="4CD432A3"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126</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Оценка стабильности состава показателей на протяжении отчетного года</w:t>
      </w:r>
    </w:p>
    <w:tbl>
      <w:tblPr>
        <w:tblW w:w="976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207"/>
        <w:gridCol w:w="567"/>
        <w:gridCol w:w="993"/>
      </w:tblGrid>
      <w:tr w:rsidR="00FD7B0B" w:rsidRPr="00FD7B0B" w14:paraId="1407598F" w14:textId="77777777" w:rsidTr="00A41985">
        <w:trPr>
          <w:trHeight w:val="379"/>
        </w:trPr>
        <w:tc>
          <w:tcPr>
            <w:tcW w:w="8207" w:type="dxa"/>
            <w:shd w:val="clear" w:color="auto" w:fill="auto"/>
            <w:vAlign w:val="center"/>
            <w:hideMark/>
          </w:tcPr>
          <w:p w14:paraId="03A76871" w14:textId="77777777" w:rsidR="000B08C9" w:rsidRPr="00FD7B0B" w:rsidRDefault="000B08C9" w:rsidP="000B08C9">
            <w:pPr>
              <w:spacing w:after="0" w:line="240" w:lineRule="auto"/>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 xml:space="preserve">коэффициент стабильности состава показателей (индикаторов) государственной программы </w:t>
            </w:r>
          </w:p>
        </w:tc>
        <w:tc>
          <w:tcPr>
            <w:tcW w:w="567" w:type="dxa"/>
            <w:shd w:val="clear" w:color="auto" w:fill="auto"/>
            <w:noWrap/>
            <w:vAlign w:val="center"/>
            <w:hideMark/>
          </w:tcPr>
          <w:p w14:paraId="485E66A1"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80%</w:t>
            </w:r>
          </w:p>
        </w:tc>
        <w:tc>
          <w:tcPr>
            <w:tcW w:w="993" w:type="dxa"/>
            <w:shd w:val="clear" w:color="auto" w:fill="auto"/>
            <w:vAlign w:val="center"/>
            <w:hideMark/>
          </w:tcPr>
          <w:p w14:paraId="68941570"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Средний уровень</w:t>
            </w:r>
          </w:p>
        </w:tc>
      </w:tr>
      <w:tr w:rsidR="00FD7B0B" w:rsidRPr="00FD7B0B" w14:paraId="7E25DD5E" w14:textId="77777777" w:rsidTr="00A41985">
        <w:trPr>
          <w:trHeight w:val="160"/>
        </w:trPr>
        <w:tc>
          <w:tcPr>
            <w:tcW w:w="8207" w:type="dxa"/>
            <w:shd w:val="clear" w:color="auto" w:fill="auto"/>
            <w:vAlign w:val="center"/>
            <w:hideMark/>
          </w:tcPr>
          <w:p w14:paraId="79037DB1"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hAnsi="Times New Roman" w:cs="Times New Roman"/>
                <w:sz w:val="16"/>
                <w:szCs w:val="16"/>
              </w:rPr>
              <w:t>количество показателей государственной программы (на 31 декабря отчетного года), достижение которых было запланировано в отчетном году и по которым на протяжении отчетного года не менялась методика их расчета</w:t>
            </w:r>
          </w:p>
        </w:tc>
        <w:tc>
          <w:tcPr>
            <w:tcW w:w="567" w:type="dxa"/>
            <w:shd w:val="clear" w:color="auto" w:fill="auto"/>
            <w:noWrap/>
            <w:vAlign w:val="center"/>
            <w:hideMark/>
          </w:tcPr>
          <w:p w14:paraId="15F9D8BA"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p w14:paraId="2CFC20ED"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w:t>
            </w:r>
          </w:p>
        </w:tc>
        <w:tc>
          <w:tcPr>
            <w:tcW w:w="993" w:type="dxa"/>
            <w:shd w:val="clear" w:color="auto" w:fill="auto"/>
            <w:noWrap/>
            <w:vAlign w:val="center"/>
            <w:hideMark/>
          </w:tcPr>
          <w:p w14:paraId="5F87F744"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r>
      <w:tr w:rsidR="000B08C9" w:rsidRPr="00FD7B0B" w14:paraId="0A510986" w14:textId="77777777" w:rsidTr="00A41985">
        <w:trPr>
          <w:trHeight w:val="291"/>
        </w:trPr>
        <w:tc>
          <w:tcPr>
            <w:tcW w:w="8207" w:type="dxa"/>
            <w:shd w:val="clear" w:color="auto" w:fill="auto"/>
            <w:vAlign w:val="center"/>
            <w:hideMark/>
          </w:tcPr>
          <w:p w14:paraId="0DAA4E0C"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hAnsi="Times New Roman" w:cs="Times New Roman"/>
                <w:sz w:val="16"/>
                <w:szCs w:val="16"/>
              </w:rPr>
              <w:t>общее количество показателей государственной программы, достижение которых было запланировано в отчетном году хотя бы в одной из редакций государственной программы, утвержденных начиная с начала отчетного года</w:t>
            </w:r>
          </w:p>
        </w:tc>
        <w:tc>
          <w:tcPr>
            <w:tcW w:w="567" w:type="dxa"/>
            <w:shd w:val="clear" w:color="auto" w:fill="auto"/>
            <w:noWrap/>
            <w:vAlign w:val="center"/>
            <w:hideMark/>
          </w:tcPr>
          <w:p w14:paraId="5980CF3D"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993" w:type="dxa"/>
            <w:shd w:val="clear" w:color="auto" w:fill="auto"/>
            <w:noWrap/>
            <w:vAlign w:val="center"/>
            <w:hideMark/>
          </w:tcPr>
          <w:p w14:paraId="3D9B4FCC"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r>
    </w:tbl>
    <w:p w14:paraId="61E706EF" w14:textId="77777777" w:rsidR="000B08C9" w:rsidRPr="00FD7B0B" w:rsidRDefault="000B08C9" w:rsidP="000B08C9">
      <w:pPr>
        <w:spacing w:after="0" w:line="240" w:lineRule="auto"/>
        <w:rPr>
          <w:rFonts w:ascii="Times New Roman" w:eastAsia="Calibri" w:hAnsi="Times New Roman" w:cs="Times New Roman"/>
          <w:bCs/>
          <w:sz w:val="24"/>
          <w:szCs w:val="24"/>
        </w:rPr>
      </w:pPr>
    </w:p>
    <w:p w14:paraId="7701F3EF"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127</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Оценка стабильности состава показателей за три года</w:t>
      </w:r>
    </w:p>
    <w:tbl>
      <w:tblPr>
        <w:tblW w:w="962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7923"/>
        <w:gridCol w:w="567"/>
        <w:gridCol w:w="1134"/>
      </w:tblGrid>
      <w:tr w:rsidR="00FD7B0B" w:rsidRPr="00FD7B0B" w14:paraId="6831BCB3" w14:textId="77777777" w:rsidTr="001F6663">
        <w:trPr>
          <w:trHeight w:val="54"/>
        </w:trPr>
        <w:tc>
          <w:tcPr>
            <w:tcW w:w="9624" w:type="dxa"/>
            <w:gridSpan w:val="3"/>
          </w:tcPr>
          <w:p w14:paraId="20F8145B"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bCs/>
                <w:sz w:val="16"/>
                <w:szCs w:val="16"/>
                <w:lang w:eastAsia="ru-RU"/>
              </w:rPr>
              <w:t>Оценка стабильности состава показателей (индикаторов)</w:t>
            </w:r>
          </w:p>
        </w:tc>
      </w:tr>
      <w:tr w:rsidR="00FD7B0B" w:rsidRPr="00FD7B0B" w14:paraId="0909CF2D" w14:textId="77777777" w:rsidTr="001F6663">
        <w:trPr>
          <w:trHeight w:val="379"/>
        </w:trPr>
        <w:tc>
          <w:tcPr>
            <w:tcW w:w="7923" w:type="dxa"/>
            <w:shd w:val="clear" w:color="auto" w:fill="auto"/>
            <w:vAlign w:val="center"/>
            <w:hideMark/>
          </w:tcPr>
          <w:p w14:paraId="57211078"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bCs/>
                <w:sz w:val="16"/>
                <w:szCs w:val="16"/>
                <w:lang w:eastAsia="ru-RU"/>
              </w:rPr>
              <w:t xml:space="preserve">коэффициент стабильности состава показателей (индикаторов) государственной программы </w:t>
            </w:r>
          </w:p>
        </w:tc>
        <w:tc>
          <w:tcPr>
            <w:tcW w:w="567" w:type="dxa"/>
            <w:shd w:val="clear" w:color="auto" w:fill="auto"/>
            <w:noWrap/>
            <w:vAlign w:val="center"/>
            <w:hideMark/>
          </w:tcPr>
          <w:p w14:paraId="2A81A596"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80%</w:t>
            </w:r>
          </w:p>
        </w:tc>
        <w:tc>
          <w:tcPr>
            <w:tcW w:w="1134" w:type="dxa"/>
            <w:shd w:val="clear" w:color="auto" w:fill="auto"/>
            <w:vAlign w:val="center"/>
            <w:hideMark/>
          </w:tcPr>
          <w:p w14:paraId="4ABA24BD"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Средний</w:t>
            </w:r>
          </w:p>
          <w:p w14:paraId="622037CE" w14:textId="77777777" w:rsidR="000B08C9" w:rsidRPr="00FD7B0B" w:rsidRDefault="000B08C9" w:rsidP="000B08C9">
            <w:pPr>
              <w:spacing w:after="0" w:line="240" w:lineRule="auto"/>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sz w:val="16"/>
                <w:szCs w:val="16"/>
                <w:lang w:eastAsia="ru-RU"/>
              </w:rPr>
              <w:t>уровень</w:t>
            </w:r>
          </w:p>
        </w:tc>
      </w:tr>
      <w:tr w:rsidR="00FD7B0B" w:rsidRPr="00FD7B0B" w14:paraId="327A42D4" w14:textId="77777777" w:rsidTr="001F6663">
        <w:trPr>
          <w:trHeight w:val="573"/>
        </w:trPr>
        <w:tc>
          <w:tcPr>
            <w:tcW w:w="7923" w:type="dxa"/>
            <w:shd w:val="clear" w:color="auto" w:fill="auto"/>
            <w:vAlign w:val="center"/>
            <w:hideMark/>
          </w:tcPr>
          <w:p w14:paraId="585DB60E"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количество показателей (индикаторов), по которым осуществлялся мониторинг в отчетном году и по которым на протяжении трех последних лет (отчетный год и два года, предшествующие отчетному) или с момента начала их мониторинга не изменялась методика их расчета</w:t>
            </w:r>
          </w:p>
        </w:tc>
        <w:tc>
          <w:tcPr>
            <w:tcW w:w="567" w:type="dxa"/>
            <w:shd w:val="clear" w:color="auto" w:fill="auto"/>
            <w:noWrap/>
            <w:vAlign w:val="center"/>
            <w:hideMark/>
          </w:tcPr>
          <w:p w14:paraId="1E1E2695"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p w14:paraId="05BAE066"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w:t>
            </w:r>
          </w:p>
        </w:tc>
        <w:tc>
          <w:tcPr>
            <w:tcW w:w="1134" w:type="dxa"/>
            <w:shd w:val="clear" w:color="auto" w:fill="auto"/>
            <w:noWrap/>
            <w:vAlign w:val="center"/>
            <w:hideMark/>
          </w:tcPr>
          <w:p w14:paraId="6D3F5A5B"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r>
      <w:tr w:rsidR="000B08C9" w:rsidRPr="00FD7B0B" w14:paraId="451F3AD4" w14:textId="77777777" w:rsidTr="001F6663">
        <w:trPr>
          <w:trHeight w:val="284"/>
        </w:trPr>
        <w:tc>
          <w:tcPr>
            <w:tcW w:w="7923" w:type="dxa"/>
            <w:shd w:val="clear" w:color="auto" w:fill="auto"/>
            <w:vAlign w:val="center"/>
            <w:hideMark/>
          </w:tcPr>
          <w:p w14:paraId="17629CE7"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общее количество показателей (индикаторов), по которым хотя бы один раз на протяжении трех последних лет (отчетный год и два года, предшествующие отчетному) осуществлялся их мониторинг</w:t>
            </w:r>
          </w:p>
        </w:tc>
        <w:tc>
          <w:tcPr>
            <w:tcW w:w="567" w:type="dxa"/>
            <w:shd w:val="clear" w:color="auto" w:fill="auto"/>
            <w:noWrap/>
            <w:vAlign w:val="center"/>
            <w:hideMark/>
          </w:tcPr>
          <w:p w14:paraId="3D2A143F"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1134" w:type="dxa"/>
            <w:shd w:val="clear" w:color="auto" w:fill="auto"/>
            <w:noWrap/>
            <w:vAlign w:val="center"/>
            <w:hideMark/>
          </w:tcPr>
          <w:p w14:paraId="125795EC"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r>
    </w:tbl>
    <w:p w14:paraId="5A20A46A"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p>
    <w:p w14:paraId="315068B3" w14:textId="77777777" w:rsidR="000B08C9" w:rsidRPr="00FD7B0B" w:rsidRDefault="000B08C9" w:rsidP="001F6663">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128</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Оценка динамики плановых (фактических) значений показателей за 2022 –2025 гг.</w:t>
      </w:r>
    </w:p>
    <w:tbl>
      <w:tblPr>
        <w:tblW w:w="96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232"/>
        <w:gridCol w:w="709"/>
        <w:gridCol w:w="1418"/>
        <w:gridCol w:w="1275"/>
      </w:tblGrid>
      <w:tr w:rsidR="00FD7B0B" w:rsidRPr="00FD7B0B" w14:paraId="7B9577C5" w14:textId="77777777" w:rsidTr="001F6663">
        <w:trPr>
          <w:trHeight w:val="126"/>
        </w:trPr>
        <w:tc>
          <w:tcPr>
            <w:tcW w:w="6232" w:type="dxa"/>
            <w:shd w:val="clear" w:color="auto" w:fill="auto"/>
            <w:vAlign w:val="center"/>
            <w:hideMark/>
          </w:tcPr>
          <w:p w14:paraId="74CD6DF8"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bCs/>
                <w:sz w:val="16"/>
                <w:szCs w:val="16"/>
                <w:lang w:eastAsia="ru-RU"/>
              </w:rPr>
              <w:t>Оценка динамики плановых (фактических) значений показателей (индикаторов)</w:t>
            </w:r>
          </w:p>
        </w:tc>
        <w:tc>
          <w:tcPr>
            <w:tcW w:w="709" w:type="dxa"/>
            <w:shd w:val="clear" w:color="auto" w:fill="auto"/>
            <w:noWrap/>
            <w:vAlign w:val="center"/>
            <w:hideMark/>
          </w:tcPr>
          <w:p w14:paraId="0800C639"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Кол-во</w:t>
            </w:r>
          </w:p>
        </w:tc>
        <w:tc>
          <w:tcPr>
            <w:tcW w:w="1418" w:type="dxa"/>
            <w:shd w:val="clear" w:color="auto" w:fill="auto"/>
            <w:noWrap/>
            <w:vAlign w:val="center"/>
            <w:hideMark/>
          </w:tcPr>
          <w:p w14:paraId="20C12764" w14:textId="77777777" w:rsidR="000B08C9" w:rsidRPr="00FD7B0B" w:rsidRDefault="000B08C9" w:rsidP="001F6663">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Удельный вес</w:t>
            </w:r>
          </w:p>
        </w:tc>
        <w:tc>
          <w:tcPr>
            <w:tcW w:w="1275" w:type="dxa"/>
            <w:shd w:val="clear" w:color="auto" w:fill="auto"/>
            <w:noWrap/>
            <w:vAlign w:val="center"/>
            <w:hideMark/>
          </w:tcPr>
          <w:p w14:paraId="2D10E106"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p>
        </w:tc>
      </w:tr>
      <w:tr w:rsidR="00FD7B0B" w:rsidRPr="00FD7B0B" w14:paraId="0105D2EE" w14:textId="77777777" w:rsidTr="000B08C9">
        <w:trPr>
          <w:trHeight w:val="98"/>
        </w:trPr>
        <w:tc>
          <w:tcPr>
            <w:tcW w:w="6232" w:type="dxa"/>
            <w:shd w:val="clear" w:color="auto" w:fill="auto"/>
            <w:noWrap/>
            <w:vAlign w:val="center"/>
            <w:hideMark/>
          </w:tcPr>
          <w:p w14:paraId="3020C38B"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количество показателей с положительной динамикой</w:t>
            </w:r>
          </w:p>
        </w:tc>
        <w:tc>
          <w:tcPr>
            <w:tcW w:w="709" w:type="dxa"/>
            <w:shd w:val="clear" w:color="auto" w:fill="auto"/>
            <w:noWrap/>
            <w:vAlign w:val="center"/>
            <w:hideMark/>
          </w:tcPr>
          <w:p w14:paraId="73FA7273"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w:t>
            </w:r>
          </w:p>
        </w:tc>
        <w:tc>
          <w:tcPr>
            <w:tcW w:w="1418" w:type="dxa"/>
            <w:shd w:val="clear" w:color="auto" w:fill="auto"/>
            <w:noWrap/>
            <w:vAlign w:val="center"/>
            <w:hideMark/>
          </w:tcPr>
          <w:p w14:paraId="6A05A680"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w:t>
            </w:r>
          </w:p>
        </w:tc>
        <w:tc>
          <w:tcPr>
            <w:tcW w:w="1275" w:type="dxa"/>
            <w:shd w:val="clear" w:color="auto" w:fill="auto"/>
            <w:noWrap/>
            <w:vAlign w:val="center"/>
            <w:hideMark/>
          </w:tcPr>
          <w:p w14:paraId="75D17F19" w14:textId="77777777" w:rsidR="000B08C9" w:rsidRPr="00FD7B0B" w:rsidRDefault="000B08C9" w:rsidP="000B08C9">
            <w:pPr>
              <w:spacing w:after="0" w:line="240" w:lineRule="auto"/>
              <w:jc w:val="right"/>
              <w:rPr>
                <w:rFonts w:ascii="Times New Roman" w:eastAsia="Times New Roman" w:hAnsi="Times New Roman" w:cs="Times New Roman"/>
                <w:sz w:val="16"/>
                <w:szCs w:val="16"/>
                <w:lang w:eastAsia="ru-RU"/>
              </w:rPr>
            </w:pPr>
          </w:p>
        </w:tc>
      </w:tr>
      <w:tr w:rsidR="00FD7B0B" w:rsidRPr="00FD7B0B" w14:paraId="74133284" w14:textId="77777777" w:rsidTr="000B08C9">
        <w:trPr>
          <w:trHeight w:val="144"/>
        </w:trPr>
        <w:tc>
          <w:tcPr>
            <w:tcW w:w="6232" w:type="dxa"/>
            <w:shd w:val="clear" w:color="auto" w:fill="auto"/>
            <w:noWrap/>
            <w:vAlign w:val="center"/>
            <w:hideMark/>
          </w:tcPr>
          <w:p w14:paraId="577996DA"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количество показателей без динамики </w:t>
            </w:r>
          </w:p>
        </w:tc>
        <w:tc>
          <w:tcPr>
            <w:tcW w:w="709" w:type="dxa"/>
            <w:shd w:val="clear" w:color="auto" w:fill="auto"/>
            <w:noWrap/>
            <w:vAlign w:val="center"/>
            <w:hideMark/>
          </w:tcPr>
          <w:p w14:paraId="6E9D1158"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val="en-US" w:eastAsia="ru-RU"/>
              </w:rPr>
            </w:pPr>
            <w:r w:rsidRPr="00FD7B0B">
              <w:rPr>
                <w:rFonts w:ascii="Times New Roman" w:eastAsia="Times New Roman" w:hAnsi="Times New Roman" w:cs="Times New Roman"/>
                <w:sz w:val="16"/>
                <w:szCs w:val="16"/>
                <w:lang w:val="en-US" w:eastAsia="ru-RU"/>
              </w:rPr>
              <w:t>3</w:t>
            </w:r>
          </w:p>
        </w:tc>
        <w:tc>
          <w:tcPr>
            <w:tcW w:w="1418" w:type="dxa"/>
            <w:shd w:val="clear" w:color="auto" w:fill="auto"/>
            <w:noWrap/>
            <w:vAlign w:val="center"/>
            <w:hideMark/>
          </w:tcPr>
          <w:p w14:paraId="1AAF54B5"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c>
          <w:tcPr>
            <w:tcW w:w="1275" w:type="dxa"/>
            <w:shd w:val="clear" w:color="auto" w:fill="auto"/>
            <w:noWrap/>
            <w:vAlign w:val="center"/>
            <w:hideMark/>
          </w:tcPr>
          <w:p w14:paraId="5351616B" w14:textId="77777777" w:rsidR="000B08C9" w:rsidRPr="00FD7B0B" w:rsidRDefault="000B08C9" w:rsidP="000B08C9">
            <w:pPr>
              <w:spacing w:after="0" w:line="240" w:lineRule="auto"/>
              <w:jc w:val="right"/>
              <w:rPr>
                <w:rFonts w:ascii="Times New Roman" w:eastAsia="Times New Roman" w:hAnsi="Times New Roman" w:cs="Times New Roman"/>
                <w:sz w:val="16"/>
                <w:szCs w:val="16"/>
                <w:lang w:eastAsia="ru-RU"/>
              </w:rPr>
            </w:pPr>
          </w:p>
        </w:tc>
      </w:tr>
      <w:tr w:rsidR="00FD7B0B" w:rsidRPr="00FD7B0B" w14:paraId="219DE24B" w14:textId="77777777" w:rsidTr="000B08C9">
        <w:trPr>
          <w:trHeight w:val="50"/>
        </w:trPr>
        <w:tc>
          <w:tcPr>
            <w:tcW w:w="6232" w:type="dxa"/>
            <w:shd w:val="clear" w:color="auto" w:fill="auto"/>
            <w:noWrap/>
            <w:vAlign w:val="center"/>
            <w:hideMark/>
          </w:tcPr>
          <w:p w14:paraId="1F85DA55"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количество показателей c отрицательной динамикой </w:t>
            </w:r>
          </w:p>
        </w:tc>
        <w:tc>
          <w:tcPr>
            <w:tcW w:w="709" w:type="dxa"/>
            <w:shd w:val="clear" w:color="auto" w:fill="auto"/>
            <w:noWrap/>
            <w:vAlign w:val="center"/>
            <w:hideMark/>
          </w:tcPr>
          <w:p w14:paraId="6D15A367"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w:t>
            </w:r>
          </w:p>
        </w:tc>
        <w:tc>
          <w:tcPr>
            <w:tcW w:w="1418" w:type="dxa"/>
            <w:shd w:val="clear" w:color="auto" w:fill="auto"/>
            <w:noWrap/>
            <w:vAlign w:val="center"/>
            <w:hideMark/>
          </w:tcPr>
          <w:p w14:paraId="722A8CEB"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w:t>
            </w:r>
          </w:p>
        </w:tc>
        <w:tc>
          <w:tcPr>
            <w:tcW w:w="1275" w:type="dxa"/>
            <w:shd w:val="clear" w:color="auto" w:fill="auto"/>
            <w:vAlign w:val="center"/>
            <w:hideMark/>
          </w:tcPr>
          <w:p w14:paraId="656CFFCA"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p>
        </w:tc>
      </w:tr>
      <w:tr w:rsidR="000B08C9" w:rsidRPr="00FD7B0B" w14:paraId="5DC07BBB" w14:textId="77777777" w:rsidTr="000B08C9">
        <w:trPr>
          <w:trHeight w:val="273"/>
        </w:trPr>
        <w:tc>
          <w:tcPr>
            <w:tcW w:w="6232" w:type="dxa"/>
            <w:shd w:val="clear" w:color="auto" w:fill="auto"/>
            <w:vAlign w:val="center"/>
            <w:hideMark/>
          </w:tcPr>
          <w:p w14:paraId="40FF1F07" w14:textId="77777777" w:rsidR="000B08C9" w:rsidRPr="00FD7B0B" w:rsidRDefault="000B08C9" w:rsidP="000B08C9">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общее количество показателей (индикаторов)</w:t>
            </w:r>
          </w:p>
        </w:tc>
        <w:tc>
          <w:tcPr>
            <w:tcW w:w="709" w:type="dxa"/>
            <w:shd w:val="clear" w:color="auto" w:fill="auto"/>
            <w:noWrap/>
            <w:vAlign w:val="center"/>
            <w:hideMark/>
          </w:tcPr>
          <w:p w14:paraId="165629D6"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1418" w:type="dxa"/>
            <w:shd w:val="clear" w:color="auto" w:fill="auto"/>
            <w:noWrap/>
            <w:vAlign w:val="center"/>
            <w:hideMark/>
          </w:tcPr>
          <w:p w14:paraId="028FA580"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c>
          <w:tcPr>
            <w:tcW w:w="1275" w:type="dxa"/>
            <w:shd w:val="clear" w:color="auto" w:fill="auto"/>
            <w:noWrap/>
            <w:vAlign w:val="center"/>
            <w:hideMark/>
          </w:tcPr>
          <w:p w14:paraId="5BCCE029" w14:textId="77777777" w:rsidR="000B08C9" w:rsidRPr="00FD7B0B" w:rsidRDefault="000B08C9" w:rsidP="000B08C9">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r>
    </w:tbl>
    <w:p w14:paraId="3C57A8EC" w14:textId="77777777" w:rsidR="000B08C9" w:rsidRPr="00FD7B0B" w:rsidRDefault="000B08C9" w:rsidP="000B08C9">
      <w:pPr>
        <w:spacing w:after="0" w:line="240" w:lineRule="auto"/>
        <w:ind w:firstLine="709"/>
        <w:jc w:val="both"/>
        <w:rPr>
          <w:rFonts w:ascii="Times New Roman" w:eastAsia="Calibri" w:hAnsi="Times New Roman" w:cs="Times New Roman"/>
          <w:sz w:val="28"/>
          <w:szCs w:val="28"/>
        </w:rPr>
      </w:pPr>
    </w:p>
    <w:p w14:paraId="09F84678" w14:textId="77777777" w:rsidR="000B08C9" w:rsidRPr="00FD7B0B" w:rsidRDefault="000B08C9" w:rsidP="0034700B">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129</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xml:space="preserve">. Оценка количества показателей, по которым представлены фактические значения </w:t>
      </w:r>
    </w:p>
    <w:tbl>
      <w:tblPr>
        <w:tblStyle w:val="a7"/>
        <w:tblW w:w="9771" w:type="dxa"/>
        <w:tblInd w:w="-5"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74"/>
        <w:gridCol w:w="3402"/>
        <w:gridCol w:w="567"/>
        <w:gridCol w:w="850"/>
        <w:gridCol w:w="2694"/>
        <w:gridCol w:w="1984"/>
      </w:tblGrid>
      <w:tr w:rsidR="00FD7B0B" w:rsidRPr="00FD7B0B" w14:paraId="0354506F" w14:textId="77777777" w:rsidTr="000B08C9">
        <w:trPr>
          <w:trHeight w:val="678"/>
          <w:tblHeader/>
        </w:trPr>
        <w:tc>
          <w:tcPr>
            <w:tcW w:w="274" w:type="dxa"/>
          </w:tcPr>
          <w:p w14:paraId="14B4302E" w14:textId="77777777" w:rsidR="000B08C9" w:rsidRPr="00FD7B0B" w:rsidRDefault="000B08C9" w:rsidP="000B08C9">
            <w:pPr>
              <w:contextualSpacing/>
              <w:jc w:val="center"/>
              <w:rPr>
                <w:rFonts w:ascii="Times New Roman" w:eastAsia="Times New Roman" w:hAnsi="Times New Roman"/>
                <w:sz w:val="16"/>
                <w:szCs w:val="16"/>
              </w:rPr>
            </w:pPr>
          </w:p>
        </w:tc>
        <w:tc>
          <w:tcPr>
            <w:tcW w:w="3969" w:type="dxa"/>
            <w:gridSpan w:val="2"/>
          </w:tcPr>
          <w:p w14:paraId="5FA90C3B"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Наименование целевого показателя (индикатора) в 2024 году</w:t>
            </w:r>
          </w:p>
        </w:tc>
        <w:tc>
          <w:tcPr>
            <w:tcW w:w="850" w:type="dxa"/>
          </w:tcPr>
          <w:p w14:paraId="7347241F"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 xml:space="preserve">2024 год, </w:t>
            </w:r>
          </w:p>
          <w:p w14:paraId="0B41C0A9"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факт</w:t>
            </w:r>
          </w:p>
        </w:tc>
        <w:tc>
          <w:tcPr>
            <w:tcW w:w="2694" w:type="dxa"/>
          </w:tcPr>
          <w:p w14:paraId="7488CF8F"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количество показателей ГП № 05, по которым представлены фактические значения за отчетный год</w:t>
            </w:r>
          </w:p>
        </w:tc>
        <w:tc>
          <w:tcPr>
            <w:tcW w:w="1984" w:type="dxa"/>
          </w:tcPr>
          <w:p w14:paraId="3F8F9BAF"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Источник.</w:t>
            </w:r>
          </w:p>
        </w:tc>
      </w:tr>
      <w:tr w:rsidR="00FD7B0B" w:rsidRPr="00FD7B0B" w14:paraId="6D6B1ED6" w14:textId="77777777" w:rsidTr="000B08C9">
        <w:trPr>
          <w:trHeight w:val="153"/>
        </w:trPr>
        <w:tc>
          <w:tcPr>
            <w:tcW w:w="274" w:type="dxa"/>
          </w:tcPr>
          <w:p w14:paraId="549E6D38" w14:textId="77777777" w:rsidR="000B08C9" w:rsidRPr="00FD7B0B" w:rsidRDefault="000B08C9" w:rsidP="000B08C9">
            <w:pPr>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3402" w:type="dxa"/>
            <w:vAlign w:val="center"/>
          </w:tcPr>
          <w:p w14:paraId="5CD0CE58" w14:textId="77777777" w:rsidR="000B08C9" w:rsidRPr="00FD7B0B" w:rsidRDefault="000B08C9" w:rsidP="000B08C9">
            <w:pPr>
              <w:contextualSpacing/>
              <w:rPr>
                <w:rFonts w:ascii="Times New Roman" w:eastAsia="Times New Roman" w:hAnsi="Times New Roman"/>
                <w:sz w:val="16"/>
                <w:szCs w:val="16"/>
              </w:rPr>
            </w:pPr>
            <w:r w:rsidRPr="00FD7B0B">
              <w:rPr>
                <w:rFonts w:ascii="Times New Roman" w:eastAsia="Times New Roman" w:hAnsi="Times New Roman"/>
                <w:sz w:val="16"/>
                <w:szCs w:val="16"/>
              </w:rPr>
              <w:t>Индекс производства продукции сельского хозяйства (в сопоставимых ценах) к уровню 2020 года</w:t>
            </w:r>
          </w:p>
        </w:tc>
        <w:tc>
          <w:tcPr>
            <w:tcW w:w="567" w:type="dxa"/>
            <w:vAlign w:val="center"/>
          </w:tcPr>
          <w:p w14:paraId="5188DE02"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w:t>
            </w:r>
          </w:p>
        </w:tc>
        <w:tc>
          <w:tcPr>
            <w:tcW w:w="850" w:type="dxa"/>
            <w:vAlign w:val="center"/>
          </w:tcPr>
          <w:p w14:paraId="0AB9DCFA"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97,7</w:t>
            </w:r>
          </w:p>
        </w:tc>
        <w:tc>
          <w:tcPr>
            <w:tcW w:w="2694" w:type="dxa"/>
            <w:vAlign w:val="center"/>
          </w:tcPr>
          <w:p w14:paraId="175F2C07" w14:textId="77777777" w:rsidR="000B08C9" w:rsidRPr="00FD7B0B" w:rsidRDefault="000B08C9" w:rsidP="000B08C9">
            <w:pPr>
              <w:ind w:left="-108"/>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х*</w:t>
            </w:r>
          </w:p>
        </w:tc>
        <w:tc>
          <w:tcPr>
            <w:tcW w:w="1984" w:type="dxa"/>
          </w:tcPr>
          <w:p w14:paraId="3928CDC7" w14:textId="77777777" w:rsidR="000B08C9" w:rsidRPr="00FD7B0B" w:rsidRDefault="000B08C9" w:rsidP="000B08C9">
            <w:pPr>
              <w:autoSpaceDE w:val="0"/>
              <w:autoSpaceDN w:val="0"/>
              <w:adjustRightInd w:val="0"/>
              <w:rPr>
                <w:rFonts w:ascii="Times New Roman" w:eastAsia="Times New Roman" w:hAnsi="Times New Roman"/>
                <w:sz w:val="16"/>
                <w:szCs w:val="16"/>
              </w:rPr>
            </w:pPr>
            <w:r w:rsidRPr="00FD7B0B">
              <w:rPr>
                <w:rFonts w:ascii="Times New Roman" w:hAnsi="Times New Roman"/>
                <w:sz w:val="16"/>
                <w:szCs w:val="16"/>
              </w:rPr>
              <w:t>Федеральная служба государственной статистики</w:t>
            </w:r>
          </w:p>
        </w:tc>
      </w:tr>
      <w:tr w:rsidR="00FD7B0B" w:rsidRPr="00FD7B0B" w14:paraId="2444C80C" w14:textId="77777777" w:rsidTr="0034700B">
        <w:trPr>
          <w:trHeight w:val="389"/>
        </w:trPr>
        <w:tc>
          <w:tcPr>
            <w:tcW w:w="274" w:type="dxa"/>
          </w:tcPr>
          <w:p w14:paraId="418AE5E3" w14:textId="77777777" w:rsidR="000B08C9" w:rsidRPr="00FD7B0B" w:rsidRDefault="000B08C9" w:rsidP="000B08C9">
            <w:pPr>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2</w:t>
            </w:r>
          </w:p>
        </w:tc>
        <w:tc>
          <w:tcPr>
            <w:tcW w:w="3402" w:type="dxa"/>
            <w:vAlign w:val="center"/>
          </w:tcPr>
          <w:p w14:paraId="08A20FE8" w14:textId="77777777" w:rsidR="000B08C9" w:rsidRPr="00FD7B0B" w:rsidRDefault="000B08C9" w:rsidP="000B08C9">
            <w:pPr>
              <w:contextualSpacing/>
              <w:rPr>
                <w:rFonts w:ascii="Times New Roman" w:eastAsia="Times New Roman" w:hAnsi="Times New Roman"/>
                <w:sz w:val="16"/>
                <w:szCs w:val="16"/>
              </w:rPr>
            </w:pPr>
            <w:r w:rsidRPr="00FD7B0B">
              <w:rPr>
                <w:rFonts w:ascii="Times New Roman" w:eastAsia="Times New Roman" w:hAnsi="Times New Roman"/>
                <w:sz w:val="16"/>
                <w:szCs w:val="16"/>
              </w:rPr>
              <w:t>Среднемесячная начисленная заработная плата работников сельского хозяйства (без субъектов малого предпринимательства)</w:t>
            </w:r>
          </w:p>
        </w:tc>
        <w:tc>
          <w:tcPr>
            <w:tcW w:w="567" w:type="dxa"/>
            <w:vAlign w:val="center"/>
          </w:tcPr>
          <w:p w14:paraId="4C48F3F9"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руб.</w:t>
            </w:r>
          </w:p>
        </w:tc>
        <w:tc>
          <w:tcPr>
            <w:tcW w:w="850" w:type="dxa"/>
            <w:vAlign w:val="center"/>
          </w:tcPr>
          <w:p w14:paraId="25C4763E"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67 448,8</w:t>
            </w:r>
          </w:p>
        </w:tc>
        <w:tc>
          <w:tcPr>
            <w:tcW w:w="2694" w:type="dxa"/>
            <w:vAlign w:val="center"/>
          </w:tcPr>
          <w:p w14:paraId="7CF8F9BE"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1</w:t>
            </w:r>
          </w:p>
        </w:tc>
        <w:tc>
          <w:tcPr>
            <w:tcW w:w="1984" w:type="dxa"/>
          </w:tcPr>
          <w:p w14:paraId="56D77F8A" w14:textId="54BA0CD1" w:rsidR="000B08C9" w:rsidRPr="00FD7B0B" w:rsidRDefault="000B08C9" w:rsidP="0034700B">
            <w:pPr>
              <w:autoSpaceDE w:val="0"/>
              <w:autoSpaceDN w:val="0"/>
              <w:adjustRightInd w:val="0"/>
              <w:rPr>
                <w:rFonts w:ascii="Times New Roman" w:hAnsi="Times New Roman"/>
                <w:sz w:val="16"/>
                <w:szCs w:val="16"/>
              </w:rPr>
            </w:pPr>
            <w:r w:rsidRPr="00FD7B0B">
              <w:rPr>
                <w:rFonts w:ascii="Times New Roman" w:hAnsi="Times New Roman"/>
                <w:sz w:val="16"/>
                <w:szCs w:val="16"/>
              </w:rPr>
              <w:t>Федеральная служба государственной статистики</w:t>
            </w:r>
          </w:p>
        </w:tc>
      </w:tr>
      <w:tr w:rsidR="00FD7B0B" w:rsidRPr="00FD7B0B" w14:paraId="2C37F884" w14:textId="77777777" w:rsidTr="000B08C9">
        <w:tc>
          <w:tcPr>
            <w:tcW w:w="274" w:type="dxa"/>
          </w:tcPr>
          <w:p w14:paraId="7DBB31F2" w14:textId="77777777" w:rsidR="000B08C9" w:rsidRPr="00FD7B0B" w:rsidRDefault="000B08C9" w:rsidP="000B08C9">
            <w:pPr>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3</w:t>
            </w:r>
          </w:p>
        </w:tc>
        <w:tc>
          <w:tcPr>
            <w:tcW w:w="3402" w:type="dxa"/>
            <w:vAlign w:val="center"/>
          </w:tcPr>
          <w:p w14:paraId="11781CF5" w14:textId="77777777" w:rsidR="000B08C9" w:rsidRPr="00FD7B0B" w:rsidRDefault="000B08C9" w:rsidP="000B08C9">
            <w:pPr>
              <w:contextualSpacing/>
              <w:rPr>
                <w:rFonts w:ascii="Times New Roman" w:eastAsia="Times New Roman" w:hAnsi="Times New Roman"/>
                <w:sz w:val="16"/>
                <w:szCs w:val="16"/>
              </w:rPr>
            </w:pPr>
            <w:r w:rsidRPr="00FD7B0B">
              <w:rPr>
                <w:rFonts w:ascii="Times New Roman" w:eastAsia="Times New Roman" w:hAnsi="Times New Roman"/>
                <w:sz w:val="16"/>
                <w:szCs w:val="16"/>
              </w:rPr>
              <w:t>Индекс производства пищевых продуктов (в сопоставимых ценах) к уровню 2020 года</w:t>
            </w:r>
          </w:p>
        </w:tc>
        <w:tc>
          <w:tcPr>
            <w:tcW w:w="567" w:type="dxa"/>
            <w:vAlign w:val="center"/>
          </w:tcPr>
          <w:p w14:paraId="47FBA936"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w:t>
            </w:r>
          </w:p>
        </w:tc>
        <w:tc>
          <w:tcPr>
            <w:tcW w:w="850" w:type="dxa"/>
            <w:vAlign w:val="center"/>
          </w:tcPr>
          <w:p w14:paraId="1C975E07"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103,7</w:t>
            </w:r>
          </w:p>
        </w:tc>
        <w:tc>
          <w:tcPr>
            <w:tcW w:w="2694" w:type="dxa"/>
            <w:vAlign w:val="center"/>
          </w:tcPr>
          <w:p w14:paraId="75FEEB1C" w14:textId="77777777" w:rsidR="000B08C9" w:rsidRPr="00FD7B0B" w:rsidRDefault="000B08C9" w:rsidP="000B08C9">
            <w:pPr>
              <w:jc w:val="center"/>
              <w:rPr>
                <w:rFonts w:ascii="Times New Roman" w:hAnsi="Times New Roman"/>
                <w:sz w:val="16"/>
                <w:szCs w:val="16"/>
              </w:rPr>
            </w:pPr>
            <w:r w:rsidRPr="00FD7B0B">
              <w:rPr>
                <w:rFonts w:ascii="Times New Roman" w:hAnsi="Times New Roman"/>
                <w:sz w:val="16"/>
                <w:szCs w:val="16"/>
              </w:rPr>
              <w:t>х**</w:t>
            </w:r>
          </w:p>
        </w:tc>
        <w:tc>
          <w:tcPr>
            <w:tcW w:w="1984" w:type="dxa"/>
          </w:tcPr>
          <w:p w14:paraId="4F8E96B2" w14:textId="77777777" w:rsidR="000B08C9" w:rsidRPr="00FD7B0B" w:rsidRDefault="000B08C9" w:rsidP="000B08C9">
            <w:pPr>
              <w:autoSpaceDE w:val="0"/>
              <w:autoSpaceDN w:val="0"/>
              <w:adjustRightInd w:val="0"/>
              <w:jc w:val="both"/>
              <w:rPr>
                <w:rFonts w:ascii="Times New Roman" w:hAnsi="Times New Roman"/>
                <w:sz w:val="16"/>
                <w:szCs w:val="16"/>
              </w:rPr>
            </w:pPr>
          </w:p>
        </w:tc>
      </w:tr>
      <w:tr w:rsidR="00FD7B0B" w:rsidRPr="00FD7B0B" w14:paraId="4A411ECF" w14:textId="77777777" w:rsidTr="000B08C9">
        <w:tc>
          <w:tcPr>
            <w:tcW w:w="274" w:type="dxa"/>
          </w:tcPr>
          <w:p w14:paraId="7A45AF39" w14:textId="77777777" w:rsidR="000B08C9" w:rsidRPr="00FD7B0B" w:rsidRDefault="000B08C9" w:rsidP="000B08C9">
            <w:pPr>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4</w:t>
            </w:r>
          </w:p>
        </w:tc>
        <w:tc>
          <w:tcPr>
            <w:tcW w:w="3402" w:type="dxa"/>
            <w:vAlign w:val="center"/>
          </w:tcPr>
          <w:p w14:paraId="5E6024A7" w14:textId="77777777" w:rsidR="000B08C9" w:rsidRPr="00FD7B0B" w:rsidRDefault="000B08C9" w:rsidP="000B08C9">
            <w:pPr>
              <w:contextualSpacing/>
              <w:rPr>
                <w:rFonts w:ascii="Times New Roman" w:eastAsia="Times New Roman" w:hAnsi="Times New Roman"/>
                <w:sz w:val="16"/>
                <w:szCs w:val="16"/>
              </w:rPr>
            </w:pPr>
            <w:r w:rsidRPr="00FD7B0B">
              <w:rPr>
                <w:rFonts w:ascii="Times New Roman" w:eastAsia="Times New Roman" w:hAnsi="Times New Roman"/>
                <w:sz w:val="16"/>
                <w:szCs w:val="16"/>
              </w:rPr>
              <w:t>Площадь вовлеченных в оборот земель сельскохозяйственного назначения, нарастающим итогом</w:t>
            </w:r>
          </w:p>
        </w:tc>
        <w:tc>
          <w:tcPr>
            <w:tcW w:w="567" w:type="dxa"/>
            <w:vAlign w:val="center"/>
          </w:tcPr>
          <w:p w14:paraId="296AF9C1" w14:textId="77777777" w:rsidR="000B08C9" w:rsidRPr="00FD7B0B" w:rsidRDefault="000B08C9" w:rsidP="000B08C9">
            <w:pPr>
              <w:contextualSpacing/>
              <w:jc w:val="center"/>
              <w:rPr>
                <w:rFonts w:ascii="Times New Roman" w:eastAsia="Times New Roman" w:hAnsi="Times New Roman"/>
                <w:sz w:val="12"/>
                <w:szCs w:val="12"/>
              </w:rPr>
            </w:pPr>
            <w:r w:rsidRPr="00FD7B0B">
              <w:rPr>
                <w:rFonts w:ascii="Times New Roman" w:eastAsia="Times New Roman" w:hAnsi="Times New Roman"/>
                <w:sz w:val="12"/>
                <w:szCs w:val="12"/>
              </w:rPr>
              <w:t>Тысяч гектар</w:t>
            </w:r>
          </w:p>
        </w:tc>
        <w:tc>
          <w:tcPr>
            <w:tcW w:w="850" w:type="dxa"/>
            <w:vAlign w:val="center"/>
          </w:tcPr>
          <w:p w14:paraId="07FC27D9"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2,9868</w:t>
            </w:r>
          </w:p>
        </w:tc>
        <w:tc>
          <w:tcPr>
            <w:tcW w:w="2694" w:type="dxa"/>
            <w:vAlign w:val="center"/>
          </w:tcPr>
          <w:p w14:paraId="6F91754A"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1984" w:type="dxa"/>
          </w:tcPr>
          <w:p w14:paraId="3A4D8055" w14:textId="77777777" w:rsidR="000B08C9" w:rsidRPr="00FD7B0B" w:rsidRDefault="000B08C9" w:rsidP="000B08C9">
            <w:pPr>
              <w:rPr>
                <w:rFonts w:ascii="Times New Roman" w:hAnsi="Times New Roman"/>
                <w:sz w:val="16"/>
                <w:szCs w:val="16"/>
              </w:rPr>
            </w:pPr>
            <w:r w:rsidRPr="00FD7B0B">
              <w:rPr>
                <w:rFonts w:ascii="Times New Roman" w:hAnsi="Times New Roman"/>
                <w:sz w:val="16"/>
                <w:szCs w:val="16"/>
              </w:rPr>
              <w:t>Данные отчетности сельскохозяйственных товаропроизводителей</w:t>
            </w:r>
          </w:p>
        </w:tc>
      </w:tr>
      <w:tr w:rsidR="00FD7B0B" w:rsidRPr="00FD7B0B" w14:paraId="05E6C633" w14:textId="77777777" w:rsidTr="000B08C9">
        <w:tc>
          <w:tcPr>
            <w:tcW w:w="274" w:type="dxa"/>
          </w:tcPr>
          <w:p w14:paraId="3F47D48C" w14:textId="77777777" w:rsidR="000B08C9" w:rsidRPr="00FD7B0B" w:rsidRDefault="000B08C9" w:rsidP="000B08C9">
            <w:pPr>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5</w:t>
            </w:r>
          </w:p>
        </w:tc>
        <w:tc>
          <w:tcPr>
            <w:tcW w:w="3402" w:type="dxa"/>
            <w:vAlign w:val="center"/>
          </w:tcPr>
          <w:p w14:paraId="41B1E789" w14:textId="77777777" w:rsidR="000B08C9" w:rsidRPr="00FD7B0B" w:rsidRDefault="000B08C9" w:rsidP="000B08C9">
            <w:pPr>
              <w:contextualSpacing/>
              <w:rPr>
                <w:rFonts w:ascii="Times New Roman" w:eastAsia="Times New Roman" w:hAnsi="Times New Roman"/>
                <w:sz w:val="16"/>
                <w:szCs w:val="16"/>
              </w:rPr>
            </w:pPr>
            <w:r w:rsidRPr="00FD7B0B">
              <w:rPr>
                <w:rFonts w:ascii="Times New Roman" w:eastAsia="Times New Roman" w:hAnsi="Times New Roman"/>
                <w:sz w:val="16"/>
                <w:szCs w:val="16"/>
              </w:rPr>
              <w:t>Площадь земель, сохранённых в сельскохозяйственном обороте за счет проведения мелиоративных мероприятий</w:t>
            </w:r>
          </w:p>
        </w:tc>
        <w:tc>
          <w:tcPr>
            <w:tcW w:w="567" w:type="dxa"/>
            <w:vAlign w:val="center"/>
          </w:tcPr>
          <w:p w14:paraId="610C4317" w14:textId="77777777" w:rsidR="000B08C9" w:rsidRPr="00FD7B0B" w:rsidRDefault="000B08C9" w:rsidP="000B08C9">
            <w:pPr>
              <w:contextualSpacing/>
              <w:jc w:val="center"/>
              <w:rPr>
                <w:rFonts w:ascii="Times New Roman" w:eastAsia="Times New Roman" w:hAnsi="Times New Roman"/>
                <w:sz w:val="12"/>
                <w:szCs w:val="12"/>
              </w:rPr>
            </w:pPr>
            <w:r w:rsidRPr="00FD7B0B">
              <w:rPr>
                <w:rFonts w:ascii="Times New Roman" w:eastAsia="Times New Roman" w:hAnsi="Times New Roman"/>
                <w:sz w:val="12"/>
                <w:szCs w:val="12"/>
              </w:rPr>
              <w:t>Тысяч гектар</w:t>
            </w:r>
          </w:p>
        </w:tc>
        <w:tc>
          <w:tcPr>
            <w:tcW w:w="850" w:type="dxa"/>
            <w:vAlign w:val="center"/>
          </w:tcPr>
          <w:p w14:paraId="2E76BEC5"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2,6056</w:t>
            </w:r>
          </w:p>
        </w:tc>
        <w:tc>
          <w:tcPr>
            <w:tcW w:w="2694" w:type="dxa"/>
            <w:vAlign w:val="center"/>
          </w:tcPr>
          <w:p w14:paraId="1C81573F" w14:textId="77777777" w:rsidR="000B08C9" w:rsidRPr="00FD7B0B" w:rsidRDefault="000B08C9" w:rsidP="000B08C9">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1984" w:type="dxa"/>
          </w:tcPr>
          <w:p w14:paraId="28FCD0E6" w14:textId="77777777" w:rsidR="000B08C9" w:rsidRPr="00FD7B0B" w:rsidRDefault="000B08C9" w:rsidP="000B08C9">
            <w:pPr>
              <w:autoSpaceDE w:val="0"/>
              <w:autoSpaceDN w:val="0"/>
              <w:adjustRightInd w:val="0"/>
              <w:rPr>
                <w:rFonts w:ascii="Times New Roman" w:hAnsi="Times New Roman"/>
                <w:sz w:val="16"/>
                <w:szCs w:val="16"/>
              </w:rPr>
            </w:pPr>
            <w:r w:rsidRPr="00FD7B0B">
              <w:rPr>
                <w:rFonts w:ascii="Times New Roman" w:hAnsi="Times New Roman"/>
                <w:sz w:val="16"/>
                <w:szCs w:val="16"/>
              </w:rPr>
              <w:t xml:space="preserve">Данные отчетности сельскохозяйственных товаропроизводителей </w:t>
            </w:r>
          </w:p>
        </w:tc>
      </w:tr>
      <w:tr w:rsidR="00FD7B0B" w:rsidRPr="00FD7B0B" w14:paraId="28CFD0F9" w14:textId="77777777" w:rsidTr="000B08C9">
        <w:tc>
          <w:tcPr>
            <w:tcW w:w="7787" w:type="dxa"/>
            <w:gridSpan w:val="5"/>
          </w:tcPr>
          <w:p w14:paraId="014E4050" w14:textId="77777777" w:rsidR="000B08C9" w:rsidRPr="00FD7B0B" w:rsidRDefault="000B08C9" w:rsidP="000B08C9">
            <w:pPr>
              <w:autoSpaceDE w:val="0"/>
              <w:autoSpaceDN w:val="0"/>
              <w:adjustRightInd w:val="0"/>
              <w:rPr>
                <w:rFonts w:ascii="Times New Roman" w:hAnsi="Times New Roman"/>
                <w:sz w:val="16"/>
                <w:szCs w:val="16"/>
              </w:rPr>
            </w:pPr>
            <w:r w:rsidRPr="00FD7B0B">
              <w:rPr>
                <w:rFonts w:ascii="Times New Roman" w:hAnsi="Times New Roman"/>
                <w:sz w:val="16"/>
                <w:szCs w:val="16"/>
              </w:rPr>
              <w:t>Доля показателей государственной программы, по которым представлены фактические значения за отчетный год</w:t>
            </w:r>
          </w:p>
        </w:tc>
        <w:tc>
          <w:tcPr>
            <w:tcW w:w="1984" w:type="dxa"/>
          </w:tcPr>
          <w:p w14:paraId="3205EFDD" w14:textId="77777777" w:rsidR="000B08C9" w:rsidRPr="00FD7B0B" w:rsidRDefault="000B08C9" w:rsidP="000B08C9">
            <w:pPr>
              <w:autoSpaceDE w:val="0"/>
              <w:autoSpaceDN w:val="0"/>
              <w:adjustRightInd w:val="0"/>
              <w:jc w:val="center"/>
              <w:rPr>
                <w:rFonts w:ascii="Times New Roman" w:hAnsi="Times New Roman"/>
                <w:sz w:val="16"/>
                <w:szCs w:val="16"/>
              </w:rPr>
            </w:pPr>
            <w:r w:rsidRPr="00FD7B0B">
              <w:rPr>
                <w:rFonts w:ascii="Times New Roman" w:eastAsia="Times New Roman" w:hAnsi="Times New Roman"/>
                <w:sz w:val="16"/>
                <w:szCs w:val="16"/>
              </w:rPr>
              <w:t>60%</w:t>
            </w:r>
          </w:p>
        </w:tc>
      </w:tr>
      <w:tr w:rsidR="00FD7B0B" w:rsidRPr="00FD7B0B" w14:paraId="04C6214D" w14:textId="77777777" w:rsidTr="000B08C9">
        <w:tc>
          <w:tcPr>
            <w:tcW w:w="7787" w:type="dxa"/>
            <w:gridSpan w:val="5"/>
          </w:tcPr>
          <w:p w14:paraId="47909DB6" w14:textId="77777777" w:rsidR="000B08C9" w:rsidRPr="00FD7B0B" w:rsidRDefault="000B08C9" w:rsidP="000B08C9">
            <w:pPr>
              <w:autoSpaceDE w:val="0"/>
              <w:autoSpaceDN w:val="0"/>
              <w:adjustRightInd w:val="0"/>
              <w:rPr>
                <w:rFonts w:ascii="Times New Roman" w:hAnsi="Times New Roman"/>
                <w:sz w:val="16"/>
                <w:szCs w:val="16"/>
              </w:rPr>
            </w:pPr>
            <w:r w:rsidRPr="00FD7B0B">
              <w:rPr>
                <w:rFonts w:ascii="Times New Roman" w:hAnsi="Times New Roman"/>
                <w:sz w:val="16"/>
                <w:szCs w:val="16"/>
              </w:rPr>
              <w:t>Количество показателей государственной программы, по которым представлены фактические значения за отчетный год</w:t>
            </w:r>
          </w:p>
        </w:tc>
        <w:tc>
          <w:tcPr>
            <w:tcW w:w="1984" w:type="dxa"/>
          </w:tcPr>
          <w:p w14:paraId="11FF289F" w14:textId="77777777" w:rsidR="000B08C9" w:rsidRPr="00FD7B0B" w:rsidRDefault="000B08C9" w:rsidP="000B08C9">
            <w:pPr>
              <w:autoSpaceDE w:val="0"/>
              <w:autoSpaceDN w:val="0"/>
              <w:adjustRightInd w:val="0"/>
              <w:jc w:val="center"/>
              <w:rPr>
                <w:rFonts w:ascii="Times New Roman" w:hAnsi="Times New Roman"/>
                <w:sz w:val="16"/>
                <w:szCs w:val="16"/>
              </w:rPr>
            </w:pPr>
            <w:r w:rsidRPr="00FD7B0B">
              <w:rPr>
                <w:rFonts w:ascii="Times New Roman" w:hAnsi="Times New Roman"/>
                <w:sz w:val="16"/>
                <w:szCs w:val="16"/>
              </w:rPr>
              <w:t>3</w:t>
            </w:r>
          </w:p>
        </w:tc>
      </w:tr>
      <w:tr w:rsidR="00FD7B0B" w:rsidRPr="00FD7B0B" w14:paraId="3011B0A9" w14:textId="77777777" w:rsidTr="000B08C9">
        <w:tc>
          <w:tcPr>
            <w:tcW w:w="7787" w:type="dxa"/>
            <w:gridSpan w:val="5"/>
          </w:tcPr>
          <w:p w14:paraId="3FF829AA" w14:textId="77777777" w:rsidR="000B08C9" w:rsidRPr="00FD7B0B" w:rsidRDefault="000B08C9" w:rsidP="000B08C9">
            <w:pPr>
              <w:autoSpaceDE w:val="0"/>
              <w:autoSpaceDN w:val="0"/>
              <w:adjustRightInd w:val="0"/>
              <w:rPr>
                <w:rFonts w:ascii="Times New Roman" w:hAnsi="Times New Roman"/>
                <w:sz w:val="16"/>
                <w:szCs w:val="16"/>
              </w:rPr>
            </w:pPr>
            <w:r w:rsidRPr="00FD7B0B">
              <w:rPr>
                <w:rFonts w:ascii="Times New Roman" w:hAnsi="Times New Roman"/>
                <w:sz w:val="16"/>
                <w:szCs w:val="16"/>
              </w:rPr>
              <w:t>Общее количество показателей государственной программы</w:t>
            </w:r>
          </w:p>
        </w:tc>
        <w:tc>
          <w:tcPr>
            <w:tcW w:w="1984" w:type="dxa"/>
          </w:tcPr>
          <w:p w14:paraId="2E633C6B" w14:textId="77777777" w:rsidR="000B08C9" w:rsidRPr="00FD7B0B" w:rsidRDefault="000B08C9" w:rsidP="000B08C9">
            <w:pPr>
              <w:autoSpaceDE w:val="0"/>
              <w:autoSpaceDN w:val="0"/>
              <w:adjustRightInd w:val="0"/>
              <w:jc w:val="center"/>
              <w:rPr>
                <w:rFonts w:ascii="Times New Roman" w:hAnsi="Times New Roman"/>
                <w:sz w:val="16"/>
                <w:szCs w:val="16"/>
              </w:rPr>
            </w:pPr>
            <w:r w:rsidRPr="00FD7B0B">
              <w:rPr>
                <w:rFonts w:ascii="Times New Roman" w:hAnsi="Times New Roman"/>
                <w:sz w:val="16"/>
                <w:szCs w:val="16"/>
              </w:rPr>
              <w:t>5</w:t>
            </w:r>
          </w:p>
        </w:tc>
      </w:tr>
      <w:tr w:rsidR="00FD7B0B" w:rsidRPr="00FD7B0B" w14:paraId="74C5FA6D" w14:textId="77777777" w:rsidTr="000B08C9">
        <w:tc>
          <w:tcPr>
            <w:tcW w:w="7787" w:type="dxa"/>
            <w:gridSpan w:val="5"/>
          </w:tcPr>
          <w:p w14:paraId="31B30A6E" w14:textId="77777777" w:rsidR="000B08C9" w:rsidRPr="00FD7B0B" w:rsidRDefault="000B08C9" w:rsidP="000B08C9">
            <w:pPr>
              <w:autoSpaceDE w:val="0"/>
              <w:autoSpaceDN w:val="0"/>
              <w:adjustRightInd w:val="0"/>
              <w:rPr>
                <w:rFonts w:ascii="Times New Roman" w:hAnsi="Times New Roman"/>
                <w:sz w:val="16"/>
                <w:szCs w:val="16"/>
              </w:rPr>
            </w:pPr>
            <w:r w:rsidRPr="00FD7B0B">
              <w:rPr>
                <w:rFonts w:ascii="Times New Roman" w:eastAsia="Times New Roman" w:hAnsi="Times New Roman"/>
                <w:sz w:val="16"/>
                <w:szCs w:val="16"/>
              </w:rPr>
              <w:t>Оценка</w:t>
            </w:r>
          </w:p>
        </w:tc>
        <w:tc>
          <w:tcPr>
            <w:tcW w:w="1984" w:type="dxa"/>
          </w:tcPr>
          <w:p w14:paraId="3CA3D8EE" w14:textId="77777777" w:rsidR="000B08C9" w:rsidRPr="00FD7B0B" w:rsidRDefault="000B08C9" w:rsidP="000B08C9">
            <w:pPr>
              <w:autoSpaceDE w:val="0"/>
              <w:autoSpaceDN w:val="0"/>
              <w:adjustRightInd w:val="0"/>
              <w:jc w:val="center"/>
              <w:rPr>
                <w:rFonts w:ascii="Times New Roman" w:hAnsi="Times New Roman"/>
                <w:sz w:val="16"/>
                <w:szCs w:val="16"/>
              </w:rPr>
            </w:pPr>
            <w:r w:rsidRPr="00FD7B0B">
              <w:rPr>
                <w:rFonts w:ascii="Times New Roman" w:eastAsia="Times New Roman" w:hAnsi="Times New Roman"/>
                <w:sz w:val="16"/>
                <w:szCs w:val="16"/>
              </w:rPr>
              <w:t>Низкий уровень</w:t>
            </w:r>
          </w:p>
        </w:tc>
      </w:tr>
    </w:tbl>
    <w:p w14:paraId="6A250AE0" w14:textId="77777777" w:rsidR="000B08C9" w:rsidRPr="00FD7B0B" w:rsidRDefault="000B08C9" w:rsidP="000B08C9">
      <w:pPr>
        <w:spacing w:after="0" w:line="240" w:lineRule="auto"/>
        <w:rPr>
          <w:rFonts w:ascii="Times New Roman" w:eastAsia="Calibri" w:hAnsi="Times New Roman" w:cs="Times New Roman"/>
          <w:bCs/>
          <w:sz w:val="24"/>
          <w:szCs w:val="24"/>
        </w:rPr>
      </w:pPr>
    </w:p>
    <w:p w14:paraId="2A1F2724" w14:textId="77777777" w:rsidR="000B08C9" w:rsidRPr="00FD7B0B" w:rsidRDefault="000B08C9" w:rsidP="000B08C9">
      <w:pPr>
        <w:spacing w:after="0" w:line="240" w:lineRule="auto"/>
        <w:jc w:val="center"/>
        <w:rPr>
          <w:rFonts w:ascii="Times New Roman" w:eastAsia="Calibri" w:hAnsi="Times New Roman" w:cs="Times New Roman"/>
          <w:b/>
          <w:bCs/>
          <w:sz w:val="28"/>
          <w:szCs w:val="28"/>
        </w:rPr>
      </w:pPr>
      <w:r w:rsidRPr="00FD7B0B">
        <w:rPr>
          <w:rFonts w:ascii="Times New Roman" w:eastAsia="Calibri" w:hAnsi="Times New Roman" w:cs="Times New Roman"/>
          <w:b/>
          <w:bCs/>
          <w:sz w:val="28"/>
          <w:szCs w:val="28"/>
        </w:rPr>
        <w:t>Итоговая оценка реализации ГП № 05</w:t>
      </w:r>
    </w:p>
    <w:p w14:paraId="082D5BE9" w14:textId="77777777" w:rsidR="000B08C9" w:rsidRPr="00FD7B0B" w:rsidRDefault="000B08C9" w:rsidP="000B08C9">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Оценка исполнения государственной программы по ресурсам и результатам</w:t>
      </w:r>
    </w:p>
    <w:tbl>
      <w:tblPr>
        <w:tblW w:w="9771"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34"/>
        <w:gridCol w:w="1550"/>
        <w:gridCol w:w="1417"/>
        <w:gridCol w:w="1985"/>
        <w:gridCol w:w="1134"/>
        <w:gridCol w:w="1134"/>
        <w:gridCol w:w="1417"/>
      </w:tblGrid>
      <w:tr w:rsidR="00FD7B0B" w:rsidRPr="00FD7B0B" w14:paraId="413FF363" w14:textId="77777777" w:rsidTr="001F6663">
        <w:trPr>
          <w:trHeight w:val="335"/>
        </w:trPr>
        <w:tc>
          <w:tcPr>
            <w:tcW w:w="1134" w:type="dxa"/>
            <w:vMerge w:val="restart"/>
            <w:shd w:val="clear" w:color="auto" w:fill="auto"/>
          </w:tcPr>
          <w:p w14:paraId="4F2BA63A"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Оценка кассового исполнения</w:t>
            </w:r>
          </w:p>
        </w:tc>
        <w:tc>
          <w:tcPr>
            <w:tcW w:w="1550" w:type="dxa"/>
            <w:vMerge w:val="restart"/>
            <w:shd w:val="clear" w:color="auto" w:fill="auto"/>
          </w:tcPr>
          <w:p w14:paraId="5894DBD5"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Оценка объема изменений, внесенных в сводную бюджетную роспись</w:t>
            </w:r>
          </w:p>
        </w:tc>
        <w:tc>
          <w:tcPr>
            <w:tcW w:w="3402" w:type="dxa"/>
            <w:gridSpan w:val="2"/>
          </w:tcPr>
          <w:p w14:paraId="61C24F45"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Оценка реализации мероприятий (достижения результатов) структурных элементов</w:t>
            </w:r>
          </w:p>
        </w:tc>
        <w:tc>
          <w:tcPr>
            <w:tcW w:w="2268" w:type="dxa"/>
            <w:gridSpan w:val="2"/>
          </w:tcPr>
          <w:p w14:paraId="7668028C"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Оценка достижения показателей</w:t>
            </w:r>
          </w:p>
        </w:tc>
        <w:tc>
          <w:tcPr>
            <w:tcW w:w="1417" w:type="dxa"/>
            <w:vMerge w:val="restart"/>
          </w:tcPr>
          <w:p w14:paraId="0F36B810" w14:textId="77777777" w:rsidR="000B08C9" w:rsidRPr="00FD7B0B" w:rsidRDefault="000B08C9" w:rsidP="000B08C9">
            <w:pPr>
              <w:spacing w:after="0" w:line="240" w:lineRule="auto"/>
              <w:jc w:val="center"/>
              <w:rPr>
                <w:rFonts w:ascii="Times New Roman" w:eastAsia="Calibri" w:hAnsi="Times New Roman" w:cs="Times New Roman"/>
                <w:b/>
                <w:sz w:val="16"/>
                <w:szCs w:val="16"/>
              </w:rPr>
            </w:pPr>
            <w:r w:rsidRPr="00FD7B0B">
              <w:rPr>
                <w:rFonts w:ascii="Times New Roman" w:eastAsia="Calibri" w:hAnsi="Times New Roman" w:cs="Times New Roman"/>
                <w:b/>
                <w:sz w:val="16"/>
                <w:szCs w:val="16"/>
              </w:rPr>
              <w:t>Итого</w:t>
            </w:r>
          </w:p>
        </w:tc>
      </w:tr>
      <w:tr w:rsidR="00FD7B0B" w:rsidRPr="00FD7B0B" w14:paraId="6DBDF62C" w14:textId="77777777" w:rsidTr="000B08C9">
        <w:trPr>
          <w:cantSplit/>
          <w:trHeight w:val="609"/>
        </w:trPr>
        <w:tc>
          <w:tcPr>
            <w:tcW w:w="1134" w:type="dxa"/>
            <w:vMerge/>
            <w:shd w:val="clear" w:color="auto" w:fill="auto"/>
          </w:tcPr>
          <w:p w14:paraId="4D68F1EF" w14:textId="77777777" w:rsidR="000B08C9" w:rsidRPr="00FD7B0B" w:rsidRDefault="000B08C9" w:rsidP="000B08C9">
            <w:pPr>
              <w:spacing w:after="0" w:line="240" w:lineRule="auto"/>
              <w:rPr>
                <w:rFonts w:ascii="Times New Roman" w:eastAsia="Calibri" w:hAnsi="Times New Roman" w:cs="Times New Roman"/>
                <w:sz w:val="16"/>
                <w:szCs w:val="16"/>
              </w:rPr>
            </w:pPr>
          </w:p>
        </w:tc>
        <w:tc>
          <w:tcPr>
            <w:tcW w:w="1550" w:type="dxa"/>
            <w:vMerge/>
            <w:shd w:val="clear" w:color="auto" w:fill="auto"/>
          </w:tcPr>
          <w:p w14:paraId="4E1636EA" w14:textId="77777777" w:rsidR="000B08C9" w:rsidRPr="00FD7B0B" w:rsidRDefault="000B08C9" w:rsidP="000B08C9">
            <w:pPr>
              <w:spacing w:after="0" w:line="240" w:lineRule="auto"/>
              <w:jc w:val="center"/>
              <w:rPr>
                <w:rFonts w:ascii="Times New Roman" w:eastAsia="Calibri" w:hAnsi="Times New Roman" w:cs="Times New Roman"/>
                <w:sz w:val="16"/>
                <w:szCs w:val="16"/>
              </w:rPr>
            </w:pPr>
          </w:p>
        </w:tc>
        <w:tc>
          <w:tcPr>
            <w:tcW w:w="1417" w:type="dxa"/>
          </w:tcPr>
          <w:p w14:paraId="454587B9"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степень достижения мероприятий (результатов)</w:t>
            </w:r>
          </w:p>
        </w:tc>
        <w:tc>
          <w:tcPr>
            <w:tcW w:w="1985" w:type="dxa"/>
          </w:tcPr>
          <w:p w14:paraId="1774A072"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 xml:space="preserve">справочно </w:t>
            </w:r>
            <w:hyperlink w:anchor="P701">
              <w:r w:rsidRPr="00FD7B0B">
                <w:rPr>
                  <w:rFonts w:ascii="Times New Roman" w:eastAsia="Calibri" w:hAnsi="Times New Roman" w:cs="Times New Roman"/>
                  <w:sz w:val="16"/>
                  <w:szCs w:val="16"/>
                </w:rPr>
                <w:t>&lt;*&gt;</w:t>
              </w:r>
            </w:hyperlink>
            <w:r w:rsidRPr="00FD7B0B">
              <w:rPr>
                <w:rFonts w:ascii="Times New Roman" w:eastAsia="Calibri" w:hAnsi="Times New Roman" w:cs="Times New Roman"/>
                <w:sz w:val="16"/>
                <w:szCs w:val="16"/>
              </w:rPr>
              <w:t>: доля реализованных мероприятий (достигнутых результатов)</w:t>
            </w:r>
          </w:p>
        </w:tc>
        <w:tc>
          <w:tcPr>
            <w:tcW w:w="1134" w:type="dxa"/>
          </w:tcPr>
          <w:p w14:paraId="703BFFE4"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степень достижения показателей</w:t>
            </w:r>
          </w:p>
        </w:tc>
        <w:tc>
          <w:tcPr>
            <w:tcW w:w="1134" w:type="dxa"/>
          </w:tcPr>
          <w:p w14:paraId="48D4BCCC"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 xml:space="preserve">справочно </w:t>
            </w:r>
            <w:hyperlink w:anchor="P701">
              <w:r w:rsidRPr="00FD7B0B">
                <w:rPr>
                  <w:rFonts w:ascii="Times New Roman" w:eastAsia="Calibri" w:hAnsi="Times New Roman" w:cs="Times New Roman"/>
                  <w:sz w:val="16"/>
                  <w:szCs w:val="16"/>
                </w:rPr>
                <w:t>&lt;*&gt;</w:t>
              </w:r>
            </w:hyperlink>
            <w:r w:rsidRPr="00FD7B0B">
              <w:rPr>
                <w:rFonts w:ascii="Times New Roman" w:eastAsia="Calibri" w:hAnsi="Times New Roman" w:cs="Times New Roman"/>
                <w:sz w:val="16"/>
                <w:szCs w:val="16"/>
              </w:rPr>
              <w:t>: доля выполненных показателей</w:t>
            </w:r>
          </w:p>
        </w:tc>
        <w:tc>
          <w:tcPr>
            <w:tcW w:w="1417" w:type="dxa"/>
            <w:vMerge/>
          </w:tcPr>
          <w:p w14:paraId="245BB866" w14:textId="77777777" w:rsidR="000B08C9" w:rsidRPr="00FD7B0B" w:rsidRDefault="000B08C9" w:rsidP="000B08C9">
            <w:pPr>
              <w:spacing w:after="0" w:line="240" w:lineRule="auto"/>
              <w:jc w:val="center"/>
              <w:rPr>
                <w:rFonts w:ascii="Times New Roman" w:eastAsia="Calibri" w:hAnsi="Times New Roman" w:cs="Times New Roman"/>
                <w:b/>
                <w:sz w:val="16"/>
                <w:szCs w:val="16"/>
              </w:rPr>
            </w:pPr>
          </w:p>
        </w:tc>
      </w:tr>
      <w:tr w:rsidR="00FD7B0B" w:rsidRPr="00FD7B0B" w14:paraId="106FCF04" w14:textId="77777777" w:rsidTr="000B08C9">
        <w:tc>
          <w:tcPr>
            <w:tcW w:w="1134" w:type="dxa"/>
            <w:shd w:val="clear" w:color="auto" w:fill="92D050"/>
            <w:vAlign w:val="center"/>
          </w:tcPr>
          <w:p w14:paraId="2B99DD03"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Высокий уровень</w:t>
            </w:r>
          </w:p>
        </w:tc>
        <w:tc>
          <w:tcPr>
            <w:tcW w:w="1550" w:type="dxa"/>
            <w:shd w:val="clear" w:color="auto" w:fill="92D050"/>
            <w:vAlign w:val="center"/>
          </w:tcPr>
          <w:p w14:paraId="48C08CA3"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Высокий</w:t>
            </w:r>
          </w:p>
          <w:p w14:paraId="1DE02D2C"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уровень</w:t>
            </w:r>
          </w:p>
        </w:tc>
        <w:tc>
          <w:tcPr>
            <w:tcW w:w="1417" w:type="dxa"/>
            <w:shd w:val="clear" w:color="auto" w:fill="FF0000"/>
            <w:vAlign w:val="center"/>
          </w:tcPr>
          <w:p w14:paraId="3C31B04D"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Низкий</w:t>
            </w:r>
          </w:p>
          <w:p w14:paraId="5945401B"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уровень</w:t>
            </w:r>
          </w:p>
        </w:tc>
        <w:tc>
          <w:tcPr>
            <w:tcW w:w="1985" w:type="dxa"/>
            <w:shd w:val="clear" w:color="auto" w:fill="92D050"/>
            <w:vAlign w:val="center"/>
          </w:tcPr>
          <w:p w14:paraId="50B9263F"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Высокий уровень</w:t>
            </w:r>
          </w:p>
        </w:tc>
        <w:tc>
          <w:tcPr>
            <w:tcW w:w="1134" w:type="dxa"/>
            <w:shd w:val="clear" w:color="auto" w:fill="92D050"/>
            <w:vAlign w:val="center"/>
          </w:tcPr>
          <w:p w14:paraId="69FD21F1"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Высокий уровень</w:t>
            </w:r>
          </w:p>
        </w:tc>
        <w:tc>
          <w:tcPr>
            <w:tcW w:w="1134" w:type="dxa"/>
            <w:shd w:val="clear" w:color="auto" w:fill="92D050"/>
            <w:vAlign w:val="center"/>
          </w:tcPr>
          <w:p w14:paraId="2F0BF956"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Высокий</w:t>
            </w:r>
          </w:p>
          <w:p w14:paraId="79692976"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уровень</w:t>
            </w:r>
          </w:p>
        </w:tc>
        <w:tc>
          <w:tcPr>
            <w:tcW w:w="1417" w:type="dxa"/>
            <w:shd w:val="clear" w:color="auto" w:fill="FFFF00"/>
            <w:vAlign w:val="center"/>
          </w:tcPr>
          <w:p w14:paraId="5268902C" w14:textId="77777777" w:rsidR="000B08C9" w:rsidRPr="00FD7B0B" w:rsidRDefault="000B08C9" w:rsidP="000B08C9">
            <w:pPr>
              <w:spacing w:after="0" w:line="240" w:lineRule="auto"/>
              <w:jc w:val="center"/>
              <w:rPr>
                <w:rFonts w:ascii="Times New Roman" w:eastAsia="Calibri" w:hAnsi="Times New Roman" w:cs="Times New Roman"/>
                <w:b/>
                <w:sz w:val="16"/>
                <w:szCs w:val="16"/>
              </w:rPr>
            </w:pPr>
            <w:r w:rsidRPr="00FD7B0B">
              <w:rPr>
                <w:rFonts w:ascii="Times New Roman" w:eastAsia="Calibri" w:hAnsi="Times New Roman" w:cs="Times New Roman"/>
                <w:b/>
                <w:sz w:val="16"/>
                <w:szCs w:val="16"/>
              </w:rPr>
              <w:t>уровень выше среднего</w:t>
            </w:r>
          </w:p>
        </w:tc>
      </w:tr>
    </w:tbl>
    <w:p w14:paraId="2C657690" w14:textId="77777777" w:rsidR="000B08C9" w:rsidRPr="00FD7B0B" w:rsidRDefault="000B08C9" w:rsidP="000B08C9">
      <w:pPr>
        <w:spacing w:after="0" w:line="240" w:lineRule="auto"/>
        <w:jc w:val="center"/>
        <w:rPr>
          <w:rFonts w:ascii="Times New Roman" w:eastAsia="Calibri" w:hAnsi="Times New Roman" w:cs="Times New Roman"/>
          <w:sz w:val="16"/>
          <w:szCs w:val="16"/>
        </w:rPr>
      </w:pPr>
    </w:p>
    <w:p w14:paraId="4B824F4C" w14:textId="77777777" w:rsidR="000B08C9" w:rsidRPr="00FD7B0B" w:rsidRDefault="000B08C9" w:rsidP="000B08C9">
      <w:pPr>
        <w:spacing w:after="0" w:line="240" w:lineRule="auto"/>
        <w:jc w:val="both"/>
        <w:rPr>
          <w:rFonts w:ascii="Times New Roman" w:eastAsia="Calibri" w:hAnsi="Times New Roman" w:cs="Times New Roman"/>
          <w:sz w:val="24"/>
          <w:szCs w:val="24"/>
        </w:rPr>
      </w:pPr>
      <w:r w:rsidRPr="00FD7B0B">
        <w:rPr>
          <w:rFonts w:ascii="Times New Roman" w:eastAsia="Calibri" w:hAnsi="Times New Roman" w:cs="Times New Roman"/>
          <w:sz w:val="24"/>
          <w:szCs w:val="24"/>
        </w:rPr>
        <w:t>Оценка формирования и использования системы показателей исходя из приоритетов социально-экономического развития РФ и Архангельской области по результатам проверки исполнения государственной программы</w:t>
      </w:r>
    </w:p>
    <w:tbl>
      <w:tblPr>
        <w:tblW w:w="9771"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408"/>
        <w:gridCol w:w="1559"/>
        <w:gridCol w:w="1418"/>
        <w:gridCol w:w="1711"/>
        <w:gridCol w:w="2399"/>
        <w:gridCol w:w="1276"/>
      </w:tblGrid>
      <w:tr w:rsidR="00FD7B0B" w:rsidRPr="00FD7B0B" w14:paraId="6ACB74DB" w14:textId="77777777" w:rsidTr="000B08C9">
        <w:trPr>
          <w:trHeight w:val="293"/>
        </w:trPr>
        <w:tc>
          <w:tcPr>
            <w:tcW w:w="1408" w:type="dxa"/>
          </w:tcPr>
          <w:p w14:paraId="61290068"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Оценка состава показателей</w:t>
            </w:r>
          </w:p>
        </w:tc>
        <w:tc>
          <w:tcPr>
            <w:tcW w:w="1559" w:type="dxa"/>
          </w:tcPr>
          <w:p w14:paraId="7D0181E6"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Оценка стабильности состава показателей на протяжении отчетного года</w:t>
            </w:r>
          </w:p>
        </w:tc>
        <w:tc>
          <w:tcPr>
            <w:tcW w:w="1418" w:type="dxa"/>
          </w:tcPr>
          <w:p w14:paraId="3DE158E1"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Оценка стабильности состава показателей за три года</w:t>
            </w:r>
          </w:p>
        </w:tc>
        <w:tc>
          <w:tcPr>
            <w:tcW w:w="1711" w:type="dxa"/>
            <w:shd w:val="clear" w:color="auto" w:fill="auto"/>
          </w:tcPr>
          <w:p w14:paraId="091B8130"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Оценка динамики значений показателей</w:t>
            </w:r>
          </w:p>
        </w:tc>
        <w:tc>
          <w:tcPr>
            <w:tcW w:w="2399" w:type="dxa"/>
          </w:tcPr>
          <w:p w14:paraId="7F37D2EB"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Оценка количества показателей, по которым представлены фактические значения за отчетный год</w:t>
            </w:r>
          </w:p>
        </w:tc>
        <w:tc>
          <w:tcPr>
            <w:tcW w:w="1276" w:type="dxa"/>
          </w:tcPr>
          <w:p w14:paraId="1BA38253" w14:textId="77777777" w:rsidR="000B08C9" w:rsidRPr="00FD7B0B" w:rsidRDefault="000B08C9" w:rsidP="000B08C9">
            <w:pPr>
              <w:spacing w:after="0" w:line="240" w:lineRule="auto"/>
              <w:jc w:val="center"/>
              <w:rPr>
                <w:rFonts w:ascii="Times New Roman" w:eastAsia="Calibri" w:hAnsi="Times New Roman" w:cs="Times New Roman"/>
                <w:b/>
                <w:sz w:val="16"/>
                <w:szCs w:val="16"/>
              </w:rPr>
            </w:pPr>
            <w:r w:rsidRPr="00FD7B0B">
              <w:rPr>
                <w:rFonts w:ascii="Times New Roman" w:eastAsia="Calibri" w:hAnsi="Times New Roman" w:cs="Times New Roman"/>
                <w:b/>
                <w:sz w:val="16"/>
                <w:szCs w:val="16"/>
              </w:rPr>
              <w:t>Итого</w:t>
            </w:r>
          </w:p>
        </w:tc>
      </w:tr>
      <w:tr w:rsidR="00FD7B0B" w:rsidRPr="00FD7B0B" w14:paraId="5CFEF0C6" w14:textId="77777777" w:rsidTr="000B08C9">
        <w:trPr>
          <w:trHeight w:val="463"/>
        </w:trPr>
        <w:tc>
          <w:tcPr>
            <w:tcW w:w="1408" w:type="dxa"/>
            <w:shd w:val="clear" w:color="auto" w:fill="92D050"/>
            <w:vAlign w:val="center"/>
          </w:tcPr>
          <w:p w14:paraId="1A4ED312" w14:textId="77777777" w:rsidR="000B08C9" w:rsidRPr="00FD7B0B" w:rsidRDefault="000B08C9" w:rsidP="000B08C9">
            <w:pPr>
              <w:spacing w:after="0" w:line="240" w:lineRule="auto"/>
              <w:rPr>
                <w:rFonts w:ascii="Times New Roman" w:eastAsia="Calibri" w:hAnsi="Times New Roman" w:cs="Times New Roman"/>
                <w:sz w:val="16"/>
                <w:szCs w:val="16"/>
              </w:rPr>
            </w:pPr>
            <w:r w:rsidRPr="00FD7B0B">
              <w:rPr>
                <w:rFonts w:ascii="Times New Roman" w:eastAsia="Calibri" w:hAnsi="Times New Roman" w:cs="Times New Roman"/>
                <w:sz w:val="16"/>
                <w:szCs w:val="16"/>
              </w:rPr>
              <w:t>Высокий уровень</w:t>
            </w:r>
          </w:p>
        </w:tc>
        <w:tc>
          <w:tcPr>
            <w:tcW w:w="1559" w:type="dxa"/>
            <w:shd w:val="clear" w:color="auto" w:fill="FFFF00"/>
            <w:vAlign w:val="center"/>
          </w:tcPr>
          <w:p w14:paraId="5D042763"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Средний уровень</w:t>
            </w:r>
          </w:p>
        </w:tc>
        <w:tc>
          <w:tcPr>
            <w:tcW w:w="1418" w:type="dxa"/>
            <w:shd w:val="clear" w:color="auto" w:fill="FFFF00"/>
            <w:vAlign w:val="center"/>
          </w:tcPr>
          <w:p w14:paraId="0367F69B"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Средний уровень</w:t>
            </w:r>
          </w:p>
        </w:tc>
        <w:tc>
          <w:tcPr>
            <w:tcW w:w="1711" w:type="dxa"/>
            <w:shd w:val="clear" w:color="auto" w:fill="92D050"/>
            <w:vAlign w:val="center"/>
          </w:tcPr>
          <w:p w14:paraId="466C5287"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Высокий уровень</w:t>
            </w:r>
          </w:p>
        </w:tc>
        <w:tc>
          <w:tcPr>
            <w:tcW w:w="2399" w:type="dxa"/>
            <w:shd w:val="clear" w:color="auto" w:fill="FF0000"/>
            <w:vAlign w:val="center"/>
          </w:tcPr>
          <w:p w14:paraId="44A6E40D" w14:textId="77777777" w:rsidR="000B08C9" w:rsidRPr="00FD7B0B" w:rsidRDefault="000B08C9" w:rsidP="000B08C9">
            <w:pPr>
              <w:spacing w:after="0" w:line="240" w:lineRule="auto"/>
              <w:jc w:val="center"/>
              <w:rPr>
                <w:rFonts w:ascii="Times New Roman" w:eastAsia="Calibri" w:hAnsi="Times New Roman" w:cs="Times New Roman"/>
                <w:sz w:val="16"/>
                <w:szCs w:val="16"/>
              </w:rPr>
            </w:pPr>
            <w:r w:rsidRPr="00FD7B0B">
              <w:rPr>
                <w:rFonts w:ascii="Times New Roman" w:eastAsia="Calibri" w:hAnsi="Times New Roman" w:cs="Times New Roman"/>
                <w:sz w:val="16"/>
                <w:szCs w:val="16"/>
              </w:rPr>
              <w:t>низкий уровень</w:t>
            </w:r>
          </w:p>
        </w:tc>
        <w:tc>
          <w:tcPr>
            <w:tcW w:w="1276" w:type="dxa"/>
            <w:shd w:val="clear" w:color="auto" w:fill="FFFF00"/>
            <w:vAlign w:val="center"/>
          </w:tcPr>
          <w:p w14:paraId="5187ACD9" w14:textId="77777777" w:rsidR="000B08C9" w:rsidRPr="00FD7B0B" w:rsidRDefault="000B08C9" w:rsidP="000B08C9">
            <w:pPr>
              <w:spacing w:after="0" w:line="240" w:lineRule="auto"/>
              <w:jc w:val="center"/>
              <w:rPr>
                <w:rFonts w:ascii="Times New Roman" w:eastAsia="Calibri" w:hAnsi="Times New Roman" w:cs="Times New Roman"/>
                <w:b/>
                <w:sz w:val="16"/>
                <w:szCs w:val="16"/>
              </w:rPr>
            </w:pPr>
            <w:r w:rsidRPr="00FD7B0B">
              <w:rPr>
                <w:rFonts w:ascii="Times New Roman" w:eastAsia="Calibri" w:hAnsi="Times New Roman" w:cs="Times New Roman"/>
                <w:b/>
                <w:sz w:val="16"/>
                <w:szCs w:val="16"/>
              </w:rPr>
              <w:t>уровень средний</w:t>
            </w:r>
          </w:p>
        </w:tc>
      </w:tr>
    </w:tbl>
    <w:p w14:paraId="0CB7EA62" w14:textId="05355C91" w:rsidR="00D304BC" w:rsidRPr="00FD7B0B" w:rsidRDefault="009B516C" w:rsidP="007B3A7E">
      <w:pPr>
        <w:pStyle w:val="3"/>
        <w:spacing w:line="240" w:lineRule="auto"/>
        <w:jc w:val="center"/>
        <w:rPr>
          <w:rFonts w:ascii="Times New Roman" w:hAnsi="Times New Roman"/>
          <w:b w:val="0"/>
          <w:sz w:val="28"/>
          <w:szCs w:val="28"/>
          <w:u w:val="single"/>
        </w:rPr>
      </w:pPr>
      <w:bookmarkStart w:id="134" w:name="_Toc198819139"/>
      <w:r w:rsidRPr="00FD7B0B">
        <w:rPr>
          <w:rFonts w:ascii="Times New Roman" w:hAnsi="Times New Roman"/>
          <w:b w:val="0"/>
          <w:sz w:val="28"/>
          <w:szCs w:val="28"/>
          <w:u w:val="single"/>
          <w:lang w:val="ru-RU"/>
        </w:rPr>
        <w:t>4</w:t>
      </w:r>
      <w:r w:rsidR="00D304BC" w:rsidRPr="00FD7B0B">
        <w:rPr>
          <w:rFonts w:ascii="Times New Roman" w:hAnsi="Times New Roman"/>
          <w:b w:val="0"/>
          <w:sz w:val="28"/>
          <w:szCs w:val="28"/>
          <w:u w:val="single"/>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rPr>
        <w:t>.</w:t>
      </w:r>
      <w:r w:rsidR="00D304BC" w:rsidRPr="00FD7B0B">
        <w:rPr>
          <w:rFonts w:ascii="Times New Roman" w:hAnsi="Times New Roman"/>
          <w:b w:val="0"/>
          <w:sz w:val="28"/>
          <w:szCs w:val="28"/>
          <w:u w:val="single"/>
          <w:lang w:val="ru-RU"/>
        </w:rPr>
        <w:t>6</w:t>
      </w:r>
      <w:r w:rsidR="00D304BC" w:rsidRPr="00FD7B0B">
        <w:rPr>
          <w:rFonts w:ascii="Times New Roman" w:hAnsi="Times New Roman"/>
          <w:b w:val="0"/>
          <w:sz w:val="28"/>
          <w:szCs w:val="28"/>
          <w:u w:val="single"/>
        </w:rPr>
        <w:t xml:space="preserve">. Государственная программа </w:t>
      </w:r>
      <w:r w:rsidR="0065479F" w:rsidRPr="00FD7B0B">
        <w:rPr>
          <w:rFonts w:ascii="Times New Roman" w:hAnsi="Times New Roman"/>
          <w:b w:val="0"/>
          <w:sz w:val="28"/>
          <w:szCs w:val="28"/>
          <w:u w:val="single"/>
        </w:rPr>
        <w:t>«</w:t>
      </w:r>
      <w:r w:rsidR="00D304BC" w:rsidRPr="00FD7B0B">
        <w:rPr>
          <w:rFonts w:ascii="Times New Roman" w:hAnsi="Times New Roman"/>
          <w:b w:val="0"/>
          <w:sz w:val="28"/>
          <w:szCs w:val="28"/>
          <w:u w:val="single"/>
        </w:rPr>
        <w:t>Обеспечение качественным, доступным жильем и объектами инженерной инфраструктуры населения Архангельской области</w:t>
      </w:r>
      <w:r w:rsidR="0065479F" w:rsidRPr="00FD7B0B">
        <w:rPr>
          <w:rFonts w:ascii="Times New Roman" w:hAnsi="Times New Roman"/>
          <w:b w:val="0"/>
          <w:sz w:val="28"/>
          <w:szCs w:val="28"/>
          <w:u w:val="single"/>
        </w:rPr>
        <w:t>»</w:t>
      </w:r>
      <w:bookmarkEnd w:id="134"/>
    </w:p>
    <w:p w14:paraId="3E547F61" w14:textId="1646798C"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Государственная программа Архангельской области «Обеспечение качественным, доступным жильем и объектами инженерной инфраструктуры населения Архангельской области» утверждена постановлением Правительства Архангельской области от 11.10.2013 № 475-пп (далее - ГП № 06).</w:t>
      </w:r>
    </w:p>
    <w:p w14:paraId="4AA77764" w14:textId="547AED23"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Ответственным исполнителем мероприятий является министерство строительства и архитектуры Архангельской области (далее – минстрой АО).</w:t>
      </w:r>
    </w:p>
    <w:p w14:paraId="159C184A"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Госпрограмма включает в себя следующие структурные элементы:</w:t>
      </w:r>
    </w:p>
    <w:p w14:paraId="205C8402"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1. Проектная часть:</w:t>
      </w:r>
    </w:p>
    <w:p w14:paraId="18411240" w14:textId="5FF90A6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региональный проект № 1 «Обеспечение устойчивого сокращения непригодного для проживания жилищного фонда» (далее – РП № 1);</w:t>
      </w:r>
    </w:p>
    <w:p w14:paraId="1365ECB5" w14:textId="3E90F131"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региональный проект № 2 «Жилье»</w:t>
      </w:r>
      <w:r w:rsidR="00105522" w:rsidRPr="00FD7B0B">
        <w:rPr>
          <w:rFonts w:ascii="Times New Roman" w:hAnsi="Times New Roman"/>
          <w:sz w:val="28"/>
          <w:szCs w:val="28"/>
        </w:rPr>
        <w:t xml:space="preserve"> </w:t>
      </w:r>
      <w:r w:rsidRPr="00FD7B0B">
        <w:rPr>
          <w:rFonts w:ascii="Times New Roman" w:hAnsi="Times New Roman"/>
          <w:sz w:val="28"/>
          <w:szCs w:val="28"/>
        </w:rPr>
        <w:t>(далее – РП № 2);</w:t>
      </w:r>
    </w:p>
    <w:p w14:paraId="48368BDC" w14:textId="625021AE"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региональный проект № 3 «Обеспечение жильем семей отдельных категорий граждан Российс</w:t>
      </w:r>
      <w:r w:rsidR="00105522" w:rsidRPr="00FD7B0B">
        <w:rPr>
          <w:rFonts w:ascii="Times New Roman" w:hAnsi="Times New Roman"/>
          <w:sz w:val="28"/>
          <w:szCs w:val="28"/>
        </w:rPr>
        <w:t>кой Федерации» (далее – РП № 3).</w:t>
      </w:r>
    </w:p>
    <w:p w14:paraId="6FA041EC"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2. Процессная часть: комплекс процессных мероприятий «Обеспечение качественным, доступным жильем и объектами инженерной инфраструктуры населения Архангельской области» (далее – КПМ).</w:t>
      </w:r>
    </w:p>
    <w:p w14:paraId="720DF41E" w14:textId="32F8865C"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Объемы финансирования мероприятий ГП № 06 за 2024 год в разрезе структурных элементов и источников финансирования сведения представлены в таблице </w:t>
      </w:r>
      <w:r w:rsidR="006C02CF" w:rsidRPr="00FD7B0B">
        <w:rPr>
          <w:rFonts w:ascii="Times New Roman" w:hAnsi="Times New Roman"/>
          <w:sz w:val="28"/>
          <w:szCs w:val="28"/>
        </w:rPr>
        <w:t>130</w:t>
      </w:r>
      <w:r w:rsidRPr="00FD7B0B">
        <w:rPr>
          <w:rFonts w:ascii="Times New Roman" w:hAnsi="Times New Roman"/>
          <w:sz w:val="28"/>
          <w:szCs w:val="28"/>
        </w:rPr>
        <w:t>.</w:t>
      </w:r>
    </w:p>
    <w:p w14:paraId="1C5B06A1" w14:textId="77777777" w:rsidR="002A3B24" w:rsidRPr="00FD7B0B" w:rsidRDefault="002A3B24" w:rsidP="002A3B24">
      <w:pPr>
        <w:pStyle w:val="aff0"/>
        <w:keepNext/>
        <w:spacing w:after="0" w:line="240" w:lineRule="auto"/>
        <w:rPr>
          <w:rFonts w:ascii="Times New Roman" w:hAnsi="Times New Roman"/>
          <w:b w:val="0"/>
          <w:sz w:val="24"/>
          <w:szCs w:val="24"/>
        </w:rPr>
      </w:pPr>
    </w:p>
    <w:p w14:paraId="6B1A1F55" w14:textId="77777777" w:rsidR="002A3B24" w:rsidRPr="00FD7B0B" w:rsidRDefault="002A3B24" w:rsidP="002A3B24">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130</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Изменения, внесенные в объемы финансирования мероприятий ГП № 06 </w:t>
      </w:r>
      <w:r w:rsidRPr="00FD7B0B">
        <w:rPr>
          <w:rFonts w:ascii="Times New Roman" w:hAnsi="Times New Roman"/>
          <w:b w:val="0"/>
          <w:sz w:val="24"/>
          <w:szCs w:val="24"/>
        </w:rPr>
        <w:br/>
        <w:t>за 2024 год в разрезе структурных элементов и источников финансирования, млн.руб.</w:t>
      </w:r>
    </w:p>
    <w:tbl>
      <w:tblPr>
        <w:tblW w:w="955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294"/>
        <w:gridCol w:w="1861"/>
        <w:gridCol w:w="1843"/>
        <w:gridCol w:w="1115"/>
        <w:gridCol w:w="1442"/>
      </w:tblGrid>
      <w:tr w:rsidR="00FD7B0B" w:rsidRPr="00FD7B0B" w14:paraId="0DF23E7B" w14:textId="77777777" w:rsidTr="00FC3C30">
        <w:trPr>
          <w:trHeight w:val="300"/>
          <w:tblHeader/>
        </w:trPr>
        <w:tc>
          <w:tcPr>
            <w:tcW w:w="3294" w:type="dxa"/>
            <w:vMerge w:val="restart"/>
            <w:shd w:val="clear" w:color="auto" w:fill="auto"/>
            <w:vAlign w:val="center"/>
            <w:hideMark/>
          </w:tcPr>
          <w:p w14:paraId="6430FFB4"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Структурный элемент </w:t>
            </w:r>
            <w:r w:rsidRPr="00FD7B0B">
              <w:rPr>
                <w:rFonts w:ascii="Times New Roman" w:eastAsia="Times New Roman" w:hAnsi="Times New Roman" w:cs="Times New Roman"/>
                <w:sz w:val="20"/>
                <w:szCs w:val="20"/>
                <w:lang w:eastAsia="ru-RU"/>
              </w:rPr>
              <w:br/>
              <w:t>источник финансирования</w:t>
            </w:r>
          </w:p>
        </w:tc>
        <w:tc>
          <w:tcPr>
            <w:tcW w:w="1861" w:type="dxa"/>
            <w:vMerge w:val="restart"/>
            <w:shd w:val="clear" w:color="auto" w:fill="auto"/>
            <w:vAlign w:val="center"/>
            <w:hideMark/>
          </w:tcPr>
          <w:p w14:paraId="46CE981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Редакция ГП № 06 на 01.01.2024</w:t>
            </w:r>
          </w:p>
        </w:tc>
        <w:tc>
          <w:tcPr>
            <w:tcW w:w="1843" w:type="dxa"/>
            <w:vMerge w:val="restart"/>
            <w:shd w:val="clear" w:color="auto" w:fill="auto"/>
            <w:vAlign w:val="center"/>
            <w:hideMark/>
          </w:tcPr>
          <w:p w14:paraId="7EADCCA6"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Редакция ГП № 06 на 31.12.2024</w:t>
            </w:r>
          </w:p>
        </w:tc>
        <w:tc>
          <w:tcPr>
            <w:tcW w:w="2557" w:type="dxa"/>
            <w:gridSpan w:val="2"/>
            <w:shd w:val="clear" w:color="auto" w:fill="auto"/>
            <w:vAlign w:val="center"/>
            <w:hideMark/>
          </w:tcPr>
          <w:p w14:paraId="6C90E6C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Изменения за отчетный период (+/-)</w:t>
            </w:r>
          </w:p>
        </w:tc>
      </w:tr>
      <w:tr w:rsidR="00FD7B0B" w:rsidRPr="00FD7B0B" w14:paraId="4E7A216E" w14:textId="77777777" w:rsidTr="00FC3C30">
        <w:trPr>
          <w:trHeight w:val="36"/>
          <w:tblHeader/>
        </w:trPr>
        <w:tc>
          <w:tcPr>
            <w:tcW w:w="3294" w:type="dxa"/>
            <w:vMerge/>
            <w:vAlign w:val="center"/>
            <w:hideMark/>
          </w:tcPr>
          <w:p w14:paraId="2153B49A" w14:textId="77777777" w:rsidR="002A3B24" w:rsidRPr="00FD7B0B" w:rsidRDefault="002A3B24" w:rsidP="002A3B24">
            <w:pPr>
              <w:spacing w:after="0" w:line="240" w:lineRule="auto"/>
              <w:rPr>
                <w:rFonts w:ascii="Times New Roman" w:eastAsia="Times New Roman" w:hAnsi="Times New Roman" w:cs="Times New Roman"/>
                <w:sz w:val="20"/>
                <w:szCs w:val="20"/>
                <w:lang w:eastAsia="ru-RU"/>
              </w:rPr>
            </w:pPr>
          </w:p>
        </w:tc>
        <w:tc>
          <w:tcPr>
            <w:tcW w:w="1861" w:type="dxa"/>
            <w:vMerge/>
            <w:vAlign w:val="center"/>
            <w:hideMark/>
          </w:tcPr>
          <w:p w14:paraId="2344291A" w14:textId="77777777" w:rsidR="002A3B24" w:rsidRPr="00FD7B0B" w:rsidRDefault="002A3B24" w:rsidP="002A3B24">
            <w:pPr>
              <w:spacing w:after="0" w:line="240" w:lineRule="auto"/>
              <w:rPr>
                <w:rFonts w:ascii="Times New Roman" w:eastAsia="Times New Roman" w:hAnsi="Times New Roman" w:cs="Times New Roman"/>
                <w:sz w:val="20"/>
                <w:szCs w:val="20"/>
                <w:lang w:eastAsia="ru-RU"/>
              </w:rPr>
            </w:pPr>
          </w:p>
        </w:tc>
        <w:tc>
          <w:tcPr>
            <w:tcW w:w="1843" w:type="dxa"/>
            <w:vMerge/>
            <w:vAlign w:val="center"/>
            <w:hideMark/>
          </w:tcPr>
          <w:p w14:paraId="08E983EB" w14:textId="77777777" w:rsidR="002A3B24" w:rsidRPr="00FD7B0B" w:rsidRDefault="002A3B24" w:rsidP="002A3B24">
            <w:pPr>
              <w:spacing w:after="0" w:line="240" w:lineRule="auto"/>
              <w:rPr>
                <w:rFonts w:ascii="Times New Roman" w:eastAsia="Times New Roman" w:hAnsi="Times New Roman" w:cs="Times New Roman"/>
                <w:sz w:val="20"/>
                <w:szCs w:val="20"/>
                <w:lang w:eastAsia="ru-RU"/>
              </w:rPr>
            </w:pPr>
          </w:p>
        </w:tc>
        <w:tc>
          <w:tcPr>
            <w:tcW w:w="1115" w:type="dxa"/>
            <w:shd w:val="clear" w:color="auto" w:fill="auto"/>
            <w:vAlign w:val="center"/>
            <w:hideMark/>
          </w:tcPr>
          <w:p w14:paraId="01768E10"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1442" w:type="dxa"/>
            <w:shd w:val="clear" w:color="auto" w:fill="auto"/>
            <w:vAlign w:val="center"/>
            <w:hideMark/>
          </w:tcPr>
          <w:p w14:paraId="3C34BE6D"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r>
      <w:tr w:rsidR="00FD7B0B" w:rsidRPr="00FD7B0B" w14:paraId="0AD6D3A2" w14:textId="77777777" w:rsidTr="00FC3C30">
        <w:trPr>
          <w:trHeight w:hRule="exact" w:val="255"/>
        </w:trPr>
        <w:tc>
          <w:tcPr>
            <w:tcW w:w="3294" w:type="dxa"/>
            <w:shd w:val="clear" w:color="auto" w:fill="auto"/>
            <w:vAlign w:val="center"/>
            <w:hideMark/>
          </w:tcPr>
          <w:p w14:paraId="3E61695B"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А</w:t>
            </w:r>
          </w:p>
        </w:tc>
        <w:tc>
          <w:tcPr>
            <w:tcW w:w="1861" w:type="dxa"/>
            <w:shd w:val="clear" w:color="auto" w:fill="auto"/>
            <w:vAlign w:val="center"/>
            <w:hideMark/>
          </w:tcPr>
          <w:p w14:paraId="3A138D38"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1843" w:type="dxa"/>
            <w:shd w:val="clear" w:color="auto" w:fill="auto"/>
            <w:vAlign w:val="center"/>
            <w:hideMark/>
          </w:tcPr>
          <w:p w14:paraId="1B1D69EC"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1115" w:type="dxa"/>
            <w:shd w:val="clear" w:color="auto" w:fill="auto"/>
            <w:vAlign w:val="center"/>
            <w:hideMark/>
          </w:tcPr>
          <w:p w14:paraId="52754EA3"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3=2-1</w:t>
            </w:r>
          </w:p>
        </w:tc>
        <w:tc>
          <w:tcPr>
            <w:tcW w:w="1442" w:type="dxa"/>
            <w:shd w:val="clear" w:color="auto" w:fill="auto"/>
            <w:vAlign w:val="center"/>
            <w:hideMark/>
          </w:tcPr>
          <w:p w14:paraId="79569D20"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4=2/1*100-100</w:t>
            </w:r>
          </w:p>
        </w:tc>
      </w:tr>
      <w:tr w:rsidR="00FD7B0B" w:rsidRPr="00FD7B0B" w14:paraId="55DA3B8D" w14:textId="77777777" w:rsidTr="00FC3C30">
        <w:trPr>
          <w:trHeight w:hRule="exact" w:val="255"/>
        </w:trPr>
        <w:tc>
          <w:tcPr>
            <w:tcW w:w="3294" w:type="dxa"/>
            <w:shd w:val="clear" w:color="auto" w:fill="auto"/>
            <w:vAlign w:val="center"/>
            <w:hideMark/>
          </w:tcPr>
          <w:p w14:paraId="6E819CD4" w14:textId="77777777" w:rsidR="002A3B24" w:rsidRPr="00FD7B0B" w:rsidRDefault="002A3B24" w:rsidP="002A3B24">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1</w:t>
            </w:r>
          </w:p>
        </w:tc>
        <w:tc>
          <w:tcPr>
            <w:tcW w:w="1861" w:type="dxa"/>
            <w:shd w:val="clear" w:color="auto" w:fill="auto"/>
            <w:vAlign w:val="center"/>
          </w:tcPr>
          <w:p w14:paraId="7D6A6CF2"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2 684,9</w:t>
            </w:r>
          </w:p>
        </w:tc>
        <w:tc>
          <w:tcPr>
            <w:tcW w:w="1843" w:type="dxa"/>
            <w:shd w:val="clear" w:color="auto" w:fill="auto"/>
            <w:vAlign w:val="center"/>
          </w:tcPr>
          <w:p w14:paraId="76E26A8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3 474,5</w:t>
            </w:r>
          </w:p>
        </w:tc>
        <w:tc>
          <w:tcPr>
            <w:tcW w:w="1115" w:type="dxa"/>
            <w:shd w:val="clear" w:color="auto" w:fill="auto"/>
            <w:vAlign w:val="center"/>
          </w:tcPr>
          <w:p w14:paraId="671DF5E4"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789,6</w:t>
            </w:r>
          </w:p>
        </w:tc>
        <w:tc>
          <w:tcPr>
            <w:tcW w:w="1442" w:type="dxa"/>
            <w:shd w:val="clear" w:color="auto" w:fill="auto"/>
            <w:vAlign w:val="center"/>
          </w:tcPr>
          <w:p w14:paraId="036F09DE"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29,4</w:t>
            </w:r>
          </w:p>
        </w:tc>
      </w:tr>
      <w:tr w:rsidR="00FD7B0B" w:rsidRPr="00FD7B0B" w14:paraId="08B93D21" w14:textId="77777777" w:rsidTr="00F604AE">
        <w:trPr>
          <w:trHeight w:hRule="exact" w:val="314"/>
        </w:trPr>
        <w:tc>
          <w:tcPr>
            <w:tcW w:w="3294" w:type="dxa"/>
            <w:shd w:val="clear" w:color="auto" w:fill="auto"/>
            <w:vAlign w:val="center"/>
            <w:hideMark/>
          </w:tcPr>
          <w:p w14:paraId="302B6904" w14:textId="2492C64D" w:rsidR="002A3B24" w:rsidRPr="00FD7B0B" w:rsidRDefault="002A3B24" w:rsidP="00F604A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том числе областной бюджет из них</w:t>
            </w:r>
            <w:r w:rsidR="00F604AE" w:rsidRPr="00FD7B0B">
              <w:rPr>
                <w:rFonts w:ascii="Times New Roman" w:eastAsia="Times New Roman" w:hAnsi="Times New Roman" w:cs="Times New Roman"/>
                <w:sz w:val="18"/>
                <w:szCs w:val="18"/>
                <w:lang w:eastAsia="ru-RU"/>
              </w:rPr>
              <w:t>:</w:t>
            </w:r>
          </w:p>
        </w:tc>
        <w:tc>
          <w:tcPr>
            <w:tcW w:w="1861" w:type="dxa"/>
            <w:shd w:val="clear" w:color="auto" w:fill="auto"/>
            <w:vAlign w:val="center"/>
          </w:tcPr>
          <w:p w14:paraId="0C687B4C"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2 684,3</w:t>
            </w:r>
          </w:p>
        </w:tc>
        <w:tc>
          <w:tcPr>
            <w:tcW w:w="1843" w:type="dxa"/>
            <w:shd w:val="clear" w:color="auto" w:fill="auto"/>
            <w:vAlign w:val="center"/>
          </w:tcPr>
          <w:p w14:paraId="1F4ED8F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3 474,1</w:t>
            </w:r>
          </w:p>
        </w:tc>
        <w:tc>
          <w:tcPr>
            <w:tcW w:w="1115" w:type="dxa"/>
            <w:shd w:val="clear" w:color="auto" w:fill="auto"/>
            <w:vAlign w:val="center"/>
          </w:tcPr>
          <w:p w14:paraId="2EE66B1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789,8</w:t>
            </w:r>
          </w:p>
        </w:tc>
        <w:tc>
          <w:tcPr>
            <w:tcW w:w="1442" w:type="dxa"/>
            <w:shd w:val="clear" w:color="auto" w:fill="auto"/>
            <w:vAlign w:val="center"/>
          </w:tcPr>
          <w:p w14:paraId="58A68E9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29,4</w:t>
            </w:r>
          </w:p>
        </w:tc>
      </w:tr>
      <w:tr w:rsidR="00FD7B0B" w:rsidRPr="00FD7B0B" w14:paraId="0301653A" w14:textId="77777777" w:rsidTr="00FC3C30">
        <w:trPr>
          <w:trHeight w:hRule="exact" w:val="470"/>
        </w:trPr>
        <w:tc>
          <w:tcPr>
            <w:tcW w:w="3294" w:type="dxa"/>
            <w:shd w:val="clear" w:color="auto" w:fill="auto"/>
            <w:vAlign w:val="center"/>
            <w:hideMark/>
          </w:tcPr>
          <w:p w14:paraId="456AE1A5" w14:textId="77777777" w:rsidR="002A3B24" w:rsidRPr="00FD7B0B" w:rsidRDefault="002A3B24" w:rsidP="002A3B24">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консолидированные бюджеты муниципальных образований </w:t>
            </w:r>
          </w:p>
        </w:tc>
        <w:tc>
          <w:tcPr>
            <w:tcW w:w="1861" w:type="dxa"/>
            <w:shd w:val="clear" w:color="auto" w:fill="auto"/>
            <w:vAlign w:val="center"/>
          </w:tcPr>
          <w:p w14:paraId="305F5BCC"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820,3</w:t>
            </w:r>
          </w:p>
        </w:tc>
        <w:tc>
          <w:tcPr>
            <w:tcW w:w="1843" w:type="dxa"/>
            <w:shd w:val="clear" w:color="auto" w:fill="auto"/>
            <w:vAlign w:val="center"/>
          </w:tcPr>
          <w:p w14:paraId="55516751"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384,9</w:t>
            </w:r>
          </w:p>
        </w:tc>
        <w:tc>
          <w:tcPr>
            <w:tcW w:w="1115" w:type="dxa"/>
            <w:shd w:val="clear" w:color="auto" w:fill="auto"/>
            <w:vAlign w:val="center"/>
          </w:tcPr>
          <w:p w14:paraId="2EF56FD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-435,4</w:t>
            </w:r>
          </w:p>
        </w:tc>
        <w:tc>
          <w:tcPr>
            <w:tcW w:w="1442" w:type="dxa"/>
            <w:shd w:val="clear" w:color="auto" w:fill="auto"/>
            <w:vAlign w:val="center"/>
          </w:tcPr>
          <w:p w14:paraId="18D01D51"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-53,1</w:t>
            </w:r>
          </w:p>
        </w:tc>
      </w:tr>
      <w:tr w:rsidR="00FD7B0B" w:rsidRPr="00FD7B0B" w14:paraId="13298F06" w14:textId="77777777" w:rsidTr="00FC3C30">
        <w:trPr>
          <w:trHeight w:hRule="exact" w:val="255"/>
        </w:trPr>
        <w:tc>
          <w:tcPr>
            <w:tcW w:w="3294" w:type="dxa"/>
            <w:shd w:val="clear" w:color="auto" w:fill="auto"/>
            <w:vAlign w:val="center"/>
            <w:hideMark/>
          </w:tcPr>
          <w:p w14:paraId="67950968" w14:textId="77777777" w:rsidR="002A3B24" w:rsidRPr="00FD7B0B" w:rsidRDefault="002A3B24" w:rsidP="002A3B24">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2</w:t>
            </w:r>
          </w:p>
        </w:tc>
        <w:tc>
          <w:tcPr>
            <w:tcW w:w="1861" w:type="dxa"/>
            <w:shd w:val="clear" w:color="auto" w:fill="auto"/>
            <w:vAlign w:val="center"/>
          </w:tcPr>
          <w:p w14:paraId="5B96C27C"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1843" w:type="dxa"/>
            <w:shd w:val="clear" w:color="auto" w:fill="auto"/>
            <w:vAlign w:val="center"/>
          </w:tcPr>
          <w:p w14:paraId="41AFE88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1115" w:type="dxa"/>
            <w:shd w:val="clear" w:color="auto" w:fill="auto"/>
            <w:vAlign w:val="center"/>
          </w:tcPr>
          <w:p w14:paraId="1477BEC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1442" w:type="dxa"/>
            <w:shd w:val="clear" w:color="auto" w:fill="auto"/>
            <w:vAlign w:val="center"/>
          </w:tcPr>
          <w:p w14:paraId="50DEECA6"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3702B503" w14:textId="77777777" w:rsidTr="00FC3C30">
        <w:trPr>
          <w:trHeight w:hRule="exact" w:val="255"/>
        </w:trPr>
        <w:tc>
          <w:tcPr>
            <w:tcW w:w="3294" w:type="dxa"/>
            <w:shd w:val="clear" w:color="auto" w:fill="auto"/>
            <w:vAlign w:val="center"/>
          </w:tcPr>
          <w:p w14:paraId="3C60902D" w14:textId="77777777" w:rsidR="002A3B24" w:rsidRPr="00FD7B0B" w:rsidRDefault="002A3B24" w:rsidP="002A3B24">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3</w:t>
            </w:r>
          </w:p>
        </w:tc>
        <w:tc>
          <w:tcPr>
            <w:tcW w:w="1861" w:type="dxa"/>
            <w:shd w:val="clear" w:color="auto" w:fill="auto"/>
            <w:vAlign w:val="center"/>
          </w:tcPr>
          <w:p w14:paraId="5F87F4A0"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926,3</w:t>
            </w:r>
          </w:p>
        </w:tc>
        <w:tc>
          <w:tcPr>
            <w:tcW w:w="1843" w:type="dxa"/>
            <w:shd w:val="clear" w:color="auto" w:fill="auto"/>
            <w:vAlign w:val="center"/>
          </w:tcPr>
          <w:p w14:paraId="7DC075A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946,2</w:t>
            </w:r>
          </w:p>
        </w:tc>
        <w:tc>
          <w:tcPr>
            <w:tcW w:w="1115" w:type="dxa"/>
            <w:shd w:val="clear" w:color="auto" w:fill="auto"/>
            <w:vAlign w:val="center"/>
          </w:tcPr>
          <w:p w14:paraId="5B6DF46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19,95</w:t>
            </w:r>
          </w:p>
        </w:tc>
        <w:tc>
          <w:tcPr>
            <w:tcW w:w="1442" w:type="dxa"/>
            <w:shd w:val="clear" w:color="auto" w:fill="auto"/>
            <w:vAlign w:val="center"/>
          </w:tcPr>
          <w:p w14:paraId="24464646"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2,15</w:t>
            </w:r>
          </w:p>
        </w:tc>
      </w:tr>
      <w:tr w:rsidR="00FD7B0B" w:rsidRPr="00FD7B0B" w14:paraId="6FA27A77" w14:textId="77777777" w:rsidTr="00FC3C30">
        <w:trPr>
          <w:trHeight w:hRule="exact" w:val="255"/>
        </w:trPr>
        <w:tc>
          <w:tcPr>
            <w:tcW w:w="3294" w:type="dxa"/>
            <w:shd w:val="clear" w:color="auto" w:fill="auto"/>
            <w:vAlign w:val="center"/>
          </w:tcPr>
          <w:p w14:paraId="7DE6F5CC" w14:textId="724EDD91" w:rsidR="002A3B24" w:rsidRPr="00FD7B0B" w:rsidRDefault="00F604AE" w:rsidP="002A3B24">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18"/>
                <w:szCs w:val="18"/>
                <w:lang w:eastAsia="ru-RU"/>
              </w:rPr>
              <w:t>в том числе областной бюджет из них:</w:t>
            </w:r>
          </w:p>
        </w:tc>
        <w:tc>
          <w:tcPr>
            <w:tcW w:w="1861" w:type="dxa"/>
            <w:shd w:val="clear" w:color="auto" w:fill="auto"/>
            <w:vAlign w:val="center"/>
          </w:tcPr>
          <w:p w14:paraId="20709EC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882,2</w:t>
            </w:r>
          </w:p>
        </w:tc>
        <w:tc>
          <w:tcPr>
            <w:tcW w:w="1843" w:type="dxa"/>
            <w:shd w:val="clear" w:color="auto" w:fill="auto"/>
            <w:vAlign w:val="center"/>
          </w:tcPr>
          <w:p w14:paraId="1B8801F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888,4</w:t>
            </w:r>
          </w:p>
        </w:tc>
        <w:tc>
          <w:tcPr>
            <w:tcW w:w="1115" w:type="dxa"/>
            <w:shd w:val="clear" w:color="auto" w:fill="auto"/>
            <w:vAlign w:val="center"/>
          </w:tcPr>
          <w:p w14:paraId="4BBF8FF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6,5</w:t>
            </w:r>
          </w:p>
        </w:tc>
        <w:tc>
          <w:tcPr>
            <w:tcW w:w="1442" w:type="dxa"/>
            <w:shd w:val="clear" w:color="auto" w:fill="auto"/>
            <w:vAlign w:val="center"/>
          </w:tcPr>
          <w:p w14:paraId="0F028B30"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0,7</w:t>
            </w:r>
          </w:p>
        </w:tc>
      </w:tr>
      <w:tr w:rsidR="00FD7B0B" w:rsidRPr="00FD7B0B" w14:paraId="2275AFF6" w14:textId="77777777" w:rsidTr="00FC3C30">
        <w:trPr>
          <w:trHeight w:hRule="exact" w:val="426"/>
        </w:trPr>
        <w:tc>
          <w:tcPr>
            <w:tcW w:w="3294" w:type="dxa"/>
            <w:shd w:val="clear" w:color="auto" w:fill="auto"/>
            <w:vAlign w:val="center"/>
          </w:tcPr>
          <w:p w14:paraId="474112C1" w14:textId="77777777" w:rsidR="002A3B24" w:rsidRPr="00FD7B0B" w:rsidRDefault="002A3B24" w:rsidP="002A3B24">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18"/>
                <w:szCs w:val="18"/>
                <w:lang w:eastAsia="ru-RU"/>
              </w:rPr>
              <w:t xml:space="preserve">консолидированные бюджеты муниципальных образований </w:t>
            </w:r>
          </w:p>
        </w:tc>
        <w:tc>
          <w:tcPr>
            <w:tcW w:w="1861" w:type="dxa"/>
            <w:shd w:val="clear" w:color="auto" w:fill="auto"/>
            <w:vAlign w:val="center"/>
          </w:tcPr>
          <w:p w14:paraId="267942C4"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810,3</w:t>
            </w:r>
          </w:p>
        </w:tc>
        <w:tc>
          <w:tcPr>
            <w:tcW w:w="1843" w:type="dxa"/>
            <w:shd w:val="clear" w:color="auto" w:fill="auto"/>
            <w:vAlign w:val="center"/>
          </w:tcPr>
          <w:p w14:paraId="15032C14"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828,3</w:t>
            </w:r>
          </w:p>
        </w:tc>
        <w:tc>
          <w:tcPr>
            <w:tcW w:w="1115" w:type="dxa"/>
            <w:shd w:val="clear" w:color="auto" w:fill="auto"/>
            <w:vAlign w:val="center"/>
          </w:tcPr>
          <w:p w14:paraId="35BEAAB2"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18,1</w:t>
            </w:r>
          </w:p>
        </w:tc>
        <w:tc>
          <w:tcPr>
            <w:tcW w:w="1442" w:type="dxa"/>
            <w:shd w:val="clear" w:color="auto" w:fill="auto"/>
            <w:vAlign w:val="center"/>
          </w:tcPr>
          <w:p w14:paraId="6EA747AD"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r>
      <w:tr w:rsidR="00FD7B0B" w:rsidRPr="00FD7B0B" w14:paraId="0542C3BE" w14:textId="77777777" w:rsidTr="00FC3C30">
        <w:trPr>
          <w:trHeight w:hRule="exact" w:val="255"/>
        </w:trPr>
        <w:tc>
          <w:tcPr>
            <w:tcW w:w="3294" w:type="dxa"/>
            <w:shd w:val="clear" w:color="auto" w:fill="auto"/>
            <w:vAlign w:val="center"/>
            <w:hideMark/>
          </w:tcPr>
          <w:p w14:paraId="17EC2A70" w14:textId="77777777" w:rsidR="002A3B24" w:rsidRPr="00FD7B0B" w:rsidRDefault="002A3B24" w:rsidP="002A3B24">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w:t>
            </w:r>
          </w:p>
        </w:tc>
        <w:tc>
          <w:tcPr>
            <w:tcW w:w="1861" w:type="dxa"/>
            <w:shd w:val="clear" w:color="auto" w:fill="auto"/>
            <w:vAlign w:val="center"/>
          </w:tcPr>
          <w:p w14:paraId="5A24DBC2"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643,6</w:t>
            </w:r>
          </w:p>
        </w:tc>
        <w:tc>
          <w:tcPr>
            <w:tcW w:w="1843" w:type="dxa"/>
            <w:shd w:val="clear" w:color="auto" w:fill="auto"/>
            <w:vAlign w:val="center"/>
          </w:tcPr>
          <w:p w14:paraId="530F8FD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2 002,9</w:t>
            </w:r>
          </w:p>
        </w:tc>
        <w:tc>
          <w:tcPr>
            <w:tcW w:w="1115" w:type="dxa"/>
            <w:shd w:val="clear" w:color="auto" w:fill="auto"/>
            <w:vAlign w:val="center"/>
          </w:tcPr>
          <w:p w14:paraId="170E40AA"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1 359,2</w:t>
            </w:r>
          </w:p>
        </w:tc>
        <w:tc>
          <w:tcPr>
            <w:tcW w:w="1442" w:type="dxa"/>
            <w:shd w:val="clear" w:color="auto" w:fill="auto"/>
            <w:vAlign w:val="center"/>
          </w:tcPr>
          <w:p w14:paraId="18D38284"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211,2</w:t>
            </w:r>
          </w:p>
        </w:tc>
      </w:tr>
      <w:tr w:rsidR="00FD7B0B" w:rsidRPr="00FD7B0B" w14:paraId="231949B4" w14:textId="77777777" w:rsidTr="00FC3C30">
        <w:trPr>
          <w:trHeight w:hRule="exact" w:val="255"/>
        </w:trPr>
        <w:tc>
          <w:tcPr>
            <w:tcW w:w="3294" w:type="dxa"/>
            <w:shd w:val="clear" w:color="auto" w:fill="auto"/>
            <w:vAlign w:val="center"/>
            <w:hideMark/>
          </w:tcPr>
          <w:p w14:paraId="6D5C15EE" w14:textId="7A432311" w:rsidR="002A3B24" w:rsidRPr="00FD7B0B" w:rsidRDefault="00F604AE" w:rsidP="002A3B24">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том числе областной бюджет из них:</w:t>
            </w:r>
          </w:p>
        </w:tc>
        <w:tc>
          <w:tcPr>
            <w:tcW w:w="1861" w:type="dxa"/>
            <w:shd w:val="clear" w:color="auto" w:fill="auto"/>
            <w:vAlign w:val="center"/>
          </w:tcPr>
          <w:p w14:paraId="00C2375D"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617,3</w:t>
            </w:r>
          </w:p>
        </w:tc>
        <w:tc>
          <w:tcPr>
            <w:tcW w:w="1843" w:type="dxa"/>
            <w:shd w:val="clear" w:color="auto" w:fill="auto"/>
            <w:vAlign w:val="center"/>
          </w:tcPr>
          <w:p w14:paraId="35D28D7A"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1 896,5</w:t>
            </w:r>
          </w:p>
        </w:tc>
        <w:tc>
          <w:tcPr>
            <w:tcW w:w="1115" w:type="dxa"/>
            <w:shd w:val="clear" w:color="auto" w:fill="auto"/>
            <w:vAlign w:val="center"/>
          </w:tcPr>
          <w:p w14:paraId="698A5EFB"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1 279,3</w:t>
            </w:r>
          </w:p>
        </w:tc>
        <w:tc>
          <w:tcPr>
            <w:tcW w:w="1442" w:type="dxa"/>
            <w:shd w:val="clear" w:color="auto" w:fill="auto"/>
            <w:vAlign w:val="center"/>
          </w:tcPr>
          <w:p w14:paraId="7C6AAA6E"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207,3</w:t>
            </w:r>
          </w:p>
        </w:tc>
      </w:tr>
      <w:tr w:rsidR="00FD7B0B" w:rsidRPr="00FD7B0B" w14:paraId="3280150B" w14:textId="77777777" w:rsidTr="00FC3C30">
        <w:trPr>
          <w:trHeight w:hRule="exact" w:val="474"/>
        </w:trPr>
        <w:tc>
          <w:tcPr>
            <w:tcW w:w="3294" w:type="dxa"/>
            <w:shd w:val="clear" w:color="auto" w:fill="auto"/>
            <w:vAlign w:val="center"/>
          </w:tcPr>
          <w:p w14:paraId="1C2D4F17" w14:textId="77777777" w:rsidR="002A3B24" w:rsidRPr="00FD7B0B" w:rsidRDefault="002A3B24" w:rsidP="002A3B24">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консолидированные бюджеты муниципальных образований </w:t>
            </w:r>
          </w:p>
        </w:tc>
        <w:tc>
          <w:tcPr>
            <w:tcW w:w="1861" w:type="dxa"/>
            <w:shd w:val="clear" w:color="auto" w:fill="auto"/>
            <w:vAlign w:val="center"/>
          </w:tcPr>
          <w:p w14:paraId="113FF0E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103,9</w:t>
            </w:r>
          </w:p>
        </w:tc>
        <w:tc>
          <w:tcPr>
            <w:tcW w:w="1843" w:type="dxa"/>
            <w:shd w:val="clear" w:color="auto" w:fill="auto"/>
            <w:vAlign w:val="center"/>
          </w:tcPr>
          <w:p w14:paraId="5D08EB8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321,6</w:t>
            </w:r>
          </w:p>
        </w:tc>
        <w:tc>
          <w:tcPr>
            <w:tcW w:w="1115" w:type="dxa"/>
            <w:shd w:val="clear" w:color="auto" w:fill="auto"/>
            <w:vAlign w:val="center"/>
          </w:tcPr>
          <w:p w14:paraId="3A40D404"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217,7</w:t>
            </w:r>
          </w:p>
        </w:tc>
        <w:tc>
          <w:tcPr>
            <w:tcW w:w="1442" w:type="dxa"/>
            <w:shd w:val="clear" w:color="auto" w:fill="auto"/>
            <w:vAlign w:val="center"/>
          </w:tcPr>
          <w:p w14:paraId="641270D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209,6</w:t>
            </w:r>
          </w:p>
        </w:tc>
      </w:tr>
      <w:tr w:rsidR="00FD7B0B" w:rsidRPr="00FD7B0B" w14:paraId="285F0E78" w14:textId="77777777" w:rsidTr="00FC3C30">
        <w:trPr>
          <w:trHeight w:hRule="exact" w:val="255"/>
        </w:trPr>
        <w:tc>
          <w:tcPr>
            <w:tcW w:w="3294" w:type="dxa"/>
            <w:shd w:val="clear" w:color="auto" w:fill="auto"/>
            <w:vAlign w:val="center"/>
            <w:hideMark/>
          </w:tcPr>
          <w:p w14:paraId="76B40329" w14:textId="77777777" w:rsidR="002A3B24" w:rsidRPr="00FD7B0B" w:rsidRDefault="002A3B24" w:rsidP="002A3B24">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 по госпрограмме</w:t>
            </w:r>
          </w:p>
        </w:tc>
        <w:tc>
          <w:tcPr>
            <w:tcW w:w="1861" w:type="dxa"/>
            <w:shd w:val="clear" w:color="auto" w:fill="auto"/>
            <w:vAlign w:val="center"/>
          </w:tcPr>
          <w:p w14:paraId="72EA36A0"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4 254,8</w:t>
            </w:r>
          </w:p>
        </w:tc>
        <w:tc>
          <w:tcPr>
            <w:tcW w:w="1843" w:type="dxa"/>
            <w:shd w:val="clear" w:color="auto" w:fill="auto"/>
            <w:vAlign w:val="center"/>
          </w:tcPr>
          <w:p w14:paraId="1E3E865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6 423,6</w:t>
            </w:r>
          </w:p>
        </w:tc>
        <w:tc>
          <w:tcPr>
            <w:tcW w:w="1115" w:type="dxa"/>
            <w:shd w:val="clear" w:color="auto" w:fill="auto"/>
            <w:vAlign w:val="center"/>
          </w:tcPr>
          <w:p w14:paraId="5FB4BF4D"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2 168,8</w:t>
            </w:r>
          </w:p>
        </w:tc>
        <w:tc>
          <w:tcPr>
            <w:tcW w:w="1442" w:type="dxa"/>
            <w:shd w:val="clear" w:color="auto" w:fill="auto"/>
            <w:vAlign w:val="center"/>
          </w:tcPr>
          <w:p w14:paraId="341BC4F1"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50,97</w:t>
            </w:r>
          </w:p>
        </w:tc>
      </w:tr>
      <w:tr w:rsidR="00FD7B0B" w:rsidRPr="00FD7B0B" w14:paraId="160CA944" w14:textId="77777777" w:rsidTr="00FC3C30">
        <w:trPr>
          <w:trHeight w:hRule="exact" w:val="255"/>
        </w:trPr>
        <w:tc>
          <w:tcPr>
            <w:tcW w:w="3294" w:type="dxa"/>
            <w:shd w:val="clear" w:color="auto" w:fill="auto"/>
            <w:vAlign w:val="center"/>
            <w:hideMark/>
          </w:tcPr>
          <w:p w14:paraId="61BADEEB" w14:textId="6CEB3CFA" w:rsidR="002A3B24" w:rsidRPr="00FD7B0B" w:rsidRDefault="00F604AE" w:rsidP="002A3B24">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том числе областной бюджет из них:</w:t>
            </w:r>
          </w:p>
        </w:tc>
        <w:tc>
          <w:tcPr>
            <w:tcW w:w="1861" w:type="dxa"/>
            <w:shd w:val="clear" w:color="auto" w:fill="auto"/>
            <w:vAlign w:val="center"/>
          </w:tcPr>
          <w:p w14:paraId="5906C89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4 183,8</w:t>
            </w:r>
          </w:p>
        </w:tc>
        <w:tc>
          <w:tcPr>
            <w:tcW w:w="1843" w:type="dxa"/>
            <w:shd w:val="clear" w:color="auto" w:fill="auto"/>
            <w:vAlign w:val="center"/>
          </w:tcPr>
          <w:p w14:paraId="744A464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6 258,995</w:t>
            </w:r>
          </w:p>
        </w:tc>
        <w:tc>
          <w:tcPr>
            <w:tcW w:w="1115" w:type="dxa"/>
            <w:shd w:val="clear" w:color="auto" w:fill="auto"/>
            <w:vAlign w:val="center"/>
          </w:tcPr>
          <w:p w14:paraId="60773AE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2 075,2</w:t>
            </w:r>
          </w:p>
        </w:tc>
        <w:tc>
          <w:tcPr>
            <w:tcW w:w="1442" w:type="dxa"/>
            <w:shd w:val="clear" w:color="auto" w:fill="auto"/>
            <w:vAlign w:val="center"/>
          </w:tcPr>
          <w:p w14:paraId="591BAEC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49,6</w:t>
            </w:r>
          </w:p>
        </w:tc>
      </w:tr>
      <w:tr w:rsidR="002A3B24" w:rsidRPr="00FD7B0B" w14:paraId="7A8DA8BC" w14:textId="77777777" w:rsidTr="00FC3C30">
        <w:trPr>
          <w:trHeight w:hRule="exact" w:val="488"/>
        </w:trPr>
        <w:tc>
          <w:tcPr>
            <w:tcW w:w="3294" w:type="dxa"/>
            <w:shd w:val="clear" w:color="auto" w:fill="auto"/>
            <w:vAlign w:val="center"/>
            <w:hideMark/>
          </w:tcPr>
          <w:p w14:paraId="7EC6462E" w14:textId="77777777" w:rsidR="002A3B24" w:rsidRPr="00FD7B0B" w:rsidRDefault="002A3B24" w:rsidP="002A3B24">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консолидированные бюджеты муниципальных образований </w:t>
            </w:r>
          </w:p>
        </w:tc>
        <w:tc>
          <w:tcPr>
            <w:tcW w:w="1861" w:type="dxa"/>
            <w:shd w:val="clear" w:color="auto" w:fill="auto"/>
            <w:vAlign w:val="center"/>
          </w:tcPr>
          <w:p w14:paraId="177F408F"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1 734,4</w:t>
            </w:r>
          </w:p>
        </w:tc>
        <w:tc>
          <w:tcPr>
            <w:tcW w:w="1843" w:type="dxa"/>
            <w:shd w:val="clear" w:color="auto" w:fill="auto"/>
            <w:vAlign w:val="center"/>
          </w:tcPr>
          <w:p w14:paraId="07DC6C8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1 534,8</w:t>
            </w:r>
          </w:p>
        </w:tc>
        <w:tc>
          <w:tcPr>
            <w:tcW w:w="1115" w:type="dxa"/>
            <w:shd w:val="clear" w:color="auto" w:fill="auto"/>
            <w:vAlign w:val="center"/>
          </w:tcPr>
          <w:p w14:paraId="2E3BD121"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-199,6</w:t>
            </w:r>
          </w:p>
        </w:tc>
        <w:tc>
          <w:tcPr>
            <w:tcW w:w="1442" w:type="dxa"/>
            <w:shd w:val="clear" w:color="auto" w:fill="auto"/>
            <w:vAlign w:val="center"/>
          </w:tcPr>
          <w:p w14:paraId="47D2BC46"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-11,5</w:t>
            </w:r>
          </w:p>
        </w:tc>
      </w:tr>
    </w:tbl>
    <w:p w14:paraId="7D058A70" w14:textId="77777777" w:rsidR="00FC3C30" w:rsidRPr="00FD7B0B" w:rsidRDefault="00FC3C30" w:rsidP="002A3B24">
      <w:pPr>
        <w:pStyle w:val="ad"/>
        <w:ind w:firstLine="709"/>
        <w:jc w:val="both"/>
        <w:rPr>
          <w:rFonts w:ascii="Times New Roman" w:hAnsi="Times New Roman"/>
          <w:sz w:val="28"/>
          <w:szCs w:val="28"/>
        </w:rPr>
      </w:pPr>
    </w:p>
    <w:p w14:paraId="278F364D"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За отчетный период в ГП № 06 внесены изменения, увеличив сумму расходов на 2024 год на 2 168,8 млн.руб.</w:t>
      </w:r>
    </w:p>
    <w:p w14:paraId="3C22E125" w14:textId="38D02158"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В течение отчетного периода областными законами о внесении изменений и дополнений в закон «Об областном бюджете» общая сумма расходов на реализацию мероприятий ГП № 06 увеличена на 1 139,7 млн.руб. и на 31.12.</w:t>
      </w:r>
      <w:r w:rsidR="00FC3C30" w:rsidRPr="00FD7B0B">
        <w:rPr>
          <w:rFonts w:ascii="Times New Roman" w:hAnsi="Times New Roman"/>
          <w:sz w:val="28"/>
          <w:szCs w:val="28"/>
        </w:rPr>
        <w:t>2024 составила 5 329,9 млн.руб.</w:t>
      </w:r>
    </w:p>
    <w:p w14:paraId="2124129F" w14:textId="77777777" w:rsidR="002A3B24" w:rsidRPr="00FD7B0B" w:rsidRDefault="002A3B24" w:rsidP="002A3B24">
      <w:pPr>
        <w:pStyle w:val="ad"/>
        <w:ind w:firstLine="709"/>
        <w:jc w:val="both"/>
        <w:rPr>
          <w:rFonts w:ascii="Times New Roman" w:hAnsi="Times New Roman"/>
          <w:sz w:val="28"/>
          <w:szCs w:val="28"/>
        </w:rPr>
      </w:pPr>
    </w:p>
    <w:p w14:paraId="7FEB30DB" w14:textId="77777777" w:rsidR="002A3B24" w:rsidRPr="00FD7B0B" w:rsidRDefault="002A3B24" w:rsidP="002A3B24">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Таблица</w:t>
      </w:r>
      <w:r w:rsidRPr="00FD7B0B">
        <w:rPr>
          <w:b w:val="0"/>
          <w:sz w:val="24"/>
          <w:szCs w:val="24"/>
        </w:rPr>
        <w:t xml:space="preserve">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131</w:t>
      </w:r>
      <w:r w:rsidRPr="00FD7B0B">
        <w:rPr>
          <w:rFonts w:ascii="Times New Roman" w:hAnsi="Times New Roman"/>
          <w:b w:val="0"/>
          <w:sz w:val="24"/>
          <w:szCs w:val="24"/>
        </w:rPr>
        <w:fldChar w:fldCharType="end"/>
      </w:r>
      <w:r w:rsidRPr="00FD7B0B">
        <w:rPr>
          <w:rFonts w:ascii="Times New Roman" w:hAnsi="Times New Roman"/>
          <w:b w:val="0"/>
          <w:sz w:val="24"/>
          <w:szCs w:val="24"/>
        </w:rPr>
        <w:t>.</w:t>
      </w:r>
      <w:r w:rsidRPr="00FD7B0B">
        <w:rPr>
          <w:rFonts w:ascii="Times New Roman" w:hAnsi="Times New Roman"/>
          <w:b w:val="0"/>
        </w:rPr>
        <w:t xml:space="preserve"> </w:t>
      </w:r>
      <w:r w:rsidRPr="00FD7B0B">
        <w:rPr>
          <w:rFonts w:ascii="Times New Roman" w:hAnsi="Times New Roman"/>
          <w:b w:val="0"/>
          <w:sz w:val="24"/>
          <w:szCs w:val="24"/>
        </w:rPr>
        <w:t>Сопоставление объемов финансирования, утвержденных ГП № 06, законом «Об областном бюджете» к уточненной СБР на 31.12.2024, млн.руб.</w:t>
      </w:r>
    </w:p>
    <w:tbl>
      <w:tblPr>
        <w:tblStyle w:val="a7"/>
        <w:tblW w:w="9516"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862"/>
        <w:gridCol w:w="2126"/>
        <w:gridCol w:w="1843"/>
        <w:gridCol w:w="1108"/>
        <w:gridCol w:w="1160"/>
        <w:gridCol w:w="1417"/>
      </w:tblGrid>
      <w:tr w:rsidR="00FD7B0B" w:rsidRPr="00FD7B0B" w14:paraId="650F231C" w14:textId="77777777" w:rsidTr="005E40CD">
        <w:trPr>
          <w:tblHeader/>
        </w:trPr>
        <w:tc>
          <w:tcPr>
            <w:tcW w:w="1862" w:type="dxa"/>
            <w:vAlign w:val="center"/>
          </w:tcPr>
          <w:p w14:paraId="7CBE2C4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Структурный элемент</w:t>
            </w:r>
          </w:p>
        </w:tc>
        <w:tc>
          <w:tcPr>
            <w:tcW w:w="2126" w:type="dxa"/>
            <w:vAlign w:val="center"/>
          </w:tcPr>
          <w:p w14:paraId="26B4ACA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Закон «Об областном бюджете» на 31.12.2024</w:t>
            </w:r>
          </w:p>
        </w:tc>
        <w:tc>
          <w:tcPr>
            <w:tcW w:w="1843" w:type="dxa"/>
            <w:vAlign w:val="center"/>
          </w:tcPr>
          <w:p w14:paraId="7C4F6F6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ГП № 06 на 31.12.2024 (без МБ)</w:t>
            </w:r>
          </w:p>
        </w:tc>
        <w:tc>
          <w:tcPr>
            <w:tcW w:w="1108" w:type="dxa"/>
            <w:vAlign w:val="center"/>
          </w:tcPr>
          <w:p w14:paraId="0E72D217"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СБР на 31.12.2024</w:t>
            </w:r>
          </w:p>
        </w:tc>
        <w:tc>
          <w:tcPr>
            <w:tcW w:w="1160" w:type="dxa"/>
            <w:vAlign w:val="center"/>
          </w:tcPr>
          <w:p w14:paraId="65F26B09"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Отклонение (+/-)</w:t>
            </w:r>
          </w:p>
        </w:tc>
        <w:tc>
          <w:tcPr>
            <w:tcW w:w="1417" w:type="dxa"/>
            <w:vAlign w:val="center"/>
          </w:tcPr>
          <w:p w14:paraId="2001185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Отклонение (+/-)</w:t>
            </w:r>
          </w:p>
        </w:tc>
      </w:tr>
      <w:tr w:rsidR="00FD7B0B" w:rsidRPr="00FD7B0B" w14:paraId="0BD94942" w14:textId="77777777" w:rsidTr="005E40CD">
        <w:tc>
          <w:tcPr>
            <w:tcW w:w="1862" w:type="dxa"/>
            <w:vAlign w:val="center"/>
          </w:tcPr>
          <w:p w14:paraId="10C2C5C9"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А</w:t>
            </w:r>
          </w:p>
        </w:tc>
        <w:tc>
          <w:tcPr>
            <w:tcW w:w="2126" w:type="dxa"/>
            <w:vAlign w:val="center"/>
          </w:tcPr>
          <w:p w14:paraId="1B2A76FB"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1843" w:type="dxa"/>
            <w:vAlign w:val="center"/>
          </w:tcPr>
          <w:p w14:paraId="47232F2F"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w:t>
            </w:r>
          </w:p>
        </w:tc>
        <w:tc>
          <w:tcPr>
            <w:tcW w:w="1108" w:type="dxa"/>
            <w:vAlign w:val="center"/>
          </w:tcPr>
          <w:p w14:paraId="2BD5FA2A"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3</w:t>
            </w:r>
          </w:p>
        </w:tc>
        <w:tc>
          <w:tcPr>
            <w:tcW w:w="1160" w:type="dxa"/>
            <w:vAlign w:val="center"/>
          </w:tcPr>
          <w:p w14:paraId="4AEAD9CD"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4=3-1</w:t>
            </w:r>
          </w:p>
        </w:tc>
        <w:tc>
          <w:tcPr>
            <w:tcW w:w="1417" w:type="dxa"/>
            <w:vAlign w:val="center"/>
          </w:tcPr>
          <w:p w14:paraId="2EB25E52"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5=3-2</w:t>
            </w:r>
          </w:p>
        </w:tc>
      </w:tr>
      <w:tr w:rsidR="00FD7B0B" w:rsidRPr="00FD7B0B" w14:paraId="74404017" w14:textId="77777777" w:rsidTr="005E40CD">
        <w:tc>
          <w:tcPr>
            <w:tcW w:w="1862" w:type="dxa"/>
            <w:vAlign w:val="center"/>
          </w:tcPr>
          <w:p w14:paraId="29DC17CF" w14:textId="77777777" w:rsidR="002A3B24" w:rsidRPr="00FD7B0B" w:rsidRDefault="002A3B24" w:rsidP="002A3B24">
            <w:pPr>
              <w:contextualSpacing/>
              <w:rPr>
                <w:rFonts w:ascii="Times New Roman" w:eastAsia="Times New Roman" w:hAnsi="Times New Roman"/>
                <w:sz w:val="18"/>
                <w:szCs w:val="18"/>
              </w:rPr>
            </w:pPr>
            <w:r w:rsidRPr="00FD7B0B">
              <w:rPr>
                <w:rFonts w:ascii="Times New Roman" w:eastAsia="Times New Roman" w:hAnsi="Times New Roman"/>
              </w:rPr>
              <w:t>РП № 1</w:t>
            </w:r>
          </w:p>
        </w:tc>
        <w:tc>
          <w:tcPr>
            <w:tcW w:w="2126" w:type="dxa"/>
            <w:vAlign w:val="center"/>
          </w:tcPr>
          <w:p w14:paraId="7B8A27D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3 486,4</w:t>
            </w:r>
          </w:p>
        </w:tc>
        <w:tc>
          <w:tcPr>
            <w:tcW w:w="1843" w:type="dxa"/>
            <w:vAlign w:val="center"/>
          </w:tcPr>
          <w:p w14:paraId="7E26E2BA"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3 474,1</w:t>
            </w:r>
          </w:p>
        </w:tc>
        <w:tc>
          <w:tcPr>
            <w:tcW w:w="1108" w:type="dxa"/>
            <w:vAlign w:val="center"/>
          </w:tcPr>
          <w:p w14:paraId="34D4FD5F"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3 000,5</w:t>
            </w:r>
          </w:p>
        </w:tc>
        <w:tc>
          <w:tcPr>
            <w:tcW w:w="1160" w:type="dxa"/>
            <w:vAlign w:val="center"/>
          </w:tcPr>
          <w:p w14:paraId="6A08EC77"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-485,96</w:t>
            </w:r>
          </w:p>
        </w:tc>
        <w:tc>
          <w:tcPr>
            <w:tcW w:w="1417" w:type="dxa"/>
            <w:vAlign w:val="center"/>
          </w:tcPr>
          <w:p w14:paraId="736491F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-473,7</w:t>
            </w:r>
          </w:p>
        </w:tc>
      </w:tr>
      <w:tr w:rsidR="00FD7B0B" w:rsidRPr="00FD7B0B" w14:paraId="499C3A61" w14:textId="77777777" w:rsidTr="005E40CD">
        <w:tc>
          <w:tcPr>
            <w:tcW w:w="1862" w:type="dxa"/>
          </w:tcPr>
          <w:p w14:paraId="5FE79556" w14:textId="77777777" w:rsidR="002A3B24" w:rsidRPr="00FD7B0B" w:rsidRDefault="002A3B24" w:rsidP="002A3B24">
            <w:pPr>
              <w:contextualSpacing/>
              <w:rPr>
                <w:rFonts w:ascii="Times New Roman" w:eastAsia="Times New Roman" w:hAnsi="Times New Roman"/>
                <w:sz w:val="18"/>
                <w:szCs w:val="18"/>
              </w:rPr>
            </w:pPr>
            <w:r w:rsidRPr="00FD7B0B">
              <w:rPr>
                <w:rFonts w:ascii="Times New Roman" w:eastAsia="Times New Roman" w:hAnsi="Times New Roman"/>
              </w:rPr>
              <w:t>РП№ 2</w:t>
            </w:r>
          </w:p>
        </w:tc>
        <w:tc>
          <w:tcPr>
            <w:tcW w:w="2126" w:type="dxa"/>
            <w:vAlign w:val="center"/>
          </w:tcPr>
          <w:p w14:paraId="5258DC22"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843" w:type="dxa"/>
            <w:vAlign w:val="center"/>
          </w:tcPr>
          <w:p w14:paraId="3601E0AA"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08" w:type="dxa"/>
            <w:vAlign w:val="center"/>
          </w:tcPr>
          <w:p w14:paraId="0114AB36"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60" w:type="dxa"/>
            <w:vAlign w:val="center"/>
          </w:tcPr>
          <w:p w14:paraId="10F8D4B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417" w:type="dxa"/>
            <w:vAlign w:val="center"/>
          </w:tcPr>
          <w:p w14:paraId="3506314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r>
      <w:tr w:rsidR="00FD7B0B" w:rsidRPr="00FD7B0B" w14:paraId="39679FFF" w14:textId="77777777" w:rsidTr="005E40CD">
        <w:tc>
          <w:tcPr>
            <w:tcW w:w="1862" w:type="dxa"/>
          </w:tcPr>
          <w:p w14:paraId="0978806F" w14:textId="77777777" w:rsidR="002A3B24" w:rsidRPr="00FD7B0B" w:rsidRDefault="002A3B24" w:rsidP="002A3B24">
            <w:pPr>
              <w:contextualSpacing/>
              <w:rPr>
                <w:rFonts w:ascii="Times New Roman" w:eastAsia="Times New Roman" w:hAnsi="Times New Roman"/>
                <w:sz w:val="18"/>
                <w:szCs w:val="18"/>
              </w:rPr>
            </w:pPr>
            <w:r w:rsidRPr="00FD7B0B">
              <w:rPr>
                <w:rFonts w:ascii="Times New Roman" w:eastAsia="Times New Roman" w:hAnsi="Times New Roman"/>
              </w:rPr>
              <w:t>РП№ 3</w:t>
            </w:r>
          </w:p>
        </w:tc>
        <w:tc>
          <w:tcPr>
            <w:tcW w:w="2126" w:type="dxa"/>
            <w:vAlign w:val="center"/>
          </w:tcPr>
          <w:p w14:paraId="6EE3CE6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888,7</w:t>
            </w:r>
          </w:p>
        </w:tc>
        <w:tc>
          <w:tcPr>
            <w:tcW w:w="1843" w:type="dxa"/>
            <w:vAlign w:val="center"/>
          </w:tcPr>
          <w:p w14:paraId="347157F3"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888,4</w:t>
            </w:r>
          </w:p>
        </w:tc>
        <w:tc>
          <w:tcPr>
            <w:tcW w:w="1108" w:type="dxa"/>
            <w:vAlign w:val="center"/>
          </w:tcPr>
          <w:p w14:paraId="7B47D0BA"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886,5</w:t>
            </w:r>
          </w:p>
        </w:tc>
        <w:tc>
          <w:tcPr>
            <w:tcW w:w="1160" w:type="dxa"/>
            <w:vAlign w:val="center"/>
          </w:tcPr>
          <w:p w14:paraId="0D1F6C67"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-2,2</w:t>
            </w:r>
          </w:p>
        </w:tc>
        <w:tc>
          <w:tcPr>
            <w:tcW w:w="1417" w:type="dxa"/>
            <w:vAlign w:val="center"/>
          </w:tcPr>
          <w:p w14:paraId="098E7693"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-1,2</w:t>
            </w:r>
          </w:p>
        </w:tc>
      </w:tr>
      <w:tr w:rsidR="00FD7B0B" w:rsidRPr="00FD7B0B" w14:paraId="5BEE528E" w14:textId="77777777" w:rsidTr="005E40CD">
        <w:tc>
          <w:tcPr>
            <w:tcW w:w="1862" w:type="dxa"/>
            <w:vAlign w:val="center"/>
          </w:tcPr>
          <w:p w14:paraId="5771D520" w14:textId="77777777" w:rsidR="002A3B24" w:rsidRPr="00FD7B0B" w:rsidRDefault="002A3B24" w:rsidP="002A3B24">
            <w:pPr>
              <w:contextualSpacing/>
              <w:rPr>
                <w:rFonts w:ascii="Times New Roman" w:eastAsia="Times New Roman" w:hAnsi="Times New Roman"/>
                <w:sz w:val="18"/>
                <w:szCs w:val="18"/>
              </w:rPr>
            </w:pPr>
            <w:r w:rsidRPr="00FD7B0B">
              <w:rPr>
                <w:rFonts w:ascii="Times New Roman" w:eastAsia="Times New Roman" w:hAnsi="Times New Roman"/>
              </w:rPr>
              <w:t>КПМ</w:t>
            </w:r>
          </w:p>
        </w:tc>
        <w:tc>
          <w:tcPr>
            <w:tcW w:w="2126" w:type="dxa"/>
            <w:vAlign w:val="center"/>
          </w:tcPr>
          <w:p w14:paraId="4509FE26"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954,8</w:t>
            </w:r>
          </w:p>
        </w:tc>
        <w:tc>
          <w:tcPr>
            <w:tcW w:w="1843" w:type="dxa"/>
            <w:vAlign w:val="center"/>
          </w:tcPr>
          <w:p w14:paraId="2B67C342"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1 896,5</w:t>
            </w:r>
          </w:p>
        </w:tc>
        <w:tc>
          <w:tcPr>
            <w:tcW w:w="1108" w:type="dxa"/>
            <w:vAlign w:val="center"/>
          </w:tcPr>
          <w:p w14:paraId="46BA9172"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1 902,4</w:t>
            </w:r>
          </w:p>
        </w:tc>
        <w:tc>
          <w:tcPr>
            <w:tcW w:w="1160" w:type="dxa"/>
            <w:vAlign w:val="center"/>
          </w:tcPr>
          <w:p w14:paraId="7E6A8D6A"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947,6</w:t>
            </w:r>
          </w:p>
        </w:tc>
        <w:tc>
          <w:tcPr>
            <w:tcW w:w="1417" w:type="dxa"/>
            <w:vAlign w:val="center"/>
          </w:tcPr>
          <w:p w14:paraId="58C014E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5,9</w:t>
            </w:r>
          </w:p>
        </w:tc>
      </w:tr>
      <w:tr w:rsidR="002A3B24" w:rsidRPr="00FD7B0B" w14:paraId="5983D206" w14:textId="77777777" w:rsidTr="005E40CD">
        <w:trPr>
          <w:trHeight w:val="249"/>
        </w:trPr>
        <w:tc>
          <w:tcPr>
            <w:tcW w:w="1862" w:type="dxa"/>
            <w:vAlign w:val="center"/>
          </w:tcPr>
          <w:p w14:paraId="60E208B8" w14:textId="77777777" w:rsidR="002A3B24" w:rsidRPr="00FD7B0B" w:rsidRDefault="002A3B24" w:rsidP="002A3B24">
            <w:pPr>
              <w:contextualSpacing/>
              <w:rPr>
                <w:rFonts w:ascii="Times New Roman" w:eastAsia="Times New Roman" w:hAnsi="Times New Roman"/>
                <w:sz w:val="18"/>
                <w:szCs w:val="18"/>
              </w:rPr>
            </w:pPr>
            <w:r w:rsidRPr="00FD7B0B">
              <w:rPr>
                <w:rFonts w:ascii="Times New Roman" w:eastAsia="Times New Roman" w:hAnsi="Times New Roman"/>
                <w:sz w:val="18"/>
                <w:szCs w:val="18"/>
              </w:rPr>
              <w:t>Всего по госпрограмме</w:t>
            </w:r>
          </w:p>
        </w:tc>
        <w:tc>
          <w:tcPr>
            <w:tcW w:w="2126" w:type="dxa"/>
            <w:vAlign w:val="center"/>
          </w:tcPr>
          <w:p w14:paraId="5A7573B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5 329,9</w:t>
            </w:r>
          </w:p>
        </w:tc>
        <w:tc>
          <w:tcPr>
            <w:tcW w:w="1843" w:type="dxa"/>
            <w:vAlign w:val="center"/>
          </w:tcPr>
          <w:p w14:paraId="66E499B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6 258,995</w:t>
            </w:r>
          </w:p>
        </w:tc>
        <w:tc>
          <w:tcPr>
            <w:tcW w:w="1108" w:type="dxa"/>
            <w:vAlign w:val="center"/>
          </w:tcPr>
          <w:p w14:paraId="6AE97C02"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5 789,4</w:t>
            </w:r>
          </w:p>
        </w:tc>
        <w:tc>
          <w:tcPr>
            <w:tcW w:w="1160" w:type="dxa"/>
            <w:vAlign w:val="center"/>
          </w:tcPr>
          <w:p w14:paraId="1A474EF7"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459,5</w:t>
            </w:r>
          </w:p>
        </w:tc>
        <w:tc>
          <w:tcPr>
            <w:tcW w:w="1417" w:type="dxa"/>
            <w:vAlign w:val="center"/>
          </w:tcPr>
          <w:p w14:paraId="3CAD257C"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-469,7</w:t>
            </w:r>
          </w:p>
        </w:tc>
      </w:tr>
    </w:tbl>
    <w:p w14:paraId="311D1110" w14:textId="77777777" w:rsidR="002A3B24" w:rsidRPr="00FD7B0B" w:rsidRDefault="002A3B24" w:rsidP="002A3B24">
      <w:pPr>
        <w:pStyle w:val="ad"/>
        <w:ind w:firstLine="709"/>
        <w:jc w:val="both"/>
        <w:rPr>
          <w:rFonts w:ascii="Times New Roman" w:hAnsi="Times New Roman"/>
          <w:sz w:val="28"/>
          <w:szCs w:val="28"/>
        </w:rPr>
      </w:pPr>
    </w:p>
    <w:p w14:paraId="43246755"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Расходы на реализацию мероприятий ГП № 06 в СБР утверждены </w:t>
      </w:r>
      <w:r w:rsidRPr="00FD7B0B">
        <w:rPr>
          <w:rFonts w:ascii="Times New Roman" w:hAnsi="Times New Roman"/>
          <w:sz w:val="28"/>
          <w:szCs w:val="28"/>
        </w:rPr>
        <w:br/>
        <w:t>в общей сумме 5 789,4 млн.руб., что на 459,5 млн.руб. больше параметров, утвержденных законом «Об областном бюджете»</w:t>
      </w:r>
      <w:r w:rsidRPr="00FD7B0B">
        <w:rPr>
          <w:rFonts w:ascii="Times New Roman" w:hAnsi="Times New Roman"/>
          <w:b/>
          <w:sz w:val="28"/>
          <w:szCs w:val="28"/>
        </w:rPr>
        <w:t xml:space="preserve"> </w:t>
      </w:r>
      <w:r w:rsidRPr="00FD7B0B">
        <w:rPr>
          <w:rFonts w:ascii="Times New Roman" w:hAnsi="Times New Roman"/>
          <w:sz w:val="28"/>
          <w:szCs w:val="28"/>
        </w:rPr>
        <w:t xml:space="preserve">в редакции, действующей </w:t>
      </w:r>
      <w:r w:rsidRPr="00FD7B0B">
        <w:rPr>
          <w:rFonts w:ascii="Times New Roman" w:hAnsi="Times New Roman"/>
          <w:sz w:val="28"/>
          <w:szCs w:val="28"/>
        </w:rPr>
        <w:br/>
        <w:t>на 31.12.2024, и меньше</w:t>
      </w:r>
      <w:r w:rsidRPr="00FD7B0B">
        <w:t xml:space="preserve"> </w:t>
      </w:r>
      <w:r w:rsidRPr="00FD7B0B">
        <w:rPr>
          <w:rFonts w:ascii="Times New Roman" w:hAnsi="Times New Roman"/>
          <w:sz w:val="28"/>
          <w:szCs w:val="28"/>
        </w:rPr>
        <w:t xml:space="preserve">на 469,7 млн.руб., чем утверждено ГП № 06. </w:t>
      </w:r>
    </w:p>
    <w:p w14:paraId="12409478" w14:textId="0B1F6381" w:rsidR="002A3B24" w:rsidRPr="00FD7B0B" w:rsidRDefault="002A3B24" w:rsidP="00CF501D">
      <w:pPr>
        <w:pStyle w:val="ad"/>
        <w:ind w:firstLine="709"/>
        <w:jc w:val="both"/>
        <w:rPr>
          <w:rFonts w:ascii="Times New Roman" w:hAnsi="Times New Roman"/>
          <w:b/>
          <w:sz w:val="24"/>
          <w:szCs w:val="24"/>
        </w:rPr>
      </w:pPr>
      <w:r w:rsidRPr="00FD7B0B">
        <w:rPr>
          <w:rFonts w:ascii="Times New Roman" w:hAnsi="Times New Roman"/>
          <w:sz w:val="28"/>
          <w:szCs w:val="28"/>
        </w:rPr>
        <w:t xml:space="preserve">Согласно проекту отчета о реализации мероприятий госпрограммы </w:t>
      </w:r>
      <w:r w:rsidRPr="00FD7B0B">
        <w:rPr>
          <w:rFonts w:ascii="Times New Roman" w:hAnsi="Times New Roman"/>
          <w:sz w:val="28"/>
          <w:szCs w:val="28"/>
        </w:rPr>
        <w:br/>
        <w:t xml:space="preserve">за 2024 год кассовые расходы за счет всех источников составили </w:t>
      </w:r>
      <w:r w:rsidRPr="00FD7B0B">
        <w:rPr>
          <w:rFonts w:ascii="Times New Roman" w:hAnsi="Times New Roman"/>
          <w:sz w:val="28"/>
          <w:szCs w:val="28"/>
        </w:rPr>
        <w:br/>
        <w:t>5 922,8 млн.руб., из них за счет средств федерального и областного бюджетов 5 759,7 млн.руб. или 99,5 % к утвержденным</w:t>
      </w:r>
      <w:r w:rsidR="005E40CD" w:rsidRPr="00FD7B0B">
        <w:rPr>
          <w:rFonts w:ascii="Times New Roman" w:hAnsi="Times New Roman"/>
          <w:sz w:val="28"/>
          <w:szCs w:val="28"/>
        </w:rPr>
        <w:t xml:space="preserve"> СБР параметрам на 2024 год.</w:t>
      </w:r>
    </w:p>
    <w:p w14:paraId="528C78D7" w14:textId="77777777" w:rsidR="002A3B24" w:rsidRPr="00FD7B0B" w:rsidRDefault="002A3B24" w:rsidP="002A3B24">
      <w:pPr>
        <w:spacing w:after="0" w:line="240" w:lineRule="auto"/>
        <w:ind w:firstLine="709"/>
        <w:jc w:val="both"/>
        <w:rPr>
          <w:rFonts w:ascii="Times New Roman" w:eastAsia="Calibri" w:hAnsi="Times New Roman" w:cs="Times New Roman"/>
          <w:sz w:val="28"/>
          <w:szCs w:val="28"/>
        </w:rPr>
      </w:pPr>
    </w:p>
    <w:p w14:paraId="7204A140" w14:textId="0C1BA1FA" w:rsidR="002A3B24" w:rsidRPr="00FD7B0B" w:rsidRDefault="002A3B24" w:rsidP="002A3B24">
      <w:pPr>
        <w:pStyle w:val="aff0"/>
        <w:spacing w:after="0"/>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132</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Данные проекта отчета о реализации госпрограммы в 2024 году, </w:t>
      </w:r>
      <w:r w:rsidR="000560EB" w:rsidRPr="00FD7B0B">
        <w:rPr>
          <w:rFonts w:ascii="Times New Roman" w:hAnsi="Times New Roman"/>
          <w:b w:val="0"/>
          <w:sz w:val="24"/>
          <w:szCs w:val="24"/>
        </w:rPr>
        <w:t>млн.руб.</w:t>
      </w:r>
    </w:p>
    <w:tbl>
      <w:tblPr>
        <w:tblW w:w="9531"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302"/>
        <w:gridCol w:w="1257"/>
        <w:gridCol w:w="1418"/>
        <w:gridCol w:w="869"/>
        <w:gridCol w:w="1134"/>
        <w:gridCol w:w="1559"/>
        <w:gridCol w:w="992"/>
      </w:tblGrid>
      <w:tr w:rsidR="00FD7B0B" w:rsidRPr="00FD7B0B" w14:paraId="20F1058D" w14:textId="77777777" w:rsidTr="00BA170F">
        <w:trPr>
          <w:trHeight w:val="66"/>
        </w:trPr>
        <w:tc>
          <w:tcPr>
            <w:tcW w:w="2302" w:type="dxa"/>
            <w:vMerge w:val="restart"/>
            <w:shd w:val="clear" w:color="auto" w:fill="auto"/>
            <w:vAlign w:val="center"/>
            <w:hideMark/>
          </w:tcPr>
          <w:p w14:paraId="36AB099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мероприятия (результата)</w:t>
            </w:r>
          </w:p>
        </w:tc>
        <w:tc>
          <w:tcPr>
            <w:tcW w:w="7229" w:type="dxa"/>
            <w:gridSpan w:val="6"/>
            <w:shd w:val="clear" w:color="auto" w:fill="auto"/>
            <w:vAlign w:val="center"/>
            <w:hideMark/>
          </w:tcPr>
          <w:p w14:paraId="5A9BAAB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Объем финансирования государственной программы (за отчетный период), </w:t>
            </w:r>
          </w:p>
        </w:tc>
      </w:tr>
      <w:tr w:rsidR="00FD7B0B" w:rsidRPr="00FD7B0B" w14:paraId="02F0DDB4" w14:textId="77777777" w:rsidTr="00BA170F">
        <w:trPr>
          <w:trHeight w:val="179"/>
        </w:trPr>
        <w:tc>
          <w:tcPr>
            <w:tcW w:w="2302" w:type="dxa"/>
            <w:vMerge/>
            <w:vAlign w:val="center"/>
            <w:hideMark/>
          </w:tcPr>
          <w:p w14:paraId="596EA83F" w14:textId="77777777" w:rsidR="002A3B24" w:rsidRPr="00FD7B0B" w:rsidRDefault="002A3B24" w:rsidP="002A3B24">
            <w:pPr>
              <w:spacing w:after="0" w:line="240" w:lineRule="auto"/>
              <w:rPr>
                <w:rFonts w:ascii="Times New Roman" w:eastAsia="Times New Roman" w:hAnsi="Times New Roman" w:cs="Times New Roman"/>
                <w:sz w:val="20"/>
                <w:szCs w:val="20"/>
                <w:lang w:eastAsia="ru-RU"/>
              </w:rPr>
            </w:pPr>
          </w:p>
        </w:tc>
        <w:tc>
          <w:tcPr>
            <w:tcW w:w="7229" w:type="dxa"/>
            <w:gridSpan w:val="6"/>
            <w:shd w:val="clear" w:color="auto" w:fill="auto"/>
            <w:vAlign w:val="center"/>
            <w:hideMark/>
          </w:tcPr>
          <w:p w14:paraId="0539514E"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 том числе</w:t>
            </w:r>
          </w:p>
        </w:tc>
      </w:tr>
      <w:tr w:rsidR="00FD7B0B" w:rsidRPr="00FD7B0B" w14:paraId="6475A446" w14:textId="77777777" w:rsidTr="00BA170F">
        <w:trPr>
          <w:trHeight w:val="45"/>
        </w:trPr>
        <w:tc>
          <w:tcPr>
            <w:tcW w:w="2302" w:type="dxa"/>
            <w:vMerge/>
            <w:vAlign w:val="center"/>
            <w:hideMark/>
          </w:tcPr>
          <w:p w14:paraId="6D75F6FD" w14:textId="77777777" w:rsidR="002A3B24" w:rsidRPr="00FD7B0B" w:rsidRDefault="002A3B24" w:rsidP="002A3B24">
            <w:pPr>
              <w:spacing w:after="0" w:line="240" w:lineRule="auto"/>
              <w:rPr>
                <w:rFonts w:ascii="Times New Roman" w:eastAsia="Times New Roman" w:hAnsi="Times New Roman" w:cs="Times New Roman"/>
                <w:sz w:val="20"/>
                <w:szCs w:val="20"/>
                <w:lang w:eastAsia="ru-RU"/>
              </w:rPr>
            </w:pPr>
          </w:p>
        </w:tc>
        <w:tc>
          <w:tcPr>
            <w:tcW w:w="3544" w:type="dxa"/>
            <w:gridSpan w:val="3"/>
            <w:shd w:val="clear" w:color="auto" w:fill="auto"/>
            <w:vAlign w:val="center"/>
            <w:hideMark/>
          </w:tcPr>
          <w:p w14:paraId="61913562"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3685" w:type="dxa"/>
            <w:gridSpan w:val="3"/>
            <w:shd w:val="clear" w:color="auto" w:fill="auto"/>
            <w:vAlign w:val="center"/>
            <w:hideMark/>
          </w:tcPr>
          <w:p w14:paraId="1AB9C98B"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бюджеты МО АО</w:t>
            </w:r>
          </w:p>
        </w:tc>
      </w:tr>
      <w:tr w:rsidR="00FD7B0B" w:rsidRPr="00FD7B0B" w14:paraId="404AFFC9" w14:textId="77777777" w:rsidTr="00BA170F">
        <w:trPr>
          <w:trHeight w:val="288"/>
        </w:trPr>
        <w:tc>
          <w:tcPr>
            <w:tcW w:w="2302" w:type="dxa"/>
            <w:vMerge/>
            <w:vAlign w:val="center"/>
            <w:hideMark/>
          </w:tcPr>
          <w:p w14:paraId="102BF5E9" w14:textId="77777777" w:rsidR="002A3B24" w:rsidRPr="00FD7B0B" w:rsidRDefault="002A3B24" w:rsidP="002A3B24">
            <w:pPr>
              <w:spacing w:after="0" w:line="240" w:lineRule="auto"/>
              <w:rPr>
                <w:rFonts w:ascii="Times New Roman" w:eastAsia="Times New Roman" w:hAnsi="Times New Roman" w:cs="Times New Roman"/>
                <w:sz w:val="20"/>
                <w:szCs w:val="20"/>
                <w:lang w:eastAsia="ru-RU"/>
              </w:rPr>
            </w:pPr>
          </w:p>
        </w:tc>
        <w:tc>
          <w:tcPr>
            <w:tcW w:w="1257" w:type="dxa"/>
            <w:shd w:val="clear" w:color="auto" w:fill="auto"/>
            <w:vAlign w:val="center"/>
            <w:hideMark/>
          </w:tcPr>
          <w:p w14:paraId="0185B561"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 на год</w:t>
            </w:r>
          </w:p>
        </w:tc>
        <w:tc>
          <w:tcPr>
            <w:tcW w:w="1418" w:type="dxa"/>
            <w:shd w:val="clear" w:color="auto" w:fill="auto"/>
            <w:vAlign w:val="center"/>
            <w:hideMark/>
          </w:tcPr>
          <w:p w14:paraId="018BF38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кассовые расходы</w:t>
            </w:r>
          </w:p>
        </w:tc>
        <w:tc>
          <w:tcPr>
            <w:tcW w:w="869" w:type="dxa"/>
            <w:shd w:val="clear" w:color="auto" w:fill="auto"/>
            <w:vAlign w:val="center"/>
            <w:hideMark/>
          </w:tcPr>
          <w:p w14:paraId="710A38BD"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c>
          <w:tcPr>
            <w:tcW w:w="1134" w:type="dxa"/>
            <w:shd w:val="clear" w:color="auto" w:fill="auto"/>
            <w:vAlign w:val="center"/>
            <w:hideMark/>
          </w:tcPr>
          <w:p w14:paraId="302FA6ED"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1559" w:type="dxa"/>
            <w:shd w:val="clear" w:color="auto" w:fill="auto"/>
            <w:vAlign w:val="center"/>
            <w:hideMark/>
          </w:tcPr>
          <w:p w14:paraId="2F23B1C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кассовые расходы</w:t>
            </w:r>
          </w:p>
        </w:tc>
        <w:tc>
          <w:tcPr>
            <w:tcW w:w="992" w:type="dxa"/>
            <w:vAlign w:val="center"/>
          </w:tcPr>
          <w:p w14:paraId="07681DC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r>
      <w:tr w:rsidR="00FD7B0B" w:rsidRPr="00FD7B0B" w14:paraId="269ECA4B" w14:textId="77777777" w:rsidTr="00BA170F">
        <w:trPr>
          <w:trHeight w:val="169"/>
        </w:trPr>
        <w:tc>
          <w:tcPr>
            <w:tcW w:w="2302" w:type="dxa"/>
            <w:shd w:val="clear" w:color="auto" w:fill="auto"/>
            <w:vAlign w:val="center"/>
            <w:hideMark/>
          </w:tcPr>
          <w:p w14:paraId="1843871B"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Проектная часть</w:t>
            </w:r>
          </w:p>
        </w:tc>
        <w:tc>
          <w:tcPr>
            <w:tcW w:w="1257" w:type="dxa"/>
            <w:shd w:val="clear" w:color="auto" w:fill="auto"/>
            <w:vAlign w:val="center"/>
          </w:tcPr>
          <w:p w14:paraId="71A2DC6A"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3 886,94</w:t>
            </w:r>
          </w:p>
        </w:tc>
        <w:tc>
          <w:tcPr>
            <w:tcW w:w="1418" w:type="dxa"/>
            <w:shd w:val="clear" w:color="auto" w:fill="auto"/>
            <w:vAlign w:val="center"/>
          </w:tcPr>
          <w:p w14:paraId="0FEEC4E6"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3 860,8</w:t>
            </w:r>
          </w:p>
        </w:tc>
        <w:tc>
          <w:tcPr>
            <w:tcW w:w="869" w:type="dxa"/>
            <w:shd w:val="clear" w:color="auto" w:fill="auto"/>
            <w:vAlign w:val="center"/>
          </w:tcPr>
          <w:p w14:paraId="56045EBB"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99,3</w:t>
            </w:r>
          </w:p>
        </w:tc>
        <w:tc>
          <w:tcPr>
            <w:tcW w:w="1134" w:type="dxa"/>
            <w:shd w:val="clear" w:color="auto" w:fill="auto"/>
            <w:vAlign w:val="center"/>
          </w:tcPr>
          <w:p w14:paraId="00B3081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58,3</w:t>
            </w:r>
          </w:p>
        </w:tc>
        <w:tc>
          <w:tcPr>
            <w:tcW w:w="1559" w:type="dxa"/>
            <w:shd w:val="clear" w:color="auto" w:fill="auto"/>
            <w:vAlign w:val="center"/>
          </w:tcPr>
          <w:p w14:paraId="6F4A6A9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57,1</w:t>
            </w:r>
          </w:p>
        </w:tc>
        <w:tc>
          <w:tcPr>
            <w:tcW w:w="992" w:type="dxa"/>
            <w:vAlign w:val="center"/>
          </w:tcPr>
          <w:p w14:paraId="14E815F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98,0</w:t>
            </w:r>
          </w:p>
        </w:tc>
      </w:tr>
      <w:tr w:rsidR="00FD7B0B" w:rsidRPr="00FD7B0B" w14:paraId="00CED0AC" w14:textId="77777777" w:rsidTr="00BA170F">
        <w:trPr>
          <w:trHeight w:val="214"/>
        </w:trPr>
        <w:tc>
          <w:tcPr>
            <w:tcW w:w="2302" w:type="dxa"/>
            <w:shd w:val="clear" w:color="auto" w:fill="auto"/>
            <w:vAlign w:val="center"/>
            <w:hideMark/>
          </w:tcPr>
          <w:p w14:paraId="34C36FDF" w14:textId="77777777" w:rsidR="002A3B24" w:rsidRPr="00FD7B0B" w:rsidRDefault="002A3B24" w:rsidP="002A3B2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1</w:t>
            </w:r>
          </w:p>
        </w:tc>
        <w:tc>
          <w:tcPr>
            <w:tcW w:w="1257" w:type="dxa"/>
            <w:shd w:val="clear" w:color="auto" w:fill="auto"/>
            <w:vAlign w:val="center"/>
          </w:tcPr>
          <w:p w14:paraId="48A78292"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3 000,5</w:t>
            </w:r>
          </w:p>
        </w:tc>
        <w:tc>
          <w:tcPr>
            <w:tcW w:w="1418" w:type="dxa"/>
            <w:shd w:val="clear" w:color="auto" w:fill="auto"/>
            <w:vAlign w:val="center"/>
          </w:tcPr>
          <w:p w14:paraId="5D48FC9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2 987,7</w:t>
            </w:r>
          </w:p>
        </w:tc>
        <w:tc>
          <w:tcPr>
            <w:tcW w:w="869" w:type="dxa"/>
            <w:shd w:val="clear" w:color="auto" w:fill="auto"/>
            <w:vAlign w:val="center"/>
          </w:tcPr>
          <w:p w14:paraId="540F401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99,6</w:t>
            </w:r>
          </w:p>
        </w:tc>
        <w:tc>
          <w:tcPr>
            <w:tcW w:w="1134" w:type="dxa"/>
            <w:shd w:val="clear" w:color="auto" w:fill="auto"/>
            <w:vAlign w:val="center"/>
          </w:tcPr>
          <w:p w14:paraId="681A894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w:t>
            </w:r>
          </w:p>
        </w:tc>
        <w:tc>
          <w:tcPr>
            <w:tcW w:w="1559" w:type="dxa"/>
            <w:shd w:val="clear" w:color="auto" w:fill="auto"/>
            <w:vAlign w:val="center"/>
          </w:tcPr>
          <w:p w14:paraId="5D1110E1"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992" w:type="dxa"/>
            <w:vAlign w:val="center"/>
          </w:tcPr>
          <w:p w14:paraId="72C1686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46,8</w:t>
            </w:r>
          </w:p>
        </w:tc>
      </w:tr>
      <w:tr w:rsidR="00FD7B0B" w:rsidRPr="00FD7B0B" w14:paraId="1A735067" w14:textId="77777777" w:rsidTr="00BA170F">
        <w:trPr>
          <w:trHeight w:val="136"/>
        </w:trPr>
        <w:tc>
          <w:tcPr>
            <w:tcW w:w="2302" w:type="dxa"/>
            <w:shd w:val="clear" w:color="auto" w:fill="auto"/>
            <w:vAlign w:val="center"/>
            <w:hideMark/>
          </w:tcPr>
          <w:p w14:paraId="0AB221ED" w14:textId="77777777" w:rsidR="002A3B24" w:rsidRPr="00FD7B0B" w:rsidRDefault="002A3B24" w:rsidP="002A3B2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3</w:t>
            </w:r>
          </w:p>
        </w:tc>
        <w:tc>
          <w:tcPr>
            <w:tcW w:w="1257" w:type="dxa"/>
            <w:shd w:val="clear" w:color="auto" w:fill="auto"/>
            <w:vAlign w:val="center"/>
          </w:tcPr>
          <w:p w14:paraId="6ECC435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886,5</w:t>
            </w:r>
          </w:p>
        </w:tc>
        <w:tc>
          <w:tcPr>
            <w:tcW w:w="1418" w:type="dxa"/>
            <w:shd w:val="clear" w:color="auto" w:fill="auto"/>
            <w:vAlign w:val="center"/>
          </w:tcPr>
          <w:p w14:paraId="2D40039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872,98</w:t>
            </w:r>
          </w:p>
        </w:tc>
        <w:tc>
          <w:tcPr>
            <w:tcW w:w="869" w:type="dxa"/>
            <w:shd w:val="clear" w:color="auto" w:fill="auto"/>
            <w:vAlign w:val="center"/>
          </w:tcPr>
          <w:p w14:paraId="0BD6D7D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98,5</w:t>
            </w:r>
          </w:p>
        </w:tc>
        <w:tc>
          <w:tcPr>
            <w:tcW w:w="1134" w:type="dxa"/>
            <w:shd w:val="clear" w:color="auto" w:fill="auto"/>
            <w:vAlign w:val="center"/>
          </w:tcPr>
          <w:p w14:paraId="4C22B24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57,9</w:t>
            </w:r>
          </w:p>
        </w:tc>
        <w:tc>
          <w:tcPr>
            <w:tcW w:w="1559" w:type="dxa"/>
            <w:shd w:val="clear" w:color="auto" w:fill="auto"/>
            <w:vAlign w:val="center"/>
          </w:tcPr>
          <w:p w14:paraId="6A1E854A"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56,9</w:t>
            </w:r>
          </w:p>
        </w:tc>
        <w:tc>
          <w:tcPr>
            <w:tcW w:w="992" w:type="dxa"/>
            <w:vAlign w:val="center"/>
          </w:tcPr>
          <w:p w14:paraId="2FEC61DE"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98,4</w:t>
            </w:r>
          </w:p>
        </w:tc>
      </w:tr>
      <w:tr w:rsidR="00FD7B0B" w:rsidRPr="00FD7B0B" w14:paraId="4188EBF6" w14:textId="77777777" w:rsidTr="00BA170F">
        <w:trPr>
          <w:trHeight w:val="183"/>
        </w:trPr>
        <w:tc>
          <w:tcPr>
            <w:tcW w:w="2302" w:type="dxa"/>
            <w:shd w:val="clear" w:color="auto" w:fill="auto"/>
            <w:vAlign w:val="center"/>
            <w:hideMark/>
          </w:tcPr>
          <w:p w14:paraId="54E02F3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zh-CN"/>
              </w:rPr>
              <w:t>Процессная часть</w:t>
            </w:r>
          </w:p>
        </w:tc>
        <w:tc>
          <w:tcPr>
            <w:tcW w:w="1257" w:type="dxa"/>
            <w:shd w:val="clear" w:color="auto" w:fill="auto"/>
            <w:vAlign w:val="center"/>
          </w:tcPr>
          <w:p w14:paraId="3780733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1 902,4</w:t>
            </w:r>
          </w:p>
        </w:tc>
        <w:tc>
          <w:tcPr>
            <w:tcW w:w="1418" w:type="dxa"/>
            <w:shd w:val="clear" w:color="auto" w:fill="auto"/>
            <w:vAlign w:val="center"/>
          </w:tcPr>
          <w:p w14:paraId="55D04F0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1 899,0</w:t>
            </w:r>
          </w:p>
        </w:tc>
        <w:tc>
          <w:tcPr>
            <w:tcW w:w="869" w:type="dxa"/>
            <w:shd w:val="clear" w:color="auto" w:fill="auto"/>
            <w:vAlign w:val="center"/>
          </w:tcPr>
          <w:p w14:paraId="3374C82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c>
          <w:tcPr>
            <w:tcW w:w="1134" w:type="dxa"/>
            <w:shd w:val="clear" w:color="auto" w:fill="auto"/>
            <w:vAlign w:val="center"/>
          </w:tcPr>
          <w:p w14:paraId="222EC594"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105,9</w:t>
            </w:r>
          </w:p>
        </w:tc>
        <w:tc>
          <w:tcPr>
            <w:tcW w:w="1559" w:type="dxa"/>
            <w:shd w:val="clear" w:color="auto" w:fill="auto"/>
            <w:vAlign w:val="center"/>
          </w:tcPr>
          <w:p w14:paraId="775E709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105,9</w:t>
            </w:r>
          </w:p>
        </w:tc>
        <w:tc>
          <w:tcPr>
            <w:tcW w:w="992" w:type="dxa"/>
            <w:vAlign w:val="center"/>
          </w:tcPr>
          <w:p w14:paraId="7D124909"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C47070F" w14:textId="77777777" w:rsidTr="00BA170F">
        <w:trPr>
          <w:trHeight w:val="229"/>
        </w:trPr>
        <w:tc>
          <w:tcPr>
            <w:tcW w:w="2302" w:type="dxa"/>
            <w:shd w:val="clear" w:color="auto" w:fill="auto"/>
            <w:vAlign w:val="center"/>
            <w:hideMark/>
          </w:tcPr>
          <w:p w14:paraId="3CD1026D" w14:textId="77777777" w:rsidR="002A3B24" w:rsidRPr="00FD7B0B" w:rsidRDefault="002A3B24" w:rsidP="002A3B2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КПМ </w:t>
            </w:r>
          </w:p>
        </w:tc>
        <w:tc>
          <w:tcPr>
            <w:tcW w:w="1257" w:type="dxa"/>
            <w:shd w:val="clear" w:color="auto" w:fill="auto"/>
            <w:vAlign w:val="center"/>
          </w:tcPr>
          <w:p w14:paraId="3956E312"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1 902,4</w:t>
            </w:r>
          </w:p>
        </w:tc>
        <w:tc>
          <w:tcPr>
            <w:tcW w:w="1418" w:type="dxa"/>
            <w:shd w:val="clear" w:color="auto" w:fill="auto"/>
            <w:vAlign w:val="center"/>
          </w:tcPr>
          <w:p w14:paraId="5551EA5A"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1 899,0</w:t>
            </w:r>
          </w:p>
        </w:tc>
        <w:tc>
          <w:tcPr>
            <w:tcW w:w="869" w:type="dxa"/>
            <w:shd w:val="clear" w:color="auto" w:fill="auto"/>
            <w:vAlign w:val="center"/>
          </w:tcPr>
          <w:p w14:paraId="42985D1B"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c>
          <w:tcPr>
            <w:tcW w:w="1134" w:type="dxa"/>
            <w:shd w:val="clear" w:color="auto" w:fill="auto"/>
            <w:vAlign w:val="center"/>
          </w:tcPr>
          <w:p w14:paraId="6A38A98D"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105,9</w:t>
            </w:r>
          </w:p>
        </w:tc>
        <w:tc>
          <w:tcPr>
            <w:tcW w:w="1559" w:type="dxa"/>
            <w:shd w:val="clear" w:color="auto" w:fill="auto"/>
            <w:vAlign w:val="center"/>
          </w:tcPr>
          <w:p w14:paraId="1ACD70C6"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105,9</w:t>
            </w:r>
          </w:p>
        </w:tc>
        <w:tc>
          <w:tcPr>
            <w:tcW w:w="992" w:type="dxa"/>
            <w:vAlign w:val="center"/>
          </w:tcPr>
          <w:p w14:paraId="566C1AA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2A3B24" w:rsidRPr="00FD7B0B" w14:paraId="76369156" w14:textId="77777777" w:rsidTr="00BA170F">
        <w:trPr>
          <w:trHeight w:val="119"/>
        </w:trPr>
        <w:tc>
          <w:tcPr>
            <w:tcW w:w="2302" w:type="dxa"/>
            <w:shd w:val="clear" w:color="auto" w:fill="auto"/>
            <w:vAlign w:val="center"/>
            <w:hideMark/>
          </w:tcPr>
          <w:p w14:paraId="1BE67922"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zh-CN"/>
              </w:rPr>
              <w:t>Итого по госпрограмме</w:t>
            </w:r>
          </w:p>
        </w:tc>
        <w:tc>
          <w:tcPr>
            <w:tcW w:w="1257" w:type="dxa"/>
            <w:shd w:val="clear" w:color="auto" w:fill="auto"/>
            <w:vAlign w:val="center"/>
          </w:tcPr>
          <w:p w14:paraId="73C1C70B"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5 789,4</w:t>
            </w:r>
          </w:p>
        </w:tc>
        <w:tc>
          <w:tcPr>
            <w:tcW w:w="1418" w:type="dxa"/>
            <w:shd w:val="clear" w:color="auto" w:fill="auto"/>
            <w:vAlign w:val="center"/>
          </w:tcPr>
          <w:p w14:paraId="6BFDEBF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5 759,7</w:t>
            </w:r>
          </w:p>
        </w:tc>
        <w:tc>
          <w:tcPr>
            <w:tcW w:w="869" w:type="dxa"/>
            <w:shd w:val="clear" w:color="auto" w:fill="auto"/>
            <w:vAlign w:val="center"/>
          </w:tcPr>
          <w:p w14:paraId="0751CC55"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99,5</w:t>
            </w:r>
          </w:p>
        </w:tc>
        <w:tc>
          <w:tcPr>
            <w:tcW w:w="1134" w:type="dxa"/>
            <w:shd w:val="clear" w:color="auto" w:fill="auto"/>
            <w:vAlign w:val="center"/>
          </w:tcPr>
          <w:p w14:paraId="68188084"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164,2</w:t>
            </w:r>
          </w:p>
        </w:tc>
        <w:tc>
          <w:tcPr>
            <w:tcW w:w="1559" w:type="dxa"/>
            <w:shd w:val="clear" w:color="auto" w:fill="auto"/>
            <w:vAlign w:val="center"/>
          </w:tcPr>
          <w:p w14:paraId="0F07252B"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163,0</w:t>
            </w:r>
          </w:p>
        </w:tc>
        <w:tc>
          <w:tcPr>
            <w:tcW w:w="992" w:type="dxa"/>
            <w:vAlign w:val="center"/>
          </w:tcPr>
          <w:p w14:paraId="2029949A"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99,3</w:t>
            </w:r>
          </w:p>
        </w:tc>
      </w:tr>
    </w:tbl>
    <w:p w14:paraId="267295B1" w14:textId="77777777" w:rsidR="002A3B24" w:rsidRPr="00FD7B0B" w:rsidRDefault="002A3B24" w:rsidP="002A3B24">
      <w:pPr>
        <w:pStyle w:val="ad"/>
        <w:ind w:firstLine="709"/>
        <w:jc w:val="both"/>
        <w:rPr>
          <w:rFonts w:ascii="Times New Roman" w:hAnsi="Times New Roman"/>
          <w:sz w:val="28"/>
          <w:szCs w:val="28"/>
        </w:rPr>
      </w:pPr>
    </w:p>
    <w:p w14:paraId="14E56E1C" w14:textId="117C7ABB"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Расходы областного бюджета на реализацию госпрограммы за 2024 год, а также параметры, утвержденные на 2024 год, в разрезе главных распорядителей и видов расходов представлены в таблице </w:t>
      </w:r>
      <w:r w:rsidR="006C02CF" w:rsidRPr="00FD7B0B">
        <w:rPr>
          <w:rFonts w:ascii="Times New Roman" w:hAnsi="Times New Roman"/>
          <w:sz w:val="28"/>
          <w:szCs w:val="28"/>
        </w:rPr>
        <w:t>133</w:t>
      </w:r>
      <w:r w:rsidRPr="00FD7B0B">
        <w:rPr>
          <w:rFonts w:ascii="Times New Roman" w:hAnsi="Times New Roman"/>
          <w:sz w:val="28"/>
          <w:szCs w:val="28"/>
        </w:rPr>
        <w:t>.</w:t>
      </w:r>
    </w:p>
    <w:p w14:paraId="40BDF499" w14:textId="77777777" w:rsidR="002A3B24" w:rsidRPr="00FD7B0B" w:rsidRDefault="002A3B24" w:rsidP="002A3B24">
      <w:pPr>
        <w:pStyle w:val="ad"/>
        <w:ind w:firstLine="709"/>
        <w:jc w:val="both"/>
        <w:rPr>
          <w:rFonts w:ascii="Times New Roman" w:hAnsi="Times New Roman"/>
          <w:sz w:val="28"/>
          <w:szCs w:val="28"/>
        </w:rPr>
      </w:pPr>
    </w:p>
    <w:p w14:paraId="525D75E9" w14:textId="397BBB94" w:rsidR="002A3B24" w:rsidRPr="00FD7B0B" w:rsidRDefault="002A3B24" w:rsidP="007C27DD">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133</w:t>
      </w:r>
      <w:r w:rsidRPr="00FD7B0B">
        <w:rPr>
          <w:rFonts w:ascii="Times New Roman" w:hAnsi="Times New Roman"/>
          <w:b w:val="0"/>
          <w:sz w:val="24"/>
          <w:szCs w:val="24"/>
        </w:rPr>
        <w:fldChar w:fldCharType="end"/>
      </w:r>
      <w:r w:rsidRPr="00FD7B0B">
        <w:rPr>
          <w:rFonts w:ascii="Times New Roman" w:hAnsi="Times New Roman"/>
          <w:b w:val="0"/>
          <w:sz w:val="24"/>
          <w:szCs w:val="24"/>
        </w:rPr>
        <w:t>. Основные параметры утвержденных и исполненных расходов из областного бюджета за 2024 год на</w:t>
      </w:r>
      <w:r w:rsidR="00C07D3D" w:rsidRPr="00FD7B0B">
        <w:rPr>
          <w:rFonts w:ascii="Times New Roman" w:hAnsi="Times New Roman"/>
          <w:b w:val="0"/>
          <w:sz w:val="24"/>
          <w:szCs w:val="24"/>
        </w:rPr>
        <w:t xml:space="preserve"> реализацию мероприятий ГП № 06</w:t>
      </w:r>
    </w:p>
    <w:tbl>
      <w:tblPr>
        <w:tblW w:w="9537"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551"/>
        <w:gridCol w:w="1134"/>
        <w:gridCol w:w="1134"/>
        <w:gridCol w:w="1159"/>
        <w:gridCol w:w="1559"/>
      </w:tblGrid>
      <w:tr w:rsidR="00FD7B0B" w:rsidRPr="00FD7B0B" w14:paraId="40104EE4" w14:textId="77777777" w:rsidTr="002A3B24">
        <w:trPr>
          <w:trHeight w:val="152"/>
          <w:tblHeader/>
        </w:trPr>
        <w:tc>
          <w:tcPr>
            <w:tcW w:w="4551" w:type="dxa"/>
            <w:vMerge w:val="restart"/>
            <w:shd w:val="clear" w:color="auto" w:fill="auto"/>
            <w:vAlign w:val="center"/>
            <w:hideMark/>
          </w:tcPr>
          <w:p w14:paraId="66814DCC"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Главный распорядитель, виды расходов</w:t>
            </w:r>
          </w:p>
        </w:tc>
        <w:tc>
          <w:tcPr>
            <w:tcW w:w="1134" w:type="dxa"/>
            <w:vMerge w:val="restart"/>
            <w:shd w:val="clear" w:color="auto" w:fill="auto"/>
            <w:vAlign w:val="center"/>
            <w:hideMark/>
          </w:tcPr>
          <w:p w14:paraId="0992895E"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Код вида расходов</w:t>
            </w:r>
          </w:p>
        </w:tc>
        <w:tc>
          <w:tcPr>
            <w:tcW w:w="1134" w:type="dxa"/>
            <w:vMerge w:val="restart"/>
            <w:shd w:val="clear" w:color="auto" w:fill="auto"/>
            <w:vAlign w:val="center"/>
            <w:hideMark/>
          </w:tcPr>
          <w:p w14:paraId="55AC9119" w14:textId="3BDA77E8" w:rsidR="002A3B24" w:rsidRPr="00FD7B0B" w:rsidRDefault="007C27DD"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СБР на 2024 год, млн.</w:t>
            </w:r>
            <w:r w:rsidR="002A3B24" w:rsidRPr="00FD7B0B">
              <w:rPr>
                <w:rFonts w:ascii="Times New Roman" w:eastAsia="Times New Roman" w:hAnsi="Times New Roman"/>
                <w:sz w:val="20"/>
                <w:szCs w:val="20"/>
                <w:lang w:eastAsia="ru-RU"/>
              </w:rPr>
              <w:t>руб.</w:t>
            </w:r>
          </w:p>
        </w:tc>
        <w:tc>
          <w:tcPr>
            <w:tcW w:w="2718" w:type="dxa"/>
            <w:gridSpan w:val="2"/>
            <w:shd w:val="clear" w:color="auto" w:fill="auto"/>
            <w:vAlign w:val="center"/>
            <w:hideMark/>
          </w:tcPr>
          <w:p w14:paraId="58473D87"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Исполнено на 31.12.2024</w:t>
            </w:r>
          </w:p>
        </w:tc>
      </w:tr>
      <w:tr w:rsidR="00FD7B0B" w:rsidRPr="00FD7B0B" w14:paraId="6FC78044" w14:textId="77777777" w:rsidTr="002A3B24">
        <w:trPr>
          <w:trHeight w:val="166"/>
          <w:tblHeader/>
        </w:trPr>
        <w:tc>
          <w:tcPr>
            <w:tcW w:w="4551" w:type="dxa"/>
            <w:vMerge/>
            <w:vAlign w:val="center"/>
            <w:hideMark/>
          </w:tcPr>
          <w:p w14:paraId="4CAF5B6A" w14:textId="77777777" w:rsidR="002A3B24" w:rsidRPr="00FD7B0B" w:rsidRDefault="002A3B24" w:rsidP="002A3B24">
            <w:pPr>
              <w:spacing w:after="0" w:line="240" w:lineRule="auto"/>
              <w:rPr>
                <w:rFonts w:ascii="Times New Roman" w:eastAsia="Times New Roman" w:hAnsi="Times New Roman"/>
                <w:sz w:val="20"/>
                <w:szCs w:val="20"/>
                <w:lang w:eastAsia="ru-RU"/>
              </w:rPr>
            </w:pPr>
          </w:p>
        </w:tc>
        <w:tc>
          <w:tcPr>
            <w:tcW w:w="1134" w:type="dxa"/>
            <w:vMerge/>
            <w:vAlign w:val="center"/>
            <w:hideMark/>
          </w:tcPr>
          <w:p w14:paraId="7E52E27F" w14:textId="77777777" w:rsidR="002A3B24" w:rsidRPr="00FD7B0B" w:rsidRDefault="002A3B24" w:rsidP="002A3B24">
            <w:pPr>
              <w:spacing w:after="0" w:line="240" w:lineRule="auto"/>
              <w:rPr>
                <w:rFonts w:ascii="Times New Roman" w:eastAsia="Times New Roman" w:hAnsi="Times New Roman"/>
                <w:sz w:val="20"/>
                <w:szCs w:val="20"/>
                <w:lang w:eastAsia="ru-RU"/>
              </w:rPr>
            </w:pPr>
          </w:p>
        </w:tc>
        <w:tc>
          <w:tcPr>
            <w:tcW w:w="1134" w:type="dxa"/>
            <w:vMerge/>
            <w:vAlign w:val="center"/>
            <w:hideMark/>
          </w:tcPr>
          <w:p w14:paraId="4CC81F0B" w14:textId="77777777" w:rsidR="002A3B24" w:rsidRPr="00FD7B0B" w:rsidRDefault="002A3B24" w:rsidP="002A3B24">
            <w:pPr>
              <w:spacing w:after="0" w:line="240" w:lineRule="auto"/>
              <w:rPr>
                <w:rFonts w:ascii="Times New Roman" w:eastAsia="Times New Roman" w:hAnsi="Times New Roman"/>
                <w:sz w:val="20"/>
                <w:szCs w:val="20"/>
                <w:lang w:eastAsia="ru-RU"/>
              </w:rPr>
            </w:pPr>
          </w:p>
        </w:tc>
        <w:tc>
          <w:tcPr>
            <w:tcW w:w="1159" w:type="dxa"/>
            <w:shd w:val="clear" w:color="auto" w:fill="auto"/>
            <w:vAlign w:val="center"/>
            <w:hideMark/>
          </w:tcPr>
          <w:p w14:paraId="345BBB0B"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млн.руб.</w:t>
            </w:r>
          </w:p>
        </w:tc>
        <w:tc>
          <w:tcPr>
            <w:tcW w:w="1559" w:type="dxa"/>
            <w:shd w:val="clear" w:color="auto" w:fill="auto"/>
            <w:vAlign w:val="center"/>
            <w:hideMark/>
          </w:tcPr>
          <w:p w14:paraId="3E236ADD"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к СБР на год</w:t>
            </w:r>
          </w:p>
        </w:tc>
      </w:tr>
      <w:tr w:rsidR="00FD7B0B" w:rsidRPr="00FD7B0B" w14:paraId="655A55D1" w14:textId="77777777" w:rsidTr="002A3B24">
        <w:trPr>
          <w:trHeight w:val="211"/>
        </w:trPr>
        <w:tc>
          <w:tcPr>
            <w:tcW w:w="4551" w:type="dxa"/>
            <w:shd w:val="clear" w:color="auto" w:fill="auto"/>
            <w:vAlign w:val="center"/>
            <w:hideMark/>
          </w:tcPr>
          <w:p w14:paraId="5390A4B1" w14:textId="77777777" w:rsidR="002A3B24" w:rsidRPr="00FD7B0B" w:rsidRDefault="002A3B24" w:rsidP="002A3B24">
            <w:pPr>
              <w:spacing w:after="0" w:line="240" w:lineRule="auto"/>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1. Минстрой АО</w:t>
            </w:r>
          </w:p>
        </w:tc>
        <w:tc>
          <w:tcPr>
            <w:tcW w:w="1134" w:type="dxa"/>
            <w:shd w:val="clear" w:color="auto" w:fill="auto"/>
            <w:vAlign w:val="center"/>
            <w:hideMark/>
          </w:tcPr>
          <w:p w14:paraId="6F0AFB08"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х</w:t>
            </w:r>
          </w:p>
        </w:tc>
        <w:tc>
          <w:tcPr>
            <w:tcW w:w="1134" w:type="dxa"/>
            <w:shd w:val="clear" w:color="auto" w:fill="auto"/>
            <w:vAlign w:val="center"/>
          </w:tcPr>
          <w:p w14:paraId="134D4EDB"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4 392,1</w:t>
            </w:r>
          </w:p>
        </w:tc>
        <w:tc>
          <w:tcPr>
            <w:tcW w:w="1159" w:type="dxa"/>
            <w:shd w:val="clear" w:color="auto" w:fill="auto"/>
            <w:vAlign w:val="center"/>
          </w:tcPr>
          <w:p w14:paraId="17D6DF3C"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4 380,1</w:t>
            </w:r>
          </w:p>
        </w:tc>
        <w:tc>
          <w:tcPr>
            <w:tcW w:w="1559" w:type="dxa"/>
            <w:shd w:val="clear" w:color="auto" w:fill="auto"/>
            <w:vAlign w:val="center"/>
          </w:tcPr>
          <w:p w14:paraId="293EB2B3" w14:textId="77777777" w:rsidR="002A3B24" w:rsidRPr="00FD7B0B" w:rsidRDefault="002A3B24" w:rsidP="002A3B24">
            <w:pPr>
              <w:spacing w:after="0" w:line="240" w:lineRule="auto"/>
              <w:jc w:val="center"/>
              <w:rPr>
                <w:rFonts w:ascii="Times New Roman" w:eastAsia="Times New Roman" w:hAnsi="Times New Roman"/>
                <w:b/>
                <w:bCs/>
                <w:i/>
                <w:iCs/>
                <w:sz w:val="20"/>
                <w:szCs w:val="20"/>
                <w:lang w:eastAsia="ru-RU"/>
              </w:rPr>
            </w:pPr>
            <w:r w:rsidRPr="00FD7B0B">
              <w:rPr>
                <w:rFonts w:ascii="Times New Roman" w:eastAsia="Times New Roman" w:hAnsi="Times New Roman"/>
                <w:b/>
                <w:bCs/>
                <w:i/>
                <w:iCs/>
                <w:sz w:val="20"/>
                <w:szCs w:val="20"/>
                <w:lang w:eastAsia="ru-RU"/>
              </w:rPr>
              <w:t>99,7</w:t>
            </w:r>
          </w:p>
        </w:tc>
      </w:tr>
      <w:tr w:rsidR="00FD7B0B" w:rsidRPr="00FD7B0B" w14:paraId="466D61C3" w14:textId="77777777" w:rsidTr="002A3B24">
        <w:trPr>
          <w:trHeight w:val="101"/>
        </w:trPr>
        <w:tc>
          <w:tcPr>
            <w:tcW w:w="4551" w:type="dxa"/>
            <w:shd w:val="clear" w:color="auto" w:fill="auto"/>
            <w:vAlign w:val="center"/>
            <w:hideMark/>
          </w:tcPr>
          <w:p w14:paraId="559B1621"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Расходы на выплаты персоналу</w:t>
            </w:r>
          </w:p>
        </w:tc>
        <w:tc>
          <w:tcPr>
            <w:tcW w:w="1134" w:type="dxa"/>
            <w:shd w:val="clear" w:color="auto" w:fill="auto"/>
            <w:vAlign w:val="center"/>
            <w:hideMark/>
          </w:tcPr>
          <w:p w14:paraId="39ACDCB6"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w:t>
            </w:r>
          </w:p>
        </w:tc>
        <w:tc>
          <w:tcPr>
            <w:tcW w:w="1134" w:type="dxa"/>
            <w:shd w:val="clear" w:color="auto" w:fill="auto"/>
            <w:vAlign w:val="center"/>
          </w:tcPr>
          <w:p w14:paraId="379BFB19"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258,9</w:t>
            </w:r>
          </w:p>
        </w:tc>
        <w:tc>
          <w:tcPr>
            <w:tcW w:w="1159" w:type="dxa"/>
            <w:shd w:val="clear" w:color="auto" w:fill="auto"/>
            <w:vAlign w:val="center"/>
          </w:tcPr>
          <w:p w14:paraId="75FCC4C5"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258,9</w:t>
            </w:r>
          </w:p>
        </w:tc>
        <w:tc>
          <w:tcPr>
            <w:tcW w:w="1559" w:type="dxa"/>
            <w:shd w:val="clear" w:color="auto" w:fill="auto"/>
            <w:vAlign w:val="center"/>
          </w:tcPr>
          <w:p w14:paraId="7D15BFD6"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100</w:t>
            </w:r>
          </w:p>
        </w:tc>
      </w:tr>
      <w:tr w:rsidR="00FD7B0B" w:rsidRPr="00FD7B0B" w14:paraId="4F80CFA6" w14:textId="77777777" w:rsidTr="002A3B24">
        <w:trPr>
          <w:trHeight w:val="288"/>
        </w:trPr>
        <w:tc>
          <w:tcPr>
            <w:tcW w:w="4551" w:type="dxa"/>
            <w:shd w:val="clear" w:color="auto" w:fill="auto"/>
            <w:vAlign w:val="center"/>
            <w:hideMark/>
          </w:tcPr>
          <w:p w14:paraId="6D4C5AC4"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Иные закупки товаров, работ и услуг для обеспечения гос. (муниципальных) нужд</w:t>
            </w:r>
          </w:p>
        </w:tc>
        <w:tc>
          <w:tcPr>
            <w:tcW w:w="1134" w:type="dxa"/>
            <w:shd w:val="clear" w:color="auto" w:fill="auto"/>
            <w:vAlign w:val="center"/>
            <w:hideMark/>
          </w:tcPr>
          <w:p w14:paraId="254304BF"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200  (240)</w:t>
            </w:r>
          </w:p>
        </w:tc>
        <w:tc>
          <w:tcPr>
            <w:tcW w:w="1134" w:type="dxa"/>
            <w:shd w:val="clear" w:color="auto" w:fill="auto"/>
            <w:vAlign w:val="center"/>
          </w:tcPr>
          <w:p w14:paraId="1719CA76"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29,5</w:t>
            </w:r>
          </w:p>
        </w:tc>
        <w:tc>
          <w:tcPr>
            <w:tcW w:w="1159" w:type="dxa"/>
            <w:shd w:val="clear" w:color="auto" w:fill="auto"/>
            <w:vAlign w:val="center"/>
          </w:tcPr>
          <w:p w14:paraId="5378D7C0"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29,5</w:t>
            </w:r>
          </w:p>
        </w:tc>
        <w:tc>
          <w:tcPr>
            <w:tcW w:w="1559" w:type="dxa"/>
            <w:shd w:val="clear" w:color="auto" w:fill="auto"/>
            <w:vAlign w:val="center"/>
          </w:tcPr>
          <w:p w14:paraId="5DF9B425"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99,9</w:t>
            </w:r>
          </w:p>
        </w:tc>
      </w:tr>
      <w:tr w:rsidR="00FD7B0B" w:rsidRPr="00FD7B0B" w14:paraId="35D252C7" w14:textId="77777777" w:rsidTr="002A3B24">
        <w:trPr>
          <w:trHeight w:val="366"/>
        </w:trPr>
        <w:tc>
          <w:tcPr>
            <w:tcW w:w="4551" w:type="dxa"/>
            <w:shd w:val="clear" w:color="auto" w:fill="auto"/>
            <w:vAlign w:val="center"/>
            <w:hideMark/>
          </w:tcPr>
          <w:p w14:paraId="1BAAF5D7"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Социальное обеспечение и иные выплаты населению</w:t>
            </w:r>
          </w:p>
        </w:tc>
        <w:tc>
          <w:tcPr>
            <w:tcW w:w="1134" w:type="dxa"/>
            <w:shd w:val="clear" w:color="auto" w:fill="auto"/>
            <w:vAlign w:val="center"/>
            <w:hideMark/>
          </w:tcPr>
          <w:p w14:paraId="08A5E71D"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300 </w:t>
            </w:r>
          </w:p>
          <w:p w14:paraId="5FA00B3D"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(360)</w:t>
            </w:r>
          </w:p>
        </w:tc>
        <w:tc>
          <w:tcPr>
            <w:tcW w:w="1134" w:type="dxa"/>
            <w:shd w:val="clear" w:color="auto" w:fill="auto"/>
            <w:vAlign w:val="center"/>
          </w:tcPr>
          <w:p w14:paraId="19DC1CD9"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0,003</w:t>
            </w:r>
          </w:p>
        </w:tc>
        <w:tc>
          <w:tcPr>
            <w:tcW w:w="1159" w:type="dxa"/>
            <w:shd w:val="clear" w:color="auto" w:fill="auto"/>
            <w:vAlign w:val="center"/>
          </w:tcPr>
          <w:p w14:paraId="2C4B63B6"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0,003</w:t>
            </w:r>
          </w:p>
        </w:tc>
        <w:tc>
          <w:tcPr>
            <w:tcW w:w="1559" w:type="dxa"/>
            <w:shd w:val="clear" w:color="auto" w:fill="auto"/>
            <w:vAlign w:val="center"/>
          </w:tcPr>
          <w:p w14:paraId="633CFD67"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100</w:t>
            </w:r>
          </w:p>
        </w:tc>
      </w:tr>
      <w:tr w:rsidR="00FD7B0B" w:rsidRPr="00FD7B0B" w14:paraId="13A753BA" w14:textId="77777777" w:rsidTr="002A3B24">
        <w:trPr>
          <w:trHeight w:val="47"/>
        </w:trPr>
        <w:tc>
          <w:tcPr>
            <w:tcW w:w="4551" w:type="dxa"/>
            <w:shd w:val="clear" w:color="auto" w:fill="auto"/>
            <w:vAlign w:val="center"/>
            <w:hideMark/>
          </w:tcPr>
          <w:p w14:paraId="60BE6785"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Бюджетные инвестиции </w:t>
            </w:r>
          </w:p>
        </w:tc>
        <w:tc>
          <w:tcPr>
            <w:tcW w:w="1134" w:type="dxa"/>
            <w:shd w:val="clear" w:color="auto" w:fill="auto"/>
            <w:vAlign w:val="center"/>
            <w:hideMark/>
          </w:tcPr>
          <w:p w14:paraId="0396413F"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410</w:t>
            </w:r>
          </w:p>
        </w:tc>
        <w:tc>
          <w:tcPr>
            <w:tcW w:w="1134" w:type="dxa"/>
            <w:shd w:val="clear" w:color="auto" w:fill="auto"/>
            <w:vAlign w:val="center"/>
          </w:tcPr>
          <w:p w14:paraId="3651BEE4"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3 890,4</w:t>
            </w:r>
          </w:p>
        </w:tc>
        <w:tc>
          <w:tcPr>
            <w:tcW w:w="1159" w:type="dxa"/>
            <w:shd w:val="clear" w:color="auto" w:fill="auto"/>
            <w:vAlign w:val="center"/>
          </w:tcPr>
          <w:p w14:paraId="791502B9"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3 877,4</w:t>
            </w:r>
          </w:p>
        </w:tc>
        <w:tc>
          <w:tcPr>
            <w:tcW w:w="1559" w:type="dxa"/>
            <w:shd w:val="clear" w:color="auto" w:fill="auto"/>
            <w:vAlign w:val="center"/>
          </w:tcPr>
          <w:p w14:paraId="36166181"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99,7</w:t>
            </w:r>
          </w:p>
        </w:tc>
      </w:tr>
      <w:tr w:rsidR="00FD7B0B" w:rsidRPr="00FD7B0B" w14:paraId="29429B8D" w14:textId="77777777" w:rsidTr="002A3B24">
        <w:trPr>
          <w:trHeight w:val="220"/>
        </w:trPr>
        <w:tc>
          <w:tcPr>
            <w:tcW w:w="4551" w:type="dxa"/>
            <w:shd w:val="clear" w:color="auto" w:fill="auto"/>
            <w:vAlign w:val="center"/>
            <w:hideMark/>
          </w:tcPr>
          <w:p w14:paraId="1543D373"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Межбюджетные трансферты</w:t>
            </w:r>
          </w:p>
        </w:tc>
        <w:tc>
          <w:tcPr>
            <w:tcW w:w="1134" w:type="dxa"/>
            <w:shd w:val="clear" w:color="auto" w:fill="auto"/>
            <w:vAlign w:val="center"/>
            <w:hideMark/>
          </w:tcPr>
          <w:p w14:paraId="6613A430"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500 (520,530)</w:t>
            </w:r>
          </w:p>
        </w:tc>
        <w:tc>
          <w:tcPr>
            <w:tcW w:w="1134" w:type="dxa"/>
            <w:shd w:val="clear" w:color="auto" w:fill="auto"/>
            <w:vAlign w:val="center"/>
          </w:tcPr>
          <w:p w14:paraId="1A8EB53C"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72,0</w:t>
            </w:r>
          </w:p>
        </w:tc>
        <w:tc>
          <w:tcPr>
            <w:tcW w:w="1159" w:type="dxa"/>
            <w:shd w:val="clear" w:color="auto" w:fill="auto"/>
            <w:vAlign w:val="center"/>
          </w:tcPr>
          <w:p w14:paraId="6FCB7292"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72,0</w:t>
            </w:r>
          </w:p>
        </w:tc>
        <w:tc>
          <w:tcPr>
            <w:tcW w:w="1559" w:type="dxa"/>
            <w:shd w:val="clear" w:color="auto" w:fill="auto"/>
            <w:vAlign w:val="center"/>
          </w:tcPr>
          <w:p w14:paraId="6AF73895"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100</w:t>
            </w:r>
          </w:p>
        </w:tc>
      </w:tr>
      <w:tr w:rsidR="00FD7B0B" w:rsidRPr="00FD7B0B" w14:paraId="405AAD43" w14:textId="77777777" w:rsidTr="002A3B24">
        <w:trPr>
          <w:trHeight w:val="212"/>
        </w:trPr>
        <w:tc>
          <w:tcPr>
            <w:tcW w:w="4551" w:type="dxa"/>
            <w:shd w:val="clear" w:color="auto" w:fill="auto"/>
            <w:vAlign w:val="center"/>
            <w:hideMark/>
          </w:tcPr>
          <w:p w14:paraId="7B562797"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Субсидии автономным учреждениям</w:t>
            </w:r>
          </w:p>
        </w:tc>
        <w:tc>
          <w:tcPr>
            <w:tcW w:w="1134" w:type="dxa"/>
            <w:shd w:val="clear" w:color="auto" w:fill="auto"/>
            <w:vAlign w:val="center"/>
            <w:hideMark/>
          </w:tcPr>
          <w:p w14:paraId="3339D4FA"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600  (620)</w:t>
            </w:r>
          </w:p>
        </w:tc>
        <w:tc>
          <w:tcPr>
            <w:tcW w:w="1134" w:type="dxa"/>
            <w:shd w:val="clear" w:color="auto" w:fill="auto"/>
            <w:vAlign w:val="center"/>
          </w:tcPr>
          <w:p w14:paraId="4CAC3DE1"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41,0</w:t>
            </w:r>
          </w:p>
        </w:tc>
        <w:tc>
          <w:tcPr>
            <w:tcW w:w="1159" w:type="dxa"/>
            <w:shd w:val="clear" w:color="auto" w:fill="auto"/>
            <w:vAlign w:val="center"/>
          </w:tcPr>
          <w:p w14:paraId="06CED063"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41,0</w:t>
            </w:r>
          </w:p>
        </w:tc>
        <w:tc>
          <w:tcPr>
            <w:tcW w:w="1559" w:type="dxa"/>
            <w:shd w:val="clear" w:color="auto" w:fill="auto"/>
            <w:vAlign w:val="center"/>
          </w:tcPr>
          <w:p w14:paraId="471D0BCE"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100</w:t>
            </w:r>
          </w:p>
        </w:tc>
      </w:tr>
      <w:tr w:rsidR="00FD7B0B" w:rsidRPr="00FD7B0B" w14:paraId="2520D314" w14:textId="77777777" w:rsidTr="002A3B24">
        <w:trPr>
          <w:trHeight w:hRule="exact" w:val="255"/>
        </w:trPr>
        <w:tc>
          <w:tcPr>
            <w:tcW w:w="4551" w:type="dxa"/>
            <w:shd w:val="clear" w:color="auto" w:fill="auto"/>
            <w:vAlign w:val="center"/>
            <w:hideMark/>
          </w:tcPr>
          <w:p w14:paraId="71B5AB7E"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Иные бюджетные ассигнования</w:t>
            </w:r>
          </w:p>
        </w:tc>
        <w:tc>
          <w:tcPr>
            <w:tcW w:w="1134" w:type="dxa"/>
            <w:shd w:val="clear" w:color="auto" w:fill="auto"/>
            <w:vAlign w:val="center"/>
            <w:hideMark/>
          </w:tcPr>
          <w:p w14:paraId="6180FDE7"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800</w:t>
            </w:r>
          </w:p>
        </w:tc>
        <w:tc>
          <w:tcPr>
            <w:tcW w:w="1134" w:type="dxa"/>
            <w:shd w:val="clear" w:color="auto" w:fill="auto"/>
            <w:vAlign w:val="center"/>
          </w:tcPr>
          <w:p w14:paraId="2C996DF2"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100,3</w:t>
            </w:r>
          </w:p>
        </w:tc>
        <w:tc>
          <w:tcPr>
            <w:tcW w:w="1159" w:type="dxa"/>
            <w:shd w:val="clear" w:color="auto" w:fill="auto"/>
            <w:vAlign w:val="center"/>
          </w:tcPr>
          <w:p w14:paraId="151BAD64"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100,3</w:t>
            </w:r>
          </w:p>
        </w:tc>
        <w:tc>
          <w:tcPr>
            <w:tcW w:w="1559" w:type="dxa"/>
            <w:shd w:val="clear" w:color="auto" w:fill="auto"/>
            <w:vAlign w:val="center"/>
          </w:tcPr>
          <w:p w14:paraId="61D78BF3"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100</w:t>
            </w:r>
          </w:p>
        </w:tc>
      </w:tr>
      <w:tr w:rsidR="00FD7B0B" w:rsidRPr="00FD7B0B" w14:paraId="2000F77B" w14:textId="77777777" w:rsidTr="002A3B24">
        <w:trPr>
          <w:trHeight w:hRule="exact" w:val="255"/>
        </w:trPr>
        <w:tc>
          <w:tcPr>
            <w:tcW w:w="4551" w:type="dxa"/>
            <w:shd w:val="clear" w:color="auto" w:fill="auto"/>
            <w:vAlign w:val="center"/>
          </w:tcPr>
          <w:p w14:paraId="774E6C05" w14:textId="77777777" w:rsidR="002A3B24" w:rsidRPr="00FD7B0B" w:rsidRDefault="002A3B24" w:rsidP="002A3B24">
            <w:pPr>
              <w:spacing w:after="0" w:line="240" w:lineRule="auto"/>
              <w:rPr>
                <w:rFonts w:ascii="Times New Roman" w:eastAsia="Times New Roman" w:hAnsi="Times New Roman"/>
                <w:b/>
                <w:sz w:val="20"/>
                <w:szCs w:val="20"/>
                <w:lang w:eastAsia="ru-RU"/>
              </w:rPr>
            </w:pPr>
            <w:r w:rsidRPr="00FD7B0B">
              <w:rPr>
                <w:rFonts w:ascii="Times New Roman" w:eastAsia="Times New Roman" w:hAnsi="Times New Roman"/>
                <w:b/>
                <w:sz w:val="20"/>
                <w:szCs w:val="20"/>
                <w:lang w:eastAsia="ru-RU"/>
              </w:rPr>
              <w:t>2. Министерство ТЭК и ЖКХ АО</w:t>
            </w:r>
          </w:p>
        </w:tc>
        <w:tc>
          <w:tcPr>
            <w:tcW w:w="1134" w:type="dxa"/>
            <w:shd w:val="clear" w:color="auto" w:fill="auto"/>
            <w:vAlign w:val="center"/>
          </w:tcPr>
          <w:p w14:paraId="16930025" w14:textId="77777777" w:rsidR="002A3B24" w:rsidRPr="00FD7B0B" w:rsidRDefault="002A3B24" w:rsidP="002A3B24">
            <w:pPr>
              <w:spacing w:after="0" w:line="240" w:lineRule="auto"/>
              <w:jc w:val="center"/>
              <w:rPr>
                <w:rFonts w:ascii="Times New Roman" w:eastAsia="Times New Roman" w:hAnsi="Times New Roman"/>
                <w:b/>
                <w:sz w:val="20"/>
                <w:szCs w:val="20"/>
                <w:lang w:eastAsia="ru-RU"/>
              </w:rPr>
            </w:pPr>
            <w:r w:rsidRPr="00FD7B0B">
              <w:rPr>
                <w:rFonts w:ascii="Times New Roman" w:eastAsia="Times New Roman" w:hAnsi="Times New Roman"/>
                <w:b/>
                <w:bCs/>
                <w:sz w:val="20"/>
                <w:szCs w:val="20"/>
                <w:lang w:eastAsia="ru-RU"/>
              </w:rPr>
              <w:t>х</w:t>
            </w:r>
          </w:p>
        </w:tc>
        <w:tc>
          <w:tcPr>
            <w:tcW w:w="1134" w:type="dxa"/>
            <w:shd w:val="clear" w:color="auto" w:fill="auto"/>
            <w:vAlign w:val="center"/>
          </w:tcPr>
          <w:p w14:paraId="20793687" w14:textId="77777777" w:rsidR="002A3B24" w:rsidRPr="00FD7B0B" w:rsidRDefault="002A3B24" w:rsidP="002A3B24">
            <w:pPr>
              <w:spacing w:after="0" w:line="240" w:lineRule="auto"/>
              <w:jc w:val="center"/>
              <w:rPr>
                <w:rFonts w:ascii="Times New Roman" w:eastAsia="Times New Roman" w:hAnsi="Times New Roman"/>
                <w:b/>
                <w:sz w:val="20"/>
                <w:szCs w:val="20"/>
                <w:lang w:eastAsia="ru-RU"/>
              </w:rPr>
            </w:pPr>
            <w:r w:rsidRPr="00FD7B0B">
              <w:rPr>
                <w:rFonts w:ascii="Times New Roman" w:eastAsia="Times New Roman" w:hAnsi="Times New Roman"/>
                <w:b/>
                <w:sz w:val="20"/>
                <w:szCs w:val="20"/>
                <w:lang w:eastAsia="ru-RU"/>
              </w:rPr>
              <w:t>626,5</w:t>
            </w:r>
          </w:p>
        </w:tc>
        <w:tc>
          <w:tcPr>
            <w:tcW w:w="1159" w:type="dxa"/>
            <w:shd w:val="clear" w:color="auto" w:fill="auto"/>
            <w:vAlign w:val="center"/>
          </w:tcPr>
          <w:p w14:paraId="652D9D87" w14:textId="77777777" w:rsidR="002A3B24" w:rsidRPr="00FD7B0B" w:rsidRDefault="002A3B24" w:rsidP="002A3B24">
            <w:pPr>
              <w:spacing w:after="0" w:line="240" w:lineRule="auto"/>
              <w:jc w:val="center"/>
              <w:rPr>
                <w:rFonts w:ascii="Times New Roman" w:eastAsia="Times New Roman" w:hAnsi="Times New Roman"/>
                <w:b/>
                <w:sz w:val="20"/>
                <w:szCs w:val="20"/>
                <w:lang w:eastAsia="ru-RU"/>
              </w:rPr>
            </w:pPr>
            <w:r w:rsidRPr="00FD7B0B">
              <w:rPr>
                <w:rFonts w:ascii="Times New Roman" w:eastAsia="Times New Roman" w:hAnsi="Times New Roman"/>
                <w:b/>
                <w:sz w:val="20"/>
                <w:szCs w:val="20"/>
                <w:lang w:eastAsia="ru-RU"/>
              </w:rPr>
              <w:t>623,4</w:t>
            </w:r>
          </w:p>
        </w:tc>
        <w:tc>
          <w:tcPr>
            <w:tcW w:w="1559" w:type="dxa"/>
            <w:shd w:val="clear" w:color="auto" w:fill="auto"/>
            <w:vAlign w:val="center"/>
          </w:tcPr>
          <w:p w14:paraId="22011EA2" w14:textId="77777777" w:rsidR="002A3B24" w:rsidRPr="00FD7B0B" w:rsidRDefault="002A3B24" w:rsidP="002A3B24">
            <w:pPr>
              <w:spacing w:after="0" w:line="240" w:lineRule="auto"/>
              <w:jc w:val="center"/>
              <w:rPr>
                <w:rFonts w:ascii="Times New Roman" w:eastAsia="Times New Roman" w:hAnsi="Times New Roman"/>
                <w:b/>
                <w:i/>
                <w:iCs/>
                <w:sz w:val="20"/>
                <w:szCs w:val="20"/>
                <w:lang w:eastAsia="ru-RU"/>
              </w:rPr>
            </w:pPr>
            <w:r w:rsidRPr="00FD7B0B">
              <w:rPr>
                <w:rFonts w:ascii="Times New Roman" w:eastAsia="Times New Roman" w:hAnsi="Times New Roman"/>
                <w:b/>
                <w:i/>
                <w:iCs/>
                <w:sz w:val="20"/>
                <w:szCs w:val="20"/>
                <w:lang w:eastAsia="ru-RU"/>
              </w:rPr>
              <w:t>99,5</w:t>
            </w:r>
          </w:p>
        </w:tc>
      </w:tr>
      <w:tr w:rsidR="00FD7B0B" w:rsidRPr="00FD7B0B" w14:paraId="0DDD202E" w14:textId="77777777" w:rsidTr="00CD2BA2">
        <w:trPr>
          <w:trHeight w:hRule="exact" w:val="436"/>
        </w:trPr>
        <w:tc>
          <w:tcPr>
            <w:tcW w:w="4551" w:type="dxa"/>
            <w:shd w:val="clear" w:color="auto" w:fill="auto"/>
            <w:vAlign w:val="center"/>
          </w:tcPr>
          <w:p w14:paraId="60230039"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Межбюджетные трансферты</w:t>
            </w:r>
          </w:p>
        </w:tc>
        <w:tc>
          <w:tcPr>
            <w:tcW w:w="1134" w:type="dxa"/>
            <w:shd w:val="clear" w:color="auto" w:fill="auto"/>
            <w:vAlign w:val="center"/>
          </w:tcPr>
          <w:p w14:paraId="39CC830B"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500 (520,530)</w:t>
            </w:r>
          </w:p>
        </w:tc>
        <w:tc>
          <w:tcPr>
            <w:tcW w:w="1134" w:type="dxa"/>
            <w:shd w:val="clear" w:color="auto" w:fill="auto"/>
            <w:vAlign w:val="center"/>
          </w:tcPr>
          <w:p w14:paraId="75CC0BE5"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626,5</w:t>
            </w:r>
          </w:p>
        </w:tc>
        <w:tc>
          <w:tcPr>
            <w:tcW w:w="1159" w:type="dxa"/>
            <w:shd w:val="clear" w:color="auto" w:fill="auto"/>
            <w:vAlign w:val="center"/>
          </w:tcPr>
          <w:p w14:paraId="2FF1344C"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623,4</w:t>
            </w:r>
          </w:p>
        </w:tc>
        <w:tc>
          <w:tcPr>
            <w:tcW w:w="1559" w:type="dxa"/>
            <w:shd w:val="clear" w:color="auto" w:fill="auto"/>
            <w:vAlign w:val="center"/>
          </w:tcPr>
          <w:p w14:paraId="537014DC"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99,5</w:t>
            </w:r>
          </w:p>
        </w:tc>
      </w:tr>
      <w:tr w:rsidR="00FD7B0B" w:rsidRPr="00FD7B0B" w14:paraId="2EABEDC2" w14:textId="77777777" w:rsidTr="002A3B24">
        <w:trPr>
          <w:trHeight w:hRule="exact" w:val="255"/>
        </w:trPr>
        <w:tc>
          <w:tcPr>
            <w:tcW w:w="4551" w:type="dxa"/>
            <w:shd w:val="clear" w:color="auto" w:fill="auto"/>
            <w:vAlign w:val="center"/>
            <w:hideMark/>
          </w:tcPr>
          <w:p w14:paraId="77283988" w14:textId="77777777" w:rsidR="002A3B24" w:rsidRPr="00FD7B0B" w:rsidRDefault="002A3B24" w:rsidP="002A3B24">
            <w:pPr>
              <w:spacing w:after="0" w:line="240" w:lineRule="auto"/>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3. Минздрав АО</w:t>
            </w:r>
          </w:p>
        </w:tc>
        <w:tc>
          <w:tcPr>
            <w:tcW w:w="1134" w:type="dxa"/>
            <w:shd w:val="clear" w:color="auto" w:fill="auto"/>
            <w:vAlign w:val="center"/>
            <w:hideMark/>
          </w:tcPr>
          <w:p w14:paraId="5D3418C8"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х</w:t>
            </w:r>
          </w:p>
        </w:tc>
        <w:tc>
          <w:tcPr>
            <w:tcW w:w="1134" w:type="dxa"/>
            <w:shd w:val="clear" w:color="auto" w:fill="auto"/>
            <w:vAlign w:val="center"/>
          </w:tcPr>
          <w:p w14:paraId="32A78C98"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43,15</w:t>
            </w:r>
          </w:p>
        </w:tc>
        <w:tc>
          <w:tcPr>
            <w:tcW w:w="1159" w:type="dxa"/>
            <w:shd w:val="clear" w:color="auto" w:fill="auto"/>
            <w:vAlign w:val="center"/>
          </w:tcPr>
          <w:p w14:paraId="60C97830"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42,2</w:t>
            </w:r>
          </w:p>
        </w:tc>
        <w:tc>
          <w:tcPr>
            <w:tcW w:w="1559" w:type="dxa"/>
            <w:shd w:val="clear" w:color="auto" w:fill="auto"/>
            <w:vAlign w:val="center"/>
          </w:tcPr>
          <w:p w14:paraId="2C14A287" w14:textId="77777777" w:rsidR="002A3B24" w:rsidRPr="00FD7B0B" w:rsidRDefault="002A3B24" w:rsidP="002A3B24">
            <w:pPr>
              <w:spacing w:after="0" w:line="240" w:lineRule="auto"/>
              <w:jc w:val="center"/>
              <w:rPr>
                <w:rFonts w:ascii="Times New Roman" w:eastAsia="Times New Roman" w:hAnsi="Times New Roman"/>
                <w:b/>
                <w:bCs/>
                <w:i/>
                <w:iCs/>
                <w:sz w:val="20"/>
                <w:szCs w:val="20"/>
                <w:lang w:eastAsia="ru-RU"/>
              </w:rPr>
            </w:pPr>
            <w:r w:rsidRPr="00FD7B0B">
              <w:rPr>
                <w:rFonts w:ascii="Times New Roman" w:eastAsia="Times New Roman" w:hAnsi="Times New Roman"/>
                <w:b/>
                <w:bCs/>
                <w:i/>
                <w:iCs/>
                <w:sz w:val="20"/>
                <w:szCs w:val="20"/>
                <w:lang w:eastAsia="ru-RU"/>
              </w:rPr>
              <w:t>97,8</w:t>
            </w:r>
          </w:p>
        </w:tc>
      </w:tr>
      <w:tr w:rsidR="00FD7B0B" w:rsidRPr="00FD7B0B" w14:paraId="79D76D8F" w14:textId="77777777" w:rsidTr="002A3B24">
        <w:trPr>
          <w:trHeight w:val="402"/>
        </w:trPr>
        <w:tc>
          <w:tcPr>
            <w:tcW w:w="4551" w:type="dxa"/>
            <w:shd w:val="clear" w:color="auto" w:fill="auto"/>
            <w:vAlign w:val="center"/>
            <w:hideMark/>
          </w:tcPr>
          <w:p w14:paraId="14CD07B7"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Капитальные вложения в объекты государственной (муниципальной) собственности</w:t>
            </w:r>
          </w:p>
        </w:tc>
        <w:tc>
          <w:tcPr>
            <w:tcW w:w="1134" w:type="dxa"/>
            <w:shd w:val="clear" w:color="auto" w:fill="auto"/>
            <w:vAlign w:val="center"/>
            <w:hideMark/>
          </w:tcPr>
          <w:p w14:paraId="18ADC1F6"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400 </w:t>
            </w:r>
          </w:p>
          <w:p w14:paraId="5CF6C2F9"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(460)</w:t>
            </w:r>
          </w:p>
        </w:tc>
        <w:tc>
          <w:tcPr>
            <w:tcW w:w="1134" w:type="dxa"/>
            <w:shd w:val="clear" w:color="auto" w:fill="auto"/>
            <w:vAlign w:val="center"/>
          </w:tcPr>
          <w:p w14:paraId="01A2A4AD"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43,15</w:t>
            </w:r>
          </w:p>
        </w:tc>
        <w:tc>
          <w:tcPr>
            <w:tcW w:w="1159" w:type="dxa"/>
            <w:shd w:val="clear" w:color="auto" w:fill="auto"/>
            <w:vAlign w:val="center"/>
          </w:tcPr>
          <w:p w14:paraId="579428A2"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42,2</w:t>
            </w:r>
          </w:p>
        </w:tc>
        <w:tc>
          <w:tcPr>
            <w:tcW w:w="1559" w:type="dxa"/>
            <w:shd w:val="clear" w:color="auto" w:fill="auto"/>
            <w:vAlign w:val="center"/>
          </w:tcPr>
          <w:p w14:paraId="69E7B9FF"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97,8</w:t>
            </w:r>
          </w:p>
        </w:tc>
      </w:tr>
      <w:tr w:rsidR="00FD7B0B" w:rsidRPr="00FD7B0B" w14:paraId="09AC5B2B" w14:textId="77777777" w:rsidTr="007C27DD">
        <w:trPr>
          <w:trHeight w:val="230"/>
        </w:trPr>
        <w:tc>
          <w:tcPr>
            <w:tcW w:w="4551" w:type="dxa"/>
            <w:shd w:val="clear" w:color="auto" w:fill="auto"/>
            <w:vAlign w:val="center"/>
          </w:tcPr>
          <w:p w14:paraId="589305CD" w14:textId="77777777" w:rsidR="002A3B24" w:rsidRPr="00FD7B0B" w:rsidRDefault="002A3B24" w:rsidP="002A3B24">
            <w:pPr>
              <w:spacing w:after="0" w:line="240" w:lineRule="auto"/>
              <w:rPr>
                <w:rFonts w:ascii="Times New Roman" w:eastAsia="Times New Roman" w:hAnsi="Times New Roman"/>
                <w:b/>
                <w:sz w:val="20"/>
                <w:szCs w:val="20"/>
                <w:lang w:eastAsia="ru-RU"/>
              </w:rPr>
            </w:pPr>
            <w:r w:rsidRPr="00FD7B0B">
              <w:rPr>
                <w:rFonts w:ascii="Times New Roman" w:eastAsia="Times New Roman" w:hAnsi="Times New Roman"/>
                <w:b/>
                <w:sz w:val="20"/>
                <w:szCs w:val="20"/>
                <w:lang w:eastAsia="ru-RU"/>
              </w:rPr>
              <w:t>4. Минтрудсоцразвития АО</w:t>
            </w:r>
          </w:p>
        </w:tc>
        <w:tc>
          <w:tcPr>
            <w:tcW w:w="1134" w:type="dxa"/>
            <w:shd w:val="clear" w:color="auto" w:fill="auto"/>
            <w:vAlign w:val="center"/>
          </w:tcPr>
          <w:p w14:paraId="1B52773F" w14:textId="77777777" w:rsidR="002A3B24" w:rsidRPr="00FD7B0B" w:rsidRDefault="002A3B24" w:rsidP="002A3B24">
            <w:pPr>
              <w:spacing w:after="0" w:line="240" w:lineRule="auto"/>
              <w:jc w:val="center"/>
              <w:rPr>
                <w:rFonts w:ascii="Times New Roman" w:eastAsia="Times New Roman" w:hAnsi="Times New Roman"/>
                <w:b/>
                <w:sz w:val="20"/>
                <w:szCs w:val="20"/>
                <w:lang w:eastAsia="ru-RU"/>
              </w:rPr>
            </w:pPr>
            <w:r w:rsidRPr="00FD7B0B">
              <w:rPr>
                <w:rFonts w:ascii="Times New Roman" w:eastAsia="Times New Roman" w:hAnsi="Times New Roman"/>
                <w:b/>
                <w:bCs/>
                <w:sz w:val="20"/>
                <w:szCs w:val="20"/>
                <w:lang w:eastAsia="ru-RU"/>
              </w:rPr>
              <w:t>х</w:t>
            </w:r>
          </w:p>
        </w:tc>
        <w:tc>
          <w:tcPr>
            <w:tcW w:w="1134" w:type="dxa"/>
            <w:shd w:val="clear" w:color="auto" w:fill="auto"/>
            <w:vAlign w:val="center"/>
          </w:tcPr>
          <w:p w14:paraId="45B56355" w14:textId="77777777" w:rsidR="002A3B24" w:rsidRPr="00FD7B0B" w:rsidRDefault="002A3B24" w:rsidP="002A3B24">
            <w:pPr>
              <w:spacing w:after="0" w:line="240" w:lineRule="auto"/>
              <w:jc w:val="center"/>
              <w:rPr>
                <w:rFonts w:ascii="Times New Roman" w:eastAsia="Times New Roman" w:hAnsi="Times New Roman"/>
                <w:b/>
                <w:sz w:val="20"/>
                <w:szCs w:val="20"/>
                <w:lang w:eastAsia="ru-RU"/>
              </w:rPr>
            </w:pPr>
            <w:r w:rsidRPr="00FD7B0B">
              <w:rPr>
                <w:rFonts w:ascii="Times New Roman" w:eastAsia="Times New Roman" w:hAnsi="Times New Roman"/>
                <w:b/>
                <w:sz w:val="20"/>
                <w:szCs w:val="20"/>
                <w:lang w:eastAsia="ru-RU"/>
              </w:rPr>
              <w:t>583,4</w:t>
            </w:r>
          </w:p>
        </w:tc>
        <w:tc>
          <w:tcPr>
            <w:tcW w:w="1159" w:type="dxa"/>
            <w:shd w:val="clear" w:color="auto" w:fill="auto"/>
            <w:vAlign w:val="center"/>
          </w:tcPr>
          <w:p w14:paraId="5AB09D9A" w14:textId="77777777" w:rsidR="002A3B24" w:rsidRPr="00FD7B0B" w:rsidRDefault="002A3B24" w:rsidP="002A3B24">
            <w:pPr>
              <w:spacing w:after="0" w:line="240" w:lineRule="auto"/>
              <w:jc w:val="center"/>
              <w:rPr>
                <w:rFonts w:ascii="Times New Roman" w:eastAsia="Times New Roman" w:hAnsi="Times New Roman"/>
                <w:b/>
                <w:sz w:val="20"/>
                <w:szCs w:val="20"/>
                <w:lang w:eastAsia="ru-RU"/>
              </w:rPr>
            </w:pPr>
            <w:r w:rsidRPr="00FD7B0B">
              <w:rPr>
                <w:rFonts w:ascii="Times New Roman" w:eastAsia="Times New Roman" w:hAnsi="Times New Roman"/>
                <w:b/>
                <w:sz w:val="20"/>
                <w:szCs w:val="20"/>
                <w:lang w:eastAsia="ru-RU"/>
              </w:rPr>
              <w:t>571,5</w:t>
            </w:r>
          </w:p>
        </w:tc>
        <w:tc>
          <w:tcPr>
            <w:tcW w:w="1559" w:type="dxa"/>
            <w:shd w:val="clear" w:color="auto" w:fill="auto"/>
            <w:vAlign w:val="center"/>
          </w:tcPr>
          <w:p w14:paraId="449B0219" w14:textId="77777777" w:rsidR="002A3B24" w:rsidRPr="00FD7B0B" w:rsidRDefault="002A3B24" w:rsidP="002A3B24">
            <w:pPr>
              <w:spacing w:after="0" w:line="240" w:lineRule="auto"/>
              <w:jc w:val="center"/>
              <w:rPr>
                <w:rFonts w:ascii="Times New Roman" w:eastAsia="Times New Roman" w:hAnsi="Times New Roman"/>
                <w:b/>
                <w:i/>
                <w:iCs/>
                <w:sz w:val="20"/>
                <w:szCs w:val="20"/>
                <w:lang w:eastAsia="ru-RU"/>
              </w:rPr>
            </w:pPr>
            <w:r w:rsidRPr="00FD7B0B">
              <w:rPr>
                <w:rFonts w:ascii="Times New Roman" w:eastAsia="Times New Roman" w:hAnsi="Times New Roman"/>
                <w:b/>
                <w:i/>
                <w:iCs/>
                <w:sz w:val="20"/>
                <w:szCs w:val="20"/>
                <w:lang w:eastAsia="ru-RU"/>
              </w:rPr>
              <w:t>98,0</w:t>
            </w:r>
          </w:p>
        </w:tc>
      </w:tr>
      <w:tr w:rsidR="00FD7B0B" w:rsidRPr="00FD7B0B" w14:paraId="28905228" w14:textId="77777777" w:rsidTr="002A3B24">
        <w:trPr>
          <w:trHeight w:val="226"/>
        </w:trPr>
        <w:tc>
          <w:tcPr>
            <w:tcW w:w="4551" w:type="dxa"/>
            <w:shd w:val="clear" w:color="auto" w:fill="auto"/>
            <w:vAlign w:val="center"/>
          </w:tcPr>
          <w:p w14:paraId="34322B2E"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Межбюджетные трансферты</w:t>
            </w:r>
          </w:p>
        </w:tc>
        <w:tc>
          <w:tcPr>
            <w:tcW w:w="1134" w:type="dxa"/>
            <w:shd w:val="clear" w:color="auto" w:fill="auto"/>
            <w:vAlign w:val="center"/>
          </w:tcPr>
          <w:p w14:paraId="03AF6426"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500 (530)</w:t>
            </w:r>
          </w:p>
        </w:tc>
        <w:tc>
          <w:tcPr>
            <w:tcW w:w="1134" w:type="dxa"/>
            <w:shd w:val="clear" w:color="auto" w:fill="auto"/>
            <w:vAlign w:val="center"/>
          </w:tcPr>
          <w:p w14:paraId="7AA1B083"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583,4</w:t>
            </w:r>
          </w:p>
        </w:tc>
        <w:tc>
          <w:tcPr>
            <w:tcW w:w="1159" w:type="dxa"/>
            <w:shd w:val="clear" w:color="auto" w:fill="auto"/>
            <w:vAlign w:val="center"/>
          </w:tcPr>
          <w:p w14:paraId="27FD7FF6"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571,5</w:t>
            </w:r>
          </w:p>
        </w:tc>
        <w:tc>
          <w:tcPr>
            <w:tcW w:w="1559" w:type="dxa"/>
            <w:shd w:val="clear" w:color="auto" w:fill="auto"/>
            <w:vAlign w:val="center"/>
          </w:tcPr>
          <w:p w14:paraId="4322C946"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98,0</w:t>
            </w:r>
          </w:p>
        </w:tc>
      </w:tr>
      <w:tr w:rsidR="00FD7B0B" w:rsidRPr="00FD7B0B" w14:paraId="70CBC634" w14:textId="77777777" w:rsidTr="002A3B24">
        <w:trPr>
          <w:trHeight w:hRule="exact" w:val="255"/>
        </w:trPr>
        <w:tc>
          <w:tcPr>
            <w:tcW w:w="4551" w:type="dxa"/>
            <w:shd w:val="clear" w:color="auto" w:fill="auto"/>
            <w:vAlign w:val="center"/>
            <w:hideMark/>
          </w:tcPr>
          <w:p w14:paraId="43AC8633" w14:textId="77777777" w:rsidR="002A3B24" w:rsidRPr="00FD7B0B" w:rsidRDefault="002A3B24" w:rsidP="002A3B24">
            <w:pPr>
              <w:spacing w:after="0" w:line="240" w:lineRule="auto"/>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5. Агентство по делам молодежи АО</w:t>
            </w:r>
          </w:p>
        </w:tc>
        <w:tc>
          <w:tcPr>
            <w:tcW w:w="1134" w:type="dxa"/>
            <w:shd w:val="clear" w:color="auto" w:fill="auto"/>
            <w:vAlign w:val="center"/>
            <w:hideMark/>
          </w:tcPr>
          <w:p w14:paraId="4CA518CF"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х</w:t>
            </w:r>
          </w:p>
        </w:tc>
        <w:tc>
          <w:tcPr>
            <w:tcW w:w="1134" w:type="dxa"/>
            <w:shd w:val="clear" w:color="auto" w:fill="auto"/>
            <w:vAlign w:val="center"/>
          </w:tcPr>
          <w:p w14:paraId="74B5A592"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98,6</w:t>
            </w:r>
          </w:p>
        </w:tc>
        <w:tc>
          <w:tcPr>
            <w:tcW w:w="1159" w:type="dxa"/>
            <w:shd w:val="clear" w:color="auto" w:fill="auto"/>
            <w:vAlign w:val="center"/>
          </w:tcPr>
          <w:p w14:paraId="779DD336"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96,99</w:t>
            </w:r>
          </w:p>
        </w:tc>
        <w:tc>
          <w:tcPr>
            <w:tcW w:w="1559" w:type="dxa"/>
            <w:shd w:val="clear" w:color="auto" w:fill="auto"/>
            <w:vAlign w:val="center"/>
          </w:tcPr>
          <w:p w14:paraId="7CBCC483" w14:textId="77777777" w:rsidR="002A3B24" w:rsidRPr="00FD7B0B" w:rsidRDefault="002A3B24" w:rsidP="002A3B24">
            <w:pPr>
              <w:spacing w:after="0" w:line="240" w:lineRule="auto"/>
              <w:jc w:val="center"/>
              <w:rPr>
                <w:rFonts w:ascii="Times New Roman" w:eastAsia="Times New Roman" w:hAnsi="Times New Roman"/>
                <w:b/>
                <w:bCs/>
                <w:i/>
                <w:iCs/>
                <w:sz w:val="20"/>
                <w:szCs w:val="20"/>
                <w:lang w:eastAsia="ru-RU"/>
              </w:rPr>
            </w:pPr>
            <w:r w:rsidRPr="00FD7B0B">
              <w:rPr>
                <w:rFonts w:ascii="Times New Roman" w:eastAsia="Times New Roman" w:hAnsi="Times New Roman"/>
                <w:b/>
                <w:bCs/>
                <w:i/>
                <w:iCs/>
                <w:sz w:val="20"/>
                <w:szCs w:val="20"/>
                <w:lang w:eastAsia="ru-RU"/>
              </w:rPr>
              <w:t>98,4</w:t>
            </w:r>
          </w:p>
        </w:tc>
      </w:tr>
      <w:tr w:rsidR="00FD7B0B" w:rsidRPr="00FD7B0B" w14:paraId="7211D337" w14:textId="77777777" w:rsidTr="002A3B24">
        <w:trPr>
          <w:trHeight w:hRule="exact" w:val="255"/>
        </w:trPr>
        <w:tc>
          <w:tcPr>
            <w:tcW w:w="4551" w:type="dxa"/>
            <w:shd w:val="clear" w:color="auto" w:fill="auto"/>
            <w:vAlign w:val="center"/>
            <w:hideMark/>
          </w:tcPr>
          <w:p w14:paraId="547FB964"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Межбюджетные трансферты</w:t>
            </w:r>
          </w:p>
        </w:tc>
        <w:tc>
          <w:tcPr>
            <w:tcW w:w="1134" w:type="dxa"/>
            <w:shd w:val="clear" w:color="auto" w:fill="auto"/>
            <w:vAlign w:val="center"/>
            <w:hideMark/>
          </w:tcPr>
          <w:p w14:paraId="42F81EF3"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520</w:t>
            </w:r>
          </w:p>
        </w:tc>
        <w:tc>
          <w:tcPr>
            <w:tcW w:w="1134" w:type="dxa"/>
            <w:shd w:val="clear" w:color="auto" w:fill="auto"/>
            <w:vAlign w:val="center"/>
          </w:tcPr>
          <w:p w14:paraId="43C82027"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98,6</w:t>
            </w:r>
          </w:p>
        </w:tc>
        <w:tc>
          <w:tcPr>
            <w:tcW w:w="1159" w:type="dxa"/>
            <w:shd w:val="clear" w:color="auto" w:fill="auto"/>
            <w:vAlign w:val="center"/>
          </w:tcPr>
          <w:p w14:paraId="6F8643C5"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96,99</w:t>
            </w:r>
          </w:p>
        </w:tc>
        <w:tc>
          <w:tcPr>
            <w:tcW w:w="1559" w:type="dxa"/>
            <w:shd w:val="clear" w:color="auto" w:fill="auto"/>
            <w:vAlign w:val="center"/>
          </w:tcPr>
          <w:p w14:paraId="0CE2C0F9"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98,4</w:t>
            </w:r>
          </w:p>
        </w:tc>
      </w:tr>
      <w:tr w:rsidR="00FD7B0B" w:rsidRPr="00FD7B0B" w14:paraId="1FB728D6" w14:textId="77777777" w:rsidTr="002A3B24">
        <w:trPr>
          <w:trHeight w:hRule="exact" w:val="255"/>
        </w:trPr>
        <w:tc>
          <w:tcPr>
            <w:tcW w:w="4551" w:type="dxa"/>
            <w:shd w:val="clear" w:color="auto" w:fill="auto"/>
            <w:vAlign w:val="center"/>
            <w:hideMark/>
          </w:tcPr>
          <w:p w14:paraId="30E0DF1D" w14:textId="77777777" w:rsidR="002A3B24" w:rsidRPr="00FD7B0B" w:rsidRDefault="002A3B24" w:rsidP="002A3B24">
            <w:pPr>
              <w:spacing w:after="0" w:line="240" w:lineRule="auto"/>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 xml:space="preserve">4. Инспекция госстройнадзора АО </w:t>
            </w:r>
          </w:p>
        </w:tc>
        <w:tc>
          <w:tcPr>
            <w:tcW w:w="1134" w:type="dxa"/>
            <w:shd w:val="clear" w:color="auto" w:fill="auto"/>
            <w:vAlign w:val="center"/>
            <w:hideMark/>
          </w:tcPr>
          <w:p w14:paraId="3DDC385F"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х</w:t>
            </w:r>
          </w:p>
        </w:tc>
        <w:tc>
          <w:tcPr>
            <w:tcW w:w="1134" w:type="dxa"/>
            <w:shd w:val="clear" w:color="auto" w:fill="auto"/>
            <w:vAlign w:val="center"/>
          </w:tcPr>
          <w:p w14:paraId="446B7060"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45,7</w:t>
            </w:r>
          </w:p>
        </w:tc>
        <w:tc>
          <w:tcPr>
            <w:tcW w:w="1159" w:type="dxa"/>
            <w:shd w:val="clear" w:color="auto" w:fill="auto"/>
            <w:vAlign w:val="center"/>
          </w:tcPr>
          <w:p w14:paraId="68C2E0E0"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45,5</w:t>
            </w:r>
          </w:p>
        </w:tc>
        <w:tc>
          <w:tcPr>
            <w:tcW w:w="1559" w:type="dxa"/>
            <w:shd w:val="clear" w:color="auto" w:fill="auto"/>
            <w:vAlign w:val="center"/>
          </w:tcPr>
          <w:p w14:paraId="1739CE97" w14:textId="77777777" w:rsidR="002A3B24" w:rsidRPr="00FD7B0B" w:rsidRDefault="002A3B24" w:rsidP="002A3B24">
            <w:pPr>
              <w:spacing w:after="0" w:line="240" w:lineRule="auto"/>
              <w:jc w:val="center"/>
              <w:rPr>
                <w:rFonts w:ascii="Times New Roman" w:eastAsia="Times New Roman" w:hAnsi="Times New Roman"/>
                <w:b/>
                <w:bCs/>
                <w:i/>
                <w:iCs/>
                <w:sz w:val="20"/>
                <w:szCs w:val="20"/>
                <w:lang w:eastAsia="ru-RU"/>
              </w:rPr>
            </w:pPr>
            <w:r w:rsidRPr="00FD7B0B">
              <w:rPr>
                <w:rFonts w:ascii="Times New Roman" w:eastAsia="Times New Roman" w:hAnsi="Times New Roman"/>
                <w:b/>
                <w:bCs/>
                <w:i/>
                <w:iCs/>
                <w:sz w:val="20"/>
                <w:szCs w:val="20"/>
                <w:lang w:eastAsia="ru-RU"/>
              </w:rPr>
              <w:t>99,7</w:t>
            </w:r>
          </w:p>
        </w:tc>
      </w:tr>
      <w:tr w:rsidR="00FD7B0B" w:rsidRPr="00FD7B0B" w14:paraId="33A53775" w14:textId="77777777" w:rsidTr="002A3B24">
        <w:trPr>
          <w:trHeight w:hRule="exact" w:val="255"/>
        </w:trPr>
        <w:tc>
          <w:tcPr>
            <w:tcW w:w="4551" w:type="dxa"/>
            <w:shd w:val="clear" w:color="auto" w:fill="auto"/>
            <w:vAlign w:val="center"/>
            <w:hideMark/>
          </w:tcPr>
          <w:p w14:paraId="50A65323"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Расходы на выплаты персоналу</w:t>
            </w:r>
          </w:p>
        </w:tc>
        <w:tc>
          <w:tcPr>
            <w:tcW w:w="1134" w:type="dxa"/>
            <w:shd w:val="clear" w:color="auto" w:fill="auto"/>
            <w:vAlign w:val="center"/>
            <w:hideMark/>
          </w:tcPr>
          <w:p w14:paraId="17D044CD"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w:t>
            </w:r>
          </w:p>
        </w:tc>
        <w:tc>
          <w:tcPr>
            <w:tcW w:w="1134" w:type="dxa"/>
            <w:shd w:val="clear" w:color="auto" w:fill="auto"/>
            <w:vAlign w:val="center"/>
          </w:tcPr>
          <w:p w14:paraId="2BEC3335"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38,1</w:t>
            </w:r>
          </w:p>
        </w:tc>
        <w:tc>
          <w:tcPr>
            <w:tcW w:w="1159" w:type="dxa"/>
            <w:shd w:val="clear" w:color="auto" w:fill="auto"/>
            <w:vAlign w:val="center"/>
          </w:tcPr>
          <w:p w14:paraId="1F753DB7"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37,9</w:t>
            </w:r>
          </w:p>
        </w:tc>
        <w:tc>
          <w:tcPr>
            <w:tcW w:w="1559" w:type="dxa"/>
            <w:shd w:val="clear" w:color="auto" w:fill="auto"/>
            <w:vAlign w:val="center"/>
          </w:tcPr>
          <w:p w14:paraId="6FCD5791"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99,6</w:t>
            </w:r>
          </w:p>
        </w:tc>
      </w:tr>
      <w:tr w:rsidR="00FD7B0B" w:rsidRPr="00FD7B0B" w14:paraId="0C21BF6B" w14:textId="77777777" w:rsidTr="002A3B24">
        <w:trPr>
          <w:trHeight w:val="248"/>
        </w:trPr>
        <w:tc>
          <w:tcPr>
            <w:tcW w:w="4551" w:type="dxa"/>
            <w:shd w:val="clear" w:color="auto" w:fill="auto"/>
            <w:vAlign w:val="center"/>
            <w:hideMark/>
          </w:tcPr>
          <w:p w14:paraId="644D5EFD"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Иные закупки товаров, работ и услуг для обеспечения государственных нужд</w:t>
            </w:r>
          </w:p>
        </w:tc>
        <w:tc>
          <w:tcPr>
            <w:tcW w:w="1134" w:type="dxa"/>
            <w:shd w:val="clear" w:color="auto" w:fill="auto"/>
            <w:vAlign w:val="center"/>
            <w:hideMark/>
          </w:tcPr>
          <w:p w14:paraId="074207CD"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240</w:t>
            </w:r>
          </w:p>
        </w:tc>
        <w:tc>
          <w:tcPr>
            <w:tcW w:w="1134" w:type="dxa"/>
            <w:shd w:val="clear" w:color="auto" w:fill="auto"/>
            <w:vAlign w:val="center"/>
          </w:tcPr>
          <w:p w14:paraId="0B31E891"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4,2</w:t>
            </w:r>
          </w:p>
        </w:tc>
        <w:tc>
          <w:tcPr>
            <w:tcW w:w="1159" w:type="dxa"/>
            <w:shd w:val="clear" w:color="auto" w:fill="auto"/>
            <w:vAlign w:val="center"/>
          </w:tcPr>
          <w:p w14:paraId="14B3B2C8"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4,19</w:t>
            </w:r>
          </w:p>
        </w:tc>
        <w:tc>
          <w:tcPr>
            <w:tcW w:w="1559" w:type="dxa"/>
            <w:shd w:val="clear" w:color="auto" w:fill="auto"/>
            <w:vAlign w:val="center"/>
          </w:tcPr>
          <w:p w14:paraId="4CDE6DA9"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99,6</w:t>
            </w:r>
          </w:p>
        </w:tc>
      </w:tr>
      <w:tr w:rsidR="00FD7B0B" w:rsidRPr="00FD7B0B" w14:paraId="58FBD60C" w14:textId="77777777" w:rsidTr="002A3B24">
        <w:trPr>
          <w:trHeight w:val="765"/>
        </w:trPr>
        <w:tc>
          <w:tcPr>
            <w:tcW w:w="4551" w:type="dxa"/>
            <w:shd w:val="clear" w:color="auto" w:fill="auto"/>
            <w:vAlign w:val="center"/>
            <w:hideMark/>
          </w:tcPr>
          <w:p w14:paraId="05B9293E"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Субсидии некоммерческим организациям (за исключением государственных (муниципальных) учреждений, государственных корпораций (компаний), публично-правовых компаний)</w:t>
            </w:r>
          </w:p>
        </w:tc>
        <w:tc>
          <w:tcPr>
            <w:tcW w:w="1134" w:type="dxa"/>
            <w:shd w:val="clear" w:color="auto" w:fill="auto"/>
            <w:vAlign w:val="center"/>
            <w:hideMark/>
          </w:tcPr>
          <w:p w14:paraId="2B6FD9EF"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600  </w:t>
            </w:r>
          </w:p>
        </w:tc>
        <w:tc>
          <w:tcPr>
            <w:tcW w:w="1134" w:type="dxa"/>
            <w:shd w:val="clear" w:color="auto" w:fill="auto"/>
            <w:vAlign w:val="center"/>
          </w:tcPr>
          <w:p w14:paraId="7D087851"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3,4</w:t>
            </w:r>
          </w:p>
        </w:tc>
        <w:tc>
          <w:tcPr>
            <w:tcW w:w="1159" w:type="dxa"/>
            <w:shd w:val="clear" w:color="auto" w:fill="auto"/>
            <w:vAlign w:val="center"/>
          </w:tcPr>
          <w:p w14:paraId="48FCBB1A"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3,4</w:t>
            </w:r>
          </w:p>
        </w:tc>
        <w:tc>
          <w:tcPr>
            <w:tcW w:w="1559" w:type="dxa"/>
            <w:shd w:val="clear" w:color="auto" w:fill="auto"/>
            <w:vAlign w:val="center"/>
          </w:tcPr>
          <w:p w14:paraId="22A2C211"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100,0</w:t>
            </w:r>
          </w:p>
        </w:tc>
      </w:tr>
      <w:tr w:rsidR="00FD7B0B" w:rsidRPr="00FD7B0B" w14:paraId="22C113D6" w14:textId="77777777" w:rsidTr="002A3B24">
        <w:trPr>
          <w:trHeight w:val="113"/>
        </w:trPr>
        <w:tc>
          <w:tcPr>
            <w:tcW w:w="4551" w:type="dxa"/>
            <w:shd w:val="clear" w:color="auto" w:fill="auto"/>
            <w:vAlign w:val="center"/>
          </w:tcPr>
          <w:p w14:paraId="504F7C53" w14:textId="77777777" w:rsidR="002A3B24" w:rsidRPr="00FD7B0B" w:rsidRDefault="002A3B24" w:rsidP="002A3B24">
            <w:pPr>
              <w:spacing w:after="0" w:line="240" w:lineRule="auto"/>
              <w:rPr>
                <w:rFonts w:ascii="Times New Roman" w:eastAsia="Times New Roman" w:hAnsi="Times New Roman"/>
                <w:bCs/>
                <w:sz w:val="20"/>
                <w:szCs w:val="20"/>
                <w:lang w:eastAsia="ru-RU"/>
              </w:rPr>
            </w:pPr>
            <w:r w:rsidRPr="00FD7B0B">
              <w:rPr>
                <w:rFonts w:ascii="Times New Roman" w:eastAsia="Times New Roman" w:hAnsi="Times New Roman"/>
                <w:sz w:val="20"/>
                <w:szCs w:val="20"/>
                <w:lang w:eastAsia="ru-RU"/>
              </w:rPr>
              <w:t>Иные бюджетные ассигнования</w:t>
            </w:r>
          </w:p>
        </w:tc>
        <w:tc>
          <w:tcPr>
            <w:tcW w:w="1134" w:type="dxa"/>
            <w:shd w:val="clear" w:color="auto" w:fill="auto"/>
            <w:vAlign w:val="center"/>
          </w:tcPr>
          <w:p w14:paraId="1461608F" w14:textId="77777777" w:rsidR="002A3B24" w:rsidRPr="00FD7B0B" w:rsidRDefault="002A3B24" w:rsidP="002A3B24">
            <w:pPr>
              <w:spacing w:after="0" w:line="240" w:lineRule="auto"/>
              <w:jc w:val="center"/>
              <w:rPr>
                <w:rFonts w:ascii="Times New Roman" w:eastAsia="Times New Roman" w:hAnsi="Times New Roman"/>
                <w:bCs/>
                <w:sz w:val="20"/>
                <w:szCs w:val="20"/>
                <w:lang w:eastAsia="ru-RU"/>
              </w:rPr>
            </w:pPr>
            <w:r w:rsidRPr="00FD7B0B">
              <w:rPr>
                <w:rFonts w:ascii="Times New Roman" w:eastAsia="Times New Roman" w:hAnsi="Times New Roman"/>
                <w:bCs/>
                <w:sz w:val="20"/>
                <w:szCs w:val="20"/>
                <w:lang w:eastAsia="ru-RU"/>
              </w:rPr>
              <w:t>800</w:t>
            </w:r>
          </w:p>
        </w:tc>
        <w:tc>
          <w:tcPr>
            <w:tcW w:w="1134" w:type="dxa"/>
            <w:shd w:val="clear" w:color="auto" w:fill="auto"/>
            <w:vAlign w:val="center"/>
          </w:tcPr>
          <w:p w14:paraId="76C210B5" w14:textId="77777777" w:rsidR="002A3B24" w:rsidRPr="00FD7B0B" w:rsidRDefault="002A3B24" w:rsidP="002A3B24">
            <w:pPr>
              <w:spacing w:after="0" w:line="240" w:lineRule="auto"/>
              <w:jc w:val="center"/>
              <w:rPr>
                <w:rFonts w:ascii="Times New Roman" w:eastAsia="Times New Roman" w:hAnsi="Times New Roman"/>
                <w:bCs/>
                <w:sz w:val="20"/>
                <w:szCs w:val="20"/>
                <w:lang w:eastAsia="ru-RU"/>
              </w:rPr>
            </w:pPr>
            <w:r w:rsidRPr="00FD7B0B">
              <w:rPr>
                <w:rFonts w:ascii="Times New Roman" w:eastAsia="Times New Roman" w:hAnsi="Times New Roman"/>
                <w:bCs/>
                <w:sz w:val="20"/>
                <w:szCs w:val="20"/>
                <w:lang w:eastAsia="ru-RU"/>
              </w:rPr>
              <w:t>0,001</w:t>
            </w:r>
          </w:p>
        </w:tc>
        <w:tc>
          <w:tcPr>
            <w:tcW w:w="1159" w:type="dxa"/>
            <w:shd w:val="clear" w:color="auto" w:fill="auto"/>
            <w:vAlign w:val="center"/>
          </w:tcPr>
          <w:p w14:paraId="0E07E9E4" w14:textId="77777777" w:rsidR="002A3B24" w:rsidRPr="00FD7B0B" w:rsidRDefault="002A3B24" w:rsidP="002A3B24">
            <w:pPr>
              <w:spacing w:after="0" w:line="240" w:lineRule="auto"/>
              <w:jc w:val="center"/>
              <w:rPr>
                <w:rFonts w:ascii="Times New Roman" w:eastAsia="Times New Roman" w:hAnsi="Times New Roman"/>
                <w:bCs/>
                <w:sz w:val="20"/>
                <w:szCs w:val="20"/>
                <w:lang w:eastAsia="ru-RU"/>
              </w:rPr>
            </w:pPr>
            <w:r w:rsidRPr="00FD7B0B">
              <w:rPr>
                <w:rFonts w:ascii="Times New Roman" w:eastAsia="Times New Roman" w:hAnsi="Times New Roman"/>
                <w:bCs/>
                <w:sz w:val="20"/>
                <w:szCs w:val="20"/>
                <w:lang w:eastAsia="ru-RU"/>
              </w:rPr>
              <w:t>0,0002</w:t>
            </w:r>
          </w:p>
        </w:tc>
        <w:tc>
          <w:tcPr>
            <w:tcW w:w="1559" w:type="dxa"/>
            <w:shd w:val="clear" w:color="auto" w:fill="auto"/>
            <w:vAlign w:val="center"/>
          </w:tcPr>
          <w:p w14:paraId="60A4864D" w14:textId="77777777" w:rsidR="002A3B24" w:rsidRPr="00FD7B0B" w:rsidRDefault="002A3B24" w:rsidP="002A3B24">
            <w:pPr>
              <w:spacing w:after="0" w:line="240" w:lineRule="auto"/>
              <w:jc w:val="center"/>
              <w:rPr>
                <w:rFonts w:ascii="Times New Roman" w:eastAsia="Times New Roman" w:hAnsi="Times New Roman"/>
                <w:bCs/>
                <w:i/>
                <w:iCs/>
                <w:sz w:val="20"/>
                <w:szCs w:val="20"/>
                <w:lang w:eastAsia="ru-RU"/>
              </w:rPr>
            </w:pPr>
            <w:r w:rsidRPr="00FD7B0B">
              <w:rPr>
                <w:rFonts w:ascii="Times New Roman" w:eastAsia="Times New Roman" w:hAnsi="Times New Roman"/>
                <w:bCs/>
                <w:i/>
                <w:iCs/>
                <w:sz w:val="20"/>
                <w:szCs w:val="20"/>
                <w:lang w:eastAsia="ru-RU"/>
              </w:rPr>
              <w:t>18,6</w:t>
            </w:r>
          </w:p>
        </w:tc>
      </w:tr>
      <w:tr w:rsidR="00FD7B0B" w:rsidRPr="00FD7B0B" w14:paraId="6B6709BA" w14:textId="77777777" w:rsidTr="002A3B24">
        <w:trPr>
          <w:trHeight w:val="45"/>
        </w:trPr>
        <w:tc>
          <w:tcPr>
            <w:tcW w:w="4551" w:type="dxa"/>
            <w:shd w:val="clear" w:color="auto" w:fill="auto"/>
            <w:vAlign w:val="center"/>
            <w:hideMark/>
          </w:tcPr>
          <w:p w14:paraId="6422C6BE"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Всего</w:t>
            </w:r>
          </w:p>
        </w:tc>
        <w:tc>
          <w:tcPr>
            <w:tcW w:w="1134" w:type="dxa"/>
            <w:shd w:val="clear" w:color="auto" w:fill="auto"/>
            <w:vAlign w:val="center"/>
            <w:hideMark/>
          </w:tcPr>
          <w:p w14:paraId="252F443C"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х</w:t>
            </w:r>
          </w:p>
        </w:tc>
        <w:tc>
          <w:tcPr>
            <w:tcW w:w="1134" w:type="dxa"/>
            <w:shd w:val="clear" w:color="auto" w:fill="auto"/>
            <w:vAlign w:val="center"/>
          </w:tcPr>
          <w:p w14:paraId="21598A24"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5 789,4</w:t>
            </w:r>
          </w:p>
        </w:tc>
        <w:tc>
          <w:tcPr>
            <w:tcW w:w="1159" w:type="dxa"/>
            <w:shd w:val="clear" w:color="auto" w:fill="auto"/>
            <w:vAlign w:val="center"/>
          </w:tcPr>
          <w:p w14:paraId="0315407A" w14:textId="77777777" w:rsidR="002A3B24" w:rsidRPr="00FD7B0B" w:rsidRDefault="002A3B24" w:rsidP="002A3B24">
            <w:pPr>
              <w:spacing w:after="0" w:line="240" w:lineRule="auto"/>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5 759,7</w:t>
            </w:r>
          </w:p>
        </w:tc>
        <w:tc>
          <w:tcPr>
            <w:tcW w:w="1559" w:type="dxa"/>
            <w:shd w:val="clear" w:color="auto" w:fill="auto"/>
            <w:vAlign w:val="center"/>
          </w:tcPr>
          <w:p w14:paraId="6157410A" w14:textId="77777777" w:rsidR="002A3B24" w:rsidRPr="00FD7B0B" w:rsidRDefault="002A3B24" w:rsidP="002A3B24">
            <w:pPr>
              <w:spacing w:after="0" w:line="240" w:lineRule="auto"/>
              <w:jc w:val="center"/>
              <w:rPr>
                <w:rFonts w:ascii="Times New Roman" w:eastAsia="Times New Roman" w:hAnsi="Times New Roman"/>
                <w:b/>
                <w:bCs/>
                <w:i/>
                <w:iCs/>
                <w:sz w:val="20"/>
                <w:szCs w:val="20"/>
                <w:lang w:eastAsia="ru-RU"/>
              </w:rPr>
            </w:pPr>
            <w:r w:rsidRPr="00FD7B0B">
              <w:rPr>
                <w:rFonts w:ascii="Times New Roman" w:eastAsia="Times New Roman" w:hAnsi="Times New Roman"/>
                <w:b/>
                <w:bCs/>
                <w:i/>
                <w:iCs/>
                <w:sz w:val="20"/>
                <w:szCs w:val="20"/>
                <w:lang w:eastAsia="ru-RU"/>
              </w:rPr>
              <w:t>99,5</w:t>
            </w:r>
          </w:p>
        </w:tc>
      </w:tr>
      <w:tr w:rsidR="00FD7B0B" w:rsidRPr="00FD7B0B" w14:paraId="3D058CFA" w14:textId="77777777" w:rsidTr="002A3B24">
        <w:trPr>
          <w:trHeight w:val="49"/>
        </w:trPr>
        <w:tc>
          <w:tcPr>
            <w:tcW w:w="4551" w:type="dxa"/>
            <w:shd w:val="clear" w:color="auto" w:fill="auto"/>
            <w:vAlign w:val="center"/>
            <w:hideMark/>
          </w:tcPr>
          <w:p w14:paraId="6AED2765"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Контрактуемые расходы, всего</w:t>
            </w:r>
          </w:p>
        </w:tc>
        <w:tc>
          <w:tcPr>
            <w:tcW w:w="1134" w:type="dxa"/>
            <w:shd w:val="clear" w:color="auto" w:fill="auto"/>
            <w:vAlign w:val="center"/>
            <w:hideMark/>
          </w:tcPr>
          <w:p w14:paraId="270D2D3A"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х</w:t>
            </w:r>
          </w:p>
        </w:tc>
        <w:tc>
          <w:tcPr>
            <w:tcW w:w="1134" w:type="dxa"/>
            <w:shd w:val="clear" w:color="auto" w:fill="auto"/>
            <w:vAlign w:val="center"/>
          </w:tcPr>
          <w:p w14:paraId="3F8CD453"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3 967,2</w:t>
            </w:r>
          </w:p>
        </w:tc>
        <w:tc>
          <w:tcPr>
            <w:tcW w:w="1159" w:type="dxa"/>
            <w:shd w:val="clear" w:color="auto" w:fill="auto"/>
            <w:vAlign w:val="center"/>
          </w:tcPr>
          <w:p w14:paraId="18BA4E38"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3 954,3</w:t>
            </w:r>
          </w:p>
        </w:tc>
        <w:tc>
          <w:tcPr>
            <w:tcW w:w="1559" w:type="dxa"/>
            <w:shd w:val="clear" w:color="auto" w:fill="auto"/>
            <w:vAlign w:val="center"/>
          </w:tcPr>
          <w:p w14:paraId="3E577A8F"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99,7</w:t>
            </w:r>
          </w:p>
        </w:tc>
      </w:tr>
      <w:tr w:rsidR="00FD7B0B" w:rsidRPr="00FD7B0B" w14:paraId="5568D28F" w14:textId="77777777" w:rsidTr="002A3B24">
        <w:trPr>
          <w:trHeight w:val="237"/>
        </w:trPr>
        <w:tc>
          <w:tcPr>
            <w:tcW w:w="4551" w:type="dxa"/>
            <w:shd w:val="clear" w:color="auto" w:fill="auto"/>
            <w:vAlign w:val="center"/>
            <w:hideMark/>
          </w:tcPr>
          <w:p w14:paraId="18FE222C"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Закупка товаров, работ и услуг для государственных (муниципальных) нужд</w:t>
            </w:r>
          </w:p>
        </w:tc>
        <w:tc>
          <w:tcPr>
            <w:tcW w:w="1134" w:type="dxa"/>
            <w:shd w:val="clear" w:color="auto" w:fill="auto"/>
            <w:vAlign w:val="center"/>
            <w:hideMark/>
          </w:tcPr>
          <w:p w14:paraId="6871B32B"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200</w:t>
            </w:r>
          </w:p>
        </w:tc>
        <w:tc>
          <w:tcPr>
            <w:tcW w:w="1134" w:type="dxa"/>
            <w:shd w:val="clear" w:color="auto" w:fill="auto"/>
            <w:vAlign w:val="center"/>
          </w:tcPr>
          <w:p w14:paraId="6CF379DF"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33,7</w:t>
            </w:r>
          </w:p>
        </w:tc>
        <w:tc>
          <w:tcPr>
            <w:tcW w:w="1159" w:type="dxa"/>
            <w:shd w:val="clear" w:color="auto" w:fill="auto"/>
            <w:vAlign w:val="center"/>
          </w:tcPr>
          <w:p w14:paraId="53974683"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33,65</w:t>
            </w:r>
          </w:p>
        </w:tc>
        <w:tc>
          <w:tcPr>
            <w:tcW w:w="1559" w:type="dxa"/>
            <w:shd w:val="clear" w:color="auto" w:fill="auto"/>
            <w:vAlign w:val="center"/>
          </w:tcPr>
          <w:p w14:paraId="6D78FC02"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99,9</w:t>
            </w:r>
          </w:p>
        </w:tc>
      </w:tr>
      <w:tr w:rsidR="002A3B24" w:rsidRPr="00FD7B0B" w14:paraId="41E0502C" w14:textId="77777777" w:rsidTr="002A3B24">
        <w:trPr>
          <w:trHeight w:val="60"/>
        </w:trPr>
        <w:tc>
          <w:tcPr>
            <w:tcW w:w="4551" w:type="dxa"/>
            <w:shd w:val="clear" w:color="auto" w:fill="auto"/>
            <w:vAlign w:val="center"/>
            <w:hideMark/>
          </w:tcPr>
          <w:p w14:paraId="31629F47"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lastRenderedPageBreak/>
              <w:t>Капитальные вложения в объекты государственной (муниципальной) собственности</w:t>
            </w:r>
          </w:p>
        </w:tc>
        <w:tc>
          <w:tcPr>
            <w:tcW w:w="1134" w:type="dxa"/>
            <w:shd w:val="clear" w:color="auto" w:fill="auto"/>
            <w:vAlign w:val="center"/>
            <w:hideMark/>
          </w:tcPr>
          <w:p w14:paraId="2F852CC7"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400</w:t>
            </w:r>
          </w:p>
        </w:tc>
        <w:tc>
          <w:tcPr>
            <w:tcW w:w="1134" w:type="dxa"/>
            <w:shd w:val="clear" w:color="auto" w:fill="auto"/>
            <w:vAlign w:val="center"/>
          </w:tcPr>
          <w:p w14:paraId="23139ACC"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3 933,5</w:t>
            </w:r>
          </w:p>
        </w:tc>
        <w:tc>
          <w:tcPr>
            <w:tcW w:w="1159" w:type="dxa"/>
            <w:shd w:val="clear" w:color="auto" w:fill="auto"/>
            <w:vAlign w:val="center"/>
          </w:tcPr>
          <w:p w14:paraId="4226490B"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3 920,7</w:t>
            </w:r>
          </w:p>
        </w:tc>
        <w:tc>
          <w:tcPr>
            <w:tcW w:w="1559" w:type="dxa"/>
            <w:shd w:val="clear" w:color="auto" w:fill="auto"/>
            <w:vAlign w:val="center"/>
          </w:tcPr>
          <w:p w14:paraId="51CD0908" w14:textId="77777777" w:rsidR="002A3B24" w:rsidRPr="00FD7B0B" w:rsidRDefault="002A3B24" w:rsidP="002A3B24">
            <w:pPr>
              <w:spacing w:after="0" w:line="240" w:lineRule="auto"/>
              <w:jc w:val="center"/>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99,7</w:t>
            </w:r>
          </w:p>
        </w:tc>
      </w:tr>
    </w:tbl>
    <w:p w14:paraId="557080C6" w14:textId="77777777" w:rsidR="002A3B24" w:rsidRPr="00FD7B0B" w:rsidRDefault="002A3B24" w:rsidP="002A3B24">
      <w:pPr>
        <w:pStyle w:val="ad"/>
        <w:ind w:firstLine="709"/>
        <w:jc w:val="both"/>
        <w:rPr>
          <w:rFonts w:ascii="Times New Roman" w:hAnsi="Times New Roman"/>
          <w:sz w:val="28"/>
          <w:szCs w:val="28"/>
        </w:rPr>
      </w:pPr>
    </w:p>
    <w:p w14:paraId="58090F22"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По всем исполнителям госпрограммы отмечается выполнение расходных обязательств более 97 %.</w:t>
      </w:r>
    </w:p>
    <w:p w14:paraId="6E967812" w14:textId="62A08C81"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Сопоставление объемов финансирования за счет областного бюджета </w:t>
      </w:r>
      <w:r w:rsidRPr="00FD7B0B">
        <w:rPr>
          <w:rFonts w:ascii="Times New Roman" w:hAnsi="Times New Roman"/>
          <w:sz w:val="28"/>
          <w:szCs w:val="28"/>
        </w:rPr>
        <w:br/>
        <w:t xml:space="preserve">(в том числе за счет поступлений в областной бюджет), утвержденных паспортами РП/КПМ и расходов на их реализацию, утвержденных законом </w:t>
      </w:r>
      <w:r w:rsidRPr="00FD7B0B">
        <w:rPr>
          <w:rFonts w:ascii="Times New Roman" w:hAnsi="Times New Roman"/>
          <w:sz w:val="28"/>
          <w:szCs w:val="28"/>
        </w:rPr>
        <w:br/>
        <w:t>«Об областном бюджете»</w:t>
      </w:r>
      <w:r w:rsidRPr="00FD7B0B">
        <w:rPr>
          <w:rFonts w:ascii="Times New Roman" w:hAnsi="Times New Roman"/>
          <w:b/>
          <w:sz w:val="24"/>
          <w:szCs w:val="24"/>
        </w:rPr>
        <w:t xml:space="preserve"> </w:t>
      </w:r>
      <w:r w:rsidR="00C07D3D" w:rsidRPr="00FD7B0B">
        <w:rPr>
          <w:rFonts w:ascii="Times New Roman" w:hAnsi="Times New Roman"/>
          <w:sz w:val="28"/>
          <w:szCs w:val="28"/>
        </w:rPr>
        <w:t xml:space="preserve">представлено в таблицах </w:t>
      </w:r>
      <w:r w:rsidR="00CD2BA2" w:rsidRPr="00FD7B0B">
        <w:rPr>
          <w:rFonts w:ascii="Times New Roman" w:hAnsi="Times New Roman"/>
          <w:sz w:val="28"/>
          <w:szCs w:val="28"/>
        </w:rPr>
        <w:t>134</w:t>
      </w:r>
      <w:r w:rsidR="00C07D3D" w:rsidRPr="00FD7B0B">
        <w:rPr>
          <w:rFonts w:ascii="Times New Roman" w:hAnsi="Times New Roman"/>
          <w:sz w:val="28"/>
          <w:szCs w:val="28"/>
        </w:rPr>
        <w:t xml:space="preserve"> и </w:t>
      </w:r>
      <w:r w:rsidR="00CD2BA2" w:rsidRPr="00FD7B0B">
        <w:rPr>
          <w:rFonts w:ascii="Times New Roman" w:hAnsi="Times New Roman"/>
          <w:sz w:val="28"/>
          <w:szCs w:val="28"/>
        </w:rPr>
        <w:t>135</w:t>
      </w:r>
      <w:r w:rsidRPr="00FD7B0B">
        <w:rPr>
          <w:rFonts w:ascii="Times New Roman" w:hAnsi="Times New Roman"/>
          <w:sz w:val="28"/>
          <w:szCs w:val="28"/>
        </w:rPr>
        <w:t>.</w:t>
      </w:r>
    </w:p>
    <w:p w14:paraId="1D8939E3" w14:textId="77777777" w:rsidR="002A3B24" w:rsidRPr="00FD7B0B" w:rsidRDefault="002A3B24" w:rsidP="00C07D3D">
      <w:pPr>
        <w:pStyle w:val="ad"/>
        <w:ind w:firstLine="709"/>
        <w:rPr>
          <w:rFonts w:ascii="Times New Roman" w:hAnsi="Times New Roman"/>
          <w:sz w:val="28"/>
          <w:szCs w:val="28"/>
        </w:rPr>
      </w:pPr>
    </w:p>
    <w:p w14:paraId="347E69F2" w14:textId="77777777" w:rsidR="002A3B24" w:rsidRPr="00FD7B0B" w:rsidRDefault="002A3B24" w:rsidP="00C07D3D">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134</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Сопоставление объемов финансирования, утвержденных паспортами РП/КПМ </w:t>
      </w:r>
      <w:r w:rsidRPr="00FD7B0B">
        <w:rPr>
          <w:rFonts w:ascii="Times New Roman" w:hAnsi="Times New Roman"/>
          <w:b w:val="0"/>
          <w:sz w:val="24"/>
          <w:szCs w:val="24"/>
        </w:rPr>
        <w:br/>
        <w:t>в редакции, действующей на 01.04.2024 и бюджетных ассигнований на их реализацию, утвержденных законом «Об областном бюджете», млн.руб.</w:t>
      </w:r>
    </w:p>
    <w:tbl>
      <w:tblPr>
        <w:tblStyle w:val="a7"/>
        <w:tblW w:w="9639"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985"/>
        <w:gridCol w:w="1861"/>
        <w:gridCol w:w="1843"/>
        <w:gridCol w:w="1668"/>
        <w:gridCol w:w="1141"/>
        <w:gridCol w:w="1141"/>
      </w:tblGrid>
      <w:tr w:rsidR="00FD7B0B" w:rsidRPr="00FD7B0B" w14:paraId="146A6507" w14:textId="77777777" w:rsidTr="00C07D3D">
        <w:trPr>
          <w:tblHeader/>
        </w:trPr>
        <w:tc>
          <w:tcPr>
            <w:tcW w:w="1985" w:type="dxa"/>
            <w:vAlign w:val="center"/>
          </w:tcPr>
          <w:p w14:paraId="70B33065"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Структурный элемент, источники финансирования</w:t>
            </w:r>
          </w:p>
        </w:tc>
        <w:tc>
          <w:tcPr>
            <w:tcW w:w="1861" w:type="dxa"/>
            <w:vAlign w:val="center"/>
          </w:tcPr>
          <w:p w14:paraId="25547779"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Закон «Об областном бюджете» на 01.01.2024</w:t>
            </w:r>
          </w:p>
        </w:tc>
        <w:tc>
          <w:tcPr>
            <w:tcW w:w="1843" w:type="dxa"/>
          </w:tcPr>
          <w:p w14:paraId="34781C46"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Закон «Об областном бюджете» на 20.03.2024</w:t>
            </w:r>
          </w:p>
        </w:tc>
        <w:tc>
          <w:tcPr>
            <w:tcW w:w="1668" w:type="dxa"/>
            <w:vAlign w:val="center"/>
          </w:tcPr>
          <w:p w14:paraId="7EE16F8F"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Паспорт РП/КПМ на 01.04.2024 </w:t>
            </w:r>
          </w:p>
          <w:p w14:paraId="2981C1C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(без МБ)</w:t>
            </w:r>
          </w:p>
        </w:tc>
        <w:tc>
          <w:tcPr>
            <w:tcW w:w="1141" w:type="dxa"/>
            <w:vAlign w:val="center"/>
          </w:tcPr>
          <w:p w14:paraId="71F2C5E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Отклонение (+/-)</w:t>
            </w:r>
          </w:p>
        </w:tc>
        <w:tc>
          <w:tcPr>
            <w:tcW w:w="1141" w:type="dxa"/>
            <w:vAlign w:val="center"/>
          </w:tcPr>
          <w:p w14:paraId="099E2E7F"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Отклонение (+/-)</w:t>
            </w:r>
          </w:p>
        </w:tc>
      </w:tr>
      <w:tr w:rsidR="00FD7B0B" w:rsidRPr="00FD7B0B" w14:paraId="10F736F3" w14:textId="77777777" w:rsidTr="002A3B24">
        <w:tc>
          <w:tcPr>
            <w:tcW w:w="1985" w:type="dxa"/>
            <w:vAlign w:val="center"/>
          </w:tcPr>
          <w:p w14:paraId="50B27B6F"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А</w:t>
            </w:r>
          </w:p>
        </w:tc>
        <w:tc>
          <w:tcPr>
            <w:tcW w:w="1861" w:type="dxa"/>
            <w:vAlign w:val="center"/>
          </w:tcPr>
          <w:p w14:paraId="6A362C82"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1843" w:type="dxa"/>
            <w:vAlign w:val="center"/>
          </w:tcPr>
          <w:p w14:paraId="3B56799A"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w:t>
            </w:r>
          </w:p>
        </w:tc>
        <w:tc>
          <w:tcPr>
            <w:tcW w:w="1668" w:type="dxa"/>
            <w:vAlign w:val="center"/>
          </w:tcPr>
          <w:p w14:paraId="7F83E4E1"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3</w:t>
            </w:r>
          </w:p>
        </w:tc>
        <w:tc>
          <w:tcPr>
            <w:tcW w:w="1141" w:type="dxa"/>
            <w:vAlign w:val="center"/>
          </w:tcPr>
          <w:p w14:paraId="01F08713"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4=3-1</w:t>
            </w:r>
          </w:p>
        </w:tc>
        <w:tc>
          <w:tcPr>
            <w:tcW w:w="1141" w:type="dxa"/>
            <w:vAlign w:val="center"/>
          </w:tcPr>
          <w:p w14:paraId="037A96C8"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5=3-2</w:t>
            </w:r>
          </w:p>
        </w:tc>
      </w:tr>
      <w:tr w:rsidR="00FD7B0B" w:rsidRPr="00FD7B0B" w14:paraId="218CAD7F" w14:textId="77777777" w:rsidTr="002A3B24">
        <w:tc>
          <w:tcPr>
            <w:tcW w:w="1985" w:type="dxa"/>
            <w:vAlign w:val="center"/>
          </w:tcPr>
          <w:p w14:paraId="7703CCE6" w14:textId="77777777" w:rsidR="002A3B24" w:rsidRPr="00FD7B0B" w:rsidRDefault="002A3B24" w:rsidP="002A3B24">
            <w:pPr>
              <w:contextualSpacing/>
              <w:rPr>
                <w:rFonts w:ascii="Times New Roman" w:eastAsia="Times New Roman" w:hAnsi="Times New Roman"/>
                <w:sz w:val="18"/>
                <w:szCs w:val="18"/>
              </w:rPr>
            </w:pPr>
            <w:r w:rsidRPr="00FD7B0B">
              <w:rPr>
                <w:rFonts w:ascii="Times New Roman" w:eastAsia="Times New Roman" w:hAnsi="Times New Roman"/>
              </w:rPr>
              <w:t>РП № 1</w:t>
            </w:r>
          </w:p>
        </w:tc>
        <w:tc>
          <w:tcPr>
            <w:tcW w:w="1861" w:type="dxa"/>
            <w:vAlign w:val="center"/>
          </w:tcPr>
          <w:p w14:paraId="67D8933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3 486,4</w:t>
            </w:r>
          </w:p>
        </w:tc>
        <w:tc>
          <w:tcPr>
            <w:tcW w:w="1843" w:type="dxa"/>
            <w:vAlign w:val="center"/>
          </w:tcPr>
          <w:p w14:paraId="7A93BC27"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3 470,7</w:t>
            </w:r>
          </w:p>
        </w:tc>
        <w:tc>
          <w:tcPr>
            <w:tcW w:w="1668" w:type="dxa"/>
            <w:vAlign w:val="center"/>
          </w:tcPr>
          <w:p w14:paraId="10A61FF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2 759,771</w:t>
            </w:r>
          </w:p>
        </w:tc>
        <w:tc>
          <w:tcPr>
            <w:tcW w:w="1141" w:type="dxa"/>
            <w:vAlign w:val="center"/>
          </w:tcPr>
          <w:p w14:paraId="502489D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-726,7</w:t>
            </w:r>
          </w:p>
        </w:tc>
        <w:tc>
          <w:tcPr>
            <w:tcW w:w="1141" w:type="dxa"/>
            <w:vAlign w:val="center"/>
          </w:tcPr>
          <w:p w14:paraId="24C7D6EB"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-710,96</w:t>
            </w:r>
          </w:p>
        </w:tc>
      </w:tr>
      <w:tr w:rsidR="00FD7B0B" w:rsidRPr="00FD7B0B" w14:paraId="64797FD8" w14:textId="77777777" w:rsidTr="002A3B24">
        <w:tc>
          <w:tcPr>
            <w:tcW w:w="1985" w:type="dxa"/>
          </w:tcPr>
          <w:p w14:paraId="2CE8967D" w14:textId="77777777" w:rsidR="002A3B24" w:rsidRPr="00FD7B0B" w:rsidRDefault="002A3B24" w:rsidP="002A3B24">
            <w:pPr>
              <w:contextualSpacing/>
              <w:rPr>
                <w:rFonts w:ascii="Times New Roman" w:eastAsia="Times New Roman" w:hAnsi="Times New Roman"/>
              </w:rPr>
            </w:pPr>
            <w:r w:rsidRPr="00FD7B0B">
              <w:rPr>
                <w:rFonts w:ascii="Times New Roman" w:eastAsia="Times New Roman" w:hAnsi="Times New Roman"/>
              </w:rPr>
              <w:t>РП № 2</w:t>
            </w:r>
          </w:p>
        </w:tc>
        <w:tc>
          <w:tcPr>
            <w:tcW w:w="1861" w:type="dxa"/>
            <w:vAlign w:val="center"/>
          </w:tcPr>
          <w:p w14:paraId="71E1F979"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843" w:type="dxa"/>
            <w:vAlign w:val="center"/>
          </w:tcPr>
          <w:p w14:paraId="052C7C6A"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668" w:type="dxa"/>
            <w:vAlign w:val="center"/>
          </w:tcPr>
          <w:p w14:paraId="16AD9FE3"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41" w:type="dxa"/>
            <w:vAlign w:val="center"/>
          </w:tcPr>
          <w:p w14:paraId="1DDB95D8"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41" w:type="dxa"/>
            <w:vAlign w:val="center"/>
          </w:tcPr>
          <w:p w14:paraId="0C1032CC"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r>
      <w:tr w:rsidR="00FD7B0B" w:rsidRPr="00FD7B0B" w14:paraId="02A212E6" w14:textId="77777777" w:rsidTr="002A3B24">
        <w:tc>
          <w:tcPr>
            <w:tcW w:w="1985" w:type="dxa"/>
          </w:tcPr>
          <w:p w14:paraId="242A631A" w14:textId="77777777" w:rsidR="002A3B24" w:rsidRPr="00FD7B0B" w:rsidRDefault="002A3B24" w:rsidP="002A3B24">
            <w:pPr>
              <w:contextualSpacing/>
              <w:rPr>
                <w:rFonts w:ascii="Times New Roman" w:eastAsia="Times New Roman" w:hAnsi="Times New Roman"/>
              </w:rPr>
            </w:pPr>
            <w:r w:rsidRPr="00FD7B0B">
              <w:rPr>
                <w:rFonts w:ascii="Times New Roman" w:eastAsia="Times New Roman" w:hAnsi="Times New Roman"/>
              </w:rPr>
              <w:t>РП № 3</w:t>
            </w:r>
          </w:p>
        </w:tc>
        <w:tc>
          <w:tcPr>
            <w:tcW w:w="1861" w:type="dxa"/>
            <w:vAlign w:val="center"/>
          </w:tcPr>
          <w:p w14:paraId="0928A9ED"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888,7</w:t>
            </w:r>
          </w:p>
        </w:tc>
        <w:tc>
          <w:tcPr>
            <w:tcW w:w="1843" w:type="dxa"/>
            <w:vAlign w:val="center"/>
          </w:tcPr>
          <w:p w14:paraId="780B9587"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888,7</w:t>
            </w:r>
          </w:p>
        </w:tc>
        <w:tc>
          <w:tcPr>
            <w:tcW w:w="1668" w:type="dxa"/>
            <w:vAlign w:val="center"/>
          </w:tcPr>
          <w:p w14:paraId="6F74513A"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888,7</w:t>
            </w:r>
          </w:p>
        </w:tc>
        <w:tc>
          <w:tcPr>
            <w:tcW w:w="1141" w:type="dxa"/>
            <w:vAlign w:val="center"/>
          </w:tcPr>
          <w:p w14:paraId="5C5D219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41" w:type="dxa"/>
            <w:vAlign w:val="center"/>
          </w:tcPr>
          <w:p w14:paraId="7BDDAF7C"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r>
      <w:tr w:rsidR="002A3B24" w:rsidRPr="00FD7B0B" w14:paraId="4287E80E" w14:textId="77777777" w:rsidTr="002A3B24">
        <w:tc>
          <w:tcPr>
            <w:tcW w:w="1985" w:type="dxa"/>
            <w:vAlign w:val="center"/>
          </w:tcPr>
          <w:p w14:paraId="1EBBB5EF" w14:textId="77777777" w:rsidR="002A3B24" w:rsidRPr="00FD7B0B" w:rsidRDefault="002A3B24" w:rsidP="002A3B24">
            <w:pPr>
              <w:contextualSpacing/>
              <w:rPr>
                <w:rFonts w:ascii="Times New Roman" w:eastAsia="Times New Roman" w:hAnsi="Times New Roman"/>
              </w:rPr>
            </w:pPr>
            <w:r w:rsidRPr="00FD7B0B">
              <w:rPr>
                <w:rFonts w:ascii="Times New Roman" w:eastAsia="Times New Roman" w:hAnsi="Times New Roman"/>
              </w:rPr>
              <w:t>КПМ</w:t>
            </w:r>
          </w:p>
        </w:tc>
        <w:tc>
          <w:tcPr>
            <w:tcW w:w="1861" w:type="dxa"/>
            <w:vAlign w:val="center"/>
          </w:tcPr>
          <w:p w14:paraId="223F4408"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617,3</w:t>
            </w:r>
          </w:p>
        </w:tc>
        <w:tc>
          <w:tcPr>
            <w:tcW w:w="1843" w:type="dxa"/>
            <w:vAlign w:val="center"/>
          </w:tcPr>
          <w:p w14:paraId="7021A5D8"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917,3</w:t>
            </w:r>
          </w:p>
        </w:tc>
        <w:tc>
          <w:tcPr>
            <w:tcW w:w="1668" w:type="dxa"/>
            <w:vAlign w:val="center"/>
          </w:tcPr>
          <w:p w14:paraId="55E43F7C"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618,95</w:t>
            </w:r>
          </w:p>
        </w:tc>
        <w:tc>
          <w:tcPr>
            <w:tcW w:w="1141" w:type="dxa"/>
            <w:vAlign w:val="center"/>
          </w:tcPr>
          <w:p w14:paraId="3064672B"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1,7</w:t>
            </w:r>
          </w:p>
        </w:tc>
        <w:tc>
          <w:tcPr>
            <w:tcW w:w="1141" w:type="dxa"/>
            <w:vAlign w:val="center"/>
          </w:tcPr>
          <w:p w14:paraId="16D69E69"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-298,3</w:t>
            </w:r>
          </w:p>
        </w:tc>
      </w:tr>
    </w:tbl>
    <w:p w14:paraId="72DE269E" w14:textId="77777777" w:rsidR="002A3B24" w:rsidRPr="00FD7B0B" w:rsidRDefault="002A3B24" w:rsidP="002A3B24">
      <w:pPr>
        <w:pStyle w:val="ad"/>
        <w:ind w:firstLine="709"/>
        <w:jc w:val="both"/>
        <w:rPr>
          <w:rFonts w:ascii="Times New Roman" w:hAnsi="Times New Roman"/>
          <w:sz w:val="28"/>
          <w:szCs w:val="28"/>
        </w:rPr>
      </w:pPr>
    </w:p>
    <w:p w14:paraId="4F7C6AD1" w14:textId="4CA0404C"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Объемы финансирования, утвержденные паспортами РП/КПМ </w:t>
      </w:r>
      <w:r w:rsidRPr="00FD7B0B">
        <w:rPr>
          <w:rFonts w:ascii="Times New Roman" w:hAnsi="Times New Roman"/>
          <w:sz w:val="28"/>
          <w:szCs w:val="28"/>
        </w:rPr>
        <w:br/>
        <w:t xml:space="preserve">в редакции, действующей на 01.04.2024 не приведены в соответствие с законом </w:t>
      </w:r>
      <w:r w:rsidRPr="00FD7B0B">
        <w:rPr>
          <w:rFonts w:ascii="Times New Roman" w:hAnsi="Times New Roman"/>
          <w:sz w:val="28"/>
          <w:szCs w:val="28"/>
        </w:rPr>
        <w:br/>
        <w:t xml:space="preserve">«Об областном бюджете», что является нарушением пункта 29 </w:t>
      </w:r>
      <w:r w:rsidR="00CD2BA2" w:rsidRPr="00FD7B0B">
        <w:rPr>
          <w:rFonts w:ascii="Times New Roman" w:hAnsi="Times New Roman"/>
          <w:sz w:val="28"/>
          <w:szCs w:val="28"/>
        </w:rPr>
        <w:t>Положения</w:t>
      </w:r>
      <w:r w:rsidRPr="00FD7B0B">
        <w:rPr>
          <w:rFonts w:ascii="Times New Roman" w:hAnsi="Times New Roman"/>
          <w:sz w:val="28"/>
          <w:szCs w:val="28"/>
        </w:rPr>
        <w:t xml:space="preserve"> №</w:t>
      </w:r>
      <w:r w:rsidR="00CD2BA2" w:rsidRPr="00FD7B0B">
        <w:rPr>
          <w:rFonts w:ascii="Times New Roman" w:hAnsi="Times New Roman"/>
          <w:sz w:val="28"/>
          <w:szCs w:val="28"/>
        </w:rPr>
        <w:t> </w:t>
      </w:r>
      <w:r w:rsidRPr="00FD7B0B">
        <w:rPr>
          <w:rFonts w:ascii="Times New Roman" w:hAnsi="Times New Roman"/>
          <w:sz w:val="28"/>
          <w:szCs w:val="28"/>
        </w:rPr>
        <w:t>793-пп.</w:t>
      </w:r>
    </w:p>
    <w:p w14:paraId="731AB1A9" w14:textId="77777777" w:rsidR="002A3B24" w:rsidRPr="00FD7B0B" w:rsidRDefault="002A3B24" w:rsidP="002A3B24">
      <w:pPr>
        <w:pStyle w:val="ad"/>
        <w:jc w:val="both"/>
        <w:rPr>
          <w:rFonts w:ascii="Times New Roman" w:hAnsi="Times New Roman"/>
          <w:sz w:val="28"/>
          <w:szCs w:val="28"/>
        </w:rPr>
      </w:pPr>
    </w:p>
    <w:p w14:paraId="621E8326" w14:textId="77777777" w:rsidR="002A3B24" w:rsidRPr="00FD7B0B" w:rsidRDefault="002A3B24" w:rsidP="00C07D3D">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135</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Сопоставление объемов финансирования, утвержденных паспортами РП/КПМ </w:t>
      </w:r>
      <w:r w:rsidRPr="00FD7B0B">
        <w:rPr>
          <w:rFonts w:ascii="Times New Roman" w:hAnsi="Times New Roman"/>
          <w:b w:val="0"/>
          <w:sz w:val="24"/>
          <w:szCs w:val="24"/>
        </w:rPr>
        <w:br/>
        <w:t>в редакции, действующей на 31.12.2024, расходов, утвержденных законом «Об областном бюджете» в редакции, действующей на конец года, к уточненной СБР на 31.12.2024, млн.руб.</w:t>
      </w:r>
    </w:p>
    <w:tbl>
      <w:tblPr>
        <w:tblStyle w:val="a7"/>
        <w:tblW w:w="9639"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560"/>
        <w:gridCol w:w="1026"/>
        <w:gridCol w:w="1124"/>
        <w:gridCol w:w="1141"/>
        <w:gridCol w:w="1152"/>
        <w:gridCol w:w="1152"/>
        <w:gridCol w:w="1206"/>
        <w:gridCol w:w="1278"/>
      </w:tblGrid>
      <w:tr w:rsidR="00FD7B0B" w:rsidRPr="00FD7B0B" w14:paraId="657642D2" w14:textId="77777777" w:rsidTr="002A3B24">
        <w:tc>
          <w:tcPr>
            <w:tcW w:w="1560" w:type="dxa"/>
            <w:vAlign w:val="center"/>
          </w:tcPr>
          <w:p w14:paraId="479A323B"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Структурный элемент, источники финансирования</w:t>
            </w:r>
          </w:p>
        </w:tc>
        <w:tc>
          <w:tcPr>
            <w:tcW w:w="1026" w:type="dxa"/>
            <w:vAlign w:val="center"/>
          </w:tcPr>
          <w:p w14:paraId="0185CAB8"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Паспорт ГП на 31.12.2024 (без МБ)</w:t>
            </w:r>
          </w:p>
        </w:tc>
        <w:tc>
          <w:tcPr>
            <w:tcW w:w="1124" w:type="dxa"/>
            <w:vAlign w:val="center"/>
          </w:tcPr>
          <w:p w14:paraId="04BE9AB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Паспорт РП на 31.12.2024 (без МБ)</w:t>
            </w:r>
          </w:p>
        </w:tc>
        <w:tc>
          <w:tcPr>
            <w:tcW w:w="1141" w:type="dxa"/>
            <w:vAlign w:val="center"/>
          </w:tcPr>
          <w:p w14:paraId="1F40FB0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Отклонение (+/-) </w:t>
            </w:r>
          </w:p>
        </w:tc>
        <w:tc>
          <w:tcPr>
            <w:tcW w:w="1152" w:type="dxa"/>
            <w:vAlign w:val="center"/>
          </w:tcPr>
          <w:p w14:paraId="1AEA02A8"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СБР на 31.12.2024, млн.руб.</w:t>
            </w:r>
          </w:p>
        </w:tc>
        <w:tc>
          <w:tcPr>
            <w:tcW w:w="1152" w:type="dxa"/>
            <w:vAlign w:val="center"/>
          </w:tcPr>
          <w:p w14:paraId="1E749E7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Исполнено на 31.12.2024, млн.руб.</w:t>
            </w:r>
          </w:p>
        </w:tc>
        <w:tc>
          <w:tcPr>
            <w:tcW w:w="1206" w:type="dxa"/>
            <w:vAlign w:val="center"/>
          </w:tcPr>
          <w:p w14:paraId="7AEF281B"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Отклонение (+/-)</w:t>
            </w:r>
          </w:p>
        </w:tc>
        <w:tc>
          <w:tcPr>
            <w:tcW w:w="1278" w:type="dxa"/>
            <w:vAlign w:val="center"/>
          </w:tcPr>
          <w:p w14:paraId="43E28E3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Отклонение (+/-)</w:t>
            </w:r>
          </w:p>
        </w:tc>
      </w:tr>
      <w:tr w:rsidR="00FD7B0B" w:rsidRPr="00FD7B0B" w14:paraId="41BB4D54" w14:textId="77777777" w:rsidTr="002A3B24">
        <w:tc>
          <w:tcPr>
            <w:tcW w:w="1560" w:type="dxa"/>
            <w:vAlign w:val="center"/>
          </w:tcPr>
          <w:p w14:paraId="04EE5BA4"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А</w:t>
            </w:r>
          </w:p>
        </w:tc>
        <w:tc>
          <w:tcPr>
            <w:tcW w:w="1026" w:type="dxa"/>
            <w:vAlign w:val="center"/>
          </w:tcPr>
          <w:p w14:paraId="473E64E4"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1124" w:type="dxa"/>
            <w:vAlign w:val="center"/>
          </w:tcPr>
          <w:p w14:paraId="3FB14F27"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w:t>
            </w:r>
          </w:p>
        </w:tc>
        <w:tc>
          <w:tcPr>
            <w:tcW w:w="1141" w:type="dxa"/>
            <w:vAlign w:val="center"/>
          </w:tcPr>
          <w:p w14:paraId="10365A38"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3=2-1</w:t>
            </w:r>
          </w:p>
        </w:tc>
        <w:tc>
          <w:tcPr>
            <w:tcW w:w="1152" w:type="dxa"/>
            <w:vAlign w:val="center"/>
          </w:tcPr>
          <w:p w14:paraId="102FE206"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4</w:t>
            </w:r>
          </w:p>
        </w:tc>
        <w:tc>
          <w:tcPr>
            <w:tcW w:w="1152" w:type="dxa"/>
            <w:vAlign w:val="center"/>
          </w:tcPr>
          <w:p w14:paraId="17FEC531"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5</w:t>
            </w:r>
          </w:p>
        </w:tc>
        <w:tc>
          <w:tcPr>
            <w:tcW w:w="1206" w:type="dxa"/>
            <w:vAlign w:val="center"/>
          </w:tcPr>
          <w:p w14:paraId="23DFA771"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6=5-2</w:t>
            </w:r>
          </w:p>
        </w:tc>
        <w:tc>
          <w:tcPr>
            <w:tcW w:w="1278" w:type="dxa"/>
            <w:vAlign w:val="center"/>
          </w:tcPr>
          <w:p w14:paraId="56276E32" w14:textId="77777777" w:rsidR="002A3B24" w:rsidRPr="00FD7B0B" w:rsidRDefault="002A3B24" w:rsidP="002A3B2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7=5-4</w:t>
            </w:r>
          </w:p>
        </w:tc>
      </w:tr>
      <w:tr w:rsidR="00FD7B0B" w:rsidRPr="00FD7B0B" w14:paraId="4DF4D2E3" w14:textId="77777777" w:rsidTr="002A3B24">
        <w:tc>
          <w:tcPr>
            <w:tcW w:w="1560" w:type="dxa"/>
            <w:vAlign w:val="center"/>
          </w:tcPr>
          <w:p w14:paraId="49926F33" w14:textId="77777777" w:rsidR="002A3B24" w:rsidRPr="00FD7B0B" w:rsidRDefault="002A3B24" w:rsidP="002A3B24">
            <w:pPr>
              <w:contextualSpacing/>
              <w:rPr>
                <w:rFonts w:ascii="Times New Roman" w:eastAsia="Times New Roman" w:hAnsi="Times New Roman"/>
                <w:sz w:val="18"/>
                <w:szCs w:val="18"/>
              </w:rPr>
            </w:pPr>
            <w:r w:rsidRPr="00FD7B0B">
              <w:rPr>
                <w:rFonts w:ascii="Times New Roman" w:eastAsia="Times New Roman" w:hAnsi="Times New Roman"/>
              </w:rPr>
              <w:t>РП № 1</w:t>
            </w:r>
          </w:p>
        </w:tc>
        <w:tc>
          <w:tcPr>
            <w:tcW w:w="1026" w:type="dxa"/>
            <w:vAlign w:val="center"/>
          </w:tcPr>
          <w:p w14:paraId="11C0CFA5"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3 474,1</w:t>
            </w:r>
          </w:p>
        </w:tc>
        <w:tc>
          <w:tcPr>
            <w:tcW w:w="1124" w:type="dxa"/>
            <w:vAlign w:val="center"/>
          </w:tcPr>
          <w:p w14:paraId="2CEAB7CC"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3 000,5</w:t>
            </w:r>
          </w:p>
        </w:tc>
        <w:tc>
          <w:tcPr>
            <w:tcW w:w="1141" w:type="dxa"/>
            <w:vAlign w:val="center"/>
          </w:tcPr>
          <w:p w14:paraId="4399D232"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-473,7</w:t>
            </w:r>
          </w:p>
        </w:tc>
        <w:tc>
          <w:tcPr>
            <w:tcW w:w="1152" w:type="dxa"/>
            <w:vAlign w:val="center"/>
          </w:tcPr>
          <w:p w14:paraId="7F218DC5"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3 000,5</w:t>
            </w:r>
          </w:p>
        </w:tc>
        <w:tc>
          <w:tcPr>
            <w:tcW w:w="1152" w:type="dxa"/>
            <w:vAlign w:val="center"/>
          </w:tcPr>
          <w:p w14:paraId="4548B4F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2 987,7</w:t>
            </w:r>
          </w:p>
        </w:tc>
        <w:tc>
          <w:tcPr>
            <w:tcW w:w="1206" w:type="dxa"/>
            <w:vAlign w:val="center"/>
          </w:tcPr>
          <w:p w14:paraId="1152CE2F"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-12,7</w:t>
            </w:r>
          </w:p>
        </w:tc>
        <w:tc>
          <w:tcPr>
            <w:tcW w:w="1278" w:type="dxa"/>
            <w:vAlign w:val="center"/>
          </w:tcPr>
          <w:p w14:paraId="30BC96E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-12,7</w:t>
            </w:r>
          </w:p>
        </w:tc>
      </w:tr>
      <w:tr w:rsidR="00FD7B0B" w:rsidRPr="00FD7B0B" w14:paraId="5761B32A" w14:textId="77777777" w:rsidTr="002A3B24">
        <w:tc>
          <w:tcPr>
            <w:tcW w:w="1560" w:type="dxa"/>
          </w:tcPr>
          <w:p w14:paraId="444B1B31" w14:textId="77777777" w:rsidR="002A3B24" w:rsidRPr="00FD7B0B" w:rsidRDefault="002A3B24" w:rsidP="002A3B24">
            <w:pPr>
              <w:contextualSpacing/>
              <w:rPr>
                <w:rFonts w:ascii="Times New Roman" w:eastAsia="Times New Roman" w:hAnsi="Times New Roman"/>
              </w:rPr>
            </w:pPr>
            <w:r w:rsidRPr="00FD7B0B">
              <w:rPr>
                <w:rFonts w:ascii="Times New Roman" w:eastAsia="Times New Roman" w:hAnsi="Times New Roman"/>
              </w:rPr>
              <w:t>РП № 2</w:t>
            </w:r>
          </w:p>
        </w:tc>
        <w:tc>
          <w:tcPr>
            <w:tcW w:w="1026" w:type="dxa"/>
            <w:vAlign w:val="center"/>
          </w:tcPr>
          <w:p w14:paraId="105F00A5"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24" w:type="dxa"/>
            <w:vAlign w:val="center"/>
          </w:tcPr>
          <w:p w14:paraId="27A8654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41" w:type="dxa"/>
            <w:vAlign w:val="center"/>
          </w:tcPr>
          <w:p w14:paraId="024121A5"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52" w:type="dxa"/>
            <w:vAlign w:val="center"/>
          </w:tcPr>
          <w:p w14:paraId="17B45EC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52" w:type="dxa"/>
            <w:vAlign w:val="center"/>
          </w:tcPr>
          <w:p w14:paraId="7DA5D096"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206" w:type="dxa"/>
            <w:vAlign w:val="center"/>
          </w:tcPr>
          <w:p w14:paraId="5D4013D6"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278" w:type="dxa"/>
            <w:vAlign w:val="center"/>
          </w:tcPr>
          <w:p w14:paraId="7E45D0A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r>
      <w:tr w:rsidR="00FD7B0B" w:rsidRPr="00FD7B0B" w14:paraId="7E6B0EC9" w14:textId="77777777" w:rsidTr="002A3B24">
        <w:tc>
          <w:tcPr>
            <w:tcW w:w="1560" w:type="dxa"/>
          </w:tcPr>
          <w:p w14:paraId="5A2323B4" w14:textId="77777777" w:rsidR="002A3B24" w:rsidRPr="00FD7B0B" w:rsidRDefault="002A3B24" w:rsidP="002A3B24">
            <w:pPr>
              <w:contextualSpacing/>
              <w:rPr>
                <w:rFonts w:ascii="Times New Roman" w:eastAsia="Times New Roman" w:hAnsi="Times New Roman"/>
              </w:rPr>
            </w:pPr>
            <w:r w:rsidRPr="00FD7B0B">
              <w:rPr>
                <w:rFonts w:ascii="Times New Roman" w:eastAsia="Times New Roman" w:hAnsi="Times New Roman"/>
              </w:rPr>
              <w:t>РП № 3</w:t>
            </w:r>
          </w:p>
        </w:tc>
        <w:tc>
          <w:tcPr>
            <w:tcW w:w="1026" w:type="dxa"/>
            <w:vAlign w:val="center"/>
          </w:tcPr>
          <w:p w14:paraId="111D9B3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888,4</w:t>
            </w:r>
          </w:p>
        </w:tc>
        <w:tc>
          <w:tcPr>
            <w:tcW w:w="1124" w:type="dxa"/>
            <w:vAlign w:val="center"/>
          </w:tcPr>
          <w:p w14:paraId="37D94DC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888,4</w:t>
            </w:r>
          </w:p>
        </w:tc>
        <w:tc>
          <w:tcPr>
            <w:tcW w:w="1141" w:type="dxa"/>
            <w:vAlign w:val="center"/>
          </w:tcPr>
          <w:p w14:paraId="2688896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52" w:type="dxa"/>
            <w:vAlign w:val="center"/>
          </w:tcPr>
          <w:p w14:paraId="5F0B24C7"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886,5</w:t>
            </w:r>
          </w:p>
        </w:tc>
        <w:tc>
          <w:tcPr>
            <w:tcW w:w="1152" w:type="dxa"/>
            <w:vAlign w:val="center"/>
          </w:tcPr>
          <w:p w14:paraId="498EDEA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872,98</w:t>
            </w:r>
          </w:p>
        </w:tc>
        <w:tc>
          <w:tcPr>
            <w:tcW w:w="1206" w:type="dxa"/>
            <w:vAlign w:val="center"/>
          </w:tcPr>
          <w:p w14:paraId="08FF956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-15,4</w:t>
            </w:r>
          </w:p>
        </w:tc>
        <w:tc>
          <w:tcPr>
            <w:tcW w:w="1278" w:type="dxa"/>
            <w:vAlign w:val="center"/>
          </w:tcPr>
          <w:p w14:paraId="5012DB12"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-13,5</w:t>
            </w:r>
          </w:p>
        </w:tc>
      </w:tr>
      <w:tr w:rsidR="002A3B24" w:rsidRPr="00FD7B0B" w14:paraId="65CEE3E8" w14:textId="77777777" w:rsidTr="002A3B24">
        <w:tc>
          <w:tcPr>
            <w:tcW w:w="1560" w:type="dxa"/>
            <w:vAlign w:val="center"/>
          </w:tcPr>
          <w:p w14:paraId="6C233FA2" w14:textId="77777777" w:rsidR="002A3B24" w:rsidRPr="00FD7B0B" w:rsidRDefault="002A3B24" w:rsidP="002A3B24">
            <w:pPr>
              <w:contextualSpacing/>
              <w:rPr>
                <w:rFonts w:ascii="Times New Roman" w:eastAsia="Times New Roman" w:hAnsi="Times New Roman"/>
              </w:rPr>
            </w:pPr>
            <w:r w:rsidRPr="00FD7B0B">
              <w:rPr>
                <w:rFonts w:ascii="Times New Roman" w:eastAsia="Times New Roman" w:hAnsi="Times New Roman"/>
              </w:rPr>
              <w:t>КПМ</w:t>
            </w:r>
          </w:p>
        </w:tc>
        <w:tc>
          <w:tcPr>
            <w:tcW w:w="1026" w:type="dxa"/>
            <w:vAlign w:val="center"/>
          </w:tcPr>
          <w:p w14:paraId="1F4D2B8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1 896,5</w:t>
            </w:r>
          </w:p>
        </w:tc>
        <w:tc>
          <w:tcPr>
            <w:tcW w:w="1124" w:type="dxa"/>
            <w:vAlign w:val="center"/>
          </w:tcPr>
          <w:p w14:paraId="6E8CAA3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1 896,5</w:t>
            </w:r>
          </w:p>
        </w:tc>
        <w:tc>
          <w:tcPr>
            <w:tcW w:w="1141" w:type="dxa"/>
            <w:vAlign w:val="center"/>
          </w:tcPr>
          <w:p w14:paraId="256C0D8D"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0,00</w:t>
            </w:r>
          </w:p>
        </w:tc>
        <w:tc>
          <w:tcPr>
            <w:tcW w:w="1152" w:type="dxa"/>
            <w:vAlign w:val="center"/>
          </w:tcPr>
          <w:p w14:paraId="3D50ABF8"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1 902,4</w:t>
            </w:r>
          </w:p>
        </w:tc>
        <w:tc>
          <w:tcPr>
            <w:tcW w:w="1152" w:type="dxa"/>
            <w:vAlign w:val="center"/>
          </w:tcPr>
          <w:p w14:paraId="5AE22973"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1 899,04</w:t>
            </w:r>
          </w:p>
        </w:tc>
        <w:tc>
          <w:tcPr>
            <w:tcW w:w="1206" w:type="dxa"/>
            <w:vAlign w:val="center"/>
          </w:tcPr>
          <w:p w14:paraId="315D113F"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2,5</w:t>
            </w:r>
          </w:p>
        </w:tc>
        <w:tc>
          <w:tcPr>
            <w:tcW w:w="1278" w:type="dxa"/>
            <w:vAlign w:val="center"/>
          </w:tcPr>
          <w:p w14:paraId="5A6B6A03"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-3,4</w:t>
            </w:r>
          </w:p>
        </w:tc>
      </w:tr>
    </w:tbl>
    <w:p w14:paraId="4D0A2DEC" w14:textId="77777777" w:rsidR="002A3B24" w:rsidRPr="00FD7B0B" w:rsidRDefault="002A3B24" w:rsidP="002A3B24">
      <w:pPr>
        <w:pStyle w:val="ad"/>
        <w:ind w:firstLine="709"/>
        <w:jc w:val="both"/>
        <w:rPr>
          <w:rFonts w:ascii="Times New Roman" w:hAnsi="Times New Roman"/>
          <w:sz w:val="28"/>
          <w:szCs w:val="28"/>
        </w:rPr>
      </w:pPr>
    </w:p>
    <w:p w14:paraId="1A908D21" w14:textId="4593905F"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Объем финансирования, утвержденный паспортом РП № 1 в редакции, действующей на 31.12.2024 не соответствует параметрам финансового обеспечения, утвержденными ГП № 06 в редакции, действующей на 31.12.2024, что является нарушением требований пункта 41 Постановления № 793-пп</w:t>
      </w:r>
      <w:r w:rsidR="00CD2BA2" w:rsidRPr="00FD7B0B">
        <w:rPr>
          <w:rFonts w:ascii="Times New Roman" w:hAnsi="Times New Roman"/>
          <w:sz w:val="28"/>
          <w:szCs w:val="28"/>
        </w:rPr>
        <w:t>.</w:t>
      </w:r>
    </w:p>
    <w:p w14:paraId="3682EF06" w14:textId="77777777" w:rsidR="002A3B24" w:rsidRPr="00FD7B0B" w:rsidRDefault="002A3B24" w:rsidP="002A3B24">
      <w:pPr>
        <w:pStyle w:val="ad"/>
        <w:ind w:firstLine="709"/>
        <w:jc w:val="both"/>
        <w:rPr>
          <w:rFonts w:ascii="Times New Roman" w:hAnsi="Times New Roman"/>
          <w:sz w:val="28"/>
          <w:szCs w:val="28"/>
        </w:rPr>
      </w:pPr>
    </w:p>
    <w:p w14:paraId="5C0D0F7F" w14:textId="7C8D80F9" w:rsidR="002A3B24" w:rsidRPr="00FD7B0B" w:rsidRDefault="002A3B24" w:rsidP="002A3B24">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РП № 1 реализуется через адресную программу Архангельской области «Переселение граждан из аварийного жилищного фонда на 2019 – 2025 годы»,</w:t>
      </w:r>
      <w:r w:rsidRPr="00FD7B0B">
        <w:t xml:space="preserve"> </w:t>
      </w:r>
      <w:r w:rsidRPr="00FD7B0B">
        <w:rPr>
          <w:rFonts w:ascii="Times New Roman" w:eastAsia="Times New Roman" w:hAnsi="Times New Roman" w:cs="Times New Roman"/>
          <w:sz w:val="28"/>
          <w:szCs w:val="28"/>
          <w:lang w:eastAsia="ru-RU"/>
        </w:rPr>
        <w:t xml:space="preserve">утвержденную постановлением от 26.03.2019 № 153-пп (далее </w:t>
      </w:r>
      <w:r w:rsidR="009C3992" w:rsidRPr="00FD7B0B">
        <w:rPr>
          <w:rFonts w:ascii="Times New Roman" w:eastAsia="Times New Roman" w:hAnsi="Times New Roman" w:cs="Times New Roman"/>
          <w:sz w:val="28"/>
          <w:szCs w:val="28"/>
          <w:lang w:eastAsia="ru-RU"/>
        </w:rPr>
        <w:t>– адресная программа № 153-пп).</w:t>
      </w:r>
    </w:p>
    <w:p w14:paraId="7C185400" w14:textId="77777777" w:rsidR="002A3B24" w:rsidRPr="00FD7B0B" w:rsidRDefault="002A3B24" w:rsidP="002A3B24">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Срок реализации адресной программы и РП № 1 установлен 31.12.2024. По состоянию на 10.04.2025 реализация мероприятия не завершена, в нарушение сроков реализации адресной программы и статьи 16 Закона № 185-ФЗ.</w:t>
      </w:r>
    </w:p>
    <w:p w14:paraId="4C5B6E2C" w14:textId="77777777" w:rsidR="002A3B24" w:rsidRPr="00FD7B0B" w:rsidRDefault="002A3B24" w:rsidP="002A3B24">
      <w:pPr>
        <w:shd w:val="clear" w:color="auto" w:fill="FFFFFF"/>
        <w:spacing w:after="0" w:line="240" w:lineRule="auto"/>
        <w:ind w:firstLine="851"/>
        <w:jc w:val="both"/>
        <w:rPr>
          <w:rFonts w:ascii="Times New Roman" w:eastAsia="Times New Roman" w:hAnsi="Times New Roman" w:cs="Times New Roman"/>
          <w:sz w:val="28"/>
          <w:szCs w:val="28"/>
          <w:lang w:eastAsia="ru-RU"/>
        </w:rPr>
      </w:pPr>
    </w:p>
    <w:tbl>
      <w:tblPr>
        <w:tblStyle w:val="a7"/>
        <w:tblW w:w="9440"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944"/>
        <w:gridCol w:w="910"/>
        <w:gridCol w:w="1189"/>
        <w:gridCol w:w="1047"/>
        <w:gridCol w:w="883"/>
        <w:gridCol w:w="1145"/>
        <w:gridCol w:w="1085"/>
        <w:gridCol w:w="1237"/>
      </w:tblGrid>
      <w:tr w:rsidR="00FD7B0B" w:rsidRPr="00FD7B0B" w14:paraId="3D988D7D" w14:textId="77777777" w:rsidTr="00AA59D5">
        <w:tc>
          <w:tcPr>
            <w:tcW w:w="1944" w:type="dxa"/>
            <w:vMerge w:val="restart"/>
            <w:vAlign w:val="center"/>
          </w:tcPr>
          <w:p w14:paraId="6A9E76A8"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 xml:space="preserve">Закон </w:t>
            </w:r>
          </w:p>
          <w:p w14:paraId="5C3B01B7"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 xml:space="preserve">«Об областном бюджете» в ред. </w:t>
            </w:r>
          </w:p>
          <w:p w14:paraId="5EBDBEE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rPr>
              <w:t>на 31.12.2024, млн.руб.</w:t>
            </w:r>
          </w:p>
        </w:tc>
        <w:tc>
          <w:tcPr>
            <w:tcW w:w="3146" w:type="dxa"/>
            <w:gridSpan w:val="3"/>
            <w:vAlign w:val="center"/>
          </w:tcPr>
          <w:p w14:paraId="305122DF" w14:textId="794224E4" w:rsidR="002A3B24" w:rsidRPr="00FD7B0B" w:rsidRDefault="00AA59D5"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СБР на 31.12.2024, млн.</w:t>
            </w:r>
            <w:r w:rsidR="002A3B24" w:rsidRPr="00FD7B0B">
              <w:rPr>
                <w:rFonts w:ascii="Times New Roman" w:eastAsia="Times New Roman" w:hAnsi="Times New Roman"/>
                <w:sz w:val="18"/>
                <w:szCs w:val="18"/>
              </w:rPr>
              <w:t>руб.</w:t>
            </w:r>
          </w:p>
        </w:tc>
        <w:tc>
          <w:tcPr>
            <w:tcW w:w="3113" w:type="dxa"/>
            <w:gridSpan w:val="3"/>
            <w:vAlign w:val="center"/>
          </w:tcPr>
          <w:p w14:paraId="33B38A06"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Паспорт РП № 1 на 31.12.2024 </w:t>
            </w:r>
          </w:p>
          <w:p w14:paraId="09C2C6D3" w14:textId="77F03FB0"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(без МБ), </w:t>
            </w:r>
            <w:r w:rsidR="000560EB" w:rsidRPr="00FD7B0B">
              <w:rPr>
                <w:rFonts w:ascii="Times New Roman" w:eastAsia="Times New Roman" w:hAnsi="Times New Roman"/>
                <w:sz w:val="18"/>
                <w:szCs w:val="18"/>
              </w:rPr>
              <w:t>млн.руб.</w:t>
            </w:r>
          </w:p>
        </w:tc>
        <w:tc>
          <w:tcPr>
            <w:tcW w:w="1237" w:type="dxa"/>
            <w:vMerge w:val="restart"/>
            <w:vAlign w:val="center"/>
          </w:tcPr>
          <w:p w14:paraId="10523A7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Отклонение</w:t>
            </w:r>
          </w:p>
        </w:tc>
      </w:tr>
      <w:tr w:rsidR="00FD7B0B" w:rsidRPr="00FD7B0B" w14:paraId="26C5B88C" w14:textId="77777777" w:rsidTr="00AA59D5">
        <w:tc>
          <w:tcPr>
            <w:tcW w:w="1944" w:type="dxa"/>
            <w:vMerge/>
          </w:tcPr>
          <w:p w14:paraId="2078D419" w14:textId="77777777" w:rsidR="002A3B24" w:rsidRPr="00FD7B0B" w:rsidRDefault="002A3B24" w:rsidP="002A3B24">
            <w:pPr>
              <w:contextualSpacing/>
              <w:jc w:val="center"/>
              <w:rPr>
                <w:rFonts w:ascii="Times New Roman" w:eastAsia="Times New Roman" w:hAnsi="Times New Roman"/>
                <w:sz w:val="18"/>
                <w:szCs w:val="18"/>
              </w:rPr>
            </w:pPr>
          </w:p>
        </w:tc>
        <w:tc>
          <w:tcPr>
            <w:tcW w:w="910" w:type="dxa"/>
            <w:vMerge w:val="restart"/>
            <w:vAlign w:val="center"/>
          </w:tcPr>
          <w:p w14:paraId="566D74D5"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всего, млн.руб.</w:t>
            </w:r>
          </w:p>
        </w:tc>
        <w:tc>
          <w:tcPr>
            <w:tcW w:w="2236" w:type="dxa"/>
            <w:gridSpan w:val="2"/>
            <w:vAlign w:val="center"/>
          </w:tcPr>
          <w:p w14:paraId="40280099"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в том числе:</w:t>
            </w:r>
          </w:p>
        </w:tc>
        <w:tc>
          <w:tcPr>
            <w:tcW w:w="883" w:type="dxa"/>
            <w:vMerge w:val="restart"/>
            <w:vAlign w:val="center"/>
          </w:tcPr>
          <w:p w14:paraId="59ABB2AA"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всего, млн.руб.</w:t>
            </w:r>
          </w:p>
        </w:tc>
        <w:tc>
          <w:tcPr>
            <w:tcW w:w="2230" w:type="dxa"/>
            <w:gridSpan w:val="2"/>
            <w:vAlign w:val="center"/>
          </w:tcPr>
          <w:p w14:paraId="2AF20FBB"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в том числе:</w:t>
            </w:r>
          </w:p>
        </w:tc>
        <w:tc>
          <w:tcPr>
            <w:tcW w:w="1237" w:type="dxa"/>
            <w:vMerge/>
            <w:vAlign w:val="center"/>
          </w:tcPr>
          <w:p w14:paraId="235248F6" w14:textId="77777777" w:rsidR="002A3B24" w:rsidRPr="00FD7B0B" w:rsidRDefault="002A3B24" w:rsidP="002A3B24">
            <w:pPr>
              <w:contextualSpacing/>
              <w:jc w:val="center"/>
              <w:rPr>
                <w:rFonts w:ascii="Times New Roman" w:eastAsia="Times New Roman" w:hAnsi="Times New Roman"/>
                <w:sz w:val="18"/>
                <w:szCs w:val="18"/>
              </w:rPr>
            </w:pPr>
          </w:p>
        </w:tc>
      </w:tr>
      <w:tr w:rsidR="00FD7B0B" w:rsidRPr="00FD7B0B" w14:paraId="7F2844E8" w14:textId="77777777" w:rsidTr="00AA59D5">
        <w:tc>
          <w:tcPr>
            <w:tcW w:w="1944" w:type="dxa"/>
            <w:vMerge/>
            <w:vAlign w:val="center"/>
          </w:tcPr>
          <w:p w14:paraId="0A4588A9" w14:textId="77777777" w:rsidR="002A3B24" w:rsidRPr="00FD7B0B" w:rsidRDefault="002A3B24" w:rsidP="002A3B24">
            <w:pPr>
              <w:contextualSpacing/>
              <w:rPr>
                <w:rFonts w:ascii="Times New Roman" w:eastAsia="Times New Roman" w:hAnsi="Times New Roman"/>
                <w:sz w:val="18"/>
                <w:szCs w:val="18"/>
              </w:rPr>
            </w:pPr>
          </w:p>
        </w:tc>
        <w:tc>
          <w:tcPr>
            <w:tcW w:w="910" w:type="dxa"/>
            <w:vMerge/>
            <w:vAlign w:val="center"/>
          </w:tcPr>
          <w:p w14:paraId="28987EE8" w14:textId="77777777" w:rsidR="002A3B24" w:rsidRPr="00FD7B0B" w:rsidRDefault="002A3B24" w:rsidP="002A3B24">
            <w:pPr>
              <w:contextualSpacing/>
              <w:rPr>
                <w:rFonts w:ascii="Times New Roman" w:eastAsia="Times New Roman" w:hAnsi="Times New Roman"/>
                <w:sz w:val="18"/>
                <w:szCs w:val="18"/>
              </w:rPr>
            </w:pPr>
          </w:p>
        </w:tc>
        <w:tc>
          <w:tcPr>
            <w:tcW w:w="1189" w:type="dxa"/>
            <w:vAlign w:val="center"/>
          </w:tcPr>
          <w:p w14:paraId="7D49570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средства Фонда, </w:t>
            </w:r>
          </w:p>
          <w:p w14:paraId="019BC192" w14:textId="62C9D3FE" w:rsidR="002A3B24" w:rsidRPr="00FD7B0B" w:rsidRDefault="00AA59D5"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млн.</w:t>
            </w:r>
            <w:r w:rsidR="002A3B24" w:rsidRPr="00FD7B0B">
              <w:rPr>
                <w:rFonts w:ascii="Times New Roman" w:eastAsia="Times New Roman" w:hAnsi="Times New Roman"/>
                <w:sz w:val="18"/>
                <w:szCs w:val="18"/>
              </w:rPr>
              <w:t>руб.</w:t>
            </w:r>
          </w:p>
        </w:tc>
        <w:tc>
          <w:tcPr>
            <w:tcW w:w="1047" w:type="dxa"/>
            <w:vAlign w:val="center"/>
          </w:tcPr>
          <w:p w14:paraId="4F5DA96C"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средства ОБ, млн.руб.</w:t>
            </w:r>
          </w:p>
        </w:tc>
        <w:tc>
          <w:tcPr>
            <w:tcW w:w="883" w:type="dxa"/>
            <w:vMerge/>
            <w:vAlign w:val="center"/>
          </w:tcPr>
          <w:p w14:paraId="57397498" w14:textId="77777777" w:rsidR="002A3B24" w:rsidRPr="00FD7B0B" w:rsidRDefault="002A3B24" w:rsidP="002A3B24">
            <w:pPr>
              <w:contextualSpacing/>
              <w:jc w:val="center"/>
              <w:rPr>
                <w:rFonts w:ascii="Times New Roman" w:eastAsia="Times New Roman" w:hAnsi="Times New Roman"/>
                <w:sz w:val="18"/>
                <w:szCs w:val="18"/>
              </w:rPr>
            </w:pPr>
          </w:p>
        </w:tc>
        <w:tc>
          <w:tcPr>
            <w:tcW w:w="1145" w:type="dxa"/>
            <w:vAlign w:val="center"/>
          </w:tcPr>
          <w:p w14:paraId="523AC0C9"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средства Фонда, </w:t>
            </w:r>
          </w:p>
          <w:p w14:paraId="3302C97E" w14:textId="0E639F57" w:rsidR="002A3B24" w:rsidRPr="00FD7B0B" w:rsidRDefault="00AA59D5"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млн.</w:t>
            </w:r>
            <w:r w:rsidR="002A3B24" w:rsidRPr="00FD7B0B">
              <w:rPr>
                <w:rFonts w:ascii="Times New Roman" w:eastAsia="Times New Roman" w:hAnsi="Times New Roman"/>
                <w:sz w:val="18"/>
                <w:szCs w:val="18"/>
              </w:rPr>
              <w:t>руб.</w:t>
            </w:r>
          </w:p>
        </w:tc>
        <w:tc>
          <w:tcPr>
            <w:tcW w:w="1085" w:type="dxa"/>
            <w:vAlign w:val="center"/>
          </w:tcPr>
          <w:p w14:paraId="0CF8C4E3"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средства ОБ, млн.руб.</w:t>
            </w:r>
          </w:p>
        </w:tc>
        <w:tc>
          <w:tcPr>
            <w:tcW w:w="1237" w:type="dxa"/>
            <w:vMerge/>
            <w:vAlign w:val="center"/>
          </w:tcPr>
          <w:p w14:paraId="3EA5F156" w14:textId="77777777" w:rsidR="002A3B24" w:rsidRPr="00FD7B0B" w:rsidRDefault="002A3B24" w:rsidP="002A3B24">
            <w:pPr>
              <w:contextualSpacing/>
              <w:jc w:val="center"/>
              <w:rPr>
                <w:rFonts w:ascii="Times New Roman" w:eastAsia="Times New Roman" w:hAnsi="Times New Roman"/>
                <w:sz w:val="18"/>
                <w:szCs w:val="18"/>
              </w:rPr>
            </w:pPr>
          </w:p>
        </w:tc>
      </w:tr>
      <w:tr w:rsidR="00FD7B0B" w:rsidRPr="00FD7B0B" w14:paraId="43E0606B" w14:textId="77777777" w:rsidTr="00AA59D5">
        <w:tc>
          <w:tcPr>
            <w:tcW w:w="1944" w:type="dxa"/>
          </w:tcPr>
          <w:p w14:paraId="46E88239"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w:t>
            </w:r>
          </w:p>
        </w:tc>
        <w:tc>
          <w:tcPr>
            <w:tcW w:w="910" w:type="dxa"/>
            <w:vAlign w:val="center"/>
          </w:tcPr>
          <w:p w14:paraId="60D8ADFB"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2</w:t>
            </w:r>
          </w:p>
        </w:tc>
        <w:tc>
          <w:tcPr>
            <w:tcW w:w="1189" w:type="dxa"/>
            <w:vAlign w:val="center"/>
          </w:tcPr>
          <w:p w14:paraId="739757E3"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w:t>
            </w:r>
          </w:p>
        </w:tc>
        <w:tc>
          <w:tcPr>
            <w:tcW w:w="1047" w:type="dxa"/>
            <w:vAlign w:val="center"/>
          </w:tcPr>
          <w:p w14:paraId="10139A47"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4</w:t>
            </w:r>
          </w:p>
        </w:tc>
        <w:tc>
          <w:tcPr>
            <w:tcW w:w="883" w:type="dxa"/>
            <w:vAlign w:val="center"/>
          </w:tcPr>
          <w:p w14:paraId="5B123E2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5</w:t>
            </w:r>
          </w:p>
        </w:tc>
        <w:tc>
          <w:tcPr>
            <w:tcW w:w="1145" w:type="dxa"/>
            <w:vAlign w:val="center"/>
          </w:tcPr>
          <w:p w14:paraId="65E840E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6</w:t>
            </w:r>
          </w:p>
        </w:tc>
        <w:tc>
          <w:tcPr>
            <w:tcW w:w="1085" w:type="dxa"/>
            <w:vAlign w:val="center"/>
          </w:tcPr>
          <w:p w14:paraId="1A0DCD3C"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7</w:t>
            </w:r>
          </w:p>
        </w:tc>
        <w:tc>
          <w:tcPr>
            <w:tcW w:w="1237" w:type="dxa"/>
            <w:vAlign w:val="center"/>
          </w:tcPr>
          <w:p w14:paraId="1E8733F1"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8=5-2</w:t>
            </w:r>
          </w:p>
        </w:tc>
      </w:tr>
      <w:tr w:rsidR="002A3B24" w:rsidRPr="00FD7B0B" w14:paraId="13A3ED58" w14:textId="77777777" w:rsidTr="00AA59D5">
        <w:tc>
          <w:tcPr>
            <w:tcW w:w="1944" w:type="dxa"/>
          </w:tcPr>
          <w:p w14:paraId="11DFC7BC"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3 486,4</w:t>
            </w:r>
          </w:p>
        </w:tc>
        <w:tc>
          <w:tcPr>
            <w:tcW w:w="910" w:type="dxa"/>
          </w:tcPr>
          <w:p w14:paraId="50FE2920"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3 000,5</w:t>
            </w:r>
          </w:p>
        </w:tc>
        <w:tc>
          <w:tcPr>
            <w:tcW w:w="1189" w:type="dxa"/>
            <w:vAlign w:val="center"/>
          </w:tcPr>
          <w:p w14:paraId="417C8272"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2 483,5</w:t>
            </w:r>
          </w:p>
        </w:tc>
        <w:tc>
          <w:tcPr>
            <w:tcW w:w="1047" w:type="dxa"/>
            <w:vAlign w:val="center"/>
          </w:tcPr>
          <w:p w14:paraId="60A536BD"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516,96</w:t>
            </w:r>
          </w:p>
        </w:tc>
        <w:tc>
          <w:tcPr>
            <w:tcW w:w="883" w:type="dxa"/>
            <w:vAlign w:val="center"/>
          </w:tcPr>
          <w:p w14:paraId="3D31DD02"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3 000,5</w:t>
            </w:r>
          </w:p>
        </w:tc>
        <w:tc>
          <w:tcPr>
            <w:tcW w:w="1145" w:type="dxa"/>
            <w:vAlign w:val="center"/>
          </w:tcPr>
          <w:p w14:paraId="3CF8623B"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х</w:t>
            </w:r>
          </w:p>
        </w:tc>
        <w:tc>
          <w:tcPr>
            <w:tcW w:w="1085" w:type="dxa"/>
            <w:vAlign w:val="center"/>
          </w:tcPr>
          <w:p w14:paraId="1FDD365F"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х</w:t>
            </w:r>
          </w:p>
        </w:tc>
        <w:tc>
          <w:tcPr>
            <w:tcW w:w="1237" w:type="dxa"/>
            <w:vAlign w:val="center"/>
          </w:tcPr>
          <w:p w14:paraId="047B9230"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0,0</w:t>
            </w:r>
          </w:p>
        </w:tc>
      </w:tr>
    </w:tbl>
    <w:p w14:paraId="12D4FB66" w14:textId="77777777" w:rsidR="002A3B24" w:rsidRPr="00FD7B0B" w:rsidRDefault="002A3B24" w:rsidP="002A3B24">
      <w:pPr>
        <w:shd w:val="clear" w:color="auto" w:fill="FFFFFF"/>
        <w:spacing w:after="0" w:line="240" w:lineRule="auto"/>
        <w:ind w:firstLine="851"/>
        <w:jc w:val="both"/>
        <w:rPr>
          <w:rFonts w:ascii="Times New Roman" w:eastAsia="Times New Roman" w:hAnsi="Times New Roman" w:cs="Times New Roman"/>
          <w:sz w:val="28"/>
          <w:szCs w:val="28"/>
          <w:lang w:eastAsia="ru-RU"/>
        </w:rPr>
      </w:pPr>
    </w:p>
    <w:tbl>
      <w:tblPr>
        <w:tblStyle w:val="a7"/>
        <w:tblW w:w="9394"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437"/>
        <w:gridCol w:w="2410"/>
        <w:gridCol w:w="1984"/>
        <w:gridCol w:w="3563"/>
      </w:tblGrid>
      <w:tr w:rsidR="00FD7B0B" w:rsidRPr="00FD7B0B" w14:paraId="5558D6FD" w14:textId="77777777" w:rsidTr="00AA59D5">
        <w:tc>
          <w:tcPr>
            <w:tcW w:w="5831" w:type="dxa"/>
            <w:gridSpan w:val="3"/>
            <w:vAlign w:val="center"/>
          </w:tcPr>
          <w:p w14:paraId="0FBD34E6" w14:textId="4270D081" w:rsidR="002A3B24" w:rsidRPr="00FD7B0B" w:rsidRDefault="00AA59D5"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Исполнено на 31.12.2024, млн.</w:t>
            </w:r>
            <w:r w:rsidR="002A3B24" w:rsidRPr="00FD7B0B">
              <w:rPr>
                <w:rFonts w:ascii="Times New Roman" w:eastAsia="Times New Roman" w:hAnsi="Times New Roman"/>
                <w:sz w:val="18"/>
                <w:szCs w:val="18"/>
              </w:rPr>
              <w:t>руб.</w:t>
            </w:r>
          </w:p>
        </w:tc>
        <w:tc>
          <w:tcPr>
            <w:tcW w:w="3563" w:type="dxa"/>
            <w:vMerge w:val="restart"/>
            <w:vAlign w:val="center"/>
          </w:tcPr>
          <w:p w14:paraId="68A321E9" w14:textId="5F7120D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Информация об остатках</w:t>
            </w:r>
            <w:r w:rsidR="00AA59D5" w:rsidRPr="00FD7B0B">
              <w:rPr>
                <w:rFonts w:ascii="Times New Roman" w:eastAsia="Times New Roman" w:hAnsi="Times New Roman"/>
                <w:sz w:val="18"/>
                <w:szCs w:val="18"/>
              </w:rPr>
              <w:t xml:space="preserve"> средств ОБ на 01.01.2025, млн.</w:t>
            </w:r>
            <w:r w:rsidRPr="00FD7B0B">
              <w:rPr>
                <w:rFonts w:ascii="Times New Roman" w:eastAsia="Times New Roman" w:hAnsi="Times New Roman"/>
                <w:sz w:val="18"/>
                <w:szCs w:val="18"/>
              </w:rPr>
              <w:t>руб.</w:t>
            </w:r>
          </w:p>
        </w:tc>
      </w:tr>
      <w:tr w:rsidR="00FD7B0B" w:rsidRPr="00FD7B0B" w14:paraId="7F749BD5" w14:textId="77777777" w:rsidTr="00AA59D5">
        <w:tc>
          <w:tcPr>
            <w:tcW w:w="1437" w:type="dxa"/>
            <w:vMerge w:val="restart"/>
            <w:vAlign w:val="center"/>
          </w:tcPr>
          <w:p w14:paraId="4C3C7E9A"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всего, млн.руб.</w:t>
            </w:r>
          </w:p>
        </w:tc>
        <w:tc>
          <w:tcPr>
            <w:tcW w:w="4394" w:type="dxa"/>
            <w:gridSpan w:val="2"/>
            <w:vAlign w:val="center"/>
          </w:tcPr>
          <w:p w14:paraId="47D1B9DA"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в том числе:</w:t>
            </w:r>
          </w:p>
        </w:tc>
        <w:tc>
          <w:tcPr>
            <w:tcW w:w="3563" w:type="dxa"/>
            <w:vMerge/>
            <w:vAlign w:val="center"/>
          </w:tcPr>
          <w:p w14:paraId="53D3CD37" w14:textId="77777777" w:rsidR="002A3B24" w:rsidRPr="00FD7B0B" w:rsidRDefault="002A3B24" w:rsidP="002A3B24">
            <w:pPr>
              <w:contextualSpacing/>
              <w:jc w:val="center"/>
              <w:rPr>
                <w:rFonts w:ascii="Times New Roman" w:eastAsia="Times New Roman" w:hAnsi="Times New Roman"/>
                <w:sz w:val="18"/>
                <w:szCs w:val="18"/>
              </w:rPr>
            </w:pPr>
          </w:p>
        </w:tc>
      </w:tr>
      <w:tr w:rsidR="00FD7B0B" w:rsidRPr="00FD7B0B" w14:paraId="4D60FAF1" w14:textId="77777777" w:rsidTr="00AA59D5">
        <w:tc>
          <w:tcPr>
            <w:tcW w:w="1437" w:type="dxa"/>
            <w:vMerge/>
            <w:vAlign w:val="center"/>
          </w:tcPr>
          <w:p w14:paraId="378B26F3" w14:textId="77777777" w:rsidR="002A3B24" w:rsidRPr="00FD7B0B" w:rsidRDefault="002A3B24" w:rsidP="002A3B24">
            <w:pPr>
              <w:contextualSpacing/>
              <w:rPr>
                <w:rFonts w:ascii="Times New Roman" w:eastAsia="Times New Roman" w:hAnsi="Times New Roman"/>
                <w:sz w:val="18"/>
                <w:szCs w:val="18"/>
              </w:rPr>
            </w:pPr>
          </w:p>
        </w:tc>
        <w:tc>
          <w:tcPr>
            <w:tcW w:w="2410" w:type="dxa"/>
            <w:vAlign w:val="center"/>
          </w:tcPr>
          <w:p w14:paraId="706219C2" w14:textId="5B4BD341"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средства Фонда, </w:t>
            </w:r>
            <w:r w:rsidR="000560EB" w:rsidRPr="00FD7B0B">
              <w:rPr>
                <w:rFonts w:ascii="Times New Roman" w:eastAsia="Times New Roman" w:hAnsi="Times New Roman"/>
                <w:sz w:val="18"/>
                <w:szCs w:val="18"/>
              </w:rPr>
              <w:t>млн.руб.</w:t>
            </w:r>
          </w:p>
        </w:tc>
        <w:tc>
          <w:tcPr>
            <w:tcW w:w="1984" w:type="dxa"/>
            <w:vAlign w:val="center"/>
          </w:tcPr>
          <w:p w14:paraId="7E830D6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средства ОБ, млн.руб.</w:t>
            </w:r>
          </w:p>
        </w:tc>
        <w:tc>
          <w:tcPr>
            <w:tcW w:w="3563" w:type="dxa"/>
            <w:vAlign w:val="center"/>
          </w:tcPr>
          <w:p w14:paraId="04A51D48" w14:textId="00125C62" w:rsidR="002A3B24" w:rsidRPr="00FD7B0B" w:rsidRDefault="00AA59D5"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средства Фонда, млн.</w:t>
            </w:r>
            <w:r w:rsidR="002A3B24" w:rsidRPr="00FD7B0B">
              <w:rPr>
                <w:rFonts w:ascii="Times New Roman" w:eastAsia="Times New Roman" w:hAnsi="Times New Roman"/>
                <w:sz w:val="18"/>
                <w:szCs w:val="18"/>
              </w:rPr>
              <w:t>руб.</w:t>
            </w:r>
          </w:p>
        </w:tc>
      </w:tr>
      <w:tr w:rsidR="002A3B24" w:rsidRPr="00FD7B0B" w14:paraId="46D94B94" w14:textId="77777777" w:rsidTr="00AA59D5">
        <w:tc>
          <w:tcPr>
            <w:tcW w:w="1437" w:type="dxa"/>
          </w:tcPr>
          <w:p w14:paraId="1C87DAB3"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2 987,7</w:t>
            </w:r>
          </w:p>
        </w:tc>
        <w:tc>
          <w:tcPr>
            <w:tcW w:w="2410" w:type="dxa"/>
            <w:vAlign w:val="center"/>
          </w:tcPr>
          <w:p w14:paraId="22DDD521"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2 481,6</w:t>
            </w:r>
          </w:p>
        </w:tc>
        <w:tc>
          <w:tcPr>
            <w:tcW w:w="1984" w:type="dxa"/>
            <w:vAlign w:val="center"/>
          </w:tcPr>
          <w:p w14:paraId="33460D22"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506,1</w:t>
            </w:r>
          </w:p>
        </w:tc>
        <w:tc>
          <w:tcPr>
            <w:tcW w:w="3563" w:type="dxa"/>
            <w:vAlign w:val="center"/>
          </w:tcPr>
          <w:p w14:paraId="2172A965"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122,3</w:t>
            </w:r>
          </w:p>
        </w:tc>
      </w:tr>
    </w:tbl>
    <w:p w14:paraId="193535F9" w14:textId="77777777" w:rsidR="002A3B24" w:rsidRPr="00FD7B0B" w:rsidRDefault="002A3B24" w:rsidP="002A3B24">
      <w:pPr>
        <w:shd w:val="clear" w:color="auto" w:fill="FFFFFF"/>
        <w:spacing w:after="0" w:line="240" w:lineRule="auto"/>
        <w:ind w:firstLine="851"/>
        <w:jc w:val="both"/>
        <w:rPr>
          <w:rFonts w:ascii="Times New Roman" w:eastAsia="Times New Roman" w:hAnsi="Times New Roman" w:cs="Times New Roman"/>
          <w:sz w:val="28"/>
          <w:szCs w:val="28"/>
          <w:lang w:eastAsia="ru-RU"/>
        </w:rPr>
      </w:pPr>
    </w:p>
    <w:p w14:paraId="296456B1" w14:textId="67635A91"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В соответствии с отчетами министерства ТЭК и ЖКХ перед ГК «Фонд содействия реформированию ЖКХ» остаток средств Фонда на</w:t>
      </w:r>
      <w:r w:rsidR="00AA59D5" w:rsidRPr="00FD7B0B">
        <w:rPr>
          <w:rFonts w:ascii="Times New Roman" w:hAnsi="Times New Roman"/>
          <w:sz w:val="28"/>
          <w:szCs w:val="28"/>
        </w:rPr>
        <w:t xml:space="preserve"> 31.12.2024 составляет 6,9 млн.руб., в том числе 1,9 млн.</w:t>
      </w:r>
      <w:r w:rsidRPr="00FD7B0B">
        <w:rPr>
          <w:rFonts w:ascii="Times New Roman" w:hAnsi="Times New Roman"/>
          <w:sz w:val="28"/>
          <w:szCs w:val="28"/>
        </w:rPr>
        <w:t xml:space="preserve">руб. остаток средств Фонда </w:t>
      </w:r>
      <w:r w:rsidRPr="00FD7B0B">
        <w:rPr>
          <w:rFonts w:ascii="Times New Roman" w:hAnsi="Times New Roman"/>
          <w:sz w:val="28"/>
          <w:szCs w:val="28"/>
        </w:rPr>
        <w:br/>
        <w:t xml:space="preserve">в соответствии с Приложением № 5 к пояснительной записке к отчету </w:t>
      </w:r>
      <w:r w:rsidRPr="00FD7B0B">
        <w:rPr>
          <w:rFonts w:ascii="Times New Roman" w:hAnsi="Times New Roman"/>
          <w:sz w:val="28"/>
          <w:szCs w:val="28"/>
        </w:rPr>
        <w:br/>
        <w:t xml:space="preserve">об исполнении областного бюджета за 2024 год по форме приложения № 7 </w:t>
      </w:r>
      <w:r w:rsidRPr="00FD7B0B">
        <w:rPr>
          <w:rFonts w:ascii="Times New Roman" w:hAnsi="Times New Roman"/>
          <w:sz w:val="28"/>
          <w:szCs w:val="28"/>
        </w:rPr>
        <w:br/>
        <w:t>к областному закону «Об областном бюджете на 2024 год и на план</w:t>
      </w:r>
      <w:r w:rsidR="00213A96" w:rsidRPr="00FD7B0B">
        <w:rPr>
          <w:rFonts w:ascii="Times New Roman" w:hAnsi="Times New Roman"/>
          <w:sz w:val="28"/>
          <w:szCs w:val="28"/>
        </w:rPr>
        <w:t>овый период 2025 и 2026 годов».</w:t>
      </w:r>
    </w:p>
    <w:p w14:paraId="095E97D9" w14:textId="498894AC"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Отмечаем, что по данным приложения 11 «Информация об остатках средств областного бюджета на 01.01.2025 и их целевой направленности» остаток средств ППК «Фонд развития территорий» на обеспечение мероприятий по переселению граждан из аварийного жилищного фонда и обеспечение мероприятий по модернизации систем коммунальной инфраструктуры </w:t>
      </w:r>
      <w:r w:rsidRPr="00FD7B0B">
        <w:rPr>
          <w:rFonts w:ascii="Times New Roman" w:hAnsi="Times New Roman"/>
          <w:sz w:val="28"/>
          <w:szCs w:val="28"/>
        </w:rPr>
        <w:br/>
        <w:t>на 01.01.2025 с</w:t>
      </w:r>
      <w:r w:rsidR="00213A96" w:rsidRPr="00FD7B0B">
        <w:rPr>
          <w:rFonts w:ascii="Times New Roman" w:hAnsi="Times New Roman"/>
          <w:sz w:val="28"/>
          <w:szCs w:val="28"/>
        </w:rPr>
        <w:t>оставляет 122,3 млн.</w:t>
      </w:r>
      <w:r w:rsidRPr="00FD7B0B">
        <w:rPr>
          <w:rFonts w:ascii="Times New Roman" w:hAnsi="Times New Roman"/>
          <w:sz w:val="28"/>
          <w:szCs w:val="28"/>
        </w:rPr>
        <w:t>руб., из них:</w:t>
      </w:r>
    </w:p>
    <w:p w14:paraId="0CF4279E" w14:textId="7551D670" w:rsidR="002A3B24" w:rsidRPr="00FD7B0B" w:rsidRDefault="00213A96" w:rsidP="002A3B24">
      <w:pPr>
        <w:pStyle w:val="ad"/>
        <w:ind w:firstLine="709"/>
        <w:jc w:val="both"/>
        <w:rPr>
          <w:rFonts w:ascii="Times New Roman" w:hAnsi="Times New Roman"/>
          <w:sz w:val="28"/>
          <w:szCs w:val="28"/>
        </w:rPr>
      </w:pPr>
      <w:r w:rsidRPr="00FD7B0B">
        <w:rPr>
          <w:rFonts w:ascii="Times New Roman" w:hAnsi="Times New Roman"/>
          <w:sz w:val="28"/>
          <w:szCs w:val="28"/>
        </w:rPr>
        <w:t>115,4 млн.</w:t>
      </w:r>
      <w:r w:rsidR="002A3B24" w:rsidRPr="00FD7B0B">
        <w:rPr>
          <w:rFonts w:ascii="Times New Roman" w:hAnsi="Times New Roman"/>
          <w:sz w:val="28"/>
          <w:szCs w:val="28"/>
        </w:rPr>
        <w:t xml:space="preserve">руб. – по адресной программе «Переселение граждан </w:t>
      </w:r>
      <w:r w:rsidR="002A3B24" w:rsidRPr="00FD7B0B">
        <w:rPr>
          <w:rFonts w:ascii="Times New Roman" w:hAnsi="Times New Roman"/>
          <w:sz w:val="28"/>
          <w:szCs w:val="28"/>
        </w:rPr>
        <w:br/>
        <w:t>из аварийного жилищного фонда на 2013</w:t>
      </w:r>
      <w:r w:rsidRPr="00FD7B0B">
        <w:rPr>
          <w:rFonts w:ascii="Times New Roman" w:hAnsi="Times New Roman"/>
          <w:sz w:val="28"/>
          <w:szCs w:val="28"/>
        </w:rPr>
        <w:t xml:space="preserve"> – </w:t>
      </w:r>
      <w:r w:rsidR="002A3B24" w:rsidRPr="00FD7B0B">
        <w:rPr>
          <w:rFonts w:ascii="Times New Roman" w:hAnsi="Times New Roman"/>
          <w:sz w:val="28"/>
          <w:szCs w:val="28"/>
        </w:rPr>
        <w:t xml:space="preserve">2018 годы», утвержденной постановлением Правительства Архангельской области от 23.04.2013 № 173-пп, </w:t>
      </w:r>
    </w:p>
    <w:p w14:paraId="0DA08C54" w14:textId="11D03783" w:rsidR="002A3B24" w:rsidRPr="00FD7B0B" w:rsidRDefault="00213A96" w:rsidP="002A3B24">
      <w:pPr>
        <w:pStyle w:val="ad"/>
        <w:ind w:firstLine="709"/>
        <w:jc w:val="both"/>
        <w:rPr>
          <w:rFonts w:ascii="Times New Roman" w:hAnsi="Times New Roman"/>
          <w:sz w:val="28"/>
          <w:szCs w:val="28"/>
        </w:rPr>
      </w:pPr>
      <w:r w:rsidRPr="00FD7B0B">
        <w:rPr>
          <w:rFonts w:ascii="Times New Roman" w:hAnsi="Times New Roman"/>
          <w:sz w:val="28"/>
          <w:szCs w:val="28"/>
        </w:rPr>
        <w:t>6,9 млн.</w:t>
      </w:r>
      <w:r w:rsidR="002A3B24" w:rsidRPr="00FD7B0B">
        <w:rPr>
          <w:rFonts w:ascii="Times New Roman" w:hAnsi="Times New Roman"/>
          <w:sz w:val="28"/>
          <w:szCs w:val="28"/>
        </w:rPr>
        <w:t>руб. – по адресной программе № 153-пп, в том числе:</w:t>
      </w:r>
    </w:p>
    <w:p w14:paraId="63342145" w14:textId="000113AC" w:rsidR="002A3B24" w:rsidRPr="00FD7B0B" w:rsidRDefault="00213A96" w:rsidP="002A3B24">
      <w:pPr>
        <w:pStyle w:val="ad"/>
        <w:ind w:left="708" w:firstLine="709"/>
        <w:jc w:val="both"/>
        <w:rPr>
          <w:rFonts w:ascii="Times New Roman" w:hAnsi="Times New Roman"/>
          <w:sz w:val="28"/>
          <w:szCs w:val="28"/>
        </w:rPr>
      </w:pPr>
      <w:r w:rsidRPr="00FD7B0B">
        <w:rPr>
          <w:rFonts w:ascii="Times New Roman" w:hAnsi="Times New Roman"/>
          <w:sz w:val="28"/>
          <w:szCs w:val="28"/>
        </w:rPr>
        <w:t>2,0 млн.</w:t>
      </w:r>
      <w:r w:rsidR="002A3B24" w:rsidRPr="00FD7B0B">
        <w:rPr>
          <w:rFonts w:ascii="Times New Roman" w:hAnsi="Times New Roman"/>
          <w:sz w:val="28"/>
          <w:szCs w:val="28"/>
        </w:rPr>
        <w:t>руб. – по этапу 2021 года;</w:t>
      </w:r>
    </w:p>
    <w:p w14:paraId="61ED3B17" w14:textId="25FDDAAF" w:rsidR="002A3B24" w:rsidRPr="00FD7B0B" w:rsidRDefault="00213A96" w:rsidP="002A3B24">
      <w:pPr>
        <w:pStyle w:val="ad"/>
        <w:ind w:left="708" w:firstLine="709"/>
        <w:jc w:val="both"/>
        <w:rPr>
          <w:rFonts w:ascii="Times New Roman" w:hAnsi="Times New Roman"/>
          <w:sz w:val="28"/>
          <w:szCs w:val="28"/>
        </w:rPr>
      </w:pPr>
      <w:r w:rsidRPr="00FD7B0B">
        <w:rPr>
          <w:rFonts w:ascii="Times New Roman" w:hAnsi="Times New Roman"/>
          <w:sz w:val="28"/>
          <w:szCs w:val="28"/>
        </w:rPr>
        <w:t>1,3 млн.</w:t>
      </w:r>
      <w:r w:rsidR="002A3B24" w:rsidRPr="00FD7B0B">
        <w:rPr>
          <w:rFonts w:ascii="Times New Roman" w:hAnsi="Times New Roman"/>
          <w:sz w:val="28"/>
          <w:szCs w:val="28"/>
        </w:rPr>
        <w:t>руб. – по этапу 2022 года;</w:t>
      </w:r>
    </w:p>
    <w:p w14:paraId="6500D831" w14:textId="23BCE63C" w:rsidR="002A3B24" w:rsidRPr="00FD7B0B" w:rsidRDefault="00213A96" w:rsidP="002A3B24">
      <w:pPr>
        <w:pStyle w:val="ad"/>
        <w:ind w:left="708" w:firstLine="709"/>
        <w:jc w:val="both"/>
        <w:rPr>
          <w:rFonts w:ascii="Times New Roman" w:hAnsi="Times New Roman"/>
          <w:sz w:val="28"/>
          <w:szCs w:val="28"/>
        </w:rPr>
      </w:pPr>
      <w:r w:rsidRPr="00FD7B0B">
        <w:rPr>
          <w:rFonts w:ascii="Times New Roman" w:hAnsi="Times New Roman"/>
          <w:sz w:val="28"/>
          <w:szCs w:val="28"/>
        </w:rPr>
        <w:t>3,6 млн.</w:t>
      </w:r>
      <w:r w:rsidR="002A3B24" w:rsidRPr="00FD7B0B">
        <w:rPr>
          <w:rFonts w:ascii="Times New Roman" w:hAnsi="Times New Roman"/>
          <w:sz w:val="28"/>
          <w:szCs w:val="28"/>
        </w:rPr>
        <w:t>руб. – по этапу 2023 года.</w:t>
      </w:r>
    </w:p>
    <w:p w14:paraId="6C72ACC9" w14:textId="7183D538"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При этом по результатам анализа отчетов министерства ТЭК и ЖКХ АО перед ГК «Фонд содействия реформированию ЖКХ» о расходовании средств Фонда отмечаем превышение размера перечисленных средств Фонда в бюджеты муниципальных образовании и на оплату по государственным контрактам над поступившими от Фонда денежными средствами в разрезе этапов. Результаты представлены в таблице </w:t>
      </w:r>
      <w:r w:rsidR="00CD2BA2" w:rsidRPr="00FD7B0B">
        <w:rPr>
          <w:rFonts w:ascii="Times New Roman" w:hAnsi="Times New Roman"/>
          <w:sz w:val="28"/>
          <w:szCs w:val="28"/>
        </w:rPr>
        <w:t>136</w:t>
      </w:r>
      <w:r w:rsidRPr="00FD7B0B">
        <w:rPr>
          <w:rFonts w:ascii="Times New Roman" w:hAnsi="Times New Roman"/>
          <w:sz w:val="28"/>
          <w:szCs w:val="28"/>
        </w:rPr>
        <w:t>.</w:t>
      </w:r>
    </w:p>
    <w:p w14:paraId="065B84D2" w14:textId="77777777" w:rsidR="002A3B24" w:rsidRPr="00FD7B0B" w:rsidRDefault="002A3B24" w:rsidP="002A3B24">
      <w:pPr>
        <w:pStyle w:val="ad"/>
        <w:ind w:firstLine="709"/>
        <w:jc w:val="both"/>
        <w:rPr>
          <w:rFonts w:ascii="Times New Roman" w:hAnsi="Times New Roman"/>
          <w:sz w:val="28"/>
          <w:szCs w:val="28"/>
        </w:rPr>
      </w:pPr>
    </w:p>
    <w:p w14:paraId="0003320D" w14:textId="49166407" w:rsidR="002A3B24" w:rsidRPr="00FD7B0B" w:rsidRDefault="002A3B24" w:rsidP="00213A96">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136</w:t>
      </w:r>
      <w:r w:rsidRPr="00FD7B0B">
        <w:rPr>
          <w:rFonts w:ascii="Times New Roman" w:hAnsi="Times New Roman"/>
          <w:b w:val="0"/>
          <w:sz w:val="24"/>
          <w:szCs w:val="24"/>
        </w:rPr>
        <w:fldChar w:fldCharType="end"/>
      </w:r>
      <w:r w:rsidR="00CD2BA2" w:rsidRPr="00FD7B0B">
        <w:rPr>
          <w:rFonts w:ascii="Times New Roman" w:hAnsi="Times New Roman"/>
          <w:b w:val="0"/>
          <w:sz w:val="24"/>
          <w:szCs w:val="24"/>
        </w:rPr>
        <w:t>.</w:t>
      </w:r>
      <w:r w:rsidRPr="00FD7B0B">
        <w:rPr>
          <w:rFonts w:ascii="Times New Roman" w:hAnsi="Times New Roman"/>
          <w:b w:val="0"/>
          <w:sz w:val="24"/>
          <w:szCs w:val="24"/>
        </w:rPr>
        <w:t xml:space="preserve"> Результаты анализа отчетов министерства ТЭК и ЖКХ АО перед ГК «Фонд содействия реформированию ЖКХ»</w:t>
      </w:r>
    </w:p>
    <w:tbl>
      <w:tblPr>
        <w:tblW w:w="96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45"/>
        <w:gridCol w:w="1984"/>
        <w:gridCol w:w="1108"/>
        <w:gridCol w:w="1108"/>
        <w:gridCol w:w="1323"/>
        <w:gridCol w:w="1413"/>
        <w:gridCol w:w="1153"/>
      </w:tblGrid>
      <w:tr w:rsidR="00FD7B0B" w:rsidRPr="00FD7B0B" w14:paraId="31C84A2E" w14:textId="77777777" w:rsidTr="00213A96">
        <w:trPr>
          <w:trHeight w:val="1709"/>
          <w:tblHeader/>
        </w:trPr>
        <w:tc>
          <w:tcPr>
            <w:tcW w:w="1545" w:type="dxa"/>
            <w:shd w:val="clear" w:color="000000" w:fill="FFFFFF"/>
            <w:vAlign w:val="center"/>
            <w:hideMark/>
          </w:tcPr>
          <w:p w14:paraId="15A3D453"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Этап</w:t>
            </w:r>
          </w:p>
        </w:tc>
        <w:tc>
          <w:tcPr>
            <w:tcW w:w="1984" w:type="dxa"/>
            <w:shd w:val="clear" w:color="000000" w:fill="FFFFFF"/>
            <w:vAlign w:val="center"/>
            <w:hideMark/>
          </w:tcPr>
          <w:p w14:paraId="49151F16"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Неиспользованные остатки средств Фонда, образовавшиеся по предыдущим заявкам, по которым принято решение правления Фонда о согласовании их использования на реализацию текущей заявки</w:t>
            </w:r>
          </w:p>
        </w:tc>
        <w:tc>
          <w:tcPr>
            <w:tcW w:w="1108" w:type="dxa"/>
            <w:shd w:val="clear" w:color="000000" w:fill="FFFFFF"/>
            <w:vAlign w:val="center"/>
            <w:hideMark/>
          </w:tcPr>
          <w:p w14:paraId="4A5679BA"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Поступило, млн.руб.</w:t>
            </w:r>
          </w:p>
        </w:tc>
        <w:tc>
          <w:tcPr>
            <w:tcW w:w="1108" w:type="dxa"/>
            <w:shd w:val="clear" w:color="000000" w:fill="FFFFFF"/>
            <w:vAlign w:val="center"/>
            <w:hideMark/>
          </w:tcPr>
          <w:p w14:paraId="7288B7EC"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Перечислено всего, млн.руб.</w:t>
            </w:r>
          </w:p>
        </w:tc>
        <w:tc>
          <w:tcPr>
            <w:tcW w:w="1323" w:type="dxa"/>
            <w:shd w:val="clear" w:color="000000" w:fill="FFFFFF"/>
            <w:vAlign w:val="center"/>
            <w:hideMark/>
          </w:tcPr>
          <w:p w14:paraId="0204D365"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Перечислено в бюджеты муниципальных образований, млн.руб.</w:t>
            </w:r>
          </w:p>
        </w:tc>
        <w:tc>
          <w:tcPr>
            <w:tcW w:w="1413" w:type="dxa"/>
            <w:shd w:val="clear" w:color="000000" w:fill="FFFFFF"/>
            <w:vAlign w:val="center"/>
            <w:hideMark/>
          </w:tcPr>
          <w:p w14:paraId="0E2E8A82" w14:textId="545E75A2" w:rsidR="002A3B24" w:rsidRPr="00FD7B0B" w:rsidRDefault="002A3B24" w:rsidP="00213A96">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Перечислено на оплату по государственным контрактам,</w:t>
            </w:r>
            <w:r w:rsidR="00213A96" w:rsidRPr="00FD7B0B">
              <w:rPr>
                <w:rFonts w:ascii="Times New Roman" w:eastAsia="Times New Roman" w:hAnsi="Times New Roman" w:cs="Times New Roman"/>
                <w:sz w:val="16"/>
                <w:szCs w:val="16"/>
                <w:lang w:eastAsia="ru-RU"/>
              </w:rPr>
              <w:t xml:space="preserve"> </w:t>
            </w:r>
            <w:r w:rsidRPr="00FD7B0B">
              <w:rPr>
                <w:rFonts w:ascii="Times New Roman" w:eastAsia="Times New Roman" w:hAnsi="Times New Roman" w:cs="Times New Roman"/>
                <w:sz w:val="16"/>
                <w:szCs w:val="16"/>
                <w:lang w:eastAsia="ru-RU"/>
              </w:rPr>
              <w:t>млн.руб.</w:t>
            </w:r>
          </w:p>
        </w:tc>
        <w:tc>
          <w:tcPr>
            <w:tcW w:w="1153" w:type="dxa"/>
            <w:shd w:val="clear" w:color="000000" w:fill="FFFFFF"/>
            <w:vAlign w:val="center"/>
            <w:hideMark/>
          </w:tcPr>
          <w:p w14:paraId="2A845547" w14:textId="77777777" w:rsidR="002A3B24" w:rsidRPr="00FD7B0B" w:rsidRDefault="002A3B24" w:rsidP="002A3B24">
            <w:pPr>
              <w:spacing w:after="0" w:line="240" w:lineRule="auto"/>
              <w:jc w:val="center"/>
              <w:rPr>
                <w:rFonts w:ascii="Times New Roman" w:eastAsia="Times New Roman" w:hAnsi="Times New Roman" w:cs="Times New Roman"/>
                <w:i/>
                <w:iCs/>
                <w:sz w:val="16"/>
                <w:szCs w:val="16"/>
                <w:lang w:eastAsia="ru-RU"/>
              </w:rPr>
            </w:pPr>
            <w:r w:rsidRPr="00FD7B0B">
              <w:rPr>
                <w:rFonts w:ascii="Times New Roman" w:eastAsia="Times New Roman" w:hAnsi="Times New Roman" w:cs="Times New Roman"/>
                <w:i/>
                <w:iCs/>
                <w:sz w:val="16"/>
                <w:szCs w:val="16"/>
                <w:lang w:eastAsia="ru-RU"/>
              </w:rPr>
              <w:t>Отклонение (перечислено-поступило)</w:t>
            </w:r>
          </w:p>
        </w:tc>
      </w:tr>
      <w:tr w:rsidR="00FD7B0B" w:rsidRPr="00FD7B0B" w14:paraId="5CC089E7" w14:textId="77777777" w:rsidTr="002A3B24">
        <w:trPr>
          <w:trHeight w:val="120"/>
        </w:trPr>
        <w:tc>
          <w:tcPr>
            <w:tcW w:w="1545" w:type="dxa"/>
            <w:shd w:val="clear" w:color="000000" w:fill="FFFFFF"/>
            <w:vAlign w:val="center"/>
            <w:hideMark/>
          </w:tcPr>
          <w:p w14:paraId="6BD281D4"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1984" w:type="dxa"/>
            <w:shd w:val="clear" w:color="000000" w:fill="FFFFFF"/>
            <w:vAlign w:val="center"/>
            <w:hideMark/>
          </w:tcPr>
          <w:p w14:paraId="05CB87EC"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1108" w:type="dxa"/>
            <w:shd w:val="clear" w:color="000000" w:fill="FFFFFF"/>
            <w:vAlign w:val="center"/>
            <w:hideMark/>
          </w:tcPr>
          <w:p w14:paraId="6C2A1D68"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1108" w:type="dxa"/>
            <w:shd w:val="clear" w:color="000000" w:fill="FFFFFF"/>
            <w:vAlign w:val="center"/>
            <w:hideMark/>
          </w:tcPr>
          <w:p w14:paraId="26B71339"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4=5+6</w:t>
            </w:r>
          </w:p>
        </w:tc>
        <w:tc>
          <w:tcPr>
            <w:tcW w:w="1323" w:type="dxa"/>
            <w:shd w:val="clear" w:color="000000" w:fill="FFFFFF"/>
            <w:vAlign w:val="center"/>
            <w:hideMark/>
          </w:tcPr>
          <w:p w14:paraId="58692FAC"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1413" w:type="dxa"/>
            <w:shd w:val="clear" w:color="000000" w:fill="FFFFFF"/>
            <w:vAlign w:val="center"/>
            <w:hideMark/>
          </w:tcPr>
          <w:p w14:paraId="5656BBA4"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w:t>
            </w:r>
          </w:p>
        </w:tc>
        <w:tc>
          <w:tcPr>
            <w:tcW w:w="1153" w:type="dxa"/>
            <w:shd w:val="clear" w:color="000000" w:fill="FFFFFF"/>
            <w:vAlign w:val="center"/>
            <w:hideMark/>
          </w:tcPr>
          <w:p w14:paraId="58695A78"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7=4-3-2</w:t>
            </w:r>
          </w:p>
        </w:tc>
      </w:tr>
      <w:tr w:rsidR="00FD7B0B" w:rsidRPr="00FD7B0B" w14:paraId="5FF6388F" w14:textId="77777777" w:rsidTr="00213A96">
        <w:trPr>
          <w:trHeight w:hRule="exact" w:val="255"/>
        </w:trPr>
        <w:tc>
          <w:tcPr>
            <w:tcW w:w="1545" w:type="dxa"/>
            <w:shd w:val="clear" w:color="000000" w:fill="FFFFFF"/>
            <w:vAlign w:val="center"/>
            <w:hideMark/>
          </w:tcPr>
          <w:p w14:paraId="61775ABA" w14:textId="77777777" w:rsidR="002A3B24" w:rsidRPr="00FD7B0B" w:rsidRDefault="002A3B24" w:rsidP="002A3B24">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этап 2019 года</w:t>
            </w:r>
          </w:p>
        </w:tc>
        <w:tc>
          <w:tcPr>
            <w:tcW w:w="1984" w:type="dxa"/>
            <w:shd w:val="clear" w:color="000000" w:fill="FFFFFF"/>
            <w:vAlign w:val="center"/>
            <w:hideMark/>
          </w:tcPr>
          <w:p w14:paraId="3AE07C6B"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0,00</w:t>
            </w:r>
          </w:p>
        </w:tc>
        <w:tc>
          <w:tcPr>
            <w:tcW w:w="1108" w:type="dxa"/>
            <w:shd w:val="clear" w:color="000000" w:fill="FFFFFF"/>
            <w:vAlign w:val="center"/>
            <w:hideMark/>
          </w:tcPr>
          <w:p w14:paraId="5111EF75"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1 752,7</w:t>
            </w:r>
          </w:p>
        </w:tc>
        <w:tc>
          <w:tcPr>
            <w:tcW w:w="1108" w:type="dxa"/>
            <w:shd w:val="clear" w:color="000000" w:fill="FFFFFF"/>
            <w:vAlign w:val="center"/>
            <w:hideMark/>
          </w:tcPr>
          <w:p w14:paraId="381C4C7F"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1 759,6</w:t>
            </w:r>
          </w:p>
        </w:tc>
        <w:tc>
          <w:tcPr>
            <w:tcW w:w="1323" w:type="dxa"/>
            <w:shd w:val="clear" w:color="000000" w:fill="FFFFFF"/>
            <w:vAlign w:val="center"/>
            <w:hideMark/>
          </w:tcPr>
          <w:p w14:paraId="30AF7AAE"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1 006,6</w:t>
            </w:r>
          </w:p>
        </w:tc>
        <w:tc>
          <w:tcPr>
            <w:tcW w:w="1413" w:type="dxa"/>
            <w:shd w:val="clear" w:color="000000" w:fill="FFFFFF"/>
            <w:vAlign w:val="center"/>
            <w:hideMark/>
          </w:tcPr>
          <w:p w14:paraId="5702372E"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752,97</w:t>
            </w:r>
          </w:p>
        </w:tc>
        <w:tc>
          <w:tcPr>
            <w:tcW w:w="1153" w:type="dxa"/>
            <w:shd w:val="clear" w:color="000000" w:fill="FFFFFF"/>
            <w:vAlign w:val="center"/>
            <w:hideMark/>
          </w:tcPr>
          <w:p w14:paraId="0B0BD4FA"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6,9</w:t>
            </w:r>
          </w:p>
        </w:tc>
      </w:tr>
      <w:tr w:rsidR="00FD7B0B" w:rsidRPr="00FD7B0B" w14:paraId="5BB1DF6E" w14:textId="77777777" w:rsidTr="00213A96">
        <w:trPr>
          <w:trHeight w:hRule="exact" w:val="255"/>
        </w:trPr>
        <w:tc>
          <w:tcPr>
            <w:tcW w:w="1545" w:type="dxa"/>
            <w:shd w:val="clear" w:color="000000" w:fill="FFFFFF"/>
            <w:vAlign w:val="center"/>
            <w:hideMark/>
          </w:tcPr>
          <w:p w14:paraId="03E4B991" w14:textId="77777777" w:rsidR="002A3B24" w:rsidRPr="00FD7B0B" w:rsidRDefault="002A3B24" w:rsidP="002A3B24">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этап 2020 года</w:t>
            </w:r>
          </w:p>
        </w:tc>
        <w:tc>
          <w:tcPr>
            <w:tcW w:w="1984" w:type="dxa"/>
            <w:shd w:val="clear" w:color="000000" w:fill="FFFFFF"/>
            <w:vAlign w:val="center"/>
            <w:hideMark/>
          </w:tcPr>
          <w:p w14:paraId="78AFAD90"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0,00</w:t>
            </w:r>
          </w:p>
        </w:tc>
        <w:tc>
          <w:tcPr>
            <w:tcW w:w="1108" w:type="dxa"/>
            <w:shd w:val="clear" w:color="000000" w:fill="FFFFFF"/>
            <w:vAlign w:val="center"/>
            <w:hideMark/>
          </w:tcPr>
          <w:p w14:paraId="06A26EDE"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2 253,2</w:t>
            </w:r>
          </w:p>
        </w:tc>
        <w:tc>
          <w:tcPr>
            <w:tcW w:w="1108" w:type="dxa"/>
            <w:shd w:val="clear" w:color="000000" w:fill="FFFFFF"/>
            <w:vAlign w:val="center"/>
            <w:hideMark/>
          </w:tcPr>
          <w:p w14:paraId="2083F060"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2 293,1</w:t>
            </w:r>
          </w:p>
        </w:tc>
        <w:tc>
          <w:tcPr>
            <w:tcW w:w="1323" w:type="dxa"/>
            <w:shd w:val="clear" w:color="000000" w:fill="FFFFFF"/>
            <w:vAlign w:val="center"/>
            <w:hideMark/>
          </w:tcPr>
          <w:p w14:paraId="00A94F6C"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1 188,5</w:t>
            </w:r>
          </w:p>
        </w:tc>
        <w:tc>
          <w:tcPr>
            <w:tcW w:w="1413" w:type="dxa"/>
            <w:shd w:val="clear" w:color="000000" w:fill="FFFFFF"/>
            <w:vAlign w:val="center"/>
            <w:hideMark/>
          </w:tcPr>
          <w:p w14:paraId="7A588CB7"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1 104,6</w:t>
            </w:r>
          </w:p>
        </w:tc>
        <w:tc>
          <w:tcPr>
            <w:tcW w:w="1153" w:type="dxa"/>
            <w:shd w:val="clear" w:color="000000" w:fill="FFFFFF"/>
            <w:vAlign w:val="center"/>
            <w:hideMark/>
          </w:tcPr>
          <w:p w14:paraId="321B484F"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39,9</w:t>
            </w:r>
          </w:p>
        </w:tc>
      </w:tr>
      <w:tr w:rsidR="00FD7B0B" w:rsidRPr="00FD7B0B" w14:paraId="66F4F89D" w14:textId="77777777" w:rsidTr="00213A96">
        <w:trPr>
          <w:trHeight w:hRule="exact" w:val="255"/>
        </w:trPr>
        <w:tc>
          <w:tcPr>
            <w:tcW w:w="1545" w:type="dxa"/>
            <w:shd w:val="clear" w:color="000000" w:fill="FFFFFF"/>
            <w:vAlign w:val="center"/>
            <w:hideMark/>
          </w:tcPr>
          <w:p w14:paraId="51D56BE8" w14:textId="77777777" w:rsidR="002A3B24" w:rsidRPr="00FD7B0B" w:rsidRDefault="002A3B24" w:rsidP="002A3B24">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этап 2021 года</w:t>
            </w:r>
          </w:p>
        </w:tc>
        <w:tc>
          <w:tcPr>
            <w:tcW w:w="1984" w:type="dxa"/>
            <w:shd w:val="clear" w:color="000000" w:fill="FFFFFF"/>
            <w:vAlign w:val="center"/>
            <w:hideMark/>
          </w:tcPr>
          <w:p w14:paraId="0399812C"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0,00</w:t>
            </w:r>
          </w:p>
        </w:tc>
        <w:tc>
          <w:tcPr>
            <w:tcW w:w="1108" w:type="dxa"/>
            <w:shd w:val="clear" w:color="000000" w:fill="FFFFFF"/>
            <w:vAlign w:val="center"/>
            <w:hideMark/>
          </w:tcPr>
          <w:p w14:paraId="32FD18F3"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4 602,4</w:t>
            </w:r>
          </w:p>
        </w:tc>
        <w:tc>
          <w:tcPr>
            <w:tcW w:w="1108" w:type="dxa"/>
            <w:shd w:val="clear" w:color="000000" w:fill="FFFFFF"/>
            <w:vAlign w:val="center"/>
            <w:hideMark/>
          </w:tcPr>
          <w:p w14:paraId="32B30350"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4 670,3</w:t>
            </w:r>
          </w:p>
        </w:tc>
        <w:tc>
          <w:tcPr>
            <w:tcW w:w="1323" w:type="dxa"/>
            <w:shd w:val="clear" w:color="000000" w:fill="FFFFFF"/>
            <w:vAlign w:val="center"/>
            <w:hideMark/>
          </w:tcPr>
          <w:p w14:paraId="1892D028"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930,1</w:t>
            </w:r>
          </w:p>
        </w:tc>
        <w:tc>
          <w:tcPr>
            <w:tcW w:w="1413" w:type="dxa"/>
            <w:shd w:val="clear" w:color="000000" w:fill="FFFFFF"/>
            <w:vAlign w:val="center"/>
            <w:hideMark/>
          </w:tcPr>
          <w:p w14:paraId="53485BEE"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3 740,2</w:t>
            </w:r>
          </w:p>
        </w:tc>
        <w:tc>
          <w:tcPr>
            <w:tcW w:w="1153" w:type="dxa"/>
            <w:shd w:val="clear" w:color="000000" w:fill="FFFFFF"/>
            <w:vAlign w:val="center"/>
            <w:hideMark/>
          </w:tcPr>
          <w:p w14:paraId="19FBABA8"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67,9</w:t>
            </w:r>
          </w:p>
        </w:tc>
      </w:tr>
      <w:tr w:rsidR="00FD7B0B" w:rsidRPr="00FD7B0B" w14:paraId="36848FC8" w14:textId="77777777" w:rsidTr="00213A96">
        <w:trPr>
          <w:trHeight w:hRule="exact" w:val="255"/>
        </w:trPr>
        <w:tc>
          <w:tcPr>
            <w:tcW w:w="1545" w:type="dxa"/>
            <w:shd w:val="clear" w:color="000000" w:fill="FFFFFF"/>
            <w:vAlign w:val="center"/>
            <w:hideMark/>
          </w:tcPr>
          <w:p w14:paraId="5EF27BCB" w14:textId="77777777" w:rsidR="002A3B24" w:rsidRPr="00FD7B0B" w:rsidRDefault="002A3B24" w:rsidP="002A3B24">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этап 2022 года</w:t>
            </w:r>
          </w:p>
        </w:tc>
        <w:tc>
          <w:tcPr>
            <w:tcW w:w="1984" w:type="dxa"/>
            <w:shd w:val="clear" w:color="000000" w:fill="FFFFFF"/>
            <w:vAlign w:val="center"/>
            <w:hideMark/>
          </w:tcPr>
          <w:p w14:paraId="17841602"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28,20</w:t>
            </w:r>
          </w:p>
        </w:tc>
        <w:tc>
          <w:tcPr>
            <w:tcW w:w="1108" w:type="dxa"/>
            <w:shd w:val="clear" w:color="000000" w:fill="FFFFFF"/>
            <w:vAlign w:val="center"/>
            <w:hideMark/>
          </w:tcPr>
          <w:p w14:paraId="414CF67C"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3 561,9</w:t>
            </w:r>
          </w:p>
        </w:tc>
        <w:tc>
          <w:tcPr>
            <w:tcW w:w="1108" w:type="dxa"/>
            <w:shd w:val="clear" w:color="000000" w:fill="FFFFFF"/>
            <w:vAlign w:val="center"/>
            <w:hideMark/>
          </w:tcPr>
          <w:p w14:paraId="4098CFE2"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3 610,7</w:t>
            </w:r>
          </w:p>
        </w:tc>
        <w:tc>
          <w:tcPr>
            <w:tcW w:w="1323" w:type="dxa"/>
            <w:shd w:val="clear" w:color="000000" w:fill="FFFFFF"/>
            <w:vAlign w:val="center"/>
            <w:hideMark/>
          </w:tcPr>
          <w:p w14:paraId="416BECF7"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286,6</w:t>
            </w:r>
          </w:p>
        </w:tc>
        <w:tc>
          <w:tcPr>
            <w:tcW w:w="1413" w:type="dxa"/>
            <w:shd w:val="clear" w:color="000000" w:fill="FFFFFF"/>
            <w:vAlign w:val="center"/>
            <w:hideMark/>
          </w:tcPr>
          <w:p w14:paraId="646E8DBB"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3 324,1</w:t>
            </w:r>
          </w:p>
        </w:tc>
        <w:tc>
          <w:tcPr>
            <w:tcW w:w="1153" w:type="dxa"/>
            <w:shd w:val="clear" w:color="000000" w:fill="FFFFFF"/>
            <w:vAlign w:val="center"/>
            <w:hideMark/>
          </w:tcPr>
          <w:p w14:paraId="00401C26"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20,7</w:t>
            </w:r>
          </w:p>
        </w:tc>
      </w:tr>
      <w:tr w:rsidR="00FD7B0B" w:rsidRPr="00FD7B0B" w14:paraId="34550C68" w14:textId="77777777" w:rsidTr="00213A96">
        <w:trPr>
          <w:trHeight w:hRule="exact" w:val="255"/>
        </w:trPr>
        <w:tc>
          <w:tcPr>
            <w:tcW w:w="1545" w:type="dxa"/>
            <w:shd w:val="clear" w:color="000000" w:fill="FFFFFF"/>
            <w:vAlign w:val="center"/>
            <w:hideMark/>
          </w:tcPr>
          <w:p w14:paraId="168CCB6B" w14:textId="77777777" w:rsidR="002A3B24" w:rsidRPr="00FD7B0B" w:rsidRDefault="002A3B24" w:rsidP="002A3B24">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этап 2023 года</w:t>
            </w:r>
          </w:p>
        </w:tc>
        <w:tc>
          <w:tcPr>
            <w:tcW w:w="1984" w:type="dxa"/>
            <w:shd w:val="clear" w:color="000000" w:fill="FFFFFF"/>
            <w:vAlign w:val="center"/>
            <w:hideMark/>
          </w:tcPr>
          <w:p w14:paraId="32648EFB"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87,84</w:t>
            </w:r>
          </w:p>
        </w:tc>
        <w:tc>
          <w:tcPr>
            <w:tcW w:w="1108" w:type="dxa"/>
            <w:shd w:val="clear" w:color="000000" w:fill="FFFFFF"/>
            <w:vAlign w:val="center"/>
            <w:hideMark/>
          </w:tcPr>
          <w:p w14:paraId="56CDF51F"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13 407,4</w:t>
            </w:r>
          </w:p>
        </w:tc>
        <w:tc>
          <w:tcPr>
            <w:tcW w:w="1108" w:type="dxa"/>
            <w:shd w:val="clear" w:color="000000" w:fill="FFFFFF"/>
            <w:vAlign w:val="center"/>
            <w:hideMark/>
          </w:tcPr>
          <w:p w14:paraId="36417A1B"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14 134,4</w:t>
            </w:r>
          </w:p>
        </w:tc>
        <w:tc>
          <w:tcPr>
            <w:tcW w:w="1323" w:type="dxa"/>
            <w:shd w:val="clear" w:color="000000" w:fill="FFFFFF"/>
            <w:vAlign w:val="center"/>
            <w:hideMark/>
          </w:tcPr>
          <w:p w14:paraId="08F64178"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5 375,7</w:t>
            </w:r>
          </w:p>
        </w:tc>
        <w:tc>
          <w:tcPr>
            <w:tcW w:w="1413" w:type="dxa"/>
            <w:shd w:val="clear" w:color="000000" w:fill="FFFFFF"/>
            <w:vAlign w:val="center"/>
            <w:hideMark/>
          </w:tcPr>
          <w:p w14:paraId="6A3A3C08"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8 758,7</w:t>
            </w:r>
          </w:p>
        </w:tc>
        <w:tc>
          <w:tcPr>
            <w:tcW w:w="1153" w:type="dxa"/>
            <w:shd w:val="clear" w:color="000000" w:fill="FFFFFF"/>
            <w:vAlign w:val="center"/>
            <w:hideMark/>
          </w:tcPr>
          <w:p w14:paraId="571DFBE3"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639,2</w:t>
            </w:r>
          </w:p>
        </w:tc>
      </w:tr>
    </w:tbl>
    <w:p w14:paraId="3DC9BC8F" w14:textId="77777777" w:rsidR="002A3B24" w:rsidRPr="00FD7B0B" w:rsidRDefault="002A3B24" w:rsidP="002A3B24">
      <w:pPr>
        <w:pStyle w:val="ad"/>
        <w:ind w:firstLine="709"/>
        <w:jc w:val="both"/>
        <w:rPr>
          <w:rFonts w:ascii="Times New Roman" w:hAnsi="Times New Roman"/>
          <w:sz w:val="28"/>
          <w:szCs w:val="28"/>
        </w:rPr>
      </w:pPr>
    </w:p>
    <w:p w14:paraId="323D0725" w14:textId="77777777" w:rsidR="00065C26" w:rsidRPr="00FD7B0B" w:rsidRDefault="00065C26" w:rsidP="00065C26">
      <w:pPr>
        <w:spacing w:after="0" w:line="240" w:lineRule="auto"/>
        <w:ind w:firstLine="709"/>
        <w:jc w:val="both"/>
        <w:rPr>
          <w:rFonts w:ascii="Times New Roman" w:eastAsia="Times New Roman" w:hAnsi="Times New Roman" w:cs="Times New Roman"/>
          <w:iCs/>
          <w:sz w:val="28"/>
          <w:szCs w:val="28"/>
          <w:lang w:eastAsia="ru-RU"/>
        </w:rPr>
      </w:pPr>
      <w:r w:rsidRPr="00FD7B0B">
        <w:rPr>
          <w:rFonts w:ascii="Times New Roman" w:eastAsia="Times New Roman" w:hAnsi="Times New Roman" w:cs="Times New Roman"/>
          <w:iCs/>
          <w:sz w:val="28"/>
          <w:szCs w:val="28"/>
          <w:lang w:eastAsia="ru-RU"/>
        </w:rPr>
        <w:t>Отмечаем несоответствие данных отчета о выполнении части 11 статьи 16 Закона № 185-ФЗ субъекта РФ перед Фондом по состоянию на 01.01.2025 и данных проекта отчета о ходе реализации мероприятий ГП № 06 (нарастающим итогом за весь период действия адресной программы):</w:t>
      </w:r>
    </w:p>
    <w:p w14:paraId="6A47F54C" w14:textId="269B8C0B" w:rsidR="00065C26" w:rsidRPr="00FD7B0B" w:rsidRDefault="00065C26" w:rsidP="00065C26">
      <w:pPr>
        <w:spacing w:after="0" w:line="240" w:lineRule="auto"/>
        <w:ind w:firstLine="709"/>
        <w:jc w:val="both"/>
        <w:rPr>
          <w:rFonts w:ascii="Times New Roman" w:eastAsia="Times New Roman" w:hAnsi="Times New Roman" w:cs="Times New Roman"/>
          <w:iCs/>
          <w:sz w:val="28"/>
          <w:szCs w:val="28"/>
          <w:lang w:eastAsia="ru-RU"/>
        </w:rPr>
      </w:pPr>
      <w:r w:rsidRPr="00FD7B0B">
        <w:rPr>
          <w:rFonts w:ascii="Times New Roman" w:eastAsia="Times New Roman" w:hAnsi="Times New Roman" w:cs="Times New Roman"/>
          <w:iCs/>
          <w:sz w:val="28"/>
          <w:szCs w:val="28"/>
          <w:lang w:eastAsia="ru-RU"/>
        </w:rPr>
        <w:t>расселено 409,9 тыс. кв</w:t>
      </w:r>
      <w:r w:rsidR="00F604AE" w:rsidRPr="00FD7B0B">
        <w:rPr>
          <w:rFonts w:ascii="Times New Roman" w:eastAsia="Times New Roman" w:hAnsi="Times New Roman" w:cs="Times New Roman"/>
          <w:iCs/>
          <w:sz w:val="28"/>
          <w:szCs w:val="28"/>
          <w:lang w:eastAsia="ru-RU"/>
        </w:rPr>
        <w:t>.</w:t>
      </w:r>
      <w:r w:rsidRPr="00FD7B0B">
        <w:rPr>
          <w:rFonts w:ascii="Times New Roman" w:eastAsia="Times New Roman" w:hAnsi="Times New Roman" w:cs="Times New Roman"/>
          <w:iCs/>
          <w:sz w:val="28"/>
          <w:szCs w:val="28"/>
          <w:lang w:eastAsia="ru-RU"/>
        </w:rPr>
        <w:t>м аварийной площади, что на 43,5 тыс. кв</w:t>
      </w:r>
      <w:r w:rsidR="00F604AE" w:rsidRPr="00FD7B0B">
        <w:rPr>
          <w:rFonts w:ascii="Times New Roman" w:eastAsia="Times New Roman" w:hAnsi="Times New Roman" w:cs="Times New Roman"/>
          <w:iCs/>
          <w:sz w:val="28"/>
          <w:szCs w:val="28"/>
          <w:lang w:eastAsia="ru-RU"/>
        </w:rPr>
        <w:t>.</w:t>
      </w:r>
      <w:r w:rsidRPr="00FD7B0B">
        <w:rPr>
          <w:rFonts w:ascii="Times New Roman" w:eastAsia="Times New Roman" w:hAnsi="Times New Roman" w:cs="Times New Roman"/>
          <w:iCs/>
          <w:sz w:val="28"/>
          <w:szCs w:val="28"/>
          <w:lang w:eastAsia="ru-RU"/>
        </w:rPr>
        <w:t>м меньше площади, указанной в проекте отчета о ходе реализации мероприятий госпрограммы за 2024 год (453,44 тыс. кв</w:t>
      </w:r>
      <w:r w:rsidR="00F604AE" w:rsidRPr="00FD7B0B">
        <w:rPr>
          <w:rFonts w:ascii="Times New Roman" w:eastAsia="Times New Roman" w:hAnsi="Times New Roman" w:cs="Times New Roman"/>
          <w:iCs/>
          <w:sz w:val="28"/>
          <w:szCs w:val="28"/>
          <w:lang w:eastAsia="ru-RU"/>
        </w:rPr>
        <w:t>.</w:t>
      </w:r>
      <w:r w:rsidR="006735B6" w:rsidRPr="00FD7B0B">
        <w:rPr>
          <w:rFonts w:ascii="Times New Roman" w:eastAsia="Times New Roman" w:hAnsi="Times New Roman" w:cs="Times New Roman"/>
          <w:iCs/>
          <w:sz w:val="28"/>
          <w:szCs w:val="28"/>
          <w:lang w:eastAsia="ru-RU"/>
        </w:rPr>
        <w:t>м);</w:t>
      </w:r>
    </w:p>
    <w:p w14:paraId="659A6329" w14:textId="77777777" w:rsidR="00065C26" w:rsidRPr="00FD7B0B" w:rsidRDefault="00065C26" w:rsidP="00065C26">
      <w:pPr>
        <w:spacing w:after="0" w:line="240" w:lineRule="auto"/>
        <w:ind w:firstLine="709"/>
        <w:jc w:val="both"/>
        <w:rPr>
          <w:rFonts w:ascii="Times New Roman" w:eastAsia="Times New Roman" w:hAnsi="Times New Roman" w:cs="Times New Roman"/>
          <w:iCs/>
          <w:sz w:val="28"/>
          <w:szCs w:val="28"/>
          <w:lang w:eastAsia="ru-RU"/>
        </w:rPr>
      </w:pPr>
      <w:r w:rsidRPr="00FD7B0B">
        <w:rPr>
          <w:rFonts w:ascii="Times New Roman" w:eastAsia="Times New Roman" w:hAnsi="Times New Roman" w:cs="Times New Roman"/>
          <w:iCs/>
          <w:sz w:val="28"/>
          <w:szCs w:val="28"/>
          <w:lang w:eastAsia="ru-RU"/>
        </w:rPr>
        <w:t>переселено 22,7 тыс. человек, что меньше на 2,0 тыс. человек, чем указано в проекте отчета о ходе реализации мероприятий госпрограммы за 2024 год (24,7 тыс.чел).</w:t>
      </w:r>
    </w:p>
    <w:p w14:paraId="6EDB1414" w14:textId="77777777" w:rsidR="00065C26" w:rsidRPr="00FD7B0B" w:rsidRDefault="00065C26" w:rsidP="00065C26">
      <w:pPr>
        <w:pStyle w:val="ad"/>
        <w:ind w:firstLine="709"/>
        <w:jc w:val="both"/>
        <w:rPr>
          <w:rFonts w:ascii="Times New Roman" w:hAnsi="Times New Roman"/>
          <w:sz w:val="28"/>
          <w:szCs w:val="28"/>
        </w:rPr>
      </w:pPr>
      <w:r w:rsidRPr="00FD7B0B">
        <w:rPr>
          <w:rFonts w:ascii="Times New Roman" w:hAnsi="Times New Roman"/>
          <w:sz w:val="28"/>
          <w:szCs w:val="28"/>
        </w:rPr>
        <w:t>Дополнительно отмечаем, что в ходе проведения контрольных мероприятий КСП АО было выявлено следующее:</w:t>
      </w:r>
    </w:p>
    <w:p w14:paraId="659E2A97" w14:textId="77777777" w:rsidR="00065C26" w:rsidRPr="00FD7B0B" w:rsidRDefault="00065C26" w:rsidP="00065C26">
      <w:pPr>
        <w:pStyle w:val="ad"/>
        <w:ind w:firstLine="709"/>
        <w:jc w:val="both"/>
        <w:rPr>
          <w:rFonts w:ascii="Times New Roman" w:hAnsi="Times New Roman"/>
          <w:sz w:val="28"/>
          <w:szCs w:val="28"/>
        </w:rPr>
      </w:pPr>
      <w:r w:rsidRPr="00FD7B0B">
        <w:rPr>
          <w:rFonts w:ascii="Times New Roman" w:hAnsi="Times New Roman"/>
          <w:sz w:val="28"/>
          <w:szCs w:val="28"/>
        </w:rPr>
        <w:t xml:space="preserve">- случаи перечисления средств субсидии сверх потребности граждан </w:t>
      </w:r>
      <w:r w:rsidRPr="00FD7B0B">
        <w:rPr>
          <w:rFonts w:ascii="Times New Roman" w:hAnsi="Times New Roman"/>
          <w:sz w:val="28"/>
          <w:szCs w:val="28"/>
        </w:rPr>
        <w:br/>
        <w:t>в обеспечении благоустроенными жилыми помещениями с учетом полученного возмещения за изъятое жилое помещение, что противоречит принципу эффективности расходования бюджетных средств и не соответствует статье 34 БК РФ;</w:t>
      </w:r>
    </w:p>
    <w:p w14:paraId="7FD4CF46" w14:textId="77777777" w:rsidR="00065C26" w:rsidRPr="00FD7B0B" w:rsidRDefault="00065C26" w:rsidP="00065C26">
      <w:pPr>
        <w:pStyle w:val="ad"/>
        <w:ind w:firstLine="709"/>
        <w:jc w:val="both"/>
        <w:rPr>
          <w:rFonts w:ascii="Times New Roman" w:hAnsi="Times New Roman"/>
          <w:sz w:val="28"/>
          <w:szCs w:val="28"/>
        </w:rPr>
      </w:pPr>
      <w:r w:rsidRPr="00FD7B0B">
        <w:rPr>
          <w:rFonts w:ascii="Times New Roman" w:hAnsi="Times New Roman"/>
          <w:sz w:val="28"/>
          <w:szCs w:val="28"/>
        </w:rPr>
        <w:t>- случаи предоставления квартир, общая площадь которых превышает площадь соответствующих расселяемых жилых помещений и одновременно превышает норму площади жилого помещения, что является нарушением абзаца 27 механизма реализации адресной программы № 153-пп.</w:t>
      </w:r>
    </w:p>
    <w:p w14:paraId="08852CE9" w14:textId="77777777" w:rsidR="002A3B24" w:rsidRPr="00FD7B0B" w:rsidRDefault="002A3B24" w:rsidP="002A3B24">
      <w:pPr>
        <w:pStyle w:val="ad"/>
        <w:ind w:firstLine="709"/>
        <w:jc w:val="both"/>
        <w:rPr>
          <w:rFonts w:ascii="Times New Roman" w:hAnsi="Times New Roman"/>
          <w:b/>
          <w:sz w:val="28"/>
          <w:szCs w:val="28"/>
        </w:rPr>
      </w:pPr>
    </w:p>
    <w:p w14:paraId="08C6D9E5"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В рамках комплекса процессных мероприятий «Обеспечение качественным, доступным жильем и объектами инженерной инфраструктуры населения Архангельской области» в 2024 году осуществлялась реализация 16 мероприятий, Все мероприятия выполнены.</w:t>
      </w:r>
    </w:p>
    <w:p w14:paraId="4FA1E56E"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Отдельно отмечены следующие мероприятия:</w:t>
      </w:r>
    </w:p>
    <w:p w14:paraId="10EB927E" w14:textId="66F7ECAD"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плановый объем финансирования мероприятия 1.8. «Построены и реконструированы объекты капитального строительства в целях расселения жилых помещений в МКД, имеющих угрозу обрушения и признанных в установленном порядке с 1 января 2017 года аварийными и подлежащими сносу или реконструкции в городском округе «Город Архангельск»</w:t>
      </w:r>
      <w:r w:rsidR="009B7E43" w:rsidRPr="00FD7B0B">
        <w:rPr>
          <w:rFonts w:ascii="Times New Roman" w:hAnsi="Times New Roman"/>
          <w:sz w:val="28"/>
          <w:szCs w:val="28"/>
        </w:rPr>
        <w:t xml:space="preserve"> в размере </w:t>
      </w:r>
      <w:r w:rsidR="009B7E43" w:rsidRPr="00FD7B0B">
        <w:rPr>
          <w:rFonts w:ascii="Times New Roman" w:hAnsi="Times New Roman"/>
          <w:sz w:val="28"/>
          <w:szCs w:val="28"/>
        </w:rPr>
        <w:br/>
      </w:r>
      <w:r w:rsidR="009B7E43" w:rsidRPr="00FD7B0B">
        <w:rPr>
          <w:rFonts w:ascii="Times New Roman" w:hAnsi="Times New Roman"/>
          <w:sz w:val="28"/>
          <w:szCs w:val="28"/>
        </w:rPr>
        <w:lastRenderedPageBreak/>
        <w:t>549,2 млн.</w:t>
      </w:r>
      <w:r w:rsidRPr="00FD7B0B">
        <w:rPr>
          <w:rFonts w:ascii="Times New Roman" w:hAnsi="Times New Roman"/>
          <w:sz w:val="28"/>
          <w:szCs w:val="28"/>
        </w:rPr>
        <w:t xml:space="preserve">руб., отраженный в проекте отчета о реализации мероприятий ГП, соответствует паспорту КПМ, СБР, приложению № 4 к отчету об исполнении бюджета. При этом не соответствуют объему финансирования, определенному в перечне объектов капитального строительства (объектов недвижимого имущества), строительство (приобретение) которых осуществляется в целях реализации адресной программы № 153-пп в редакциях на 10.04.2025, 24.12.2024, на 5,1 </w:t>
      </w:r>
      <w:r w:rsidR="000560EB" w:rsidRPr="00FD7B0B">
        <w:rPr>
          <w:rFonts w:ascii="Times New Roman" w:hAnsi="Times New Roman"/>
          <w:sz w:val="28"/>
          <w:szCs w:val="28"/>
        </w:rPr>
        <w:t>млн.руб.</w:t>
      </w:r>
      <w:r w:rsidRPr="00FD7B0B">
        <w:t xml:space="preserve"> </w:t>
      </w:r>
      <w:r w:rsidRPr="00FD7B0B">
        <w:rPr>
          <w:rFonts w:ascii="Times New Roman" w:hAnsi="Times New Roman"/>
          <w:sz w:val="28"/>
          <w:szCs w:val="28"/>
        </w:rPr>
        <w:t>(554,3 млн.руб.);</w:t>
      </w:r>
    </w:p>
    <w:p w14:paraId="385FA3F8" w14:textId="3D45FD7C"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плановый объем финансирования мероприятия 1.9. «Выплачено денежное вознаграждение и приобретены жилые помещения у лиц, не являющихся застройщиками, в целях расселения жилых помещений в МКД, имеющих угрозу обрушения и признанных в установленном порядке с 1 января 2017 года аварийными и подлежащими сносу или реконструкции в городском округе «Город Арх</w:t>
      </w:r>
      <w:r w:rsidR="009B7E43" w:rsidRPr="00FD7B0B">
        <w:rPr>
          <w:rFonts w:ascii="Times New Roman" w:hAnsi="Times New Roman"/>
          <w:sz w:val="28"/>
          <w:szCs w:val="28"/>
        </w:rPr>
        <w:t>ангельск»» в размере 139,6 млн.</w:t>
      </w:r>
      <w:r w:rsidRPr="00FD7B0B">
        <w:rPr>
          <w:rFonts w:ascii="Times New Roman" w:hAnsi="Times New Roman"/>
          <w:sz w:val="28"/>
          <w:szCs w:val="28"/>
        </w:rPr>
        <w:t>руб., и плановый объем финансирования мероприятия 1.10. «Представлены дополнительные меры поддержки собственникам жилых помещений в МКД, имеющих угрозу обрушения и признанных в установленном порядке с 1 января 2017 года аварийными и подлежащими сносу или реконструкции в городском округе «Город Арх</w:t>
      </w:r>
      <w:r w:rsidR="009B7E43" w:rsidRPr="00FD7B0B">
        <w:rPr>
          <w:rFonts w:ascii="Times New Roman" w:hAnsi="Times New Roman"/>
          <w:sz w:val="28"/>
          <w:szCs w:val="28"/>
        </w:rPr>
        <w:t>ангельск»» в размере 136,9 млн.</w:t>
      </w:r>
      <w:r w:rsidRPr="00FD7B0B">
        <w:rPr>
          <w:rFonts w:ascii="Times New Roman" w:hAnsi="Times New Roman"/>
          <w:sz w:val="28"/>
          <w:szCs w:val="28"/>
        </w:rPr>
        <w:t>руб., отраженные в проекте отчета о реализации мероприятий ГП, соответствуют паспорту КПМ, СБР, приложению № 4 к отчету об исполнении бюджета. При этом не соответствуют объемам финансирования, определенным паспортом программы Архангельской области по переселению граждан из многоквартирных домов, имеющих угрозу обрушения, в городском округе «Город Архангельск», утвержденной постановлением Правительства Архангельской области от 15.12.2020 № 858-пп в редакциях от 14.02.2025 и от 19.12.2024.</w:t>
      </w:r>
    </w:p>
    <w:p w14:paraId="482243C6" w14:textId="0ACFEBF2"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Дополнительно отмечаем следующее</w:t>
      </w:r>
      <w:r w:rsidR="009B7E43" w:rsidRPr="00FD7B0B">
        <w:rPr>
          <w:rFonts w:ascii="Times New Roman" w:hAnsi="Times New Roman"/>
          <w:sz w:val="28"/>
          <w:szCs w:val="28"/>
        </w:rPr>
        <w:t>:</w:t>
      </w:r>
      <w:r w:rsidRPr="00FD7B0B">
        <w:rPr>
          <w:rFonts w:ascii="Times New Roman" w:hAnsi="Times New Roman"/>
          <w:sz w:val="28"/>
          <w:szCs w:val="28"/>
        </w:rPr>
        <w:t xml:space="preserve"> по итогам контрольного мероприятия, проведенного КСП АО в ГКУ АО «ГУКС» выявлено, что в 2024 году планировалось ввести в эксплуатацию 37 МКД. При этом согласно проекту отчета о реализации в 20</w:t>
      </w:r>
      <w:r w:rsidR="009B7E43" w:rsidRPr="00FD7B0B">
        <w:rPr>
          <w:rFonts w:ascii="Times New Roman" w:hAnsi="Times New Roman"/>
          <w:sz w:val="28"/>
          <w:szCs w:val="28"/>
        </w:rPr>
        <w:t>24 госпрограммы введено 30 МКД.</w:t>
      </w:r>
    </w:p>
    <w:p w14:paraId="658EE53C"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При анализе перечня объектов капитального строительства установленного адресной программой № 153-пп, в котором утверждены сроки строительства и объемы финансирования такого строительства, выявлено следующее:</w:t>
      </w:r>
    </w:p>
    <w:p w14:paraId="35FD14A0" w14:textId="659B5E1B"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строительство 6 МКД, расположенных в пос. Подюга и р</w:t>
      </w:r>
      <w:r w:rsidR="00F604AE" w:rsidRPr="00FD7B0B">
        <w:rPr>
          <w:rFonts w:ascii="Times New Roman" w:hAnsi="Times New Roman"/>
          <w:sz w:val="28"/>
          <w:szCs w:val="28"/>
        </w:rPr>
        <w:t>.</w:t>
      </w:r>
      <w:r w:rsidRPr="00FD7B0B">
        <w:rPr>
          <w:rFonts w:ascii="Times New Roman" w:hAnsi="Times New Roman"/>
          <w:sz w:val="28"/>
          <w:szCs w:val="28"/>
        </w:rPr>
        <w:t xml:space="preserve">п. Коноша Коношского муниципального района, Плесецком муниципальном округе Архангельской области, г. Онега Онежского муниципального округа Архангельской области не завершено и в редакции адресной программы </w:t>
      </w:r>
      <w:r w:rsidRPr="00FD7B0B">
        <w:rPr>
          <w:rFonts w:ascii="Times New Roman" w:hAnsi="Times New Roman"/>
          <w:sz w:val="28"/>
          <w:szCs w:val="28"/>
        </w:rPr>
        <w:br/>
        <w:t xml:space="preserve">№ 153-пп от 10.04.2025, срок строительства указанных МКД определен </w:t>
      </w:r>
      <w:r w:rsidRPr="00FD7B0B">
        <w:rPr>
          <w:rFonts w:ascii="Times New Roman" w:hAnsi="Times New Roman"/>
          <w:sz w:val="28"/>
          <w:szCs w:val="28"/>
        </w:rPr>
        <w:br/>
        <w:t xml:space="preserve">2025 годом, что является нарушением сроков реализации адресной программы № 153-пп, определенных паспортом, а также пункта 11 статьи 16 Федерального закона от 21.07.2007 № 185-ФЗ «О Фонде содействия реформированию жилищно-коммунального хозяйства» (далее – Закон № 185-ФЗ), что, в свою очередь, может привести к применению Фондом в отношении субъекта санкций по возврату финансовой поддержки,  предоставленной за счет средств Фонда, </w:t>
      </w:r>
      <w:r w:rsidRPr="00FD7B0B">
        <w:rPr>
          <w:rFonts w:ascii="Times New Roman" w:hAnsi="Times New Roman"/>
          <w:sz w:val="28"/>
          <w:szCs w:val="28"/>
        </w:rPr>
        <w:br/>
        <w:t>в соответствии пунктом 4 статьи 23.1 Закона № 185-ФЗ;</w:t>
      </w:r>
    </w:p>
    <w:p w14:paraId="490D1232"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lastRenderedPageBreak/>
        <w:t xml:space="preserve">- на 2025 год определены объемы финансирования строительства </w:t>
      </w:r>
      <w:r w:rsidRPr="00FD7B0B">
        <w:rPr>
          <w:rFonts w:ascii="Times New Roman" w:hAnsi="Times New Roman"/>
          <w:sz w:val="28"/>
          <w:szCs w:val="28"/>
        </w:rPr>
        <w:br/>
        <w:t xml:space="preserve">21 МКД, что является нарушением сроков ресурсного обеспечения, установленных разделом </w:t>
      </w:r>
      <w:r w:rsidRPr="00FD7B0B">
        <w:rPr>
          <w:rFonts w:ascii="Times New Roman" w:hAnsi="Times New Roman"/>
          <w:sz w:val="28"/>
          <w:szCs w:val="28"/>
          <w:lang w:val="en-US"/>
        </w:rPr>
        <w:t>VII</w:t>
      </w:r>
      <w:r w:rsidRPr="00FD7B0B">
        <w:rPr>
          <w:rFonts w:ascii="Times New Roman" w:hAnsi="Times New Roman"/>
          <w:sz w:val="28"/>
          <w:szCs w:val="28"/>
        </w:rPr>
        <w:t xml:space="preserve"> адресной программы № 153-пп;  </w:t>
      </w:r>
    </w:p>
    <w:p w14:paraId="157FDA5D" w14:textId="32626AA2"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бюджетные ассигнования областного бюджета в 2025 год</w:t>
      </w:r>
      <w:r w:rsidR="00BF266E" w:rsidRPr="00FD7B0B">
        <w:rPr>
          <w:rFonts w:ascii="Times New Roman" w:hAnsi="Times New Roman"/>
          <w:sz w:val="28"/>
          <w:szCs w:val="28"/>
        </w:rPr>
        <w:t xml:space="preserve">у указаны </w:t>
      </w:r>
      <w:r w:rsidR="00BF266E" w:rsidRPr="00FD7B0B">
        <w:rPr>
          <w:rFonts w:ascii="Times New Roman" w:hAnsi="Times New Roman"/>
          <w:sz w:val="28"/>
          <w:szCs w:val="28"/>
        </w:rPr>
        <w:br/>
        <w:t>в размере 294,3 млн.</w:t>
      </w:r>
      <w:r w:rsidRPr="00FD7B0B">
        <w:rPr>
          <w:rFonts w:ascii="Times New Roman" w:hAnsi="Times New Roman"/>
          <w:sz w:val="28"/>
          <w:szCs w:val="28"/>
        </w:rPr>
        <w:t xml:space="preserve">руб., при этом при пообъектном суммировании размер бюджетных ассигнований областного бюджета в 2025 году составляет </w:t>
      </w:r>
      <w:r w:rsidRPr="00FD7B0B">
        <w:rPr>
          <w:rFonts w:ascii="Times New Roman" w:hAnsi="Times New Roman"/>
          <w:sz w:val="28"/>
          <w:szCs w:val="28"/>
        </w:rPr>
        <w:br/>
        <w:t xml:space="preserve">264,225 </w:t>
      </w:r>
      <w:r w:rsidR="000560EB" w:rsidRPr="00FD7B0B">
        <w:rPr>
          <w:rFonts w:ascii="Times New Roman" w:hAnsi="Times New Roman"/>
          <w:sz w:val="28"/>
          <w:szCs w:val="28"/>
        </w:rPr>
        <w:t>млн.руб.</w:t>
      </w:r>
      <w:r w:rsidRPr="00FD7B0B">
        <w:rPr>
          <w:rFonts w:ascii="Times New Roman" w:hAnsi="Times New Roman"/>
          <w:sz w:val="28"/>
          <w:szCs w:val="28"/>
        </w:rPr>
        <w:t xml:space="preserve"> или отклонение 30,1 млн.руб.</w:t>
      </w:r>
    </w:p>
    <w:p w14:paraId="64E8DF39" w14:textId="77777777" w:rsidR="002A3B24" w:rsidRPr="00FD7B0B" w:rsidRDefault="002A3B24" w:rsidP="002A3B24">
      <w:pPr>
        <w:spacing w:after="0" w:line="240" w:lineRule="auto"/>
        <w:ind w:firstLine="709"/>
        <w:contextualSpacing/>
        <w:jc w:val="center"/>
        <w:rPr>
          <w:rFonts w:ascii="Times New Roman" w:eastAsia="Times New Roman" w:hAnsi="Times New Roman"/>
          <w:b/>
          <w:sz w:val="28"/>
          <w:szCs w:val="28"/>
          <w:lang w:eastAsia="ru-RU"/>
        </w:rPr>
      </w:pPr>
    </w:p>
    <w:p w14:paraId="54C88BCF" w14:textId="795DEF03" w:rsidR="002A3B24" w:rsidRPr="00FD7B0B" w:rsidRDefault="002A3B24" w:rsidP="00BF266E">
      <w:pPr>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достижения показателей 2024 года</w:t>
      </w:r>
    </w:p>
    <w:p w14:paraId="563468E0" w14:textId="1E46BA63"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В рамках ГП № 06 на 2024 год утверждено 2 показателя, в рамках структурных элементов утверждено достижение значений 12 показателей.</w:t>
      </w:r>
    </w:p>
    <w:p w14:paraId="33A84379" w14:textId="569CE96C"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Плановые и фактические значения показателей ГП № 06 согласно проекту отчета о реализации ГП за 2024 год представлены в таблице </w:t>
      </w:r>
      <w:r w:rsidR="006735B6" w:rsidRPr="00FD7B0B">
        <w:rPr>
          <w:rFonts w:ascii="Times New Roman" w:hAnsi="Times New Roman"/>
          <w:sz w:val="28"/>
          <w:szCs w:val="28"/>
        </w:rPr>
        <w:t>137</w:t>
      </w:r>
      <w:r w:rsidRPr="00FD7B0B">
        <w:rPr>
          <w:rFonts w:ascii="Times New Roman" w:hAnsi="Times New Roman"/>
          <w:sz w:val="28"/>
          <w:szCs w:val="28"/>
        </w:rPr>
        <w:t>.</w:t>
      </w:r>
    </w:p>
    <w:p w14:paraId="59315A96" w14:textId="77777777" w:rsidR="002A3B24" w:rsidRPr="00FD7B0B" w:rsidRDefault="002A3B24" w:rsidP="002A3B24">
      <w:pPr>
        <w:spacing w:after="0" w:line="240" w:lineRule="auto"/>
        <w:ind w:firstLine="851"/>
        <w:contextualSpacing/>
        <w:jc w:val="both"/>
        <w:rPr>
          <w:rFonts w:ascii="Times New Roman" w:eastAsia="Times New Roman" w:hAnsi="Times New Roman"/>
          <w:sz w:val="28"/>
          <w:szCs w:val="28"/>
          <w:lang w:eastAsia="ru-RU"/>
        </w:rPr>
      </w:pPr>
    </w:p>
    <w:p w14:paraId="556D2055" w14:textId="3934CF8D" w:rsidR="002A3B24" w:rsidRPr="00FD7B0B" w:rsidRDefault="002A3B24" w:rsidP="002A3B24">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137</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Динамика значений </w:t>
      </w:r>
      <w:r w:rsidR="005C66C8" w:rsidRPr="00FD7B0B">
        <w:rPr>
          <w:rFonts w:ascii="Times New Roman" w:hAnsi="Times New Roman"/>
          <w:b w:val="0"/>
          <w:sz w:val="24"/>
          <w:szCs w:val="24"/>
        </w:rPr>
        <w:t>показателей ГП № 06</w:t>
      </w: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417"/>
        <w:gridCol w:w="1134"/>
        <w:gridCol w:w="851"/>
        <w:gridCol w:w="850"/>
        <w:gridCol w:w="851"/>
        <w:gridCol w:w="850"/>
        <w:gridCol w:w="851"/>
        <w:gridCol w:w="850"/>
      </w:tblGrid>
      <w:tr w:rsidR="00FD7B0B" w:rsidRPr="00FD7B0B" w14:paraId="25069A23" w14:textId="77777777" w:rsidTr="002A3B24">
        <w:trPr>
          <w:trHeight w:val="77"/>
          <w:tblHeader/>
        </w:trPr>
        <w:tc>
          <w:tcPr>
            <w:tcW w:w="3417" w:type="dxa"/>
            <w:vMerge w:val="restart"/>
            <w:shd w:val="clear" w:color="auto" w:fill="auto"/>
            <w:vAlign w:val="center"/>
            <w:hideMark/>
          </w:tcPr>
          <w:p w14:paraId="567E2FAC"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Наименование показателя</w:t>
            </w:r>
          </w:p>
        </w:tc>
        <w:tc>
          <w:tcPr>
            <w:tcW w:w="1134" w:type="dxa"/>
            <w:vMerge w:val="restart"/>
            <w:shd w:val="clear" w:color="auto" w:fill="auto"/>
            <w:vAlign w:val="center"/>
            <w:hideMark/>
          </w:tcPr>
          <w:p w14:paraId="41F7CEAC"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Единица измерения</w:t>
            </w:r>
          </w:p>
        </w:tc>
        <w:tc>
          <w:tcPr>
            <w:tcW w:w="5103" w:type="dxa"/>
            <w:gridSpan w:val="6"/>
            <w:shd w:val="clear" w:color="auto" w:fill="auto"/>
            <w:vAlign w:val="center"/>
            <w:hideMark/>
          </w:tcPr>
          <w:p w14:paraId="5AC0799E" w14:textId="77777777" w:rsidR="002A3B24" w:rsidRPr="00FD7B0B" w:rsidRDefault="002A3B24" w:rsidP="002A3B24">
            <w:pPr>
              <w:tabs>
                <w:tab w:val="left" w:pos="590"/>
              </w:tabs>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Значение показателей</w:t>
            </w:r>
          </w:p>
        </w:tc>
      </w:tr>
      <w:tr w:rsidR="00FD7B0B" w:rsidRPr="00FD7B0B" w14:paraId="278EA076" w14:textId="77777777" w:rsidTr="002A3B24">
        <w:trPr>
          <w:trHeight w:val="300"/>
          <w:tblHeader/>
        </w:trPr>
        <w:tc>
          <w:tcPr>
            <w:tcW w:w="3417" w:type="dxa"/>
            <w:vMerge/>
            <w:vAlign w:val="center"/>
            <w:hideMark/>
          </w:tcPr>
          <w:p w14:paraId="0953EE3C" w14:textId="77777777" w:rsidR="002A3B24" w:rsidRPr="00FD7B0B" w:rsidRDefault="002A3B24" w:rsidP="002A3B24">
            <w:pPr>
              <w:spacing w:after="0" w:line="240" w:lineRule="auto"/>
              <w:rPr>
                <w:rFonts w:ascii="Times New Roman" w:eastAsia="Times New Roman" w:hAnsi="Times New Roman"/>
                <w:sz w:val="20"/>
                <w:szCs w:val="20"/>
                <w:lang w:eastAsia="ru-RU"/>
              </w:rPr>
            </w:pPr>
          </w:p>
        </w:tc>
        <w:tc>
          <w:tcPr>
            <w:tcW w:w="1134" w:type="dxa"/>
            <w:vMerge/>
            <w:vAlign w:val="center"/>
            <w:hideMark/>
          </w:tcPr>
          <w:p w14:paraId="73E72C24" w14:textId="77777777" w:rsidR="002A3B24" w:rsidRPr="00FD7B0B" w:rsidRDefault="002A3B24" w:rsidP="002A3B24">
            <w:pPr>
              <w:spacing w:after="0" w:line="240" w:lineRule="auto"/>
              <w:rPr>
                <w:rFonts w:ascii="Times New Roman" w:eastAsia="Times New Roman" w:hAnsi="Times New Roman"/>
                <w:sz w:val="20"/>
                <w:szCs w:val="20"/>
                <w:lang w:eastAsia="ru-RU"/>
              </w:rPr>
            </w:pPr>
          </w:p>
        </w:tc>
        <w:tc>
          <w:tcPr>
            <w:tcW w:w="851" w:type="dxa"/>
            <w:shd w:val="clear" w:color="auto" w:fill="auto"/>
            <w:vAlign w:val="center"/>
            <w:hideMark/>
          </w:tcPr>
          <w:p w14:paraId="069551B3"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факт 2021 </w:t>
            </w:r>
          </w:p>
        </w:tc>
        <w:tc>
          <w:tcPr>
            <w:tcW w:w="850" w:type="dxa"/>
            <w:shd w:val="clear" w:color="auto" w:fill="auto"/>
            <w:vAlign w:val="center"/>
            <w:hideMark/>
          </w:tcPr>
          <w:p w14:paraId="296BF3CE"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факт 2022</w:t>
            </w:r>
          </w:p>
        </w:tc>
        <w:tc>
          <w:tcPr>
            <w:tcW w:w="851" w:type="dxa"/>
            <w:shd w:val="clear" w:color="auto" w:fill="auto"/>
            <w:vAlign w:val="center"/>
            <w:hideMark/>
          </w:tcPr>
          <w:p w14:paraId="2D74ED05"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факт 2023</w:t>
            </w:r>
          </w:p>
        </w:tc>
        <w:tc>
          <w:tcPr>
            <w:tcW w:w="850" w:type="dxa"/>
            <w:vAlign w:val="center"/>
          </w:tcPr>
          <w:p w14:paraId="79B5A1B8"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план 2024</w:t>
            </w:r>
          </w:p>
        </w:tc>
        <w:tc>
          <w:tcPr>
            <w:tcW w:w="851" w:type="dxa"/>
            <w:vAlign w:val="center"/>
          </w:tcPr>
          <w:p w14:paraId="480A05EE"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факт 2024</w:t>
            </w:r>
          </w:p>
        </w:tc>
        <w:tc>
          <w:tcPr>
            <w:tcW w:w="850" w:type="dxa"/>
            <w:shd w:val="clear" w:color="auto" w:fill="auto"/>
            <w:vAlign w:val="center"/>
            <w:hideMark/>
          </w:tcPr>
          <w:p w14:paraId="43925F7E"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испол</w:t>
            </w:r>
          </w:p>
          <w:p w14:paraId="61662B0E"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нения</w:t>
            </w:r>
          </w:p>
        </w:tc>
      </w:tr>
      <w:tr w:rsidR="00FD7B0B" w:rsidRPr="00FD7B0B" w14:paraId="4DE041A1" w14:textId="77777777" w:rsidTr="002A3B24">
        <w:trPr>
          <w:trHeight w:val="480"/>
        </w:trPr>
        <w:tc>
          <w:tcPr>
            <w:tcW w:w="3417" w:type="dxa"/>
            <w:shd w:val="clear" w:color="auto" w:fill="auto"/>
            <w:vAlign w:val="center"/>
            <w:hideMark/>
          </w:tcPr>
          <w:p w14:paraId="25AEA9AF"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Общая площадь жилых помещений, приходящаяся в среднем на одного жителя</w:t>
            </w:r>
          </w:p>
        </w:tc>
        <w:tc>
          <w:tcPr>
            <w:tcW w:w="1134" w:type="dxa"/>
            <w:shd w:val="clear" w:color="auto" w:fill="auto"/>
            <w:vAlign w:val="center"/>
            <w:hideMark/>
          </w:tcPr>
          <w:p w14:paraId="38B057BF"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кв. метров на 1 чел.</w:t>
            </w:r>
          </w:p>
        </w:tc>
        <w:tc>
          <w:tcPr>
            <w:tcW w:w="851" w:type="dxa"/>
            <w:shd w:val="clear" w:color="auto" w:fill="auto"/>
            <w:vAlign w:val="center"/>
            <w:hideMark/>
          </w:tcPr>
          <w:p w14:paraId="60230490"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w:t>
            </w:r>
          </w:p>
        </w:tc>
        <w:tc>
          <w:tcPr>
            <w:tcW w:w="850" w:type="dxa"/>
            <w:shd w:val="clear" w:color="auto" w:fill="auto"/>
            <w:vAlign w:val="center"/>
            <w:hideMark/>
          </w:tcPr>
          <w:p w14:paraId="3A7301C6"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33,6</w:t>
            </w:r>
          </w:p>
        </w:tc>
        <w:tc>
          <w:tcPr>
            <w:tcW w:w="851" w:type="dxa"/>
            <w:shd w:val="clear" w:color="auto" w:fill="auto"/>
            <w:vAlign w:val="center"/>
            <w:hideMark/>
          </w:tcPr>
          <w:p w14:paraId="6917CD43"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34,2</w:t>
            </w:r>
          </w:p>
        </w:tc>
        <w:tc>
          <w:tcPr>
            <w:tcW w:w="850" w:type="dxa"/>
            <w:vAlign w:val="center"/>
          </w:tcPr>
          <w:p w14:paraId="512A765B"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32,0</w:t>
            </w:r>
          </w:p>
        </w:tc>
        <w:tc>
          <w:tcPr>
            <w:tcW w:w="851" w:type="dxa"/>
            <w:vAlign w:val="center"/>
          </w:tcPr>
          <w:p w14:paraId="650B53ED"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34,2</w:t>
            </w:r>
          </w:p>
        </w:tc>
        <w:tc>
          <w:tcPr>
            <w:tcW w:w="850" w:type="dxa"/>
            <w:shd w:val="clear" w:color="auto" w:fill="auto"/>
            <w:vAlign w:val="center"/>
          </w:tcPr>
          <w:p w14:paraId="7E9FA740"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106,9</w:t>
            </w:r>
          </w:p>
        </w:tc>
      </w:tr>
      <w:tr w:rsidR="002A3B24" w:rsidRPr="00FD7B0B" w14:paraId="579DDE16" w14:textId="77777777" w:rsidTr="002A3B24">
        <w:trPr>
          <w:trHeight w:val="336"/>
        </w:trPr>
        <w:tc>
          <w:tcPr>
            <w:tcW w:w="3417" w:type="dxa"/>
            <w:shd w:val="clear" w:color="auto" w:fill="auto"/>
            <w:vAlign w:val="center"/>
            <w:hideMark/>
          </w:tcPr>
          <w:p w14:paraId="2F428F3D"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 Количество семей, улучшивших жилищные условия</w:t>
            </w:r>
          </w:p>
        </w:tc>
        <w:tc>
          <w:tcPr>
            <w:tcW w:w="1134" w:type="dxa"/>
            <w:shd w:val="clear" w:color="auto" w:fill="auto"/>
            <w:vAlign w:val="center"/>
            <w:hideMark/>
          </w:tcPr>
          <w:p w14:paraId="277DD128"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тыс. семей</w:t>
            </w:r>
          </w:p>
        </w:tc>
        <w:tc>
          <w:tcPr>
            <w:tcW w:w="851" w:type="dxa"/>
            <w:shd w:val="clear" w:color="auto" w:fill="auto"/>
            <w:vAlign w:val="center"/>
            <w:hideMark/>
          </w:tcPr>
          <w:p w14:paraId="20CDB5A3"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32,6</w:t>
            </w:r>
          </w:p>
        </w:tc>
        <w:tc>
          <w:tcPr>
            <w:tcW w:w="850" w:type="dxa"/>
            <w:shd w:val="clear" w:color="auto" w:fill="auto"/>
            <w:vAlign w:val="center"/>
            <w:hideMark/>
          </w:tcPr>
          <w:p w14:paraId="0EBDFA58"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22</w:t>
            </w:r>
          </w:p>
        </w:tc>
        <w:tc>
          <w:tcPr>
            <w:tcW w:w="851" w:type="dxa"/>
            <w:shd w:val="clear" w:color="auto" w:fill="auto"/>
            <w:vAlign w:val="center"/>
            <w:hideMark/>
          </w:tcPr>
          <w:p w14:paraId="2939CA6D"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31</w:t>
            </w:r>
          </w:p>
        </w:tc>
        <w:tc>
          <w:tcPr>
            <w:tcW w:w="850" w:type="dxa"/>
            <w:vAlign w:val="center"/>
          </w:tcPr>
          <w:p w14:paraId="291783E0"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20,5</w:t>
            </w:r>
          </w:p>
        </w:tc>
        <w:tc>
          <w:tcPr>
            <w:tcW w:w="851" w:type="dxa"/>
            <w:vAlign w:val="center"/>
          </w:tcPr>
          <w:p w14:paraId="062AFEC5"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28,0</w:t>
            </w:r>
          </w:p>
        </w:tc>
        <w:tc>
          <w:tcPr>
            <w:tcW w:w="850" w:type="dxa"/>
            <w:shd w:val="clear" w:color="auto" w:fill="auto"/>
            <w:vAlign w:val="center"/>
          </w:tcPr>
          <w:p w14:paraId="3A7C8F9A"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136,8</w:t>
            </w:r>
          </w:p>
        </w:tc>
      </w:tr>
    </w:tbl>
    <w:p w14:paraId="5E5DD558" w14:textId="77777777" w:rsidR="002A3B24" w:rsidRPr="00FD7B0B" w:rsidRDefault="002A3B24" w:rsidP="002A3B24">
      <w:pPr>
        <w:pStyle w:val="ad"/>
        <w:ind w:firstLine="709"/>
        <w:jc w:val="both"/>
        <w:rPr>
          <w:rFonts w:ascii="Times New Roman" w:hAnsi="Times New Roman"/>
          <w:sz w:val="28"/>
          <w:szCs w:val="28"/>
        </w:rPr>
      </w:pPr>
    </w:p>
    <w:p w14:paraId="50CE8BA0"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Отмечается изменение фактических значений показателей ГП № 06 за 2022 год в проекте отчета о реализации ГП за 2024 год, что является нарушением пункта 28 Постановления № 793-пп. Данные проекта отчета не соответствуют сведениям о достижении показателей ГП, размещенными в ГИС «КИАС» за 2022 год. </w:t>
      </w:r>
    </w:p>
    <w:p w14:paraId="1ECF603B" w14:textId="03550569"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Сравнение значений показателей представлено в таблице </w:t>
      </w:r>
      <w:r w:rsidR="006735B6" w:rsidRPr="00FD7B0B">
        <w:rPr>
          <w:rFonts w:ascii="Times New Roman" w:hAnsi="Times New Roman"/>
          <w:sz w:val="28"/>
          <w:szCs w:val="28"/>
        </w:rPr>
        <w:t>138</w:t>
      </w:r>
      <w:r w:rsidRPr="00FD7B0B">
        <w:rPr>
          <w:rFonts w:ascii="Times New Roman" w:hAnsi="Times New Roman"/>
          <w:sz w:val="28"/>
          <w:szCs w:val="28"/>
        </w:rPr>
        <w:t>.</w:t>
      </w:r>
    </w:p>
    <w:p w14:paraId="14AB6884" w14:textId="77777777" w:rsidR="002A3B24" w:rsidRPr="00FD7B0B" w:rsidRDefault="002A3B24" w:rsidP="002A3B24">
      <w:pPr>
        <w:pStyle w:val="ad"/>
        <w:ind w:firstLine="709"/>
        <w:jc w:val="both"/>
        <w:rPr>
          <w:rFonts w:ascii="Times New Roman" w:hAnsi="Times New Roman"/>
          <w:sz w:val="28"/>
          <w:szCs w:val="28"/>
          <w:highlight w:val="cyan"/>
        </w:rPr>
      </w:pPr>
    </w:p>
    <w:p w14:paraId="0ED54275" w14:textId="15354B1E" w:rsidR="002A3B24" w:rsidRPr="00FD7B0B" w:rsidRDefault="002A3B24" w:rsidP="002A3B24">
      <w:pPr>
        <w:pStyle w:val="aff0"/>
        <w:keepNext/>
        <w:spacing w:after="0"/>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138</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Сравнение значений </w:t>
      </w:r>
      <w:r w:rsidR="005C66C8" w:rsidRPr="00FD7B0B">
        <w:rPr>
          <w:rFonts w:ascii="Times New Roman" w:hAnsi="Times New Roman"/>
          <w:b w:val="0"/>
          <w:sz w:val="24"/>
          <w:szCs w:val="24"/>
        </w:rPr>
        <w:t>показателей ГП № 06</w:t>
      </w:r>
    </w:p>
    <w:tbl>
      <w:tblPr>
        <w:tblW w:w="9673"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991"/>
        <w:gridCol w:w="1437"/>
        <w:gridCol w:w="1701"/>
        <w:gridCol w:w="1276"/>
        <w:gridCol w:w="992"/>
        <w:gridCol w:w="1276"/>
      </w:tblGrid>
      <w:tr w:rsidR="00FD7B0B" w:rsidRPr="00FD7B0B" w14:paraId="6671DF6D" w14:textId="77777777" w:rsidTr="002A3B24">
        <w:trPr>
          <w:trHeight w:val="77"/>
          <w:tblHeader/>
        </w:trPr>
        <w:tc>
          <w:tcPr>
            <w:tcW w:w="2991" w:type="dxa"/>
            <w:vMerge w:val="restart"/>
            <w:shd w:val="clear" w:color="auto" w:fill="auto"/>
            <w:vAlign w:val="center"/>
            <w:hideMark/>
          </w:tcPr>
          <w:p w14:paraId="26634651"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Наименование показателя, единица измерения</w:t>
            </w:r>
          </w:p>
        </w:tc>
        <w:tc>
          <w:tcPr>
            <w:tcW w:w="1437" w:type="dxa"/>
            <w:shd w:val="clear" w:color="auto" w:fill="auto"/>
            <w:vAlign w:val="center"/>
          </w:tcPr>
          <w:p w14:paraId="498D53AA" w14:textId="77777777" w:rsidR="002A3B24" w:rsidRPr="00FD7B0B" w:rsidRDefault="002A3B24" w:rsidP="002A3B24">
            <w:pPr>
              <w:tabs>
                <w:tab w:val="left" w:pos="590"/>
              </w:tabs>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Значение показателя по данным КИАС</w:t>
            </w:r>
          </w:p>
        </w:tc>
        <w:tc>
          <w:tcPr>
            <w:tcW w:w="1701" w:type="dxa"/>
            <w:shd w:val="clear" w:color="auto" w:fill="auto"/>
            <w:vAlign w:val="center"/>
          </w:tcPr>
          <w:p w14:paraId="4DCF6A1D" w14:textId="77777777" w:rsidR="002A3B24" w:rsidRPr="00FD7B0B" w:rsidRDefault="002A3B24" w:rsidP="002A3B24">
            <w:pPr>
              <w:tabs>
                <w:tab w:val="left" w:pos="590"/>
              </w:tabs>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Значение показателя по данным проекта отчета</w:t>
            </w:r>
          </w:p>
        </w:tc>
        <w:tc>
          <w:tcPr>
            <w:tcW w:w="1276" w:type="dxa"/>
            <w:shd w:val="clear" w:color="auto" w:fill="auto"/>
            <w:vAlign w:val="center"/>
          </w:tcPr>
          <w:p w14:paraId="2926ADB5" w14:textId="77777777" w:rsidR="002A3B24" w:rsidRPr="00FD7B0B" w:rsidRDefault="002A3B24" w:rsidP="002A3B24">
            <w:pPr>
              <w:tabs>
                <w:tab w:val="left" w:pos="590"/>
              </w:tabs>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отклонение</w:t>
            </w:r>
          </w:p>
        </w:tc>
        <w:tc>
          <w:tcPr>
            <w:tcW w:w="992" w:type="dxa"/>
            <w:vAlign w:val="center"/>
          </w:tcPr>
          <w:p w14:paraId="4BE2C40E" w14:textId="77777777" w:rsidR="002A3B24" w:rsidRPr="00FD7B0B" w:rsidRDefault="002A3B24" w:rsidP="002A3B24">
            <w:pPr>
              <w:tabs>
                <w:tab w:val="left" w:pos="590"/>
              </w:tabs>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значение показателя ГП </w:t>
            </w:r>
            <w:r w:rsidRPr="00FD7B0B">
              <w:rPr>
                <w:rFonts w:ascii="Times New Roman" w:eastAsia="Times New Roman" w:hAnsi="Times New Roman"/>
                <w:sz w:val="20"/>
                <w:szCs w:val="20"/>
                <w:lang w:eastAsia="ru-RU"/>
              </w:rPr>
              <w:br/>
              <w:t>№ 06</w:t>
            </w:r>
          </w:p>
        </w:tc>
        <w:tc>
          <w:tcPr>
            <w:tcW w:w="1276" w:type="dxa"/>
            <w:shd w:val="clear" w:color="auto" w:fill="auto"/>
            <w:vAlign w:val="center"/>
          </w:tcPr>
          <w:p w14:paraId="55883BFB" w14:textId="77777777" w:rsidR="002A3B24" w:rsidRPr="00FD7B0B" w:rsidRDefault="002A3B24" w:rsidP="002A3B24">
            <w:pPr>
              <w:tabs>
                <w:tab w:val="left" w:pos="590"/>
              </w:tabs>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отклонение</w:t>
            </w:r>
          </w:p>
        </w:tc>
      </w:tr>
      <w:tr w:rsidR="00FD7B0B" w:rsidRPr="00FD7B0B" w14:paraId="12E074AB" w14:textId="77777777" w:rsidTr="002A3B24">
        <w:trPr>
          <w:trHeight w:val="300"/>
          <w:tblHeader/>
        </w:trPr>
        <w:tc>
          <w:tcPr>
            <w:tcW w:w="2991" w:type="dxa"/>
            <w:vMerge/>
            <w:vAlign w:val="center"/>
            <w:hideMark/>
          </w:tcPr>
          <w:p w14:paraId="3995513C" w14:textId="77777777" w:rsidR="002A3B24" w:rsidRPr="00FD7B0B" w:rsidRDefault="002A3B24" w:rsidP="002A3B24">
            <w:pPr>
              <w:spacing w:after="0" w:line="240" w:lineRule="auto"/>
              <w:rPr>
                <w:rFonts w:ascii="Times New Roman" w:eastAsia="Times New Roman" w:hAnsi="Times New Roman"/>
                <w:sz w:val="20"/>
                <w:szCs w:val="20"/>
                <w:lang w:eastAsia="ru-RU"/>
              </w:rPr>
            </w:pPr>
          </w:p>
        </w:tc>
        <w:tc>
          <w:tcPr>
            <w:tcW w:w="1437" w:type="dxa"/>
            <w:shd w:val="clear" w:color="auto" w:fill="auto"/>
            <w:vAlign w:val="center"/>
          </w:tcPr>
          <w:p w14:paraId="305A2F35"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факт 2022</w:t>
            </w:r>
          </w:p>
        </w:tc>
        <w:tc>
          <w:tcPr>
            <w:tcW w:w="1701" w:type="dxa"/>
            <w:shd w:val="clear" w:color="auto" w:fill="auto"/>
            <w:vAlign w:val="center"/>
          </w:tcPr>
          <w:p w14:paraId="0ED1D7E1"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факт 2022</w:t>
            </w:r>
          </w:p>
        </w:tc>
        <w:tc>
          <w:tcPr>
            <w:tcW w:w="1276" w:type="dxa"/>
            <w:vAlign w:val="center"/>
          </w:tcPr>
          <w:p w14:paraId="23537B20"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факт 2022</w:t>
            </w:r>
          </w:p>
        </w:tc>
        <w:tc>
          <w:tcPr>
            <w:tcW w:w="992" w:type="dxa"/>
            <w:vAlign w:val="center"/>
          </w:tcPr>
          <w:p w14:paraId="54A750CB"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базовое 2022</w:t>
            </w:r>
          </w:p>
        </w:tc>
        <w:tc>
          <w:tcPr>
            <w:tcW w:w="1276" w:type="dxa"/>
            <w:shd w:val="clear" w:color="auto" w:fill="auto"/>
            <w:vAlign w:val="center"/>
            <w:hideMark/>
          </w:tcPr>
          <w:p w14:paraId="31D3513E"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факт 2022</w:t>
            </w:r>
          </w:p>
        </w:tc>
      </w:tr>
      <w:tr w:rsidR="00FD7B0B" w:rsidRPr="00FD7B0B" w14:paraId="7A44177C" w14:textId="77777777" w:rsidTr="002A3B24">
        <w:trPr>
          <w:trHeight w:val="133"/>
          <w:tblHeader/>
        </w:trPr>
        <w:tc>
          <w:tcPr>
            <w:tcW w:w="2991" w:type="dxa"/>
            <w:vAlign w:val="center"/>
          </w:tcPr>
          <w:p w14:paraId="47E87FFD"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х</w:t>
            </w:r>
          </w:p>
        </w:tc>
        <w:tc>
          <w:tcPr>
            <w:tcW w:w="1437" w:type="dxa"/>
            <w:vAlign w:val="center"/>
          </w:tcPr>
          <w:p w14:paraId="3D82EBC5"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701" w:type="dxa"/>
            <w:shd w:val="clear" w:color="auto" w:fill="auto"/>
            <w:vAlign w:val="center"/>
          </w:tcPr>
          <w:p w14:paraId="629BBCC1"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276" w:type="dxa"/>
            <w:vAlign w:val="center"/>
          </w:tcPr>
          <w:p w14:paraId="0BA5304D"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3=2-1</w:t>
            </w:r>
          </w:p>
        </w:tc>
        <w:tc>
          <w:tcPr>
            <w:tcW w:w="992" w:type="dxa"/>
            <w:vAlign w:val="center"/>
          </w:tcPr>
          <w:p w14:paraId="5B3ABAEF"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w:t>
            </w:r>
          </w:p>
        </w:tc>
        <w:tc>
          <w:tcPr>
            <w:tcW w:w="1276" w:type="dxa"/>
            <w:shd w:val="clear" w:color="auto" w:fill="auto"/>
            <w:vAlign w:val="center"/>
          </w:tcPr>
          <w:p w14:paraId="77224F2B"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5=4-1</w:t>
            </w:r>
          </w:p>
        </w:tc>
      </w:tr>
      <w:tr w:rsidR="00FD7B0B" w:rsidRPr="00FD7B0B" w14:paraId="5E6C6E1E" w14:textId="77777777" w:rsidTr="002A3B24">
        <w:trPr>
          <w:trHeight w:val="480"/>
        </w:trPr>
        <w:tc>
          <w:tcPr>
            <w:tcW w:w="2991" w:type="dxa"/>
            <w:shd w:val="clear" w:color="auto" w:fill="auto"/>
            <w:vAlign w:val="center"/>
            <w:hideMark/>
          </w:tcPr>
          <w:p w14:paraId="2145DB6C"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1. Общая площадь жилых помещений, приходящаяся в среднем на одного жителя </w:t>
            </w:r>
          </w:p>
          <w:p w14:paraId="0FFF7CF4"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(кв. метров на 1 чел.)</w:t>
            </w:r>
          </w:p>
        </w:tc>
        <w:tc>
          <w:tcPr>
            <w:tcW w:w="1437" w:type="dxa"/>
            <w:shd w:val="clear" w:color="auto" w:fill="auto"/>
            <w:vAlign w:val="center"/>
          </w:tcPr>
          <w:p w14:paraId="57695164"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30,04</w:t>
            </w:r>
          </w:p>
        </w:tc>
        <w:tc>
          <w:tcPr>
            <w:tcW w:w="1701" w:type="dxa"/>
            <w:shd w:val="clear" w:color="auto" w:fill="auto"/>
            <w:vAlign w:val="center"/>
          </w:tcPr>
          <w:p w14:paraId="7E643E5E"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33,6</w:t>
            </w:r>
          </w:p>
        </w:tc>
        <w:tc>
          <w:tcPr>
            <w:tcW w:w="1276" w:type="dxa"/>
            <w:vAlign w:val="center"/>
          </w:tcPr>
          <w:p w14:paraId="66B9A291"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3,56</w:t>
            </w:r>
          </w:p>
        </w:tc>
        <w:tc>
          <w:tcPr>
            <w:tcW w:w="992" w:type="dxa"/>
            <w:vAlign w:val="center"/>
          </w:tcPr>
          <w:p w14:paraId="7A9E8FC8"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30,4</w:t>
            </w:r>
          </w:p>
        </w:tc>
        <w:tc>
          <w:tcPr>
            <w:tcW w:w="1276" w:type="dxa"/>
            <w:shd w:val="clear" w:color="auto" w:fill="auto"/>
            <w:vAlign w:val="center"/>
          </w:tcPr>
          <w:p w14:paraId="2FFED635"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2A3B24" w:rsidRPr="00FD7B0B" w14:paraId="65B97706" w14:textId="77777777" w:rsidTr="002A3B24">
        <w:trPr>
          <w:trHeight w:val="336"/>
        </w:trPr>
        <w:tc>
          <w:tcPr>
            <w:tcW w:w="2991" w:type="dxa"/>
            <w:shd w:val="clear" w:color="auto" w:fill="auto"/>
            <w:vAlign w:val="center"/>
            <w:hideMark/>
          </w:tcPr>
          <w:p w14:paraId="00C95DF4" w14:textId="77777777" w:rsidR="002A3B24" w:rsidRPr="00FD7B0B" w:rsidRDefault="002A3B24" w:rsidP="002A3B24">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 Количество семей, улучшивших жилищные условия (тыс. семей)</w:t>
            </w:r>
          </w:p>
        </w:tc>
        <w:tc>
          <w:tcPr>
            <w:tcW w:w="1437" w:type="dxa"/>
            <w:shd w:val="clear" w:color="auto" w:fill="auto"/>
            <w:vAlign w:val="center"/>
          </w:tcPr>
          <w:p w14:paraId="48260014"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28</w:t>
            </w:r>
          </w:p>
        </w:tc>
        <w:tc>
          <w:tcPr>
            <w:tcW w:w="1701" w:type="dxa"/>
            <w:shd w:val="clear" w:color="auto" w:fill="auto"/>
            <w:vAlign w:val="center"/>
          </w:tcPr>
          <w:p w14:paraId="74DDE012"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22,0</w:t>
            </w:r>
          </w:p>
        </w:tc>
        <w:tc>
          <w:tcPr>
            <w:tcW w:w="1276" w:type="dxa"/>
            <w:vAlign w:val="center"/>
          </w:tcPr>
          <w:p w14:paraId="7EEA11EA"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w:t>
            </w:r>
          </w:p>
        </w:tc>
        <w:tc>
          <w:tcPr>
            <w:tcW w:w="992" w:type="dxa"/>
            <w:vAlign w:val="center"/>
          </w:tcPr>
          <w:p w14:paraId="74BE361D"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22,0</w:t>
            </w:r>
          </w:p>
        </w:tc>
        <w:tc>
          <w:tcPr>
            <w:tcW w:w="1276" w:type="dxa"/>
            <w:shd w:val="clear" w:color="auto" w:fill="auto"/>
            <w:vAlign w:val="center"/>
          </w:tcPr>
          <w:p w14:paraId="402EFD55" w14:textId="77777777" w:rsidR="002A3B24" w:rsidRPr="00FD7B0B" w:rsidRDefault="002A3B24" w:rsidP="002A3B24">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w:t>
            </w:r>
          </w:p>
        </w:tc>
      </w:tr>
    </w:tbl>
    <w:p w14:paraId="388F6C34" w14:textId="77777777" w:rsidR="005C66C8" w:rsidRPr="00FD7B0B" w:rsidRDefault="005C66C8" w:rsidP="002A3B24">
      <w:pPr>
        <w:pStyle w:val="ad"/>
        <w:ind w:firstLine="709"/>
        <w:jc w:val="both"/>
        <w:rPr>
          <w:rFonts w:ascii="Times New Roman" w:hAnsi="Times New Roman"/>
          <w:sz w:val="28"/>
          <w:szCs w:val="28"/>
        </w:rPr>
      </w:pPr>
    </w:p>
    <w:p w14:paraId="7F6592DC" w14:textId="77777777" w:rsidR="004D6B99" w:rsidRPr="00FD7B0B" w:rsidRDefault="004D6B99" w:rsidP="004D6B99">
      <w:pPr>
        <w:pStyle w:val="ad"/>
        <w:ind w:firstLine="709"/>
        <w:jc w:val="both"/>
        <w:rPr>
          <w:rFonts w:ascii="Times New Roman" w:hAnsi="Times New Roman"/>
          <w:sz w:val="28"/>
          <w:szCs w:val="28"/>
        </w:rPr>
      </w:pPr>
      <w:r w:rsidRPr="00FD7B0B">
        <w:rPr>
          <w:rFonts w:ascii="Times New Roman" w:hAnsi="Times New Roman"/>
          <w:sz w:val="28"/>
          <w:szCs w:val="28"/>
        </w:rPr>
        <w:t>Значение базового показателя «количество семей, улучшивших жилищные условия» за 2022 год в паспорте ГП № 06 на 31.12.2024, обладающего признаком «возрастания», занижено на 6 тыс. семей.</w:t>
      </w:r>
    </w:p>
    <w:p w14:paraId="1DF2DF5C" w14:textId="77777777"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lastRenderedPageBreak/>
        <w:t>Отмечаем, что значение показателя «количество семей, улучшивших жилищные условия» на 2024 год в паспорте ГП № 06, действующей на 31.12.2024, обладающего признаком «возрастания», ниже значения базового показателя 2022 года на 1,5 тыс. семей.</w:t>
      </w:r>
    </w:p>
    <w:p w14:paraId="096F9315" w14:textId="3EF7B5CC" w:rsidR="002A3B24" w:rsidRPr="00FD7B0B" w:rsidRDefault="002A3B24" w:rsidP="002A3B24">
      <w:pPr>
        <w:pStyle w:val="ad"/>
        <w:ind w:firstLine="709"/>
        <w:jc w:val="both"/>
        <w:rPr>
          <w:rFonts w:ascii="Times New Roman" w:hAnsi="Times New Roman"/>
          <w:sz w:val="28"/>
          <w:szCs w:val="28"/>
        </w:rPr>
      </w:pPr>
      <w:r w:rsidRPr="00FD7B0B">
        <w:rPr>
          <w:rFonts w:ascii="Times New Roman" w:hAnsi="Times New Roman"/>
          <w:sz w:val="28"/>
          <w:szCs w:val="28"/>
        </w:rPr>
        <w:t xml:space="preserve">Достижение значений показателей, а также расходы на их выполнение, представлены в таблице </w:t>
      </w:r>
      <w:r w:rsidR="006735B6" w:rsidRPr="00FD7B0B">
        <w:rPr>
          <w:rFonts w:ascii="Times New Roman" w:hAnsi="Times New Roman"/>
          <w:sz w:val="28"/>
          <w:szCs w:val="28"/>
        </w:rPr>
        <w:t>139</w:t>
      </w:r>
      <w:r w:rsidRPr="00FD7B0B">
        <w:rPr>
          <w:rFonts w:ascii="Times New Roman" w:hAnsi="Times New Roman"/>
          <w:sz w:val="28"/>
          <w:szCs w:val="28"/>
        </w:rPr>
        <w:t>.</w:t>
      </w:r>
    </w:p>
    <w:p w14:paraId="186A4B1F" w14:textId="77777777" w:rsidR="002A3B24" w:rsidRPr="00FD7B0B" w:rsidRDefault="002A3B24" w:rsidP="002A3B24">
      <w:pPr>
        <w:pStyle w:val="ad"/>
        <w:ind w:firstLine="709"/>
        <w:jc w:val="both"/>
        <w:rPr>
          <w:rFonts w:ascii="Times New Roman" w:hAnsi="Times New Roman"/>
          <w:sz w:val="28"/>
          <w:szCs w:val="28"/>
        </w:rPr>
      </w:pPr>
    </w:p>
    <w:p w14:paraId="40D0AA78" w14:textId="4921C133" w:rsidR="002A3B24" w:rsidRPr="00FD7B0B" w:rsidRDefault="002A3B24" w:rsidP="002970CA">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139</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 выполнении показателей ГП № 06, а также о расходах</w:t>
      </w:r>
      <w:r w:rsidR="002970CA" w:rsidRPr="00FD7B0B">
        <w:rPr>
          <w:rFonts w:ascii="Times New Roman" w:hAnsi="Times New Roman"/>
          <w:b w:val="0"/>
          <w:sz w:val="24"/>
          <w:szCs w:val="24"/>
        </w:rPr>
        <w:t xml:space="preserve"> </w:t>
      </w:r>
      <w:r w:rsidRPr="00FD7B0B">
        <w:rPr>
          <w:rFonts w:ascii="Times New Roman" w:hAnsi="Times New Roman"/>
          <w:b w:val="0"/>
          <w:sz w:val="24"/>
          <w:szCs w:val="24"/>
        </w:rPr>
        <w:t>на их выполнение за 2024</w:t>
      </w:r>
      <w:r w:rsidR="002970CA" w:rsidRPr="00FD7B0B">
        <w:rPr>
          <w:rFonts w:ascii="Times New Roman" w:hAnsi="Times New Roman"/>
          <w:b w:val="0"/>
          <w:sz w:val="24"/>
          <w:szCs w:val="24"/>
        </w:rPr>
        <w:t xml:space="preserve"> год по состоянию на 31.12.2024</w:t>
      </w:r>
    </w:p>
    <w:tbl>
      <w:tblPr>
        <w:tblStyle w:val="a7"/>
        <w:tblW w:w="9678"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127"/>
        <w:gridCol w:w="709"/>
        <w:gridCol w:w="708"/>
        <w:gridCol w:w="709"/>
        <w:gridCol w:w="1417"/>
        <w:gridCol w:w="1559"/>
        <w:gridCol w:w="993"/>
        <w:gridCol w:w="1456"/>
      </w:tblGrid>
      <w:tr w:rsidR="00FD7B0B" w:rsidRPr="00FD7B0B" w14:paraId="7AAED1AF" w14:textId="77777777" w:rsidTr="002A3B24">
        <w:trPr>
          <w:tblHeader/>
        </w:trPr>
        <w:tc>
          <w:tcPr>
            <w:tcW w:w="2127" w:type="dxa"/>
            <w:vMerge w:val="restart"/>
            <w:vAlign w:val="center"/>
          </w:tcPr>
          <w:p w14:paraId="20289F01"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Структурные элементы</w:t>
            </w:r>
          </w:p>
        </w:tc>
        <w:tc>
          <w:tcPr>
            <w:tcW w:w="2126" w:type="dxa"/>
            <w:gridSpan w:val="3"/>
            <w:vAlign w:val="center"/>
          </w:tcPr>
          <w:p w14:paraId="5168A1EF"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Кол-во показателей</w:t>
            </w:r>
          </w:p>
          <w:p w14:paraId="36192CFC"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 на 2024</w:t>
            </w:r>
          </w:p>
        </w:tc>
        <w:tc>
          <w:tcPr>
            <w:tcW w:w="2976" w:type="dxa"/>
            <w:gridSpan w:val="2"/>
            <w:vAlign w:val="center"/>
          </w:tcPr>
          <w:p w14:paraId="7EDF8D3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Объем финансирования ГП </w:t>
            </w:r>
          </w:p>
          <w:p w14:paraId="613A9196"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06 на 2024 год</w:t>
            </w:r>
          </w:p>
        </w:tc>
        <w:tc>
          <w:tcPr>
            <w:tcW w:w="2449" w:type="dxa"/>
            <w:gridSpan w:val="2"/>
            <w:vAlign w:val="center"/>
          </w:tcPr>
          <w:p w14:paraId="1EF01052"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Исполнено согласно отчету о реализации госпрограммы</w:t>
            </w:r>
          </w:p>
        </w:tc>
      </w:tr>
      <w:tr w:rsidR="00FD7B0B" w:rsidRPr="00FD7B0B" w14:paraId="5D9D9338" w14:textId="77777777" w:rsidTr="002A3B24">
        <w:trPr>
          <w:tblHeader/>
        </w:trPr>
        <w:tc>
          <w:tcPr>
            <w:tcW w:w="2127" w:type="dxa"/>
            <w:vMerge/>
            <w:vAlign w:val="center"/>
          </w:tcPr>
          <w:p w14:paraId="1FAF13BF" w14:textId="77777777" w:rsidR="002A3B24" w:rsidRPr="00FD7B0B" w:rsidRDefault="002A3B24" w:rsidP="002A3B24">
            <w:pPr>
              <w:contextualSpacing/>
              <w:jc w:val="center"/>
              <w:rPr>
                <w:rFonts w:ascii="Times New Roman" w:eastAsia="Times New Roman" w:hAnsi="Times New Roman"/>
              </w:rPr>
            </w:pPr>
          </w:p>
        </w:tc>
        <w:tc>
          <w:tcPr>
            <w:tcW w:w="709" w:type="dxa"/>
            <w:vAlign w:val="center"/>
          </w:tcPr>
          <w:p w14:paraId="1A9552E4"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План</w:t>
            </w:r>
          </w:p>
        </w:tc>
        <w:tc>
          <w:tcPr>
            <w:tcW w:w="708" w:type="dxa"/>
            <w:vAlign w:val="center"/>
          </w:tcPr>
          <w:p w14:paraId="6D99B9C2"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Факт</w:t>
            </w:r>
          </w:p>
        </w:tc>
        <w:tc>
          <w:tcPr>
            <w:tcW w:w="709" w:type="dxa"/>
            <w:vAlign w:val="center"/>
          </w:tcPr>
          <w:p w14:paraId="3D784BE0"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w:t>
            </w:r>
          </w:p>
        </w:tc>
        <w:tc>
          <w:tcPr>
            <w:tcW w:w="1417" w:type="dxa"/>
            <w:vAlign w:val="center"/>
          </w:tcPr>
          <w:p w14:paraId="4B03A8B7"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на 31.12.2024 млн.руб. </w:t>
            </w:r>
          </w:p>
        </w:tc>
        <w:tc>
          <w:tcPr>
            <w:tcW w:w="1559" w:type="dxa"/>
            <w:vAlign w:val="center"/>
          </w:tcPr>
          <w:p w14:paraId="666C543D"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изменение к показателю на 01.01.2024, %</w:t>
            </w:r>
          </w:p>
        </w:tc>
        <w:tc>
          <w:tcPr>
            <w:tcW w:w="993" w:type="dxa"/>
            <w:vAlign w:val="center"/>
          </w:tcPr>
          <w:p w14:paraId="64E8873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млн.руб.</w:t>
            </w:r>
          </w:p>
        </w:tc>
        <w:tc>
          <w:tcPr>
            <w:tcW w:w="1456" w:type="dxa"/>
            <w:vAlign w:val="center"/>
          </w:tcPr>
          <w:p w14:paraId="4799429E" w14:textId="77777777" w:rsidR="002A3B24" w:rsidRPr="00FD7B0B" w:rsidRDefault="002A3B24" w:rsidP="002A3B24">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к показателям госпрограммы</w:t>
            </w:r>
          </w:p>
        </w:tc>
      </w:tr>
      <w:tr w:rsidR="00FD7B0B" w:rsidRPr="00FD7B0B" w14:paraId="37A5ACA5" w14:textId="77777777" w:rsidTr="002A3B24">
        <w:tc>
          <w:tcPr>
            <w:tcW w:w="2127" w:type="dxa"/>
          </w:tcPr>
          <w:p w14:paraId="0125B3CC" w14:textId="77777777" w:rsidR="002A3B24" w:rsidRPr="00FD7B0B" w:rsidRDefault="002A3B24" w:rsidP="002A3B24">
            <w:pPr>
              <w:contextualSpacing/>
              <w:jc w:val="both"/>
              <w:rPr>
                <w:rFonts w:ascii="Times New Roman" w:eastAsia="Times New Roman" w:hAnsi="Times New Roman"/>
              </w:rPr>
            </w:pPr>
            <w:r w:rsidRPr="00FD7B0B">
              <w:rPr>
                <w:rFonts w:ascii="Times New Roman" w:eastAsia="Times New Roman" w:hAnsi="Times New Roman"/>
              </w:rPr>
              <w:t>ГП</w:t>
            </w:r>
          </w:p>
        </w:tc>
        <w:tc>
          <w:tcPr>
            <w:tcW w:w="709" w:type="dxa"/>
            <w:vAlign w:val="center"/>
          </w:tcPr>
          <w:p w14:paraId="1E6F5488"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w:t>
            </w:r>
          </w:p>
        </w:tc>
        <w:tc>
          <w:tcPr>
            <w:tcW w:w="708" w:type="dxa"/>
            <w:vAlign w:val="center"/>
          </w:tcPr>
          <w:p w14:paraId="300A9A75"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w:t>
            </w:r>
          </w:p>
        </w:tc>
        <w:tc>
          <w:tcPr>
            <w:tcW w:w="709" w:type="dxa"/>
            <w:vAlign w:val="center"/>
          </w:tcPr>
          <w:p w14:paraId="21D45090"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100</w:t>
            </w:r>
          </w:p>
        </w:tc>
        <w:tc>
          <w:tcPr>
            <w:tcW w:w="1417" w:type="dxa"/>
            <w:vAlign w:val="center"/>
          </w:tcPr>
          <w:p w14:paraId="69235C2B"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х</w:t>
            </w:r>
          </w:p>
        </w:tc>
        <w:tc>
          <w:tcPr>
            <w:tcW w:w="1559" w:type="dxa"/>
            <w:vAlign w:val="center"/>
          </w:tcPr>
          <w:p w14:paraId="0C93DA7E"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х</w:t>
            </w:r>
          </w:p>
        </w:tc>
        <w:tc>
          <w:tcPr>
            <w:tcW w:w="993" w:type="dxa"/>
            <w:vAlign w:val="center"/>
          </w:tcPr>
          <w:p w14:paraId="1F31CF1E"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х</w:t>
            </w:r>
          </w:p>
        </w:tc>
        <w:tc>
          <w:tcPr>
            <w:tcW w:w="1456" w:type="dxa"/>
            <w:vAlign w:val="center"/>
          </w:tcPr>
          <w:p w14:paraId="54E38657"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х</w:t>
            </w:r>
          </w:p>
        </w:tc>
      </w:tr>
      <w:tr w:rsidR="00FD7B0B" w:rsidRPr="00FD7B0B" w14:paraId="3862FA11" w14:textId="77777777" w:rsidTr="002A3B24">
        <w:tc>
          <w:tcPr>
            <w:tcW w:w="2127" w:type="dxa"/>
          </w:tcPr>
          <w:p w14:paraId="69DD0523" w14:textId="77777777" w:rsidR="002A3B24" w:rsidRPr="00FD7B0B" w:rsidRDefault="002A3B24" w:rsidP="002A3B24">
            <w:pPr>
              <w:contextualSpacing/>
              <w:jc w:val="both"/>
              <w:rPr>
                <w:rFonts w:ascii="Times New Roman" w:eastAsia="Times New Roman" w:hAnsi="Times New Roman"/>
              </w:rPr>
            </w:pPr>
            <w:r w:rsidRPr="00FD7B0B">
              <w:rPr>
                <w:rFonts w:ascii="Times New Roman" w:eastAsia="Times New Roman" w:hAnsi="Times New Roman"/>
              </w:rPr>
              <w:t>РП № 1</w:t>
            </w:r>
          </w:p>
        </w:tc>
        <w:tc>
          <w:tcPr>
            <w:tcW w:w="709" w:type="dxa"/>
            <w:vAlign w:val="center"/>
          </w:tcPr>
          <w:p w14:paraId="5F1B0FB1"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w:t>
            </w:r>
          </w:p>
        </w:tc>
        <w:tc>
          <w:tcPr>
            <w:tcW w:w="708" w:type="dxa"/>
            <w:vAlign w:val="center"/>
          </w:tcPr>
          <w:p w14:paraId="2C35DC6F"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w:t>
            </w:r>
          </w:p>
        </w:tc>
        <w:tc>
          <w:tcPr>
            <w:tcW w:w="709" w:type="dxa"/>
            <w:vAlign w:val="center"/>
          </w:tcPr>
          <w:p w14:paraId="29564DB7"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100</w:t>
            </w:r>
          </w:p>
        </w:tc>
        <w:tc>
          <w:tcPr>
            <w:tcW w:w="1417" w:type="dxa"/>
            <w:vAlign w:val="center"/>
          </w:tcPr>
          <w:p w14:paraId="6EF03294"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3 474,1</w:t>
            </w:r>
          </w:p>
        </w:tc>
        <w:tc>
          <w:tcPr>
            <w:tcW w:w="1559" w:type="dxa"/>
            <w:vAlign w:val="center"/>
          </w:tcPr>
          <w:p w14:paraId="0FD15473"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+ 29,4</w:t>
            </w:r>
          </w:p>
        </w:tc>
        <w:tc>
          <w:tcPr>
            <w:tcW w:w="993" w:type="dxa"/>
            <w:vAlign w:val="center"/>
          </w:tcPr>
          <w:p w14:paraId="6CA17CD7"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2 987,7</w:t>
            </w:r>
          </w:p>
        </w:tc>
        <w:tc>
          <w:tcPr>
            <w:tcW w:w="1456" w:type="dxa"/>
            <w:vAlign w:val="center"/>
          </w:tcPr>
          <w:p w14:paraId="0A3F45BC"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86,0</w:t>
            </w:r>
          </w:p>
        </w:tc>
      </w:tr>
      <w:tr w:rsidR="00FD7B0B" w:rsidRPr="00FD7B0B" w14:paraId="56DC8061" w14:textId="77777777" w:rsidTr="002A3B24">
        <w:tc>
          <w:tcPr>
            <w:tcW w:w="2127" w:type="dxa"/>
          </w:tcPr>
          <w:p w14:paraId="48201D91" w14:textId="77777777" w:rsidR="002A3B24" w:rsidRPr="00FD7B0B" w:rsidRDefault="002A3B24" w:rsidP="002A3B24">
            <w:pPr>
              <w:contextualSpacing/>
              <w:jc w:val="both"/>
              <w:rPr>
                <w:rFonts w:ascii="Times New Roman" w:eastAsia="Times New Roman" w:hAnsi="Times New Roman"/>
              </w:rPr>
            </w:pPr>
            <w:r w:rsidRPr="00FD7B0B">
              <w:rPr>
                <w:rFonts w:ascii="Times New Roman" w:eastAsia="Times New Roman" w:hAnsi="Times New Roman"/>
              </w:rPr>
              <w:t>РП № 2</w:t>
            </w:r>
          </w:p>
        </w:tc>
        <w:tc>
          <w:tcPr>
            <w:tcW w:w="709" w:type="dxa"/>
            <w:vAlign w:val="center"/>
          </w:tcPr>
          <w:p w14:paraId="131B10C8"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w:t>
            </w:r>
          </w:p>
        </w:tc>
        <w:tc>
          <w:tcPr>
            <w:tcW w:w="708" w:type="dxa"/>
            <w:vAlign w:val="center"/>
          </w:tcPr>
          <w:p w14:paraId="105F789D"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2</w:t>
            </w:r>
          </w:p>
        </w:tc>
        <w:tc>
          <w:tcPr>
            <w:tcW w:w="709" w:type="dxa"/>
          </w:tcPr>
          <w:p w14:paraId="39A2DC1A"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100</w:t>
            </w:r>
          </w:p>
        </w:tc>
        <w:tc>
          <w:tcPr>
            <w:tcW w:w="1417" w:type="dxa"/>
            <w:vAlign w:val="center"/>
          </w:tcPr>
          <w:p w14:paraId="37E2ACB5"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0,00</w:t>
            </w:r>
          </w:p>
        </w:tc>
        <w:tc>
          <w:tcPr>
            <w:tcW w:w="1559" w:type="dxa"/>
            <w:vAlign w:val="center"/>
          </w:tcPr>
          <w:p w14:paraId="0E087EBD"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0,0</w:t>
            </w:r>
          </w:p>
        </w:tc>
        <w:tc>
          <w:tcPr>
            <w:tcW w:w="993" w:type="dxa"/>
            <w:vAlign w:val="center"/>
          </w:tcPr>
          <w:p w14:paraId="76F2CA1C"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0,0</w:t>
            </w:r>
          </w:p>
        </w:tc>
        <w:tc>
          <w:tcPr>
            <w:tcW w:w="1456" w:type="dxa"/>
            <w:vAlign w:val="center"/>
          </w:tcPr>
          <w:p w14:paraId="5B408FE1"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0,0</w:t>
            </w:r>
          </w:p>
        </w:tc>
      </w:tr>
      <w:tr w:rsidR="00FD7B0B" w:rsidRPr="00FD7B0B" w14:paraId="43CA3652" w14:textId="77777777" w:rsidTr="002A3B24">
        <w:tc>
          <w:tcPr>
            <w:tcW w:w="2127" w:type="dxa"/>
          </w:tcPr>
          <w:p w14:paraId="6435FAAE" w14:textId="77777777" w:rsidR="002A3B24" w:rsidRPr="00FD7B0B" w:rsidRDefault="002A3B24" w:rsidP="002A3B24">
            <w:pPr>
              <w:contextualSpacing/>
              <w:jc w:val="both"/>
              <w:rPr>
                <w:rFonts w:ascii="Times New Roman" w:eastAsia="Times New Roman" w:hAnsi="Times New Roman"/>
              </w:rPr>
            </w:pPr>
            <w:r w:rsidRPr="00FD7B0B">
              <w:rPr>
                <w:rFonts w:ascii="Times New Roman" w:eastAsia="Times New Roman" w:hAnsi="Times New Roman"/>
              </w:rPr>
              <w:t>РП № 3</w:t>
            </w:r>
          </w:p>
        </w:tc>
        <w:tc>
          <w:tcPr>
            <w:tcW w:w="709" w:type="dxa"/>
            <w:vAlign w:val="center"/>
          </w:tcPr>
          <w:p w14:paraId="05DEBF34"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3</w:t>
            </w:r>
          </w:p>
        </w:tc>
        <w:tc>
          <w:tcPr>
            <w:tcW w:w="708" w:type="dxa"/>
            <w:vAlign w:val="center"/>
          </w:tcPr>
          <w:p w14:paraId="4D59E723"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3</w:t>
            </w:r>
          </w:p>
        </w:tc>
        <w:tc>
          <w:tcPr>
            <w:tcW w:w="709" w:type="dxa"/>
          </w:tcPr>
          <w:p w14:paraId="0D04FADE"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100</w:t>
            </w:r>
          </w:p>
        </w:tc>
        <w:tc>
          <w:tcPr>
            <w:tcW w:w="1417" w:type="dxa"/>
            <w:vAlign w:val="center"/>
          </w:tcPr>
          <w:p w14:paraId="1318BF43"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888,4</w:t>
            </w:r>
          </w:p>
        </w:tc>
        <w:tc>
          <w:tcPr>
            <w:tcW w:w="1559" w:type="dxa"/>
            <w:vAlign w:val="center"/>
          </w:tcPr>
          <w:p w14:paraId="376E320D"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+ 0,7</w:t>
            </w:r>
          </w:p>
        </w:tc>
        <w:tc>
          <w:tcPr>
            <w:tcW w:w="993" w:type="dxa"/>
            <w:vAlign w:val="center"/>
          </w:tcPr>
          <w:p w14:paraId="1982E5DB"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872,98</w:t>
            </w:r>
          </w:p>
        </w:tc>
        <w:tc>
          <w:tcPr>
            <w:tcW w:w="1456" w:type="dxa"/>
            <w:vAlign w:val="center"/>
          </w:tcPr>
          <w:p w14:paraId="4DB8C0D3"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98,3</w:t>
            </w:r>
          </w:p>
        </w:tc>
      </w:tr>
      <w:tr w:rsidR="00FD7B0B" w:rsidRPr="00FD7B0B" w14:paraId="6BD0D351" w14:textId="77777777" w:rsidTr="002A3B24">
        <w:tc>
          <w:tcPr>
            <w:tcW w:w="2127" w:type="dxa"/>
          </w:tcPr>
          <w:p w14:paraId="3F92AF32" w14:textId="77777777" w:rsidR="002A3B24" w:rsidRPr="00FD7B0B" w:rsidRDefault="002A3B24" w:rsidP="002A3B24">
            <w:pPr>
              <w:contextualSpacing/>
              <w:jc w:val="both"/>
              <w:rPr>
                <w:rFonts w:ascii="Times New Roman" w:eastAsia="Times New Roman" w:hAnsi="Times New Roman"/>
              </w:rPr>
            </w:pPr>
            <w:r w:rsidRPr="00FD7B0B">
              <w:rPr>
                <w:rFonts w:ascii="Times New Roman" w:eastAsia="Times New Roman" w:hAnsi="Times New Roman"/>
              </w:rPr>
              <w:t>КПМ</w:t>
            </w:r>
          </w:p>
        </w:tc>
        <w:tc>
          <w:tcPr>
            <w:tcW w:w="709" w:type="dxa"/>
            <w:vAlign w:val="center"/>
          </w:tcPr>
          <w:p w14:paraId="7957EEF9"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5</w:t>
            </w:r>
          </w:p>
        </w:tc>
        <w:tc>
          <w:tcPr>
            <w:tcW w:w="708" w:type="dxa"/>
            <w:vAlign w:val="center"/>
          </w:tcPr>
          <w:p w14:paraId="3D77B02E"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5</w:t>
            </w:r>
          </w:p>
        </w:tc>
        <w:tc>
          <w:tcPr>
            <w:tcW w:w="709" w:type="dxa"/>
          </w:tcPr>
          <w:p w14:paraId="33AEB9F1"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96,6</w:t>
            </w:r>
          </w:p>
        </w:tc>
        <w:tc>
          <w:tcPr>
            <w:tcW w:w="1417" w:type="dxa"/>
            <w:vAlign w:val="center"/>
          </w:tcPr>
          <w:p w14:paraId="5120153C"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1 896,5</w:t>
            </w:r>
          </w:p>
        </w:tc>
        <w:tc>
          <w:tcPr>
            <w:tcW w:w="1559" w:type="dxa"/>
            <w:vAlign w:val="center"/>
          </w:tcPr>
          <w:p w14:paraId="56DB91F6"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+ 207,3</w:t>
            </w:r>
          </w:p>
        </w:tc>
        <w:tc>
          <w:tcPr>
            <w:tcW w:w="993" w:type="dxa"/>
            <w:vAlign w:val="center"/>
          </w:tcPr>
          <w:p w14:paraId="407B6B2D"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1 899,0</w:t>
            </w:r>
          </w:p>
        </w:tc>
        <w:tc>
          <w:tcPr>
            <w:tcW w:w="1456" w:type="dxa"/>
            <w:vAlign w:val="center"/>
          </w:tcPr>
          <w:p w14:paraId="59CB6AE6"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100,1</w:t>
            </w:r>
          </w:p>
        </w:tc>
      </w:tr>
      <w:tr w:rsidR="002A3B24" w:rsidRPr="00FD7B0B" w14:paraId="15E46572" w14:textId="77777777" w:rsidTr="002A3B24">
        <w:tc>
          <w:tcPr>
            <w:tcW w:w="2127" w:type="dxa"/>
          </w:tcPr>
          <w:p w14:paraId="4547BB7E" w14:textId="77777777" w:rsidR="002A3B24" w:rsidRPr="00FD7B0B" w:rsidRDefault="002A3B24" w:rsidP="002A3B24">
            <w:pPr>
              <w:contextualSpacing/>
              <w:jc w:val="both"/>
              <w:rPr>
                <w:rFonts w:ascii="Times New Roman" w:eastAsia="Times New Roman" w:hAnsi="Times New Roman"/>
              </w:rPr>
            </w:pPr>
            <w:r w:rsidRPr="00FD7B0B">
              <w:rPr>
                <w:rFonts w:ascii="Times New Roman" w:eastAsia="Times New Roman" w:hAnsi="Times New Roman"/>
              </w:rPr>
              <w:t>Итого</w:t>
            </w:r>
          </w:p>
        </w:tc>
        <w:tc>
          <w:tcPr>
            <w:tcW w:w="709" w:type="dxa"/>
            <w:vAlign w:val="center"/>
          </w:tcPr>
          <w:p w14:paraId="6BF0AE5B"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14</w:t>
            </w:r>
          </w:p>
        </w:tc>
        <w:tc>
          <w:tcPr>
            <w:tcW w:w="708" w:type="dxa"/>
            <w:vAlign w:val="center"/>
          </w:tcPr>
          <w:p w14:paraId="0B5DD43F"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14</w:t>
            </w:r>
          </w:p>
        </w:tc>
        <w:tc>
          <w:tcPr>
            <w:tcW w:w="709" w:type="dxa"/>
            <w:vAlign w:val="center"/>
          </w:tcPr>
          <w:p w14:paraId="29A419AE"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98,8</w:t>
            </w:r>
          </w:p>
        </w:tc>
        <w:tc>
          <w:tcPr>
            <w:tcW w:w="1417" w:type="dxa"/>
            <w:vAlign w:val="center"/>
          </w:tcPr>
          <w:p w14:paraId="1779E2CF"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6 258,995</w:t>
            </w:r>
          </w:p>
        </w:tc>
        <w:tc>
          <w:tcPr>
            <w:tcW w:w="1559" w:type="dxa"/>
            <w:vAlign w:val="center"/>
          </w:tcPr>
          <w:p w14:paraId="39FED453"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+ 49,6</w:t>
            </w:r>
          </w:p>
        </w:tc>
        <w:tc>
          <w:tcPr>
            <w:tcW w:w="993" w:type="dxa"/>
            <w:vAlign w:val="center"/>
          </w:tcPr>
          <w:p w14:paraId="002445AE"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5 759,7</w:t>
            </w:r>
          </w:p>
        </w:tc>
        <w:tc>
          <w:tcPr>
            <w:tcW w:w="1456" w:type="dxa"/>
            <w:vAlign w:val="center"/>
          </w:tcPr>
          <w:p w14:paraId="0A91C94E" w14:textId="77777777" w:rsidR="002A3B24" w:rsidRPr="00FD7B0B" w:rsidRDefault="002A3B24" w:rsidP="002A3B24">
            <w:pPr>
              <w:contextualSpacing/>
              <w:jc w:val="center"/>
              <w:rPr>
                <w:rFonts w:ascii="Times New Roman" w:eastAsia="Times New Roman" w:hAnsi="Times New Roman"/>
              </w:rPr>
            </w:pPr>
            <w:r w:rsidRPr="00FD7B0B">
              <w:rPr>
                <w:rFonts w:ascii="Times New Roman" w:eastAsia="Times New Roman" w:hAnsi="Times New Roman"/>
              </w:rPr>
              <w:t>92,0</w:t>
            </w:r>
          </w:p>
        </w:tc>
      </w:tr>
    </w:tbl>
    <w:p w14:paraId="7614796E" w14:textId="77777777" w:rsidR="002A3B24" w:rsidRPr="00FD7B0B" w:rsidRDefault="002A3B24" w:rsidP="002A3B24">
      <w:pPr>
        <w:pStyle w:val="ad"/>
        <w:ind w:firstLine="709"/>
        <w:jc w:val="both"/>
        <w:rPr>
          <w:rFonts w:ascii="Times New Roman" w:hAnsi="Times New Roman"/>
          <w:sz w:val="28"/>
          <w:szCs w:val="28"/>
        </w:rPr>
      </w:pPr>
    </w:p>
    <w:p w14:paraId="74536EDA" w14:textId="77777777" w:rsidR="002A3B24" w:rsidRPr="00FD7B0B" w:rsidRDefault="002A3B24" w:rsidP="002A3B24">
      <w:pPr>
        <w:spacing w:after="0" w:line="240" w:lineRule="auto"/>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реализации ГП № 06</w:t>
      </w:r>
      <w:r w:rsidRPr="00FD7B0B">
        <w:rPr>
          <w:b/>
        </w:rPr>
        <w:t xml:space="preserve"> </w:t>
      </w:r>
      <w:r w:rsidRPr="00FD7B0B">
        <w:rPr>
          <w:rFonts w:ascii="Times New Roman" w:eastAsia="Times New Roman" w:hAnsi="Times New Roman" w:cs="Times New Roman"/>
          <w:b/>
          <w:sz w:val="28"/>
          <w:szCs w:val="28"/>
          <w:lang w:eastAsia="ru-RU"/>
        </w:rPr>
        <w:t>согласно Методике оценки</w:t>
      </w:r>
      <w:r w:rsidRPr="00FD7B0B">
        <w:rPr>
          <w:rFonts w:ascii="Times New Roman" w:hAnsi="Times New Roman"/>
          <w:b/>
          <w:sz w:val="28"/>
          <w:szCs w:val="28"/>
        </w:rPr>
        <w:t xml:space="preserve"> № 9К (1614)</w:t>
      </w:r>
    </w:p>
    <w:p w14:paraId="3FD08FB7" w14:textId="77777777" w:rsidR="002A3B24" w:rsidRPr="00FD7B0B" w:rsidRDefault="002A3B24" w:rsidP="002A3B24">
      <w:pPr>
        <w:pStyle w:val="ConsPlusTitle"/>
        <w:jc w:val="center"/>
        <w:rPr>
          <w:rFonts w:ascii="Times New Roman" w:hAnsi="Times New Roman" w:cs="Times New Roman"/>
          <w:b w:val="0"/>
          <w:sz w:val="28"/>
          <w:szCs w:val="28"/>
        </w:rPr>
      </w:pPr>
      <w:r w:rsidRPr="00FD7B0B">
        <w:rPr>
          <w:rFonts w:ascii="Times New Roman" w:hAnsi="Times New Roman" w:cs="Times New Roman"/>
          <w:b w:val="0"/>
          <w:sz w:val="28"/>
          <w:szCs w:val="28"/>
        </w:rPr>
        <w:t>Оценка исполнения ГП № 06 по ресурсам и результатам за 2024 год</w:t>
      </w:r>
    </w:p>
    <w:p w14:paraId="3F263653" w14:textId="77777777" w:rsidR="002A3B24" w:rsidRPr="00FD7B0B" w:rsidRDefault="002A3B24" w:rsidP="002A3B24">
      <w:pPr>
        <w:spacing w:after="0" w:line="320" w:lineRule="atLeast"/>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 xml:space="preserve">1) оценка кассового исполнения по расходам областного бюджета на реализацию ГП </w:t>
      </w:r>
    </w:p>
    <w:tbl>
      <w:tblPr>
        <w:tblW w:w="965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850"/>
        <w:gridCol w:w="1985"/>
        <w:gridCol w:w="2268"/>
        <w:gridCol w:w="2552"/>
      </w:tblGrid>
      <w:tr w:rsidR="00FD7B0B" w:rsidRPr="00FD7B0B" w14:paraId="09B771E3" w14:textId="77777777" w:rsidTr="002A3B24">
        <w:trPr>
          <w:trHeight w:val="498"/>
          <w:tblHeader/>
        </w:trPr>
        <w:tc>
          <w:tcPr>
            <w:tcW w:w="2850" w:type="dxa"/>
            <w:shd w:val="clear" w:color="auto" w:fill="auto"/>
            <w:vAlign w:val="center"/>
            <w:hideMark/>
          </w:tcPr>
          <w:p w14:paraId="37FED5A2"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утверждено в Законе «Об областном бюджете»</w:t>
            </w:r>
          </w:p>
        </w:tc>
        <w:tc>
          <w:tcPr>
            <w:tcW w:w="1985" w:type="dxa"/>
            <w:shd w:val="clear" w:color="auto" w:fill="auto"/>
            <w:vAlign w:val="center"/>
            <w:hideMark/>
          </w:tcPr>
          <w:p w14:paraId="46568CA1"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утверждено в СБР</w:t>
            </w:r>
          </w:p>
        </w:tc>
        <w:tc>
          <w:tcPr>
            <w:tcW w:w="4820" w:type="dxa"/>
            <w:gridSpan w:val="2"/>
            <w:shd w:val="clear" w:color="auto" w:fill="auto"/>
            <w:vAlign w:val="center"/>
            <w:hideMark/>
          </w:tcPr>
          <w:p w14:paraId="015DE218"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кассовое исполнение по расходам</w:t>
            </w:r>
          </w:p>
        </w:tc>
      </w:tr>
      <w:tr w:rsidR="00FD7B0B" w:rsidRPr="00FD7B0B" w14:paraId="42E45AC5" w14:textId="77777777" w:rsidTr="002A3B24">
        <w:trPr>
          <w:trHeight w:val="124"/>
        </w:trPr>
        <w:tc>
          <w:tcPr>
            <w:tcW w:w="2850" w:type="dxa"/>
            <w:shd w:val="clear" w:color="auto" w:fill="auto"/>
            <w:vAlign w:val="center"/>
            <w:hideMark/>
          </w:tcPr>
          <w:p w14:paraId="5D98C9A9"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1985" w:type="dxa"/>
            <w:shd w:val="clear" w:color="auto" w:fill="auto"/>
            <w:vAlign w:val="center"/>
            <w:hideMark/>
          </w:tcPr>
          <w:p w14:paraId="497D4694"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млн.руб.</w:t>
            </w:r>
          </w:p>
        </w:tc>
        <w:tc>
          <w:tcPr>
            <w:tcW w:w="2268" w:type="dxa"/>
            <w:shd w:val="clear" w:color="auto" w:fill="auto"/>
            <w:vAlign w:val="center"/>
            <w:hideMark/>
          </w:tcPr>
          <w:p w14:paraId="66096664"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сумма, млн.руб.</w:t>
            </w:r>
          </w:p>
        </w:tc>
        <w:tc>
          <w:tcPr>
            <w:tcW w:w="2552" w:type="dxa"/>
            <w:shd w:val="clear" w:color="auto" w:fill="auto"/>
            <w:vAlign w:val="center"/>
            <w:hideMark/>
          </w:tcPr>
          <w:p w14:paraId="11AA073D"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уровень, %</w:t>
            </w:r>
          </w:p>
        </w:tc>
      </w:tr>
      <w:tr w:rsidR="00FD7B0B" w:rsidRPr="00FD7B0B" w14:paraId="3F1388BB" w14:textId="77777777" w:rsidTr="002A3B24">
        <w:trPr>
          <w:trHeight w:val="170"/>
        </w:trPr>
        <w:tc>
          <w:tcPr>
            <w:tcW w:w="2850" w:type="dxa"/>
            <w:shd w:val="clear" w:color="auto" w:fill="auto"/>
            <w:vAlign w:val="center"/>
            <w:hideMark/>
          </w:tcPr>
          <w:p w14:paraId="4D7B0677"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985" w:type="dxa"/>
            <w:shd w:val="clear" w:color="auto" w:fill="auto"/>
            <w:vAlign w:val="center"/>
            <w:hideMark/>
          </w:tcPr>
          <w:p w14:paraId="03B3E757"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2268" w:type="dxa"/>
            <w:shd w:val="clear" w:color="auto" w:fill="auto"/>
            <w:vAlign w:val="center"/>
            <w:hideMark/>
          </w:tcPr>
          <w:p w14:paraId="27BE9B7F"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w:t>
            </w:r>
          </w:p>
        </w:tc>
        <w:tc>
          <w:tcPr>
            <w:tcW w:w="2552" w:type="dxa"/>
            <w:shd w:val="clear" w:color="auto" w:fill="auto"/>
            <w:vAlign w:val="center"/>
            <w:hideMark/>
          </w:tcPr>
          <w:p w14:paraId="56601507"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 (гр. 3/гр.2*100)</w:t>
            </w:r>
          </w:p>
        </w:tc>
      </w:tr>
      <w:tr w:rsidR="002A3B24" w:rsidRPr="00FD7B0B" w14:paraId="05F240D0" w14:textId="77777777" w:rsidTr="002A3B24">
        <w:trPr>
          <w:trHeight w:val="88"/>
        </w:trPr>
        <w:tc>
          <w:tcPr>
            <w:tcW w:w="2850" w:type="dxa"/>
            <w:shd w:val="clear" w:color="auto" w:fill="auto"/>
            <w:vAlign w:val="center"/>
            <w:hideMark/>
          </w:tcPr>
          <w:p w14:paraId="6B7149F1"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rPr>
              <w:t>5 329,9</w:t>
            </w:r>
          </w:p>
        </w:tc>
        <w:tc>
          <w:tcPr>
            <w:tcW w:w="1985" w:type="dxa"/>
            <w:shd w:val="clear" w:color="auto" w:fill="auto"/>
            <w:vAlign w:val="center"/>
            <w:hideMark/>
          </w:tcPr>
          <w:p w14:paraId="742EA4D9"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rPr>
              <w:t>5 789,4</w:t>
            </w:r>
            <w:r w:rsidRPr="00FD7B0B">
              <w:rPr>
                <w:rFonts w:ascii="Times New Roman" w:eastAsia="Times New Roman" w:hAnsi="Times New Roman"/>
                <w:lang w:eastAsia="ru-RU"/>
              </w:rPr>
              <w:t> </w:t>
            </w:r>
          </w:p>
        </w:tc>
        <w:tc>
          <w:tcPr>
            <w:tcW w:w="2268" w:type="dxa"/>
            <w:shd w:val="clear" w:color="auto" w:fill="auto"/>
            <w:vAlign w:val="center"/>
            <w:hideMark/>
          </w:tcPr>
          <w:p w14:paraId="3C77143D"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bCs/>
                <w:lang w:eastAsia="ru-RU"/>
              </w:rPr>
              <w:t>5 759,7</w:t>
            </w:r>
          </w:p>
        </w:tc>
        <w:tc>
          <w:tcPr>
            <w:tcW w:w="2552" w:type="dxa"/>
            <w:shd w:val="clear" w:color="auto" w:fill="auto"/>
            <w:vAlign w:val="center"/>
            <w:hideMark/>
          </w:tcPr>
          <w:p w14:paraId="3F50484B"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99,5 </w:t>
            </w:r>
          </w:p>
        </w:tc>
      </w:tr>
    </w:tbl>
    <w:p w14:paraId="39AD1DB1" w14:textId="77777777" w:rsidR="002A3B24" w:rsidRPr="00FD7B0B" w:rsidRDefault="002A3B24" w:rsidP="002A3B24">
      <w:pPr>
        <w:pStyle w:val="ad"/>
        <w:ind w:firstLine="709"/>
        <w:jc w:val="both"/>
        <w:rPr>
          <w:rFonts w:ascii="Times New Roman" w:hAnsi="Times New Roman"/>
          <w:sz w:val="28"/>
          <w:szCs w:val="28"/>
        </w:rPr>
      </w:pP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262"/>
        <w:gridCol w:w="1063"/>
        <w:gridCol w:w="2314"/>
      </w:tblGrid>
      <w:tr w:rsidR="002A3B24" w:rsidRPr="00FD7B0B" w14:paraId="3D188738" w14:textId="77777777" w:rsidTr="002A3B24">
        <w:tc>
          <w:tcPr>
            <w:tcW w:w="6262" w:type="dxa"/>
          </w:tcPr>
          <w:p w14:paraId="4158D6A2" w14:textId="77777777" w:rsidR="002A3B24" w:rsidRPr="00FD7B0B" w:rsidRDefault="002A3B24" w:rsidP="002A3B24">
            <w:pPr>
              <w:rPr>
                <w:rFonts w:ascii="Times New Roman" w:hAnsi="Times New Roman"/>
              </w:rPr>
            </w:pPr>
            <w:r w:rsidRPr="00FD7B0B">
              <w:rPr>
                <w:rFonts w:ascii="Times New Roman" w:hAnsi="Times New Roman"/>
              </w:rPr>
              <w:t>степень кассового исполнения по расходам областного бюджета на реализацию ГП № 06 за 2024 год, %</w:t>
            </w:r>
          </w:p>
        </w:tc>
        <w:tc>
          <w:tcPr>
            <w:tcW w:w="1063" w:type="dxa"/>
            <w:vAlign w:val="center"/>
          </w:tcPr>
          <w:p w14:paraId="082EDBB2" w14:textId="77777777" w:rsidR="002A3B24" w:rsidRPr="00FD7B0B" w:rsidRDefault="002A3B24" w:rsidP="002A3B24">
            <w:pPr>
              <w:jc w:val="center"/>
              <w:rPr>
                <w:rFonts w:ascii="Times New Roman" w:hAnsi="Times New Roman"/>
              </w:rPr>
            </w:pPr>
            <w:r w:rsidRPr="00FD7B0B">
              <w:rPr>
                <w:rFonts w:ascii="Times New Roman" w:hAnsi="Times New Roman"/>
              </w:rPr>
              <w:t>99,5</w:t>
            </w:r>
          </w:p>
        </w:tc>
        <w:tc>
          <w:tcPr>
            <w:tcW w:w="2314" w:type="dxa"/>
            <w:vAlign w:val="center"/>
          </w:tcPr>
          <w:p w14:paraId="08AF0326" w14:textId="77777777" w:rsidR="002A3B24" w:rsidRPr="00FD7B0B" w:rsidRDefault="002A3B24" w:rsidP="002A3B24">
            <w:pPr>
              <w:jc w:val="center"/>
              <w:rPr>
                <w:rFonts w:ascii="Times New Roman" w:hAnsi="Times New Roman"/>
              </w:rPr>
            </w:pPr>
            <w:r w:rsidRPr="00FD7B0B">
              <w:rPr>
                <w:rFonts w:ascii="Times New Roman" w:hAnsi="Times New Roman"/>
              </w:rPr>
              <w:t>высокий уровень</w:t>
            </w:r>
          </w:p>
        </w:tc>
      </w:tr>
    </w:tbl>
    <w:p w14:paraId="710854F2" w14:textId="77777777" w:rsidR="002A3B24" w:rsidRPr="00FD7B0B" w:rsidRDefault="002A3B24" w:rsidP="002A3B24">
      <w:pPr>
        <w:pStyle w:val="ad"/>
        <w:ind w:firstLine="709"/>
        <w:jc w:val="both"/>
        <w:rPr>
          <w:rFonts w:ascii="Times New Roman" w:hAnsi="Times New Roman"/>
          <w:sz w:val="28"/>
          <w:szCs w:val="28"/>
        </w:rPr>
      </w:pPr>
    </w:p>
    <w:p w14:paraId="67AFAD71" w14:textId="77777777" w:rsidR="002A3B24" w:rsidRPr="00FD7B0B" w:rsidRDefault="002A3B24" w:rsidP="002A3B24">
      <w:pPr>
        <w:pStyle w:val="ad"/>
        <w:jc w:val="both"/>
        <w:rPr>
          <w:rFonts w:ascii="Times New Roman" w:hAnsi="Times New Roman"/>
          <w:sz w:val="24"/>
          <w:szCs w:val="24"/>
        </w:rPr>
      </w:pPr>
      <w:r w:rsidRPr="00FD7B0B">
        <w:rPr>
          <w:rFonts w:ascii="Times New Roman" w:hAnsi="Times New Roman"/>
          <w:sz w:val="24"/>
          <w:szCs w:val="24"/>
        </w:rPr>
        <w:t>2) анализ объема проектной части госпрограммы</w:t>
      </w:r>
    </w:p>
    <w:tbl>
      <w:tblPr>
        <w:tblW w:w="962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913"/>
        <w:gridCol w:w="1783"/>
        <w:gridCol w:w="1570"/>
        <w:gridCol w:w="1546"/>
        <w:gridCol w:w="1813"/>
      </w:tblGrid>
      <w:tr w:rsidR="00FD7B0B" w:rsidRPr="00FD7B0B" w14:paraId="1DB6FF19" w14:textId="77777777" w:rsidTr="002A3B24">
        <w:trPr>
          <w:trHeight w:val="498"/>
          <w:tblHeader/>
        </w:trPr>
        <w:tc>
          <w:tcPr>
            <w:tcW w:w="2992" w:type="dxa"/>
            <w:shd w:val="clear" w:color="auto" w:fill="auto"/>
            <w:vAlign w:val="center"/>
            <w:hideMark/>
          </w:tcPr>
          <w:p w14:paraId="599DA6AF" w14:textId="77777777" w:rsidR="002A3B24" w:rsidRPr="00FD7B0B" w:rsidRDefault="002A3B24" w:rsidP="002A3B24">
            <w:pPr>
              <w:spacing w:after="0" w:line="240" w:lineRule="auto"/>
              <w:jc w:val="center"/>
              <w:rPr>
                <w:rFonts w:ascii="Times New Roman" w:eastAsia="Times New Roman" w:hAnsi="Times New Roman"/>
                <w:lang w:eastAsia="ru-RU"/>
              </w:rPr>
            </w:pPr>
          </w:p>
        </w:tc>
        <w:tc>
          <w:tcPr>
            <w:tcW w:w="1641" w:type="dxa"/>
            <w:shd w:val="clear" w:color="auto" w:fill="auto"/>
            <w:vAlign w:val="center"/>
            <w:hideMark/>
          </w:tcPr>
          <w:p w14:paraId="1010713A" w14:textId="77777777" w:rsidR="002A3B24" w:rsidRPr="00FD7B0B" w:rsidRDefault="002A3B24" w:rsidP="002A3B24">
            <w:pPr>
              <w:contextualSpacing/>
              <w:jc w:val="center"/>
              <w:rPr>
                <w:rFonts w:ascii="Times New Roman" w:eastAsia="Times New Roman" w:hAnsi="Times New Roman"/>
                <w:lang w:eastAsia="ru-RU"/>
              </w:rPr>
            </w:pPr>
            <w:r w:rsidRPr="00FD7B0B">
              <w:rPr>
                <w:rFonts w:ascii="Times New Roman" w:eastAsia="Times New Roman" w:hAnsi="Times New Roman"/>
              </w:rPr>
              <w:t xml:space="preserve">объем финансирования ГП № 06 </w:t>
            </w:r>
          </w:p>
        </w:tc>
        <w:tc>
          <w:tcPr>
            <w:tcW w:w="1590" w:type="dxa"/>
            <w:shd w:val="clear" w:color="auto" w:fill="auto"/>
            <w:vAlign w:val="center"/>
            <w:hideMark/>
          </w:tcPr>
          <w:p w14:paraId="61D475E4"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проектная часть</w:t>
            </w:r>
          </w:p>
        </w:tc>
        <w:tc>
          <w:tcPr>
            <w:tcW w:w="1559" w:type="dxa"/>
            <w:vAlign w:val="center"/>
          </w:tcPr>
          <w:p w14:paraId="2EBB9208"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процессная часть</w:t>
            </w:r>
          </w:p>
        </w:tc>
        <w:tc>
          <w:tcPr>
            <w:tcW w:w="1843" w:type="dxa"/>
            <w:shd w:val="clear" w:color="auto" w:fill="auto"/>
            <w:vAlign w:val="center"/>
          </w:tcPr>
          <w:p w14:paraId="6CDE0D74"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доля проектной части, %</w:t>
            </w:r>
          </w:p>
        </w:tc>
      </w:tr>
      <w:tr w:rsidR="00FD7B0B" w:rsidRPr="00FD7B0B" w14:paraId="7CE1BF6B" w14:textId="77777777" w:rsidTr="002A3B24">
        <w:trPr>
          <w:trHeight w:val="208"/>
          <w:tblHeader/>
        </w:trPr>
        <w:tc>
          <w:tcPr>
            <w:tcW w:w="2992" w:type="dxa"/>
            <w:shd w:val="clear" w:color="auto" w:fill="auto"/>
            <w:vAlign w:val="center"/>
          </w:tcPr>
          <w:p w14:paraId="1065218D"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641" w:type="dxa"/>
            <w:shd w:val="clear" w:color="auto" w:fill="auto"/>
            <w:vAlign w:val="center"/>
          </w:tcPr>
          <w:p w14:paraId="12C4CBEF"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590" w:type="dxa"/>
            <w:shd w:val="clear" w:color="auto" w:fill="auto"/>
            <w:vAlign w:val="center"/>
          </w:tcPr>
          <w:p w14:paraId="22D03BA9"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w:t>
            </w:r>
          </w:p>
        </w:tc>
        <w:tc>
          <w:tcPr>
            <w:tcW w:w="1559" w:type="dxa"/>
            <w:vAlign w:val="center"/>
          </w:tcPr>
          <w:p w14:paraId="298D7FD6"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w:t>
            </w:r>
          </w:p>
        </w:tc>
        <w:tc>
          <w:tcPr>
            <w:tcW w:w="1843" w:type="dxa"/>
            <w:shd w:val="clear" w:color="auto" w:fill="auto"/>
            <w:vAlign w:val="center"/>
          </w:tcPr>
          <w:p w14:paraId="346E0C7C"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 (гр. 3/гр.2*100)</w:t>
            </w:r>
          </w:p>
        </w:tc>
      </w:tr>
      <w:tr w:rsidR="002A3B24" w:rsidRPr="00FD7B0B" w14:paraId="0774023F" w14:textId="77777777" w:rsidTr="002A3B24">
        <w:trPr>
          <w:trHeight w:val="381"/>
          <w:tblHeader/>
        </w:trPr>
        <w:tc>
          <w:tcPr>
            <w:tcW w:w="2992" w:type="dxa"/>
            <w:shd w:val="clear" w:color="auto" w:fill="auto"/>
            <w:vAlign w:val="center"/>
          </w:tcPr>
          <w:p w14:paraId="7B796BEC" w14:textId="45982CBE" w:rsidR="002A3B24" w:rsidRPr="00FD7B0B" w:rsidRDefault="002A3B24" w:rsidP="002A3B24">
            <w:pPr>
              <w:spacing w:after="0" w:line="240" w:lineRule="auto"/>
              <w:rPr>
                <w:rFonts w:ascii="Times New Roman" w:eastAsia="Times New Roman" w:hAnsi="Times New Roman"/>
                <w:lang w:eastAsia="ru-RU"/>
              </w:rPr>
            </w:pPr>
            <w:r w:rsidRPr="00FD7B0B">
              <w:rPr>
                <w:rFonts w:ascii="Times New Roman" w:eastAsia="Times New Roman" w:hAnsi="Times New Roman"/>
                <w:lang w:eastAsia="ru-RU"/>
              </w:rPr>
              <w:t xml:space="preserve">утверждено в СБР на 31.12.2024, </w:t>
            </w:r>
            <w:r w:rsidR="000560EB" w:rsidRPr="00FD7B0B">
              <w:rPr>
                <w:rFonts w:ascii="Times New Roman" w:eastAsia="Times New Roman" w:hAnsi="Times New Roman"/>
                <w:lang w:eastAsia="ru-RU"/>
              </w:rPr>
              <w:t>млн.руб.</w:t>
            </w:r>
          </w:p>
        </w:tc>
        <w:tc>
          <w:tcPr>
            <w:tcW w:w="1641" w:type="dxa"/>
            <w:shd w:val="clear" w:color="auto" w:fill="auto"/>
            <w:vAlign w:val="center"/>
          </w:tcPr>
          <w:p w14:paraId="7C2E26E8"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5 789,4</w:t>
            </w:r>
          </w:p>
        </w:tc>
        <w:tc>
          <w:tcPr>
            <w:tcW w:w="1590" w:type="dxa"/>
            <w:shd w:val="clear" w:color="auto" w:fill="auto"/>
            <w:vAlign w:val="center"/>
          </w:tcPr>
          <w:p w14:paraId="11977AF6"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3 886,9</w:t>
            </w:r>
          </w:p>
        </w:tc>
        <w:tc>
          <w:tcPr>
            <w:tcW w:w="1559" w:type="dxa"/>
            <w:vAlign w:val="center"/>
          </w:tcPr>
          <w:p w14:paraId="7B54D966"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1 902,4</w:t>
            </w:r>
          </w:p>
        </w:tc>
        <w:tc>
          <w:tcPr>
            <w:tcW w:w="1843" w:type="dxa"/>
            <w:shd w:val="clear" w:color="auto" w:fill="auto"/>
            <w:vAlign w:val="center"/>
          </w:tcPr>
          <w:p w14:paraId="01251A71" w14:textId="77777777" w:rsidR="002A3B24" w:rsidRPr="00FD7B0B" w:rsidRDefault="002A3B24" w:rsidP="002A3B24">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67,1</w:t>
            </w:r>
          </w:p>
        </w:tc>
      </w:tr>
    </w:tbl>
    <w:p w14:paraId="0886F046" w14:textId="77777777" w:rsidR="002A3B24" w:rsidRPr="00FD7B0B" w:rsidRDefault="002A3B24" w:rsidP="002A3B24">
      <w:pPr>
        <w:pStyle w:val="ad"/>
        <w:ind w:firstLine="709"/>
        <w:jc w:val="both"/>
        <w:rPr>
          <w:rFonts w:ascii="Times New Roman" w:hAnsi="Times New Roman"/>
          <w:sz w:val="28"/>
          <w:szCs w:val="28"/>
        </w:rPr>
      </w:pPr>
    </w:p>
    <w:p w14:paraId="3BBC740D" w14:textId="40E03A7D" w:rsidR="002A3B24" w:rsidRPr="00FD7B0B" w:rsidRDefault="002A3B24" w:rsidP="002A3B24">
      <w:pPr>
        <w:pStyle w:val="ad"/>
        <w:jc w:val="both"/>
        <w:rPr>
          <w:rFonts w:ascii="Times New Roman" w:hAnsi="Times New Roman"/>
          <w:sz w:val="24"/>
          <w:szCs w:val="24"/>
        </w:rPr>
      </w:pPr>
      <w:r w:rsidRPr="00FD7B0B">
        <w:rPr>
          <w:rFonts w:ascii="Times New Roman" w:hAnsi="Times New Roman"/>
          <w:sz w:val="24"/>
          <w:szCs w:val="24"/>
        </w:rPr>
        <w:t>3) оценка об</w:t>
      </w:r>
      <w:r w:rsidR="002970CA" w:rsidRPr="00FD7B0B">
        <w:rPr>
          <w:rFonts w:ascii="Times New Roman" w:hAnsi="Times New Roman"/>
          <w:sz w:val="24"/>
          <w:szCs w:val="24"/>
        </w:rPr>
        <w:t>ъема изменений, внесенных в СБР</w:t>
      </w: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369"/>
        <w:gridCol w:w="3118"/>
        <w:gridCol w:w="3152"/>
      </w:tblGrid>
      <w:tr w:rsidR="00FD7B0B" w:rsidRPr="00FD7B0B" w14:paraId="678081EF" w14:textId="77777777" w:rsidTr="002A3B24">
        <w:trPr>
          <w:trHeight w:val="934"/>
        </w:trPr>
        <w:tc>
          <w:tcPr>
            <w:tcW w:w="3369" w:type="dxa"/>
            <w:shd w:val="clear" w:color="auto" w:fill="auto"/>
          </w:tcPr>
          <w:p w14:paraId="47BCE4E9" w14:textId="77777777" w:rsidR="002A3B24" w:rsidRPr="00FD7B0B" w:rsidRDefault="002A3B24" w:rsidP="002A3B24">
            <w:pPr>
              <w:jc w:val="center"/>
              <w:rPr>
                <w:rFonts w:ascii="Times New Roman" w:hAnsi="Times New Roman"/>
              </w:rPr>
            </w:pPr>
            <w:r w:rsidRPr="00FD7B0B">
              <w:rPr>
                <w:rFonts w:ascii="Times New Roman" w:hAnsi="Times New Roman"/>
              </w:rPr>
              <w:t>объем изменения (увеличения и (или) сокращения, внутреннего перераспределения) объема бюджетных ассигнований, млн.руб.</w:t>
            </w:r>
          </w:p>
        </w:tc>
        <w:tc>
          <w:tcPr>
            <w:tcW w:w="3118" w:type="dxa"/>
            <w:shd w:val="clear" w:color="auto" w:fill="auto"/>
          </w:tcPr>
          <w:p w14:paraId="34A69A0F" w14:textId="77777777" w:rsidR="002A3B24" w:rsidRPr="00FD7B0B" w:rsidRDefault="002A3B24" w:rsidP="002A3B24">
            <w:pPr>
              <w:autoSpaceDE w:val="0"/>
              <w:autoSpaceDN w:val="0"/>
              <w:adjustRightInd w:val="0"/>
              <w:ind w:firstLine="34"/>
              <w:jc w:val="center"/>
              <w:rPr>
                <w:rFonts w:ascii="Times New Roman" w:hAnsi="Times New Roman"/>
              </w:rPr>
            </w:pPr>
            <w:r w:rsidRPr="00FD7B0B">
              <w:rPr>
                <w:rFonts w:ascii="Times New Roman" w:hAnsi="Times New Roman"/>
              </w:rPr>
              <w:t xml:space="preserve">бюджетные ассигнования ОБ в соответствии с утвержденными показателями СБР на 01.01.2024), млн.руб. </w:t>
            </w:r>
          </w:p>
        </w:tc>
        <w:tc>
          <w:tcPr>
            <w:tcW w:w="3152" w:type="dxa"/>
            <w:shd w:val="clear" w:color="auto" w:fill="auto"/>
          </w:tcPr>
          <w:p w14:paraId="7670FC00" w14:textId="77777777" w:rsidR="002A3B24" w:rsidRPr="00FD7B0B" w:rsidRDefault="002A3B24" w:rsidP="002A3B24">
            <w:pPr>
              <w:jc w:val="center"/>
              <w:rPr>
                <w:rFonts w:ascii="Times New Roman" w:hAnsi="Times New Roman"/>
              </w:rPr>
            </w:pPr>
            <w:r w:rsidRPr="00FD7B0B">
              <w:rPr>
                <w:rFonts w:ascii="Times New Roman" w:hAnsi="Times New Roman"/>
              </w:rPr>
              <w:t>доля объема изменений (увеличения и (или) сокращения, внутреннего перераспределения) бюджетных ассигнований, %</w:t>
            </w:r>
          </w:p>
        </w:tc>
      </w:tr>
      <w:tr w:rsidR="002A3B24" w:rsidRPr="00FD7B0B" w14:paraId="53B51001" w14:textId="77777777" w:rsidTr="002A3B24">
        <w:tc>
          <w:tcPr>
            <w:tcW w:w="3369" w:type="dxa"/>
            <w:shd w:val="clear" w:color="auto" w:fill="auto"/>
            <w:vAlign w:val="center"/>
          </w:tcPr>
          <w:p w14:paraId="4805AA6E" w14:textId="77777777" w:rsidR="002A3B24" w:rsidRPr="00FD7B0B" w:rsidRDefault="002A3B24" w:rsidP="002A3B24">
            <w:pPr>
              <w:jc w:val="center"/>
              <w:rPr>
                <w:rFonts w:ascii="Times New Roman" w:hAnsi="Times New Roman"/>
              </w:rPr>
            </w:pPr>
            <w:r w:rsidRPr="00FD7B0B">
              <w:rPr>
                <w:rFonts w:ascii="Times New Roman" w:hAnsi="Times New Roman"/>
              </w:rPr>
              <w:t>251,3</w:t>
            </w:r>
          </w:p>
        </w:tc>
        <w:tc>
          <w:tcPr>
            <w:tcW w:w="3118" w:type="dxa"/>
            <w:shd w:val="clear" w:color="auto" w:fill="auto"/>
            <w:vAlign w:val="center"/>
          </w:tcPr>
          <w:p w14:paraId="1C681A6D" w14:textId="77777777" w:rsidR="002A3B24" w:rsidRPr="00FD7B0B" w:rsidRDefault="002A3B24" w:rsidP="002A3B24">
            <w:pPr>
              <w:jc w:val="center"/>
              <w:rPr>
                <w:rFonts w:ascii="Times New Roman" w:hAnsi="Times New Roman"/>
              </w:rPr>
            </w:pPr>
            <w:r w:rsidRPr="00FD7B0B">
              <w:rPr>
                <w:rFonts w:ascii="Times New Roman" w:hAnsi="Times New Roman"/>
              </w:rPr>
              <w:t>4 190,2</w:t>
            </w:r>
          </w:p>
        </w:tc>
        <w:tc>
          <w:tcPr>
            <w:tcW w:w="3152" w:type="dxa"/>
            <w:shd w:val="clear" w:color="auto" w:fill="auto"/>
            <w:vAlign w:val="center"/>
          </w:tcPr>
          <w:p w14:paraId="60CA809E" w14:textId="77777777" w:rsidR="002A3B24" w:rsidRPr="00FD7B0B" w:rsidRDefault="002A3B24" w:rsidP="002A3B24">
            <w:pPr>
              <w:jc w:val="center"/>
              <w:rPr>
                <w:rFonts w:ascii="Times New Roman" w:hAnsi="Times New Roman"/>
              </w:rPr>
            </w:pPr>
            <w:r w:rsidRPr="00FD7B0B">
              <w:rPr>
                <w:rFonts w:ascii="Times New Roman" w:hAnsi="Times New Roman"/>
              </w:rPr>
              <w:t>6</w:t>
            </w:r>
          </w:p>
        </w:tc>
      </w:tr>
    </w:tbl>
    <w:p w14:paraId="6433D1B3" w14:textId="77777777" w:rsidR="002A3B24" w:rsidRPr="00FD7B0B" w:rsidRDefault="002A3B24" w:rsidP="002A3B24">
      <w:pPr>
        <w:pStyle w:val="ad"/>
        <w:jc w:val="both"/>
        <w:rPr>
          <w:rFonts w:ascii="Times New Roman" w:hAnsi="Times New Roman"/>
          <w:sz w:val="28"/>
          <w:szCs w:val="28"/>
        </w:rPr>
      </w:pP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610"/>
        <w:gridCol w:w="1142"/>
        <w:gridCol w:w="1887"/>
      </w:tblGrid>
      <w:tr w:rsidR="002A3B24" w:rsidRPr="00FD7B0B" w14:paraId="4C770888" w14:textId="77777777" w:rsidTr="002A3B24">
        <w:tc>
          <w:tcPr>
            <w:tcW w:w="6610" w:type="dxa"/>
          </w:tcPr>
          <w:p w14:paraId="3300A9FA" w14:textId="77777777" w:rsidR="002A3B24" w:rsidRPr="00FD7B0B" w:rsidRDefault="002A3B24" w:rsidP="002A3B24">
            <w:pPr>
              <w:rPr>
                <w:rFonts w:ascii="Times New Roman" w:hAnsi="Times New Roman"/>
              </w:rPr>
            </w:pPr>
            <w:r w:rsidRPr="00FD7B0B">
              <w:rPr>
                <w:rFonts w:ascii="Times New Roman" w:hAnsi="Times New Roman"/>
              </w:rPr>
              <w:t>доля объема изменений (увеличения и (или) сокращения, внутреннего перераспределения) бюджетных ассигнований</w:t>
            </w:r>
          </w:p>
        </w:tc>
        <w:tc>
          <w:tcPr>
            <w:tcW w:w="1142" w:type="dxa"/>
            <w:shd w:val="clear" w:color="auto" w:fill="auto"/>
            <w:vAlign w:val="center"/>
          </w:tcPr>
          <w:p w14:paraId="3B85AF84" w14:textId="77777777" w:rsidR="002A3B24" w:rsidRPr="00FD7B0B" w:rsidRDefault="002A3B24" w:rsidP="002A3B24">
            <w:pPr>
              <w:jc w:val="center"/>
              <w:rPr>
                <w:rFonts w:ascii="Times New Roman" w:hAnsi="Times New Roman"/>
              </w:rPr>
            </w:pPr>
            <w:r w:rsidRPr="00FD7B0B">
              <w:rPr>
                <w:rFonts w:ascii="Times New Roman" w:hAnsi="Times New Roman"/>
              </w:rPr>
              <w:t>6</w:t>
            </w:r>
          </w:p>
        </w:tc>
        <w:tc>
          <w:tcPr>
            <w:tcW w:w="1887" w:type="dxa"/>
            <w:shd w:val="clear" w:color="auto" w:fill="auto"/>
            <w:vAlign w:val="center"/>
          </w:tcPr>
          <w:p w14:paraId="12AB30AD" w14:textId="77777777" w:rsidR="002A3B24" w:rsidRPr="00FD7B0B" w:rsidRDefault="002A3B24" w:rsidP="002A3B24">
            <w:pPr>
              <w:jc w:val="center"/>
              <w:rPr>
                <w:rFonts w:ascii="Times New Roman" w:hAnsi="Times New Roman"/>
              </w:rPr>
            </w:pPr>
            <w:r w:rsidRPr="00FD7B0B">
              <w:rPr>
                <w:rFonts w:ascii="Times New Roman" w:hAnsi="Times New Roman"/>
              </w:rPr>
              <w:t>высокий уровень</w:t>
            </w:r>
          </w:p>
        </w:tc>
      </w:tr>
    </w:tbl>
    <w:p w14:paraId="0D8F1F47" w14:textId="77777777" w:rsidR="002A3B24" w:rsidRPr="00FD7B0B" w:rsidRDefault="002A3B24" w:rsidP="002A3B24">
      <w:pPr>
        <w:pStyle w:val="ad"/>
        <w:jc w:val="both"/>
        <w:rPr>
          <w:rFonts w:ascii="Times New Roman" w:hAnsi="Times New Roman"/>
          <w:sz w:val="28"/>
          <w:szCs w:val="28"/>
        </w:rPr>
      </w:pPr>
    </w:p>
    <w:p w14:paraId="46AFA06A" w14:textId="77777777" w:rsidR="002A3B24" w:rsidRPr="00FD7B0B" w:rsidRDefault="002A3B24" w:rsidP="002A3B24">
      <w:pPr>
        <w:pStyle w:val="ad"/>
        <w:jc w:val="both"/>
        <w:rPr>
          <w:rFonts w:ascii="Times New Roman" w:hAnsi="Times New Roman"/>
          <w:sz w:val="24"/>
          <w:szCs w:val="24"/>
        </w:rPr>
      </w:pPr>
      <w:r w:rsidRPr="00FD7B0B">
        <w:rPr>
          <w:rFonts w:ascii="Times New Roman" w:hAnsi="Times New Roman"/>
          <w:sz w:val="24"/>
          <w:szCs w:val="24"/>
        </w:rPr>
        <w:t xml:space="preserve">4) оценка реализации мероприятий (достижения результатов) структурных элементов </w:t>
      </w: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907"/>
        <w:gridCol w:w="3925"/>
        <w:gridCol w:w="2807"/>
      </w:tblGrid>
      <w:tr w:rsidR="00FD7B0B" w:rsidRPr="00FD7B0B" w14:paraId="53DFE136" w14:textId="77777777" w:rsidTr="002A3B24">
        <w:trPr>
          <w:trHeight w:val="934"/>
        </w:trPr>
        <w:tc>
          <w:tcPr>
            <w:tcW w:w="2907" w:type="dxa"/>
          </w:tcPr>
          <w:p w14:paraId="5AA9D022" w14:textId="77777777" w:rsidR="002A3B24" w:rsidRPr="00FD7B0B" w:rsidRDefault="002A3B24" w:rsidP="002A3B24">
            <w:pPr>
              <w:jc w:val="center"/>
              <w:rPr>
                <w:rFonts w:ascii="Times New Roman" w:hAnsi="Times New Roman"/>
              </w:rPr>
            </w:pPr>
            <w:r w:rsidRPr="00FD7B0B">
              <w:rPr>
                <w:rFonts w:ascii="Times New Roman" w:hAnsi="Times New Roman"/>
              </w:rPr>
              <w:lastRenderedPageBreak/>
              <w:t xml:space="preserve">степень достижения мероприятий (результатов) структурных элементов </w:t>
            </w:r>
          </w:p>
          <w:p w14:paraId="3FA28916" w14:textId="77777777" w:rsidR="002A3B24" w:rsidRPr="00FD7B0B" w:rsidRDefault="002A3B24" w:rsidP="002A3B24">
            <w:pPr>
              <w:jc w:val="center"/>
              <w:rPr>
                <w:rFonts w:ascii="Times New Roman" w:hAnsi="Times New Roman"/>
              </w:rPr>
            </w:pPr>
            <w:r w:rsidRPr="00FD7B0B">
              <w:rPr>
                <w:rFonts w:ascii="Times New Roman" w:hAnsi="Times New Roman"/>
              </w:rPr>
              <w:t>за 2024 год</w:t>
            </w:r>
          </w:p>
        </w:tc>
        <w:tc>
          <w:tcPr>
            <w:tcW w:w="3925" w:type="dxa"/>
          </w:tcPr>
          <w:p w14:paraId="5971D793" w14:textId="77777777" w:rsidR="002A3B24" w:rsidRPr="00FD7B0B" w:rsidRDefault="002A3B24" w:rsidP="002A3B24">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мероприятий (результатов) всех структурных элементов, предусмотренных к достижению в 2024 году, ед.</w:t>
            </w:r>
          </w:p>
        </w:tc>
        <w:tc>
          <w:tcPr>
            <w:tcW w:w="2807" w:type="dxa"/>
          </w:tcPr>
          <w:p w14:paraId="7F680049" w14:textId="77777777" w:rsidR="002A3B24" w:rsidRPr="00FD7B0B" w:rsidRDefault="002A3B24" w:rsidP="002A3B24">
            <w:pPr>
              <w:jc w:val="center"/>
              <w:rPr>
                <w:rFonts w:ascii="Times New Roman" w:hAnsi="Times New Roman"/>
              </w:rPr>
            </w:pPr>
            <w:r w:rsidRPr="00FD7B0B">
              <w:rPr>
                <w:rFonts w:ascii="Times New Roman" w:hAnsi="Times New Roman"/>
              </w:rPr>
              <w:t>степень достижения всех мероприятий (результатов) всех структурных элементов за 2024 год, %</w:t>
            </w:r>
          </w:p>
        </w:tc>
      </w:tr>
      <w:tr w:rsidR="002A3B24" w:rsidRPr="00FD7B0B" w14:paraId="23941F5A" w14:textId="77777777" w:rsidTr="002A3B24">
        <w:tc>
          <w:tcPr>
            <w:tcW w:w="2907" w:type="dxa"/>
            <w:vAlign w:val="center"/>
          </w:tcPr>
          <w:p w14:paraId="4ECFB5A6" w14:textId="77777777" w:rsidR="002A3B24" w:rsidRPr="00FD7B0B" w:rsidRDefault="002A3B24" w:rsidP="002A3B24">
            <w:pPr>
              <w:jc w:val="center"/>
              <w:rPr>
                <w:rFonts w:ascii="Times New Roman" w:hAnsi="Times New Roman"/>
              </w:rPr>
            </w:pPr>
            <w:r w:rsidRPr="00FD7B0B">
              <w:rPr>
                <w:rFonts w:ascii="Times New Roman" w:hAnsi="Times New Roman"/>
              </w:rPr>
              <w:t>11,7</w:t>
            </w:r>
          </w:p>
        </w:tc>
        <w:tc>
          <w:tcPr>
            <w:tcW w:w="3925" w:type="dxa"/>
            <w:vAlign w:val="center"/>
          </w:tcPr>
          <w:p w14:paraId="117883C3" w14:textId="77777777" w:rsidR="002A3B24" w:rsidRPr="00FD7B0B" w:rsidRDefault="002A3B24" w:rsidP="002A3B24">
            <w:pPr>
              <w:jc w:val="center"/>
              <w:rPr>
                <w:rFonts w:ascii="Times New Roman" w:hAnsi="Times New Roman"/>
              </w:rPr>
            </w:pPr>
            <w:r w:rsidRPr="00FD7B0B">
              <w:rPr>
                <w:rFonts w:ascii="Times New Roman" w:hAnsi="Times New Roman"/>
              </w:rPr>
              <w:t>14</w:t>
            </w:r>
          </w:p>
        </w:tc>
        <w:tc>
          <w:tcPr>
            <w:tcW w:w="2807" w:type="dxa"/>
            <w:vAlign w:val="center"/>
          </w:tcPr>
          <w:p w14:paraId="57639D3D" w14:textId="77777777" w:rsidR="002A3B24" w:rsidRPr="00FD7B0B" w:rsidRDefault="002A3B24" w:rsidP="002A3B24">
            <w:pPr>
              <w:jc w:val="center"/>
              <w:rPr>
                <w:rFonts w:ascii="Times New Roman" w:hAnsi="Times New Roman"/>
              </w:rPr>
            </w:pPr>
            <w:r w:rsidRPr="00FD7B0B">
              <w:rPr>
                <w:rFonts w:ascii="Times New Roman" w:hAnsi="Times New Roman"/>
              </w:rPr>
              <w:t>83,6</w:t>
            </w:r>
          </w:p>
        </w:tc>
      </w:tr>
    </w:tbl>
    <w:p w14:paraId="048392A5" w14:textId="77777777" w:rsidR="002A3B24" w:rsidRPr="00FD7B0B" w:rsidRDefault="002A3B24" w:rsidP="002A3B24">
      <w:pPr>
        <w:spacing w:after="0"/>
        <w:jc w:val="both"/>
        <w:rPr>
          <w:rFonts w:ascii="Times New Roman" w:hAnsi="Times New Roman"/>
          <w:sz w:val="28"/>
          <w:szCs w:val="28"/>
        </w:rPr>
      </w:pP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946"/>
        <w:gridCol w:w="708"/>
        <w:gridCol w:w="1985"/>
      </w:tblGrid>
      <w:tr w:rsidR="002A3B24" w:rsidRPr="00FD7B0B" w14:paraId="2E5D6099" w14:textId="77777777" w:rsidTr="002A3B24">
        <w:tc>
          <w:tcPr>
            <w:tcW w:w="6946" w:type="dxa"/>
            <w:vAlign w:val="center"/>
          </w:tcPr>
          <w:p w14:paraId="469D7A57" w14:textId="77777777" w:rsidR="002A3B24" w:rsidRPr="00FD7B0B" w:rsidRDefault="002A3B24" w:rsidP="002A3B24">
            <w:pPr>
              <w:rPr>
                <w:rFonts w:ascii="Times New Roman" w:hAnsi="Times New Roman"/>
              </w:rPr>
            </w:pPr>
            <w:r w:rsidRPr="00FD7B0B">
              <w:rPr>
                <w:rFonts w:ascii="Times New Roman" w:hAnsi="Times New Roman"/>
              </w:rPr>
              <w:t>степень достижения всех мероприятий (результатов) всех структурных элементов</w:t>
            </w:r>
          </w:p>
        </w:tc>
        <w:tc>
          <w:tcPr>
            <w:tcW w:w="708" w:type="dxa"/>
            <w:vAlign w:val="center"/>
          </w:tcPr>
          <w:p w14:paraId="226B3080" w14:textId="77777777" w:rsidR="002A3B24" w:rsidRPr="00FD7B0B" w:rsidRDefault="002A3B24" w:rsidP="002A3B24">
            <w:pPr>
              <w:jc w:val="center"/>
              <w:rPr>
                <w:rFonts w:ascii="Times New Roman" w:hAnsi="Times New Roman"/>
              </w:rPr>
            </w:pPr>
            <w:r w:rsidRPr="00FD7B0B">
              <w:rPr>
                <w:rFonts w:ascii="Times New Roman" w:hAnsi="Times New Roman"/>
              </w:rPr>
              <w:t>83,6</w:t>
            </w:r>
          </w:p>
        </w:tc>
        <w:tc>
          <w:tcPr>
            <w:tcW w:w="1985" w:type="dxa"/>
            <w:vAlign w:val="center"/>
          </w:tcPr>
          <w:p w14:paraId="053070A0" w14:textId="77777777" w:rsidR="002A3B24" w:rsidRPr="00FD7B0B" w:rsidRDefault="002A3B24" w:rsidP="002A3B24">
            <w:pPr>
              <w:jc w:val="center"/>
              <w:rPr>
                <w:rFonts w:ascii="Times New Roman" w:hAnsi="Times New Roman"/>
              </w:rPr>
            </w:pPr>
            <w:r w:rsidRPr="00FD7B0B">
              <w:rPr>
                <w:rFonts w:ascii="Times New Roman" w:hAnsi="Times New Roman"/>
              </w:rPr>
              <w:t>средний уровень</w:t>
            </w:r>
          </w:p>
        </w:tc>
      </w:tr>
    </w:tbl>
    <w:p w14:paraId="4F4FA972" w14:textId="77777777" w:rsidR="002A3B24" w:rsidRPr="00FD7B0B" w:rsidRDefault="002A3B24" w:rsidP="002A3B24">
      <w:pPr>
        <w:spacing w:after="0"/>
        <w:jc w:val="both"/>
        <w:rPr>
          <w:rFonts w:ascii="Times New Roman" w:hAnsi="Times New Roman"/>
          <w:sz w:val="28"/>
          <w:szCs w:val="28"/>
        </w:rPr>
      </w:pP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942"/>
        <w:gridCol w:w="3848"/>
        <w:gridCol w:w="2849"/>
      </w:tblGrid>
      <w:tr w:rsidR="00FD7B0B" w:rsidRPr="00FD7B0B" w14:paraId="632F28D5" w14:textId="77777777" w:rsidTr="002A3B24">
        <w:trPr>
          <w:trHeight w:val="934"/>
        </w:trPr>
        <w:tc>
          <w:tcPr>
            <w:tcW w:w="2942" w:type="dxa"/>
            <w:vAlign w:val="center"/>
          </w:tcPr>
          <w:p w14:paraId="3E24486A" w14:textId="77777777" w:rsidR="002A3B24" w:rsidRPr="00FD7B0B" w:rsidRDefault="002A3B24" w:rsidP="002A3B24">
            <w:pPr>
              <w:jc w:val="center"/>
              <w:rPr>
                <w:rFonts w:ascii="Times New Roman" w:hAnsi="Times New Roman"/>
              </w:rPr>
            </w:pPr>
            <w:r w:rsidRPr="00FD7B0B">
              <w:rPr>
                <w:rFonts w:ascii="Times New Roman" w:hAnsi="Times New Roman"/>
              </w:rPr>
              <w:t>количество реализованных мероприятий (достигнутых результатов) всех структурных элементов, ед.</w:t>
            </w:r>
          </w:p>
        </w:tc>
        <w:tc>
          <w:tcPr>
            <w:tcW w:w="3848" w:type="dxa"/>
            <w:vAlign w:val="center"/>
          </w:tcPr>
          <w:p w14:paraId="10FAE7B9" w14:textId="77777777" w:rsidR="002A3B24" w:rsidRPr="00FD7B0B" w:rsidRDefault="002A3B24" w:rsidP="002A3B24">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мероприятий (результатов) всех структурных элементов, предусмотренных к достижению в 2024, ед.</w:t>
            </w:r>
          </w:p>
        </w:tc>
        <w:tc>
          <w:tcPr>
            <w:tcW w:w="2849" w:type="dxa"/>
            <w:vAlign w:val="center"/>
          </w:tcPr>
          <w:p w14:paraId="04985630" w14:textId="77777777" w:rsidR="002A3B24" w:rsidRPr="00FD7B0B" w:rsidRDefault="002A3B24" w:rsidP="002A3B24">
            <w:pPr>
              <w:jc w:val="center"/>
              <w:rPr>
                <w:rFonts w:ascii="Times New Roman" w:hAnsi="Times New Roman"/>
              </w:rPr>
            </w:pPr>
            <w:r w:rsidRPr="00FD7B0B">
              <w:rPr>
                <w:rFonts w:ascii="Times New Roman" w:hAnsi="Times New Roman"/>
              </w:rPr>
              <w:t>доля реализованных мероприятий (достигнутых результатов) всех структурных элементов, %</w:t>
            </w:r>
          </w:p>
        </w:tc>
      </w:tr>
      <w:tr w:rsidR="002A3B24" w:rsidRPr="00FD7B0B" w14:paraId="5EBE6BE3" w14:textId="77777777" w:rsidTr="002A3B24">
        <w:tc>
          <w:tcPr>
            <w:tcW w:w="2942" w:type="dxa"/>
            <w:vAlign w:val="center"/>
          </w:tcPr>
          <w:p w14:paraId="233E5277" w14:textId="77777777" w:rsidR="002A3B24" w:rsidRPr="00FD7B0B" w:rsidRDefault="002A3B24" w:rsidP="002A3B24">
            <w:pPr>
              <w:jc w:val="center"/>
              <w:rPr>
                <w:rFonts w:ascii="Times New Roman" w:hAnsi="Times New Roman"/>
              </w:rPr>
            </w:pPr>
            <w:r w:rsidRPr="00FD7B0B">
              <w:rPr>
                <w:rFonts w:ascii="Times New Roman" w:hAnsi="Times New Roman"/>
              </w:rPr>
              <w:t>10</w:t>
            </w:r>
          </w:p>
        </w:tc>
        <w:tc>
          <w:tcPr>
            <w:tcW w:w="3848" w:type="dxa"/>
            <w:vAlign w:val="center"/>
          </w:tcPr>
          <w:p w14:paraId="28EE65F7" w14:textId="77777777" w:rsidR="002A3B24" w:rsidRPr="00FD7B0B" w:rsidRDefault="002A3B24" w:rsidP="002A3B24">
            <w:pPr>
              <w:jc w:val="center"/>
              <w:rPr>
                <w:rFonts w:ascii="Times New Roman" w:hAnsi="Times New Roman"/>
              </w:rPr>
            </w:pPr>
            <w:r w:rsidRPr="00FD7B0B">
              <w:rPr>
                <w:rFonts w:ascii="Times New Roman" w:hAnsi="Times New Roman"/>
              </w:rPr>
              <w:t>14</w:t>
            </w:r>
          </w:p>
        </w:tc>
        <w:tc>
          <w:tcPr>
            <w:tcW w:w="2849" w:type="dxa"/>
            <w:vAlign w:val="center"/>
          </w:tcPr>
          <w:p w14:paraId="5CCA7A30" w14:textId="77777777" w:rsidR="002A3B24" w:rsidRPr="00FD7B0B" w:rsidRDefault="002A3B24" w:rsidP="002A3B24">
            <w:pPr>
              <w:jc w:val="center"/>
              <w:rPr>
                <w:rFonts w:ascii="Times New Roman" w:hAnsi="Times New Roman"/>
              </w:rPr>
            </w:pPr>
            <w:r w:rsidRPr="00FD7B0B">
              <w:rPr>
                <w:rFonts w:ascii="Times New Roman" w:hAnsi="Times New Roman"/>
              </w:rPr>
              <w:t>71,4</w:t>
            </w:r>
          </w:p>
        </w:tc>
      </w:tr>
    </w:tbl>
    <w:p w14:paraId="4A3DC53F" w14:textId="77777777" w:rsidR="002A3B24" w:rsidRPr="00FD7B0B" w:rsidRDefault="002A3B24" w:rsidP="002A3B24">
      <w:pPr>
        <w:spacing w:after="0" w:line="240" w:lineRule="auto"/>
        <w:jc w:val="both"/>
        <w:rPr>
          <w:rFonts w:ascii="Times New Roman" w:hAnsi="Times New Roman"/>
          <w:sz w:val="28"/>
          <w:szCs w:val="28"/>
        </w:rPr>
      </w:pP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230"/>
        <w:gridCol w:w="708"/>
        <w:gridCol w:w="1701"/>
      </w:tblGrid>
      <w:tr w:rsidR="002A3B24" w:rsidRPr="00FD7B0B" w14:paraId="733F6A7D" w14:textId="77777777" w:rsidTr="002A3B24">
        <w:tc>
          <w:tcPr>
            <w:tcW w:w="7230" w:type="dxa"/>
          </w:tcPr>
          <w:p w14:paraId="3EC4DD4D" w14:textId="77777777" w:rsidR="002A3B24" w:rsidRPr="00FD7B0B" w:rsidRDefault="002A3B24" w:rsidP="002A3B24">
            <w:pPr>
              <w:rPr>
                <w:rFonts w:ascii="Times New Roman" w:hAnsi="Times New Roman"/>
              </w:rPr>
            </w:pPr>
            <w:r w:rsidRPr="00FD7B0B">
              <w:rPr>
                <w:rFonts w:ascii="Times New Roman" w:hAnsi="Times New Roman"/>
              </w:rPr>
              <w:t xml:space="preserve">доля реализованных мероприятий (достигнутых результатов) всех структурных элементов </w:t>
            </w:r>
          </w:p>
        </w:tc>
        <w:tc>
          <w:tcPr>
            <w:tcW w:w="708" w:type="dxa"/>
            <w:vAlign w:val="center"/>
          </w:tcPr>
          <w:p w14:paraId="216A9D87" w14:textId="77777777" w:rsidR="002A3B24" w:rsidRPr="00FD7B0B" w:rsidRDefault="002A3B24" w:rsidP="002A3B24">
            <w:pPr>
              <w:jc w:val="center"/>
              <w:rPr>
                <w:rFonts w:ascii="Times New Roman" w:hAnsi="Times New Roman"/>
              </w:rPr>
            </w:pPr>
            <w:r w:rsidRPr="00FD7B0B">
              <w:rPr>
                <w:rFonts w:ascii="Times New Roman" w:hAnsi="Times New Roman"/>
              </w:rPr>
              <w:t>71,4</w:t>
            </w:r>
          </w:p>
        </w:tc>
        <w:tc>
          <w:tcPr>
            <w:tcW w:w="1701" w:type="dxa"/>
            <w:vAlign w:val="center"/>
          </w:tcPr>
          <w:p w14:paraId="122A139F" w14:textId="77777777" w:rsidR="002A3B24" w:rsidRPr="00FD7B0B" w:rsidRDefault="002A3B24" w:rsidP="002A3B24">
            <w:pPr>
              <w:jc w:val="center"/>
              <w:rPr>
                <w:rFonts w:ascii="Times New Roman" w:hAnsi="Times New Roman"/>
              </w:rPr>
            </w:pPr>
            <w:r w:rsidRPr="00FD7B0B">
              <w:rPr>
                <w:rFonts w:ascii="Times New Roman" w:hAnsi="Times New Roman"/>
              </w:rPr>
              <w:t>средний уровень</w:t>
            </w:r>
          </w:p>
        </w:tc>
      </w:tr>
    </w:tbl>
    <w:p w14:paraId="62E5324C" w14:textId="77777777" w:rsidR="002A3B24" w:rsidRPr="00FD7B0B" w:rsidRDefault="002A3B24" w:rsidP="002A3B24">
      <w:pPr>
        <w:spacing w:after="0" w:line="240" w:lineRule="auto"/>
        <w:jc w:val="both"/>
        <w:rPr>
          <w:rFonts w:ascii="Times New Roman" w:hAnsi="Times New Roman"/>
          <w:sz w:val="20"/>
          <w:szCs w:val="20"/>
        </w:rPr>
      </w:pPr>
    </w:p>
    <w:p w14:paraId="0DC7753D" w14:textId="77777777" w:rsidR="002A3B24" w:rsidRPr="00FD7B0B" w:rsidRDefault="002A3B24" w:rsidP="002A3B24">
      <w:pPr>
        <w:spacing w:after="0" w:line="240" w:lineRule="auto"/>
        <w:jc w:val="both"/>
        <w:rPr>
          <w:rFonts w:ascii="Times New Roman" w:hAnsi="Times New Roman"/>
          <w:sz w:val="24"/>
          <w:szCs w:val="24"/>
        </w:rPr>
      </w:pPr>
      <w:r w:rsidRPr="00FD7B0B">
        <w:rPr>
          <w:rFonts w:ascii="Times New Roman" w:hAnsi="Times New Roman"/>
          <w:sz w:val="24"/>
          <w:szCs w:val="24"/>
        </w:rPr>
        <w:t xml:space="preserve">5) оценка достижения плановых значений показателей </w:t>
      </w:r>
    </w:p>
    <w:tbl>
      <w:tblPr>
        <w:tblW w:w="970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712"/>
        <w:gridCol w:w="1023"/>
        <w:gridCol w:w="839"/>
        <w:gridCol w:w="850"/>
        <w:gridCol w:w="1134"/>
        <w:gridCol w:w="1146"/>
      </w:tblGrid>
      <w:tr w:rsidR="00FD7B0B" w:rsidRPr="00FD7B0B" w14:paraId="4E39D47B" w14:textId="77777777" w:rsidTr="002970CA">
        <w:trPr>
          <w:trHeight w:val="104"/>
        </w:trPr>
        <w:tc>
          <w:tcPr>
            <w:tcW w:w="4712" w:type="dxa"/>
            <w:vMerge w:val="restart"/>
            <w:shd w:val="clear" w:color="auto" w:fill="auto"/>
            <w:vAlign w:val="center"/>
            <w:hideMark/>
          </w:tcPr>
          <w:p w14:paraId="37E960A7"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Наименование целевого показателя</w:t>
            </w:r>
          </w:p>
        </w:tc>
        <w:tc>
          <w:tcPr>
            <w:tcW w:w="1023" w:type="dxa"/>
            <w:vMerge w:val="restart"/>
            <w:shd w:val="clear" w:color="auto" w:fill="auto"/>
            <w:vAlign w:val="center"/>
            <w:hideMark/>
          </w:tcPr>
          <w:p w14:paraId="0F2DC90D"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Ед. измерения</w:t>
            </w:r>
          </w:p>
        </w:tc>
        <w:tc>
          <w:tcPr>
            <w:tcW w:w="3969" w:type="dxa"/>
            <w:gridSpan w:val="4"/>
            <w:shd w:val="clear" w:color="auto" w:fill="auto"/>
            <w:vAlign w:val="center"/>
            <w:hideMark/>
          </w:tcPr>
          <w:p w14:paraId="6A86BE27"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Значения целевых показателей</w:t>
            </w:r>
          </w:p>
        </w:tc>
      </w:tr>
      <w:tr w:rsidR="00FD7B0B" w:rsidRPr="00FD7B0B" w14:paraId="52B99259" w14:textId="77777777" w:rsidTr="002970CA">
        <w:trPr>
          <w:trHeight w:val="509"/>
        </w:trPr>
        <w:tc>
          <w:tcPr>
            <w:tcW w:w="4712" w:type="dxa"/>
            <w:vMerge/>
            <w:vAlign w:val="center"/>
            <w:hideMark/>
          </w:tcPr>
          <w:p w14:paraId="1B994542" w14:textId="77777777" w:rsidR="002A3B24" w:rsidRPr="00FD7B0B" w:rsidRDefault="002A3B24" w:rsidP="002A3B24">
            <w:pPr>
              <w:spacing w:after="0" w:line="240" w:lineRule="auto"/>
              <w:rPr>
                <w:rFonts w:ascii="Times New Roman" w:eastAsia="Times New Roman" w:hAnsi="Times New Roman"/>
                <w:sz w:val="18"/>
                <w:szCs w:val="18"/>
                <w:lang w:eastAsia="ru-RU"/>
              </w:rPr>
            </w:pPr>
          </w:p>
        </w:tc>
        <w:tc>
          <w:tcPr>
            <w:tcW w:w="1023" w:type="dxa"/>
            <w:vMerge/>
            <w:vAlign w:val="center"/>
            <w:hideMark/>
          </w:tcPr>
          <w:p w14:paraId="6202AEE5" w14:textId="77777777" w:rsidR="002A3B24" w:rsidRPr="00FD7B0B" w:rsidRDefault="002A3B24" w:rsidP="002A3B24">
            <w:pPr>
              <w:spacing w:after="0" w:line="240" w:lineRule="auto"/>
              <w:rPr>
                <w:rFonts w:ascii="Times New Roman" w:eastAsia="Times New Roman" w:hAnsi="Times New Roman"/>
                <w:sz w:val="18"/>
                <w:szCs w:val="18"/>
                <w:lang w:eastAsia="ru-RU"/>
              </w:rPr>
            </w:pPr>
          </w:p>
        </w:tc>
        <w:tc>
          <w:tcPr>
            <w:tcW w:w="839" w:type="dxa"/>
            <w:vMerge w:val="restart"/>
            <w:shd w:val="clear" w:color="auto" w:fill="auto"/>
            <w:vAlign w:val="center"/>
            <w:hideMark/>
          </w:tcPr>
          <w:p w14:paraId="1BFC70B1"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план на 2024 </w:t>
            </w:r>
          </w:p>
        </w:tc>
        <w:tc>
          <w:tcPr>
            <w:tcW w:w="850" w:type="dxa"/>
            <w:vMerge w:val="restart"/>
            <w:shd w:val="clear" w:color="auto" w:fill="auto"/>
            <w:vAlign w:val="center"/>
            <w:hideMark/>
          </w:tcPr>
          <w:p w14:paraId="3E7C068D"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факт на 2024 </w:t>
            </w:r>
          </w:p>
        </w:tc>
        <w:tc>
          <w:tcPr>
            <w:tcW w:w="1134" w:type="dxa"/>
            <w:vMerge w:val="restart"/>
            <w:shd w:val="clear" w:color="auto" w:fill="auto"/>
            <w:vAlign w:val="center"/>
            <w:hideMark/>
          </w:tcPr>
          <w:p w14:paraId="3714174E"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исполнения</w:t>
            </w:r>
          </w:p>
        </w:tc>
        <w:tc>
          <w:tcPr>
            <w:tcW w:w="1146" w:type="dxa"/>
            <w:vMerge w:val="restart"/>
            <w:shd w:val="clear" w:color="auto" w:fill="auto"/>
            <w:vAlign w:val="center"/>
            <w:hideMark/>
          </w:tcPr>
          <w:p w14:paraId="18CEDB23" w14:textId="77777777" w:rsidR="002A3B24" w:rsidRPr="00FD7B0B" w:rsidRDefault="002A3B24" w:rsidP="002A3B24">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степень достижения</w:t>
            </w:r>
          </w:p>
        </w:tc>
      </w:tr>
      <w:tr w:rsidR="00FD7B0B" w:rsidRPr="00FD7B0B" w14:paraId="788B94D0" w14:textId="77777777" w:rsidTr="002970CA">
        <w:trPr>
          <w:trHeight w:val="450"/>
        </w:trPr>
        <w:tc>
          <w:tcPr>
            <w:tcW w:w="4712" w:type="dxa"/>
            <w:vMerge/>
            <w:vAlign w:val="center"/>
            <w:hideMark/>
          </w:tcPr>
          <w:p w14:paraId="343048DC" w14:textId="77777777" w:rsidR="002A3B24" w:rsidRPr="00FD7B0B" w:rsidRDefault="002A3B24" w:rsidP="002A3B24">
            <w:pPr>
              <w:spacing w:after="0" w:line="240" w:lineRule="auto"/>
              <w:rPr>
                <w:rFonts w:ascii="Times New Roman" w:eastAsia="Times New Roman" w:hAnsi="Times New Roman"/>
                <w:sz w:val="18"/>
                <w:szCs w:val="18"/>
                <w:lang w:eastAsia="ru-RU"/>
              </w:rPr>
            </w:pPr>
          </w:p>
        </w:tc>
        <w:tc>
          <w:tcPr>
            <w:tcW w:w="1023" w:type="dxa"/>
            <w:vMerge/>
            <w:vAlign w:val="center"/>
            <w:hideMark/>
          </w:tcPr>
          <w:p w14:paraId="3B67E24F" w14:textId="77777777" w:rsidR="002A3B24" w:rsidRPr="00FD7B0B" w:rsidRDefault="002A3B24" w:rsidP="002A3B24">
            <w:pPr>
              <w:spacing w:after="0" w:line="240" w:lineRule="auto"/>
              <w:rPr>
                <w:rFonts w:ascii="Times New Roman" w:eastAsia="Times New Roman" w:hAnsi="Times New Roman"/>
                <w:sz w:val="18"/>
                <w:szCs w:val="18"/>
                <w:lang w:eastAsia="ru-RU"/>
              </w:rPr>
            </w:pPr>
          </w:p>
        </w:tc>
        <w:tc>
          <w:tcPr>
            <w:tcW w:w="839" w:type="dxa"/>
            <w:vMerge/>
            <w:vAlign w:val="center"/>
            <w:hideMark/>
          </w:tcPr>
          <w:p w14:paraId="1B61C7FE" w14:textId="77777777" w:rsidR="002A3B24" w:rsidRPr="00FD7B0B" w:rsidRDefault="002A3B24" w:rsidP="002A3B24">
            <w:pPr>
              <w:spacing w:after="0" w:line="240" w:lineRule="auto"/>
              <w:rPr>
                <w:rFonts w:ascii="Times New Roman" w:eastAsia="Times New Roman" w:hAnsi="Times New Roman"/>
                <w:sz w:val="18"/>
                <w:szCs w:val="18"/>
                <w:lang w:eastAsia="ru-RU"/>
              </w:rPr>
            </w:pPr>
          </w:p>
        </w:tc>
        <w:tc>
          <w:tcPr>
            <w:tcW w:w="850" w:type="dxa"/>
            <w:vMerge/>
            <w:vAlign w:val="center"/>
            <w:hideMark/>
          </w:tcPr>
          <w:p w14:paraId="11422634" w14:textId="77777777" w:rsidR="002A3B24" w:rsidRPr="00FD7B0B" w:rsidRDefault="002A3B24" w:rsidP="002A3B24">
            <w:pPr>
              <w:spacing w:after="0" w:line="240" w:lineRule="auto"/>
              <w:rPr>
                <w:rFonts w:ascii="Times New Roman" w:eastAsia="Times New Roman" w:hAnsi="Times New Roman"/>
                <w:sz w:val="18"/>
                <w:szCs w:val="18"/>
                <w:lang w:eastAsia="ru-RU"/>
              </w:rPr>
            </w:pPr>
          </w:p>
        </w:tc>
        <w:tc>
          <w:tcPr>
            <w:tcW w:w="1134" w:type="dxa"/>
            <w:vMerge/>
            <w:vAlign w:val="center"/>
            <w:hideMark/>
          </w:tcPr>
          <w:p w14:paraId="31C064F2" w14:textId="77777777" w:rsidR="002A3B24" w:rsidRPr="00FD7B0B" w:rsidRDefault="002A3B24" w:rsidP="002A3B24">
            <w:pPr>
              <w:spacing w:after="0" w:line="240" w:lineRule="auto"/>
              <w:rPr>
                <w:rFonts w:ascii="Times New Roman" w:eastAsia="Times New Roman" w:hAnsi="Times New Roman"/>
                <w:sz w:val="18"/>
                <w:szCs w:val="18"/>
                <w:lang w:eastAsia="ru-RU"/>
              </w:rPr>
            </w:pPr>
          </w:p>
        </w:tc>
        <w:tc>
          <w:tcPr>
            <w:tcW w:w="1146" w:type="dxa"/>
            <w:vMerge/>
            <w:vAlign w:val="center"/>
            <w:hideMark/>
          </w:tcPr>
          <w:p w14:paraId="3CED5967" w14:textId="77777777" w:rsidR="002A3B24" w:rsidRPr="00FD7B0B" w:rsidRDefault="002A3B24" w:rsidP="002A3B24">
            <w:pPr>
              <w:spacing w:after="0" w:line="240" w:lineRule="auto"/>
              <w:rPr>
                <w:rFonts w:ascii="Times New Roman" w:eastAsia="Times New Roman" w:hAnsi="Times New Roman"/>
                <w:sz w:val="18"/>
                <w:szCs w:val="18"/>
                <w:lang w:eastAsia="ru-RU"/>
              </w:rPr>
            </w:pPr>
          </w:p>
        </w:tc>
      </w:tr>
      <w:tr w:rsidR="00FD7B0B" w:rsidRPr="00FD7B0B" w14:paraId="14836A83" w14:textId="77777777" w:rsidTr="002970CA">
        <w:trPr>
          <w:trHeight w:val="45"/>
        </w:trPr>
        <w:tc>
          <w:tcPr>
            <w:tcW w:w="4712" w:type="dxa"/>
            <w:shd w:val="clear" w:color="auto" w:fill="auto"/>
            <w:vAlign w:val="center"/>
            <w:hideMark/>
          </w:tcPr>
          <w:p w14:paraId="1DD8EBF2" w14:textId="77777777" w:rsidR="002A3B24" w:rsidRPr="00FD7B0B" w:rsidRDefault="002A3B24" w:rsidP="002A3B24">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Общая площадь жилых помещений, приходящаяся в среднем на одного жителя</w:t>
            </w:r>
          </w:p>
        </w:tc>
        <w:tc>
          <w:tcPr>
            <w:tcW w:w="1023" w:type="dxa"/>
            <w:shd w:val="clear" w:color="auto" w:fill="auto"/>
            <w:vAlign w:val="center"/>
            <w:hideMark/>
          </w:tcPr>
          <w:p w14:paraId="25E06A79"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кв. м. на 1 чел.</w:t>
            </w:r>
          </w:p>
        </w:tc>
        <w:tc>
          <w:tcPr>
            <w:tcW w:w="839" w:type="dxa"/>
            <w:shd w:val="clear" w:color="auto" w:fill="auto"/>
            <w:vAlign w:val="center"/>
            <w:hideMark/>
          </w:tcPr>
          <w:p w14:paraId="2D616958"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32,0</w:t>
            </w:r>
          </w:p>
        </w:tc>
        <w:tc>
          <w:tcPr>
            <w:tcW w:w="850" w:type="dxa"/>
            <w:shd w:val="clear" w:color="auto" w:fill="auto"/>
            <w:vAlign w:val="center"/>
            <w:hideMark/>
          </w:tcPr>
          <w:p w14:paraId="0D131017"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34,2*</w:t>
            </w:r>
          </w:p>
        </w:tc>
        <w:tc>
          <w:tcPr>
            <w:tcW w:w="1134" w:type="dxa"/>
            <w:shd w:val="clear" w:color="auto" w:fill="auto"/>
            <w:vAlign w:val="center"/>
            <w:hideMark/>
          </w:tcPr>
          <w:p w14:paraId="2F5D01E5"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106,9</w:t>
            </w:r>
          </w:p>
        </w:tc>
        <w:tc>
          <w:tcPr>
            <w:tcW w:w="1146" w:type="dxa"/>
            <w:shd w:val="clear" w:color="auto" w:fill="auto"/>
            <w:vAlign w:val="center"/>
            <w:hideMark/>
          </w:tcPr>
          <w:p w14:paraId="1E1E893B"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w:t>
            </w:r>
          </w:p>
        </w:tc>
      </w:tr>
      <w:tr w:rsidR="00FD7B0B" w:rsidRPr="00FD7B0B" w14:paraId="6DE7BE6C" w14:textId="77777777" w:rsidTr="002970CA">
        <w:trPr>
          <w:trHeight w:val="258"/>
        </w:trPr>
        <w:tc>
          <w:tcPr>
            <w:tcW w:w="4712" w:type="dxa"/>
            <w:shd w:val="clear" w:color="auto" w:fill="auto"/>
            <w:vAlign w:val="center"/>
            <w:hideMark/>
          </w:tcPr>
          <w:p w14:paraId="1099E169" w14:textId="77777777" w:rsidR="002A3B24" w:rsidRPr="00FD7B0B" w:rsidRDefault="002A3B24" w:rsidP="002A3B24">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 Количество семей, улучшивших жилищные условия</w:t>
            </w:r>
          </w:p>
        </w:tc>
        <w:tc>
          <w:tcPr>
            <w:tcW w:w="1023" w:type="dxa"/>
            <w:shd w:val="clear" w:color="auto" w:fill="auto"/>
            <w:vAlign w:val="center"/>
            <w:hideMark/>
          </w:tcPr>
          <w:p w14:paraId="7A6926FF"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тысяч семей</w:t>
            </w:r>
          </w:p>
        </w:tc>
        <w:tc>
          <w:tcPr>
            <w:tcW w:w="839" w:type="dxa"/>
            <w:shd w:val="clear" w:color="auto" w:fill="auto"/>
            <w:vAlign w:val="center"/>
            <w:hideMark/>
          </w:tcPr>
          <w:p w14:paraId="2F0A0B22"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20,5</w:t>
            </w:r>
          </w:p>
        </w:tc>
        <w:tc>
          <w:tcPr>
            <w:tcW w:w="850" w:type="dxa"/>
            <w:shd w:val="clear" w:color="auto" w:fill="auto"/>
            <w:vAlign w:val="center"/>
            <w:hideMark/>
          </w:tcPr>
          <w:p w14:paraId="2F59F2FD"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28</w:t>
            </w:r>
          </w:p>
        </w:tc>
        <w:tc>
          <w:tcPr>
            <w:tcW w:w="1134" w:type="dxa"/>
            <w:shd w:val="clear" w:color="auto" w:fill="auto"/>
            <w:vAlign w:val="center"/>
            <w:hideMark/>
          </w:tcPr>
          <w:p w14:paraId="28CBB35F"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136,6</w:t>
            </w:r>
          </w:p>
        </w:tc>
        <w:tc>
          <w:tcPr>
            <w:tcW w:w="1146" w:type="dxa"/>
            <w:shd w:val="clear" w:color="auto" w:fill="auto"/>
            <w:vAlign w:val="center"/>
            <w:hideMark/>
          </w:tcPr>
          <w:p w14:paraId="29AD06B9" w14:textId="77777777" w:rsidR="002A3B24" w:rsidRPr="00FD7B0B" w:rsidRDefault="002A3B24" w:rsidP="002A3B24">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1,4</w:t>
            </w:r>
          </w:p>
        </w:tc>
      </w:tr>
    </w:tbl>
    <w:p w14:paraId="6E811F8E" w14:textId="77777777" w:rsidR="002A3B24" w:rsidRPr="00FD7B0B" w:rsidRDefault="002A3B24" w:rsidP="002A3B24">
      <w:pPr>
        <w:spacing w:after="0" w:line="240" w:lineRule="auto"/>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*предварительное значение </w:t>
      </w:r>
    </w:p>
    <w:p w14:paraId="6AA48132" w14:textId="77777777" w:rsidR="002A3B24" w:rsidRPr="00FD7B0B" w:rsidRDefault="002A3B24" w:rsidP="002A3B24">
      <w:pPr>
        <w:spacing w:after="0" w:line="240" w:lineRule="auto"/>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**расчет с применением коэффициента по данным Архангельскстат</w:t>
      </w:r>
    </w:p>
    <w:p w14:paraId="43FD49AF" w14:textId="77777777" w:rsidR="002A3B24" w:rsidRPr="00FD7B0B" w:rsidRDefault="002A3B24" w:rsidP="002A3B24">
      <w:pPr>
        <w:spacing w:after="0" w:line="240" w:lineRule="auto"/>
        <w:ind w:firstLine="851"/>
        <w:jc w:val="both"/>
        <w:rPr>
          <w:rFonts w:ascii="Times New Roman" w:eastAsia="Times New Roman" w:hAnsi="Times New Roman"/>
          <w:sz w:val="24"/>
          <w:szCs w:val="24"/>
          <w:lang w:eastAsia="ru-RU"/>
        </w:rPr>
      </w:pPr>
    </w:p>
    <w:tbl>
      <w:tblPr>
        <w:tblStyle w:val="a7"/>
        <w:tblW w:w="964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820"/>
        <w:gridCol w:w="2268"/>
        <w:gridCol w:w="2552"/>
      </w:tblGrid>
      <w:tr w:rsidR="00FD7B0B" w:rsidRPr="00FD7B0B" w14:paraId="60682D5B" w14:textId="77777777" w:rsidTr="002970CA">
        <w:trPr>
          <w:trHeight w:val="176"/>
        </w:trPr>
        <w:tc>
          <w:tcPr>
            <w:tcW w:w="4820" w:type="dxa"/>
            <w:vAlign w:val="center"/>
          </w:tcPr>
          <w:p w14:paraId="67009557" w14:textId="77777777" w:rsidR="002A3B24" w:rsidRPr="00FD7B0B" w:rsidRDefault="002A3B24" w:rsidP="002A3B24">
            <w:pPr>
              <w:pStyle w:val="ConsPlusNormal"/>
              <w:jc w:val="both"/>
              <w:rPr>
                <w:rFonts w:ascii="Times New Roman" w:hAnsi="Times New Roman" w:cs="Times New Roman"/>
              </w:rPr>
            </w:pPr>
            <w:r w:rsidRPr="00FD7B0B">
              <w:rPr>
                <w:rFonts w:ascii="Times New Roman" w:hAnsi="Times New Roman" w:cs="Times New Roman"/>
              </w:rPr>
              <w:t>Общее количество показателей</w:t>
            </w:r>
          </w:p>
        </w:tc>
        <w:tc>
          <w:tcPr>
            <w:tcW w:w="2268" w:type="dxa"/>
            <w:vAlign w:val="center"/>
          </w:tcPr>
          <w:p w14:paraId="1C6E117C" w14:textId="77777777" w:rsidR="002A3B24" w:rsidRPr="00FD7B0B" w:rsidRDefault="002A3B24" w:rsidP="002A3B24">
            <w:pPr>
              <w:pStyle w:val="ConsPlusNormal"/>
              <w:jc w:val="center"/>
              <w:rPr>
                <w:rFonts w:ascii="Times New Roman" w:hAnsi="Times New Roman" w:cs="Times New Roman"/>
                <w:sz w:val="24"/>
                <w:szCs w:val="24"/>
              </w:rPr>
            </w:pPr>
            <w:r w:rsidRPr="00FD7B0B">
              <w:rPr>
                <w:rFonts w:ascii="Times New Roman" w:hAnsi="Times New Roman" w:cs="Times New Roman"/>
                <w:sz w:val="24"/>
                <w:szCs w:val="24"/>
              </w:rPr>
              <w:t>2</w:t>
            </w:r>
          </w:p>
        </w:tc>
        <w:tc>
          <w:tcPr>
            <w:tcW w:w="2552" w:type="dxa"/>
            <w:vAlign w:val="center"/>
          </w:tcPr>
          <w:p w14:paraId="45A18495" w14:textId="77777777" w:rsidR="002A3B24" w:rsidRPr="00FD7B0B" w:rsidRDefault="002A3B24" w:rsidP="002A3B24">
            <w:pPr>
              <w:pStyle w:val="ConsPlusNormal"/>
              <w:jc w:val="center"/>
              <w:rPr>
                <w:rFonts w:ascii="Times New Roman" w:hAnsi="Times New Roman" w:cs="Times New Roman"/>
                <w:sz w:val="24"/>
                <w:szCs w:val="24"/>
              </w:rPr>
            </w:pPr>
          </w:p>
        </w:tc>
      </w:tr>
      <w:tr w:rsidR="00FD7B0B" w:rsidRPr="00FD7B0B" w14:paraId="2582B241" w14:textId="77777777" w:rsidTr="002A3B24">
        <w:tc>
          <w:tcPr>
            <w:tcW w:w="4820" w:type="dxa"/>
            <w:vAlign w:val="center"/>
          </w:tcPr>
          <w:p w14:paraId="17A0E51C" w14:textId="77777777" w:rsidR="002A3B24" w:rsidRPr="00FD7B0B" w:rsidRDefault="002A3B24" w:rsidP="002A3B24">
            <w:pPr>
              <w:pStyle w:val="ConsPlusNormal"/>
              <w:jc w:val="both"/>
              <w:rPr>
                <w:rFonts w:ascii="Times New Roman" w:hAnsi="Times New Roman" w:cs="Times New Roman"/>
              </w:rPr>
            </w:pPr>
            <w:r w:rsidRPr="00FD7B0B">
              <w:rPr>
                <w:rFonts w:ascii="Times New Roman" w:hAnsi="Times New Roman" w:cs="Times New Roman"/>
              </w:rPr>
              <w:t>Степень достижения плановых значений</w:t>
            </w:r>
          </w:p>
        </w:tc>
        <w:tc>
          <w:tcPr>
            <w:tcW w:w="2268" w:type="dxa"/>
            <w:vAlign w:val="center"/>
          </w:tcPr>
          <w:p w14:paraId="12822FFA" w14:textId="77777777" w:rsidR="002A3B24" w:rsidRPr="00FD7B0B" w:rsidRDefault="002A3B24" w:rsidP="002A3B24">
            <w:pPr>
              <w:pStyle w:val="ConsPlusNormal"/>
              <w:jc w:val="center"/>
              <w:rPr>
                <w:rFonts w:ascii="Times New Roman" w:hAnsi="Times New Roman" w:cs="Times New Roman"/>
                <w:sz w:val="24"/>
                <w:szCs w:val="24"/>
              </w:rPr>
            </w:pPr>
            <w:r w:rsidRPr="00FD7B0B">
              <w:rPr>
                <w:rFonts w:ascii="Times New Roman" w:hAnsi="Times New Roman" w:cs="Times New Roman"/>
                <w:sz w:val="24"/>
                <w:szCs w:val="24"/>
              </w:rPr>
              <w:t>100 %</w:t>
            </w:r>
          </w:p>
        </w:tc>
        <w:tc>
          <w:tcPr>
            <w:tcW w:w="2552" w:type="dxa"/>
            <w:vAlign w:val="center"/>
          </w:tcPr>
          <w:p w14:paraId="27774444" w14:textId="77777777" w:rsidR="002A3B24" w:rsidRPr="00FD7B0B" w:rsidRDefault="002A3B24" w:rsidP="002A3B24">
            <w:pPr>
              <w:pStyle w:val="ConsPlusNormal"/>
              <w:jc w:val="center"/>
              <w:rPr>
                <w:rFonts w:ascii="Times New Roman" w:hAnsi="Times New Roman" w:cs="Times New Roman"/>
              </w:rPr>
            </w:pPr>
            <w:r w:rsidRPr="00FD7B0B">
              <w:rPr>
                <w:rFonts w:ascii="Times New Roman" w:hAnsi="Times New Roman" w:cs="Times New Roman"/>
              </w:rPr>
              <w:t>высокий уровень</w:t>
            </w:r>
          </w:p>
        </w:tc>
      </w:tr>
      <w:tr w:rsidR="002A3B24" w:rsidRPr="00FD7B0B" w14:paraId="3A91D2AA" w14:textId="77777777" w:rsidTr="002A3B24">
        <w:tc>
          <w:tcPr>
            <w:tcW w:w="4820" w:type="dxa"/>
            <w:vAlign w:val="center"/>
          </w:tcPr>
          <w:p w14:paraId="21FD4161" w14:textId="77777777" w:rsidR="002A3B24" w:rsidRPr="00FD7B0B" w:rsidRDefault="002A3B24" w:rsidP="002A3B24">
            <w:pPr>
              <w:pStyle w:val="ConsPlusNormal"/>
              <w:jc w:val="both"/>
              <w:rPr>
                <w:rFonts w:ascii="Times New Roman" w:hAnsi="Times New Roman" w:cs="Times New Roman"/>
              </w:rPr>
            </w:pPr>
            <w:r w:rsidRPr="00FD7B0B">
              <w:rPr>
                <w:rFonts w:ascii="Times New Roman" w:hAnsi="Times New Roman" w:cs="Times New Roman"/>
              </w:rPr>
              <w:t xml:space="preserve">Доля выполненных показателей </w:t>
            </w:r>
          </w:p>
        </w:tc>
        <w:tc>
          <w:tcPr>
            <w:tcW w:w="2268" w:type="dxa"/>
            <w:vAlign w:val="center"/>
          </w:tcPr>
          <w:p w14:paraId="0BC1F0F2" w14:textId="77777777" w:rsidR="002A3B24" w:rsidRPr="00FD7B0B" w:rsidRDefault="002A3B24" w:rsidP="002A3B24">
            <w:pPr>
              <w:pStyle w:val="ConsPlusNormal"/>
              <w:jc w:val="center"/>
              <w:rPr>
                <w:rFonts w:ascii="Times New Roman" w:hAnsi="Times New Roman" w:cs="Times New Roman"/>
                <w:sz w:val="24"/>
                <w:szCs w:val="24"/>
              </w:rPr>
            </w:pPr>
            <w:r w:rsidRPr="00FD7B0B">
              <w:rPr>
                <w:rFonts w:ascii="Times New Roman" w:hAnsi="Times New Roman" w:cs="Times New Roman"/>
                <w:sz w:val="24"/>
                <w:szCs w:val="24"/>
              </w:rPr>
              <w:t>100 %</w:t>
            </w:r>
          </w:p>
        </w:tc>
        <w:tc>
          <w:tcPr>
            <w:tcW w:w="2552" w:type="dxa"/>
            <w:vAlign w:val="center"/>
          </w:tcPr>
          <w:p w14:paraId="2A452B10" w14:textId="77777777" w:rsidR="002A3B24" w:rsidRPr="00FD7B0B" w:rsidRDefault="002A3B24" w:rsidP="002A3B24">
            <w:pPr>
              <w:pStyle w:val="ConsPlusNormal"/>
              <w:jc w:val="center"/>
              <w:rPr>
                <w:rFonts w:ascii="Times New Roman" w:hAnsi="Times New Roman" w:cs="Times New Roman"/>
              </w:rPr>
            </w:pPr>
            <w:r w:rsidRPr="00FD7B0B">
              <w:rPr>
                <w:rFonts w:ascii="Times New Roman" w:hAnsi="Times New Roman" w:cs="Times New Roman"/>
              </w:rPr>
              <w:t>высокий уровень</w:t>
            </w:r>
          </w:p>
        </w:tc>
      </w:tr>
    </w:tbl>
    <w:p w14:paraId="074B9309" w14:textId="77777777" w:rsidR="002A3B24" w:rsidRPr="00FD7B0B" w:rsidRDefault="002A3B24" w:rsidP="002A3B24">
      <w:pPr>
        <w:pStyle w:val="ad"/>
        <w:ind w:firstLine="709"/>
        <w:jc w:val="both"/>
        <w:rPr>
          <w:rFonts w:ascii="Times New Roman" w:hAnsi="Times New Roman"/>
          <w:sz w:val="28"/>
          <w:szCs w:val="28"/>
        </w:rPr>
      </w:pPr>
    </w:p>
    <w:p w14:paraId="79547A7C" w14:textId="77777777" w:rsidR="002A3B24" w:rsidRPr="00FD7B0B" w:rsidRDefault="002A3B24" w:rsidP="002A3B24">
      <w:pPr>
        <w:spacing w:after="0" w:line="240" w:lineRule="auto"/>
        <w:jc w:val="both"/>
        <w:rPr>
          <w:rFonts w:ascii="Times New Roman" w:hAnsi="Times New Roman"/>
          <w:sz w:val="24"/>
          <w:szCs w:val="24"/>
        </w:rPr>
      </w:pPr>
      <w:r w:rsidRPr="00FD7B0B">
        <w:rPr>
          <w:rFonts w:ascii="Times New Roman" w:hAnsi="Times New Roman"/>
          <w:sz w:val="24"/>
          <w:szCs w:val="24"/>
        </w:rPr>
        <w:t xml:space="preserve">6) оценка динамики дебиторской задолженности по расчетам по авансовым платежам </w:t>
      </w: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429"/>
        <w:gridCol w:w="4050"/>
        <w:gridCol w:w="2160"/>
      </w:tblGrid>
      <w:tr w:rsidR="00FD7B0B" w:rsidRPr="00FD7B0B" w14:paraId="3CC45DD7" w14:textId="77777777" w:rsidTr="002A3B24">
        <w:trPr>
          <w:trHeight w:val="1204"/>
        </w:trPr>
        <w:tc>
          <w:tcPr>
            <w:tcW w:w="3429" w:type="dxa"/>
          </w:tcPr>
          <w:p w14:paraId="38EBEC6C" w14:textId="77777777" w:rsidR="002A3B24" w:rsidRPr="00FD7B0B" w:rsidRDefault="002A3B24" w:rsidP="002A3B24">
            <w:pPr>
              <w:jc w:val="center"/>
              <w:rPr>
                <w:rFonts w:ascii="Times New Roman" w:hAnsi="Times New Roman"/>
              </w:rPr>
            </w:pPr>
            <w:r w:rsidRPr="00FD7B0B">
              <w:rPr>
                <w:rFonts w:ascii="Times New Roman" w:hAnsi="Times New Roman"/>
              </w:rPr>
              <w:t>объем просроченной дебиторской задолженности по авансовым платежам на конец отчетного года (данные формы 0503169 "Сведения по дебиторской и кредиторской задолженности" за 2024 год), млн.руб.</w:t>
            </w:r>
          </w:p>
        </w:tc>
        <w:tc>
          <w:tcPr>
            <w:tcW w:w="4050" w:type="dxa"/>
          </w:tcPr>
          <w:p w14:paraId="4DD9AAFF" w14:textId="77777777" w:rsidR="002A3B24" w:rsidRPr="00FD7B0B" w:rsidRDefault="002A3B24" w:rsidP="002A3B24">
            <w:pPr>
              <w:autoSpaceDE w:val="0"/>
              <w:autoSpaceDN w:val="0"/>
              <w:adjustRightInd w:val="0"/>
              <w:ind w:firstLine="34"/>
              <w:jc w:val="center"/>
              <w:rPr>
                <w:rFonts w:ascii="Times New Roman" w:hAnsi="Times New Roman"/>
              </w:rPr>
            </w:pPr>
            <w:r w:rsidRPr="00FD7B0B">
              <w:rPr>
                <w:rFonts w:ascii="Times New Roman" w:hAnsi="Times New Roman"/>
              </w:rPr>
              <w:t>общий объем дебиторской задолженности по авансовым платежам на конец отчетного года (данные формы 0503169 "Сведения по дебиторской и кредиторской задолженности" за 2024 год), млн.руб.</w:t>
            </w:r>
          </w:p>
        </w:tc>
        <w:tc>
          <w:tcPr>
            <w:tcW w:w="2160" w:type="dxa"/>
          </w:tcPr>
          <w:p w14:paraId="3281E895" w14:textId="77777777" w:rsidR="002A3B24" w:rsidRPr="00FD7B0B" w:rsidRDefault="002A3B24" w:rsidP="002A3B24">
            <w:pPr>
              <w:jc w:val="center"/>
              <w:rPr>
                <w:rFonts w:ascii="Times New Roman" w:hAnsi="Times New Roman"/>
              </w:rPr>
            </w:pPr>
            <w:r w:rsidRPr="00FD7B0B">
              <w:rPr>
                <w:rFonts w:ascii="Times New Roman" w:hAnsi="Times New Roman"/>
              </w:rPr>
              <w:t>доля просроченной дебиторской задолженности в общем объеме дебиторской задолженности за 2024 год, %</w:t>
            </w:r>
          </w:p>
        </w:tc>
      </w:tr>
      <w:tr w:rsidR="002A3B24" w:rsidRPr="00FD7B0B" w14:paraId="6CE08159" w14:textId="77777777" w:rsidTr="002A3B24">
        <w:tc>
          <w:tcPr>
            <w:tcW w:w="3429" w:type="dxa"/>
            <w:vAlign w:val="center"/>
          </w:tcPr>
          <w:p w14:paraId="5450E668" w14:textId="77777777" w:rsidR="002A3B24" w:rsidRPr="00FD7B0B" w:rsidRDefault="002A3B24" w:rsidP="002A3B24">
            <w:pPr>
              <w:jc w:val="center"/>
              <w:rPr>
                <w:rFonts w:ascii="Times New Roman" w:hAnsi="Times New Roman"/>
              </w:rPr>
            </w:pPr>
            <w:r w:rsidRPr="00FD7B0B">
              <w:rPr>
                <w:rFonts w:ascii="Times New Roman" w:hAnsi="Times New Roman"/>
              </w:rPr>
              <w:t>0,0</w:t>
            </w:r>
          </w:p>
        </w:tc>
        <w:tc>
          <w:tcPr>
            <w:tcW w:w="4050" w:type="dxa"/>
            <w:vAlign w:val="center"/>
          </w:tcPr>
          <w:p w14:paraId="3EA413CD" w14:textId="77777777" w:rsidR="002A3B24" w:rsidRPr="00FD7B0B" w:rsidRDefault="002A3B24" w:rsidP="002A3B24">
            <w:pPr>
              <w:jc w:val="center"/>
              <w:rPr>
                <w:rFonts w:ascii="Times New Roman" w:hAnsi="Times New Roman"/>
              </w:rPr>
            </w:pPr>
            <w:r w:rsidRPr="00FD7B0B">
              <w:rPr>
                <w:rFonts w:ascii="Times New Roman" w:hAnsi="Times New Roman"/>
              </w:rPr>
              <w:t>41,63</w:t>
            </w:r>
          </w:p>
        </w:tc>
        <w:tc>
          <w:tcPr>
            <w:tcW w:w="2160" w:type="dxa"/>
            <w:vAlign w:val="center"/>
          </w:tcPr>
          <w:p w14:paraId="37986827" w14:textId="77777777" w:rsidR="002A3B24" w:rsidRPr="00FD7B0B" w:rsidRDefault="002A3B24" w:rsidP="002A3B24">
            <w:pPr>
              <w:jc w:val="center"/>
              <w:rPr>
                <w:rFonts w:ascii="Times New Roman" w:hAnsi="Times New Roman"/>
              </w:rPr>
            </w:pPr>
            <w:r w:rsidRPr="00FD7B0B">
              <w:rPr>
                <w:rFonts w:ascii="Times New Roman" w:hAnsi="Times New Roman"/>
              </w:rPr>
              <w:t>0</w:t>
            </w:r>
          </w:p>
        </w:tc>
      </w:tr>
    </w:tbl>
    <w:p w14:paraId="7BCF23B9" w14:textId="77777777" w:rsidR="002A3B24" w:rsidRPr="00FD7B0B" w:rsidRDefault="002A3B24" w:rsidP="002A3B24">
      <w:pPr>
        <w:spacing w:after="0" w:line="240" w:lineRule="auto"/>
        <w:jc w:val="both"/>
        <w:rPr>
          <w:rFonts w:ascii="Times New Roman" w:hAnsi="Times New Roman"/>
          <w:sz w:val="28"/>
          <w:szCs w:val="28"/>
        </w:rPr>
      </w:pP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912"/>
        <w:gridCol w:w="709"/>
        <w:gridCol w:w="2018"/>
      </w:tblGrid>
      <w:tr w:rsidR="002A3B24" w:rsidRPr="00FD7B0B" w14:paraId="178E6795" w14:textId="77777777" w:rsidTr="002970CA">
        <w:trPr>
          <w:trHeight w:val="102"/>
        </w:trPr>
        <w:tc>
          <w:tcPr>
            <w:tcW w:w="6912" w:type="dxa"/>
            <w:shd w:val="clear" w:color="auto" w:fill="auto"/>
            <w:vAlign w:val="center"/>
          </w:tcPr>
          <w:p w14:paraId="549A5BBA" w14:textId="77777777" w:rsidR="002A3B24" w:rsidRPr="00FD7B0B" w:rsidRDefault="002A3B24" w:rsidP="002A3B24">
            <w:pPr>
              <w:jc w:val="both"/>
              <w:rPr>
                <w:rFonts w:ascii="Times New Roman" w:hAnsi="Times New Roman"/>
              </w:rPr>
            </w:pPr>
            <w:r w:rsidRPr="00FD7B0B">
              <w:rPr>
                <w:rFonts w:ascii="Times New Roman" w:hAnsi="Times New Roman"/>
              </w:rPr>
              <w:t xml:space="preserve">доля просроченной ДЗ в общем объеме ДЗ за отчетный год </w:t>
            </w:r>
          </w:p>
        </w:tc>
        <w:tc>
          <w:tcPr>
            <w:tcW w:w="709" w:type="dxa"/>
            <w:shd w:val="clear" w:color="auto" w:fill="auto"/>
            <w:vAlign w:val="center"/>
          </w:tcPr>
          <w:p w14:paraId="40BDE196" w14:textId="77777777" w:rsidR="002A3B24" w:rsidRPr="00FD7B0B" w:rsidRDefault="002A3B24" w:rsidP="002A3B24">
            <w:pPr>
              <w:jc w:val="center"/>
              <w:rPr>
                <w:rFonts w:ascii="Times New Roman" w:hAnsi="Times New Roman"/>
              </w:rPr>
            </w:pPr>
            <w:r w:rsidRPr="00FD7B0B">
              <w:rPr>
                <w:rFonts w:ascii="Times New Roman" w:hAnsi="Times New Roman"/>
              </w:rPr>
              <w:t>0</w:t>
            </w:r>
          </w:p>
        </w:tc>
        <w:tc>
          <w:tcPr>
            <w:tcW w:w="2018" w:type="dxa"/>
            <w:shd w:val="clear" w:color="auto" w:fill="auto"/>
            <w:vAlign w:val="center"/>
          </w:tcPr>
          <w:p w14:paraId="4F840A5D" w14:textId="77777777" w:rsidR="002A3B24" w:rsidRPr="00FD7B0B" w:rsidRDefault="002A3B24" w:rsidP="002A3B24">
            <w:pPr>
              <w:jc w:val="center"/>
              <w:rPr>
                <w:rFonts w:ascii="Times New Roman" w:hAnsi="Times New Roman"/>
              </w:rPr>
            </w:pPr>
            <w:r w:rsidRPr="00FD7B0B">
              <w:rPr>
                <w:rFonts w:ascii="Times New Roman" w:hAnsi="Times New Roman"/>
              </w:rPr>
              <w:t>высокий уровень</w:t>
            </w:r>
          </w:p>
        </w:tc>
      </w:tr>
    </w:tbl>
    <w:p w14:paraId="4D2871C8" w14:textId="77777777" w:rsidR="002A3B24" w:rsidRPr="00FD7B0B" w:rsidRDefault="002A3B24" w:rsidP="002A3B24">
      <w:pPr>
        <w:spacing w:after="0" w:line="240" w:lineRule="auto"/>
        <w:jc w:val="both"/>
        <w:rPr>
          <w:rFonts w:ascii="Times New Roman" w:hAnsi="Times New Roman"/>
          <w:sz w:val="28"/>
          <w:szCs w:val="28"/>
        </w:rPr>
      </w:pP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085"/>
        <w:gridCol w:w="2977"/>
        <w:gridCol w:w="1559"/>
        <w:gridCol w:w="2179"/>
      </w:tblGrid>
      <w:tr w:rsidR="00FD7B0B" w:rsidRPr="00FD7B0B" w14:paraId="23ED0288" w14:textId="77777777" w:rsidTr="006735B6">
        <w:trPr>
          <w:trHeight w:val="1561"/>
          <w:tblHeader/>
        </w:trPr>
        <w:tc>
          <w:tcPr>
            <w:tcW w:w="3085" w:type="dxa"/>
          </w:tcPr>
          <w:p w14:paraId="23A1D768" w14:textId="77777777" w:rsidR="002A3B24" w:rsidRPr="00FD7B0B" w:rsidRDefault="002A3B24" w:rsidP="002A3B24">
            <w:pPr>
              <w:jc w:val="center"/>
              <w:rPr>
                <w:rFonts w:ascii="Times New Roman" w:hAnsi="Times New Roman"/>
              </w:rPr>
            </w:pPr>
            <w:r w:rsidRPr="00FD7B0B">
              <w:rPr>
                <w:rFonts w:ascii="Times New Roman" w:hAnsi="Times New Roman"/>
              </w:rPr>
              <w:t>объем дебиторской задолженности по авансовым платежам на конец отчетного года (данные формы 0503169 "Сведения по дебиторской и кредиторской задолженности" за 2024 год), млн.руб.</w:t>
            </w:r>
          </w:p>
        </w:tc>
        <w:tc>
          <w:tcPr>
            <w:tcW w:w="2977" w:type="dxa"/>
          </w:tcPr>
          <w:p w14:paraId="12D16AC7" w14:textId="77777777" w:rsidR="002A3B24" w:rsidRPr="00FD7B0B" w:rsidRDefault="002A3B24" w:rsidP="002A3B24">
            <w:pPr>
              <w:autoSpaceDE w:val="0"/>
              <w:autoSpaceDN w:val="0"/>
              <w:adjustRightInd w:val="0"/>
              <w:ind w:firstLine="34"/>
              <w:jc w:val="center"/>
              <w:rPr>
                <w:rFonts w:ascii="Times New Roman" w:hAnsi="Times New Roman"/>
              </w:rPr>
            </w:pPr>
            <w:r w:rsidRPr="00FD7B0B">
              <w:rPr>
                <w:rFonts w:ascii="Times New Roman" w:hAnsi="Times New Roman"/>
              </w:rPr>
              <w:t>объем дебиторской задолженности по авансовым платежам на начало отчетного года (данные формы 0503169 "Сведения по дебиторской и кредиторской задолженности" за 2024 год), млн.руб.</w:t>
            </w:r>
          </w:p>
        </w:tc>
        <w:tc>
          <w:tcPr>
            <w:tcW w:w="1559" w:type="dxa"/>
          </w:tcPr>
          <w:p w14:paraId="06FA1E67" w14:textId="77777777" w:rsidR="002A3B24" w:rsidRPr="00FD7B0B" w:rsidRDefault="002A3B24" w:rsidP="002A3B24">
            <w:pPr>
              <w:jc w:val="center"/>
              <w:rPr>
                <w:rFonts w:ascii="Times New Roman" w:hAnsi="Times New Roman"/>
              </w:rPr>
            </w:pPr>
            <w:r w:rsidRPr="00FD7B0B">
              <w:rPr>
                <w:rFonts w:ascii="Times New Roman" w:hAnsi="Times New Roman"/>
              </w:rPr>
              <w:t>кассовые расходы областного бюджета за 2024 год, млн.руб.</w:t>
            </w:r>
          </w:p>
        </w:tc>
        <w:tc>
          <w:tcPr>
            <w:tcW w:w="2179" w:type="dxa"/>
          </w:tcPr>
          <w:p w14:paraId="446CFB2F" w14:textId="77777777" w:rsidR="002A3B24" w:rsidRPr="00FD7B0B" w:rsidRDefault="002A3B24" w:rsidP="002A3B24">
            <w:pPr>
              <w:jc w:val="center"/>
              <w:rPr>
                <w:rFonts w:ascii="Times New Roman" w:hAnsi="Times New Roman"/>
              </w:rPr>
            </w:pPr>
            <w:r w:rsidRPr="00FD7B0B">
              <w:rPr>
                <w:rFonts w:ascii="Times New Roman" w:hAnsi="Times New Roman"/>
              </w:rPr>
              <w:t>прирост дебиторской задолженности к объему кассовых расходов за 2024 год, %</w:t>
            </w:r>
          </w:p>
        </w:tc>
      </w:tr>
      <w:tr w:rsidR="002A3B24" w:rsidRPr="00FD7B0B" w14:paraId="10D69A59" w14:textId="77777777" w:rsidTr="002A3B24">
        <w:tc>
          <w:tcPr>
            <w:tcW w:w="3085" w:type="dxa"/>
            <w:vAlign w:val="center"/>
          </w:tcPr>
          <w:p w14:paraId="5686E7AF" w14:textId="77777777" w:rsidR="002A3B24" w:rsidRPr="00FD7B0B" w:rsidRDefault="002A3B24" w:rsidP="002A3B24">
            <w:pPr>
              <w:jc w:val="center"/>
              <w:rPr>
                <w:rFonts w:ascii="Times New Roman" w:hAnsi="Times New Roman"/>
              </w:rPr>
            </w:pPr>
            <w:r w:rsidRPr="00FD7B0B">
              <w:rPr>
                <w:rFonts w:ascii="Times New Roman" w:hAnsi="Times New Roman"/>
              </w:rPr>
              <w:t>41,63</w:t>
            </w:r>
          </w:p>
        </w:tc>
        <w:tc>
          <w:tcPr>
            <w:tcW w:w="2977" w:type="dxa"/>
            <w:vAlign w:val="center"/>
          </w:tcPr>
          <w:p w14:paraId="1072FAF8" w14:textId="77777777" w:rsidR="002A3B24" w:rsidRPr="00FD7B0B" w:rsidRDefault="002A3B24" w:rsidP="002A3B24">
            <w:pPr>
              <w:jc w:val="center"/>
              <w:rPr>
                <w:rFonts w:ascii="Times New Roman" w:hAnsi="Times New Roman"/>
              </w:rPr>
            </w:pPr>
            <w:r w:rsidRPr="00FD7B0B">
              <w:rPr>
                <w:rFonts w:ascii="Times New Roman" w:hAnsi="Times New Roman"/>
              </w:rPr>
              <w:t>40,44</w:t>
            </w:r>
          </w:p>
        </w:tc>
        <w:tc>
          <w:tcPr>
            <w:tcW w:w="1559" w:type="dxa"/>
            <w:vAlign w:val="center"/>
          </w:tcPr>
          <w:p w14:paraId="2612C021" w14:textId="77777777" w:rsidR="002A3B24" w:rsidRPr="00FD7B0B" w:rsidRDefault="002A3B24" w:rsidP="002A3B24">
            <w:pPr>
              <w:jc w:val="center"/>
              <w:rPr>
                <w:rFonts w:ascii="Times New Roman" w:hAnsi="Times New Roman"/>
              </w:rPr>
            </w:pPr>
            <w:r w:rsidRPr="00FD7B0B">
              <w:rPr>
                <w:rFonts w:ascii="Times New Roman" w:hAnsi="Times New Roman"/>
              </w:rPr>
              <w:t>5 922,78</w:t>
            </w:r>
          </w:p>
        </w:tc>
        <w:tc>
          <w:tcPr>
            <w:tcW w:w="2179" w:type="dxa"/>
            <w:vAlign w:val="center"/>
          </w:tcPr>
          <w:p w14:paraId="38618921" w14:textId="77777777" w:rsidR="002A3B24" w:rsidRPr="00FD7B0B" w:rsidRDefault="002A3B24" w:rsidP="002A3B24">
            <w:pPr>
              <w:jc w:val="center"/>
              <w:rPr>
                <w:rFonts w:ascii="Times New Roman" w:hAnsi="Times New Roman"/>
              </w:rPr>
            </w:pPr>
            <w:r w:rsidRPr="00FD7B0B">
              <w:rPr>
                <w:rFonts w:ascii="Times New Roman" w:hAnsi="Times New Roman"/>
              </w:rPr>
              <w:t>0,02</w:t>
            </w:r>
          </w:p>
        </w:tc>
      </w:tr>
    </w:tbl>
    <w:p w14:paraId="13EBF644" w14:textId="77777777" w:rsidR="002A3B24" w:rsidRPr="00FD7B0B" w:rsidRDefault="002A3B24" w:rsidP="002A3B24">
      <w:pPr>
        <w:spacing w:after="0" w:line="240" w:lineRule="auto"/>
        <w:jc w:val="both"/>
        <w:rPr>
          <w:rFonts w:ascii="Times New Roman" w:hAnsi="Times New Roman"/>
          <w:sz w:val="28"/>
          <w:szCs w:val="28"/>
        </w:rPr>
      </w:pP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516"/>
        <w:gridCol w:w="1055"/>
        <w:gridCol w:w="2229"/>
      </w:tblGrid>
      <w:tr w:rsidR="002A3B24" w:rsidRPr="00FD7B0B" w14:paraId="352EEA64" w14:textId="77777777" w:rsidTr="002A3B24">
        <w:tc>
          <w:tcPr>
            <w:tcW w:w="6516" w:type="dxa"/>
            <w:vAlign w:val="center"/>
          </w:tcPr>
          <w:p w14:paraId="5E534F71" w14:textId="77777777" w:rsidR="002A3B24" w:rsidRPr="00FD7B0B" w:rsidRDefault="002A3B24" w:rsidP="002A3B24">
            <w:pPr>
              <w:rPr>
                <w:rFonts w:ascii="Times New Roman" w:hAnsi="Times New Roman"/>
              </w:rPr>
            </w:pPr>
            <w:r w:rsidRPr="00FD7B0B">
              <w:rPr>
                <w:rFonts w:ascii="Times New Roman" w:hAnsi="Times New Roman"/>
              </w:rPr>
              <w:lastRenderedPageBreak/>
              <w:t xml:space="preserve">прирост ДЗ к объему кассовых расходов н за 2024 год </w:t>
            </w:r>
          </w:p>
        </w:tc>
        <w:tc>
          <w:tcPr>
            <w:tcW w:w="1055" w:type="dxa"/>
            <w:vAlign w:val="center"/>
          </w:tcPr>
          <w:p w14:paraId="3D1B797E" w14:textId="77777777" w:rsidR="002A3B24" w:rsidRPr="00FD7B0B" w:rsidRDefault="002A3B24" w:rsidP="002A3B24">
            <w:pPr>
              <w:jc w:val="center"/>
              <w:rPr>
                <w:rFonts w:ascii="Times New Roman" w:hAnsi="Times New Roman"/>
              </w:rPr>
            </w:pPr>
            <w:r w:rsidRPr="00FD7B0B">
              <w:rPr>
                <w:rFonts w:ascii="Times New Roman" w:hAnsi="Times New Roman"/>
              </w:rPr>
              <w:t>0,02</w:t>
            </w:r>
          </w:p>
        </w:tc>
        <w:tc>
          <w:tcPr>
            <w:tcW w:w="2229" w:type="dxa"/>
            <w:vAlign w:val="center"/>
          </w:tcPr>
          <w:p w14:paraId="6210AFA3" w14:textId="77777777" w:rsidR="002A3B24" w:rsidRPr="00FD7B0B" w:rsidRDefault="002A3B24" w:rsidP="002A3B24">
            <w:pPr>
              <w:jc w:val="center"/>
              <w:rPr>
                <w:rFonts w:ascii="Times New Roman" w:hAnsi="Times New Roman"/>
              </w:rPr>
            </w:pPr>
            <w:r w:rsidRPr="00FD7B0B">
              <w:rPr>
                <w:rFonts w:ascii="Times New Roman" w:hAnsi="Times New Roman"/>
              </w:rPr>
              <w:t>средний уровень</w:t>
            </w:r>
          </w:p>
        </w:tc>
      </w:tr>
    </w:tbl>
    <w:p w14:paraId="63E2C090" w14:textId="77777777" w:rsidR="002A3B24" w:rsidRPr="00FD7B0B" w:rsidRDefault="002A3B24" w:rsidP="002A3B24">
      <w:pPr>
        <w:pStyle w:val="ad"/>
        <w:ind w:firstLine="709"/>
        <w:jc w:val="both"/>
        <w:rPr>
          <w:rFonts w:ascii="Times New Roman" w:hAnsi="Times New Roman"/>
          <w:sz w:val="28"/>
          <w:szCs w:val="28"/>
        </w:rPr>
      </w:pPr>
    </w:p>
    <w:p w14:paraId="0D024409" w14:textId="747576AE" w:rsidR="002A3B24" w:rsidRPr="00FD7B0B" w:rsidRDefault="002A3B24" w:rsidP="002A3B24">
      <w:pPr>
        <w:spacing w:after="0" w:line="240" w:lineRule="auto"/>
        <w:jc w:val="both"/>
        <w:rPr>
          <w:rFonts w:ascii="Times New Roman" w:hAnsi="Times New Roman"/>
          <w:sz w:val="24"/>
          <w:szCs w:val="24"/>
        </w:rPr>
      </w:pPr>
      <w:r w:rsidRPr="00FD7B0B">
        <w:rPr>
          <w:rFonts w:ascii="Times New Roman" w:hAnsi="Times New Roman"/>
          <w:sz w:val="24"/>
          <w:szCs w:val="24"/>
        </w:rPr>
        <w:t>7) оценк</w:t>
      </w:r>
      <w:r w:rsidR="002970CA" w:rsidRPr="00FD7B0B">
        <w:rPr>
          <w:rFonts w:ascii="Times New Roman" w:hAnsi="Times New Roman"/>
          <w:sz w:val="24"/>
          <w:szCs w:val="24"/>
        </w:rPr>
        <w:t>а ввода объектов в эксплуатацию</w:t>
      </w: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510"/>
        <w:gridCol w:w="4111"/>
        <w:gridCol w:w="2179"/>
      </w:tblGrid>
      <w:tr w:rsidR="00FD7B0B" w:rsidRPr="00FD7B0B" w14:paraId="2F835549" w14:textId="77777777" w:rsidTr="002A3B24">
        <w:trPr>
          <w:trHeight w:val="1180"/>
        </w:trPr>
        <w:tc>
          <w:tcPr>
            <w:tcW w:w="3510" w:type="dxa"/>
          </w:tcPr>
          <w:p w14:paraId="2AF8BA14" w14:textId="77777777" w:rsidR="002A3B24" w:rsidRPr="00FD7B0B" w:rsidRDefault="002A3B24" w:rsidP="002A3B24">
            <w:pPr>
              <w:jc w:val="center"/>
              <w:rPr>
                <w:rFonts w:ascii="Times New Roman" w:hAnsi="Times New Roman"/>
              </w:rPr>
            </w:pPr>
            <w:r w:rsidRPr="00FD7B0B">
              <w:rPr>
                <w:rFonts w:ascii="Times New Roman" w:hAnsi="Times New Roman"/>
              </w:rPr>
              <w:t>количество введенных в 2024 году объектов в эксплуатацию, в том числе объектов капитального строительства государственной собственности субъектов Российской Федерации (муниципальной собственности), ед.</w:t>
            </w:r>
          </w:p>
        </w:tc>
        <w:tc>
          <w:tcPr>
            <w:tcW w:w="4111" w:type="dxa"/>
          </w:tcPr>
          <w:p w14:paraId="23075C92" w14:textId="77777777" w:rsidR="002A3B24" w:rsidRPr="00FD7B0B" w:rsidRDefault="002A3B24" w:rsidP="002A3B24">
            <w:pPr>
              <w:autoSpaceDE w:val="0"/>
              <w:autoSpaceDN w:val="0"/>
              <w:adjustRightInd w:val="0"/>
              <w:ind w:firstLine="34"/>
              <w:jc w:val="center"/>
              <w:rPr>
                <w:rFonts w:ascii="Times New Roman" w:hAnsi="Times New Roman"/>
              </w:rPr>
            </w:pPr>
            <w:r w:rsidRPr="00FD7B0B">
              <w:rPr>
                <w:rFonts w:ascii="Times New Roman" w:hAnsi="Times New Roman"/>
              </w:rPr>
              <w:t>количество объектов, подлежащих введению в 2024 году в эксплуатацию, в том числе объектов капитального строительства государственной собственности субъектов Российской Федерации (муниципальной собственности), ед.</w:t>
            </w:r>
          </w:p>
        </w:tc>
        <w:tc>
          <w:tcPr>
            <w:tcW w:w="2179" w:type="dxa"/>
          </w:tcPr>
          <w:p w14:paraId="6C771591" w14:textId="77777777" w:rsidR="002A3B24" w:rsidRPr="00FD7B0B" w:rsidRDefault="002A3B24" w:rsidP="002A3B24">
            <w:pPr>
              <w:jc w:val="center"/>
              <w:rPr>
                <w:rFonts w:ascii="Times New Roman" w:hAnsi="Times New Roman"/>
              </w:rPr>
            </w:pPr>
            <w:r w:rsidRPr="00FD7B0B">
              <w:rPr>
                <w:rFonts w:ascii="Times New Roman" w:hAnsi="Times New Roman"/>
              </w:rPr>
              <w:t>степень ввода объектов в эксплуатацию за 2024 год, %</w:t>
            </w:r>
          </w:p>
        </w:tc>
      </w:tr>
      <w:tr w:rsidR="002A3B24" w:rsidRPr="00FD7B0B" w14:paraId="052C2020" w14:textId="77777777" w:rsidTr="002A3B24">
        <w:tc>
          <w:tcPr>
            <w:tcW w:w="3510" w:type="dxa"/>
            <w:vAlign w:val="center"/>
          </w:tcPr>
          <w:p w14:paraId="5C6BA3DD" w14:textId="77777777" w:rsidR="002A3B24" w:rsidRPr="00FD7B0B" w:rsidRDefault="002A3B24" w:rsidP="002A3B24">
            <w:pPr>
              <w:jc w:val="center"/>
              <w:rPr>
                <w:rFonts w:ascii="Times New Roman" w:hAnsi="Times New Roman"/>
              </w:rPr>
            </w:pPr>
            <w:r w:rsidRPr="00FD7B0B">
              <w:rPr>
                <w:rFonts w:ascii="Times New Roman" w:hAnsi="Times New Roman"/>
              </w:rPr>
              <w:t>30</w:t>
            </w:r>
          </w:p>
        </w:tc>
        <w:tc>
          <w:tcPr>
            <w:tcW w:w="4111" w:type="dxa"/>
            <w:vAlign w:val="center"/>
          </w:tcPr>
          <w:p w14:paraId="287A4707" w14:textId="77777777" w:rsidR="002A3B24" w:rsidRPr="00FD7B0B" w:rsidRDefault="002A3B24" w:rsidP="002A3B24">
            <w:pPr>
              <w:jc w:val="center"/>
              <w:rPr>
                <w:rFonts w:ascii="Times New Roman" w:hAnsi="Times New Roman"/>
              </w:rPr>
            </w:pPr>
            <w:r w:rsidRPr="00FD7B0B">
              <w:rPr>
                <w:rFonts w:ascii="Times New Roman" w:hAnsi="Times New Roman"/>
              </w:rPr>
              <w:t>37</w:t>
            </w:r>
          </w:p>
        </w:tc>
        <w:tc>
          <w:tcPr>
            <w:tcW w:w="2179" w:type="dxa"/>
            <w:vAlign w:val="center"/>
          </w:tcPr>
          <w:p w14:paraId="7603A70A" w14:textId="77777777" w:rsidR="002A3B24" w:rsidRPr="00FD7B0B" w:rsidRDefault="002A3B24" w:rsidP="002A3B24">
            <w:pPr>
              <w:jc w:val="center"/>
              <w:rPr>
                <w:rFonts w:ascii="Times New Roman" w:hAnsi="Times New Roman"/>
              </w:rPr>
            </w:pPr>
            <w:r w:rsidRPr="00FD7B0B">
              <w:rPr>
                <w:rFonts w:ascii="Times New Roman" w:hAnsi="Times New Roman"/>
              </w:rPr>
              <w:t>81,1</w:t>
            </w:r>
          </w:p>
        </w:tc>
      </w:tr>
    </w:tbl>
    <w:p w14:paraId="08D917E9" w14:textId="77777777" w:rsidR="002A3B24" w:rsidRPr="00FD7B0B" w:rsidRDefault="002A3B24" w:rsidP="002A3B24">
      <w:pPr>
        <w:spacing w:after="0" w:line="240" w:lineRule="auto"/>
        <w:jc w:val="both"/>
        <w:rPr>
          <w:rFonts w:ascii="Times New Roman" w:hAnsi="Times New Roman"/>
          <w:sz w:val="28"/>
          <w:szCs w:val="28"/>
        </w:rPr>
      </w:pP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805"/>
        <w:gridCol w:w="920"/>
        <w:gridCol w:w="2075"/>
      </w:tblGrid>
      <w:tr w:rsidR="00FD7B0B" w:rsidRPr="00FD7B0B" w14:paraId="19096581" w14:textId="77777777" w:rsidTr="002A3B24">
        <w:tc>
          <w:tcPr>
            <w:tcW w:w="6805" w:type="dxa"/>
            <w:vAlign w:val="center"/>
          </w:tcPr>
          <w:p w14:paraId="0B770689" w14:textId="77777777" w:rsidR="002A3B24" w:rsidRPr="00FD7B0B" w:rsidRDefault="002A3B24" w:rsidP="002A3B24">
            <w:pPr>
              <w:jc w:val="both"/>
              <w:rPr>
                <w:rFonts w:ascii="Times New Roman" w:hAnsi="Times New Roman"/>
              </w:rPr>
            </w:pPr>
            <w:r w:rsidRPr="00FD7B0B">
              <w:rPr>
                <w:rFonts w:ascii="Times New Roman" w:hAnsi="Times New Roman"/>
              </w:rPr>
              <w:t>степень ввода объектов в эксплуатацию за 2024 год</w:t>
            </w:r>
          </w:p>
        </w:tc>
        <w:tc>
          <w:tcPr>
            <w:tcW w:w="920" w:type="dxa"/>
            <w:vAlign w:val="center"/>
          </w:tcPr>
          <w:p w14:paraId="704274C8" w14:textId="77777777" w:rsidR="002A3B24" w:rsidRPr="00FD7B0B" w:rsidRDefault="002A3B24" w:rsidP="002A3B24">
            <w:pPr>
              <w:jc w:val="center"/>
              <w:rPr>
                <w:rFonts w:ascii="Times New Roman" w:hAnsi="Times New Roman"/>
              </w:rPr>
            </w:pPr>
            <w:r w:rsidRPr="00FD7B0B">
              <w:rPr>
                <w:rFonts w:ascii="Times New Roman" w:hAnsi="Times New Roman"/>
              </w:rPr>
              <w:t>81,1</w:t>
            </w:r>
          </w:p>
        </w:tc>
        <w:tc>
          <w:tcPr>
            <w:tcW w:w="2075" w:type="dxa"/>
            <w:vAlign w:val="center"/>
          </w:tcPr>
          <w:p w14:paraId="408713A5" w14:textId="77777777" w:rsidR="002A3B24" w:rsidRPr="00FD7B0B" w:rsidRDefault="002A3B24" w:rsidP="002A3B24">
            <w:pPr>
              <w:jc w:val="center"/>
              <w:rPr>
                <w:rFonts w:ascii="Times New Roman" w:hAnsi="Times New Roman"/>
              </w:rPr>
            </w:pPr>
            <w:r w:rsidRPr="00FD7B0B">
              <w:rPr>
                <w:rFonts w:ascii="Times New Roman" w:hAnsi="Times New Roman"/>
              </w:rPr>
              <w:t>средний уровень</w:t>
            </w:r>
          </w:p>
        </w:tc>
      </w:tr>
    </w:tbl>
    <w:p w14:paraId="1887C10F" w14:textId="77777777" w:rsidR="002A3B24" w:rsidRPr="00FD7B0B" w:rsidRDefault="002A3B24" w:rsidP="002A3B24">
      <w:pPr>
        <w:spacing w:after="0" w:line="240" w:lineRule="auto"/>
        <w:jc w:val="both"/>
        <w:rPr>
          <w:rFonts w:ascii="Times New Roman" w:hAnsi="Times New Roman"/>
          <w:sz w:val="28"/>
          <w:szCs w:val="28"/>
        </w:rPr>
      </w:pPr>
      <w:r w:rsidRPr="00FD7B0B">
        <w:rPr>
          <w:rFonts w:ascii="Times New Roman" w:hAnsi="Times New Roman"/>
          <w:sz w:val="28"/>
          <w:szCs w:val="28"/>
        </w:rPr>
        <w:tab/>
      </w:r>
    </w:p>
    <w:p w14:paraId="2B0622F5" w14:textId="77777777" w:rsidR="002A3B24" w:rsidRPr="00FD7B0B" w:rsidRDefault="002A3B24" w:rsidP="002A3B24">
      <w:pPr>
        <w:spacing w:after="0" w:line="240" w:lineRule="auto"/>
        <w:jc w:val="center"/>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Оценка формирования и использования системы показателей исходя </w:t>
      </w:r>
      <w:r w:rsidRPr="00FD7B0B">
        <w:rPr>
          <w:rFonts w:ascii="Times New Roman" w:eastAsia="Times New Roman" w:hAnsi="Times New Roman"/>
          <w:sz w:val="28"/>
          <w:szCs w:val="28"/>
          <w:lang w:eastAsia="ru-RU"/>
        </w:rPr>
        <w:br/>
        <w:t>из приоритетов социально-экономического развития Российской Федерации по результатам проверки исполнения ГП № 06</w:t>
      </w:r>
    </w:p>
    <w:p w14:paraId="01048579" w14:textId="0EEDDADD" w:rsidR="002970CA" w:rsidRPr="00FD7B0B" w:rsidRDefault="002A3B24" w:rsidP="002A3B24">
      <w:pPr>
        <w:pStyle w:val="ad"/>
        <w:jc w:val="both"/>
        <w:rPr>
          <w:rFonts w:ascii="Times New Roman" w:hAnsi="Times New Roman"/>
          <w:sz w:val="24"/>
          <w:szCs w:val="24"/>
        </w:rPr>
      </w:pPr>
      <w:r w:rsidRPr="00FD7B0B">
        <w:rPr>
          <w:rFonts w:ascii="Times New Roman" w:hAnsi="Times New Roman"/>
          <w:sz w:val="24"/>
          <w:szCs w:val="24"/>
        </w:rPr>
        <w:t>1) Оценка состава показателей госпрограммы</w:t>
      </w: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626"/>
        <w:gridCol w:w="756"/>
        <w:gridCol w:w="1418"/>
      </w:tblGrid>
      <w:tr w:rsidR="00FD7B0B" w:rsidRPr="00FD7B0B" w14:paraId="7B3721B9" w14:textId="77777777" w:rsidTr="002A3B24">
        <w:trPr>
          <w:trHeight w:hRule="exact" w:val="416"/>
        </w:trPr>
        <w:tc>
          <w:tcPr>
            <w:tcW w:w="7626" w:type="dxa"/>
            <w:vAlign w:val="center"/>
          </w:tcPr>
          <w:p w14:paraId="04091730" w14:textId="77777777" w:rsidR="002A3B24" w:rsidRPr="00FD7B0B" w:rsidRDefault="002A3B24" w:rsidP="002A3B24">
            <w:pPr>
              <w:pStyle w:val="ConsPlusNormal"/>
              <w:ind w:firstLine="53"/>
              <w:rPr>
                <w:rFonts w:ascii="Times New Roman" w:hAnsi="Times New Roman" w:cs="Times New Roman"/>
              </w:rPr>
            </w:pPr>
            <w:r w:rsidRPr="00FD7B0B">
              <w:rPr>
                <w:rFonts w:ascii="Times New Roman" w:hAnsi="Times New Roman" w:cs="Times New Roman"/>
              </w:rPr>
              <w:t>Общее количество показателей</w:t>
            </w:r>
          </w:p>
        </w:tc>
        <w:tc>
          <w:tcPr>
            <w:tcW w:w="756" w:type="dxa"/>
            <w:vAlign w:val="center"/>
          </w:tcPr>
          <w:p w14:paraId="6BCB46BB" w14:textId="77777777" w:rsidR="002A3B24" w:rsidRPr="00FD7B0B" w:rsidRDefault="002A3B24" w:rsidP="002A3B24">
            <w:pPr>
              <w:pStyle w:val="ConsPlusNormal"/>
              <w:ind w:firstLine="0"/>
              <w:jc w:val="center"/>
              <w:rPr>
                <w:rFonts w:ascii="Times New Roman" w:hAnsi="Times New Roman" w:cs="Times New Roman"/>
              </w:rPr>
            </w:pPr>
            <w:r w:rsidRPr="00FD7B0B">
              <w:rPr>
                <w:rFonts w:ascii="Times New Roman" w:hAnsi="Times New Roman" w:cs="Times New Roman"/>
              </w:rPr>
              <w:t>2</w:t>
            </w:r>
          </w:p>
        </w:tc>
        <w:tc>
          <w:tcPr>
            <w:tcW w:w="1418" w:type="dxa"/>
            <w:vAlign w:val="center"/>
          </w:tcPr>
          <w:p w14:paraId="706559E9" w14:textId="77777777" w:rsidR="002A3B24" w:rsidRPr="00FD7B0B" w:rsidRDefault="002A3B24" w:rsidP="002A3B24">
            <w:pPr>
              <w:pStyle w:val="ConsPlusNormal"/>
              <w:ind w:firstLine="0"/>
              <w:jc w:val="center"/>
              <w:rPr>
                <w:rFonts w:ascii="Times New Roman" w:hAnsi="Times New Roman" w:cs="Times New Roman"/>
                <w:sz w:val="24"/>
                <w:szCs w:val="24"/>
              </w:rPr>
            </w:pPr>
          </w:p>
        </w:tc>
      </w:tr>
      <w:tr w:rsidR="00FD7B0B" w:rsidRPr="00FD7B0B" w14:paraId="3BC0459E" w14:textId="77777777" w:rsidTr="002A3B24">
        <w:trPr>
          <w:trHeight w:hRule="exact" w:val="255"/>
        </w:trPr>
        <w:tc>
          <w:tcPr>
            <w:tcW w:w="7626" w:type="dxa"/>
            <w:vAlign w:val="center"/>
          </w:tcPr>
          <w:p w14:paraId="0D15AD92" w14:textId="77777777" w:rsidR="002A3B24" w:rsidRPr="00FD7B0B" w:rsidRDefault="002A3B24" w:rsidP="002A3B24">
            <w:pPr>
              <w:pStyle w:val="ConsPlusNormal"/>
              <w:ind w:firstLine="53"/>
              <w:rPr>
                <w:rFonts w:ascii="Times New Roman" w:hAnsi="Times New Roman" w:cs="Times New Roman"/>
              </w:rPr>
            </w:pPr>
            <w:r w:rsidRPr="00FD7B0B">
              <w:rPr>
                <w:rFonts w:ascii="Times New Roman" w:hAnsi="Times New Roman" w:cs="Times New Roman"/>
              </w:rPr>
              <w:t>Количество показателей, характеризующих непосредственные результаты</w:t>
            </w:r>
          </w:p>
        </w:tc>
        <w:tc>
          <w:tcPr>
            <w:tcW w:w="756" w:type="dxa"/>
            <w:vAlign w:val="center"/>
          </w:tcPr>
          <w:p w14:paraId="13B07B28" w14:textId="77777777" w:rsidR="002A3B24" w:rsidRPr="00FD7B0B" w:rsidRDefault="002A3B24" w:rsidP="002A3B24">
            <w:pPr>
              <w:pStyle w:val="ConsPlusNormal"/>
              <w:ind w:firstLine="0"/>
              <w:jc w:val="center"/>
              <w:rPr>
                <w:rFonts w:ascii="Times New Roman" w:hAnsi="Times New Roman" w:cs="Times New Roman"/>
              </w:rPr>
            </w:pPr>
            <w:r w:rsidRPr="00FD7B0B">
              <w:rPr>
                <w:rFonts w:ascii="Times New Roman" w:hAnsi="Times New Roman" w:cs="Times New Roman"/>
              </w:rPr>
              <w:t>0</w:t>
            </w:r>
          </w:p>
        </w:tc>
        <w:tc>
          <w:tcPr>
            <w:tcW w:w="1418" w:type="dxa"/>
            <w:vAlign w:val="center"/>
          </w:tcPr>
          <w:p w14:paraId="74715B16" w14:textId="77777777" w:rsidR="002A3B24" w:rsidRPr="00FD7B0B" w:rsidRDefault="002A3B24" w:rsidP="002A3B24">
            <w:pPr>
              <w:pStyle w:val="ConsPlusNormal"/>
              <w:ind w:firstLine="0"/>
              <w:jc w:val="center"/>
              <w:rPr>
                <w:rFonts w:ascii="Times New Roman" w:hAnsi="Times New Roman" w:cs="Times New Roman"/>
                <w:sz w:val="24"/>
                <w:szCs w:val="24"/>
              </w:rPr>
            </w:pPr>
          </w:p>
        </w:tc>
      </w:tr>
      <w:tr w:rsidR="00FD7B0B" w:rsidRPr="00FD7B0B" w14:paraId="0AA9E674" w14:textId="77777777" w:rsidTr="00CB4BE6">
        <w:trPr>
          <w:trHeight w:val="231"/>
        </w:trPr>
        <w:tc>
          <w:tcPr>
            <w:tcW w:w="7626" w:type="dxa"/>
            <w:vAlign w:val="center"/>
          </w:tcPr>
          <w:p w14:paraId="5A3B8428" w14:textId="77777777" w:rsidR="002A3B24" w:rsidRPr="00FD7B0B" w:rsidRDefault="002A3B24" w:rsidP="002A3B24">
            <w:pPr>
              <w:pStyle w:val="ConsPlusNormal"/>
              <w:ind w:firstLine="53"/>
              <w:rPr>
                <w:rFonts w:ascii="Times New Roman" w:hAnsi="Times New Roman" w:cs="Times New Roman"/>
              </w:rPr>
            </w:pPr>
            <w:r w:rsidRPr="00FD7B0B">
              <w:rPr>
                <w:rFonts w:ascii="Times New Roman" w:hAnsi="Times New Roman" w:cs="Times New Roman"/>
              </w:rPr>
              <w:t>Доля показателей госпрограммы, характеризующих непосредственные результаты</w:t>
            </w:r>
          </w:p>
        </w:tc>
        <w:tc>
          <w:tcPr>
            <w:tcW w:w="756" w:type="dxa"/>
            <w:vAlign w:val="center"/>
          </w:tcPr>
          <w:p w14:paraId="3849D07E" w14:textId="77777777" w:rsidR="002A3B24" w:rsidRPr="00FD7B0B" w:rsidRDefault="002A3B24" w:rsidP="002A3B24">
            <w:pPr>
              <w:pStyle w:val="ConsPlusNormal"/>
              <w:ind w:firstLine="0"/>
              <w:jc w:val="center"/>
              <w:rPr>
                <w:rFonts w:ascii="Times New Roman" w:hAnsi="Times New Roman" w:cs="Times New Roman"/>
              </w:rPr>
            </w:pPr>
            <w:r w:rsidRPr="00FD7B0B">
              <w:rPr>
                <w:rFonts w:ascii="Times New Roman" w:hAnsi="Times New Roman" w:cs="Times New Roman"/>
              </w:rPr>
              <w:t>0</w:t>
            </w:r>
          </w:p>
        </w:tc>
        <w:tc>
          <w:tcPr>
            <w:tcW w:w="1418" w:type="dxa"/>
            <w:vAlign w:val="center"/>
          </w:tcPr>
          <w:p w14:paraId="02D04313" w14:textId="77777777" w:rsidR="002A3B24" w:rsidRPr="00FD7B0B" w:rsidRDefault="002A3B24" w:rsidP="002A3B24">
            <w:pPr>
              <w:pStyle w:val="ConsPlusNormal"/>
              <w:ind w:firstLine="0"/>
              <w:jc w:val="center"/>
              <w:rPr>
                <w:rFonts w:ascii="Times New Roman" w:hAnsi="Times New Roman" w:cs="Times New Roman"/>
                <w:sz w:val="24"/>
                <w:szCs w:val="24"/>
              </w:rPr>
            </w:pPr>
          </w:p>
        </w:tc>
      </w:tr>
      <w:tr w:rsidR="00FD7B0B" w:rsidRPr="00FD7B0B" w14:paraId="248E013D" w14:textId="77777777" w:rsidTr="002A3B24">
        <w:tc>
          <w:tcPr>
            <w:tcW w:w="7626" w:type="dxa"/>
            <w:vAlign w:val="center"/>
          </w:tcPr>
          <w:p w14:paraId="32FAAC9C" w14:textId="77777777" w:rsidR="002A3B24" w:rsidRPr="00FD7B0B" w:rsidRDefault="002A3B24" w:rsidP="002A3B24">
            <w:pPr>
              <w:pStyle w:val="ConsPlusNormal"/>
              <w:ind w:firstLine="53"/>
              <w:rPr>
                <w:rFonts w:ascii="Times New Roman" w:hAnsi="Times New Roman" w:cs="Times New Roman"/>
              </w:rPr>
            </w:pPr>
            <w:r w:rsidRPr="00FD7B0B">
              <w:rPr>
                <w:rFonts w:ascii="Times New Roman" w:hAnsi="Times New Roman" w:cs="Times New Roman"/>
              </w:rPr>
              <w:t>Количество показателей, характеризующих</w:t>
            </w:r>
            <w:r w:rsidRPr="00FD7B0B">
              <w:t xml:space="preserve"> </w:t>
            </w:r>
            <w:r w:rsidRPr="00FD7B0B">
              <w:rPr>
                <w:rFonts w:ascii="Times New Roman" w:hAnsi="Times New Roman" w:cs="Times New Roman"/>
              </w:rPr>
              <w:t>конечные результаты и итоговые эффекты</w:t>
            </w:r>
          </w:p>
        </w:tc>
        <w:tc>
          <w:tcPr>
            <w:tcW w:w="756" w:type="dxa"/>
            <w:vAlign w:val="center"/>
          </w:tcPr>
          <w:p w14:paraId="55BCBD8B" w14:textId="77777777" w:rsidR="002A3B24" w:rsidRPr="00FD7B0B" w:rsidRDefault="002A3B24" w:rsidP="002A3B24">
            <w:pPr>
              <w:pStyle w:val="ConsPlusNormal"/>
              <w:ind w:firstLine="0"/>
              <w:jc w:val="center"/>
              <w:rPr>
                <w:rFonts w:ascii="Times New Roman" w:hAnsi="Times New Roman" w:cs="Times New Roman"/>
              </w:rPr>
            </w:pPr>
            <w:r w:rsidRPr="00FD7B0B">
              <w:rPr>
                <w:rFonts w:ascii="Times New Roman" w:hAnsi="Times New Roman" w:cs="Times New Roman"/>
              </w:rPr>
              <w:t>2</w:t>
            </w:r>
          </w:p>
        </w:tc>
        <w:tc>
          <w:tcPr>
            <w:tcW w:w="1418" w:type="dxa"/>
            <w:vAlign w:val="center"/>
          </w:tcPr>
          <w:p w14:paraId="44C06921" w14:textId="77777777" w:rsidR="002A3B24" w:rsidRPr="00FD7B0B" w:rsidRDefault="002A3B24" w:rsidP="002A3B24">
            <w:pPr>
              <w:pStyle w:val="ConsPlusNormal"/>
              <w:ind w:firstLine="0"/>
              <w:jc w:val="center"/>
              <w:rPr>
                <w:rFonts w:ascii="Times New Roman" w:hAnsi="Times New Roman" w:cs="Times New Roman"/>
                <w:sz w:val="24"/>
                <w:szCs w:val="24"/>
              </w:rPr>
            </w:pPr>
          </w:p>
        </w:tc>
      </w:tr>
      <w:tr w:rsidR="00FD7B0B" w:rsidRPr="00FD7B0B" w14:paraId="243375AA" w14:textId="77777777" w:rsidTr="002A3B24">
        <w:tc>
          <w:tcPr>
            <w:tcW w:w="7626" w:type="dxa"/>
            <w:vAlign w:val="center"/>
          </w:tcPr>
          <w:p w14:paraId="76D24A5D" w14:textId="77777777" w:rsidR="002A3B24" w:rsidRPr="00FD7B0B" w:rsidRDefault="002A3B24" w:rsidP="002A3B24">
            <w:pPr>
              <w:pStyle w:val="ConsPlusNormal"/>
              <w:ind w:firstLine="53"/>
              <w:rPr>
                <w:rFonts w:ascii="Times New Roman" w:hAnsi="Times New Roman" w:cs="Times New Roman"/>
              </w:rPr>
            </w:pPr>
            <w:r w:rsidRPr="00FD7B0B">
              <w:rPr>
                <w:rFonts w:ascii="Times New Roman" w:hAnsi="Times New Roman" w:cs="Times New Roman"/>
              </w:rPr>
              <w:t>Доля показателей госпрограммы, характеризующих конечные результаты и итоговые эффекты</w:t>
            </w:r>
          </w:p>
        </w:tc>
        <w:tc>
          <w:tcPr>
            <w:tcW w:w="756" w:type="dxa"/>
            <w:vAlign w:val="center"/>
          </w:tcPr>
          <w:p w14:paraId="7C7BBD61" w14:textId="77777777" w:rsidR="002A3B24" w:rsidRPr="00FD7B0B" w:rsidRDefault="002A3B24" w:rsidP="002A3B24">
            <w:pPr>
              <w:pStyle w:val="ConsPlusNormal"/>
              <w:ind w:firstLine="0"/>
              <w:jc w:val="center"/>
              <w:rPr>
                <w:rFonts w:ascii="Times New Roman" w:hAnsi="Times New Roman" w:cs="Times New Roman"/>
              </w:rPr>
            </w:pPr>
            <w:r w:rsidRPr="00FD7B0B">
              <w:rPr>
                <w:rFonts w:ascii="Times New Roman" w:hAnsi="Times New Roman" w:cs="Times New Roman"/>
              </w:rPr>
              <w:t>100,0</w:t>
            </w:r>
          </w:p>
        </w:tc>
        <w:tc>
          <w:tcPr>
            <w:tcW w:w="1418" w:type="dxa"/>
            <w:vAlign w:val="center"/>
          </w:tcPr>
          <w:p w14:paraId="321D2C26" w14:textId="77777777" w:rsidR="002A3B24" w:rsidRPr="00FD7B0B" w:rsidRDefault="002A3B24" w:rsidP="002A3B24">
            <w:pPr>
              <w:pStyle w:val="ConsPlusNormal"/>
              <w:ind w:firstLine="0"/>
              <w:jc w:val="center"/>
              <w:rPr>
                <w:rFonts w:ascii="Times New Roman" w:hAnsi="Times New Roman" w:cs="Times New Roman"/>
              </w:rPr>
            </w:pPr>
            <w:r w:rsidRPr="00FD7B0B">
              <w:rPr>
                <w:rFonts w:ascii="Times New Roman" w:hAnsi="Times New Roman" w:cs="Times New Roman"/>
              </w:rPr>
              <w:t>высокий уровень</w:t>
            </w:r>
          </w:p>
        </w:tc>
      </w:tr>
      <w:tr w:rsidR="00FD7B0B" w:rsidRPr="00FD7B0B" w14:paraId="724F86D8" w14:textId="77777777" w:rsidTr="002A3B24">
        <w:trPr>
          <w:trHeight w:hRule="exact" w:val="255"/>
        </w:trPr>
        <w:tc>
          <w:tcPr>
            <w:tcW w:w="7626" w:type="dxa"/>
            <w:vAlign w:val="center"/>
          </w:tcPr>
          <w:p w14:paraId="6535B5A6" w14:textId="77777777" w:rsidR="002A3B24" w:rsidRPr="00FD7B0B" w:rsidRDefault="002A3B24" w:rsidP="002A3B24">
            <w:pPr>
              <w:pStyle w:val="ConsPlusNormal"/>
              <w:ind w:firstLine="53"/>
              <w:rPr>
                <w:rFonts w:ascii="Times New Roman" w:hAnsi="Times New Roman" w:cs="Times New Roman"/>
              </w:rPr>
            </w:pPr>
            <w:r w:rsidRPr="00FD7B0B">
              <w:rPr>
                <w:rFonts w:ascii="Times New Roman" w:hAnsi="Times New Roman" w:cs="Times New Roman"/>
              </w:rPr>
              <w:t>Количество показателей, характеризующих иные результаты</w:t>
            </w:r>
          </w:p>
        </w:tc>
        <w:tc>
          <w:tcPr>
            <w:tcW w:w="756" w:type="dxa"/>
            <w:vAlign w:val="center"/>
          </w:tcPr>
          <w:p w14:paraId="588698AA" w14:textId="77777777" w:rsidR="002A3B24" w:rsidRPr="00FD7B0B" w:rsidRDefault="002A3B24" w:rsidP="002A3B24">
            <w:pPr>
              <w:pStyle w:val="ConsPlusNormal"/>
              <w:ind w:firstLine="0"/>
              <w:jc w:val="center"/>
              <w:rPr>
                <w:rFonts w:ascii="Times New Roman" w:hAnsi="Times New Roman" w:cs="Times New Roman"/>
              </w:rPr>
            </w:pPr>
            <w:r w:rsidRPr="00FD7B0B">
              <w:rPr>
                <w:rFonts w:ascii="Times New Roman" w:hAnsi="Times New Roman" w:cs="Times New Roman"/>
              </w:rPr>
              <w:t>0</w:t>
            </w:r>
          </w:p>
        </w:tc>
        <w:tc>
          <w:tcPr>
            <w:tcW w:w="1418" w:type="dxa"/>
            <w:vAlign w:val="center"/>
          </w:tcPr>
          <w:p w14:paraId="3E9B9929" w14:textId="77777777" w:rsidR="002A3B24" w:rsidRPr="00FD7B0B" w:rsidRDefault="002A3B24" w:rsidP="002A3B24">
            <w:pPr>
              <w:pStyle w:val="ConsPlusNormal"/>
              <w:ind w:firstLine="0"/>
              <w:jc w:val="center"/>
              <w:rPr>
                <w:rFonts w:ascii="Times New Roman" w:hAnsi="Times New Roman" w:cs="Times New Roman"/>
                <w:sz w:val="24"/>
                <w:szCs w:val="24"/>
              </w:rPr>
            </w:pPr>
          </w:p>
        </w:tc>
      </w:tr>
      <w:tr w:rsidR="002A3B24" w:rsidRPr="00FD7B0B" w14:paraId="55BB8F5E" w14:textId="77777777" w:rsidTr="002A3B24">
        <w:trPr>
          <w:trHeight w:hRule="exact" w:val="255"/>
        </w:trPr>
        <w:tc>
          <w:tcPr>
            <w:tcW w:w="7626" w:type="dxa"/>
            <w:vAlign w:val="center"/>
          </w:tcPr>
          <w:p w14:paraId="6FF4FB36" w14:textId="77777777" w:rsidR="002A3B24" w:rsidRPr="00FD7B0B" w:rsidRDefault="002A3B24" w:rsidP="002A3B24">
            <w:pPr>
              <w:pStyle w:val="ConsPlusNormal"/>
              <w:ind w:firstLine="53"/>
              <w:rPr>
                <w:rFonts w:ascii="Times New Roman" w:hAnsi="Times New Roman" w:cs="Times New Roman"/>
              </w:rPr>
            </w:pPr>
            <w:r w:rsidRPr="00FD7B0B">
              <w:rPr>
                <w:rFonts w:ascii="Times New Roman" w:hAnsi="Times New Roman" w:cs="Times New Roman"/>
              </w:rPr>
              <w:t>Доля показателей госпрограммы, характеризующих иные результаты</w:t>
            </w:r>
          </w:p>
        </w:tc>
        <w:tc>
          <w:tcPr>
            <w:tcW w:w="756" w:type="dxa"/>
            <w:vAlign w:val="center"/>
          </w:tcPr>
          <w:p w14:paraId="24563271" w14:textId="77777777" w:rsidR="002A3B24" w:rsidRPr="00FD7B0B" w:rsidRDefault="002A3B24" w:rsidP="002A3B24">
            <w:pPr>
              <w:pStyle w:val="ConsPlusNormal"/>
              <w:ind w:firstLine="0"/>
              <w:jc w:val="center"/>
              <w:rPr>
                <w:rFonts w:ascii="Times New Roman" w:hAnsi="Times New Roman" w:cs="Times New Roman"/>
              </w:rPr>
            </w:pPr>
            <w:r w:rsidRPr="00FD7B0B">
              <w:rPr>
                <w:rFonts w:ascii="Times New Roman" w:hAnsi="Times New Roman" w:cs="Times New Roman"/>
              </w:rPr>
              <w:t>0</w:t>
            </w:r>
          </w:p>
        </w:tc>
        <w:tc>
          <w:tcPr>
            <w:tcW w:w="1418" w:type="dxa"/>
            <w:vAlign w:val="center"/>
          </w:tcPr>
          <w:p w14:paraId="19D9DB37" w14:textId="77777777" w:rsidR="002A3B24" w:rsidRPr="00FD7B0B" w:rsidRDefault="002A3B24" w:rsidP="002A3B24">
            <w:pPr>
              <w:pStyle w:val="ConsPlusNormal"/>
              <w:ind w:firstLine="0"/>
              <w:jc w:val="center"/>
              <w:rPr>
                <w:rFonts w:ascii="Times New Roman" w:hAnsi="Times New Roman" w:cs="Times New Roman"/>
                <w:sz w:val="24"/>
                <w:szCs w:val="24"/>
              </w:rPr>
            </w:pPr>
          </w:p>
        </w:tc>
      </w:tr>
    </w:tbl>
    <w:p w14:paraId="1777E071" w14:textId="77777777" w:rsidR="002A3B24" w:rsidRPr="00FD7B0B" w:rsidRDefault="002A3B24" w:rsidP="002A3B24">
      <w:pPr>
        <w:pStyle w:val="ad"/>
        <w:ind w:firstLine="709"/>
        <w:jc w:val="both"/>
        <w:rPr>
          <w:rFonts w:ascii="Times New Roman" w:hAnsi="Times New Roman"/>
          <w:sz w:val="28"/>
          <w:szCs w:val="28"/>
        </w:rPr>
      </w:pPr>
    </w:p>
    <w:p w14:paraId="6CEA19FA" w14:textId="77777777" w:rsidR="002A3B24" w:rsidRPr="00FD7B0B" w:rsidRDefault="002A3B24" w:rsidP="002A3B24">
      <w:pPr>
        <w:pStyle w:val="ad"/>
        <w:jc w:val="both"/>
        <w:rPr>
          <w:rFonts w:ascii="Times New Roman" w:hAnsi="Times New Roman"/>
          <w:sz w:val="24"/>
          <w:szCs w:val="24"/>
        </w:rPr>
      </w:pPr>
      <w:r w:rsidRPr="00FD7B0B">
        <w:rPr>
          <w:rFonts w:ascii="Times New Roman" w:hAnsi="Times New Roman"/>
          <w:sz w:val="24"/>
          <w:szCs w:val="24"/>
        </w:rPr>
        <w:t>2) Оценка стабильности состава показателей на протяжении года</w:t>
      </w: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681"/>
        <w:gridCol w:w="2119"/>
      </w:tblGrid>
      <w:tr w:rsidR="00FD7B0B" w:rsidRPr="00FD7B0B" w14:paraId="3A4EAFA6" w14:textId="77777777" w:rsidTr="002A3B24">
        <w:tc>
          <w:tcPr>
            <w:tcW w:w="7681" w:type="dxa"/>
            <w:vAlign w:val="center"/>
          </w:tcPr>
          <w:p w14:paraId="6BF37E3C" w14:textId="77777777" w:rsidR="002A3B24" w:rsidRPr="00FD7B0B" w:rsidRDefault="002A3B24" w:rsidP="002A3B24">
            <w:pPr>
              <w:rPr>
                <w:rFonts w:ascii="Times New Roman" w:eastAsia="Times New Roman" w:hAnsi="Times New Roman"/>
              </w:rPr>
            </w:pPr>
            <w:r w:rsidRPr="00FD7B0B">
              <w:rPr>
                <w:rFonts w:ascii="Times New Roman" w:eastAsia="Times New Roman" w:hAnsi="Times New Roman"/>
              </w:rPr>
              <w:t>Уровень стабильности состава показателей</w:t>
            </w:r>
          </w:p>
        </w:tc>
        <w:tc>
          <w:tcPr>
            <w:tcW w:w="2119" w:type="dxa"/>
            <w:vAlign w:val="center"/>
          </w:tcPr>
          <w:p w14:paraId="773EABB8" w14:textId="77777777" w:rsidR="002A3B24" w:rsidRPr="00FD7B0B" w:rsidRDefault="002A3B24" w:rsidP="002A3B24">
            <w:pPr>
              <w:jc w:val="center"/>
              <w:rPr>
                <w:rFonts w:ascii="Times New Roman" w:eastAsia="Times New Roman" w:hAnsi="Times New Roman"/>
              </w:rPr>
            </w:pPr>
            <w:r w:rsidRPr="00FD7B0B">
              <w:rPr>
                <w:rFonts w:ascii="Times New Roman" w:eastAsia="Times New Roman" w:hAnsi="Times New Roman"/>
              </w:rPr>
              <w:t>100</w:t>
            </w:r>
          </w:p>
        </w:tc>
      </w:tr>
      <w:tr w:rsidR="00FD7B0B" w:rsidRPr="00FD7B0B" w14:paraId="49707963" w14:textId="77777777" w:rsidTr="002A3B24">
        <w:tc>
          <w:tcPr>
            <w:tcW w:w="7681" w:type="dxa"/>
            <w:vAlign w:val="center"/>
          </w:tcPr>
          <w:p w14:paraId="77B54C3E" w14:textId="77777777" w:rsidR="002A3B24" w:rsidRPr="00FD7B0B" w:rsidRDefault="002A3B24" w:rsidP="002A3B24">
            <w:pPr>
              <w:rPr>
                <w:rFonts w:ascii="Times New Roman" w:eastAsia="Times New Roman" w:hAnsi="Times New Roman"/>
              </w:rPr>
            </w:pPr>
            <w:r w:rsidRPr="00FD7B0B">
              <w:rPr>
                <w:rFonts w:ascii="Times New Roman" w:eastAsia="Times New Roman" w:hAnsi="Times New Roman"/>
              </w:rPr>
              <w:t>Количество показателей на 31.12.2024, достижение которых запланировано в 2024 году и по которым на протяжении 2024 года не менялась методика расчета</w:t>
            </w:r>
          </w:p>
        </w:tc>
        <w:tc>
          <w:tcPr>
            <w:tcW w:w="2119" w:type="dxa"/>
            <w:vAlign w:val="center"/>
          </w:tcPr>
          <w:p w14:paraId="013AD7AB" w14:textId="77777777" w:rsidR="002A3B24" w:rsidRPr="00FD7B0B" w:rsidRDefault="002A3B24" w:rsidP="002A3B24">
            <w:pPr>
              <w:jc w:val="center"/>
              <w:rPr>
                <w:rFonts w:ascii="Times New Roman" w:eastAsia="Times New Roman" w:hAnsi="Times New Roman"/>
              </w:rPr>
            </w:pPr>
            <w:r w:rsidRPr="00FD7B0B">
              <w:rPr>
                <w:rFonts w:ascii="Times New Roman" w:eastAsia="Times New Roman" w:hAnsi="Times New Roman"/>
              </w:rPr>
              <w:t>2</w:t>
            </w:r>
          </w:p>
        </w:tc>
      </w:tr>
      <w:tr w:rsidR="002A3B24" w:rsidRPr="00FD7B0B" w14:paraId="4C86D626" w14:textId="77777777" w:rsidTr="002A3B24">
        <w:trPr>
          <w:trHeight w:val="89"/>
        </w:trPr>
        <w:tc>
          <w:tcPr>
            <w:tcW w:w="7681" w:type="dxa"/>
            <w:vAlign w:val="center"/>
          </w:tcPr>
          <w:p w14:paraId="7AEDA2A1" w14:textId="77777777" w:rsidR="002A3B24" w:rsidRPr="00FD7B0B" w:rsidRDefault="002A3B24" w:rsidP="002A3B24">
            <w:pPr>
              <w:rPr>
                <w:rFonts w:ascii="Times New Roman" w:eastAsia="Times New Roman" w:hAnsi="Times New Roman"/>
              </w:rPr>
            </w:pPr>
            <w:r w:rsidRPr="00FD7B0B">
              <w:rPr>
                <w:rFonts w:ascii="Times New Roman" w:eastAsia="Times New Roman" w:hAnsi="Times New Roman"/>
              </w:rPr>
              <w:t>Общее количество показателей, достижение которых запланировано в 2024 году хотя бы в одной из редакций ГП, утвержденных с начала 2024 года</w:t>
            </w:r>
          </w:p>
        </w:tc>
        <w:tc>
          <w:tcPr>
            <w:tcW w:w="2119" w:type="dxa"/>
            <w:vAlign w:val="center"/>
          </w:tcPr>
          <w:p w14:paraId="0984F3BA" w14:textId="77777777" w:rsidR="002A3B24" w:rsidRPr="00FD7B0B" w:rsidRDefault="002A3B24" w:rsidP="002A3B24">
            <w:pPr>
              <w:jc w:val="center"/>
              <w:rPr>
                <w:rFonts w:ascii="Times New Roman" w:eastAsia="Times New Roman" w:hAnsi="Times New Roman"/>
              </w:rPr>
            </w:pPr>
            <w:r w:rsidRPr="00FD7B0B">
              <w:rPr>
                <w:rFonts w:ascii="Times New Roman" w:eastAsia="Times New Roman" w:hAnsi="Times New Roman"/>
              </w:rPr>
              <w:t>2</w:t>
            </w:r>
          </w:p>
        </w:tc>
      </w:tr>
    </w:tbl>
    <w:p w14:paraId="6BD256C1" w14:textId="77777777" w:rsidR="002A3B24" w:rsidRPr="00FD7B0B" w:rsidRDefault="002A3B24" w:rsidP="002A3B24">
      <w:pPr>
        <w:pStyle w:val="ad"/>
        <w:ind w:firstLine="709"/>
        <w:jc w:val="both"/>
        <w:rPr>
          <w:rFonts w:ascii="Times New Roman" w:hAnsi="Times New Roman"/>
          <w:sz w:val="28"/>
          <w:szCs w:val="28"/>
        </w:rPr>
      </w:pP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469"/>
        <w:gridCol w:w="939"/>
        <w:gridCol w:w="2392"/>
      </w:tblGrid>
      <w:tr w:rsidR="002A3B24" w:rsidRPr="00FD7B0B" w14:paraId="380054BE" w14:textId="77777777" w:rsidTr="002A3B24">
        <w:tc>
          <w:tcPr>
            <w:tcW w:w="6469" w:type="dxa"/>
            <w:vAlign w:val="center"/>
          </w:tcPr>
          <w:p w14:paraId="7F5719FA" w14:textId="77777777" w:rsidR="002A3B24" w:rsidRPr="00FD7B0B" w:rsidRDefault="002A3B24" w:rsidP="002A3B24">
            <w:pPr>
              <w:jc w:val="both"/>
              <w:rPr>
                <w:rFonts w:ascii="Times New Roman" w:hAnsi="Times New Roman"/>
              </w:rPr>
            </w:pPr>
            <w:r w:rsidRPr="00FD7B0B">
              <w:rPr>
                <w:rFonts w:ascii="Times New Roman" w:hAnsi="Times New Roman"/>
              </w:rPr>
              <w:t>уровень стабильности состава показателей на протяжении года</w:t>
            </w:r>
          </w:p>
        </w:tc>
        <w:tc>
          <w:tcPr>
            <w:tcW w:w="939" w:type="dxa"/>
            <w:vAlign w:val="center"/>
          </w:tcPr>
          <w:p w14:paraId="4B8C935D" w14:textId="77777777" w:rsidR="002A3B24" w:rsidRPr="00FD7B0B" w:rsidRDefault="002A3B24" w:rsidP="002A3B24">
            <w:pPr>
              <w:jc w:val="center"/>
              <w:rPr>
                <w:rFonts w:ascii="Times New Roman" w:hAnsi="Times New Roman"/>
              </w:rPr>
            </w:pPr>
            <w:r w:rsidRPr="00FD7B0B">
              <w:rPr>
                <w:rFonts w:ascii="Times New Roman" w:hAnsi="Times New Roman"/>
              </w:rPr>
              <w:t>100</w:t>
            </w:r>
          </w:p>
        </w:tc>
        <w:tc>
          <w:tcPr>
            <w:tcW w:w="2392" w:type="dxa"/>
            <w:vAlign w:val="center"/>
          </w:tcPr>
          <w:p w14:paraId="6AFE4740" w14:textId="77777777" w:rsidR="002A3B24" w:rsidRPr="00FD7B0B" w:rsidRDefault="002A3B24" w:rsidP="002A3B24">
            <w:pPr>
              <w:jc w:val="center"/>
              <w:rPr>
                <w:rFonts w:ascii="Times New Roman" w:hAnsi="Times New Roman"/>
              </w:rPr>
            </w:pPr>
            <w:r w:rsidRPr="00FD7B0B">
              <w:rPr>
                <w:rFonts w:ascii="Times New Roman" w:hAnsi="Times New Roman"/>
              </w:rPr>
              <w:t>высокий уровень</w:t>
            </w:r>
          </w:p>
        </w:tc>
      </w:tr>
    </w:tbl>
    <w:p w14:paraId="7FBFC57A" w14:textId="77777777" w:rsidR="002A3B24" w:rsidRPr="00FD7B0B" w:rsidRDefault="002A3B24" w:rsidP="002A3B24">
      <w:pPr>
        <w:pStyle w:val="ad"/>
        <w:ind w:firstLine="709"/>
        <w:jc w:val="both"/>
        <w:rPr>
          <w:rFonts w:ascii="Times New Roman" w:hAnsi="Times New Roman"/>
          <w:sz w:val="28"/>
          <w:szCs w:val="28"/>
        </w:rPr>
      </w:pPr>
    </w:p>
    <w:p w14:paraId="7B07CBF5" w14:textId="77777777" w:rsidR="002A3B24" w:rsidRPr="00FD7B0B" w:rsidRDefault="002A3B24" w:rsidP="002A3B24">
      <w:pPr>
        <w:pStyle w:val="ad"/>
        <w:jc w:val="both"/>
        <w:rPr>
          <w:rFonts w:ascii="Times New Roman" w:hAnsi="Times New Roman"/>
          <w:sz w:val="24"/>
          <w:szCs w:val="24"/>
        </w:rPr>
      </w:pPr>
      <w:r w:rsidRPr="00FD7B0B">
        <w:rPr>
          <w:rFonts w:ascii="Times New Roman" w:hAnsi="Times New Roman"/>
          <w:sz w:val="24"/>
          <w:szCs w:val="24"/>
        </w:rPr>
        <w:t>3) Оценка стабильности состава показателей за три года</w:t>
      </w: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361"/>
        <w:gridCol w:w="3827"/>
        <w:gridCol w:w="1612"/>
      </w:tblGrid>
      <w:tr w:rsidR="00FD7B0B" w:rsidRPr="00FD7B0B" w14:paraId="032B737B" w14:textId="77777777" w:rsidTr="002A3B24">
        <w:trPr>
          <w:trHeight w:val="561"/>
        </w:trPr>
        <w:tc>
          <w:tcPr>
            <w:tcW w:w="4361" w:type="dxa"/>
          </w:tcPr>
          <w:p w14:paraId="752872E8" w14:textId="77777777" w:rsidR="002A3B24" w:rsidRPr="00FD7B0B" w:rsidRDefault="002A3B24" w:rsidP="002A3B24">
            <w:pPr>
              <w:jc w:val="center"/>
              <w:rPr>
                <w:rFonts w:ascii="Times New Roman" w:hAnsi="Times New Roman"/>
                <w:sz w:val="18"/>
                <w:szCs w:val="18"/>
              </w:rPr>
            </w:pPr>
            <w:r w:rsidRPr="00FD7B0B">
              <w:rPr>
                <w:rFonts w:ascii="Times New Roman" w:hAnsi="Times New Roman"/>
                <w:sz w:val="18"/>
                <w:szCs w:val="18"/>
              </w:rPr>
              <w:t>количество показателей, по которым осуществлялся мониторинг в отчетном году (на 31.12.2024) и по которым на протяжении трех последних лет (отчетный год и два года, предшествующие отчетному) или с момента начала их мониторинга не изменялась методика их расчета, ед.</w:t>
            </w:r>
          </w:p>
        </w:tc>
        <w:tc>
          <w:tcPr>
            <w:tcW w:w="3827" w:type="dxa"/>
          </w:tcPr>
          <w:p w14:paraId="2BCD26B1" w14:textId="77777777" w:rsidR="002A3B24" w:rsidRPr="00FD7B0B" w:rsidRDefault="002A3B24" w:rsidP="002A3B24">
            <w:pPr>
              <w:autoSpaceDE w:val="0"/>
              <w:autoSpaceDN w:val="0"/>
              <w:adjustRightInd w:val="0"/>
              <w:ind w:firstLine="34"/>
              <w:jc w:val="center"/>
              <w:rPr>
                <w:rFonts w:ascii="Times New Roman" w:hAnsi="Times New Roman"/>
                <w:sz w:val="18"/>
                <w:szCs w:val="18"/>
              </w:rPr>
            </w:pPr>
            <w:r w:rsidRPr="00FD7B0B">
              <w:rPr>
                <w:rFonts w:ascii="Times New Roman" w:hAnsi="Times New Roman"/>
                <w:sz w:val="18"/>
                <w:szCs w:val="18"/>
              </w:rPr>
              <w:t>общее количество показателей, по которым хотя бы один раз на протяжении трех последних лет (отчетный год и два года, предшествующие отчетному - по состоянию на 31.12.2024) осуществлялся их мониторинг, ед.</w:t>
            </w:r>
          </w:p>
        </w:tc>
        <w:tc>
          <w:tcPr>
            <w:tcW w:w="1612" w:type="dxa"/>
          </w:tcPr>
          <w:p w14:paraId="78522A3E" w14:textId="77777777" w:rsidR="002A3B24" w:rsidRPr="00FD7B0B" w:rsidRDefault="002A3B24" w:rsidP="002A3B24">
            <w:pPr>
              <w:jc w:val="center"/>
              <w:rPr>
                <w:rFonts w:ascii="Times New Roman" w:hAnsi="Times New Roman"/>
                <w:sz w:val="18"/>
                <w:szCs w:val="18"/>
              </w:rPr>
            </w:pPr>
            <w:r w:rsidRPr="00FD7B0B">
              <w:rPr>
                <w:rFonts w:ascii="Times New Roman" w:hAnsi="Times New Roman"/>
                <w:sz w:val="18"/>
                <w:szCs w:val="18"/>
              </w:rPr>
              <w:t>уровень стабильности состава показателей за три года, %</w:t>
            </w:r>
          </w:p>
        </w:tc>
      </w:tr>
      <w:tr w:rsidR="002A3B24" w:rsidRPr="00FD7B0B" w14:paraId="71109DE6" w14:textId="77777777" w:rsidTr="002A3B24">
        <w:tc>
          <w:tcPr>
            <w:tcW w:w="4361" w:type="dxa"/>
            <w:vAlign w:val="center"/>
          </w:tcPr>
          <w:p w14:paraId="34F9D8FA" w14:textId="77777777" w:rsidR="002A3B24" w:rsidRPr="00FD7B0B" w:rsidRDefault="002A3B24" w:rsidP="002A3B24">
            <w:pPr>
              <w:jc w:val="center"/>
              <w:rPr>
                <w:rFonts w:ascii="Times New Roman" w:hAnsi="Times New Roman"/>
              </w:rPr>
            </w:pPr>
            <w:r w:rsidRPr="00FD7B0B">
              <w:rPr>
                <w:rFonts w:ascii="Times New Roman" w:hAnsi="Times New Roman"/>
              </w:rPr>
              <w:t>2</w:t>
            </w:r>
          </w:p>
        </w:tc>
        <w:tc>
          <w:tcPr>
            <w:tcW w:w="3827" w:type="dxa"/>
            <w:vAlign w:val="center"/>
          </w:tcPr>
          <w:p w14:paraId="7005B780" w14:textId="77777777" w:rsidR="002A3B24" w:rsidRPr="00FD7B0B" w:rsidRDefault="002A3B24" w:rsidP="002A3B24">
            <w:pPr>
              <w:jc w:val="center"/>
              <w:rPr>
                <w:rFonts w:ascii="Times New Roman" w:hAnsi="Times New Roman"/>
              </w:rPr>
            </w:pPr>
            <w:r w:rsidRPr="00FD7B0B">
              <w:rPr>
                <w:rFonts w:ascii="Times New Roman" w:hAnsi="Times New Roman"/>
              </w:rPr>
              <w:t>4</w:t>
            </w:r>
          </w:p>
        </w:tc>
        <w:tc>
          <w:tcPr>
            <w:tcW w:w="1612" w:type="dxa"/>
            <w:vAlign w:val="center"/>
          </w:tcPr>
          <w:p w14:paraId="265DA1B0" w14:textId="77777777" w:rsidR="002A3B24" w:rsidRPr="00FD7B0B" w:rsidRDefault="002A3B24" w:rsidP="002A3B24">
            <w:pPr>
              <w:jc w:val="center"/>
              <w:rPr>
                <w:rFonts w:ascii="Times New Roman" w:hAnsi="Times New Roman"/>
              </w:rPr>
            </w:pPr>
            <w:r w:rsidRPr="00FD7B0B">
              <w:rPr>
                <w:rFonts w:ascii="Times New Roman" w:hAnsi="Times New Roman"/>
              </w:rPr>
              <w:t>50,0</w:t>
            </w:r>
          </w:p>
        </w:tc>
      </w:tr>
    </w:tbl>
    <w:p w14:paraId="25866CE7" w14:textId="77777777" w:rsidR="002A3B24" w:rsidRPr="00FD7B0B" w:rsidRDefault="002A3B24" w:rsidP="002A3B24">
      <w:pPr>
        <w:pStyle w:val="ad"/>
        <w:ind w:firstLine="709"/>
        <w:jc w:val="both"/>
        <w:rPr>
          <w:rFonts w:ascii="Times New Roman" w:hAnsi="Times New Roman"/>
          <w:sz w:val="28"/>
          <w:szCs w:val="28"/>
        </w:rPr>
      </w:pP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534"/>
        <w:gridCol w:w="1635"/>
        <w:gridCol w:w="2631"/>
      </w:tblGrid>
      <w:tr w:rsidR="002A3B24" w:rsidRPr="00FD7B0B" w14:paraId="344B2AB4" w14:textId="77777777" w:rsidTr="002A3B24">
        <w:tc>
          <w:tcPr>
            <w:tcW w:w="5534" w:type="dxa"/>
            <w:vAlign w:val="center"/>
          </w:tcPr>
          <w:p w14:paraId="310CA692" w14:textId="77777777" w:rsidR="002A3B24" w:rsidRPr="00FD7B0B" w:rsidRDefault="002A3B24" w:rsidP="002A3B24">
            <w:pPr>
              <w:jc w:val="both"/>
              <w:rPr>
                <w:rFonts w:ascii="Times New Roman" w:hAnsi="Times New Roman"/>
              </w:rPr>
            </w:pPr>
            <w:r w:rsidRPr="00FD7B0B">
              <w:rPr>
                <w:rFonts w:ascii="Times New Roman" w:hAnsi="Times New Roman"/>
              </w:rPr>
              <w:t xml:space="preserve">уровень стабильности состава показателей за три года </w:t>
            </w:r>
          </w:p>
        </w:tc>
        <w:tc>
          <w:tcPr>
            <w:tcW w:w="1635" w:type="dxa"/>
            <w:vAlign w:val="center"/>
          </w:tcPr>
          <w:p w14:paraId="4D5F01E9" w14:textId="77777777" w:rsidR="002A3B24" w:rsidRPr="00FD7B0B" w:rsidRDefault="002A3B24" w:rsidP="002A3B24">
            <w:pPr>
              <w:jc w:val="center"/>
              <w:rPr>
                <w:rFonts w:ascii="Times New Roman" w:hAnsi="Times New Roman"/>
              </w:rPr>
            </w:pPr>
            <w:r w:rsidRPr="00FD7B0B">
              <w:rPr>
                <w:rFonts w:ascii="Times New Roman" w:hAnsi="Times New Roman"/>
              </w:rPr>
              <w:t>50,0</w:t>
            </w:r>
          </w:p>
        </w:tc>
        <w:tc>
          <w:tcPr>
            <w:tcW w:w="2631" w:type="dxa"/>
            <w:vAlign w:val="center"/>
          </w:tcPr>
          <w:p w14:paraId="50D91D70" w14:textId="77777777" w:rsidR="002A3B24" w:rsidRPr="00FD7B0B" w:rsidRDefault="002A3B24" w:rsidP="002A3B24">
            <w:pPr>
              <w:jc w:val="center"/>
              <w:rPr>
                <w:rFonts w:ascii="Times New Roman" w:hAnsi="Times New Roman"/>
              </w:rPr>
            </w:pPr>
            <w:r w:rsidRPr="00FD7B0B">
              <w:rPr>
                <w:rFonts w:ascii="Times New Roman" w:hAnsi="Times New Roman"/>
              </w:rPr>
              <w:t>низкий уровень</w:t>
            </w:r>
          </w:p>
        </w:tc>
      </w:tr>
    </w:tbl>
    <w:p w14:paraId="42B20D23" w14:textId="77777777" w:rsidR="002A3B24" w:rsidRPr="00FD7B0B" w:rsidRDefault="002A3B24" w:rsidP="002A3B24">
      <w:pPr>
        <w:pStyle w:val="ad"/>
        <w:ind w:firstLine="709"/>
        <w:jc w:val="both"/>
        <w:rPr>
          <w:rFonts w:ascii="Times New Roman" w:hAnsi="Times New Roman"/>
          <w:sz w:val="28"/>
          <w:szCs w:val="28"/>
        </w:rPr>
      </w:pPr>
    </w:p>
    <w:p w14:paraId="43AED813" w14:textId="77777777" w:rsidR="002A3B24" w:rsidRPr="00FD7B0B" w:rsidRDefault="002A3B24" w:rsidP="002A3B24">
      <w:pPr>
        <w:pStyle w:val="ad"/>
        <w:jc w:val="both"/>
        <w:rPr>
          <w:rFonts w:ascii="Times New Roman" w:hAnsi="Times New Roman"/>
          <w:sz w:val="24"/>
          <w:szCs w:val="24"/>
        </w:rPr>
      </w:pPr>
      <w:r w:rsidRPr="00FD7B0B">
        <w:rPr>
          <w:rFonts w:ascii="Times New Roman" w:hAnsi="Times New Roman"/>
          <w:sz w:val="24"/>
          <w:szCs w:val="24"/>
        </w:rPr>
        <w:t>4) Оценка динамики плановых (фактических) значений показателей госпрограммы</w:t>
      </w:r>
    </w:p>
    <w:tbl>
      <w:tblPr>
        <w:tblStyle w:val="410"/>
        <w:tblW w:w="9800"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6374"/>
        <w:gridCol w:w="1531"/>
        <w:gridCol w:w="1895"/>
      </w:tblGrid>
      <w:tr w:rsidR="00FD7B0B" w:rsidRPr="00FD7B0B" w14:paraId="41C6B6BB" w14:textId="77777777" w:rsidTr="00CB4BE6">
        <w:trPr>
          <w:tblHeader/>
        </w:trPr>
        <w:tc>
          <w:tcPr>
            <w:tcW w:w="6374" w:type="dxa"/>
            <w:vAlign w:val="center"/>
          </w:tcPr>
          <w:p w14:paraId="25A41B02" w14:textId="77777777" w:rsidR="002A3B24" w:rsidRPr="00FD7B0B" w:rsidRDefault="002A3B24" w:rsidP="002A3B2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Параметры оценки</w:t>
            </w:r>
          </w:p>
        </w:tc>
        <w:tc>
          <w:tcPr>
            <w:tcW w:w="1531" w:type="dxa"/>
            <w:vAlign w:val="center"/>
          </w:tcPr>
          <w:p w14:paraId="23ACE7DB" w14:textId="77777777" w:rsidR="002A3B24" w:rsidRPr="00FD7B0B" w:rsidRDefault="002A3B24" w:rsidP="002A3B2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Количество показателей в 2023-2025 гг.</w:t>
            </w:r>
          </w:p>
        </w:tc>
        <w:tc>
          <w:tcPr>
            <w:tcW w:w="1895" w:type="dxa"/>
            <w:vAlign w:val="center"/>
          </w:tcPr>
          <w:p w14:paraId="3B478504" w14:textId="77777777" w:rsidR="002A3B24" w:rsidRPr="00FD7B0B" w:rsidRDefault="002A3B24" w:rsidP="002A3B2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Доля в общем объеме показателей</w:t>
            </w:r>
          </w:p>
        </w:tc>
      </w:tr>
      <w:tr w:rsidR="00FD7B0B" w:rsidRPr="00FD7B0B" w14:paraId="53BC7724" w14:textId="77777777" w:rsidTr="002A3B24">
        <w:tc>
          <w:tcPr>
            <w:tcW w:w="6374" w:type="dxa"/>
            <w:vAlign w:val="center"/>
          </w:tcPr>
          <w:p w14:paraId="7F5CFA53" w14:textId="77777777" w:rsidR="002A3B24" w:rsidRPr="00FD7B0B" w:rsidRDefault="002A3B24" w:rsidP="002A3B24">
            <w:pPr>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Общее количество показателей (индикаторов) на уровне госпрограммы</w:t>
            </w:r>
          </w:p>
        </w:tc>
        <w:tc>
          <w:tcPr>
            <w:tcW w:w="1531" w:type="dxa"/>
            <w:vAlign w:val="center"/>
          </w:tcPr>
          <w:p w14:paraId="2CFC2C8D" w14:textId="77777777" w:rsidR="002A3B24" w:rsidRPr="00FD7B0B" w:rsidRDefault="002A3B24" w:rsidP="002A3B2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w:t>
            </w:r>
          </w:p>
        </w:tc>
        <w:tc>
          <w:tcPr>
            <w:tcW w:w="1895" w:type="dxa"/>
            <w:vAlign w:val="center"/>
          </w:tcPr>
          <w:p w14:paraId="6145F45D" w14:textId="77777777" w:rsidR="002A3B24" w:rsidRPr="00FD7B0B" w:rsidRDefault="002A3B24" w:rsidP="002A3B24">
            <w:pPr>
              <w:jc w:val="center"/>
              <w:rPr>
                <w:rFonts w:ascii="Times New Roman" w:eastAsia="Times New Roman" w:hAnsi="Times New Roman"/>
                <w:sz w:val="20"/>
                <w:szCs w:val="20"/>
                <w:lang w:eastAsia="ru-RU"/>
              </w:rPr>
            </w:pPr>
          </w:p>
        </w:tc>
      </w:tr>
      <w:tr w:rsidR="00FD7B0B" w:rsidRPr="00FD7B0B" w14:paraId="1B101493" w14:textId="77777777" w:rsidTr="002A3B24">
        <w:tc>
          <w:tcPr>
            <w:tcW w:w="6374" w:type="dxa"/>
            <w:vAlign w:val="center"/>
          </w:tcPr>
          <w:p w14:paraId="00337460" w14:textId="77777777" w:rsidR="002A3B24" w:rsidRPr="00FD7B0B" w:rsidRDefault="002A3B24" w:rsidP="002A3B24">
            <w:pPr>
              <w:jc w:val="both"/>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из них</w:t>
            </w:r>
          </w:p>
        </w:tc>
        <w:tc>
          <w:tcPr>
            <w:tcW w:w="1531" w:type="dxa"/>
            <w:vAlign w:val="center"/>
          </w:tcPr>
          <w:p w14:paraId="5104479D" w14:textId="77777777" w:rsidR="002A3B24" w:rsidRPr="00FD7B0B" w:rsidRDefault="002A3B24" w:rsidP="002A3B24">
            <w:pPr>
              <w:jc w:val="center"/>
              <w:rPr>
                <w:rFonts w:ascii="Times New Roman" w:eastAsia="Times New Roman" w:hAnsi="Times New Roman"/>
                <w:sz w:val="20"/>
                <w:szCs w:val="20"/>
                <w:lang w:eastAsia="ru-RU"/>
              </w:rPr>
            </w:pPr>
          </w:p>
        </w:tc>
        <w:tc>
          <w:tcPr>
            <w:tcW w:w="1895" w:type="dxa"/>
            <w:vAlign w:val="center"/>
          </w:tcPr>
          <w:p w14:paraId="2C3C297B" w14:textId="77777777" w:rsidR="002A3B24" w:rsidRPr="00FD7B0B" w:rsidRDefault="002A3B24" w:rsidP="002A3B24">
            <w:pPr>
              <w:jc w:val="center"/>
              <w:rPr>
                <w:rFonts w:ascii="Times New Roman" w:eastAsia="Times New Roman" w:hAnsi="Times New Roman"/>
                <w:sz w:val="20"/>
                <w:szCs w:val="20"/>
                <w:lang w:eastAsia="ru-RU"/>
              </w:rPr>
            </w:pPr>
          </w:p>
        </w:tc>
      </w:tr>
      <w:tr w:rsidR="00FD7B0B" w:rsidRPr="00FD7B0B" w14:paraId="1F623D39" w14:textId="77777777" w:rsidTr="002A3B24">
        <w:tc>
          <w:tcPr>
            <w:tcW w:w="6374" w:type="dxa"/>
            <w:vAlign w:val="center"/>
          </w:tcPr>
          <w:p w14:paraId="52F20A6B" w14:textId="77777777" w:rsidR="002A3B24" w:rsidRPr="00FD7B0B" w:rsidRDefault="002A3B24" w:rsidP="002A3B24">
            <w:pPr>
              <w:jc w:val="both"/>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с положительной динамикой</w:t>
            </w:r>
          </w:p>
        </w:tc>
        <w:tc>
          <w:tcPr>
            <w:tcW w:w="1531" w:type="dxa"/>
            <w:vAlign w:val="center"/>
          </w:tcPr>
          <w:p w14:paraId="2A867B7F" w14:textId="77777777" w:rsidR="002A3B24" w:rsidRPr="00FD7B0B" w:rsidRDefault="002A3B24" w:rsidP="002A3B24">
            <w:pPr>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1895" w:type="dxa"/>
            <w:vAlign w:val="center"/>
          </w:tcPr>
          <w:p w14:paraId="043C7BB3" w14:textId="77777777" w:rsidR="002A3B24" w:rsidRPr="00FD7B0B" w:rsidRDefault="002A3B24" w:rsidP="002A3B24">
            <w:pPr>
              <w:jc w:val="center"/>
              <w:rPr>
                <w:rFonts w:ascii="Times New Roman" w:eastAsia="Times New Roman" w:hAnsi="Times New Roman"/>
                <w:sz w:val="16"/>
                <w:szCs w:val="16"/>
                <w:lang w:eastAsia="ru-RU"/>
              </w:rPr>
            </w:pPr>
          </w:p>
        </w:tc>
      </w:tr>
      <w:tr w:rsidR="00FD7B0B" w:rsidRPr="00FD7B0B" w14:paraId="765F8B05" w14:textId="77777777" w:rsidTr="002A3B24">
        <w:tc>
          <w:tcPr>
            <w:tcW w:w="6374" w:type="dxa"/>
            <w:vAlign w:val="center"/>
          </w:tcPr>
          <w:p w14:paraId="16D37A38" w14:textId="77777777" w:rsidR="002A3B24" w:rsidRPr="00FD7B0B" w:rsidRDefault="002A3B24" w:rsidP="002A3B24">
            <w:pPr>
              <w:jc w:val="both"/>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lastRenderedPageBreak/>
              <w:t>без существенной динамики</w:t>
            </w:r>
          </w:p>
        </w:tc>
        <w:tc>
          <w:tcPr>
            <w:tcW w:w="1531" w:type="dxa"/>
            <w:vAlign w:val="center"/>
          </w:tcPr>
          <w:p w14:paraId="4A0466E6" w14:textId="77777777" w:rsidR="002A3B24" w:rsidRPr="00FD7B0B" w:rsidRDefault="002A3B24" w:rsidP="002A3B24">
            <w:pPr>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895" w:type="dxa"/>
            <w:vAlign w:val="center"/>
          </w:tcPr>
          <w:p w14:paraId="25EC5402" w14:textId="77777777" w:rsidR="002A3B24" w:rsidRPr="00FD7B0B" w:rsidRDefault="002A3B24" w:rsidP="002A3B24">
            <w:pPr>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50</w:t>
            </w:r>
          </w:p>
        </w:tc>
      </w:tr>
      <w:tr w:rsidR="002A3B24" w:rsidRPr="00FD7B0B" w14:paraId="7C73219E" w14:textId="77777777" w:rsidTr="002A3B24">
        <w:tc>
          <w:tcPr>
            <w:tcW w:w="6374" w:type="dxa"/>
            <w:vAlign w:val="center"/>
          </w:tcPr>
          <w:p w14:paraId="4A6524CB" w14:textId="77777777" w:rsidR="002A3B24" w:rsidRPr="00FD7B0B" w:rsidRDefault="002A3B24" w:rsidP="002A3B24">
            <w:pPr>
              <w:jc w:val="both"/>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с отрицательной динамикой</w:t>
            </w:r>
          </w:p>
        </w:tc>
        <w:tc>
          <w:tcPr>
            <w:tcW w:w="1531" w:type="dxa"/>
            <w:vAlign w:val="center"/>
          </w:tcPr>
          <w:p w14:paraId="254161D4" w14:textId="77777777" w:rsidR="002A3B24" w:rsidRPr="00FD7B0B" w:rsidRDefault="002A3B24" w:rsidP="002A3B24">
            <w:pPr>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895" w:type="dxa"/>
            <w:vAlign w:val="center"/>
          </w:tcPr>
          <w:p w14:paraId="5852D2F0" w14:textId="77777777" w:rsidR="002A3B24" w:rsidRPr="00FD7B0B" w:rsidRDefault="002A3B24" w:rsidP="002A3B24">
            <w:pPr>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50</w:t>
            </w:r>
          </w:p>
        </w:tc>
      </w:tr>
    </w:tbl>
    <w:p w14:paraId="67DDA1D5" w14:textId="77777777" w:rsidR="002A3B24" w:rsidRPr="00FD7B0B" w:rsidRDefault="002A3B24" w:rsidP="002A3B24">
      <w:pPr>
        <w:pStyle w:val="ad"/>
        <w:jc w:val="both"/>
        <w:rPr>
          <w:rFonts w:ascii="Times New Roman" w:hAnsi="Times New Roman"/>
          <w:sz w:val="28"/>
          <w:szCs w:val="28"/>
        </w:rPr>
      </w:pP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842"/>
        <w:gridCol w:w="914"/>
        <w:gridCol w:w="2044"/>
      </w:tblGrid>
      <w:tr w:rsidR="002A3B24" w:rsidRPr="00FD7B0B" w14:paraId="2B46BEBC" w14:textId="77777777" w:rsidTr="002A3B24">
        <w:tc>
          <w:tcPr>
            <w:tcW w:w="6842" w:type="dxa"/>
          </w:tcPr>
          <w:p w14:paraId="3C9656E6" w14:textId="77777777" w:rsidR="002A3B24" w:rsidRPr="00FD7B0B" w:rsidRDefault="002A3B24" w:rsidP="002A3B24">
            <w:pPr>
              <w:rPr>
                <w:rFonts w:ascii="Times New Roman" w:hAnsi="Times New Roman"/>
              </w:rPr>
            </w:pPr>
            <w:r w:rsidRPr="00FD7B0B">
              <w:rPr>
                <w:rFonts w:ascii="Times New Roman" w:hAnsi="Times New Roman"/>
              </w:rPr>
              <w:t>доля показателей в группах с положительной динамикой и без существенной динамики значений показателей за 2024 год</w:t>
            </w:r>
          </w:p>
        </w:tc>
        <w:tc>
          <w:tcPr>
            <w:tcW w:w="914" w:type="dxa"/>
            <w:vAlign w:val="center"/>
          </w:tcPr>
          <w:p w14:paraId="6E908C52" w14:textId="77777777" w:rsidR="002A3B24" w:rsidRPr="00FD7B0B" w:rsidRDefault="002A3B24" w:rsidP="002A3B24">
            <w:pPr>
              <w:jc w:val="center"/>
              <w:rPr>
                <w:rFonts w:ascii="Times New Roman" w:hAnsi="Times New Roman"/>
              </w:rPr>
            </w:pPr>
            <w:r w:rsidRPr="00FD7B0B">
              <w:rPr>
                <w:rFonts w:ascii="Times New Roman" w:hAnsi="Times New Roman"/>
              </w:rPr>
              <w:t>50</w:t>
            </w:r>
          </w:p>
        </w:tc>
        <w:tc>
          <w:tcPr>
            <w:tcW w:w="2044" w:type="dxa"/>
            <w:vAlign w:val="center"/>
          </w:tcPr>
          <w:p w14:paraId="3A640CAB" w14:textId="77777777" w:rsidR="002A3B24" w:rsidRPr="00FD7B0B" w:rsidRDefault="002A3B24" w:rsidP="002A3B24">
            <w:pPr>
              <w:jc w:val="center"/>
              <w:rPr>
                <w:rFonts w:ascii="Times New Roman" w:hAnsi="Times New Roman"/>
              </w:rPr>
            </w:pPr>
            <w:r w:rsidRPr="00FD7B0B">
              <w:rPr>
                <w:rFonts w:ascii="Times New Roman" w:hAnsi="Times New Roman"/>
              </w:rPr>
              <w:t>низкий уровень</w:t>
            </w:r>
          </w:p>
        </w:tc>
      </w:tr>
    </w:tbl>
    <w:p w14:paraId="540FF821" w14:textId="77777777" w:rsidR="002A3B24" w:rsidRPr="00FD7B0B" w:rsidRDefault="002A3B24" w:rsidP="002A3B24">
      <w:pPr>
        <w:pStyle w:val="ad"/>
        <w:ind w:firstLine="709"/>
        <w:jc w:val="both"/>
        <w:rPr>
          <w:rFonts w:ascii="Times New Roman" w:hAnsi="Times New Roman"/>
          <w:sz w:val="28"/>
          <w:szCs w:val="28"/>
        </w:rPr>
      </w:pPr>
    </w:p>
    <w:p w14:paraId="03AEEEEC" w14:textId="77777777" w:rsidR="002A3B24" w:rsidRPr="00FD7B0B" w:rsidRDefault="002A3B24" w:rsidP="002970CA">
      <w:pPr>
        <w:pStyle w:val="ad"/>
        <w:rPr>
          <w:rFonts w:ascii="Times New Roman" w:hAnsi="Times New Roman"/>
          <w:sz w:val="24"/>
          <w:szCs w:val="24"/>
        </w:rPr>
      </w:pPr>
      <w:r w:rsidRPr="00FD7B0B">
        <w:rPr>
          <w:rFonts w:ascii="Times New Roman" w:hAnsi="Times New Roman"/>
          <w:sz w:val="24"/>
          <w:szCs w:val="24"/>
        </w:rPr>
        <w:t>5) Оценка количества показателей госпрограммы, по которым представлены фактические значения за отчетный год</w:t>
      </w: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936"/>
        <w:gridCol w:w="2268"/>
        <w:gridCol w:w="3596"/>
      </w:tblGrid>
      <w:tr w:rsidR="00FD7B0B" w:rsidRPr="00FD7B0B" w14:paraId="19431D64" w14:textId="77777777" w:rsidTr="002A3B24">
        <w:trPr>
          <w:trHeight w:val="627"/>
        </w:trPr>
        <w:tc>
          <w:tcPr>
            <w:tcW w:w="3936" w:type="dxa"/>
            <w:vAlign w:val="center"/>
          </w:tcPr>
          <w:p w14:paraId="69107A8C" w14:textId="77777777" w:rsidR="002A3B24" w:rsidRPr="00FD7B0B" w:rsidRDefault="002A3B24" w:rsidP="002A3B24">
            <w:pPr>
              <w:jc w:val="center"/>
              <w:rPr>
                <w:rFonts w:ascii="Times New Roman" w:hAnsi="Times New Roman"/>
              </w:rPr>
            </w:pPr>
            <w:r w:rsidRPr="00FD7B0B">
              <w:rPr>
                <w:rFonts w:ascii="Times New Roman" w:hAnsi="Times New Roman"/>
              </w:rPr>
              <w:t>количество показателей, по которым представлены фактические значения за 2024 год, ед.</w:t>
            </w:r>
          </w:p>
        </w:tc>
        <w:tc>
          <w:tcPr>
            <w:tcW w:w="2268" w:type="dxa"/>
            <w:vAlign w:val="center"/>
          </w:tcPr>
          <w:p w14:paraId="383A2A25" w14:textId="77777777" w:rsidR="002A3B24" w:rsidRPr="00FD7B0B" w:rsidRDefault="002A3B24" w:rsidP="002A3B24">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ед.</w:t>
            </w:r>
          </w:p>
        </w:tc>
        <w:tc>
          <w:tcPr>
            <w:tcW w:w="3596" w:type="dxa"/>
            <w:vAlign w:val="center"/>
          </w:tcPr>
          <w:p w14:paraId="2A6FACC0" w14:textId="77777777" w:rsidR="002A3B24" w:rsidRPr="00FD7B0B" w:rsidRDefault="002A3B24" w:rsidP="002A3B24">
            <w:pPr>
              <w:jc w:val="center"/>
              <w:rPr>
                <w:rFonts w:ascii="Times New Roman" w:hAnsi="Times New Roman"/>
              </w:rPr>
            </w:pPr>
            <w:r w:rsidRPr="00FD7B0B">
              <w:rPr>
                <w:rFonts w:ascii="Times New Roman" w:hAnsi="Times New Roman"/>
              </w:rPr>
              <w:t>доля показателей, по которым представлены фактические значения за 2024 год, %</w:t>
            </w:r>
          </w:p>
        </w:tc>
      </w:tr>
      <w:tr w:rsidR="002A3B24" w:rsidRPr="00FD7B0B" w14:paraId="45ABC6D5" w14:textId="77777777" w:rsidTr="002A3B24">
        <w:tc>
          <w:tcPr>
            <w:tcW w:w="3936" w:type="dxa"/>
            <w:vAlign w:val="center"/>
          </w:tcPr>
          <w:p w14:paraId="3ECB3E6D" w14:textId="77777777" w:rsidR="002A3B24" w:rsidRPr="00FD7B0B" w:rsidRDefault="002A3B24" w:rsidP="002A3B24">
            <w:pPr>
              <w:jc w:val="center"/>
              <w:rPr>
                <w:rFonts w:ascii="Times New Roman" w:hAnsi="Times New Roman"/>
              </w:rPr>
            </w:pPr>
            <w:r w:rsidRPr="00FD7B0B">
              <w:rPr>
                <w:rFonts w:ascii="Times New Roman" w:hAnsi="Times New Roman"/>
              </w:rPr>
              <w:t>12</w:t>
            </w:r>
          </w:p>
        </w:tc>
        <w:tc>
          <w:tcPr>
            <w:tcW w:w="2268" w:type="dxa"/>
            <w:vAlign w:val="center"/>
          </w:tcPr>
          <w:p w14:paraId="16269ED0" w14:textId="77777777" w:rsidR="002A3B24" w:rsidRPr="00FD7B0B" w:rsidRDefault="002A3B24" w:rsidP="002A3B24">
            <w:pPr>
              <w:jc w:val="center"/>
              <w:rPr>
                <w:rFonts w:ascii="Times New Roman" w:hAnsi="Times New Roman"/>
              </w:rPr>
            </w:pPr>
            <w:r w:rsidRPr="00FD7B0B">
              <w:rPr>
                <w:rFonts w:ascii="Times New Roman" w:hAnsi="Times New Roman"/>
              </w:rPr>
              <w:t>14</w:t>
            </w:r>
          </w:p>
        </w:tc>
        <w:tc>
          <w:tcPr>
            <w:tcW w:w="3596" w:type="dxa"/>
            <w:vAlign w:val="center"/>
          </w:tcPr>
          <w:p w14:paraId="62A7426A" w14:textId="77777777" w:rsidR="002A3B24" w:rsidRPr="00FD7B0B" w:rsidRDefault="002A3B24" w:rsidP="002A3B24">
            <w:pPr>
              <w:jc w:val="center"/>
              <w:rPr>
                <w:rFonts w:ascii="Times New Roman" w:hAnsi="Times New Roman"/>
              </w:rPr>
            </w:pPr>
            <w:r w:rsidRPr="00FD7B0B">
              <w:rPr>
                <w:rFonts w:ascii="Times New Roman" w:hAnsi="Times New Roman"/>
              </w:rPr>
              <w:t>85,7</w:t>
            </w:r>
          </w:p>
        </w:tc>
      </w:tr>
    </w:tbl>
    <w:p w14:paraId="69F7A98D" w14:textId="77777777" w:rsidR="002A3B24" w:rsidRPr="00FD7B0B" w:rsidRDefault="002A3B24" w:rsidP="002A3B24">
      <w:pPr>
        <w:pStyle w:val="ad"/>
        <w:jc w:val="both"/>
        <w:rPr>
          <w:rFonts w:ascii="Times New Roman" w:hAnsi="Times New Roman"/>
          <w:sz w:val="28"/>
          <w:szCs w:val="28"/>
        </w:rPr>
      </w:pP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54"/>
        <w:gridCol w:w="702"/>
        <w:gridCol w:w="2044"/>
      </w:tblGrid>
      <w:tr w:rsidR="002A3B24" w:rsidRPr="00FD7B0B" w14:paraId="389CA0D1" w14:textId="77777777" w:rsidTr="002A3B24">
        <w:tc>
          <w:tcPr>
            <w:tcW w:w="7054" w:type="dxa"/>
            <w:vAlign w:val="center"/>
          </w:tcPr>
          <w:p w14:paraId="5D306DB2" w14:textId="77777777" w:rsidR="002A3B24" w:rsidRPr="00FD7B0B" w:rsidRDefault="002A3B24" w:rsidP="002A3B24">
            <w:pPr>
              <w:rPr>
                <w:rFonts w:ascii="Times New Roman" w:hAnsi="Times New Roman"/>
              </w:rPr>
            </w:pPr>
            <w:r w:rsidRPr="00FD7B0B">
              <w:rPr>
                <w:rFonts w:ascii="Times New Roman" w:hAnsi="Times New Roman"/>
              </w:rPr>
              <w:t>доля показателей, по которым представлены фактические значения за 2024 год</w:t>
            </w:r>
          </w:p>
        </w:tc>
        <w:tc>
          <w:tcPr>
            <w:tcW w:w="702" w:type="dxa"/>
            <w:vAlign w:val="center"/>
          </w:tcPr>
          <w:p w14:paraId="25ED3FF3" w14:textId="77777777" w:rsidR="002A3B24" w:rsidRPr="00FD7B0B" w:rsidRDefault="002A3B24" w:rsidP="002A3B24">
            <w:pPr>
              <w:jc w:val="center"/>
              <w:rPr>
                <w:rFonts w:ascii="Times New Roman" w:hAnsi="Times New Roman"/>
              </w:rPr>
            </w:pPr>
            <w:r w:rsidRPr="00FD7B0B">
              <w:rPr>
                <w:rFonts w:ascii="Times New Roman" w:hAnsi="Times New Roman"/>
              </w:rPr>
              <w:t>85,7</w:t>
            </w:r>
          </w:p>
        </w:tc>
        <w:tc>
          <w:tcPr>
            <w:tcW w:w="2044" w:type="dxa"/>
            <w:vAlign w:val="center"/>
          </w:tcPr>
          <w:p w14:paraId="19BB118A" w14:textId="77777777" w:rsidR="002A3B24" w:rsidRPr="00FD7B0B" w:rsidRDefault="002A3B24" w:rsidP="002A3B24">
            <w:pPr>
              <w:jc w:val="center"/>
              <w:rPr>
                <w:rFonts w:ascii="Times New Roman" w:hAnsi="Times New Roman"/>
              </w:rPr>
            </w:pPr>
            <w:r w:rsidRPr="00FD7B0B">
              <w:rPr>
                <w:rFonts w:ascii="Times New Roman" w:hAnsi="Times New Roman"/>
              </w:rPr>
              <w:t>низкий уровень</w:t>
            </w:r>
          </w:p>
        </w:tc>
      </w:tr>
    </w:tbl>
    <w:p w14:paraId="6BD248EA" w14:textId="77777777" w:rsidR="002A3B24" w:rsidRPr="00FD7B0B" w:rsidRDefault="002A3B24" w:rsidP="002A3B24">
      <w:pPr>
        <w:pStyle w:val="ad"/>
        <w:jc w:val="both"/>
        <w:rPr>
          <w:rFonts w:ascii="Times New Roman" w:hAnsi="Times New Roman"/>
          <w:sz w:val="28"/>
          <w:szCs w:val="28"/>
        </w:rPr>
      </w:pPr>
    </w:p>
    <w:p w14:paraId="7D4434C9" w14:textId="77777777" w:rsidR="002A3B24" w:rsidRPr="00FD7B0B" w:rsidRDefault="002A3B24" w:rsidP="002970CA">
      <w:pPr>
        <w:pStyle w:val="ad"/>
        <w:rPr>
          <w:rFonts w:ascii="Times New Roman" w:hAnsi="Times New Roman"/>
          <w:sz w:val="24"/>
          <w:szCs w:val="24"/>
        </w:rPr>
      </w:pPr>
      <w:r w:rsidRPr="00FD7B0B">
        <w:rPr>
          <w:rFonts w:ascii="Times New Roman" w:hAnsi="Times New Roman"/>
          <w:sz w:val="24"/>
          <w:szCs w:val="24"/>
        </w:rPr>
        <w:t>6) Оценка количества показателей госпрограммы, по которым формируется официальная статистическая информация</w:t>
      </w: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936"/>
        <w:gridCol w:w="2268"/>
        <w:gridCol w:w="3596"/>
      </w:tblGrid>
      <w:tr w:rsidR="00FD7B0B" w:rsidRPr="00FD7B0B" w14:paraId="110084E8" w14:textId="77777777" w:rsidTr="002A3B24">
        <w:trPr>
          <w:trHeight w:val="627"/>
        </w:trPr>
        <w:tc>
          <w:tcPr>
            <w:tcW w:w="3936" w:type="dxa"/>
            <w:vAlign w:val="center"/>
          </w:tcPr>
          <w:p w14:paraId="3CAA05EB" w14:textId="77777777" w:rsidR="002A3B24" w:rsidRPr="00FD7B0B" w:rsidRDefault="002A3B24" w:rsidP="002A3B24">
            <w:pPr>
              <w:jc w:val="center"/>
              <w:rPr>
                <w:rFonts w:ascii="Times New Roman" w:hAnsi="Times New Roman"/>
              </w:rPr>
            </w:pPr>
            <w:r w:rsidRPr="00FD7B0B">
              <w:rPr>
                <w:rFonts w:ascii="Times New Roman" w:hAnsi="Times New Roman"/>
              </w:rPr>
              <w:t>количество показателей, по которым формируется официальная статистическая информация, ед.</w:t>
            </w:r>
          </w:p>
        </w:tc>
        <w:tc>
          <w:tcPr>
            <w:tcW w:w="2268" w:type="dxa"/>
            <w:vAlign w:val="center"/>
          </w:tcPr>
          <w:p w14:paraId="61B1EECC" w14:textId="77777777" w:rsidR="002A3B24" w:rsidRPr="00FD7B0B" w:rsidRDefault="002A3B24" w:rsidP="002A3B24">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ед.</w:t>
            </w:r>
          </w:p>
        </w:tc>
        <w:tc>
          <w:tcPr>
            <w:tcW w:w="3596" w:type="dxa"/>
            <w:vAlign w:val="center"/>
          </w:tcPr>
          <w:p w14:paraId="0222ED91" w14:textId="77777777" w:rsidR="002A3B24" w:rsidRPr="00FD7B0B" w:rsidRDefault="002A3B24" w:rsidP="002A3B24">
            <w:pPr>
              <w:jc w:val="center"/>
              <w:rPr>
                <w:rFonts w:ascii="Times New Roman" w:hAnsi="Times New Roman"/>
              </w:rPr>
            </w:pPr>
            <w:r w:rsidRPr="00FD7B0B">
              <w:rPr>
                <w:rFonts w:ascii="Times New Roman" w:hAnsi="Times New Roman"/>
              </w:rPr>
              <w:t>доля показателей, по которым формируется официальная статистическая информация, %</w:t>
            </w:r>
          </w:p>
        </w:tc>
      </w:tr>
      <w:tr w:rsidR="002A3B24" w:rsidRPr="00FD7B0B" w14:paraId="501B15E7" w14:textId="77777777" w:rsidTr="002A3B24">
        <w:tc>
          <w:tcPr>
            <w:tcW w:w="3936" w:type="dxa"/>
            <w:vAlign w:val="center"/>
          </w:tcPr>
          <w:p w14:paraId="5BF778B8" w14:textId="77777777" w:rsidR="002A3B24" w:rsidRPr="00FD7B0B" w:rsidRDefault="002A3B24" w:rsidP="002A3B24">
            <w:pPr>
              <w:jc w:val="center"/>
              <w:rPr>
                <w:rFonts w:ascii="Times New Roman" w:hAnsi="Times New Roman"/>
              </w:rPr>
            </w:pPr>
            <w:r w:rsidRPr="00FD7B0B">
              <w:rPr>
                <w:rFonts w:ascii="Times New Roman" w:hAnsi="Times New Roman"/>
              </w:rPr>
              <w:t>2</w:t>
            </w:r>
          </w:p>
        </w:tc>
        <w:tc>
          <w:tcPr>
            <w:tcW w:w="2268" w:type="dxa"/>
            <w:vAlign w:val="center"/>
          </w:tcPr>
          <w:p w14:paraId="3FDF23C7" w14:textId="77777777" w:rsidR="002A3B24" w:rsidRPr="00FD7B0B" w:rsidRDefault="002A3B24" w:rsidP="002A3B24">
            <w:pPr>
              <w:jc w:val="center"/>
              <w:rPr>
                <w:rFonts w:ascii="Times New Roman" w:hAnsi="Times New Roman"/>
              </w:rPr>
            </w:pPr>
            <w:r w:rsidRPr="00FD7B0B">
              <w:rPr>
                <w:rFonts w:ascii="Times New Roman" w:hAnsi="Times New Roman"/>
              </w:rPr>
              <w:t>2</w:t>
            </w:r>
          </w:p>
        </w:tc>
        <w:tc>
          <w:tcPr>
            <w:tcW w:w="3596" w:type="dxa"/>
            <w:vAlign w:val="center"/>
          </w:tcPr>
          <w:p w14:paraId="6E6C6993" w14:textId="77777777" w:rsidR="002A3B24" w:rsidRPr="00FD7B0B" w:rsidRDefault="002A3B24" w:rsidP="002A3B24">
            <w:pPr>
              <w:jc w:val="center"/>
              <w:rPr>
                <w:rFonts w:ascii="Times New Roman" w:hAnsi="Times New Roman"/>
              </w:rPr>
            </w:pPr>
            <w:r w:rsidRPr="00FD7B0B">
              <w:rPr>
                <w:rFonts w:ascii="Times New Roman" w:hAnsi="Times New Roman"/>
              </w:rPr>
              <w:t>100</w:t>
            </w:r>
          </w:p>
        </w:tc>
      </w:tr>
    </w:tbl>
    <w:p w14:paraId="3A240F2B" w14:textId="77777777" w:rsidR="002A3B24" w:rsidRPr="00FD7B0B" w:rsidRDefault="002A3B24" w:rsidP="002A3B24">
      <w:pPr>
        <w:pStyle w:val="ad"/>
        <w:jc w:val="both"/>
        <w:rPr>
          <w:rFonts w:ascii="Times New Roman" w:hAnsi="Times New Roman"/>
          <w:sz w:val="28"/>
          <w:szCs w:val="28"/>
        </w:rPr>
      </w:pPr>
    </w:p>
    <w:tbl>
      <w:tblPr>
        <w:tblStyle w:val="a7"/>
        <w:tblW w:w="98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54"/>
        <w:gridCol w:w="702"/>
        <w:gridCol w:w="2044"/>
      </w:tblGrid>
      <w:tr w:rsidR="002A3B24" w:rsidRPr="00FD7B0B" w14:paraId="7696E3D9" w14:textId="77777777" w:rsidTr="002A3B24">
        <w:tc>
          <w:tcPr>
            <w:tcW w:w="7054" w:type="dxa"/>
          </w:tcPr>
          <w:p w14:paraId="1466ACB5" w14:textId="77777777" w:rsidR="002A3B24" w:rsidRPr="00FD7B0B" w:rsidRDefault="002A3B24" w:rsidP="002A3B24">
            <w:pPr>
              <w:rPr>
                <w:rFonts w:ascii="Times New Roman" w:hAnsi="Times New Roman"/>
              </w:rPr>
            </w:pPr>
            <w:r w:rsidRPr="00FD7B0B">
              <w:rPr>
                <w:rFonts w:ascii="Times New Roman" w:hAnsi="Times New Roman"/>
              </w:rPr>
              <w:t>доля показателей, по которым формируется официальная статистическая информация</w:t>
            </w:r>
          </w:p>
        </w:tc>
        <w:tc>
          <w:tcPr>
            <w:tcW w:w="702" w:type="dxa"/>
            <w:vAlign w:val="center"/>
          </w:tcPr>
          <w:p w14:paraId="41FC4531" w14:textId="77777777" w:rsidR="002A3B24" w:rsidRPr="00FD7B0B" w:rsidRDefault="002A3B24" w:rsidP="002A3B24">
            <w:pPr>
              <w:jc w:val="center"/>
              <w:rPr>
                <w:rFonts w:ascii="Times New Roman" w:hAnsi="Times New Roman"/>
              </w:rPr>
            </w:pPr>
            <w:r w:rsidRPr="00FD7B0B">
              <w:rPr>
                <w:rFonts w:ascii="Times New Roman" w:hAnsi="Times New Roman"/>
              </w:rPr>
              <w:t>100</w:t>
            </w:r>
          </w:p>
        </w:tc>
        <w:tc>
          <w:tcPr>
            <w:tcW w:w="2044" w:type="dxa"/>
            <w:vAlign w:val="center"/>
          </w:tcPr>
          <w:p w14:paraId="05F72D70" w14:textId="77777777" w:rsidR="002A3B24" w:rsidRPr="00FD7B0B" w:rsidRDefault="002A3B24" w:rsidP="002A3B24">
            <w:pPr>
              <w:jc w:val="center"/>
              <w:rPr>
                <w:rFonts w:ascii="Times New Roman" w:hAnsi="Times New Roman"/>
              </w:rPr>
            </w:pPr>
            <w:r w:rsidRPr="00FD7B0B">
              <w:rPr>
                <w:rFonts w:ascii="Times New Roman" w:hAnsi="Times New Roman"/>
              </w:rPr>
              <w:t>высокий уровень</w:t>
            </w:r>
          </w:p>
        </w:tc>
      </w:tr>
    </w:tbl>
    <w:p w14:paraId="15AFE496" w14:textId="77777777" w:rsidR="002A3B24" w:rsidRPr="00FD7B0B" w:rsidRDefault="002A3B24" w:rsidP="002A3B24">
      <w:pPr>
        <w:pStyle w:val="ad"/>
        <w:jc w:val="both"/>
        <w:rPr>
          <w:rFonts w:ascii="Times New Roman" w:hAnsi="Times New Roman"/>
          <w:sz w:val="28"/>
          <w:szCs w:val="28"/>
        </w:rPr>
      </w:pPr>
    </w:p>
    <w:p w14:paraId="17E0FF93" w14:textId="77777777" w:rsidR="002A3B24" w:rsidRPr="00FD7B0B" w:rsidRDefault="002A3B24" w:rsidP="002A3B24">
      <w:pPr>
        <w:spacing w:after="0" w:line="240" w:lineRule="auto"/>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Итоговая оценка реализации ГП № 06</w:t>
      </w:r>
    </w:p>
    <w:p w14:paraId="2DB95CE8" w14:textId="77777777" w:rsidR="002A3B24" w:rsidRPr="00FD7B0B" w:rsidRDefault="002A3B24" w:rsidP="002A3B24">
      <w:pPr>
        <w:spacing w:after="0" w:line="240" w:lineRule="auto"/>
        <w:ind w:firstLine="142"/>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Оценка исполнения государственной программы по ресурсам и результатам</w:t>
      </w:r>
    </w:p>
    <w:tbl>
      <w:tblPr>
        <w:tblW w:w="9745" w:type="dxa"/>
        <w:tblInd w:w="108" w:type="dxa"/>
        <w:tblLayout w:type="fixed"/>
        <w:tblLook w:val="04A0" w:firstRow="1" w:lastRow="0" w:firstColumn="1" w:lastColumn="0" w:noHBand="0" w:noVBand="1"/>
      </w:tblPr>
      <w:tblGrid>
        <w:gridCol w:w="851"/>
        <w:gridCol w:w="965"/>
        <w:gridCol w:w="1038"/>
        <w:gridCol w:w="1083"/>
        <w:gridCol w:w="987"/>
        <w:gridCol w:w="1042"/>
        <w:gridCol w:w="838"/>
        <w:gridCol w:w="1004"/>
        <w:gridCol w:w="1093"/>
        <w:gridCol w:w="844"/>
      </w:tblGrid>
      <w:tr w:rsidR="00FD7B0B" w:rsidRPr="00FD7B0B" w14:paraId="4DB6C65C" w14:textId="77777777" w:rsidTr="002A3B24">
        <w:trPr>
          <w:trHeight w:val="183"/>
        </w:trPr>
        <w:tc>
          <w:tcPr>
            <w:tcW w:w="851" w:type="dxa"/>
            <w:tcBorders>
              <w:top w:val="double" w:sz="6" w:space="0" w:color="auto"/>
              <w:left w:val="double" w:sz="6" w:space="0" w:color="auto"/>
              <w:bottom w:val="single" w:sz="4" w:space="0" w:color="auto"/>
              <w:right w:val="double" w:sz="6" w:space="0" w:color="000000"/>
            </w:tcBorders>
          </w:tcPr>
          <w:p w14:paraId="3B2DF418"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p>
        </w:tc>
        <w:tc>
          <w:tcPr>
            <w:tcW w:w="8894" w:type="dxa"/>
            <w:gridSpan w:val="9"/>
            <w:tcBorders>
              <w:top w:val="double" w:sz="6" w:space="0" w:color="auto"/>
              <w:left w:val="double" w:sz="6" w:space="0" w:color="auto"/>
              <w:bottom w:val="single" w:sz="4" w:space="0" w:color="auto"/>
              <w:right w:val="double" w:sz="6" w:space="0" w:color="auto"/>
            </w:tcBorders>
            <w:shd w:val="clear" w:color="auto" w:fill="auto"/>
            <w:vAlign w:val="center"/>
            <w:hideMark/>
          </w:tcPr>
          <w:p w14:paraId="6CF9FEF4"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ИСПОЛНЕНИЯ ГОСУДАРСТВЕННОЙ ПРОГРАММЫ ПО РЕСУРСАМ И РЕЗУЛЬТАТАМ</w:t>
            </w:r>
          </w:p>
        </w:tc>
      </w:tr>
      <w:tr w:rsidR="00FD7B0B" w:rsidRPr="00FD7B0B" w14:paraId="4D4BE3C7" w14:textId="77777777" w:rsidTr="002A3B24">
        <w:trPr>
          <w:trHeight w:val="134"/>
        </w:trPr>
        <w:tc>
          <w:tcPr>
            <w:tcW w:w="851" w:type="dxa"/>
            <w:vMerge w:val="restart"/>
            <w:tcBorders>
              <w:top w:val="single" w:sz="4" w:space="0" w:color="auto"/>
              <w:left w:val="double" w:sz="6" w:space="0" w:color="auto"/>
              <w:bottom w:val="single" w:sz="4" w:space="0" w:color="auto"/>
              <w:right w:val="single" w:sz="4" w:space="0" w:color="auto"/>
            </w:tcBorders>
            <w:shd w:val="clear" w:color="auto" w:fill="auto"/>
            <w:vAlign w:val="center"/>
            <w:hideMark/>
          </w:tcPr>
          <w:p w14:paraId="77E48AAA"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кассового исполнения ...</w:t>
            </w:r>
          </w:p>
        </w:tc>
        <w:tc>
          <w:tcPr>
            <w:tcW w:w="9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A89465"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объема изменений, внесенных в СБР…</w:t>
            </w:r>
          </w:p>
        </w:tc>
        <w:tc>
          <w:tcPr>
            <w:tcW w:w="212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F51AB3F"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реализации мероприятий (достижения результатов) структурных элементов ...</w:t>
            </w:r>
          </w:p>
        </w:tc>
        <w:tc>
          <w:tcPr>
            <w:tcW w:w="20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2397CE"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достижения ... показателей ...</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83A6DC"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динамики дебиторской задолженности ...</w:t>
            </w:r>
          </w:p>
        </w:tc>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A5047D"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ввода объектов в эксплуатацию ...</w:t>
            </w:r>
          </w:p>
        </w:tc>
        <w:tc>
          <w:tcPr>
            <w:tcW w:w="844" w:type="dxa"/>
            <w:vMerge w:val="restart"/>
            <w:tcBorders>
              <w:top w:val="single" w:sz="4" w:space="0" w:color="auto"/>
              <w:left w:val="single" w:sz="4" w:space="0" w:color="auto"/>
              <w:bottom w:val="single" w:sz="4" w:space="0" w:color="auto"/>
              <w:right w:val="double" w:sz="6" w:space="0" w:color="auto"/>
            </w:tcBorders>
            <w:shd w:val="clear" w:color="auto" w:fill="auto"/>
            <w:vAlign w:val="center"/>
            <w:hideMark/>
          </w:tcPr>
          <w:p w14:paraId="0DA9FC97"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Итого</w:t>
            </w:r>
          </w:p>
        </w:tc>
      </w:tr>
      <w:tr w:rsidR="00FD7B0B" w:rsidRPr="00FD7B0B" w14:paraId="305A5808" w14:textId="77777777" w:rsidTr="002A3B24">
        <w:trPr>
          <w:trHeight w:val="645"/>
        </w:trPr>
        <w:tc>
          <w:tcPr>
            <w:tcW w:w="851" w:type="dxa"/>
            <w:vMerge/>
            <w:tcBorders>
              <w:top w:val="single" w:sz="4" w:space="0" w:color="auto"/>
              <w:left w:val="double" w:sz="6" w:space="0" w:color="auto"/>
              <w:bottom w:val="single" w:sz="4" w:space="0" w:color="auto"/>
              <w:right w:val="single" w:sz="4" w:space="0" w:color="auto"/>
            </w:tcBorders>
            <w:vAlign w:val="center"/>
            <w:hideMark/>
          </w:tcPr>
          <w:p w14:paraId="736E2899" w14:textId="77777777" w:rsidR="002A3B24" w:rsidRPr="00FD7B0B" w:rsidRDefault="002A3B24" w:rsidP="002A3B24">
            <w:pPr>
              <w:spacing w:after="0" w:line="240" w:lineRule="auto"/>
              <w:rPr>
                <w:rFonts w:ascii="Times New Roman" w:eastAsia="Times New Roman" w:hAnsi="Times New Roman" w:cs="Times New Roman"/>
                <w:sz w:val="14"/>
                <w:szCs w:val="14"/>
                <w:lang w:eastAsia="ru-RU"/>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187795" w14:textId="77777777" w:rsidR="002A3B24" w:rsidRPr="00FD7B0B" w:rsidRDefault="002A3B24" w:rsidP="002A3B24">
            <w:pPr>
              <w:spacing w:after="0" w:line="240" w:lineRule="auto"/>
              <w:rPr>
                <w:rFonts w:ascii="Times New Roman" w:eastAsia="Times New Roman" w:hAnsi="Times New Roman" w:cs="Times New Roman"/>
                <w:sz w:val="14"/>
                <w:szCs w:val="14"/>
                <w:lang w:eastAsia="ru-RU"/>
              </w:rPr>
            </w:pPr>
          </w:p>
        </w:tc>
        <w:tc>
          <w:tcPr>
            <w:tcW w:w="10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06EAA"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 xml:space="preserve">степень достижения показателей </w:t>
            </w:r>
          </w:p>
        </w:tc>
        <w:tc>
          <w:tcPr>
            <w:tcW w:w="10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9239F0"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 xml:space="preserve">*доля выполненных показателей </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57F49"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 xml:space="preserve">степень достижения показателей </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0D7DB"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 xml:space="preserve">*доля выполненных показателей </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5B935"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доля просроченной дебиторской задолженности</w:t>
            </w:r>
          </w:p>
        </w:tc>
        <w:tc>
          <w:tcPr>
            <w:tcW w:w="1004" w:type="dxa"/>
            <w:tcBorders>
              <w:top w:val="single" w:sz="4" w:space="0" w:color="auto"/>
              <w:left w:val="single" w:sz="4" w:space="0" w:color="auto"/>
              <w:bottom w:val="single" w:sz="4" w:space="0" w:color="auto"/>
              <w:right w:val="single" w:sz="4" w:space="0" w:color="auto"/>
            </w:tcBorders>
            <w:vAlign w:val="center"/>
          </w:tcPr>
          <w:p w14:paraId="01AF1F7E"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справочно: прирост дебиторской задолженности</w:t>
            </w:r>
          </w:p>
        </w:tc>
        <w:tc>
          <w:tcPr>
            <w:tcW w:w="1093" w:type="dxa"/>
            <w:vMerge/>
            <w:tcBorders>
              <w:top w:val="single" w:sz="4" w:space="0" w:color="auto"/>
              <w:left w:val="single" w:sz="4" w:space="0" w:color="auto"/>
              <w:bottom w:val="single" w:sz="4" w:space="0" w:color="auto"/>
              <w:right w:val="single" w:sz="4" w:space="0" w:color="auto"/>
            </w:tcBorders>
            <w:vAlign w:val="center"/>
            <w:hideMark/>
          </w:tcPr>
          <w:p w14:paraId="3657D434" w14:textId="77777777" w:rsidR="002A3B24" w:rsidRPr="00FD7B0B" w:rsidRDefault="002A3B24" w:rsidP="002A3B24">
            <w:pPr>
              <w:spacing w:after="0" w:line="240" w:lineRule="auto"/>
              <w:rPr>
                <w:rFonts w:ascii="Times New Roman" w:eastAsia="Times New Roman" w:hAnsi="Times New Roman" w:cs="Times New Roman"/>
                <w:sz w:val="14"/>
                <w:szCs w:val="14"/>
                <w:lang w:eastAsia="ru-RU"/>
              </w:rPr>
            </w:pPr>
          </w:p>
        </w:tc>
        <w:tc>
          <w:tcPr>
            <w:tcW w:w="844" w:type="dxa"/>
            <w:vMerge/>
            <w:tcBorders>
              <w:top w:val="single" w:sz="4" w:space="0" w:color="auto"/>
              <w:left w:val="single" w:sz="4" w:space="0" w:color="auto"/>
              <w:bottom w:val="single" w:sz="4" w:space="0" w:color="auto"/>
              <w:right w:val="double" w:sz="6" w:space="0" w:color="auto"/>
            </w:tcBorders>
            <w:vAlign w:val="center"/>
            <w:hideMark/>
          </w:tcPr>
          <w:p w14:paraId="6274A7E8" w14:textId="77777777" w:rsidR="002A3B24" w:rsidRPr="00FD7B0B" w:rsidRDefault="002A3B24" w:rsidP="002A3B24">
            <w:pPr>
              <w:spacing w:after="0" w:line="240" w:lineRule="auto"/>
              <w:rPr>
                <w:rFonts w:ascii="Times New Roman" w:eastAsia="Times New Roman" w:hAnsi="Times New Roman" w:cs="Times New Roman"/>
                <w:sz w:val="14"/>
                <w:szCs w:val="14"/>
                <w:lang w:eastAsia="ru-RU"/>
              </w:rPr>
            </w:pPr>
          </w:p>
        </w:tc>
      </w:tr>
      <w:tr w:rsidR="00FD7B0B" w:rsidRPr="00FD7B0B" w14:paraId="6D2CB7F7" w14:textId="77777777" w:rsidTr="002A3B24">
        <w:trPr>
          <w:trHeight w:val="435"/>
        </w:trPr>
        <w:tc>
          <w:tcPr>
            <w:tcW w:w="851" w:type="dxa"/>
            <w:tcBorders>
              <w:top w:val="single" w:sz="4" w:space="0" w:color="auto"/>
              <w:left w:val="double" w:sz="6" w:space="0" w:color="auto"/>
              <w:bottom w:val="double" w:sz="6" w:space="0" w:color="auto"/>
              <w:right w:val="single" w:sz="4" w:space="0" w:color="auto"/>
            </w:tcBorders>
            <w:shd w:val="clear" w:color="000000" w:fill="92D050"/>
            <w:vAlign w:val="center"/>
            <w:hideMark/>
          </w:tcPr>
          <w:p w14:paraId="14F00233"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965" w:type="dxa"/>
            <w:tcBorders>
              <w:top w:val="single" w:sz="4" w:space="0" w:color="auto"/>
              <w:left w:val="single" w:sz="4" w:space="0" w:color="auto"/>
              <w:bottom w:val="double" w:sz="6" w:space="0" w:color="auto"/>
              <w:right w:val="single" w:sz="4" w:space="0" w:color="auto"/>
            </w:tcBorders>
            <w:shd w:val="clear" w:color="000000" w:fill="92D050"/>
            <w:vAlign w:val="center"/>
            <w:hideMark/>
          </w:tcPr>
          <w:p w14:paraId="56912974"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1038" w:type="dxa"/>
            <w:tcBorders>
              <w:top w:val="single" w:sz="4" w:space="0" w:color="auto"/>
              <w:left w:val="single" w:sz="4" w:space="0" w:color="auto"/>
              <w:bottom w:val="double" w:sz="6" w:space="0" w:color="auto"/>
              <w:right w:val="single" w:sz="4" w:space="0" w:color="auto"/>
            </w:tcBorders>
            <w:shd w:val="clear" w:color="auto" w:fill="FFFF00"/>
            <w:vAlign w:val="center"/>
            <w:hideMark/>
          </w:tcPr>
          <w:p w14:paraId="19F0398F"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средний уровень</w:t>
            </w:r>
          </w:p>
        </w:tc>
        <w:tc>
          <w:tcPr>
            <w:tcW w:w="1083" w:type="dxa"/>
            <w:tcBorders>
              <w:top w:val="single" w:sz="4" w:space="0" w:color="auto"/>
              <w:left w:val="single" w:sz="4" w:space="0" w:color="auto"/>
              <w:bottom w:val="double" w:sz="6" w:space="0" w:color="auto"/>
              <w:right w:val="single" w:sz="4" w:space="0" w:color="auto"/>
            </w:tcBorders>
            <w:shd w:val="clear" w:color="auto" w:fill="FFFF00"/>
            <w:vAlign w:val="center"/>
            <w:hideMark/>
          </w:tcPr>
          <w:p w14:paraId="2FDCE470" w14:textId="421510C4" w:rsidR="002A3B24" w:rsidRPr="00FD7B0B" w:rsidRDefault="002A3B24" w:rsidP="00664EB9">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с</w:t>
            </w:r>
            <w:r w:rsidR="00664EB9" w:rsidRPr="00FD7B0B">
              <w:rPr>
                <w:rFonts w:ascii="Times New Roman" w:eastAsia="Times New Roman" w:hAnsi="Times New Roman" w:cs="Times New Roman"/>
                <w:sz w:val="14"/>
                <w:szCs w:val="14"/>
                <w:lang w:eastAsia="ru-RU"/>
              </w:rPr>
              <w:t>редний у</w:t>
            </w:r>
            <w:r w:rsidRPr="00FD7B0B">
              <w:rPr>
                <w:rFonts w:ascii="Times New Roman" w:eastAsia="Times New Roman" w:hAnsi="Times New Roman" w:cs="Times New Roman"/>
                <w:sz w:val="14"/>
                <w:szCs w:val="14"/>
                <w:lang w:eastAsia="ru-RU"/>
              </w:rPr>
              <w:t>ровень</w:t>
            </w:r>
          </w:p>
        </w:tc>
        <w:tc>
          <w:tcPr>
            <w:tcW w:w="987" w:type="dxa"/>
            <w:tcBorders>
              <w:top w:val="single" w:sz="4" w:space="0" w:color="auto"/>
              <w:left w:val="single" w:sz="4" w:space="0" w:color="auto"/>
              <w:bottom w:val="double" w:sz="6" w:space="0" w:color="auto"/>
              <w:right w:val="single" w:sz="4" w:space="0" w:color="auto"/>
            </w:tcBorders>
            <w:shd w:val="clear" w:color="000000" w:fill="92D050"/>
            <w:vAlign w:val="center"/>
            <w:hideMark/>
          </w:tcPr>
          <w:p w14:paraId="48346D16"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1042" w:type="dxa"/>
            <w:tcBorders>
              <w:top w:val="single" w:sz="4" w:space="0" w:color="auto"/>
              <w:left w:val="single" w:sz="4" w:space="0" w:color="auto"/>
              <w:bottom w:val="double" w:sz="6" w:space="0" w:color="auto"/>
              <w:right w:val="single" w:sz="4" w:space="0" w:color="auto"/>
            </w:tcBorders>
            <w:shd w:val="clear" w:color="000000" w:fill="92D050"/>
            <w:vAlign w:val="center"/>
            <w:hideMark/>
          </w:tcPr>
          <w:p w14:paraId="1E49BB03"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838" w:type="dxa"/>
            <w:tcBorders>
              <w:top w:val="single" w:sz="4" w:space="0" w:color="auto"/>
              <w:left w:val="single" w:sz="4" w:space="0" w:color="auto"/>
              <w:bottom w:val="double" w:sz="6" w:space="0" w:color="auto"/>
              <w:right w:val="single" w:sz="4" w:space="0" w:color="auto"/>
            </w:tcBorders>
            <w:shd w:val="clear" w:color="000000" w:fill="92D050"/>
            <w:vAlign w:val="center"/>
            <w:hideMark/>
          </w:tcPr>
          <w:p w14:paraId="0D9829A6"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1004" w:type="dxa"/>
            <w:tcBorders>
              <w:top w:val="single" w:sz="4" w:space="0" w:color="auto"/>
              <w:left w:val="single" w:sz="4" w:space="0" w:color="auto"/>
              <w:bottom w:val="double" w:sz="6" w:space="0" w:color="auto"/>
              <w:right w:val="single" w:sz="4" w:space="0" w:color="auto"/>
            </w:tcBorders>
            <w:shd w:val="clear" w:color="auto" w:fill="FFFF00"/>
            <w:vAlign w:val="center"/>
          </w:tcPr>
          <w:p w14:paraId="21828AB1" w14:textId="513F43BE" w:rsidR="002A3B24" w:rsidRPr="00FD7B0B" w:rsidRDefault="00664EB9"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 xml:space="preserve">средний </w:t>
            </w:r>
            <w:r w:rsidR="002A3B24" w:rsidRPr="00FD7B0B">
              <w:rPr>
                <w:rFonts w:ascii="Times New Roman" w:eastAsia="Times New Roman" w:hAnsi="Times New Roman" w:cs="Times New Roman"/>
                <w:sz w:val="14"/>
                <w:szCs w:val="14"/>
                <w:lang w:eastAsia="ru-RU"/>
              </w:rPr>
              <w:t>уровень</w:t>
            </w:r>
          </w:p>
        </w:tc>
        <w:tc>
          <w:tcPr>
            <w:tcW w:w="1093" w:type="dxa"/>
            <w:tcBorders>
              <w:top w:val="single" w:sz="4" w:space="0" w:color="auto"/>
              <w:left w:val="single" w:sz="4" w:space="0" w:color="auto"/>
              <w:bottom w:val="double" w:sz="6" w:space="0" w:color="auto"/>
              <w:right w:val="single" w:sz="4" w:space="0" w:color="auto"/>
            </w:tcBorders>
            <w:shd w:val="clear" w:color="auto" w:fill="FFFF00"/>
            <w:vAlign w:val="center"/>
            <w:hideMark/>
          </w:tcPr>
          <w:p w14:paraId="280F636C" w14:textId="16E13C13" w:rsidR="002A3B24" w:rsidRPr="00FD7B0B" w:rsidRDefault="00664EB9"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 xml:space="preserve">средний </w:t>
            </w:r>
            <w:r w:rsidR="002A3B24" w:rsidRPr="00FD7B0B">
              <w:rPr>
                <w:rFonts w:ascii="Times New Roman" w:eastAsia="Times New Roman" w:hAnsi="Times New Roman" w:cs="Times New Roman"/>
                <w:sz w:val="14"/>
                <w:szCs w:val="14"/>
                <w:lang w:eastAsia="ru-RU"/>
              </w:rPr>
              <w:t>уровень</w:t>
            </w:r>
          </w:p>
        </w:tc>
        <w:tc>
          <w:tcPr>
            <w:tcW w:w="844" w:type="dxa"/>
            <w:tcBorders>
              <w:top w:val="single" w:sz="4" w:space="0" w:color="auto"/>
              <w:left w:val="single" w:sz="4" w:space="0" w:color="auto"/>
              <w:bottom w:val="double" w:sz="6" w:space="0" w:color="auto"/>
              <w:right w:val="double" w:sz="6" w:space="0" w:color="auto"/>
            </w:tcBorders>
            <w:shd w:val="clear" w:color="000000" w:fill="92D050"/>
            <w:vAlign w:val="center"/>
            <w:hideMark/>
          </w:tcPr>
          <w:p w14:paraId="7165E5C5" w14:textId="77777777" w:rsidR="002A3B24" w:rsidRPr="00FD7B0B" w:rsidRDefault="002A3B24" w:rsidP="002A3B24">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уровень выше среднего</w:t>
            </w:r>
          </w:p>
        </w:tc>
      </w:tr>
    </w:tbl>
    <w:p w14:paraId="679A733E" w14:textId="77777777" w:rsidR="002A3B24" w:rsidRPr="00FD7B0B" w:rsidRDefault="002A3B24" w:rsidP="002A3B24">
      <w:pPr>
        <w:pStyle w:val="ad"/>
        <w:ind w:firstLine="142"/>
        <w:jc w:val="both"/>
        <w:rPr>
          <w:rFonts w:ascii="Times New Roman" w:hAnsi="Times New Roman"/>
          <w:sz w:val="24"/>
          <w:szCs w:val="24"/>
        </w:rPr>
      </w:pPr>
      <w:r w:rsidRPr="00FD7B0B">
        <w:rPr>
          <w:rFonts w:ascii="Times New Roman" w:hAnsi="Times New Roman"/>
          <w:sz w:val="24"/>
          <w:szCs w:val="24"/>
        </w:rPr>
        <w:t>Оценка формирования и использования системы показателей исходя из приоритетов социально-экономического развития РФ и Архангельской области по результатам проверки исполнения государственной программы</w:t>
      </w:r>
    </w:p>
    <w:tbl>
      <w:tblPr>
        <w:tblW w:w="9792" w:type="dxa"/>
        <w:tblInd w:w="108"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Look w:val="04A0" w:firstRow="1" w:lastRow="0" w:firstColumn="1" w:lastColumn="0" w:noHBand="0" w:noVBand="1"/>
      </w:tblPr>
      <w:tblGrid>
        <w:gridCol w:w="1043"/>
        <w:gridCol w:w="1390"/>
        <w:gridCol w:w="1134"/>
        <w:gridCol w:w="1418"/>
        <w:gridCol w:w="1701"/>
        <w:gridCol w:w="1843"/>
        <w:gridCol w:w="1263"/>
      </w:tblGrid>
      <w:tr w:rsidR="00FD7B0B" w:rsidRPr="00FD7B0B" w14:paraId="6A440273" w14:textId="77777777" w:rsidTr="002A3B24">
        <w:trPr>
          <w:trHeight w:val="288"/>
        </w:trPr>
        <w:tc>
          <w:tcPr>
            <w:tcW w:w="9792" w:type="dxa"/>
            <w:gridSpan w:val="7"/>
            <w:shd w:val="clear" w:color="auto" w:fill="auto"/>
            <w:vAlign w:val="center"/>
            <w:hideMark/>
          </w:tcPr>
          <w:p w14:paraId="2B43FCBF" w14:textId="77777777" w:rsidR="002A3B24" w:rsidRPr="00FD7B0B" w:rsidRDefault="002A3B24" w:rsidP="002A3B2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оценка формирования и использования системы показателей исходя из приоритетов социально-экономического развития российской федерации по результатам проверки исполнения государственной программы</w:t>
            </w:r>
          </w:p>
        </w:tc>
      </w:tr>
      <w:tr w:rsidR="00FD7B0B" w:rsidRPr="00FD7B0B" w14:paraId="673E4859" w14:textId="77777777" w:rsidTr="002A3B24">
        <w:trPr>
          <w:trHeight w:val="557"/>
        </w:trPr>
        <w:tc>
          <w:tcPr>
            <w:tcW w:w="1043" w:type="dxa"/>
            <w:shd w:val="clear" w:color="auto" w:fill="auto"/>
            <w:vAlign w:val="center"/>
            <w:hideMark/>
          </w:tcPr>
          <w:p w14:paraId="4E1EF887"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состава показателей ...</w:t>
            </w:r>
          </w:p>
        </w:tc>
        <w:tc>
          <w:tcPr>
            <w:tcW w:w="1390" w:type="dxa"/>
            <w:shd w:val="clear" w:color="auto" w:fill="auto"/>
            <w:vAlign w:val="center"/>
            <w:hideMark/>
          </w:tcPr>
          <w:p w14:paraId="15312B76"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стабильности состава показателей ... на протяжении отчетного года</w:t>
            </w:r>
          </w:p>
        </w:tc>
        <w:tc>
          <w:tcPr>
            <w:tcW w:w="1134" w:type="dxa"/>
            <w:shd w:val="clear" w:color="auto" w:fill="auto"/>
            <w:vAlign w:val="center"/>
            <w:hideMark/>
          </w:tcPr>
          <w:p w14:paraId="1A5D0E3C"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стабильности состава показателей ... за три года</w:t>
            </w:r>
          </w:p>
        </w:tc>
        <w:tc>
          <w:tcPr>
            <w:tcW w:w="1418" w:type="dxa"/>
            <w:shd w:val="clear" w:color="auto" w:fill="auto"/>
            <w:vAlign w:val="center"/>
            <w:hideMark/>
          </w:tcPr>
          <w:p w14:paraId="7EF7C865"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динамики ... значений показателей ...</w:t>
            </w:r>
          </w:p>
        </w:tc>
        <w:tc>
          <w:tcPr>
            <w:tcW w:w="1701" w:type="dxa"/>
            <w:shd w:val="clear" w:color="auto" w:fill="auto"/>
            <w:vAlign w:val="center"/>
            <w:hideMark/>
          </w:tcPr>
          <w:p w14:paraId="02CFB82A"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количества показателей ..., по которым представлены фактические значения за отчетный год ...</w:t>
            </w:r>
          </w:p>
        </w:tc>
        <w:tc>
          <w:tcPr>
            <w:tcW w:w="1843" w:type="dxa"/>
            <w:shd w:val="clear" w:color="auto" w:fill="auto"/>
            <w:vAlign w:val="center"/>
            <w:hideMark/>
          </w:tcPr>
          <w:p w14:paraId="75D8E544"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количества показателей ... по которым формируется официальная статистическая информация ...</w:t>
            </w:r>
          </w:p>
        </w:tc>
        <w:tc>
          <w:tcPr>
            <w:tcW w:w="1263" w:type="dxa"/>
            <w:shd w:val="clear" w:color="auto" w:fill="auto"/>
            <w:vAlign w:val="center"/>
            <w:hideMark/>
          </w:tcPr>
          <w:p w14:paraId="1CE062E2" w14:textId="77777777" w:rsidR="002A3B24" w:rsidRPr="00FD7B0B" w:rsidRDefault="002A3B24" w:rsidP="002A3B2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r>
      <w:tr w:rsidR="00FD7B0B" w:rsidRPr="00FD7B0B" w14:paraId="4B4292CD" w14:textId="77777777" w:rsidTr="002A3B24">
        <w:trPr>
          <w:trHeight w:val="395"/>
        </w:trPr>
        <w:tc>
          <w:tcPr>
            <w:tcW w:w="1043" w:type="dxa"/>
            <w:shd w:val="clear" w:color="auto" w:fill="92D050"/>
            <w:vAlign w:val="center"/>
            <w:hideMark/>
          </w:tcPr>
          <w:p w14:paraId="5B6A6CC6"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1390" w:type="dxa"/>
            <w:shd w:val="clear" w:color="auto" w:fill="92D050"/>
            <w:vAlign w:val="center"/>
            <w:hideMark/>
          </w:tcPr>
          <w:p w14:paraId="1CDBDE1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1134" w:type="dxa"/>
            <w:shd w:val="clear" w:color="auto" w:fill="FF0000"/>
            <w:vAlign w:val="center"/>
            <w:hideMark/>
          </w:tcPr>
          <w:p w14:paraId="39E4035B"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низкий уровень</w:t>
            </w:r>
          </w:p>
        </w:tc>
        <w:tc>
          <w:tcPr>
            <w:tcW w:w="1418" w:type="dxa"/>
            <w:shd w:val="clear" w:color="auto" w:fill="FF0000"/>
            <w:vAlign w:val="center"/>
            <w:hideMark/>
          </w:tcPr>
          <w:p w14:paraId="7B617C3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низкий уровень</w:t>
            </w:r>
          </w:p>
        </w:tc>
        <w:tc>
          <w:tcPr>
            <w:tcW w:w="1701" w:type="dxa"/>
            <w:shd w:val="clear" w:color="000000" w:fill="FF0000"/>
            <w:vAlign w:val="center"/>
            <w:hideMark/>
          </w:tcPr>
          <w:p w14:paraId="65E75917"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низкий уровень</w:t>
            </w:r>
          </w:p>
        </w:tc>
        <w:tc>
          <w:tcPr>
            <w:tcW w:w="1843" w:type="dxa"/>
            <w:shd w:val="clear" w:color="auto" w:fill="92D050"/>
            <w:vAlign w:val="center"/>
            <w:hideMark/>
          </w:tcPr>
          <w:p w14:paraId="7751C528"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1263" w:type="dxa"/>
            <w:shd w:val="clear" w:color="000000" w:fill="FFFF00"/>
            <w:vAlign w:val="center"/>
            <w:hideMark/>
          </w:tcPr>
          <w:p w14:paraId="17058EC3" w14:textId="77777777" w:rsidR="002A3B24" w:rsidRPr="00FD7B0B" w:rsidRDefault="002A3B24" w:rsidP="002A3B24">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r>
    </w:tbl>
    <w:p w14:paraId="61EB5EC2" w14:textId="33F04DE0" w:rsidR="00D304BC" w:rsidRPr="00FD7B0B" w:rsidRDefault="009B516C" w:rsidP="00D304BC">
      <w:pPr>
        <w:pStyle w:val="3"/>
        <w:spacing w:line="240" w:lineRule="auto"/>
        <w:jc w:val="center"/>
        <w:rPr>
          <w:rFonts w:ascii="Times New Roman" w:hAnsi="Times New Roman"/>
          <w:b w:val="0"/>
          <w:sz w:val="28"/>
          <w:szCs w:val="28"/>
          <w:u w:val="single"/>
        </w:rPr>
      </w:pPr>
      <w:bookmarkStart w:id="135" w:name="_Toc198819140"/>
      <w:r w:rsidRPr="00FD7B0B">
        <w:rPr>
          <w:rFonts w:ascii="Times New Roman" w:hAnsi="Times New Roman"/>
          <w:b w:val="0"/>
          <w:sz w:val="28"/>
          <w:szCs w:val="28"/>
          <w:u w:val="single"/>
          <w:lang w:val="ru-RU"/>
        </w:rPr>
        <w:lastRenderedPageBreak/>
        <w:t>4</w:t>
      </w:r>
      <w:r w:rsidR="00D304BC" w:rsidRPr="00FD7B0B">
        <w:rPr>
          <w:rFonts w:ascii="Times New Roman" w:hAnsi="Times New Roman"/>
          <w:b w:val="0"/>
          <w:sz w:val="28"/>
          <w:szCs w:val="28"/>
          <w:u w:val="single"/>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rPr>
        <w:t>.</w:t>
      </w:r>
      <w:r w:rsidR="00D304BC" w:rsidRPr="00FD7B0B">
        <w:rPr>
          <w:rFonts w:ascii="Times New Roman" w:hAnsi="Times New Roman"/>
          <w:b w:val="0"/>
          <w:sz w:val="28"/>
          <w:szCs w:val="28"/>
          <w:u w:val="single"/>
          <w:lang w:val="ru-RU"/>
        </w:rPr>
        <w:t>7</w:t>
      </w:r>
      <w:r w:rsidR="00D304BC" w:rsidRPr="00FD7B0B">
        <w:rPr>
          <w:rFonts w:ascii="Times New Roman" w:hAnsi="Times New Roman"/>
          <w:b w:val="0"/>
          <w:sz w:val="28"/>
          <w:szCs w:val="28"/>
          <w:u w:val="single"/>
        </w:rPr>
        <w:t xml:space="preserve">. Государственная программа </w:t>
      </w:r>
      <w:r w:rsidR="00D304BC" w:rsidRPr="00FD7B0B">
        <w:rPr>
          <w:rFonts w:ascii="Times New Roman" w:hAnsi="Times New Roman"/>
          <w:b w:val="0"/>
          <w:sz w:val="28"/>
          <w:szCs w:val="28"/>
          <w:u w:val="single"/>
          <w:lang w:val="ru-RU"/>
        </w:rPr>
        <w:t xml:space="preserve">Архангельской области </w:t>
      </w:r>
      <w:r w:rsidR="0065479F" w:rsidRPr="00FD7B0B">
        <w:rPr>
          <w:rFonts w:ascii="Times New Roman" w:hAnsi="Times New Roman"/>
          <w:b w:val="0"/>
          <w:sz w:val="28"/>
          <w:szCs w:val="28"/>
          <w:u w:val="single"/>
        </w:rPr>
        <w:t>«</w:t>
      </w:r>
      <w:r w:rsidR="00D304BC" w:rsidRPr="00FD7B0B">
        <w:rPr>
          <w:rFonts w:ascii="Times New Roman" w:hAnsi="Times New Roman"/>
          <w:b w:val="0"/>
          <w:sz w:val="28"/>
          <w:szCs w:val="28"/>
          <w:u w:val="single"/>
        </w:rPr>
        <w:t>Содействие занятости населения Архангельской области, улучшение условий и охраны труда</w:t>
      </w:r>
      <w:r w:rsidR="0065479F" w:rsidRPr="00FD7B0B">
        <w:rPr>
          <w:rFonts w:ascii="Times New Roman" w:hAnsi="Times New Roman"/>
          <w:b w:val="0"/>
          <w:sz w:val="28"/>
          <w:szCs w:val="28"/>
          <w:u w:val="single"/>
        </w:rPr>
        <w:t>»</w:t>
      </w:r>
      <w:bookmarkEnd w:id="135"/>
    </w:p>
    <w:p w14:paraId="55638BCE" w14:textId="3DE35FC9" w:rsidR="006266DC" w:rsidRPr="00FD7B0B" w:rsidRDefault="006266DC" w:rsidP="006266DC">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Государственная программа Архангельской области «Содействие занятости населения Архангельской области, улучшение условий и охраны труда» утверждена постановлением Правительства Архангельской области от 08.10.2013 № 466-пп (далее - ГП № 07, госпрограмма).</w:t>
      </w:r>
    </w:p>
    <w:p w14:paraId="66F738CC" w14:textId="77777777" w:rsidR="006266DC" w:rsidRPr="00FD7B0B" w:rsidRDefault="006266DC" w:rsidP="006266DC">
      <w:pPr>
        <w:pStyle w:val="af1"/>
        <w:spacing w:after="0"/>
        <w:ind w:firstLine="709"/>
        <w:jc w:val="both"/>
        <w:rPr>
          <w:rFonts w:ascii="Times New Roman" w:eastAsia="Times New Roman" w:hAnsi="Times New Roman"/>
          <w:sz w:val="28"/>
          <w:szCs w:val="28"/>
          <w:lang w:eastAsia="ru-RU"/>
        </w:rPr>
      </w:pPr>
      <w:r w:rsidRPr="00FD7B0B">
        <w:rPr>
          <w:rFonts w:ascii="Times New Roman" w:hAnsi="Times New Roman"/>
          <w:sz w:val="28"/>
          <w:szCs w:val="28"/>
        </w:rPr>
        <w:t xml:space="preserve">Согласно паспорту ГП № 07 состоит из проектной части – </w:t>
      </w:r>
      <w:r w:rsidRPr="00FD7B0B">
        <w:rPr>
          <w:rFonts w:ascii="Times New Roman" w:hAnsi="Times New Roman"/>
          <w:sz w:val="28"/>
          <w:szCs w:val="28"/>
          <w:lang w:val="ru-RU"/>
        </w:rPr>
        <w:t xml:space="preserve">РП «Содействие занятости (Архангельская область» </w:t>
      </w:r>
      <w:r w:rsidRPr="00FD7B0B">
        <w:rPr>
          <w:rFonts w:ascii="Times New Roman" w:hAnsi="Times New Roman"/>
          <w:sz w:val="28"/>
          <w:szCs w:val="28"/>
        </w:rPr>
        <w:t>и процессной части – КПМ «Содействие занятости населения, улучшение условий и охраны труда».</w:t>
      </w:r>
    </w:p>
    <w:p w14:paraId="354AD795" w14:textId="77777777" w:rsidR="006266DC" w:rsidRPr="00FD7B0B" w:rsidRDefault="006266DC"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cs="Times New Roman"/>
          <w:sz w:val="28"/>
          <w:szCs w:val="28"/>
          <w:lang w:eastAsia="ru-RU"/>
        </w:rPr>
        <w:t>На реализацию мероприятий ГП № 07 на 2024 год в Сводной бюджетной росписи на 31.12.2024 и в Отчете о реализации мероприятий ГП № 07 утверждено финансирование в общей сумме – 2 155,6 млн.руб., в т.ч. за счет средств федерального бюджета – 810,7 млн.руб., областного бюджета – 834,4 млн.руб., внебюджетных источников – 510,5 млн.руб.</w:t>
      </w:r>
    </w:p>
    <w:p w14:paraId="133D3112" w14:textId="77777777" w:rsidR="006266DC" w:rsidRPr="00FD7B0B" w:rsidRDefault="006266DC"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Исполнение расходов по госпрограмме осуществляет один главный распорядитель бюджетных средств – минтрудсоцразвития АО.</w:t>
      </w:r>
    </w:p>
    <w:p w14:paraId="2D902D06" w14:textId="31B0474D" w:rsidR="006266DC" w:rsidRPr="00FD7B0B" w:rsidRDefault="006266DC" w:rsidP="006266DC">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разрезе источников финансирования сведения представлены в таблице</w:t>
      </w:r>
      <w:r w:rsidR="00CB4BE6" w:rsidRPr="00FD7B0B">
        <w:rPr>
          <w:rFonts w:ascii="Times New Roman" w:eastAsia="Times New Roman" w:hAnsi="Times New Roman" w:cs="Times New Roman"/>
          <w:sz w:val="28"/>
          <w:szCs w:val="28"/>
          <w:lang w:eastAsia="ru-RU"/>
        </w:rPr>
        <w:t> 140</w:t>
      </w:r>
      <w:r w:rsidRPr="00FD7B0B">
        <w:rPr>
          <w:rFonts w:ascii="Times New Roman" w:eastAsia="Times New Roman" w:hAnsi="Times New Roman" w:cs="Times New Roman"/>
          <w:sz w:val="28"/>
          <w:szCs w:val="28"/>
          <w:lang w:eastAsia="ru-RU"/>
        </w:rPr>
        <w:t>.</w:t>
      </w:r>
    </w:p>
    <w:p w14:paraId="0F1BFC79" w14:textId="77777777" w:rsidR="006266DC" w:rsidRPr="00FD7B0B" w:rsidRDefault="006266DC" w:rsidP="006266DC">
      <w:pPr>
        <w:pStyle w:val="aff0"/>
        <w:spacing w:after="0" w:line="240" w:lineRule="auto"/>
        <w:rPr>
          <w:rFonts w:ascii="Times New Roman" w:hAnsi="Times New Roman"/>
          <w:b w:val="0"/>
          <w:sz w:val="24"/>
          <w:szCs w:val="24"/>
        </w:rPr>
      </w:pPr>
    </w:p>
    <w:p w14:paraId="3FB177C3" w14:textId="77777777" w:rsidR="006266DC" w:rsidRPr="00FD7B0B" w:rsidRDefault="006266DC" w:rsidP="006266DC">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140</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Изменения, внесенные в объемы финансирования мероприятий ГП № 07 за 2024 год в разрезе источников финансирования, млн.руб.</w:t>
      </w:r>
    </w:p>
    <w:tbl>
      <w:tblPr>
        <w:tblW w:w="9616" w:type="dxa"/>
        <w:tblInd w:w="-23" w:type="dxa"/>
        <w:tblLayout w:type="fixed"/>
        <w:tblLook w:val="04A0" w:firstRow="1" w:lastRow="0" w:firstColumn="1" w:lastColumn="0" w:noHBand="0" w:noVBand="1"/>
      </w:tblPr>
      <w:tblGrid>
        <w:gridCol w:w="1985"/>
        <w:gridCol w:w="1276"/>
        <w:gridCol w:w="1134"/>
        <w:gridCol w:w="1134"/>
        <w:gridCol w:w="1134"/>
        <w:gridCol w:w="1134"/>
        <w:gridCol w:w="992"/>
        <w:gridCol w:w="827"/>
      </w:tblGrid>
      <w:tr w:rsidR="00FD7B0B" w:rsidRPr="00FD7B0B" w14:paraId="49180AEE" w14:textId="77777777" w:rsidTr="009B056F">
        <w:trPr>
          <w:trHeight w:val="766"/>
        </w:trPr>
        <w:tc>
          <w:tcPr>
            <w:tcW w:w="1985"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164C4A7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Источник финансирования</w:t>
            </w:r>
          </w:p>
        </w:tc>
        <w:tc>
          <w:tcPr>
            <w:tcW w:w="1276" w:type="dxa"/>
            <w:tcBorders>
              <w:top w:val="double" w:sz="6" w:space="0" w:color="auto"/>
              <w:left w:val="nil"/>
              <w:bottom w:val="single" w:sz="4" w:space="0" w:color="auto"/>
              <w:right w:val="single" w:sz="4" w:space="0" w:color="auto"/>
            </w:tcBorders>
            <w:shd w:val="clear" w:color="000000" w:fill="FFFFFF"/>
            <w:vAlign w:val="center"/>
            <w:hideMark/>
          </w:tcPr>
          <w:p w14:paraId="07D1437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ред. ОЗ от 15.12.2023 года № 39-4-ОЗ</w:t>
            </w:r>
          </w:p>
        </w:tc>
        <w:tc>
          <w:tcPr>
            <w:tcW w:w="1134" w:type="dxa"/>
            <w:tcBorders>
              <w:top w:val="double" w:sz="6" w:space="0" w:color="auto"/>
              <w:left w:val="nil"/>
              <w:bottom w:val="single" w:sz="4" w:space="0" w:color="auto"/>
              <w:right w:val="single" w:sz="4" w:space="0" w:color="auto"/>
            </w:tcBorders>
            <w:shd w:val="clear" w:color="000000" w:fill="FFFFFF"/>
            <w:vAlign w:val="center"/>
            <w:hideMark/>
          </w:tcPr>
          <w:p w14:paraId="02153732" w14:textId="1D1EB959" w:rsidR="006266DC" w:rsidRPr="00FD7B0B" w:rsidRDefault="006266DC" w:rsidP="00F604A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ред</w:t>
            </w:r>
            <w:r w:rsidR="00F604AE" w:rsidRPr="00FD7B0B">
              <w:rPr>
                <w:rFonts w:ascii="Times New Roman" w:eastAsia="Times New Roman" w:hAnsi="Times New Roman" w:cs="Times New Roman"/>
                <w:sz w:val="20"/>
                <w:szCs w:val="20"/>
                <w:lang w:eastAsia="ru-RU"/>
              </w:rPr>
              <w:t xml:space="preserve">. ОЗ от </w:t>
            </w:r>
            <w:r w:rsidRPr="00FD7B0B">
              <w:rPr>
                <w:rFonts w:ascii="Times New Roman" w:eastAsia="Times New Roman" w:hAnsi="Times New Roman" w:cs="Times New Roman"/>
                <w:sz w:val="20"/>
                <w:szCs w:val="20"/>
                <w:lang w:eastAsia="ru-RU"/>
              </w:rPr>
              <w:t>23.12.2024 № 176-13-ОЗ</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02F3374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ГП в ред. от 25.12.2024</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479C8EE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СБР на 31.12.2024</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5C22811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 отчету ГП на 31.12.2024</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32C001E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c>
          <w:tcPr>
            <w:tcW w:w="827" w:type="dxa"/>
            <w:tcBorders>
              <w:top w:val="double" w:sz="6" w:space="0" w:color="auto"/>
              <w:left w:val="nil"/>
              <w:bottom w:val="single" w:sz="4" w:space="0" w:color="auto"/>
              <w:right w:val="double" w:sz="6" w:space="0" w:color="auto"/>
            </w:tcBorders>
            <w:shd w:val="clear" w:color="auto" w:fill="auto"/>
            <w:vAlign w:val="center"/>
            <w:hideMark/>
          </w:tcPr>
          <w:p w14:paraId="0B153ED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r>
      <w:tr w:rsidR="00FD7B0B" w:rsidRPr="00FD7B0B" w14:paraId="3A60FF1E" w14:textId="77777777" w:rsidTr="009B056F">
        <w:trPr>
          <w:trHeight w:val="220"/>
        </w:trPr>
        <w:tc>
          <w:tcPr>
            <w:tcW w:w="1985" w:type="dxa"/>
            <w:tcBorders>
              <w:top w:val="nil"/>
              <w:left w:val="double" w:sz="6" w:space="0" w:color="auto"/>
              <w:bottom w:val="single" w:sz="4" w:space="0" w:color="auto"/>
              <w:right w:val="single" w:sz="4" w:space="0" w:color="auto"/>
            </w:tcBorders>
            <w:shd w:val="clear" w:color="auto" w:fill="auto"/>
            <w:noWrap/>
            <w:vAlign w:val="center"/>
            <w:hideMark/>
          </w:tcPr>
          <w:p w14:paraId="3A6823F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276" w:type="dxa"/>
            <w:tcBorders>
              <w:top w:val="nil"/>
              <w:left w:val="nil"/>
              <w:bottom w:val="single" w:sz="4" w:space="0" w:color="auto"/>
              <w:right w:val="single" w:sz="4" w:space="0" w:color="auto"/>
            </w:tcBorders>
            <w:shd w:val="clear" w:color="000000" w:fill="FFFFFF"/>
            <w:vAlign w:val="center"/>
            <w:hideMark/>
          </w:tcPr>
          <w:p w14:paraId="48390DA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1134" w:type="dxa"/>
            <w:tcBorders>
              <w:top w:val="nil"/>
              <w:left w:val="nil"/>
              <w:bottom w:val="single" w:sz="4" w:space="0" w:color="auto"/>
              <w:right w:val="single" w:sz="4" w:space="0" w:color="auto"/>
            </w:tcBorders>
            <w:shd w:val="clear" w:color="000000" w:fill="FFFFFF"/>
            <w:vAlign w:val="center"/>
            <w:hideMark/>
          </w:tcPr>
          <w:p w14:paraId="4FCDA5B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1F5B6CD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w:t>
            </w:r>
          </w:p>
        </w:tc>
        <w:tc>
          <w:tcPr>
            <w:tcW w:w="1134" w:type="dxa"/>
            <w:tcBorders>
              <w:top w:val="nil"/>
              <w:left w:val="nil"/>
              <w:bottom w:val="single" w:sz="4" w:space="0" w:color="auto"/>
              <w:right w:val="single" w:sz="4" w:space="0" w:color="auto"/>
            </w:tcBorders>
            <w:shd w:val="clear" w:color="auto" w:fill="auto"/>
            <w:vAlign w:val="center"/>
            <w:hideMark/>
          </w:tcPr>
          <w:p w14:paraId="116A7A2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1134" w:type="dxa"/>
            <w:tcBorders>
              <w:top w:val="nil"/>
              <w:left w:val="nil"/>
              <w:bottom w:val="single" w:sz="4" w:space="0" w:color="auto"/>
              <w:right w:val="single" w:sz="4" w:space="0" w:color="auto"/>
            </w:tcBorders>
            <w:shd w:val="clear" w:color="auto" w:fill="auto"/>
            <w:vAlign w:val="center"/>
            <w:hideMark/>
          </w:tcPr>
          <w:p w14:paraId="3CDBDC3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w:t>
            </w:r>
          </w:p>
        </w:tc>
        <w:tc>
          <w:tcPr>
            <w:tcW w:w="992" w:type="dxa"/>
            <w:tcBorders>
              <w:top w:val="nil"/>
              <w:left w:val="nil"/>
              <w:bottom w:val="single" w:sz="4" w:space="0" w:color="auto"/>
              <w:right w:val="single" w:sz="4" w:space="0" w:color="auto"/>
            </w:tcBorders>
            <w:shd w:val="clear" w:color="auto" w:fill="auto"/>
            <w:vAlign w:val="center"/>
            <w:hideMark/>
          </w:tcPr>
          <w:p w14:paraId="599B10F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7=5-2</w:t>
            </w:r>
          </w:p>
        </w:tc>
        <w:tc>
          <w:tcPr>
            <w:tcW w:w="827" w:type="dxa"/>
            <w:tcBorders>
              <w:top w:val="nil"/>
              <w:left w:val="nil"/>
              <w:bottom w:val="single" w:sz="4" w:space="0" w:color="auto"/>
              <w:right w:val="double" w:sz="6" w:space="0" w:color="auto"/>
            </w:tcBorders>
            <w:shd w:val="clear" w:color="auto" w:fill="auto"/>
            <w:vAlign w:val="center"/>
            <w:hideMark/>
          </w:tcPr>
          <w:p w14:paraId="2CE7241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8=5-3</w:t>
            </w:r>
          </w:p>
        </w:tc>
      </w:tr>
      <w:tr w:rsidR="00FD7B0B" w:rsidRPr="00FD7B0B" w14:paraId="6A02196F" w14:textId="77777777" w:rsidTr="009B056F">
        <w:trPr>
          <w:trHeight w:val="220"/>
        </w:trPr>
        <w:tc>
          <w:tcPr>
            <w:tcW w:w="1985" w:type="dxa"/>
            <w:tcBorders>
              <w:top w:val="nil"/>
              <w:left w:val="double" w:sz="6" w:space="0" w:color="auto"/>
              <w:bottom w:val="single" w:sz="4" w:space="0" w:color="auto"/>
              <w:right w:val="single" w:sz="4" w:space="0" w:color="auto"/>
            </w:tcBorders>
            <w:shd w:val="clear" w:color="auto" w:fill="auto"/>
            <w:noWrap/>
            <w:vAlign w:val="bottom"/>
            <w:hideMark/>
          </w:tcPr>
          <w:p w14:paraId="3627FD89" w14:textId="4410E1E1"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 по ГП №</w:t>
            </w:r>
            <w:r w:rsidR="009B056F" w:rsidRPr="00FD7B0B">
              <w:rPr>
                <w:rFonts w:ascii="Times New Roman" w:eastAsia="Times New Roman" w:hAnsi="Times New Roman" w:cs="Times New Roman"/>
                <w:sz w:val="20"/>
                <w:szCs w:val="20"/>
                <w:lang w:eastAsia="ru-RU"/>
              </w:rPr>
              <w:t xml:space="preserve"> </w:t>
            </w:r>
            <w:r w:rsidRPr="00FD7B0B">
              <w:rPr>
                <w:rFonts w:ascii="Times New Roman" w:eastAsia="Times New Roman" w:hAnsi="Times New Roman" w:cs="Times New Roman"/>
                <w:sz w:val="20"/>
                <w:szCs w:val="20"/>
                <w:lang w:eastAsia="ru-RU"/>
              </w:rPr>
              <w:t>07</w:t>
            </w:r>
          </w:p>
        </w:tc>
        <w:tc>
          <w:tcPr>
            <w:tcW w:w="1276" w:type="dxa"/>
            <w:tcBorders>
              <w:top w:val="nil"/>
              <w:left w:val="nil"/>
              <w:bottom w:val="single" w:sz="4" w:space="0" w:color="auto"/>
              <w:right w:val="single" w:sz="4" w:space="0" w:color="auto"/>
            </w:tcBorders>
            <w:shd w:val="clear" w:color="auto" w:fill="auto"/>
            <w:noWrap/>
            <w:vAlign w:val="center"/>
            <w:hideMark/>
          </w:tcPr>
          <w:p w14:paraId="3736503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2 319,1</w:t>
            </w:r>
          </w:p>
        </w:tc>
        <w:tc>
          <w:tcPr>
            <w:tcW w:w="1134" w:type="dxa"/>
            <w:tcBorders>
              <w:top w:val="nil"/>
              <w:left w:val="nil"/>
              <w:bottom w:val="single" w:sz="4" w:space="0" w:color="auto"/>
              <w:right w:val="single" w:sz="4" w:space="0" w:color="auto"/>
            </w:tcBorders>
            <w:shd w:val="clear" w:color="auto" w:fill="auto"/>
            <w:noWrap/>
            <w:vAlign w:val="center"/>
            <w:hideMark/>
          </w:tcPr>
          <w:p w14:paraId="39B0AAA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2 306,4</w:t>
            </w:r>
          </w:p>
        </w:tc>
        <w:tc>
          <w:tcPr>
            <w:tcW w:w="1134" w:type="dxa"/>
            <w:tcBorders>
              <w:top w:val="nil"/>
              <w:left w:val="nil"/>
              <w:bottom w:val="single" w:sz="4" w:space="0" w:color="auto"/>
              <w:right w:val="single" w:sz="4" w:space="0" w:color="auto"/>
            </w:tcBorders>
            <w:shd w:val="clear" w:color="auto" w:fill="auto"/>
            <w:noWrap/>
            <w:vAlign w:val="center"/>
            <w:hideMark/>
          </w:tcPr>
          <w:p w14:paraId="498F532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2 261,0</w:t>
            </w:r>
          </w:p>
        </w:tc>
        <w:tc>
          <w:tcPr>
            <w:tcW w:w="1134" w:type="dxa"/>
            <w:tcBorders>
              <w:top w:val="nil"/>
              <w:left w:val="nil"/>
              <w:bottom w:val="single" w:sz="4" w:space="0" w:color="auto"/>
              <w:right w:val="single" w:sz="4" w:space="0" w:color="auto"/>
            </w:tcBorders>
            <w:shd w:val="clear" w:color="auto" w:fill="auto"/>
            <w:noWrap/>
            <w:vAlign w:val="center"/>
            <w:hideMark/>
          </w:tcPr>
          <w:p w14:paraId="1A760FD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2 155,6</w:t>
            </w:r>
          </w:p>
        </w:tc>
        <w:tc>
          <w:tcPr>
            <w:tcW w:w="1134" w:type="dxa"/>
            <w:tcBorders>
              <w:top w:val="nil"/>
              <w:left w:val="nil"/>
              <w:bottom w:val="single" w:sz="4" w:space="0" w:color="auto"/>
              <w:right w:val="single" w:sz="4" w:space="0" w:color="auto"/>
            </w:tcBorders>
            <w:shd w:val="clear" w:color="auto" w:fill="auto"/>
            <w:noWrap/>
            <w:vAlign w:val="center"/>
            <w:hideMark/>
          </w:tcPr>
          <w:p w14:paraId="3E4B14B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2 155,6</w:t>
            </w:r>
          </w:p>
        </w:tc>
        <w:tc>
          <w:tcPr>
            <w:tcW w:w="992" w:type="dxa"/>
            <w:tcBorders>
              <w:top w:val="nil"/>
              <w:left w:val="nil"/>
              <w:bottom w:val="single" w:sz="4" w:space="0" w:color="auto"/>
              <w:right w:val="single" w:sz="4" w:space="0" w:color="auto"/>
            </w:tcBorders>
            <w:shd w:val="clear" w:color="auto" w:fill="auto"/>
            <w:noWrap/>
            <w:vAlign w:val="center"/>
            <w:hideMark/>
          </w:tcPr>
          <w:p w14:paraId="6167316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-163,5</w:t>
            </w:r>
          </w:p>
        </w:tc>
        <w:tc>
          <w:tcPr>
            <w:tcW w:w="827" w:type="dxa"/>
            <w:tcBorders>
              <w:top w:val="nil"/>
              <w:left w:val="nil"/>
              <w:bottom w:val="single" w:sz="4" w:space="0" w:color="auto"/>
              <w:right w:val="double" w:sz="6" w:space="0" w:color="auto"/>
            </w:tcBorders>
            <w:shd w:val="clear" w:color="auto" w:fill="auto"/>
            <w:noWrap/>
            <w:vAlign w:val="center"/>
            <w:hideMark/>
          </w:tcPr>
          <w:p w14:paraId="4EDF5D1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-150,8</w:t>
            </w:r>
          </w:p>
        </w:tc>
      </w:tr>
      <w:tr w:rsidR="00FD7B0B" w:rsidRPr="00FD7B0B" w14:paraId="0D1740D0" w14:textId="77777777" w:rsidTr="009B056F">
        <w:trPr>
          <w:trHeight w:val="441"/>
        </w:trPr>
        <w:tc>
          <w:tcPr>
            <w:tcW w:w="1985" w:type="dxa"/>
            <w:tcBorders>
              <w:top w:val="nil"/>
              <w:left w:val="double" w:sz="6" w:space="0" w:color="auto"/>
              <w:bottom w:val="single" w:sz="4" w:space="0" w:color="auto"/>
              <w:right w:val="single" w:sz="4" w:space="0" w:color="auto"/>
            </w:tcBorders>
            <w:shd w:val="clear" w:color="auto" w:fill="auto"/>
            <w:vAlign w:val="bottom"/>
            <w:hideMark/>
          </w:tcPr>
          <w:p w14:paraId="6D96A35E"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федеральный и областной бюджет</w:t>
            </w:r>
          </w:p>
        </w:tc>
        <w:tc>
          <w:tcPr>
            <w:tcW w:w="1276" w:type="dxa"/>
            <w:tcBorders>
              <w:top w:val="nil"/>
              <w:left w:val="nil"/>
              <w:bottom w:val="single" w:sz="4" w:space="0" w:color="auto"/>
              <w:right w:val="single" w:sz="4" w:space="0" w:color="auto"/>
            </w:tcBorders>
            <w:shd w:val="clear" w:color="auto" w:fill="auto"/>
            <w:noWrap/>
            <w:vAlign w:val="center"/>
            <w:hideMark/>
          </w:tcPr>
          <w:p w14:paraId="47064A8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1 802,9</w:t>
            </w:r>
          </w:p>
        </w:tc>
        <w:tc>
          <w:tcPr>
            <w:tcW w:w="1134" w:type="dxa"/>
            <w:tcBorders>
              <w:top w:val="nil"/>
              <w:left w:val="nil"/>
              <w:bottom w:val="single" w:sz="4" w:space="0" w:color="auto"/>
              <w:right w:val="single" w:sz="4" w:space="0" w:color="auto"/>
            </w:tcBorders>
            <w:shd w:val="clear" w:color="auto" w:fill="auto"/>
            <w:noWrap/>
            <w:vAlign w:val="center"/>
            <w:hideMark/>
          </w:tcPr>
          <w:p w14:paraId="57650C5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1 795,9</w:t>
            </w:r>
          </w:p>
        </w:tc>
        <w:tc>
          <w:tcPr>
            <w:tcW w:w="1134" w:type="dxa"/>
            <w:tcBorders>
              <w:top w:val="nil"/>
              <w:left w:val="nil"/>
              <w:bottom w:val="single" w:sz="4" w:space="0" w:color="auto"/>
              <w:right w:val="single" w:sz="4" w:space="0" w:color="auto"/>
            </w:tcBorders>
            <w:shd w:val="clear" w:color="auto" w:fill="auto"/>
            <w:noWrap/>
            <w:vAlign w:val="center"/>
            <w:hideMark/>
          </w:tcPr>
          <w:p w14:paraId="5A97E29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1 750,5</w:t>
            </w:r>
          </w:p>
        </w:tc>
        <w:tc>
          <w:tcPr>
            <w:tcW w:w="1134" w:type="dxa"/>
            <w:tcBorders>
              <w:top w:val="nil"/>
              <w:left w:val="nil"/>
              <w:bottom w:val="single" w:sz="4" w:space="0" w:color="auto"/>
              <w:right w:val="single" w:sz="4" w:space="0" w:color="auto"/>
            </w:tcBorders>
            <w:shd w:val="clear" w:color="auto" w:fill="auto"/>
            <w:noWrap/>
            <w:vAlign w:val="center"/>
            <w:hideMark/>
          </w:tcPr>
          <w:p w14:paraId="0FDB908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1 645,1</w:t>
            </w:r>
          </w:p>
        </w:tc>
        <w:tc>
          <w:tcPr>
            <w:tcW w:w="1134" w:type="dxa"/>
            <w:tcBorders>
              <w:top w:val="nil"/>
              <w:left w:val="nil"/>
              <w:bottom w:val="single" w:sz="4" w:space="0" w:color="auto"/>
              <w:right w:val="single" w:sz="4" w:space="0" w:color="auto"/>
            </w:tcBorders>
            <w:shd w:val="clear" w:color="auto" w:fill="auto"/>
            <w:noWrap/>
            <w:vAlign w:val="center"/>
            <w:hideMark/>
          </w:tcPr>
          <w:p w14:paraId="7545035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1 645,1</w:t>
            </w:r>
          </w:p>
        </w:tc>
        <w:tc>
          <w:tcPr>
            <w:tcW w:w="992" w:type="dxa"/>
            <w:tcBorders>
              <w:top w:val="nil"/>
              <w:left w:val="nil"/>
              <w:bottom w:val="single" w:sz="4" w:space="0" w:color="auto"/>
              <w:right w:val="single" w:sz="4" w:space="0" w:color="auto"/>
            </w:tcBorders>
            <w:shd w:val="clear" w:color="auto" w:fill="auto"/>
            <w:noWrap/>
            <w:vAlign w:val="center"/>
            <w:hideMark/>
          </w:tcPr>
          <w:p w14:paraId="739E923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-157,8</w:t>
            </w:r>
          </w:p>
        </w:tc>
        <w:tc>
          <w:tcPr>
            <w:tcW w:w="827" w:type="dxa"/>
            <w:tcBorders>
              <w:top w:val="nil"/>
              <w:left w:val="nil"/>
              <w:bottom w:val="single" w:sz="4" w:space="0" w:color="auto"/>
              <w:right w:val="double" w:sz="6" w:space="0" w:color="auto"/>
            </w:tcBorders>
            <w:shd w:val="clear" w:color="auto" w:fill="auto"/>
            <w:noWrap/>
            <w:vAlign w:val="center"/>
            <w:hideMark/>
          </w:tcPr>
          <w:p w14:paraId="255D732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-150,8</w:t>
            </w:r>
          </w:p>
        </w:tc>
      </w:tr>
      <w:tr w:rsidR="00FD7B0B" w:rsidRPr="00FD7B0B" w14:paraId="5B128E18" w14:textId="77777777" w:rsidTr="009B056F">
        <w:trPr>
          <w:trHeight w:val="454"/>
        </w:trPr>
        <w:tc>
          <w:tcPr>
            <w:tcW w:w="1985" w:type="dxa"/>
            <w:tcBorders>
              <w:top w:val="nil"/>
              <w:left w:val="double" w:sz="6" w:space="0" w:color="auto"/>
              <w:bottom w:val="double" w:sz="6" w:space="0" w:color="auto"/>
              <w:right w:val="single" w:sz="4" w:space="0" w:color="auto"/>
            </w:tcBorders>
            <w:shd w:val="clear" w:color="auto" w:fill="auto"/>
            <w:vAlign w:val="bottom"/>
            <w:hideMark/>
          </w:tcPr>
          <w:p w14:paraId="501E3464"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внебюджетные источники по данным ГП №07</w:t>
            </w:r>
          </w:p>
        </w:tc>
        <w:tc>
          <w:tcPr>
            <w:tcW w:w="1276" w:type="dxa"/>
            <w:tcBorders>
              <w:top w:val="nil"/>
              <w:left w:val="nil"/>
              <w:bottom w:val="double" w:sz="6" w:space="0" w:color="auto"/>
              <w:right w:val="single" w:sz="4" w:space="0" w:color="auto"/>
            </w:tcBorders>
            <w:shd w:val="clear" w:color="auto" w:fill="auto"/>
            <w:noWrap/>
            <w:vAlign w:val="center"/>
            <w:hideMark/>
          </w:tcPr>
          <w:p w14:paraId="31CCCF7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516,2</w:t>
            </w:r>
          </w:p>
        </w:tc>
        <w:tc>
          <w:tcPr>
            <w:tcW w:w="1134" w:type="dxa"/>
            <w:tcBorders>
              <w:top w:val="nil"/>
              <w:left w:val="nil"/>
              <w:bottom w:val="double" w:sz="6" w:space="0" w:color="auto"/>
              <w:right w:val="single" w:sz="4" w:space="0" w:color="auto"/>
            </w:tcBorders>
            <w:shd w:val="clear" w:color="auto" w:fill="auto"/>
            <w:noWrap/>
            <w:vAlign w:val="center"/>
            <w:hideMark/>
          </w:tcPr>
          <w:p w14:paraId="193F309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510,5</w:t>
            </w:r>
          </w:p>
        </w:tc>
        <w:tc>
          <w:tcPr>
            <w:tcW w:w="1134" w:type="dxa"/>
            <w:tcBorders>
              <w:top w:val="nil"/>
              <w:left w:val="nil"/>
              <w:bottom w:val="double" w:sz="6" w:space="0" w:color="auto"/>
              <w:right w:val="single" w:sz="4" w:space="0" w:color="auto"/>
            </w:tcBorders>
            <w:shd w:val="clear" w:color="auto" w:fill="auto"/>
            <w:noWrap/>
            <w:vAlign w:val="center"/>
            <w:hideMark/>
          </w:tcPr>
          <w:p w14:paraId="2836F09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510,5</w:t>
            </w:r>
          </w:p>
        </w:tc>
        <w:tc>
          <w:tcPr>
            <w:tcW w:w="1134" w:type="dxa"/>
            <w:tcBorders>
              <w:top w:val="nil"/>
              <w:left w:val="nil"/>
              <w:bottom w:val="double" w:sz="6" w:space="0" w:color="auto"/>
              <w:right w:val="single" w:sz="4" w:space="0" w:color="auto"/>
            </w:tcBorders>
            <w:shd w:val="clear" w:color="auto" w:fill="auto"/>
            <w:noWrap/>
            <w:vAlign w:val="center"/>
            <w:hideMark/>
          </w:tcPr>
          <w:p w14:paraId="5EB8700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510,5</w:t>
            </w:r>
          </w:p>
        </w:tc>
        <w:tc>
          <w:tcPr>
            <w:tcW w:w="1134" w:type="dxa"/>
            <w:tcBorders>
              <w:top w:val="nil"/>
              <w:left w:val="nil"/>
              <w:bottom w:val="double" w:sz="6" w:space="0" w:color="auto"/>
              <w:right w:val="single" w:sz="4" w:space="0" w:color="auto"/>
            </w:tcBorders>
            <w:shd w:val="clear" w:color="auto" w:fill="auto"/>
            <w:noWrap/>
            <w:vAlign w:val="center"/>
            <w:hideMark/>
          </w:tcPr>
          <w:p w14:paraId="64AE859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510,5</w:t>
            </w:r>
          </w:p>
        </w:tc>
        <w:tc>
          <w:tcPr>
            <w:tcW w:w="992" w:type="dxa"/>
            <w:tcBorders>
              <w:top w:val="nil"/>
              <w:left w:val="nil"/>
              <w:bottom w:val="double" w:sz="6" w:space="0" w:color="auto"/>
              <w:right w:val="single" w:sz="4" w:space="0" w:color="auto"/>
            </w:tcBorders>
            <w:shd w:val="clear" w:color="auto" w:fill="auto"/>
            <w:noWrap/>
            <w:vAlign w:val="center"/>
            <w:hideMark/>
          </w:tcPr>
          <w:p w14:paraId="16481C3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-5,7</w:t>
            </w:r>
          </w:p>
        </w:tc>
        <w:tc>
          <w:tcPr>
            <w:tcW w:w="827" w:type="dxa"/>
            <w:tcBorders>
              <w:top w:val="nil"/>
              <w:left w:val="nil"/>
              <w:bottom w:val="double" w:sz="6" w:space="0" w:color="auto"/>
              <w:right w:val="double" w:sz="6" w:space="0" w:color="auto"/>
            </w:tcBorders>
            <w:shd w:val="clear" w:color="auto" w:fill="auto"/>
            <w:noWrap/>
            <w:vAlign w:val="center"/>
            <w:hideMark/>
          </w:tcPr>
          <w:p w14:paraId="6770524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bl>
    <w:p w14:paraId="71E2100C" w14:textId="77777777" w:rsidR="006266DC" w:rsidRPr="00FD7B0B" w:rsidRDefault="006266DC" w:rsidP="006266DC">
      <w:pPr>
        <w:autoSpaceDE w:val="0"/>
        <w:autoSpaceDN w:val="0"/>
        <w:adjustRightInd w:val="0"/>
        <w:spacing w:after="0" w:line="240" w:lineRule="auto"/>
        <w:ind w:firstLine="709"/>
        <w:jc w:val="right"/>
        <w:rPr>
          <w:rFonts w:ascii="Times New Roman" w:hAnsi="Times New Roman" w:cs="Times New Roman"/>
          <w:spacing w:val="2"/>
          <w:sz w:val="20"/>
          <w:szCs w:val="20"/>
        </w:rPr>
      </w:pPr>
      <w:r w:rsidRPr="00FD7B0B">
        <w:rPr>
          <w:rFonts w:ascii="Times New Roman" w:hAnsi="Times New Roman" w:cs="Times New Roman"/>
          <w:spacing w:val="2"/>
          <w:sz w:val="20"/>
          <w:szCs w:val="20"/>
        </w:rPr>
        <w:t>млн.руб.</w:t>
      </w:r>
    </w:p>
    <w:tbl>
      <w:tblPr>
        <w:tblW w:w="9677" w:type="dxa"/>
        <w:tblInd w:w="-23" w:type="dxa"/>
        <w:tblLook w:val="04A0" w:firstRow="1" w:lastRow="0" w:firstColumn="1" w:lastColumn="0" w:noHBand="0" w:noVBand="1"/>
      </w:tblPr>
      <w:tblGrid>
        <w:gridCol w:w="2694"/>
        <w:gridCol w:w="3402"/>
        <w:gridCol w:w="1843"/>
        <w:gridCol w:w="1738"/>
      </w:tblGrid>
      <w:tr w:rsidR="00FD7B0B" w:rsidRPr="00FD7B0B" w14:paraId="38A3A871" w14:textId="77777777" w:rsidTr="009B056F">
        <w:trPr>
          <w:trHeight w:val="263"/>
        </w:trPr>
        <w:tc>
          <w:tcPr>
            <w:tcW w:w="2694"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14:paraId="088E9AB1" w14:textId="77777777" w:rsidR="006266DC" w:rsidRPr="00FD7B0B" w:rsidRDefault="006266DC" w:rsidP="009B056F">
            <w:pPr>
              <w:spacing w:after="0" w:line="240" w:lineRule="auto"/>
              <w:ind w:right="-533"/>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Источник финансирования</w:t>
            </w:r>
          </w:p>
        </w:tc>
        <w:tc>
          <w:tcPr>
            <w:tcW w:w="3402" w:type="dxa"/>
            <w:tcBorders>
              <w:top w:val="double" w:sz="6" w:space="0" w:color="auto"/>
              <w:left w:val="nil"/>
              <w:bottom w:val="single" w:sz="4" w:space="0" w:color="auto"/>
              <w:right w:val="single" w:sz="4" w:space="0" w:color="auto"/>
            </w:tcBorders>
            <w:shd w:val="clear" w:color="000000" w:fill="FFFFFF"/>
            <w:vAlign w:val="center"/>
            <w:hideMark/>
          </w:tcPr>
          <w:p w14:paraId="61D1355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ред. ОЗ от 23.12.2024 № 176-13-ОЗ</w:t>
            </w:r>
          </w:p>
        </w:tc>
        <w:tc>
          <w:tcPr>
            <w:tcW w:w="1843" w:type="dxa"/>
            <w:tcBorders>
              <w:top w:val="double" w:sz="6" w:space="0" w:color="auto"/>
              <w:left w:val="nil"/>
              <w:bottom w:val="single" w:sz="4" w:space="0" w:color="auto"/>
              <w:right w:val="single" w:sz="4" w:space="0" w:color="auto"/>
            </w:tcBorders>
            <w:shd w:val="clear" w:color="auto" w:fill="auto"/>
            <w:vAlign w:val="center"/>
            <w:hideMark/>
          </w:tcPr>
          <w:p w14:paraId="31F9326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СБР на 31.12.2024</w:t>
            </w:r>
          </w:p>
        </w:tc>
        <w:tc>
          <w:tcPr>
            <w:tcW w:w="1738" w:type="dxa"/>
            <w:tcBorders>
              <w:top w:val="double" w:sz="6" w:space="0" w:color="auto"/>
              <w:left w:val="nil"/>
              <w:bottom w:val="single" w:sz="4" w:space="0" w:color="auto"/>
              <w:right w:val="double" w:sz="6" w:space="0" w:color="auto"/>
            </w:tcBorders>
            <w:shd w:val="clear" w:color="auto" w:fill="auto"/>
            <w:noWrap/>
            <w:vAlign w:val="bottom"/>
            <w:hideMark/>
          </w:tcPr>
          <w:p w14:paraId="400FC92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r>
      <w:tr w:rsidR="00FD7B0B" w:rsidRPr="00FD7B0B" w14:paraId="4BB5EE7B" w14:textId="77777777" w:rsidTr="009B056F">
        <w:trPr>
          <w:trHeight w:val="248"/>
        </w:trPr>
        <w:tc>
          <w:tcPr>
            <w:tcW w:w="2694" w:type="dxa"/>
            <w:tcBorders>
              <w:top w:val="nil"/>
              <w:left w:val="double" w:sz="6" w:space="0" w:color="auto"/>
              <w:bottom w:val="single" w:sz="4" w:space="0" w:color="auto"/>
              <w:right w:val="single" w:sz="4" w:space="0" w:color="auto"/>
            </w:tcBorders>
            <w:shd w:val="clear" w:color="auto" w:fill="auto"/>
            <w:vAlign w:val="center"/>
            <w:hideMark/>
          </w:tcPr>
          <w:p w14:paraId="7981CC64"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федеральный бюджет</w:t>
            </w:r>
          </w:p>
        </w:tc>
        <w:tc>
          <w:tcPr>
            <w:tcW w:w="3402" w:type="dxa"/>
            <w:tcBorders>
              <w:top w:val="nil"/>
              <w:left w:val="nil"/>
              <w:bottom w:val="single" w:sz="4" w:space="0" w:color="auto"/>
              <w:right w:val="single" w:sz="4" w:space="0" w:color="auto"/>
            </w:tcBorders>
            <w:shd w:val="clear" w:color="auto" w:fill="auto"/>
            <w:noWrap/>
            <w:vAlign w:val="bottom"/>
            <w:hideMark/>
          </w:tcPr>
          <w:p w14:paraId="038B144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918,3</w:t>
            </w:r>
          </w:p>
        </w:tc>
        <w:tc>
          <w:tcPr>
            <w:tcW w:w="1843" w:type="dxa"/>
            <w:tcBorders>
              <w:top w:val="nil"/>
              <w:left w:val="nil"/>
              <w:bottom w:val="single" w:sz="4" w:space="0" w:color="auto"/>
              <w:right w:val="single" w:sz="4" w:space="0" w:color="auto"/>
            </w:tcBorders>
            <w:shd w:val="clear" w:color="auto" w:fill="auto"/>
            <w:noWrap/>
            <w:vAlign w:val="bottom"/>
            <w:hideMark/>
          </w:tcPr>
          <w:p w14:paraId="0995129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810,7</w:t>
            </w:r>
          </w:p>
        </w:tc>
        <w:tc>
          <w:tcPr>
            <w:tcW w:w="1738" w:type="dxa"/>
            <w:tcBorders>
              <w:top w:val="nil"/>
              <w:left w:val="nil"/>
              <w:bottom w:val="single" w:sz="4" w:space="0" w:color="auto"/>
              <w:right w:val="double" w:sz="6" w:space="0" w:color="auto"/>
            </w:tcBorders>
            <w:shd w:val="clear" w:color="auto" w:fill="auto"/>
            <w:noWrap/>
            <w:vAlign w:val="bottom"/>
            <w:hideMark/>
          </w:tcPr>
          <w:p w14:paraId="36F763A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-107,6</w:t>
            </w:r>
          </w:p>
        </w:tc>
      </w:tr>
      <w:tr w:rsidR="00FD7B0B" w:rsidRPr="00FD7B0B" w14:paraId="2DF5E111" w14:textId="77777777" w:rsidTr="009B056F">
        <w:trPr>
          <w:trHeight w:val="248"/>
        </w:trPr>
        <w:tc>
          <w:tcPr>
            <w:tcW w:w="2694" w:type="dxa"/>
            <w:tcBorders>
              <w:top w:val="nil"/>
              <w:left w:val="double" w:sz="6" w:space="0" w:color="auto"/>
              <w:bottom w:val="single" w:sz="4" w:space="0" w:color="auto"/>
              <w:right w:val="single" w:sz="4" w:space="0" w:color="auto"/>
            </w:tcBorders>
            <w:shd w:val="clear" w:color="auto" w:fill="auto"/>
            <w:vAlign w:val="center"/>
            <w:hideMark/>
          </w:tcPr>
          <w:p w14:paraId="1D8ABA1B"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3402" w:type="dxa"/>
            <w:tcBorders>
              <w:top w:val="nil"/>
              <w:left w:val="nil"/>
              <w:bottom w:val="single" w:sz="4" w:space="0" w:color="auto"/>
              <w:right w:val="single" w:sz="4" w:space="0" w:color="auto"/>
            </w:tcBorders>
            <w:shd w:val="clear" w:color="auto" w:fill="auto"/>
            <w:noWrap/>
            <w:vAlign w:val="bottom"/>
            <w:hideMark/>
          </w:tcPr>
          <w:p w14:paraId="6E1253F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877,6</w:t>
            </w:r>
          </w:p>
        </w:tc>
        <w:tc>
          <w:tcPr>
            <w:tcW w:w="1843" w:type="dxa"/>
            <w:tcBorders>
              <w:top w:val="nil"/>
              <w:left w:val="nil"/>
              <w:bottom w:val="single" w:sz="4" w:space="0" w:color="auto"/>
              <w:right w:val="single" w:sz="4" w:space="0" w:color="auto"/>
            </w:tcBorders>
            <w:shd w:val="clear" w:color="auto" w:fill="auto"/>
            <w:noWrap/>
            <w:vAlign w:val="bottom"/>
            <w:hideMark/>
          </w:tcPr>
          <w:p w14:paraId="502CAA8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834,4</w:t>
            </w:r>
          </w:p>
        </w:tc>
        <w:tc>
          <w:tcPr>
            <w:tcW w:w="1738" w:type="dxa"/>
            <w:tcBorders>
              <w:top w:val="nil"/>
              <w:left w:val="nil"/>
              <w:bottom w:val="single" w:sz="4" w:space="0" w:color="auto"/>
              <w:right w:val="double" w:sz="6" w:space="0" w:color="auto"/>
            </w:tcBorders>
            <w:shd w:val="clear" w:color="auto" w:fill="auto"/>
            <w:noWrap/>
            <w:vAlign w:val="bottom"/>
            <w:hideMark/>
          </w:tcPr>
          <w:p w14:paraId="5C97286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-43,2</w:t>
            </w:r>
          </w:p>
        </w:tc>
      </w:tr>
      <w:tr w:rsidR="00FD7B0B" w:rsidRPr="00FD7B0B" w14:paraId="18C04C5E" w14:textId="77777777" w:rsidTr="009B056F">
        <w:trPr>
          <w:trHeight w:val="263"/>
        </w:trPr>
        <w:tc>
          <w:tcPr>
            <w:tcW w:w="2694" w:type="dxa"/>
            <w:tcBorders>
              <w:top w:val="nil"/>
              <w:left w:val="double" w:sz="6" w:space="0" w:color="auto"/>
              <w:bottom w:val="double" w:sz="6" w:space="0" w:color="auto"/>
              <w:right w:val="single" w:sz="4" w:space="0" w:color="auto"/>
            </w:tcBorders>
            <w:shd w:val="clear" w:color="auto" w:fill="auto"/>
            <w:noWrap/>
            <w:vAlign w:val="bottom"/>
            <w:hideMark/>
          </w:tcPr>
          <w:p w14:paraId="4CC8275C"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 по ГП №07</w:t>
            </w:r>
          </w:p>
        </w:tc>
        <w:tc>
          <w:tcPr>
            <w:tcW w:w="3402" w:type="dxa"/>
            <w:tcBorders>
              <w:top w:val="nil"/>
              <w:left w:val="nil"/>
              <w:bottom w:val="double" w:sz="6" w:space="0" w:color="auto"/>
              <w:right w:val="single" w:sz="4" w:space="0" w:color="auto"/>
            </w:tcBorders>
            <w:shd w:val="clear" w:color="auto" w:fill="auto"/>
            <w:noWrap/>
            <w:vAlign w:val="bottom"/>
            <w:hideMark/>
          </w:tcPr>
          <w:p w14:paraId="359ADAA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1 795,9</w:t>
            </w:r>
          </w:p>
        </w:tc>
        <w:tc>
          <w:tcPr>
            <w:tcW w:w="1843" w:type="dxa"/>
            <w:tcBorders>
              <w:top w:val="nil"/>
              <w:left w:val="nil"/>
              <w:bottom w:val="double" w:sz="6" w:space="0" w:color="auto"/>
              <w:right w:val="single" w:sz="4" w:space="0" w:color="auto"/>
            </w:tcBorders>
            <w:shd w:val="clear" w:color="auto" w:fill="auto"/>
            <w:noWrap/>
            <w:vAlign w:val="bottom"/>
            <w:hideMark/>
          </w:tcPr>
          <w:p w14:paraId="10C1FCA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1 645,1</w:t>
            </w:r>
          </w:p>
        </w:tc>
        <w:tc>
          <w:tcPr>
            <w:tcW w:w="1738" w:type="dxa"/>
            <w:tcBorders>
              <w:top w:val="nil"/>
              <w:left w:val="nil"/>
              <w:bottom w:val="double" w:sz="6" w:space="0" w:color="auto"/>
              <w:right w:val="double" w:sz="6" w:space="0" w:color="auto"/>
            </w:tcBorders>
            <w:shd w:val="clear" w:color="auto" w:fill="auto"/>
            <w:noWrap/>
            <w:vAlign w:val="bottom"/>
            <w:hideMark/>
          </w:tcPr>
          <w:p w14:paraId="7D07366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-150,8</w:t>
            </w:r>
          </w:p>
        </w:tc>
      </w:tr>
    </w:tbl>
    <w:p w14:paraId="56B6522C" w14:textId="77777777" w:rsidR="009B056F" w:rsidRPr="00FD7B0B" w:rsidRDefault="009B056F" w:rsidP="006266DC">
      <w:pPr>
        <w:autoSpaceDE w:val="0"/>
        <w:autoSpaceDN w:val="0"/>
        <w:adjustRightInd w:val="0"/>
        <w:spacing w:after="0" w:line="240" w:lineRule="auto"/>
        <w:ind w:firstLine="709"/>
        <w:jc w:val="both"/>
        <w:rPr>
          <w:rFonts w:ascii="Times New Roman" w:hAnsi="Times New Roman" w:cs="Times New Roman"/>
          <w:spacing w:val="2"/>
          <w:sz w:val="28"/>
          <w:szCs w:val="28"/>
        </w:rPr>
      </w:pPr>
    </w:p>
    <w:p w14:paraId="243E785C" w14:textId="52AC17A8" w:rsidR="006266DC" w:rsidRPr="00FD7B0B" w:rsidRDefault="006266DC" w:rsidP="006266DC">
      <w:pPr>
        <w:autoSpaceDE w:val="0"/>
        <w:autoSpaceDN w:val="0"/>
        <w:adjustRightInd w:val="0"/>
        <w:spacing w:after="0" w:line="240" w:lineRule="auto"/>
        <w:ind w:firstLine="709"/>
        <w:jc w:val="both"/>
        <w:rPr>
          <w:rFonts w:ascii="Times New Roman" w:hAnsi="Times New Roman" w:cs="Times New Roman"/>
          <w:spacing w:val="2"/>
          <w:sz w:val="28"/>
          <w:szCs w:val="28"/>
        </w:rPr>
      </w:pPr>
      <w:r w:rsidRPr="00FD7B0B">
        <w:rPr>
          <w:rFonts w:ascii="Times New Roman" w:hAnsi="Times New Roman" w:cs="Times New Roman"/>
          <w:spacing w:val="2"/>
          <w:sz w:val="28"/>
          <w:szCs w:val="28"/>
        </w:rPr>
        <w:t xml:space="preserve">Объемы финансового обеспечения в паспорте </w:t>
      </w:r>
      <w:r w:rsidRPr="00FD7B0B">
        <w:rPr>
          <w:rFonts w:ascii="Times New Roman" w:eastAsia="Times New Roman" w:hAnsi="Times New Roman" w:cs="Times New Roman"/>
          <w:sz w:val="28"/>
          <w:szCs w:val="28"/>
          <w:lang w:eastAsia="ru-RU"/>
        </w:rPr>
        <w:t xml:space="preserve">ГП №07, КПМ, РП </w:t>
      </w:r>
      <w:r w:rsidRPr="00FD7B0B">
        <w:rPr>
          <w:rFonts w:ascii="Times New Roman" w:hAnsi="Times New Roman" w:cs="Times New Roman"/>
          <w:spacing w:val="2"/>
          <w:sz w:val="28"/>
          <w:szCs w:val="28"/>
        </w:rPr>
        <w:t xml:space="preserve">на 2024 год приведены в соответствии с </w:t>
      </w:r>
      <w:r w:rsidRPr="00FD7B0B">
        <w:rPr>
          <w:rFonts w:ascii="Times New Roman" w:eastAsia="Times New Roman" w:hAnsi="Times New Roman" w:cs="Times New Roman"/>
          <w:sz w:val="28"/>
          <w:szCs w:val="28"/>
          <w:lang w:eastAsia="ru-RU"/>
        </w:rPr>
        <w:t xml:space="preserve">Законом «Об областном бюджете» </w:t>
      </w:r>
      <w:r w:rsidRPr="00FD7B0B">
        <w:rPr>
          <w:rFonts w:ascii="Times New Roman" w:hAnsi="Times New Roman" w:cs="Times New Roman"/>
          <w:spacing w:val="2"/>
          <w:sz w:val="28"/>
          <w:szCs w:val="28"/>
        </w:rPr>
        <w:t xml:space="preserve">и со сводной бюджетной росписью по состоянию на 05 декабря 2024 года. </w:t>
      </w:r>
      <w:r w:rsidRPr="00FD7B0B">
        <w:rPr>
          <w:rFonts w:ascii="Times New Roman" w:eastAsia="Times New Roman" w:hAnsi="Times New Roman" w:cs="Times New Roman"/>
          <w:sz w:val="28"/>
          <w:szCs w:val="28"/>
          <w:lang w:eastAsia="ru-RU"/>
        </w:rPr>
        <w:t xml:space="preserve">Бюджетные ассигнования на 2024 год, предусмотренные на реализацию ГП № 07, КПМ, РП в 2024 году не приведены в соответствие со сводной бюджетной росписью областного бюджета на 31.12.2024 в связи с отсутствием правовых оснований для внесения изменений в редакцию госпрограммы, утратившую силу с 01.01.2025. </w:t>
      </w:r>
      <w:r w:rsidRPr="00FD7B0B">
        <w:rPr>
          <w:rFonts w:ascii="Times New Roman" w:hAnsi="Times New Roman" w:cs="Times New Roman"/>
          <w:spacing w:val="2"/>
          <w:sz w:val="28"/>
          <w:szCs w:val="28"/>
        </w:rPr>
        <w:t>В отчете ГП №</w:t>
      </w:r>
      <w:r w:rsidR="009B056F" w:rsidRPr="00FD7B0B">
        <w:rPr>
          <w:rFonts w:ascii="Times New Roman" w:hAnsi="Times New Roman" w:cs="Times New Roman"/>
          <w:spacing w:val="2"/>
          <w:sz w:val="28"/>
          <w:szCs w:val="28"/>
        </w:rPr>
        <w:t xml:space="preserve"> </w:t>
      </w:r>
      <w:r w:rsidRPr="00FD7B0B">
        <w:rPr>
          <w:rFonts w:ascii="Times New Roman" w:hAnsi="Times New Roman" w:cs="Times New Roman"/>
          <w:spacing w:val="2"/>
          <w:sz w:val="28"/>
          <w:szCs w:val="28"/>
        </w:rPr>
        <w:t>07 плановое финансовое обеспечение отражено в объеме ассигнований, утвержденных в СБР на 31.12.2024.</w:t>
      </w:r>
    </w:p>
    <w:p w14:paraId="0B9C1C78" w14:textId="77777777" w:rsidR="006266DC" w:rsidRPr="00FD7B0B" w:rsidRDefault="006266DC" w:rsidP="006266DC">
      <w:pPr>
        <w:pStyle w:val="afe"/>
        <w:spacing w:after="0"/>
        <w:ind w:firstLine="709"/>
        <w:rPr>
          <w:rFonts w:ascii="Times New Roman" w:eastAsia="Times New Roman" w:hAnsi="Times New Roman"/>
          <w:sz w:val="28"/>
          <w:szCs w:val="28"/>
          <w:lang w:val="ru-RU" w:eastAsia="ru-RU"/>
        </w:rPr>
      </w:pPr>
    </w:p>
    <w:p w14:paraId="7EFCE029" w14:textId="349B5DD4" w:rsidR="006266DC" w:rsidRPr="00FD7B0B" w:rsidRDefault="006266DC" w:rsidP="006266DC">
      <w:pPr>
        <w:pStyle w:val="afe"/>
        <w:spacing w:after="0"/>
        <w:ind w:firstLine="709"/>
        <w:rPr>
          <w:rFonts w:ascii="Times New Roman" w:hAnsi="Times New Roman"/>
          <w:sz w:val="28"/>
          <w:szCs w:val="28"/>
          <w:lang w:val="ru-RU"/>
        </w:rPr>
      </w:pPr>
      <w:r w:rsidRPr="00FD7B0B">
        <w:rPr>
          <w:rFonts w:ascii="Times New Roman" w:eastAsia="Times New Roman" w:hAnsi="Times New Roman"/>
          <w:sz w:val="28"/>
          <w:szCs w:val="28"/>
          <w:lang w:eastAsia="ru-RU"/>
        </w:rPr>
        <w:t>По состоянию на 31.12.202</w:t>
      </w:r>
      <w:r w:rsidRPr="00FD7B0B">
        <w:rPr>
          <w:rFonts w:ascii="Times New Roman" w:eastAsia="Times New Roman" w:hAnsi="Times New Roman"/>
          <w:sz w:val="28"/>
          <w:szCs w:val="28"/>
          <w:lang w:val="ru-RU" w:eastAsia="ru-RU"/>
        </w:rPr>
        <w:t>4</w:t>
      </w:r>
      <w:r w:rsidRPr="00FD7B0B">
        <w:rPr>
          <w:rFonts w:ascii="Times New Roman" w:eastAsia="Times New Roman" w:hAnsi="Times New Roman"/>
          <w:sz w:val="28"/>
          <w:szCs w:val="28"/>
          <w:lang w:eastAsia="ru-RU"/>
        </w:rPr>
        <w:t xml:space="preserve"> сводной бюджетной росписью областного бюджета расходы на реализацию мероприятий ГП № 07 утверждены </w:t>
      </w:r>
      <w:r w:rsidRPr="00FD7B0B">
        <w:rPr>
          <w:rFonts w:ascii="Times New Roman" w:eastAsia="Times New Roman" w:hAnsi="Times New Roman"/>
          <w:sz w:val="28"/>
          <w:szCs w:val="28"/>
          <w:lang w:val="ru-RU" w:eastAsia="ru-RU"/>
        </w:rPr>
        <w:t>за счет средств федерального и областного бюджета</w:t>
      </w:r>
      <w:r w:rsidRPr="00FD7B0B">
        <w:rPr>
          <w:rFonts w:ascii="Times New Roman" w:eastAsia="Times New Roman" w:hAnsi="Times New Roman"/>
          <w:sz w:val="28"/>
          <w:szCs w:val="28"/>
          <w:lang w:eastAsia="ru-RU"/>
        </w:rPr>
        <w:t xml:space="preserve"> сумме </w:t>
      </w:r>
      <w:r w:rsidRPr="00FD7B0B">
        <w:rPr>
          <w:rFonts w:ascii="Times New Roman" w:eastAsia="Times New Roman" w:hAnsi="Times New Roman"/>
          <w:sz w:val="28"/>
          <w:szCs w:val="28"/>
          <w:lang w:val="ru-RU" w:eastAsia="ru-RU"/>
        </w:rPr>
        <w:t>1 645,1</w:t>
      </w:r>
      <w:r w:rsidRPr="00FD7B0B">
        <w:rPr>
          <w:rFonts w:ascii="Times New Roman" w:eastAsia="Times New Roman" w:hAnsi="Times New Roman"/>
          <w:sz w:val="28"/>
          <w:szCs w:val="28"/>
          <w:lang w:eastAsia="ru-RU"/>
        </w:rPr>
        <w:t xml:space="preserve"> млн.руб., что на </w:t>
      </w:r>
      <w:r w:rsidRPr="00FD7B0B">
        <w:rPr>
          <w:rFonts w:ascii="Times New Roman" w:eastAsia="Times New Roman" w:hAnsi="Times New Roman"/>
          <w:sz w:val="28"/>
          <w:szCs w:val="28"/>
          <w:lang w:val="ru-RU" w:eastAsia="ru-RU"/>
        </w:rPr>
        <w:t>150,8</w:t>
      </w:r>
      <w:r w:rsidRPr="00FD7B0B">
        <w:rPr>
          <w:rFonts w:ascii="Times New Roman" w:eastAsia="Times New Roman" w:hAnsi="Times New Roman"/>
          <w:sz w:val="28"/>
          <w:szCs w:val="28"/>
          <w:lang w:eastAsia="ru-RU"/>
        </w:rPr>
        <w:t xml:space="preserve"> млн.руб. меньше параметров, утвержденных Законом «Об областном бюджете</w:t>
      </w:r>
      <w:r w:rsidRPr="00FD7B0B">
        <w:rPr>
          <w:rFonts w:ascii="Times New Roman" w:eastAsia="Times New Roman" w:hAnsi="Times New Roman"/>
          <w:sz w:val="28"/>
          <w:szCs w:val="28"/>
          <w:lang w:val="ru-RU" w:eastAsia="ru-RU"/>
        </w:rPr>
        <w:t>» в ред. от 23.12.2024</w:t>
      </w:r>
      <w:r w:rsidRPr="00FD7B0B">
        <w:rPr>
          <w:rFonts w:ascii="Times New Roman" w:eastAsia="Times New Roman" w:hAnsi="Times New Roman"/>
          <w:sz w:val="28"/>
          <w:szCs w:val="28"/>
          <w:lang w:eastAsia="ru-RU"/>
        </w:rPr>
        <w:t xml:space="preserve">. В сводной бюджетной росписи ассигнования уменьшены по федеральным средствам в связи с уменьшением фактической потребности средств выделяемых </w:t>
      </w:r>
      <w:r w:rsidRPr="00FD7B0B">
        <w:rPr>
          <w:rFonts w:ascii="Times New Roman" w:hAnsi="Times New Roman"/>
          <w:sz w:val="28"/>
          <w:szCs w:val="28"/>
          <w:lang w:val="ru-RU"/>
        </w:rPr>
        <w:t>на</w:t>
      </w:r>
      <w:r w:rsidRPr="00FD7B0B">
        <w:rPr>
          <w:rFonts w:ascii="Times New Roman" w:hAnsi="Times New Roman"/>
          <w:sz w:val="28"/>
          <w:szCs w:val="28"/>
        </w:rPr>
        <w:t xml:space="preserve"> </w:t>
      </w:r>
      <w:r w:rsidRPr="00FD7B0B">
        <w:rPr>
          <w:rFonts w:ascii="Times New Roman" w:hAnsi="Times New Roman"/>
          <w:sz w:val="28"/>
          <w:szCs w:val="28"/>
          <w:lang w:val="ru-RU"/>
        </w:rPr>
        <w:t>социальные выплаты безработным гражданам.</w:t>
      </w:r>
      <w:r w:rsidRPr="00FD7B0B">
        <w:t xml:space="preserve"> </w:t>
      </w:r>
      <w:r w:rsidRPr="00FD7B0B">
        <w:rPr>
          <w:rFonts w:ascii="Times New Roman" w:hAnsi="Times New Roman"/>
          <w:sz w:val="28"/>
          <w:szCs w:val="28"/>
          <w:lang w:val="ru-RU"/>
        </w:rPr>
        <w:t>Среднемесячная численность получателей пособия по безработице составила 4,4 тыс. человек или 68</w:t>
      </w:r>
      <w:r w:rsidR="009B056F" w:rsidRPr="00FD7B0B">
        <w:rPr>
          <w:rFonts w:ascii="Times New Roman" w:hAnsi="Times New Roman"/>
          <w:sz w:val="28"/>
          <w:szCs w:val="28"/>
          <w:lang w:val="ru-RU"/>
        </w:rPr>
        <w:t xml:space="preserve"> </w:t>
      </w:r>
      <w:r w:rsidRPr="00FD7B0B">
        <w:rPr>
          <w:rFonts w:ascii="Times New Roman" w:hAnsi="Times New Roman"/>
          <w:sz w:val="28"/>
          <w:szCs w:val="28"/>
          <w:lang w:val="ru-RU"/>
        </w:rPr>
        <w:t>% от установленного показателя 6,5 тыс. человек.</w:t>
      </w:r>
    </w:p>
    <w:p w14:paraId="46308A6B" w14:textId="476B6E39" w:rsidR="006266DC" w:rsidRPr="00FD7B0B" w:rsidRDefault="006266DC" w:rsidP="006266DC">
      <w:pPr>
        <w:pStyle w:val="afe"/>
        <w:spacing w:after="0"/>
        <w:ind w:firstLine="709"/>
        <w:rPr>
          <w:rFonts w:ascii="Times New Roman" w:hAnsi="Times New Roman"/>
          <w:sz w:val="28"/>
          <w:szCs w:val="28"/>
          <w:lang w:val="ru-RU"/>
        </w:rPr>
      </w:pPr>
      <w:r w:rsidRPr="00FD7B0B">
        <w:rPr>
          <w:rFonts w:ascii="Times New Roman" w:hAnsi="Times New Roman"/>
          <w:sz w:val="28"/>
          <w:szCs w:val="28"/>
          <w:lang w:val="ru-RU"/>
        </w:rPr>
        <w:t>Изменения в объемы финансирования ГП №</w:t>
      </w:r>
      <w:r w:rsidR="009B056F" w:rsidRPr="00FD7B0B">
        <w:rPr>
          <w:rFonts w:ascii="Times New Roman" w:hAnsi="Times New Roman"/>
          <w:sz w:val="28"/>
          <w:szCs w:val="28"/>
          <w:lang w:val="ru-RU"/>
        </w:rPr>
        <w:t xml:space="preserve"> </w:t>
      </w:r>
      <w:r w:rsidRPr="00FD7B0B">
        <w:rPr>
          <w:rFonts w:ascii="Times New Roman" w:hAnsi="Times New Roman"/>
          <w:sz w:val="28"/>
          <w:szCs w:val="28"/>
          <w:lang w:val="ru-RU"/>
        </w:rPr>
        <w:t xml:space="preserve">07 и КПМ вносились </w:t>
      </w:r>
      <w:r w:rsidRPr="00FD7B0B">
        <w:rPr>
          <w:rFonts w:ascii="Times New Roman" w:hAnsi="Times New Roman"/>
          <w:sz w:val="28"/>
          <w:szCs w:val="28"/>
        </w:rPr>
        <w:t>в связи с изменениями</w:t>
      </w:r>
      <w:r w:rsidRPr="00FD7B0B">
        <w:rPr>
          <w:rFonts w:ascii="Times New Roman" w:hAnsi="Times New Roman"/>
          <w:sz w:val="28"/>
          <w:szCs w:val="28"/>
          <w:lang w:val="ru-RU"/>
        </w:rPr>
        <w:t xml:space="preserve">, внесёнными в областной закон о бюджете на 2024 год и </w:t>
      </w:r>
      <w:r w:rsidRPr="00FD7B0B">
        <w:rPr>
          <w:rFonts w:ascii="Times New Roman" w:hAnsi="Times New Roman"/>
          <w:sz w:val="28"/>
          <w:szCs w:val="28"/>
        </w:rPr>
        <w:t>в сводную бюджетную роспись областного бюджета на 2024 год</w:t>
      </w:r>
      <w:r w:rsidRPr="00FD7B0B">
        <w:rPr>
          <w:rFonts w:ascii="Times New Roman" w:hAnsi="Times New Roman"/>
          <w:sz w:val="28"/>
          <w:szCs w:val="28"/>
          <w:lang w:val="ru-RU"/>
        </w:rPr>
        <w:t xml:space="preserve">; с </w:t>
      </w:r>
      <w:r w:rsidRPr="00FD7B0B">
        <w:rPr>
          <w:rFonts w:ascii="Times New Roman" w:hAnsi="Times New Roman"/>
          <w:sz w:val="28"/>
          <w:szCs w:val="28"/>
        </w:rPr>
        <w:t>исполнени</w:t>
      </w:r>
      <w:r w:rsidRPr="00FD7B0B">
        <w:rPr>
          <w:rFonts w:ascii="Times New Roman" w:hAnsi="Times New Roman"/>
          <w:sz w:val="28"/>
          <w:szCs w:val="28"/>
          <w:lang w:val="ru-RU"/>
        </w:rPr>
        <w:t>ем</w:t>
      </w:r>
      <w:r w:rsidRPr="00FD7B0B">
        <w:rPr>
          <w:rFonts w:ascii="Times New Roman" w:hAnsi="Times New Roman"/>
          <w:sz w:val="28"/>
          <w:szCs w:val="28"/>
        </w:rPr>
        <w:t xml:space="preserve"> поручения министерства финансов Архангельской области от 28</w:t>
      </w:r>
      <w:r w:rsidRPr="00FD7B0B">
        <w:rPr>
          <w:rFonts w:ascii="Times New Roman" w:hAnsi="Times New Roman"/>
          <w:sz w:val="28"/>
          <w:szCs w:val="28"/>
          <w:lang w:val="ru-RU"/>
        </w:rPr>
        <w:t>.02.</w:t>
      </w:r>
      <w:r w:rsidRPr="00FD7B0B">
        <w:rPr>
          <w:rFonts w:ascii="Times New Roman" w:hAnsi="Times New Roman"/>
          <w:sz w:val="28"/>
          <w:szCs w:val="28"/>
        </w:rPr>
        <w:t>2024 № АА-ПП/20 о сокращении расходов областного бюджета в 2024 году по направлениям расходов, не отнесенных к первоочередным</w:t>
      </w:r>
      <w:r w:rsidRPr="00FD7B0B">
        <w:rPr>
          <w:rFonts w:ascii="Times New Roman" w:hAnsi="Times New Roman"/>
          <w:sz w:val="28"/>
          <w:szCs w:val="28"/>
          <w:lang w:val="ru-RU"/>
        </w:rPr>
        <w:t xml:space="preserve">; </w:t>
      </w:r>
      <w:r w:rsidRPr="00FD7B0B">
        <w:rPr>
          <w:rFonts w:ascii="Times New Roman" w:hAnsi="Times New Roman"/>
          <w:sz w:val="28"/>
          <w:szCs w:val="28"/>
        </w:rPr>
        <w:t>с экономией, сложившейся в результате изменения объекта закупки</w:t>
      </w:r>
      <w:r w:rsidRPr="00FD7B0B">
        <w:rPr>
          <w:rFonts w:ascii="Times New Roman" w:hAnsi="Times New Roman"/>
          <w:sz w:val="28"/>
          <w:szCs w:val="28"/>
          <w:lang w:val="ru-RU"/>
        </w:rPr>
        <w:t xml:space="preserve">; </w:t>
      </w:r>
      <w:r w:rsidRPr="00FD7B0B">
        <w:rPr>
          <w:rFonts w:ascii="Times New Roman" w:hAnsi="Times New Roman"/>
          <w:sz w:val="28"/>
          <w:szCs w:val="28"/>
        </w:rPr>
        <w:t xml:space="preserve">с выделением дополнительных средств в рамках субсидии из федерального бюджета на реализацию мероприятий по повышению эффективности службы занятости в рамках </w:t>
      </w:r>
      <w:r w:rsidRPr="00FD7B0B">
        <w:rPr>
          <w:rFonts w:ascii="Times New Roman" w:hAnsi="Times New Roman"/>
          <w:sz w:val="28"/>
          <w:szCs w:val="28"/>
          <w:lang w:val="ru-RU"/>
        </w:rPr>
        <w:t>ФП</w:t>
      </w:r>
      <w:r w:rsidRPr="00FD7B0B">
        <w:rPr>
          <w:rFonts w:ascii="Times New Roman" w:hAnsi="Times New Roman"/>
          <w:sz w:val="28"/>
          <w:szCs w:val="28"/>
        </w:rPr>
        <w:t xml:space="preserve"> «Содействие занятости» </w:t>
      </w:r>
      <w:r w:rsidRPr="00FD7B0B">
        <w:rPr>
          <w:rFonts w:ascii="Times New Roman" w:hAnsi="Times New Roman"/>
          <w:sz w:val="28"/>
          <w:szCs w:val="28"/>
          <w:lang w:val="ru-RU"/>
        </w:rPr>
        <w:t>НЦ</w:t>
      </w:r>
      <w:r w:rsidRPr="00FD7B0B">
        <w:rPr>
          <w:rFonts w:ascii="Times New Roman" w:hAnsi="Times New Roman"/>
          <w:sz w:val="28"/>
          <w:szCs w:val="28"/>
        </w:rPr>
        <w:t xml:space="preserve"> «Демография»</w:t>
      </w:r>
      <w:r w:rsidRPr="00FD7B0B">
        <w:rPr>
          <w:rFonts w:ascii="Times New Roman" w:hAnsi="Times New Roman"/>
          <w:sz w:val="28"/>
          <w:szCs w:val="28"/>
          <w:lang w:val="ru-RU"/>
        </w:rPr>
        <w:t xml:space="preserve"> и в</w:t>
      </w:r>
      <w:r w:rsidRPr="00FD7B0B">
        <w:rPr>
          <w:rFonts w:ascii="Times New Roman" w:hAnsi="Times New Roman"/>
          <w:sz w:val="28"/>
          <w:szCs w:val="28"/>
        </w:rPr>
        <w:t xml:space="preserve"> целях обеспечения софинансирования из областного бюджета</w:t>
      </w:r>
      <w:r w:rsidRPr="00FD7B0B">
        <w:rPr>
          <w:rFonts w:ascii="Times New Roman" w:hAnsi="Times New Roman"/>
          <w:sz w:val="28"/>
          <w:szCs w:val="28"/>
          <w:lang w:val="ru-RU"/>
        </w:rPr>
        <w:t>; в</w:t>
      </w:r>
      <w:r w:rsidRPr="00FD7B0B">
        <w:rPr>
          <w:rFonts w:ascii="Times New Roman" w:hAnsi="Times New Roman"/>
          <w:sz w:val="28"/>
          <w:szCs w:val="28"/>
        </w:rPr>
        <w:t xml:space="preserve"> связи с требованием о возврате средств в федеральный бюджет за недостижение результата предоставления субсидии по итогам 2023 года</w:t>
      </w:r>
      <w:r w:rsidRPr="00FD7B0B">
        <w:rPr>
          <w:rFonts w:ascii="Times New Roman" w:hAnsi="Times New Roman"/>
          <w:sz w:val="28"/>
          <w:szCs w:val="28"/>
          <w:lang w:val="ru-RU"/>
        </w:rPr>
        <w:t xml:space="preserve">; с </w:t>
      </w:r>
      <w:r w:rsidRPr="00FD7B0B">
        <w:rPr>
          <w:rFonts w:ascii="Times New Roman" w:hAnsi="Times New Roman"/>
          <w:sz w:val="28"/>
          <w:szCs w:val="28"/>
        </w:rPr>
        <w:t>корректировк</w:t>
      </w:r>
      <w:r w:rsidRPr="00FD7B0B">
        <w:rPr>
          <w:rFonts w:ascii="Times New Roman" w:hAnsi="Times New Roman"/>
          <w:sz w:val="28"/>
          <w:szCs w:val="28"/>
          <w:lang w:val="ru-RU"/>
        </w:rPr>
        <w:t>ой</w:t>
      </w:r>
      <w:r w:rsidRPr="00FD7B0B">
        <w:rPr>
          <w:rFonts w:ascii="Times New Roman" w:hAnsi="Times New Roman"/>
          <w:sz w:val="28"/>
          <w:szCs w:val="28"/>
        </w:rPr>
        <w:t xml:space="preserve"> объемов финансирования КПМ на 2024 год </w:t>
      </w:r>
      <w:r w:rsidRPr="00FD7B0B">
        <w:rPr>
          <w:rFonts w:ascii="Times New Roman" w:hAnsi="Times New Roman"/>
          <w:sz w:val="28"/>
          <w:szCs w:val="28"/>
          <w:lang w:val="ru-RU"/>
        </w:rPr>
        <w:t>в части</w:t>
      </w:r>
      <w:r w:rsidRPr="00FD7B0B">
        <w:rPr>
          <w:rFonts w:ascii="Times New Roman" w:hAnsi="Times New Roman"/>
          <w:sz w:val="28"/>
          <w:szCs w:val="28"/>
        </w:rPr>
        <w:t xml:space="preserve"> перераспределени</w:t>
      </w:r>
      <w:r w:rsidRPr="00FD7B0B">
        <w:rPr>
          <w:rFonts w:ascii="Times New Roman" w:hAnsi="Times New Roman"/>
          <w:sz w:val="28"/>
          <w:szCs w:val="28"/>
          <w:lang w:val="ru-RU"/>
        </w:rPr>
        <w:t>я</w:t>
      </w:r>
      <w:r w:rsidRPr="00FD7B0B">
        <w:rPr>
          <w:rFonts w:ascii="Times New Roman" w:hAnsi="Times New Roman"/>
          <w:sz w:val="28"/>
          <w:szCs w:val="28"/>
        </w:rPr>
        <w:t xml:space="preserve"> средств, предусмотренных мероприятиям</w:t>
      </w:r>
      <w:r w:rsidRPr="00FD7B0B">
        <w:rPr>
          <w:rFonts w:ascii="Times New Roman" w:hAnsi="Times New Roman"/>
          <w:sz w:val="28"/>
          <w:szCs w:val="28"/>
          <w:lang w:val="ru-RU"/>
        </w:rPr>
        <w:t>.</w:t>
      </w:r>
    </w:p>
    <w:p w14:paraId="4F3AF8B9" w14:textId="77777777" w:rsidR="006266DC" w:rsidRPr="00FD7B0B" w:rsidRDefault="006266DC" w:rsidP="006266DC">
      <w:pPr>
        <w:pStyle w:val="afe"/>
        <w:spacing w:after="0"/>
        <w:ind w:firstLine="709"/>
        <w:rPr>
          <w:rFonts w:ascii="Times New Roman" w:hAnsi="Times New Roman"/>
          <w:sz w:val="28"/>
          <w:szCs w:val="28"/>
          <w:lang w:val="ru-RU"/>
        </w:rPr>
      </w:pPr>
    </w:p>
    <w:p w14:paraId="2464A07C" w14:textId="526FD702" w:rsidR="006266DC" w:rsidRPr="00FD7B0B" w:rsidRDefault="006266DC"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Расходы областного бюджета на реализацию госпрограммы за 2024 год, а также параметры, утвержденные и исполненные на 2024 год, в разрезе видов рас</w:t>
      </w:r>
      <w:r w:rsidR="006F159B" w:rsidRPr="00FD7B0B">
        <w:rPr>
          <w:rFonts w:ascii="Times New Roman" w:eastAsia="Times New Roman" w:hAnsi="Times New Roman"/>
          <w:sz w:val="28"/>
          <w:szCs w:val="28"/>
          <w:lang w:eastAsia="ru-RU"/>
        </w:rPr>
        <w:t xml:space="preserve">ходов представлены в таблице </w:t>
      </w:r>
      <w:r w:rsidR="00CB4BE6" w:rsidRPr="00FD7B0B">
        <w:rPr>
          <w:rFonts w:ascii="Times New Roman" w:eastAsia="Times New Roman" w:hAnsi="Times New Roman"/>
          <w:sz w:val="28"/>
          <w:szCs w:val="28"/>
          <w:lang w:eastAsia="ru-RU"/>
        </w:rPr>
        <w:t>141</w:t>
      </w:r>
      <w:r w:rsidRPr="00FD7B0B">
        <w:rPr>
          <w:rFonts w:ascii="Times New Roman" w:eastAsia="Times New Roman" w:hAnsi="Times New Roman"/>
          <w:sz w:val="28"/>
          <w:szCs w:val="28"/>
          <w:lang w:eastAsia="ru-RU"/>
        </w:rPr>
        <w:t>.</w:t>
      </w:r>
    </w:p>
    <w:p w14:paraId="436D6F44" w14:textId="77777777" w:rsidR="006266DC" w:rsidRPr="00FD7B0B" w:rsidRDefault="006266DC" w:rsidP="006266DC">
      <w:pPr>
        <w:pStyle w:val="aff0"/>
        <w:spacing w:after="0" w:line="240" w:lineRule="auto"/>
        <w:rPr>
          <w:rFonts w:ascii="Times New Roman" w:hAnsi="Times New Roman"/>
          <w:b w:val="0"/>
          <w:sz w:val="24"/>
          <w:szCs w:val="24"/>
        </w:rPr>
      </w:pPr>
    </w:p>
    <w:p w14:paraId="585262B6" w14:textId="77777777" w:rsidR="006266DC" w:rsidRPr="00FD7B0B" w:rsidRDefault="006266DC" w:rsidP="006266DC">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141</w:t>
      </w:r>
      <w:r w:rsidRPr="00FD7B0B">
        <w:rPr>
          <w:rFonts w:ascii="Times New Roman" w:hAnsi="Times New Roman"/>
          <w:b w:val="0"/>
          <w:sz w:val="24"/>
          <w:szCs w:val="24"/>
        </w:rPr>
        <w:fldChar w:fldCharType="end"/>
      </w:r>
      <w:r w:rsidRPr="00FD7B0B">
        <w:rPr>
          <w:rFonts w:ascii="Times New Roman" w:hAnsi="Times New Roman"/>
          <w:b w:val="0"/>
          <w:sz w:val="24"/>
          <w:szCs w:val="24"/>
        </w:rPr>
        <w:t>. Основные параметры утвержденных и исполненных расходов из областного бюджета за 2024 год ГП № 07, в разрезе видов расходов, млн.руб.</w:t>
      </w:r>
    </w:p>
    <w:tbl>
      <w:tblPr>
        <w:tblW w:w="9701" w:type="dxa"/>
        <w:tblLayout w:type="fixed"/>
        <w:tblLook w:val="04A0" w:firstRow="1" w:lastRow="0" w:firstColumn="1" w:lastColumn="0" w:noHBand="0" w:noVBand="1"/>
      </w:tblPr>
      <w:tblGrid>
        <w:gridCol w:w="4513"/>
        <w:gridCol w:w="709"/>
        <w:gridCol w:w="1147"/>
        <w:gridCol w:w="1111"/>
        <w:gridCol w:w="1110"/>
        <w:gridCol w:w="1111"/>
      </w:tblGrid>
      <w:tr w:rsidR="00FD7B0B" w:rsidRPr="00FD7B0B" w14:paraId="5DE57F03" w14:textId="77777777" w:rsidTr="006F159B">
        <w:trPr>
          <w:trHeight w:val="142"/>
          <w:tblHeader/>
        </w:trPr>
        <w:tc>
          <w:tcPr>
            <w:tcW w:w="4513" w:type="dxa"/>
            <w:vMerge w:val="restart"/>
            <w:tcBorders>
              <w:top w:val="double" w:sz="6" w:space="0" w:color="auto"/>
              <w:left w:val="double" w:sz="6" w:space="0" w:color="auto"/>
              <w:bottom w:val="single" w:sz="4" w:space="0" w:color="auto"/>
              <w:right w:val="single" w:sz="4" w:space="0" w:color="auto"/>
            </w:tcBorders>
            <w:shd w:val="clear" w:color="000000" w:fill="FFFFFF"/>
            <w:vAlign w:val="center"/>
            <w:hideMark/>
          </w:tcPr>
          <w:p w14:paraId="6BA1C63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w:t>
            </w:r>
          </w:p>
        </w:tc>
        <w:tc>
          <w:tcPr>
            <w:tcW w:w="709" w:type="dxa"/>
            <w:vMerge w:val="restart"/>
            <w:tcBorders>
              <w:top w:val="double" w:sz="6" w:space="0" w:color="auto"/>
              <w:left w:val="single" w:sz="4" w:space="0" w:color="auto"/>
              <w:bottom w:val="single" w:sz="4" w:space="0" w:color="auto"/>
              <w:right w:val="single" w:sz="4" w:space="0" w:color="auto"/>
            </w:tcBorders>
            <w:shd w:val="clear" w:color="000000" w:fill="FFFFFF"/>
            <w:vAlign w:val="center"/>
            <w:hideMark/>
          </w:tcPr>
          <w:p w14:paraId="422E9363" w14:textId="77777777" w:rsidR="00C04CBE" w:rsidRPr="00FD7B0B" w:rsidRDefault="006266DC" w:rsidP="00C04CB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Вид</w:t>
            </w:r>
            <w:r w:rsidRPr="00FD7B0B">
              <w:rPr>
                <w:rFonts w:ascii="Times New Roman" w:eastAsia="Times New Roman" w:hAnsi="Times New Roman" w:cs="Times New Roman"/>
                <w:sz w:val="20"/>
                <w:szCs w:val="20"/>
                <w:lang w:eastAsia="ru-RU"/>
              </w:rPr>
              <w:br/>
              <w:t>рас</w:t>
            </w:r>
            <w:r w:rsidRPr="00FD7B0B">
              <w:rPr>
                <w:rFonts w:ascii="Times New Roman" w:eastAsia="Times New Roman" w:hAnsi="Times New Roman" w:cs="Times New Roman"/>
                <w:sz w:val="20"/>
                <w:szCs w:val="20"/>
                <w:lang w:eastAsia="ru-RU"/>
              </w:rPr>
              <w:br/>
              <w:t>хо</w:t>
            </w:r>
          </w:p>
          <w:p w14:paraId="383F2878" w14:textId="0FD9196E" w:rsidR="006266DC" w:rsidRPr="00FD7B0B" w:rsidRDefault="006266DC" w:rsidP="00C04CB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дов</w:t>
            </w:r>
          </w:p>
        </w:tc>
        <w:tc>
          <w:tcPr>
            <w:tcW w:w="2258" w:type="dxa"/>
            <w:gridSpan w:val="2"/>
            <w:tcBorders>
              <w:top w:val="double" w:sz="6" w:space="0" w:color="auto"/>
              <w:left w:val="nil"/>
              <w:bottom w:val="single" w:sz="4" w:space="0" w:color="auto"/>
              <w:right w:val="single" w:sz="4" w:space="0" w:color="auto"/>
            </w:tcBorders>
            <w:shd w:val="clear" w:color="auto" w:fill="auto"/>
            <w:vAlign w:val="center"/>
            <w:hideMark/>
          </w:tcPr>
          <w:p w14:paraId="6A00457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 2024 года</w:t>
            </w:r>
          </w:p>
        </w:tc>
        <w:tc>
          <w:tcPr>
            <w:tcW w:w="2221" w:type="dxa"/>
            <w:gridSpan w:val="2"/>
            <w:tcBorders>
              <w:top w:val="double" w:sz="6" w:space="0" w:color="auto"/>
              <w:left w:val="nil"/>
              <w:bottom w:val="single" w:sz="4" w:space="0" w:color="auto"/>
              <w:right w:val="double" w:sz="6" w:space="0" w:color="000000"/>
            </w:tcBorders>
            <w:shd w:val="clear" w:color="auto" w:fill="auto"/>
            <w:vAlign w:val="center"/>
            <w:hideMark/>
          </w:tcPr>
          <w:p w14:paraId="2775666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Исполнение на 31.12.2024</w:t>
            </w:r>
          </w:p>
        </w:tc>
      </w:tr>
      <w:tr w:rsidR="00FD7B0B" w:rsidRPr="00FD7B0B" w14:paraId="11548D82" w14:textId="77777777" w:rsidTr="006F159B">
        <w:trPr>
          <w:trHeight w:val="461"/>
          <w:tblHeader/>
        </w:trPr>
        <w:tc>
          <w:tcPr>
            <w:tcW w:w="4513" w:type="dxa"/>
            <w:vMerge/>
            <w:tcBorders>
              <w:top w:val="double" w:sz="6" w:space="0" w:color="auto"/>
              <w:left w:val="double" w:sz="6" w:space="0" w:color="auto"/>
              <w:bottom w:val="single" w:sz="4" w:space="0" w:color="auto"/>
              <w:right w:val="single" w:sz="4" w:space="0" w:color="auto"/>
            </w:tcBorders>
            <w:vAlign w:val="center"/>
            <w:hideMark/>
          </w:tcPr>
          <w:p w14:paraId="484685E2"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c>
          <w:tcPr>
            <w:tcW w:w="709" w:type="dxa"/>
            <w:vMerge/>
            <w:tcBorders>
              <w:top w:val="double" w:sz="6" w:space="0" w:color="auto"/>
              <w:left w:val="single" w:sz="4" w:space="0" w:color="auto"/>
              <w:bottom w:val="single" w:sz="4" w:space="0" w:color="auto"/>
              <w:right w:val="single" w:sz="4" w:space="0" w:color="auto"/>
            </w:tcBorders>
            <w:vAlign w:val="center"/>
            <w:hideMark/>
          </w:tcPr>
          <w:p w14:paraId="548B093D"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c>
          <w:tcPr>
            <w:tcW w:w="1147" w:type="dxa"/>
            <w:tcBorders>
              <w:top w:val="nil"/>
              <w:left w:val="nil"/>
              <w:bottom w:val="single" w:sz="4" w:space="0" w:color="auto"/>
              <w:right w:val="single" w:sz="4" w:space="0" w:color="auto"/>
            </w:tcBorders>
            <w:shd w:val="clear" w:color="auto" w:fill="auto"/>
            <w:vAlign w:val="center"/>
            <w:hideMark/>
          </w:tcPr>
          <w:p w14:paraId="74EE56B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Утверждено на год законом о бюджете</w:t>
            </w:r>
          </w:p>
        </w:tc>
        <w:tc>
          <w:tcPr>
            <w:tcW w:w="1111" w:type="dxa"/>
            <w:tcBorders>
              <w:top w:val="nil"/>
              <w:left w:val="nil"/>
              <w:bottom w:val="single" w:sz="4" w:space="0" w:color="auto"/>
              <w:right w:val="single" w:sz="4" w:space="0" w:color="auto"/>
            </w:tcBorders>
            <w:shd w:val="clear" w:color="auto" w:fill="auto"/>
            <w:vAlign w:val="center"/>
            <w:hideMark/>
          </w:tcPr>
          <w:p w14:paraId="768126A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Сводная бюджетная роспись на 2024 год</w:t>
            </w:r>
          </w:p>
        </w:tc>
        <w:tc>
          <w:tcPr>
            <w:tcW w:w="1110" w:type="dxa"/>
            <w:tcBorders>
              <w:top w:val="nil"/>
              <w:left w:val="nil"/>
              <w:bottom w:val="single" w:sz="4" w:space="0" w:color="auto"/>
              <w:right w:val="single" w:sz="4" w:space="0" w:color="auto"/>
            </w:tcBorders>
            <w:shd w:val="clear" w:color="auto" w:fill="auto"/>
            <w:vAlign w:val="center"/>
            <w:hideMark/>
          </w:tcPr>
          <w:p w14:paraId="53B4F13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на 2024 год, млн.руб.</w:t>
            </w:r>
          </w:p>
        </w:tc>
        <w:tc>
          <w:tcPr>
            <w:tcW w:w="1111" w:type="dxa"/>
            <w:tcBorders>
              <w:top w:val="nil"/>
              <w:left w:val="nil"/>
              <w:bottom w:val="single" w:sz="4" w:space="0" w:color="auto"/>
              <w:right w:val="double" w:sz="6" w:space="0" w:color="auto"/>
            </w:tcBorders>
            <w:shd w:val="clear" w:color="auto" w:fill="auto"/>
            <w:vAlign w:val="center"/>
            <w:hideMark/>
          </w:tcPr>
          <w:p w14:paraId="5F95CFD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к сводной бюджетной росписи на год</w:t>
            </w:r>
          </w:p>
        </w:tc>
      </w:tr>
      <w:tr w:rsidR="00FD7B0B" w:rsidRPr="00FD7B0B" w14:paraId="7B1A7E01" w14:textId="77777777" w:rsidTr="006F159B">
        <w:trPr>
          <w:trHeight w:val="299"/>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73C5727D"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Расходы на выплаты персоналу казенных учреждений</w:t>
            </w:r>
          </w:p>
        </w:tc>
        <w:tc>
          <w:tcPr>
            <w:tcW w:w="709" w:type="dxa"/>
            <w:tcBorders>
              <w:top w:val="nil"/>
              <w:left w:val="nil"/>
              <w:bottom w:val="single" w:sz="4" w:space="0" w:color="auto"/>
              <w:right w:val="single" w:sz="4" w:space="0" w:color="auto"/>
            </w:tcBorders>
            <w:shd w:val="clear" w:color="auto" w:fill="auto"/>
            <w:noWrap/>
            <w:vAlign w:val="center"/>
            <w:hideMark/>
          </w:tcPr>
          <w:p w14:paraId="78C6237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110</w:t>
            </w:r>
          </w:p>
        </w:tc>
        <w:tc>
          <w:tcPr>
            <w:tcW w:w="1147" w:type="dxa"/>
            <w:tcBorders>
              <w:top w:val="nil"/>
              <w:left w:val="nil"/>
              <w:bottom w:val="single" w:sz="4" w:space="0" w:color="auto"/>
              <w:right w:val="single" w:sz="4" w:space="0" w:color="auto"/>
            </w:tcBorders>
            <w:shd w:val="clear" w:color="auto" w:fill="auto"/>
            <w:noWrap/>
            <w:vAlign w:val="center"/>
            <w:hideMark/>
          </w:tcPr>
          <w:p w14:paraId="644A6D9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348,4</w:t>
            </w:r>
          </w:p>
        </w:tc>
        <w:tc>
          <w:tcPr>
            <w:tcW w:w="1111" w:type="dxa"/>
            <w:tcBorders>
              <w:top w:val="nil"/>
              <w:left w:val="nil"/>
              <w:bottom w:val="single" w:sz="4" w:space="0" w:color="auto"/>
              <w:right w:val="single" w:sz="4" w:space="0" w:color="auto"/>
            </w:tcBorders>
            <w:shd w:val="clear" w:color="auto" w:fill="auto"/>
            <w:noWrap/>
            <w:vAlign w:val="center"/>
            <w:hideMark/>
          </w:tcPr>
          <w:p w14:paraId="165BBF2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346,4</w:t>
            </w:r>
          </w:p>
        </w:tc>
        <w:tc>
          <w:tcPr>
            <w:tcW w:w="1110" w:type="dxa"/>
            <w:tcBorders>
              <w:top w:val="nil"/>
              <w:left w:val="nil"/>
              <w:bottom w:val="single" w:sz="4" w:space="0" w:color="auto"/>
              <w:right w:val="single" w:sz="4" w:space="0" w:color="auto"/>
            </w:tcBorders>
            <w:shd w:val="clear" w:color="auto" w:fill="auto"/>
            <w:noWrap/>
            <w:vAlign w:val="center"/>
            <w:hideMark/>
          </w:tcPr>
          <w:p w14:paraId="58C03D7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346,1</w:t>
            </w:r>
          </w:p>
        </w:tc>
        <w:tc>
          <w:tcPr>
            <w:tcW w:w="1111" w:type="dxa"/>
            <w:tcBorders>
              <w:top w:val="nil"/>
              <w:left w:val="nil"/>
              <w:bottom w:val="single" w:sz="4" w:space="0" w:color="auto"/>
              <w:right w:val="double" w:sz="6" w:space="0" w:color="auto"/>
            </w:tcBorders>
            <w:shd w:val="clear" w:color="auto" w:fill="auto"/>
            <w:noWrap/>
            <w:vAlign w:val="center"/>
            <w:hideMark/>
          </w:tcPr>
          <w:p w14:paraId="6201D37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99,9</w:t>
            </w:r>
          </w:p>
        </w:tc>
      </w:tr>
      <w:tr w:rsidR="00FD7B0B" w:rsidRPr="00FD7B0B" w14:paraId="7CFB5FA3" w14:textId="77777777" w:rsidTr="006F159B">
        <w:trPr>
          <w:trHeight w:val="472"/>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4260DD48"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Расходы на выплаты персоналу государственных органов</w:t>
            </w:r>
          </w:p>
        </w:tc>
        <w:tc>
          <w:tcPr>
            <w:tcW w:w="709" w:type="dxa"/>
            <w:tcBorders>
              <w:top w:val="nil"/>
              <w:left w:val="nil"/>
              <w:bottom w:val="single" w:sz="4" w:space="0" w:color="auto"/>
              <w:right w:val="single" w:sz="4" w:space="0" w:color="auto"/>
            </w:tcBorders>
            <w:shd w:val="clear" w:color="auto" w:fill="auto"/>
            <w:noWrap/>
            <w:vAlign w:val="center"/>
            <w:hideMark/>
          </w:tcPr>
          <w:p w14:paraId="1915E2C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120</w:t>
            </w:r>
          </w:p>
        </w:tc>
        <w:tc>
          <w:tcPr>
            <w:tcW w:w="1147" w:type="dxa"/>
            <w:tcBorders>
              <w:top w:val="nil"/>
              <w:left w:val="nil"/>
              <w:bottom w:val="single" w:sz="4" w:space="0" w:color="auto"/>
              <w:right w:val="single" w:sz="4" w:space="0" w:color="auto"/>
            </w:tcBorders>
            <w:shd w:val="clear" w:color="auto" w:fill="auto"/>
            <w:noWrap/>
            <w:vAlign w:val="center"/>
            <w:hideMark/>
          </w:tcPr>
          <w:p w14:paraId="77AAD5E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189,6</w:t>
            </w:r>
          </w:p>
        </w:tc>
        <w:tc>
          <w:tcPr>
            <w:tcW w:w="1111" w:type="dxa"/>
            <w:tcBorders>
              <w:top w:val="nil"/>
              <w:left w:val="nil"/>
              <w:bottom w:val="single" w:sz="4" w:space="0" w:color="auto"/>
              <w:right w:val="single" w:sz="4" w:space="0" w:color="auto"/>
            </w:tcBorders>
            <w:shd w:val="clear" w:color="auto" w:fill="auto"/>
            <w:noWrap/>
            <w:vAlign w:val="center"/>
            <w:hideMark/>
          </w:tcPr>
          <w:p w14:paraId="6FDCA2F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189,6</w:t>
            </w:r>
          </w:p>
        </w:tc>
        <w:tc>
          <w:tcPr>
            <w:tcW w:w="1110" w:type="dxa"/>
            <w:tcBorders>
              <w:top w:val="nil"/>
              <w:left w:val="nil"/>
              <w:bottom w:val="single" w:sz="4" w:space="0" w:color="auto"/>
              <w:right w:val="single" w:sz="4" w:space="0" w:color="auto"/>
            </w:tcBorders>
            <w:shd w:val="clear" w:color="auto" w:fill="auto"/>
            <w:noWrap/>
            <w:vAlign w:val="center"/>
            <w:hideMark/>
          </w:tcPr>
          <w:p w14:paraId="7E64791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189,1</w:t>
            </w:r>
          </w:p>
        </w:tc>
        <w:tc>
          <w:tcPr>
            <w:tcW w:w="1111" w:type="dxa"/>
            <w:tcBorders>
              <w:top w:val="nil"/>
              <w:left w:val="nil"/>
              <w:bottom w:val="single" w:sz="4" w:space="0" w:color="auto"/>
              <w:right w:val="double" w:sz="6" w:space="0" w:color="auto"/>
            </w:tcBorders>
            <w:shd w:val="clear" w:color="auto" w:fill="auto"/>
            <w:noWrap/>
            <w:vAlign w:val="center"/>
            <w:hideMark/>
          </w:tcPr>
          <w:p w14:paraId="6F85D9A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99,8</w:t>
            </w:r>
          </w:p>
        </w:tc>
      </w:tr>
      <w:tr w:rsidR="00FD7B0B" w:rsidRPr="00FD7B0B" w14:paraId="19E81842" w14:textId="77777777" w:rsidTr="006F159B">
        <w:trPr>
          <w:trHeight w:val="383"/>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5290E22E"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закупки товаров, работ и услуг для обеспечения государственных нужд</w:t>
            </w:r>
          </w:p>
        </w:tc>
        <w:tc>
          <w:tcPr>
            <w:tcW w:w="709" w:type="dxa"/>
            <w:tcBorders>
              <w:top w:val="nil"/>
              <w:left w:val="nil"/>
              <w:bottom w:val="single" w:sz="4" w:space="0" w:color="auto"/>
              <w:right w:val="single" w:sz="4" w:space="0" w:color="auto"/>
            </w:tcBorders>
            <w:shd w:val="clear" w:color="auto" w:fill="auto"/>
            <w:noWrap/>
            <w:vAlign w:val="center"/>
            <w:hideMark/>
          </w:tcPr>
          <w:p w14:paraId="1B41E33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w:t>
            </w:r>
          </w:p>
        </w:tc>
        <w:tc>
          <w:tcPr>
            <w:tcW w:w="1147" w:type="dxa"/>
            <w:tcBorders>
              <w:top w:val="nil"/>
              <w:left w:val="nil"/>
              <w:bottom w:val="single" w:sz="4" w:space="0" w:color="auto"/>
              <w:right w:val="single" w:sz="4" w:space="0" w:color="auto"/>
            </w:tcBorders>
            <w:shd w:val="clear" w:color="auto" w:fill="auto"/>
            <w:noWrap/>
            <w:vAlign w:val="center"/>
            <w:hideMark/>
          </w:tcPr>
          <w:p w14:paraId="49B5988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485,5</w:t>
            </w:r>
          </w:p>
        </w:tc>
        <w:tc>
          <w:tcPr>
            <w:tcW w:w="1111" w:type="dxa"/>
            <w:tcBorders>
              <w:top w:val="nil"/>
              <w:left w:val="nil"/>
              <w:bottom w:val="single" w:sz="4" w:space="0" w:color="auto"/>
              <w:right w:val="single" w:sz="4" w:space="0" w:color="auto"/>
            </w:tcBorders>
            <w:shd w:val="clear" w:color="auto" w:fill="auto"/>
            <w:noWrap/>
            <w:vAlign w:val="center"/>
            <w:hideMark/>
          </w:tcPr>
          <w:p w14:paraId="56A9690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502,3</w:t>
            </w:r>
          </w:p>
        </w:tc>
        <w:tc>
          <w:tcPr>
            <w:tcW w:w="1110" w:type="dxa"/>
            <w:tcBorders>
              <w:top w:val="nil"/>
              <w:left w:val="nil"/>
              <w:bottom w:val="single" w:sz="4" w:space="0" w:color="auto"/>
              <w:right w:val="single" w:sz="4" w:space="0" w:color="auto"/>
            </w:tcBorders>
            <w:shd w:val="clear" w:color="auto" w:fill="auto"/>
            <w:noWrap/>
            <w:vAlign w:val="center"/>
            <w:hideMark/>
          </w:tcPr>
          <w:p w14:paraId="3C301B2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397,6</w:t>
            </w:r>
          </w:p>
        </w:tc>
        <w:tc>
          <w:tcPr>
            <w:tcW w:w="1111" w:type="dxa"/>
            <w:tcBorders>
              <w:top w:val="nil"/>
              <w:left w:val="nil"/>
              <w:bottom w:val="single" w:sz="4" w:space="0" w:color="auto"/>
              <w:right w:val="double" w:sz="6" w:space="0" w:color="auto"/>
            </w:tcBorders>
            <w:shd w:val="clear" w:color="auto" w:fill="auto"/>
            <w:noWrap/>
            <w:vAlign w:val="center"/>
            <w:hideMark/>
          </w:tcPr>
          <w:p w14:paraId="1C8E4B3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79,2</w:t>
            </w:r>
          </w:p>
        </w:tc>
      </w:tr>
      <w:tr w:rsidR="00FD7B0B" w:rsidRPr="00FD7B0B" w14:paraId="72A3FEBA" w14:textId="77777777" w:rsidTr="006F159B">
        <w:trPr>
          <w:trHeight w:val="139"/>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77F753F2"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Социальные выплаты гражданам, кроме публичных нормативных социальных выплат</w:t>
            </w:r>
          </w:p>
        </w:tc>
        <w:tc>
          <w:tcPr>
            <w:tcW w:w="709" w:type="dxa"/>
            <w:tcBorders>
              <w:top w:val="nil"/>
              <w:left w:val="nil"/>
              <w:bottom w:val="single" w:sz="4" w:space="0" w:color="auto"/>
              <w:right w:val="single" w:sz="4" w:space="0" w:color="auto"/>
            </w:tcBorders>
            <w:shd w:val="clear" w:color="auto" w:fill="auto"/>
            <w:noWrap/>
            <w:vAlign w:val="center"/>
            <w:hideMark/>
          </w:tcPr>
          <w:p w14:paraId="665C5F0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320</w:t>
            </w:r>
          </w:p>
        </w:tc>
        <w:tc>
          <w:tcPr>
            <w:tcW w:w="1147" w:type="dxa"/>
            <w:tcBorders>
              <w:top w:val="nil"/>
              <w:left w:val="nil"/>
              <w:bottom w:val="single" w:sz="4" w:space="0" w:color="auto"/>
              <w:right w:val="single" w:sz="4" w:space="0" w:color="auto"/>
            </w:tcBorders>
            <w:shd w:val="clear" w:color="auto" w:fill="auto"/>
            <w:noWrap/>
            <w:vAlign w:val="center"/>
            <w:hideMark/>
          </w:tcPr>
          <w:p w14:paraId="00B7648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627,6</w:t>
            </w:r>
          </w:p>
        </w:tc>
        <w:tc>
          <w:tcPr>
            <w:tcW w:w="1111" w:type="dxa"/>
            <w:tcBorders>
              <w:top w:val="nil"/>
              <w:left w:val="nil"/>
              <w:bottom w:val="single" w:sz="4" w:space="0" w:color="auto"/>
              <w:right w:val="single" w:sz="4" w:space="0" w:color="auto"/>
            </w:tcBorders>
            <w:shd w:val="clear" w:color="auto" w:fill="auto"/>
            <w:noWrap/>
            <w:vAlign w:val="center"/>
            <w:hideMark/>
          </w:tcPr>
          <w:p w14:paraId="1698F4C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488,6</w:t>
            </w:r>
          </w:p>
        </w:tc>
        <w:tc>
          <w:tcPr>
            <w:tcW w:w="1110" w:type="dxa"/>
            <w:tcBorders>
              <w:top w:val="nil"/>
              <w:left w:val="nil"/>
              <w:bottom w:val="single" w:sz="4" w:space="0" w:color="auto"/>
              <w:right w:val="single" w:sz="4" w:space="0" w:color="auto"/>
            </w:tcBorders>
            <w:shd w:val="clear" w:color="auto" w:fill="auto"/>
            <w:noWrap/>
            <w:vAlign w:val="center"/>
            <w:hideMark/>
          </w:tcPr>
          <w:p w14:paraId="04F3265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487,4</w:t>
            </w:r>
          </w:p>
        </w:tc>
        <w:tc>
          <w:tcPr>
            <w:tcW w:w="1111" w:type="dxa"/>
            <w:tcBorders>
              <w:top w:val="nil"/>
              <w:left w:val="nil"/>
              <w:bottom w:val="single" w:sz="4" w:space="0" w:color="auto"/>
              <w:right w:val="double" w:sz="6" w:space="0" w:color="auto"/>
            </w:tcBorders>
            <w:shd w:val="clear" w:color="auto" w:fill="auto"/>
            <w:noWrap/>
            <w:vAlign w:val="center"/>
            <w:hideMark/>
          </w:tcPr>
          <w:p w14:paraId="7F120DA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99,7</w:t>
            </w:r>
          </w:p>
        </w:tc>
      </w:tr>
      <w:tr w:rsidR="00FD7B0B" w:rsidRPr="00FD7B0B" w14:paraId="2118211B" w14:textId="77777777" w:rsidTr="006F159B">
        <w:trPr>
          <w:trHeight w:val="299"/>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18700974"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Публичные нормативные выплаты гражданам несоциального характера</w:t>
            </w:r>
          </w:p>
        </w:tc>
        <w:tc>
          <w:tcPr>
            <w:tcW w:w="709" w:type="dxa"/>
            <w:tcBorders>
              <w:top w:val="nil"/>
              <w:left w:val="nil"/>
              <w:bottom w:val="single" w:sz="4" w:space="0" w:color="auto"/>
              <w:right w:val="single" w:sz="4" w:space="0" w:color="auto"/>
            </w:tcBorders>
            <w:shd w:val="clear" w:color="auto" w:fill="auto"/>
            <w:noWrap/>
            <w:vAlign w:val="center"/>
            <w:hideMark/>
          </w:tcPr>
          <w:p w14:paraId="1D275F9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330</w:t>
            </w:r>
          </w:p>
        </w:tc>
        <w:tc>
          <w:tcPr>
            <w:tcW w:w="1147" w:type="dxa"/>
            <w:tcBorders>
              <w:top w:val="nil"/>
              <w:left w:val="nil"/>
              <w:bottom w:val="single" w:sz="4" w:space="0" w:color="auto"/>
              <w:right w:val="single" w:sz="4" w:space="0" w:color="auto"/>
            </w:tcBorders>
            <w:shd w:val="clear" w:color="auto" w:fill="auto"/>
            <w:noWrap/>
            <w:vAlign w:val="center"/>
            <w:hideMark/>
          </w:tcPr>
          <w:p w14:paraId="0A89E88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1111" w:type="dxa"/>
            <w:tcBorders>
              <w:top w:val="nil"/>
              <w:left w:val="nil"/>
              <w:bottom w:val="single" w:sz="4" w:space="0" w:color="auto"/>
              <w:right w:val="single" w:sz="4" w:space="0" w:color="auto"/>
            </w:tcBorders>
            <w:shd w:val="clear" w:color="auto" w:fill="auto"/>
            <w:noWrap/>
            <w:vAlign w:val="center"/>
            <w:hideMark/>
          </w:tcPr>
          <w:p w14:paraId="67AAA5B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1110" w:type="dxa"/>
            <w:tcBorders>
              <w:top w:val="nil"/>
              <w:left w:val="nil"/>
              <w:bottom w:val="single" w:sz="4" w:space="0" w:color="auto"/>
              <w:right w:val="single" w:sz="4" w:space="0" w:color="auto"/>
            </w:tcBorders>
            <w:shd w:val="clear" w:color="auto" w:fill="auto"/>
            <w:noWrap/>
            <w:vAlign w:val="center"/>
            <w:hideMark/>
          </w:tcPr>
          <w:p w14:paraId="18A41E1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1111" w:type="dxa"/>
            <w:tcBorders>
              <w:top w:val="nil"/>
              <w:left w:val="nil"/>
              <w:bottom w:val="single" w:sz="4" w:space="0" w:color="auto"/>
              <w:right w:val="double" w:sz="6" w:space="0" w:color="auto"/>
            </w:tcBorders>
            <w:shd w:val="clear" w:color="auto" w:fill="auto"/>
            <w:noWrap/>
            <w:vAlign w:val="center"/>
            <w:hideMark/>
          </w:tcPr>
          <w:p w14:paraId="6B22620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2D3DB81" w14:textId="77777777" w:rsidTr="006F159B">
        <w:trPr>
          <w:trHeight w:val="182"/>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35BACBDF"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выплаты населению</w:t>
            </w:r>
          </w:p>
        </w:tc>
        <w:tc>
          <w:tcPr>
            <w:tcW w:w="709" w:type="dxa"/>
            <w:tcBorders>
              <w:top w:val="nil"/>
              <w:left w:val="nil"/>
              <w:bottom w:val="single" w:sz="4" w:space="0" w:color="auto"/>
              <w:right w:val="single" w:sz="4" w:space="0" w:color="auto"/>
            </w:tcBorders>
            <w:shd w:val="clear" w:color="auto" w:fill="auto"/>
            <w:noWrap/>
            <w:vAlign w:val="center"/>
            <w:hideMark/>
          </w:tcPr>
          <w:p w14:paraId="5A2BF34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360</w:t>
            </w:r>
          </w:p>
        </w:tc>
        <w:tc>
          <w:tcPr>
            <w:tcW w:w="1147" w:type="dxa"/>
            <w:tcBorders>
              <w:top w:val="nil"/>
              <w:left w:val="nil"/>
              <w:bottom w:val="single" w:sz="4" w:space="0" w:color="auto"/>
              <w:right w:val="single" w:sz="4" w:space="0" w:color="auto"/>
            </w:tcBorders>
            <w:shd w:val="clear" w:color="auto" w:fill="auto"/>
            <w:noWrap/>
            <w:vAlign w:val="center"/>
            <w:hideMark/>
          </w:tcPr>
          <w:p w14:paraId="6321507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0,5</w:t>
            </w:r>
          </w:p>
        </w:tc>
        <w:tc>
          <w:tcPr>
            <w:tcW w:w="1111" w:type="dxa"/>
            <w:tcBorders>
              <w:top w:val="nil"/>
              <w:left w:val="nil"/>
              <w:bottom w:val="single" w:sz="4" w:space="0" w:color="auto"/>
              <w:right w:val="single" w:sz="4" w:space="0" w:color="auto"/>
            </w:tcBorders>
            <w:shd w:val="clear" w:color="auto" w:fill="auto"/>
            <w:noWrap/>
            <w:vAlign w:val="center"/>
            <w:hideMark/>
          </w:tcPr>
          <w:p w14:paraId="10181B3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0,5</w:t>
            </w:r>
          </w:p>
        </w:tc>
        <w:tc>
          <w:tcPr>
            <w:tcW w:w="1110" w:type="dxa"/>
            <w:tcBorders>
              <w:top w:val="nil"/>
              <w:left w:val="nil"/>
              <w:bottom w:val="single" w:sz="4" w:space="0" w:color="auto"/>
              <w:right w:val="single" w:sz="4" w:space="0" w:color="auto"/>
            </w:tcBorders>
            <w:shd w:val="clear" w:color="auto" w:fill="auto"/>
            <w:noWrap/>
            <w:vAlign w:val="center"/>
            <w:hideMark/>
          </w:tcPr>
          <w:p w14:paraId="07D8620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w:t>
            </w:r>
          </w:p>
        </w:tc>
        <w:tc>
          <w:tcPr>
            <w:tcW w:w="1111" w:type="dxa"/>
            <w:tcBorders>
              <w:top w:val="nil"/>
              <w:left w:val="nil"/>
              <w:bottom w:val="single" w:sz="4" w:space="0" w:color="auto"/>
              <w:right w:val="double" w:sz="6" w:space="0" w:color="auto"/>
            </w:tcBorders>
            <w:shd w:val="clear" w:color="auto" w:fill="auto"/>
            <w:noWrap/>
            <w:vAlign w:val="center"/>
            <w:hideMark/>
          </w:tcPr>
          <w:p w14:paraId="13363D2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92,9</w:t>
            </w:r>
          </w:p>
        </w:tc>
      </w:tr>
      <w:tr w:rsidR="00FD7B0B" w:rsidRPr="00FD7B0B" w14:paraId="4F77A88C" w14:textId="77777777" w:rsidTr="006F159B">
        <w:trPr>
          <w:trHeight w:val="86"/>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3498A667"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Бюджетные инвестиции</w:t>
            </w:r>
          </w:p>
        </w:tc>
        <w:tc>
          <w:tcPr>
            <w:tcW w:w="709" w:type="dxa"/>
            <w:tcBorders>
              <w:top w:val="nil"/>
              <w:left w:val="nil"/>
              <w:bottom w:val="single" w:sz="4" w:space="0" w:color="auto"/>
              <w:right w:val="single" w:sz="4" w:space="0" w:color="auto"/>
            </w:tcBorders>
            <w:shd w:val="clear" w:color="auto" w:fill="auto"/>
            <w:noWrap/>
            <w:vAlign w:val="center"/>
            <w:hideMark/>
          </w:tcPr>
          <w:p w14:paraId="5F347C4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410</w:t>
            </w:r>
          </w:p>
        </w:tc>
        <w:tc>
          <w:tcPr>
            <w:tcW w:w="1147" w:type="dxa"/>
            <w:tcBorders>
              <w:top w:val="nil"/>
              <w:left w:val="nil"/>
              <w:bottom w:val="single" w:sz="4" w:space="0" w:color="auto"/>
              <w:right w:val="single" w:sz="4" w:space="0" w:color="auto"/>
            </w:tcBorders>
            <w:shd w:val="clear" w:color="auto" w:fill="auto"/>
            <w:noWrap/>
            <w:vAlign w:val="center"/>
            <w:hideMark/>
          </w:tcPr>
          <w:p w14:paraId="7B90BF3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56,0</w:t>
            </w:r>
          </w:p>
        </w:tc>
        <w:tc>
          <w:tcPr>
            <w:tcW w:w="1111" w:type="dxa"/>
            <w:tcBorders>
              <w:top w:val="nil"/>
              <w:left w:val="nil"/>
              <w:bottom w:val="single" w:sz="4" w:space="0" w:color="auto"/>
              <w:right w:val="single" w:sz="4" w:space="0" w:color="auto"/>
            </w:tcBorders>
            <w:shd w:val="clear" w:color="auto" w:fill="auto"/>
            <w:noWrap/>
            <w:vAlign w:val="center"/>
            <w:hideMark/>
          </w:tcPr>
          <w:p w14:paraId="7B04210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41,5</w:t>
            </w:r>
          </w:p>
        </w:tc>
        <w:tc>
          <w:tcPr>
            <w:tcW w:w="1110" w:type="dxa"/>
            <w:tcBorders>
              <w:top w:val="nil"/>
              <w:left w:val="nil"/>
              <w:bottom w:val="single" w:sz="4" w:space="0" w:color="auto"/>
              <w:right w:val="single" w:sz="4" w:space="0" w:color="auto"/>
            </w:tcBorders>
            <w:shd w:val="clear" w:color="auto" w:fill="auto"/>
            <w:noWrap/>
            <w:vAlign w:val="center"/>
            <w:hideMark/>
          </w:tcPr>
          <w:p w14:paraId="6874F6F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41,5</w:t>
            </w:r>
          </w:p>
        </w:tc>
        <w:tc>
          <w:tcPr>
            <w:tcW w:w="1111" w:type="dxa"/>
            <w:tcBorders>
              <w:top w:val="nil"/>
              <w:left w:val="nil"/>
              <w:bottom w:val="single" w:sz="4" w:space="0" w:color="auto"/>
              <w:right w:val="double" w:sz="6" w:space="0" w:color="auto"/>
            </w:tcBorders>
            <w:shd w:val="clear" w:color="auto" w:fill="auto"/>
            <w:noWrap/>
            <w:vAlign w:val="center"/>
            <w:hideMark/>
          </w:tcPr>
          <w:p w14:paraId="6A335CA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66AD2E08" w14:textId="77777777" w:rsidTr="006F159B">
        <w:trPr>
          <w:trHeight w:val="132"/>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3C89F02E"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Субвенции</w:t>
            </w:r>
          </w:p>
        </w:tc>
        <w:tc>
          <w:tcPr>
            <w:tcW w:w="709" w:type="dxa"/>
            <w:tcBorders>
              <w:top w:val="nil"/>
              <w:left w:val="nil"/>
              <w:bottom w:val="single" w:sz="4" w:space="0" w:color="auto"/>
              <w:right w:val="single" w:sz="4" w:space="0" w:color="auto"/>
            </w:tcBorders>
            <w:shd w:val="clear" w:color="auto" w:fill="auto"/>
            <w:noWrap/>
            <w:vAlign w:val="center"/>
            <w:hideMark/>
          </w:tcPr>
          <w:p w14:paraId="12CFEF1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530</w:t>
            </w:r>
          </w:p>
        </w:tc>
        <w:tc>
          <w:tcPr>
            <w:tcW w:w="1147" w:type="dxa"/>
            <w:tcBorders>
              <w:top w:val="nil"/>
              <w:left w:val="nil"/>
              <w:bottom w:val="single" w:sz="4" w:space="0" w:color="auto"/>
              <w:right w:val="single" w:sz="4" w:space="0" w:color="auto"/>
            </w:tcBorders>
            <w:shd w:val="clear" w:color="auto" w:fill="auto"/>
            <w:noWrap/>
            <w:vAlign w:val="center"/>
            <w:hideMark/>
          </w:tcPr>
          <w:p w14:paraId="4E1387F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18,4</w:t>
            </w:r>
          </w:p>
        </w:tc>
        <w:tc>
          <w:tcPr>
            <w:tcW w:w="1111" w:type="dxa"/>
            <w:tcBorders>
              <w:top w:val="nil"/>
              <w:left w:val="nil"/>
              <w:bottom w:val="single" w:sz="4" w:space="0" w:color="auto"/>
              <w:right w:val="single" w:sz="4" w:space="0" w:color="auto"/>
            </w:tcBorders>
            <w:shd w:val="clear" w:color="auto" w:fill="auto"/>
            <w:noWrap/>
            <w:vAlign w:val="center"/>
            <w:hideMark/>
          </w:tcPr>
          <w:p w14:paraId="5E54D7D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18,4</w:t>
            </w:r>
          </w:p>
        </w:tc>
        <w:tc>
          <w:tcPr>
            <w:tcW w:w="1110" w:type="dxa"/>
            <w:tcBorders>
              <w:top w:val="nil"/>
              <w:left w:val="nil"/>
              <w:bottom w:val="single" w:sz="4" w:space="0" w:color="auto"/>
              <w:right w:val="single" w:sz="4" w:space="0" w:color="auto"/>
            </w:tcBorders>
            <w:shd w:val="clear" w:color="auto" w:fill="auto"/>
            <w:noWrap/>
            <w:vAlign w:val="center"/>
            <w:hideMark/>
          </w:tcPr>
          <w:p w14:paraId="77E83DC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18,2</w:t>
            </w:r>
          </w:p>
        </w:tc>
        <w:tc>
          <w:tcPr>
            <w:tcW w:w="1111" w:type="dxa"/>
            <w:tcBorders>
              <w:top w:val="nil"/>
              <w:left w:val="nil"/>
              <w:bottom w:val="single" w:sz="4" w:space="0" w:color="auto"/>
              <w:right w:val="double" w:sz="6" w:space="0" w:color="auto"/>
            </w:tcBorders>
            <w:shd w:val="clear" w:color="auto" w:fill="auto"/>
            <w:noWrap/>
            <w:vAlign w:val="center"/>
            <w:hideMark/>
          </w:tcPr>
          <w:p w14:paraId="2396AE6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98,6</w:t>
            </w:r>
          </w:p>
        </w:tc>
      </w:tr>
      <w:tr w:rsidR="00FD7B0B" w:rsidRPr="00FD7B0B" w14:paraId="2D10C32D" w14:textId="77777777" w:rsidTr="006F159B">
        <w:trPr>
          <w:trHeight w:val="177"/>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1CCBE4D7"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Иные межбюджетные трансферты</w:t>
            </w:r>
          </w:p>
        </w:tc>
        <w:tc>
          <w:tcPr>
            <w:tcW w:w="709" w:type="dxa"/>
            <w:tcBorders>
              <w:top w:val="nil"/>
              <w:left w:val="nil"/>
              <w:bottom w:val="single" w:sz="4" w:space="0" w:color="auto"/>
              <w:right w:val="single" w:sz="4" w:space="0" w:color="auto"/>
            </w:tcBorders>
            <w:shd w:val="clear" w:color="auto" w:fill="auto"/>
            <w:noWrap/>
            <w:vAlign w:val="center"/>
            <w:hideMark/>
          </w:tcPr>
          <w:p w14:paraId="5516D03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540</w:t>
            </w:r>
          </w:p>
        </w:tc>
        <w:tc>
          <w:tcPr>
            <w:tcW w:w="1147" w:type="dxa"/>
            <w:tcBorders>
              <w:top w:val="nil"/>
              <w:left w:val="nil"/>
              <w:bottom w:val="single" w:sz="4" w:space="0" w:color="auto"/>
              <w:right w:val="single" w:sz="4" w:space="0" w:color="auto"/>
            </w:tcBorders>
            <w:shd w:val="clear" w:color="auto" w:fill="auto"/>
            <w:noWrap/>
            <w:vAlign w:val="center"/>
            <w:hideMark/>
          </w:tcPr>
          <w:p w14:paraId="673EAC1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1111" w:type="dxa"/>
            <w:tcBorders>
              <w:top w:val="nil"/>
              <w:left w:val="nil"/>
              <w:bottom w:val="single" w:sz="4" w:space="0" w:color="auto"/>
              <w:right w:val="single" w:sz="4" w:space="0" w:color="auto"/>
            </w:tcBorders>
            <w:shd w:val="clear" w:color="auto" w:fill="auto"/>
            <w:noWrap/>
            <w:vAlign w:val="center"/>
            <w:hideMark/>
          </w:tcPr>
          <w:p w14:paraId="6A5CCD9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w:t>
            </w:r>
          </w:p>
        </w:tc>
        <w:tc>
          <w:tcPr>
            <w:tcW w:w="1110" w:type="dxa"/>
            <w:tcBorders>
              <w:top w:val="nil"/>
              <w:left w:val="nil"/>
              <w:bottom w:val="single" w:sz="4" w:space="0" w:color="auto"/>
              <w:right w:val="single" w:sz="4" w:space="0" w:color="auto"/>
            </w:tcBorders>
            <w:shd w:val="clear" w:color="auto" w:fill="auto"/>
            <w:noWrap/>
            <w:vAlign w:val="center"/>
            <w:hideMark/>
          </w:tcPr>
          <w:p w14:paraId="0547EE8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w:t>
            </w:r>
          </w:p>
        </w:tc>
        <w:tc>
          <w:tcPr>
            <w:tcW w:w="1111" w:type="dxa"/>
            <w:tcBorders>
              <w:top w:val="nil"/>
              <w:left w:val="nil"/>
              <w:bottom w:val="single" w:sz="4" w:space="0" w:color="auto"/>
              <w:right w:val="double" w:sz="6" w:space="0" w:color="auto"/>
            </w:tcBorders>
            <w:shd w:val="clear" w:color="auto" w:fill="auto"/>
            <w:noWrap/>
            <w:vAlign w:val="center"/>
            <w:hideMark/>
          </w:tcPr>
          <w:p w14:paraId="33966E4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98,6</w:t>
            </w:r>
          </w:p>
        </w:tc>
      </w:tr>
      <w:tr w:rsidR="00FD7B0B" w:rsidRPr="00FD7B0B" w14:paraId="3E1E7478" w14:textId="77777777" w:rsidTr="006F159B">
        <w:trPr>
          <w:trHeight w:val="68"/>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771C7015"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Межбюджетные трансферты бюджету ФПСС РФ </w:t>
            </w:r>
          </w:p>
        </w:tc>
        <w:tc>
          <w:tcPr>
            <w:tcW w:w="709" w:type="dxa"/>
            <w:tcBorders>
              <w:top w:val="nil"/>
              <w:left w:val="nil"/>
              <w:bottom w:val="single" w:sz="4" w:space="0" w:color="auto"/>
              <w:right w:val="single" w:sz="4" w:space="0" w:color="auto"/>
            </w:tcBorders>
            <w:shd w:val="clear" w:color="auto" w:fill="auto"/>
            <w:noWrap/>
            <w:vAlign w:val="center"/>
            <w:hideMark/>
          </w:tcPr>
          <w:p w14:paraId="1904D48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570</w:t>
            </w:r>
          </w:p>
        </w:tc>
        <w:tc>
          <w:tcPr>
            <w:tcW w:w="1147" w:type="dxa"/>
            <w:tcBorders>
              <w:top w:val="nil"/>
              <w:left w:val="nil"/>
              <w:bottom w:val="single" w:sz="4" w:space="0" w:color="auto"/>
              <w:right w:val="single" w:sz="4" w:space="0" w:color="auto"/>
            </w:tcBorders>
            <w:shd w:val="clear" w:color="auto" w:fill="auto"/>
            <w:noWrap/>
            <w:vAlign w:val="center"/>
            <w:hideMark/>
          </w:tcPr>
          <w:p w14:paraId="695B406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4,7</w:t>
            </w:r>
          </w:p>
        </w:tc>
        <w:tc>
          <w:tcPr>
            <w:tcW w:w="1111" w:type="dxa"/>
            <w:tcBorders>
              <w:top w:val="nil"/>
              <w:left w:val="nil"/>
              <w:bottom w:val="single" w:sz="4" w:space="0" w:color="auto"/>
              <w:right w:val="single" w:sz="4" w:space="0" w:color="auto"/>
            </w:tcBorders>
            <w:shd w:val="clear" w:color="auto" w:fill="auto"/>
            <w:noWrap/>
            <w:vAlign w:val="center"/>
            <w:hideMark/>
          </w:tcPr>
          <w:p w14:paraId="6CC269B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110" w:type="dxa"/>
            <w:tcBorders>
              <w:top w:val="nil"/>
              <w:left w:val="nil"/>
              <w:bottom w:val="single" w:sz="4" w:space="0" w:color="auto"/>
              <w:right w:val="single" w:sz="4" w:space="0" w:color="auto"/>
            </w:tcBorders>
            <w:shd w:val="clear" w:color="auto" w:fill="auto"/>
            <w:noWrap/>
            <w:vAlign w:val="center"/>
            <w:hideMark/>
          </w:tcPr>
          <w:p w14:paraId="795E511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1111" w:type="dxa"/>
            <w:tcBorders>
              <w:top w:val="nil"/>
              <w:left w:val="nil"/>
              <w:bottom w:val="single" w:sz="4" w:space="0" w:color="auto"/>
              <w:right w:val="double" w:sz="6" w:space="0" w:color="auto"/>
            </w:tcBorders>
            <w:shd w:val="clear" w:color="auto" w:fill="auto"/>
            <w:noWrap/>
            <w:vAlign w:val="center"/>
            <w:hideMark/>
          </w:tcPr>
          <w:p w14:paraId="3259E7C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r>
      <w:tr w:rsidR="00FD7B0B" w:rsidRPr="00FD7B0B" w14:paraId="39E2700B" w14:textId="77777777" w:rsidTr="006F159B">
        <w:trPr>
          <w:trHeight w:val="113"/>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316706FF"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Субсидии автономным учреждениям</w:t>
            </w:r>
          </w:p>
        </w:tc>
        <w:tc>
          <w:tcPr>
            <w:tcW w:w="709" w:type="dxa"/>
            <w:tcBorders>
              <w:top w:val="nil"/>
              <w:left w:val="nil"/>
              <w:bottom w:val="single" w:sz="4" w:space="0" w:color="auto"/>
              <w:right w:val="single" w:sz="4" w:space="0" w:color="auto"/>
            </w:tcBorders>
            <w:shd w:val="clear" w:color="auto" w:fill="auto"/>
            <w:noWrap/>
            <w:vAlign w:val="center"/>
            <w:hideMark/>
          </w:tcPr>
          <w:p w14:paraId="5884319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620</w:t>
            </w:r>
          </w:p>
        </w:tc>
        <w:tc>
          <w:tcPr>
            <w:tcW w:w="1147" w:type="dxa"/>
            <w:tcBorders>
              <w:top w:val="nil"/>
              <w:left w:val="nil"/>
              <w:bottom w:val="single" w:sz="4" w:space="0" w:color="auto"/>
              <w:right w:val="single" w:sz="4" w:space="0" w:color="auto"/>
            </w:tcBorders>
            <w:shd w:val="clear" w:color="auto" w:fill="auto"/>
            <w:noWrap/>
            <w:vAlign w:val="center"/>
            <w:hideMark/>
          </w:tcPr>
          <w:p w14:paraId="626F363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26,9</w:t>
            </w:r>
          </w:p>
        </w:tc>
        <w:tc>
          <w:tcPr>
            <w:tcW w:w="1111" w:type="dxa"/>
            <w:tcBorders>
              <w:top w:val="nil"/>
              <w:left w:val="nil"/>
              <w:bottom w:val="single" w:sz="4" w:space="0" w:color="auto"/>
              <w:right w:val="single" w:sz="4" w:space="0" w:color="auto"/>
            </w:tcBorders>
            <w:shd w:val="clear" w:color="auto" w:fill="auto"/>
            <w:noWrap/>
            <w:vAlign w:val="center"/>
            <w:hideMark/>
          </w:tcPr>
          <w:p w14:paraId="5F80877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21,9</w:t>
            </w:r>
          </w:p>
        </w:tc>
        <w:tc>
          <w:tcPr>
            <w:tcW w:w="1110" w:type="dxa"/>
            <w:tcBorders>
              <w:top w:val="nil"/>
              <w:left w:val="nil"/>
              <w:bottom w:val="single" w:sz="4" w:space="0" w:color="auto"/>
              <w:right w:val="single" w:sz="4" w:space="0" w:color="auto"/>
            </w:tcBorders>
            <w:shd w:val="clear" w:color="auto" w:fill="auto"/>
            <w:noWrap/>
            <w:vAlign w:val="center"/>
            <w:hideMark/>
          </w:tcPr>
          <w:p w14:paraId="60D9E11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21,9</w:t>
            </w:r>
          </w:p>
        </w:tc>
        <w:tc>
          <w:tcPr>
            <w:tcW w:w="1111" w:type="dxa"/>
            <w:tcBorders>
              <w:top w:val="nil"/>
              <w:left w:val="nil"/>
              <w:bottom w:val="single" w:sz="4" w:space="0" w:color="auto"/>
              <w:right w:val="double" w:sz="6" w:space="0" w:color="auto"/>
            </w:tcBorders>
            <w:shd w:val="clear" w:color="auto" w:fill="auto"/>
            <w:noWrap/>
            <w:vAlign w:val="center"/>
            <w:hideMark/>
          </w:tcPr>
          <w:p w14:paraId="219DB2D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47820327" w14:textId="77777777" w:rsidTr="006F159B">
        <w:trPr>
          <w:trHeight w:val="41"/>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3EF12798" w14:textId="77777777" w:rsidR="006266DC" w:rsidRPr="00FD7B0B" w:rsidRDefault="006266DC" w:rsidP="009B056F">
            <w:pPr>
              <w:spacing w:after="0" w:line="240" w:lineRule="auto"/>
              <w:rPr>
                <w:rFonts w:ascii="Times New Roman" w:eastAsia="Times New Roman" w:hAnsi="Times New Roman" w:cs="Times New Roman"/>
                <w:sz w:val="20"/>
                <w:szCs w:val="20"/>
                <w:lang w:val="en-US" w:eastAsia="ru-RU"/>
              </w:rPr>
            </w:pPr>
            <w:r w:rsidRPr="00FD7B0B">
              <w:rPr>
                <w:rFonts w:ascii="Times New Roman" w:eastAsia="Times New Roman" w:hAnsi="Times New Roman" w:cs="Times New Roman"/>
                <w:sz w:val="20"/>
                <w:szCs w:val="20"/>
                <w:lang w:eastAsia="ru-RU"/>
              </w:rPr>
              <w:t xml:space="preserve">Субсидии некоммерческим организациям </w:t>
            </w:r>
            <w:r w:rsidRPr="00FD7B0B">
              <w:rPr>
                <w:rFonts w:ascii="Times New Roman" w:eastAsia="Times New Roman" w:hAnsi="Times New Roman" w:cs="Times New Roman"/>
                <w:sz w:val="16"/>
                <w:szCs w:val="16"/>
                <w:lang w:val="en-US" w:eastAsia="ru-RU"/>
              </w:rPr>
              <w:t>&lt;</w:t>
            </w:r>
            <w:r w:rsidRPr="00FD7B0B">
              <w:rPr>
                <w:rFonts w:ascii="Times New Roman" w:eastAsia="Times New Roman" w:hAnsi="Times New Roman" w:cs="Times New Roman"/>
                <w:sz w:val="16"/>
                <w:szCs w:val="16"/>
                <w:lang w:eastAsia="ru-RU"/>
              </w:rPr>
              <w:t>…</w:t>
            </w:r>
            <w:r w:rsidRPr="00FD7B0B">
              <w:rPr>
                <w:rFonts w:ascii="Times New Roman" w:eastAsia="Times New Roman" w:hAnsi="Times New Roman" w:cs="Times New Roman"/>
                <w:sz w:val="16"/>
                <w:szCs w:val="16"/>
                <w:lang w:val="en-US" w:eastAsia="ru-RU"/>
              </w:rPr>
              <w:t>&gt;</w:t>
            </w:r>
          </w:p>
        </w:tc>
        <w:tc>
          <w:tcPr>
            <w:tcW w:w="709" w:type="dxa"/>
            <w:tcBorders>
              <w:top w:val="nil"/>
              <w:left w:val="nil"/>
              <w:bottom w:val="single" w:sz="4" w:space="0" w:color="auto"/>
              <w:right w:val="single" w:sz="4" w:space="0" w:color="auto"/>
            </w:tcBorders>
            <w:shd w:val="clear" w:color="auto" w:fill="auto"/>
            <w:noWrap/>
            <w:vAlign w:val="center"/>
            <w:hideMark/>
          </w:tcPr>
          <w:p w14:paraId="4488C4A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630</w:t>
            </w:r>
          </w:p>
        </w:tc>
        <w:tc>
          <w:tcPr>
            <w:tcW w:w="1147" w:type="dxa"/>
            <w:tcBorders>
              <w:top w:val="nil"/>
              <w:left w:val="nil"/>
              <w:bottom w:val="single" w:sz="4" w:space="0" w:color="auto"/>
              <w:right w:val="single" w:sz="4" w:space="0" w:color="auto"/>
            </w:tcBorders>
            <w:shd w:val="clear" w:color="auto" w:fill="auto"/>
            <w:noWrap/>
            <w:vAlign w:val="center"/>
            <w:hideMark/>
          </w:tcPr>
          <w:p w14:paraId="4DEC99E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w:t>
            </w:r>
          </w:p>
        </w:tc>
        <w:tc>
          <w:tcPr>
            <w:tcW w:w="1111" w:type="dxa"/>
            <w:tcBorders>
              <w:top w:val="nil"/>
              <w:left w:val="nil"/>
              <w:bottom w:val="single" w:sz="4" w:space="0" w:color="auto"/>
              <w:right w:val="single" w:sz="4" w:space="0" w:color="auto"/>
            </w:tcBorders>
            <w:shd w:val="clear" w:color="auto" w:fill="auto"/>
            <w:noWrap/>
            <w:vAlign w:val="center"/>
            <w:hideMark/>
          </w:tcPr>
          <w:p w14:paraId="08D9E47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w:t>
            </w:r>
          </w:p>
        </w:tc>
        <w:tc>
          <w:tcPr>
            <w:tcW w:w="1110" w:type="dxa"/>
            <w:tcBorders>
              <w:top w:val="nil"/>
              <w:left w:val="nil"/>
              <w:bottom w:val="single" w:sz="4" w:space="0" w:color="auto"/>
              <w:right w:val="single" w:sz="4" w:space="0" w:color="auto"/>
            </w:tcBorders>
            <w:shd w:val="clear" w:color="auto" w:fill="auto"/>
            <w:noWrap/>
            <w:vAlign w:val="center"/>
            <w:hideMark/>
          </w:tcPr>
          <w:p w14:paraId="2A1EEBD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w:t>
            </w:r>
          </w:p>
        </w:tc>
        <w:tc>
          <w:tcPr>
            <w:tcW w:w="1111" w:type="dxa"/>
            <w:tcBorders>
              <w:top w:val="nil"/>
              <w:left w:val="nil"/>
              <w:bottom w:val="single" w:sz="4" w:space="0" w:color="auto"/>
              <w:right w:val="double" w:sz="6" w:space="0" w:color="auto"/>
            </w:tcBorders>
            <w:shd w:val="clear" w:color="auto" w:fill="auto"/>
            <w:noWrap/>
            <w:vAlign w:val="center"/>
            <w:hideMark/>
          </w:tcPr>
          <w:p w14:paraId="7F49A66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92,4</w:t>
            </w:r>
          </w:p>
        </w:tc>
      </w:tr>
      <w:tr w:rsidR="00FD7B0B" w:rsidRPr="00FD7B0B" w14:paraId="1B80653F" w14:textId="77777777" w:rsidTr="006F159B">
        <w:trPr>
          <w:trHeight w:val="64"/>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61BFD67E"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Субсидии юридическим лицам </w:t>
            </w:r>
            <w:r w:rsidRPr="00FD7B0B">
              <w:rPr>
                <w:rFonts w:ascii="Times New Roman" w:eastAsia="Times New Roman" w:hAnsi="Times New Roman" w:cs="Times New Roman"/>
                <w:sz w:val="16"/>
                <w:szCs w:val="16"/>
                <w:lang w:eastAsia="ru-RU"/>
              </w:rPr>
              <w:t>&lt;…&gt;</w:t>
            </w:r>
          </w:p>
        </w:tc>
        <w:tc>
          <w:tcPr>
            <w:tcW w:w="709" w:type="dxa"/>
            <w:tcBorders>
              <w:top w:val="nil"/>
              <w:left w:val="nil"/>
              <w:bottom w:val="single" w:sz="4" w:space="0" w:color="auto"/>
              <w:right w:val="single" w:sz="4" w:space="0" w:color="auto"/>
            </w:tcBorders>
            <w:shd w:val="clear" w:color="auto" w:fill="auto"/>
            <w:noWrap/>
            <w:vAlign w:val="center"/>
            <w:hideMark/>
          </w:tcPr>
          <w:p w14:paraId="17948C1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810</w:t>
            </w:r>
          </w:p>
        </w:tc>
        <w:tc>
          <w:tcPr>
            <w:tcW w:w="1147" w:type="dxa"/>
            <w:tcBorders>
              <w:top w:val="nil"/>
              <w:left w:val="nil"/>
              <w:bottom w:val="single" w:sz="4" w:space="0" w:color="auto"/>
              <w:right w:val="single" w:sz="4" w:space="0" w:color="auto"/>
            </w:tcBorders>
            <w:shd w:val="clear" w:color="auto" w:fill="auto"/>
            <w:noWrap/>
            <w:vAlign w:val="center"/>
            <w:hideMark/>
          </w:tcPr>
          <w:p w14:paraId="38D04DC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32,9</w:t>
            </w:r>
          </w:p>
        </w:tc>
        <w:tc>
          <w:tcPr>
            <w:tcW w:w="1111" w:type="dxa"/>
            <w:tcBorders>
              <w:top w:val="nil"/>
              <w:left w:val="nil"/>
              <w:bottom w:val="single" w:sz="4" w:space="0" w:color="auto"/>
              <w:right w:val="single" w:sz="4" w:space="0" w:color="auto"/>
            </w:tcBorders>
            <w:shd w:val="clear" w:color="auto" w:fill="auto"/>
            <w:noWrap/>
            <w:vAlign w:val="center"/>
            <w:hideMark/>
          </w:tcPr>
          <w:p w14:paraId="2A441D2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30,9</w:t>
            </w:r>
          </w:p>
        </w:tc>
        <w:tc>
          <w:tcPr>
            <w:tcW w:w="1110" w:type="dxa"/>
            <w:tcBorders>
              <w:top w:val="nil"/>
              <w:left w:val="nil"/>
              <w:bottom w:val="single" w:sz="4" w:space="0" w:color="auto"/>
              <w:right w:val="single" w:sz="4" w:space="0" w:color="auto"/>
            </w:tcBorders>
            <w:shd w:val="clear" w:color="auto" w:fill="auto"/>
            <w:noWrap/>
            <w:vAlign w:val="center"/>
            <w:hideMark/>
          </w:tcPr>
          <w:p w14:paraId="121EA5C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29,6</w:t>
            </w:r>
          </w:p>
        </w:tc>
        <w:tc>
          <w:tcPr>
            <w:tcW w:w="1111" w:type="dxa"/>
            <w:tcBorders>
              <w:top w:val="nil"/>
              <w:left w:val="nil"/>
              <w:bottom w:val="single" w:sz="4" w:space="0" w:color="auto"/>
              <w:right w:val="double" w:sz="6" w:space="0" w:color="auto"/>
            </w:tcBorders>
            <w:shd w:val="clear" w:color="auto" w:fill="auto"/>
            <w:noWrap/>
            <w:vAlign w:val="center"/>
            <w:hideMark/>
          </w:tcPr>
          <w:p w14:paraId="3CC98F0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95,7</w:t>
            </w:r>
          </w:p>
        </w:tc>
      </w:tr>
      <w:tr w:rsidR="00FD7B0B" w:rsidRPr="00FD7B0B" w14:paraId="4F46E20A" w14:textId="77777777" w:rsidTr="006F159B">
        <w:trPr>
          <w:trHeight w:val="110"/>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27B8DEBB"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Исполнение судебных актов</w:t>
            </w:r>
          </w:p>
        </w:tc>
        <w:tc>
          <w:tcPr>
            <w:tcW w:w="709" w:type="dxa"/>
            <w:tcBorders>
              <w:top w:val="nil"/>
              <w:left w:val="nil"/>
              <w:bottom w:val="single" w:sz="4" w:space="0" w:color="auto"/>
              <w:right w:val="single" w:sz="4" w:space="0" w:color="auto"/>
            </w:tcBorders>
            <w:shd w:val="clear" w:color="auto" w:fill="auto"/>
            <w:noWrap/>
            <w:vAlign w:val="center"/>
            <w:hideMark/>
          </w:tcPr>
          <w:p w14:paraId="7A45724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830</w:t>
            </w:r>
          </w:p>
        </w:tc>
        <w:tc>
          <w:tcPr>
            <w:tcW w:w="1147" w:type="dxa"/>
            <w:tcBorders>
              <w:top w:val="nil"/>
              <w:left w:val="nil"/>
              <w:bottom w:val="single" w:sz="4" w:space="0" w:color="auto"/>
              <w:right w:val="single" w:sz="4" w:space="0" w:color="auto"/>
            </w:tcBorders>
            <w:shd w:val="clear" w:color="auto" w:fill="auto"/>
            <w:noWrap/>
            <w:vAlign w:val="center"/>
            <w:hideMark/>
          </w:tcPr>
          <w:p w14:paraId="553E703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1111" w:type="dxa"/>
            <w:tcBorders>
              <w:top w:val="nil"/>
              <w:left w:val="nil"/>
              <w:bottom w:val="single" w:sz="4" w:space="0" w:color="auto"/>
              <w:right w:val="single" w:sz="4" w:space="0" w:color="auto"/>
            </w:tcBorders>
            <w:shd w:val="clear" w:color="auto" w:fill="auto"/>
            <w:noWrap/>
            <w:vAlign w:val="center"/>
            <w:hideMark/>
          </w:tcPr>
          <w:p w14:paraId="576437E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0,2</w:t>
            </w:r>
          </w:p>
        </w:tc>
        <w:tc>
          <w:tcPr>
            <w:tcW w:w="1110" w:type="dxa"/>
            <w:tcBorders>
              <w:top w:val="nil"/>
              <w:left w:val="nil"/>
              <w:bottom w:val="single" w:sz="4" w:space="0" w:color="auto"/>
              <w:right w:val="single" w:sz="4" w:space="0" w:color="auto"/>
            </w:tcBorders>
            <w:shd w:val="clear" w:color="auto" w:fill="auto"/>
            <w:noWrap/>
            <w:vAlign w:val="center"/>
            <w:hideMark/>
          </w:tcPr>
          <w:p w14:paraId="3AC1D37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1111" w:type="dxa"/>
            <w:tcBorders>
              <w:top w:val="nil"/>
              <w:left w:val="nil"/>
              <w:bottom w:val="single" w:sz="4" w:space="0" w:color="auto"/>
              <w:right w:val="double" w:sz="6" w:space="0" w:color="auto"/>
            </w:tcBorders>
            <w:shd w:val="clear" w:color="auto" w:fill="auto"/>
            <w:noWrap/>
            <w:vAlign w:val="center"/>
            <w:hideMark/>
          </w:tcPr>
          <w:p w14:paraId="38DB473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62,2</w:t>
            </w:r>
          </w:p>
        </w:tc>
      </w:tr>
      <w:tr w:rsidR="00FD7B0B" w:rsidRPr="00FD7B0B" w14:paraId="4F4145C4" w14:textId="77777777" w:rsidTr="006F159B">
        <w:trPr>
          <w:trHeight w:val="142"/>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6D5A7F29"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Уплата налогов, сборов и иных платежей</w:t>
            </w:r>
          </w:p>
        </w:tc>
        <w:tc>
          <w:tcPr>
            <w:tcW w:w="709" w:type="dxa"/>
            <w:tcBorders>
              <w:top w:val="nil"/>
              <w:left w:val="nil"/>
              <w:bottom w:val="single" w:sz="4" w:space="0" w:color="auto"/>
              <w:right w:val="single" w:sz="4" w:space="0" w:color="auto"/>
            </w:tcBorders>
            <w:shd w:val="clear" w:color="auto" w:fill="auto"/>
            <w:noWrap/>
            <w:vAlign w:val="center"/>
            <w:hideMark/>
          </w:tcPr>
          <w:p w14:paraId="43CD267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850</w:t>
            </w:r>
          </w:p>
        </w:tc>
        <w:tc>
          <w:tcPr>
            <w:tcW w:w="1147" w:type="dxa"/>
            <w:tcBorders>
              <w:top w:val="nil"/>
              <w:left w:val="nil"/>
              <w:bottom w:val="single" w:sz="4" w:space="0" w:color="auto"/>
              <w:right w:val="single" w:sz="4" w:space="0" w:color="auto"/>
            </w:tcBorders>
            <w:shd w:val="clear" w:color="auto" w:fill="auto"/>
            <w:noWrap/>
            <w:vAlign w:val="center"/>
            <w:hideMark/>
          </w:tcPr>
          <w:p w14:paraId="304912F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w:t>
            </w:r>
          </w:p>
        </w:tc>
        <w:tc>
          <w:tcPr>
            <w:tcW w:w="1111" w:type="dxa"/>
            <w:tcBorders>
              <w:top w:val="nil"/>
              <w:left w:val="nil"/>
              <w:bottom w:val="single" w:sz="4" w:space="0" w:color="auto"/>
              <w:right w:val="single" w:sz="4" w:space="0" w:color="auto"/>
            </w:tcBorders>
            <w:shd w:val="clear" w:color="auto" w:fill="auto"/>
            <w:noWrap/>
            <w:vAlign w:val="center"/>
            <w:hideMark/>
          </w:tcPr>
          <w:p w14:paraId="7E69A45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w:t>
            </w:r>
          </w:p>
        </w:tc>
        <w:tc>
          <w:tcPr>
            <w:tcW w:w="1110" w:type="dxa"/>
            <w:tcBorders>
              <w:top w:val="nil"/>
              <w:left w:val="nil"/>
              <w:bottom w:val="single" w:sz="4" w:space="0" w:color="auto"/>
              <w:right w:val="single" w:sz="4" w:space="0" w:color="auto"/>
            </w:tcBorders>
            <w:shd w:val="clear" w:color="auto" w:fill="auto"/>
            <w:noWrap/>
            <w:vAlign w:val="center"/>
            <w:hideMark/>
          </w:tcPr>
          <w:p w14:paraId="35D254D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0,9</w:t>
            </w:r>
          </w:p>
        </w:tc>
        <w:tc>
          <w:tcPr>
            <w:tcW w:w="1111" w:type="dxa"/>
            <w:tcBorders>
              <w:top w:val="nil"/>
              <w:left w:val="nil"/>
              <w:bottom w:val="single" w:sz="4" w:space="0" w:color="auto"/>
              <w:right w:val="double" w:sz="6" w:space="0" w:color="auto"/>
            </w:tcBorders>
            <w:shd w:val="clear" w:color="auto" w:fill="auto"/>
            <w:noWrap/>
            <w:vAlign w:val="center"/>
            <w:hideMark/>
          </w:tcPr>
          <w:p w14:paraId="610D1DE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66,7</w:t>
            </w:r>
          </w:p>
        </w:tc>
      </w:tr>
      <w:tr w:rsidR="006266DC" w:rsidRPr="00FD7B0B" w14:paraId="67E9195E" w14:textId="77777777" w:rsidTr="006F159B">
        <w:trPr>
          <w:trHeight w:val="45"/>
        </w:trPr>
        <w:tc>
          <w:tcPr>
            <w:tcW w:w="4513" w:type="dxa"/>
            <w:tcBorders>
              <w:top w:val="nil"/>
              <w:left w:val="double" w:sz="6" w:space="0" w:color="auto"/>
              <w:bottom w:val="double" w:sz="6" w:space="0" w:color="auto"/>
              <w:right w:val="single" w:sz="4" w:space="0" w:color="auto"/>
            </w:tcBorders>
            <w:shd w:val="clear" w:color="auto" w:fill="auto"/>
            <w:noWrap/>
            <w:vAlign w:val="bottom"/>
            <w:hideMark/>
          </w:tcPr>
          <w:p w14:paraId="161E4D0B"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Всего</w:t>
            </w:r>
          </w:p>
        </w:tc>
        <w:tc>
          <w:tcPr>
            <w:tcW w:w="709" w:type="dxa"/>
            <w:tcBorders>
              <w:top w:val="nil"/>
              <w:left w:val="nil"/>
              <w:bottom w:val="double" w:sz="6" w:space="0" w:color="auto"/>
              <w:right w:val="single" w:sz="4" w:space="0" w:color="auto"/>
            </w:tcBorders>
            <w:shd w:val="clear" w:color="auto" w:fill="auto"/>
            <w:noWrap/>
            <w:vAlign w:val="bottom"/>
            <w:hideMark/>
          </w:tcPr>
          <w:p w14:paraId="237E547F"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1147" w:type="dxa"/>
            <w:tcBorders>
              <w:top w:val="nil"/>
              <w:left w:val="nil"/>
              <w:bottom w:val="double" w:sz="6" w:space="0" w:color="auto"/>
              <w:right w:val="single" w:sz="4" w:space="0" w:color="auto"/>
            </w:tcBorders>
            <w:shd w:val="clear" w:color="auto" w:fill="auto"/>
            <w:noWrap/>
            <w:vAlign w:val="center"/>
            <w:hideMark/>
          </w:tcPr>
          <w:p w14:paraId="407C5A2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1 795,90</w:t>
            </w:r>
          </w:p>
        </w:tc>
        <w:tc>
          <w:tcPr>
            <w:tcW w:w="1111" w:type="dxa"/>
            <w:tcBorders>
              <w:top w:val="nil"/>
              <w:left w:val="nil"/>
              <w:bottom w:val="double" w:sz="6" w:space="0" w:color="auto"/>
              <w:right w:val="single" w:sz="4" w:space="0" w:color="auto"/>
            </w:tcBorders>
            <w:shd w:val="clear" w:color="auto" w:fill="auto"/>
            <w:noWrap/>
            <w:vAlign w:val="center"/>
            <w:hideMark/>
          </w:tcPr>
          <w:p w14:paraId="7D9ACDE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1 645,0</w:t>
            </w:r>
          </w:p>
        </w:tc>
        <w:tc>
          <w:tcPr>
            <w:tcW w:w="1110" w:type="dxa"/>
            <w:tcBorders>
              <w:top w:val="nil"/>
              <w:left w:val="nil"/>
              <w:bottom w:val="double" w:sz="6" w:space="0" w:color="auto"/>
              <w:right w:val="single" w:sz="4" w:space="0" w:color="auto"/>
            </w:tcBorders>
            <w:shd w:val="clear" w:color="auto" w:fill="auto"/>
            <w:noWrap/>
            <w:vAlign w:val="center"/>
            <w:hideMark/>
          </w:tcPr>
          <w:p w14:paraId="36DAD57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1 536,1</w:t>
            </w:r>
          </w:p>
        </w:tc>
        <w:tc>
          <w:tcPr>
            <w:tcW w:w="1111" w:type="dxa"/>
            <w:tcBorders>
              <w:top w:val="nil"/>
              <w:left w:val="nil"/>
              <w:bottom w:val="double" w:sz="6" w:space="0" w:color="auto"/>
              <w:right w:val="double" w:sz="6" w:space="0" w:color="auto"/>
            </w:tcBorders>
            <w:shd w:val="clear" w:color="auto" w:fill="auto"/>
            <w:noWrap/>
            <w:vAlign w:val="center"/>
            <w:hideMark/>
          </w:tcPr>
          <w:p w14:paraId="043B098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93,4</w:t>
            </w:r>
          </w:p>
        </w:tc>
      </w:tr>
    </w:tbl>
    <w:p w14:paraId="78ABA3F9" w14:textId="77777777" w:rsidR="006F159B" w:rsidRPr="00FD7B0B" w:rsidRDefault="006F159B" w:rsidP="006F159B">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747F141F" w14:textId="0C75EB6E" w:rsidR="006266DC" w:rsidRPr="00FD7B0B" w:rsidRDefault="006266DC" w:rsidP="006F159B">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Исполнение расходов из областного бюджета за 2024 год на реализацию мероприятий ГП № 07 составило 93,4 %. Расходы из областного бюджета за 2024 год на реализацию мероприятий госпрограммы в части закупки товаров, работ и услуг для обеспечения государственных нужд составили 397,6 млн.руб. или 79,2</w:t>
      </w:r>
      <w:r w:rsidR="00601D23" w:rsidRPr="00FD7B0B">
        <w:rPr>
          <w:rFonts w:ascii="Times New Roman" w:eastAsia="Times New Roman" w:hAnsi="Times New Roman"/>
          <w:sz w:val="28"/>
          <w:szCs w:val="28"/>
          <w:lang w:eastAsia="ru-RU"/>
        </w:rPr>
        <w:t> </w:t>
      </w:r>
      <w:r w:rsidRPr="00FD7B0B">
        <w:rPr>
          <w:rFonts w:ascii="Times New Roman" w:eastAsia="Times New Roman" w:hAnsi="Times New Roman"/>
          <w:sz w:val="28"/>
          <w:szCs w:val="28"/>
          <w:lang w:eastAsia="ru-RU"/>
        </w:rPr>
        <w:t>% к уточненной сводной бюджетной росписи на 31.12.2024, неполное освоение обусловлено экономией, сложившейся в результате проведения конкурсных процедур, нарушением поставщиками сроков исполнения и иных условий контрактов.</w:t>
      </w:r>
    </w:p>
    <w:p w14:paraId="4A33D575" w14:textId="26B0AAD5" w:rsidR="006266DC" w:rsidRPr="00FD7B0B" w:rsidRDefault="006266DC"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Исполнение ГП № 07 в разрезе источников финансирования за 2024 год представлены в таблице </w:t>
      </w:r>
      <w:r w:rsidR="00CB4BE6" w:rsidRPr="00FD7B0B">
        <w:rPr>
          <w:rFonts w:ascii="Times New Roman" w:eastAsia="Times New Roman" w:hAnsi="Times New Roman"/>
          <w:sz w:val="28"/>
          <w:szCs w:val="28"/>
          <w:lang w:eastAsia="ru-RU"/>
        </w:rPr>
        <w:t>142</w:t>
      </w:r>
      <w:r w:rsidRPr="00FD7B0B">
        <w:rPr>
          <w:rFonts w:ascii="Times New Roman" w:eastAsia="Times New Roman" w:hAnsi="Times New Roman"/>
          <w:sz w:val="28"/>
          <w:szCs w:val="28"/>
          <w:lang w:eastAsia="ru-RU"/>
        </w:rPr>
        <w:t>.</w:t>
      </w:r>
    </w:p>
    <w:p w14:paraId="4190CE6F" w14:textId="77777777" w:rsidR="006266DC" w:rsidRPr="00FD7B0B" w:rsidRDefault="006266DC" w:rsidP="006F159B">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6B4C457F" w14:textId="77777777" w:rsidR="006266DC" w:rsidRPr="00FD7B0B" w:rsidRDefault="006266DC" w:rsidP="006266DC">
      <w:pPr>
        <w:spacing w:after="0" w:line="240" w:lineRule="auto"/>
        <w:contextualSpacing/>
        <w:jc w:val="both"/>
        <w:rPr>
          <w:rFonts w:ascii="Times New Roman" w:eastAsia="Times New Roman" w:hAnsi="Times New Roman"/>
          <w:sz w:val="24"/>
          <w:szCs w:val="24"/>
          <w:lang w:eastAsia="ru-RU"/>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142</w:t>
      </w:r>
      <w:r w:rsidRPr="00FD7B0B">
        <w:rPr>
          <w:rFonts w:ascii="Times New Roman" w:hAnsi="Times New Roman"/>
          <w:sz w:val="24"/>
          <w:szCs w:val="24"/>
        </w:rPr>
        <w:fldChar w:fldCharType="end"/>
      </w:r>
      <w:r w:rsidRPr="00FD7B0B">
        <w:rPr>
          <w:rFonts w:ascii="Times New Roman" w:hAnsi="Times New Roman"/>
          <w:sz w:val="24"/>
          <w:szCs w:val="24"/>
        </w:rPr>
        <w:t>.</w:t>
      </w:r>
      <w:r w:rsidRPr="00FD7B0B">
        <w:rPr>
          <w:rFonts w:ascii="Times New Roman" w:hAnsi="Times New Roman"/>
          <w:b/>
          <w:sz w:val="24"/>
          <w:szCs w:val="24"/>
        </w:rPr>
        <w:t xml:space="preserve"> </w:t>
      </w:r>
      <w:r w:rsidRPr="00FD7B0B">
        <w:rPr>
          <w:rFonts w:ascii="Times New Roman" w:eastAsia="Times New Roman" w:hAnsi="Times New Roman"/>
          <w:sz w:val="24"/>
          <w:szCs w:val="24"/>
          <w:lang w:eastAsia="ru-RU"/>
        </w:rPr>
        <w:t xml:space="preserve">Исполнение ГП № 07 в разрезе источников финансирования за 2024 год, млн.руб. </w:t>
      </w:r>
    </w:p>
    <w:tbl>
      <w:tblPr>
        <w:tblW w:w="9613" w:type="dxa"/>
        <w:tblInd w:w="-23" w:type="dxa"/>
        <w:tblLook w:val="04A0" w:firstRow="1" w:lastRow="0" w:firstColumn="1" w:lastColumn="0" w:noHBand="0" w:noVBand="1"/>
      </w:tblPr>
      <w:tblGrid>
        <w:gridCol w:w="2552"/>
        <w:gridCol w:w="2832"/>
        <w:gridCol w:w="2127"/>
        <w:gridCol w:w="2102"/>
      </w:tblGrid>
      <w:tr w:rsidR="00FD7B0B" w:rsidRPr="00FD7B0B" w14:paraId="121B9407" w14:textId="77777777" w:rsidTr="00601D23">
        <w:trPr>
          <w:trHeight w:val="230"/>
        </w:trPr>
        <w:tc>
          <w:tcPr>
            <w:tcW w:w="2552"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68131CC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Источник финансирования</w:t>
            </w:r>
          </w:p>
        </w:tc>
        <w:tc>
          <w:tcPr>
            <w:tcW w:w="7061" w:type="dxa"/>
            <w:gridSpan w:val="3"/>
            <w:tcBorders>
              <w:top w:val="double" w:sz="6" w:space="0" w:color="auto"/>
              <w:left w:val="nil"/>
              <w:bottom w:val="single" w:sz="4" w:space="0" w:color="auto"/>
              <w:right w:val="double" w:sz="6" w:space="0" w:color="000000"/>
            </w:tcBorders>
            <w:shd w:val="clear" w:color="auto" w:fill="auto"/>
            <w:noWrap/>
            <w:vAlign w:val="bottom"/>
            <w:hideMark/>
          </w:tcPr>
          <w:p w14:paraId="40442A67" w14:textId="01356EFF"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Объем финансирования ГП №</w:t>
            </w:r>
            <w:r w:rsidR="00CB4BE6" w:rsidRPr="00FD7B0B">
              <w:rPr>
                <w:rFonts w:ascii="Times New Roman" w:eastAsia="Times New Roman" w:hAnsi="Times New Roman" w:cs="Times New Roman"/>
                <w:sz w:val="20"/>
                <w:szCs w:val="20"/>
                <w:lang w:eastAsia="ru-RU"/>
              </w:rPr>
              <w:t xml:space="preserve"> </w:t>
            </w:r>
            <w:r w:rsidRPr="00FD7B0B">
              <w:rPr>
                <w:rFonts w:ascii="Times New Roman" w:eastAsia="Times New Roman" w:hAnsi="Times New Roman" w:cs="Times New Roman"/>
                <w:sz w:val="20"/>
                <w:szCs w:val="20"/>
                <w:lang w:eastAsia="ru-RU"/>
              </w:rPr>
              <w:t>07</w:t>
            </w:r>
          </w:p>
        </w:tc>
      </w:tr>
      <w:tr w:rsidR="00FD7B0B" w:rsidRPr="00FD7B0B" w14:paraId="5ABBCD07" w14:textId="77777777" w:rsidTr="00CB4BE6">
        <w:trPr>
          <w:trHeight w:val="143"/>
        </w:trPr>
        <w:tc>
          <w:tcPr>
            <w:tcW w:w="2552" w:type="dxa"/>
            <w:vMerge/>
            <w:tcBorders>
              <w:top w:val="double" w:sz="6" w:space="0" w:color="auto"/>
              <w:left w:val="double" w:sz="6" w:space="0" w:color="auto"/>
              <w:bottom w:val="single" w:sz="4" w:space="0" w:color="auto"/>
              <w:right w:val="single" w:sz="4" w:space="0" w:color="auto"/>
            </w:tcBorders>
            <w:vAlign w:val="center"/>
            <w:hideMark/>
          </w:tcPr>
          <w:p w14:paraId="470A8584"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c>
          <w:tcPr>
            <w:tcW w:w="2832" w:type="dxa"/>
            <w:tcBorders>
              <w:top w:val="nil"/>
              <w:left w:val="nil"/>
              <w:bottom w:val="single" w:sz="4" w:space="0" w:color="auto"/>
              <w:right w:val="single" w:sz="4" w:space="0" w:color="auto"/>
            </w:tcBorders>
            <w:shd w:val="clear" w:color="auto" w:fill="auto"/>
            <w:vAlign w:val="center"/>
            <w:hideMark/>
          </w:tcPr>
          <w:p w14:paraId="79B102E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 на год</w:t>
            </w:r>
          </w:p>
        </w:tc>
        <w:tc>
          <w:tcPr>
            <w:tcW w:w="2127" w:type="dxa"/>
            <w:tcBorders>
              <w:top w:val="nil"/>
              <w:left w:val="nil"/>
              <w:bottom w:val="single" w:sz="4" w:space="0" w:color="auto"/>
              <w:right w:val="single" w:sz="4" w:space="0" w:color="auto"/>
            </w:tcBorders>
            <w:shd w:val="clear" w:color="auto" w:fill="auto"/>
            <w:vAlign w:val="center"/>
            <w:hideMark/>
          </w:tcPr>
          <w:p w14:paraId="16C92B9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кассовые расходы</w:t>
            </w:r>
          </w:p>
        </w:tc>
        <w:tc>
          <w:tcPr>
            <w:tcW w:w="2102" w:type="dxa"/>
            <w:tcBorders>
              <w:top w:val="nil"/>
              <w:left w:val="nil"/>
              <w:bottom w:val="single" w:sz="4" w:space="0" w:color="auto"/>
              <w:right w:val="double" w:sz="6" w:space="0" w:color="auto"/>
            </w:tcBorders>
            <w:shd w:val="clear" w:color="auto" w:fill="auto"/>
            <w:vAlign w:val="bottom"/>
            <w:hideMark/>
          </w:tcPr>
          <w:p w14:paraId="3E9AFBD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исполнения</w:t>
            </w:r>
          </w:p>
        </w:tc>
      </w:tr>
      <w:tr w:rsidR="00FD7B0B" w:rsidRPr="00FD7B0B" w14:paraId="5AA25006" w14:textId="77777777" w:rsidTr="00601D23">
        <w:trPr>
          <w:trHeight w:val="217"/>
        </w:trPr>
        <w:tc>
          <w:tcPr>
            <w:tcW w:w="9613" w:type="dxa"/>
            <w:gridSpan w:val="4"/>
            <w:tcBorders>
              <w:top w:val="single" w:sz="4" w:space="0" w:color="auto"/>
              <w:left w:val="double" w:sz="6" w:space="0" w:color="auto"/>
              <w:bottom w:val="single" w:sz="4" w:space="0" w:color="auto"/>
              <w:right w:val="double" w:sz="6" w:space="0" w:color="000000"/>
            </w:tcBorders>
            <w:shd w:val="clear" w:color="auto" w:fill="auto"/>
            <w:noWrap/>
            <w:vAlign w:val="bottom"/>
            <w:hideMark/>
          </w:tcPr>
          <w:p w14:paraId="71B57DA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Региональный проект «Содействие занятости (Архангельская область)»</w:t>
            </w:r>
          </w:p>
        </w:tc>
      </w:tr>
      <w:tr w:rsidR="00FD7B0B" w:rsidRPr="00FD7B0B" w14:paraId="13F3E5F5"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noWrap/>
            <w:vAlign w:val="center"/>
            <w:hideMark/>
          </w:tcPr>
          <w:p w14:paraId="1FE4E6CD"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Итого по РП</w:t>
            </w:r>
          </w:p>
        </w:tc>
        <w:tc>
          <w:tcPr>
            <w:tcW w:w="2832" w:type="dxa"/>
            <w:tcBorders>
              <w:top w:val="nil"/>
              <w:left w:val="nil"/>
              <w:bottom w:val="single" w:sz="4" w:space="0" w:color="auto"/>
              <w:right w:val="single" w:sz="4" w:space="0" w:color="auto"/>
            </w:tcBorders>
            <w:shd w:val="clear" w:color="auto" w:fill="auto"/>
            <w:noWrap/>
            <w:vAlign w:val="bottom"/>
            <w:hideMark/>
          </w:tcPr>
          <w:p w14:paraId="2B76FA2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353,3</w:t>
            </w:r>
          </w:p>
        </w:tc>
        <w:tc>
          <w:tcPr>
            <w:tcW w:w="2127" w:type="dxa"/>
            <w:tcBorders>
              <w:top w:val="nil"/>
              <w:left w:val="nil"/>
              <w:bottom w:val="single" w:sz="4" w:space="0" w:color="auto"/>
              <w:right w:val="single" w:sz="4" w:space="0" w:color="auto"/>
            </w:tcBorders>
            <w:shd w:val="clear" w:color="auto" w:fill="auto"/>
            <w:noWrap/>
            <w:vAlign w:val="bottom"/>
            <w:hideMark/>
          </w:tcPr>
          <w:p w14:paraId="0E68509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303,4</w:t>
            </w:r>
          </w:p>
        </w:tc>
        <w:tc>
          <w:tcPr>
            <w:tcW w:w="2102" w:type="dxa"/>
            <w:tcBorders>
              <w:top w:val="nil"/>
              <w:left w:val="nil"/>
              <w:bottom w:val="single" w:sz="4" w:space="0" w:color="auto"/>
              <w:right w:val="double" w:sz="6" w:space="0" w:color="auto"/>
            </w:tcBorders>
            <w:shd w:val="clear" w:color="auto" w:fill="auto"/>
            <w:noWrap/>
            <w:vAlign w:val="bottom"/>
            <w:hideMark/>
          </w:tcPr>
          <w:p w14:paraId="52E7715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85,9</w:t>
            </w:r>
          </w:p>
        </w:tc>
      </w:tr>
      <w:tr w:rsidR="00FD7B0B" w:rsidRPr="00FD7B0B" w14:paraId="4254AFA4"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vAlign w:val="center"/>
            <w:hideMark/>
          </w:tcPr>
          <w:p w14:paraId="0EC9A932"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федеральный бюджет</w:t>
            </w:r>
          </w:p>
        </w:tc>
        <w:tc>
          <w:tcPr>
            <w:tcW w:w="2832" w:type="dxa"/>
            <w:tcBorders>
              <w:top w:val="nil"/>
              <w:left w:val="nil"/>
              <w:bottom w:val="single" w:sz="4" w:space="0" w:color="auto"/>
              <w:right w:val="single" w:sz="4" w:space="0" w:color="auto"/>
            </w:tcBorders>
            <w:shd w:val="clear" w:color="auto" w:fill="auto"/>
            <w:noWrap/>
            <w:vAlign w:val="bottom"/>
            <w:hideMark/>
          </w:tcPr>
          <w:p w14:paraId="696C97B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345,4</w:t>
            </w:r>
          </w:p>
        </w:tc>
        <w:tc>
          <w:tcPr>
            <w:tcW w:w="2127" w:type="dxa"/>
            <w:tcBorders>
              <w:top w:val="nil"/>
              <w:left w:val="nil"/>
              <w:bottom w:val="single" w:sz="4" w:space="0" w:color="auto"/>
              <w:right w:val="single" w:sz="4" w:space="0" w:color="auto"/>
            </w:tcBorders>
            <w:shd w:val="clear" w:color="auto" w:fill="auto"/>
            <w:noWrap/>
            <w:vAlign w:val="bottom"/>
            <w:hideMark/>
          </w:tcPr>
          <w:p w14:paraId="0604217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296,4</w:t>
            </w:r>
          </w:p>
        </w:tc>
        <w:tc>
          <w:tcPr>
            <w:tcW w:w="2102" w:type="dxa"/>
            <w:tcBorders>
              <w:top w:val="nil"/>
              <w:left w:val="nil"/>
              <w:bottom w:val="single" w:sz="4" w:space="0" w:color="auto"/>
              <w:right w:val="double" w:sz="6" w:space="0" w:color="auto"/>
            </w:tcBorders>
            <w:shd w:val="clear" w:color="auto" w:fill="auto"/>
            <w:noWrap/>
            <w:vAlign w:val="bottom"/>
            <w:hideMark/>
          </w:tcPr>
          <w:p w14:paraId="6783B21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85,8</w:t>
            </w:r>
          </w:p>
        </w:tc>
      </w:tr>
      <w:tr w:rsidR="00FD7B0B" w:rsidRPr="00FD7B0B" w14:paraId="6A8872BB"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vAlign w:val="center"/>
            <w:hideMark/>
          </w:tcPr>
          <w:p w14:paraId="45E30DC1"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2832" w:type="dxa"/>
            <w:tcBorders>
              <w:top w:val="nil"/>
              <w:left w:val="nil"/>
              <w:bottom w:val="single" w:sz="4" w:space="0" w:color="auto"/>
              <w:right w:val="single" w:sz="4" w:space="0" w:color="auto"/>
            </w:tcBorders>
            <w:shd w:val="clear" w:color="auto" w:fill="auto"/>
            <w:noWrap/>
            <w:vAlign w:val="bottom"/>
            <w:hideMark/>
          </w:tcPr>
          <w:p w14:paraId="3293838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w:t>
            </w:r>
          </w:p>
        </w:tc>
        <w:tc>
          <w:tcPr>
            <w:tcW w:w="2127" w:type="dxa"/>
            <w:tcBorders>
              <w:top w:val="nil"/>
              <w:left w:val="nil"/>
              <w:bottom w:val="single" w:sz="4" w:space="0" w:color="auto"/>
              <w:right w:val="single" w:sz="4" w:space="0" w:color="auto"/>
            </w:tcBorders>
            <w:shd w:val="clear" w:color="auto" w:fill="auto"/>
            <w:noWrap/>
            <w:vAlign w:val="bottom"/>
            <w:hideMark/>
          </w:tcPr>
          <w:p w14:paraId="6029806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7,0</w:t>
            </w:r>
          </w:p>
        </w:tc>
        <w:tc>
          <w:tcPr>
            <w:tcW w:w="2102" w:type="dxa"/>
            <w:tcBorders>
              <w:top w:val="nil"/>
              <w:left w:val="nil"/>
              <w:bottom w:val="single" w:sz="4" w:space="0" w:color="auto"/>
              <w:right w:val="double" w:sz="6" w:space="0" w:color="auto"/>
            </w:tcBorders>
            <w:shd w:val="clear" w:color="auto" w:fill="auto"/>
            <w:noWrap/>
            <w:vAlign w:val="bottom"/>
            <w:hideMark/>
          </w:tcPr>
          <w:p w14:paraId="333099C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88,6</w:t>
            </w:r>
          </w:p>
        </w:tc>
      </w:tr>
      <w:tr w:rsidR="00FD7B0B" w:rsidRPr="00FD7B0B" w14:paraId="7F599E2F" w14:textId="77777777" w:rsidTr="00601D23">
        <w:trPr>
          <w:trHeight w:val="41"/>
        </w:trPr>
        <w:tc>
          <w:tcPr>
            <w:tcW w:w="9613" w:type="dxa"/>
            <w:gridSpan w:val="4"/>
            <w:tcBorders>
              <w:top w:val="single" w:sz="4" w:space="0" w:color="auto"/>
              <w:left w:val="double" w:sz="6" w:space="0" w:color="auto"/>
              <w:bottom w:val="single" w:sz="4" w:space="0" w:color="auto"/>
              <w:right w:val="double" w:sz="6" w:space="0" w:color="000000"/>
            </w:tcBorders>
            <w:shd w:val="clear" w:color="auto" w:fill="auto"/>
            <w:vAlign w:val="bottom"/>
            <w:hideMark/>
          </w:tcPr>
          <w:p w14:paraId="0FA6716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Комплекс процессных мероприятий «Содействие занятости населения, улучшение условий и охраны труда»</w:t>
            </w:r>
          </w:p>
        </w:tc>
      </w:tr>
      <w:tr w:rsidR="00FD7B0B" w:rsidRPr="00FD7B0B" w14:paraId="475E8E70"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noWrap/>
            <w:vAlign w:val="center"/>
            <w:hideMark/>
          </w:tcPr>
          <w:p w14:paraId="2C16777F"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Итого по КПМ</w:t>
            </w:r>
          </w:p>
        </w:tc>
        <w:tc>
          <w:tcPr>
            <w:tcW w:w="2832" w:type="dxa"/>
            <w:tcBorders>
              <w:top w:val="nil"/>
              <w:left w:val="nil"/>
              <w:bottom w:val="single" w:sz="4" w:space="0" w:color="auto"/>
              <w:right w:val="single" w:sz="4" w:space="0" w:color="auto"/>
            </w:tcBorders>
            <w:shd w:val="clear" w:color="auto" w:fill="auto"/>
            <w:noWrap/>
            <w:vAlign w:val="bottom"/>
            <w:hideMark/>
          </w:tcPr>
          <w:p w14:paraId="74F317E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1 802,3</w:t>
            </w:r>
          </w:p>
        </w:tc>
        <w:tc>
          <w:tcPr>
            <w:tcW w:w="2127" w:type="dxa"/>
            <w:tcBorders>
              <w:top w:val="nil"/>
              <w:left w:val="nil"/>
              <w:bottom w:val="single" w:sz="4" w:space="0" w:color="auto"/>
              <w:right w:val="single" w:sz="4" w:space="0" w:color="auto"/>
            </w:tcBorders>
            <w:shd w:val="clear" w:color="auto" w:fill="auto"/>
            <w:noWrap/>
            <w:vAlign w:val="bottom"/>
            <w:hideMark/>
          </w:tcPr>
          <w:p w14:paraId="2CE7FD4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1 779,9</w:t>
            </w:r>
          </w:p>
        </w:tc>
        <w:tc>
          <w:tcPr>
            <w:tcW w:w="2102" w:type="dxa"/>
            <w:tcBorders>
              <w:top w:val="nil"/>
              <w:left w:val="nil"/>
              <w:bottom w:val="single" w:sz="4" w:space="0" w:color="auto"/>
              <w:right w:val="double" w:sz="6" w:space="0" w:color="auto"/>
            </w:tcBorders>
            <w:shd w:val="clear" w:color="auto" w:fill="auto"/>
            <w:noWrap/>
            <w:vAlign w:val="bottom"/>
            <w:hideMark/>
          </w:tcPr>
          <w:p w14:paraId="5AECBEB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98,8</w:t>
            </w:r>
          </w:p>
        </w:tc>
      </w:tr>
      <w:tr w:rsidR="00FD7B0B" w:rsidRPr="00FD7B0B" w14:paraId="71C963B4"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vAlign w:val="center"/>
            <w:hideMark/>
          </w:tcPr>
          <w:p w14:paraId="118B2B7E"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федеральный бюджет</w:t>
            </w:r>
          </w:p>
        </w:tc>
        <w:tc>
          <w:tcPr>
            <w:tcW w:w="2832" w:type="dxa"/>
            <w:tcBorders>
              <w:top w:val="nil"/>
              <w:left w:val="nil"/>
              <w:bottom w:val="single" w:sz="4" w:space="0" w:color="auto"/>
              <w:right w:val="single" w:sz="4" w:space="0" w:color="auto"/>
            </w:tcBorders>
            <w:shd w:val="clear" w:color="auto" w:fill="auto"/>
            <w:noWrap/>
            <w:vAlign w:val="bottom"/>
            <w:hideMark/>
          </w:tcPr>
          <w:p w14:paraId="23103B3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465,3</w:t>
            </w:r>
          </w:p>
        </w:tc>
        <w:tc>
          <w:tcPr>
            <w:tcW w:w="2127" w:type="dxa"/>
            <w:tcBorders>
              <w:top w:val="nil"/>
              <w:left w:val="nil"/>
              <w:bottom w:val="single" w:sz="4" w:space="0" w:color="auto"/>
              <w:right w:val="single" w:sz="4" w:space="0" w:color="auto"/>
            </w:tcBorders>
            <w:shd w:val="clear" w:color="auto" w:fill="auto"/>
            <w:noWrap/>
            <w:vAlign w:val="bottom"/>
            <w:hideMark/>
          </w:tcPr>
          <w:p w14:paraId="40BCA0E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465,2</w:t>
            </w:r>
          </w:p>
        </w:tc>
        <w:tc>
          <w:tcPr>
            <w:tcW w:w="2102" w:type="dxa"/>
            <w:tcBorders>
              <w:top w:val="nil"/>
              <w:left w:val="nil"/>
              <w:bottom w:val="single" w:sz="4" w:space="0" w:color="auto"/>
              <w:right w:val="double" w:sz="6" w:space="0" w:color="auto"/>
            </w:tcBorders>
            <w:shd w:val="clear" w:color="auto" w:fill="auto"/>
            <w:noWrap/>
            <w:vAlign w:val="bottom"/>
            <w:hideMark/>
          </w:tcPr>
          <w:p w14:paraId="1F754AF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6B511BDF"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vAlign w:val="center"/>
            <w:hideMark/>
          </w:tcPr>
          <w:p w14:paraId="5602F443"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2832" w:type="dxa"/>
            <w:tcBorders>
              <w:top w:val="nil"/>
              <w:left w:val="nil"/>
              <w:bottom w:val="single" w:sz="4" w:space="0" w:color="auto"/>
              <w:right w:val="single" w:sz="4" w:space="0" w:color="auto"/>
            </w:tcBorders>
            <w:shd w:val="clear" w:color="auto" w:fill="auto"/>
            <w:noWrap/>
            <w:vAlign w:val="bottom"/>
            <w:hideMark/>
          </w:tcPr>
          <w:p w14:paraId="4A61A28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826,4</w:t>
            </w:r>
          </w:p>
        </w:tc>
        <w:tc>
          <w:tcPr>
            <w:tcW w:w="2127" w:type="dxa"/>
            <w:tcBorders>
              <w:top w:val="nil"/>
              <w:left w:val="nil"/>
              <w:bottom w:val="single" w:sz="4" w:space="0" w:color="auto"/>
              <w:right w:val="single" w:sz="4" w:space="0" w:color="auto"/>
            </w:tcBorders>
            <w:shd w:val="clear" w:color="auto" w:fill="auto"/>
            <w:noWrap/>
            <w:vAlign w:val="bottom"/>
            <w:hideMark/>
          </w:tcPr>
          <w:p w14:paraId="1EA5F0D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767,5</w:t>
            </w:r>
          </w:p>
        </w:tc>
        <w:tc>
          <w:tcPr>
            <w:tcW w:w="2102" w:type="dxa"/>
            <w:tcBorders>
              <w:top w:val="nil"/>
              <w:left w:val="nil"/>
              <w:bottom w:val="single" w:sz="4" w:space="0" w:color="auto"/>
              <w:right w:val="double" w:sz="6" w:space="0" w:color="auto"/>
            </w:tcBorders>
            <w:shd w:val="clear" w:color="auto" w:fill="auto"/>
            <w:noWrap/>
            <w:vAlign w:val="bottom"/>
            <w:hideMark/>
          </w:tcPr>
          <w:p w14:paraId="5F16088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92,9</w:t>
            </w:r>
          </w:p>
        </w:tc>
      </w:tr>
      <w:tr w:rsidR="00FD7B0B" w:rsidRPr="00FD7B0B" w14:paraId="6D4E8264"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vAlign w:val="center"/>
            <w:hideMark/>
          </w:tcPr>
          <w:p w14:paraId="21A72024"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внебюджетные источники</w:t>
            </w:r>
          </w:p>
        </w:tc>
        <w:tc>
          <w:tcPr>
            <w:tcW w:w="2832" w:type="dxa"/>
            <w:tcBorders>
              <w:top w:val="nil"/>
              <w:left w:val="nil"/>
              <w:bottom w:val="single" w:sz="4" w:space="0" w:color="auto"/>
              <w:right w:val="single" w:sz="4" w:space="0" w:color="auto"/>
            </w:tcBorders>
            <w:shd w:val="clear" w:color="auto" w:fill="auto"/>
            <w:noWrap/>
            <w:vAlign w:val="bottom"/>
            <w:hideMark/>
          </w:tcPr>
          <w:p w14:paraId="2388CEB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510,5</w:t>
            </w:r>
          </w:p>
        </w:tc>
        <w:tc>
          <w:tcPr>
            <w:tcW w:w="2127" w:type="dxa"/>
            <w:tcBorders>
              <w:top w:val="nil"/>
              <w:left w:val="nil"/>
              <w:bottom w:val="single" w:sz="4" w:space="0" w:color="auto"/>
              <w:right w:val="single" w:sz="4" w:space="0" w:color="auto"/>
            </w:tcBorders>
            <w:shd w:val="clear" w:color="auto" w:fill="auto"/>
            <w:noWrap/>
            <w:vAlign w:val="bottom"/>
            <w:hideMark/>
          </w:tcPr>
          <w:p w14:paraId="526FCAF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547,2</w:t>
            </w:r>
          </w:p>
        </w:tc>
        <w:tc>
          <w:tcPr>
            <w:tcW w:w="2102" w:type="dxa"/>
            <w:tcBorders>
              <w:top w:val="nil"/>
              <w:left w:val="nil"/>
              <w:bottom w:val="single" w:sz="4" w:space="0" w:color="auto"/>
              <w:right w:val="double" w:sz="6" w:space="0" w:color="auto"/>
            </w:tcBorders>
            <w:shd w:val="clear" w:color="auto" w:fill="auto"/>
            <w:noWrap/>
            <w:vAlign w:val="bottom"/>
            <w:hideMark/>
          </w:tcPr>
          <w:p w14:paraId="25CABA0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107,2</w:t>
            </w:r>
          </w:p>
        </w:tc>
      </w:tr>
      <w:tr w:rsidR="00FD7B0B" w:rsidRPr="00FD7B0B" w14:paraId="1B1913FB"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vAlign w:val="center"/>
            <w:hideMark/>
          </w:tcPr>
          <w:p w14:paraId="77ED21D9"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Итого по ГП</w:t>
            </w:r>
          </w:p>
        </w:tc>
        <w:tc>
          <w:tcPr>
            <w:tcW w:w="2832" w:type="dxa"/>
            <w:tcBorders>
              <w:top w:val="nil"/>
              <w:left w:val="nil"/>
              <w:bottom w:val="single" w:sz="4" w:space="0" w:color="auto"/>
              <w:right w:val="single" w:sz="4" w:space="0" w:color="auto"/>
            </w:tcBorders>
            <w:shd w:val="clear" w:color="auto" w:fill="auto"/>
            <w:noWrap/>
            <w:vAlign w:val="bottom"/>
            <w:hideMark/>
          </w:tcPr>
          <w:p w14:paraId="5F3874D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2 155,6</w:t>
            </w:r>
          </w:p>
        </w:tc>
        <w:tc>
          <w:tcPr>
            <w:tcW w:w="2127" w:type="dxa"/>
            <w:tcBorders>
              <w:top w:val="nil"/>
              <w:left w:val="nil"/>
              <w:bottom w:val="single" w:sz="4" w:space="0" w:color="auto"/>
              <w:right w:val="single" w:sz="4" w:space="0" w:color="auto"/>
            </w:tcBorders>
            <w:shd w:val="clear" w:color="auto" w:fill="auto"/>
            <w:noWrap/>
            <w:vAlign w:val="bottom"/>
            <w:hideMark/>
          </w:tcPr>
          <w:p w14:paraId="13E77BC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2 083,3</w:t>
            </w:r>
          </w:p>
        </w:tc>
        <w:tc>
          <w:tcPr>
            <w:tcW w:w="2102" w:type="dxa"/>
            <w:tcBorders>
              <w:top w:val="nil"/>
              <w:left w:val="nil"/>
              <w:bottom w:val="single" w:sz="4" w:space="0" w:color="auto"/>
              <w:right w:val="double" w:sz="6" w:space="0" w:color="auto"/>
            </w:tcBorders>
            <w:shd w:val="clear" w:color="auto" w:fill="auto"/>
            <w:noWrap/>
            <w:vAlign w:val="bottom"/>
            <w:hideMark/>
          </w:tcPr>
          <w:p w14:paraId="32845E0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96,6</w:t>
            </w:r>
          </w:p>
        </w:tc>
      </w:tr>
      <w:tr w:rsidR="00FD7B0B" w:rsidRPr="00FD7B0B" w14:paraId="55A49454"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vAlign w:val="center"/>
            <w:hideMark/>
          </w:tcPr>
          <w:p w14:paraId="2C20564E"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федеральный бюджет</w:t>
            </w:r>
          </w:p>
        </w:tc>
        <w:tc>
          <w:tcPr>
            <w:tcW w:w="2832" w:type="dxa"/>
            <w:tcBorders>
              <w:top w:val="nil"/>
              <w:left w:val="nil"/>
              <w:bottom w:val="single" w:sz="4" w:space="0" w:color="auto"/>
              <w:right w:val="single" w:sz="4" w:space="0" w:color="auto"/>
            </w:tcBorders>
            <w:shd w:val="clear" w:color="auto" w:fill="auto"/>
            <w:noWrap/>
            <w:vAlign w:val="bottom"/>
            <w:hideMark/>
          </w:tcPr>
          <w:p w14:paraId="6F9BCB2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810,7</w:t>
            </w:r>
          </w:p>
        </w:tc>
        <w:tc>
          <w:tcPr>
            <w:tcW w:w="2127" w:type="dxa"/>
            <w:tcBorders>
              <w:top w:val="nil"/>
              <w:left w:val="nil"/>
              <w:bottom w:val="single" w:sz="4" w:space="0" w:color="auto"/>
              <w:right w:val="single" w:sz="4" w:space="0" w:color="auto"/>
            </w:tcBorders>
            <w:shd w:val="clear" w:color="auto" w:fill="auto"/>
            <w:noWrap/>
            <w:vAlign w:val="bottom"/>
            <w:hideMark/>
          </w:tcPr>
          <w:p w14:paraId="46CE32D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761,7</w:t>
            </w:r>
          </w:p>
        </w:tc>
        <w:tc>
          <w:tcPr>
            <w:tcW w:w="2102" w:type="dxa"/>
            <w:tcBorders>
              <w:top w:val="nil"/>
              <w:left w:val="nil"/>
              <w:bottom w:val="single" w:sz="4" w:space="0" w:color="auto"/>
              <w:right w:val="double" w:sz="6" w:space="0" w:color="auto"/>
            </w:tcBorders>
            <w:shd w:val="clear" w:color="auto" w:fill="auto"/>
            <w:noWrap/>
            <w:vAlign w:val="bottom"/>
            <w:hideMark/>
          </w:tcPr>
          <w:p w14:paraId="6F817CF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93,9</w:t>
            </w:r>
          </w:p>
        </w:tc>
      </w:tr>
      <w:tr w:rsidR="00FD7B0B" w:rsidRPr="00FD7B0B" w14:paraId="6C7DB7AF" w14:textId="77777777" w:rsidTr="00601D23">
        <w:trPr>
          <w:trHeight w:val="217"/>
        </w:trPr>
        <w:tc>
          <w:tcPr>
            <w:tcW w:w="2552" w:type="dxa"/>
            <w:tcBorders>
              <w:top w:val="nil"/>
              <w:left w:val="double" w:sz="6" w:space="0" w:color="auto"/>
              <w:bottom w:val="single" w:sz="4" w:space="0" w:color="auto"/>
              <w:right w:val="single" w:sz="4" w:space="0" w:color="auto"/>
            </w:tcBorders>
            <w:shd w:val="clear" w:color="auto" w:fill="auto"/>
            <w:vAlign w:val="center"/>
            <w:hideMark/>
          </w:tcPr>
          <w:p w14:paraId="25DB5121"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2832" w:type="dxa"/>
            <w:tcBorders>
              <w:top w:val="nil"/>
              <w:left w:val="nil"/>
              <w:bottom w:val="single" w:sz="4" w:space="0" w:color="auto"/>
              <w:right w:val="single" w:sz="4" w:space="0" w:color="auto"/>
            </w:tcBorders>
            <w:shd w:val="clear" w:color="auto" w:fill="auto"/>
            <w:noWrap/>
            <w:vAlign w:val="bottom"/>
            <w:hideMark/>
          </w:tcPr>
          <w:p w14:paraId="69C4271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834,4</w:t>
            </w:r>
          </w:p>
        </w:tc>
        <w:tc>
          <w:tcPr>
            <w:tcW w:w="2127" w:type="dxa"/>
            <w:tcBorders>
              <w:top w:val="nil"/>
              <w:left w:val="nil"/>
              <w:bottom w:val="single" w:sz="4" w:space="0" w:color="auto"/>
              <w:right w:val="single" w:sz="4" w:space="0" w:color="auto"/>
            </w:tcBorders>
            <w:shd w:val="clear" w:color="auto" w:fill="auto"/>
            <w:noWrap/>
            <w:vAlign w:val="bottom"/>
            <w:hideMark/>
          </w:tcPr>
          <w:p w14:paraId="251BAD5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774,4</w:t>
            </w:r>
          </w:p>
        </w:tc>
        <w:tc>
          <w:tcPr>
            <w:tcW w:w="2102" w:type="dxa"/>
            <w:tcBorders>
              <w:top w:val="nil"/>
              <w:left w:val="nil"/>
              <w:bottom w:val="single" w:sz="4" w:space="0" w:color="auto"/>
              <w:right w:val="double" w:sz="6" w:space="0" w:color="auto"/>
            </w:tcBorders>
            <w:shd w:val="clear" w:color="auto" w:fill="auto"/>
            <w:noWrap/>
            <w:vAlign w:val="bottom"/>
            <w:hideMark/>
          </w:tcPr>
          <w:p w14:paraId="31D5A73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92,8</w:t>
            </w:r>
          </w:p>
        </w:tc>
      </w:tr>
      <w:tr w:rsidR="00FD7B0B" w:rsidRPr="00FD7B0B" w14:paraId="68B14425" w14:textId="77777777" w:rsidTr="00601D23">
        <w:trPr>
          <w:trHeight w:val="144"/>
        </w:trPr>
        <w:tc>
          <w:tcPr>
            <w:tcW w:w="2552" w:type="dxa"/>
            <w:tcBorders>
              <w:top w:val="nil"/>
              <w:left w:val="double" w:sz="6" w:space="0" w:color="auto"/>
              <w:bottom w:val="double" w:sz="6" w:space="0" w:color="auto"/>
              <w:right w:val="single" w:sz="4" w:space="0" w:color="auto"/>
            </w:tcBorders>
            <w:shd w:val="clear" w:color="auto" w:fill="auto"/>
            <w:vAlign w:val="center"/>
            <w:hideMark/>
          </w:tcPr>
          <w:p w14:paraId="2DFC9D53"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внебюджетные источники</w:t>
            </w:r>
          </w:p>
        </w:tc>
        <w:tc>
          <w:tcPr>
            <w:tcW w:w="2832" w:type="dxa"/>
            <w:tcBorders>
              <w:top w:val="nil"/>
              <w:left w:val="nil"/>
              <w:bottom w:val="double" w:sz="6" w:space="0" w:color="auto"/>
              <w:right w:val="single" w:sz="4" w:space="0" w:color="auto"/>
            </w:tcBorders>
            <w:shd w:val="clear" w:color="auto" w:fill="auto"/>
            <w:noWrap/>
            <w:vAlign w:val="bottom"/>
            <w:hideMark/>
          </w:tcPr>
          <w:p w14:paraId="4F2C509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510,5</w:t>
            </w:r>
          </w:p>
        </w:tc>
        <w:tc>
          <w:tcPr>
            <w:tcW w:w="2127" w:type="dxa"/>
            <w:tcBorders>
              <w:top w:val="nil"/>
              <w:left w:val="nil"/>
              <w:bottom w:val="double" w:sz="6" w:space="0" w:color="auto"/>
              <w:right w:val="single" w:sz="4" w:space="0" w:color="auto"/>
            </w:tcBorders>
            <w:shd w:val="clear" w:color="auto" w:fill="auto"/>
            <w:noWrap/>
            <w:vAlign w:val="bottom"/>
            <w:hideMark/>
          </w:tcPr>
          <w:p w14:paraId="721CB01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547,2</w:t>
            </w:r>
          </w:p>
        </w:tc>
        <w:tc>
          <w:tcPr>
            <w:tcW w:w="2102" w:type="dxa"/>
            <w:tcBorders>
              <w:top w:val="nil"/>
              <w:left w:val="nil"/>
              <w:bottom w:val="double" w:sz="6" w:space="0" w:color="auto"/>
              <w:right w:val="double" w:sz="6" w:space="0" w:color="auto"/>
            </w:tcBorders>
            <w:shd w:val="clear" w:color="auto" w:fill="auto"/>
            <w:noWrap/>
            <w:vAlign w:val="bottom"/>
            <w:hideMark/>
          </w:tcPr>
          <w:p w14:paraId="519BFFC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107,2</w:t>
            </w:r>
          </w:p>
        </w:tc>
      </w:tr>
    </w:tbl>
    <w:p w14:paraId="79E30A5B" w14:textId="77777777" w:rsidR="00601D23" w:rsidRPr="00FD7B0B" w:rsidRDefault="00601D23"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73903620" w14:textId="77777777" w:rsidR="006266DC" w:rsidRPr="00FD7B0B" w:rsidRDefault="006266DC"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Отчету о реализации мероприятий госпрограммы за 2024 год, расходы за счет всех источников составили в общей сумме 2 083,3 млн.руб. или 96,6 % к плановым назначениям, из них за счет средств федерального и областного бюджета 1 536,1 млн.руб. или 93,4 % к сводной бюджетной росписи на 31.12.2024.</w:t>
      </w:r>
    </w:p>
    <w:p w14:paraId="7E795F09" w14:textId="77777777" w:rsidR="006266DC" w:rsidRPr="00FD7B0B" w:rsidRDefault="006266DC" w:rsidP="00601D2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составе госпрограммы преобладают расходы процессной части, доля которой составляет– 85,4 %, доля проектной части составляет– 14,6 %.</w:t>
      </w:r>
    </w:p>
    <w:p w14:paraId="113FCE63" w14:textId="77777777" w:rsidR="006266DC" w:rsidRPr="00FD7B0B" w:rsidRDefault="006266DC" w:rsidP="00601D23">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57DD7804" w14:textId="77777777" w:rsidR="006266DC" w:rsidRPr="00FD7B0B" w:rsidRDefault="006266DC" w:rsidP="00601D23">
      <w:pPr>
        <w:spacing w:after="0" w:line="240" w:lineRule="auto"/>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Региональный проект «Содействие занятости (Архангельская область)»</w:t>
      </w:r>
    </w:p>
    <w:p w14:paraId="76A195BB" w14:textId="40773CE6" w:rsidR="006266DC" w:rsidRPr="00FD7B0B" w:rsidRDefault="006266DC" w:rsidP="006266DC">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В 2024 году в рамках регионального проекта запланировано 3 мероприятия (результата), 3 показателя и 19 контрольных точек. По итогам года согласно Отчету мероп</w:t>
      </w:r>
      <w:r w:rsidR="0001748D" w:rsidRPr="00FD7B0B">
        <w:rPr>
          <w:rFonts w:ascii="Times New Roman" w:hAnsi="Times New Roman" w:cs="Times New Roman"/>
          <w:sz w:val="28"/>
          <w:szCs w:val="28"/>
        </w:rPr>
        <w:t>риятия и показатели достигнуты.</w:t>
      </w:r>
    </w:p>
    <w:p w14:paraId="2A29A1FC" w14:textId="2475AFAD" w:rsidR="006266DC" w:rsidRPr="00FD7B0B" w:rsidRDefault="006266DC" w:rsidP="006266DC">
      <w:pPr>
        <w:pStyle w:val="ConsPlusNonformat"/>
        <w:tabs>
          <w:tab w:val="left" w:pos="993"/>
        </w:tabs>
        <w:ind w:firstLine="709"/>
        <w:jc w:val="both"/>
        <w:rPr>
          <w:sz w:val="28"/>
          <w:szCs w:val="28"/>
        </w:rPr>
      </w:pPr>
      <w:r w:rsidRPr="00FD7B0B">
        <w:rPr>
          <w:rFonts w:ascii="Times New Roman" w:hAnsi="Times New Roman" w:cs="Times New Roman"/>
          <w:sz w:val="28"/>
          <w:szCs w:val="28"/>
        </w:rPr>
        <w:t>Согласно Отчету о реализации мероприятий ГП №</w:t>
      </w:r>
      <w:r w:rsidR="00786938" w:rsidRPr="00FD7B0B">
        <w:rPr>
          <w:rFonts w:ascii="Times New Roman" w:hAnsi="Times New Roman" w:cs="Times New Roman"/>
          <w:sz w:val="28"/>
          <w:szCs w:val="28"/>
        </w:rPr>
        <w:t xml:space="preserve"> </w:t>
      </w:r>
      <w:r w:rsidRPr="00FD7B0B">
        <w:rPr>
          <w:rFonts w:ascii="Times New Roman" w:hAnsi="Times New Roman" w:cs="Times New Roman"/>
          <w:sz w:val="28"/>
          <w:szCs w:val="28"/>
        </w:rPr>
        <w:t>07 РП «Содействие занятости (Архангельская область)», общая сумма расходов составила 303,4 млн.руб. из 353,3 млн.руб. Общий остаток неизрасходованных средств 49,9 млн.руб., из них средств федер</w:t>
      </w:r>
      <w:r w:rsidR="0001748D" w:rsidRPr="00FD7B0B">
        <w:rPr>
          <w:rFonts w:ascii="Times New Roman" w:hAnsi="Times New Roman" w:cs="Times New Roman"/>
          <w:sz w:val="28"/>
          <w:szCs w:val="28"/>
        </w:rPr>
        <w:t>ального бюджета – 48,9 млн.руб.</w:t>
      </w:r>
    </w:p>
    <w:p w14:paraId="1A3805EF" w14:textId="77777777" w:rsidR="006266DC" w:rsidRPr="00FD7B0B" w:rsidRDefault="006266DC" w:rsidP="006266DC">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В 2024 году средства федерального бюджета привлечены в рамках соглашений о предоставлении бюджету Архангельской области субсидий из федерального бюджета на реализацию мероприятий в рамках ФП «Содействие занятости» НЦ «Демография»: по содействию работодателям в привлечении трудовых ресурсов в рамках реализации региональных программ повышения мобильности трудовых ресурсов; на реализацию мероприятия по организации профессионального обучения и дополнительного профессионального образования работников предприятий (организаций) оборонно-промышленного комплекса, а также граждан, обратившихся в органы службы занятости за содействием в поиске подходящей работы и заключивших ученический договор с предприятиями (организациями) оборонно-промышленного комплекса.</w:t>
      </w:r>
    </w:p>
    <w:p w14:paraId="72485CF1" w14:textId="77777777" w:rsidR="006266DC" w:rsidRPr="00FD7B0B" w:rsidRDefault="006266DC" w:rsidP="006266DC">
      <w:pPr>
        <w:pStyle w:val="ConsPlusNonformat"/>
        <w:tabs>
          <w:tab w:val="left" w:pos="993"/>
        </w:tabs>
        <w:ind w:firstLine="709"/>
        <w:jc w:val="both"/>
        <w:rPr>
          <w:rFonts w:ascii="Times New Roman" w:hAnsi="Times New Roman" w:cs="Times New Roman"/>
          <w:sz w:val="28"/>
          <w:szCs w:val="28"/>
        </w:rPr>
      </w:pPr>
      <w:r w:rsidRPr="00FD7B0B">
        <w:rPr>
          <w:rFonts w:ascii="Times New Roman" w:hAnsi="Times New Roman" w:cs="Times New Roman"/>
          <w:sz w:val="28"/>
          <w:szCs w:val="28"/>
        </w:rPr>
        <w:t>Между министерством и 3 юридическими лицами заключены соглашения об участии в региональном проекте для привлечения работников в АО «ПО «Северное машиностроительное предприятие» в количестве 39 человек, АО «Северное производственное объединение «Арктика» -  5 человек, в АО «Центр судоремонта «Звездочка» - 5 человек. В 2024 году численность привлеченных работников составила 49 человек. Израсходовано 11,0 млн.руб., в т.ч за счет федерального бюджета 9,9 млн.руб., областного бюджета 1,1 млн.руб.</w:t>
      </w:r>
    </w:p>
    <w:p w14:paraId="5D226F74" w14:textId="267494B9" w:rsidR="006266DC" w:rsidRPr="00FD7B0B" w:rsidRDefault="006266DC" w:rsidP="006266DC">
      <w:pPr>
        <w:pStyle w:val="ConsPlusNonformat"/>
        <w:tabs>
          <w:tab w:val="left" w:pos="993"/>
        </w:tabs>
        <w:ind w:firstLine="709"/>
        <w:jc w:val="both"/>
        <w:rPr>
          <w:rFonts w:ascii="Times New Roman" w:hAnsi="Times New Roman"/>
          <w:sz w:val="28"/>
          <w:szCs w:val="28"/>
        </w:rPr>
      </w:pPr>
      <w:r w:rsidRPr="00FD7B0B">
        <w:rPr>
          <w:rFonts w:ascii="Times New Roman" w:hAnsi="Times New Roman"/>
          <w:sz w:val="28"/>
          <w:szCs w:val="28"/>
        </w:rPr>
        <w:t>Согласно Отчету о реализации мероприятий ГП №</w:t>
      </w:r>
      <w:r w:rsidR="00C04CBE" w:rsidRPr="00FD7B0B">
        <w:rPr>
          <w:rFonts w:ascii="Times New Roman" w:hAnsi="Times New Roman"/>
          <w:sz w:val="28"/>
          <w:szCs w:val="28"/>
        </w:rPr>
        <w:t xml:space="preserve"> </w:t>
      </w:r>
      <w:r w:rsidRPr="00FD7B0B">
        <w:rPr>
          <w:rFonts w:ascii="Times New Roman" w:hAnsi="Times New Roman"/>
          <w:sz w:val="28"/>
          <w:szCs w:val="28"/>
        </w:rPr>
        <w:t>07 не в полном объеме израсходованы предусмотренные бюджетные ассигнования по мероприятию «Модернизированы центры занятости населения (территориальные подразделения), в которых реализованы региональные проекты, направленные на повышение эффективности службы занятости» РП «Содействие занятости». Исполнение составило 85,4</w:t>
      </w:r>
      <w:r w:rsidR="00C04CBE" w:rsidRPr="00FD7B0B">
        <w:rPr>
          <w:rFonts w:ascii="Times New Roman" w:hAnsi="Times New Roman"/>
          <w:sz w:val="28"/>
          <w:szCs w:val="28"/>
        </w:rPr>
        <w:t xml:space="preserve"> </w:t>
      </w:r>
      <w:r w:rsidRPr="00FD7B0B">
        <w:rPr>
          <w:rFonts w:ascii="Times New Roman" w:hAnsi="Times New Roman"/>
          <w:sz w:val="28"/>
          <w:szCs w:val="28"/>
        </w:rPr>
        <w:t xml:space="preserve">% (план 341,8 млн.руб., кассовые расходы 291,9 млн.руб.) в связи с отставанием подрядчиков от графика выполненных работ, выявлением дополнительных работ на объектах средства не законтрактованы в полном объеме. На конец года работы были не завершены в 14 кадровых центрах, из них в </w:t>
      </w:r>
      <w:r w:rsidRPr="00FD7B0B">
        <w:rPr>
          <w:rFonts w:ascii="Times New Roman" w:hAnsi="Times New Roman"/>
          <w:sz w:val="28"/>
          <w:szCs w:val="28"/>
          <w:lang w:val="en-US"/>
        </w:rPr>
        <w:t>I</w:t>
      </w:r>
      <w:r w:rsidRPr="00FD7B0B">
        <w:rPr>
          <w:rFonts w:ascii="Times New Roman" w:hAnsi="Times New Roman"/>
          <w:sz w:val="28"/>
          <w:szCs w:val="28"/>
        </w:rPr>
        <w:t xml:space="preserve"> квартале 2025 года завершены работы и состоялось открытие в 11 кадровых центрах, в одном сроки выполнения работ по капитальному и текущему ремонту продлены на 2025 в связи с необходимостью проведения дополнительных работ по ремонту фундамента. Остаток средств на конец года составил 49,9 млн.руб., в т.ч. 7,4 млн.руб. экономия по итогам торгов на закупку оснащения и брендирования; 9,6 млн.руб. -  на дополнительные работы, находящиеся на проверке сметной стоимости; 7,2 млн.руб. -  объем средств экономии по исполненным контрактам; 25,7 млн.руб.  - остаток средств по неисполненным контрактам пяти объектов по модернизации центров занятости </w:t>
      </w:r>
      <w:r w:rsidRPr="00FD7B0B">
        <w:rPr>
          <w:rFonts w:ascii="Times New Roman" w:hAnsi="Times New Roman"/>
          <w:sz w:val="28"/>
          <w:szCs w:val="28"/>
        </w:rPr>
        <w:lastRenderedPageBreak/>
        <w:t>населения в связи с тем, что подрядчики своевременно не предоставили акты выполненных работ, не устранены замечания строительного контроля по качес</w:t>
      </w:r>
      <w:r w:rsidR="00A97C0B" w:rsidRPr="00FD7B0B">
        <w:rPr>
          <w:rFonts w:ascii="Times New Roman" w:hAnsi="Times New Roman"/>
          <w:sz w:val="28"/>
          <w:szCs w:val="28"/>
        </w:rPr>
        <w:t>тву и объему выполненных работ.</w:t>
      </w:r>
    </w:p>
    <w:p w14:paraId="4F1A02C9" w14:textId="77777777" w:rsidR="006266DC" w:rsidRPr="00FD7B0B" w:rsidRDefault="006266DC" w:rsidP="006266DC">
      <w:pPr>
        <w:spacing w:after="0" w:line="240" w:lineRule="auto"/>
        <w:ind w:firstLine="709"/>
        <w:jc w:val="center"/>
        <w:rPr>
          <w:rFonts w:ascii="Times New Roman" w:eastAsia="Times New Roman" w:hAnsi="Times New Roman" w:cs="Times New Roman"/>
          <w:sz w:val="28"/>
          <w:szCs w:val="28"/>
          <w:lang w:eastAsia="ru-RU"/>
        </w:rPr>
      </w:pPr>
    </w:p>
    <w:p w14:paraId="33E9BD33" w14:textId="77777777" w:rsidR="006266DC" w:rsidRPr="00FD7B0B" w:rsidRDefault="006266DC" w:rsidP="00A97C0B">
      <w:pPr>
        <w:spacing w:after="0" w:line="240" w:lineRule="auto"/>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Комплекс процессных мероприятий «Содействие занятости населения, улучшение условий и охраны труда»</w:t>
      </w:r>
    </w:p>
    <w:p w14:paraId="51777C85" w14:textId="063752FC" w:rsidR="006266DC" w:rsidRPr="00FD7B0B" w:rsidRDefault="006266DC" w:rsidP="006266DC">
      <w:pPr>
        <w:widowControl w:val="0"/>
        <w:tabs>
          <w:tab w:val="left" w:pos="993"/>
        </w:tabs>
        <w:autoSpaceDE w:val="0"/>
        <w:autoSpaceDN w:val="0"/>
        <w:spacing w:after="0" w:line="240" w:lineRule="auto"/>
        <w:ind w:firstLine="709"/>
        <w:jc w:val="both"/>
        <w:rPr>
          <w:rFonts w:ascii="Times New Roman" w:hAnsi="Times New Roman" w:cs="Times New Roman"/>
          <w:sz w:val="28"/>
          <w:szCs w:val="28"/>
        </w:rPr>
      </w:pPr>
      <w:r w:rsidRPr="00FD7B0B">
        <w:rPr>
          <w:rFonts w:ascii="Times New Roman" w:eastAsia="Times New Roman" w:hAnsi="Times New Roman" w:cs="Times New Roman"/>
          <w:sz w:val="28"/>
          <w:szCs w:val="28"/>
          <w:lang w:eastAsia="ru-RU"/>
        </w:rPr>
        <w:t xml:space="preserve">В рамках КПМ «Содействие занятости населения, улучшение условий и охраны труда» реализуется </w:t>
      </w:r>
      <w:r w:rsidRPr="00FD7B0B">
        <w:rPr>
          <w:rFonts w:ascii="Times New Roman" w:hAnsi="Times New Roman" w:cs="Times New Roman"/>
          <w:sz w:val="28"/>
          <w:szCs w:val="28"/>
        </w:rPr>
        <w:t>30 мероприятий (результатов) и достижение 10 показателей, из них достигнуты в отчетном периоде – 26 мероприятий</w:t>
      </w:r>
      <w:r w:rsidR="00A97C0B" w:rsidRPr="00FD7B0B">
        <w:rPr>
          <w:rFonts w:ascii="Times New Roman" w:hAnsi="Times New Roman" w:cs="Times New Roman"/>
          <w:sz w:val="28"/>
          <w:szCs w:val="28"/>
        </w:rPr>
        <w:t xml:space="preserve"> (результатов) и 8 показателей.</w:t>
      </w:r>
    </w:p>
    <w:p w14:paraId="6FF0D5E0" w14:textId="2E3E8C63" w:rsidR="006266DC" w:rsidRPr="00FD7B0B" w:rsidRDefault="006266DC" w:rsidP="006266DC">
      <w:pPr>
        <w:spacing w:after="0" w:line="240" w:lineRule="auto"/>
        <w:ind w:firstLine="709"/>
        <w:jc w:val="both"/>
        <w:rPr>
          <w:rFonts w:ascii="Times New Roman" w:hAnsi="Times New Roman" w:cs="Times New Roman"/>
          <w:sz w:val="28"/>
          <w:szCs w:val="28"/>
        </w:rPr>
      </w:pPr>
      <w:r w:rsidRPr="00FD7B0B">
        <w:rPr>
          <w:rFonts w:ascii="Times New Roman" w:eastAsia="Times New Roman" w:hAnsi="Times New Roman" w:cs="Times New Roman"/>
          <w:sz w:val="28"/>
          <w:szCs w:val="28"/>
          <w:lang w:eastAsia="ru-RU"/>
        </w:rPr>
        <w:t>Согласно Отчету о реализации мероприятий ГП №</w:t>
      </w:r>
      <w:r w:rsidR="00A97C0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07 общая сумма расходов 1 779,9 млн.руб. или исполнено на 98,8</w:t>
      </w:r>
      <w:r w:rsidR="00A97C0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 к плановым значениям, в том числе за счет средств </w:t>
      </w:r>
      <w:r w:rsidRPr="00FD7B0B">
        <w:rPr>
          <w:rFonts w:ascii="Times New Roman" w:hAnsi="Times New Roman" w:cs="Times New Roman"/>
          <w:sz w:val="28"/>
          <w:szCs w:val="28"/>
        </w:rPr>
        <w:t>федерального бюджета 465,2 млн.руб. (100</w:t>
      </w:r>
      <w:r w:rsidR="00A97C0B" w:rsidRPr="00FD7B0B">
        <w:rPr>
          <w:rFonts w:ascii="Times New Roman" w:hAnsi="Times New Roman" w:cs="Times New Roman"/>
          <w:sz w:val="28"/>
          <w:szCs w:val="28"/>
        </w:rPr>
        <w:t xml:space="preserve"> </w:t>
      </w:r>
      <w:r w:rsidRPr="00FD7B0B">
        <w:rPr>
          <w:rFonts w:ascii="Times New Roman" w:hAnsi="Times New Roman" w:cs="Times New Roman"/>
          <w:sz w:val="28"/>
          <w:szCs w:val="28"/>
        </w:rPr>
        <w:t>%), областного бюджета 767,4 млн.руб. (92,9</w:t>
      </w:r>
      <w:r w:rsidR="00A97C0B" w:rsidRPr="00FD7B0B">
        <w:rPr>
          <w:rFonts w:ascii="Times New Roman" w:hAnsi="Times New Roman" w:cs="Times New Roman"/>
          <w:sz w:val="28"/>
          <w:szCs w:val="28"/>
        </w:rPr>
        <w:t xml:space="preserve"> </w:t>
      </w:r>
      <w:r w:rsidRPr="00FD7B0B">
        <w:rPr>
          <w:rFonts w:ascii="Times New Roman" w:hAnsi="Times New Roman" w:cs="Times New Roman"/>
          <w:sz w:val="28"/>
          <w:szCs w:val="28"/>
        </w:rPr>
        <w:t>%), внебюджетных ист</w:t>
      </w:r>
      <w:r w:rsidR="00A97C0B" w:rsidRPr="00FD7B0B">
        <w:rPr>
          <w:rFonts w:ascii="Times New Roman" w:hAnsi="Times New Roman" w:cs="Times New Roman"/>
          <w:sz w:val="28"/>
          <w:szCs w:val="28"/>
        </w:rPr>
        <w:t>очников 547,2 млн.руб. (107,2 %)</w:t>
      </w:r>
    </w:p>
    <w:p w14:paraId="0549F13C" w14:textId="0136294E" w:rsidR="006266DC" w:rsidRPr="00FD7B0B" w:rsidRDefault="006266DC" w:rsidP="006266DC">
      <w:pPr>
        <w:widowControl w:val="0"/>
        <w:tabs>
          <w:tab w:val="left" w:pos="993"/>
        </w:tabs>
        <w:autoSpaceDE w:val="0"/>
        <w:autoSpaceDN w:val="0"/>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Не израсходованы средства областного бюджета в сумме 59,0 млн.руб., федерального бюджета в сумм</w:t>
      </w:r>
      <w:r w:rsidR="00A97C0B" w:rsidRPr="00FD7B0B">
        <w:rPr>
          <w:rFonts w:ascii="Times New Roman" w:hAnsi="Times New Roman" w:cs="Times New Roman"/>
          <w:sz w:val="28"/>
          <w:szCs w:val="28"/>
        </w:rPr>
        <w:t>е 0,1 млн.руб.</w:t>
      </w:r>
    </w:p>
    <w:p w14:paraId="00B82BD8" w14:textId="15DB425F" w:rsidR="006266DC" w:rsidRPr="00FD7B0B" w:rsidRDefault="006266DC" w:rsidP="006266DC">
      <w:pPr>
        <w:widowControl w:val="0"/>
        <w:tabs>
          <w:tab w:val="left" w:pos="993"/>
        </w:tabs>
        <w:autoSpaceDE w:val="0"/>
        <w:autoSpaceDN w:val="0"/>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На конец 2024 года сумма израсходованных средств из внебюджетных источников превысила плановый объем на 36,7 млн.руб. в связи с дополнительной потребностью отделения Фонда социального и пенсионного страхования РФ по Архангельской области и НАО на реализацию предупредительных мер по сокращению производственного травматизма и профессиональных заболеваний работников (план 510,5 млн.руб., исполнено 547,2 млн.руб.)</w:t>
      </w:r>
      <w:r w:rsidR="00A97C0B" w:rsidRPr="00FD7B0B">
        <w:rPr>
          <w:rFonts w:ascii="Times New Roman" w:hAnsi="Times New Roman" w:cs="Times New Roman"/>
          <w:sz w:val="28"/>
          <w:szCs w:val="28"/>
        </w:rPr>
        <w:t>.</w:t>
      </w:r>
    </w:p>
    <w:p w14:paraId="3476B4EB" w14:textId="77777777" w:rsidR="006266DC" w:rsidRPr="00FD7B0B" w:rsidRDefault="006266DC" w:rsidP="006266DC">
      <w:pPr>
        <w:pStyle w:val="ConsPlusNonformat"/>
        <w:ind w:firstLine="709"/>
        <w:jc w:val="both"/>
        <w:rPr>
          <w:rFonts w:ascii="Times New Roman" w:hAnsi="Times New Roman" w:cs="Times New Roman"/>
          <w:sz w:val="28"/>
          <w:szCs w:val="28"/>
        </w:rPr>
      </w:pPr>
      <w:r w:rsidRPr="00FD7B0B">
        <w:rPr>
          <w:rFonts w:ascii="Times New Roman" w:hAnsi="Times New Roman" w:cs="Times New Roman"/>
          <w:sz w:val="28"/>
          <w:szCs w:val="28"/>
        </w:rPr>
        <w:t>Согласно Отчету о реализации мероприятий ГП №07 не в полном объеме израсходованы предусмотренные бюджетные ассигнования КПМ «Содействие занятости населения, улучшение условий и охраны труда», по мероприятию:</w:t>
      </w:r>
    </w:p>
    <w:p w14:paraId="49075EBC" w14:textId="77777777" w:rsidR="006266DC" w:rsidRPr="00FD7B0B" w:rsidRDefault="006266DC" w:rsidP="006266DC">
      <w:pPr>
        <w:pStyle w:val="ConsPlusNonformat"/>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«Обеспечена деятельность ГКУ АО «АОЦЗН» </w:t>
      </w:r>
      <w:r w:rsidRPr="00FD7B0B">
        <w:rPr>
          <w:rFonts w:ascii="Times New Roman" w:hAnsi="Times New Roman"/>
          <w:sz w:val="28"/>
          <w:szCs w:val="28"/>
        </w:rPr>
        <w:t>исполнение 89,4% (план 468,7 млн.руб., кассовые расходы 418,8 млн.руб.) в связи с поступлением счетов за услуги в январе, экономией в результате проведения конкурсных процедур, нарушением подрядными организациями сроков исполнения и иных условий контрактов по капитальному ремонту;</w:t>
      </w:r>
    </w:p>
    <w:p w14:paraId="3ACA1C97" w14:textId="19D694F5" w:rsidR="006266DC" w:rsidRPr="00FD7B0B" w:rsidRDefault="006266DC" w:rsidP="006266DC">
      <w:pPr>
        <w:pStyle w:val="ConsPlusNonformat"/>
        <w:ind w:firstLine="709"/>
        <w:jc w:val="both"/>
        <w:rPr>
          <w:rFonts w:ascii="Times New Roman" w:hAnsi="Times New Roman" w:cs="Times New Roman"/>
          <w:sz w:val="28"/>
          <w:szCs w:val="28"/>
        </w:rPr>
      </w:pPr>
      <w:r w:rsidRPr="00FD7B0B">
        <w:rPr>
          <w:rFonts w:ascii="Times New Roman" w:hAnsi="Times New Roman" w:cs="Times New Roman"/>
          <w:sz w:val="28"/>
          <w:szCs w:val="28"/>
        </w:rPr>
        <w:t>«Безработные граждане, а также незанятые граждане, которым в соответствии с законодательством Российской Федерации назначена страховая пенсия по старости и которые стремятся возобновить трудовую деятельность, прошедшие профессиональное обучение и дополнительное профессиональное образование, включая обучение в другой местности» исполнение на 88,3% (план 38,8 млн.руб., кассовые расходы 34,4 млн.руб.).</w:t>
      </w:r>
      <w:r w:rsidRPr="00FD7B0B">
        <w:t xml:space="preserve"> </w:t>
      </w:r>
      <w:r w:rsidRPr="00FD7B0B">
        <w:rPr>
          <w:rFonts w:ascii="Times New Roman" w:hAnsi="Times New Roman" w:cs="Times New Roman"/>
          <w:sz w:val="28"/>
          <w:szCs w:val="28"/>
        </w:rPr>
        <w:t xml:space="preserve">Отклонение обусловлено фактической потребностью на оплату услуг по найму проживания с учетом сроков обучения, потребность на выплату финансовой поддержки на оплату медицинского освидетельствования на основании представленных гражданами документов. завершили профессиональное обучение и дополнительное образование, включая обучение в другой местности 1752 безработных гражданина и 62 незанятых гражданина, которым в соответствии с законодательством </w:t>
      </w:r>
      <w:r w:rsidR="00A97C0B" w:rsidRPr="00FD7B0B">
        <w:rPr>
          <w:rFonts w:ascii="Times New Roman" w:hAnsi="Times New Roman" w:cs="Times New Roman"/>
          <w:sz w:val="28"/>
          <w:szCs w:val="28"/>
        </w:rPr>
        <w:t>РФ</w:t>
      </w:r>
      <w:r w:rsidRPr="00FD7B0B">
        <w:rPr>
          <w:rFonts w:ascii="Times New Roman" w:hAnsi="Times New Roman" w:cs="Times New Roman"/>
          <w:sz w:val="28"/>
          <w:szCs w:val="28"/>
        </w:rPr>
        <w:t xml:space="preserve"> назначена страховая пенсия по старости (100,4</w:t>
      </w:r>
      <w:r w:rsidR="00A97C0B" w:rsidRPr="00FD7B0B">
        <w:rPr>
          <w:rFonts w:ascii="Times New Roman" w:hAnsi="Times New Roman" w:cs="Times New Roman"/>
          <w:sz w:val="28"/>
          <w:szCs w:val="28"/>
        </w:rPr>
        <w:t xml:space="preserve"> </w:t>
      </w:r>
      <w:r w:rsidRPr="00FD7B0B">
        <w:rPr>
          <w:rFonts w:ascii="Times New Roman" w:hAnsi="Times New Roman" w:cs="Times New Roman"/>
          <w:sz w:val="28"/>
          <w:szCs w:val="28"/>
        </w:rPr>
        <w:t xml:space="preserve">% от </w:t>
      </w:r>
      <w:r w:rsidRPr="00FD7B0B">
        <w:rPr>
          <w:rFonts w:ascii="Times New Roman" w:hAnsi="Times New Roman" w:cs="Times New Roman"/>
          <w:sz w:val="28"/>
          <w:szCs w:val="28"/>
        </w:rPr>
        <w:lastRenderedPageBreak/>
        <w:t>установленного показателя 1 745 безработных граждан);</w:t>
      </w:r>
    </w:p>
    <w:p w14:paraId="76B7972E" w14:textId="3E17A3E5" w:rsidR="006266DC" w:rsidRPr="00FD7B0B" w:rsidRDefault="006266DC" w:rsidP="006266DC">
      <w:pPr>
        <w:pStyle w:val="ConsPlusNonformat"/>
        <w:ind w:firstLine="709"/>
        <w:jc w:val="both"/>
        <w:rPr>
          <w:rFonts w:ascii="Times New Roman" w:hAnsi="Times New Roman" w:cs="Times New Roman"/>
          <w:b/>
          <w:sz w:val="28"/>
          <w:szCs w:val="28"/>
        </w:rPr>
      </w:pPr>
      <w:r w:rsidRPr="00FD7B0B">
        <w:rPr>
          <w:rFonts w:ascii="Times New Roman" w:hAnsi="Times New Roman" w:cs="Times New Roman"/>
          <w:sz w:val="28"/>
          <w:szCs w:val="28"/>
        </w:rPr>
        <w:t>«Организована сопровождаемая занятость инвалидов»</w:t>
      </w:r>
      <w:r w:rsidRPr="00FD7B0B">
        <w:rPr>
          <w:rFonts w:ascii="Times New Roman" w:hAnsi="Times New Roman" w:cs="Times New Roman"/>
          <w:b/>
          <w:sz w:val="28"/>
          <w:szCs w:val="28"/>
        </w:rPr>
        <w:t xml:space="preserve"> </w:t>
      </w:r>
      <w:r w:rsidRPr="00FD7B0B">
        <w:rPr>
          <w:rFonts w:ascii="Times New Roman" w:hAnsi="Times New Roman" w:cs="Times New Roman"/>
          <w:sz w:val="28"/>
          <w:szCs w:val="28"/>
        </w:rPr>
        <w:t>исполнение на 79,0</w:t>
      </w:r>
      <w:r w:rsidR="00CF0C2C" w:rsidRPr="00FD7B0B">
        <w:rPr>
          <w:rFonts w:ascii="Times New Roman" w:hAnsi="Times New Roman" w:cs="Times New Roman"/>
          <w:sz w:val="28"/>
          <w:szCs w:val="28"/>
        </w:rPr>
        <w:t> </w:t>
      </w:r>
      <w:r w:rsidRPr="00FD7B0B">
        <w:rPr>
          <w:rFonts w:ascii="Times New Roman" w:hAnsi="Times New Roman" w:cs="Times New Roman"/>
          <w:sz w:val="28"/>
          <w:szCs w:val="28"/>
        </w:rPr>
        <w:t>% (план 0,4 млн.руб., кассовые расходы 0,3 млн.руб.), возмещение осуществлялось по фактически предоставленным работодателями документами на выплату компенсации.</w:t>
      </w:r>
    </w:p>
    <w:p w14:paraId="7C2FC71A" w14:textId="77777777" w:rsidR="006266DC" w:rsidRPr="00FD7B0B" w:rsidRDefault="006266DC" w:rsidP="006266DC">
      <w:pPr>
        <w:pStyle w:val="ConsPlusNonformat"/>
        <w:ind w:firstLine="709"/>
        <w:jc w:val="center"/>
        <w:rPr>
          <w:rFonts w:ascii="Times New Roman" w:hAnsi="Times New Roman" w:cs="Times New Roman"/>
          <w:b/>
          <w:sz w:val="28"/>
          <w:szCs w:val="28"/>
        </w:rPr>
      </w:pPr>
    </w:p>
    <w:p w14:paraId="4FF63957" w14:textId="77777777" w:rsidR="006266DC" w:rsidRPr="00FD7B0B" w:rsidRDefault="006266DC" w:rsidP="00CF0C2C">
      <w:pPr>
        <w:pStyle w:val="ConsPlusNonformat"/>
        <w:jc w:val="center"/>
        <w:rPr>
          <w:rFonts w:ascii="Times New Roman" w:hAnsi="Times New Roman" w:cs="Times New Roman"/>
          <w:b/>
          <w:sz w:val="28"/>
          <w:szCs w:val="28"/>
        </w:rPr>
      </w:pPr>
      <w:r w:rsidRPr="00FD7B0B">
        <w:rPr>
          <w:rFonts w:ascii="Times New Roman" w:hAnsi="Times New Roman" w:cs="Times New Roman"/>
          <w:b/>
          <w:sz w:val="28"/>
          <w:szCs w:val="28"/>
        </w:rPr>
        <w:t>Оценка достижения показателей по итогам 2024 года</w:t>
      </w:r>
    </w:p>
    <w:p w14:paraId="61D02865" w14:textId="77777777" w:rsidR="006266DC" w:rsidRPr="00FD7B0B" w:rsidRDefault="006266DC" w:rsidP="006266DC">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Указом Президента Российской Федерации от 21.07.2020 № 474 «О национальных целях развития Российской Федерации на период до 2030 года», действовавший до 07.05.2024, установлено требование об обеспечении устойчивого роста реальных доходов граждан.</w:t>
      </w:r>
    </w:p>
    <w:p w14:paraId="09AAA042" w14:textId="77777777" w:rsidR="006266DC" w:rsidRPr="00FD7B0B" w:rsidRDefault="006266DC" w:rsidP="006266DC">
      <w:pPr>
        <w:pStyle w:val="ConsPlusNormal"/>
        <w:ind w:firstLine="709"/>
        <w:jc w:val="both"/>
        <w:rPr>
          <w:sz w:val="28"/>
          <w:szCs w:val="28"/>
        </w:rPr>
      </w:pPr>
      <w:r w:rsidRPr="00FD7B0B">
        <w:rPr>
          <w:rFonts w:ascii="Times New Roman" w:hAnsi="Times New Roman" w:cs="Times New Roman"/>
          <w:sz w:val="28"/>
          <w:szCs w:val="28"/>
        </w:rPr>
        <w:t>Указом Президента Российской Федерации от 07.05.2024 № 309 «О национальных целях развития Российской Федерации на период до 2030 года и на перспективу до 2036 года» определена одна из национальных целей «а) сохранение населения, укрепление здоровья и повышение благополучия людей, поддержка семьи</w:t>
      </w:r>
      <w:r w:rsidRPr="00FD7B0B">
        <w:rPr>
          <w:sz w:val="28"/>
          <w:szCs w:val="28"/>
        </w:rPr>
        <w:t>».</w:t>
      </w:r>
    </w:p>
    <w:p w14:paraId="71D2B73A" w14:textId="77777777" w:rsidR="006266DC" w:rsidRPr="00FD7B0B" w:rsidRDefault="006266DC" w:rsidP="006266DC">
      <w:pPr>
        <w:spacing w:after="0" w:line="240" w:lineRule="auto"/>
        <w:contextualSpacing/>
        <w:rPr>
          <w:rFonts w:ascii="Times New Roman" w:hAnsi="Times New Roman"/>
          <w:sz w:val="24"/>
          <w:szCs w:val="24"/>
        </w:rPr>
      </w:pPr>
    </w:p>
    <w:p w14:paraId="3BCC0F33" w14:textId="77777777" w:rsidR="006266DC" w:rsidRPr="00FD7B0B" w:rsidRDefault="006266DC" w:rsidP="006266DC">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143</w:t>
      </w:r>
      <w:r w:rsidRPr="00FD7B0B">
        <w:rPr>
          <w:rFonts w:ascii="Times New Roman" w:hAnsi="Times New Roman"/>
          <w:sz w:val="24"/>
          <w:szCs w:val="24"/>
        </w:rPr>
        <w:fldChar w:fldCharType="end"/>
      </w:r>
      <w:r w:rsidRPr="00FD7B0B">
        <w:rPr>
          <w:rFonts w:ascii="Times New Roman" w:hAnsi="Times New Roman"/>
          <w:sz w:val="24"/>
          <w:szCs w:val="24"/>
        </w:rPr>
        <w:t>. Сопоставление показателей на реализацию мероприятий ГП № 07 с национальными целями развития</w:t>
      </w:r>
    </w:p>
    <w:tbl>
      <w:tblPr>
        <w:tblW w:w="9824" w:type="dxa"/>
        <w:tblInd w:w="-23" w:type="dxa"/>
        <w:tblLook w:val="04A0" w:firstRow="1" w:lastRow="0" w:firstColumn="1" w:lastColumn="0" w:noHBand="0" w:noVBand="1"/>
      </w:tblPr>
      <w:tblGrid>
        <w:gridCol w:w="4047"/>
        <w:gridCol w:w="5777"/>
      </w:tblGrid>
      <w:tr w:rsidR="00FD7B0B" w:rsidRPr="00FD7B0B" w14:paraId="380FA42F" w14:textId="77777777" w:rsidTr="009B056F">
        <w:trPr>
          <w:trHeight w:val="422"/>
          <w:tblHeader/>
        </w:trPr>
        <w:tc>
          <w:tcPr>
            <w:tcW w:w="9824" w:type="dxa"/>
            <w:gridSpan w:val="2"/>
            <w:tcBorders>
              <w:top w:val="double" w:sz="4" w:space="0" w:color="auto"/>
              <w:left w:val="double" w:sz="4" w:space="0" w:color="auto"/>
              <w:bottom w:val="single" w:sz="4" w:space="0" w:color="auto"/>
              <w:right w:val="double" w:sz="4" w:space="0" w:color="auto"/>
            </w:tcBorders>
            <w:shd w:val="clear" w:color="auto" w:fill="auto"/>
            <w:vAlign w:val="center"/>
            <w:hideMark/>
          </w:tcPr>
          <w:p w14:paraId="1E6FFD5B" w14:textId="77777777" w:rsidR="006266DC" w:rsidRPr="00FD7B0B" w:rsidRDefault="006266DC" w:rsidP="009B056F">
            <w:pPr>
              <w:autoSpaceDE w:val="0"/>
              <w:autoSpaceDN w:val="0"/>
              <w:adjustRightInd w:val="0"/>
              <w:spacing w:after="0" w:line="240" w:lineRule="auto"/>
              <w:jc w:val="center"/>
              <w:rPr>
                <w:rFonts w:ascii="Times New Roman" w:eastAsia="PMingLiU" w:hAnsi="Times New Roman" w:cs="Times New Roman"/>
                <w:sz w:val="20"/>
                <w:szCs w:val="20"/>
              </w:rPr>
            </w:pPr>
            <w:r w:rsidRPr="00FD7B0B">
              <w:rPr>
                <w:rFonts w:ascii="Times New Roman" w:eastAsia="PMingLiU" w:hAnsi="Times New Roman" w:cs="Times New Roman"/>
                <w:sz w:val="20"/>
                <w:szCs w:val="20"/>
              </w:rPr>
              <w:t>Показатели, отраженные в госпрограмме № 07-</w:t>
            </w:r>
          </w:p>
          <w:p w14:paraId="49576021" w14:textId="77777777" w:rsidR="006266DC" w:rsidRPr="00FD7B0B" w:rsidRDefault="006266DC" w:rsidP="009B056F">
            <w:pPr>
              <w:autoSpaceDE w:val="0"/>
              <w:autoSpaceDN w:val="0"/>
              <w:adjustRightInd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Уровень безработицы (по методологии Международной организации труда)</w:t>
            </w:r>
          </w:p>
        </w:tc>
      </w:tr>
      <w:tr w:rsidR="00FD7B0B" w:rsidRPr="00FD7B0B" w14:paraId="531BC97A" w14:textId="77777777" w:rsidTr="00CF0C2C">
        <w:trPr>
          <w:trHeight w:val="41"/>
        </w:trPr>
        <w:tc>
          <w:tcPr>
            <w:tcW w:w="9824" w:type="dxa"/>
            <w:gridSpan w:val="2"/>
            <w:tcBorders>
              <w:top w:val="nil"/>
              <w:left w:val="double" w:sz="4" w:space="0" w:color="auto"/>
              <w:bottom w:val="single" w:sz="4" w:space="0" w:color="auto"/>
              <w:right w:val="double" w:sz="4" w:space="0" w:color="auto"/>
            </w:tcBorders>
            <w:shd w:val="clear" w:color="auto" w:fill="auto"/>
            <w:vAlign w:val="center"/>
          </w:tcPr>
          <w:p w14:paraId="4B1A82E1" w14:textId="77777777" w:rsidR="006266DC" w:rsidRPr="00FD7B0B" w:rsidRDefault="006266DC" w:rsidP="009B056F">
            <w:pPr>
              <w:pStyle w:val="ConsPlusNormal"/>
              <w:ind w:firstLine="42"/>
              <w:jc w:val="center"/>
              <w:rPr>
                <w:rFonts w:ascii="Times New Roman" w:hAnsi="Times New Roman" w:cs="Times New Roman"/>
              </w:rPr>
            </w:pPr>
            <w:r w:rsidRPr="00FD7B0B">
              <w:rPr>
                <w:rFonts w:ascii="Times New Roman" w:hAnsi="Times New Roman" w:cs="Times New Roman"/>
                <w:sz w:val="24"/>
                <w:szCs w:val="24"/>
              </w:rPr>
              <w:t>связь с показателями национальных целей:</w:t>
            </w:r>
          </w:p>
        </w:tc>
      </w:tr>
      <w:tr w:rsidR="00FD7B0B" w:rsidRPr="00FD7B0B" w14:paraId="0B670FE4" w14:textId="77777777" w:rsidTr="00CB4BE6">
        <w:trPr>
          <w:trHeight w:val="585"/>
        </w:trPr>
        <w:tc>
          <w:tcPr>
            <w:tcW w:w="4047" w:type="dxa"/>
            <w:tcBorders>
              <w:top w:val="nil"/>
              <w:left w:val="double" w:sz="4" w:space="0" w:color="auto"/>
              <w:bottom w:val="single" w:sz="4" w:space="0" w:color="auto"/>
              <w:right w:val="single" w:sz="4" w:space="0" w:color="auto"/>
            </w:tcBorders>
            <w:shd w:val="clear" w:color="auto" w:fill="auto"/>
          </w:tcPr>
          <w:p w14:paraId="6C0D420E" w14:textId="77777777" w:rsidR="006266DC" w:rsidRPr="00FD7B0B" w:rsidRDefault="006266DC" w:rsidP="00CB4BE6">
            <w:pPr>
              <w:pStyle w:val="ConsPlusNormal"/>
              <w:ind w:firstLine="42"/>
              <w:rPr>
                <w:rFonts w:ascii="Times New Roman" w:hAnsi="Times New Roman" w:cs="Times New Roman"/>
              </w:rPr>
            </w:pPr>
            <w:r w:rsidRPr="00FD7B0B">
              <w:rPr>
                <w:rFonts w:ascii="Times New Roman" w:hAnsi="Times New Roman" w:cs="Times New Roman"/>
              </w:rPr>
              <w:t>Указ Президента Российской Федерации от 21.07.2020 № 474 «О национальных целях развития Российской Федерации на период до 2030 года»</w:t>
            </w:r>
          </w:p>
        </w:tc>
        <w:tc>
          <w:tcPr>
            <w:tcW w:w="5776" w:type="dxa"/>
            <w:tcBorders>
              <w:top w:val="nil"/>
              <w:left w:val="nil"/>
              <w:bottom w:val="single" w:sz="4" w:space="0" w:color="auto"/>
              <w:right w:val="double" w:sz="4" w:space="0" w:color="auto"/>
            </w:tcBorders>
            <w:shd w:val="clear" w:color="auto" w:fill="auto"/>
          </w:tcPr>
          <w:p w14:paraId="53AC1323" w14:textId="77777777" w:rsidR="006266DC" w:rsidRPr="00FD7B0B" w:rsidRDefault="006266DC" w:rsidP="00CB4BE6">
            <w:pPr>
              <w:autoSpaceDE w:val="0"/>
              <w:autoSpaceDN w:val="0"/>
              <w:adjustRightInd w:val="0"/>
              <w:spacing w:after="0" w:line="240" w:lineRule="auto"/>
              <w:ind w:firstLine="42"/>
              <w:rPr>
                <w:rFonts w:ascii="Times New Roman" w:hAnsi="Times New Roman" w:cs="Times New Roman"/>
                <w:sz w:val="20"/>
                <w:szCs w:val="20"/>
              </w:rPr>
            </w:pPr>
            <w:r w:rsidRPr="00FD7B0B">
              <w:rPr>
                <w:rFonts w:ascii="Times New Roman" w:eastAsia="PMingLiU" w:hAnsi="Times New Roman" w:cs="Times New Roman"/>
                <w:sz w:val="20"/>
                <w:szCs w:val="20"/>
              </w:rPr>
              <w:t xml:space="preserve">Указ Президента Российской Федерации </w:t>
            </w:r>
            <w:r w:rsidRPr="00FD7B0B">
              <w:rPr>
                <w:rFonts w:ascii="Times New Roman" w:hAnsi="Times New Roman" w:cs="Times New Roman"/>
                <w:sz w:val="20"/>
                <w:szCs w:val="20"/>
              </w:rPr>
              <w:t>от 07.05.2024 № 309 «О национальных целях развития Российской Федерации на период до 2030 года и на перспективу до 2036 года»</w:t>
            </w:r>
          </w:p>
        </w:tc>
      </w:tr>
      <w:tr w:rsidR="00FD7B0B" w:rsidRPr="00FD7B0B" w14:paraId="0DF47A12" w14:textId="77777777" w:rsidTr="00CB4BE6">
        <w:trPr>
          <w:trHeight w:val="796"/>
        </w:trPr>
        <w:tc>
          <w:tcPr>
            <w:tcW w:w="4047" w:type="dxa"/>
            <w:tcBorders>
              <w:top w:val="nil"/>
              <w:left w:val="double" w:sz="4" w:space="0" w:color="auto"/>
              <w:bottom w:val="double" w:sz="4" w:space="0" w:color="auto"/>
              <w:right w:val="single" w:sz="4" w:space="0" w:color="auto"/>
            </w:tcBorders>
          </w:tcPr>
          <w:p w14:paraId="2D473588" w14:textId="79EFCEF3" w:rsidR="006266DC" w:rsidRPr="00FD7B0B" w:rsidRDefault="006266DC" w:rsidP="00CB4BE6">
            <w:pPr>
              <w:autoSpaceDE w:val="0"/>
              <w:autoSpaceDN w:val="0"/>
              <w:adjustRightInd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Снижение уровня бедности в два раза по сравнению с показателем 2017 года</w:t>
            </w:r>
          </w:p>
        </w:tc>
        <w:tc>
          <w:tcPr>
            <w:tcW w:w="5776" w:type="dxa"/>
            <w:tcBorders>
              <w:top w:val="nil"/>
              <w:left w:val="nil"/>
              <w:bottom w:val="double" w:sz="4" w:space="0" w:color="auto"/>
              <w:right w:val="double" w:sz="4" w:space="0" w:color="auto"/>
            </w:tcBorders>
            <w:shd w:val="clear" w:color="auto" w:fill="auto"/>
          </w:tcPr>
          <w:p w14:paraId="1FDD7594" w14:textId="77777777" w:rsidR="006266DC" w:rsidRPr="00FD7B0B" w:rsidRDefault="006266DC" w:rsidP="00CB4BE6">
            <w:pPr>
              <w:pStyle w:val="ConsPlusNormal"/>
              <w:ind w:firstLine="42"/>
              <w:rPr>
                <w:rFonts w:ascii="Times New Roman" w:hAnsi="Times New Roman" w:cs="Times New Roman"/>
              </w:rPr>
            </w:pPr>
            <w:r w:rsidRPr="00FD7B0B">
              <w:rPr>
                <w:rFonts w:ascii="Times New Roman" w:hAnsi="Times New Roman" w:cs="Times New Roman"/>
              </w:rPr>
              <w:t>Целевой показатель и задача - снижение уровня бедности ниже 7 процентов к 2030 году и ниже 5 процентов к 2036 году, в том числе уровня бедности многодетных семей до 12 процентов к 2030 году и до 8 процентов к 2036 году</w:t>
            </w:r>
          </w:p>
        </w:tc>
      </w:tr>
    </w:tbl>
    <w:p w14:paraId="76FBCD11" w14:textId="77777777" w:rsidR="006266DC" w:rsidRPr="00FD7B0B" w:rsidRDefault="006266DC" w:rsidP="006266DC">
      <w:pPr>
        <w:spacing w:after="0" w:line="240" w:lineRule="auto"/>
        <w:ind w:firstLine="709"/>
        <w:jc w:val="both"/>
        <w:rPr>
          <w:rFonts w:ascii="Times New Roman" w:hAnsi="Times New Roman" w:cs="Times New Roman"/>
          <w:sz w:val="28"/>
          <w:szCs w:val="28"/>
        </w:rPr>
      </w:pPr>
    </w:p>
    <w:p w14:paraId="34F6FEC9" w14:textId="77777777" w:rsidR="006266DC" w:rsidRPr="00FD7B0B" w:rsidRDefault="006266DC" w:rsidP="006266D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рамках ГП № 07 в целом на 2024 год утверждено 3 показателя, в рамках РП – 3 показателя, КПМ – 10 показателей.</w:t>
      </w:r>
    </w:p>
    <w:p w14:paraId="0299375F" w14:textId="415411C3" w:rsidR="006266DC" w:rsidRPr="00FD7B0B" w:rsidRDefault="006266DC" w:rsidP="006266DC">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В течение 2024 года ряд показателей подвергался корректировке. Сведения об изменении отдельных показа</w:t>
      </w:r>
      <w:r w:rsidR="00CF0C2C" w:rsidRPr="00FD7B0B">
        <w:rPr>
          <w:rFonts w:ascii="Times New Roman" w:hAnsi="Times New Roman" w:cs="Times New Roman"/>
          <w:sz w:val="28"/>
          <w:szCs w:val="28"/>
        </w:rPr>
        <w:t>телей представлены в таблице </w:t>
      </w:r>
      <w:r w:rsidR="00CB4BE6" w:rsidRPr="00FD7B0B">
        <w:rPr>
          <w:rFonts w:ascii="Times New Roman" w:hAnsi="Times New Roman" w:cs="Times New Roman"/>
          <w:sz w:val="28"/>
          <w:szCs w:val="28"/>
        </w:rPr>
        <w:t>144</w:t>
      </w:r>
      <w:r w:rsidRPr="00FD7B0B">
        <w:rPr>
          <w:rFonts w:ascii="Times New Roman" w:hAnsi="Times New Roman" w:cs="Times New Roman"/>
          <w:sz w:val="28"/>
          <w:szCs w:val="28"/>
        </w:rPr>
        <w:t>.</w:t>
      </w:r>
    </w:p>
    <w:p w14:paraId="4AEDDC87" w14:textId="77777777" w:rsidR="006266DC" w:rsidRPr="00FD7B0B" w:rsidRDefault="006266DC" w:rsidP="006266DC">
      <w:pPr>
        <w:pStyle w:val="aff0"/>
        <w:spacing w:after="0" w:line="240" w:lineRule="auto"/>
        <w:rPr>
          <w:rFonts w:ascii="Times New Roman" w:hAnsi="Times New Roman"/>
          <w:b w:val="0"/>
          <w:sz w:val="24"/>
          <w:szCs w:val="24"/>
        </w:rPr>
      </w:pPr>
    </w:p>
    <w:p w14:paraId="2231F68C" w14:textId="77777777" w:rsidR="006266DC" w:rsidRPr="00FD7B0B" w:rsidRDefault="006266DC" w:rsidP="006266DC">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144</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об изменении показателей реализацию мероприятий ГП № 07</w:t>
      </w:r>
    </w:p>
    <w:tbl>
      <w:tblPr>
        <w:tblW w:w="9639" w:type="dxa"/>
        <w:tblInd w:w="-23" w:type="dxa"/>
        <w:tblLayout w:type="fixed"/>
        <w:tblLook w:val="04A0" w:firstRow="1" w:lastRow="0" w:firstColumn="1" w:lastColumn="0" w:noHBand="0" w:noVBand="1"/>
      </w:tblPr>
      <w:tblGrid>
        <w:gridCol w:w="567"/>
        <w:gridCol w:w="2268"/>
        <w:gridCol w:w="851"/>
        <w:gridCol w:w="1134"/>
        <w:gridCol w:w="1134"/>
        <w:gridCol w:w="709"/>
        <w:gridCol w:w="2976"/>
      </w:tblGrid>
      <w:tr w:rsidR="00FD7B0B" w:rsidRPr="00FD7B0B" w14:paraId="6A00E4B7" w14:textId="77777777" w:rsidTr="00CF0C2C">
        <w:trPr>
          <w:trHeight w:val="55"/>
          <w:tblHeader/>
        </w:trPr>
        <w:tc>
          <w:tcPr>
            <w:tcW w:w="567"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71CC189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п/п</w:t>
            </w:r>
          </w:p>
        </w:tc>
        <w:tc>
          <w:tcPr>
            <w:tcW w:w="226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DD97BB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показателя</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B6B909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Признак возрастания / убывания</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4897CA4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Значение показателя</w:t>
            </w:r>
          </w:p>
        </w:tc>
        <w:tc>
          <w:tcPr>
            <w:tcW w:w="70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237C73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Изменения </w:t>
            </w:r>
          </w:p>
        </w:tc>
        <w:tc>
          <w:tcPr>
            <w:tcW w:w="2976" w:type="dxa"/>
            <w:vMerge w:val="restart"/>
            <w:tcBorders>
              <w:top w:val="double" w:sz="6" w:space="0" w:color="auto"/>
              <w:left w:val="single" w:sz="4" w:space="0" w:color="auto"/>
              <w:bottom w:val="single" w:sz="4" w:space="0" w:color="000000"/>
              <w:right w:val="double" w:sz="6" w:space="0" w:color="auto"/>
            </w:tcBorders>
            <w:shd w:val="clear" w:color="auto" w:fill="auto"/>
            <w:vAlign w:val="center"/>
            <w:hideMark/>
          </w:tcPr>
          <w:p w14:paraId="30E205A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Причины </w:t>
            </w:r>
          </w:p>
        </w:tc>
      </w:tr>
      <w:tr w:rsidR="00FD7B0B" w:rsidRPr="00FD7B0B" w14:paraId="040EA90C" w14:textId="77777777" w:rsidTr="00CF0C2C">
        <w:trPr>
          <w:trHeight w:val="870"/>
          <w:tblHeader/>
        </w:trPr>
        <w:tc>
          <w:tcPr>
            <w:tcW w:w="567" w:type="dxa"/>
            <w:vMerge/>
            <w:tcBorders>
              <w:top w:val="double" w:sz="6" w:space="0" w:color="auto"/>
              <w:left w:val="double" w:sz="6" w:space="0" w:color="auto"/>
              <w:bottom w:val="single" w:sz="4" w:space="0" w:color="auto"/>
              <w:right w:val="single" w:sz="4" w:space="0" w:color="auto"/>
            </w:tcBorders>
            <w:vAlign w:val="center"/>
            <w:hideMark/>
          </w:tcPr>
          <w:p w14:paraId="3F531EAA"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c>
          <w:tcPr>
            <w:tcW w:w="2268" w:type="dxa"/>
            <w:vMerge/>
            <w:tcBorders>
              <w:top w:val="double" w:sz="6" w:space="0" w:color="auto"/>
              <w:left w:val="single" w:sz="4" w:space="0" w:color="auto"/>
              <w:bottom w:val="single" w:sz="4" w:space="0" w:color="auto"/>
              <w:right w:val="single" w:sz="4" w:space="0" w:color="auto"/>
            </w:tcBorders>
            <w:vAlign w:val="center"/>
            <w:hideMark/>
          </w:tcPr>
          <w:p w14:paraId="72CC45F5"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21A4BEEB"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83CFB0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ГП №07 в ред. от 09.10.2023 № 959-пп </w:t>
            </w:r>
          </w:p>
        </w:tc>
        <w:tc>
          <w:tcPr>
            <w:tcW w:w="1134" w:type="dxa"/>
            <w:tcBorders>
              <w:top w:val="nil"/>
              <w:left w:val="nil"/>
              <w:bottom w:val="single" w:sz="4" w:space="0" w:color="auto"/>
              <w:right w:val="single" w:sz="4" w:space="0" w:color="auto"/>
            </w:tcBorders>
            <w:shd w:val="clear" w:color="auto" w:fill="auto"/>
            <w:vAlign w:val="center"/>
            <w:hideMark/>
          </w:tcPr>
          <w:p w14:paraId="667774E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ГП №07 в ред. от 25.12.2024 № 1202-пп</w:t>
            </w:r>
          </w:p>
        </w:tc>
        <w:tc>
          <w:tcPr>
            <w:tcW w:w="709" w:type="dxa"/>
            <w:vMerge/>
            <w:tcBorders>
              <w:top w:val="double" w:sz="6" w:space="0" w:color="auto"/>
              <w:left w:val="single" w:sz="4" w:space="0" w:color="auto"/>
              <w:bottom w:val="single" w:sz="4" w:space="0" w:color="auto"/>
              <w:right w:val="single" w:sz="4" w:space="0" w:color="auto"/>
            </w:tcBorders>
            <w:vAlign w:val="center"/>
            <w:hideMark/>
          </w:tcPr>
          <w:p w14:paraId="0FCD1D63"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c>
          <w:tcPr>
            <w:tcW w:w="2976" w:type="dxa"/>
            <w:vMerge/>
            <w:tcBorders>
              <w:top w:val="double" w:sz="6" w:space="0" w:color="auto"/>
              <w:left w:val="single" w:sz="4" w:space="0" w:color="auto"/>
              <w:bottom w:val="single" w:sz="4" w:space="0" w:color="000000"/>
              <w:right w:val="double" w:sz="6" w:space="0" w:color="auto"/>
            </w:tcBorders>
            <w:vAlign w:val="center"/>
            <w:hideMark/>
          </w:tcPr>
          <w:p w14:paraId="4AED136A"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r>
      <w:tr w:rsidR="00FD7B0B" w:rsidRPr="00FD7B0B" w14:paraId="2D39F272" w14:textId="77777777" w:rsidTr="009B056F">
        <w:trPr>
          <w:trHeight w:val="212"/>
        </w:trPr>
        <w:tc>
          <w:tcPr>
            <w:tcW w:w="9639" w:type="dxa"/>
            <w:gridSpan w:val="7"/>
            <w:tcBorders>
              <w:top w:val="nil"/>
              <w:left w:val="double" w:sz="6" w:space="0" w:color="auto"/>
              <w:bottom w:val="single" w:sz="4" w:space="0" w:color="auto"/>
              <w:right w:val="double" w:sz="6" w:space="0" w:color="000000"/>
            </w:tcBorders>
            <w:shd w:val="clear" w:color="auto" w:fill="auto"/>
            <w:noWrap/>
            <w:vAlign w:val="bottom"/>
            <w:hideMark/>
          </w:tcPr>
          <w:p w14:paraId="4177D52D" w14:textId="77777777" w:rsidR="006266DC" w:rsidRPr="00FD7B0B" w:rsidRDefault="006266DC" w:rsidP="009B056F">
            <w:pPr>
              <w:spacing w:after="0" w:line="240" w:lineRule="auto"/>
              <w:jc w:val="center"/>
              <w:rPr>
                <w:rFonts w:ascii="Times New Roman" w:eastAsia="Times New Roman" w:hAnsi="Times New Roman" w:cs="Times New Roman"/>
                <w:bCs/>
                <w:sz w:val="20"/>
                <w:szCs w:val="20"/>
                <w:lang w:eastAsia="ru-RU"/>
              </w:rPr>
            </w:pPr>
            <w:r w:rsidRPr="00FD7B0B">
              <w:rPr>
                <w:rFonts w:ascii="Times New Roman" w:eastAsia="Times New Roman" w:hAnsi="Times New Roman" w:cs="Times New Roman"/>
                <w:bCs/>
                <w:sz w:val="20"/>
                <w:szCs w:val="20"/>
                <w:lang w:eastAsia="ru-RU"/>
              </w:rPr>
              <w:t>I. ГП № 07</w:t>
            </w:r>
          </w:p>
        </w:tc>
      </w:tr>
      <w:tr w:rsidR="00FD7B0B" w:rsidRPr="00FD7B0B" w14:paraId="3B606967" w14:textId="77777777" w:rsidTr="009B056F">
        <w:trPr>
          <w:trHeight w:val="176"/>
        </w:trPr>
        <w:tc>
          <w:tcPr>
            <w:tcW w:w="9639" w:type="dxa"/>
            <w:gridSpan w:val="7"/>
            <w:tcBorders>
              <w:top w:val="nil"/>
              <w:left w:val="double" w:sz="6" w:space="0" w:color="auto"/>
              <w:bottom w:val="single" w:sz="4" w:space="0" w:color="auto"/>
              <w:right w:val="double" w:sz="6" w:space="0" w:color="000000"/>
            </w:tcBorders>
            <w:shd w:val="clear" w:color="auto" w:fill="auto"/>
            <w:noWrap/>
            <w:vAlign w:val="bottom"/>
            <w:hideMark/>
          </w:tcPr>
          <w:p w14:paraId="2316C3C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Показатели государственной программы</w:t>
            </w:r>
          </w:p>
        </w:tc>
      </w:tr>
      <w:tr w:rsidR="00FD7B0B" w:rsidRPr="00FD7B0B" w14:paraId="35CC07E1" w14:textId="77777777" w:rsidTr="00CB4BE6">
        <w:trPr>
          <w:trHeight w:val="363"/>
        </w:trPr>
        <w:tc>
          <w:tcPr>
            <w:tcW w:w="567" w:type="dxa"/>
            <w:tcBorders>
              <w:top w:val="nil"/>
              <w:left w:val="double" w:sz="6" w:space="0" w:color="auto"/>
              <w:bottom w:val="single" w:sz="4" w:space="0" w:color="auto"/>
              <w:right w:val="single" w:sz="4" w:space="0" w:color="auto"/>
            </w:tcBorders>
            <w:shd w:val="clear" w:color="auto" w:fill="auto"/>
            <w:noWrap/>
            <w:vAlign w:val="bottom"/>
            <w:hideMark/>
          </w:tcPr>
          <w:p w14:paraId="7CB8674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2268" w:type="dxa"/>
            <w:tcBorders>
              <w:top w:val="nil"/>
              <w:left w:val="nil"/>
              <w:bottom w:val="single" w:sz="4" w:space="0" w:color="auto"/>
              <w:right w:val="single" w:sz="4" w:space="0" w:color="auto"/>
            </w:tcBorders>
            <w:shd w:val="clear" w:color="auto" w:fill="auto"/>
            <w:vAlign w:val="center"/>
            <w:hideMark/>
          </w:tcPr>
          <w:p w14:paraId="495F57AD"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Уровень безработицы (по методологии Международной организации труда)</w:t>
            </w:r>
          </w:p>
        </w:tc>
        <w:tc>
          <w:tcPr>
            <w:tcW w:w="851" w:type="dxa"/>
            <w:tcBorders>
              <w:top w:val="nil"/>
              <w:left w:val="nil"/>
              <w:bottom w:val="single" w:sz="4" w:space="0" w:color="auto"/>
              <w:right w:val="single" w:sz="4" w:space="0" w:color="auto"/>
            </w:tcBorders>
            <w:shd w:val="clear" w:color="auto" w:fill="auto"/>
            <w:vAlign w:val="center"/>
            <w:hideMark/>
          </w:tcPr>
          <w:p w14:paraId="69B360E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убывающий, %</w:t>
            </w:r>
          </w:p>
        </w:tc>
        <w:tc>
          <w:tcPr>
            <w:tcW w:w="1134" w:type="dxa"/>
            <w:tcBorders>
              <w:top w:val="nil"/>
              <w:left w:val="nil"/>
              <w:bottom w:val="single" w:sz="4" w:space="0" w:color="auto"/>
              <w:right w:val="single" w:sz="4" w:space="0" w:color="auto"/>
            </w:tcBorders>
            <w:shd w:val="clear" w:color="auto" w:fill="auto"/>
            <w:vAlign w:val="center"/>
            <w:hideMark/>
          </w:tcPr>
          <w:p w14:paraId="219AAFE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w:t>
            </w:r>
          </w:p>
        </w:tc>
        <w:tc>
          <w:tcPr>
            <w:tcW w:w="1134" w:type="dxa"/>
            <w:tcBorders>
              <w:top w:val="nil"/>
              <w:left w:val="nil"/>
              <w:bottom w:val="single" w:sz="4" w:space="0" w:color="auto"/>
              <w:right w:val="single" w:sz="4" w:space="0" w:color="auto"/>
            </w:tcBorders>
            <w:shd w:val="clear" w:color="auto" w:fill="auto"/>
            <w:vAlign w:val="center"/>
            <w:hideMark/>
          </w:tcPr>
          <w:p w14:paraId="465B0D2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5,6</w:t>
            </w:r>
          </w:p>
        </w:tc>
        <w:tc>
          <w:tcPr>
            <w:tcW w:w="709" w:type="dxa"/>
            <w:tcBorders>
              <w:top w:val="nil"/>
              <w:left w:val="nil"/>
              <w:bottom w:val="single" w:sz="4" w:space="0" w:color="auto"/>
              <w:right w:val="single" w:sz="4" w:space="0" w:color="auto"/>
            </w:tcBorders>
            <w:shd w:val="clear" w:color="auto" w:fill="auto"/>
            <w:vAlign w:val="center"/>
            <w:hideMark/>
          </w:tcPr>
          <w:p w14:paraId="2E14820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2976" w:type="dxa"/>
            <w:tcBorders>
              <w:top w:val="nil"/>
              <w:left w:val="nil"/>
              <w:bottom w:val="single" w:sz="4" w:space="0" w:color="auto"/>
              <w:right w:val="double" w:sz="6" w:space="0" w:color="auto"/>
            </w:tcBorders>
            <w:shd w:val="clear" w:color="auto" w:fill="auto"/>
            <w:vAlign w:val="bottom"/>
            <w:hideMark/>
          </w:tcPr>
          <w:p w14:paraId="63CC75B2"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приведен в соответствие с прогнозом социально-экономического развития Архангельской области (без НАО), одобренным распоряжением Правительства </w:t>
            </w:r>
            <w:r w:rsidRPr="00FD7B0B">
              <w:rPr>
                <w:rFonts w:ascii="Times New Roman" w:eastAsia="Times New Roman" w:hAnsi="Times New Roman" w:cs="Times New Roman"/>
                <w:sz w:val="20"/>
                <w:szCs w:val="20"/>
                <w:lang w:eastAsia="ru-RU"/>
              </w:rPr>
              <w:lastRenderedPageBreak/>
              <w:t>Архангельской области от 11.10.2023 № 796-р.</w:t>
            </w:r>
          </w:p>
        </w:tc>
      </w:tr>
      <w:tr w:rsidR="00FD7B0B" w:rsidRPr="00FD7B0B" w14:paraId="35C72EBA" w14:textId="77777777" w:rsidTr="009B056F">
        <w:trPr>
          <w:trHeight w:val="286"/>
        </w:trPr>
        <w:tc>
          <w:tcPr>
            <w:tcW w:w="567" w:type="dxa"/>
            <w:tcBorders>
              <w:top w:val="nil"/>
              <w:left w:val="double" w:sz="6" w:space="0" w:color="auto"/>
              <w:bottom w:val="single" w:sz="4" w:space="0" w:color="auto"/>
              <w:right w:val="single" w:sz="4" w:space="0" w:color="auto"/>
            </w:tcBorders>
            <w:shd w:val="clear" w:color="auto" w:fill="auto"/>
            <w:noWrap/>
            <w:vAlign w:val="bottom"/>
            <w:hideMark/>
          </w:tcPr>
          <w:p w14:paraId="6F5710E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3</w:t>
            </w:r>
          </w:p>
        </w:tc>
        <w:tc>
          <w:tcPr>
            <w:tcW w:w="2268" w:type="dxa"/>
            <w:tcBorders>
              <w:top w:val="nil"/>
              <w:left w:val="nil"/>
              <w:bottom w:val="single" w:sz="4" w:space="0" w:color="auto"/>
              <w:right w:val="single" w:sz="4" w:space="0" w:color="auto"/>
            </w:tcBorders>
            <w:shd w:val="clear" w:color="auto" w:fill="auto"/>
            <w:vAlign w:val="center"/>
            <w:hideMark/>
          </w:tcPr>
          <w:p w14:paraId="7A2FBF9C" w14:textId="77777777" w:rsidR="006266DC" w:rsidRPr="00FD7B0B" w:rsidRDefault="006266DC" w:rsidP="00CF0C2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Численность участников Государственной программы и членов их семей, прибывших в Архангельскую область и поставленных на учет в УМВД России по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14D6BA49"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возрастающий, чел.</w:t>
            </w:r>
          </w:p>
        </w:tc>
        <w:tc>
          <w:tcPr>
            <w:tcW w:w="1134" w:type="dxa"/>
            <w:tcBorders>
              <w:top w:val="nil"/>
              <w:left w:val="nil"/>
              <w:bottom w:val="single" w:sz="4" w:space="0" w:color="auto"/>
              <w:right w:val="single" w:sz="4" w:space="0" w:color="auto"/>
            </w:tcBorders>
            <w:shd w:val="clear" w:color="auto" w:fill="auto"/>
            <w:vAlign w:val="center"/>
            <w:hideMark/>
          </w:tcPr>
          <w:p w14:paraId="0CB54AA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w:t>
            </w:r>
          </w:p>
        </w:tc>
        <w:tc>
          <w:tcPr>
            <w:tcW w:w="1134" w:type="dxa"/>
            <w:tcBorders>
              <w:top w:val="nil"/>
              <w:left w:val="nil"/>
              <w:bottom w:val="single" w:sz="4" w:space="0" w:color="auto"/>
              <w:right w:val="single" w:sz="4" w:space="0" w:color="auto"/>
            </w:tcBorders>
            <w:shd w:val="clear" w:color="auto" w:fill="auto"/>
            <w:vAlign w:val="center"/>
            <w:hideMark/>
          </w:tcPr>
          <w:p w14:paraId="21FEA59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w:t>
            </w:r>
          </w:p>
        </w:tc>
        <w:tc>
          <w:tcPr>
            <w:tcW w:w="709" w:type="dxa"/>
            <w:tcBorders>
              <w:top w:val="nil"/>
              <w:left w:val="nil"/>
              <w:bottom w:val="single" w:sz="4" w:space="0" w:color="auto"/>
              <w:right w:val="single" w:sz="4" w:space="0" w:color="auto"/>
            </w:tcBorders>
            <w:shd w:val="clear" w:color="auto" w:fill="auto"/>
            <w:vAlign w:val="center"/>
            <w:hideMark/>
          </w:tcPr>
          <w:p w14:paraId="41245EE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w:t>
            </w:r>
          </w:p>
        </w:tc>
        <w:tc>
          <w:tcPr>
            <w:tcW w:w="2976" w:type="dxa"/>
            <w:tcBorders>
              <w:top w:val="nil"/>
              <w:left w:val="nil"/>
              <w:bottom w:val="single" w:sz="4" w:space="0" w:color="auto"/>
              <w:right w:val="double" w:sz="6" w:space="0" w:color="auto"/>
            </w:tcBorders>
            <w:shd w:val="clear" w:color="auto" w:fill="auto"/>
            <w:vAlign w:val="bottom"/>
            <w:hideMark/>
          </w:tcPr>
          <w:p w14:paraId="2B59F98C"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изменения согласованы с МВД РФ, а также согласованы распоряжением Правительства РФ от 27.10.2023№ 3011-р и внесены Доп. соглашением к Соглашению о предоставлении субсидии из федерального бюджета бюджету субъекта Российской Федерации от 14.10.2023 года № 188-09-2023-003/1. </w:t>
            </w:r>
          </w:p>
        </w:tc>
      </w:tr>
      <w:tr w:rsidR="00FD7B0B" w:rsidRPr="00FD7B0B" w14:paraId="193EA8C8" w14:textId="77777777" w:rsidTr="00CF0C2C">
        <w:trPr>
          <w:trHeight w:val="228"/>
        </w:trPr>
        <w:tc>
          <w:tcPr>
            <w:tcW w:w="9639" w:type="dxa"/>
            <w:gridSpan w:val="7"/>
            <w:tcBorders>
              <w:top w:val="nil"/>
              <w:left w:val="double" w:sz="6" w:space="0" w:color="auto"/>
              <w:bottom w:val="single" w:sz="4" w:space="0" w:color="auto"/>
              <w:right w:val="double" w:sz="6" w:space="0" w:color="000000"/>
            </w:tcBorders>
            <w:shd w:val="clear" w:color="auto" w:fill="auto"/>
            <w:vAlign w:val="bottom"/>
            <w:hideMark/>
          </w:tcPr>
          <w:p w14:paraId="35585842"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2. Показатели КПМ «Содействие занятости населения, улучшение условий и охраны труда»</w:t>
            </w:r>
          </w:p>
        </w:tc>
      </w:tr>
      <w:tr w:rsidR="00FD7B0B" w:rsidRPr="00FD7B0B" w14:paraId="3C5FA1FF" w14:textId="77777777" w:rsidTr="00CF0C2C">
        <w:trPr>
          <w:trHeight w:val="103"/>
        </w:trPr>
        <w:tc>
          <w:tcPr>
            <w:tcW w:w="9639" w:type="dxa"/>
            <w:gridSpan w:val="7"/>
            <w:tcBorders>
              <w:top w:val="nil"/>
              <w:left w:val="double" w:sz="6" w:space="0" w:color="auto"/>
              <w:bottom w:val="single" w:sz="4" w:space="0" w:color="auto"/>
              <w:right w:val="double" w:sz="6" w:space="0" w:color="000000"/>
            </w:tcBorders>
            <w:shd w:val="clear" w:color="auto" w:fill="auto"/>
            <w:vAlign w:val="center"/>
            <w:hideMark/>
          </w:tcPr>
          <w:p w14:paraId="13DDBB1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Задача № 1 – Активная политика занятости и социальная поддержка безработных граждан</w:t>
            </w:r>
          </w:p>
        </w:tc>
      </w:tr>
      <w:tr w:rsidR="00FD7B0B" w:rsidRPr="00FD7B0B" w14:paraId="50AF9545" w14:textId="77777777" w:rsidTr="009B056F">
        <w:trPr>
          <w:trHeight w:val="885"/>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3BD68D6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w:t>
            </w:r>
          </w:p>
        </w:tc>
        <w:tc>
          <w:tcPr>
            <w:tcW w:w="2268" w:type="dxa"/>
            <w:tcBorders>
              <w:top w:val="nil"/>
              <w:left w:val="nil"/>
              <w:bottom w:val="single" w:sz="4" w:space="0" w:color="auto"/>
              <w:right w:val="single" w:sz="4" w:space="0" w:color="auto"/>
            </w:tcBorders>
            <w:shd w:val="clear" w:color="auto" w:fill="auto"/>
            <w:vAlign w:val="center"/>
            <w:hideMark/>
          </w:tcPr>
          <w:p w14:paraId="30FB731F"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Уровень регистрируемой безработицы</w:t>
            </w:r>
          </w:p>
        </w:tc>
        <w:tc>
          <w:tcPr>
            <w:tcW w:w="851" w:type="dxa"/>
            <w:tcBorders>
              <w:top w:val="nil"/>
              <w:left w:val="nil"/>
              <w:bottom w:val="single" w:sz="4" w:space="0" w:color="auto"/>
              <w:right w:val="single" w:sz="4" w:space="0" w:color="auto"/>
            </w:tcBorders>
            <w:shd w:val="clear" w:color="auto" w:fill="auto"/>
            <w:vAlign w:val="center"/>
            <w:hideMark/>
          </w:tcPr>
          <w:p w14:paraId="397C49C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убывающий, %</w:t>
            </w:r>
          </w:p>
        </w:tc>
        <w:tc>
          <w:tcPr>
            <w:tcW w:w="1134" w:type="dxa"/>
            <w:tcBorders>
              <w:top w:val="nil"/>
              <w:left w:val="nil"/>
              <w:bottom w:val="single" w:sz="4" w:space="0" w:color="auto"/>
              <w:right w:val="single" w:sz="4" w:space="0" w:color="auto"/>
            </w:tcBorders>
            <w:shd w:val="clear" w:color="auto" w:fill="auto"/>
            <w:vAlign w:val="center"/>
            <w:hideMark/>
          </w:tcPr>
          <w:p w14:paraId="7026FEC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w:t>
            </w:r>
          </w:p>
        </w:tc>
        <w:tc>
          <w:tcPr>
            <w:tcW w:w="1134" w:type="dxa"/>
            <w:tcBorders>
              <w:top w:val="nil"/>
              <w:left w:val="nil"/>
              <w:bottom w:val="single" w:sz="4" w:space="0" w:color="auto"/>
              <w:right w:val="single" w:sz="4" w:space="0" w:color="auto"/>
            </w:tcBorders>
            <w:shd w:val="clear" w:color="auto" w:fill="auto"/>
            <w:vAlign w:val="center"/>
            <w:hideMark/>
          </w:tcPr>
          <w:p w14:paraId="23090DE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w:t>
            </w:r>
          </w:p>
        </w:tc>
        <w:tc>
          <w:tcPr>
            <w:tcW w:w="709" w:type="dxa"/>
            <w:tcBorders>
              <w:top w:val="nil"/>
              <w:left w:val="nil"/>
              <w:bottom w:val="single" w:sz="4" w:space="0" w:color="auto"/>
              <w:right w:val="single" w:sz="4" w:space="0" w:color="auto"/>
            </w:tcBorders>
            <w:shd w:val="clear" w:color="auto" w:fill="auto"/>
            <w:vAlign w:val="center"/>
            <w:hideMark/>
          </w:tcPr>
          <w:p w14:paraId="2D68443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2976" w:type="dxa"/>
            <w:tcBorders>
              <w:top w:val="nil"/>
              <w:left w:val="nil"/>
              <w:bottom w:val="single" w:sz="4" w:space="0" w:color="auto"/>
              <w:right w:val="double" w:sz="6" w:space="0" w:color="auto"/>
            </w:tcBorders>
            <w:shd w:val="clear" w:color="auto" w:fill="auto"/>
            <w:vAlign w:val="bottom"/>
            <w:hideMark/>
          </w:tcPr>
          <w:p w14:paraId="140CF8C0"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приведен в соответствие с прогнозом социально-экономического развития Архангельской области (без НАО), одобренным распоряжением Правительства Архангельской области от 11.10.2023 № 796-р.</w:t>
            </w:r>
          </w:p>
        </w:tc>
      </w:tr>
      <w:tr w:rsidR="00FD7B0B" w:rsidRPr="00FD7B0B" w14:paraId="3E26C5E4" w14:textId="77777777" w:rsidTr="00AE335C">
        <w:trPr>
          <w:trHeight w:val="1440"/>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7AFE68C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2268" w:type="dxa"/>
            <w:tcBorders>
              <w:top w:val="nil"/>
              <w:left w:val="nil"/>
              <w:bottom w:val="single" w:sz="4" w:space="0" w:color="auto"/>
              <w:right w:val="single" w:sz="4" w:space="0" w:color="auto"/>
            </w:tcBorders>
            <w:shd w:val="clear" w:color="auto" w:fill="auto"/>
            <w:vAlign w:val="center"/>
            <w:hideMark/>
          </w:tcPr>
          <w:p w14:paraId="0D05BB83"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Доля трудоустроенных граждан в общей численности граждан, обратившихся за содействием в поиске подходящей работы, а также несовершеннолетних граждан от 14 до 18 лет, обратившихся в целях временного трудоустройства в свободное от учебы время</w:t>
            </w:r>
          </w:p>
        </w:tc>
        <w:tc>
          <w:tcPr>
            <w:tcW w:w="851" w:type="dxa"/>
            <w:tcBorders>
              <w:top w:val="nil"/>
              <w:left w:val="nil"/>
              <w:bottom w:val="single" w:sz="4" w:space="0" w:color="auto"/>
              <w:right w:val="single" w:sz="4" w:space="0" w:color="auto"/>
            </w:tcBorders>
            <w:shd w:val="clear" w:color="auto" w:fill="auto"/>
            <w:vAlign w:val="center"/>
            <w:hideMark/>
          </w:tcPr>
          <w:p w14:paraId="2FF74CC2"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возрастающий, %</w:t>
            </w:r>
          </w:p>
        </w:tc>
        <w:tc>
          <w:tcPr>
            <w:tcW w:w="1134" w:type="dxa"/>
            <w:tcBorders>
              <w:top w:val="nil"/>
              <w:left w:val="nil"/>
              <w:bottom w:val="single" w:sz="4" w:space="0" w:color="auto"/>
              <w:right w:val="single" w:sz="4" w:space="0" w:color="auto"/>
            </w:tcBorders>
            <w:shd w:val="clear" w:color="auto" w:fill="auto"/>
            <w:vAlign w:val="center"/>
            <w:hideMark/>
          </w:tcPr>
          <w:p w14:paraId="3D4882D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w:t>
            </w:r>
          </w:p>
        </w:tc>
        <w:tc>
          <w:tcPr>
            <w:tcW w:w="1134" w:type="dxa"/>
            <w:tcBorders>
              <w:top w:val="nil"/>
              <w:left w:val="nil"/>
              <w:bottom w:val="single" w:sz="4" w:space="0" w:color="auto"/>
              <w:right w:val="single" w:sz="4" w:space="0" w:color="auto"/>
            </w:tcBorders>
            <w:shd w:val="clear" w:color="auto" w:fill="auto"/>
            <w:vAlign w:val="center"/>
            <w:hideMark/>
          </w:tcPr>
          <w:p w14:paraId="21D0868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52</w:t>
            </w:r>
          </w:p>
        </w:tc>
        <w:tc>
          <w:tcPr>
            <w:tcW w:w="709" w:type="dxa"/>
            <w:tcBorders>
              <w:top w:val="nil"/>
              <w:left w:val="nil"/>
              <w:bottom w:val="single" w:sz="4" w:space="0" w:color="auto"/>
              <w:right w:val="single" w:sz="4" w:space="0" w:color="auto"/>
            </w:tcBorders>
            <w:shd w:val="clear" w:color="auto" w:fill="auto"/>
            <w:vAlign w:val="center"/>
            <w:hideMark/>
          </w:tcPr>
          <w:p w14:paraId="57C62F7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2976" w:type="dxa"/>
            <w:tcBorders>
              <w:top w:val="nil"/>
              <w:left w:val="nil"/>
              <w:bottom w:val="single" w:sz="4" w:space="0" w:color="auto"/>
              <w:right w:val="double" w:sz="6" w:space="0" w:color="auto"/>
            </w:tcBorders>
            <w:shd w:val="clear" w:color="auto" w:fill="auto"/>
            <w:hideMark/>
          </w:tcPr>
          <w:p w14:paraId="69174E61" w14:textId="77777777" w:rsidR="006266DC" w:rsidRPr="00FD7B0B" w:rsidRDefault="006266DC" w:rsidP="00AE335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показателя и значение приведены в соответствие с Приказом Министерства труда и социальной защиты РФ от 23.10.2023 № 835н «Об утверждении целевых прогнозных показателей в области содействия занятости населения на 2024 год»</w:t>
            </w:r>
          </w:p>
        </w:tc>
      </w:tr>
      <w:tr w:rsidR="00FD7B0B" w:rsidRPr="00FD7B0B" w14:paraId="2F6E93BB" w14:textId="77777777" w:rsidTr="00AE335C">
        <w:trPr>
          <w:trHeight w:val="795"/>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70828FD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w:t>
            </w:r>
          </w:p>
        </w:tc>
        <w:tc>
          <w:tcPr>
            <w:tcW w:w="2268" w:type="dxa"/>
            <w:tcBorders>
              <w:top w:val="nil"/>
              <w:left w:val="nil"/>
              <w:bottom w:val="single" w:sz="4" w:space="0" w:color="auto"/>
              <w:right w:val="single" w:sz="4" w:space="0" w:color="auto"/>
            </w:tcBorders>
            <w:shd w:val="clear" w:color="auto" w:fill="auto"/>
            <w:vAlign w:val="bottom"/>
            <w:hideMark/>
          </w:tcPr>
          <w:p w14:paraId="5BD45CE1"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Доля открывших собственное дело в общей численности зарегистрированных в отчетном периоде безработных граждан</w:t>
            </w:r>
          </w:p>
        </w:tc>
        <w:tc>
          <w:tcPr>
            <w:tcW w:w="851" w:type="dxa"/>
            <w:tcBorders>
              <w:top w:val="nil"/>
              <w:left w:val="nil"/>
              <w:bottom w:val="single" w:sz="4" w:space="0" w:color="auto"/>
              <w:right w:val="single" w:sz="4" w:space="0" w:color="auto"/>
            </w:tcBorders>
            <w:shd w:val="clear" w:color="auto" w:fill="auto"/>
            <w:vAlign w:val="center"/>
            <w:hideMark/>
          </w:tcPr>
          <w:p w14:paraId="7CFC0BA9" w14:textId="77777777" w:rsidR="006266DC" w:rsidRPr="00FD7B0B" w:rsidRDefault="006266DC" w:rsidP="00AE335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возрастающий, %</w:t>
            </w:r>
          </w:p>
        </w:tc>
        <w:tc>
          <w:tcPr>
            <w:tcW w:w="1134" w:type="dxa"/>
            <w:tcBorders>
              <w:top w:val="nil"/>
              <w:left w:val="nil"/>
              <w:bottom w:val="single" w:sz="4" w:space="0" w:color="auto"/>
              <w:right w:val="single" w:sz="4" w:space="0" w:color="auto"/>
            </w:tcBorders>
            <w:shd w:val="clear" w:color="auto" w:fill="auto"/>
            <w:vAlign w:val="center"/>
            <w:hideMark/>
          </w:tcPr>
          <w:p w14:paraId="6C58501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0,7</w:t>
            </w:r>
          </w:p>
        </w:tc>
        <w:tc>
          <w:tcPr>
            <w:tcW w:w="1134" w:type="dxa"/>
            <w:tcBorders>
              <w:top w:val="nil"/>
              <w:left w:val="nil"/>
              <w:bottom w:val="single" w:sz="4" w:space="0" w:color="auto"/>
              <w:right w:val="single" w:sz="4" w:space="0" w:color="auto"/>
            </w:tcBorders>
            <w:shd w:val="clear" w:color="auto" w:fill="auto"/>
            <w:vAlign w:val="center"/>
            <w:hideMark/>
          </w:tcPr>
          <w:p w14:paraId="1306ADA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0,8</w:t>
            </w:r>
          </w:p>
        </w:tc>
        <w:tc>
          <w:tcPr>
            <w:tcW w:w="709" w:type="dxa"/>
            <w:tcBorders>
              <w:top w:val="nil"/>
              <w:left w:val="nil"/>
              <w:bottom w:val="single" w:sz="4" w:space="0" w:color="auto"/>
              <w:right w:val="single" w:sz="4" w:space="0" w:color="auto"/>
            </w:tcBorders>
            <w:shd w:val="clear" w:color="auto" w:fill="auto"/>
            <w:vAlign w:val="center"/>
            <w:hideMark/>
          </w:tcPr>
          <w:p w14:paraId="0241756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0,1</w:t>
            </w:r>
          </w:p>
        </w:tc>
        <w:tc>
          <w:tcPr>
            <w:tcW w:w="2976" w:type="dxa"/>
            <w:tcBorders>
              <w:top w:val="nil"/>
              <w:left w:val="nil"/>
              <w:bottom w:val="single" w:sz="4" w:space="0" w:color="auto"/>
              <w:right w:val="double" w:sz="6" w:space="0" w:color="auto"/>
            </w:tcBorders>
            <w:shd w:val="clear" w:color="auto" w:fill="auto"/>
            <w:hideMark/>
          </w:tcPr>
          <w:p w14:paraId="2442BD8D" w14:textId="77777777" w:rsidR="006266DC" w:rsidRPr="00FD7B0B" w:rsidRDefault="006266DC" w:rsidP="00AE335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Значение показателя приведено в соответствие с Приказом Министерства труда и социальной защиты РФ от 23.10.2023 № 835н </w:t>
            </w:r>
          </w:p>
        </w:tc>
      </w:tr>
      <w:tr w:rsidR="00FD7B0B" w:rsidRPr="00FD7B0B" w14:paraId="5F7964C8" w14:textId="77777777" w:rsidTr="00AE335C">
        <w:trPr>
          <w:trHeight w:val="363"/>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40263EA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2268" w:type="dxa"/>
            <w:tcBorders>
              <w:top w:val="nil"/>
              <w:left w:val="nil"/>
              <w:bottom w:val="single" w:sz="4" w:space="0" w:color="auto"/>
              <w:right w:val="single" w:sz="4" w:space="0" w:color="auto"/>
            </w:tcBorders>
            <w:shd w:val="clear" w:color="auto" w:fill="auto"/>
            <w:vAlign w:val="center"/>
            <w:hideMark/>
          </w:tcPr>
          <w:p w14:paraId="163F7992"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Количество трудоустроенных граждан, находившихся в поиске работы, в том числе прошедшие профилирование при содействии центра занятости населения</w:t>
            </w:r>
          </w:p>
        </w:tc>
        <w:tc>
          <w:tcPr>
            <w:tcW w:w="851" w:type="dxa"/>
            <w:tcBorders>
              <w:top w:val="nil"/>
              <w:left w:val="nil"/>
              <w:bottom w:val="single" w:sz="4" w:space="0" w:color="auto"/>
              <w:right w:val="single" w:sz="4" w:space="0" w:color="auto"/>
            </w:tcBorders>
            <w:shd w:val="clear" w:color="auto" w:fill="auto"/>
            <w:vAlign w:val="center"/>
            <w:hideMark/>
          </w:tcPr>
          <w:p w14:paraId="1C27A02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тыс.</w:t>
            </w:r>
          </w:p>
          <w:p w14:paraId="3737779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чел.</w:t>
            </w:r>
          </w:p>
        </w:tc>
        <w:tc>
          <w:tcPr>
            <w:tcW w:w="1134" w:type="dxa"/>
            <w:tcBorders>
              <w:top w:val="nil"/>
              <w:left w:val="nil"/>
              <w:bottom w:val="single" w:sz="4" w:space="0" w:color="auto"/>
              <w:right w:val="single" w:sz="4" w:space="0" w:color="auto"/>
            </w:tcBorders>
            <w:shd w:val="clear" w:color="auto" w:fill="auto"/>
            <w:vAlign w:val="center"/>
            <w:hideMark/>
          </w:tcPr>
          <w:p w14:paraId="65F2E47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w:t>
            </w:r>
          </w:p>
        </w:tc>
        <w:tc>
          <w:tcPr>
            <w:tcW w:w="1134" w:type="dxa"/>
            <w:tcBorders>
              <w:top w:val="nil"/>
              <w:left w:val="nil"/>
              <w:bottom w:val="single" w:sz="4" w:space="0" w:color="auto"/>
              <w:right w:val="single" w:sz="4" w:space="0" w:color="auto"/>
            </w:tcBorders>
            <w:shd w:val="clear" w:color="auto" w:fill="auto"/>
            <w:vAlign w:val="center"/>
            <w:hideMark/>
          </w:tcPr>
          <w:p w14:paraId="3234A86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14,8</w:t>
            </w:r>
          </w:p>
        </w:tc>
        <w:tc>
          <w:tcPr>
            <w:tcW w:w="709" w:type="dxa"/>
            <w:tcBorders>
              <w:top w:val="nil"/>
              <w:left w:val="nil"/>
              <w:bottom w:val="single" w:sz="4" w:space="0" w:color="auto"/>
              <w:right w:val="single" w:sz="4" w:space="0" w:color="auto"/>
            </w:tcBorders>
            <w:shd w:val="clear" w:color="auto" w:fill="auto"/>
            <w:vAlign w:val="center"/>
            <w:hideMark/>
          </w:tcPr>
          <w:p w14:paraId="292DC0E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c>
          <w:tcPr>
            <w:tcW w:w="2976" w:type="dxa"/>
            <w:tcBorders>
              <w:top w:val="nil"/>
              <w:left w:val="nil"/>
              <w:bottom w:val="single" w:sz="4" w:space="0" w:color="auto"/>
              <w:right w:val="double" w:sz="6" w:space="0" w:color="auto"/>
            </w:tcBorders>
            <w:shd w:val="clear" w:color="auto" w:fill="auto"/>
            <w:vAlign w:val="bottom"/>
            <w:hideMark/>
          </w:tcPr>
          <w:p w14:paraId="5B4E21F4"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Общая численность трудоустроенных граждан с учетом трудоустройства несовершеннолетних граждан, обратившихся с целью временного трудоустройства (3 155 чел.), прогнозирована на конец года на уровне 14 776 чел.</w:t>
            </w:r>
          </w:p>
        </w:tc>
      </w:tr>
      <w:tr w:rsidR="00FD7B0B" w:rsidRPr="00FD7B0B" w14:paraId="4877229F" w14:textId="77777777" w:rsidTr="009B056F">
        <w:trPr>
          <w:trHeight w:val="930"/>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4F1C300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w:t>
            </w:r>
          </w:p>
        </w:tc>
        <w:tc>
          <w:tcPr>
            <w:tcW w:w="2268" w:type="dxa"/>
            <w:tcBorders>
              <w:top w:val="nil"/>
              <w:left w:val="nil"/>
              <w:bottom w:val="single" w:sz="4" w:space="0" w:color="auto"/>
              <w:right w:val="single" w:sz="4" w:space="0" w:color="auto"/>
            </w:tcBorders>
            <w:shd w:val="clear" w:color="auto" w:fill="auto"/>
            <w:vAlign w:val="center"/>
            <w:hideMark/>
          </w:tcPr>
          <w:p w14:paraId="076AB763"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Осуществлено трудоустройство несовершеннолетних граждан в возрасте от </w:t>
            </w:r>
            <w:r w:rsidRPr="00FD7B0B">
              <w:rPr>
                <w:rFonts w:ascii="Times New Roman" w:eastAsia="Times New Roman" w:hAnsi="Times New Roman" w:cs="Times New Roman"/>
                <w:sz w:val="20"/>
                <w:szCs w:val="20"/>
                <w:lang w:eastAsia="ru-RU"/>
              </w:rPr>
              <w:lastRenderedPageBreak/>
              <w:t>14 до 18 лет в свободное от учебы время</w:t>
            </w:r>
          </w:p>
        </w:tc>
        <w:tc>
          <w:tcPr>
            <w:tcW w:w="851" w:type="dxa"/>
            <w:tcBorders>
              <w:top w:val="nil"/>
              <w:left w:val="nil"/>
              <w:bottom w:val="single" w:sz="4" w:space="0" w:color="auto"/>
              <w:right w:val="single" w:sz="4" w:space="0" w:color="auto"/>
            </w:tcBorders>
            <w:shd w:val="clear" w:color="auto" w:fill="auto"/>
            <w:vAlign w:val="center"/>
            <w:hideMark/>
          </w:tcPr>
          <w:p w14:paraId="240A11B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чел.</w:t>
            </w:r>
          </w:p>
        </w:tc>
        <w:tc>
          <w:tcPr>
            <w:tcW w:w="1134" w:type="dxa"/>
            <w:tcBorders>
              <w:top w:val="nil"/>
              <w:left w:val="nil"/>
              <w:bottom w:val="single" w:sz="4" w:space="0" w:color="auto"/>
              <w:right w:val="single" w:sz="4" w:space="0" w:color="auto"/>
            </w:tcBorders>
            <w:shd w:val="clear" w:color="auto" w:fill="auto"/>
            <w:vAlign w:val="center"/>
            <w:hideMark/>
          </w:tcPr>
          <w:p w14:paraId="3155FDD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3 600</w:t>
            </w:r>
          </w:p>
        </w:tc>
        <w:tc>
          <w:tcPr>
            <w:tcW w:w="1134" w:type="dxa"/>
            <w:tcBorders>
              <w:top w:val="nil"/>
              <w:left w:val="nil"/>
              <w:bottom w:val="single" w:sz="4" w:space="0" w:color="auto"/>
              <w:right w:val="single" w:sz="4" w:space="0" w:color="auto"/>
            </w:tcBorders>
            <w:shd w:val="clear" w:color="auto" w:fill="auto"/>
            <w:vAlign w:val="center"/>
            <w:hideMark/>
          </w:tcPr>
          <w:p w14:paraId="4AF7AD3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3 288</w:t>
            </w:r>
          </w:p>
        </w:tc>
        <w:tc>
          <w:tcPr>
            <w:tcW w:w="709" w:type="dxa"/>
            <w:tcBorders>
              <w:top w:val="nil"/>
              <w:left w:val="nil"/>
              <w:bottom w:val="single" w:sz="4" w:space="0" w:color="auto"/>
              <w:right w:val="single" w:sz="4" w:space="0" w:color="auto"/>
            </w:tcBorders>
            <w:shd w:val="clear" w:color="auto" w:fill="auto"/>
            <w:vAlign w:val="center"/>
            <w:hideMark/>
          </w:tcPr>
          <w:p w14:paraId="1ABE0DB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-312</w:t>
            </w:r>
          </w:p>
        </w:tc>
        <w:tc>
          <w:tcPr>
            <w:tcW w:w="2976" w:type="dxa"/>
            <w:tcBorders>
              <w:top w:val="nil"/>
              <w:left w:val="nil"/>
              <w:bottom w:val="single" w:sz="4" w:space="0" w:color="auto"/>
              <w:right w:val="double" w:sz="6" w:space="0" w:color="auto"/>
            </w:tcBorders>
            <w:shd w:val="clear" w:color="auto" w:fill="auto"/>
            <w:vAlign w:val="bottom"/>
            <w:hideMark/>
          </w:tcPr>
          <w:p w14:paraId="08204E45"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По состоянию на 10.12.2024 г. трудоустроены 3 288 подростков. Снижение численности трудоустроенных </w:t>
            </w:r>
            <w:r w:rsidRPr="00FD7B0B">
              <w:rPr>
                <w:rFonts w:ascii="Times New Roman" w:eastAsia="Times New Roman" w:hAnsi="Times New Roman" w:cs="Times New Roman"/>
                <w:sz w:val="20"/>
                <w:szCs w:val="20"/>
                <w:lang w:eastAsia="ru-RU"/>
              </w:rPr>
              <w:lastRenderedPageBreak/>
              <w:t>несовершеннолетних граждан на 5,2 % по сравнению с прошлым годом.</w:t>
            </w:r>
          </w:p>
          <w:p w14:paraId="5A67500E"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Причиной снижения численности трудоустроенных подростков в 2024 году является недостаточное количество рабочих мест, условия которых соответствуют для трудоустройства несовершеннолетних граждан, а также недостаточное количество работодателей, готовых трудоустраивать несовершеннолетних граждан, в том числе в связи с отсутствием средств работодателя на проведение специальной оценки условий труда, прохождение предварительного медицинского осмотра при трудоустройстве.</w:t>
            </w:r>
          </w:p>
        </w:tc>
      </w:tr>
      <w:tr w:rsidR="00FD7B0B" w:rsidRPr="00FD7B0B" w14:paraId="644047F4" w14:textId="77777777" w:rsidTr="009B056F">
        <w:trPr>
          <w:trHeight w:val="416"/>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1D77F91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1.9.</w:t>
            </w:r>
          </w:p>
        </w:tc>
        <w:tc>
          <w:tcPr>
            <w:tcW w:w="2268" w:type="dxa"/>
            <w:tcBorders>
              <w:top w:val="nil"/>
              <w:left w:val="nil"/>
              <w:bottom w:val="single" w:sz="4" w:space="0" w:color="auto"/>
              <w:right w:val="single" w:sz="4" w:space="0" w:color="auto"/>
            </w:tcBorders>
            <w:shd w:val="clear" w:color="auto" w:fill="auto"/>
            <w:vAlign w:val="center"/>
            <w:hideMark/>
          </w:tcPr>
          <w:p w14:paraId="1E9AC9B5"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Безработные граждане, а также незанятые граждане, которым в соответствии с законодательством Российской Федерации назначена страховая пенсия по старости и которые стремятся возобновить трудовую деятельность, прошедшие профессиональное обучение и дополнительное профессиональное образование, включая обучение в другой местности </w:t>
            </w:r>
          </w:p>
        </w:tc>
        <w:tc>
          <w:tcPr>
            <w:tcW w:w="851" w:type="dxa"/>
            <w:tcBorders>
              <w:top w:val="nil"/>
              <w:left w:val="nil"/>
              <w:bottom w:val="single" w:sz="4" w:space="0" w:color="auto"/>
              <w:right w:val="single" w:sz="4" w:space="0" w:color="auto"/>
            </w:tcBorders>
            <w:shd w:val="clear" w:color="auto" w:fill="auto"/>
            <w:vAlign w:val="center"/>
            <w:hideMark/>
          </w:tcPr>
          <w:p w14:paraId="3338F80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чел.</w:t>
            </w:r>
          </w:p>
        </w:tc>
        <w:tc>
          <w:tcPr>
            <w:tcW w:w="1134" w:type="dxa"/>
            <w:tcBorders>
              <w:top w:val="nil"/>
              <w:left w:val="nil"/>
              <w:bottom w:val="single" w:sz="4" w:space="0" w:color="auto"/>
              <w:right w:val="single" w:sz="4" w:space="0" w:color="auto"/>
            </w:tcBorders>
            <w:shd w:val="clear" w:color="auto" w:fill="auto"/>
            <w:vAlign w:val="center"/>
            <w:hideMark/>
          </w:tcPr>
          <w:p w14:paraId="2B8EEA4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2 412</w:t>
            </w:r>
          </w:p>
        </w:tc>
        <w:tc>
          <w:tcPr>
            <w:tcW w:w="1134" w:type="dxa"/>
            <w:tcBorders>
              <w:top w:val="nil"/>
              <w:left w:val="nil"/>
              <w:bottom w:val="single" w:sz="4" w:space="0" w:color="auto"/>
              <w:right w:val="single" w:sz="4" w:space="0" w:color="auto"/>
            </w:tcBorders>
            <w:shd w:val="clear" w:color="auto" w:fill="auto"/>
            <w:vAlign w:val="center"/>
            <w:hideMark/>
          </w:tcPr>
          <w:p w14:paraId="24BE43D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1 750</w:t>
            </w:r>
          </w:p>
        </w:tc>
        <w:tc>
          <w:tcPr>
            <w:tcW w:w="709" w:type="dxa"/>
            <w:tcBorders>
              <w:top w:val="nil"/>
              <w:left w:val="nil"/>
              <w:bottom w:val="single" w:sz="4" w:space="0" w:color="auto"/>
              <w:right w:val="single" w:sz="4" w:space="0" w:color="auto"/>
            </w:tcBorders>
            <w:shd w:val="clear" w:color="auto" w:fill="auto"/>
            <w:vAlign w:val="center"/>
            <w:hideMark/>
          </w:tcPr>
          <w:p w14:paraId="323D62B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-662</w:t>
            </w:r>
          </w:p>
        </w:tc>
        <w:tc>
          <w:tcPr>
            <w:tcW w:w="2976" w:type="dxa"/>
            <w:tcBorders>
              <w:top w:val="nil"/>
              <w:left w:val="nil"/>
              <w:bottom w:val="single" w:sz="4" w:space="0" w:color="auto"/>
              <w:right w:val="double" w:sz="6" w:space="0" w:color="auto"/>
            </w:tcBorders>
            <w:shd w:val="clear" w:color="auto" w:fill="auto"/>
            <w:vAlign w:val="bottom"/>
            <w:hideMark/>
          </w:tcPr>
          <w:p w14:paraId="78014851"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связи с пересмотром государственного задания по организации обучения с 1.10.2024 снижен объем услуг, предоставляемых ГАУ АО «Социальный консультативный центр» по организации и проведению обучения граждан по востребованным на рынке труда Архангельской области программам профессионального обучения и дополнительного профессионального образования, направление на обучение безработных граждан и граждан, которым назначена страховая пенсия по старости, не представляется возможным.</w:t>
            </w:r>
          </w:p>
        </w:tc>
      </w:tr>
      <w:tr w:rsidR="00FD7B0B" w:rsidRPr="00FD7B0B" w14:paraId="7AD04661" w14:textId="77777777" w:rsidTr="00CB4BE6">
        <w:trPr>
          <w:trHeight w:val="189"/>
        </w:trPr>
        <w:tc>
          <w:tcPr>
            <w:tcW w:w="9639"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111557A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Задача № 2 – улучшение условий и охраны труда в Архангельской области</w:t>
            </w:r>
          </w:p>
        </w:tc>
      </w:tr>
      <w:tr w:rsidR="00FD7B0B" w:rsidRPr="00FD7B0B" w14:paraId="435C72AD" w14:textId="77777777" w:rsidTr="00CB4BE6">
        <w:trPr>
          <w:trHeight w:val="1214"/>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2328F79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w:t>
            </w:r>
          </w:p>
        </w:tc>
        <w:tc>
          <w:tcPr>
            <w:tcW w:w="2268" w:type="dxa"/>
            <w:tcBorders>
              <w:top w:val="nil"/>
              <w:left w:val="nil"/>
              <w:bottom w:val="single" w:sz="4" w:space="0" w:color="auto"/>
              <w:right w:val="single" w:sz="4" w:space="0" w:color="auto"/>
            </w:tcBorders>
            <w:shd w:val="clear" w:color="auto" w:fill="auto"/>
            <w:vAlign w:val="center"/>
            <w:hideMark/>
          </w:tcPr>
          <w:p w14:paraId="75AF3B89" w14:textId="77777777" w:rsidR="006266DC" w:rsidRPr="00FD7B0B" w:rsidRDefault="006266DC" w:rsidP="00AE335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Количество работодателей, обратившихся за финансированием предупредительных мер по сокращению производственного травматизма и профессиональных заболеваний работников за счет страховых взносов по обязательному </w:t>
            </w:r>
            <w:r w:rsidRPr="00FD7B0B">
              <w:rPr>
                <w:rFonts w:ascii="Times New Roman" w:eastAsia="Times New Roman" w:hAnsi="Times New Roman" w:cs="Times New Roman"/>
                <w:sz w:val="20"/>
                <w:szCs w:val="20"/>
                <w:lang w:eastAsia="ru-RU"/>
              </w:rPr>
              <w:lastRenderedPageBreak/>
              <w:t xml:space="preserve">социальному страхованию от несчастных случаев на производстве и профессиональных заболеваний </w:t>
            </w:r>
          </w:p>
        </w:tc>
        <w:tc>
          <w:tcPr>
            <w:tcW w:w="851" w:type="dxa"/>
            <w:tcBorders>
              <w:top w:val="nil"/>
              <w:left w:val="nil"/>
              <w:bottom w:val="single" w:sz="4" w:space="0" w:color="auto"/>
              <w:right w:val="single" w:sz="4" w:space="0" w:color="auto"/>
            </w:tcBorders>
            <w:shd w:val="clear" w:color="auto" w:fill="auto"/>
            <w:vAlign w:val="center"/>
            <w:hideMark/>
          </w:tcPr>
          <w:p w14:paraId="5E8BF53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единица</w:t>
            </w:r>
          </w:p>
        </w:tc>
        <w:tc>
          <w:tcPr>
            <w:tcW w:w="1134" w:type="dxa"/>
            <w:tcBorders>
              <w:top w:val="nil"/>
              <w:left w:val="nil"/>
              <w:bottom w:val="single" w:sz="4" w:space="0" w:color="auto"/>
              <w:right w:val="single" w:sz="4" w:space="0" w:color="auto"/>
            </w:tcBorders>
            <w:shd w:val="clear" w:color="auto" w:fill="auto"/>
            <w:vAlign w:val="center"/>
            <w:hideMark/>
          </w:tcPr>
          <w:p w14:paraId="3A4C631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800</w:t>
            </w:r>
          </w:p>
        </w:tc>
        <w:tc>
          <w:tcPr>
            <w:tcW w:w="1134" w:type="dxa"/>
            <w:tcBorders>
              <w:top w:val="nil"/>
              <w:left w:val="nil"/>
              <w:bottom w:val="single" w:sz="4" w:space="0" w:color="auto"/>
              <w:right w:val="single" w:sz="4" w:space="0" w:color="auto"/>
            </w:tcBorders>
            <w:shd w:val="clear" w:color="auto" w:fill="auto"/>
            <w:vAlign w:val="center"/>
            <w:hideMark/>
          </w:tcPr>
          <w:p w14:paraId="1F82C7E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740</w:t>
            </w:r>
          </w:p>
        </w:tc>
        <w:tc>
          <w:tcPr>
            <w:tcW w:w="709" w:type="dxa"/>
            <w:tcBorders>
              <w:top w:val="nil"/>
              <w:left w:val="nil"/>
              <w:bottom w:val="single" w:sz="4" w:space="0" w:color="auto"/>
              <w:right w:val="single" w:sz="4" w:space="0" w:color="auto"/>
            </w:tcBorders>
            <w:shd w:val="clear" w:color="auto" w:fill="auto"/>
            <w:vAlign w:val="center"/>
            <w:hideMark/>
          </w:tcPr>
          <w:p w14:paraId="773B61C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-60</w:t>
            </w:r>
          </w:p>
        </w:tc>
        <w:tc>
          <w:tcPr>
            <w:tcW w:w="2976" w:type="dxa"/>
            <w:tcBorders>
              <w:top w:val="nil"/>
              <w:left w:val="nil"/>
              <w:bottom w:val="single" w:sz="4" w:space="0" w:color="auto"/>
              <w:right w:val="double" w:sz="6" w:space="0" w:color="auto"/>
            </w:tcBorders>
            <w:shd w:val="clear" w:color="auto" w:fill="auto"/>
            <w:hideMark/>
          </w:tcPr>
          <w:p w14:paraId="3C23C57F" w14:textId="77777777" w:rsidR="006266DC" w:rsidRPr="00FD7B0B" w:rsidRDefault="006266DC" w:rsidP="00AE335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Изменение значения результата (мероприятия) на основании информации Отделения Фонда пенсионного и социального страхования Российской Федерации по Архангельской области и Ненецкому автономному округу (снижение объемов финансирования из внебюджетного источника)</w:t>
            </w:r>
          </w:p>
        </w:tc>
      </w:tr>
      <w:tr w:rsidR="00FD7B0B" w:rsidRPr="00FD7B0B" w14:paraId="2D1AE4C2" w14:textId="77777777" w:rsidTr="009B056F">
        <w:trPr>
          <w:trHeight w:val="825"/>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4CA8330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w:t>
            </w:r>
          </w:p>
        </w:tc>
        <w:tc>
          <w:tcPr>
            <w:tcW w:w="2268" w:type="dxa"/>
            <w:tcBorders>
              <w:top w:val="nil"/>
              <w:left w:val="nil"/>
              <w:bottom w:val="single" w:sz="4" w:space="0" w:color="auto"/>
              <w:right w:val="single" w:sz="4" w:space="0" w:color="auto"/>
            </w:tcBorders>
            <w:shd w:val="clear" w:color="auto" w:fill="auto"/>
            <w:vAlign w:val="center"/>
            <w:hideMark/>
          </w:tcPr>
          <w:p w14:paraId="6BB9BD99"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Обеспечена реализация полномочий органами местного самоуправления в сфере охраны труда</w:t>
            </w:r>
          </w:p>
        </w:tc>
        <w:tc>
          <w:tcPr>
            <w:tcW w:w="851" w:type="dxa"/>
            <w:tcBorders>
              <w:top w:val="nil"/>
              <w:left w:val="nil"/>
              <w:bottom w:val="single" w:sz="4" w:space="0" w:color="auto"/>
              <w:right w:val="single" w:sz="4" w:space="0" w:color="auto"/>
            </w:tcBorders>
            <w:shd w:val="clear" w:color="auto" w:fill="auto"/>
            <w:vAlign w:val="center"/>
            <w:hideMark/>
          </w:tcPr>
          <w:p w14:paraId="4FAB89A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единица</w:t>
            </w:r>
          </w:p>
        </w:tc>
        <w:tc>
          <w:tcPr>
            <w:tcW w:w="1134" w:type="dxa"/>
            <w:tcBorders>
              <w:top w:val="nil"/>
              <w:left w:val="nil"/>
              <w:bottom w:val="single" w:sz="4" w:space="0" w:color="auto"/>
              <w:right w:val="single" w:sz="4" w:space="0" w:color="auto"/>
            </w:tcBorders>
            <w:shd w:val="clear" w:color="auto" w:fill="auto"/>
            <w:vAlign w:val="center"/>
            <w:hideMark/>
          </w:tcPr>
          <w:p w14:paraId="02CD655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w:t>
            </w:r>
          </w:p>
        </w:tc>
        <w:tc>
          <w:tcPr>
            <w:tcW w:w="1134" w:type="dxa"/>
            <w:tcBorders>
              <w:top w:val="nil"/>
              <w:left w:val="nil"/>
              <w:bottom w:val="single" w:sz="4" w:space="0" w:color="auto"/>
              <w:right w:val="single" w:sz="4" w:space="0" w:color="auto"/>
            </w:tcBorders>
            <w:shd w:val="clear" w:color="auto" w:fill="auto"/>
            <w:vAlign w:val="center"/>
            <w:hideMark/>
          </w:tcPr>
          <w:p w14:paraId="1CB4F2D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w:t>
            </w:r>
          </w:p>
        </w:tc>
        <w:tc>
          <w:tcPr>
            <w:tcW w:w="709" w:type="dxa"/>
            <w:tcBorders>
              <w:top w:val="nil"/>
              <w:left w:val="nil"/>
              <w:bottom w:val="single" w:sz="4" w:space="0" w:color="auto"/>
              <w:right w:val="single" w:sz="4" w:space="0" w:color="auto"/>
            </w:tcBorders>
            <w:shd w:val="clear" w:color="auto" w:fill="auto"/>
            <w:vAlign w:val="center"/>
            <w:hideMark/>
          </w:tcPr>
          <w:p w14:paraId="64D4620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2976" w:type="dxa"/>
            <w:tcBorders>
              <w:top w:val="nil"/>
              <w:left w:val="nil"/>
              <w:bottom w:val="single" w:sz="4" w:space="0" w:color="auto"/>
              <w:right w:val="double" w:sz="6" w:space="0" w:color="auto"/>
            </w:tcBorders>
            <w:shd w:val="clear" w:color="auto" w:fill="auto"/>
            <w:vAlign w:val="bottom"/>
            <w:hideMark/>
          </w:tcPr>
          <w:p w14:paraId="42C22539"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Значение результата (мероприятия) приведено в соответствие со статьей 26 областного закона от 20.09.2005 № 84-5-ОЗ «О наделении органов местного самоуправления муниципальных образований Архангельской области отдельными государственными полномочиями»</w:t>
            </w:r>
          </w:p>
        </w:tc>
      </w:tr>
      <w:tr w:rsidR="00FD7B0B" w:rsidRPr="00FD7B0B" w14:paraId="736F6A81" w14:textId="77777777" w:rsidTr="009B056F">
        <w:trPr>
          <w:trHeight w:val="750"/>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7BC6B34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w:t>
            </w:r>
          </w:p>
        </w:tc>
        <w:tc>
          <w:tcPr>
            <w:tcW w:w="2268" w:type="dxa"/>
            <w:tcBorders>
              <w:top w:val="nil"/>
              <w:left w:val="nil"/>
              <w:bottom w:val="single" w:sz="4" w:space="0" w:color="auto"/>
              <w:right w:val="single" w:sz="4" w:space="0" w:color="auto"/>
            </w:tcBorders>
            <w:shd w:val="clear" w:color="auto" w:fill="auto"/>
            <w:vAlign w:val="center"/>
            <w:hideMark/>
          </w:tcPr>
          <w:p w14:paraId="10D88B9B"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Организовано заседание Координационного совета Архангельской области по охране труда </w:t>
            </w:r>
          </w:p>
        </w:tc>
        <w:tc>
          <w:tcPr>
            <w:tcW w:w="851" w:type="dxa"/>
            <w:tcBorders>
              <w:top w:val="nil"/>
              <w:left w:val="nil"/>
              <w:bottom w:val="single" w:sz="4" w:space="0" w:color="auto"/>
              <w:right w:val="single" w:sz="4" w:space="0" w:color="auto"/>
            </w:tcBorders>
            <w:shd w:val="clear" w:color="auto" w:fill="auto"/>
            <w:vAlign w:val="center"/>
            <w:hideMark/>
          </w:tcPr>
          <w:p w14:paraId="5E70607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единица</w:t>
            </w:r>
          </w:p>
        </w:tc>
        <w:tc>
          <w:tcPr>
            <w:tcW w:w="1134" w:type="dxa"/>
            <w:tcBorders>
              <w:top w:val="nil"/>
              <w:left w:val="nil"/>
              <w:bottom w:val="single" w:sz="4" w:space="0" w:color="auto"/>
              <w:right w:val="single" w:sz="4" w:space="0" w:color="auto"/>
            </w:tcBorders>
            <w:shd w:val="clear" w:color="auto" w:fill="auto"/>
            <w:vAlign w:val="center"/>
            <w:hideMark/>
          </w:tcPr>
          <w:p w14:paraId="1832C1E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6E45859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14:paraId="7C24024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2976" w:type="dxa"/>
            <w:tcBorders>
              <w:top w:val="nil"/>
              <w:left w:val="nil"/>
              <w:bottom w:val="single" w:sz="4" w:space="0" w:color="auto"/>
              <w:right w:val="double" w:sz="6" w:space="0" w:color="auto"/>
            </w:tcBorders>
            <w:shd w:val="clear" w:color="auto" w:fill="auto"/>
            <w:vAlign w:val="bottom"/>
            <w:hideMark/>
          </w:tcPr>
          <w:p w14:paraId="0C780549"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Принято решение об оптимизации работы Координационного совета Архангельской области по охране труда. В соответствии указом Губернатора</w:t>
            </w:r>
            <w:r w:rsidRPr="00FD7B0B">
              <w:rPr>
                <w:rFonts w:ascii="Times New Roman" w:eastAsia="Times New Roman" w:hAnsi="Times New Roman" w:cs="Times New Roman"/>
                <w:sz w:val="20"/>
                <w:szCs w:val="20"/>
                <w:lang w:eastAsia="ru-RU"/>
              </w:rPr>
              <w:br/>
              <w:t xml:space="preserve">Архангельской области от 6.05.2010 № 85-у, заседания Координационного совета проводятся не реже одного раза в полугодие на основании годового плана работы. </w:t>
            </w:r>
          </w:p>
        </w:tc>
      </w:tr>
      <w:tr w:rsidR="00FD7B0B" w:rsidRPr="00FD7B0B" w14:paraId="3876C38C" w14:textId="77777777" w:rsidTr="009B056F">
        <w:trPr>
          <w:trHeight w:val="300"/>
        </w:trPr>
        <w:tc>
          <w:tcPr>
            <w:tcW w:w="9639"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1455BE6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Задача № 3 – оказание содействия добровольному переселению в Архангельскую область соотечественников, проживающих за рубежом (2016 –2024 годы)</w:t>
            </w:r>
          </w:p>
        </w:tc>
      </w:tr>
      <w:tr w:rsidR="00FD7B0B" w:rsidRPr="00FD7B0B" w14:paraId="0275732B" w14:textId="77777777" w:rsidTr="009B056F">
        <w:trPr>
          <w:trHeight w:val="1800"/>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3F389FE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w:t>
            </w:r>
          </w:p>
        </w:tc>
        <w:tc>
          <w:tcPr>
            <w:tcW w:w="2268" w:type="dxa"/>
            <w:tcBorders>
              <w:top w:val="nil"/>
              <w:left w:val="nil"/>
              <w:bottom w:val="single" w:sz="4" w:space="0" w:color="auto"/>
              <w:right w:val="single" w:sz="4" w:space="0" w:color="auto"/>
            </w:tcBorders>
            <w:shd w:val="clear" w:color="auto" w:fill="auto"/>
            <w:vAlign w:val="center"/>
            <w:hideMark/>
          </w:tcPr>
          <w:p w14:paraId="7A5C7800"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Предоставлена компенсация части затрат на проживание участников Государственной программы и членов их семей</w:t>
            </w:r>
          </w:p>
        </w:tc>
        <w:tc>
          <w:tcPr>
            <w:tcW w:w="851" w:type="dxa"/>
            <w:tcBorders>
              <w:top w:val="nil"/>
              <w:left w:val="nil"/>
              <w:bottom w:val="single" w:sz="4" w:space="0" w:color="auto"/>
              <w:right w:val="single" w:sz="4" w:space="0" w:color="auto"/>
            </w:tcBorders>
            <w:shd w:val="clear" w:color="auto" w:fill="auto"/>
            <w:vAlign w:val="center"/>
            <w:hideMark/>
          </w:tcPr>
          <w:p w14:paraId="4874929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чел.</w:t>
            </w:r>
          </w:p>
        </w:tc>
        <w:tc>
          <w:tcPr>
            <w:tcW w:w="1134" w:type="dxa"/>
            <w:tcBorders>
              <w:top w:val="nil"/>
              <w:left w:val="nil"/>
              <w:bottom w:val="single" w:sz="4" w:space="0" w:color="auto"/>
              <w:right w:val="single" w:sz="4" w:space="0" w:color="auto"/>
            </w:tcBorders>
            <w:shd w:val="clear" w:color="auto" w:fill="auto"/>
            <w:vAlign w:val="center"/>
            <w:hideMark/>
          </w:tcPr>
          <w:p w14:paraId="3B283E4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w:t>
            </w:r>
          </w:p>
        </w:tc>
        <w:tc>
          <w:tcPr>
            <w:tcW w:w="1134" w:type="dxa"/>
            <w:tcBorders>
              <w:top w:val="nil"/>
              <w:left w:val="nil"/>
              <w:bottom w:val="single" w:sz="4" w:space="0" w:color="auto"/>
              <w:right w:val="single" w:sz="4" w:space="0" w:color="auto"/>
            </w:tcBorders>
            <w:shd w:val="clear" w:color="auto" w:fill="auto"/>
            <w:vAlign w:val="center"/>
            <w:hideMark/>
          </w:tcPr>
          <w:p w14:paraId="11E96BE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w:t>
            </w:r>
          </w:p>
        </w:tc>
        <w:tc>
          <w:tcPr>
            <w:tcW w:w="709" w:type="dxa"/>
            <w:tcBorders>
              <w:top w:val="nil"/>
              <w:left w:val="nil"/>
              <w:bottom w:val="single" w:sz="4" w:space="0" w:color="auto"/>
              <w:right w:val="single" w:sz="4" w:space="0" w:color="auto"/>
            </w:tcBorders>
            <w:shd w:val="clear" w:color="auto" w:fill="auto"/>
            <w:vAlign w:val="center"/>
            <w:hideMark/>
          </w:tcPr>
          <w:p w14:paraId="42DD556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w:t>
            </w:r>
          </w:p>
        </w:tc>
        <w:tc>
          <w:tcPr>
            <w:tcW w:w="2976" w:type="dxa"/>
            <w:vMerge w:val="restart"/>
            <w:tcBorders>
              <w:top w:val="nil"/>
              <w:left w:val="single" w:sz="4" w:space="0" w:color="auto"/>
              <w:bottom w:val="double" w:sz="6" w:space="0" w:color="000000"/>
              <w:right w:val="double" w:sz="6" w:space="0" w:color="auto"/>
            </w:tcBorders>
            <w:shd w:val="clear" w:color="auto" w:fill="auto"/>
            <w:vAlign w:val="bottom"/>
            <w:hideMark/>
          </w:tcPr>
          <w:p w14:paraId="4022647A"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Изменение значений результатов (мероприятий) связано с уменьшением или отсутствием заявок от участников Государственной программы по оказанию содействия добровольному переселению в Российскую Федерацию соотечественников, проживающих за рубежом, утвержденной Указом Президента Российской Федерации от 22.06.2006 № 637, на компенсацию расходов, связанных с предоставлением мер социальной поддержки соотечественникам. </w:t>
            </w:r>
          </w:p>
        </w:tc>
      </w:tr>
      <w:tr w:rsidR="00FD7B0B" w:rsidRPr="00FD7B0B" w14:paraId="2B94A0FB" w14:textId="77777777" w:rsidTr="009B056F">
        <w:trPr>
          <w:trHeight w:val="2400"/>
        </w:trPr>
        <w:tc>
          <w:tcPr>
            <w:tcW w:w="567" w:type="dxa"/>
            <w:tcBorders>
              <w:top w:val="nil"/>
              <w:left w:val="double" w:sz="6" w:space="0" w:color="auto"/>
              <w:bottom w:val="single" w:sz="4" w:space="0" w:color="auto"/>
              <w:right w:val="single" w:sz="4" w:space="0" w:color="auto"/>
            </w:tcBorders>
            <w:shd w:val="clear" w:color="auto" w:fill="auto"/>
            <w:vAlign w:val="center"/>
            <w:hideMark/>
          </w:tcPr>
          <w:p w14:paraId="6ECFD9B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w:t>
            </w:r>
          </w:p>
        </w:tc>
        <w:tc>
          <w:tcPr>
            <w:tcW w:w="2268" w:type="dxa"/>
            <w:tcBorders>
              <w:top w:val="nil"/>
              <w:left w:val="nil"/>
              <w:bottom w:val="single" w:sz="4" w:space="0" w:color="auto"/>
              <w:right w:val="single" w:sz="4" w:space="0" w:color="auto"/>
            </w:tcBorders>
            <w:shd w:val="clear" w:color="auto" w:fill="auto"/>
            <w:vAlign w:val="center"/>
            <w:hideMark/>
          </w:tcPr>
          <w:p w14:paraId="36E10C71"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Предоставлена компенсация расходов участников Государственной программы и членов их семей на прохождение медицинского освидетельствования</w:t>
            </w:r>
          </w:p>
        </w:tc>
        <w:tc>
          <w:tcPr>
            <w:tcW w:w="851" w:type="dxa"/>
            <w:tcBorders>
              <w:top w:val="nil"/>
              <w:left w:val="nil"/>
              <w:bottom w:val="single" w:sz="4" w:space="0" w:color="auto"/>
              <w:right w:val="single" w:sz="4" w:space="0" w:color="auto"/>
            </w:tcBorders>
            <w:shd w:val="clear" w:color="auto" w:fill="auto"/>
            <w:vAlign w:val="center"/>
            <w:hideMark/>
          </w:tcPr>
          <w:p w14:paraId="72A7214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чел.</w:t>
            </w:r>
          </w:p>
        </w:tc>
        <w:tc>
          <w:tcPr>
            <w:tcW w:w="1134" w:type="dxa"/>
            <w:tcBorders>
              <w:top w:val="nil"/>
              <w:left w:val="nil"/>
              <w:bottom w:val="single" w:sz="4" w:space="0" w:color="auto"/>
              <w:right w:val="single" w:sz="4" w:space="0" w:color="auto"/>
            </w:tcBorders>
            <w:shd w:val="clear" w:color="auto" w:fill="auto"/>
            <w:vAlign w:val="center"/>
            <w:hideMark/>
          </w:tcPr>
          <w:p w14:paraId="10B516B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w:t>
            </w:r>
          </w:p>
        </w:tc>
        <w:tc>
          <w:tcPr>
            <w:tcW w:w="1134" w:type="dxa"/>
            <w:tcBorders>
              <w:top w:val="nil"/>
              <w:left w:val="nil"/>
              <w:bottom w:val="single" w:sz="4" w:space="0" w:color="auto"/>
              <w:right w:val="single" w:sz="4" w:space="0" w:color="auto"/>
            </w:tcBorders>
            <w:shd w:val="clear" w:color="auto" w:fill="auto"/>
            <w:vAlign w:val="center"/>
            <w:hideMark/>
          </w:tcPr>
          <w:p w14:paraId="0E34FD4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w:t>
            </w:r>
          </w:p>
        </w:tc>
        <w:tc>
          <w:tcPr>
            <w:tcW w:w="709" w:type="dxa"/>
            <w:tcBorders>
              <w:top w:val="nil"/>
              <w:left w:val="nil"/>
              <w:bottom w:val="single" w:sz="4" w:space="0" w:color="auto"/>
              <w:right w:val="single" w:sz="4" w:space="0" w:color="auto"/>
            </w:tcBorders>
            <w:shd w:val="clear" w:color="auto" w:fill="auto"/>
            <w:vAlign w:val="center"/>
            <w:hideMark/>
          </w:tcPr>
          <w:p w14:paraId="21E5CA1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w:t>
            </w:r>
          </w:p>
        </w:tc>
        <w:tc>
          <w:tcPr>
            <w:tcW w:w="2976" w:type="dxa"/>
            <w:vMerge/>
            <w:tcBorders>
              <w:top w:val="nil"/>
              <w:left w:val="single" w:sz="4" w:space="0" w:color="auto"/>
              <w:bottom w:val="double" w:sz="6" w:space="0" w:color="000000"/>
              <w:right w:val="double" w:sz="6" w:space="0" w:color="auto"/>
            </w:tcBorders>
            <w:vAlign w:val="center"/>
            <w:hideMark/>
          </w:tcPr>
          <w:p w14:paraId="07859AE9"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r>
      <w:tr w:rsidR="00FD7B0B" w:rsidRPr="00FD7B0B" w14:paraId="064D0E40" w14:textId="77777777" w:rsidTr="00AE335C">
        <w:trPr>
          <w:trHeight w:val="717"/>
        </w:trPr>
        <w:tc>
          <w:tcPr>
            <w:tcW w:w="567" w:type="dxa"/>
            <w:tcBorders>
              <w:top w:val="nil"/>
              <w:left w:val="double" w:sz="6" w:space="0" w:color="auto"/>
              <w:bottom w:val="double" w:sz="6" w:space="0" w:color="auto"/>
              <w:right w:val="single" w:sz="4" w:space="0" w:color="auto"/>
            </w:tcBorders>
            <w:shd w:val="clear" w:color="auto" w:fill="auto"/>
            <w:vAlign w:val="center"/>
            <w:hideMark/>
          </w:tcPr>
          <w:p w14:paraId="7FF089D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w:t>
            </w:r>
          </w:p>
        </w:tc>
        <w:tc>
          <w:tcPr>
            <w:tcW w:w="2268" w:type="dxa"/>
            <w:tcBorders>
              <w:top w:val="nil"/>
              <w:left w:val="nil"/>
              <w:bottom w:val="double" w:sz="6" w:space="0" w:color="auto"/>
              <w:right w:val="single" w:sz="4" w:space="0" w:color="auto"/>
            </w:tcBorders>
            <w:shd w:val="clear" w:color="auto" w:fill="auto"/>
            <w:vAlign w:val="center"/>
            <w:hideMark/>
          </w:tcPr>
          <w:p w14:paraId="49E4A99D"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Предоставлена единовременная выплата на потребительские нужды</w:t>
            </w:r>
          </w:p>
        </w:tc>
        <w:tc>
          <w:tcPr>
            <w:tcW w:w="851" w:type="dxa"/>
            <w:tcBorders>
              <w:top w:val="nil"/>
              <w:left w:val="nil"/>
              <w:bottom w:val="double" w:sz="6" w:space="0" w:color="auto"/>
              <w:right w:val="single" w:sz="4" w:space="0" w:color="auto"/>
            </w:tcBorders>
            <w:shd w:val="clear" w:color="auto" w:fill="auto"/>
            <w:vAlign w:val="center"/>
            <w:hideMark/>
          </w:tcPr>
          <w:p w14:paraId="644BC1F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чел.</w:t>
            </w:r>
          </w:p>
        </w:tc>
        <w:tc>
          <w:tcPr>
            <w:tcW w:w="1134" w:type="dxa"/>
            <w:tcBorders>
              <w:top w:val="nil"/>
              <w:left w:val="nil"/>
              <w:bottom w:val="double" w:sz="6" w:space="0" w:color="auto"/>
              <w:right w:val="single" w:sz="4" w:space="0" w:color="auto"/>
            </w:tcBorders>
            <w:shd w:val="clear" w:color="auto" w:fill="auto"/>
            <w:vAlign w:val="center"/>
            <w:hideMark/>
          </w:tcPr>
          <w:p w14:paraId="495D7AC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40</w:t>
            </w:r>
          </w:p>
        </w:tc>
        <w:tc>
          <w:tcPr>
            <w:tcW w:w="1134" w:type="dxa"/>
            <w:tcBorders>
              <w:top w:val="nil"/>
              <w:left w:val="nil"/>
              <w:bottom w:val="double" w:sz="6" w:space="0" w:color="auto"/>
              <w:right w:val="single" w:sz="4" w:space="0" w:color="auto"/>
            </w:tcBorders>
            <w:shd w:val="clear" w:color="auto" w:fill="auto"/>
            <w:vAlign w:val="center"/>
            <w:hideMark/>
          </w:tcPr>
          <w:p w14:paraId="223BC77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w:t>
            </w:r>
          </w:p>
        </w:tc>
        <w:tc>
          <w:tcPr>
            <w:tcW w:w="709" w:type="dxa"/>
            <w:tcBorders>
              <w:top w:val="nil"/>
              <w:left w:val="nil"/>
              <w:bottom w:val="double" w:sz="6" w:space="0" w:color="auto"/>
              <w:right w:val="single" w:sz="4" w:space="0" w:color="auto"/>
            </w:tcBorders>
            <w:shd w:val="clear" w:color="auto" w:fill="auto"/>
            <w:vAlign w:val="center"/>
            <w:hideMark/>
          </w:tcPr>
          <w:p w14:paraId="6A5ECE6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w:t>
            </w:r>
          </w:p>
        </w:tc>
        <w:tc>
          <w:tcPr>
            <w:tcW w:w="2976" w:type="dxa"/>
            <w:vMerge/>
            <w:tcBorders>
              <w:top w:val="nil"/>
              <w:left w:val="single" w:sz="4" w:space="0" w:color="auto"/>
              <w:bottom w:val="double" w:sz="6" w:space="0" w:color="000000"/>
              <w:right w:val="double" w:sz="6" w:space="0" w:color="auto"/>
            </w:tcBorders>
            <w:vAlign w:val="center"/>
            <w:hideMark/>
          </w:tcPr>
          <w:p w14:paraId="52223B62"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p>
        </w:tc>
      </w:tr>
    </w:tbl>
    <w:p w14:paraId="55285316" w14:textId="77777777" w:rsidR="006266DC" w:rsidRPr="00FD7B0B" w:rsidRDefault="006266DC" w:rsidP="006266DC">
      <w:pPr>
        <w:spacing w:after="0" w:line="240" w:lineRule="auto"/>
        <w:ind w:firstLine="709"/>
        <w:jc w:val="both"/>
        <w:rPr>
          <w:rFonts w:ascii="Times New Roman" w:hAnsi="Times New Roman" w:cs="Times New Roman"/>
          <w:sz w:val="28"/>
          <w:szCs w:val="28"/>
        </w:rPr>
      </w:pPr>
    </w:p>
    <w:p w14:paraId="070868C9" w14:textId="6E4B7D90" w:rsidR="006266DC" w:rsidRPr="00FD7B0B" w:rsidRDefault="006266DC" w:rsidP="006266DC">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lastRenderedPageBreak/>
        <w:t xml:space="preserve">Плановые и фактические значения показателей ГП № 07 за ряд лет представлены в таблице </w:t>
      </w:r>
      <w:r w:rsidR="0059379C" w:rsidRPr="00FD7B0B">
        <w:rPr>
          <w:rFonts w:ascii="Times New Roman" w:hAnsi="Times New Roman" w:cs="Times New Roman"/>
          <w:sz w:val="28"/>
          <w:szCs w:val="28"/>
        </w:rPr>
        <w:t>145</w:t>
      </w:r>
      <w:r w:rsidRPr="00FD7B0B">
        <w:rPr>
          <w:rFonts w:ascii="Times New Roman" w:hAnsi="Times New Roman" w:cs="Times New Roman"/>
          <w:sz w:val="28"/>
          <w:szCs w:val="28"/>
        </w:rPr>
        <w:t>.</w:t>
      </w:r>
    </w:p>
    <w:p w14:paraId="68A888CF" w14:textId="77777777" w:rsidR="006266DC" w:rsidRPr="00FD7B0B" w:rsidRDefault="006266DC" w:rsidP="006266DC">
      <w:pPr>
        <w:spacing w:after="0" w:line="240" w:lineRule="auto"/>
        <w:ind w:firstLine="709"/>
        <w:jc w:val="both"/>
        <w:rPr>
          <w:rFonts w:ascii="Times New Roman" w:hAnsi="Times New Roman" w:cs="Times New Roman"/>
          <w:sz w:val="28"/>
          <w:szCs w:val="28"/>
        </w:rPr>
      </w:pPr>
    </w:p>
    <w:p w14:paraId="24956A55" w14:textId="57F88FC8" w:rsidR="006266DC" w:rsidRPr="00FD7B0B" w:rsidRDefault="006266DC" w:rsidP="006266DC">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145</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Динамика значений показателей ГП № 07 за 2020 </w:t>
      </w:r>
      <w:r w:rsidR="0059379C" w:rsidRPr="00FD7B0B">
        <w:rPr>
          <w:rFonts w:ascii="Times New Roman" w:hAnsi="Times New Roman"/>
          <w:b w:val="0"/>
          <w:sz w:val="24"/>
          <w:szCs w:val="24"/>
        </w:rPr>
        <w:t xml:space="preserve">– </w:t>
      </w:r>
      <w:r w:rsidRPr="00FD7B0B">
        <w:rPr>
          <w:rFonts w:ascii="Times New Roman" w:hAnsi="Times New Roman"/>
          <w:b w:val="0"/>
          <w:sz w:val="24"/>
          <w:szCs w:val="24"/>
        </w:rPr>
        <w:t>2024 годы</w:t>
      </w:r>
    </w:p>
    <w:p w14:paraId="131CFF65" w14:textId="77777777" w:rsidR="006266DC" w:rsidRPr="00FD7B0B" w:rsidRDefault="006266DC" w:rsidP="006266DC">
      <w:pPr>
        <w:spacing w:after="0" w:line="240" w:lineRule="auto"/>
        <w:rPr>
          <w:rFonts w:ascii="Times New Roman" w:hAnsi="Times New Roman" w:cs="Times New Roman"/>
          <w:sz w:val="24"/>
          <w:szCs w:val="24"/>
        </w:rPr>
      </w:pPr>
      <w:r w:rsidRPr="00FD7B0B">
        <w:rPr>
          <w:rFonts w:ascii="Times New Roman" w:eastAsia="Times New Roman" w:hAnsi="Times New Roman"/>
          <w:sz w:val="24"/>
          <w:szCs w:val="24"/>
          <w:lang w:eastAsia="ru-RU"/>
        </w:rPr>
        <w:t>Ответственный исполнитель:</w:t>
      </w:r>
      <w:r w:rsidRPr="00FD7B0B">
        <w:rPr>
          <w:sz w:val="24"/>
          <w:szCs w:val="24"/>
        </w:rPr>
        <w:t xml:space="preserve"> </w:t>
      </w:r>
      <w:r w:rsidRPr="00FD7B0B">
        <w:rPr>
          <w:rFonts w:ascii="Times New Roman" w:hAnsi="Times New Roman" w:cs="Times New Roman"/>
          <w:sz w:val="24"/>
          <w:szCs w:val="24"/>
        </w:rPr>
        <w:t>Минтрудсоцразвития АО</w:t>
      </w:r>
    </w:p>
    <w:tbl>
      <w:tblPr>
        <w:tblW w:w="9639" w:type="dxa"/>
        <w:tblInd w:w="-23" w:type="dxa"/>
        <w:tblLook w:val="04A0" w:firstRow="1" w:lastRow="0" w:firstColumn="1" w:lastColumn="0" w:noHBand="0" w:noVBand="1"/>
      </w:tblPr>
      <w:tblGrid>
        <w:gridCol w:w="4253"/>
        <w:gridCol w:w="1701"/>
        <w:gridCol w:w="1134"/>
        <w:gridCol w:w="2551"/>
      </w:tblGrid>
      <w:tr w:rsidR="00FD7B0B" w:rsidRPr="00FD7B0B" w14:paraId="5B7EA0F8" w14:textId="77777777" w:rsidTr="00C209BE">
        <w:trPr>
          <w:trHeight w:val="39"/>
        </w:trPr>
        <w:tc>
          <w:tcPr>
            <w:tcW w:w="4253"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A7E883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целевого показателя, единица измерения</w:t>
            </w:r>
          </w:p>
        </w:tc>
        <w:tc>
          <w:tcPr>
            <w:tcW w:w="1701" w:type="dxa"/>
            <w:tcBorders>
              <w:top w:val="double" w:sz="6" w:space="0" w:color="auto"/>
              <w:left w:val="nil"/>
              <w:bottom w:val="single" w:sz="4" w:space="0" w:color="auto"/>
              <w:right w:val="single" w:sz="4" w:space="0" w:color="auto"/>
            </w:tcBorders>
            <w:shd w:val="clear" w:color="auto" w:fill="auto"/>
            <w:vAlign w:val="center"/>
            <w:hideMark/>
          </w:tcPr>
          <w:p w14:paraId="433CFE4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15F492A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w:t>
            </w:r>
          </w:p>
        </w:tc>
        <w:tc>
          <w:tcPr>
            <w:tcW w:w="2551" w:type="dxa"/>
            <w:tcBorders>
              <w:top w:val="double" w:sz="6" w:space="0" w:color="auto"/>
              <w:left w:val="nil"/>
              <w:bottom w:val="single" w:sz="4" w:space="0" w:color="auto"/>
              <w:right w:val="double" w:sz="6" w:space="0" w:color="auto"/>
            </w:tcBorders>
            <w:shd w:val="clear" w:color="auto" w:fill="auto"/>
            <w:vAlign w:val="center"/>
            <w:hideMark/>
          </w:tcPr>
          <w:p w14:paraId="62AB2A3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Степень достижения показателя, %</w:t>
            </w:r>
          </w:p>
        </w:tc>
      </w:tr>
      <w:tr w:rsidR="00FD7B0B" w:rsidRPr="00FD7B0B" w14:paraId="1F41AC7E" w14:textId="77777777" w:rsidTr="00C209BE">
        <w:trPr>
          <w:trHeight w:hRule="exact" w:val="218"/>
        </w:trPr>
        <w:tc>
          <w:tcPr>
            <w:tcW w:w="9639"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23F23E0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Уровень безработицы (по методологии Международной организации труда), %</w:t>
            </w:r>
          </w:p>
        </w:tc>
      </w:tr>
      <w:tr w:rsidR="00FD7B0B" w:rsidRPr="00FD7B0B" w14:paraId="5B0AF056"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3583287A"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2020 год </w:t>
            </w:r>
          </w:p>
        </w:tc>
        <w:tc>
          <w:tcPr>
            <w:tcW w:w="1701" w:type="dxa"/>
            <w:tcBorders>
              <w:top w:val="nil"/>
              <w:left w:val="nil"/>
              <w:bottom w:val="single" w:sz="4" w:space="0" w:color="auto"/>
              <w:right w:val="single" w:sz="4" w:space="0" w:color="auto"/>
            </w:tcBorders>
            <w:shd w:val="clear" w:color="auto" w:fill="auto"/>
            <w:vAlign w:val="center"/>
            <w:hideMark/>
          </w:tcPr>
          <w:p w14:paraId="03B4ADD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6,9</w:t>
            </w:r>
          </w:p>
        </w:tc>
        <w:tc>
          <w:tcPr>
            <w:tcW w:w="1134" w:type="dxa"/>
            <w:tcBorders>
              <w:top w:val="nil"/>
              <w:left w:val="nil"/>
              <w:bottom w:val="single" w:sz="4" w:space="0" w:color="auto"/>
              <w:right w:val="single" w:sz="4" w:space="0" w:color="auto"/>
            </w:tcBorders>
            <w:shd w:val="clear" w:color="auto" w:fill="auto"/>
            <w:vAlign w:val="center"/>
            <w:hideMark/>
          </w:tcPr>
          <w:p w14:paraId="457D923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7,3</w:t>
            </w:r>
          </w:p>
        </w:tc>
        <w:tc>
          <w:tcPr>
            <w:tcW w:w="2551" w:type="dxa"/>
            <w:tcBorders>
              <w:top w:val="nil"/>
              <w:left w:val="nil"/>
              <w:bottom w:val="single" w:sz="4" w:space="0" w:color="auto"/>
              <w:right w:val="double" w:sz="6" w:space="0" w:color="auto"/>
            </w:tcBorders>
            <w:shd w:val="clear" w:color="auto" w:fill="auto"/>
            <w:vAlign w:val="center"/>
            <w:hideMark/>
          </w:tcPr>
          <w:p w14:paraId="7D5FB0B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94,5</w:t>
            </w:r>
          </w:p>
        </w:tc>
      </w:tr>
      <w:tr w:rsidR="00FD7B0B" w:rsidRPr="00FD7B0B" w14:paraId="01E633AD"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4DB2F253"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2021 год </w:t>
            </w:r>
          </w:p>
        </w:tc>
        <w:tc>
          <w:tcPr>
            <w:tcW w:w="1701" w:type="dxa"/>
            <w:tcBorders>
              <w:top w:val="nil"/>
              <w:left w:val="nil"/>
              <w:bottom w:val="single" w:sz="4" w:space="0" w:color="auto"/>
              <w:right w:val="single" w:sz="4" w:space="0" w:color="auto"/>
            </w:tcBorders>
            <w:shd w:val="clear" w:color="auto" w:fill="auto"/>
            <w:vAlign w:val="center"/>
            <w:hideMark/>
          </w:tcPr>
          <w:p w14:paraId="6507473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6,9</w:t>
            </w:r>
          </w:p>
        </w:tc>
        <w:tc>
          <w:tcPr>
            <w:tcW w:w="1134" w:type="dxa"/>
            <w:tcBorders>
              <w:top w:val="nil"/>
              <w:left w:val="nil"/>
              <w:bottom w:val="single" w:sz="4" w:space="0" w:color="auto"/>
              <w:right w:val="single" w:sz="4" w:space="0" w:color="auto"/>
            </w:tcBorders>
            <w:shd w:val="clear" w:color="auto" w:fill="auto"/>
            <w:vAlign w:val="center"/>
            <w:hideMark/>
          </w:tcPr>
          <w:p w14:paraId="634527B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w:t>
            </w:r>
          </w:p>
        </w:tc>
        <w:tc>
          <w:tcPr>
            <w:tcW w:w="2551" w:type="dxa"/>
            <w:tcBorders>
              <w:top w:val="nil"/>
              <w:left w:val="nil"/>
              <w:bottom w:val="single" w:sz="4" w:space="0" w:color="auto"/>
              <w:right w:val="double" w:sz="6" w:space="0" w:color="auto"/>
            </w:tcBorders>
            <w:shd w:val="clear" w:color="auto" w:fill="auto"/>
            <w:vAlign w:val="center"/>
            <w:hideMark/>
          </w:tcPr>
          <w:p w14:paraId="6F11333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104,5</w:t>
            </w:r>
          </w:p>
        </w:tc>
      </w:tr>
      <w:tr w:rsidR="00FD7B0B" w:rsidRPr="00FD7B0B" w14:paraId="0959B6E8"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775928F8"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2022 год</w:t>
            </w:r>
          </w:p>
        </w:tc>
        <w:tc>
          <w:tcPr>
            <w:tcW w:w="1701" w:type="dxa"/>
            <w:tcBorders>
              <w:top w:val="nil"/>
              <w:left w:val="nil"/>
              <w:bottom w:val="single" w:sz="4" w:space="0" w:color="auto"/>
              <w:right w:val="single" w:sz="4" w:space="0" w:color="auto"/>
            </w:tcBorders>
            <w:shd w:val="clear" w:color="auto" w:fill="auto"/>
            <w:vAlign w:val="center"/>
            <w:hideMark/>
          </w:tcPr>
          <w:p w14:paraId="3285A9F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5,7</w:t>
            </w:r>
          </w:p>
        </w:tc>
        <w:tc>
          <w:tcPr>
            <w:tcW w:w="1134" w:type="dxa"/>
            <w:tcBorders>
              <w:top w:val="nil"/>
              <w:left w:val="nil"/>
              <w:bottom w:val="single" w:sz="4" w:space="0" w:color="auto"/>
              <w:right w:val="single" w:sz="4" w:space="0" w:color="auto"/>
            </w:tcBorders>
            <w:shd w:val="clear" w:color="auto" w:fill="auto"/>
            <w:vAlign w:val="center"/>
            <w:hideMark/>
          </w:tcPr>
          <w:p w14:paraId="4CD6E4B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w:t>
            </w:r>
          </w:p>
        </w:tc>
        <w:tc>
          <w:tcPr>
            <w:tcW w:w="2551" w:type="dxa"/>
            <w:tcBorders>
              <w:top w:val="nil"/>
              <w:left w:val="nil"/>
              <w:bottom w:val="single" w:sz="4" w:space="0" w:color="auto"/>
              <w:right w:val="double" w:sz="6" w:space="0" w:color="auto"/>
            </w:tcBorders>
            <w:shd w:val="clear" w:color="auto" w:fill="auto"/>
            <w:vAlign w:val="center"/>
            <w:hideMark/>
          </w:tcPr>
          <w:p w14:paraId="6B1114D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103,6</w:t>
            </w:r>
          </w:p>
        </w:tc>
      </w:tr>
      <w:tr w:rsidR="00FD7B0B" w:rsidRPr="00FD7B0B" w14:paraId="78314658"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51CA8F50"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701" w:type="dxa"/>
            <w:tcBorders>
              <w:top w:val="nil"/>
              <w:left w:val="nil"/>
              <w:bottom w:val="single" w:sz="4" w:space="0" w:color="auto"/>
              <w:right w:val="single" w:sz="4" w:space="0" w:color="auto"/>
            </w:tcBorders>
            <w:shd w:val="clear" w:color="auto" w:fill="auto"/>
            <w:vAlign w:val="center"/>
            <w:hideMark/>
          </w:tcPr>
          <w:p w14:paraId="62E8D04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5,7</w:t>
            </w:r>
          </w:p>
        </w:tc>
        <w:tc>
          <w:tcPr>
            <w:tcW w:w="1134" w:type="dxa"/>
            <w:tcBorders>
              <w:top w:val="nil"/>
              <w:left w:val="nil"/>
              <w:bottom w:val="single" w:sz="4" w:space="0" w:color="auto"/>
              <w:right w:val="single" w:sz="4" w:space="0" w:color="auto"/>
            </w:tcBorders>
            <w:shd w:val="clear" w:color="auto" w:fill="auto"/>
            <w:vAlign w:val="center"/>
            <w:hideMark/>
          </w:tcPr>
          <w:p w14:paraId="188AC99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w:t>
            </w:r>
          </w:p>
        </w:tc>
        <w:tc>
          <w:tcPr>
            <w:tcW w:w="2551" w:type="dxa"/>
            <w:tcBorders>
              <w:top w:val="nil"/>
              <w:left w:val="nil"/>
              <w:bottom w:val="single" w:sz="4" w:space="0" w:color="auto"/>
              <w:right w:val="double" w:sz="6" w:space="0" w:color="auto"/>
            </w:tcBorders>
            <w:shd w:val="clear" w:color="auto" w:fill="auto"/>
            <w:vAlign w:val="center"/>
            <w:hideMark/>
          </w:tcPr>
          <w:p w14:paraId="1F64C6F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103,6</w:t>
            </w:r>
          </w:p>
        </w:tc>
      </w:tr>
      <w:tr w:rsidR="00FD7B0B" w:rsidRPr="00FD7B0B" w14:paraId="4DF3F384" w14:textId="77777777" w:rsidTr="00C209BE">
        <w:trPr>
          <w:trHeigh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156497A8"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701" w:type="dxa"/>
            <w:tcBorders>
              <w:top w:val="nil"/>
              <w:left w:val="nil"/>
              <w:bottom w:val="single" w:sz="4" w:space="0" w:color="auto"/>
              <w:right w:val="single" w:sz="4" w:space="0" w:color="auto"/>
            </w:tcBorders>
            <w:shd w:val="clear" w:color="auto" w:fill="auto"/>
            <w:vAlign w:val="center"/>
            <w:hideMark/>
          </w:tcPr>
          <w:p w14:paraId="4F1ABAE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F813CEF"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w:t>
            </w:r>
          </w:p>
        </w:tc>
        <w:tc>
          <w:tcPr>
            <w:tcW w:w="2551" w:type="dxa"/>
            <w:tcBorders>
              <w:top w:val="nil"/>
              <w:left w:val="nil"/>
              <w:bottom w:val="single" w:sz="4" w:space="0" w:color="auto"/>
              <w:right w:val="double" w:sz="6" w:space="0" w:color="auto"/>
            </w:tcBorders>
            <w:shd w:val="clear" w:color="auto" w:fill="auto"/>
            <w:vAlign w:val="center"/>
            <w:hideMark/>
          </w:tcPr>
          <w:p w14:paraId="2C0B70D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215,4</w:t>
            </w:r>
          </w:p>
        </w:tc>
      </w:tr>
      <w:tr w:rsidR="00FD7B0B" w:rsidRPr="00FD7B0B" w14:paraId="6BF8ED1A" w14:textId="77777777" w:rsidTr="00C209BE">
        <w:trPr>
          <w:trHeight w:val="150"/>
        </w:trPr>
        <w:tc>
          <w:tcPr>
            <w:tcW w:w="9639"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22D1F6E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 Удельный вес работников, занятых во вредных и (или) опасных условиях труда, от общей численности работников, %</w:t>
            </w:r>
          </w:p>
        </w:tc>
      </w:tr>
      <w:tr w:rsidR="00FD7B0B" w:rsidRPr="00FD7B0B" w14:paraId="3B782150"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47ACF6B5"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2020 год </w:t>
            </w:r>
          </w:p>
        </w:tc>
        <w:tc>
          <w:tcPr>
            <w:tcW w:w="1701" w:type="dxa"/>
            <w:tcBorders>
              <w:top w:val="nil"/>
              <w:left w:val="nil"/>
              <w:bottom w:val="single" w:sz="4" w:space="0" w:color="auto"/>
              <w:right w:val="single" w:sz="4" w:space="0" w:color="auto"/>
            </w:tcBorders>
            <w:shd w:val="clear" w:color="auto" w:fill="auto"/>
            <w:vAlign w:val="center"/>
            <w:hideMark/>
          </w:tcPr>
          <w:p w14:paraId="518145C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25,8</w:t>
            </w:r>
          </w:p>
        </w:tc>
        <w:tc>
          <w:tcPr>
            <w:tcW w:w="1134" w:type="dxa"/>
            <w:tcBorders>
              <w:top w:val="nil"/>
              <w:left w:val="nil"/>
              <w:bottom w:val="single" w:sz="4" w:space="0" w:color="auto"/>
              <w:right w:val="single" w:sz="4" w:space="0" w:color="auto"/>
            </w:tcBorders>
            <w:shd w:val="clear" w:color="auto" w:fill="auto"/>
            <w:vAlign w:val="center"/>
            <w:hideMark/>
          </w:tcPr>
          <w:p w14:paraId="675E12A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32,5</w:t>
            </w:r>
          </w:p>
        </w:tc>
        <w:tc>
          <w:tcPr>
            <w:tcW w:w="2551" w:type="dxa"/>
            <w:tcBorders>
              <w:top w:val="nil"/>
              <w:left w:val="nil"/>
              <w:bottom w:val="single" w:sz="4" w:space="0" w:color="auto"/>
              <w:right w:val="double" w:sz="6" w:space="0" w:color="auto"/>
            </w:tcBorders>
            <w:shd w:val="clear" w:color="auto" w:fill="auto"/>
            <w:vAlign w:val="center"/>
            <w:hideMark/>
          </w:tcPr>
          <w:p w14:paraId="1EFF193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79,4</w:t>
            </w:r>
          </w:p>
        </w:tc>
      </w:tr>
      <w:tr w:rsidR="00FD7B0B" w:rsidRPr="00FD7B0B" w14:paraId="07C5774A"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0AA2BFF9"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2021 год</w:t>
            </w:r>
          </w:p>
        </w:tc>
        <w:tc>
          <w:tcPr>
            <w:tcW w:w="1701" w:type="dxa"/>
            <w:tcBorders>
              <w:top w:val="nil"/>
              <w:left w:val="nil"/>
              <w:bottom w:val="single" w:sz="4" w:space="0" w:color="auto"/>
              <w:right w:val="single" w:sz="4" w:space="0" w:color="auto"/>
            </w:tcBorders>
            <w:shd w:val="clear" w:color="auto" w:fill="auto"/>
            <w:vAlign w:val="center"/>
            <w:hideMark/>
          </w:tcPr>
          <w:p w14:paraId="20AB78F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w:t>
            </w:r>
          </w:p>
        </w:tc>
        <w:tc>
          <w:tcPr>
            <w:tcW w:w="1134" w:type="dxa"/>
            <w:tcBorders>
              <w:top w:val="nil"/>
              <w:left w:val="nil"/>
              <w:bottom w:val="single" w:sz="4" w:space="0" w:color="auto"/>
              <w:right w:val="single" w:sz="4" w:space="0" w:color="auto"/>
            </w:tcBorders>
            <w:shd w:val="clear" w:color="auto" w:fill="auto"/>
            <w:vAlign w:val="center"/>
            <w:hideMark/>
          </w:tcPr>
          <w:p w14:paraId="6D4D715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30,3</w:t>
            </w:r>
          </w:p>
        </w:tc>
        <w:tc>
          <w:tcPr>
            <w:tcW w:w="2551" w:type="dxa"/>
            <w:tcBorders>
              <w:top w:val="nil"/>
              <w:left w:val="nil"/>
              <w:bottom w:val="single" w:sz="4" w:space="0" w:color="auto"/>
              <w:right w:val="double" w:sz="6" w:space="0" w:color="auto"/>
            </w:tcBorders>
            <w:shd w:val="clear" w:color="auto" w:fill="auto"/>
            <w:vAlign w:val="center"/>
            <w:hideMark/>
          </w:tcPr>
          <w:p w14:paraId="4F01812D"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105,6</w:t>
            </w:r>
          </w:p>
        </w:tc>
      </w:tr>
      <w:tr w:rsidR="00FD7B0B" w:rsidRPr="00FD7B0B" w14:paraId="530803E6"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3D7E007D"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2022 год </w:t>
            </w:r>
          </w:p>
        </w:tc>
        <w:tc>
          <w:tcPr>
            <w:tcW w:w="1701" w:type="dxa"/>
            <w:tcBorders>
              <w:top w:val="nil"/>
              <w:left w:val="nil"/>
              <w:bottom w:val="single" w:sz="4" w:space="0" w:color="auto"/>
              <w:right w:val="single" w:sz="4" w:space="0" w:color="auto"/>
            </w:tcBorders>
            <w:shd w:val="clear" w:color="auto" w:fill="auto"/>
            <w:vAlign w:val="center"/>
            <w:hideMark/>
          </w:tcPr>
          <w:p w14:paraId="25E5948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31,5</w:t>
            </w:r>
          </w:p>
        </w:tc>
        <w:tc>
          <w:tcPr>
            <w:tcW w:w="1134" w:type="dxa"/>
            <w:tcBorders>
              <w:top w:val="nil"/>
              <w:left w:val="nil"/>
              <w:bottom w:val="single" w:sz="4" w:space="0" w:color="auto"/>
              <w:right w:val="single" w:sz="4" w:space="0" w:color="auto"/>
            </w:tcBorders>
            <w:shd w:val="clear" w:color="000000" w:fill="FFFFFF"/>
            <w:vAlign w:val="center"/>
            <w:hideMark/>
          </w:tcPr>
          <w:p w14:paraId="737ECB36"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28,7</w:t>
            </w:r>
          </w:p>
        </w:tc>
        <w:tc>
          <w:tcPr>
            <w:tcW w:w="2551" w:type="dxa"/>
            <w:tcBorders>
              <w:top w:val="nil"/>
              <w:left w:val="nil"/>
              <w:bottom w:val="single" w:sz="4" w:space="0" w:color="auto"/>
              <w:right w:val="double" w:sz="6" w:space="0" w:color="auto"/>
            </w:tcBorders>
            <w:shd w:val="clear" w:color="auto" w:fill="auto"/>
            <w:vAlign w:val="center"/>
            <w:hideMark/>
          </w:tcPr>
          <w:p w14:paraId="6246D937"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109,8</w:t>
            </w:r>
          </w:p>
        </w:tc>
      </w:tr>
      <w:tr w:rsidR="00FD7B0B" w:rsidRPr="00FD7B0B" w14:paraId="5FA7547E"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758A5E20"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701" w:type="dxa"/>
            <w:tcBorders>
              <w:top w:val="nil"/>
              <w:left w:val="nil"/>
              <w:bottom w:val="single" w:sz="4" w:space="0" w:color="auto"/>
              <w:right w:val="single" w:sz="4" w:space="0" w:color="auto"/>
            </w:tcBorders>
            <w:shd w:val="clear" w:color="auto" w:fill="auto"/>
            <w:vAlign w:val="center"/>
            <w:hideMark/>
          </w:tcPr>
          <w:p w14:paraId="5849EE14"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w:t>
            </w:r>
          </w:p>
        </w:tc>
        <w:tc>
          <w:tcPr>
            <w:tcW w:w="1134" w:type="dxa"/>
            <w:tcBorders>
              <w:top w:val="nil"/>
              <w:left w:val="nil"/>
              <w:bottom w:val="single" w:sz="4" w:space="0" w:color="auto"/>
              <w:right w:val="single" w:sz="4" w:space="0" w:color="auto"/>
            </w:tcBorders>
            <w:shd w:val="clear" w:color="auto" w:fill="auto"/>
            <w:vAlign w:val="center"/>
            <w:hideMark/>
          </w:tcPr>
          <w:p w14:paraId="273F6A3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w:t>
            </w:r>
          </w:p>
        </w:tc>
        <w:tc>
          <w:tcPr>
            <w:tcW w:w="2551" w:type="dxa"/>
            <w:tcBorders>
              <w:top w:val="nil"/>
              <w:left w:val="nil"/>
              <w:bottom w:val="single" w:sz="4" w:space="0" w:color="auto"/>
              <w:right w:val="double" w:sz="6" w:space="0" w:color="auto"/>
            </w:tcBorders>
            <w:shd w:val="clear" w:color="auto" w:fill="auto"/>
            <w:vAlign w:val="center"/>
            <w:hideMark/>
          </w:tcPr>
          <w:p w14:paraId="46DB21A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106,9</w:t>
            </w:r>
          </w:p>
        </w:tc>
      </w:tr>
      <w:tr w:rsidR="00FD7B0B" w:rsidRPr="00FD7B0B" w14:paraId="203585C9" w14:textId="77777777" w:rsidTr="00C209BE">
        <w:trPr>
          <w:trHeigh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31614888"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701" w:type="dxa"/>
            <w:tcBorders>
              <w:top w:val="nil"/>
              <w:left w:val="nil"/>
              <w:bottom w:val="single" w:sz="4" w:space="0" w:color="auto"/>
              <w:right w:val="single" w:sz="4" w:space="0" w:color="auto"/>
            </w:tcBorders>
            <w:shd w:val="clear" w:color="auto" w:fill="auto"/>
            <w:vAlign w:val="center"/>
            <w:hideMark/>
          </w:tcPr>
          <w:p w14:paraId="7C284C50"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30,5</w:t>
            </w:r>
          </w:p>
        </w:tc>
        <w:tc>
          <w:tcPr>
            <w:tcW w:w="1134" w:type="dxa"/>
            <w:tcBorders>
              <w:top w:val="nil"/>
              <w:left w:val="nil"/>
              <w:bottom w:val="single" w:sz="4" w:space="0" w:color="auto"/>
              <w:right w:val="single" w:sz="4" w:space="0" w:color="auto"/>
            </w:tcBorders>
            <w:shd w:val="clear" w:color="auto" w:fill="auto"/>
            <w:vAlign w:val="center"/>
            <w:hideMark/>
          </w:tcPr>
          <w:p w14:paraId="3104A122"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26,8</w:t>
            </w:r>
          </w:p>
        </w:tc>
        <w:tc>
          <w:tcPr>
            <w:tcW w:w="2551" w:type="dxa"/>
            <w:tcBorders>
              <w:top w:val="nil"/>
              <w:left w:val="nil"/>
              <w:bottom w:val="single" w:sz="4" w:space="0" w:color="auto"/>
              <w:right w:val="double" w:sz="6" w:space="0" w:color="auto"/>
            </w:tcBorders>
            <w:shd w:val="clear" w:color="auto" w:fill="auto"/>
            <w:vAlign w:val="center"/>
            <w:hideMark/>
          </w:tcPr>
          <w:p w14:paraId="19A669C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113,8</w:t>
            </w:r>
          </w:p>
        </w:tc>
      </w:tr>
      <w:tr w:rsidR="00FD7B0B" w:rsidRPr="00FD7B0B" w14:paraId="613820F5" w14:textId="77777777" w:rsidTr="00C209BE">
        <w:trPr>
          <w:trHeight w:val="161"/>
        </w:trPr>
        <w:tc>
          <w:tcPr>
            <w:tcW w:w="9639"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405A3F38"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 Численность участников Государственной программы Российской Федерации и членов их семей, переселившихся в Архангельскую область, чел.</w:t>
            </w:r>
          </w:p>
        </w:tc>
      </w:tr>
      <w:tr w:rsidR="00FD7B0B" w:rsidRPr="00FD7B0B" w14:paraId="3A7348AB"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41553A22"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2020 год </w:t>
            </w:r>
          </w:p>
        </w:tc>
        <w:tc>
          <w:tcPr>
            <w:tcW w:w="1701" w:type="dxa"/>
            <w:tcBorders>
              <w:top w:val="nil"/>
              <w:left w:val="nil"/>
              <w:bottom w:val="single" w:sz="4" w:space="0" w:color="auto"/>
              <w:right w:val="single" w:sz="4" w:space="0" w:color="auto"/>
            </w:tcBorders>
            <w:shd w:val="clear" w:color="auto" w:fill="auto"/>
            <w:vAlign w:val="center"/>
            <w:hideMark/>
          </w:tcPr>
          <w:p w14:paraId="7DA4101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300</w:t>
            </w:r>
          </w:p>
        </w:tc>
        <w:tc>
          <w:tcPr>
            <w:tcW w:w="1134" w:type="dxa"/>
            <w:tcBorders>
              <w:top w:val="nil"/>
              <w:left w:val="nil"/>
              <w:bottom w:val="single" w:sz="4" w:space="0" w:color="auto"/>
              <w:right w:val="single" w:sz="4" w:space="0" w:color="auto"/>
            </w:tcBorders>
            <w:shd w:val="clear" w:color="auto" w:fill="auto"/>
            <w:vAlign w:val="center"/>
            <w:hideMark/>
          </w:tcPr>
          <w:p w14:paraId="1A0AA8E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433</w:t>
            </w:r>
          </w:p>
        </w:tc>
        <w:tc>
          <w:tcPr>
            <w:tcW w:w="2551" w:type="dxa"/>
            <w:tcBorders>
              <w:top w:val="nil"/>
              <w:left w:val="nil"/>
              <w:bottom w:val="single" w:sz="4" w:space="0" w:color="auto"/>
              <w:right w:val="double" w:sz="6" w:space="0" w:color="auto"/>
            </w:tcBorders>
            <w:shd w:val="clear" w:color="auto" w:fill="auto"/>
            <w:vAlign w:val="center"/>
            <w:hideMark/>
          </w:tcPr>
          <w:p w14:paraId="25FEC90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144,3</w:t>
            </w:r>
          </w:p>
        </w:tc>
      </w:tr>
      <w:tr w:rsidR="00FD7B0B" w:rsidRPr="00FD7B0B" w14:paraId="33180D08"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73B79F43"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2021 год</w:t>
            </w:r>
          </w:p>
        </w:tc>
        <w:tc>
          <w:tcPr>
            <w:tcW w:w="1701" w:type="dxa"/>
            <w:tcBorders>
              <w:top w:val="nil"/>
              <w:left w:val="nil"/>
              <w:bottom w:val="single" w:sz="4" w:space="0" w:color="auto"/>
              <w:right w:val="single" w:sz="4" w:space="0" w:color="auto"/>
            </w:tcBorders>
            <w:shd w:val="clear" w:color="auto" w:fill="auto"/>
            <w:vAlign w:val="center"/>
            <w:hideMark/>
          </w:tcPr>
          <w:p w14:paraId="6665B0B1"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6638711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284</w:t>
            </w:r>
          </w:p>
        </w:tc>
        <w:tc>
          <w:tcPr>
            <w:tcW w:w="2551" w:type="dxa"/>
            <w:tcBorders>
              <w:top w:val="nil"/>
              <w:left w:val="nil"/>
              <w:bottom w:val="single" w:sz="4" w:space="0" w:color="auto"/>
              <w:right w:val="double" w:sz="6" w:space="0" w:color="auto"/>
            </w:tcBorders>
            <w:shd w:val="clear" w:color="auto" w:fill="auto"/>
            <w:vAlign w:val="center"/>
            <w:hideMark/>
          </w:tcPr>
          <w:p w14:paraId="1E580DD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284</w:t>
            </w:r>
          </w:p>
        </w:tc>
      </w:tr>
      <w:tr w:rsidR="00FD7B0B" w:rsidRPr="00FD7B0B" w14:paraId="763B1285"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3CB8C585"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2022 год </w:t>
            </w:r>
          </w:p>
        </w:tc>
        <w:tc>
          <w:tcPr>
            <w:tcW w:w="1701" w:type="dxa"/>
            <w:tcBorders>
              <w:top w:val="nil"/>
              <w:left w:val="nil"/>
              <w:bottom w:val="single" w:sz="4" w:space="0" w:color="auto"/>
              <w:right w:val="single" w:sz="4" w:space="0" w:color="auto"/>
            </w:tcBorders>
            <w:shd w:val="clear" w:color="auto" w:fill="auto"/>
            <w:vAlign w:val="center"/>
            <w:hideMark/>
          </w:tcPr>
          <w:p w14:paraId="177E627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w:t>
            </w:r>
          </w:p>
        </w:tc>
        <w:tc>
          <w:tcPr>
            <w:tcW w:w="1134" w:type="dxa"/>
            <w:tcBorders>
              <w:top w:val="nil"/>
              <w:left w:val="nil"/>
              <w:bottom w:val="single" w:sz="4" w:space="0" w:color="auto"/>
              <w:right w:val="single" w:sz="4" w:space="0" w:color="auto"/>
            </w:tcBorders>
            <w:shd w:val="clear" w:color="000000" w:fill="FFFFFF"/>
            <w:vAlign w:val="center"/>
            <w:hideMark/>
          </w:tcPr>
          <w:p w14:paraId="6693952A"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56</w:t>
            </w:r>
          </w:p>
        </w:tc>
        <w:tc>
          <w:tcPr>
            <w:tcW w:w="2551" w:type="dxa"/>
            <w:tcBorders>
              <w:top w:val="nil"/>
              <w:left w:val="nil"/>
              <w:bottom w:val="single" w:sz="4" w:space="0" w:color="auto"/>
              <w:right w:val="double" w:sz="6" w:space="0" w:color="auto"/>
            </w:tcBorders>
            <w:shd w:val="clear" w:color="auto" w:fill="auto"/>
            <w:vAlign w:val="center"/>
            <w:hideMark/>
          </w:tcPr>
          <w:p w14:paraId="46CE5FB9"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112</w:t>
            </w:r>
          </w:p>
        </w:tc>
      </w:tr>
      <w:tr w:rsidR="00FD7B0B" w:rsidRPr="00FD7B0B" w14:paraId="76EE35C9" w14:textId="77777777" w:rsidTr="00C209BE">
        <w:trPr>
          <w:trHeight w:hRule="exact" w:val="255"/>
        </w:trPr>
        <w:tc>
          <w:tcPr>
            <w:tcW w:w="4253" w:type="dxa"/>
            <w:tcBorders>
              <w:top w:val="nil"/>
              <w:left w:val="double" w:sz="6" w:space="0" w:color="auto"/>
              <w:bottom w:val="single" w:sz="4" w:space="0" w:color="auto"/>
              <w:right w:val="single" w:sz="4" w:space="0" w:color="auto"/>
            </w:tcBorders>
            <w:shd w:val="clear" w:color="auto" w:fill="auto"/>
            <w:vAlign w:val="center"/>
            <w:hideMark/>
          </w:tcPr>
          <w:p w14:paraId="5342821C"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701" w:type="dxa"/>
            <w:tcBorders>
              <w:top w:val="nil"/>
              <w:left w:val="nil"/>
              <w:bottom w:val="single" w:sz="4" w:space="0" w:color="auto"/>
              <w:right w:val="single" w:sz="4" w:space="0" w:color="auto"/>
            </w:tcBorders>
            <w:shd w:val="clear" w:color="auto" w:fill="auto"/>
            <w:vAlign w:val="center"/>
            <w:hideMark/>
          </w:tcPr>
          <w:p w14:paraId="39864783"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w:t>
            </w:r>
          </w:p>
        </w:tc>
        <w:tc>
          <w:tcPr>
            <w:tcW w:w="1134" w:type="dxa"/>
            <w:tcBorders>
              <w:top w:val="nil"/>
              <w:left w:val="nil"/>
              <w:bottom w:val="single" w:sz="4" w:space="0" w:color="auto"/>
              <w:right w:val="single" w:sz="4" w:space="0" w:color="auto"/>
            </w:tcBorders>
            <w:shd w:val="clear" w:color="auto" w:fill="auto"/>
            <w:vAlign w:val="center"/>
            <w:hideMark/>
          </w:tcPr>
          <w:p w14:paraId="6F72302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w:t>
            </w:r>
          </w:p>
        </w:tc>
        <w:tc>
          <w:tcPr>
            <w:tcW w:w="2551" w:type="dxa"/>
            <w:tcBorders>
              <w:top w:val="nil"/>
              <w:left w:val="nil"/>
              <w:bottom w:val="single" w:sz="4" w:space="0" w:color="auto"/>
              <w:right w:val="double" w:sz="6" w:space="0" w:color="auto"/>
            </w:tcBorders>
            <w:shd w:val="clear" w:color="auto" w:fill="auto"/>
            <w:vAlign w:val="center"/>
            <w:hideMark/>
          </w:tcPr>
          <w:p w14:paraId="0AAF020C"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88,9</w:t>
            </w:r>
          </w:p>
        </w:tc>
      </w:tr>
      <w:tr w:rsidR="00FD7B0B" w:rsidRPr="00FD7B0B" w14:paraId="4A428B2C" w14:textId="77777777" w:rsidTr="00C209BE">
        <w:trPr>
          <w:trHeight w:val="78"/>
        </w:trPr>
        <w:tc>
          <w:tcPr>
            <w:tcW w:w="4253" w:type="dxa"/>
            <w:tcBorders>
              <w:top w:val="nil"/>
              <w:left w:val="double" w:sz="6" w:space="0" w:color="auto"/>
              <w:bottom w:val="double" w:sz="6" w:space="0" w:color="auto"/>
              <w:right w:val="single" w:sz="4" w:space="0" w:color="auto"/>
            </w:tcBorders>
            <w:shd w:val="clear" w:color="auto" w:fill="auto"/>
            <w:vAlign w:val="center"/>
            <w:hideMark/>
          </w:tcPr>
          <w:p w14:paraId="2B925F66" w14:textId="77777777" w:rsidR="006266DC" w:rsidRPr="00FD7B0B" w:rsidRDefault="006266DC" w:rsidP="009B056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701" w:type="dxa"/>
            <w:tcBorders>
              <w:top w:val="nil"/>
              <w:left w:val="nil"/>
              <w:bottom w:val="double" w:sz="6" w:space="0" w:color="auto"/>
              <w:right w:val="single" w:sz="4" w:space="0" w:color="auto"/>
            </w:tcBorders>
            <w:shd w:val="clear" w:color="auto" w:fill="auto"/>
            <w:vAlign w:val="center"/>
            <w:hideMark/>
          </w:tcPr>
          <w:p w14:paraId="29629DCE"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w:t>
            </w:r>
          </w:p>
        </w:tc>
        <w:tc>
          <w:tcPr>
            <w:tcW w:w="1134" w:type="dxa"/>
            <w:tcBorders>
              <w:top w:val="nil"/>
              <w:left w:val="nil"/>
              <w:bottom w:val="double" w:sz="6" w:space="0" w:color="auto"/>
              <w:right w:val="single" w:sz="4" w:space="0" w:color="auto"/>
            </w:tcBorders>
            <w:shd w:val="clear" w:color="auto" w:fill="auto"/>
            <w:vAlign w:val="center"/>
            <w:hideMark/>
          </w:tcPr>
          <w:p w14:paraId="474CA1D5"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w:t>
            </w:r>
          </w:p>
        </w:tc>
        <w:tc>
          <w:tcPr>
            <w:tcW w:w="2551" w:type="dxa"/>
            <w:tcBorders>
              <w:top w:val="nil"/>
              <w:left w:val="nil"/>
              <w:bottom w:val="double" w:sz="6" w:space="0" w:color="auto"/>
              <w:right w:val="double" w:sz="6" w:space="0" w:color="auto"/>
            </w:tcBorders>
            <w:shd w:val="clear" w:color="auto" w:fill="auto"/>
            <w:vAlign w:val="center"/>
            <w:hideMark/>
          </w:tcPr>
          <w:p w14:paraId="61E9327B" w14:textId="77777777" w:rsidR="006266DC" w:rsidRPr="00FD7B0B" w:rsidRDefault="006266DC" w:rsidP="009B056F">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r>
    </w:tbl>
    <w:p w14:paraId="75E205CD" w14:textId="77777777" w:rsidR="006266DC" w:rsidRPr="00FD7B0B" w:rsidRDefault="006266DC" w:rsidP="006266DC">
      <w:pPr>
        <w:spacing w:after="0" w:line="240" w:lineRule="auto"/>
        <w:rPr>
          <w:rFonts w:ascii="Times New Roman" w:hAnsi="Times New Roman" w:cs="Times New Roman"/>
          <w:sz w:val="24"/>
          <w:szCs w:val="24"/>
        </w:rPr>
      </w:pPr>
    </w:p>
    <w:p w14:paraId="7B057C1C" w14:textId="455020A6" w:rsidR="006266DC" w:rsidRPr="00FD7B0B" w:rsidRDefault="006266DC"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Информация о количестве граждан, состоящих на учете в центре занятости населения, в том числе получающих пособие по безработице, а также снятых с учета в связи с трудоустройством с января по декабрь 2024 </w:t>
      </w:r>
      <w:r w:rsidR="00C209BE" w:rsidRPr="00FD7B0B">
        <w:rPr>
          <w:rFonts w:ascii="Times New Roman" w:eastAsia="Times New Roman" w:hAnsi="Times New Roman"/>
          <w:sz w:val="28"/>
          <w:szCs w:val="28"/>
          <w:lang w:eastAsia="ru-RU"/>
        </w:rPr>
        <w:t xml:space="preserve">года представлена на рисунке </w:t>
      </w:r>
      <w:r w:rsidR="0059379C" w:rsidRPr="00FD7B0B">
        <w:rPr>
          <w:rFonts w:ascii="Times New Roman" w:eastAsia="Times New Roman" w:hAnsi="Times New Roman"/>
          <w:sz w:val="28"/>
          <w:szCs w:val="28"/>
          <w:lang w:eastAsia="ru-RU"/>
        </w:rPr>
        <w:t>17</w:t>
      </w:r>
      <w:r w:rsidRPr="00FD7B0B">
        <w:rPr>
          <w:rFonts w:ascii="Times New Roman" w:eastAsia="Times New Roman" w:hAnsi="Times New Roman"/>
          <w:sz w:val="28"/>
          <w:szCs w:val="28"/>
          <w:lang w:eastAsia="ru-RU"/>
        </w:rPr>
        <w:t>.</w:t>
      </w:r>
    </w:p>
    <w:p w14:paraId="20D299EC" w14:textId="3B376A71" w:rsidR="00C209BE" w:rsidRPr="00FD7B0B" w:rsidRDefault="00C209BE" w:rsidP="00C209BE">
      <w:pPr>
        <w:autoSpaceDE w:val="0"/>
        <w:autoSpaceDN w:val="0"/>
        <w:adjustRightInd w:val="0"/>
        <w:spacing w:after="0" w:line="240" w:lineRule="auto"/>
        <w:jc w:val="both"/>
        <w:rPr>
          <w:rFonts w:ascii="Times New Roman" w:eastAsia="Times New Roman" w:hAnsi="Times New Roman"/>
          <w:sz w:val="28"/>
          <w:szCs w:val="28"/>
          <w:lang w:eastAsia="ru-RU"/>
        </w:rPr>
      </w:pPr>
      <w:r w:rsidRPr="00FD7B0B">
        <w:rPr>
          <w:rFonts w:ascii="Times New Roman" w:eastAsia="Times New Roman" w:hAnsi="Times New Roman"/>
          <w:noProof/>
          <w:sz w:val="28"/>
          <w:szCs w:val="28"/>
          <w:lang w:eastAsia="ru-RU"/>
        </w:rPr>
        <w:drawing>
          <wp:inline distT="0" distB="0" distL="0" distR="0" wp14:anchorId="22C13800" wp14:editId="53108126">
            <wp:extent cx="5944235" cy="2737485"/>
            <wp:effectExtent l="0" t="0" r="0" b="571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4235" cy="2737485"/>
                    </a:xfrm>
                    <a:prstGeom prst="rect">
                      <a:avLst/>
                    </a:prstGeom>
                    <a:noFill/>
                  </pic:spPr>
                </pic:pic>
              </a:graphicData>
            </a:graphic>
          </wp:inline>
        </w:drawing>
      </w:r>
    </w:p>
    <w:p w14:paraId="25224050" w14:textId="77777777" w:rsidR="006266DC" w:rsidRPr="00FD7B0B" w:rsidRDefault="006266DC" w:rsidP="006266DC">
      <w:pPr>
        <w:pStyle w:val="aff0"/>
        <w:spacing w:after="0" w:line="240" w:lineRule="auto"/>
        <w:rPr>
          <w:rFonts w:ascii="Times New Roman" w:hAnsi="Times New Roman"/>
          <w:b w:val="0"/>
          <w:sz w:val="24"/>
          <w:szCs w:val="24"/>
          <w:lang w:eastAsia="ru-RU" w:bidi="ru-RU"/>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17</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Pr="00FD7B0B">
        <w:rPr>
          <w:rFonts w:ascii="Times New Roman" w:eastAsia="Times New Roman" w:hAnsi="Times New Roman"/>
          <w:b w:val="0"/>
          <w:sz w:val="24"/>
          <w:szCs w:val="24"/>
          <w:lang w:eastAsia="ru-RU"/>
        </w:rPr>
        <w:t>Количество граждан, состоящих на учете в центре занятости населения, в том числе получающих пособие по безработице, а также снятых с учета в связи с трудоустройством с января по декабрь 2024 г.</w:t>
      </w:r>
      <w:r w:rsidRPr="00FD7B0B">
        <w:rPr>
          <w:rFonts w:ascii="Times New Roman" w:hAnsi="Times New Roman"/>
          <w:b w:val="0"/>
          <w:sz w:val="24"/>
          <w:szCs w:val="24"/>
          <w:lang w:eastAsia="ru-RU" w:bidi="ru-RU"/>
        </w:rPr>
        <w:t>, чел.</w:t>
      </w:r>
    </w:p>
    <w:p w14:paraId="2E0A12EF" w14:textId="77777777" w:rsidR="006266DC" w:rsidRPr="00FD7B0B" w:rsidRDefault="006266DC"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С января по декабрь 2024 года количество граждан, состоящих на учете в центре занятости населения Архангельской области, снизилось на 0,8 тыс.чел. с 4,8 тыс.чел. до 4,0 тыс.чел. к концу 2024 года.</w:t>
      </w:r>
    </w:p>
    <w:p w14:paraId="336E270A" w14:textId="2FA2BFA3" w:rsidR="006266DC" w:rsidRPr="00FD7B0B" w:rsidRDefault="006266DC"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Отмечается снижение уровня безработицы в Архангельской области за период с 01.01.2024 по 31.12.2024 (по методологии МОТ). Информация приведена на рисунке </w:t>
      </w:r>
      <w:r w:rsidR="0059379C" w:rsidRPr="00FD7B0B">
        <w:rPr>
          <w:rFonts w:ascii="Times New Roman" w:eastAsia="Times New Roman" w:hAnsi="Times New Roman"/>
          <w:sz w:val="28"/>
          <w:szCs w:val="28"/>
          <w:lang w:eastAsia="ru-RU"/>
        </w:rPr>
        <w:t>18</w:t>
      </w:r>
      <w:r w:rsidRPr="00FD7B0B">
        <w:rPr>
          <w:rFonts w:ascii="Times New Roman" w:eastAsia="Times New Roman" w:hAnsi="Times New Roman"/>
          <w:sz w:val="28"/>
          <w:szCs w:val="28"/>
          <w:lang w:eastAsia="ru-RU"/>
        </w:rPr>
        <w:t>.</w:t>
      </w:r>
    </w:p>
    <w:p w14:paraId="23DC8B5E" w14:textId="77777777" w:rsidR="006266DC" w:rsidRPr="00FD7B0B" w:rsidRDefault="006266DC" w:rsidP="006266DC">
      <w:pPr>
        <w:pStyle w:val="aff0"/>
        <w:spacing w:after="0" w:line="240" w:lineRule="auto"/>
        <w:rPr>
          <w:rFonts w:ascii="Times New Roman" w:hAnsi="Times New Roman"/>
          <w:b w:val="0"/>
          <w:sz w:val="24"/>
          <w:szCs w:val="24"/>
        </w:rPr>
      </w:pPr>
      <w:r w:rsidRPr="00FD7B0B">
        <w:rPr>
          <w:rFonts w:ascii="Times New Roman" w:hAnsi="Times New Roman"/>
          <w:noProof/>
          <w:lang w:eastAsia="ru-RU"/>
        </w:rPr>
        <w:drawing>
          <wp:inline distT="0" distB="0" distL="0" distR="0" wp14:anchorId="6755C5B5" wp14:editId="30709C8C">
            <wp:extent cx="5955056" cy="2117801"/>
            <wp:effectExtent l="0" t="0" r="7620"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EDB5BBB" w14:textId="77777777" w:rsidR="006266DC" w:rsidRPr="00FD7B0B" w:rsidRDefault="006266DC" w:rsidP="006266DC">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18</w:t>
      </w:r>
      <w:r w:rsidRPr="00FD7B0B">
        <w:rPr>
          <w:rFonts w:ascii="Times New Roman" w:hAnsi="Times New Roman"/>
          <w:b w:val="0"/>
          <w:sz w:val="24"/>
          <w:szCs w:val="24"/>
        </w:rPr>
        <w:fldChar w:fldCharType="end"/>
      </w:r>
      <w:r w:rsidRPr="00FD7B0B">
        <w:rPr>
          <w:rFonts w:ascii="Times New Roman" w:hAnsi="Times New Roman"/>
          <w:b w:val="0"/>
          <w:sz w:val="24"/>
          <w:szCs w:val="24"/>
        </w:rPr>
        <w:t>. Уровень безработицы населения в возрасте 15 лет и старше по Российской Федерации, в том числе Архангельской области в среднем за три месяца в 2024 году, %</w:t>
      </w:r>
    </w:p>
    <w:p w14:paraId="6B328425" w14:textId="77777777" w:rsidR="00486A22" w:rsidRPr="00FD7B0B" w:rsidRDefault="00486A22"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205AF2D2" w14:textId="1EB3C764" w:rsidR="006266DC" w:rsidRPr="00FD7B0B" w:rsidRDefault="006266DC" w:rsidP="006266D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данным федеральной службы государственной статистики РФ уровень безработицы за период с 01.01.2024 по 31.12.2024 в Архангельской области снизился на 2,4 процентных пункта и составил на 01.01.2025 – 5,3 % (в среднем за три месяца). В целом в Российской Федерации уровень безработицы за аналогичный период времени снизился на 0,8 процентных пункта и составил на 01.01.2025 – 1</w:t>
      </w:r>
      <w:r w:rsidR="00486A22" w:rsidRPr="00FD7B0B">
        <w:rPr>
          <w:rFonts w:ascii="Times New Roman" w:eastAsia="Times New Roman" w:hAnsi="Times New Roman"/>
          <w:sz w:val="28"/>
          <w:szCs w:val="28"/>
          <w:lang w:eastAsia="ru-RU"/>
        </w:rPr>
        <w:t>,9 % (в среднем за три месяца).</w:t>
      </w:r>
    </w:p>
    <w:p w14:paraId="5C222C9E" w14:textId="77777777" w:rsidR="006266DC" w:rsidRPr="00FD7B0B" w:rsidRDefault="006266DC" w:rsidP="006266DC">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cs="Times New Roman"/>
          <w:sz w:val="28"/>
          <w:szCs w:val="28"/>
          <w:lang w:eastAsia="ru-RU"/>
        </w:rPr>
        <w:t xml:space="preserve">Снижение уровня безработицы обусловлено снижением численности безработных граждан, зарегистрированных в центре занятости населения на 32,5 % (на конец 2023 г. – 5 179 чел., на конец 2024 г. – 4 013 чел.) , </w:t>
      </w:r>
      <w:r w:rsidRPr="00FD7B0B">
        <w:rPr>
          <w:sz w:val="28"/>
          <w:szCs w:val="28"/>
        </w:rPr>
        <w:t xml:space="preserve"> </w:t>
      </w:r>
      <w:r w:rsidRPr="00FD7B0B">
        <w:rPr>
          <w:rFonts w:ascii="Times New Roman" w:eastAsia="Times New Roman" w:hAnsi="Times New Roman" w:cs="Times New Roman"/>
          <w:sz w:val="28"/>
          <w:szCs w:val="28"/>
          <w:lang w:eastAsia="ru-RU"/>
        </w:rPr>
        <w:t>реализаций мероприятий активной политики занятости населения, в том числе: эффективное обучение граждан востребованным профессиям на рынке труда региона (увеличение уровня трудоустройства после получения образования по направлению центра занятости населения с 48% в 2023 г. до 52% в 2024 г.), а также организацией мероприятий по профессиональной ориентации для граждан с целью выбора профессии (работа молодежных и женских клубов при центре занятости, проведение профориентационных занятий со школьниками).</w:t>
      </w:r>
    </w:p>
    <w:p w14:paraId="52505645" w14:textId="7E68DE0F" w:rsidR="006266DC" w:rsidRPr="00FD7B0B" w:rsidRDefault="006266DC" w:rsidP="0059379C">
      <w:pPr>
        <w:spacing w:after="0" w:line="240" w:lineRule="auto"/>
        <w:ind w:firstLine="709"/>
        <w:jc w:val="both"/>
        <w:rPr>
          <w:rFonts w:ascii="Times New Roman" w:hAnsi="Times New Roman"/>
          <w:b/>
          <w:sz w:val="24"/>
          <w:szCs w:val="24"/>
        </w:rPr>
      </w:pPr>
      <w:r w:rsidRPr="00FD7B0B">
        <w:rPr>
          <w:rFonts w:ascii="Times New Roman" w:eastAsia="Times New Roman" w:hAnsi="Times New Roman" w:cs="Times New Roman"/>
          <w:sz w:val="28"/>
          <w:szCs w:val="28"/>
          <w:lang w:eastAsia="ru-RU"/>
        </w:rPr>
        <w:t xml:space="preserve">План реализации не выполнен по 4 мероприятиям (результатам) </w:t>
      </w:r>
      <w:r w:rsidRPr="00FD7B0B">
        <w:rPr>
          <w:rFonts w:ascii="Times New Roman" w:hAnsi="Times New Roman" w:cs="Times New Roman"/>
          <w:sz w:val="28"/>
          <w:szCs w:val="28"/>
        </w:rPr>
        <w:t>структурных элементов ГП №</w:t>
      </w:r>
      <w:r w:rsidR="00486A22" w:rsidRPr="00FD7B0B">
        <w:rPr>
          <w:rFonts w:ascii="Times New Roman" w:hAnsi="Times New Roman" w:cs="Times New Roman"/>
          <w:sz w:val="28"/>
          <w:szCs w:val="28"/>
        </w:rPr>
        <w:t xml:space="preserve"> </w:t>
      </w:r>
      <w:r w:rsidR="0059379C" w:rsidRPr="00FD7B0B">
        <w:rPr>
          <w:rFonts w:ascii="Times New Roman" w:hAnsi="Times New Roman" w:cs="Times New Roman"/>
          <w:sz w:val="28"/>
          <w:szCs w:val="28"/>
        </w:rPr>
        <w:t>07:</w:t>
      </w: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708"/>
        <w:gridCol w:w="709"/>
        <w:gridCol w:w="3827"/>
      </w:tblGrid>
      <w:tr w:rsidR="00FD7B0B" w:rsidRPr="00FD7B0B" w14:paraId="212357E8" w14:textId="77777777" w:rsidTr="0059379C">
        <w:trPr>
          <w:trHeight w:val="570"/>
          <w:tblHeader/>
        </w:trPr>
        <w:tc>
          <w:tcPr>
            <w:tcW w:w="4395" w:type="dxa"/>
            <w:vMerge w:val="restart"/>
            <w:tcBorders>
              <w:top w:val="double" w:sz="4" w:space="0" w:color="auto"/>
              <w:left w:val="double" w:sz="4" w:space="0" w:color="auto"/>
            </w:tcBorders>
            <w:shd w:val="clear" w:color="auto" w:fill="auto"/>
          </w:tcPr>
          <w:p w14:paraId="6F0A8741"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Наименование мероприятия (результата), контрольной точки, ед. измерения мероприятия (результата)</w:t>
            </w:r>
          </w:p>
        </w:tc>
        <w:tc>
          <w:tcPr>
            <w:tcW w:w="1417" w:type="dxa"/>
            <w:gridSpan w:val="2"/>
            <w:tcBorders>
              <w:top w:val="double" w:sz="4" w:space="0" w:color="auto"/>
            </w:tcBorders>
            <w:shd w:val="clear" w:color="auto" w:fill="auto"/>
          </w:tcPr>
          <w:p w14:paraId="01F3C1ED"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Значение мероприятия (результата)</w:t>
            </w:r>
          </w:p>
        </w:tc>
        <w:tc>
          <w:tcPr>
            <w:tcW w:w="3827" w:type="dxa"/>
            <w:vMerge w:val="restart"/>
            <w:tcBorders>
              <w:top w:val="double" w:sz="4" w:space="0" w:color="auto"/>
              <w:right w:val="double" w:sz="4" w:space="0" w:color="auto"/>
            </w:tcBorders>
            <w:shd w:val="clear" w:color="auto" w:fill="auto"/>
          </w:tcPr>
          <w:p w14:paraId="7F635791"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Причины нарушения исполнения мероприятия (результата), контрольной точки</w:t>
            </w:r>
          </w:p>
        </w:tc>
      </w:tr>
      <w:tr w:rsidR="00FD7B0B" w:rsidRPr="00FD7B0B" w14:paraId="1A5DDE95" w14:textId="77777777" w:rsidTr="0059379C">
        <w:trPr>
          <w:trHeight w:val="76"/>
          <w:tblHeader/>
        </w:trPr>
        <w:tc>
          <w:tcPr>
            <w:tcW w:w="4395" w:type="dxa"/>
            <w:vMerge/>
            <w:tcBorders>
              <w:left w:val="double" w:sz="4" w:space="0" w:color="auto"/>
            </w:tcBorders>
            <w:shd w:val="clear" w:color="auto" w:fill="auto"/>
          </w:tcPr>
          <w:p w14:paraId="63F01DFF"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rPr>
            </w:pPr>
          </w:p>
        </w:tc>
        <w:tc>
          <w:tcPr>
            <w:tcW w:w="708" w:type="dxa"/>
            <w:shd w:val="clear" w:color="auto" w:fill="auto"/>
          </w:tcPr>
          <w:p w14:paraId="0DBB9AC1"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План</w:t>
            </w:r>
          </w:p>
        </w:tc>
        <w:tc>
          <w:tcPr>
            <w:tcW w:w="709" w:type="dxa"/>
            <w:shd w:val="clear" w:color="auto" w:fill="auto"/>
          </w:tcPr>
          <w:p w14:paraId="712C8CCA"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rPr>
            </w:pPr>
            <w:r w:rsidRPr="00FD7B0B">
              <w:rPr>
                <w:rFonts w:ascii="Times New Roman" w:hAnsi="Times New Roman" w:cs="Times New Roman"/>
                <w:sz w:val="20"/>
                <w:szCs w:val="20"/>
              </w:rPr>
              <w:t>Факт</w:t>
            </w:r>
          </w:p>
        </w:tc>
        <w:tc>
          <w:tcPr>
            <w:tcW w:w="3827" w:type="dxa"/>
            <w:vMerge/>
            <w:tcBorders>
              <w:right w:val="double" w:sz="4" w:space="0" w:color="auto"/>
            </w:tcBorders>
            <w:shd w:val="clear" w:color="auto" w:fill="auto"/>
          </w:tcPr>
          <w:p w14:paraId="552227CE"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rPr>
            </w:pPr>
          </w:p>
        </w:tc>
      </w:tr>
      <w:tr w:rsidR="00FD7B0B" w:rsidRPr="00FD7B0B" w14:paraId="2AE70287" w14:textId="77777777" w:rsidTr="00486A22">
        <w:trPr>
          <w:trHeight w:val="273"/>
        </w:trPr>
        <w:tc>
          <w:tcPr>
            <w:tcW w:w="4395" w:type="dxa"/>
            <w:tcBorders>
              <w:left w:val="double" w:sz="4" w:space="0" w:color="auto"/>
            </w:tcBorders>
            <w:shd w:val="clear" w:color="auto" w:fill="auto"/>
          </w:tcPr>
          <w:p w14:paraId="1E30BE51" w14:textId="77777777" w:rsidR="006266DC" w:rsidRPr="00FD7B0B" w:rsidRDefault="006266DC" w:rsidP="00486A22">
            <w:pPr>
              <w:widowControl w:val="0"/>
              <w:autoSpaceDE w:val="0"/>
              <w:autoSpaceDN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t xml:space="preserve">Безработные граждане, получившие социальные выплаты, </w:t>
            </w:r>
            <w:r w:rsidRPr="00FD7B0B">
              <w:rPr>
                <w:rFonts w:ascii="Times New Roman" w:hAnsi="Times New Roman" w:cs="Times New Roman"/>
                <w:sz w:val="20"/>
                <w:szCs w:val="20"/>
                <w:lang w:eastAsia="zh-CN"/>
              </w:rPr>
              <w:t>тыс. чел.</w:t>
            </w:r>
          </w:p>
        </w:tc>
        <w:tc>
          <w:tcPr>
            <w:tcW w:w="708" w:type="dxa"/>
            <w:shd w:val="clear" w:color="auto" w:fill="auto"/>
          </w:tcPr>
          <w:p w14:paraId="4F01E824"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lang w:eastAsia="zh-CN"/>
              </w:rPr>
            </w:pPr>
            <w:r w:rsidRPr="00FD7B0B">
              <w:rPr>
                <w:rFonts w:ascii="Times New Roman" w:hAnsi="Times New Roman" w:cs="Times New Roman"/>
                <w:sz w:val="20"/>
                <w:szCs w:val="20"/>
                <w:lang w:eastAsia="zh-CN"/>
              </w:rPr>
              <w:t>6,5</w:t>
            </w:r>
          </w:p>
        </w:tc>
        <w:tc>
          <w:tcPr>
            <w:tcW w:w="709" w:type="dxa"/>
            <w:shd w:val="clear" w:color="auto" w:fill="auto"/>
          </w:tcPr>
          <w:p w14:paraId="17338832"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lang w:eastAsia="zh-CN"/>
              </w:rPr>
            </w:pPr>
            <w:r w:rsidRPr="00FD7B0B">
              <w:rPr>
                <w:rFonts w:ascii="Times New Roman" w:hAnsi="Times New Roman" w:cs="Times New Roman"/>
                <w:sz w:val="20"/>
                <w:szCs w:val="20"/>
                <w:lang w:eastAsia="zh-CN"/>
              </w:rPr>
              <w:t>4,4</w:t>
            </w:r>
          </w:p>
        </w:tc>
        <w:tc>
          <w:tcPr>
            <w:tcW w:w="3827" w:type="dxa"/>
            <w:tcBorders>
              <w:right w:val="double" w:sz="4" w:space="0" w:color="auto"/>
            </w:tcBorders>
            <w:shd w:val="clear" w:color="auto" w:fill="auto"/>
          </w:tcPr>
          <w:p w14:paraId="2EFC94D9" w14:textId="77777777" w:rsidR="006266DC" w:rsidRPr="00FD7B0B" w:rsidRDefault="006266DC" w:rsidP="00486A22">
            <w:pPr>
              <w:widowControl w:val="0"/>
              <w:autoSpaceDE w:val="0"/>
              <w:autoSpaceDN w:val="0"/>
              <w:spacing w:after="0" w:line="240" w:lineRule="auto"/>
              <w:rPr>
                <w:rFonts w:ascii="Times New Roman" w:hAnsi="Times New Roman" w:cs="Times New Roman"/>
                <w:sz w:val="18"/>
                <w:szCs w:val="18"/>
              </w:rPr>
            </w:pPr>
            <w:r w:rsidRPr="00FD7B0B">
              <w:rPr>
                <w:rFonts w:ascii="Times New Roman" w:hAnsi="Times New Roman" w:cs="Times New Roman"/>
                <w:sz w:val="18"/>
                <w:szCs w:val="18"/>
              </w:rPr>
              <w:t xml:space="preserve">Отклонение фактической численности получателей социальных выплат от плановой обусловлена снижением численности безработных граждан, зарегистрированных в центре занятости населения на 32,5 % (на конец 2023 года – 5 179 чел., на конец 2024 года – 4 013 чел.), при этом наблюдается </w:t>
            </w:r>
            <w:r w:rsidRPr="00FD7B0B">
              <w:rPr>
                <w:rFonts w:ascii="Times New Roman" w:hAnsi="Times New Roman" w:cs="Times New Roman"/>
                <w:sz w:val="18"/>
                <w:szCs w:val="18"/>
              </w:rPr>
              <w:lastRenderedPageBreak/>
              <w:t>низкий уровень регистрируемой безработицы. Установленное значение результата не предполагает возрастающей динамики. В соответствии с законодательством о занятости безработным гражданам гарантируется предоставление социальных выплат, основание выплаты – статус безработного</w:t>
            </w:r>
          </w:p>
        </w:tc>
      </w:tr>
      <w:tr w:rsidR="00FD7B0B" w:rsidRPr="00FD7B0B" w14:paraId="3C573F60" w14:textId="77777777" w:rsidTr="00486A22">
        <w:trPr>
          <w:trHeight w:val="2176"/>
        </w:trPr>
        <w:tc>
          <w:tcPr>
            <w:tcW w:w="4395" w:type="dxa"/>
            <w:tcBorders>
              <w:left w:val="double" w:sz="4" w:space="0" w:color="auto"/>
            </w:tcBorders>
            <w:shd w:val="clear" w:color="auto" w:fill="auto"/>
          </w:tcPr>
          <w:p w14:paraId="7B58C9A2" w14:textId="77777777" w:rsidR="006266DC" w:rsidRPr="00FD7B0B" w:rsidRDefault="006266DC" w:rsidP="00486A22">
            <w:pPr>
              <w:widowControl w:val="0"/>
              <w:autoSpaceDE w:val="0"/>
              <w:autoSpaceDN w:val="0"/>
              <w:spacing w:after="0" w:line="240" w:lineRule="auto"/>
              <w:rPr>
                <w:rFonts w:ascii="Times New Roman" w:hAnsi="Times New Roman" w:cs="Times New Roman"/>
                <w:sz w:val="20"/>
                <w:szCs w:val="20"/>
              </w:rPr>
            </w:pPr>
            <w:r w:rsidRPr="00FD7B0B">
              <w:rPr>
                <w:rFonts w:ascii="Times New Roman" w:hAnsi="Times New Roman" w:cs="Times New Roman"/>
                <w:sz w:val="20"/>
                <w:szCs w:val="20"/>
              </w:rPr>
              <w:lastRenderedPageBreak/>
              <w:t>Предоставлена компенсация расходов участников Государственной программы и членов их семей на прохождение медицинского освидетельствования, чел.</w:t>
            </w:r>
          </w:p>
        </w:tc>
        <w:tc>
          <w:tcPr>
            <w:tcW w:w="708" w:type="dxa"/>
            <w:shd w:val="clear" w:color="auto" w:fill="auto"/>
          </w:tcPr>
          <w:p w14:paraId="183C4ED4"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lang w:eastAsia="zh-CN"/>
              </w:rPr>
            </w:pPr>
            <w:r w:rsidRPr="00FD7B0B">
              <w:rPr>
                <w:rFonts w:ascii="Times New Roman" w:hAnsi="Times New Roman" w:cs="Times New Roman"/>
                <w:sz w:val="20"/>
                <w:szCs w:val="20"/>
                <w:lang w:eastAsia="zh-CN"/>
              </w:rPr>
              <w:t>10</w:t>
            </w:r>
          </w:p>
        </w:tc>
        <w:tc>
          <w:tcPr>
            <w:tcW w:w="709" w:type="dxa"/>
            <w:shd w:val="clear" w:color="auto" w:fill="auto"/>
          </w:tcPr>
          <w:p w14:paraId="5CA8E1F9"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lang w:eastAsia="zh-CN"/>
              </w:rPr>
            </w:pPr>
            <w:r w:rsidRPr="00FD7B0B">
              <w:rPr>
                <w:rFonts w:ascii="Times New Roman" w:hAnsi="Times New Roman" w:cs="Times New Roman"/>
                <w:sz w:val="20"/>
                <w:szCs w:val="20"/>
                <w:lang w:eastAsia="zh-CN"/>
              </w:rPr>
              <w:t>0</w:t>
            </w:r>
          </w:p>
        </w:tc>
        <w:tc>
          <w:tcPr>
            <w:tcW w:w="3827" w:type="dxa"/>
            <w:tcBorders>
              <w:right w:val="double" w:sz="4" w:space="0" w:color="auto"/>
            </w:tcBorders>
            <w:shd w:val="clear" w:color="auto" w:fill="auto"/>
          </w:tcPr>
          <w:p w14:paraId="55F1E7D2" w14:textId="77777777" w:rsidR="006266DC" w:rsidRPr="00FD7B0B" w:rsidRDefault="006266DC" w:rsidP="00486A22">
            <w:pPr>
              <w:widowControl w:val="0"/>
              <w:autoSpaceDE w:val="0"/>
              <w:autoSpaceDN w:val="0"/>
              <w:spacing w:after="0" w:line="240" w:lineRule="auto"/>
              <w:rPr>
                <w:rFonts w:ascii="Times New Roman" w:hAnsi="Times New Roman" w:cs="Times New Roman"/>
                <w:sz w:val="18"/>
                <w:szCs w:val="18"/>
              </w:rPr>
            </w:pPr>
            <w:r w:rsidRPr="00FD7B0B">
              <w:rPr>
                <w:rFonts w:ascii="Times New Roman" w:hAnsi="Times New Roman" w:cs="Times New Roman"/>
                <w:sz w:val="18"/>
                <w:szCs w:val="18"/>
              </w:rPr>
              <w:t>Отсутствие в 2024 г. участников Государственной программы по оказанию содействия добровольному переселению в Российскую Федерацию соотечественников, проживающих за рубежом, и членов их семей, желающих получить компенсацию расходов на прохождение медицинского освидетельствования. Выплата носит заявительный характер единовременную денежную выплату на потребительские нужды. Выплата носит заявительный характер</w:t>
            </w:r>
          </w:p>
        </w:tc>
      </w:tr>
      <w:tr w:rsidR="00FD7B0B" w:rsidRPr="00FD7B0B" w14:paraId="22B409CB" w14:textId="77777777" w:rsidTr="0059379C">
        <w:trPr>
          <w:trHeight w:val="1388"/>
        </w:trPr>
        <w:tc>
          <w:tcPr>
            <w:tcW w:w="4395" w:type="dxa"/>
            <w:tcBorders>
              <w:left w:val="double" w:sz="4" w:space="0" w:color="auto"/>
            </w:tcBorders>
            <w:shd w:val="clear" w:color="auto" w:fill="auto"/>
          </w:tcPr>
          <w:p w14:paraId="7A2728C7" w14:textId="77777777" w:rsidR="006266DC" w:rsidRPr="00FD7B0B" w:rsidRDefault="006266DC" w:rsidP="00486A22">
            <w:pPr>
              <w:spacing w:after="0" w:line="240" w:lineRule="auto"/>
              <w:ind w:right="57"/>
              <w:rPr>
                <w:rFonts w:ascii="Times New Roman" w:hAnsi="Times New Roman" w:cs="Times New Roman"/>
                <w:sz w:val="20"/>
                <w:szCs w:val="20"/>
              </w:rPr>
            </w:pPr>
            <w:r w:rsidRPr="00FD7B0B">
              <w:rPr>
                <w:rFonts w:ascii="Times New Roman" w:hAnsi="Times New Roman" w:cs="Times New Roman"/>
                <w:sz w:val="20"/>
                <w:szCs w:val="20"/>
              </w:rPr>
              <w:t>Предоставлена компенсация расходов участников Государственной программы на признание ученых степеней, ученых званий, образования и (или) квалификации, полученных в иностранном государстве, чел.</w:t>
            </w:r>
          </w:p>
        </w:tc>
        <w:tc>
          <w:tcPr>
            <w:tcW w:w="708" w:type="dxa"/>
            <w:shd w:val="clear" w:color="auto" w:fill="auto"/>
          </w:tcPr>
          <w:p w14:paraId="4B545181"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lang w:eastAsia="zh-CN"/>
              </w:rPr>
            </w:pPr>
            <w:r w:rsidRPr="00FD7B0B">
              <w:rPr>
                <w:rFonts w:ascii="Times New Roman" w:hAnsi="Times New Roman" w:cs="Times New Roman"/>
                <w:sz w:val="20"/>
                <w:szCs w:val="20"/>
                <w:lang w:eastAsia="zh-CN"/>
              </w:rPr>
              <w:t>5</w:t>
            </w:r>
          </w:p>
        </w:tc>
        <w:tc>
          <w:tcPr>
            <w:tcW w:w="709" w:type="dxa"/>
            <w:shd w:val="clear" w:color="auto" w:fill="auto"/>
          </w:tcPr>
          <w:p w14:paraId="7CC79B66"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lang w:eastAsia="zh-CN"/>
              </w:rPr>
            </w:pPr>
            <w:r w:rsidRPr="00FD7B0B">
              <w:rPr>
                <w:rFonts w:ascii="Times New Roman" w:hAnsi="Times New Roman" w:cs="Times New Roman"/>
                <w:sz w:val="20"/>
                <w:szCs w:val="20"/>
                <w:lang w:eastAsia="zh-CN"/>
              </w:rPr>
              <w:t>1</w:t>
            </w:r>
          </w:p>
        </w:tc>
        <w:tc>
          <w:tcPr>
            <w:tcW w:w="3827" w:type="dxa"/>
            <w:tcBorders>
              <w:right w:val="double" w:sz="4" w:space="0" w:color="auto"/>
            </w:tcBorders>
            <w:shd w:val="clear" w:color="auto" w:fill="auto"/>
          </w:tcPr>
          <w:p w14:paraId="10A19A95" w14:textId="77777777" w:rsidR="006266DC" w:rsidRPr="00FD7B0B" w:rsidRDefault="006266DC" w:rsidP="00486A22">
            <w:pPr>
              <w:autoSpaceDE w:val="0"/>
              <w:autoSpaceDN w:val="0"/>
              <w:adjustRightInd w:val="0"/>
              <w:spacing w:after="0" w:line="240" w:lineRule="auto"/>
              <w:rPr>
                <w:rFonts w:ascii="Times New Roman" w:hAnsi="Times New Roman" w:cs="Times New Roman"/>
                <w:sz w:val="18"/>
                <w:szCs w:val="18"/>
              </w:rPr>
            </w:pPr>
            <w:r w:rsidRPr="00FD7B0B">
              <w:rPr>
                <w:rFonts w:ascii="Times New Roman" w:hAnsi="Times New Roman" w:cs="Times New Roman"/>
                <w:sz w:val="18"/>
                <w:szCs w:val="18"/>
              </w:rPr>
              <w:t>Недостаточное количество в 2024 г. участников Государственной программы, желающих получить компенсацию расходов на признание ученых степеней, ученых званий, образования и (или) квалификации, полученных в иностранном государстве. Выплата носит заявительный характер</w:t>
            </w:r>
          </w:p>
        </w:tc>
      </w:tr>
      <w:tr w:rsidR="00FD7B0B" w:rsidRPr="00FD7B0B" w14:paraId="3030BB2F" w14:textId="77777777" w:rsidTr="0059379C">
        <w:trPr>
          <w:trHeight w:val="2613"/>
        </w:trPr>
        <w:tc>
          <w:tcPr>
            <w:tcW w:w="4395" w:type="dxa"/>
            <w:tcBorders>
              <w:left w:val="double" w:sz="4" w:space="0" w:color="auto"/>
              <w:bottom w:val="double" w:sz="4" w:space="0" w:color="auto"/>
            </w:tcBorders>
            <w:shd w:val="clear" w:color="auto" w:fill="auto"/>
          </w:tcPr>
          <w:p w14:paraId="6FE8650B" w14:textId="77777777" w:rsidR="006266DC" w:rsidRPr="00FD7B0B" w:rsidRDefault="006266DC" w:rsidP="00486A22">
            <w:pPr>
              <w:spacing w:after="0" w:line="240" w:lineRule="auto"/>
              <w:ind w:right="57"/>
              <w:rPr>
                <w:rFonts w:ascii="Times New Roman" w:hAnsi="Times New Roman" w:cs="Times New Roman"/>
                <w:sz w:val="20"/>
                <w:szCs w:val="20"/>
              </w:rPr>
            </w:pPr>
            <w:r w:rsidRPr="00FD7B0B">
              <w:rPr>
                <w:rFonts w:ascii="Times New Roman" w:hAnsi="Times New Roman" w:cs="Times New Roman"/>
                <w:sz w:val="20"/>
                <w:szCs w:val="20"/>
              </w:rPr>
              <w:t>Выплачена ежегодная стипендия участникам Государственной программы и (или) членам их семей, обучающимся в ФГБОУ ВО «СГМУ» Министерства здравоохранения РФ или профессиональных образовательных организациях Архангельской области по следующим специальностям среднего профессионального образования (программам подготовки специалистов среднего звена): 31.02.01 Лечебное дело, 31.02.02 Акушерское дело, 33.02.01 Фармация, 34.02.01 Сестринское дело, 31.02.03 Лабораторная диагностика, чел.</w:t>
            </w:r>
          </w:p>
        </w:tc>
        <w:tc>
          <w:tcPr>
            <w:tcW w:w="708" w:type="dxa"/>
            <w:tcBorders>
              <w:bottom w:val="double" w:sz="4" w:space="0" w:color="auto"/>
            </w:tcBorders>
            <w:shd w:val="clear" w:color="auto" w:fill="auto"/>
          </w:tcPr>
          <w:p w14:paraId="41794EF5" w14:textId="77777777" w:rsidR="006266DC" w:rsidRPr="00FD7B0B" w:rsidRDefault="006266DC" w:rsidP="00486A22">
            <w:pPr>
              <w:widowControl w:val="0"/>
              <w:autoSpaceDE w:val="0"/>
              <w:autoSpaceDN w:val="0"/>
              <w:spacing w:after="0" w:line="240" w:lineRule="auto"/>
              <w:jc w:val="center"/>
              <w:rPr>
                <w:rFonts w:ascii="Times New Roman" w:hAnsi="Times New Roman" w:cs="Times New Roman"/>
                <w:sz w:val="20"/>
                <w:szCs w:val="20"/>
                <w:lang w:eastAsia="zh-CN"/>
              </w:rPr>
            </w:pPr>
            <w:r w:rsidRPr="00FD7B0B">
              <w:rPr>
                <w:rFonts w:ascii="Times New Roman" w:hAnsi="Times New Roman" w:cs="Times New Roman"/>
                <w:sz w:val="20"/>
                <w:szCs w:val="20"/>
                <w:lang w:eastAsia="zh-CN"/>
              </w:rPr>
              <w:t>1</w:t>
            </w:r>
          </w:p>
        </w:tc>
        <w:tc>
          <w:tcPr>
            <w:tcW w:w="709" w:type="dxa"/>
            <w:tcBorders>
              <w:bottom w:val="double" w:sz="4" w:space="0" w:color="auto"/>
            </w:tcBorders>
            <w:shd w:val="clear" w:color="auto" w:fill="auto"/>
          </w:tcPr>
          <w:p w14:paraId="65D6DF7F" w14:textId="77777777" w:rsidR="006266DC" w:rsidRPr="00FD7B0B" w:rsidRDefault="006266DC" w:rsidP="00486A22">
            <w:pPr>
              <w:widowControl w:val="0"/>
              <w:autoSpaceDE w:val="0"/>
              <w:autoSpaceDN w:val="0"/>
              <w:spacing w:after="0" w:line="240" w:lineRule="auto"/>
              <w:jc w:val="both"/>
              <w:rPr>
                <w:rFonts w:ascii="Times New Roman" w:hAnsi="Times New Roman" w:cs="Times New Roman"/>
                <w:sz w:val="20"/>
                <w:szCs w:val="20"/>
                <w:lang w:eastAsia="zh-CN"/>
              </w:rPr>
            </w:pPr>
            <w:r w:rsidRPr="00FD7B0B">
              <w:rPr>
                <w:rFonts w:ascii="Times New Roman" w:hAnsi="Times New Roman" w:cs="Times New Roman"/>
                <w:sz w:val="20"/>
                <w:szCs w:val="20"/>
                <w:lang w:eastAsia="zh-CN"/>
              </w:rPr>
              <w:t>0</w:t>
            </w:r>
          </w:p>
        </w:tc>
        <w:tc>
          <w:tcPr>
            <w:tcW w:w="3827" w:type="dxa"/>
            <w:tcBorders>
              <w:bottom w:val="double" w:sz="4" w:space="0" w:color="auto"/>
              <w:right w:val="double" w:sz="4" w:space="0" w:color="auto"/>
            </w:tcBorders>
            <w:shd w:val="clear" w:color="auto" w:fill="auto"/>
          </w:tcPr>
          <w:p w14:paraId="7F490AD0" w14:textId="77777777" w:rsidR="006266DC" w:rsidRPr="00FD7B0B" w:rsidRDefault="006266DC" w:rsidP="00486A22">
            <w:pPr>
              <w:widowControl w:val="0"/>
              <w:autoSpaceDE w:val="0"/>
              <w:autoSpaceDN w:val="0"/>
              <w:spacing w:after="0" w:line="240" w:lineRule="auto"/>
              <w:rPr>
                <w:rFonts w:ascii="Times New Roman" w:hAnsi="Times New Roman" w:cs="Times New Roman"/>
                <w:sz w:val="18"/>
                <w:szCs w:val="18"/>
                <w:lang w:eastAsia="zh-CN"/>
              </w:rPr>
            </w:pPr>
            <w:r w:rsidRPr="00FD7B0B">
              <w:rPr>
                <w:rFonts w:ascii="Times New Roman" w:hAnsi="Times New Roman" w:cs="Times New Roman"/>
                <w:sz w:val="18"/>
                <w:szCs w:val="18"/>
                <w:lang w:eastAsia="zh-CN"/>
              </w:rPr>
              <w:t>Отсутствие в 2024 г. участников Государственной программы, желающих получить ежегодную стипендию. Выплата носит заявительный характер</w:t>
            </w:r>
          </w:p>
        </w:tc>
      </w:tr>
    </w:tbl>
    <w:p w14:paraId="39181AC0" w14:textId="77777777" w:rsidR="006266DC" w:rsidRPr="00FD7B0B" w:rsidRDefault="006266DC" w:rsidP="006266DC">
      <w:pPr>
        <w:spacing w:after="0" w:line="240" w:lineRule="auto"/>
        <w:ind w:firstLine="709"/>
        <w:jc w:val="both"/>
        <w:rPr>
          <w:rFonts w:ascii="Times New Roman" w:eastAsia="Times New Roman" w:hAnsi="Times New Roman" w:cs="Times New Roman"/>
          <w:sz w:val="20"/>
          <w:szCs w:val="20"/>
          <w:highlight w:val="cyan"/>
          <w:lang w:eastAsia="ru-RU"/>
        </w:rPr>
      </w:pPr>
    </w:p>
    <w:p w14:paraId="6CC71808" w14:textId="77777777" w:rsidR="006266DC" w:rsidRPr="00FD7B0B" w:rsidRDefault="006266DC" w:rsidP="006266DC">
      <w:pPr>
        <w:spacing w:after="0" w:line="240" w:lineRule="auto"/>
        <w:ind w:firstLine="709"/>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Оценка эффективности реализации ГП № 07 по итогам 2024 года</w:t>
      </w:r>
    </w:p>
    <w:p w14:paraId="2CF1D468" w14:textId="77777777" w:rsidR="006266DC" w:rsidRPr="00FD7B0B" w:rsidRDefault="006266DC" w:rsidP="006266DC">
      <w:pPr>
        <w:spacing w:after="0" w:line="240" w:lineRule="auto"/>
        <w:ind w:firstLine="709"/>
        <w:jc w:val="both"/>
        <w:rPr>
          <w:rFonts w:ascii="Times New Roman" w:hAnsi="Times New Roman" w:cs="Times New Roman"/>
          <w:sz w:val="28"/>
        </w:rPr>
      </w:pPr>
      <w:r w:rsidRPr="00FD7B0B">
        <w:rPr>
          <w:rFonts w:ascii="Times New Roman" w:hAnsi="Times New Roman" w:cs="Times New Roman"/>
          <w:sz w:val="28"/>
        </w:rPr>
        <w:t>По предварительной оценке, проведенной министерством экономического развития и промышленности Архангельской области, эффективность реализации государственной программы Архангельской области «Содействие занятости населения Архангельской области, улучшение условий и охраны труда» по итогам 2024 года составила 93,2 балла.</w:t>
      </w:r>
    </w:p>
    <w:p w14:paraId="7ACAD6A8" w14:textId="7ED88C00" w:rsidR="00D304BC" w:rsidRPr="00FD7B0B" w:rsidRDefault="009B516C" w:rsidP="00D304BC">
      <w:pPr>
        <w:pStyle w:val="3"/>
        <w:spacing w:line="240" w:lineRule="auto"/>
        <w:jc w:val="center"/>
        <w:rPr>
          <w:rFonts w:ascii="Times New Roman" w:hAnsi="Times New Roman"/>
          <w:b w:val="0"/>
          <w:sz w:val="28"/>
          <w:szCs w:val="28"/>
          <w:u w:val="single"/>
          <w:lang w:val="ru-RU"/>
        </w:rPr>
      </w:pPr>
      <w:bookmarkStart w:id="136" w:name="_Toc198819141"/>
      <w:r w:rsidRPr="00FD7B0B">
        <w:rPr>
          <w:rFonts w:ascii="Times New Roman" w:hAnsi="Times New Roman"/>
          <w:b w:val="0"/>
          <w:sz w:val="28"/>
          <w:szCs w:val="28"/>
          <w:u w:val="single"/>
          <w:lang w:val="ru-RU"/>
        </w:rPr>
        <w:t>4</w:t>
      </w:r>
      <w:r w:rsidR="00D304BC"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lang w:val="ru-RU"/>
        </w:rPr>
        <w:t>.</w:t>
      </w:r>
      <w:r w:rsidR="007F7958" w:rsidRPr="00FD7B0B">
        <w:rPr>
          <w:rFonts w:ascii="Times New Roman" w:hAnsi="Times New Roman"/>
          <w:b w:val="0"/>
          <w:sz w:val="28"/>
          <w:szCs w:val="28"/>
          <w:u w:val="single"/>
          <w:lang w:val="ru-RU"/>
        </w:rPr>
        <w:t>8</w:t>
      </w:r>
      <w:r w:rsidR="00D304BC" w:rsidRPr="00FD7B0B">
        <w:rPr>
          <w:rFonts w:ascii="Times New Roman" w:hAnsi="Times New Roman"/>
          <w:b w:val="0"/>
          <w:sz w:val="28"/>
          <w:szCs w:val="28"/>
          <w:u w:val="single"/>
          <w:lang w:val="ru-RU"/>
        </w:rPr>
        <w:t xml:space="preserve">. Государственная программа Архангельской области </w:t>
      </w:r>
      <w:r w:rsidR="0065479F" w:rsidRPr="00FD7B0B">
        <w:rPr>
          <w:rFonts w:ascii="Times New Roman" w:hAnsi="Times New Roman"/>
          <w:b w:val="0"/>
          <w:sz w:val="28"/>
          <w:szCs w:val="28"/>
          <w:u w:val="single"/>
          <w:lang w:val="ru-RU"/>
        </w:rPr>
        <w:t>«</w:t>
      </w:r>
      <w:r w:rsidR="00D304BC" w:rsidRPr="00FD7B0B">
        <w:rPr>
          <w:rFonts w:ascii="Times New Roman" w:hAnsi="Times New Roman"/>
          <w:b w:val="0"/>
          <w:sz w:val="28"/>
          <w:szCs w:val="28"/>
          <w:u w:val="single"/>
          <w:lang w:val="ru-RU"/>
        </w:rPr>
        <w:t>Охрана окружающей среды, воспроизводство и использование природных ресурсов Архангельской области</w:t>
      </w:r>
      <w:r w:rsidR="0065479F" w:rsidRPr="00FD7B0B">
        <w:rPr>
          <w:rFonts w:ascii="Times New Roman" w:hAnsi="Times New Roman"/>
          <w:b w:val="0"/>
          <w:sz w:val="28"/>
          <w:szCs w:val="28"/>
          <w:u w:val="single"/>
          <w:lang w:val="ru-RU"/>
        </w:rPr>
        <w:t>»</w:t>
      </w:r>
      <w:bookmarkEnd w:id="136"/>
    </w:p>
    <w:p w14:paraId="49040ADD" w14:textId="41648AC1" w:rsidR="00796E61" w:rsidRPr="00FD7B0B" w:rsidRDefault="00796E61" w:rsidP="00796E61">
      <w:pPr>
        <w:spacing w:after="0" w:line="240" w:lineRule="auto"/>
        <w:ind w:firstLine="708"/>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Государственная программа Архангельской области «Охрана окружающей среды, воспроизводство и использование природных ресурсов Архангельской области» утверждена постановлением Правительства Архангельской области от 11.10.2013 № 476-пп (далее – ГП № 10).</w:t>
      </w:r>
    </w:p>
    <w:p w14:paraId="3B219E9F" w14:textId="77777777" w:rsidR="00796E61" w:rsidRPr="00FD7B0B" w:rsidRDefault="00796E61" w:rsidP="00796E61">
      <w:pPr>
        <w:spacing w:after="0" w:line="240" w:lineRule="auto"/>
        <w:ind w:firstLine="708"/>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Ответственным исполнителем ГП № 10 является министерство природных ресурсов и лесопромышленного комплекса Архангельской области (далее – минлеспром АО).</w:t>
      </w:r>
    </w:p>
    <w:p w14:paraId="13CF078A" w14:textId="77777777" w:rsidR="00796E61" w:rsidRPr="00FD7B0B" w:rsidRDefault="00796E61" w:rsidP="00796E61">
      <w:pPr>
        <w:spacing w:after="0" w:line="240" w:lineRule="auto"/>
        <w:ind w:firstLine="708"/>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ГП № 10 включает в себя:</w:t>
      </w:r>
    </w:p>
    <w:p w14:paraId="08610171" w14:textId="77777777" w:rsidR="00796E61" w:rsidRPr="00FD7B0B" w:rsidRDefault="00796E61" w:rsidP="00131B70">
      <w:pPr>
        <w:pStyle w:val="a8"/>
        <w:numPr>
          <w:ilvl w:val="0"/>
          <w:numId w:val="17"/>
        </w:numPr>
        <w:ind w:left="0" w:firstLine="708"/>
        <w:jc w:val="both"/>
        <w:rPr>
          <w:sz w:val="28"/>
          <w:szCs w:val="28"/>
        </w:rPr>
      </w:pPr>
      <w:r w:rsidRPr="00FD7B0B">
        <w:rPr>
          <w:sz w:val="28"/>
          <w:szCs w:val="28"/>
        </w:rPr>
        <w:t>Проектную часть, состоящую из двух региональных проектов (далее РП) «Чистая страна» и «Комплексная система обращения с твердыми коммунальными отходами»,</w:t>
      </w:r>
      <w:r w:rsidRPr="00FD7B0B">
        <w:t xml:space="preserve"> </w:t>
      </w:r>
      <w:r w:rsidRPr="00FD7B0B">
        <w:rPr>
          <w:sz w:val="28"/>
          <w:szCs w:val="28"/>
        </w:rPr>
        <w:t>которые входят в состав национального проекта «Экология».</w:t>
      </w:r>
    </w:p>
    <w:p w14:paraId="0C810A65" w14:textId="7D609D4C" w:rsidR="00796E61" w:rsidRPr="00FD7B0B" w:rsidRDefault="00796E61" w:rsidP="00131B70">
      <w:pPr>
        <w:pStyle w:val="a8"/>
        <w:numPr>
          <w:ilvl w:val="0"/>
          <w:numId w:val="17"/>
        </w:numPr>
        <w:ind w:left="0" w:firstLine="708"/>
        <w:jc w:val="both"/>
        <w:rPr>
          <w:rFonts w:eastAsia="Calibri"/>
          <w:sz w:val="28"/>
          <w:szCs w:val="28"/>
        </w:rPr>
      </w:pPr>
      <w:r w:rsidRPr="00FD7B0B">
        <w:rPr>
          <w:sz w:val="28"/>
          <w:szCs w:val="28"/>
        </w:rPr>
        <w:t xml:space="preserve">Процессную часть - комплекс процессных мероприятий </w:t>
      </w:r>
      <w:r w:rsidRPr="00FD7B0B">
        <w:rPr>
          <w:rFonts w:eastAsia="Calibri"/>
          <w:sz w:val="28"/>
          <w:szCs w:val="28"/>
        </w:rPr>
        <w:t>«Экологическая безопасность, воспроизводство и использование природных ресурсов Арха</w:t>
      </w:r>
      <w:r w:rsidR="007056F7" w:rsidRPr="00FD7B0B">
        <w:rPr>
          <w:rFonts w:eastAsia="Calibri"/>
          <w:sz w:val="28"/>
          <w:szCs w:val="28"/>
        </w:rPr>
        <w:t>нгельской области» (далее – КПМ).</w:t>
      </w:r>
    </w:p>
    <w:p w14:paraId="4D787CF6" w14:textId="6C5183C1" w:rsidR="00796E61" w:rsidRPr="00FD7B0B" w:rsidRDefault="00796E61" w:rsidP="00796E61">
      <w:pPr>
        <w:spacing w:after="0" w:line="240" w:lineRule="auto"/>
        <w:ind w:firstLine="708"/>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Объемы финансирования мероприятий ГП № 10 в разрезе структурных элементов и источников финансирования сведения представлены в таблице </w:t>
      </w:r>
      <w:r w:rsidR="0059379C" w:rsidRPr="00FD7B0B">
        <w:rPr>
          <w:rFonts w:ascii="Times New Roman" w:eastAsia="Calibri" w:hAnsi="Times New Roman" w:cs="Times New Roman"/>
          <w:sz w:val="28"/>
          <w:szCs w:val="28"/>
        </w:rPr>
        <w:t>146</w:t>
      </w:r>
      <w:r w:rsidRPr="00FD7B0B">
        <w:rPr>
          <w:rFonts w:ascii="Times New Roman" w:eastAsia="Calibri" w:hAnsi="Times New Roman" w:cs="Times New Roman"/>
          <w:sz w:val="28"/>
          <w:szCs w:val="28"/>
        </w:rPr>
        <w:t>.</w:t>
      </w:r>
    </w:p>
    <w:p w14:paraId="225ED305" w14:textId="77777777" w:rsidR="00796E61" w:rsidRPr="00FD7B0B" w:rsidRDefault="00796E61" w:rsidP="007056F7">
      <w:pPr>
        <w:pStyle w:val="aff0"/>
        <w:keepNext/>
        <w:spacing w:after="0" w:line="240" w:lineRule="auto"/>
        <w:rPr>
          <w:rFonts w:ascii="Times New Roman" w:hAnsi="Times New Roman"/>
          <w:b w:val="0"/>
          <w:sz w:val="24"/>
          <w:szCs w:val="24"/>
        </w:rPr>
      </w:pPr>
    </w:p>
    <w:p w14:paraId="2AD21EA4" w14:textId="720A1DD4" w:rsidR="00796E61" w:rsidRPr="00FD7B0B" w:rsidRDefault="00796E61" w:rsidP="007056F7">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146</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Изменения, внесенные в объемы финансирования меропр</w:t>
      </w:r>
      <w:r w:rsidR="005D594B" w:rsidRPr="00FD7B0B">
        <w:rPr>
          <w:rFonts w:ascii="Times New Roman" w:hAnsi="Times New Roman"/>
          <w:b w:val="0"/>
          <w:sz w:val="24"/>
          <w:szCs w:val="24"/>
        </w:rPr>
        <w:t>иятий ГП № 10 за 2024 год</w:t>
      </w:r>
    </w:p>
    <w:tbl>
      <w:tblPr>
        <w:tblW w:w="9619"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536"/>
        <w:gridCol w:w="1588"/>
        <w:gridCol w:w="1701"/>
        <w:gridCol w:w="968"/>
        <w:gridCol w:w="826"/>
      </w:tblGrid>
      <w:tr w:rsidR="00FD7B0B" w:rsidRPr="00FD7B0B" w14:paraId="1E528904" w14:textId="77777777" w:rsidTr="007056F7">
        <w:trPr>
          <w:trHeight w:val="295"/>
          <w:tblHeader/>
        </w:trPr>
        <w:tc>
          <w:tcPr>
            <w:tcW w:w="4536" w:type="dxa"/>
            <w:vMerge w:val="restart"/>
            <w:shd w:val="clear" w:color="auto" w:fill="auto"/>
            <w:vAlign w:val="center"/>
            <w:hideMark/>
          </w:tcPr>
          <w:p w14:paraId="59EE396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ГП, структурного элемента/источник финансового обеспечения</w:t>
            </w:r>
          </w:p>
        </w:tc>
        <w:tc>
          <w:tcPr>
            <w:tcW w:w="3289" w:type="dxa"/>
            <w:gridSpan w:val="2"/>
            <w:shd w:val="clear" w:color="auto" w:fill="auto"/>
            <w:vAlign w:val="center"/>
            <w:hideMark/>
          </w:tcPr>
          <w:p w14:paraId="231D8E6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20"/>
                <w:szCs w:val="20"/>
                <w:lang w:eastAsia="ru-RU"/>
              </w:rPr>
              <w:t>Объем финансирования</w:t>
            </w:r>
            <w:r w:rsidRPr="00FD7B0B">
              <w:rPr>
                <w:rFonts w:ascii="Times New Roman" w:eastAsia="Times New Roman" w:hAnsi="Times New Roman" w:cs="Times New Roman"/>
                <w:sz w:val="18"/>
                <w:szCs w:val="18"/>
                <w:lang w:eastAsia="ru-RU"/>
              </w:rPr>
              <w:t xml:space="preserve"> в 2024 г., </w:t>
            </w:r>
          </w:p>
          <w:p w14:paraId="3FED82D3" w14:textId="44121809" w:rsidR="00796E61" w:rsidRPr="00FD7B0B" w:rsidRDefault="007056F7"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18"/>
                <w:szCs w:val="18"/>
                <w:lang w:eastAsia="ru-RU"/>
              </w:rPr>
              <w:t>млн.руб.</w:t>
            </w:r>
          </w:p>
        </w:tc>
        <w:tc>
          <w:tcPr>
            <w:tcW w:w="1794" w:type="dxa"/>
            <w:gridSpan w:val="2"/>
            <w:shd w:val="clear" w:color="auto" w:fill="auto"/>
            <w:vAlign w:val="center"/>
            <w:hideMark/>
          </w:tcPr>
          <w:p w14:paraId="15C0BE55"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Изменения за год</w:t>
            </w:r>
          </w:p>
        </w:tc>
      </w:tr>
      <w:tr w:rsidR="00FD7B0B" w:rsidRPr="00FD7B0B" w14:paraId="7437D77B" w14:textId="77777777" w:rsidTr="007056F7">
        <w:trPr>
          <w:trHeight w:val="275"/>
          <w:tblHeader/>
        </w:trPr>
        <w:tc>
          <w:tcPr>
            <w:tcW w:w="4536" w:type="dxa"/>
            <w:vMerge/>
            <w:vAlign w:val="center"/>
            <w:hideMark/>
          </w:tcPr>
          <w:p w14:paraId="5F5F1287"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p>
        </w:tc>
        <w:tc>
          <w:tcPr>
            <w:tcW w:w="1588" w:type="dxa"/>
            <w:shd w:val="clear" w:color="auto" w:fill="auto"/>
            <w:vAlign w:val="center"/>
            <w:hideMark/>
          </w:tcPr>
          <w:p w14:paraId="5D56A819" w14:textId="77777777" w:rsidR="00796E61" w:rsidRPr="00FD7B0B" w:rsidRDefault="00796E61" w:rsidP="00796E61">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на 01.04.2024</w:t>
            </w:r>
          </w:p>
          <w:p w14:paraId="607BA5DD" w14:textId="77777777" w:rsidR="00796E61" w:rsidRPr="00FD7B0B" w:rsidRDefault="00796E61" w:rsidP="00796E61">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(ред. 19.03.2024)</w:t>
            </w:r>
          </w:p>
        </w:tc>
        <w:tc>
          <w:tcPr>
            <w:tcW w:w="1701" w:type="dxa"/>
            <w:shd w:val="clear" w:color="auto" w:fill="auto"/>
            <w:vAlign w:val="center"/>
            <w:hideMark/>
          </w:tcPr>
          <w:p w14:paraId="029706E0" w14:textId="77777777" w:rsidR="00796E61" w:rsidRPr="00FD7B0B" w:rsidRDefault="00796E61" w:rsidP="00796E61">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на 31.12.2024</w:t>
            </w:r>
          </w:p>
          <w:p w14:paraId="76EF6EF4" w14:textId="77777777" w:rsidR="00796E61" w:rsidRPr="00FD7B0B" w:rsidRDefault="00796E61" w:rsidP="00796E61">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(ред. 27.12.2024)</w:t>
            </w:r>
          </w:p>
        </w:tc>
        <w:tc>
          <w:tcPr>
            <w:tcW w:w="968" w:type="dxa"/>
            <w:shd w:val="clear" w:color="auto" w:fill="auto"/>
            <w:vAlign w:val="center"/>
            <w:hideMark/>
          </w:tcPr>
          <w:p w14:paraId="5A806D98" w14:textId="6D9DD715" w:rsidR="00796E61" w:rsidRPr="00FD7B0B" w:rsidRDefault="000560EB"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млн.руб.</w:t>
            </w:r>
          </w:p>
        </w:tc>
        <w:tc>
          <w:tcPr>
            <w:tcW w:w="826" w:type="dxa"/>
            <w:shd w:val="clear" w:color="auto" w:fill="auto"/>
            <w:noWrap/>
            <w:vAlign w:val="center"/>
            <w:hideMark/>
          </w:tcPr>
          <w:p w14:paraId="0BF940C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737D07DD" w14:textId="77777777" w:rsidTr="007056F7">
        <w:trPr>
          <w:trHeight w:hRule="exact" w:val="255"/>
        </w:trPr>
        <w:tc>
          <w:tcPr>
            <w:tcW w:w="4536" w:type="dxa"/>
            <w:shd w:val="clear" w:color="auto" w:fill="auto"/>
            <w:vAlign w:val="center"/>
            <w:hideMark/>
          </w:tcPr>
          <w:p w14:paraId="1D526FD0" w14:textId="77777777" w:rsidR="00796E61" w:rsidRPr="00FD7B0B" w:rsidRDefault="00796E61" w:rsidP="00796E61">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ГП № 10 (всего) в том числе:</w:t>
            </w:r>
          </w:p>
        </w:tc>
        <w:tc>
          <w:tcPr>
            <w:tcW w:w="1588" w:type="dxa"/>
            <w:shd w:val="clear" w:color="auto" w:fill="auto"/>
            <w:vAlign w:val="center"/>
            <w:hideMark/>
          </w:tcPr>
          <w:p w14:paraId="7E984837" w14:textId="77777777" w:rsidR="00796E61" w:rsidRPr="00FD7B0B" w:rsidRDefault="00796E61" w:rsidP="007056F7">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2 187,3</w:t>
            </w:r>
          </w:p>
        </w:tc>
        <w:tc>
          <w:tcPr>
            <w:tcW w:w="1701" w:type="dxa"/>
            <w:shd w:val="clear" w:color="auto" w:fill="auto"/>
            <w:vAlign w:val="center"/>
            <w:hideMark/>
          </w:tcPr>
          <w:p w14:paraId="33175506" w14:textId="77777777" w:rsidR="00796E61" w:rsidRPr="00FD7B0B" w:rsidRDefault="00796E61" w:rsidP="007056F7">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2 350,8</w:t>
            </w:r>
          </w:p>
        </w:tc>
        <w:tc>
          <w:tcPr>
            <w:tcW w:w="968" w:type="dxa"/>
            <w:shd w:val="clear" w:color="auto" w:fill="auto"/>
            <w:vAlign w:val="center"/>
            <w:hideMark/>
          </w:tcPr>
          <w:p w14:paraId="2125A884" w14:textId="77777777" w:rsidR="00796E61" w:rsidRPr="00FD7B0B" w:rsidRDefault="00796E61" w:rsidP="007056F7">
            <w:pPr>
              <w:spacing w:after="0" w:line="240" w:lineRule="auto"/>
              <w:jc w:val="right"/>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163,5</w:t>
            </w:r>
          </w:p>
        </w:tc>
        <w:tc>
          <w:tcPr>
            <w:tcW w:w="826" w:type="dxa"/>
            <w:shd w:val="clear" w:color="auto" w:fill="auto"/>
            <w:noWrap/>
            <w:vAlign w:val="center"/>
            <w:hideMark/>
          </w:tcPr>
          <w:p w14:paraId="3CBE818E" w14:textId="77777777" w:rsidR="00796E61" w:rsidRPr="00FD7B0B" w:rsidRDefault="00796E61" w:rsidP="007056F7">
            <w:pPr>
              <w:spacing w:after="0" w:line="240" w:lineRule="auto"/>
              <w:jc w:val="right"/>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7,5</w:t>
            </w:r>
          </w:p>
        </w:tc>
      </w:tr>
      <w:tr w:rsidR="00FD7B0B" w:rsidRPr="00FD7B0B" w14:paraId="2098045B" w14:textId="77777777" w:rsidTr="007056F7">
        <w:trPr>
          <w:trHeight w:hRule="exact" w:val="255"/>
        </w:trPr>
        <w:tc>
          <w:tcPr>
            <w:tcW w:w="4536" w:type="dxa"/>
            <w:shd w:val="clear" w:color="auto" w:fill="auto"/>
            <w:vAlign w:val="center"/>
            <w:hideMark/>
          </w:tcPr>
          <w:p w14:paraId="1EA39CFA"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 областной бюджет</w:t>
            </w:r>
          </w:p>
        </w:tc>
        <w:tc>
          <w:tcPr>
            <w:tcW w:w="1588" w:type="dxa"/>
            <w:shd w:val="clear" w:color="auto" w:fill="auto"/>
            <w:vAlign w:val="center"/>
            <w:hideMark/>
          </w:tcPr>
          <w:p w14:paraId="05C9E7AF"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2 131,6</w:t>
            </w:r>
          </w:p>
        </w:tc>
        <w:tc>
          <w:tcPr>
            <w:tcW w:w="1701" w:type="dxa"/>
            <w:shd w:val="clear" w:color="auto" w:fill="auto"/>
            <w:vAlign w:val="center"/>
            <w:hideMark/>
          </w:tcPr>
          <w:p w14:paraId="2DC9D547"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2 294,8</w:t>
            </w:r>
          </w:p>
        </w:tc>
        <w:tc>
          <w:tcPr>
            <w:tcW w:w="968" w:type="dxa"/>
            <w:shd w:val="clear" w:color="auto" w:fill="auto"/>
            <w:vAlign w:val="center"/>
            <w:hideMark/>
          </w:tcPr>
          <w:p w14:paraId="3307E12E"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163,2</w:t>
            </w:r>
          </w:p>
        </w:tc>
        <w:tc>
          <w:tcPr>
            <w:tcW w:w="826" w:type="dxa"/>
            <w:shd w:val="clear" w:color="auto" w:fill="auto"/>
            <w:noWrap/>
            <w:vAlign w:val="center"/>
            <w:hideMark/>
          </w:tcPr>
          <w:p w14:paraId="50567A20"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7,7</w:t>
            </w:r>
          </w:p>
        </w:tc>
      </w:tr>
      <w:tr w:rsidR="00FD7B0B" w:rsidRPr="00FD7B0B" w14:paraId="28F5B99C" w14:textId="77777777" w:rsidTr="007056F7">
        <w:trPr>
          <w:trHeight w:val="428"/>
        </w:trPr>
        <w:tc>
          <w:tcPr>
            <w:tcW w:w="4536" w:type="dxa"/>
            <w:shd w:val="clear" w:color="auto" w:fill="auto"/>
            <w:vAlign w:val="center"/>
            <w:hideMark/>
          </w:tcPr>
          <w:p w14:paraId="02EBCBAA"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консолидированные бюджеты муниципальных образований </w:t>
            </w:r>
          </w:p>
        </w:tc>
        <w:tc>
          <w:tcPr>
            <w:tcW w:w="1588" w:type="dxa"/>
            <w:shd w:val="clear" w:color="auto" w:fill="auto"/>
            <w:vAlign w:val="center"/>
            <w:hideMark/>
          </w:tcPr>
          <w:p w14:paraId="2AF0D981"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66,6</w:t>
            </w:r>
          </w:p>
        </w:tc>
        <w:tc>
          <w:tcPr>
            <w:tcW w:w="1701" w:type="dxa"/>
            <w:shd w:val="clear" w:color="auto" w:fill="auto"/>
            <w:vAlign w:val="center"/>
            <w:hideMark/>
          </w:tcPr>
          <w:p w14:paraId="74D4EBCD"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968" w:type="dxa"/>
            <w:shd w:val="clear" w:color="auto" w:fill="auto"/>
            <w:vAlign w:val="center"/>
            <w:hideMark/>
          </w:tcPr>
          <w:p w14:paraId="27670252"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-42,6</w:t>
            </w:r>
          </w:p>
        </w:tc>
        <w:tc>
          <w:tcPr>
            <w:tcW w:w="826" w:type="dxa"/>
            <w:shd w:val="clear" w:color="auto" w:fill="auto"/>
            <w:noWrap/>
            <w:vAlign w:val="center"/>
            <w:hideMark/>
          </w:tcPr>
          <w:p w14:paraId="35D0DE87"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-64,0</w:t>
            </w:r>
          </w:p>
        </w:tc>
      </w:tr>
      <w:tr w:rsidR="00FD7B0B" w:rsidRPr="00FD7B0B" w14:paraId="44F98FBB" w14:textId="77777777" w:rsidTr="007056F7">
        <w:trPr>
          <w:trHeight w:hRule="exact" w:val="255"/>
        </w:trPr>
        <w:tc>
          <w:tcPr>
            <w:tcW w:w="4536" w:type="dxa"/>
            <w:shd w:val="clear" w:color="auto" w:fill="auto"/>
            <w:vAlign w:val="center"/>
            <w:hideMark/>
          </w:tcPr>
          <w:p w14:paraId="75DE63F8"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внебюджетные средства</w:t>
            </w:r>
          </w:p>
        </w:tc>
        <w:tc>
          <w:tcPr>
            <w:tcW w:w="1588" w:type="dxa"/>
            <w:shd w:val="clear" w:color="auto" w:fill="auto"/>
            <w:vAlign w:val="center"/>
            <w:hideMark/>
          </w:tcPr>
          <w:p w14:paraId="6FAE1A2D"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44,0</w:t>
            </w:r>
          </w:p>
        </w:tc>
        <w:tc>
          <w:tcPr>
            <w:tcW w:w="1701" w:type="dxa"/>
            <w:shd w:val="clear" w:color="auto" w:fill="auto"/>
            <w:vAlign w:val="center"/>
            <w:hideMark/>
          </w:tcPr>
          <w:p w14:paraId="052F1E92"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32,0</w:t>
            </w:r>
          </w:p>
        </w:tc>
        <w:tc>
          <w:tcPr>
            <w:tcW w:w="968" w:type="dxa"/>
            <w:shd w:val="clear" w:color="auto" w:fill="auto"/>
            <w:vAlign w:val="center"/>
            <w:hideMark/>
          </w:tcPr>
          <w:p w14:paraId="7BB48201"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-12,0</w:t>
            </w:r>
          </w:p>
        </w:tc>
        <w:tc>
          <w:tcPr>
            <w:tcW w:w="826" w:type="dxa"/>
            <w:shd w:val="clear" w:color="auto" w:fill="auto"/>
            <w:noWrap/>
            <w:vAlign w:val="center"/>
            <w:hideMark/>
          </w:tcPr>
          <w:p w14:paraId="56EC5EB1"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-27,3</w:t>
            </w:r>
          </w:p>
        </w:tc>
      </w:tr>
      <w:tr w:rsidR="00FD7B0B" w:rsidRPr="00FD7B0B" w14:paraId="10427589" w14:textId="77777777" w:rsidTr="007056F7">
        <w:trPr>
          <w:trHeight w:hRule="exact" w:val="255"/>
        </w:trPr>
        <w:tc>
          <w:tcPr>
            <w:tcW w:w="4536" w:type="dxa"/>
            <w:shd w:val="clear" w:color="auto" w:fill="auto"/>
            <w:vAlign w:val="center"/>
            <w:hideMark/>
          </w:tcPr>
          <w:p w14:paraId="350BD432" w14:textId="77777777" w:rsidR="00796E61" w:rsidRPr="00FD7B0B" w:rsidRDefault="00796E61" w:rsidP="00796E61">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Проектная часть ГП № 10 (всего) в том числе:</w:t>
            </w:r>
          </w:p>
        </w:tc>
        <w:tc>
          <w:tcPr>
            <w:tcW w:w="1588" w:type="dxa"/>
            <w:shd w:val="clear" w:color="auto" w:fill="auto"/>
            <w:vAlign w:val="center"/>
            <w:hideMark/>
          </w:tcPr>
          <w:p w14:paraId="21D86526" w14:textId="77777777" w:rsidR="00796E61" w:rsidRPr="00FD7B0B" w:rsidRDefault="00796E61" w:rsidP="007056F7">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733,9</w:t>
            </w:r>
          </w:p>
        </w:tc>
        <w:tc>
          <w:tcPr>
            <w:tcW w:w="1701" w:type="dxa"/>
            <w:shd w:val="clear" w:color="auto" w:fill="auto"/>
            <w:vAlign w:val="center"/>
            <w:hideMark/>
          </w:tcPr>
          <w:p w14:paraId="05AD1443" w14:textId="77777777" w:rsidR="00796E61" w:rsidRPr="00FD7B0B" w:rsidRDefault="00796E61" w:rsidP="007056F7">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733,9</w:t>
            </w:r>
          </w:p>
        </w:tc>
        <w:tc>
          <w:tcPr>
            <w:tcW w:w="968" w:type="dxa"/>
            <w:shd w:val="clear" w:color="auto" w:fill="auto"/>
            <w:vAlign w:val="center"/>
            <w:hideMark/>
          </w:tcPr>
          <w:p w14:paraId="5BEEFD52"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26" w:type="dxa"/>
            <w:shd w:val="clear" w:color="auto" w:fill="auto"/>
            <w:noWrap/>
            <w:vAlign w:val="center"/>
            <w:hideMark/>
          </w:tcPr>
          <w:p w14:paraId="7A79085B"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6C2CA7FA" w14:textId="77777777" w:rsidTr="007056F7">
        <w:trPr>
          <w:trHeight w:hRule="exact" w:val="255"/>
        </w:trPr>
        <w:tc>
          <w:tcPr>
            <w:tcW w:w="4536" w:type="dxa"/>
            <w:shd w:val="clear" w:color="auto" w:fill="auto"/>
            <w:vAlign w:val="center"/>
            <w:hideMark/>
          </w:tcPr>
          <w:p w14:paraId="60A3C097"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областной бюджет</w:t>
            </w:r>
          </w:p>
        </w:tc>
        <w:tc>
          <w:tcPr>
            <w:tcW w:w="1588" w:type="dxa"/>
            <w:shd w:val="clear" w:color="auto" w:fill="auto"/>
            <w:vAlign w:val="center"/>
            <w:hideMark/>
          </w:tcPr>
          <w:p w14:paraId="05204710"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733,9</w:t>
            </w:r>
          </w:p>
        </w:tc>
        <w:tc>
          <w:tcPr>
            <w:tcW w:w="1701" w:type="dxa"/>
            <w:shd w:val="clear" w:color="auto" w:fill="auto"/>
            <w:vAlign w:val="center"/>
            <w:hideMark/>
          </w:tcPr>
          <w:p w14:paraId="4252DAFF"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733,9</w:t>
            </w:r>
          </w:p>
        </w:tc>
        <w:tc>
          <w:tcPr>
            <w:tcW w:w="968" w:type="dxa"/>
            <w:shd w:val="clear" w:color="auto" w:fill="auto"/>
            <w:vAlign w:val="center"/>
            <w:hideMark/>
          </w:tcPr>
          <w:p w14:paraId="7FA84C96"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826" w:type="dxa"/>
            <w:shd w:val="clear" w:color="auto" w:fill="auto"/>
            <w:noWrap/>
            <w:vAlign w:val="center"/>
            <w:hideMark/>
          </w:tcPr>
          <w:p w14:paraId="768F2288"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34768C70" w14:textId="77777777" w:rsidTr="007056F7">
        <w:trPr>
          <w:trHeight w:hRule="exact" w:val="255"/>
        </w:trPr>
        <w:tc>
          <w:tcPr>
            <w:tcW w:w="4536" w:type="dxa"/>
            <w:shd w:val="clear" w:color="auto" w:fill="auto"/>
            <w:vAlign w:val="center"/>
            <w:hideMark/>
          </w:tcPr>
          <w:p w14:paraId="0835034E"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РП "Чистая страна" в том числе:</w:t>
            </w:r>
          </w:p>
        </w:tc>
        <w:tc>
          <w:tcPr>
            <w:tcW w:w="1588" w:type="dxa"/>
            <w:shd w:val="clear" w:color="auto" w:fill="auto"/>
            <w:vAlign w:val="center"/>
            <w:hideMark/>
          </w:tcPr>
          <w:p w14:paraId="74CC86F2"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456,1</w:t>
            </w:r>
          </w:p>
        </w:tc>
        <w:tc>
          <w:tcPr>
            <w:tcW w:w="1701" w:type="dxa"/>
            <w:shd w:val="clear" w:color="auto" w:fill="auto"/>
            <w:vAlign w:val="center"/>
            <w:hideMark/>
          </w:tcPr>
          <w:p w14:paraId="6561FA48"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456,1</w:t>
            </w:r>
          </w:p>
        </w:tc>
        <w:tc>
          <w:tcPr>
            <w:tcW w:w="968" w:type="dxa"/>
            <w:shd w:val="clear" w:color="auto" w:fill="auto"/>
            <w:vAlign w:val="center"/>
            <w:hideMark/>
          </w:tcPr>
          <w:p w14:paraId="7ACB8C78"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26" w:type="dxa"/>
            <w:shd w:val="clear" w:color="auto" w:fill="auto"/>
            <w:noWrap/>
            <w:vAlign w:val="center"/>
            <w:hideMark/>
          </w:tcPr>
          <w:p w14:paraId="6DD8E282"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05A3305D" w14:textId="77777777" w:rsidTr="007056F7">
        <w:trPr>
          <w:trHeight w:hRule="exact" w:val="255"/>
        </w:trPr>
        <w:tc>
          <w:tcPr>
            <w:tcW w:w="4536" w:type="dxa"/>
            <w:shd w:val="clear" w:color="auto" w:fill="auto"/>
            <w:vAlign w:val="center"/>
            <w:hideMark/>
          </w:tcPr>
          <w:p w14:paraId="42F67E3A"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областной бюджет</w:t>
            </w:r>
          </w:p>
        </w:tc>
        <w:tc>
          <w:tcPr>
            <w:tcW w:w="1588" w:type="dxa"/>
            <w:shd w:val="clear" w:color="auto" w:fill="auto"/>
            <w:vAlign w:val="center"/>
            <w:hideMark/>
          </w:tcPr>
          <w:p w14:paraId="0555533C"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456,1</w:t>
            </w:r>
          </w:p>
        </w:tc>
        <w:tc>
          <w:tcPr>
            <w:tcW w:w="1701" w:type="dxa"/>
            <w:shd w:val="clear" w:color="auto" w:fill="auto"/>
            <w:vAlign w:val="center"/>
            <w:hideMark/>
          </w:tcPr>
          <w:p w14:paraId="3566E84F"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456,1</w:t>
            </w:r>
          </w:p>
        </w:tc>
        <w:tc>
          <w:tcPr>
            <w:tcW w:w="968" w:type="dxa"/>
            <w:shd w:val="clear" w:color="auto" w:fill="auto"/>
            <w:vAlign w:val="center"/>
            <w:hideMark/>
          </w:tcPr>
          <w:p w14:paraId="47EAEB6D"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26" w:type="dxa"/>
            <w:shd w:val="clear" w:color="auto" w:fill="auto"/>
            <w:noWrap/>
            <w:vAlign w:val="center"/>
            <w:hideMark/>
          </w:tcPr>
          <w:p w14:paraId="1A568E70"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61042C55" w14:textId="77777777" w:rsidTr="007056F7">
        <w:trPr>
          <w:trHeight w:val="626"/>
        </w:trPr>
        <w:tc>
          <w:tcPr>
            <w:tcW w:w="4536" w:type="dxa"/>
            <w:shd w:val="clear" w:color="auto" w:fill="auto"/>
            <w:hideMark/>
          </w:tcPr>
          <w:p w14:paraId="608312CF"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РП "Комплексная система обращения с твердыми коммунальными отходами"</w:t>
            </w:r>
            <w:r w:rsidRPr="00FD7B0B">
              <w:rPr>
                <w:rFonts w:ascii="Times New Roman" w:eastAsia="Times New Roman" w:hAnsi="Times New Roman" w:cs="Times New Roman"/>
                <w:sz w:val="18"/>
                <w:szCs w:val="18"/>
                <w:lang w:eastAsia="ru-RU"/>
              </w:rPr>
              <w:br/>
              <w:t>в том числе:</w:t>
            </w:r>
          </w:p>
        </w:tc>
        <w:tc>
          <w:tcPr>
            <w:tcW w:w="1588" w:type="dxa"/>
            <w:shd w:val="clear" w:color="auto" w:fill="auto"/>
            <w:vAlign w:val="center"/>
            <w:hideMark/>
          </w:tcPr>
          <w:p w14:paraId="1F7583CA"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277,8</w:t>
            </w:r>
          </w:p>
        </w:tc>
        <w:tc>
          <w:tcPr>
            <w:tcW w:w="1701" w:type="dxa"/>
            <w:shd w:val="clear" w:color="auto" w:fill="auto"/>
            <w:vAlign w:val="center"/>
            <w:hideMark/>
          </w:tcPr>
          <w:p w14:paraId="7A4DA822"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277,8</w:t>
            </w:r>
          </w:p>
        </w:tc>
        <w:tc>
          <w:tcPr>
            <w:tcW w:w="968" w:type="dxa"/>
            <w:shd w:val="clear" w:color="auto" w:fill="auto"/>
            <w:vAlign w:val="center"/>
            <w:hideMark/>
          </w:tcPr>
          <w:p w14:paraId="103812B2"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26" w:type="dxa"/>
            <w:shd w:val="clear" w:color="auto" w:fill="auto"/>
            <w:noWrap/>
            <w:vAlign w:val="center"/>
            <w:hideMark/>
          </w:tcPr>
          <w:p w14:paraId="5231F155"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7B2A6DF8" w14:textId="77777777" w:rsidTr="007056F7">
        <w:trPr>
          <w:trHeight w:hRule="exact" w:val="255"/>
        </w:trPr>
        <w:tc>
          <w:tcPr>
            <w:tcW w:w="4536" w:type="dxa"/>
            <w:shd w:val="clear" w:color="auto" w:fill="auto"/>
            <w:vAlign w:val="center"/>
            <w:hideMark/>
          </w:tcPr>
          <w:p w14:paraId="7825ACA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областной бюджет</w:t>
            </w:r>
          </w:p>
        </w:tc>
        <w:tc>
          <w:tcPr>
            <w:tcW w:w="1588" w:type="dxa"/>
            <w:shd w:val="clear" w:color="auto" w:fill="auto"/>
            <w:vAlign w:val="center"/>
            <w:hideMark/>
          </w:tcPr>
          <w:p w14:paraId="585D01C5"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277,8</w:t>
            </w:r>
          </w:p>
        </w:tc>
        <w:tc>
          <w:tcPr>
            <w:tcW w:w="1701" w:type="dxa"/>
            <w:shd w:val="clear" w:color="auto" w:fill="auto"/>
            <w:vAlign w:val="center"/>
            <w:hideMark/>
          </w:tcPr>
          <w:p w14:paraId="0319B584"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277,8</w:t>
            </w:r>
          </w:p>
        </w:tc>
        <w:tc>
          <w:tcPr>
            <w:tcW w:w="968" w:type="dxa"/>
            <w:shd w:val="clear" w:color="auto" w:fill="auto"/>
            <w:vAlign w:val="center"/>
            <w:hideMark/>
          </w:tcPr>
          <w:p w14:paraId="0C553F5B"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26" w:type="dxa"/>
            <w:shd w:val="clear" w:color="auto" w:fill="auto"/>
            <w:noWrap/>
            <w:vAlign w:val="center"/>
            <w:hideMark/>
          </w:tcPr>
          <w:p w14:paraId="3D6C3498"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4522D14A" w14:textId="77777777" w:rsidTr="007056F7">
        <w:trPr>
          <w:trHeight w:hRule="exact" w:val="255"/>
        </w:trPr>
        <w:tc>
          <w:tcPr>
            <w:tcW w:w="9619" w:type="dxa"/>
            <w:gridSpan w:val="5"/>
            <w:shd w:val="clear" w:color="auto" w:fill="auto"/>
            <w:vAlign w:val="center"/>
            <w:hideMark/>
          </w:tcPr>
          <w:p w14:paraId="25C9ADF2" w14:textId="77777777" w:rsidR="00796E61" w:rsidRPr="00FD7B0B" w:rsidRDefault="00796E61" w:rsidP="00796E61">
            <w:pPr>
              <w:spacing w:after="0" w:line="240" w:lineRule="auto"/>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Процессная часть ГП № 10</w:t>
            </w:r>
          </w:p>
        </w:tc>
      </w:tr>
      <w:tr w:rsidR="00FD7B0B" w:rsidRPr="00FD7B0B" w14:paraId="6E7A83BC" w14:textId="77777777" w:rsidTr="007056F7">
        <w:trPr>
          <w:trHeight w:hRule="exact" w:val="255"/>
        </w:trPr>
        <w:tc>
          <w:tcPr>
            <w:tcW w:w="4536" w:type="dxa"/>
            <w:shd w:val="clear" w:color="auto" w:fill="auto"/>
            <w:hideMark/>
          </w:tcPr>
          <w:p w14:paraId="63C3DC72"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(всего), в том числе:</w:t>
            </w:r>
          </w:p>
        </w:tc>
        <w:tc>
          <w:tcPr>
            <w:tcW w:w="1588" w:type="dxa"/>
            <w:shd w:val="clear" w:color="auto" w:fill="auto"/>
            <w:vAlign w:val="center"/>
            <w:hideMark/>
          </w:tcPr>
          <w:p w14:paraId="6BECF613" w14:textId="77777777" w:rsidR="00796E61" w:rsidRPr="00FD7B0B" w:rsidRDefault="00796E61" w:rsidP="007056F7">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1 453,4</w:t>
            </w:r>
          </w:p>
        </w:tc>
        <w:tc>
          <w:tcPr>
            <w:tcW w:w="1701" w:type="dxa"/>
            <w:shd w:val="clear" w:color="auto" w:fill="auto"/>
            <w:vAlign w:val="center"/>
            <w:hideMark/>
          </w:tcPr>
          <w:p w14:paraId="7CA92FFC" w14:textId="77777777" w:rsidR="00796E61" w:rsidRPr="00FD7B0B" w:rsidRDefault="00796E61" w:rsidP="007056F7">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1 616,9</w:t>
            </w:r>
          </w:p>
        </w:tc>
        <w:tc>
          <w:tcPr>
            <w:tcW w:w="968" w:type="dxa"/>
            <w:shd w:val="clear" w:color="auto" w:fill="auto"/>
            <w:vAlign w:val="center"/>
            <w:hideMark/>
          </w:tcPr>
          <w:p w14:paraId="01A2C4C5" w14:textId="77777777" w:rsidR="00796E61" w:rsidRPr="00FD7B0B" w:rsidRDefault="00796E61" w:rsidP="007056F7">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163,5</w:t>
            </w:r>
          </w:p>
        </w:tc>
        <w:tc>
          <w:tcPr>
            <w:tcW w:w="826" w:type="dxa"/>
            <w:shd w:val="clear" w:color="auto" w:fill="auto"/>
            <w:noWrap/>
            <w:vAlign w:val="center"/>
            <w:hideMark/>
          </w:tcPr>
          <w:p w14:paraId="5C637489" w14:textId="77777777" w:rsidR="00796E61" w:rsidRPr="00FD7B0B" w:rsidRDefault="00796E61" w:rsidP="007056F7">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11,2</w:t>
            </w:r>
          </w:p>
        </w:tc>
      </w:tr>
      <w:tr w:rsidR="00FD7B0B" w:rsidRPr="00FD7B0B" w14:paraId="0EC1D89C" w14:textId="77777777" w:rsidTr="007056F7">
        <w:trPr>
          <w:trHeight w:hRule="exact" w:val="255"/>
        </w:trPr>
        <w:tc>
          <w:tcPr>
            <w:tcW w:w="4536" w:type="dxa"/>
            <w:shd w:val="clear" w:color="auto" w:fill="auto"/>
            <w:vAlign w:val="center"/>
            <w:hideMark/>
          </w:tcPr>
          <w:p w14:paraId="6D1CB20A"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областной бюджет</w:t>
            </w:r>
          </w:p>
        </w:tc>
        <w:tc>
          <w:tcPr>
            <w:tcW w:w="1588" w:type="dxa"/>
            <w:shd w:val="clear" w:color="auto" w:fill="auto"/>
            <w:vAlign w:val="center"/>
            <w:hideMark/>
          </w:tcPr>
          <w:p w14:paraId="00E71575"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1 397,7</w:t>
            </w:r>
          </w:p>
        </w:tc>
        <w:tc>
          <w:tcPr>
            <w:tcW w:w="1701" w:type="dxa"/>
            <w:shd w:val="clear" w:color="auto" w:fill="auto"/>
            <w:vAlign w:val="center"/>
            <w:hideMark/>
          </w:tcPr>
          <w:p w14:paraId="3C2EEBAB"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1 560,9</w:t>
            </w:r>
          </w:p>
        </w:tc>
        <w:tc>
          <w:tcPr>
            <w:tcW w:w="968" w:type="dxa"/>
            <w:shd w:val="clear" w:color="auto" w:fill="auto"/>
            <w:vAlign w:val="center"/>
            <w:hideMark/>
          </w:tcPr>
          <w:p w14:paraId="6F13C182"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163,2</w:t>
            </w:r>
          </w:p>
        </w:tc>
        <w:tc>
          <w:tcPr>
            <w:tcW w:w="826" w:type="dxa"/>
            <w:shd w:val="clear" w:color="auto" w:fill="auto"/>
            <w:noWrap/>
            <w:vAlign w:val="center"/>
            <w:hideMark/>
          </w:tcPr>
          <w:p w14:paraId="63F37AFB"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11,7</w:t>
            </w:r>
          </w:p>
        </w:tc>
      </w:tr>
      <w:tr w:rsidR="00FD7B0B" w:rsidRPr="00FD7B0B" w14:paraId="490EA9F5" w14:textId="77777777" w:rsidTr="007056F7">
        <w:trPr>
          <w:trHeight w:val="395"/>
        </w:trPr>
        <w:tc>
          <w:tcPr>
            <w:tcW w:w="4536" w:type="dxa"/>
            <w:shd w:val="clear" w:color="auto" w:fill="auto"/>
            <w:vAlign w:val="center"/>
            <w:hideMark/>
          </w:tcPr>
          <w:p w14:paraId="3D9FA1F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консолидированные бюджеты муниципальных образований </w:t>
            </w:r>
          </w:p>
        </w:tc>
        <w:tc>
          <w:tcPr>
            <w:tcW w:w="1588" w:type="dxa"/>
            <w:shd w:val="clear" w:color="auto" w:fill="auto"/>
            <w:vAlign w:val="center"/>
            <w:hideMark/>
          </w:tcPr>
          <w:p w14:paraId="3014D9D8"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66,6</w:t>
            </w:r>
          </w:p>
        </w:tc>
        <w:tc>
          <w:tcPr>
            <w:tcW w:w="1701" w:type="dxa"/>
            <w:shd w:val="clear" w:color="auto" w:fill="auto"/>
            <w:vAlign w:val="center"/>
            <w:hideMark/>
          </w:tcPr>
          <w:p w14:paraId="2AF602E5"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968" w:type="dxa"/>
            <w:shd w:val="clear" w:color="auto" w:fill="auto"/>
            <w:vAlign w:val="center"/>
            <w:hideMark/>
          </w:tcPr>
          <w:p w14:paraId="3AD9D359"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-42,6</w:t>
            </w:r>
          </w:p>
        </w:tc>
        <w:tc>
          <w:tcPr>
            <w:tcW w:w="826" w:type="dxa"/>
            <w:shd w:val="clear" w:color="auto" w:fill="auto"/>
            <w:noWrap/>
            <w:vAlign w:val="center"/>
            <w:hideMark/>
          </w:tcPr>
          <w:p w14:paraId="518DD419"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-64,0</w:t>
            </w:r>
          </w:p>
        </w:tc>
      </w:tr>
      <w:tr w:rsidR="00FD7B0B" w:rsidRPr="00FD7B0B" w14:paraId="6C76B62A" w14:textId="77777777" w:rsidTr="007056F7">
        <w:trPr>
          <w:trHeight w:hRule="exact" w:val="255"/>
        </w:trPr>
        <w:tc>
          <w:tcPr>
            <w:tcW w:w="4536" w:type="dxa"/>
            <w:shd w:val="clear" w:color="auto" w:fill="auto"/>
            <w:vAlign w:val="center"/>
            <w:hideMark/>
          </w:tcPr>
          <w:p w14:paraId="529B04E7"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внебюджетные средства</w:t>
            </w:r>
          </w:p>
        </w:tc>
        <w:tc>
          <w:tcPr>
            <w:tcW w:w="1588" w:type="dxa"/>
            <w:shd w:val="clear" w:color="auto" w:fill="auto"/>
            <w:vAlign w:val="center"/>
            <w:hideMark/>
          </w:tcPr>
          <w:p w14:paraId="2017F726"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44,0</w:t>
            </w:r>
          </w:p>
        </w:tc>
        <w:tc>
          <w:tcPr>
            <w:tcW w:w="1701" w:type="dxa"/>
            <w:shd w:val="clear" w:color="auto" w:fill="auto"/>
            <w:vAlign w:val="center"/>
            <w:hideMark/>
          </w:tcPr>
          <w:p w14:paraId="52712F7D"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32,0</w:t>
            </w:r>
          </w:p>
        </w:tc>
        <w:tc>
          <w:tcPr>
            <w:tcW w:w="968" w:type="dxa"/>
            <w:shd w:val="clear" w:color="auto" w:fill="auto"/>
            <w:vAlign w:val="center"/>
            <w:hideMark/>
          </w:tcPr>
          <w:p w14:paraId="5B37C193" w14:textId="77777777" w:rsidR="00796E61" w:rsidRPr="00FD7B0B" w:rsidRDefault="00796E61" w:rsidP="007056F7">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-12,0</w:t>
            </w:r>
          </w:p>
        </w:tc>
        <w:tc>
          <w:tcPr>
            <w:tcW w:w="826" w:type="dxa"/>
            <w:shd w:val="clear" w:color="auto" w:fill="auto"/>
            <w:noWrap/>
            <w:vAlign w:val="center"/>
            <w:hideMark/>
          </w:tcPr>
          <w:p w14:paraId="050A0537" w14:textId="77777777" w:rsidR="00796E61" w:rsidRPr="00FD7B0B" w:rsidRDefault="00796E61" w:rsidP="007056F7">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-27,3</w:t>
            </w:r>
          </w:p>
        </w:tc>
      </w:tr>
    </w:tbl>
    <w:p w14:paraId="60F75073" w14:textId="77777777" w:rsidR="007056F7" w:rsidRPr="00FD7B0B" w:rsidRDefault="007056F7" w:rsidP="007056F7">
      <w:pPr>
        <w:spacing w:after="0" w:line="240" w:lineRule="auto"/>
        <w:ind w:firstLine="708"/>
        <w:jc w:val="both"/>
        <w:rPr>
          <w:rFonts w:ascii="Times New Roman" w:eastAsia="Calibri" w:hAnsi="Times New Roman" w:cs="Times New Roman"/>
          <w:sz w:val="28"/>
          <w:szCs w:val="28"/>
        </w:rPr>
      </w:pPr>
    </w:p>
    <w:p w14:paraId="65D2C5D1" w14:textId="41C1AB2C" w:rsidR="00796E61" w:rsidRPr="00FD7B0B" w:rsidRDefault="00796E61" w:rsidP="007056F7">
      <w:pPr>
        <w:spacing w:after="0" w:line="240" w:lineRule="auto"/>
        <w:ind w:firstLine="708"/>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Сведения о изменениях в отчетном периоде в разрезе структурных элементов и исполнителей ГП № 10 представлены в таблице </w:t>
      </w:r>
      <w:r w:rsidR="0059379C" w:rsidRPr="00FD7B0B">
        <w:rPr>
          <w:rFonts w:ascii="Times New Roman" w:eastAsia="Calibri" w:hAnsi="Times New Roman" w:cs="Times New Roman"/>
          <w:sz w:val="28"/>
          <w:szCs w:val="28"/>
        </w:rPr>
        <w:t>147</w:t>
      </w:r>
      <w:r w:rsidRPr="00FD7B0B">
        <w:rPr>
          <w:rFonts w:ascii="Times New Roman" w:eastAsia="Calibri" w:hAnsi="Times New Roman" w:cs="Times New Roman"/>
          <w:sz w:val="28"/>
          <w:szCs w:val="28"/>
        </w:rPr>
        <w:t>.</w:t>
      </w:r>
    </w:p>
    <w:p w14:paraId="61FBCE5F" w14:textId="77777777" w:rsidR="00796E61" w:rsidRPr="00FD7B0B" w:rsidRDefault="00796E61" w:rsidP="007056F7">
      <w:pPr>
        <w:spacing w:after="0" w:line="240" w:lineRule="auto"/>
        <w:ind w:firstLine="708"/>
        <w:jc w:val="both"/>
        <w:rPr>
          <w:rFonts w:ascii="Times New Roman" w:eastAsia="Calibri" w:hAnsi="Times New Roman" w:cs="Times New Roman"/>
          <w:sz w:val="28"/>
          <w:szCs w:val="28"/>
        </w:rPr>
      </w:pPr>
    </w:p>
    <w:p w14:paraId="1428FE7D" w14:textId="53511D70" w:rsidR="00796E61" w:rsidRPr="00FD7B0B" w:rsidRDefault="00796E61" w:rsidP="00796E61">
      <w:pPr>
        <w:keepNext/>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147</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Показатели Закона «Об областном бюджете» в части изменения бюджетных ассигнований на реализацию Г</w:t>
      </w:r>
      <w:r w:rsidR="005D594B" w:rsidRPr="00FD7B0B">
        <w:rPr>
          <w:rFonts w:ascii="Times New Roman" w:eastAsia="Calibri" w:hAnsi="Times New Roman" w:cs="Times New Roman"/>
          <w:bCs/>
          <w:sz w:val="24"/>
          <w:szCs w:val="24"/>
        </w:rPr>
        <w:t>П № 10 по исполнителям</w:t>
      </w:r>
    </w:p>
    <w:tbl>
      <w:tblPr>
        <w:tblW w:w="959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5514"/>
        <w:gridCol w:w="1200"/>
        <w:gridCol w:w="1240"/>
        <w:gridCol w:w="907"/>
        <w:gridCol w:w="737"/>
      </w:tblGrid>
      <w:tr w:rsidR="00FD7B0B" w:rsidRPr="00FD7B0B" w14:paraId="04A81BB0" w14:textId="77777777" w:rsidTr="005D594B">
        <w:trPr>
          <w:trHeight w:val="44"/>
          <w:tblHeader/>
        </w:trPr>
        <w:tc>
          <w:tcPr>
            <w:tcW w:w="5514" w:type="dxa"/>
            <w:vMerge w:val="restart"/>
            <w:shd w:val="clear" w:color="auto" w:fill="auto"/>
            <w:vAlign w:val="center"/>
            <w:hideMark/>
          </w:tcPr>
          <w:p w14:paraId="03B7AB13"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структурного элемента государственной программы, исполнитель</w:t>
            </w:r>
          </w:p>
        </w:tc>
        <w:tc>
          <w:tcPr>
            <w:tcW w:w="1200" w:type="dxa"/>
            <w:vMerge w:val="restart"/>
            <w:shd w:val="clear" w:color="auto" w:fill="auto"/>
            <w:vAlign w:val="center"/>
            <w:hideMark/>
          </w:tcPr>
          <w:p w14:paraId="382AAB14"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Закон в ред. на 01.01.2024, млн.руб.</w:t>
            </w:r>
          </w:p>
        </w:tc>
        <w:tc>
          <w:tcPr>
            <w:tcW w:w="1240" w:type="dxa"/>
            <w:vMerge w:val="restart"/>
            <w:shd w:val="clear" w:color="auto" w:fill="auto"/>
            <w:vAlign w:val="center"/>
            <w:hideMark/>
          </w:tcPr>
          <w:p w14:paraId="57F1FA6D"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Закон в ред. на 31.12.2024, млн.руб.</w:t>
            </w:r>
          </w:p>
        </w:tc>
        <w:tc>
          <w:tcPr>
            <w:tcW w:w="1644" w:type="dxa"/>
            <w:gridSpan w:val="2"/>
            <w:shd w:val="clear" w:color="auto" w:fill="auto"/>
            <w:vAlign w:val="center"/>
            <w:hideMark/>
          </w:tcPr>
          <w:p w14:paraId="79211178"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Изменения (+/-)</w:t>
            </w:r>
          </w:p>
        </w:tc>
      </w:tr>
      <w:tr w:rsidR="00FD7B0B" w:rsidRPr="00FD7B0B" w14:paraId="60316923" w14:textId="77777777" w:rsidTr="005D594B">
        <w:trPr>
          <w:trHeight w:val="77"/>
          <w:tblHeader/>
        </w:trPr>
        <w:tc>
          <w:tcPr>
            <w:tcW w:w="5514" w:type="dxa"/>
            <w:vMerge/>
            <w:vAlign w:val="center"/>
            <w:hideMark/>
          </w:tcPr>
          <w:p w14:paraId="403AE26A"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p>
        </w:tc>
        <w:tc>
          <w:tcPr>
            <w:tcW w:w="1200" w:type="dxa"/>
            <w:vMerge/>
            <w:vAlign w:val="center"/>
            <w:hideMark/>
          </w:tcPr>
          <w:p w14:paraId="2E0CCE2E" w14:textId="77777777" w:rsidR="00796E61" w:rsidRPr="00FD7B0B" w:rsidRDefault="00796E61" w:rsidP="00796E61">
            <w:pPr>
              <w:spacing w:after="0" w:line="240" w:lineRule="auto"/>
              <w:rPr>
                <w:rFonts w:ascii="Times New Roman" w:eastAsia="Times New Roman" w:hAnsi="Times New Roman" w:cs="Times New Roman"/>
                <w:sz w:val="16"/>
                <w:szCs w:val="16"/>
                <w:lang w:eastAsia="ru-RU"/>
              </w:rPr>
            </w:pPr>
          </w:p>
        </w:tc>
        <w:tc>
          <w:tcPr>
            <w:tcW w:w="1240" w:type="dxa"/>
            <w:vMerge/>
            <w:vAlign w:val="center"/>
            <w:hideMark/>
          </w:tcPr>
          <w:p w14:paraId="3C4E941A" w14:textId="77777777" w:rsidR="00796E61" w:rsidRPr="00FD7B0B" w:rsidRDefault="00796E61" w:rsidP="00796E61">
            <w:pPr>
              <w:spacing w:after="0" w:line="240" w:lineRule="auto"/>
              <w:rPr>
                <w:rFonts w:ascii="Times New Roman" w:eastAsia="Times New Roman" w:hAnsi="Times New Roman" w:cs="Times New Roman"/>
                <w:sz w:val="16"/>
                <w:szCs w:val="16"/>
                <w:lang w:eastAsia="ru-RU"/>
              </w:rPr>
            </w:pPr>
          </w:p>
        </w:tc>
        <w:tc>
          <w:tcPr>
            <w:tcW w:w="907" w:type="dxa"/>
            <w:shd w:val="clear" w:color="auto" w:fill="auto"/>
            <w:vAlign w:val="center"/>
            <w:hideMark/>
          </w:tcPr>
          <w:p w14:paraId="2D9477AC"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млн.руб.</w:t>
            </w:r>
          </w:p>
        </w:tc>
        <w:tc>
          <w:tcPr>
            <w:tcW w:w="737" w:type="dxa"/>
            <w:shd w:val="clear" w:color="auto" w:fill="auto"/>
            <w:vAlign w:val="center"/>
            <w:hideMark/>
          </w:tcPr>
          <w:p w14:paraId="33BFCD3D"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r>
      <w:tr w:rsidR="00FD7B0B" w:rsidRPr="00FD7B0B" w14:paraId="109F3491" w14:textId="77777777" w:rsidTr="005D594B">
        <w:trPr>
          <w:trHeight w:hRule="exact" w:val="255"/>
        </w:trPr>
        <w:tc>
          <w:tcPr>
            <w:tcW w:w="5514" w:type="dxa"/>
            <w:shd w:val="clear" w:color="auto" w:fill="auto"/>
            <w:vAlign w:val="center"/>
            <w:hideMark/>
          </w:tcPr>
          <w:p w14:paraId="629B4498" w14:textId="77777777" w:rsidR="00796E61" w:rsidRPr="00FD7B0B" w:rsidRDefault="00796E61" w:rsidP="00796E61">
            <w:pPr>
              <w:spacing w:after="0" w:line="240" w:lineRule="auto"/>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 xml:space="preserve">Проектная часть </w:t>
            </w:r>
          </w:p>
        </w:tc>
        <w:tc>
          <w:tcPr>
            <w:tcW w:w="1200" w:type="dxa"/>
            <w:shd w:val="clear" w:color="auto" w:fill="auto"/>
            <w:vAlign w:val="center"/>
            <w:hideMark/>
          </w:tcPr>
          <w:p w14:paraId="79A37619"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733,9</w:t>
            </w:r>
          </w:p>
        </w:tc>
        <w:tc>
          <w:tcPr>
            <w:tcW w:w="1240" w:type="dxa"/>
            <w:shd w:val="clear" w:color="auto" w:fill="auto"/>
            <w:vAlign w:val="center"/>
            <w:hideMark/>
          </w:tcPr>
          <w:p w14:paraId="0EF69917"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733,9</w:t>
            </w:r>
          </w:p>
        </w:tc>
        <w:tc>
          <w:tcPr>
            <w:tcW w:w="907" w:type="dxa"/>
            <w:shd w:val="clear" w:color="auto" w:fill="auto"/>
            <w:vAlign w:val="center"/>
            <w:hideMark/>
          </w:tcPr>
          <w:p w14:paraId="255BD283"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0,0</w:t>
            </w:r>
          </w:p>
        </w:tc>
        <w:tc>
          <w:tcPr>
            <w:tcW w:w="737" w:type="dxa"/>
            <w:shd w:val="clear" w:color="auto" w:fill="auto"/>
            <w:vAlign w:val="center"/>
            <w:hideMark/>
          </w:tcPr>
          <w:p w14:paraId="4EA7A62F"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0,0</w:t>
            </w:r>
          </w:p>
        </w:tc>
      </w:tr>
      <w:tr w:rsidR="00FD7B0B" w:rsidRPr="00FD7B0B" w14:paraId="00A47848" w14:textId="77777777" w:rsidTr="005D594B">
        <w:trPr>
          <w:trHeight w:hRule="exact" w:val="255"/>
        </w:trPr>
        <w:tc>
          <w:tcPr>
            <w:tcW w:w="5514" w:type="dxa"/>
            <w:shd w:val="clear" w:color="auto" w:fill="auto"/>
            <w:vAlign w:val="center"/>
            <w:hideMark/>
          </w:tcPr>
          <w:p w14:paraId="46B049D6"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минлеспром АО</w:t>
            </w:r>
          </w:p>
        </w:tc>
        <w:tc>
          <w:tcPr>
            <w:tcW w:w="1200" w:type="dxa"/>
            <w:shd w:val="clear" w:color="auto" w:fill="auto"/>
            <w:vAlign w:val="center"/>
            <w:hideMark/>
          </w:tcPr>
          <w:p w14:paraId="740D6231"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733,9</w:t>
            </w:r>
          </w:p>
        </w:tc>
        <w:tc>
          <w:tcPr>
            <w:tcW w:w="1240" w:type="dxa"/>
            <w:shd w:val="clear" w:color="auto" w:fill="auto"/>
            <w:vAlign w:val="center"/>
            <w:hideMark/>
          </w:tcPr>
          <w:p w14:paraId="407CEEA2"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733,9</w:t>
            </w:r>
          </w:p>
        </w:tc>
        <w:tc>
          <w:tcPr>
            <w:tcW w:w="907" w:type="dxa"/>
            <w:shd w:val="clear" w:color="auto" w:fill="auto"/>
            <w:vAlign w:val="center"/>
            <w:hideMark/>
          </w:tcPr>
          <w:p w14:paraId="13DB8802"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737" w:type="dxa"/>
            <w:shd w:val="clear" w:color="auto" w:fill="auto"/>
            <w:vAlign w:val="center"/>
            <w:hideMark/>
          </w:tcPr>
          <w:p w14:paraId="67FD6F52"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r>
      <w:tr w:rsidR="00FD7B0B" w:rsidRPr="00FD7B0B" w14:paraId="5654A021" w14:textId="77777777" w:rsidTr="005D594B">
        <w:trPr>
          <w:trHeight w:hRule="exact" w:val="255"/>
        </w:trPr>
        <w:tc>
          <w:tcPr>
            <w:tcW w:w="5514" w:type="dxa"/>
            <w:shd w:val="clear" w:color="auto" w:fill="auto"/>
            <w:vAlign w:val="center"/>
            <w:hideMark/>
          </w:tcPr>
          <w:p w14:paraId="40A70D51" w14:textId="77777777" w:rsidR="00796E61" w:rsidRPr="00FD7B0B" w:rsidRDefault="00796E61" w:rsidP="00796E61">
            <w:pPr>
              <w:spacing w:after="240" w:line="240" w:lineRule="auto"/>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Региональный проект "Чистая страна"</w:t>
            </w:r>
          </w:p>
        </w:tc>
        <w:tc>
          <w:tcPr>
            <w:tcW w:w="1200" w:type="dxa"/>
            <w:shd w:val="clear" w:color="auto" w:fill="auto"/>
            <w:vAlign w:val="center"/>
            <w:hideMark/>
          </w:tcPr>
          <w:p w14:paraId="63B6A7E1" w14:textId="77777777" w:rsidR="00796E61" w:rsidRPr="00FD7B0B" w:rsidRDefault="00796E61" w:rsidP="005D594B">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456,1</w:t>
            </w:r>
          </w:p>
        </w:tc>
        <w:tc>
          <w:tcPr>
            <w:tcW w:w="1240" w:type="dxa"/>
            <w:shd w:val="clear" w:color="auto" w:fill="auto"/>
            <w:vAlign w:val="center"/>
            <w:hideMark/>
          </w:tcPr>
          <w:p w14:paraId="715344AB" w14:textId="77777777" w:rsidR="00796E61" w:rsidRPr="00FD7B0B" w:rsidRDefault="00796E61" w:rsidP="005D594B">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456,1</w:t>
            </w:r>
          </w:p>
        </w:tc>
        <w:tc>
          <w:tcPr>
            <w:tcW w:w="907" w:type="dxa"/>
            <w:shd w:val="clear" w:color="auto" w:fill="auto"/>
            <w:vAlign w:val="center"/>
            <w:hideMark/>
          </w:tcPr>
          <w:p w14:paraId="227E3D79" w14:textId="77777777" w:rsidR="00796E61" w:rsidRPr="00FD7B0B" w:rsidRDefault="00796E61" w:rsidP="005D594B">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c>
          <w:tcPr>
            <w:tcW w:w="737" w:type="dxa"/>
            <w:shd w:val="clear" w:color="auto" w:fill="auto"/>
            <w:vAlign w:val="center"/>
            <w:hideMark/>
          </w:tcPr>
          <w:p w14:paraId="60090D6B" w14:textId="77777777" w:rsidR="00796E61" w:rsidRPr="00FD7B0B" w:rsidRDefault="00796E61" w:rsidP="005D594B">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r>
      <w:tr w:rsidR="00FD7B0B" w:rsidRPr="00FD7B0B" w14:paraId="23F06622" w14:textId="77777777" w:rsidTr="005D594B">
        <w:trPr>
          <w:trHeight w:hRule="exact" w:val="255"/>
        </w:trPr>
        <w:tc>
          <w:tcPr>
            <w:tcW w:w="5514" w:type="dxa"/>
            <w:shd w:val="clear" w:color="auto" w:fill="auto"/>
            <w:vAlign w:val="center"/>
            <w:hideMark/>
          </w:tcPr>
          <w:p w14:paraId="078FFF2A"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минлеспром АО</w:t>
            </w:r>
          </w:p>
        </w:tc>
        <w:tc>
          <w:tcPr>
            <w:tcW w:w="1200" w:type="dxa"/>
            <w:shd w:val="clear" w:color="auto" w:fill="auto"/>
            <w:vAlign w:val="center"/>
            <w:hideMark/>
          </w:tcPr>
          <w:p w14:paraId="3A3C9452"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456,1</w:t>
            </w:r>
          </w:p>
        </w:tc>
        <w:tc>
          <w:tcPr>
            <w:tcW w:w="1240" w:type="dxa"/>
            <w:shd w:val="clear" w:color="auto" w:fill="auto"/>
            <w:vAlign w:val="center"/>
            <w:hideMark/>
          </w:tcPr>
          <w:p w14:paraId="4112F21E"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456,1</w:t>
            </w:r>
          </w:p>
        </w:tc>
        <w:tc>
          <w:tcPr>
            <w:tcW w:w="907" w:type="dxa"/>
            <w:shd w:val="clear" w:color="auto" w:fill="auto"/>
            <w:vAlign w:val="center"/>
            <w:hideMark/>
          </w:tcPr>
          <w:p w14:paraId="0EDF4B0F"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737" w:type="dxa"/>
            <w:shd w:val="clear" w:color="auto" w:fill="auto"/>
            <w:vAlign w:val="center"/>
            <w:hideMark/>
          </w:tcPr>
          <w:p w14:paraId="274F2FFB"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r>
      <w:tr w:rsidR="00FD7B0B" w:rsidRPr="00FD7B0B" w14:paraId="4FBFD8D9" w14:textId="77777777" w:rsidTr="009D2FD0">
        <w:trPr>
          <w:trHeight w:val="245"/>
        </w:trPr>
        <w:tc>
          <w:tcPr>
            <w:tcW w:w="5514" w:type="dxa"/>
            <w:shd w:val="clear" w:color="auto" w:fill="auto"/>
            <w:vAlign w:val="center"/>
            <w:hideMark/>
          </w:tcPr>
          <w:p w14:paraId="588AF7CC" w14:textId="77777777" w:rsidR="00796E61" w:rsidRPr="00FD7B0B" w:rsidRDefault="00796E61" w:rsidP="005D594B">
            <w:pPr>
              <w:spacing w:after="0" w:line="240" w:lineRule="auto"/>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Региональный проект "Комплексная система обращения с твердыми коммунальными отходами"</w:t>
            </w:r>
          </w:p>
        </w:tc>
        <w:tc>
          <w:tcPr>
            <w:tcW w:w="1200" w:type="dxa"/>
            <w:shd w:val="clear" w:color="auto" w:fill="auto"/>
            <w:vAlign w:val="center"/>
            <w:hideMark/>
          </w:tcPr>
          <w:p w14:paraId="665137F5" w14:textId="77777777" w:rsidR="00796E61" w:rsidRPr="00FD7B0B" w:rsidRDefault="00796E61" w:rsidP="005D594B">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277,8</w:t>
            </w:r>
          </w:p>
        </w:tc>
        <w:tc>
          <w:tcPr>
            <w:tcW w:w="1240" w:type="dxa"/>
            <w:shd w:val="clear" w:color="auto" w:fill="auto"/>
            <w:vAlign w:val="center"/>
            <w:hideMark/>
          </w:tcPr>
          <w:p w14:paraId="54DC8C97" w14:textId="77777777" w:rsidR="00796E61" w:rsidRPr="00FD7B0B" w:rsidRDefault="00796E61" w:rsidP="005D594B">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277,8</w:t>
            </w:r>
          </w:p>
        </w:tc>
        <w:tc>
          <w:tcPr>
            <w:tcW w:w="907" w:type="dxa"/>
            <w:shd w:val="clear" w:color="auto" w:fill="auto"/>
            <w:vAlign w:val="center"/>
            <w:hideMark/>
          </w:tcPr>
          <w:p w14:paraId="2C0A6DD9" w14:textId="77777777" w:rsidR="00796E61" w:rsidRPr="00FD7B0B" w:rsidRDefault="00796E61" w:rsidP="005D594B">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c>
          <w:tcPr>
            <w:tcW w:w="737" w:type="dxa"/>
            <w:shd w:val="clear" w:color="auto" w:fill="auto"/>
            <w:vAlign w:val="center"/>
            <w:hideMark/>
          </w:tcPr>
          <w:p w14:paraId="2724F460" w14:textId="77777777" w:rsidR="00796E61" w:rsidRPr="00FD7B0B" w:rsidRDefault="00796E61" w:rsidP="005D594B">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r>
      <w:tr w:rsidR="00FD7B0B" w:rsidRPr="00FD7B0B" w14:paraId="73B4D9E5" w14:textId="77777777" w:rsidTr="005D594B">
        <w:trPr>
          <w:trHeight w:hRule="exact" w:val="255"/>
        </w:trPr>
        <w:tc>
          <w:tcPr>
            <w:tcW w:w="5514" w:type="dxa"/>
            <w:shd w:val="clear" w:color="auto" w:fill="auto"/>
            <w:vAlign w:val="center"/>
            <w:hideMark/>
          </w:tcPr>
          <w:p w14:paraId="0DEECBBC"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минлеспром АО</w:t>
            </w:r>
          </w:p>
        </w:tc>
        <w:tc>
          <w:tcPr>
            <w:tcW w:w="1200" w:type="dxa"/>
            <w:shd w:val="clear" w:color="auto" w:fill="auto"/>
            <w:vAlign w:val="center"/>
            <w:hideMark/>
          </w:tcPr>
          <w:p w14:paraId="1D0AA90A"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277,8</w:t>
            </w:r>
          </w:p>
        </w:tc>
        <w:tc>
          <w:tcPr>
            <w:tcW w:w="1240" w:type="dxa"/>
            <w:shd w:val="clear" w:color="auto" w:fill="auto"/>
            <w:vAlign w:val="center"/>
            <w:hideMark/>
          </w:tcPr>
          <w:p w14:paraId="3D03B1E2"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277,8</w:t>
            </w:r>
          </w:p>
        </w:tc>
        <w:tc>
          <w:tcPr>
            <w:tcW w:w="907" w:type="dxa"/>
            <w:shd w:val="clear" w:color="auto" w:fill="auto"/>
            <w:vAlign w:val="center"/>
            <w:hideMark/>
          </w:tcPr>
          <w:p w14:paraId="51CC0F5B"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737" w:type="dxa"/>
            <w:shd w:val="clear" w:color="auto" w:fill="auto"/>
            <w:vAlign w:val="center"/>
            <w:hideMark/>
          </w:tcPr>
          <w:p w14:paraId="1C75F140"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r>
      <w:tr w:rsidR="00FD7B0B" w:rsidRPr="00FD7B0B" w14:paraId="2EAC2576" w14:textId="77777777" w:rsidTr="005D594B">
        <w:trPr>
          <w:trHeight w:hRule="exact" w:val="255"/>
        </w:trPr>
        <w:tc>
          <w:tcPr>
            <w:tcW w:w="5514" w:type="dxa"/>
            <w:shd w:val="clear" w:color="auto" w:fill="auto"/>
            <w:hideMark/>
          </w:tcPr>
          <w:p w14:paraId="7C18287D" w14:textId="77777777" w:rsidR="00796E61" w:rsidRPr="00FD7B0B" w:rsidRDefault="00796E61" w:rsidP="00796E61">
            <w:pPr>
              <w:spacing w:after="0" w:line="240" w:lineRule="auto"/>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 xml:space="preserve">КПМ </w:t>
            </w:r>
          </w:p>
        </w:tc>
        <w:tc>
          <w:tcPr>
            <w:tcW w:w="1200" w:type="dxa"/>
            <w:shd w:val="clear" w:color="auto" w:fill="auto"/>
            <w:vAlign w:val="center"/>
            <w:hideMark/>
          </w:tcPr>
          <w:p w14:paraId="45D63ED1"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1 397,7</w:t>
            </w:r>
          </w:p>
        </w:tc>
        <w:tc>
          <w:tcPr>
            <w:tcW w:w="1240" w:type="dxa"/>
            <w:shd w:val="clear" w:color="auto" w:fill="auto"/>
            <w:vAlign w:val="center"/>
            <w:hideMark/>
          </w:tcPr>
          <w:p w14:paraId="4734B80F"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1 629,5</w:t>
            </w:r>
          </w:p>
        </w:tc>
        <w:tc>
          <w:tcPr>
            <w:tcW w:w="907" w:type="dxa"/>
            <w:shd w:val="clear" w:color="auto" w:fill="auto"/>
            <w:vAlign w:val="center"/>
            <w:hideMark/>
          </w:tcPr>
          <w:p w14:paraId="4C85F303"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231,8</w:t>
            </w:r>
          </w:p>
        </w:tc>
        <w:tc>
          <w:tcPr>
            <w:tcW w:w="737" w:type="dxa"/>
            <w:shd w:val="clear" w:color="auto" w:fill="auto"/>
            <w:vAlign w:val="center"/>
            <w:hideMark/>
          </w:tcPr>
          <w:p w14:paraId="49C89294"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16,6</w:t>
            </w:r>
          </w:p>
        </w:tc>
      </w:tr>
      <w:tr w:rsidR="00FD7B0B" w:rsidRPr="00FD7B0B" w14:paraId="1AF09951" w14:textId="77777777" w:rsidTr="005D594B">
        <w:trPr>
          <w:trHeight w:hRule="exact" w:val="255"/>
        </w:trPr>
        <w:tc>
          <w:tcPr>
            <w:tcW w:w="5514" w:type="dxa"/>
            <w:shd w:val="clear" w:color="auto" w:fill="auto"/>
            <w:vAlign w:val="center"/>
            <w:hideMark/>
          </w:tcPr>
          <w:p w14:paraId="1D25F6B6"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минлеспром АО</w:t>
            </w:r>
          </w:p>
        </w:tc>
        <w:tc>
          <w:tcPr>
            <w:tcW w:w="1200" w:type="dxa"/>
            <w:shd w:val="clear" w:color="auto" w:fill="auto"/>
            <w:vAlign w:val="center"/>
            <w:hideMark/>
          </w:tcPr>
          <w:p w14:paraId="54766B99"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1 120,5</w:t>
            </w:r>
          </w:p>
        </w:tc>
        <w:tc>
          <w:tcPr>
            <w:tcW w:w="1240" w:type="dxa"/>
            <w:shd w:val="clear" w:color="auto" w:fill="auto"/>
            <w:vAlign w:val="center"/>
            <w:hideMark/>
          </w:tcPr>
          <w:p w14:paraId="5E0AB15C"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1 352,3</w:t>
            </w:r>
          </w:p>
        </w:tc>
        <w:tc>
          <w:tcPr>
            <w:tcW w:w="907" w:type="dxa"/>
            <w:shd w:val="clear" w:color="auto" w:fill="auto"/>
            <w:vAlign w:val="center"/>
            <w:hideMark/>
          </w:tcPr>
          <w:p w14:paraId="5B42FC06"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231,8</w:t>
            </w:r>
          </w:p>
        </w:tc>
        <w:tc>
          <w:tcPr>
            <w:tcW w:w="737" w:type="dxa"/>
            <w:shd w:val="clear" w:color="auto" w:fill="auto"/>
            <w:vAlign w:val="center"/>
            <w:hideMark/>
          </w:tcPr>
          <w:p w14:paraId="33CB57B5"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20,7</w:t>
            </w:r>
          </w:p>
        </w:tc>
      </w:tr>
      <w:tr w:rsidR="00FD7B0B" w:rsidRPr="00FD7B0B" w14:paraId="632054D1" w14:textId="77777777" w:rsidTr="005D594B">
        <w:trPr>
          <w:trHeight w:val="343"/>
        </w:trPr>
        <w:tc>
          <w:tcPr>
            <w:tcW w:w="5514" w:type="dxa"/>
            <w:shd w:val="clear" w:color="auto" w:fill="auto"/>
            <w:vAlign w:val="center"/>
            <w:hideMark/>
          </w:tcPr>
          <w:p w14:paraId="1B3674BF"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министерство имущественных отношений Архангельской области</w:t>
            </w:r>
          </w:p>
        </w:tc>
        <w:tc>
          <w:tcPr>
            <w:tcW w:w="1200" w:type="dxa"/>
            <w:shd w:val="clear" w:color="auto" w:fill="auto"/>
            <w:vAlign w:val="center"/>
            <w:hideMark/>
          </w:tcPr>
          <w:p w14:paraId="13297F55"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204,5</w:t>
            </w:r>
          </w:p>
        </w:tc>
        <w:tc>
          <w:tcPr>
            <w:tcW w:w="1240" w:type="dxa"/>
            <w:shd w:val="clear" w:color="auto" w:fill="auto"/>
            <w:vAlign w:val="center"/>
            <w:hideMark/>
          </w:tcPr>
          <w:p w14:paraId="3A069F58"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204,5</w:t>
            </w:r>
          </w:p>
        </w:tc>
        <w:tc>
          <w:tcPr>
            <w:tcW w:w="907" w:type="dxa"/>
            <w:shd w:val="clear" w:color="auto" w:fill="auto"/>
            <w:vAlign w:val="center"/>
            <w:hideMark/>
          </w:tcPr>
          <w:p w14:paraId="2B1BC70A"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737" w:type="dxa"/>
            <w:shd w:val="clear" w:color="auto" w:fill="auto"/>
            <w:vAlign w:val="center"/>
            <w:hideMark/>
          </w:tcPr>
          <w:p w14:paraId="63AF9CD4"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r>
      <w:tr w:rsidR="00FD7B0B" w:rsidRPr="00FD7B0B" w14:paraId="5EA18610" w14:textId="77777777" w:rsidTr="005D594B">
        <w:trPr>
          <w:trHeight w:val="435"/>
        </w:trPr>
        <w:tc>
          <w:tcPr>
            <w:tcW w:w="5514" w:type="dxa"/>
            <w:shd w:val="clear" w:color="auto" w:fill="auto"/>
            <w:vAlign w:val="center"/>
            <w:hideMark/>
          </w:tcPr>
          <w:p w14:paraId="6A62D407"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министерство строительства и архитектуры Архангельской области</w:t>
            </w:r>
          </w:p>
        </w:tc>
        <w:tc>
          <w:tcPr>
            <w:tcW w:w="1200" w:type="dxa"/>
            <w:shd w:val="clear" w:color="auto" w:fill="auto"/>
            <w:vAlign w:val="center"/>
            <w:hideMark/>
          </w:tcPr>
          <w:p w14:paraId="6C6D0547"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72,7</w:t>
            </w:r>
          </w:p>
        </w:tc>
        <w:tc>
          <w:tcPr>
            <w:tcW w:w="1240" w:type="dxa"/>
            <w:shd w:val="clear" w:color="auto" w:fill="auto"/>
            <w:vAlign w:val="center"/>
            <w:hideMark/>
          </w:tcPr>
          <w:p w14:paraId="2D7074D9"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72,7</w:t>
            </w:r>
          </w:p>
        </w:tc>
        <w:tc>
          <w:tcPr>
            <w:tcW w:w="907" w:type="dxa"/>
            <w:shd w:val="clear" w:color="auto" w:fill="auto"/>
            <w:vAlign w:val="center"/>
            <w:hideMark/>
          </w:tcPr>
          <w:p w14:paraId="4E3F6CA4"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737" w:type="dxa"/>
            <w:shd w:val="clear" w:color="auto" w:fill="auto"/>
            <w:vAlign w:val="center"/>
            <w:hideMark/>
          </w:tcPr>
          <w:p w14:paraId="7237B82D" w14:textId="77777777" w:rsidR="00796E61" w:rsidRPr="00FD7B0B" w:rsidRDefault="00796E61" w:rsidP="005D594B">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r>
      <w:tr w:rsidR="00FD7B0B" w:rsidRPr="00FD7B0B" w14:paraId="50580D59" w14:textId="77777777" w:rsidTr="005D594B">
        <w:trPr>
          <w:trHeight w:hRule="exact" w:val="255"/>
        </w:trPr>
        <w:tc>
          <w:tcPr>
            <w:tcW w:w="5514" w:type="dxa"/>
            <w:shd w:val="clear" w:color="auto" w:fill="auto"/>
            <w:vAlign w:val="center"/>
            <w:hideMark/>
          </w:tcPr>
          <w:p w14:paraId="75A10D6B" w14:textId="77777777" w:rsidR="00796E61" w:rsidRPr="00FD7B0B" w:rsidRDefault="00796E61" w:rsidP="00796E61">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госпрограмме</w:t>
            </w:r>
          </w:p>
        </w:tc>
        <w:tc>
          <w:tcPr>
            <w:tcW w:w="1200" w:type="dxa"/>
            <w:shd w:val="clear" w:color="auto" w:fill="auto"/>
            <w:vAlign w:val="center"/>
            <w:hideMark/>
          </w:tcPr>
          <w:p w14:paraId="3E8CBA82" w14:textId="77777777" w:rsidR="00796E61" w:rsidRPr="00FD7B0B" w:rsidRDefault="00796E61" w:rsidP="005D594B">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2 131,6</w:t>
            </w:r>
          </w:p>
        </w:tc>
        <w:tc>
          <w:tcPr>
            <w:tcW w:w="1240" w:type="dxa"/>
            <w:shd w:val="clear" w:color="auto" w:fill="auto"/>
            <w:vAlign w:val="center"/>
            <w:hideMark/>
          </w:tcPr>
          <w:p w14:paraId="37DBD1C9" w14:textId="77777777" w:rsidR="00796E61" w:rsidRPr="00FD7B0B" w:rsidRDefault="00796E61" w:rsidP="005D594B">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2 363,4</w:t>
            </w:r>
          </w:p>
        </w:tc>
        <w:tc>
          <w:tcPr>
            <w:tcW w:w="907" w:type="dxa"/>
            <w:shd w:val="clear" w:color="auto" w:fill="auto"/>
            <w:vAlign w:val="center"/>
            <w:hideMark/>
          </w:tcPr>
          <w:p w14:paraId="070BED94"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231,8</w:t>
            </w:r>
          </w:p>
        </w:tc>
        <w:tc>
          <w:tcPr>
            <w:tcW w:w="737" w:type="dxa"/>
            <w:shd w:val="clear" w:color="auto" w:fill="auto"/>
            <w:vAlign w:val="center"/>
            <w:hideMark/>
          </w:tcPr>
          <w:p w14:paraId="6FA60D45" w14:textId="77777777" w:rsidR="00796E61" w:rsidRPr="00FD7B0B" w:rsidRDefault="00796E61" w:rsidP="005D594B">
            <w:pPr>
              <w:spacing w:after="0" w:line="240" w:lineRule="auto"/>
              <w:jc w:val="right"/>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10,9</w:t>
            </w:r>
          </w:p>
        </w:tc>
      </w:tr>
      <w:tr w:rsidR="00FD7B0B" w:rsidRPr="00FD7B0B" w14:paraId="415468F6" w14:textId="77777777" w:rsidTr="005D594B">
        <w:trPr>
          <w:trHeight w:hRule="exact" w:val="255"/>
        </w:trPr>
        <w:tc>
          <w:tcPr>
            <w:tcW w:w="5514" w:type="dxa"/>
            <w:shd w:val="clear" w:color="auto" w:fill="auto"/>
            <w:vAlign w:val="center"/>
            <w:hideMark/>
          </w:tcPr>
          <w:p w14:paraId="5D04DDC8"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минлеспром АО</w:t>
            </w:r>
          </w:p>
        </w:tc>
        <w:tc>
          <w:tcPr>
            <w:tcW w:w="1200" w:type="dxa"/>
            <w:shd w:val="clear" w:color="auto" w:fill="auto"/>
            <w:vAlign w:val="center"/>
            <w:hideMark/>
          </w:tcPr>
          <w:p w14:paraId="1EBD2251"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1 854,4</w:t>
            </w:r>
          </w:p>
        </w:tc>
        <w:tc>
          <w:tcPr>
            <w:tcW w:w="1240" w:type="dxa"/>
            <w:shd w:val="clear" w:color="auto" w:fill="auto"/>
            <w:vAlign w:val="center"/>
            <w:hideMark/>
          </w:tcPr>
          <w:p w14:paraId="58DA3D0A"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2 086,2</w:t>
            </w:r>
          </w:p>
        </w:tc>
        <w:tc>
          <w:tcPr>
            <w:tcW w:w="907" w:type="dxa"/>
            <w:shd w:val="clear" w:color="auto" w:fill="auto"/>
            <w:vAlign w:val="center"/>
            <w:hideMark/>
          </w:tcPr>
          <w:p w14:paraId="47648AA4"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231,8</w:t>
            </w:r>
          </w:p>
        </w:tc>
        <w:tc>
          <w:tcPr>
            <w:tcW w:w="737" w:type="dxa"/>
            <w:shd w:val="clear" w:color="auto" w:fill="auto"/>
            <w:vAlign w:val="center"/>
            <w:hideMark/>
          </w:tcPr>
          <w:p w14:paraId="77277F88"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12,5</w:t>
            </w:r>
          </w:p>
        </w:tc>
      </w:tr>
      <w:tr w:rsidR="00FD7B0B" w:rsidRPr="00FD7B0B" w14:paraId="15C24860" w14:textId="77777777" w:rsidTr="005D594B">
        <w:trPr>
          <w:trHeight w:val="306"/>
        </w:trPr>
        <w:tc>
          <w:tcPr>
            <w:tcW w:w="5514" w:type="dxa"/>
            <w:shd w:val="clear" w:color="auto" w:fill="auto"/>
            <w:vAlign w:val="center"/>
            <w:hideMark/>
          </w:tcPr>
          <w:p w14:paraId="5E4B7637"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министерство имущественных отношений Архангельской области</w:t>
            </w:r>
          </w:p>
        </w:tc>
        <w:tc>
          <w:tcPr>
            <w:tcW w:w="1200" w:type="dxa"/>
            <w:shd w:val="clear" w:color="auto" w:fill="auto"/>
            <w:vAlign w:val="center"/>
            <w:hideMark/>
          </w:tcPr>
          <w:p w14:paraId="1002F573"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204,5</w:t>
            </w:r>
          </w:p>
        </w:tc>
        <w:tc>
          <w:tcPr>
            <w:tcW w:w="1240" w:type="dxa"/>
            <w:shd w:val="clear" w:color="auto" w:fill="auto"/>
            <w:vAlign w:val="center"/>
            <w:hideMark/>
          </w:tcPr>
          <w:p w14:paraId="5C8EEB9B"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204,5</w:t>
            </w:r>
          </w:p>
        </w:tc>
        <w:tc>
          <w:tcPr>
            <w:tcW w:w="907" w:type="dxa"/>
            <w:shd w:val="clear" w:color="auto" w:fill="auto"/>
            <w:vAlign w:val="center"/>
            <w:hideMark/>
          </w:tcPr>
          <w:p w14:paraId="71F1874D"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737" w:type="dxa"/>
            <w:shd w:val="clear" w:color="auto" w:fill="auto"/>
            <w:vAlign w:val="center"/>
            <w:hideMark/>
          </w:tcPr>
          <w:p w14:paraId="59E087B0"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796E61" w:rsidRPr="00FD7B0B" w14:paraId="06F4773F" w14:textId="77777777" w:rsidTr="005D594B">
        <w:trPr>
          <w:trHeight w:val="256"/>
        </w:trPr>
        <w:tc>
          <w:tcPr>
            <w:tcW w:w="5514" w:type="dxa"/>
            <w:shd w:val="clear" w:color="auto" w:fill="auto"/>
            <w:vAlign w:val="center"/>
            <w:hideMark/>
          </w:tcPr>
          <w:p w14:paraId="595F51C2"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министерство строительства и архитектуры Архангельской области</w:t>
            </w:r>
          </w:p>
        </w:tc>
        <w:tc>
          <w:tcPr>
            <w:tcW w:w="1200" w:type="dxa"/>
            <w:shd w:val="clear" w:color="auto" w:fill="auto"/>
            <w:vAlign w:val="center"/>
            <w:hideMark/>
          </w:tcPr>
          <w:p w14:paraId="38D052DF"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72,7</w:t>
            </w:r>
          </w:p>
        </w:tc>
        <w:tc>
          <w:tcPr>
            <w:tcW w:w="1240" w:type="dxa"/>
            <w:shd w:val="clear" w:color="auto" w:fill="auto"/>
            <w:vAlign w:val="center"/>
            <w:hideMark/>
          </w:tcPr>
          <w:p w14:paraId="2B081539"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72,7</w:t>
            </w:r>
          </w:p>
        </w:tc>
        <w:tc>
          <w:tcPr>
            <w:tcW w:w="907" w:type="dxa"/>
            <w:shd w:val="clear" w:color="auto" w:fill="auto"/>
            <w:vAlign w:val="center"/>
            <w:hideMark/>
          </w:tcPr>
          <w:p w14:paraId="7022E7DF"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737" w:type="dxa"/>
            <w:shd w:val="clear" w:color="auto" w:fill="auto"/>
            <w:vAlign w:val="center"/>
            <w:hideMark/>
          </w:tcPr>
          <w:p w14:paraId="062650C0" w14:textId="77777777" w:rsidR="00796E61" w:rsidRPr="00FD7B0B" w:rsidRDefault="00796E61" w:rsidP="005D594B">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bl>
    <w:p w14:paraId="6B8F66C7" w14:textId="77777777" w:rsidR="00796E61" w:rsidRPr="00FD7B0B" w:rsidRDefault="00796E61" w:rsidP="00796E61">
      <w:pPr>
        <w:spacing w:after="0" w:line="240" w:lineRule="auto"/>
        <w:ind w:right="-1" w:firstLine="709"/>
        <w:jc w:val="both"/>
        <w:rPr>
          <w:rFonts w:ascii="Times New Roman" w:eastAsia="Calibri" w:hAnsi="Times New Roman" w:cs="Times New Roman"/>
          <w:sz w:val="28"/>
          <w:szCs w:val="28"/>
        </w:rPr>
      </w:pPr>
    </w:p>
    <w:p w14:paraId="7766D7A7" w14:textId="77777777" w:rsidR="00796E61" w:rsidRPr="00FD7B0B" w:rsidRDefault="00796E61" w:rsidP="00796E61">
      <w:pPr>
        <w:spacing w:after="0" w:line="240" w:lineRule="auto"/>
        <w:ind w:right="-1"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Увеличение ассигнований на реализацию ГП № 10 минлеспрому АО за 2024 год на 34,2 % обусловлено увеличением финансирования на сумму 348,7 млн.руб. региональному оператору по обращению с ТКО (ООО «ЭкоИнтегратор») с 1 019,7 млн.руб. до 1 368,4 млн.руб. и одновременно снятием финансирования с мероприятий в сфере охраны окружающей среды, осуществляемых ГБУ АО «Центр природопользования и охраны окружающей среды» (далее ГБУ АО Центр) на 56,4 млн.руб. (с 679,3 до 622,9), снятие субсидии бюджетам муниципальных образований Архангельской области на сумму 55,0 млн.руб., сокращение расходов по социальному обеспечению и иных выплат населению на сумму 3,2 млн.руб. и по закупкам товаров, работ и услуг для обеспечения государственных нужд на 2,2 млн.руб.</w:t>
      </w:r>
    </w:p>
    <w:p w14:paraId="3F6C0925" w14:textId="30FDC604" w:rsidR="00796E61" w:rsidRPr="00FD7B0B" w:rsidRDefault="00796E61" w:rsidP="00796E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Сопоставление объемов финансирования, утвержденных ГП № 10 и бюджетных ассигнований на ее реализацию, утвержденных законом «Об областном бюджете» и уточненной СБР в разрезе структурных элементов представлено в таблице </w:t>
      </w:r>
      <w:r w:rsidR="0059379C" w:rsidRPr="00FD7B0B">
        <w:rPr>
          <w:rFonts w:ascii="Times New Roman" w:eastAsia="Calibri" w:hAnsi="Times New Roman" w:cs="Times New Roman"/>
          <w:sz w:val="28"/>
          <w:szCs w:val="28"/>
        </w:rPr>
        <w:t>148</w:t>
      </w:r>
      <w:r w:rsidR="005D594B" w:rsidRPr="00FD7B0B">
        <w:rPr>
          <w:rFonts w:ascii="Times New Roman" w:eastAsia="Calibri" w:hAnsi="Times New Roman" w:cs="Times New Roman"/>
          <w:sz w:val="28"/>
          <w:szCs w:val="28"/>
        </w:rPr>
        <w:t>.</w:t>
      </w:r>
    </w:p>
    <w:p w14:paraId="2EA7A470" w14:textId="77777777" w:rsidR="00796E61" w:rsidRPr="00FD7B0B" w:rsidRDefault="00796E61" w:rsidP="00796E61">
      <w:pPr>
        <w:spacing w:after="0" w:line="240" w:lineRule="auto"/>
        <w:ind w:firstLine="709"/>
        <w:jc w:val="both"/>
        <w:rPr>
          <w:rFonts w:ascii="Times New Roman" w:eastAsia="Calibri" w:hAnsi="Times New Roman" w:cs="Times New Roman"/>
          <w:sz w:val="28"/>
          <w:szCs w:val="28"/>
        </w:rPr>
      </w:pPr>
    </w:p>
    <w:p w14:paraId="705C27EA" w14:textId="77777777" w:rsidR="00796E61" w:rsidRPr="00FD7B0B" w:rsidRDefault="00796E61" w:rsidP="00796E61">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148</w:t>
      </w:r>
      <w:r w:rsidRPr="00FD7B0B">
        <w:rPr>
          <w:rFonts w:ascii="Times New Roman" w:hAnsi="Times New Roman"/>
          <w:b w:val="0"/>
          <w:sz w:val="24"/>
          <w:szCs w:val="24"/>
        </w:rPr>
        <w:fldChar w:fldCharType="end"/>
      </w:r>
      <w:r w:rsidRPr="00FD7B0B">
        <w:rPr>
          <w:rFonts w:ascii="Times New Roman" w:hAnsi="Times New Roman"/>
          <w:b w:val="0"/>
          <w:sz w:val="24"/>
          <w:szCs w:val="24"/>
        </w:rPr>
        <w:t>. Сопоставление объемов финансирования, утвержденных ГП № 10 и бюджетных ассигнований на ее реализацию, утвержденных законом «Об областном бюджете» и уточненной СБР на 2024 год, млн.руб.</w:t>
      </w:r>
    </w:p>
    <w:tbl>
      <w:tblPr>
        <w:tblW w:w="976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387"/>
        <w:gridCol w:w="1837"/>
        <w:gridCol w:w="1134"/>
        <w:gridCol w:w="850"/>
        <w:gridCol w:w="1134"/>
        <w:gridCol w:w="709"/>
        <w:gridCol w:w="714"/>
      </w:tblGrid>
      <w:tr w:rsidR="00FD7B0B" w:rsidRPr="00FD7B0B" w14:paraId="0AE27ACA" w14:textId="77777777" w:rsidTr="00A9452F">
        <w:trPr>
          <w:trHeight w:val="938"/>
          <w:tblHeader/>
        </w:trPr>
        <w:tc>
          <w:tcPr>
            <w:tcW w:w="3387" w:type="dxa"/>
            <w:shd w:val="clear" w:color="auto" w:fill="auto"/>
            <w:vAlign w:val="center"/>
            <w:hideMark/>
          </w:tcPr>
          <w:p w14:paraId="1A7423F0"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Наименование структурного элемента ГП № 10</w:t>
            </w:r>
          </w:p>
        </w:tc>
        <w:tc>
          <w:tcPr>
            <w:tcW w:w="1837" w:type="dxa"/>
            <w:shd w:val="clear" w:color="auto" w:fill="auto"/>
            <w:vAlign w:val="center"/>
            <w:hideMark/>
          </w:tcPr>
          <w:p w14:paraId="74935F43"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Показатели госпрограммы по средствам ОБ на 31.12.2024 (в ред. от 27.12.2024)</w:t>
            </w:r>
          </w:p>
        </w:tc>
        <w:tc>
          <w:tcPr>
            <w:tcW w:w="1134" w:type="dxa"/>
            <w:shd w:val="clear" w:color="auto" w:fill="auto"/>
            <w:vAlign w:val="center"/>
            <w:hideMark/>
          </w:tcPr>
          <w:p w14:paraId="54BA8C91"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Показатели закона о бюджете на 31.12.2024, млн.руб.</w:t>
            </w:r>
          </w:p>
        </w:tc>
        <w:tc>
          <w:tcPr>
            <w:tcW w:w="850" w:type="dxa"/>
            <w:shd w:val="clear" w:color="auto" w:fill="auto"/>
            <w:vAlign w:val="center"/>
            <w:hideMark/>
          </w:tcPr>
          <w:p w14:paraId="13AF8101"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Отклонение (+/-)</w:t>
            </w:r>
          </w:p>
        </w:tc>
        <w:tc>
          <w:tcPr>
            <w:tcW w:w="1134" w:type="dxa"/>
            <w:shd w:val="clear" w:color="auto" w:fill="auto"/>
            <w:vAlign w:val="center"/>
            <w:hideMark/>
          </w:tcPr>
          <w:p w14:paraId="4EF4AD2C"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Показатели СБР на 31.12.2024</w:t>
            </w:r>
          </w:p>
        </w:tc>
        <w:tc>
          <w:tcPr>
            <w:tcW w:w="1423" w:type="dxa"/>
            <w:gridSpan w:val="2"/>
            <w:shd w:val="clear" w:color="auto" w:fill="auto"/>
            <w:vAlign w:val="center"/>
            <w:hideMark/>
          </w:tcPr>
          <w:p w14:paraId="1BA45876"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Отклонение (+/-)</w:t>
            </w:r>
          </w:p>
        </w:tc>
      </w:tr>
      <w:tr w:rsidR="00FD7B0B" w:rsidRPr="00FD7B0B" w14:paraId="0BCAFC87" w14:textId="77777777" w:rsidTr="00A9452F">
        <w:trPr>
          <w:trHeight w:val="250"/>
        </w:trPr>
        <w:tc>
          <w:tcPr>
            <w:tcW w:w="3387" w:type="dxa"/>
            <w:shd w:val="clear" w:color="auto" w:fill="auto"/>
            <w:vAlign w:val="center"/>
            <w:hideMark/>
          </w:tcPr>
          <w:p w14:paraId="2D8D5BA5"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А</w:t>
            </w:r>
          </w:p>
        </w:tc>
        <w:tc>
          <w:tcPr>
            <w:tcW w:w="1837" w:type="dxa"/>
            <w:shd w:val="clear" w:color="auto" w:fill="auto"/>
            <w:vAlign w:val="center"/>
            <w:hideMark/>
          </w:tcPr>
          <w:p w14:paraId="23018EA0"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1134" w:type="dxa"/>
            <w:shd w:val="clear" w:color="auto" w:fill="auto"/>
            <w:vAlign w:val="center"/>
            <w:hideMark/>
          </w:tcPr>
          <w:p w14:paraId="0DC9671F"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850" w:type="dxa"/>
            <w:shd w:val="clear" w:color="auto" w:fill="auto"/>
            <w:vAlign w:val="center"/>
            <w:hideMark/>
          </w:tcPr>
          <w:p w14:paraId="0285BF52"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3=2-1</w:t>
            </w:r>
          </w:p>
        </w:tc>
        <w:tc>
          <w:tcPr>
            <w:tcW w:w="1134" w:type="dxa"/>
            <w:shd w:val="clear" w:color="auto" w:fill="auto"/>
            <w:vAlign w:val="center"/>
            <w:hideMark/>
          </w:tcPr>
          <w:p w14:paraId="600962F6"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w:t>
            </w:r>
          </w:p>
        </w:tc>
        <w:tc>
          <w:tcPr>
            <w:tcW w:w="709" w:type="dxa"/>
            <w:shd w:val="clear" w:color="auto" w:fill="auto"/>
            <w:vAlign w:val="center"/>
            <w:hideMark/>
          </w:tcPr>
          <w:p w14:paraId="63265DB8"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5=4-1</w:t>
            </w:r>
          </w:p>
        </w:tc>
        <w:tc>
          <w:tcPr>
            <w:tcW w:w="714" w:type="dxa"/>
            <w:shd w:val="clear" w:color="auto" w:fill="auto"/>
            <w:vAlign w:val="center"/>
            <w:hideMark/>
          </w:tcPr>
          <w:p w14:paraId="51E65155"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6=4-2</w:t>
            </w:r>
          </w:p>
        </w:tc>
      </w:tr>
      <w:tr w:rsidR="00FD7B0B" w:rsidRPr="00FD7B0B" w14:paraId="14000E6D" w14:textId="77777777" w:rsidTr="00A9452F">
        <w:trPr>
          <w:trHeight w:val="144"/>
        </w:trPr>
        <w:tc>
          <w:tcPr>
            <w:tcW w:w="3387" w:type="dxa"/>
            <w:shd w:val="clear" w:color="auto" w:fill="auto"/>
            <w:vAlign w:val="center"/>
            <w:hideMark/>
          </w:tcPr>
          <w:p w14:paraId="054687EF" w14:textId="77777777" w:rsidR="00796E61" w:rsidRPr="00FD7B0B" w:rsidRDefault="00796E61" w:rsidP="00796E61">
            <w:pPr>
              <w:spacing w:after="0" w:line="240" w:lineRule="auto"/>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 xml:space="preserve">Проектная часть </w:t>
            </w:r>
          </w:p>
        </w:tc>
        <w:tc>
          <w:tcPr>
            <w:tcW w:w="1837" w:type="dxa"/>
            <w:shd w:val="clear" w:color="auto" w:fill="auto"/>
            <w:vAlign w:val="center"/>
            <w:hideMark/>
          </w:tcPr>
          <w:p w14:paraId="7DD99AD6"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733,9</w:t>
            </w:r>
          </w:p>
        </w:tc>
        <w:tc>
          <w:tcPr>
            <w:tcW w:w="1134" w:type="dxa"/>
            <w:shd w:val="clear" w:color="auto" w:fill="auto"/>
            <w:vAlign w:val="center"/>
            <w:hideMark/>
          </w:tcPr>
          <w:p w14:paraId="2015FABB"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733,9</w:t>
            </w:r>
          </w:p>
        </w:tc>
        <w:tc>
          <w:tcPr>
            <w:tcW w:w="850" w:type="dxa"/>
            <w:shd w:val="clear" w:color="auto" w:fill="auto"/>
            <w:vAlign w:val="center"/>
            <w:hideMark/>
          </w:tcPr>
          <w:p w14:paraId="06409C7F"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0,0</w:t>
            </w:r>
          </w:p>
        </w:tc>
        <w:tc>
          <w:tcPr>
            <w:tcW w:w="1134" w:type="dxa"/>
            <w:shd w:val="clear" w:color="auto" w:fill="auto"/>
            <w:vAlign w:val="center"/>
            <w:hideMark/>
          </w:tcPr>
          <w:p w14:paraId="77C06F54"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733,9</w:t>
            </w:r>
          </w:p>
        </w:tc>
        <w:tc>
          <w:tcPr>
            <w:tcW w:w="709" w:type="dxa"/>
            <w:shd w:val="clear" w:color="auto" w:fill="auto"/>
            <w:vAlign w:val="center"/>
            <w:hideMark/>
          </w:tcPr>
          <w:p w14:paraId="2C7BD663"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0,0</w:t>
            </w:r>
          </w:p>
        </w:tc>
        <w:tc>
          <w:tcPr>
            <w:tcW w:w="714" w:type="dxa"/>
            <w:shd w:val="clear" w:color="auto" w:fill="auto"/>
            <w:vAlign w:val="center"/>
            <w:hideMark/>
          </w:tcPr>
          <w:p w14:paraId="25DC6AF5"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0,0</w:t>
            </w:r>
          </w:p>
        </w:tc>
      </w:tr>
      <w:tr w:rsidR="00FD7B0B" w:rsidRPr="00FD7B0B" w14:paraId="304CBF91" w14:textId="77777777" w:rsidTr="00A9452F">
        <w:trPr>
          <w:trHeight w:val="177"/>
        </w:trPr>
        <w:tc>
          <w:tcPr>
            <w:tcW w:w="3387" w:type="dxa"/>
            <w:shd w:val="clear" w:color="auto" w:fill="auto"/>
            <w:vAlign w:val="center"/>
            <w:hideMark/>
          </w:tcPr>
          <w:p w14:paraId="613621C5" w14:textId="77777777" w:rsidR="00796E61" w:rsidRPr="00FD7B0B" w:rsidRDefault="00796E61" w:rsidP="00A9452F">
            <w:pPr>
              <w:spacing w:after="0" w:line="240" w:lineRule="auto"/>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РП "Чистая страна"</w:t>
            </w:r>
          </w:p>
        </w:tc>
        <w:tc>
          <w:tcPr>
            <w:tcW w:w="1837" w:type="dxa"/>
            <w:shd w:val="clear" w:color="auto" w:fill="auto"/>
            <w:vAlign w:val="center"/>
            <w:hideMark/>
          </w:tcPr>
          <w:p w14:paraId="74BA68EA"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456,1</w:t>
            </w:r>
          </w:p>
        </w:tc>
        <w:tc>
          <w:tcPr>
            <w:tcW w:w="1134" w:type="dxa"/>
            <w:shd w:val="clear" w:color="auto" w:fill="auto"/>
            <w:vAlign w:val="center"/>
            <w:hideMark/>
          </w:tcPr>
          <w:p w14:paraId="2E57DDDB"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456,1</w:t>
            </w:r>
          </w:p>
        </w:tc>
        <w:tc>
          <w:tcPr>
            <w:tcW w:w="850" w:type="dxa"/>
            <w:shd w:val="clear" w:color="auto" w:fill="auto"/>
            <w:vAlign w:val="center"/>
            <w:hideMark/>
          </w:tcPr>
          <w:p w14:paraId="7BE6F658"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c>
          <w:tcPr>
            <w:tcW w:w="1134" w:type="dxa"/>
            <w:shd w:val="clear" w:color="auto" w:fill="auto"/>
            <w:vAlign w:val="center"/>
            <w:hideMark/>
          </w:tcPr>
          <w:p w14:paraId="66857B5D"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456,1</w:t>
            </w:r>
          </w:p>
        </w:tc>
        <w:tc>
          <w:tcPr>
            <w:tcW w:w="709" w:type="dxa"/>
            <w:shd w:val="clear" w:color="auto" w:fill="auto"/>
            <w:vAlign w:val="center"/>
            <w:hideMark/>
          </w:tcPr>
          <w:p w14:paraId="29DA801E"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c>
          <w:tcPr>
            <w:tcW w:w="714" w:type="dxa"/>
            <w:shd w:val="clear" w:color="auto" w:fill="auto"/>
            <w:vAlign w:val="center"/>
            <w:hideMark/>
          </w:tcPr>
          <w:p w14:paraId="3E71D6DD"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r>
      <w:tr w:rsidR="00FD7B0B" w:rsidRPr="00FD7B0B" w14:paraId="3A19B947" w14:textId="77777777" w:rsidTr="00A9452F">
        <w:trPr>
          <w:trHeight w:val="472"/>
        </w:trPr>
        <w:tc>
          <w:tcPr>
            <w:tcW w:w="3387" w:type="dxa"/>
            <w:shd w:val="clear" w:color="auto" w:fill="auto"/>
            <w:vAlign w:val="center"/>
            <w:hideMark/>
          </w:tcPr>
          <w:p w14:paraId="0B5DEB01" w14:textId="77777777" w:rsidR="00796E61" w:rsidRPr="00FD7B0B" w:rsidRDefault="00796E61" w:rsidP="00A9452F">
            <w:pPr>
              <w:spacing w:after="0" w:line="240" w:lineRule="auto"/>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РП "Комплексная система обращения с ТКО"</w:t>
            </w:r>
          </w:p>
        </w:tc>
        <w:tc>
          <w:tcPr>
            <w:tcW w:w="1837" w:type="dxa"/>
            <w:shd w:val="clear" w:color="auto" w:fill="auto"/>
            <w:vAlign w:val="center"/>
            <w:hideMark/>
          </w:tcPr>
          <w:p w14:paraId="2D0D4A39"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277,8</w:t>
            </w:r>
          </w:p>
        </w:tc>
        <w:tc>
          <w:tcPr>
            <w:tcW w:w="1134" w:type="dxa"/>
            <w:shd w:val="clear" w:color="auto" w:fill="auto"/>
            <w:vAlign w:val="center"/>
            <w:hideMark/>
          </w:tcPr>
          <w:p w14:paraId="71E543C5"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277,8</w:t>
            </w:r>
          </w:p>
        </w:tc>
        <w:tc>
          <w:tcPr>
            <w:tcW w:w="850" w:type="dxa"/>
            <w:shd w:val="clear" w:color="auto" w:fill="auto"/>
            <w:vAlign w:val="center"/>
            <w:hideMark/>
          </w:tcPr>
          <w:p w14:paraId="0365DF52"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c>
          <w:tcPr>
            <w:tcW w:w="1134" w:type="dxa"/>
            <w:shd w:val="clear" w:color="auto" w:fill="auto"/>
            <w:vAlign w:val="center"/>
            <w:hideMark/>
          </w:tcPr>
          <w:p w14:paraId="7634FEEA"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277,8</w:t>
            </w:r>
          </w:p>
        </w:tc>
        <w:tc>
          <w:tcPr>
            <w:tcW w:w="709" w:type="dxa"/>
            <w:shd w:val="clear" w:color="auto" w:fill="auto"/>
            <w:vAlign w:val="center"/>
            <w:hideMark/>
          </w:tcPr>
          <w:p w14:paraId="6A2444B3"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c>
          <w:tcPr>
            <w:tcW w:w="714" w:type="dxa"/>
            <w:shd w:val="clear" w:color="auto" w:fill="auto"/>
            <w:vAlign w:val="center"/>
            <w:hideMark/>
          </w:tcPr>
          <w:p w14:paraId="0C6C843C" w14:textId="77777777" w:rsidR="00796E61" w:rsidRPr="00FD7B0B" w:rsidRDefault="00796E61" w:rsidP="00796E61">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0,0</w:t>
            </w:r>
          </w:p>
        </w:tc>
      </w:tr>
      <w:tr w:rsidR="00FD7B0B" w:rsidRPr="00FD7B0B" w14:paraId="7A7111DF" w14:textId="77777777" w:rsidTr="00A9452F">
        <w:trPr>
          <w:trHeight w:val="38"/>
        </w:trPr>
        <w:tc>
          <w:tcPr>
            <w:tcW w:w="3387" w:type="dxa"/>
            <w:shd w:val="clear" w:color="auto" w:fill="auto"/>
            <w:vAlign w:val="center"/>
            <w:hideMark/>
          </w:tcPr>
          <w:p w14:paraId="07E5BD93" w14:textId="77777777" w:rsidR="00796E61" w:rsidRPr="00FD7B0B" w:rsidRDefault="00796E61" w:rsidP="00A9452F">
            <w:pPr>
              <w:spacing w:after="0" w:line="240" w:lineRule="auto"/>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 xml:space="preserve">КПМ </w:t>
            </w:r>
          </w:p>
        </w:tc>
        <w:tc>
          <w:tcPr>
            <w:tcW w:w="1837" w:type="dxa"/>
            <w:shd w:val="clear" w:color="auto" w:fill="auto"/>
            <w:vAlign w:val="center"/>
            <w:hideMark/>
          </w:tcPr>
          <w:p w14:paraId="13A66FA5"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1 560,9</w:t>
            </w:r>
          </w:p>
        </w:tc>
        <w:tc>
          <w:tcPr>
            <w:tcW w:w="1134" w:type="dxa"/>
            <w:shd w:val="clear" w:color="auto" w:fill="auto"/>
            <w:vAlign w:val="center"/>
            <w:hideMark/>
          </w:tcPr>
          <w:p w14:paraId="7315CC1A"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1 629,5</w:t>
            </w:r>
          </w:p>
        </w:tc>
        <w:tc>
          <w:tcPr>
            <w:tcW w:w="850" w:type="dxa"/>
            <w:shd w:val="clear" w:color="auto" w:fill="auto"/>
            <w:vAlign w:val="center"/>
            <w:hideMark/>
          </w:tcPr>
          <w:p w14:paraId="2644065F"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68,6</w:t>
            </w:r>
          </w:p>
        </w:tc>
        <w:tc>
          <w:tcPr>
            <w:tcW w:w="1134" w:type="dxa"/>
            <w:shd w:val="clear" w:color="auto" w:fill="auto"/>
            <w:vAlign w:val="center"/>
            <w:hideMark/>
          </w:tcPr>
          <w:p w14:paraId="1AB526FB"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1 655,5</w:t>
            </w:r>
          </w:p>
        </w:tc>
        <w:tc>
          <w:tcPr>
            <w:tcW w:w="709" w:type="dxa"/>
            <w:shd w:val="clear" w:color="auto" w:fill="auto"/>
            <w:vAlign w:val="center"/>
            <w:hideMark/>
          </w:tcPr>
          <w:p w14:paraId="32A53510"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94,6</w:t>
            </w:r>
          </w:p>
        </w:tc>
        <w:tc>
          <w:tcPr>
            <w:tcW w:w="714" w:type="dxa"/>
            <w:shd w:val="clear" w:color="auto" w:fill="auto"/>
            <w:vAlign w:val="center"/>
            <w:hideMark/>
          </w:tcPr>
          <w:p w14:paraId="06F18467" w14:textId="77777777" w:rsidR="00796E61" w:rsidRPr="00FD7B0B" w:rsidRDefault="00796E61" w:rsidP="00796E61">
            <w:pPr>
              <w:spacing w:after="0" w:line="240" w:lineRule="auto"/>
              <w:jc w:val="center"/>
              <w:rPr>
                <w:rFonts w:ascii="Times New Roman" w:eastAsia="Times New Roman" w:hAnsi="Times New Roman" w:cs="Times New Roman"/>
                <w:b/>
                <w:bCs/>
                <w:i/>
                <w:iCs/>
                <w:sz w:val="20"/>
                <w:szCs w:val="20"/>
                <w:lang w:eastAsia="ru-RU"/>
              </w:rPr>
            </w:pPr>
            <w:r w:rsidRPr="00FD7B0B">
              <w:rPr>
                <w:rFonts w:ascii="Times New Roman" w:eastAsia="Times New Roman" w:hAnsi="Times New Roman" w:cs="Times New Roman"/>
                <w:b/>
                <w:bCs/>
                <w:i/>
                <w:iCs/>
                <w:sz w:val="20"/>
                <w:szCs w:val="20"/>
                <w:lang w:eastAsia="ru-RU"/>
              </w:rPr>
              <w:t>26,0</w:t>
            </w:r>
          </w:p>
        </w:tc>
      </w:tr>
      <w:tr w:rsidR="00796E61" w:rsidRPr="00FD7B0B" w14:paraId="25DCFE25" w14:textId="77777777" w:rsidTr="00A9452F">
        <w:trPr>
          <w:trHeight w:val="205"/>
        </w:trPr>
        <w:tc>
          <w:tcPr>
            <w:tcW w:w="3387" w:type="dxa"/>
            <w:shd w:val="clear" w:color="auto" w:fill="auto"/>
            <w:vAlign w:val="center"/>
            <w:hideMark/>
          </w:tcPr>
          <w:p w14:paraId="5EC78987" w14:textId="77777777" w:rsidR="00796E61" w:rsidRPr="00FD7B0B" w:rsidRDefault="00796E61" w:rsidP="00A9452F">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 по госпрограмме</w:t>
            </w:r>
          </w:p>
        </w:tc>
        <w:tc>
          <w:tcPr>
            <w:tcW w:w="1837" w:type="dxa"/>
            <w:shd w:val="clear" w:color="auto" w:fill="auto"/>
            <w:vAlign w:val="center"/>
            <w:hideMark/>
          </w:tcPr>
          <w:p w14:paraId="27F3E114" w14:textId="77777777" w:rsidR="00796E61" w:rsidRPr="00FD7B0B" w:rsidRDefault="00796E61" w:rsidP="00796E61">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2 294,8</w:t>
            </w:r>
          </w:p>
        </w:tc>
        <w:tc>
          <w:tcPr>
            <w:tcW w:w="1134" w:type="dxa"/>
            <w:shd w:val="clear" w:color="auto" w:fill="auto"/>
            <w:vAlign w:val="center"/>
            <w:hideMark/>
          </w:tcPr>
          <w:p w14:paraId="520E785B" w14:textId="77777777" w:rsidR="00796E61" w:rsidRPr="00FD7B0B" w:rsidRDefault="00796E61" w:rsidP="00796E61">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2 363,4</w:t>
            </w:r>
          </w:p>
        </w:tc>
        <w:tc>
          <w:tcPr>
            <w:tcW w:w="850" w:type="dxa"/>
            <w:shd w:val="clear" w:color="auto" w:fill="auto"/>
            <w:vAlign w:val="center"/>
            <w:hideMark/>
          </w:tcPr>
          <w:p w14:paraId="102C2ED3" w14:textId="77777777" w:rsidR="00796E61" w:rsidRPr="00FD7B0B" w:rsidRDefault="00796E61" w:rsidP="00796E61">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68,6</w:t>
            </w:r>
          </w:p>
        </w:tc>
        <w:tc>
          <w:tcPr>
            <w:tcW w:w="1134" w:type="dxa"/>
            <w:shd w:val="clear" w:color="auto" w:fill="auto"/>
            <w:vAlign w:val="center"/>
            <w:hideMark/>
          </w:tcPr>
          <w:p w14:paraId="0A0D207C" w14:textId="77777777" w:rsidR="00796E61" w:rsidRPr="00FD7B0B" w:rsidRDefault="00796E61" w:rsidP="00796E61">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2 389,4</w:t>
            </w:r>
          </w:p>
        </w:tc>
        <w:tc>
          <w:tcPr>
            <w:tcW w:w="709" w:type="dxa"/>
            <w:shd w:val="clear" w:color="auto" w:fill="auto"/>
            <w:vAlign w:val="center"/>
            <w:hideMark/>
          </w:tcPr>
          <w:p w14:paraId="34A3E1A1" w14:textId="77777777" w:rsidR="00796E61" w:rsidRPr="00FD7B0B" w:rsidRDefault="00796E61" w:rsidP="00796E61">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94,6</w:t>
            </w:r>
          </w:p>
        </w:tc>
        <w:tc>
          <w:tcPr>
            <w:tcW w:w="714" w:type="dxa"/>
            <w:shd w:val="clear" w:color="auto" w:fill="auto"/>
            <w:vAlign w:val="center"/>
            <w:hideMark/>
          </w:tcPr>
          <w:p w14:paraId="0E13BA41" w14:textId="77777777" w:rsidR="00796E61" w:rsidRPr="00FD7B0B" w:rsidRDefault="00796E61" w:rsidP="00796E61">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26,0</w:t>
            </w:r>
          </w:p>
        </w:tc>
      </w:tr>
    </w:tbl>
    <w:p w14:paraId="2A0EA391" w14:textId="77777777" w:rsidR="00796E61" w:rsidRPr="00FD7B0B" w:rsidRDefault="00796E61" w:rsidP="00796E61">
      <w:pPr>
        <w:spacing w:after="0" w:line="240" w:lineRule="auto"/>
        <w:ind w:firstLine="709"/>
        <w:jc w:val="both"/>
        <w:rPr>
          <w:rFonts w:ascii="Times New Roman" w:eastAsia="Calibri" w:hAnsi="Times New Roman" w:cs="Times New Roman"/>
          <w:sz w:val="28"/>
          <w:szCs w:val="28"/>
        </w:rPr>
      </w:pPr>
    </w:p>
    <w:p w14:paraId="0EA5A827" w14:textId="77777777" w:rsidR="00796E61" w:rsidRPr="00FD7B0B" w:rsidRDefault="00796E61" w:rsidP="00796E61">
      <w:pPr>
        <w:spacing w:after="0" w:line="240" w:lineRule="auto"/>
        <w:ind w:firstLine="709"/>
        <w:jc w:val="both"/>
        <w:rPr>
          <w:rFonts w:ascii="Times New Roman" w:eastAsia="Calibri" w:hAnsi="Times New Roman" w:cs="Times New Roman"/>
          <w:sz w:val="24"/>
          <w:szCs w:val="24"/>
        </w:rPr>
      </w:pPr>
      <w:r w:rsidRPr="00FD7B0B">
        <w:rPr>
          <w:rFonts w:ascii="Times New Roman" w:eastAsia="Calibri" w:hAnsi="Times New Roman" w:cs="Times New Roman"/>
          <w:sz w:val="28"/>
          <w:szCs w:val="28"/>
        </w:rPr>
        <w:t>Отклонения по расходам показателей закона «Об областном бюджете» и СБР допущены в КПМ.</w:t>
      </w:r>
    </w:p>
    <w:p w14:paraId="043095AC" w14:textId="6CF0190F" w:rsidR="00796E61" w:rsidRPr="00FD7B0B" w:rsidRDefault="00796E61" w:rsidP="00796E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Согласно показателям проекта отчета о реализации в 2024 году ГП № 10 (далее ˗ Отчет) кассовые расходы составили в общей сумме 2 469,5 млн.руб. или </w:t>
      </w:r>
      <w:r w:rsidRPr="00FD7B0B">
        <w:rPr>
          <w:rFonts w:ascii="Times New Roman" w:eastAsia="Calibri" w:hAnsi="Times New Roman" w:cs="Times New Roman"/>
          <w:sz w:val="28"/>
          <w:szCs w:val="28"/>
        </w:rPr>
        <w:lastRenderedPageBreak/>
        <w:t>101,0 % к планируемым программой параметрам на 2024 год. Сведения об исполнении ГП № 10 в разрезе источников финансир</w:t>
      </w:r>
      <w:r w:rsidR="00A9452F" w:rsidRPr="00FD7B0B">
        <w:rPr>
          <w:rFonts w:ascii="Times New Roman" w:eastAsia="Calibri" w:hAnsi="Times New Roman" w:cs="Times New Roman"/>
          <w:sz w:val="28"/>
          <w:szCs w:val="28"/>
        </w:rPr>
        <w:t xml:space="preserve">ования представлены на рисунке </w:t>
      </w:r>
      <w:r w:rsidR="0059379C" w:rsidRPr="00FD7B0B">
        <w:rPr>
          <w:rFonts w:ascii="Times New Roman" w:eastAsia="Calibri" w:hAnsi="Times New Roman" w:cs="Times New Roman"/>
          <w:sz w:val="28"/>
          <w:szCs w:val="28"/>
        </w:rPr>
        <w:t>19</w:t>
      </w:r>
      <w:r w:rsidRPr="00FD7B0B">
        <w:rPr>
          <w:rFonts w:ascii="Times New Roman" w:eastAsia="Calibri" w:hAnsi="Times New Roman" w:cs="Times New Roman"/>
          <w:sz w:val="28"/>
          <w:szCs w:val="28"/>
        </w:rPr>
        <w:t>.</w:t>
      </w:r>
    </w:p>
    <w:p w14:paraId="276B6A5E" w14:textId="1DA26F8D" w:rsidR="00A9452F" w:rsidRPr="00FD7B0B" w:rsidRDefault="00A9452F" w:rsidP="00A9452F">
      <w:pPr>
        <w:pStyle w:val="aff0"/>
        <w:keepNext/>
        <w:spacing w:after="0" w:line="240" w:lineRule="auto"/>
        <w:jc w:val="center"/>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774EAE02" wp14:editId="0F327440">
            <wp:extent cx="5236845" cy="2420620"/>
            <wp:effectExtent l="0" t="0" r="190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36845" cy="2420620"/>
                    </a:xfrm>
                    <a:prstGeom prst="rect">
                      <a:avLst/>
                    </a:prstGeom>
                    <a:noFill/>
                  </pic:spPr>
                </pic:pic>
              </a:graphicData>
            </a:graphic>
          </wp:inline>
        </w:drawing>
      </w:r>
    </w:p>
    <w:p w14:paraId="7F817578" w14:textId="77777777" w:rsidR="00796E61" w:rsidRPr="00FD7B0B" w:rsidRDefault="00796E61" w:rsidP="00A9452F">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w:t>
      </w:r>
      <w:r w:rsidRPr="00FD7B0B">
        <w:rPr>
          <w:rFonts w:ascii="Times New Roman" w:hAnsi="Times New Roman"/>
          <w:b w:val="0"/>
          <w:sz w:val="24"/>
          <w:szCs w:val="24"/>
        </w:rPr>
        <w:fldChar w:fldCharType="end"/>
      </w:r>
      <w:r w:rsidRPr="00FD7B0B">
        <w:rPr>
          <w:rFonts w:ascii="Times New Roman" w:hAnsi="Times New Roman"/>
          <w:b w:val="0"/>
          <w:sz w:val="24"/>
          <w:szCs w:val="24"/>
        </w:rPr>
        <w:t>. Исполнение ГП № 10 за 2024 год в разрезе источников финансирования, млн.руб.</w:t>
      </w:r>
    </w:p>
    <w:p w14:paraId="2EDE0640" w14:textId="77777777" w:rsidR="00A9452F" w:rsidRPr="00FD7B0B" w:rsidRDefault="00A9452F" w:rsidP="00796E61">
      <w:pPr>
        <w:spacing w:after="0" w:line="240" w:lineRule="auto"/>
        <w:ind w:firstLine="709"/>
        <w:jc w:val="both"/>
        <w:rPr>
          <w:rFonts w:ascii="Times New Roman" w:eastAsia="Calibri" w:hAnsi="Times New Roman" w:cs="Times New Roman"/>
          <w:sz w:val="28"/>
          <w:szCs w:val="28"/>
        </w:rPr>
      </w:pPr>
    </w:p>
    <w:p w14:paraId="24847B4D" w14:textId="734ADDE8" w:rsidR="00796E61" w:rsidRPr="00FD7B0B" w:rsidRDefault="00796E61" w:rsidP="00796E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Финансовое обеспечение реализации ГП № 10 за счет внебюджетных источников по планам уменьшалось по сравнению с параметрами, утвержденными на начало года, при этом уровень исполнения за счет внебюджетных источников п</w:t>
      </w:r>
      <w:r w:rsidR="00C22E94" w:rsidRPr="00FD7B0B">
        <w:rPr>
          <w:rFonts w:ascii="Times New Roman" w:eastAsia="Calibri" w:hAnsi="Times New Roman" w:cs="Times New Roman"/>
          <w:sz w:val="28"/>
          <w:szCs w:val="28"/>
        </w:rPr>
        <w:t>о итогам года составил 159,4 %.</w:t>
      </w:r>
    </w:p>
    <w:p w14:paraId="097AF272" w14:textId="40376328" w:rsidR="00796E61" w:rsidRPr="00FD7B0B" w:rsidRDefault="00796E61" w:rsidP="00796E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Перевыполнение плановых показателей ГП № 10 произошло и за счет средств местных бюджет</w:t>
      </w:r>
      <w:r w:rsidR="00C22E94" w:rsidRPr="00FD7B0B">
        <w:rPr>
          <w:rFonts w:ascii="Times New Roman" w:eastAsia="Calibri" w:hAnsi="Times New Roman" w:cs="Times New Roman"/>
          <w:sz w:val="28"/>
          <w:szCs w:val="28"/>
        </w:rPr>
        <w:t>ов на 5,4 млн.руб. или 122,5 %.</w:t>
      </w:r>
    </w:p>
    <w:p w14:paraId="4CB3BF1A" w14:textId="324D3849" w:rsidR="00796E61" w:rsidRPr="00FD7B0B" w:rsidRDefault="00796E61" w:rsidP="00796E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Расходы областного бюджета на реализацию ГП № 10 за 2024 год, а также параметры, утвержденные на 2024 год в разрезе главных распорядителей и видов расходов, представлены в таблице </w:t>
      </w:r>
      <w:r w:rsidR="0059379C" w:rsidRPr="00FD7B0B">
        <w:rPr>
          <w:rFonts w:ascii="Times New Roman" w:eastAsia="Calibri" w:hAnsi="Times New Roman" w:cs="Times New Roman"/>
          <w:sz w:val="28"/>
          <w:szCs w:val="28"/>
        </w:rPr>
        <w:t>149</w:t>
      </w:r>
      <w:r w:rsidRPr="00FD7B0B">
        <w:rPr>
          <w:rFonts w:ascii="Times New Roman" w:eastAsia="Calibri" w:hAnsi="Times New Roman" w:cs="Times New Roman"/>
          <w:sz w:val="28"/>
          <w:szCs w:val="28"/>
        </w:rPr>
        <w:t>.</w:t>
      </w:r>
    </w:p>
    <w:p w14:paraId="26B7316C" w14:textId="77777777" w:rsidR="00796E61" w:rsidRPr="00FD7B0B" w:rsidRDefault="00796E61" w:rsidP="00796E61">
      <w:pPr>
        <w:spacing w:after="0" w:line="240" w:lineRule="auto"/>
        <w:ind w:firstLine="709"/>
        <w:jc w:val="both"/>
        <w:rPr>
          <w:rFonts w:ascii="Times New Roman" w:eastAsia="Calibri" w:hAnsi="Times New Roman" w:cs="Times New Roman"/>
          <w:sz w:val="28"/>
          <w:szCs w:val="28"/>
        </w:rPr>
      </w:pPr>
    </w:p>
    <w:p w14:paraId="5CEFC211" w14:textId="5F2FD83E" w:rsidR="00796E61" w:rsidRPr="00FD7B0B" w:rsidRDefault="00796E61" w:rsidP="00796E61">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149</w:t>
      </w:r>
      <w:r w:rsidRPr="00FD7B0B">
        <w:rPr>
          <w:rFonts w:ascii="Times New Roman" w:hAnsi="Times New Roman"/>
          <w:b w:val="0"/>
          <w:sz w:val="24"/>
          <w:szCs w:val="24"/>
        </w:rPr>
        <w:fldChar w:fldCharType="end"/>
      </w:r>
      <w:r w:rsidR="00C22E94" w:rsidRPr="00FD7B0B">
        <w:rPr>
          <w:rFonts w:ascii="Times New Roman" w:hAnsi="Times New Roman"/>
          <w:b w:val="0"/>
          <w:sz w:val="24"/>
          <w:szCs w:val="24"/>
        </w:rPr>
        <w:t xml:space="preserve">. </w:t>
      </w:r>
      <w:r w:rsidRPr="00FD7B0B">
        <w:rPr>
          <w:rFonts w:ascii="Times New Roman" w:hAnsi="Times New Roman"/>
          <w:b w:val="0"/>
          <w:sz w:val="24"/>
          <w:szCs w:val="24"/>
        </w:rPr>
        <w:t>Основные параметры утвержденных и исполненных расходов областного бюджета за 2024 год на реализацию мероприятий ГП № 10</w:t>
      </w:r>
    </w:p>
    <w:tbl>
      <w:tblPr>
        <w:tblW w:w="962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238"/>
        <w:gridCol w:w="709"/>
        <w:gridCol w:w="1276"/>
        <w:gridCol w:w="1134"/>
        <w:gridCol w:w="1134"/>
        <w:gridCol w:w="1134"/>
      </w:tblGrid>
      <w:tr w:rsidR="00FD7B0B" w:rsidRPr="00FD7B0B" w14:paraId="0F4AE108" w14:textId="77777777" w:rsidTr="00124D38">
        <w:trPr>
          <w:trHeight w:val="184"/>
          <w:tblHeader/>
        </w:trPr>
        <w:tc>
          <w:tcPr>
            <w:tcW w:w="4238" w:type="dxa"/>
            <w:vMerge w:val="restart"/>
            <w:shd w:val="clear" w:color="auto" w:fill="auto"/>
            <w:vAlign w:val="center"/>
            <w:hideMark/>
          </w:tcPr>
          <w:p w14:paraId="74F4EB1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Главный распорядитель, группы видов расходов</w:t>
            </w:r>
          </w:p>
          <w:p w14:paraId="72EC37F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p>
        </w:tc>
        <w:tc>
          <w:tcPr>
            <w:tcW w:w="709" w:type="dxa"/>
            <w:vMerge w:val="restart"/>
            <w:shd w:val="clear" w:color="auto" w:fill="auto"/>
            <w:vAlign w:val="center"/>
            <w:hideMark/>
          </w:tcPr>
          <w:p w14:paraId="6B2C9BF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Код вида расходов</w:t>
            </w:r>
          </w:p>
        </w:tc>
        <w:tc>
          <w:tcPr>
            <w:tcW w:w="2410" w:type="dxa"/>
            <w:gridSpan w:val="2"/>
            <w:shd w:val="clear" w:color="auto" w:fill="auto"/>
            <w:vAlign w:val="center"/>
            <w:hideMark/>
          </w:tcPr>
          <w:p w14:paraId="2968D981" w14:textId="064156C2" w:rsidR="00796E61" w:rsidRPr="00FD7B0B" w:rsidRDefault="00351C43"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 2024 года, млн.</w:t>
            </w:r>
            <w:r w:rsidR="00796E61" w:rsidRPr="00FD7B0B">
              <w:rPr>
                <w:rFonts w:ascii="Times New Roman" w:eastAsia="Times New Roman" w:hAnsi="Times New Roman" w:cs="Times New Roman"/>
                <w:sz w:val="18"/>
                <w:szCs w:val="18"/>
                <w:lang w:eastAsia="ru-RU"/>
              </w:rPr>
              <w:t>руб.</w:t>
            </w:r>
          </w:p>
        </w:tc>
        <w:tc>
          <w:tcPr>
            <w:tcW w:w="2268" w:type="dxa"/>
            <w:gridSpan w:val="2"/>
            <w:shd w:val="clear" w:color="auto" w:fill="auto"/>
            <w:vAlign w:val="center"/>
            <w:hideMark/>
          </w:tcPr>
          <w:p w14:paraId="366D044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Исполнение на 31.12.2024</w:t>
            </w:r>
          </w:p>
        </w:tc>
      </w:tr>
      <w:tr w:rsidR="00FD7B0B" w:rsidRPr="00FD7B0B" w14:paraId="7C352702" w14:textId="77777777" w:rsidTr="00124D38">
        <w:trPr>
          <w:trHeight w:val="1055"/>
          <w:tblHeader/>
        </w:trPr>
        <w:tc>
          <w:tcPr>
            <w:tcW w:w="4238" w:type="dxa"/>
            <w:vMerge/>
            <w:vAlign w:val="center"/>
            <w:hideMark/>
          </w:tcPr>
          <w:p w14:paraId="46A7A85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709" w:type="dxa"/>
            <w:vMerge/>
            <w:vAlign w:val="center"/>
            <w:hideMark/>
          </w:tcPr>
          <w:p w14:paraId="28F16FB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276" w:type="dxa"/>
            <w:shd w:val="clear" w:color="auto" w:fill="auto"/>
            <w:vAlign w:val="center"/>
            <w:hideMark/>
          </w:tcPr>
          <w:p w14:paraId="51587B9A"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Утверждено законом о бюджете (в ред. от 23.12.2024 № 176-13-ОЗ)</w:t>
            </w:r>
          </w:p>
        </w:tc>
        <w:tc>
          <w:tcPr>
            <w:tcW w:w="1134" w:type="dxa"/>
            <w:shd w:val="clear" w:color="auto" w:fill="auto"/>
            <w:vAlign w:val="center"/>
            <w:hideMark/>
          </w:tcPr>
          <w:p w14:paraId="4A8AA9E5"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Сводная бюджетная роспись на 31.12.2024 </w:t>
            </w:r>
          </w:p>
        </w:tc>
        <w:tc>
          <w:tcPr>
            <w:tcW w:w="1134" w:type="dxa"/>
            <w:shd w:val="clear" w:color="auto" w:fill="auto"/>
            <w:vAlign w:val="center"/>
            <w:hideMark/>
          </w:tcPr>
          <w:p w14:paraId="44A4A60F"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Исполнено на 31.12.2024, млн.руб.</w:t>
            </w:r>
          </w:p>
        </w:tc>
        <w:tc>
          <w:tcPr>
            <w:tcW w:w="1134" w:type="dxa"/>
            <w:shd w:val="clear" w:color="auto" w:fill="auto"/>
            <w:vAlign w:val="center"/>
            <w:hideMark/>
          </w:tcPr>
          <w:p w14:paraId="7B836E8E"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 % к уточненной сводной бюджетной росписи на год</w:t>
            </w:r>
          </w:p>
        </w:tc>
      </w:tr>
      <w:tr w:rsidR="00FD7B0B" w:rsidRPr="00FD7B0B" w14:paraId="583D3F6A" w14:textId="77777777" w:rsidTr="00124D38">
        <w:trPr>
          <w:trHeight w:val="402"/>
        </w:trPr>
        <w:tc>
          <w:tcPr>
            <w:tcW w:w="4238" w:type="dxa"/>
            <w:shd w:val="clear" w:color="auto" w:fill="auto"/>
            <w:vAlign w:val="center"/>
            <w:hideMark/>
          </w:tcPr>
          <w:p w14:paraId="1E266772"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1. Министерство природных ресурсов и лесопромышленного комплекса Архангельской области</w:t>
            </w:r>
          </w:p>
        </w:tc>
        <w:tc>
          <w:tcPr>
            <w:tcW w:w="709" w:type="dxa"/>
            <w:shd w:val="clear" w:color="auto" w:fill="auto"/>
            <w:vAlign w:val="center"/>
            <w:hideMark/>
          </w:tcPr>
          <w:p w14:paraId="425B53A9" w14:textId="77777777" w:rsidR="00796E61" w:rsidRPr="00FD7B0B" w:rsidRDefault="00796E61" w:rsidP="00796E61">
            <w:pPr>
              <w:spacing w:after="0" w:line="240" w:lineRule="auto"/>
              <w:jc w:val="right"/>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 </w:t>
            </w:r>
          </w:p>
        </w:tc>
        <w:tc>
          <w:tcPr>
            <w:tcW w:w="1276" w:type="dxa"/>
            <w:shd w:val="clear" w:color="auto" w:fill="auto"/>
            <w:vAlign w:val="center"/>
            <w:hideMark/>
          </w:tcPr>
          <w:p w14:paraId="44A54CAA"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2 086,2</w:t>
            </w:r>
          </w:p>
        </w:tc>
        <w:tc>
          <w:tcPr>
            <w:tcW w:w="1134" w:type="dxa"/>
            <w:shd w:val="clear" w:color="auto" w:fill="auto"/>
            <w:vAlign w:val="center"/>
            <w:hideMark/>
          </w:tcPr>
          <w:p w14:paraId="147B0089"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2 182,8</w:t>
            </w:r>
          </w:p>
        </w:tc>
        <w:tc>
          <w:tcPr>
            <w:tcW w:w="1134" w:type="dxa"/>
            <w:shd w:val="clear" w:color="auto" w:fill="auto"/>
            <w:vAlign w:val="center"/>
            <w:hideMark/>
          </w:tcPr>
          <w:p w14:paraId="4DD03507"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2 182,4</w:t>
            </w:r>
          </w:p>
        </w:tc>
        <w:tc>
          <w:tcPr>
            <w:tcW w:w="1134" w:type="dxa"/>
            <w:shd w:val="clear" w:color="auto" w:fill="auto"/>
            <w:vAlign w:val="center"/>
            <w:hideMark/>
          </w:tcPr>
          <w:p w14:paraId="478F1C4B"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100,0</w:t>
            </w:r>
          </w:p>
        </w:tc>
      </w:tr>
      <w:tr w:rsidR="00FD7B0B" w:rsidRPr="00FD7B0B" w14:paraId="31AA5EFB" w14:textId="77777777" w:rsidTr="00124D38">
        <w:trPr>
          <w:trHeight w:val="184"/>
        </w:trPr>
        <w:tc>
          <w:tcPr>
            <w:tcW w:w="4238" w:type="dxa"/>
            <w:shd w:val="clear" w:color="auto" w:fill="auto"/>
            <w:vAlign w:val="center"/>
            <w:hideMark/>
          </w:tcPr>
          <w:p w14:paraId="40B69B00"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709" w:type="dxa"/>
            <w:shd w:val="clear" w:color="auto" w:fill="auto"/>
            <w:vAlign w:val="center"/>
            <w:hideMark/>
          </w:tcPr>
          <w:p w14:paraId="3865328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120</w:t>
            </w:r>
          </w:p>
        </w:tc>
        <w:tc>
          <w:tcPr>
            <w:tcW w:w="1276" w:type="dxa"/>
            <w:shd w:val="clear" w:color="auto" w:fill="auto"/>
            <w:vAlign w:val="center"/>
            <w:hideMark/>
          </w:tcPr>
          <w:p w14:paraId="1D4F6119"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40,9</w:t>
            </w:r>
          </w:p>
        </w:tc>
        <w:tc>
          <w:tcPr>
            <w:tcW w:w="1134" w:type="dxa"/>
            <w:shd w:val="clear" w:color="auto" w:fill="auto"/>
            <w:vAlign w:val="center"/>
            <w:hideMark/>
          </w:tcPr>
          <w:p w14:paraId="094CB495"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w:t>
            </w:r>
          </w:p>
        </w:tc>
        <w:tc>
          <w:tcPr>
            <w:tcW w:w="1134" w:type="dxa"/>
            <w:shd w:val="clear" w:color="auto" w:fill="auto"/>
            <w:vAlign w:val="center"/>
            <w:hideMark/>
          </w:tcPr>
          <w:p w14:paraId="5EB869F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w:t>
            </w:r>
          </w:p>
        </w:tc>
        <w:tc>
          <w:tcPr>
            <w:tcW w:w="1134" w:type="dxa"/>
            <w:shd w:val="clear" w:color="auto" w:fill="auto"/>
            <w:vAlign w:val="center"/>
            <w:hideMark/>
          </w:tcPr>
          <w:p w14:paraId="63C5ADD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6B52C45" w14:textId="77777777" w:rsidTr="00124D38">
        <w:trPr>
          <w:trHeight w:val="474"/>
        </w:trPr>
        <w:tc>
          <w:tcPr>
            <w:tcW w:w="4238" w:type="dxa"/>
            <w:shd w:val="clear" w:color="auto" w:fill="auto"/>
            <w:vAlign w:val="center"/>
            <w:hideMark/>
          </w:tcPr>
          <w:p w14:paraId="700A892A"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709" w:type="dxa"/>
            <w:shd w:val="clear" w:color="auto" w:fill="auto"/>
            <w:vAlign w:val="center"/>
            <w:hideMark/>
          </w:tcPr>
          <w:p w14:paraId="5F3D031F"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1276" w:type="dxa"/>
            <w:shd w:val="clear" w:color="auto" w:fill="auto"/>
            <w:vAlign w:val="center"/>
            <w:hideMark/>
          </w:tcPr>
          <w:p w14:paraId="42ADA7A2"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27,8</w:t>
            </w:r>
          </w:p>
        </w:tc>
        <w:tc>
          <w:tcPr>
            <w:tcW w:w="1134" w:type="dxa"/>
            <w:shd w:val="clear" w:color="auto" w:fill="auto"/>
            <w:vAlign w:val="center"/>
            <w:hideMark/>
          </w:tcPr>
          <w:p w14:paraId="1B04D6DC"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24,1</w:t>
            </w:r>
          </w:p>
        </w:tc>
        <w:tc>
          <w:tcPr>
            <w:tcW w:w="1134" w:type="dxa"/>
            <w:shd w:val="clear" w:color="auto" w:fill="auto"/>
            <w:vAlign w:val="center"/>
            <w:hideMark/>
          </w:tcPr>
          <w:p w14:paraId="23B363B5"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1134" w:type="dxa"/>
            <w:shd w:val="clear" w:color="auto" w:fill="auto"/>
            <w:vAlign w:val="center"/>
            <w:hideMark/>
          </w:tcPr>
          <w:p w14:paraId="3404C98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99,7</w:t>
            </w:r>
          </w:p>
        </w:tc>
      </w:tr>
      <w:tr w:rsidR="00FD7B0B" w:rsidRPr="00FD7B0B" w14:paraId="4E8D077F" w14:textId="77777777" w:rsidTr="00124D38">
        <w:trPr>
          <w:trHeight w:val="421"/>
        </w:trPr>
        <w:tc>
          <w:tcPr>
            <w:tcW w:w="4238" w:type="dxa"/>
            <w:shd w:val="clear" w:color="auto" w:fill="auto"/>
            <w:vAlign w:val="center"/>
            <w:hideMark/>
          </w:tcPr>
          <w:p w14:paraId="5F702B2E"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Публичные нормативные выплаты гражданам несоциального характера</w:t>
            </w:r>
          </w:p>
        </w:tc>
        <w:tc>
          <w:tcPr>
            <w:tcW w:w="709" w:type="dxa"/>
            <w:shd w:val="clear" w:color="auto" w:fill="auto"/>
            <w:vAlign w:val="center"/>
            <w:hideMark/>
          </w:tcPr>
          <w:p w14:paraId="6D3574E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330</w:t>
            </w:r>
          </w:p>
        </w:tc>
        <w:tc>
          <w:tcPr>
            <w:tcW w:w="1276" w:type="dxa"/>
            <w:shd w:val="clear" w:color="auto" w:fill="auto"/>
            <w:vAlign w:val="center"/>
            <w:hideMark/>
          </w:tcPr>
          <w:p w14:paraId="36D3938C"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w:t>
            </w:r>
          </w:p>
        </w:tc>
        <w:tc>
          <w:tcPr>
            <w:tcW w:w="1134" w:type="dxa"/>
            <w:shd w:val="clear" w:color="auto" w:fill="auto"/>
            <w:vAlign w:val="center"/>
            <w:hideMark/>
          </w:tcPr>
          <w:p w14:paraId="6DD0279D"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w:t>
            </w:r>
          </w:p>
        </w:tc>
        <w:tc>
          <w:tcPr>
            <w:tcW w:w="1134" w:type="dxa"/>
            <w:shd w:val="clear" w:color="auto" w:fill="auto"/>
            <w:vAlign w:val="center"/>
            <w:hideMark/>
          </w:tcPr>
          <w:p w14:paraId="658CB65B"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w:t>
            </w:r>
          </w:p>
        </w:tc>
        <w:tc>
          <w:tcPr>
            <w:tcW w:w="1134" w:type="dxa"/>
            <w:shd w:val="clear" w:color="auto" w:fill="auto"/>
            <w:vAlign w:val="center"/>
            <w:hideMark/>
          </w:tcPr>
          <w:p w14:paraId="623CB8D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90,6</w:t>
            </w:r>
          </w:p>
        </w:tc>
      </w:tr>
      <w:tr w:rsidR="00FD7B0B" w:rsidRPr="00FD7B0B" w14:paraId="7A8421FB" w14:textId="77777777" w:rsidTr="0059379C">
        <w:trPr>
          <w:trHeight w:val="328"/>
        </w:trPr>
        <w:tc>
          <w:tcPr>
            <w:tcW w:w="4238" w:type="dxa"/>
            <w:shd w:val="clear" w:color="auto" w:fill="auto"/>
            <w:vAlign w:val="center"/>
            <w:hideMark/>
          </w:tcPr>
          <w:p w14:paraId="13656DBA"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Субсидии бюджетным и автономным учреждениям, государственным (муниципальным) унитарным предприятиям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w:t>
            </w:r>
            <w:r w:rsidRPr="00FD7B0B">
              <w:rPr>
                <w:rFonts w:ascii="Times New Roman" w:eastAsia="Times New Roman" w:hAnsi="Times New Roman" w:cs="Times New Roman"/>
                <w:sz w:val="18"/>
                <w:szCs w:val="18"/>
                <w:lang w:eastAsia="ru-RU"/>
              </w:rPr>
              <w:lastRenderedPageBreak/>
              <w:t>имущества в государственную (муниципальную) собственность</w:t>
            </w:r>
          </w:p>
        </w:tc>
        <w:tc>
          <w:tcPr>
            <w:tcW w:w="709" w:type="dxa"/>
            <w:shd w:val="clear" w:color="auto" w:fill="auto"/>
            <w:vAlign w:val="center"/>
            <w:hideMark/>
          </w:tcPr>
          <w:p w14:paraId="352F433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lastRenderedPageBreak/>
              <w:t>460</w:t>
            </w:r>
          </w:p>
        </w:tc>
        <w:tc>
          <w:tcPr>
            <w:tcW w:w="1276" w:type="dxa"/>
            <w:shd w:val="clear" w:color="auto" w:fill="auto"/>
            <w:vAlign w:val="center"/>
            <w:hideMark/>
          </w:tcPr>
          <w:p w14:paraId="7131D211"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23,4</w:t>
            </w:r>
          </w:p>
        </w:tc>
        <w:tc>
          <w:tcPr>
            <w:tcW w:w="1134" w:type="dxa"/>
            <w:shd w:val="clear" w:color="auto" w:fill="auto"/>
            <w:vAlign w:val="center"/>
            <w:hideMark/>
          </w:tcPr>
          <w:p w14:paraId="1F54CE83"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23,4</w:t>
            </w:r>
          </w:p>
        </w:tc>
        <w:tc>
          <w:tcPr>
            <w:tcW w:w="1134" w:type="dxa"/>
            <w:shd w:val="clear" w:color="auto" w:fill="auto"/>
            <w:vAlign w:val="center"/>
            <w:hideMark/>
          </w:tcPr>
          <w:p w14:paraId="138346A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23,4</w:t>
            </w:r>
          </w:p>
        </w:tc>
        <w:tc>
          <w:tcPr>
            <w:tcW w:w="1134" w:type="dxa"/>
            <w:shd w:val="clear" w:color="auto" w:fill="auto"/>
            <w:vAlign w:val="center"/>
            <w:hideMark/>
          </w:tcPr>
          <w:p w14:paraId="2E39CD4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073DB31" w14:textId="77777777" w:rsidTr="00124D38">
        <w:trPr>
          <w:trHeight w:val="45"/>
        </w:trPr>
        <w:tc>
          <w:tcPr>
            <w:tcW w:w="4238" w:type="dxa"/>
            <w:shd w:val="clear" w:color="auto" w:fill="auto"/>
            <w:vAlign w:val="center"/>
            <w:hideMark/>
          </w:tcPr>
          <w:p w14:paraId="3A18A58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учреждениям</w:t>
            </w:r>
          </w:p>
        </w:tc>
        <w:tc>
          <w:tcPr>
            <w:tcW w:w="709" w:type="dxa"/>
            <w:shd w:val="clear" w:color="auto" w:fill="auto"/>
            <w:vAlign w:val="center"/>
            <w:hideMark/>
          </w:tcPr>
          <w:p w14:paraId="5E93E65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610</w:t>
            </w:r>
          </w:p>
        </w:tc>
        <w:tc>
          <w:tcPr>
            <w:tcW w:w="1276" w:type="dxa"/>
            <w:shd w:val="clear" w:color="auto" w:fill="auto"/>
            <w:vAlign w:val="center"/>
            <w:hideMark/>
          </w:tcPr>
          <w:p w14:paraId="6AF97D50"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622,9</w:t>
            </w:r>
          </w:p>
        </w:tc>
        <w:tc>
          <w:tcPr>
            <w:tcW w:w="1134" w:type="dxa"/>
            <w:shd w:val="clear" w:color="auto" w:fill="auto"/>
            <w:vAlign w:val="center"/>
            <w:hideMark/>
          </w:tcPr>
          <w:p w14:paraId="004945C0"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611,1</w:t>
            </w:r>
          </w:p>
        </w:tc>
        <w:tc>
          <w:tcPr>
            <w:tcW w:w="1134" w:type="dxa"/>
            <w:shd w:val="clear" w:color="auto" w:fill="auto"/>
            <w:vAlign w:val="center"/>
            <w:hideMark/>
          </w:tcPr>
          <w:p w14:paraId="16058895"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611,1</w:t>
            </w:r>
          </w:p>
        </w:tc>
        <w:tc>
          <w:tcPr>
            <w:tcW w:w="1134" w:type="dxa"/>
            <w:shd w:val="clear" w:color="auto" w:fill="auto"/>
            <w:vAlign w:val="center"/>
            <w:hideMark/>
          </w:tcPr>
          <w:p w14:paraId="6D55679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1E843569" w14:textId="77777777" w:rsidTr="00124D38">
        <w:trPr>
          <w:trHeight w:val="388"/>
        </w:trPr>
        <w:tc>
          <w:tcPr>
            <w:tcW w:w="4238" w:type="dxa"/>
            <w:shd w:val="clear" w:color="auto" w:fill="auto"/>
            <w:vAlign w:val="center"/>
            <w:hideMark/>
          </w:tcPr>
          <w:p w14:paraId="77AC897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709" w:type="dxa"/>
            <w:shd w:val="clear" w:color="auto" w:fill="auto"/>
            <w:vAlign w:val="center"/>
            <w:hideMark/>
          </w:tcPr>
          <w:p w14:paraId="3123847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810</w:t>
            </w:r>
          </w:p>
        </w:tc>
        <w:tc>
          <w:tcPr>
            <w:tcW w:w="1276" w:type="dxa"/>
            <w:shd w:val="clear" w:color="auto" w:fill="auto"/>
            <w:vAlign w:val="center"/>
            <w:hideMark/>
          </w:tcPr>
          <w:p w14:paraId="3A9C7DA7"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1 367,9</w:t>
            </w:r>
          </w:p>
        </w:tc>
        <w:tc>
          <w:tcPr>
            <w:tcW w:w="1134" w:type="dxa"/>
            <w:shd w:val="clear" w:color="auto" w:fill="auto"/>
            <w:vAlign w:val="center"/>
            <w:hideMark/>
          </w:tcPr>
          <w:p w14:paraId="208D35A7"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1 478,5</w:t>
            </w:r>
          </w:p>
        </w:tc>
        <w:tc>
          <w:tcPr>
            <w:tcW w:w="1134" w:type="dxa"/>
            <w:shd w:val="clear" w:color="auto" w:fill="auto"/>
            <w:vAlign w:val="center"/>
            <w:hideMark/>
          </w:tcPr>
          <w:p w14:paraId="6450142B"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1 478,5</w:t>
            </w:r>
          </w:p>
        </w:tc>
        <w:tc>
          <w:tcPr>
            <w:tcW w:w="1134" w:type="dxa"/>
            <w:shd w:val="clear" w:color="auto" w:fill="auto"/>
            <w:vAlign w:val="center"/>
            <w:hideMark/>
          </w:tcPr>
          <w:p w14:paraId="6F22A0E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4D7A8BB0" w14:textId="77777777" w:rsidTr="00124D38">
        <w:trPr>
          <w:trHeight w:val="300"/>
        </w:trPr>
        <w:tc>
          <w:tcPr>
            <w:tcW w:w="4238" w:type="dxa"/>
            <w:shd w:val="clear" w:color="auto" w:fill="auto"/>
            <w:vAlign w:val="center"/>
            <w:hideMark/>
          </w:tcPr>
          <w:p w14:paraId="5101AF1F"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Уплата налогов, сборов и иных платежей Исполнение судебных актов</w:t>
            </w:r>
          </w:p>
        </w:tc>
        <w:tc>
          <w:tcPr>
            <w:tcW w:w="709" w:type="dxa"/>
            <w:shd w:val="clear" w:color="auto" w:fill="auto"/>
            <w:vAlign w:val="center"/>
            <w:hideMark/>
          </w:tcPr>
          <w:p w14:paraId="48A8180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850, 830</w:t>
            </w:r>
          </w:p>
        </w:tc>
        <w:tc>
          <w:tcPr>
            <w:tcW w:w="1276" w:type="dxa"/>
            <w:shd w:val="clear" w:color="auto" w:fill="auto"/>
            <w:vAlign w:val="center"/>
            <w:hideMark/>
          </w:tcPr>
          <w:p w14:paraId="73AE56E6"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0,5</w:t>
            </w:r>
          </w:p>
        </w:tc>
        <w:tc>
          <w:tcPr>
            <w:tcW w:w="1134" w:type="dxa"/>
            <w:shd w:val="clear" w:color="auto" w:fill="auto"/>
            <w:vAlign w:val="center"/>
            <w:hideMark/>
          </w:tcPr>
          <w:p w14:paraId="0248A2A8"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2,9</w:t>
            </w:r>
          </w:p>
        </w:tc>
        <w:tc>
          <w:tcPr>
            <w:tcW w:w="1134" w:type="dxa"/>
            <w:shd w:val="clear" w:color="auto" w:fill="auto"/>
            <w:vAlign w:val="center"/>
            <w:hideMark/>
          </w:tcPr>
          <w:p w14:paraId="3794A621"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2,9</w:t>
            </w:r>
          </w:p>
        </w:tc>
        <w:tc>
          <w:tcPr>
            <w:tcW w:w="1134" w:type="dxa"/>
            <w:shd w:val="clear" w:color="auto" w:fill="auto"/>
            <w:vAlign w:val="center"/>
            <w:hideMark/>
          </w:tcPr>
          <w:p w14:paraId="5CB6021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99,7</w:t>
            </w:r>
          </w:p>
        </w:tc>
      </w:tr>
      <w:tr w:rsidR="00FD7B0B" w:rsidRPr="00FD7B0B" w14:paraId="6F1562F8" w14:textId="77777777" w:rsidTr="00124D38">
        <w:trPr>
          <w:trHeight w:val="393"/>
        </w:trPr>
        <w:tc>
          <w:tcPr>
            <w:tcW w:w="4238" w:type="dxa"/>
            <w:shd w:val="clear" w:color="auto" w:fill="auto"/>
            <w:vAlign w:val="center"/>
            <w:hideMark/>
          </w:tcPr>
          <w:p w14:paraId="714DB148"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 Министерство строительства и архитектуры Архангельской области</w:t>
            </w:r>
          </w:p>
        </w:tc>
        <w:tc>
          <w:tcPr>
            <w:tcW w:w="709" w:type="dxa"/>
            <w:shd w:val="clear" w:color="auto" w:fill="auto"/>
            <w:vAlign w:val="center"/>
            <w:hideMark/>
          </w:tcPr>
          <w:p w14:paraId="4C9708E6" w14:textId="77777777" w:rsidR="00796E61" w:rsidRPr="00FD7B0B" w:rsidRDefault="00796E61" w:rsidP="00796E61">
            <w:pPr>
              <w:spacing w:after="0" w:line="240" w:lineRule="auto"/>
              <w:jc w:val="right"/>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 </w:t>
            </w:r>
          </w:p>
        </w:tc>
        <w:tc>
          <w:tcPr>
            <w:tcW w:w="1276" w:type="dxa"/>
            <w:shd w:val="clear" w:color="auto" w:fill="auto"/>
            <w:vAlign w:val="center"/>
            <w:hideMark/>
          </w:tcPr>
          <w:p w14:paraId="593D2F34"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72,7</w:t>
            </w:r>
          </w:p>
        </w:tc>
        <w:tc>
          <w:tcPr>
            <w:tcW w:w="1134" w:type="dxa"/>
            <w:shd w:val="clear" w:color="auto" w:fill="auto"/>
            <w:vAlign w:val="center"/>
            <w:hideMark/>
          </w:tcPr>
          <w:p w14:paraId="1B48BAF4"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2,1</w:t>
            </w:r>
          </w:p>
        </w:tc>
        <w:tc>
          <w:tcPr>
            <w:tcW w:w="1134" w:type="dxa"/>
            <w:shd w:val="clear" w:color="auto" w:fill="auto"/>
            <w:vAlign w:val="center"/>
            <w:hideMark/>
          </w:tcPr>
          <w:p w14:paraId="5038ED0B"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2,1</w:t>
            </w:r>
          </w:p>
        </w:tc>
        <w:tc>
          <w:tcPr>
            <w:tcW w:w="1134" w:type="dxa"/>
            <w:shd w:val="clear" w:color="auto" w:fill="auto"/>
            <w:vAlign w:val="center"/>
            <w:hideMark/>
          </w:tcPr>
          <w:p w14:paraId="32EAA6FF"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100</w:t>
            </w:r>
          </w:p>
        </w:tc>
      </w:tr>
      <w:tr w:rsidR="00FD7B0B" w:rsidRPr="00FD7B0B" w14:paraId="7E51A09C" w14:textId="77777777" w:rsidTr="00124D38">
        <w:trPr>
          <w:trHeight w:val="115"/>
        </w:trPr>
        <w:tc>
          <w:tcPr>
            <w:tcW w:w="4238" w:type="dxa"/>
            <w:shd w:val="clear" w:color="auto" w:fill="auto"/>
            <w:vAlign w:val="center"/>
            <w:hideMark/>
          </w:tcPr>
          <w:p w14:paraId="2282B83C"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Бюджетные инвестиции</w:t>
            </w:r>
          </w:p>
        </w:tc>
        <w:tc>
          <w:tcPr>
            <w:tcW w:w="709" w:type="dxa"/>
            <w:shd w:val="clear" w:color="auto" w:fill="auto"/>
            <w:vAlign w:val="center"/>
            <w:hideMark/>
          </w:tcPr>
          <w:p w14:paraId="0BE29E4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410</w:t>
            </w:r>
          </w:p>
        </w:tc>
        <w:tc>
          <w:tcPr>
            <w:tcW w:w="1276" w:type="dxa"/>
            <w:shd w:val="clear" w:color="auto" w:fill="auto"/>
            <w:vAlign w:val="center"/>
            <w:hideMark/>
          </w:tcPr>
          <w:p w14:paraId="0FDDEFE5"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70</w:t>
            </w:r>
          </w:p>
        </w:tc>
        <w:tc>
          <w:tcPr>
            <w:tcW w:w="1134" w:type="dxa"/>
            <w:shd w:val="clear" w:color="auto" w:fill="auto"/>
            <w:vAlign w:val="center"/>
            <w:hideMark/>
          </w:tcPr>
          <w:p w14:paraId="5048D438"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1134" w:type="dxa"/>
            <w:shd w:val="clear" w:color="auto" w:fill="auto"/>
            <w:vAlign w:val="center"/>
            <w:hideMark/>
          </w:tcPr>
          <w:p w14:paraId="150252BF"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1134" w:type="dxa"/>
            <w:shd w:val="clear" w:color="auto" w:fill="auto"/>
            <w:vAlign w:val="center"/>
            <w:hideMark/>
          </w:tcPr>
          <w:p w14:paraId="152D1A2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r w:rsidR="00FD7B0B" w:rsidRPr="00FD7B0B" w14:paraId="76EF5598" w14:textId="77777777" w:rsidTr="00124D38">
        <w:trPr>
          <w:trHeight w:val="289"/>
        </w:trPr>
        <w:tc>
          <w:tcPr>
            <w:tcW w:w="4238" w:type="dxa"/>
            <w:shd w:val="clear" w:color="auto" w:fill="auto"/>
            <w:vAlign w:val="center"/>
            <w:hideMark/>
          </w:tcPr>
          <w:p w14:paraId="1C8B7B55"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709" w:type="dxa"/>
            <w:shd w:val="clear" w:color="auto" w:fill="auto"/>
            <w:vAlign w:val="center"/>
            <w:hideMark/>
          </w:tcPr>
          <w:p w14:paraId="2E072CB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1276" w:type="dxa"/>
            <w:shd w:val="clear" w:color="auto" w:fill="auto"/>
            <w:vAlign w:val="center"/>
            <w:hideMark/>
          </w:tcPr>
          <w:p w14:paraId="644A60B5"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w:t>
            </w:r>
          </w:p>
        </w:tc>
        <w:tc>
          <w:tcPr>
            <w:tcW w:w="1134" w:type="dxa"/>
            <w:shd w:val="clear" w:color="auto" w:fill="auto"/>
            <w:vAlign w:val="center"/>
            <w:hideMark/>
          </w:tcPr>
          <w:p w14:paraId="146CFADD"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1134" w:type="dxa"/>
            <w:shd w:val="clear" w:color="auto" w:fill="auto"/>
            <w:vAlign w:val="center"/>
            <w:hideMark/>
          </w:tcPr>
          <w:p w14:paraId="33E0B479"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1134" w:type="dxa"/>
            <w:shd w:val="clear" w:color="auto" w:fill="auto"/>
            <w:vAlign w:val="center"/>
            <w:hideMark/>
          </w:tcPr>
          <w:p w14:paraId="4E7844A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2F8873E4" w14:textId="77777777" w:rsidTr="00124D38">
        <w:trPr>
          <w:trHeight w:val="227"/>
        </w:trPr>
        <w:tc>
          <w:tcPr>
            <w:tcW w:w="4238" w:type="dxa"/>
            <w:shd w:val="clear" w:color="auto" w:fill="auto"/>
            <w:vAlign w:val="center"/>
            <w:hideMark/>
          </w:tcPr>
          <w:p w14:paraId="56B3A3A0"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3. Министерство имущественных отношений Архангельской области</w:t>
            </w:r>
          </w:p>
        </w:tc>
        <w:tc>
          <w:tcPr>
            <w:tcW w:w="709" w:type="dxa"/>
            <w:shd w:val="clear" w:color="auto" w:fill="auto"/>
            <w:vAlign w:val="center"/>
            <w:hideMark/>
          </w:tcPr>
          <w:p w14:paraId="44991142" w14:textId="77777777" w:rsidR="00796E61" w:rsidRPr="00FD7B0B" w:rsidRDefault="00796E61" w:rsidP="00796E61">
            <w:pPr>
              <w:spacing w:after="0" w:line="240" w:lineRule="auto"/>
              <w:jc w:val="right"/>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 </w:t>
            </w:r>
          </w:p>
        </w:tc>
        <w:tc>
          <w:tcPr>
            <w:tcW w:w="1276" w:type="dxa"/>
            <w:shd w:val="clear" w:color="auto" w:fill="auto"/>
            <w:vAlign w:val="center"/>
            <w:hideMark/>
          </w:tcPr>
          <w:p w14:paraId="3F37EC8A"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204,5</w:t>
            </w:r>
          </w:p>
        </w:tc>
        <w:tc>
          <w:tcPr>
            <w:tcW w:w="1134" w:type="dxa"/>
            <w:shd w:val="clear" w:color="auto" w:fill="auto"/>
            <w:vAlign w:val="center"/>
            <w:hideMark/>
          </w:tcPr>
          <w:p w14:paraId="5F7A429F"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204,5</w:t>
            </w:r>
          </w:p>
        </w:tc>
        <w:tc>
          <w:tcPr>
            <w:tcW w:w="1134" w:type="dxa"/>
            <w:shd w:val="clear" w:color="auto" w:fill="auto"/>
            <w:vAlign w:val="center"/>
            <w:hideMark/>
          </w:tcPr>
          <w:p w14:paraId="705ABB74"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204,5</w:t>
            </w:r>
          </w:p>
        </w:tc>
        <w:tc>
          <w:tcPr>
            <w:tcW w:w="1134" w:type="dxa"/>
            <w:shd w:val="clear" w:color="auto" w:fill="auto"/>
            <w:vAlign w:val="center"/>
            <w:hideMark/>
          </w:tcPr>
          <w:p w14:paraId="63D64E58"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100</w:t>
            </w:r>
          </w:p>
        </w:tc>
      </w:tr>
      <w:tr w:rsidR="00FD7B0B" w:rsidRPr="00FD7B0B" w14:paraId="66E05BD1" w14:textId="77777777" w:rsidTr="00124D38">
        <w:trPr>
          <w:trHeight w:val="219"/>
        </w:trPr>
        <w:tc>
          <w:tcPr>
            <w:tcW w:w="4238" w:type="dxa"/>
            <w:shd w:val="clear" w:color="auto" w:fill="auto"/>
            <w:vAlign w:val="center"/>
            <w:hideMark/>
          </w:tcPr>
          <w:p w14:paraId="20D2B737"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Бюджетные инвестиции иным юридическим лицам</w:t>
            </w:r>
          </w:p>
        </w:tc>
        <w:tc>
          <w:tcPr>
            <w:tcW w:w="709" w:type="dxa"/>
            <w:shd w:val="clear" w:color="auto" w:fill="auto"/>
            <w:vAlign w:val="center"/>
            <w:hideMark/>
          </w:tcPr>
          <w:p w14:paraId="4ECB7419"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450</w:t>
            </w:r>
          </w:p>
        </w:tc>
        <w:tc>
          <w:tcPr>
            <w:tcW w:w="1276" w:type="dxa"/>
            <w:shd w:val="clear" w:color="auto" w:fill="auto"/>
            <w:vAlign w:val="center"/>
            <w:hideMark/>
          </w:tcPr>
          <w:p w14:paraId="6E31C8FB"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204,5</w:t>
            </w:r>
          </w:p>
        </w:tc>
        <w:tc>
          <w:tcPr>
            <w:tcW w:w="1134" w:type="dxa"/>
            <w:shd w:val="clear" w:color="auto" w:fill="auto"/>
            <w:vAlign w:val="center"/>
            <w:hideMark/>
          </w:tcPr>
          <w:p w14:paraId="06F84697"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204,5</w:t>
            </w:r>
          </w:p>
        </w:tc>
        <w:tc>
          <w:tcPr>
            <w:tcW w:w="1134" w:type="dxa"/>
            <w:shd w:val="clear" w:color="auto" w:fill="auto"/>
            <w:vAlign w:val="center"/>
            <w:hideMark/>
          </w:tcPr>
          <w:p w14:paraId="7DB8B6A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204,5</w:t>
            </w:r>
          </w:p>
        </w:tc>
        <w:tc>
          <w:tcPr>
            <w:tcW w:w="1134" w:type="dxa"/>
            <w:shd w:val="clear" w:color="auto" w:fill="auto"/>
            <w:vAlign w:val="center"/>
            <w:hideMark/>
          </w:tcPr>
          <w:p w14:paraId="32439CB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0ABFE82A" w14:textId="77777777" w:rsidTr="00124D38">
        <w:trPr>
          <w:trHeight w:val="68"/>
        </w:trPr>
        <w:tc>
          <w:tcPr>
            <w:tcW w:w="4238" w:type="dxa"/>
            <w:shd w:val="clear" w:color="auto" w:fill="auto"/>
            <w:vAlign w:val="center"/>
            <w:hideMark/>
          </w:tcPr>
          <w:p w14:paraId="482F4F5F"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 xml:space="preserve">Всего на реализацию госпрограммы </w:t>
            </w:r>
          </w:p>
        </w:tc>
        <w:tc>
          <w:tcPr>
            <w:tcW w:w="709" w:type="dxa"/>
            <w:shd w:val="clear" w:color="auto" w:fill="auto"/>
            <w:vAlign w:val="center"/>
            <w:hideMark/>
          </w:tcPr>
          <w:p w14:paraId="5A04BF4F" w14:textId="77777777" w:rsidR="00796E61" w:rsidRPr="00FD7B0B" w:rsidRDefault="00796E61" w:rsidP="00796E61">
            <w:pPr>
              <w:spacing w:after="0" w:line="240" w:lineRule="auto"/>
              <w:jc w:val="right"/>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 </w:t>
            </w:r>
          </w:p>
        </w:tc>
        <w:tc>
          <w:tcPr>
            <w:tcW w:w="1276" w:type="dxa"/>
            <w:shd w:val="clear" w:color="auto" w:fill="auto"/>
            <w:vAlign w:val="center"/>
            <w:hideMark/>
          </w:tcPr>
          <w:p w14:paraId="032C24B3"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2 363,4</w:t>
            </w:r>
          </w:p>
        </w:tc>
        <w:tc>
          <w:tcPr>
            <w:tcW w:w="1134" w:type="dxa"/>
            <w:shd w:val="clear" w:color="auto" w:fill="auto"/>
            <w:vAlign w:val="center"/>
            <w:hideMark/>
          </w:tcPr>
          <w:p w14:paraId="4F88A930"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2 389,4</w:t>
            </w:r>
          </w:p>
        </w:tc>
        <w:tc>
          <w:tcPr>
            <w:tcW w:w="1134" w:type="dxa"/>
            <w:shd w:val="clear" w:color="auto" w:fill="auto"/>
            <w:vAlign w:val="center"/>
            <w:hideMark/>
          </w:tcPr>
          <w:p w14:paraId="48CF7F30"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2 389,0</w:t>
            </w:r>
          </w:p>
        </w:tc>
        <w:tc>
          <w:tcPr>
            <w:tcW w:w="1134" w:type="dxa"/>
            <w:shd w:val="clear" w:color="auto" w:fill="auto"/>
            <w:vAlign w:val="center"/>
            <w:hideMark/>
          </w:tcPr>
          <w:p w14:paraId="5B4F42BB"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100,0</w:t>
            </w:r>
          </w:p>
        </w:tc>
      </w:tr>
      <w:tr w:rsidR="00FD7B0B" w:rsidRPr="00FD7B0B" w14:paraId="5E8FFD74" w14:textId="77777777" w:rsidTr="00124D38">
        <w:trPr>
          <w:trHeight w:val="143"/>
        </w:trPr>
        <w:tc>
          <w:tcPr>
            <w:tcW w:w="4238" w:type="dxa"/>
            <w:shd w:val="clear" w:color="auto" w:fill="auto"/>
            <w:vAlign w:val="center"/>
            <w:hideMark/>
          </w:tcPr>
          <w:p w14:paraId="7F3A39C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государственных (муниципальных) органов</w:t>
            </w:r>
          </w:p>
        </w:tc>
        <w:tc>
          <w:tcPr>
            <w:tcW w:w="709" w:type="dxa"/>
            <w:shd w:val="clear" w:color="auto" w:fill="auto"/>
            <w:vAlign w:val="center"/>
            <w:hideMark/>
          </w:tcPr>
          <w:p w14:paraId="77C7225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120</w:t>
            </w:r>
          </w:p>
        </w:tc>
        <w:tc>
          <w:tcPr>
            <w:tcW w:w="1276" w:type="dxa"/>
            <w:shd w:val="clear" w:color="auto" w:fill="auto"/>
            <w:vAlign w:val="center"/>
            <w:hideMark/>
          </w:tcPr>
          <w:p w14:paraId="2D7D537A"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40,9</w:t>
            </w:r>
          </w:p>
        </w:tc>
        <w:tc>
          <w:tcPr>
            <w:tcW w:w="1134" w:type="dxa"/>
            <w:shd w:val="clear" w:color="auto" w:fill="auto"/>
            <w:vAlign w:val="center"/>
            <w:hideMark/>
          </w:tcPr>
          <w:p w14:paraId="3BF82A2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w:t>
            </w:r>
          </w:p>
        </w:tc>
        <w:tc>
          <w:tcPr>
            <w:tcW w:w="1134" w:type="dxa"/>
            <w:shd w:val="clear" w:color="auto" w:fill="auto"/>
            <w:vAlign w:val="center"/>
            <w:hideMark/>
          </w:tcPr>
          <w:p w14:paraId="3A75711C"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w:t>
            </w:r>
          </w:p>
        </w:tc>
        <w:tc>
          <w:tcPr>
            <w:tcW w:w="1134" w:type="dxa"/>
            <w:shd w:val="clear" w:color="auto" w:fill="auto"/>
            <w:vAlign w:val="center"/>
            <w:hideMark/>
          </w:tcPr>
          <w:p w14:paraId="4681045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7D39471B" w14:textId="77777777" w:rsidTr="00124D38">
        <w:trPr>
          <w:trHeight w:val="560"/>
        </w:trPr>
        <w:tc>
          <w:tcPr>
            <w:tcW w:w="4238" w:type="dxa"/>
            <w:shd w:val="clear" w:color="auto" w:fill="auto"/>
            <w:vAlign w:val="center"/>
            <w:hideMark/>
          </w:tcPr>
          <w:p w14:paraId="54FB3D68"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закупки товаров, работ и услуг для обеспечения государственных (муниципальных) нужд</w:t>
            </w:r>
          </w:p>
        </w:tc>
        <w:tc>
          <w:tcPr>
            <w:tcW w:w="709" w:type="dxa"/>
            <w:shd w:val="clear" w:color="auto" w:fill="auto"/>
            <w:vAlign w:val="center"/>
            <w:hideMark/>
          </w:tcPr>
          <w:p w14:paraId="456F98B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1276" w:type="dxa"/>
            <w:shd w:val="clear" w:color="auto" w:fill="auto"/>
            <w:vAlign w:val="center"/>
            <w:hideMark/>
          </w:tcPr>
          <w:p w14:paraId="6541BD4D"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30,5</w:t>
            </w:r>
          </w:p>
        </w:tc>
        <w:tc>
          <w:tcPr>
            <w:tcW w:w="1134" w:type="dxa"/>
            <w:shd w:val="clear" w:color="auto" w:fill="auto"/>
            <w:vAlign w:val="center"/>
            <w:hideMark/>
          </w:tcPr>
          <w:p w14:paraId="26082E9B"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26,2</w:t>
            </w:r>
          </w:p>
        </w:tc>
        <w:tc>
          <w:tcPr>
            <w:tcW w:w="1134" w:type="dxa"/>
            <w:shd w:val="clear" w:color="auto" w:fill="auto"/>
            <w:vAlign w:val="center"/>
            <w:hideMark/>
          </w:tcPr>
          <w:p w14:paraId="22F0BEE9"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26,1</w:t>
            </w:r>
          </w:p>
        </w:tc>
        <w:tc>
          <w:tcPr>
            <w:tcW w:w="1134" w:type="dxa"/>
            <w:shd w:val="clear" w:color="auto" w:fill="auto"/>
            <w:vAlign w:val="center"/>
            <w:hideMark/>
          </w:tcPr>
          <w:p w14:paraId="08D8B8E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99,7</w:t>
            </w:r>
          </w:p>
        </w:tc>
      </w:tr>
      <w:tr w:rsidR="00FD7B0B" w:rsidRPr="00FD7B0B" w14:paraId="05DC4FBC" w14:textId="77777777" w:rsidTr="00124D38">
        <w:trPr>
          <w:trHeight w:val="201"/>
        </w:trPr>
        <w:tc>
          <w:tcPr>
            <w:tcW w:w="4238" w:type="dxa"/>
            <w:shd w:val="clear" w:color="auto" w:fill="auto"/>
            <w:vAlign w:val="center"/>
            <w:hideMark/>
          </w:tcPr>
          <w:p w14:paraId="1969DFEE"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Публичные нормативные выплаты гражданам несоциального характера</w:t>
            </w:r>
          </w:p>
        </w:tc>
        <w:tc>
          <w:tcPr>
            <w:tcW w:w="709" w:type="dxa"/>
            <w:shd w:val="clear" w:color="auto" w:fill="auto"/>
            <w:vAlign w:val="center"/>
            <w:hideMark/>
          </w:tcPr>
          <w:p w14:paraId="0DC0708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330</w:t>
            </w:r>
          </w:p>
        </w:tc>
        <w:tc>
          <w:tcPr>
            <w:tcW w:w="1276" w:type="dxa"/>
            <w:shd w:val="clear" w:color="auto" w:fill="auto"/>
            <w:vAlign w:val="center"/>
            <w:hideMark/>
          </w:tcPr>
          <w:p w14:paraId="2AA98DF6"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w:t>
            </w:r>
          </w:p>
        </w:tc>
        <w:tc>
          <w:tcPr>
            <w:tcW w:w="1134" w:type="dxa"/>
            <w:shd w:val="clear" w:color="auto" w:fill="auto"/>
            <w:vAlign w:val="center"/>
            <w:hideMark/>
          </w:tcPr>
          <w:p w14:paraId="45B7E292"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w:t>
            </w:r>
          </w:p>
        </w:tc>
        <w:tc>
          <w:tcPr>
            <w:tcW w:w="1134" w:type="dxa"/>
            <w:shd w:val="clear" w:color="auto" w:fill="auto"/>
            <w:vAlign w:val="center"/>
            <w:hideMark/>
          </w:tcPr>
          <w:p w14:paraId="3A7BCA77"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w:t>
            </w:r>
          </w:p>
        </w:tc>
        <w:tc>
          <w:tcPr>
            <w:tcW w:w="1134" w:type="dxa"/>
            <w:shd w:val="clear" w:color="auto" w:fill="auto"/>
            <w:vAlign w:val="center"/>
            <w:hideMark/>
          </w:tcPr>
          <w:p w14:paraId="3A12FF6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90,6</w:t>
            </w:r>
          </w:p>
        </w:tc>
      </w:tr>
      <w:tr w:rsidR="00FD7B0B" w:rsidRPr="00FD7B0B" w14:paraId="0E9AAC3E" w14:textId="77777777" w:rsidTr="00124D38">
        <w:trPr>
          <w:trHeight w:val="65"/>
        </w:trPr>
        <w:tc>
          <w:tcPr>
            <w:tcW w:w="4238" w:type="dxa"/>
            <w:shd w:val="clear" w:color="auto" w:fill="auto"/>
            <w:vAlign w:val="center"/>
            <w:hideMark/>
          </w:tcPr>
          <w:p w14:paraId="6FEB9FCF"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Бюджетные инвестиции</w:t>
            </w:r>
          </w:p>
        </w:tc>
        <w:tc>
          <w:tcPr>
            <w:tcW w:w="709" w:type="dxa"/>
            <w:shd w:val="clear" w:color="auto" w:fill="auto"/>
            <w:vAlign w:val="center"/>
            <w:hideMark/>
          </w:tcPr>
          <w:p w14:paraId="3D5EB119"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410</w:t>
            </w:r>
          </w:p>
        </w:tc>
        <w:tc>
          <w:tcPr>
            <w:tcW w:w="1276" w:type="dxa"/>
            <w:shd w:val="clear" w:color="auto" w:fill="auto"/>
            <w:vAlign w:val="center"/>
            <w:hideMark/>
          </w:tcPr>
          <w:p w14:paraId="74BCF14F"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70</w:t>
            </w:r>
          </w:p>
        </w:tc>
        <w:tc>
          <w:tcPr>
            <w:tcW w:w="1134" w:type="dxa"/>
            <w:shd w:val="clear" w:color="auto" w:fill="auto"/>
            <w:vAlign w:val="center"/>
            <w:hideMark/>
          </w:tcPr>
          <w:p w14:paraId="0F824CC1"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1134" w:type="dxa"/>
            <w:shd w:val="clear" w:color="auto" w:fill="auto"/>
            <w:vAlign w:val="center"/>
            <w:hideMark/>
          </w:tcPr>
          <w:p w14:paraId="14C72EB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1134" w:type="dxa"/>
            <w:shd w:val="clear" w:color="auto" w:fill="auto"/>
            <w:vAlign w:val="center"/>
            <w:hideMark/>
          </w:tcPr>
          <w:p w14:paraId="385777C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66D7B3A2" w14:textId="77777777" w:rsidTr="00650A3A">
        <w:trPr>
          <w:trHeight w:val="129"/>
        </w:trPr>
        <w:tc>
          <w:tcPr>
            <w:tcW w:w="4238" w:type="dxa"/>
            <w:shd w:val="clear" w:color="auto" w:fill="auto"/>
            <w:vAlign w:val="center"/>
            <w:hideMark/>
          </w:tcPr>
          <w:p w14:paraId="5ECE7AAC"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Бюджетные инвестиции иным юридическим лицам</w:t>
            </w:r>
          </w:p>
        </w:tc>
        <w:tc>
          <w:tcPr>
            <w:tcW w:w="709" w:type="dxa"/>
            <w:shd w:val="clear" w:color="auto" w:fill="auto"/>
            <w:vAlign w:val="center"/>
            <w:hideMark/>
          </w:tcPr>
          <w:p w14:paraId="3245028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450</w:t>
            </w:r>
          </w:p>
        </w:tc>
        <w:tc>
          <w:tcPr>
            <w:tcW w:w="1276" w:type="dxa"/>
            <w:shd w:val="clear" w:color="auto" w:fill="auto"/>
            <w:vAlign w:val="center"/>
            <w:hideMark/>
          </w:tcPr>
          <w:p w14:paraId="1C7E0FE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204,5</w:t>
            </w:r>
          </w:p>
        </w:tc>
        <w:tc>
          <w:tcPr>
            <w:tcW w:w="1134" w:type="dxa"/>
            <w:shd w:val="clear" w:color="auto" w:fill="auto"/>
            <w:vAlign w:val="center"/>
            <w:hideMark/>
          </w:tcPr>
          <w:p w14:paraId="2B346F6D"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204,5</w:t>
            </w:r>
          </w:p>
        </w:tc>
        <w:tc>
          <w:tcPr>
            <w:tcW w:w="1134" w:type="dxa"/>
            <w:shd w:val="clear" w:color="auto" w:fill="auto"/>
            <w:vAlign w:val="center"/>
            <w:hideMark/>
          </w:tcPr>
          <w:p w14:paraId="15A37B06"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204,5</w:t>
            </w:r>
          </w:p>
        </w:tc>
        <w:tc>
          <w:tcPr>
            <w:tcW w:w="1134" w:type="dxa"/>
            <w:shd w:val="clear" w:color="auto" w:fill="auto"/>
            <w:vAlign w:val="center"/>
            <w:hideMark/>
          </w:tcPr>
          <w:p w14:paraId="3BB3412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5537724C" w14:textId="77777777" w:rsidTr="00124D38">
        <w:trPr>
          <w:trHeight w:val="1790"/>
        </w:trPr>
        <w:tc>
          <w:tcPr>
            <w:tcW w:w="4238" w:type="dxa"/>
            <w:shd w:val="clear" w:color="auto" w:fill="auto"/>
            <w:vAlign w:val="center"/>
            <w:hideMark/>
          </w:tcPr>
          <w:p w14:paraId="7C1343B6"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и автономным учреждениям, государственным (муниципальным) унитарным предприятиям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c>
          <w:tcPr>
            <w:tcW w:w="709" w:type="dxa"/>
            <w:shd w:val="clear" w:color="auto" w:fill="auto"/>
            <w:vAlign w:val="center"/>
            <w:hideMark/>
          </w:tcPr>
          <w:p w14:paraId="0A19929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460</w:t>
            </w:r>
          </w:p>
        </w:tc>
        <w:tc>
          <w:tcPr>
            <w:tcW w:w="1276" w:type="dxa"/>
            <w:shd w:val="clear" w:color="auto" w:fill="auto"/>
            <w:vAlign w:val="center"/>
            <w:hideMark/>
          </w:tcPr>
          <w:p w14:paraId="121A16F5"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23,4</w:t>
            </w:r>
          </w:p>
        </w:tc>
        <w:tc>
          <w:tcPr>
            <w:tcW w:w="1134" w:type="dxa"/>
            <w:shd w:val="clear" w:color="auto" w:fill="auto"/>
            <w:vAlign w:val="center"/>
            <w:hideMark/>
          </w:tcPr>
          <w:p w14:paraId="0DEF75E5"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23,4</w:t>
            </w:r>
          </w:p>
        </w:tc>
        <w:tc>
          <w:tcPr>
            <w:tcW w:w="1134" w:type="dxa"/>
            <w:shd w:val="clear" w:color="auto" w:fill="auto"/>
            <w:vAlign w:val="center"/>
            <w:hideMark/>
          </w:tcPr>
          <w:p w14:paraId="368A9135"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23,4</w:t>
            </w:r>
          </w:p>
        </w:tc>
        <w:tc>
          <w:tcPr>
            <w:tcW w:w="1134" w:type="dxa"/>
            <w:shd w:val="clear" w:color="auto" w:fill="auto"/>
            <w:vAlign w:val="center"/>
            <w:hideMark/>
          </w:tcPr>
          <w:p w14:paraId="7CF16EE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15232D2" w14:textId="77777777" w:rsidTr="00124D38">
        <w:trPr>
          <w:trHeight w:val="59"/>
        </w:trPr>
        <w:tc>
          <w:tcPr>
            <w:tcW w:w="4238" w:type="dxa"/>
            <w:shd w:val="clear" w:color="auto" w:fill="auto"/>
            <w:vAlign w:val="center"/>
            <w:hideMark/>
          </w:tcPr>
          <w:p w14:paraId="4B28AF3E"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бюджетным учреждениям</w:t>
            </w:r>
          </w:p>
        </w:tc>
        <w:tc>
          <w:tcPr>
            <w:tcW w:w="709" w:type="dxa"/>
            <w:shd w:val="clear" w:color="auto" w:fill="auto"/>
            <w:vAlign w:val="center"/>
            <w:hideMark/>
          </w:tcPr>
          <w:p w14:paraId="72D7AAFF"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610</w:t>
            </w:r>
          </w:p>
        </w:tc>
        <w:tc>
          <w:tcPr>
            <w:tcW w:w="1276" w:type="dxa"/>
            <w:shd w:val="clear" w:color="auto" w:fill="auto"/>
            <w:vAlign w:val="center"/>
            <w:hideMark/>
          </w:tcPr>
          <w:p w14:paraId="56C7F1CB"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622,9</w:t>
            </w:r>
          </w:p>
        </w:tc>
        <w:tc>
          <w:tcPr>
            <w:tcW w:w="1134" w:type="dxa"/>
            <w:shd w:val="clear" w:color="auto" w:fill="auto"/>
            <w:vAlign w:val="center"/>
            <w:hideMark/>
          </w:tcPr>
          <w:p w14:paraId="4F93EE02"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611,1</w:t>
            </w:r>
          </w:p>
        </w:tc>
        <w:tc>
          <w:tcPr>
            <w:tcW w:w="1134" w:type="dxa"/>
            <w:shd w:val="clear" w:color="auto" w:fill="auto"/>
            <w:vAlign w:val="center"/>
            <w:hideMark/>
          </w:tcPr>
          <w:p w14:paraId="791EA6D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611,1</w:t>
            </w:r>
          </w:p>
        </w:tc>
        <w:tc>
          <w:tcPr>
            <w:tcW w:w="1134" w:type="dxa"/>
            <w:shd w:val="clear" w:color="auto" w:fill="auto"/>
            <w:vAlign w:val="center"/>
            <w:hideMark/>
          </w:tcPr>
          <w:p w14:paraId="27F306A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58F8636C" w14:textId="77777777" w:rsidTr="00124D38">
        <w:trPr>
          <w:trHeight w:val="685"/>
        </w:trPr>
        <w:tc>
          <w:tcPr>
            <w:tcW w:w="4238" w:type="dxa"/>
            <w:shd w:val="clear" w:color="auto" w:fill="auto"/>
            <w:vAlign w:val="center"/>
            <w:hideMark/>
          </w:tcPr>
          <w:p w14:paraId="39745E15"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709" w:type="dxa"/>
            <w:shd w:val="clear" w:color="auto" w:fill="auto"/>
            <w:vAlign w:val="center"/>
            <w:hideMark/>
          </w:tcPr>
          <w:p w14:paraId="404A238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810</w:t>
            </w:r>
          </w:p>
        </w:tc>
        <w:tc>
          <w:tcPr>
            <w:tcW w:w="1276" w:type="dxa"/>
            <w:shd w:val="clear" w:color="auto" w:fill="auto"/>
            <w:vAlign w:val="center"/>
            <w:hideMark/>
          </w:tcPr>
          <w:p w14:paraId="774181A0"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1 367,9</w:t>
            </w:r>
          </w:p>
        </w:tc>
        <w:tc>
          <w:tcPr>
            <w:tcW w:w="1134" w:type="dxa"/>
            <w:shd w:val="clear" w:color="auto" w:fill="auto"/>
            <w:vAlign w:val="center"/>
            <w:hideMark/>
          </w:tcPr>
          <w:p w14:paraId="2716CEF0"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1 478,5</w:t>
            </w:r>
          </w:p>
        </w:tc>
        <w:tc>
          <w:tcPr>
            <w:tcW w:w="1134" w:type="dxa"/>
            <w:shd w:val="clear" w:color="auto" w:fill="auto"/>
            <w:vAlign w:val="center"/>
            <w:hideMark/>
          </w:tcPr>
          <w:p w14:paraId="310D91C0"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1 478,5</w:t>
            </w:r>
          </w:p>
        </w:tc>
        <w:tc>
          <w:tcPr>
            <w:tcW w:w="1134" w:type="dxa"/>
            <w:shd w:val="clear" w:color="auto" w:fill="auto"/>
            <w:vAlign w:val="center"/>
            <w:hideMark/>
          </w:tcPr>
          <w:p w14:paraId="709D2DF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796E61" w:rsidRPr="00FD7B0B" w14:paraId="71BFF43B" w14:textId="77777777" w:rsidTr="00124D38">
        <w:trPr>
          <w:trHeight w:val="300"/>
        </w:trPr>
        <w:tc>
          <w:tcPr>
            <w:tcW w:w="4238" w:type="dxa"/>
            <w:shd w:val="clear" w:color="auto" w:fill="auto"/>
            <w:vAlign w:val="center"/>
            <w:hideMark/>
          </w:tcPr>
          <w:p w14:paraId="4C0AFD3A"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Уплата налогов, сборов и иных платежей Исполнение судебных актов</w:t>
            </w:r>
          </w:p>
        </w:tc>
        <w:tc>
          <w:tcPr>
            <w:tcW w:w="709" w:type="dxa"/>
            <w:shd w:val="clear" w:color="auto" w:fill="auto"/>
            <w:vAlign w:val="center"/>
            <w:hideMark/>
          </w:tcPr>
          <w:p w14:paraId="5CA16F7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850, 830 </w:t>
            </w:r>
          </w:p>
        </w:tc>
        <w:tc>
          <w:tcPr>
            <w:tcW w:w="1276" w:type="dxa"/>
            <w:shd w:val="clear" w:color="auto" w:fill="auto"/>
            <w:vAlign w:val="center"/>
            <w:hideMark/>
          </w:tcPr>
          <w:p w14:paraId="383EEAF3"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0,5</w:t>
            </w:r>
          </w:p>
        </w:tc>
        <w:tc>
          <w:tcPr>
            <w:tcW w:w="1134" w:type="dxa"/>
            <w:shd w:val="clear" w:color="auto" w:fill="auto"/>
            <w:vAlign w:val="center"/>
            <w:hideMark/>
          </w:tcPr>
          <w:p w14:paraId="60C82C44"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2,9</w:t>
            </w:r>
          </w:p>
        </w:tc>
        <w:tc>
          <w:tcPr>
            <w:tcW w:w="1134" w:type="dxa"/>
            <w:shd w:val="clear" w:color="auto" w:fill="auto"/>
            <w:vAlign w:val="center"/>
            <w:hideMark/>
          </w:tcPr>
          <w:p w14:paraId="7A570B2F"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2,9</w:t>
            </w:r>
          </w:p>
        </w:tc>
        <w:tc>
          <w:tcPr>
            <w:tcW w:w="1134" w:type="dxa"/>
            <w:shd w:val="clear" w:color="auto" w:fill="auto"/>
            <w:vAlign w:val="center"/>
            <w:hideMark/>
          </w:tcPr>
          <w:p w14:paraId="78550C2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99,7</w:t>
            </w:r>
          </w:p>
        </w:tc>
      </w:tr>
    </w:tbl>
    <w:p w14:paraId="6C0960F6" w14:textId="77777777" w:rsidR="00796E61" w:rsidRPr="00FD7B0B" w:rsidRDefault="00796E61" w:rsidP="00796E61">
      <w:pPr>
        <w:spacing w:after="0" w:line="240" w:lineRule="auto"/>
        <w:ind w:firstLine="709"/>
        <w:jc w:val="both"/>
        <w:rPr>
          <w:rFonts w:ascii="Times New Roman" w:eastAsia="Calibri" w:hAnsi="Times New Roman" w:cs="Times New Roman"/>
          <w:sz w:val="28"/>
          <w:szCs w:val="28"/>
        </w:rPr>
      </w:pPr>
    </w:p>
    <w:p w14:paraId="3D4295B9" w14:textId="208FAEB7" w:rsidR="00796E61" w:rsidRPr="00FD7B0B" w:rsidRDefault="00796E61" w:rsidP="00796E6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Исполнение мероприятий ГП № 10 в части контрактуемых расходов за 2024 год по министерствам поквартально представлено в таблице </w:t>
      </w:r>
      <w:r w:rsidR="00650A3A" w:rsidRPr="00FD7B0B">
        <w:rPr>
          <w:rFonts w:ascii="Times New Roman" w:eastAsia="Calibri" w:hAnsi="Times New Roman" w:cs="Times New Roman"/>
          <w:sz w:val="28"/>
          <w:szCs w:val="28"/>
        </w:rPr>
        <w:t>150</w:t>
      </w:r>
      <w:r w:rsidRPr="00FD7B0B">
        <w:rPr>
          <w:rFonts w:ascii="Times New Roman" w:eastAsia="Calibri" w:hAnsi="Times New Roman" w:cs="Times New Roman"/>
          <w:sz w:val="28"/>
          <w:szCs w:val="28"/>
        </w:rPr>
        <w:t>.</w:t>
      </w:r>
    </w:p>
    <w:p w14:paraId="3E76BF5C" w14:textId="77777777" w:rsidR="00796E61" w:rsidRPr="00FD7B0B" w:rsidRDefault="00796E61" w:rsidP="00796E61">
      <w:pPr>
        <w:spacing w:after="0" w:line="240" w:lineRule="auto"/>
        <w:jc w:val="both"/>
        <w:rPr>
          <w:rFonts w:ascii="Times New Roman" w:eastAsia="Calibri" w:hAnsi="Times New Roman" w:cs="Times New Roman"/>
          <w:sz w:val="28"/>
          <w:szCs w:val="28"/>
          <w:highlight w:val="cyan"/>
        </w:rPr>
      </w:pPr>
    </w:p>
    <w:p w14:paraId="6C980E80" w14:textId="77777777" w:rsidR="00796E61" w:rsidRPr="00FD7B0B" w:rsidRDefault="00796E61" w:rsidP="00796E61">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150</w:t>
      </w:r>
      <w:r w:rsidRPr="00FD7B0B">
        <w:rPr>
          <w:rFonts w:ascii="Times New Roman" w:hAnsi="Times New Roman"/>
          <w:b w:val="0"/>
          <w:sz w:val="24"/>
          <w:szCs w:val="24"/>
        </w:rPr>
        <w:fldChar w:fldCharType="end"/>
      </w:r>
      <w:r w:rsidRPr="00FD7B0B">
        <w:rPr>
          <w:rFonts w:ascii="Times New Roman" w:hAnsi="Times New Roman"/>
          <w:b w:val="0"/>
          <w:sz w:val="24"/>
          <w:szCs w:val="24"/>
        </w:rPr>
        <w:t>. Динамика исполнения мероприятий ГП № 10 за 2024 год в части контрактуемых расходов</w:t>
      </w:r>
    </w:p>
    <w:tbl>
      <w:tblPr>
        <w:tblW w:w="948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258"/>
        <w:gridCol w:w="709"/>
        <w:gridCol w:w="567"/>
        <w:gridCol w:w="567"/>
        <w:gridCol w:w="709"/>
        <w:gridCol w:w="567"/>
        <w:gridCol w:w="567"/>
        <w:gridCol w:w="567"/>
        <w:gridCol w:w="567"/>
        <w:gridCol w:w="567"/>
        <w:gridCol w:w="567"/>
        <w:gridCol w:w="567"/>
        <w:gridCol w:w="709"/>
      </w:tblGrid>
      <w:tr w:rsidR="00FD7B0B" w:rsidRPr="00FD7B0B" w14:paraId="537E85B9" w14:textId="77777777" w:rsidTr="00351C43">
        <w:trPr>
          <w:trHeight w:val="132"/>
          <w:tblHeader/>
        </w:trPr>
        <w:tc>
          <w:tcPr>
            <w:tcW w:w="2258" w:type="dxa"/>
            <w:vMerge w:val="restart"/>
            <w:shd w:val="clear" w:color="auto" w:fill="auto"/>
            <w:vAlign w:val="center"/>
            <w:hideMark/>
          </w:tcPr>
          <w:p w14:paraId="20713BC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ГРБС</w:t>
            </w:r>
          </w:p>
        </w:tc>
        <w:tc>
          <w:tcPr>
            <w:tcW w:w="1843" w:type="dxa"/>
            <w:gridSpan w:val="3"/>
            <w:shd w:val="clear" w:color="auto" w:fill="auto"/>
            <w:noWrap/>
            <w:vAlign w:val="center"/>
            <w:hideMark/>
          </w:tcPr>
          <w:p w14:paraId="330F6E74"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31.03.2024</w:t>
            </w:r>
          </w:p>
        </w:tc>
        <w:tc>
          <w:tcPr>
            <w:tcW w:w="1843" w:type="dxa"/>
            <w:gridSpan w:val="3"/>
            <w:shd w:val="clear" w:color="auto" w:fill="auto"/>
            <w:noWrap/>
            <w:vAlign w:val="center"/>
            <w:hideMark/>
          </w:tcPr>
          <w:p w14:paraId="720D293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30.06.2024</w:t>
            </w:r>
          </w:p>
        </w:tc>
        <w:tc>
          <w:tcPr>
            <w:tcW w:w="1701" w:type="dxa"/>
            <w:gridSpan w:val="3"/>
            <w:shd w:val="clear" w:color="auto" w:fill="auto"/>
            <w:noWrap/>
            <w:vAlign w:val="center"/>
            <w:hideMark/>
          </w:tcPr>
          <w:p w14:paraId="7DF2EAF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30.09.2024</w:t>
            </w:r>
          </w:p>
        </w:tc>
        <w:tc>
          <w:tcPr>
            <w:tcW w:w="1843" w:type="dxa"/>
            <w:gridSpan w:val="3"/>
            <w:shd w:val="clear" w:color="auto" w:fill="auto"/>
            <w:noWrap/>
            <w:vAlign w:val="center"/>
            <w:hideMark/>
          </w:tcPr>
          <w:p w14:paraId="6B2DB4D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31.12.2024</w:t>
            </w:r>
          </w:p>
        </w:tc>
      </w:tr>
      <w:tr w:rsidR="00FD7B0B" w:rsidRPr="00FD7B0B" w14:paraId="5BFF5B3F" w14:textId="77777777" w:rsidTr="00351C43">
        <w:trPr>
          <w:trHeight w:val="52"/>
          <w:tblHeader/>
        </w:trPr>
        <w:tc>
          <w:tcPr>
            <w:tcW w:w="2258" w:type="dxa"/>
            <w:vMerge/>
            <w:vAlign w:val="center"/>
            <w:hideMark/>
          </w:tcPr>
          <w:p w14:paraId="37DCF548"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709" w:type="dxa"/>
            <w:vMerge w:val="restart"/>
            <w:shd w:val="clear" w:color="auto" w:fill="auto"/>
            <w:vAlign w:val="center"/>
            <w:hideMark/>
          </w:tcPr>
          <w:p w14:paraId="32BA944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СБР</w:t>
            </w:r>
          </w:p>
        </w:tc>
        <w:tc>
          <w:tcPr>
            <w:tcW w:w="1134" w:type="dxa"/>
            <w:gridSpan w:val="2"/>
            <w:shd w:val="clear" w:color="auto" w:fill="auto"/>
            <w:vAlign w:val="center"/>
            <w:hideMark/>
          </w:tcPr>
          <w:p w14:paraId="3AD7992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w:t>
            </w:r>
          </w:p>
        </w:tc>
        <w:tc>
          <w:tcPr>
            <w:tcW w:w="709" w:type="dxa"/>
            <w:vMerge w:val="restart"/>
            <w:shd w:val="clear" w:color="auto" w:fill="auto"/>
            <w:vAlign w:val="center"/>
            <w:hideMark/>
          </w:tcPr>
          <w:p w14:paraId="7C1B1E7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СБР</w:t>
            </w:r>
          </w:p>
        </w:tc>
        <w:tc>
          <w:tcPr>
            <w:tcW w:w="1134" w:type="dxa"/>
            <w:gridSpan w:val="2"/>
            <w:shd w:val="clear" w:color="auto" w:fill="auto"/>
            <w:vAlign w:val="center"/>
            <w:hideMark/>
          </w:tcPr>
          <w:p w14:paraId="376CCF5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w:t>
            </w:r>
          </w:p>
        </w:tc>
        <w:tc>
          <w:tcPr>
            <w:tcW w:w="567" w:type="dxa"/>
            <w:vMerge w:val="restart"/>
            <w:shd w:val="clear" w:color="auto" w:fill="auto"/>
            <w:vAlign w:val="center"/>
            <w:hideMark/>
          </w:tcPr>
          <w:p w14:paraId="645C00A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СБР</w:t>
            </w:r>
          </w:p>
        </w:tc>
        <w:tc>
          <w:tcPr>
            <w:tcW w:w="1134" w:type="dxa"/>
            <w:gridSpan w:val="2"/>
            <w:shd w:val="clear" w:color="auto" w:fill="auto"/>
            <w:vAlign w:val="center"/>
            <w:hideMark/>
          </w:tcPr>
          <w:p w14:paraId="389290D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w:t>
            </w:r>
          </w:p>
        </w:tc>
        <w:tc>
          <w:tcPr>
            <w:tcW w:w="567" w:type="dxa"/>
            <w:vMerge w:val="restart"/>
            <w:shd w:val="clear" w:color="auto" w:fill="auto"/>
            <w:vAlign w:val="center"/>
            <w:hideMark/>
          </w:tcPr>
          <w:p w14:paraId="69CA5C9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СБР</w:t>
            </w:r>
          </w:p>
        </w:tc>
        <w:tc>
          <w:tcPr>
            <w:tcW w:w="1276" w:type="dxa"/>
            <w:gridSpan w:val="2"/>
            <w:shd w:val="clear" w:color="auto" w:fill="auto"/>
            <w:vAlign w:val="center"/>
            <w:hideMark/>
          </w:tcPr>
          <w:p w14:paraId="134F15A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w:t>
            </w:r>
          </w:p>
        </w:tc>
      </w:tr>
      <w:tr w:rsidR="00FD7B0B" w:rsidRPr="00FD7B0B" w14:paraId="7A575357" w14:textId="77777777" w:rsidTr="00351C43">
        <w:trPr>
          <w:trHeight w:val="111"/>
          <w:tblHeader/>
        </w:trPr>
        <w:tc>
          <w:tcPr>
            <w:tcW w:w="2258" w:type="dxa"/>
            <w:vMerge/>
            <w:vAlign w:val="center"/>
            <w:hideMark/>
          </w:tcPr>
          <w:p w14:paraId="6E5C7213"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709" w:type="dxa"/>
            <w:vMerge/>
            <w:vAlign w:val="center"/>
            <w:hideMark/>
          </w:tcPr>
          <w:p w14:paraId="6B913C35"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567" w:type="dxa"/>
            <w:shd w:val="clear" w:color="auto" w:fill="auto"/>
            <w:vAlign w:val="center"/>
            <w:hideMark/>
          </w:tcPr>
          <w:p w14:paraId="3DBFC074" w14:textId="551A552E" w:rsidR="00796E61" w:rsidRPr="00FD7B0B" w:rsidRDefault="000560EB"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млн.руб.</w:t>
            </w:r>
          </w:p>
        </w:tc>
        <w:tc>
          <w:tcPr>
            <w:tcW w:w="567" w:type="dxa"/>
            <w:shd w:val="clear" w:color="auto" w:fill="auto"/>
            <w:vAlign w:val="center"/>
            <w:hideMark/>
          </w:tcPr>
          <w:p w14:paraId="0046FE1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709" w:type="dxa"/>
            <w:vMerge/>
            <w:vAlign w:val="center"/>
            <w:hideMark/>
          </w:tcPr>
          <w:p w14:paraId="3E8E1A3C"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567" w:type="dxa"/>
            <w:shd w:val="clear" w:color="auto" w:fill="auto"/>
            <w:vAlign w:val="center"/>
            <w:hideMark/>
          </w:tcPr>
          <w:p w14:paraId="6C9148E3" w14:textId="0DCD0BF1" w:rsidR="00796E61" w:rsidRPr="00FD7B0B" w:rsidRDefault="000560EB"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млн.руб.</w:t>
            </w:r>
          </w:p>
        </w:tc>
        <w:tc>
          <w:tcPr>
            <w:tcW w:w="567" w:type="dxa"/>
            <w:shd w:val="clear" w:color="auto" w:fill="auto"/>
            <w:vAlign w:val="center"/>
            <w:hideMark/>
          </w:tcPr>
          <w:p w14:paraId="1CA6139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567" w:type="dxa"/>
            <w:vMerge/>
            <w:vAlign w:val="center"/>
            <w:hideMark/>
          </w:tcPr>
          <w:p w14:paraId="2A49791E"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567" w:type="dxa"/>
            <w:shd w:val="clear" w:color="auto" w:fill="auto"/>
            <w:vAlign w:val="center"/>
            <w:hideMark/>
          </w:tcPr>
          <w:p w14:paraId="5FB84CC3" w14:textId="254E80D7" w:rsidR="00796E61" w:rsidRPr="00FD7B0B" w:rsidRDefault="000560EB"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млн.руб.</w:t>
            </w:r>
          </w:p>
        </w:tc>
        <w:tc>
          <w:tcPr>
            <w:tcW w:w="567" w:type="dxa"/>
            <w:shd w:val="clear" w:color="auto" w:fill="auto"/>
            <w:vAlign w:val="center"/>
            <w:hideMark/>
          </w:tcPr>
          <w:p w14:paraId="3C65BF04"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567" w:type="dxa"/>
            <w:vMerge/>
            <w:vAlign w:val="center"/>
            <w:hideMark/>
          </w:tcPr>
          <w:p w14:paraId="265DBEB1"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567" w:type="dxa"/>
            <w:shd w:val="clear" w:color="auto" w:fill="auto"/>
            <w:vAlign w:val="center"/>
            <w:hideMark/>
          </w:tcPr>
          <w:p w14:paraId="756955A7" w14:textId="6719A689" w:rsidR="00796E61" w:rsidRPr="00FD7B0B" w:rsidRDefault="000560EB"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млн.руб.</w:t>
            </w:r>
          </w:p>
        </w:tc>
        <w:tc>
          <w:tcPr>
            <w:tcW w:w="709" w:type="dxa"/>
            <w:shd w:val="clear" w:color="auto" w:fill="auto"/>
            <w:vAlign w:val="center"/>
            <w:hideMark/>
          </w:tcPr>
          <w:p w14:paraId="6507E13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14B07134" w14:textId="77777777" w:rsidTr="00351C43">
        <w:trPr>
          <w:trHeight w:hRule="exact" w:val="255"/>
        </w:trPr>
        <w:tc>
          <w:tcPr>
            <w:tcW w:w="2258" w:type="dxa"/>
            <w:shd w:val="clear" w:color="auto" w:fill="auto"/>
            <w:vAlign w:val="center"/>
            <w:hideMark/>
          </w:tcPr>
          <w:p w14:paraId="03252D71"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минстрой АО (ВР 410)</w:t>
            </w:r>
          </w:p>
        </w:tc>
        <w:tc>
          <w:tcPr>
            <w:tcW w:w="709" w:type="dxa"/>
            <w:shd w:val="clear" w:color="auto" w:fill="auto"/>
            <w:vAlign w:val="center"/>
            <w:hideMark/>
          </w:tcPr>
          <w:p w14:paraId="444CECD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70,0</w:t>
            </w:r>
          </w:p>
        </w:tc>
        <w:tc>
          <w:tcPr>
            <w:tcW w:w="567" w:type="dxa"/>
            <w:shd w:val="clear" w:color="auto" w:fill="auto"/>
            <w:vAlign w:val="center"/>
            <w:hideMark/>
          </w:tcPr>
          <w:p w14:paraId="5626D51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567" w:type="dxa"/>
            <w:shd w:val="clear" w:color="auto" w:fill="auto"/>
            <w:vAlign w:val="center"/>
            <w:hideMark/>
          </w:tcPr>
          <w:p w14:paraId="2AC8B94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709" w:type="dxa"/>
            <w:shd w:val="clear" w:color="auto" w:fill="auto"/>
            <w:vAlign w:val="center"/>
            <w:hideMark/>
          </w:tcPr>
          <w:p w14:paraId="7179ADC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19,4</w:t>
            </w:r>
          </w:p>
        </w:tc>
        <w:tc>
          <w:tcPr>
            <w:tcW w:w="567" w:type="dxa"/>
            <w:shd w:val="clear" w:color="auto" w:fill="auto"/>
            <w:vAlign w:val="center"/>
            <w:hideMark/>
          </w:tcPr>
          <w:p w14:paraId="640D110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567" w:type="dxa"/>
            <w:shd w:val="clear" w:color="auto" w:fill="auto"/>
            <w:vAlign w:val="center"/>
            <w:hideMark/>
          </w:tcPr>
          <w:p w14:paraId="6452E9B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567" w:type="dxa"/>
            <w:shd w:val="clear" w:color="auto" w:fill="auto"/>
            <w:vAlign w:val="center"/>
            <w:hideMark/>
          </w:tcPr>
          <w:p w14:paraId="5BDD302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567" w:type="dxa"/>
            <w:shd w:val="clear" w:color="auto" w:fill="auto"/>
            <w:vAlign w:val="center"/>
            <w:hideMark/>
          </w:tcPr>
          <w:p w14:paraId="4F8E239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567" w:type="dxa"/>
            <w:shd w:val="clear" w:color="auto" w:fill="auto"/>
            <w:vAlign w:val="center"/>
            <w:hideMark/>
          </w:tcPr>
          <w:p w14:paraId="1AF8FBC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567" w:type="dxa"/>
            <w:shd w:val="clear" w:color="auto" w:fill="auto"/>
            <w:vAlign w:val="center"/>
            <w:hideMark/>
          </w:tcPr>
          <w:p w14:paraId="5CDFCE8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567" w:type="dxa"/>
            <w:shd w:val="clear" w:color="auto" w:fill="auto"/>
            <w:vAlign w:val="center"/>
            <w:hideMark/>
          </w:tcPr>
          <w:p w14:paraId="11038EC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709" w:type="dxa"/>
            <w:shd w:val="clear" w:color="auto" w:fill="auto"/>
            <w:vAlign w:val="center"/>
            <w:hideMark/>
          </w:tcPr>
          <w:p w14:paraId="508836F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r>
      <w:tr w:rsidR="00FD7B0B" w:rsidRPr="00FD7B0B" w14:paraId="11D0B6D8" w14:textId="77777777" w:rsidTr="00351C43">
        <w:trPr>
          <w:trHeight w:hRule="exact" w:val="255"/>
        </w:trPr>
        <w:tc>
          <w:tcPr>
            <w:tcW w:w="2258" w:type="dxa"/>
            <w:shd w:val="clear" w:color="auto" w:fill="auto"/>
            <w:vAlign w:val="center"/>
            <w:hideMark/>
          </w:tcPr>
          <w:p w14:paraId="4FF38D77"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минстрой АО (ВР 240)</w:t>
            </w:r>
          </w:p>
        </w:tc>
        <w:tc>
          <w:tcPr>
            <w:tcW w:w="709" w:type="dxa"/>
            <w:shd w:val="clear" w:color="auto" w:fill="auto"/>
            <w:vAlign w:val="center"/>
            <w:hideMark/>
          </w:tcPr>
          <w:p w14:paraId="4D86E33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w:t>
            </w:r>
          </w:p>
        </w:tc>
        <w:tc>
          <w:tcPr>
            <w:tcW w:w="567" w:type="dxa"/>
            <w:shd w:val="clear" w:color="auto" w:fill="auto"/>
            <w:vAlign w:val="center"/>
            <w:hideMark/>
          </w:tcPr>
          <w:p w14:paraId="4AC6F49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0,4</w:t>
            </w:r>
          </w:p>
        </w:tc>
        <w:tc>
          <w:tcPr>
            <w:tcW w:w="567" w:type="dxa"/>
            <w:shd w:val="clear" w:color="auto" w:fill="auto"/>
            <w:vAlign w:val="center"/>
            <w:hideMark/>
          </w:tcPr>
          <w:p w14:paraId="4DA32A1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13,6</w:t>
            </w:r>
          </w:p>
        </w:tc>
        <w:tc>
          <w:tcPr>
            <w:tcW w:w="709" w:type="dxa"/>
            <w:shd w:val="clear" w:color="auto" w:fill="auto"/>
            <w:vAlign w:val="center"/>
            <w:hideMark/>
          </w:tcPr>
          <w:p w14:paraId="079376C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w:t>
            </w:r>
          </w:p>
        </w:tc>
        <w:tc>
          <w:tcPr>
            <w:tcW w:w="567" w:type="dxa"/>
            <w:shd w:val="clear" w:color="auto" w:fill="auto"/>
            <w:vAlign w:val="center"/>
            <w:hideMark/>
          </w:tcPr>
          <w:p w14:paraId="3F405469"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w:t>
            </w:r>
          </w:p>
        </w:tc>
        <w:tc>
          <w:tcPr>
            <w:tcW w:w="567" w:type="dxa"/>
            <w:shd w:val="clear" w:color="auto" w:fill="auto"/>
            <w:vAlign w:val="center"/>
            <w:hideMark/>
          </w:tcPr>
          <w:p w14:paraId="21F308C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37,0</w:t>
            </w:r>
          </w:p>
        </w:tc>
        <w:tc>
          <w:tcPr>
            <w:tcW w:w="567" w:type="dxa"/>
            <w:shd w:val="clear" w:color="auto" w:fill="auto"/>
            <w:vAlign w:val="center"/>
            <w:hideMark/>
          </w:tcPr>
          <w:p w14:paraId="03A387F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w:t>
            </w:r>
          </w:p>
        </w:tc>
        <w:tc>
          <w:tcPr>
            <w:tcW w:w="567" w:type="dxa"/>
            <w:shd w:val="clear" w:color="auto" w:fill="auto"/>
            <w:vAlign w:val="center"/>
            <w:hideMark/>
          </w:tcPr>
          <w:p w14:paraId="33A3DCE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1,6</w:t>
            </w:r>
          </w:p>
        </w:tc>
        <w:tc>
          <w:tcPr>
            <w:tcW w:w="567" w:type="dxa"/>
            <w:shd w:val="clear" w:color="auto" w:fill="auto"/>
            <w:vAlign w:val="center"/>
            <w:hideMark/>
          </w:tcPr>
          <w:p w14:paraId="305D8EE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59,3</w:t>
            </w:r>
          </w:p>
        </w:tc>
        <w:tc>
          <w:tcPr>
            <w:tcW w:w="567" w:type="dxa"/>
            <w:shd w:val="clear" w:color="auto" w:fill="auto"/>
            <w:vAlign w:val="center"/>
            <w:hideMark/>
          </w:tcPr>
          <w:p w14:paraId="103F6A9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567" w:type="dxa"/>
            <w:shd w:val="clear" w:color="auto" w:fill="auto"/>
            <w:vAlign w:val="center"/>
            <w:hideMark/>
          </w:tcPr>
          <w:p w14:paraId="6BE7F6D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c>
          <w:tcPr>
            <w:tcW w:w="709" w:type="dxa"/>
            <w:shd w:val="clear" w:color="auto" w:fill="auto"/>
            <w:vAlign w:val="center"/>
            <w:hideMark/>
          </w:tcPr>
          <w:p w14:paraId="3CF4AE5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1D61921D" w14:textId="77777777" w:rsidTr="00351C43">
        <w:trPr>
          <w:trHeight w:hRule="exact" w:val="255"/>
        </w:trPr>
        <w:tc>
          <w:tcPr>
            <w:tcW w:w="2258" w:type="dxa"/>
            <w:shd w:val="clear" w:color="auto" w:fill="auto"/>
            <w:vAlign w:val="center"/>
            <w:hideMark/>
          </w:tcPr>
          <w:p w14:paraId="0F032648"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минлеспром АО (ВР 240)</w:t>
            </w:r>
          </w:p>
        </w:tc>
        <w:tc>
          <w:tcPr>
            <w:tcW w:w="709" w:type="dxa"/>
            <w:shd w:val="clear" w:color="auto" w:fill="auto"/>
            <w:vAlign w:val="center"/>
            <w:hideMark/>
          </w:tcPr>
          <w:p w14:paraId="06E0594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30,0</w:t>
            </w:r>
          </w:p>
        </w:tc>
        <w:tc>
          <w:tcPr>
            <w:tcW w:w="567" w:type="dxa"/>
            <w:shd w:val="clear" w:color="auto" w:fill="auto"/>
            <w:vAlign w:val="center"/>
            <w:hideMark/>
          </w:tcPr>
          <w:p w14:paraId="67CD7FF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2,2</w:t>
            </w:r>
          </w:p>
        </w:tc>
        <w:tc>
          <w:tcPr>
            <w:tcW w:w="567" w:type="dxa"/>
            <w:shd w:val="clear" w:color="auto" w:fill="auto"/>
            <w:vAlign w:val="center"/>
            <w:hideMark/>
          </w:tcPr>
          <w:p w14:paraId="51B3D12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7,3</w:t>
            </w:r>
          </w:p>
        </w:tc>
        <w:tc>
          <w:tcPr>
            <w:tcW w:w="709" w:type="dxa"/>
            <w:shd w:val="clear" w:color="auto" w:fill="auto"/>
            <w:vAlign w:val="center"/>
            <w:hideMark/>
          </w:tcPr>
          <w:p w14:paraId="7A6C4AA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26,6</w:t>
            </w:r>
          </w:p>
        </w:tc>
        <w:tc>
          <w:tcPr>
            <w:tcW w:w="567" w:type="dxa"/>
            <w:shd w:val="clear" w:color="auto" w:fill="auto"/>
            <w:vAlign w:val="center"/>
            <w:hideMark/>
          </w:tcPr>
          <w:p w14:paraId="2779591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11,5</w:t>
            </w:r>
          </w:p>
        </w:tc>
        <w:tc>
          <w:tcPr>
            <w:tcW w:w="567" w:type="dxa"/>
            <w:shd w:val="clear" w:color="auto" w:fill="auto"/>
            <w:vAlign w:val="center"/>
            <w:hideMark/>
          </w:tcPr>
          <w:p w14:paraId="755C830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43,2</w:t>
            </w:r>
          </w:p>
        </w:tc>
        <w:tc>
          <w:tcPr>
            <w:tcW w:w="567" w:type="dxa"/>
            <w:shd w:val="clear" w:color="auto" w:fill="auto"/>
            <w:vAlign w:val="center"/>
            <w:hideMark/>
          </w:tcPr>
          <w:p w14:paraId="791B870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26,7</w:t>
            </w:r>
          </w:p>
        </w:tc>
        <w:tc>
          <w:tcPr>
            <w:tcW w:w="567" w:type="dxa"/>
            <w:shd w:val="clear" w:color="auto" w:fill="auto"/>
            <w:vAlign w:val="center"/>
            <w:hideMark/>
          </w:tcPr>
          <w:p w14:paraId="3018B99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13,8</w:t>
            </w:r>
          </w:p>
        </w:tc>
        <w:tc>
          <w:tcPr>
            <w:tcW w:w="567" w:type="dxa"/>
            <w:shd w:val="clear" w:color="auto" w:fill="auto"/>
            <w:vAlign w:val="center"/>
            <w:hideMark/>
          </w:tcPr>
          <w:p w14:paraId="3F94B4C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51,7</w:t>
            </w:r>
          </w:p>
        </w:tc>
        <w:tc>
          <w:tcPr>
            <w:tcW w:w="567" w:type="dxa"/>
            <w:shd w:val="clear" w:color="auto" w:fill="auto"/>
            <w:vAlign w:val="center"/>
            <w:hideMark/>
          </w:tcPr>
          <w:p w14:paraId="46E8888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24,1</w:t>
            </w:r>
          </w:p>
        </w:tc>
        <w:tc>
          <w:tcPr>
            <w:tcW w:w="567" w:type="dxa"/>
            <w:shd w:val="clear" w:color="auto" w:fill="auto"/>
            <w:vAlign w:val="center"/>
            <w:hideMark/>
          </w:tcPr>
          <w:p w14:paraId="61CB0A3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709" w:type="dxa"/>
            <w:shd w:val="clear" w:color="auto" w:fill="auto"/>
            <w:vAlign w:val="center"/>
            <w:hideMark/>
          </w:tcPr>
          <w:p w14:paraId="455307D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99,6</w:t>
            </w:r>
          </w:p>
        </w:tc>
      </w:tr>
      <w:tr w:rsidR="00796E61" w:rsidRPr="00FD7B0B" w14:paraId="53143E19" w14:textId="77777777" w:rsidTr="00351C43">
        <w:trPr>
          <w:trHeight w:hRule="exact" w:val="255"/>
        </w:trPr>
        <w:tc>
          <w:tcPr>
            <w:tcW w:w="2258" w:type="dxa"/>
            <w:shd w:val="clear" w:color="auto" w:fill="auto"/>
            <w:noWrap/>
            <w:vAlign w:val="center"/>
            <w:hideMark/>
          </w:tcPr>
          <w:p w14:paraId="432F1A6F" w14:textId="77777777" w:rsidR="00796E61" w:rsidRPr="00FD7B0B" w:rsidRDefault="00796E61" w:rsidP="00796E61">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w:t>
            </w:r>
          </w:p>
        </w:tc>
        <w:tc>
          <w:tcPr>
            <w:tcW w:w="709" w:type="dxa"/>
            <w:shd w:val="clear" w:color="auto" w:fill="auto"/>
            <w:vAlign w:val="center"/>
            <w:hideMark/>
          </w:tcPr>
          <w:p w14:paraId="0115DB23" w14:textId="77777777" w:rsidR="00796E61" w:rsidRPr="00FD7B0B" w:rsidRDefault="00796E61" w:rsidP="00796E61">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102,7</w:t>
            </w:r>
          </w:p>
        </w:tc>
        <w:tc>
          <w:tcPr>
            <w:tcW w:w="567" w:type="dxa"/>
            <w:shd w:val="clear" w:color="auto" w:fill="auto"/>
            <w:vAlign w:val="center"/>
            <w:hideMark/>
          </w:tcPr>
          <w:p w14:paraId="3E8473C7" w14:textId="77777777" w:rsidR="00796E61" w:rsidRPr="00FD7B0B" w:rsidRDefault="00796E61" w:rsidP="00796E61">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2,6</w:t>
            </w:r>
          </w:p>
        </w:tc>
        <w:tc>
          <w:tcPr>
            <w:tcW w:w="567" w:type="dxa"/>
            <w:shd w:val="clear" w:color="auto" w:fill="auto"/>
            <w:vAlign w:val="center"/>
            <w:hideMark/>
          </w:tcPr>
          <w:p w14:paraId="7A5A7D9F"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2,5</w:t>
            </w:r>
          </w:p>
        </w:tc>
        <w:tc>
          <w:tcPr>
            <w:tcW w:w="709" w:type="dxa"/>
            <w:shd w:val="clear" w:color="auto" w:fill="auto"/>
            <w:vAlign w:val="center"/>
            <w:hideMark/>
          </w:tcPr>
          <w:p w14:paraId="7C922A61" w14:textId="77777777" w:rsidR="00796E61" w:rsidRPr="00FD7B0B" w:rsidRDefault="00796E61" w:rsidP="00796E61">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48,7</w:t>
            </w:r>
          </w:p>
        </w:tc>
        <w:tc>
          <w:tcPr>
            <w:tcW w:w="567" w:type="dxa"/>
            <w:shd w:val="clear" w:color="auto" w:fill="auto"/>
            <w:vAlign w:val="center"/>
            <w:hideMark/>
          </w:tcPr>
          <w:p w14:paraId="0E70C18E" w14:textId="77777777" w:rsidR="00796E61" w:rsidRPr="00FD7B0B" w:rsidRDefault="00796E61" w:rsidP="00796E61">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12,5</w:t>
            </w:r>
          </w:p>
        </w:tc>
        <w:tc>
          <w:tcPr>
            <w:tcW w:w="567" w:type="dxa"/>
            <w:shd w:val="clear" w:color="auto" w:fill="auto"/>
            <w:vAlign w:val="center"/>
            <w:hideMark/>
          </w:tcPr>
          <w:p w14:paraId="16BE10DF"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25,7</w:t>
            </w:r>
          </w:p>
        </w:tc>
        <w:tc>
          <w:tcPr>
            <w:tcW w:w="567" w:type="dxa"/>
            <w:shd w:val="clear" w:color="auto" w:fill="auto"/>
            <w:vAlign w:val="center"/>
            <w:hideMark/>
          </w:tcPr>
          <w:p w14:paraId="1499FBE7" w14:textId="77777777" w:rsidR="00796E61" w:rsidRPr="00FD7B0B" w:rsidRDefault="00796E61" w:rsidP="00796E61">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29,4</w:t>
            </w:r>
          </w:p>
        </w:tc>
        <w:tc>
          <w:tcPr>
            <w:tcW w:w="567" w:type="dxa"/>
            <w:shd w:val="clear" w:color="auto" w:fill="auto"/>
            <w:vAlign w:val="center"/>
            <w:hideMark/>
          </w:tcPr>
          <w:p w14:paraId="72618BEE" w14:textId="77777777" w:rsidR="00796E61" w:rsidRPr="00FD7B0B" w:rsidRDefault="00796E61" w:rsidP="00796E61">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15,4</w:t>
            </w:r>
          </w:p>
        </w:tc>
        <w:tc>
          <w:tcPr>
            <w:tcW w:w="567" w:type="dxa"/>
            <w:shd w:val="clear" w:color="auto" w:fill="auto"/>
            <w:vAlign w:val="center"/>
            <w:hideMark/>
          </w:tcPr>
          <w:p w14:paraId="23422073"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52,4</w:t>
            </w:r>
          </w:p>
        </w:tc>
        <w:tc>
          <w:tcPr>
            <w:tcW w:w="567" w:type="dxa"/>
            <w:shd w:val="clear" w:color="auto" w:fill="auto"/>
            <w:vAlign w:val="center"/>
            <w:hideMark/>
          </w:tcPr>
          <w:p w14:paraId="3AE3A056" w14:textId="77777777" w:rsidR="00796E61" w:rsidRPr="00FD7B0B" w:rsidRDefault="00796E61" w:rsidP="00796E61">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26,2</w:t>
            </w:r>
          </w:p>
        </w:tc>
        <w:tc>
          <w:tcPr>
            <w:tcW w:w="567" w:type="dxa"/>
            <w:shd w:val="clear" w:color="auto" w:fill="auto"/>
            <w:vAlign w:val="center"/>
            <w:hideMark/>
          </w:tcPr>
          <w:p w14:paraId="498AE4CC" w14:textId="77777777" w:rsidR="00796E61" w:rsidRPr="00FD7B0B" w:rsidRDefault="00796E61" w:rsidP="00796E61">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26,1</w:t>
            </w:r>
          </w:p>
        </w:tc>
        <w:tc>
          <w:tcPr>
            <w:tcW w:w="709" w:type="dxa"/>
            <w:shd w:val="clear" w:color="auto" w:fill="auto"/>
            <w:vAlign w:val="center"/>
            <w:hideMark/>
          </w:tcPr>
          <w:p w14:paraId="707852FA"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99,6</w:t>
            </w:r>
          </w:p>
        </w:tc>
      </w:tr>
    </w:tbl>
    <w:p w14:paraId="4A9F39E5" w14:textId="77777777" w:rsidR="00796E61" w:rsidRPr="00FD7B0B" w:rsidRDefault="00796E61" w:rsidP="00796E61">
      <w:pPr>
        <w:spacing w:after="0" w:line="240" w:lineRule="auto"/>
        <w:jc w:val="both"/>
        <w:rPr>
          <w:rFonts w:ascii="Times New Roman" w:eastAsia="Calibri" w:hAnsi="Times New Roman" w:cs="Times New Roman"/>
          <w:sz w:val="28"/>
          <w:szCs w:val="28"/>
        </w:rPr>
      </w:pPr>
    </w:p>
    <w:p w14:paraId="27B0F8D0"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1.1. Региональный проект «Чистая страна». По Отчету все расходы предусмотренного финансирования составили 456,1 млн.руб. или 100,0 % от уточненного плана, из них расходы по средствам федерального бюджета – 410,5 млн.руб., областного бюджета – 45,6 млн.руб.</w:t>
      </w:r>
    </w:p>
    <w:p w14:paraId="4B45FF34"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Из запланированных к ликвидации 5 несанкционированных свалок отходов, входящих в состав городов, согласно Отчету, ликвидировано четыре:</w:t>
      </w:r>
    </w:p>
    <w:p w14:paraId="575C5E35"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на острове Бревенник в районе Маймаксанского лесного порта в границах г. Архангельск;</w:t>
      </w:r>
    </w:p>
    <w:p w14:paraId="0D96FBD0"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на острове Хабарка г. Архангельск;</w:t>
      </w:r>
    </w:p>
    <w:p w14:paraId="744704E5"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на острове Кего г. Архангельск;</w:t>
      </w:r>
    </w:p>
    <w:p w14:paraId="6393B715"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свалка отходов в границах г. Няндомы.</w:t>
      </w:r>
    </w:p>
    <w:p w14:paraId="34E37E11"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Работы на о. Бревенник в районе поселка 23 лесозавода перенесены на II квартал 2025 года.</w:t>
      </w:r>
    </w:p>
    <w:p w14:paraId="494F8658" w14:textId="63DA9D26" w:rsidR="00351C43" w:rsidRPr="00FD7B0B" w:rsidRDefault="00796E61" w:rsidP="00D93602">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Ликвидацию и рекультивацию 5 свалок в границах городских округов Архангельской области осуществляло ГБУ АО Центр. По данным бюджетного учета остатки на 01.01.2024 ГБУ АО Центр составляли </w:t>
      </w:r>
      <w:r w:rsidR="00D93602" w:rsidRPr="00FD7B0B">
        <w:rPr>
          <w:rFonts w:ascii="Times New Roman" w:eastAsia="Times New Roman" w:hAnsi="Times New Roman" w:cs="Times New Roman"/>
          <w:sz w:val="28"/>
          <w:szCs w:val="28"/>
          <w:lang w:eastAsia="ru-RU"/>
        </w:rPr>
        <w:t>по пяти объектам 543,7 млн.руб.</w:t>
      </w:r>
    </w:p>
    <w:p w14:paraId="2AA1019C"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 2024 год ГБУ АО Центр в связи с расторжением контрактов с ООО «Геосинтетика» возвращено из выплаченных авансов всего 272,8 млн.руб., дебиторская задолженность на 01.01.2025 составила 93,9 млн.руб.</w:t>
      </w:r>
    </w:p>
    <w:p w14:paraId="54111E59" w14:textId="2F2501F9" w:rsidR="00796E61" w:rsidRPr="00FD7B0B" w:rsidRDefault="00796E61" w:rsidP="00D93602">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вновь заключенным контрактам расходы за 2024 год по 5 объектам составили 1 263,0 млн.руб. Остатки ГБУ АО Центр на 01.01.2025 по всем объектам уменьшились за год с</w:t>
      </w:r>
      <w:r w:rsidR="00D93602" w:rsidRPr="00FD7B0B">
        <w:rPr>
          <w:rFonts w:ascii="Times New Roman" w:eastAsia="Times New Roman" w:hAnsi="Times New Roman" w:cs="Times New Roman"/>
          <w:sz w:val="28"/>
          <w:szCs w:val="28"/>
          <w:lang w:eastAsia="ru-RU"/>
        </w:rPr>
        <w:t xml:space="preserve"> 543,7 млн.руб. до 9,6 млн.руб.</w:t>
      </w:r>
    </w:p>
    <w:p w14:paraId="2FC62DED"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Из отчета ГБУ АО Центр по расходам субсидии следует, что из 9,6 млн.руб. - средства областного бюджета в размере 8,8 млн.руб. по 4 объектам требуется направить на те же цели, а 0,8 млн.руб. по объекту г. Няндомы подлежат возврату в областной бюджет.</w:t>
      </w:r>
    </w:p>
    <w:p w14:paraId="60DC9EA9"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данным паспорта Регионального проекта «Чистая страна» (в ред. от марта 2024 года) ликвидация 5 свалок должна завершиться в 2024 году, как и весь РП. Объем средств, планируемый к возврату в федеральный бюджет в результате невыполнения условий соглашения составляет по Отчету 4,8 млн.руб., из них возвращено всего 0,7 млн.руб.</w:t>
      </w:r>
    </w:p>
    <w:p w14:paraId="0ABF90C4"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Следует отметить, что за «Базовое значение» во всех разделах паспорта указано значение 2018 года «0,0000», что не соответствует Приложению № 3 к Положению № 793-пп, так как в разделе «4. Мероприятия (результаты) регионального проекта» «Базовое значение» (&lt;1&gt;) указывается значение мероприятия (результата) за предыдущий год, а в разделе «2. Показатели регионального проекта» (&lt;3&gt;) указывается фактическое значение за год, предшествующий году разработки проекта регионального проекта. В случае отсутствия фактических данных в качестве базового значения приводится плановое (прогнозное) значение.</w:t>
      </w:r>
    </w:p>
    <w:p w14:paraId="72215ABC"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1.2. Региональный проект «Комплексная система обращения с твердыми коммунальными отходами». Для реализации данного проекта в Архангельской области создан АО «Архангельский экологический оператор» с которым в 2022 </w:t>
      </w:r>
      <w:r w:rsidRPr="00FD7B0B">
        <w:rPr>
          <w:rFonts w:ascii="Times New Roman" w:eastAsia="Times New Roman" w:hAnsi="Times New Roman" w:cs="Times New Roman"/>
          <w:sz w:val="28"/>
          <w:szCs w:val="28"/>
          <w:lang w:eastAsia="ru-RU"/>
        </w:rPr>
        <w:lastRenderedPageBreak/>
        <w:t>году было заключено три концессионных соглашения на создание и эксплуатацию трех объектов по обработке и утилизации ТКО.</w:t>
      </w:r>
    </w:p>
    <w:p w14:paraId="02B090E7" w14:textId="77777777" w:rsidR="00796E61" w:rsidRPr="00FD7B0B" w:rsidRDefault="00796E61" w:rsidP="006D4D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Результаты концессионных соглашений по созданию и эксплуатации объектов по обработке и утилизации ТКО за 2024 год, следующие:</w:t>
      </w:r>
    </w:p>
    <w:p w14:paraId="4AB39CD3" w14:textId="77777777" w:rsidR="00796E61" w:rsidRPr="00FD7B0B" w:rsidRDefault="00796E61" w:rsidP="006D4D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 «Комплекс обработки, утилизации и захоронения ТКО мощностью 60 000 тонн в год, расположенный по адресу: Архангельская область, Няндомский район» - соглашение расторгнуто 31.05.2024;</w:t>
      </w:r>
    </w:p>
    <w:p w14:paraId="67941941" w14:textId="77777777" w:rsidR="00796E61" w:rsidRPr="00FD7B0B" w:rsidRDefault="00796E61" w:rsidP="006D4D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2) «Комплекс обработки, утилизации и захоронения ТКО мощностью 275 000 тонн в год, расположенный по адресу: Архангельская область, Холмогорский район» - расторгнуто 14.04.2025;</w:t>
      </w:r>
    </w:p>
    <w:p w14:paraId="3799B1D9" w14:textId="77777777" w:rsidR="00796E61" w:rsidRPr="00FD7B0B" w:rsidRDefault="00796E61" w:rsidP="006D4D13">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3) «Комплекс обработки и утилизации ТКО мощностью 70 000 тонн в год, расположенный по адресу: Архангельская область, Котласский район, муниципальное образование «Черемушское» - согласно Отчету за 2024 год расходы составили 277,7 млн.руб. или 100,0 % от уточненного плана, из них расходы по средствам федерального бюджета – 272,2 млн.руб., областного бюджета – 5,5 млн.руб. Техническая готовность объекта на 01.01.2025 составила 75 %.</w:t>
      </w:r>
    </w:p>
    <w:p w14:paraId="1E48A681" w14:textId="77777777" w:rsidR="00796E61" w:rsidRPr="00FD7B0B" w:rsidRDefault="00796E61" w:rsidP="00796E61">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Отмечаем, что результаты обоих РП не были достигнуты, при этом кассовое исполнение составило 100 %.</w:t>
      </w:r>
    </w:p>
    <w:p w14:paraId="64286014" w14:textId="77777777" w:rsidR="00796E61" w:rsidRPr="00FD7B0B" w:rsidRDefault="00796E61" w:rsidP="00796E61">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2. Процессная часть -  КПМ «Экологическая безопасность, воспроизводство и использование природных ресурсов Архангельской области».</w:t>
      </w:r>
    </w:p>
    <w:p w14:paraId="7BFAC876" w14:textId="2F47910E" w:rsidR="00796E61" w:rsidRPr="00FD7B0B" w:rsidRDefault="00796E61" w:rsidP="00796E61">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паспорту КПМ (в ред. от 26.02.2024 № 168р) первоначально на 2024 год планировалось проведение 41 мероприятия с общим объемом финансирования в 1 453,4 млн.руб., в том числе средства областного бюджета – 1 397,7 млн.руб., консолидированные бюджеты муниципальных образований– 66,6 млн.руб., внебюдж</w:t>
      </w:r>
      <w:r w:rsidR="002E0696" w:rsidRPr="00FD7B0B">
        <w:rPr>
          <w:rFonts w:ascii="Times New Roman" w:eastAsia="Times New Roman" w:hAnsi="Times New Roman" w:cs="Times New Roman"/>
          <w:sz w:val="28"/>
          <w:szCs w:val="28"/>
          <w:lang w:eastAsia="ru-RU"/>
        </w:rPr>
        <w:t>етные источники – 44,0 млн.руб.</w:t>
      </w:r>
    </w:p>
    <w:p w14:paraId="5EE957F8" w14:textId="77777777" w:rsidR="00796E61" w:rsidRPr="00FD7B0B" w:rsidRDefault="00796E61" w:rsidP="00796E61">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 2024 год исключено 7 мероприятий и введено 3 новых. Общий объем финансирования 37 мероприятий (в ред. от 23.12.2024 № 1523р) составил 1 616,9 млн.руб., в том числе средства областного бюджета – 1 560,9 млн.руб., консолидированные бюджеты муниципальных образований – 24,0 млн.руб., внебюджетные источники – 32,0 млн.руб.</w:t>
      </w:r>
    </w:p>
    <w:p w14:paraId="38E09DBC" w14:textId="0C10D89E" w:rsidR="00796E61" w:rsidRPr="00FD7B0B" w:rsidRDefault="00796E61" w:rsidP="00796E61">
      <w:pPr>
        <w:spacing w:after="0" w:line="240" w:lineRule="auto"/>
        <w:ind w:firstLine="708"/>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Сопоставление объемов финансирования и исполнения КПМ за 2024 год представлено в таблице </w:t>
      </w:r>
      <w:r w:rsidR="00650A3A" w:rsidRPr="00FD7B0B">
        <w:rPr>
          <w:rFonts w:ascii="Times New Roman" w:eastAsia="Times New Roman" w:hAnsi="Times New Roman" w:cs="Times New Roman"/>
          <w:sz w:val="28"/>
          <w:szCs w:val="28"/>
          <w:lang w:eastAsia="ru-RU"/>
        </w:rPr>
        <w:t>151</w:t>
      </w:r>
      <w:r w:rsidRPr="00FD7B0B">
        <w:rPr>
          <w:rFonts w:ascii="Times New Roman" w:eastAsia="Times New Roman" w:hAnsi="Times New Roman" w:cs="Times New Roman"/>
          <w:sz w:val="28"/>
          <w:szCs w:val="28"/>
          <w:lang w:eastAsia="ru-RU"/>
        </w:rPr>
        <w:t>.</w:t>
      </w:r>
    </w:p>
    <w:p w14:paraId="1C100A91" w14:textId="77777777" w:rsidR="00796E61" w:rsidRPr="00FD7B0B" w:rsidRDefault="00796E61" w:rsidP="002E0696">
      <w:pPr>
        <w:pStyle w:val="aff0"/>
        <w:keepNext/>
        <w:spacing w:after="0" w:line="240" w:lineRule="auto"/>
        <w:rPr>
          <w:rFonts w:ascii="Times New Roman" w:hAnsi="Times New Roman"/>
          <w:b w:val="0"/>
          <w:sz w:val="24"/>
          <w:szCs w:val="24"/>
        </w:rPr>
      </w:pPr>
    </w:p>
    <w:p w14:paraId="2E722B47" w14:textId="77777777" w:rsidR="00796E61" w:rsidRPr="00FD7B0B" w:rsidRDefault="00796E61" w:rsidP="002E0696">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151</w:t>
      </w:r>
      <w:r w:rsidRPr="00FD7B0B">
        <w:rPr>
          <w:rFonts w:ascii="Times New Roman" w:hAnsi="Times New Roman"/>
          <w:b w:val="0"/>
          <w:sz w:val="24"/>
          <w:szCs w:val="24"/>
        </w:rPr>
        <w:fldChar w:fldCharType="end"/>
      </w:r>
      <w:r w:rsidRPr="00FD7B0B">
        <w:rPr>
          <w:rFonts w:ascii="Times New Roman" w:hAnsi="Times New Roman"/>
          <w:b w:val="0"/>
          <w:sz w:val="24"/>
          <w:szCs w:val="24"/>
        </w:rPr>
        <w:t>. Сопоставление объемов финансирования и исполнения за 2024 год</w:t>
      </w:r>
    </w:p>
    <w:tbl>
      <w:tblPr>
        <w:tblpPr w:leftFromText="180" w:rightFromText="180" w:vertAnchor="text" w:tblpX="-5" w:tblpY="1"/>
        <w:tblOverlap w:val="never"/>
        <w:tblW w:w="946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545"/>
        <w:gridCol w:w="1701"/>
        <w:gridCol w:w="1417"/>
        <w:gridCol w:w="992"/>
        <w:gridCol w:w="1134"/>
        <w:gridCol w:w="1008"/>
        <w:gridCol w:w="987"/>
        <w:gridCol w:w="680"/>
      </w:tblGrid>
      <w:tr w:rsidR="00FD7B0B" w:rsidRPr="00FD7B0B" w14:paraId="0FC69AFD" w14:textId="77777777" w:rsidTr="002E0696">
        <w:trPr>
          <w:trHeight w:val="112"/>
        </w:trPr>
        <w:tc>
          <w:tcPr>
            <w:tcW w:w="1545" w:type="dxa"/>
            <w:vMerge w:val="restart"/>
            <w:shd w:val="clear" w:color="auto" w:fill="auto"/>
            <w:vAlign w:val="center"/>
            <w:hideMark/>
          </w:tcPr>
          <w:p w14:paraId="6CF30B05"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структурного элемента ГП № 10</w:t>
            </w:r>
          </w:p>
        </w:tc>
        <w:tc>
          <w:tcPr>
            <w:tcW w:w="6252" w:type="dxa"/>
            <w:gridSpan w:val="5"/>
            <w:shd w:val="clear" w:color="auto" w:fill="auto"/>
            <w:noWrap/>
            <w:vAlign w:val="center"/>
            <w:hideMark/>
          </w:tcPr>
          <w:p w14:paraId="42FAC2EA"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Показатели, млн.руб.</w:t>
            </w:r>
          </w:p>
        </w:tc>
        <w:tc>
          <w:tcPr>
            <w:tcW w:w="1667" w:type="dxa"/>
            <w:gridSpan w:val="2"/>
            <w:shd w:val="clear" w:color="auto" w:fill="auto"/>
            <w:noWrap/>
            <w:vAlign w:val="bottom"/>
            <w:hideMark/>
          </w:tcPr>
          <w:p w14:paraId="29146DD7"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Исполнение </w:t>
            </w:r>
          </w:p>
        </w:tc>
      </w:tr>
      <w:tr w:rsidR="00FD7B0B" w:rsidRPr="00FD7B0B" w14:paraId="74F0ABC7" w14:textId="77777777" w:rsidTr="00796E61">
        <w:trPr>
          <w:trHeight w:val="936"/>
        </w:trPr>
        <w:tc>
          <w:tcPr>
            <w:tcW w:w="1545" w:type="dxa"/>
            <w:vMerge/>
            <w:vAlign w:val="center"/>
            <w:hideMark/>
          </w:tcPr>
          <w:p w14:paraId="51349322"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p>
        </w:tc>
        <w:tc>
          <w:tcPr>
            <w:tcW w:w="1701" w:type="dxa"/>
            <w:shd w:val="clear" w:color="auto" w:fill="auto"/>
            <w:vAlign w:val="center"/>
            <w:hideMark/>
          </w:tcPr>
          <w:p w14:paraId="68FD542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паспорта ГП № 10 на 31.12.2024 (в ред. от 27.12.2024)</w:t>
            </w:r>
          </w:p>
        </w:tc>
        <w:tc>
          <w:tcPr>
            <w:tcW w:w="1417" w:type="dxa"/>
            <w:shd w:val="clear" w:color="auto" w:fill="auto"/>
            <w:vAlign w:val="center"/>
            <w:hideMark/>
          </w:tcPr>
          <w:p w14:paraId="5992E723"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паспорта КПМ на 2024 (ред. от 23.12.2024)</w:t>
            </w:r>
          </w:p>
        </w:tc>
        <w:tc>
          <w:tcPr>
            <w:tcW w:w="992" w:type="dxa"/>
            <w:shd w:val="clear" w:color="auto" w:fill="auto"/>
            <w:vAlign w:val="center"/>
            <w:hideMark/>
          </w:tcPr>
          <w:p w14:paraId="73BA0AA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c>
          <w:tcPr>
            <w:tcW w:w="1134" w:type="dxa"/>
            <w:shd w:val="clear" w:color="auto" w:fill="auto"/>
            <w:vAlign w:val="center"/>
            <w:hideMark/>
          </w:tcPr>
          <w:p w14:paraId="433843F9"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СБР на 31.12.2024</w:t>
            </w:r>
          </w:p>
        </w:tc>
        <w:tc>
          <w:tcPr>
            <w:tcW w:w="1008" w:type="dxa"/>
            <w:shd w:val="clear" w:color="auto" w:fill="auto"/>
            <w:vAlign w:val="center"/>
            <w:hideMark/>
          </w:tcPr>
          <w:p w14:paraId="6094790D"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c>
          <w:tcPr>
            <w:tcW w:w="987" w:type="dxa"/>
            <w:shd w:val="clear" w:color="auto" w:fill="auto"/>
            <w:vAlign w:val="center"/>
            <w:hideMark/>
          </w:tcPr>
          <w:p w14:paraId="3AF4E082"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680" w:type="dxa"/>
            <w:shd w:val="clear" w:color="auto" w:fill="auto"/>
            <w:vAlign w:val="center"/>
            <w:hideMark/>
          </w:tcPr>
          <w:p w14:paraId="5F55AD92"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r>
      <w:tr w:rsidR="00FD7B0B" w:rsidRPr="00FD7B0B" w14:paraId="75C29A31" w14:textId="77777777" w:rsidTr="00796E61">
        <w:trPr>
          <w:trHeight w:val="109"/>
        </w:trPr>
        <w:tc>
          <w:tcPr>
            <w:tcW w:w="1545" w:type="dxa"/>
            <w:shd w:val="clear" w:color="auto" w:fill="auto"/>
            <w:vAlign w:val="center"/>
            <w:hideMark/>
          </w:tcPr>
          <w:p w14:paraId="4FFAE728"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А</w:t>
            </w:r>
          </w:p>
        </w:tc>
        <w:tc>
          <w:tcPr>
            <w:tcW w:w="1701" w:type="dxa"/>
            <w:shd w:val="clear" w:color="auto" w:fill="auto"/>
            <w:vAlign w:val="center"/>
            <w:hideMark/>
          </w:tcPr>
          <w:p w14:paraId="6782B8BA"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1417" w:type="dxa"/>
            <w:shd w:val="clear" w:color="auto" w:fill="auto"/>
            <w:vAlign w:val="center"/>
            <w:hideMark/>
          </w:tcPr>
          <w:p w14:paraId="1CF5B78D"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992" w:type="dxa"/>
            <w:shd w:val="clear" w:color="auto" w:fill="auto"/>
            <w:vAlign w:val="center"/>
            <w:hideMark/>
          </w:tcPr>
          <w:p w14:paraId="198F58FE"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3=2-1</w:t>
            </w:r>
          </w:p>
        </w:tc>
        <w:tc>
          <w:tcPr>
            <w:tcW w:w="1134" w:type="dxa"/>
            <w:shd w:val="clear" w:color="auto" w:fill="auto"/>
            <w:vAlign w:val="center"/>
            <w:hideMark/>
          </w:tcPr>
          <w:p w14:paraId="2B55C7AA"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w:t>
            </w:r>
          </w:p>
        </w:tc>
        <w:tc>
          <w:tcPr>
            <w:tcW w:w="1008" w:type="dxa"/>
            <w:shd w:val="clear" w:color="auto" w:fill="auto"/>
            <w:vAlign w:val="center"/>
            <w:hideMark/>
          </w:tcPr>
          <w:p w14:paraId="14D991DD"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5=4-2</w:t>
            </w:r>
          </w:p>
        </w:tc>
        <w:tc>
          <w:tcPr>
            <w:tcW w:w="987" w:type="dxa"/>
            <w:shd w:val="clear" w:color="auto" w:fill="auto"/>
            <w:vAlign w:val="center"/>
            <w:hideMark/>
          </w:tcPr>
          <w:p w14:paraId="79BD7B3C"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w:t>
            </w:r>
          </w:p>
        </w:tc>
        <w:tc>
          <w:tcPr>
            <w:tcW w:w="680" w:type="dxa"/>
            <w:shd w:val="clear" w:color="auto" w:fill="auto"/>
            <w:vAlign w:val="center"/>
            <w:hideMark/>
          </w:tcPr>
          <w:p w14:paraId="752DB696"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w:t>
            </w:r>
          </w:p>
        </w:tc>
      </w:tr>
      <w:tr w:rsidR="00FD7B0B" w:rsidRPr="00FD7B0B" w14:paraId="1F9E0F86" w14:textId="77777777" w:rsidTr="00650A3A">
        <w:trPr>
          <w:trHeight w:val="119"/>
        </w:trPr>
        <w:tc>
          <w:tcPr>
            <w:tcW w:w="1545" w:type="dxa"/>
            <w:shd w:val="clear" w:color="auto" w:fill="auto"/>
            <w:vAlign w:val="center"/>
            <w:hideMark/>
          </w:tcPr>
          <w:p w14:paraId="45A233D3" w14:textId="77777777" w:rsidR="00796E61" w:rsidRPr="00FD7B0B" w:rsidRDefault="00796E61" w:rsidP="00796E61">
            <w:pPr>
              <w:spacing w:after="0" w:line="240" w:lineRule="auto"/>
              <w:rPr>
                <w:rFonts w:ascii="Times New Roman" w:eastAsia="Times New Roman" w:hAnsi="Times New Roman" w:cs="Times New Roman"/>
                <w:bCs/>
                <w:iCs/>
                <w:sz w:val="20"/>
                <w:szCs w:val="20"/>
                <w:lang w:eastAsia="ru-RU"/>
              </w:rPr>
            </w:pPr>
            <w:r w:rsidRPr="00FD7B0B">
              <w:rPr>
                <w:rFonts w:ascii="Times New Roman" w:eastAsia="Times New Roman" w:hAnsi="Times New Roman" w:cs="Times New Roman"/>
                <w:bCs/>
                <w:iCs/>
                <w:sz w:val="20"/>
                <w:szCs w:val="20"/>
                <w:lang w:eastAsia="ru-RU"/>
              </w:rPr>
              <w:t xml:space="preserve">КПМ </w:t>
            </w:r>
          </w:p>
        </w:tc>
        <w:tc>
          <w:tcPr>
            <w:tcW w:w="1701" w:type="dxa"/>
            <w:shd w:val="clear" w:color="auto" w:fill="auto"/>
            <w:vAlign w:val="center"/>
            <w:hideMark/>
          </w:tcPr>
          <w:p w14:paraId="7AAB0063" w14:textId="77777777" w:rsidR="00796E61" w:rsidRPr="00FD7B0B" w:rsidRDefault="00796E61" w:rsidP="00796E61">
            <w:pPr>
              <w:spacing w:after="0" w:line="240" w:lineRule="auto"/>
              <w:jc w:val="center"/>
              <w:rPr>
                <w:rFonts w:ascii="Times New Roman" w:eastAsia="Times New Roman" w:hAnsi="Times New Roman" w:cs="Times New Roman"/>
                <w:iCs/>
                <w:sz w:val="20"/>
                <w:szCs w:val="20"/>
                <w:lang w:eastAsia="ru-RU"/>
              </w:rPr>
            </w:pPr>
            <w:r w:rsidRPr="00FD7B0B">
              <w:rPr>
                <w:rFonts w:ascii="Times New Roman" w:eastAsia="Times New Roman" w:hAnsi="Times New Roman" w:cs="Times New Roman"/>
                <w:iCs/>
                <w:sz w:val="20"/>
                <w:szCs w:val="20"/>
                <w:lang w:eastAsia="ru-RU"/>
              </w:rPr>
              <w:t>1 616,9</w:t>
            </w:r>
          </w:p>
        </w:tc>
        <w:tc>
          <w:tcPr>
            <w:tcW w:w="1417" w:type="dxa"/>
            <w:shd w:val="clear" w:color="auto" w:fill="auto"/>
            <w:vAlign w:val="center"/>
            <w:hideMark/>
          </w:tcPr>
          <w:p w14:paraId="0D3AD4E6" w14:textId="77777777" w:rsidR="00796E61" w:rsidRPr="00FD7B0B" w:rsidRDefault="00796E61" w:rsidP="00796E61">
            <w:pPr>
              <w:spacing w:after="0" w:line="240" w:lineRule="auto"/>
              <w:jc w:val="center"/>
              <w:rPr>
                <w:rFonts w:ascii="Times New Roman" w:eastAsia="Times New Roman" w:hAnsi="Times New Roman" w:cs="Times New Roman"/>
                <w:iCs/>
                <w:sz w:val="20"/>
                <w:szCs w:val="20"/>
                <w:lang w:eastAsia="ru-RU"/>
              </w:rPr>
            </w:pPr>
            <w:r w:rsidRPr="00FD7B0B">
              <w:rPr>
                <w:rFonts w:ascii="Times New Roman" w:eastAsia="Times New Roman" w:hAnsi="Times New Roman" w:cs="Times New Roman"/>
                <w:iCs/>
                <w:sz w:val="20"/>
                <w:szCs w:val="20"/>
                <w:lang w:eastAsia="ru-RU"/>
              </w:rPr>
              <w:t>1 616,9</w:t>
            </w:r>
          </w:p>
        </w:tc>
        <w:tc>
          <w:tcPr>
            <w:tcW w:w="992" w:type="dxa"/>
            <w:shd w:val="clear" w:color="auto" w:fill="auto"/>
            <w:vAlign w:val="center"/>
            <w:hideMark/>
          </w:tcPr>
          <w:p w14:paraId="250623A5" w14:textId="77777777" w:rsidR="00796E61" w:rsidRPr="00FD7B0B" w:rsidRDefault="00796E61" w:rsidP="00796E61">
            <w:pPr>
              <w:spacing w:after="0" w:line="240" w:lineRule="auto"/>
              <w:jc w:val="center"/>
              <w:rPr>
                <w:rFonts w:ascii="Times New Roman" w:eastAsia="Times New Roman" w:hAnsi="Times New Roman" w:cs="Times New Roman"/>
                <w:iCs/>
                <w:sz w:val="20"/>
                <w:szCs w:val="20"/>
                <w:lang w:eastAsia="ru-RU"/>
              </w:rPr>
            </w:pPr>
            <w:r w:rsidRPr="00FD7B0B">
              <w:rPr>
                <w:rFonts w:ascii="Times New Roman" w:eastAsia="Times New Roman" w:hAnsi="Times New Roman" w:cs="Times New Roman"/>
                <w:iCs/>
                <w:sz w:val="20"/>
                <w:szCs w:val="20"/>
                <w:lang w:eastAsia="ru-RU"/>
              </w:rPr>
              <w:t>0</w:t>
            </w:r>
          </w:p>
        </w:tc>
        <w:tc>
          <w:tcPr>
            <w:tcW w:w="1134" w:type="dxa"/>
            <w:shd w:val="clear" w:color="auto" w:fill="auto"/>
            <w:vAlign w:val="center"/>
            <w:hideMark/>
          </w:tcPr>
          <w:p w14:paraId="77922B3C" w14:textId="77777777" w:rsidR="00796E61" w:rsidRPr="00FD7B0B" w:rsidRDefault="00796E61" w:rsidP="00796E61">
            <w:pPr>
              <w:spacing w:after="0" w:line="240" w:lineRule="auto"/>
              <w:jc w:val="center"/>
              <w:rPr>
                <w:rFonts w:ascii="Times New Roman" w:eastAsia="Times New Roman" w:hAnsi="Times New Roman" w:cs="Times New Roman"/>
                <w:iCs/>
                <w:sz w:val="20"/>
                <w:szCs w:val="20"/>
                <w:lang w:eastAsia="ru-RU"/>
              </w:rPr>
            </w:pPr>
            <w:r w:rsidRPr="00FD7B0B">
              <w:rPr>
                <w:rFonts w:ascii="Times New Roman" w:eastAsia="Times New Roman" w:hAnsi="Times New Roman" w:cs="Times New Roman"/>
                <w:iCs/>
                <w:sz w:val="20"/>
                <w:szCs w:val="20"/>
                <w:lang w:eastAsia="ru-RU"/>
              </w:rPr>
              <w:t>1 655,5</w:t>
            </w:r>
          </w:p>
        </w:tc>
        <w:tc>
          <w:tcPr>
            <w:tcW w:w="1008" w:type="dxa"/>
            <w:shd w:val="clear" w:color="auto" w:fill="auto"/>
            <w:vAlign w:val="center"/>
            <w:hideMark/>
          </w:tcPr>
          <w:p w14:paraId="3D9182C6" w14:textId="77777777" w:rsidR="00796E61" w:rsidRPr="00FD7B0B" w:rsidRDefault="00796E61" w:rsidP="00796E61">
            <w:pPr>
              <w:spacing w:after="0" w:line="240" w:lineRule="auto"/>
              <w:jc w:val="center"/>
              <w:rPr>
                <w:rFonts w:ascii="Times New Roman" w:eastAsia="Times New Roman" w:hAnsi="Times New Roman" w:cs="Times New Roman"/>
                <w:iCs/>
                <w:sz w:val="20"/>
                <w:szCs w:val="20"/>
                <w:lang w:eastAsia="ru-RU"/>
              </w:rPr>
            </w:pPr>
            <w:r w:rsidRPr="00FD7B0B">
              <w:rPr>
                <w:rFonts w:ascii="Times New Roman" w:eastAsia="Times New Roman" w:hAnsi="Times New Roman" w:cs="Times New Roman"/>
                <w:iCs/>
                <w:sz w:val="20"/>
                <w:szCs w:val="20"/>
                <w:lang w:eastAsia="ru-RU"/>
              </w:rPr>
              <w:t>38,6</w:t>
            </w:r>
          </w:p>
        </w:tc>
        <w:tc>
          <w:tcPr>
            <w:tcW w:w="987" w:type="dxa"/>
            <w:shd w:val="clear" w:color="auto" w:fill="auto"/>
            <w:vAlign w:val="center"/>
            <w:hideMark/>
          </w:tcPr>
          <w:p w14:paraId="1252C804" w14:textId="77777777" w:rsidR="00796E61" w:rsidRPr="00FD7B0B" w:rsidRDefault="00796E61" w:rsidP="00796E61">
            <w:pPr>
              <w:spacing w:after="0" w:line="240" w:lineRule="auto"/>
              <w:jc w:val="center"/>
              <w:rPr>
                <w:rFonts w:ascii="Times New Roman" w:eastAsia="Times New Roman" w:hAnsi="Times New Roman" w:cs="Times New Roman"/>
                <w:iCs/>
                <w:sz w:val="20"/>
                <w:szCs w:val="20"/>
                <w:lang w:eastAsia="ru-RU"/>
              </w:rPr>
            </w:pPr>
            <w:r w:rsidRPr="00FD7B0B">
              <w:rPr>
                <w:rFonts w:ascii="Times New Roman" w:eastAsia="Times New Roman" w:hAnsi="Times New Roman" w:cs="Times New Roman"/>
                <w:iCs/>
                <w:sz w:val="20"/>
                <w:szCs w:val="20"/>
                <w:lang w:eastAsia="ru-RU"/>
              </w:rPr>
              <w:t>1 655,1</w:t>
            </w:r>
          </w:p>
        </w:tc>
        <w:tc>
          <w:tcPr>
            <w:tcW w:w="680" w:type="dxa"/>
            <w:shd w:val="clear" w:color="auto" w:fill="auto"/>
            <w:vAlign w:val="center"/>
            <w:hideMark/>
          </w:tcPr>
          <w:p w14:paraId="0CCFEC04" w14:textId="77777777" w:rsidR="00796E61" w:rsidRPr="00FD7B0B" w:rsidRDefault="00796E61" w:rsidP="00796E61">
            <w:pPr>
              <w:spacing w:after="0" w:line="240" w:lineRule="auto"/>
              <w:jc w:val="center"/>
              <w:rPr>
                <w:rFonts w:ascii="Times New Roman" w:eastAsia="Times New Roman" w:hAnsi="Times New Roman" w:cs="Times New Roman"/>
                <w:iCs/>
                <w:sz w:val="20"/>
                <w:szCs w:val="20"/>
                <w:lang w:eastAsia="ru-RU"/>
              </w:rPr>
            </w:pPr>
            <w:r w:rsidRPr="00FD7B0B">
              <w:rPr>
                <w:rFonts w:ascii="Times New Roman" w:eastAsia="Times New Roman" w:hAnsi="Times New Roman" w:cs="Times New Roman"/>
                <w:iCs/>
                <w:sz w:val="20"/>
                <w:szCs w:val="20"/>
                <w:lang w:eastAsia="ru-RU"/>
              </w:rPr>
              <w:t>99,98</w:t>
            </w:r>
          </w:p>
        </w:tc>
      </w:tr>
    </w:tbl>
    <w:p w14:paraId="0DC658C1" w14:textId="77777777" w:rsidR="00796E61" w:rsidRPr="00FD7B0B" w:rsidRDefault="00796E61" w:rsidP="002E0696">
      <w:pPr>
        <w:spacing w:after="0" w:line="240" w:lineRule="auto"/>
        <w:ind w:firstLine="708"/>
        <w:contextualSpacing/>
        <w:jc w:val="both"/>
        <w:rPr>
          <w:rFonts w:ascii="Times New Roman" w:eastAsia="Times New Roman" w:hAnsi="Times New Roman" w:cs="Times New Roman"/>
          <w:sz w:val="28"/>
          <w:szCs w:val="28"/>
          <w:lang w:eastAsia="ru-RU"/>
        </w:rPr>
      </w:pPr>
    </w:p>
    <w:p w14:paraId="3CB0B14E"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Из запланированных к реализации 37 мероприятий согласно Отчету не выполнено пять и три мероприятия в 2024 году выполнены частично, в том числе по ГРБС:</w:t>
      </w:r>
    </w:p>
    <w:p w14:paraId="618EC664" w14:textId="77777777" w:rsidR="00796E61" w:rsidRPr="00FD7B0B" w:rsidRDefault="00796E61" w:rsidP="00131B70">
      <w:pPr>
        <w:pStyle w:val="a8"/>
        <w:numPr>
          <w:ilvl w:val="0"/>
          <w:numId w:val="18"/>
        </w:numPr>
        <w:ind w:left="0" w:firstLine="709"/>
        <w:jc w:val="both"/>
        <w:rPr>
          <w:sz w:val="28"/>
          <w:szCs w:val="28"/>
        </w:rPr>
      </w:pPr>
      <w:r w:rsidRPr="00FD7B0B">
        <w:rPr>
          <w:sz w:val="28"/>
          <w:szCs w:val="28"/>
        </w:rPr>
        <w:lastRenderedPageBreak/>
        <w:t>Министерство имущественных отношений АО на сумму 204,5 млн.руб. обеспечило взнос Архангельской области в уставный капитал АО «Архангельский экологический оператор» на расходы по созданию объекта «Комплекс обработки и утилизации твердых коммунальных отходов мощностью 70 000 тонн в год, расположенный по адресу: Архангельская область, Котласский р-н, муниципальное образование «Черемушское», а также на расходы на комплексные инженерные изыскания, разработку проектной и рабочей документации, строительно-монтажные работы по объекту «Газопровод от существующего газопровода среднего давления ООО «Котласгазсервис» в границах земельного участка с кадастровым номером 29:23:010301:78 до газовой котельной объекта «Комплекс обработки и утилизации ТКО мощностью 70 000 тонн в год, расположенного по адресу: Архангельская область, Котласский р-н, муниципальное образование «Черемушское»;</w:t>
      </w:r>
    </w:p>
    <w:p w14:paraId="3D5DC7FD"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2) Минстрой АО сумму 2,1 млн.руб. направил на обеспечение охраны объекта «Укрепление правого берега реки Северная Двина в Соломбальском территориальном округе г. Архангельска на участке от ул. Маяковского до ул. Кедрова», находящегося в оперативном управлении ГКУ АО «Главное управление капитального строительства». Данный объект охраняется с 31.08.2021, расходы по охране составили 8,0 млн.руб. </w:t>
      </w:r>
    </w:p>
    <w:p w14:paraId="51CE10B2"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3) Минлеспром АО ответственный исполнитель реализации 35 мероприятий, из которых не выполнено пять и три мероприятия выполнены частично.</w:t>
      </w:r>
    </w:p>
    <w:p w14:paraId="69636A0F"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состоянию на 31.12.2024 минлеспромом АО предоставлены субсидии:</w:t>
      </w:r>
    </w:p>
    <w:p w14:paraId="25E8A2C8"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ООО «ЭкоИнтегратор» в размере 1 141,5 млн.руб. на возмещение недополученных доходов, возникающих в результате государственного регулирования тарифов в области обращения с ТКО, что составляет 92,3 % к расходам 2023 года. Выплаты осуществлены за октябрь – декабрь 2023 года и январь – август (частичная оплата) 2024 года.</w:t>
      </w:r>
    </w:p>
    <w:p w14:paraId="68B9AA9F" w14:textId="6752AFB1"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связи с необеспеченностью финансирования потребности в средствах субсидий за период август (частично) – ноябрь 2024 года по состоянию на 01.01.2025 задолженность минлеспрома АО перед ООО «ЭкоИнтегратор» (по данным ООО «ЭкоИнтегратор») недополученных доходов, возникающих в результате государственного регулирования тарифов в области обращения с ТК</w:t>
      </w:r>
      <w:r w:rsidR="00751E1C" w:rsidRPr="00FD7B0B">
        <w:rPr>
          <w:rFonts w:ascii="Times New Roman" w:eastAsia="Times New Roman" w:hAnsi="Times New Roman" w:cs="Times New Roman"/>
          <w:sz w:val="28"/>
          <w:szCs w:val="28"/>
          <w:lang w:eastAsia="ru-RU"/>
        </w:rPr>
        <w:t>О, составляет не менее 384 млн.</w:t>
      </w:r>
      <w:r w:rsidRPr="00FD7B0B">
        <w:rPr>
          <w:rFonts w:ascii="Times New Roman" w:eastAsia="Times New Roman" w:hAnsi="Times New Roman" w:cs="Times New Roman"/>
          <w:sz w:val="28"/>
          <w:szCs w:val="28"/>
          <w:lang w:eastAsia="ru-RU"/>
        </w:rPr>
        <w:t>руб., в том числе просроченной кредиторской за</w:t>
      </w:r>
      <w:r w:rsidR="00751E1C" w:rsidRPr="00FD7B0B">
        <w:rPr>
          <w:rFonts w:ascii="Times New Roman" w:eastAsia="Times New Roman" w:hAnsi="Times New Roman" w:cs="Times New Roman"/>
          <w:sz w:val="28"/>
          <w:szCs w:val="28"/>
          <w:lang w:eastAsia="ru-RU"/>
        </w:rPr>
        <w:t>долженности не менее 340,0 млн.</w:t>
      </w:r>
      <w:r w:rsidRPr="00FD7B0B">
        <w:rPr>
          <w:rFonts w:ascii="Times New Roman" w:eastAsia="Times New Roman" w:hAnsi="Times New Roman" w:cs="Times New Roman"/>
          <w:sz w:val="28"/>
          <w:szCs w:val="28"/>
          <w:lang w:eastAsia="ru-RU"/>
        </w:rPr>
        <w:t>руб. (письмо ООО «ЭкоИнтегратор» от 25.12.2024 № 37945/12-24</w:t>
      </w:r>
      <w:r w:rsidR="00751E1C" w:rsidRPr="00FD7B0B">
        <w:rPr>
          <w:rFonts w:ascii="Times New Roman" w:eastAsia="Times New Roman" w:hAnsi="Times New Roman" w:cs="Times New Roman"/>
          <w:sz w:val="28"/>
          <w:szCs w:val="28"/>
          <w:lang w:eastAsia="ru-RU"/>
        </w:rPr>
        <w:t>, вх. 25.12.2024 № 01-02/1744).</w:t>
      </w:r>
    </w:p>
    <w:p w14:paraId="35D3790B" w14:textId="0AE7B7C8"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Кредиторская задолженность у минлеспрома АО по состоянию на 31.12.2024 отсутствует (подтверждено данным бюджетной отчетности «Сведения по дебиторской и кредиторской задолженности» (ф. 0503169) за 2024 год), что свидетельствует о нарушении принципов полноты отражения расходов и достоверности бюджета, определенных статьями 32 и 37 БК РФ, статей 9, 10, 13 Федерального закона от 06.12.2011 № 402-ФЗ </w:t>
      </w:r>
      <w:r w:rsidR="00751E1C"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О бухгалтерском учете</w:t>
      </w:r>
      <w:r w:rsidR="00751E1C"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пунктов 3, 254, 257 Инструкции № 157н, пунктов 2, 102 Инструкции № 162н, пунктов 12,13,14,15,167 Инструкции № 191н;</w:t>
      </w:r>
    </w:p>
    <w:p w14:paraId="0CD76853"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 АО «Архангельский экологический оператор» - 59,2 млн.руб., из них: </w:t>
      </w:r>
    </w:p>
    <w:p w14:paraId="3EC9FD03" w14:textId="471D5873" w:rsidR="00796E61" w:rsidRPr="00FD7B0B" w:rsidRDefault="00796E61" w:rsidP="00751E1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46,1 млн.руб. - для финансового обеспечения расходов, связанных с организацией выполнения работ в целях реализации концессионных соглашений на создание комплексов по обработке, утилизации и захоронению ТКО на территории Архангельской области;</w:t>
      </w:r>
    </w:p>
    <w:p w14:paraId="65FC3328" w14:textId="77777777" w:rsidR="00796E61" w:rsidRPr="00FD7B0B" w:rsidRDefault="00796E61" w:rsidP="00751E1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13,1 млн.руб. - для оплаты процентов и комиссий по обслуживанию кредитных обязательств перед ПАО «Сбербанк» (кредитная линия в части не покрываемых капитальным грантом сумм НДС в рамках создания объекта «Комплекс обработки и утилизации ТКО мощностью 70 000 тонн в год, расположенный по адресу: Архангельская область, Котласский район, муниципальное образование «Черемушское»);</w:t>
      </w:r>
    </w:p>
    <w:p w14:paraId="174361EC" w14:textId="77777777" w:rsidR="00796E61" w:rsidRPr="00FD7B0B" w:rsidRDefault="00796E61" w:rsidP="00751E1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ГБУ АО Центр - 155,0 млн.руб., из них:</w:t>
      </w:r>
    </w:p>
    <w:p w14:paraId="0F104CCA"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70,7 млн.руб. - на выполнение государственного задания, исполнение составило 100 %. Остаток средств на 01.01.2025 по данным бюджетного учета сократился с 9,6 млн.руб. до 2,9 млн.руб.;</w:t>
      </w:r>
    </w:p>
    <w:p w14:paraId="7F5EA1BE" w14:textId="0E60017F" w:rsidR="00796E61" w:rsidRPr="00FD7B0B" w:rsidRDefault="00796E61" w:rsidP="00751E1C">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84,3 млн.руб. - на иные цели, остаток полученных в 2024 году средств на 01.01.2025 по данным бюджетного учета составил 2,2 млн.руб., исполнение составило 97 </w:t>
      </w:r>
      <w:r w:rsidR="00751E1C" w:rsidRPr="00FD7B0B">
        <w:rPr>
          <w:rFonts w:ascii="Times New Roman" w:eastAsia="Times New Roman" w:hAnsi="Times New Roman" w:cs="Times New Roman"/>
          <w:sz w:val="28"/>
          <w:szCs w:val="28"/>
          <w:lang w:eastAsia="ru-RU"/>
        </w:rPr>
        <w:t>% от полученной суммы субсидии.</w:t>
      </w:r>
    </w:p>
    <w:p w14:paraId="60595307"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Отмечаем, что при сокращении остатков ГБУ АО Центр за 2024 год дебиторская задолженность возросла в 4 раза с 444,6 млн.руб. до 1 940,4 млн.руб.</w:t>
      </w:r>
    </w:p>
    <w:p w14:paraId="5DD32AFA" w14:textId="4AAE66E9"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Перечень не выполненных мероприятий или выполненных частично с указанием причин представлен в таблице </w:t>
      </w:r>
      <w:r w:rsidR="00650A3A" w:rsidRPr="00FD7B0B">
        <w:rPr>
          <w:rFonts w:ascii="Times New Roman" w:eastAsia="Times New Roman" w:hAnsi="Times New Roman" w:cs="Times New Roman"/>
          <w:sz w:val="28"/>
          <w:szCs w:val="28"/>
          <w:lang w:eastAsia="ru-RU"/>
        </w:rPr>
        <w:t>152</w:t>
      </w:r>
      <w:r w:rsidRPr="00FD7B0B">
        <w:rPr>
          <w:rFonts w:ascii="Times New Roman" w:eastAsia="Times New Roman" w:hAnsi="Times New Roman" w:cs="Times New Roman"/>
          <w:sz w:val="28"/>
          <w:szCs w:val="28"/>
          <w:lang w:eastAsia="ru-RU"/>
        </w:rPr>
        <w:t>.</w:t>
      </w:r>
    </w:p>
    <w:p w14:paraId="0924A731"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p>
    <w:p w14:paraId="5E2ECBA1" w14:textId="77777777" w:rsidR="00796E61" w:rsidRPr="00FD7B0B" w:rsidRDefault="00796E61" w:rsidP="00796E61">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152</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 невыполненных мероприятиях КПМ ГП № 10 и причинах их не исполнения за 2024 год</w:t>
      </w:r>
    </w:p>
    <w:tbl>
      <w:tblPr>
        <w:tblW w:w="9498" w:type="dxa"/>
        <w:tblInd w:w="-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111"/>
        <w:gridCol w:w="851"/>
        <w:gridCol w:w="708"/>
        <w:gridCol w:w="3828"/>
      </w:tblGrid>
      <w:tr w:rsidR="00FD7B0B" w:rsidRPr="00FD7B0B" w14:paraId="453D73E7" w14:textId="77777777" w:rsidTr="00796E61">
        <w:trPr>
          <w:trHeight w:val="241"/>
          <w:tblHeader/>
        </w:trPr>
        <w:tc>
          <w:tcPr>
            <w:tcW w:w="4111" w:type="dxa"/>
            <w:vMerge w:val="restart"/>
            <w:shd w:val="clear" w:color="auto" w:fill="auto"/>
            <w:vAlign w:val="center"/>
            <w:hideMark/>
          </w:tcPr>
          <w:p w14:paraId="4446CE9B"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Наименование мероприятия КПМ</w:t>
            </w:r>
          </w:p>
        </w:tc>
        <w:tc>
          <w:tcPr>
            <w:tcW w:w="1559" w:type="dxa"/>
            <w:gridSpan w:val="2"/>
            <w:shd w:val="clear" w:color="auto" w:fill="auto"/>
            <w:vAlign w:val="center"/>
            <w:hideMark/>
          </w:tcPr>
          <w:p w14:paraId="6B70F875"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Значение</w:t>
            </w:r>
          </w:p>
        </w:tc>
        <w:tc>
          <w:tcPr>
            <w:tcW w:w="3828" w:type="dxa"/>
            <w:vMerge w:val="restart"/>
            <w:shd w:val="clear" w:color="auto" w:fill="auto"/>
            <w:vAlign w:val="center"/>
            <w:hideMark/>
          </w:tcPr>
          <w:p w14:paraId="67F88CC6"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Причины нарушения исполнения мероприятия</w:t>
            </w:r>
          </w:p>
        </w:tc>
      </w:tr>
      <w:tr w:rsidR="00FD7B0B" w:rsidRPr="00FD7B0B" w14:paraId="748D63BD" w14:textId="77777777" w:rsidTr="005162E4">
        <w:trPr>
          <w:trHeight w:val="125"/>
          <w:tblHeader/>
        </w:trPr>
        <w:tc>
          <w:tcPr>
            <w:tcW w:w="4111" w:type="dxa"/>
            <w:vMerge/>
            <w:vAlign w:val="center"/>
            <w:hideMark/>
          </w:tcPr>
          <w:p w14:paraId="619434F1" w14:textId="77777777" w:rsidR="00796E61" w:rsidRPr="00FD7B0B" w:rsidRDefault="00796E61" w:rsidP="00796E61">
            <w:pPr>
              <w:spacing w:after="0" w:line="240" w:lineRule="auto"/>
              <w:rPr>
                <w:rFonts w:ascii="Times New Roman" w:eastAsia="Times New Roman" w:hAnsi="Times New Roman" w:cs="Times New Roman"/>
                <w:lang w:eastAsia="ru-RU"/>
              </w:rPr>
            </w:pPr>
          </w:p>
        </w:tc>
        <w:tc>
          <w:tcPr>
            <w:tcW w:w="851" w:type="dxa"/>
            <w:shd w:val="clear" w:color="auto" w:fill="auto"/>
            <w:vAlign w:val="center"/>
            <w:hideMark/>
          </w:tcPr>
          <w:p w14:paraId="0DBFDB18"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План</w:t>
            </w:r>
          </w:p>
        </w:tc>
        <w:tc>
          <w:tcPr>
            <w:tcW w:w="708" w:type="dxa"/>
            <w:shd w:val="clear" w:color="auto" w:fill="auto"/>
            <w:vAlign w:val="center"/>
            <w:hideMark/>
          </w:tcPr>
          <w:p w14:paraId="1444DD85"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Факт</w:t>
            </w:r>
          </w:p>
        </w:tc>
        <w:tc>
          <w:tcPr>
            <w:tcW w:w="3828" w:type="dxa"/>
            <w:vMerge/>
            <w:vAlign w:val="center"/>
            <w:hideMark/>
          </w:tcPr>
          <w:p w14:paraId="30F2FAD4" w14:textId="77777777" w:rsidR="00796E61" w:rsidRPr="00FD7B0B" w:rsidRDefault="00796E61" w:rsidP="00796E61">
            <w:pPr>
              <w:spacing w:after="0" w:line="240" w:lineRule="auto"/>
              <w:rPr>
                <w:rFonts w:ascii="Times New Roman" w:eastAsia="Times New Roman" w:hAnsi="Times New Roman" w:cs="Times New Roman"/>
                <w:lang w:eastAsia="ru-RU"/>
              </w:rPr>
            </w:pPr>
          </w:p>
        </w:tc>
      </w:tr>
      <w:tr w:rsidR="00FD7B0B" w:rsidRPr="00FD7B0B" w14:paraId="66B34137" w14:textId="77777777" w:rsidTr="00D93602">
        <w:trPr>
          <w:trHeight w:val="289"/>
        </w:trPr>
        <w:tc>
          <w:tcPr>
            <w:tcW w:w="4111" w:type="dxa"/>
            <w:shd w:val="clear" w:color="auto" w:fill="auto"/>
            <w:vAlign w:val="center"/>
            <w:hideMark/>
          </w:tcPr>
          <w:p w14:paraId="6F3849DC"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 Мероприятие (результат) «Разработана проектно-сметная документации на реконструкцию полигона ТКО г. Коряжмы, включая рекультивацию отработанной карты полигона»</w:t>
            </w:r>
          </w:p>
        </w:tc>
        <w:tc>
          <w:tcPr>
            <w:tcW w:w="851" w:type="dxa"/>
            <w:shd w:val="clear" w:color="auto" w:fill="auto"/>
            <w:vAlign w:val="center"/>
            <w:hideMark/>
          </w:tcPr>
          <w:p w14:paraId="5D76750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1</w:t>
            </w:r>
          </w:p>
        </w:tc>
        <w:tc>
          <w:tcPr>
            <w:tcW w:w="708" w:type="dxa"/>
            <w:shd w:val="clear" w:color="auto" w:fill="auto"/>
            <w:vAlign w:val="center"/>
            <w:hideMark/>
          </w:tcPr>
          <w:p w14:paraId="2474945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w:t>
            </w:r>
          </w:p>
        </w:tc>
        <w:tc>
          <w:tcPr>
            <w:tcW w:w="3828" w:type="dxa"/>
            <w:shd w:val="clear" w:color="auto" w:fill="auto"/>
            <w:vAlign w:val="center"/>
            <w:hideMark/>
          </w:tcPr>
          <w:p w14:paraId="276B9EAE"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в связи с изменением существенных условий контракта и внесения изменений в техническое задание документы на государственную экологическую экспертизу направлены 28.11.2024</w:t>
            </w:r>
          </w:p>
        </w:tc>
      </w:tr>
      <w:tr w:rsidR="00FD7B0B" w:rsidRPr="00FD7B0B" w14:paraId="13213063" w14:textId="77777777" w:rsidTr="00796E61">
        <w:trPr>
          <w:trHeight w:val="1270"/>
        </w:trPr>
        <w:tc>
          <w:tcPr>
            <w:tcW w:w="4111" w:type="dxa"/>
            <w:shd w:val="clear" w:color="auto" w:fill="auto"/>
            <w:vAlign w:val="center"/>
            <w:hideMark/>
          </w:tcPr>
          <w:p w14:paraId="05D9CA2E"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 Мероприятие (результат) «Обеспечен контроль за проведением работ и авторский надзор за соблюдением проведенных работ согласно разработанным проектным документациям по ликвидации свалок в границах городов Архангельска и Няндомы»</w:t>
            </w:r>
          </w:p>
        </w:tc>
        <w:tc>
          <w:tcPr>
            <w:tcW w:w="851" w:type="dxa"/>
            <w:shd w:val="clear" w:color="auto" w:fill="auto"/>
            <w:vAlign w:val="center"/>
            <w:hideMark/>
          </w:tcPr>
          <w:p w14:paraId="0F2DE91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1</w:t>
            </w:r>
          </w:p>
        </w:tc>
        <w:tc>
          <w:tcPr>
            <w:tcW w:w="708" w:type="dxa"/>
            <w:shd w:val="clear" w:color="auto" w:fill="auto"/>
            <w:vAlign w:val="center"/>
            <w:hideMark/>
          </w:tcPr>
          <w:p w14:paraId="6F54729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w:t>
            </w:r>
          </w:p>
        </w:tc>
        <w:tc>
          <w:tcPr>
            <w:tcW w:w="3828" w:type="dxa"/>
            <w:shd w:val="clear" w:color="auto" w:fill="auto"/>
            <w:vAlign w:val="center"/>
            <w:hideMark/>
          </w:tcPr>
          <w:p w14:paraId="15BD1D7E"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 xml:space="preserve">в связи с переносом сроков выполнения работ технического этапа и этапа биологической рекультивации свалки на о. Бревенник в районе поселка 23 лесозавода на I-II кварталы 2025 года </w:t>
            </w:r>
          </w:p>
        </w:tc>
      </w:tr>
      <w:tr w:rsidR="00FD7B0B" w:rsidRPr="00FD7B0B" w14:paraId="13AD9F82" w14:textId="77777777" w:rsidTr="00796E61">
        <w:trPr>
          <w:trHeight w:val="990"/>
        </w:trPr>
        <w:tc>
          <w:tcPr>
            <w:tcW w:w="4111" w:type="dxa"/>
            <w:shd w:val="clear" w:color="auto" w:fill="auto"/>
            <w:vAlign w:val="center"/>
            <w:hideMark/>
          </w:tcPr>
          <w:p w14:paraId="7B49EF9F"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2.6. Мероприятие (результат) «Разработаны проектные документации на рекультивацию полигонов размещения отходов, выводимых из эксплуатации»</w:t>
            </w:r>
          </w:p>
        </w:tc>
        <w:tc>
          <w:tcPr>
            <w:tcW w:w="851" w:type="dxa"/>
            <w:shd w:val="clear" w:color="auto" w:fill="auto"/>
            <w:vAlign w:val="center"/>
            <w:hideMark/>
          </w:tcPr>
          <w:p w14:paraId="5E7AA6A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1</w:t>
            </w:r>
          </w:p>
        </w:tc>
        <w:tc>
          <w:tcPr>
            <w:tcW w:w="708" w:type="dxa"/>
            <w:shd w:val="clear" w:color="auto" w:fill="auto"/>
            <w:vAlign w:val="center"/>
            <w:hideMark/>
          </w:tcPr>
          <w:p w14:paraId="2258A3FF"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w:t>
            </w:r>
          </w:p>
        </w:tc>
        <w:tc>
          <w:tcPr>
            <w:tcW w:w="3828" w:type="dxa"/>
            <w:shd w:val="clear" w:color="auto" w:fill="auto"/>
            <w:vAlign w:val="center"/>
            <w:hideMark/>
          </w:tcPr>
          <w:p w14:paraId="3D98381E"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 xml:space="preserve">ввиду не предоставления администрацией ГО «Северодвинск» информации о стоимости присоединения сброса сточных вод в канализацию, что необходимо для расчета подрядчиком сметной стоимости объекта </w:t>
            </w:r>
          </w:p>
        </w:tc>
      </w:tr>
      <w:tr w:rsidR="00FD7B0B" w:rsidRPr="00FD7B0B" w14:paraId="348F0350" w14:textId="77777777" w:rsidTr="00796E61">
        <w:trPr>
          <w:trHeight w:val="576"/>
        </w:trPr>
        <w:tc>
          <w:tcPr>
            <w:tcW w:w="4111" w:type="dxa"/>
            <w:shd w:val="clear" w:color="auto" w:fill="auto"/>
            <w:vAlign w:val="center"/>
            <w:hideMark/>
          </w:tcPr>
          <w:p w14:paraId="06CCF215"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3.1. Мероприятие (результат) «Подготовлены материалы обоснования создания новой ООПТ регионального значения»</w:t>
            </w:r>
          </w:p>
        </w:tc>
        <w:tc>
          <w:tcPr>
            <w:tcW w:w="851" w:type="dxa"/>
            <w:shd w:val="clear" w:color="auto" w:fill="auto"/>
            <w:vAlign w:val="center"/>
            <w:hideMark/>
          </w:tcPr>
          <w:p w14:paraId="7F6FB76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w:t>
            </w:r>
          </w:p>
        </w:tc>
        <w:tc>
          <w:tcPr>
            <w:tcW w:w="708" w:type="dxa"/>
            <w:shd w:val="clear" w:color="auto" w:fill="auto"/>
            <w:vAlign w:val="center"/>
            <w:hideMark/>
          </w:tcPr>
          <w:p w14:paraId="7BDC48A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3828" w:type="dxa"/>
            <w:shd w:val="clear" w:color="auto" w:fill="auto"/>
            <w:vAlign w:val="center"/>
            <w:hideMark/>
          </w:tcPr>
          <w:p w14:paraId="4CDC2547"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связи с задержкой получения коммерческих предложений и поздним заключением контракта</w:t>
            </w:r>
          </w:p>
        </w:tc>
      </w:tr>
      <w:tr w:rsidR="00FD7B0B" w:rsidRPr="00FD7B0B" w14:paraId="4D90650D" w14:textId="77777777" w:rsidTr="005162E4">
        <w:trPr>
          <w:trHeight w:val="1646"/>
        </w:trPr>
        <w:tc>
          <w:tcPr>
            <w:tcW w:w="4111" w:type="dxa"/>
            <w:shd w:val="clear" w:color="auto" w:fill="auto"/>
            <w:vAlign w:val="center"/>
            <w:hideMark/>
          </w:tcPr>
          <w:p w14:paraId="6D7EEAD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3.10. Мероприятие (результат) «Обучены по программам повышения квалификации сотрудники подведомственных учреждений в части своих полномочий»</w:t>
            </w:r>
          </w:p>
        </w:tc>
        <w:tc>
          <w:tcPr>
            <w:tcW w:w="851" w:type="dxa"/>
            <w:shd w:val="clear" w:color="auto" w:fill="auto"/>
            <w:vAlign w:val="center"/>
            <w:hideMark/>
          </w:tcPr>
          <w:p w14:paraId="3903ADE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w:t>
            </w:r>
          </w:p>
        </w:tc>
        <w:tc>
          <w:tcPr>
            <w:tcW w:w="708" w:type="dxa"/>
            <w:shd w:val="clear" w:color="auto" w:fill="auto"/>
            <w:vAlign w:val="center"/>
            <w:hideMark/>
          </w:tcPr>
          <w:p w14:paraId="5D32ECC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w:t>
            </w:r>
          </w:p>
        </w:tc>
        <w:tc>
          <w:tcPr>
            <w:tcW w:w="3828" w:type="dxa"/>
            <w:shd w:val="clear" w:color="auto" w:fill="auto"/>
            <w:vAlign w:val="center"/>
            <w:hideMark/>
          </w:tcPr>
          <w:p w14:paraId="05B360AC"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ввиду завершения обучения по программам «Повышение квалификации руководителей учреждений и организаций сети наблюдений и лабораторного контроля гражданской обороны и защиты населения органов государственной власти субъектов Российской Федерации» и «Настройка и градуировка средства поверки» 4 сотрудников в феврале 2025 года </w:t>
            </w:r>
          </w:p>
        </w:tc>
      </w:tr>
      <w:tr w:rsidR="00FD7B0B" w:rsidRPr="00FD7B0B" w14:paraId="246293E7" w14:textId="77777777" w:rsidTr="005162E4">
        <w:trPr>
          <w:trHeight w:val="752"/>
        </w:trPr>
        <w:tc>
          <w:tcPr>
            <w:tcW w:w="4111" w:type="dxa"/>
            <w:shd w:val="clear" w:color="auto" w:fill="auto"/>
            <w:vAlign w:val="center"/>
            <w:hideMark/>
          </w:tcPr>
          <w:p w14:paraId="378170E6"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lastRenderedPageBreak/>
              <w:t>3.11. Мероприятие (результат) «Подготовлены комплекты материалов по описанию границ ООПТ и охранных зон ООПТ регионального значения»</w:t>
            </w:r>
          </w:p>
        </w:tc>
        <w:tc>
          <w:tcPr>
            <w:tcW w:w="851" w:type="dxa"/>
            <w:shd w:val="clear" w:color="auto" w:fill="auto"/>
            <w:vAlign w:val="center"/>
            <w:hideMark/>
          </w:tcPr>
          <w:p w14:paraId="7BD504D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w:t>
            </w:r>
          </w:p>
        </w:tc>
        <w:tc>
          <w:tcPr>
            <w:tcW w:w="708" w:type="dxa"/>
            <w:shd w:val="clear" w:color="auto" w:fill="auto"/>
            <w:vAlign w:val="center"/>
            <w:hideMark/>
          </w:tcPr>
          <w:p w14:paraId="36278B6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w:t>
            </w:r>
          </w:p>
        </w:tc>
        <w:tc>
          <w:tcPr>
            <w:tcW w:w="3828" w:type="dxa"/>
            <w:shd w:val="clear" w:color="auto" w:fill="auto"/>
            <w:vAlign w:val="center"/>
            <w:hideMark/>
          </w:tcPr>
          <w:p w14:paraId="261C3D26"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ввиду проведения первоочередных закупок   по основным направлениям (отходы, свалки) </w:t>
            </w:r>
          </w:p>
        </w:tc>
      </w:tr>
      <w:tr w:rsidR="00FD7B0B" w:rsidRPr="00FD7B0B" w14:paraId="1FFC27A5" w14:textId="77777777" w:rsidTr="005162E4">
        <w:trPr>
          <w:trHeight w:val="856"/>
        </w:trPr>
        <w:tc>
          <w:tcPr>
            <w:tcW w:w="4111" w:type="dxa"/>
            <w:shd w:val="clear" w:color="auto" w:fill="auto"/>
            <w:vAlign w:val="center"/>
            <w:hideMark/>
          </w:tcPr>
          <w:p w14:paraId="74D0C820"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4.2. Мероприятие (результат) «Приобретено вспомогательное оборудование для градуировки газоаналитического оборудования постов контроля загрязнения атмосферного воздуха, градуировки газоаналитического оборудования»</w:t>
            </w:r>
          </w:p>
        </w:tc>
        <w:tc>
          <w:tcPr>
            <w:tcW w:w="851" w:type="dxa"/>
            <w:shd w:val="clear" w:color="auto" w:fill="auto"/>
            <w:vAlign w:val="center"/>
            <w:hideMark/>
          </w:tcPr>
          <w:p w14:paraId="089A713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2</w:t>
            </w:r>
          </w:p>
        </w:tc>
        <w:tc>
          <w:tcPr>
            <w:tcW w:w="708" w:type="dxa"/>
            <w:shd w:val="clear" w:color="auto" w:fill="auto"/>
            <w:vAlign w:val="center"/>
            <w:hideMark/>
          </w:tcPr>
          <w:p w14:paraId="27F5C23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w:t>
            </w:r>
          </w:p>
        </w:tc>
        <w:tc>
          <w:tcPr>
            <w:tcW w:w="3828" w:type="dxa"/>
            <w:shd w:val="clear" w:color="auto" w:fill="auto"/>
            <w:vAlign w:val="center"/>
            <w:hideMark/>
          </w:tcPr>
          <w:p w14:paraId="1A288828"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ввиду отсутствия участников для проведения аукциона и увеличении стоимости оборудования</w:t>
            </w:r>
          </w:p>
        </w:tc>
      </w:tr>
      <w:tr w:rsidR="00FD7B0B" w:rsidRPr="00FD7B0B" w14:paraId="44E911D4" w14:textId="77777777" w:rsidTr="005162E4">
        <w:trPr>
          <w:trHeight w:val="657"/>
        </w:trPr>
        <w:tc>
          <w:tcPr>
            <w:tcW w:w="4111" w:type="dxa"/>
            <w:shd w:val="clear" w:color="auto" w:fill="auto"/>
            <w:vAlign w:val="center"/>
            <w:hideMark/>
          </w:tcPr>
          <w:p w14:paraId="2789B8D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4.3. Мероприятие (результат) «Проведены замеры по оценке негативного влияния на окружающую среду производственной и иной деятельности хозяйствующих субъектов» </w:t>
            </w:r>
          </w:p>
        </w:tc>
        <w:tc>
          <w:tcPr>
            <w:tcW w:w="851" w:type="dxa"/>
            <w:shd w:val="clear" w:color="auto" w:fill="auto"/>
            <w:vAlign w:val="center"/>
            <w:hideMark/>
          </w:tcPr>
          <w:p w14:paraId="6985BA8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w:t>
            </w:r>
          </w:p>
        </w:tc>
        <w:tc>
          <w:tcPr>
            <w:tcW w:w="708" w:type="dxa"/>
            <w:shd w:val="clear" w:color="auto" w:fill="auto"/>
            <w:vAlign w:val="center"/>
            <w:hideMark/>
          </w:tcPr>
          <w:p w14:paraId="4A52528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w:t>
            </w:r>
          </w:p>
        </w:tc>
        <w:tc>
          <w:tcPr>
            <w:tcW w:w="3828" w:type="dxa"/>
            <w:shd w:val="clear" w:color="auto" w:fill="auto"/>
            <w:vAlign w:val="center"/>
            <w:hideMark/>
          </w:tcPr>
          <w:p w14:paraId="5335757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ввиду отсутствия заявок на выполнение замеров и проведение химических анализов</w:t>
            </w:r>
          </w:p>
        </w:tc>
      </w:tr>
    </w:tbl>
    <w:p w14:paraId="3C5DCE8D" w14:textId="77777777" w:rsidR="00796E61" w:rsidRPr="00FD7B0B" w:rsidRDefault="00796E61" w:rsidP="00796E61">
      <w:pPr>
        <w:spacing w:after="0" w:line="240" w:lineRule="auto"/>
        <w:contextualSpacing/>
        <w:jc w:val="center"/>
        <w:rPr>
          <w:rFonts w:ascii="Times New Roman" w:eastAsia="Times New Roman" w:hAnsi="Times New Roman" w:cs="Times New Roman"/>
          <w:b/>
          <w:sz w:val="28"/>
          <w:szCs w:val="28"/>
          <w:lang w:eastAsia="ru-RU"/>
        </w:rPr>
      </w:pPr>
    </w:p>
    <w:p w14:paraId="75C9DD92" w14:textId="77777777" w:rsidR="00796E61" w:rsidRPr="00FD7B0B" w:rsidRDefault="00796E61" w:rsidP="00796E61">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Оценка достижения показателей по итогам отчетного года</w:t>
      </w:r>
    </w:p>
    <w:p w14:paraId="5C462EE3"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целом на 2024 год </w:t>
      </w:r>
      <w:r w:rsidRPr="00FD7B0B">
        <w:rPr>
          <w:rFonts w:ascii="Times New Roman" w:eastAsia="Times New Roman" w:hAnsi="Times New Roman"/>
          <w:bCs/>
          <w:sz w:val="24"/>
          <w:szCs w:val="24"/>
          <w:lang w:eastAsia="ru-RU"/>
        </w:rPr>
        <w:t>ГП № 10</w:t>
      </w:r>
      <w:r w:rsidRPr="00FD7B0B">
        <w:rPr>
          <w:rFonts w:ascii="Times New Roman" w:eastAsia="Times New Roman" w:hAnsi="Times New Roman" w:cs="Times New Roman"/>
          <w:sz w:val="28"/>
          <w:szCs w:val="28"/>
          <w:lang w:eastAsia="ru-RU"/>
        </w:rPr>
        <w:t xml:space="preserve"> утверждено четыре показателя. Кроме того, в рамках структурных элементов на начало года было утверждено 26 показателей. На конец года с учетом всех изменений к реализации в целом по ГП № 10 осталось 24 показателя.</w:t>
      </w:r>
    </w:p>
    <w:p w14:paraId="0B819641" w14:textId="738B75E1"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Показатели ГП № 10 в основном соответствуют целям и задачам, установленным документами стратегического планирования в сфере охраны окружающей среды. В прогнозе ключевых показателей для мониторинга реализации Стратегии (Приложение № 2 к Стратегии социально-экономического развития Архангельской области до 2035 года) показатели, связанные с охраной окружающей среды (ГП№ 10) отсутствуют, но в проектах развития раздела 2.5. «Благоприятная окружающая среда» обозначены задачи с результатами, представленными в таблице </w:t>
      </w:r>
      <w:r w:rsidR="00650A3A" w:rsidRPr="00FD7B0B">
        <w:rPr>
          <w:rFonts w:ascii="Times New Roman" w:eastAsia="Times New Roman" w:hAnsi="Times New Roman" w:cs="Times New Roman"/>
          <w:sz w:val="28"/>
          <w:szCs w:val="28"/>
          <w:lang w:eastAsia="ru-RU"/>
        </w:rPr>
        <w:t>153</w:t>
      </w:r>
      <w:r w:rsidRPr="00FD7B0B">
        <w:rPr>
          <w:rFonts w:ascii="Times New Roman" w:eastAsia="Times New Roman" w:hAnsi="Times New Roman" w:cs="Times New Roman"/>
          <w:sz w:val="28"/>
          <w:szCs w:val="28"/>
          <w:lang w:eastAsia="ru-RU"/>
        </w:rPr>
        <w:t>.</w:t>
      </w:r>
    </w:p>
    <w:p w14:paraId="056E02A6"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p>
    <w:p w14:paraId="68685545" w14:textId="77777777" w:rsidR="00796E61" w:rsidRPr="00FD7B0B" w:rsidRDefault="00796E61" w:rsidP="00796E61">
      <w:pPr>
        <w:keepNext/>
        <w:spacing w:after="0" w:line="240" w:lineRule="auto"/>
        <w:rPr>
          <w:rFonts w:ascii="Times New Roman" w:eastAsia="Times New Roman" w:hAnsi="Times New Roman" w:cs="Times New Roman"/>
          <w:sz w:val="24"/>
          <w:szCs w:val="24"/>
          <w:lang w:eastAsia="ru-RU"/>
        </w:rPr>
      </w:pPr>
      <w:r w:rsidRPr="00FD7B0B">
        <w:rPr>
          <w:rFonts w:ascii="Times New Roman" w:eastAsia="Times New Roman" w:hAnsi="Times New Roman" w:cs="Times New Roman"/>
          <w:sz w:val="24"/>
          <w:szCs w:val="24"/>
          <w:lang w:eastAsia="ru-RU"/>
        </w:rPr>
        <w:t xml:space="preserve">Таблица </w:t>
      </w:r>
      <w:r w:rsidRPr="00FD7B0B">
        <w:rPr>
          <w:rFonts w:ascii="Times New Roman" w:eastAsia="Times New Roman" w:hAnsi="Times New Roman" w:cs="Times New Roman"/>
          <w:sz w:val="24"/>
          <w:szCs w:val="24"/>
          <w:lang w:eastAsia="ru-RU"/>
        </w:rPr>
        <w:fldChar w:fldCharType="begin"/>
      </w:r>
      <w:r w:rsidRPr="00FD7B0B">
        <w:rPr>
          <w:rFonts w:ascii="Times New Roman" w:eastAsia="Times New Roman" w:hAnsi="Times New Roman" w:cs="Times New Roman"/>
          <w:sz w:val="24"/>
          <w:szCs w:val="24"/>
          <w:lang w:eastAsia="ru-RU"/>
        </w:rPr>
        <w:instrText xml:space="preserve"> SEQ Таблица \* ARABIC </w:instrText>
      </w:r>
      <w:r w:rsidRPr="00FD7B0B">
        <w:rPr>
          <w:rFonts w:ascii="Times New Roman" w:eastAsia="Times New Roman" w:hAnsi="Times New Roman" w:cs="Times New Roman"/>
          <w:sz w:val="24"/>
          <w:szCs w:val="24"/>
          <w:lang w:eastAsia="ru-RU"/>
        </w:rPr>
        <w:fldChar w:fldCharType="separate"/>
      </w:r>
      <w:r w:rsidR="002959CD" w:rsidRPr="00FD7B0B">
        <w:rPr>
          <w:rFonts w:ascii="Times New Roman" w:eastAsia="Times New Roman" w:hAnsi="Times New Roman" w:cs="Times New Roman"/>
          <w:noProof/>
          <w:sz w:val="24"/>
          <w:szCs w:val="24"/>
          <w:lang w:eastAsia="ru-RU"/>
        </w:rPr>
        <w:t>153</w:t>
      </w:r>
      <w:r w:rsidRPr="00FD7B0B">
        <w:rPr>
          <w:rFonts w:ascii="Times New Roman" w:eastAsia="Times New Roman" w:hAnsi="Times New Roman" w:cs="Times New Roman"/>
          <w:sz w:val="24"/>
          <w:szCs w:val="24"/>
          <w:lang w:eastAsia="ru-RU"/>
        </w:rPr>
        <w:fldChar w:fldCharType="end"/>
      </w:r>
      <w:r w:rsidRPr="00FD7B0B">
        <w:rPr>
          <w:rFonts w:ascii="Times New Roman" w:eastAsia="Times New Roman" w:hAnsi="Times New Roman" w:cs="Times New Roman"/>
          <w:sz w:val="24"/>
          <w:szCs w:val="24"/>
          <w:lang w:eastAsia="ru-RU"/>
        </w:rPr>
        <w:t>. Сопоставление показателей реализацию мероприятий ГП № 10 и показателей Прогноза СЭР на 2024 год, ед.</w:t>
      </w: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854"/>
        <w:gridCol w:w="4800"/>
      </w:tblGrid>
      <w:tr w:rsidR="00FD7B0B" w:rsidRPr="00FD7B0B" w14:paraId="22A254C9" w14:textId="77777777" w:rsidTr="00796E61">
        <w:trPr>
          <w:trHeight w:val="683"/>
          <w:tblHeader/>
        </w:trPr>
        <w:tc>
          <w:tcPr>
            <w:tcW w:w="4854" w:type="dxa"/>
            <w:shd w:val="clear" w:color="auto" w:fill="auto"/>
            <w:vAlign w:val="center"/>
            <w:hideMark/>
          </w:tcPr>
          <w:p w14:paraId="059C366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Цели и задачи документов стратегического планирования (Закон Архангельской области от 18.02.2019 № 57-5-ОЗ «Об утверждении Стратегии социально-экономического развития Архангельской области до 2035 года»)</w:t>
            </w:r>
          </w:p>
        </w:tc>
        <w:tc>
          <w:tcPr>
            <w:tcW w:w="4800" w:type="dxa"/>
            <w:shd w:val="clear" w:color="auto" w:fill="auto"/>
            <w:vAlign w:val="center"/>
            <w:hideMark/>
          </w:tcPr>
          <w:p w14:paraId="54DFA3F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Показатели ГП № 10 на 2024 год </w:t>
            </w:r>
          </w:p>
        </w:tc>
      </w:tr>
      <w:tr w:rsidR="00FD7B0B" w:rsidRPr="00FD7B0B" w14:paraId="7A383038" w14:textId="77777777" w:rsidTr="00650A3A">
        <w:trPr>
          <w:trHeight w:val="540"/>
        </w:trPr>
        <w:tc>
          <w:tcPr>
            <w:tcW w:w="4854" w:type="dxa"/>
            <w:shd w:val="clear" w:color="auto" w:fill="auto"/>
            <w:hideMark/>
          </w:tcPr>
          <w:p w14:paraId="489B67E1"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Будет обеспечено ежегодное увеличение площади земель, реабилитированных в результате ликвидации загрязнений нефтепродуктами и ущерба от хозяйственной деятельности</w:t>
            </w:r>
          </w:p>
        </w:tc>
        <w:tc>
          <w:tcPr>
            <w:tcW w:w="4800" w:type="dxa"/>
            <w:shd w:val="clear" w:color="auto" w:fill="auto"/>
            <w:hideMark/>
          </w:tcPr>
          <w:p w14:paraId="0CECF9CF"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 КПМ Площадь земель, реабилитированных в результате ликвидации экологического ущерба от хозяйственной и иной деятельности (с нарастающим итогом) - 67,6 га</w:t>
            </w:r>
          </w:p>
        </w:tc>
      </w:tr>
      <w:tr w:rsidR="00FD7B0B" w:rsidRPr="00FD7B0B" w14:paraId="300E9365" w14:textId="77777777" w:rsidTr="00650A3A">
        <w:trPr>
          <w:trHeight w:val="1778"/>
        </w:trPr>
        <w:tc>
          <w:tcPr>
            <w:tcW w:w="4854" w:type="dxa"/>
            <w:shd w:val="clear" w:color="auto" w:fill="auto"/>
          </w:tcPr>
          <w:p w14:paraId="589ED31F" w14:textId="77777777" w:rsidR="00796E61" w:rsidRPr="00FD7B0B" w:rsidRDefault="00796E61" w:rsidP="00650A3A">
            <w:pPr>
              <w:autoSpaceDE w:val="0"/>
              <w:autoSpaceDN w:val="0"/>
              <w:adjustRightInd w:val="0"/>
              <w:spacing w:after="0" w:line="240" w:lineRule="auto"/>
              <w:rPr>
                <w:rFonts w:ascii="Times New Roman" w:hAnsi="Times New Roman" w:cs="Times New Roman"/>
                <w:sz w:val="18"/>
                <w:szCs w:val="18"/>
              </w:rPr>
            </w:pPr>
            <w:r w:rsidRPr="00FD7B0B">
              <w:rPr>
                <w:rFonts w:ascii="Times New Roman" w:hAnsi="Times New Roman" w:cs="Times New Roman"/>
                <w:sz w:val="18"/>
                <w:szCs w:val="18"/>
              </w:rPr>
              <w:t>Будет обеспечено сокращение количества жителей, проживающих в неблагоприятных экологических условиях, не менее чем в 4 раза.</w:t>
            </w:r>
          </w:p>
          <w:p w14:paraId="601632FD"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p>
        </w:tc>
        <w:tc>
          <w:tcPr>
            <w:tcW w:w="4800" w:type="dxa"/>
            <w:shd w:val="clear" w:color="auto" w:fill="auto"/>
          </w:tcPr>
          <w:p w14:paraId="4EAEEEDF"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«Чистая страна»</w:t>
            </w:r>
          </w:p>
          <w:p w14:paraId="280ECE7C"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 Численность населения, качество жизни которого улучшится в связи с ликвидацией несанкционированных свалок в границах городов – 360,82 тыс.чел.</w:t>
            </w:r>
          </w:p>
          <w:p w14:paraId="5B142CFC"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 Численность населения, качество жизни которого улучшится в связи с ликвидацией наиболее опасных объектов накопленного вреда окружающей среде, в том числе находящихся в собственности Российской Федерации – 3,5 тыс.чел.</w:t>
            </w:r>
          </w:p>
        </w:tc>
      </w:tr>
      <w:tr w:rsidR="00FD7B0B" w:rsidRPr="00FD7B0B" w14:paraId="370B8250" w14:textId="77777777" w:rsidTr="00650A3A">
        <w:trPr>
          <w:trHeight w:val="1098"/>
        </w:trPr>
        <w:tc>
          <w:tcPr>
            <w:tcW w:w="4854" w:type="dxa"/>
            <w:shd w:val="clear" w:color="auto" w:fill="auto"/>
            <w:hideMark/>
          </w:tcPr>
          <w:p w14:paraId="3A3946FC"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 2024 году будет обеспечено кардинальное снижение уровня загрязнения атмосферного воздуха в крупных промышленных центрах, в том числе уменьшение не менее чем на 20 процентов совокупного объема выбросов загрязняющих веществ в атмосферный воздух в наиболее загрязненных городах.</w:t>
            </w:r>
          </w:p>
        </w:tc>
        <w:tc>
          <w:tcPr>
            <w:tcW w:w="4800" w:type="dxa"/>
            <w:shd w:val="clear" w:color="auto" w:fill="auto"/>
            <w:hideMark/>
          </w:tcPr>
          <w:p w14:paraId="4264FB5A"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 КПМ Объем выбросов вредных (загрязняющих) веществ в атмосферный воздух от стационарных источников, расположенных на территории субъекта Российской Федерации – 109 тыс.тонн</w:t>
            </w:r>
          </w:p>
        </w:tc>
      </w:tr>
      <w:tr w:rsidR="00796E61" w:rsidRPr="00FD7B0B" w14:paraId="57D3668E" w14:textId="77777777" w:rsidTr="00650A3A">
        <w:trPr>
          <w:trHeight w:val="426"/>
        </w:trPr>
        <w:tc>
          <w:tcPr>
            <w:tcW w:w="4854" w:type="dxa"/>
            <w:shd w:val="clear" w:color="auto" w:fill="auto"/>
            <w:hideMark/>
          </w:tcPr>
          <w:p w14:paraId="4F931000"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 2025 году будут приняты меры по ликвидации накопленного вреда окружающей среде на особо охраняемой природной территории федерального значения - архипелаге «Земля Франца-Иосифа».</w:t>
            </w:r>
          </w:p>
        </w:tc>
        <w:tc>
          <w:tcPr>
            <w:tcW w:w="4800" w:type="dxa"/>
            <w:shd w:val="clear" w:color="auto" w:fill="auto"/>
            <w:hideMark/>
          </w:tcPr>
          <w:p w14:paraId="57D9C124" w14:textId="77777777" w:rsidR="00796E61" w:rsidRPr="00FD7B0B" w:rsidRDefault="00796E61" w:rsidP="00650A3A">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Целевой показатель отсутствует</w:t>
            </w:r>
          </w:p>
        </w:tc>
      </w:tr>
    </w:tbl>
    <w:p w14:paraId="641245AD"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p>
    <w:p w14:paraId="48231BFC" w14:textId="21FDE212"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Сведения об изменении показателей структурных элементов программы представлены в таблице </w:t>
      </w:r>
      <w:r w:rsidR="00650A3A" w:rsidRPr="00FD7B0B">
        <w:rPr>
          <w:rFonts w:ascii="Times New Roman" w:eastAsia="Times New Roman" w:hAnsi="Times New Roman" w:cs="Times New Roman"/>
          <w:sz w:val="28"/>
          <w:szCs w:val="28"/>
          <w:lang w:eastAsia="ru-RU"/>
        </w:rPr>
        <w:t>154</w:t>
      </w:r>
      <w:r w:rsidRPr="00FD7B0B">
        <w:rPr>
          <w:rFonts w:ascii="Times New Roman" w:eastAsia="Times New Roman" w:hAnsi="Times New Roman" w:cs="Times New Roman"/>
          <w:sz w:val="28"/>
          <w:szCs w:val="28"/>
          <w:lang w:eastAsia="ru-RU"/>
        </w:rPr>
        <w:t>.</w:t>
      </w:r>
    </w:p>
    <w:p w14:paraId="05F55CF4" w14:textId="77777777" w:rsidR="00796E61" w:rsidRPr="00FD7B0B" w:rsidRDefault="00796E61" w:rsidP="00FA42BF">
      <w:pPr>
        <w:keepNext/>
        <w:spacing w:after="0" w:line="240" w:lineRule="auto"/>
        <w:rPr>
          <w:rFonts w:ascii="Times New Roman" w:eastAsia="Times New Roman" w:hAnsi="Times New Roman" w:cs="Times New Roman"/>
          <w:sz w:val="24"/>
          <w:szCs w:val="24"/>
          <w:lang w:eastAsia="ru-RU"/>
        </w:rPr>
      </w:pPr>
    </w:p>
    <w:p w14:paraId="30FBBE47" w14:textId="77777777" w:rsidR="00796E61" w:rsidRPr="00FD7B0B" w:rsidRDefault="00796E61" w:rsidP="00FA42BF">
      <w:pPr>
        <w:keepNext/>
        <w:spacing w:after="0" w:line="240" w:lineRule="auto"/>
        <w:rPr>
          <w:rFonts w:ascii="Times New Roman" w:eastAsia="Times New Roman" w:hAnsi="Times New Roman" w:cs="Times New Roman"/>
          <w:sz w:val="24"/>
          <w:szCs w:val="24"/>
          <w:lang w:eastAsia="ru-RU"/>
        </w:rPr>
      </w:pPr>
      <w:r w:rsidRPr="00FD7B0B">
        <w:rPr>
          <w:rFonts w:ascii="Times New Roman" w:eastAsia="Times New Roman" w:hAnsi="Times New Roman" w:cs="Times New Roman"/>
          <w:sz w:val="24"/>
          <w:szCs w:val="24"/>
          <w:lang w:eastAsia="ru-RU"/>
        </w:rPr>
        <w:t xml:space="preserve">Таблица </w:t>
      </w:r>
      <w:r w:rsidRPr="00FD7B0B">
        <w:rPr>
          <w:rFonts w:ascii="Times New Roman" w:eastAsia="Times New Roman" w:hAnsi="Times New Roman" w:cs="Times New Roman"/>
          <w:sz w:val="24"/>
          <w:szCs w:val="24"/>
          <w:lang w:eastAsia="ru-RU"/>
        </w:rPr>
        <w:fldChar w:fldCharType="begin"/>
      </w:r>
      <w:r w:rsidRPr="00FD7B0B">
        <w:rPr>
          <w:rFonts w:ascii="Times New Roman" w:eastAsia="Times New Roman" w:hAnsi="Times New Roman" w:cs="Times New Roman"/>
          <w:sz w:val="24"/>
          <w:szCs w:val="24"/>
          <w:lang w:eastAsia="ru-RU"/>
        </w:rPr>
        <w:instrText xml:space="preserve"> SEQ Таблица \* ARABIC </w:instrText>
      </w:r>
      <w:r w:rsidRPr="00FD7B0B">
        <w:rPr>
          <w:rFonts w:ascii="Times New Roman" w:eastAsia="Times New Roman" w:hAnsi="Times New Roman" w:cs="Times New Roman"/>
          <w:sz w:val="24"/>
          <w:szCs w:val="24"/>
          <w:lang w:eastAsia="ru-RU"/>
        </w:rPr>
        <w:fldChar w:fldCharType="separate"/>
      </w:r>
      <w:r w:rsidR="002959CD" w:rsidRPr="00FD7B0B">
        <w:rPr>
          <w:rFonts w:ascii="Times New Roman" w:eastAsia="Times New Roman" w:hAnsi="Times New Roman" w:cs="Times New Roman"/>
          <w:noProof/>
          <w:sz w:val="24"/>
          <w:szCs w:val="24"/>
          <w:lang w:eastAsia="ru-RU"/>
        </w:rPr>
        <w:t>154</w:t>
      </w:r>
      <w:r w:rsidRPr="00FD7B0B">
        <w:rPr>
          <w:rFonts w:ascii="Times New Roman" w:eastAsia="Times New Roman" w:hAnsi="Times New Roman" w:cs="Times New Roman"/>
          <w:sz w:val="24"/>
          <w:szCs w:val="24"/>
          <w:lang w:eastAsia="ru-RU"/>
        </w:rPr>
        <w:fldChar w:fldCharType="end"/>
      </w:r>
      <w:r w:rsidRPr="00FD7B0B">
        <w:rPr>
          <w:rFonts w:ascii="Times New Roman" w:eastAsia="Times New Roman" w:hAnsi="Times New Roman" w:cs="Times New Roman"/>
          <w:sz w:val="24"/>
          <w:szCs w:val="24"/>
          <w:lang w:eastAsia="ru-RU"/>
        </w:rPr>
        <w:t>. Сведения об изменении показателей ГП № 10 и её структурных элементов за 2024 год</w:t>
      </w:r>
    </w:p>
    <w:tbl>
      <w:tblPr>
        <w:tblW w:w="94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13"/>
        <w:gridCol w:w="992"/>
        <w:gridCol w:w="992"/>
        <w:gridCol w:w="709"/>
        <w:gridCol w:w="851"/>
        <w:gridCol w:w="840"/>
        <w:gridCol w:w="861"/>
        <w:gridCol w:w="850"/>
        <w:gridCol w:w="992"/>
        <w:gridCol w:w="993"/>
      </w:tblGrid>
      <w:tr w:rsidR="00FD7B0B" w:rsidRPr="00FD7B0B" w14:paraId="3CDCD089" w14:textId="77777777" w:rsidTr="00FA42BF">
        <w:trPr>
          <w:trHeight w:val="202"/>
          <w:tblHeader/>
        </w:trPr>
        <w:tc>
          <w:tcPr>
            <w:tcW w:w="1413" w:type="dxa"/>
            <w:vMerge w:val="restart"/>
            <w:shd w:val="clear" w:color="auto" w:fill="auto"/>
            <w:vAlign w:val="center"/>
            <w:hideMark/>
          </w:tcPr>
          <w:p w14:paraId="44BF8821" w14:textId="77777777" w:rsidR="00796E61" w:rsidRPr="00FD7B0B" w:rsidRDefault="00796E61" w:rsidP="00796E61">
            <w:pPr>
              <w:spacing w:after="0" w:line="240" w:lineRule="auto"/>
              <w:ind w:right="-1"/>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Наименование структурного элемента </w:t>
            </w:r>
          </w:p>
          <w:p w14:paraId="02D627C5" w14:textId="77777777" w:rsidR="00796E61" w:rsidRPr="00FD7B0B" w:rsidRDefault="00796E61" w:rsidP="00796E61">
            <w:pPr>
              <w:spacing w:after="0" w:line="240" w:lineRule="auto"/>
              <w:ind w:right="-1"/>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ГП № 10</w:t>
            </w:r>
          </w:p>
        </w:tc>
        <w:tc>
          <w:tcPr>
            <w:tcW w:w="1984" w:type="dxa"/>
            <w:gridSpan w:val="2"/>
            <w:vMerge w:val="restart"/>
            <w:shd w:val="clear" w:color="auto" w:fill="auto"/>
            <w:vAlign w:val="center"/>
            <w:hideMark/>
          </w:tcPr>
          <w:p w14:paraId="6CC0528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Всего на 01.04.2024 (ГП ред. 19.03.2024, РП от 12.03.2024, КПМ от 16.02.2024)</w:t>
            </w:r>
          </w:p>
        </w:tc>
        <w:tc>
          <w:tcPr>
            <w:tcW w:w="4111" w:type="dxa"/>
            <w:gridSpan w:val="5"/>
            <w:vMerge w:val="restart"/>
            <w:shd w:val="clear" w:color="auto" w:fill="auto"/>
            <w:vAlign w:val="center"/>
            <w:hideMark/>
          </w:tcPr>
          <w:p w14:paraId="292A29E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Количество показателей, значения которых за 2024 год</w:t>
            </w:r>
          </w:p>
        </w:tc>
        <w:tc>
          <w:tcPr>
            <w:tcW w:w="1985" w:type="dxa"/>
            <w:gridSpan w:val="2"/>
            <w:shd w:val="clear" w:color="auto" w:fill="auto"/>
            <w:vAlign w:val="center"/>
            <w:hideMark/>
          </w:tcPr>
          <w:p w14:paraId="5197852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Всего на 31.12.2024 </w:t>
            </w:r>
          </w:p>
        </w:tc>
      </w:tr>
      <w:tr w:rsidR="00FD7B0B" w:rsidRPr="00FD7B0B" w14:paraId="14531A3A" w14:textId="77777777" w:rsidTr="00FA42BF">
        <w:trPr>
          <w:trHeight w:val="688"/>
          <w:tblHeader/>
        </w:trPr>
        <w:tc>
          <w:tcPr>
            <w:tcW w:w="1413" w:type="dxa"/>
            <w:vMerge/>
            <w:vAlign w:val="center"/>
            <w:hideMark/>
          </w:tcPr>
          <w:p w14:paraId="7E38F2A7"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984" w:type="dxa"/>
            <w:gridSpan w:val="2"/>
            <w:vMerge/>
            <w:vAlign w:val="center"/>
            <w:hideMark/>
          </w:tcPr>
          <w:p w14:paraId="69C1FD88" w14:textId="77777777" w:rsidR="00796E61" w:rsidRPr="00FD7B0B" w:rsidRDefault="00796E61" w:rsidP="00796E61">
            <w:pPr>
              <w:spacing w:after="0" w:line="240" w:lineRule="auto"/>
              <w:rPr>
                <w:rFonts w:ascii="Times New Roman" w:eastAsia="Times New Roman" w:hAnsi="Times New Roman" w:cs="Times New Roman"/>
                <w:sz w:val="16"/>
                <w:szCs w:val="16"/>
                <w:lang w:eastAsia="ru-RU"/>
              </w:rPr>
            </w:pPr>
          </w:p>
        </w:tc>
        <w:tc>
          <w:tcPr>
            <w:tcW w:w="4111" w:type="dxa"/>
            <w:gridSpan w:val="5"/>
            <w:vMerge/>
            <w:vAlign w:val="center"/>
            <w:hideMark/>
          </w:tcPr>
          <w:p w14:paraId="522836D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985" w:type="dxa"/>
            <w:gridSpan w:val="2"/>
            <w:shd w:val="clear" w:color="auto" w:fill="auto"/>
            <w:vAlign w:val="center"/>
            <w:hideMark/>
          </w:tcPr>
          <w:p w14:paraId="6BCC367C" w14:textId="1227F28D"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(ГП ред. 27.12.2024, КПМ от 23.12.2024, РП Отчет и доп.</w:t>
            </w:r>
            <w:r w:rsidR="002A5F34" w:rsidRPr="00FD7B0B">
              <w:rPr>
                <w:rFonts w:ascii="Times New Roman" w:eastAsia="Times New Roman" w:hAnsi="Times New Roman" w:cs="Times New Roman"/>
                <w:sz w:val="18"/>
                <w:szCs w:val="18"/>
                <w:lang w:eastAsia="ru-RU"/>
              </w:rPr>
              <w:t xml:space="preserve"> </w:t>
            </w:r>
            <w:r w:rsidRPr="00FD7B0B">
              <w:rPr>
                <w:rFonts w:ascii="Times New Roman" w:eastAsia="Times New Roman" w:hAnsi="Times New Roman" w:cs="Times New Roman"/>
                <w:sz w:val="18"/>
                <w:szCs w:val="18"/>
                <w:lang w:eastAsia="ru-RU"/>
              </w:rPr>
              <w:t>согл. от 10.12.2024)</w:t>
            </w:r>
          </w:p>
        </w:tc>
      </w:tr>
      <w:tr w:rsidR="00FD7B0B" w:rsidRPr="00FD7B0B" w14:paraId="4A2A1525" w14:textId="77777777" w:rsidTr="00FA42BF">
        <w:trPr>
          <w:trHeight w:val="700"/>
          <w:tblHeader/>
        </w:trPr>
        <w:tc>
          <w:tcPr>
            <w:tcW w:w="1413" w:type="dxa"/>
            <w:vMerge/>
            <w:vAlign w:val="center"/>
            <w:hideMark/>
          </w:tcPr>
          <w:p w14:paraId="5321DB31"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992" w:type="dxa"/>
            <w:shd w:val="clear" w:color="auto" w:fill="auto"/>
            <w:vAlign w:val="center"/>
            <w:hideMark/>
          </w:tcPr>
          <w:p w14:paraId="54E2C283"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целевых показате</w:t>
            </w:r>
          </w:p>
          <w:p w14:paraId="1A4D0205"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лей </w:t>
            </w:r>
          </w:p>
        </w:tc>
        <w:tc>
          <w:tcPr>
            <w:tcW w:w="992" w:type="dxa"/>
            <w:shd w:val="clear" w:color="auto" w:fill="auto"/>
            <w:vAlign w:val="center"/>
            <w:hideMark/>
          </w:tcPr>
          <w:p w14:paraId="175338E9"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сумма финансирования, млн.руб.</w:t>
            </w:r>
          </w:p>
        </w:tc>
        <w:tc>
          <w:tcPr>
            <w:tcW w:w="709" w:type="dxa"/>
            <w:shd w:val="clear" w:color="auto" w:fill="auto"/>
            <w:vAlign w:val="center"/>
            <w:hideMark/>
          </w:tcPr>
          <w:p w14:paraId="6EBAF3DF"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увеличены</w:t>
            </w:r>
          </w:p>
        </w:tc>
        <w:tc>
          <w:tcPr>
            <w:tcW w:w="851" w:type="dxa"/>
            <w:shd w:val="clear" w:color="auto" w:fill="auto"/>
            <w:vAlign w:val="center"/>
            <w:hideMark/>
          </w:tcPr>
          <w:p w14:paraId="152A98D1"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сохранены на уровне</w:t>
            </w:r>
          </w:p>
        </w:tc>
        <w:tc>
          <w:tcPr>
            <w:tcW w:w="840" w:type="dxa"/>
            <w:shd w:val="clear" w:color="auto" w:fill="auto"/>
            <w:vAlign w:val="center"/>
            <w:hideMark/>
          </w:tcPr>
          <w:p w14:paraId="1E35457F"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снижены</w:t>
            </w:r>
          </w:p>
        </w:tc>
        <w:tc>
          <w:tcPr>
            <w:tcW w:w="861" w:type="dxa"/>
            <w:shd w:val="clear" w:color="auto" w:fill="auto"/>
            <w:vAlign w:val="center"/>
            <w:hideMark/>
          </w:tcPr>
          <w:p w14:paraId="7CB7DC1F"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введено в действие</w:t>
            </w:r>
          </w:p>
        </w:tc>
        <w:tc>
          <w:tcPr>
            <w:tcW w:w="850" w:type="dxa"/>
            <w:shd w:val="clear" w:color="auto" w:fill="auto"/>
            <w:vAlign w:val="center"/>
            <w:hideMark/>
          </w:tcPr>
          <w:p w14:paraId="348479F0"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прекратили действовать</w:t>
            </w:r>
          </w:p>
        </w:tc>
        <w:tc>
          <w:tcPr>
            <w:tcW w:w="992" w:type="dxa"/>
            <w:shd w:val="clear" w:color="auto" w:fill="auto"/>
            <w:vAlign w:val="center"/>
            <w:hideMark/>
          </w:tcPr>
          <w:p w14:paraId="5946BC96"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целевых показателей </w:t>
            </w:r>
          </w:p>
        </w:tc>
        <w:tc>
          <w:tcPr>
            <w:tcW w:w="993" w:type="dxa"/>
            <w:shd w:val="clear" w:color="auto" w:fill="auto"/>
            <w:vAlign w:val="center"/>
            <w:hideMark/>
          </w:tcPr>
          <w:p w14:paraId="09BD9C83"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сумма финансирования, млн.руб.</w:t>
            </w:r>
          </w:p>
        </w:tc>
      </w:tr>
      <w:tr w:rsidR="00FD7B0B" w:rsidRPr="00FD7B0B" w14:paraId="715C0E93" w14:textId="77777777" w:rsidTr="00650A3A">
        <w:trPr>
          <w:trHeight w:val="191"/>
        </w:trPr>
        <w:tc>
          <w:tcPr>
            <w:tcW w:w="1413" w:type="dxa"/>
            <w:shd w:val="clear" w:color="auto" w:fill="auto"/>
            <w:vAlign w:val="center"/>
            <w:hideMark/>
          </w:tcPr>
          <w:p w14:paraId="4B7A1830" w14:textId="1A7F9C7D"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ГП №</w:t>
            </w:r>
            <w:r w:rsidR="00FA42BF" w:rsidRPr="00FD7B0B">
              <w:rPr>
                <w:rFonts w:ascii="Times New Roman" w:eastAsia="Times New Roman" w:hAnsi="Times New Roman" w:cs="Times New Roman"/>
                <w:sz w:val="18"/>
                <w:szCs w:val="18"/>
                <w:lang w:eastAsia="ru-RU"/>
              </w:rPr>
              <w:t xml:space="preserve"> </w:t>
            </w:r>
            <w:r w:rsidRPr="00FD7B0B">
              <w:rPr>
                <w:rFonts w:ascii="Times New Roman" w:eastAsia="Times New Roman" w:hAnsi="Times New Roman" w:cs="Times New Roman"/>
                <w:sz w:val="18"/>
                <w:szCs w:val="18"/>
                <w:lang w:eastAsia="ru-RU"/>
              </w:rPr>
              <w:t>10</w:t>
            </w:r>
          </w:p>
        </w:tc>
        <w:tc>
          <w:tcPr>
            <w:tcW w:w="992" w:type="dxa"/>
            <w:shd w:val="clear" w:color="auto" w:fill="auto"/>
            <w:vAlign w:val="center"/>
            <w:hideMark/>
          </w:tcPr>
          <w:p w14:paraId="25FECAEC"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4</w:t>
            </w:r>
          </w:p>
        </w:tc>
        <w:tc>
          <w:tcPr>
            <w:tcW w:w="992" w:type="dxa"/>
            <w:shd w:val="clear" w:color="auto" w:fill="auto"/>
            <w:vAlign w:val="center"/>
            <w:hideMark/>
          </w:tcPr>
          <w:p w14:paraId="3ABB7F4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w:t>
            </w:r>
          </w:p>
        </w:tc>
        <w:tc>
          <w:tcPr>
            <w:tcW w:w="709" w:type="dxa"/>
            <w:shd w:val="clear" w:color="auto" w:fill="auto"/>
            <w:vAlign w:val="center"/>
            <w:hideMark/>
          </w:tcPr>
          <w:p w14:paraId="460E7B7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51" w:type="dxa"/>
            <w:shd w:val="clear" w:color="auto" w:fill="auto"/>
            <w:vAlign w:val="center"/>
            <w:hideMark/>
          </w:tcPr>
          <w:p w14:paraId="34A378A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w:t>
            </w:r>
          </w:p>
        </w:tc>
        <w:tc>
          <w:tcPr>
            <w:tcW w:w="840" w:type="dxa"/>
            <w:shd w:val="clear" w:color="auto" w:fill="auto"/>
            <w:vAlign w:val="center"/>
            <w:hideMark/>
          </w:tcPr>
          <w:p w14:paraId="7E591C4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61" w:type="dxa"/>
            <w:shd w:val="clear" w:color="auto" w:fill="auto"/>
            <w:vAlign w:val="center"/>
            <w:hideMark/>
          </w:tcPr>
          <w:p w14:paraId="3B9F8A3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50" w:type="dxa"/>
            <w:shd w:val="clear" w:color="auto" w:fill="auto"/>
            <w:vAlign w:val="center"/>
            <w:hideMark/>
          </w:tcPr>
          <w:p w14:paraId="728559E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992" w:type="dxa"/>
            <w:shd w:val="clear" w:color="auto" w:fill="auto"/>
            <w:vAlign w:val="center"/>
            <w:hideMark/>
          </w:tcPr>
          <w:p w14:paraId="00D80164"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4</w:t>
            </w:r>
          </w:p>
        </w:tc>
        <w:tc>
          <w:tcPr>
            <w:tcW w:w="993" w:type="dxa"/>
            <w:shd w:val="clear" w:color="auto" w:fill="auto"/>
            <w:noWrap/>
            <w:vAlign w:val="center"/>
            <w:hideMark/>
          </w:tcPr>
          <w:p w14:paraId="79BA0B9A" w14:textId="77777777" w:rsidR="00796E61" w:rsidRPr="00FD7B0B" w:rsidRDefault="00796E61" w:rsidP="00796E61">
            <w:pPr>
              <w:spacing w:after="0" w:line="240" w:lineRule="auto"/>
              <w:rPr>
                <w:rFonts w:ascii="Calibri" w:eastAsia="Times New Roman" w:hAnsi="Calibri" w:cs="Calibri"/>
                <w:lang w:eastAsia="ru-RU"/>
              </w:rPr>
            </w:pPr>
            <w:r w:rsidRPr="00FD7B0B">
              <w:rPr>
                <w:rFonts w:ascii="Calibri" w:eastAsia="Times New Roman" w:hAnsi="Calibri" w:cs="Calibri"/>
                <w:lang w:eastAsia="ru-RU"/>
              </w:rPr>
              <w:t> </w:t>
            </w:r>
          </w:p>
        </w:tc>
      </w:tr>
      <w:tr w:rsidR="00FD7B0B" w:rsidRPr="00FD7B0B" w14:paraId="1ABFA6B6" w14:textId="77777777" w:rsidTr="00FA42BF">
        <w:trPr>
          <w:trHeight w:val="233"/>
        </w:trPr>
        <w:tc>
          <w:tcPr>
            <w:tcW w:w="1413" w:type="dxa"/>
            <w:shd w:val="clear" w:color="auto" w:fill="auto"/>
            <w:vAlign w:val="center"/>
            <w:hideMark/>
          </w:tcPr>
          <w:p w14:paraId="73A81DE7" w14:textId="77777777" w:rsidR="00796E61" w:rsidRPr="00FD7B0B" w:rsidRDefault="00796E61" w:rsidP="00796E61">
            <w:pPr>
              <w:spacing w:after="0" w:line="240" w:lineRule="auto"/>
              <w:rPr>
                <w:rFonts w:ascii="Times New Roman" w:eastAsia="Times New Roman" w:hAnsi="Times New Roman" w:cs="Times New Roman"/>
                <w:i/>
                <w:iCs/>
                <w:sz w:val="18"/>
                <w:szCs w:val="18"/>
                <w:lang w:eastAsia="ru-RU"/>
              </w:rPr>
            </w:pPr>
            <w:r w:rsidRPr="00FD7B0B">
              <w:rPr>
                <w:rFonts w:ascii="Times New Roman" w:eastAsia="Times New Roman" w:hAnsi="Times New Roman" w:cs="Times New Roman"/>
                <w:i/>
                <w:iCs/>
                <w:sz w:val="18"/>
                <w:szCs w:val="18"/>
                <w:lang w:eastAsia="ru-RU"/>
              </w:rPr>
              <w:t>РП "Чистая страна"</w:t>
            </w:r>
          </w:p>
        </w:tc>
        <w:tc>
          <w:tcPr>
            <w:tcW w:w="992" w:type="dxa"/>
            <w:shd w:val="clear" w:color="auto" w:fill="auto"/>
            <w:vAlign w:val="center"/>
            <w:hideMark/>
          </w:tcPr>
          <w:p w14:paraId="1390148B"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4</w:t>
            </w:r>
          </w:p>
        </w:tc>
        <w:tc>
          <w:tcPr>
            <w:tcW w:w="992" w:type="dxa"/>
            <w:shd w:val="clear" w:color="auto" w:fill="auto"/>
            <w:vAlign w:val="center"/>
            <w:hideMark/>
          </w:tcPr>
          <w:p w14:paraId="1970C21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456,1</w:t>
            </w:r>
          </w:p>
        </w:tc>
        <w:tc>
          <w:tcPr>
            <w:tcW w:w="709" w:type="dxa"/>
            <w:shd w:val="clear" w:color="auto" w:fill="auto"/>
            <w:vAlign w:val="center"/>
            <w:hideMark/>
          </w:tcPr>
          <w:p w14:paraId="15D27234"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51" w:type="dxa"/>
            <w:shd w:val="clear" w:color="auto" w:fill="auto"/>
            <w:vAlign w:val="center"/>
            <w:hideMark/>
          </w:tcPr>
          <w:p w14:paraId="4573EECF"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w:t>
            </w:r>
          </w:p>
        </w:tc>
        <w:tc>
          <w:tcPr>
            <w:tcW w:w="840" w:type="dxa"/>
            <w:shd w:val="clear" w:color="auto" w:fill="auto"/>
            <w:vAlign w:val="center"/>
            <w:hideMark/>
          </w:tcPr>
          <w:p w14:paraId="0B9D64B4"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61" w:type="dxa"/>
            <w:shd w:val="clear" w:color="auto" w:fill="auto"/>
            <w:vAlign w:val="center"/>
            <w:hideMark/>
          </w:tcPr>
          <w:p w14:paraId="302CF74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50" w:type="dxa"/>
            <w:shd w:val="clear" w:color="auto" w:fill="auto"/>
            <w:vAlign w:val="center"/>
            <w:hideMark/>
          </w:tcPr>
          <w:p w14:paraId="481726E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992" w:type="dxa"/>
            <w:shd w:val="clear" w:color="auto" w:fill="auto"/>
            <w:vAlign w:val="center"/>
            <w:hideMark/>
          </w:tcPr>
          <w:p w14:paraId="3B3B2F2D"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4</w:t>
            </w:r>
          </w:p>
        </w:tc>
        <w:tc>
          <w:tcPr>
            <w:tcW w:w="993" w:type="dxa"/>
            <w:shd w:val="clear" w:color="auto" w:fill="auto"/>
            <w:vAlign w:val="center"/>
            <w:hideMark/>
          </w:tcPr>
          <w:p w14:paraId="688D95F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456,1</w:t>
            </w:r>
          </w:p>
        </w:tc>
      </w:tr>
      <w:tr w:rsidR="00FD7B0B" w:rsidRPr="00FD7B0B" w14:paraId="4DC32067" w14:textId="77777777" w:rsidTr="00796E61">
        <w:trPr>
          <w:trHeight w:val="885"/>
        </w:trPr>
        <w:tc>
          <w:tcPr>
            <w:tcW w:w="1413" w:type="dxa"/>
            <w:shd w:val="clear" w:color="auto" w:fill="auto"/>
            <w:vAlign w:val="center"/>
            <w:hideMark/>
          </w:tcPr>
          <w:p w14:paraId="456B5681" w14:textId="77777777" w:rsidR="00796E61" w:rsidRPr="00FD7B0B" w:rsidRDefault="00796E61" w:rsidP="00796E61">
            <w:pPr>
              <w:spacing w:after="0" w:line="240" w:lineRule="auto"/>
              <w:rPr>
                <w:rFonts w:ascii="Times New Roman" w:eastAsia="Times New Roman" w:hAnsi="Times New Roman" w:cs="Times New Roman"/>
                <w:i/>
                <w:iCs/>
                <w:sz w:val="18"/>
                <w:szCs w:val="18"/>
                <w:lang w:eastAsia="ru-RU"/>
              </w:rPr>
            </w:pPr>
            <w:r w:rsidRPr="00FD7B0B">
              <w:rPr>
                <w:rFonts w:ascii="Times New Roman" w:eastAsia="Times New Roman" w:hAnsi="Times New Roman" w:cs="Times New Roman"/>
                <w:i/>
                <w:iCs/>
                <w:sz w:val="18"/>
                <w:szCs w:val="18"/>
                <w:lang w:eastAsia="ru-RU"/>
              </w:rPr>
              <w:t>РП "Комплексная система обращения с ТКО"</w:t>
            </w:r>
          </w:p>
        </w:tc>
        <w:tc>
          <w:tcPr>
            <w:tcW w:w="992" w:type="dxa"/>
            <w:shd w:val="clear" w:color="auto" w:fill="auto"/>
            <w:vAlign w:val="center"/>
            <w:hideMark/>
          </w:tcPr>
          <w:p w14:paraId="41E26A28"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5</w:t>
            </w:r>
          </w:p>
        </w:tc>
        <w:tc>
          <w:tcPr>
            <w:tcW w:w="992" w:type="dxa"/>
            <w:shd w:val="clear" w:color="auto" w:fill="auto"/>
            <w:vAlign w:val="center"/>
            <w:hideMark/>
          </w:tcPr>
          <w:p w14:paraId="260F4B7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277,8</w:t>
            </w:r>
          </w:p>
        </w:tc>
        <w:tc>
          <w:tcPr>
            <w:tcW w:w="709" w:type="dxa"/>
            <w:shd w:val="clear" w:color="auto" w:fill="auto"/>
            <w:vAlign w:val="center"/>
            <w:hideMark/>
          </w:tcPr>
          <w:p w14:paraId="33CEB9E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51" w:type="dxa"/>
            <w:shd w:val="clear" w:color="auto" w:fill="auto"/>
            <w:vAlign w:val="center"/>
            <w:hideMark/>
          </w:tcPr>
          <w:p w14:paraId="1CBF5439"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w:t>
            </w:r>
          </w:p>
        </w:tc>
        <w:tc>
          <w:tcPr>
            <w:tcW w:w="840" w:type="dxa"/>
            <w:shd w:val="clear" w:color="auto" w:fill="auto"/>
            <w:vAlign w:val="center"/>
            <w:hideMark/>
          </w:tcPr>
          <w:p w14:paraId="730EDF1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w:t>
            </w:r>
          </w:p>
        </w:tc>
        <w:tc>
          <w:tcPr>
            <w:tcW w:w="861" w:type="dxa"/>
            <w:shd w:val="clear" w:color="auto" w:fill="auto"/>
            <w:vAlign w:val="center"/>
            <w:hideMark/>
          </w:tcPr>
          <w:p w14:paraId="1C91E4D4"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50" w:type="dxa"/>
            <w:shd w:val="clear" w:color="auto" w:fill="auto"/>
            <w:vAlign w:val="center"/>
            <w:hideMark/>
          </w:tcPr>
          <w:p w14:paraId="2404609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992" w:type="dxa"/>
            <w:shd w:val="clear" w:color="auto" w:fill="auto"/>
            <w:vAlign w:val="center"/>
            <w:hideMark/>
          </w:tcPr>
          <w:p w14:paraId="56F9ACC9"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5</w:t>
            </w:r>
          </w:p>
        </w:tc>
        <w:tc>
          <w:tcPr>
            <w:tcW w:w="993" w:type="dxa"/>
            <w:shd w:val="clear" w:color="auto" w:fill="auto"/>
            <w:vAlign w:val="center"/>
            <w:hideMark/>
          </w:tcPr>
          <w:p w14:paraId="43667C8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277,8</w:t>
            </w:r>
          </w:p>
        </w:tc>
      </w:tr>
      <w:tr w:rsidR="00FD7B0B" w:rsidRPr="00FD7B0B" w14:paraId="3BC02D01" w14:textId="77777777" w:rsidTr="00FA42BF">
        <w:trPr>
          <w:trHeight w:val="168"/>
        </w:trPr>
        <w:tc>
          <w:tcPr>
            <w:tcW w:w="1413" w:type="dxa"/>
            <w:shd w:val="clear" w:color="auto" w:fill="auto"/>
            <w:vAlign w:val="center"/>
            <w:hideMark/>
          </w:tcPr>
          <w:p w14:paraId="51BEEA75"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w:t>
            </w:r>
          </w:p>
        </w:tc>
        <w:tc>
          <w:tcPr>
            <w:tcW w:w="992" w:type="dxa"/>
            <w:shd w:val="clear" w:color="auto" w:fill="auto"/>
            <w:vAlign w:val="center"/>
            <w:hideMark/>
          </w:tcPr>
          <w:p w14:paraId="24355895"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13</w:t>
            </w:r>
          </w:p>
        </w:tc>
        <w:tc>
          <w:tcPr>
            <w:tcW w:w="992" w:type="dxa"/>
            <w:shd w:val="clear" w:color="auto" w:fill="auto"/>
            <w:vAlign w:val="center"/>
            <w:hideMark/>
          </w:tcPr>
          <w:p w14:paraId="2D9409F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1 453,4</w:t>
            </w:r>
          </w:p>
        </w:tc>
        <w:tc>
          <w:tcPr>
            <w:tcW w:w="709" w:type="dxa"/>
            <w:shd w:val="clear" w:color="auto" w:fill="auto"/>
            <w:vAlign w:val="center"/>
            <w:hideMark/>
          </w:tcPr>
          <w:p w14:paraId="234E5D2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w:t>
            </w:r>
          </w:p>
        </w:tc>
        <w:tc>
          <w:tcPr>
            <w:tcW w:w="851" w:type="dxa"/>
            <w:shd w:val="clear" w:color="auto" w:fill="auto"/>
            <w:vAlign w:val="center"/>
            <w:hideMark/>
          </w:tcPr>
          <w:p w14:paraId="1057C17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w:t>
            </w:r>
          </w:p>
        </w:tc>
        <w:tc>
          <w:tcPr>
            <w:tcW w:w="840" w:type="dxa"/>
            <w:shd w:val="clear" w:color="auto" w:fill="auto"/>
            <w:vAlign w:val="center"/>
            <w:hideMark/>
          </w:tcPr>
          <w:p w14:paraId="11A68D9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61" w:type="dxa"/>
            <w:shd w:val="clear" w:color="auto" w:fill="auto"/>
            <w:vAlign w:val="center"/>
            <w:hideMark/>
          </w:tcPr>
          <w:p w14:paraId="3D93722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50" w:type="dxa"/>
            <w:shd w:val="clear" w:color="auto" w:fill="auto"/>
            <w:vAlign w:val="center"/>
            <w:hideMark/>
          </w:tcPr>
          <w:p w14:paraId="5C8F7C9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w:t>
            </w:r>
          </w:p>
        </w:tc>
        <w:tc>
          <w:tcPr>
            <w:tcW w:w="992" w:type="dxa"/>
            <w:shd w:val="clear" w:color="auto" w:fill="auto"/>
            <w:vAlign w:val="center"/>
            <w:hideMark/>
          </w:tcPr>
          <w:p w14:paraId="07AB83B3"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12</w:t>
            </w:r>
          </w:p>
        </w:tc>
        <w:tc>
          <w:tcPr>
            <w:tcW w:w="993" w:type="dxa"/>
            <w:shd w:val="clear" w:color="auto" w:fill="auto"/>
            <w:vAlign w:val="center"/>
            <w:hideMark/>
          </w:tcPr>
          <w:p w14:paraId="59E8318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1 616,9</w:t>
            </w:r>
          </w:p>
        </w:tc>
      </w:tr>
      <w:tr w:rsidR="00796E61" w:rsidRPr="00FD7B0B" w14:paraId="4ED4D321" w14:textId="77777777" w:rsidTr="00FA42BF">
        <w:trPr>
          <w:trHeight w:val="87"/>
        </w:trPr>
        <w:tc>
          <w:tcPr>
            <w:tcW w:w="1413" w:type="dxa"/>
            <w:shd w:val="clear" w:color="auto" w:fill="auto"/>
            <w:vAlign w:val="center"/>
            <w:hideMark/>
          </w:tcPr>
          <w:p w14:paraId="568B64F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Итого</w:t>
            </w:r>
          </w:p>
        </w:tc>
        <w:tc>
          <w:tcPr>
            <w:tcW w:w="992" w:type="dxa"/>
            <w:shd w:val="clear" w:color="auto" w:fill="auto"/>
            <w:vAlign w:val="center"/>
            <w:hideMark/>
          </w:tcPr>
          <w:p w14:paraId="3CAD3D42"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26</w:t>
            </w:r>
          </w:p>
        </w:tc>
        <w:tc>
          <w:tcPr>
            <w:tcW w:w="992" w:type="dxa"/>
            <w:shd w:val="clear" w:color="auto" w:fill="auto"/>
            <w:vAlign w:val="center"/>
            <w:hideMark/>
          </w:tcPr>
          <w:p w14:paraId="5D13EB89"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2 187,3</w:t>
            </w:r>
          </w:p>
        </w:tc>
        <w:tc>
          <w:tcPr>
            <w:tcW w:w="709" w:type="dxa"/>
            <w:shd w:val="clear" w:color="auto" w:fill="auto"/>
            <w:vAlign w:val="center"/>
            <w:hideMark/>
          </w:tcPr>
          <w:p w14:paraId="603FC973"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1</w:t>
            </w:r>
          </w:p>
        </w:tc>
        <w:tc>
          <w:tcPr>
            <w:tcW w:w="851" w:type="dxa"/>
            <w:shd w:val="clear" w:color="auto" w:fill="auto"/>
            <w:vAlign w:val="center"/>
            <w:hideMark/>
          </w:tcPr>
          <w:p w14:paraId="0A202316"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21</w:t>
            </w:r>
          </w:p>
        </w:tc>
        <w:tc>
          <w:tcPr>
            <w:tcW w:w="840" w:type="dxa"/>
            <w:shd w:val="clear" w:color="auto" w:fill="auto"/>
            <w:vAlign w:val="center"/>
            <w:hideMark/>
          </w:tcPr>
          <w:p w14:paraId="0DEEC276"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3</w:t>
            </w:r>
          </w:p>
        </w:tc>
        <w:tc>
          <w:tcPr>
            <w:tcW w:w="861" w:type="dxa"/>
            <w:shd w:val="clear" w:color="auto" w:fill="auto"/>
            <w:vAlign w:val="center"/>
            <w:hideMark/>
          </w:tcPr>
          <w:p w14:paraId="1BA6D693"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0</w:t>
            </w:r>
          </w:p>
        </w:tc>
        <w:tc>
          <w:tcPr>
            <w:tcW w:w="850" w:type="dxa"/>
            <w:shd w:val="clear" w:color="auto" w:fill="auto"/>
            <w:vAlign w:val="center"/>
            <w:hideMark/>
          </w:tcPr>
          <w:p w14:paraId="6A829799"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1</w:t>
            </w:r>
          </w:p>
        </w:tc>
        <w:tc>
          <w:tcPr>
            <w:tcW w:w="992" w:type="dxa"/>
            <w:shd w:val="clear" w:color="auto" w:fill="auto"/>
            <w:vAlign w:val="center"/>
            <w:hideMark/>
          </w:tcPr>
          <w:p w14:paraId="2EFEAC63"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25</w:t>
            </w:r>
          </w:p>
        </w:tc>
        <w:tc>
          <w:tcPr>
            <w:tcW w:w="993" w:type="dxa"/>
            <w:shd w:val="clear" w:color="auto" w:fill="auto"/>
            <w:vAlign w:val="center"/>
            <w:hideMark/>
          </w:tcPr>
          <w:p w14:paraId="7B2829B4" w14:textId="77777777" w:rsidR="00796E61" w:rsidRPr="00FD7B0B" w:rsidRDefault="00796E61" w:rsidP="00796E61">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2 350,8</w:t>
            </w:r>
          </w:p>
        </w:tc>
      </w:tr>
    </w:tbl>
    <w:p w14:paraId="55B472D4"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p>
    <w:p w14:paraId="06A600B1"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результатам анализа отмечаем, что динамика изменения значений показателей ГП № 10 не коррелируется с объемами финансирования программы.</w:t>
      </w:r>
    </w:p>
    <w:p w14:paraId="29753954" w14:textId="77777777" w:rsidR="00796E61" w:rsidRPr="00FD7B0B" w:rsidRDefault="00796E61" w:rsidP="00796E61">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Значение показателя КПМ «Доля ООПТ регионального значения, на которых созданы экологические маршруты и тропы» на начало отчетного периода (в ред. от 26.02.2024 № 168 р) соответствовало 4 %, в редакции действующей в декабре 2024 года данный показатель исключен. Показатель «Площадь земель, реабилитированных в результате ликвидации экологического ущерба от хозяйственной и иной деятельности» за год увеличился на 10 гектар с 57,6 га до 67,6 га.</w:t>
      </w:r>
    </w:p>
    <w:p w14:paraId="112519BE" w14:textId="04252F8A"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итогам 2024 года минлеспромом АО не выполнен плановый показатель № 4 ГП № 10 «Площадь восстановленных водных объектов» ввиду позднего получения (11.12.2024) положительного экспертного заключения по корректировке проектной документации и инженерных изысканий работы по ликвидации загрязнения озера Плесцы в г. Мирный Архангельской области.</w:t>
      </w:r>
    </w:p>
    <w:p w14:paraId="575959C6" w14:textId="30169BC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Три показателя из четырех РП «Чистая страна. Архангельская область» выполнены на 100 % и один «Количество ликвидированных несанкционированных свалок в границах городов» выполнен на 80 % - работы по выполнению технического этапа и этапа биологической рекультивации несанкционированной свалки на о. Бревенник в районе поселка 23 лесозавода перенесены на II квартал 2025 года</w:t>
      </w:r>
      <w:r w:rsidR="00D93602" w:rsidRPr="00FD7B0B">
        <w:rPr>
          <w:rFonts w:ascii="Times New Roman" w:eastAsia="Times New Roman" w:hAnsi="Times New Roman" w:cs="Times New Roman"/>
          <w:sz w:val="28"/>
          <w:szCs w:val="28"/>
          <w:lang w:eastAsia="ru-RU"/>
        </w:rPr>
        <w:t>.</w:t>
      </w:r>
    </w:p>
    <w:p w14:paraId="713CB3C9" w14:textId="77777777" w:rsidR="005546FA" w:rsidRPr="00FD7B0B" w:rsidRDefault="005546FA" w:rsidP="005546FA">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итогам РП «Комплексная система обращения с ТКО. Архангельская область» ни один из трех комплексов не введен в эксплуатацию. В Отчете все пять показателей, выполнены на 100 и более процентов.</w:t>
      </w:r>
    </w:p>
    <w:p w14:paraId="3FE27EF3"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Плановые значения трех из пяти показателей с марта изменены в меньшую сторону, а именно:</w:t>
      </w:r>
    </w:p>
    <w:p w14:paraId="6F2D04CB"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1. «Доля направленных на захоронение ТКО, в том числе прошедших обработку (сортировку), в общей массе образованных ТКО» по паспорту от 12.03.2024 - 97,2 %, в завершающем отчете - 99,7 %;</w:t>
      </w:r>
    </w:p>
    <w:p w14:paraId="2D1DDBC1"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2. «Доля направленных на утилизацию и обезвреживание отходов, в том числе выделенных в результате раздельного накопления и (или) обработки (сортировки) ТКО, в общей массе образованных ТКО» по паспорту от 12.03.2024 - 2,8 %, в завершающем отчете - 0,3 %;</w:t>
      </w:r>
    </w:p>
    <w:p w14:paraId="6D844644" w14:textId="54D5009E"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3. «Доля твердых коммунальных отходов, направленных на обработку (сортировку), в общей массе образованных ТКО» по паспорту от 12.03.2024 – 22</w:t>
      </w:r>
      <w:r w:rsidR="00A33471"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 xml:space="preserve">%, в завершающем отчете </w:t>
      </w:r>
      <w:r w:rsidR="00A33471"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9,9 %.</w:t>
      </w:r>
    </w:p>
    <w:p w14:paraId="3D965208"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Таким образом, несмотря на высокие значения кассового исполнения достижение запланированных результатов и показателей</w:t>
      </w:r>
      <w:r w:rsidRPr="00FD7B0B">
        <w:t xml:space="preserve"> </w:t>
      </w:r>
      <w:r w:rsidRPr="00FD7B0B">
        <w:rPr>
          <w:rFonts w:ascii="Times New Roman" w:eastAsia="Times New Roman" w:hAnsi="Times New Roman" w:cs="Times New Roman"/>
          <w:sz w:val="28"/>
          <w:szCs w:val="28"/>
          <w:lang w:eastAsia="ru-RU"/>
        </w:rPr>
        <w:t>является формальным, т.к. корректировка плановых значений результатов и показателей выполнена в декабре под фактически достигнутые значения.</w:t>
      </w:r>
    </w:p>
    <w:p w14:paraId="4AD5DC5D" w14:textId="5E5E3AFC"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Сведения о выполнении показателей ГП № 10 и расходах на их выполнение за 2024 год представлены в таблице </w:t>
      </w:r>
      <w:r w:rsidR="0002691E" w:rsidRPr="00FD7B0B">
        <w:rPr>
          <w:rFonts w:ascii="Times New Roman" w:eastAsia="Times New Roman" w:hAnsi="Times New Roman" w:cs="Times New Roman"/>
          <w:sz w:val="28"/>
          <w:szCs w:val="28"/>
          <w:lang w:eastAsia="ru-RU"/>
        </w:rPr>
        <w:t>155</w:t>
      </w:r>
      <w:r w:rsidRPr="00FD7B0B">
        <w:rPr>
          <w:rFonts w:ascii="Times New Roman" w:eastAsia="Times New Roman" w:hAnsi="Times New Roman" w:cs="Times New Roman"/>
          <w:sz w:val="28"/>
          <w:szCs w:val="28"/>
          <w:lang w:eastAsia="ru-RU"/>
        </w:rPr>
        <w:t>.</w:t>
      </w:r>
    </w:p>
    <w:p w14:paraId="0973C55D" w14:textId="77777777" w:rsidR="00796E61" w:rsidRPr="00FD7B0B" w:rsidRDefault="00796E61" w:rsidP="00796E61">
      <w:pPr>
        <w:keepNext/>
        <w:spacing w:after="0" w:line="240" w:lineRule="auto"/>
        <w:rPr>
          <w:rFonts w:ascii="Times New Roman" w:eastAsia="Times New Roman" w:hAnsi="Times New Roman" w:cs="Times New Roman"/>
          <w:sz w:val="24"/>
          <w:szCs w:val="24"/>
          <w:lang w:eastAsia="ru-RU"/>
        </w:rPr>
      </w:pPr>
    </w:p>
    <w:p w14:paraId="396731A4" w14:textId="77777777" w:rsidR="00796E61" w:rsidRPr="00FD7B0B" w:rsidRDefault="00796E61" w:rsidP="00796E61">
      <w:pPr>
        <w:pStyle w:val="aff0"/>
        <w:keepNext/>
        <w:spacing w:after="0" w:line="240" w:lineRule="auto"/>
        <w:rPr>
          <w:rFonts w:ascii="Times New Roman" w:eastAsia="Times New Roman" w:hAnsi="Times New Roman"/>
          <w:b w:val="0"/>
          <w:bCs w:val="0"/>
          <w:sz w:val="24"/>
          <w:szCs w:val="24"/>
          <w:lang w:eastAsia="ru-RU"/>
        </w:rPr>
      </w:pPr>
      <w:r w:rsidRPr="00FD7B0B">
        <w:rPr>
          <w:rFonts w:ascii="Times New Roman" w:eastAsia="Times New Roman" w:hAnsi="Times New Roman"/>
          <w:b w:val="0"/>
          <w:bCs w:val="0"/>
          <w:sz w:val="24"/>
          <w:szCs w:val="24"/>
          <w:lang w:eastAsia="ru-RU"/>
        </w:rPr>
        <w:t xml:space="preserve">Таблица </w:t>
      </w:r>
      <w:r w:rsidRPr="00FD7B0B">
        <w:rPr>
          <w:rFonts w:ascii="Times New Roman" w:eastAsia="Times New Roman" w:hAnsi="Times New Roman"/>
          <w:b w:val="0"/>
          <w:bCs w:val="0"/>
          <w:sz w:val="24"/>
          <w:szCs w:val="24"/>
          <w:lang w:eastAsia="ru-RU"/>
        </w:rPr>
        <w:fldChar w:fldCharType="begin"/>
      </w:r>
      <w:r w:rsidRPr="00FD7B0B">
        <w:rPr>
          <w:rFonts w:ascii="Times New Roman" w:eastAsia="Times New Roman" w:hAnsi="Times New Roman"/>
          <w:b w:val="0"/>
          <w:bCs w:val="0"/>
          <w:sz w:val="24"/>
          <w:szCs w:val="24"/>
          <w:lang w:eastAsia="ru-RU"/>
        </w:rPr>
        <w:instrText xml:space="preserve"> SEQ Таблица \* ARABIC </w:instrText>
      </w:r>
      <w:r w:rsidRPr="00FD7B0B">
        <w:rPr>
          <w:rFonts w:ascii="Times New Roman" w:eastAsia="Times New Roman" w:hAnsi="Times New Roman"/>
          <w:b w:val="0"/>
          <w:bCs w:val="0"/>
          <w:sz w:val="24"/>
          <w:szCs w:val="24"/>
          <w:lang w:eastAsia="ru-RU"/>
        </w:rPr>
        <w:fldChar w:fldCharType="separate"/>
      </w:r>
      <w:r w:rsidR="002959CD" w:rsidRPr="00FD7B0B">
        <w:rPr>
          <w:rFonts w:ascii="Times New Roman" w:eastAsia="Times New Roman" w:hAnsi="Times New Roman"/>
          <w:b w:val="0"/>
          <w:bCs w:val="0"/>
          <w:noProof/>
          <w:sz w:val="24"/>
          <w:szCs w:val="24"/>
          <w:lang w:eastAsia="ru-RU"/>
        </w:rPr>
        <w:t>155</w:t>
      </w:r>
      <w:r w:rsidRPr="00FD7B0B">
        <w:rPr>
          <w:rFonts w:ascii="Times New Roman" w:eastAsia="Times New Roman" w:hAnsi="Times New Roman"/>
          <w:b w:val="0"/>
          <w:bCs w:val="0"/>
          <w:sz w:val="24"/>
          <w:szCs w:val="24"/>
          <w:lang w:eastAsia="ru-RU"/>
        </w:rPr>
        <w:fldChar w:fldCharType="end"/>
      </w:r>
      <w:r w:rsidRPr="00FD7B0B">
        <w:rPr>
          <w:rFonts w:ascii="Times New Roman" w:eastAsia="Times New Roman" w:hAnsi="Times New Roman"/>
          <w:b w:val="0"/>
          <w:bCs w:val="0"/>
          <w:sz w:val="24"/>
          <w:szCs w:val="24"/>
          <w:lang w:eastAsia="ru-RU"/>
        </w:rPr>
        <w:t>. Сведения о выполнении показателей ГП № 10, а также о расходах на их выполнение за 2024 год</w:t>
      </w:r>
    </w:p>
    <w:tbl>
      <w:tblPr>
        <w:tblW w:w="9482"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253"/>
        <w:gridCol w:w="850"/>
        <w:gridCol w:w="992"/>
        <w:gridCol w:w="993"/>
        <w:gridCol w:w="992"/>
        <w:gridCol w:w="1417"/>
        <w:gridCol w:w="993"/>
        <w:gridCol w:w="992"/>
      </w:tblGrid>
      <w:tr w:rsidR="00FD7B0B" w:rsidRPr="00FD7B0B" w14:paraId="6ED7654E" w14:textId="77777777" w:rsidTr="00A33471">
        <w:trPr>
          <w:trHeight w:val="562"/>
          <w:tblHeader/>
          <w:jc w:val="center"/>
        </w:trPr>
        <w:tc>
          <w:tcPr>
            <w:tcW w:w="2253" w:type="dxa"/>
            <w:vMerge w:val="restart"/>
            <w:shd w:val="clear" w:color="auto" w:fill="auto"/>
            <w:vAlign w:val="center"/>
            <w:hideMark/>
          </w:tcPr>
          <w:p w14:paraId="46E8248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структурного элемента ГП №10</w:t>
            </w:r>
          </w:p>
        </w:tc>
        <w:tc>
          <w:tcPr>
            <w:tcW w:w="2835" w:type="dxa"/>
            <w:gridSpan w:val="3"/>
            <w:shd w:val="clear" w:color="auto" w:fill="auto"/>
            <w:vAlign w:val="center"/>
            <w:hideMark/>
          </w:tcPr>
          <w:p w14:paraId="52CE924E"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Количество показателей на 2024 год</w:t>
            </w:r>
          </w:p>
        </w:tc>
        <w:tc>
          <w:tcPr>
            <w:tcW w:w="2409" w:type="dxa"/>
            <w:gridSpan w:val="2"/>
            <w:shd w:val="clear" w:color="auto" w:fill="auto"/>
            <w:vAlign w:val="center"/>
            <w:hideMark/>
          </w:tcPr>
          <w:p w14:paraId="59CFA1D0"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Объем финансирования ГП № 10 на 2024 год</w:t>
            </w:r>
          </w:p>
        </w:tc>
        <w:tc>
          <w:tcPr>
            <w:tcW w:w="1985" w:type="dxa"/>
            <w:gridSpan w:val="2"/>
            <w:shd w:val="clear" w:color="auto" w:fill="auto"/>
            <w:vAlign w:val="center"/>
            <w:hideMark/>
          </w:tcPr>
          <w:p w14:paraId="0D7F7C7C"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согласно Отчету о реализации ГП №10</w:t>
            </w:r>
          </w:p>
        </w:tc>
      </w:tr>
      <w:tr w:rsidR="00FD7B0B" w:rsidRPr="00FD7B0B" w14:paraId="49958882" w14:textId="77777777" w:rsidTr="00A33471">
        <w:trPr>
          <w:trHeight w:val="738"/>
          <w:tblHeader/>
          <w:jc w:val="center"/>
        </w:trPr>
        <w:tc>
          <w:tcPr>
            <w:tcW w:w="2253" w:type="dxa"/>
            <w:vMerge/>
            <w:vAlign w:val="center"/>
            <w:hideMark/>
          </w:tcPr>
          <w:p w14:paraId="58564D62"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p>
        </w:tc>
        <w:tc>
          <w:tcPr>
            <w:tcW w:w="850" w:type="dxa"/>
            <w:shd w:val="clear" w:color="auto" w:fill="auto"/>
            <w:vAlign w:val="center"/>
            <w:hideMark/>
          </w:tcPr>
          <w:p w14:paraId="01E37FBF"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w:t>
            </w:r>
          </w:p>
        </w:tc>
        <w:tc>
          <w:tcPr>
            <w:tcW w:w="992" w:type="dxa"/>
            <w:shd w:val="clear" w:color="auto" w:fill="auto"/>
            <w:vAlign w:val="center"/>
            <w:hideMark/>
          </w:tcPr>
          <w:p w14:paraId="0FA87F6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Фактическое выполнение</w:t>
            </w:r>
          </w:p>
        </w:tc>
        <w:tc>
          <w:tcPr>
            <w:tcW w:w="993" w:type="dxa"/>
            <w:shd w:val="clear" w:color="auto" w:fill="auto"/>
            <w:vAlign w:val="center"/>
            <w:hideMark/>
          </w:tcPr>
          <w:p w14:paraId="4E2B8089"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выполнения</w:t>
            </w:r>
          </w:p>
        </w:tc>
        <w:tc>
          <w:tcPr>
            <w:tcW w:w="992" w:type="dxa"/>
            <w:shd w:val="clear" w:color="auto" w:fill="auto"/>
            <w:vAlign w:val="center"/>
            <w:hideMark/>
          </w:tcPr>
          <w:p w14:paraId="75EEDF8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млн.руб.</w:t>
            </w:r>
          </w:p>
        </w:tc>
        <w:tc>
          <w:tcPr>
            <w:tcW w:w="1417" w:type="dxa"/>
            <w:shd w:val="clear" w:color="auto" w:fill="auto"/>
            <w:vAlign w:val="center"/>
            <w:hideMark/>
          </w:tcPr>
          <w:p w14:paraId="680172F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к показателю на 01.01.2024</w:t>
            </w:r>
          </w:p>
        </w:tc>
        <w:tc>
          <w:tcPr>
            <w:tcW w:w="993" w:type="dxa"/>
            <w:shd w:val="clear" w:color="auto" w:fill="auto"/>
            <w:vAlign w:val="center"/>
            <w:hideMark/>
          </w:tcPr>
          <w:p w14:paraId="1AA44792"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млн.руб.</w:t>
            </w:r>
          </w:p>
        </w:tc>
        <w:tc>
          <w:tcPr>
            <w:tcW w:w="992" w:type="dxa"/>
            <w:shd w:val="clear" w:color="auto" w:fill="auto"/>
            <w:vAlign w:val="center"/>
            <w:hideMark/>
          </w:tcPr>
          <w:p w14:paraId="2B5A7DB6"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выполнения</w:t>
            </w:r>
          </w:p>
        </w:tc>
      </w:tr>
      <w:tr w:rsidR="00FD7B0B" w:rsidRPr="00FD7B0B" w14:paraId="3593E187" w14:textId="77777777" w:rsidTr="00A33471">
        <w:trPr>
          <w:trHeight w:val="147"/>
          <w:jc w:val="center"/>
        </w:trPr>
        <w:tc>
          <w:tcPr>
            <w:tcW w:w="2253" w:type="dxa"/>
            <w:shd w:val="clear" w:color="auto" w:fill="auto"/>
            <w:vAlign w:val="center"/>
            <w:hideMark/>
          </w:tcPr>
          <w:p w14:paraId="08A2B175"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А</w:t>
            </w:r>
          </w:p>
        </w:tc>
        <w:tc>
          <w:tcPr>
            <w:tcW w:w="850" w:type="dxa"/>
            <w:shd w:val="clear" w:color="auto" w:fill="auto"/>
            <w:vAlign w:val="center"/>
            <w:hideMark/>
          </w:tcPr>
          <w:p w14:paraId="647E7AE4"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992" w:type="dxa"/>
            <w:shd w:val="clear" w:color="auto" w:fill="auto"/>
            <w:vAlign w:val="center"/>
            <w:hideMark/>
          </w:tcPr>
          <w:p w14:paraId="633D6F2B"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993" w:type="dxa"/>
            <w:shd w:val="clear" w:color="auto" w:fill="auto"/>
            <w:vAlign w:val="center"/>
            <w:hideMark/>
          </w:tcPr>
          <w:p w14:paraId="46DEA581"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3=2/1*100</w:t>
            </w:r>
          </w:p>
        </w:tc>
        <w:tc>
          <w:tcPr>
            <w:tcW w:w="992" w:type="dxa"/>
            <w:shd w:val="clear" w:color="auto" w:fill="auto"/>
            <w:vAlign w:val="center"/>
            <w:hideMark/>
          </w:tcPr>
          <w:p w14:paraId="66801A61"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w:t>
            </w:r>
          </w:p>
        </w:tc>
        <w:tc>
          <w:tcPr>
            <w:tcW w:w="1417" w:type="dxa"/>
            <w:shd w:val="clear" w:color="auto" w:fill="auto"/>
            <w:vAlign w:val="center"/>
            <w:hideMark/>
          </w:tcPr>
          <w:p w14:paraId="5B80F73E"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993" w:type="dxa"/>
            <w:shd w:val="clear" w:color="auto" w:fill="auto"/>
            <w:vAlign w:val="center"/>
            <w:hideMark/>
          </w:tcPr>
          <w:p w14:paraId="7D99F6F6"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w:t>
            </w:r>
          </w:p>
        </w:tc>
        <w:tc>
          <w:tcPr>
            <w:tcW w:w="992" w:type="dxa"/>
            <w:shd w:val="clear" w:color="auto" w:fill="auto"/>
            <w:vAlign w:val="center"/>
            <w:hideMark/>
          </w:tcPr>
          <w:p w14:paraId="16A43BB9"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w:t>
            </w:r>
          </w:p>
        </w:tc>
      </w:tr>
      <w:tr w:rsidR="00FD7B0B" w:rsidRPr="00FD7B0B" w14:paraId="4A4A5405" w14:textId="77777777" w:rsidTr="00A33471">
        <w:trPr>
          <w:trHeight w:val="93"/>
          <w:jc w:val="center"/>
        </w:trPr>
        <w:tc>
          <w:tcPr>
            <w:tcW w:w="2253" w:type="dxa"/>
            <w:shd w:val="clear" w:color="auto" w:fill="auto"/>
            <w:vAlign w:val="center"/>
            <w:hideMark/>
          </w:tcPr>
          <w:p w14:paraId="053FD02A" w14:textId="77777777" w:rsidR="00796E61" w:rsidRPr="00FD7B0B" w:rsidRDefault="00796E61" w:rsidP="00A3347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ГП № 10</w:t>
            </w:r>
          </w:p>
        </w:tc>
        <w:tc>
          <w:tcPr>
            <w:tcW w:w="850" w:type="dxa"/>
            <w:shd w:val="clear" w:color="auto" w:fill="auto"/>
            <w:vAlign w:val="center"/>
            <w:hideMark/>
          </w:tcPr>
          <w:p w14:paraId="7C217FB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w:t>
            </w:r>
          </w:p>
        </w:tc>
        <w:tc>
          <w:tcPr>
            <w:tcW w:w="992" w:type="dxa"/>
            <w:shd w:val="clear" w:color="auto" w:fill="auto"/>
            <w:vAlign w:val="center"/>
            <w:hideMark/>
          </w:tcPr>
          <w:p w14:paraId="2C2EADD6"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993" w:type="dxa"/>
            <w:shd w:val="clear" w:color="auto" w:fill="auto"/>
            <w:vAlign w:val="center"/>
            <w:hideMark/>
          </w:tcPr>
          <w:p w14:paraId="15CFB08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75,0</w:t>
            </w:r>
          </w:p>
        </w:tc>
        <w:tc>
          <w:tcPr>
            <w:tcW w:w="992" w:type="dxa"/>
            <w:shd w:val="clear" w:color="auto" w:fill="auto"/>
            <w:vAlign w:val="center"/>
            <w:hideMark/>
          </w:tcPr>
          <w:p w14:paraId="5BB2FC75"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w:t>
            </w:r>
          </w:p>
        </w:tc>
        <w:tc>
          <w:tcPr>
            <w:tcW w:w="1417" w:type="dxa"/>
            <w:shd w:val="clear" w:color="auto" w:fill="auto"/>
            <w:vAlign w:val="center"/>
            <w:hideMark/>
          </w:tcPr>
          <w:p w14:paraId="7C8C0C29"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w:t>
            </w:r>
          </w:p>
        </w:tc>
        <w:tc>
          <w:tcPr>
            <w:tcW w:w="993" w:type="dxa"/>
            <w:shd w:val="clear" w:color="auto" w:fill="auto"/>
            <w:vAlign w:val="center"/>
            <w:hideMark/>
          </w:tcPr>
          <w:p w14:paraId="23BB842C"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w:t>
            </w:r>
          </w:p>
        </w:tc>
        <w:tc>
          <w:tcPr>
            <w:tcW w:w="992" w:type="dxa"/>
            <w:shd w:val="clear" w:color="auto" w:fill="auto"/>
            <w:vAlign w:val="center"/>
            <w:hideMark/>
          </w:tcPr>
          <w:p w14:paraId="6BCA4873"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w:t>
            </w:r>
          </w:p>
        </w:tc>
      </w:tr>
      <w:tr w:rsidR="00FD7B0B" w:rsidRPr="00FD7B0B" w14:paraId="25B2B871" w14:textId="77777777" w:rsidTr="00A33471">
        <w:trPr>
          <w:trHeight w:val="125"/>
          <w:jc w:val="center"/>
        </w:trPr>
        <w:tc>
          <w:tcPr>
            <w:tcW w:w="2253" w:type="dxa"/>
            <w:shd w:val="clear" w:color="auto" w:fill="auto"/>
            <w:hideMark/>
          </w:tcPr>
          <w:p w14:paraId="2086218E" w14:textId="77777777" w:rsidR="00796E61" w:rsidRPr="00FD7B0B" w:rsidRDefault="00796E61" w:rsidP="00A3347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"Чистая страна"</w:t>
            </w:r>
          </w:p>
        </w:tc>
        <w:tc>
          <w:tcPr>
            <w:tcW w:w="850" w:type="dxa"/>
            <w:shd w:val="clear" w:color="auto" w:fill="auto"/>
            <w:vAlign w:val="center"/>
            <w:hideMark/>
          </w:tcPr>
          <w:p w14:paraId="54C200F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w:t>
            </w:r>
          </w:p>
        </w:tc>
        <w:tc>
          <w:tcPr>
            <w:tcW w:w="992" w:type="dxa"/>
            <w:shd w:val="clear" w:color="auto" w:fill="auto"/>
            <w:vAlign w:val="center"/>
            <w:hideMark/>
          </w:tcPr>
          <w:p w14:paraId="31AC6019"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993" w:type="dxa"/>
            <w:shd w:val="clear" w:color="auto" w:fill="auto"/>
            <w:vAlign w:val="center"/>
            <w:hideMark/>
          </w:tcPr>
          <w:p w14:paraId="3CEF5A6D"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75,0</w:t>
            </w:r>
          </w:p>
        </w:tc>
        <w:tc>
          <w:tcPr>
            <w:tcW w:w="992" w:type="dxa"/>
            <w:shd w:val="clear" w:color="auto" w:fill="auto"/>
            <w:vAlign w:val="center"/>
            <w:hideMark/>
          </w:tcPr>
          <w:p w14:paraId="456CDC0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456,1</w:t>
            </w:r>
          </w:p>
        </w:tc>
        <w:tc>
          <w:tcPr>
            <w:tcW w:w="1417" w:type="dxa"/>
            <w:shd w:val="clear" w:color="auto" w:fill="auto"/>
            <w:vAlign w:val="center"/>
            <w:hideMark/>
          </w:tcPr>
          <w:p w14:paraId="7C4260A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993" w:type="dxa"/>
            <w:shd w:val="clear" w:color="auto" w:fill="auto"/>
            <w:vAlign w:val="center"/>
            <w:hideMark/>
          </w:tcPr>
          <w:p w14:paraId="198375B0"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456,10</w:t>
            </w:r>
          </w:p>
        </w:tc>
        <w:tc>
          <w:tcPr>
            <w:tcW w:w="992" w:type="dxa"/>
            <w:shd w:val="clear" w:color="auto" w:fill="auto"/>
            <w:vAlign w:val="center"/>
            <w:hideMark/>
          </w:tcPr>
          <w:p w14:paraId="63469443"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2A00164D" w14:textId="77777777" w:rsidTr="00A33471">
        <w:trPr>
          <w:trHeight w:val="312"/>
          <w:jc w:val="center"/>
        </w:trPr>
        <w:tc>
          <w:tcPr>
            <w:tcW w:w="2253" w:type="dxa"/>
            <w:shd w:val="clear" w:color="auto" w:fill="auto"/>
            <w:hideMark/>
          </w:tcPr>
          <w:p w14:paraId="545A8251" w14:textId="77777777" w:rsidR="00796E61" w:rsidRPr="00FD7B0B" w:rsidRDefault="00796E61" w:rsidP="00A3347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"Комплексная система обращения с ТКО"</w:t>
            </w:r>
          </w:p>
        </w:tc>
        <w:tc>
          <w:tcPr>
            <w:tcW w:w="850" w:type="dxa"/>
            <w:shd w:val="clear" w:color="auto" w:fill="auto"/>
            <w:vAlign w:val="center"/>
            <w:hideMark/>
          </w:tcPr>
          <w:p w14:paraId="2F465144"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992" w:type="dxa"/>
            <w:shd w:val="clear" w:color="auto" w:fill="auto"/>
            <w:vAlign w:val="center"/>
            <w:hideMark/>
          </w:tcPr>
          <w:p w14:paraId="37A87080"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993" w:type="dxa"/>
            <w:shd w:val="clear" w:color="auto" w:fill="auto"/>
            <w:vAlign w:val="center"/>
            <w:hideMark/>
          </w:tcPr>
          <w:p w14:paraId="53F0AD53"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992" w:type="dxa"/>
            <w:shd w:val="clear" w:color="auto" w:fill="auto"/>
            <w:vAlign w:val="center"/>
            <w:hideMark/>
          </w:tcPr>
          <w:p w14:paraId="5336264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277,8</w:t>
            </w:r>
          </w:p>
        </w:tc>
        <w:tc>
          <w:tcPr>
            <w:tcW w:w="1417" w:type="dxa"/>
            <w:shd w:val="clear" w:color="auto" w:fill="auto"/>
            <w:vAlign w:val="center"/>
            <w:hideMark/>
          </w:tcPr>
          <w:p w14:paraId="5F67B64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993" w:type="dxa"/>
            <w:shd w:val="clear" w:color="auto" w:fill="auto"/>
            <w:vAlign w:val="center"/>
            <w:hideMark/>
          </w:tcPr>
          <w:p w14:paraId="28C7BF7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277,80</w:t>
            </w:r>
          </w:p>
        </w:tc>
        <w:tc>
          <w:tcPr>
            <w:tcW w:w="992" w:type="dxa"/>
            <w:shd w:val="clear" w:color="auto" w:fill="auto"/>
            <w:vAlign w:val="center"/>
            <w:hideMark/>
          </w:tcPr>
          <w:p w14:paraId="120A237C"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1D4B04A7" w14:textId="77777777" w:rsidTr="00A33471">
        <w:trPr>
          <w:trHeight w:val="36"/>
          <w:jc w:val="center"/>
        </w:trPr>
        <w:tc>
          <w:tcPr>
            <w:tcW w:w="2253" w:type="dxa"/>
            <w:shd w:val="clear" w:color="auto" w:fill="auto"/>
            <w:vAlign w:val="center"/>
            <w:hideMark/>
          </w:tcPr>
          <w:p w14:paraId="60646209" w14:textId="77777777" w:rsidR="00796E61" w:rsidRPr="00FD7B0B" w:rsidRDefault="00796E61" w:rsidP="00A3347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w:t>
            </w:r>
          </w:p>
        </w:tc>
        <w:tc>
          <w:tcPr>
            <w:tcW w:w="850" w:type="dxa"/>
            <w:shd w:val="clear" w:color="auto" w:fill="auto"/>
            <w:vAlign w:val="center"/>
            <w:hideMark/>
          </w:tcPr>
          <w:p w14:paraId="0611D9D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w:t>
            </w:r>
          </w:p>
        </w:tc>
        <w:tc>
          <w:tcPr>
            <w:tcW w:w="992" w:type="dxa"/>
            <w:shd w:val="clear" w:color="auto" w:fill="auto"/>
            <w:vAlign w:val="center"/>
            <w:hideMark/>
          </w:tcPr>
          <w:p w14:paraId="75DF26D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w:t>
            </w:r>
          </w:p>
        </w:tc>
        <w:tc>
          <w:tcPr>
            <w:tcW w:w="993" w:type="dxa"/>
            <w:shd w:val="clear" w:color="auto" w:fill="auto"/>
            <w:vAlign w:val="center"/>
            <w:hideMark/>
          </w:tcPr>
          <w:p w14:paraId="0CE29546"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76,9</w:t>
            </w:r>
          </w:p>
        </w:tc>
        <w:tc>
          <w:tcPr>
            <w:tcW w:w="992" w:type="dxa"/>
            <w:shd w:val="clear" w:color="auto" w:fill="auto"/>
            <w:vAlign w:val="center"/>
            <w:hideMark/>
          </w:tcPr>
          <w:p w14:paraId="6B855FB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1 616,9</w:t>
            </w:r>
          </w:p>
        </w:tc>
        <w:tc>
          <w:tcPr>
            <w:tcW w:w="1417" w:type="dxa"/>
            <w:shd w:val="clear" w:color="auto" w:fill="auto"/>
            <w:vAlign w:val="center"/>
            <w:hideMark/>
          </w:tcPr>
          <w:p w14:paraId="76B4EB27"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109,5</w:t>
            </w:r>
          </w:p>
        </w:tc>
        <w:tc>
          <w:tcPr>
            <w:tcW w:w="993" w:type="dxa"/>
            <w:shd w:val="clear" w:color="auto" w:fill="auto"/>
            <w:vAlign w:val="center"/>
            <w:hideMark/>
          </w:tcPr>
          <w:p w14:paraId="15AE401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1 735,60</w:t>
            </w:r>
          </w:p>
        </w:tc>
        <w:tc>
          <w:tcPr>
            <w:tcW w:w="992" w:type="dxa"/>
            <w:shd w:val="clear" w:color="auto" w:fill="auto"/>
            <w:vAlign w:val="center"/>
            <w:hideMark/>
          </w:tcPr>
          <w:p w14:paraId="58DC7A4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107,3</w:t>
            </w:r>
          </w:p>
        </w:tc>
      </w:tr>
      <w:tr w:rsidR="00796E61" w:rsidRPr="00FD7B0B" w14:paraId="10FD3D2B" w14:textId="77777777" w:rsidTr="00A33471">
        <w:trPr>
          <w:trHeight w:val="213"/>
          <w:jc w:val="center"/>
        </w:trPr>
        <w:tc>
          <w:tcPr>
            <w:tcW w:w="2253" w:type="dxa"/>
            <w:shd w:val="clear" w:color="auto" w:fill="auto"/>
            <w:vAlign w:val="center"/>
            <w:hideMark/>
          </w:tcPr>
          <w:p w14:paraId="61FE49DE" w14:textId="77777777" w:rsidR="00796E61" w:rsidRPr="00FD7B0B" w:rsidRDefault="00796E61" w:rsidP="00A3347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Итого по ГП № 10</w:t>
            </w:r>
          </w:p>
        </w:tc>
        <w:tc>
          <w:tcPr>
            <w:tcW w:w="850" w:type="dxa"/>
            <w:shd w:val="clear" w:color="auto" w:fill="auto"/>
            <w:vAlign w:val="center"/>
            <w:hideMark/>
          </w:tcPr>
          <w:p w14:paraId="7364A343"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w:t>
            </w:r>
          </w:p>
        </w:tc>
        <w:tc>
          <w:tcPr>
            <w:tcW w:w="992" w:type="dxa"/>
            <w:shd w:val="clear" w:color="auto" w:fill="auto"/>
            <w:vAlign w:val="center"/>
            <w:hideMark/>
          </w:tcPr>
          <w:p w14:paraId="76D82478"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w:t>
            </w:r>
          </w:p>
        </w:tc>
        <w:tc>
          <w:tcPr>
            <w:tcW w:w="993" w:type="dxa"/>
            <w:shd w:val="clear" w:color="auto" w:fill="auto"/>
            <w:vAlign w:val="center"/>
            <w:hideMark/>
          </w:tcPr>
          <w:p w14:paraId="5CFBF56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80,8</w:t>
            </w:r>
          </w:p>
        </w:tc>
        <w:tc>
          <w:tcPr>
            <w:tcW w:w="992" w:type="dxa"/>
            <w:shd w:val="clear" w:color="auto" w:fill="auto"/>
            <w:vAlign w:val="center"/>
            <w:hideMark/>
          </w:tcPr>
          <w:p w14:paraId="4903046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2 350,8</w:t>
            </w:r>
          </w:p>
        </w:tc>
        <w:tc>
          <w:tcPr>
            <w:tcW w:w="1417" w:type="dxa"/>
            <w:shd w:val="clear" w:color="auto" w:fill="auto"/>
            <w:vAlign w:val="center"/>
            <w:hideMark/>
          </w:tcPr>
          <w:p w14:paraId="13CBD668"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106,3</w:t>
            </w:r>
          </w:p>
        </w:tc>
        <w:tc>
          <w:tcPr>
            <w:tcW w:w="993" w:type="dxa"/>
            <w:shd w:val="clear" w:color="auto" w:fill="auto"/>
            <w:vAlign w:val="center"/>
            <w:hideMark/>
          </w:tcPr>
          <w:p w14:paraId="0DED0D1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2 469,50</w:t>
            </w:r>
          </w:p>
        </w:tc>
        <w:tc>
          <w:tcPr>
            <w:tcW w:w="992" w:type="dxa"/>
            <w:shd w:val="clear" w:color="auto" w:fill="auto"/>
            <w:vAlign w:val="center"/>
            <w:hideMark/>
          </w:tcPr>
          <w:p w14:paraId="5A1C768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105,0</w:t>
            </w:r>
          </w:p>
        </w:tc>
      </w:tr>
    </w:tbl>
    <w:p w14:paraId="5E205FB4"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p>
    <w:p w14:paraId="1B04685D" w14:textId="3874609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Анализ показателей и объемов финансового обеспечения показал, что динамика плановых значений показателей и степень их достижения не зависят от объемов их финансового обеспечения. Уровень выполнения показателей в целом по ГП № 10 составил 80,8 % при увеличении объемов финансирования госпрограммы за год на 163,5 </w:t>
      </w:r>
      <w:r w:rsidR="00A33471" w:rsidRPr="00FD7B0B">
        <w:rPr>
          <w:rFonts w:ascii="Times New Roman" w:eastAsia="Times New Roman" w:hAnsi="Times New Roman" w:cs="Times New Roman"/>
          <w:sz w:val="28"/>
          <w:szCs w:val="28"/>
          <w:lang w:eastAsia="ru-RU"/>
        </w:rPr>
        <w:t>млн.руб.</w:t>
      </w:r>
    </w:p>
    <w:p w14:paraId="132487D0"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p>
    <w:p w14:paraId="7B7AE9BC" w14:textId="77777777" w:rsidR="00796E61" w:rsidRPr="00FD7B0B" w:rsidRDefault="00796E61" w:rsidP="00796E61">
      <w:pPr>
        <w:spacing w:after="0" w:line="240" w:lineRule="auto"/>
        <w:contextualSpacing/>
        <w:jc w:val="center"/>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Выполнение указов Президента Российской Федерации</w:t>
      </w:r>
    </w:p>
    <w:p w14:paraId="73D18D0A" w14:textId="56E7F0B5" w:rsidR="00796E61" w:rsidRPr="00FD7B0B" w:rsidRDefault="00796E61" w:rsidP="00D93602">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ГП № 10 предусмотрено выполнение Указа Президента РФ от 21.07.2020 № 474 «О национальных целях и стратегических задачах развития Российской Фед</w:t>
      </w:r>
      <w:r w:rsidR="00D93602" w:rsidRPr="00FD7B0B">
        <w:rPr>
          <w:rFonts w:ascii="Times New Roman" w:eastAsia="Times New Roman" w:hAnsi="Times New Roman" w:cs="Times New Roman"/>
          <w:sz w:val="28"/>
          <w:szCs w:val="28"/>
          <w:lang w:eastAsia="ru-RU"/>
        </w:rPr>
        <w:t>ерации на период до 2030 года».</w:t>
      </w:r>
    </w:p>
    <w:p w14:paraId="491CB158" w14:textId="32CDDFBE"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На территории Архангельской области разработана и утверждена региональная программа по обращению с ТКО (12.12.2017 № 556-пп), электронная модель территориальной схемы обращения с ТКО (11.04.2017 № 144-пп), определен региональный оператор (ООО «ЭкоИнтегратор»), в </w:t>
      </w:r>
      <w:r w:rsidRPr="00FD7B0B">
        <w:rPr>
          <w:rFonts w:ascii="Times New Roman" w:eastAsia="Times New Roman" w:hAnsi="Times New Roman" w:cs="Times New Roman"/>
          <w:sz w:val="28"/>
          <w:szCs w:val="28"/>
          <w:lang w:eastAsia="ru-RU"/>
        </w:rPr>
        <w:lastRenderedPageBreak/>
        <w:t>муниципальных образованиях созданы места накопления (площадки) с установленными на них контейнерами, что способствует организованному сбору ТКО от населения и потребителей, приравненных к населению, а также увеличению доли населения Архангельской области, которому предоставляется коммунал</w:t>
      </w:r>
      <w:r w:rsidR="0025014D" w:rsidRPr="00FD7B0B">
        <w:rPr>
          <w:rFonts w:ascii="Times New Roman" w:eastAsia="Times New Roman" w:hAnsi="Times New Roman" w:cs="Times New Roman"/>
          <w:sz w:val="28"/>
          <w:szCs w:val="28"/>
          <w:lang w:eastAsia="ru-RU"/>
        </w:rPr>
        <w:t>ьная услуга по обращению с ТКО.</w:t>
      </w:r>
    </w:p>
    <w:p w14:paraId="6CCC486B" w14:textId="5CE059C0"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Вместе с тем КСП АО не раз отмечала, что темпы создания инфраструктуры обращение с ТКО и ликвидации объектов накопленного вреда не достаточны для</w:t>
      </w:r>
      <w:r w:rsidR="0025014D" w:rsidRPr="00FD7B0B">
        <w:rPr>
          <w:rFonts w:ascii="Times New Roman" w:eastAsia="Times New Roman" w:hAnsi="Times New Roman" w:cs="Times New Roman"/>
          <w:sz w:val="28"/>
          <w:szCs w:val="28"/>
          <w:lang w:eastAsia="ru-RU"/>
        </w:rPr>
        <w:t xml:space="preserve"> достижения поставленных задач.</w:t>
      </w:r>
    </w:p>
    <w:p w14:paraId="74032DB3"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Так, с 2019 года ведутся работы по изготовлению проектно-сметной документации на рекультивацию полигонов твердых бытовых отходов городов Архангельск, Северодвинск, Новодвинск, выводимых из эксплуатации, и на 31.12.2024 результата нет ни по одному из полигонов, сроки перенесены на 2025 год.</w:t>
      </w:r>
    </w:p>
    <w:p w14:paraId="38FD1D8B" w14:textId="1D664322"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Не достигнуты результаты по выполнению региональных проектов.</w:t>
      </w:r>
      <w:r w:rsidRPr="00FD7B0B">
        <w:t xml:space="preserve"> </w:t>
      </w:r>
      <w:r w:rsidRPr="00FD7B0B">
        <w:rPr>
          <w:rFonts w:ascii="Times New Roman" w:eastAsia="Times New Roman" w:hAnsi="Times New Roman" w:cs="Times New Roman"/>
          <w:sz w:val="28"/>
          <w:szCs w:val="28"/>
          <w:lang w:eastAsia="ru-RU"/>
        </w:rPr>
        <w:t>В Архангельской области не создан и не введен в эксплуатации ни один объект по обработке и утилизации ТКО из тр</w:t>
      </w:r>
      <w:r w:rsidR="0025014D" w:rsidRPr="00FD7B0B">
        <w:rPr>
          <w:rFonts w:ascii="Times New Roman" w:eastAsia="Times New Roman" w:hAnsi="Times New Roman" w:cs="Times New Roman"/>
          <w:sz w:val="28"/>
          <w:szCs w:val="28"/>
          <w:lang w:eastAsia="ru-RU"/>
        </w:rPr>
        <w:t>ех запланированных на 2024 год.</w:t>
      </w:r>
    </w:p>
    <w:p w14:paraId="61633E87" w14:textId="772A1E0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ходе проверок исполнения бюджета за предыдущие годы не раз отмечались замечания и недостатки по работе регионального оператора.</w:t>
      </w:r>
    </w:p>
    <w:p w14:paraId="5E2732E6" w14:textId="5ACA89B6"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Данные проблемы повлияли на реализацию Указа Президента Российской Федерации от </w:t>
      </w:r>
      <w:r w:rsidR="0025014D" w:rsidRPr="00FD7B0B">
        <w:rPr>
          <w:rFonts w:ascii="Times New Roman" w:eastAsia="Times New Roman" w:hAnsi="Times New Roman" w:cs="Times New Roman"/>
          <w:sz w:val="28"/>
          <w:szCs w:val="28"/>
          <w:lang w:eastAsia="ru-RU"/>
        </w:rPr>
        <w:t>0</w:t>
      </w:r>
      <w:r w:rsidRPr="00FD7B0B">
        <w:rPr>
          <w:rFonts w:ascii="Times New Roman" w:eastAsia="Times New Roman" w:hAnsi="Times New Roman" w:cs="Times New Roman"/>
          <w:sz w:val="28"/>
          <w:szCs w:val="28"/>
          <w:lang w:eastAsia="ru-RU"/>
        </w:rPr>
        <w:t>7</w:t>
      </w:r>
      <w:r w:rsidR="0025014D" w:rsidRPr="00FD7B0B">
        <w:rPr>
          <w:rFonts w:ascii="Times New Roman" w:eastAsia="Times New Roman" w:hAnsi="Times New Roman" w:cs="Times New Roman"/>
          <w:sz w:val="28"/>
          <w:szCs w:val="28"/>
          <w:lang w:eastAsia="ru-RU"/>
        </w:rPr>
        <w:t>.05.</w:t>
      </w:r>
      <w:r w:rsidRPr="00FD7B0B">
        <w:rPr>
          <w:rFonts w:ascii="Times New Roman" w:eastAsia="Times New Roman" w:hAnsi="Times New Roman" w:cs="Times New Roman"/>
          <w:sz w:val="28"/>
          <w:szCs w:val="28"/>
          <w:lang w:eastAsia="ru-RU"/>
        </w:rPr>
        <w:t>2024 № 309, где установлен целев</w:t>
      </w:r>
      <w:r w:rsidR="00D93602" w:rsidRPr="00FD7B0B">
        <w:rPr>
          <w:rFonts w:ascii="Times New Roman" w:eastAsia="Times New Roman" w:hAnsi="Times New Roman" w:cs="Times New Roman"/>
          <w:sz w:val="28"/>
          <w:szCs w:val="28"/>
          <w:lang w:eastAsia="ru-RU"/>
        </w:rPr>
        <w:t>ой</w:t>
      </w:r>
      <w:r w:rsidRPr="00FD7B0B">
        <w:rPr>
          <w:rFonts w:ascii="Times New Roman" w:eastAsia="Times New Roman" w:hAnsi="Times New Roman" w:cs="Times New Roman"/>
          <w:sz w:val="28"/>
          <w:szCs w:val="28"/>
          <w:lang w:eastAsia="ru-RU"/>
        </w:rPr>
        <w:t xml:space="preserve"> показател</w:t>
      </w:r>
      <w:r w:rsidR="00D93602" w:rsidRPr="00FD7B0B">
        <w:rPr>
          <w:rFonts w:ascii="Times New Roman" w:eastAsia="Times New Roman" w:hAnsi="Times New Roman" w:cs="Times New Roman"/>
          <w:sz w:val="28"/>
          <w:szCs w:val="28"/>
          <w:lang w:eastAsia="ru-RU"/>
        </w:rPr>
        <w:t>ь</w:t>
      </w:r>
      <w:r w:rsidRPr="00FD7B0B">
        <w:rPr>
          <w:rFonts w:ascii="Times New Roman" w:eastAsia="Times New Roman" w:hAnsi="Times New Roman" w:cs="Times New Roman"/>
          <w:sz w:val="28"/>
          <w:szCs w:val="28"/>
          <w:lang w:eastAsia="ru-RU"/>
        </w:rPr>
        <w:t>, выполнение котор</w:t>
      </w:r>
      <w:r w:rsidR="00D93602" w:rsidRPr="00FD7B0B">
        <w:rPr>
          <w:rFonts w:ascii="Times New Roman" w:eastAsia="Times New Roman" w:hAnsi="Times New Roman" w:cs="Times New Roman"/>
          <w:sz w:val="28"/>
          <w:szCs w:val="28"/>
          <w:lang w:eastAsia="ru-RU"/>
        </w:rPr>
        <w:t>ого</w:t>
      </w:r>
      <w:r w:rsidRPr="00FD7B0B">
        <w:rPr>
          <w:rFonts w:ascii="Times New Roman" w:eastAsia="Times New Roman" w:hAnsi="Times New Roman" w:cs="Times New Roman"/>
          <w:sz w:val="28"/>
          <w:szCs w:val="28"/>
          <w:lang w:eastAsia="ru-RU"/>
        </w:rPr>
        <w:t xml:space="preserve"> характеризует достижение национальной цели </w:t>
      </w:r>
      <w:r w:rsidR="0025014D"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Экологическое благополучие</w:t>
      </w:r>
      <w:r w:rsidR="0025014D"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w:t>
      </w:r>
      <w:r w:rsidR="00D93602"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формирование экономики замкнутого цикла, обеспечивающей к 2030 году сортировку 100 процентов объема, ежегодно образуемых твердых коммунальных отходов, захоронение не более чем 50 процентов таких отходов и вовлечение в хозяйственный оборот не менее чем 25 процентов отходов производства и потребления в качестве вторичных ресурсов и сырья;</w:t>
      </w:r>
    </w:p>
    <w:p w14:paraId="7BA66EA3"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Отчету, показатель «Доля направленных на захоронение твердых коммунальных отходов, в том числе прошедших обработку (сортировку), в общей массе образованных твердых коммунальных отходов» на 2024 год в Архангельской области составил 99,5 %, а «Доля твердых коммунальных отходов, направленных на обработку (сортировку), в общей массе образованных твердых коммунальных отходов» всего – 10,2 %.</w:t>
      </w:r>
    </w:p>
    <w:p w14:paraId="3AEF5E79"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p>
    <w:p w14:paraId="0C081A28" w14:textId="77777777" w:rsidR="00796E61" w:rsidRPr="00FD7B0B" w:rsidRDefault="00796E61" w:rsidP="00796E61">
      <w:pPr>
        <w:spacing w:after="0" w:line="240" w:lineRule="auto"/>
        <w:jc w:val="center"/>
        <w:rPr>
          <w:rFonts w:ascii="Times New Roman" w:eastAsia="Calibri" w:hAnsi="Times New Roman" w:cs="Times New Roman"/>
          <w:b/>
          <w:sz w:val="28"/>
          <w:szCs w:val="28"/>
        </w:rPr>
      </w:pPr>
      <w:r w:rsidRPr="00FD7B0B">
        <w:rPr>
          <w:rFonts w:ascii="Times New Roman" w:eastAsia="Times New Roman" w:hAnsi="Times New Roman" w:cs="Times New Roman"/>
          <w:b/>
          <w:sz w:val="28"/>
          <w:szCs w:val="28"/>
          <w:lang w:eastAsia="ru-RU"/>
        </w:rPr>
        <w:t>Оценка реализации ГП № 10</w:t>
      </w:r>
      <w:r w:rsidRPr="00FD7B0B">
        <w:rPr>
          <w:rFonts w:ascii="Calibri" w:eastAsia="Calibri" w:hAnsi="Calibri" w:cs="Times New Roman"/>
          <w:b/>
        </w:rPr>
        <w:t xml:space="preserve"> </w:t>
      </w:r>
      <w:r w:rsidRPr="00FD7B0B">
        <w:rPr>
          <w:rFonts w:ascii="Times New Roman" w:eastAsia="Times New Roman" w:hAnsi="Times New Roman" w:cs="Times New Roman"/>
          <w:b/>
          <w:sz w:val="28"/>
          <w:szCs w:val="28"/>
          <w:lang w:eastAsia="ru-RU"/>
        </w:rPr>
        <w:t>согласно Методике оценки</w:t>
      </w:r>
      <w:r w:rsidRPr="00FD7B0B">
        <w:rPr>
          <w:rFonts w:ascii="Times New Roman" w:eastAsia="Calibri" w:hAnsi="Times New Roman" w:cs="Times New Roman"/>
          <w:b/>
          <w:sz w:val="28"/>
          <w:szCs w:val="28"/>
        </w:rPr>
        <w:t xml:space="preserve"> № 9К (1614)</w:t>
      </w:r>
    </w:p>
    <w:p w14:paraId="2DE02DF9" w14:textId="77777777" w:rsidR="00796E61" w:rsidRPr="00FD7B0B" w:rsidRDefault="00796E61" w:rsidP="00796E61">
      <w:pPr>
        <w:spacing w:after="0" w:line="240" w:lineRule="auto"/>
        <w:jc w:val="center"/>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Оценка исполнения ГП № 10 по ресурсам и результатам за 2024 год</w:t>
      </w:r>
    </w:p>
    <w:p w14:paraId="0C508134" w14:textId="77777777" w:rsidR="00796E61" w:rsidRPr="00FD7B0B" w:rsidRDefault="00796E61" w:rsidP="00131B70">
      <w:pPr>
        <w:pStyle w:val="a8"/>
        <w:numPr>
          <w:ilvl w:val="0"/>
          <w:numId w:val="19"/>
        </w:numPr>
        <w:suppressAutoHyphens/>
        <w:ind w:left="0" w:firstLine="284"/>
        <w:jc w:val="both"/>
      </w:pPr>
      <w:r w:rsidRPr="00FD7B0B">
        <w:t xml:space="preserve"> Оценка кассового исполнения по расходам бюджета </w:t>
      </w:r>
    </w:p>
    <w:tbl>
      <w:tblPr>
        <w:tblpPr w:leftFromText="180" w:rightFromText="180" w:vertAnchor="text" w:tblpXSpec="center" w:tblpY="1"/>
        <w:tblOverlap w:val="never"/>
        <w:tblW w:w="953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4"/>
        <w:gridCol w:w="3420"/>
        <w:gridCol w:w="1418"/>
        <w:gridCol w:w="1701"/>
        <w:gridCol w:w="1313"/>
        <w:gridCol w:w="1153"/>
      </w:tblGrid>
      <w:tr w:rsidR="00FD7B0B" w:rsidRPr="00FD7B0B" w14:paraId="200FABC6" w14:textId="77777777" w:rsidTr="00796E61">
        <w:trPr>
          <w:trHeight w:val="463"/>
          <w:tblHeader/>
          <w:jc w:val="center"/>
        </w:trPr>
        <w:tc>
          <w:tcPr>
            <w:tcW w:w="534" w:type="dxa"/>
            <w:vMerge w:val="restart"/>
            <w:shd w:val="clear" w:color="auto" w:fill="auto"/>
            <w:vAlign w:val="center"/>
            <w:hideMark/>
          </w:tcPr>
          <w:p w14:paraId="07794FE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 п/п</w:t>
            </w:r>
          </w:p>
        </w:tc>
        <w:tc>
          <w:tcPr>
            <w:tcW w:w="3420" w:type="dxa"/>
            <w:vMerge w:val="restart"/>
            <w:shd w:val="clear" w:color="auto" w:fill="auto"/>
            <w:vAlign w:val="center"/>
            <w:hideMark/>
          </w:tcPr>
          <w:p w14:paraId="53FB2A9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Наименование государственной программы </w:t>
            </w:r>
          </w:p>
        </w:tc>
        <w:tc>
          <w:tcPr>
            <w:tcW w:w="1418" w:type="dxa"/>
            <w:vMerge w:val="restart"/>
            <w:shd w:val="clear" w:color="auto" w:fill="auto"/>
            <w:vAlign w:val="center"/>
            <w:hideMark/>
          </w:tcPr>
          <w:p w14:paraId="659E666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Утверждено (в ред. 23.12.2024 № 176-13-ОЗ), млн.руб.</w:t>
            </w:r>
          </w:p>
        </w:tc>
        <w:tc>
          <w:tcPr>
            <w:tcW w:w="1701" w:type="dxa"/>
            <w:vMerge w:val="restart"/>
            <w:shd w:val="clear" w:color="auto" w:fill="auto"/>
            <w:vAlign w:val="center"/>
            <w:hideMark/>
          </w:tcPr>
          <w:p w14:paraId="08CB856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Уточненная СБР </w:t>
            </w:r>
          </w:p>
          <w:p w14:paraId="02CA00F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на 2024 год </w:t>
            </w:r>
          </w:p>
          <w:p w14:paraId="1A94965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по состоянию </w:t>
            </w:r>
          </w:p>
          <w:p w14:paraId="51587CC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31.12.2024, млн.руб.</w:t>
            </w:r>
          </w:p>
        </w:tc>
        <w:tc>
          <w:tcPr>
            <w:tcW w:w="2466" w:type="dxa"/>
            <w:gridSpan w:val="2"/>
            <w:shd w:val="clear" w:color="auto" w:fill="auto"/>
            <w:vAlign w:val="center"/>
            <w:hideMark/>
          </w:tcPr>
          <w:p w14:paraId="4AB86BE2"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Кассовое исполнение по расходам</w:t>
            </w:r>
          </w:p>
        </w:tc>
      </w:tr>
      <w:tr w:rsidR="00FD7B0B" w:rsidRPr="00FD7B0B" w14:paraId="602AE5FD" w14:textId="77777777" w:rsidTr="00796E61">
        <w:trPr>
          <w:trHeight w:val="509"/>
          <w:tblHeader/>
          <w:jc w:val="center"/>
        </w:trPr>
        <w:tc>
          <w:tcPr>
            <w:tcW w:w="534" w:type="dxa"/>
            <w:vMerge/>
            <w:shd w:val="clear" w:color="auto" w:fill="auto"/>
            <w:vAlign w:val="center"/>
            <w:hideMark/>
          </w:tcPr>
          <w:p w14:paraId="143D8946"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3420" w:type="dxa"/>
            <w:vMerge/>
            <w:shd w:val="clear" w:color="auto" w:fill="auto"/>
            <w:vAlign w:val="center"/>
            <w:hideMark/>
          </w:tcPr>
          <w:p w14:paraId="17C7FAB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418" w:type="dxa"/>
            <w:vMerge/>
            <w:shd w:val="clear" w:color="auto" w:fill="auto"/>
            <w:vAlign w:val="center"/>
            <w:hideMark/>
          </w:tcPr>
          <w:p w14:paraId="6DE98EAC"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701" w:type="dxa"/>
            <w:vMerge/>
            <w:shd w:val="clear" w:color="auto" w:fill="auto"/>
            <w:vAlign w:val="center"/>
            <w:hideMark/>
          </w:tcPr>
          <w:p w14:paraId="34136109"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313" w:type="dxa"/>
            <w:vMerge w:val="restart"/>
            <w:shd w:val="clear" w:color="auto" w:fill="auto"/>
            <w:vAlign w:val="center"/>
            <w:hideMark/>
          </w:tcPr>
          <w:p w14:paraId="667E562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Сумма, </w:t>
            </w:r>
          </w:p>
          <w:p w14:paraId="17BD209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млн.руб.</w:t>
            </w:r>
          </w:p>
        </w:tc>
        <w:tc>
          <w:tcPr>
            <w:tcW w:w="1153" w:type="dxa"/>
            <w:vMerge w:val="restart"/>
            <w:shd w:val="clear" w:color="auto" w:fill="auto"/>
            <w:vAlign w:val="center"/>
            <w:hideMark/>
          </w:tcPr>
          <w:p w14:paraId="4D9820B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Уровень, %</w:t>
            </w:r>
          </w:p>
        </w:tc>
      </w:tr>
      <w:tr w:rsidR="00FD7B0B" w:rsidRPr="00FD7B0B" w14:paraId="04238E34" w14:textId="77777777" w:rsidTr="0002691E">
        <w:trPr>
          <w:trHeight w:val="450"/>
          <w:tblHeader/>
          <w:jc w:val="center"/>
        </w:trPr>
        <w:tc>
          <w:tcPr>
            <w:tcW w:w="534" w:type="dxa"/>
            <w:vMerge/>
            <w:shd w:val="clear" w:color="auto" w:fill="auto"/>
            <w:vAlign w:val="center"/>
            <w:hideMark/>
          </w:tcPr>
          <w:p w14:paraId="68C603E2"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3420" w:type="dxa"/>
            <w:vMerge/>
            <w:shd w:val="clear" w:color="auto" w:fill="auto"/>
            <w:vAlign w:val="center"/>
            <w:hideMark/>
          </w:tcPr>
          <w:p w14:paraId="0F8FE14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418" w:type="dxa"/>
            <w:vMerge/>
            <w:shd w:val="clear" w:color="auto" w:fill="auto"/>
            <w:vAlign w:val="center"/>
            <w:hideMark/>
          </w:tcPr>
          <w:p w14:paraId="1DC3058A"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701" w:type="dxa"/>
            <w:vMerge/>
            <w:shd w:val="clear" w:color="auto" w:fill="auto"/>
            <w:vAlign w:val="center"/>
            <w:hideMark/>
          </w:tcPr>
          <w:p w14:paraId="5DB84C4F"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313" w:type="dxa"/>
            <w:vMerge/>
            <w:shd w:val="clear" w:color="auto" w:fill="auto"/>
            <w:vAlign w:val="center"/>
            <w:hideMark/>
          </w:tcPr>
          <w:p w14:paraId="02544FF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c>
          <w:tcPr>
            <w:tcW w:w="1153" w:type="dxa"/>
            <w:vMerge/>
            <w:shd w:val="clear" w:color="auto" w:fill="auto"/>
            <w:vAlign w:val="center"/>
            <w:hideMark/>
          </w:tcPr>
          <w:p w14:paraId="778D55DA"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p>
        </w:tc>
      </w:tr>
      <w:tr w:rsidR="00FD7B0B" w:rsidRPr="00FD7B0B" w14:paraId="58D5218C" w14:textId="77777777" w:rsidTr="00796E61">
        <w:trPr>
          <w:trHeight w:val="135"/>
          <w:jc w:val="center"/>
        </w:trPr>
        <w:tc>
          <w:tcPr>
            <w:tcW w:w="534" w:type="dxa"/>
            <w:shd w:val="clear" w:color="auto" w:fill="auto"/>
            <w:vAlign w:val="center"/>
            <w:hideMark/>
          </w:tcPr>
          <w:p w14:paraId="63130AA0"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3420" w:type="dxa"/>
            <w:shd w:val="clear" w:color="auto" w:fill="auto"/>
            <w:vAlign w:val="center"/>
            <w:hideMark/>
          </w:tcPr>
          <w:p w14:paraId="6C8B7CA1"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1418" w:type="dxa"/>
            <w:shd w:val="clear" w:color="auto" w:fill="auto"/>
            <w:vAlign w:val="center"/>
            <w:hideMark/>
          </w:tcPr>
          <w:p w14:paraId="3E392AE5"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1701" w:type="dxa"/>
            <w:shd w:val="clear" w:color="auto" w:fill="auto"/>
            <w:vAlign w:val="center"/>
            <w:hideMark/>
          </w:tcPr>
          <w:p w14:paraId="322F5727"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w:t>
            </w:r>
          </w:p>
        </w:tc>
        <w:tc>
          <w:tcPr>
            <w:tcW w:w="1313" w:type="dxa"/>
            <w:shd w:val="clear" w:color="auto" w:fill="auto"/>
            <w:vAlign w:val="center"/>
            <w:hideMark/>
          </w:tcPr>
          <w:p w14:paraId="5D2F4357"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1153" w:type="dxa"/>
            <w:shd w:val="clear" w:color="auto" w:fill="auto"/>
            <w:noWrap/>
            <w:vAlign w:val="center"/>
            <w:hideMark/>
          </w:tcPr>
          <w:p w14:paraId="79374814"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6=(5/4*100)</w:t>
            </w:r>
          </w:p>
        </w:tc>
      </w:tr>
      <w:tr w:rsidR="00FD7B0B" w:rsidRPr="00FD7B0B" w14:paraId="34C41553" w14:textId="77777777" w:rsidTr="00796E61">
        <w:trPr>
          <w:trHeight w:val="371"/>
          <w:jc w:val="center"/>
        </w:trPr>
        <w:tc>
          <w:tcPr>
            <w:tcW w:w="534" w:type="dxa"/>
            <w:shd w:val="clear" w:color="auto" w:fill="auto"/>
            <w:noWrap/>
            <w:vAlign w:val="center"/>
            <w:hideMark/>
          </w:tcPr>
          <w:p w14:paraId="0374E27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w:t>
            </w:r>
          </w:p>
        </w:tc>
        <w:tc>
          <w:tcPr>
            <w:tcW w:w="3420" w:type="dxa"/>
            <w:shd w:val="clear" w:color="auto" w:fill="auto"/>
            <w:vAlign w:val="center"/>
            <w:hideMark/>
          </w:tcPr>
          <w:p w14:paraId="362174BB"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«Охрана окружающей среды, воспроизводство и использование природных ресурсов Архангельской области»</w:t>
            </w:r>
          </w:p>
        </w:tc>
        <w:tc>
          <w:tcPr>
            <w:tcW w:w="1418" w:type="dxa"/>
            <w:shd w:val="clear" w:color="auto" w:fill="auto"/>
            <w:noWrap/>
            <w:vAlign w:val="center"/>
            <w:hideMark/>
          </w:tcPr>
          <w:p w14:paraId="3C8800ED"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2 363,4</w:t>
            </w:r>
          </w:p>
        </w:tc>
        <w:tc>
          <w:tcPr>
            <w:tcW w:w="1701" w:type="dxa"/>
            <w:shd w:val="clear" w:color="auto" w:fill="auto"/>
            <w:vAlign w:val="center"/>
            <w:hideMark/>
          </w:tcPr>
          <w:p w14:paraId="48985984"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2 389,4</w:t>
            </w:r>
          </w:p>
        </w:tc>
        <w:tc>
          <w:tcPr>
            <w:tcW w:w="1313" w:type="dxa"/>
            <w:shd w:val="clear" w:color="auto" w:fill="auto"/>
            <w:vAlign w:val="center"/>
            <w:hideMark/>
          </w:tcPr>
          <w:p w14:paraId="17AEF97E"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2 388,90</w:t>
            </w:r>
          </w:p>
        </w:tc>
        <w:tc>
          <w:tcPr>
            <w:tcW w:w="1153" w:type="dxa"/>
            <w:shd w:val="clear" w:color="auto" w:fill="auto"/>
            <w:noWrap/>
            <w:vAlign w:val="center"/>
            <w:hideMark/>
          </w:tcPr>
          <w:p w14:paraId="2EA616C3"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100,0 </w:t>
            </w:r>
            <w:r w:rsidRPr="00FD7B0B">
              <w:rPr>
                <w:rFonts w:ascii="Times New Roman" w:eastAsia="Times New Roman" w:hAnsi="Times New Roman" w:cs="Times New Roman"/>
                <w:sz w:val="18"/>
                <w:szCs w:val="18"/>
                <w:lang w:eastAsia="ru-RU"/>
              </w:rPr>
              <w:t>(высокий)</w:t>
            </w:r>
          </w:p>
        </w:tc>
      </w:tr>
    </w:tbl>
    <w:p w14:paraId="6172ECDD"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p>
    <w:p w14:paraId="10F5C0B7" w14:textId="77777777" w:rsidR="00796E61" w:rsidRPr="00FD7B0B" w:rsidRDefault="00796E61" w:rsidP="00131B70">
      <w:pPr>
        <w:pStyle w:val="a8"/>
        <w:numPr>
          <w:ilvl w:val="0"/>
          <w:numId w:val="19"/>
        </w:numPr>
        <w:suppressAutoHyphens/>
        <w:jc w:val="both"/>
      </w:pPr>
      <w:r w:rsidRPr="00FD7B0B">
        <w:lastRenderedPageBreak/>
        <w:t xml:space="preserve">Анализ объема проектной части </w:t>
      </w:r>
    </w:p>
    <w:tbl>
      <w:tblPr>
        <w:tblW w:w="9498" w:type="dxa"/>
        <w:tblInd w:w="-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119"/>
        <w:gridCol w:w="3402"/>
        <w:gridCol w:w="2977"/>
      </w:tblGrid>
      <w:tr w:rsidR="00FD7B0B" w:rsidRPr="00FD7B0B" w14:paraId="41F292D0" w14:textId="77777777" w:rsidTr="0025014D">
        <w:trPr>
          <w:trHeight w:val="1002"/>
        </w:trPr>
        <w:tc>
          <w:tcPr>
            <w:tcW w:w="3119" w:type="dxa"/>
            <w:shd w:val="clear" w:color="auto" w:fill="auto"/>
            <w:vAlign w:val="center"/>
            <w:hideMark/>
          </w:tcPr>
          <w:p w14:paraId="3EEEEB92"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Наименование национального проекта, государственной программы</w:t>
            </w:r>
          </w:p>
        </w:tc>
        <w:tc>
          <w:tcPr>
            <w:tcW w:w="3402" w:type="dxa"/>
            <w:shd w:val="clear" w:color="auto" w:fill="auto"/>
            <w:vAlign w:val="center"/>
            <w:hideMark/>
          </w:tcPr>
          <w:p w14:paraId="6ED017A1"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объем расходов областного бюджета, направленных на реализацию (в соответствии с показателями ГП № 10 на 31.12.2024), млн.руб.</w:t>
            </w:r>
          </w:p>
        </w:tc>
        <w:tc>
          <w:tcPr>
            <w:tcW w:w="2977" w:type="dxa"/>
            <w:shd w:val="clear" w:color="auto" w:fill="auto"/>
            <w:vAlign w:val="center"/>
            <w:hideMark/>
          </w:tcPr>
          <w:p w14:paraId="4027624A"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объем расходов областного бюджета, направленных на реализацию (в соответствии с показателями СБР на 31.12.2024), млн.руб.</w:t>
            </w:r>
          </w:p>
        </w:tc>
      </w:tr>
      <w:tr w:rsidR="00FD7B0B" w:rsidRPr="00FD7B0B" w14:paraId="64A2DA95" w14:textId="77777777" w:rsidTr="00796E61">
        <w:trPr>
          <w:trHeight w:val="495"/>
        </w:trPr>
        <w:tc>
          <w:tcPr>
            <w:tcW w:w="3119" w:type="dxa"/>
            <w:shd w:val="clear" w:color="auto" w:fill="auto"/>
            <w:vAlign w:val="center"/>
            <w:hideMark/>
          </w:tcPr>
          <w:p w14:paraId="11F71EEA" w14:textId="77777777" w:rsidR="00796E61" w:rsidRPr="00FD7B0B" w:rsidRDefault="00796E61" w:rsidP="00796E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Национальный проект «Экология»</w:t>
            </w:r>
          </w:p>
        </w:tc>
        <w:tc>
          <w:tcPr>
            <w:tcW w:w="3402" w:type="dxa"/>
            <w:shd w:val="clear" w:color="auto" w:fill="auto"/>
            <w:vAlign w:val="center"/>
            <w:hideMark/>
          </w:tcPr>
          <w:p w14:paraId="5069B952"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733,9</w:t>
            </w:r>
          </w:p>
        </w:tc>
        <w:tc>
          <w:tcPr>
            <w:tcW w:w="2977" w:type="dxa"/>
            <w:shd w:val="clear" w:color="auto" w:fill="auto"/>
            <w:vAlign w:val="center"/>
            <w:hideMark/>
          </w:tcPr>
          <w:p w14:paraId="02F74F1E"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733,9</w:t>
            </w:r>
          </w:p>
        </w:tc>
      </w:tr>
      <w:tr w:rsidR="00FD7B0B" w:rsidRPr="00FD7B0B" w14:paraId="3393095F" w14:textId="77777777" w:rsidTr="0025014D">
        <w:trPr>
          <w:trHeight w:val="193"/>
        </w:trPr>
        <w:tc>
          <w:tcPr>
            <w:tcW w:w="3119" w:type="dxa"/>
            <w:shd w:val="clear" w:color="auto" w:fill="auto"/>
            <w:vAlign w:val="center"/>
            <w:hideMark/>
          </w:tcPr>
          <w:p w14:paraId="56A8782C" w14:textId="77777777" w:rsidR="00796E61" w:rsidRPr="00FD7B0B" w:rsidRDefault="00796E61" w:rsidP="00796E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Госпрограмма № 10</w:t>
            </w:r>
          </w:p>
        </w:tc>
        <w:tc>
          <w:tcPr>
            <w:tcW w:w="3402" w:type="dxa"/>
            <w:shd w:val="clear" w:color="auto" w:fill="auto"/>
            <w:vAlign w:val="center"/>
            <w:hideMark/>
          </w:tcPr>
          <w:p w14:paraId="18170C00"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2 350,8</w:t>
            </w:r>
          </w:p>
        </w:tc>
        <w:tc>
          <w:tcPr>
            <w:tcW w:w="2977" w:type="dxa"/>
            <w:shd w:val="clear" w:color="auto" w:fill="auto"/>
            <w:vAlign w:val="center"/>
            <w:hideMark/>
          </w:tcPr>
          <w:p w14:paraId="47341193"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2 389,4</w:t>
            </w:r>
          </w:p>
        </w:tc>
      </w:tr>
      <w:tr w:rsidR="00FD7B0B" w:rsidRPr="00FD7B0B" w14:paraId="6E073254" w14:textId="77777777" w:rsidTr="00796E61">
        <w:trPr>
          <w:trHeight w:val="552"/>
        </w:trPr>
        <w:tc>
          <w:tcPr>
            <w:tcW w:w="3119" w:type="dxa"/>
            <w:shd w:val="clear" w:color="auto" w:fill="auto"/>
            <w:vAlign w:val="center"/>
            <w:hideMark/>
          </w:tcPr>
          <w:p w14:paraId="2ADB5A9A" w14:textId="77777777" w:rsidR="00796E61" w:rsidRPr="00FD7B0B" w:rsidRDefault="00796E61" w:rsidP="00796E61">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Доля проектной части госпрограммы, %</w:t>
            </w:r>
          </w:p>
        </w:tc>
        <w:tc>
          <w:tcPr>
            <w:tcW w:w="3402" w:type="dxa"/>
            <w:shd w:val="clear" w:color="auto" w:fill="auto"/>
            <w:vAlign w:val="center"/>
            <w:hideMark/>
          </w:tcPr>
          <w:p w14:paraId="3C2F9EA9"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31,2</w:t>
            </w:r>
          </w:p>
        </w:tc>
        <w:tc>
          <w:tcPr>
            <w:tcW w:w="2977" w:type="dxa"/>
            <w:shd w:val="clear" w:color="auto" w:fill="auto"/>
            <w:vAlign w:val="center"/>
            <w:hideMark/>
          </w:tcPr>
          <w:p w14:paraId="09E695A3" w14:textId="77777777" w:rsidR="00796E61" w:rsidRPr="00FD7B0B" w:rsidRDefault="00796E61" w:rsidP="00796E61">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30,7</w:t>
            </w:r>
          </w:p>
        </w:tc>
      </w:tr>
    </w:tbl>
    <w:p w14:paraId="2522AF7D"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8"/>
          <w:szCs w:val="28"/>
          <w:lang w:eastAsia="ru-RU"/>
        </w:rPr>
      </w:pPr>
    </w:p>
    <w:p w14:paraId="3EB30256" w14:textId="77777777" w:rsidR="00796E61" w:rsidRPr="00FD7B0B" w:rsidRDefault="00796E61" w:rsidP="00131B70">
      <w:pPr>
        <w:pStyle w:val="a8"/>
        <w:numPr>
          <w:ilvl w:val="0"/>
          <w:numId w:val="19"/>
        </w:numPr>
        <w:suppressAutoHyphens/>
        <w:ind w:left="0" w:firstLine="284"/>
        <w:jc w:val="both"/>
      </w:pPr>
      <w:r w:rsidRPr="00FD7B0B">
        <w:t xml:space="preserve">Оценка объема изменений, внесенных в сводную бюджетную роспись бюджета </w:t>
      </w:r>
    </w:p>
    <w:tbl>
      <w:tblPr>
        <w:tblW w:w="9641" w:type="dxa"/>
        <w:tblInd w:w="-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101"/>
        <w:gridCol w:w="1919"/>
        <w:gridCol w:w="1636"/>
        <w:gridCol w:w="906"/>
        <w:gridCol w:w="1079"/>
      </w:tblGrid>
      <w:tr w:rsidR="00FD7B0B" w:rsidRPr="00FD7B0B" w14:paraId="73E31A1B" w14:textId="77777777" w:rsidTr="00EB3E2F">
        <w:trPr>
          <w:trHeight w:val="219"/>
          <w:tblHeader/>
        </w:trPr>
        <w:tc>
          <w:tcPr>
            <w:tcW w:w="4101" w:type="dxa"/>
            <w:vMerge w:val="restart"/>
            <w:shd w:val="clear" w:color="auto" w:fill="auto"/>
            <w:vAlign w:val="center"/>
            <w:hideMark/>
          </w:tcPr>
          <w:p w14:paraId="746D725C"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ГРБС (исполнители госпрограммы)</w:t>
            </w:r>
          </w:p>
        </w:tc>
        <w:tc>
          <w:tcPr>
            <w:tcW w:w="3555" w:type="dxa"/>
            <w:gridSpan w:val="2"/>
            <w:shd w:val="clear" w:color="000000" w:fill="FFFFFF"/>
            <w:vAlign w:val="center"/>
            <w:hideMark/>
          </w:tcPr>
          <w:p w14:paraId="25C91A7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Показатели уточненной сводной бюджетной росписи за 2024 год, млн.руб.</w:t>
            </w:r>
          </w:p>
        </w:tc>
        <w:tc>
          <w:tcPr>
            <w:tcW w:w="1985" w:type="dxa"/>
            <w:gridSpan w:val="2"/>
            <w:shd w:val="clear" w:color="000000" w:fill="FFFFFF"/>
            <w:vAlign w:val="center"/>
            <w:hideMark/>
          </w:tcPr>
          <w:p w14:paraId="2F087E54"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Изменения </w:t>
            </w:r>
          </w:p>
        </w:tc>
      </w:tr>
      <w:tr w:rsidR="00FD7B0B" w:rsidRPr="00FD7B0B" w14:paraId="213DF07C" w14:textId="77777777" w:rsidTr="00EB3E2F">
        <w:trPr>
          <w:trHeight w:val="229"/>
          <w:tblHeader/>
        </w:trPr>
        <w:tc>
          <w:tcPr>
            <w:tcW w:w="4101" w:type="dxa"/>
            <w:vMerge/>
            <w:vAlign w:val="center"/>
            <w:hideMark/>
          </w:tcPr>
          <w:p w14:paraId="6A6D637C"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p>
        </w:tc>
        <w:tc>
          <w:tcPr>
            <w:tcW w:w="1919" w:type="dxa"/>
            <w:shd w:val="clear" w:color="000000" w:fill="FFFFFF"/>
            <w:vAlign w:val="center"/>
            <w:hideMark/>
          </w:tcPr>
          <w:p w14:paraId="018E789F"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на 01.01.2024 </w:t>
            </w:r>
          </w:p>
        </w:tc>
        <w:tc>
          <w:tcPr>
            <w:tcW w:w="1636" w:type="dxa"/>
            <w:shd w:val="clear" w:color="000000" w:fill="FFFFFF"/>
            <w:vAlign w:val="center"/>
            <w:hideMark/>
          </w:tcPr>
          <w:p w14:paraId="51B626CE"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на 31.12.2024 </w:t>
            </w:r>
          </w:p>
        </w:tc>
        <w:tc>
          <w:tcPr>
            <w:tcW w:w="906" w:type="dxa"/>
            <w:shd w:val="clear" w:color="000000" w:fill="FFFFFF"/>
            <w:vAlign w:val="center"/>
            <w:hideMark/>
          </w:tcPr>
          <w:p w14:paraId="53FB8BC5"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млн.руб.</w:t>
            </w:r>
          </w:p>
        </w:tc>
        <w:tc>
          <w:tcPr>
            <w:tcW w:w="1079" w:type="dxa"/>
            <w:shd w:val="clear" w:color="000000" w:fill="FFFFFF"/>
            <w:vAlign w:val="center"/>
            <w:hideMark/>
          </w:tcPr>
          <w:p w14:paraId="742DEF30"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r>
      <w:tr w:rsidR="00FD7B0B" w:rsidRPr="00FD7B0B" w14:paraId="23D95887" w14:textId="77777777" w:rsidTr="00EB3E2F">
        <w:trPr>
          <w:trHeight w:val="398"/>
        </w:trPr>
        <w:tc>
          <w:tcPr>
            <w:tcW w:w="4101" w:type="dxa"/>
            <w:shd w:val="clear" w:color="auto" w:fill="auto"/>
            <w:vAlign w:val="center"/>
            <w:hideMark/>
          </w:tcPr>
          <w:p w14:paraId="603F9C30"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министерство природных ресурсов и лесопромышленного комплекса Архангельской области</w:t>
            </w:r>
          </w:p>
        </w:tc>
        <w:tc>
          <w:tcPr>
            <w:tcW w:w="1919" w:type="dxa"/>
            <w:shd w:val="clear" w:color="000000" w:fill="FFFFFF"/>
            <w:noWrap/>
            <w:vAlign w:val="center"/>
            <w:hideMark/>
          </w:tcPr>
          <w:p w14:paraId="0357C0CC"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1 854,4</w:t>
            </w:r>
          </w:p>
        </w:tc>
        <w:tc>
          <w:tcPr>
            <w:tcW w:w="1636" w:type="dxa"/>
            <w:shd w:val="clear" w:color="000000" w:fill="FFFFFF"/>
            <w:noWrap/>
            <w:vAlign w:val="center"/>
            <w:hideMark/>
          </w:tcPr>
          <w:p w14:paraId="588C000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2 182,8</w:t>
            </w:r>
          </w:p>
        </w:tc>
        <w:tc>
          <w:tcPr>
            <w:tcW w:w="906" w:type="dxa"/>
            <w:shd w:val="clear" w:color="000000" w:fill="FFFFFF"/>
            <w:noWrap/>
            <w:vAlign w:val="center"/>
            <w:hideMark/>
          </w:tcPr>
          <w:p w14:paraId="0DEA66BD"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328,4</w:t>
            </w:r>
          </w:p>
        </w:tc>
        <w:tc>
          <w:tcPr>
            <w:tcW w:w="1079" w:type="dxa"/>
            <w:shd w:val="clear" w:color="000000" w:fill="FFFFFF"/>
            <w:noWrap/>
            <w:vAlign w:val="center"/>
            <w:hideMark/>
          </w:tcPr>
          <w:p w14:paraId="747411BC"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17,7</w:t>
            </w:r>
          </w:p>
        </w:tc>
      </w:tr>
      <w:tr w:rsidR="00FD7B0B" w:rsidRPr="00FD7B0B" w14:paraId="150389A1" w14:textId="77777777" w:rsidTr="00EB3E2F">
        <w:trPr>
          <w:trHeight w:val="266"/>
        </w:trPr>
        <w:tc>
          <w:tcPr>
            <w:tcW w:w="4101" w:type="dxa"/>
            <w:shd w:val="clear" w:color="auto" w:fill="auto"/>
            <w:vAlign w:val="center"/>
            <w:hideMark/>
          </w:tcPr>
          <w:p w14:paraId="6425F700"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министерство строительства и архитектуры Архангельской области</w:t>
            </w:r>
          </w:p>
        </w:tc>
        <w:tc>
          <w:tcPr>
            <w:tcW w:w="1919" w:type="dxa"/>
            <w:shd w:val="clear" w:color="000000" w:fill="FFFFFF"/>
            <w:noWrap/>
            <w:vAlign w:val="center"/>
            <w:hideMark/>
          </w:tcPr>
          <w:p w14:paraId="1F81B18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72,7</w:t>
            </w:r>
          </w:p>
        </w:tc>
        <w:tc>
          <w:tcPr>
            <w:tcW w:w="1636" w:type="dxa"/>
            <w:shd w:val="clear" w:color="000000" w:fill="FFFFFF"/>
            <w:noWrap/>
            <w:vAlign w:val="center"/>
            <w:hideMark/>
          </w:tcPr>
          <w:p w14:paraId="4D84BC3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w:t>
            </w:r>
          </w:p>
        </w:tc>
        <w:tc>
          <w:tcPr>
            <w:tcW w:w="906" w:type="dxa"/>
            <w:shd w:val="clear" w:color="000000" w:fill="FFFFFF"/>
            <w:noWrap/>
            <w:vAlign w:val="center"/>
            <w:hideMark/>
          </w:tcPr>
          <w:p w14:paraId="783690CE"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-70,6</w:t>
            </w:r>
          </w:p>
        </w:tc>
        <w:tc>
          <w:tcPr>
            <w:tcW w:w="1079" w:type="dxa"/>
            <w:shd w:val="clear" w:color="000000" w:fill="FFFFFF"/>
            <w:noWrap/>
            <w:vAlign w:val="center"/>
            <w:hideMark/>
          </w:tcPr>
          <w:p w14:paraId="605E1975"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-97,1</w:t>
            </w:r>
          </w:p>
        </w:tc>
      </w:tr>
      <w:tr w:rsidR="00FD7B0B" w:rsidRPr="00FD7B0B" w14:paraId="7AA05586" w14:textId="77777777" w:rsidTr="00EB3E2F">
        <w:trPr>
          <w:trHeight w:val="203"/>
        </w:trPr>
        <w:tc>
          <w:tcPr>
            <w:tcW w:w="4101" w:type="dxa"/>
            <w:shd w:val="clear" w:color="auto" w:fill="auto"/>
            <w:vAlign w:val="center"/>
            <w:hideMark/>
          </w:tcPr>
          <w:p w14:paraId="43C39D16"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министерство имущественных отношений Архангельской области</w:t>
            </w:r>
          </w:p>
        </w:tc>
        <w:tc>
          <w:tcPr>
            <w:tcW w:w="1919" w:type="dxa"/>
            <w:shd w:val="clear" w:color="000000" w:fill="FFFFFF"/>
            <w:noWrap/>
            <w:vAlign w:val="center"/>
            <w:hideMark/>
          </w:tcPr>
          <w:p w14:paraId="426E264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204,5</w:t>
            </w:r>
          </w:p>
        </w:tc>
        <w:tc>
          <w:tcPr>
            <w:tcW w:w="1636" w:type="dxa"/>
            <w:shd w:val="clear" w:color="000000" w:fill="FFFFFF"/>
            <w:noWrap/>
            <w:vAlign w:val="center"/>
            <w:hideMark/>
          </w:tcPr>
          <w:p w14:paraId="16BFC1CC"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204,5</w:t>
            </w:r>
          </w:p>
        </w:tc>
        <w:tc>
          <w:tcPr>
            <w:tcW w:w="906" w:type="dxa"/>
            <w:shd w:val="clear" w:color="000000" w:fill="FFFFFF"/>
            <w:noWrap/>
            <w:vAlign w:val="center"/>
            <w:hideMark/>
          </w:tcPr>
          <w:p w14:paraId="557A6B93"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1079" w:type="dxa"/>
            <w:shd w:val="clear" w:color="000000" w:fill="FFFFFF"/>
            <w:noWrap/>
            <w:vAlign w:val="center"/>
            <w:hideMark/>
          </w:tcPr>
          <w:p w14:paraId="547DD6A5"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4075C698" w14:textId="77777777" w:rsidTr="00EB3E2F">
        <w:trPr>
          <w:trHeight w:val="36"/>
        </w:trPr>
        <w:tc>
          <w:tcPr>
            <w:tcW w:w="4101" w:type="dxa"/>
            <w:shd w:val="clear" w:color="auto" w:fill="auto"/>
            <w:vAlign w:val="center"/>
            <w:hideMark/>
          </w:tcPr>
          <w:p w14:paraId="73FDF0DC" w14:textId="77777777" w:rsidR="00796E61" w:rsidRPr="00FD7B0B" w:rsidRDefault="00796E61" w:rsidP="00796E61">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 по ГП № 10</w:t>
            </w:r>
          </w:p>
        </w:tc>
        <w:tc>
          <w:tcPr>
            <w:tcW w:w="1919" w:type="dxa"/>
            <w:shd w:val="clear" w:color="000000" w:fill="FFFFFF"/>
            <w:noWrap/>
            <w:vAlign w:val="center"/>
            <w:hideMark/>
          </w:tcPr>
          <w:p w14:paraId="700E1970"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2 131,6</w:t>
            </w:r>
          </w:p>
        </w:tc>
        <w:tc>
          <w:tcPr>
            <w:tcW w:w="1636" w:type="dxa"/>
            <w:shd w:val="clear" w:color="000000" w:fill="FFFFFF"/>
            <w:noWrap/>
            <w:vAlign w:val="center"/>
            <w:hideMark/>
          </w:tcPr>
          <w:p w14:paraId="67F2BEB8"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2 389,4</w:t>
            </w:r>
          </w:p>
        </w:tc>
        <w:tc>
          <w:tcPr>
            <w:tcW w:w="906" w:type="dxa"/>
            <w:shd w:val="clear" w:color="000000" w:fill="FFFFFF"/>
            <w:noWrap/>
            <w:vAlign w:val="center"/>
            <w:hideMark/>
          </w:tcPr>
          <w:p w14:paraId="668B7B5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257,7</w:t>
            </w:r>
          </w:p>
        </w:tc>
        <w:tc>
          <w:tcPr>
            <w:tcW w:w="1079" w:type="dxa"/>
            <w:shd w:val="clear" w:color="000000" w:fill="FFFFFF"/>
            <w:noWrap/>
            <w:vAlign w:val="center"/>
            <w:hideMark/>
          </w:tcPr>
          <w:p w14:paraId="1008E63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12,1 (высокий)</w:t>
            </w:r>
          </w:p>
        </w:tc>
      </w:tr>
    </w:tbl>
    <w:p w14:paraId="0150888B" w14:textId="77777777" w:rsidR="00796E61" w:rsidRPr="00FD7B0B" w:rsidRDefault="00796E61" w:rsidP="00796E61">
      <w:pPr>
        <w:keepNext/>
        <w:spacing w:after="0" w:line="240" w:lineRule="auto"/>
        <w:rPr>
          <w:rFonts w:ascii="Times New Roman" w:eastAsia="Times New Roman" w:hAnsi="Times New Roman" w:cs="Times New Roman"/>
          <w:sz w:val="24"/>
          <w:szCs w:val="24"/>
          <w:lang w:eastAsia="ru-RU"/>
        </w:rPr>
      </w:pPr>
    </w:p>
    <w:p w14:paraId="0992EF60" w14:textId="2642BE9C" w:rsidR="00796E61" w:rsidRPr="00FD7B0B" w:rsidRDefault="00796E61" w:rsidP="00796E61">
      <w:pPr>
        <w:suppressAutoHyphens/>
        <w:spacing w:after="0" w:line="240" w:lineRule="auto"/>
        <w:ind w:firstLine="709"/>
        <w:jc w:val="both"/>
        <w:rPr>
          <w:rFonts w:ascii="Times New Roman" w:eastAsia="Times New Roman" w:hAnsi="Times New Roman" w:cs="Times New Roman"/>
          <w:sz w:val="24"/>
          <w:szCs w:val="24"/>
          <w:lang w:eastAsia="ru-RU"/>
        </w:rPr>
      </w:pPr>
      <w:r w:rsidRPr="00FD7B0B">
        <w:rPr>
          <w:rFonts w:ascii="Times New Roman" w:eastAsia="Times New Roman" w:hAnsi="Times New Roman" w:cs="Times New Roman"/>
          <w:sz w:val="24"/>
          <w:szCs w:val="24"/>
          <w:lang w:eastAsia="ru-RU"/>
        </w:rPr>
        <w:t>4. Оценка реализации мероприятий (достижения результатов) структурных элем</w:t>
      </w:r>
      <w:r w:rsidR="00EB3E2F" w:rsidRPr="00FD7B0B">
        <w:rPr>
          <w:rFonts w:ascii="Times New Roman" w:eastAsia="Times New Roman" w:hAnsi="Times New Roman" w:cs="Times New Roman"/>
          <w:sz w:val="24"/>
          <w:szCs w:val="24"/>
          <w:lang w:eastAsia="ru-RU"/>
        </w:rPr>
        <w:t>ентов государственной программы</w:t>
      </w:r>
    </w:p>
    <w:tbl>
      <w:tblPr>
        <w:tblW w:w="9498" w:type="dxa"/>
        <w:tblInd w:w="-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109"/>
        <w:gridCol w:w="1984"/>
        <w:gridCol w:w="2552"/>
        <w:gridCol w:w="1853"/>
      </w:tblGrid>
      <w:tr w:rsidR="00FD7B0B" w:rsidRPr="00FD7B0B" w14:paraId="25102F58" w14:textId="77777777" w:rsidTr="00796E61">
        <w:trPr>
          <w:trHeight w:val="1245"/>
        </w:trPr>
        <w:tc>
          <w:tcPr>
            <w:tcW w:w="3109" w:type="dxa"/>
            <w:shd w:val="clear" w:color="auto" w:fill="auto"/>
            <w:vAlign w:val="center"/>
            <w:hideMark/>
          </w:tcPr>
          <w:p w14:paraId="64F5F62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Наименование структурного элемента ГП № 10</w:t>
            </w:r>
          </w:p>
        </w:tc>
        <w:tc>
          <w:tcPr>
            <w:tcW w:w="1984" w:type="dxa"/>
            <w:shd w:val="clear" w:color="auto" w:fill="auto"/>
            <w:hideMark/>
          </w:tcPr>
          <w:p w14:paraId="4AF188C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Степень достижения мероприятий (результатов) структурного элемента ГП №10 за 2024 год, ед.</w:t>
            </w:r>
          </w:p>
        </w:tc>
        <w:tc>
          <w:tcPr>
            <w:tcW w:w="2552" w:type="dxa"/>
            <w:shd w:val="clear" w:color="auto" w:fill="auto"/>
            <w:hideMark/>
          </w:tcPr>
          <w:p w14:paraId="2F182E0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Общее количество мероприятий (результатов) всех структурных элементов ГП №10, предусмотренных к достижению в 2024 году, ед.</w:t>
            </w:r>
          </w:p>
        </w:tc>
        <w:tc>
          <w:tcPr>
            <w:tcW w:w="1853" w:type="dxa"/>
            <w:shd w:val="clear" w:color="auto" w:fill="auto"/>
            <w:hideMark/>
          </w:tcPr>
          <w:p w14:paraId="4DAA9B2F"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Степень достижения всех мероприятий (результатов) всех структурных элементов ГП №10 за 2024 год, %</w:t>
            </w:r>
          </w:p>
        </w:tc>
      </w:tr>
      <w:tr w:rsidR="00FD7B0B" w:rsidRPr="00FD7B0B" w14:paraId="062CCB38" w14:textId="77777777" w:rsidTr="00EB3E2F">
        <w:trPr>
          <w:trHeight w:val="36"/>
        </w:trPr>
        <w:tc>
          <w:tcPr>
            <w:tcW w:w="3109" w:type="dxa"/>
            <w:shd w:val="clear" w:color="auto" w:fill="auto"/>
            <w:vAlign w:val="center"/>
            <w:hideMark/>
          </w:tcPr>
          <w:p w14:paraId="78F51191" w14:textId="77777777" w:rsidR="00796E61" w:rsidRPr="00FD7B0B" w:rsidRDefault="00796E61" w:rsidP="00796E61">
            <w:pPr>
              <w:spacing w:after="0" w:line="240" w:lineRule="auto"/>
              <w:rPr>
                <w:rFonts w:ascii="Times New Roman" w:eastAsia="Times New Roman" w:hAnsi="Times New Roman" w:cs="Times New Roman"/>
                <w:i/>
                <w:iCs/>
                <w:sz w:val="18"/>
                <w:szCs w:val="18"/>
                <w:lang w:eastAsia="ru-RU"/>
              </w:rPr>
            </w:pPr>
            <w:r w:rsidRPr="00FD7B0B">
              <w:rPr>
                <w:rFonts w:ascii="Times New Roman" w:eastAsia="Times New Roman" w:hAnsi="Times New Roman" w:cs="Times New Roman"/>
                <w:i/>
                <w:iCs/>
                <w:sz w:val="18"/>
                <w:szCs w:val="18"/>
                <w:lang w:eastAsia="ru-RU"/>
              </w:rPr>
              <w:t>РП "Чистая страна"</w:t>
            </w:r>
          </w:p>
        </w:tc>
        <w:tc>
          <w:tcPr>
            <w:tcW w:w="1984" w:type="dxa"/>
            <w:shd w:val="clear" w:color="auto" w:fill="auto"/>
            <w:vAlign w:val="center"/>
            <w:hideMark/>
          </w:tcPr>
          <w:p w14:paraId="6CAFD644"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0,8 (4 свалки)</w:t>
            </w:r>
          </w:p>
        </w:tc>
        <w:tc>
          <w:tcPr>
            <w:tcW w:w="2552" w:type="dxa"/>
            <w:shd w:val="clear" w:color="auto" w:fill="auto"/>
            <w:vAlign w:val="center"/>
            <w:hideMark/>
          </w:tcPr>
          <w:p w14:paraId="30BBF2CE"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(5 свалок)</w:t>
            </w:r>
          </w:p>
        </w:tc>
        <w:tc>
          <w:tcPr>
            <w:tcW w:w="1853" w:type="dxa"/>
            <w:shd w:val="clear" w:color="auto" w:fill="auto"/>
            <w:vAlign w:val="center"/>
            <w:hideMark/>
          </w:tcPr>
          <w:p w14:paraId="355E854E"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2E5B1E77" w14:textId="77777777" w:rsidTr="00EB3E2F">
        <w:trPr>
          <w:trHeight w:val="293"/>
        </w:trPr>
        <w:tc>
          <w:tcPr>
            <w:tcW w:w="3109" w:type="dxa"/>
            <w:shd w:val="clear" w:color="auto" w:fill="auto"/>
            <w:vAlign w:val="center"/>
            <w:hideMark/>
          </w:tcPr>
          <w:p w14:paraId="7F7CDA90" w14:textId="77777777" w:rsidR="00796E61" w:rsidRPr="00FD7B0B" w:rsidRDefault="00796E61" w:rsidP="00796E61">
            <w:pPr>
              <w:spacing w:after="0" w:line="240" w:lineRule="auto"/>
              <w:rPr>
                <w:rFonts w:ascii="Times New Roman" w:eastAsia="Times New Roman" w:hAnsi="Times New Roman" w:cs="Times New Roman"/>
                <w:i/>
                <w:iCs/>
                <w:sz w:val="18"/>
                <w:szCs w:val="18"/>
                <w:lang w:eastAsia="ru-RU"/>
              </w:rPr>
            </w:pPr>
            <w:r w:rsidRPr="00FD7B0B">
              <w:rPr>
                <w:rFonts w:ascii="Times New Roman" w:eastAsia="Times New Roman" w:hAnsi="Times New Roman" w:cs="Times New Roman"/>
                <w:i/>
                <w:iCs/>
                <w:sz w:val="18"/>
                <w:szCs w:val="18"/>
                <w:lang w:eastAsia="ru-RU"/>
              </w:rPr>
              <w:t>РП "Комплексная система обращения с ТКО"</w:t>
            </w:r>
          </w:p>
        </w:tc>
        <w:tc>
          <w:tcPr>
            <w:tcW w:w="1984" w:type="dxa"/>
            <w:shd w:val="clear" w:color="auto" w:fill="auto"/>
            <w:vAlign w:val="center"/>
            <w:hideMark/>
          </w:tcPr>
          <w:p w14:paraId="73D9C17E"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2552" w:type="dxa"/>
            <w:shd w:val="clear" w:color="auto" w:fill="auto"/>
            <w:vAlign w:val="center"/>
            <w:hideMark/>
          </w:tcPr>
          <w:p w14:paraId="03E0F04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853" w:type="dxa"/>
            <w:shd w:val="clear" w:color="auto" w:fill="auto"/>
            <w:vAlign w:val="center"/>
            <w:hideMark/>
          </w:tcPr>
          <w:p w14:paraId="676F27E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r>
      <w:tr w:rsidR="00FD7B0B" w:rsidRPr="00FD7B0B" w14:paraId="24289924" w14:textId="77777777" w:rsidTr="00796E61">
        <w:trPr>
          <w:trHeight w:val="832"/>
        </w:trPr>
        <w:tc>
          <w:tcPr>
            <w:tcW w:w="3109" w:type="dxa"/>
            <w:shd w:val="clear" w:color="auto" w:fill="auto"/>
            <w:vAlign w:val="center"/>
            <w:hideMark/>
          </w:tcPr>
          <w:p w14:paraId="78AC88A1" w14:textId="77777777" w:rsidR="00796E61" w:rsidRPr="00FD7B0B" w:rsidRDefault="00796E61" w:rsidP="00796E61">
            <w:pPr>
              <w:spacing w:after="0" w:line="240" w:lineRule="auto"/>
              <w:rPr>
                <w:rFonts w:ascii="Times New Roman" w:eastAsia="Times New Roman" w:hAnsi="Times New Roman" w:cs="Times New Roman"/>
                <w:i/>
                <w:iCs/>
                <w:sz w:val="18"/>
                <w:szCs w:val="18"/>
                <w:lang w:eastAsia="ru-RU"/>
              </w:rPr>
            </w:pPr>
            <w:r w:rsidRPr="00FD7B0B">
              <w:rPr>
                <w:rFonts w:ascii="Times New Roman" w:eastAsia="Times New Roman" w:hAnsi="Times New Roman" w:cs="Times New Roman"/>
                <w:i/>
                <w:iCs/>
                <w:sz w:val="18"/>
                <w:szCs w:val="18"/>
                <w:lang w:eastAsia="ru-RU"/>
              </w:rPr>
              <w:t>КПМ "Экологическая безопасность, воспроизводство и использование природных ресурсов Архангельской области"</w:t>
            </w:r>
          </w:p>
        </w:tc>
        <w:tc>
          <w:tcPr>
            <w:tcW w:w="1984" w:type="dxa"/>
            <w:shd w:val="clear" w:color="auto" w:fill="auto"/>
            <w:vAlign w:val="center"/>
            <w:hideMark/>
          </w:tcPr>
          <w:p w14:paraId="0E027AA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w:t>
            </w:r>
          </w:p>
        </w:tc>
        <w:tc>
          <w:tcPr>
            <w:tcW w:w="2552" w:type="dxa"/>
            <w:shd w:val="clear" w:color="auto" w:fill="auto"/>
            <w:vAlign w:val="center"/>
            <w:hideMark/>
          </w:tcPr>
          <w:p w14:paraId="10293829"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37</w:t>
            </w:r>
          </w:p>
        </w:tc>
        <w:tc>
          <w:tcPr>
            <w:tcW w:w="1853" w:type="dxa"/>
            <w:shd w:val="clear" w:color="auto" w:fill="auto"/>
            <w:vAlign w:val="center"/>
            <w:hideMark/>
          </w:tcPr>
          <w:p w14:paraId="185C334C"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78,4</w:t>
            </w:r>
          </w:p>
        </w:tc>
      </w:tr>
      <w:tr w:rsidR="00FD7B0B" w:rsidRPr="00FD7B0B" w14:paraId="09A5378D" w14:textId="77777777" w:rsidTr="00EB3E2F">
        <w:trPr>
          <w:trHeight w:val="36"/>
        </w:trPr>
        <w:tc>
          <w:tcPr>
            <w:tcW w:w="3109" w:type="dxa"/>
            <w:shd w:val="clear" w:color="auto" w:fill="auto"/>
            <w:vAlign w:val="center"/>
            <w:hideMark/>
          </w:tcPr>
          <w:p w14:paraId="4487CC33" w14:textId="77777777" w:rsidR="00796E61" w:rsidRPr="00FD7B0B" w:rsidRDefault="00796E61" w:rsidP="00796E61">
            <w:pPr>
              <w:spacing w:after="0" w:line="240" w:lineRule="auto"/>
              <w:rPr>
                <w:rFonts w:ascii="Times New Roman" w:eastAsia="Times New Roman" w:hAnsi="Times New Roman" w:cs="Times New Roman"/>
                <w:i/>
                <w:iCs/>
                <w:sz w:val="18"/>
                <w:szCs w:val="18"/>
                <w:lang w:eastAsia="ru-RU"/>
              </w:rPr>
            </w:pPr>
            <w:r w:rsidRPr="00FD7B0B">
              <w:rPr>
                <w:rFonts w:ascii="Times New Roman" w:eastAsia="Times New Roman" w:hAnsi="Times New Roman" w:cs="Times New Roman"/>
                <w:sz w:val="20"/>
                <w:szCs w:val="20"/>
                <w:lang w:eastAsia="ru-RU"/>
              </w:rPr>
              <w:t>Всего по ГП № 10</w:t>
            </w:r>
          </w:p>
        </w:tc>
        <w:tc>
          <w:tcPr>
            <w:tcW w:w="1984" w:type="dxa"/>
            <w:shd w:val="clear" w:color="auto" w:fill="auto"/>
            <w:vAlign w:val="center"/>
            <w:hideMark/>
          </w:tcPr>
          <w:p w14:paraId="28B19D5E"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29,8</w:t>
            </w:r>
          </w:p>
        </w:tc>
        <w:tc>
          <w:tcPr>
            <w:tcW w:w="2552" w:type="dxa"/>
            <w:shd w:val="clear" w:color="auto" w:fill="auto"/>
            <w:vAlign w:val="center"/>
            <w:hideMark/>
          </w:tcPr>
          <w:p w14:paraId="40EED4A6"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39</w:t>
            </w:r>
          </w:p>
        </w:tc>
        <w:tc>
          <w:tcPr>
            <w:tcW w:w="1853" w:type="dxa"/>
            <w:shd w:val="clear" w:color="auto" w:fill="auto"/>
            <w:vAlign w:val="center"/>
            <w:hideMark/>
          </w:tcPr>
          <w:p w14:paraId="2560B24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76,4 (средний)</w:t>
            </w:r>
          </w:p>
        </w:tc>
      </w:tr>
    </w:tbl>
    <w:p w14:paraId="2250CE34" w14:textId="77777777" w:rsidR="00796E61" w:rsidRPr="00FD7B0B" w:rsidRDefault="00796E61" w:rsidP="00796E61">
      <w:pPr>
        <w:suppressAutoHyphens/>
        <w:spacing w:after="0" w:line="240" w:lineRule="auto"/>
        <w:ind w:firstLine="709"/>
        <w:jc w:val="both"/>
        <w:rPr>
          <w:rFonts w:ascii="Times New Roman" w:eastAsia="Times New Roman" w:hAnsi="Times New Roman" w:cs="Times New Roman"/>
          <w:sz w:val="24"/>
          <w:szCs w:val="24"/>
          <w:lang w:eastAsia="ru-RU"/>
        </w:rPr>
      </w:pPr>
    </w:p>
    <w:p w14:paraId="11035A4A" w14:textId="3AF6D00F" w:rsidR="00796E61" w:rsidRPr="00FD7B0B" w:rsidRDefault="00796E61" w:rsidP="00796E61">
      <w:pPr>
        <w:spacing w:after="0" w:line="240" w:lineRule="auto"/>
        <w:ind w:firstLine="709"/>
        <w:jc w:val="both"/>
        <w:rPr>
          <w:rFonts w:ascii="Times New Roman" w:eastAsia="Times New Roman" w:hAnsi="Times New Roman" w:cs="Times New Roman"/>
          <w:sz w:val="24"/>
          <w:szCs w:val="24"/>
        </w:rPr>
      </w:pPr>
      <w:r w:rsidRPr="00FD7B0B">
        <w:rPr>
          <w:rFonts w:ascii="Times New Roman" w:eastAsia="Times New Roman" w:hAnsi="Times New Roman" w:cs="Times New Roman"/>
          <w:sz w:val="24"/>
          <w:szCs w:val="24"/>
        </w:rPr>
        <w:t>5. Оценка достижения плановых значений показателей (индикаторов) государственной п</w:t>
      </w:r>
      <w:r w:rsidR="00EB3E2F" w:rsidRPr="00FD7B0B">
        <w:rPr>
          <w:rFonts w:ascii="Times New Roman" w:eastAsia="Times New Roman" w:hAnsi="Times New Roman" w:cs="Times New Roman"/>
          <w:sz w:val="24"/>
          <w:szCs w:val="24"/>
        </w:rPr>
        <w:t>рограммы</w:t>
      </w:r>
    </w:p>
    <w:tbl>
      <w:tblPr>
        <w:tblW w:w="9592" w:type="dxa"/>
        <w:tblInd w:w="-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511"/>
        <w:gridCol w:w="1105"/>
        <w:gridCol w:w="956"/>
        <w:gridCol w:w="1020"/>
      </w:tblGrid>
      <w:tr w:rsidR="00FD7B0B" w:rsidRPr="00FD7B0B" w14:paraId="716077AA" w14:textId="77777777" w:rsidTr="0002691E">
        <w:trPr>
          <w:trHeight w:val="156"/>
        </w:trPr>
        <w:tc>
          <w:tcPr>
            <w:tcW w:w="6511" w:type="dxa"/>
            <w:vMerge w:val="restart"/>
            <w:shd w:val="clear" w:color="auto" w:fill="auto"/>
            <w:vAlign w:val="center"/>
            <w:hideMark/>
          </w:tcPr>
          <w:p w14:paraId="48AB819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показателя (индикатора) в 2024 году</w:t>
            </w:r>
          </w:p>
        </w:tc>
        <w:tc>
          <w:tcPr>
            <w:tcW w:w="2061" w:type="dxa"/>
            <w:gridSpan w:val="2"/>
            <w:shd w:val="clear" w:color="auto" w:fill="auto"/>
            <w:vAlign w:val="center"/>
            <w:hideMark/>
          </w:tcPr>
          <w:p w14:paraId="7697DE0A"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Значения показателя за 2024 год</w:t>
            </w:r>
          </w:p>
        </w:tc>
        <w:tc>
          <w:tcPr>
            <w:tcW w:w="1020" w:type="dxa"/>
            <w:vMerge w:val="restart"/>
            <w:shd w:val="clear" w:color="auto" w:fill="auto"/>
            <w:vAlign w:val="center"/>
            <w:hideMark/>
          </w:tcPr>
          <w:p w14:paraId="3B2E1175"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исполнения</w:t>
            </w:r>
          </w:p>
        </w:tc>
      </w:tr>
      <w:tr w:rsidR="00FD7B0B" w:rsidRPr="00FD7B0B" w14:paraId="2B335372" w14:textId="77777777" w:rsidTr="0002691E">
        <w:trPr>
          <w:trHeight w:val="49"/>
        </w:trPr>
        <w:tc>
          <w:tcPr>
            <w:tcW w:w="6511" w:type="dxa"/>
            <w:vMerge/>
            <w:vAlign w:val="center"/>
            <w:hideMark/>
          </w:tcPr>
          <w:p w14:paraId="1CDB9D83"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p>
        </w:tc>
        <w:tc>
          <w:tcPr>
            <w:tcW w:w="1105" w:type="dxa"/>
            <w:shd w:val="clear" w:color="auto" w:fill="auto"/>
            <w:vAlign w:val="center"/>
            <w:hideMark/>
          </w:tcPr>
          <w:p w14:paraId="30365BAB"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план</w:t>
            </w:r>
          </w:p>
        </w:tc>
        <w:tc>
          <w:tcPr>
            <w:tcW w:w="956" w:type="dxa"/>
            <w:shd w:val="clear" w:color="auto" w:fill="auto"/>
            <w:vAlign w:val="center"/>
            <w:hideMark/>
          </w:tcPr>
          <w:p w14:paraId="306787FD"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w:t>
            </w:r>
          </w:p>
        </w:tc>
        <w:tc>
          <w:tcPr>
            <w:tcW w:w="1020" w:type="dxa"/>
            <w:vMerge/>
            <w:vAlign w:val="center"/>
            <w:hideMark/>
          </w:tcPr>
          <w:p w14:paraId="0ED8B8B9" w14:textId="77777777" w:rsidR="00796E61" w:rsidRPr="00FD7B0B" w:rsidRDefault="00796E61" w:rsidP="00796E61">
            <w:pPr>
              <w:spacing w:after="0" w:line="240" w:lineRule="auto"/>
              <w:rPr>
                <w:rFonts w:ascii="Times New Roman" w:eastAsia="Times New Roman" w:hAnsi="Times New Roman" w:cs="Times New Roman"/>
                <w:sz w:val="16"/>
                <w:szCs w:val="16"/>
                <w:lang w:eastAsia="ru-RU"/>
              </w:rPr>
            </w:pPr>
          </w:p>
        </w:tc>
      </w:tr>
      <w:tr w:rsidR="00FD7B0B" w:rsidRPr="00FD7B0B" w14:paraId="33735F5E" w14:textId="77777777" w:rsidTr="0002691E">
        <w:trPr>
          <w:trHeight w:val="36"/>
        </w:trPr>
        <w:tc>
          <w:tcPr>
            <w:tcW w:w="6511" w:type="dxa"/>
            <w:shd w:val="clear" w:color="auto" w:fill="auto"/>
            <w:vAlign w:val="center"/>
            <w:hideMark/>
          </w:tcPr>
          <w:p w14:paraId="6B1505C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Качество окружающей среды, %</w:t>
            </w:r>
          </w:p>
        </w:tc>
        <w:tc>
          <w:tcPr>
            <w:tcW w:w="1105" w:type="dxa"/>
            <w:shd w:val="clear" w:color="auto" w:fill="auto"/>
            <w:vAlign w:val="center"/>
            <w:hideMark/>
          </w:tcPr>
          <w:p w14:paraId="208B29B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108,33</w:t>
            </w:r>
          </w:p>
        </w:tc>
        <w:tc>
          <w:tcPr>
            <w:tcW w:w="956" w:type="dxa"/>
            <w:shd w:val="clear" w:color="auto" w:fill="auto"/>
            <w:vAlign w:val="center"/>
            <w:hideMark/>
          </w:tcPr>
          <w:p w14:paraId="15CD031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111</w:t>
            </w:r>
          </w:p>
        </w:tc>
        <w:tc>
          <w:tcPr>
            <w:tcW w:w="1020" w:type="dxa"/>
            <w:shd w:val="clear" w:color="auto" w:fill="auto"/>
            <w:vAlign w:val="center"/>
            <w:hideMark/>
          </w:tcPr>
          <w:p w14:paraId="74FD4600"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102,5</w:t>
            </w:r>
          </w:p>
        </w:tc>
      </w:tr>
      <w:tr w:rsidR="00FD7B0B" w:rsidRPr="00FD7B0B" w14:paraId="67084309" w14:textId="77777777" w:rsidTr="0002691E">
        <w:trPr>
          <w:trHeight w:val="1061"/>
        </w:trPr>
        <w:tc>
          <w:tcPr>
            <w:tcW w:w="6511" w:type="dxa"/>
            <w:shd w:val="clear" w:color="auto" w:fill="auto"/>
            <w:vAlign w:val="center"/>
            <w:hideMark/>
          </w:tcPr>
          <w:p w14:paraId="6C1E6C3E"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Доля видов объектов животного мира, занесенных в Красную книгу Российской Федерации (за исключением водных биологических ресурсов), в отношении которых проведены мероприятия по охране и воспроизводству, в общем количестве видов объектов животного мира, занесенных в Красную книгу Российской Федерации (за исключением водных биологических ресурсов) и обитающих на территории Архангельской области, %</w:t>
            </w:r>
          </w:p>
        </w:tc>
        <w:tc>
          <w:tcPr>
            <w:tcW w:w="1105" w:type="dxa"/>
            <w:shd w:val="clear" w:color="auto" w:fill="auto"/>
            <w:vAlign w:val="center"/>
            <w:hideMark/>
          </w:tcPr>
          <w:p w14:paraId="662B713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w:t>
            </w:r>
          </w:p>
        </w:tc>
        <w:tc>
          <w:tcPr>
            <w:tcW w:w="956" w:type="dxa"/>
            <w:shd w:val="clear" w:color="auto" w:fill="auto"/>
            <w:vAlign w:val="center"/>
            <w:hideMark/>
          </w:tcPr>
          <w:p w14:paraId="2BA3645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w:t>
            </w:r>
          </w:p>
        </w:tc>
        <w:tc>
          <w:tcPr>
            <w:tcW w:w="1020" w:type="dxa"/>
            <w:shd w:val="clear" w:color="auto" w:fill="auto"/>
            <w:vAlign w:val="center"/>
            <w:hideMark/>
          </w:tcPr>
          <w:p w14:paraId="364DF04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759BCF6C" w14:textId="77777777" w:rsidTr="0002691E">
        <w:trPr>
          <w:trHeight w:val="215"/>
        </w:trPr>
        <w:tc>
          <w:tcPr>
            <w:tcW w:w="6511" w:type="dxa"/>
            <w:shd w:val="clear" w:color="auto" w:fill="auto"/>
            <w:vAlign w:val="center"/>
            <w:hideMark/>
          </w:tcPr>
          <w:p w14:paraId="4300AFA6"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Прирост запасов ОПИ за счет проведения геологоразведочных работ в Архангельской области,</w:t>
            </w:r>
            <w:r w:rsidRPr="00FD7B0B">
              <w:t xml:space="preserve"> </w:t>
            </w:r>
            <w:r w:rsidRPr="00FD7B0B">
              <w:rPr>
                <w:rFonts w:ascii="Times New Roman" w:eastAsia="Times New Roman" w:hAnsi="Times New Roman" w:cs="Times New Roman"/>
                <w:sz w:val="18"/>
                <w:szCs w:val="18"/>
                <w:lang w:eastAsia="ru-RU"/>
              </w:rPr>
              <w:t xml:space="preserve">млн. куб. м </w:t>
            </w:r>
          </w:p>
        </w:tc>
        <w:tc>
          <w:tcPr>
            <w:tcW w:w="1105" w:type="dxa"/>
            <w:shd w:val="clear" w:color="auto" w:fill="auto"/>
            <w:vAlign w:val="center"/>
            <w:hideMark/>
          </w:tcPr>
          <w:p w14:paraId="0C5F450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w:t>
            </w:r>
          </w:p>
        </w:tc>
        <w:tc>
          <w:tcPr>
            <w:tcW w:w="956" w:type="dxa"/>
            <w:shd w:val="clear" w:color="auto" w:fill="auto"/>
            <w:vAlign w:val="center"/>
            <w:hideMark/>
          </w:tcPr>
          <w:p w14:paraId="3DE8E41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27,24</w:t>
            </w:r>
          </w:p>
        </w:tc>
        <w:tc>
          <w:tcPr>
            <w:tcW w:w="1020" w:type="dxa"/>
            <w:shd w:val="clear" w:color="auto" w:fill="auto"/>
            <w:vAlign w:val="center"/>
            <w:hideMark/>
          </w:tcPr>
          <w:p w14:paraId="2A82C3B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116,7</w:t>
            </w:r>
          </w:p>
        </w:tc>
      </w:tr>
      <w:tr w:rsidR="00FD7B0B" w:rsidRPr="00FD7B0B" w14:paraId="165048C6" w14:textId="77777777" w:rsidTr="0002691E">
        <w:trPr>
          <w:trHeight w:val="78"/>
        </w:trPr>
        <w:tc>
          <w:tcPr>
            <w:tcW w:w="6511" w:type="dxa"/>
            <w:shd w:val="clear" w:color="auto" w:fill="auto"/>
            <w:vAlign w:val="center"/>
            <w:hideMark/>
          </w:tcPr>
          <w:p w14:paraId="7571510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 Площадь восстановленных водных объектов, га</w:t>
            </w:r>
          </w:p>
        </w:tc>
        <w:tc>
          <w:tcPr>
            <w:tcW w:w="1105" w:type="dxa"/>
            <w:shd w:val="clear" w:color="auto" w:fill="auto"/>
            <w:vAlign w:val="center"/>
            <w:hideMark/>
          </w:tcPr>
          <w:p w14:paraId="173F527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1,8</w:t>
            </w:r>
          </w:p>
        </w:tc>
        <w:tc>
          <w:tcPr>
            <w:tcW w:w="956" w:type="dxa"/>
            <w:shd w:val="clear" w:color="auto" w:fill="auto"/>
            <w:vAlign w:val="center"/>
            <w:hideMark/>
          </w:tcPr>
          <w:p w14:paraId="734A701F"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020" w:type="dxa"/>
            <w:shd w:val="clear" w:color="auto" w:fill="auto"/>
            <w:vAlign w:val="center"/>
            <w:hideMark/>
          </w:tcPr>
          <w:p w14:paraId="09BC428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bl>
    <w:p w14:paraId="6A9EB6E8" w14:textId="77777777" w:rsidR="00EB3E2F" w:rsidRPr="00FD7B0B" w:rsidRDefault="00EB3E2F" w:rsidP="00796E61">
      <w:pPr>
        <w:spacing w:after="0" w:line="240" w:lineRule="auto"/>
        <w:ind w:firstLine="709"/>
        <w:jc w:val="both"/>
        <w:rPr>
          <w:rFonts w:ascii="Times New Roman" w:eastAsia="Times New Roman" w:hAnsi="Times New Roman" w:cs="Times New Roman"/>
          <w:sz w:val="24"/>
          <w:szCs w:val="24"/>
        </w:rPr>
      </w:pPr>
    </w:p>
    <w:p w14:paraId="21049BB7" w14:textId="77777777" w:rsidR="00796E61" w:rsidRPr="00FD7B0B" w:rsidRDefault="00796E61" w:rsidP="00796E61">
      <w:pPr>
        <w:spacing w:after="0" w:line="240" w:lineRule="auto"/>
        <w:ind w:firstLine="709"/>
        <w:jc w:val="both"/>
        <w:rPr>
          <w:rFonts w:ascii="Times New Roman" w:eastAsia="Times New Roman" w:hAnsi="Times New Roman" w:cs="Times New Roman"/>
          <w:sz w:val="24"/>
          <w:szCs w:val="24"/>
        </w:rPr>
      </w:pPr>
      <w:r w:rsidRPr="00FD7B0B">
        <w:rPr>
          <w:rFonts w:ascii="Times New Roman" w:eastAsia="Times New Roman" w:hAnsi="Times New Roman" w:cs="Times New Roman"/>
          <w:sz w:val="24"/>
          <w:szCs w:val="24"/>
        </w:rPr>
        <w:t xml:space="preserve">Оценка достижения плановых значений целевых показателей ГП № 10 </w:t>
      </w:r>
    </w:p>
    <w:tbl>
      <w:tblPr>
        <w:tblW w:w="946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364"/>
        <w:gridCol w:w="1250"/>
        <w:gridCol w:w="1850"/>
      </w:tblGrid>
      <w:tr w:rsidR="00FD7B0B" w:rsidRPr="00FD7B0B" w14:paraId="7D8E0794" w14:textId="77777777" w:rsidTr="00796E61">
        <w:trPr>
          <w:trHeight w:val="76"/>
          <w:tblHeader/>
        </w:trPr>
        <w:tc>
          <w:tcPr>
            <w:tcW w:w="7614" w:type="dxa"/>
            <w:gridSpan w:val="2"/>
            <w:shd w:val="clear" w:color="auto" w:fill="auto"/>
            <w:vAlign w:val="bottom"/>
            <w:hideMark/>
          </w:tcPr>
          <w:p w14:paraId="48D66F68"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Оценка достижения плановых значений показателей (индикаторов) за отчетный год</w:t>
            </w:r>
          </w:p>
        </w:tc>
        <w:tc>
          <w:tcPr>
            <w:tcW w:w="1850" w:type="dxa"/>
            <w:shd w:val="clear" w:color="auto" w:fill="auto"/>
            <w:noWrap/>
            <w:vAlign w:val="center"/>
            <w:hideMark/>
          </w:tcPr>
          <w:p w14:paraId="657CBDE6"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Уровень</w:t>
            </w:r>
          </w:p>
        </w:tc>
      </w:tr>
      <w:tr w:rsidR="00FD7B0B" w:rsidRPr="00FD7B0B" w14:paraId="233D42E2" w14:textId="77777777" w:rsidTr="00796E61">
        <w:trPr>
          <w:trHeight w:val="273"/>
        </w:trPr>
        <w:tc>
          <w:tcPr>
            <w:tcW w:w="6364" w:type="dxa"/>
            <w:shd w:val="clear" w:color="auto" w:fill="auto"/>
            <w:noWrap/>
            <w:vAlign w:val="bottom"/>
            <w:hideMark/>
          </w:tcPr>
          <w:p w14:paraId="4CC5AF9A"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Степень достижения всех показателей (индикаторов) государственной программы</w:t>
            </w:r>
          </w:p>
        </w:tc>
        <w:tc>
          <w:tcPr>
            <w:tcW w:w="1250" w:type="dxa"/>
            <w:shd w:val="clear" w:color="auto" w:fill="auto"/>
            <w:noWrap/>
            <w:vAlign w:val="center"/>
            <w:hideMark/>
          </w:tcPr>
          <w:p w14:paraId="56EE8415"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75,0 %</w:t>
            </w:r>
          </w:p>
        </w:tc>
        <w:tc>
          <w:tcPr>
            <w:tcW w:w="1850" w:type="dxa"/>
            <w:shd w:val="clear" w:color="auto" w:fill="auto"/>
            <w:vAlign w:val="center"/>
            <w:hideMark/>
          </w:tcPr>
          <w:p w14:paraId="174DEB0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r>
      <w:tr w:rsidR="00FD7B0B" w:rsidRPr="00FD7B0B" w14:paraId="2DBF010D" w14:textId="77777777" w:rsidTr="00796E61">
        <w:trPr>
          <w:trHeight w:val="300"/>
        </w:trPr>
        <w:tc>
          <w:tcPr>
            <w:tcW w:w="6364" w:type="dxa"/>
            <w:shd w:val="clear" w:color="auto" w:fill="auto"/>
            <w:noWrap/>
            <w:vAlign w:val="bottom"/>
            <w:hideMark/>
          </w:tcPr>
          <w:p w14:paraId="003B9074"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Общее количество показателей (индикаторов) государственной программы с установленными значениями</w:t>
            </w:r>
          </w:p>
        </w:tc>
        <w:tc>
          <w:tcPr>
            <w:tcW w:w="1250" w:type="dxa"/>
            <w:shd w:val="clear" w:color="auto" w:fill="auto"/>
            <w:noWrap/>
            <w:vAlign w:val="center"/>
            <w:hideMark/>
          </w:tcPr>
          <w:p w14:paraId="08215609"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w:t>
            </w:r>
          </w:p>
        </w:tc>
        <w:tc>
          <w:tcPr>
            <w:tcW w:w="1850" w:type="dxa"/>
            <w:shd w:val="clear" w:color="auto" w:fill="auto"/>
            <w:noWrap/>
            <w:vAlign w:val="center"/>
            <w:hideMark/>
          </w:tcPr>
          <w:p w14:paraId="01EE4AF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p>
        </w:tc>
      </w:tr>
      <w:tr w:rsidR="00796E61" w:rsidRPr="00FD7B0B" w14:paraId="2FE76A25" w14:textId="77777777" w:rsidTr="00796E61">
        <w:trPr>
          <w:trHeight w:val="101"/>
        </w:trPr>
        <w:tc>
          <w:tcPr>
            <w:tcW w:w="6364" w:type="dxa"/>
            <w:shd w:val="clear" w:color="auto" w:fill="auto"/>
            <w:noWrap/>
            <w:vAlign w:val="bottom"/>
            <w:hideMark/>
          </w:tcPr>
          <w:p w14:paraId="139808B4"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Доля выполненных показателей</w:t>
            </w:r>
          </w:p>
        </w:tc>
        <w:tc>
          <w:tcPr>
            <w:tcW w:w="1250" w:type="dxa"/>
            <w:shd w:val="clear" w:color="auto" w:fill="auto"/>
            <w:noWrap/>
            <w:vAlign w:val="center"/>
            <w:hideMark/>
          </w:tcPr>
          <w:p w14:paraId="4A928EB9"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75,0 %</w:t>
            </w:r>
          </w:p>
        </w:tc>
        <w:tc>
          <w:tcPr>
            <w:tcW w:w="1850" w:type="dxa"/>
            <w:shd w:val="clear" w:color="auto" w:fill="auto"/>
            <w:vAlign w:val="center"/>
            <w:hideMark/>
          </w:tcPr>
          <w:p w14:paraId="737A24EC"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r>
    </w:tbl>
    <w:p w14:paraId="65DBCF9A" w14:textId="77777777" w:rsidR="00EB3E2F" w:rsidRPr="00FD7B0B" w:rsidRDefault="00EB3E2F" w:rsidP="00796E61">
      <w:pPr>
        <w:spacing w:after="0" w:line="240" w:lineRule="auto"/>
        <w:ind w:firstLine="709"/>
        <w:jc w:val="both"/>
        <w:rPr>
          <w:rFonts w:ascii="Times New Roman" w:eastAsia="Times New Roman" w:hAnsi="Times New Roman" w:cs="Times New Roman"/>
          <w:sz w:val="24"/>
          <w:szCs w:val="24"/>
        </w:rPr>
      </w:pPr>
    </w:p>
    <w:p w14:paraId="5BDFE362" w14:textId="77777777" w:rsidR="00796E61" w:rsidRPr="00FD7B0B" w:rsidRDefault="00796E61" w:rsidP="00796E61">
      <w:pPr>
        <w:spacing w:after="0" w:line="240" w:lineRule="auto"/>
        <w:ind w:firstLine="709"/>
        <w:jc w:val="both"/>
        <w:rPr>
          <w:rFonts w:ascii="Times New Roman" w:eastAsia="Times New Roman" w:hAnsi="Times New Roman" w:cs="Times New Roman"/>
          <w:sz w:val="24"/>
          <w:szCs w:val="24"/>
        </w:rPr>
      </w:pPr>
      <w:r w:rsidRPr="00FD7B0B">
        <w:rPr>
          <w:rFonts w:ascii="Times New Roman" w:eastAsia="Times New Roman" w:hAnsi="Times New Roman" w:cs="Times New Roman"/>
          <w:sz w:val="24"/>
          <w:szCs w:val="24"/>
        </w:rPr>
        <w:t>6. Оценка состава показателей (индикаторов) государственной программы</w:t>
      </w:r>
    </w:p>
    <w:tbl>
      <w:tblPr>
        <w:tblW w:w="9498" w:type="dxa"/>
        <w:tblInd w:w="-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820"/>
        <w:gridCol w:w="850"/>
        <w:gridCol w:w="851"/>
        <w:gridCol w:w="861"/>
        <w:gridCol w:w="982"/>
        <w:gridCol w:w="1134"/>
      </w:tblGrid>
      <w:tr w:rsidR="00FD7B0B" w:rsidRPr="00FD7B0B" w14:paraId="1FA85B87" w14:textId="77777777" w:rsidTr="00EB3E2F">
        <w:trPr>
          <w:trHeight w:val="622"/>
          <w:tblHeader/>
        </w:trPr>
        <w:tc>
          <w:tcPr>
            <w:tcW w:w="4820" w:type="dxa"/>
            <w:vMerge w:val="restart"/>
            <w:shd w:val="clear" w:color="auto" w:fill="auto"/>
            <w:vAlign w:val="center"/>
            <w:hideMark/>
          </w:tcPr>
          <w:p w14:paraId="37230D8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Наименование целевого показателя</w:t>
            </w:r>
          </w:p>
        </w:tc>
        <w:tc>
          <w:tcPr>
            <w:tcW w:w="2562" w:type="dxa"/>
            <w:gridSpan w:val="3"/>
            <w:shd w:val="clear" w:color="auto" w:fill="auto"/>
            <w:vAlign w:val="center"/>
            <w:hideMark/>
          </w:tcPr>
          <w:p w14:paraId="56CBCA1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Значения целевого показателя за год</w:t>
            </w:r>
          </w:p>
        </w:tc>
        <w:tc>
          <w:tcPr>
            <w:tcW w:w="982" w:type="dxa"/>
            <w:vMerge w:val="restart"/>
            <w:shd w:val="clear" w:color="auto" w:fill="auto"/>
            <w:hideMark/>
          </w:tcPr>
          <w:p w14:paraId="6314B576"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непосредственные результаты</w:t>
            </w:r>
          </w:p>
        </w:tc>
        <w:tc>
          <w:tcPr>
            <w:tcW w:w="1134" w:type="dxa"/>
            <w:vMerge w:val="restart"/>
            <w:shd w:val="clear" w:color="auto" w:fill="auto"/>
            <w:hideMark/>
          </w:tcPr>
          <w:p w14:paraId="2C82594B"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конечные результаты или итоговые эффекты</w:t>
            </w:r>
          </w:p>
        </w:tc>
      </w:tr>
      <w:tr w:rsidR="00FD7B0B" w:rsidRPr="00FD7B0B" w14:paraId="30938D35" w14:textId="77777777" w:rsidTr="00EB3E2F">
        <w:trPr>
          <w:trHeight w:val="279"/>
          <w:tblHeader/>
        </w:trPr>
        <w:tc>
          <w:tcPr>
            <w:tcW w:w="4820" w:type="dxa"/>
            <w:vMerge/>
            <w:vAlign w:val="center"/>
            <w:hideMark/>
          </w:tcPr>
          <w:p w14:paraId="18CC163F" w14:textId="77777777" w:rsidR="00796E61" w:rsidRPr="00FD7B0B" w:rsidRDefault="00796E61" w:rsidP="00796E61">
            <w:pPr>
              <w:spacing w:after="0" w:line="240" w:lineRule="auto"/>
              <w:rPr>
                <w:rFonts w:ascii="Times New Roman" w:eastAsia="Times New Roman" w:hAnsi="Times New Roman" w:cs="Times New Roman"/>
                <w:sz w:val="20"/>
                <w:szCs w:val="20"/>
                <w:lang w:eastAsia="ru-RU"/>
              </w:rPr>
            </w:pPr>
          </w:p>
        </w:tc>
        <w:tc>
          <w:tcPr>
            <w:tcW w:w="850" w:type="dxa"/>
            <w:shd w:val="clear" w:color="auto" w:fill="auto"/>
            <w:vAlign w:val="center"/>
            <w:hideMark/>
          </w:tcPr>
          <w:p w14:paraId="687E3E4F"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2022</w:t>
            </w:r>
          </w:p>
        </w:tc>
        <w:tc>
          <w:tcPr>
            <w:tcW w:w="851" w:type="dxa"/>
            <w:shd w:val="clear" w:color="auto" w:fill="auto"/>
            <w:vAlign w:val="center"/>
            <w:hideMark/>
          </w:tcPr>
          <w:p w14:paraId="4E294B38"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2023</w:t>
            </w:r>
          </w:p>
        </w:tc>
        <w:tc>
          <w:tcPr>
            <w:tcW w:w="861" w:type="dxa"/>
            <w:shd w:val="clear" w:color="auto" w:fill="auto"/>
            <w:vAlign w:val="center"/>
            <w:hideMark/>
          </w:tcPr>
          <w:p w14:paraId="21377A1D" w14:textId="77777777" w:rsidR="00796E61" w:rsidRPr="00FD7B0B" w:rsidRDefault="00796E61" w:rsidP="00796E61">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2024</w:t>
            </w:r>
          </w:p>
        </w:tc>
        <w:tc>
          <w:tcPr>
            <w:tcW w:w="982" w:type="dxa"/>
            <w:vMerge/>
            <w:vAlign w:val="center"/>
            <w:hideMark/>
          </w:tcPr>
          <w:p w14:paraId="68546B0C" w14:textId="77777777" w:rsidR="00796E61" w:rsidRPr="00FD7B0B" w:rsidRDefault="00796E61" w:rsidP="00796E61">
            <w:pPr>
              <w:spacing w:after="0" w:line="240" w:lineRule="auto"/>
              <w:rPr>
                <w:rFonts w:ascii="Times New Roman" w:eastAsia="Times New Roman" w:hAnsi="Times New Roman" w:cs="Times New Roman"/>
                <w:sz w:val="16"/>
                <w:szCs w:val="16"/>
                <w:lang w:eastAsia="ru-RU"/>
              </w:rPr>
            </w:pPr>
          </w:p>
        </w:tc>
        <w:tc>
          <w:tcPr>
            <w:tcW w:w="1134" w:type="dxa"/>
            <w:vMerge/>
            <w:vAlign w:val="center"/>
            <w:hideMark/>
          </w:tcPr>
          <w:p w14:paraId="099B9443" w14:textId="77777777" w:rsidR="00796E61" w:rsidRPr="00FD7B0B" w:rsidRDefault="00796E61" w:rsidP="00796E61">
            <w:pPr>
              <w:spacing w:after="0" w:line="240" w:lineRule="auto"/>
              <w:rPr>
                <w:rFonts w:ascii="Times New Roman" w:eastAsia="Times New Roman" w:hAnsi="Times New Roman" w:cs="Times New Roman"/>
                <w:sz w:val="16"/>
                <w:szCs w:val="16"/>
                <w:lang w:eastAsia="ru-RU"/>
              </w:rPr>
            </w:pPr>
          </w:p>
        </w:tc>
      </w:tr>
      <w:tr w:rsidR="00FD7B0B" w:rsidRPr="00FD7B0B" w14:paraId="4DE7FEF0" w14:textId="77777777" w:rsidTr="00EB3E2F">
        <w:trPr>
          <w:trHeight w:val="40"/>
        </w:trPr>
        <w:tc>
          <w:tcPr>
            <w:tcW w:w="4820" w:type="dxa"/>
            <w:shd w:val="clear" w:color="auto" w:fill="auto"/>
            <w:vAlign w:val="center"/>
            <w:hideMark/>
          </w:tcPr>
          <w:p w14:paraId="279CECF1"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Качество окружающей среды, процентов</w:t>
            </w:r>
          </w:p>
        </w:tc>
        <w:tc>
          <w:tcPr>
            <w:tcW w:w="850" w:type="dxa"/>
            <w:shd w:val="clear" w:color="auto" w:fill="auto"/>
            <w:vAlign w:val="center"/>
            <w:hideMark/>
          </w:tcPr>
          <w:p w14:paraId="4A3AA65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114</w:t>
            </w:r>
          </w:p>
        </w:tc>
        <w:tc>
          <w:tcPr>
            <w:tcW w:w="851" w:type="dxa"/>
            <w:shd w:val="clear" w:color="auto" w:fill="auto"/>
            <w:vAlign w:val="center"/>
            <w:hideMark/>
          </w:tcPr>
          <w:p w14:paraId="470CAB8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112</w:t>
            </w:r>
          </w:p>
        </w:tc>
        <w:tc>
          <w:tcPr>
            <w:tcW w:w="861" w:type="dxa"/>
            <w:shd w:val="clear" w:color="auto" w:fill="auto"/>
            <w:vAlign w:val="center"/>
            <w:hideMark/>
          </w:tcPr>
          <w:p w14:paraId="4C1C416A"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108,33</w:t>
            </w:r>
          </w:p>
        </w:tc>
        <w:tc>
          <w:tcPr>
            <w:tcW w:w="982" w:type="dxa"/>
            <w:shd w:val="clear" w:color="auto" w:fill="auto"/>
            <w:vAlign w:val="center"/>
            <w:hideMark/>
          </w:tcPr>
          <w:p w14:paraId="73065945"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134" w:type="dxa"/>
            <w:shd w:val="clear" w:color="auto" w:fill="auto"/>
            <w:vAlign w:val="center"/>
            <w:hideMark/>
          </w:tcPr>
          <w:p w14:paraId="559B9D22"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r>
      <w:tr w:rsidR="00FD7B0B" w:rsidRPr="00FD7B0B" w14:paraId="6F0BAD94" w14:textId="77777777" w:rsidTr="00EB3E2F">
        <w:trPr>
          <w:trHeight w:val="1772"/>
        </w:trPr>
        <w:tc>
          <w:tcPr>
            <w:tcW w:w="4820" w:type="dxa"/>
            <w:shd w:val="clear" w:color="auto" w:fill="auto"/>
            <w:vAlign w:val="center"/>
            <w:hideMark/>
          </w:tcPr>
          <w:p w14:paraId="582C1201"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Доля видов объектов животного мира, занесенных в Красную книгу Российской Федерации (за исключением водных биологических ресурсов), в отношении которых проведены мероприятия по охране и воспроизводству, в общем количестве видов объектов животного мира, занесенных в Красную книгу Российской Федерации (за исключением водных биологических ресурсов) и обитающих на территории Архангельской области, процентов</w:t>
            </w:r>
          </w:p>
        </w:tc>
        <w:tc>
          <w:tcPr>
            <w:tcW w:w="850" w:type="dxa"/>
            <w:shd w:val="clear" w:color="auto" w:fill="auto"/>
            <w:vAlign w:val="center"/>
            <w:hideMark/>
          </w:tcPr>
          <w:p w14:paraId="2DBBA1E2"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w:t>
            </w:r>
          </w:p>
        </w:tc>
        <w:tc>
          <w:tcPr>
            <w:tcW w:w="851" w:type="dxa"/>
            <w:shd w:val="clear" w:color="auto" w:fill="auto"/>
            <w:vAlign w:val="center"/>
            <w:hideMark/>
          </w:tcPr>
          <w:p w14:paraId="123E15B3"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w:t>
            </w:r>
          </w:p>
        </w:tc>
        <w:tc>
          <w:tcPr>
            <w:tcW w:w="861" w:type="dxa"/>
            <w:shd w:val="clear" w:color="auto" w:fill="auto"/>
            <w:vAlign w:val="center"/>
            <w:hideMark/>
          </w:tcPr>
          <w:p w14:paraId="72D32926"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w:t>
            </w:r>
          </w:p>
        </w:tc>
        <w:tc>
          <w:tcPr>
            <w:tcW w:w="982" w:type="dxa"/>
            <w:shd w:val="clear" w:color="auto" w:fill="auto"/>
            <w:vAlign w:val="center"/>
            <w:hideMark/>
          </w:tcPr>
          <w:p w14:paraId="29DE8EB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1134" w:type="dxa"/>
            <w:shd w:val="clear" w:color="auto" w:fill="auto"/>
            <w:vAlign w:val="center"/>
            <w:hideMark/>
          </w:tcPr>
          <w:p w14:paraId="5A14E7C1"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r>
      <w:tr w:rsidR="00FD7B0B" w:rsidRPr="00FD7B0B" w14:paraId="3625DACA" w14:textId="77777777" w:rsidTr="00EB3E2F">
        <w:trPr>
          <w:trHeight w:val="452"/>
        </w:trPr>
        <w:tc>
          <w:tcPr>
            <w:tcW w:w="4820" w:type="dxa"/>
            <w:shd w:val="clear" w:color="auto" w:fill="auto"/>
            <w:vAlign w:val="center"/>
            <w:hideMark/>
          </w:tcPr>
          <w:p w14:paraId="2E0EF822"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Прирост запасов ОПИ за счет проведения геологоразведочных работ в Архангельской области, млн. куб. метров</w:t>
            </w:r>
          </w:p>
        </w:tc>
        <w:tc>
          <w:tcPr>
            <w:tcW w:w="850" w:type="dxa"/>
            <w:shd w:val="clear" w:color="auto" w:fill="auto"/>
            <w:vAlign w:val="center"/>
            <w:hideMark/>
          </w:tcPr>
          <w:p w14:paraId="0F520373"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851" w:type="dxa"/>
            <w:shd w:val="clear" w:color="auto" w:fill="auto"/>
            <w:vAlign w:val="center"/>
            <w:hideMark/>
          </w:tcPr>
          <w:p w14:paraId="585B171C"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23,34</w:t>
            </w:r>
          </w:p>
        </w:tc>
        <w:tc>
          <w:tcPr>
            <w:tcW w:w="861" w:type="dxa"/>
            <w:shd w:val="clear" w:color="auto" w:fill="auto"/>
            <w:vAlign w:val="center"/>
            <w:hideMark/>
          </w:tcPr>
          <w:p w14:paraId="39928030"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c>
          <w:tcPr>
            <w:tcW w:w="982" w:type="dxa"/>
            <w:shd w:val="clear" w:color="auto" w:fill="auto"/>
            <w:vAlign w:val="center"/>
            <w:hideMark/>
          </w:tcPr>
          <w:p w14:paraId="444C844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1134" w:type="dxa"/>
            <w:shd w:val="clear" w:color="auto" w:fill="auto"/>
            <w:vAlign w:val="center"/>
            <w:hideMark/>
          </w:tcPr>
          <w:p w14:paraId="467CA07E"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r>
      <w:tr w:rsidR="00FD7B0B" w:rsidRPr="00FD7B0B" w14:paraId="36F08656" w14:textId="77777777" w:rsidTr="00EB3E2F">
        <w:trPr>
          <w:trHeight w:val="107"/>
        </w:trPr>
        <w:tc>
          <w:tcPr>
            <w:tcW w:w="4820" w:type="dxa"/>
            <w:shd w:val="clear" w:color="auto" w:fill="auto"/>
            <w:vAlign w:val="center"/>
            <w:hideMark/>
          </w:tcPr>
          <w:p w14:paraId="65474921"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 Площадь восстановленных водных объектов, га</w:t>
            </w:r>
          </w:p>
        </w:tc>
        <w:tc>
          <w:tcPr>
            <w:tcW w:w="850" w:type="dxa"/>
            <w:shd w:val="clear" w:color="auto" w:fill="auto"/>
            <w:vAlign w:val="center"/>
            <w:hideMark/>
          </w:tcPr>
          <w:p w14:paraId="7ACD5758"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c>
          <w:tcPr>
            <w:tcW w:w="851" w:type="dxa"/>
            <w:shd w:val="clear" w:color="auto" w:fill="auto"/>
            <w:vAlign w:val="center"/>
            <w:hideMark/>
          </w:tcPr>
          <w:p w14:paraId="329CBB70"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c>
          <w:tcPr>
            <w:tcW w:w="861" w:type="dxa"/>
            <w:shd w:val="clear" w:color="auto" w:fill="auto"/>
            <w:vAlign w:val="center"/>
            <w:hideMark/>
          </w:tcPr>
          <w:p w14:paraId="41CF83E4"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w:t>
            </w:r>
          </w:p>
        </w:tc>
        <w:tc>
          <w:tcPr>
            <w:tcW w:w="982" w:type="dxa"/>
            <w:shd w:val="clear" w:color="auto" w:fill="auto"/>
            <w:vAlign w:val="center"/>
            <w:hideMark/>
          </w:tcPr>
          <w:p w14:paraId="51039140"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w:t>
            </w:r>
          </w:p>
        </w:tc>
        <w:tc>
          <w:tcPr>
            <w:tcW w:w="1134" w:type="dxa"/>
            <w:shd w:val="clear" w:color="auto" w:fill="auto"/>
            <w:vAlign w:val="center"/>
            <w:hideMark/>
          </w:tcPr>
          <w:p w14:paraId="10E832C6"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r>
    </w:tbl>
    <w:p w14:paraId="445E51C1" w14:textId="77777777" w:rsidR="00796E61" w:rsidRPr="00FD7B0B" w:rsidRDefault="00796E61" w:rsidP="00796E61">
      <w:pPr>
        <w:spacing w:after="0" w:line="240" w:lineRule="auto"/>
        <w:jc w:val="both"/>
        <w:rPr>
          <w:rFonts w:ascii="Times New Roman" w:eastAsia="Times New Roman" w:hAnsi="Times New Roman" w:cs="Times New Roman"/>
          <w:sz w:val="28"/>
          <w:szCs w:val="28"/>
        </w:rPr>
      </w:pPr>
    </w:p>
    <w:tbl>
      <w:tblPr>
        <w:tblW w:w="9389"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972"/>
        <w:gridCol w:w="1417"/>
      </w:tblGrid>
      <w:tr w:rsidR="00FD7B0B" w:rsidRPr="00FD7B0B" w14:paraId="533AD68D" w14:textId="77777777" w:rsidTr="00EB3E2F">
        <w:trPr>
          <w:trHeight w:val="200"/>
          <w:tblHeader/>
        </w:trPr>
        <w:tc>
          <w:tcPr>
            <w:tcW w:w="7972" w:type="dxa"/>
            <w:shd w:val="clear" w:color="auto" w:fill="auto"/>
            <w:vAlign w:val="center"/>
            <w:hideMark/>
          </w:tcPr>
          <w:p w14:paraId="71734203"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 состава показателей (индикаторов)</w:t>
            </w:r>
          </w:p>
        </w:tc>
        <w:tc>
          <w:tcPr>
            <w:tcW w:w="1417" w:type="dxa"/>
            <w:shd w:val="clear" w:color="auto" w:fill="auto"/>
            <w:noWrap/>
            <w:vAlign w:val="center"/>
            <w:hideMark/>
          </w:tcPr>
          <w:p w14:paraId="6DB85251"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w:t>
            </w:r>
          </w:p>
        </w:tc>
      </w:tr>
      <w:tr w:rsidR="00FD7B0B" w:rsidRPr="00FD7B0B" w14:paraId="5E22932F" w14:textId="77777777" w:rsidTr="00EB3E2F">
        <w:trPr>
          <w:trHeight w:val="91"/>
        </w:trPr>
        <w:tc>
          <w:tcPr>
            <w:tcW w:w="7972" w:type="dxa"/>
            <w:shd w:val="clear" w:color="auto" w:fill="auto"/>
            <w:noWrap/>
            <w:vAlign w:val="center"/>
            <w:hideMark/>
          </w:tcPr>
          <w:p w14:paraId="1345B312"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Общее количество показателей (индикаторов) государственной программы</w:t>
            </w:r>
          </w:p>
        </w:tc>
        <w:tc>
          <w:tcPr>
            <w:tcW w:w="1417" w:type="dxa"/>
            <w:shd w:val="clear" w:color="auto" w:fill="auto"/>
            <w:noWrap/>
            <w:vAlign w:val="center"/>
            <w:hideMark/>
          </w:tcPr>
          <w:p w14:paraId="73F376D4"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w:t>
            </w:r>
          </w:p>
        </w:tc>
      </w:tr>
      <w:tr w:rsidR="00FD7B0B" w:rsidRPr="00FD7B0B" w14:paraId="10018A32" w14:textId="77777777" w:rsidTr="00EB3E2F">
        <w:trPr>
          <w:trHeight w:val="137"/>
        </w:trPr>
        <w:tc>
          <w:tcPr>
            <w:tcW w:w="7972" w:type="dxa"/>
            <w:shd w:val="clear" w:color="auto" w:fill="auto"/>
            <w:noWrap/>
            <w:vAlign w:val="center"/>
            <w:hideMark/>
          </w:tcPr>
          <w:p w14:paraId="6F7548C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показателей (индикаторов), характеризующих непосредственные результаты</w:t>
            </w:r>
          </w:p>
        </w:tc>
        <w:tc>
          <w:tcPr>
            <w:tcW w:w="1417" w:type="dxa"/>
            <w:shd w:val="clear" w:color="auto" w:fill="auto"/>
            <w:noWrap/>
            <w:vAlign w:val="center"/>
            <w:hideMark/>
          </w:tcPr>
          <w:p w14:paraId="0175671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w:t>
            </w:r>
          </w:p>
        </w:tc>
      </w:tr>
      <w:tr w:rsidR="00FD7B0B" w:rsidRPr="00FD7B0B" w14:paraId="54B156B7" w14:textId="77777777" w:rsidTr="00EB3E2F">
        <w:trPr>
          <w:trHeight w:val="42"/>
        </w:trPr>
        <w:tc>
          <w:tcPr>
            <w:tcW w:w="7972" w:type="dxa"/>
            <w:shd w:val="clear" w:color="auto" w:fill="auto"/>
            <w:vAlign w:val="center"/>
            <w:hideMark/>
          </w:tcPr>
          <w:p w14:paraId="261F5EA8"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Удельный вес показателей (индикаторов), характеризующих непосредственные результаты</w:t>
            </w:r>
          </w:p>
        </w:tc>
        <w:tc>
          <w:tcPr>
            <w:tcW w:w="1417" w:type="dxa"/>
            <w:shd w:val="clear" w:color="auto" w:fill="auto"/>
            <w:noWrap/>
            <w:vAlign w:val="center"/>
            <w:hideMark/>
          </w:tcPr>
          <w:p w14:paraId="1C7F24BE"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25,0 %</w:t>
            </w:r>
          </w:p>
        </w:tc>
      </w:tr>
      <w:tr w:rsidR="00FD7B0B" w:rsidRPr="00FD7B0B" w14:paraId="336BD228" w14:textId="77777777" w:rsidTr="00EB3E2F">
        <w:trPr>
          <w:trHeight w:val="215"/>
        </w:trPr>
        <w:tc>
          <w:tcPr>
            <w:tcW w:w="7972" w:type="dxa"/>
            <w:shd w:val="clear" w:color="auto" w:fill="auto"/>
            <w:vAlign w:val="center"/>
            <w:hideMark/>
          </w:tcPr>
          <w:p w14:paraId="325889D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показателей (индикаторов), характеризующих конечные результаты или итоговые эффекты</w:t>
            </w:r>
          </w:p>
        </w:tc>
        <w:tc>
          <w:tcPr>
            <w:tcW w:w="1417" w:type="dxa"/>
            <w:shd w:val="clear" w:color="auto" w:fill="auto"/>
            <w:noWrap/>
            <w:vAlign w:val="center"/>
            <w:hideMark/>
          </w:tcPr>
          <w:p w14:paraId="09AC55FF"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w:t>
            </w:r>
          </w:p>
        </w:tc>
      </w:tr>
      <w:tr w:rsidR="00FD7B0B" w:rsidRPr="00FD7B0B" w14:paraId="08E34E3B" w14:textId="77777777" w:rsidTr="00EB3E2F">
        <w:trPr>
          <w:trHeight w:val="307"/>
        </w:trPr>
        <w:tc>
          <w:tcPr>
            <w:tcW w:w="7972" w:type="dxa"/>
            <w:shd w:val="clear" w:color="auto" w:fill="auto"/>
            <w:vAlign w:val="center"/>
            <w:hideMark/>
          </w:tcPr>
          <w:p w14:paraId="4A6A1D0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Удельный вес показателей (индикаторов), характеризующих конечные результаты или итоговые эффекты</w:t>
            </w:r>
          </w:p>
        </w:tc>
        <w:tc>
          <w:tcPr>
            <w:tcW w:w="1417" w:type="dxa"/>
            <w:shd w:val="clear" w:color="auto" w:fill="auto"/>
            <w:noWrap/>
            <w:vAlign w:val="center"/>
            <w:hideMark/>
          </w:tcPr>
          <w:p w14:paraId="63E9515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75,0 %</w:t>
            </w:r>
            <w:r w:rsidRPr="00FD7B0B">
              <w:rPr>
                <w:sz w:val="18"/>
                <w:szCs w:val="18"/>
              </w:rPr>
              <w:t xml:space="preserve"> </w:t>
            </w:r>
            <w:r w:rsidRPr="00FD7B0B">
              <w:rPr>
                <w:rFonts w:ascii="Times New Roman" w:eastAsia="Times New Roman" w:hAnsi="Times New Roman" w:cs="Times New Roman"/>
                <w:sz w:val="18"/>
                <w:szCs w:val="18"/>
                <w:lang w:eastAsia="ru-RU"/>
              </w:rPr>
              <w:t>средний уровень</w:t>
            </w:r>
          </w:p>
        </w:tc>
      </w:tr>
      <w:tr w:rsidR="00FD7B0B" w:rsidRPr="00FD7B0B" w14:paraId="1A10FC99" w14:textId="77777777" w:rsidTr="00EB3E2F">
        <w:trPr>
          <w:trHeight w:val="126"/>
        </w:trPr>
        <w:tc>
          <w:tcPr>
            <w:tcW w:w="7972" w:type="dxa"/>
            <w:shd w:val="clear" w:color="auto" w:fill="auto"/>
            <w:noWrap/>
            <w:vAlign w:val="center"/>
            <w:hideMark/>
          </w:tcPr>
          <w:p w14:paraId="133CE110"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показателей (индикаторов), характеризующих иные результаты</w:t>
            </w:r>
          </w:p>
        </w:tc>
        <w:tc>
          <w:tcPr>
            <w:tcW w:w="1417" w:type="dxa"/>
            <w:shd w:val="clear" w:color="auto" w:fill="auto"/>
            <w:noWrap/>
            <w:vAlign w:val="center"/>
            <w:hideMark/>
          </w:tcPr>
          <w:p w14:paraId="2192DC0F"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r w:rsidR="00FD7B0B" w:rsidRPr="00FD7B0B" w14:paraId="7A0DCE85" w14:textId="77777777" w:rsidTr="00EB3E2F">
        <w:trPr>
          <w:trHeight w:val="158"/>
        </w:trPr>
        <w:tc>
          <w:tcPr>
            <w:tcW w:w="7972" w:type="dxa"/>
            <w:shd w:val="clear" w:color="auto" w:fill="auto"/>
            <w:noWrap/>
            <w:vAlign w:val="center"/>
            <w:hideMark/>
          </w:tcPr>
          <w:p w14:paraId="18B7488F"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Удельный вес показателей (индикаторов), характеризующих иные результаты</w:t>
            </w:r>
          </w:p>
        </w:tc>
        <w:tc>
          <w:tcPr>
            <w:tcW w:w="1417" w:type="dxa"/>
            <w:shd w:val="clear" w:color="auto" w:fill="auto"/>
            <w:noWrap/>
            <w:vAlign w:val="center"/>
            <w:hideMark/>
          </w:tcPr>
          <w:p w14:paraId="4A675AA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r>
    </w:tbl>
    <w:p w14:paraId="7EB8CF4E" w14:textId="77777777" w:rsidR="00796E61" w:rsidRPr="00FD7B0B" w:rsidRDefault="00796E61" w:rsidP="00796E61">
      <w:pPr>
        <w:spacing w:after="0" w:line="240" w:lineRule="auto"/>
        <w:ind w:firstLine="709"/>
        <w:jc w:val="both"/>
        <w:rPr>
          <w:rFonts w:ascii="Times New Roman" w:eastAsia="Times New Roman" w:hAnsi="Times New Roman" w:cs="Times New Roman"/>
          <w:sz w:val="28"/>
          <w:szCs w:val="28"/>
        </w:rPr>
      </w:pPr>
      <w:r w:rsidRPr="00FD7B0B">
        <w:rPr>
          <w:rFonts w:ascii="Times New Roman" w:eastAsia="Times New Roman" w:hAnsi="Times New Roman" w:cs="Times New Roman"/>
          <w:sz w:val="28"/>
          <w:szCs w:val="28"/>
        </w:rPr>
        <w:tab/>
      </w:r>
    </w:p>
    <w:p w14:paraId="12F5E171" w14:textId="77777777" w:rsidR="00796E61" w:rsidRPr="00FD7B0B" w:rsidRDefault="00796E61" w:rsidP="00796E61">
      <w:pPr>
        <w:spacing w:after="0" w:line="240" w:lineRule="auto"/>
        <w:ind w:firstLine="709"/>
        <w:jc w:val="both"/>
        <w:rPr>
          <w:rFonts w:ascii="Times New Roman" w:eastAsia="Times New Roman" w:hAnsi="Times New Roman" w:cs="Times New Roman"/>
          <w:sz w:val="24"/>
          <w:szCs w:val="24"/>
        </w:rPr>
      </w:pPr>
      <w:r w:rsidRPr="00FD7B0B">
        <w:rPr>
          <w:rFonts w:ascii="Times New Roman" w:eastAsia="Times New Roman" w:hAnsi="Times New Roman" w:cs="Times New Roman"/>
          <w:sz w:val="24"/>
          <w:szCs w:val="24"/>
        </w:rPr>
        <w:t xml:space="preserve">7. Оценка стабильности состава показателей государственной программы </w:t>
      </w:r>
    </w:p>
    <w:tbl>
      <w:tblPr>
        <w:tblStyle w:val="360"/>
        <w:tblW w:w="948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671"/>
        <w:gridCol w:w="3685"/>
        <w:gridCol w:w="2127"/>
      </w:tblGrid>
      <w:tr w:rsidR="00FD7B0B" w:rsidRPr="00FD7B0B" w14:paraId="799A19F9" w14:textId="77777777" w:rsidTr="00796E61">
        <w:trPr>
          <w:trHeight w:val="846"/>
        </w:trPr>
        <w:tc>
          <w:tcPr>
            <w:tcW w:w="3671" w:type="dxa"/>
          </w:tcPr>
          <w:p w14:paraId="7DD67A7F" w14:textId="77777777" w:rsidR="00796E61" w:rsidRPr="00FD7B0B" w:rsidRDefault="00796E61" w:rsidP="00796E61">
            <w:pPr>
              <w:jc w:val="center"/>
              <w:rPr>
                <w:rFonts w:ascii="Times New Roman" w:hAnsi="Times New Roman"/>
                <w:sz w:val="18"/>
                <w:szCs w:val="18"/>
              </w:rPr>
            </w:pPr>
            <w:r w:rsidRPr="00FD7B0B">
              <w:rPr>
                <w:rFonts w:ascii="Times New Roman" w:hAnsi="Times New Roman"/>
                <w:sz w:val="18"/>
                <w:szCs w:val="18"/>
              </w:rPr>
              <w:t>количество показателей ГП № 10 (на 31 декабря отчетного года), достижение которых было запланировано в отчетном году и по которым на протяжении отчетного года не менялась методика их расчета, ед.</w:t>
            </w:r>
          </w:p>
        </w:tc>
        <w:tc>
          <w:tcPr>
            <w:tcW w:w="3685" w:type="dxa"/>
          </w:tcPr>
          <w:p w14:paraId="28266129" w14:textId="77777777" w:rsidR="00796E61" w:rsidRPr="00FD7B0B" w:rsidRDefault="00796E61" w:rsidP="00796E61">
            <w:pPr>
              <w:autoSpaceDE w:val="0"/>
              <w:autoSpaceDN w:val="0"/>
              <w:adjustRightInd w:val="0"/>
              <w:ind w:firstLine="34"/>
              <w:jc w:val="center"/>
              <w:rPr>
                <w:rFonts w:ascii="Times New Roman" w:hAnsi="Times New Roman"/>
                <w:sz w:val="18"/>
                <w:szCs w:val="18"/>
              </w:rPr>
            </w:pPr>
            <w:r w:rsidRPr="00FD7B0B">
              <w:rPr>
                <w:rFonts w:ascii="Times New Roman" w:hAnsi="Times New Roman"/>
                <w:sz w:val="18"/>
                <w:szCs w:val="18"/>
              </w:rPr>
              <w:t xml:space="preserve">общее количество показателей ГП № 10, достижение которых было запланировано в отчетном году хотя бы в одной из редак6ций ГП № 10, утвержденных начиная с начала отчетного года, ед. </w:t>
            </w:r>
          </w:p>
        </w:tc>
        <w:tc>
          <w:tcPr>
            <w:tcW w:w="2127" w:type="dxa"/>
          </w:tcPr>
          <w:p w14:paraId="636A21A8" w14:textId="77777777" w:rsidR="00796E61" w:rsidRPr="00FD7B0B" w:rsidRDefault="00796E61" w:rsidP="00796E61">
            <w:pPr>
              <w:jc w:val="center"/>
              <w:rPr>
                <w:rFonts w:ascii="Times New Roman" w:hAnsi="Times New Roman"/>
                <w:sz w:val="18"/>
                <w:szCs w:val="18"/>
              </w:rPr>
            </w:pPr>
            <w:r w:rsidRPr="00FD7B0B">
              <w:rPr>
                <w:rFonts w:ascii="Times New Roman" w:hAnsi="Times New Roman"/>
                <w:sz w:val="18"/>
                <w:szCs w:val="18"/>
              </w:rPr>
              <w:t>уровень стабильности состава показателей ГП № 10 на протяжении 2024 года, %</w:t>
            </w:r>
          </w:p>
        </w:tc>
      </w:tr>
      <w:tr w:rsidR="00796E61" w:rsidRPr="00FD7B0B" w14:paraId="439EC880" w14:textId="77777777" w:rsidTr="00796E61">
        <w:tc>
          <w:tcPr>
            <w:tcW w:w="3671" w:type="dxa"/>
            <w:shd w:val="clear" w:color="auto" w:fill="auto"/>
          </w:tcPr>
          <w:p w14:paraId="27E34D89" w14:textId="77777777" w:rsidR="00796E61" w:rsidRPr="00FD7B0B" w:rsidRDefault="00796E61" w:rsidP="00796E61">
            <w:pPr>
              <w:jc w:val="center"/>
              <w:rPr>
                <w:rFonts w:ascii="Times New Roman" w:hAnsi="Times New Roman"/>
              </w:rPr>
            </w:pPr>
            <w:r w:rsidRPr="00FD7B0B">
              <w:rPr>
                <w:rFonts w:ascii="Times New Roman" w:hAnsi="Times New Roman"/>
              </w:rPr>
              <w:t>4</w:t>
            </w:r>
          </w:p>
        </w:tc>
        <w:tc>
          <w:tcPr>
            <w:tcW w:w="3685" w:type="dxa"/>
          </w:tcPr>
          <w:p w14:paraId="56223FC8" w14:textId="77777777" w:rsidR="00796E61" w:rsidRPr="00FD7B0B" w:rsidRDefault="00796E61" w:rsidP="00796E61">
            <w:pPr>
              <w:jc w:val="center"/>
              <w:rPr>
                <w:rFonts w:ascii="Times New Roman" w:hAnsi="Times New Roman"/>
              </w:rPr>
            </w:pPr>
            <w:r w:rsidRPr="00FD7B0B">
              <w:rPr>
                <w:rFonts w:ascii="Times New Roman" w:hAnsi="Times New Roman"/>
              </w:rPr>
              <w:t>4</w:t>
            </w:r>
          </w:p>
        </w:tc>
        <w:tc>
          <w:tcPr>
            <w:tcW w:w="2127" w:type="dxa"/>
          </w:tcPr>
          <w:p w14:paraId="7AF5D2A4" w14:textId="77777777" w:rsidR="00796E61" w:rsidRPr="00FD7B0B" w:rsidRDefault="00796E61" w:rsidP="00796E61">
            <w:pPr>
              <w:jc w:val="center"/>
              <w:rPr>
                <w:rFonts w:ascii="Times New Roman" w:hAnsi="Times New Roman"/>
              </w:rPr>
            </w:pPr>
            <w:r w:rsidRPr="00FD7B0B">
              <w:rPr>
                <w:rFonts w:ascii="Times New Roman" w:hAnsi="Times New Roman"/>
              </w:rPr>
              <w:t>100 (высокий)</w:t>
            </w:r>
          </w:p>
        </w:tc>
      </w:tr>
    </w:tbl>
    <w:p w14:paraId="3D7EB822" w14:textId="77777777" w:rsidR="00796E61" w:rsidRPr="00FD7B0B" w:rsidRDefault="00796E61" w:rsidP="00796E61">
      <w:pPr>
        <w:spacing w:after="0" w:line="240" w:lineRule="auto"/>
        <w:jc w:val="both"/>
        <w:rPr>
          <w:rFonts w:ascii="Times New Roman" w:eastAsia="Times New Roman" w:hAnsi="Times New Roman" w:cs="Times New Roman"/>
          <w:sz w:val="28"/>
          <w:szCs w:val="28"/>
        </w:rPr>
      </w:pPr>
    </w:p>
    <w:tbl>
      <w:tblPr>
        <w:tblW w:w="948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215"/>
        <w:gridCol w:w="1267"/>
        <w:gridCol w:w="1001"/>
      </w:tblGrid>
      <w:tr w:rsidR="00FD7B0B" w:rsidRPr="00FD7B0B" w14:paraId="5D6CC519" w14:textId="77777777" w:rsidTr="00EB3E2F">
        <w:trPr>
          <w:trHeight w:val="300"/>
          <w:tblHeader/>
        </w:trPr>
        <w:tc>
          <w:tcPr>
            <w:tcW w:w="7215" w:type="dxa"/>
            <w:shd w:val="clear" w:color="auto" w:fill="auto"/>
            <w:vAlign w:val="center"/>
            <w:hideMark/>
          </w:tcPr>
          <w:p w14:paraId="416ABDD4" w14:textId="77777777" w:rsidR="00796E61" w:rsidRPr="00FD7B0B" w:rsidRDefault="00796E61" w:rsidP="00796E61">
            <w:pPr>
              <w:spacing w:after="0" w:line="240" w:lineRule="auto"/>
              <w:jc w:val="center"/>
              <w:rPr>
                <w:rFonts w:ascii="Times New Roman" w:eastAsia="Times New Roman" w:hAnsi="Times New Roman" w:cs="Times New Roman"/>
                <w:bCs/>
                <w:sz w:val="18"/>
                <w:szCs w:val="18"/>
                <w:lang w:eastAsia="ru-RU"/>
              </w:rPr>
            </w:pPr>
            <w:r w:rsidRPr="00FD7B0B">
              <w:rPr>
                <w:rFonts w:ascii="Times New Roman" w:eastAsia="Times New Roman" w:hAnsi="Times New Roman" w:cs="Times New Roman"/>
                <w:bCs/>
                <w:sz w:val="18"/>
                <w:szCs w:val="18"/>
                <w:lang w:eastAsia="ru-RU"/>
              </w:rPr>
              <w:t>Оценка стабильности состава показателей (индикаторов) за три года</w:t>
            </w:r>
          </w:p>
        </w:tc>
        <w:tc>
          <w:tcPr>
            <w:tcW w:w="1267" w:type="dxa"/>
            <w:shd w:val="clear" w:color="auto" w:fill="auto"/>
            <w:noWrap/>
            <w:vAlign w:val="center"/>
            <w:hideMark/>
          </w:tcPr>
          <w:p w14:paraId="370140D0" w14:textId="77777777" w:rsidR="00796E61" w:rsidRPr="00FD7B0B" w:rsidRDefault="00796E61" w:rsidP="00796E61">
            <w:pPr>
              <w:spacing w:after="0" w:line="240" w:lineRule="auto"/>
              <w:jc w:val="center"/>
              <w:rPr>
                <w:rFonts w:ascii="Times New Roman" w:eastAsia="Calibri" w:hAnsi="Times New Roman" w:cs="Times New Roman"/>
                <w:sz w:val="18"/>
                <w:szCs w:val="18"/>
              </w:rPr>
            </w:pPr>
            <w:r w:rsidRPr="00FD7B0B">
              <w:rPr>
                <w:rFonts w:ascii="Times New Roman" w:eastAsia="Calibri" w:hAnsi="Times New Roman" w:cs="Times New Roman"/>
                <w:sz w:val="18"/>
                <w:szCs w:val="18"/>
              </w:rPr>
              <w:t>Количество, %</w:t>
            </w:r>
          </w:p>
        </w:tc>
        <w:tc>
          <w:tcPr>
            <w:tcW w:w="1001" w:type="dxa"/>
            <w:shd w:val="clear" w:color="auto" w:fill="auto"/>
            <w:noWrap/>
            <w:vAlign w:val="center"/>
            <w:hideMark/>
          </w:tcPr>
          <w:p w14:paraId="46203A6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Уровень</w:t>
            </w:r>
          </w:p>
        </w:tc>
      </w:tr>
      <w:tr w:rsidR="00FD7B0B" w:rsidRPr="00FD7B0B" w14:paraId="3C7D6E1D" w14:textId="77777777" w:rsidTr="00EB3E2F">
        <w:trPr>
          <w:trHeight w:val="379"/>
        </w:trPr>
        <w:tc>
          <w:tcPr>
            <w:tcW w:w="7215" w:type="dxa"/>
            <w:shd w:val="clear" w:color="auto" w:fill="auto"/>
            <w:vAlign w:val="center"/>
            <w:hideMark/>
          </w:tcPr>
          <w:p w14:paraId="30D247D2" w14:textId="77777777" w:rsidR="00796E61" w:rsidRPr="00FD7B0B" w:rsidRDefault="00796E61" w:rsidP="00796E61">
            <w:pPr>
              <w:spacing w:after="0" w:line="240" w:lineRule="auto"/>
              <w:rPr>
                <w:rFonts w:ascii="Times New Roman" w:eastAsia="Times New Roman" w:hAnsi="Times New Roman" w:cs="Times New Roman"/>
                <w:bCs/>
                <w:sz w:val="18"/>
                <w:szCs w:val="18"/>
                <w:lang w:eastAsia="ru-RU"/>
              </w:rPr>
            </w:pPr>
            <w:r w:rsidRPr="00FD7B0B">
              <w:rPr>
                <w:rFonts w:ascii="Times New Roman" w:eastAsia="Times New Roman" w:hAnsi="Times New Roman" w:cs="Times New Roman"/>
                <w:bCs/>
                <w:sz w:val="18"/>
                <w:szCs w:val="18"/>
                <w:lang w:eastAsia="ru-RU"/>
              </w:rPr>
              <w:t xml:space="preserve">Коэффициент стабильности состава показателей (индикаторов) государственной программы </w:t>
            </w:r>
          </w:p>
        </w:tc>
        <w:tc>
          <w:tcPr>
            <w:tcW w:w="1267" w:type="dxa"/>
            <w:shd w:val="clear" w:color="auto" w:fill="auto"/>
            <w:noWrap/>
            <w:vAlign w:val="center"/>
            <w:hideMark/>
          </w:tcPr>
          <w:p w14:paraId="0E1A00CF" w14:textId="77777777" w:rsidR="00796E61" w:rsidRPr="00FD7B0B" w:rsidRDefault="00796E61" w:rsidP="00796E61">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75,0 %</w:t>
            </w:r>
          </w:p>
        </w:tc>
        <w:tc>
          <w:tcPr>
            <w:tcW w:w="1001" w:type="dxa"/>
            <w:shd w:val="clear" w:color="auto" w:fill="auto"/>
            <w:vAlign w:val="center"/>
            <w:hideMark/>
          </w:tcPr>
          <w:p w14:paraId="169DBD8C"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средний уровень</w:t>
            </w:r>
          </w:p>
        </w:tc>
      </w:tr>
      <w:tr w:rsidR="00FD7B0B" w:rsidRPr="00FD7B0B" w14:paraId="758BF615" w14:textId="77777777" w:rsidTr="00EB3E2F">
        <w:trPr>
          <w:trHeight w:val="864"/>
        </w:trPr>
        <w:tc>
          <w:tcPr>
            <w:tcW w:w="7215" w:type="dxa"/>
            <w:shd w:val="clear" w:color="auto" w:fill="auto"/>
            <w:vAlign w:val="center"/>
            <w:hideMark/>
          </w:tcPr>
          <w:p w14:paraId="32F6289A"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показателей (индикаторов), по которым осуществлялся мониторинг в отчетном году и по которым на протяжении трех последних лет (отчетный год и два года, предшествующие отчетному) или с момента начала их мониторинга не изменялась методика их расчета</w:t>
            </w:r>
          </w:p>
        </w:tc>
        <w:tc>
          <w:tcPr>
            <w:tcW w:w="1267" w:type="dxa"/>
            <w:shd w:val="clear" w:color="auto" w:fill="auto"/>
            <w:noWrap/>
            <w:vAlign w:val="center"/>
            <w:hideMark/>
          </w:tcPr>
          <w:p w14:paraId="28805C29"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1001" w:type="dxa"/>
            <w:shd w:val="clear" w:color="auto" w:fill="auto"/>
            <w:noWrap/>
            <w:vAlign w:val="center"/>
            <w:hideMark/>
          </w:tcPr>
          <w:p w14:paraId="5F5C5DEB"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p>
        </w:tc>
      </w:tr>
      <w:tr w:rsidR="00796E61" w:rsidRPr="00FD7B0B" w14:paraId="4C52F7FB" w14:textId="77777777" w:rsidTr="00EB3E2F">
        <w:trPr>
          <w:trHeight w:val="551"/>
        </w:trPr>
        <w:tc>
          <w:tcPr>
            <w:tcW w:w="7215" w:type="dxa"/>
            <w:shd w:val="clear" w:color="auto" w:fill="auto"/>
            <w:vAlign w:val="center"/>
            <w:hideMark/>
          </w:tcPr>
          <w:p w14:paraId="156C6B2F"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Общее количество показателей (индикаторов), по которым хотя бы один раз на протяжении трех последних лет (отчетный год и два года, предшествующие отчетному) осуществлялся их мониторинг</w:t>
            </w:r>
          </w:p>
        </w:tc>
        <w:tc>
          <w:tcPr>
            <w:tcW w:w="1267" w:type="dxa"/>
            <w:shd w:val="clear" w:color="auto" w:fill="auto"/>
            <w:noWrap/>
            <w:vAlign w:val="center"/>
            <w:hideMark/>
          </w:tcPr>
          <w:p w14:paraId="7B589EBF"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w:t>
            </w:r>
          </w:p>
        </w:tc>
        <w:tc>
          <w:tcPr>
            <w:tcW w:w="1001" w:type="dxa"/>
            <w:shd w:val="clear" w:color="auto" w:fill="auto"/>
            <w:noWrap/>
            <w:vAlign w:val="center"/>
            <w:hideMark/>
          </w:tcPr>
          <w:p w14:paraId="11CEF9D4" w14:textId="77777777" w:rsidR="00796E61" w:rsidRPr="00FD7B0B" w:rsidRDefault="00796E61" w:rsidP="00796E61">
            <w:pPr>
              <w:spacing w:after="0" w:line="240" w:lineRule="auto"/>
              <w:jc w:val="center"/>
              <w:rPr>
                <w:rFonts w:ascii="Times New Roman" w:eastAsia="Times New Roman" w:hAnsi="Times New Roman" w:cs="Times New Roman"/>
                <w:sz w:val="20"/>
                <w:szCs w:val="20"/>
                <w:lang w:eastAsia="ru-RU"/>
              </w:rPr>
            </w:pPr>
          </w:p>
        </w:tc>
      </w:tr>
    </w:tbl>
    <w:p w14:paraId="26003A57" w14:textId="77777777" w:rsidR="00796E61" w:rsidRPr="00FD7B0B" w:rsidRDefault="00796E61" w:rsidP="00796E61">
      <w:pPr>
        <w:spacing w:after="0" w:line="240" w:lineRule="auto"/>
        <w:ind w:firstLine="709"/>
        <w:jc w:val="both"/>
        <w:rPr>
          <w:rFonts w:ascii="Times New Roman" w:eastAsia="Times New Roman" w:hAnsi="Times New Roman" w:cs="Times New Roman"/>
          <w:sz w:val="28"/>
          <w:szCs w:val="28"/>
        </w:rPr>
      </w:pPr>
    </w:p>
    <w:p w14:paraId="71CAF37E" w14:textId="77777777" w:rsidR="00796E61" w:rsidRPr="00FD7B0B" w:rsidRDefault="00796E61" w:rsidP="00796E61">
      <w:pPr>
        <w:spacing w:after="0" w:line="240" w:lineRule="auto"/>
        <w:ind w:firstLine="709"/>
        <w:jc w:val="both"/>
        <w:rPr>
          <w:rFonts w:ascii="Times New Roman" w:eastAsia="Times New Roman" w:hAnsi="Times New Roman" w:cs="Times New Roman"/>
          <w:sz w:val="24"/>
          <w:szCs w:val="24"/>
        </w:rPr>
      </w:pPr>
      <w:r w:rsidRPr="00FD7B0B">
        <w:rPr>
          <w:rFonts w:ascii="Times New Roman" w:eastAsia="Times New Roman" w:hAnsi="Times New Roman" w:cs="Times New Roman"/>
          <w:sz w:val="24"/>
          <w:szCs w:val="24"/>
        </w:rPr>
        <w:t xml:space="preserve">9. Оценка динамики плановых (фактических) значений показателей (индикаторов) государственной программы </w:t>
      </w:r>
    </w:p>
    <w:tbl>
      <w:tblPr>
        <w:tblW w:w="946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211"/>
        <w:gridCol w:w="1134"/>
        <w:gridCol w:w="851"/>
        <w:gridCol w:w="2268"/>
      </w:tblGrid>
      <w:tr w:rsidR="00FD7B0B" w:rsidRPr="00FD7B0B" w14:paraId="2C4BAC3A" w14:textId="77777777" w:rsidTr="00796E61">
        <w:trPr>
          <w:trHeight w:hRule="exact" w:val="255"/>
        </w:trPr>
        <w:tc>
          <w:tcPr>
            <w:tcW w:w="9464" w:type="dxa"/>
            <w:gridSpan w:val="4"/>
            <w:shd w:val="clear" w:color="auto" w:fill="auto"/>
            <w:vAlign w:val="center"/>
            <w:hideMark/>
          </w:tcPr>
          <w:p w14:paraId="11EC2B7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Оценка динамики плановых (фактических) значений показателей (индикаторов)</w:t>
            </w:r>
          </w:p>
        </w:tc>
      </w:tr>
      <w:tr w:rsidR="00FD7B0B" w:rsidRPr="00FD7B0B" w14:paraId="1B0357A6" w14:textId="77777777" w:rsidTr="00796E61">
        <w:trPr>
          <w:trHeight w:hRule="exact" w:val="255"/>
        </w:trPr>
        <w:tc>
          <w:tcPr>
            <w:tcW w:w="5211" w:type="dxa"/>
            <w:shd w:val="clear" w:color="auto" w:fill="auto"/>
            <w:noWrap/>
            <w:vAlign w:val="center"/>
            <w:hideMark/>
          </w:tcPr>
          <w:p w14:paraId="6E1AF18D"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lastRenderedPageBreak/>
              <w:t>количество показателей с положительной динамикой</w:t>
            </w:r>
          </w:p>
        </w:tc>
        <w:tc>
          <w:tcPr>
            <w:tcW w:w="1134" w:type="dxa"/>
            <w:shd w:val="clear" w:color="auto" w:fill="auto"/>
            <w:noWrap/>
            <w:vAlign w:val="center"/>
            <w:hideMark/>
          </w:tcPr>
          <w:p w14:paraId="1AB1AF2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w:t>
            </w:r>
          </w:p>
        </w:tc>
        <w:tc>
          <w:tcPr>
            <w:tcW w:w="851" w:type="dxa"/>
            <w:shd w:val="clear" w:color="auto" w:fill="auto"/>
            <w:noWrap/>
            <w:vAlign w:val="center"/>
            <w:hideMark/>
          </w:tcPr>
          <w:p w14:paraId="2D9A1C0D"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33,3 %</w:t>
            </w:r>
          </w:p>
        </w:tc>
        <w:tc>
          <w:tcPr>
            <w:tcW w:w="2268" w:type="dxa"/>
            <w:shd w:val="clear" w:color="auto" w:fill="auto"/>
            <w:noWrap/>
            <w:vAlign w:val="center"/>
            <w:hideMark/>
          </w:tcPr>
          <w:p w14:paraId="0C32FC3D"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p>
        </w:tc>
      </w:tr>
      <w:tr w:rsidR="00FD7B0B" w:rsidRPr="00FD7B0B" w14:paraId="388B15E1" w14:textId="77777777" w:rsidTr="00796E61">
        <w:trPr>
          <w:trHeight w:hRule="exact" w:val="255"/>
        </w:trPr>
        <w:tc>
          <w:tcPr>
            <w:tcW w:w="5211" w:type="dxa"/>
            <w:shd w:val="clear" w:color="auto" w:fill="auto"/>
            <w:noWrap/>
            <w:vAlign w:val="center"/>
            <w:hideMark/>
          </w:tcPr>
          <w:p w14:paraId="6A464A94"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количество показателей без динамики </w:t>
            </w:r>
          </w:p>
        </w:tc>
        <w:tc>
          <w:tcPr>
            <w:tcW w:w="1134" w:type="dxa"/>
            <w:shd w:val="clear" w:color="auto" w:fill="auto"/>
            <w:noWrap/>
            <w:vAlign w:val="center"/>
            <w:hideMark/>
          </w:tcPr>
          <w:p w14:paraId="25A7F05A"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w:t>
            </w:r>
          </w:p>
        </w:tc>
        <w:tc>
          <w:tcPr>
            <w:tcW w:w="851" w:type="dxa"/>
            <w:shd w:val="clear" w:color="auto" w:fill="auto"/>
            <w:noWrap/>
            <w:vAlign w:val="center"/>
            <w:hideMark/>
          </w:tcPr>
          <w:p w14:paraId="36BC6558"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66,7 %</w:t>
            </w:r>
          </w:p>
        </w:tc>
        <w:tc>
          <w:tcPr>
            <w:tcW w:w="2268" w:type="dxa"/>
            <w:shd w:val="clear" w:color="auto" w:fill="auto"/>
            <w:noWrap/>
            <w:vAlign w:val="center"/>
            <w:hideMark/>
          </w:tcPr>
          <w:p w14:paraId="7488A0BB" w14:textId="77777777" w:rsidR="00796E61" w:rsidRPr="00FD7B0B" w:rsidRDefault="00796E61" w:rsidP="00796E61">
            <w:pPr>
              <w:spacing w:after="0" w:line="240" w:lineRule="auto"/>
              <w:jc w:val="right"/>
              <w:rPr>
                <w:rFonts w:ascii="Times New Roman" w:eastAsia="Times New Roman" w:hAnsi="Times New Roman" w:cs="Times New Roman"/>
                <w:sz w:val="18"/>
                <w:szCs w:val="18"/>
                <w:lang w:eastAsia="ru-RU"/>
              </w:rPr>
            </w:pPr>
          </w:p>
        </w:tc>
      </w:tr>
      <w:tr w:rsidR="00FD7B0B" w:rsidRPr="00FD7B0B" w14:paraId="638CEF72" w14:textId="77777777" w:rsidTr="00796E61">
        <w:trPr>
          <w:trHeight w:hRule="exact" w:val="255"/>
        </w:trPr>
        <w:tc>
          <w:tcPr>
            <w:tcW w:w="5211" w:type="dxa"/>
            <w:shd w:val="clear" w:color="auto" w:fill="auto"/>
            <w:noWrap/>
            <w:vAlign w:val="center"/>
            <w:hideMark/>
          </w:tcPr>
          <w:p w14:paraId="4AD31A9A"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количество показателей c отрицательной динамикой </w:t>
            </w:r>
          </w:p>
        </w:tc>
        <w:tc>
          <w:tcPr>
            <w:tcW w:w="1134" w:type="dxa"/>
            <w:shd w:val="clear" w:color="auto" w:fill="auto"/>
            <w:noWrap/>
            <w:vAlign w:val="center"/>
            <w:hideMark/>
          </w:tcPr>
          <w:p w14:paraId="1FB052D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851" w:type="dxa"/>
            <w:shd w:val="clear" w:color="auto" w:fill="auto"/>
            <w:noWrap/>
            <w:vAlign w:val="center"/>
            <w:hideMark/>
          </w:tcPr>
          <w:p w14:paraId="4A662A10" w14:textId="77777777" w:rsidR="00796E61" w:rsidRPr="00FD7B0B" w:rsidRDefault="00796E61" w:rsidP="00796E61">
            <w:pPr>
              <w:spacing w:after="0" w:line="240" w:lineRule="auto"/>
              <w:ind w:left="-76" w:right="-172"/>
              <w:jc w:val="center"/>
              <w:rPr>
                <w:rFonts w:ascii="Times New Roman" w:eastAsia="Times New Roman" w:hAnsi="Times New Roman" w:cs="Times New Roman"/>
                <w:sz w:val="18"/>
                <w:szCs w:val="18"/>
                <w:lang w:eastAsia="ru-RU"/>
              </w:rPr>
            </w:pPr>
          </w:p>
        </w:tc>
        <w:tc>
          <w:tcPr>
            <w:tcW w:w="2268" w:type="dxa"/>
            <w:shd w:val="clear" w:color="auto" w:fill="auto"/>
            <w:vAlign w:val="center"/>
            <w:hideMark/>
          </w:tcPr>
          <w:p w14:paraId="4C68979B"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p>
        </w:tc>
      </w:tr>
      <w:tr w:rsidR="00796E61" w:rsidRPr="00FD7B0B" w14:paraId="59E24ECF" w14:textId="77777777" w:rsidTr="00796E61">
        <w:trPr>
          <w:trHeight w:hRule="exact" w:val="255"/>
        </w:trPr>
        <w:tc>
          <w:tcPr>
            <w:tcW w:w="5211" w:type="dxa"/>
            <w:shd w:val="clear" w:color="auto" w:fill="auto"/>
            <w:vAlign w:val="center"/>
            <w:hideMark/>
          </w:tcPr>
          <w:p w14:paraId="30CAD5F6" w14:textId="77777777" w:rsidR="00796E61" w:rsidRPr="00FD7B0B" w:rsidRDefault="00796E61" w:rsidP="00796E61">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общее количество показателей (индикаторов)</w:t>
            </w:r>
          </w:p>
        </w:tc>
        <w:tc>
          <w:tcPr>
            <w:tcW w:w="1134" w:type="dxa"/>
            <w:shd w:val="clear" w:color="auto" w:fill="auto"/>
            <w:noWrap/>
            <w:vAlign w:val="center"/>
            <w:hideMark/>
          </w:tcPr>
          <w:p w14:paraId="707F0745"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w:t>
            </w:r>
          </w:p>
        </w:tc>
        <w:tc>
          <w:tcPr>
            <w:tcW w:w="851" w:type="dxa"/>
            <w:shd w:val="clear" w:color="auto" w:fill="auto"/>
            <w:noWrap/>
            <w:vAlign w:val="center"/>
          </w:tcPr>
          <w:p w14:paraId="5446D827"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100 %</w:t>
            </w:r>
          </w:p>
        </w:tc>
        <w:tc>
          <w:tcPr>
            <w:tcW w:w="2268" w:type="dxa"/>
            <w:shd w:val="clear" w:color="auto" w:fill="auto"/>
            <w:noWrap/>
            <w:vAlign w:val="center"/>
          </w:tcPr>
          <w:p w14:paraId="3CDF3433" w14:textId="77777777" w:rsidR="00796E61" w:rsidRPr="00FD7B0B" w:rsidRDefault="00796E61" w:rsidP="00796E61">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высокий уровень</w:t>
            </w:r>
          </w:p>
        </w:tc>
      </w:tr>
    </w:tbl>
    <w:p w14:paraId="59F64393" w14:textId="77777777" w:rsidR="00796E61" w:rsidRPr="00FD7B0B" w:rsidRDefault="00796E61" w:rsidP="00796E61">
      <w:pPr>
        <w:spacing w:after="0" w:line="240" w:lineRule="auto"/>
        <w:ind w:firstLine="709"/>
        <w:jc w:val="both"/>
        <w:rPr>
          <w:rFonts w:ascii="Times New Roman" w:eastAsia="Times New Roman" w:hAnsi="Times New Roman" w:cs="Times New Roman"/>
          <w:sz w:val="28"/>
          <w:szCs w:val="28"/>
        </w:rPr>
      </w:pPr>
    </w:p>
    <w:p w14:paraId="578B3937" w14:textId="77777777" w:rsidR="00796E61" w:rsidRPr="00FD7B0B" w:rsidRDefault="00796E61" w:rsidP="00796E61">
      <w:pPr>
        <w:spacing w:after="0" w:line="240" w:lineRule="auto"/>
        <w:ind w:firstLine="709"/>
        <w:jc w:val="both"/>
        <w:rPr>
          <w:rFonts w:ascii="Times New Roman" w:eastAsia="Times New Roman" w:hAnsi="Times New Roman" w:cs="Times New Roman"/>
          <w:sz w:val="24"/>
          <w:szCs w:val="24"/>
        </w:rPr>
      </w:pPr>
      <w:r w:rsidRPr="00FD7B0B">
        <w:rPr>
          <w:rFonts w:ascii="Times New Roman" w:eastAsia="Times New Roman" w:hAnsi="Times New Roman" w:cs="Times New Roman"/>
          <w:sz w:val="24"/>
          <w:szCs w:val="24"/>
        </w:rPr>
        <w:t>10. Оценка количества показателей государственной программы, по которым представлены фактические значения за отчетный год.</w:t>
      </w:r>
    </w:p>
    <w:tbl>
      <w:tblPr>
        <w:tblStyle w:val="a7"/>
        <w:tblW w:w="948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936"/>
        <w:gridCol w:w="2268"/>
        <w:gridCol w:w="3279"/>
      </w:tblGrid>
      <w:tr w:rsidR="00FD7B0B" w:rsidRPr="00FD7B0B" w14:paraId="69891B1C" w14:textId="77777777" w:rsidTr="00796E61">
        <w:trPr>
          <w:trHeight w:val="627"/>
        </w:trPr>
        <w:tc>
          <w:tcPr>
            <w:tcW w:w="3936" w:type="dxa"/>
          </w:tcPr>
          <w:p w14:paraId="131ED284" w14:textId="77777777" w:rsidR="00796E61" w:rsidRPr="00FD7B0B" w:rsidRDefault="00796E61" w:rsidP="00796E61">
            <w:pPr>
              <w:jc w:val="center"/>
              <w:rPr>
                <w:rFonts w:ascii="Times New Roman" w:hAnsi="Times New Roman"/>
                <w:sz w:val="18"/>
                <w:szCs w:val="18"/>
              </w:rPr>
            </w:pPr>
            <w:r w:rsidRPr="00FD7B0B">
              <w:rPr>
                <w:rFonts w:ascii="Times New Roman" w:hAnsi="Times New Roman"/>
                <w:sz w:val="18"/>
                <w:szCs w:val="18"/>
              </w:rPr>
              <w:t>количество показателей ГП №10, по которым представлены фактические значения за 2024 год, ед.</w:t>
            </w:r>
          </w:p>
        </w:tc>
        <w:tc>
          <w:tcPr>
            <w:tcW w:w="2268" w:type="dxa"/>
          </w:tcPr>
          <w:p w14:paraId="207EDC22" w14:textId="77777777" w:rsidR="00796E61" w:rsidRPr="00FD7B0B" w:rsidRDefault="00796E61" w:rsidP="00796E61">
            <w:pPr>
              <w:autoSpaceDE w:val="0"/>
              <w:autoSpaceDN w:val="0"/>
              <w:adjustRightInd w:val="0"/>
              <w:ind w:firstLine="34"/>
              <w:jc w:val="center"/>
              <w:rPr>
                <w:rFonts w:ascii="Times New Roman" w:hAnsi="Times New Roman"/>
                <w:sz w:val="18"/>
                <w:szCs w:val="18"/>
              </w:rPr>
            </w:pPr>
            <w:r w:rsidRPr="00FD7B0B">
              <w:rPr>
                <w:rFonts w:ascii="Times New Roman" w:hAnsi="Times New Roman"/>
                <w:sz w:val="18"/>
                <w:szCs w:val="18"/>
              </w:rPr>
              <w:t>общее количество показателей ГП №10, ед.</w:t>
            </w:r>
          </w:p>
        </w:tc>
        <w:tc>
          <w:tcPr>
            <w:tcW w:w="3279" w:type="dxa"/>
          </w:tcPr>
          <w:p w14:paraId="3DCFD773" w14:textId="77777777" w:rsidR="00796E61" w:rsidRPr="00FD7B0B" w:rsidRDefault="00796E61" w:rsidP="00796E61">
            <w:pPr>
              <w:jc w:val="center"/>
              <w:rPr>
                <w:rFonts w:ascii="Times New Roman" w:hAnsi="Times New Roman"/>
                <w:sz w:val="18"/>
                <w:szCs w:val="18"/>
              </w:rPr>
            </w:pPr>
            <w:r w:rsidRPr="00FD7B0B">
              <w:rPr>
                <w:rFonts w:ascii="Times New Roman" w:hAnsi="Times New Roman"/>
                <w:sz w:val="18"/>
                <w:szCs w:val="18"/>
              </w:rPr>
              <w:t>доля показателей ГП №10, по которым представлены фактические значения за 2024 год, %</w:t>
            </w:r>
          </w:p>
        </w:tc>
      </w:tr>
      <w:tr w:rsidR="00796E61" w:rsidRPr="00FD7B0B" w14:paraId="40531ECA" w14:textId="77777777" w:rsidTr="00796E61">
        <w:tc>
          <w:tcPr>
            <w:tcW w:w="3936" w:type="dxa"/>
          </w:tcPr>
          <w:p w14:paraId="4BE1F430" w14:textId="77777777" w:rsidR="00796E61" w:rsidRPr="00FD7B0B" w:rsidRDefault="00796E61" w:rsidP="00796E61">
            <w:pPr>
              <w:jc w:val="center"/>
              <w:rPr>
                <w:rFonts w:ascii="Times New Roman" w:hAnsi="Times New Roman"/>
              </w:rPr>
            </w:pPr>
            <w:r w:rsidRPr="00FD7B0B">
              <w:rPr>
                <w:rFonts w:ascii="Times New Roman" w:hAnsi="Times New Roman"/>
              </w:rPr>
              <w:t>3</w:t>
            </w:r>
          </w:p>
        </w:tc>
        <w:tc>
          <w:tcPr>
            <w:tcW w:w="2268" w:type="dxa"/>
          </w:tcPr>
          <w:p w14:paraId="3661A84F" w14:textId="77777777" w:rsidR="00796E61" w:rsidRPr="00FD7B0B" w:rsidRDefault="00796E61" w:rsidP="00796E61">
            <w:pPr>
              <w:jc w:val="center"/>
              <w:rPr>
                <w:rFonts w:ascii="Times New Roman" w:hAnsi="Times New Roman"/>
              </w:rPr>
            </w:pPr>
            <w:r w:rsidRPr="00FD7B0B">
              <w:rPr>
                <w:rFonts w:ascii="Times New Roman" w:hAnsi="Times New Roman"/>
              </w:rPr>
              <w:t>4</w:t>
            </w:r>
          </w:p>
        </w:tc>
        <w:tc>
          <w:tcPr>
            <w:tcW w:w="3279" w:type="dxa"/>
          </w:tcPr>
          <w:p w14:paraId="5B82B47E" w14:textId="77777777" w:rsidR="00796E61" w:rsidRPr="00FD7B0B" w:rsidRDefault="00796E61" w:rsidP="00796E61">
            <w:pPr>
              <w:jc w:val="center"/>
              <w:rPr>
                <w:rFonts w:ascii="Times New Roman" w:hAnsi="Times New Roman"/>
              </w:rPr>
            </w:pPr>
            <w:r w:rsidRPr="00FD7B0B">
              <w:rPr>
                <w:rFonts w:ascii="Times New Roman" w:hAnsi="Times New Roman"/>
              </w:rPr>
              <w:t>75 (низкий)</w:t>
            </w:r>
          </w:p>
        </w:tc>
      </w:tr>
    </w:tbl>
    <w:p w14:paraId="4FD0FD21" w14:textId="77777777" w:rsidR="00796E61" w:rsidRPr="00FD7B0B" w:rsidRDefault="00796E61" w:rsidP="00796E61">
      <w:pPr>
        <w:spacing w:after="0" w:line="240" w:lineRule="auto"/>
        <w:ind w:firstLine="709"/>
        <w:jc w:val="both"/>
        <w:rPr>
          <w:rFonts w:ascii="Times New Roman" w:eastAsia="Times New Roman" w:hAnsi="Times New Roman" w:cs="Times New Roman"/>
          <w:sz w:val="28"/>
          <w:szCs w:val="28"/>
        </w:rPr>
      </w:pPr>
    </w:p>
    <w:p w14:paraId="1F8BBB59" w14:textId="77777777" w:rsidR="00796E61" w:rsidRPr="00FD7B0B" w:rsidRDefault="00796E61" w:rsidP="00EB3E2F">
      <w:pPr>
        <w:spacing w:after="0" w:line="240" w:lineRule="auto"/>
        <w:jc w:val="center"/>
        <w:rPr>
          <w:rFonts w:ascii="Times New Roman" w:eastAsia="Times New Roman" w:hAnsi="Times New Roman" w:cs="Times New Roman"/>
          <w:b/>
          <w:sz w:val="28"/>
          <w:szCs w:val="28"/>
        </w:rPr>
      </w:pPr>
      <w:r w:rsidRPr="00FD7B0B">
        <w:rPr>
          <w:rFonts w:ascii="Times New Roman" w:eastAsia="Times New Roman" w:hAnsi="Times New Roman" w:cs="Times New Roman"/>
          <w:b/>
          <w:sz w:val="28"/>
          <w:szCs w:val="28"/>
        </w:rPr>
        <w:t>Итоговая оценка реализации ГП № 10</w:t>
      </w:r>
    </w:p>
    <w:p w14:paraId="4E9F0F70" w14:textId="77777777" w:rsidR="00796E61" w:rsidRPr="00FD7B0B" w:rsidRDefault="00796E61" w:rsidP="00796E61">
      <w:pPr>
        <w:spacing w:after="0" w:line="240" w:lineRule="auto"/>
        <w:ind w:firstLine="709"/>
        <w:jc w:val="both"/>
        <w:rPr>
          <w:rFonts w:ascii="Times New Roman" w:eastAsia="Times New Roman" w:hAnsi="Times New Roman" w:cs="Times New Roman"/>
          <w:sz w:val="24"/>
          <w:szCs w:val="24"/>
        </w:rPr>
      </w:pPr>
      <w:r w:rsidRPr="00FD7B0B">
        <w:rPr>
          <w:rFonts w:ascii="Times New Roman" w:eastAsia="Times New Roman" w:hAnsi="Times New Roman" w:cs="Times New Roman"/>
          <w:sz w:val="24"/>
          <w:szCs w:val="24"/>
        </w:rPr>
        <w:t>Оценка исполнения государственной программы по ресурсам и результатам</w:t>
      </w:r>
    </w:p>
    <w:tbl>
      <w:tblPr>
        <w:tblW w:w="948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102" w:type="dxa"/>
          <w:left w:w="62" w:type="dxa"/>
          <w:bottom w:w="102" w:type="dxa"/>
          <w:right w:w="62" w:type="dxa"/>
        </w:tblCellMar>
        <w:tblLook w:val="04A0" w:firstRow="1" w:lastRow="0" w:firstColumn="1" w:lastColumn="0" w:noHBand="0" w:noVBand="1"/>
      </w:tblPr>
      <w:tblGrid>
        <w:gridCol w:w="1188"/>
        <w:gridCol w:w="1188"/>
        <w:gridCol w:w="1188"/>
        <w:gridCol w:w="1304"/>
        <w:gridCol w:w="1188"/>
        <w:gridCol w:w="1159"/>
        <w:gridCol w:w="850"/>
        <w:gridCol w:w="1418"/>
      </w:tblGrid>
      <w:tr w:rsidR="00FD7B0B" w:rsidRPr="00FD7B0B" w14:paraId="76C081C6" w14:textId="77777777" w:rsidTr="00796E61">
        <w:trPr>
          <w:trHeight w:val="808"/>
        </w:trPr>
        <w:tc>
          <w:tcPr>
            <w:tcW w:w="1188" w:type="dxa"/>
            <w:vMerge w:val="restart"/>
          </w:tcPr>
          <w:p w14:paraId="472007D1"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Оценка кассового исполнения </w:t>
            </w:r>
          </w:p>
        </w:tc>
        <w:tc>
          <w:tcPr>
            <w:tcW w:w="1188" w:type="dxa"/>
            <w:vMerge w:val="restart"/>
          </w:tcPr>
          <w:p w14:paraId="32D8A562"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 объема изменений, внесенных в сводную бюджетную роспись ...</w:t>
            </w:r>
          </w:p>
        </w:tc>
        <w:tc>
          <w:tcPr>
            <w:tcW w:w="2492" w:type="dxa"/>
            <w:gridSpan w:val="2"/>
          </w:tcPr>
          <w:p w14:paraId="3C4D6CE1"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Оценка реализации мероприятий (достижения результатов) структурных элементов </w:t>
            </w:r>
          </w:p>
        </w:tc>
        <w:tc>
          <w:tcPr>
            <w:tcW w:w="2347" w:type="dxa"/>
            <w:gridSpan w:val="2"/>
          </w:tcPr>
          <w:p w14:paraId="0156CA22"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Оценка достижения показателей </w:t>
            </w:r>
          </w:p>
        </w:tc>
        <w:tc>
          <w:tcPr>
            <w:tcW w:w="850" w:type="dxa"/>
            <w:vMerge w:val="restart"/>
          </w:tcPr>
          <w:p w14:paraId="79953E62"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 ввода объектов в эксплуатацию</w:t>
            </w:r>
          </w:p>
        </w:tc>
        <w:tc>
          <w:tcPr>
            <w:tcW w:w="1418" w:type="dxa"/>
            <w:vMerge w:val="restart"/>
          </w:tcPr>
          <w:p w14:paraId="6D87331B"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Итого</w:t>
            </w:r>
          </w:p>
        </w:tc>
      </w:tr>
      <w:tr w:rsidR="00FD7B0B" w:rsidRPr="00FD7B0B" w14:paraId="6BC3C284" w14:textId="77777777" w:rsidTr="00796E61">
        <w:trPr>
          <w:trHeight w:val="1704"/>
        </w:trPr>
        <w:tc>
          <w:tcPr>
            <w:tcW w:w="1188" w:type="dxa"/>
            <w:vMerge/>
          </w:tcPr>
          <w:p w14:paraId="523F8995" w14:textId="77777777" w:rsidR="00796E61" w:rsidRPr="00FD7B0B" w:rsidRDefault="00796E61" w:rsidP="00796E61">
            <w:pPr>
              <w:widowControl w:val="0"/>
              <w:autoSpaceDE w:val="0"/>
              <w:autoSpaceDN w:val="0"/>
              <w:spacing w:after="0" w:line="240" w:lineRule="auto"/>
              <w:rPr>
                <w:rFonts w:ascii="Times New Roman" w:eastAsia="Times New Roman" w:hAnsi="Times New Roman" w:cs="Times New Roman"/>
                <w:sz w:val="20"/>
                <w:szCs w:val="20"/>
                <w:lang w:eastAsia="ru-RU"/>
              </w:rPr>
            </w:pPr>
          </w:p>
        </w:tc>
        <w:tc>
          <w:tcPr>
            <w:tcW w:w="1188" w:type="dxa"/>
            <w:vMerge/>
          </w:tcPr>
          <w:p w14:paraId="6A8DEE52" w14:textId="77777777" w:rsidR="00796E61" w:rsidRPr="00FD7B0B" w:rsidRDefault="00796E61" w:rsidP="00796E61">
            <w:pPr>
              <w:widowControl w:val="0"/>
              <w:autoSpaceDE w:val="0"/>
              <w:autoSpaceDN w:val="0"/>
              <w:spacing w:after="0" w:line="240" w:lineRule="auto"/>
              <w:rPr>
                <w:rFonts w:ascii="Times New Roman" w:eastAsia="Times New Roman" w:hAnsi="Times New Roman" w:cs="Times New Roman"/>
                <w:sz w:val="20"/>
                <w:szCs w:val="20"/>
                <w:lang w:eastAsia="ru-RU"/>
              </w:rPr>
            </w:pPr>
          </w:p>
        </w:tc>
        <w:tc>
          <w:tcPr>
            <w:tcW w:w="1188" w:type="dxa"/>
          </w:tcPr>
          <w:p w14:paraId="61FCADC8"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степень достижения мероприятий (результатов) ...</w:t>
            </w:r>
          </w:p>
        </w:tc>
        <w:tc>
          <w:tcPr>
            <w:tcW w:w="1304" w:type="dxa"/>
          </w:tcPr>
          <w:p w14:paraId="35A3C45F"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справочно </w:t>
            </w:r>
            <w:hyperlink w:anchor="P701">
              <w:r w:rsidRPr="00FD7B0B">
                <w:rPr>
                  <w:rFonts w:ascii="Times New Roman" w:eastAsia="Times New Roman" w:hAnsi="Times New Roman" w:cs="Times New Roman"/>
                  <w:sz w:val="20"/>
                  <w:szCs w:val="20"/>
                  <w:lang w:eastAsia="ru-RU"/>
                </w:rPr>
                <w:t>&lt;*&gt;</w:t>
              </w:r>
            </w:hyperlink>
            <w:r w:rsidRPr="00FD7B0B">
              <w:rPr>
                <w:rFonts w:ascii="Times New Roman" w:eastAsia="Times New Roman" w:hAnsi="Times New Roman" w:cs="Times New Roman"/>
                <w:sz w:val="20"/>
                <w:szCs w:val="20"/>
                <w:lang w:eastAsia="ru-RU"/>
              </w:rPr>
              <w:t>: доля реализованных мероприятий (достигнутых результатов) ...</w:t>
            </w:r>
          </w:p>
        </w:tc>
        <w:tc>
          <w:tcPr>
            <w:tcW w:w="1188" w:type="dxa"/>
          </w:tcPr>
          <w:p w14:paraId="66B14DDF"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степень достижения показателей </w:t>
            </w:r>
          </w:p>
        </w:tc>
        <w:tc>
          <w:tcPr>
            <w:tcW w:w="1159" w:type="dxa"/>
          </w:tcPr>
          <w:p w14:paraId="3B054A4A"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справочно </w:t>
            </w:r>
            <w:hyperlink w:anchor="P701">
              <w:r w:rsidRPr="00FD7B0B">
                <w:rPr>
                  <w:rFonts w:ascii="Times New Roman" w:eastAsia="Times New Roman" w:hAnsi="Times New Roman" w:cs="Times New Roman"/>
                  <w:sz w:val="20"/>
                  <w:szCs w:val="20"/>
                  <w:lang w:eastAsia="ru-RU"/>
                </w:rPr>
                <w:t>&lt;*&gt;</w:t>
              </w:r>
            </w:hyperlink>
            <w:r w:rsidRPr="00FD7B0B">
              <w:rPr>
                <w:rFonts w:ascii="Times New Roman" w:eastAsia="Times New Roman" w:hAnsi="Times New Roman" w:cs="Times New Roman"/>
                <w:sz w:val="20"/>
                <w:szCs w:val="20"/>
                <w:lang w:eastAsia="ru-RU"/>
              </w:rPr>
              <w:t>: доля выполненных показателей ...</w:t>
            </w:r>
          </w:p>
        </w:tc>
        <w:tc>
          <w:tcPr>
            <w:tcW w:w="850" w:type="dxa"/>
            <w:vMerge/>
          </w:tcPr>
          <w:p w14:paraId="54FFD066" w14:textId="77777777" w:rsidR="00796E61" w:rsidRPr="00FD7B0B" w:rsidRDefault="00796E61" w:rsidP="00796E61">
            <w:pPr>
              <w:widowControl w:val="0"/>
              <w:autoSpaceDE w:val="0"/>
              <w:autoSpaceDN w:val="0"/>
              <w:spacing w:after="0" w:line="240" w:lineRule="auto"/>
              <w:rPr>
                <w:rFonts w:ascii="Times New Roman" w:eastAsia="Times New Roman" w:hAnsi="Times New Roman" w:cs="Times New Roman"/>
                <w:sz w:val="20"/>
                <w:szCs w:val="20"/>
                <w:lang w:eastAsia="ru-RU"/>
              </w:rPr>
            </w:pPr>
          </w:p>
        </w:tc>
        <w:tc>
          <w:tcPr>
            <w:tcW w:w="1418" w:type="dxa"/>
            <w:vMerge/>
          </w:tcPr>
          <w:p w14:paraId="74EAB8E3" w14:textId="77777777" w:rsidR="00796E61" w:rsidRPr="00FD7B0B" w:rsidRDefault="00796E61" w:rsidP="00796E61">
            <w:pPr>
              <w:widowControl w:val="0"/>
              <w:autoSpaceDE w:val="0"/>
              <w:autoSpaceDN w:val="0"/>
              <w:spacing w:after="0" w:line="240" w:lineRule="auto"/>
              <w:rPr>
                <w:rFonts w:ascii="Times New Roman" w:eastAsia="Times New Roman" w:hAnsi="Times New Roman" w:cs="Times New Roman"/>
                <w:sz w:val="20"/>
                <w:szCs w:val="20"/>
                <w:lang w:eastAsia="ru-RU"/>
              </w:rPr>
            </w:pPr>
          </w:p>
        </w:tc>
      </w:tr>
      <w:tr w:rsidR="00FD7B0B" w:rsidRPr="00FD7B0B" w14:paraId="3F8352C6" w14:textId="77777777" w:rsidTr="00796E61">
        <w:trPr>
          <w:trHeight w:val="444"/>
        </w:trPr>
        <w:tc>
          <w:tcPr>
            <w:tcW w:w="1188" w:type="dxa"/>
            <w:shd w:val="clear" w:color="auto" w:fill="A8D08D" w:themeFill="accent6" w:themeFillTint="99"/>
            <w:vAlign w:val="center"/>
          </w:tcPr>
          <w:p w14:paraId="500A2B14"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1188" w:type="dxa"/>
            <w:shd w:val="clear" w:color="auto" w:fill="A8D08D" w:themeFill="accent6" w:themeFillTint="99"/>
            <w:vAlign w:val="center"/>
          </w:tcPr>
          <w:p w14:paraId="3123721D"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1188" w:type="dxa"/>
            <w:shd w:val="clear" w:color="auto" w:fill="FFFF00"/>
            <w:vAlign w:val="center"/>
          </w:tcPr>
          <w:p w14:paraId="37DD7FD4"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c>
          <w:tcPr>
            <w:tcW w:w="1304" w:type="dxa"/>
            <w:shd w:val="clear" w:color="auto" w:fill="FFFF00"/>
            <w:vAlign w:val="center"/>
          </w:tcPr>
          <w:p w14:paraId="477DB1D2"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c>
          <w:tcPr>
            <w:tcW w:w="1188" w:type="dxa"/>
            <w:shd w:val="clear" w:color="auto" w:fill="FFFF00"/>
            <w:vAlign w:val="center"/>
          </w:tcPr>
          <w:p w14:paraId="3C1B9BE8"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c>
          <w:tcPr>
            <w:tcW w:w="1159" w:type="dxa"/>
            <w:shd w:val="clear" w:color="auto" w:fill="FFFF00"/>
            <w:vAlign w:val="center"/>
          </w:tcPr>
          <w:p w14:paraId="0A38EC3A"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c>
          <w:tcPr>
            <w:tcW w:w="850" w:type="dxa"/>
            <w:vAlign w:val="center"/>
          </w:tcPr>
          <w:p w14:paraId="44CB117C"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c>
          <w:tcPr>
            <w:tcW w:w="1418" w:type="dxa"/>
            <w:shd w:val="clear" w:color="auto" w:fill="FFFF00"/>
            <w:vAlign w:val="center"/>
          </w:tcPr>
          <w:p w14:paraId="3D6AA687"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Уровень выше среднего</w:t>
            </w:r>
          </w:p>
        </w:tc>
      </w:tr>
    </w:tbl>
    <w:p w14:paraId="105D3A61" w14:textId="77777777" w:rsidR="00EB3E2F" w:rsidRPr="00FD7B0B" w:rsidRDefault="00EB3E2F" w:rsidP="00796E61">
      <w:pPr>
        <w:spacing w:after="0" w:line="240" w:lineRule="auto"/>
        <w:ind w:firstLine="709"/>
        <w:jc w:val="both"/>
        <w:rPr>
          <w:rFonts w:ascii="Times New Roman" w:eastAsia="Times New Roman" w:hAnsi="Times New Roman" w:cs="Times New Roman"/>
          <w:sz w:val="24"/>
          <w:szCs w:val="24"/>
        </w:rPr>
      </w:pPr>
    </w:p>
    <w:p w14:paraId="2C0B4594" w14:textId="77777777" w:rsidR="00796E61" w:rsidRPr="00FD7B0B" w:rsidRDefault="00796E61" w:rsidP="00796E61">
      <w:pPr>
        <w:spacing w:after="0" w:line="240" w:lineRule="auto"/>
        <w:ind w:firstLine="709"/>
        <w:jc w:val="both"/>
        <w:rPr>
          <w:rFonts w:ascii="Times New Roman" w:eastAsia="Times New Roman" w:hAnsi="Times New Roman" w:cs="Times New Roman"/>
          <w:sz w:val="24"/>
          <w:szCs w:val="24"/>
        </w:rPr>
      </w:pPr>
      <w:r w:rsidRPr="00FD7B0B">
        <w:rPr>
          <w:rFonts w:ascii="Times New Roman" w:eastAsia="Times New Roman" w:hAnsi="Times New Roman" w:cs="Times New Roman"/>
          <w:sz w:val="24"/>
          <w:szCs w:val="24"/>
        </w:rPr>
        <w:t>Оценка формирования и использования системы показателей исходя из приоритетов социально-экономического развития РФ и Архангельской области по результатам проверки исполнения государственной программы</w:t>
      </w:r>
    </w:p>
    <w:tbl>
      <w:tblPr>
        <w:tblW w:w="948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102" w:type="dxa"/>
          <w:left w:w="62" w:type="dxa"/>
          <w:bottom w:w="102" w:type="dxa"/>
          <w:right w:w="62" w:type="dxa"/>
        </w:tblCellMar>
        <w:tblLook w:val="04A0" w:firstRow="1" w:lastRow="0" w:firstColumn="1" w:lastColumn="0" w:noHBand="0" w:noVBand="1"/>
      </w:tblPr>
      <w:tblGrid>
        <w:gridCol w:w="1196"/>
        <w:gridCol w:w="1766"/>
        <w:gridCol w:w="1418"/>
        <w:gridCol w:w="1417"/>
        <w:gridCol w:w="2126"/>
        <w:gridCol w:w="1560"/>
      </w:tblGrid>
      <w:tr w:rsidR="00FD7B0B" w:rsidRPr="00FD7B0B" w14:paraId="03AD65C5" w14:textId="77777777" w:rsidTr="00796E61">
        <w:trPr>
          <w:trHeight w:val="1173"/>
        </w:trPr>
        <w:tc>
          <w:tcPr>
            <w:tcW w:w="1196" w:type="dxa"/>
          </w:tcPr>
          <w:p w14:paraId="47791BD4"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 состава показателей ...</w:t>
            </w:r>
          </w:p>
        </w:tc>
        <w:tc>
          <w:tcPr>
            <w:tcW w:w="1766" w:type="dxa"/>
          </w:tcPr>
          <w:p w14:paraId="0C2D5E6C"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 стабильности состава показателей ... на протяжении отчетного года</w:t>
            </w:r>
          </w:p>
        </w:tc>
        <w:tc>
          <w:tcPr>
            <w:tcW w:w="1418" w:type="dxa"/>
          </w:tcPr>
          <w:p w14:paraId="438C16DF"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 стабильности состава показателей ... за три года</w:t>
            </w:r>
          </w:p>
        </w:tc>
        <w:tc>
          <w:tcPr>
            <w:tcW w:w="1417" w:type="dxa"/>
          </w:tcPr>
          <w:p w14:paraId="70564758"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 динамики ... значений показателей ...</w:t>
            </w:r>
          </w:p>
        </w:tc>
        <w:tc>
          <w:tcPr>
            <w:tcW w:w="2126" w:type="dxa"/>
          </w:tcPr>
          <w:p w14:paraId="38FBEF1C"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 количества показателей ..., по которым представлены фактические значения за отчетный год ...</w:t>
            </w:r>
          </w:p>
        </w:tc>
        <w:tc>
          <w:tcPr>
            <w:tcW w:w="1560" w:type="dxa"/>
          </w:tcPr>
          <w:p w14:paraId="3410CDA1"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Итого</w:t>
            </w:r>
          </w:p>
        </w:tc>
      </w:tr>
      <w:tr w:rsidR="00FD7B0B" w:rsidRPr="00FD7B0B" w14:paraId="3CF89C6B" w14:textId="77777777" w:rsidTr="00796E61">
        <w:tc>
          <w:tcPr>
            <w:tcW w:w="1196" w:type="dxa"/>
            <w:shd w:val="clear" w:color="auto" w:fill="FFFF00"/>
            <w:vAlign w:val="center"/>
          </w:tcPr>
          <w:p w14:paraId="2E25E699"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c>
          <w:tcPr>
            <w:tcW w:w="1766" w:type="dxa"/>
            <w:shd w:val="clear" w:color="auto" w:fill="70AD47" w:themeFill="accent6"/>
            <w:vAlign w:val="center"/>
          </w:tcPr>
          <w:p w14:paraId="7F0C3F9D"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1418" w:type="dxa"/>
            <w:shd w:val="clear" w:color="auto" w:fill="FFFF00"/>
            <w:vAlign w:val="center"/>
          </w:tcPr>
          <w:p w14:paraId="13F1678B"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c>
          <w:tcPr>
            <w:tcW w:w="1417" w:type="dxa"/>
            <w:shd w:val="clear" w:color="auto" w:fill="92D050"/>
            <w:vAlign w:val="center"/>
          </w:tcPr>
          <w:p w14:paraId="2F1DFC90"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2126" w:type="dxa"/>
            <w:shd w:val="clear" w:color="auto" w:fill="FF0000"/>
            <w:vAlign w:val="center"/>
          </w:tcPr>
          <w:p w14:paraId="2C6EFB94"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низкий уровень</w:t>
            </w:r>
          </w:p>
        </w:tc>
        <w:tc>
          <w:tcPr>
            <w:tcW w:w="1560" w:type="dxa"/>
            <w:shd w:val="clear" w:color="auto" w:fill="FFFF00"/>
            <w:vAlign w:val="center"/>
          </w:tcPr>
          <w:p w14:paraId="38B61962" w14:textId="77777777" w:rsidR="00796E61" w:rsidRPr="00FD7B0B" w:rsidRDefault="00796E61" w:rsidP="00796E61">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r>
    </w:tbl>
    <w:p w14:paraId="522EE183" w14:textId="4555697C" w:rsidR="00E52911" w:rsidRPr="00FD7B0B" w:rsidRDefault="009B516C" w:rsidP="00E52911">
      <w:pPr>
        <w:pStyle w:val="3"/>
        <w:spacing w:line="240" w:lineRule="auto"/>
        <w:jc w:val="center"/>
        <w:rPr>
          <w:rFonts w:ascii="Times New Roman" w:hAnsi="Times New Roman"/>
          <w:b w:val="0"/>
          <w:sz w:val="28"/>
          <w:szCs w:val="28"/>
          <w:u w:val="single"/>
          <w:lang w:val="ru-RU"/>
        </w:rPr>
      </w:pPr>
      <w:bookmarkStart w:id="137" w:name="_Toc103955389"/>
      <w:bookmarkStart w:id="138" w:name="_Toc198819142"/>
      <w:r w:rsidRPr="00FD7B0B">
        <w:rPr>
          <w:rFonts w:ascii="Times New Roman" w:hAnsi="Times New Roman"/>
          <w:b w:val="0"/>
          <w:sz w:val="28"/>
          <w:szCs w:val="28"/>
          <w:u w:val="single"/>
          <w:lang w:val="ru-RU"/>
        </w:rPr>
        <w:t>4</w:t>
      </w:r>
      <w:r w:rsidR="00E52911"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E52911" w:rsidRPr="00FD7B0B">
        <w:rPr>
          <w:rFonts w:ascii="Times New Roman" w:hAnsi="Times New Roman"/>
          <w:b w:val="0"/>
          <w:sz w:val="28"/>
          <w:szCs w:val="28"/>
          <w:u w:val="single"/>
          <w:lang w:val="ru-RU"/>
        </w:rPr>
        <w:t>.</w:t>
      </w:r>
      <w:r w:rsidR="007F7958" w:rsidRPr="00FD7B0B">
        <w:rPr>
          <w:rFonts w:ascii="Times New Roman" w:hAnsi="Times New Roman"/>
          <w:b w:val="0"/>
          <w:sz w:val="28"/>
          <w:szCs w:val="28"/>
          <w:u w:val="single"/>
          <w:lang w:val="ru-RU"/>
        </w:rPr>
        <w:t>9</w:t>
      </w:r>
      <w:r w:rsidR="00E52911" w:rsidRPr="00FD7B0B">
        <w:rPr>
          <w:rFonts w:ascii="Times New Roman" w:hAnsi="Times New Roman"/>
          <w:b w:val="0"/>
          <w:sz w:val="28"/>
          <w:szCs w:val="28"/>
          <w:u w:val="single"/>
          <w:lang w:val="ru-RU"/>
        </w:rPr>
        <w:t xml:space="preserve">. Государственная программа Архангельской области </w:t>
      </w:r>
      <w:r w:rsidR="0065479F" w:rsidRPr="00FD7B0B">
        <w:rPr>
          <w:rFonts w:ascii="Times New Roman" w:hAnsi="Times New Roman"/>
          <w:b w:val="0"/>
          <w:sz w:val="28"/>
          <w:szCs w:val="28"/>
          <w:u w:val="single"/>
          <w:lang w:val="ru-RU"/>
        </w:rPr>
        <w:t>«</w:t>
      </w:r>
      <w:r w:rsidR="00E52911" w:rsidRPr="00FD7B0B">
        <w:rPr>
          <w:rFonts w:ascii="Times New Roman" w:hAnsi="Times New Roman"/>
          <w:b w:val="0"/>
          <w:sz w:val="28"/>
          <w:szCs w:val="28"/>
          <w:u w:val="single"/>
          <w:lang w:val="ru-RU"/>
        </w:rPr>
        <w:t>Формирование современной городской среды в Архангельской области</w:t>
      </w:r>
      <w:r w:rsidR="0065479F" w:rsidRPr="00FD7B0B">
        <w:rPr>
          <w:rFonts w:ascii="Times New Roman" w:hAnsi="Times New Roman"/>
          <w:b w:val="0"/>
          <w:sz w:val="28"/>
          <w:szCs w:val="28"/>
          <w:u w:val="single"/>
          <w:lang w:val="ru-RU"/>
        </w:rPr>
        <w:t>»</w:t>
      </w:r>
      <w:bookmarkEnd w:id="137"/>
      <w:bookmarkEnd w:id="138"/>
    </w:p>
    <w:p w14:paraId="493642A0" w14:textId="69EF0455"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Государственная программа Архангельской области «</w:t>
      </w:r>
      <w:r w:rsidRPr="00FD7B0B">
        <w:rPr>
          <w:rFonts w:ascii="Times New Roman" w:eastAsia="Times New Roman" w:hAnsi="Times New Roman"/>
          <w:bCs/>
          <w:sz w:val="28"/>
          <w:szCs w:val="28"/>
          <w:lang w:eastAsia="ru-RU"/>
        </w:rPr>
        <w:t>Формирование современной городской среды в Архангельской области</w:t>
      </w:r>
      <w:r w:rsidRPr="00FD7B0B">
        <w:rPr>
          <w:rFonts w:ascii="Times New Roman" w:eastAsia="Times New Roman" w:hAnsi="Times New Roman"/>
          <w:sz w:val="28"/>
          <w:szCs w:val="28"/>
          <w:lang w:eastAsia="ru-RU"/>
        </w:rPr>
        <w:t>» утверждена постановлением Правительства Архангельской области от 22.08.2017 № 330-пп (далее – ГП № 13). Ответственным исполнителем является министерство ТЭК и ЖКХ АО.</w:t>
      </w:r>
    </w:p>
    <w:p w14:paraId="41A6C546" w14:textId="77777777"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ГП № 13 включает в себя следующие структурные элементы:</w:t>
      </w:r>
    </w:p>
    <w:p w14:paraId="35EADD68" w14:textId="77777777" w:rsidR="00511BC5" w:rsidRPr="00FD7B0B" w:rsidRDefault="00511BC5" w:rsidP="00511BC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sz w:val="28"/>
          <w:szCs w:val="28"/>
          <w:lang w:eastAsia="ru-RU"/>
        </w:rPr>
        <w:lastRenderedPageBreak/>
        <w:t xml:space="preserve">1. Проектная часть госпрограммы - </w:t>
      </w:r>
      <w:r w:rsidRPr="00FD7B0B">
        <w:rPr>
          <w:rFonts w:ascii="Times New Roman" w:hAnsi="Times New Roman" w:cs="Times New Roman"/>
          <w:sz w:val="28"/>
          <w:szCs w:val="28"/>
        </w:rPr>
        <w:t>Региональный проект «Формирование комфортной городской среды (Архангельская область)» (далее – РП),</w:t>
      </w:r>
    </w:p>
    <w:p w14:paraId="0E3CA37E" w14:textId="77777777" w:rsidR="00511BC5" w:rsidRPr="00FD7B0B" w:rsidRDefault="00511BC5" w:rsidP="00511BC5">
      <w:pPr>
        <w:pStyle w:val="a8"/>
        <w:ind w:left="0" w:firstLine="709"/>
        <w:jc w:val="both"/>
        <w:rPr>
          <w:sz w:val="28"/>
          <w:szCs w:val="28"/>
        </w:rPr>
      </w:pPr>
      <w:r w:rsidRPr="00FD7B0B">
        <w:rPr>
          <w:sz w:val="28"/>
          <w:szCs w:val="28"/>
        </w:rPr>
        <w:t>2. Процессная часть госпрограммы - комплекс процессных мероприятий «Формирование комфортной городской среды в Архангельской области» (далее – КПМ).</w:t>
      </w:r>
    </w:p>
    <w:p w14:paraId="4758E1E7" w14:textId="17099448"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На реализацию мероприятий в редакции госпрограммы, действующей на 31.12.2024, утверждено финансирование в общей сумме 573,6 млн.руб., что на 107,5 млн.руб. меньше утвержденного финансирования в редакции ГП № 13 на 01.01.2024. Изменения за отчетный период в разрезе структурных элементов и источников финансирования представлены в таблице </w:t>
      </w:r>
      <w:r w:rsidR="0002691E" w:rsidRPr="00FD7B0B">
        <w:rPr>
          <w:rFonts w:ascii="Times New Roman" w:eastAsia="Times New Roman" w:hAnsi="Times New Roman"/>
          <w:sz w:val="28"/>
          <w:szCs w:val="28"/>
          <w:lang w:eastAsia="ru-RU"/>
        </w:rPr>
        <w:t>156</w:t>
      </w:r>
      <w:r w:rsidRPr="00FD7B0B">
        <w:rPr>
          <w:rFonts w:ascii="Times New Roman" w:eastAsia="Times New Roman" w:hAnsi="Times New Roman"/>
          <w:sz w:val="28"/>
          <w:szCs w:val="28"/>
          <w:lang w:eastAsia="ru-RU"/>
        </w:rPr>
        <w:t>.</w:t>
      </w:r>
    </w:p>
    <w:p w14:paraId="37DF3F8C" w14:textId="77777777"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p>
    <w:p w14:paraId="0A95B587" w14:textId="77777777" w:rsidR="00511BC5" w:rsidRPr="00FD7B0B" w:rsidRDefault="00511BC5" w:rsidP="0002691E">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156</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Изменения, внесенные в объемы финансирования мероприятий ГП № 13 в разрезе структурных элементов, млн.руб.</w:t>
      </w: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972"/>
        <w:gridCol w:w="1904"/>
        <w:gridCol w:w="2085"/>
        <w:gridCol w:w="1418"/>
        <w:gridCol w:w="1275"/>
      </w:tblGrid>
      <w:tr w:rsidR="00FD7B0B" w:rsidRPr="00FD7B0B" w14:paraId="37F2E595" w14:textId="77777777" w:rsidTr="00D93602">
        <w:trPr>
          <w:trHeight w:val="389"/>
          <w:tblHeader/>
        </w:trPr>
        <w:tc>
          <w:tcPr>
            <w:tcW w:w="2972" w:type="dxa"/>
            <w:vMerge w:val="restart"/>
            <w:shd w:val="clear" w:color="auto" w:fill="auto"/>
            <w:vAlign w:val="center"/>
            <w:hideMark/>
          </w:tcPr>
          <w:p w14:paraId="2C61C373"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Структурный элемент, источник финансирования</w:t>
            </w:r>
          </w:p>
        </w:tc>
        <w:tc>
          <w:tcPr>
            <w:tcW w:w="1904" w:type="dxa"/>
            <w:vMerge w:val="restart"/>
            <w:shd w:val="clear" w:color="auto" w:fill="auto"/>
            <w:vAlign w:val="center"/>
            <w:hideMark/>
          </w:tcPr>
          <w:p w14:paraId="3D93F097"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Редакция ГП на 01.01.2024</w:t>
            </w:r>
          </w:p>
        </w:tc>
        <w:tc>
          <w:tcPr>
            <w:tcW w:w="2085" w:type="dxa"/>
            <w:vMerge w:val="restart"/>
            <w:shd w:val="clear" w:color="auto" w:fill="auto"/>
            <w:vAlign w:val="center"/>
            <w:hideMark/>
          </w:tcPr>
          <w:p w14:paraId="6F819437"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Редакция ГП на 31.12.2024</w:t>
            </w:r>
          </w:p>
        </w:tc>
        <w:tc>
          <w:tcPr>
            <w:tcW w:w="2693" w:type="dxa"/>
            <w:gridSpan w:val="2"/>
            <w:shd w:val="clear" w:color="auto" w:fill="auto"/>
            <w:vAlign w:val="center"/>
            <w:hideMark/>
          </w:tcPr>
          <w:p w14:paraId="591FE722"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Изменения за отчетный период (+/-)</w:t>
            </w:r>
          </w:p>
        </w:tc>
      </w:tr>
      <w:tr w:rsidR="00FD7B0B" w:rsidRPr="00FD7B0B" w14:paraId="4917D388" w14:textId="77777777" w:rsidTr="00D93602">
        <w:trPr>
          <w:trHeight w:val="157"/>
          <w:tblHeader/>
        </w:trPr>
        <w:tc>
          <w:tcPr>
            <w:tcW w:w="2972" w:type="dxa"/>
            <w:vMerge/>
            <w:vAlign w:val="center"/>
            <w:hideMark/>
          </w:tcPr>
          <w:p w14:paraId="7C5E63FC" w14:textId="77777777" w:rsidR="00511BC5" w:rsidRPr="00FD7B0B" w:rsidRDefault="00511BC5" w:rsidP="00511BC5">
            <w:pPr>
              <w:spacing w:after="0" w:line="240" w:lineRule="auto"/>
              <w:rPr>
                <w:rFonts w:ascii="Times New Roman" w:eastAsia="Times New Roman" w:hAnsi="Times New Roman" w:cs="Times New Roman"/>
                <w:lang w:eastAsia="ru-RU"/>
              </w:rPr>
            </w:pPr>
          </w:p>
        </w:tc>
        <w:tc>
          <w:tcPr>
            <w:tcW w:w="1904" w:type="dxa"/>
            <w:vMerge/>
            <w:vAlign w:val="center"/>
            <w:hideMark/>
          </w:tcPr>
          <w:p w14:paraId="4C2EB91A" w14:textId="77777777" w:rsidR="00511BC5" w:rsidRPr="00FD7B0B" w:rsidRDefault="00511BC5" w:rsidP="00511BC5">
            <w:pPr>
              <w:spacing w:after="0" w:line="240" w:lineRule="auto"/>
              <w:rPr>
                <w:rFonts w:ascii="Times New Roman" w:eastAsia="Times New Roman" w:hAnsi="Times New Roman" w:cs="Times New Roman"/>
                <w:lang w:eastAsia="ru-RU"/>
              </w:rPr>
            </w:pPr>
          </w:p>
        </w:tc>
        <w:tc>
          <w:tcPr>
            <w:tcW w:w="2085" w:type="dxa"/>
            <w:vMerge/>
            <w:vAlign w:val="center"/>
            <w:hideMark/>
          </w:tcPr>
          <w:p w14:paraId="377FEC58" w14:textId="77777777" w:rsidR="00511BC5" w:rsidRPr="00FD7B0B" w:rsidRDefault="00511BC5" w:rsidP="00511BC5">
            <w:pPr>
              <w:spacing w:after="0" w:line="240" w:lineRule="auto"/>
              <w:rPr>
                <w:rFonts w:ascii="Times New Roman" w:eastAsia="Times New Roman" w:hAnsi="Times New Roman" w:cs="Times New Roman"/>
                <w:lang w:eastAsia="ru-RU"/>
              </w:rPr>
            </w:pPr>
          </w:p>
        </w:tc>
        <w:tc>
          <w:tcPr>
            <w:tcW w:w="1418" w:type="dxa"/>
            <w:shd w:val="clear" w:color="auto" w:fill="auto"/>
            <w:vAlign w:val="center"/>
            <w:hideMark/>
          </w:tcPr>
          <w:p w14:paraId="419AB3E6"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1275" w:type="dxa"/>
            <w:shd w:val="clear" w:color="auto" w:fill="auto"/>
            <w:vAlign w:val="center"/>
            <w:hideMark/>
          </w:tcPr>
          <w:p w14:paraId="66F466C7"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r>
      <w:tr w:rsidR="00FD7B0B" w:rsidRPr="00FD7B0B" w14:paraId="5E8449ED" w14:textId="77777777" w:rsidTr="00511BC5">
        <w:trPr>
          <w:trHeight w:val="174"/>
        </w:trPr>
        <w:tc>
          <w:tcPr>
            <w:tcW w:w="2972" w:type="dxa"/>
            <w:shd w:val="clear" w:color="auto" w:fill="auto"/>
            <w:vAlign w:val="center"/>
            <w:hideMark/>
          </w:tcPr>
          <w:p w14:paraId="321AF02F" w14:textId="77777777" w:rsidR="00511BC5" w:rsidRPr="00FD7B0B" w:rsidRDefault="00511BC5" w:rsidP="00511BC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РП </w:t>
            </w:r>
          </w:p>
        </w:tc>
        <w:tc>
          <w:tcPr>
            <w:tcW w:w="1904" w:type="dxa"/>
            <w:shd w:val="clear" w:color="auto" w:fill="auto"/>
            <w:vAlign w:val="center"/>
            <w:hideMark/>
          </w:tcPr>
          <w:p w14:paraId="4E7D0481"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638,9  </w:t>
            </w:r>
          </w:p>
        </w:tc>
        <w:tc>
          <w:tcPr>
            <w:tcW w:w="2085" w:type="dxa"/>
            <w:shd w:val="clear" w:color="auto" w:fill="auto"/>
            <w:vAlign w:val="center"/>
            <w:hideMark/>
          </w:tcPr>
          <w:p w14:paraId="2D22A301"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560,7  </w:t>
            </w:r>
          </w:p>
        </w:tc>
        <w:tc>
          <w:tcPr>
            <w:tcW w:w="1418" w:type="dxa"/>
            <w:shd w:val="clear" w:color="auto" w:fill="auto"/>
            <w:vAlign w:val="center"/>
            <w:hideMark/>
          </w:tcPr>
          <w:p w14:paraId="24D4248C"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-78,20</w:t>
            </w:r>
          </w:p>
        </w:tc>
        <w:tc>
          <w:tcPr>
            <w:tcW w:w="1275" w:type="dxa"/>
            <w:shd w:val="clear" w:color="auto" w:fill="auto"/>
            <w:vAlign w:val="center"/>
            <w:hideMark/>
          </w:tcPr>
          <w:p w14:paraId="798AD7C3"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w:t>
            </w:r>
          </w:p>
        </w:tc>
      </w:tr>
      <w:tr w:rsidR="00FD7B0B" w:rsidRPr="00FD7B0B" w14:paraId="744050C3" w14:textId="77777777" w:rsidTr="00511BC5">
        <w:trPr>
          <w:trHeight w:val="193"/>
        </w:trPr>
        <w:tc>
          <w:tcPr>
            <w:tcW w:w="2972" w:type="dxa"/>
            <w:shd w:val="clear" w:color="auto" w:fill="auto"/>
            <w:vAlign w:val="center"/>
            <w:hideMark/>
          </w:tcPr>
          <w:p w14:paraId="1414ED21" w14:textId="77777777" w:rsidR="00511BC5" w:rsidRPr="00FD7B0B" w:rsidRDefault="00511BC5" w:rsidP="00511BC5">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 областной бюджет</w:t>
            </w:r>
          </w:p>
        </w:tc>
        <w:tc>
          <w:tcPr>
            <w:tcW w:w="1904" w:type="dxa"/>
            <w:shd w:val="clear" w:color="auto" w:fill="auto"/>
            <w:vAlign w:val="center"/>
            <w:hideMark/>
          </w:tcPr>
          <w:p w14:paraId="01D9D146"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632,1  </w:t>
            </w:r>
          </w:p>
        </w:tc>
        <w:tc>
          <w:tcPr>
            <w:tcW w:w="2085" w:type="dxa"/>
            <w:shd w:val="clear" w:color="auto" w:fill="auto"/>
            <w:vAlign w:val="center"/>
            <w:hideMark/>
          </w:tcPr>
          <w:p w14:paraId="1C3E2C72"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553,4  </w:t>
            </w:r>
          </w:p>
        </w:tc>
        <w:tc>
          <w:tcPr>
            <w:tcW w:w="1418" w:type="dxa"/>
            <w:shd w:val="clear" w:color="auto" w:fill="auto"/>
            <w:vAlign w:val="center"/>
            <w:hideMark/>
          </w:tcPr>
          <w:p w14:paraId="183BC5DE"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-78,70</w:t>
            </w:r>
          </w:p>
        </w:tc>
        <w:tc>
          <w:tcPr>
            <w:tcW w:w="1275" w:type="dxa"/>
            <w:shd w:val="clear" w:color="auto" w:fill="auto"/>
            <w:vAlign w:val="center"/>
            <w:hideMark/>
          </w:tcPr>
          <w:p w14:paraId="4822A5D2"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w:t>
            </w:r>
          </w:p>
        </w:tc>
      </w:tr>
      <w:tr w:rsidR="00FD7B0B" w:rsidRPr="00FD7B0B" w14:paraId="698A0294" w14:textId="77777777" w:rsidTr="00511BC5">
        <w:trPr>
          <w:trHeight w:val="68"/>
        </w:trPr>
        <w:tc>
          <w:tcPr>
            <w:tcW w:w="2972" w:type="dxa"/>
            <w:shd w:val="clear" w:color="auto" w:fill="auto"/>
            <w:vAlign w:val="center"/>
            <w:hideMark/>
          </w:tcPr>
          <w:p w14:paraId="6267431F" w14:textId="77777777" w:rsidR="00511BC5" w:rsidRPr="00FD7B0B" w:rsidRDefault="00511BC5" w:rsidP="00511BC5">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местные бюджеты</w:t>
            </w:r>
          </w:p>
        </w:tc>
        <w:tc>
          <w:tcPr>
            <w:tcW w:w="1904" w:type="dxa"/>
            <w:shd w:val="clear" w:color="auto" w:fill="auto"/>
            <w:vAlign w:val="center"/>
            <w:hideMark/>
          </w:tcPr>
          <w:p w14:paraId="2E86E6E3"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6,8  </w:t>
            </w:r>
          </w:p>
        </w:tc>
        <w:tc>
          <w:tcPr>
            <w:tcW w:w="2085" w:type="dxa"/>
            <w:shd w:val="clear" w:color="auto" w:fill="auto"/>
            <w:vAlign w:val="center"/>
            <w:hideMark/>
          </w:tcPr>
          <w:p w14:paraId="08545827"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7,3  </w:t>
            </w:r>
          </w:p>
        </w:tc>
        <w:tc>
          <w:tcPr>
            <w:tcW w:w="1418" w:type="dxa"/>
            <w:shd w:val="clear" w:color="auto" w:fill="auto"/>
            <w:vAlign w:val="center"/>
            <w:hideMark/>
          </w:tcPr>
          <w:p w14:paraId="26C680CC"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0,50</w:t>
            </w:r>
          </w:p>
        </w:tc>
        <w:tc>
          <w:tcPr>
            <w:tcW w:w="1275" w:type="dxa"/>
            <w:shd w:val="clear" w:color="auto" w:fill="auto"/>
            <w:vAlign w:val="center"/>
            <w:hideMark/>
          </w:tcPr>
          <w:p w14:paraId="2847E788"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w:t>
            </w:r>
          </w:p>
        </w:tc>
      </w:tr>
      <w:tr w:rsidR="00FD7B0B" w:rsidRPr="00FD7B0B" w14:paraId="74D5FB14" w14:textId="77777777" w:rsidTr="007C0A55">
        <w:trPr>
          <w:trHeight w:val="183"/>
        </w:trPr>
        <w:tc>
          <w:tcPr>
            <w:tcW w:w="2972" w:type="dxa"/>
            <w:shd w:val="clear" w:color="auto" w:fill="auto"/>
            <w:vAlign w:val="center"/>
            <w:hideMark/>
          </w:tcPr>
          <w:p w14:paraId="6E91CE1D" w14:textId="77777777" w:rsidR="00511BC5" w:rsidRPr="00FD7B0B" w:rsidRDefault="00511BC5" w:rsidP="00511BC5">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w:t>
            </w:r>
          </w:p>
        </w:tc>
        <w:tc>
          <w:tcPr>
            <w:tcW w:w="1904" w:type="dxa"/>
            <w:shd w:val="clear" w:color="auto" w:fill="auto"/>
            <w:vAlign w:val="center"/>
            <w:hideMark/>
          </w:tcPr>
          <w:p w14:paraId="6A9D3361"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42,3  </w:t>
            </w:r>
          </w:p>
        </w:tc>
        <w:tc>
          <w:tcPr>
            <w:tcW w:w="2085" w:type="dxa"/>
            <w:shd w:val="clear" w:color="auto" w:fill="auto"/>
            <w:vAlign w:val="center"/>
            <w:hideMark/>
          </w:tcPr>
          <w:p w14:paraId="2BC91264"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12,946  </w:t>
            </w:r>
          </w:p>
        </w:tc>
        <w:tc>
          <w:tcPr>
            <w:tcW w:w="1418" w:type="dxa"/>
            <w:shd w:val="clear" w:color="auto" w:fill="auto"/>
            <w:vAlign w:val="center"/>
            <w:hideMark/>
          </w:tcPr>
          <w:p w14:paraId="5BD34D5C"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-29,35</w:t>
            </w:r>
          </w:p>
        </w:tc>
        <w:tc>
          <w:tcPr>
            <w:tcW w:w="1275" w:type="dxa"/>
            <w:shd w:val="clear" w:color="auto" w:fill="auto"/>
            <w:vAlign w:val="center"/>
            <w:hideMark/>
          </w:tcPr>
          <w:p w14:paraId="544BA3C1"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69</w:t>
            </w:r>
          </w:p>
        </w:tc>
      </w:tr>
      <w:tr w:rsidR="00FD7B0B" w:rsidRPr="00FD7B0B" w14:paraId="4E9D0F95" w14:textId="77777777" w:rsidTr="00511BC5">
        <w:trPr>
          <w:trHeight w:val="232"/>
        </w:trPr>
        <w:tc>
          <w:tcPr>
            <w:tcW w:w="2972" w:type="dxa"/>
            <w:shd w:val="clear" w:color="auto" w:fill="auto"/>
            <w:vAlign w:val="center"/>
            <w:hideMark/>
          </w:tcPr>
          <w:p w14:paraId="500E118C" w14:textId="77777777" w:rsidR="00511BC5" w:rsidRPr="00FD7B0B" w:rsidRDefault="00511BC5" w:rsidP="00511BC5">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904" w:type="dxa"/>
            <w:shd w:val="clear" w:color="auto" w:fill="auto"/>
            <w:vAlign w:val="center"/>
            <w:hideMark/>
          </w:tcPr>
          <w:p w14:paraId="46C3F543"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40,4  </w:t>
            </w:r>
          </w:p>
        </w:tc>
        <w:tc>
          <w:tcPr>
            <w:tcW w:w="2085" w:type="dxa"/>
            <w:shd w:val="clear" w:color="auto" w:fill="auto"/>
            <w:vAlign w:val="center"/>
            <w:hideMark/>
          </w:tcPr>
          <w:p w14:paraId="66A4D72A"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12,927  </w:t>
            </w:r>
          </w:p>
        </w:tc>
        <w:tc>
          <w:tcPr>
            <w:tcW w:w="1418" w:type="dxa"/>
            <w:shd w:val="clear" w:color="auto" w:fill="auto"/>
            <w:vAlign w:val="center"/>
            <w:hideMark/>
          </w:tcPr>
          <w:p w14:paraId="5CDF5F91"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-27,47</w:t>
            </w:r>
          </w:p>
        </w:tc>
        <w:tc>
          <w:tcPr>
            <w:tcW w:w="1275" w:type="dxa"/>
            <w:shd w:val="clear" w:color="auto" w:fill="auto"/>
            <w:vAlign w:val="center"/>
            <w:hideMark/>
          </w:tcPr>
          <w:p w14:paraId="00621A71"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68</w:t>
            </w:r>
          </w:p>
        </w:tc>
      </w:tr>
      <w:tr w:rsidR="00FD7B0B" w:rsidRPr="00FD7B0B" w14:paraId="7894C619" w14:textId="77777777" w:rsidTr="00511BC5">
        <w:trPr>
          <w:trHeight w:val="109"/>
        </w:trPr>
        <w:tc>
          <w:tcPr>
            <w:tcW w:w="2972" w:type="dxa"/>
            <w:shd w:val="clear" w:color="auto" w:fill="auto"/>
            <w:vAlign w:val="center"/>
            <w:hideMark/>
          </w:tcPr>
          <w:p w14:paraId="7A6B9940" w14:textId="77777777" w:rsidR="00511BC5" w:rsidRPr="00FD7B0B" w:rsidRDefault="00511BC5" w:rsidP="00511BC5">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местные бюджеты</w:t>
            </w:r>
          </w:p>
        </w:tc>
        <w:tc>
          <w:tcPr>
            <w:tcW w:w="1904" w:type="dxa"/>
            <w:shd w:val="clear" w:color="auto" w:fill="auto"/>
            <w:vAlign w:val="center"/>
            <w:hideMark/>
          </w:tcPr>
          <w:p w14:paraId="0CE3177A"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1,9  </w:t>
            </w:r>
          </w:p>
        </w:tc>
        <w:tc>
          <w:tcPr>
            <w:tcW w:w="2085" w:type="dxa"/>
            <w:shd w:val="clear" w:color="auto" w:fill="auto"/>
            <w:vAlign w:val="center"/>
            <w:hideMark/>
          </w:tcPr>
          <w:p w14:paraId="7F085418"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0,019  </w:t>
            </w:r>
          </w:p>
        </w:tc>
        <w:tc>
          <w:tcPr>
            <w:tcW w:w="1418" w:type="dxa"/>
            <w:shd w:val="clear" w:color="auto" w:fill="auto"/>
            <w:vAlign w:val="center"/>
            <w:hideMark/>
          </w:tcPr>
          <w:p w14:paraId="7D8F266F"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-1,88</w:t>
            </w:r>
          </w:p>
        </w:tc>
        <w:tc>
          <w:tcPr>
            <w:tcW w:w="1275" w:type="dxa"/>
            <w:shd w:val="clear" w:color="auto" w:fill="auto"/>
            <w:vAlign w:val="center"/>
            <w:hideMark/>
          </w:tcPr>
          <w:p w14:paraId="77C26B21"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w:t>
            </w:r>
          </w:p>
        </w:tc>
      </w:tr>
      <w:tr w:rsidR="00FD7B0B" w:rsidRPr="00FD7B0B" w14:paraId="411C99A6" w14:textId="77777777" w:rsidTr="00A477ED">
        <w:trPr>
          <w:trHeight w:val="137"/>
        </w:trPr>
        <w:tc>
          <w:tcPr>
            <w:tcW w:w="2972" w:type="dxa"/>
            <w:shd w:val="clear" w:color="auto" w:fill="auto"/>
            <w:vAlign w:val="center"/>
            <w:hideMark/>
          </w:tcPr>
          <w:p w14:paraId="7E80A9AF" w14:textId="77777777" w:rsidR="00511BC5" w:rsidRPr="00FD7B0B" w:rsidRDefault="00511BC5" w:rsidP="00511BC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ИТОГО по ГП № 13</w:t>
            </w:r>
          </w:p>
        </w:tc>
        <w:tc>
          <w:tcPr>
            <w:tcW w:w="1904" w:type="dxa"/>
            <w:shd w:val="clear" w:color="auto" w:fill="auto"/>
            <w:vAlign w:val="center"/>
            <w:hideMark/>
          </w:tcPr>
          <w:p w14:paraId="28FAA17A"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681,1  </w:t>
            </w:r>
          </w:p>
        </w:tc>
        <w:tc>
          <w:tcPr>
            <w:tcW w:w="2085" w:type="dxa"/>
            <w:shd w:val="clear" w:color="auto" w:fill="auto"/>
            <w:vAlign w:val="center"/>
            <w:hideMark/>
          </w:tcPr>
          <w:p w14:paraId="32118563"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573,6  </w:t>
            </w:r>
          </w:p>
        </w:tc>
        <w:tc>
          <w:tcPr>
            <w:tcW w:w="1418" w:type="dxa"/>
            <w:shd w:val="clear" w:color="auto" w:fill="auto"/>
            <w:vAlign w:val="center"/>
            <w:hideMark/>
          </w:tcPr>
          <w:p w14:paraId="6536E60D"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-107,50</w:t>
            </w:r>
          </w:p>
        </w:tc>
        <w:tc>
          <w:tcPr>
            <w:tcW w:w="1275" w:type="dxa"/>
            <w:shd w:val="clear" w:color="auto" w:fill="auto"/>
            <w:vAlign w:val="center"/>
            <w:hideMark/>
          </w:tcPr>
          <w:p w14:paraId="06247EAE" w14:textId="77777777" w:rsidR="00511BC5" w:rsidRPr="00FD7B0B" w:rsidRDefault="00511BC5" w:rsidP="00511BC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16</w:t>
            </w:r>
          </w:p>
        </w:tc>
      </w:tr>
      <w:tr w:rsidR="00FD7B0B" w:rsidRPr="00FD7B0B" w14:paraId="0303BD36" w14:textId="77777777" w:rsidTr="00511BC5">
        <w:trPr>
          <w:trHeight w:val="145"/>
        </w:trPr>
        <w:tc>
          <w:tcPr>
            <w:tcW w:w="2972" w:type="dxa"/>
            <w:shd w:val="clear" w:color="auto" w:fill="auto"/>
            <w:vAlign w:val="center"/>
            <w:hideMark/>
          </w:tcPr>
          <w:p w14:paraId="013F573D" w14:textId="77777777" w:rsidR="00511BC5" w:rsidRPr="00FD7B0B" w:rsidRDefault="00511BC5" w:rsidP="00511BC5">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904" w:type="dxa"/>
            <w:shd w:val="clear" w:color="auto" w:fill="auto"/>
            <w:vAlign w:val="center"/>
            <w:hideMark/>
          </w:tcPr>
          <w:p w14:paraId="76028225"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672,4  </w:t>
            </w:r>
          </w:p>
        </w:tc>
        <w:tc>
          <w:tcPr>
            <w:tcW w:w="2085" w:type="dxa"/>
            <w:shd w:val="clear" w:color="auto" w:fill="auto"/>
            <w:vAlign w:val="center"/>
            <w:hideMark/>
          </w:tcPr>
          <w:p w14:paraId="5947AE1E"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566,3  </w:t>
            </w:r>
          </w:p>
        </w:tc>
        <w:tc>
          <w:tcPr>
            <w:tcW w:w="1418" w:type="dxa"/>
            <w:shd w:val="clear" w:color="auto" w:fill="auto"/>
            <w:vAlign w:val="center"/>
            <w:hideMark/>
          </w:tcPr>
          <w:p w14:paraId="2DEF90D6"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-106,00</w:t>
            </w:r>
          </w:p>
        </w:tc>
        <w:tc>
          <w:tcPr>
            <w:tcW w:w="1275" w:type="dxa"/>
            <w:shd w:val="clear" w:color="auto" w:fill="auto"/>
            <w:vAlign w:val="center"/>
            <w:hideMark/>
          </w:tcPr>
          <w:p w14:paraId="5A9436B6"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w:t>
            </w:r>
          </w:p>
        </w:tc>
      </w:tr>
      <w:tr w:rsidR="00511BC5" w:rsidRPr="00FD7B0B" w14:paraId="138551E1" w14:textId="77777777" w:rsidTr="00511BC5">
        <w:trPr>
          <w:trHeight w:val="162"/>
        </w:trPr>
        <w:tc>
          <w:tcPr>
            <w:tcW w:w="2972" w:type="dxa"/>
            <w:shd w:val="clear" w:color="auto" w:fill="auto"/>
            <w:vAlign w:val="center"/>
            <w:hideMark/>
          </w:tcPr>
          <w:p w14:paraId="417E72F8" w14:textId="77777777" w:rsidR="00511BC5" w:rsidRPr="00FD7B0B" w:rsidRDefault="00511BC5" w:rsidP="00511BC5">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местные бюджеты</w:t>
            </w:r>
          </w:p>
        </w:tc>
        <w:tc>
          <w:tcPr>
            <w:tcW w:w="1904" w:type="dxa"/>
            <w:shd w:val="clear" w:color="auto" w:fill="auto"/>
            <w:vAlign w:val="center"/>
            <w:hideMark/>
          </w:tcPr>
          <w:p w14:paraId="2B0D7056"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8,7  </w:t>
            </w:r>
          </w:p>
        </w:tc>
        <w:tc>
          <w:tcPr>
            <w:tcW w:w="2085" w:type="dxa"/>
            <w:shd w:val="clear" w:color="auto" w:fill="auto"/>
            <w:vAlign w:val="center"/>
            <w:hideMark/>
          </w:tcPr>
          <w:p w14:paraId="3D9B4E5C"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7,3  </w:t>
            </w:r>
          </w:p>
        </w:tc>
        <w:tc>
          <w:tcPr>
            <w:tcW w:w="1418" w:type="dxa"/>
            <w:shd w:val="clear" w:color="auto" w:fill="auto"/>
            <w:vAlign w:val="center"/>
            <w:hideMark/>
          </w:tcPr>
          <w:p w14:paraId="0A1A0554"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-1,50</w:t>
            </w:r>
          </w:p>
        </w:tc>
        <w:tc>
          <w:tcPr>
            <w:tcW w:w="1275" w:type="dxa"/>
            <w:shd w:val="clear" w:color="auto" w:fill="auto"/>
            <w:vAlign w:val="center"/>
            <w:hideMark/>
          </w:tcPr>
          <w:p w14:paraId="234B1C31"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w:t>
            </w:r>
          </w:p>
        </w:tc>
      </w:tr>
    </w:tbl>
    <w:p w14:paraId="7CA2E28D" w14:textId="77777777"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p>
    <w:p w14:paraId="0EBEA8A9" w14:textId="26A90C17"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Согласно проекту отчета </w:t>
      </w:r>
      <w:r w:rsidRPr="00FD7B0B">
        <w:rPr>
          <w:rFonts w:ascii="Times New Roman" w:hAnsi="Times New Roman"/>
          <w:sz w:val="28"/>
          <w:szCs w:val="28"/>
        </w:rPr>
        <w:t xml:space="preserve">о реализации в 2024 году ГП № 13, представленного 11.04.2025 по запросу КСП АО минэкономпром АО, кассовые расходы за счет всех источников составили </w:t>
      </w:r>
      <w:r w:rsidRPr="00FD7B0B">
        <w:rPr>
          <w:rFonts w:ascii="Times New Roman" w:eastAsia="Times New Roman" w:hAnsi="Times New Roman"/>
          <w:sz w:val="28"/>
          <w:szCs w:val="28"/>
          <w:lang w:eastAsia="ru-RU"/>
        </w:rPr>
        <w:t>668,6 млн.руб., из них за счет средств областного бюджет</w:t>
      </w:r>
      <w:r w:rsidR="007B19EE" w:rsidRPr="00FD7B0B">
        <w:rPr>
          <w:rFonts w:ascii="Times New Roman" w:eastAsia="Times New Roman" w:hAnsi="Times New Roman"/>
          <w:sz w:val="28"/>
          <w:szCs w:val="28"/>
          <w:lang w:eastAsia="ru-RU"/>
        </w:rPr>
        <w:t>а</w:t>
      </w:r>
      <w:r w:rsidRPr="00FD7B0B">
        <w:rPr>
          <w:rFonts w:ascii="Times New Roman" w:eastAsia="Times New Roman" w:hAnsi="Times New Roman"/>
          <w:sz w:val="28"/>
          <w:szCs w:val="28"/>
          <w:lang w:eastAsia="ru-RU"/>
        </w:rPr>
        <w:t xml:space="preserve"> 566,3 млн.руб. или 100 % к утвержденным СБР параметрам на 2024 год, из них:</w:t>
      </w:r>
    </w:p>
    <w:p w14:paraId="43590D86" w14:textId="77777777"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РП – всего 655,7 млн.руб., в том числе за счет средств областного бюджета – 553,4 млн.руб. (100 % к СБР),</w:t>
      </w:r>
    </w:p>
    <w:p w14:paraId="4A689503" w14:textId="77777777"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КПМ – всего 12,9 млн.руб., в том числе за счет средств областного бюджета – 12,9 млн.руб. (100 % к СБР).</w:t>
      </w:r>
    </w:p>
    <w:p w14:paraId="29296AEF" w14:textId="77777777"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Расходы областного бюджета на реализацию мероприятий ГП № 13 за 2024 год произведены по видам расходов 520 в сумме 466,3 млн.руб. и 540 в сумме 100,0 млн.руб.</w:t>
      </w:r>
    </w:p>
    <w:p w14:paraId="34F81A4F" w14:textId="77777777"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рамках ГП № 13 в 2024 году реализуется 6 мероприятий, объемы финансирования областного бюджета утверждены и исполнены на 100 % по 4 мероприятиям, по двум мероприятиям бюджетные ассигнования не утверждались.</w:t>
      </w:r>
    </w:p>
    <w:p w14:paraId="2D16071E" w14:textId="77777777" w:rsidR="00511BC5" w:rsidRPr="00FD7B0B" w:rsidRDefault="00511BC5" w:rsidP="00511BC5">
      <w:pPr>
        <w:spacing w:after="0" w:line="240" w:lineRule="auto"/>
        <w:ind w:firstLine="709"/>
        <w:contextualSpacing/>
        <w:jc w:val="both"/>
        <w:rPr>
          <w:rFonts w:ascii="Times New Roman" w:eastAsia="Times New Roman" w:hAnsi="Times New Roman"/>
          <w:sz w:val="24"/>
          <w:szCs w:val="24"/>
          <w:lang w:eastAsia="ru-RU"/>
        </w:rPr>
      </w:pPr>
    </w:p>
    <w:p w14:paraId="411BC923" w14:textId="77777777" w:rsidR="00511BC5" w:rsidRPr="00FD7B0B" w:rsidRDefault="00511BC5" w:rsidP="00511BC5">
      <w:pPr>
        <w:pStyle w:val="aff0"/>
        <w:keepNext/>
        <w:spacing w:after="0" w:line="240" w:lineRule="auto"/>
        <w:jc w:val="both"/>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157</w:t>
      </w:r>
      <w:r w:rsidRPr="00FD7B0B">
        <w:rPr>
          <w:rFonts w:ascii="Times New Roman" w:hAnsi="Times New Roman"/>
          <w:b w:val="0"/>
          <w:sz w:val="24"/>
          <w:szCs w:val="24"/>
        </w:rPr>
        <w:fldChar w:fldCharType="end"/>
      </w:r>
      <w:r w:rsidRPr="00FD7B0B">
        <w:rPr>
          <w:rFonts w:ascii="Times New Roman" w:hAnsi="Times New Roman"/>
          <w:b w:val="0"/>
          <w:sz w:val="24"/>
          <w:szCs w:val="24"/>
        </w:rPr>
        <w:t>. Кассовое исполнение в разрезе мероприятий ГП № 13, млн.руб.</w:t>
      </w:r>
    </w:p>
    <w:tbl>
      <w:tblPr>
        <w:tblW w:w="966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984"/>
        <w:gridCol w:w="709"/>
        <w:gridCol w:w="709"/>
        <w:gridCol w:w="567"/>
        <w:gridCol w:w="709"/>
        <w:gridCol w:w="708"/>
        <w:gridCol w:w="567"/>
        <w:gridCol w:w="567"/>
        <w:gridCol w:w="567"/>
        <w:gridCol w:w="578"/>
      </w:tblGrid>
      <w:tr w:rsidR="00FD7B0B" w:rsidRPr="00FD7B0B" w14:paraId="63981E4F" w14:textId="77777777" w:rsidTr="007B19EE">
        <w:trPr>
          <w:trHeight w:val="34"/>
          <w:tblHeader/>
        </w:trPr>
        <w:tc>
          <w:tcPr>
            <w:tcW w:w="3984" w:type="dxa"/>
            <w:vMerge w:val="restart"/>
            <w:shd w:val="clear" w:color="auto" w:fill="auto"/>
            <w:vAlign w:val="center"/>
            <w:hideMark/>
          </w:tcPr>
          <w:p w14:paraId="6200293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Наименование мероприятия (результата)</w:t>
            </w:r>
          </w:p>
        </w:tc>
        <w:tc>
          <w:tcPr>
            <w:tcW w:w="5681" w:type="dxa"/>
            <w:gridSpan w:val="9"/>
            <w:shd w:val="clear" w:color="auto" w:fill="auto"/>
            <w:vAlign w:val="center"/>
            <w:hideMark/>
          </w:tcPr>
          <w:p w14:paraId="3B3B0E15"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Кассовые расходы </w:t>
            </w:r>
          </w:p>
        </w:tc>
      </w:tr>
      <w:tr w:rsidR="00FD7B0B" w:rsidRPr="00FD7B0B" w14:paraId="59446335" w14:textId="77777777" w:rsidTr="007B19EE">
        <w:trPr>
          <w:trHeight w:val="38"/>
          <w:tblHeader/>
        </w:trPr>
        <w:tc>
          <w:tcPr>
            <w:tcW w:w="3984" w:type="dxa"/>
            <w:vMerge/>
            <w:vAlign w:val="center"/>
            <w:hideMark/>
          </w:tcPr>
          <w:p w14:paraId="5DCF9F01"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p>
        </w:tc>
        <w:tc>
          <w:tcPr>
            <w:tcW w:w="1985" w:type="dxa"/>
            <w:gridSpan w:val="3"/>
            <w:vMerge w:val="restart"/>
            <w:shd w:val="clear" w:color="auto" w:fill="auto"/>
            <w:vAlign w:val="center"/>
            <w:hideMark/>
          </w:tcPr>
          <w:p w14:paraId="0113CF32"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всего</w:t>
            </w:r>
          </w:p>
        </w:tc>
        <w:tc>
          <w:tcPr>
            <w:tcW w:w="3696" w:type="dxa"/>
            <w:gridSpan w:val="6"/>
            <w:shd w:val="clear" w:color="auto" w:fill="auto"/>
            <w:vAlign w:val="center"/>
            <w:hideMark/>
          </w:tcPr>
          <w:p w14:paraId="70005ED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 том числе по источникам</w:t>
            </w:r>
          </w:p>
        </w:tc>
      </w:tr>
      <w:tr w:rsidR="00FD7B0B" w:rsidRPr="00FD7B0B" w14:paraId="6F80F42B" w14:textId="77777777" w:rsidTr="007B19EE">
        <w:trPr>
          <w:trHeight w:val="196"/>
          <w:tblHeader/>
        </w:trPr>
        <w:tc>
          <w:tcPr>
            <w:tcW w:w="3984" w:type="dxa"/>
            <w:vMerge/>
            <w:vAlign w:val="center"/>
            <w:hideMark/>
          </w:tcPr>
          <w:p w14:paraId="2F9ED7AC"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p>
        </w:tc>
        <w:tc>
          <w:tcPr>
            <w:tcW w:w="1985" w:type="dxa"/>
            <w:gridSpan w:val="3"/>
            <w:vMerge/>
            <w:vAlign w:val="center"/>
            <w:hideMark/>
          </w:tcPr>
          <w:p w14:paraId="7BC4BF24"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p>
        </w:tc>
        <w:tc>
          <w:tcPr>
            <w:tcW w:w="1417" w:type="dxa"/>
            <w:gridSpan w:val="2"/>
            <w:shd w:val="clear" w:color="auto" w:fill="auto"/>
            <w:vAlign w:val="center"/>
            <w:hideMark/>
          </w:tcPr>
          <w:p w14:paraId="45E5CA3B"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ОБ</w:t>
            </w:r>
          </w:p>
        </w:tc>
        <w:tc>
          <w:tcPr>
            <w:tcW w:w="1134" w:type="dxa"/>
            <w:gridSpan w:val="2"/>
            <w:shd w:val="clear" w:color="auto" w:fill="auto"/>
            <w:vAlign w:val="center"/>
            <w:hideMark/>
          </w:tcPr>
          <w:p w14:paraId="1B8C008B"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бюджеты МО </w:t>
            </w:r>
          </w:p>
        </w:tc>
        <w:tc>
          <w:tcPr>
            <w:tcW w:w="1145" w:type="dxa"/>
            <w:gridSpan w:val="2"/>
            <w:shd w:val="clear" w:color="auto" w:fill="auto"/>
            <w:vAlign w:val="center"/>
            <w:hideMark/>
          </w:tcPr>
          <w:p w14:paraId="64FD966E"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внебюджетные источники</w:t>
            </w:r>
          </w:p>
        </w:tc>
      </w:tr>
      <w:tr w:rsidR="00FD7B0B" w:rsidRPr="00FD7B0B" w14:paraId="0FBBA8FE" w14:textId="77777777" w:rsidTr="007B19EE">
        <w:trPr>
          <w:trHeight w:val="189"/>
          <w:tblHeader/>
        </w:trPr>
        <w:tc>
          <w:tcPr>
            <w:tcW w:w="3984" w:type="dxa"/>
            <w:vMerge/>
            <w:vAlign w:val="center"/>
            <w:hideMark/>
          </w:tcPr>
          <w:p w14:paraId="4123F947"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p>
        </w:tc>
        <w:tc>
          <w:tcPr>
            <w:tcW w:w="709" w:type="dxa"/>
            <w:shd w:val="clear" w:color="auto" w:fill="auto"/>
            <w:vAlign w:val="center"/>
            <w:hideMark/>
          </w:tcPr>
          <w:p w14:paraId="1C1EE2C0"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СБР</w:t>
            </w:r>
          </w:p>
        </w:tc>
        <w:tc>
          <w:tcPr>
            <w:tcW w:w="709" w:type="dxa"/>
            <w:shd w:val="clear" w:color="auto" w:fill="auto"/>
            <w:vAlign w:val="center"/>
            <w:hideMark/>
          </w:tcPr>
          <w:p w14:paraId="67ED9DF0"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w:t>
            </w:r>
          </w:p>
        </w:tc>
        <w:tc>
          <w:tcPr>
            <w:tcW w:w="567" w:type="dxa"/>
            <w:shd w:val="clear" w:color="auto" w:fill="auto"/>
            <w:vAlign w:val="center"/>
            <w:hideMark/>
          </w:tcPr>
          <w:p w14:paraId="21D0F740"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709" w:type="dxa"/>
            <w:shd w:val="clear" w:color="auto" w:fill="auto"/>
            <w:vAlign w:val="center"/>
            <w:hideMark/>
          </w:tcPr>
          <w:p w14:paraId="68AA1DC7"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СБР</w:t>
            </w:r>
          </w:p>
        </w:tc>
        <w:tc>
          <w:tcPr>
            <w:tcW w:w="708" w:type="dxa"/>
            <w:shd w:val="clear" w:color="auto" w:fill="auto"/>
            <w:vAlign w:val="center"/>
            <w:hideMark/>
          </w:tcPr>
          <w:p w14:paraId="614538BA"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w:t>
            </w:r>
          </w:p>
        </w:tc>
        <w:tc>
          <w:tcPr>
            <w:tcW w:w="567" w:type="dxa"/>
            <w:shd w:val="clear" w:color="auto" w:fill="auto"/>
            <w:vAlign w:val="center"/>
            <w:hideMark/>
          </w:tcPr>
          <w:p w14:paraId="379E24D1"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план </w:t>
            </w:r>
          </w:p>
        </w:tc>
        <w:tc>
          <w:tcPr>
            <w:tcW w:w="567" w:type="dxa"/>
            <w:shd w:val="clear" w:color="auto" w:fill="auto"/>
            <w:vAlign w:val="center"/>
            <w:hideMark/>
          </w:tcPr>
          <w:p w14:paraId="48F73952"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w:t>
            </w:r>
          </w:p>
        </w:tc>
        <w:tc>
          <w:tcPr>
            <w:tcW w:w="567" w:type="dxa"/>
            <w:shd w:val="clear" w:color="auto" w:fill="auto"/>
            <w:vAlign w:val="center"/>
            <w:hideMark/>
          </w:tcPr>
          <w:p w14:paraId="4F5EDEFF"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план </w:t>
            </w:r>
          </w:p>
        </w:tc>
        <w:tc>
          <w:tcPr>
            <w:tcW w:w="578" w:type="dxa"/>
            <w:shd w:val="clear" w:color="auto" w:fill="auto"/>
            <w:vAlign w:val="center"/>
            <w:hideMark/>
          </w:tcPr>
          <w:p w14:paraId="059DBF2C"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w:t>
            </w:r>
          </w:p>
        </w:tc>
      </w:tr>
      <w:tr w:rsidR="00FD7B0B" w:rsidRPr="00FD7B0B" w14:paraId="4F83FC3F" w14:textId="77777777" w:rsidTr="0002691E">
        <w:trPr>
          <w:trHeight w:val="838"/>
        </w:trPr>
        <w:tc>
          <w:tcPr>
            <w:tcW w:w="3984" w:type="dxa"/>
            <w:shd w:val="clear" w:color="auto" w:fill="auto"/>
            <w:vAlign w:val="center"/>
            <w:hideMark/>
          </w:tcPr>
          <w:p w14:paraId="2D4EDFFB"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Реализованы мероприятия по благоустройству общественных территорий (набережные, центральные площади, парки и др.) и иные мероприятия, предусмотренные государственными (муниципальными) программами ФСГС</w:t>
            </w:r>
          </w:p>
        </w:tc>
        <w:tc>
          <w:tcPr>
            <w:tcW w:w="709" w:type="dxa"/>
            <w:shd w:val="clear" w:color="auto" w:fill="auto"/>
            <w:vAlign w:val="center"/>
            <w:hideMark/>
          </w:tcPr>
          <w:p w14:paraId="45F37381"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265,4</w:t>
            </w:r>
          </w:p>
        </w:tc>
        <w:tc>
          <w:tcPr>
            <w:tcW w:w="709" w:type="dxa"/>
            <w:shd w:val="clear" w:color="auto" w:fill="auto"/>
            <w:vAlign w:val="center"/>
            <w:hideMark/>
          </w:tcPr>
          <w:p w14:paraId="27A2F51B"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333,3</w:t>
            </w:r>
          </w:p>
        </w:tc>
        <w:tc>
          <w:tcPr>
            <w:tcW w:w="567" w:type="dxa"/>
            <w:shd w:val="clear" w:color="auto" w:fill="auto"/>
            <w:vAlign w:val="center"/>
            <w:hideMark/>
          </w:tcPr>
          <w:p w14:paraId="31A1CD19"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126</w:t>
            </w:r>
          </w:p>
        </w:tc>
        <w:tc>
          <w:tcPr>
            <w:tcW w:w="709" w:type="dxa"/>
            <w:shd w:val="clear" w:color="auto" w:fill="auto"/>
            <w:vAlign w:val="center"/>
            <w:hideMark/>
          </w:tcPr>
          <w:p w14:paraId="27460C14"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260,2</w:t>
            </w:r>
          </w:p>
        </w:tc>
        <w:tc>
          <w:tcPr>
            <w:tcW w:w="708" w:type="dxa"/>
            <w:shd w:val="clear" w:color="auto" w:fill="auto"/>
            <w:vAlign w:val="center"/>
            <w:hideMark/>
          </w:tcPr>
          <w:p w14:paraId="454A267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260,20</w:t>
            </w:r>
          </w:p>
        </w:tc>
        <w:tc>
          <w:tcPr>
            <w:tcW w:w="567" w:type="dxa"/>
            <w:shd w:val="clear" w:color="auto" w:fill="auto"/>
            <w:vAlign w:val="center"/>
            <w:hideMark/>
          </w:tcPr>
          <w:p w14:paraId="48B397B3"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5,2</w:t>
            </w:r>
          </w:p>
        </w:tc>
        <w:tc>
          <w:tcPr>
            <w:tcW w:w="567" w:type="dxa"/>
            <w:shd w:val="clear" w:color="auto" w:fill="auto"/>
            <w:vAlign w:val="center"/>
            <w:hideMark/>
          </w:tcPr>
          <w:p w14:paraId="2CCF8565"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70,1</w:t>
            </w:r>
          </w:p>
        </w:tc>
        <w:tc>
          <w:tcPr>
            <w:tcW w:w="567" w:type="dxa"/>
            <w:shd w:val="clear" w:color="auto" w:fill="auto"/>
            <w:vAlign w:val="center"/>
            <w:hideMark/>
          </w:tcPr>
          <w:p w14:paraId="303D4597"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78" w:type="dxa"/>
            <w:shd w:val="clear" w:color="auto" w:fill="auto"/>
            <w:vAlign w:val="center"/>
            <w:hideMark/>
          </w:tcPr>
          <w:p w14:paraId="39A379CA"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2,9</w:t>
            </w:r>
          </w:p>
        </w:tc>
      </w:tr>
      <w:tr w:rsidR="00FD7B0B" w:rsidRPr="00FD7B0B" w14:paraId="3A7AC510" w14:textId="77777777" w:rsidTr="0002691E">
        <w:trPr>
          <w:trHeight w:val="468"/>
        </w:trPr>
        <w:tc>
          <w:tcPr>
            <w:tcW w:w="3984" w:type="dxa"/>
            <w:shd w:val="clear" w:color="auto" w:fill="auto"/>
            <w:vAlign w:val="center"/>
            <w:hideMark/>
          </w:tcPr>
          <w:p w14:paraId="1570C9C4"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Реализованы проекты победителей Всероссийского конкурса лучших проектов создания комфортной городской среды в малых городах и ист. поселениях</w:t>
            </w:r>
          </w:p>
        </w:tc>
        <w:tc>
          <w:tcPr>
            <w:tcW w:w="709" w:type="dxa"/>
            <w:shd w:val="clear" w:color="auto" w:fill="auto"/>
            <w:vAlign w:val="center"/>
            <w:hideMark/>
          </w:tcPr>
          <w:p w14:paraId="22F9259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295,3</w:t>
            </w:r>
          </w:p>
        </w:tc>
        <w:tc>
          <w:tcPr>
            <w:tcW w:w="709" w:type="dxa"/>
            <w:shd w:val="clear" w:color="auto" w:fill="auto"/>
            <w:vAlign w:val="center"/>
            <w:hideMark/>
          </w:tcPr>
          <w:p w14:paraId="4B24E7D4"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322,4</w:t>
            </w:r>
          </w:p>
        </w:tc>
        <w:tc>
          <w:tcPr>
            <w:tcW w:w="567" w:type="dxa"/>
            <w:shd w:val="clear" w:color="auto" w:fill="auto"/>
            <w:vAlign w:val="center"/>
            <w:hideMark/>
          </w:tcPr>
          <w:p w14:paraId="61DE8A27"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109</w:t>
            </w:r>
          </w:p>
        </w:tc>
        <w:tc>
          <w:tcPr>
            <w:tcW w:w="709" w:type="dxa"/>
            <w:shd w:val="clear" w:color="auto" w:fill="auto"/>
            <w:vAlign w:val="center"/>
            <w:hideMark/>
          </w:tcPr>
          <w:p w14:paraId="3166E7B7"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293,2</w:t>
            </w:r>
          </w:p>
        </w:tc>
        <w:tc>
          <w:tcPr>
            <w:tcW w:w="708" w:type="dxa"/>
            <w:shd w:val="clear" w:color="auto" w:fill="auto"/>
            <w:vAlign w:val="center"/>
            <w:hideMark/>
          </w:tcPr>
          <w:p w14:paraId="53D42063"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293,2</w:t>
            </w:r>
          </w:p>
        </w:tc>
        <w:tc>
          <w:tcPr>
            <w:tcW w:w="567" w:type="dxa"/>
            <w:shd w:val="clear" w:color="auto" w:fill="auto"/>
            <w:vAlign w:val="center"/>
            <w:hideMark/>
          </w:tcPr>
          <w:p w14:paraId="0BEB45B1"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2,1</w:t>
            </w:r>
          </w:p>
        </w:tc>
        <w:tc>
          <w:tcPr>
            <w:tcW w:w="567" w:type="dxa"/>
            <w:shd w:val="clear" w:color="auto" w:fill="auto"/>
            <w:vAlign w:val="center"/>
            <w:hideMark/>
          </w:tcPr>
          <w:p w14:paraId="5BDD54F7"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12,1</w:t>
            </w:r>
          </w:p>
        </w:tc>
        <w:tc>
          <w:tcPr>
            <w:tcW w:w="567" w:type="dxa"/>
            <w:shd w:val="clear" w:color="auto" w:fill="auto"/>
            <w:vAlign w:val="center"/>
            <w:hideMark/>
          </w:tcPr>
          <w:p w14:paraId="55117460"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78" w:type="dxa"/>
            <w:shd w:val="clear" w:color="auto" w:fill="auto"/>
            <w:vAlign w:val="center"/>
            <w:hideMark/>
          </w:tcPr>
          <w:p w14:paraId="19AA6F41"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17,1</w:t>
            </w:r>
          </w:p>
        </w:tc>
      </w:tr>
      <w:tr w:rsidR="00FD7B0B" w:rsidRPr="00FD7B0B" w14:paraId="2A085F7C" w14:textId="77777777" w:rsidTr="00511BC5">
        <w:trPr>
          <w:trHeight w:val="42"/>
        </w:trPr>
        <w:tc>
          <w:tcPr>
            <w:tcW w:w="3984" w:type="dxa"/>
            <w:shd w:val="clear" w:color="auto" w:fill="auto"/>
            <w:vAlign w:val="center"/>
            <w:hideMark/>
          </w:tcPr>
          <w:p w14:paraId="12E6D659"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 по РП</w:t>
            </w:r>
          </w:p>
        </w:tc>
        <w:tc>
          <w:tcPr>
            <w:tcW w:w="709" w:type="dxa"/>
            <w:shd w:val="clear" w:color="auto" w:fill="auto"/>
            <w:vAlign w:val="center"/>
            <w:hideMark/>
          </w:tcPr>
          <w:p w14:paraId="3CB9DE83"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560,7</w:t>
            </w:r>
          </w:p>
        </w:tc>
        <w:tc>
          <w:tcPr>
            <w:tcW w:w="709" w:type="dxa"/>
            <w:shd w:val="clear" w:color="auto" w:fill="auto"/>
            <w:vAlign w:val="center"/>
            <w:hideMark/>
          </w:tcPr>
          <w:p w14:paraId="419A1AB0"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655,7</w:t>
            </w:r>
          </w:p>
        </w:tc>
        <w:tc>
          <w:tcPr>
            <w:tcW w:w="567" w:type="dxa"/>
            <w:shd w:val="clear" w:color="auto" w:fill="auto"/>
            <w:vAlign w:val="center"/>
            <w:hideMark/>
          </w:tcPr>
          <w:p w14:paraId="4FFE9645"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117</w:t>
            </w:r>
          </w:p>
        </w:tc>
        <w:tc>
          <w:tcPr>
            <w:tcW w:w="709" w:type="dxa"/>
            <w:shd w:val="clear" w:color="auto" w:fill="auto"/>
            <w:vAlign w:val="center"/>
            <w:hideMark/>
          </w:tcPr>
          <w:p w14:paraId="74D7C814"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553,4</w:t>
            </w:r>
          </w:p>
        </w:tc>
        <w:tc>
          <w:tcPr>
            <w:tcW w:w="708" w:type="dxa"/>
            <w:shd w:val="clear" w:color="auto" w:fill="auto"/>
            <w:vAlign w:val="center"/>
            <w:hideMark/>
          </w:tcPr>
          <w:p w14:paraId="1523A081"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553,4</w:t>
            </w:r>
          </w:p>
        </w:tc>
        <w:tc>
          <w:tcPr>
            <w:tcW w:w="567" w:type="dxa"/>
            <w:shd w:val="clear" w:color="auto" w:fill="auto"/>
            <w:vAlign w:val="center"/>
            <w:hideMark/>
          </w:tcPr>
          <w:p w14:paraId="12D12472"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7,3</w:t>
            </w:r>
          </w:p>
        </w:tc>
        <w:tc>
          <w:tcPr>
            <w:tcW w:w="567" w:type="dxa"/>
            <w:shd w:val="clear" w:color="auto" w:fill="auto"/>
            <w:vAlign w:val="center"/>
            <w:hideMark/>
          </w:tcPr>
          <w:p w14:paraId="7C6FEA00"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82,2</w:t>
            </w:r>
          </w:p>
        </w:tc>
        <w:tc>
          <w:tcPr>
            <w:tcW w:w="567" w:type="dxa"/>
            <w:shd w:val="clear" w:color="auto" w:fill="auto"/>
            <w:vAlign w:val="center"/>
            <w:hideMark/>
          </w:tcPr>
          <w:p w14:paraId="6C70F1D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78" w:type="dxa"/>
            <w:shd w:val="clear" w:color="auto" w:fill="auto"/>
            <w:vAlign w:val="center"/>
            <w:hideMark/>
          </w:tcPr>
          <w:p w14:paraId="43FBB2D5"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20,0  </w:t>
            </w:r>
          </w:p>
        </w:tc>
      </w:tr>
      <w:tr w:rsidR="00FD7B0B" w:rsidRPr="00FD7B0B" w14:paraId="232F59E5" w14:textId="77777777" w:rsidTr="00511BC5">
        <w:trPr>
          <w:trHeight w:val="585"/>
        </w:trPr>
        <w:tc>
          <w:tcPr>
            <w:tcW w:w="3984" w:type="dxa"/>
            <w:shd w:val="clear" w:color="auto" w:fill="auto"/>
            <w:vAlign w:val="center"/>
            <w:hideMark/>
          </w:tcPr>
          <w:p w14:paraId="1E43E42D"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Проведены на территории МО АО по информационному освещению Всероссийского онлайн-голосования по выбору общественных территорий, планируемых к благоустройству</w:t>
            </w:r>
          </w:p>
        </w:tc>
        <w:tc>
          <w:tcPr>
            <w:tcW w:w="709" w:type="dxa"/>
            <w:shd w:val="clear" w:color="auto" w:fill="auto"/>
            <w:vAlign w:val="center"/>
            <w:hideMark/>
          </w:tcPr>
          <w:p w14:paraId="2D955AC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2,98</w:t>
            </w:r>
          </w:p>
        </w:tc>
        <w:tc>
          <w:tcPr>
            <w:tcW w:w="709" w:type="dxa"/>
            <w:shd w:val="clear" w:color="auto" w:fill="auto"/>
            <w:vAlign w:val="center"/>
            <w:hideMark/>
          </w:tcPr>
          <w:p w14:paraId="55C95D1D"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2,98</w:t>
            </w:r>
          </w:p>
        </w:tc>
        <w:tc>
          <w:tcPr>
            <w:tcW w:w="567" w:type="dxa"/>
            <w:shd w:val="clear" w:color="auto" w:fill="auto"/>
            <w:vAlign w:val="center"/>
            <w:hideMark/>
          </w:tcPr>
          <w:p w14:paraId="2905F7E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c>
          <w:tcPr>
            <w:tcW w:w="709" w:type="dxa"/>
            <w:shd w:val="clear" w:color="auto" w:fill="auto"/>
            <w:vAlign w:val="center"/>
            <w:hideMark/>
          </w:tcPr>
          <w:p w14:paraId="6505297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2,9</w:t>
            </w:r>
          </w:p>
        </w:tc>
        <w:tc>
          <w:tcPr>
            <w:tcW w:w="708" w:type="dxa"/>
            <w:shd w:val="clear" w:color="auto" w:fill="auto"/>
            <w:vAlign w:val="center"/>
            <w:hideMark/>
          </w:tcPr>
          <w:p w14:paraId="1215C448"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2,9</w:t>
            </w:r>
          </w:p>
        </w:tc>
        <w:tc>
          <w:tcPr>
            <w:tcW w:w="567" w:type="dxa"/>
            <w:shd w:val="clear" w:color="auto" w:fill="auto"/>
            <w:vAlign w:val="center"/>
            <w:hideMark/>
          </w:tcPr>
          <w:p w14:paraId="6817BB25"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0,01</w:t>
            </w:r>
          </w:p>
        </w:tc>
        <w:tc>
          <w:tcPr>
            <w:tcW w:w="567" w:type="dxa"/>
            <w:shd w:val="clear" w:color="auto" w:fill="auto"/>
            <w:vAlign w:val="center"/>
            <w:hideMark/>
          </w:tcPr>
          <w:p w14:paraId="71737519"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0,01</w:t>
            </w:r>
          </w:p>
        </w:tc>
        <w:tc>
          <w:tcPr>
            <w:tcW w:w="567" w:type="dxa"/>
            <w:shd w:val="clear" w:color="auto" w:fill="auto"/>
            <w:vAlign w:val="center"/>
            <w:hideMark/>
          </w:tcPr>
          <w:p w14:paraId="7560272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78" w:type="dxa"/>
            <w:shd w:val="clear" w:color="auto" w:fill="auto"/>
            <w:vAlign w:val="center"/>
            <w:hideMark/>
          </w:tcPr>
          <w:p w14:paraId="04CC0D85"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r>
      <w:tr w:rsidR="00FD7B0B" w:rsidRPr="00FD7B0B" w14:paraId="4C2683F5" w14:textId="77777777" w:rsidTr="00511BC5">
        <w:trPr>
          <w:trHeight w:val="368"/>
        </w:trPr>
        <w:tc>
          <w:tcPr>
            <w:tcW w:w="3984" w:type="dxa"/>
            <w:shd w:val="clear" w:color="auto" w:fill="auto"/>
            <w:vAlign w:val="center"/>
            <w:hideMark/>
          </w:tcPr>
          <w:p w14:paraId="6A9870F8"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Реализованы дополнительные мероприятия по благоустройству территорий МО АО</w:t>
            </w:r>
          </w:p>
        </w:tc>
        <w:tc>
          <w:tcPr>
            <w:tcW w:w="709" w:type="dxa"/>
            <w:shd w:val="clear" w:color="auto" w:fill="auto"/>
            <w:vAlign w:val="center"/>
            <w:hideMark/>
          </w:tcPr>
          <w:p w14:paraId="7532BE92"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9,95</w:t>
            </w:r>
          </w:p>
        </w:tc>
        <w:tc>
          <w:tcPr>
            <w:tcW w:w="709" w:type="dxa"/>
            <w:shd w:val="clear" w:color="auto" w:fill="auto"/>
            <w:vAlign w:val="center"/>
            <w:hideMark/>
          </w:tcPr>
          <w:p w14:paraId="36C5D722"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9,95</w:t>
            </w:r>
          </w:p>
        </w:tc>
        <w:tc>
          <w:tcPr>
            <w:tcW w:w="567" w:type="dxa"/>
            <w:shd w:val="clear" w:color="auto" w:fill="auto"/>
            <w:vAlign w:val="center"/>
            <w:hideMark/>
          </w:tcPr>
          <w:p w14:paraId="5EDB0300"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c>
          <w:tcPr>
            <w:tcW w:w="709" w:type="dxa"/>
            <w:shd w:val="clear" w:color="auto" w:fill="auto"/>
            <w:vAlign w:val="center"/>
            <w:hideMark/>
          </w:tcPr>
          <w:p w14:paraId="130EF410"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9,9</w:t>
            </w:r>
          </w:p>
        </w:tc>
        <w:tc>
          <w:tcPr>
            <w:tcW w:w="708" w:type="dxa"/>
            <w:shd w:val="clear" w:color="auto" w:fill="auto"/>
            <w:vAlign w:val="center"/>
            <w:hideMark/>
          </w:tcPr>
          <w:p w14:paraId="3FB5D437"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9,9</w:t>
            </w:r>
          </w:p>
        </w:tc>
        <w:tc>
          <w:tcPr>
            <w:tcW w:w="567" w:type="dxa"/>
            <w:shd w:val="clear" w:color="auto" w:fill="auto"/>
            <w:vAlign w:val="center"/>
            <w:hideMark/>
          </w:tcPr>
          <w:p w14:paraId="3D9B29FB"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04A66086"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7DD19C17"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78" w:type="dxa"/>
            <w:shd w:val="clear" w:color="auto" w:fill="auto"/>
            <w:vAlign w:val="center"/>
            <w:hideMark/>
          </w:tcPr>
          <w:p w14:paraId="6D5E0D06"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r>
      <w:tr w:rsidR="00FD7B0B" w:rsidRPr="00FD7B0B" w14:paraId="357F9967" w14:textId="77777777" w:rsidTr="00511BC5">
        <w:trPr>
          <w:trHeight w:val="75"/>
        </w:trPr>
        <w:tc>
          <w:tcPr>
            <w:tcW w:w="3984" w:type="dxa"/>
            <w:shd w:val="clear" w:color="auto" w:fill="auto"/>
            <w:vAlign w:val="center"/>
            <w:hideMark/>
          </w:tcPr>
          <w:p w14:paraId="7CA133AE"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 по КПМ</w:t>
            </w:r>
          </w:p>
        </w:tc>
        <w:tc>
          <w:tcPr>
            <w:tcW w:w="709" w:type="dxa"/>
            <w:shd w:val="clear" w:color="auto" w:fill="auto"/>
            <w:vAlign w:val="center"/>
            <w:hideMark/>
          </w:tcPr>
          <w:p w14:paraId="4F4886B5"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12,95</w:t>
            </w:r>
          </w:p>
        </w:tc>
        <w:tc>
          <w:tcPr>
            <w:tcW w:w="709" w:type="dxa"/>
            <w:shd w:val="clear" w:color="auto" w:fill="auto"/>
            <w:vAlign w:val="center"/>
            <w:hideMark/>
          </w:tcPr>
          <w:p w14:paraId="2C64A832"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12,95</w:t>
            </w:r>
          </w:p>
        </w:tc>
        <w:tc>
          <w:tcPr>
            <w:tcW w:w="567" w:type="dxa"/>
            <w:shd w:val="clear" w:color="auto" w:fill="auto"/>
            <w:vAlign w:val="center"/>
            <w:hideMark/>
          </w:tcPr>
          <w:p w14:paraId="2C9542DC"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c>
          <w:tcPr>
            <w:tcW w:w="709" w:type="dxa"/>
            <w:shd w:val="clear" w:color="auto" w:fill="auto"/>
            <w:vAlign w:val="center"/>
            <w:hideMark/>
          </w:tcPr>
          <w:p w14:paraId="7532AA57"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12,93</w:t>
            </w:r>
          </w:p>
        </w:tc>
        <w:tc>
          <w:tcPr>
            <w:tcW w:w="708" w:type="dxa"/>
            <w:shd w:val="clear" w:color="auto" w:fill="auto"/>
            <w:vAlign w:val="center"/>
            <w:hideMark/>
          </w:tcPr>
          <w:p w14:paraId="33BDC331"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12,93</w:t>
            </w:r>
          </w:p>
        </w:tc>
        <w:tc>
          <w:tcPr>
            <w:tcW w:w="567" w:type="dxa"/>
            <w:shd w:val="clear" w:color="auto" w:fill="auto"/>
            <w:vAlign w:val="center"/>
            <w:hideMark/>
          </w:tcPr>
          <w:p w14:paraId="11F604BF"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0,01</w:t>
            </w:r>
          </w:p>
        </w:tc>
        <w:tc>
          <w:tcPr>
            <w:tcW w:w="567" w:type="dxa"/>
            <w:shd w:val="clear" w:color="auto" w:fill="auto"/>
            <w:vAlign w:val="center"/>
            <w:hideMark/>
          </w:tcPr>
          <w:p w14:paraId="2620D3FA"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0,01</w:t>
            </w:r>
          </w:p>
        </w:tc>
        <w:tc>
          <w:tcPr>
            <w:tcW w:w="567" w:type="dxa"/>
            <w:shd w:val="clear" w:color="auto" w:fill="auto"/>
            <w:vAlign w:val="center"/>
            <w:hideMark/>
          </w:tcPr>
          <w:p w14:paraId="5470E753"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78" w:type="dxa"/>
            <w:shd w:val="clear" w:color="auto" w:fill="auto"/>
            <w:vAlign w:val="center"/>
            <w:hideMark/>
          </w:tcPr>
          <w:p w14:paraId="0A673C43"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r>
      <w:tr w:rsidR="00511BC5" w:rsidRPr="00FD7B0B" w14:paraId="50636261" w14:textId="77777777" w:rsidTr="00511BC5">
        <w:trPr>
          <w:trHeight w:val="78"/>
        </w:trPr>
        <w:tc>
          <w:tcPr>
            <w:tcW w:w="3984" w:type="dxa"/>
            <w:shd w:val="clear" w:color="auto" w:fill="auto"/>
            <w:vAlign w:val="center"/>
            <w:hideMark/>
          </w:tcPr>
          <w:p w14:paraId="7B2CCDB2" w14:textId="77777777" w:rsidR="00511BC5" w:rsidRPr="00FD7B0B" w:rsidRDefault="00511BC5" w:rsidP="00511BC5">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 по госпрограмме</w:t>
            </w:r>
          </w:p>
        </w:tc>
        <w:tc>
          <w:tcPr>
            <w:tcW w:w="709" w:type="dxa"/>
            <w:shd w:val="clear" w:color="auto" w:fill="auto"/>
            <w:vAlign w:val="center"/>
            <w:hideMark/>
          </w:tcPr>
          <w:p w14:paraId="00DC183C"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573,6</w:t>
            </w:r>
          </w:p>
        </w:tc>
        <w:tc>
          <w:tcPr>
            <w:tcW w:w="709" w:type="dxa"/>
            <w:shd w:val="clear" w:color="auto" w:fill="auto"/>
            <w:vAlign w:val="center"/>
            <w:hideMark/>
          </w:tcPr>
          <w:p w14:paraId="169A5EEF"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668,6</w:t>
            </w:r>
          </w:p>
        </w:tc>
        <w:tc>
          <w:tcPr>
            <w:tcW w:w="567" w:type="dxa"/>
            <w:shd w:val="clear" w:color="auto" w:fill="auto"/>
            <w:vAlign w:val="center"/>
            <w:hideMark/>
          </w:tcPr>
          <w:p w14:paraId="3B38C5F3"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117</w:t>
            </w:r>
          </w:p>
        </w:tc>
        <w:tc>
          <w:tcPr>
            <w:tcW w:w="709" w:type="dxa"/>
            <w:shd w:val="clear" w:color="auto" w:fill="auto"/>
            <w:vAlign w:val="center"/>
            <w:hideMark/>
          </w:tcPr>
          <w:p w14:paraId="0C0ED96E"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566,3</w:t>
            </w:r>
          </w:p>
        </w:tc>
        <w:tc>
          <w:tcPr>
            <w:tcW w:w="708" w:type="dxa"/>
            <w:shd w:val="clear" w:color="auto" w:fill="auto"/>
            <w:vAlign w:val="center"/>
            <w:hideMark/>
          </w:tcPr>
          <w:p w14:paraId="30B7FA2C"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566,3</w:t>
            </w:r>
          </w:p>
        </w:tc>
        <w:tc>
          <w:tcPr>
            <w:tcW w:w="567" w:type="dxa"/>
            <w:shd w:val="clear" w:color="auto" w:fill="auto"/>
            <w:vAlign w:val="center"/>
            <w:hideMark/>
          </w:tcPr>
          <w:p w14:paraId="1D054014"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7,3</w:t>
            </w:r>
          </w:p>
        </w:tc>
        <w:tc>
          <w:tcPr>
            <w:tcW w:w="567" w:type="dxa"/>
            <w:shd w:val="clear" w:color="auto" w:fill="auto"/>
            <w:vAlign w:val="center"/>
            <w:hideMark/>
          </w:tcPr>
          <w:p w14:paraId="6D780DCA"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82,2</w:t>
            </w:r>
          </w:p>
        </w:tc>
        <w:tc>
          <w:tcPr>
            <w:tcW w:w="567" w:type="dxa"/>
            <w:shd w:val="clear" w:color="auto" w:fill="auto"/>
            <w:vAlign w:val="center"/>
            <w:hideMark/>
          </w:tcPr>
          <w:p w14:paraId="31B5E603"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78" w:type="dxa"/>
            <w:shd w:val="clear" w:color="auto" w:fill="auto"/>
            <w:vAlign w:val="center"/>
            <w:hideMark/>
          </w:tcPr>
          <w:p w14:paraId="2A45BCA9"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20,0  </w:t>
            </w:r>
          </w:p>
        </w:tc>
      </w:tr>
    </w:tbl>
    <w:p w14:paraId="0FC20BEB" w14:textId="77777777" w:rsidR="00511BC5" w:rsidRPr="00FD7B0B" w:rsidRDefault="00511BC5" w:rsidP="00511BC5">
      <w:pPr>
        <w:pStyle w:val="ad"/>
        <w:ind w:firstLine="709"/>
        <w:jc w:val="both"/>
        <w:rPr>
          <w:rFonts w:ascii="Times New Roman" w:hAnsi="Times New Roman"/>
          <w:sz w:val="28"/>
          <w:szCs w:val="28"/>
        </w:rPr>
      </w:pPr>
    </w:p>
    <w:p w14:paraId="224FE055" w14:textId="256335CC" w:rsidR="00511BC5" w:rsidRPr="00FD7B0B" w:rsidRDefault="00511BC5" w:rsidP="00511BC5">
      <w:pPr>
        <w:pStyle w:val="ad"/>
        <w:ind w:firstLine="709"/>
        <w:jc w:val="both"/>
        <w:rPr>
          <w:rFonts w:ascii="Times New Roman" w:hAnsi="Times New Roman"/>
          <w:sz w:val="28"/>
          <w:szCs w:val="28"/>
        </w:rPr>
      </w:pPr>
      <w:r w:rsidRPr="00FD7B0B">
        <w:rPr>
          <w:rFonts w:ascii="Times New Roman" w:hAnsi="Times New Roman"/>
          <w:sz w:val="28"/>
          <w:szCs w:val="28"/>
        </w:rPr>
        <w:t>По двум мероприятиям как за счет средств местных бюджетов, так и</w:t>
      </w:r>
      <w:r w:rsidRPr="00FD7B0B">
        <w:t xml:space="preserve"> </w:t>
      </w:r>
      <w:r w:rsidRPr="00FD7B0B">
        <w:rPr>
          <w:rFonts w:ascii="Times New Roman" w:hAnsi="Times New Roman"/>
          <w:sz w:val="28"/>
          <w:szCs w:val="28"/>
        </w:rPr>
        <w:t>за счет внебюджетных источников, отмечаем существенное перевыполнение</w:t>
      </w:r>
      <w:r w:rsidRPr="00FD7B0B">
        <w:t xml:space="preserve"> </w:t>
      </w:r>
      <w:r w:rsidRPr="00FD7B0B">
        <w:rPr>
          <w:rFonts w:ascii="Times New Roman" w:hAnsi="Times New Roman"/>
          <w:sz w:val="28"/>
          <w:szCs w:val="28"/>
        </w:rPr>
        <w:t>плановых показателей ГП № 13, что свидетельствует о нарушении министерством ТЭК и ЖКХ АО как ответственного исполнителя</w:t>
      </w:r>
      <w:r w:rsidRPr="00FD7B0B">
        <w:t xml:space="preserve"> </w:t>
      </w:r>
      <w:r w:rsidRPr="00FD7B0B">
        <w:rPr>
          <w:rFonts w:ascii="Times New Roman" w:hAnsi="Times New Roman"/>
          <w:sz w:val="28"/>
          <w:szCs w:val="28"/>
        </w:rPr>
        <w:t>п</w:t>
      </w:r>
      <w:r w:rsidR="008E33D5" w:rsidRPr="00FD7B0B">
        <w:rPr>
          <w:rFonts w:ascii="Times New Roman" w:hAnsi="Times New Roman"/>
          <w:sz w:val="28"/>
          <w:szCs w:val="28"/>
        </w:rPr>
        <w:t>.п.</w:t>
      </w:r>
      <w:r w:rsidRPr="00FD7B0B">
        <w:rPr>
          <w:rFonts w:ascii="Times New Roman" w:hAnsi="Times New Roman"/>
          <w:sz w:val="28"/>
          <w:szCs w:val="28"/>
        </w:rPr>
        <w:t xml:space="preserve"> 38, 39 Положения № 793-пп.</w:t>
      </w:r>
    </w:p>
    <w:p w14:paraId="6D5DEBED" w14:textId="160D508F"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ГП № 13 утверждено два показателя. В течение 2024 года значения показателей подвергались корректировке. Информа</w:t>
      </w:r>
      <w:r w:rsidR="008E33D5" w:rsidRPr="00FD7B0B">
        <w:rPr>
          <w:rFonts w:ascii="Times New Roman" w:eastAsia="Times New Roman" w:hAnsi="Times New Roman"/>
          <w:sz w:val="28"/>
          <w:szCs w:val="28"/>
          <w:lang w:eastAsia="ru-RU"/>
        </w:rPr>
        <w:t>ция представлена в таблице 158.</w:t>
      </w:r>
    </w:p>
    <w:p w14:paraId="4730D523" w14:textId="77777777" w:rsidR="00511BC5" w:rsidRPr="00FD7B0B" w:rsidRDefault="00511BC5" w:rsidP="00511BC5">
      <w:pPr>
        <w:pStyle w:val="aff0"/>
        <w:spacing w:after="0" w:line="240" w:lineRule="auto"/>
        <w:rPr>
          <w:rFonts w:ascii="Times New Roman" w:hAnsi="Times New Roman"/>
          <w:b w:val="0"/>
          <w:sz w:val="24"/>
          <w:szCs w:val="24"/>
        </w:rPr>
      </w:pPr>
    </w:p>
    <w:p w14:paraId="376D8B3D" w14:textId="77777777" w:rsidR="00511BC5" w:rsidRPr="00FD7B0B" w:rsidRDefault="00511BC5" w:rsidP="00511BC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158</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об изменении значений показателей ГП № 13</w:t>
      </w: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268"/>
        <w:gridCol w:w="709"/>
        <w:gridCol w:w="1134"/>
        <w:gridCol w:w="1134"/>
        <w:gridCol w:w="1134"/>
        <w:gridCol w:w="1275"/>
      </w:tblGrid>
      <w:tr w:rsidR="00FD7B0B" w:rsidRPr="00FD7B0B" w14:paraId="5E7D5114" w14:textId="77777777" w:rsidTr="00511BC5">
        <w:trPr>
          <w:trHeight w:val="417"/>
        </w:trPr>
        <w:tc>
          <w:tcPr>
            <w:tcW w:w="4268" w:type="dxa"/>
            <w:shd w:val="clear" w:color="auto" w:fill="auto"/>
            <w:vAlign w:val="center"/>
            <w:hideMark/>
          </w:tcPr>
          <w:p w14:paraId="00836FBE"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Наименование показателя (нарастающий)</w:t>
            </w:r>
          </w:p>
        </w:tc>
        <w:tc>
          <w:tcPr>
            <w:tcW w:w="709" w:type="dxa"/>
            <w:shd w:val="clear" w:color="auto" w:fill="auto"/>
            <w:vAlign w:val="center"/>
            <w:hideMark/>
          </w:tcPr>
          <w:p w14:paraId="4D627190"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ед. изм.</w:t>
            </w:r>
          </w:p>
        </w:tc>
        <w:tc>
          <w:tcPr>
            <w:tcW w:w="1134" w:type="dxa"/>
            <w:shd w:val="clear" w:color="auto" w:fill="auto"/>
            <w:vAlign w:val="center"/>
            <w:hideMark/>
          </w:tcPr>
          <w:p w14:paraId="54AB7B3A"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ГП в ред. на 01.01.2024</w:t>
            </w:r>
          </w:p>
        </w:tc>
        <w:tc>
          <w:tcPr>
            <w:tcW w:w="1134" w:type="dxa"/>
            <w:shd w:val="clear" w:color="auto" w:fill="auto"/>
            <w:vAlign w:val="center"/>
            <w:hideMark/>
          </w:tcPr>
          <w:p w14:paraId="51A3442C"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ГП в ред. на 31.12.2024</w:t>
            </w:r>
          </w:p>
        </w:tc>
        <w:tc>
          <w:tcPr>
            <w:tcW w:w="1134" w:type="dxa"/>
            <w:shd w:val="clear" w:color="auto" w:fill="auto"/>
            <w:vAlign w:val="center"/>
            <w:hideMark/>
          </w:tcPr>
          <w:p w14:paraId="7F7B3F98"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Изменение (+/-)</w:t>
            </w:r>
          </w:p>
        </w:tc>
        <w:tc>
          <w:tcPr>
            <w:tcW w:w="1275" w:type="dxa"/>
            <w:shd w:val="clear" w:color="auto" w:fill="auto"/>
            <w:vAlign w:val="center"/>
            <w:hideMark/>
          </w:tcPr>
          <w:p w14:paraId="3643B4D6" w14:textId="77777777" w:rsidR="00511BC5" w:rsidRPr="00FD7B0B" w:rsidRDefault="00511BC5" w:rsidP="00511BC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Примечание</w:t>
            </w:r>
          </w:p>
        </w:tc>
      </w:tr>
      <w:tr w:rsidR="00FD7B0B" w:rsidRPr="00FD7B0B" w14:paraId="4A80322A" w14:textId="77777777" w:rsidTr="00511BC5">
        <w:trPr>
          <w:trHeight w:val="313"/>
        </w:trPr>
        <w:tc>
          <w:tcPr>
            <w:tcW w:w="4268" w:type="dxa"/>
            <w:shd w:val="clear" w:color="auto" w:fill="auto"/>
            <w:vAlign w:val="center"/>
            <w:hideMark/>
          </w:tcPr>
          <w:p w14:paraId="089C5638" w14:textId="77777777" w:rsidR="00511BC5" w:rsidRPr="00FD7B0B" w:rsidRDefault="00511BC5" w:rsidP="00511BC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Уровень качества городской среды</w:t>
            </w:r>
          </w:p>
        </w:tc>
        <w:tc>
          <w:tcPr>
            <w:tcW w:w="709" w:type="dxa"/>
            <w:shd w:val="clear" w:color="auto" w:fill="auto"/>
            <w:vAlign w:val="center"/>
            <w:hideMark/>
          </w:tcPr>
          <w:p w14:paraId="70A44FAC"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w:t>
            </w:r>
          </w:p>
        </w:tc>
        <w:tc>
          <w:tcPr>
            <w:tcW w:w="1134" w:type="dxa"/>
            <w:shd w:val="clear" w:color="auto" w:fill="auto"/>
            <w:vAlign w:val="center"/>
            <w:hideMark/>
          </w:tcPr>
          <w:p w14:paraId="6A917590"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26</w:t>
            </w:r>
          </w:p>
        </w:tc>
        <w:tc>
          <w:tcPr>
            <w:tcW w:w="1134" w:type="dxa"/>
            <w:shd w:val="clear" w:color="auto" w:fill="auto"/>
            <w:vAlign w:val="center"/>
            <w:hideMark/>
          </w:tcPr>
          <w:p w14:paraId="69580DB8"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24</w:t>
            </w:r>
          </w:p>
        </w:tc>
        <w:tc>
          <w:tcPr>
            <w:tcW w:w="1134" w:type="dxa"/>
            <w:shd w:val="clear" w:color="auto" w:fill="auto"/>
            <w:vAlign w:val="center"/>
            <w:hideMark/>
          </w:tcPr>
          <w:p w14:paraId="72134812" w14:textId="77777777" w:rsidR="00511BC5" w:rsidRPr="00FD7B0B" w:rsidRDefault="00511BC5" w:rsidP="00511BC5">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-2</w:t>
            </w:r>
          </w:p>
        </w:tc>
        <w:tc>
          <w:tcPr>
            <w:tcW w:w="1275" w:type="dxa"/>
            <w:shd w:val="clear" w:color="auto" w:fill="auto"/>
            <w:vAlign w:val="center"/>
            <w:hideMark/>
          </w:tcPr>
          <w:p w14:paraId="68C0E0E2" w14:textId="77777777" w:rsidR="00511BC5" w:rsidRPr="00FD7B0B" w:rsidRDefault="00511BC5" w:rsidP="00511BC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Изменено в ред. от 22.02.2024</w:t>
            </w:r>
          </w:p>
        </w:tc>
      </w:tr>
      <w:tr w:rsidR="00511BC5" w:rsidRPr="00FD7B0B" w14:paraId="2EC3EE43" w14:textId="77777777" w:rsidTr="00D93602">
        <w:trPr>
          <w:trHeight w:val="787"/>
        </w:trPr>
        <w:tc>
          <w:tcPr>
            <w:tcW w:w="4268" w:type="dxa"/>
            <w:shd w:val="clear" w:color="auto" w:fill="auto"/>
            <w:vAlign w:val="center"/>
            <w:hideMark/>
          </w:tcPr>
          <w:p w14:paraId="33115CF6" w14:textId="77777777" w:rsidR="00511BC5" w:rsidRPr="00FD7B0B" w:rsidRDefault="00511BC5" w:rsidP="00511BC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 Доля реализованных комплексных проектов благоустройства территорий от общего количества территорий, планируемых к благоустройству в текущем году</w:t>
            </w:r>
          </w:p>
        </w:tc>
        <w:tc>
          <w:tcPr>
            <w:tcW w:w="709" w:type="dxa"/>
            <w:shd w:val="clear" w:color="auto" w:fill="auto"/>
            <w:vAlign w:val="center"/>
            <w:hideMark/>
          </w:tcPr>
          <w:p w14:paraId="3C280BD4"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w:t>
            </w:r>
          </w:p>
        </w:tc>
        <w:tc>
          <w:tcPr>
            <w:tcW w:w="1134" w:type="dxa"/>
            <w:shd w:val="clear" w:color="auto" w:fill="auto"/>
            <w:vAlign w:val="center"/>
            <w:hideMark/>
          </w:tcPr>
          <w:p w14:paraId="675AA246"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19</w:t>
            </w:r>
          </w:p>
        </w:tc>
        <w:tc>
          <w:tcPr>
            <w:tcW w:w="1134" w:type="dxa"/>
            <w:shd w:val="clear" w:color="auto" w:fill="auto"/>
            <w:vAlign w:val="center"/>
            <w:hideMark/>
          </w:tcPr>
          <w:p w14:paraId="1B10449A"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26</w:t>
            </w:r>
          </w:p>
        </w:tc>
        <w:tc>
          <w:tcPr>
            <w:tcW w:w="1134" w:type="dxa"/>
            <w:shd w:val="clear" w:color="auto" w:fill="auto"/>
            <w:vAlign w:val="center"/>
            <w:hideMark/>
          </w:tcPr>
          <w:p w14:paraId="5A24945F" w14:textId="77777777" w:rsidR="00511BC5" w:rsidRPr="00FD7B0B" w:rsidRDefault="00511BC5" w:rsidP="00511BC5">
            <w:pPr>
              <w:spacing w:after="0" w:line="240" w:lineRule="auto"/>
              <w:jc w:val="center"/>
              <w:rPr>
                <w:rFonts w:ascii="Times New Roman" w:eastAsia="Times New Roman" w:hAnsi="Times New Roman"/>
                <w:lang w:eastAsia="ru-RU"/>
              </w:rPr>
            </w:pPr>
            <w:r w:rsidRPr="00FD7B0B">
              <w:rPr>
                <w:rFonts w:ascii="Times New Roman" w:eastAsia="Times New Roman" w:hAnsi="Times New Roman"/>
                <w:lang w:eastAsia="ru-RU"/>
              </w:rPr>
              <w:t>+7</w:t>
            </w:r>
          </w:p>
        </w:tc>
        <w:tc>
          <w:tcPr>
            <w:tcW w:w="1275" w:type="dxa"/>
            <w:shd w:val="clear" w:color="auto" w:fill="auto"/>
            <w:vAlign w:val="center"/>
            <w:hideMark/>
          </w:tcPr>
          <w:p w14:paraId="485CE4D7" w14:textId="77777777" w:rsidR="00511BC5" w:rsidRPr="00FD7B0B" w:rsidRDefault="00511BC5" w:rsidP="00511BC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Изменено в ред. от 22.02.2024</w:t>
            </w:r>
          </w:p>
        </w:tc>
      </w:tr>
    </w:tbl>
    <w:p w14:paraId="2D98583B" w14:textId="77777777" w:rsidR="00511BC5" w:rsidRPr="00FD7B0B" w:rsidRDefault="00511BC5" w:rsidP="00C05BC5">
      <w:pPr>
        <w:spacing w:after="0" w:line="240" w:lineRule="auto"/>
        <w:ind w:firstLine="709"/>
        <w:contextualSpacing/>
        <w:jc w:val="both"/>
        <w:rPr>
          <w:rFonts w:ascii="Times New Roman" w:eastAsia="Times New Roman" w:hAnsi="Times New Roman"/>
          <w:sz w:val="28"/>
          <w:szCs w:val="28"/>
          <w:lang w:eastAsia="ru-RU"/>
        </w:rPr>
      </w:pPr>
    </w:p>
    <w:p w14:paraId="66C4C939" w14:textId="00F7C0AA" w:rsidR="00511BC5" w:rsidRPr="00FD7B0B" w:rsidRDefault="00511BC5" w:rsidP="00C05BC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Плановые и фактические значения показателей ГП № 13 за 2024 год, отраженные в проекте отчета о реализации ГП № 13, представлены в таблице </w:t>
      </w:r>
      <w:r w:rsidR="008E33D5" w:rsidRPr="00FD7B0B">
        <w:rPr>
          <w:rFonts w:ascii="Times New Roman" w:eastAsia="Times New Roman" w:hAnsi="Times New Roman"/>
          <w:sz w:val="28"/>
          <w:szCs w:val="28"/>
          <w:lang w:eastAsia="ru-RU"/>
        </w:rPr>
        <w:t>159</w:t>
      </w:r>
      <w:r w:rsidRPr="00FD7B0B">
        <w:rPr>
          <w:rFonts w:ascii="Times New Roman" w:eastAsia="Times New Roman" w:hAnsi="Times New Roman"/>
          <w:sz w:val="28"/>
          <w:szCs w:val="28"/>
          <w:lang w:eastAsia="ru-RU"/>
        </w:rPr>
        <w:t>.</w:t>
      </w:r>
    </w:p>
    <w:p w14:paraId="266890A9" w14:textId="77777777" w:rsidR="00511BC5" w:rsidRPr="00FD7B0B" w:rsidRDefault="00511BC5" w:rsidP="00C05BC5">
      <w:pPr>
        <w:spacing w:after="0" w:line="240" w:lineRule="auto"/>
        <w:ind w:firstLine="709"/>
        <w:contextualSpacing/>
        <w:jc w:val="both"/>
        <w:rPr>
          <w:rFonts w:ascii="Times New Roman" w:eastAsia="Times New Roman" w:hAnsi="Times New Roman"/>
          <w:sz w:val="28"/>
          <w:szCs w:val="28"/>
          <w:lang w:eastAsia="ru-RU"/>
        </w:rPr>
      </w:pPr>
    </w:p>
    <w:p w14:paraId="14826E07" w14:textId="77777777" w:rsidR="00511BC5" w:rsidRPr="00FD7B0B" w:rsidRDefault="00511BC5" w:rsidP="00511BC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159</w:t>
      </w:r>
      <w:r w:rsidRPr="00FD7B0B">
        <w:rPr>
          <w:rFonts w:ascii="Times New Roman" w:hAnsi="Times New Roman"/>
          <w:b w:val="0"/>
          <w:sz w:val="24"/>
          <w:szCs w:val="24"/>
        </w:rPr>
        <w:fldChar w:fldCharType="end"/>
      </w:r>
      <w:r w:rsidRPr="00FD7B0B">
        <w:rPr>
          <w:rFonts w:ascii="Times New Roman" w:hAnsi="Times New Roman"/>
          <w:b w:val="0"/>
          <w:sz w:val="24"/>
          <w:szCs w:val="24"/>
        </w:rPr>
        <w:t>. Достижение значений показателей ГП № 13 за 2024 год</w:t>
      </w:r>
    </w:p>
    <w:tbl>
      <w:tblPr>
        <w:tblW w:w="9538"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091"/>
        <w:gridCol w:w="708"/>
        <w:gridCol w:w="709"/>
        <w:gridCol w:w="909"/>
        <w:gridCol w:w="1121"/>
      </w:tblGrid>
      <w:tr w:rsidR="00FD7B0B" w:rsidRPr="00FD7B0B" w14:paraId="67500DA4" w14:textId="77777777" w:rsidTr="00511BC5">
        <w:trPr>
          <w:trHeight w:val="339"/>
          <w:tblHeader/>
        </w:trPr>
        <w:tc>
          <w:tcPr>
            <w:tcW w:w="6091" w:type="dxa"/>
            <w:shd w:val="clear" w:color="auto" w:fill="auto"/>
            <w:vAlign w:val="center"/>
            <w:hideMark/>
          </w:tcPr>
          <w:p w14:paraId="6AC3B2B8"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Наименование показателя</w:t>
            </w:r>
          </w:p>
        </w:tc>
        <w:tc>
          <w:tcPr>
            <w:tcW w:w="708" w:type="dxa"/>
            <w:shd w:val="clear" w:color="auto" w:fill="auto"/>
            <w:vAlign w:val="center"/>
            <w:hideMark/>
          </w:tcPr>
          <w:p w14:paraId="70AC352D"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ед. изм.</w:t>
            </w:r>
          </w:p>
        </w:tc>
        <w:tc>
          <w:tcPr>
            <w:tcW w:w="709" w:type="dxa"/>
            <w:shd w:val="clear" w:color="auto" w:fill="auto"/>
            <w:vAlign w:val="center"/>
            <w:hideMark/>
          </w:tcPr>
          <w:p w14:paraId="1980F49D"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план</w:t>
            </w:r>
          </w:p>
        </w:tc>
        <w:tc>
          <w:tcPr>
            <w:tcW w:w="909" w:type="dxa"/>
            <w:shd w:val="clear" w:color="auto" w:fill="auto"/>
            <w:vAlign w:val="center"/>
            <w:hideMark/>
          </w:tcPr>
          <w:p w14:paraId="0334E8DB"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факт</w:t>
            </w:r>
          </w:p>
        </w:tc>
        <w:tc>
          <w:tcPr>
            <w:tcW w:w="1121" w:type="dxa"/>
            <w:shd w:val="clear" w:color="auto" w:fill="auto"/>
            <w:vAlign w:val="center"/>
            <w:hideMark/>
          </w:tcPr>
          <w:p w14:paraId="1FD5C76B"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исполнения</w:t>
            </w:r>
          </w:p>
        </w:tc>
      </w:tr>
      <w:tr w:rsidR="00FD7B0B" w:rsidRPr="00FD7B0B" w14:paraId="2993A2F4" w14:textId="77777777" w:rsidTr="00511BC5">
        <w:trPr>
          <w:trHeight w:val="191"/>
        </w:trPr>
        <w:tc>
          <w:tcPr>
            <w:tcW w:w="6091" w:type="dxa"/>
            <w:shd w:val="clear" w:color="auto" w:fill="auto"/>
            <w:vAlign w:val="center"/>
            <w:hideMark/>
          </w:tcPr>
          <w:p w14:paraId="05283F26" w14:textId="77777777" w:rsidR="00511BC5" w:rsidRPr="00FD7B0B" w:rsidRDefault="00511BC5" w:rsidP="00511BC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1. Уровень качества городской среды </w:t>
            </w:r>
            <w:r w:rsidRPr="00FD7B0B">
              <w:rPr>
                <w:rFonts w:ascii="Times New Roman" w:eastAsia="Times New Roman" w:hAnsi="Times New Roman"/>
                <w:i/>
                <w:sz w:val="20"/>
                <w:szCs w:val="20"/>
                <w:lang w:eastAsia="ru-RU"/>
              </w:rPr>
              <w:t>(предварительный)</w:t>
            </w:r>
          </w:p>
        </w:tc>
        <w:tc>
          <w:tcPr>
            <w:tcW w:w="708" w:type="dxa"/>
            <w:shd w:val="clear" w:color="auto" w:fill="auto"/>
            <w:vAlign w:val="center"/>
            <w:hideMark/>
          </w:tcPr>
          <w:p w14:paraId="740B3DDD"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w:t>
            </w:r>
          </w:p>
        </w:tc>
        <w:tc>
          <w:tcPr>
            <w:tcW w:w="709" w:type="dxa"/>
            <w:shd w:val="clear" w:color="auto" w:fill="auto"/>
            <w:vAlign w:val="center"/>
            <w:hideMark/>
          </w:tcPr>
          <w:p w14:paraId="6E5135CD"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24</w:t>
            </w:r>
          </w:p>
        </w:tc>
        <w:tc>
          <w:tcPr>
            <w:tcW w:w="909" w:type="dxa"/>
            <w:shd w:val="clear" w:color="auto" w:fill="auto"/>
            <w:vAlign w:val="center"/>
            <w:hideMark/>
          </w:tcPr>
          <w:p w14:paraId="3C89F6AE"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24</w:t>
            </w:r>
          </w:p>
        </w:tc>
        <w:tc>
          <w:tcPr>
            <w:tcW w:w="1121" w:type="dxa"/>
            <w:shd w:val="clear" w:color="auto" w:fill="auto"/>
            <w:vAlign w:val="center"/>
            <w:hideMark/>
          </w:tcPr>
          <w:p w14:paraId="13C938C5"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r>
      <w:tr w:rsidR="00511BC5" w:rsidRPr="00FD7B0B" w14:paraId="282B873D" w14:textId="77777777" w:rsidTr="00511BC5">
        <w:trPr>
          <w:trHeight w:val="270"/>
        </w:trPr>
        <w:tc>
          <w:tcPr>
            <w:tcW w:w="6091" w:type="dxa"/>
            <w:shd w:val="clear" w:color="auto" w:fill="auto"/>
            <w:vAlign w:val="center"/>
            <w:hideMark/>
          </w:tcPr>
          <w:p w14:paraId="1FDF25C3" w14:textId="77777777" w:rsidR="00511BC5" w:rsidRPr="00FD7B0B" w:rsidRDefault="00511BC5" w:rsidP="00511BC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 Доля реализованных комплексных проектов благоустройства территорий от общего количества территорий, планируемых к благоустройству в текущем году</w:t>
            </w:r>
          </w:p>
        </w:tc>
        <w:tc>
          <w:tcPr>
            <w:tcW w:w="708" w:type="dxa"/>
            <w:shd w:val="clear" w:color="auto" w:fill="auto"/>
            <w:vAlign w:val="center"/>
            <w:hideMark/>
          </w:tcPr>
          <w:p w14:paraId="4EB86961"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w:t>
            </w:r>
          </w:p>
        </w:tc>
        <w:tc>
          <w:tcPr>
            <w:tcW w:w="709" w:type="dxa"/>
            <w:shd w:val="clear" w:color="auto" w:fill="auto"/>
            <w:vAlign w:val="center"/>
            <w:hideMark/>
          </w:tcPr>
          <w:p w14:paraId="13AF8947" w14:textId="77777777" w:rsidR="00511BC5" w:rsidRPr="00FD7B0B" w:rsidRDefault="00511BC5" w:rsidP="00511BC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26</w:t>
            </w:r>
          </w:p>
        </w:tc>
        <w:tc>
          <w:tcPr>
            <w:tcW w:w="909" w:type="dxa"/>
            <w:shd w:val="clear" w:color="auto" w:fill="auto"/>
            <w:vAlign w:val="center"/>
            <w:hideMark/>
          </w:tcPr>
          <w:p w14:paraId="503236DE"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29,5</w:t>
            </w:r>
          </w:p>
        </w:tc>
        <w:tc>
          <w:tcPr>
            <w:tcW w:w="1121" w:type="dxa"/>
            <w:shd w:val="clear" w:color="auto" w:fill="auto"/>
            <w:vAlign w:val="center"/>
            <w:hideMark/>
          </w:tcPr>
          <w:p w14:paraId="316FC6D4" w14:textId="77777777" w:rsidR="00511BC5" w:rsidRPr="00FD7B0B" w:rsidRDefault="00511BC5" w:rsidP="00511BC5">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113,5</w:t>
            </w:r>
          </w:p>
        </w:tc>
      </w:tr>
    </w:tbl>
    <w:p w14:paraId="28EFE8EE" w14:textId="77777777" w:rsidR="00511BC5" w:rsidRPr="00FD7B0B" w:rsidRDefault="00511BC5" w:rsidP="00511BC5">
      <w:pPr>
        <w:spacing w:after="0" w:line="240" w:lineRule="auto"/>
        <w:ind w:firstLine="709"/>
        <w:contextualSpacing/>
        <w:jc w:val="both"/>
        <w:rPr>
          <w:rFonts w:ascii="Times New Roman" w:eastAsia="Times New Roman" w:hAnsi="Times New Roman"/>
          <w:sz w:val="28"/>
          <w:szCs w:val="28"/>
          <w:lang w:eastAsia="ru-RU"/>
        </w:rPr>
      </w:pPr>
    </w:p>
    <w:p w14:paraId="16C7CE07" w14:textId="770FA86B" w:rsidR="00511BC5" w:rsidRPr="00FD7B0B" w:rsidRDefault="00511BC5" w:rsidP="00F166A2">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Плановые и фактические значения показателей ГП № 13 за 2024 год в разрезе структурных элементов, отраженные в проекте отчета о реализации ГП № 13, представлены в таблице </w:t>
      </w:r>
      <w:r w:rsidR="008E33D5" w:rsidRPr="00FD7B0B">
        <w:rPr>
          <w:rFonts w:ascii="Times New Roman" w:eastAsia="Times New Roman" w:hAnsi="Times New Roman"/>
          <w:sz w:val="28"/>
          <w:szCs w:val="28"/>
          <w:lang w:eastAsia="ru-RU"/>
        </w:rPr>
        <w:t>160</w:t>
      </w:r>
      <w:r w:rsidRPr="00FD7B0B">
        <w:rPr>
          <w:rFonts w:ascii="Times New Roman" w:eastAsia="Times New Roman" w:hAnsi="Times New Roman"/>
          <w:sz w:val="28"/>
          <w:szCs w:val="28"/>
          <w:lang w:eastAsia="ru-RU"/>
        </w:rPr>
        <w:t>.</w:t>
      </w:r>
    </w:p>
    <w:p w14:paraId="0A3794AC" w14:textId="77777777" w:rsidR="00511BC5" w:rsidRPr="00FD7B0B" w:rsidRDefault="00511BC5" w:rsidP="00511BC5">
      <w:pPr>
        <w:pStyle w:val="aff0"/>
        <w:keepNext/>
        <w:spacing w:after="0" w:line="240" w:lineRule="auto"/>
        <w:rPr>
          <w:rFonts w:ascii="Times New Roman" w:hAnsi="Times New Roman"/>
          <w:b w:val="0"/>
          <w:sz w:val="24"/>
          <w:szCs w:val="24"/>
        </w:rPr>
      </w:pPr>
    </w:p>
    <w:p w14:paraId="114F51D2" w14:textId="77777777" w:rsidR="00511BC5" w:rsidRPr="00FD7B0B" w:rsidRDefault="00511BC5" w:rsidP="00511BC5">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160</w:t>
      </w:r>
      <w:r w:rsidRPr="00FD7B0B">
        <w:rPr>
          <w:rFonts w:ascii="Times New Roman" w:hAnsi="Times New Roman"/>
          <w:b w:val="0"/>
          <w:sz w:val="24"/>
          <w:szCs w:val="24"/>
        </w:rPr>
        <w:fldChar w:fldCharType="end"/>
      </w:r>
      <w:r w:rsidRPr="00FD7B0B">
        <w:rPr>
          <w:rFonts w:ascii="Times New Roman" w:hAnsi="Times New Roman"/>
          <w:b w:val="0"/>
          <w:sz w:val="24"/>
          <w:szCs w:val="24"/>
        </w:rPr>
        <w:t>. Достижение значений показателей в разрезе РП и КПМ за 2024 год</w:t>
      </w:r>
    </w:p>
    <w:tbl>
      <w:tblPr>
        <w:tblW w:w="965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6111"/>
        <w:gridCol w:w="567"/>
        <w:gridCol w:w="567"/>
        <w:gridCol w:w="567"/>
        <w:gridCol w:w="567"/>
        <w:gridCol w:w="708"/>
        <w:gridCol w:w="567"/>
      </w:tblGrid>
      <w:tr w:rsidR="00FD7B0B" w:rsidRPr="00FD7B0B" w14:paraId="4A32CF51" w14:textId="77777777" w:rsidTr="00D93602">
        <w:trPr>
          <w:trHeight w:val="109"/>
          <w:tblHeader/>
        </w:trPr>
        <w:tc>
          <w:tcPr>
            <w:tcW w:w="6111" w:type="dxa"/>
            <w:vMerge w:val="restart"/>
            <w:shd w:val="clear" w:color="auto" w:fill="auto"/>
            <w:vAlign w:val="center"/>
            <w:hideMark/>
          </w:tcPr>
          <w:p w14:paraId="2B0295C5"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Наименование показателя</w:t>
            </w:r>
          </w:p>
        </w:tc>
        <w:tc>
          <w:tcPr>
            <w:tcW w:w="567" w:type="dxa"/>
            <w:vMerge w:val="restart"/>
            <w:shd w:val="clear" w:color="auto" w:fill="auto"/>
            <w:vAlign w:val="center"/>
            <w:hideMark/>
          </w:tcPr>
          <w:p w14:paraId="1D386E0D"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ед. изм.</w:t>
            </w:r>
          </w:p>
        </w:tc>
        <w:tc>
          <w:tcPr>
            <w:tcW w:w="2976" w:type="dxa"/>
            <w:gridSpan w:val="5"/>
            <w:shd w:val="clear" w:color="auto" w:fill="auto"/>
            <w:vAlign w:val="center"/>
            <w:hideMark/>
          </w:tcPr>
          <w:p w14:paraId="18E2A724"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Значения показателя</w:t>
            </w:r>
          </w:p>
        </w:tc>
      </w:tr>
      <w:tr w:rsidR="00FD7B0B" w:rsidRPr="00FD7B0B" w14:paraId="281016FC" w14:textId="77777777" w:rsidTr="00D93602">
        <w:trPr>
          <w:trHeight w:val="105"/>
          <w:tblHeader/>
        </w:trPr>
        <w:tc>
          <w:tcPr>
            <w:tcW w:w="6111" w:type="dxa"/>
            <w:vMerge/>
            <w:vAlign w:val="center"/>
            <w:hideMark/>
          </w:tcPr>
          <w:p w14:paraId="1A483BF5"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p>
        </w:tc>
        <w:tc>
          <w:tcPr>
            <w:tcW w:w="567" w:type="dxa"/>
            <w:vMerge/>
            <w:vAlign w:val="center"/>
            <w:hideMark/>
          </w:tcPr>
          <w:p w14:paraId="6030DE33"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p>
        </w:tc>
        <w:tc>
          <w:tcPr>
            <w:tcW w:w="1134" w:type="dxa"/>
            <w:gridSpan w:val="2"/>
            <w:shd w:val="clear" w:color="auto" w:fill="auto"/>
            <w:vAlign w:val="center"/>
            <w:hideMark/>
          </w:tcPr>
          <w:p w14:paraId="4DC92D35"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w:t>
            </w:r>
          </w:p>
        </w:tc>
        <w:tc>
          <w:tcPr>
            <w:tcW w:w="567" w:type="dxa"/>
            <w:vMerge w:val="restart"/>
            <w:shd w:val="clear" w:color="auto" w:fill="auto"/>
            <w:vAlign w:val="center"/>
            <w:hideMark/>
          </w:tcPr>
          <w:p w14:paraId="39D82C8F"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план </w:t>
            </w:r>
          </w:p>
        </w:tc>
        <w:tc>
          <w:tcPr>
            <w:tcW w:w="708" w:type="dxa"/>
            <w:vMerge w:val="restart"/>
            <w:shd w:val="clear" w:color="auto" w:fill="auto"/>
            <w:vAlign w:val="center"/>
            <w:hideMark/>
          </w:tcPr>
          <w:p w14:paraId="35324FC7"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w:t>
            </w:r>
          </w:p>
        </w:tc>
        <w:tc>
          <w:tcPr>
            <w:tcW w:w="567" w:type="dxa"/>
            <w:vMerge w:val="restart"/>
            <w:shd w:val="clear" w:color="auto" w:fill="auto"/>
            <w:vAlign w:val="center"/>
            <w:hideMark/>
          </w:tcPr>
          <w:p w14:paraId="662B595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r>
      <w:tr w:rsidR="00FD7B0B" w:rsidRPr="00FD7B0B" w14:paraId="0AA177AD" w14:textId="77777777" w:rsidTr="00D93602">
        <w:trPr>
          <w:trHeight w:val="192"/>
          <w:tblHeader/>
        </w:trPr>
        <w:tc>
          <w:tcPr>
            <w:tcW w:w="6111" w:type="dxa"/>
            <w:vMerge/>
            <w:vAlign w:val="center"/>
            <w:hideMark/>
          </w:tcPr>
          <w:p w14:paraId="0C4E7EFE"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p>
        </w:tc>
        <w:tc>
          <w:tcPr>
            <w:tcW w:w="567" w:type="dxa"/>
            <w:vMerge/>
            <w:vAlign w:val="center"/>
            <w:hideMark/>
          </w:tcPr>
          <w:p w14:paraId="3A6A87A7"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p>
        </w:tc>
        <w:tc>
          <w:tcPr>
            <w:tcW w:w="567" w:type="dxa"/>
            <w:shd w:val="clear" w:color="auto" w:fill="auto"/>
            <w:vAlign w:val="center"/>
            <w:hideMark/>
          </w:tcPr>
          <w:p w14:paraId="23E2E00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2022</w:t>
            </w:r>
          </w:p>
        </w:tc>
        <w:tc>
          <w:tcPr>
            <w:tcW w:w="567" w:type="dxa"/>
            <w:shd w:val="clear" w:color="auto" w:fill="auto"/>
            <w:vAlign w:val="center"/>
            <w:hideMark/>
          </w:tcPr>
          <w:p w14:paraId="51B9DFAF"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2023</w:t>
            </w:r>
          </w:p>
        </w:tc>
        <w:tc>
          <w:tcPr>
            <w:tcW w:w="567" w:type="dxa"/>
            <w:vMerge/>
            <w:vAlign w:val="center"/>
            <w:hideMark/>
          </w:tcPr>
          <w:p w14:paraId="62C726AC"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p>
        </w:tc>
        <w:tc>
          <w:tcPr>
            <w:tcW w:w="708" w:type="dxa"/>
            <w:vMerge/>
            <w:vAlign w:val="center"/>
            <w:hideMark/>
          </w:tcPr>
          <w:p w14:paraId="0D23761F"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p>
        </w:tc>
        <w:tc>
          <w:tcPr>
            <w:tcW w:w="567" w:type="dxa"/>
            <w:vMerge/>
            <w:vAlign w:val="center"/>
            <w:hideMark/>
          </w:tcPr>
          <w:p w14:paraId="24772A60"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p>
        </w:tc>
      </w:tr>
      <w:tr w:rsidR="00FD7B0B" w:rsidRPr="00FD7B0B" w14:paraId="08DC43D7" w14:textId="77777777" w:rsidTr="00D93602">
        <w:trPr>
          <w:trHeight w:val="111"/>
        </w:trPr>
        <w:tc>
          <w:tcPr>
            <w:tcW w:w="9654" w:type="dxa"/>
            <w:gridSpan w:val="7"/>
            <w:shd w:val="clear" w:color="auto" w:fill="auto"/>
            <w:vAlign w:val="center"/>
            <w:hideMark/>
          </w:tcPr>
          <w:p w14:paraId="6F78D04E"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Проектная часть </w:t>
            </w:r>
          </w:p>
        </w:tc>
      </w:tr>
      <w:tr w:rsidR="00FD7B0B" w:rsidRPr="00FD7B0B" w14:paraId="7804F750" w14:textId="77777777" w:rsidTr="00D93602">
        <w:trPr>
          <w:trHeight w:val="354"/>
        </w:trPr>
        <w:tc>
          <w:tcPr>
            <w:tcW w:w="6111" w:type="dxa"/>
            <w:shd w:val="clear" w:color="auto" w:fill="auto"/>
            <w:vAlign w:val="center"/>
            <w:hideMark/>
          </w:tcPr>
          <w:p w14:paraId="05233A31"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1) Доля городов с благоприятной средой от общего количества городов (индекс качества городской среды - выше 50%) </w:t>
            </w:r>
            <w:r w:rsidRPr="00FD7B0B">
              <w:rPr>
                <w:rFonts w:ascii="Times New Roman" w:eastAsia="Times New Roman" w:hAnsi="Times New Roman"/>
                <w:i/>
                <w:sz w:val="16"/>
                <w:szCs w:val="16"/>
                <w:lang w:eastAsia="ru-RU"/>
              </w:rPr>
              <w:t>(предварительный)</w:t>
            </w:r>
          </w:p>
        </w:tc>
        <w:tc>
          <w:tcPr>
            <w:tcW w:w="567" w:type="dxa"/>
            <w:shd w:val="clear" w:color="auto" w:fill="auto"/>
            <w:vAlign w:val="center"/>
            <w:hideMark/>
          </w:tcPr>
          <w:p w14:paraId="337C2E49"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3E08811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38</w:t>
            </w:r>
          </w:p>
        </w:tc>
        <w:tc>
          <w:tcPr>
            <w:tcW w:w="567" w:type="dxa"/>
            <w:shd w:val="clear" w:color="auto" w:fill="auto"/>
            <w:vAlign w:val="center"/>
            <w:hideMark/>
          </w:tcPr>
          <w:p w14:paraId="674DD9C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46</w:t>
            </w:r>
          </w:p>
        </w:tc>
        <w:tc>
          <w:tcPr>
            <w:tcW w:w="567" w:type="dxa"/>
            <w:shd w:val="clear" w:color="auto" w:fill="auto"/>
            <w:vAlign w:val="center"/>
            <w:hideMark/>
          </w:tcPr>
          <w:p w14:paraId="30A96404"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62</w:t>
            </w:r>
          </w:p>
        </w:tc>
        <w:tc>
          <w:tcPr>
            <w:tcW w:w="708" w:type="dxa"/>
            <w:shd w:val="clear" w:color="auto" w:fill="auto"/>
            <w:vAlign w:val="center"/>
            <w:hideMark/>
          </w:tcPr>
          <w:p w14:paraId="6D6EBF6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62</w:t>
            </w:r>
          </w:p>
        </w:tc>
        <w:tc>
          <w:tcPr>
            <w:tcW w:w="567" w:type="dxa"/>
            <w:shd w:val="clear" w:color="auto" w:fill="auto"/>
            <w:vAlign w:val="center"/>
            <w:hideMark/>
          </w:tcPr>
          <w:p w14:paraId="4CB2877F"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r>
      <w:tr w:rsidR="00FD7B0B" w:rsidRPr="00FD7B0B" w14:paraId="247AE0A9" w14:textId="77777777" w:rsidTr="00D93602">
        <w:trPr>
          <w:trHeight w:val="105"/>
        </w:trPr>
        <w:tc>
          <w:tcPr>
            <w:tcW w:w="6111" w:type="dxa"/>
            <w:shd w:val="clear" w:color="auto" w:fill="auto"/>
            <w:vAlign w:val="center"/>
            <w:hideMark/>
          </w:tcPr>
          <w:p w14:paraId="7190B2A4"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 Количество благоустроенных общественных территорий</w:t>
            </w:r>
          </w:p>
        </w:tc>
        <w:tc>
          <w:tcPr>
            <w:tcW w:w="567" w:type="dxa"/>
            <w:shd w:val="clear" w:color="auto" w:fill="auto"/>
            <w:vAlign w:val="center"/>
            <w:hideMark/>
          </w:tcPr>
          <w:p w14:paraId="57224413"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ед.</w:t>
            </w:r>
          </w:p>
        </w:tc>
        <w:tc>
          <w:tcPr>
            <w:tcW w:w="567" w:type="dxa"/>
            <w:shd w:val="clear" w:color="auto" w:fill="auto"/>
            <w:vAlign w:val="center"/>
            <w:hideMark/>
          </w:tcPr>
          <w:p w14:paraId="589A688A"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460</w:t>
            </w:r>
          </w:p>
        </w:tc>
        <w:tc>
          <w:tcPr>
            <w:tcW w:w="567" w:type="dxa"/>
            <w:shd w:val="clear" w:color="auto" w:fill="auto"/>
            <w:vAlign w:val="center"/>
            <w:hideMark/>
          </w:tcPr>
          <w:p w14:paraId="36A95598"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570</w:t>
            </w:r>
          </w:p>
        </w:tc>
        <w:tc>
          <w:tcPr>
            <w:tcW w:w="567" w:type="dxa"/>
            <w:shd w:val="clear" w:color="auto" w:fill="auto"/>
            <w:vAlign w:val="center"/>
            <w:hideMark/>
          </w:tcPr>
          <w:p w14:paraId="19456B6F"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623</w:t>
            </w:r>
          </w:p>
        </w:tc>
        <w:tc>
          <w:tcPr>
            <w:tcW w:w="708" w:type="dxa"/>
            <w:shd w:val="clear" w:color="auto" w:fill="auto"/>
            <w:vAlign w:val="center"/>
            <w:hideMark/>
          </w:tcPr>
          <w:p w14:paraId="1737322E"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623</w:t>
            </w:r>
          </w:p>
        </w:tc>
        <w:tc>
          <w:tcPr>
            <w:tcW w:w="567" w:type="dxa"/>
            <w:shd w:val="clear" w:color="auto" w:fill="auto"/>
            <w:vAlign w:val="center"/>
            <w:hideMark/>
          </w:tcPr>
          <w:p w14:paraId="3B8CD2A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r>
      <w:tr w:rsidR="00FD7B0B" w:rsidRPr="00FD7B0B" w14:paraId="58B1FF2F" w14:textId="77777777" w:rsidTr="00D93602">
        <w:trPr>
          <w:trHeight w:val="193"/>
        </w:trPr>
        <w:tc>
          <w:tcPr>
            <w:tcW w:w="6111" w:type="dxa"/>
            <w:shd w:val="clear" w:color="auto" w:fill="auto"/>
            <w:vAlign w:val="center"/>
            <w:hideMark/>
          </w:tcPr>
          <w:p w14:paraId="19097483"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3)  Количество городов с благоприятной городской средой </w:t>
            </w:r>
            <w:r w:rsidRPr="00FD7B0B">
              <w:rPr>
                <w:rFonts w:ascii="Times New Roman" w:eastAsia="Times New Roman" w:hAnsi="Times New Roman"/>
                <w:i/>
                <w:sz w:val="16"/>
                <w:szCs w:val="16"/>
                <w:lang w:eastAsia="ru-RU"/>
              </w:rPr>
              <w:t>(предварительный)</w:t>
            </w:r>
          </w:p>
        </w:tc>
        <w:tc>
          <w:tcPr>
            <w:tcW w:w="567" w:type="dxa"/>
            <w:shd w:val="clear" w:color="auto" w:fill="auto"/>
            <w:vAlign w:val="center"/>
            <w:hideMark/>
          </w:tcPr>
          <w:p w14:paraId="1AC77326"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ед.</w:t>
            </w:r>
          </w:p>
        </w:tc>
        <w:tc>
          <w:tcPr>
            <w:tcW w:w="567" w:type="dxa"/>
            <w:shd w:val="clear" w:color="auto" w:fill="auto"/>
            <w:vAlign w:val="center"/>
            <w:hideMark/>
          </w:tcPr>
          <w:p w14:paraId="70993D10"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567" w:type="dxa"/>
            <w:shd w:val="clear" w:color="auto" w:fill="auto"/>
            <w:vAlign w:val="center"/>
            <w:hideMark/>
          </w:tcPr>
          <w:p w14:paraId="41C87AD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w:t>
            </w:r>
          </w:p>
        </w:tc>
        <w:tc>
          <w:tcPr>
            <w:tcW w:w="567" w:type="dxa"/>
            <w:shd w:val="clear" w:color="auto" w:fill="auto"/>
            <w:vAlign w:val="center"/>
            <w:hideMark/>
          </w:tcPr>
          <w:p w14:paraId="431E2110"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w:t>
            </w:r>
          </w:p>
        </w:tc>
        <w:tc>
          <w:tcPr>
            <w:tcW w:w="708" w:type="dxa"/>
            <w:shd w:val="clear" w:color="auto" w:fill="auto"/>
            <w:vAlign w:val="center"/>
            <w:hideMark/>
          </w:tcPr>
          <w:p w14:paraId="75E7462A"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w:t>
            </w:r>
          </w:p>
        </w:tc>
        <w:tc>
          <w:tcPr>
            <w:tcW w:w="567" w:type="dxa"/>
            <w:shd w:val="clear" w:color="auto" w:fill="auto"/>
            <w:vAlign w:val="center"/>
            <w:hideMark/>
          </w:tcPr>
          <w:p w14:paraId="447BB3EA"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r>
      <w:tr w:rsidR="00FD7B0B" w:rsidRPr="00FD7B0B" w14:paraId="260E9DC8" w14:textId="77777777" w:rsidTr="00D93602">
        <w:trPr>
          <w:trHeight w:val="124"/>
        </w:trPr>
        <w:tc>
          <w:tcPr>
            <w:tcW w:w="6111" w:type="dxa"/>
            <w:shd w:val="clear" w:color="auto" w:fill="auto"/>
            <w:vAlign w:val="center"/>
            <w:hideMark/>
          </w:tcPr>
          <w:p w14:paraId="3F978C7C"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4) Индекс качества городской среды </w:t>
            </w:r>
            <w:r w:rsidRPr="00FD7B0B">
              <w:rPr>
                <w:rFonts w:ascii="Times New Roman" w:eastAsia="Times New Roman" w:hAnsi="Times New Roman"/>
                <w:i/>
                <w:sz w:val="16"/>
                <w:szCs w:val="16"/>
                <w:lang w:eastAsia="ru-RU"/>
              </w:rPr>
              <w:t>(предварительный)</w:t>
            </w:r>
          </w:p>
        </w:tc>
        <w:tc>
          <w:tcPr>
            <w:tcW w:w="567" w:type="dxa"/>
            <w:shd w:val="clear" w:color="auto" w:fill="auto"/>
            <w:vAlign w:val="center"/>
            <w:hideMark/>
          </w:tcPr>
          <w:p w14:paraId="33F545CB"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Балл</w:t>
            </w:r>
          </w:p>
        </w:tc>
        <w:tc>
          <w:tcPr>
            <w:tcW w:w="567" w:type="dxa"/>
            <w:shd w:val="clear" w:color="auto" w:fill="auto"/>
            <w:vAlign w:val="center"/>
            <w:hideMark/>
          </w:tcPr>
          <w:p w14:paraId="638340EE"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180</w:t>
            </w:r>
          </w:p>
        </w:tc>
        <w:tc>
          <w:tcPr>
            <w:tcW w:w="567" w:type="dxa"/>
            <w:shd w:val="clear" w:color="auto" w:fill="auto"/>
            <w:vAlign w:val="center"/>
            <w:hideMark/>
          </w:tcPr>
          <w:p w14:paraId="3D5ECF8A"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187</w:t>
            </w:r>
          </w:p>
        </w:tc>
        <w:tc>
          <w:tcPr>
            <w:tcW w:w="567" w:type="dxa"/>
            <w:shd w:val="clear" w:color="auto" w:fill="auto"/>
            <w:vAlign w:val="center"/>
            <w:hideMark/>
          </w:tcPr>
          <w:p w14:paraId="794CBC3E"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192</w:t>
            </w:r>
          </w:p>
        </w:tc>
        <w:tc>
          <w:tcPr>
            <w:tcW w:w="708" w:type="dxa"/>
            <w:shd w:val="clear" w:color="auto" w:fill="auto"/>
            <w:vAlign w:val="center"/>
            <w:hideMark/>
          </w:tcPr>
          <w:p w14:paraId="0FDE91EF"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192</w:t>
            </w:r>
          </w:p>
        </w:tc>
        <w:tc>
          <w:tcPr>
            <w:tcW w:w="567" w:type="dxa"/>
            <w:shd w:val="clear" w:color="auto" w:fill="auto"/>
            <w:vAlign w:val="center"/>
            <w:hideMark/>
          </w:tcPr>
          <w:p w14:paraId="68913797"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r>
      <w:tr w:rsidR="00FD7B0B" w:rsidRPr="00FD7B0B" w14:paraId="73773735" w14:textId="77777777" w:rsidTr="00D93602">
        <w:trPr>
          <w:trHeight w:val="638"/>
        </w:trPr>
        <w:tc>
          <w:tcPr>
            <w:tcW w:w="6111" w:type="dxa"/>
            <w:shd w:val="clear" w:color="auto" w:fill="auto"/>
            <w:vAlign w:val="center"/>
            <w:hideMark/>
          </w:tcPr>
          <w:p w14:paraId="19C7DA26"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 Доля объема закупок оборудования, имеющего российское происхождение, в том числе оборудования, закупаемого при выполнении работ, в общем объеме оборудования, закупленного в рамках реализации мероприятий государственных (муниципальных) программ современной городской среды,</w:t>
            </w:r>
          </w:p>
        </w:tc>
        <w:tc>
          <w:tcPr>
            <w:tcW w:w="567" w:type="dxa"/>
            <w:shd w:val="clear" w:color="auto" w:fill="auto"/>
            <w:vAlign w:val="center"/>
            <w:hideMark/>
          </w:tcPr>
          <w:p w14:paraId="2308AB23"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1E9A348F"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99,8</w:t>
            </w:r>
          </w:p>
        </w:tc>
        <w:tc>
          <w:tcPr>
            <w:tcW w:w="567" w:type="dxa"/>
            <w:shd w:val="clear" w:color="auto" w:fill="auto"/>
            <w:vAlign w:val="center"/>
            <w:hideMark/>
          </w:tcPr>
          <w:p w14:paraId="1CDF196F"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99,9</w:t>
            </w:r>
          </w:p>
        </w:tc>
        <w:tc>
          <w:tcPr>
            <w:tcW w:w="567" w:type="dxa"/>
            <w:shd w:val="clear" w:color="auto" w:fill="auto"/>
            <w:vAlign w:val="center"/>
            <w:hideMark/>
          </w:tcPr>
          <w:p w14:paraId="35DF75BE"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90</w:t>
            </w:r>
          </w:p>
        </w:tc>
        <w:tc>
          <w:tcPr>
            <w:tcW w:w="708" w:type="dxa"/>
            <w:shd w:val="clear" w:color="auto" w:fill="auto"/>
            <w:vAlign w:val="center"/>
            <w:hideMark/>
          </w:tcPr>
          <w:p w14:paraId="58B4B943"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99,91</w:t>
            </w:r>
          </w:p>
        </w:tc>
        <w:tc>
          <w:tcPr>
            <w:tcW w:w="567" w:type="dxa"/>
            <w:shd w:val="clear" w:color="auto" w:fill="auto"/>
            <w:vAlign w:val="center"/>
            <w:hideMark/>
          </w:tcPr>
          <w:p w14:paraId="283424DF"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111</w:t>
            </w:r>
          </w:p>
        </w:tc>
      </w:tr>
      <w:tr w:rsidR="00FD7B0B" w:rsidRPr="00FD7B0B" w14:paraId="4C4D9ABC" w14:textId="77777777" w:rsidTr="00D93602">
        <w:trPr>
          <w:trHeight w:val="251"/>
        </w:trPr>
        <w:tc>
          <w:tcPr>
            <w:tcW w:w="6111" w:type="dxa"/>
            <w:shd w:val="clear" w:color="auto" w:fill="auto"/>
            <w:vAlign w:val="center"/>
            <w:hideMark/>
          </w:tcPr>
          <w:p w14:paraId="3F8DCEEF"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6) Прирост среднего индекса качества городской среды по отношению к 2019 году </w:t>
            </w:r>
            <w:r w:rsidRPr="00FD7B0B">
              <w:rPr>
                <w:rFonts w:ascii="Times New Roman" w:eastAsia="Times New Roman" w:hAnsi="Times New Roman"/>
                <w:i/>
                <w:sz w:val="16"/>
                <w:szCs w:val="16"/>
                <w:lang w:eastAsia="ru-RU"/>
              </w:rPr>
              <w:t>(предварительный)</w:t>
            </w:r>
          </w:p>
        </w:tc>
        <w:tc>
          <w:tcPr>
            <w:tcW w:w="567" w:type="dxa"/>
            <w:shd w:val="clear" w:color="auto" w:fill="auto"/>
            <w:vAlign w:val="center"/>
            <w:hideMark/>
          </w:tcPr>
          <w:p w14:paraId="3E488935"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7FC47CAF"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16</w:t>
            </w:r>
          </w:p>
        </w:tc>
        <w:tc>
          <w:tcPr>
            <w:tcW w:w="567" w:type="dxa"/>
            <w:shd w:val="clear" w:color="auto" w:fill="auto"/>
            <w:vAlign w:val="center"/>
            <w:hideMark/>
          </w:tcPr>
          <w:p w14:paraId="2FF03BE3"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21</w:t>
            </w:r>
          </w:p>
        </w:tc>
        <w:tc>
          <w:tcPr>
            <w:tcW w:w="567" w:type="dxa"/>
            <w:shd w:val="clear" w:color="auto" w:fill="auto"/>
            <w:vAlign w:val="center"/>
            <w:hideMark/>
          </w:tcPr>
          <w:p w14:paraId="2E36461D"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24</w:t>
            </w:r>
          </w:p>
        </w:tc>
        <w:tc>
          <w:tcPr>
            <w:tcW w:w="708" w:type="dxa"/>
            <w:shd w:val="clear" w:color="auto" w:fill="auto"/>
            <w:vAlign w:val="center"/>
            <w:hideMark/>
          </w:tcPr>
          <w:p w14:paraId="732C876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24</w:t>
            </w:r>
          </w:p>
        </w:tc>
        <w:tc>
          <w:tcPr>
            <w:tcW w:w="567" w:type="dxa"/>
            <w:shd w:val="clear" w:color="auto" w:fill="auto"/>
            <w:vAlign w:val="center"/>
            <w:hideMark/>
          </w:tcPr>
          <w:p w14:paraId="0E541F9E"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r>
      <w:tr w:rsidR="00FD7B0B" w:rsidRPr="00FD7B0B" w14:paraId="5B510B0E" w14:textId="77777777" w:rsidTr="00D93602">
        <w:trPr>
          <w:trHeight w:val="609"/>
        </w:trPr>
        <w:tc>
          <w:tcPr>
            <w:tcW w:w="6111" w:type="dxa"/>
            <w:shd w:val="clear" w:color="auto" w:fill="auto"/>
            <w:vAlign w:val="center"/>
            <w:hideMark/>
          </w:tcPr>
          <w:p w14:paraId="5835E9D3"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 Доля граждан, принявших участие в решении вопросов развития городской среды, от общего количества граждан в возрасте от 14 лет, проживающих в муниципальных образованиях, на территориях которых реализуются проекты по созданию комфортной городской среды</w:t>
            </w:r>
          </w:p>
        </w:tc>
        <w:tc>
          <w:tcPr>
            <w:tcW w:w="567" w:type="dxa"/>
            <w:shd w:val="clear" w:color="auto" w:fill="auto"/>
            <w:vAlign w:val="center"/>
            <w:hideMark/>
          </w:tcPr>
          <w:p w14:paraId="27582117"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7AFA363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w:t>
            </w:r>
          </w:p>
        </w:tc>
        <w:tc>
          <w:tcPr>
            <w:tcW w:w="567" w:type="dxa"/>
            <w:shd w:val="clear" w:color="auto" w:fill="auto"/>
            <w:vAlign w:val="center"/>
            <w:hideMark/>
          </w:tcPr>
          <w:p w14:paraId="6BFF958E"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25,2</w:t>
            </w:r>
          </w:p>
        </w:tc>
        <w:tc>
          <w:tcPr>
            <w:tcW w:w="567" w:type="dxa"/>
            <w:shd w:val="clear" w:color="auto" w:fill="auto"/>
            <w:vAlign w:val="center"/>
            <w:hideMark/>
          </w:tcPr>
          <w:p w14:paraId="471948DE"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30</w:t>
            </w:r>
          </w:p>
        </w:tc>
        <w:tc>
          <w:tcPr>
            <w:tcW w:w="708" w:type="dxa"/>
            <w:shd w:val="clear" w:color="auto" w:fill="auto"/>
            <w:vAlign w:val="center"/>
            <w:hideMark/>
          </w:tcPr>
          <w:p w14:paraId="300D5639"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34,46</w:t>
            </w:r>
          </w:p>
        </w:tc>
        <w:tc>
          <w:tcPr>
            <w:tcW w:w="567" w:type="dxa"/>
            <w:shd w:val="clear" w:color="auto" w:fill="auto"/>
            <w:vAlign w:val="center"/>
            <w:hideMark/>
          </w:tcPr>
          <w:p w14:paraId="0AB19FED"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115</w:t>
            </w:r>
          </w:p>
        </w:tc>
      </w:tr>
      <w:tr w:rsidR="00FD7B0B" w:rsidRPr="00FD7B0B" w14:paraId="6897D13C" w14:textId="77777777" w:rsidTr="00D93602">
        <w:trPr>
          <w:trHeight w:val="139"/>
        </w:trPr>
        <w:tc>
          <w:tcPr>
            <w:tcW w:w="9654" w:type="dxa"/>
            <w:gridSpan w:val="7"/>
            <w:shd w:val="clear" w:color="auto" w:fill="auto"/>
            <w:vAlign w:val="center"/>
            <w:hideMark/>
          </w:tcPr>
          <w:p w14:paraId="4F220E9F"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Процессная часть</w:t>
            </w:r>
          </w:p>
        </w:tc>
      </w:tr>
      <w:tr w:rsidR="00FD7B0B" w:rsidRPr="00FD7B0B" w14:paraId="3B1C177B" w14:textId="77777777" w:rsidTr="00D93602">
        <w:trPr>
          <w:trHeight w:val="696"/>
        </w:trPr>
        <w:tc>
          <w:tcPr>
            <w:tcW w:w="6111" w:type="dxa"/>
            <w:shd w:val="clear" w:color="auto" w:fill="auto"/>
            <w:vAlign w:val="center"/>
            <w:hideMark/>
          </w:tcPr>
          <w:p w14:paraId="2342E515"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Доля концепций благоустройства территорий, разработанных ГКУ АО «Проектная дирекция министерства ТЭК и ЖКХ Архангельской области», от общего количества дворовых и общественных территорий, планируемых к благоустройству в году, следующим за годом предоставления субсидии</w:t>
            </w:r>
          </w:p>
        </w:tc>
        <w:tc>
          <w:tcPr>
            <w:tcW w:w="567" w:type="dxa"/>
            <w:shd w:val="clear" w:color="auto" w:fill="auto"/>
            <w:vAlign w:val="center"/>
            <w:hideMark/>
          </w:tcPr>
          <w:p w14:paraId="585B1AE3"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3A236283"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7A871294"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2AE0B38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w:t>
            </w:r>
          </w:p>
        </w:tc>
        <w:tc>
          <w:tcPr>
            <w:tcW w:w="708" w:type="dxa"/>
            <w:shd w:val="clear" w:color="auto" w:fill="auto"/>
            <w:vAlign w:val="center"/>
            <w:hideMark/>
          </w:tcPr>
          <w:p w14:paraId="0954DE66"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w:t>
            </w:r>
          </w:p>
        </w:tc>
        <w:tc>
          <w:tcPr>
            <w:tcW w:w="567" w:type="dxa"/>
            <w:shd w:val="clear" w:color="auto" w:fill="auto"/>
            <w:vAlign w:val="center"/>
            <w:hideMark/>
          </w:tcPr>
          <w:p w14:paraId="17E4AF0C"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r>
      <w:tr w:rsidR="00FD7B0B" w:rsidRPr="00FD7B0B" w14:paraId="277CD47A" w14:textId="77777777" w:rsidTr="00D93602">
        <w:trPr>
          <w:trHeight w:val="805"/>
        </w:trPr>
        <w:tc>
          <w:tcPr>
            <w:tcW w:w="6111" w:type="dxa"/>
            <w:shd w:val="clear" w:color="auto" w:fill="auto"/>
            <w:vAlign w:val="center"/>
            <w:hideMark/>
          </w:tcPr>
          <w:p w14:paraId="3FBDA565"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 Доля муниципальных образований Архангельской области, на территории которых проведены мероприятия по информационному освещению Всероссийского онлайн-голосования по выбору общественных территорий от общего количества муниципальных образований Архангельской области, на территории которых проводятся указанные мероприятия</w:t>
            </w:r>
          </w:p>
        </w:tc>
        <w:tc>
          <w:tcPr>
            <w:tcW w:w="567" w:type="dxa"/>
            <w:shd w:val="clear" w:color="auto" w:fill="auto"/>
            <w:vAlign w:val="center"/>
            <w:hideMark/>
          </w:tcPr>
          <w:p w14:paraId="697EFA1E"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474E365A"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1E87F24A"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6066C152"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c>
          <w:tcPr>
            <w:tcW w:w="708" w:type="dxa"/>
            <w:shd w:val="clear" w:color="auto" w:fill="auto"/>
            <w:vAlign w:val="center"/>
            <w:hideMark/>
          </w:tcPr>
          <w:p w14:paraId="611348B8"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c>
          <w:tcPr>
            <w:tcW w:w="567" w:type="dxa"/>
            <w:shd w:val="clear" w:color="auto" w:fill="auto"/>
            <w:vAlign w:val="center"/>
            <w:hideMark/>
          </w:tcPr>
          <w:p w14:paraId="3BD9A432"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r>
      <w:tr w:rsidR="00511BC5" w:rsidRPr="00FD7B0B" w14:paraId="3C896F84" w14:textId="77777777" w:rsidTr="00D93602">
        <w:trPr>
          <w:trHeight w:val="578"/>
        </w:trPr>
        <w:tc>
          <w:tcPr>
            <w:tcW w:w="6111" w:type="dxa"/>
            <w:shd w:val="clear" w:color="auto" w:fill="auto"/>
            <w:vAlign w:val="center"/>
            <w:hideMark/>
          </w:tcPr>
          <w:p w14:paraId="7AF01CA4" w14:textId="77777777" w:rsidR="00511BC5" w:rsidRPr="00FD7B0B" w:rsidRDefault="00511BC5" w:rsidP="00D93602">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 Доля территорий в муниципальных образованиях Архангельской области, в отношении которых реализованы дополнительные мероприятия по благоустройству от общего количества территорий, планируемых к благоустройству в году предоставления субсидии</w:t>
            </w:r>
          </w:p>
        </w:tc>
        <w:tc>
          <w:tcPr>
            <w:tcW w:w="567" w:type="dxa"/>
            <w:shd w:val="clear" w:color="auto" w:fill="auto"/>
            <w:vAlign w:val="center"/>
            <w:hideMark/>
          </w:tcPr>
          <w:p w14:paraId="6887B4FD"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39374007"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17A01886"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567" w:type="dxa"/>
            <w:shd w:val="clear" w:color="auto" w:fill="auto"/>
            <w:vAlign w:val="center"/>
            <w:hideMark/>
          </w:tcPr>
          <w:p w14:paraId="73D98732"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1,8</w:t>
            </w:r>
          </w:p>
        </w:tc>
        <w:tc>
          <w:tcPr>
            <w:tcW w:w="708" w:type="dxa"/>
            <w:shd w:val="clear" w:color="auto" w:fill="auto"/>
            <w:vAlign w:val="center"/>
            <w:hideMark/>
          </w:tcPr>
          <w:p w14:paraId="7B24840B"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1,8</w:t>
            </w:r>
          </w:p>
        </w:tc>
        <w:tc>
          <w:tcPr>
            <w:tcW w:w="567" w:type="dxa"/>
            <w:shd w:val="clear" w:color="auto" w:fill="auto"/>
            <w:vAlign w:val="center"/>
            <w:hideMark/>
          </w:tcPr>
          <w:p w14:paraId="42EA9601" w14:textId="77777777" w:rsidR="00511BC5" w:rsidRPr="00FD7B0B" w:rsidRDefault="00511BC5" w:rsidP="00D93602">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r>
    </w:tbl>
    <w:p w14:paraId="7F87FBE8" w14:textId="77777777" w:rsidR="00511BC5" w:rsidRPr="00FD7B0B" w:rsidRDefault="00511BC5" w:rsidP="00511BC5">
      <w:pPr>
        <w:spacing w:after="0" w:line="240" w:lineRule="auto"/>
        <w:ind w:firstLine="709"/>
        <w:rPr>
          <w:rFonts w:ascii="Times New Roman" w:hAnsi="Times New Roman"/>
          <w:sz w:val="28"/>
          <w:szCs w:val="28"/>
        </w:rPr>
      </w:pPr>
    </w:p>
    <w:p w14:paraId="1ED7F522" w14:textId="77777777" w:rsidR="00511BC5" w:rsidRPr="00FD7B0B" w:rsidRDefault="00511BC5" w:rsidP="00511BC5">
      <w:pPr>
        <w:pStyle w:val="ad"/>
        <w:ind w:firstLine="709"/>
        <w:jc w:val="both"/>
        <w:rPr>
          <w:rFonts w:ascii="Times New Roman" w:hAnsi="Times New Roman"/>
          <w:sz w:val="28"/>
          <w:szCs w:val="28"/>
        </w:rPr>
      </w:pPr>
      <w:r w:rsidRPr="00FD7B0B">
        <w:rPr>
          <w:rFonts w:ascii="Times New Roman" w:hAnsi="Times New Roman"/>
          <w:sz w:val="28"/>
          <w:szCs w:val="28"/>
        </w:rPr>
        <w:t>По 8 из 12 показателям ГП № 13 и структурных элементов наблюдается положительная динамика за последние три года. Четыре показателя введены впервые.</w:t>
      </w:r>
    </w:p>
    <w:p w14:paraId="0BB93EB4" w14:textId="77777777" w:rsidR="00511BC5" w:rsidRPr="00FD7B0B" w:rsidRDefault="00511BC5" w:rsidP="00511BC5">
      <w:pPr>
        <w:pStyle w:val="ad"/>
        <w:ind w:firstLine="709"/>
        <w:jc w:val="both"/>
        <w:rPr>
          <w:rFonts w:ascii="Times New Roman" w:hAnsi="Times New Roman"/>
          <w:sz w:val="28"/>
          <w:szCs w:val="28"/>
        </w:rPr>
      </w:pPr>
    </w:p>
    <w:p w14:paraId="5CA72B5F" w14:textId="77777777" w:rsidR="00511BC5" w:rsidRPr="00FD7B0B" w:rsidRDefault="00511BC5" w:rsidP="00511BC5">
      <w:pPr>
        <w:pStyle w:val="ad"/>
        <w:ind w:firstLine="709"/>
        <w:jc w:val="center"/>
        <w:rPr>
          <w:rFonts w:ascii="Times New Roman" w:hAnsi="Times New Roman"/>
          <w:b/>
          <w:sz w:val="28"/>
          <w:szCs w:val="28"/>
        </w:rPr>
      </w:pPr>
      <w:r w:rsidRPr="00FD7B0B">
        <w:rPr>
          <w:rFonts w:ascii="Times New Roman" w:hAnsi="Times New Roman"/>
          <w:b/>
          <w:sz w:val="28"/>
          <w:szCs w:val="28"/>
        </w:rPr>
        <w:t>Итоговая оценка реализации ГП № 13</w:t>
      </w:r>
    </w:p>
    <w:p w14:paraId="1437CD42" w14:textId="77777777" w:rsidR="00511BC5" w:rsidRPr="00FD7B0B" w:rsidRDefault="00511BC5" w:rsidP="00511BC5">
      <w:pPr>
        <w:pStyle w:val="aff0"/>
        <w:keepNext/>
        <w:spacing w:after="0" w:line="240" w:lineRule="auto"/>
        <w:jc w:val="both"/>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161</w:t>
      </w:r>
      <w:r w:rsidRPr="00FD7B0B">
        <w:rPr>
          <w:rFonts w:ascii="Times New Roman" w:hAnsi="Times New Roman"/>
          <w:b w:val="0"/>
          <w:sz w:val="24"/>
          <w:szCs w:val="24"/>
        </w:rPr>
        <w:fldChar w:fldCharType="end"/>
      </w:r>
      <w:r w:rsidRPr="00FD7B0B">
        <w:rPr>
          <w:rFonts w:ascii="Times New Roman" w:hAnsi="Times New Roman"/>
          <w:b w:val="0"/>
          <w:sz w:val="24"/>
          <w:szCs w:val="24"/>
        </w:rPr>
        <w:t>. Оценка исполнения по ресурсам и результатам</w:t>
      </w: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291"/>
        <w:gridCol w:w="1701"/>
        <w:gridCol w:w="1985"/>
        <w:gridCol w:w="1701"/>
        <w:gridCol w:w="1842"/>
        <w:gridCol w:w="1134"/>
      </w:tblGrid>
      <w:tr w:rsidR="00FD7B0B" w:rsidRPr="00FD7B0B" w14:paraId="505955A9" w14:textId="77777777" w:rsidTr="007C0A55">
        <w:trPr>
          <w:trHeight w:val="28"/>
        </w:trPr>
        <w:tc>
          <w:tcPr>
            <w:tcW w:w="9654" w:type="dxa"/>
            <w:gridSpan w:val="6"/>
            <w:shd w:val="clear" w:color="auto" w:fill="auto"/>
            <w:vAlign w:val="center"/>
            <w:hideMark/>
          </w:tcPr>
          <w:p w14:paraId="3BCA061D"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ИСПОЛНЕНИЯ ГОСПРОГРАММЫ ПО РЕСУРСАМ И РЕЗУЛЬТАТАМ</w:t>
            </w:r>
          </w:p>
        </w:tc>
      </w:tr>
      <w:tr w:rsidR="00FD7B0B" w:rsidRPr="00FD7B0B" w14:paraId="74241B88" w14:textId="77777777" w:rsidTr="00511BC5">
        <w:trPr>
          <w:trHeight w:val="335"/>
        </w:trPr>
        <w:tc>
          <w:tcPr>
            <w:tcW w:w="1291" w:type="dxa"/>
            <w:vMerge w:val="restart"/>
            <w:shd w:val="clear" w:color="auto" w:fill="auto"/>
            <w:vAlign w:val="center"/>
            <w:hideMark/>
          </w:tcPr>
          <w:p w14:paraId="0E38070B"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кассового исполнения ...</w:t>
            </w:r>
          </w:p>
        </w:tc>
        <w:tc>
          <w:tcPr>
            <w:tcW w:w="1701" w:type="dxa"/>
            <w:vMerge w:val="restart"/>
            <w:shd w:val="clear" w:color="auto" w:fill="auto"/>
            <w:vAlign w:val="center"/>
            <w:hideMark/>
          </w:tcPr>
          <w:p w14:paraId="1672F1E3"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объема изменений, внесенных в СБР…</w:t>
            </w:r>
          </w:p>
        </w:tc>
        <w:tc>
          <w:tcPr>
            <w:tcW w:w="3686" w:type="dxa"/>
            <w:gridSpan w:val="2"/>
            <w:shd w:val="clear" w:color="auto" w:fill="auto"/>
            <w:vAlign w:val="center"/>
            <w:hideMark/>
          </w:tcPr>
          <w:p w14:paraId="52B6507B"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реализации мероприятий (достижения результатов) структурных элементов ...</w:t>
            </w:r>
          </w:p>
        </w:tc>
        <w:tc>
          <w:tcPr>
            <w:tcW w:w="1842" w:type="dxa"/>
            <w:shd w:val="clear" w:color="auto" w:fill="auto"/>
            <w:vAlign w:val="center"/>
            <w:hideMark/>
          </w:tcPr>
          <w:p w14:paraId="373A4F4F"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Оценка достижения ... показателей ...</w:t>
            </w:r>
          </w:p>
        </w:tc>
        <w:tc>
          <w:tcPr>
            <w:tcW w:w="1134" w:type="dxa"/>
            <w:vMerge w:val="restart"/>
            <w:shd w:val="clear" w:color="auto" w:fill="auto"/>
            <w:vAlign w:val="center"/>
            <w:hideMark/>
          </w:tcPr>
          <w:p w14:paraId="53014E42"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Итого</w:t>
            </w:r>
          </w:p>
        </w:tc>
      </w:tr>
      <w:tr w:rsidR="00FD7B0B" w:rsidRPr="00FD7B0B" w14:paraId="60382289" w14:textId="77777777" w:rsidTr="00511BC5">
        <w:trPr>
          <w:trHeight w:val="269"/>
        </w:trPr>
        <w:tc>
          <w:tcPr>
            <w:tcW w:w="1291" w:type="dxa"/>
            <w:vMerge/>
            <w:vAlign w:val="center"/>
            <w:hideMark/>
          </w:tcPr>
          <w:p w14:paraId="28411D47" w14:textId="77777777" w:rsidR="00511BC5" w:rsidRPr="00FD7B0B" w:rsidRDefault="00511BC5" w:rsidP="00511BC5">
            <w:pPr>
              <w:spacing w:after="0" w:line="240" w:lineRule="auto"/>
              <w:rPr>
                <w:rFonts w:ascii="Times New Roman" w:eastAsia="Times New Roman" w:hAnsi="Times New Roman" w:cs="Times New Roman"/>
                <w:sz w:val="14"/>
                <w:szCs w:val="14"/>
                <w:lang w:eastAsia="ru-RU"/>
              </w:rPr>
            </w:pPr>
          </w:p>
        </w:tc>
        <w:tc>
          <w:tcPr>
            <w:tcW w:w="1701" w:type="dxa"/>
            <w:vMerge/>
            <w:vAlign w:val="center"/>
            <w:hideMark/>
          </w:tcPr>
          <w:p w14:paraId="650D03C8" w14:textId="77777777" w:rsidR="00511BC5" w:rsidRPr="00FD7B0B" w:rsidRDefault="00511BC5" w:rsidP="00511BC5">
            <w:pPr>
              <w:spacing w:after="0" w:line="240" w:lineRule="auto"/>
              <w:rPr>
                <w:rFonts w:ascii="Times New Roman" w:eastAsia="Times New Roman" w:hAnsi="Times New Roman" w:cs="Times New Roman"/>
                <w:sz w:val="14"/>
                <w:szCs w:val="14"/>
                <w:lang w:eastAsia="ru-RU"/>
              </w:rPr>
            </w:pPr>
          </w:p>
        </w:tc>
        <w:tc>
          <w:tcPr>
            <w:tcW w:w="1985" w:type="dxa"/>
            <w:shd w:val="clear" w:color="auto" w:fill="auto"/>
            <w:vAlign w:val="center"/>
            <w:hideMark/>
          </w:tcPr>
          <w:p w14:paraId="3F570B70"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 xml:space="preserve">степень достижения показателей </w:t>
            </w:r>
          </w:p>
        </w:tc>
        <w:tc>
          <w:tcPr>
            <w:tcW w:w="1701" w:type="dxa"/>
            <w:shd w:val="clear" w:color="auto" w:fill="auto"/>
            <w:vAlign w:val="center"/>
            <w:hideMark/>
          </w:tcPr>
          <w:p w14:paraId="095EA43A"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 xml:space="preserve">доля выполненных показателей </w:t>
            </w:r>
          </w:p>
        </w:tc>
        <w:tc>
          <w:tcPr>
            <w:tcW w:w="1842" w:type="dxa"/>
            <w:shd w:val="clear" w:color="auto" w:fill="auto"/>
            <w:vAlign w:val="center"/>
            <w:hideMark/>
          </w:tcPr>
          <w:p w14:paraId="0ECF0510"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 xml:space="preserve">степень достижения показателей </w:t>
            </w:r>
          </w:p>
        </w:tc>
        <w:tc>
          <w:tcPr>
            <w:tcW w:w="1134" w:type="dxa"/>
            <w:vMerge/>
            <w:vAlign w:val="center"/>
            <w:hideMark/>
          </w:tcPr>
          <w:p w14:paraId="3701EEEF" w14:textId="77777777" w:rsidR="00511BC5" w:rsidRPr="00FD7B0B" w:rsidRDefault="00511BC5" w:rsidP="00511BC5">
            <w:pPr>
              <w:spacing w:after="0" w:line="240" w:lineRule="auto"/>
              <w:rPr>
                <w:rFonts w:ascii="Times New Roman" w:eastAsia="Times New Roman" w:hAnsi="Times New Roman" w:cs="Times New Roman"/>
                <w:sz w:val="14"/>
                <w:szCs w:val="14"/>
                <w:lang w:eastAsia="ru-RU"/>
              </w:rPr>
            </w:pPr>
          </w:p>
        </w:tc>
      </w:tr>
      <w:tr w:rsidR="00FD7B0B" w:rsidRPr="00FD7B0B" w14:paraId="7427346D" w14:textId="77777777" w:rsidTr="00511BC5">
        <w:trPr>
          <w:trHeight w:val="384"/>
        </w:trPr>
        <w:tc>
          <w:tcPr>
            <w:tcW w:w="1291" w:type="dxa"/>
            <w:shd w:val="clear" w:color="000000" w:fill="92D050"/>
            <w:vAlign w:val="center"/>
            <w:hideMark/>
          </w:tcPr>
          <w:p w14:paraId="6491C832"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1701" w:type="dxa"/>
            <w:shd w:val="clear" w:color="000000" w:fill="92D050"/>
            <w:vAlign w:val="center"/>
            <w:hideMark/>
          </w:tcPr>
          <w:p w14:paraId="47BA0B9E"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1985" w:type="dxa"/>
            <w:shd w:val="clear" w:color="000000" w:fill="92D050"/>
            <w:vAlign w:val="center"/>
            <w:hideMark/>
          </w:tcPr>
          <w:p w14:paraId="475C83FD"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1701" w:type="dxa"/>
            <w:shd w:val="clear" w:color="000000" w:fill="92D050"/>
            <w:vAlign w:val="center"/>
            <w:hideMark/>
          </w:tcPr>
          <w:p w14:paraId="434067B6"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1842" w:type="dxa"/>
            <w:shd w:val="clear" w:color="000000" w:fill="92D050"/>
            <w:vAlign w:val="center"/>
            <w:hideMark/>
          </w:tcPr>
          <w:p w14:paraId="18D7930D"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c>
          <w:tcPr>
            <w:tcW w:w="1134" w:type="dxa"/>
            <w:shd w:val="clear" w:color="000000" w:fill="92D050"/>
            <w:vAlign w:val="center"/>
            <w:hideMark/>
          </w:tcPr>
          <w:p w14:paraId="21311CB6" w14:textId="77777777" w:rsidR="00511BC5" w:rsidRPr="00FD7B0B" w:rsidRDefault="00511BC5" w:rsidP="00511BC5">
            <w:pPr>
              <w:spacing w:after="0" w:line="240" w:lineRule="auto"/>
              <w:jc w:val="center"/>
              <w:rPr>
                <w:rFonts w:ascii="Times New Roman" w:eastAsia="Times New Roman" w:hAnsi="Times New Roman" w:cs="Times New Roman"/>
                <w:sz w:val="14"/>
                <w:szCs w:val="14"/>
                <w:lang w:eastAsia="ru-RU"/>
              </w:rPr>
            </w:pPr>
            <w:r w:rsidRPr="00FD7B0B">
              <w:rPr>
                <w:rFonts w:ascii="Times New Roman" w:eastAsia="Times New Roman" w:hAnsi="Times New Roman" w:cs="Times New Roman"/>
                <w:sz w:val="14"/>
                <w:szCs w:val="14"/>
                <w:lang w:eastAsia="ru-RU"/>
              </w:rPr>
              <w:t>высокий уровень</w:t>
            </w:r>
          </w:p>
        </w:tc>
      </w:tr>
    </w:tbl>
    <w:p w14:paraId="1F133049" w14:textId="77777777" w:rsidR="00511BC5" w:rsidRPr="00FD7B0B" w:rsidRDefault="00511BC5" w:rsidP="00511BC5">
      <w:pPr>
        <w:pStyle w:val="ad"/>
        <w:ind w:firstLine="709"/>
        <w:jc w:val="both"/>
        <w:rPr>
          <w:rFonts w:ascii="Times New Roman" w:hAnsi="Times New Roman"/>
          <w:sz w:val="24"/>
          <w:szCs w:val="24"/>
        </w:rPr>
      </w:pPr>
    </w:p>
    <w:p w14:paraId="3E302F92" w14:textId="77777777" w:rsidR="00511BC5" w:rsidRPr="00FD7B0B" w:rsidRDefault="00511BC5" w:rsidP="007C0A55">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162</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Оценка формирования и использования системы показателей исходя из приоритетов социально-экономического развития РФ по результатам проверки исполнения </w:t>
      </w:r>
    </w:p>
    <w:tbl>
      <w:tblPr>
        <w:tblW w:w="9662" w:type="dxa"/>
        <w:tblInd w:w="8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1441"/>
        <w:gridCol w:w="1701"/>
        <w:gridCol w:w="1276"/>
        <w:gridCol w:w="1417"/>
        <w:gridCol w:w="2268"/>
        <w:gridCol w:w="1559"/>
      </w:tblGrid>
      <w:tr w:rsidR="00FD7B0B" w:rsidRPr="00FD7B0B" w14:paraId="13D0BADB" w14:textId="77777777" w:rsidTr="00511BC5">
        <w:trPr>
          <w:trHeight w:val="300"/>
        </w:trPr>
        <w:tc>
          <w:tcPr>
            <w:tcW w:w="9662" w:type="dxa"/>
            <w:gridSpan w:val="6"/>
            <w:shd w:val="clear" w:color="auto" w:fill="auto"/>
            <w:vAlign w:val="center"/>
            <w:hideMark/>
          </w:tcPr>
          <w:p w14:paraId="599DBFB7" w14:textId="77777777" w:rsidR="00511BC5" w:rsidRPr="00FD7B0B" w:rsidRDefault="00511BC5" w:rsidP="00511BC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Оценка формирования и использования системы показателей исходя из приоритетов социально-экономического развития РФ по результатам проверки исполнения госпрограммы</w:t>
            </w:r>
          </w:p>
        </w:tc>
      </w:tr>
      <w:tr w:rsidR="00FD7B0B" w:rsidRPr="00FD7B0B" w14:paraId="45A26F23" w14:textId="77777777" w:rsidTr="00511BC5">
        <w:trPr>
          <w:trHeight w:val="982"/>
        </w:trPr>
        <w:tc>
          <w:tcPr>
            <w:tcW w:w="1441" w:type="dxa"/>
            <w:shd w:val="clear" w:color="auto" w:fill="auto"/>
            <w:vAlign w:val="center"/>
            <w:hideMark/>
          </w:tcPr>
          <w:p w14:paraId="499D2233"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состава показателей ...</w:t>
            </w:r>
          </w:p>
        </w:tc>
        <w:tc>
          <w:tcPr>
            <w:tcW w:w="1701" w:type="dxa"/>
            <w:shd w:val="clear" w:color="auto" w:fill="auto"/>
            <w:vAlign w:val="center"/>
            <w:hideMark/>
          </w:tcPr>
          <w:p w14:paraId="2C35D2AC"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стабильности состава показателей ... на протяжении отчетного года</w:t>
            </w:r>
          </w:p>
        </w:tc>
        <w:tc>
          <w:tcPr>
            <w:tcW w:w="1276" w:type="dxa"/>
            <w:shd w:val="clear" w:color="auto" w:fill="auto"/>
            <w:vAlign w:val="center"/>
            <w:hideMark/>
          </w:tcPr>
          <w:p w14:paraId="27DFE9A7"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стабильности состава показателей ... за три года</w:t>
            </w:r>
          </w:p>
        </w:tc>
        <w:tc>
          <w:tcPr>
            <w:tcW w:w="1417" w:type="dxa"/>
            <w:shd w:val="clear" w:color="auto" w:fill="auto"/>
            <w:vAlign w:val="center"/>
            <w:hideMark/>
          </w:tcPr>
          <w:p w14:paraId="541364FD"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динамики ... значений показателей ...</w:t>
            </w:r>
          </w:p>
        </w:tc>
        <w:tc>
          <w:tcPr>
            <w:tcW w:w="2268" w:type="dxa"/>
            <w:shd w:val="clear" w:color="auto" w:fill="auto"/>
            <w:vAlign w:val="center"/>
            <w:hideMark/>
          </w:tcPr>
          <w:p w14:paraId="07161608"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количества показателей ..., по которым представлены фактические значения за отчетный год ...</w:t>
            </w:r>
          </w:p>
        </w:tc>
        <w:tc>
          <w:tcPr>
            <w:tcW w:w="1559" w:type="dxa"/>
            <w:shd w:val="clear" w:color="auto" w:fill="auto"/>
            <w:vAlign w:val="center"/>
            <w:hideMark/>
          </w:tcPr>
          <w:p w14:paraId="7557D565" w14:textId="77777777" w:rsidR="00511BC5" w:rsidRPr="00FD7B0B" w:rsidRDefault="00511BC5" w:rsidP="00511BC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r>
      <w:tr w:rsidR="00FD7B0B" w:rsidRPr="00FD7B0B" w14:paraId="14AC0ECE" w14:textId="77777777" w:rsidTr="00511BC5">
        <w:trPr>
          <w:trHeight w:val="576"/>
        </w:trPr>
        <w:tc>
          <w:tcPr>
            <w:tcW w:w="1441" w:type="dxa"/>
            <w:shd w:val="clear" w:color="000000" w:fill="FF0000"/>
            <w:vAlign w:val="center"/>
            <w:hideMark/>
          </w:tcPr>
          <w:p w14:paraId="038E7DD7"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низкий уровень</w:t>
            </w:r>
          </w:p>
        </w:tc>
        <w:tc>
          <w:tcPr>
            <w:tcW w:w="1701" w:type="dxa"/>
            <w:shd w:val="clear" w:color="000000" w:fill="92D050"/>
            <w:vAlign w:val="center"/>
            <w:hideMark/>
          </w:tcPr>
          <w:p w14:paraId="0C7E58B5"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1276" w:type="dxa"/>
            <w:shd w:val="clear" w:color="000000" w:fill="92D050"/>
            <w:vAlign w:val="center"/>
            <w:hideMark/>
          </w:tcPr>
          <w:p w14:paraId="661DC2B0"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1417" w:type="dxa"/>
            <w:shd w:val="clear" w:color="000000" w:fill="92D050"/>
            <w:vAlign w:val="center"/>
            <w:hideMark/>
          </w:tcPr>
          <w:p w14:paraId="1EC2B6DA"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высокий уровень</w:t>
            </w:r>
          </w:p>
        </w:tc>
        <w:tc>
          <w:tcPr>
            <w:tcW w:w="2268" w:type="dxa"/>
            <w:shd w:val="clear" w:color="000000" w:fill="FF0000"/>
            <w:vAlign w:val="center"/>
            <w:hideMark/>
          </w:tcPr>
          <w:p w14:paraId="2EED85AA"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низкий уровень</w:t>
            </w:r>
          </w:p>
        </w:tc>
        <w:tc>
          <w:tcPr>
            <w:tcW w:w="1559" w:type="dxa"/>
            <w:shd w:val="clear" w:color="000000" w:fill="FFFF00"/>
            <w:vAlign w:val="center"/>
            <w:hideMark/>
          </w:tcPr>
          <w:p w14:paraId="692D94A3" w14:textId="77777777" w:rsidR="00511BC5" w:rsidRPr="00FD7B0B" w:rsidRDefault="00511BC5" w:rsidP="00511B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средний уровень</w:t>
            </w:r>
          </w:p>
        </w:tc>
      </w:tr>
    </w:tbl>
    <w:p w14:paraId="5697DF72" w14:textId="781FFF00" w:rsidR="00D304BC" w:rsidRPr="00FD7B0B" w:rsidRDefault="009B516C" w:rsidP="00D304BC">
      <w:pPr>
        <w:pStyle w:val="3"/>
        <w:spacing w:line="240" w:lineRule="auto"/>
        <w:jc w:val="center"/>
        <w:rPr>
          <w:rFonts w:ascii="Times New Roman" w:hAnsi="Times New Roman"/>
          <w:b w:val="0"/>
          <w:sz w:val="28"/>
          <w:szCs w:val="28"/>
          <w:u w:val="single"/>
          <w:lang w:val="ru-RU"/>
        </w:rPr>
      </w:pPr>
      <w:bookmarkStart w:id="139" w:name="_Toc198819143"/>
      <w:r w:rsidRPr="00FD7B0B">
        <w:rPr>
          <w:rFonts w:ascii="Times New Roman" w:hAnsi="Times New Roman"/>
          <w:b w:val="0"/>
          <w:sz w:val="28"/>
          <w:szCs w:val="28"/>
          <w:u w:val="single"/>
          <w:lang w:val="ru-RU"/>
        </w:rPr>
        <w:lastRenderedPageBreak/>
        <w:t>4</w:t>
      </w:r>
      <w:r w:rsidR="00D304BC"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lang w:val="ru-RU"/>
        </w:rPr>
        <w:t>.1</w:t>
      </w:r>
      <w:r w:rsidR="007F7958" w:rsidRPr="00FD7B0B">
        <w:rPr>
          <w:rFonts w:ascii="Times New Roman" w:hAnsi="Times New Roman"/>
          <w:b w:val="0"/>
          <w:sz w:val="28"/>
          <w:szCs w:val="28"/>
          <w:u w:val="single"/>
          <w:lang w:val="ru-RU"/>
        </w:rPr>
        <w:t>0</w:t>
      </w:r>
      <w:r w:rsidR="00D304BC" w:rsidRPr="00FD7B0B">
        <w:rPr>
          <w:rFonts w:ascii="Times New Roman" w:hAnsi="Times New Roman"/>
          <w:b w:val="0"/>
          <w:sz w:val="28"/>
          <w:szCs w:val="28"/>
          <w:u w:val="single"/>
          <w:lang w:val="ru-RU"/>
        </w:rPr>
        <w:t xml:space="preserve">. Государственная программа Архангельской области </w:t>
      </w:r>
      <w:r w:rsidR="0065479F" w:rsidRPr="00FD7B0B">
        <w:rPr>
          <w:rFonts w:ascii="Times New Roman" w:hAnsi="Times New Roman"/>
          <w:b w:val="0"/>
          <w:sz w:val="28"/>
          <w:szCs w:val="28"/>
          <w:u w:val="single"/>
          <w:lang w:val="ru-RU"/>
        </w:rPr>
        <w:t>«</w:t>
      </w:r>
      <w:r w:rsidR="00D304BC" w:rsidRPr="00FD7B0B">
        <w:rPr>
          <w:rFonts w:ascii="Times New Roman" w:hAnsi="Times New Roman"/>
          <w:b w:val="0"/>
          <w:sz w:val="28"/>
          <w:szCs w:val="28"/>
          <w:u w:val="single"/>
          <w:lang w:val="ru-RU"/>
        </w:rPr>
        <w:t>Развитие лесного комплекса Архангельской области</w:t>
      </w:r>
      <w:r w:rsidR="0065479F" w:rsidRPr="00FD7B0B">
        <w:rPr>
          <w:rFonts w:ascii="Times New Roman" w:hAnsi="Times New Roman"/>
          <w:b w:val="0"/>
          <w:sz w:val="28"/>
          <w:szCs w:val="28"/>
          <w:u w:val="single"/>
          <w:lang w:val="ru-RU"/>
        </w:rPr>
        <w:t>»</w:t>
      </w:r>
      <w:bookmarkEnd w:id="139"/>
    </w:p>
    <w:p w14:paraId="7477F926" w14:textId="77777777" w:rsidR="00E957D4" w:rsidRPr="00FD7B0B" w:rsidRDefault="006751D0" w:rsidP="00E957D4">
      <w:pPr>
        <w:spacing w:after="0" w:line="240" w:lineRule="auto"/>
        <w:ind w:firstLine="709"/>
        <w:jc w:val="both"/>
        <w:rPr>
          <w:rFonts w:ascii="Times New Roman" w:eastAsia="Calibri" w:hAnsi="Times New Roman" w:cs="Times New Roman"/>
          <w:sz w:val="28"/>
          <w:szCs w:val="28"/>
          <w:lang w:eastAsia="ru-RU"/>
        </w:rPr>
      </w:pPr>
      <w:r w:rsidRPr="00FD7B0B">
        <w:rPr>
          <w:rFonts w:ascii="Times New Roman" w:hAnsi="Times New Roman"/>
          <w:sz w:val="28"/>
          <w:szCs w:val="28"/>
          <w:lang w:eastAsia="ru-RU"/>
        </w:rPr>
        <w:t xml:space="preserve"> </w:t>
      </w:r>
      <w:r w:rsidR="00E957D4" w:rsidRPr="00FD7B0B">
        <w:rPr>
          <w:rFonts w:ascii="Times New Roman" w:eastAsia="Calibri" w:hAnsi="Times New Roman" w:cs="Times New Roman"/>
          <w:sz w:val="28"/>
          <w:szCs w:val="28"/>
          <w:lang w:eastAsia="ru-RU"/>
        </w:rPr>
        <w:t>Государственная программа Архангельской области «Развитие лесного комплекса Архангельской области» утверждена постановлением Правительства Архангельской области от 08.10.2013 № 459-пп (далее – ПП АО и ГП № 15).</w:t>
      </w:r>
    </w:p>
    <w:p w14:paraId="399E1135" w14:textId="77777777" w:rsidR="00E957D4" w:rsidRPr="00FD7B0B" w:rsidRDefault="00E957D4" w:rsidP="00E957D4">
      <w:pPr>
        <w:spacing w:after="0" w:line="240" w:lineRule="auto"/>
        <w:ind w:firstLine="709"/>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ГП № 15 в редакции ПП АО от 27.12.2024 № 1235-пп включает в себя</w:t>
      </w:r>
      <w:r w:rsidRPr="00FD7B0B">
        <w:t xml:space="preserve"> </w:t>
      </w:r>
      <w:r w:rsidRPr="00FD7B0B">
        <w:rPr>
          <w:rFonts w:ascii="Times New Roman" w:eastAsia="Calibri" w:hAnsi="Times New Roman" w:cs="Times New Roman"/>
          <w:sz w:val="28"/>
          <w:szCs w:val="28"/>
          <w:lang w:eastAsia="ru-RU"/>
        </w:rPr>
        <w:t>структурные элементы:</w:t>
      </w:r>
    </w:p>
    <w:p w14:paraId="0006E61D" w14:textId="4C2B8114" w:rsidR="00E957D4" w:rsidRPr="00FD7B0B" w:rsidRDefault="00E957D4" w:rsidP="00E957D4">
      <w:pPr>
        <w:spacing w:after="0" w:line="240" w:lineRule="auto"/>
        <w:ind w:firstLine="709"/>
        <w:jc w:val="both"/>
        <w:rPr>
          <w:rFonts w:ascii="Times New Roman" w:hAnsi="Times New Roman" w:cs="Times New Roman"/>
          <w:sz w:val="28"/>
          <w:szCs w:val="28"/>
        </w:rPr>
      </w:pPr>
      <w:r w:rsidRPr="00FD7B0B">
        <w:rPr>
          <w:rFonts w:ascii="Times New Roman" w:eastAsia="Calibri" w:hAnsi="Times New Roman" w:cs="Times New Roman"/>
          <w:sz w:val="28"/>
          <w:szCs w:val="28"/>
          <w:lang w:eastAsia="ru-RU"/>
        </w:rPr>
        <w:t xml:space="preserve">- проектную часть: </w:t>
      </w:r>
      <w:r w:rsidRPr="00FD7B0B">
        <w:rPr>
          <w:rFonts w:ascii="Times New Roman" w:hAnsi="Times New Roman" w:cs="Times New Roman"/>
          <w:sz w:val="28"/>
          <w:szCs w:val="28"/>
        </w:rPr>
        <w:t>региональный проект «Сохранение лесов (Архангельская область)» (</w:t>
      </w:r>
      <w:r w:rsidR="00BF1039" w:rsidRPr="00FD7B0B">
        <w:rPr>
          <w:rFonts w:ascii="Times New Roman" w:hAnsi="Times New Roman" w:cs="Times New Roman"/>
          <w:sz w:val="28"/>
          <w:szCs w:val="28"/>
        </w:rPr>
        <w:t>далее - РП «Сохранение лесов»);</w:t>
      </w:r>
    </w:p>
    <w:p w14:paraId="23B6A16E" w14:textId="77777777" w:rsidR="00E957D4" w:rsidRPr="00FD7B0B" w:rsidRDefault="00E957D4" w:rsidP="00E957D4">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процессную часть: комплекс процессных мероприятия «Развитие лесного комплекса Архангельской области» (далее – КПМ).</w:t>
      </w:r>
    </w:p>
    <w:p w14:paraId="305BC9F6" w14:textId="3C753428"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Объемы финансирования мероприятий ГП № 15 в разрезе структурных элементов, источников финансирования представлены в таблице </w:t>
      </w:r>
      <w:r w:rsidR="008E33D5" w:rsidRPr="00FD7B0B">
        <w:rPr>
          <w:rFonts w:ascii="Times New Roman" w:eastAsia="Times New Roman" w:hAnsi="Times New Roman" w:cs="Times New Roman"/>
          <w:sz w:val="28"/>
          <w:szCs w:val="28"/>
          <w:lang w:eastAsia="ru-RU"/>
        </w:rPr>
        <w:t>163</w:t>
      </w:r>
      <w:r w:rsidRPr="00FD7B0B">
        <w:rPr>
          <w:rFonts w:ascii="Times New Roman" w:eastAsia="Times New Roman" w:hAnsi="Times New Roman" w:cs="Times New Roman"/>
          <w:sz w:val="28"/>
          <w:szCs w:val="28"/>
          <w:lang w:eastAsia="ru-RU"/>
        </w:rPr>
        <w:t>.</w:t>
      </w:r>
    </w:p>
    <w:p w14:paraId="4C5FB10B"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4"/>
          <w:szCs w:val="24"/>
          <w:lang w:eastAsia="ru-RU"/>
        </w:rPr>
      </w:pPr>
    </w:p>
    <w:p w14:paraId="0E17C233" w14:textId="77777777" w:rsidR="00E957D4" w:rsidRPr="00FD7B0B" w:rsidRDefault="00E957D4" w:rsidP="00E957D4">
      <w:pPr>
        <w:spacing w:after="0" w:line="240" w:lineRule="auto"/>
        <w:rPr>
          <w:rFonts w:ascii="Times New Roman" w:hAnsi="Times New Roman" w:cs="Times New Roman"/>
          <w:sz w:val="24"/>
          <w:szCs w:val="24"/>
        </w:rPr>
      </w:pPr>
      <w:r w:rsidRPr="00FD7B0B">
        <w:rPr>
          <w:rFonts w:ascii="Times New Roman" w:hAnsi="Times New Roman" w:cs="Times New Roman"/>
          <w:sz w:val="24"/>
          <w:szCs w:val="24"/>
        </w:rPr>
        <w:t xml:space="preserve">Таблица </w:t>
      </w:r>
      <w:r w:rsidRPr="00FD7B0B">
        <w:rPr>
          <w:rFonts w:ascii="Times New Roman" w:hAnsi="Times New Roman" w:cs="Times New Roman"/>
          <w:sz w:val="24"/>
          <w:szCs w:val="24"/>
        </w:rPr>
        <w:fldChar w:fldCharType="begin"/>
      </w:r>
      <w:r w:rsidRPr="00FD7B0B">
        <w:rPr>
          <w:rFonts w:ascii="Times New Roman" w:hAnsi="Times New Roman" w:cs="Times New Roman"/>
          <w:sz w:val="24"/>
          <w:szCs w:val="24"/>
        </w:rPr>
        <w:instrText xml:space="preserve"> SEQ Таблица \* ARABIC </w:instrText>
      </w:r>
      <w:r w:rsidRPr="00FD7B0B">
        <w:rPr>
          <w:rFonts w:ascii="Times New Roman" w:hAnsi="Times New Roman" w:cs="Times New Roman"/>
          <w:sz w:val="24"/>
          <w:szCs w:val="24"/>
        </w:rPr>
        <w:fldChar w:fldCharType="separate"/>
      </w:r>
      <w:r w:rsidR="002959CD" w:rsidRPr="00FD7B0B">
        <w:rPr>
          <w:rFonts w:ascii="Times New Roman" w:hAnsi="Times New Roman" w:cs="Times New Roman"/>
          <w:noProof/>
          <w:sz w:val="24"/>
          <w:szCs w:val="24"/>
        </w:rPr>
        <w:t>163</w:t>
      </w:r>
      <w:r w:rsidRPr="00FD7B0B">
        <w:rPr>
          <w:rFonts w:ascii="Times New Roman" w:hAnsi="Times New Roman" w:cs="Times New Roman"/>
          <w:sz w:val="24"/>
          <w:szCs w:val="24"/>
        </w:rPr>
        <w:fldChar w:fldCharType="end"/>
      </w:r>
      <w:r w:rsidRPr="00FD7B0B">
        <w:rPr>
          <w:rFonts w:ascii="Times New Roman" w:hAnsi="Times New Roman" w:cs="Times New Roman"/>
          <w:sz w:val="24"/>
          <w:szCs w:val="24"/>
        </w:rPr>
        <w:t>. Изменения, внесенные в объемы финансирования мероприятий ГП № за 2024 год в разрезе источников финансирования, млн.руб.</w:t>
      </w:r>
    </w:p>
    <w:tbl>
      <w:tblPr>
        <w:tblStyle w:val="191"/>
        <w:tblW w:w="962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402"/>
        <w:gridCol w:w="1545"/>
        <w:gridCol w:w="1854"/>
        <w:gridCol w:w="1625"/>
        <w:gridCol w:w="1200"/>
      </w:tblGrid>
      <w:tr w:rsidR="00FD7B0B" w:rsidRPr="00FD7B0B" w14:paraId="103F5337" w14:textId="77777777" w:rsidTr="0055102A">
        <w:trPr>
          <w:trHeight w:val="96"/>
          <w:tblHeader/>
        </w:trPr>
        <w:tc>
          <w:tcPr>
            <w:tcW w:w="3402" w:type="dxa"/>
            <w:vMerge w:val="restart"/>
            <w:hideMark/>
          </w:tcPr>
          <w:p w14:paraId="4F59A26C"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Структуры госпрограммы</w:t>
            </w:r>
          </w:p>
        </w:tc>
        <w:tc>
          <w:tcPr>
            <w:tcW w:w="1545" w:type="dxa"/>
            <w:hideMark/>
          </w:tcPr>
          <w:p w14:paraId="3CB8EEFD"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Редакция </w:t>
            </w:r>
          </w:p>
        </w:tc>
        <w:tc>
          <w:tcPr>
            <w:tcW w:w="1854" w:type="dxa"/>
            <w:hideMark/>
          </w:tcPr>
          <w:p w14:paraId="1DB52D04"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Редакция</w:t>
            </w:r>
          </w:p>
        </w:tc>
        <w:tc>
          <w:tcPr>
            <w:tcW w:w="2825" w:type="dxa"/>
            <w:gridSpan w:val="2"/>
            <w:vMerge w:val="restart"/>
            <w:hideMark/>
          </w:tcPr>
          <w:p w14:paraId="4A8CA268"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Изменения за отчетный период (+/-)</w:t>
            </w:r>
          </w:p>
        </w:tc>
      </w:tr>
      <w:tr w:rsidR="00FD7B0B" w:rsidRPr="00FD7B0B" w14:paraId="7E37553A" w14:textId="77777777" w:rsidTr="0055102A">
        <w:trPr>
          <w:trHeight w:val="270"/>
          <w:tblHeader/>
        </w:trPr>
        <w:tc>
          <w:tcPr>
            <w:tcW w:w="3402" w:type="dxa"/>
            <w:vMerge/>
            <w:hideMark/>
          </w:tcPr>
          <w:p w14:paraId="686819E1" w14:textId="77777777" w:rsidR="00E957D4" w:rsidRPr="00FD7B0B" w:rsidRDefault="00E957D4" w:rsidP="00E957D4">
            <w:pPr>
              <w:rPr>
                <w:rFonts w:ascii="Times New Roman" w:eastAsia="Times New Roman" w:hAnsi="Times New Roman"/>
                <w:sz w:val="20"/>
                <w:szCs w:val="20"/>
                <w:lang w:eastAsia="ru-RU"/>
              </w:rPr>
            </w:pPr>
          </w:p>
        </w:tc>
        <w:tc>
          <w:tcPr>
            <w:tcW w:w="1545" w:type="dxa"/>
            <w:hideMark/>
          </w:tcPr>
          <w:p w14:paraId="7CB5AFB7"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ГП № 15 по состоянию на </w:t>
            </w:r>
          </w:p>
        </w:tc>
        <w:tc>
          <w:tcPr>
            <w:tcW w:w="1854" w:type="dxa"/>
            <w:hideMark/>
          </w:tcPr>
          <w:p w14:paraId="6122FDA8"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ГП № 15 по состоянию на</w:t>
            </w:r>
          </w:p>
        </w:tc>
        <w:tc>
          <w:tcPr>
            <w:tcW w:w="2825" w:type="dxa"/>
            <w:gridSpan w:val="2"/>
            <w:vMerge/>
            <w:hideMark/>
          </w:tcPr>
          <w:p w14:paraId="166A11BE" w14:textId="77777777" w:rsidR="00E957D4" w:rsidRPr="00FD7B0B" w:rsidRDefault="00E957D4" w:rsidP="00E957D4">
            <w:pPr>
              <w:rPr>
                <w:rFonts w:ascii="Times New Roman" w:eastAsia="Times New Roman" w:hAnsi="Times New Roman"/>
                <w:sz w:val="20"/>
                <w:szCs w:val="20"/>
                <w:lang w:eastAsia="ru-RU"/>
              </w:rPr>
            </w:pPr>
          </w:p>
        </w:tc>
      </w:tr>
      <w:tr w:rsidR="00FD7B0B" w:rsidRPr="00FD7B0B" w14:paraId="1674D450" w14:textId="77777777" w:rsidTr="0055102A">
        <w:trPr>
          <w:trHeight w:val="35"/>
          <w:tblHeader/>
        </w:trPr>
        <w:tc>
          <w:tcPr>
            <w:tcW w:w="3402" w:type="dxa"/>
            <w:vMerge/>
            <w:hideMark/>
          </w:tcPr>
          <w:p w14:paraId="2BCD7C8C" w14:textId="77777777" w:rsidR="00E957D4" w:rsidRPr="00FD7B0B" w:rsidRDefault="00E957D4" w:rsidP="00E957D4">
            <w:pPr>
              <w:rPr>
                <w:rFonts w:ascii="Times New Roman" w:eastAsia="Times New Roman" w:hAnsi="Times New Roman"/>
                <w:sz w:val="20"/>
                <w:szCs w:val="20"/>
                <w:lang w:eastAsia="ru-RU"/>
              </w:rPr>
            </w:pPr>
          </w:p>
        </w:tc>
        <w:tc>
          <w:tcPr>
            <w:tcW w:w="1545" w:type="dxa"/>
            <w:hideMark/>
          </w:tcPr>
          <w:p w14:paraId="052FBEAF"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25.04.2024</w:t>
            </w:r>
          </w:p>
        </w:tc>
        <w:tc>
          <w:tcPr>
            <w:tcW w:w="1854" w:type="dxa"/>
            <w:hideMark/>
          </w:tcPr>
          <w:p w14:paraId="13B2FF6B"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27.12.2024</w:t>
            </w:r>
          </w:p>
        </w:tc>
        <w:tc>
          <w:tcPr>
            <w:tcW w:w="1625" w:type="dxa"/>
            <w:hideMark/>
          </w:tcPr>
          <w:p w14:paraId="54FD560E"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млн.руб.</w:t>
            </w:r>
          </w:p>
        </w:tc>
        <w:tc>
          <w:tcPr>
            <w:tcW w:w="1200" w:type="dxa"/>
            <w:hideMark/>
          </w:tcPr>
          <w:p w14:paraId="15DB3B0B"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w:t>
            </w:r>
          </w:p>
        </w:tc>
      </w:tr>
      <w:tr w:rsidR="00FD7B0B" w:rsidRPr="00FD7B0B" w14:paraId="49CB6456" w14:textId="77777777" w:rsidTr="00B75CD1">
        <w:trPr>
          <w:trHeight w:val="224"/>
        </w:trPr>
        <w:tc>
          <w:tcPr>
            <w:tcW w:w="3402" w:type="dxa"/>
            <w:hideMark/>
          </w:tcPr>
          <w:p w14:paraId="1B01C733" w14:textId="77777777" w:rsidR="00E957D4" w:rsidRPr="00FD7B0B" w:rsidRDefault="00E957D4" w:rsidP="00E957D4">
            <w:pP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РП «Сохранение лесов»</w:t>
            </w:r>
          </w:p>
        </w:tc>
        <w:tc>
          <w:tcPr>
            <w:tcW w:w="1545" w:type="dxa"/>
            <w:hideMark/>
          </w:tcPr>
          <w:p w14:paraId="2E43A39B"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1 769,5</w:t>
            </w:r>
          </w:p>
        </w:tc>
        <w:tc>
          <w:tcPr>
            <w:tcW w:w="1854" w:type="dxa"/>
            <w:hideMark/>
          </w:tcPr>
          <w:p w14:paraId="73E82DFF"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1 769,5</w:t>
            </w:r>
          </w:p>
        </w:tc>
        <w:tc>
          <w:tcPr>
            <w:tcW w:w="1625" w:type="dxa"/>
            <w:hideMark/>
          </w:tcPr>
          <w:p w14:paraId="2D3994C9"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0</w:t>
            </w:r>
          </w:p>
        </w:tc>
        <w:tc>
          <w:tcPr>
            <w:tcW w:w="1200" w:type="dxa"/>
            <w:hideMark/>
          </w:tcPr>
          <w:p w14:paraId="150DB452"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0,00</w:t>
            </w:r>
          </w:p>
        </w:tc>
      </w:tr>
      <w:tr w:rsidR="00FD7B0B" w:rsidRPr="00FD7B0B" w14:paraId="7CA3F81B" w14:textId="77777777" w:rsidTr="00E957D4">
        <w:trPr>
          <w:trHeight w:val="236"/>
        </w:trPr>
        <w:tc>
          <w:tcPr>
            <w:tcW w:w="3402" w:type="dxa"/>
            <w:hideMark/>
          </w:tcPr>
          <w:p w14:paraId="1AD51A13" w14:textId="77777777" w:rsidR="00E957D4" w:rsidRPr="00FD7B0B" w:rsidRDefault="00E957D4" w:rsidP="00E957D4">
            <w:pPr>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 том числе областной бюджет</w:t>
            </w:r>
          </w:p>
        </w:tc>
        <w:tc>
          <w:tcPr>
            <w:tcW w:w="1545" w:type="dxa"/>
            <w:hideMark/>
          </w:tcPr>
          <w:p w14:paraId="7C5614C7"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71,0</w:t>
            </w:r>
          </w:p>
        </w:tc>
        <w:tc>
          <w:tcPr>
            <w:tcW w:w="1854" w:type="dxa"/>
            <w:hideMark/>
          </w:tcPr>
          <w:p w14:paraId="0D681A3F"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71,0</w:t>
            </w:r>
          </w:p>
        </w:tc>
        <w:tc>
          <w:tcPr>
            <w:tcW w:w="1625" w:type="dxa"/>
            <w:hideMark/>
          </w:tcPr>
          <w:p w14:paraId="6DC3916A"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w:t>
            </w:r>
          </w:p>
        </w:tc>
        <w:tc>
          <w:tcPr>
            <w:tcW w:w="1200" w:type="dxa"/>
            <w:hideMark/>
          </w:tcPr>
          <w:p w14:paraId="02AE87FF"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0,00</w:t>
            </w:r>
          </w:p>
        </w:tc>
      </w:tr>
      <w:tr w:rsidR="00FD7B0B" w:rsidRPr="00FD7B0B" w14:paraId="37CFAC0F" w14:textId="77777777" w:rsidTr="00E957D4">
        <w:trPr>
          <w:trHeight w:val="171"/>
        </w:trPr>
        <w:tc>
          <w:tcPr>
            <w:tcW w:w="3402" w:type="dxa"/>
            <w:hideMark/>
          </w:tcPr>
          <w:p w14:paraId="39722609" w14:textId="77777777" w:rsidR="00E957D4" w:rsidRPr="00FD7B0B" w:rsidRDefault="00E957D4" w:rsidP="00E957D4">
            <w:pPr>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внебюджетные источники</w:t>
            </w:r>
          </w:p>
        </w:tc>
        <w:tc>
          <w:tcPr>
            <w:tcW w:w="1545" w:type="dxa"/>
            <w:hideMark/>
          </w:tcPr>
          <w:p w14:paraId="6B2A0C58"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1 698,5</w:t>
            </w:r>
          </w:p>
        </w:tc>
        <w:tc>
          <w:tcPr>
            <w:tcW w:w="1854" w:type="dxa"/>
            <w:hideMark/>
          </w:tcPr>
          <w:p w14:paraId="47288D72"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1 698,5</w:t>
            </w:r>
          </w:p>
        </w:tc>
        <w:tc>
          <w:tcPr>
            <w:tcW w:w="1625" w:type="dxa"/>
            <w:hideMark/>
          </w:tcPr>
          <w:p w14:paraId="79C72374"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w:t>
            </w:r>
          </w:p>
        </w:tc>
        <w:tc>
          <w:tcPr>
            <w:tcW w:w="1200" w:type="dxa"/>
            <w:hideMark/>
          </w:tcPr>
          <w:p w14:paraId="67A81F8F"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0,00</w:t>
            </w:r>
          </w:p>
        </w:tc>
      </w:tr>
      <w:tr w:rsidR="00FD7B0B" w:rsidRPr="00FD7B0B" w14:paraId="4ACAFA8D" w14:textId="77777777" w:rsidTr="00E957D4">
        <w:trPr>
          <w:trHeight w:val="246"/>
        </w:trPr>
        <w:tc>
          <w:tcPr>
            <w:tcW w:w="3402" w:type="dxa"/>
            <w:hideMark/>
          </w:tcPr>
          <w:p w14:paraId="35087FA3" w14:textId="77777777" w:rsidR="00E957D4" w:rsidRPr="00FD7B0B" w:rsidRDefault="00E957D4" w:rsidP="00E957D4">
            <w:pP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КПМ</w:t>
            </w:r>
          </w:p>
        </w:tc>
        <w:tc>
          <w:tcPr>
            <w:tcW w:w="1545" w:type="dxa"/>
            <w:hideMark/>
          </w:tcPr>
          <w:p w14:paraId="22154EEF"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4 057,1</w:t>
            </w:r>
          </w:p>
        </w:tc>
        <w:tc>
          <w:tcPr>
            <w:tcW w:w="1854" w:type="dxa"/>
            <w:hideMark/>
          </w:tcPr>
          <w:p w14:paraId="2681DB93"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3 983,5</w:t>
            </w:r>
          </w:p>
        </w:tc>
        <w:tc>
          <w:tcPr>
            <w:tcW w:w="1625" w:type="dxa"/>
            <w:hideMark/>
          </w:tcPr>
          <w:p w14:paraId="5ED16B72"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-73,6</w:t>
            </w:r>
          </w:p>
        </w:tc>
        <w:tc>
          <w:tcPr>
            <w:tcW w:w="1200" w:type="dxa"/>
            <w:hideMark/>
          </w:tcPr>
          <w:p w14:paraId="2313D479"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-1,84</w:t>
            </w:r>
          </w:p>
        </w:tc>
      </w:tr>
      <w:tr w:rsidR="00FD7B0B" w:rsidRPr="00FD7B0B" w14:paraId="36CB385B" w14:textId="77777777" w:rsidTr="00E957D4">
        <w:trPr>
          <w:trHeight w:val="160"/>
        </w:trPr>
        <w:tc>
          <w:tcPr>
            <w:tcW w:w="3402" w:type="dxa"/>
            <w:hideMark/>
          </w:tcPr>
          <w:p w14:paraId="67FACFD5" w14:textId="77777777" w:rsidR="00E957D4" w:rsidRPr="00FD7B0B" w:rsidRDefault="00E957D4" w:rsidP="00E957D4">
            <w:pPr>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 том числе областной бюджет</w:t>
            </w:r>
          </w:p>
        </w:tc>
        <w:tc>
          <w:tcPr>
            <w:tcW w:w="1545" w:type="dxa"/>
            <w:hideMark/>
          </w:tcPr>
          <w:p w14:paraId="1C040BB4"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2 269,1</w:t>
            </w:r>
          </w:p>
        </w:tc>
        <w:tc>
          <w:tcPr>
            <w:tcW w:w="1854" w:type="dxa"/>
            <w:hideMark/>
          </w:tcPr>
          <w:p w14:paraId="6241AC64"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2 195,4</w:t>
            </w:r>
          </w:p>
        </w:tc>
        <w:tc>
          <w:tcPr>
            <w:tcW w:w="1625" w:type="dxa"/>
            <w:hideMark/>
          </w:tcPr>
          <w:p w14:paraId="0C7F546B"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-73,6</w:t>
            </w:r>
          </w:p>
        </w:tc>
        <w:tc>
          <w:tcPr>
            <w:tcW w:w="1200" w:type="dxa"/>
            <w:hideMark/>
          </w:tcPr>
          <w:p w14:paraId="0BD6496B"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-3,24</w:t>
            </w:r>
          </w:p>
        </w:tc>
      </w:tr>
      <w:tr w:rsidR="00FD7B0B" w:rsidRPr="00FD7B0B" w14:paraId="5847A767" w14:textId="77777777" w:rsidTr="00E957D4">
        <w:trPr>
          <w:trHeight w:val="206"/>
        </w:trPr>
        <w:tc>
          <w:tcPr>
            <w:tcW w:w="3402" w:type="dxa"/>
            <w:hideMark/>
          </w:tcPr>
          <w:p w14:paraId="2D3DD486" w14:textId="77777777" w:rsidR="00E957D4" w:rsidRPr="00FD7B0B" w:rsidRDefault="00E957D4" w:rsidP="00E957D4">
            <w:pPr>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внебюджетные источники</w:t>
            </w:r>
          </w:p>
        </w:tc>
        <w:tc>
          <w:tcPr>
            <w:tcW w:w="1545" w:type="dxa"/>
            <w:hideMark/>
          </w:tcPr>
          <w:p w14:paraId="380EEDE0"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1 788,1</w:t>
            </w:r>
          </w:p>
        </w:tc>
        <w:tc>
          <w:tcPr>
            <w:tcW w:w="1854" w:type="dxa"/>
            <w:hideMark/>
          </w:tcPr>
          <w:p w14:paraId="2FC87202"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1 788,1</w:t>
            </w:r>
          </w:p>
        </w:tc>
        <w:tc>
          <w:tcPr>
            <w:tcW w:w="1625" w:type="dxa"/>
            <w:hideMark/>
          </w:tcPr>
          <w:p w14:paraId="37CA8314"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w:t>
            </w:r>
          </w:p>
        </w:tc>
        <w:tc>
          <w:tcPr>
            <w:tcW w:w="1200" w:type="dxa"/>
            <w:hideMark/>
          </w:tcPr>
          <w:p w14:paraId="6F1373A0"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0,00</w:t>
            </w:r>
          </w:p>
        </w:tc>
      </w:tr>
      <w:tr w:rsidR="00FD7B0B" w:rsidRPr="00FD7B0B" w14:paraId="552E20CD" w14:textId="77777777" w:rsidTr="00E957D4">
        <w:trPr>
          <w:trHeight w:val="66"/>
        </w:trPr>
        <w:tc>
          <w:tcPr>
            <w:tcW w:w="3402" w:type="dxa"/>
            <w:hideMark/>
          </w:tcPr>
          <w:p w14:paraId="4FEDF202" w14:textId="77777777" w:rsidR="00E957D4" w:rsidRPr="00FD7B0B" w:rsidRDefault="00E957D4" w:rsidP="00E957D4">
            <w:pPr>
              <w:jc w:val="both"/>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Всего по ГП № 15</w:t>
            </w:r>
          </w:p>
        </w:tc>
        <w:tc>
          <w:tcPr>
            <w:tcW w:w="1545" w:type="dxa"/>
            <w:hideMark/>
          </w:tcPr>
          <w:p w14:paraId="766A1D86"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 xml:space="preserve">5 826,6 </w:t>
            </w:r>
          </w:p>
        </w:tc>
        <w:tc>
          <w:tcPr>
            <w:tcW w:w="1854" w:type="dxa"/>
            <w:hideMark/>
          </w:tcPr>
          <w:p w14:paraId="5FFBA5F9"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5 753,0</w:t>
            </w:r>
          </w:p>
        </w:tc>
        <w:tc>
          <w:tcPr>
            <w:tcW w:w="1625" w:type="dxa"/>
            <w:hideMark/>
          </w:tcPr>
          <w:p w14:paraId="541B2AE1"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-73,6</w:t>
            </w:r>
          </w:p>
        </w:tc>
        <w:tc>
          <w:tcPr>
            <w:tcW w:w="1200" w:type="dxa"/>
            <w:hideMark/>
          </w:tcPr>
          <w:p w14:paraId="3148E962" w14:textId="77777777" w:rsidR="00E957D4" w:rsidRPr="00FD7B0B" w:rsidRDefault="00E957D4" w:rsidP="00E957D4">
            <w:pPr>
              <w:jc w:val="center"/>
              <w:rPr>
                <w:rFonts w:ascii="Times New Roman" w:eastAsia="Times New Roman" w:hAnsi="Times New Roman"/>
                <w:b/>
                <w:bCs/>
                <w:sz w:val="20"/>
                <w:szCs w:val="20"/>
                <w:lang w:eastAsia="ru-RU"/>
              </w:rPr>
            </w:pPr>
            <w:r w:rsidRPr="00FD7B0B">
              <w:rPr>
                <w:rFonts w:ascii="Times New Roman" w:eastAsia="Times New Roman" w:hAnsi="Times New Roman"/>
                <w:b/>
                <w:bCs/>
                <w:sz w:val="20"/>
                <w:szCs w:val="20"/>
                <w:lang w:eastAsia="ru-RU"/>
              </w:rPr>
              <w:t>1,3</w:t>
            </w:r>
          </w:p>
        </w:tc>
      </w:tr>
      <w:tr w:rsidR="00FD7B0B" w:rsidRPr="00FD7B0B" w14:paraId="2F05C52C" w14:textId="77777777" w:rsidTr="00E957D4">
        <w:trPr>
          <w:trHeight w:val="130"/>
        </w:trPr>
        <w:tc>
          <w:tcPr>
            <w:tcW w:w="3402" w:type="dxa"/>
            <w:hideMark/>
          </w:tcPr>
          <w:p w14:paraId="65AD4E42" w14:textId="77777777" w:rsidR="00E957D4" w:rsidRPr="00FD7B0B" w:rsidRDefault="00E957D4" w:rsidP="00E957D4">
            <w:pPr>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 том числе областной бюджет</w:t>
            </w:r>
          </w:p>
        </w:tc>
        <w:tc>
          <w:tcPr>
            <w:tcW w:w="1545" w:type="dxa"/>
            <w:hideMark/>
          </w:tcPr>
          <w:p w14:paraId="44A0287F"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2 340,0</w:t>
            </w:r>
          </w:p>
        </w:tc>
        <w:tc>
          <w:tcPr>
            <w:tcW w:w="1854" w:type="dxa"/>
            <w:hideMark/>
          </w:tcPr>
          <w:p w14:paraId="4F3E66E7"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2 266,4</w:t>
            </w:r>
          </w:p>
        </w:tc>
        <w:tc>
          <w:tcPr>
            <w:tcW w:w="1625" w:type="dxa"/>
            <w:hideMark/>
          </w:tcPr>
          <w:p w14:paraId="27FE92CC"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-73,6</w:t>
            </w:r>
          </w:p>
        </w:tc>
        <w:tc>
          <w:tcPr>
            <w:tcW w:w="1200" w:type="dxa"/>
            <w:hideMark/>
          </w:tcPr>
          <w:p w14:paraId="6C525EA5"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-3,1</w:t>
            </w:r>
          </w:p>
        </w:tc>
      </w:tr>
      <w:tr w:rsidR="00E957D4" w:rsidRPr="00FD7B0B" w14:paraId="1A3B710E" w14:textId="77777777" w:rsidTr="00E957D4">
        <w:trPr>
          <w:trHeight w:val="39"/>
        </w:trPr>
        <w:tc>
          <w:tcPr>
            <w:tcW w:w="3402" w:type="dxa"/>
            <w:hideMark/>
          </w:tcPr>
          <w:p w14:paraId="0B69EBC0" w14:textId="77777777" w:rsidR="00E957D4" w:rsidRPr="00FD7B0B" w:rsidRDefault="00E957D4" w:rsidP="00E957D4">
            <w:pPr>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внебюджетные источники</w:t>
            </w:r>
          </w:p>
        </w:tc>
        <w:tc>
          <w:tcPr>
            <w:tcW w:w="1545" w:type="dxa"/>
            <w:hideMark/>
          </w:tcPr>
          <w:p w14:paraId="7985D227"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3 486,6</w:t>
            </w:r>
          </w:p>
        </w:tc>
        <w:tc>
          <w:tcPr>
            <w:tcW w:w="1854" w:type="dxa"/>
            <w:hideMark/>
          </w:tcPr>
          <w:p w14:paraId="1DDC2538"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3 486,6</w:t>
            </w:r>
          </w:p>
        </w:tc>
        <w:tc>
          <w:tcPr>
            <w:tcW w:w="1625" w:type="dxa"/>
            <w:hideMark/>
          </w:tcPr>
          <w:p w14:paraId="218CA359"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w:t>
            </w:r>
          </w:p>
        </w:tc>
        <w:tc>
          <w:tcPr>
            <w:tcW w:w="1200" w:type="dxa"/>
            <w:hideMark/>
          </w:tcPr>
          <w:p w14:paraId="2B63442E" w14:textId="77777777" w:rsidR="00E957D4" w:rsidRPr="00FD7B0B" w:rsidRDefault="00E957D4" w:rsidP="00E957D4">
            <w:pPr>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0,00</w:t>
            </w:r>
          </w:p>
        </w:tc>
      </w:tr>
    </w:tbl>
    <w:p w14:paraId="756CDF7A" w14:textId="77777777" w:rsidR="00E957D4" w:rsidRPr="00FD7B0B" w:rsidRDefault="00E957D4" w:rsidP="00B75CD1">
      <w:pPr>
        <w:spacing w:after="0" w:line="240" w:lineRule="auto"/>
        <w:ind w:firstLine="709"/>
        <w:rPr>
          <w:rFonts w:ascii="Times New Roman" w:hAnsi="Times New Roman" w:cs="Times New Roman"/>
          <w:sz w:val="24"/>
          <w:szCs w:val="24"/>
        </w:rPr>
      </w:pPr>
    </w:p>
    <w:p w14:paraId="6CC650C4" w14:textId="15B99210" w:rsidR="00E957D4" w:rsidRPr="00FD7B0B" w:rsidRDefault="00E957D4" w:rsidP="00B75CD1">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Анализ соответствия параметров финансового обеспечения структурных элементов госпрограммы, приведенных в паспорте ГП № 15 (5 753,0 млн.руб.) и паспортах соответствующих структурных элементов госпрограммы (5 744,3 млн.руб.), размещенных в ГИИС «Электронный бюджет» (областной бюджет Архангельской области 2024</w:t>
      </w:r>
      <w:r w:rsidR="00B75CD1" w:rsidRPr="00FD7B0B">
        <w:rPr>
          <w:rFonts w:ascii="Times New Roman" w:hAnsi="Times New Roman" w:cs="Times New Roman"/>
          <w:sz w:val="28"/>
          <w:szCs w:val="28"/>
        </w:rPr>
        <w:t xml:space="preserve"> – </w:t>
      </w:r>
      <w:r w:rsidRPr="00FD7B0B">
        <w:rPr>
          <w:rFonts w:ascii="Times New Roman" w:hAnsi="Times New Roman" w:cs="Times New Roman"/>
          <w:sz w:val="28"/>
          <w:szCs w:val="28"/>
        </w:rPr>
        <w:t>2026) показал, что выявлены ра</w:t>
      </w:r>
      <w:r w:rsidR="00B75CD1" w:rsidRPr="00FD7B0B">
        <w:rPr>
          <w:rFonts w:ascii="Times New Roman" w:hAnsi="Times New Roman" w:cs="Times New Roman"/>
          <w:sz w:val="28"/>
          <w:szCs w:val="28"/>
        </w:rPr>
        <w:t>схождения на сумму 8,7 млн.руб.</w:t>
      </w:r>
    </w:p>
    <w:p w14:paraId="0F155C61" w14:textId="2B09BC95"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Всего из федерального бюджета в 2024 году направлено 1 183,8 млн.руб., что составляет 99,9</w:t>
      </w:r>
      <w:r w:rsidR="00B75CD1"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прогнозу кассовых поступлений и 113,6</w:t>
      </w:r>
      <w:r w:rsidR="00B75CD1"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утвержденным законом «Об областном бюджете», из них:</w:t>
      </w:r>
    </w:p>
    <w:p w14:paraId="41859B61" w14:textId="2F946776"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субвенции бюджетам субъектов РФ на осуществление отдельных полномочий в области лесных отношений в сумме 638,4 млн.руб. (99,9</w:t>
      </w:r>
      <w:r w:rsidR="00B75CD1"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прогнозу и закону «Об областном бюджете»);</w:t>
      </w:r>
    </w:p>
    <w:p w14:paraId="3DA69D2C" w14:textId="418C3D99"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субвенции бюджетам субъектов РФ на осуществление мер пожарной безопасности и тушение лесных пожаров в сумме 479,8 млн.руб. (100</w:t>
      </w:r>
      <w:r w:rsidR="00B75CD1"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прогнозу и 142,0</w:t>
      </w:r>
      <w:r w:rsidR="00B75CD1"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закону «Об областном бюджете»);</w:t>
      </w:r>
    </w:p>
    <w:p w14:paraId="3BE87F05"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субвенции бюджетам субъектов РФ на увеличение площади лесовосстановления – 44,1 млн.руб. (100 % к прогнозу и закону «Об областном бюджете»);</w:t>
      </w:r>
    </w:p>
    <w:p w14:paraId="615DBB15" w14:textId="472432E2"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 субвенции бюджетам субъектов РФ на оснащение специализированных учреждений органов государственной власти субъектов РФ лесопожарной техникой и оборудованием для проведения комплекса мероприятий по охране лесов от пожаров в сумме 21,5 млн.руб. (100</w:t>
      </w:r>
      <w:r w:rsidR="00B75CD1"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прогнозу и закону «Об областном бюджете»).</w:t>
      </w:r>
    </w:p>
    <w:p w14:paraId="119A96A0" w14:textId="15FF03EC"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Сопоставление объемов финансирования, утвержденных ГП № 15 и бюджетных ассигнований на ее реализацию, утвержденных законом «Об областном бюджете» представлено в таблице </w:t>
      </w:r>
      <w:r w:rsidR="008E33D5" w:rsidRPr="00FD7B0B">
        <w:rPr>
          <w:rFonts w:ascii="Times New Roman" w:eastAsia="Times New Roman" w:hAnsi="Times New Roman" w:cs="Times New Roman"/>
          <w:sz w:val="28"/>
          <w:szCs w:val="28"/>
          <w:lang w:eastAsia="ru-RU"/>
        </w:rPr>
        <w:t>164</w:t>
      </w:r>
      <w:r w:rsidRPr="00FD7B0B">
        <w:rPr>
          <w:rFonts w:ascii="Times New Roman" w:eastAsia="Times New Roman" w:hAnsi="Times New Roman" w:cs="Times New Roman"/>
          <w:sz w:val="28"/>
          <w:szCs w:val="28"/>
          <w:lang w:eastAsia="ru-RU"/>
        </w:rPr>
        <w:t>.</w:t>
      </w:r>
    </w:p>
    <w:p w14:paraId="7291412D" w14:textId="77777777" w:rsidR="00E957D4" w:rsidRPr="00FD7B0B" w:rsidRDefault="00E957D4" w:rsidP="00E957D4">
      <w:pPr>
        <w:spacing w:after="0" w:line="240" w:lineRule="auto"/>
        <w:rPr>
          <w:rFonts w:ascii="Times New Roman" w:hAnsi="Times New Roman" w:cs="Times New Roman"/>
          <w:sz w:val="24"/>
          <w:szCs w:val="24"/>
        </w:rPr>
      </w:pPr>
    </w:p>
    <w:p w14:paraId="497E5F5F" w14:textId="77777777" w:rsidR="00E957D4" w:rsidRPr="00FD7B0B" w:rsidRDefault="00E957D4" w:rsidP="00E957D4">
      <w:pPr>
        <w:spacing w:after="0" w:line="240" w:lineRule="auto"/>
        <w:rPr>
          <w:rFonts w:ascii="Times New Roman" w:hAnsi="Times New Roman" w:cs="Times New Roman"/>
          <w:sz w:val="24"/>
          <w:szCs w:val="24"/>
        </w:rPr>
      </w:pPr>
      <w:r w:rsidRPr="00FD7B0B">
        <w:rPr>
          <w:rFonts w:ascii="Times New Roman" w:hAnsi="Times New Roman" w:cs="Times New Roman"/>
          <w:sz w:val="24"/>
          <w:szCs w:val="24"/>
        </w:rPr>
        <w:t xml:space="preserve">Таблица </w:t>
      </w:r>
      <w:r w:rsidRPr="00FD7B0B">
        <w:rPr>
          <w:rFonts w:ascii="Times New Roman" w:hAnsi="Times New Roman" w:cs="Times New Roman"/>
          <w:sz w:val="24"/>
          <w:szCs w:val="24"/>
        </w:rPr>
        <w:fldChar w:fldCharType="begin"/>
      </w:r>
      <w:r w:rsidRPr="00FD7B0B">
        <w:rPr>
          <w:rFonts w:ascii="Times New Roman" w:hAnsi="Times New Roman" w:cs="Times New Roman"/>
          <w:sz w:val="24"/>
          <w:szCs w:val="24"/>
        </w:rPr>
        <w:instrText xml:space="preserve"> SEQ Таблица \* ARABIC </w:instrText>
      </w:r>
      <w:r w:rsidRPr="00FD7B0B">
        <w:rPr>
          <w:rFonts w:ascii="Times New Roman" w:hAnsi="Times New Roman" w:cs="Times New Roman"/>
          <w:sz w:val="24"/>
          <w:szCs w:val="24"/>
        </w:rPr>
        <w:fldChar w:fldCharType="separate"/>
      </w:r>
      <w:r w:rsidR="002959CD" w:rsidRPr="00FD7B0B">
        <w:rPr>
          <w:rFonts w:ascii="Times New Roman" w:hAnsi="Times New Roman" w:cs="Times New Roman"/>
          <w:noProof/>
          <w:sz w:val="24"/>
          <w:szCs w:val="24"/>
        </w:rPr>
        <w:t>164</w:t>
      </w:r>
      <w:r w:rsidRPr="00FD7B0B">
        <w:rPr>
          <w:rFonts w:ascii="Times New Roman" w:hAnsi="Times New Roman" w:cs="Times New Roman"/>
          <w:sz w:val="24"/>
          <w:szCs w:val="24"/>
        </w:rPr>
        <w:fldChar w:fldCharType="end"/>
      </w:r>
      <w:r w:rsidRPr="00FD7B0B">
        <w:rPr>
          <w:rFonts w:ascii="Times New Roman" w:hAnsi="Times New Roman" w:cs="Times New Roman"/>
          <w:sz w:val="24"/>
          <w:szCs w:val="24"/>
        </w:rPr>
        <w:t>. Объемы финансирования, утвержденные ГП № 15 и бюджетные ассигнования на ее реализацию, утвержденные законом «Об областном бюджете», млн.руб.</w:t>
      </w:r>
    </w:p>
    <w:tbl>
      <w:tblPr>
        <w:tblStyle w:val="a7"/>
        <w:tblW w:w="966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376"/>
        <w:gridCol w:w="1948"/>
        <w:gridCol w:w="1596"/>
        <w:gridCol w:w="1275"/>
        <w:gridCol w:w="1198"/>
        <w:gridCol w:w="1275"/>
      </w:tblGrid>
      <w:tr w:rsidR="00FD7B0B" w:rsidRPr="00FD7B0B" w14:paraId="2557265D" w14:textId="77777777" w:rsidTr="00E957D4">
        <w:trPr>
          <w:tblHeader/>
        </w:trPr>
        <w:tc>
          <w:tcPr>
            <w:tcW w:w="2376" w:type="dxa"/>
          </w:tcPr>
          <w:p w14:paraId="101D9B74"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Подпрограмма</w:t>
            </w:r>
          </w:p>
        </w:tc>
        <w:tc>
          <w:tcPr>
            <w:tcW w:w="1948" w:type="dxa"/>
            <w:shd w:val="clear" w:color="auto" w:fill="auto"/>
          </w:tcPr>
          <w:p w14:paraId="5AE15FBF"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Показатели ГП на 2024 год, в редакции на 31.12.2024</w:t>
            </w:r>
          </w:p>
        </w:tc>
        <w:tc>
          <w:tcPr>
            <w:tcW w:w="1596" w:type="dxa"/>
          </w:tcPr>
          <w:p w14:paraId="1322FB7B"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Показатели закона о бюджете на 31.12.2024</w:t>
            </w:r>
          </w:p>
        </w:tc>
        <w:tc>
          <w:tcPr>
            <w:tcW w:w="1275" w:type="dxa"/>
          </w:tcPr>
          <w:p w14:paraId="40165009"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Отклонение (+/-)</w:t>
            </w:r>
          </w:p>
        </w:tc>
        <w:tc>
          <w:tcPr>
            <w:tcW w:w="1198" w:type="dxa"/>
          </w:tcPr>
          <w:p w14:paraId="33094582"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Показатели СБР на 31.12.2024</w:t>
            </w:r>
          </w:p>
        </w:tc>
        <w:tc>
          <w:tcPr>
            <w:tcW w:w="1275" w:type="dxa"/>
          </w:tcPr>
          <w:p w14:paraId="05BC56B6"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Отклонение (+/-)</w:t>
            </w:r>
          </w:p>
        </w:tc>
      </w:tr>
      <w:tr w:rsidR="00FD7B0B" w:rsidRPr="00FD7B0B" w14:paraId="082A4891" w14:textId="77777777" w:rsidTr="00E957D4">
        <w:trPr>
          <w:trHeight w:val="151"/>
        </w:trPr>
        <w:tc>
          <w:tcPr>
            <w:tcW w:w="2376" w:type="dxa"/>
          </w:tcPr>
          <w:p w14:paraId="1B6771A3"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А</w:t>
            </w:r>
          </w:p>
        </w:tc>
        <w:tc>
          <w:tcPr>
            <w:tcW w:w="1948" w:type="dxa"/>
            <w:shd w:val="clear" w:color="auto" w:fill="auto"/>
          </w:tcPr>
          <w:p w14:paraId="6A7F485D"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1</w:t>
            </w:r>
          </w:p>
        </w:tc>
        <w:tc>
          <w:tcPr>
            <w:tcW w:w="1596" w:type="dxa"/>
          </w:tcPr>
          <w:p w14:paraId="300802EF"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2</w:t>
            </w:r>
          </w:p>
        </w:tc>
        <w:tc>
          <w:tcPr>
            <w:tcW w:w="1275" w:type="dxa"/>
          </w:tcPr>
          <w:p w14:paraId="3E655AEC"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3=2-1</w:t>
            </w:r>
          </w:p>
        </w:tc>
        <w:tc>
          <w:tcPr>
            <w:tcW w:w="1198" w:type="dxa"/>
          </w:tcPr>
          <w:p w14:paraId="515DF03E"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4</w:t>
            </w:r>
          </w:p>
        </w:tc>
        <w:tc>
          <w:tcPr>
            <w:tcW w:w="1275" w:type="dxa"/>
          </w:tcPr>
          <w:p w14:paraId="1BD65291"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5=4-2</w:t>
            </w:r>
          </w:p>
        </w:tc>
      </w:tr>
      <w:tr w:rsidR="00FD7B0B" w:rsidRPr="00FD7B0B" w14:paraId="15A3BFC5" w14:textId="77777777" w:rsidTr="00E957D4">
        <w:tc>
          <w:tcPr>
            <w:tcW w:w="2376" w:type="dxa"/>
          </w:tcPr>
          <w:p w14:paraId="592E8584" w14:textId="77777777" w:rsidR="00E957D4" w:rsidRPr="00FD7B0B" w:rsidRDefault="00E957D4" w:rsidP="00E957D4">
            <w:pPr>
              <w:contextualSpacing/>
              <w:jc w:val="both"/>
              <w:rPr>
                <w:rFonts w:ascii="Times New Roman" w:eastAsia="Times New Roman" w:hAnsi="Times New Roman"/>
              </w:rPr>
            </w:pPr>
            <w:r w:rsidRPr="00FD7B0B">
              <w:rPr>
                <w:rFonts w:ascii="Times New Roman" w:eastAsia="Times New Roman" w:hAnsi="Times New Roman"/>
              </w:rPr>
              <w:t>РП «Сохранение лесов»</w:t>
            </w:r>
          </w:p>
        </w:tc>
        <w:tc>
          <w:tcPr>
            <w:tcW w:w="1948" w:type="dxa"/>
            <w:shd w:val="clear" w:color="auto" w:fill="auto"/>
          </w:tcPr>
          <w:p w14:paraId="68C5048C"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71,0</w:t>
            </w:r>
          </w:p>
        </w:tc>
        <w:tc>
          <w:tcPr>
            <w:tcW w:w="1596" w:type="dxa"/>
          </w:tcPr>
          <w:p w14:paraId="694C68C4"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71,0</w:t>
            </w:r>
          </w:p>
        </w:tc>
        <w:tc>
          <w:tcPr>
            <w:tcW w:w="1275" w:type="dxa"/>
          </w:tcPr>
          <w:p w14:paraId="335C1559"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-0</w:t>
            </w:r>
          </w:p>
        </w:tc>
        <w:tc>
          <w:tcPr>
            <w:tcW w:w="1198" w:type="dxa"/>
            <w:shd w:val="clear" w:color="auto" w:fill="auto"/>
          </w:tcPr>
          <w:p w14:paraId="6EABD19E"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71,0</w:t>
            </w:r>
          </w:p>
        </w:tc>
        <w:tc>
          <w:tcPr>
            <w:tcW w:w="1275" w:type="dxa"/>
            <w:shd w:val="clear" w:color="auto" w:fill="auto"/>
          </w:tcPr>
          <w:p w14:paraId="509595E1"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0</w:t>
            </w:r>
          </w:p>
        </w:tc>
      </w:tr>
      <w:tr w:rsidR="00FD7B0B" w:rsidRPr="00FD7B0B" w14:paraId="3D406203" w14:textId="77777777" w:rsidTr="00E957D4">
        <w:tc>
          <w:tcPr>
            <w:tcW w:w="2376" w:type="dxa"/>
          </w:tcPr>
          <w:p w14:paraId="460092AD" w14:textId="77777777" w:rsidR="00E957D4" w:rsidRPr="00FD7B0B" w:rsidRDefault="00E957D4" w:rsidP="00E957D4">
            <w:pPr>
              <w:contextualSpacing/>
              <w:jc w:val="both"/>
              <w:rPr>
                <w:rFonts w:ascii="Times New Roman" w:eastAsia="Times New Roman" w:hAnsi="Times New Roman"/>
              </w:rPr>
            </w:pPr>
            <w:r w:rsidRPr="00FD7B0B">
              <w:rPr>
                <w:rFonts w:ascii="Times New Roman" w:eastAsia="Times New Roman" w:hAnsi="Times New Roman"/>
              </w:rPr>
              <w:t>КПМ</w:t>
            </w:r>
          </w:p>
        </w:tc>
        <w:tc>
          <w:tcPr>
            <w:tcW w:w="1948" w:type="dxa"/>
            <w:shd w:val="clear" w:color="auto" w:fill="auto"/>
          </w:tcPr>
          <w:p w14:paraId="1F07D3D6"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2 195,4</w:t>
            </w:r>
          </w:p>
        </w:tc>
        <w:tc>
          <w:tcPr>
            <w:tcW w:w="1596" w:type="dxa"/>
          </w:tcPr>
          <w:p w14:paraId="0A567C2E"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2 188,0</w:t>
            </w:r>
          </w:p>
        </w:tc>
        <w:tc>
          <w:tcPr>
            <w:tcW w:w="1275" w:type="dxa"/>
          </w:tcPr>
          <w:p w14:paraId="32E6B678"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-7,4</w:t>
            </w:r>
          </w:p>
        </w:tc>
        <w:tc>
          <w:tcPr>
            <w:tcW w:w="1198" w:type="dxa"/>
            <w:shd w:val="clear" w:color="auto" w:fill="auto"/>
          </w:tcPr>
          <w:p w14:paraId="57F2F78D"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2 386,5</w:t>
            </w:r>
          </w:p>
        </w:tc>
        <w:tc>
          <w:tcPr>
            <w:tcW w:w="1275" w:type="dxa"/>
            <w:shd w:val="clear" w:color="auto" w:fill="auto"/>
          </w:tcPr>
          <w:p w14:paraId="1F0FD3E3"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+198,5</w:t>
            </w:r>
          </w:p>
        </w:tc>
      </w:tr>
      <w:tr w:rsidR="00E957D4" w:rsidRPr="00FD7B0B" w14:paraId="037A3FF1" w14:textId="77777777" w:rsidTr="00B75CD1">
        <w:trPr>
          <w:trHeight w:val="172"/>
        </w:trPr>
        <w:tc>
          <w:tcPr>
            <w:tcW w:w="2376" w:type="dxa"/>
          </w:tcPr>
          <w:p w14:paraId="278CFA9E" w14:textId="4B8DD0A1" w:rsidR="00E957D4" w:rsidRPr="00FD7B0B" w:rsidRDefault="00E957D4" w:rsidP="00B75CD1">
            <w:pPr>
              <w:contextualSpacing/>
              <w:rPr>
                <w:rFonts w:ascii="Times New Roman" w:eastAsia="Times New Roman" w:hAnsi="Times New Roman"/>
              </w:rPr>
            </w:pPr>
            <w:r w:rsidRPr="00FD7B0B">
              <w:rPr>
                <w:rFonts w:ascii="Times New Roman" w:eastAsia="Times New Roman" w:hAnsi="Times New Roman"/>
              </w:rPr>
              <w:t>Всего по госпрограмме</w:t>
            </w:r>
          </w:p>
        </w:tc>
        <w:tc>
          <w:tcPr>
            <w:tcW w:w="1948" w:type="dxa"/>
            <w:shd w:val="clear" w:color="auto" w:fill="auto"/>
          </w:tcPr>
          <w:p w14:paraId="6677369E"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2 266,4</w:t>
            </w:r>
          </w:p>
        </w:tc>
        <w:tc>
          <w:tcPr>
            <w:tcW w:w="1596" w:type="dxa"/>
          </w:tcPr>
          <w:p w14:paraId="28DB8D49" w14:textId="1A899C9D" w:rsidR="00E957D4" w:rsidRPr="00FD7B0B" w:rsidRDefault="00E957D4" w:rsidP="00B75CD1">
            <w:pPr>
              <w:contextualSpacing/>
              <w:jc w:val="center"/>
              <w:rPr>
                <w:rFonts w:ascii="Times New Roman" w:eastAsia="Times New Roman" w:hAnsi="Times New Roman"/>
              </w:rPr>
            </w:pPr>
            <w:r w:rsidRPr="00FD7B0B">
              <w:rPr>
                <w:rFonts w:ascii="Times New Roman" w:eastAsia="Times New Roman" w:hAnsi="Times New Roman"/>
              </w:rPr>
              <w:t>2 259,0</w:t>
            </w:r>
          </w:p>
        </w:tc>
        <w:tc>
          <w:tcPr>
            <w:tcW w:w="1275" w:type="dxa"/>
          </w:tcPr>
          <w:p w14:paraId="09C7E41E"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-7,4</w:t>
            </w:r>
          </w:p>
        </w:tc>
        <w:tc>
          <w:tcPr>
            <w:tcW w:w="1198" w:type="dxa"/>
            <w:shd w:val="clear" w:color="auto" w:fill="auto"/>
          </w:tcPr>
          <w:p w14:paraId="5B4B9FB3" w14:textId="2C49EAA2" w:rsidR="00E957D4" w:rsidRPr="00FD7B0B" w:rsidRDefault="00E957D4" w:rsidP="00B75CD1">
            <w:pPr>
              <w:contextualSpacing/>
              <w:jc w:val="center"/>
              <w:rPr>
                <w:rFonts w:ascii="Times New Roman" w:eastAsia="Times New Roman" w:hAnsi="Times New Roman"/>
              </w:rPr>
            </w:pPr>
            <w:r w:rsidRPr="00FD7B0B">
              <w:rPr>
                <w:rFonts w:ascii="Times New Roman" w:eastAsia="Times New Roman" w:hAnsi="Times New Roman"/>
              </w:rPr>
              <w:t>2 457,5</w:t>
            </w:r>
          </w:p>
        </w:tc>
        <w:tc>
          <w:tcPr>
            <w:tcW w:w="1275" w:type="dxa"/>
            <w:shd w:val="clear" w:color="auto" w:fill="auto"/>
          </w:tcPr>
          <w:p w14:paraId="7F3A87D7"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+198,5</w:t>
            </w:r>
          </w:p>
        </w:tc>
      </w:tr>
    </w:tbl>
    <w:p w14:paraId="03F3A558"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p>
    <w:p w14:paraId="6265FECC" w14:textId="73464368"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отчету о реализации мероприятий ГП № 15 за 2024 год, расходы за счет всех источников составили в общей сумме 6 376,8 млн.руб. или 107,3</w:t>
      </w:r>
      <w:r w:rsidR="003A60AA"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плану на 2024 год (5 944,1 млн.руб.), в том числе за счет внебюджетных источников в сумме 3 919,8 млн.руб. или 112,4</w:t>
      </w:r>
      <w:r w:rsidR="008E33D5"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утвержденной программой параметрам.</w:t>
      </w:r>
    </w:p>
    <w:p w14:paraId="7DECCFFE" w14:textId="32654506" w:rsidR="00E957D4" w:rsidRPr="00FD7B0B" w:rsidRDefault="00E957D4" w:rsidP="00E957D4">
      <w:pPr>
        <w:autoSpaceDE w:val="0"/>
        <w:autoSpaceDN w:val="0"/>
        <w:spacing w:after="0" w:line="240" w:lineRule="auto"/>
        <w:ind w:firstLine="709"/>
        <w:jc w:val="both"/>
        <w:rPr>
          <w:rFonts w:ascii="Times New Roman" w:hAnsi="Times New Roman" w:cs="Times New Roman"/>
          <w:spacing w:val="2"/>
          <w:sz w:val="28"/>
          <w:szCs w:val="28"/>
        </w:rPr>
      </w:pPr>
      <w:r w:rsidRPr="00FD7B0B">
        <w:rPr>
          <w:rFonts w:ascii="Times New Roman" w:eastAsia="Times New Roman" w:hAnsi="Times New Roman" w:cs="Times New Roman"/>
          <w:sz w:val="28"/>
          <w:szCs w:val="28"/>
          <w:lang w:eastAsia="ru-RU"/>
        </w:rPr>
        <w:t xml:space="preserve">Отклонение плановых показателей между утвержденной программой параметрам в части областного бюджета и сводной бюджетной росписью составило 191,1 млн.руб., то есть, </w:t>
      </w:r>
      <w:r w:rsidRPr="00FD7B0B">
        <w:rPr>
          <w:rFonts w:ascii="Times New Roman" w:hAnsi="Times New Roman" w:cs="Times New Roman"/>
          <w:sz w:val="28"/>
          <w:szCs w:val="28"/>
          <w:lang w:eastAsia="ru-RU"/>
        </w:rPr>
        <w:t xml:space="preserve">бюджетные ассигнования на 2024 год, предусмотренные на реализацию ГП № 15, не приведены в соответствие со сводной бюджетной росписью областного бюджета на 31.12.2024 </w:t>
      </w:r>
      <w:r w:rsidRPr="00FD7B0B">
        <w:rPr>
          <w:rFonts w:ascii="Times New Roman" w:hAnsi="Times New Roman" w:cs="Times New Roman"/>
          <w:spacing w:val="2"/>
          <w:sz w:val="28"/>
          <w:szCs w:val="28"/>
        </w:rPr>
        <w:t>в нарушение п</w:t>
      </w:r>
      <w:r w:rsidR="008E33D5" w:rsidRPr="00FD7B0B">
        <w:rPr>
          <w:rFonts w:ascii="Times New Roman" w:hAnsi="Times New Roman" w:cs="Times New Roman"/>
          <w:spacing w:val="2"/>
          <w:sz w:val="28"/>
          <w:szCs w:val="28"/>
        </w:rPr>
        <w:t>.</w:t>
      </w:r>
      <w:r w:rsidRPr="00FD7B0B">
        <w:rPr>
          <w:rFonts w:ascii="Times New Roman" w:hAnsi="Times New Roman" w:cs="Times New Roman"/>
          <w:spacing w:val="2"/>
          <w:sz w:val="28"/>
          <w:szCs w:val="28"/>
        </w:rPr>
        <w:t xml:space="preserve"> 29 </w:t>
      </w:r>
      <w:r w:rsidR="008E33D5" w:rsidRPr="00FD7B0B">
        <w:rPr>
          <w:rFonts w:ascii="Times New Roman" w:hAnsi="Times New Roman" w:cs="Times New Roman"/>
          <w:spacing w:val="2"/>
          <w:sz w:val="28"/>
          <w:szCs w:val="28"/>
        </w:rPr>
        <w:t>Положения</w:t>
      </w:r>
      <w:r w:rsidRPr="00FD7B0B">
        <w:rPr>
          <w:rFonts w:ascii="Times New Roman" w:hAnsi="Times New Roman" w:cs="Times New Roman"/>
          <w:spacing w:val="2"/>
          <w:sz w:val="28"/>
          <w:szCs w:val="28"/>
        </w:rPr>
        <w:t xml:space="preserve"> № 793-пп.</w:t>
      </w:r>
    </w:p>
    <w:p w14:paraId="00F43518" w14:textId="2C1F1023"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отчету по форме 15-ОИП «Отчет субъекта РФ на реализацию переданных исполнительным органам субъектов РФ в соответствии с частью 1 статьи 83 Лесного Кодекса РФ полномочий РФ» расходы отражены в общей сумме 6 147,7 млн.руб. в том числе за счет федерального бюджета на сумму 1 213,8 млн.руб.</w:t>
      </w:r>
      <w:r w:rsidR="009F407A"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xml:space="preserve"> за счет внебюджетных источников на сумму 3 919,8 млн.руб. </w:t>
      </w:r>
      <w:r w:rsidRPr="00FD7B0B">
        <w:rPr>
          <w:rFonts w:ascii="Times New Roman" w:eastAsia="Times New Roman" w:hAnsi="Times New Roman" w:cs="Times New Roman"/>
          <w:bCs/>
          <w:sz w:val="28"/>
          <w:szCs w:val="28"/>
          <w:lang w:eastAsia="ru-RU"/>
        </w:rPr>
        <w:t>На осуществление функций государственного управления в области лесных отношений направлено 1 093,7 млн.руб., в том числе за счет федерального бюджета на сумму 610,1 млн.руб., областного – 483,6 млн.руб. Основной объем средств направлен на воспроизводство лесов и лесоразведение, расход отражен в сумме 2 647,8 млн.руб., в том числе за счет внебюджетных источников – 2 590,3 млн.руб. На выполнение мероприятий по охране лесов от пожаров направлено 1 133,4 млн.руб., что на 214,8 млн.руб. больше, чем в 2023 году, в том числе за счет средств федерального и областного бюджета на сумму 986,9 млн.руб.</w:t>
      </w:r>
    </w:p>
    <w:p w14:paraId="33A589E6"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Отклонения между показателями отчета и отчета по форме 15-ОИП, составляют 229,1 млн.руб. (дополнительные средства областного бюджета).</w:t>
      </w:r>
    </w:p>
    <w:p w14:paraId="71C970AA" w14:textId="4DC29650"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 xml:space="preserve">Сведения о поквартальном финансировании ГП № 15 за счет средств областного бюджета (с учетом федеральных субвенций) представлены на рисунке </w:t>
      </w:r>
      <w:r w:rsidR="008E33D5" w:rsidRPr="00FD7B0B">
        <w:rPr>
          <w:rFonts w:ascii="Times New Roman" w:eastAsia="Times New Roman" w:hAnsi="Times New Roman" w:cs="Times New Roman"/>
          <w:sz w:val="28"/>
          <w:szCs w:val="28"/>
          <w:lang w:eastAsia="ru-RU"/>
        </w:rPr>
        <w:t>20</w:t>
      </w:r>
      <w:r w:rsidRPr="00FD7B0B">
        <w:rPr>
          <w:rFonts w:ascii="Times New Roman" w:eastAsia="Times New Roman" w:hAnsi="Times New Roman" w:cs="Times New Roman"/>
          <w:sz w:val="28"/>
          <w:szCs w:val="28"/>
          <w:lang w:eastAsia="ru-RU"/>
        </w:rPr>
        <w:t>.</w:t>
      </w:r>
    </w:p>
    <w:p w14:paraId="274CC4A2" w14:textId="27203707" w:rsidR="003017F8" w:rsidRPr="00FD7B0B" w:rsidRDefault="003017F8" w:rsidP="003017F8">
      <w:pPr>
        <w:spacing w:after="0" w:line="240" w:lineRule="auto"/>
        <w:contextualSpacing/>
        <w:jc w:val="center"/>
        <w:rPr>
          <w:rFonts w:ascii="Times New Roman" w:eastAsia="Times New Roman" w:hAnsi="Times New Roman" w:cs="Times New Roman"/>
          <w:sz w:val="28"/>
          <w:szCs w:val="28"/>
          <w:lang w:eastAsia="ru-RU"/>
        </w:rPr>
      </w:pPr>
      <w:r w:rsidRPr="00FD7B0B">
        <w:rPr>
          <w:rFonts w:ascii="Times New Roman" w:eastAsia="Times New Roman" w:hAnsi="Times New Roman" w:cs="Times New Roman"/>
          <w:noProof/>
          <w:sz w:val="28"/>
          <w:szCs w:val="28"/>
          <w:lang w:eastAsia="ru-RU"/>
        </w:rPr>
        <w:drawing>
          <wp:inline distT="0" distB="0" distL="0" distR="0" wp14:anchorId="3A239D4A" wp14:editId="128C3028">
            <wp:extent cx="4956175" cy="206692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56175" cy="2066925"/>
                    </a:xfrm>
                    <a:prstGeom prst="rect">
                      <a:avLst/>
                    </a:prstGeom>
                    <a:noFill/>
                  </pic:spPr>
                </pic:pic>
              </a:graphicData>
            </a:graphic>
          </wp:inline>
        </w:drawing>
      </w:r>
    </w:p>
    <w:p w14:paraId="4CE0B55A" w14:textId="77777777" w:rsidR="00E957D4" w:rsidRPr="00FD7B0B" w:rsidRDefault="00E957D4" w:rsidP="00E957D4">
      <w:pPr>
        <w:spacing w:after="0" w:line="240" w:lineRule="auto"/>
        <w:rPr>
          <w:rFonts w:ascii="Times New Roman" w:hAnsi="Times New Roman" w:cs="Times New Roman"/>
          <w:sz w:val="24"/>
          <w:szCs w:val="24"/>
        </w:rPr>
      </w:pPr>
      <w:r w:rsidRPr="00FD7B0B">
        <w:rPr>
          <w:rFonts w:ascii="Times New Roman" w:hAnsi="Times New Roman" w:cs="Times New Roman"/>
          <w:sz w:val="24"/>
          <w:szCs w:val="24"/>
        </w:rPr>
        <w:t xml:space="preserve">Рисунок </w:t>
      </w:r>
      <w:r w:rsidRPr="00FD7B0B">
        <w:rPr>
          <w:rFonts w:ascii="Times New Roman" w:hAnsi="Times New Roman" w:cs="Times New Roman"/>
          <w:sz w:val="24"/>
          <w:szCs w:val="24"/>
        </w:rPr>
        <w:fldChar w:fldCharType="begin"/>
      </w:r>
      <w:r w:rsidRPr="00FD7B0B">
        <w:rPr>
          <w:rFonts w:ascii="Times New Roman" w:hAnsi="Times New Roman" w:cs="Times New Roman"/>
          <w:sz w:val="24"/>
          <w:szCs w:val="24"/>
        </w:rPr>
        <w:instrText xml:space="preserve"> SEQ Рисунок \* ARABIC </w:instrText>
      </w:r>
      <w:r w:rsidRPr="00FD7B0B">
        <w:rPr>
          <w:rFonts w:ascii="Times New Roman" w:hAnsi="Times New Roman" w:cs="Times New Roman"/>
          <w:sz w:val="24"/>
          <w:szCs w:val="24"/>
        </w:rPr>
        <w:fldChar w:fldCharType="separate"/>
      </w:r>
      <w:r w:rsidR="002959CD" w:rsidRPr="00FD7B0B">
        <w:rPr>
          <w:rFonts w:ascii="Times New Roman" w:hAnsi="Times New Roman" w:cs="Times New Roman"/>
          <w:noProof/>
          <w:sz w:val="24"/>
          <w:szCs w:val="24"/>
        </w:rPr>
        <w:t>20</w:t>
      </w:r>
      <w:r w:rsidRPr="00FD7B0B">
        <w:rPr>
          <w:rFonts w:ascii="Times New Roman" w:hAnsi="Times New Roman" w:cs="Times New Roman"/>
          <w:sz w:val="24"/>
          <w:szCs w:val="24"/>
        </w:rPr>
        <w:fldChar w:fldCharType="end"/>
      </w:r>
      <w:r w:rsidRPr="00FD7B0B">
        <w:rPr>
          <w:rFonts w:ascii="Times New Roman" w:hAnsi="Times New Roman" w:cs="Times New Roman"/>
          <w:sz w:val="24"/>
          <w:szCs w:val="24"/>
        </w:rPr>
        <w:t>. Поквартальные кассовые расходы на реализацию мероприятий ГП № 15 за 2024 год, млн.руб.</w:t>
      </w:r>
    </w:p>
    <w:p w14:paraId="639A23BF"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p>
    <w:p w14:paraId="2B5A3F5D" w14:textId="2B5B654C"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Расходы областного бюджета на реализацию ГП № 15 за 2024 год, а также параметры, утвержденные на 2024 год, в разрезе главных распорядителей и видов расходов представлены в таблице </w:t>
      </w:r>
      <w:r w:rsidR="008E33D5" w:rsidRPr="00FD7B0B">
        <w:rPr>
          <w:rFonts w:ascii="Times New Roman" w:eastAsia="Times New Roman" w:hAnsi="Times New Roman" w:cs="Times New Roman"/>
          <w:sz w:val="28"/>
          <w:szCs w:val="28"/>
          <w:lang w:eastAsia="ru-RU"/>
        </w:rPr>
        <w:t>165</w:t>
      </w:r>
      <w:r w:rsidRPr="00FD7B0B">
        <w:rPr>
          <w:rFonts w:ascii="Times New Roman" w:eastAsia="Times New Roman" w:hAnsi="Times New Roman" w:cs="Times New Roman"/>
          <w:sz w:val="28"/>
          <w:szCs w:val="28"/>
          <w:lang w:eastAsia="ru-RU"/>
        </w:rPr>
        <w:t>.</w:t>
      </w:r>
    </w:p>
    <w:p w14:paraId="403D989E" w14:textId="77777777" w:rsidR="00E957D4" w:rsidRPr="00FD7B0B" w:rsidRDefault="00E957D4" w:rsidP="00E957D4">
      <w:pPr>
        <w:spacing w:after="0" w:line="240" w:lineRule="auto"/>
        <w:rPr>
          <w:rFonts w:ascii="Times New Roman" w:hAnsi="Times New Roman" w:cs="Times New Roman"/>
          <w:sz w:val="24"/>
          <w:szCs w:val="24"/>
        </w:rPr>
      </w:pPr>
    </w:p>
    <w:p w14:paraId="1614CA54" w14:textId="77777777" w:rsidR="00E957D4" w:rsidRPr="00FD7B0B" w:rsidRDefault="00E957D4" w:rsidP="00E957D4">
      <w:pPr>
        <w:spacing w:after="0" w:line="240" w:lineRule="auto"/>
        <w:rPr>
          <w:rFonts w:ascii="Times New Roman" w:hAnsi="Times New Roman" w:cs="Times New Roman"/>
          <w:sz w:val="24"/>
          <w:szCs w:val="24"/>
        </w:rPr>
      </w:pPr>
      <w:r w:rsidRPr="00FD7B0B">
        <w:rPr>
          <w:rFonts w:ascii="Times New Roman" w:hAnsi="Times New Roman" w:cs="Times New Roman"/>
          <w:sz w:val="24"/>
          <w:szCs w:val="24"/>
        </w:rPr>
        <w:t xml:space="preserve">Таблица </w:t>
      </w:r>
      <w:r w:rsidRPr="00FD7B0B">
        <w:rPr>
          <w:rFonts w:ascii="Times New Roman" w:hAnsi="Times New Roman" w:cs="Times New Roman"/>
          <w:sz w:val="24"/>
          <w:szCs w:val="24"/>
        </w:rPr>
        <w:fldChar w:fldCharType="begin"/>
      </w:r>
      <w:r w:rsidRPr="00FD7B0B">
        <w:rPr>
          <w:rFonts w:ascii="Times New Roman" w:hAnsi="Times New Roman" w:cs="Times New Roman"/>
          <w:sz w:val="24"/>
          <w:szCs w:val="24"/>
        </w:rPr>
        <w:instrText xml:space="preserve"> SEQ Таблица \* ARABIC </w:instrText>
      </w:r>
      <w:r w:rsidRPr="00FD7B0B">
        <w:rPr>
          <w:rFonts w:ascii="Times New Roman" w:hAnsi="Times New Roman" w:cs="Times New Roman"/>
          <w:sz w:val="24"/>
          <w:szCs w:val="24"/>
        </w:rPr>
        <w:fldChar w:fldCharType="separate"/>
      </w:r>
      <w:r w:rsidR="002959CD" w:rsidRPr="00FD7B0B">
        <w:rPr>
          <w:rFonts w:ascii="Times New Roman" w:hAnsi="Times New Roman" w:cs="Times New Roman"/>
          <w:noProof/>
          <w:sz w:val="24"/>
          <w:szCs w:val="24"/>
        </w:rPr>
        <w:t>165</w:t>
      </w:r>
      <w:r w:rsidRPr="00FD7B0B">
        <w:rPr>
          <w:rFonts w:ascii="Times New Roman" w:hAnsi="Times New Roman" w:cs="Times New Roman"/>
          <w:sz w:val="24"/>
          <w:szCs w:val="24"/>
        </w:rPr>
        <w:fldChar w:fldCharType="end"/>
      </w:r>
      <w:r w:rsidRPr="00FD7B0B">
        <w:rPr>
          <w:rFonts w:ascii="Times New Roman" w:hAnsi="Times New Roman" w:cs="Times New Roman"/>
          <w:sz w:val="24"/>
          <w:szCs w:val="24"/>
        </w:rPr>
        <w:t>. Основные параметры утвержденных и исполненных расходов из областного бюджета за 2024 год на реализацию мероприятий ГП № 15, млн.руб.</w:t>
      </w:r>
    </w:p>
    <w:tbl>
      <w:tblPr>
        <w:tblW w:w="9894"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657"/>
        <w:gridCol w:w="1276"/>
        <w:gridCol w:w="1417"/>
        <w:gridCol w:w="1275"/>
        <w:gridCol w:w="1135"/>
        <w:gridCol w:w="1134"/>
      </w:tblGrid>
      <w:tr w:rsidR="00FD7B0B" w:rsidRPr="00FD7B0B" w14:paraId="475C5BDE" w14:textId="77777777" w:rsidTr="00E957D4">
        <w:trPr>
          <w:trHeight w:val="1286"/>
          <w:tblHeader/>
        </w:trPr>
        <w:tc>
          <w:tcPr>
            <w:tcW w:w="3657" w:type="dxa"/>
            <w:shd w:val="clear" w:color="auto" w:fill="auto"/>
            <w:noWrap/>
            <w:hideMark/>
          </w:tcPr>
          <w:p w14:paraId="36A2C5B1" w14:textId="77777777" w:rsidR="00E957D4" w:rsidRPr="00FD7B0B" w:rsidRDefault="00E957D4" w:rsidP="00E957D4">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Показатель</w:t>
            </w:r>
          </w:p>
        </w:tc>
        <w:tc>
          <w:tcPr>
            <w:tcW w:w="1276" w:type="dxa"/>
            <w:shd w:val="clear" w:color="000000" w:fill="FFFFFF"/>
            <w:hideMark/>
          </w:tcPr>
          <w:p w14:paraId="1D86F497" w14:textId="77777777" w:rsidR="00E957D4" w:rsidRPr="00FD7B0B" w:rsidRDefault="00E957D4" w:rsidP="00E957D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Утверждено областным законом «Об областном бюджете»</w:t>
            </w:r>
          </w:p>
          <w:p w14:paraId="5D61FDCD" w14:textId="77777777" w:rsidR="00E957D4" w:rsidRPr="00FD7B0B" w:rsidRDefault="00E957D4" w:rsidP="00E957D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2024 год</w:t>
            </w:r>
          </w:p>
        </w:tc>
        <w:tc>
          <w:tcPr>
            <w:tcW w:w="1417" w:type="dxa"/>
            <w:shd w:val="clear" w:color="000000" w:fill="FFFFFF"/>
          </w:tcPr>
          <w:p w14:paraId="13527D1D" w14:textId="77777777" w:rsidR="00E957D4" w:rsidRPr="00FD7B0B" w:rsidRDefault="00E957D4" w:rsidP="00E957D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Отклонения между законом «Об областном бюджете» и СБР</w:t>
            </w:r>
          </w:p>
        </w:tc>
        <w:tc>
          <w:tcPr>
            <w:tcW w:w="1275" w:type="dxa"/>
            <w:shd w:val="clear" w:color="000000" w:fill="FFFFFF"/>
            <w:hideMark/>
          </w:tcPr>
          <w:p w14:paraId="5E967AA1" w14:textId="77777777" w:rsidR="00E957D4" w:rsidRPr="00FD7B0B" w:rsidRDefault="00E957D4" w:rsidP="00E957D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Уточненная СБР на 2024 год</w:t>
            </w:r>
          </w:p>
        </w:tc>
        <w:tc>
          <w:tcPr>
            <w:tcW w:w="1135" w:type="dxa"/>
            <w:shd w:val="clear" w:color="000000" w:fill="FFFFFF"/>
            <w:hideMark/>
          </w:tcPr>
          <w:p w14:paraId="4DEB5C10" w14:textId="77777777" w:rsidR="00E957D4" w:rsidRPr="00FD7B0B" w:rsidRDefault="00E957D4" w:rsidP="00E957D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w:t>
            </w:r>
          </w:p>
        </w:tc>
        <w:tc>
          <w:tcPr>
            <w:tcW w:w="1134" w:type="dxa"/>
            <w:shd w:val="clear" w:color="000000" w:fill="FFFFFF"/>
            <w:hideMark/>
          </w:tcPr>
          <w:p w14:paraId="5937A907" w14:textId="77777777" w:rsidR="00E957D4" w:rsidRPr="00FD7B0B" w:rsidRDefault="00E957D4" w:rsidP="00E957D4">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 уточненной СБР на год, в %</w:t>
            </w:r>
          </w:p>
        </w:tc>
      </w:tr>
      <w:tr w:rsidR="00FD7B0B" w:rsidRPr="00FD7B0B" w14:paraId="143E3588" w14:textId="77777777" w:rsidTr="003017F8">
        <w:trPr>
          <w:trHeight w:val="226"/>
        </w:trPr>
        <w:tc>
          <w:tcPr>
            <w:tcW w:w="3657" w:type="dxa"/>
            <w:shd w:val="clear" w:color="auto" w:fill="auto"/>
            <w:noWrap/>
            <w:vAlign w:val="bottom"/>
            <w:hideMark/>
          </w:tcPr>
          <w:p w14:paraId="3D3D23D2" w14:textId="77777777" w:rsidR="00E957D4" w:rsidRPr="00FD7B0B" w:rsidRDefault="00E957D4" w:rsidP="00E957D4">
            <w:pPr>
              <w:spacing w:after="0" w:line="240" w:lineRule="auto"/>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Министерство ЛПК</w:t>
            </w:r>
          </w:p>
        </w:tc>
        <w:tc>
          <w:tcPr>
            <w:tcW w:w="1276" w:type="dxa"/>
            <w:shd w:val="clear" w:color="auto" w:fill="auto"/>
            <w:noWrap/>
            <w:hideMark/>
          </w:tcPr>
          <w:p w14:paraId="6D9416C3" w14:textId="77777777" w:rsidR="00E957D4" w:rsidRPr="00FD7B0B" w:rsidRDefault="00E957D4" w:rsidP="003017F8">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2 215,5</w:t>
            </w:r>
          </w:p>
        </w:tc>
        <w:tc>
          <w:tcPr>
            <w:tcW w:w="1417" w:type="dxa"/>
          </w:tcPr>
          <w:p w14:paraId="653A311F" w14:textId="77777777" w:rsidR="00E957D4" w:rsidRPr="00FD7B0B" w:rsidRDefault="00E957D4" w:rsidP="003017F8">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+131,4</w:t>
            </w:r>
          </w:p>
        </w:tc>
        <w:tc>
          <w:tcPr>
            <w:tcW w:w="1275" w:type="dxa"/>
            <w:shd w:val="clear" w:color="auto" w:fill="auto"/>
            <w:noWrap/>
            <w:hideMark/>
          </w:tcPr>
          <w:p w14:paraId="047B5CE3" w14:textId="77777777" w:rsidR="00E957D4" w:rsidRPr="00FD7B0B" w:rsidRDefault="00E957D4" w:rsidP="003017F8">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2 346,9</w:t>
            </w:r>
          </w:p>
        </w:tc>
        <w:tc>
          <w:tcPr>
            <w:tcW w:w="1135" w:type="dxa"/>
            <w:shd w:val="clear" w:color="auto" w:fill="auto"/>
            <w:noWrap/>
            <w:hideMark/>
          </w:tcPr>
          <w:p w14:paraId="0BA73627" w14:textId="77777777" w:rsidR="00E957D4" w:rsidRPr="00FD7B0B" w:rsidRDefault="00E957D4" w:rsidP="003017F8">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2 346,5</w:t>
            </w:r>
          </w:p>
        </w:tc>
        <w:tc>
          <w:tcPr>
            <w:tcW w:w="1134" w:type="dxa"/>
            <w:shd w:val="clear" w:color="auto" w:fill="auto"/>
            <w:noWrap/>
            <w:hideMark/>
          </w:tcPr>
          <w:p w14:paraId="28D526CC" w14:textId="77777777" w:rsidR="00E957D4" w:rsidRPr="00FD7B0B" w:rsidRDefault="00E957D4" w:rsidP="003017F8">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99,9</w:t>
            </w:r>
          </w:p>
        </w:tc>
      </w:tr>
      <w:tr w:rsidR="00FD7B0B" w:rsidRPr="00FD7B0B" w14:paraId="1F24482E" w14:textId="77777777" w:rsidTr="003017F8">
        <w:trPr>
          <w:trHeight w:val="300"/>
        </w:trPr>
        <w:tc>
          <w:tcPr>
            <w:tcW w:w="3657" w:type="dxa"/>
            <w:shd w:val="clear" w:color="auto" w:fill="auto"/>
            <w:noWrap/>
            <w:vAlign w:val="center"/>
            <w:hideMark/>
          </w:tcPr>
          <w:p w14:paraId="31985895" w14:textId="77777777" w:rsidR="00E957D4" w:rsidRPr="00FD7B0B" w:rsidRDefault="00E957D4" w:rsidP="00E957D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110 Расходы на выплаты персоналу казенных учреждений</w:t>
            </w:r>
          </w:p>
        </w:tc>
        <w:tc>
          <w:tcPr>
            <w:tcW w:w="1276" w:type="dxa"/>
            <w:shd w:val="clear" w:color="auto" w:fill="auto"/>
            <w:noWrap/>
            <w:hideMark/>
          </w:tcPr>
          <w:p w14:paraId="3C8B0C1E"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770,1</w:t>
            </w:r>
          </w:p>
        </w:tc>
        <w:tc>
          <w:tcPr>
            <w:tcW w:w="1417" w:type="dxa"/>
          </w:tcPr>
          <w:p w14:paraId="2940C051"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-2,1</w:t>
            </w:r>
          </w:p>
        </w:tc>
        <w:tc>
          <w:tcPr>
            <w:tcW w:w="1275" w:type="dxa"/>
            <w:shd w:val="clear" w:color="auto" w:fill="auto"/>
            <w:noWrap/>
            <w:hideMark/>
          </w:tcPr>
          <w:p w14:paraId="341EA37E"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768,0</w:t>
            </w:r>
          </w:p>
        </w:tc>
        <w:tc>
          <w:tcPr>
            <w:tcW w:w="1135" w:type="dxa"/>
            <w:shd w:val="clear" w:color="auto" w:fill="auto"/>
            <w:noWrap/>
            <w:hideMark/>
          </w:tcPr>
          <w:p w14:paraId="1672D7DE"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768,0</w:t>
            </w:r>
          </w:p>
        </w:tc>
        <w:tc>
          <w:tcPr>
            <w:tcW w:w="1134" w:type="dxa"/>
            <w:shd w:val="clear" w:color="auto" w:fill="auto"/>
            <w:noWrap/>
            <w:hideMark/>
          </w:tcPr>
          <w:p w14:paraId="4ED010E0"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4BB674DB" w14:textId="77777777" w:rsidTr="003017F8">
        <w:trPr>
          <w:trHeight w:val="300"/>
        </w:trPr>
        <w:tc>
          <w:tcPr>
            <w:tcW w:w="3657" w:type="dxa"/>
            <w:shd w:val="clear" w:color="auto" w:fill="auto"/>
            <w:noWrap/>
            <w:vAlign w:val="bottom"/>
          </w:tcPr>
          <w:p w14:paraId="4DF1C847" w14:textId="77777777" w:rsidR="00E957D4" w:rsidRPr="00FD7B0B" w:rsidRDefault="00E957D4" w:rsidP="00E957D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120 Расходы на выплаты персоналу государственных (муниципальных) органов</w:t>
            </w:r>
          </w:p>
        </w:tc>
        <w:tc>
          <w:tcPr>
            <w:tcW w:w="1276" w:type="dxa"/>
            <w:shd w:val="clear" w:color="auto" w:fill="auto"/>
            <w:noWrap/>
          </w:tcPr>
          <w:p w14:paraId="4F9D3524"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335,4</w:t>
            </w:r>
          </w:p>
        </w:tc>
        <w:tc>
          <w:tcPr>
            <w:tcW w:w="1417" w:type="dxa"/>
          </w:tcPr>
          <w:p w14:paraId="45CD5270"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+0,2</w:t>
            </w:r>
          </w:p>
        </w:tc>
        <w:tc>
          <w:tcPr>
            <w:tcW w:w="1275" w:type="dxa"/>
            <w:shd w:val="clear" w:color="auto" w:fill="auto"/>
            <w:noWrap/>
          </w:tcPr>
          <w:p w14:paraId="70E061BC"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335,6</w:t>
            </w:r>
          </w:p>
        </w:tc>
        <w:tc>
          <w:tcPr>
            <w:tcW w:w="1135" w:type="dxa"/>
            <w:shd w:val="clear" w:color="auto" w:fill="auto"/>
            <w:noWrap/>
          </w:tcPr>
          <w:p w14:paraId="6B125B56"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335,6</w:t>
            </w:r>
          </w:p>
        </w:tc>
        <w:tc>
          <w:tcPr>
            <w:tcW w:w="1134" w:type="dxa"/>
            <w:shd w:val="clear" w:color="auto" w:fill="auto"/>
            <w:noWrap/>
          </w:tcPr>
          <w:p w14:paraId="3A46DDC4"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6E0EC85F" w14:textId="77777777" w:rsidTr="003017F8">
        <w:trPr>
          <w:trHeight w:val="300"/>
        </w:trPr>
        <w:tc>
          <w:tcPr>
            <w:tcW w:w="3657" w:type="dxa"/>
            <w:shd w:val="clear" w:color="auto" w:fill="auto"/>
            <w:noWrap/>
            <w:vAlign w:val="bottom"/>
            <w:hideMark/>
          </w:tcPr>
          <w:p w14:paraId="31ADC86E" w14:textId="77777777" w:rsidR="00E957D4" w:rsidRPr="00FD7B0B" w:rsidRDefault="00E957D4" w:rsidP="00E957D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 Иные закупки товаров, работ и услуг для обеспечения государственных (муниципальных) нужд</w:t>
            </w:r>
          </w:p>
        </w:tc>
        <w:tc>
          <w:tcPr>
            <w:tcW w:w="1276" w:type="dxa"/>
            <w:shd w:val="clear" w:color="auto" w:fill="auto"/>
            <w:noWrap/>
            <w:hideMark/>
          </w:tcPr>
          <w:p w14:paraId="72EEF9C0"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119,7</w:t>
            </w:r>
          </w:p>
        </w:tc>
        <w:tc>
          <w:tcPr>
            <w:tcW w:w="1417" w:type="dxa"/>
          </w:tcPr>
          <w:p w14:paraId="64FE6DA7"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+6,6</w:t>
            </w:r>
          </w:p>
        </w:tc>
        <w:tc>
          <w:tcPr>
            <w:tcW w:w="1275" w:type="dxa"/>
            <w:shd w:val="clear" w:color="auto" w:fill="auto"/>
            <w:noWrap/>
            <w:hideMark/>
          </w:tcPr>
          <w:p w14:paraId="0FC19023"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126,3</w:t>
            </w:r>
          </w:p>
        </w:tc>
        <w:tc>
          <w:tcPr>
            <w:tcW w:w="1135" w:type="dxa"/>
            <w:shd w:val="clear" w:color="auto" w:fill="auto"/>
            <w:noWrap/>
            <w:hideMark/>
          </w:tcPr>
          <w:p w14:paraId="0FC35AD8"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126,0</w:t>
            </w:r>
          </w:p>
        </w:tc>
        <w:tc>
          <w:tcPr>
            <w:tcW w:w="1134" w:type="dxa"/>
            <w:shd w:val="clear" w:color="auto" w:fill="auto"/>
            <w:noWrap/>
            <w:hideMark/>
          </w:tcPr>
          <w:p w14:paraId="5480D8EC"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99,77</w:t>
            </w:r>
          </w:p>
        </w:tc>
      </w:tr>
      <w:tr w:rsidR="00FD7B0B" w:rsidRPr="00FD7B0B" w14:paraId="5BB8171C" w14:textId="77777777" w:rsidTr="003017F8">
        <w:trPr>
          <w:trHeight w:hRule="exact" w:val="457"/>
        </w:trPr>
        <w:tc>
          <w:tcPr>
            <w:tcW w:w="3657" w:type="dxa"/>
            <w:shd w:val="clear" w:color="auto" w:fill="auto"/>
            <w:noWrap/>
            <w:vAlign w:val="bottom"/>
            <w:hideMark/>
          </w:tcPr>
          <w:p w14:paraId="4829E144" w14:textId="77777777" w:rsidR="00E957D4" w:rsidRPr="00FD7B0B" w:rsidRDefault="00E957D4" w:rsidP="00E957D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300 «Солильное обеспечение и иные выплаты населению»</w:t>
            </w:r>
          </w:p>
        </w:tc>
        <w:tc>
          <w:tcPr>
            <w:tcW w:w="1276" w:type="dxa"/>
            <w:shd w:val="clear" w:color="auto" w:fill="auto"/>
            <w:noWrap/>
            <w:hideMark/>
          </w:tcPr>
          <w:p w14:paraId="09B3D82E"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0,09</w:t>
            </w:r>
          </w:p>
        </w:tc>
        <w:tc>
          <w:tcPr>
            <w:tcW w:w="1417" w:type="dxa"/>
          </w:tcPr>
          <w:p w14:paraId="6712ABBC"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+0,31</w:t>
            </w:r>
          </w:p>
        </w:tc>
        <w:tc>
          <w:tcPr>
            <w:tcW w:w="1275" w:type="dxa"/>
            <w:shd w:val="clear" w:color="auto" w:fill="auto"/>
            <w:noWrap/>
            <w:hideMark/>
          </w:tcPr>
          <w:p w14:paraId="52534654"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0,4</w:t>
            </w:r>
          </w:p>
        </w:tc>
        <w:tc>
          <w:tcPr>
            <w:tcW w:w="1135" w:type="dxa"/>
            <w:shd w:val="clear" w:color="auto" w:fill="auto"/>
            <w:noWrap/>
            <w:hideMark/>
          </w:tcPr>
          <w:p w14:paraId="5FBDE818"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0,38</w:t>
            </w:r>
          </w:p>
        </w:tc>
        <w:tc>
          <w:tcPr>
            <w:tcW w:w="1134" w:type="dxa"/>
            <w:shd w:val="clear" w:color="auto" w:fill="auto"/>
            <w:noWrap/>
            <w:hideMark/>
          </w:tcPr>
          <w:p w14:paraId="137DC9EC"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92,62</w:t>
            </w:r>
          </w:p>
        </w:tc>
      </w:tr>
      <w:tr w:rsidR="00FD7B0B" w:rsidRPr="00FD7B0B" w14:paraId="62E72ECD" w14:textId="77777777" w:rsidTr="003017F8">
        <w:trPr>
          <w:trHeight w:hRule="exact" w:val="255"/>
        </w:trPr>
        <w:tc>
          <w:tcPr>
            <w:tcW w:w="3657" w:type="dxa"/>
            <w:shd w:val="clear" w:color="auto" w:fill="auto"/>
            <w:noWrap/>
            <w:vAlign w:val="center"/>
            <w:hideMark/>
          </w:tcPr>
          <w:p w14:paraId="405B65BD" w14:textId="77777777" w:rsidR="00E957D4" w:rsidRPr="00FD7B0B" w:rsidRDefault="00E957D4" w:rsidP="00E957D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620 Субсидии автономным учреждениям</w:t>
            </w:r>
          </w:p>
        </w:tc>
        <w:tc>
          <w:tcPr>
            <w:tcW w:w="1276" w:type="dxa"/>
            <w:shd w:val="clear" w:color="auto" w:fill="auto"/>
            <w:noWrap/>
            <w:hideMark/>
          </w:tcPr>
          <w:p w14:paraId="0D5AD1F7"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985,0</w:t>
            </w:r>
          </w:p>
        </w:tc>
        <w:tc>
          <w:tcPr>
            <w:tcW w:w="1417" w:type="dxa"/>
          </w:tcPr>
          <w:p w14:paraId="70359D16"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+128,4</w:t>
            </w:r>
          </w:p>
        </w:tc>
        <w:tc>
          <w:tcPr>
            <w:tcW w:w="1275" w:type="dxa"/>
            <w:shd w:val="clear" w:color="auto" w:fill="auto"/>
            <w:noWrap/>
            <w:hideMark/>
          </w:tcPr>
          <w:p w14:paraId="53D84336"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1 113,4</w:t>
            </w:r>
          </w:p>
        </w:tc>
        <w:tc>
          <w:tcPr>
            <w:tcW w:w="1135" w:type="dxa"/>
            <w:shd w:val="clear" w:color="auto" w:fill="auto"/>
            <w:noWrap/>
            <w:hideMark/>
          </w:tcPr>
          <w:p w14:paraId="2A974FF3"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1 113,4</w:t>
            </w:r>
          </w:p>
        </w:tc>
        <w:tc>
          <w:tcPr>
            <w:tcW w:w="1134" w:type="dxa"/>
            <w:shd w:val="clear" w:color="auto" w:fill="auto"/>
            <w:noWrap/>
            <w:hideMark/>
          </w:tcPr>
          <w:p w14:paraId="09E2F53F"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50A50D58" w14:textId="77777777" w:rsidTr="003017F8">
        <w:trPr>
          <w:trHeight w:hRule="exact" w:val="255"/>
        </w:trPr>
        <w:tc>
          <w:tcPr>
            <w:tcW w:w="3657" w:type="dxa"/>
            <w:shd w:val="clear" w:color="auto" w:fill="auto"/>
            <w:noWrap/>
            <w:vAlign w:val="center"/>
            <w:hideMark/>
          </w:tcPr>
          <w:p w14:paraId="59FB6229" w14:textId="77777777" w:rsidR="00E957D4" w:rsidRPr="00FD7B0B" w:rsidRDefault="00E957D4" w:rsidP="00E957D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830 Исполнение судебных актов</w:t>
            </w:r>
          </w:p>
        </w:tc>
        <w:tc>
          <w:tcPr>
            <w:tcW w:w="1276" w:type="dxa"/>
            <w:shd w:val="clear" w:color="auto" w:fill="auto"/>
            <w:noWrap/>
            <w:hideMark/>
          </w:tcPr>
          <w:p w14:paraId="1BF1AA1F"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0,6</w:t>
            </w:r>
          </w:p>
        </w:tc>
        <w:tc>
          <w:tcPr>
            <w:tcW w:w="1417" w:type="dxa"/>
          </w:tcPr>
          <w:p w14:paraId="211817F8"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+0,6</w:t>
            </w:r>
          </w:p>
        </w:tc>
        <w:tc>
          <w:tcPr>
            <w:tcW w:w="1275" w:type="dxa"/>
            <w:shd w:val="clear" w:color="auto" w:fill="auto"/>
            <w:noWrap/>
            <w:hideMark/>
          </w:tcPr>
          <w:p w14:paraId="345C3B1E"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w:t>
            </w:r>
          </w:p>
        </w:tc>
        <w:tc>
          <w:tcPr>
            <w:tcW w:w="1135" w:type="dxa"/>
            <w:shd w:val="clear" w:color="auto" w:fill="auto"/>
            <w:noWrap/>
            <w:hideMark/>
          </w:tcPr>
          <w:p w14:paraId="5154C650"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w:t>
            </w:r>
          </w:p>
        </w:tc>
        <w:tc>
          <w:tcPr>
            <w:tcW w:w="1134" w:type="dxa"/>
            <w:shd w:val="clear" w:color="auto" w:fill="auto"/>
            <w:noWrap/>
            <w:hideMark/>
          </w:tcPr>
          <w:p w14:paraId="3C48D1CA"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09AAE6EF" w14:textId="77777777" w:rsidTr="003017F8">
        <w:trPr>
          <w:trHeight w:hRule="exact" w:val="255"/>
        </w:trPr>
        <w:tc>
          <w:tcPr>
            <w:tcW w:w="3657" w:type="dxa"/>
            <w:shd w:val="clear" w:color="auto" w:fill="auto"/>
            <w:noWrap/>
            <w:vAlign w:val="center"/>
          </w:tcPr>
          <w:p w14:paraId="66FDD670" w14:textId="77777777" w:rsidR="00E957D4" w:rsidRPr="00FD7B0B" w:rsidRDefault="00E957D4" w:rsidP="00E957D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850 Уплата налогов, сборов и иных платежей</w:t>
            </w:r>
          </w:p>
        </w:tc>
        <w:tc>
          <w:tcPr>
            <w:tcW w:w="1276" w:type="dxa"/>
            <w:shd w:val="clear" w:color="auto" w:fill="auto"/>
            <w:noWrap/>
          </w:tcPr>
          <w:p w14:paraId="33186EFD"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4,5</w:t>
            </w:r>
          </w:p>
        </w:tc>
        <w:tc>
          <w:tcPr>
            <w:tcW w:w="1417" w:type="dxa"/>
          </w:tcPr>
          <w:p w14:paraId="4B66B3C1"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-2,6</w:t>
            </w:r>
          </w:p>
        </w:tc>
        <w:tc>
          <w:tcPr>
            <w:tcW w:w="1275" w:type="dxa"/>
            <w:shd w:val="clear" w:color="auto" w:fill="auto"/>
            <w:noWrap/>
          </w:tcPr>
          <w:p w14:paraId="3E0AD6C5"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w:t>
            </w:r>
          </w:p>
        </w:tc>
        <w:tc>
          <w:tcPr>
            <w:tcW w:w="1135" w:type="dxa"/>
            <w:shd w:val="clear" w:color="auto" w:fill="auto"/>
            <w:noWrap/>
          </w:tcPr>
          <w:p w14:paraId="40DE0D5F"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w:t>
            </w:r>
          </w:p>
        </w:tc>
        <w:tc>
          <w:tcPr>
            <w:tcW w:w="1134" w:type="dxa"/>
            <w:shd w:val="clear" w:color="auto" w:fill="auto"/>
            <w:noWrap/>
          </w:tcPr>
          <w:p w14:paraId="21B3CC22"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361A91A4" w14:textId="77777777" w:rsidTr="003017F8">
        <w:trPr>
          <w:trHeight w:hRule="exact" w:val="507"/>
        </w:trPr>
        <w:tc>
          <w:tcPr>
            <w:tcW w:w="3657" w:type="dxa"/>
            <w:shd w:val="clear" w:color="auto" w:fill="auto"/>
            <w:noWrap/>
            <w:vAlign w:val="center"/>
          </w:tcPr>
          <w:p w14:paraId="7C6A033C" w14:textId="77777777" w:rsidR="00E957D4" w:rsidRPr="00FD7B0B" w:rsidRDefault="00E957D4" w:rsidP="00E957D4">
            <w:pPr>
              <w:spacing w:after="0" w:line="240" w:lineRule="auto"/>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 xml:space="preserve">Министерство строительства и </w:t>
            </w:r>
          </w:p>
          <w:p w14:paraId="0A0B1FA5" w14:textId="77777777" w:rsidR="00E957D4" w:rsidRPr="00FD7B0B" w:rsidRDefault="00E957D4" w:rsidP="00E957D4">
            <w:pPr>
              <w:spacing w:after="0" w:line="240" w:lineRule="auto"/>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 xml:space="preserve">архитектуры </w:t>
            </w:r>
          </w:p>
        </w:tc>
        <w:tc>
          <w:tcPr>
            <w:tcW w:w="1276" w:type="dxa"/>
            <w:shd w:val="clear" w:color="auto" w:fill="auto"/>
            <w:noWrap/>
          </w:tcPr>
          <w:p w14:paraId="67C9A061" w14:textId="77777777" w:rsidR="00E957D4" w:rsidRPr="00FD7B0B" w:rsidRDefault="00E957D4" w:rsidP="003017F8">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43,6</w:t>
            </w:r>
          </w:p>
        </w:tc>
        <w:tc>
          <w:tcPr>
            <w:tcW w:w="1417" w:type="dxa"/>
          </w:tcPr>
          <w:p w14:paraId="42678B49" w14:textId="77777777" w:rsidR="00E957D4" w:rsidRPr="00FD7B0B" w:rsidRDefault="00E957D4" w:rsidP="003017F8">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+67,0</w:t>
            </w:r>
          </w:p>
        </w:tc>
        <w:tc>
          <w:tcPr>
            <w:tcW w:w="1275" w:type="dxa"/>
            <w:shd w:val="clear" w:color="auto" w:fill="auto"/>
            <w:noWrap/>
          </w:tcPr>
          <w:p w14:paraId="19573A4D" w14:textId="77777777" w:rsidR="00E957D4" w:rsidRPr="00FD7B0B" w:rsidRDefault="00E957D4" w:rsidP="003017F8">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110,6</w:t>
            </w:r>
          </w:p>
        </w:tc>
        <w:tc>
          <w:tcPr>
            <w:tcW w:w="1135" w:type="dxa"/>
            <w:shd w:val="clear" w:color="auto" w:fill="auto"/>
            <w:noWrap/>
          </w:tcPr>
          <w:p w14:paraId="42645A17" w14:textId="77777777" w:rsidR="00E957D4" w:rsidRPr="00FD7B0B" w:rsidRDefault="00E957D4" w:rsidP="003017F8">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110,6</w:t>
            </w:r>
          </w:p>
        </w:tc>
        <w:tc>
          <w:tcPr>
            <w:tcW w:w="1134" w:type="dxa"/>
            <w:shd w:val="clear" w:color="auto" w:fill="auto"/>
            <w:noWrap/>
          </w:tcPr>
          <w:p w14:paraId="1EE0EE16" w14:textId="77777777" w:rsidR="00E957D4" w:rsidRPr="00FD7B0B" w:rsidRDefault="00E957D4" w:rsidP="003017F8">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100,0</w:t>
            </w:r>
          </w:p>
        </w:tc>
      </w:tr>
      <w:tr w:rsidR="00FD7B0B" w:rsidRPr="00FD7B0B" w14:paraId="2761D357" w14:textId="77777777" w:rsidTr="003017F8">
        <w:trPr>
          <w:trHeight w:hRule="exact" w:val="255"/>
        </w:trPr>
        <w:tc>
          <w:tcPr>
            <w:tcW w:w="3657" w:type="dxa"/>
            <w:shd w:val="clear" w:color="auto" w:fill="auto"/>
            <w:noWrap/>
            <w:vAlign w:val="center"/>
          </w:tcPr>
          <w:p w14:paraId="34521DA4" w14:textId="77777777" w:rsidR="00E957D4" w:rsidRPr="00FD7B0B" w:rsidRDefault="00E957D4" w:rsidP="00E957D4">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410 Бюджетные инвестиции</w:t>
            </w:r>
          </w:p>
        </w:tc>
        <w:tc>
          <w:tcPr>
            <w:tcW w:w="1276" w:type="dxa"/>
            <w:shd w:val="clear" w:color="auto" w:fill="auto"/>
            <w:noWrap/>
          </w:tcPr>
          <w:p w14:paraId="4D47E6FB"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43,6</w:t>
            </w:r>
          </w:p>
        </w:tc>
        <w:tc>
          <w:tcPr>
            <w:tcW w:w="1417" w:type="dxa"/>
          </w:tcPr>
          <w:p w14:paraId="5A75132F"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+67,0</w:t>
            </w:r>
          </w:p>
        </w:tc>
        <w:tc>
          <w:tcPr>
            <w:tcW w:w="1275" w:type="dxa"/>
            <w:shd w:val="clear" w:color="auto" w:fill="auto"/>
            <w:noWrap/>
          </w:tcPr>
          <w:p w14:paraId="586DD068"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110,6</w:t>
            </w:r>
          </w:p>
        </w:tc>
        <w:tc>
          <w:tcPr>
            <w:tcW w:w="1135" w:type="dxa"/>
            <w:shd w:val="clear" w:color="auto" w:fill="auto"/>
            <w:noWrap/>
          </w:tcPr>
          <w:p w14:paraId="07E119ED"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110,6</w:t>
            </w:r>
          </w:p>
        </w:tc>
        <w:tc>
          <w:tcPr>
            <w:tcW w:w="1134" w:type="dxa"/>
            <w:shd w:val="clear" w:color="auto" w:fill="auto"/>
            <w:noWrap/>
          </w:tcPr>
          <w:p w14:paraId="61AC3B0A"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707596EB" w14:textId="77777777" w:rsidTr="003017F8">
        <w:trPr>
          <w:trHeight w:hRule="exact" w:val="255"/>
        </w:trPr>
        <w:tc>
          <w:tcPr>
            <w:tcW w:w="3657" w:type="dxa"/>
            <w:shd w:val="clear" w:color="auto" w:fill="auto"/>
            <w:noWrap/>
            <w:vAlign w:val="center"/>
          </w:tcPr>
          <w:p w14:paraId="6EF568E0" w14:textId="77777777" w:rsidR="00E957D4" w:rsidRPr="00FD7B0B" w:rsidRDefault="00E957D4" w:rsidP="00E957D4">
            <w:pPr>
              <w:spacing w:after="0" w:line="240" w:lineRule="auto"/>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ИТОГО</w:t>
            </w:r>
          </w:p>
        </w:tc>
        <w:tc>
          <w:tcPr>
            <w:tcW w:w="1276" w:type="dxa"/>
            <w:shd w:val="clear" w:color="auto" w:fill="auto"/>
            <w:noWrap/>
          </w:tcPr>
          <w:p w14:paraId="57C54306" w14:textId="77777777" w:rsidR="00E957D4" w:rsidRPr="00FD7B0B" w:rsidRDefault="00E957D4" w:rsidP="003017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b/>
                <w:bCs/>
                <w:lang w:eastAsia="ru-RU"/>
              </w:rPr>
              <w:t>2 259,0</w:t>
            </w:r>
          </w:p>
        </w:tc>
        <w:tc>
          <w:tcPr>
            <w:tcW w:w="1417" w:type="dxa"/>
          </w:tcPr>
          <w:p w14:paraId="45A91B84" w14:textId="77777777" w:rsidR="00E957D4" w:rsidRPr="00FD7B0B" w:rsidRDefault="00E957D4" w:rsidP="003017F8">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+198,5</w:t>
            </w:r>
          </w:p>
        </w:tc>
        <w:tc>
          <w:tcPr>
            <w:tcW w:w="1275" w:type="dxa"/>
            <w:shd w:val="clear" w:color="auto" w:fill="auto"/>
            <w:noWrap/>
          </w:tcPr>
          <w:p w14:paraId="039164BC" w14:textId="77777777" w:rsidR="00E957D4" w:rsidRPr="00FD7B0B" w:rsidRDefault="00E957D4" w:rsidP="003017F8">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2 457,5</w:t>
            </w:r>
          </w:p>
        </w:tc>
        <w:tc>
          <w:tcPr>
            <w:tcW w:w="1135" w:type="dxa"/>
            <w:shd w:val="clear" w:color="auto" w:fill="auto"/>
            <w:noWrap/>
          </w:tcPr>
          <w:p w14:paraId="7BD2223C" w14:textId="77777777" w:rsidR="00E957D4" w:rsidRPr="00FD7B0B" w:rsidRDefault="00E957D4" w:rsidP="003017F8">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2 457,1</w:t>
            </w:r>
          </w:p>
        </w:tc>
        <w:tc>
          <w:tcPr>
            <w:tcW w:w="1134" w:type="dxa"/>
            <w:shd w:val="clear" w:color="auto" w:fill="auto"/>
            <w:noWrap/>
          </w:tcPr>
          <w:p w14:paraId="477862DD" w14:textId="77777777" w:rsidR="00E957D4" w:rsidRPr="00FD7B0B" w:rsidRDefault="00E957D4" w:rsidP="003017F8">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100,0</w:t>
            </w:r>
          </w:p>
        </w:tc>
      </w:tr>
    </w:tbl>
    <w:p w14:paraId="6A2B9F05"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p>
    <w:p w14:paraId="26806127" w14:textId="4568FB7F"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Исполнение мероприятий ГП № 15 в части контрактуемых расходов (240, 410) и субсидий ГАУ АО «ЕЛЦ» за 1, 2, 3, 4 квартал 2024 года представлено на рисунке </w:t>
      </w:r>
      <w:r w:rsidR="008E33D5" w:rsidRPr="00FD7B0B">
        <w:rPr>
          <w:rFonts w:ascii="Times New Roman" w:eastAsia="Times New Roman" w:hAnsi="Times New Roman" w:cs="Times New Roman"/>
          <w:sz w:val="28"/>
          <w:szCs w:val="28"/>
          <w:lang w:eastAsia="ru-RU"/>
        </w:rPr>
        <w:t>21</w:t>
      </w:r>
      <w:r w:rsidRPr="00FD7B0B">
        <w:rPr>
          <w:rFonts w:ascii="Times New Roman" w:eastAsia="Times New Roman" w:hAnsi="Times New Roman" w:cs="Times New Roman"/>
          <w:sz w:val="28"/>
          <w:szCs w:val="28"/>
          <w:lang w:eastAsia="ru-RU"/>
        </w:rPr>
        <w:t>.</w:t>
      </w:r>
    </w:p>
    <w:p w14:paraId="6AF820BF" w14:textId="49A49106" w:rsidR="008D6A27" w:rsidRPr="00FD7B0B" w:rsidRDefault="008D6A27" w:rsidP="008D6A27">
      <w:pPr>
        <w:spacing w:after="0" w:line="240" w:lineRule="auto"/>
        <w:contextualSpacing/>
        <w:jc w:val="center"/>
        <w:rPr>
          <w:rFonts w:ascii="Times New Roman" w:eastAsia="Times New Roman" w:hAnsi="Times New Roman" w:cs="Times New Roman"/>
          <w:sz w:val="28"/>
          <w:szCs w:val="28"/>
          <w:lang w:eastAsia="ru-RU"/>
        </w:rPr>
      </w:pPr>
      <w:r w:rsidRPr="00FD7B0B">
        <w:rPr>
          <w:rFonts w:ascii="Times New Roman" w:eastAsia="Times New Roman" w:hAnsi="Times New Roman" w:cs="Times New Roman"/>
          <w:noProof/>
          <w:sz w:val="28"/>
          <w:szCs w:val="28"/>
          <w:lang w:eastAsia="ru-RU"/>
        </w:rPr>
        <w:lastRenderedPageBreak/>
        <w:drawing>
          <wp:inline distT="0" distB="0" distL="0" distR="0" wp14:anchorId="2E1A7168" wp14:editId="739C2E2E">
            <wp:extent cx="5011420" cy="1975485"/>
            <wp:effectExtent l="0" t="0" r="0" b="571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1420" cy="1975485"/>
                    </a:xfrm>
                    <a:prstGeom prst="rect">
                      <a:avLst/>
                    </a:prstGeom>
                    <a:noFill/>
                  </pic:spPr>
                </pic:pic>
              </a:graphicData>
            </a:graphic>
          </wp:inline>
        </w:drawing>
      </w:r>
    </w:p>
    <w:p w14:paraId="16DE2639" w14:textId="77777777" w:rsidR="00E957D4" w:rsidRPr="00FD7B0B" w:rsidRDefault="00E957D4" w:rsidP="00E957D4">
      <w:pPr>
        <w:spacing w:after="0" w:line="240" w:lineRule="auto"/>
        <w:rPr>
          <w:rFonts w:ascii="Times New Roman" w:hAnsi="Times New Roman" w:cs="Times New Roman"/>
          <w:sz w:val="24"/>
          <w:szCs w:val="24"/>
        </w:rPr>
      </w:pPr>
      <w:r w:rsidRPr="00FD7B0B">
        <w:rPr>
          <w:rFonts w:ascii="Times New Roman" w:hAnsi="Times New Roman" w:cs="Times New Roman"/>
          <w:sz w:val="24"/>
          <w:szCs w:val="24"/>
        </w:rPr>
        <w:t xml:space="preserve">Рисунок </w:t>
      </w:r>
      <w:r w:rsidRPr="00FD7B0B">
        <w:rPr>
          <w:rFonts w:ascii="Times New Roman" w:hAnsi="Times New Roman" w:cs="Times New Roman"/>
          <w:sz w:val="24"/>
          <w:szCs w:val="24"/>
        </w:rPr>
        <w:fldChar w:fldCharType="begin"/>
      </w:r>
      <w:r w:rsidRPr="00FD7B0B">
        <w:rPr>
          <w:rFonts w:ascii="Times New Roman" w:hAnsi="Times New Roman" w:cs="Times New Roman"/>
          <w:sz w:val="24"/>
          <w:szCs w:val="24"/>
        </w:rPr>
        <w:instrText xml:space="preserve"> SEQ Рисунок \* ARABIC </w:instrText>
      </w:r>
      <w:r w:rsidRPr="00FD7B0B">
        <w:rPr>
          <w:rFonts w:ascii="Times New Roman" w:hAnsi="Times New Roman" w:cs="Times New Roman"/>
          <w:sz w:val="24"/>
          <w:szCs w:val="24"/>
        </w:rPr>
        <w:fldChar w:fldCharType="separate"/>
      </w:r>
      <w:r w:rsidR="002959CD" w:rsidRPr="00FD7B0B">
        <w:rPr>
          <w:rFonts w:ascii="Times New Roman" w:hAnsi="Times New Roman" w:cs="Times New Roman"/>
          <w:noProof/>
          <w:sz w:val="24"/>
          <w:szCs w:val="24"/>
        </w:rPr>
        <w:t>21</w:t>
      </w:r>
      <w:r w:rsidRPr="00FD7B0B">
        <w:rPr>
          <w:rFonts w:ascii="Times New Roman" w:hAnsi="Times New Roman" w:cs="Times New Roman"/>
          <w:sz w:val="24"/>
          <w:szCs w:val="24"/>
        </w:rPr>
        <w:fldChar w:fldCharType="end"/>
      </w:r>
      <w:r w:rsidRPr="00FD7B0B">
        <w:rPr>
          <w:rFonts w:ascii="Times New Roman" w:hAnsi="Times New Roman" w:cs="Times New Roman"/>
          <w:sz w:val="24"/>
          <w:szCs w:val="24"/>
        </w:rPr>
        <w:t>. Расходы бюджета за 2024 год на реализацию мероприятий ГП № 15 в части контрактуемых расходов и расходов на предоставление субсидий ГАУ АО «ЕЛЦ», млн.руб.</w:t>
      </w:r>
    </w:p>
    <w:p w14:paraId="636D170C" w14:textId="77777777" w:rsidR="00E957D4" w:rsidRPr="00FD7B0B" w:rsidRDefault="00E957D4" w:rsidP="00E957D4">
      <w:pPr>
        <w:spacing w:after="0" w:line="240" w:lineRule="auto"/>
        <w:ind w:firstLine="709"/>
        <w:jc w:val="both"/>
        <w:rPr>
          <w:rFonts w:ascii="Times New Roman" w:hAnsi="Times New Roman" w:cs="Times New Roman"/>
          <w:sz w:val="28"/>
          <w:szCs w:val="28"/>
        </w:rPr>
      </w:pPr>
    </w:p>
    <w:p w14:paraId="6B1A05FE" w14:textId="77777777" w:rsidR="00E957D4" w:rsidRPr="00FD7B0B" w:rsidRDefault="00E957D4" w:rsidP="00E957D4">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hAnsi="Times New Roman" w:cs="Times New Roman"/>
          <w:sz w:val="28"/>
          <w:szCs w:val="28"/>
        </w:rPr>
        <w:t xml:space="preserve">Значительное увеличение расходов по виду расходов 620 «Субсидии автономным учреждениям» во втором квартале обусловлено увеличением расходов на выполнение мероприятий по </w:t>
      </w:r>
      <w:r w:rsidRPr="00FD7B0B">
        <w:rPr>
          <w:rFonts w:ascii="Times New Roman" w:eastAsia="Times New Roman" w:hAnsi="Times New Roman" w:cs="Times New Roman"/>
          <w:sz w:val="28"/>
          <w:szCs w:val="28"/>
          <w:lang w:eastAsia="ru-RU"/>
        </w:rPr>
        <w:t>пожарной безопасности и тушению лесных пожаров (в 1 квартале – 90,4 млн.руб., во втором квартале – 192,4 млн.руб.).</w:t>
      </w:r>
    </w:p>
    <w:p w14:paraId="6064CAEC" w14:textId="77777777" w:rsidR="00E957D4" w:rsidRPr="00FD7B0B" w:rsidRDefault="00E957D4" w:rsidP="00E957D4">
      <w:pPr>
        <w:spacing w:after="0" w:line="240" w:lineRule="auto"/>
        <w:ind w:firstLine="709"/>
        <w:jc w:val="both"/>
        <w:rPr>
          <w:rFonts w:ascii="Times New Roman" w:eastAsia="Calibri" w:hAnsi="Times New Roman" w:cs="Times New Roman"/>
          <w:snapToGrid w:val="0"/>
          <w:sz w:val="28"/>
          <w:szCs w:val="28"/>
        </w:rPr>
      </w:pPr>
    </w:p>
    <w:p w14:paraId="15C99E12" w14:textId="77777777" w:rsidR="00E957D4" w:rsidRPr="00FD7B0B" w:rsidRDefault="00E957D4" w:rsidP="00E957D4">
      <w:pPr>
        <w:spacing w:after="0" w:line="240" w:lineRule="auto"/>
        <w:ind w:firstLine="709"/>
        <w:jc w:val="both"/>
        <w:rPr>
          <w:rFonts w:ascii="Times New Roman" w:eastAsia="Calibri" w:hAnsi="Times New Roman" w:cs="Times New Roman"/>
          <w:snapToGrid w:val="0"/>
          <w:sz w:val="28"/>
          <w:szCs w:val="28"/>
        </w:rPr>
      </w:pPr>
      <w:r w:rsidRPr="00FD7B0B">
        <w:rPr>
          <w:rFonts w:ascii="Times New Roman" w:eastAsia="Calibri" w:hAnsi="Times New Roman" w:cs="Times New Roman"/>
          <w:snapToGrid w:val="0"/>
          <w:sz w:val="28"/>
          <w:szCs w:val="28"/>
        </w:rPr>
        <w:t>На реализацию РП «Сохранение лесов» направлено 1 868,9 млн.руб., из них за счет внебюджетных источников на сумму 1 798,0 млн.руб.</w:t>
      </w:r>
    </w:p>
    <w:p w14:paraId="72C1E650" w14:textId="4136214C" w:rsidR="00E957D4" w:rsidRPr="00FD7B0B" w:rsidRDefault="00E957D4" w:rsidP="00E957D4">
      <w:pPr>
        <w:spacing w:after="0" w:line="240" w:lineRule="auto"/>
        <w:ind w:firstLine="709"/>
        <w:jc w:val="both"/>
        <w:rPr>
          <w:rFonts w:ascii="Times New Roman" w:eastAsia="Calibri" w:hAnsi="Times New Roman" w:cs="Times New Roman"/>
          <w:snapToGrid w:val="0"/>
          <w:sz w:val="28"/>
          <w:szCs w:val="28"/>
        </w:rPr>
      </w:pPr>
      <w:r w:rsidRPr="00FD7B0B">
        <w:rPr>
          <w:rFonts w:ascii="Times New Roman" w:eastAsia="Calibri" w:hAnsi="Times New Roman" w:cs="Times New Roman"/>
          <w:snapToGrid w:val="0"/>
          <w:sz w:val="28"/>
          <w:szCs w:val="28"/>
        </w:rPr>
        <w:t>За счет федерального и област</w:t>
      </w:r>
      <w:r w:rsidR="008D6A27" w:rsidRPr="00FD7B0B">
        <w:rPr>
          <w:rFonts w:ascii="Times New Roman" w:eastAsia="Calibri" w:hAnsi="Times New Roman" w:cs="Times New Roman"/>
          <w:snapToGrid w:val="0"/>
          <w:sz w:val="28"/>
          <w:szCs w:val="28"/>
        </w:rPr>
        <w:t>ного бюджета направлено 71 млн.</w:t>
      </w:r>
      <w:r w:rsidRPr="00FD7B0B">
        <w:rPr>
          <w:rFonts w:ascii="Times New Roman" w:eastAsia="Calibri" w:hAnsi="Times New Roman" w:cs="Times New Roman"/>
          <w:snapToGrid w:val="0"/>
          <w:sz w:val="28"/>
          <w:szCs w:val="28"/>
        </w:rPr>
        <w:t>руб., из них:</w:t>
      </w:r>
    </w:p>
    <w:p w14:paraId="13AD79BC" w14:textId="339F376E" w:rsidR="00E957D4" w:rsidRPr="00FD7B0B" w:rsidRDefault="00E957D4" w:rsidP="00E957D4">
      <w:pPr>
        <w:spacing w:after="0" w:line="240" w:lineRule="auto"/>
        <w:ind w:firstLine="709"/>
        <w:jc w:val="both"/>
        <w:rPr>
          <w:rFonts w:ascii="Times New Roman" w:eastAsia="Calibri" w:hAnsi="Times New Roman" w:cs="Times New Roman"/>
          <w:snapToGrid w:val="0"/>
          <w:sz w:val="28"/>
          <w:szCs w:val="28"/>
        </w:rPr>
      </w:pPr>
      <w:r w:rsidRPr="00FD7B0B">
        <w:rPr>
          <w:rFonts w:ascii="Times New Roman" w:eastAsia="Calibri" w:hAnsi="Times New Roman" w:cs="Times New Roman"/>
          <w:snapToGrid w:val="0"/>
          <w:sz w:val="28"/>
          <w:szCs w:val="28"/>
        </w:rPr>
        <w:t>- на приобретение лесопожарной техники и оборудования в сумме 23,8 млн.руб.;</w:t>
      </w:r>
    </w:p>
    <w:p w14:paraId="0123DFB7" w14:textId="77777777" w:rsidR="00E957D4" w:rsidRPr="00FD7B0B" w:rsidRDefault="00E957D4" w:rsidP="00E957D4">
      <w:pPr>
        <w:spacing w:after="0" w:line="240" w:lineRule="auto"/>
        <w:ind w:firstLine="709"/>
        <w:jc w:val="both"/>
        <w:rPr>
          <w:rFonts w:ascii="Times New Roman" w:eastAsia="Calibri" w:hAnsi="Times New Roman" w:cs="Times New Roman"/>
          <w:snapToGrid w:val="0"/>
          <w:sz w:val="28"/>
          <w:szCs w:val="28"/>
        </w:rPr>
      </w:pPr>
      <w:r w:rsidRPr="00FD7B0B">
        <w:rPr>
          <w:rFonts w:ascii="Times New Roman" w:eastAsia="Calibri" w:hAnsi="Times New Roman" w:cs="Times New Roman"/>
          <w:snapToGrid w:val="0"/>
          <w:sz w:val="28"/>
          <w:szCs w:val="28"/>
        </w:rPr>
        <w:t>- на мероприятия по увеличению площади восстановления на лесных участках, не переданных в аренду, в сумме 47,1 млн.руб.</w:t>
      </w:r>
    </w:p>
    <w:p w14:paraId="30EF2E60" w14:textId="77777777" w:rsidR="00E957D4" w:rsidRPr="00FD7B0B" w:rsidRDefault="00E957D4" w:rsidP="00E957D4">
      <w:pPr>
        <w:spacing w:after="0" w:line="240" w:lineRule="auto"/>
        <w:ind w:firstLine="709"/>
        <w:contextualSpacing/>
        <w:jc w:val="both"/>
        <w:rPr>
          <w:rFonts w:ascii="Times New Roman" w:eastAsia="Calibri" w:hAnsi="Times New Roman" w:cs="Times New Roman"/>
          <w:sz w:val="28"/>
          <w:szCs w:val="28"/>
          <w:lang w:eastAsia="ru-RU"/>
        </w:rPr>
      </w:pPr>
    </w:p>
    <w:p w14:paraId="62D2DC89" w14:textId="1469A892" w:rsidR="00E957D4" w:rsidRPr="00FD7B0B" w:rsidRDefault="008D6A27" w:rsidP="00E957D4">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На к</w:t>
      </w:r>
      <w:r w:rsidR="00E957D4" w:rsidRPr="00FD7B0B">
        <w:rPr>
          <w:rFonts w:ascii="Times New Roman" w:eastAsia="Calibri" w:hAnsi="Times New Roman" w:cs="Times New Roman"/>
          <w:sz w:val="28"/>
          <w:szCs w:val="28"/>
          <w:lang w:eastAsia="ru-RU"/>
        </w:rPr>
        <w:t>омплекс процессных мероприятия «Развитие лесного комплекса Архангельской области» в 2024 году направлено 4 507,9 млн.руб., что составляет 70,7</w:t>
      </w:r>
      <w:r w:rsidRPr="00FD7B0B">
        <w:rPr>
          <w:rFonts w:ascii="Times New Roman" w:eastAsia="Calibri" w:hAnsi="Times New Roman" w:cs="Times New Roman"/>
          <w:sz w:val="28"/>
          <w:szCs w:val="28"/>
          <w:lang w:eastAsia="ru-RU"/>
        </w:rPr>
        <w:t xml:space="preserve"> </w:t>
      </w:r>
      <w:r w:rsidR="00E957D4" w:rsidRPr="00FD7B0B">
        <w:rPr>
          <w:rFonts w:ascii="Times New Roman" w:eastAsia="Calibri" w:hAnsi="Times New Roman" w:cs="Times New Roman"/>
          <w:sz w:val="28"/>
          <w:szCs w:val="28"/>
          <w:lang w:eastAsia="ru-RU"/>
        </w:rPr>
        <w:t>% к общему финансированию по госпрограмме, из них за счет внебюджетных источников на сумму 2 121,8 млн.руб.</w:t>
      </w:r>
    </w:p>
    <w:p w14:paraId="4E634E6F" w14:textId="77777777" w:rsidR="00E957D4" w:rsidRPr="00FD7B0B" w:rsidRDefault="00E957D4" w:rsidP="00E957D4">
      <w:pPr>
        <w:spacing w:after="0" w:line="240" w:lineRule="auto"/>
        <w:ind w:firstLine="709"/>
        <w:contextualSpacing/>
        <w:jc w:val="both"/>
        <w:rPr>
          <w:rFonts w:ascii="Times New Roman" w:eastAsia="Calibri" w:hAnsi="Times New Roman" w:cs="Times New Roman"/>
          <w:sz w:val="28"/>
          <w:szCs w:val="28"/>
          <w:lang w:eastAsia="ru-RU"/>
        </w:rPr>
      </w:pPr>
      <w:r w:rsidRPr="00FD7B0B">
        <w:rPr>
          <w:rFonts w:ascii="Times New Roman" w:eastAsia="Calibri" w:hAnsi="Times New Roman" w:cs="Times New Roman"/>
          <w:sz w:val="28"/>
          <w:szCs w:val="28"/>
          <w:lang w:eastAsia="ru-RU"/>
        </w:rPr>
        <w:t>За счет средств бюджета направлено 2 386,1 млн.руб., из них ГАУ АО «ЕЛЦ» - 1 042,4 млн.руб., в том числе на выполнение государственного задания в сумме 1 031,1 млн.руб., на иные цели – 11,3 млн.руб.</w:t>
      </w:r>
    </w:p>
    <w:p w14:paraId="62833527"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отчету о выполнении государственного задания за 2024 год, на противопожарные мероприятия направлено 333,9 млн.руб., на мероприятия по отводу лесосек под выборочные и сплошные рубки, под рубки ухода - 24,8 млн.руб., на тушение лесных пожаров - 82 млн.руб. Государственное задание выполнено в полном объеме.</w:t>
      </w:r>
    </w:p>
    <w:p w14:paraId="5E9B11E0" w14:textId="77777777" w:rsidR="00E957D4" w:rsidRPr="00FD7B0B" w:rsidRDefault="00E957D4" w:rsidP="00E957D4">
      <w:pPr>
        <w:tabs>
          <w:tab w:val="left" w:pos="0"/>
          <w:tab w:val="left" w:pos="284"/>
        </w:tabs>
        <w:spacing w:after="0" w:line="240" w:lineRule="auto"/>
        <w:ind w:firstLine="709"/>
        <w:contextualSpacing/>
        <w:jc w:val="both"/>
        <w:rPr>
          <w:rFonts w:ascii="Times New Roman" w:hAnsi="Times New Roman"/>
          <w:sz w:val="28"/>
          <w:szCs w:val="28"/>
          <w:lang w:eastAsia="ru-RU"/>
        </w:rPr>
      </w:pPr>
      <w:r w:rsidRPr="00FD7B0B">
        <w:rPr>
          <w:rFonts w:ascii="Times New Roman" w:hAnsi="Times New Roman"/>
          <w:sz w:val="28"/>
          <w:szCs w:val="28"/>
          <w:lang w:eastAsia="ru-RU"/>
        </w:rPr>
        <w:t>В рамках ГП № 15 предусмотрено строительство арктического учебного центра по переподготовке лесопожарных формирований.</w:t>
      </w:r>
    </w:p>
    <w:p w14:paraId="5D7A7D33" w14:textId="77777777" w:rsidR="00E957D4" w:rsidRPr="00FD7B0B" w:rsidRDefault="00E957D4" w:rsidP="00E957D4">
      <w:pPr>
        <w:spacing w:after="0" w:line="240" w:lineRule="auto"/>
        <w:jc w:val="center"/>
        <w:rPr>
          <w:rFonts w:ascii="Times New Roman" w:eastAsia="Times New Roman" w:hAnsi="Times New Roman" w:cs="Times New Roman"/>
          <w:sz w:val="28"/>
          <w:szCs w:val="28"/>
          <w:lang w:eastAsia="ru-RU"/>
        </w:rPr>
      </w:pPr>
    </w:p>
    <w:p w14:paraId="74AF6467" w14:textId="77777777" w:rsidR="00543131" w:rsidRPr="00FD7B0B" w:rsidRDefault="00543131" w:rsidP="00E957D4">
      <w:pPr>
        <w:spacing w:after="0" w:line="240" w:lineRule="auto"/>
        <w:jc w:val="center"/>
        <w:rPr>
          <w:rFonts w:ascii="Times New Roman" w:eastAsia="Times New Roman" w:hAnsi="Times New Roman" w:cs="Times New Roman"/>
          <w:sz w:val="28"/>
          <w:szCs w:val="28"/>
          <w:lang w:eastAsia="ru-RU"/>
        </w:rPr>
      </w:pPr>
    </w:p>
    <w:p w14:paraId="07ABB96F" w14:textId="77777777" w:rsidR="00543131" w:rsidRPr="00FD7B0B" w:rsidRDefault="00543131" w:rsidP="00E957D4">
      <w:pPr>
        <w:spacing w:after="0" w:line="240" w:lineRule="auto"/>
        <w:jc w:val="center"/>
        <w:rPr>
          <w:rFonts w:ascii="Times New Roman" w:eastAsia="Times New Roman" w:hAnsi="Times New Roman" w:cs="Times New Roman"/>
          <w:sz w:val="28"/>
          <w:szCs w:val="28"/>
          <w:lang w:eastAsia="ru-RU"/>
        </w:rPr>
      </w:pPr>
    </w:p>
    <w:p w14:paraId="3F21F35B" w14:textId="77777777" w:rsidR="00E957D4" w:rsidRPr="00FD7B0B" w:rsidRDefault="00E957D4" w:rsidP="00E957D4">
      <w:pPr>
        <w:spacing w:after="0" w:line="240" w:lineRule="auto"/>
        <w:jc w:val="center"/>
        <w:rPr>
          <w:rFonts w:ascii="Times New Roman" w:eastAsia="Calibri" w:hAnsi="Times New Roman" w:cs="Times New Roman"/>
          <w:b/>
          <w:sz w:val="28"/>
          <w:szCs w:val="28"/>
          <w:lang w:eastAsia="ru-RU"/>
        </w:rPr>
      </w:pPr>
      <w:r w:rsidRPr="00FD7B0B">
        <w:rPr>
          <w:rFonts w:ascii="Times New Roman" w:eastAsia="Calibri" w:hAnsi="Times New Roman" w:cs="Times New Roman"/>
          <w:b/>
          <w:sz w:val="28"/>
          <w:szCs w:val="28"/>
          <w:lang w:eastAsia="ru-RU"/>
        </w:rPr>
        <w:lastRenderedPageBreak/>
        <w:t>Оценка достижения целевых показателей</w:t>
      </w:r>
    </w:p>
    <w:p w14:paraId="1481BE22"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рамках госпрограммы в целом на 2024 год утверждено 3 целевых показателя.</w:t>
      </w:r>
    </w:p>
    <w:p w14:paraId="5067CA2F" w14:textId="4D9C4A28" w:rsidR="00E957D4" w:rsidRPr="00FD7B0B" w:rsidRDefault="00E957D4" w:rsidP="00E957D4">
      <w:pPr>
        <w:spacing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hAnsi="Times New Roman" w:cs="Times New Roman"/>
          <w:sz w:val="28"/>
          <w:szCs w:val="28"/>
          <w:lang w:eastAsia="ru-RU"/>
        </w:rPr>
        <w:t>По плановым показателям на 2024 год площадь выбытия лесов равен объёму лесовосстановления, целевой показатель установлен в размере 100,0</w:t>
      </w:r>
      <w:r w:rsidR="00293DAA" w:rsidRPr="00FD7B0B">
        <w:rPr>
          <w:rFonts w:ascii="Times New Roman" w:hAnsi="Times New Roman" w:cs="Times New Roman"/>
          <w:sz w:val="28"/>
          <w:szCs w:val="28"/>
          <w:lang w:eastAsia="ru-RU"/>
        </w:rPr>
        <w:t xml:space="preserve"> </w:t>
      </w:r>
      <w:r w:rsidRPr="00FD7B0B">
        <w:rPr>
          <w:rFonts w:ascii="Times New Roman" w:hAnsi="Times New Roman" w:cs="Times New Roman"/>
          <w:sz w:val="28"/>
          <w:szCs w:val="28"/>
          <w:lang w:eastAsia="ru-RU"/>
        </w:rPr>
        <w:t>%. По итогам 2024 года фактический показатель составил 102,7</w:t>
      </w:r>
      <w:r w:rsidR="00293DAA" w:rsidRPr="00FD7B0B">
        <w:rPr>
          <w:rFonts w:ascii="Times New Roman" w:hAnsi="Times New Roman" w:cs="Times New Roman"/>
          <w:sz w:val="28"/>
          <w:szCs w:val="28"/>
          <w:lang w:eastAsia="ru-RU"/>
        </w:rPr>
        <w:t xml:space="preserve"> </w:t>
      </w:r>
      <w:r w:rsidRPr="00FD7B0B">
        <w:rPr>
          <w:rFonts w:ascii="Times New Roman" w:hAnsi="Times New Roman" w:cs="Times New Roman"/>
          <w:sz w:val="28"/>
          <w:szCs w:val="28"/>
          <w:lang w:eastAsia="ru-RU"/>
        </w:rPr>
        <w:t xml:space="preserve">%. Площадь </w:t>
      </w:r>
      <w:r w:rsidRPr="00FD7B0B">
        <w:rPr>
          <w:rFonts w:ascii="Times New Roman" w:eastAsia="Times New Roman" w:hAnsi="Times New Roman" w:cs="Times New Roman"/>
          <w:sz w:val="28"/>
          <w:szCs w:val="28"/>
          <w:lang w:eastAsia="ru-RU"/>
        </w:rPr>
        <w:t>вырубленных и погибших лесных насаждений за год составила 78,5 тысяч гектар, из них площадь вырубленных лесных насаждений – 78,4 тысяч гектар и площадь лесных насаждений, погибших в связи с воздействием пожаров, вредных организмов и других факторов – 0,1 тысяч гектар. Восстановлено на площади 80,6 тысяч гектар, в том числе силами арендаторов на площади 72,1 тысяч гектар, и путем естественного восстановлени</w:t>
      </w:r>
      <w:r w:rsidR="00293DAA" w:rsidRPr="00FD7B0B">
        <w:rPr>
          <w:rFonts w:ascii="Times New Roman" w:eastAsia="Times New Roman" w:hAnsi="Times New Roman" w:cs="Times New Roman"/>
          <w:sz w:val="28"/>
          <w:szCs w:val="28"/>
          <w:lang w:eastAsia="ru-RU"/>
        </w:rPr>
        <w:t>я на площади 75,1 тысяч гектар.</w:t>
      </w:r>
    </w:p>
    <w:p w14:paraId="38C450E1" w14:textId="0B251406"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течение 2024 года ряд целевых показателей подвергался корректировке. Сведения об изменении целевых показателей представлены в таблице </w:t>
      </w:r>
      <w:r w:rsidR="00543131" w:rsidRPr="00FD7B0B">
        <w:rPr>
          <w:rFonts w:ascii="Times New Roman" w:eastAsia="Times New Roman" w:hAnsi="Times New Roman" w:cs="Times New Roman"/>
          <w:sz w:val="28"/>
          <w:szCs w:val="28"/>
          <w:lang w:eastAsia="ru-RU"/>
        </w:rPr>
        <w:t>166</w:t>
      </w:r>
      <w:r w:rsidRPr="00FD7B0B">
        <w:rPr>
          <w:rFonts w:ascii="Times New Roman" w:eastAsia="Times New Roman" w:hAnsi="Times New Roman" w:cs="Times New Roman"/>
          <w:sz w:val="28"/>
          <w:szCs w:val="28"/>
          <w:lang w:eastAsia="ru-RU"/>
        </w:rPr>
        <w:t>.</w:t>
      </w:r>
    </w:p>
    <w:p w14:paraId="5E5F9F7A"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p>
    <w:p w14:paraId="15760010" w14:textId="77777777" w:rsidR="00E957D4" w:rsidRPr="00FD7B0B" w:rsidRDefault="00E957D4" w:rsidP="00E957D4">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166</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Сведения об изменении целевых показателей ГП № 15</w:t>
      </w:r>
    </w:p>
    <w:tbl>
      <w:tblPr>
        <w:tblStyle w:val="a7"/>
        <w:tblW w:w="96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663"/>
        <w:gridCol w:w="1134"/>
        <w:gridCol w:w="1541"/>
        <w:gridCol w:w="850"/>
        <w:gridCol w:w="1420"/>
      </w:tblGrid>
      <w:tr w:rsidR="00FD7B0B" w:rsidRPr="00FD7B0B" w14:paraId="66D20009" w14:textId="77777777" w:rsidTr="00E957D4">
        <w:trPr>
          <w:tblHeader/>
        </w:trPr>
        <w:tc>
          <w:tcPr>
            <w:tcW w:w="4663" w:type="dxa"/>
          </w:tcPr>
          <w:p w14:paraId="6AED1923"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Целевой показатель, единица измерения</w:t>
            </w:r>
          </w:p>
        </w:tc>
        <w:tc>
          <w:tcPr>
            <w:tcW w:w="1134" w:type="dxa"/>
          </w:tcPr>
          <w:p w14:paraId="24EA3DD1"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ГП № 15 в ред. на 25.04.2024</w:t>
            </w:r>
          </w:p>
        </w:tc>
        <w:tc>
          <w:tcPr>
            <w:tcW w:w="1541" w:type="dxa"/>
          </w:tcPr>
          <w:p w14:paraId="49523632"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ГП №15</w:t>
            </w:r>
          </w:p>
          <w:p w14:paraId="71F5E9A3"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в ред. на 27.12.2024</w:t>
            </w:r>
          </w:p>
        </w:tc>
        <w:tc>
          <w:tcPr>
            <w:tcW w:w="850" w:type="dxa"/>
          </w:tcPr>
          <w:p w14:paraId="02110B61"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Изменение (+/-)</w:t>
            </w:r>
          </w:p>
        </w:tc>
        <w:tc>
          <w:tcPr>
            <w:tcW w:w="1420" w:type="dxa"/>
          </w:tcPr>
          <w:p w14:paraId="62EE30C6"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Основание</w:t>
            </w:r>
          </w:p>
        </w:tc>
      </w:tr>
      <w:tr w:rsidR="00FD7B0B" w:rsidRPr="00FD7B0B" w14:paraId="2A1A29EC" w14:textId="77777777" w:rsidTr="00E957D4">
        <w:trPr>
          <w:trHeight w:val="20"/>
        </w:trPr>
        <w:tc>
          <w:tcPr>
            <w:tcW w:w="4663" w:type="dxa"/>
          </w:tcPr>
          <w:p w14:paraId="21583D87" w14:textId="77777777" w:rsidR="00E957D4" w:rsidRPr="00FD7B0B" w:rsidRDefault="00E957D4" w:rsidP="00E957D4">
            <w:pPr>
              <w:contextualSpacing/>
              <w:rPr>
                <w:rFonts w:ascii="Times New Roman" w:eastAsia="Times New Roman" w:hAnsi="Times New Roman"/>
                <w:b/>
              </w:rPr>
            </w:pPr>
            <w:r w:rsidRPr="00FD7B0B">
              <w:rPr>
                <w:rFonts w:ascii="Times New Roman" w:eastAsia="Times New Roman" w:hAnsi="Times New Roman"/>
                <w:b/>
              </w:rPr>
              <w:t>Госпрограмма в целом</w:t>
            </w:r>
          </w:p>
        </w:tc>
        <w:tc>
          <w:tcPr>
            <w:tcW w:w="1134" w:type="dxa"/>
          </w:tcPr>
          <w:p w14:paraId="513D18DE" w14:textId="77777777" w:rsidR="00E957D4" w:rsidRPr="00FD7B0B" w:rsidRDefault="00E957D4" w:rsidP="00E957D4">
            <w:pPr>
              <w:contextualSpacing/>
              <w:jc w:val="center"/>
              <w:rPr>
                <w:rFonts w:ascii="Times New Roman" w:eastAsia="Times New Roman" w:hAnsi="Times New Roman"/>
              </w:rPr>
            </w:pPr>
          </w:p>
        </w:tc>
        <w:tc>
          <w:tcPr>
            <w:tcW w:w="1541" w:type="dxa"/>
          </w:tcPr>
          <w:p w14:paraId="2FEFD8A9" w14:textId="77777777" w:rsidR="00E957D4" w:rsidRPr="00FD7B0B" w:rsidRDefault="00E957D4" w:rsidP="00E957D4">
            <w:pPr>
              <w:contextualSpacing/>
              <w:jc w:val="center"/>
              <w:rPr>
                <w:rFonts w:ascii="Times New Roman" w:eastAsia="Times New Roman" w:hAnsi="Times New Roman"/>
              </w:rPr>
            </w:pPr>
          </w:p>
        </w:tc>
        <w:tc>
          <w:tcPr>
            <w:tcW w:w="850" w:type="dxa"/>
          </w:tcPr>
          <w:p w14:paraId="1F57A755" w14:textId="77777777" w:rsidR="00E957D4" w:rsidRPr="00FD7B0B" w:rsidRDefault="00E957D4" w:rsidP="00E957D4">
            <w:pPr>
              <w:contextualSpacing/>
              <w:jc w:val="center"/>
              <w:rPr>
                <w:rFonts w:ascii="Times New Roman" w:eastAsia="Times New Roman" w:hAnsi="Times New Roman"/>
              </w:rPr>
            </w:pPr>
          </w:p>
        </w:tc>
        <w:tc>
          <w:tcPr>
            <w:tcW w:w="1420" w:type="dxa"/>
          </w:tcPr>
          <w:p w14:paraId="00BB3CDA" w14:textId="77777777" w:rsidR="00E957D4" w:rsidRPr="00FD7B0B" w:rsidRDefault="00E957D4" w:rsidP="00E957D4">
            <w:pPr>
              <w:contextualSpacing/>
              <w:jc w:val="center"/>
              <w:rPr>
                <w:rFonts w:ascii="Times New Roman" w:eastAsia="Times New Roman" w:hAnsi="Times New Roman"/>
              </w:rPr>
            </w:pPr>
          </w:p>
        </w:tc>
      </w:tr>
      <w:tr w:rsidR="00FD7B0B" w:rsidRPr="00FD7B0B" w14:paraId="41458A1C" w14:textId="77777777" w:rsidTr="00E957D4">
        <w:trPr>
          <w:trHeight w:val="354"/>
        </w:trPr>
        <w:tc>
          <w:tcPr>
            <w:tcW w:w="4663" w:type="dxa"/>
          </w:tcPr>
          <w:p w14:paraId="48C71B73" w14:textId="77777777" w:rsidR="00E957D4" w:rsidRPr="00FD7B0B" w:rsidRDefault="00E957D4" w:rsidP="00E957D4">
            <w:pPr>
              <w:autoSpaceDE w:val="0"/>
              <w:autoSpaceDN w:val="0"/>
              <w:adjustRightInd w:val="0"/>
              <w:rPr>
                <w:rFonts w:ascii="Times New Roman" w:hAnsi="Times New Roman"/>
              </w:rPr>
            </w:pPr>
            <w:r w:rsidRPr="00FD7B0B">
              <w:rPr>
                <w:rFonts w:ascii="Times New Roman" w:hAnsi="Times New Roman"/>
              </w:rPr>
              <w:t>Темп роста (индекс роста) физического объема инвестиций в основной капитал организаций лесного комплекса Архангельской области (без субъектов малого предпринимательства и объема инвестиций, не наблюдаемых прямыми статистическими методами) к 2022 году, в %</w:t>
            </w:r>
          </w:p>
        </w:tc>
        <w:tc>
          <w:tcPr>
            <w:tcW w:w="1134" w:type="dxa"/>
            <w:vAlign w:val="center"/>
          </w:tcPr>
          <w:p w14:paraId="1974F285"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105,0</w:t>
            </w:r>
          </w:p>
        </w:tc>
        <w:tc>
          <w:tcPr>
            <w:tcW w:w="1541" w:type="dxa"/>
            <w:vAlign w:val="center"/>
          </w:tcPr>
          <w:p w14:paraId="36888B1E"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100,05</w:t>
            </w:r>
          </w:p>
        </w:tc>
        <w:tc>
          <w:tcPr>
            <w:tcW w:w="850" w:type="dxa"/>
            <w:vAlign w:val="center"/>
          </w:tcPr>
          <w:p w14:paraId="2F4DDD95"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-4,95</w:t>
            </w:r>
          </w:p>
        </w:tc>
        <w:tc>
          <w:tcPr>
            <w:tcW w:w="1420" w:type="dxa"/>
          </w:tcPr>
          <w:p w14:paraId="593A753E" w14:textId="77777777" w:rsidR="00E957D4" w:rsidRPr="00FD7B0B" w:rsidRDefault="00E957D4" w:rsidP="00E957D4">
            <w:pPr>
              <w:autoSpaceDE w:val="0"/>
              <w:autoSpaceDN w:val="0"/>
              <w:adjustRightInd w:val="0"/>
              <w:rPr>
                <w:rFonts w:ascii="Times New Roman" w:eastAsia="Times New Roman" w:hAnsi="Times New Roman"/>
              </w:rPr>
            </w:pPr>
          </w:p>
          <w:p w14:paraId="32B0BCBE" w14:textId="77777777" w:rsidR="00E957D4" w:rsidRPr="00FD7B0B" w:rsidRDefault="00E957D4" w:rsidP="00E957D4">
            <w:pPr>
              <w:autoSpaceDE w:val="0"/>
              <w:autoSpaceDN w:val="0"/>
              <w:adjustRightInd w:val="0"/>
              <w:rPr>
                <w:rFonts w:ascii="Times New Roman" w:eastAsia="Times New Roman" w:hAnsi="Times New Roman"/>
              </w:rPr>
            </w:pPr>
            <w:r w:rsidRPr="00FD7B0B">
              <w:rPr>
                <w:rFonts w:ascii="Times New Roman" w:eastAsia="Times New Roman" w:hAnsi="Times New Roman"/>
              </w:rPr>
              <w:t>ПП АО от 27.12.2024 № 1235-пп</w:t>
            </w:r>
          </w:p>
        </w:tc>
      </w:tr>
      <w:tr w:rsidR="00E957D4" w:rsidRPr="00FD7B0B" w14:paraId="344B961C" w14:textId="77777777" w:rsidTr="00E957D4">
        <w:trPr>
          <w:trHeight w:val="354"/>
        </w:trPr>
        <w:tc>
          <w:tcPr>
            <w:tcW w:w="4663" w:type="dxa"/>
          </w:tcPr>
          <w:p w14:paraId="23D019C8" w14:textId="77777777" w:rsidR="00E957D4" w:rsidRPr="00FD7B0B" w:rsidRDefault="00E957D4" w:rsidP="00E957D4">
            <w:pPr>
              <w:autoSpaceDE w:val="0"/>
              <w:autoSpaceDN w:val="0"/>
              <w:adjustRightInd w:val="0"/>
              <w:rPr>
                <w:rFonts w:ascii="Times New Roman" w:hAnsi="Times New Roman"/>
              </w:rPr>
            </w:pPr>
            <w:r w:rsidRPr="00FD7B0B">
              <w:rPr>
                <w:rFonts w:ascii="Times New Roman" w:hAnsi="Times New Roman"/>
              </w:rPr>
              <w:t>Темп роста (индекс роста) объема отгруженных товаров собственного производства, выполненных работ, услуг собственными силами лесоперерабатывающими организациями Архангельской области в расчете на одного работающего к 2022 году, в %</w:t>
            </w:r>
          </w:p>
        </w:tc>
        <w:tc>
          <w:tcPr>
            <w:tcW w:w="1134" w:type="dxa"/>
            <w:vAlign w:val="center"/>
          </w:tcPr>
          <w:p w14:paraId="0179DDAF"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100,9</w:t>
            </w:r>
          </w:p>
        </w:tc>
        <w:tc>
          <w:tcPr>
            <w:tcW w:w="1541" w:type="dxa"/>
            <w:vAlign w:val="center"/>
          </w:tcPr>
          <w:p w14:paraId="3B3A35C0" w14:textId="77777777" w:rsidR="00E957D4" w:rsidRPr="00FD7B0B" w:rsidRDefault="00E957D4" w:rsidP="00E957D4">
            <w:pPr>
              <w:contextualSpacing/>
              <w:jc w:val="center"/>
              <w:rPr>
                <w:rFonts w:ascii="Times New Roman" w:eastAsia="Times New Roman" w:hAnsi="Times New Roman"/>
                <w:lang w:val="en-US"/>
              </w:rPr>
            </w:pPr>
            <w:r w:rsidRPr="00FD7B0B">
              <w:rPr>
                <w:rFonts w:ascii="Times New Roman" w:eastAsia="Times New Roman" w:hAnsi="Times New Roman"/>
              </w:rPr>
              <w:t>100,1</w:t>
            </w:r>
          </w:p>
        </w:tc>
        <w:tc>
          <w:tcPr>
            <w:tcW w:w="850" w:type="dxa"/>
            <w:vAlign w:val="center"/>
          </w:tcPr>
          <w:p w14:paraId="432CE2EA" w14:textId="77777777" w:rsidR="00E957D4" w:rsidRPr="00FD7B0B" w:rsidRDefault="00E957D4" w:rsidP="00E957D4">
            <w:pPr>
              <w:contextualSpacing/>
              <w:jc w:val="center"/>
              <w:rPr>
                <w:rFonts w:ascii="Times New Roman" w:eastAsia="Times New Roman" w:hAnsi="Times New Roman"/>
              </w:rPr>
            </w:pPr>
            <w:r w:rsidRPr="00FD7B0B">
              <w:rPr>
                <w:rFonts w:ascii="Times New Roman" w:eastAsia="Times New Roman" w:hAnsi="Times New Roman"/>
              </w:rPr>
              <w:t>-0,8</w:t>
            </w:r>
          </w:p>
        </w:tc>
        <w:tc>
          <w:tcPr>
            <w:tcW w:w="1420" w:type="dxa"/>
          </w:tcPr>
          <w:p w14:paraId="2C09F9FC" w14:textId="77777777" w:rsidR="00E957D4" w:rsidRPr="00FD7B0B" w:rsidRDefault="00E957D4" w:rsidP="00E957D4">
            <w:pPr>
              <w:autoSpaceDE w:val="0"/>
              <w:autoSpaceDN w:val="0"/>
              <w:adjustRightInd w:val="0"/>
              <w:rPr>
                <w:rFonts w:ascii="Times New Roman" w:eastAsia="Times New Roman" w:hAnsi="Times New Roman"/>
              </w:rPr>
            </w:pPr>
          </w:p>
          <w:p w14:paraId="15C7FD42" w14:textId="77777777" w:rsidR="00E957D4" w:rsidRPr="00FD7B0B" w:rsidRDefault="00E957D4" w:rsidP="00E957D4">
            <w:pPr>
              <w:autoSpaceDE w:val="0"/>
              <w:autoSpaceDN w:val="0"/>
              <w:adjustRightInd w:val="0"/>
              <w:rPr>
                <w:rFonts w:ascii="Times New Roman" w:eastAsia="Times New Roman" w:hAnsi="Times New Roman"/>
              </w:rPr>
            </w:pPr>
            <w:r w:rsidRPr="00FD7B0B">
              <w:rPr>
                <w:rFonts w:ascii="Times New Roman" w:eastAsia="Times New Roman" w:hAnsi="Times New Roman"/>
              </w:rPr>
              <w:t>ПП АО от 27.12.2024 № 1235-пп</w:t>
            </w:r>
          </w:p>
        </w:tc>
      </w:tr>
    </w:tbl>
    <w:p w14:paraId="52CA6E70" w14:textId="77777777" w:rsidR="00E957D4" w:rsidRPr="00FD7B0B" w:rsidRDefault="00E957D4" w:rsidP="00E957D4">
      <w:pPr>
        <w:spacing w:after="0" w:line="240" w:lineRule="auto"/>
        <w:ind w:firstLine="709"/>
        <w:jc w:val="both"/>
        <w:rPr>
          <w:rFonts w:ascii="Times New Roman" w:eastAsia="Times New Roman" w:hAnsi="Times New Roman" w:cs="Times New Roman"/>
          <w:sz w:val="28"/>
          <w:szCs w:val="28"/>
          <w:lang w:eastAsia="ru-RU"/>
        </w:rPr>
      </w:pPr>
    </w:p>
    <w:p w14:paraId="3AFB965B" w14:textId="358580AD"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Значения отдельных показателей (индикаторов) государственной программы за 2023 и 2024 годы согласно отчету по форме 18-ОИП «Сведения о показателях (индикаторов) эффективности реализации ГП РФ «Развитие лесного х</w:t>
      </w:r>
      <w:r w:rsidR="00293DAA" w:rsidRPr="00FD7B0B">
        <w:rPr>
          <w:rFonts w:ascii="Times New Roman" w:eastAsia="Times New Roman" w:hAnsi="Times New Roman" w:cs="Times New Roman"/>
          <w:sz w:val="28"/>
          <w:szCs w:val="28"/>
          <w:lang w:eastAsia="ru-RU"/>
        </w:rPr>
        <w:t xml:space="preserve">озяйства» отражены в таблице </w:t>
      </w:r>
      <w:r w:rsidR="00543131" w:rsidRPr="00FD7B0B">
        <w:rPr>
          <w:rFonts w:ascii="Times New Roman" w:eastAsia="Times New Roman" w:hAnsi="Times New Roman" w:cs="Times New Roman"/>
          <w:sz w:val="28"/>
          <w:szCs w:val="28"/>
          <w:lang w:eastAsia="ru-RU"/>
        </w:rPr>
        <w:t>167</w:t>
      </w:r>
      <w:r w:rsidRPr="00FD7B0B">
        <w:rPr>
          <w:rFonts w:ascii="Times New Roman" w:eastAsia="Times New Roman" w:hAnsi="Times New Roman" w:cs="Times New Roman"/>
          <w:sz w:val="28"/>
          <w:szCs w:val="28"/>
          <w:lang w:eastAsia="ru-RU"/>
        </w:rPr>
        <w:t>.</w:t>
      </w:r>
    </w:p>
    <w:p w14:paraId="60C3E877" w14:textId="77777777" w:rsidR="00E957D4" w:rsidRPr="00FD7B0B" w:rsidRDefault="00E957D4" w:rsidP="00E957D4">
      <w:pPr>
        <w:spacing w:after="0" w:line="240" w:lineRule="auto"/>
        <w:rPr>
          <w:rFonts w:ascii="Times New Roman" w:eastAsia="Calibri" w:hAnsi="Times New Roman" w:cs="Times New Roman"/>
          <w:sz w:val="24"/>
          <w:szCs w:val="24"/>
        </w:rPr>
      </w:pPr>
    </w:p>
    <w:p w14:paraId="56B9FB0A" w14:textId="77777777" w:rsidR="00E957D4" w:rsidRPr="00FD7B0B" w:rsidRDefault="00E957D4" w:rsidP="00E957D4">
      <w:pPr>
        <w:spacing w:after="0" w:line="240" w:lineRule="auto"/>
        <w:rPr>
          <w:rFonts w:ascii="Times New Roman" w:eastAsia="Calibri" w:hAnsi="Times New Roman" w:cs="Times New Roman"/>
          <w:sz w:val="24"/>
          <w:szCs w:val="24"/>
          <w:lang w:eastAsia="ru-RU"/>
        </w:rPr>
      </w:pPr>
      <w:r w:rsidRPr="00FD7B0B">
        <w:rPr>
          <w:rFonts w:ascii="Times New Roman" w:eastAsia="Calibri" w:hAnsi="Times New Roman" w:cs="Times New Roman"/>
          <w:sz w:val="24"/>
          <w:szCs w:val="24"/>
        </w:rPr>
        <w:t xml:space="preserve">Таблица </w:t>
      </w:r>
      <w:r w:rsidRPr="00FD7B0B">
        <w:rPr>
          <w:rFonts w:ascii="Times New Roman" w:eastAsia="Calibri" w:hAnsi="Times New Roman" w:cs="Times New Roman"/>
          <w:sz w:val="24"/>
          <w:szCs w:val="24"/>
        </w:rPr>
        <w:fldChar w:fldCharType="begin"/>
      </w:r>
      <w:r w:rsidRPr="00FD7B0B">
        <w:rPr>
          <w:rFonts w:ascii="Times New Roman" w:eastAsia="Calibri" w:hAnsi="Times New Roman" w:cs="Times New Roman"/>
          <w:sz w:val="24"/>
          <w:szCs w:val="24"/>
        </w:rPr>
        <w:instrText xml:space="preserve"> SEQ Таблица \* ARABIC </w:instrText>
      </w:r>
      <w:r w:rsidRPr="00FD7B0B">
        <w:rPr>
          <w:rFonts w:ascii="Times New Roman" w:eastAsia="Calibri" w:hAnsi="Times New Roman" w:cs="Times New Roman"/>
          <w:sz w:val="24"/>
          <w:szCs w:val="24"/>
        </w:rPr>
        <w:fldChar w:fldCharType="separate"/>
      </w:r>
      <w:r w:rsidR="002959CD" w:rsidRPr="00FD7B0B">
        <w:rPr>
          <w:rFonts w:ascii="Times New Roman" w:eastAsia="Calibri" w:hAnsi="Times New Roman" w:cs="Times New Roman"/>
          <w:noProof/>
          <w:sz w:val="24"/>
          <w:szCs w:val="24"/>
        </w:rPr>
        <w:t>167</w:t>
      </w:r>
      <w:r w:rsidRPr="00FD7B0B">
        <w:rPr>
          <w:rFonts w:ascii="Times New Roman" w:eastAsia="Calibri" w:hAnsi="Times New Roman" w:cs="Times New Roman"/>
          <w:sz w:val="24"/>
          <w:szCs w:val="24"/>
        </w:rPr>
        <w:fldChar w:fldCharType="end"/>
      </w:r>
      <w:r w:rsidRPr="00FD7B0B">
        <w:rPr>
          <w:rFonts w:ascii="Times New Roman" w:eastAsia="Calibri" w:hAnsi="Times New Roman" w:cs="Times New Roman"/>
          <w:sz w:val="24"/>
          <w:szCs w:val="24"/>
        </w:rPr>
        <w:t>.</w:t>
      </w:r>
      <w:r w:rsidRPr="00FD7B0B">
        <w:rPr>
          <w:rFonts w:ascii="Times New Roman" w:eastAsia="Calibri" w:hAnsi="Times New Roman" w:cs="Times New Roman"/>
          <w:sz w:val="24"/>
          <w:szCs w:val="24"/>
          <w:lang w:eastAsia="ru-RU"/>
        </w:rPr>
        <w:t xml:space="preserve"> Значения отдельных показателей (индикаторов) государственной программы за 2023 и 2024 гг. согласно отчету по форме 18-ОИП «Сведения о показателях (индикаторов) эффективности реализации ГП РФ «Развитие лесного хозяйства»</w:t>
      </w:r>
    </w:p>
    <w:tbl>
      <w:tblPr>
        <w:tblW w:w="965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66"/>
        <w:gridCol w:w="2721"/>
        <w:gridCol w:w="677"/>
        <w:gridCol w:w="880"/>
        <w:gridCol w:w="1024"/>
        <w:gridCol w:w="879"/>
        <w:gridCol w:w="980"/>
        <w:gridCol w:w="976"/>
        <w:gridCol w:w="851"/>
      </w:tblGrid>
      <w:tr w:rsidR="00FD7B0B" w:rsidRPr="00FD7B0B" w14:paraId="6C609130" w14:textId="77777777" w:rsidTr="00543131">
        <w:trPr>
          <w:trHeight w:val="32"/>
          <w:tblHeader/>
        </w:trPr>
        <w:tc>
          <w:tcPr>
            <w:tcW w:w="666" w:type="dxa"/>
            <w:vMerge w:val="restart"/>
            <w:shd w:val="clear" w:color="000000" w:fill="FFFFFF"/>
            <w:vAlign w:val="center"/>
            <w:hideMark/>
          </w:tcPr>
          <w:p w14:paraId="37E0985C"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 п/п</w:t>
            </w:r>
          </w:p>
        </w:tc>
        <w:tc>
          <w:tcPr>
            <w:tcW w:w="2721" w:type="dxa"/>
            <w:vMerge w:val="restart"/>
            <w:shd w:val="clear" w:color="000000" w:fill="FFFFFF"/>
            <w:vAlign w:val="center"/>
            <w:hideMark/>
          </w:tcPr>
          <w:p w14:paraId="3E41C036"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Наименование показателя (индикатора)</w:t>
            </w:r>
          </w:p>
        </w:tc>
        <w:tc>
          <w:tcPr>
            <w:tcW w:w="677" w:type="dxa"/>
            <w:vMerge w:val="restart"/>
            <w:shd w:val="clear" w:color="000000" w:fill="FFFFFF"/>
            <w:vAlign w:val="center"/>
            <w:hideMark/>
          </w:tcPr>
          <w:p w14:paraId="7B77B9B2"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Ед. изм.</w:t>
            </w:r>
          </w:p>
        </w:tc>
        <w:tc>
          <w:tcPr>
            <w:tcW w:w="2783" w:type="dxa"/>
            <w:gridSpan w:val="3"/>
            <w:shd w:val="clear" w:color="000000" w:fill="FFFFFF"/>
            <w:vAlign w:val="center"/>
            <w:hideMark/>
          </w:tcPr>
          <w:p w14:paraId="3B1BD8F3"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На 2023 год</w:t>
            </w:r>
          </w:p>
        </w:tc>
        <w:tc>
          <w:tcPr>
            <w:tcW w:w="2807" w:type="dxa"/>
            <w:gridSpan w:val="3"/>
            <w:shd w:val="clear" w:color="000000" w:fill="FFFFFF"/>
            <w:vAlign w:val="center"/>
            <w:hideMark/>
          </w:tcPr>
          <w:p w14:paraId="365EC2B6"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На 2024 год</w:t>
            </w:r>
          </w:p>
        </w:tc>
      </w:tr>
      <w:tr w:rsidR="00FD7B0B" w:rsidRPr="00FD7B0B" w14:paraId="3CC33768" w14:textId="77777777" w:rsidTr="00543131">
        <w:trPr>
          <w:trHeight w:val="408"/>
          <w:tblHeader/>
        </w:trPr>
        <w:tc>
          <w:tcPr>
            <w:tcW w:w="666" w:type="dxa"/>
            <w:vMerge/>
            <w:vAlign w:val="center"/>
            <w:hideMark/>
          </w:tcPr>
          <w:p w14:paraId="4FAECCCE" w14:textId="77777777" w:rsidR="00E957D4" w:rsidRPr="00FD7B0B" w:rsidRDefault="00E957D4" w:rsidP="00E957D4">
            <w:pPr>
              <w:spacing w:after="0" w:line="240" w:lineRule="auto"/>
              <w:rPr>
                <w:rFonts w:ascii="Times New Roman" w:eastAsia="Times New Roman" w:hAnsi="Times New Roman" w:cs="Times New Roman"/>
                <w:b/>
                <w:bCs/>
                <w:sz w:val="16"/>
                <w:szCs w:val="16"/>
                <w:lang w:eastAsia="ru-RU"/>
              </w:rPr>
            </w:pPr>
          </w:p>
        </w:tc>
        <w:tc>
          <w:tcPr>
            <w:tcW w:w="2721" w:type="dxa"/>
            <w:vMerge/>
            <w:vAlign w:val="center"/>
            <w:hideMark/>
          </w:tcPr>
          <w:p w14:paraId="7FF3EA1A" w14:textId="77777777" w:rsidR="00E957D4" w:rsidRPr="00FD7B0B" w:rsidRDefault="00E957D4" w:rsidP="00E957D4">
            <w:pPr>
              <w:spacing w:after="0" w:line="240" w:lineRule="auto"/>
              <w:rPr>
                <w:rFonts w:ascii="Times New Roman" w:eastAsia="Times New Roman" w:hAnsi="Times New Roman" w:cs="Times New Roman"/>
                <w:bCs/>
                <w:sz w:val="16"/>
                <w:szCs w:val="16"/>
                <w:lang w:eastAsia="ru-RU"/>
              </w:rPr>
            </w:pPr>
          </w:p>
        </w:tc>
        <w:tc>
          <w:tcPr>
            <w:tcW w:w="677" w:type="dxa"/>
            <w:vMerge/>
            <w:vAlign w:val="center"/>
            <w:hideMark/>
          </w:tcPr>
          <w:p w14:paraId="4B68DD88" w14:textId="77777777" w:rsidR="00E957D4" w:rsidRPr="00FD7B0B" w:rsidRDefault="00E957D4" w:rsidP="00E957D4">
            <w:pPr>
              <w:spacing w:after="0" w:line="240" w:lineRule="auto"/>
              <w:rPr>
                <w:rFonts w:ascii="Times New Roman" w:eastAsia="Times New Roman" w:hAnsi="Times New Roman" w:cs="Times New Roman"/>
                <w:bCs/>
                <w:sz w:val="16"/>
                <w:szCs w:val="16"/>
                <w:lang w:eastAsia="ru-RU"/>
              </w:rPr>
            </w:pPr>
          </w:p>
        </w:tc>
        <w:tc>
          <w:tcPr>
            <w:tcW w:w="880" w:type="dxa"/>
            <w:shd w:val="clear" w:color="000000" w:fill="FFFFFF"/>
            <w:vAlign w:val="center"/>
            <w:hideMark/>
          </w:tcPr>
          <w:p w14:paraId="11078E70"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план на год</w:t>
            </w:r>
          </w:p>
        </w:tc>
        <w:tc>
          <w:tcPr>
            <w:tcW w:w="1024" w:type="dxa"/>
            <w:shd w:val="clear" w:color="000000" w:fill="FFFFFF"/>
            <w:vAlign w:val="center"/>
            <w:hideMark/>
          </w:tcPr>
          <w:p w14:paraId="69F024F8"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 xml:space="preserve">факт </w:t>
            </w:r>
          </w:p>
        </w:tc>
        <w:tc>
          <w:tcPr>
            <w:tcW w:w="879" w:type="dxa"/>
            <w:shd w:val="clear" w:color="000000" w:fill="FFFFFF"/>
            <w:vAlign w:val="center"/>
            <w:hideMark/>
          </w:tcPr>
          <w:p w14:paraId="3CC72678"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 выпол-нения плана</w:t>
            </w:r>
          </w:p>
        </w:tc>
        <w:tc>
          <w:tcPr>
            <w:tcW w:w="980" w:type="dxa"/>
            <w:shd w:val="clear" w:color="000000" w:fill="FFFFFF"/>
            <w:vAlign w:val="center"/>
            <w:hideMark/>
          </w:tcPr>
          <w:p w14:paraId="3F1BA468"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план на год</w:t>
            </w:r>
          </w:p>
        </w:tc>
        <w:tc>
          <w:tcPr>
            <w:tcW w:w="976" w:type="dxa"/>
            <w:shd w:val="clear" w:color="000000" w:fill="FFFFFF"/>
            <w:vAlign w:val="center"/>
            <w:hideMark/>
          </w:tcPr>
          <w:p w14:paraId="227F0951"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 xml:space="preserve">факт </w:t>
            </w:r>
          </w:p>
        </w:tc>
        <w:tc>
          <w:tcPr>
            <w:tcW w:w="851" w:type="dxa"/>
            <w:shd w:val="clear" w:color="000000" w:fill="FFFFFF"/>
            <w:vAlign w:val="center"/>
            <w:hideMark/>
          </w:tcPr>
          <w:p w14:paraId="7E95329A"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 выпол-нения плана</w:t>
            </w:r>
          </w:p>
        </w:tc>
      </w:tr>
      <w:tr w:rsidR="00FD7B0B" w:rsidRPr="00FD7B0B" w14:paraId="09145C59" w14:textId="77777777" w:rsidTr="00543131">
        <w:trPr>
          <w:trHeight w:val="217"/>
        </w:trPr>
        <w:tc>
          <w:tcPr>
            <w:tcW w:w="666" w:type="dxa"/>
            <w:shd w:val="clear" w:color="000000" w:fill="FFFFFF"/>
            <w:vAlign w:val="center"/>
            <w:hideMark/>
          </w:tcPr>
          <w:p w14:paraId="28315531"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w:t>
            </w:r>
          </w:p>
        </w:tc>
        <w:tc>
          <w:tcPr>
            <w:tcW w:w="2721" w:type="dxa"/>
            <w:shd w:val="clear" w:color="000000" w:fill="FFFFFF"/>
            <w:vAlign w:val="center"/>
            <w:hideMark/>
          </w:tcPr>
          <w:p w14:paraId="079E0C6D" w14:textId="77777777" w:rsidR="00E957D4" w:rsidRPr="00FD7B0B" w:rsidRDefault="00E957D4" w:rsidP="00E957D4">
            <w:pPr>
              <w:spacing w:after="0" w:line="240" w:lineRule="auto"/>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Лесистость территории Российской Федерации</w:t>
            </w:r>
          </w:p>
        </w:tc>
        <w:tc>
          <w:tcPr>
            <w:tcW w:w="677" w:type="dxa"/>
            <w:shd w:val="clear" w:color="000000" w:fill="FFFFFF"/>
            <w:vAlign w:val="center"/>
            <w:hideMark/>
          </w:tcPr>
          <w:p w14:paraId="554F59FC"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w:t>
            </w:r>
          </w:p>
        </w:tc>
        <w:tc>
          <w:tcPr>
            <w:tcW w:w="880" w:type="dxa"/>
            <w:shd w:val="clear" w:color="000000" w:fill="FFFFFF"/>
            <w:noWrap/>
            <w:vAlign w:val="center"/>
            <w:hideMark/>
          </w:tcPr>
          <w:p w14:paraId="603BEEB6"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53,9</w:t>
            </w:r>
          </w:p>
        </w:tc>
        <w:tc>
          <w:tcPr>
            <w:tcW w:w="1024" w:type="dxa"/>
            <w:shd w:val="clear" w:color="000000" w:fill="FFFFFF"/>
            <w:noWrap/>
            <w:vAlign w:val="center"/>
            <w:hideMark/>
          </w:tcPr>
          <w:p w14:paraId="7641B7F8"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53,9</w:t>
            </w:r>
          </w:p>
        </w:tc>
        <w:tc>
          <w:tcPr>
            <w:tcW w:w="879" w:type="dxa"/>
            <w:shd w:val="clear" w:color="000000" w:fill="FFFFFF"/>
            <w:noWrap/>
            <w:vAlign w:val="center"/>
            <w:hideMark/>
          </w:tcPr>
          <w:p w14:paraId="523BAEF6"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100,0</w:t>
            </w:r>
          </w:p>
        </w:tc>
        <w:tc>
          <w:tcPr>
            <w:tcW w:w="980" w:type="dxa"/>
            <w:shd w:val="clear" w:color="000000" w:fill="FFFFFF"/>
            <w:noWrap/>
            <w:vAlign w:val="center"/>
            <w:hideMark/>
          </w:tcPr>
          <w:p w14:paraId="56B3F599"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53,9</w:t>
            </w:r>
          </w:p>
        </w:tc>
        <w:tc>
          <w:tcPr>
            <w:tcW w:w="976" w:type="dxa"/>
            <w:shd w:val="clear" w:color="000000" w:fill="FFFFFF"/>
            <w:noWrap/>
            <w:vAlign w:val="center"/>
            <w:hideMark/>
          </w:tcPr>
          <w:p w14:paraId="50E1CD71"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54,0</w:t>
            </w:r>
          </w:p>
        </w:tc>
        <w:tc>
          <w:tcPr>
            <w:tcW w:w="851" w:type="dxa"/>
            <w:shd w:val="clear" w:color="000000" w:fill="FFFFFF"/>
            <w:noWrap/>
            <w:vAlign w:val="center"/>
            <w:hideMark/>
          </w:tcPr>
          <w:p w14:paraId="0193403F"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100,4</w:t>
            </w:r>
          </w:p>
        </w:tc>
      </w:tr>
      <w:tr w:rsidR="00FD7B0B" w:rsidRPr="00FD7B0B" w14:paraId="224228C1" w14:textId="77777777" w:rsidTr="00543131">
        <w:trPr>
          <w:trHeight w:val="281"/>
        </w:trPr>
        <w:tc>
          <w:tcPr>
            <w:tcW w:w="666" w:type="dxa"/>
            <w:shd w:val="clear" w:color="000000" w:fill="FFFFFF"/>
            <w:vAlign w:val="center"/>
            <w:hideMark/>
          </w:tcPr>
          <w:p w14:paraId="6D27834B"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1.1</w:t>
            </w:r>
          </w:p>
        </w:tc>
        <w:tc>
          <w:tcPr>
            <w:tcW w:w="2721" w:type="dxa"/>
            <w:shd w:val="clear" w:color="000000" w:fill="FFFFFF"/>
            <w:vAlign w:val="center"/>
            <w:hideMark/>
          </w:tcPr>
          <w:p w14:paraId="1FE4CC19"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Площадь покрытых лесной растительностью земель субъекта Российской Федерации</w:t>
            </w:r>
          </w:p>
        </w:tc>
        <w:tc>
          <w:tcPr>
            <w:tcW w:w="677" w:type="dxa"/>
            <w:shd w:val="clear" w:color="000000" w:fill="FFFFFF"/>
            <w:vAlign w:val="center"/>
            <w:hideMark/>
          </w:tcPr>
          <w:p w14:paraId="27768FE9"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га</w:t>
            </w:r>
          </w:p>
        </w:tc>
        <w:tc>
          <w:tcPr>
            <w:tcW w:w="880" w:type="dxa"/>
            <w:shd w:val="clear" w:color="000000" w:fill="FFFFFF"/>
            <w:noWrap/>
            <w:vAlign w:val="center"/>
            <w:hideMark/>
          </w:tcPr>
          <w:p w14:paraId="0A7B934C"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41CE802F"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22 270,1</w:t>
            </w:r>
          </w:p>
        </w:tc>
        <w:tc>
          <w:tcPr>
            <w:tcW w:w="879" w:type="dxa"/>
            <w:shd w:val="clear" w:color="000000" w:fill="FFFFFF"/>
            <w:noWrap/>
            <w:vAlign w:val="center"/>
            <w:hideMark/>
          </w:tcPr>
          <w:p w14:paraId="2A18600B"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04295F17"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4231A7B5"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22 294</w:t>
            </w:r>
          </w:p>
        </w:tc>
        <w:tc>
          <w:tcPr>
            <w:tcW w:w="851" w:type="dxa"/>
            <w:shd w:val="clear" w:color="000000" w:fill="FFFFFF"/>
            <w:noWrap/>
            <w:vAlign w:val="center"/>
            <w:hideMark/>
          </w:tcPr>
          <w:p w14:paraId="05FBA6FF"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6D298F78" w14:textId="77777777" w:rsidTr="00543131">
        <w:trPr>
          <w:trHeight w:val="123"/>
        </w:trPr>
        <w:tc>
          <w:tcPr>
            <w:tcW w:w="666" w:type="dxa"/>
            <w:shd w:val="clear" w:color="000000" w:fill="FFFFFF"/>
            <w:vAlign w:val="center"/>
            <w:hideMark/>
          </w:tcPr>
          <w:p w14:paraId="5F223CB8"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w:t>
            </w:r>
          </w:p>
        </w:tc>
        <w:tc>
          <w:tcPr>
            <w:tcW w:w="2721" w:type="dxa"/>
            <w:shd w:val="clear" w:color="000000" w:fill="FFFFFF"/>
            <w:vAlign w:val="center"/>
            <w:hideMark/>
          </w:tcPr>
          <w:p w14:paraId="3F80390F"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Площадь субъекта РФ </w:t>
            </w:r>
          </w:p>
        </w:tc>
        <w:tc>
          <w:tcPr>
            <w:tcW w:w="677" w:type="dxa"/>
            <w:shd w:val="clear" w:color="000000" w:fill="FFFFFF"/>
            <w:vAlign w:val="center"/>
            <w:hideMark/>
          </w:tcPr>
          <w:p w14:paraId="3519C29A"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га</w:t>
            </w:r>
          </w:p>
        </w:tc>
        <w:tc>
          <w:tcPr>
            <w:tcW w:w="880" w:type="dxa"/>
            <w:shd w:val="clear" w:color="000000" w:fill="FFFFFF"/>
            <w:noWrap/>
            <w:vAlign w:val="center"/>
            <w:hideMark/>
          </w:tcPr>
          <w:p w14:paraId="384B52BB"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3CB1A008"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41 310,0</w:t>
            </w:r>
          </w:p>
        </w:tc>
        <w:tc>
          <w:tcPr>
            <w:tcW w:w="879" w:type="dxa"/>
            <w:shd w:val="clear" w:color="000000" w:fill="FFFFFF"/>
            <w:noWrap/>
            <w:vAlign w:val="center"/>
            <w:hideMark/>
          </w:tcPr>
          <w:p w14:paraId="0555336B"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30A2418D"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5BB9821B"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41 310,3</w:t>
            </w:r>
          </w:p>
        </w:tc>
        <w:tc>
          <w:tcPr>
            <w:tcW w:w="851" w:type="dxa"/>
            <w:shd w:val="clear" w:color="000000" w:fill="FFFFFF"/>
            <w:noWrap/>
            <w:vAlign w:val="center"/>
            <w:hideMark/>
          </w:tcPr>
          <w:p w14:paraId="76C13560"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289A8913" w14:textId="77777777" w:rsidTr="00543131">
        <w:trPr>
          <w:trHeight w:val="706"/>
        </w:trPr>
        <w:tc>
          <w:tcPr>
            <w:tcW w:w="666" w:type="dxa"/>
            <w:shd w:val="clear" w:color="000000" w:fill="FFFFFF"/>
            <w:vAlign w:val="center"/>
            <w:hideMark/>
          </w:tcPr>
          <w:p w14:paraId="6E71E880"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lastRenderedPageBreak/>
              <w:t>2</w:t>
            </w:r>
          </w:p>
        </w:tc>
        <w:tc>
          <w:tcPr>
            <w:tcW w:w="2721" w:type="dxa"/>
            <w:shd w:val="clear" w:color="000000" w:fill="FFFFFF"/>
            <w:vAlign w:val="center"/>
            <w:hideMark/>
          </w:tcPr>
          <w:p w14:paraId="22F164B9" w14:textId="77777777" w:rsidR="00E957D4" w:rsidRPr="00FD7B0B" w:rsidRDefault="00E957D4" w:rsidP="00E957D4">
            <w:pPr>
              <w:spacing w:after="0" w:line="240" w:lineRule="auto"/>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Доля площади земель лесного фонда, переданных в пользование, в общей площади земель лесного фонда</w:t>
            </w:r>
          </w:p>
        </w:tc>
        <w:tc>
          <w:tcPr>
            <w:tcW w:w="677" w:type="dxa"/>
            <w:shd w:val="clear" w:color="000000" w:fill="FFFFFF"/>
            <w:vAlign w:val="center"/>
            <w:hideMark/>
          </w:tcPr>
          <w:p w14:paraId="21B1C82E"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w:t>
            </w:r>
          </w:p>
        </w:tc>
        <w:tc>
          <w:tcPr>
            <w:tcW w:w="880" w:type="dxa"/>
            <w:shd w:val="clear" w:color="000000" w:fill="FFFFFF"/>
            <w:noWrap/>
            <w:vAlign w:val="center"/>
            <w:hideMark/>
          </w:tcPr>
          <w:p w14:paraId="3C593E50"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70,7</w:t>
            </w:r>
          </w:p>
        </w:tc>
        <w:tc>
          <w:tcPr>
            <w:tcW w:w="1024" w:type="dxa"/>
            <w:shd w:val="clear" w:color="000000" w:fill="FFFFFF"/>
            <w:noWrap/>
            <w:vAlign w:val="center"/>
            <w:hideMark/>
          </w:tcPr>
          <w:p w14:paraId="46B86658"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73,8</w:t>
            </w:r>
          </w:p>
        </w:tc>
        <w:tc>
          <w:tcPr>
            <w:tcW w:w="879" w:type="dxa"/>
            <w:shd w:val="clear" w:color="000000" w:fill="FFFFFF"/>
            <w:noWrap/>
            <w:vAlign w:val="center"/>
            <w:hideMark/>
          </w:tcPr>
          <w:p w14:paraId="2B3B0B4C"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104,4</w:t>
            </w:r>
          </w:p>
        </w:tc>
        <w:tc>
          <w:tcPr>
            <w:tcW w:w="980" w:type="dxa"/>
            <w:shd w:val="clear" w:color="000000" w:fill="FFFFFF"/>
            <w:noWrap/>
            <w:vAlign w:val="center"/>
            <w:hideMark/>
          </w:tcPr>
          <w:p w14:paraId="132D2779"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70,9</w:t>
            </w:r>
          </w:p>
        </w:tc>
        <w:tc>
          <w:tcPr>
            <w:tcW w:w="976" w:type="dxa"/>
            <w:shd w:val="clear" w:color="000000" w:fill="FFFFFF"/>
            <w:noWrap/>
            <w:vAlign w:val="center"/>
            <w:hideMark/>
          </w:tcPr>
          <w:p w14:paraId="464FFDA9"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71,8</w:t>
            </w:r>
          </w:p>
        </w:tc>
        <w:tc>
          <w:tcPr>
            <w:tcW w:w="851" w:type="dxa"/>
            <w:shd w:val="clear" w:color="000000" w:fill="FFFFFF"/>
            <w:noWrap/>
            <w:vAlign w:val="center"/>
            <w:hideMark/>
          </w:tcPr>
          <w:p w14:paraId="05C318C9"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101,3</w:t>
            </w:r>
          </w:p>
        </w:tc>
      </w:tr>
      <w:tr w:rsidR="00FD7B0B" w:rsidRPr="00FD7B0B" w14:paraId="4F761B2B" w14:textId="77777777" w:rsidTr="00543131">
        <w:trPr>
          <w:trHeight w:val="541"/>
        </w:trPr>
        <w:tc>
          <w:tcPr>
            <w:tcW w:w="666" w:type="dxa"/>
            <w:shd w:val="clear" w:color="000000" w:fill="FFFFFF"/>
            <w:vAlign w:val="center"/>
            <w:hideMark/>
          </w:tcPr>
          <w:p w14:paraId="4B895E44"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2.1</w:t>
            </w:r>
          </w:p>
        </w:tc>
        <w:tc>
          <w:tcPr>
            <w:tcW w:w="2721" w:type="dxa"/>
            <w:shd w:val="clear" w:color="000000" w:fill="FFFFFF"/>
            <w:vAlign w:val="center"/>
            <w:hideMark/>
          </w:tcPr>
          <w:p w14:paraId="6FF231AA"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Площадь лесов, переданных в аренду, постоянное (бессрочное) и безвозмездное пользование</w:t>
            </w:r>
          </w:p>
        </w:tc>
        <w:tc>
          <w:tcPr>
            <w:tcW w:w="677" w:type="dxa"/>
            <w:shd w:val="clear" w:color="000000" w:fill="FFFFFF"/>
            <w:vAlign w:val="center"/>
            <w:hideMark/>
          </w:tcPr>
          <w:p w14:paraId="3968343B"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га</w:t>
            </w:r>
          </w:p>
        </w:tc>
        <w:tc>
          <w:tcPr>
            <w:tcW w:w="880" w:type="dxa"/>
            <w:shd w:val="clear" w:color="000000" w:fill="FFFFFF"/>
            <w:noWrap/>
            <w:vAlign w:val="center"/>
            <w:hideMark/>
          </w:tcPr>
          <w:p w14:paraId="6DA87D71"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73E15939"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20 949,8</w:t>
            </w:r>
          </w:p>
        </w:tc>
        <w:tc>
          <w:tcPr>
            <w:tcW w:w="879" w:type="dxa"/>
            <w:shd w:val="clear" w:color="000000" w:fill="FFFFFF"/>
            <w:noWrap/>
            <w:vAlign w:val="center"/>
            <w:hideMark/>
          </w:tcPr>
          <w:p w14:paraId="2728E59B"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66FD358F"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1AFCAF61"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20 396,9</w:t>
            </w:r>
          </w:p>
        </w:tc>
        <w:tc>
          <w:tcPr>
            <w:tcW w:w="851" w:type="dxa"/>
            <w:shd w:val="clear" w:color="000000" w:fill="FFFFFF"/>
            <w:noWrap/>
            <w:vAlign w:val="center"/>
            <w:hideMark/>
          </w:tcPr>
          <w:p w14:paraId="6AE0DC7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3F8693FE" w14:textId="77777777" w:rsidTr="00543131">
        <w:trPr>
          <w:trHeight w:val="699"/>
        </w:trPr>
        <w:tc>
          <w:tcPr>
            <w:tcW w:w="666" w:type="dxa"/>
            <w:shd w:val="clear" w:color="000000" w:fill="FFFFFF"/>
            <w:vAlign w:val="center"/>
            <w:hideMark/>
          </w:tcPr>
          <w:p w14:paraId="00FD0FF9"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2.2</w:t>
            </w:r>
          </w:p>
        </w:tc>
        <w:tc>
          <w:tcPr>
            <w:tcW w:w="2721" w:type="dxa"/>
            <w:shd w:val="clear" w:color="000000" w:fill="FFFFFF"/>
            <w:vAlign w:val="center"/>
            <w:hideMark/>
          </w:tcPr>
          <w:p w14:paraId="075A84A6"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Площадь земель лесного фонда на территории субъекта Российской Федерации (в отношении которых проводилось лесоустройство)</w:t>
            </w:r>
          </w:p>
        </w:tc>
        <w:tc>
          <w:tcPr>
            <w:tcW w:w="677" w:type="dxa"/>
            <w:shd w:val="clear" w:color="000000" w:fill="FFFFFF"/>
            <w:vAlign w:val="center"/>
            <w:hideMark/>
          </w:tcPr>
          <w:p w14:paraId="369F88D5"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га</w:t>
            </w:r>
          </w:p>
        </w:tc>
        <w:tc>
          <w:tcPr>
            <w:tcW w:w="880" w:type="dxa"/>
            <w:shd w:val="clear" w:color="000000" w:fill="FFFFFF"/>
            <w:noWrap/>
            <w:vAlign w:val="center"/>
            <w:hideMark/>
          </w:tcPr>
          <w:p w14:paraId="21511F05"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401FD77C"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28 378,2</w:t>
            </w:r>
          </w:p>
        </w:tc>
        <w:tc>
          <w:tcPr>
            <w:tcW w:w="879" w:type="dxa"/>
            <w:shd w:val="clear" w:color="000000" w:fill="FFFFFF"/>
            <w:noWrap/>
            <w:vAlign w:val="center"/>
            <w:hideMark/>
          </w:tcPr>
          <w:p w14:paraId="209A93A1"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651E4A5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56162CE4"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28405,8</w:t>
            </w:r>
          </w:p>
        </w:tc>
        <w:tc>
          <w:tcPr>
            <w:tcW w:w="851" w:type="dxa"/>
            <w:shd w:val="clear" w:color="000000" w:fill="FFFFFF"/>
            <w:noWrap/>
            <w:vAlign w:val="center"/>
            <w:hideMark/>
          </w:tcPr>
          <w:p w14:paraId="2BC4FF65"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099B1730" w14:textId="77777777" w:rsidTr="00543131">
        <w:trPr>
          <w:trHeight w:val="808"/>
        </w:trPr>
        <w:tc>
          <w:tcPr>
            <w:tcW w:w="666" w:type="dxa"/>
            <w:shd w:val="clear" w:color="000000" w:fill="FFFFFF"/>
            <w:vAlign w:val="center"/>
            <w:hideMark/>
          </w:tcPr>
          <w:p w14:paraId="28E849FF"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3</w:t>
            </w:r>
          </w:p>
        </w:tc>
        <w:tc>
          <w:tcPr>
            <w:tcW w:w="2721" w:type="dxa"/>
            <w:shd w:val="clear" w:color="000000" w:fill="FFFFFF"/>
            <w:vAlign w:val="center"/>
            <w:hideMark/>
          </w:tcPr>
          <w:p w14:paraId="726B837D" w14:textId="77777777" w:rsidR="00E957D4" w:rsidRPr="00FD7B0B" w:rsidRDefault="00E957D4" w:rsidP="00E957D4">
            <w:pPr>
              <w:spacing w:after="0" w:line="240" w:lineRule="auto"/>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Отношение площади лесовосстановления и лесоразведения к площади вырубленных и погибших лесных насаждений</w:t>
            </w:r>
          </w:p>
        </w:tc>
        <w:tc>
          <w:tcPr>
            <w:tcW w:w="677" w:type="dxa"/>
            <w:shd w:val="clear" w:color="000000" w:fill="FFFFFF"/>
            <w:vAlign w:val="center"/>
            <w:hideMark/>
          </w:tcPr>
          <w:p w14:paraId="21A05A08"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w:t>
            </w:r>
          </w:p>
        </w:tc>
        <w:tc>
          <w:tcPr>
            <w:tcW w:w="880" w:type="dxa"/>
            <w:shd w:val="clear" w:color="000000" w:fill="FFFFFF"/>
            <w:noWrap/>
            <w:vAlign w:val="center"/>
            <w:hideMark/>
          </w:tcPr>
          <w:p w14:paraId="1FAAB60E"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92,60</w:t>
            </w:r>
          </w:p>
        </w:tc>
        <w:tc>
          <w:tcPr>
            <w:tcW w:w="1024" w:type="dxa"/>
            <w:shd w:val="clear" w:color="000000" w:fill="FFFFFF"/>
            <w:noWrap/>
            <w:vAlign w:val="center"/>
            <w:hideMark/>
          </w:tcPr>
          <w:p w14:paraId="7317060F"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95,00</w:t>
            </w:r>
          </w:p>
        </w:tc>
        <w:tc>
          <w:tcPr>
            <w:tcW w:w="879" w:type="dxa"/>
            <w:shd w:val="clear" w:color="000000" w:fill="FFFFFF"/>
            <w:noWrap/>
            <w:vAlign w:val="center"/>
            <w:hideMark/>
          </w:tcPr>
          <w:p w14:paraId="55505885"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102,6</w:t>
            </w:r>
          </w:p>
        </w:tc>
        <w:tc>
          <w:tcPr>
            <w:tcW w:w="980" w:type="dxa"/>
            <w:shd w:val="clear" w:color="000000" w:fill="FFFFFF"/>
            <w:noWrap/>
            <w:vAlign w:val="center"/>
            <w:hideMark/>
          </w:tcPr>
          <w:p w14:paraId="0660D5E3"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100,0</w:t>
            </w:r>
          </w:p>
        </w:tc>
        <w:tc>
          <w:tcPr>
            <w:tcW w:w="976" w:type="dxa"/>
            <w:shd w:val="clear" w:color="000000" w:fill="FFFFFF"/>
            <w:noWrap/>
            <w:vAlign w:val="center"/>
            <w:hideMark/>
          </w:tcPr>
          <w:p w14:paraId="4BFA2AB3"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102,8</w:t>
            </w:r>
          </w:p>
        </w:tc>
        <w:tc>
          <w:tcPr>
            <w:tcW w:w="851" w:type="dxa"/>
            <w:shd w:val="clear" w:color="000000" w:fill="FFFFFF"/>
            <w:noWrap/>
            <w:vAlign w:val="center"/>
            <w:hideMark/>
          </w:tcPr>
          <w:p w14:paraId="5744E892"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102,8</w:t>
            </w:r>
          </w:p>
        </w:tc>
      </w:tr>
      <w:tr w:rsidR="00FD7B0B" w:rsidRPr="00FD7B0B" w14:paraId="7CE644C8" w14:textId="77777777" w:rsidTr="00543131">
        <w:trPr>
          <w:trHeight w:val="125"/>
        </w:trPr>
        <w:tc>
          <w:tcPr>
            <w:tcW w:w="666" w:type="dxa"/>
            <w:shd w:val="clear" w:color="000000" w:fill="FFFFFF"/>
            <w:vAlign w:val="center"/>
            <w:hideMark/>
          </w:tcPr>
          <w:p w14:paraId="1DD5405D"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3.1</w:t>
            </w:r>
          </w:p>
        </w:tc>
        <w:tc>
          <w:tcPr>
            <w:tcW w:w="2721" w:type="dxa"/>
            <w:shd w:val="clear" w:color="000000" w:fill="FFFFFF"/>
            <w:vAlign w:val="center"/>
            <w:hideMark/>
          </w:tcPr>
          <w:p w14:paraId="191304E8"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Площадь лесовосстановления и лесоразведения за отчетный год</w:t>
            </w:r>
          </w:p>
        </w:tc>
        <w:tc>
          <w:tcPr>
            <w:tcW w:w="677" w:type="dxa"/>
            <w:shd w:val="clear" w:color="000000" w:fill="FFFFFF"/>
            <w:vAlign w:val="center"/>
            <w:hideMark/>
          </w:tcPr>
          <w:p w14:paraId="09AFF8F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 тыс. га</w:t>
            </w:r>
          </w:p>
        </w:tc>
        <w:tc>
          <w:tcPr>
            <w:tcW w:w="880" w:type="dxa"/>
            <w:shd w:val="clear" w:color="000000" w:fill="FFFFFF"/>
            <w:noWrap/>
            <w:vAlign w:val="center"/>
            <w:hideMark/>
          </w:tcPr>
          <w:p w14:paraId="3EEE2C6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5229AEF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84,8</w:t>
            </w:r>
          </w:p>
        </w:tc>
        <w:tc>
          <w:tcPr>
            <w:tcW w:w="879" w:type="dxa"/>
            <w:shd w:val="clear" w:color="000000" w:fill="FFFFFF"/>
            <w:noWrap/>
            <w:vAlign w:val="center"/>
            <w:hideMark/>
          </w:tcPr>
          <w:p w14:paraId="24298A14"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68A2E706"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4C85AF24"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80,7</w:t>
            </w:r>
          </w:p>
        </w:tc>
        <w:tc>
          <w:tcPr>
            <w:tcW w:w="851" w:type="dxa"/>
            <w:shd w:val="clear" w:color="000000" w:fill="FFFFFF"/>
            <w:noWrap/>
            <w:vAlign w:val="center"/>
            <w:hideMark/>
          </w:tcPr>
          <w:p w14:paraId="3F9CC960"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2BBA3539" w14:textId="77777777" w:rsidTr="00543131">
        <w:trPr>
          <w:trHeight w:val="546"/>
        </w:trPr>
        <w:tc>
          <w:tcPr>
            <w:tcW w:w="666" w:type="dxa"/>
            <w:shd w:val="clear" w:color="000000" w:fill="FFFFFF"/>
            <w:vAlign w:val="center"/>
            <w:hideMark/>
          </w:tcPr>
          <w:p w14:paraId="28E9B5DA"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3.2</w:t>
            </w:r>
          </w:p>
        </w:tc>
        <w:tc>
          <w:tcPr>
            <w:tcW w:w="2721" w:type="dxa"/>
            <w:shd w:val="clear" w:color="000000" w:fill="FFFFFF"/>
            <w:vAlign w:val="center"/>
            <w:hideMark/>
          </w:tcPr>
          <w:p w14:paraId="28F23627"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Площадь вырубленных лесных насаждений за год (n-2), </w:t>
            </w:r>
            <w:r w:rsidRPr="00FD7B0B">
              <w:rPr>
                <w:rFonts w:ascii="Times New Roman" w:eastAsia="Times New Roman" w:hAnsi="Times New Roman" w:cs="Times New Roman"/>
                <w:sz w:val="16"/>
                <w:szCs w:val="16"/>
                <w:lang w:eastAsia="ru-RU"/>
              </w:rPr>
              <w:br/>
              <w:t>где n – отчетный год *</w:t>
            </w:r>
          </w:p>
        </w:tc>
        <w:tc>
          <w:tcPr>
            <w:tcW w:w="677" w:type="dxa"/>
            <w:shd w:val="clear" w:color="000000" w:fill="FFFFFF"/>
            <w:vAlign w:val="center"/>
            <w:hideMark/>
          </w:tcPr>
          <w:p w14:paraId="6F14345B"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га</w:t>
            </w:r>
          </w:p>
        </w:tc>
        <w:tc>
          <w:tcPr>
            <w:tcW w:w="880" w:type="dxa"/>
            <w:shd w:val="clear" w:color="000000" w:fill="FFFFFF"/>
            <w:noWrap/>
            <w:vAlign w:val="center"/>
            <w:hideMark/>
          </w:tcPr>
          <w:p w14:paraId="75297E1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53D836DD"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85,5</w:t>
            </w:r>
          </w:p>
        </w:tc>
        <w:tc>
          <w:tcPr>
            <w:tcW w:w="879" w:type="dxa"/>
            <w:shd w:val="clear" w:color="000000" w:fill="FFFFFF"/>
            <w:noWrap/>
            <w:vAlign w:val="center"/>
            <w:hideMark/>
          </w:tcPr>
          <w:p w14:paraId="28BDA0C4"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0DCD48F0"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1773C87A"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78,4</w:t>
            </w:r>
          </w:p>
        </w:tc>
        <w:tc>
          <w:tcPr>
            <w:tcW w:w="851" w:type="dxa"/>
            <w:shd w:val="clear" w:color="000000" w:fill="FFFFFF"/>
            <w:noWrap/>
            <w:vAlign w:val="center"/>
            <w:hideMark/>
          </w:tcPr>
          <w:p w14:paraId="4FDEA704"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61CCCCC9" w14:textId="77777777" w:rsidTr="00543131">
        <w:trPr>
          <w:trHeight w:val="711"/>
        </w:trPr>
        <w:tc>
          <w:tcPr>
            <w:tcW w:w="666" w:type="dxa"/>
            <w:shd w:val="clear" w:color="000000" w:fill="FFFFFF"/>
            <w:vAlign w:val="center"/>
            <w:hideMark/>
          </w:tcPr>
          <w:p w14:paraId="21988D59"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3.3</w:t>
            </w:r>
          </w:p>
        </w:tc>
        <w:tc>
          <w:tcPr>
            <w:tcW w:w="2721" w:type="dxa"/>
            <w:shd w:val="clear" w:color="000000" w:fill="FFFFFF"/>
            <w:vAlign w:val="center"/>
            <w:hideMark/>
          </w:tcPr>
          <w:p w14:paraId="7473474D"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Площадь лесных насаждений, погибших в связи с воздействием пожаров, вредных организмов и других факторов за год (n-2), где n – отчетный год</w:t>
            </w:r>
          </w:p>
        </w:tc>
        <w:tc>
          <w:tcPr>
            <w:tcW w:w="677" w:type="dxa"/>
            <w:shd w:val="clear" w:color="000000" w:fill="FFFFFF"/>
            <w:vAlign w:val="center"/>
            <w:hideMark/>
          </w:tcPr>
          <w:p w14:paraId="0583491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га</w:t>
            </w:r>
          </w:p>
        </w:tc>
        <w:tc>
          <w:tcPr>
            <w:tcW w:w="880" w:type="dxa"/>
            <w:shd w:val="clear" w:color="000000" w:fill="FFFFFF"/>
            <w:noWrap/>
            <w:vAlign w:val="center"/>
            <w:hideMark/>
          </w:tcPr>
          <w:p w14:paraId="1898A5F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3324CD8D"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3,81</w:t>
            </w:r>
          </w:p>
        </w:tc>
        <w:tc>
          <w:tcPr>
            <w:tcW w:w="879" w:type="dxa"/>
            <w:shd w:val="clear" w:color="000000" w:fill="FFFFFF"/>
            <w:noWrap/>
            <w:vAlign w:val="center"/>
            <w:hideMark/>
          </w:tcPr>
          <w:p w14:paraId="25EE709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4763216F"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41067677"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0,1</w:t>
            </w:r>
          </w:p>
        </w:tc>
        <w:tc>
          <w:tcPr>
            <w:tcW w:w="851" w:type="dxa"/>
            <w:shd w:val="clear" w:color="000000" w:fill="FFFFFF"/>
            <w:noWrap/>
            <w:vAlign w:val="center"/>
            <w:hideMark/>
          </w:tcPr>
          <w:p w14:paraId="2FFB9696"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3938D473" w14:textId="77777777" w:rsidTr="00543131">
        <w:trPr>
          <w:trHeight w:val="922"/>
        </w:trPr>
        <w:tc>
          <w:tcPr>
            <w:tcW w:w="666" w:type="dxa"/>
            <w:shd w:val="clear" w:color="000000" w:fill="FFFFFF"/>
            <w:vAlign w:val="center"/>
            <w:hideMark/>
          </w:tcPr>
          <w:p w14:paraId="08D92220"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4</w:t>
            </w:r>
          </w:p>
        </w:tc>
        <w:tc>
          <w:tcPr>
            <w:tcW w:w="2721" w:type="dxa"/>
            <w:shd w:val="clear" w:color="000000" w:fill="FFFFFF"/>
            <w:vAlign w:val="center"/>
            <w:hideMark/>
          </w:tcPr>
          <w:p w14:paraId="0CFED6B5" w14:textId="77777777" w:rsidR="00E957D4" w:rsidRPr="00FD7B0B" w:rsidRDefault="00E957D4" w:rsidP="00E957D4">
            <w:pPr>
              <w:spacing w:after="0" w:line="240" w:lineRule="auto"/>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Объем платежей в бюджетную систему Российской Федерации от использования лесов, расположенных на землях лесного фонда, в расчете на 1 га земель лесного фонда</w:t>
            </w:r>
          </w:p>
        </w:tc>
        <w:tc>
          <w:tcPr>
            <w:tcW w:w="677" w:type="dxa"/>
            <w:shd w:val="clear" w:color="000000" w:fill="FFFFFF"/>
            <w:vAlign w:val="center"/>
            <w:hideMark/>
          </w:tcPr>
          <w:p w14:paraId="277F9042"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руб.</w:t>
            </w:r>
          </w:p>
        </w:tc>
        <w:tc>
          <w:tcPr>
            <w:tcW w:w="880" w:type="dxa"/>
            <w:shd w:val="clear" w:color="000000" w:fill="FFFFFF"/>
            <w:noWrap/>
            <w:vAlign w:val="center"/>
            <w:hideMark/>
          </w:tcPr>
          <w:p w14:paraId="63CDF7C9"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105,2</w:t>
            </w:r>
          </w:p>
        </w:tc>
        <w:tc>
          <w:tcPr>
            <w:tcW w:w="1024" w:type="dxa"/>
            <w:shd w:val="clear" w:color="000000" w:fill="FFFFFF"/>
            <w:noWrap/>
            <w:vAlign w:val="center"/>
            <w:hideMark/>
          </w:tcPr>
          <w:p w14:paraId="6FA7C29E"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108,5</w:t>
            </w:r>
          </w:p>
        </w:tc>
        <w:tc>
          <w:tcPr>
            <w:tcW w:w="879" w:type="dxa"/>
            <w:shd w:val="clear" w:color="000000" w:fill="FFFFFF"/>
            <w:noWrap/>
            <w:vAlign w:val="center"/>
            <w:hideMark/>
          </w:tcPr>
          <w:p w14:paraId="11E2171F"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103,1</w:t>
            </w:r>
          </w:p>
        </w:tc>
        <w:tc>
          <w:tcPr>
            <w:tcW w:w="980" w:type="dxa"/>
            <w:shd w:val="clear" w:color="000000" w:fill="FFFFFF"/>
            <w:noWrap/>
            <w:vAlign w:val="center"/>
            <w:hideMark/>
          </w:tcPr>
          <w:p w14:paraId="299DAD25"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101,1</w:t>
            </w:r>
          </w:p>
        </w:tc>
        <w:tc>
          <w:tcPr>
            <w:tcW w:w="976" w:type="dxa"/>
            <w:shd w:val="clear" w:color="000000" w:fill="FFFFFF"/>
            <w:noWrap/>
            <w:vAlign w:val="center"/>
            <w:hideMark/>
          </w:tcPr>
          <w:p w14:paraId="210836B7"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114,4</w:t>
            </w:r>
          </w:p>
        </w:tc>
        <w:tc>
          <w:tcPr>
            <w:tcW w:w="851" w:type="dxa"/>
            <w:shd w:val="clear" w:color="000000" w:fill="FFFFFF"/>
            <w:noWrap/>
            <w:vAlign w:val="center"/>
            <w:hideMark/>
          </w:tcPr>
          <w:p w14:paraId="5327CEE4"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113,2</w:t>
            </w:r>
          </w:p>
        </w:tc>
      </w:tr>
      <w:tr w:rsidR="00FD7B0B" w:rsidRPr="00FD7B0B" w14:paraId="247F107E" w14:textId="77777777" w:rsidTr="00543131">
        <w:trPr>
          <w:trHeight w:val="625"/>
        </w:trPr>
        <w:tc>
          <w:tcPr>
            <w:tcW w:w="666" w:type="dxa"/>
            <w:shd w:val="clear" w:color="000000" w:fill="FFFFFF"/>
            <w:vAlign w:val="center"/>
            <w:hideMark/>
          </w:tcPr>
          <w:p w14:paraId="543B0E87"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4.1</w:t>
            </w:r>
          </w:p>
        </w:tc>
        <w:tc>
          <w:tcPr>
            <w:tcW w:w="2721" w:type="dxa"/>
            <w:shd w:val="clear" w:color="000000" w:fill="FFFFFF"/>
            <w:vAlign w:val="center"/>
            <w:hideMark/>
          </w:tcPr>
          <w:p w14:paraId="78A92735"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Объем платежей в бюджетную систему Российской Федерации от использования лесов на землях лесного фонда на территории субъекта Российской Федерации</w:t>
            </w:r>
          </w:p>
        </w:tc>
        <w:tc>
          <w:tcPr>
            <w:tcW w:w="677" w:type="dxa"/>
            <w:shd w:val="clear" w:color="000000" w:fill="FFFFFF"/>
            <w:vAlign w:val="center"/>
            <w:hideMark/>
          </w:tcPr>
          <w:p w14:paraId="0C52181D"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руб.</w:t>
            </w:r>
          </w:p>
        </w:tc>
        <w:tc>
          <w:tcPr>
            <w:tcW w:w="880" w:type="dxa"/>
            <w:shd w:val="clear" w:color="000000" w:fill="FFFFFF"/>
            <w:noWrap/>
            <w:vAlign w:val="center"/>
            <w:hideMark/>
          </w:tcPr>
          <w:p w14:paraId="4473CDC0"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29A927F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3 096 287,3</w:t>
            </w:r>
          </w:p>
        </w:tc>
        <w:tc>
          <w:tcPr>
            <w:tcW w:w="879" w:type="dxa"/>
            <w:shd w:val="clear" w:color="000000" w:fill="FFFFFF"/>
            <w:noWrap/>
            <w:vAlign w:val="center"/>
            <w:hideMark/>
          </w:tcPr>
          <w:p w14:paraId="596E7004"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7CCC2204"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3E41E81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3 263 112,3</w:t>
            </w:r>
          </w:p>
        </w:tc>
        <w:tc>
          <w:tcPr>
            <w:tcW w:w="851" w:type="dxa"/>
            <w:shd w:val="clear" w:color="000000" w:fill="FFFFFF"/>
            <w:noWrap/>
            <w:vAlign w:val="center"/>
            <w:hideMark/>
          </w:tcPr>
          <w:p w14:paraId="017299B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3B28DD80" w14:textId="77777777" w:rsidTr="00543131">
        <w:trPr>
          <w:trHeight w:val="415"/>
        </w:trPr>
        <w:tc>
          <w:tcPr>
            <w:tcW w:w="666" w:type="dxa"/>
            <w:shd w:val="clear" w:color="000000" w:fill="FFFFFF"/>
            <w:vAlign w:val="center"/>
            <w:hideMark/>
          </w:tcPr>
          <w:p w14:paraId="39A8688C"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4.2</w:t>
            </w:r>
          </w:p>
        </w:tc>
        <w:tc>
          <w:tcPr>
            <w:tcW w:w="2721" w:type="dxa"/>
            <w:shd w:val="clear" w:color="000000" w:fill="FFFFFF"/>
            <w:vAlign w:val="center"/>
            <w:hideMark/>
          </w:tcPr>
          <w:p w14:paraId="0CBF9FBD"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Площадь земель лесного фонда на территории субъекта Российской Федерации</w:t>
            </w:r>
          </w:p>
        </w:tc>
        <w:tc>
          <w:tcPr>
            <w:tcW w:w="677" w:type="dxa"/>
            <w:shd w:val="clear" w:color="000000" w:fill="FFFFFF"/>
            <w:vAlign w:val="center"/>
            <w:hideMark/>
          </w:tcPr>
          <w:p w14:paraId="2E5FBB6D"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га</w:t>
            </w:r>
          </w:p>
        </w:tc>
        <w:tc>
          <w:tcPr>
            <w:tcW w:w="880" w:type="dxa"/>
            <w:shd w:val="clear" w:color="000000" w:fill="FFFFFF"/>
            <w:noWrap/>
            <w:vAlign w:val="center"/>
            <w:hideMark/>
          </w:tcPr>
          <w:p w14:paraId="29A60D0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624F9E5C"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28 525,2</w:t>
            </w:r>
          </w:p>
        </w:tc>
        <w:tc>
          <w:tcPr>
            <w:tcW w:w="879" w:type="dxa"/>
            <w:shd w:val="clear" w:color="000000" w:fill="FFFFFF"/>
            <w:noWrap/>
            <w:vAlign w:val="center"/>
            <w:hideMark/>
          </w:tcPr>
          <w:p w14:paraId="237B2C2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475AA4BF"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7B6F0A86"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28 525,8</w:t>
            </w:r>
          </w:p>
        </w:tc>
        <w:tc>
          <w:tcPr>
            <w:tcW w:w="851" w:type="dxa"/>
            <w:shd w:val="clear" w:color="000000" w:fill="FFFFFF"/>
            <w:noWrap/>
            <w:vAlign w:val="center"/>
            <w:hideMark/>
          </w:tcPr>
          <w:p w14:paraId="6DF3C065"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782A7DCB" w14:textId="77777777" w:rsidTr="00543131">
        <w:trPr>
          <w:trHeight w:val="444"/>
        </w:trPr>
        <w:tc>
          <w:tcPr>
            <w:tcW w:w="666" w:type="dxa"/>
            <w:shd w:val="clear" w:color="000000" w:fill="FFFFFF"/>
            <w:vAlign w:val="center"/>
            <w:hideMark/>
          </w:tcPr>
          <w:p w14:paraId="29C64640"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5</w:t>
            </w:r>
          </w:p>
        </w:tc>
        <w:tc>
          <w:tcPr>
            <w:tcW w:w="2721" w:type="dxa"/>
            <w:shd w:val="clear" w:color="000000" w:fill="FFFFFF"/>
            <w:vAlign w:val="center"/>
            <w:hideMark/>
          </w:tcPr>
          <w:p w14:paraId="3681DB6B" w14:textId="77777777" w:rsidR="00E957D4" w:rsidRPr="00FD7B0B" w:rsidRDefault="00E957D4" w:rsidP="00E957D4">
            <w:pPr>
              <w:spacing w:after="0" w:line="240" w:lineRule="auto"/>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Отношение фактического объема заготовки древесины к установленному допустимому объему изъятия древесины</w:t>
            </w:r>
          </w:p>
        </w:tc>
        <w:tc>
          <w:tcPr>
            <w:tcW w:w="677" w:type="dxa"/>
            <w:shd w:val="clear" w:color="000000" w:fill="FFFFFF"/>
            <w:vAlign w:val="center"/>
            <w:hideMark/>
          </w:tcPr>
          <w:p w14:paraId="2ECB6D5E"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w:t>
            </w:r>
          </w:p>
        </w:tc>
        <w:tc>
          <w:tcPr>
            <w:tcW w:w="880" w:type="dxa"/>
            <w:shd w:val="clear" w:color="000000" w:fill="FFFFFF"/>
            <w:noWrap/>
            <w:vAlign w:val="center"/>
            <w:hideMark/>
          </w:tcPr>
          <w:p w14:paraId="4D2F6C4A"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40,3</w:t>
            </w:r>
          </w:p>
        </w:tc>
        <w:tc>
          <w:tcPr>
            <w:tcW w:w="1024" w:type="dxa"/>
            <w:shd w:val="clear" w:color="000000" w:fill="FFFFFF"/>
            <w:noWrap/>
            <w:vAlign w:val="center"/>
            <w:hideMark/>
          </w:tcPr>
          <w:p w14:paraId="2F5A351D"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46,6</w:t>
            </w:r>
          </w:p>
        </w:tc>
        <w:tc>
          <w:tcPr>
            <w:tcW w:w="879" w:type="dxa"/>
            <w:shd w:val="clear" w:color="000000" w:fill="FFFFFF"/>
            <w:noWrap/>
            <w:vAlign w:val="center"/>
            <w:hideMark/>
          </w:tcPr>
          <w:p w14:paraId="32B47865"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115,8</w:t>
            </w:r>
          </w:p>
        </w:tc>
        <w:tc>
          <w:tcPr>
            <w:tcW w:w="980" w:type="dxa"/>
            <w:shd w:val="clear" w:color="000000" w:fill="FFFFFF"/>
            <w:noWrap/>
            <w:vAlign w:val="center"/>
            <w:hideMark/>
          </w:tcPr>
          <w:p w14:paraId="507B92E2"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49,0</w:t>
            </w:r>
          </w:p>
        </w:tc>
        <w:tc>
          <w:tcPr>
            <w:tcW w:w="976" w:type="dxa"/>
            <w:shd w:val="clear" w:color="000000" w:fill="FFFFFF"/>
            <w:noWrap/>
            <w:vAlign w:val="center"/>
            <w:hideMark/>
          </w:tcPr>
          <w:p w14:paraId="2FBEB9ED"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42,5</w:t>
            </w:r>
          </w:p>
        </w:tc>
        <w:tc>
          <w:tcPr>
            <w:tcW w:w="851" w:type="dxa"/>
            <w:shd w:val="clear" w:color="000000" w:fill="FFFFFF"/>
            <w:noWrap/>
            <w:vAlign w:val="center"/>
            <w:hideMark/>
          </w:tcPr>
          <w:p w14:paraId="42EF7A10"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86,7</w:t>
            </w:r>
          </w:p>
        </w:tc>
      </w:tr>
      <w:tr w:rsidR="00FD7B0B" w:rsidRPr="00FD7B0B" w14:paraId="6EB85E28" w14:textId="77777777" w:rsidTr="00543131">
        <w:trPr>
          <w:trHeight w:val="115"/>
        </w:trPr>
        <w:tc>
          <w:tcPr>
            <w:tcW w:w="666" w:type="dxa"/>
            <w:shd w:val="clear" w:color="000000" w:fill="FFFFFF"/>
            <w:vAlign w:val="center"/>
            <w:hideMark/>
          </w:tcPr>
          <w:p w14:paraId="1128C79D"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5.1</w:t>
            </w:r>
          </w:p>
        </w:tc>
        <w:tc>
          <w:tcPr>
            <w:tcW w:w="2721" w:type="dxa"/>
            <w:shd w:val="clear" w:color="000000" w:fill="FFFFFF"/>
            <w:vAlign w:val="center"/>
            <w:hideMark/>
          </w:tcPr>
          <w:p w14:paraId="647E970B"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Общий объем заготовленной древесины, всего</w:t>
            </w:r>
          </w:p>
        </w:tc>
        <w:tc>
          <w:tcPr>
            <w:tcW w:w="677" w:type="dxa"/>
            <w:shd w:val="clear" w:color="000000" w:fill="FFFFFF"/>
            <w:vAlign w:val="center"/>
            <w:hideMark/>
          </w:tcPr>
          <w:p w14:paraId="677565FF"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м</w:t>
            </w:r>
            <w:r w:rsidRPr="00FD7B0B">
              <w:rPr>
                <w:rFonts w:ascii="Times New Roman" w:eastAsia="Times New Roman" w:hAnsi="Times New Roman" w:cs="Times New Roman"/>
                <w:sz w:val="16"/>
                <w:szCs w:val="16"/>
                <w:vertAlign w:val="superscript"/>
                <w:lang w:eastAsia="ru-RU"/>
              </w:rPr>
              <w:t>3</w:t>
            </w:r>
          </w:p>
        </w:tc>
        <w:tc>
          <w:tcPr>
            <w:tcW w:w="880" w:type="dxa"/>
            <w:shd w:val="clear" w:color="000000" w:fill="FFFFFF"/>
            <w:noWrap/>
            <w:vAlign w:val="center"/>
            <w:hideMark/>
          </w:tcPr>
          <w:p w14:paraId="1DD6E226"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57AE7E9B"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12 967,1</w:t>
            </w:r>
          </w:p>
        </w:tc>
        <w:tc>
          <w:tcPr>
            <w:tcW w:w="879" w:type="dxa"/>
            <w:shd w:val="clear" w:color="000000" w:fill="FFFFFF"/>
            <w:noWrap/>
            <w:vAlign w:val="center"/>
            <w:hideMark/>
          </w:tcPr>
          <w:p w14:paraId="5C3BDFF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000CEB65"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0AAF262F"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12 214,5</w:t>
            </w:r>
          </w:p>
        </w:tc>
        <w:tc>
          <w:tcPr>
            <w:tcW w:w="851" w:type="dxa"/>
            <w:shd w:val="clear" w:color="000000" w:fill="FFFFFF"/>
            <w:noWrap/>
            <w:vAlign w:val="center"/>
            <w:hideMark/>
          </w:tcPr>
          <w:p w14:paraId="7C589E28"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3EF05999" w14:textId="77777777" w:rsidTr="00543131">
        <w:trPr>
          <w:trHeight w:val="162"/>
        </w:trPr>
        <w:tc>
          <w:tcPr>
            <w:tcW w:w="666" w:type="dxa"/>
            <w:shd w:val="clear" w:color="000000" w:fill="FFFFFF"/>
            <w:vAlign w:val="center"/>
            <w:hideMark/>
          </w:tcPr>
          <w:p w14:paraId="3201157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5.2</w:t>
            </w:r>
          </w:p>
        </w:tc>
        <w:tc>
          <w:tcPr>
            <w:tcW w:w="2721" w:type="dxa"/>
            <w:shd w:val="clear" w:color="000000" w:fill="FFFFFF"/>
            <w:vAlign w:val="center"/>
            <w:hideMark/>
          </w:tcPr>
          <w:p w14:paraId="6EA0AC6C"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Допустимый объем изъятия древесины (расчетная лесосека)</w:t>
            </w:r>
          </w:p>
        </w:tc>
        <w:tc>
          <w:tcPr>
            <w:tcW w:w="677" w:type="dxa"/>
            <w:shd w:val="clear" w:color="000000" w:fill="FFFFFF"/>
            <w:vAlign w:val="center"/>
            <w:hideMark/>
          </w:tcPr>
          <w:p w14:paraId="2503AEA9"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м</w:t>
            </w:r>
            <w:r w:rsidRPr="00FD7B0B">
              <w:rPr>
                <w:rFonts w:ascii="Times New Roman" w:eastAsia="Times New Roman" w:hAnsi="Times New Roman" w:cs="Times New Roman"/>
                <w:sz w:val="16"/>
                <w:szCs w:val="16"/>
                <w:vertAlign w:val="superscript"/>
                <w:lang w:eastAsia="ru-RU"/>
              </w:rPr>
              <w:t>3</w:t>
            </w:r>
          </w:p>
        </w:tc>
        <w:tc>
          <w:tcPr>
            <w:tcW w:w="880" w:type="dxa"/>
            <w:shd w:val="clear" w:color="000000" w:fill="FFFFFF"/>
            <w:noWrap/>
            <w:vAlign w:val="center"/>
            <w:hideMark/>
          </w:tcPr>
          <w:p w14:paraId="195053F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39B160DA"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27 805,6</w:t>
            </w:r>
          </w:p>
        </w:tc>
        <w:tc>
          <w:tcPr>
            <w:tcW w:w="879" w:type="dxa"/>
            <w:shd w:val="clear" w:color="000000" w:fill="FFFFFF"/>
            <w:noWrap/>
            <w:vAlign w:val="center"/>
            <w:hideMark/>
          </w:tcPr>
          <w:p w14:paraId="64DD6149"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1BEA2269"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0036D769"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28 747,6</w:t>
            </w:r>
          </w:p>
        </w:tc>
        <w:tc>
          <w:tcPr>
            <w:tcW w:w="851" w:type="dxa"/>
            <w:shd w:val="clear" w:color="000000" w:fill="FFFFFF"/>
            <w:noWrap/>
            <w:vAlign w:val="center"/>
            <w:hideMark/>
          </w:tcPr>
          <w:p w14:paraId="52F292A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7CD87E5A" w14:textId="77777777" w:rsidTr="00543131">
        <w:trPr>
          <w:trHeight w:val="196"/>
        </w:trPr>
        <w:tc>
          <w:tcPr>
            <w:tcW w:w="666" w:type="dxa"/>
            <w:shd w:val="clear" w:color="000000" w:fill="FFFFFF"/>
            <w:vAlign w:val="center"/>
          </w:tcPr>
          <w:p w14:paraId="25AA1767"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6</w:t>
            </w:r>
          </w:p>
        </w:tc>
        <w:tc>
          <w:tcPr>
            <w:tcW w:w="2721" w:type="dxa"/>
            <w:shd w:val="clear" w:color="000000" w:fill="FFFFFF"/>
            <w:vAlign w:val="center"/>
          </w:tcPr>
          <w:p w14:paraId="09509593" w14:textId="77777777" w:rsidR="00E957D4" w:rsidRPr="00FD7B0B" w:rsidRDefault="00E957D4" w:rsidP="00E957D4">
            <w:pPr>
              <w:spacing w:after="0" w:line="240" w:lineRule="auto"/>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Доля лесных пожаров ликвидированных в течение первых суток с момента обнаружения</w:t>
            </w:r>
          </w:p>
        </w:tc>
        <w:tc>
          <w:tcPr>
            <w:tcW w:w="677" w:type="dxa"/>
            <w:shd w:val="clear" w:color="000000" w:fill="FFFFFF"/>
            <w:vAlign w:val="center"/>
          </w:tcPr>
          <w:p w14:paraId="7386E2FE"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w:t>
            </w:r>
          </w:p>
        </w:tc>
        <w:tc>
          <w:tcPr>
            <w:tcW w:w="880" w:type="dxa"/>
            <w:shd w:val="clear" w:color="000000" w:fill="FFFFFF"/>
            <w:noWrap/>
            <w:vAlign w:val="center"/>
          </w:tcPr>
          <w:p w14:paraId="18BF2C20"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tcPr>
          <w:p w14:paraId="790C9938"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97,2</w:t>
            </w:r>
          </w:p>
        </w:tc>
        <w:tc>
          <w:tcPr>
            <w:tcW w:w="879" w:type="dxa"/>
            <w:shd w:val="clear" w:color="000000" w:fill="FFFFFF"/>
            <w:noWrap/>
            <w:vAlign w:val="center"/>
          </w:tcPr>
          <w:p w14:paraId="735EF220"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tcPr>
          <w:p w14:paraId="1C7BAE56"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56,9</w:t>
            </w:r>
          </w:p>
        </w:tc>
        <w:tc>
          <w:tcPr>
            <w:tcW w:w="976" w:type="dxa"/>
            <w:shd w:val="clear" w:color="000000" w:fill="FFFFFF"/>
            <w:noWrap/>
            <w:vAlign w:val="center"/>
          </w:tcPr>
          <w:p w14:paraId="4FDBE4B2"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97,3</w:t>
            </w:r>
          </w:p>
        </w:tc>
        <w:tc>
          <w:tcPr>
            <w:tcW w:w="851" w:type="dxa"/>
            <w:shd w:val="clear" w:color="000000" w:fill="FFFFFF"/>
            <w:noWrap/>
            <w:vAlign w:val="center"/>
          </w:tcPr>
          <w:p w14:paraId="41E15722" w14:textId="77777777" w:rsidR="00E957D4" w:rsidRPr="00FD7B0B" w:rsidRDefault="00E957D4" w:rsidP="00E957D4">
            <w:pPr>
              <w:spacing w:after="0" w:line="240" w:lineRule="auto"/>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171,1</w:t>
            </w:r>
          </w:p>
        </w:tc>
      </w:tr>
      <w:tr w:rsidR="00FD7B0B" w:rsidRPr="00FD7B0B" w14:paraId="29DBDFB8" w14:textId="77777777" w:rsidTr="00543131">
        <w:trPr>
          <w:trHeight w:val="196"/>
        </w:trPr>
        <w:tc>
          <w:tcPr>
            <w:tcW w:w="666" w:type="dxa"/>
            <w:shd w:val="clear" w:color="000000" w:fill="FFFFFF"/>
            <w:vAlign w:val="center"/>
          </w:tcPr>
          <w:p w14:paraId="18743C15"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6.1</w:t>
            </w:r>
          </w:p>
        </w:tc>
        <w:tc>
          <w:tcPr>
            <w:tcW w:w="2721" w:type="dxa"/>
            <w:shd w:val="clear" w:color="000000" w:fill="FFFFFF"/>
            <w:vAlign w:val="center"/>
          </w:tcPr>
          <w:p w14:paraId="3E31AEFF" w14:textId="77777777" w:rsidR="00E957D4" w:rsidRPr="00FD7B0B" w:rsidRDefault="00E957D4" w:rsidP="00E957D4">
            <w:pPr>
              <w:spacing w:after="0" w:line="240" w:lineRule="auto"/>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Количество лесных пожаров, ликвидированных в течение первых суток с момента обнаружения</w:t>
            </w:r>
          </w:p>
        </w:tc>
        <w:tc>
          <w:tcPr>
            <w:tcW w:w="677" w:type="dxa"/>
            <w:shd w:val="clear" w:color="000000" w:fill="FFFFFF"/>
            <w:vAlign w:val="center"/>
          </w:tcPr>
          <w:p w14:paraId="13133D6A"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Ед.</w:t>
            </w:r>
          </w:p>
        </w:tc>
        <w:tc>
          <w:tcPr>
            <w:tcW w:w="880" w:type="dxa"/>
            <w:shd w:val="clear" w:color="000000" w:fill="FFFFFF"/>
            <w:noWrap/>
            <w:vAlign w:val="center"/>
          </w:tcPr>
          <w:p w14:paraId="6427B7A4"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tcPr>
          <w:p w14:paraId="62BCE7E4"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106</w:t>
            </w:r>
          </w:p>
        </w:tc>
        <w:tc>
          <w:tcPr>
            <w:tcW w:w="879" w:type="dxa"/>
            <w:shd w:val="clear" w:color="000000" w:fill="FFFFFF"/>
            <w:noWrap/>
            <w:vAlign w:val="center"/>
          </w:tcPr>
          <w:p w14:paraId="04190374"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tcPr>
          <w:p w14:paraId="4EA622A6"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tcPr>
          <w:p w14:paraId="568C2C45"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183</w:t>
            </w:r>
          </w:p>
        </w:tc>
        <w:tc>
          <w:tcPr>
            <w:tcW w:w="851" w:type="dxa"/>
            <w:shd w:val="clear" w:color="000000" w:fill="FFFFFF"/>
            <w:noWrap/>
            <w:vAlign w:val="center"/>
          </w:tcPr>
          <w:p w14:paraId="5A8B3778"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446CE5B1" w14:textId="77777777" w:rsidTr="00543131">
        <w:trPr>
          <w:trHeight w:val="196"/>
        </w:trPr>
        <w:tc>
          <w:tcPr>
            <w:tcW w:w="666" w:type="dxa"/>
            <w:shd w:val="clear" w:color="000000" w:fill="FFFFFF"/>
            <w:vAlign w:val="center"/>
          </w:tcPr>
          <w:p w14:paraId="7322699C" w14:textId="77777777" w:rsidR="00E957D4" w:rsidRPr="00FD7B0B" w:rsidRDefault="00E957D4" w:rsidP="00E957D4">
            <w:pPr>
              <w:spacing w:after="0" w:line="240" w:lineRule="auto"/>
              <w:jc w:val="center"/>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6.2</w:t>
            </w:r>
          </w:p>
        </w:tc>
        <w:tc>
          <w:tcPr>
            <w:tcW w:w="2721" w:type="dxa"/>
            <w:shd w:val="clear" w:color="000000" w:fill="FFFFFF"/>
            <w:vAlign w:val="center"/>
          </w:tcPr>
          <w:p w14:paraId="0A3A88BA" w14:textId="77777777" w:rsidR="00E957D4" w:rsidRPr="00FD7B0B" w:rsidRDefault="00E957D4" w:rsidP="00E957D4">
            <w:pPr>
              <w:spacing w:after="0" w:line="240" w:lineRule="auto"/>
              <w:rPr>
                <w:rFonts w:ascii="Times New Roman" w:eastAsia="Times New Roman" w:hAnsi="Times New Roman" w:cs="Times New Roman"/>
                <w:bCs/>
                <w:sz w:val="16"/>
                <w:szCs w:val="16"/>
                <w:lang w:eastAsia="ru-RU"/>
              </w:rPr>
            </w:pPr>
            <w:r w:rsidRPr="00FD7B0B">
              <w:rPr>
                <w:rFonts w:ascii="Times New Roman" w:eastAsia="Times New Roman" w:hAnsi="Times New Roman" w:cs="Times New Roman"/>
                <w:bCs/>
                <w:sz w:val="16"/>
                <w:szCs w:val="16"/>
                <w:lang w:eastAsia="ru-RU"/>
              </w:rPr>
              <w:t>Количество лесных пожаров, по которым осуществлялись мероприятия по тушению в отчетном периоде</w:t>
            </w:r>
          </w:p>
        </w:tc>
        <w:tc>
          <w:tcPr>
            <w:tcW w:w="677" w:type="dxa"/>
            <w:shd w:val="clear" w:color="000000" w:fill="FFFFFF"/>
            <w:vAlign w:val="center"/>
          </w:tcPr>
          <w:p w14:paraId="029BEF36"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Ед.</w:t>
            </w:r>
          </w:p>
        </w:tc>
        <w:tc>
          <w:tcPr>
            <w:tcW w:w="880" w:type="dxa"/>
            <w:shd w:val="clear" w:color="000000" w:fill="FFFFFF"/>
            <w:noWrap/>
            <w:vAlign w:val="center"/>
          </w:tcPr>
          <w:p w14:paraId="3334A177"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tcPr>
          <w:p w14:paraId="05232A94"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109</w:t>
            </w:r>
          </w:p>
        </w:tc>
        <w:tc>
          <w:tcPr>
            <w:tcW w:w="879" w:type="dxa"/>
            <w:shd w:val="clear" w:color="000000" w:fill="FFFFFF"/>
            <w:noWrap/>
            <w:vAlign w:val="center"/>
          </w:tcPr>
          <w:p w14:paraId="312519CD"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tcPr>
          <w:p w14:paraId="775BA37D"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tcPr>
          <w:p w14:paraId="119BE055"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188</w:t>
            </w:r>
          </w:p>
        </w:tc>
        <w:tc>
          <w:tcPr>
            <w:tcW w:w="851" w:type="dxa"/>
            <w:shd w:val="clear" w:color="000000" w:fill="FFFFFF"/>
            <w:noWrap/>
            <w:vAlign w:val="center"/>
          </w:tcPr>
          <w:p w14:paraId="23F9E257"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61D1C375" w14:textId="77777777" w:rsidTr="00543131">
        <w:trPr>
          <w:trHeight w:val="196"/>
        </w:trPr>
        <w:tc>
          <w:tcPr>
            <w:tcW w:w="666" w:type="dxa"/>
            <w:shd w:val="clear" w:color="000000" w:fill="FFFFFF"/>
            <w:vAlign w:val="center"/>
            <w:hideMark/>
          </w:tcPr>
          <w:p w14:paraId="20B49916"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7</w:t>
            </w:r>
          </w:p>
        </w:tc>
        <w:tc>
          <w:tcPr>
            <w:tcW w:w="2721" w:type="dxa"/>
            <w:shd w:val="clear" w:color="000000" w:fill="FFFFFF"/>
            <w:vAlign w:val="center"/>
            <w:hideMark/>
          </w:tcPr>
          <w:p w14:paraId="4B61960B" w14:textId="77777777" w:rsidR="00E957D4" w:rsidRPr="00FD7B0B" w:rsidRDefault="00E957D4" w:rsidP="00E957D4">
            <w:pPr>
              <w:spacing w:after="0" w:line="240" w:lineRule="auto"/>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Доля посадочного материала с закрытой корневой системой в общем количестве посадочного материала</w:t>
            </w:r>
          </w:p>
        </w:tc>
        <w:tc>
          <w:tcPr>
            <w:tcW w:w="677" w:type="dxa"/>
            <w:shd w:val="clear" w:color="000000" w:fill="FFFFFF"/>
            <w:vAlign w:val="center"/>
            <w:hideMark/>
          </w:tcPr>
          <w:p w14:paraId="79C5EE8C"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w:t>
            </w:r>
          </w:p>
        </w:tc>
        <w:tc>
          <w:tcPr>
            <w:tcW w:w="880" w:type="dxa"/>
            <w:shd w:val="clear" w:color="000000" w:fill="FFFFFF"/>
            <w:noWrap/>
            <w:vAlign w:val="center"/>
            <w:hideMark/>
          </w:tcPr>
          <w:p w14:paraId="395D66CC"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53,3</w:t>
            </w:r>
          </w:p>
        </w:tc>
        <w:tc>
          <w:tcPr>
            <w:tcW w:w="1024" w:type="dxa"/>
            <w:shd w:val="clear" w:color="000000" w:fill="FFFFFF"/>
            <w:noWrap/>
            <w:vAlign w:val="center"/>
            <w:hideMark/>
          </w:tcPr>
          <w:p w14:paraId="4F3D765A"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91,7</w:t>
            </w:r>
          </w:p>
        </w:tc>
        <w:tc>
          <w:tcPr>
            <w:tcW w:w="879" w:type="dxa"/>
            <w:shd w:val="clear" w:color="000000" w:fill="FFFFFF"/>
            <w:noWrap/>
            <w:vAlign w:val="center"/>
            <w:hideMark/>
          </w:tcPr>
          <w:p w14:paraId="03F23729"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172,0</w:t>
            </w:r>
          </w:p>
        </w:tc>
        <w:tc>
          <w:tcPr>
            <w:tcW w:w="980" w:type="dxa"/>
            <w:shd w:val="clear" w:color="000000" w:fill="FFFFFF"/>
            <w:noWrap/>
            <w:vAlign w:val="center"/>
            <w:hideMark/>
          </w:tcPr>
          <w:p w14:paraId="7E3AD8E9"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53,3</w:t>
            </w:r>
          </w:p>
        </w:tc>
        <w:tc>
          <w:tcPr>
            <w:tcW w:w="976" w:type="dxa"/>
            <w:shd w:val="clear" w:color="000000" w:fill="FFFFFF"/>
            <w:noWrap/>
            <w:vAlign w:val="center"/>
            <w:hideMark/>
          </w:tcPr>
          <w:p w14:paraId="32A06B9D"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89,0</w:t>
            </w:r>
          </w:p>
        </w:tc>
        <w:tc>
          <w:tcPr>
            <w:tcW w:w="851" w:type="dxa"/>
            <w:shd w:val="clear" w:color="000000" w:fill="FFFFFF"/>
            <w:noWrap/>
            <w:vAlign w:val="center"/>
            <w:hideMark/>
          </w:tcPr>
          <w:p w14:paraId="4F4D415F" w14:textId="77777777" w:rsidR="00E957D4" w:rsidRPr="00FD7B0B" w:rsidRDefault="00E957D4" w:rsidP="00E957D4">
            <w:pPr>
              <w:spacing w:after="0" w:line="240" w:lineRule="auto"/>
              <w:jc w:val="center"/>
              <w:rPr>
                <w:rFonts w:ascii="Times New Roman" w:eastAsia="Times New Roman" w:hAnsi="Times New Roman" w:cs="Times New Roman"/>
                <w:b/>
                <w:bCs/>
                <w:sz w:val="16"/>
                <w:szCs w:val="16"/>
                <w:lang w:eastAsia="ru-RU"/>
              </w:rPr>
            </w:pPr>
            <w:r w:rsidRPr="00FD7B0B">
              <w:rPr>
                <w:rFonts w:ascii="Times New Roman" w:eastAsia="Times New Roman" w:hAnsi="Times New Roman" w:cs="Times New Roman"/>
                <w:b/>
                <w:bCs/>
                <w:sz w:val="16"/>
                <w:szCs w:val="16"/>
                <w:lang w:eastAsia="ru-RU"/>
              </w:rPr>
              <w:t>167,0</w:t>
            </w:r>
          </w:p>
        </w:tc>
      </w:tr>
      <w:tr w:rsidR="00FD7B0B" w:rsidRPr="00FD7B0B" w14:paraId="526130A4" w14:textId="77777777" w:rsidTr="00543131">
        <w:trPr>
          <w:trHeight w:val="36"/>
        </w:trPr>
        <w:tc>
          <w:tcPr>
            <w:tcW w:w="666" w:type="dxa"/>
            <w:shd w:val="clear" w:color="000000" w:fill="FFFFFF"/>
            <w:vAlign w:val="center"/>
            <w:hideMark/>
          </w:tcPr>
          <w:p w14:paraId="47445990"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7.1</w:t>
            </w:r>
          </w:p>
        </w:tc>
        <w:tc>
          <w:tcPr>
            <w:tcW w:w="2721" w:type="dxa"/>
            <w:shd w:val="clear" w:color="000000" w:fill="FFFFFF"/>
            <w:vAlign w:val="center"/>
            <w:hideMark/>
          </w:tcPr>
          <w:p w14:paraId="242CBF08"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Объем посадочного материала с закрытой корневой системой </w:t>
            </w:r>
          </w:p>
        </w:tc>
        <w:tc>
          <w:tcPr>
            <w:tcW w:w="677" w:type="dxa"/>
            <w:shd w:val="clear" w:color="000000" w:fill="FFFFFF"/>
            <w:vAlign w:val="center"/>
            <w:hideMark/>
          </w:tcPr>
          <w:p w14:paraId="63A967F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шт.</w:t>
            </w:r>
          </w:p>
        </w:tc>
        <w:tc>
          <w:tcPr>
            <w:tcW w:w="880" w:type="dxa"/>
            <w:shd w:val="clear" w:color="000000" w:fill="FFFFFF"/>
            <w:noWrap/>
            <w:vAlign w:val="center"/>
            <w:hideMark/>
          </w:tcPr>
          <w:p w14:paraId="7505D181"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7B434835"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15 599,9</w:t>
            </w:r>
          </w:p>
        </w:tc>
        <w:tc>
          <w:tcPr>
            <w:tcW w:w="879" w:type="dxa"/>
            <w:shd w:val="clear" w:color="000000" w:fill="FFFFFF"/>
            <w:noWrap/>
            <w:vAlign w:val="center"/>
            <w:hideMark/>
          </w:tcPr>
          <w:p w14:paraId="5F360D51"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37A9C434"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06D8C853"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6 721,9</w:t>
            </w:r>
          </w:p>
        </w:tc>
        <w:tc>
          <w:tcPr>
            <w:tcW w:w="851" w:type="dxa"/>
            <w:shd w:val="clear" w:color="000000" w:fill="FFFFFF"/>
            <w:noWrap/>
            <w:vAlign w:val="center"/>
            <w:hideMark/>
          </w:tcPr>
          <w:p w14:paraId="4589CBE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r w:rsidR="00FD7B0B" w:rsidRPr="00FD7B0B" w14:paraId="593069E3" w14:textId="77777777" w:rsidTr="00543131">
        <w:trPr>
          <w:trHeight w:val="597"/>
        </w:trPr>
        <w:tc>
          <w:tcPr>
            <w:tcW w:w="666" w:type="dxa"/>
            <w:shd w:val="clear" w:color="000000" w:fill="FFFFFF"/>
            <w:vAlign w:val="center"/>
            <w:hideMark/>
          </w:tcPr>
          <w:p w14:paraId="7593F2D8"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7.2</w:t>
            </w:r>
          </w:p>
        </w:tc>
        <w:tc>
          <w:tcPr>
            <w:tcW w:w="2721" w:type="dxa"/>
            <w:shd w:val="clear" w:color="000000" w:fill="FFFFFF"/>
            <w:vAlign w:val="center"/>
            <w:hideMark/>
          </w:tcPr>
          <w:p w14:paraId="47D83E8E" w14:textId="77777777" w:rsidR="00E957D4" w:rsidRPr="00FD7B0B" w:rsidRDefault="00E957D4" w:rsidP="00E957D4">
            <w:pPr>
              <w:spacing w:after="0" w:line="240" w:lineRule="auto"/>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Объем посадочного материала, выращенного на территории субъекта Российской Федерации, всего</w:t>
            </w:r>
          </w:p>
        </w:tc>
        <w:tc>
          <w:tcPr>
            <w:tcW w:w="677" w:type="dxa"/>
            <w:shd w:val="clear" w:color="000000" w:fill="FFFFFF"/>
            <w:vAlign w:val="center"/>
            <w:hideMark/>
          </w:tcPr>
          <w:p w14:paraId="4DE4B19D"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тыс. шт.</w:t>
            </w:r>
          </w:p>
        </w:tc>
        <w:tc>
          <w:tcPr>
            <w:tcW w:w="880" w:type="dxa"/>
            <w:shd w:val="clear" w:color="000000" w:fill="FFFFFF"/>
            <w:noWrap/>
            <w:vAlign w:val="center"/>
            <w:hideMark/>
          </w:tcPr>
          <w:p w14:paraId="597EC0A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1024" w:type="dxa"/>
            <w:shd w:val="clear" w:color="000000" w:fill="FFFFFF"/>
            <w:noWrap/>
            <w:vAlign w:val="center"/>
            <w:hideMark/>
          </w:tcPr>
          <w:p w14:paraId="6EB2BB95"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17 009,7</w:t>
            </w:r>
          </w:p>
        </w:tc>
        <w:tc>
          <w:tcPr>
            <w:tcW w:w="879" w:type="dxa"/>
            <w:shd w:val="clear" w:color="000000" w:fill="FFFFFF"/>
            <w:noWrap/>
            <w:vAlign w:val="center"/>
            <w:hideMark/>
          </w:tcPr>
          <w:p w14:paraId="59D3444E"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80" w:type="dxa"/>
            <w:shd w:val="clear" w:color="000000" w:fill="FFFFFF"/>
            <w:noWrap/>
            <w:vAlign w:val="center"/>
            <w:hideMark/>
          </w:tcPr>
          <w:p w14:paraId="18F043DF"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c>
          <w:tcPr>
            <w:tcW w:w="976" w:type="dxa"/>
            <w:shd w:val="clear" w:color="000000" w:fill="FFFFFF"/>
            <w:noWrap/>
            <w:vAlign w:val="center"/>
            <w:hideMark/>
          </w:tcPr>
          <w:p w14:paraId="54688C31"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7 551,1</w:t>
            </w:r>
          </w:p>
        </w:tc>
        <w:tc>
          <w:tcPr>
            <w:tcW w:w="851" w:type="dxa"/>
            <w:shd w:val="clear" w:color="000000" w:fill="FFFFFF"/>
            <w:noWrap/>
            <w:vAlign w:val="center"/>
            <w:hideMark/>
          </w:tcPr>
          <w:p w14:paraId="49D706E5" w14:textId="77777777" w:rsidR="00E957D4" w:rsidRPr="00FD7B0B" w:rsidRDefault="00E957D4" w:rsidP="00E957D4">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w:t>
            </w:r>
          </w:p>
        </w:tc>
      </w:tr>
    </w:tbl>
    <w:p w14:paraId="315B1C7B"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p>
    <w:p w14:paraId="0157B662"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В 2024 году по сравнению с 2022 годом увеличилась доля лесных пожаров, ликвидированных в течение первых суток (в 2022 году – 90,6 %).</w:t>
      </w:r>
    </w:p>
    <w:p w14:paraId="1CFC8041"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По сравнению с 2022 годом в 2024 году увеличилось количество случаев возникновения лесных пожаров (в 2022 году – 181). </w:t>
      </w:r>
    </w:p>
    <w:p w14:paraId="1DD10F5D"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Площадь вредных очагов организмов на конец года составила 367,7 гектар и за 2024 год не увеличилась, по данным отчетности в 2024 году новых очагов не выявлено.</w:t>
      </w:r>
    </w:p>
    <w:p w14:paraId="78472847" w14:textId="4F5A1A3A"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В 2024 году по сравнению с 2023 годом </w:t>
      </w:r>
      <w:r w:rsidR="00543131" w:rsidRPr="00FD7B0B">
        <w:rPr>
          <w:rFonts w:ascii="Times New Roman" w:eastAsia="Times New Roman" w:hAnsi="Times New Roman" w:cs="Times New Roman"/>
          <w:sz w:val="28"/>
          <w:szCs w:val="28"/>
          <w:lang w:eastAsia="ru-RU"/>
        </w:rPr>
        <w:t xml:space="preserve">имеет место </w:t>
      </w:r>
      <w:r w:rsidRPr="00FD7B0B">
        <w:rPr>
          <w:rFonts w:ascii="Times New Roman" w:eastAsia="Times New Roman" w:hAnsi="Times New Roman" w:cs="Times New Roman"/>
          <w:sz w:val="28"/>
          <w:szCs w:val="28"/>
          <w:lang w:eastAsia="ru-RU"/>
        </w:rPr>
        <w:t>уменьшение случаев нарушений лесного законодательства, причинившие вред лесам, но значительное увеличение (в 2,1 раза) нанесенного вреда в связи с нарушением лесного законодательства</w:t>
      </w:r>
      <w:r w:rsidR="00110619" w:rsidRPr="00FD7B0B">
        <w:rPr>
          <w:rFonts w:ascii="Times New Roman" w:eastAsia="Times New Roman" w:hAnsi="Times New Roman" w:cs="Times New Roman"/>
          <w:sz w:val="28"/>
          <w:szCs w:val="28"/>
          <w:lang w:eastAsia="ru-RU"/>
        </w:rPr>
        <w:t>.</w:t>
      </w:r>
    </w:p>
    <w:p w14:paraId="5CE12AE8"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p>
    <w:p w14:paraId="4537F94C" w14:textId="77777777" w:rsidR="00E957D4" w:rsidRPr="00FD7B0B" w:rsidRDefault="00E957D4" w:rsidP="00E957D4">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168</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Сведения о выполнении показателей ГП № 15, а также о расходах на их выполнение за 2024 год (по данным отчета «Сведения о достижении целевых показателей государственной программы Архангельской области»)</w:t>
      </w:r>
    </w:p>
    <w:tbl>
      <w:tblPr>
        <w:tblStyle w:val="a7"/>
        <w:tblW w:w="964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668"/>
        <w:gridCol w:w="850"/>
        <w:gridCol w:w="1276"/>
        <w:gridCol w:w="1153"/>
        <w:gridCol w:w="992"/>
        <w:gridCol w:w="1559"/>
        <w:gridCol w:w="992"/>
        <w:gridCol w:w="1154"/>
      </w:tblGrid>
      <w:tr w:rsidR="00FD7B0B" w:rsidRPr="00FD7B0B" w14:paraId="34F70645" w14:textId="77777777" w:rsidTr="00543131">
        <w:trPr>
          <w:tblHeader/>
        </w:trPr>
        <w:tc>
          <w:tcPr>
            <w:tcW w:w="1668" w:type="dxa"/>
            <w:vMerge w:val="restart"/>
          </w:tcPr>
          <w:p w14:paraId="0F63AB7C"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Подпрограмма</w:t>
            </w:r>
          </w:p>
        </w:tc>
        <w:tc>
          <w:tcPr>
            <w:tcW w:w="3279" w:type="dxa"/>
            <w:gridSpan w:val="3"/>
          </w:tcPr>
          <w:p w14:paraId="7DB66379"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Кол-во целевых показателей</w:t>
            </w:r>
          </w:p>
        </w:tc>
        <w:tc>
          <w:tcPr>
            <w:tcW w:w="2551" w:type="dxa"/>
            <w:gridSpan w:val="2"/>
          </w:tcPr>
          <w:p w14:paraId="59131855"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Объем финансирования ГП № 15 на 2024 год, согласно отчёту за 2024 год</w:t>
            </w:r>
          </w:p>
        </w:tc>
        <w:tc>
          <w:tcPr>
            <w:tcW w:w="2146" w:type="dxa"/>
            <w:gridSpan w:val="2"/>
          </w:tcPr>
          <w:p w14:paraId="4C996CFD"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Исполнено согласно отчету о реализации госпрограммы</w:t>
            </w:r>
          </w:p>
        </w:tc>
      </w:tr>
      <w:tr w:rsidR="00FD7B0B" w:rsidRPr="00FD7B0B" w14:paraId="6F85B2C9" w14:textId="77777777" w:rsidTr="00543131">
        <w:trPr>
          <w:tblHeader/>
        </w:trPr>
        <w:tc>
          <w:tcPr>
            <w:tcW w:w="1668" w:type="dxa"/>
            <w:vMerge/>
          </w:tcPr>
          <w:p w14:paraId="03B84F2D" w14:textId="77777777" w:rsidR="00E957D4" w:rsidRPr="00FD7B0B" w:rsidRDefault="00E957D4" w:rsidP="00E957D4">
            <w:pPr>
              <w:contextualSpacing/>
              <w:jc w:val="center"/>
              <w:rPr>
                <w:rFonts w:ascii="Times New Roman" w:eastAsia="Times New Roman" w:hAnsi="Times New Roman"/>
                <w:sz w:val="16"/>
                <w:szCs w:val="16"/>
              </w:rPr>
            </w:pPr>
          </w:p>
        </w:tc>
        <w:tc>
          <w:tcPr>
            <w:tcW w:w="850" w:type="dxa"/>
          </w:tcPr>
          <w:p w14:paraId="50C2171C"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План</w:t>
            </w:r>
          </w:p>
        </w:tc>
        <w:tc>
          <w:tcPr>
            <w:tcW w:w="1276" w:type="dxa"/>
          </w:tcPr>
          <w:p w14:paraId="40FD7BFE"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Фактическое выполнение</w:t>
            </w:r>
          </w:p>
        </w:tc>
        <w:tc>
          <w:tcPr>
            <w:tcW w:w="1153" w:type="dxa"/>
          </w:tcPr>
          <w:p w14:paraId="578A8B8D"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 выполнения</w:t>
            </w:r>
          </w:p>
        </w:tc>
        <w:tc>
          <w:tcPr>
            <w:tcW w:w="992" w:type="dxa"/>
          </w:tcPr>
          <w:p w14:paraId="7918769D"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млн.руб.</w:t>
            </w:r>
          </w:p>
        </w:tc>
        <w:tc>
          <w:tcPr>
            <w:tcW w:w="1559" w:type="dxa"/>
          </w:tcPr>
          <w:p w14:paraId="3A8B4F6F" w14:textId="1C9F7D33" w:rsidR="00E957D4" w:rsidRPr="00FD7B0B" w:rsidRDefault="00E957D4" w:rsidP="00543131">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 xml:space="preserve">изменение к показателю на 27.04.2024, </w:t>
            </w:r>
            <w:r w:rsidR="00543131" w:rsidRPr="00FD7B0B">
              <w:rPr>
                <w:rFonts w:ascii="Times New Roman" w:eastAsia="Times New Roman" w:hAnsi="Times New Roman"/>
                <w:sz w:val="16"/>
                <w:szCs w:val="16"/>
              </w:rPr>
              <w:t xml:space="preserve"> </w:t>
            </w:r>
            <w:r w:rsidRPr="00FD7B0B">
              <w:rPr>
                <w:rFonts w:ascii="Times New Roman" w:eastAsia="Times New Roman" w:hAnsi="Times New Roman"/>
                <w:sz w:val="16"/>
                <w:szCs w:val="16"/>
              </w:rPr>
              <w:t>%</w:t>
            </w:r>
          </w:p>
        </w:tc>
        <w:tc>
          <w:tcPr>
            <w:tcW w:w="992" w:type="dxa"/>
          </w:tcPr>
          <w:p w14:paraId="0D732C78"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млн.руб.</w:t>
            </w:r>
          </w:p>
        </w:tc>
        <w:tc>
          <w:tcPr>
            <w:tcW w:w="1154" w:type="dxa"/>
          </w:tcPr>
          <w:p w14:paraId="167DB497" w14:textId="77777777" w:rsidR="00E957D4" w:rsidRPr="00FD7B0B" w:rsidRDefault="00E957D4" w:rsidP="00E957D4">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 выполнения</w:t>
            </w:r>
          </w:p>
        </w:tc>
      </w:tr>
      <w:tr w:rsidR="00FD7B0B" w:rsidRPr="00FD7B0B" w14:paraId="0CD58D6F" w14:textId="77777777" w:rsidTr="00543131">
        <w:tc>
          <w:tcPr>
            <w:tcW w:w="1668" w:type="dxa"/>
          </w:tcPr>
          <w:p w14:paraId="7728B01E" w14:textId="77777777" w:rsidR="00E957D4" w:rsidRPr="00FD7B0B" w:rsidRDefault="00E957D4" w:rsidP="00E957D4">
            <w:pPr>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Госпрограмма № 15</w:t>
            </w:r>
          </w:p>
        </w:tc>
        <w:tc>
          <w:tcPr>
            <w:tcW w:w="850" w:type="dxa"/>
          </w:tcPr>
          <w:p w14:paraId="6EF96CB3"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3</w:t>
            </w:r>
          </w:p>
        </w:tc>
        <w:tc>
          <w:tcPr>
            <w:tcW w:w="1276" w:type="dxa"/>
          </w:tcPr>
          <w:p w14:paraId="71CC0E54"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3*</w:t>
            </w:r>
          </w:p>
        </w:tc>
        <w:tc>
          <w:tcPr>
            <w:tcW w:w="1153" w:type="dxa"/>
          </w:tcPr>
          <w:p w14:paraId="3C4E9DBC"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100,0</w:t>
            </w:r>
          </w:p>
        </w:tc>
        <w:tc>
          <w:tcPr>
            <w:tcW w:w="992" w:type="dxa"/>
          </w:tcPr>
          <w:p w14:paraId="2F05FA75" w14:textId="77777777" w:rsidR="00E957D4" w:rsidRPr="00FD7B0B" w:rsidRDefault="00E957D4" w:rsidP="00E957D4">
            <w:pPr>
              <w:contextualSpacing/>
              <w:jc w:val="right"/>
              <w:rPr>
                <w:rFonts w:ascii="Times New Roman" w:eastAsia="Times New Roman" w:hAnsi="Times New Roman"/>
                <w:sz w:val="16"/>
                <w:szCs w:val="16"/>
              </w:rPr>
            </w:pPr>
          </w:p>
        </w:tc>
        <w:tc>
          <w:tcPr>
            <w:tcW w:w="1559" w:type="dxa"/>
          </w:tcPr>
          <w:p w14:paraId="13662715" w14:textId="77777777" w:rsidR="00E957D4" w:rsidRPr="00FD7B0B" w:rsidRDefault="00E957D4" w:rsidP="00E957D4">
            <w:pPr>
              <w:contextualSpacing/>
              <w:jc w:val="right"/>
              <w:rPr>
                <w:rFonts w:ascii="Times New Roman" w:eastAsia="Times New Roman" w:hAnsi="Times New Roman"/>
                <w:sz w:val="16"/>
                <w:szCs w:val="16"/>
              </w:rPr>
            </w:pPr>
          </w:p>
        </w:tc>
        <w:tc>
          <w:tcPr>
            <w:tcW w:w="992" w:type="dxa"/>
          </w:tcPr>
          <w:p w14:paraId="50F61C88" w14:textId="77777777" w:rsidR="00E957D4" w:rsidRPr="00FD7B0B" w:rsidRDefault="00E957D4" w:rsidP="00E957D4">
            <w:pPr>
              <w:contextualSpacing/>
              <w:jc w:val="right"/>
              <w:rPr>
                <w:rFonts w:ascii="Times New Roman" w:eastAsia="Times New Roman" w:hAnsi="Times New Roman"/>
                <w:sz w:val="16"/>
                <w:szCs w:val="16"/>
              </w:rPr>
            </w:pPr>
          </w:p>
        </w:tc>
        <w:tc>
          <w:tcPr>
            <w:tcW w:w="1154" w:type="dxa"/>
          </w:tcPr>
          <w:p w14:paraId="0CB16753" w14:textId="77777777" w:rsidR="00E957D4" w:rsidRPr="00FD7B0B" w:rsidRDefault="00E957D4" w:rsidP="00E957D4">
            <w:pPr>
              <w:contextualSpacing/>
              <w:jc w:val="right"/>
              <w:rPr>
                <w:rFonts w:ascii="Times New Roman" w:eastAsia="Times New Roman" w:hAnsi="Times New Roman"/>
                <w:sz w:val="16"/>
                <w:szCs w:val="16"/>
              </w:rPr>
            </w:pPr>
          </w:p>
        </w:tc>
      </w:tr>
      <w:tr w:rsidR="00FD7B0B" w:rsidRPr="00FD7B0B" w14:paraId="6F1789D6" w14:textId="77777777" w:rsidTr="00543131">
        <w:tc>
          <w:tcPr>
            <w:tcW w:w="1668" w:type="dxa"/>
          </w:tcPr>
          <w:p w14:paraId="779F8A3A" w14:textId="77777777" w:rsidR="00E957D4" w:rsidRPr="00FD7B0B" w:rsidRDefault="00E957D4" w:rsidP="00E957D4">
            <w:pPr>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Проектная часть</w:t>
            </w:r>
          </w:p>
        </w:tc>
        <w:tc>
          <w:tcPr>
            <w:tcW w:w="850" w:type="dxa"/>
          </w:tcPr>
          <w:p w14:paraId="3E86C809"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1276" w:type="dxa"/>
          </w:tcPr>
          <w:p w14:paraId="53B4C993"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1153" w:type="dxa"/>
          </w:tcPr>
          <w:p w14:paraId="59A5F11B"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100,0</w:t>
            </w:r>
          </w:p>
        </w:tc>
        <w:tc>
          <w:tcPr>
            <w:tcW w:w="992" w:type="dxa"/>
          </w:tcPr>
          <w:p w14:paraId="4E1F7771"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1 769,5</w:t>
            </w:r>
          </w:p>
        </w:tc>
        <w:tc>
          <w:tcPr>
            <w:tcW w:w="1559" w:type="dxa"/>
          </w:tcPr>
          <w:p w14:paraId="283613B4"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0</w:t>
            </w:r>
          </w:p>
        </w:tc>
        <w:tc>
          <w:tcPr>
            <w:tcW w:w="992" w:type="dxa"/>
          </w:tcPr>
          <w:p w14:paraId="3D9E9836"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1 868,9</w:t>
            </w:r>
          </w:p>
        </w:tc>
        <w:tc>
          <w:tcPr>
            <w:tcW w:w="1154" w:type="dxa"/>
          </w:tcPr>
          <w:p w14:paraId="084235D3"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105,6</w:t>
            </w:r>
          </w:p>
        </w:tc>
      </w:tr>
      <w:tr w:rsidR="00FD7B0B" w:rsidRPr="00FD7B0B" w14:paraId="29BC122E" w14:textId="77777777" w:rsidTr="00543131">
        <w:trPr>
          <w:trHeight w:val="136"/>
        </w:trPr>
        <w:tc>
          <w:tcPr>
            <w:tcW w:w="1668" w:type="dxa"/>
          </w:tcPr>
          <w:p w14:paraId="750FBAB2" w14:textId="77777777" w:rsidR="00E957D4" w:rsidRPr="00FD7B0B" w:rsidRDefault="00E957D4" w:rsidP="00E957D4">
            <w:pPr>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Процессная часть</w:t>
            </w:r>
          </w:p>
        </w:tc>
        <w:tc>
          <w:tcPr>
            <w:tcW w:w="850" w:type="dxa"/>
          </w:tcPr>
          <w:p w14:paraId="777A247D"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6</w:t>
            </w:r>
          </w:p>
        </w:tc>
        <w:tc>
          <w:tcPr>
            <w:tcW w:w="1276" w:type="dxa"/>
          </w:tcPr>
          <w:p w14:paraId="23D6C9EC"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5</w:t>
            </w:r>
          </w:p>
        </w:tc>
        <w:tc>
          <w:tcPr>
            <w:tcW w:w="1153" w:type="dxa"/>
          </w:tcPr>
          <w:p w14:paraId="020D159D"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83,3</w:t>
            </w:r>
          </w:p>
        </w:tc>
        <w:tc>
          <w:tcPr>
            <w:tcW w:w="992" w:type="dxa"/>
          </w:tcPr>
          <w:p w14:paraId="4B02E853"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3 983,5</w:t>
            </w:r>
          </w:p>
        </w:tc>
        <w:tc>
          <w:tcPr>
            <w:tcW w:w="1559" w:type="dxa"/>
          </w:tcPr>
          <w:p w14:paraId="49978C26"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-73,6</w:t>
            </w:r>
          </w:p>
        </w:tc>
        <w:tc>
          <w:tcPr>
            <w:tcW w:w="992" w:type="dxa"/>
          </w:tcPr>
          <w:p w14:paraId="55E87009"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4 507,9</w:t>
            </w:r>
          </w:p>
        </w:tc>
        <w:tc>
          <w:tcPr>
            <w:tcW w:w="1154" w:type="dxa"/>
          </w:tcPr>
          <w:p w14:paraId="511EE821"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100,8</w:t>
            </w:r>
          </w:p>
        </w:tc>
      </w:tr>
      <w:tr w:rsidR="00FD7B0B" w:rsidRPr="00FD7B0B" w14:paraId="12F250BC" w14:textId="77777777" w:rsidTr="00543131">
        <w:trPr>
          <w:trHeight w:val="53"/>
        </w:trPr>
        <w:tc>
          <w:tcPr>
            <w:tcW w:w="1668" w:type="dxa"/>
          </w:tcPr>
          <w:p w14:paraId="2F124089" w14:textId="77777777" w:rsidR="00E957D4" w:rsidRPr="00FD7B0B" w:rsidRDefault="00E957D4" w:rsidP="00E957D4">
            <w:pPr>
              <w:contextualSpacing/>
              <w:jc w:val="both"/>
              <w:rPr>
                <w:rFonts w:ascii="Times New Roman" w:eastAsia="Times New Roman" w:hAnsi="Times New Roman"/>
                <w:sz w:val="16"/>
                <w:szCs w:val="16"/>
              </w:rPr>
            </w:pPr>
            <w:r w:rsidRPr="00FD7B0B">
              <w:rPr>
                <w:rFonts w:ascii="Times New Roman" w:eastAsia="Times New Roman" w:hAnsi="Times New Roman"/>
                <w:sz w:val="16"/>
                <w:szCs w:val="16"/>
              </w:rPr>
              <w:t>Итого</w:t>
            </w:r>
          </w:p>
        </w:tc>
        <w:tc>
          <w:tcPr>
            <w:tcW w:w="850" w:type="dxa"/>
          </w:tcPr>
          <w:p w14:paraId="6A4288BB"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10</w:t>
            </w:r>
          </w:p>
        </w:tc>
        <w:tc>
          <w:tcPr>
            <w:tcW w:w="1276" w:type="dxa"/>
          </w:tcPr>
          <w:p w14:paraId="15845A48"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9</w:t>
            </w:r>
          </w:p>
        </w:tc>
        <w:tc>
          <w:tcPr>
            <w:tcW w:w="1153" w:type="dxa"/>
          </w:tcPr>
          <w:p w14:paraId="118848A9"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90,0</w:t>
            </w:r>
          </w:p>
        </w:tc>
        <w:tc>
          <w:tcPr>
            <w:tcW w:w="992" w:type="dxa"/>
          </w:tcPr>
          <w:p w14:paraId="34584054"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5 753,0</w:t>
            </w:r>
          </w:p>
        </w:tc>
        <w:tc>
          <w:tcPr>
            <w:tcW w:w="1559" w:type="dxa"/>
          </w:tcPr>
          <w:p w14:paraId="38A8B48D"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-73,6</w:t>
            </w:r>
          </w:p>
        </w:tc>
        <w:tc>
          <w:tcPr>
            <w:tcW w:w="992" w:type="dxa"/>
          </w:tcPr>
          <w:p w14:paraId="3B235D7D"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6 376,8</w:t>
            </w:r>
          </w:p>
        </w:tc>
        <w:tc>
          <w:tcPr>
            <w:tcW w:w="1154" w:type="dxa"/>
          </w:tcPr>
          <w:p w14:paraId="56C65D33" w14:textId="77777777" w:rsidR="00E957D4" w:rsidRPr="00FD7B0B" w:rsidRDefault="00E957D4" w:rsidP="00E957D4">
            <w:pPr>
              <w:contextualSpacing/>
              <w:jc w:val="right"/>
              <w:rPr>
                <w:rFonts w:ascii="Times New Roman" w:eastAsia="Times New Roman" w:hAnsi="Times New Roman"/>
                <w:sz w:val="16"/>
                <w:szCs w:val="16"/>
              </w:rPr>
            </w:pPr>
            <w:r w:rsidRPr="00FD7B0B">
              <w:rPr>
                <w:rFonts w:ascii="Times New Roman" w:eastAsia="Times New Roman" w:hAnsi="Times New Roman"/>
                <w:sz w:val="16"/>
                <w:szCs w:val="16"/>
              </w:rPr>
              <w:t>107,3</w:t>
            </w:r>
          </w:p>
        </w:tc>
      </w:tr>
    </w:tbl>
    <w:p w14:paraId="751002A7" w14:textId="77777777" w:rsidR="00E957D4" w:rsidRPr="00FD7B0B" w:rsidRDefault="00E957D4" w:rsidP="00615C85">
      <w:pPr>
        <w:spacing w:after="0" w:line="240" w:lineRule="auto"/>
        <w:contextualSpacing/>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*Два из трех показателя госпрограммы рассчитаны на основании данных Федеральной службы государственной статистики по Архангельской области и НАО за 9 и 11 месяцев 2024 года. Таким образом, целевые показатели по итогам 2024 года носят прогнозный характер.</w:t>
      </w:r>
    </w:p>
    <w:p w14:paraId="493A1BF8" w14:textId="77777777" w:rsidR="00615C85" w:rsidRPr="00FD7B0B" w:rsidRDefault="00615C85" w:rsidP="00E957D4">
      <w:pPr>
        <w:spacing w:after="0" w:line="240" w:lineRule="auto"/>
        <w:ind w:firstLine="709"/>
        <w:contextualSpacing/>
        <w:jc w:val="both"/>
        <w:rPr>
          <w:rFonts w:ascii="Times New Roman" w:eastAsia="Times New Roman" w:hAnsi="Times New Roman" w:cs="Times New Roman"/>
          <w:sz w:val="28"/>
          <w:szCs w:val="28"/>
          <w:lang w:eastAsia="ru-RU"/>
        </w:rPr>
      </w:pPr>
    </w:p>
    <w:p w14:paraId="0242B004" w14:textId="77777777" w:rsidR="00E957D4" w:rsidRPr="00FD7B0B" w:rsidRDefault="00E957D4" w:rsidP="00E957D4">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Из 10 запланированных показателей (индикаторов) установлено достижение конечного результата по 9 индикаторам, или на 90 %. </w:t>
      </w:r>
    </w:p>
    <w:p w14:paraId="536739EE" w14:textId="77777777" w:rsidR="00E957D4" w:rsidRPr="00FD7B0B" w:rsidRDefault="00E957D4" w:rsidP="00E957D4">
      <w:pPr>
        <w:tabs>
          <w:tab w:val="left" w:pos="0"/>
          <w:tab w:val="left" w:pos="284"/>
        </w:tabs>
        <w:spacing w:after="0" w:line="240" w:lineRule="auto"/>
        <w:ind w:firstLine="709"/>
        <w:contextualSpacing/>
        <w:jc w:val="both"/>
        <w:rPr>
          <w:rFonts w:ascii="Times New Roman" w:hAnsi="Times New Roman"/>
          <w:sz w:val="28"/>
          <w:szCs w:val="28"/>
          <w:lang w:eastAsia="ru-RU"/>
        </w:rPr>
      </w:pPr>
      <w:r w:rsidRPr="00FD7B0B">
        <w:rPr>
          <w:rFonts w:ascii="Times New Roman" w:hAnsi="Times New Roman"/>
          <w:sz w:val="28"/>
          <w:szCs w:val="28"/>
          <w:lang w:eastAsia="ru-RU"/>
        </w:rPr>
        <w:t>В 2024 году возбуждено уголовных дел по направленным материалам за незаконную рубку – 50 ед. на общую сумму 148,9 млн.руб., привлечено к уголовной ответственности 2 человека.</w:t>
      </w:r>
    </w:p>
    <w:p w14:paraId="3A264D4F" w14:textId="77777777" w:rsidR="00E957D4" w:rsidRPr="00FD7B0B" w:rsidRDefault="00E957D4" w:rsidP="00E957D4">
      <w:pPr>
        <w:tabs>
          <w:tab w:val="left" w:pos="0"/>
          <w:tab w:val="left" w:pos="284"/>
        </w:tabs>
        <w:spacing w:after="0" w:line="240" w:lineRule="auto"/>
        <w:ind w:firstLine="709"/>
        <w:contextualSpacing/>
        <w:jc w:val="both"/>
        <w:rPr>
          <w:rFonts w:ascii="Times New Roman" w:hAnsi="Times New Roman"/>
          <w:sz w:val="28"/>
          <w:szCs w:val="28"/>
          <w:lang w:eastAsia="ru-RU"/>
        </w:rPr>
      </w:pPr>
      <w:r w:rsidRPr="00FD7B0B">
        <w:rPr>
          <w:rFonts w:ascii="Times New Roman" w:hAnsi="Times New Roman"/>
          <w:sz w:val="28"/>
          <w:szCs w:val="28"/>
          <w:lang w:eastAsia="ru-RU"/>
        </w:rPr>
        <w:t>Направлено требований о возмещении вреда на сумму 1 064,2 млн.руб., исков в суд на сумму 1 030,0 млн.руб. Основная сумма иска за загрязнение или захламление лесов коммунально-бытовыми и промышленными отходами, бытовым и строительным мусором (803,2 млн.руб.). Уплачено в добровольном порядке на сумму 6,4 млн.руб.</w:t>
      </w:r>
    </w:p>
    <w:p w14:paraId="6A70A51D" w14:textId="77777777" w:rsidR="00E957D4" w:rsidRPr="00FD7B0B" w:rsidRDefault="00E957D4" w:rsidP="00E957D4">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предварительной оценке</w:t>
      </w:r>
      <w:r w:rsidRPr="00FD7B0B">
        <w:rPr>
          <w:rFonts w:ascii="Times New Roman" w:hAnsi="Times New Roman" w:cs="Times New Roman"/>
          <w:sz w:val="28"/>
          <w:szCs w:val="28"/>
        </w:rPr>
        <w:t>, степень эффективности ГП № 15 в 2024 году составила 92,5 балла,</w:t>
      </w:r>
      <w:r w:rsidRPr="00FD7B0B">
        <w:rPr>
          <w:rFonts w:ascii="Times New Roman" w:eastAsia="Times New Roman" w:hAnsi="Times New Roman" w:cs="Times New Roman"/>
          <w:sz w:val="28"/>
          <w:szCs w:val="28"/>
          <w:lang w:eastAsia="ru-RU"/>
        </w:rPr>
        <w:t xml:space="preserve"> что свидетельствует о высокой степени эффективности реализации госпрограммы.</w:t>
      </w:r>
    </w:p>
    <w:p w14:paraId="7E7B4C6E" w14:textId="77777777" w:rsidR="00E957D4" w:rsidRPr="00FD7B0B" w:rsidRDefault="00E957D4" w:rsidP="00E957D4">
      <w:pPr>
        <w:spacing w:after="0" w:line="240" w:lineRule="auto"/>
        <w:ind w:firstLine="709"/>
        <w:jc w:val="both"/>
      </w:pPr>
      <w:r w:rsidRPr="00FD7B0B">
        <w:rPr>
          <w:rFonts w:ascii="Times New Roman" w:eastAsia="Times New Roman" w:hAnsi="Times New Roman" w:cs="Times New Roman"/>
          <w:sz w:val="28"/>
          <w:szCs w:val="28"/>
          <w:lang w:eastAsia="ru-RU"/>
        </w:rPr>
        <w:t>Показатель оценки качества планирования и управления реализацией государственной программы по итогам отчетного года определен 67,0 балла, что свидетельствует о низком качестве планирования и управления реализацией государственной программы, уровень реализации госпрограммы – высокий. Весовой коэффициент реализации первого показателя – 0,2, второго – 0,8.</w:t>
      </w:r>
    </w:p>
    <w:p w14:paraId="09BB2D08" w14:textId="0DF6563A" w:rsidR="00D304BC" w:rsidRPr="00FD7B0B" w:rsidRDefault="009B516C" w:rsidP="00D304BC">
      <w:pPr>
        <w:pStyle w:val="3"/>
        <w:spacing w:line="240" w:lineRule="auto"/>
        <w:jc w:val="center"/>
        <w:rPr>
          <w:rFonts w:ascii="Times New Roman" w:hAnsi="Times New Roman"/>
          <w:b w:val="0"/>
          <w:sz w:val="28"/>
          <w:szCs w:val="28"/>
          <w:u w:val="single"/>
          <w:lang w:val="ru-RU"/>
        </w:rPr>
      </w:pPr>
      <w:bookmarkStart w:id="140" w:name="_Toc198819144"/>
      <w:r w:rsidRPr="00FD7B0B">
        <w:rPr>
          <w:rFonts w:ascii="Times New Roman" w:hAnsi="Times New Roman"/>
          <w:b w:val="0"/>
          <w:sz w:val="28"/>
          <w:szCs w:val="28"/>
          <w:u w:val="single"/>
          <w:lang w:val="ru-RU"/>
        </w:rPr>
        <w:lastRenderedPageBreak/>
        <w:t>4</w:t>
      </w:r>
      <w:r w:rsidR="00D304BC"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lang w:val="ru-RU"/>
        </w:rPr>
        <w:t>.1</w:t>
      </w:r>
      <w:r w:rsidR="007F7958" w:rsidRPr="00FD7B0B">
        <w:rPr>
          <w:rFonts w:ascii="Times New Roman" w:hAnsi="Times New Roman"/>
          <w:b w:val="0"/>
          <w:sz w:val="28"/>
          <w:szCs w:val="28"/>
          <w:u w:val="single"/>
          <w:lang w:val="ru-RU"/>
        </w:rPr>
        <w:t>1</w:t>
      </w:r>
      <w:r w:rsidR="00D304BC" w:rsidRPr="00FD7B0B">
        <w:rPr>
          <w:rFonts w:ascii="Times New Roman" w:hAnsi="Times New Roman"/>
          <w:b w:val="0"/>
          <w:sz w:val="28"/>
          <w:szCs w:val="28"/>
          <w:u w:val="single"/>
          <w:lang w:val="ru-RU"/>
        </w:rPr>
        <w:t xml:space="preserve">. </w:t>
      </w:r>
      <w:r w:rsidR="00D304BC" w:rsidRPr="00FD7B0B">
        <w:rPr>
          <w:rFonts w:ascii="Times New Roman" w:hAnsi="Times New Roman"/>
          <w:b w:val="0"/>
          <w:sz w:val="28"/>
          <w:szCs w:val="28"/>
          <w:u w:val="single"/>
        </w:rPr>
        <w:t xml:space="preserve">Государственная программа Архангельской области </w:t>
      </w:r>
      <w:r w:rsidR="00743ABC" w:rsidRPr="00FD7B0B">
        <w:rPr>
          <w:rFonts w:ascii="Times New Roman" w:hAnsi="Times New Roman"/>
          <w:b w:val="0"/>
          <w:sz w:val="28"/>
          <w:szCs w:val="28"/>
          <w:u w:val="single"/>
          <w:lang w:val="ru-RU"/>
        </w:rPr>
        <w:t>«</w:t>
      </w:r>
      <w:r w:rsidR="00D304BC" w:rsidRPr="00FD7B0B">
        <w:rPr>
          <w:rFonts w:ascii="Times New Roman" w:hAnsi="Times New Roman"/>
          <w:b w:val="0"/>
          <w:sz w:val="28"/>
          <w:szCs w:val="28"/>
          <w:u w:val="single"/>
        </w:rPr>
        <w:t>Развитие энергетики и жилищно-коммунального хозяйства Архангельской области</w:t>
      </w:r>
      <w:r w:rsidR="00743ABC" w:rsidRPr="00FD7B0B">
        <w:rPr>
          <w:rFonts w:ascii="Times New Roman" w:hAnsi="Times New Roman"/>
          <w:b w:val="0"/>
          <w:sz w:val="28"/>
          <w:szCs w:val="28"/>
          <w:u w:val="single"/>
          <w:lang w:val="ru-RU"/>
        </w:rPr>
        <w:t>»</w:t>
      </w:r>
      <w:bookmarkEnd w:id="140"/>
    </w:p>
    <w:p w14:paraId="466049F5" w14:textId="25C39B7F" w:rsidR="00A51B25" w:rsidRPr="00FD7B0B" w:rsidRDefault="00A51B25" w:rsidP="00A51B25">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Государственная программа Архангельской области «Развитие энергетики и жилищно-коммунального хозяйства Архангельской области» утверждена постановлением Правительства Архангельской области</w:t>
      </w:r>
      <w:r w:rsidR="00717C6F"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от 15.10.2013 № 487-пп (далее – ГП №</w:t>
      </w:r>
      <w:r w:rsidR="00717C6F"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17).</w:t>
      </w:r>
    </w:p>
    <w:p w14:paraId="770214F1" w14:textId="5C311793"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Ответственным исполнителем ГП №</w:t>
      </w:r>
      <w:r w:rsidR="00717C6F"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17 является министерство ТЭК и ЖКХ АО.</w:t>
      </w:r>
    </w:p>
    <w:p w14:paraId="25EA52B2" w14:textId="77777777" w:rsidR="00A51B25" w:rsidRPr="00FD7B0B" w:rsidRDefault="00A51B25" w:rsidP="00A51B25">
      <w:pPr>
        <w:pStyle w:val="ConsPlusNormal"/>
        <w:ind w:firstLine="709"/>
        <w:jc w:val="both"/>
        <w:rPr>
          <w:rFonts w:ascii="Times New Roman" w:hAnsi="Times New Roman"/>
          <w:sz w:val="28"/>
          <w:szCs w:val="28"/>
        </w:rPr>
      </w:pPr>
      <w:r w:rsidRPr="00FD7B0B">
        <w:rPr>
          <w:rFonts w:ascii="Times New Roman" w:hAnsi="Times New Roman"/>
          <w:sz w:val="28"/>
          <w:szCs w:val="28"/>
        </w:rPr>
        <w:t xml:space="preserve">В соответствии с пунктом 5 Положения № 793-пп </w:t>
      </w:r>
      <w:r w:rsidRPr="00FD7B0B">
        <w:rPr>
          <w:rFonts w:ascii="Times New Roman" w:hAnsi="Times New Roman" w:cs="Times New Roman"/>
          <w:sz w:val="28"/>
          <w:szCs w:val="28"/>
        </w:rPr>
        <w:t xml:space="preserve">ГП №17 </w:t>
      </w:r>
      <w:r w:rsidRPr="00FD7B0B">
        <w:rPr>
          <w:rFonts w:ascii="Times New Roman" w:hAnsi="Times New Roman"/>
          <w:sz w:val="28"/>
          <w:szCs w:val="28"/>
        </w:rPr>
        <w:t>в качестве структурных элементов содержит:</w:t>
      </w:r>
    </w:p>
    <w:p w14:paraId="297334EE" w14:textId="77777777" w:rsidR="00A51B25" w:rsidRPr="00FD7B0B" w:rsidRDefault="00A51B25" w:rsidP="00A51B25">
      <w:pPr>
        <w:pStyle w:val="ConsPlusNormal"/>
        <w:ind w:firstLine="709"/>
        <w:jc w:val="both"/>
        <w:rPr>
          <w:rFonts w:ascii="Times New Roman" w:hAnsi="Times New Roman"/>
          <w:sz w:val="28"/>
          <w:szCs w:val="28"/>
        </w:rPr>
      </w:pPr>
      <w:r w:rsidRPr="00FD7B0B">
        <w:rPr>
          <w:rFonts w:ascii="Times New Roman" w:hAnsi="Times New Roman"/>
          <w:sz w:val="28"/>
          <w:szCs w:val="28"/>
        </w:rPr>
        <w:t>– проектная часть: региональный проект «Чистая вода (Архангельская область)» (далее – РП),</w:t>
      </w:r>
    </w:p>
    <w:p w14:paraId="43C26621" w14:textId="77777777" w:rsidR="00A51B25" w:rsidRPr="00FD7B0B" w:rsidRDefault="00A51B25" w:rsidP="00A51B25">
      <w:pPr>
        <w:pStyle w:val="ConsPlusNormal"/>
        <w:ind w:firstLine="709"/>
        <w:jc w:val="both"/>
        <w:rPr>
          <w:rFonts w:ascii="Times New Roman" w:hAnsi="Times New Roman"/>
          <w:sz w:val="28"/>
          <w:szCs w:val="28"/>
        </w:rPr>
      </w:pPr>
      <w:r w:rsidRPr="00FD7B0B">
        <w:rPr>
          <w:rFonts w:ascii="Times New Roman" w:hAnsi="Times New Roman"/>
          <w:sz w:val="28"/>
          <w:szCs w:val="28"/>
        </w:rPr>
        <w:t>– процессная часть: комплекс процессных мероприятий «Создание условий для обеспечения граждан в Архангельской области качественными услугами жилищно-коммунального хозяйства» (далее – КПМ).</w:t>
      </w:r>
    </w:p>
    <w:p w14:paraId="13D4C766" w14:textId="0490518B"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val="en-US" w:eastAsia="ru-RU"/>
        </w:rPr>
        <w:t>C</w:t>
      </w:r>
      <w:r w:rsidRPr="00FD7B0B">
        <w:rPr>
          <w:rFonts w:ascii="Times New Roman" w:eastAsia="Times New Roman" w:hAnsi="Times New Roman" w:cs="Times New Roman"/>
          <w:sz w:val="28"/>
          <w:szCs w:val="28"/>
          <w:lang w:eastAsia="ru-RU"/>
        </w:rPr>
        <w:t>ведения об объемах финансирования мероприятий ГП №17 в разрезе РП и КПМ и источников финансирования представлены в таблице</w:t>
      </w:r>
      <w:r w:rsidR="00717C6F" w:rsidRPr="00FD7B0B">
        <w:rPr>
          <w:rFonts w:ascii="Times New Roman" w:eastAsia="Times New Roman" w:hAnsi="Times New Roman" w:cs="Times New Roman"/>
          <w:sz w:val="28"/>
          <w:szCs w:val="28"/>
          <w:lang w:eastAsia="ru-RU"/>
        </w:rPr>
        <w:t xml:space="preserve"> </w:t>
      </w:r>
      <w:r w:rsidR="00543131" w:rsidRPr="00FD7B0B">
        <w:rPr>
          <w:rFonts w:ascii="Times New Roman" w:eastAsia="Times New Roman" w:hAnsi="Times New Roman" w:cs="Times New Roman"/>
          <w:sz w:val="28"/>
          <w:szCs w:val="28"/>
          <w:lang w:eastAsia="ru-RU"/>
        </w:rPr>
        <w:t>169</w:t>
      </w:r>
      <w:r w:rsidRPr="00FD7B0B">
        <w:rPr>
          <w:rFonts w:ascii="Times New Roman" w:eastAsia="Times New Roman" w:hAnsi="Times New Roman" w:cs="Times New Roman"/>
          <w:sz w:val="28"/>
          <w:szCs w:val="28"/>
          <w:lang w:eastAsia="ru-RU"/>
        </w:rPr>
        <w:t>.</w:t>
      </w:r>
    </w:p>
    <w:p w14:paraId="64F24B80" w14:textId="77777777"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p>
    <w:p w14:paraId="3E475739" w14:textId="2F94F978" w:rsidR="00A51B25" w:rsidRPr="00FD7B0B" w:rsidRDefault="00A51B25" w:rsidP="00A51B25">
      <w:pPr>
        <w:pStyle w:val="aff0"/>
        <w:spacing w:after="0" w:line="240" w:lineRule="auto"/>
        <w:rPr>
          <w:rFonts w:ascii="Times New Roman" w:hAnsi="Times New Roman"/>
          <w:bCs w:val="0"/>
          <w:sz w:val="24"/>
          <w:szCs w:val="24"/>
        </w:rPr>
      </w:pPr>
      <w:r w:rsidRPr="00FD7B0B">
        <w:rPr>
          <w:rFonts w:ascii="Times New Roman" w:eastAsia="Times New Roman" w:hAnsi="Times New Roman"/>
          <w:b w:val="0"/>
          <w:bCs w:val="0"/>
          <w:sz w:val="24"/>
          <w:szCs w:val="24"/>
          <w:lang w:eastAsia="ru-RU"/>
        </w:rPr>
        <w:t xml:space="preserve">Таблица </w:t>
      </w:r>
      <w:r w:rsidRPr="00FD7B0B">
        <w:rPr>
          <w:rFonts w:ascii="Times New Roman" w:eastAsia="Times New Roman" w:hAnsi="Times New Roman"/>
          <w:b w:val="0"/>
          <w:bCs w:val="0"/>
          <w:sz w:val="24"/>
          <w:szCs w:val="24"/>
          <w:lang w:eastAsia="ru-RU"/>
        </w:rPr>
        <w:fldChar w:fldCharType="begin"/>
      </w:r>
      <w:r w:rsidRPr="00FD7B0B">
        <w:rPr>
          <w:rFonts w:ascii="Times New Roman" w:eastAsia="Times New Roman" w:hAnsi="Times New Roman"/>
          <w:b w:val="0"/>
          <w:bCs w:val="0"/>
          <w:sz w:val="24"/>
          <w:szCs w:val="24"/>
          <w:lang w:eastAsia="ru-RU"/>
        </w:rPr>
        <w:instrText xml:space="preserve"> SEQ Таблица \* ARABIC </w:instrText>
      </w:r>
      <w:r w:rsidRPr="00FD7B0B">
        <w:rPr>
          <w:rFonts w:ascii="Times New Roman" w:eastAsia="Times New Roman" w:hAnsi="Times New Roman"/>
          <w:b w:val="0"/>
          <w:bCs w:val="0"/>
          <w:sz w:val="24"/>
          <w:szCs w:val="24"/>
          <w:lang w:eastAsia="ru-RU"/>
        </w:rPr>
        <w:fldChar w:fldCharType="separate"/>
      </w:r>
      <w:r w:rsidR="002959CD" w:rsidRPr="00FD7B0B">
        <w:rPr>
          <w:rFonts w:ascii="Times New Roman" w:eastAsia="Times New Roman" w:hAnsi="Times New Roman"/>
          <w:b w:val="0"/>
          <w:bCs w:val="0"/>
          <w:noProof/>
          <w:sz w:val="24"/>
          <w:szCs w:val="24"/>
          <w:lang w:eastAsia="ru-RU"/>
        </w:rPr>
        <w:t>169</w:t>
      </w:r>
      <w:r w:rsidRPr="00FD7B0B">
        <w:rPr>
          <w:rFonts w:ascii="Times New Roman" w:eastAsia="Times New Roman" w:hAnsi="Times New Roman"/>
          <w:b w:val="0"/>
          <w:bCs w:val="0"/>
          <w:sz w:val="24"/>
          <w:szCs w:val="24"/>
          <w:lang w:eastAsia="ru-RU"/>
        </w:rPr>
        <w:fldChar w:fldCharType="end"/>
      </w:r>
      <w:r w:rsidRPr="00FD7B0B">
        <w:rPr>
          <w:rFonts w:ascii="Times New Roman" w:eastAsia="Times New Roman" w:hAnsi="Times New Roman"/>
          <w:b w:val="0"/>
          <w:bCs w:val="0"/>
          <w:sz w:val="24"/>
          <w:szCs w:val="24"/>
          <w:lang w:eastAsia="ru-RU"/>
        </w:rPr>
        <w:t>. Изменения, внесенные в объемы финансирования мероприятий ГП №</w:t>
      </w:r>
      <w:r w:rsidR="00543131" w:rsidRPr="00FD7B0B">
        <w:rPr>
          <w:rFonts w:ascii="Times New Roman" w:eastAsia="Times New Roman" w:hAnsi="Times New Roman"/>
          <w:b w:val="0"/>
          <w:bCs w:val="0"/>
          <w:sz w:val="24"/>
          <w:szCs w:val="24"/>
          <w:lang w:eastAsia="ru-RU"/>
        </w:rPr>
        <w:t xml:space="preserve"> </w:t>
      </w:r>
      <w:r w:rsidRPr="00FD7B0B">
        <w:rPr>
          <w:rFonts w:ascii="Times New Roman" w:eastAsia="Times New Roman" w:hAnsi="Times New Roman"/>
          <w:b w:val="0"/>
          <w:bCs w:val="0"/>
          <w:sz w:val="24"/>
          <w:szCs w:val="24"/>
          <w:lang w:eastAsia="ru-RU"/>
        </w:rPr>
        <w:t>17 за 2024 год в разрезе структурных элементов и источников финансирования, млн.руб.</w:t>
      </w:r>
    </w:p>
    <w:tbl>
      <w:tblPr>
        <w:tblStyle w:val="a7"/>
        <w:tblW w:w="961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380"/>
        <w:gridCol w:w="1408"/>
        <w:gridCol w:w="1427"/>
        <w:gridCol w:w="1071"/>
        <w:gridCol w:w="1329"/>
      </w:tblGrid>
      <w:tr w:rsidR="00FD7B0B" w:rsidRPr="00FD7B0B" w14:paraId="668E4CB6" w14:textId="77777777" w:rsidTr="00717C6F">
        <w:trPr>
          <w:trHeight w:val="357"/>
          <w:tblHeader/>
        </w:trPr>
        <w:tc>
          <w:tcPr>
            <w:tcW w:w="4380" w:type="dxa"/>
            <w:vMerge w:val="restart"/>
            <w:vAlign w:val="center"/>
          </w:tcPr>
          <w:p w14:paraId="51EA0ADC"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Подпрограмма, источник финансирования</w:t>
            </w:r>
          </w:p>
        </w:tc>
        <w:tc>
          <w:tcPr>
            <w:tcW w:w="1408" w:type="dxa"/>
            <w:vMerge w:val="restart"/>
            <w:vAlign w:val="center"/>
          </w:tcPr>
          <w:p w14:paraId="1AAF7C01"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Редакция ГП на 01.04.2024</w:t>
            </w:r>
          </w:p>
        </w:tc>
        <w:tc>
          <w:tcPr>
            <w:tcW w:w="1427" w:type="dxa"/>
            <w:vMerge w:val="restart"/>
            <w:vAlign w:val="center"/>
          </w:tcPr>
          <w:p w14:paraId="59350349"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Редакция ГП (ред. 26.12.2024) на 31.12.2024</w:t>
            </w:r>
          </w:p>
        </w:tc>
        <w:tc>
          <w:tcPr>
            <w:tcW w:w="2400" w:type="dxa"/>
            <w:gridSpan w:val="2"/>
            <w:vAlign w:val="center"/>
          </w:tcPr>
          <w:p w14:paraId="61CBE7F3"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Изменения за отчетный период (+/-)</w:t>
            </w:r>
          </w:p>
        </w:tc>
      </w:tr>
      <w:tr w:rsidR="00FD7B0B" w:rsidRPr="00FD7B0B" w14:paraId="01987F31" w14:textId="77777777" w:rsidTr="00717C6F">
        <w:trPr>
          <w:trHeight w:val="146"/>
          <w:tblHeader/>
        </w:trPr>
        <w:tc>
          <w:tcPr>
            <w:tcW w:w="4380" w:type="dxa"/>
            <w:vMerge/>
            <w:vAlign w:val="center"/>
          </w:tcPr>
          <w:p w14:paraId="7C21D07C" w14:textId="77777777" w:rsidR="00A51B25" w:rsidRPr="00FD7B0B" w:rsidRDefault="00A51B25" w:rsidP="00A51B25">
            <w:pPr>
              <w:contextualSpacing/>
              <w:jc w:val="center"/>
              <w:rPr>
                <w:rFonts w:ascii="Times New Roman" w:eastAsia="Times New Roman" w:hAnsi="Times New Roman"/>
                <w:sz w:val="18"/>
                <w:szCs w:val="18"/>
              </w:rPr>
            </w:pPr>
          </w:p>
        </w:tc>
        <w:tc>
          <w:tcPr>
            <w:tcW w:w="1408" w:type="dxa"/>
            <w:vMerge/>
            <w:vAlign w:val="center"/>
          </w:tcPr>
          <w:p w14:paraId="3848143E" w14:textId="77777777" w:rsidR="00A51B25" w:rsidRPr="00FD7B0B" w:rsidRDefault="00A51B25" w:rsidP="00A51B25">
            <w:pPr>
              <w:contextualSpacing/>
              <w:jc w:val="center"/>
              <w:rPr>
                <w:rFonts w:ascii="Times New Roman" w:eastAsia="Times New Roman" w:hAnsi="Times New Roman"/>
                <w:sz w:val="18"/>
                <w:szCs w:val="18"/>
              </w:rPr>
            </w:pPr>
          </w:p>
        </w:tc>
        <w:tc>
          <w:tcPr>
            <w:tcW w:w="1427" w:type="dxa"/>
            <w:vMerge/>
            <w:vAlign w:val="center"/>
          </w:tcPr>
          <w:p w14:paraId="403D5747" w14:textId="77777777" w:rsidR="00A51B25" w:rsidRPr="00FD7B0B" w:rsidRDefault="00A51B25" w:rsidP="00A51B25">
            <w:pPr>
              <w:contextualSpacing/>
              <w:jc w:val="center"/>
              <w:rPr>
                <w:rFonts w:ascii="Times New Roman" w:eastAsia="Times New Roman" w:hAnsi="Times New Roman"/>
                <w:sz w:val="18"/>
                <w:szCs w:val="18"/>
              </w:rPr>
            </w:pPr>
          </w:p>
        </w:tc>
        <w:tc>
          <w:tcPr>
            <w:tcW w:w="1071" w:type="dxa"/>
            <w:vAlign w:val="center"/>
          </w:tcPr>
          <w:p w14:paraId="0C4A26F2"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млн.руб.</w:t>
            </w:r>
          </w:p>
        </w:tc>
        <w:tc>
          <w:tcPr>
            <w:tcW w:w="1329" w:type="dxa"/>
            <w:vAlign w:val="center"/>
          </w:tcPr>
          <w:p w14:paraId="13C4D7D3"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w:t>
            </w:r>
          </w:p>
        </w:tc>
      </w:tr>
      <w:tr w:rsidR="00FD7B0B" w:rsidRPr="00FD7B0B" w14:paraId="5E37287F" w14:textId="77777777" w:rsidTr="00717C6F">
        <w:tc>
          <w:tcPr>
            <w:tcW w:w="4380" w:type="dxa"/>
            <w:vAlign w:val="center"/>
          </w:tcPr>
          <w:p w14:paraId="52541D7E"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А</w:t>
            </w:r>
          </w:p>
        </w:tc>
        <w:tc>
          <w:tcPr>
            <w:tcW w:w="1408" w:type="dxa"/>
            <w:vAlign w:val="center"/>
          </w:tcPr>
          <w:p w14:paraId="7FFC486E"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1427" w:type="dxa"/>
            <w:vAlign w:val="center"/>
          </w:tcPr>
          <w:p w14:paraId="0C73B194"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w:t>
            </w:r>
          </w:p>
        </w:tc>
        <w:tc>
          <w:tcPr>
            <w:tcW w:w="1071" w:type="dxa"/>
            <w:vAlign w:val="center"/>
          </w:tcPr>
          <w:p w14:paraId="4D7039EE"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3=2-1</w:t>
            </w:r>
          </w:p>
        </w:tc>
        <w:tc>
          <w:tcPr>
            <w:tcW w:w="1329" w:type="dxa"/>
            <w:vAlign w:val="center"/>
          </w:tcPr>
          <w:p w14:paraId="656B3E05"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3=2/1*100-100</w:t>
            </w:r>
          </w:p>
        </w:tc>
      </w:tr>
      <w:tr w:rsidR="00FD7B0B" w:rsidRPr="00FD7B0B" w14:paraId="36C631E1" w14:textId="77777777" w:rsidTr="00717C6F">
        <w:tc>
          <w:tcPr>
            <w:tcW w:w="4380" w:type="dxa"/>
          </w:tcPr>
          <w:p w14:paraId="05197272" w14:textId="77777777" w:rsidR="00A51B25" w:rsidRPr="00FD7B0B" w:rsidRDefault="00A51B25" w:rsidP="00717C6F">
            <w:pPr>
              <w:contextualSpacing/>
              <w:rPr>
                <w:rFonts w:ascii="Times New Roman" w:eastAsia="Times New Roman" w:hAnsi="Times New Roman"/>
                <w:b/>
              </w:rPr>
            </w:pPr>
            <w:r w:rsidRPr="00FD7B0B">
              <w:rPr>
                <w:rFonts w:ascii="Times New Roman" w:eastAsia="Times New Roman" w:hAnsi="Times New Roman"/>
                <w:b/>
              </w:rPr>
              <w:t>Региональный проект «Чистая вода (Архангельская область)»</w:t>
            </w:r>
          </w:p>
        </w:tc>
        <w:tc>
          <w:tcPr>
            <w:tcW w:w="1408" w:type="dxa"/>
            <w:vAlign w:val="center"/>
          </w:tcPr>
          <w:p w14:paraId="3C483EE1" w14:textId="77777777" w:rsidR="00A51B25" w:rsidRPr="00FD7B0B" w:rsidRDefault="00A51B25" w:rsidP="00A51B25">
            <w:pPr>
              <w:jc w:val="center"/>
              <w:rPr>
                <w:rFonts w:ascii="Times New Roman" w:hAnsi="Times New Roman"/>
              </w:rPr>
            </w:pPr>
            <w:r w:rsidRPr="00FD7B0B">
              <w:rPr>
                <w:rFonts w:ascii="Times New Roman" w:hAnsi="Times New Roman"/>
              </w:rPr>
              <w:t>489,6</w:t>
            </w:r>
          </w:p>
        </w:tc>
        <w:tc>
          <w:tcPr>
            <w:tcW w:w="1427" w:type="dxa"/>
            <w:vAlign w:val="center"/>
          </w:tcPr>
          <w:p w14:paraId="3AA111CF" w14:textId="77777777" w:rsidR="00A51B25" w:rsidRPr="00FD7B0B" w:rsidRDefault="00A51B25" w:rsidP="00A51B25">
            <w:pPr>
              <w:jc w:val="center"/>
              <w:rPr>
                <w:rFonts w:ascii="Times New Roman" w:hAnsi="Times New Roman"/>
              </w:rPr>
            </w:pPr>
            <w:r w:rsidRPr="00FD7B0B">
              <w:rPr>
                <w:rFonts w:ascii="Times New Roman" w:hAnsi="Times New Roman"/>
              </w:rPr>
              <w:t>489,6</w:t>
            </w:r>
          </w:p>
        </w:tc>
        <w:tc>
          <w:tcPr>
            <w:tcW w:w="1071" w:type="dxa"/>
            <w:vAlign w:val="center"/>
          </w:tcPr>
          <w:p w14:paraId="50350465" w14:textId="77777777" w:rsidR="00A51B25" w:rsidRPr="00FD7B0B" w:rsidRDefault="00A51B25" w:rsidP="00A51B25">
            <w:pPr>
              <w:jc w:val="center"/>
              <w:rPr>
                <w:rFonts w:ascii="Times New Roman" w:hAnsi="Times New Roman"/>
              </w:rPr>
            </w:pPr>
            <w:r w:rsidRPr="00FD7B0B">
              <w:rPr>
                <w:rFonts w:ascii="Times New Roman" w:hAnsi="Times New Roman"/>
              </w:rPr>
              <w:t>0,0</w:t>
            </w:r>
          </w:p>
        </w:tc>
        <w:tc>
          <w:tcPr>
            <w:tcW w:w="1329" w:type="dxa"/>
            <w:vAlign w:val="center"/>
          </w:tcPr>
          <w:p w14:paraId="1CF67A80" w14:textId="77777777" w:rsidR="00A51B25" w:rsidRPr="00FD7B0B" w:rsidRDefault="00A51B25" w:rsidP="00A51B25">
            <w:pPr>
              <w:jc w:val="center"/>
              <w:rPr>
                <w:rFonts w:ascii="Times New Roman" w:hAnsi="Times New Roman"/>
              </w:rPr>
            </w:pPr>
            <w:r w:rsidRPr="00FD7B0B">
              <w:rPr>
                <w:rFonts w:ascii="Times New Roman" w:hAnsi="Times New Roman"/>
              </w:rPr>
              <w:t>0,0</w:t>
            </w:r>
          </w:p>
        </w:tc>
      </w:tr>
      <w:tr w:rsidR="00FD7B0B" w:rsidRPr="00FD7B0B" w14:paraId="55528789" w14:textId="77777777" w:rsidTr="00717C6F">
        <w:tc>
          <w:tcPr>
            <w:tcW w:w="4380" w:type="dxa"/>
          </w:tcPr>
          <w:p w14:paraId="6C74531C" w14:textId="77777777" w:rsidR="00A51B25" w:rsidRPr="00FD7B0B" w:rsidRDefault="00A51B25" w:rsidP="00717C6F">
            <w:pPr>
              <w:contextualSpacing/>
              <w:rPr>
                <w:rFonts w:ascii="Times New Roman" w:eastAsia="Times New Roman" w:hAnsi="Times New Roman"/>
              </w:rPr>
            </w:pPr>
            <w:r w:rsidRPr="00FD7B0B">
              <w:rPr>
                <w:rFonts w:ascii="Times New Roman" w:eastAsia="Times New Roman" w:hAnsi="Times New Roman"/>
              </w:rPr>
              <w:t>в том числе областной бюджет</w:t>
            </w:r>
          </w:p>
        </w:tc>
        <w:tc>
          <w:tcPr>
            <w:tcW w:w="1408" w:type="dxa"/>
            <w:vAlign w:val="center"/>
          </w:tcPr>
          <w:p w14:paraId="45A55939" w14:textId="77777777" w:rsidR="00A51B25" w:rsidRPr="00FD7B0B" w:rsidRDefault="00A51B25" w:rsidP="00A51B25">
            <w:pPr>
              <w:jc w:val="center"/>
              <w:rPr>
                <w:rFonts w:ascii="Times New Roman" w:hAnsi="Times New Roman"/>
              </w:rPr>
            </w:pPr>
            <w:r w:rsidRPr="00FD7B0B">
              <w:rPr>
                <w:rFonts w:ascii="Times New Roman" w:hAnsi="Times New Roman"/>
              </w:rPr>
              <w:t>489,2</w:t>
            </w:r>
          </w:p>
        </w:tc>
        <w:tc>
          <w:tcPr>
            <w:tcW w:w="1427" w:type="dxa"/>
            <w:vAlign w:val="center"/>
          </w:tcPr>
          <w:p w14:paraId="735CC9E1" w14:textId="77777777" w:rsidR="00A51B25" w:rsidRPr="00FD7B0B" w:rsidRDefault="00A51B25" w:rsidP="00A51B25">
            <w:pPr>
              <w:jc w:val="center"/>
              <w:rPr>
                <w:rFonts w:ascii="Times New Roman" w:hAnsi="Times New Roman"/>
              </w:rPr>
            </w:pPr>
            <w:r w:rsidRPr="00FD7B0B">
              <w:rPr>
                <w:rFonts w:ascii="Times New Roman" w:hAnsi="Times New Roman"/>
              </w:rPr>
              <w:t>489,2</w:t>
            </w:r>
          </w:p>
        </w:tc>
        <w:tc>
          <w:tcPr>
            <w:tcW w:w="1071" w:type="dxa"/>
            <w:vAlign w:val="center"/>
          </w:tcPr>
          <w:p w14:paraId="49B9A557" w14:textId="77777777" w:rsidR="00A51B25" w:rsidRPr="00FD7B0B" w:rsidRDefault="00A51B25" w:rsidP="00A51B25">
            <w:pPr>
              <w:jc w:val="center"/>
              <w:rPr>
                <w:rFonts w:ascii="Times New Roman" w:hAnsi="Times New Roman"/>
              </w:rPr>
            </w:pPr>
            <w:r w:rsidRPr="00FD7B0B">
              <w:rPr>
                <w:rFonts w:ascii="Times New Roman" w:hAnsi="Times New Roman"/>
              </w:rPr>
              <w:t>0,0</w:t>
            </w:r>
          </w:p>
        </w:tc>
        <w:tc>
          <w:tcPr>
            <w:tcW w:w="1329" w:type="dxa"/>
            <w:vAlign w:val="center"/>
          </w:tcPr>
          <w:p w14:paraId="7208C3F5" w14:textId="77777777" w:rsidR="00A51B25" w:rsidRPr="00FD7B0B" w:rsidRDefault="00A51B25" w:rsidP="00A51B25">
            <w:pPr>
              <w:jc w:val="center"/>
              <w:rPr>
                <w:rFonts w:ascii="Times New Roman" w:hAnsi="Times New Roman"/>
              </w:rPr>
            </w:pPr>
            <w:r w:rsidRPr="00FD7B0B">
              <w:rPr>
                <w:rFonts w:ascii="Times New Roman" w:hAnsi="Times New Roman"/>
              </w:rPr>
              <w:t>0,0</w:t>
            </w:r>
          </w:p>
        </w:tc>
      </w:tr>
      <w:tr w:rsidR="00FD7B0B" w:rsidRPr="00FD7B0B" w14:paraId="788CB37C" w14:textId="77777777" w:rsidTr="00717C6F">
        <w:tc>
          <w:tcPr>
            <w:tcW w:w="4380" w:type="dxa"/>
          </w:tcPr>
          <w:p w14:paraId="5A268496" w14:textId="77777777" w:rsidR="00A51B25" w:rsidRPr="00FD7B0B" w:rsidRDefault="00A51B25" w:rsidP="00717C6F">
            <w:pPr>
              <w:ind w:left="1163"/>
              <w:contextualSpacing/>
              <w:rPr>
                <w:rFonts w:ascii="Times New Roman" w:eastAsia="Times New Roman" w:hAnsi="Times New Roman"/>
              </w:rPr>
            </w:pPr>
            <w:r w:rsidRPr="00FD7B0B">
              <w:rPr>
                <w:rFonts w:ascii="Times New Roman" w:eastAsia="Times New Roman" w:hAnsi="Times New Roman"/>
              </w:rPr>
              <w:t xml:space="preserve">консолидированные бюджеты муниципальных образований </w:t>
            </w:r>
          </w:p>
        </w:tc>
        <w:tc>
          <w:tcPr>
            <w:tcW w:w="1408" w:type="dxa"/>
            <w:vAlign w:val="center"/>
          </w:tcPr>
          <w:p w14:paraId="12B944F6" w14:textId="77777777" w:rsidR="00A51B25" w:rsidRPr="00FD7B0B" w:rsidRDefault="00A51B25" w:rsidP="00A51B25">
            <w:pPr>
              <w:jc w:val="center"/>
              <w:rPr>
                <w:rFonts w:ascii="Times New Roman" w:hAnsi="Times New Roman"/>
              </w:rPr>
            </w:pPr>
            <w:r w:rsidRPr="00FD7B0B">
              <w:rPr>
                <w:rFonts w:ascii="Times New Roman" w:hAnsi="Times New Roman"/>
              </w:rPr>
              <w:t>489,6</w:t>
            </w:r>
          </w:p>
        </w:tc>
        <w:tc>
          <w:tcPr>
            <w:tcW w:w="1427" w:type="dxa"/>
            <w:vAlign w:val="center"/>
          </w:tcPr>
          <w:p w14:paraId="68975C5E" w14:textId="77777777" w:rsidR="00A51B25" w:rsidRPr="00FD7B0B" w:rsidRDefault="00A51B25" w:rsidP="00A51B25">
            <w:pPr>
              <w:jc w:val="center"/>
              <w:rPr>
                <w:rFonts w:ascii="Times New Roman" w:hAnsi="Times New Roman"/>
              </w:rPr>
            </w:pPr>
            <w:r w:rsidRPr="00FD7B0B">
              <w:rPr>
                <w:rFonts w:ascii="Times New Roman" w:hAnsi="Times New Roman"/>
              </w:rPr>
              <w:t>489,6</w:t>
            </w:r>
          </w:p>
        </w:tc>
        <w:tc>
          <w:tcPr>
            <w:tcW w:w="1071" w:type="dxa"/>
            <w:vAlign w:val="center"/>
          </w:tcPr>
          <w:p w14:paraId="11BF7B89" w14:textId="77777777" w:rsidR="00A51B25" w:rsidRPr="00FD7B0B" w:rsidRDefault="00A51B25" w:rsidP="00A51B25">
            <w:pPr>
              <w:jc w:val="center"/>
              <w:rPr>
                <w:rFonts w:ascii="Times New Roman" w:hAnsi="Times New Roman"/>
              </w:rPr>
            </w:pPr>
            <w:r w:rsidRPr="00FD7B0B">
              <w:rPr>
                <w:rFonts w:ascii="Times New Roman" w:hAnsi="Times New Roman"/>
              </w:rPr>
              <w:t>0,0</w:t>
            </w:r>
          </w:p>
        </w:tc>
        <w:tc>
          <w:tcPr>
            <w:tcW w:w="1329" w:type="dxa"/>
            <w:vAlign w:val="center"/>
          </w:tcPr>
          <w:p w14:paraId="79F2F422" w14:textId="77777777" w:rsidR="00A51B25" w:rsidRPr="00FD7B0B" w:rsidRDefault="00A51B25" w:rsidP="00A51B25">
            <w:pPr>
              <w:jc w:val="center"/>
              <w:rPr>
                <w:rFonts w:ascii="Times New Roman" w:hAnsi="Times New Roman"/>
              </w:rPr>
            </w:pPr>
            <w:r w:rsidRPr="00FD7B0B">
              <w:rPr>
                <w:rFonts w:ascii="Times New Roman" w:hAnsi="Times New Roman"/>
              </w:rPr>
              <w:t>0,0</w:t>
            </w:r>
          </w:p>
        </w:tc>
      </w:tr>
      <w:tr w:rsidR="00FD7B0B" w:rsidRPr="00FD7B0B" w14:paraId="5329739C" w14:textId="77777777" w:rsidTr="00717C6F">
        <w:tc>
          <w:tcPr>
            <w:tcW w:w="4380" w:type="dxa"/>
          </w:tcPr>
          <w:p w14:paraId="48CE950E" w14:textId="77777777" w:rsidR="00A51B25" w:rsidRPr="00FD7B0B" w:rsidRDefault="00A51B25" w:rsidP="00717C6F">
            <w:pPr>
              <w:contextualSpacing/>
              <w:rPr>
                <w:rFonts w:ascii="Times New Roman" w:eastAsia="Times New Roman" w:hAnsi="Times New Roman"/>
                <w:b/>
              </w:rPr>
            </w:pPr>
            <w:r w:rsidRPr="00FD7B0B">
              <w:rPr>
                <w:rFonts w:ascii="Times New Roman" w:eastAsia="Times New Roman" w:hAnsi="Times New Roman"/>
                <w:b/>
              </w:rPr>
              <w:t>КПМ</w:t>
            </w:r>
          </w:p>
        </w:tc>
        <w:tc>
          <w:tcPr>
            <w:tcW w:w="1408" w:type="dxa"/>
            <w:vAlign w:val="center"/>
          </w:tcPr>
          <w:p w14:paraId="3839216A" w14:textId="77777777" w:rsidR="00A51B25" w:rsidRPr="00FD7B0B" w:rsidRDefault="00A51B25" w:rsidP="00A51B25">
            <w:pPr>
              <w:jc w:val="center"/>
              <w:rPr>
                <w:rFonts w:ascii="Times New Roman" w:hAnsi="Times New Roman"/>
              </w:rPr>
            </w:pPr>
            <w:r w:rsidRPr="00FD7B0B">
              <w:rPr>
                <w:rFonts w:ascii="Times New Roman" w:hAnsi="Times New Roman"/>
              </w:rPr>
              <w:t>15 779,2</w:t>
            </w:r>
          </w:p>
        </w:tc>
        <w:tc>
          <w:tcPr>
            <w:tcW w:w="1427" w:type="dxa"/>
            <w:vAlign w:val="center"/>
          </w:tcPr>
          <w:p w14:paraId="02C3A57F" w14:textId="77777777" w:rsidR="00A51B25" w:rsidRPr="00FD7B0B" w:rsidRDefault="00A51B25" w:rsidP="00A51B25">
            <w:pPr>
              <w:jc w:val="center"/>
              <w:rPr>
                <w:rFonts w:ascii="Times New Roman" w:hAnsi="Times New Roman"/>
              </w:rPr>
            </w:pPr>
            <w:r w:rsidRPr="00FD7B0B">
              <w:rPr>
                <w:rFonts w:ascii="Times New Roman" w:hAnsi="Times New Roman"/>
              </w:rPr>
              <w:t>16 156,2</w:t>
            </w:r>
          </w:p>
        </w:tc>
        <w:tc>
          <w:tcPr>
            <w:tcW w:w="1071" w:type="dxa"/>
            <w:vAlign w:val="center"/>
          </w:tcPr>
          <w:p w14:paraId="26B09F47" w14:textId="77777777" w:rsidR="00A51B25" w:rsidRPr="00FD7B0B" w:rsidRDefault="00A51B25" w:rsidP="00A51B25">
            <w:pPr>
              <w:jc w:val="center"/>
              <w:rPr>
                <w:rFonts w:ascii="Times New Roman" w:hAnsi="Times New Roman"/>
              </w:rPr>
            </w:pPr>
            <w:r w:rsidRPr="00FD7B0B">
              <w:rPr>
                <w:rFonts w:ascii="Times New Roman" w:hAnsi="Times New Roman"/>
              </w:rPr>
              <w:t>377,0</w:t>
            </w:r>
          </w:p>
        </w:tc>
        <w:tc>
          <w:tcPr>
            <w:tcW w:w="1329" w:type="dxa"/>
            <w:vAlign w:val="center"/>
          </w:tcPr>
          <w:p w14:paraId="60DB2BBA" w14:textId="77777777" w:rsidR="00A51B25" w:rsidRPr="00FD7B0B" w:rsidRDefault="00A51B25" w:rsidP="00A51B25">
            <w:pPr>
              <w:jc w:val="center"/>
              <w:rPr>
                <w:rFonts w:ascii="Times New Roman" w:hAnsi="Times New Roman"/>
              </w:rPr>
            </w:pPr>
            <w:r w:rsidRPr="00FD7B0B">
              <w:rPr>
                <w:rFonts w:ascii="Times New Roman" w:hAnsi="Times New Roman"/>
              </w:rPr>
              <w:t>2,4</w:t>
            </w:r>
          </w:p>
        </w:tc>
      </w:tr>
      <w:tr w:rsidR="00FD7B0B" w:rsidRPr="00FD7B0B" w14:paraId="03AB7292" w14:textId="77777777" w:rsidTr="00717C6F">
        <w:tc>
          <w:tcPr>
            <w:tcW w:w="4380" w:type="dxa"/>
          </w:tcPr>
          <w:p w14:paraId="7844F6DE" w14:textId="77777777" w:rsidR="00A51B25" w:rsidRPr="00FD7B0B" w:rsidRDefault="00A51B25" w:rsidP="00717C6F">
            <w:pPr>
              <w:contextualSpacing/>
              <w:rPr>
                <w:rFonts w:ascii="Times New Roman" w:eastAsia="Times New Roman" w:hAnsi="Times New Roman"/>
              </w:rPr>
            </w:pPr>
            <w:r w:rsidRPr="00FD7B0B">
              <w:rPr>
                <w:rFonts w:ascii="Times New Roman" w:eastAsia="Times New Roman" w:hAnsi="Times New Roman"/>
              </w:rPr>
              <w:t>в том числе областной бюджет</w:t>
            </w:r>
          </w:p>
        </w:tc>
        <w:tc>
          <w:tcPr>
            <w:tcW w:w="1408" w:type="dxa"/>
            <w:vAlign w:val="center"/>
          </w:tcPr>
          <w:p w14:paraId="08BFA2A1" w14:textId="77777777" w:rsidR="00A51B25" w:rsidRPr="00FD7B0B" w:rsidRDefault="00A51B25" w:rsidP="00A51B25">
            <w:pPr>
              <w:jc w:val="center"/>
              <w:rPr>
                <w:rFonts w:ascii="Times New Roman" w:hAnsi="Times New Roman"/>
              </w:rPr>
            </w:pPr>
            <w:r w:rsidRPr="00FD7B0B">
              <w:rPr>
                <w:rFonts w:ascii="Times New Roman" w:hAnsi="Times New Roman"/>
              </w:rPr>
              <w:t>8 215,7</w:t>
            </w:r>
          </w:p>
        </w:tc>
        <w:tc>
          <w:tcPr>
            <w:tcW w:w="1427" w:type="dxa"/>
            <w:vAlign w:val="center"/>
          </w:tcPr>
          <w:p w14:paraId="3ACEB741" w14:textId="77777777" w:rsidR="00A51B25" w:rsidRPr="00FD7B0B" w:rsidRDefault="00A51B25" w:rsidP="00A51B25">
            <w:pPr>
              <w:jc w:val="center"/>
              <w:rPr>
                <w:rFonts w:ascii="Times New Roman" w:hAnsi="Times New Roman"/>
              </w:rPr>
            </w:pPr>
            <w:r w:rsidRPr="00FD7B0B">
              <w:rPr>
                <w:rFonts w:ascii="Times New Roman" w:hAnsi="Times New Roman"/>
              </w:rPr>
              <w:t>11 189,8</w:t>
            </w:r>
          </w:p>
        </w:tc>
        <w:tc>
          <w:tcPr>
            <w:tcW w:w="1071" w:type="dxa"/>
            <w:vAlign w:val="center"/>
          </w:tcPr>
          <w:p w14:paraId="27591E5E" w14:textId="77777777" w:rsidR="00A51B25" w:rsidRPr="00FD7B0B" w:rsidRDefault="00A51B25" w:rsidP="00A51B25">
            <w:pPr>
              <w:jc w:val="center"/>
              <w:rPr>
                <w:rFonts w:ascii="Times New Roman" w:hAnsi="Times New Roman"/>
              </w:rPr>
            </w:pPr>
            <w:r w:rsidRPr="00FD7B0B">
              <w:rPr>
                <w:rFonts w:ascii="Times New Roman" w:hAnsi="Times New Roman"/>
              </w:rPr>
              <w:t>2 974,1</w:t>
            </w:r>
          </w:p>
        </w:tc>
        <w:tc>
          <w:tcPr>
            <w:tcW w:w="1329" w:type="dxa"/>
            <w:vAlign w:val="center"/>
          </w:tcPr>
          <w:p w14:paraId="20EEC940" w14:textId="77777777" w:rsidR="00A51B25" w:rsidRPr="00FD7B0B" w:rsidRDefault="00A51B25" w:rsidP="00A51B25">
            <w:pPr>
              <w:jc w:val="center"/>
              <w:rPr>
                <w:rFonts w:ascii="Times New Roman" w:hAnsi="Times New Roman"/>
              </w:rPr>
            </w:pPr>
            <w:r w:rsidRPr="00FD7B0B">
              <w:rPr>
                <w:rFonts w:ascii="Times New Roman" w:hAnsi="Times New Roman"/>
              </w:rPr>
              <w:t>36,2</w:t>
            </w:r>
          </w:p>
        </w:tc>
      </w:tr>
      <w:tr w:rsidR="00FD7B0B" w:rsidRPr="00FD7B0B" w14:paraId="6CA7F93B" w14:textId="77777777" w:rsidTr="00717C6F">
        <w:tc>
          <w:tcPr>
            <w:tcW w:w="4380" w:type="dxa"/>
          </w:tcPr>
          <w:p w14:paraId="6357081B" w14:textId="77777777" w:rsidR="00A51B25" w:rsidRPr="00FD7B0B" w:rsidRDefault="00A51B25" w:rsidP="00717C6F">
            <w:pPr>
              <w:ind w:left="1163"/>
              <w:contextualSpacing/>
              <w:rPr>
                <w:rFonts w:ascii="Times New Roman" w:eastAsia="Times New Roman" w:hAnsi="Times New Roman"/>
              </w:rPr>
            </w:pPr>
            <w:r w:rsidRPr="00FD7B0B">
              <w:rPr>
                <w:rFonts w:ascii="Times New Roman" w:eastAsia="Times New Roman" w:hAnsi="Times New Roman"/>
              </w:rPr>
              <w:t xml:space="preserve">консолидированные бюджеты муниципальных образований </w:t>
            </w:r>
          </w:p>
        </w:tc>
        <w:tc>
          <w:tcPr>
            <w:tcW w:w="1408" w:type="dxa"/>
            <w:vAlign w:val="center"/>
          </w:tcPr>
          <w:p w14:paraId="1CDECF13" w14:textId="77777777" w:rsidR="00A51B25" w:rsidRPr="00FD7B0B" w:rsidRDefault="00A51B25" w:rsidP="00A51B25">
            <w:pPr>
              <w:jc w:val="center"/>
              <w:rPr>
                <w:rFonts w:ascii="Times New Roman" w:hAnsi="Times New Roman"/>
              </w:rPr>
            </w:pPr>
            <w:r w:rsidRPr="00FD7B0B">
              <w:rPr>
                <w:rFonts w:ascii="Times New Roman" w:hAnsi="Times New Roman"/>
              </w:rPr>
              <w:t>2 370,3</w:t>
            </w:r>
          </w:p>
        </w:tc>
        <w:tc>
          <w:tcPr>
            <w:tcW w:w="1427" w:type="dxa"/>
            <w:vAlign w:val="center"/>
          </w:tcPr>
          <w:p w14:paraId="2ABAC885" w14:textId="77777777" w:rsidR="00A51B25" w:rsidRPr="00FD7B0B" w:rsidRDefault="00A51B25" w:rsidP="00A51B25">
            <w:pPr>
              <w:jc w:val="center"/>
              <w:rPr>
                <w:rFonts w:ascii="Times New Roman" w:hAnsi="Times New Roman"/>
              </w:rPr>
            </w:pPr>
            <w:r w:rsidRPr="00FD7B0B">
              <w:rPr>
                <w:rFonts w:ascii="Times New Roman" w:hAnsi="Times New Roman"/>
              </w:rPr>
              <w:t>2 299,4</w:t>
            </w:r>
          </w:p>
        </w:tc>
        <w:tc>
          <w:tcPr>
            <w:tcW w:w="1071" w:type="dxa"/>
            <w:vAlign w:val="center"/>
          </w:tcPr>
          <w:p w14:paraId="5AAB6E22" w14:textId="77777777" w:rsidR="00A51B25" w:rsidRPr="00FD7B0B" w:rsidRDefault="00A51B25" w:rsidP="00A51B25">
            <w:pPr>
              <w:jc w:val="center"/>
              <w:rPr>
                <w:rFonts w:ascii="Times New Roman" w:hAnsi="Times New Roman"/>
              </w:rPr>
            </w:pPr>
            <w:r w:rsidRPr="00FD7B0B">
              <w:rPr>
                <w:rFonts w:ascii="Times New Roman" w:hAnsi="Times New Roman"/>
              </w:rPr>
              <w:t>-71,0</w:t>
            </w:r>
          </w:p>
        </w:tc>
        <w:tc>
          <w:tcPr>
            <w:tcW w:w="1329" w:type="dxa"/>
            <w:vAlign w:val="center"/>
          </w:tcPr>
          <w:p w14:paraId="7DACE3B1" w14:textId="77777777" w:rsidR="00A51B25" w:rsidRPr="00FD7B0B" w:rsidRDefault="00A51B25" w:rsidP="00A51B25">
            <w:pPr>
              <w:jc w:val="center"/>
              <w:rPr>
                <w:rFonts w:ascii="Times New Roman" w:hAnsi="Times New Roman"/>
              </w:rPr>
            </w:pPr>
            <w:r w:rsidRPr="00FD7B0B">
              <w:rPr>
                <w:rFonts w:ascii="Times New Roman" w:hAnsi="Times New Roman"/>
              </w:rPr>
              <w:t>-3,0</w:t>
            </w:r>
          </w:p>
        </w:tc>
      </w:tr>
      <w:tr w:rsidR="00FD7B0B" w:rsidRPr="00FD7B0B" w14:paraId="34782ABB" w14:textId="77777777" w:rsidTr="00717C6F">
        <w:tc>
          <w:tcPr>
            <w:tcW w:w="4380" w:type="dxa"/>
          </w:tcPr>
          <w:p w14:paraId="03113710" w14:textId="77777777" w:rsidR="00A51B25" w:rsidRPr="00FD7B0B" w:rsidRDefault="00A51B25" w:rsidP="00717C6F">
            <w:pPr>
              <w:ind w:left="1163"/>
              <w:contextualSpacing/>
              <w:rPr>
                <w:rFonts w:ascii="Times New Roman" w:eastAsia="Times New Roman" w:hAnsi="Times New Roman"/>
              </w:rPr>
            </w:pPr>
            <w:r w:rsidRPr="00FD7B0B">
              <w:rPr>
                <w:rFonts w:ascii="Times New Roman" w:eastAsia="Times New Roman" w:hAnsi="Times New Roman"/>
              </w:rPr>
              <w:t>внебюджетные источники</w:t>
            </w:r>
          </w:p>
        </w:tc>
        <w:tc>
          <w:tcPr>
            <w:tcW w:w="1408" w:type="dxa"/>
            <w:vAlign w:val="center"/>
          </w:tcPr>
          <w:p w14:paraId="467A0035" w14:textId="77777777" w:rsidR="00A51B25" w:rsidRPr="00FD7B0B" w:rsidRDefault="00A51B25" w:rsidP="00A51B25">
            <w:pPr>
              <w:jc w:val="center"/>
              <w:rPr>
                <w:rFonts w:ascii="Times New Roman" w:hAnsi="Times New Roman"/>
              </w:rPr>
            </w:pPr>
            <w:r w:rsidRPr="00FD7B0B">
              <w:rPr>
                <w:rFonts w:ascii="Times New Roman" w:hAnsi="Times New Roman"/>
              </w:rPr>
              <w:t>7 496,2</w:t>
            </w:r>
          </w:p>
        </w:tc>
        <w:tc>
          <w:tcPr>
            <w:tcW w:w="1427" w:type="dxa"/>
            <w:vAlign w:val="center"/>
          </w:tcPr>
          <w:p w14:paraId="5166CF37" w14:textId="77777777" w:rsidR="00A51B25" w:rsidRPr="00FD7B0B" w:rsidRDefault="00A51B25" w:rsidP="00A51B25">
            <w:pPr>
              <w:jc w:val="center"/>
              <w:rPr>
                <w:rFonts w:ascii="Times New Roman" w:hAnsi="Times New Roman"/>
              </w:rPr>
            </w:pPr>
            <w:r w:rsidRPr="00FD7B0B">
              <w:rPr>
                <w:rFonts w:ascii="Times New Roman" w:hAnsi="Times New Roman"/>
              </w:rPr>
              <w:t>4 915,0</w:t>
            </w:r>
          </w:p>
        </w:tc>
        <w:tc>
          <w:tcPr>
            <w:tcW w:w="1071" w:type="dxa"/>
            <w:vAlign w:val="center"/>
          </w:tcPr>
          <w:p w14:paraId="70285947" w14:textId="77777777" w:rsidR="00A51B25" w:rsidRPr="00FD7B0B" w:rsidRDefault="00A51B25" w:rsidP="00A51B25">
            <w:pPr>
              <w:jc w:val="center"/>
              <w:rPr>
                <w:rFonts w:ascii="Times New Roman" w:hAnsi="Times New Roman"/>
              </w:rPr>
            </w:pPr>
            <w:r w:rsidRPr="00FD7B0B">
              <w:rPr>
                <w:rFonts w:ascii="Times New Roman" w:hAnsi="Times New Roman"/>
              </w:rPr>
              <w:t>- 2 581,20</w:t>
            </w:r>
          </w:p>
        </w:tc>
        <w:tc>
          <w:tcPr>
            <w:tcW w:w="1329" w:type="dxa"/>
            <w:vAlign w:val="center"/>
          </w:tcPr>
          <w:p w14:paraId="56F5F300" w14:textId="77777777" w:rsidR="00A51B25" w:rsidRPr="00FD7B0B" w:rsidRDefault="00A51B25" w:rsidP="00A51B25">
            <w:pPr>
              <w:jc w:val="center"/>
              <w:rPr>
                <w:rFonts w:ascii="Times New Roman" w:hAnsi="Times New Roman"/>
              </w:rPr>
            </w:pPr>
            <w:r w:rsidRPr="00FD7B0B">
              <w:rPr>
                <w:rFonts w:ascii="Times New Roman" w:hAnsi="Times New Roman"/>
              </w:rPr>
              <w:t>-34,4</w:t>
            </w:r>
          </w:p>
        </w:tc>
      </w:tr>
      <w:tr w:rsidR="00FD7B0B" w:rsidRPr="00FD7B0B" w14:paraId="28B84AE7" w14:textId="77777777" w:rsidTr="00717C6F">
        <w:tc>
          <w:tcPr>
            <w:tcW w:w="4380" w:type="dxa"/>
          </w:tcPr>
          <w:p w14:paraId="010C18B6" w14:textId="77777777" w:rsidR="00A51B25" w:rsidRPr="00FD7B0B" w:rsidRDefault="00A51B25" w:rsidP="00717C6F">
            <w:pPr>
              <w:contextualSpacing/>
              <w:rPr>
                <w:rFonts w:ascii="Times New Roman" w:eastAsia="Times New Roman" w:hAnsi="Times New Roman"/>
                <w:b/>
              </w:rPr>
            </w:pPr>
            <w:r w:rsidRPr="00FD7B0B">
              <w:rPr>
                <w:rFonts w:ascii="Times New Roman" w:eastAsia="Times New Roman" w:hAnsi="Times New Roman"/>
                <w:b/>
              </w:rPr>
              <w:t>Всего по госпрограмме</w:t>
            </w:r>
          </w:p>
        </w:tc>
        <w:tc>
          <w:tcPr>
            <w:tcW w:w="1408" w:type="dxa"/>
            <w:vAlign w:val="center"/>
          </w:tcPr>
          <w:p w14:paraId="481CAA40" w14:textId="77777777" w:rsidR="00A51B25" w:rsidRPr="00FD7B0B" w:rsidRDefault="00A51B25" w:rsidP="00A51B25">
            <w:pPr>
              <w:jc w:val="center"/>
              <w:rPr>
                <w:rFonts w:ascii="Times New Roman" w:hAnsi="Times New Roman"/>
                <w:b/>
              </w:rPr>
            </w:pPr>
            <w:r w:rsidRPr="00FD7B0B">
              <w:rPr>
                <w:rFonts w:ascii="Times New Roman" w:hAnsi="Times New Roman"/>
                <w:b/>
              </w:rPr>
              <w:t>16 268,8</w:t>
            </w:r>
          </w:p>
        </w:tc>
        <w:tc>
          <w:tcPr>
            <w:tcW w:w="1427" w:type="dxa"/>
            <w:vAlign w:val="center"/>
          </w:tcPr>
          <w:p w14:paraId="0EBC3292" w14:textId="77777777" w:rsidR="00A51B25" w:rsidRPr="00FD7B0B" w:rsidRDefault="00A51B25" w:rsidP="00A51B25">
            <w:pPr>
              <w:jc w:val="center"/>
              <w:rPr>
                <w:rFonts w:ascii="Times New Roman" w:hAnsi="Times New Roman"/>
                <w:b/>
              </w:rPr>
            </w:pPr>
            <w:r w:rsidRPr="00FD7B0B">
              <w:rPr>
                <w:rFonts w:ascii="Times New Roman" w:hAnsi="Times New Roman"/>
                <w:b/>
              </w:rPr>
              <w:t>16 645,8</w:t>
            </w:r>
          </w:p>
        </w:tc>
        <w:tc>
          <w:tcPr>
            <w:tcW w:w="1071" w:type="dxa"/>
            <w:vAlign w:val="center"/>
          </w:tcPr>
          <w:p w14:paraId="64ECB765" w14:textId="77777777" w:rsidR="00A51B25" w:rsidRPr="00FD7B0B" w:rsidRDefault="00A51B25" w:rsidP="00A51B25">
            <w:pPr>
              <w:jc w:val="center"/>
              <w:rPr>
                <w:rFonts w:ascii="Times New Roman" w:hAnsi="Times New Roman"/>
                <w:b/>
              </w:rPr>
            </w:pPr>
            <w:r w:rsidRPr="00FD7B0B">
              <w:rPr>
                <w:rFonts w:ascii="Times New Roman" w:hAnsi="Times New Roman"/>
                <w:b/>
              </w:rPr>
              <w:t>377,0</w:t>
            </w:r>
          </w:p>
        </w:tc>
        <w:tc>
          <w:tcPr>
            <w:tcW w:w="1329" w:type="dxa"/>
            <w:vAlign w:val="center"/>
          </w:tcPr>
          <w:p w14:paraId="68448BE9" w14:textId="77777777" w:rsidR="00A51B25" w:rsidRPr="00FD7B0B" w:rsidRDefault="00A51B25" w:rsidP="00A51B25">
            <w:pPr>
              <w:jc w:val="center"/>
              <w:rPr>
                <w:rFonts w:ascii="Times New Roman" w:hAnsi="Times New Roman"/>
                <w:b/>
              </w:rPr>
            </w:pPr>
            <w:r w:rsidRPr="00FD7B0B">
              <w:rPr>
                <w:rFonts w:ascii="Times New Roman" w:hAnsi="Times New Roman"/>
                <w:b/>
              </w:rPr>
              <w:t>2,3</w:t>
            </w:r>
          </w:p>
        </w:tc>
      </w:tr>
      <w:tr w:rsidR="00FD7B0B" w:rsidRPr="00FD7B0B" w14:paraId="5518AEA5" w14:textId="77777777" w:rsidTr="00717C6F">
        <w:tc>
          <w:tcPr>
            <w:tcW w:w="4380" w:type="dxa"/>
          </w:tcPr>
          <w:p w14:paraId="411E50EA" w14:textId="77777777" w:rsidR="00A51B25" w:rsidRPr="00FD7B0B" w:rsidRDefault="00A51B25" w:rsidP="00717C6F">
            <w:pPr>
              <w:contextualSpacing/>
              <w:rPr>
                <w:rFonts w:ascii="Times New Roman" w:eastAsia="Times New Roman" w:hAnsi="Times New Roman"/>
              </w:rPr>
            </w:pPr>
            <w:r w:rsidRPr="00FD7B0B">
              <w:rPr>
                <w:rFonts w:ascii="Times New Roman" w:eastAsia="Times New Roman" w:hAnsi="Times New Roman"/>
              </w:rPr>
              <w:t>в том числе областной бюджет</w:t>
            </w:r>
          </w:p>
        </w:tc>
        <w:tc>
          <w:tcPr>
            <w:tcW w:w="1408" w:type="dxa"/>
            <w:vAlign w:val="center"/>
          </w:tcPr>
          <w:p w14:paraId="43130869" w14:textId="77777777" w:rsidR="00A51B25" w:rsidRPr="00FD7B0B" w:rsidRDefault="00A51B25" w:rsidP="00A51B25">
            <w:pPr>
              <w:jc w:val="center"/>
              <w:rPr>
                <w:rFonts w:ascii="Times New Roman" w:hAnsi="Times New Roman"/>
              </w:rPr>
            </w:pPr>
            <w:r w:rsidRPr="00FD7B0B">
              <w:rPr>
                <w:rFonts w:ascii="Times New Roman" w:hAnsi="Times New Roman"/>
              </w:rPr>
              <w:t>8 704,9</w:t>
            </w:r>
          </w:p>
        </w:tc>
        <w:tc>
          <w:tcPr>
            <w:tcW w:w="1427" w:type="dxa"/>
            <w:vAlign w:val="center"/>
          </w:tcPr>
          <w:p w14:paraId="4C367118" w14:textId="77777777" w:rsidR="00A51B25" w:rsidRPr="00FD7B0B" w:rsidRDefault="00A51B25" w:rsidP="00A51B25">
            <w:pPr>
              <w:jc w:val="center"/>
              <w:rPr>
                <w:rFonts w:ascii="Times New Roman" w:hAnsi="Times New Roman"/>
              </w:rPr>
            </w:pPr>
            <w:r w:rsidRPr="00FD7B0B">
              <w:rPr>
                <w:rFonts w:ascii="Times New Roman" w:hAnsi="Times New Roman"/>
              </w:rPr>
              <w:t>11 679,0</w:t>
            </w:r>
          </w:p>
        </w:tc>
        <w:tc>
          <w:tcPr>
            <w:tcW w:w="1071" w:type="dxa"/>
            <w:vAlign w:val="center"/>
          </w:tcPr>
          <w:p w14:paraId="5F9D9476" w14:textId="77777777" w:rsidR="00A51B25" w:rsidRPr="00FD7B0B" w:rsidRDefault="00A51B25" w:rsidP="00A51B25">
            <w:pPr>
              <w:jc w:val="center"/>
              <w:rPr>
                <w:rFonts w:ascii="Times New Roman" w:hAnsi="Times New Roman"/>
              </w:rPr>
            </w:pPr>
            <w:r w:rsidRPr="00FD7B0B">
              <w:rPr>
                <w:rFonts w:ascii="Times New Roman" w:hAnsi="Times New Roman"/>
              </w:rPr>
              <w:t>2 974,1</w:t>
            </w:r>
          </w:p>
        </w:tc>
        <w:tc>
          <w:tcPr>
            <w:tcW w:w="1329" w:type="dxa"/>
            <w:vAlign w:val="center"/>
          </w:tcPr>
          <w:p w14:paraId="3B555E8A" w14:textId="77777777" w:rsidR="00A51B25" w:rsidRPr="00FD7B0B" w:rsidRDefault="00A51B25" w:rsidP="00A51B25">
            <w:pPr>
              <w:jc w:val="center"/>
              <w:rPr>
                <w:rFonts w:ascii="Times New Roman" w:hAnsi="Times New Roman"/>
              </w:rPr>
            </w:pPr>
            <w:r w:rsidRPr="00FD7B0B">
              <w:rPr>
                <w:rFonts w:ascii="Times New Roman" w:hAnsi="Times New Roman"/>
              </w:rPr>
              <w:t>34,2</w:t>
            </w:r>
          </w:p>
        </w:tc>
      </w:tr>
      <w:tr w:rsidR="00FD7B0B" w:rsidRPr="00FD7B0B" w14:paraId="2AAE16F4" w14:textId="77777777" w:rsidTr="00717C6F">
        <w:tc>
          <w:tcPr>
            <w:tcW w:w="4380" w:type="dxa"/>
          </w:tcPr>
          <w:p w14:paraId="2EF0D9F7" w14:textId="77777777" w:rsidR="00A51B25" w:rsidRPr="00FD7B0B" w:rsidRDefault="00A51B25" w:rsidP="00717C6F">
            <w:pPr>
              <w:ind w:left="1163"/>
              <w:contextualSpacing/>
              <w:rPr>
                <w:rFonts w:ascii="Times New Roman" w:eastAsia="Times New Roman" w:hAnsi="Times New Roman"/>
              </w:rPr>
            </w:pPr>
            <w:r w:rsidRPr="00FD7B0B">
              <w:rPr>
                <w:rFonts w:ascii="Times New Roman" w:eastAsia="Times New Roman" w:hAnsi="Times New Roman"/>
              </w:rPr>
              <w:t xml:space="preserve">консолидированные бюджеты муниципальных образований </w:t>
            </w:r>
          </w:p>
        </w:tc>
        <w:tc>
          <w:tcPr>
            <w:tcW w:w="1408" w:type="dxa"/>
            <w:vAlign w:val="center"/>
          </w:tcPr>
          <w:p w14:paraId="68E6B364" w14:textId="77777777" w:rsidR="00A51B25" w:rsidRPr="00FD7B0B" w:rsidRDefault="00A51B25" w:rsidP="00A51B25">
            <w:pPr>
              <w:jc w:val="center"/>
              <w:rPr>
                <w:rFonts w:ascii="Times New Roman" w:hAnsi="Times New Roman"/>
              </w:rPr>
            </w:pPr>
            <w:r w:rsidRPr="00FD7B0B">
              <w:rPr>
                <w:rFonts w:ascii="Times New Roman" w:hAnsi="Times New Roman"/>
              </w:rPr>
              <w:t>2 860,0</w:t>
            </w:r>
          </w:p>
        </w:tc>
        <w:tc>
          <w:tcPr>
            <w:tcW w:w="1427" w:type="dxa"/>
            <w:vAlign w:val="center"/>
          </w:tcPr>
          <w:p w14:paraId="757CFB49" w14:textId="77777777" w:rsidR="00A51B25" w:rsidRPr="00FD7B0B" w:rsidRDefault="00A51B25" w:rsidP="00A51B25">
            <w:pPr>
              <w:jc w:val="center"/>
              <w:rPr>
                <w:rFonts w:ascii="Times New Roman" w:hAnsi="Times New Roman"/>
              </w:rPr>
            </w:pPr>
            <w:r w:rsidRPr="00FD7B0B">
              <w:rPr>
                <w:rFonts w:ascii="Times New Roman" w:hAnsi="Times New Roman"/>
              </w:rPr>
              <w:t>2 789,0</w:t>
            </w:r>
          </w:p>
        </w:tc>
        <w:tc>
          <w:tcPr>
            <w:tcW w:w="1071" w:type="dxa"/>
            <w:vAlign w:val="center"/>
          </w:tcPr>
          <w:p w14:paraId="56C1184E" w14:textId="77777777" w:rsidR="00A51B25" w:rsidRPr="00FD7B0B" w:rsidRDefault="00A51B25" w:rsidP="00A51B25">
            <w:pPr>
              <w:jc w:val="center"/>
              <w:rPr>
                <w:rFonts w:ascii="Times New Roman" w:hAnsi="Times New Roman"/>
              </w:rPr>
            </w:pPr>
            <w:r w:rsidRPr="00FD7B0B">
              <w:rPr>
                <w:rFonts w:ascii="Times New Roman" w:hAnsi="Times New Roman"/>
              </w:rPr>
              <w:t>-71,0</w:t>
            </w:r>
          </w:p>
        </w:tc>
        <w:tc>
          <w:tcPr>
            <w:tcW w:w="1329" w:type="dxa"/>
            <w:vAlign w:val="center"/>
          </w:tcPr>
          <w:p w14:paraId="48CE3AAF" w14:textId="77777777" w:rsidR="00A51B25" w:rsidRPr="00FD7B0B" w:rsidRDefault="00A51B25" w:rsidP="00A51B25">
            <w:pPr>
              <w:jc w:val="center"/>
              <w:rPr>
                <w:rFonts w:ascii="Times New Roman" w:hAnsi="Times New Roman"/>
              </w:rPr>
            </w:pPr>
            <w:r w:rsidRPr="00FD7B0B">
              <w:rPr>
                <w:rFonts w:ascii="Times New Roman" w:hAnsi="Times New Roman"/>
              </w:rPr>
              <w:t>-2,5</w:t>
            </w:r>
          </w:p>
        </w:tc>
      </w:tr>
      <w:tr w:rsidR="00A51B25" w:rsidRPr="00FD7B0B" w14:paraId="72A7F1C9" w14:textId="77777777" w:rsidTr="00717C6F">
        <w:tc>
          <w:tcPr>
            <w:tcW w:w="4380" w:type="dxa"/>
          </w:tcPr>
          <w:p w14:paraId="73B35E23" w14:textId="77777777" w:rsidR="00A51B25" w:rsidRPr="00FD7B0B" w:rsidRDefault="00A51B25" w:rsidP="00717C6F">
            <w:pPr>
              <w:ind w:left="1163"/>
              <w:contextualSpacing/>
              <w:rPr>
                <w:rFonts w:ascii="Times New Roman" w:eastAsia="Times New Roman" w:hAnsi="Times New Roman"/>
              </w:rPr>
            </w:pPr>
            <w:r w:rsidRPr="00FD7B0B">
              <w:rPr>
                <w:rFonts w:ascii="Times New Roman" w:eastAsia="Times New Roman" w:hAnsi="Times New Roman"/>
              </w:rPr>
              <w:t>внебюджетные источники</w:t>
            </w:r>
          </w:p>
        </w:tc>
        <w:tc>
          <w:tcPr>
            <w:tcW w:w="1408" w:type="dxa"/>
            <w:vAlign w:val="center"/>
          </w:tcPr>
          <w:p w14:paraId="432F5A34" w14:textId="77777777" w:rsidR="00A51B25" w:rsidRPr="00FD7B0B" w:rsidRDefault="00A51B25" w:rsidP="00A51B25">
            <w:pPr>
              <w:jc w:val="center"/>
              <w:rPr>
                <w:rFonts w:ascii="Times New Roman" w:hAnsi="Times New Roman"/>
              </w:rPr>
            </w:pPr>
            <w:r w:rsidRPr="00FD7B0B">
              <w:rPr>
                <w:rFonts w:ascii="Times New Roman" w:hAnsi="Times New Roman"/>
              </w:rPr>
              <w:t>7 496,2</w:t>
            </w:r>
          </w:p>
        </w:tc>
        <w:tc>
          <w:tcPr>
            <w:tcW w:w="1427" w:type="dxa"/>
            <w:vAlign w:val="center"/>
          </w:tcPr>
          <w:p w14:paraId="0AA44F8A" w14:textId="77777777" w:rsidR="00A51B25" w:rsidRPr="00FD7B0B" w:rsidRDefault="00A51B25" w:rsidP="00A51B25">
            <w:pPr>
              <w:jc w:val="center"/>
              <w:rPr>
                <w:rFonts w:ascii="Times New Roman" w:hAnsi="Times New Roman"/>
              </w:rPr>
            </w:pPr>
            <w:r w:rsidRPr="00FD7B0B">
              <w:rPr>
                <w:rFonts w:ascii="Times New Roman" w:hAnsi="Times New Roman"/>
              </w:rPr>
              <w:t>4 915,0</w:t>
            </w:r>
          </w:p>
        </w:tc>
        <w:tc>
          <w:tcPr>
            <w:tcW w:w="1071" w:type="dxa"/>
            <w:vAlign w:val="center"/>
          </w:tcPr>
          <w:p w14:paraId="5C8C2205" w14:textId="77777777" w:rsidR="00A51B25" w:rsidRPr="00FD7B0B" w:rsidRDefault="00A51B25" w:rsidP="00A51B25">
            <w:pPr>
              <w:jc w:val="center"/>
              <w:rPr>
                <w:rFonts w:ascii="Times New Roman" w:hAnsi="Times New Roman"/>
              </w:rPr>
            </w:pPr>
            <w:r w:rsidRPr="00FD7B0B">
              <w:rPr>
                <w:rFonts w:ascii="Times New Roman" w:hAnsi="Times New Roman"/>
              </w:rPr>
              <w:t>-2 581,2</w:t>
            </w:r>
          </w:p>
        </w:tc>
        <w:tc>
          <w:tcPr>
            <w:tcW w:w="1329" w:type="dxa"/>
            <w:vAlign w:val="center"/>
          </w:tcPr>
          <w:p w14:paraId="0701FF33" w14:textId="77777777" w:rsidR="00A51B25" w:rsidRPr="00FD7B0B" w:rsidRDefault="00A51B25" w:rsidP="00A51B25">
            <w:pPr>
              <w:jc w:val="center"/>
              <w:rPr>
                <w:rFonts w:ascii="Times New Roman" w:hAnsi="Times New Roman"/>
              </w:rPr>
            </w:pPr>
            <w:r w:rsidRPr="00FD7B0B">
              <w:rPr>
                <w:rFonts w:ascii="Times New Roman" w:hAnsi="Times New Roman"/>
              </w:rPr>
              <w:t>-34,4</w:t>
            </w:r>
          </w:p>
        </w:tc>
      </w:tr>
    </w:tbl>
    <w:p w14:paraId="2FF396F2" w14:textId="77777777"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p>
    <w:p w14:paraId="27B9418D" w14:textId="68D3029F"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течение отчетного периода областными законами о внесении изменений и дополнений в закон «Об областном бюджете» на 2024 год общая сумма ассигнований на реализацию мероприятий ГП № 17 (в части КПМ) увеличена на 5 501,9 млн.руб. (на 82,1</w:t>
      </w:r>
      <w:r w:rsidR="00543131"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от общей суммы) и на 31.12.2024 составила 12 206,8 млн.руб. Сведения в разрезе структурных элементов и исполнителей Г</w:t>
      </w:r>
      <w:r w:rsidR="00946A67" w:rsidRPr="00FD7B0B">
        <w:rPr>
          <w:rFonts w:ascii="Times New Roman" w:eastAsia="Times New Roman" w:hAnsi="Times New Roman" w:cs="Times New Roman"/>
          <w:sz w:val="28"/>
          <w:szCs w:val="28"/>
          <w:lang w:eastAsia="ru-RU"/>
        </w:rPr>
        <w:t xml:space="preserve">П № 17 представлены в таблице </w:t>
      </w:r>
      <w:r w:rsidR="00543131" w:rsidRPr="00FD7B0B">
        <w:rPr>
          <w:rFonts w:ascii="Times New Roman" w:eastAsia="Times New Roman" w:hAnsi="Times New Roman" w:cs="Times New Roman"/>
          <w:sz w:val="28"/>
          <w:szCs w:val="28"/>
          <w:lang w:eastAsia="ru-RU"/>
        </w:rPr>
        <w:t>170</w:t>
      </w:r>
      <w:r w:rsidRPr="00FD7B0B">
        <w:rPr>
          <w:rFonts w:ascii="Times New Roman" w:eastAsia="Times New Roman" w:hAnsi="Times New Roman" w:cs="Times New Roman"/>
          <w:sz w:val="28"/>
          <w:szCs w:val="28"/>
          <w:lang w:eastAsia="ru-RU"/>
        </w:rPr>
        <w:t>.</w:t>
      </w:r>
    </w:p>
    <w:p w14:paraId="09149106" w14:textId="77777777" w:rsidR="00A51B25" w:rsidRPr="00FD7B0B" w:rsidRDefault="00A51B25" w:rsidP="00946A67">
      <w:pPr>
        <w:spacing w:after="0" w:line="240" w:lineRule="auto"/>
        <w:contextualSpacing/>
        <w:rPr>
          <w:rFonts w:ascii="Times New Roman" w:eastAsia="Times New Roman" w:hAnsi="Times New Roman"/>
          <w:sz w:val="24"/>
          <w:szCs w:val="24"/>
          <w:lang w:eastAsia="ru-RU"/>
        </w:rPr>
      </w:pPr>
    </w:p>
    <w:p w14:paraId="064F7752" w14:textId="77777777" w:rsidR="00DD44FB" w:rsidRPr="00FD7B0B" w:rsidRDefault="00DD44FB" w:rsidP="00946A67">
      <w:pPr>
        <w:spacing w:after="0" w:line="240" w:lineRule="auto"/>
        <w:contextualSpacing/>
        <w:rPr>
          <w:rFonts w:ascii="Times New Roman" w:eastAsia="Times New Roman" w:hAnsi="Times New Roman"/>
          <w:sz w:val="24"/>
          <w:szCs w:val="24"/>
          <w:lang w:eastAsia="ru-RU"/>
        </w:rPr>
      </w:pPr>
    </w:p>
    <w:p w14:paraId="750C3BA3" w14:textId="77777777" w:rsidR="00A51B25" w:rsidRPr="00FD7B0B" w:rsidRDefault="00A51B25" w:rsidP="00946A67">
      <w:pPr>
        <w:spacing w:after="0" w:line="240" w:lineRule="auto"/>
        <w:contextualSpacing/>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lastRenderedPageBreak/>
        <w:t xml:space="preserve">Таблица </w:t>
      </w:r>
      <w:r w:rsidRPr="00FD7B0B">
        <w:rPr>
          <w:rFonts w:ascii="Times New Roman" w:eastAsia="Times New Roman" w:hAnsi="Times New Roman"/>
          <w:sz w:val="24"/>
          <w:szCs w:val="24"/>
          <w:lang w:eastAsia="ru-RU"/>
        </w:rPr>
        <w:fldChar w:fldCharType="begin"/>
      </w:r>
      <w:r w:rsidRPr="00FD7B0B">
        <w:rPr>
          <w:rFonts w:ascii="Times New Roman" w:eastAsia="Times New Roman" w:hAnsi="Times New Roman"/>
          <w:sz w:val="24"/>
          <w:szCs w:val="24"/>
          <w:lang w:eastAsia="ru-RU"/>
        </w:rPr>
        <w:instrText xml:space="preserve"> SEQ Таблица \* ARABIC </w:instrText>
      </w:r>
      <w:r w:rsidRPr="00FD7B0B">
        <w:rPr>
          <w:rFonts w:ascii="Times New Roman" w:eastAsia="Times New Roman" w:hAnsi="Times New Roman"/>
          <w:sz w:val="24"/>
          <w:szCs w:val="24"/>
          <w:lang w:eastAsia="ru-RU"/>
        </w:rPr>
        <w:fldChar w:fldCharType="separate"/>
      </w:r>
      <w:r w:rsidR="002959CD" w:rsidRPr="00FD7B0B">
        <w:rPr>
          <w:rFonts w:ascii="Times New Roman" w:eastAsia="Times New Roman" w:hAnsi="Times New Roman"/>
          <w:noProof/>
          <w:sz w:val="24"/>
          <w:szCs w:val="24"/>
          <w:lang w:eastAsia="ru-RU"/>
        </w:rPr>
        <w:t>170</w:t>
      </w:r>
      <w:r w:rsidRPr="00FD7B0B">
        <w:rPr>
          <w:rFonts w:ascii="Times New Roman" w:eastAsia="Times New Roman" w:hAnsi="Times New Roman"/>
          <w:sz w:val="24"/>
          <w:szCs w:val="24"/>
          <w:lang w:eastAsia="ru-RU"/>
        </w:rPr>
        <w:fldChar w:fldCharType="end"/>
      </w:r>
      <w:r w:rsidRPr="00FD7B0B">
        <w:rPr>
          <w:rFonts w:ascii="Times New Roman" w:eastAsia="Times New Roman" w:hAnsi="Times New Roman"/>
          <w:sz w:val="24"/>
          <w:szCs w:val="24"/>
          <w:lang w:eastAsia="ru-RU"/>
        </w:rPr>
        <w:t>. Показатели областного закона «Об областном бюджете» на 2024 год в части бюджетных ассигнований на реализацию ГП №17 в разрезе структурных элементов и главных распорядителей средств, млн.руб.</w:t>
      </w:r>
    </w:p>
    <w:tbl>
      <w:tblPr>
        <w:tblStyle w:val="a7"/>
        <w:tblW w:w="9625"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380"/>
        <w:gridCol w:w="1559"/>
        <w:gridCol w:w="1560"/>
        <w:gridCol w:w="1134"/>
        <w:gridCol w:w="992"/>
      </w:tblGrid>
      <w:tr w:rsidR="00FD7B0B" w:rsidRPr="00FD7B0B" w14:paraId="4AA9ED54" w14:textId="77777777" w:rsidTr="00946A67">
        <w:trPr>
          <w:trHeight w:val="146"/>
          <w:tblHeader/>
        </w:trPr>
        <w:tc>
          <w:tcPr>
            <w:tcW w:w="4380" w:type="dxa"/>
            <w:vMerge w:val="restart"/>
            <w:vAlign w:val="center"/>
          </w:tcPr>
          <w:p w14:paraId="7158DFB6"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Подпрограмма, исполнитель</w:t>
            </w:r>
          </w:p>
        </w:tc>
        <w:tc>
          <w:tcPr>
            <w:tcW w:w="1559" w:type="dxa"/>
            <w:vMerge w:val="restart"/>
            <w:vAlign w:val="center"/>
          </w:tcPr>
          <w:p w14:paraId="798B40ED"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Закон в ред. на 01.01.2024</w:t>
            </w:r>
          </w:p>
        </w:tc>
        <w:tc>
          <w:tcPr>
            <w:tcW w:w="1560" w:type="dxa"/>
            <w:vMerge w:val="restart"/>
            <w:vAlign w:val="center"/>
          </w:tcPr>
          <w:p w14:paraId="6E46AF05"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Закон в ред. на 31.12.2024</w:t>
            </w:r>
          </w:p>
        </w:tc>
        <w:tc>
          <w:tcPr>
            <w:tcW w:w="2126" w:type="dxa"/>
            <w:gridSpan w:val="2"/>
            <w:vAlign w:val="center"/>
          </w:tcPr>
          <w:p w14:paraId="28B53473"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Изменения (+/-)</w:t>
            </w:r>
          </w:p>
        </w:tc>
      </w:tr>
      <w:tr w:rsidR="00FD7B0B" w:rsidRPr="00FD7B0B" w14:paraId="5253FF8C" w14:textId="77777777" w:rsidTr="00946A67">
        <w:trPr>
          <w:trHeight w:val="47"/>
          <w:tblHeader/>
        </w:trPr>
        <w:tc>
          <w:tcPr>
            <w:tcW w:w="4380" w:type="dxa"/>
            <w:vMerge/>
            <w:vAlign w:val="center"/>
          </w:tcPr>
          <w:p w14:paraId="74028947" w14:textId="77777777" w:rsidR="00A51B25" w:rsidRPr="00FD7B0B" w:rsidRDefault="00A51B25" w:rsidP="00A51B25">
            <w:pPr>
              <w:contextualSpacing/>
              <w:jc w:val="center"/>
              <w:rPr>
                <w:rFonts w:ascii="Times New Roman" w:eastAsia="Times New Roman" w:hAnsi="Times New Roman"/>
              </w:rPr>
            </w:pPr>
          </w:p>
        </w:tc>
        <w:tc>
          <w:tcPr>
            <w:tcW w:w="1559" w:type="dxa"/>
            <w:vMerge/>
            <w:vAlign w:val="center"/>
          </w:tcPr>
          <w:p w14:paraId="205959DD" w14:textId="77777777" w:rsidR="00A51B25" w:rsidRPr="00FD7B0B" w:rsidRDefault="00A51B25" w:rsidP="00A51B25">
            <w:pPr>
              <w:contextualSpacing/>
              <w:jc w:val="center"/>
              <w:rPr>
                <w:rFonts w:ascii="Times New Roman" w:eastAsia="Times New Roman" w:hAnsi="Times New Roman"/>
              </w:rPr>
            </w:pPr>
          </w:p>
        </w:tc>
        <w:tc>
          <w:tcPr>
            <w:tcW w:w="1560" w:type="dxa"/>
            <w:vMerge/>
            <w:vAlign w:val="center"/>
          </w:tcPr>
          <w:p w14:paraId="1ED92A82" w14:textId="77777777" w:rsidR="00A51B25" w:rsidRPr="00FD7B0B" w:rsidRDefault="00A51B25" w:rsidP="00A51B25">
            <w:pPr>
              <w:contextualSpacing/>
              <w:jc w:val="center"/>
              <w:rPr>
                <w:rFonts w:ascii="Times New Roman" w:eastAsia="Times New Roman" w:hAnsi="Times New Roman"/>
              </w:rPr>
            </w:pPr>
          </w:p>
        </w:tc>
        <w:tc>
          <w:tcPr>
            <w:tcW w:w="1134" w:type="dxa"/>
            <w:vAlign w:val="center"/>
          </w:tcPr>
          <w:p w14:paraId="0C40920D"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млн.руб.</w:t>
            </w:r>
          </w:p>
        </w:tc>
        <w:tc>
          <w:tcPr>
            <w:tcW w:w="992" w:type="dxa"/>
            <w:vAlign w:val="center"/>
          </w:tcPr>
          <w:p w14:paraId="242FA184"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w:t>
            </w:r>
          </w:p>
        </w:tc>
      </w:tr>
      <w:tr w:rsidR="00FD7B0B" w:rsidRPr="00FD7B0B" w14:paraId="55B8F9A9" w14:textId="77777777" w:rsidTr="00DD44FB">
        <w:trPr>
          <w:trHeight w:hRule="exact" w:val="240"/>
        </w:trPr>
        <w:tc>
          <w:tcPr>
            <w:tcW w:w="4380" w:type="dxa"/>
            <w:vAlign w:val="center"/>
          </w:tcPr>
          <w:p w14:paraId="7B7F7958" w14:textId="0EDBF2B1" w:rsidR="00A51B25" w:rsidRPr="00FD7B0B" w:rsidRDefault="00A51B25" w:rsidP="00946A67">
            <w:pPr>
              <w:rPr>
                <w:rFonts w:ascii="Times New Roman" w:hAnsi="Times New Roman"/>
                <w:b/>
              </w:rPr>
            </w:pPr>
            <w:r w:rsidRPr="00FD7B0B">
              <w:rPr>
                <w:rFonts w:ascii="Times New Roman" w:hAnsi="Times New Roman"/>
                <w:b/>
              </w:rPr>
              <w:t>Региональный проект "Чис</w:t>
            </w:r>
            <w:r w:rsidR="00DD44FB" w:rsidRPr="00FD7B0B">
              <w:rPr>
                <w:rFonts w:ascii="Times New Roman" w:hAnsi="Times New Roman"/>
                <w:b/>
              </w:rPr>
              <w:t>тая вода</w:t>
            </w:r>
            <w:r w:rsidRPr="00FD7B0B">
              <w:rPr>
                <w:rFonts w:ascii="Times New Roman" w:hAnsi="Times New Roman"/>
                <w:b/>
              </w:rPr>
              <w:t>"</w:t>
            </w:r>
          </w:p>
        </w:tc>
        <w:tc>
          <w:tcPr>
            <w:tcW w:w="1559" w:type="dxa"/>
            <w:vAlign w:val="center"/>
          </w:tcPr>
          <w:p w14:paraId="645F1CDA" w14:textId="77777777" w:rsidR="00A51B25" w:rsidRPr="00FD7B0B" w:rsidRDefault="00A51B25" w:rsidP="00A51B25">
            <w:pPr>
              <w:jc w:val="center"/>
              <w:rPr>
                <w:rFonts w:ascii="Times New Roman" w:hAnsi="Times New Roman"/>
                <w:b/>
              </w:rPr>
            </w:pPr>
            <w:r w:rsidRPr="00FD7B0B">
              <w:rPr>
                <w:rFonts w:ascii="Times New Roman" w:hAnsi="Times New Roman"/>
                <w:b/>
              </w:rPr>
              <w:t>489,2</w:t>
            </w:r>
          </w:p>
        </w:tc>
        <w:tc>
          <w:tcPr>
            <w:tcW w:w="1560" w:type="dxa"/>
            <w:vAlign w:val="center"/>
          </w:tcPr>
          <w:p w14:paraId="2FE2C903" w14:textId="77777777" w:rsidR="00A51B25" w:rsidRPr="00FD7B0B" w:rsidRDefault="00A51B25" w:rsidP="00A51B25">
            <w:pPr>
              <w:jc w:val="center"/>
              <w:rPr>
                <w:rFonts w:ascii="Times New Roman" w:hAnsi="Times New Roman"/>
                <w:b/>
              </w:rPr>
            </w:pPr>
            <w:r w:rsidRPr="00FD7B0B">
              <w:rPr>
                <w:rFonts w:ascii="Times New Roman" w:hAnsi="Times New Roman"/>
                <w:b/>
              </w:rPr>
              <w:t>489,2</w:t>
            </w:r>
          </w:p>
        </w:tc>
        <w:tc>
          <w:tcPr>
            <w:tcW w:w="1134" w:type="dxa"/>
            <w:vAlign w:val="center"/>
          </w:tcPr>
          <w:p w14:paraId="2A464E8F" w14:textId="77777777" w:rsidR="00A51B25" w:rsidRPr="00FD7B0B" w:rsidRDefault="00A51B25" w:rsidP="00A51B25">
            <w:pPr>
              <w:jc w:val="center"/>
              <w:rPr>
                <w:rFonts w:ascii="Times New Roman" w:hAnsi="Times New Roman"/>
                <w:b/>
              </w:rPr>
            </w:pPr>
            <w:r w:rsidRPr="00FD7B0B">
              <w:rPr>
                <w:rFonts w:ascii="Times New Roman" w:hAnsi="Times New Roman"/>
                <w:b/>
              </w:rPr>
              <w:t>0,0</w:t>
            </w:r>
          </w:p>
        </w:tc>
        <w:tc>
          <w:tcPr>
            <w:tcW w:w="992" w:type="dxa"/>
            <w:vAlign w:val="center"/>
          </w:tcPr>
          <w:p w14:paraId="66408EF3" w14:textId="77777777" w:rsidR="00A51B25" w:rsidRPr="00FD7B0B" w:rsidRDefault="00A51B25" w:rsidP="00A51B25">
            <w:pPr>
              <w:jc w:val="center"/>
              <w:rPr>
                <w:rFonts w:ascii="Times New Roman" w:hAnsi="Times New Roman"/>
                <w:b/>
              </w:rPr>
            </w:pPr>
            <w:r w:rsidRPr="00FD7B0B">
              <w:rPr>
                <w:rFonts w:ascii="Times New Roman" w:hAnsi="Times New Roman"/>
                <w:b/>
              </w:rPr>
              <w:t>0,0</w:t>
            </w:r>
          </w:p>
        </w:tc>
      </w:tr>
      <w:tr w:rsidR="00FD7B0B" w:rsidRPr="00FD7B0B" w14:paraId="5ECEB633" w14:textId="77777777" w:rsidTr="00946A67">
        <w:trPr>
          <w:trHeight w:hRule="exact" w:val="255"/>
        </w:trPr>
        <w:tc>
          <w:tcPr>
            <w:tcW w:w="4380" w:type="dxa"/>
            <w:vAlign w:val="center"/>
          </w:tcPr>
          <w:p w14:paraId="344EAC20" w14:textId="77777777" w:rsidR="00A51B25" w:rsidRPr="00FD7B0B" w:rsidRDefault="00A51B25" w:rsidP="00946A67">
            <w:pPr>
              <w:rPr>
                <w:rFonts w:ascii="Times New Roman" w:hAnsi="Times New Roman"/>
              </w:rPr>
            </w:pPr>
            <w:r w:rsidRPr="00FD7B0B">
              <w:rPr>
                <w:rFonts w:ascii="Times New Roman" w:hAnsi="Times New Roman"/>
              </w:rPr>
              <w:t xml:space="preserve">Министерство ТЭК и ЖКХ </w:t>
            </w:r>
          </w:p>
        </w:tc>
        <w:tc>
          <w:tcPr>
            <w:tcW w:w="1559" w:type="dxa"/>
            <w:vAlign w:val="center"/>
          </w:tcPr>
          <w:p w14:paraId="492E1866" w14:textId="77777777" w:rsidR="00A51B25" w:rsidRPr="00FD7B0B" w:rsidRDefault="00A51B25" w:rsidP="00A51B25">
            <w:pPr>
              <w:jc w:val="center"/>
              <w:rPr>
                <w:rFonts w:ascii="Times New Roman" w:hAnsi="Times New Roman"/>
              </w:rPr>
            </w:pPr>
            <w:r w:rsidRPr="00FD7B0B">
              <w:rPr>
                <w:rFonts w:ascii="Times New Roman" w:hAnsi="Times New Roman"/>
              </w:rPr>
              <w:t>489,2</w:t>
            </w:r>
          </w:p>
        </w:tc>
        <w:tc>
          <w:tcPr>
            <w:tcW w:w="1560" w:type="dxa"/>
            <w:vAlign w:val="center"/>
          </w:tcPr>
          <w:p w14:paraId="086AD38E" w14:textId="77777777" w:rsidR="00A51B25" w:rsidRPr="00FD7B0B" w:rsidRDefault="00A51B25" w:rsidP="00A51B25">
            <w:pPr>
              <w:jc w:val="center"/>
              <w:rPr>
                <w:rFonts w:ascii="Times New Roman" w:hAnsi="Times New Roman"/>
              </w:rPr>
            </w:pPr>
            <w:r w:rsidRPr="00FD7B0B">
              <w:rPr>
                <w:rFonts w:ascii="Times New Roman" w:hAnsi="Times New Roman"/>
              </w:rPr>
              <w:t>489,2</w:t>
            </w:r>
          </w:p>
        </w:tc>
        <w:tc>
          <w:tcPr>
            <w:tcW w:w="1134" w:type="dxa"/>
            <w:vAlign w:val="center"/>
          </w:tcPr>
          <w:p w14:paraId="0542A18B" w14:textId="77777777" w:rsidR="00A51B25" w:rsidRPr="00FD7B0B" w:rsidRDefault="00A51B25" w:rsidP="00A51B25">
            <w:pPr>
              <w:jc w:val="center"/>
              <w:rPr>
                <w:rFonts w:ascii="Times New Roman" w:hAnsi="Times New Roman"/>
              </w:rPr>
            </w:pPr>
            <w:r w:rsidRPr="00FD7B0B">
              <w:rPr>
                <w:rFonts w:ascii="Times New Roman" w:hAnsi="Times New Roman"/>
              </w:rPr>
              <w:t>0,0</w:t>
            </w:r>
          </w:p>
        </w:tc>
        <w:tc>
          <w:tcPr>
            <w:tcW w:w="992" w:type="dxa"/>
            <w:vAlign w:val="center"/>
          </w:tcPr>
          <w:p w14:paraId="683BF263" w14:textId="77777777" w:rsidR="00A51B25" w:rsidRPr="00FD7B0B" w:rsidRDefault="00A51B25" w:rsidP="00A51B25">
            <w:pPr>
              <w:jc w:val="center"/>
              <w:rPr>
                <w:rFonts w:ascii="Times New Roman" w:hAnsi="Times New Roman"/>
              </w:rPr>
            </w:pPr>
            <w:r w:rsidRPr="00FD7B0B">
              <w:rPr>
                <w:rFonts w:ascii="Times New Roman" w:hAnsi="Times New Roman"/>
              </w:rPr>
              <w:t>0,0</w:t>
            </w:r>
          </w:p>
        </w:tc>
      </w:tr>
      <w:tr w:rsidR="00FD7B0B" w:rsidRPr="00FD7B0B" w14:paraId="12B5E7E8" w14:textId="77777777" w:rsidTr="00946A67">
        <w:trPr>
          <w:trHeight w:hRule="exact" w:val="255"/>
        </w:trPr>
        <w:tc>
          <w:tcPr>
            <w:tcW w:w="4380" w:type="dxa"/>
            <w:vAlign w:val="center"/>
          </w:tcPr>
          <w:p w14:paraId="3B30B47E" w14:textId="77777777" w:rsidR="00A51B25" w:rsidRPr="00FD7B0B" w:rsidRDefault="00A51B25" w:rsidP="00946A67">
            <w:pPr>
              <w:rPr>
                <w:rFonts w:ascii="Times New Roman" w:hAnsi="Times New Roman"/>
                <w:b/>
              </w:rPr>
            </w:pPr>
            <w:r w:rsidRPr="00FD7B0B">
              <w:rPr>
                <w:rFonts w:ascii="Times New Roman" w:hAnsi="Times New Roman"/>
                <w:b/>
              </w:rPr>
              <w:t>КПМ</w:t>
            </w:r>
          </w:p>
        </w:tc>
        <w:tc>
          <w:tcPr>
            <w:tcW w:w="1559" w:type="dxa"/>
            <w:vAlign w:val="center"/>
          </w:tcPr>
          <w:p w14:paraId="56892A2D" w14:textId="77777777" w:rsidR="00A51B25" w:rsidRPr="00FD7B0B" w:rsidRDefault="00A51B25" w:rsidP="00A51B25">
            <w:pPr>
              <w:jc w:val="center"/>
              <w:rPr>
                <w:rFonts w:ascii="Times New Roman" w:hAnsi="Times New Roman"/>
                <w:b/>
              </w:rPr>
            </w:pPr>
            <w:r w:rsidRPr="00FD7B0B">
              <w:rPr>
                <w:rFonts w:ascii="Times New Roman" w:hAnsi="Times New Roman"/>
                <w:b/>
              </w:rPr>
              <w:t>6 215,7</w:t>
            </w:r>
          </w:p>
        </w:tc>
        <w:tc>
          <w:tcPr>
            <w:tcW w:w="1560" w:type="dxa"/>
            <w:vAlign w:val="center"/>
          </w:tcPr>
          <w:p w14:paraId="6723E978" w14:textId="77777777" w:rsidR="00A51B25" w:rsidRPr="00FD7B0B" w:rsidRDefault="00A51B25" w:rsidP="00A51B25">
            <w:pPr>
              <w:jc w:val="center"/>
              <w:rPr>
                <w:rFonts w:ascii="Times New Roman" w:hAnsi="Times New Roman"/>
                <w:b/>
              </w:rPr>
            </w:pPr>
            <w:r w:rsidRPr="00FD7B0B">
              <w:rPr>
                <w:rFonts w:ascii="Times New Roman" w:hAnsi="Times New Roman"/>
                <w:b/>
              </w:rPr>
              <w:t>11 717,6</w:t>
            </w:r>
          </w:p>
        </w:tc>
        <w:tc>
          <w:tcPr>
            <w:tcW w:w="1134" w:type="dxa"/>
            <w:vAlign w:val="center"/>
          </w:tcPr>
          <w:p w14:paraId="67C09ABA" w14:textId="77777777" w:rsidR="00A51B25" w:rsidRPr="00FD7B0B" w:rsidRDefault="00A51B25" w:rsidP="00A51B25">
            <w:pPr>
              <w:jc w:val="center"/>
              <w:rPr>
                <w:rFonts w:ascii="Times New Roman" w:hAnsi="Times New Roman"/>
                <w:b/>
              </w:rPr>
            </w:pPr>
            <w:r w:rsidRPr="00FD7B0B">
              <w:rPr>
                <w:rFonts w:ascii="Times New Roman" w:hAnsi="Times New Roman"/>
                <w:b/>
              </w:rPr>
              <w:t>5 501,9</w:t>
            </w:r>
          </w:p>
        </w:tc>
        <w:tc>
          <w:tcPr>
            <w:tcW w:w="992" w:type="dxa"/>
            <w:vAlign w:val="center"/>
          </w:tcPr>
          <w:p w14:paraId="62FCAE41" w14:textId="77777777" w:rsidR="00A51B25" w:rsidRPr="00FD7B0B" w:rsidRDefault="00A51B25" w:rsidP="00A51B25">
            <w:pPr>
              <w:jc w:val="center"/>
              <w:rPr>
                <w:rFonts w:ascii="Times New Roman" w:hAnsi="Times New Roman"/>
                <w:b/>
              </w:rPr>
            </w:pPr>
            <w:r w:rsidRPr="00FD7B0B">
              <w:rPr>
                <w:rFonts w:ascii="Times New Roman" w:hAnsi="Times New Roman"/>
                <w:b/>
              </w:rPr>
              <w:t>88,5</w:t>
            </w:r>
          </w:p>
        </w:tc>
      </w:tr>
      <w:tr w:rsidR="00FD7B0B" w:rsidRPr="00FD7B0B" w14:paraId="1B634F2D" w14:textId="77777777" w:rsidTr="00946A67">
        <w:trPr>
          <w:trHeight w:hRule="exact" w:val="255"/>
        </w:trPr>
        <w:tc>
          <w:tcPr>
            <w:tcW w:w="4380" w:type="dxa"/>
            <w:vAlign w:val="center"/>
          </w:tcPr>
          <w:p w14:paraId="678E5F29" w14:textId="77777777" w:rsidR="00A51B25" w:rsidRPr="00FD7B0B" w:rsidRDefault="00A51B25" w:rsidP="00946A67">
            <w:pPr>
              <w:rPr>
                <w:rFonts w:ascii="Times New Roman" w:hAnsi="Times New Roman"/>
              </w:rPr>
            </w:pPr>
            <w:r w:rsidRPr="00FD7B0B">
              <w:rPr>
                <w:rFonts w:ascii="Times New Roman" w:hAnsi="Times New Roman"/>
              </w:rPr>
              <w:t xml:space="preserve">Министерство ТЭК и ЖКХ </w:t>
            </w:r>
          </w:p>
        </w:tc>
        <w:tc>
          <w:tcPr>
            <w:tcW w:w="1559" w:type="dxa"/>
            <w:vAlign w:val="center"/>
          </w:tcPr>
          <w:p w14:paraId="5BE5845B" w14:textId="77777777" w:rsidR="00A51B25" w:rsidRPr="00FD7B0B" w:rsidRDefault="00A51B25" w:rsidP="00A51B25">
            <w:pPr>
              <w:jc w:val="center"/>
              <w:rPr>
                <w:rFonts w:ascii="Times New Roman" w:hAnsi="Times New Roman"/>
              </w:rPr>
            </w:pPr>
            <w:r w:rsidRPr="00FD7B0B">
              <w:rPr>
                <w:rFonts w:ascii="Times New Roman" w:hAnsi="Times New Roman"/>
              </w:rPr>
              <w:t>6 119,0</w:t>
            </w:r>
          </w:p>
        </w:tc>
        <w:tc>
          <w:tcPr>
            <w:tcW w:w="1560" w:type="dxa"/>
            <w:vAlign w:val="center"/>
          </w:tcPr>
          <w:p w14:paraId="0F137672" w14:textId="77777777" w:rsidR="00A51B25" w:rsidRPr="00FD7B0B" w:rsidRDefault="00A51B25" w:rsidP="00A51B25">
            <w:pPr>
              <w:jc w:val="center"/>
              <w:rPr>
                <w:rFonts w:ascii="Times New Roman" w:hAnsi="Times New Roman"/>
              </w:rPr>
            </w:pPr>
            <w:r w:rsidRPr="00FD7B0B">
              <w:rPr>
                <w:rFonts w:ascii="Times New Roman" w:hAnsi="Times New Roman"/>
              </w:rPr>
              <w:t>11 620,9</w:t>
            </w:r>
          </w:p>
        </w:tc>
        <w:tc>
          <w:tcPr>
            <w:tcW w:w="1134" w:type="dxa"/>
            <w:vAlign w:val="center"/>
          </w:tcPr>
          <w:p w14:paraId="78B3AFA7" w14:textId="77777777" w:rsidR="00A51B25" w:rsidRPr="00FD7B0B" w:rsidRDefault="00A51B25" w:rsidP="00A51B25">
            <w:pPr>
              <w:jc w:val="center"/>
              <w:rPr>
                <w:rFonts w:ascii="Times New Roman" w:hAnsi="Times New Roman"/>
                <w:lang w:val="en-US"/>
              </w:rPr>
            </w:pPr>
            <w:r w:rsidRPr="00FD7B0B">
              <w:rPr>
                <w:rFonts w:ascii="Times New Roman" w:hAnsi="Times New Roman"/>
              </w:rPr>
              <w:t>5 501,</w:t>
            </w:r>
            <w:r w:rsidRPr="00FD7B0B">
              <w:rPr>
                <w:rFonts w:ascii="Times New Roman" w:hAnsi="Times New Roman"/>
                <w:lang w:val="en-US"/>
              </w:rPr>
              <w:t>9</w:t>
            </w:r>
          </w:p>
        </w:tc>
        <w:tc>
          <w:tcPr>
            <w:tcW w:w="992" w:type="dxa"/>
            <w:vAlign w:val="center"/>
          </w:tcPr>
          <w:p w14:paraId="20669B5F" w14:textId="77777777" w:rsidR="00A51B25" w:rsidRPr="00FD7B0B" w:rsidRDefault="00A51B25" w:rsidP="00A51B25">
            <w:pPr>
              <w:jc w:val="center"/>
              <w:rPr>
                <w:rFonts w:ascii="Times New Roman" w:hAnsi="Times New Roman"/>
              </w:rPr>
            </w:pPr>
            <w:r w:rsidRPr="00FD7B0B">
              <w:rPr>
                <w:rFonts w:ascii="Times New Roman" w:hAnsi="Times New Roman"/>
              </w:rPr>
              <w:t>89,9</w:t>
            </w:r>
          </w:p>
        </w:tc>
      </w:tr>
      <w:tr w:rsidR="00FD7B0B" w:rsidRPr="00FD7B0B" w14:paraId="2AA7C030" w14:textId="77777777" w:rsidTr="00946A67">
        <w:trPr>
          <w:trHeight w:val="307"/>
        </w:trPr>
        <w:tc>
          <w:tcPr>
            <w:tcW w:w="4380" w:type="dxa"/>
            <w:vAlign w:val="center"/>
          </w:tcPr>
          <w:p w14:paraId="4BE125A6" w14:textId="77777777" w:rsidR="00A51B25" w:rsidRPr="00FD7B0B" w:rsidRDefault="00A51B25" w:rsidP="00946A67">
            <w:pPr>
              <w:rPr>
                <w:rFonts w:ascii="Times New Roman" w:hAnsi="Times New Roman"/>
              </w:rPr>
            </w:pPr>
            <w:r w:rsidRPr="00FD7B0B">
              <w:rPr>
                <w:rFonts w:ascii="Times New Roman" w:hAnsi="Times New Roman"/>
              </w:rPr>
              <w:t>Государственная жилищная инспекция Архангельской области</w:t>
            </w:r>
          </w:p>
        </w:tc>
        <w:tc>
          <w:tcPr>
            <w:tcW w:w="1559" w:type="dxa"/>
            <w:vAlign w:val="center"/>
          </w:tcPr>
          <w:p w14:paraId="176E22E8" w14:textId="77777777" w:rsidR="00A51B25" w:rsidRPr="00FD7B0B" w:rsidRDefault="00A51B25" w:rsidP="00A51B25">
            <w:pPr>
              <w:jc w:val="center"/>
              <w:rPr>
                <w:rFonts w:ascii="Times New Roman" w:hAnsi="Times New Roman"/>
              </w:rPr>
            </w:pPr>
            <w:r w:rsidRPr="00FD7B0B">
              <w:rPr>
                <w:rFonts w:ascii="Times New Roman" w:hAnsi="Times New Roman"/>
              </w:rPr>
              <w:t>96,7</w:t>
            </w:r>
          </w:p>
        </w:tc>
        <w:tc>
          <w:tcPr>
            <w:tcW w:w="1560" w:type="dxa"/>
            <w:vAlign w:val="center"/>
          </w:tcPr>
          <w:p w14:paraId="773DCA56" w14:textId="77777777" w:rsidR="00A51B25" w:rsidRPr="00FD7B0B" w:rsidRDefault="00A51B25" w:rsidP="00A51B25">
            <w:pPr>
              <w:jc w:val="center"/>
              <w:rPr>
                <w:rFonts w:ascii="Times New Roman" w:hAnsi="Times New Roman"/>
              </w:rPr>
            </w:pPr>
            <w:r w:rsidRPr="00FD7B0B">
              <w:rPr>
                <w:rFonts w:ascii="Times New Roman" w:hAnsi="Times New Roman"/>
              </w:rPr>
              <w:t>96,7</w:t>
            </w:r>
          </w:p>
        </w:tc>
        <w:tc>
          <w:tcPr>
            <w:tcW w:w="1134" w:type="dxa"/>
            <w:vAlign w:val="center"/>
          </w:tcPr>
          <w:p w14:paraId="18883DF4" w14:textId="77777777" w:rsidR="00A51B25" w:rsidRPr="00FD7B0B" w:rsidRDefault="00A51B25" w:rsidP="00A51B25">
            <w:pPr>
              <w:jc w:val="center"/>
              <w:rPr>
                <w:rFonts w:ascii="Times New Roman" w:hAnsi="Times New Roman"/>
              </w:rPr>
            </w:pPr>
            <w:r w:rsidRPr="00FD7B0B">
              <w:rPr>
                <w:rFonts w:ascii="Times New Roman" w:hAnsi="Times New Roman"/>
              </w:rPr>
              <w:t>0,0</w:t>
            </w:r>
          </w:p>
        </w:tc>
        <w:tc>
          <w:tcPr>
            <w:tcW w:w="992" w:type="dxa"/>
            <w:vAlign w:val="center"/>
          </w:tcPr>
          <w:p w14:paraId="3DBD8518" w14:textId="77777777" w:rsidR="00A51B25" w:rsidRPr="00FD7B0B" w:rsidRDefault="00A51B25" w:rsidP="00A51B25">
            <w:pPr>
              <w:jc w:val="center"/>
              <w:rPr>
                <w:rFonts w:ascii="Times New Roman" w:hAnsi="Times New Roman"/>
              </w:rPr>
            </w:pPr>
            <w:r w:rsidRPr="00FD7B0B">
              <w:rPr>
                <w:rFonts w:ascii="Times New Roman" w:hAnsi="Times New Roman"/>
              </w:rPr>
              <w:t>0,0</w:t>
            </w:r>
          </w:p>
        </w:tc>
      </w:tr>
      <w:tr w:rsidR="00FD7B0B" w:rsidRPr="00FD7B0B" w14:paraId="5460A750" w14:textId="77777777" w:rsidTr="00946A67">
        <w:trPr>
          <w:trHeight w:hRule="exact" w:val="255"/>
        </w:trPr>
        <w:tc>
          <w:tcPr>
            <w:tcW w:w="4380" w:type="dxa"/>
            <w:vAlign w:val="center"/>
          </w:tcPr>
          <w:p w14:paraId="0084BC72" w14:textId="77777777" w:rsidR="00A51B25" w:rsidRPr="00FD7B0B" w:rsidRDefault="00A51B25" w:rsidP="00946A67">
            <w:pPr>
              <w:rPr>
                <w:rFonts w:ascii="Times New Roman" w:hAnsi="Times New Roman"/>
                <w:b/>
              </w:rPr>
            </w:pPr>
            <w:r w:rsidRPr="00FD7B0B">
              <w:rPr>
                <w:rFonts w:ascii="Times New Roman" w:hAnsi="Times New Roman"/>
                <w:b/>
              </w:rPr>
              <w:t>Всего по госпрограмме</w:t>
            </w:r>
          </w:p>
        </w:tc>
        <w:tc>
          <w:tcPr>
            <w:tcW w:w="1559" w:type="dxa"/>
            <w:vAlign w:val="center"/>
          </w:tcPr>
          <w:p w14:paraId="7F3E0E11" w14:textId="77777777" w:rsidR="00A51B25" w:rsidRPr="00FD7B0B" w:rsidRDefault="00A51B25" w:rsidP="00A51B25">
            <w:pPr>
              <w:jc w:val="center"/>
              <w:rPr>
                <w:rFonts w:ascii="Times New Roman" w:hAnsi="Times New Roman"/>
                <w:b/>
              </w:rPr>
            </w:pPr>
            <w:r w:rsidRPr="00FD7B0B">
              <w:rPr>
                <w:rFonts w:ascii="Times New Roman" w:hAnsi="Times New Roman"/>
                <w:b/>
              </w:rPr>
              <w:t>6 704,9</w:t>
            </w:r>
          </w:p>
        </w:tc>
        <w:tc>
          <w:tcPr>
            <w:tcW w:w="1560" w:type="dxa"/>
            <w:vAlign w:val="center"/>
          </w:tcPr>
          <w:p w14:paraId="0AAEAC46" w14:textId="77777777" w:rsidR="00A51B25" w:rsidRPr="00FD7B0B" w:rsidRDefault="00A51B25" w:rsidP="00A51B25">
            <w:pPr>
              <w:jc w:val="center"/>
              <w:rPr>
                <w:rFonts w:ascii="Times New Roman" w:hAnsi="Times New Roman"/>
                <w:b/>
              </w:rPr>
            </w:pPr>
            <w:r w:rsidRPr="00FD7B0B">
              <w:rPr>
                <w:rFonts w:ascii="Times New Roman" w:hAnsi="Times New Roman"/>
                <w:b/>
              </w:rPr>
              <w:t>12 206,8</w:t>
            </w:r>
          </w:p>
        </w:tc>
        <w:tc>
          <w:tcPr>
            <w:tcW w:w="1134" w:type="dxa"/>
            <w:vAlign w:val="center"/>
          </w:tcPr>
          <w:p w14:paraId="6A13AF73" w14:textId="77777777" w:rsidR="00A51B25" w:rsidRPr="00FD7B0B" w:rsidRDefault="00A51B25" w:rsidP="00A51B25">
            <w:pPr>
              <w:jc w:val="center"/>
              <w:rPr>
                <w:rFonts w:ascii="Times New Roman" w:hAnsi="Times New Roman"/>
                <w:b/>
              </w:rPr>
            </w:pPr>
            <w:r w:rsidRPr="00FD7B0B">
              <w:rPr>
                <w:rFonts w:ascii="Times New Roman" w:hAnsi="Times New Roman"/>
                <w:b/>
              </w:rPr>
              <w:t>5 501,9</w:t>
            </w:r>
          </w:p>
        </w:tc>
        <w:tc>
          <w:tcPr>
            <w:tcW w:w="992" w:type="dxa"/>
            <w:vAlign w:val="center"/>
          </w:tcPr>
          <w:p w14:paraId="103ECD8F" w14:textId="77777777" w:rsidR="00A51B25" w:rsidRPr="00FD7B0B" w:rsidRDefault="00A51B25" w:rsidP="00A51B25">
            <w:pPr>
              <w:jc w:val="center"/>
              <w:rPr>
                <w:rFonts w:ascii="Times New Roman" w:hAnsi="Times New Roman"/>
                <w:b/>
              </w:rPr>
            </w:pPr>
            <w:r w:rsidRPr="00FD7B0B">
              <w:rPr>
                <w:rFonts w:ascii="Times New Roman" w:hAnsi="Times New Roman"/>
                <w:b/>
              </w:rPr>
              <w:t>82,1</w:t>
            </w:r>
          </w:p>
        </w:tc>
      </w:tr>
      <w:tr w:rsidR="00FD7B0B" w:rsidRPr="00FD7B0B" w14:paraId="2F4CC775" w14:textId="77777777" w:rsidTr="00946A67">
        <w:trPr>
          <w:trHeight w:hRule="exact" w:val="255"/>
        </w:trPr>
        <w:tc>
          <w:tcPr>
            <w:tcW w:w="4380" w:type="dxa"/>
            <w:vAlign w:val="center"/>
          </w:tcPr>
          <w:p w14:paraId="1AFF8307" w14:textId="77777777" w:rsidR="00A51B25" w:rsidRPr="00FD7B0B" w:rsidRDefault="00A51B25" w:rsidP="00946A67">
            <w:pPr>
              <w:rPr>
                <w:rFonts w:ascii="Times New Roman" w:hAnsi="Times New Roman"/>
              </w:rPr>
            </w:pPr>
            <w:r w:rsidRPr="00FD7B0B">
              <w:rPr>
                <w:rFonts w:ascii="Times New Roman" w:hAnsi="Times New Roman"/>
              </w:rPr>
              <w:t xml:space="preserve">Министерство ТЭК и ЖКХ </w:t>
            </w:r>
          </w:p>
        </w:tc>
        <w:tc>
          <w:tcPr>
            <w:tcW w:w="1559" w:type="dxa"/>
            <w:vAlign w:val="center"/>
          </w:tcPr>
          <w:p w14:paraId="57526AA6" w14:textId="77777777" w:rsidR="00A51B25" w:rsidRPr="00FD7B0B" w:rsidRDefault="00A51B25" w:rsidP="00A51B25">
            <w:pPr>
              <w:jc w:val="center"/>
              <w:rPr>
                <w:rFonts w:ascii="Times New Roman" w:hAnsi="Times New Roman"/>
              </w:rPr>
            </w:pPr>
            <w:r w:rsidRPr="00FD7B0B">
              <w:rPr>
                <w:rFonts w:ascii="Times New Roman" w:hAnsi="Times New Roman"/>
              </w:rPr>
              <w:t>6 608,2</w:t>
            </w:r>
          </w:p>
        </w:tc>
        <w:tc>
          <w:tcPr>
            <w:tcW w:w="1560" w:type="dxa"/>
            <w:vAlign w:val="center"/>
          </w:tcPr>
          <w:p w14:paraId="0FD24A9C" w14:textId="77777777" w:rsidR="00A51B25" w:rsidRPr="00FD7B0B" w:rsidRDefault="00A51B25" w:rsidP="00A51B25">
            <w:pPr>
              <w:jc w:val="center"/>
              <w:rPr>
                <w:rFonts w:ascii="Times New Roman" w:hAnsi="Times New Roman"/>
              </w:rPr>
            </w:pPr>
            <w:r w:rsidRPr="00FD7B0B">
              <w:rPr>
                <w:rFonts w:ascii="Times New Roman" w:hAnsi="Times New Roman"/>
              </w:rPr>
              <w:t>12 110,1</w:t>
            </w:r>
          </w:p>
        </w:tc>
        <w:tc>
          <w:tcPr>
            <w:tcW w:w="1134" w:type="dxa"/>
            <w:vAlign w:val="center"/>
          </w:tcPr>
          <w:p w14:paraId="1184F028" w14:textId="77777777" w:rsidR="00A51B25" w:rsidRPr="00FD7B0B" w:rsidRDefault="00A51B25" w:rsidP="00A51B25">
            <w:pPr>
              <w:jc w:val="center"/>
              <w:rPr>
                <w:rFonts w:ascii="Times New Roman" w:hAnsi="Times New Roman"/>
              </w:rPr>
            </w:pPr>
            <w:r w:rsidRPr="00FD7B0B">
              <w:rPr>
                <w:rFonts w:ascii="Times New Roman" w:hAnsi="Times New Roman"/>
              </w:rPr>
              <w:t>5 501,9</w:t>
            </w:r>
          </w:p>
        </w:tc>
        <w:tc>
          <w:tcPr>
            <w:tcW w:w="992" w:type="dxa"/>
            <w:vAlign w:val="center"/>
          </w:tcPr>
          <w:p w14:paraId="33FDEBD3" w14:textId="77777777" w:rsidR="00A51B25" w:rsidRPr="00FD7B0B" w:rsidRDefault="00A51B25" w:rsidP="00A51B25">
            <w:pPr>
              <w:jc w:val="center"/>
              <w:rPr>
                <w:rFonts w:ascii="Times New Roman" w:hAnsi="Times New Roman"/>
              </w:rPr>
            </w:pPr>
            <w:r w:rsidRPr="00FD7B0B">
              <w:rPr>
                <w:rFonts w:ascii="Times New Roman" w:hAnsi="Times New Roman"/>
              </w:rPr>
              <w:t>83,3</w:t>
            </w:r>
          </w:p>
        </w:tc>
      </w:tr>
      <w:tr w:rsidR="00A51B25" w:rsidRPr="00FD7B0B" w14:paraId="3287D27F" w14:textId="77777777" w:rsidTr="00946A67">
        <w:trPr>
          <w:trHeight w:val="236"/>
        </w:trPr>
        <w:tc>
          <w:tcPr>
            <w:tcW w:w="4380" w:type="dxa"/>
            <w:vAlign w:val="center"/>
          </w:tcPr>
          <w:p w14:paraId="2F8CAA1F" w14:textId="77777777" w:rsidR="00A51B25" w:rsidRPr="00FD7B0B" w:rsidRDefault="00A51B25" w:rsidP="00946A67">
            <w:pPr>
              <w:rPr>
                <w:rFonts w:ascii="Times New Roman" w:hAnsi="Times New Roman"/>
              </w:rPr>
            </w:pPr>
            <w:r w:rsidRPr="00FD7B0B">
              <w:rPr>
                <w:rFonts w:ascii="Times New Roman" w:hAnsi="Times New Roman"/>
              </w:rPr>
              <w:t>Государственная жилищная инспекция Архангельской области</w:t>
            </w:r>
          </w:p>
        </w:tc>
        <w:tc>
          <w:tcPr>
            <w:tcW w:w="1559" w:type="dxa"/>
            <w:vAlign w:val="center"/>
          </w:tcPr>
          <w:p w14:paraId="42674034" w14:textId="77777777" w:rsidR="00A51B25" w:rsidRPr="00FD7B0B" w:rsidRDefault="00A51B25" w:rsidP="00A51B25">
            <w:pPr>
              <w:jc w:val="center"/>
              <w:rPr>
                <w:rFonts w:ascii="Times New Roman" w:hAnsi="Times New Roman"/>
              </w:rPr>
            </w:pPr>
            <w:r w:rsidRPr="00FD7B0B">
              <w:rPr>
                <w:rFonts w:ascii="Times New Roman" w:hAnsi="Times New Roman"/>
              </w:rPr>
              <w:t>96,7</w:t>
            </w:r>
          </w:p>
        </w:tc>
        <w:tc>
          <w:tcPr>
            <w:tcW w:w="1560" w:type="dxa"/>
            <w:vAlign w:val="center"/>
          </w:tcPr>
          <w:p w14:paraId="0E16D5AC" w14:textId="77777777" w:rsidR="00A51B25" w:rsidRPr="00FD7B0B" w:rsidRDefault="00A51B25" w:rsidP="00A51B25">
            <w:pPr>
              <w:jc w:val="center"/>
              <w:rPr>
                <w:rFonts w:ascii="Times New Roman" w:hAnsi="Times New Roman"/>
              </w:rPr>
            </w:pPr>
            <w:r w:rsidRPr="00FD7B0B">
              <w:rPr>
                <w:rFonts w:ascii="Times New Roman" w:hAnsi="Times New Roman"/>
              </w:rPr>
              <w:t>96,7</w:t>
            </w:r>
          </w:p>
        </w:tc>
        <w:tc>
          <w:tcPr>
            <w:tcW w:w="1134" w:type="dxa"/>
            <w:vAlign w:val="center"/>
          </w:tcPr>
          <w:p w14:paraId="1D0FE59A" w14:textId="77777777" w:rsidR="00A51B25" w:rsidRPr="00FD7B0B" w:rsidRDefault="00A51B25" w:rsidP="00A51B25">
            <w:pPr>
              <w:jc w:val="center"/>
              <w:rPr>
                <w:rFonts w:ascii="Times New Roman" w:hAnsi="Times New Roman"/>
              </w:rPr>
            </w:pPr>
            <w:r w:rsidRPr="00FD7B0B">
              <w:rPr>
                <w:rFonts w:ascii="Times New Roman" w:hAnsi="Times New Roman"/>
              </w:rPr>
              <w:t>0,0</w:t>
            </w:r>
          </w:p>
        </w:tc>
        <w:tc>
          <w:tcPr>
            <w:tcW w:w="992" w:type="dxa"/>
            <w:vAlign w:val="center"/>
          </w:tcPr>
          <w:p w14:paraId="05E80EAE" w14:textId="77777777" w:rsidR="00A51B25" w:rsidRPr="00FD7B0B" w:rsidRDefault="00A51B25" w:rsidP="00A51B25">
            <w:pPr>
              <w:jc w:val="center"/>
              <w:rPr>
                <w:rFonts w:ascii="Times New Roman" w:hAnsi="Times New Roman"/>
                <w:lang w:val="en-US"/>
              </w:rPr>
            </w:pPr>
            <w:r w:rsidRPr="00FD7B0B">
              <w:rPr>
                <w:rFonts w:ascii="Times New Roman" w:hAnsi="Times New Roman"/>
              </w:rPr>
              <w:t>0,0</w:t>
            </w:r>
          </w:p>
        </w:tc>
      </w:tr>
    </w:tbl>
    <w:p w14:paraId="40C2047E" w14:textId="77777777" w:rsidR="004D6B99" w:rsidRPr="00FD7B0B" w:rsidRDefault="004D6B99" w:rsidP="00946A67">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p>
    <w:p w14:paraId="1FA32F33" w14:textId="77777777" w:rsidR="00A51B25" w:rsidRPr="00FD7B0B" w:rsidRDefault="00A51B25" w:rsidP="00946A67">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Рост объемов финансирования мероприятий в 2024 году произошел в большей степени за счет роста объемов средств областного бюджета на предоставление ресурсоснабжающим организациям субсидии на возмещение недополученных доходов, возникающих в результате государственного регулирования тарифов (цен) на коммунальные услуги на сумму 3 582,1 млн.руб. и привлечения средств специального казначейского кредита на сумму 2 000,0 млн.руб. на строительство биотопливных котельных.</w:t>
      </w:r>
    </w:p>
    <w:p w14:paraId="525681EE" w14:textId="2D348B09"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Сопоставление объемов финансирования, утвержденных ГП №</w:t>
      </w:r>
      <w:r w:rsidR="00946A6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17 и бюджетных ассигнований на ее реализацию, утвержденных законом «Об областном бюджете»</w:t>
      </w:r>
      <w:r w:rsidR="00946A67" w:rsidRPr="00FD7B0B">
        <w:rPr>
          <w:rFonts w:ascii="Times New Roman" w:eastAsia="Times New Roman" w:hAnsi="Times New Roman" w:cs="Times New Roman"/>
          <w:sz w:val="28"/>
          <w:szCs w:val="28"/>
          <w:lang w:eastAsia="ru-RU"/>
        </w:rPr>
        <w:t xml:space="preserve"> представлено в таблице </w:t>
      </w:r>
      <w:r w:rsidR="00DD44FB" w:rsidRPr="00FD7B0B">
        <w:rPr>
          <w:rFonts w:ascii="Times New Roman" w:eastAsia="Times New Roman" w:hAnsi="Times New Roman" w:cs="Times New Roman"/>
          <w:sz w:val="28"/>
          <w:szCs w:val="28"/>
          <w:lang w:eastAsia="ru-RU"/>
        </w:rPr>
        <w:t>171</w:t>
      </w:r>
      <w:r w:rsidRPr="00FD7B0B">
        <w:rPr>
          <w:rFonts w:ascii="Times New Roman" w:eastAsia="Times New Roman" w:hAnsi="Times New Roman" w:cs="Times New Roman"/>
          <w:sz w:val="28"/>
          <w:szCs w:val="28"/>
          <w:lang w:eastAsia="ru-RU"/>
        </w:rPr>
        <w:t>.</w:t>
      </w:r>
    </w:p>
    <w:p w14:paraId="5BC36F76" w14:textId="77777777" w:rsidR="00A51B25" w:rsidRPr="00FD7B0B" w:rsidRDefault="00A51B25" w:rsidP="00A51B25">
      <w:pPr>
        <w:spacing w:after="0" w:line="240" w:lineRule="auto"/>
        <w:contextualSpacing/>
        <w:rPr>
          <w:rFonts w:ascii="Times New Roman" w:eastAsia="Times New Roman" w:hAnsi="Times New Roman"/>
          <w:sz w:val="24"/>
          <w:szCs w:val="24"/>
          <w:lang w:eastAsia="ru-RU"/>
        </w:rPr>
      </w:pPr>
    </w:p>
    <w:p w14:paraId="7397E033" w14:textId="77777777" w:rsidR="00A51B25" w:rsidRPr="00FD7B0B" w:rsidRDefault="00A51B25" w:rsidP="00A51B25">
      <w:pPr>
        <w:spacing w:after="0" w:line="240" w:lineRule="auto"/>
        <w:contextualSpacing/>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 xml:space="preserve">Таблица </w:t>
      </w:r>
      <w:r w:rsidRPr="00FD7B0B">
        <w:rPr>
          <w:rFonts w:ascii="Times New Roman" w:eastAsia="Times New Roman" w:hAnsi="Times New Roman"/>
          <w:sz w:val="24"/>
          <w:szCs w:val="24"/>
          <w:lang w:eastAsia="ru-RU"/>
        </w:rPr>
        <w:fldChar w:fldCharType="begin"/>
      </w:r>
      <w:r w:rsidRPr="00FD7B0B">
        <w:rPr>
          <w:rFonts w:ascii="Times New Roman" w:eastAsia="Times New Roman" w:hAnsi="Times New Roman"/>
          <w:sz w:val="24"/>
          <w:szCs w:val="24"/>
          <w:lang w:eastAsia="ru-RU"/>
        </w:rPr>
        <w:instrText xml:space="preserve"> SEQ Таблица \* ARABIC </w:instrText>
      </w:r>
      <w:r w:rsidRPr="00FD7B0B">
        <w:rPr>
          <w:rFonts w:ascii="Times New Roman" w:eastAsia="Times New Roman" w:hAnsi="Times New Roman"/>
          <w:sz w:val="24"/>
          <w:szCs w:val="24"/>
          <w:lang w:eastAsia="ru-RU"/>
        </w:rPr>
        <w:fldChar w:fldCharType="separate"/>
      </w:r>
      <w:r w:rsidR="002959CD" w:rsidRPr="00FD7B0B">
        <w:rPr>
          <w:rFonts w:ascii="Times New Roman" w:eastAsia="Times New Roman" w:hAnsi="Times New Roman"/>
          <w:noProof/>
          <w:sz w:val="24"/>
          <w:szCs w:val="24"/>
          <w:lang w:eastAsia="ru-RU"/>
        </w:rPr>
        <w:t>171</w:t>
      </w:r>
      <w:r w:rsidRPr="00FD7B0B">
        <w:rPr>
          <w:rFonts w:ascii="Times New Roman" w:eastAsia="Times New Roman" w:hAnsi="Times New Roman"/>
          <w:sz w:val="24"/>
          <w:szCs w:val="24"/>
          <w:lang w:eastAsia="ru-RU"/>
        </w:rPr>
        <w:fldChar w:fldCharType="end"/>
      </w:r>
      <w:r w:rsidRPr="00FD7B0B">
        <w:rPr>
          <w:rFonts w:ascii="Times New Roman" w:eastAsia="Times New Roman" w:hAnsi="Times New Roman"/>
          <w:sz w:val="24"/>
          <w:szCs w:val="24"/>
          <w:lang w:eastAsia="ru-RU"/>
        </w:rPr>
        <w:t xml:space="preserve">. Сопоставление объемов финансирования, утвержденных </w:t>
      </w:r>
      <w:r w:rsidRPr="00FD7B0B">
        <w:rPr>
          <w:rFonts w:ascii="Times New Roman" w:eastAsia="Times New Roman" w:hAnsi="Times New Roman" w:cs="Times New Roman"/>
          <w:sz w:val="24"/>
          <w:szCs w:val="24"/>
          <w:lang w:eastAsia="ru-RU"/>
        </w:rPr>
        <w:t>ГП №17</w:t>
      </w:r>
      <w:r w:rsidRPr="00FD7B0B">
        <w:rPr>
          <w:rFonts w:ascii="Times New Roman" w:eastAsia="Times New Roman" w:hAnsi="Times New Roman"/>
          <w:sz w:val="24"/>
          <w:szCs w:val="24"/>
          <w:lang w:eastAsia="ru-RU"/>
        </w:rPr>
        <w:t xml:space="preserve"> и бюджетных ассигнований на ее реализацию, утвержденных законом «Об областном бюджете», млн.руб.</w:t>
      </w:r>
    </w:p>
    <w:tbl>
      <w:tblPr>
        <w:tblStyle w:val="a7"/>
        <w:tblW w:w="9697"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246"/>
        <w:gridCol w:w="1453"/>
        <w:gridCol w:w="1275"/>
        <w:gridCol w:w="1276"/>
        <w:gridCol w:w="1203"/>
        <w:gridCol w:w="1244"/>
      </w:tblGrid>
      <w:tr w:rsidR="00FD7B0B" w:rsidRPr="00FD7B0B" w14:paraId="709C17E2" w14:textId="77777777" w:rsidTr="00946A67">
        <w:tc>
          <w:tcPr>
            <w:tcW w:w="3246" w:type="dxa"/>
          </w:tcPr>
          <w:p w14:paraId="2480F8AB"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Подпрограмма</w:t>
            </w:r>
          </w:p>
        </w:tc>
        <w:tc>
          <w:tcPr>
            <w:tcW w:w="1453" w:type="dxa"/>
          </w:tcPr>
          <w:p w14:paraId="02D08095"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Показатели ГП №17 на 31.12.2024 (в ред. от 26.12.2024)</w:t>
            </w:r>
          </w:p>
        </w:tc>
        <w:tc>
          <w:tcPr>
            <w:tcW w:w="1275" w:type="dxa"/>
          </w:tcPr>
          <w:p w14:paraId="13E17A0C"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Показатели закона о бюджете на 31.12.2024</w:t>
            </w:r>
          </w:p>
        </w:tc>
        <w:tc>
          <w:tcPr>
            <w:tcW w:w="1276" w:type="dxa"/>
          </w:tcPr>
          <w:p w14:paraId="4C13CE64"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Отклонение (+/-)</w:t>
            </w:r>
          </w:p>
        </w:tc>
        <w:tc>
          <w:tcPr>
            <w:tcW w:w="1203" w:type="dxa"/>
          </w:tcPr>
          <w:p w14:paraId="2EE1AD5E"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Показатели СБР на 31.12.2024</w:t>
            </w:r>
          </w:p>
        </w:tc>
        <w:tc>
          <w:tcPr>
            <w:tcW w:w="1244" w:type="dxa"/>
          </w:tcPr>
          <w:p w14:paraId="22C4BD3A" w14:textId="77777777" w:rsidR="00A51B25" w:rsidRPr="00FD7B0B" w:rsidRDefault="00A51B25" w:rsidP="00A51B25">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Отклонение (+/-)</w:t>
            </w:r>
          </w:p>
        </w:tc>
      </w:tr>
      <w:tr w:rsidR="00FD7B0B" w:rsidRPr="00FD7B0B" w14:paraId="55A51F2B" w14:textId="77777777" w:rsidTr="00946A67">
        <w:tc>
          <w:tcPr>
            <w:tcW w:w="3246" w:type="dxa"/>
          </w:tcPr>
          <w:p w14:paraId="2F4D33B0"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А</w:t>
            </w:r>
          </w:p>
        </w:tc>
        <w:tc>
          <w:tcPr>
            <w:tcW w:w="1453" w:type="dxa"/>
          </w:tcPr>
          <w:p w14:paraId="3FC4A0B5"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1275" w:type="dxa"/>
          </w:tcPr>
          <w:p w14:paraId="75561B50"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w:t>
            </w:r>
          </w:p>
        </w:tc>
        <w:tc>
          <w:tcPr>
            <w:tcW w:w="1276" w:type="dxa"/>
          </w:tcPr>
          <w:p w14:paraId="0362CAEC"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3=2-1</w:t>
            </w:r>
          </w:p>
        </w:tc>
        <w:tc>
          <w:tcPr>
            <w:tcW w:w="1203" w:type="dxa"/>
          </w:tcPr>
          <w:p w14:paraId="000F60C8"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4</w:t>
            </w:r>
          </w:p>
        </w:tc>
        <w:tc>
          <w:tcPr>
            <w:tcW w:w="1244" w:type="dxa"/>
          </w:tcPr>
          <w:p w14:paraId="6900901A"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5=4-2</w:t>
            </w:r>
          </w:p>
        </w:tc>
      </w:tr>
      <w:tr w:rsidR="00FD7B0B" w:rsidRPr="00FD7B0B" w14:paraId="4F6DC547" w14:textId="77777777" w:rsidTr="00946A67">
        <w:tc>
          <w:tcPr>
            <w:tcW w:w="3246" w:type="dxa"/>
            <w:vAlign w:val="center"/>
          </w:tcPr>
          <w:p w14:paraId="3AA9A769" w14:textId="77777777" w:rsidR="00A51B25" w:rsidRPr="00FD7B0B" w:rsidRDefault="00A51B25" w:rsidP="00A51B25">
            <w:pPr>
              <w:contextualSpacing/>
              <w:rPr>
                <w:rFonts w:ascii="Times New Roman" w:eastAsia="Times New Roman" w:hAnsi="Times New Roman"/>
              </w:rPr>
            </w:pPr>
            <w:r w:rsidRPr="00FD7B0B">
              <w:rPr>
                <w:rFonts w:ascii="Times New Roman" w:hAnsi="Times New Roman"/>
              </w:rPr>
              <w:t>Региональный проект</w:t>
            </w:r>
            <w:r w:rsidRPr="00FD7B0B">
              <w:rPr>
                <w:rFonts w:ascii="Times New Roman" w:hAnsi="Times New Roman"/>
              </w:rPr>
              <w:br/>
              <w:t>"Чистая вода (Архангельская область)"</w:t>
            </w:r>
          </w:p>
        </w:tc>
        <w:tc>
          <w:tcPr>
            <w:tcW w:w="1453" w:type="dxa"/>
            <w:vAlign w:val="center"/>
          </w:tcPr>
          <w:p w14:paraId="19884B7A"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489,6</w:t>
            </w:r>
          </w:p>
        </w:tc>
        <w:tc>
          <w:tcPr>
            <w:tcW w:w="1275" w:type="dxa"/>
            <w:vAlign w:val="center"/>
          </w:tcPr>
          <w:p w14:paraId="1CC4431E"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489,2</w:t>
            </w:r>
          </w:p>
        </w:tc>
        <w:tc>
          <w:tcPr>
            <w:tcW w:w="1276" w:type="dxa"/>
            <w:vAlign w:val="center"/>
          </w:tcPr>
          <w:p w14:paraId="304F876D" w14:textId="77777777" w:rsidR="00A51B25" w:rsidRPr="00FD7B0B" w:rsidRDefault="00A51B25" w:rsidP="00A51B25">
            <w:pPr>
              <w:contextualSpacing/>
              <w:jc w:val="center"/>
              <w:rPr>
                <w:rFonts w:ascii="Times New Roman" w:hAnsi="Times New Roman"/>
              </w:rPr>
            </w:pPr>
            <w:r w:rsidRPr="00FD7B0B">
              <w:rPr>
                <w:rFonts w:ascii="Times New Roman" w:hAnsi="Times New Roman"/>
              </w:rPr>
              <w:t>-0,4</w:t>
            </w:r>
          </w:p>
        </w:tc>
        <w:tc>
          <w:tcPr>
            <w:tcW w:w="1203" w:type="dxa"/>
            <w:vAlign w:val="center"/>
          </w:tcPr>
          <w:p w14:paraId="760B3CE8" w14:textId="77777777" w:rsidR="00A51B25" w:rsidRPr="00FD7B0B" w:rsidRDefault="00A51B25" w:rsidP="00A51B25">
            <w:pPr>
              <w:contextualSpacing/>
              <w:jc w:val="center"/>
              <w:rPr>
                <w:rFonts w:ascii="Times New Roman" w:hAnsi="Times New Roman"/>
              </w:rPr>
            </w:pPr>
            <w:r w:rsidRPr="00FD7B0B">
              <w:rPr>
                <w:rFonts w:ascii="Times New Roman" w:hAnsi="Times New Roman"/>
              </w:rPr>
              <w:t>497,7</w:t>
            </w:r>
          </w:p>
        </w:tc>
        <w:tc>
          <w:tcPr>
            <w:tcW w:w="1244" w:type="dxa"/>
            <w:vAlign w:val="center"/>
          </w:tcPr>
          <w:p w14:paraId="282C8818" w14:textId="77777777" w:rsidR="00A51B25" w:rsidRPr="00FD7B0B" w:rsidRDefault="00A51B25" w:rsidP="00A51B25">
            <w:pPr>
              <w:contextualSpacing/>
              <w:jc w:val="center"/>
              <w:rPr>
                <w:rFonts w:ascii="Times New Roman" w:hAnsi="Times New Roman"/>
              </w:rPr>
            </w:pPr>
            <w:r w:rsidRPr="00FD7B0B">
              <w:rPr>
                <w:rFonts w:ascii="Times New Roman" w:hAnsi="Times New Roman"/>
              </w:rPr>
              <w:t>8,5</w:t>
            </w:r>
          </w:p>
        </w:tc>
      </w:tr>
      <w:tr w:rsidR="00FD7B0B" w:rsidRPr="00FD7B0B" w14:paraId="2D8165FA" w14:textId="77777777" w:rsidTr="00946A67">
        <w:trPr>
          <w:trHeight w:val="124"/>
        </w:trPr>
        <w:tc>
          <w:tcPr>
            <w:tcW w:w="3246" w:type="dxa"/>
            <w:vAlign w:val="center"/>
          </w:tcPr>
          <w:p w14:paraId="4136165A" w14:textId="77777777" w:rsidR="00A51B25" w:rsidRPr="00FD7B0B" w:rsidRDefault="00A51B25" w:rsidP="00A51B25">
            <w:pPr>
              <w:contextualSpacing/>
              <w:rPr>
                <w:rFonts w:ascii="Times New Roman" w:eastAsia="Times New Roman" w:hAnsi="Times New Roman"/>
              </w:rPr>
            </w:pPr>
            <w:r w:rsidRPr="00FD7B0B">
              <w:rPr>
                <w:rFonts w:ascii="Times New Roman" w:hAnsi="Times New Roman"/>
              </w:rPr>
              <w:t>КПМ</w:t>
            </w:r>
          </w:p>
        </w:tc>
        <w:tc>
          <w:tcPr>
            <w:tcW w:w="1453" w:type="dxa"/>
            <w:vAlign w:val="center"/>
          </w:tcPr>
          <w:p w14:paraId="53044134"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11 189,8</w:t>
            </w:r>
          </w:p>
        </w:tc>
        <w:tc>
          <w:tcPr>
            <w:tcW w:w="1275" w:type="dxa"/>
            <w:vAlign w:val="center"/>
          </w:tcPr>
          <w:p w14:paraId="65463ECE"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11 717,5</w:t>
            </w:r>
          </w:p>
        </w:tc>
        <w:tc>
          <w:tcPr>
            <w:tcW w:w="1276" w:type="dxa"/>
            <w:vAlign w:val="center"/>
          </w:tcPr>
          <w:p w14:paraId="52E459A6" w14:textId="77777777" w:rsidR="00A51B25" w:rsidRPr="00FD7B0B" w:rsidRDefault="00A51B25" w:rsidP="00A51B25">
            <w:pPr>
              <w:contextualSpacing/>
              <w:jc w:val="center"/>
              <w:rPr>
                <w:rFonts w:ascii="Times New Roman" w:hAnsi="Times New Roman"/>
              </w:rPr>
            </w:pPr>
            <w:r w:rsidRPr="00FD7B0B">
              <w:rPr>
                <w:rFonts w:ascii="Times New Roman" w:hAnsi="Times New Roman"/>
              </w:rPr>
              <w:t>527,7</w:t>
            </w:r>
          </w:p>
        </w:tc>
        <w:tc>
          <w:tcPr>
            <w:tcW w:w="1203" w:type="dxa"/>
            <w:vAlign w:val="center"/>
          </w:tcPr>
          <w:p w14:paraId="1D5015F7" w14:textId="77777777" w:rsidR="00A51B25" w:rsidRPr="00FD7B0B" w:rsidRDefault="00A51B25" w:rsidP="00A51B25">
            <w:pPr>
              <w:contextualSpacing/>
              <w:jc w:val="center"/>
              <w:rPr>
                <w:rFonts w:ascii="Times New Roman" w:hAnsi="Times New Roman"/>
              </w:rPr>
            </w:pPr>
            <w:r w:rsidRPr="00FD7B0B">
              <w:rPr>
                <w:rFonts w:ascii="Times New Roman" w:hAnsi="Times New Roman"/>
              </w:rPr>
              <w:t>12 003,5</w:t>
            </w:r>
          </w:p>
        </w:tc>
        <w:tc>
          <w:tcPr>
            <w:tcW w:w="1244" w:type="dxa"/>
            <w:vAlign w:val="center"/>
          </w:tcPr>
          <w:p w14:paraId="24676459" w14:textId="77777777" w:rsidR="00A51B25" w:rsidRPr="00FD7B0B" w:rsidRDefault="00A51B25" w:rsidP="00A51B25">
            <w:pPr>
              <w:contextualSpacing/>
              <w:jc w:val="center"/>
              <w:rPr>
                <w:rFonts w:ascii="Times New Roman" w:hAnsi="Times New Roman"/>
              </w:rPr>
            </w:pPr>
            <w:r w:rsidRPr="00FD7B0B">
              <w:rPr>
                <w:rFonts w:ascii="Times New Roman" w:hAnsi="Times New Roman"/>
              </w:rPr>
              <w:t>286,0</w:t>
            </w:r>
          </w:p>
        </w:tc>
      </w:tr>
      <w:tr w:rsidR="00A51B25" w:rsidRPr="00FD7B0B" w14:paraId="05AC6102" w14:textId="77777777" w:rsidTr="00946A67">
        <w:trPr>
          <w:trHeight w:val="170"/>
        </w:trPr>
        <w:tc>
          <w:tcPr>
            <w:tcW w:w="3246" w:type="dxa"/>
            <w:vAlign w:val="center"/>
          </w:tcPr>
          <w:p w14:paraId="5831F1C6" w14:textId="77777777" w:rsidR="00A51B25" w:rsidRPr="00FD7B0B" w:rsidRDefault="00A51B25" w:rsidP="00A51B25">
            <w:pPr>
              <w:contextualSpacing/>
              <w:rPr>
                <w:rFonts w:ascii="Times New Roman" w:eastAsia="Times New Roman" w:hAnsi="Times New Roman"/>
              </w:rPr>
            </w:pPr>
            <w:r w:rsidRPr="00FD7B0B">
              <w:rPr>
                <w:rFonts w:ascii="Times New Roman" w:eastAsia="Times New Roman" w:hAnsi="Times New Roman"/>
              </w:rPr>
              <w:t>Всего по госпрограмме</w:t>
            </w:r>
          </w:p>
        </w:tc>
        <w:tc>
          <w:tcPr>
            <w:tcW w:w="1453" w:type="dxa"/>
            <w:vAlign w:val="center"/>
          </w:tcPr>
          <w:p w14:paraId="0F151D7D"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11 679,4</w:t>
            </w:r>
          </w:p>
        </w:tc>
        <w:tc>
          <w:tcPr>
            <w:tcW w:w="1275" w:type="dxa"/>
            <w:vAlign w:val="center"/>
          </w:tcPr>
          <w:p w14:paraId="3818EEBF"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12 206,7</w:t>
            </w:r>
          </w:p>
        </w:tc>
        <w:tc>
          <w:tcPr>
            <w:tcW w:w="1276" w:type="dxa"/>
            <w:vAlign w:val="center"/>
          </w:tcPr>
          <w:p w14:paraId="2F8BE0EA" w14:textId="77777777" w:rsidR="00A51B25" w:rsidRPr="00FD7B0B" w:rsidRDefault="00A51B25" w:rsidP="00A51B25">
            <w:pPr>
              <w:contextualSpacing/>
              <w:jc w:val="center"/>
              <w:rPr>
                <w:rFonts w:ascii="Times New Roman" w:hAnsi="Times New Roman"/>
              </w:rPr>
            </w:pPr>
            <w:r w:rsidRPr="00FD7B0B">
              <w:rPr>
                <w:rFonts w:ascii="Times New Roman" w:hAnsi="Times New Roman"/>
              </w:rPr>
              <w:t>527,3</w:t>
            </w:r>
          </w:p>
        </w:tc>
        <w:tc>
          <w:tcPr>
            <w:tcW w:w="1203" w:type="dxa"/>
            <w:vAlign w:val="center"/>
          </w:tcPr>
          <w:p w14:paraId="24404E72" w14:textId="77777777" w:rsidR="00A51B25" w:rsidRPr="00FD7B0B" w:rsidRDefault="00A51B25" w:rsidP="00A51B25">
            <w:pPr>
              <w:contextualSpacing/>
              <w:jc w:val="center"/>
              <w:rPr>
                <w:rFonts w:ascii="Times New Roman" w:hAnsi="Times New Roman"/>
              </w:rPr>
            </w:pPr>
            <w:r w:rsidRPr="00FD7B0B">
              <w:rPr>
                <w:rFonts w:ascii="Times New Roman" w:hAnsi="Times New Roman"/>
              </w:rPr>
              <w:t>12 501,2</w:t>
            </w:r>
          </w:p>
        </w:tc>
        <w:tc>
          <w:tcPr>
            <w:tcW w:w="1244" w:type="dxa"/>
            <w:vAlign w:val="center"/>
          </w:tcPr>
          <w:p w14:paraId="520E324C" w14:textId="77777777" w:rsidR="00A51B25" w:rsidRPr="00FD7B0B" w:rsidRDefault="00A51B25" w:rsidP="00A51B25">
            <w:pPr>
              <w:contextualSpacing/>
              <w:jc w:val="center"/>
              <w:rPr>
                <w:rFonts w:ascii="Times New Roman" w:hAnsi="Times New Roman"/>
              </w:rPr>
            </w:pPr>
            <w:r w:rsidRPr="00FD7B0B">
              <w:rPr>
                <w:rFonts w:ascii="Times New Roman" w:hAnsi="Times New Roman"/>
              </w:rPr>
              <w:t>294,5</w:t>
            </w:r>
          </w:p>
        </w:tc>
      </w:tr>
    </w:tbl>
    <w:p w14:paraId="68D20D38" w14:textId="77777777" w:rsidR="00946A67" w:rsidRPr="00FD7B0B" w:rsidRDefault="00946A67"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p>
    <w:p w14:paraId="74B71A91" w14:textId="3FF10C7E" w:rsidR="00A51B25" w:rsidRPr="00FD7B0B" w:rsidRDefault="00A51B25" w:rsidP="00946A67">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нарушение пункта 29 Положения №</w:t>
      </w:r>
      <w:r w:rsidR="00270A92"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793-пп при внесении изменений в СБР паспорт ГП №</w:t>
      </w:r>
      <w:r w:rsidR="00660FF2"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17 в период август–сентябрь 2024 года не приводился в соответствие с СБР с соблюдением установленного срока – не позднее 45 дней после внесения соответствующих изменений в СБР.</w:t>
      </w:r>
    </w:p>
    <w:p w14:paraId="2F832769" w14:textId="5B5989D6"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sz w:val="24"/>
          <w:szCs w:val="24"/>
          <w:lang w:eastAsia="ru-RU"/>
        </w:rPr>
      </w:pPr>
      <w:r w:rsidRPr="00FD7B0B">
        <w:rPr>
          <w:rFonts w:ascii="Times New Roman" w:eastAsia="Times New Roman" w:hAnsi="Times New Roman" w:cs="Times New Roman"/>
          <w:sz w:val="28"/>
          <w:szCs w:val="28"/>
          <w:lang w:eastAsia="ru-RU"/>
        </w:rPr>
        <w:t>Согласно проекту отчета о реализации в 2024 году ГП №</w:t>
      </w:r>
      <w:r w:rsidR="007A2F2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17, предоставленному министерством ТЭК и ЖКХ АО (в ред. от 16.04.2025), кассовые расходы составили в общей сумме 16 787,3 млн.руб. или 96,1</w:t>
      </w:r>
      <w:r w:rsidR="007A2F2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п</w:t>
      </w:r>
      <w:r w:rsidR="007A2F2B" w:rsidRPr="00FD7B0B">
        <w:rPr>
          <w:rFonts w:ascii="Times New Roman" w:eastAsia="Times New Roman" w:hAnsi="Times New Roman" w:cs="Times New Roman"/>
          <w:sz w:val="28"/>
          <w:szCs w:val="28"/>
          <w:lang w:eastAsia="ru-RU"/>
        </w:rPr>
        <w:t>лановым параметрам на 2024 год.</w:t>
      </w:r>
    </w:p>
    <w:p w14:paraId="558BAF00" w14:textId="4E1C6502"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Следует отметить, что в проекте отчета о реализации в 2024 году ГП №</w:t>
      </w:r>
      <w:r w:rsidR="007A2F2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17 плановые объемы финансирования мероприятий не соответствуют данным паспортов РП и КПМ на 31.12.2024.</w:t>
      </w:r>
    </w:p>
    <w:p w14:paraId="6AC57441" w14:textId="3F3F1208"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Расходы областного бюджета на реализацию ГП №</w:t>
      </w:r>
      <w:r w:rsidR="007A2F2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17 за 2024 год, а также параметры, утвержденные на 2024 год в разрезе главных распорядителей и видов расх</w:t>
      </w:r>
      <w:r w:rsidR="007A2F2B" w:rsidRPr="00FD7B0B">
        <w:rPr>
          <w:rFonts w:ascii="Times New Roman" w:eastAsia="Times New Roman" w:hAnsi="Times New Roman" w:cs="Times New Roman"/>
          <w:sz w:val="28"/>
          <w:szCs w:val="28"/>
          <w:lang w:eastAsia="ru-RU"/>
        </w:rPr>
        <w:t xml:space="preserve">одов, представлены в таблице </w:t>
      </w:r>
      <w:r w:rsidR="00DD44FB" w:rsidRPr="00FD7B0B">
        <w:rPr>
          <w:rFonts w:ascii="Times New Roman" w:eastAsia="Times New Roman" w:hAnsi="Times New Roman" w:cs="Times New Roman"/>
          <w:sz w:val="28"/>
          <w:szCs w:val="28"/>
          <w:lang w:eastAsia="ru-RU"/>
        </w:rPr>
        <w:t>172</w:t>
      </w:r>
      <w:r w:rsidRPr="00FD7B0B">
        <w:rPr>
          <w:rFonts w:ascii="Times New Roman" w:eastAsia="Times New Roman" w:hAnsi="Times New Roman" w:cs="Times New Roman"/>
          <w:sz w:val="28"/>
          <w:szCs w:val="28"/>
          <w:lang w:eastAsia="ru-RU"/>
        </w:rPr>
        <w:t>.</w:t>
      </w:r>
    </w:p>
    <w:p w14:paraId="3409D8FA" w14:textId="77777777" w:rsidR="00A51B25" w:rsidRPr="00FD7B0B" w:rsidRDefault="00A51B25" w:rsidP="00A51B25">
      <w:pPr>
        <w:spacing w:after="0" w:line="240" w:lineRule="auto"/>
        <w:contextualSpacing/>
        <w:rPr>
          <w:rFonts w:ascii="Times New Roman" w:eastAsia="Times New Roman" w:hAnsi="Times New Roman"/>
          <w:sz w:val="24"/>
          <w:szCs w:val="24"/>
          <w:highlight w:val="cyan"/>
          <w:lang w:eastAsia="ru-RU"/>
        </w:rPr>
      </w:pPr>
    </w:p>
    <w:p w14:paraId="78D5AFEE" w14:textId="77777777" w:rsidR="00A51B25" w:rsidRPr="00FD7B0B" w:rsidRDefault="00A51B25" w:rsidP="00A51B25">
      <w:pPr>
        <w:spacing w:after="0" w:line="240" w:lineRule="auto"/>
        <w:contextualSpacing/>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 xml:space="preserve">Таблица </w:t>
      </w:r>
      <w:r w:rsidRPr="00FD7B0B">
        <w:rPr>
          <w:rFonts w:ascii="Times New Roman" w:eastAsia="Times New Roman" w:hAnsi="Times New Roman"/>
          <w:sz w:val="24"/>
          <w:szCs w:val="24"/>
          <w:lang w:eastAsia="ru-RU"/>
        </w:rPr>
        <w:fldChar w:fldCharType="begin"/>
      </w:r>
      <w:r w:rsidRPr="00FD7B0B">
        <w:rPr>
          <w:rFonts w:ascii="Times New Roman" w:eastAsia="Times New Roman" w:hAnsi="Times New Roman"/>
          <w:sz w:val="24"/>
          <w:szCs w:val="24"/>
          <w:lang w:eastAsia="ru-RU"/>
        </w:rPr>
        <w:instrText xml:space="preserve"> SEQ Таблица \* ARABIC </w:instrText>
      </w:r>
      <w:r w:rsidRPr="00FD7B0B">
        <w:rPr>
          <w:rFonts w:ascii="Times New Roman" w:eastAsia="Times New Roman" w:hAnsi="Times New Roman"/>
          <w:sz w:val="24"/>
          <w:szCs w:val="24"/>
          <w:lang w:eastAsia="ru-RU"/>
        </w:rPr>
        <w:fldChar w:fldCharType="separate"/>
      </w:r>
      <w:r w:rsidR="002959CD" w:rsidRPr="00FD7B0B">
        <w:rPr>
          <w:rFonts w:ascii="Times New Roman" w:eastAsia="Times New Roman" w:hAnsi="Times New Roman"/>
          <w:noProof/>
          <w:sz w:val="24"/>
          <w:szCs w:val="24"/>
          <w:lang w:eastAsia="ru-RU"/>
        </w:rPr>
        <w:t>172</w:t>
      </w:r>
      <w:r w:rsidRPr="00FD7B0B">
        <w:rPr>
          <w:rFonts w:ascii="Times New Roman" w:eastAsia="Times New Roman" w:hAnsi="Times New Roman"/>
          <w:sz w:val="24"/>
          <w:szCs w:val="24"/>
          <w:lang w:eastAsia="ru-RU"/>
        </w:rPr>
        <w:fldChar w:fldCharType="end"/>
      </w:r>
      <w:r w:rsidRPr="00FD7B0B">
        <w:rPr>
          <w:rFonts w:ascii="Times New Roman" w:eastAsia="Times New Roman" w:hAnsi="Times New Roman"/>
          <w:sz w:val="24"/>
          <w:szCs w:val="24"/>
          <w:lang w:eastAsia="ru-RU"/>
        </w:rPr>
        <w:t>. Основные параметры утвержденных и исполненных расходов из областного бюджета за 2024 год на реализацию мероприятий ГП № 17</w:t>
      </w:r>
    </w:p>
    <w:tbl>
      <w:tblPr>
        <w:tblW w:w="5000" w:type="pct"/>
        <w:tblLook w:val="04A0" w:firstRow="1" w:lastRow="0" w:firstColumn="1" w:lastColumn="0" w:noHBand="0" w:noVBand="1"/>
      </w:tblPr>
      <w:tblGrid>
        <w:gridCol w:w="3794"/>
        <w:gridCol w:w="986"/>
        <w:gridCol w:w="1195"/>
        <w:gridCol w:w="1109"/>
        <w:gridCol w:w="1352"/>
        <w:gridCol w:w="1155"/>
      </w:tblGrid>
      <w:tr w:rsidR="00FD7B0B" w:rsidRPr="00FD7B0B" w14:paraId="32AE9656" w14:textId="77777777" w:rsidTr="007A2F2B">
        <w:trPr>
          <w:trHeight w:val="245"/>
          <w:tblHeader/>
        </w:trPr>
        <w:tc>
          <w:tcPr>
            <w:tcW w:w="1978" w:type="pct"/>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8CB37BF"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Главный распорядитель, группы видов расходов</w:t>
            </w:r>
          </w:p>
        </w:tc>
        <w:tc>
          <w:tcPr>
            <w:tcW w:w="514" w:type="pct"/>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7265EA5"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Код вида расходов</w:t>
            </w:r>
          </w:p>
        </w:tc>
        <w:tc>
          <w:tcPr>
            <w:tcW w:w="1201" w:type="pct"/>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4609CBFD"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 2024 года на 31.12.2024, млн.руб.</w:t>
            </w:r>
          </w:p>
        </w:tc>
        <w:tc>
          <w:tcPr>
            <w:tcW w:w="1307" w:type="pct"/>
            <w:gridSpan w:val="2"/>
            <w:tcBorders>
              <w:top w:val="double" w:sz="6" w:space="0" w:color="auto"/>
              <w:left w:val="single" w:sz="4" w:space="0" w:color="auto"/>
              <w:bottom w:val="single" w:sz="4" w:space="0" w:color="auto"/>
              <w:right w:val="double" w:sz="6" w:space="0" w:color="000000"/>
            </w:tcBorders>
            <w:shd w:val="clear" w:color="auto" w:fill="auto"/>
            <w:vAlign w:val="center"/>
            <w:hideMark/>
          </w:tcPr>
          <w:p w14:paraId="00E37FE8"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Исполнение на 31.12.2024</w:t>
            </w:r>
          </w:p>
        </w:tc>
      </w:tr>
      <w:tr w:rsidR="00FD7B0B" w:rsidRPr="00FD7B0B" w14:paraId="77096CAD" w14:textId="77777777" w:rsidTr="00A51B25">
        <w:trPr>
          <w:trHeight w:val="829"/>
          <w:tblHeader/>
        </w:trPr>
        <w:tc>
          <w:tcPr>
            <w:tcW w:w="1978" w:type="pct"/>
            <w:vMerge/>
            <w:tcBorders>
              <w:top w:val="single" w:sz="4" w:space="0" w:color="auto"/>
              <w:left w:val="double" w:sz="6" w:space="0" w:color="auto"/>
              <w:bottom w:val="single" w:sz="4" w:space="0" w:color="auto"/>
              <w:right w:val="single" w:sz="4" w:space="0" w:color="auto"/>
            </w:tcBorders>
            <w:vAlign w:val="center"/>
            <w:hideMark/>
          </w:tcPr>
          <w:p w14:paraId="6ECA3DC7"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14:paraId="5FB0ED25"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6919D"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Утверждено на год законом о бюджете</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8D0076"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СБР на 2024 год</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579332"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 на 31.12.2024, млн.руб.</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hideMark/>
          </w:tcPr>
          <w:p w14:paraId="58B6C752"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 к уточненной СБР </w:t>
            </w:r>
          </w:p>
        </w:tc>
      </w:tr>
      <w:tr w:rsidR="00FD7B0B" w:rsidRPr="00FD7B0B" w14:paraId="6F08C980" w14:textId="77777777" w:rsidTr="00A51B25">
        <w:trPr>
          <w:trHeight w:val="47"/>
        </w:trPr>
        <w:tc>
          <w:tcPr>
            <w:tcW w:w="1978" w:type="pct"/>
            <w:tcBorders>
              <w:top w:val="single" w:sz="4" w:space="0" w:color="auto"/>
              <w:left w:val="double" w:sz="6" w:space="0" w:color="auto"/>
              <w:bottom w:val="single" w:sz="4" w:space="0" w:color="auto"/>
              <w:right w:val="single" w:sz="4" w:space="0" w:color="auto"/>
            </w:tcBorders>
            <w:shd w:val="clear" w:color="000000" w:fill="F2F2F2"/>
            <w:vAlign w:val="center"/>
            <w:hideMark/>
          </w:tcPr>
          <w:p w14:paraId="3F9B2B86"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1. ГРБС министерство ТЭКи ЖКХ </w:t>
            </w:r>
          </w:p>
        </w:tc>
        <w:tc>
          <w:tcPr>
            <w:tcW w:w="51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3EE18521"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p>
        </w:tc>
        <w:tc>
          <w:tcPr>
            <w:tcW w:w="623" w:type="pct"/>
            <w:tcBorders>
              <w:top w:val="single" w:sz="4" w:space="0" w:color="auto"/>
              <w:left w:val="single" w:sz="4" w:space="0" w:color="auto"/>
              <w:bottom w:val="single" w:sz="4" w:space="0" w:color="auto"/>
              <w:right w:val="single" w:sz="4" w:space="0" w:color="auto"/>
            </w:tcBorders>
            <w:shd w:val="clear" w:color="000000" w:fill="F2F2F2"/>
            <w:vAlign w:val="center"/>
          </w:tcPr>
          <w:p w14:paraId="6CBD077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12 110,1</w:t>
            </w:r>
          </w:p>
        </w:tc>
        <w:tc>
          <w:tcPr>
            <w:tcW w:w="578" w:type="pct"/>
            <w:tcBorders>
              <w:top w:val="single" w:sz="4" w:space="0" w:color="auto"/>
              <w:left w:val="single" w:sz="4" w:space="0" w:color="auto"/>
              <w:bottom w:val="single" w:sz="4" w:space="0" w:color="auto"/>
              <w:right w:val="single" w:sz="4" w:space="0" w:color="auto"/>
            </w:tcBorders>
            <w:shd w:val="clear" w:color="000000" w:fill="F2F2F2"/>
            <w:vAlign w:val="center"/>
          </w:tcPr>
          <w:p w14:paraId="2AD4878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12 404,5</w:t>
            </w:r>
          </w:p>
        </w:tc>
        <w:tc>
          <w:tcPr>
            <w:tcW w:w="705" w:type="pct"/>
            <w:tcBorders>
              <w:top w:val="single" w:sz="4" w:space="0" w:color="auto"/>
              <w:left w:val="single" w:sz="4" w:space="0" w:color="auto"/>
              <w:bottom w:val="single" w:sz="4" w:space="0" w:color="auto"/>
              <w:right w:val="single" w:sz="4" w:space="0" w:color="auto"/>
            </w:tcBorders>
            <w:shd w:val="clear" w:color="000000" w:fill="F2F2F2"/>
            <w:vAlign w:val="center"/>
          </w:tcPr>
          <w:p w14:paraId="3660D09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11 411,4</w:t>
            </w:r>
          </w:p>
        </w:tc>
        <w:tc>
          <w:tcPr>
            <w:tcW w:w="602" w:type="pct"/>
            <w:tcBorders>
              <w:top w:val="single" w:sz="4" w:space="0" w:color="auto"/>
              <w:left w:val="single" w:sz="4" w:space="0" w:color="auto"/>
              <w:bottom w:val="single" w:sz="4" w:space="0" w:color="auto"/>
              <w:right w:val="double" w:sz="6" w:space="0" w:color="auto"/>
            </w:tcBorders>
            <w:shd w:val="clear" w:color="000000" w:fill="F2F2F2"/>
            <w:vAlign w:val="center"/>
          </w:tcPr>
          <w:p w14:paraId="3B2E01D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438C04DC" w14:textId="77777777" w:rsidTr="00A51B25">
        <w:trPr>
          <w:trHeight w:val="1250"/>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3F272923"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620472"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100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3751765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173,0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4B36854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173,0</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05A4F20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173,0</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23E5D79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5C4DAEA6" w14:textId="77777777" w:rsidTr="00A51B25">
        <w:trPr>
          <w:trHeight w:val="545"/>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6DA33952"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Закупка товаров, работ и услуг для обеспечения государственных (муниципальных) нужд</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AF0FB"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200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4F5BA02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14,4</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91AEEC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14,4</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694610A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14,4</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3FF95C1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313AD008" w14:textId="77777777" w:rsidTr="00A51B25">
        <w:trPr>
          <w:trHeight w:val="181"/>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2B31F22B"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Социальное обеспечение и иные выплаты населению</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24299F"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300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245D95F9"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0,1</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354F49C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0,1</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3DCEF6D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0,1</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47E181BB"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75,9</w:t>
            </w:r>
          </w:p>
        </w:tc>
      </w:tr>
      <w:tr w:rsidR="00FD7B0B" w:rsidRPr="00FD7B0B" w14:paraId="77BF5CE2" w14:textId="77777777" w:rsidTr="00A51B25">
        <w:trPr>
          <w:trHeight w:val="65"/>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384B885E"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Межбюджетные трансферты</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BB403C"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500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E9C1F9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2737,9</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6744C2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2720,2</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569B4B4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1727,2</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1EA33F4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63,5</w:t>
            </w:r>
          </w:p>
        </w:tc>
      </w:tr>
      <w:tr w:rsidR="00FD7B0B" w:rsidRPr="00FD7B0B" w14:paraId="5565529D" w14:textId="77777777" w:rsidTr="00A51B25">
        <w:trPr>
          <w:trHeight w:val="531"/>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035B3EFE"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Предоставление субсидий бюджетным, автономным учреждениям и иным некоммерческим организациям</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8C5789"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600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490704A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328,9</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D49508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328,6</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70A251A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328,6</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1E23905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0A9693C6" w14:textId="77777777" w:rsidTr="00A51B25">
        <w:trPr>
          <w:trHeight w:val="43"/>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2B1F384A"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бюджетные ассигнования</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F2DE5"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800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2C50A12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8 855,8</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C44264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9 168,1</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4D7D069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9 168,1</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5073EEA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72E7D0EC" w14:textId="77777777" w:rsidTr="00A51B25">
        <w:trPr>
          <w:trHeight w:val="56"/>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4DAFBB04"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Контрактуемые расходы, всего</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A6691C"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301B3D2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14,4</w:t>
            </w:r>
          </w:p>
        </w:tc>
        <w:tc>
          <w:tcPr>
            <w:tcW w:w="578" w:type="pct"/>
            <w:tcBorders>
              <w:top w:val="single" w:sz="4" w:space="0" w:color="auto"/>
              <w:left w:val="single" w:sz="4" w:space="0" w:color="auto"/>
              <w:bottom w:val="single" w:sz="4" w:space="0" w:color="auto"/>
              <w:right w:val="single" w:sz="4" w:space="0" w:color="auto"/>
            </w:tcBorders>
            <w:shd w:val="clear" w:color="auto" w:fill="auto"/>
          </w:tcPr>
          <w:p w14:paraId="2005BCD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14,4</w:t>
            </w:r>
          </w:p>
        </w:tc>
        <w:tc>
          <w:tcPr>
            <w:tcW w:w="705" w:type="pct"/>
            <w:tcBorders>
              <w:top w:val="single" w:sz="4" w:space="0" w:color="auto"/>
              <w:left w:val="single" w:sz="4" w:space="0" w:color="auto"/>
              <w:bottom w:val="single" w:sz="4" w:space="0" w:color="auto"/>
              <w:right w:val="single" w:sz="4" w:space="0" w:color="auto"/>
            </w:tcBorders>
            <w:shd w:val="clear" w:color="auto" w:fill="auto"/>
          </w:tcPr>
          <w:p w14:paraId="1729418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14,4</w:t>
            </w:r>
          </w:p>
        </w:tc>
        <w:tc>
          <w:tcPr>
            <w:tcW w:w="602" w:type="pct"/>
            <w:tcBorders>
              <w:top w:val="single" w:sz="4" w:space="0" w:color="auto"/>
              <w:left w:val="single" w:sz="4" w:space="0" w:color="auto"/>
              <w:bottom w:val="single" w:sz="4" w:space="0" w:color="auto"/>
              <w:right w:val="double" w:sz="6" w:space="0" w:color="auto"/>
            </w:tcBorders>
            <w:shd w:val="clear" w:color="auto" w:fill="auto"/>
          </w:tcPr>
          <w:p w14:paraId="24C3498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4F47E72E" w14:textId="77777777" w:rsidTr="00A51B25">
        <w:trPr>
          <w:trHeight w:val="209"/>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4246DFA0"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т.ч.</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FDDA90"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2CB68D3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72538A8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09F77029"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7496910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r>
      <w:tr w:rsidR="00FD7B0B" w:rsidRPr="00FD7B0B" w14:paraId="2E1230E6" w14:textId="77777777" w:rsidTr="00A51B25">
        <w:trPr>
          <w:trHeight w:val="412"/>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147CBDEF"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Закупка работ и услуг для обеспечения государственных (муниципальных) нужд</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8F34B9"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240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60E647D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14,4</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7D5EEA8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14,4</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3D574A2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14,4</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58C58F2A"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51A353E0" w14:textId="77777777" w:rsidTr="00A51B25">
        <w:trPr>
          <w:trHeight w:val="262"/>
        </w:trPr>
        <w:tc>
          <w:tcPr>
            <w:tcW w:w="1978" w:type="pct"/>
            <w:tcBorders>
              <w:top w:val="single" w:sz="4" w:space="0" w:color="auto"/>
              <w:left w:val="double" w:sz="6" w:space="0" w:color="auto"/>
              <w:bottom w:val="single" w:sz="4" w:space="0" w:color="auto"/>
              <w:right w:val="single" w:sz="4" w:space="0" w:color="auto"/>
            </w:tcBorders>
            <w:shd w:val="clear" w:color="000000" w:fill="F2F2F2"/>
            <w:vAlign w:val="center"/>
            <w:hideMark/>
          </w:tcPr>
          <w:p w14:paraId="0AEABDF3"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ГРБС государственная жилищная инспекция Архангельской области</w:t>
            </w:r>
          </w:p>
        </w:tc>
        <w:tc>
          <w:tcPr>
            <w:tcW w:w="51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A85D74F"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p>
        </w:tc>
        <w:tc>
          <w:tcPr>
            <w:tcW w:w="62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A1EF3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96,7</w:t>
            </w:r>
          </w:p>
        </w:tc>
        <w:tc>
          <w:tcPr>
            <w:tcW w:w="5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62813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96,7</w:t>
            </w:r>
          </w:p>
        </w:tc>
        <w:tc>
          <w:tcPr>
            <w:tcW w:w="705" w:type="pct"/>
            <w:tcBorders>
              <w:top w:val="single" w:sz="4" w:space="0" w:color="auto"/>
              <w:left w:val="single" w:sz="4" w:space="0" w:color="auto"/>
              <w:bottom w:val="single" w:sz="4" w:space="0" w:color="auto"/>
              <w:right w:val="single" w:sz="4" w:space="0" w:color="auto"/>
            </w:tcBorders>
            <w:shd w:val="clear" w:color="000000" w:fill="F2F2F2"/>
            <w:vAlign w:val="center"/>
          </w:tcPr>
          <w:p w14:paraId="2405222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96,7</w:t>
            </w:r>
          </w:p>
        </w:tc>
        <w:tc>
          <w:tcPr>
            <w:tcW w:w="602" w:type="pct"/>
            <w:tcBorders>
              <w:top w:val="single" w:sz="4" w:space="0" w:color="auto"/>
              <w:left w:val="single" w:sz="4" w:space="0" w:color="auto"/>
              <w:bottom w:val="single" w:sz="4" w:space="0" w:color="auto"/>
              <w:right w:val="double" w:sz="6" w:space="0" w:color="auto"/>
            </w:tcBorders>
            <w:shd w:val="clear" w:color="000000" w:fill="F2F2F2"/>
            <w:vAlign w:val="center"/>
          </w:tcPr>
          <w:p w14:paraId="73FD25E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99,97</w:t>
            </w:r>
          </w:p>
        </w:tc>
      </w:tr>
      <w:tr w:rsidR="00FD7B0B" w:rsidRPr="00FD7B0B" w14:paraId="6E14E31A" w14:textId="77777777" w:rsidTr="00A51B25">
        <w:trPr>
          <w:trHeight w:val="959"/>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01D58D1F"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3A271"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100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2CBD47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85,0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70A3D7E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85,4</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589E11C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85,4</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431DECD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15039DBA" w14:textId="77777777" w:rsidTr="00A51B25">
        <w:trPr>
          <w:trHeight w:val="551"/>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32595036"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Закупка товаров, работ и услуг для обеспечения государственных (муниципальных) нужд</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66F385"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200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33990F3B"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5,7</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11EA231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5E50652B"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4D46179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99,5</w:t>
            </w:r>
          </w:p>
        </w:tc>
      </w:tr>
      <w:tr w:rsidR="00FD7B0B" w:rsidRPr="00FD7B0B" w14:paraId="16750D74" w14:textId="77777777" w:rsidTr="00A51B25">
        <w:trPr>
          <w:trHeight w:val="348"/>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46C69FF1"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Социальное обеспечение и иные выплаты населению</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F2C34E"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300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183B709D"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3B5BF26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516E47A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0EC0D34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6BC85536" w14:textId="77777777" w:rsidTr="00A51B25">
        <w:trPr>
          <w:trHeight w:val="47"/>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2391CE65"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Межбюджетные трансферты</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A7B576"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500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BE92F4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5,9</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1BC6C41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5,9</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335D099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5,9</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13457C9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0B809C11" w14:textId="77777777" w:rsidTr="00A51B25">
        <w:trPr>
          <w:trHeight w:val="495"/>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7F79DB98"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Предоставление субсидий бюджетным, автономным учреждениям и иным некоммерческим организациям</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EA547A"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600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38B7825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7310426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51CF9BCB"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24988DB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1CAF0525" w14:textId="77777777" w:rsidTr="004D6B99">
        <w:trPr>
          <w:trHeight w:val="248"/>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5FEFE6B4"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бюджетные ассигнования</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727FE1"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800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70A0913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0,1</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AEFA07A"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35EC5CD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47B2428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3053A003" w14:textId="77777777" w:rsidTr="00A51B25">
        <w:trPr>
          <w:trHeight w:val="98"/>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01651697"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Контрактуемые расходы, всего</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205089"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8BE5BA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5,7</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19CF10B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37C1F69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271D766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99,6</w:t>
            </w:r>
          </w:p>
        </w:tc>
      </w:tr>
      <w:tr w:rsidR="00FD7B0B" w:rsidRPr="00FD7B0B" w14:paraId="41C09590" w14:textId="77777777" w:rsidTr="00A51B25">
        <w:trPr>
          <w:trHeight w:val="174"/>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132E6A16"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т.ч.</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14:paraId="76A87D0B"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38D211E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E05649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5FF1E6DA"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5E3210E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r>
      <w:tr w:rsidR="00FD7B0B" w:rsidRPr="00FD7B0B" w14:paraId="769032BE" w14:textId="77777777" w:rsidTr="00A51B25">
        <w:trPr>
          <w:trHeight w:val="273"/>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14368F01"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Закупка работ и услуг для обеспечения государственных (муниципальных) нужд</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18DD1A"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240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30E6E9B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5,7</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5A0DEF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27962FCD"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47B49A4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99,6</w:t>
            </w:r>
          </w:p>
        </w:tc>
      </w:tr>
      <w:tr w:rsidR="00FD7B0B" w:rsidRPr="00FD7B0B" w14:paraId="34FF6DC0" w14:textId="77777777" w:rsidTr="007A2F2B">
        <w:trPr>
          <w:trHeight w:val="152"/>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14F79AC3" w14:textId="77777777" w:rsidR="00A51B25" w:rsidRPr="00FD7B0B" w:rsidRDefault="00A51B25" w:rsidP="00A51B25">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Всего</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F8E881"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CFC8982" w14:textId="77777777" w:rsidR="00A51B25" w:rsidRPr="00FD7B0B" w:rsidRDefault="00A51B25" w:rsidP="00A51B25">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12 206,8</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F3428C0" w14:textId="77777777" w:rsidR="00A51B25" w:rsidRPr="00FD7B0B" w:rsidRDefault="00A51B25" w:rsidP="00A51B25">
            <w:pPr>
              <w:spacing w:after="0" w:line="240" w:lineRule="auto"/>
              <w:ind w:left="-260" w:right="-156"/>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12 501,2</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6F0C367F" w14:textId="77777777" w:rsidR="00A51B25" w:rsidRPr="00FD7B0B" w:rsidRDefault="00A51B25" w:rsidP="00A51B25">
            <w:pPr>
              <w:spacing w:after="0" w:line="240" w:lineRule="auto"/>
              <w:ind w:right="-14"/>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11 508,2</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4293A3CB" w14:textId="77777777" w:rsidR="00A51B25" w:rsidRPr="00FD7B0B" w:rsidRDefault="00A51B25" w:rsidP="00A51B25">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92,1</w:t>
            </w:r>
          </w:p>
        </w:tc>
      </w:tr>
      <w:tr w:rsidR="00FD7B0B" w:rsidRPr="00FD7B0B" w14:paraId="4D37F0F0" w14:textId="77777777" w:rsidTr="00A51B25">
        <w:trPr>
          <w:trHeight w:val="1098"/>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462231C5"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DC364C"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hAnsi="Times New Roman" w:cs="Times New Roman"/>
              </w:rPr>
              <w:t>100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231BD26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258,0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7D62CC1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258,4</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523CB46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258,4</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7DE1744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6CBB63A0" w14:textId="77777777" w:rsidTr="00A51B25">
        <w:trPr>
          <w:trHeight w:val="369"/>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7622F2F0"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lastRenderedPageBreak/>
              <w:t>Закупка товаров, работ и услуг для обеспечения государственных (муниципальных) нужд</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CED38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A95C31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20,1</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3E69925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19,9</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7320A0D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19,8</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45C68A7B"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99,9</w:t>
            </w:r>
          </w:p>
        </w:tc>
      </w:tr>
      <w:tr w:rsidR="00FD7B0B" w:rsidRPr="00FD7B0B" w14:paraId="71FD5C86" w14:textId="77777777" w:rsidTr="00A51B25">
        <w:trPr>
          <w:trHeight w:val="166"/>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6BE9F43F"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Социальное обеспечение и иные выплаты населению</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4C104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4619ED6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0,1</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BB47DC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0,1</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064AF9F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0,1</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0564402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75,9</w:t>
            </w:r>
          </w:p>
        </w:tc>
      </w:tr>
      <w:tr w:rsidR="00FD7B0B" w:rsidRPr="00FD7B0B" w14:paraId="39B152E3" w14:textId="77777777" w:rsidTr="00A51B25">
        <w:trPr>
          <w:trHeight w:val="193"/>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1FD36A68"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Межбюджетные трансферты</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A5D6A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12860FD"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2743,8</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151DBD1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2726,1</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30EB62B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1733,1</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5136ADAB"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63,6</w:t>
            </w:r>
          </w:p>
        </w:tc>
      </w:tr>
      <w:tr w:rsidR="00FD7B0B" w:rsidRPr="00FD7B0B" w14:paraId="64091888" w14:textId="77777777" w:rsidTr="00A51B25">
        <w:trPr>
          <w:trHeight w:val="467"/>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62C5992B"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Предоставление субсидий бюджетным, автономным учреждениям и иным некоммерческим организациям</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91E42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64E9BA3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328,9</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75992C29"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328,6</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104027D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328,6</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0845423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348B1E78" w14:textId="77777777" w:rsidTr="00A51B25">
        <w:trPr>
          <w:trHeight w:val="176"/>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4BFF053A"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Иные бюджетные ассигнования</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786A8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800</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539B5219"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8856,0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A9648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9168,1</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658126B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9168,1</w:t>
            </w: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26B623E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100,0</w:t>
            </w:r>
          </w:p>
        </w:tc>
      </w:tr>
      <w:tr w:rsidR="00FD7B0B" w:rsidRPr="00FD7B0B" w14:paraId="5A592EC3" w14:textId="77777777" w:rsidTr="00A51B25">
        <w:trPr>
          <w:trHeight w:val="94"/>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581CB01E"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Контрактуемые расходы, всего</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9D568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320D348A"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20,1</w:t>
            </w:r>
          </w:p>
        </w:tc>
        <w:tc>
          <w:tcPr>
            <w:tcW w:w="578" w:type="pct"/>
            <w:tcBorders>
              <w:top w:val="single" w:sz="4" w:space="0" w:color="auto"/>
              <w:left w:val="single" w:sz="4" w:space="0" w:color="auto"/>
              <w:bottom w:val="single" w:sz="4" w:space="0" w:color="auto"/>
              <w:right w:val="single" w:sz="4" w:space="0" w:color="auto"/>
            </w:tcBorders>
            <w:shd w:val="clear" w:color="auto" w:fill="auto"/>
          </w:tcPr>
          <w:p w14:paraId="3FA54E2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19,9</w:t>
            </w:r>
          </w:p>
        </w:tc>
        <w:tc>
          <w:tcPr>
            <w:tcW w:w="705" w:type="pct"/>
            <w:tcBorders>
              <w:top w:val="single" w:sz="4" w:space="0" w:color="auto"/>
              <w:left w:val="single" w:sz="4" w:space="0" w:color="auto"/>
              <w:bottom w:val="single" w:sz="4" w:space="0" w:color="auto"/>
              <w:right w:val="single" w:sz="4" w:space="0" w:color="auto"/>
            </w:tcBorders>
            <w:shd w:val="clear" w:color="auto" w:fill="auto"/>
          </w:tcPr>
          <w:p w14:paraId="43B3F49A"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19,8</w:t>
            </w:r>
          </w:p>
        </w:tc>
        <w:tc>
          <w:tcPr>
            <w:tcW w:w="602" w:type="pct"/>
            <w:tcBorders>
              <w:top w:val="single" w:sz="4" w:space="0" w:color="auto"/>
              <w:left w:val="single" w:sz="4" w:space="0" w:color="auto"/>
              <w:bottom w:val="single" w:sz="4" w:space="0" w:color="auto"/>
              <w:right w:val="double" w:sz="6" w:space="0" w:color="auto"/>
            </w:tcBorders>
            <w:shd w:val="clear" w:color="auto" w:fill="auto"/>
          </w:tcPr>
          <w:p w14:paraId="69BB87E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99,9</w:t>
            </w:r>
          </w:p>
        </w:tc>
      </w:tr>
      <w:tr w:rsidR="00FD7B0B" w:rsidRPr="00FD7B0B" w14:paraId="028A624E" w14:textId="77777777" w:rsidTr="00A51B25">
        <w:trPr>
          <w:trHeight w:val="47"/>
        </w:trPr>
        <w:tc>
          <w:tcPr>
            <w:tcW w:w="1978" w:type="pct"/>
            <w:tcBorders>
              <w:top w:val="single" w:sz="4" w:space="0" w:color="auto"/>
              <w:left w:val="double" w:sz="6" w:space="0" w:color="auto"/>
              <w:bottom w:val="single" w:sz="4" w:space="0" w:color="auto"/>
              <w:right w:val="single" w:sz="4" w:space="0" w:color="auto"/>
            </w:tcBorders>
            <w:shd w:val="clear" w:color="auto" w:fill="auto"/>
            <w:vAlign w:val="center"/>
            <w:hideMark/>
          </w:tcPr>
          <w:p w14:paraId="2A63CF20"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т.ч.</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0DC1C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tcPr>
          <w:p w14:paraId="74CF261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49F5087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14:paraId="585180A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c>
          <w:tcPr>
            <w:tcW w:w="602" w:type="pct"/>
            <w:tcBorders>
              <w:top w:val="single" w:sz="4" w:space="0" w:color="auto"/>
              <w:left w:val="single" w:sz="4" w:space="0" w:color="auto"/>
              <w:bottom w:val="single" w:sz="4" w:space="0" w:color="auto"/>
              <w:right w:val="double" w:sz="6" w:space="0" w:color="auto"/>
            </w:tcBorders>
            <w:shd w:val="clear" w:color="auto" w:fill="auto"/>
            <w:vAlign w:val="center"/>
          </w:tcPr>
          <w:p w14:paraId="49C0BFC9"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p>
        </w:tc>
      </w:tr>
      <w:tr w:rsidR="00A51B25" w:rsidRPr="00FD7B0B" w14:paraId="15C8F820" w14:textId="77777777" w:rsidTr="007A2F2B">
        <w:trPr>
          <w:trHeight w:val="395"/>
        </w:trPr>
        <w:tc>
          <w:tcPr>
            <w:tcW w:w="1978" w:type="pct"/>
            <w:tcBorders>
              <w:top w:val="single" w:sz="4" w:space="0" w:color="auto"/>
              <w:left w:val="double" w:sz="6" w:space="0" w:color="auto"/>
              <w:bottom w:val="double" w:sz="6" w:space="0" w:color="auto"/>
              <w:right w:val="single" w:sz="4" w:space="0" w:color="auto"/>
            </w:tcBorders>
            <w:shd w:val="clear" w:color="auto" w:fill="auto"/>
            <w:vAlign w:val="center"/>
          </w:tcPr>
          <w:p w14:paraId="11EA0D7A"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Закупка работ и услуг для обеспечения государственных (муниципальных) нужд</w:t>
            </w:r>
          </w:p>
        </w:tc>
        <w:tc>
          <w:tcPr>
            <w:tcW w:w="514" w:type="pct"/>
            <w:tcBorders>
              <w:top w:val="single" w:sz="4" w:space="0" w:color="auto"/>
              <w:left w:val="single" w:sz="4" w:space="0" w:color="auto"/>
              <w:bottom w:val="double" w:sz="6" w:space="0" w:color="auto"/>
              <w:right w:val="single" w:sz="4" w:space="0" w:color="auto"/>
            </w:tcBorders>
            <w:shd w:val="clear" w:color="auto" w:fill="auto"/>
            <w:vAlign w:val="center"/>
          </w:tcPr>
          <w:p w14:paraId="5B13AB3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200</w:t>
            </w:r>
          </w:p>
        </w:tc>
        <w:tc>
          <w:tcPr>
            <w:tcW w:w="623" w:type="pct"/>
            <w:tcBorders>
              <w:top w:val="single" w:sz="4" w:space="0" w:color="auto"/>
              <w:left w:val="single" w:sz="4" w:space="0" w:color="auto"/>
              <w:bottom w:val="double" w:sz="6" w:space="0" w:color="auto"/>
              <w:right w:val="single" w:sz="4" w:space="0" w:color="auto"/>
            </w:tcBorders>
            <w:shd w:val="clear" w:color="auto" w:fill="auto"/>
            <w:vAlign w:val="center"/>
          </w:tcPr>
          <w:p w14:paraId="1C9BEF5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20,1</w:t>
            </w:r>
          </w:p>
        </w:tc>
        <w:tc>
          <w:tcPr>
            <w:tcW w:w="578" w:type="pct"/>
            <w:tcBorders>
              <w:top w:val="single" w:sz="4" w:space="0" w:color="auto"/>
              <w:left w:val="single" w:sz="4" w:space="0" w:color="auto"/>
              <w:bottom w:val="double" w:sz="6" w:space="0" w:color="auto"/>
              <w:right w:val="single" w:sz="4" w:space="0" w:color="auto"/>
            </w:tcBorders>
            <w:shd w:val="clear" w:color="auto" w:fill="auto"/>
            <w:vAlign w:val="center"/>
          </w:tcPr>
          <w:p w14:paraId="2539A35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19,9</w:t>
            </w:r>
          </w:p>
        </w:tc>
        <w:tc>
          <w:tcPr>
            <w:tcW w:w="705" w:type="pct"/>
            <w:tcBorders>
              <w:top w:val="single" w:sz="4" w:space="0" w:color="auto"/>
              <w:left w:val="single" w:sz="4" w:space="0" w:color="auto"/>
              <w:bottom w:val="double" w:sz="6" w:space="0" w:color="auto"/>
              <w:right w:val="single" w:sz="4" w:space="0" w:color="auto"/>
            </w:tcBorders>
            <w:shd w:val="clear" w:color="auto" w:fill="auto"/>
            <w:vAlign w:val="center"/>
          </w:tcPr>
          <w:p w14:paraId="2F3C061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19,8</w:t>
            </w:r>
          </w:p>
        </w:tc>
        <w:tc>
          <w:tcPr>
            <w:tcW w:w="602" w:type="pct"/>
            <w:tcBorders>
              <w:top w:val="single" w:sz="4" w:space="0" w:color="auto"/>
              <w:left w:val="single" w:sz="4" w:space="0" w:color="auto"/>
              <w:bottom w:val="double" w:sz="6" w:space="0" w:color="auto"/>
              <w:right w:val="double" w:sz="6" w:space="0" w:color="auto"/>
            </w:tcBorders>
            <w:shd w:val="clear" w:color="auto" w:fill="auto"/>
            <w:vAlign w:val="center"/>
          </w:tcPr>
          <w:p w14:paraId="2CC17C4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99,9</w:t>
            </w:r>
          </w:p>
        </w:tc>
      </w:tr>
    </w:tbl>
    <w:p w14:paraId="348361CC" w14:textId="77777777" w:rsidR="007A2F2B" w:rsidRPr="00FD7B0B" w:rsidRDefault="007A2F2B" w:rsidP="007A2F2B">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p>
    <w:p w14:paraId="59E398AC" w14:textId="77777777" w:rsidR="00A51B25" w:rsidRPr="00FD7B0B" w:rsidRDefault="00A51B25" w:rsidP="007A2F2B">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проекту отчета о реализации мероприятий ГП №17 за 2024 год, представленному министерством ТЭК и ЖКХ АО (в ред. от 16.04.2025), кассовые расходы за счет средств федерального и областного бюджетов составили в общей сумме 11 508,2 млн.руб. или 91,2 % к уточненной сводной бюджетной росписи на 31.12.2024.</w:t>
      </w:r>
    </w:p>
    <w:p w14:paraId="51498E6E" w14:textId="77777777" w:rsidR="004D6B99" w:rsidRPr="00FD7B0B" w:rsidRDefault="004D6B99" w:rsidP="004D6B99">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Наиболее низкий процент исполнения (63,6 %) отмечаем по виду расходов 500 «Межбюджетные трансферты» (ответственный исполнитель - министерство ТЭК и ЖКХ АО), в том числе за счет неполного освоения средств:</w:t>
      </w:r>
    </w:p>
    <w:p w14:paraId="0DE9FF23" w14:textId="77777777" w:rsidR="004D6B99" w:rsidRPr="00FD7B0B" w:rsidRDefault="004D6B99" w:rsidP="004D6B99">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по иным межбюджетным трансфертам бюджетам муниципальных округов и городских округов Архангельской области на модернизацию (строительство) котельных на твердом биотопливе, источником финансового обеспечения которых является специальный казначейский кредит. Кассовое исполнение составило 1 008,3 млн.руб. или 50,4 % к СБР на 31.12.2024;</w:t>
      </w:r>
    </w:p>
    <w:p w14:paraId="64ED87C7" w14:textId="77777777" w:rsidR="004D6B99" w:rsidRPr="00FD7B0B" w:rsidRDefault="004D6B99" w:rsidP="004D6B99">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субсидий бюджетам муниципальных районов, муниципальных округов, городских округов и городских поселений Архангельской области на разработку проектно-сметной документации для строительства и реконструкции (модернизации) объектов питьевого водоснабжения. Кассовое исполнение составило 4,1 млн.руб. или 76,6% к СБР на 31.12.2024.</w:t>
      </w:r>
    </w:p>
    <w:p w14:paraId="005FCBAD" w14:textId="5E60CF7B"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Динамика исполнения мероприятий ГП АО в части контрактуемых расходов и межбюджетных трансфертов представлены на рисунках </w:t>
      </w:r>
      <w:r w:rsidR="00DD44FB" w:rsidRPr="00FD7B0B">
        <w:rPr>
          <w:rFonts w:ascii="Times New Roman" w:eastAsia="Times New Roman" w:hAnsi="Times New Roman" w:cs="Times New Roman"/>
          <w:sz w:val="28"/>
          <w:szCs w:val="28"/>
          <w:lang w:eastAsia="ru-RU"/>
        </w:rPr>
        <w:t>22</w:t>
      </w:r>
      <w:r w:rsidRPr="00FD7B0B">
        <w:rPr>
          <w:rFonts w:ascii="Times New Roman" w:eastAsia="Times New Roman" w:hAnsi="Times New Roman" w:cs="Times New Roman"/>
          <w:sz w:val="28"/>
          <w:szCs w:val="28"/>
          <w:lang w:eastAsia="ru-RU"/>
        </w:rPr>
        <w:t xml:space="preserve"> и </w:t>
      </w:r>
      <w:r w:rsidR="00DD44FB" w:rsidRPr="00FD7B0B">
        <w:rPr>
          <w:rFonts w:ascii="Times New Roman" w:eastAsia="Times New Roman" w:hAnsi="Times New Roman" w:cs="Times New Roman"/>
          <w:sz w:val="28"/>
          <w:szCs w:val="28"/>
          <w:lang w:eastAsia="ru-RU"/>
        </w:rPr>
        <w:t>23</w:t>
      </w:r>
      <w:r w:rsidRPr="00FD7B0B">
        <w:rPr>
          <w:rFonts w:ascii="Times New Roman" w:eastAsia="Times New Roman" w:hAnsi="Times New Roman" w:cs="Times New Roman"/>
          <w:sz w:val="28"/>
          <w:szCs w:val="28"/>
          <w:lang w:eastAsia="ru-RU"/>
        </w:rPr>
        <w:t>.</w:t>
      </w:r>
    </w:p>
    <w:p w14:paraId="6DA44701" w14:textId="3C28B821" w:rsidR="00996889" w:rsidRPr="00FD7B0B" w:rsidRDefault="00996889" w:rsidP="00996889">
      <w:pPr>
        <w:spacing w:after="0" w:line="240" w:lineRule="auto"/>
        <w:contextualSpacing/>
        <w:jc w:val="center"/>
        <w:rPr>
          <w:rFonts w:ascii="Times New Roman" w:eastAsia="Times New Roman" w:hAnsi="Times New Roman" w:cs="Times New Roman"/>
          <w:sz w:val="28"/>
          <w:szCs w:val="28"/>
          <w:lang w:eastAsia="ru-RU"/>
        </w:rPr>
      </w:pPr>
      <w:r w:rsidRPr="00FD7B0B">
        <w:rPr>
          <w:rFonts w:ascii="Times New Roman" w:eastAsia="Times New Roman" w:hAnsi="Times New Roman" w:cs="Times New Roman"/>
          <w:noProof/>
          <w:sz w:val="28"/>
          <w:szCs w:val="28"/>
          <w:lang w:eastAsia="ru-RU"/>
        </w:rPr>
        <w:drawing>
          <wp:inline distT="0" distB="0" distL="0" distR="0" wp14:anchorId="128F241A" wp14:editId="41419481">
            <wp:extent cx="4924069" cy="1700402"/>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70190" cy="1716329"/>
                    </a:xfrm>
                    <a:prstGeom prst="rect">
                      <a:avLst/>
                    </a:prstGeom>
                    <a:noFill/>
                  </pic:spPr>
                </pic:pic>
              </a:graphicData>
            </a:graphic>
          </wp:inline>
        </w:drawing>
      </w:r>
    </w:p>
    <w:p w14:paraId="2F07AD08"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Рисунок </w:t>
      </w:r>
      <w:r w:rsidRPr="00FD7B0B">
        <w:rPr>
          <w:rFonts w:ascii="Times New Roman" w:hAnsi="Times New Roman"/>
          <w:b/>
          <w:sz w:val="24"/>
          <w:szCs w:val="24"/>
        </w:rPr>
        <w:fldChar w:fldCharType="begin"/>
      </w:r>
      <w:r w:rsidRPr="00FD7B0B">
        <w:rPr>
          <w:rFonts w:ascii="Times New Roman" w:hAnsi="Times New Roman"/>
          <w:sz w:val="24"/>
          <w:szCs w:val="24"/>
        </w:rPr>
        <w:instrText xml:space="preserve"> SEQ Рисунок \* ARABIC </w:instrText>
      </w:r>
      <w:r w:rsidRPr="00FD7B0B">
        <w:rPr>
          <w:rFonts w:ascii="Times New Roman" w:hAnsi="Times New Roman"/>
          <w:b/>
          <w:sz w:val="24"/>
          <w:szCs w:val="24"/>
        </w:rPr>
        <w:fldChar w:fldCharType="separate"/>
      </w:r>
      <w:r w:rsidR="002959CD" w:rsidRPr="00FD7B0B">
        <w:rPr>
          <w:rFonts w:ascii="Times New Roman" w:hAnsi="Times New Roman"/>
          <w:noProof/>
          <w:sz w:val="24"/>
          <w:szCs w:val="24"/>
        </w:rPr>
        <w:t>22</w:t>
      </w:r>
      <w:r w:rsidRPr="00FD7B0B">
        <w:rPr>
          <w:rFonts w:ascii="Times New Roman" w:hAnsi="Times New Roman"/>
          <w:b/>
          <w:sz w:val="24"/>
          <w:szCs w:val="24"/>
        </w:rPr>
        <w:fldChar w:fldCharType="end"/>
      </w:r>
      <w:r w:rsidRPr="00FD7B0B">
        <w:rPr>
          <w:rFonts w:ascii="Times New Roman" w:hAnsi="Times New Roman"/>
          <w:sz w:val="24"/>
          <w:szCs w:val="24"/>
        </w:rPr>
        <w:t>. Расходы областного бюджета за 2024 год на реализацию мероприятий ГП №17 в части контрактуемых расходов, млн.руб.</w:t>
      </w:r>
    </w:p>
    <w:p w14:paraId="5485D64F" w14:textId="77777777" w:rsidR="00A51B25" w:rsidRPr="00FD7B0B" w:rsidRDefault="00A51B25" w:rsidP="00A51B25">
      <w:pPr>
        <w:spacing w:after="0" w:line="240" w:lineRule="auto"/>
        <w:contextualSpacing/>
        <w:rPr>
          <w:rFonts w:ascii="Times New Roman" w:hAnsi="Times New Roman"/>
          <w:sz w:val="24"/>
          <w:szCs w:val="24"/>
        </w:rPr>
      </w:pPr>
    </w:p>
    <w:p w14:paraId="2D7B7CB3" w14:textId="77777777" w:rsidR="00A51B25" w:rsidRPr="00FD7B0B" w:rsidRDefault="00A51B25" w:rsidP="00A51B25">
      <w:pPr>
        <w:spacing w:after="0" w:line="240" w:lineRule="auto"/>
        <w:contextualSpacing/>
        <w:jc w:val="center"/>
        <w:rPr>
          <w:rFonts w:ascii="Times New Roman" w:hAnsi="Times New Roman"/>
          <w:sz w:val="24"/>
          <w:szCs w:val="24"/>
        </w:rPr>
      </w:pPr>
      <w:r w:rsidRPr="00FD7B0B">
        <w:rPr>
          <w:noProof/>
          <w:lang w:eastAsia="ru-RU"/>
        </w:rPr>
        <w:drawing>
          <wp:inline distT="0" distB="0" distL="0" distR="0" wp14:anchorId="0D30E762" wp14:editId="1A2350F7">
            <wp:extent cx="4572000" cy="2209800"/>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56BBD5C"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Рисунок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Рисунок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23</w:t>
      </w:r>
      <w:r w:rsidRPr="00FD7B0B">
        <w:rPr>
          <w:rFonts w:ascii="Times New Roman" w:hAnsi="Times New Roman"/>
          <w:sz w:val="24"/>
          <w:szCs w:val="24"/>
        </w:rPr>
        <w:fldChar w:fldCharType="end"/>
      </w:r>
      <w:r w:rsidRPr="00FD7B0B">
        <w:rPr>
          <w:rFonts w:ascii="Times New Roman" w:hAnsi="Times New Roman"/>
          <w:sz w:val="24"/>
          <w:szCs w:val="24"/>
        </w:rPr>
        <w:t>. Расходы областного бюджета за 2024 год на реализацию мероприятий ГП №17 в части межбюджетных трансфертов, млн.руб.</w:t>
      </w:r>
    </w:p>
    <w:p w14:paraId="414C6690" w14:textId="77777777"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p>
    <w:p w14:paraId="314D7152" w14:textId="2995DA32"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b/>
          <w:sz w:val="28"/>
          <w:szCs w:val="28"/>
          <w:lang w:eastAsia="ru-RU"/>
        </w:rPr>
      </w:pPr>
      <w:r w:rsidRPr="00FD7B0B">
        <w:rPr>
          <w:rFonts w:ascii="Times New Roman" w:eastAsia="Times New Roman" w:hAnsi="Times New Roman"/>
          <w:sz w:val="28"/>
          <w:szCs w:val="28"/>
          <w:lang w:eastAsia="ru-RU"/>
        </w:rPr>
        <w:t>Региональным проектом «Чистая вода (Архангельская область)»</w:t>
      </w:r>
      <w:r w:rsidRPr="00FD7B0B">
        <w:rPr>
          <w:rFonts w:ascii="Times New Roman" w:eastAsia="Times New Roman" w:hAnsi="Times New Roman"/>
          <w:b/>
          <w:sz w:val="28"/>
          <w:szCs w:val="28"/>
          <w:lang w:eastAsia="ru-RU"/>
        </w:rPr>
        <w:t xml:space="preserve"> </w:t>
      </w:r>
      <w:r w:rsidRPr="00FD7B0B">
        <w:rPr>
          <w:rFonts w:ascii="Times New Roman" w:eastAsia="Times New Roman" w:hAnsi="Times New Roman" w:cs="Times New Roman"/>
          <w:sz w:val="28"/>
          <w:szCs w:val="28"/>
          <w:lang w:eastAsia="ru-RU"/>
        </w:rPr>
        <w:t>в 2024 году предусмотрено одно мероприятие «Реализованы мероприятия по строительству и реконструкции (модернизации) объектов питьевого водоснабжения, предусмотренные региональной программой повышения качества водоснабжения». Согласно проекту отчета о реализации мероприятий ГП №</w:t>
      </w:r>
      <w:r w:rsidR="00996889"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17, предоставленному министерством ТЭК и ЖКХ АО (в ред. от 16.04.2025), общая сумма расходов на реализацию мероприятия за счет всех источников составила 500,7 млн.руб. (100,5</w:t>
      </w:r>
      <w:r w:rsidR="00996889"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из 498,2 млн.руб. предусмотренного финансирования.</w:t>
      </w:r>
    </w:p>
    <w:p w14:paraId="5F4BE6D0" w14:textId="77777777"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p>
    <w:p w14:paraId="7DE2B438" w14:textId="77777777" w:rsidR="00A51B25" w:rsidRPr="00FD7B0B" w:rsidRDefault="00A51B25" w:rsidP="00A51B25">
      <w:pPr>
        <w:tabs>
          <w:tab w:val="left" w:pos="0"/>
          <w:tab w:val="left" w:pos="709"/>
        </w:tabs>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sz w:val="28"/>
          <w:szCs w:val="28"/>
          <w:lang w:eastAsia="ru-RU"/>
        </w:rPr>
        <w:t>Комплексом процессных мероприятий «Создание условий для обеспечения граждан Архангельской области качественными услугами жилищно-коммунального хозяйства» в</w:t>
      </w:r>
      <w:r w:rsidRPr="00FD7B0B">
        <w:rPr>
          <w:rFonts w:ascii="Times New Roman" w:eastAsia="Times New Roman" w:hAnsi="Times New Roman" w:cs="Times New Roman"/>
          <w:sz w:val="28"/>
          <w:szCs w:val="28"/>
          <w:lang w:eastAsia="ru-RU"/>
        </w:rPr>
        <w:t xml:space="preserve"> отчетном периоде планировалось и осуществлялась реализация 21 мероприятия, в том числе:</w:t>
      </w:r>
    </w:p>
    <w:p w14:paraId="7D28C672" w14:textId="6537D8BD" w:rsidR="00A51B25" w:rsidRPr="00FD7B0B" w:rsidRDefault="00A51B25" w:rsidP="00A51B2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по задаче № 1 – энергосбережение и повышение энергетической эффективности в Архангельской области в отчетном периоде осуществлялась реализация 9 мероприятий, по 2 из которых не достигнуты плановые значения мероприятий (результата) (по строительству сетей теплоснабжения (на 34,3</w:t>
      </w:r>
      <w:r w:rsidR="00996889"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водоснабжения и водоотведения (на 28,6</w:t>
      </w:r>
      <w:r w:rsidR="00996889"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в рамках инвестиционных программ предприятий);</w:t>
      </w:r>
    </w:p>
    <w:p w14:paraId="2051F83B" w14:textId="0B7B3669" w:rsidR="00A51B25" w:rsidRPr="00FD7B0B" w:rsidRDefault="00A51B25" w:rsidP="00A51B2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 по задаче № 2 – формирование эффективной системы организации и управления в сфере энергетики и жилищно-коммунального хозяйства Архангельской области в отчетном периоде осуществлялась реализация 12 мероприятий, </w:t>
      </w:r>
      <w:r w:rsidRPr="00FD7B0B">
        <w:rPr>
          <w:rFonts w:ascii="Times New Roman" w:eastAsia="Times New Roman" w:hAnsi="Times New Roman"/>
          <w:sz w:val="28"/>
          <w:szCs w:val="28"/>
          <w:lang w:eastAsia="ru-RU"/>
        </w:rPr>
        <w:t>которые на отчетную дату выполнены.</w:t>
      </w:r>
    </w:p>
    <w:p w14:paraId="03ACA9CF" w14:textId="10E314F7" w:rsidR="00A51B25" w:rsidRPr="00FD7B0B" w:rsidRDefault="00A51B25" w:rsidP="00A51B2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проекту отчета о реализации мероприятий ГП №</w:t>
      </w:r>
      <w:r w:rsidR="003E7CB0"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xml:space="preserve">17, представленному министерством (в ред. от 16.04.2025), общая сумма расходов на реализацию мероприятий за счет всех источников составила </w:t>
      </w:r>
      <w:r w:rsidRPr="00FD7B0B">
        <w:rPr>
          <w:rFonts w:ascii="Times New Roman" w:eastAsia="Times New Roman" w:hAnsi="Times New Roman"/>
          <w:sz w:val="28"/>
          <w:szCs w:val="28"/>
          <w:lang w:eastAsia="ru-RU"/>
        </w:rPr>
        <w:br/>
        <w:t>9 781,0 млн.руб., кассовый расход средств составил 9 780,9 млн.руб.</w:t>
      </w:r>
    </w:p>
    <w:p w14:paraId="66CB88C1" w14:textId="3555F959" w:rsidR="00A51B25" w:rsidRPr="00FD7B0B" w:rsidRDefault="00A51B25" w:rsidP="00A51B2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 xml:space="preserve">Информация об утвержденных бюджетных ассигнованиях на 2024 год по ГП № 17, в части возмещения выпадающих доходов, представлена </w:t>
      </w:r>
      <w:r w:rsidRPr="00FD7B0B">
        <w:rPr>
          <w:rFonts w:ascii="Times New Roman" w:eastAsia="Times New Roman" w:hAnsi="Times New Roman"/>
          <w:sz w:val="28"/>
          <w:szCs w:val="28"/>
          <w:lang w:eastAsia="ru-RU"/>
        </w:rPr>
        <w:br/>
        <w:t>в таблице</w:t>
      </w:r>
      <w:r w:rsidR="003E7CB0" w:rsidRPr="00FD7B0B">
        <w:rPr>
          <w:rFonts w:ascii="Times New Roman" w:eastAsia="Times New Roman" w:hAnsi="Times New Roman"/>
          <w:sz w:val="28"/>
          <w:szCs w:val="28"/>
          <w:lang w:eastAsia="ru-RU"/>
        </w:rPr>
        <w:t xml:space="preserve"> </w:t>
      </w:r>
      <w:r w:rsidR="00DD44FB" w:rsidRPr="00FD7B0B">
        <w:rPr>
          <w:rFonts w:ascii="Times New Roman" w:eastAsia="Times New Roman" w:hAnsi="Times New Roman"/>
          <w:sz w:val="28"/>
          <w:szCs w:val="28"/>
          <w:lang w:eastAsia="ru-RU"/>
        </w:rPr>
        <w:t>173</w:t>
      </w:r>
      <w:r w:rsidRPr="00FD7B0B">
        <w:rPr>
          <w:rFonts w:ascii="Times New Roman" w:eastAsia="Times New Roman" w:hAnsi="Times New Roman"/>
          <w:sz w:val="28"/>
          <w:szCs w:val="28"/>
          <w:lang w:eastAsia="ru-RU"/>
        </w:rPr>
        <w:t>.</w:t>
      </w:r>
    </w:p>
    <w:p w14:paraId="294A44CF" w14:textId="77777777" w:rsidR="00A51B25" w:rsidRPr="00FD7B0B" w:rsidRDefault="00A51B25" w:rsidP="00A51B25">
      <w:pPr>
        <w:spacing w:after="0" w:line="240" w:lineRule="auto"/>
        <w:contextualSpacing/>
        <w:rPr>
          <w:rFonts w:ascii="Times New Roman" w:hAnsi="Times New Roman"/>
          <w:sz w:val="24"/>
          <w:szCs w:val="24"/>
        </w:rPr>
      </w:pPr>
    </w:p>
    <w:p w14:paraId="213E73DF"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173</w:t>
      </w:r>
      <w:r w:rsidRPr="00FD7B0B">
        <w:rPr>
          <w:rFonts w:ascii="Times New Roman" w:hAnsi="Times New Roman"/>
          <w:sz w:val="24"/>
          <w:szCs w:val="24"/>
        </w:rPr>
        <w:fldChar w:fldCharType="end"/>
      </w:r>
      <w:r w:rsidRPr="00FD7B0B">
        <w:rPr>
          <w:rFonts w:ascii="Times New Roman" w:hAnsi="Times New Roman"/>
          <w:sz w:val="24"/>
          <w:szCs w:val="24"/>
        </w:rPr>
        <w:t>. Сопоставление бюджетных ассигнований на реализацию мероприятий по предоставлению субсидий на возмещение недополученных доходов, возникающих в результате государственного регулирования тарифов (цен) на коммунальные услуги, организациям коммунального комплекса за 2024 год</w:t>
      </w:r>
    </w:p>
    <w:tbl>
      <w:tblPr>
        <w:tblW w:w="9386"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2015"/>
        <w:gridCol w:w="1134"/>
        <w:gridCol w:w="1134"/>
        <w:gridCol w:w="1231"/>
        <w:gridCol w:w="1417"/>
        <w:gridCol w:w="1179"/>
        <w:gridCol w:w="1276"/>
      </w:tblGrid>
      <w:tr w:rsidR="00FD7B0B" w:rsidRPr="00FD7B0B" w14:paraId="2BD2FD06" w14:textId="77777777" w:rsidTr="00A51B25">
        <w:trPr>
          <w:trHeight w:val="565"/>
          <w:tblHeader/>
          <w:jc w:val="center"/>
        </w:trPr>
        <w:tc>
          <w:tcPr>
            <w:tcW w:w="2015" w:type="dxa"/>
            <w:shd w:val="clear" w:color="auto" w:fill="FFFFFF" w:themeFill="background1"/>
            <w:vAlign w:val="center"/>
            <w:hideMark/>
          </w:tcPr>
          <w:p w14:paraId="73EFEE1A"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Наименование субсидии</w:t>
            </w:r>
          </w:p>
        </w:tc>
        <w:tc>
          <w:tcPr>
            <w:tcW w:w="1134" w:type="dxa"/>
            <w:shd w:val="clear" w:color="auto" w:fill="FFFFFF" w:themeFill="background1"/>
            <w:vAlign w:val="center"/>
            <w:hideMark/>
          </w:tcPr>
          <w:p w14:paraId="568E4F3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Закон о бюджете, млн.руб.</w:t>
            </w:r>
          </w:p>
        </w:tc>
        <w:tc>
          <w:tcPr>
            <w:tcW w:w="1134" w:type="dxa"/>
            <w:shd w:val="clear" w:color="auto" w:fill="FFFFFF" w:themeFill="background1"/>
            <w:vAlign w:val="center"/>
            <w:hideMark/>
          </w:tcPr>
          <w:p w14:paraId="2C81968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СБР, млн.руб.</w:t>
            </w:r>
          </w:p>
        </w:tc>
        <w:tc>
          <w:tcPr>
            <w:tcW w:w="1231" w:type="dxa"/>
            <w:shd w:val="clear" w:color="auto" w:fill="FFFFFF" w:themeFill="background1"/>
            <w:vAlign w:val="center"/>
            <w:hideMark/>
          </w:tcPr>
          <w:p w14:paraId="0278463C" w14:textId="77777777" w:rsidR="00A51B25" w:rsidRPr="00FD7B0B" w:rsidRDefault="00A51B25" w:rsidP="00A51B25">
            <w:pPr>
              <w:spacing w:after="0" w:line="240" w:lineRule="auto"/>
              <w:ind w:left="-138" w:right="-7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ГП № 17 (</w:t>
            </w:r>
            <w:r w:rsidRPr="00FD7B0B">
              <w:rPr>
                <w:rFonts w:ascii="Times New Roman" w:eastAsia="Times New Roman" w:hAnsi="Times New Roman" w:cs="Times New Roman"/>
                <w:sz w:val="18"/>
                <w:lang w:eastAsia="ru-RU"/>
              </w:rPr>
              <w:t>паспорт КПМ, распоряжение министерства от 25.02.2025 № 88-р</w:t>
            </w:r>
            <w:r w:rsidRPr="00FD7B0B">
              <w:rPr>
                <w:rFonts w:ascii="Times New Roman" w:eastAsia="Times New Roman" w:hAnsi="Times New Roman" w:cs="Times New Roman"/>
                <w:lang w:eastAsia="ru-RU"/>
              </w:rPr>
              <w:t>), млн.руб.</w:t>
            </w:r>
          </w:p>
        </w:tc>
        <w:tc>
          <w:tcPr>
            <w:tcW w:w="1417" w:type="dxa"/>
            <w:shd w:val="clear" w:color="auto" w:fill="FFFFFF" w:themeFill="background1"/>
            <w:vAlign w:val="center"/>
            <w:hideMark/>
          </w:tcPr>
          <w:p w14:paraId="5B2B1E1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Кассовое исполнение, млн.руб.</w:t>
            </w:r>
          </w:p>
        </w:tc>
        <w:tc>
          <w:tcPr>
            <w:tcW w:w="1179" w:type="dxa"/>
            <w:shd w:val="clear" w:color="auto" w:fill="FFFFFF" w:themeFill="background1"/>
            <w:vAlign w:val="center"/>
            <w:hideMark/>
          </w:tcPr>
          <w:p w14:paraId="202D942D" w14:textId="77777777" w:rsidR="00A51B25" w:rsidRPr="00FD7B0B" w:rsidRDefault="00A51B25" w:rsidP="00A51B25">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выполнения к СБР</w:t>
            </w:r>
          </w:p>
        </w:tc>
        <w:tc>
          <w:tcPr>
            <w:tcW w:w="1276" w:type="dxa"/>
            <w:shd w:val="clear" w:color="auto" w:fill="FFFFFF" w:themeFill="background1"/>
            <w:vAlign w:val="center"/>
            <w:hideMark/>
          </w:tcPr>
          <w:p w14:paraId="0F9A4197" w14:textId="402A58EB" w:rsidR="00A51B25" w:rsidRPr="00FD7B0B" w:rsidRDefault="00A51B25" w:rsidP="00A51B25">
            <w:pPr>
              <w:spacing w:after="0" w:line="240" w:lineRule="auto"/>
              <w:ind w:left="-108" w:right="-108"/>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выполнения к ГП №</w:t>
            </w:r>
            <w:r w:rsidR="003E7CB0" w:rsidRPr="00FD7B0B">
              <w:rPr>
                <w:rFonts w:ascii="Times New Roman" w:eastAsia="Times New Roman" w:hAnsi="Times New Roman" w:cs="Times New Roman"/>
                <w:lang w:eastAsia="ru-RU"/>
              </w:rPr>
              <w:t xml:space="preserve"> </w:t>
            </w:r>
            <w:r w:rsidRPr="00FD7B0B">
              <w:rPr>
                <w:rFonts w:ascii="Times New Roman" w:eastAsia="Times New Roman" w:hAnsi="Times New Roman" w:cs="Times New Roman"/>
                <w:lang w:eastAsia="ru-RU"/>
              </w:rPr>
              <w:t>17</w:t>
            </w:r>
          </w:p>
        </w:tc>
      </w:tr>
      <w:tr w:rsidR="00FD7B0B" w:rsidRPr="00FD7B0B" w14:paraId="037D4B59" w14:textId="77777777" w:rsidTr="00A51B25">
        <w:trPr>
          <w:trHeight w:hRule="exact" w:val="255"/>
          <w:jc w:val="center"/>
        </w:trPr>
        <w:tc>
          <w:tcPr>
            <w:tcW w:w="2015" w:type="dxa"/>
            <w:shd w:val="clear" w:color="auto" w:fill="FFFFFF" w:themeFill="background1"/>
            <w:vAlign w:val="center"/>
            <w:hideMark/>
          </w:tcPr>
          <w:p w14:paraId="58418760" w14:textId="77777777" w:rsidR="00A51B25" w:rsidRPr="00FD7B0B" w:rsidRDefault="00A51B25" w:rsidP="00A51B2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3.1. Субсидия ∆Г</w:t>
            </w:r>
          </w:p>
        </w:tc>
        <w:tc>
          <w:tcPr>
            <w:tcW w:w="1134" w:type="dxa"/>
            <w:shd w:val="clear" w:color="auto" w:fill="FFFFFF" w:themeFill="background1"/>
            <w:noWrap/>
            <w:vAlign w:val="center"/>
            <w:hideMark/>
          </w:tcPr>
          <w:p w14:paraId="64F3508E"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229,5</w:t>
            </w:r>
          </w:p>
        </w:tc>
        <w:tc>
          <w:tcPr>
            <w:tcW w:w="1134" w:type="dxa"/>
            <w:shd w:val="clear" w:color="auto" w:fill="FFFFFF" w:themeFill="background1"/>
            <w:noWrap/>
            <w:vAlign w:val="center"/>
            <w:hideMark/>
          </w:tcPr>
          <w:p w14:paraId="656639E4"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272,5</w:t>
            </w:r>
          </w:p>
        </w:tc>
        <w:tc>
          <w:tcPr>
            <w:tcW w:w="1231" w:type="dxa"/>
            <w:shd w:val="clear" w:color="auto" w:fill="FFFFFF" w:themeFill="background1"/>
            <w:noWrap/>
            <w:vAlign w:val="center"/>
            <w:hideMark/>
          </w:tcPr>
          <w:p w14:paraId="1DC7C5A8"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272,5</w:t>
            </w:r>
          </w:p>
        </w:tc>
        <w:tc>
          <w:tcPr>
            <w:tcW w:w="1417" w:type="dxa"/>
            <w:shd w:val="clear" w:color="auto" w:fill="FFFFFF" w:themeFill="background1"/>
            <w:noWrap/>
            <w:vAlign w:val="center"/>
            <w:hideMark/>
          </w:tcPr>
          <w:p w14:paraId="13F6921B"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272,5</w:t>
            </w:r>
          </w:p>
        </w:tc>
        <w:tc>
          <w:tcPr>
            <w:tcW w:w="1179" w:type="dxa"/>
            <w:shd w:val="clear" w:color="auto" w:fill="FFFFFF" w:themeFill="background1"/>
            <w:noWrap/>
            <w:vAlign w:val="center"/>
            <w:hideMark/>
          </w:tcPr>
          <w:p w14:paraId="754FC1A4"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c>
          <w:tcPr>
            <w:tcW w:w="1276" w:type="dxa"/>
            <w:shd w:val="clear" w:color="auto" w:fill="FFFFFF" w:themeFill="background1"/>
            <w:noWrap/>
            <w:vAlign w:val="center"/>
            <w:hideMark/>
          </w:tcPr>
          <w:p w14:paraId="0FC49463"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r>
      <w:tr w:rsidR="00FD7B0B" w:rsidRPr="00FD7B0B" w14:paraId="073CFF2F" w14:textId="77777777" w:rsidTr="00A51B25">
        <w:trPr>
          <w:trHeight w:hRule="exact" w:val="255"/>
          <w:jc w:val="center"/>
        </w:trPr>
        <w:tc>
          <w:tcPr>
            <w:tcW w:w="2015" w:type="dxa"/>
            <w:shd w:val="clear" w:color="auto" w:fill="FFFFFF" w:themeFill="background1"/>
            <w:vAlign w:val="center"/>
            <w:hideMark/>
          </w:tcPr>
          <w:p w14:paraId="78C03D57" w14:textId="77777777" w:rsidR="00A51B25" w:rsidRPr="00FD7B0B" w:rsidRDefault="00A51B25" w:rsidP="00A51B2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 Субсидия ∆Э</w:t>
            </w:r>
          </w:p>
        </w:tc>
        <w:tc>
          <w:tcPr>
            <w:tcW w:w="1134" w:type="dxa"/>
            <w:shd w:val="clear" w:color="auto" w:fill="FFFFFF" w:themeFill="background1"/>
            <w:noWrap/>
            <w:vAlign w:val="center"/>
            <w:hideMark/>
          </w:tcPr>
          <w:p w14:paraId="01FE32A9"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1 563,2</w:t>
            </w:r>
          </w:p>
        </w:tc>
        <w:tc>
          <w:tcPr>
            <w:tcW w:w="1134" w:type="dxa"/>
            <w:shd w:val="clear" w:color="auto" w:fill="FFFFFF" w:themeFill="background1"/>
            <w:noWrap/>
            <w:vAlign w:val="center"/>
            <w:hideMark/>
          </w:tcPr>
          <w:p w14:paraId="0FEA4135"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1 767,5</w:t>
            </w:r>
          </w:p>
        </w:tc>
        <w:tc>
          <w:tcPr>
            <w:tcW w:w="1231" w:type="dxa"/>
            <w:shd w:val="clear" w:color="auto" w:fill="FFFFFF" w:themeFill="background1"/>
            <w:noWrap/>
            <w:vAlign w:val="center"/>
            <w:hideMark/>
          </w:tcPr>
          <w:p w14:paraId="28D4507F"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1 767,5</w:t>
            </w:r>
          </w:p>
        </w:tc>
        <w:tc>
          <w:tcPr>
            <w:tcW w:w="1417" w:type="dxa"/>
            <w:shd w:val="clear" w:color="auto" w:fill="FFFFFF" w:themeFill="background1"/>
            <w:noWrap/>
            <w:vAlign w:val="center"/>
            <w:hideMark/>
          </w:tcPr>
          <w:p w14:paraId="7420D221"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1 767,5</w:t>
            </w:r>
          </w:p>
        </w:tc>
        <w:tc>
          <w:tcPr>
            <w:tcW w:w="1179" w:type="dxa"/>
            <w:shd w:val="clear" w:color="auto" w:fill="FFFFFF" w:themeFill="background1"/>
            <w:noWrap/>
            <w:vAlign w:val="center"/>
            <w:hideMark/>
          </w:tcPr>
          <w:p w14:paraId="2A2A2C75"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c>
          <w:tcPr>
            <w:tcW w:w="1276" w:type="dxa"/>
            <w:shd w:val="clear" w:color="auto" w:fill="FFFFFF" w:themeFill="background1"/>
            <w:noWrap/>
            <w:vAlign w:val="center"/>
            <w:hideMark/>
          </w:tcPr>
          <w:p w14:paraId="2EF850B5"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r>
      <w:tr w:rsidR="00FD7B0B" w:rsidRPr="00FD7B0B" w14:paraId="7EED471E" w14:textId="77777777" w:rsidTr="00A51B25">
        <w:trPr>
          <w:trHeight w:hRule="exact" w:val="255"/>
          <w:jc w:val="center"/>
        </w:trPr>
        <w:tc>
          <w:tcPr>
            <w:tcW w:w="2015" w:type="dxa"/>
            <w:shd w:val="clear" w:color="auto" w:fill="FFFFFF" w:themeFill="background1"/>
            <w:vAlign w:val="center"/>
            <w:hideMark/>
          </w:tcPr>
          <w:p w14:paraId="4A164FDE" w14:textId="77777777" w:rsidR="00A51B25" w:rsidRPr="00FD7B0B" w:rsidRDefault="00A51B25" w:rsidP="00A51B2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3.3. Субсидия ∆Т</w:t>
            </w:r>
          </w:p>
        </w:tc>
        <w:tc>
          <w:tcPr>
            <w:tcW w:w="1134" w:type="dxa"/>
            <w:shd w:val="clear" w:color="auto" w:fill="FFFFFF" w:themeFill="background1"/>
            <w:noWrap/>
            <w:vAlign w:val="center"/>
            <w:hideMark/>
          </w:tcPr>
          <w:p w14:paraId="5502CE6A"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5 167,7</w:t>
            </w:r>
          </w:p>
        </w:tc>
        <w:tc>
          <w:tcPr>
            <w:tcW w:w="1134" w:type="dxa"/>
            <w:shd w:val="clear" w:color="auto" w:fill="FFFFFF" w:themeFill="background1"/>
            <w:noWrap/>
            <w:vAlign w:val="center"/>
            <w:hideMark/>
          </w:tcPr>
          <w:p w14:paraId="67B59F62"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5 205,6</w:t>
            </w:r>
          </w:p>
        </w:tc>
        <w:tc>
          <w:tcPr>
            <w:tcW w:w="1231" w:type="dxa"/>
            <w:shd w:val="clear" w:color="auto" w:fill="FFFFFF" w:themeFill="background1"/>
            <w:noWrap/>
            <w:vAlign w:val="center"/>
            <w:hideMark/>
          </w:tcPr>
          <w:p w14:paraId="3DB05B80"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5 205,6</w:t>
            </w:r>
          </w:p>
        </w:tc>
        <w:tc>
          <w:tcPr>
            <w:tcW w:w="1417" w:type="dxa"/>
            <w:shd w:val="clear" w:color="auto" w:fill="FFFFFF" w:themeFill="background1"/>
            <w:noWrap/>
            <w:vAlign w:val="center"/>
            <w:hideMark/>
          </w:tcPr>
          <w:p w14:paraId="31B322BB"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5 205,6</w:t>
            </w:r>
          </w:p>
        </w:tc>
        <w:tc>
          <w:tcPr>
            <w:tcW w:w="1179" w:type="dxa"/>
            <w:shd w:val="clear" w:color="auto" w:fill="FFFFFF" w:themeFill="background1"/>
            <w:noWrap/>
            <w:vAlign w:val="center"/>
            <w:hideMark/>
          </w:tcPr>
          <w:p w14:paraId="4048229F"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c>
          <w:tcPr>
            <w:tcW w:w="1276" w:type="dxa"/>
            <w:shd w:val="clear" w:color="auto" w:fill="FFFFFF" w:themeFill="background1"/>
            <w:noWrap/>
            <w:vAlign w:val="center"/>
            <w:hideMark/>
          </w:tcPr>
          <w:p w14:paraId="2A64FA91"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r>
      <w:tr w:rsidR="00FD7B0B" w:rsidRPr="00FD7B0B" w14:paraId="132A834A" w14:textId="77777777" w:rsidTr="00A51B25">
        <w:trPr>
          <w:trHeight w:hRule="exact" w:val="255"/>
          <w:jc w:val="center"/>
        </w:trPr>
        <w:tc>
          <w:tcPr>
            <w:tcW w:w="2015" w:type="dxa"/>
            <w:shd w:val="clear" w:color="auto" w:fill="FFFFFF" w:themeFill="background1"/>
            <w:vAlign w:val="center"/>
            <w:hideMark/>
          </w:tcPr>
          <w:p w14:paraId="6FCE3DCF" w14:textId="77777777" w:rsidR="00A51B25" w:rsidRPr="00FD7B0B" w:rsidRDefault="00A51B25" w:rsidP="00A51B2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3.4. Субсидия ∆Д</w:t>
            </w:r>
          </w:p>
        </w:tc>
        <w:tc>
          <w:tcPr>
            <w:tcW w:w="1134" w:type="dxa"/>
            <w:shd w:val="clear" w:color="auto" w:fill="FFFFFF" w:themeFill="background1"/>
            <w:noWrap/>
            <w:vAlign w:val="center"/>
            <w:hideMark/>
          </w:tcPr>
          <w:p w14:paraId="56262E67"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439,2</w:t>
            </w:r>
          </w:p>
        </w:tc>
        <w:tc>
          <w:tcPr>
            <w:tcW w:w="1134" w:type="dxa"/>
            <w:shd w:val="clear" w:color="auto" w:fill="FFFFFF" w:themeFill="background1"/>
            <w:noWrap/>
            <w:vAlign w:val="center"/>
            <w:hideMark/>
          </w:tcPr>
          <w:p w14:paraId="11CEF72B"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465,8</w:t>
            </w:r>
          </w:p>
        </w:tc>
        <w:tc>
          <w:tcPr>
            <w:tcW w:w="1231" w:type="dxa"/>
            <w:shd w:val="clear" w:color="auto" w:fill="FFFFFF" w:themeFill="background1"/>
            <w:noWrap/>
            <w:vAlign w:val="center"/>
            <w:hideMark/>
          </w:tcPr>
          <w:p w14:paraId="4BECE69D"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465,8</w:t>
            </w:r>
          </w:p>
        </w:tc>
        <w:tc>
          <w:tcPr>
            <w:tcW w:w="1417" w:type="dxa"/>
            <w:shd w:val="clear" w:color="auto" w:fill="FFFFFF" w:themeFill="background1"/>
            <w:noWrap/>
            <w:vAlign w:val="center"/>
            <w:hideMark/>
          </w:tcPr>
          <w:p w14:paraId="5A580580"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465,8</w:t>
            </w:r>
          </w:p>
        </w:tc>
        <w:tc>
          <w:tcPr>
            <w:tcW w:w="1179" w:type="dxa"/>
            <w:shd w:val="clear" w:color="auto" w:fill="FFFFFF" w:themeFill="background1"/>
            <w:noWrap/>
            <w:vAlign w:val="center"/>
            <w:hideMark/>
          </w:tcPr>
          <w:p w14:paraId="7DD7F1FD"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c>
          <w:tcPr>
            <w:tcW w:w="1276" w:type="dxa"/>
            <w:shd w:val="clear" w:color="auto" w:fill="FFFFFF" w:themeFill="background1"/>
            <w:noWrap/>
            <w:vAlign w:val="center"/>
            <w:hideMark/>
          </w:tcPr>
          <w:p w14:paraId="606B65BA"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r>
      <w:tr w:rsidR="00FD7B0B" w:rsidRPr="00FD7B0B" w14:paraId="137B4D57" w14:textId="77777777" w:rsidTr="00A51B25">
        <w:trPr>
          <w:trHeight w:hRule="exact" w:val="255"/>
          <w:jc w:val="center"/>
        </w:trPr>
        <w:tc>
          <w:tcPr>
            <w:tcW w:w="2015" w:type="dxa"/>
            <w:shd w:val="clear" w:color="auto" w:fill="FFFFFF" w:themeFill="background1"/>
            <w:vAlign w:val="center"/>
            <w:hideMark/>
          </w:tcPr>
          <w:p w14:paraId="60FB64E1" w14:textId="77777777" w:rsidR="00A51B25" w:rsidRPr="00FD7B0B" w:rsidRDefault="00A51B25" w:rsidP="00A51B2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 Субсидия ∆В</w:t>
            </w:r>
          </w:p>
        </w:tc>
        <w:tc>
          <w:tcPr>
            <w:tcW w:w="1134" w:type="dxa"/>
            <w:shd w:val="clear" w:color="auto" w:fill="FFFFFF" w:themeFill="background1"/>
            <w:noWrap/>
            <w:vAlign w:val="center"/>
            <w:hideMark/>
          </w:tcPr>
          <w:p w14:paraId="2759F204"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1 605,3</w:t>
            </w:r>
          </w:p>
        </w:tc>
        <w:tc>
          <w:tcPr>
            <w:tcW w:w="1134" w:type="dxa"/>
            <w:shd w:val="clear" w:color="auto" w:fill="FFFFFF" w:themeFill="background1"/>
            <w:noWrap/>
            <w:vAlign w:val="center"/>
            <w:hideMark/>
          </w:tcPr>
          <w:p w14:paraId="40A65AF8"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1 605,5</w:t>
            </w:r>
          </w:p>
        </w:tc>
        <w:tc>
          <w:tcPr>
            <w:tcW w:w="1231" w:type="dxa"/>
            <w:shd w:val="clear" w:color="auto" w:fill="FFFFFF" w:themeFill="background1"/>
            <w:noWrap/>
            <w:vAlign w:val="center"/>
            <w:hideMark/>
          </w:tcPr>
          <w:p w14:paraId="48FCBBED"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1 605,5</w:t>
            </w:r>
          </w:p>
        </w:tc>
        <w:tc>
          <w:tcPr>
            <w:tcW w:w="1417" w:type="dxa"/>
            <w:shd w:val="clear" w:color="auto" w:fill="FFFFFF" w:themeFill="background1"/>
            <w:noWrap/>
            <w:vAlign w:val="center"/>
            <w:hideMark/>
          </w:tcPr>
          <w:p w14:paraId="22C25927"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1 605,5</w:t>
            </w:r>
          </w:p>
        </w:tc>
        <w:tc>
          <w:tcPr>
            <w:tcW w:w="1179" w:type="dxa"/>
            <w:shd w:val="clear" w:color="auto" w:fill="FFFFFF" w:themeFill="background1"/>
            <w:noWrap/>
            <w:vAlign w:val="center"/>
            <w:hideMark/>
          </w:tcPr>
          <w:p w14:paraId="14E2EFC8"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c>
          <w:tcPr>
            <w:tcW w:w="1276" w:type="dxa"/>
            <w:shd w:val="clear" w:color="auto" w:fill="FFFFFF" w:themeFill="background1"/>
            <w:noWrap/>
            <w:vAlign w:val="center"/>
            <w:hideMark/>
          </w:tcPr>
          <w:p w14:paraId="6115917D"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r>
      <w:tr w:rsidR="00FD7B0B" w:rsidRPr="00FD7B0B" w14:paraId="54D64B66" w14:textId="77777777" w:rsidTr="00A51B25">
        <w:trPr>
          <w:trHeight w:hRule="exact" w:val="255"/>
          <w:jc w:val="center"/>
        </w:trPr>
        <w:tc>
          <w:tcPr>
            <w:tcW w:w="2015" w:type="dxa"/>
            <w:shd w:val="clear" w:color="auto" w:fill="FFFFFF" w:themeFill="background1"/>
            <w:vAlign w:val="center"/>
          </w:tcPr>
          <w:p w14:paraId="7C52CFC7" w14:textId="77777777" w:rsidR="00A51B25" w:rsidRPr="00FD7B0B" w:rsidRDefault="00A51B25" w:rsidP="00A51B25">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3.6. Субсидия ∆ПВ</w:t>
            </w:r>
          </w:p>
        </w:tc>
        <w:tc>
          <w:tcPr>
            <w:tcW w:w="1134" w:type="dxa"/>
            <w:shd w:val="clear" w:color="auto" w:fill="FFFFFF" w:themeFill="background1"/>
            <w:noWrap/>
            <w:vAlign w:val="center"/>
          </w:tcPr>
          <w:p w14:paraId="0FFA08F2"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2,0</w:t>
            </w:r>
          </w:p>
        </w:tc>
        <w:tc>
          <w:tcPr>
            <w:tcW w:w="1134" w:type="dxa"/>
            <w:shd w:val="clear" w:color="auto" w:fill="FFFFFF" w:themeFill="background1"/>
            <w:noWrap/>
            <w:vAlign w:val="center"/>
          </w:tcPr>
          <w:p w14:paraId="0635E4F0"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1,8</w:t>
            </w:r>
          </w:p>
        </w:tc>
        <w:tc>
          <w:tcPr>
            <w:tcW w:w="1231" w:type="dxa"/>
            <w:shd w:val="clear" w:color="auto" w:fill="FFFFFF" w:themeFill="background1"/>
            <w:noWrap/>
            <w:vAlign w:val="center"/>
          </w:tcPr>
          <w:p w14:paraId="5C9C876E"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1,8</w:t>
            </w:r>
          </w:p>
        </w:tc>
        <w:tc>
          <w:tcPr>
            <w:tcW w:w="1417" w:type="dxa"/>
            <w:shd w:val="clear" w:color="auto" w:fill="FFFFFF" w:themeFill="background1"/>
            <w:noWrap/>
            <w:vAlign w:val="center"/>
          </w:tcPr>
          <w:p w14:paraId="7C04624C"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1,8</w:t>
            </w:r>
          </w:p>
        </w:tc>
        <w:tc>
          <w:tcPr>
            <w:tcW w:w="1179" w:type="dxa"/>
            <w:shd w:val="clear" w:color="auto" w:fill="FFFFFF" w:themeFill="background1"/>
            <w:noWrap/>
            <w:vAlign w:val="center"/>
          </w:tcPr>
          <w:p w14:paraId="4F3BE78F"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c>
          <w:tcPr>
            <w:tcW w:w="1276" w:type="dxa"/>
            <w:shd w:val="clear" w:color="auto" w:fill="FFFFFF" w:themeFill="background1"/>
            <w:noWrap/>
            <w:vAlign w:val="center"/>
          </w:tcPr>
          <w:p w14:paraId="482F2CCB"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r>
      <w:tr w:rsidR="00FD7B0B" w:rsidRPr="00FD7B0B" w14:paraId="0573E285" w14:textId="77777777" w:rsidTr="00A51B25">
        <w:trPr>
          <w:trHeight w:hRule="exact" w:val="281"/>
          <w:jc w:val="center"/>
        </w:trPr>
        <w:tc>
          <w:tcPr>
            <w:tcW w:w="2015" w:type="dxa"/>
            <w:shd w:val="clear" w:color="auto" w:fill="FFFFFF" w:themeFill="background1"/>
            <w:vAlign w:val="center"/>
            <w:hideMark/>
          </w:tcPr>
          <w:p w14:paraId="3C177839" w14:textId="77777777" w:rsidR="00A51B25" w:rsidRPr="00FD7B0B" w:rsidRDefault="00A51B25" w:rsidP="00A51B25">
            <w:pPr>
              <w:spacing w:after="0" w:line="240" w:lineRule="auto"/>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Итого</w:t>
            </w:r>
          </w:p>
        </w:tc>
        <w:tc>
          <w:tcPr>
            <w:tcW w:w="1134" w:type="dxa"/>
            <w:shd w:val="clear" w:color="auto" w:fill="FFFFFF" w:themeFill="background1"/>
            <w:noWrap/>
            <w:vAlign w:val="center"/>
            <w:hideMark/>
          </w:tcPr>
          <w:p w14:paraId="6B6BF952"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9 006,9</w:t>
            </w:r>
          </w:p>
        </w:tc>
        <w:tc>
          <w:tcPr>
            <w:tcW w:w="1134" w:type="dxa"/>
            <w:shd w:val="clear" w:color="auto" w:fill="FFFFFF" w:themeFill="background1"/>
            <w:noWrap/>
            <w:vAlign w:val="center"/>
            <w:hideMark/>
          </w:tcPr>
          <w:p w14:paraId="2848BE18"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9 318,7</w:t>
            </w:r>
          </w:p>
        </w:tc>
        <w:tc>
          <w:tcPr>
            <w:tcW w:w="1231" w:type="dxa"/>
            <w:shd w:val="clear" w:color="auto" w:fill="FFFFFF" w:themeFill="background1"/>
            <w:noWrap/>
            <w:vAlign w:val="center"/>
            <w:hideMark/>
          </w:tcPr>
          <w:p w14:paraId="09B16993"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9 318,7</w:t>
            </w:r>
          </w:p>
        </w:tc>
        <w:tc>
          <w:tcPr>
            <w:tcW w:w="1417" w:type="dxa"/>
            <w:shd w:val="clear" w:color="auto" w:fill="FFFFFF" w:themeFill="background1"/>
            <w:noWrap/>
            <w:vAlign w:val="center"/>
            <w:hideMark/>
          </w:tcPr>
          <w:p w14:paraId="762BF17C"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9 318,7</w:t>
            </w:r>
          </w:p>
        </w:tc>
        <w:tc>
          <w:tcPr>
            <w:tcW w:w="1179" w:type="dxa"/>
            <w:shd w:val="clear" w:color="auto" w:fill="FFFFFF" w:themeFill="background1"/>
            <w:noWrap/>
            <w:vAlign w:val="center"/>
            <w:hideMark/>
          </w:tcPr>
          <w:p w14:paraId="0EDC0E06"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c>
          <w:tcPr>
            <w:tcW w:w="1276" w:type="dxa"/>
            <w:shd w:val="clear" w:color="auto" w:fill="FFFFFF" w:themeFill="background1"/>
            <w:noWrap/>
            <w:vAlign w:val="center"/>
            <w:hideMark/>
          </w:tcPr>
          <w:p w14:paraId="2B12A5EB" w14:textId="77777777" w:rsidR="00A51B25" w:rsidRPr="00FD7B0B" w:rsidRDefault="00A51B25" w:rsidP="00A51B25">
            <w:pPr>
              <w:jc w:val="center"/>
              <w:rPr>
                <w:rFonts w:ascii="Times New Roman" w:hAnsi="Times New Roman" w:cs="Times New Roman"/>
              </w:rPr>
            </w:pPr>
            <w:r w:rsidRPr="00FD7B0B">
              <w:rPr>
                <w:rFonts w:ascii="Times New Roman" w:hAnsi="Times New Roman" w:cs="Times New Roman"/>
              </w:rPr>
              <w:t>100,0</w:t>
            </w:r>
          </w:p>
        </w:tc>
      </w:tr>
    </w:tbl>
    <w:p w14:paraId="49C5B9FE"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417D2F86" w14:textId="1AF3CE9D" w:rsidR="00A51B25" w:rsidRPr="00FD7B0B" w:rsidRDefault="00A51B25" w:rsidP="00A51B25">
      <w:pPr>
        <w:spacing w:after="0" w:line="240" w:lineRule="auto"/>
        <w:ind w:firstLine="709"/>
        <w:contextualSpacing/>
        <w:jc w:val="both"/>
        <w:rPr>
          <w:rFonts w:ascii="Times New Roman" w:hAnsi="Times New Roman"/>
          <w:sz w:val="28"/>
          <w:szCs w:val="28"/>
        </w:rPr>
      </w:pPr>
      <w:r w:rsidRPr="00FD7B0B">
        <w:rPr>
          <w:rFonts w:ascii="Times New Roman" w:hAnsi="Times New Roman"/>
          <w:sz w:val="28"/>
          <w:szCs w:val="28"/>
        </w:rPr>
        <w:t xml:space="preserve">КСП АО отмечает динамику роста кассовых расходов областного бюджета, направленных на предоставление субсидий на возмещение недополученных доходов, возникающих в результате государственного регулирования тарифов (цен) на коммунальные услуги, ресурсоснабжающим организациям, осуществляющим деятельность на территории Архангельской области (рисунок </w:t>
      </w:r>
      <w:r w:rsidR="00DD44FB" w:rsidRPr="00FD7B0B">
        <w:rPr>
          <w:rFonts w:ascii="Times New Roman" w:hAnsi="Times New Roman"/>
          <w:sz w:val="28"/>
          <w:szCs w:val="28"/>
        </w:rPr>
        <w:t>24</w:t>
      </w:r>
      <w:r w:rsidRPr="00FD7B0B">
        <w:rPr>
          <w:rFonts w:ascii="Times New Roman" w:hAnsi="Times New Roman"/>
          <w:sz w:val="28"/>
          <w:szCs w:val="28"/>
        </w:rPr>
        <w:t>).</w:t>
      </w:r>
    </w:p>
    <w:p w14:paraId="71BDE10A" w14:textId="6F06EC91" w:rsidR="003E7CB0" w:rsidRPr="00FD7B0B" w:rsidRDefault="003E7CB0" w:rsidP="00354F7C">
      <w:pPr>
        <w:spacing w:after="0" w:line="240" w:lineRule="auto"/>
        <w:contextualSpacing/>
        <w:jc w:val="center"/>
        <w:rPr>
          <w:rFonts w:ascii="Times New Roman" w:hAnsi="Times New Roman"/>
          <w:sz w:val="28"/>
          <w:szCs w:val="28"/>
        </w:rPr>
      </w:pPr>
      <w:r w:rsidRPr="00FD7B0B">
        <w:rPr>
          <w:rFonts w:ascii="Times New Roman" w:hAnsi="Times New Roman"/>
          <w:noProof/>
          <w:sz w:val="28"/>
          <w:szCs w:val="28"/>
          <w:lang w:eastAsia="ru-RU"/>
        </w:rPr>
        <w:drawing>
          <wp:inline distT="0" distB="0" distL="0" distR="0" wp14:anchorId="713BBDF9" wp14:editId="3A627A9F">
            <wp:extent cx="4974590" cy="2109470"/>
            <wp:effectExtent l="0" t="0" r="0" b="508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74590" cy="2109470"/>
                    </a:xfrm>
                    <a:prstGeom prst="rect">
                      <a:avLst/>
                    </a:prstGeom>
                    <a:noFill/>
                  </pic:spPr>
                </pic:pic>
              </a:graphicData>
            </a:graphic>
          </wp:inline>
        </w:drawing>
      </w:r>
    </w:p>
    <w:p w14:paraId="3EE9F9B3"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Рисунок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Рисунок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24</w:t>
      </w:r>
      <w:r w:rsidRPr="00FD7B0B">
        <w:rPr>
          <w:rFonts w:ascii="Times New Roman" w:hAnsi="Times New Roman"/>
          <w:sz w:val="24"/>
          <w:szCs w:val="24"/>
        </w:rPr>
        <w:fldChar w:fldCharType="end"/>
      </w:r>
      <w:r w:rsidRPr="00FD7B0B">
        <w:rPr>
          <w:rFonts w:ascii="Times New Roman" w:hAnsi="Times New Roman"/>
          <w:sz w:val="24"/>
          <w:szCs w:val="24"/>
        </w:rPr>
        <w:t>. Динамика предоставления субсидий на возмещение недополученных доходов, возникающих в результате государственного регулирования тарифов (цен), организациям коммунального комплекса с 2019 по 2024 годы, млн.руб.</w:t>
      </w:r>
    </w:p>
    <w:p w14:paraId="311D1B93" w14:textId="77777777" w:rsidR="00A51B25" w:rsidRPr="00FD7B0B" w:rsidRDefault="00A51B25" w:rsidP="00A51B25">
      <w:pPr>
        <w:spacing w:after="0" w:line="240" w:lineRule="auto"/>
        <w:ind w:firstLine="709"/>
        <w:contextualSpacing/>
        <w:jc w:val="both"/>
        <w:rPr>
          <w:rFonts w:ascii="Times New Roman" w:hAnsi="Times New Roman"/>
          <w:sz w:val="28"/>
          <w:szCs w:val="28"/>
        </w:rPr>
      </w:pPr>
    </w:p>
    <w:p w14:paraId="0F310E63" w14:textId="46EC807D" w:rsidR="004D6B99" w:rsidRPr="00FD7B0B" w:rsidRDefault="004D6B99" w:rsidP="004D6B99">
      <w:pPr>
        <w:spacing w:after="0" w:line="240" w:lineRule="auto"/>
        <w:ind w:firstLine="709"/>
        <w:contextualSpacing/>
        <w:jc w:val="both"/>
        <w:rPr>
          <w:rFonts w:ascii="Times New Roman" w:hAnsi="Times New Roman"/>
          <w:sz w:val="28"/>
          <w:szCs w:val="28"/>
        </w:rPr>
      </w:pPr>
      <w:r w:rsidRPr="00FD7B0B">
        <w:rPr>
          <w:rFonts w:ascii="Times New Roman" w:hAnsi="Times New Roman"/>
          <w:sz w:val="28"/>
          <w:szCs w:val="28"/>
        </w:rPr>
        <w:t xml:space="preserve">Следует отметить, что кредиторская задолженность (далее – КЗ) на 01.01.2025 составляет 5 989,2 млн.руб., включает кредиторскую задолженность за декабрь 2024 года в размере 1 603,3 млн.руб., а также в связи с необеспеченностью финансирования потребности в средствах субсидий кредиторскую задолженность частично за июль – ноябрь 2024 года в размере </w:t>
      </w:r>
      <w:r w:rsidRPr="00FD7B0B">
        <w:rPr>
          <w:rFonts w:ascii="Times New Roman" w:hAnsi="Times New Roman"/>
          <w:sz w:val="28"/>
          <w:szCs w:val="28"/>
        </w:rPr>
        <w:br/>
      </w:r>
      <w:r w:rsidRPr="00FD7B0B">
        <w:rPr>
          <w:rFonts w:ascii="Times New Roman" w:hAnsi="Times New Roman"/>
          <w:sz w:val="28"/>
          <w:szCs w:val="28"/>
        </w:rPr>
        <w:lastRenderedPageBreak/>
        <w:t>4 384,4 млн.руб., что соответствует данным бюджетной отчетности «Сведения по дебиторской и кредиторс</w:t>
      </w:r>
      <w:r w:rsidR="00DD44FB" w:rsidRPr="00FD7B0B">
        <w:rPr>
          <w:rFonts w:ascii="Times New Roman" w:hAnsi="Times New Roman"/>
          <w:sz w:val="28"/>
          <w:szCs w:val="28"/>
        </w:rPr>
        <w:t>кой задолженности» (ф. 0503169):</w:t>
      </w:r>
    </w:p>
    <w:tbl>
      <w:tblPr>
        <w:tblW w:w="9614"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50"/>
        <w:gridCol w:w="992"/>
        <w:gridCol w:w="993"/>
        <w:gridCol w:w="992"/>
        <w:gridCol w:w="1276"/>
        <w:gridCol w:w="850"/>
        <w:gridCol w:w="992"/>
        <w:gridCol w:w="993"/>
        <w:gridCol w:w="976"/>
      </w:tblGrid>
      <w:tr w:rsidR="00FD7B0B" w:rsidRPr="00FD7B0B" w14:paraId="7A5E9623" w14:textId="77777777" w:rsidTr="00354F7C">
        <w:trPr>
          <w:trHeight w:val="357"/>
          <w:tblHeader/>
        </w:trPr>
        <w:tc>
          <w:tcPr>
            <w:tcW w:w="1550" w:type="dxa"/>
            <w:vMerge w:val="restart"/>
            <w:shd w:val="clear" w:color="auto" w:fill="auto"/>
            <w:vAlign w:val="center"/>
            <w:hideMark/>
          </w:tcPr>
          <w:p w14:paraId="533C4B5D" w14:textId="48415296" w:rsidR="00A51B25" w:rsidRPr="00FD7B0B" w:rsidRDefault="002A5F34" w:rsidP="00A51B25">
            <w:pPr>
              <w:spacing w:after="0" w:line="240" w:lineRule="auto"/>
              <w:ind w:left="-108" w:right="-7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w:t>
            </w:r>
            <w:r w:rsidR="00A51B25" w:rsidRPr="00FD7B0B">
              <w:rPr>
                <w:rFonts w:ascii="Times New Roman" w:eastAsia="Times New Roman" w:hAnsi="Times New Roman" w:cs="Times New Roman"/>
                <w:sz w:val="20"/>
                <w:szCs w:val="20"/>
                <w:lang w:eastAsia="ru-RU"/>
              </w:rPr>
              <w:t>ние субсидии</w:t>
            </w:r>
          </w:p>
        </w:tc>
        <w:tc>
          <w:tcPr>
            <w:tcW w:w="992" w:type="dxa"/>
            <w:vMerge w:val="restart"/>
            <w:shd w:val="clear" w:color="auto" w:fill="auto"/>
            <w:vAlign w:val="center"/>
            <w:hideMark/>
          </w:tcPr>
          <w:p w14:paraId="4B2403E7" w14:textId="77777777" w:rsidR="00A51B25" w:rsidRPr="00FD7B0B" w:rsidRDefault="00A51B25" w:rsidP="00A51B25">
            <w:pPr>
              <w:spacing w:after="0" w:line="240" w:lineRule="auto"/>
              <w:ind w:left="-53"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КЗ на 01.01.2024, млн.руб.</w:t>
            </w:r>
          </w:p>
        </w:tc>
        <w:tc>
          <w:tcPr>
            <w:tcW w:w="1985" w:type="dxa"/>
            <w:gridSpan w:val="2"/>
            <w:vAlign w:val="center"/>
          </w:tcPr>
          <w:p w14:paraId="3FB69BF2" w14:textId="77777777" w:rsidR="00A51B25" w:rsidRPr="00FD7B0B" w:rsidRDefault="00A51B25" w:rsidP="00A51B25">
            <w:pPr>
              <w:spacing w:after="0" w:line="240" w:lineRule="auto"/>
              <w:ind w:left="-18" w:right="-17"/>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том числе</w:t>
            </w:r>
          </w:p>
        </w:tc>
        <w:tc>
          <w:tcPr>
            <w:tcW w:w="1276" w:type="dxa"/>
            <w:vMerge w:val="restart"/>
            <w:shd w:val="clear" w:color="auto" w:fill="auto"/>
            <w:vAlign w:val="center"/>
            <w:hideMark/>
          </w:tcPr>
          <w:p w14:paraId="5B896363" w14:textId="77777777" w:rsidR="00A51B25" w:rsidRPr="00FD7B0B" w:rsidRDefault="00A51B25" w:rsidP="00A51B25">
            <w:pPr>
              <w:spacing w:after="0" w:line="240" w:lineRule="auto"/>
              <w:ind w:left="-108" w:right="-2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Потребность в средствах субсидии с начала 2024 года </w:t>
            </w:r>
            <w:r w:rsidRPr="00FD7B0B">
              <w:rPr>
                <w:rFonts w:ascii="Times New Roman" w:eastAsia="Times New Roman" w:hAnsi="Times New Roman" w:cs="Times New Roman"/>
                <w:sz w:val="20"/>
                <w:szCs w:val="20"/>
                <w:lang w:eastAsia="ru-RU"/>
              </w:rPr>
              <w:br/>
              <w:t>(с КЗ на 01.01.2024)</w:t>
            </w:r>
          </w:p>
        </w:tc>
        <w:tc>
          <w:tcPr>
            <w:tcW w:w="850" w:type="dxa"/>
            <w:vMerge w:val="restart"/>
            <w:shd w:val="clear" w:color="auto" w:fill="auto"/>
            <w:vAlign w:val="center"/>
            <w:hideMark/>
          </w:tcPr>
          <w:p w14:paraId="40B6A9F3" w14:textId="77777777" w:rsidR="00A51B25" w:rsidRPr="00FD7B0B" w:rsidRDefault="00A51B25" w:rsidP="00A51B25">
            <w:pPr>
              <w:spacing w:after="0" w:line="240" w:lineRule="auto"/>
              <w:ind w:left="-98" w:right="-73"/>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Кассовое исполне-ние, млн.руб.</w:t>
            </w:r>
          </w:p>
        </w:tc>
        <w:tc>
          <w:tcPr>
            <w:tcW w:w="992" w:type="dxa"/>
            <w:vMerge w:val="restart"/>
            <w:shd w:val="clear" w:color="auto" w:fill="auto"/>
            <w:vAlign w:val="center"/>
            <w:hideMark/>
          </w:tcPr>
          <w:p w14:paraId="3AA2B914" w14:textId="77777777" w:rsidR="00A51B25" w:rsidRPr="00FD7B0B" w:rsidRDefault="00A51B25" w:rsidP="00A51B25">
            <w:pPr>
              <w:spacing w:after="0" w:line="240" w:lineRule="auto"/>
              <w:ind w:left="-74" w:right="-108" w:firstLine="56"/>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КЗ на 01.01.2025, млн.руб.</w:t>
            </w:r>
          </w:p>
        </w:tc>
        <w:tc>
          <w:tcPr>
            <w:tcW w:w="1969" w:type="dxa"/>
            <w:gridSpan w:val="2"/>
            <w:shd w:val="clear" w:color="auto" w:fill="auto"/>
            <w:vAlign w:val="center"/>
            <w:hideMark/>
          </w:tcPr>
          <w:p w14:paraId="0FA2FA07"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том числе</w:t>
            </w:r>
          </w:p>
        </w:tc>
      </w:tr>
      <w:tr w:rsidR="00FD7B0B" w:rsidRPr="00FD7B0B" w14:paraId="1C64F307" w14:textId="77777777" w:rsidTr="00354F7C">
        <w:trPr>
          <w:trHeight w:val="1262"/>
          <w:tblHeader/>
        </w:trPr>
        <w:tc>
          <w:tcPr>
            <w:tcW w:w="1550" w:type="dxa"/>
            <w:vMerge/>
            <w:vAlign w:val="center"/>
            <w:hideMark/>
          </w:tcPr>
          <w:p w14:paraId="19B2B461" w14:textId="77777777" w:rsidR="00A51B25" w:rsidRPr="00FD7B0B" w:rsidRDefault="00A51B25" w:rsidP="00A51B25">
            <w:pPr>
              <w:spacing w:after="0" w:line="240" w:lineRule="auto"/>
              <w:ind w:left="-108" w:right="-78"/>
              <w:rPr>
                <w:rFonts w:ascii="Times New Roman" w:eastAsia="Times New Roman" w:hAnsi="Times New Roman" w:cs="Times New Roman"/>
                <w:sz w:val="20"/>
                <w:szCs w:val="20"/>
                <w:lang w:eastAsia="ru-RU"/>
              </w:rPr>
            </w:pPr>
          </w:p>
        </w:tc>
        <w:tc>
          <w:tcPr>
            <w:tcW w:w="992" w:type="dxa"/>
            <w:vMerge/>
            <w:vAlign w:val="center"/>
            <w:hideMark/>
          </w:tcPr>
          <w:p w14:paraId="77BEA3DC" w14:textId="77777777" w:rsidR="00A51B25" w:rsidRPr="00FD7B0B" w:rsidRDefault="00A51B25" w:rsidP="00A51B25">
            <w:pPr>
              <w:spacing w:after="0" w:line="240" w:lineRule="auto"/>
              <w:ind w:left="-172" w:right="-108"/>
              <w:rPr>
                <w:rFonts w:ascii="Times New Roman" w:eastAsia="Times New Roman" w:hAnsi="Times New Roman" w:cs="Times New Roman"/>
                <w:sz w:val="20"/>
                <w:szCs w:val="20"/>
                <w:lang w:eastAsia="ru-RU"/>
              </w:rPr>
            </w:pPr>
          </w:p>
        </w:tc>
        <w:tc>
          <w:tcPr>
            <w:tcW w:w="993" w:type="dxa"/>
            <w:vAlign w:val="center"/>
          </w:tcPr>
          <w:p w14:paraId="67A118B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КЗ за октябрь-ноябрь 2023 года, млн.руб.</w:t>
            </w:r>
          </w:p>
        </w:tc>
        <w:tc>
          <w:tcPr>
            <w:tcW w:w="992" w:type="dxa"/>
            <w:vAlign w:val="center"/>
          </w:tcPr>
          <w:p w14:paraId="2A3E36F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декабрь 2023 года, млн.руб.</w:t>
            </w:r>
          </w:p>
        </w:tc>
        <w:tc>
          <w:tcPr>
            <w:tcW w:w="1276" w:type="dxa"/>
            <w:vMerge/>
            <w:vAlign w:val="center"/>
            <w:hideMark/>
          </w:tcPr>
          <w:p w14:paraId="2FCF7FB1"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p>
        </w:tc>
        <w:tc>
          <w:tcPr>
            <w:tcW w:w="850" w:type="dxa"/>
            <w:vMerge/>
            <w:vAlign w:val="center"/>
            <w:hideMark/>
          </w:tcPr>
          <w:p w14:paraId="46627A99" w14:textId="77777777" w:rsidR="00A51B25" w:rsidRPr="00FD7B0B" w:rsidRDefault="00A51B25" w:rsidP="00A51B25">
            <w:pPr>
              <w:spacing w:after="0" w:line="240" w:lineRule="auto"/>
              <w:ind w:left="-188" w:right="-73"/>
              <w:jc w:val="center"/>
              <w:rPr>
                <w:rFonts w:ascii="Times New Roman" w:eastAsia="Times New Roman" w:hAnsi="Times New Roman" w:cs="Times New Roman"/>
                <w:sz w:val="20"/>
                <w:szCs w:val="20"/>
                <w:lang w:eastAsia="ru-RU"/>
              </w:rPr>
            </w:pPr>
          </w:p>
        </w:tc>
        <w:tc>
          <w:tcPr>
            <w:tcW w:w="992" w:type="dxa"/>
            <w:vMerge/>
            <w:vAlign w:val="center"/>
            <w:hideMark/>
          </w:tcPr>
          <w:p w14:paraId="4B061C7E"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p>
        </w:tc>
        <w:tc>
          <w:tcPr>
            <w:tcW w:w="993" w:type="dxa"/>
            <w:shd w:val="clear" w:color="auto" w:fill="auto"/>
            <w:vAlign w:val="center"/>
            <w:hideMark/>
          </w:tcPr>
          <w:p w14:paraId="447FF09B" w14:textId="77777777" w:rsidR="00A51B25" w:rsidRPr="00FD7B0B" w:rsidRDefault="00A51B25" w:rsidP="00A51B25">
            <w:pPr>
              <w:spacing w:after="0" w:line="240" w:lineRule="auto"/>
              <w:ind w:left="-57" w:right="-10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КЗ за июль-ноябрь 2024 года, млн.руб.</w:t>
            </w:r>
          </w:p>
        </w:tc>
        <w:tc>
          <w:tcPr>
            <w:tcW w:w="976" w:type="dxa"/>
            <w:shd w:val="clear" w:color="auto" w:fill="auto"/>
            <w:vAlign w:val="center"/>
            <w:hideMark/>
          </w:tcPr>
          <w:p w14:paraId="7B3E342F" w14:textId="77777777" w:rsidR="00A51B25" w:rsidRPr="00FD7B0B" w:rsidRDefault="00A51B25" w:rsidP="00A51B25">
            <w:pPr>
              <w:spacing w:after="0" w:line="240" w:lineRule="auto"/>
              <w:ind w:left="-57" w:right="-3"/>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декабрь 2024 года, млн.руб.</w:t>
            </w:r>
          </w:p>
        </w:tc>
      </w:tr>
      <w:tr w:rsidR="00FD7B0B" w:rsidRPr="00FD7B0B" w14:paraId="76D8B9FA" w14:textId="77777777" w:rsidTr="00354F7C">
        <w:trPr>
          <w:trHeight w:hRule="exact" w:val="255"/>
        </w:trPr>
        <w:tc>
          <w:tcPr>
            <w:tcW w:w="1550" w:type="dxa"/>
            <w:shd w:val="clear" w:color="auto" w:fill="auto"/>
            <w:vAlign w:val="center"/>
            <w:hideMark/>
          </w:tcPr>
          <w:p w14:paraId="67CC0212" w14:textId="77777777" w:rsidR="00A51B25" w:rsidRPr="00FD7B0B" w:rsidRDefault="00A51B25" w:rsidP="00A51B25">
            <w:pPr>
              <w:spacing w:after="0" w:line="240" w:lineRule="auto"/>
              <w:ind w:left="-108" w:right="-7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Субсидия ∆Г</w:t>
            </w:r>
          </w:p>
        </w:tc>
        <w:tc>
          <w:tcPr>
            <w:tcW w:w="992" w:type="dxa"/>
            <w:shd w:val="clear" w:color="auto" w:fill="auto"/>
            <w:noWrap/>
            <w:vAlign w:val="center"/>
            <w:hideMark/>
          </w:tcPr>
          <w:p w14:paraId="18786507"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69,9</w:t>
            </w:r>
          </w:p>
        </w:tc>
        <w:tc>
          <w:tcPr>
            <w:tcW w:w="993" w:type="dxa"/>
            <w:vAlign w:val="center"/>
          </w:tcPr>
          <w:p w14:paraId="5DC87404"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45,9</w:t>
            </w:r>
          </w:p>
        </w:tc>
        <w:tc>
          <w:tcPr>
            <w:tcW w:w="992" w:type="dxa"/>
            <w:vAlign w:val="center"/>
          </w:tcPr>
          <w:p w14:paraId="6E179950"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24,0</w:t>
            </w:r>
          </w:p>
        </w:tc>
        <w:tc>
          <w:tcPr>
            <w:tcW w:w="1276" w:type="dxa"/>
            <w:shd w:val="clear" w:color="auto" w:fill="auto"/>
            <w:noWrap/>
            <w:vAlign w:val="center"/>
            <w:hideMark/>
          </w:tcPr>
          <w:p w14:paraId="1A61866E"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354,8</w:t>
            </w:r>
          </w:p>
        </w:tc>
        <w:tc>
          <w:tcPr>
            <w:tcW w:w="850" w:type="dxa"/>
            <w:shd w:val="clear" w:color="auto" w:fill="auto"/>
            <w:noWrap/>
            <w:vAlign w:val="center"/>
            <w:hideMark/>
          </w:tcPr>
          <w:p w14:paraId="2A6EE0E3"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272,5</w:t>
            </w:r>
          </w:p>
        </w:tc>
        <w:tc>
          <w:tcPr>
            <w:tcW w:w="992" w:type="dxa"/>
            <w:shd w:val="clear" w:color="auto" w:fill="auto"/>
            <w:noWrap/>
            <w:vAlign w:val="center"/>
            <w:hideMark/>
          </w:tcPr>
          <w:p w14:paraId="7AB61D68"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82,4</w:t>
            </w:r>
          </w:p>
        </w:tc>
        <w:tc>
          <w:tcPr>
            <w:tcW w:w="993" w:type="dxa"/>
            <w:shd w:val="clear" w:color="auto" w:fill="auto"/>
            <w:noWrap/>
            <w:vAlign w:val="center"/>
            <w:hideMark/>
          </w:tcPr>
          <w:p w14:paraId="379320C8"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61,1</w:t>
            </w:r>
          </w:p>
        </w:tc>
        <w:tc>
          <w:tcPr>
            <w:tcW w:w="976" w:type="dxa"/>
            <w:shd w:val="clear" w:color="auto" w:fill="auto"/>
            <w:noWrap/>
            <w:vAlign w:val="center"/>
            <w:hideMark/>
          </w:tcPr>
          <w:p w14:paraId="225D7831"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21,3</w:t>
            </w:r>
          </w:p>
        </w:tc>
      </w:tr>
      <w:tr w:rsidR="00FD7B0B" w:rsidRPr="00FD7B0B" w14:paraId="291BFD6F" w14:textId="77777777" w:rsidTr="00354F7C">
        <w:trPr>
          <w:trHeight w:hRule="exact" w:val="255"/>
        </w:trPr>
        <w:tc>
          <w:tcPr>
            <w:tcW w:w="1550" w:type="dxa"/>
            <w:shd w:val="clear" w:color="auto" w:fill="auto"/>
            <w:vAlign w:val="center"/>
            <w:hideMark/>
          </w:tcPr>
          <w:p w14:paraId="7363A547" w14:textId="77777777" w:rsidR="00A51B25" w:rsidRPr="00FD7B0B" w:rsidRDefault="00A51B25" w:rsidP="00A51B25">
            <w:pPr>
              <w:spacing w:after="0" w:line="240" w:lineRule="auto"/>
              <w:ind w:left="-108" w:right="-7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Субсидия ∆Э</w:t>
            </w:r>
          </w:p>
        </w:tc>
        <w:tc>
          <w:tcPr>
            <w:tcW w:w="992" w:type="dxa"/>
            <w:shd w:val="clear" w:color="auto" w:fill="auto"/>
            <w:noWrap/>
            <w:vAlign w:val="center"/>
            <w:hideMark/>
          </w:tcPr>
          <w:p w14:paraId="50C87F91"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428,4</w:t>
            </w:r>
          </w:p>
        </w:tc>
        <w:tc>
          <w:tcPr>
            <w:tcW w:w="993" w:type="dxa"/>
            <w:vAlign w:val="center"/>
          </w:tcPr>
          <w:p w14:paraId="36D2B15F"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226,6</w:t>
            </w:r>
          </w:p>
        </w:tc>
        <w:tc>
          <w:tcPr>
            <w:tcW w:w="992" w:type="dxa"/>
            <w:vAlign w:val="center"/>
          </w:tcPr>
          <w:p w14:paraId="4BEB5F3B"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201,8</w:t>
            </w:r>
          </w:p>
        </w:tc>
        <w:tc>
          <w:tcPr>
            <w:tcW w:w="1276" w:type="dxa"/>
            <w:shd w:val="clear" w:color="auto" w:fill="auto"/>
            <w:noWrap/>
            <w:vAlign w:val="center"/>
            <w:hideMark/>
          </w:tcPr>
          <w:p w14:paraId="1FB12C7B"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3 496,1</w:t>
            </w:r>
          </w:p>
        </w:tc>
        <w:tc>
          <w:tcPr>
            <w:tcW w:w="850" w:type="dxa"/>
            <w:shd w:val="clear" w:color="auto" w:fill="auto"/>
            <w:noWrap/>
            <w:vAlign w:val="center"/>
            <w:hideMark/>
          </w:tcPr>
          <w:p w14:paraId="6B04408D"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1 767,5</w:t>
            </w:r>
          </w:p>
        </w:tc>
        <w:tc>
          <w:tcPr>
            <w:tcW w:w="992" w:type="dxa"/>
            <w:shd w:val="clear" w:color="auto" w:fill="auto"/>
            <w:noWrap/>
            <w:vAlign w:val="center"/>
            <w:hideMark/>
          </w:tcPr>
          <w:p w14:paraId="1D2D4135"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1 728,5</w:t>
            </w:r>
          </w:p>
        </w:tc>
        <w:tc>
          <w:tcPr>
            <w:tcW w:w="993" w:type="dxa"/>
            <w:shd w:val="clear" w:color="auto" w:fill="auto"/>
            <w:noWrap/>
            <w:vAlign w:val="center"/>
            <w:hideMark/>
          </w:tcPr>
          <w:p w14:paraId="6C2B5BF4"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1 325,7</w:t>
            </w:r>
          </w:p>
        </w:tc>
        <w:tc>
          <w:tcPr>
            <w:tcW w:w="976" w:type="dxa"/>
            <w:shd w:val="clear" w:color="auto" w:fill="auto"/>
            <w:noWrap/>
            <w:vAlign w:val="center"/>
            <w:hideMark/>
          </w:tcPr>
          <w:p w14:paraId="56738757"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402,8</w:t>
            </w:r>
          </w:p>
        </w:tc>
      </w:tr>
      <w:tr w:rsidR="00FD7B0B" w:rsidRPr="00FD7B0B" w14:paraId="2CB29300" w14:textId="77777777" w:rsidTr="00354F7C">
        <w:trPr>
          <w:trHeight w:hRule="exact" w:val="255"/>
        </w:trPr>
        <w:tc>
          <w:tcPr>
            <w:tcW w:w="1550" w:type="dxa"/>
            <w:shd w:val="clear" w:color="auto" w:fill="auto"/>
            <w:vAlign w:val="center"/>
            <w:hideMark/>
          </w:tcPr>
          <w:p w14:paraId="31D64339" w14:textId="77777777" w:rsidR="00A51B25" w:rsidRPr="00FD7B0B" w:rsidRDefault="00A51B25" w:rsidP="00A51B25">
            <w:pPr>
              <w:spacing w:after="0" w:line="240" w:lineRule="auto"/>
              <w:ind w:left="-108" w:right="-7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Субсидия ∆Т</w:t>
            </w:r>
          </w:p>
        </w:tc>
        <w:tc>
          <w:tcPr>
            <w:tcW w:w="992" w:type="dxa"/>
            <w:shd w:val="clear" w:color="auto" w:fill="auto"/>
            <w:noWrap/>
            <w:vAlign w:val="center"/>
            <w:hideMark/>
          </w:tcPr>
          <w:p w14:paraId="03DDA885"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1 690,3</w:t>
            </w:r>
          </w:p>
        </w:tc>
        <w:tc>
          <w:tcPr>
            <w:tcW w:w="993" w:type="dxa"/>
            <w:vAlign w:val="center"/>
          </w:tcPr>
          <w:p w14:paraId="69969C61"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1 032,0</w:t>
            </w:r>
          </w:p>
        </w:tc>
        <w:tc>
          <w:tcPr>
            <w:tcW w:w="992" w:type="dxa"/>
            <w:vAlign w:val="center"/>
          </w:tcPr>
          <w:p w14:paraId="51FA1991"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658,3</w:t>
            </w:r>
          </w:p>
        </w:tc>
        <w:tc>
          <w:tcPr>
            <w:tcW w:w="1276" w:type="dxa"/>
            <w:shd w:val="clear" w:color="auto" w:fill="auto"/>
            <w:noWrap/>
            <w:vAlign w:val="center"/>
            <w:hideMark/>
          </w:tcPr>
          <w:p w14:paraId="02B3B1D6"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7 769,4</w:t>
            </w:r>
          </w:p>
        </w:tc>
        <w:tc>
          <w:tcPr>
            <w:tcW w:w="850" w:type="dxa"/>
            <w:shd w:val="clear" w:color="auto" w:fill="auto"/>
            <w:noWrap/>
            <w:vAlign w:val="center"/>
            <w:hideMark/>
          </w:tcPr>
          <w:p w14:paraId="42BA1045"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5 205,6</w:t>
            </w:r>
          </w:p>
        </w:tc>
        <w:tc>
          <w:tcPr>
            <w:tcW w:w="992" w:type="dxa"/>
            <w:shd w:val="clear" w:color="auto" w:fill="auto"/>
            <w:noWrap/>
            <w:vAlign w:val="center"/>
            <w:hideMark/>
          </w:tcPr>
          <w:p w14:paraId="770F0361"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2 563,9</w:t>
            </w:r>
          </w:p>
        </w:tc>
        <w:tc>
          <w:tcPr>
            <w:tcW w:w="993" w:type="dxa"/>
            <w:shd w:val="clear" w:color="auto" w:fill="auto"/>
            <w:noWrap/>
            <w:vAlign w:val="center"/>
            <w:hideMark/>
          </w:tcPr>
          <w:p w14:paraId="160188B1"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1 676,6</w:t>
            </w:r>
          </w:p>
        </w:tc>
        <w:tc>
          <w:tcPr>
            <w:tcW w:w="976" w:type="dxa"/>
            <w:shd w:val="clear" w:color="auto" w:fill="auto"/>
            <w:noWrap/>
            <w:vAlign w:val="center"/>
            <w:hideMark/>
          </w:tcPr>
          <w:p w14:paraId="53E5A9DE"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887,3</w:t>
            </w:r>
          </w:p>
        </w:tc>
      </w:tr>
      <w:tr w:rsidR="00FD7B0B" w:rsidRPr="00FD7B0B" w14:paraId="310F52A0" w14:textId="77777777" w:rsidTr="00354F7C">
        <w:trPr>
          <w:trHeight w:hRule="exact" w:val="255"/>
        </w:trPr>
        <w:tc>
          <w:tcPr>
            <w:tcW w:w="1550" w:type="dxa"/>
            <w:shd w:val="clear" w:color="auto" w:fill="auto"/>
            <w:vAlign w:val="center"/>
            <w:hideMark/>
          </w:tcPr>
          <w:p w14:paraId="59BE294F" w14:textId="77777777" w:rsidR="00A51B25" w:rsidRPr="00FD7B0B" w:rsidRDefault="00A51B25" w:rsidP="00A51B25">
            <w:pPr>
              <w:spacing w:after="0" w:line="240" w:lineRule="auto"/>
              <w:ind w:left="-108" w:right="-7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Субсидия ∆Д</w:t>
            </w:r>
          </w:p>
        </w:tc>
        <w:tc>
          <w:tcPr>
            <w:tcW w:w="992" w:type="dxa"/>
            <w:shd w:val="clear" w:color="auto" w:fill="auto"/>
            <w:noWrap/>
            <w:vAlign w:val="center"/>
            <w:hideMark/>
          </w:tcPr>
          <w:p w14:paraId="6F43B262"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123,7</w:t>
            </w:r>
          </w:p>
        </w:tc>
        <w:tc>
          <w:tcPr>
            <w:tcW w:w="993" w:type="dxa"/>
            <w:vAlign w:val="center"/>
          </w:tcPr>
          <w:p w14:paraId="131F4F04"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70,5</w:t>
            </w:r>
          </w:p>
        </w:tc>
        <w:tc>
          <w:tcPr>
            <w:tcW w:w="992" w:type="dxa"/>
            <w:vAlign w:val="center"/>
          </w:tcPr>
          <w:p w14:paraId="33271835"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53,2</w:t>
            </w:r>
          </w:p>
        </w:tc>
        <w:tc>
          <w:tcPr>
            <w:tcW w:w="1276" w:type="dxa"/>
            <w:shd w:val="clear" w:color="auto" w:fill="auto"/>
            <w:noWrap/>
            <w:vAlign w:val="center"/>
            <w:hideMark/>
          </w:tcPr>
          <w:p w14:paraId="7DD8753A"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707,2</w:t>
            </w:r>
          </w:p>
        </w:tc>
        <w:tc>
          <w:tcPr>
            <w:tcW w:w="850" w:type="dxa"/>
            <w:shd w:val="clear" w:color="auto" w:fill="auto"/>
            <w:noWrap/>
            <w:vAlign w:val="center"/>
            <w:hideMark/>
          </w:tcPr>
          <w:p w14:paraId="74163950"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465,8</w:t>
            </w:r>
          </w:p>
        </w:tc>
        <w:tc>
          <w:tcPr>
            <w:tcW w:w="992" w:type="dxa"/>
            <w:shd w:val="clear" w:color="auto" w:fill="auto"/>
            <w:noWrap/>
            <w:vAlign w:val="center"/>
            <w:hideMark/>
          </w:tcPr>
          <w:p w14:paraId="13A1AD06"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241,3</w:t>
            </w:r>
          </w:p>
        </w:tc>
        <w:tc>
          <w:tcPr>
            <w:tcW w:w="993" w:type="dxa"/>
            <w:shd w:val="clear" w:color="auto" w:fill="auto"/>
            <w:noWrap/>
            <w:vAlign w:val="center"/>
            <w:hideMark/>
          </w:tcPr>
          <w:p w14:paraId="3C777581"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191,2</w:t>
            </w:r>
          </w:p>
        </w:tc>
        <w:tc>
          <w:tcPr>
            <w:tcW w:w="976" w:type="dxa"/>
            <w:shd w:val="clear" w:color="auto" w:fill="auto"/>
            <w:noWrap/>
            <w:vAlign w:val="center"/>
            <w:hideMark/>
          </w:tcPr>
          <w:p w14:paraId="4DE3A3CA"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50,1</w:t>
            </w:r>
          </w:p>
        </w:tc>
      </w:tr>
      <w:tr w:rsidR="00FD7B0B" w:rsidRPr="00FD7B0B" w14:paraId="21FD12EC" w14:textId="77777777" w:rsidTr="00354F7C">
        <w:trPr>
          <w:trHeight w:hRule="exact" w:val="255"/>
        </w:trPr>
        <w:tc>
          <w:tcPr>
            <w:tcW w:w="1550" w:type="dxa"/>
            <w:shd w:val="clear" w:color="auto" w:fill="auto"/>
            <w:vAlign w:val="center"/>
            <w:hideMark/>
          </w:tcPr>
          <w:p w14:paraId="33E1A096" w14:textId="77777777" w:rsidR="00A51B25" w:rsidRPr="00FD7B0B" w:rsidRDefault="00A51B25" w:rsidP="00A51B25">
            <w:pPr>
              <w:spacing w:after="0" w:line="240" w:lineRule="auto"/>
              <w:ind w:left="-108" w:right="-7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Субсидия ∆В</w:t>
            </w:r>
          </w:p>
        </w:tc>
        <w:tc>
          <w:tcPr>
            <w:tcW w:w="992" w:type="dxa"/>
            <w:shd w:val="clear" w:color="auto" w:fill="auto"/>
            <w:noWrap/>
            <w:vAlign w:val="center"/>
            <w:hideMark/>
          </w:tcPr>
          <w:p w14:paraId="71DA79E0"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520,6</w:t>
            </w:r>
          </w:p>
        </w:tc>
        <w:tc>
          <w:tcPr>
            <w:tcW w:w="993" w:type="dxa"/>
            <w:vAlign w:val="center"/>
          </w:tcPr>
          <w:p w14:paraId="658268FB"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343,2</w:t>
            </w:r>
          </w:p>
        </w:tc>
        <w:tc>
          <w:tcPr>
            <w:tcW w:w="992" w:type="dxa"/>
            <w:vAlign w:val="center"/>
          </w:tcPr>
          <w:p w14:paraId="57024085"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177,4</w:t>
            </w:r>
          </w:p>
        </w:tc>
        <w:tc>
          <w:tcPr>
            <w:tcW w:w="1276" w:type="dxa"/>
            <w:shd w:val="clear" w:color="auto" w:fill="auto"/>
            <w:noWrap/>
            <w:vAlign w:val="center"/>
            <w:hideMark/>
          </w:tcPr>
          <w:p w14:paraId="0C721845"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2 977,2</w:t>
            </w:r>
          </w:p>
        </w:tc>
        <w:tc>
          <w:tcPr>
            <w:tcW w:w="850" w:type="dxa"/>
            <w:shd w:val="clear" w:color="auto" w:fill="auto"/>
            <w:noWrap/>
            <w:vAlign w:val="center"/>
            <w:hideMark/>
          </w:tcPr>
          <w:p w14:paraId="1019BC67"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1 605,5</w:t>
            </w:r>
          </w:p>
        </w:tc>
        <w:tc>
          <w:tcPr>
            <w:tcW w:w="992" w:type="dxa"/>
            <w:shd w:val="clear" w:color="auto" w:fill="auto"/>
            <w:noWrap/>
            <w:vAlign w:val="center"/>
            <w:hideMark/>
          </w:tcPr>
          <w:p w14:paraId="465D6AC6"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1 371,7</w:t>
            </w:r>
          </w:p>
        </w:tc>
        <w:tc>
          <w:tcPr>
            <w:tcW w:w="993" w:type="dxa"/>
            <w:shd w:val="clear" w:color="auto" w:fill="auto"/>
            <w:noWrap/>
            <w:vAlign w:val="center"/>
            <w:hideMark/>
          </w:tcPr>
          <w:p w14:paraId="08D5FFFB"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1 129,8</w:t>
            </w:r>
          </w:p>
        </w:tc>
        <w:tc>
          <w:tcPr>
            <w:tcW w:w="976" w:type="dxa"/>
            <w:shd w:val="clear" w:color="auto" w:fill="auto"/>
            <w:noWrap/>
            <w:vAlign w:val="center"/>
            <w:hideMark/>
          </w:tcPr>
          <w:p w14:paraId="14C9EFB1"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241,9</w:t>
            </w:r>
          </w:p>
        </w:tc>
      </w:tr>
      <w:tr w:rsidR="00FD7B0B" w:rsidRPr="00FD7B0B" w14:paraId="6628EFF6" w14:textId="77777777" w:rsidTr="00354F7C">
        <w:trPr>
          <w:trHeight w:hRule="exact" w:val="255"/>
        </w:trPr>
        <w:tc>
          <w:tcPr>
            <w:tcW w:w="1550" w:type="dxa"/>
            <w:shd w:val="clear" w:color="auto" w:fill="auto"/>
            <w:vAlign w:val="center"/>
            <w:hideMark/>
          </w:tcPr>
          <w:p w14:paraId="04CBB55D" w14:textId="77777777" w:rsidR="00A51B25" w:rsidRPr="00FD7B0B" w:rsidRDefault="00A51B25" w:rsidP="00A51B25">
            <w:pPr>
              <w:spacing w:after="0" w:line="240" w:lineRule="auto"/>
              <w:ind w:left="-108" w:right="-78"/>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Субсидия ∆ПВ</w:t>
            </w:r>
          </w:p>
        </w:tc>
        <w:tc>
          <w:tcPr>
            <w:tcW w:w="992" w:type="dxa"/>
            <w:shd w:val="clear" w:color="auto" w:fill="auto"/>
            <w:noWrap/>
            <w:vAlign w:val="center"/>
            <w:hideMark/>
          </w:tcPr>
          <w:p w14:paraId="15F96B28"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0,6</w:t>
            </w:r>
          </w:p>
        </w:tc>
        <w:tc>
          <w:tcPr>
            <w:tcW w:w="993" w:type="dxa"/>
            <w:vAlign w:val="center"/>
          </w:tcPr>
          <w:p w14:paraId="1C90A41E"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0,4</w:t>
            </w:r>
          </w:p>
        </w:tc>
        <w:tc>
          <w:tcPr>
            <w:tcW w:w="992" w:type="dxa"/>
            <w:vAlign w:val="center"/>
          </w:tcPr>
          <w:p w14:paraId="73F4CA6B"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0,2</w:t>
            </w:r>
          </w:p>
        </w:tc>
        <w:tc>
          <w:tcPr>
            <w:tcW w:w="1276" w:type="dxa"/>
            <w:shd w:val="clear" w:color="auto" w:fill="auto"/>
            <w:noWrap/>
            <w:vAlign w:val="center"/>
            <w:hideMark/>
          </w:tcPr>
          <w:p w14:paraId="11065B91"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w:t>
            </w:r>
          </w:p>
        </w:tc>
        <w:tc>
          <w:tcPr>
            <w:tcW w:w="850" w:type="dxa"/>
            <w:shd w:val="clear" w:color="auto" w:fill="auto"/>
            <w:noWrap/>
            <w:vAlign w:val="center"/>
            <w:hideMark/>
          </w:tcPr>
          <w:p w14:paraId="3BF38458"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w:t>
            </w:r>
          </w:p>
        </w:tc>
        <w:tc>
          <w:tcPr>
            <w:tcW w:w="992" w:type="dxa"/>
            <w:shd w:val="clear" w:color="auto" w:fill="auto"/>
            <w:noWrap/>
            <w:vAlign w:val="center"/>
            <w:hideMark/>
          </w:tcPr>
          <w:p w14:paraId="0829066E"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w:t>
            </w:r>
          </w:p>
        </w:tc>
        <w:tc>
          <w:tcPr>
            <w:tcW w:w="993" w:type="dxa"/>
            <w:shd w:val="clear" w:color="auto" w:fill="auto"/>
            <w:noWrap/>
            <w:vAlign w:val="center"/>
            <w:hideMark/>
          </w:tcPr>
          <w:p w14:paraId="28E85100"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w:t>
            </w:r>
          </w:p>
        </w:tc>
        <w:tc>
          <w:tcPr>
            <w:tcW w:w="976" w:type="dxa"/>
            <w:shd w:val="clear" w:color="auto" w:fill="auto"/>
            <w:noWrap/>
            <w:vAlign w:val="center"/>
            <w:hideMark/>
          </w:tcPr>
          <w:p w14:paraId="737838D3" w14:textId="77777777" w:rsidR="00A51B25" w:rsidRPr="00FD7B0B" w:rsidRDefault="00A51B25" w:rsidP="00A51B25">
            <w:pPr>
              <w:spacing w:after="0" w:line="240" w:lineRule="auto"/>
              <w:ind w:left="-188" w:right="-73"/>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0,2</w:t>
            </w:r>
          </w:p>
        </w:tc>
      </w:tr>
      <w:tr w:rsidR="00FD7B0B" w:rsidRPr="00FD7B0B" w14:paraId="5C1F6324" w14:textId="77777777" w:rsidTr="00354F7C">
        <w:trPr>
          <w:trHeight w:hRule="exact" w:val="255"/>
        </w:trPr>
        <w:tc>
          <w:tcPr>
            <w:tcW w:w="1550" w:type="dxa"/>
            <w:shd w:val="clear" w:color="auto" w:fill="auto"/>
            <w:vAlign w:val="center"/>
            <w:hideMark/>
          </w:tcPr>
          <w:p w14:paraId="4B8A8D34" w14:textId="77777777" w:rsidR="00A51B25" w:rsidRPr="00FD7B0B" w:rsidRDefault="00A51B25" w:rsidP="00A51B25">
            <w:pPr>
              <w:spacing w:after="0" w:line="240" w:lineRule="auto"/>
              <w:ind w:left="-108" w:right="-78"/>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Итого</w:t>
            </w:r>
          </w:p>
        </w:tc>
        <w:tc>
          <w:tcPr>
            <w:tcW w:w="992" w:type="dxa"/>
            <w:shd w:val="clear" w:color="auto" w:fill="auto"/>
            <w:noWrap/>
            <w:vAlign w:val="center"/>
            <w:hideMark/>
          </w:tcPr>
          <w:p w14:paraId="1D57DFC1" w14:textId="77777777" w:rsidR="00A51B25" w:rsidRPr="00FD7B0B" w:rsidRDefault="00A51B25" w:rsidP="00A51B25">
            <w:pPr>
              <w:spacing w:after="0" w:line="240" w:lineRule="auto"/>
              <w:ind w:left="-188" w:right="-73"/>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2 833,5</w:t>
            </w:r>
          </w:p>
        </w:tc>
        <w:tc>
          <w:tcPr>
            <w:tcW w:w="993" w:type="dxa"/>
            <w:vAlign w:val="center"/>
          </w:tcPr>
          <w:p w14:paraId="4F2FBD1D" w14:textId="77777777" w:rsidR="00A51B25" w:rsidRPr="00FD7B0B" w:rsidRDefault="00A51B25" w:rsidP="00A51B25">
            <w:pPr>
              <w:spacing w:after="0" w:line="240" w:lineRule="auto"/>
              <w:ind w:left="-188" w:right="-73"/>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1 718,6</w:t>
            </w:r>
          </w:p>
        </w:tc>
        <w:tc>
          <w:tcPr>
            <w:tcW w:w="992" w:type="dxa"/>
            <w:vAlign w:val="center"/>
          </w:tcPr>
          <w:p w14:paraId="7576DEBE" w14:textId="77777777" w:rsidR="00A51B25" w:rsidRPr="00FD7B0B" w:rsidRDefault="00A51B25" w:rsidP="00A51B25">
            <w:pPr>
              <w:spacing w:after="0" w:line="240" w:lineRule="auto"/>
              <w:ind w:left="-188" w:right="-73"/>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1 114,9</w:t>
            </w:r>
          </w:p>
        </w:tc>
        <w:tc>
          <w:tcPr>
            <w:tcW w:w="1276" w:type="dxa"/>
            <w:shd w:val="clear" w:color="auto" w:fill="auto"/>
            <w:noWrap/>
            <w:vAlign w:val="center"/>
            <w:hideMark/>
          </w:tcPr>
          <w:p w14:paraId="6C4C1DBA" w14:textId="77777777" w:rsidR="00A51B25" w:rsidRPr="00FD7B0B" w:rsidRDefault="00A51B25" w:rsidP="00A51B25">
            <w:pPr>
              <w:spacing w:after="0" w:line="240" w:lineRule="auto"/>
              <w:ind w:left="-188" w:right="-73"/>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15 307,9</w:t>
            </w:r>
          </w:p>
        </w:tc>
        <w:tc>
          <w:tcPr>
            <w:tcW w:w="850" w:type="dxa"/>
            <w:shd w:val="clear" w:color="auto" w:fill="auto"/>
            <w:noWrap/>
            <w:vAlign w:val="center"/>
            <w:hideMark/>
          </w:tcPr>
          <w:p w14:paraId="3F1D4867" w14:textId="77777777" w:rsidR="00A51B25" w:rsidRPr="00FD7B0B" w:rsidRDefault="00A51B25" w:rsidP="00A51B25">
            <w:pPr>
              <w:spacing w:after="0" w:line="240" w:lineRule="auto"/>
              <w:ind w:left="-188" w:right="-73"/>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9 318,7</w:t>
            </w:r>
          </w:p>
        </w:tc>
        <w:tc>
          <w:tcPr>
            <w:tcW w:w="992" w:type="dxa"/>
            <w:shd w:val="clear" w:color="auto" w:fill="auto"/>
            <w:noWrap/>
            <w:vAlign w:val="center"/>
            <w:hideMark/>
          </w:tcPr>
          <w:p w14:paraId="616F7D8B" w14:textId="77777777" w:rsidR="00A51B25" w:rsidRPr="00FD7B0B" w:rsidRDefault="00A51B25" w:rsidP="00A51B25">
            <w:pPr>
              <w:spacing w:after="0" w:line="240" w:lineRule="auto"/>
              <w:ind w:left="-188" w:right="-73"/>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5 989,2</w:t>
            </w:r>
          </w:p>
        </w:tc>
        <w:tc>
          <w:tcPr>
            <w:tcW w:w="993" w:type="dxa"/>
            <w:shd w:val="clear" w:color="auto" w:fill="auto"/>
            <w:noWrap/>
            <w:vAlign w:val="center"/>
            <w:hideMark/>
          </w:tcPr>
          <w:p w14:paraId="0D302D71" w14:textId="77777777" w:rsidR="00A51B25" w:rsidRPr="00FD7B0B" w:rsidRDefault="00A51B25" w:rsidP="00A51B25">
            <w:pPr>
              <w:spacing w:after="0" w:line="240" w:lineRule="auto"/>
              <w:ind w:left="-188" w:right="-73"/>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4 385,6</w:t>
            </w:r>
          </w:p>
        </w:tc>
        <w:tc>
          <w:tcPr>
            <w:tcW w:w="976" w:type="dxa"/>
            <w:shd w:val="clear" w:color="auto" w:fill="auto"/>
            <w:noWrap/>
            <w:vAlign w:val="center"/>
            <w:hideMark/>
          </w:tcPr>
          <w:p w14:paraId="0C4C09C4" w14:textId="77777777" w:rsidR="00A51B25" w:rsidRPr="00FD7B0B" w:rsidRDefault="00A51B25" w:rsidP="00A51B25">
            <w:pPr>
              <w:spacing w:after="0" w:line="240" w:lineRule="auto"/>
              <w:ind w:left="-188" w:right="-73"/>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1 603,6</w:t>
            </w:r>
          </w:p>
        </w:tc>
      </w:tr>
    </w:tbl>
    <w:p w14:paraId="2AD0BC8F" w14:textId="77777777" w:rsidR="00587446" w:rsidRPr="00FD7B0B" w:rsidRDefault="00587446" w:rsidP="00A51B25">
      <w:pPr>
        <w:spacing w:after="0" w:line="240" w:lineRule="auto"/>
        <w:ind w:firstLine="709"/>
        <w:contextualSpacing/>
        <w:jc w:val="both"/>
        <w:rPr>
          <w:rFonts w:ascii="Times New Roman" w:hAnsi="Times New Roman"/>
          <w:sz w:val="28"/>
          <w:szCs w:val="28"/>
        </w:rPr>
      </w:pPr>
    </w:p>
    <w:p w14:paraId="071323C4" w14:textId="3FF62BE7" w:rsidR="00A51B25" w:rsidRPr="00FD7B0B" w:rsidRDefault="00A51B25" w:rsidP="00A51B25">
      <w:pPr>
        <w:spacing w:after="0" w:line="240" w:lineRule="auto"/>
        <w:ind w:firstLine="709"/>
        <w:contextualSpacing/>
        <w:jc w:val="both"/>
        <w:rPr>
          <w:rFonts w:ascii="Times New Roman" w:hAnsi="Times New Roman"/>
          <w:sz w:val="28"/>
          <w:szCs w:val="28"/>
        </w:rPr>
      </w:pPr>
      <w:r w:rsidRPr="00FD7B0B">
        <w:rPr>
          <w:rFonts w:ascii="Times New Roman" w:hAnsi="Times New Roman"/>
          <w:sz w:val="28"/>
          <w:szCs w:val="28"/>
        </w:rPr>
        <w:t xml:space="preserve">Информация об объемах предоставленной из областного бюджета субсидии на возмещение недополученных доходов, возникающих в результате государственного регулирования розничных цен на сжиженный газ, реализуемый для бытовых нужд населения (далее – субсидия ∆Г) организациям коммунального комплекса и фактических объемных показателях в динамике с 2020 по 2024 годы представлена на рисунке </w:t>
      </w:r>
      <w:r w:rsidR="00DD44FB" w:rsidRPr="00FD7B0B">
        <w:rPr>
          <w:rFonts w:ascii="Times New Roman" w:hAnsi="Times New Roman"/>
          <w:sz w:val="28"/>
          <w:szCs w:val="28"/>
        </w:rPr>
        <w:t>25</w:t>
      </w:r>
      <w:r w:rsidRPr="00FD7B0B">
        <w:rPr>
          <w:rFonts w:ascii="Times New Roman" w:hAnsi="Times New Roman"/>
          <w:sz w:val="28"/>
          <w:szCs w:val="28"/>
        </w:rPr>
        <w:t>.</w:t>
      </w:r>
    </w:p>
    <w:p w14:paraId="1B39F808" w14:textId="368EB10D" w:rsidR="00875B96" w:rsidRPr="00FD7B0B" w:rsidRDefault="00875B96" w:rsidP="00875B96">
      <w:pPr>
        <w:spacing w:after="0" w:line="240" w:lineRule="auto"/>
        <w:contextualSpacing/>
        <w:jc w:val="center"/>
        <w:rPr>
          <w:rFonts w:ascii="Times New Roman" w:hAnsi="Times New Roman"/>
          <w:sz w:val="28"/>
          <w:szCs w:val="28"/>
        </w:rPr>
      </w:pPr>
      <w:r w:rsidRPr="00FD7B0B">
        <w:rPr>
          <w:rFonts w:ascii="Times New Roman" w:hAnsi="Times New Roman"/>
          <w:noProof/>
          <w:sz w:val="28"/>
          <w:szCs w:val="28"/>
          <w:lang w:eastAsia="ru-RU"/>
        </w:rPr>
        <w:drawing>
          <wp:inline distT="0" distB="0" distL="0" distR="0" wp14:anchorId="35CAB18C" wp14:editId="7806C3B3">
            <wp:extent cx="5944235" cy="2798445"/>
            <wp:effectExtent l="0" t="0" r="0" b="19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4235" cy="2798445"/>
                    </a:xfrm>
                    <a:prstGeom prst="rect">
                      <a:avLst/>
                    </a:prstGeom>
                    <a:noFill/>
                  </pic:spPr>
                </pic:pic>
              </a:graphicData>
            </a:graphic>
          </wp:inline>
        </w:drawing>
      </w:r>
    </w:p>
    <w:p w14:paraId="044FD107" w14:textId="56F0AAC1"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Рисунок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Рисунок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25</w:t>
      </w:r>
      <w:r w:rsidRPr="00FD7B0B">
        <w:rPr>
          <w:rFonts w:ascii="Times New Roman" w:hAnsi="Times New Roman"/>
          <w:sz w:val="24"/>
          <w:szCs w:val="24"/>
        </w:rPr>
        <w:fldChar w:fldCharType="end"/>
      </w:r>
      <w:r w:rsidRPr="00FD7B0B">
        <w:rPr>
          <w:rFonts w:ascii="Times New Roman" w:hAnsi="Times New Roman"/>
          <w:sz w:val="24"/>
          <w:szCs w:val="24"/>
        </w:rPr>
        <w:t>. Динамика размера субсидии на возмещение недополученных доходов организаций, возникающих в результате государственного регулирования розничных цен на сжиженный газ, реализуемый для бытовых нужд населения, организациям коммунального комплекса и объемов, реализованного сжиженного газа, за 2020</w:t>
      </w:r>
      <w:r w:rsidR="00875B96" w:rsidRPr="00FD7B0B">
        <w:rPr>
          <w:rFonts w:ascii="Times New Roman" w:hAnsi="Times New Roman"/>
          <w:sz w:val="24"/>
          <w:szCs w:val="24"/>
        </w:rPr>
        <w:t xml:space="preserve"> – </w:t>
      </w:r>
      <w:r w:rsidRPr="00FD7B0B">
        <w:rPr>
          <w:rFonts w:ascii="Times New Roman" w:hAnsi="Times New Roman"/>
          <w:sz w:val="24"/>
          <w:szCs w:val="24"/>
        </w:rPr>
        <w:t>2024 годы</w:t>
      </w:r>
    </w:p>
    <w:p w14:paraId="05129D36" w14:textId="77777777" w:rsidR="00A51B25" w:rsidRPr="00FD7B0B" w:rsidRDefault="00A51B25" w:rsidP="00875B96">
      <w:pPr>
        <w:spacing w:after="0" w:line="240" w:lineRule="auto"/>
        <w:ind w:firstLine="709"/>
        <w:contextualSpacing/>
        <w:jc w:val="both"/>
        <w:rPr>
          <w:rFonts w:ascii="Times New Roman" w:hAnsi="Times New Roman"/>
          <w:sz w:val="28"/>
          <w:szCs w:val="28"/>
        </w:rPr>
      </w:pPr>
    </w:p>
    <w:p w14:paraId="3625E5C7" w14:textId="77777777" w:rsidR="00A51B25" w:rsidRPr="00FD7B0B" w:rsidRDefault="00A51B25" w:rsidP="00875B96">
      <w:pPr>
        <w:spacing w:after="0" w:line="240" w:lineRule="auto"/>
        <w:ind w:firstLine="709"/>
        <w:contextualSpacing/>
        <w:jc w:val="both"/>
        <w:rPr>
          <w:rFonts w:ascii="Times New Roman" w:hAnsi="Times New Roman"/>
          <w:sz w:val="28"/>
          <w:szCs w:val="28"/>
        </w:rPr>
      </w:pPr>
      <w:r w:rsidRPr="00FD7B0B">
        <w:rPr>
          <w:rFonts w:ascii="Times New Roman" w:hAnsi="Times New Roman"/>
          <w:sz w:val="28"/>
          <w:szCs w:val="28"/>
        </w:rPr>
        <w:t xml:space="preserve">Потребность в субсидии ∆Г за 2024 год составила в сумме 354,8 млн.руб. (с учетом кредиторской задолженности на 01.01.2024 в размере </w:t>
      </w:r>
      <w:r w:rsidRPr="00FD7B0B">
        <w:rPr>
          <w:rFonts w:ascii="Times New Roman" w:hAnsi="Times New Roman"/>
          <w:sz w:val="28"/>
          <w:szCs w:val="28"/>
        </w:rPr>
        <w:br/>
        <w:t>69,9 млн.руб.) или 132,6% к уровню 2023 года, выплачено средств из областного бюджета, нарастающим итогом с начала 2024 года, – 272,5 млн.руб. Следует отметить, что на 01.01.2025 кредиторская задолженность перед газоснабжающими организациями составила 82,4 млн.руб., в том числе задолженность за сентябрь – ноябрь 2024 года в размере 61,1 млн.руб.</w:t>
      </w:r>
    </w:p>
    <w:p w14:paraId="66ECCFDE" w14:textId="53C2D862" w:rsidR="00A51B25" w:rsidRPr="00FD7B0B" w:rsidRDefault="00A51B25" w:rsidP="00875B96">
      <w:pPr>
        <w:spacing w:after="0" w:line="240" w:lineRule="auto"/>
        <w:ind w:firstLine="709"/>
        <w:contextualSpacing/>
        <w:jc w:val="both"/>
        <w:rPr>
          <w:rFonts w:ascii="Times New Roman" w:hAnsi="Times New Roman"/>
          <w:sz w:val="28"/>
          <w:szCs w:val="28"/>
        </w:rPr>
      </w:pPr>
      <w:r w:rsidRPr="00FD7B0B">
        <w:rPr>
          <w:rFonts w:ascii="Times New Roman" w:hAnsi="Times New Roman"/>
          <w:sz w:val="28"/>
          <w:szCs w:val="28"/>
        </w:rPr>
        <w:lastRenderedPageBreak/>
        <w:t>Изменения в объемах реализации сжиженного газа населению и потребности в средствах субсидии ∆Г за 2022 – 2024 годы (без учета кредиторской задолженности на 1 января отчетного года) в разрезе предприятий представлены в таблице</w:t>
      </w:r>
      <w:r w:rsidR="00875B96" w:rsidRPr="00FD7B0B">
        <w:rPr>
          <w:rFonts w:ascii="Times New Roman" w:hAnsi="Times New Roman"/>
          <w:sz w:val="28"/>
          <w:szCs w:val="28"/>
        </w:rPr>
        <w:t xml:space="preserve"> </w:t>
      </w:r>
      <w:r w:rsidR="00DD44FB" w:rsidRPr="00FD7B0B">
        <w:rPr>
          <w:rFonts w:ascii="Times New Roman" w:hAnsi="Times New Roman"/>
          <w:sz w:val="28"/>
          <w:szCs w:val="28"/>
        </w:rPr>
        <w:t>174</w:t>
      </w:r>
      <w:r w:rsidRPr="00FD7B0B">
        <w:rPr>
          <w:rFonts w:ascii="Times New Roman" w:hAnsi="Times New Roman"/>
          <w:sz w:val="28"/>
          <w:szCs w:val="28"/>
        </w:rPr>
        <w:t>.</w:t>
      </w:r>
    </w:p>
    <w:p w14:paraId="25EF69EA" w14:textId="77777777" w:rsidR="00A51B25" w:rsidRPr="00FD7B0B" w:rsidRDefault="00A51B25" w:rsidP="00875B96">
      <w:pPr>
        <w:spacing w:after="0" w:line="240" w:lineRule="auto"/>
        <w:ind w:firstLine="709"/>
        <w:contextualSpacing/>
        <w:jc w:val="both"/>
        <w:rPr>
          <w:rFonts w:ascii="Times New Roman" w:hAnsi="Times New Roman"/>
          <w:sz w:val="28"/>
          <w:szCs w:val="28"/>
        </w:rPr>
      </w:pPr>
    </w:p>
    <w:p w14:paraId="6CBF0FEB" w14:textId="667BE929"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174</w:t>
      </w:r>
      <w:r w:rsidRPr="00FD7B0B">
        <w:rPr>
          <w:rFonts w:ascii="Times New Roman" w:hAnsi="Times New Roman"/>
          <w:sz w:val="24"/>
          <w:szCs w:val="24"/>
        </w:rPr>
        <w:fldChar w:fldCharType="end"/>
      </w:r>
      <w:r w:rsidRPr="00FD7B0B">
        <w:rPr>
          <w:rFonts w:ascii="Times New Roman" w:hAnsi="Times New Roman"/>
          <w:sz w:val="24"/>
          <w:szCs w:val="24"/>
        </w:rPr>
        <w:t xml:space="preserve">. Изменения объемов реализации сжиженного газа населению и потребности </w:t>
      </w:r>
      <w:r w:rsidRPr="00FD7B0B">
        <w:rPr>
          <w:rFonts w:ascii="Times New Roman" w:hAnsi="Times New Roman"/>
          <w:sz w:val="24"/>
          <w:szCs w:val="24"/>
        </w:rPr>
        <w:br/>
        <w:t>в средствах субсидии ∆Г за 2022</w:t>
      </w:r>
      <w:r w:rsidR="00875B96" w:rsidRPr="00FD7B0B">
        <w:rPr>
          <w:rFonts w:ascii="Times New Roman" w:hAnsi="Times New Roman"/>
          <w:sz w:val="24"/>
          <w:szCs w:val="24"/>
        </w:rPr>
        <w:t xml:space="preserve"> – </w:t>
      </w:r>
      <w:r w:rsidRPr="00FD7B0B">
        <w:rPr>
          <w:rFonts w:ascii="Times New Roman" w:hAnsi="Times New Roman"/>
          <w:sz w:val="24"/>
          <w:szCs w:val="24"/>
        </w:rPr>
        <w:t>2024 годы в разрезе предприятий</w:t>
      </w:r>
    </w:p>
    <w:tbl>
      <w:tblPr>
        <w:tblW w:w="9766" w:type="dxa"/>
        <w:jc w:val="center"/>
        <w:tblLayout w:type="fixed"/>
        <w:tblLook w:val="04A0" w:firstRow="1" w:lastRow="0" w:firstColumn="1" w:lastColumn="0" w:noHBand="0" w:noVBand="1"/>
      </w:tblPr>
      <w:tblGrid>
        <w:gridCol w:w="2112"/>
        <w:gridCol w:w="954"/>
        <w:gridCol w:w="955"/>
        <w:gridCol w:w="955"/>
        <w:gridCol w:w="955"/>
        <w:gridCol w:w="954"/>
        <w:gridCol w:w="955"/>
        <w:gridCol w:w="955"/>
        <w:gridCol w:w="971"/>
      </w:tblGrid>
      <w:tr w:rsidR="00FD7B0B" w:rsidRPr="00FD7B0B" w14:paraId="34208BFB" w14:textId="77777777" w:rsidTr="0042745C">
        <w:trPr>
          <w:cantSplit/>
          <w:trHeight w:val="286"/>
          <w:tblHeader/>
          <w:jc w:val="center"/>
        </w:trPr>
        <w:tc>
          <w:tcPr>
            <w:tcW w:w="211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8D2A95F" w14:textId="77777777" w:rsidR="00A51B25" w:rsidRPr="00FD7B0B" w:rsidRDefault="00A51B25" w:rsidP="0042745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организации</w:t>
            </w:r>
          </w:p>
        </w:tc>
        <w:tc>
          <w:tcPr>
            <w:tcW w:w="1909" w:type="dxa"/>
            <w:gridSpan w:val="2"/>
            <w:tcBorders>
              <w:top w:val="double" w:sz="4" w:space="0" w:color="auto"/>
              <w:left w:val="nil"/>
              <w:bottom w:val="single" w:sz="4" w:space="0" w:color="auto"/>
              <w:right w:val="single" w:sz="4" w:space="0" w:color="000000"/>
            </w:tcBorders>
            <w:shd w:val="clear" w:color="auto" w:fill="auto"/>
            <w:vAlign w:val="center"/>
            <w:hideMark/>
          </w:tcPr>
          <w:p w14:paraId="44B89D38" w14:textId="77777777" w:rsidR="00A51B25" w:rsidRPr="00FD7B0B" w:rsidRDefault="00A51B25" w:rsidP="0042745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2022 год </w:t>
            </w:r>
          </w:p>
        </w:tc>
        <w:tc>
          <w:tcPr>
            <w:tcW w:w="1910" w:type="dxa"/>
            <w:gridSpan w:val="2"/>
            <w:tcBorders>
              <w:top w:val="double" w:sz="4" w:space="0" w:color="auto"/>
              <w:left w:val="nil"/>
              <w:bottom w:val="single" w:sz="4" w:space="0" w:color="auto"/>
              <w:right w:val="single" w:sz="4" w:space="0" w:color="auto"/>
            </w:tcBorders>
            <w:shd w:val="clear" w:color="auto" w:fill="auto"/>
            <w:vAlign w:val="center"/>
            <w:hideMark/>
          </w:tcPr>
          <w:p w14:paraId="797442FC" w14:textId="77777777" w:rsidR="00A51B25" w:rsidRPr="00FD7B0B" w:rsidRDefault="00A51B25" w:rsidP="0042745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2023 год </w:t>
            </w:r>
          </w:p>
        </w:tc>
        <w:tc>
          <w:tcPr>
            <w:tcW w:w="1909" w:type="dxa"/>
            <w:gridSpan w:val="2"/>
            <w:tcBorders>
              <w:top w:val="double" w:sz="4" w:space="0" w:color="auto"/>
              <w:left w:val="nil"/>
              <w:bottom w:val="single" w:sz="4" w:space="0" w:color="auto"/>
              <w:right w:val="single" w:sz="4" w:space="0" w:color="auto"/>
            </w:tcBorders>
            <w:shd w:val="clear" w:color="auto" w:fill="auto"/>
            <w:vAlign w:val="center"/>
            <w:hideMark/>
          </w:tcPr>
          <w:p w14:paraId="7C3AAEFC" w14:textId="77777777" w:rsidR="00A51B25" w:rsidRPr="00FD7B0B" w:rsidRDefault="00A51B25" w:rsidP="0042745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2024 год </w:t>
            </w:r>
          </w:p>
        </w:tc>
        <w:tc>
          <w:tcPr>
            <w:tcW w:w="1926" w:type="dxa"/>
            <w:gridSpan w:val="2"/>
            <w:tcBorders>
              <w:top w:val="double" w:sz="4" w:space="0" w:color="auto"/>
              <w:left w:val="nil"/>
              <w:bottom w:val="single" w:sz="4" w:space="0" w:color="auto"/>
              <w:right w:val="double" w:sz="4" w:space="0" w:color="auto"/>
            </w:tcBorders>
            <w:shd w:val="clear" w:color="auto" w:fill="auto"/>
            <w:vAlign w:val="center"/>
            <w:hideMark/>
          </w:tcPr>
          <w:p w14:paraId="7257FA0C" w14:textId="77777777" w:rsidR="00A51B25" w:rsidRPr="00FD7B0B" w:rsidRDefault="00A51B25" w:rsidP="0042745C">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2024 год к 2023 году, % </w:t>
            </w:r>
          </w:p>
        </w:tc>
      </w:tr>
      <w:tr w:rsidR="00FD7B0B" w:rsidRPr="00FD7B0B" w14:paraId="36A9D78A" w14:textId="77777777" w:rsidTr="0042745C">
        <w:trPr>
          <w:trHeight w:val="1481"/>
          <w:jc w:val="center"/>
        </w:trPr>
        <w:tc>
          <w:tcPr>
            <w:tcW w:w="2112" w:type="dxa"/>
            <w:vMerge/>
            <w:tcBorders>
              <w:top w:val="single" w:sz="4" w:space="0" w:color="auto"/>
              <w:left w:val="double" w:sz="4" w:space="0" w:color="auto"/>
              <w:bottom w:val="single" w:sz="4" w:space="0" w:color="auto"/>
              <w:right w:val="single" w:sz="4" w:space="0" w:color="auto"/>
            </w:tcBorders>
            <w:shd w:val="clear" w:color="auto" w:fill="auto"/>
            <w:vAlign w:val="center"/>
            <w:hideMark/>
          </w:tcPr>
          <w:p w14:paraId="5FA6EC21" w14:textId="77777777" w:rsidR="00A51B25" w:rsidRPr="00FD7B0B" w:rsidRDefault="00A51B25" w:rsidP="0042745C">
            <w:pPr>
              <w:spacing w:after="0" w:line="240" w:lineRule="auto"/>
              <w:rPr>
                <w:rFonts w:ascii="Times New Roman" w:eastAsia="Times New Roman" w:hAnsi="Times New Roman" w:cs="Times New Roman"/>
                <w:sz w:val="20"/>
                <w:szCs w:val="20"/>
                <w:lang w:eastAsia="ru-RU"/>
              </w:rPr>
            </w:pPr>
          </w:p>
        </w:tc>
        <w:tc>
          <w:tcPr>
            <w:tcW w:w="954" w:type="dxa"/>
            <w:tcBorders>
              <w:top w:val="nil"/>
              <w:left w:val="nil"/>
              <w:bottom w:val="single" w:sz="4" w:space="0" w:color="auto"/>
              <w:right w:val="single" w:sz="4" w:space="0" w:color="auto"/>
            </w:tcBorders>
            <w:shd w:val="clear" w:color="auto" w:fill="auto"/>
            <w:vAlign w:val="center"/>
            <w:hideMark/>
          </w:tcPr>
          <w:p w14:paraId="21BDA6ED" w14:textId="77777777" w:rsidR="00A51B25" w:rsidRPr="00FD7B0B" w:rsidRDefault="00A51B25" w:rsidP="0042745C">
            <w:pPr>
              <w:spacing w:after="0" w:line="240" w:lineRule="auto"/>
              <w:ind w:left="-104" w:right="-13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Фактический объем сжиженного газа, реализован-ный населению, тыс. кг</w:t>
            </w:r>
          </w:p>
        </w:tc>
        <w:tc>
          <w:tcPr>
            <w:tcW w:w="955" w:type="dxa"/>
            <w:tcBorders>
              <w:top w:val="nil"/>
              <w:left w:val="nil"/>
              <w:bottom w:val="single" w:sz="4" w:space="0" w:color="auto"/>
              <w:right w:val="single" w:sz="4" w:space="0" w:color="auto"/>
            </w:tcBorders>
            <w:shd w:val="clear" w:color="auto" w:fill="auto"/>
            <w:vAlign w:val="center"/>
            <w:hideMark/>
          </w:tcPr>
          <w:p w14:paraId="03B98C05" w14:textId="77777777" w:rsidR="00A51B25" w:rsidRPr="00FD7B0B" w:rsidRDefault="00A51B25" w:rsidP="0042745C">
            <w:pPr>
              <w:spacing w:after="0" w:line="240" w:lineRule="auto"/>
              <w:ind w:left="-104" w:right="-13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Потребность в средствах субсидии, млн.руб.</w:t>
            </w:r>
          </w:p>
        </w:tc>
        <w:tc>
          <w:tcPr>
            <w:tcW w:w="955" w:type="dxa"/>
            <w:tcBorders>
              <w:top w:val="nil"/>
              <w:left w:val="nil"/>
              <w:bottom w:val="single" w:sz="4" w:space="0" w:color="auto"/>
              <w:right w:val="single" w:sz="4" w:space="0" w:color="auto"/>
            </w:tcBorders>
            <w:shd w:val="clear" w:color="auto" w:fill="auto"/>
            <w:vAlign w:val="center"/>
            <w:hideMark/>
          </w:tcPr>
          <w:p w14:paraId="003D5EF5" w14:textId="77777777" w:rsidR="00A51B25" w:rsidRPr="00FD7B0B" w:rsidRDefault="00A51B25" w:rsidP="0042745C">
            <w:pPr>
              <w:spacing w:after="0" w:line="240" w:lineRule="auto"/>
              <w:ind w:left="-104" w:right="-13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Фактический объем сжиженного газа, реализован-ный населению, тыс. кг</w:t>
            </w:r>
          </w:p>
        </w:tc>
        <w:tc>
          <w:tcPr>
            <w:tcW w:w="955" w:type="dxa"/>
            <w:tcBorders>
              <w:top w:val="nil"/>
              <w:left w:val="nil"/>
              <w:bottom w:val="single" w:sz="4" w:space="0" w:color="auto"/>
              <w:right w:val="single" w:sz="4" w:space="0" w:color="auto"/>
            </w:tcBorders>
            <w:shd w:val="clear" w:color="auto" w:fill="auto"/>
            <w:vAlign w:val="center"/>
            <w:hideMark/>
          </w:tcPr>
          <w:p w14:paraId="4D7086E3" w14:textId="77777777" w:rsidR="00A51B25" w:rsidRPr="00FD7B0B" w:rsidRDefault="00A51B25" w:rsidP="0042745C">
            <w:pPr>
              <w:spacing w:after="0" w:line="240" w:lineRule="auto"/>
              <w:ind w:left="-104" w:right="-13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Потребность в средствах субсидии, млн.руб.</w:t>
            </w:r>
          </w:p>
        </w:tc>
        <w:tc>
          <w:tcPr>
            <w:tcW w:w="954" w:type="dxa"/>
            <w:tcBorders>
              <w:top w:val="nil"/>
              <w:left w:val="nil"/>
              <w:bottom w:val="single" w:sz="4" w:space="0" w:color="auto"/>
              <w:right w:val="single" w:sz="4" w:space="0" w:color="auto"/>
            </w:tcBorders>
            <w:shd w:val="clear" w:color="auto" w:fill="auto"/>
            <w:vAlign w:val="center"/>
            <w:hideMark/>
          </w:tcPr>
          <w:p w14:paraId="70F3A0E8" w14:textId="77777777" w:rsidR="00A51B25" w:rsidRPr="00FD7B0B" w:rsidRDefault="00A51B25" w:rsidP="0042745C">
            <w:pPr>
              <w:spacing w:after="0" w:line="240" w:lineRule="auto"/>
              <w:ind w:left="-104" w:right="-13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Фактический объем сжиженного газа, реализован-ный населению, тыс. кг</w:t>
            </w:r>
          </w:p>
        </w:tc>
        <w:tc>
          <w:tcPr>
            <w:tcW w:w="955" w:type="dxa"/>
            <w:tcBorders>
              <w:top w:val="nil"/>
              <w:left w:val="nil"/>
              <w:bottom w:val="single" w:sz="4" w:space="0" w:color="auto"/>
              <w:right w:val="single" w:sz="4" w:space="0" w:color="auto"/>
            </w:tcBorders>
            <w:shd w:val="clear" w:color="auto" w:fill="auto"/>
            <w:vAlign w:val="center"/>
            <w:hideMark/>
          </w:tcPr>
          <w:p w14:paraId="4D70E8D4" w14:textId="77777777" w:rsidR="00A51B25" w:rsidRPr="00FD7B0B" w:rsidRDefault="00A51B25" w:rsidP="0042745C">
            <w:pPr>
              <w:spacing w:after="0" w:line="240" w:lineRule="auto"/>
              <w:ind w:left="-104" w:right="-13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Потребность в средствах субсидии, млн.руб.</w:t>
            </w:r>
          </w:p>
        </w:tc>
        <w:tc>
          <w:tcPr>
            <w:tcW w:w="955" w:type="dxa"/>
            <w:tcBorders>
              <w:top w:val="nil"/>
              <w:left w:val="nil"/>
              <w:bottom w:val="single" w:sz="4" w:space="0" w:color="auto"/>
              <w:right w:val="single" w:sz="4" w:space="0" w:color="auto"/>
            </w:tcBorders>
            <w:shd w:val="clear" w:color="auto" w:fill="auto"/>
            <w:vAlign w:val="center"/>
            <w:hideMark/>
          </w:tcPr>
          <w:p w14:paraId="7FA0F34A" w14:textId="77777777" w:rsidR="00A51B25" w:rsidRPr="00FD7B0B" w:rsidRDefault="00A51B25" w:rsidP="0042745C">
            <w:pPr>
              <w:spacing w:after="0" w:line="240" w:lineRule="auto"/>
              <w:ind w:left="-104" w:right="-13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Фактический объем сжиженного газа, реализован-ный населению</w:t>
            </w:r>
          </w:p>
        </w:tc>
        <w:tc>
          <w:tcPr>
            <w:tcW w:w="971" w:type="dxa"/>
            <w:tcBorders>
              <w:top w:val="nil"/>
              <w:left w:val="nil"/>
              <w:bottom w:val="single" w:sz="4" w:space="0" w:color="auto"/>
              <w:right w:val="double" w:sz="4" w:space="0" w:color="auto"/>
            </w:tcBorders>
            <w:shd w:val="clear" w:color="auto" w:fill="auto"/>
            <w:vAlign w:val="center"/>
            <w:hideMark/>
          </w:tcPr>
          <w:p w14:paraId="5CA25BC3" w14:textId="77777777" w:rsidR="00A51B25" w:rsidRPr="00FD7B0B" w:rsidRDefault="00A51B25" w:rsidP="0042745C">
            <w:pPr>
              <w:spacing w:after="0" w:line="240" w:lineRule="auto"/>
              <w:ind w:left="-104"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Потребность в средствах субсидии </w:t>
            </w:r>
          </w:p>
          <w:p w14:paraId="5BA727AC" w14:textId="77777777" w:rsidR="00A51B25" w:rsidRPr="00FD7B0B" w:rsidRDefault="00A51B25" w:rsidP="0042745C">
            <w:pPr>
              <w:spacing w:after="0" w:line="240" w:lineRule="auto"/>
              <w:ind w:left="-104"/>
              <w:jc w:val="center"/>
              <w:rPr>
                <w:rFonts w:ascii="Times New Roman" w:eastAsia="Times New Roman" w:hAnsi="Times New Roman" w:cs="Times New Roman"/>
                <w:sz w:val="16"/>
                <w:szCs w:val="16"/>
                <w:lang w:eastAsia="ru-RU"/>
              </w:rPr>
            </w:pPr>
          </w:p>
        </w:tc>
      </w:tr>
      <w:tr w:rsidR="00FD7B0B" w:rsidRPr="00FD7B0B" w14:paraId="7846E49E" w14:textId="77777777" w:rsidTr="0042745C">
        <w:trPr>
          <w:trHeight w:val="402"/>
          <w:jc w:val="center"/>
        </w:trPr>
        <w:tc>
          <w:tcPr>
            <w:tcW w:w="2112" w:type="dxa"/>
            <w:tcBorders>
              <w:top w:val="nil"/>
              <w:left w:val="double" w:sz="4" w:space="0" w:color="auto"/>
              <w:bottom w:val="single" w:sz="4" w:space="0" w:color="auto"/>
              <w:right w:val="single" w:sz="4" w:space="0" w:color="auto"/>
            </w:tcBorders>
            <w:shd w:val="clear" w:color="auto" w:fill="auto"/>
            <w:vAlign w:val="center"/>
            <w:hideMark/>
          </w:tcPr>
          <w:p w14:paraId="2CBE8BBF" w14:textId="77777777" w:rsidR="00A51B25" w:rsidRPr="00FD7B0B" w:rsidRDefault="00A51B25" w:rsidP="0042745C">
            <w:pPr>
              <w:spacing w:after="0" w:line="240" w:lineRule="auto"/>
              <w:ind w:right="-108"/>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АО «Архангельскоблгаз»</w:t>
            </w:r>
          </w:p>
        </w:tc>
        <w:tc>
          <w:tcPr>
            <w:tcW w:w="954" w:type="dxa"/>
            <w:tcBorders>
              <w:top w:val="nil"/>
              <w:left w:val="nil"/>
              <w:bottom w:val="single" w:sz="4" w:space="0" w:color="auto"/>
              <w:right w:val="single" w:sz="4" w:space="0" w:color="auto"/>
            </w:tcBorders>
            <w:shd w:val="clear" w:color="auto" w:fill="auto"/>
            <w:vAlign w:val="center"/>
          </w:tcPr>
          <w:p w14:paraId="2503E439"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9 402,3</w:t>
            </w:r>
          </w:p>
        </w:tc>
        <w:tc>
          <w:tcPr>
            <w:tcW w:w="955" w:type="dxa"/>
            <w:tcBorders>
              <w:top w:val="nil"/>
              <w:left w:val="nil"/>
              <w:bottom w:val="single" w:sz="4" w:space="0" w:color="auto"/>
              <w:right w:val="single" w:sz="4" w:space="0" w:color="auto"/>
            </w:tcBorders>
            <w:shd w:val="clear" w:color="auto" w:fill="auto"/>
            <w:vAlign w:val="center"/>
          </w:tcPr>
          <w:p w14:paraId="21571D46"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151,5</w:t>
            </w:r>
          </w:p>
        </w:tc>
        <w:tc>
          <w:tcPr>
            <w:tcW w:w="955" w:type="dxa"/>
            <w:tcBorders>
              <w:top w:val="nil"/>
              <w:left w:val="nil"/>
              <w:bottom w:val="single" w:sz="4" w:space="0" w:color="auto"/>
              <w:right w:val="single" w:sz="4" w:space="0" w:color="auto"/>
            </w:tcBorders>
            <w:shd w:val="clear" w:color="auto" w:fill="auto"/>
            <w:vAlign w:val="center"/>
            <w:hideMark/>
          </w:tcPr>
          <w:p w14:paraId="260AD39C"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9 074,8</w:t>
            </w:r>
          </w:p>
        </w:tc>
        <w:tc>
          <w:tcPr>
            <w:tcW w:w="955" w:type="dxa"/>
            <w:tcBorders>
              <w:top w:val="nil"/>
              <w:left w:val="nil"/>
              <w:bottom w:val="single" w:sz="4" w:space="0" w:color="auto"/>
              <w:right w:val="single" w:sz="4" w:space="0" w:color="auto"/>
            </w:tcBorders>
            <w:shd w:val="clear" w:color="auto" w:fill="auto"/>
            <w:vAlign w:val="center"/>
            <w:hideMark/>
          </w:tcPr>
          <w:p w14:paraId="0864BE99"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37,7</w:t>
            </w:r>
          </w:p>
        </w:tc>
        <w:tc>
          <w:tcPr>
            <w:tcW w:w="954" w:type="dxa"/>
            <w:tcBorders>
              <w:top w:val="nil"/>
              <w:left w:val="nil"/>
              <w:bottom w:val="single" w:sz="4" w:space="0" w:color="auto"/>
              <w:right w:val="single" w:sz="4" w:space="0" w:color="auto"/>
            </w:tcBorders>
            <w:shd w:val="clear" w:color="auto" w:fill="auto"/>
            <w:vAlign w:val="center"/>
          </w:tcPr>
          <w:p w14:paraId="1BF0AC88"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8 691,0</w:t>
            </w:r>
          </w:p>
        </w:tc>
        <w:tc>
          <w:tcPr>
            <w:tcW w:w="955" w:type="dxa"/>
            <w:tcBorders>
              <w:top w:val="nil"/>
              <w:left w:val="nil"/>
              <w:bottom w:val="single" w:sz="4" w:space="0" w:color="auto"/>
              <w:right w:val="single" w:sz="4" w:space="0" w:color="auto"/>
            </w:tcBorders>
            <w:shd w:val="clear" w:color="auto" w:fill="auto"/>
            <w:vAlign w:val="center"/>
          </w:tcPr>
          <w:p w14:paraId="7B1792AD"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35,9</w:t>
            </w:r>
          </w:p>
        </w:tc>
        <w:tc>
          <w:tcPr>
            <w:tcW w:w="955" w:type="dxa"/>
            <w:tcBorders>
              <w:top w:val="nil"/>
              <w:left w:val="nil"/>
              <w:bottom w:val="single" w:sz="4" w:space="0" w:color="auto"/>
              <w:right w:val="single" w:sz="4" w:space="0" w:color="auto"/>
            </w:tcBorders>
            <w:shd w:val="clear" w:color="auto" w:fill="auto"/>
            <w:vAlign w:val="center"/>
          </w:tcPr>
          <w:p w14:paraId="5262FCAB"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95,8</w:t>
            </w:r>
          </w:p>
        </w:tc>
        <w:tc>
          <w:tcPr>
            <w:tcW w:w="971" w:type="dxa"/>
            <w:tcBorders>
              <w:top w:val="nil"/>
              <w:left w:val="nil"/>
              <w:bottom w:val="single" w:sz="4" w:space="0" w:color="auto"/>
              <w:right w:val="double" w:sz="4" w:space="0" w:color="auto"/>
            </w:tcBorders>
            <w:shd w:val="clear" w:color="auto" w:fill="auto"/>
            <w:vAlign w:val="center"/>
          </w:tcPr>
          <w:p w14:paraId="3A8415D8"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95,2</w:t>
            </w:r>
          </w:p>
        </w:tc>
      </w:tr>
      <w:tr w:rsidR="00FD7B0B" w:rsidRPr="00FD7B0B" w14:paraId="2989AED6" w14:textId="77777777" w:rsidTr="0042745C">
        <w:trPr>
          <w:trHeight w:val="402"/>
          <w:jc w:val="center"/>
        </w:trPr>
        <w:tc>
          <w:tcPr>
            <w:tcW w:w="2112" w:type="dxa"/>
            <w:tcBorders>
              <w:top w:val="nil"/>
              <w:left w:val="double" w:sz="4" w:space="0" w:color="auto"/>
              <w:bottom w:val="single" w:sz="4" w:space="0" w:color="auto"/>
              <w:right w:val="single" w:sz="4" w:space="0" w:color="auto"/>
            </w:tcBorders>
            <w:shd w:val="clear" w:color="auto" w:fill="auto"/>
            <w:vAlign w:val="center"/>
            <w:hideMark/>
          </w:tcPr>
          <w:p w14:paraId="52BD89D8" w14:textId="77777777" w:rsidR="00A51B25" w:rsidRPr="00FD7B0B" w:rsidRDefault="00A51B25" w:rsidP="0042745C">
            <w:pPr>
              <w:spacing w:after="0" w:line="240" w:lineRule="auto"/>
              <w:ind w:right="-108"/>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АО «Няндомамежрайгаз»</w:t>
            </w:r>
          </w:p>
        </w:tc>
        <w:tc>
          <w:tcPr>
            <w:tcW w:w="954" w:type="dxa"/>
            <w:tcBorders>
              <w:top w:val="nil"/>
              <w:left w:val="nil"/>
              <w:bottom w:val="single" w:sz="4" w:space="0" w:color="auto"/>
              <w:right w:val="single" w:sz="4" w:space="0" w:color="auto"/>
            </w:tcBorders>
            <w:shd w:val="clear" w:color="auto" w:fill="auto"/>
            <w:vAlign w:val="center"/>
          </w:tcPr>
          <w:p w14:paraId="4C5DF477"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614,0</w:t>
            </w:r>
          </w:p>
        </w:tc>
        <w:tc>
          <w:tcPr>
            <w:tcW w:w="955" w:type="dxa"/>
            <w:tcBorders>
              <w:top w:val="nil"/>
              <w:left w:val="nil"/>
              <w:bottom w:val="single" w:sz="4" w:space="0" w:color="auto"/>
              <w:right w:val="single" w:sz="4" w:space="0" w:color="auto"/>
            </w:tcBorders>
            <w:shd w:val="clear" w:color="auto" w:fill="auto"/>
            <w:vAlign w:val="center"/>
          </w:tcPr>
          <w:p w14:paraId="4B7860A2"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66,9</w:t>
            </w:r>
          </w:p>
        </w:tc>
        <w:tc>
          <w:tcPr>
            <w:tcW w:w="955" w:type="dxa"/>
            <w:tcBorders>
              <w:top w:val="nil"/>
              <w:left w:val="nil"/>
              <w:bottom w:val="single" w:sz="4" w:space="0" w:color="auto"/>
              <w:right w:val="single" w:sz="4" w:space="0" w:color="auto"/>
            </w:tcBorders>
            <w:shd w:val="clear" w:color="auto" w:fill="auto"/>
            <w:vAlign w:val="center"/>
            <w:hideMark/>
          </w:tcPr>
          <w:p w14:paraId="641FF3CD"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581,6</w:t>
            </w:r>
          </w:p>
        </w:tc>
        <w:tc>
          <w:tcPr>
            <w:tcW w:w="955" w:type="dxa"/>
            <w:tcBorders>
              <w:top w:val="nil"/>
              <w:left w:val="nil"/>
              <w:bottom w:val="single" w:sz="4" w:space="0" w:color="auto"/>
              <w:right w:val="single" w:sz="4" w:space="0" w:color="auto"/>
            </w:tcBorders>
            <w:shd w:val="clear" w:color="auto" w:fill="auto"/>
            <w:vAlign w:val="center"/>
            <w:hideMark/>
          </w:tcPr>
          <w:p w14:paraId="38D8EE38"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83,8</w:t>
            </w:r>
          </w:p>
        </w:tc>
        <w:tc>
          <w:tcPr>
            <w:tcW w:w="954" w:type="dxa"/>
            <w:tcBorders>
              <w:top w:val="nil"/>
              <w:left w:val="nil"/>
              <w:bottom w:val="single" w:sz="4" w:space="0" w:color="auto"/>
              <w:right w:val="single" w:sz="4" w:space="0" w:color="auto"/>
            </w:tcBorders>
            <w:shd w:val="clear" w:color="auto" w:fill="auto"/>
            <w:vAlign w:val="center"/>
          </w:tcPr>
          <w:p w14:paraId="75379FA6"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561,5</w:t>
            </w:r>
          </w:p>
        </w:tc>
        <w:tc>
          <w:tcPr>
            <w:tcW w:w="955" w:type="dxa"/>
            <w:tcBorders>
              <w:top w:val="nil"/>
              <w:left w:val="nil"/>
              <w:bottom w:val="single" w:sz="4" w:space="0" w:color="auto"/>
              <w:right w:val="single" w:sz="4" w:space="0" w:color="auto"/>
            </w:tcBorders>
            <w:shd w:val="clear" w:color="auto" w:fill="auto"/>
            <w:vAlign w:val="center"/>
          </w:tcPr>
          <w:p w14:paraId="71F4A42E"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82,1</w:t>
            </w:r>
          </w:p>
        </w:tc>
        <w:tc>
          <w:tcPr>
            <w:tcW w:w="955" w:type="dxa"/>
            <w:tcBorders>
              <w:top w:val="nil"/>
              <w:left w:val="nil"/>
              <w:bottom w:val="single" w:sz="4" w:space="0" w:color="auto"/>
              <w:right w:val="single" w:sz="4" w:space="0" w:color="auto"/>
            </w:tcBorders>
            <w:shd w:val="clear" w:color="auto" w:fill="auto"/>
            <w:vAlign w:val="center"/>
          </w:tcPr>
          <w:p w14:paraId="514B62BC"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96,5</w:t>
            </w:r>
          </w:p>
        </w:tc>
        <w:tc>
          <w:tcPr>
            <w:tcW w:w="971" w:type="dxa"/>
            <w:tcBorders>
              <w:top w:val="nil"/>
              <w:left w:val="nil"/>
              <w:bottom w:val="single" w:sz="4" w:space="0" w:color="auto"/>
              <w:right w:val="double" w:sz="4" w:space="0" w:color="auto"/>
            </w:tcBorders>
            <w:shd w:val="clear" w:color="auto" w:fill="auto"/>
            <w:vAlign w:val="center"/>
          </w:tcPr>
          <w:p w14:paraId="5417A109"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98,0</w:t>
            </w:r>
          </w:p>
        </w:tc>
      </w:tr>
      <w:tr w:rsidR="00FD7B0B" w:rsidRPr="00FD7B0B" w14:paraId="29E35770" w14:textId="77777777" w:rsidTr="0042745C">
        <w:trPr>
          <w:trHeight w:val="110"/>
          <w:jc w:val="center"/>
        </w:trPr>
        <w:tc>
          <w:tcPr>
            <w:tcW w:w="2112" w:type="dxa"/>
            <w:tcBorders>
              <w:top w:val="nil"/>
              <w:left w:val="double" w:sz="4" w:space="0" w:color="auto"/>
              <w:bottom w:val="single" w:sz="4" w:space="0" w:color="auto"/>
              <w:right w:val="single" w:sz="4" w:space="0" w:color="auto"/>
            </w:tcBorders>
            <w:shd w:val="clear" w:color="auto" w:fill="auto"/>
            <w:vAlign w:val="center"/>
            <w:hideMark/>
          </w:tcPr>
          <w:p w14:paraId="2205160B" w14:textId="77777777" w:rsidR="00A51B25" w:rsidRPr="00FD7B0B" w:rsidRDefault="00A51B25" w:rsidP="0042745C">
            <w:pPr>
              <w:spacing w:after="0" w:line="240" w:lineRule="auto"/>
              <w:ind w:right="-108"/>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«Комгаз»</w:t>
            </w:r>
          </w:p>
        </w:tc>
        <w:tc>
          <w:tcPr>
            <w:tcW w:w="954" w:type="dxa"/>
            <w:tcBorders>
              <w:top w:val="nil"/>
              <w:left w:val="nil"/>
              <w:bottom w:val="single" w:sz="4" w:space="0" w:color="auto"/>
              <w:right w:val="single" w:sz="4" w:space="0" w:color="auto"/>
            </w:tcBorders>
            <w:shd w:val="clear" w:color="auto" w:fill="auto"/>
            <w:vAlign w:val="center"/>
          </w:tcPr>
          <w:p w14:paraId="382B76B8"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321,1</w:t>
            </w:r>
          </w:p>
        </w:tc>
        <w:tc>
          <w:tcPr>
            <w:tcW w:w="955" w:type="dxa"/>
            <w:tcBorders>
              <w:top w:val="nil"/>
              <w:left w:val="nil"/>
              <w:bottom w:val="single" w:sz="4" w:space="0" w:color="auto"/>
              <w:right w:val="single" w:sz="4" w:space="0" w:color="auto"/>
            </w:tcBorders>
            <w:shd w:val="clear" w:color="auto" w:fill="auto"/>
            <w:vAlign w:val="center"/>
          </w:tcPr>
          <w:p w14:paraId="767638B2"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30,4</w:t>
            </w:r>
          </w:p>
        </w:tc>
        <w:tc>
          <w:tcPr>
            <w:tcW w:w="955" w:type="dxa"/>
            <w:tcBorders>
              <w:top w:val="nil"/>
              <w:left w:val="nil"/>
              <w:bottom w:val="single" w:sz="4" w:space="0" w:color="auto"/>
              <w:right w:val="single" w:sz="4" w:space="0" w:color="auto"/>
            </w:tcBorders>
            <w:shd w:val="clear" w:color="auto" w:fill="auto"/>
            <w:vAlign w:val="center"/>
            <w:hideMark/>
          </w:tcPr>
          <w:p w14:paraId="306A0C49"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290,2</w:t>
            </w:r>
          </w:p>
        </w:tc>
        <w:tc>
          <w:tcPr>
            <w:tcW w:w="955" w:type="dxa"/>
            <w:tcBorders>
              <w:top w:val="nil"/>
              <w:left w:val="nil"/>
              <w:bottom w:val="single" w:sz="4" w:space="0" w:color="auto"/>
              <w:right w:val="single" w:sz="4" w:space="0" w:color="auto"/>
            </w:tcBorders>
            <w:shd w:val="clear" w:color="auto" w:fill="auto"/>
            <w:vAlign w:val="center"/>
            <w:hideMark/>
          </w:tcPr>
          <w:p w14:paraId="6F661DAA"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18,9</w:t>
            </w:r>
          </w:p>
        </w:tc>
        <w:tc>
          <w:tcPr>
            <w:tcW w:w="954" w:type="dxa"/>
            <w:tcBorders>
              <w:top w:val="nil"/>
              <w:left w:val="nil"/>
              <w:bottom w:val="single" w:sz="4" w:space="0" w:color="auto"/>
              <w:right w:val="single" w:sz="4" w:space="0" w:color="auto"/>
            </w:tcBorders>
            <w:shd w:val="clear" w:color="auto" w:fill="auto"/>
            <w:vAlign w:val="center"/>
          </w:tcPr>
          <w:p w14:paraId="3B8CF819"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278,1</w:t>
            </w:r>
          </w:p>
        </w:tc>
        <w:tc>
          <w:tcPr>
            <w:tcW w:w="955" w:type="dxa"/>
            <w:tcBorders>
              <w:top w:val="nil"/>
              <w:left w:val="nil"/>
              <w:bottom w:val="single" w:sz="4" w:space="0" w:color="auto"/>
              <w:right w:val="single" w:sz="4" w:space="0" w:color="auto"/>
            </w:tcBorders>
            <w:shd w:val="clear" w:color="auto" w:fill="auto"/>
            <w:vAlign w:val="center"/>
          </w:tcPr>
          <w:p w14:paraId="2A169BF1"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24,2</w:t>
            </w:r>
          </w:p>
        </w:tc>
        <w:tc>
          <w:tcPr>
            <w:tcW w:w="955" w:type="dxa"/>
            <w:tcBorders>
              <w:top w:val="nil"/>
              <w:left w:val="nil"/>
              <w:bottom w:val="single" w:sz="4" w:space="0" w:color="auto"/>
              <w:right w:val="single" w:sz="4" w:space="0" w:color="auto"/>
            </w:tcBorders>
            <w:shd w:val="clear" w:color="auto" w:fill="auto"/>
            <w:vAlign w:val="center"/>
          </w:tcPr>
          <w:p w14:paraId="4069439E"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95,9</w:t>
            </w:r>
          </w:p>
        </w:tc>
        <w:tc>
          <w:tcPr>
            <w:tcW w:w="971" w:type="dxa"/>
            <w:tcBorders>
              <w:top w:val="nil"/>
              <w:left w:val="nil"/>
              <w:bottom w:val="single" w:sz="4" w:space="0" w:color="auto"/>
              <w:right w:val="double" w:sz="4" w:space="0" w:color="auto"/>
            </w:tcBorders>
            <w:shd w:val="clear" w:color="auto" w:fill="auto"/>
            <w:vAlign w:val="center"/>
          </w:tcPr>
          <w:p w14:paraId="2153E0CA"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128,0</w:t>
            </w:r>
          </w:p>
        </w:tc>
      </w:tr>
      <w:tr w:rsidR="00FD7B0B" w:rsidRPr="00FD7B0B" w14:paraId="746D064F" w14:textId="77777777" w:rsidTr="0042745C">
        <w:trPr>
          <w:trHeight w:val="402"/>
          <w:jc w:val="center"/>
        </w:trPr>
        <w:tc>
          <w:tcPr>
            <w:tcW w:w="2112" w:type="dxa"/>
            <w:tcBorders>
              <w:top w:val="nil"/>
              <w:left w:val="double" w:sz="4" w:space="0" w:color="auto"/>
              <w:bottom w:val="single" w:sz="4" w:space="0" w:color="auto"/>
              <w:right w:val="single" w:sz="4" w:space="0" w:color="auto"/>
            </w:tcBorders>
            <w:shd w:val="clear" w:color="auto" w:fill="auto"/>
            <w:vAlign w:val="center"/>
            <w:hideMark/>
          </w:tcPr>
          <w:p w14:paraId="119E240E" w14:textId="77777777" w:rsidR="00A51B25" w:rsidRPr="00FD7B0B" w:rsidRDefault="00A51B25" w:rsidP="0042745C">
            <w:pPr>
              <w:spacing w:after="0" w:line="240" w:lineRule="auto"/>
              <w:ind w:right="-108"/>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«Котласгазсервис»</w:t>
            </w:r>
          </w:p>
        </w:tc>
        <w:tc>
          <w:tcPr>
            <w:tcW w:w="954" w:type="dxa"/>
            <w:tcBorders>
              <w:top w:val="nil"/>
              <w:left w:val="nil"/>
              <w:bottom w:val="single" w:sz="4" w:space="0" w:color="auto"/>
              <w:right w:val="single" w:sz="4" w:space="0" w:color="auto"/>
            </w:tcBorders>
            <w:shd w:val="clear" w:color="auto" w:fill="auto"/>
            <w:vAlign w:val="center"/>
          </w:tcPr>
          <w:p w14:paraId="7AD9E1AF"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522,7</w:t>
            </w:r>
          </w:p>
        </w:tc>
        <w:tc>
          <w:tcPr>
            <w:tcW w:w="955" w:type="dxa"/>
            <w:tcBorders>
              <w:top w:val="nil"/>
              <w:left w:val="nil"/>
              <w:bottom w:val="single" w:sz="4" w:space="0" w:color="auto"/>
              <w:right w:val="single" w:sz="4" w:space="0" w:color="auto"/>
            </w:tcBorders>
            <w:shd w:val="clear" w:color="auto" w:fill="auto"/>
            <w:vAlign w:val="center"/>
          </w:tcPr>
          <w:p w14:paraId="13B3E40C"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29,0</w:t>
            </w:r>
          </w:p>
        </w:tc>
        <w:tc>
          <w:tcPr>
            <w:tcW w:w="955" w:type="dxa"/>
            <w:tcBorders>
              <w:top w:val="nil"/>
              <w:left w:val="nil"/>
              <w:bottom w:val="single" w:sz="4" w:space="0" w:color="auto"/>
              <w:right w:val="single" w:sz="4" w:space="0" w:color="auto"/>
            </w:tcBorders>
            <w:shd w:val="clear" w:color="auto" w:fill="auto"/>
            <w:vAlign w:val="center"/>
            <w:hideMark/>
          </w:tcPr>
          <w:p w14:paraId="7740625E"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494,9</w:t>
            </w:r>
          </w:p>
        </w:tc>
        <w:tc>
          <w:tcPr>
            <w:tcW w:w="955" w:type="dxa"/>
            <w:tcBorders>
              <w:top w:val="nil"/>
              <w:left w:val="nil"/>
              <w:bottom w:val="single" w:sz="4" w:space="0" w:color="auto"/>
              <w:right w:val="single" w:sz="4" w:space="0" w:color="auto"/>
            </w:tcBorders>
            <w:shd w:val="clear" w:color="auto" w:fill="auto"/>
            <w:vAlign w:val="center"/>
            <w:hideMark/>
          </w:tcPr>
          <w:p w14:paraId="7C0AB152"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18,8</w:t>
            </w:r>
          </w:p>
        </w:tc>
        <w:tc>
          <w:tcPr>
            <w:tcW w:w="954" w:type="dxa"/>
            <w:tcBorders>
              <w:top w:val="nil"/>
              <w:left w:val="nil"/>
              <w:bottom w:val="single" w:sz="4" w:space="0" w:color="auto"/>
              <w:right w:val="single" w:sz="4" w:space="0" w:color="auto"/>
            </w:tcBorders>
            <w:shd w:val="clear" w:color="auto" w:fill="auto"/>
            <w:vAlign w:val="center"/>
          </w:tcPr>
          <w:p w14:paraId="41419CB0"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478,5</w:t>
            </w:r>
          </w:p>
        </w:tc>
        <w:tc>
          <w:tcPr>
            <w:tcW w:w="955" w:type="dxa"/>
            <w:tcBorders>
              <w:top w:val="nil"/>
              <w:left w:val="nil"/>
              <w:bottom w:val="single" w:sz="4" w:space="0" w:color="auto"/>
              <w:right w:val="single" w:sz="4" w:space="0" w:color="auto"/>
            </w:tcBorders>
            <w:shd w:val="clear" w:color="auto" w:fill="auto"/>
            <w:vAlign w:val="center"/>
          </w:tcPr>
          <w:p w14:paraId="0D24D632"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23,1</w:t>
            </w:r>
          </w:p>
        </w:tc>
        <w:tc>
          <w:tcPr>
            <w:tcW w:w="955" w:type="dxa"/>
            <w:tcBorders>
              <w:top w:val="nil"/>
              <w:left w:val="nil"/>
              <w:bottom w:val="single" w:sz="4" w:space="0" w:color="auto"/>
              <w:right w:val="single" w:sz="4" w:space="0" w:color="auto"/>
            </w:tcBorders>
            <w:shd w:val="clear" w:color="auto" w:fill="auto"/>
            <w:vAlign w:val="center"/>
          </w:tcPr>
          <w:p w14:paraId="5939EFDD"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96,7</w:t>
            </w:r>
          </w:p>
        </w:tc>
        <w:tc>
          <w:tcPr>
            <w:tcW w:w="971" w:type="dxa"/>
            <w:tcBorders>
              <w:top w:val="nil"/>
              <w:left w:val="nil"/>
              <w:bottom w:val="single" w:sz="4" w:space="0" w:color="auto"/>
              <w:right w:val="double" w:sz="4" w:space="0" w:color="auto"/>
            </w:tcBorders>
            <w:shd w:val="clear" w:color="auto" w:fill="auto"/>
            <w:vAlign w:val="center"/>
          </w:tcPr>
          <w:p w14:paraId="1EB3D7DD"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122,9</w:t>
            </w:r>
          </w:p>
        </w:tc>
      </w:tr>
      <w:tr w:rsidR="00FD7B0B" w:rsidRPr="00FD7B0B" w14:paraId="0B809AE1" w14:textId="77777777" w:rsidTr="0042745C">
        <w:trPr>
          <w:trHeight w:val="402"/>
          <w:jc w:val="center"/>
        </w:trPr>
        <w:tc>
          <w:tcPr>
            <w:tcW w:w="2112" w:type="dxa"/>
            <w:tcBorders>
              <w:top w:val="nil"/>
              <w:left w:val="double" w:sz="4" w:space="0" w:color="auto"/>
              <w:bottom w:val="single" w:sz="4" w:space="0" w:color="auto"/>
              <w:right w:val="single" w:sz="4" w:space="0" w:color="auto"/>
            </w:tcBorders>
            <w:shd w:val="clear" w:color="auto" w:fill="auto"/>
            <w:vAlign w:val="center"/>
            <w:hideMark/>
          </w:tcPr>
          <w:p w14:paraId="1597FA6A" w14:textId="77777777" w:rsidR="00A51B25" w:rsidRPr="00FD7B0B" w:rsidRDefault="00A51B25" w:rsidP="0042745C">
            <w:pPr>
              <w:spacing w:after="0" w:line="240" w:lineRule="auto"/>
              <w:ind w:right="-108"/>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«Ленскгазэнерго»</w:t>
            </w:r>
          </w:p>
        </w:tc>
        <w:tc>
          <w:tcPr>
            <w:tcW w:w="954" w:type="dxa"/>
            <w:tcBorders>
              <w:top w:val="nil"/>
              <w:left w:val="nil"/>
              <w:bottom w:val="single" w:sz="4" w:space="0" w:color="auto"/>
              <w:right w:val="single" w:sz="4" w:space="0" w:color="auto"/>
            </w:tcBorders>
            <w:shd w:val="clear" w:color="auto" w:fill="auto"/>
            <w:vAlign w:val="center"/>
          </w:tcPr>
          <w:p w14:paraId="026E75C6"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21,6</w:t>
            </w:r>
          </w:p>
        </w:tc>
        <w:tc>
          <w:tcPr>
            <w:tcW w:w="955" w:type="dxa"/>
            <w:tcBorders>
              <w:top w:val="nil"/>
              <w:left w:val="nil"/>
              <w:bottom w:val="single" w:sz="4" w:space="0" w:color="auto"/>
              <w:right w:val="single" w:sz="4" w:space="0" w:color="auto"/>
            </w:tcBorders>
            <w:shd w:val="clear" w:color="auto" w:fill="auto"/>
            <w:vAlign w:val="center"/>
          </w:tcPr>
          <w:p w14:paraId="62A8E86C"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3,8</w:t>
            </w:r>
          </w:p>
        </w:tc>
        <w:tc>
          <w:tcPr>
            <w:tcW w:w="955" w:type="dxa"/>
            <w:tcBorders>
              <w:top w:val="nil"/>
              <w:left w:val="nil"/>
              <w:bottom w:val="single" w:sz="4" w:space="0" w:color="auto"/>
              <w:right w:val="single" w:sz="4" w:space="0" w:color="auto"/>
            </w:tcBorders>
            <w:shd w:val="clear" w:color="auto" w:fill="auto"/>
            <w:vAlign w:val="center"/>
            <w:hideMark/>
          </w:tcPr>
          <w:p w14:paraId="04E9599F"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19,4</w:t>
            </w:r>
          </w:p>
        </w:tc>
        <w:tc>
          <w:tcPr>
            <w:tcW w:w="955" w:type="dxa"/>
            <w:tcBorders>
              <w:top w:val="nil"/>
              <w:left w:val="nil"/>
              <w:bottom w:val="single" w:sz="4" w:space="0" w:color="auto"/>
              <w:right w:val="single" w:sz="4" w:space="0" w:color="auto"/>
            </w:tcBorders>
            <w:shd w:val="clear" w:color="auto" w:fill="auto"/>
            <w:vAlign w:val="center"/>
            <w:hideMark/>
          </w:tcPr>
          <w:p w14:paraId="071FDFD6"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3,4</w:t>
            </w:r>
          </w:p>
        </w:tc>
        <w:tc>
          <w:tcPr>
            <w:tcW w:w="954" w:type="dxa"/>
            <w:tcBorders>
              <w:top w:val="nil"/>
              <w:left w:val="nil"/>
              <w:bottom w:val="single" w:sz="4" w:space="0" w:color="auto"/>
              <w:right w:val="single" w:sz="4" w:space="0" w:color="auto"/>
            </w:tcBorders>
            <w:shd w:val="clear" w:color="auto" w:fill="auto"/>
            <w:vAlign w:val="center"/>
          </w:tcPr>
          <w:p w14:paraId="6CDADB9F"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18,2</w:t>
            </w:r>
          </w:p>
        </w:tc>
        <w:tc>
          <w:tcPr>
            <w:tcW w:w="955" w:type="dxa"/>
            <w:tcBorders>
              <w:top w:val="nil"/>
              <w:left w:val="nil"/>
              <w:bottom w:val="single" w:sz="4" w:space="0" w:color="auto"/>
              <w:right w:val="single" w:sz="4" w:space="0" w:color="auto"/>
            </w:tcBorders>
            <w:shd w:val="clear" w:color="auto" w:fill="auto"/>
            <w:vAlign w:val="center"/>
          </w:tcPr>
          <w:p w14:paraId="23285C86"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w:t>
            </w:r>
          </w:p>
        </w:tc>
        <w:tc>
          <w:tcPr>
            <w:tcW w:w="955" w:type="dxa"/>
            <w:tcBorders>
              <w:top w:val="nil"/>
              <w:left w:val="nil"/>
              <w:bottom w:val="single" w:sz="4" w:space="0" w:color="auto"/>
              <w:right w:val="single" w:sz="4" w:space="0" w:color="auto"/>
            </w:tcBorders>
            <w:shd w:val="clear" w:color="auto" w:fill="auto"/>
            <w:vAlign w:val="center"/>
          </w:tcPr>
          <w:p w14:paraId="5E723A99"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93,8</w:t>
            </w:r>
          </w:p>
        </w:tc>
        <w:tc>
          <w:tcPr>
            <w:tcW w:w="971" w:type="dxa"/>
            <w:tcBorders>
              <w:top w:val="nil"/>
              <w:left w:val="nil"/>
              <w:bottom w:val="single" w:sz="4" w:space="0" w:color="auto"/>
              <w:right w:val="double" w:sz="4" w:space="0" w:color="auto"/>
            </w:tcBorders>
            <w:shd w:val="clear" w:color="auto" w:fill="auto"/>
            <w:vAlign w:val="center"/>
          </w:tcPr>
          <w:p w14:paraId="5F3EE914"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102,9</w:t>
            </w:r>
          </w:p>
        </w:tc>
      </w:tr>
      <w:tr w:rsidR="00FD7B0B" w:rsidRPr="00FD7B0B" w14:paraId="09370974" w14:textId="77777777" w:rsidTr="0042745C">
        <w:trPr>
          <w:trHeight w:val="402"/>
          <w:jc w:val="center"/>
        </w:trPr>
        <w:tc>
          <w:tcPr>
            <w:tcW w:w="2112" w:type="dxa"/>
            <w:tcBorders>
              <w:top w:val="nil"/>
              <w:left w:val="double" w:sz="4" w:space="0" w:color="auto"/>
              <w:bottom w:val="single" w:sz="4" w:space="0" w:color="auto"/>
              <w:right w:val="single" w:sz="4" w:space="0" w:color="auto"/>
            </w:tcBorders>
            <w:shd w:val="clear" w:color="auto" w:fill="auto"/>
            <w:vAlign w:val="center"/>
            <w:hideMark/>
          </w:tcPr>
          <w:p w14:paraId="5FC271D1" w14:textId="77777777" w:rsidR="00A51B25" w:rsidRPr="00FD7B0B" w:rsidRDefault="00A51B25" w:rsidP="0042745C">
            <w:pPr>
              <w:spacing w:after="0" w:line="240" w:lineRule="auto"/>
              <w:ind w:right="-108"/>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«ВельскМежРайГаз»</w:t>
            </w:r>
          </w:p>
        </w:tc>
        <w:tc>
          <w:tcPr>
            <w:tcW w:w="954" w:type="dxa"/>
            <w:tcBorders>
              <w:top w:val="nil"/>
              <w:left w:val="nil"/>
              <w:bottom w:val="single" w:sz="4" w:space="0" w:color="auto"/>
              <w:right w:val="single" w:sz="4" w:space="0" w:color="auto"/>
            </w:tcBorders>
            <w:shd w:val="clear" w:color="auto" w:fill="auto"/>
            <w:vAlign w:val="center"/>
          </w:tcPr>
          <w:p w14:paraId="41955517"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277,1</w:t>
            </w:r>
          </w:p>
        </w:tc>
        <w:tc>
          <w:tcPr>
            <w:tcW w:w="955" w:type="dxa"/>
            <w:tcBorders>
              <w:top w:val="nil"/>
              <w:left w:val="nil"/>
              <w:bottom w:val="single" w:sz="4" w:space="0" w:color="auto"/>
              <w:right w:val="single" w:sz="4" w:space="0" w:color="auto"/>
            </w:tcBorders>
            <w:shd w:val="clear" w:color="auto" w:fill="auto"/>
            <w:vAlign w:val="center"/>
          </w:tcPr>
          <w:p w14:paraId="18EE17FE"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31,1</w:t>
            </w:r>
          </w:p>
        </w:tc>
        <w:tc>
          <w:tcPr>
            <w:tcW w:w="955" w:type="dxa"/>
            <w:tcBorders>
              <w:top w:val="nil"/>
              <w:left w:val="nil"/>
              <w:bottom w:val="single" w:sz="4" w:space="0" w:color="auto"/>
              <w:right w:val="single" w:sz="4" w:space="0" w:color="auto"/>
            </w:tcBorders>
            <w:shd w:val="clear" w:color="auto" w:fill="auto"/>
            <w:vAlign w:val="center"/>
            <w:hideMark/>
          </w:tcPr>
          <w:p w14:paraId="011B2D70"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255,5</w:t>
            </w:r>
          </w:p>
        </w:tc>
        <w:tc>
          <w:tcPr>
            <w:tcW w:w="955" w:type="dxa"/>
            <w:tcBorders>
              <w:top w:val="nil"/>
              <w:left w:val="nil"/>
              <w:bottom w:val="single" w:sz="4" w:space="0" w:color="auto"/>
              <w:right w:val="single" w:sz="4" w:space="0" w:color="auto"/>
            </w:tcBorders>
            <w:shd w:val="clear" w:color="auto" w:fill="auto"/>
            <w:vAlign w:val="center"/>
            <w:hideMark/>
          </w:tcPr>
          <w:p w14:paraId="0AAAE414"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34,1</w:t>
            </w:r>
          </w:p>
        </w:tc>
        <w:tc>
          <w:tcPr>
            <w:tcW w:w="954" w:type="dxa"/>
            <w:tcBorders>
              <w:top w:val="nil"/>
              <w:left w:val="nil"/>
              <w:bottom w:val="single" w:sz="4" w:space="0" w:color="auto"/>
              <w:right w:val="single" w:sz="4" w:space="0" w:color="auto"/>
            </w:tcBorders>
            <w:shd w:val="clear" w:color="auto" w:fill="auto"/>
            <w:vAlign w:val="center"/>
          </w:tcPr>
          <w:p w14:paraId="58FC8432"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235,8</w:t>
            </w:r>
          </w:p>
        </w:tc>
        <w:tc>
          <w:tcPr>
            <w:tcW w:w="955" w:type="dxa"/>
            <w:tcBorders>
              <w:top w:val="nil"/>
              <w:left w:val="nil"/>
              <w:bottom w:val="single" w:sz="4" w:space="0" w:color="auto"/>
              <w:right w:val="single" w:sz="4" w:space="0" w:color="auto"/>
            </w:tcBorders>
            <w:shd w:val="clear" w:color="auto" w:fill="auto"/>
            <w:vAlign w:val="center"/>
          </w:tcPr>
          <w:p w14:paraId="6A684897"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34,8</w:t>
            </w:r>
          </w:p>
        </w:tc>
        <w:tc>
          <w:tcPr>
            <w:tcW w:w="955" w:type="dxa"/>
            <w:tcBorders>
              <w:top w:val="nil"/>
              <w:left w:val="nil"/>
              <w:bottom w:val="single" w:sz="4" w:space="0" w:color="auto"/>
              <w:right w:val="single" w:sz="4" w:space="0" w:color="auto"/>
            </w:tcBorders>
            <w:shd w:val="clear" w:color="auto" w:fill="auto"/>
            <w:vAlign w:val="center"/>
          </w:tcPr>
          <w:p w14:paraId="3DB5C9E2"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92,3</w:t>
            </w:r>
          </w:p>
        </w:tc>
        <w:tc>
          <w:tcPr>
            <w:tcW w:w="971" w:type="dxa"/>
            <w:tcBorders>
              <w:top w:val="nil"/>
              <w:left w:val="nil"/>
              <w:bottom w:val="single" w:sz="4" w:space="0" w:color="auto"/>
              <w:right w:val="double" w:sz="4" w:space="0" w:color="auto"/>
            </w:tcBorders>
            <w:shd w:val="clear" w:color="auto" w:fill="auto"/>
            <w:vAlign w:val="center"/>
          </w:tcPr>
          <w:p w14:paraId="020EB4B4"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102,1</w:t>
            </w:r>
          </w:p>
        </w:tc>
      </w:tr>
      <w:tr w:rsidR="00FD7B0B" w:rsidRPr="00FD7B0B" w14:paraId="3C8D9157" w14:textId="77777777" w:rsidTr="0042745C">
        <w:trPr>
          <w:trHeight w:val="402"/>
          <w:jc w:val="center"/>
        </w:trPr>
        <w:tc>
          <w:tcPr>
            <w:tcW w:w="2112" w:type="dxa"/>
            <w:tcBorders>
              <w:top w:val="nil"/>
              <w:left w:val="double" w:sz="4" w:space="0" w:color="auto"/>
              <w:bottom w:val="single" w:sz="4" w:space="0" w:color="auto"/>
              <w:right w:val="single" w:sz="4" w:space="0" w:color="auto"/>
            </w:tcBorders>
            <w:shd w:val="clear" w:color="auto" w:fill="auto"/>
            <w:vAlign w:val="center"/>
            <w:hideMark/>
          </w:tcPr>
          <w:p w14:paraId="1F725321" w14:textId="77777777" w:rsidR="00A51B25" w:rsidRPr="00FD7B0B" w:rsidRDefault="00A51B25" w:rsidP="0042745C">
            <w:pPr>
              <w:spacing w:after="0" w:line="240" w:lineRule="auto"/>
              <w:ind w:right="-108"/>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«КоношаМежРайГаз»</w:t>
            </w:r>
          </w:p>
        </w:tc>
        <w:tc>
          <w:tcPr>
            <w:tcW w:w="954" w:type="dxa"/>
            <w:tcBorders>
              <w:top w:val="nil"/>
              <w:left w:val="nil"/>
              <w:bottom w:val="single" w:sz="4" w:space="0" w:color="auto"/>
              <w:right w:val="single" w:sz="4" w:space="0" w:color="auto"/>
            </w:tcBorders>
            <w:shd w:val="clear" w:color="auto" w:fill="auto"/>
            <w:vAlign w:val="center"/>
          </w:tcPr>
          <w:p w14:paraId="7FEBD4FE"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67,3</w:t>
            </w:r>
          </w:p>
        </w:tc>
        <w:tc>
          <w:tcPr>
            <w:tcW w:w="955" w:type="dxa"/>
            <w:tcBorders>
              <w:top w:val="nil"/>
              <w:left w:val="nil"/>
              <w:bottom w:val="single" w:sz="4" w:space="0" w:color="auto"/>
              <w:right w:val="single" w:sz="4" w:space="0" w:color="auto"/>
            </w:tcBorders>
            <w:shd w:val="clear" w:color="auto" w:fill="auto"/>
            <w:vAlign w:val="center"/>
          </w:tcPr>
          <w:p w14:paraId="15571830"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25,7</w:t>
            </w:r>
          </w:p>
        </w:tc>
        <w:tc>
          <w:tcPr>
            <w:tcW w:w="955" w:type="dxa"/>
            <w:tcBorders>
              <w:top w:val="nil"/>
              <w:left w:val="nil"/>
              <w:bottom w:val="single" w:sz="4" w:space="0" w:color="auto"/>
              <w:right w:val="single" w:sz="4" w:space="0" w:color="auto"/>
            </w:tcBorders>
            <w:shd w:val="clear" w:color="auto" w:fill="auto"/>
            <w:vAlign w:val="center"/>
            <w:hideMark/>
          </w:tcPr>
          <w:p w14:paraId="4947A7B4"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68,3</w:t>
            </w:r>
          </w:p>
        </w:tc>
        <w:tc>
          <w:tcPr>
            <w:tcW w:w="955" w:type="dxa"/>
            <w:tcBorders>
              <w:top w:val="nil"/>
              <w:left w:val="nil"/>
              <w:bottom w:val="single" w:sz="4" w:space="0" w:color="auto"/>
              <w:right w:val="single" w:sz="4" w:space="0" w:color="auto"/>
            </w:tcBorders>
            <w:shd w:val="clear" w:color="auto" w:fill="auto"/>
            <w:vAlign w:val="center"/>
            <w:hideMark/>
          </w:tcPr>
          <w:p w14:paraId="5CF97C0E"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30,9</w:t>
            </w:r>
          </w:p>
        </w:tc>
        <w:tc>
          <w:tcPr>
            <w:tcW w:w="954" w:type="dxa"/>
            <w:tcBorders>
              <w:top w:val="nil"/>
              <w:left w:val="nil"/>
              <w:bottom w:val="single" w:sz="4" w:space="0" w:color="auto"/>
              <w:right w:val="single" w:sz="4" w:space="0" w:color="auto"/>
            </w:tcBorders>
            <w:shd w:val="clear" w:color="auto" w:fill="auto"/>
            <w:vAlign w:val="center"/>
          </w:tcPr>
          <w:p w14:paraId="6A1912DB"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67,7</w:t>
            </w:r>
          </w:p>
        </w:tc>
        <w:tc>
          <w:tcPr>
            <w:tcW w:w="955" w:type="dxa"/>
            <w:tcBorders>
              <w:top w:val="nil"/>
              <w:left w:val="nil"/>
              <w:bottom w:val="single" w:sz="4" w:space="0" w:color="auto"/>
              <w:right w:val="single" w:sz="4" w:space="0" w:color="auto"/>
            </w:tcBorders>
            <w:shd w:val="clear" w:color="auto" w:fill="auto"/>
            <w:vAlign w:val="center"/>
          </w:tcPr>
          <w:p w14:paraId="5EF5395E"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32,4</w:t>
            </w:r>
          </w:p>
        </w:tc>
        <w:tc>
          <w:tcPr>
            <w:tcW w:w="955" w:type="dxa"/>
            <w:tcBorders>
              <w:top w:val="nil"/>
              <w:left w:val="nil"/>
              <w:bottom w:val="single" w:sz="4" w:space="0" w:color="auto"/>
              <w:right w:val="single" w:sz="4" w:space="0" w:color="auto"/>
            </w:tcBorders>
            <w:shd w:val="clear" w:color="auto" w:fill="auto"/>
            <w:vAlign w:val="center"/>
          </w:tcPr>
          <w:p w14:paraId="00A6B4E0"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99,1</w:t>
            </w:r>
          </w:p>
        </w:tc>
        <w:tc>
          <w:tcPr>
            <w:tcW w:w="971" w:type="dxa"/>
            <w:tcBorders>
              <w:top w:val="nil"/>
              <w:left w:val="nil"/>
              <w:bottom w:val="single" w:sz="4" w:space="0" w:color="auto"/>
              <w:right w:val="double" w:sz="4" w:space="0" w:color="auto"/>
            </w:tcBorders>
            <w:shd w:val="clear" w:color="auto" w:fill="auto"/>
            <w:vAlign w:val="center"/>
          </w:tcPr>
          <w:p w14:paraId="1675B42B"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104,9</w:t>
            </w:r>
          </w:p>
        </w:tc>
      </w:tr>
      <w:tr w:rsidR="00FD7B0B" w:rsidRPr="00FD7B0B" w14:paraId="5DD827D7" w14:textId="77777777" w:rsidTr="0042745C">
        <w:trPr>
          <w:trHeight w:val="402"/>
          <w:jc w:val="center"/>
        </w:trPr>
        <w:tc>
          <w:tcPr>
            <w:tcW w:w="2112" w:type="dxa"/>
            <w:tcBorders>
              <w:top w:val="nil"/>
              <w:left w:val="double" w:sz="4" w:space="0" w:color="auto"/>
              <w:bottom w:val="single" w:sz="4" w:space="0" w:color="auto"/>
              <w:right w:val="single" w:sz="4" w:space="0" w:color="auto"/>
            </w:tcBorders>
            <w:shd w:val="clear" w:color="auto" w:fill="auto"/>
            <w:vAlign w:val="center"/>
          </w:tcPr>
          <w:p w14:paraId="1E0D9308" w14:textId="77777777" w:rsidR="00A51B25" w:rsidRPr="00FD7B0B" w:rsidRDefault="00A51B25" w:rsidP="0042745C">
            <w:pPr>
              <w:spacing w:after="0" w:line="240" w:lineRule="auto"/>
              <w:ind w:right="-108"/>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«ОнегаМежРайГаз»</w:t>
            </w:r>
          </w:p>
        </w:tc>
        <w:tc>
          <w:tcPr>
            <w:tcW w:w="954" w:type="dxa"/>
            <w:tcBorders>
              <w:top w:val="nil"/>
              <w:left w:val="nil"/>
              <w:bottom w:val="single" w:sz="4" w:space="0" w:color="auto"/>
              <w:right w:val="single" w:sz="4" w:space="0" w:color="auto"/>
            </w:tcBorders>
            <w:shd w:val="clear" w:color="auto" w:fill="auto"/>
            <w:vAlign w:val="center"/>
          </w:tcPr>
          <w:p w14:paraId="09CE6297"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955" w:type="dxa"/>
            <w:tcBorders>
              <w:top w:val="nil"/>
              <w:left w:val="nil"/>
              <w:bottom w:val="single" w:sz="4" w:space="0" w:color="auto"/>
              <w:right w:val="single" w:sz="4" w:space="0" w:color="auto"/>
            </w:tcBorders>
            <w:shd w:val="clear" w:color="auto" w:fill="auto"/>
            <w:vAlign w:val="center"/>
          </w:tcPr>
          <w:p w14:paraId="4DA8F5AC"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c>
          <w:tcPr>
            <w:tcW w:w="955" w:type="dxa"/>
            <w:tcBorders>
              <w:top w:val="nil"/>
              <w:left w:val="nil"/>
              <w:bottom w:val="single" w:sz="4" w:space="0" w:color="auto"/>
              <w:right w:val="single" w:sz="4" w:space="0" w:color="auto"/>
            </w:tcBorders>
            <w:shd w:val="clear" w:color="auto" w:fill="auto"/>
            <w:vAlign w:val="center"/>
          </w:tcPr>
          <w:p w14:paraId="65E5B7E0"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44,7</w:t>
            </w:r>
          </w:p>
        </w:tc>
        <w:tc>
          <w:tcPr>
            <w:tcW w:w="955" w:type="dxa"/>
            <w:tcBorders>
              <w:top w:val="nil"/>
              <w:left w:val="nil"/>
              <w:bottom w:val="single" w:sz="4" w:space="0" w:color="auto"/>
              <w:right w:val="single" w:sz="4" w:space="0" w:color="auto"/>
            </w:tcBorders>
            <w:shd w:val="clear" w:color="auto" w:fill="auto"/>
            <w:vAlign w:val="center"/>
          </w:tcPr>
          <w:p w14:paraId="38CBF7E6"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16,4</w:t>
            </w:r>
          </w:p>
        </w:tc>
        <w:tc>
          <w:tcPr>
            <w:tcW w:w="954" w:type="dxa"/>
            <w:tcBorders>
              <w:top w:val="nil"/>
              <w:left w:val="nil"/>
              <w:bottom w:val="single" w:sz="4" w:space="0" w:color="auto"/>
              <w:right w:val="single" w:sz="4" w:space="0" w:color="auto"/>
            </w:tcBorders>
            <w:shd w:val="clear" w:color="auto" w:fill="auto"/>
            <w:vAlign w:val="center"/>
          </w:tcPr>
          <w:p w14:paraId="03F1FF23"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136,3</w:t>
            </w:r>
          </w:p>
        </w:tc>
        <w:tc>
          <w:tcPr>
            <w:tcW w:w="955" w:type="dxa"/>
            <w:tcBorders>
              <w:top w:val="nil"/>
              <w:left w:val="nil"/>
              <w:bottom w:val="single" w:sz="4" w:space="0" w:color="auto"/>
              <w:right w:val="single" w:sz="4" w:space="0" w:color="auto"/>
            </w:tcBorders>
            <w:shd w:val="clear" w:color="auto" w:fill="auto"/>
            <w:vAlign w:val="center"/>
          </w:tcPr>
          <w:p w14:paraId="75D58740"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48,9</w:t>
            </w:r>
          </w:p>
        </w:tc>
        <w:tc>
          <w:tcPr>
            <w:tcW w:w="955" w:type="dxa"/>
            <w:tcBorders>
              <w:top w:val="nil"/>
              <w:left w:val="nil"/>
              <w:bottom w:val="single" w:sz="4" w:space="0" w:color="auto"/>
              <w:right w:val="single" w:sz="4" w:space="0" w:color="auto"/>
            </w:tcBorders>
            <w:shd w:val="clear" w:color="auto" w:fill="auto"/>
            <w:vAlign w:val="center"/>
          </w:tcPr>
          <w:p w14:paraId="1BB2A288"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305,1</w:t>
            </w:r>
          </w:p>
        </w:tc>
        <w:tc>
          <w:tcPr>
            <w:tcW w:w="971" w:type="dxa"/>
            <w:tcBorders>
              <w:top w:val="nil"/>
              <w:left w:val="nil"/>
              <w:bottom w:val="single" w:sz="4" w:space="0" w:color="auto"/>
              <w:right w:val="double" w:sz="4" w:space="0" w:color="auto"/>
            </w:tcBorders>
            <w:shd w:val="clear" w:color="auto" w:fill="auto"/>
            <w:vAlign w:val="center"/>
          </w:tcPr>
          <w:p w14:paraId="2F11EDAF" w14:textId="77777777" w:rsidR="00A51B25" w:rsidRPr="00FD7B0B" w:rsidRDefault="00A51B25" w:rsidP="0042745C">
            <w:pPr>
              <w:spacing w:after="0" w:line="240" w:lineRule="auto"/>
              <w:ind w:left="-108" w:right="-146"/>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298,2</w:t>
            </w:r>
          </w:p>
        </w:tc>
      </w:tr>
      <w:tr w:rsidR="00A51B25" w:rsidRPr="00FD7B0B" w14:paraId="5A29EAF0" w14:textId="77777777" w:rsidTr="0042745C">
        <w:trPr>
          <w:trHeight w:val="151"/>
          <w:jc w:val="center"/>
        </w:trPr>
        <w:tc>
          <w:tcPr>
            <w:tcW w:w="2112" w:type="dxa"/>
            <w:tcBorders>
              <w:top w:val="nil"/>
              <w:left w:val="double" w:sz="4" w:space="0" w:color="auto"/>
              <w:bottom w:val="double" w:sz="4" w:space="0" w:color="auto"/>
              <w:right w:val="single" w:sz="4" w:space="0" w:color="auto"/>
            </w:tcBorders>
            <w:shd w:val="clear" w:color="auto" w:fill="auto"/>
            <w:vAlign w:val="center"/>
            <w:hideMark/>
          </w:tcPr>
          <w:p w14:paraId="487D5811" w14:textId="77777777" w:rsidR="00A51B25" w:rsidRPr="00FD7B0B" w:rsidRDefault="00A51B25" w:rsidP="0042745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w:t>
            </w:r>
          </w:p>
        </w:tc>
        <w:tc>
          <w:tcPr>
            <w:tcW w:w="954" w:type="dxa"/>
            <w:tcBorders>
              <w:top w:val="nil"/>
              <w:left w:val="nil"/>
              <w:bottom w:val="double" w:sz="4" w:space="0" w:color="auto"/>
              <w:right w:val="single" w:sz="4" w:space="0" w:color="auto"/>
            </w:tcBorders>
            <w:shd w:val="clear" w:color="auto" w:fill="auto"/>
            <w:vAlign w:val="center"/>
          </w:tcPr>
          <w:p w14:paraId="0BA872C6" w14:textId="77777777" w:rsidR="00A51B25" w:rsidRPr="00FD7B0B" w:rsidRDefault="00A51B25" w:rsidP="0042745C">
            <w:pPr>
              <w:spacing w:after="0" w:line="240" w:lineRule="auto"/>
              <w:ind w:left="-108" w:right="-146"/>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11 226,1</w:t>
            </w:r>
          </w:p>
        </w:tc>
        <w:tc>
          <w:tcPr>
            <w:tcW w:w="955" w:type="dxa"/>
            <w:tcBorders>
              <w:top w:val="nil"/>
              <w:left w:val="nil"/>
              <w:bottom w:val="double" w:sz="4" w:space="0" w:color="auto"/>
              <w:right w:val="single" w:sz="4" w:space="0" w:color="auto"/>
            </w:tcBorders>
            <w:shd w:val="clear" w:color="auto" w:fill="auto"/>
            <w:vAlign w:val="center"/>
          </w:tcPr>
          <w:p w14:paraId="5847CD4D" w14:textId="77777777" w:rsidR="00A51B25" w:rsidRPr="00FD7B0B" w:rsidRDefault="00A51B25" w:rsidP="0042745C">
            <w:pPr>
              <w:spacing w:after="0" w:line="240" w:lineRule="auto"/>
              <w:ind w:left="-108" w:right="-146"/>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338,4</w:t>
            </w:r>
          </w:p>
        </w:tc>
        <w:tc>
          <w:tcPr>
            <w:tcW w:w="955" w:type="dxa"/>
            <w:tcBorders>
              <w:top w:val="nil"/>
              <w:left w:val="nil"/>
              <w:bottom w:val="double" w:sz="4" w:space="0" w:color="auto"/>
              <w:right w:val="single" w:sz="4" w:space="0" w:color="auto"/>
            </w:tcBorders>
            <w:shd w:val="clear" w:color="auto" w:fill="auto"/>
            <w:vAlign w:val="center"/>
            <w:hideMark/>
          </w:tcPr>
          <w:p w14:paraId="559BE5BA" w14:textId="77777777" w:rsidR="00A51B25" w:rsidRPr="00FD7B0B" w:rsidRDefault="00A51B25" w:rsidP="0042745C">
            <w:pPr>
              <w:spacing w:after="0" w:line="240" w:lineRule="auto"/>
              <w:ind w:left="-108" w:right="-146"/>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10 829,4</w:t>
            </w:r>
          </w:p>
        </w:tc>
        <w:tc>
          <w:tcPr>
            <w:tcW w:w="955" w:type="dxa"/>
            <w:tcBorders>
              <w:top w:val="nil"/>
              <w:left w:val="nil"/>
              <w:bottom w:val="double" w:sz="4" w:space="0" w:color="auto"/>
              <w:right w:val="single" w:sz="4" w:space="0" w:color="auto"/>
            </w:tcBorders>
            <w:shd w:val="clear" w:color="auto" w:fill="auto"/>
            <w:vAlign w:val="center"/>
            <w:hideMark/>
          </w:tcPr>
          <w:p w14:paraId="58C8F9D8" w14:textId="77777777" w:rsidR="00A51B25" w:rsidRPr="00FD7B0B" w:rsidRDefault="00A51B25" w:rsidP="0042745C">
            <w:pPr>
              <w:spacing w:after="0" w:line="240" w:lineRule="auto"/>
              <w:ind w:left="-108" w:right="-146"/>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244,0</w:t>
            </w:r>
          </w:p>
        </w:tc>
        <w:tc>
          <w:tcPr>
            <w:tcW w:w="954" w:type="dxa"/>
            <w:tcBorders>
              <w:top w:val="nil"/>
              <w:left w:val="nil"/>
              <w:bottom w:val="double" w:sz="4" w:space="0" w:color="auto"/>
              <w:right w:val="single" w:sz="4" w:space="0" w:color="auto"/>
            </w:tcBorders>
            <w:shd w:val="clear" w:color="auto" w:fill="auto"/>
            <w:vAlign w:val="center"/>
          </w:tcPr>
          <w:p w14:paraId="3125B52D" w14:textId="77777777" w:rsidR="00A51B25" w:rsidRPr="00FD7B0B" w:rsidRDefault="00A51B25" w:rsidP="0042745C">
            <w:pPr>
              <w:spacing w:after="0" w:line="240" w:lineRule="auto"/>
              <w:ind w:left="-108" w:right="-146"/>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10 467,0</w:t>
            </w:r>
          </w:p>
        </w:tc>
        <w:tc>
          <w:tcPr>
            <w:tcW w:w="955" w:type="dxa"/>
            <w:tcBorders>
              <w:top w:val="nil"/>
              <w:left w:val="nil"/>
              <w:bottom w:val="double" w:sz="4" w:space="0" w:color="auto"/>
              <w:right w:val="single" w:sz="4" w:space="0" w:color="auto"/>
            </w:tcBorders>
            <w:shd w:val="clear" w:color="auto" w:fill="auto"/>
            <w:vAlign w:val="center"/>
          </w:tcPr>
          <w:p w14:paraId="0EA453CC" w14:textId="77777777" w:rsidR="00A51B25" w:rsidRPr="00FD7B0B" w:rsidRDefault="00A51B25" w:rsidP="0042745C">
            <w:pPr>
              <w:spacing w:after="0" w:line="240" w:lineRule="auto"/>
              <w:ind w:left="-108" w:right="-146"/>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284,9</w:t>
            </w:r>
          </w:p>
        </w:tc>
        <w:tc>
          <w:tcPr>
            <w:tcW w:w="955" w:type="dxa"/>
            <w:tcBorders>
              <w:top w:val="nil"/>
              <w:left w:val="nil"/>
              <w:bottom w:val="double" w:sz="4" w:space="0" w:color="auto"/>
              <w:right w:val="single" w:sz="4" w:space="0" w:color="auto"/>
            </w:tcBorders>
            <w:shd w:val="clear" w:color="auto" w:fill="auto"/>
            <w:vAlign w:val="center"/>
          </w:tcPr>
          <w:p w14:paraId="512F616C" w14:textId="77777777" w:rsidR="00A51B25" w:rsidRPr="00FD7B0B" w:rsidRDefault="00A51B25" w:rsidP="0042745C">
            <w:pPr>
              <w:spacing w:after="0" w:line="240" w:lineRule="auto"/>
              <w:ind w:left="-108" w:right="-146"/>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96,7</w:t>
            </w:r>
          </w:p>
        </w:tc>
        <w:tc>
          <w:tcPr>
            <w:tcW w:w="971" w:type="dxa"/>
            <w:tcBorders>
              <w:top w:val="nil"/>
              <w:left w:val="nil"/>
              <w:bottom w:val="double" w:sz="4" w:space="0" w:color="auto"/>
              <w:right w:val="double" w:sz="4" w:space="0" w:color="auto"/>
            </w:tcBorders>
            <w:shd w:val="clear" w:color="auto" w:fill="auto"/>
            <w:vAlign w:val="center"/>
          </w:tcPr>
          <w:p w14:paraId="21B93B70" w14:textId="77777777" w:rsidR="00A51B25" w:rsidRPr="00FD7B0B" w:rsidRDefault="00A51B25" w:rsidP="0042745C">
            <w:pPr>
              <w:spacing w:after="0" w:line="240" w:lineRule="auto"/>
              <w:ind w:left="-108" w:right="-146"/>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116,8</w:t>
            </w:r>
          </w:p>
        </w:tc>
      </w:tr>
    </w:tbl>
    <w:p w14:paraId="3AACB664" w14:textId="77777777" w:rsidR="00875B96" w:rsidRPr="00FD7B0B" w:rsidRDefault="00875B96" w:rsidP="00A51B25">
      <w:pPr>
        <w:spacing w:after="0" w:line="320" w:lineRule="atLeast"/>
        <w:ind w:firstLine="709"/>
        <w:jc w:val="both"/>
        <w:rPr>
          <w:rFonts w:ascii="Times New Roman" w:eastAsia="Times New Roman" w:hAnsi="Times New Roman"/>
          <w:sz w:val="28"/>
          <w:szCs w:val="28"/>
          <w:lang w:eastAsia="ru-RU"/>
        </w:rPr>
      </w:pPr>
    </w:p>
    <w:p w14:paraId="1526DC52" w14:textId="2C3F3290"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Отмечаем, что при снижении субсидируемого объема потребления газа для населения на 362,4 т (или на 3,3 %), увеличение объема средств, направленных в виде субсидии ∆Г, к уровню 2023 года составило </w:t>
      </w:r>
      <w:r w:rsidRPr="00FD7B0B">
        <w:rPr>
          <w:rFonts w:ascii="Times New Roman" w:eastAsia="Times New Roman" w:hAnsi="Times New Roman"/>
          <w:sz w:val="28"/>
          <w:szCs w:val="28"/>
          <w:lang w:eastAsia="ru-RU"/>
        </w:rPr>
        <w:br/>
        <w:t>40,9 млн.руб. (или 16,8 %), их них 32,5 млн.руб. за счет роста потребности в средствах субсидии ООО «ОнегаМежРайГаз», оказывающей услуги газоснабжения неполный 2023 год (период с 01.09.2023 по 31.12.2023). Рост общей потребности в средствах субсидии обусловлен увеличением экономически обоснованной розничной цены на сжиженный газ и, как следствие, росто</w:t>
      </w:r>
      <w:r w:rsidR="0042745C" w:rsidRPr="00FD7B0B">
        <w:rPr>
          <w:rFonts w:ascii="Times New Roman" w:eastAsia="Times New Roman" w:hAnsi="Times New Roman"/>
          <w:sz w:val="28"/>
          <w:szCs w:val="28"/>
          <w:lang w:eastAsia="ru-RU"/>
        </w:rPr>
        <w:t>м величины межтарифной разницы.</w:t>
      </w:r>
    </w:p>
    <w:p w14:paraId="1A70B2D1" w14:textId="271E612D"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объеме потребности средств субсидии ∆Г наибольшую долю </w:t>
      </w:r>
      <w:r w:rsidRPr="00FD7B0B">
        <w:rPr>
          <w:rFonts w:ascii="Times New Roman" w:eastAsia="Times New Roman" w:hAnsi="Times New Roman"/>
          <w:sz w:val="28"/>
          <w:szCs w:val="28"/>
          <w:lang w:eastAsia="ru-RU"/>
        </w:rPr>
        <w:br/>
        <w:t>в 2024 году занимает АО «Няндомамежрайгаз» (28,8 % в общем объеме). При снижении фактических объемов реализации сжиженного газа населению данного предприятия в 2024 году на (-) 20,1 т (или на 3,5</w:t>
      </w:r>
      <w:r w:rsidR="0042745C"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к уровню 2023 года), фактическая потребность в средствах субсидии снизилась</w:t>
      </w:r>
      <w:r w:rsidR="0042745C" w:rsidRPr="00FD7B0B">
        <w:rPr>
          <w:rFonts w:ascii="Times New Roman" w:eastAsia="Times New Roman" w:hAnsi="Times New Roman"/>
          <w:sz w:val="28"/>
          <w:szCs w:val="28"/>
          <w:lang w:eastAsia="ru-RU"/>
        </w:rPr>
        <w:t xml:space="preserve"> на 1,7 млн.руб. (или на 2,0 %).</w:t>
      </w:r>
    </w:p>
    <w:p w14:paraId="7088ABE1" w14:textId="158CB57B"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Информация о предоставлении субсидии из средств областного бюджета на возмещение недополученных доходов,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 (далее </w:t>
      </w:r>
      <w:r w:rsidRPr="00FD7B0B">
        <w:rPr>
          <w:rFonts w:ascii="Times New Roman" w:eastAsia="Times New Roman" w:hAnsi="Times New Roman"/>
          <w:sz w:val="28"/>
          <w:szCs w:val="28"/>
          <w:lang w:eastAsia="ru-RU"/>
        </w:rPr>
        <w:lastRenderedPageBreak/>
        <w:t>- субсидия ∆Э) в динамике с 2020 по 2024 годы и фактических объемных показат</w:t>
      </w:r>
      <w:r w:rsidR="0042745C" w:rsidRPr="00FD7B0B">
        <w:rPr>
          <w:rFonts w:ascii="Times New Roman" w:eastAsia="Times New Roman" w:hAnsi="Times New Roman"/>
          <w:sz w:val="28"/>
          <w:szCs w:val="28"/>
          <w:lang w:eastAsia="ru-RU"/>
        </w:rPr>
        <w:t xml:space="preserve">елях представлена на рисунке </w:t>
      </w:r>
      <w:r w:rsidR="00960798" w:rsidRPr="00FD7B0B">
        <w:rPr>
          <w:rFonts w:ascii="Times New Roman" w:eastAsia="Times New Roman" w:hAnsi="Times New Roman"/>
          <w:sz w:val="28"/>
          <w:szCs w:val="28"/>
          <w:lang w:eastAsia="ru-RU"/>
        </w:rPr>
        <w:t>26</w:t>
      </w:r>
      <w:r w:rsidRPr="00FD7B0B">
        <w:rPr>
          <w:rFonts w:ascii="Times New Roman" w:eastAsia="Times New Roman" w:hAnsi="Times New Roman"/>
          <w:sz w:val="28"/>
          <w:szCs w:val="28"/>
          <w:lang w:eastAsia="ru-RU"/>
        </w:rPr>
        <w:t>.</w:t>
      </w:r>
    </w:p>
    <w:p w14:paraId="4636BA2B" w14:textId="2B59924D" w:rsidR="00A51B25" w:rsidRPr="00FD7B0B" w:rsidRDefault="0042745C" w:rsidP="0042745C">
      <w:pPr>
        <w:spacing w:after="0" w:line="320" w:lineRule="atLeast"/>
        <w:rPr>
          <w:rFonts w:ascii="Times New Roman" w:eastAsia="Times New Roman" w:hAnsi="Times New Roman"/>
          <w:noProof/>
          <w:sz w:val="28"/>
          <w:szCs w:val="28"/>
          <w:lang w:eastAsia="ru-RU"/>
        </w:rPr>
      </w:pPr>
      <w:r w:rsidRPr="00FD7B0B">
        <w:rPr>
          <w:rFonts w:ascii="Times New Roman" w:eastAsia="Times New Roman" w:hAnsi="Times New Roman"/>
          <w:noProof/>
          <w:sz w:val="28"/>
          <w:szCs w:val="28"/>
          <w:lang w:eastAsia="ru-RU"/>
        </w:rPr>
        <w:drawing>
          <wp:inline distT="0" distB="0" distL="0" distR="0" wp14:anchorId="152FE22D" wp14:editId="2E0FB32D">
            <wp:extent cx="6029325" cy="3060700"/>
            <wp:effectExtent l="0" t="0" r="9525" b="635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9325" cy="3060700"/>
                    </a:xfrm>
                    <a:prstGeom prst="rect">
                      <a:avLst/>
                    </a:prstGeom>
                    <a:noFill/>
                  </pic:spPr>
                </pic:pic>
              </a:graphicData>
            </a:graphic>
          </wp:inline>
        </w:drawing>
      </w:r>
    </w:p>
    <w:p w14:paraId="1CC646F4" w14:textId="77777777" w:rsidR="00A51B25" w:rsidRPr="00FD7B0B" w:rsidRDefault="00A51B25" w:rsidP="00A51B25">
      <w:pPr>
        <w:pStyle w:val="aff0"/>
        <w:spacing w:after="0" w:line="240" w:lineRule="auto"/>
        <w:rPr>
          <w:rFonts w:ascii="Times New Roman" w:eastAsia="Times New Roman" w:hAnsi="Times New Roman"/>
          <w:b w:val="0"/>
          <w:sz w:val="24"/>
          <w:szCs w:val="24"/>
          <w:lang w:eastAsia="ru-RU"/>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w:t>
      </w:r>
      <w:r w:rsidRPr="00FD7B0B">
        <w:rPr>
          <w:rFonts w:ascii="Times New Roman" w:hAnsi="Times New Roman"/>
          <w:b w:val="0"/>
          <w:sz w:val="24"/>
          <w:szCs w:val="24"/>
        </w:rPr>
        <w:fldChar w:fldCharType="end"/>
      </w:r>
      <w:r w:rsidRPr="00FD7B0B">
        <w:rPr>
          <w:rFonts w:ascii="Times New Roman" w:hAnsi="Times New Roman"/>
          <w:b w:val="0"/>
          <w:sz w:val="24"/>
          <w:szCs w:val="24"/>
        </w:rPr>
        <w:t>. Динамика роста объема средств с</w:t>
      </w:r>
      <w:r w:rsidRPr="00FD7B0B">
        <w:rPr>
          <w:rFonts w:ascii="Times New Roman" w:eastAsia="Times New Roman" w:hAnsi="Times New Roman"/>
          <w:b w:val="0"/>
          <w:sz w:val="24"/>
          <w:szCs w:val="24"/>
          <w:lang w:eastAsia="ru-RU"/>
        </w:rPr>
        <w:t>убсидии на возмещение недополученных доходов,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 и объемов, поставленной электрической энергии, за 2020-2024 годы</w:t>
      </w:r>
    </w:p>
    <w:p w14:paraId="7D9CD255"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043E02F7" w14:textId="7BBCE0E4"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Потребность субсидии ∆Э в средствах областного бюджета за 2024 год составила в сумме 3 496,1 млн.руб. (с учетом кредиторской задолженности на 01.01.2024 в размере 428,4 млн.руб.) или 146,2</w:t>
      </w:r>
      <w:r w:rsidR="00960798"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к уровню 2023 года, выплачено средств из областного бюджета, нарастающим итогом с начала 2024 года, – 1 767,5 млн.руб., при этом кредиторская задолженность на 01.01.2025 составила 1 728,5 млн.руб. (в т.ч. за июль-ноябр</w:t>
      </w:r>
      <w:r w:rsidR="00960798" w:rsidRPr="00FD7B0B">
        <w:rPr>
          <w:rFonts w:ascii="Times New Roman" w:eastAsia="Times New Roman" w:hAnsi="Times New Roman"/>
          <w:sz w:val="28"/>
          <w:szCs w:val="28"/>
          <w:lang w:eastAsia="ru-RU"/>
        </w:rPr>
        <w:t>ь 2024 года – 1 325,7 млн.руб.):</w:t>
      </w:r>
    </w:p>
    <w:p w14:paraId="5A04696A" w14:textId="77777777" w:rsidR="00A51B25" w:rsidRPr="00FD7B0B" w:rsidRDefault="00A51B25" w:rsidP="00A51B25">
      <w:pPr>
        <w:pStyle w:val="aff0"/>
        <w:spacing w:after="0" w:line="240" w:lineRule="auto"/>
        <w:rPr>
          <w:rFonts w:ascii="Times New Roman" w:hAnsi="Times New Roman"/>
          <w:b w:val="0"/>
          <w:sz w:val="24"/>
          <w:szCs w:val="24"/>
        </w:rPr>
      </w:pPr>
    </w:p>
    <w:p w14:paraId="764CDD5F" w14:textId="1558F9F4" w:rsidR="00A51B25" w:rsidRPr="00FD7B0B" w:rsidRDefault="00A51B25" w:rsidP="00A51B2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175</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Изменения объемов электрической энергии, поставленной населению и потребности в средствах субсидии ∆Э за 2022</w:t>
      </w:r>
      <w:r w:rsidR="00D171D0" w:rsidRPr="00FD7B0B">
        <w:rPr>
          <w:rFonts w:ascii="Times New Roman" w:hAnsi="Times New Roman"/>
          <w:b w:val="0"/>
          <w:sz w:val="24"/>
          <w:szCs w:val="24"/>
        </w:rPr>
        <w:t xml:space="preserve"> – </w:t>
      </w:r>
      <w:r w:rsidRPr="00FD7B0B">
        <w:rPr>
          <w:rFonts w:ascii="Times New Roman" w:hAnsi="Times New Roman"/>
          <w:b w:val="0"/>
          <w:sz w:val="24"/>
          <w:szCs w:val="24"/>
        </w:rPr>
        <w:t>2024 годы в разрезе предприятий</w:t>
      </w:r>
    </w:p>
    <w:tbl>
      <w:tblPr>
        <w:tblW w:w="9782" w:type="dxa"/>
        <w:tblInd w:w="-157" w:type="dxa"/>
        <w:tblLayout w:type="fixed"/>
        <w:tblLook w:val="04A0" w:firstRow="1" w:lastRow="0" w:firstColumn="1" w:lastColumn="0" w:noHBand="0" w:noVBand="1"/>
      </w:tblPr>
      <w:tblGrid>
        <w:gridCol w:w="2127"/>
        <w:gridCol w:w="976"/>
        <w:gridCol w:w="976"/>
        <w:gridCol w:w="977"/>
        <w:gridCol w:w="976"/>
        <w:gridCol w:w="976"/>
        <w:gridCol w:w="931"/>
        <w:gridCol w:w="992"/>
        <w:gridCol w:w="851"/>
      </w:tblGrid>
      <w:tr w:rsidR="00FD7B0B" w:rsidRPr="00FD7B0B" w14:paraId="3E4BB953" w14:textId="77777777" w:rsidTr="00D171D0">
        <w:trPr>
          <w:trHeight w:val="112"/>
          <w:tblHeader/>
        </w:trPr>
        <w:tc>
          <w:tcPr>
            <w:tcW w:w="2127"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DD58BDB"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организации</w:t>
            </w:r>
          </w:p>
        </w:tc>
        <w:tc>
          <w:tcPr>
            <w:tcW w:w="1952" w:type="dxa"/>
            <w:gridSpan w:val="2"/>
            <w:tcBorders>
              <w:top w:val="double" w:sz="4" w:space="0" w:color="auto"/>
              <w:left w:val="nil"/>
              <w:bottom w:val="single" w:sz="4" w:space="0" w:color="auto"/>
              <w:right w:val="single" w:sz="4" w:space="0" w:color="auto"/>
            </w:tcBorders>
            <w:vAlign w:val="center"/>
          </w:tcPr>
          <w:p w14:paraId="046344A0"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2022 год </w:t>
            </w:r>
          </w:p>
        </w:tc>
        <w:tc>
          <w:tcPr>
            <w:tcW w:w="1953" w:type="dxa"/>
            <w:gridSpan w:val="2"/>
            <w:tcBorders>
              <w:top w:val="double" w:sz="4" w:space="0" w:color="auto"/>
              <w:left w:val="single" w:sz="4" w:space="0" w:color="auto"/>
              <w:bottom w:val="single" w:sz="4" w:space="0" w:color="auto"/>
              <w:right w:val="single" w:sz="4" w:space="0" w:color="auto"/>
            </w:tcBorders>
            <w:vAlign w:val="center"/>
          </w:tcPr>
          <w:p w14:paraId="6F4C6F89"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2023 год </w:t>
            </w:r>
          </w:p>
        </w:tc>
        <w:tc>
          <w:tcPr>
            <w:tcW w:w="1907" w:type="dxa"/>
            <w:gridSpan w:val="2"/>
            <w:tcBorders>
              <w:top w:val="double" w:sz="4" w:space="0" w:color="auto"/>
              <w:left w:val="nil"/>
              <w:bottom w:val="single" w:sz="4" w:space="0" w:color="auto"/>
              <w:right w:val="single" w:sz="4" w:space="0" w:color="auto"/>
            </w:tcBorders>
            <w:shd w:val="clear" w:color="auto" w:fill="auto"/>
            <w:vAlign w:val="center"/>
            <w:hideMark/>
          </w:tcPr>
          <w:p w14:paraId="625FCA90"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2024 год </w:t>
            </w:r>
          </w:p>
        </w:tc>
        <w:tc>
          <w:tcPr>
            <w:tcW w:w="1843" w:type="dxa"/>
            <w:gridSpan w:val="2"/>
            <w:tcBorders>
              <w:top w:val="double" w:sz="4" w:space="0" w:color="auto"/>
              <w:left w:val="nil"/>
              <w:bottom w:val="single" w:sz="4" w:space="0" w:color="auto"/>
              <w:right w:val="double" w:sz="4" w:space="0" w:color="auto"/>
            </w:tcBorders>
            <w:shd w:val="clear" w:color="auto" w:fill="auto"/>
            <w:vAlign w:val="center"/>
            <w:hideMark/>
          </w:tcPr>
          <w:p w14:paraId="0FEAD074"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2024 год к 2023 году, % </w:t>
            </w:r>
          </w:p>
        </w:tc>
      </w:tr>
      <w:tr w:rsidR="00FD7B0B" w:rsidRPr="00FD7B0B" w14:paraId="563C2911" w14:textId="77777777" w:rsidTr="00D171D0">
        <w:trPr>
          <w:trHeight w:val="1284"/>
          <w:tblHeader/>
        </w:trPr>
        <w:tc>
          <w:tcPr>
            <w:tcW w:w="2127" w:type="dxa"/>
            <w:vMerge/>
            <w:tcBorders>
              <w:top w:val="single" w:sz="4" w:space="0" w:color="auto"/>
              <w:left w:val="double" w:sz="4" w:space="0" w:color="auto"/>
              <w:bottom w:val="single" w:sz="4" w:space="0" w:color="auto"/>
              <w:right w:val="single" w:sz="4" w:space="0" w:color="auto"/>
            </w:tcBorders>
            <w:vAlign w:val="center"/>
            <w:hideMark/>
          </w:tcPr>
          <w:p w14:paraId="7A116E0E" w14:textId="77777777" w:rsidR="00A51B25" w:rsidRPr="00FD7B0B" w:rsidRDefault="00A51B25" w:rsidP="00A51B25">
            <w:pPr>
              <w:spacing w:after="0" w:line="240" w:lineRule="auto"/>
              <w:rPr>
                <w:rFonts w:ascii="Times New Roman" w:eastAsia="Times New Roman" w:hAnsi="Times New Roman" w:cs="Times New Roman"/>
                <w:sz w:val="20"/>
                <w:szCs w:val="20"/>
                <w:lang w:eastAsia="ru-RU"/>
              </w:rPr>
            </w:pPr>
          </w:p>
        </w:tc>
        <w:tc>
          <w:tcPr>
            <w:tcW w:w="976" w:type="dxa"/>
            <w:tcBorders>
              <w:top w:val="single" w:sz="4" w:space="0" w:color="auto"/>
              <w:left w:val="nil"/>
              <w:bottom w:val="single" w:sz="4" w:space="0" w:color="auto"/>
              <w:right w:val="single" w:sz="4" w:space="0" w:color="auto"/>
            </w:tcBorders>
            <w:vAlign w:val="center"/>
          </w:tcPr>
          <w:p w14:paraId="09B8052D" w14:textId="77777777" w:rsidR="00A51B25" w:rsidRPr="00FD7B0B" w:rsidRDefault="00A51B25" w:rsidP="00A51B25">
            <w:pPr>
              <w:spacing w:after="0" w:line="240" w:lineRule="auto"/>
              <w:ind w:left="-108" w:right="-85"/>
              <w:jc w:val="center"/>
              <w:rPr>
                <w:rFonts w:ascii="Times New Roman" w:eastAsia="Times New Roman" w:hAnsi="Times New Roman" w:cs="Times New Roman"/>
                <w:sz w:val="19"/>
                <w:szCs w:val="19"/>
                <w:lang w:eastAsia="ru-RU"/>
              </w:rPr>
            </w:pPr>
            <w:r w:rsidRPr="00FD7B0B">
              <w:rPr>
                <w:rFonts w:ascii="Times New Roman" w:eastAsia="Times New Roman" w:hAnsi="Times New Roman" w:cs="Times New Roman"/>
                <w:sz w:val="19"/>
                <w:szCs w:val="19"/>
                <w:lang w:eastAsia="ru-RU"/>
              </w:rPr>
              <w:t>Фактичес-кий объем электрической энергии, поставлен-ной населению, тыс. кВт*ч</w:t>
            </w:r>
          </w:p>
        </w:tc>
        <w:tc>
          <w:tcPr>
            <w:tcW w:w="976" w:type="dxa"/>
            <w:tcBorders>
              <w:top w:val="single" w:sz="4" w:space="0" w:color="auto"/>
              <w:left w:val="single" w:sz="4" w:space="0" w:color="auto"/>
              <w:bottom w:val="single" w:sz="4" w:space="0" w:color="auto"/>
              <w:right w:val="single" w:sz="4" w:space="0" w:color="auto"/>
            </w:tcBorders>
            <w:vAlign w:val="center"/>
          </w:tcPr>
          <w:p w14:paraId="73AB4D03" w14:textId="77777777" w:rsidR="00A51B25" w:rsidRPr="00FD7B0B" w:rsidRDefault="00A51B25" w:rsidP="00A51B25">
            <w:pPr>
              <w:spacing w:after="0" w:line="240" w:lineRule="auto"/>
              <w:ind w:left="-108" w:right="-85"/>
              <w:jc w:val="center"/>
              <w:rPr>
                <w:rFonts w:ascii="Times New Roman" w:eastAsia="Times New Roman" w:hAnsi="Times New Roman" w:cs="Times New Roman"/>
                <w:sz w:val="19"/>
                <w:szCs w:val="19"/>
                <w:lang w:eastAsia="ru-RU"/>
              </w:rPr>
            </w:pPr>
            <w:r w:rsidRPr="00FD7B0B">
              <w:rPr>
                <w:rFonts w:ascii="Times New Roman" w:eastAsia="Times New Roman" w:hAnsi="Times New Roman" w:cs="Times New Roman"/>
                <w:sz w:val="19"/>
                <w:szCs w:val="19"/>
                <w:lang w:eastAsia="ru-RU"/>
              </w:rPr>
              <w:t>Потреб-ность в средствах субсидии, млн.руб.</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658BD" w14:textId="77777777" w:rsidR="00A51B25" w:rsidRPr="00FD7B0B" w:rsidRDefault="00A51B25" w:rsidP="00A51B25">
            <w:pPr>
              <w:spacing w:after="0" w:line="240" w:lineRule="auto"/>
              <w:ind w:left="-108" w:right="-85"/>
              <w:jc w:val="center"/>
              <w:rPr>
                <w:rFonts w:ascii="Times New Roman" w:eastAsia="Times New Roman" w:hAnsi="Times New Roman" w:cs="Times New Roman"/>
                <w:sz w:val="19"/>
                <w:szCs w:val="19"/>
                <w:lang w:eastAsia="ru-RU"/>
              </w:rPr>
            </w:pPr>
            <w:r w:rsidRPr="00FD7B0B">
              <w:rPr>
                <w:rFonts w:ascii="Times New Roman" w:eastAsia="Times New Roman" w:hAnsi="Times New Roman" w:cs="Times New Roman"/>
                <w:sz w:val="19"/>
                <w:szCs w:val="19"/>
                <w:lang w:eastAsia="ru-RU"/>
              </w:rPr>
              <w:t>Фактичес-кий объем электрической энергии, поставлен-ной населению, тыс. кВт*ч</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770CD3" w14:textId="77777777" w:rsidR="00A51B25" w:rsidRPr="00FD7B0B" w:rsidRDefault="00A51B25" w:rsidP="00A51B25">
            <w:pPr>
              <w:spacing w:after="0" w:line="240" w:lineRule="auto"/>
              <w:ind w:left="-108" w:right="-85"/>
              <w:jc w:val="center"/>
              <w:rPr>
                <w:rFonts w:ascii="Times New Roman" w:eastAsia="Times New Roman" w:hAnsi="Times New Roman" w:cs="Times New Roman"/>
                <w:sz w:val="19"/>
                <w:szCs w:val="19"/>
                <w:lang w:eastAsia="ru-RU"/>
              </w:rPr>
            </w:pPr>
            <w:r w:rsidRPr="00FD7B0B">
              <w:rPr>
                <w:rFonts w:ascii="Times New Roman" w:eastAsia="Times New Roman" w:hAnsi="Times New Roman" w:cs="Times New Roman"/>
                <w:sz w:val="19"/>
                <w:szCs w:val="19"/>
                <w:lang w:eastAsia="ru-RU"/>
              </w:rPr>
              <w:t>Потреб-ность в средствах субсидии, млн.руб.</w:t>
            </w:r>
          </w:p>
        </w:tc>
        <w:tc>
          <w:tcPr>
            <w:tcW w:w="976" w:type="dxa"/>
            <w:tcBorders>
              <w:top w:val="nil"/>
              <w:left w:val="nil"/>
              <w:bottom w:val="single" w:sz="4" w:space="0" w:color="auto"/>
              <w:right w:val="single" w:sz="4" w:space="0" w:color="auto"/>
            </w:tcBorders>
            <w:shd w:val="clear" w:color="auto" w:fill="auto"/>
            <w:vAlign w:val="center"/>
            <w:hideMark/>
          </w:tcPr>
          <w:p w14:paraId="1D33BD0B" w14:textId="77777777" w:rsidR="00A51B25" w:rsidRPr="00FD7B0B" w:rsidRDefault="00A51B25" w:rsidP="00A51B25">
            <w:pPr>
              <w:spacing w:after="0" w:line="240" w:lineRule="auto"/>
              <w:ind w:left="-108" w:right="-85"/>
              <w:jc w:val="center"/>
              <w:rPr>
                <w:rFonts w:ascii="Times New Roman" w:eastAsia="Times New Roman" w:hAnsi="Times New Roman" w:cs="Times New Roman"/>
                <w:sz w:val="19"/>
                <w:szCs w:val="19"/>
                <w:lang w:eastAsia="ru-RU"/>
              </w:rPr>
            </w:pPr>
            <w:r w:rsidRPr="00FD7B0B">
              <w:rPr>
                <w:rFonts w:ascii="Times New Roman" w:eastAsia="Times New Roman" w:hAnsi="Times New Roman" w:cs="Times New Roman"/>
                <w:sz w:val="19"/>
                <w:szCs w:val="19"/>
                <w:lang w:eastAsia="ru-RU"/>
              </w:rPr>
              <w:t>Фактичес-кий объем электрической энергии, поставлен-ной населению, тыс. кВт*ч</w:t>
            </w:r>
          </w:p>
        </w:tc>
        <w:tc>
          <w:tcPr>
            <w:tcW w:w="931" w:type="dxa"/>
            <w:tcBorders>
              <w:top w:val="nil"/>
              <w:left w:val="nil"/>
              <w:bottom w:val="single" w:sz="4" w:space="0" w:color="auto"/>
              <w:right w:val="single" w:sz="4" w:space="0" w:color="auto"/>
            </w:tcBorders>
            <w:shd w:val="clear" w:color="auto" w:fill="auto"/>
            <w:vAlign w:val="center"/>
            <w:hideMark/>
          </w:tcPr>
          <w:p w14:paraId="64E7FFEC" w14:textId="77777777" w:rsidR="00A51B25" w:rsidRPr="00FD7B0B" w:rsidRDefault="00A51B25" w:rsidP="00A51B25">
            <w:pPr>
              <w:spacing w:after="0" w:line="240" w:lineRule="auto"/>
              <w:ind w:left="-108" w:right="-85"/>
              <w:jc w:val="center"/>
              <w:rPr>
                <w:rFonts w:ascii="Times New Roman" w:eastAsia="Times New Roman" w:hAnsi="Times New Roman" w:cs="Times New Roman"/>
                <w:sz w:val="19"/>
                <w:szCs w:val="19"/>
                <w:lang w:eastAsia="ru-RU"/>
              </w:rPr>
            </w:pPr>
            <w:r w:rsidRPr="00FD7B0B">
              <w:rPr>
                <w:rFonts w:ascii="Times New Roman" w:eastAsia="Times New Roman" w:hAnsi="Times New Roman" w:cs="Times New Roman"/>
                <w:sz w:val="19"/>
                <w:szCs w:val="19"/>
                <w:lang w:eastAsia="ru-RU"/>
              </w:rPr>
              <w:t>Потреб-ность в средствах субсидии, млн.руб.</w:t>
            </w:r>
          </w:p>
        </w:tc>
        <w:tc>
          <w:tcPr>
            <w:tcW w:w="992" w:type="dxa"/>
            <w:tcBorders>
              <w:top w:val="nil"/>
              <w:left w:val="nil"/>
              <w:bottom w:val="single" w:sz="4" w:space="0" w:color="auto"/>
              <w:right w:val="single" w:sz="4" w:space="0" w:color="auto"/>
            </w:tcBorders>
            <w:shd w:val="clear" w:color="auto" w:fill="auto"/>
            <w:vAlign w:val="center"/>
            <w:hideMark/>
          </w:tcPr>
          <w:p w14:paraId="3351F207" w14:textId="77777777" w:rsidR="00A51B25" w:rsidRPr="00FD7B0B" w:rsidRDefault="00A51B25" w:rsidP="00A51B25">
            <w:pPr>
              <w:spacing w:after="0" w:line="240" w:lineRule="auto"/>
              <w:ind w:left="-108" w:right="-85"/>
              <w:jc w:val="center"/>
              <w:rPr>
                <w:rFonts w:ascii="Times New Roman" w:eastAsia="Times New Roman" w:hAnsi="Times New Roman" w:cs="Times New Roman"/>
                <w:sz w:val="19"/>
                <w:szCs w:val="19"/>
                <w:lang w:eastAsia="ru-RU"/>
              </w:rPr>
            </w:pPr>
            <w:r w:rsidRPr="00FD7B0B">
              <w:rPr>
                <w:rFonts w:ascii="Times New Roman" w:eastAsia="Times New Roman" w:hAnsi="Times New Roman" w:cs="Times New Roman"/>
                <w:sz w:val="19"/>
                <w:szCs w:val="19"/>
                <w:lang w:eastAsia="ru-RU"/>
              </w:rPr>
              <w:t>Фактичес-кий объем электрической энергии, поставлен-ной населению</w:t>
            </w:r>
          </w:p>
        </w:tc>
        <w:tc>
          <w:tcPr>
            <w:tcW w:w="851" w:type="dxa"/>
            <w:tcBorders>
              <w:top w:val="nil"/>
              <w:left w:val="nil"/>
              <w:bottom w:val="single" w:sz="4" w:space="0" w:color="auto"/>
              <w:right w:val="double" w:sz="4" w:space="0" w:color="auto"/>
            </w:tcBorders>
            <w:shd w:val="clear" w:color="auto" w:fill="auto"/>
            <w:vAlign w:val="center"/>
            <w:hideMark/>
          </w:tcPr>
          <w:p w14:paraId="69BEC298" w14:textId="77777777" w:rsidR="00A51B25" w:rsidRPr="00FD7B0B" w:rsidRDefault="00A51B25" w:rsidP="00A51B25">
            <w:pPr>
              <w:spacing w:after="0" w:line="240" w:lineRule="auto"/>
              <w:ind w:left="-108" w:right="-85"/>
              <w:jc w:val="center"/>
              <w:rPr>
                <w:rFonts w:ascii="Times New Roman" w:eastAsia="Times New Roman" w:hAnsi="Times New Roman" w:cs="Times New Roman"/>
                <w:sz w:val="19"/>
                <w:szCs w:val="19"/>
                <w:lang w:eastAsia="ru-RU"/>
              </w:rPr>
            </w:pPr>
            <w:r w:rsidRPr="00FD7B0B">
              <w:rPr>
                <w:rFonts w:ascii="Times New Roman" w:eastAsia="Times New Roman" w:hAnsi="Times New Roman" w:cs="Times New Roman"/>
                <w:sz w:val="19"/>
                <w:szCs w:val="19"/>
                <w:lang w:eastAsia="ru-RU"/>
              </w:rPr>
              <w:t>Потреб-ность в средствах субсидии</w:t>
            </w:r>
          </w:p>
        </w:tc>
      </w:tr>
      <w:tr w:rsidR="00FD7B0B" w:rsidRPr="00FD7B0B" w14:paraId="33C4B592" w14:textId="77777777" w:rsidTr="00D171D0">
        <w:trPr>
          <w:trHeight w:val="138"/>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5D0067F0" w14:textId="77777777" w:rsidR="00A51B25" w:rsidRPr="00FD7B0B" w:rsidRDefault="00A51B25" w:rsidP="00A51B25">
            <w:pPr>
              <w:spacing w:after="0" w:line="240" w:lineRule="auto"/>
              <w:ind w:right="-108"/>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АО «АрхоблЭнерго»</w:t>
            </w:r>
          </w:p>
        </w:tc>
        <w:tc>
          <w:tcPr>
            <w:tcW w:w="976" w:type="dxa"/>
            <w:tcBorders>
              <w:top w:val="single" w:sz="4" w:space="0" w:color="auto"/>
              <w:left w:val="nil"/>
              <w:bottom w:val="single" w:sz="4" w:space="0" w:color="auto"/>
              <w:right w:val="single" w:sz="4" w:space="0" w:color="auto"/>
            </w:tcBorders>
            <w:vAlign w:val="center"/>
          </w:tcPr>
          <w:p w14:paraId="73A03834"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34 588,3</w:t>
            </w:r>
          </w:p>
        </w:tc>
        <w:tc>
          <w:tcPr>
            <w:tcW w:w="976" w:type="dxa"/>
            <w:tcBorders>
              <w:top w:val="single" w:sz="4" w:space="0" w:color="auto"/>
              <w:left w:val="single" w:sz="4" w:space="0" w:color="auto"/>
              <w:bottom w:val="single" w:sz="4" w:space="0" w:color="auto"/>
              <w:right w:val="single" w:sz="4" w:space="0" w:color="auto"/>
            </w:tcBorders>
            <w:vAlign w:val="center"/>
          </w:tcPr>
          <w:p w14:paraId="649910CF"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1 434,9</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6C105"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35 452,8</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7C544"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1 609,6</w:t>
            </w:r>
          </w:p>
        </w:tc>
        <w:tc>
          <w:tcPr>
            <w:tcW w:w="976" w:type="dxa"/>
            <w:tcBorders>
              <w:top w:val="nil"/>
              <w:left w:val="nil"/>
              <w:bottom w:val="single" w:sz="4" w:space="0" w:color="auto"/>
              <w:right w:val="single" w:sz="4" w:space="0" w:color="auto"/>
            </w:tcBorders>
            <w:shd w:val="clear" w:color="auto" w:fill="auto"/>
            <w:vAlign w:val="center"/>
          </w:tcPr>
          <w:p w14:paraId="46E7A37C"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35 886,5</w:t>
            </w:r>
          </w:p>
        </w:tc>
        <w:tc>
          <w:tcPr>
            <w:tcW w:w="931" w:type="dxa"/>
            <w:tcBorders>
              <w:top w:val="nil"/>
              <w:left w:val="nil"/>
              <w:bottom w:val="single" w:sz="4" w:space="0" w:color="auto"/>
              <w:right w:val="single" w:sz="4" w:space="0" w:color="auto"/>
            </w:tcBorders>
            <w:shd w:val="clear" w:color="auto" w:fill="auto"/>
            <w:vAlign w:val="center"/>
          </w:tcPr>
          <w:p w14:paraId="3F77A789"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2 334,4</w:t>
            </w:r>
          </w:p>
        </w:tc>
        <w:tc>
          <w:tcPr>
            <w:tcW w:w="992" w:type="dxa"/>
            <w:tcBorders>
              <w:top w:val="nil"/>
              <w:left w:val="nil"/>
              <w:bottom w:val="single" w:sz="4" w:space="0" w:color="auto"/>
              <w:right w:val="single" w:sz="4" w:space="0" w:color="auto"/>
            </w:tcBorders>
            <w:shd w:val="clear" w:color="auto" w:fill="auto"/>
            <w:vAlign w:val="center"/>
          </w:tcPr>
          <w:p w14:paraId="6C63044A"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101,2</w:t>
            </w:r>
          </w:p>
        </w:tc>
        <w:tc>
          <w:tcPr>
            <w:tcW w:w="851" w:type="dxa"/>
            <w:tcBorders>
              <w:top w:val="nil"/>
              <w:left w:val="nil"/>
              <w:bottom w:val="single" w:sz="4" w:space="0" w:color="auto"/>
              <w:right w:val="double" w:sz="4" w:space="0" w:color="auto"/>
            </w:tcBorders>
            <w:shd w:val="clear" w:color="auto" w:fill="auto"/>
            <w:vAlign w:val="center"/>
          </w:tcPr>
          <w:p w14:paraId="2DA87CB3"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145,0</w:t>
            </w:r>
          </w:p>
        </w:tc>
      </w:tr>
      <w:tr w:rsidR="00FD7B0B" w:rsidRPr="00FD7B0B" w14:paraId="0CCA8BC6" w14:textId="77777777" w:rsidTr="00D171D0">
        <w:trPr>
          <w:trHeight w:val="183"/>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1C767403" w14:textId="77777777" w:rsidR="00A51B25" w:rsidRPr="00FD7B0B" w:rsidRDefault="00A51B25" w:rsidP="00A51B25">
            <w:pPr>
              <w:spacing w:after="0" w:line="240" w:lineRule="auto"/>
              <w:ind w:right="-108"/>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«МТК»</w:t>
            </w:r>
          </w:p>
        </w:tc>
        <w:tc>
          <w:tcPr>
            <w:tcW w:w="976" w:type="dxa"/>
            <w:tcBorders>
              <w:top w:val="single" w:sz="4" w:space="0" w:color="auto"/>
              <w:left w:val="nil"/>
              <w:bottom w:val="single" w:sz="4" w:space="0" w:color="auto"/>
              <w:right w:val="single" w:sz="4" w:space="0" w:color="auto"/>
            </w:tcBorders>
            <w:vAlign w:val="center"/>
          </w:tcPr>
          <w:p w14:paraId="074D65FE"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613,6</w:t>
            </w:r>
          </w:p>
        </w:tc>
        <w:tc>
          <w:tcPr>
            <w:tcW w:w="976" w:type="dxa"/>
            <w:tcBorders>
              <w:top w:val="single" w:sz="4" w:space="0" w:color="auto"/>
              <w:left w:val="single" w:sz="4" w:space="0" w:color="auto"/>
              <w:bottom w:val="single" w:sz="4" w:space="0" w:color="auto"/>
              <w:right w:val="single" w:sz="4" w:space="0" w:color="auto"/>
            </w:tcBorders>
            <w:vAlign w:val="center"/>
          </w:tcPr>
          <w:p w14:paraId="3F4E7F04"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B89B4"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569,9</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EA2A5"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41,8</w:t>
            </w:r>
          </w:p>
        </w:tc>
        <w:tc>
          <w:tcPr>
            <w:tcW w:w="976" w:type="dxa"/>
            <w:tcBorders>
              <w:top w:val="nil"/>
              <w:left w:val="nil"/>
              <w:bottom w:val="single" w:sz="4" w:space="0" w:color="auto"/>
              <w:right w:val="single" w:sz="4" w:space="0" w:color="auto"/>
            </w:tcBorders>
            <w:shd w:val="clear" w:color="auto" w:fill="auto"/>
            <w:vAlign w:val="center"/>
          </w:tcPr>
          <w:p w14:paraId="5C026F21"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558,0</w:t>
            </w:r>
          </w:p>
        </w:tc>
        <w:tc>
          <w:tcPr>
            <w:tcW w:w="931" w:type="dxa"/>
            <w:tcBorders>
              <w:top w:val="nil"/>
              <w:left w:val="nil"/>
              <w:bottom w:val="single" w:sz="4" w:space="0" w:color="auto"/>
              <w:right w:val="single" w:sz="4" w:space="0" w:color="auto"/>
            </w:tcBorders>
            <w:shd w:val="clear" w:color="auto" w:fill="auto"/>
            <w:vAlign w:val="center"/>
          </w:tcPr>
          <w:p w14:paraId="646E2100"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33,5</w:t>
            </w:r>
          </w:p>
        </w:tc>
        <w:tc>
          <w:tcPr>
            <w:tcW w:w="992" w:type="dxa"/>
            <w:tcBorders>
              <w:top w:val="nil"/>
              <w:left w:val="nil"/>
              <w:bottom w:val="single" w:sz="4" w:space="0" w:color="auto"/>
              <w:right w:val="single" w:sz="4" w:space="0" w:color="auto"/>
            </w:tcBorders>
            <w:shd w:val="clear" w:color="auto" w:fill="auto"/>
            <w:vAlign w:val="center"/>
          </w:tcPr>
          <w:p w14:paraId="6FF4D8EF"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97,9</w:t>
            </w:r>
          </w:p>
        </w:tc>
        <w:tc>
          <w:tcPr>
            <w:tcW w:w="851" w:type="dxa"/>
            <w:tcBorders>
              <w:top w:val="nil"/>
              <w:left w:val="nil"/>
              <w:bottom w:val="single" w:sz="4" w:space="0" w:color="auto"/>
              <w:right w:val="double" w:sz="4" w:space="0" w:color="auto"/>
            </w:tcBorders>
            <w:shd w:val="clear" w:color="auto" w:fill="auto"/>
            <w:vAlign w:val="center"/>
          </w:tcPr>
          <w:p w14:paraId="1F334429"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80,3</w:t>
            </w:r>
          </w:p>
        </w:tc>
      </w:tr>
      <w:tr w:rsidR="00FD7B0B" w:rsidRPr="00FD7B0B" w14:paraId="7406D15C" w14:textId="77777777" w:rsidTr="00D171D0">
        <w:trPr>
          <w:trHeight w:val="284"/>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5160EB38" w14:textId="77777777" w:rsidR="00A51B25" w:rsidRPr="00FD7B0B" w:rsidRDefault="00A51B25" w:rsidP="00A51B25">
            <w:pPr>
              <w:spacing w:after="0" w:line="240" w:lineRule="auto"/>
              <w:ind w:right="-108"/>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«Поморские электросети»</w:t>
            </w:r>
          </w:p>
        </w:tc>
        <w:tc>
          <w:tcPr>
            <w:tcW w:w="976" w:type="dxa"/>
            <w:tcBorders>
              <w:top w:val="single" w:sz="4" w:space="0" w:color="auto"/>
              <w:left w:val="nil"/>
              <w:bottom w:val="single" w:sz="4" w:space="0" w:color="auto"/>
              <w:right w:val="single" w:sz="4" w:space="0" w:color="auto"/>
            </w:tcBorders>
            <w:vAlign w:val="center"/>
          </w:tcPr>
          <w:p w14:paraId="0E2C9757"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440,6</w:t>
            </w:r>
          </w:p>
        </w:tc>
        <w:tc>
          <w:tcPr>
            <w:tcW w:w="976" w:type="dxa"/>
            <w:tcBorders>
              <w:top w:val="single" w:sz="4" w:space="0" w:color="auto"/>
              <w:left w:val="single" w:sz="4" w:space="0" w:color="auto"/>
              <w:bottom w:val="single" w:sz="4" w:space="0" w:color="auto"/>
              <w:right w:val="single" w:sz="4" w:space="0" w:color="auto"/>
            </w:tcBorders>
            <w:vAlign w:val="center"/>
          </w:tcPr>
          <w:p w14:paraId="5FB6AFD5"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4664D"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426,3</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595B4"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29,8</w:t>
            </w:r>
          </w:p>
        </w:tc>
        <w:tc>
          <w:tcPr>
            <w:tcW w:w="976" w:type="dxa"/>
            <w:tcBorders>
              <w:top w:val="nil"/>
              <w:left w:val="nil"/>
              <w:bottom w:val="single" w:sz="4" w:space="0" w:color="auto"/>
              <w:right w:val="single" w:sz="4" w:space="0" w:color="auto"/>
            </w:tcBorders>
            <w:shd w:val="clear" w:color="auto" w:fill="auto"/>
            <w:vAlign w:val="center"/>
          </w:tcPr>
          <w:p w14:paraId="465CEC70"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470,0</w:t>
            </w:r>
          </w:p>
        </w:tc>
        <w:tc>
          <w:tcPr>
            <w:tcW w:w="931" w:type="dxa"/>
            <w:tcBorders>
              <w:top w:val="nil"/>
              <w:left w:val="nil"/>
              <w:bottom w:val="single" w:sz="4" w:space="0" w:color="auto"/>
              <w:right w:val="single" w:sz="4" w:space="0" w:color="auto"/>
            </w:tcBorders>
            <w:shd w:val="clear" w:color="auto" w:fill="auto"/>
            <w:vAlign w:val="center"/>
          </w:tcPr>
          <w:p w14:paraId="75E75A8D"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36,1</w:t>
            </w:r>
          </w:p>
        </w:tc>
        <w:tc>
          <w:tcPr>
            <w:tcW w:w="992" w:type="dxa"/>
            <w:tcBorders>
              <w:top w:val="nil"/>
              <w:left w:val="nil"/>
              <w:bottom w:val="single" w:sz="4" w:space="0" w:color="auto"/>
              <w:right w:val="single" w:sz="4" w:space="0" w:color="auto"/>
            </w:tcBorders>
            <w:shd w:val="clear" w:color="auto" w:fill="auto"/>
            <w:vAlign w:val="center"/>
          </w:tcPr>
          <w:p w14:paraId="4789D992"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110,2</w:t>
            </w:r>
          </w:p>
        </w:tc>
        <w:tc>
          <w:tcPr>
            <w:tcW w:w="851" w:type="dxa"/>
            <w:tcBorders>
              <w:top w:val="nil"/>
              <w:left w:val="nil"/>
              <w:bottom w:val="single" w:sz="4" w:space="0" w:color="auto"/>
              <w:right w:val="double" w:sz="4" w:space="0" w:color="auto"/>
            </w:tcBorders>
            <w:shd w:val="clear" w:color="auto" w:fill="auto"/>
            <w:vAlign w:val="center"/>
          </w:tcPr>
          <w:p w14:paraId="0E6C83BE"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120,9</w:t>
            </w:r>
          </w:p>
        </w:tc>
      </w:tr>
      <w:tr w:rsidR="00FD7B0B" w:rsidRPr="00FD7B0B" w14:paraId="662BB185" w14:textId="77777777" w:rsidTr="00D171D0">
        <w:trPr>
          <w:trHeight w:val="284"/>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449A9F3F" w14:textId="77777777" w:rsidR="00A51B25" w:rsidRPr="00FD7B0B" w:rsidRDefault="00A51B25" w:rsidP="00A51B25">
            <w:pPr>
              <w:spacing w:after="0" w:line="240" w:lineRule="auto"/>
              <w:ind w:right="-108"/>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«ТГК-2 Энергосбыт» (Каменка, Мезень)</w:t>
            </w:r>
          </w:p>
        </w:tc>
        <w:tc>
          <w:tcPr>
            <w:tcW w:w="976" w:type="dxa"/>
            <w:tcBorders>
              <w:top w:val="single" w:sz="4" w:space="0" w:color="auto"/>
              <w:left w:val="nil"/>
              <w:bottom w:val="single" w:sz="4" w:space="0" w:color="auto"/>
              <w:right w:val="single" w:sz="4" w:space="0" w:color="auto"/>
            </w:tcBorders>
            <w:vAlign w:val="center"/>
          </w:tcPr>
          <w:p w14:paraId="7ADC1238"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10 951,1</w:t>
            </w:r>
          </w:p>
        </w:tc>
        <w:tc>
          <w:tcPr>
            <w:tcW w:w="976" w:type="dxa"/>
            <w:tcBorders>
              <w:top w:val="single" w:sz="4" w:space="0" w:color="auto"/>
              <w:left w:val="single" w:sz="4" w:space="0" w:color="auto"/>
              <w:bottom w:val="single" w:sz="4" w:space="0" w:color="auto"/>
              <w:right w:val="single" w:sz="4" w:space="0" w:color="auto"/>
            </w:tcBorders>
            <w:vAlign w:val="center"/>
          </w:tcPr>
          <w:p w14:paraId="67B3E27B"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416,2</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47780"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19 360,1</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95C23"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506,8</w:t>
            </w:r>
          </w:p>
        </w:tc>
        <w:tc>
          <w:tcPr>
            <w:tcW w:w="976" w:type="dxa"/>
            <w:tcBorders>
              <w:top w:val="nil"/>
              <w:left w:val="nil"/>
              <w:bottom w:val="single" w:sz="4" w:space="0" w:color="auto"/>
              <w:right w:val="single" w:sz="4" w:space="0" w:color="auto"/>
            </w:tcBorders>
            <w:shd w:val="clear" w:color="auto" w:fill="auto"/>
            <w:vAlign w:val="center"/>
          </w:tcPr>
          <w:p w14:paraId="6600A79E"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19 099,7</w:t>
            </w:r>
          </w:p>
        </w:tc>
        <w:tc>
          <w:tcPr>
            <w:tcW w:w="931" w:type="dxa"/>
            <w:tcBorders>
              <w:top w:val="nil"/>
              <w:left w:val="nil"/>
              <w:bottom w:val="single" w:sz="4" w:space="0" w:color="auto"/>
              <w:right w:val="single" w:sz="4" w:space="0" w:color="auto"/>
            </w:tcBorders>
            <w:shd w:val="clear" w:color="auto" w:fill="auto"/>
            <w:vAlign w:val="center"/>
          </w:tcPr>
          <w:p w14:paraId="422B50CF"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661,1</w:t>
            </w:r>
          </w:p>
        </w:tc>
        <w:tc>
          <w:tcPr>
            <w:tcW w:w="992" w:type="dxa"/>
            <w:tcBorders>
              <w:top w:val="nil"/>
              <w:left w:val="nil"/>
              <w:bottom w:val="single" w:sz="4" w:space="0" w:color="auto"/>
              <w:right w:val="single" w:sz="4" w:space="0" w:color="auto"/>
            </w:tcBorders>
            <w:shd w:val="clear" w:color="auto" w:fill="auto"/>
            <w:vAlign w:val="center"/>
          </w:tcPr>
          <w:p w14:paraId="12C7EB12"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98,7</w:t>
            </w:r>
          </w:p>
        </w:tc>
        <w:tc>
          <w:tcPr>
            <w:tcW w:w="851" w:type="dxa"/>
            <w:tcBorders>
              <w:top w:val="nil"/>
              <w:left w:val="nil"/>
              <w:bottom w:val="single" w:sz="4" w:space="0" w:color="auto"/>
              <w:right w:val="double" w:sz="4" w:space="0" w:color="auto"/>
            </w:tcBorders>
            <w:shd w:val="clear" w:color="auto" w:fill="auto"/>
            <w:vAlign w:val="center"/>
          </w:tcPr>
          <w:p w14:paraId="1A91CB29"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130,5</w:t>
            </w:r>
          </w:p>
        </w:tc>
      </w:tr>
      <w:tr w:rsidR="00FD7B0B" w:rsidRPr="00FD7B0B" w14:paraId="5F9BE4F1" w14:textId="77777777" w:rsidTr="00D171D0">
        <w:trPr>
          <w:trHeight w:val="284"/>
        </w:trPr>
        <w:tc>
          <w:tcPr>
            <w:tcW w:w="2127" w:type="dxa"/>
            <w:tcBorders>
              <w:top w:val="nil"/>
              <w:left w:val="double" w:sz="4" w:space="0" w:color="auto"/>
              <w:bottom w:val="single" w:sz="4" w:space="0" w:color="auto"/>
              <w:right w:val="single" w:sz="4" w:space="0" w:color="auto"/>
            </w:tcBorders>
            <w:shd w:val="clear" w:color="auto" w:fill="auto"/>
            <w:vAlign w:val="center"/>
            <w:hideMark/>
          </w:tcPr>
          <w:p w14:paraId="35461C0D" w14:textId="77777777" w:rsidR="00A51B25" w:rsidRPr="00FD7B0B" w:rsidRDefault="00A51B25" w:rsidP="00A51B25">
            <w:pPr>
              <w:spacing w:after="0" w:line="240" w:lineRule="auto"/>
              <w:ind w:right="-108"/>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ООО «ТГК-2 Энергосбыт» (Коряжма)</w:t>
            </w:r>
          </w:p>
        </w:tc>
        <w:tc>
          <w:tcPr>
            <w:tcW w:w="976" w:type="dxa"/>
            <w:tcBorders>
              <w:top w:val="single" w:sz="4" w:space="0" w:color="auto"/>
              <w:left w:val="nil"/>
              <w:bottom w:val="single" w:sz="4" w:space="0" w:color="auto"/>
              <w:right w:val="single" w:sz="4" w:space="0" w:color="auto"/>
            </w:tcBorders>
            <w:vAlign w:val="center"/>
          </w:tcPr>
          <w:p w14:paraId="5DAEE54E"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26 965,0</w:t>
            </w:r>
          </w:p>
        </w:tc>
        <w:tc>
          <w:tcPr>
            <w:tcW w:w="976" w:type="dxa"/>
            <w:tcBorders>
              <w:top w:val="single" w:sz="4" w:space="0" w:color="auto"/>
              <w:left w:val="single" w:sz="4" w:space="0" w:color="auto"/>
              <w:bottom w:val="single" w:sz="4" w:space="0" w:color="auto"/>
              <w:right w:val="single" w:sz="4" w:space="0" w:color="auto"/>
            </w:tcBorders>
            <w:vAlign w:val="center"/>
          </w:tcPr>
          <w:p w14:paraId="199FBF39"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14,2</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7B80A"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26 362,1</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C124E"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hAnsi="Times New Roman" w:cs="Times New Roman"/>
                <w:sz w:val="20"/>
                <w:szCs w:val="20"/>
              </w:rPr>
              <w:t>4,7</w:t>
            </w:r>
          </w:p>
        </w:tc>
        <w:tc>
          <w:tcPr>
            <w:tcW w:w="976" w:type="dxa"/>
            <w:tcBorders>
              <w:top w:val="nil"/>
              <w:left w:val="nil"/>
              <w:bottom w:val="single" w:sz="4" w:space="0" w:color="auto"/>
              <w:right w:val="single" w:sz="4" w:space="0" w:color="auto"/>
            </w:tcBorders>
            <w:shd w:val="clear" w:color="auto" w:fill="auto"/>
            <w:vAlign w:val="center"/>
          </w:tcPr>
          <w:p w14:paraId="34B6F66E"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14 085,7</w:t>
            </w:r>
          </w:p>
        </w:tc>
        <w:tc>
          <w:tcPr>
            <w:tcW w:w="931" w:type="dxa"/>
            <w:tcBorders>
              <w:top w:val="nil"/>
              <w:left w:val="nil"/>
              <w:bottom w:val="single" w:sz="4" w:space="0" w:color="auto"/>
              <w:right w:val="single" w:sz="4" w:space="0" w:color="auto"/>
            </w:tcBorders>
            <w:shd w:val="clear" w:color="auto" w:fill="auto"/>
            <w:vAlign w:val="center"/>
          </w:tcPr>
          <w:p w14:paraId="6A18A75C"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w:t>
            </w:r>
          </w:p>
        </w:tc>
        <w:tc>
          <w:tcPr>
            <w:tcW w:w="992" w:type="dxa"/>
            <w:tcBorders>
              <w:top w:val="nil"/>
              <w:left w:val="nil"/>
              <w:bottom w:val="single" w:sz="4" w:space="0" w:color="auto"/>
              <w:right w:val="single" w:sz="4" w:space="0" w:color="auto"/>
            </w:tcBorders>
            <w:shd w:val="clear" w:color="auto" w:fill="auto"/>
            <w:vAlign w:val="center"/>
          </w:tcPr>
          <w:p w14:paraId="4ED9669D"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53,4</w:t>
            </w:r>
          </w:p>
        </w:tc>
        <w:tc>
          <w:tcPr>
            <w:tcW w:w="851" w:type="dxa"/>
            <w:tcBorders>
              <w:top w:val="nil"/>
              <w:left w:val="nil"/>
              <w:bottom w:val="single" w:sz="4" w:space="0" w:color="auto"/>
              <w:right w:val="double" w:sz="4" w:space="0" w:color="auto"/>
            </w:tcBorders>
            <w:shd w:val="clear" w:color="auto" w:fill="auto"/>
            <w:vAlign w:val="center"/>
          </w:tcPr>
          <w:p w14:paraId="054267FC"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55,0</w:t>
            </w:r>
          </w:p>
        </w:tc>
      </w:tr>
      <w:tr w:rsidR="00FD7B0B" w:rsidRPr="00FD7B0B" w14:paraId="0181408B" w14:textId="77777777" w:rsidTr="00D171D0">
        <w:trPr>
          <w:trHeight w:val="186"/>
        </w:trPr>
        <w:tc>
          <w:tcPr>
            <w:tcW w:w="2127" w:type="dxa"/>
            <w:tcBorders>
              <w:top w:val="nil"/>
              <w:left w:val="double" w:sz="4" w:space="0" w:color="auto"/>
              <w:bottom w:val="double" w:sz="4" w:space="0" w:color="auto"/>
              <w:right w:val="single" w:sz="4" w:space="0" w:color="auto"/>
            </w:tcBorders>
            <w:shd w:val="clear" w:color="auto" w:fill="auto"/>
            <w:vAlign w:val="center"/>
            <w:hideMark/>
          </w:tcPr>
          <w:p w14:paraId="7AAAECCE" w14:textId="77777777" w:rsidR="00A51B25" w:rsidRPr="00FD7B0B" w:rsidRDefault="00A51B25" w:rsidP="00A51B25">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lastRenderedPageBreak/>
              <w:t>ВСЕГО</w:t>
            </w:r>
          </w:p>
        </w:tc>
        <w:tc>
          <w:tcPr>
            <w:tcW w:w="976" w:type="dxa"/>
            <w:tcBorders>
              <w:top w:val="single" w:sz="4" w:space="0" w:color="auto"/>
              <w:left w:val="nil"/>
              <w:bottom w:val="double" w:sz="4" w:space="0" w:color="auto"/>
              <w:right w:val="single" w:sz="4" w:space="0" w:color="auto"/>
            </w:tcBorders>
            <w:vAlign w:val="center"/>
          </w:tcPr>
          <w:p w14:paraId="0A4B9353" w14:textId="77777777" w:rsidR="00A51B25" w:rsidRPr="00FD7B0B" w:rsidRDefault="00A51B25" w:rsidP="00A51B25">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73 558,6</w:t>
            </w:r>
          </w:p>
        </w:tc>
        <w:tc>
          <w:tcPr>
            <w:tcW w:w="976" w:type="dxa"/>
            <w:tcBorders>
              <w:top w:val="single" w:sz="4" w:space="0" w:color="auto"/>
              <w:left w:val="single" w:sz="4" w:space="0" w:color="auto"/>
              <w:bottom w:val="double" w:sz="4" w:space="0" w:color="auto"/>
              <w:right w:val="single" w:sz="4" w:space="0" w:color="auto"/>
            </w:tcBorders>
            <w:vAlign w:val="center"/>
          </w:tcPr>
          <w:p w14:paraId="105F8DA1" w14:textId="77777777" w:rsidR="00A51B25" w:rsidRPr="00FD7B0B" w:rsidRDefault="00A51B25" w:rsidP="00A51B25">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1 929,3</w:t>
            </w:r>
          </w:p>
        </w:tc>
        <w:tc>
          <w:tcPr>
            <w:tcW w:w="977"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3CC90EFD" w14:textId="77777777" w:rsidR="00A51B25" w:rsidRPr="00FD7B0B" w:rsidRDefault="00A51B25" w:rsidP="00A51B25">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82 171,3</w:t>
            </w:r>
          </w:p>
        </w:tc>
        <w:tc>
          <w:tcPr>
            <w:tcW w:w="976"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0850CDEA" w14:textId="77777777" w:rsidR="00A51B25" w:rsidRPr="00FD7B0B" w:rsidRDefault="00A51B25" w:rsidP="00A51B25">
            <w:pPr>
              <w:spacing w:after="0" w:line="240" w:lineRule="auto"/>
              <w:jc w:val="center"/>
              <w:rPr>
                <w:rFonts w:ascii="Times New Roman" w:eastAsia="Times New Roman" w:hAnsi="Times New Roman" w:cs="Times New Roman"/>
                <w:b/>
                <w:sz w:val="20"/>
                <w:szCs w:val="20"/>
                <w:lang w:eastAsia="ru-RU"/>
              </w:rPr>
            </w:pPr>
            <w:r w:rsidRPr="00FD7B0B">
              <w:rPr>
                <w:rFonts w:ascii="Times New Roman" w:hAnsi="Times New Roman" w:cs="Times New Roman"/>
                <w:b/>
                <w:sz w:val="20"/>
                <w:szCs w:val="20"/>
              </w:rPr>
              <w:t>2 192,8</w:t>
            </w:r>
          </w:p>
        </w:tc>
        <w:tc>
          <w:tcPr>
            <w:tcW w:w="976" w:type="dxa"/>
            <w:tcBorders>
              <w:top w:val="nil"/>
              <w:left w:val="nil"/>
              <w:bottom w:val="double" w:sz="4" w:space="0" w:color="auto"/>
              <w:right w:val="single" w:sz="4" w:space="0" w:color="auto"/>
            </w:tcBorders>
            <w:shd w:val="clear" w:color="auto" w:fill="auto"/>
            <w:vAlign w:val="center"/>
          </w:tcPr>
          <w:p w14:paraId="1EF840DC" w14:textId="77777777" w:rsidR="00A51B25" w:rsidRPr="00FD7B0B" w:rsidRDefault="00A51B25" w:rsidP="00A51B25">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70 099,9</w:t>
            </w:r>
          </w:p>
        </w:tc>
        <w:tc>
          <w:tcPr>
            <w:tcW w:w="931" w:type="dxa"/>
            <w:tcBorders>
              <w:top w:val="nil"/>
              <w:left w:val="nil"/>
              <w:bottom w:val="double" w:sz="4" w:space="0" w:color="auto"/>
              <w:right w:val="single" w:sz="4" w:space="0" w:color="auto"/>
            </w:tcBorders>
            <w:shd w:val="clear" w:color="auto" w:fill="auto"/>
            <w:vAlign w:val="center"/>
          </w:tcPr>
          <w:p w14:paraId="34DCE9E6" w14:textId="77777777" w:rsidR="00A51B25" w:rsidRPr="00FD7B0B" w:rsidRDefault="00A51B25" w:rsidP="00A51B25">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3 067,7</w:t>
            </w:r>
          </w:p>
        </w:tc>
        <w:tc>
          <w:tcPr>
            <w:tcW w:w="992" w:type="dxa"/>
            <w:tcBorders>
              <w:top w:val="nil"/>
              <w:left w:val="nil"/>
              <w:bottom w:val="double" w:sz="4" w:space="0" w:color="auto"/>
              <w:right w:val="single" w:sz="4" w:space="0" w:color="auto"/>
            </w:tcBorders>
            <w:shd w:val="clear" w:color="auto" w:fill="auto"/>
            <w:vAlign w:val="center"/>
          </w:tcPr>
          <w:p w14:paraId="1A05FC51" w14:textId="77777777" w:rsidR="00A51B25" w:rsidRPr="00FD7B0B" w:rsidRDefault="00A51B25" w:rsidP="00A51B25">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85,3</w:t>
            </w:r>
          </w:p>
        </w:tc>
        <w:tc>
          <w:tcPr>
            <w:tcW w:w="851" w:type="dxa"/>
            <w:tcBorders>
              <w:top w:val="nil"/>
              <w:left w:val="nil"/>
              <w:bottom w:val="double" w:sz="4" w:space="0" w:color="auto"/>
              <w:right w:val="double" w:sz="4" w:space="0" w:color="auto"/>
            </w:tcBorders>
            <w:shd w:val="clear" w:color="auto" w:fill="auto"/>
            <w:vAlign w:val="center"/>
          </w:tcPr>
          <w:p w14:paraId="72AD6825" w14:textId="77777777" w:rsidR="00A51B25" w:rsidRPr="00FD7B0B" w:rsidRDefault="00A51B25" w:rsidP="00A51B25">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139,9</w:t>
            </w:r>
          </w:p>
        </w:tc>
      </w:tr>
    </w:tbl>
    <w:p w14:paraId="5695B397"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4817904E"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При снижении </w:t>
      </w:r>
      <w:r w:rsidRPr="00FD7B0B">
        <w:rPr>
          <w:rFonts w:ascii="Times New Roman" w:hAnsi="Times New Roman" w:cs="Times New Roman"/>
          <w:sz w:val="28"/>
          <w:szCs w:val="28"/>
        </w:rPr>
        <w:t>субсидируемых объемов реализации электрической энергии на 12 071,4 тыс. кВт*ч (на 14,7 %) п</w:t>
      </w:r>
      <w:r w:rsidRPr="00FD7B0B">
        <w:rPr>
          <w:rFonts w:ascii="Times New Roman" w:eastAsia="Times New Roman" w:hAnsi="Times New Roman"/>
          <w:sz w:val="28"/>
          <w:szCs w:val="28"/>
          <w:lang w:eastAsia="ru-RU"/>
        </w:rPr>
        <w:t>отребность в средствах субсидии ∆Э (без учета кредиторской задолженности) в отчетном периоде увеличилась по сравнению с предыдущим периодом на 874,9 млн.руб. (или на 39,9 %), из них рост потребности АО «Архоблэнерго» составил 724,8 млн.руб. Основной причиной роста является увеличение экономически обоснованных тарифов на электрическую энергию.</w:t>
      </w:r>
    </w:p>
    <w:p w14:paraId="4B07ED95" w14:textId="4DFFFAA1"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Наибольший удельный вес в общем объеме потребности в средствах субсидии имеет АО «Архоблэнерго» (76,1 %). При незначительном увеличении субсидируемого объема реализации электрической энергии </w:t>
      </w:r>
      <w:r w:rsidRPr="00FD7B0B">
        <w:rPr>
          <w:rFonts w:ascii="Times New Roman" w:eastAsia="Times New Roman" w:hAnsi="Times New Roman"/>
          <w:sz w:val="28"/>
          <w:szCs w:val="28"/>
          <w:lang w:eastAsia="ru-RU"/>
        </w:rPr>
        <w:br/>
        <w:t>(на 1,2%) в 2024 году по сравнению с 2023 годом, рост потребности в средствах субсидии предприятия составил 724,8 млн.руб. (или 45</w:t>
      </w:r>
      <w:r w:rsidR="00D171D0"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w:t>
      </w:r>
    </w:p>
    <w:p w14:paraId="0A324087"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запросу КСП АО агентством по тарифам и ценам Архангельской области предоставлено пояснение о том, что рост экономически обоснованного тарифа на электрическую энергию, поставляемую АО «АрхоблЭнерго» покупателям на розничных рынках на территориях, технологически не связанных с единой энергетической системой России и технологически изолированными территориальными электроэнергетическими системами в 2024 году по сравнению с 2023 годом обусловлен следующими факторами:</w:t>
      </w:r>
    </w:p>
    <w:p w14:paraId="3513CAFF" w14:textId="6427FD6B" w:rsidR="00A51B25" w:rsidRPr="00FD7B0B" w:rsidRDefault="00A51B25" w:rsidP="00E005AC">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w:t>
      </w:r>
      <w:r w:rsidRPr="00FD7B0B">
        <w:rPr>
          <w:rFonts w:ascii="Times New Roman" w:eastAsia="Times New Roman" w:hAnsi="Times New Roman"/>
          <w:sz w:val="28"/>
          <w:szCs w:val="28"/>
          <w:lang w:eastAsia="ru-RU"/>
        </w:rPr>
        <w:tab/>
        <w:t>учет дополнительных расходов</w:t>
      </w:r>
      <w:r w:rsidR="00E005AC" w:rsidRPr="00FD7B0B">
        <w:rPr>
          <w:rFonts w:ascii="Times New Roman" w:eastAsia="Times New Roman" w:hAnsi="Times New Roman"/>
          <w:sz w:val="28"/>
          <w:szCs w:val="28"/>
          <w:lang w:eastAsia="ru-RU"/>
        </w:rPr>
        <w:t>;</w:t>
      </w:r>
    </w:p>
    <w:p w14:paraId="1C3B4EA6" w14:textId="6D31D7FF"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w:t>
      </w:r>
      <w:r w:rsidRPr="00FD7B0B">
        <w:rPr>
          <w:rFonts w:ascii="Times New Roman" w:eastAsia="Times New Roman" w:hAnsi="Times New Roman"/>
          <w:sz w:val="28"/>
          <w:szCs w:val="28"/>
          <w:lang w:eastAsia="ru-RU"/>
        </w:rPr>
        <w:tab/>
        <w:t>снижение планового товарного отпуска электрической энергии на 1,8 % относительно плановых показателей 2023 года.</w:t>
      </w:r>
    </w:p>
    <w:p w14:paraId="2A44E92F"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30B2705D" w14:textId="5D0F43CF"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Информация о предоставлении субсидии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 (далее - субсидия ∆Т) организациям коммунального комплекса в динамике с 2020 по 2024 годы и фактических объемных показателях представлена на рисунке</w:t>
      </w:r>
      <w:r w:rsidR="00D171D0" w:rsidRPr="00FD7B0B">
        <w:rPr>
          <w:rFonts w:ascii="Times New Roman" w:eastAsia="Times New Roman" w:hAnsi="Times New Roman"/>
          <w:sz w:val="28"/>
          <w:szCs w:val="28"/>
          <w:lang w:eastAsia="ru-RU"/>
        </w:rPr>
        <w:t xml:space="preserve"> </w:t>
      </w:r>
      <w:r w:rsidR="00960798" w:rsidRPr="00FD7B0B">
        <w:rPr>
          <w:rFonts w:ascii="Times New Roman" w:eastAsia="Times New Roman" w:hAnsi="Times New Roman"/>
          <w:sz w:val="28"/>
          <w:szCs w:val="28"/>
          <w:lang w:eastAsia="ru-RU"/>
        </w:rPr>
        <w:t>27</w:t>
      </w:r>
      <w:r w:rsidRPr="00FD7B0B">
        <w:rPr>
          <w:rFonts w:ascii="Times New Roman" w:eastAsia="Times New Roman" w:hAnsi="Times New Roman"/>
          <w:sz w:val="28"/>
          <w:szCs w:val="28"/>
          <w:lang w:eastAsia="ru-RU"/>
        </w:rPr>
        <w:t>.</w:t>
      </w:r>
    </w:p>
    <w:p w14:paraId="19FD4DC1" w14:textId="60442610" w:rsidR="00B67406" w:rsidRPr="00FD7B0B" w:rsidRDefault="00B67406" w:rsidP="00B67406">
      <w:pPr>
        <w:spacing w:after="0" w:line="320" w:lineRule="atLeast"/>
        <w:jc w:val="both"/>
        <w:rPr>
          <w:rFonts w:ascii="Times New Roman" w:eastAsia="Times New Roman" w:hAnsi="Times New Roman"/>
          <w:sz w:val="28"/>
          <w:szCs w:val="28"/>
          <w:lang w:eastAsia="ru-RU"/>
        </w:rPr>
      </w:pPr>
      <w:r w:rsidRPr="00FD7B0B">
        <w:rPr>
          <w:rFonts w:ascii="Times New Roman" w:eastAsia="Times New Roman" w:hAnsi="Times New Roman"/>
          <w:noProof/>
          <w:sz w:val="28"/>
          <w:szCs w:val="28"/>
          <w:lang w:eastAsia="ru-RU"/>
        </w:rPr>
        <w:lastRenderedPageBreak/>
        <w:drawing>
          <wp:inline distT="0" distB="0" distL="0" distR="0" wp14:anchorId="0557165B" wp14:editId="2D383489">
            <wp:extent cx="5937885" cy="3395980"/>
            <wp:effectExtent l="0" t="0" r="571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7885" cy="3395980"/>
                    </a:xfrm>
                    <a:prstGeom prst="rect">
                      <a:avLst/>
                    </a:prstGeom>
                    <a:noFill/>
                  </pic:spPr>
                </pic:pic>
              </a:graphicData>
            </a:graphic>
          </wp:inline>
        </w:drawing>
      </w:r>
    </w:p>
    <w:p w14:paraId="049FE808" w14:textId="77777777" w:rsidR="00A51B25" w:rsidRPr="00FD7B0B" w:rsidRDefault="00A51B25" w:rsidP="00A51B2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27</w:t>
      </w:r>
      <w:r w:rsidRPr="00FD7B0B">
        <w:rPr>
          <w:rFonts w:ascii="Times New Roman" w:hAnsi="Times New Roman"/>
          <w:b w:val="0"/>
          <w:sz w:val="24"/>
          <w:szCs w:val="24"/>
        </w:rPr>
        <w:fldChar w:fldCharType="end"/>
      </w:r>
      <w:r w:rsidRPr="00FD7B0B">
        <w:rPr>
          <w:rFonts w:ascii="Times New Roman" w:hAnsi="Times New Roman"/>
          <w:b w:val="0"/>
          <w:sz w:val="24"/>
          <w:szCs w:val="24"/>
        </w:rPr>
        <w:t>. Динамика роста объема средств субсидии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 и объемов поставленной тепловой энергии за 2020-2024 годы</w:t>
      </w:r>
    </w:p>
    <w:p w14:paraId="05952BFD"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46C53B69"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Потребность в средствах субсидии ∆Т за 2024 год составила в сумме </w:t>
      </w:r>
      <w:r w:rsidRPr="00FD7B0B">
        <w:rPr>
          <w:rFonts w:ascii="Times New Roman" w:eastAsia="Times New Roman" w:hAnsi="Times New Roman"/>
          <w:sz w:val="28"/>
          <w:szCs w:val="28"/>
          <w:lang w:eastAsia="ru-RU"/>
        </w:rPr>
        <w:br/>
        <w:t xml:space="preserve">7 769,4 млн.руб. (с учетом кредиторской задолженности на 01.01.2024 </w:t>
      </w:r>
      <w:r w:rsidRPr="00FD7B0B">
        <w:rPr>
          <w:rFonts w:ascii="Times New Roman" w:eastAsia="Times New Roman" w:hAnsi="Times New Roman"/>
          <w:sz w:val="28"/>
          <w:szCs w:val="28"/>
          <w:lang w:eastAsia="ru-RU"/>
        </w:rPr>
        <w:br/>
        <w:t>в размере 1 690,3 млн.руб.) или 142,3 % к уровню 2023 года, выплачено средств из областного бюджета, нарастающим итогом с начала 2024 года – 5 205,6 млн.руб., при этом кредиторская задолженность на 01.01.2025 составила 2 563,9 млн.руб. (в т.ч. за июль – ноябрь 2024 года – 1 676,6 млн.руб.).</w:t>
      </w:r>
    </w:p>
    <w:p w14:paraId="17851552"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Факторный анализ отклонений (без учета кредиторской задолженности) в разрезе базовых величин для расчета размера субсидии ∆Т (тепловая энергия, теплоноситель) представлен в таблицах ниже:</w:t>
      </w:r>
    </w:p>
    <w:p w14:paraId="678FAD06" w14:textId="77777777" w:rsidR="00A51B25" w:rsidRPr="00FD7B0B" w:rsidRDefault="00A51B25" w:rsidP="00A51B25">
      <w:pPr>
        <w:spacing w:after="0" w:line="320" w:lineRule="atLeast"/>
        <w:ind w:firstLine="709"/>
        <w:jc w:val="right"/>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Тепловая энергия</w:t>
      </w:r>
    </w:p>
    <w:tbl>
      <w:tblPr>
        <w:tblW w:w="9640" w:type="dxa"/>
        <w:tblInd w:w="-165" w:type="dxa"/>
        <w:tblLayout w:type="fixed"/>
        <w:tblLook w:val="04A0" w:firstRow="1" w:lastRow="0" w:firstColumn="1" w:lastColumn="0" w:noHBand="0" w:noVBand="1"/>
      </w:tblPr>
      <w:tblGrid>
        <w:gridCol w:w="851"/>
        <w:gridCol w:w="687"/>
        <w:gridCol w:w="731"/>
        <w:gridCol w:w="709"/>
        <w:gridCol w:w="621"/>
        <w:gridCol w:w="796"/>
        <w:gridCol w:w="676"/>
        <w:gridCol w:w="11"/>
        <w:gridCol w:w="687"/>
        <w:gridCol w:w="687"/>
        <w:gridCol w:w="687"/>
        <w:gridCol w:w="687"/>
        <w:gridCol w:w="534"/>
        <w:gridCol w:w="709"/>
        <w:gridCol w:w="567"/>
      </w:tblGrid>
      <w:tr w:rsidR="00FD7B0B" w:rsidRPr="00FD7B0B" w14:paraId="4277C666" w14:textId="77777777" w:rsidTr="00B67406">
        <w:trPr>
          <w:trHeight w:val="167"/>
        </w:trPr>
        <w:tc>
          <w:tcPr>
            <w:tcW w:w="851"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0DEDAEE7"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Период</w:t>
            </w:r>
          </w:p>
        </w:tc>
        <w:tc>
          <w:tcPr>
            <w:tcW w:w="2127" w:type="dxa"/>
            <w:gridSpan w:val="3"/>
            <w:tcBorders>
              <w:top w:val="double" w:sz="6" w:space="0" w:color="auto"/>
              <w:left w:val="nil"/>
              <w:bottom w:val="single" w:sz="4" w:space="0" w:color="auto"/>
              <w:right w:val="single" w:sz="4" w:space="0" w:color="auto"/>
            </w:tcBorders>
            <w:shd w:val="clear" w:color="auto" w:fill="auto"/>
            <w:noWrap/>
            <w:vAlign w:val="center"/>
            <w:hideMark/>
          </w:tcPr>
          <w:p w14:paraId="725B80B9"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w:t>
            </w:r>
          </w:p>
        </w:tc>
        <w:tc>
          <w:tcPr>
            <w:tcW w:w="2093" w:type="dxa"/>
            <w:gridSpan w:val="3"/>
            <w:tcBorders>
              <w:top w:val="double" w:sz="6" w:space="0" w:color="auto"/>
              <w:left w:val="nil"/>
              <w:bottom w:val="single" w:sz="4" w:space="0" w:color="auto"/>
              <w:right w:val="single" w:sz="4" w:space="0" w:color="auto"/>
            </w:tcBorders>
            <w:shd w:val="clear" w:color="auto" w:fill="auto"/>
            <w:noWrap/>
            <w:vAlign w:val="center"/>
            <w:hideMark/>
          </w:tcPr>
          <w:p w14:paraId="3B662AE0"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w:t>
            </w:r>
          </w:p>
        </w:tc>
        <w:tc>
          <w:tcPr>
            <w:tcW w:w="4569" w:type="dxa"/>
            <w:gridSpan w:val="8"/>
            <w:tcBorders>
              <w:top w:val="double" w:sz="6" w:space="0" w:color="auto"/>
              <w:left w:val="nil"/>
              <w:bottom w:val="single" w:sz="4" w:space="0" w:color="auto"/>
              <w:right w:val="double" w:sz="6" w:space="0" w:color="000000"/>
            </w:tcBorders>
            <w:shd w:val="clear" w:color="auto" w:fill="auto"/>
            <w:noWrap/>
            <w:vAlign w:val="center"/>
            <w:hideMark/>
          </w:tcPr>
          <w:p w14:paraId="59879BFB"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Изменение</w:t>
            </w:r>
          </w:p>
        </w:tc>
      </w:tr>
      <w:tr w:rsidR="00FD7B0B" w:rsidRPr="00FD7B0B" w14:paraId="69F6A75E" w14:textId="77777777" w:rsidTr="00A51B25">
        <w:trPr>
          <w:trHeight w:val="1092"/>
        </w:trPr>
        <w:tc>
          <w:tcPr>
            <w:tcW w:w="851" w:type="dxa"/>
            <w:vMerge/>
            <w:tcBorders>
              <w:top w:val="double" w:sz="6" w:space="0" w:color="auto"/>
              <w:left w:val="double" w:sz="6" w:space="0" w:color="auto"/>
              <w:bottom w:val="single" w:sz="4" w:space="0" w:color="auto"/>
              <w:right w:val="single" w:sz="4" w:space="0" w:color="auto"/>
            </w:tcBorders>
            <w:vAlign w:val="center"/>
            <w:hideMark/>
          </w:tcPr>
          <w:p w14:paraId="08030535"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B8709"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тыс. Гкал</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44A85ABB" w14:textId="77777777" w:rsidR="00A51B25" w:rsidRPr="00FD7B0B" w:rsidRDefault="00A51B25" w:rsidP="00A51B25">
            <w:pPr>
              <w:spacing w:after="0" w:line="240" w:lineRule="auto"/>
              <w:ind w:left="-102" w:right="-28"/>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межтарифная разница, руб./ Гкал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9AD988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Сумма субсидии, млн.руб.</w:t>
            </w:r>
          </w:p>
        </w:tc>
        <w:tc>
          <w:tcPr>
            <w:tcW w:w="621" w:type="dxa"/>
            <w:tcBorders>
              <w:top w:val="single" w:sz="4" w:space="0" w:color="auto"/>
              <w:left w:val="nil"/>
              <w:bottom w:val="single" w:sz="4" w:space="0" w:color="auto"/>
              <w:right w:val="single" w:sz="4" w:space="0" w:color="auto"/>
            </w:tcBorders>
            <w:shd w:val="clear" w:color="auto" w:fill="auto"/>
            <w:vAlign w:val="center"/>
            <w:hideMark/>
          </w:tcPr>
          <w:p w14:paraId="63C0DEF6"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тыс. .Гкал</w:t>
            </w:r>
          </w:p>
        </w:tc>
        <w:tc>
          <w:tcPr>
            <w:tcW w:w="796" w:type="dxa"/>
            <w:tcBorders>
              <w:top w:val="single" w:sz="4" w:space="0" w:color="auto"/>
              <w:left w:val="nil"/>
              <w:bottom w:val="single" w:sz="4" w:space="0" w:color="auto"/>
              <w:right w:val="single" w:sz="4" w:space="0" w:color="auto"/>
            </w:tcBorders>
            <w:shd w:val="clear" w:color="auto" w:fill="auto"/>
            <w:vAlign w:val="center"/>
            <w:hideMark/>
          </w:tcPr>
          <w:p w14:paraId="7936697E"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межтарифная разница, руб./ .Гкал (средний)</w:t>
            </w:r>
          </w:p>
        </w:tc>
        <w:tc>
          <w:tcPr>
            <w:tcW w:w="687" w:type="dxa"/>
            <w:gridSpan w:val="2"/>
            <w:tcBorders>
              <w:top w:val="single" w:sz="4" w:space="0" w:color="auto"/>
              <w:left w:val="nil"/>
              <w:bottom w:val="single" w:sz="4" w:space="0" w:color="auto"/>
              <w:right w:val="single" w:sz="4" w:space="0" w:color="auto"/>
            </w:tcBorders>
            <w:shd w:val="clear" w:color="auto" w:fill="auto"/>
            <w:vAlign w:val="center"/>
            <w:hideMark/>
          </w:tcPr>
          <w:p w14:paraId="3779F6B8"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5CFAB2B4" w14:textId="19554CCC" w:rsidR="00A51B25" w:rsidRPr="00FD7B0B" w:rsidRDefault="00A51B25" w:rsidP="00380F04">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тыс. Гкал</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18A696A2" w14:textId="786FFDAE" w:rsidR="00A51B25" w:rsidRPr="00FD7B0B" w:rsidRDefault="00A51B25" w:rsidP="00380F04">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межтарифная разница, руб./ Гкал (средний)</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49ED8644"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3844A822"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т.ч. за счет объема, млн.руб.</w:t>
            </w:r>
          </w:p>
        </w:tc>
        <w:tc>
          <w:tcPr>
            <w:tcW w:w="534" w:type="dxa"/>
            <w:tcBorders>
              <w:top w:val="single" w:sz="4" w:space="0" w:color="auto"/>
              <w:left w:val="nil"/>
              <w:bottom w:val="single" w:sz="4" w:space="0" w:color="auto"/>
              <w:right w:val="single" w:sz="4" w:space="0" w:color="auto"/>
            </w:tcBorders>
            <w:shd w:val="clear" w:color="auto" w:fill="auto"/>
            <w:vAlign w:val="center"/>
            <w:hideMark/>
          </w:tcPr>
          <w:p w14:paraId="3CF2FA7E"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0807AF4"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т.ч. за счет межтарифной разницы, млн.руб.</w:t>
            </w:r>
          </w:p>
        </w:tc>
        <w:tc>
          <w:tcPr>
            <w:tcW w:w="567" w:type="dxa"/>
            <w:tcBorders>
              <w:top w:val="nil"/>
              <w:left w:val="single" w:sz="4" w:space="0" w:color="auto"/>
              <w:bottom w:val="single" w:sz="4" w:space="0" w:color="auto"/>
              <w:right w:val="double" w:sz="6" w:space="0" w:color="auto"/>
            </w:tcBorders>
            <w:shd w:val="clear" w:color="auto" w:fill="auto"/>
            <w:vAlign w:val="center"/>
            <w:hideMark/>
          </w:tcPr>
          <w:p w14:paraId="6BF9D1E8"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3C4DAE4C" w14:textId="77777777" w:rsidTr="00A51B25">
        <w:trPr>
          <w:trHeight w:val="300"/>
        </w:trPr>
        <w:tc>
          <w:tcPr>
            <w:tcW w:w="851" w:type="dxa"/>
            <w:tcBorders>
              <w:top w:val="nil"/>
              <w:left w:val="double" w:sz="6" w:space="0" w:color="auto"/>
              <w:bottom w:val="single" w:sz="4" w:space="0" w:color="auto"/>
              <w:right w:val="single" w:sz="4" w:space="0" w:color="auto"/>
            </w:tcBorders>
            <w:shd w:val="clear" w:color="auto" w:fill="auto"/>
            <w:noWrap/>
            <w:vAlign w:val="center"/>
            <w:hideMark/>
          </w:tcPr>
          <w:p w14:paraId="367FA52E"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январь-июнь</w:t>
            </w:r>
          </w:p>
        </w:tc>
        <w:tc>
          <w:tcPr>
            <w:tcW w:w="687" w:type="dxa"/>
            <w:tcBorders>
              <w:top w:val="nil"/>
              <w:left w:val="single" w:sz="4" w:space="0" w:color="auto"/>
              <w:bottom w:val="single" w:sz="4" w:space="0" w:color="auto"/>
              <w:right w:val="single" w:sz="4" w:space="0" w:color="auto"/>
            </w:tcBorders>
            <w:shd w:val="clear" w:color="auto" w:fill="auto"/>
            <w:noWrap/>
            <w:vAlign w:val="center"/>
            <w:hideMark/>
          </w:tcPr>
          <w:p w14:paraId="59F09BFE"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2 816</w:t>
            </w:r>
          </w:p>
        </w:tc>
        <w:tc>
          <w:tcPr>
            <w:tcW w:w="731" w:type="dxa"/>
            <w:tcBorders>
              <w:top w:val="nil"/>
              <w:left w:val="nil"/>
              <w:bottom w:val="single" w:sz="4" w:space="0" w:color="auto"/>
              <w:right w:val="single" w:sz="4" w:space="0" w:color="auto"/>
            </w:tcBorders>
            <w:shd w:val="clear" w:color="auto" w:fill="auto"/>
            <w:noWrap/>
            <w:vAlign w:val="center"/>
            <w:hideMark/>
          </w:tcPr>
          <w:p w14:paraId="7E9D47A5"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1 008,44</w:t>
            </w:r>
          </w:p>
        </w:tc>
        <w:tc>
          <w:tcPr>
            <w:tcW w:w="709" w:type="dxa"/>
            <w:tcBorders>
              <w:top w:val="nil"/>
              <w:left w:val="nil"/>
              <w:bottom w:val="single" w:sz="4" w:space="0" w:color="auto"/>
              <w:right w:val="single" w:sz="4" w:space="0" w:color="auto"/>
            </w:tcBorders>
            <w:shd w:val="clear" w:color="auto" w:fill="auto"/>
            <w:noWrap/>
            <w:vAlign w:val="center"/>
            <w:hideMark/>
          </w:tcPr>
          <w:p w14:paraId="72D2861D"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2 839,8</w:t>
            </w:r>
          </w:p>
        </w:tc>
        <w:tc>
          <w:tcPr>
            <w:tcW w:w="621" w:type="dxa"/>
            <w:tcBorders>
              <w:top w:val="nil"/>
              <w:left w:val="nil"/>
              <w:bottom w:val="single" w:sz="4" w:space="0" w:color="auto"/>
              <w:right w:val="single" w:sz="4" w:space="0" w:color="auto"/>
            </w:tcBorders>
            <w:shd w:val="clear" w:color="auto" w:fill="auto"/>
            <w:noWrap/>
            <w:vAlign w:val="center"/>
            <w:hideMark/>
          </w:tcPr>
          <w:p w14:paraId="11700C6F"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3 048</w:t>
            </w:r>
          </w:p>
        </w:tc>
        <w:tc>
          <w:tcPr>
            <w:tcW w:w="796" w:type="dxa"/>
            <w:tcBorders>
              <w:top w:val="nil"/>
              <w:left w:val="nil"/>
              <w:bottom w:val="single" w:sz="4" w:space="0" w:color="auto"/>
              <w:right w:val="single" w:sz="4" w:space="0" w:color="auto"/>
            </w:tcBorders>
            <w:shd w:val="clear" w:color="auto" w:fill="auto"/>
            <w:noWrap/>
            <w:vAlign w:val="center"/>
            <w:hideMark/>
          </w:tcPr>
          <w:p w14:paraId="1299C895"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1 062,00</w:t>
            </w:r>
          </w:p>
        </w:tc>
        <w:tc>
          <w:tcPr>
            <w:tcW w:w="687" w:type="dxa"/>
            <w:gridSpan w:val="2"/>
            <w:tcBorders>
              <w:top w:val="nil"/>
              <w:left w:val="nil"/>
              <w:bottom w:val="single" w:sz="4" w:space="0" w:color="auto"/>
              <w:right w:val="single" w:sz="4" w:space="0" w:color="auto"/>
            </w:tcBorders>
            <w:shd w:val="clear" w:color="auto" w:fill="auto"/>
            <w:noWrap/>
            <w:vAlign w:val="center"/>
            <w:hideMark/>
          </w:tcPr>
          <w:p w14:paraId="30B0AFD5"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3 237,0</w:t>
            </w:r>
          </w:p>
        </w:tc>
        <w:tc>
          <w:tcPr>
            <w:tcW w:w="687" w:type="dxa"/>
            <w:tcBorders>
              <w:top w:val="nil"/>
              <w:left w:val="nil"/>
              <w:bottom w:val="single" w:sz="4" w:space="0" w:color="auto"/>
              <w:right w:val="single" w:sz="4" w:space="0" w:color="auto"/>
            </w:tcBorders>
            <w:shd w:val="clear" w:color="auto" w:fill="auto"/>
            <w:noWrap/>
            <w:vAlign w:val="center"/>
            <w:hideMark/>
          </w:tcPr>
          <w:p w14:paraId="05563E99"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232 </w:t>
            </w:r>
          </w:p>
        </w:tc>
        <w:tc>
          <w:tcPr>
            <w:tcW w:w="687" w:type="dxa"/>
            <w:tcBorders>
              <w:top w:val="nil"/>
              <w:left w:val="nil"/>
              <w:bottom w:val="single" w:sz="4" w:space="0" w:color="auto"/>
              <w:right w:val="single" w:sz="4" w:space="0" w:color="auto"/>
            </w:tcBorders>
            <w:shd w:val="clear" w:color="auto" w:fill="auto"/>
            <w:noWrap/>
            <w:vAlign w:val="center"/>
            <w:hideMark/>
          </w:tcPr>
          <w:p w14:paraId="58AC1A3E"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53,56 </w:t>
            </w:r>
          </w:p>
        </w:tc>
        <w:tc>
          <w:tcPr>
            <w:tcW w:w="687" w:type="dxa"/>
            <w:tcBorders>
              <w:top w:val="nil"/>
              <w:left w:val="nil"/>
              <w:bottom w:val="single" w:sz="4" w:space="0" w:color="auto"/>
              <w:right w:val="single" w:sz="4" w:space="0" w:color="auto"/>
            </w:tcBorders>
            <w:shd w:val="clear" w:color="auto" w:fill="auto"/>
            <w:noWrap/>
            <w:vAlign w:val="center"/>
            <w:hideMark/>
          </w:tcPr>
          <w:p w14:paraId="5D77B23C"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397,2 </w:t>
            </w:r>
          </w:p>
        </w:tc>
        <w:tc>
          <w:tcPr>
            <w:tcW w:w="687" w:type="dxa"/>
            <w:tcBorders>
              <w:top w:val="nil"/>
              <w:left w:val="nil"/>
              <w:bottom w:val="single" w:sz="4" w:space="0" w:color="auto"/>
              <w:right w:val="single" w:sz="4" w:space="0" w:color="auto"/>
            </w:tcBorders>
            <w:shd w:val="clear" w:color="auto" w:fill="auto"/>
            <w:noWrap/>
            <w:vAlign w:val="center"/>
            <w:hideMark/>
          </w:tcPr>
          <w:p w14:paraId="53FD8F59"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246,4 </w:t>
            </w:r>
          </w:p>
        </w:tc>
        <w:tc>
          <w:tcPr>
            <w:tcW w:w="534" w:type="dxa"/>
            <w:tcBorders>
              <w:top w:val="nil"/>
              <w:left w:val="nil"/>
              <w:bottom w:val="single" w:sz="4" w:space="0" w:color="auto"/>
              <w:right w:val="single" w:sz="4" w:space="0" w:color="auto"/>
            </w:tcBorders>
            <w:shd w:val="clear" w:color="auto" w:fill="auto"/>
            <w:noWrap/>
            <w:vAlign w:val="center"/>
            <w:hideMark/>
          </w:tcPr>
          <w:p w14:paraId="41712438"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62,0 </w:t>
            </w:r>
          </w:p>
        </w:tc>
        <w:tc>
          <w:tcPr>
            <w:tcW w:w="709" w:type="dxa"/>
            <w:tcBorders>
              <w:top w:val="nil"/>
              <w:left w:val="nil"/>
              <w:bottom w:val="single" w:sz="4" w:space="0" w:color="auto"/>
              <w:right w:val="single" w:sz="4" w:space="0" w:color="auto"/>
            </w:tcBorders>
            <w:shd w:val="clear" w:color="auto" w:fill="auto"/>
            <w:noWrap/>
            <w:vAlign w:val="center"/>
            <w:hideMark/>
          </w:tcPr>
          <w:p w14:paraId="2C875ED9"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150,8</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604E70E3"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38,0 </w:t>
            </w:r>
          </w:p>
        </w:tc>
      </w:tr>
      <w:tr w:rsidR="00FD7B0B" w:rsidRPr="00FD7B0B" w14:paraId="6D11F78D" w14:textId="77777777" w:rsidTr="00A51B25">
        <w:trPr>
          <w:trHeight w:val="300"/>
        </w:trPr>
        <w:tc>
          <w:tcPr>
            <w:tcW w:w="851" w:type="dxa"/>
            <w:tcBorders>
              <w:top w:val="nil"/>
              <w:left w:val="double" w:sz="6" w:space="0" w:color="auto"/>
              <w:bottom w:val="single" w:sz="4" w:space="0" w:color="auto"/>
              <w:right w:val="single" w:sz="4" w:space="0" w:color="auto"/>
            </w:tcBorders>
            <w:shd w:val="clear" w:color="auto" w:fill="auto"/>
            <w:noWrap/>
            <w:vAlign w:val="center"/>
            <w:hideMark/>
          </w:tcPr>
          <w:p w14:paraId="0B2480CA"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июль-декабрь</w:t>
            </w:r>
          </w:p>
        </w:tc>
        <w:tc>
          <w:tcPr>
            <w:tcW w:w="687" w:type="dxa"/>
            <w:tcBorders>
              <w:top w:val="nil"/>
              <w:left w:val="single" w:sz="4" w:space="0" w:color="auto"/>
              <w:bottom w:val="single" w:sz="4" w:space="0" w:color="auto"/>
              <w:right w:val="single" w:sz="4" w:space="0" w:color="auto"/>
            </w:tcBorders>
            <w:shd w:val="clear" w:color="auto" w:fill="auto"/>
            <w:noWrap/>
            <w:vAlign w:val="center"/>
            <w:hideMark/>
          </w:tcPr>
          <w:p w14:paraId="126D7D6F"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1 930</w:t>
            </w:r>
          </w:p>
        </w:tc>
        <w:tc>
          <w:tcPr>
            <w:tcW w:w="731" w:type="dxa"/>
            <w:tcBorders>
              <w:top w:val="nil"/>
              <w:left w:val="nil"/>
              <w:bottom w:val="single" w:sz="4" w:space="0" w:color="auto"/>
              <w:right w:val="single" w:sz="4" w:space="0" w:color="auto"/>
            </w:tcBorders>
            <w:shd w:val="clear" w:color="auto" w:fill="auto"/>
            <w:noWrap/>
            <w:vAlign w:val="center"/>
            <w:hideMark/>
          </w:tcPr>
          <w:p w14:paraId="0D71B9B5"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1 036,80</w:t>
            </w:r>
          </w:p>
        </w:tc>
        <w:tc>
          <w:tcPr>
            <w:tcW w:w="709" w:type="dxa"/>
            <w:tcBorders>
              <w:top w:val="nil"/>
              <w:left w:val="nil"/>
              <w:bottom w:val="single" w:sz="4" w:space="0" w:color="auto"/>
              <w:right w:val="single" w:sz="4" w:space="0" w:color="auto"/>
            </w:tcBorders>
            <w:shd w:val="clear" w:color="auto" w:fill="auto"/>
            <w:noWrap/>
            <w:vAlign w:val="center"/>
            <w:hideMark/>
          </w:tcPr>
          <w:p w14:paraId="5EEE18F0"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2 000,9</w:t>
            </w:r>
          </w:p>
        </w:tc>
        <w:tc>
          <w:tcPr>
            <w:tcW w:w="621" w:type="dxa"/>
            <w:tcBorders>
              <w:top w:val="nil"/>
              <w:left w:val="nil"/>
              <w:bottom w:val="single" w:sz="4" w:space="0" w:color="auto"/>
              <w:right w:val="single" w:sz="4" w:space="0" w:color="auto"/>
            </w:tcBorders>
            <w:shd w:val="clear" w:color="auto" w:fill="auto"/>
            <w:noWrap/>
            <w:vAlign w:val="center"/>
            <w:hideMark/>
          </w:tcPr>
          <w:p w14:paraId="6F3F9443"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1 738</w:t>
            </w:r>
          </w:p>
        </w:tc>
        <w:tc>
          <w:tcPr>
            <w:tcW w:w="796" w:type="dxa"/>
            <w:tcBorders>
              <w:top w:val="nil"/>
              <w:left w:val="nil"/>
              <w:bottom w:val="single" w:sz="4" w:space="0" w:color="auto"/>
              <w:right w:val="single" w:sz="4" w:space="0" w:color="auto"/>
            </w:tcBorders>
            <w:shd w:val="clear" w:color="auto" w:fill="auto"/>
            <w:noWrap/>
            <w:vAlign w:val="center"/>
            <w:hideMark/>
          </w:tcPr>
          <w:p w14:paraId="7527CFD0"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1 629,14</w:t>
            </w:r>
          </w:p>
        </w:tc>
        <w:tc>
          <w:tcPr>
            <w:tcW w:w="687" w:type="dxa"/>
            <w:gridSpan w:val="2"/>
            <w:tcBorders>
              <w:top w:val="nil"/>
              <w:left w:val="nil"/>
              <w:bottom w:val="single" w:sz="4" w:space="0" w:color="auto"/>
              <w:right w:val="single" w:sz="4" w:space="0" w:color="auto"/>
            </w:tcBorders>
            <w:shd w:val="clear" w:color="auto" w:fill="auto"/>
            <w:noWrap/>
            <w:vAlign w:val="center"/>
            <w:hideMark/>
          </w:tcPr>
          <w:p w14:paraId="135C59F9"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2 831,1</w:t>
            </w:r>
          </w:p>
        </w:tc>
        <w:tc>
          <w:tcPr>
            <w:tcW w:w="687" w:type="dxa"/>
            <w:tcBorders>
              <w:top w:val="nil"/>
              <w:left w:val="nil"/>
              <w:bottom w:val="single" w:sz="4" w:space="0" w:color="auto"/>
              <w:right w:val="single" w:sz="4" w:space="0" w:color="auto"/>
            </w:tcBorders>
            <w:shd w:val="clear" w:color="auto" w:fill="auto"/>
            <w:noWrap/>
            <w:vAlign w:val="center"/>
            <w:hideMark/>
          </w:tcPr>
          <w:p w14:paraId="58F45F3A"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-192 </w:t>
            </w:r>
          </w:p>
        </w:tc>
        <w:tc>
          <w:tcPr>
            <w:tcW w:w="687" w:type="dxa"/>
            <w:tcBorders>
              <w:top w:val="nil"/>
              <w:left w:val="nil"/>
              <w:bottom w:val="single" w:sz="4" w:space="0" w:color="auto"/>
              <w:right w:val="single" w:sz="4" w:space="0" w:color="auto"/>
            </w:tcBorders>
            <w:shd w:val="clear" w:color="auto" w:fill="auto"/>
            <w:noWrap/>
            <w:vAlign w:val="center"/>
            <w:hideMark/>
          </w:tcPr>
          <w:p w14:paraId="31F60FA2"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592,34 </w:t>
            </w:r>
          </w:p>
        </w:tc>
        <w:tc>
          <w:tcPr>
            <w:tcW w:w="687" w:type="dxa"/>
            <w:tcBorders>
              <w:top w:val="nil"/>
              <w:left w:val="nil"/>
              <w:bottom w:val="single" w:sz="4" w:space="0" w:color="auto"/>
              <w:right w:val="single" w:sz="4" w:space="0" w:color="auto"/>
            </w:tcBorders>
            <w:shd w:val="clear" w:color="auto" w:fill="auto"/>
            <w:noWrap/>
            <w:vAlign w:val="center"/>
            <w:hideMark/>
          </w:tcPr>
          <w:p w14:paraId="47C29257"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830,2 </w:t>
            </w:r>
          </w:p>
        </w:tc>
        <w:tc>
          <w:tcPr>
            <w:tcW w:w="687" w:type="dxa"/>
            <w:tcBorders>
              <w:top w:val="nil"/>
              <w:left w:val="nil"/>
              <w:bottom w:val="single" w:sz="4" w:space="0" w:color="auto"/>
              <w:right w:val="single" w:sz="4" w:space="0" w:color="auto"/>
            </w:tcBorders>
            <w:shd w:val="clear" w:color="auto" w:fill="auto"/>
            <w:noWrap/>
            <w:vAlign w:val="center"/>
            <w:hideMark/>
          </w:tcPr>
          <w:p w14:paraId="0E75014E"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-313,0 </w:t>
            </w:r>
          </w:p>
        </w:tc>
        <w:tc>
          <w:tcPr>
            <w:tcW w:w="534" w:type="dxa"/>
            <w:tcBorders>
              <w:top w:val="nil"/>
              <w:left w:val="nil"/>
              <w:bottom w:val="single" w:sz="4" w:space="0" w:color="auto"/>
              <w:right w:val="single" w:sz="4" w:space="0" w:color="auto"/>
            </w:tcBorders>
            <w:shd w:val="clear" w:color="auto" w:fill="auto"/>
            <w:noWrap/>
            <w:vAlign w:val="center"/>
            <w:hideMark/>
          </w:tcPr>
          <w:p w14:paraId="39BFBDD1"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-37,7 </w:t>
            </w:r>
          </w:p>
        </w:tc>
        <w:tc>
          <w:tcPr>
            <w:tcW w:w="709" w:type="dxa"/>
            <w:tcBorders>
              <w:top w:val="nil"/>
              <w:left w:val="nil"/>
              <w:bottom w:val="single" w:sz="4" w:space="0" w:color="auto"/>
              <w:right w:val="single" w:sz="4" w:space="0" w:color="auto"/>
            </w:tcBorders>
            <w:shd w:val="clear" w:color="auto" w:fill="auto"/>
            <w:noWrap/>
            <w:vAlign w:val="center"/>
            <w:hideMark/>
          </w:tcPr>
          <w:p w14:paraId="0BE1C269"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1 143,2 </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6EEBF48F"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137,7 </w:t>
            </w:r>
          </w:p>
        </w:tc>
      </w:tr>
      <w:tr w:rsidR="00FD7B0B" w:rsidRPr="00FD7B0B" w14:paraId="06A15056" w14:textId="77777777" w:rsidTr="00D22B8F">
        <w:trPr>
          <w:trHeight w:val="154"/>
        </w:trPr>
        <w:tc>
          <w:tcPr>
            <w:tcW w:w="851" w:type="dxa"/>
            <w:tcBorders>
              <w:top w:val="nil"/>
              <w:left w:val="double" w:sz="6" w:space="0" w:color="auto"/>
              <w:bottom w:val="double" w:sz="6" w:space="0" w:color="auto"/>
              <w:right w:val="single" w:sz="4" w:space="0" w:color="auto"/>
            </w:tcBorders>
            <w:shd w:val="clear" w:color="auto" w:fill="auto"/>
            <w:noWrap/>
            <w:vAlign w:val="center"/>
            <w:hideMark/>
          </w:tcPr>
          <w:p w14:paraId="6552C1C0"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ИТОГО</w:t>
            </w:r>
          </w:p>
        </w:tc>
        <w:tc>
          <w:tcPr>
            <w:tcW w:w="687" w:type="dxa"/>
            <w:tcBorders>
              <w:top w:val="nil"/>
              <w:left w:val="single" w:sz="4" w:space="0" w:color="auto"/>
              <w:bottom w:val="double" w:sz="6" w:space="0" w:color="auto"/>
              <w:right w:val="single" w:sz="4" w:space="0" w:color="auto"/>
            </w:tcBorders>
            <w:shd w:val="clear" w:color="auto" w:fill="auto"/>
            <w:noWrap/>
            <w:hideMark/>
          </w:tcPr>
          <w:p w14:paraId="32DFC163" w14:textId="77777777" w:rsidR="00A51B25" w:rsidRPr="00FD7B0B" w:rsidRDefault="00A51B25" w:rsidP="00A51B25">
            <w:pPr>
              <w:spacing w:after="0" w:line="240" w:lineRule="auto"/>
              <w:ind w:left="-108" w:right="-54"/>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4 746</w:t>
            </w:r>
          </w:p>
        </w:tc>
        <w:tc>
          <w:tcPr>
            <w:tcW w:w="731" w:type="dxa"/>
            <w:tcBorders>
              <w:top w:val="nil"/>
              <w:left w:val="nil"/>
              <w:bottom w:val="double" w:sz="6" w:space="0" w:color="auto"/>
              <w:right w:val="single" w:sz="4" w:space="0" w:color="auto"/>
            </w:tcBorders>
            <w:shd w:val="clear" w:color="auto" w:fill="auto"/>
            <w:noWrap/>
            <w:hideMark/>
          </w:tcPr>
          <w:p w14:paraId="4D0AB640" w14:textId="77777777" w:rsidR="00A51B25" w:rsidRPr="00FD7B0B" w:rsidRDefault="00A51B25" w:rsidP="00A51B25">
            <w:pPr>
              <w:spacing w:after="0" w:line="240" w:lineRule="auto"/>
              <w:ind w:left="-108" w:right="-54"/>
              <w:jc w:val="center"/>
              <w:rPr>
                <w:rFonts w:ascii="Times New Roman" w:eastAsia="Times New Roman" w:hAnsi="Times New Roman" w:cs="Times New Roman"/>
                <w:b/>
                <w:bCs/>
                <w:sz w:val="18"/>
                <w:szCs w:val="18"/>
                <w:lang w:eastAsia="ru-RU"/>
              </w:rPr>
            </w:pPr>
          </w:p>
        </w:tc>
        <w:tc>
          <w:tcPr>
            <w:tcW w:w="709" w:type="dxa"/>
            <w:tcBorders>
              <w:top w:val="nil"/>
              <w:left w:val="nil"/>
              <w:bottom w:val="double" w:sz="6" w:space="0" w:color="auto"/>
              <w:right w:val="single" w:sz="4" w:space="0" w:color="auto"/>
            </w:tcBorders>
            <w:shd w:val="clear" w:color="auto" w:fill="auto"/>
            <w:noWrap/>
            <w:hideMark/>
          </w:tcPr>
          <w:p w14:paraId="2EFE9370" w14:textId="77777777" w:rsidR="00A51B25" w:rsidRPr="00FD7B0B" w:rsidRDefault="00A51B25" w:rsidP="00A51B25">
            <w:pPr>
              <w:spacing w:after="0" w:line="240" w:lineRule="auto"/>
              <w:ind w:left="-108" w:right="-54"/>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4 840,7</w:t>
            </w:r>
          </w:p>
        </w:tc>
        <w:tc>
          <w:tcPr>
            <w:tcW w:w="621" w:type="dxa"/>
            <w:tcBorders>
              <w:top w:val="nil"/>
              <w:left w:val="nil"/>
              <w:bottom w:val="double" w:sz="6" w:space="0" w:color="auto"/>
              <w:right w:val="single" w:sz="4" w:space="0" w:color="auto"/>
            </w:tcBorders>
            <w:shd w:val="clear" w:color="auto" w:fill="auto"/>
            <w:noWrap/>
            <w:hideMark/>
          </w:tcPr>
          <w:p w14:paraId="776AEF86"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4 786</w:t>
            </w:r>
          </w:p>
        </w:tc>
        <w:tc>
          <w:tcPr>
            <w:tcW w:w="796" w:type="dxa"/>
            <w:tcBorders>
              <w:top w:val="nil"/>
              <w:left w:val="nil"/>
              <w:bottom w:val="double" w:sz="6" w:space="0" w:color="auto"/>
              <w:right w:val="single" w:sz="4" w:space="0" w:color="auto"/>
            </w:tcBorders>
            <w:shd w:val="clear" w:color="auto" w:fill="auto"/>
            <w:noWrap/>
            <w:hideMark/>
          </w:tcPr>
          <w:p w14:paraId="5C73DE97"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p>
        </w:tc>
        <w:tc>
          <w:tcPr>
            <w:tcW w:w="687" w:type="dxa"/>
            <w:gridSpan w:val="2"/>
            <w:tcBorders>
              <w:top w:val="nil"/>
              <w:left w:val="nil"/>
              <w:bottom w:val="double" w:sz="6" w:space="0" w:color="auto"/>
              <w:right w:val="single" w:sz="4" w:space="0" w:color="auto"/>
            </w:tcBorders>
            <w:shd w:val="clear" w:color="auto" w:fill="auto"/>
            <w:noWrap/>
            <w:hideMark/>
          </w:tcPr>
          <w:p w14:paraId="642F2AE2"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6 068,1</w:t>
            </w:r>
          </w:p>
        </w:tc>
        <w:tc>
          <w:tcPr>
            <w:tcW w:w="687" w:type="dxa"/>
            <w:tcBorders>
              <w:top w:val="nil"/>
              <w:left w:val="nil"/>
              <w:bottom w:val="double" w:sz="6" w:space="0" w:color="auto"/>
              <w:right w:val="single" w:sz="4" w:space="0" w:color="auto"/>
            </w:tcBorders>
            <w:shd w:val="clear" w:color="auto" w:fill="auto"/>
            <w:noWrap/>
            <w:hideMark/>
          </w:tcPr>
          <w:p w14:paraId="008D0CC0"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xml:space="preserve">41 </w:t>
            </w:r>
          </w:p>
        </w:tc>
        <w:tc>
          <w:tcPr>
            <w:tcW w:w="687" w:type="dxa"/>
            <w:tcBorders>
              <w:top w:val="nil"/>
              <w:left w:val="nil"/>
              <w:bottom w:val="double" w:sz="6" w:space="0" w:color="auto"/>
              <w:right w:val="single" w:sz="4" w:space="0" w:color="auto"/>
            </w:tcBorders>
            <w:shd w:val="clear" w:color="auto" w:fill="auto"/>
            <w:noWrap/>
            <w:hideMark/>
          </w:tcPr>
          <w:p w14:paraId="3E2EE3C3"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p>
        </w:tc>
        <w:tc>
          <w:tcPr>
            <w:tcW w:w="687" w:type="dxa"/>
            <w:tcBorders>
              <w:top w:val="nil"/>
              <w:left w:val="nil"/>
              <w:bottom w:val="double" w:sz="6" w:space="0" w:color="auto"/>
              <w:right w:val="single" w:sz="4" w:space="0" w:color="auto"/>
            </w:tcBorders>
            <w:shd w:val="clear" w:color="auto" w:fill="auto"/>
            <w:noWrap/>
            <w:hideMark/>
          </w:tcPr>
          <w:p w14:paraId="27E48AA8"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xml:space="preserve">1 227,4 </w:t>
            </w:r>
          </w:p>
        </w:tc>
        <w:tc>
          <w:tcPr>
            <w:tcW w:w="687" w:type="dxa"/>
            <w:tcBorders>
              <w:top w:val="nil"/>
              <w:left w:val="nil"/>
              <w:bottom w:val="double" w:sz="6" w:space="0" w:color="auto"/>
              <w:right w:val="single" w:sz="4" w:space="0" w:color="auto"/>
            </w:tcBorders>
            <w:shd w:val="clear" w:color="auto" w:fill="auto"/>
            <w:noWrap/>
            <w:hideMark/>
          </w:tcPr>
          <w:p w14:paraId="05A813AB"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xml:space="preserve">-66,6 </w:t>
            </w:r>
          </w:p>
        </w:tc>
        <w:tc>
          <w:tcPr>
            <w:tcW w:w="534" w:type="dxa"/>
            <w:tcBorders>
              <w:top w:val="nil"/>
              <w:left w:val="nil"/>
              <w:bottom w:val="double" w:sz="6" w:space="0" w:color="auto"/>
              <w:right w:val="single" w:sz="4" w:space="0" w:color="auto"/>
            </w:tcBorders>
            <w:shd w:val="clear" w:color="auto" w:fill="auto"/>
            <w:noWrap/>
            <w:hideMark/>
          </w:tcPr>
          <w:p w14:paraId="1C074949"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xml:space="preserve">-5,4 </w:t>
            </w:r>
          </w:p>
        </w:tc>
        <w:tc>
          <w:tcPr>
            <w:tcW w:w="709" w:type="dxa"/>
            <w:tcBorders>
              <w:top w:val="nil"/>
              <w:left w:val="nil"/>
              <w:bottom w:val="double" w:sz="6" w:space="0" w:color="auto"/>
              <w:right w:val="single" w:sz="4" w:space="0" w:color="auto"/>
            </w:tcBorders>
            <w:shd w:val="clear" w:color="auto" w:fill="auto"/>
            <w:noWrap/>
            <w:hideMark/>
          </w:tcPr>
          <w:p w14:paraId="5E9337E8"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xml:space="preserve">1 294,0 </w:t>
            </w:r>
          </w:p>
        </w:tc>
        <w:tc>
          <w:tcPr>
            <w:tcW w:w="567" w:type="dxa"/>
            <w:tcBorders>
              <w:top w:val="nil"/>
              <w:left w:val="single" w:sz="4" w:space="0" w:color="auto"/>
              <w:bottom w:val="double" w:sz="6" w:space="0" w:color="auto"/>
              <w:right w:val="double" w:sz="6" w:space="0" w:color="auto"/>
            </w:tcBorders>
            <w:shd w:val="clear" w:color="auto" w:fill="auto"/>
            <w:noWrap/>
            <w:hideMark/>
          </w:tcPr>
          <w:p w14:paraId="50D49692" w14:textId="77777777" w:rsidR="00A51B25" w:rsidRPr="00FD7B0B" w:rsidRDefault="00A51B25" w:rsidP="00A51B25">
            <w:pPr>
              <w:spacing w:after="0" w:line="240" w:lineRule="auto"/>
              <w:ind w:left="-108" w:right="-54"/>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xml:space="preserve">105,5 </w:t>
            </w:r>
          </w:p>
        </w:tc>
      </w:tr>
    </w:tbl>
    <w:p w14:paraId="759398EE" w14:textId="77777777" w:rsidR="00A51B25" w:rsidRPr="00FD7B0B" w:rsidRDefault="00A51B25" w:rsidP="00A51B25">
      <w:pPr>
        <w:spacing w:after="0" w:line="320" w:lineRule="atLeast"/>
        <w:ind w:firstLine="709"/>
        <w:jc w:val="right"/>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Теплоноситель</w:t>
      </w:r>
    </w:p>
    <w:tbl>
      <w:tblPr>
        <w:tblW w:w="9782" w:type="dxa"/>
        <w:tblInd w:w="-165" w:type="dxa"/>
        <w:tblLayout w:type="fixed"/>
        <w:tblLook w:val="04A0" w:firstRow="1" w:lastRow="0" w:firstColumn="1" w:lastColumn="0" w:noHBand="0" w:noVBand="1"/>
      </w:tblPr>
      <w:tblGrid>
        <w:gridCol w:w="993"/>
        <w:gridCol w:w="687"/>
        <w:gridCol w:w="731"/>
        <w:gridCol w:w="709"/>
        <w:gridCol w:w="621"/>
        <w:gridCol w:w="796"/>
        <w:gridCol w:w="676"/>
        <w:gridCol w:w="11"/>
        <w:gridCol w:w="687"/>
        <w:gridCol w:w="687"/>
        <w:gridCol w:w="687"/>
        <w:gridCol w:w="687"/>
        <w:gridCol w:w="687"/>
        <w:gridCol w:w="687"/>
        <w:gridCol w:w="436"/>
      </w:tblGrid>
      <w:tr w:rsidR="00FD7B0B" w:rsidRPr="00FD7B0B" w14:paraId="2BA4F6F8" w14:textId="77777777" w:rsidTr="004D6B99">
        <w:trPr>
          <w:trHeight w:hRule="exact" w:val="255"/>
          <w:tblHeader/>
        </w:trPr>
        <w:tc>
          <w:tcPr>
            <w:tcW w:w="993"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A5ECA50"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lastRenderedPageBreak/>
              <w:t>Период</w:t>
            </w:r>
          </w:p>
        </w:tc>
        <w:tc>
          <w:tcPr>
            <w:tcW w:w="2127" w:type="dxa"/>
            <w:gridSpan w:val="3"/>
            <w:tcBorders>
              <w:top w:val="double" w:sz="6" w:space="0" w:color="auto"/>
              <w:left w:val="nil"/>
              <w:bottom w:val="single" w:sz="4" w:space="0" w:color="auto"/>
              <w:right w:val="single" w:sz="4" w:space="0" w:color="auto"/>
            </w:tcBorders>
            <w:shd w:val="clear" w:color="auto" w:fill="auto"/>
            <w:noWrap/>
            <w:vAlign w:val="center"/>
            <w:hideMark/>
          </w:tcPr>
          <w:p w14:paraId="61842F9C"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w:t>
            </w:r>
          </w:p>
        </w:tc>
        <w:tc>
          <w:tcPr>
            <w:tcW w:w="2093" w:type="dxa"/>
            <w:gridSpan w:val="3"/>
            <w:tcBorders>
              <w:top w:val="double" w:sz="6" w:space="0" w:color="auto"/>
              <w:left w:val="nil"/>
              <w:bottom w:val="single" w:sz="4" w:space="0" w:color="auto"/>
              <w:right w:val="single" w:sz="4" w:space="0" w:color="auto"/>
            </w:tcBorders>
            <w:shd w:val="clear" w:color="auto" w:fill="auto"/>
            <w:noWrap/>
            <w:vAlign w:val="center"/>
            <w:hideMark/>
          </w:tcPr>
          <w:p w14:paraId="272357A1"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w:t>
            </w:r>
          </w:p>
        </w:tc>
        <w:tc>
          <w:tcPr>
            <w:tcW w:w="4569" w:type="dxa"/>
            <w:gridSpan w:val="8"/>
            <w:tcBorders>
              <w:top w:val="double" w:sz="6" w:space="0" w:color="auto"/>
              <w:left w:val="nil"/>
              <w:bottom w:val="single" w:sz="4" w:space="0" w:color="auto"/>
              <w:right w:val="double" w:sz="6" w:space="0" w:color="000000"/>
            </w:tcBorders>
            <w:shd w:val="clear" w:color="auto" w:fill="auto"/>
            <w:noWrap/>
            <w:vAlign w:val="center"/>
            <w:hideMark/>
          </w:tcPr>
          <w:p w14:paraId="11E57ACE"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Изменение</w:t>
            </w:r>
          </w:p>
        </w:tc>
      </w:tr>
      <w:tr w:rsidR="00FD7B0B" w:rsidRPr="00FD7B0B" w14:paraId="565D156E" w14:textId="77777777" w:rsidTr="004D6B99">
        <w:trPr>
          <w:trHeight w:val="379"/>
          <w:tblHeader/>
        </w:trPr>
        <w:tc>
          <w:tcPr>
            <w:tcW w:w="993" w:type="dxa"/>
            <w:vMerge/>
            <w:tcBorders>
              <w:top w:val="double" w:sz="6" w:space="0" w:color="auto"/>
              <w:left w:val="double" w:sz="6" w:space="0" w:color="auto"/>
              <w:bottom w:val="single" w:sz="4" w:space="0" w:color="auto"/>
              <w:right w:val="single" w:sz="4" w:space="0" w:color="auto"/>
            </w:tcBorders>
            <w:vAlign w:val="center"/>
            <w:hideMark/>
          </w:tcPr>
          <w:p w14:paraId="72A36288"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7DE77"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тыс. куб.м</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25EE33CE" w14:textId="77777777" w:rsidR="00A51B25" w:rsidRPr="00FD7B0B" w:rsidRDefault="00A51B25" w:rsidP="00A51B25">
            <w:pPr>
              <w:spacing w:after="0" w:line="240" w:lineRule="auto"/>
              <w:ind w:left="-102" w:right="-28"/>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межтарифная разница, руб./ куб.м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E461EA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Сумма субсидии, млн.руб.</w:t>
            </w:r>
          </w:p>
        </w:tc>
        <w:tc>
          <w:tcPr>
            <w:tcW w:w="621" w:type="dxa"/>
            <w:tcBorders>
              <w:top w:val="single" w:sz="4" w:space="0" w:color="auto"/>
              <w:left w:val="nil"/>
              <w:bottom w:val="single" w:sz="4" w:space="0" w:color="auto"/>
              <w:right w:val="single" w:sz="4" w:space="0" w:color="auto"/>
            </w:tcBorders>
            <w:shd w:val="clear" w:color="auto" w:fill="auto"/>
            <w:vAlign w:val="center"/>
            <w:hideMark/>
          </w:tcPr>
          <w:p w14:paraId="2312060E"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тыс. куб.м</w:t>
            </w:r>
          </w:p>
        </w:tc>
        <w:tc>
          <w:tcPr>
            <w:tcW w:w="796" w:type="dxa"/>
            <w:tcBorders>
              <w:top w:val="single" w:sz="4" w:space="0" w:color="auto"/>
              <w:left w:val="nil"/>
              <w:bottom w:val="single" w:sz="4" w:space="0" w:color="auto"/>
              <w:right w:val="single" w:sz="4" w:space="0" w:color="auto"/>
            </w:tcBorders>
            <w:shd w:val="clear" w:color="auto" w:fill="auto"/>
            <w:vAlign w:val="center"/>
            <w:hideMark/>
          </w:tcPr>
          <w:p w14:paraId="057F171D"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межтарифная разница, руб./куб.м (средний)</w:t>
            </w:r>
          </w:p>
        </w:tc>
        <w:tc>
          <w:tcPr>
            <w:tcW w:w="687" w:type="dxa"/>
            <w:gridSpan w:val="2"/>
            <w:tcBorders>
              <w:top w:val="single" w:sz="4" w:space="0" w:color="auto"/>
              <w:left w:val="nil"/>
              <w:bottom w:val="single" w:sz="4" w:space="0" w:color="auto"/>
              <w:right w:val="single" w:sz="4" w:space="0" w:color="auto"/>
            </w:tcBorders>
            <w:shd w:val="clear" w:color="auto" w:fill="auto"/>
            <w:vAlign w:val="center"/>
            <w:hideMark/>
          </w:tcPr>
          <w:p w14:paraId="77A666B5" w14:textId="77777777" w:rsidR="00A51B25" w:rsidRPr="00FD7B0B" w:rsidRDefault="00A51B25" w:rsidP="00A51B25">
            <w:pPr>
              <w:spacing w:after="0" w:line="240" w:lineRule="auto"/>
              <w:ind w:left="-108" w:right="-54"/>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45BF3047"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Количество, тыс. куб.м</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52ABFDD1"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межтарифная разница, руб./ куб.м (средний)</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2B351597"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2E8A1374"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т.ч. за счет объема,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02191B91"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184335A9"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 т.ч. за счет межтарифной разницы, млн.руб.</w:t>
            </w:r>
          </w:p>
        </w:tc>
        <w:tc>
          <w:tcPr>
            <w:tcW w:w="436" w:type="dxa"/>
            <w:tcBorders>
              <w:top w:val="nil"/>
              <w:left w:val="single" w:sz="4" w:space="0" w:color="auto"/>
              <w:bottom w:val="single" w:sz="4" w:space="0" w:color="auto"/>
              <w:right w:val="double" w:sz="6" w:space="0" w:color="auto"/>
            </w:tcBorders>
            <w:shd w:val="clear" w:color="auto" w:fill="auto"/>
            <w:vAlign w:val="center"/>
            <w:hideMark/>
          </w:tcPr>
          <w:p w14:paraId="656E5FC6" w14:textId="77777777" w:rsidR="00A51B25" w:rsidRPr="00FD7B0B" w:rsidRDefault="00A51B25" w:rsidP="00A51B25">
            <w:pPr>
              <w:spacing w:after="0" w:line="240" w:lineRule="auto"/>
              <w:ind w:left="-119" w:right="-119"/>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6D34FBC6" w14:textId="77777777" w:rsidTr="00D22B8F">
        <w:trPr>
          <w:trHeight w:val="300"/>
        </w:trPr>
        <w:tc>
          <w:tcPr>
            <w:tcW w:w="993" w:type="dxa"/>
            <w:tcBorders>
              <w:top w:val="nil"/>
              <w:left w:val="double" w:sz="6" w:space="0" w:color="auto"/>
              <w:bottom w:val="single" w:sz="4" w:space="0" w:color="auto"/>
              <w:right w:val="single" w:sz="4" w:space="0" w:color="auto"/>
            </w:tcBorders>
            <w:shd w:val="clear" w:color="auto" w:fill="auto"/>
            <w:noWrap/>
            <w:vAlign w:val="center"/>
            <w:hideMark/>
          </w:tcPr>
          <w:p w14:paraId="4C0C0962"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январь-июнь</w:t>
            </w:r>
          </w:p>
        </w:tc>
        <w:tc>
          <w:tcPr>
            <w:tcW w:w="687" w:type="dxa"/>
            <w:tcBorders>
              <w:top w:val="nil"/>
              <w:left w:val="single" w:sz="4" w:space="0" w:color="auto"/>
              <w:bottom w:val="single" w:sz="4" w:space="0" w:color="auto"/>
              <w:right w:val="single" w:sz="4" w:space="0" w:color="auto"/>
            </w:tcBorders>
            <w:shd w:val="clear" w:color="auto" w:fill="auto"/>
            <w:noWrap/>
            <w:vAlign w:val="center"/>
            <w:hideMark/>
          </w:tcPr>
          <w:p w14:paraId="04D0C813"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1 003</w:t>
            </w:r>
          </w:p>
        </w:tc>
        <w:tc>
          <w:tcPr>
            <w:tcW w:w="731" w:type="dxa"/>
            <w:tcBorders>
              <w:top w:val="nil"/>
              <w:left w:val="nil"/>
              <w:bottom w:val="single" w:sz="4" w:space="0" w:color="auto"/>
              <w:right w:val="single" w:sz="4" w:space="0" w:color="auto"/>
            </w:tcBorders>
            <w:shd w:val="clear" w:color="auto" w:fill="auto"/>
            <w:noWrap/>
            <w:vAlign w:val="center"/>
            <w:hideMark/>
          </w:tcPr>
          <w:p w14:paraId="589841B7"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4,73</w:t>
            </w:r>
          </w:p>
        </w:tc>
        <w:tc>
          <w:tcPr>
            <w:tcW w:w="709" w:type="dxa"/>
            <w:tcBorders>
              <w:top w:val="nil"/>
              <w:left w:val="nil"/>
              <w:bottom w:val="single" w:sz="4" w:space="0" w:color="auto"/>
              <w:right w:val="single" w:sz="4" w:space="0" w:color="auto"/>
            </w:tcBorders>
            <w:shd w:val="clear" w:color="auto" w:fill="auto"/>
            <w:noWrap/>
            <w:vAlign w:val="center"/>
            <w:hideMark/>
          </w:tcPr>
          <w:p w14:paraId="641DE7E3"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4,8</w:t>
            </w:r>
          </w:p>
        </w:tc>
        <w:tc>
          <w:tcPr>
            <w:tcW w:w="621" w:type="dxa"/>
            <w:tcBorders>
              <w:top w:val="nil"/>
              <w:left w:val="nil"/>
              <w:bottom w:val="single" w:sz="4" w:space="0" w:color="auto"/>
              <w:right w:val="single" w:sz="4" w:space="0" w:color="auto"/>
            </w:tcBorders>
            <w:shd w:val="clear" w:color="auto" w:fill="auto"/>
            <w:noWrap/>
            <w:vAlign w:val="center"/>
            <w:hideMark/>
          </w:tcPr>
          <w:p w14:paraId="6A55EA92"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969</w:t>
            </w:r>
          </w:p>
        </w:tc>
        <w:tc>
          <w:tcPr>
            <w:tcW w:w="796" w:type="dxa"/>
            <w:tcBorders>
              <w:top w:val="nil"/>
              <w:left w:val="nil"/>
              <w:bottom w:val="single" w:sz="4" w:space="0" w:color="auto"/>
              <w:right w:val="single" w:sz="4" w:space="0" w:color="auto"/>
            </w:tcBorders>
            <w:shd w:val="clear" w:color="auto" w:fill="auto"/>
            <w:noWrap/>
            <w:vAlign w:val="center"/>
            <w:hideMark/>
          </w:tcPr>
          <w:p w14:paraId="7D14CD95"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4,43</w:t>
            </w:r>
          </w:p>
        </w:tc>
        <w:tc>
          <w:tcPr>
            <w:tcW w:w="687" w:type="dxa"/>
            <w:gridSpan w:val="2"/>
            <w:tcBorders>
              <w:top w:val="nil"/>
              <w:left w:val="nil"/>
              <w:bottom w:val="single" w:sz="4" w:space="0" w:color="auto"/>
              <w:right w:val="single" w:sz="4" w:space="0" w:color="auto"/>
            </w:tcBorders>
            <w:shd w:val="clear" w:color="auto" w:fill="auto"/>
            <w:noWrap/>
            <w:vAlign w:val="center"/>
            <w:hideMark/>
          </w:tcPr>
          <w:p w14:paraId="221FD893"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4,3</w:t>
            </w:r>
          </w:p>
        </w:tc>
        <w:tc>
          <w:tcPr>
            <w:tcW w:w="687" w:type="dxa"/>
            <w:tcBorders>
              <w:top w:val="nil"/>
              <w:left w:val="nil"/>
              <w:bottom w:val="single" w:sz="4" w:space="0" w:color="auto"/>
              <w:right w:val="single" w:sz="4" w:space="0" w:color="auto"/>
            </w:tcBorders>
            <w:shd w:val="clear" w:color="auto" w:fill="auto"/>
            <w:noWrap/>
            <w:vAlign w:val="center"/>
            <w:hideMark/>
          </w:tcPr>
          <w:p w14:paraId="3AC4343A"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-34 </w:t>
            </w:r>
          </w:p>
        </w:tc>
        <w:tc>
          <w:tcPr>
            <w:tcW w:w="687" w:type="dxa"/>
            <w:tcBorders>
              <w:top w:val="nil"/>
              <w:left w:val="nil"/>
              <w:bottom w:val="single" w:sz="4" w:space="0" w:color="auto"/>
              <w:right w:val="single" w:sz="4" w:space="0" w:color="auto"/>
            </w:tcBorders>
            <w:shd w:val="clear" w:color="auto" w:fill="auto"/>
            <w:noWrap/>
            <w:vAlign w:val="center"/>
            <w:hideMark/>
          </w:tcPr>
          <w:p w14:paraId="14147116"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-0,31 </w:t>
            </w:r>
          </w:p>
        </w:tc>
        <w:tc>
          <w:tcPr>
            <w:tcW w:w="687" w:type="dxa"/>
            <w:tcBorders>
              <w:top w:val="nil"/>
              <w:left w:val="nil"/>
              <w:bottom w:val="single" w:sz="4" w:space="0" w:color="auto"/>
              <w:right w:val="single" w:sz="4" w:space="0" w:color="auto"/>
            </w:tcBorders>
            <w:shd w:val="clear" w:color="auto" w:fill="auto"/>
            <w:noWrap/>
            <w:vAlign w:val="center"/>
            <w:hideMark/>
          </w:tcPr>
          <w:p w14:paraId="6F430E90"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-0,5 </w:t>
            </w:r>
          </w:p>
        </w:tc>
        <w:tc>
          <w:tcPr>
            <w:tcW w:w="687" w:type="dxa"/>
            <w:tcBorders>
              <w:top w:val="nil"/>
              <w:left w:val="nil"/>
              <w:bottom w:val="single" w:sz="4" w:space="0" w:color="auto"/>
              <w:right w:val="single" w:sz="4" w:space="0" w:color="auto"/>
            </w:tcBorders>
            <w:shd w:val="clear" w:color="auto" w:fill="auto"/>
            <w:noWrap/>
            <w:vAlign w:val="center"/>
            <w:hideMark/>
          </w:tcPr>
          <w:p w14:paraId="7A92A5A4"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-0,15 </w:t>
            </w:r>
          </w:p>
        </w:tc>
        <w:tc>
          <w:tcPr>
            <w:tcW w:w="687" w:type="dxa"/>
            <w:tcBorders>
              <w:top w:val="nil"/>
              <w:left w:val="nil"/>
              <w:bottom w:val="single" w:sz="4" w:space="0" w:color="auto"/>
              <w:right w:val="single" w:sz="4" w:space="0" w:color="auto"/>
            </w:tcBorders>
            <w:shd w:val="clear" w:color="auto" w:fill="auto"/>
            <w:noWrap/>
            <w:vAlign w:val="center"/>
            <w:hideMark/>
          </w:tcPr>
          <w:p w14:paraId="66E9842E"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32,5 </w:t>
            </w:r>
          </w:p>
        </w:tc>
        <w:tc>
          <w:tcPr>
            <w:tcW w:w="687" w:type="dxa"/>
            <w:tcBorders>
              <w:top w:val="nil"/>
              <w:left w:val="nil"/>
              <w:bottom w:val="single" w:sz="4" w:space="0" w:color="auto"/>
              <w:right w:val="single" w:sz="4" w:space="0" w:color="auto"/>
            </w:tcBorders>
            <w:shd w:val="clear" w:color="auto" w:fill="auto"/>
            <w:noWrap/>
            <w:vAlign w:val="center"/>
            <w:hideMark/>
          </w:tcPr>
          <w:p w14:paraId="2780BF70"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-0,3 </w:t>
            </w:r>
          </w:p>
        </w:tc>
        <w:tc>
          <w:tcPr>
            <w:tcW w:w="436" w:type="dxa"/>
            <w:tcBorders>
              <w:top w:val="nil"/>
              <w:left w:val="single" w:sz="4" w:space="0" w:color="auto"/>
              <w:bottom w:val="single" w:sz="4" w:space="0" w:color="auto"/>
              <w:right w:val="double" w:sz="6" w:space="0" w:color="auto"/>
            </w:tcBorders>
            <w:shd w:val="clear" w:color="auto" w:fill="auto"/>
            <w:noWrap/>
            <w:vAlign w:val="center"/>
            <w:hideMark/>
          </w:tcPr>
          <w:p w14:paraId="113D06A7"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67,5 </w:t>
            </w:r>
          </w:p>
        </w:tc>
      </w:tr>
      <w:tr w:rsidR="00FD7B0B" w:rsidRPr="00FD7B0B" w14:paraId="3AFD9903" w14:textId="77777777" w:rsidTr="00D22B8F">
        <w:trPr>
          <w:trHeight w:val="300"/>
        </w:trPr>
        <w:tc>
          <w:tcPr>
            <w:tcW w:w="993" w:type="dxa"/>
            <w:tcBorders>
              <w:top w:val="nil"/>
              <w:left w:val="double" w:sz="6" w:space="0" w:color="auto"/>
              <w:bottom w:val="single" w:sz="4" w:space="0" w:color="auto"/>
              <w:right w:val="single" w:sz="4" w:space="0" w:color="auto"/>
            </w:tcBorders>
            <w:shd w:val="clear" w:color="auto" w:fill="auto"/>
            <w:noWrap/>
            <w:vAlign w:val="center"/>
            <w:hideMark/>
          </w:tcPr>
          <w:p w14:paraId="24ABC33B"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июль-декабрь</w:t>
            </w:r>
          </w:p>
        </w:tc>
        <w:tc>
          <w:tcPr>
            <w:tcW w:w="687" w:type="dxa"/>
            <w:tcBorders>
              <w:top w:val="nil"/>
              <w:left w:val="single" w:sz="4" w:space="0" w:color="auto"/>
              <w:bottom w:val="single" w:sz="4" w:space="0" w:color="auto"/>
              <w:right w:val="single" w:sz="4" w:space="0" w:color="auto"/>
            </w:tcBorders>
            <w:shd w:val="clear" w:color="auto" w:fill="auto"/>
            <w:noWrap/>
            <w:vAlign w:val="center"/>
            <w:hideMark/>
          </w:tcPr>
          <w:p w14:paraId="6C6D8247"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842</w:t>
            </w:r>
          </w:p>
        </w:tc>
        <w:tc>
          <w:tcPr>
            <w:tcW w:w="731" w:type="dxa"/>
            <w:tcBorders>
              <w:top w:val="nil"/>
              <w:left w:val="nil"/>
              <w:bottom w:val="single" w:sz="4" w:space="0" w:color="auto"/>
              <w:right w:val="single" w:sz="4" w:space="0" w:color="auto"/>
            </w:tcBorders>
            <w:shd w:val="clear" w:color="auto" w:fill="auto"/>
            <w:noWrap/>
            <w:vAlign w:val="center"/>
            <w:hideMark/>
          </w:tcPr>
          <w:p w14:paraId="402BC173"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4,79</w:t>
            </w:r>
          </w:p>
        </w:tc>
        <w:tc>
          <w:tcPr>
            <w:tcW w:w="709" w:type="dxa"/>
            <w:tcBorders>
              <w:top w:val="nil"/>
              <w:left w:val="nil"/>
              <w:bottom w:val="single" w:sz="4" w:space="0" w:color="auto"/>
              <w:right w:val="single" w:sz="4" w:space="0" w:color="auto"/>
            </w:tcBorders>
            <w:shd w:val="clear" w:color="auto" w:fill="auto"/>
            <w:noWrap/>
            <w:vAlign w:val="center"/>
            <w:hideMark/>
          </w:tcPr>
          <w:p w14:paraId="69A922BB"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4,0</w:t>
            </w:r>
          </w:p>
        </w:tc>
        <w:tc>
          <w:tcPr>
            <w:tcW w:w="621" w:type="dxa"/>
            <w:tcBorders>
              <w:top w:val="nil"/>
              <w:left w:val="nil"/>
              <w:bottom w:val="single" w:sz="4" w:space="0" w:color="auto"/>
              <w:right w:val="single" w:sz="4" w:space="0" w:color="auto"/>
            </w:tcBorders>
            <w:shd w:val="clear" w:color="auto" w:fill="auto"/>
            <w:noWrap/>
            <w:vAlign w:val="center"/>
            <w:hideMark/>
          </w:tcPr>
          <w:p w14:paraId="18A6447D"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550</w:t>
            </w:r>
          </w:p>
        </w:tc>
        <w:tc>
          <w:tcPr>
            <w:tcW w:w="796" w:type="dxa"/>
            <w:tcBorders>
              <w:top w:val="nil"/>
              <w:left w:val="nil"/>
              <w:bottom w:val="single" w:sz="4" w:space="0" w:color="auto"/>
              <w:right w:val="single" w:sz="4" w:space="0" w:color="auto"/>
            </w:tcBorders>
            <w:shd w:val="clear" w:color="auto" w:fill="auto"/>
            <w:noWrap/>
            <w:vAlign w:val="center"/>
            <w:hideMark/>
          </w:tcPr>
          <w:p w14:paraId="3D9E401C"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12,17</w:t>
            </w:r>
          </w:p>
        </w:tc>
        <w:tc>
          <w:tcPr>
            <w:tcW w:w="687" w:type="dxa"/>
            <w:gridSpan w:val="2"/>
            <w:tcBorders>
              <w:top w:val="nil"/>
              <w:left w:val="nil"/>
              <w:bottom w:val="single" w:sz="4" w:space="0" w:color="auto"/>
              <w:right w:val="single" w:sz="4" w:space="0" w:color="auto"/>
            </w:tcBorders>
            <w:shd w:val="clear" w:color="auto" w:fill="auto"/>
            <w:noWrap/>
            <w:vAlign w:val="center"/>
            <w:hideMark/>
          </w:tcPr>
          <w:p w14:paraId="7B0E3DB2"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6,7</w:t>
            </w:r>
          </w:p>
        </w:tc>
        <w:tc>
          <w:tcPr>
            <w:tcW w:w="687" w:type="dxa"/>
            <w:tcBorders>
              <w:top w:val="nil"/>
              <w:left w:val="nil"/>
              <w:bottom w:val="single" w:sz="4" w:space="0" w:color="auto"/>
              <w:right w:val="single" w:sz="4" w:space="0" w:color="auto"/>
            </w:tcBorders>
            <w:shd w:val="clear" w:color="auto" w:fill="auto"/>
            <w:noWrap/>
            <w:vAlign w:val="center"/>
            <w:hideMark/>
          </w:tcPr>
          <w:p w14:paraId="6C61D976"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-293 </w:t>
            </w:r>
          </w:p>
        </w:tc>
        <w:tc>
          <w:tcPr>
            <w:tcW w:w="687" w:type="dxa"/>
            <w:tcBorders>
              <w:top w:val="nil"/>
              <w:left w:val="nil"/>
              <w:bottom w:val="single" w:sz="4" w:space="0" w:color="auto"/>
              <w:right w:val="single" w:sz="4" w:space="0" w:color="auto"/>
            </w:tcBorders>
            <w:shd w:val="clear" w:color="auto" w:fill="auto"/>
            <w:noWrap/>
            <w:vAlign w:val="center"/>
            <w:hideMark/>
          </w:tcPr>
          <w:p w14:paraId="00E07131"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7,38 </w:t>
            </w:r>
          </w:p>
        </w:tc>
        <w:tc>
          <w:tcPr>
            <w:tcW w:w="687" w:type="dxa"/>
            <w:tcBorders>
              <w:top w:val="nil"/>
              <w:left w:val="nil"/>
              <w:bottom w:val="single" w:sz="4" w:space="0" w:color="auto"/>
              <w:right w:val="single" w:sz="4" w:space="0" w:color="auto"/>
            </w:tcBorders>
            <w:shd w:val="clear" w:color="auto" w:fill="auto"/>
            <w:noWrap/>
            <w:vAlign w:val="center"/>
            <w:hideMark/>
          </w:tcPr>
          <w:p w14:paraId="3D6318E0"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2,7 </w:t>
            </w:r>
          </w:p>
        </w:tc>
        <w:tc>
          <w:tcPr>
            <w:tcW w:w="687" w:type="dxa"/>
            <w:tcBorders>
              <w:top w:val="nil"/>
              <w:left w:val="nil"/>
              <w:bottom w:val="single" w:sz="4" w:space="0" w:color="auto"/>
              <w:right w:val="single" w:sz="4" w:space="0" w:color="auto"/>
            </w:tcBorders>
            <w:shd w:val="clear" w:color="auto" w:fill="auto"/>
            <w:noWrap/>
            <w:vAlign w:val="center"/>
            <w:hideMark/>
          </w:tcPr>
          <w:p w14:paraId="1DBE2C6F"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-3,56 </w:t>
            </w:r>
          </w:p>
        </w:tc>
        <w:tc>
          <w:tcPr>
            <w:tcW w:w="687" w:type="dxa"/>
            <w:tcBorders>
              <w:top w:val="nil"/>
              <w:left w:val="nil"/>
              <w:bottom w:val="single" w:sz="4" w:space="0" w:color="auto"/>
              <w:right w:val="single" w:sz="4" w:space="0" w:color="auto"/>
            </w:tcBorders>
            <w:shd w:val="clear" w:color="auto" w:fill="auto"/>
            <w:noWrap/>
            <w:vAlign w:val="center"/>
            <w:hideMark/>
          </w:tcPr>
          <w:p w14:paraId="23BB6236"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-134,2 </w:t>
            </w:r>
          </w:p>
        </w:tc>
        <w:tc>
          <w:tcPr>
            <w:tcW w:w="687" w:type="dxa"/>
            <w:tcBorders>
              <w:top w:val="nil"/>
              <w:left w:val="nil"/>
              <w:bottom w:val="single" w:sz="4" w:space="0" w:color="auto"/>
              <w:right w:val="single" w:sz="4" w:space="0" w:color="auto"/>
            </w:tcBorders>
            <w:shd w:val="clear" w:color="auto" w:fill="auto"/>
            <w:noWrap/>
            <w:vAlign w:val="center"/>
            <w:hideMark/>
          </w:tcPr>
          <w:p w14:paraId="66B37AD2"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6,2 </w:t>
            </w:r>
          </w:p>
        </w:tc>
        <w:tc>
          <w:tcPr>
            <w:tcW w:w="436" w:type="dxa"/>
            <w:tcBorders>
              <w:top w:val="nil"/>
              <w:left w:val="single" w:sz="4" w:space="0" w:color="auto"/>
              <w:bottom w:val="single" w:sz="4" w:space="0" w:color="auto"/>
              <w:right w:val="double" w:sz="6" w:space="0" w:color="auto"/>
            </w:tcBorders>
            <w:shd w:val="clear" w:color="auto" w:fill="auto"/>
            <w:noWrap/>
            <w:vAlign w:val="center"/>
            <w:hideMark/>
          </w:tcPr>
          <w:p w14:paraId="0E7BB5E4" w14:textId="77777777" w:rsidR="00A51B25" w:rsidRPr="00FD7B0B" w:rsidRDefault="00A51B25" w:rsidP="00A51B25">
            <w:pPr>
              <w:spacing w:after="0" w:line="240" w:lineRule="auto"/>
              <w:ind w:left="-119" w:right="-119"/>
              <w:jc w:val="center"/>
              <w:rPr>
                <w:rFonts w:ascii="Times New Roman" w:hAnsi="Times New Roman" w:cs="Times New Roman"/>
                <w:sz w:val="18"/>
                <w:szCs w:val="18"/>
              </w:rPr>
            </w:pPr>
            <w:r w:rsidRPr="00FD7B0B">
              <w:rPr>
                <w:rFonts w:ascii="Times New Roman" w:hAnsi="Times New Roman" w:cs="Times New Roman"/>
                <w:sz w:val="18"/>
                <w:szCs w:val="18"/>
              </w:rPr>
              <w:t xml:space="preserve">234,2 </w:t>
            </w:r>
          </w:p>
        </w:tc>
      </w:tr>
      <w:tr w:rsidR="00FD7B0B" w:rsidRPr="00FD7B0B" w14:paraId="4457D4C4" w14:textId="77777777" w:rsidTr="00D22B8F">
        <w:trPr>
          <w:trHeight w:val="144"/>
        </w:trPr>
        <w:tc>
          <w:tcPr>
            <w:tcW w:w="993" w:type="dxa"/>
            <w:tcBorders>
              <w:top w:val="nil"/>
              <w:left w:val="double" w:sz="6" w:space="0" w:color="auto"/>
              <w:bottom w:val="double" w:sz="6" w:space="0" w:color="auto"/>
              <w:right w:val="single" w:sz="4" w:space="0" w:color="auto"/>
            </w:tcBorders>
            <w:shd w:val="clear" w:color="auto" w:fill="auto"/>
            <w:noWrap/>
            <w:vAlign w:val="center"/>
            <w:hideMark/>
          </w:tcPr>
          <w:p w14:paraId="2DE3CFDF"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ИТОГО</w:t>
            </w:r>
          </w:p>
        </w:tc>
        <w:tc>
          <w:tcPr>
            <w:tcW w:w="687" w:type="dxa"/>
            <w:tcBorders>
              <w:top w:val="nil"/>
              <w:left w:val="single" w:sz="4" w:space="0" w:color="auto"/>
              <w:bottom w:val="double" w:sz="6" w:space="0" w:color="auto"/>
              <w:right w:val="single" w:sz="4" w:space="0" w:color="auto"/>
            </w:tcBorders>
            <w:shd w:val="clear" w:color="auto" w:fill="auto"/>
            <w:noWrap/>
            <w:vAlign w:val="center"/>
            <w:hideMark/>
          </w:tcPr>
          <w:p w14:paraId="17AA784E"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1 845</w:t>
            </w:r>
          </w:p>
        </w:tc>
        <w:tc>
          <w:tcPr>
            <w:tcW w:w="731" w:type="dxa"/>
            <w:tcBorders>
              <w:top w:val="nil"/>
              <w:left w:val="nil"/>
              <w:bottom w:val="double" w:sz="6" w:space="0" w:color="auto"/>
              <w:right w:val="single" w:sz="4" w:space="0" w:color="auto"/>
            </w:tcBorders>
            <w:shd w:val="clear" w:color="auto" w:fill="auto"/>
            <w:noWrap/>
            <w:vAlign w:val="center"/>
            <w:hideMark/>
          </w:tcPr>
          <w:p w14:paraId="01D5F718"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p>
        </w:tc>
        <w:tc>
          <w:tcPr>
            <w:tcW w:w="709" w:type="dxa"/>
            <w:tcBorders>
              <w:top w:val="nil"/>
              <w:left w:val="nil"/>
              <w:bottom w:val="double" w:sz="6" w:space="0" w:color="auto"/>
              <w:right w:val="single" w:sz="4" w:space="0" w:color="auto"/>
            </w:tcBorders>
            <w:shd w:val="clear" w:color="auto" w:fill="auto"/>
            <w:noWrap/>
            <w:vAlign w:val="center"/>
            <w:hideMark/>
          </w:tcPr>
          <w:p w14:paraId="08751463"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8,8</w:t>
            </w:r>
          </w:p>
        </w:tc>
        <w:tc>
          <w:tcPr>
            <w:tcW w:w="621" w:type="dxa"/>
            <w:tcBorders>
              <w:top w:val="nil"/>
              <w:left w:val="nil"/>
              <w:bottom w:val="double" w:sz="6" w:space="0" w:color="auto"/>
              <w:right w:val="single" w:sz="4" w:space="0" w:color="auto"/>
            </w:tcBorders>
            <w:shd w:val="clear" w:color="auto" w:fill="auto"/>
            <w:noWrap/>
            <w:vAlign w:val="center"/>
            <w:hideMark/>
          </w:tcPr>
          <w:p w14:paraId="0E9BC415"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1 519</w:t>
            </w:r>
          </w:p>
        </w:tc>
        <w:tc>
          <w:tcPr>
            <w:tcW w:w="796" w:type="dxa"/>
            <w:tcBorders>
              <w:top w:val="nil"/>
              <w:left w:val="nil"/>
              <w:bottom w:val="double" w:sz="6" w:space="0" w:color="auto"/>
              <w:right w:val="single" w:sz="4" w:space="0" w:color="auto"/>
            </w:tcBorders>
            <w:shd w:val="clear" w:color="auto" w:fill="auto"/>
            <w:noWrap/>
            <w:vAlign w:val="center"/>
            <w:hideMark/>
          </w:tcPr>
          <w:p w14:paraId="08BE00E3"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p>
        </w:tc>
        <w:tc>
          <w:tcPr>
            <w:tcW w:w="687" w:type="dxa"/>
            <w:gridSpan w:val="2"/>
            <w:tcBorders>
              <w:top w:val="nil"/>
              <w:left w:val="nil"/>
              <w:bottom w:val="double" w:sz="6" w:space="0" w:color="auto"/>
              <w:right w:val="single" w:sz="4" w:space="0" w:color="auto"/>
            </w:tcBorders>
            <w:shd w:val="clear" w:color="auto" w:fill="auto"/>
            <w:noWrap/>
            <w:vAlign w:val="center"/>
            <w:hideMark/>
          </w:tcPr>
          <w:p w14:paraId="7C34AF95"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11,0</w:t>
            </w:r>
          </w:p>
        </w:tc>
        <w:tc>
          <w:tcPr>
            <w:tcW w:w="687" w:type="dxa"/>
            <w:tcBorders>
              <w:top w:val="nil"/>
              <w:left w:val="nil"/>
              <w:bottom w:val="double" w:sz="6" w:space="0" w:color="auto"/>
              <w:right w:val="single" w:sz="4" w:space="0" w:color="auto"/>
            </w:tcBorders>
            <w:shd w:val="clear" w:color="auto" w:fill="auto"/>
            <w:noWrap/>
            <w:vAlign w:val="center"/>
            <w:hideMark/>
          </w:tcPr>
          <w:p w14:paraId="0C40E8A5"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 xml:space="preserve">-326 </w:t>
            </w:r>
          </w:p>
        </w:tc>
        <w:tc>
          <w:tcPr>
            <w:tcW w:w="687" w:type="dxa"/>
            <w:tcBorders>
              <w:top w:val="nil"/>
              <w:left w:val="nil"/>
              <w:bottom w:val="double" w:sz="6" w:space="0" w:color="auto"/>
              <w:right w:val="single" w:sz="4" w:space="0" w:color="auto"/>
            </w:tcBorders>
            <w:shd w:val="clear" w:color="auto" w:fill="auto"/>
            <w:noWrap/>
            <w:vAlign w:val="center"/>
            <w:hideMark/>
          </w:tcPr>
          <w:p w14:paraId="3129C767"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p>
        </w:tc>
        <w:tc>
          <w:tcPr>
            <w:tcW w:w="687" w:type="dxa"/>
            <w:tcBorders>
              <w:top w:val="nil"/>
              <w:left w:val="nil"/>
              <w:bottom w:val="double" w:sz="6" w:space="0" w:color="auto"/>
              <w:right w:val="single" w:sz="4" w:space="0" w:color="auto"/>
            </w:tcBorders>
            <w:shd w:val="clear" w:color="auto" w:fill="auto"/>
            <w:noWrap/>
            <w:vAlign w:val="center"/>
            <w:hideMark/>
          </w:tcPr>
          <w:p w14:paraId="2AD37C82"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 xml:space="preserve">2,2 </w:t>
            </w:r>
          </w:p>
        </w:tc>
        <w:tc>
          <w:tcPr>
            <w:tcW w:w="687" w:type="dxa"/>
            <w:tcBorders>
              <w:top w:val="nil"/>
              <w:left w:val="nil"/>
              <w:bottom w:val="double" w:sz="6" w:space="0" w:color="auto"/>
              <w:right w:val="single" w:sz="4" w:space="0" w:color="auto"/>
            </w:tcBorders>
            <w:shd w:val="clear" w:color="auto" w:fill="auto"/>
            <w:noWrap/>
            <w:vAlign w:val="center"/>
            <w:hideMark/>
          </w:tcPr>
          <w:p w14:paraId="0E5C42A6"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 xml:space="preserve">-3,71 </w:t>
            </w:r>
          </w:p>
        </w:tc>
        <w:tc>
          <w:tcPr>
            <w:tcW w:w="687" w:type="dxa"/>
            <w:tcBorders>
              <w:top w:val="nil"/>
              <w:left w:val="nil"/>
              <w:bottom w:val="double" w:sz="6" w:space="0" w:color="auto"/>
              <w:right w:val="single" w:sz="4" w:space="0" w:color="auto"/>
            </w:tcBorders>
            <w:shd w:val="clear" w:color="auto" w:fill="auto"/>
            <w:noWrap/>
            <w:vAlign w:val="center"/>
            <w:hideMark/>
          </w:tcPr>
          <w:p w14:paraId="04758F5C"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 xml:space="preserve">-168,8 </w:t>
            </w:r>
          </w:p>
        </w:tc>
        <w:tc>
          <w:tcPr>
            <w:tcW w:w="687" w:type="dxa"/>
            <w:tcBorders>
              <w:top w:val="nil"/>
              <w:left w:val="nil"/>
              <w:bottom w:val="double" w:sz="6" w:space="0" w:color="auto"/>
              <w:right w:val="single" w:sz="4" w:space="0" w:color="auto"/>
            </w:tcBorders>
            <w:shd w:val="clear" w:color="auto" w:fill="auto"/>
            <w:noWrap/>
            <w:vAlign w:val="center"/>
            <w:hideMark/>
          </w:tcPr>
          <w:p w14:paraId="2D09609D"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 xml:space="preserve">5,9 </w:t>
            </w:r>
          </w:p>
        </w:tc>
        <w:tc>
          <w:tcPr>
            <w:tcW w:w="436" w:type="dxa"/>
            <w:tcBorders>
              <w:top w:val="nil"/>
              <w:left w:val="single" w:sz="4" w:space="0" w:color="auto"/>
              <w:bottom w:val="double" w:sz="6" w:space="0" w:color="auto"/>
              <w:right w:val="double" w:sz="6" w:space="0" w:color="auto"/>
            </w:tcBorders>
            <w:shd w:val="clear" w:color="auto" w:fill="auto"/>
            <w:noWrap/>
            <w:vAlign w:val="center"/>
            <w:hideMark/>
          </w:tcPr>
          <w:p w14:paraId="5BCC369C" w14:textId="77777777" w:rsidR="00A51B25" w:rsidRPr="00FD7B0B" w:rsidRDefault="00A51B25" w:rsidP="00A51B25">
            <w:pPr>
              <w:spacing w:after="0" w:line="240" w:lineRule="auto"/>
              <w:ind w:left="-119" w:right="-119"/>
              <w:jc w:val="center"/>
              <w:rPr>
                <w:rFonts w:ascii="Times New Roman" w:hAnsi="Times New Roman" w:cs="Times New Roman"/>
                <w:b/>
                <w:sz w:val="18"/>
                <w:szCs w:val="18"/>
              </w:rPr>
            </w:pPr>
            <w:r w:rsidRPr="00FD7B0B">
              <w:rPr>
                <w:rFonts w:ascii="Times New Roman" w:hAnsi="Times New Roman" w:cs="Times New Roman"/>
                <w:b/>
                <w:sz w:val="18"/>
                <w:szCs w:val="18"/>
              </w:rPr>
              <w:t xml:space="preserve">268,8 </w:t>
            </w:r>
          </w:p>
        </w:tc>
      </w:tr>
    </w:tbl>
    <w:p w14:paraId="788A31BA"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68A29432"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Рост потребности в средствах субсидии ∆Т (в части тепловой энергии) в отчетном периоде на 1 227,4 млн.руб. (на 25,4 % к 2023 году) обусловлен увеличением межтарифной разницы, при практически неизменном фактическом объеме потребления тепловой энергии населением и потребителями, приравненными к населению.</w:t>
      </w:r>
    </w:p>
    <w:p w14:paraId="12A19612" w14:textId="6B378726" w:rsidR="00A51B25" w:rsidRPr="00FD7B0B" w:rsidRDefault="00E005AC"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w:t>
      </w:r>
      <w:r w:rsidR="00A51B25" w:rsidRPr="00FD7B0B">
        <w:rPr>
          <w:rFonts w:ascii="Times New Roman" w:eastAsia="Times New Roman" w:hAnsi="Times New Roman"/>
          <w:sz w:val="28"/>
          <w:szCs w:val="28"/>
          <w:lang w:eastAsia="ru-RU"/>
        </w:rPr>
        <w:t xml:space="preserve">ри незначительном изменении объемов тепловой энергии </w:t>
      </w:r>
      <w:r w:rsidR="00A51B25" w:rsidRPr="00FD7B0B">
        <w:rPr>
          <w:rFonts w:ascii="Times New Roman" w:eastAsia="Times New Roman" w:hAnsi="Times New Roman"/>
          <w:sz w:val="28"/>
          <w:szCs w:val="28"/>
          <w:lang w:eastAsia="ru-RU"/>
        </w:rPr>
        <w:br/>
        <w:t>ПАО «ТГК-2», поставленной населению и потребителям, приравненным населению, в 2024 году потребность в средствах субсидии возросла на 59,0 % (943,4 млн.руб. – 2023 год, 1 499,8 млн.руб. – 2024 год,), что обусловлено ростом экономически обоснованного тарифа на тепловую энергию в течение 2024 года на территории городского округа «Город Архангельск» и Приморского муниципального округа Архангельской области на 23,1 %, городского округа Архангельской области «Северодвинск» на 19,7 % и, как следствие, увеличением величины межтарифной разницы.</w:t>
      </w:r>
    </w:p>
    <w:p w14:paraId="5C06F2D9" w14:textId="29115C9E"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Информация о предоставлении из областного бюджета субсидии на возмещение недополученных доходов, возникающих в результате государственного регулирования розничных цен на топливо твердое, отпускаемое населению для нужд отопления (далее - субсидия ∆Д), в динамике с 2020 по 2024 годы и фактических объемных показателях ресурса представлена на рисунке</w:t>
      </w:r>
      <w:r w:rsidR="00D22B8F" w:rsidRPr="00FD7B0B">
        <w:rPr>
          <w:rFonts w:ascii="Times New Roman" w:eastAsia="Times New Roman" w:hAnsi="Times New Roman"/>
          <w:sz w:val="28"/>
          <w:szCs w:val="28"/>
          <w:lang w:eastAsia="ru-RU"/>
        </w:rPr>
        <w:t xml:space="preserve"> </w:t>
      </w:r>
      <w:r w:rsidR="00960798" w:rsidRPr="00FD7B0B">
        <w:rPr>
          <w:rFonts w:ascii="Times New Roman" w:eastAsia="Times New Roman" w:hAnsi="Times New Roman"/>
          <w:sz w:val="28"/>
          <w:szCs w:val="28"/>
          <w:lang w:eastAsia="ru-RU"/>
        </w:rPr>
        <w:t>28</w:t>
      </w:r>
      <w:r w:rsidRPr="00FD7B0B">
        <w:rPr>
          <w:rFonts w:ascii="Times New Roman" w:eastAsia="Times New Roman" w:hAnsi="Times New Roman"/>
          <w:sz w:val="28"/>
          <w:szCs w:val="28"/>
          <w:lang w:eastAsia="ru-RU"/>
        </w:rPr>
        <w:t>.</w:t>
      </w:r>
    </w:p>
    <w:p w14:paraId="7CEDF231" w14:textId="71EFF7D2" w:rsidR="00D22B8F" w:rsidRPr="00FD7B0B" w:rsidRDefault="00D22B8F" w:rsidP="00D22B8F">
      <w:pPr>
        <w:spacing w:after="0" w:line="320" w:lineRule="atLeast"/>
        <w:jc w:val="both"/>
        <w:rPr>
          <w:rFonts w:ascii="Times New Roman" w:eastAsia="Times New Roman" w:hAnsi="Times New Roman"/>
          <w:sz w:val="28"/>
          <w:szCs w:val="28"/>
          <w:lang w:eastAsia="ru-RU"/>
        </w:rPr>
      </w:pPr>
      <w:r w:rsidRPr="00FD7B0B">
        <w:rPr>
          <w:rFonts w:ascii="Times New Roman" w:eastAsia="Times New Roman" w:hAnsi="Times New Roman"/>
          <w:noProof/>
          <w:sz w:val="28"/>
          <w:szCs w:val="28"/>
          <w:lang w:eastAsia="ru-RU"/>
        </w:rPr>
        <w:drawing>
          <wp:inline distT="0" distB="0" distL="0" distR="0" wp14:anchorId="546D4327" wp14:editId="11B2DAA5">
            <wp:extent cx="5398383" cy="2424752"/>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1175" cy="2434989"/>
                    </a:xfrm>
                    <a:prstGeom prst="rect">
                      <a:avLst/>
                    </a:prstGeom>
                    <a:noFill/>
                  </pic:spPr>
                </pic:pic>
              </a:graphicData>
            </a:graphic>
          </wp:inline>
        </w:drawing>
      </w:r>
    </w:p>
    <w:p w14:paraId="2B066E5E" w14:textId="77777777" w:rsidR="00A51B25" w:rsidRPr="00FD7B0B" w:rsidRDefault="00A51B25" w:rsidP="00A51B2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28</w:t>
      </w:r>
      <w:r w:rsidRPr="00FD7B0B">
        <w:rPr>
          <w:rFonts w:ascii="Times New Roman" w:hAnsi="Times New Roman"/>
          <w:b w:val="0"/>
          <w:sz w:val="24"/>
          <w:szCs w:val="24"/>
        </w:rPr>
        <w:fldChar w:fldCharType="end"/>
      </w:r>
      <w:r w:rsidRPr="00FD7B0B">
        <w:rPr>
          <w:rFonts w:ascii="Times New Roman" w:hAnsi="Times New Roman"/>
          <w:b w:val="0"/>
          <w:sz w:val="24"/>
          <w:szCs w:val="24"/>
        </w:rPr>
        <w:t>. Динамика объема средств субсидии на возмещение недополученных доходов, возникающих в результате государственного регулирования розничных цен на топливо твердое и объемов топлива твердого, реализованного населению для нужд отопления, за 2020-2024 годы</w:t>
      </w:r>
    </w:p>
    <w:p w14:paraId="30C4D7D4"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0A98A507"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Потребность в средствах областного бюджета ∆Д за 2024 год составила в сумме 707,2 млн.руб. (с учетом кредиторской задолженности на 01.01.2024 в размере 123,7 млн.руб.) или 120,8 % к уровню 2023 года, выплачено средств из областного бюджета, нарастающим итогом с начала 2024 года, – </w:t>
      </w:r>
      <w:r w:rsidRPr="00FD7B0B">
        <w:rPr>
          <w:rFonts w:ascii="Times New Roman" w:eastAsia="Times New Roman" w:hAnsi="Times New Roman"/>
          <w:sz w:val="28"/>
          <w:szCs w:val="28"/>
          <w:lang w:eastAsia="ru-RU"/>
        </w:rPr>
        <w:br/>
        <w:t>465,8 млн.руб., при этом кредиторская задолженность на 01.01.2025 составила 241,3 млн.руб. (в т.ч. за июль – ноябрь 2023 года – 191,2 млн.руб.).</w:t>
      </w:r>
    </w:p>
    <w:p w14:paraId="1CFFBC2F"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Факторный анализ отклонений (без учета задолженности) представлен в таблице ниже:</w:t>
      </w:r>
    </w:p>
    <w:tbl>
      <w:tblPr>
        <w:tblW w:w="9891" w:type="dxa"/>
        <w:tblInd w:w="-165" w:type="dxa"/>
        <w:tblLayout w:type="fixed"/>
        <w:tblLook w:val="04A0" w:firstRow="1" w:lastRow="0" w:firstColumn="1" w:lastColumn="0" w:noHBand="0" w:noVBand="1"/>
      </w:tblPr>
      <w:tblGrid>
        <w:gridCol w:w="851"/>
        <w:gridCol w:w="687"/>
        <w:gridCol w:w="731"/>
        <w:gridCol w:w="709"/>
        <w:gridCol w:w="621"/>
        <w:gridCol w:w="796"/>
        <w:gridCol w:w="676"/>
        <w:gridCol w:w="11"/>
        <w:gridCol w:w="687"/>
        <w:gridCol w:w="687"/>
        <w:gridCol w:w="687"/>
        <w:gridCol w:w="687"/>
        <w:gridCol w:w="687"/>
        <w:gridCol w:w="687"/>
        <w:gridCol w:w="687"/>
      </w:tblGrid>
      <w:tr w:rsidR="00FD7B0B" w:rsidRPr="00FD7B0B" w14:paraId="35FD73B2" w14:textId="77777777" w:rsidTr="00A51B25">
        <w:trPr>
          <w:trHeight w:val="20"/>
        </w:trPr>
        <w:tc>
          <w:tcPr>
            <w:tcW w:w="851"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19E32B39"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Период</w:t>
            </w:r>
          </w:p>
        </w:tc>
        <w:tc>
          <w:tcPr>
            <w:tcW w:w="2127" w:type="dxa"/>
            <w:gridSpan w:val="3"/>
            <w:tcBorders>
              <w:top w:val="double" w:sz="6" w:space="0" w:color="auto"/>
              <w:left w:val="nil"/>
              <w:bottom w:val="single" w:sz="4" w:space="0" w:color="auto"/>
              <w:right w:val="single" w:sz="4" w:space="0" w:color="auto"/>
            </w:tcBorders>
            <w:shd w:val="clear" w:color="auto" w:fill="auto"/>
            <w:noWrap/>
            <w:vAlign w:val="center"/>
            <w:hideMark/>
          </w:tcPr>
          <w:p w14:paraId="3AFDDC82"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2023 год</w:t>
            </w:r>
          </w:p>
        </w:tc>
        <w:tc>
          <w:tcPr>
            <w:tcW w:w="2093" w:type="dxa"/>
            <w:gridSpan w:val="3"/>
            <w:tcBorders>
              <w:top w:val="double" w:sz="6" w:space="0" w:color="auto"/>
              <w:left w:val="nil"/>
              <w:bottom w:val="single" w:sz="4" w:space="0" w:color="auto"/>
              <w:right w:val="single" w:sz="4" w:space="0" w:color="auto"/>
            </w:tcBorders>
            <w:shd w:val="clear" w:color="auto" w:fill="auto"/>
            <w:noWrap/>
            <w:vAlign w:val="center"/>
            <w:hideMark/>
          </w:tcPr>
          <w:p w14:paraId="380146E9"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2024 год</w:t>
            </w:r>
          </w:p>
        </w:tc>
        <w:tc>
          <w:tcPr>
            <w:tcW w:w="4820" w:type="dxa"/>
            <w:gridSpan w:val="8"/>
            <w:tcBorders>
              <w:top w:val="double" w:sz="6" w:space="0" w:color="auto"/>
              <w:left w:val="nil"/>
              <w:bottom w:val="single" w:sz="4" w:space="0" w:color="auto"/>
              <w:right w:val="double" w:sz="6" w:space="0" w:color="000000"/>
            </w:tcBorders>
            <w:shd w:val="clear" w:color="auto" w:fill="auto"/>
            <w:noWrap/>
            <w:vAlign w:val="center"/>
            <w:hideMark/>
          </w:tcPr>
          <w:p w14:paraId="240A30C3"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Изменение</w:t>
            </w:r>
          </w:p>
        </w:tc>
      </w:tr>
      <w:tr w:rsidR="00FD7B0B" w:rsidRPr="00FD7B0B" w14:paraId="612698E9" w14:textId="77777777" w:rsidTr="00A51B25">
        <w:trPr>
          <w:trHeight w:val="1092"/>
        </w:trPr>
        <w:tc>
          <w:tcPr>
            <w:tcW w:w="851" w:type="dxa"/>
            <w:vMerge/>
            <w:tcBorders>
              <w:top w:val="double" w:sz="6" w:space="0" w:color="auto"/>
              <w:left w:val="double" w:sz="6" w:space="0" w:color="auto"/>
              <w:bottom w:val="single" w:sz="4" w:space="0" w:color="auto"/>
              <w:right w:val="single" w:sz="4" w:space="0" w:color="auto"/>
            </w:tcBorders>
            <w:vAlign w:val="center"/>
            <w:hideMark/>
          </w:tcPr>
          <w:p w14:paraId="574C38BF" w14:textId="77777777" w:rsidR="00A51B25" w:rsidRPr="00FD7B0B" w:rsidRDefault="00A51B25" w:rsidP="00A51B25">
            <w:pPr>
              <w:spacing w:after="0" w:line="240" w:lineRule="auto"/>
              <w:rPr>
                <w:rFonts w:ascii="Times New Roman" w:eastAsia="Times New Roman" w:hAnsi="Times New Roman" w:cs="Times New Roman"/>
                <w:sz w:val="18"/>
                <w:szCs w:val="18"/>
                <w:lang w:eastAsia="ru-RU"/>
              </w:rPr>
            </w:pP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9E35C"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Коли-чествотыс.пл.куб.м</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3C041072" w14:textId="77777777" w:rsidR="00A51B25" w:rsidRPr="00FD7B0B" w:rsidRDefault="00A51B25" w:rsidP="00A51B25">
            <w:pPr>
              <w:spacing w:after="0" w:line="240" w:lineRule="auto"/>
              <w:ind w:left="-102" w:right="-51"/>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межтарифная разница, руб./пл.</w:t>
            </w:r>
          </w:p>
          <w:p w14:paraId="02F7BEF5" w14:textId="77777777" w:rsidR="00A51B25" w:rsidRPr="00FD7B0B" w:rsidRDefault="00A51B25" w:rsidP="00A51B25">
            <w:pPr>
              <w:spacing w:after="0" w:line="240" w:lineRule="auto"/>
              <w:ind w:left="-102" w:right="-51"/>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куб.м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56572CD" w14:textId="77777777" w:rsidR="00A51B25" w:rsidRPr="00FD7B0B" w:rsidRDefault="00A51B25" w:rsidP="00A51B25">
            <w:pPr>
              <w:spacing w:after="0" w:line="240" w:lineRule="auto"/>
              <w:ind w:left="-108" w:right="-107"/>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Сумма субсидии, млн.руб.</w:t>
            </w:r>
          </w:p>
        </w:tc>
        <w:tc>
          <w:tcPr>
            <w:tcW w:w="621" w:type="dxa"/>
            <w:tcBorders>
              <w:top w:val="single" w:sz="4" w:space="0" w:color="auto"/>
              <w:left w:val="nil"/>
              <w:bottom w:val="single" w:sz="4" w:space="0" w:color="auto"/>
              <w:right w:val="single" w:sz="4" w:space="0" w:color="auto"/>
            </w:tcBorders>
            <w:shd w:val="clear" w:color="auto" w:fill="auto"/>
            <w:vAlign w:val="center"/>
            <w:hideMark/>
          </w:tcPr>
          <w:p w14:paraId="4FF20C59" w14:textId="77777777" w:rsidR="00A51B25" w:rsidRPr="00FD7B0B" w:rsidRDefault="00A51B25" w:rsidP="00A51B25">
            <w:pPr>
              <w:spacing w:after="0" w:line="240" w:lineRule="auto"/>
              <w:ind w:left="-109" w:right="-5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Количество, тыс.пл.куб.м</w:t>
            </w:r>
          </w:p>
        </w:tc>
        <w:tc>
          <w:tcPr>
            <w:tcW w:w="796" w:type="dxa"/>
            <w:tcBorders>
              <w:top w:val="single" w:sz="4" w:space="0" w:color="auto"/>
              <w:left w:val="nil"/>
              <w:bottom w:val="single" w:sz="4" w:space="0" w:color="auto"/>
              <w:right w:val="single" w:sz="4" w:space="0" w:color="auto"/>
            </w:tcBorders>
            <w:shd w:val="clear" w:color="auto" w:fill="auto"/>
            <w:vAlign w:val="center"/>
            <w:hideMark/>
          </w:tcPr>
          <w:p w14:paraId="13D09611" w14:textId="77777777" w:rsidR="00A51B25" w:rsidRPr="00FD7B0B" w:rsidRDefault="00A51B25" w:rsidP="00A51B25">
            <w:pPr>
              <w:spacing w:after="0" w:line="240" w:lineRule="auto"/>
              <w:ind w:left="-21" w:right="-75"/>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межтарифная разница, руб./пл.</w:t>
            </w:r>
          </w:p>
          <w:p w14:paraId="4419B496" w14:textId="77777777" w:rsidR="00A51B25" w:rsidRPr="00FD7B0B" w:rsidRDefault="00A51B25" w:rsidP="00A51B25">
            <w:pPr>
              <w:spacing w:after="0" w:line="240" w:lineRule="auto"/>
              <w:ind w:left="-21" w:right="-75"/>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куб.м</w:t>
            </w:r>
          </w:p>
          <w:p w14:paraId="2931B0FD" w14:textId="77777777" w:rsidR="00A51B25" w:rsidRPr="00FD7B0B" w:rsidRDefault="00A51B25" w:rsidP="00A51B25">
            <w:pPr>
              <w:spacing w:after="0" w:line="240" w:lineRule="auto"/>
              <w:ind w:left="-21" w:right="-75"/>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(средний)</w:t>
            </w:r>
          </w:p>
        </w:tc>
        <w:tc>
          <w:tcPr>
            <w:tcW w:w="687" w:type="dxa"/>
            <w:gridSpan w:val="2"/>
            <w:tcBorders>
              <w:top w:val="single" w:sz="4" w:space="0" w:color="auto"/>
              <w:left w:val="nil"/>
              <w:bottom w:val="single" w:sz="4" w:space="0" w:color="auto"/>
              <w:right w:val="single" w:sz="4" w:space="0" w:color="auto"/>
            </w:tcBorders>
            <w:shd w:val="clear" w:color="auto" w:fill="auto"/>
            <w:vAlign w:val="center"/>
            <w:hideMark/>
          </w:tcPr>
          <w:p w14:paraId="725FB339" w14:textId="77777777" w:rsidR="00A51B25" w:rsidRPr="00FD7B0B" w:rsidRDefault="00A51B25" w:rsidP="00A51B25">
            <w:pPr>
              <w:spacing w:after="0" w:line="240" w:lineRule="auto"/>
              <w:ind w:left="-108" w:right="-130"/>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5C6B7F53"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Количество, тыс.пл.куб.м</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23008977" w14:textId="77777777" w:rsidR="00A51B25" w:rsidRPr="00FD7B0B" w:rsidRDefault="00A51B25" w:rsidP="00A51B25">
            <w:pPr>
              <w:spacing w:after="0" w:line="240" w:lineRule="auto"/>
              <w:ind w:left="-97" w:right="-17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межтарифная разница, руб./пл.</w:t>
            </w:r>
          </w:p>
          <w:p w14:paraId="66A66CCD" w14:textId="77777777" w:rsidR="00A51B25" w:rsidRPr="00FD7B0B" w:rsidRDefault="00A51B25" w:rsidP="00A51B25">
            <w:pPr>
              <w:spacing w:after="0" w:line="240" w:lineRule="auto"/>
              <w:ind w:left="-97" w:right="-17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куб.м (средний)</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19A8D4C2" w14:textId="77777777" w:rsidR="00A51B25" w:rsidRPr="00FD7B0B" w:rsidRDefault="00A51B25" w:rsidP="00A51B25">
            <w:pPr>
              <w:spacing w:after="0" w:line="240" w:lineRule="auto"/>
              <w:ind w:left="-43" w:right="-53"/>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Сумма субсидии,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7CF6D99C" w14:textId="77777777" w:rsidR="00A51B25" w:rsidRPr="00FD7B0B" w:rsidRDefault="00A51B25" w:rsidP="00A51B25">
            <w:pPr>
              <w:spacing w:after="0" w:line="240" w:lineRule="auto"/>
              <w:ind w:left="-59" w:right="-75"/>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 т.ч. за счет объема, млн.руб.</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25072C49"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1F3AB4AE" w14:textId="77777777" w:rsidR="00A51B25" w:rsidRPr="00FD7B0B" w:rsidRDefault="00A51B25" w:rsidP="00A51B25">
            <w:pPr>
              <w:spacing w:after="0" w:line="240" w:lineRule="auto"/>
              <w:ind w:left="-152" w:right="-86"/>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 т.ч. за счет межтарифной разницы, млн.руб.</w:t>
            </w:r>
          </w:p>
        </w:tc>
        <w:tc>
          <w:tcPr>
            <w:tcW w:w="687" w:type="dxa"/>
            <w:tcBorders>
              <w:top w:val="nil"/>
              <w:left w:val="single" w:sz="4" w:space="0" w:color="auto"/>
              <w:bottom w:val="single" w:sz="4" w:space="0" w:color="auto"/>
              <w:right w:val="double" w:sz="6" w:space="0" w:color="auto"/>
            </w:tcBorders>
            <w:shd w:val="clear" w:color="auto" w:fill="auto"/>
            <w:vAlign w:val="center"/>
            <w:hideMark/>
          </w:tcPr>
          <w:p w14:paraId="2A32279E"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r>
      <w:tr w:rsidR="00FD7B0B" w:rsidRPr="00FD7B0B" w14:paraId="4723CA5A" w14:textId="77777777" w:rsidTr="00A51B25">
        <w:trPr>
          <w:trHeight w:val="300"/>
        </w:trPr>
        <w:tc>
          <w:tcPr>
            <w:tcW w:w="851" w:type="dxa"/>
            <w:tcBorders>
              <w:top w:val="nil"/>
              <w:left w:val="double" w:sz="6" w:space="0" w:color="auto"/>
              <w:bottom w:val="single" w:sz="4" w:space="0" w:color="auto"/>
              <w:right w:val="single" w:sz="4" w:space="0" w:color="auto"/>
            </w:tcBorders>
            <w:shd w:val="clear" w:color="auto" w:fill="auto"/>
            <w:noWrap/>
            <w:vAlign w:val="center"/>
            <w:hideMark/>
          </w:tcPr>
          <w:p w14:paraId="20C50B8C"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январь-июнь</w:t>
            </w:r>
          </w:p>
        </w:tc>
        <w:tc>
          <w:tcPr>
            <w:tcW w:w="687" w:type="dxa"/>
            <w:tcBorders>
              <w:top w:val="nil"/>
              <w:left w:val="single" w:sz="4" w:space="0" w:color="auto"/>
              <w:bottom w:val="single" w:sz="4" w:space="0" w:color="auto"/>
              <w:right w:val="single" w:sz="4" w:space="0" w:color="auto"/>
            </w:tcBorders>
            <w:shd w:val="clear" w:color="auto" w:fill="auto"/>
            <w:noWrap/>
            <w:vAlign w:val="center"/>
            <w:hideMark/>
          </w:tcPr>
          <w:p w14:paraId="4258B8B9"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155,7</w:t>
            </w:r>
          </w:p>
        </w:tc>
        <w:tc>
          <w:tcPr>
            <w:tcW w:w="731" w:type="dxa"/>
            <w:tcBorders>
              <w:top w:val="nil"/>
              <w:left w:val="nil"/>
              <w:bottom w:val="single" w:sz="4" w:space="0" w:color="auto"/>
              <w:right w:val="single" w:sz="4" w:space="0" w:color="auto"/>
            </w:tcBorders>
            <w:shd w:val="clear" w:color="auto" w:fill="auto"/>
            <w:noWrap/>
            <w:vAlign w:val="center"/>
            <w:hideMark/>
          </w:tcPr>
          <w:p w14:paraId="60B37A41" w14:textId="77777777" w:rsidR="00A51B25" w:rsidRPr="00FD7B0B" w:rsidRDefault="00A51B25" w:rsidP="00A51B25">
            <w:pPr>
              <w:spacing w:after="0" w:line="240" w:lineRule="auto"/>
              <w:ind w:left="-86" w:right="-108"/>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1 939,63</w:t>
            </w:r>
          </w:p>
        </w:tc>
        <w:tc>
          <w:tcPr>
            <w:tcW w:w="709" w:type="dxa"/>
            <w:tcBorders>
              <w:top w:val="nil"/>
              <w:left w:val="nil"/>
              <w:bottom w:val="single" w:sz="4" w:space="0" w:color="auto"/>
              <w:right w:val="single" w:sz="4" w:space="0" w:color="auto"/>
            </w:tcBorders>
            <w:shd w:val="clear" w:color="auto" w:fill="auto"/>
            <w:noWrap/>
            <w:vAlign w:val="center"/>
            <w:hideMark/>
          </w:tcPr>
          <w:p w14:paraId="606602C7"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302,0</w:t>
            </w:r>
          </w:p>
        </w:tc>
        <w:tc>
          <w:tcPr>
            <w:tcW w:w="621" w:type="dxa"/>
            <w:tcBorders>
              <w:top w:val="nil"/>
              <w:left w:val="nil"/>
              <w:bottom w:val="single" w:sz="4" w:space="0" w:color="auto"/>
              <w:right w:val="single" w:sz="4" w:space="0" w:color="auto"/>
            </w:tcBorders>
            <w:shd w:val="clear" w:color="auto" w:fill="auto"/>
            <w:noWrap/>
            <w:vAlign w:val="center"/>
            <w:hideMark/>
          </w:tcPr>
          <w:p w14:paraId="44856D1A"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161,1</w:t>
            </w:r>
          </w:p>
        </w:tc>
        <w:tc>
          <w:tcPr>
            <w:tcW w:w="796" w:type="dxa"/>
            <w:tcBorders>
              <w:top w:val="nil"/>
              <w:left w:val="nil"/>
              <w:bottom w:val="single" w:sz="4" w:space="0" w:color="auto"/>
              <w:right w:val="single" w:sz="4" w:space="0" w:color="auto"/>
            </w:tcBorders>
            <w:shd w:val="clear" w:color="auto" w:fill="auto"/>
            <w:noWrap/>
            <w:vAlign w:val="center"/>
            <w:hideMark/>
          </w:tcPr>
          <w:p w14:paraId="4DB74BFF" w14:textId="77777777" w:rsidR="00A51B25" w:rsidRPr="00FD7B0B" w:rsidRDefault="00A51B25" w:rsidP="00A51B25">
            <w:pPr>
              <w:spacing w:after="0" w:line="240" w:lineRule="auto"/>
              <w:ind w:left="-55" w:right="-108"/>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2 124,15</w:t>
            </w:r>
          </w:p>
        </w:tc>
        <w:tc>
          <w:tcPr>
            <w:tcW w:w="687" w:type="dxa"/>
            <w:gridSpan w:val="2"/>
            <w:tcBorders>
              <w:top w:val="nil"/>
              <w:left w:val="nil"/>
              <w:bottom w:val="single" w:sz="4" w:space="0" w:color="auto"/>
              <w:right w:val="single" w:sz="4" w:space="0" w:color="auto"/>
            </w:tcBorders>
            <w:shd w:val="clear" w:color="auto" w:fill="auto"/>
            <w:noWrap/>
            <w:vAlign w:val="center"/>
            <w:hideMark/>
          </w:tcPr>
          <w:p w14:paraId="0BEB4F68"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342,2</w:t>
            </w:r>
          </w:p>
        </w:tc>
        <w:tc>
          <w:tcPr>
            <w:tcW w:w="687" w:type="dxa"/>
            <w:tcBorders>
              <w:top w:val="nil"/>
              <w:left w:val="nil"/>
              <w:bottom w:val="single" w:sz="4" w:space="0" w:color="auto"/>
              <w:right w:val="single" w:sz="4" w:space="0" w:color="auto"/>
            </w:tcBorders>
            <w:shd w:val="clear" w:color="auto" w:fill="auto"/>
            <w:noWrap/>
            <w:vAlign w:val="center"/>
            <w:hideMark/>
          </w:tcPr>
          <w:p w14:paraId="5D51ED1F"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5,4</w:t>
            </w:r>
          </w:p>
        </w:tc>
        <w:tc>
          <w:tcPr>
            <w:tcW w:w="687" w:type="dxa"/>
            <w:tcBorders>
              <w:top w:val="nil"/>
              <w:left w:val="nil"/>
              <w:bottom w:val="single" w:sz="4" w:space="0" w:color="auto"/>
              <w:right w:val="single" w:sz="4" w:space="0" w:color="auto"/>
            </w:tcBorders>
            <w:shd w:val="clear" w:color="auto" w:fill="auto"/>
            <w:noWrap/>
            <w:vAlign w:val="center"/>
            <w:hideMark/>
          </w:tcPr>
          <w:p w14:paraId="2B029BC6" w14:textId="77777777" w:rsidR="00A51B25" w:rsidRPr="00FD7B0B" w:rsidRDefault="00A51B25" w:rsidP="00A51B25">
            <w:pPr>
              <w:spacing w:after="0" w:line="240" w:lineRule="auto"/>
              <w:ind w:left="-65" w:right="-31"/>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184,52</w:t>
            </w:r>
          </w:p>
        </w:tc>
        <w:tc>
          <w:tcPr>
            <w:tcW w:w="687" w:type="dxa"/>
            <w:tcBorders>
              <w:top w:val="nil"/>
              <w:left w:val="nil"/>
              <w:bottom w:val="single" w:sz="4" w:space="0" w:color="auto"/>
              <w:right w:val="single" w:sz="4" w:space="0" w:color="auto"/>
            </w:tcBorders>
            <w:shd w:val="clear" w:color="auto" w:fill="auto"/>
            <w:noWrap/>
            <w:vAlign w:val="center"/>
            <w:hideMark/>
          </w:tcPr>
          <w:p w14:paraId="1E1EC8C8"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40,2</w:t>
            </w:r>
          </w:p>
        </w:tc>
        <w:tc>
          <w:tcPr>
            <w:tcW w:w="687" w:type="dxa"/>
            <w:tcBorders>
              <w:top w:val="nil"/>
              <w:left w:val="nil"/>
              <w:bottom w:val="single" w:sz="4" w:space="0" w:color="auto"/>
              <w:right w:val="single" w:sz="4" w:space="0" w:color="auto"/>
            </w:tcBorders>
            <w:shd w:val="clear" w:color="auto" w:fill="auto"/>
            <w:noWrap/>
            <w:vAlign w:val="center"/>
            <w:hideMark/>
          </w:tcPr>
          <w:p w14:paraId="1E096FEF"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11,5</w:t>
            </w:r>
          </w:p>
        </w:tc>
        <w:tc>
          <w:tcPr>
            <w:tcW w:w="687" w:type="dxa"/>
            <w:tcBorders>
              <w:top w:val="nil"/>
              <w:left w:val="nil"/>
              <w:bottom w:val="single" w:sz="4" w:space="0" w:color="auto"/>
              <w:right w:val="single" w:sz="4" w:space="0" w:color="auto"/>
            </w:tcBorders>
            <w:shd w:val="clear" w:color="auto" w:fill="auto"/>
            <w:noWrap/>
            <w:vAlign w:val="center"/>
            <w:hideMark/>
          </w:tcPr>
          <w:p w14:paraId="6B17DE0B"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28,5</w:t>
            </w:r>
          </w:p>
        </w:tc>
        <w:tc>
          <w:tcPr>
            <w:tcW w:w="687" w:type="dxa"/>
            <w:tcBorders>
              <w:top w:val="nil"/>
              <w:left w:val="nil"/>
              <w:bottom w:val="single" w:sz="4" w:space="0" w:color="auto"/>
              <w:right w:val="single" w:sz="4" w:space="0" w:color="auto"/>
            </w:tcBorders>
            <w:shd w:val="clear" w:color="auto" w:fill="auto"/>
            <w:noWrap/>
            <w:vAlign w:val="center"/>
            <w:hideMark/>
          </w:tcPr>
          <w:p w14:paraId="0DAE2B02"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28,7</w:t>
            </w:r>
          </w:p>
        </w:tc>
        <w:tc>
          <w:tcPr>
            <w:tcW w:w="687" w:type="dxa"/>
            <w:tcBorders>
              <w:top w:val="nil"/>
              <w:left w:val="single" w:sz="4" w:space="0" w:color="auto"/>
              <w:bottom w:val="single" w:sz="4" w:space="0" w:color="auto"/>
              <w:right w:val="double" w:sz="6" w:space="0" w:color="auto"/>
            </w:tcBorders>
            <w:shd w:val="clear" w:color="auto" w:fill="auto"/>
            <w:noWrap/>
            <w:vAlign w:val="center"/>
            <w:hideMark/>
          </w:tcPr>
          <w:p w14:paraId="6DB4AB7D"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71,5</w:t>
            </w:r>
          </w:p>
        </w:tc>
      </w:tr>
      <w:tr w:rsidR="00FD7B0B" w:rsidRPr="00FD7B0B" w14:paraId="4EE4882B" w14:textId="77777777" w:rsidTr="00A51B25">
        <w:trPr>
          <w:trHeight w:val="300"/>
        </w:trPr>
        <w:tc>
          <w:tcPr>
            <w:tcW w:w="851" w:type="dxa"/>
            <w:tcBorders>
              <w:top w:val="nil"/>
              <w:left w:val="double" w:sz="6" w:space="0" w:color="auto"/>
              <w:bottom w:val="single" w:sz="4" w:space="0" w:color="auto"/>
              <w:right w:val="single" w:sz="4" w:space="0" w:color="auto"/>
            </w:tcBorders>
            <w:shd w:val="clear" w:color="auto" w:fill="auto"/>
            <w:noWrap/>
            <w:vAlign w:val="center"/>
            <w:hideMark/>
          </w:tcPr>
          <w:p w14:paraId="4316C6EC"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июль-декабрь</w:t>
            </w:r>
          </w:p>
        </w:tc>
        <w:tc>
          <w:tcPr>
            <w:tcW w:w="687" w:type="dxa"/>
            <w:tcBorders>
              <w:top w:val="nil"/>
              <w:left w:val="single" w:sz="4" w:space="0" w:color="auto"/>
              <w:bottom w:val="single" w:sz="4" w:space="0" w:color="auto"/>
              <w:right w:val="single" w:sz="4" w:space="0" w:color="auto"/>
            </w:tcBorders>
            <w:shd w:val="clear" w:color="auto" w:fill="auto"/>
            <w:noWrap/>
            <w:vAlign w:val="center"/>
            <w:hideMark/>
          </w:tcPr>
          <w:p w14:paraId="5BDA189C"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122,6</w:t>
            </w:r>
          </w:p>
        </w:tc>
        <w:tc>
          <w:tcPr>
            <w:tcW w:w="731" w:type="dxa"/>
            <w:tcBorders>
              <w:top w:val="nil"/>
              <w:left w:val="nil"/>
              <w:bottom w:val="single" w:sz="4" w:space="0" w:color="auto"/>
              <w:right w:val="single" w:sz="4" w:space="0" w:color="auto"/>
            </w:tcBorders>
            <w:shd w:val="clear" w:color="auto" w:fill="auto"/>
            <w:noWrap/>
            <w:vAlign w:val="center"/>
            <w:hideMark/>
          </w:tcPr>
          <w:p w14:paraId="58EF0072" w14:textId="77777777" w:rsidR="00A51B25" w:rsidRPr="00FD7B0B" w:rsidRDefault="00A51B25" w:rsidP="00A51B25">
            <w:pPr>
              <w:spacing w:after="0" w:line="240" w:lineRule="auto"/>
              <w:ind w:left="-86" w:right="-108"/>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1 940,46</w:t>
            </w:r>
          </w:p>
        </w:tc>
        <w:tc>
          <w:tcPr>
            <w:tcW w:w="709" w:type="dxa"/>
            <w:tcBorders>
              <w:top w:val="nil"/>
              <w:left w:val="nil"/>
              <w:bottom w:val="single" w:sz="4" w:space="0" w:color="auto"/>
              <w:right w:val="single" w:sz="4" w:space="0" w:color="auto"/>
            </w:tcBorders>
            <w:shd w:val="clear" w:color="auto" w:fill="auto"/>
            <w:noWrap/>
            <w:vAlign w:val="center"/>
            <w:hideMark/>
          </w:tcPr>
          <w:p w14:paraId="63F10535"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237,9</w:t>
            </w:r>
          </w:p>
        </w:tc>
        <w:tc>
          <w:tcPr>
            <w:tcW w:w="621" w:type="dxa"/>
            <w:tcBorders>
              <w:top w:val="nil"/>
              <w:left w:val="nil"/>
              <w:bottom w:val="single" w:sz="4" w:space="0" w:color="auto"/>
              <w:right w:val="single" w:sz="4" w:space="0" w:color="auto"/>
            </w:tcBorders>
            <w:shd w:val="clear" w:color="auto" w:fill="auto"/>
            <w:noWrap/>
            <w:vAlign w:val="center"/>
            <w:hideMark/>
          </w:tcPr>
          <w:p w14:paraId="30619C65"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113,0</w:t>
            </w:r>
          </w:p>
        </w:tc>
        <w:tc>
          <w:tcPr>
            <w:tcW w:w="796" w:type="dxa"/>
            <w:tcBorders>
              <w:top w:val="nil"/>
              <w:left w:val="nil"/>
              <w:bottom w:val="single" w:sz="4" w:space="0" w:color="auto"/>
              <w:right w:val="single" w:sz="4" w:space="0" w:color="auto"/>
            </w:tcBorders>
            <w:shd w:val="clear" w:color="auto" w:fill="auto"/>
            <w:noWrap/>
            <w:vAlign w:val="center"/>
            <w:hideMark/>
          </w:tcPr>
          <w:p w14:paraId="2BB995E0" w14:textId="77777777" w:rsidR="00A51B25" w:rsidRPr="00FD7B0B" w:rsidRDefault="00A51B25" w:rsidP="00A51B25">
            <w:pPr>
              <w:spacing w:after="0" w:line="240" w:lineRule="auto"/>
              <w:ind w:left="-55" w:right="-108"/>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2 135,40</w:t>
            </w:r>
          </w:p>
        </w:tc>
        <w:tc>
          <w:tcPr>
            <w:tcW w:w="687" w:type="dxa"/>
            <w:gridSpan w:val="2"/>
            <w:tcBorders>
              <w:top w:val="nil"/>
              <w:left w:val="nil"/>
              <w:bottom w:val="single" w:sz="4" w:space="0" w:color="auto"/>
              <w:right w:val="single" w:sz="4" w:space="0" w:color="auto"/>
            </w:tcBorders>
            <w:shd w:val="clear" w:color="auto" w:fill="auto"/>
            <w:noWrap/>
            <w:vAlign w:val="center"/>
            <w:hideMark/>
          </w:tcPr>
          <w:p w14:paraId="09B77B49"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241,3</w:t>
            </w:r>
          </w:p>
        </w:tc>
        <w:tc>
          <w:tcPr>
            <w:tcW w:w="687" w:type="dxa"/>
            <w:tcBorders>
              <w:top w:val="nil"/>
              <w:left w:val="nil"/>
              <w:bottom w:val="single" w:sz="4" w:space="0" w:color="auto"/>
              <w:right w:val="single" w:sz="4" w:space="0" w:color="auto"/>
            </w:tcBorders>
            <w:shd w:val="clear" w:color="auto" w:fill="auto"/>
            <w:noWrap/>
            <w:vAlign w:val="center"/>
            <w:hideMark/>
          </w:tcPr>
          <w:p w14:paraId="5F0148E1"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w:t>
            </w:r>
          </w:p>
        </w:tc>
        <w:tc>
          <w:tcPr>
            <w:tcW w:w="687" w:type="dxa"/>
            <w:tcBorders>
              <w:top w:val="nil"/>
              <w:left w:val="nil"/>
              <w:bottom w:val="single" w:sz="4" w:space="0" w:color="auto"/>
              <w:right w:val="single" w:sz="4" w:space="0" w:color="auto"/>
            </w:tcBorders>
            <w:shd w:val="clear" w:color="auto" w:fill="auto"/>
            <w:noWrap/>
            <w:vAlign w:val="center"/>
            <w:hideMark/>
          </w:tcPr>
          <w:p w14:paraId="4F55C3C4" w14:textId="77777777" w:rsidR="00A51B25" w:rsidRPr="00FD7B0B" w:rsidRDefault="00A51B25" w:rsidP="00A51B25">
            <w:pPr>
              <w:spacing w:after="0" w:line="240" w:lineRule="auto"/>
              <w:ind w:left="-65" w:right="-31"/>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194,94</w:t>
            </w:r>
          </w:p>
        </w:tc>
        <w:tc>
          <w:tcPr>
            <w:tcW w:w="687" w:type="dxa"/>
            <w:tcBorders>
              <w:top w:val="nil"/>
              <w:left w:val="nil"/>
              <w:bottom w:val="single" w:sz="4" w:space="0" w:color="auto"/>
              <w:right w:val="single" w:sz="4" w:space="0" w:color="auto"/>
            </w:tcBorders>
            <w:shd w:val="clear" w:color="auto" w:fill="auto"/>
            <w:noWrap/>
            <w:vAlign w:val="center"/>
            <w:hideMark/>
          </w:tcPr>
          <w:p w14:paraId="284422DA"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3,4</w:t>
            </w:r>
          </w:p>
        </w:tc>
        <w:tc>
          <w:tcPr>
            <w:tcW w:w="687" w:type="dxa"/>
            <w:tcBorders>
              <w:top w:val="nil"/>
              <w:left w:val="nil"/>
              <w:bottom w:val="single" w:sz="4" w:space="0" w:color="auto"/>
              <w:right w:val="single" w:sz="4" w:space="0" w:color="auto"/>
            </w:tcBorders>
            <w:shd w:val="clear" w:color="auto" w:fill="auto"/>
            <w:noWrap/>
            <w:vAlign w:val="center"/>
            <w:hideMark/>
          </w:tcPr>
          <w:p w14:paraId="58F9C735"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-20,5</w:t>
            </w:r>
          </w:p>
        </w:tc>
        <w:tc>
          <w:tcPr>
            <w:tcW w:w="687" w:type="dxa"/>
            <w:tcBorders>
              <w:top w:val="nil"/>
              <w:left w:val="nil"/>
              <w:bottom w:val="single" w:sz="4" w:space="0" w:color="auto"/>
              <w:right w:val="single" w:sz="4" w:space="0" w:color="auto"/>
            </w:tcBorders>
            <w:shd w:val="clear" w:color="auto" w:fill="auto"/>
            <w:noWrap/>
            <w:vAlign w:val="center"/>
            <w:hideMark/>
          </w:tcPr>
          <w:p w14:paraId="015C1712"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-602,9</w:t>
            </w:r>
          </w:p>
        </w:tc>
        <w:tc>
          <w:tcPr>
            <w:tcW w:w="687" w:type="dxa"/>
            <w:tcBorders>
              <w:top w:val="nil"/>
              <w:left w:val="nil"/>
              <w:bottom w:val="single" w:sz="4" w:space="0" w:color="auto"/>
              <w:right w:val="single" w:sz="4" w:space="0" w:color="auto"/>
            </w:tcBorders>
            <w:shd w:val="clear" w:color="auto" w:fill="auto"/>
            <w:noWrap/>
            <w:vAlign w:val="center"/>
            <w:hideMark/>
          </w:tcPr>
          <w:p w14:paraId="44EDC6B6"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23,9</w:t>
            </w:r>
          </w:p>
        </w:tc>
        <w:tc>
          <w:tcPr>
            <w:tcW w:w="687" w:type="dxa"/>
            <w:tcBorders>
              <w:top w:val="nil"/>
              <w:left w:val="single" w:sz="4" w:space="0" w:color="auto"/>
              <w:bottom w:val="single" w:sz="4" w:space="0" w:color="auto"/>
              <w:right w:val="double" w:sz="6" w:space="0" w:color="auto"/>
            </w:tcBorders>
            <w:shd w:val="clear" w:color="auto" w:fill="auto"/>
            <w:noWrap/>
            <w:vAlign w:val="center"/>
            <w:hideMark/>
          </w:tcPr>
          <w:p w14:paraId="70ECFE4B"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702,9</w:t>
            </w:r>
          </w:p>
        </w:tc>
      </w:tr>
      <w:tr w:rsidR="00FD7B0B" w:rsidRPr="00FD7B0B" w14:paraId="08AADE1C" w14:textId="77777777" w:rsidTr="00320CA6">
        <w:trPr>
          <w:trHeight w:val="120"/>
        </w:trPr>
        <w:tc>
          <w:tcPr>
            <w:tcW w:w="851" w:type="dxa"/>
            <w:tcBorders>
              <w:top w:val="nil"/>
              <w:left w:val="double" w:sz="6" w:space="0" w:color="auto"/>
              <w:bottom w:val="double" w:sz="6" w:space="0" w:color="auto"/>
              <w:right w:val="single" w:sz="4" w:space="0" w:color="auto"/>
            </w:tcBorders>
            <w:shd w:val="clear" w:color="auto" w:fill="auto"/>
            <w:noWrap/>
            <w:vAlign w:val="center"/>
            <w:hideMark/>
          </w:tcPr>
          <w:p w14:paraId="3048BC74"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ИТОГО</w:t>
            </w:r>
          </w:p>
        </w:tc>
        <w:tc>
          <w:tcPr>
            <w:tcW w:w="687" w:type="dxa"/>
            <w:tcBorders>
              <w:top w:val="nil"/>
              <w:left w:val="single" w:sz="4" w:space="0" w:color="auto"/>
              <w:bottom w:val="double" w:sz="6" w:space="0" w:color="auto"/>
              <w:right w:val="single" w:sz="4" w:space="0" w:color="auto"/>
            </w:tcBorders>
            <w:shd w:val="clear" w:color="auto" w:fill="auto"/>
            <w:noWrap/>
            <w:vAlign w:val="center"/>
            <w:hideMark/>
          </w:tcPr>
          <w:p w14:paraId="71727804"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278,3</w:t>
            </w:r>
          </w:p>
        </w:tc>
        <w:tc>
          <w:tcPr>
            <w:tcW w:w="731" w:type="dxa"/>
            <w:tcBorders>
              <w:top w:val="nil"/>
              <w:left w:val="nil"/>
              <w:bottom w:val="double" w:sz="6" w:space="0" w:color="auto"/>
              <w:right w:val="single" w:sz="4" w:space="0" w:color="auto"/>
            </w:tcBorders>
            <w:shd w:val="clear" w:color="auto" w:fill="auto"/>
            <w:noWrap/>
            <w:vAlign w:val="center"/>
            <w:hideMark/>
          </w:tcPr>
          <w:p w14:paraId="4F733567"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p>
        </w:tc>
        <w:tc>
          <w:tcPr>
            <w:tcW w:w="709" w:type="dxa"/>
            <w:tcBorders>
              <w:top w:val="nil"/>
              <w:left w:val="nil"/>
              <w:bottom w:val="double" w:sz="6" w:space="0" w:color="auto"/>
              <w:right w:val="single" w:sz="4" w:space="0" w:color="auto"/>
            </w:tcBorders>
            <w:shd w:val="clear" w:color="auto" w:fill="auto"/>
            <w:noWrap/>
            <w:vAlign w:val="center"/>
            <w:hideMark/>
          </w:tcPr>
          <w:p w14:paraId="11D48551"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539,9</w:t>
            </w:r>
          </w:p>
        </w:tc>
        <w:tc>
          <w:tcPr>
            <w:tcW w:w="621" w:type="dxa"/>
            <w:tcBorders>
              <w:top w:val="nil"/>
              <w:left w:val="nil"/>
              <w:bottom w:val="double" w:sz="6" w:space="0" w:color="auto"/>
              <w:right w:val="single" w:sz="4" w:space="0" w:color="auto"/>
            </w:tcBorders>
            <w:shd w:val="clear" w:color="auto" w:fill="auto"/>
            <w:noWrap/>
            <w:vAlign w:val="center"/>
            <w:hideMark/>
          </w:tcPr>
          <w:p w14:paraId="210B2030"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274,1</w:t>
            </w:r>
          </w:p>
        </w:tc>
        <w:tc>
          <w:tcPr>
            <w:tcW w:w="796" w:type="dxa"/>
            <w:tcBorders>
              <w:top w:val="nil"/>
              <w:left w:val="nil"/>
              <w:bottom w:val="double" w:sz="6" w:space="0" w:color="auto"/>
              <w:right w:val="single" w:sz="4" w:space="0" w:color="auto"/>
            </w:tcBorders>
            <w:shd w:val="clear" w:color="auto" w:fill="auto"/>
            <w:noWrap/>
            <w:vAlign w:val="center"/>
            <w:hideMark/>
          </w:tcPr>
          <w:p w14:paraId="42DE87E9"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p>
        </w:tc>
        <w:tc>
          <w:tcPr>
            <w:tcW w:w="687" w:type="dxa"/>
            <w:gridSpan w:val="2"/>
            <w:tcBorders>
              <w:top w:val="nil"/>
              <w:left w:val="nil"/>
              <w:bottom w:val="double" w:sz="6" w:space="0" w:color="auto"/>
              <w:right w:val="single" w:sz="4" w:space="0" w:color="auto"/>
            </w:tcBorders>
            <w:shd w:val="clear" w:color="auto" w:fill="auto"/>
            <w:noWrap/>
            <w:vAlign w:val="center"/>
            <w:hideMark/>
          </w:tcPr>
          <w:p w14:paraId="6E10D181"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583,5</w:t>
            </w:r>
          </w:p>
        </w:tc>
        <w:tc>
          <w:tcPr>
            <w:tcW w:w="687" w:type="dxa"/>
            <w:tcBorders>
              <w:top w:val="nil"/>
              <w:left w:val="nil"/>
              <w:bottom w:val="double" w:sz="6" w:space="0" w:color="auto"/>
              <w:right w:val="single" w:sz="4" w:space="0" w:color="auto"/>
            </w:tcBorders>
            <w:shd w:val="clear" w:color="auto" w:fill="auto"/>
            <w:noWrap/>
            <w:vAlign w:val="center"/>
            <w:hideMark/>
          </w:tcPr>
          <w:p w14:paraId="1642363B"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-4,2</w:t>
            </w:r>
          </w:p>
        </w:tc>
        <w:tc>
          <w:tcPr>
            <w:tcW w:w="687" w:type="dxa"/>
            <w:tcBorders>
              <w:top w:val="nil"/>
              <w:left w:val="nil"/>
              <w:bottom w:val="double" w:sz="6" w:space="0" w:color="auto"/>
              <w:right w:val="single" w:sz="4" w:space="0" w:color="auto"/>
            </w:tcBorders>
            <w:shd w:val="clear" w:color="auto" w:fill="auto"/>
            <w:noWrap/>
            <w:vAlign w:val="center"/>
            <w:hideMark/>
          </w:tcPr>
          <w:p w14:paraId="05272C5C"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p>
        </w:tc>
        <w:tc>
          <w:tcPr>
            <w:tcW w:w="687" w:type="dxa"/>
            <w:tcBorders>
              <w:top w:val="nil"/>
              <w:left w:val="nil"/>
              <w:bottom w:val="double" w:sz="6" w:space="0" w:color="auto"/>
              <w:right w:val="single" w:sz="4" w:space="0" w:color="auto"/>
            </w:tcBorders>
            <w:shd w:val="clear" w:color="auto" w:fill="auto"/>
            <w:noWrap/>
            <w:vAlign w:val="center"/>
            <w:hideMark/>
          </w:tcPr>
          <w:p w14:paraId="4ADD7E5E"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43,6</w:t>
            </w:r>
          </w:p>
        </w:tc>
        <w:tc>
          <w:tcPr>
            <w:tcW w:w="687" w:type="dxa"/>
            <w:tcBorders>
              <w:top w:val="nil"/>
              <w:left w:val="nil"/>
              <w:bottom w:val="double" w:sz="6" w:space="0" w:color="auto"/>
              <w:right w:val="single" w:sz="4" w:space="0" w:color="auto"/>
            </w:tcBorders>
            <w:shd w:val="clear" w:color="auto" w:fill="auto"/>
            <w:noWrap/>
            <w:vAlign w:val="center"/>
            <w:hideMark/>
          </w:tcPr>
          <w:p w14:paraId="2E45B7CA"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-9,0</w:t>
            </w:r>
          </w:p>
        </w:tc>
        <w:tc>
          <w:tcPr>
            <w:tcW w:w="687" w:type="dxa"/>
            <w:tcBorders>
              <w:top w:val="nil"/>
              <w:left w:val="nil"/>
              <w:bottom w:val="double" w:sz="6" w:space="0" w:color="auto"/>
              <w:right w:val="single" w:sz="4" w:space="0" w:color="auto"/>
            </w:tcBorders>
            <w:shd w:val="clear" w:color="auto" w:fill="auto"/>
            <w:noWrap/>
            <w:vAlign w:val="center"/>
            <w:hideMark/>
          </w:tcPr>
          <w:p w14:paraId="43A8797A"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-20,7</w:t>
            </w:r>
          </w:p>
        </w:tc>
        <w:tc>
          <w:tcPr>
            <w:tcW w:w="687" w:type="dxa"/>
            <w:tcBorders>
              <w:top w:val="nil"/>
              <w:left w:val="nil"/>
              <w:bottom w:val="double" w:sz="6" w:space="0" w:color="auto"/>
              <w:right w:val="single" w:sz="4" w:space="0" w:color="auto"/>
            </w:tcBorders>
            <w:shd w:val="clear" w:color="auto" w:fill="auto"/>
            <w:noWrap/>
            <w:vAlign w:val="center"/>
            <w:hideMark/>
          </w:tcPr>
          <w:p w14:paraId="314926E5"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52,6</w:t>
            </w:r>
          </w:p>
        </w:tc>
        <w:tc>
          <w:tcPr>
            <w:tcW w:w="687" w:type="dxa"/>
            <w:tcBorders>
              <w:top w:val="nil"/>
              <w:left w:val="single" w:sz="4" w:space="0" w:color="auto"/>
              <w:bottom w:val="double" w:sz="6" w:space="0" w:color="auto"/>
              <w:right w:val="double" w:sz="6" w:space="0" w:color="auto"/>
            </w:tcBorders>
            <w:shd w:val="clear" w:color="auto" w:fill="auto"/>
            <w:noWrap/>
            <w:vAlign w:val="center"/>
            <w:hideMark/>
          </w:tcPr>
          <w:p w14:paraId="5E65F668" w14:textId="77777777" w:rsidR="00A51B25" w:rsidRPr="00FD7B0B" w:rsidRDefault="00A51B25" w:rsidP="00A51B25">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120,7</w:t>
            </w:r>
          </w:p>
        </w:tc>
      </w:tr>
    </w:tbl>
    <w:p w14:paraId="1E1781FC"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06E261AA"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Увеличение потребности в средствах субсидии ∆Д в отчетном периоде </w:t>
      </w:r>
      <w:r w:rsidRPr="00FD7B0B">
        <w:rPr>
          <w:rFonts w:ascii="Times New Roman" w:eastAsia="Times New Roman" w:hAnsi="Times New Roman"/>
          <w:sz w:val="28"/>
          <w:szCs w:val="28"/>
          <w:lang w:eastAsia="ru-RU"/>
        </w:rPr>
        <w:br/>
        <w:t>на 43,6 млн.руб. (на 8,1 % к 2023 году) при снижении субсидируемого объема топлива твердого, реализованного населению, обусловлено ростом экономически обоснованной стоимости топлива твердого и межтарифной разницы.</w:t>
      </w:r>
    </w:p>
    <w:p w14:paraId="35C96451" w14:textId="304D8F3E"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Информация по топливоснабжающим организациям с наибольшим удельным весом в объеме реализации топлива твердого представлена в таблице </w:t>
      </w:r>
      <w:r w:rsidR="00960798" w:rsidRPr="00FD7B0B">
        <w:rPr>
          <w:rFonts w:ascii="Times New Roman" w:eastAsia="Times New Roman" w:hAnsi="Times New Roman"/>
          <w:sz w:val="28"/>
          <w:szCs w:val="28"/>
          <w:lang w:eastAsia="ru-RU"/>
        </w:rPr>
        <w:t>176</w:t>
      </w:r>
      <w:r w:rsidRPr="00FD7B0B">
        <w:rPr>
          <w:rFonts w:ascii="Times New Roman" w:eastAsia="Times New Roman" w:hAnsi="Times New Roman"/>
          <w:sz w:val="28"/>
          <w:szCs w:val="28"/>
          <w:lang w:eastAsia="ru-RU"/>
        </w:rPr>
        <w:t>.</w:t>
      </w:r>
    </w:p>
    <w:p w14:paraId="0A1A3BB0" w14:textId="77777777" w:rsidR="00A51B25" w:rsidRPr="00FD7B0B" w:rsidRDefault="00A51B25" w:rsidP="00A51B25">
      <w:pPr>
        <w:pStyle w:val="aff0"/>
        <w:spacing w:after="0" w:line="240" w:lineRule="auto"/>
        <w:rPr>
          <w:rFonts w:ascii="Times New Roman" w:hAnsi="Times New Roman"/>
          <w:b w:val="0"/>
          <w:sz w:val="24"/>
          <w:szCs w:val="24"/>
        </w:rPr>
      </w:pPr>
    </w:p>
    <w:p w14:paraId="2B70949F" w14:textId="4E2AF0CF" w:rsidR="00A51B25" w:rsidRPr="00FD7B0B" w:rsidRDefault="00A51B25" w:rsidP="00A51B2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176</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Изменения объемов реализации топлива твердого населению и потребности в средствах субсидии ∆Д за 2023</w:t>
      </w:r>
      <w:r w:rsidR="00960798" w:rsidRPr="00FD7B0B">
        <w:rPr>
          <w:rFonts w:ascii="Times New Roman" w:hAnsi="Times New Roman"/>
          <w:b w:val="0"/>
          <w:sz w:val="24"/>
          <w:szCs w:val="24"/>
        </w:rPr>
        <w:t xml:space="preserve"> – </w:t>
      </w:r>
      <w:r w:rsidRPr="00FD7B0B">
        <w:rPr>
          <w:rFonts w:ascii="Times New Roman" w:hAnsi="Times New Roman"/>
          <w:b w:val="0"/>
          <w:sz w:val="24"/>
          <w:szCs w:val="24"/>
        </w:rPr>
        <w:t>2024 годы в разрезе предприятий</w:t>
      </w:r>
    </w:p>
    <w:tbl>
      <w:tblPr>
        <w:tblW w:w="9448" w:type="dxa"/>
        <w:jc w:val="center"/>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Look w:val="04A0" w:firstRow="1" w:lastRow="0" w:firstColumn="1" w:lastColumn="0" w:noHBand="0" w:noVBand="1"/>
      </w:tblPr>
      <w:tblGrid>
        <w:gridCol w:w="1768"/>
        <w:gridCol w:w="1470"/>
        <w:gridCol w:w="1035"/>
        <w:gridCol w:w="1035"/>
        <w:gridCol w:w="1035"/>
        <w:gridCol w:w="1035"/>
        <w:gridCol w:w="1035"/>
        <w:gridCol w:w="1035"/>
      </w:tblGrid>
      <w:tr w:rsidR="00FD7B0B" w:rsidRPr="00FD7B0B" w14:paraId="618A4A21" w14:textId="77777777" w:rsidTr="00320CA6">
        <w:trPr>
          <w:trHeight w:val="315"/>
          <w:jc w:val="center"/>
        </w:trPr>
        <w:tc>
          <w:tcPr>
            <w:tcW w:w="1768" w:type="dxa"/>
            <w:vMerge w:val="restart"/>
            <w:shd w:val="clear" w:color="auto" w:fill="auto"/>
            <w:vAlign w:val="center"/>
            <w:hideMark/>
          </w:tcPr>
          <w:p w14:paraId="19026EC2"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организации</w:t>
            </w:r>
          </w:p>
        </w:tc>
        <w:tc>
          <w:tcPr>
            <w:tcW w:w="1470" w:type="dxa"/>
            <w:vMerge w:val="restart"/>
            <w:shd w:val="clear" w:color="auto" w:fill="auto"/>
            <w:vAlign w:val="center"/>
            <w:hideMark/>
          </w:tcPr>
          <w:p w14:paraId="0D5FB789"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Удельный вес топлива твердого, реализуемого предприяти-ем, в общем субсидиру-емом объеме за 2024 год, %</w:t>
            </w:r>
          </w:p>
        </w:tc>
        <w:tc>
          <w:tcPr>
            <w:tcW w:w="2070" w:type="dxa"/>
            <w:gridSpan w:val="2"/>
            <w:shd w:val="clear" w:color="auto" w:fill="auto"/>
            <w:vAlign w:val="center"/>
            <w:hideMark/>
          </w:tcPr>
          <w:p w14:paraId="2C10B8F2"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2023 год </w:t>
            </w:r>
          </w:p>
        </w:tc>
        <w:tc>
          <w:tcPr>
            <w:tcW w:w="2070" w:type="dxa"/>
            <w:gridSpan w:val="2"/>
            <w:shd w:val="clear" w:color="auto" w:fill="auto"/>
            <w:vAlign w:val="center"/>
            <w:hideMark/>
          </w:tcPr>
          <w:p w14:paraId="1893DBE8"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2024 год </w:t>
            </w:r>
          </w:p>
        </w:tc>
        <w:tc>
          <w:tcPr>
            <w:tcW w:w="2070" w:type="dxa"/>
            <w:gridSpan w:val="2"/>
            <w:shd w:val="clear" w:color="auto" w:fill="auto"/>
            <w:vAlign w:val="center"/>
            <w:hideMark/>
          </w:tcPr>
          <w:p w14:paraId="7B680B66" w14:textId="77777777" w:rsidR="00A51B25" w:rsidRPr="00FD7B0B" w:rsidRDefault="00A51B25" w:rsidP="00A51B2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2024 год к 2023 году, % </w:t>
            </w:r>
          </w:p>
        </w:tc>
      </w:tr>
      <w:tr w:rsidR="00FD7B0B" w:rsidRPr="00FD7B0B" w14:paraId="30BE07B2" w14:textId="77777777" w:rsidTr="00320CA6">
        <w:trPr>
          <w:trHeight w:val="1776"/>
          <w:jc w:val="center"/>
        </w:trPr>
        <w:tc>
          <w:tcPr>
            <w:tcW w:w="1768" w:type="dxa"/>
            <w:vMerge/>
            <w:vAlign w:val="center"/>
            <w:hideMark/>
          </w:tcPr>
          <w:p w14:paraId="114ABA6B" w14:textId="77777777" w:rsidR="00A51B25" w:rsidRPr="00FD7B0B" w:rsidRDefault="00A51B25" w:rsidP="00A51B25">
            <w:pPr>
              <w:spacing w:after="0" w:line="240" w:lineRule="auto"/>
              <w:rPr>
                <w:rFonts w:ascii="Times New Roman" w:eastAsia="Times New Roman" w:hAnsi="Times New Roman" w:cs="Times New Roman"/>
                <w:sz w:val="20"/>
                <w:szCs w:val="20"/>
                <w:lang w:eastAsia="ru-RU"/>
              </w:rPr>
            </w:pPr>
          </w:p>
        </w:tc>
        <w:tc>
          <w:tcPr>
            <w:tcW w:w="1470" w:type="dxa"/>
            <w:vMerge/>
            <w:vAlign w:val="center"/>
            <w:hideMark/>
          </w:tcPr>
          <w:p w14:paraId="7ADE59F5" w14:textId="77777777" w:rsidR="00A51B25" w:rsidRPr="00FD7B0B" w:rsidRDefault="00A51B25" w:rsidP="00A51B25">
            <w:pPr>
              <w:spacing w:after="0" w:line="240" w:lineRule="auto"/>
              <w:rPr>
                <w:rFonts w:ascii="Times New Roman" w:eastAsia="Times New Roman" w:hAnsi="Times New Roman" w:cs="Times New Roman"/>
                <w:sz w:val="20"/>
                <w:szCs w:val="20"/>
                <w:lang w:eastAsia="ru-RU"/>
              </w:rPr>
            </w:pPr>
          </w:p>
        </w:tc>
        <w:tc>
          <w:tcPr>
            <w:tcW w:w="1035" w:type="dxa"/>
            <w:shd w:val="clear" w:color="auto" w:fill="auto"/>
            <w:vAlign w:val="center"/>
            <w:hideMark/>
          </w:tcPr>
          <w:p w14:paraId="3F2E09F5" w14:textId="77777777" w:rsidR="00A51B25" w:rsidRPr="00FD7B0B" w:rsidRDefault="00A51B25" w:rsidP="00A51B25">
            <w:pPr>
              <w:spacing w:after="0" w:line="240" w:lineRule="auto"/>
              <w:ind w:left="-108" w:right="-112"/>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Фактичес-кий объем топлива твердого, реализо-ванного населению, тыс.куб.м</w:t>
            </w:r>
          </w:p>
        </w:tc>
        <w:tc>
          <w:tcPr>
            <w:tcW w:w="1035" w:type="dxa"/>
            <w:shd w:val="clear" w:color="auto" w:fill="auto"/>
            <w:vAlign w:val="center"/>
            <w:hideMark/>
          </w:tcPr>
          <w:p w14:paraId="6440E2E1" w14:textId="77777777" w:rsidR="00A51B25" w:rsidRPr="00FD7B0B" w:rsidRDefault="00A51B25" w:rsidP="00A51B25">
            <w:pPr>
              <w:spacing w:after="0" w:line="240" w:lineRule="auto"/>
              <w:ind w:left="-108" w:right="-112"/>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Потреб-ность в средствах субсидии, млн.руб.</w:t>
            </w:r>
          </w:p>
        </w:tc>
        <w:tc>
          <w:tcPr>
            <w:tcW w:w="1035" w:type="dxa"/>
            <w:shd w:val="clear" w:color="auto" w:fill="auto"/>
            <w:vAlign w:val="center"/>
            <w:hideMark/>
          </w:tcPr>
          <w:p w14:paraId="284CBAA4" w14:textId="77777777" w:rsidR="00A51B25" w:rsidRPr="00FD7B0B" w:rsidRDefault="00A51B25" w:rsidP="00A51B25">
            <w:pPr>
              <w:spacing w:after="0" w:line="240" w:lineRule="auto"/>
              <w:ind w:left="-108" w:right="-112"/>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Фактичес-кий объем топлива твердого, реализо-ванного населению, тыс.куб.м</w:t>
            </w:r>
          </w:p>
        </w:tc>
        <w:tc>
          <w:tcPr>
            <w:tcW w:w="1035" w:type="dxa"/>
            <w:shd w:val="clear" w:color="auto" w:fill="auto"/>
            <w:vAlign w:val="center"/>
            <w:hideMark/>
          </w:tcPr>
          <w:p w14:paraId="22A0E472" w14:textId="77777777" w:rsidR="00A51B25" w:rsidRPr="00FD7B0B" w:rsidRDefault="00A51B25" w:rsidP="00A51B25">
            <w:pPr>
              <w:spacing w:after="0" w:line="240" w:lineRule="auto"/>
              <w:ind w:left="-108" w:right="-112"/>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Потреб-ность в средствах субсидии, млн.руб.</w:t>
            </w:r>
          </w:p>
        </w:tc>
        <w:tc>
          <w:tcPr>
            <w:tcW w:w="1035" w:type="dxa"/>
            <w:shd w:val="clear" w:color="auto" w:fill="auto"/>
            <w:vAlign w:val="center"/>
            <w:hideMark/>
          </w:tcPr>
          <w:p w14:paraId="1168AC1A" w14:textId="77777777" w:rsidR="00A51B25" w:rsidRPr="00FD7B0B" w:rsidRDefault="00A51B25" w:rsidP="00A51B25">
            <w:pPr>
              <w:spacing w:after="0" w:line="240" w:lineRule="auto"/>
              <w:ind w:left="-108" w:right="-112"/>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Фактичес-кий объем топлива твердого, реализо-ванного населению</w:t>
            </w:r>
          </w:p>
        </w:tc>
        <w:tc>
          <w:tcPr>
            <w:tcW w:w="1035" w:type="dxa"/>
            <w:shd w:val="clear" w:color="auto" w:fill="auto"/>
            <w:vAlign w:val="center"/>
            <w:hideMark/>
          </w:tcPr>
          <w:p w14:paraId="779F2E3E" w14:textId="77777777" w:rsidR="00A51B25" w:rsidRPr="00FD7B0B" w:rsidRDefault="00A51B25" w:rsidP="00A51B25">
            <w:pPr>
              <w:spacing w:after="0" w:line="240" w:lineRule="auto"/>
              <w:ind w:left="-108" w:right="-112"/>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Потреб-ность в средствах субсидии </w:t>
            </w:r>
          </w:p>
        </w:tc>
      </w:tr>
      <w:tr w:rsidR="00FD7B0B" w:rsidRPr="00FD7B0B" w14:paraId="4FAA67B5" w14:textId="77777777" w:rsidTr="00320CA6">
        <w:trPr>
          <w:trHeight w:hRule="exact" w:val="255"/>
          <w:jc w:val="center"/>
        </w:trPr>
        <w:tc>
          <w:tcPr>
            <w:tcW w:w="1768" w:type="dxa"/>
            <w:shd w:val="clear" w:color="auto" w:fill="auto"/>
            <w:vAlign w:val="center"/>
            <w:hideMark/>
          </w:tcPr>
          <w:p w14:paraId="053A0538" w14:textId="77777777" w:rsidR="00A51B25" w:rsidRPr="00FD7B0B" w:rsidRDefault="00A51B25" w:rsidP="00A51B25">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ООО «Биотоп»</w:t>
            </w:r>
          </w:p>
        </w:tc>
        <w:tc>
          <w:tcPr>
            <w:tcW w:w="1470" w:type="dxa"/>
            <w:shd w:val="clear" w:color="auto" w:fill="auto"/>
            <w:vAlign w:val="center"/>
          </w:tcPr>
          <w:p w14:paraId="1DE6E8B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7,0</w:t>
            </w:r>
          </w:p>
        </w:tc>
        <w:tc>
          <w:tcPr>
            <w:tcW w:w="1035" w:type="dxa"/>
            <w:shd w:val="clear" w:color="auto" w:fill="auto"/>
            <w:vAlign w:val="center"/>
            <w:hideMark/>
          </w:tcPr>
          <w:p w14:paraId="3E7BB21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23,1</w:t>
            </w:r>
          </w:p>
        </w:tc>
        <w:tc>
          <w:tcPr>
            <w:tcW w:w="1035" w:type="dxa"/>
            <w:shd w:val="clear" w:color="auto" w:fill="auto"/>
            <w:vAlign w:val="center"/>
            <w:hideMark/>
          </w:tcPr>
          <w:p w14:paraId="2A6BF9D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58,0</w:t>
            </w:r>
          </w:p>
        </w:tc>
        <w:tc>
          <w:tcPr>
            <w:tcW w:w="1035" w:type="dxa"/>
            <w:shd w:val="clear" w:color="auto" w:fill="auto"/>
            <w:vAlign w:val="center"/>
          </w:tcPr>
          <w:p w14:paraId="0B5D878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19,3</w:t>
            </w:r>
          </w:p>
        </w:tc>
        <w:tc>
          <w:tcPr>
            <w:tcW w:w="1035" w:type="dxa"/>
            <w:shd w:val="clear" w:color="auto" w:fill="auto"/>
            <w:vAlign w:val="center"/>
          </w:tcPr>
          <w:p w14:paraId="1E2408C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62,0</w:t>
            </w:r>
          </w:p>
        </w:tc>
        <w:tc>
          <w:tcPr>
            <w:tcW w:w="1035" w:type="dxa"/>
            <w:shd w:val="clear" w:color="auto" w:fill="auto"/>
            <w:vAlign w:val="center"/>
          </w:tcPr>
          <w:p w14:paraId="6771748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83,5</w:t>
            </w:r>
          </w:p>
        </w:tc>
        <w:tc>
          <w:tcPr>
            <w:tcW w:w="1035" w:type="dxa"/>
            <w:shd w:val="clear" w:color="auto" w:fill="auto"/>
            <w:vAlign w:val="center"/>
          </w:tcPr>
          <w:p w14:paraId="068FA49A"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106,9</w:t>
            </w:r>
          </w:p>
        </w:tc>
      </w:tr>
      <w:tr w:rsidR="00FD7B0B" w:rsidRPr="00FD7B0B" w14:paraId="328C44A1" w14:textId="77777777" w:rsidTr="00320CA6">
        <w:trPr>
          <w:trHeight w:hRule="exact" w:val="255"/>
          <w:jc w:val="center"/>
        </w:trPr>
        <w:tc>
          <w:tcPr>
            <w:tcW w:w="1768" w:type="dxa"/>
            <w:shd w:val="clear" w:color="auto" w:fill="auto"/>
            <w:vAlign w:val="center"/>
            <w:hideMark/>
          </w:tcPr>
          <w:p w14:paraId="57597AB2" w14:textId="77777777" w:rsidR="00A51B25" w:rsidRPr="00FD7B0B" w:rsidRDefault="00A51B25" w:rsidP="00A51B25">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ООО «Двина»</w:t>
            </w:r>
          </w:p>
        </w:tc>
        <w:tc>
          <w:tcPr>
            <w:tcW w:w="1470" w:type="dxa"/>
            <w:shd w:val="clear" w:color="auto" w:fill="auto"/>
            <w:vAlign w:val="center"/>
          </w:tcPr>
          <w:p w14:paraId="1EC4E6B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15,2</w:t>
            </w:r>
          </w:p>
        </w:tc>
        <w:tc>
          <w:tcPr>
            <w:tcW w:w="1035" w:type="dxa"/>
            <w:shd w:val="clear" w:color="auto" w:fill="auto"/>
            <w:vAlign w:val="center"/>
            <w:hideMark/>
          </w:tcPr>
          <w:p w14:paraId="02D4C5F8"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40,2</w:t>
            </w:r>
          </w:p>
        </w:tc>
        <w:tc>
          <w:tcPr>
            <w:tcW w:w="1035" w:type="dxa"/>
            <w:shd w:val="clear" w:color="auto" w:fill="auto"/>
            <w:vAlign w:val="center"/>
            <w:hideMark/>
          </w:tcPr>
          <w:p w14:paraId="37BB5E6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89,9</w:t>
            </w:r>
          </w:p>
        </w:tc>
        <w:tc>
          <w:tcPr>
            <w:tcW w:w="1035" w:type="dxa"/>
            <w:shd w:val="clear" w:color="auto" w:fill="auto"/>
            <w:vAlign w:val="center"/>
          </w:tcPr>
          <w:p w14:paraId="2A20C4A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41,5</w:t>
            </w:r>
          </w:p>
        </w:tc>
        <w:tc>
          <w:tcPr>
            <w:tcW w:w="1035" w:type="dxa"/>
            <w:shd w:val="clear" w:color="auto" w:fill="auto"/>
            <w:vAlign w:val="center"/>
          </w:tcPr>
          <w:p w14:paraId="4624E62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95,2</w:t>
            </w:r>
          </w:p>
        </w:tc>
        <w:tc>
          <w:tcPr>
            <w:tcW w:w="1035" w:type="dxa"/>
            <w:shd w:val="clear" w:color="auto" w:fill="auto"/>
            <w:vAlign w:val="center"/>
          </w:tcPr>
          <w:p w14:paraId="109D40F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103,2</w:t>
            </w:r>
          </w:p>
        </w:tc>
        <w:tc>
          <w:tcPr>
            <w:tcW w:w="1035" w:type="dxa"/>
            <w:shd w:val="clear" w:color="auto" w:fill="auto"/>
            <w:vAlign w:val="center"/>
          </w:tcPr>
          <w:p w14:paraId="7BD1969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105,9</w:t>
            </w:r>
          </w:p>
        </w:tc>
      </w:tr>
      <w:tr w:rsidR="00FD7B0B" w:rsidRPr="00FD7B0B" w14:paraId="1D18FE5D" w14:textId="77777777" w:rsidTr="00320CA6">
        <w:trPr>
          <w:trHeight w:hRule="exact" w:val="255"/>
          <w:jc w:val="center"/>
        </w:trPr>
        <w:tc>
          <w:tcPr>
            <w:tcW w:w="1768" w:type="dxa"/>
            <w:shd w:val="clear" w:color="auto" w:fill="auto"/>
            <w:vAlign w:val="center"/>
            <w:hideMark/>
          </w:tcPr>
          <w:p w14:paraId="4A31997F" w14:textId="77777777" w:rsidR="00A51B25" w:rsidRPr="00FD7B0B" w:rsidRDefault="00A51B25" w:rsidP="00A51B25">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ООО «МПМК»</w:t>
            </w:r>
          </w:p>
        </w:tc>
        <w:tc>
          <w:tcPr>
            <w:tcW w:w="1470" w:type="dxa"/>
            <w:shd w:val="clear" w:color="auto" w:fill="auto"/>
            <w:vAlign w:val="center"/>
          </w:tcPr>
          <w:p w14:paraId="6BDA822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6,8</w:t>
            </w:r>
          </w:p>
        </w:tc>
        <w:tc>
          <w:tcPr>
            <w:tcW w:w="1035" w:type="dxa"/>
            <w:shd w:val="clear" w:color="auto" w:fill="auto"/>
            <w:vAlign w:val="center"/>
            <w:hideMark/>
          </w:tcPr>
          <w:p w14:paraId="38BF7339"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17,6</w:t>
            </w:r>
          </w:p>
        </w:tc>
        <w:tc>
          <w:tcPr>
            <w:tcW w:w="1035" w:type="dxa"/>
            <w:shd w:val="clear" w:color="auto" w:fill="auto"/>
            <w:vAlign w:val="center"/>
            <w:hideMark/>
          </w:tcPr>
          <w:p w14:paraId="23B42AF3"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42,5</w:t>
            </w:r>
          </w:p>
        </w:tc>
        <w:tc>
          <w:tcPr>
            <w:tcW w:w="1035" w:type="dxa"/>
            <w:shd w:val="clear" w:color="auto" w:fill="auto"/>
            <w:vAlign w:val="center"/>
          </w:tcPr>
          <w:p w14:paraId="51E06C9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18,5</w:t>
            </w:r>
          </w:p>
        </w:tc>
        <w:tc>
          <w:tcPr>
            <w:tcW w:w="1035" w:type="dxa"/>
            <w:shd w:val="clear" w:color="auto" w:fill="auto"/>
            <w:vAlign w:val="center"/>
          </w:tcPr>
          <w:p w14:paraId="29B1CAA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48,7</w:t>
            </w:r>
          </w:p>
        </w:tc>
        <w:tc>
          <w:tcPr>
            <w:tcW w:w="1035" w:type="dxa"/>
            <w:shd w:val="clear" w:color="auto" w:fill="auto"/>
            <w:vAlign w:val="center"/>
          </w:tcPr>
          <w:p w14:paraId="24B8F3B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105,1</w:t>
            </w:r>
          </w:p>
        </w:tc>
        <w:tc>
          <w:tcPr>
            <w:tcW w:w="1035" w:type="dxa"/>
            <w:shd w:val="clear" w:color="auto" w:fill="auto"/>
            <w:vAlign w:val="center"/>
          </w:tcPr>
          <w:p w14:paraId="666A750A"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114,6</w:t>
            </w:r>
          </w:p>
        </w:tc>
      </w:tr>
      <w:tr w:rsidR="00FD7B0B" w:rsidRPr="00FD7B0B" w14:paraId="6C32516C" w14:textId="77777777" w:rsidTr="00320CA6">
        <w:trPr>
          <w:trHeight w:hRule="exact" w:val="255"/>
          <w:jc w:val="center"/>
        </w:trPr>
        <w:tc>
          <w:tcPr>
            <w:tcW w:w="1768" w:type="dxa"/>
            <w:shd w:val="clear" w:color="auto" w:fill="auto"/>
            <w:vAlign w:val="center"/>
            <w:hideMark/>
          </w:tcPr>
          <w:p w14:paraId="62E307AE" w14:textId="77777777" w:rsidR="00A51B25" w:rsidRPr="00FD7B0B" w:rsidRDefault="00A51B25" w:rsidP="00A51B25">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ООО «РС-Груп»</w:t>
            </w:r>
          </w:p>
        </w:tc>
        <w:tc>
          <w:tcPr>
            <w:tcW w:w="1470" w:type="dxa"/>
            <w:shd w:val="clear" w:color="auto" w:fill="auto"/>
            <w:vAlign w:val="center"/>
          </w:tcPr>
          <w:p w14:paraId="3AAA8C8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7,2</w:t>
            </w:r>
          </w:p>
        </w:tc>
        <w:tc>
          <w:tcPr>
            <w:tcW w:w="1035" w:type="dxa"/>
            <w:shd w:val="clear" w:color="auto" w:fill="auto"/>
            <w:vAlign w:val="center"/>
            <w:hideMark/>
          </w:tcPr>
          <w:p w14:paraId="3BDD191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19,5</w:t>
            </w:r>
          </w:p>
        </w:tc>
        <w:tc>
          <w:tcPr>
            <w:tcW w:w="1035" w:type="dxa"/>
            <w:shd w:val="clear" w:color="auto" w:fill="auto"/>
            <w:vAlign w:val="center"/>
            <w:hideMark/>
          </w:tcPr>
          <w:p w14:paraId="2C18543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70,9</w:t>
            </w:r>
          </w:p>
        </w:tc>
        <w:tc>
          <w:tcPr>
            <w:tcW w:w="1035" w:type="dxa"/>
            <w:shd w:val="clear" w:color="auto" w:fill="auto"/>
            <w:vAlign w:val="center"/>
          </w:tcPr>
          <w:p w14:paraId="3C64433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19,7</w:t>
            </w:r>
          </w:p>
        </w:tc>
        <w:tc>
          <w:tcPr>
            <w:tcW w:w="1035" w:type="dxa"/>
            <w:shd w:val="clear" w:color="auto" w:fill="auto"/>
            <w:vAlign w:val="center"/>
          </w:tcPr>
          <w:p w14:paraId="6D73380B"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88,2</w:t>
            </w:r>
          </w:p>
        </w:tc>
        <w:tc>
          <w:tcPr>
            <w:tcW w:w="1035" w:type="dxa"/>
            <w:shd w:val="clear" w:color="auto" w:fill="auto"/>
            <w:vAlign w:val="center"/>
          </w:tcPr>
          <w:p w14:paraId="7839FE7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101,0</w:t>
            </w:r>
          </w:p>
        </w:tc>
        <w:tc>
          <w:tcPr>
            <w:tcW w:w="1035" w:type="dxa"/>
            <w:shd w:val="clear" w:color="auto" w:fill="auto"/>
            <w:vAlign w:val="center"/>
          </w:tcPr>
          <w:p w14:paraId="63E53BC1"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124,4</w:t>
            </w:r>
          </w:p>
        </w:tc>
      </w:tr>
      <w:tr w:rsidR="00FD7B0B" w:rsidRPr="00FD7B0B" w14:paraId="73F1EE51" w14:textId="77777777" w:rsidTr="00320CA6">
        <w:trPr>
          <w:trHeight w:hRule="exact" w:val="255"/>
          <w:jc w:val="center"/>
        </w:trPr>
        <w:tc>
          <w:tcPr>
            <w:tcW w:w="1768" w:type="dxa"/>
            <w:shd w:val="clear" w:color="auto" w:fill="auto"/>
          </w:tcPr>
          <w:p w14:paraId="616A952B"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ИП Пэдуре И.В.</w:t>
            </w:r>
          </w:p>
        </w:tc>
        <w:tc>
          <w:tcPr>
            <w:tcW w:w="1470" w:type="dxa"/>
            <w:shd w:val="clear" w:color="auto" w:fill="auto"/>
            <w:vAlign w:val="center"/>
          </w:tcPr>
          <w:p w14:paraId="50E9730E"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4,7</w:t>
            </w:r>
          </w:p>
        </w:tc>
        <w:tc>
          <w:tcPr>
            <w:tcW w:w="1035" w:type="dxa"/>
            <w:shd w:val="clear" w:color="auto" w:fill="auto"/>
            <w:vAlign w:val="center"/>
          </w:tcPr>
          <w:p w14:paraId="26EFB129"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22,0</w:t>
            </w:r>
          </w:p>
        </w:tc>
        <w:tc>
          <w:tcPr>
            <w:tcW w:w="1035" w:type="dxa"/>
            <w:shd w:val="clear" w:color="auto" w:fill="auto"/>
            <w:vAlign w:val="center"/>
          </w:tcPr>
          <w:p w14:paraId="546C39E6"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32,3</w:t>
            </w:r>
          </w:p>
        </w:tc>
        <w:tc>
          <w:tcPr>
            <w:tcW w:w="1035" w:type="dxa"/>
            <w:shd w:val="clear" w:color="auto" w:fill="auto"/>
            <w:vAlign w:val="center"/>
          </w:tcPr>
          <w:p w14:paraId="56F61BB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13,0</w:t>
            </w:r>
          </w:p>
        </w:tc>
        <w:tc>
          <w:tcPr>
            <w:tcW w:w="1035" w:type="dxa"/>
            <w:shd w:val="clear" w:color="auto" w:fill="auto"/>
            <w:vAlign w:val="center"/>
          </w:tcPr>
          <w:p w14:paraId="3A935D8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19,3</w:t>
            </w:r>
          </w:p>
        </w:tc>
        <w:tc>
          <w:tcPr>
            <w:tcW w:w="1035" w:type="dxa"/>
            <w:shd w:val="clear" w:color="auto" w:fill="auto"/>
            <w:vAlign w:val="center"/>
          </w:tcPr>
          <w:p w14:paraId="4277060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59,1</w:t>
            </w:r>
          </w:p>
        </w:tc>
        <w:tc>
          <w:tcPr>
            <w:tcW w:w="1035" w:type="dxa"/>
            <w:shd w:val="clear" w:color="auto" w:fill="auto"/>
            <w:vAlign w:val="center"/>
          </w:tcPr>
          <w:p w14:paraId="6B2E8D5C"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59,8</w:t>
            </w:r>
          </w:p>
        </w:tc>
      </w:tr>
      <w:tr w:rsidR="00FD7B0B" w:rsidRPr="00FD7B0B" w14:paraId="071AD4E4" w14:textId="77777777" w:rsidTr="00320CA6">
        <w:trPr>
          <w:trHeight w:hRule="exact" w:val="255"/>
          <w:jc w:val="center"/>
        </w:trPr>
        <w:tc>
          <w:tcPr>
            <w:tcW w:w="1768" w:type="dxa"/>
            <w:shd w:val="clear" w:color="auto" w:fill="auto"/>
          </w:tcPr>
          <w:p w14:paraId="235088D9"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ИП Третьяков А.Л.</w:t>
            </w:r>
          </w:p>
        </w:tc>
        <w:tc>
          <w:tcPr>
            <w:tcW w:w="1470" w:type="dxa"/>
            <w:shd w:val="clear" w:color="auto" w:fill="auto"/>
            <w:vAlign w:val="center"/>
          </w:tcPr>
          <w:p w14:paraId="639EA434"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9,1</w:t>
            </w:r>
          </w:p>
        </w:tc>
        <w:tc>
          <w:tcPr>
            <w:tcW w:w="1035" w:type="dxa"/>
            <w:shd w:val="clear" w:color="auto" w:fill="auto"/>
            <w:vAlign w:val="center"/>
          </w:tcPr>
          <w:p w14:paraId="580E41A5"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19,8</w:t>
            </w:r>
          </w:p>
        </w:tc>
        <w:tc>
          <w:tcPr>
            <w:tcW w:w="1035" w:type="dxa"/>
            <w:shd w:val="clear" w:color="auto" w:fill="auto"/>
            <w:vAlign w:val="center"/>
          </w:tcPr>
          <w:p w14:paraId="35F9403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21,2</w:t>
            </w:r>
          </w:p>
        </w:tc>
        <w:tc>
          <w:tcPr>
            <w:tcW w:w="1035" w:type="dxa"/>
            <w:shd w:val="clear" w:color="auto" w:fill="auto"/>
            <w:vAlign w:val="center"/>
          </w:tcPr>
          <w:p w14:paraId="36215FB0"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25,0</w:t>
            </w:r>
          </w:p>
        </w:tc>
        <w:tc>
          <w:tcPr>
            <w:tcW w:w="1035" w:type="dxa"/>
            <w:shd w:val="clear" w:color="auto" w:fill="auto"/>
            <w:vAlign w:val="center"/>
          </w:tcPr>
          <w:p w14:paraId="3960B762"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32,2</w:t>
            </w:r>
          </w:p>
        </w:tc>
        <w:tc>
          <w:tcPr>
            <w:tcW w:w="1035" w:type="dxa"/>
            <w:shd w:val="clear" w:color="auto" w:fill="auto"/>
            <w:vAlign w:val="center"/>
          </w:tcPr>
          <w:p w14:paraId="4E67F947"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126,3</w:t>
            </w:r>
          </w:p>
        </w:tc>
        <w:tc>
          <w:tcPr>
            <w:tcW w:w="1035" w:type="dxa"/>
            <w:shd w:val="clear" w:color="auto" w:fill="auto"/>
            <w:vAlign w:val="center"/>
          </w:tcPr>
          <w:p w14:paraId="05D2E7FF" w14:textId="77777777" w:rsidR="00A51B25" w:rsidRPr="00FD7B0B" w:rsidRDefault="00A51B25" w:rsidP="00A51B25">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151,9</w:t>
            </w:r>
          </w:p>
        </w:tc>
      </w:tr>
      <w:tr w:rsidR="00A51B25" w:rsidRPr="00FD7B0B" w14:paraId="55F8CBF0" w14:textId="77777777" w:rsidTr="00320CA6">
        <w:trPr>
          <w:trHeight w:hRule="exact" w:val="255"/>
          <w:jc w:val="center"/>
        </w:trPr>
        <w:tc>
          <w:tcPr>
            <w:tcW w:w="1768" w:type="dxa"/>
            <w:shd w:val="clear" w:color="auto" w:fill="auto"/>
            <w:vAlign w:val="center"/>
            <w:hideMark/>
          </w:tcPr>
          <w:p w14:paraId="2B65EB99" w14:textId="77777777" w:rsidR="00A51B25" w:rsidRPr="00FD7B0B" w:rsidRDefault="00A51B25" w:rsidP="00A51B25">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ВСЕГО</w:t>
            </w:r>
          </w:p>
        </w:tc>
        <w:tc>
          <w:tcPr>
            <w:tcW w:w="1470" w:type="dxa"/>
            <w:shd w:val="clear" w:color="auto" w:fill="auto"/>
            <w:vAlign w:val="center"/>
            <w:hideMark/>
          </w:tcPr>
          <w:p w14:paraId="000C0BFA" w14:textId="77777777" w:rsidR="00A51B25" w:rsidRPr="00FD7B0B" w:rsidRDefault="00A51B25" w:rsidP="00A51B25">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50,0</w:t>
            </w:r>
          </w:p>
        </w:tc>
        <w:tc>
          <w:tcPr>
            <w:tcW w:w="1035" w:type="dxa"/>
            <w:shd w:val="clear" w:color="auto" w:fill="auto"/>
            <w:vAlign w:val="center"/>
            <w:hideMark/>
          </w:tcPr>
          <w:p w14:paraId="69341C8E" w14:textId="77777777" w:rsidR="00A51B25" w:rsidRPr="00FD7B0B" w:rsidRDefault="00A51B25" w:rsidP="00A51B25">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142,2</w:t>
            </w:r>
          </w:p>
        </w:tc>
        <w:tc>
          <w:tcPr>
            <w:tcW w:w="1035" w:type="dxa"/>
            <w:shd w:val="clear" w:color="auto" w:fill="auto"/>
            <w:vAlign w:val="center"/>
            <w:hideMark/>
          </w:tcPr>
          <w:p w14:paraId="0F387045" w14:textId="77777777" w:rsidR="00A51B25" w:rsidRPr="00FD7B0B" w:rsidRDefault="00A51B25" w:rsidP="00A51B25">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314,8</w:t>
            </w:r>
          </w:p>
        </w:tc>
        <w:tc>
          <w:tcPr>
            <w:tcW w:w="1035" w:type="dxa"/>
            <w:shd w:val="clear" w:color="auto" w:fill="auto"/>
            <w:vAlign w:val="center"/>
          </w:tcPr>
          <w:p w14:paraId="0337D1C6" w14:textId="77777777" w:rsidR="00A51B25" w:rsidRPr="00FD7B0B" w:rsidRDefault="00A51B25" w:rsidP="00A51B25">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137,0</w:t>
            </w:r>
          </w:p>
        </w:tc>
        <w:tc>
          <w:tcPr>
            <w:tcW w:w="1035" w:type="dxa"/>
            <w:shd w:val="clear" w:color="auto" w:fill="auto"/>
            <w:vAlign w:val="center"/>
          </w:tcPr>
          <w:p w14:paraId="0F775015" w14:textId="77777777" w:rsidR="00A51B25" w:rsidRPr="00FD7B0B" w:rsidRDefault="00A51B25" w:rsidP="00A51B25">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345,6</w:t>
            </w:r>
          </w:p>
        </w:tc>
        <w:tc>
          <w:tcPr>
            <w:tcW w:w="1035" w:type="dxa"/>
            <w:shd w:val="clear" w:color="auto" w:fill="auto"/>
            <w:vAlign w:val="center"/>
          </w:tcPr>
          <w:p w14:paraId="6F47DD1E" w14:textId="77777777" w:rsidR="00A51B25" w:rsidRPr="00FD7B0B" w:rsidRDefault="00A51B25" w:rsidP="00A51B25">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96,3</w:t>
            </w:r>
          </w:p>
        </w:tc>
        <w:tc>
          <w:tcPr>
            <w:tcW w:w="1035" w:type="dxa"/>
            <w:shd w:val="clear" w:color="auto" w:fill="auto"/>
            <w:vAlign w:val="center"/>
          </w:tcPr>
          <w:p w14:paraId="32FAAE2D" w14:textId="77777777" w:rsidR="00A51B25" w:rsidRPr="00FD7B0B" w:rsidRDefault="00A51B25" w:rsidP="00A51B25">
            <w:pPr>
              <w:spacing w:after="0" w:line="240" w:lineRule="auto"/>
              <w:jc w:val="center"/>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109,8</w:t>
            </w:r>
          </w:p>
        </w:tc>
      </w:tr>
    </w:tbl>
    <w:p w14:paraId="59558507" w14:textId="77777777" w:rsidR="00320CA6" w:rsidRPr="00FD7B0B" w:rsidRDefault="00320CA6" w:rsidP="00A51B25">
      <w:pPr>
        <w:spacing w:after="0" w:line="320" w:lineRule="atLeast"/>
        <w:ind w:firstLine="709"/>
        <w:jc w:val="both"/>
        <w:rPr>
          <w:rFonts w:ascii="Times New Roman" w:eastAsia="Times New Roman" w:hAnsi="Times New Roman"/>
          <w:sz w:val="28"/>
          <w:szCs w:val="28"/>
          <w:lang w:eastAsia="ru-RU"/>
        </w:rPr>
      </w:pPr>
    </w:p>
    <w:p w14:paraId="44B49CFD" w14:textId="05A1CE3D"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Анализ фактических объемов реализации топлива твердого и потребности в средствах субсидии за 2024 год топливоснабжающих организаций, удельный </w:t>
      </w:r>
      <w:r w:rsidRPr="00FD7B0B">
        <w:rPr>
          <w:rFonts w:ascii="Times New Roman" w:eastAsia="Times New Roman" w:hAnsi="Times New Roman"/>
          <w:sz w:val="28"/>
          <w:szCs w:val="28"/>
          <w:lang w:eastAsia="ru-RU"/>
        </w:rPr>
        <w:lastRenderedPageBreak/>
        <w:t>вес которых в общем объеме реализации субсидируемого топлива твердого суммарно составляет 50,0%, также показывает, что рост потребности в средствах субсидии при общем снижении объемов отпуска топлива твердого является следст</w:t>
      </w:r>
      <w:r w:rsidR="00320CA6" w:rsidRPr="00FD7B0B">
        <w:rPr>
          <w:rFonts w:ascii="Times New Roman" w:eastAsia="Times New Roman" w:hAnsi="Times New Roman"/>
          <w:sz w:val="28"/>
          <w:szCs w:val="28"/>
          <w:lang w:eastAsia="ru-RU"/>
        </w:rPr>
        <w:t>вием роста межтарифной разницы.</w:t>
      </w:r>
    </w:p>
    <w:p w14:paraId="5FF777D7"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fldChar w:fldCharType="begin"/>
      </w:r>
      <w:r w:rsidRPr="00FD7B0B">
        <w:rPr>
          <w:rFonts w:ascii="Times New Roman" w:eastAsia="Times New Roman" w:hAnsi="Times New Roman"/>
          <w:sz w:val="28"/>
          <w:szCs w:val="28"/>
          <w:lang w:eastAsia="ru-RU"/>
        </w:rPr>
        <w:instrText xml:space="preserve"> LINK Excel.Sheet.12 "D:\\kuznecova\\Desktop\\Гос программаМИН ТЭК\\!!! Исполнение бюджета за 2022 год\\Госпрограмма 17 - проект.xlsx" "Дельта Д 3!R4C1:R10C8" \a \f 4 \h  \* MERGEFORMAT </w:instrText>
      </w:r>
      <w:r w:rsidRPr="00FD7B0B">
        <w:rPr>
          <w:rFonts w:ascii="Times New Roman" w:eastAsia="Times New Roman" w:hAnsi="Times New Roman"/>
          <w:sz w:val="28"/>
          <w:szCs w:val="28"/>
          <w:lang w:eastAsia="ru-RU"/>
        </w:rPr>
        <w:fldChar w:fldCharType="separate"/>
      </w:r>
    </w:p>
    <w:p w14:paraId="33BD5C75" w14:textId="469F2C3F"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fldChar w:fldCharType="end"/>
      </w:r>
      <w:r w:rsidRPr="00FD7B0B">
        <w:rPr>
          <w:rFonts w:ascii="Times New Roman" w:eastAsia="Times New Roman" w:hAnsi="Times New Roman"/>
          <w:sz w:val="28"/>
          <w:szCs w:val="28"/>
          <w:lang w:eastAsia="ru-RU"/>
        </w:rPr>
        <w:t>Информация о предоставлении из областного бюджета субсидии на возмещение недополученных доходов, возникающих в результате государственного регулирования тарифов на горячую воду в закрытой системе, питьевую воду и (или) услуги водоотведения для населения и потребителей, приравненных к населению (далее - субсидия ∆В), организациям коммунального комплекса с 2020 по 2024 годы и фактических объемных показателях представлена на рисунке</w:t>
      </w:r>
      <w:r w:rsidR="00320CA6" w:rsidRPr="00FD7B0B">
        <w:rPr>
          <w:rFonts w:ascii="Times New Roman" w:eastAsia="Times New Roman" w:hAnsi="Times New Roman"/>
          <w:sz w:val="28"/>
          <w:szCs w:val="28"/>
          <w:lang w:eastAsia="ru-RU"/>
        </w:rPr>
        <w:t xml:space="preserve"> </w:t>
      </w:r>
      <w:r w:rsidR="00960798" w:rsidRPr="00FD7B0B">
        <w:rPr>
          <w:rFonts w:ascii="Times New Roman" w:eastAsia="Times New Roman" w:hAnsi="Times New Roman"/>
          <w:sz w:val="28"/>
          <w:szCs w:val="28"/>
          <w:lang w:eastAsia="ru-RU"/>
        </w:rPr>
        <w:t>29</w:t>
      </w:r>
      <w:r w:rsidRPr="00FD7B0B">
        <w:rPr>
          <w:rFonts w:ascii="Times New Roman" w:eastAsia="Times New Roman" w:hAnsi="Times New Roman"/>
          <w:sz w:val="28"/>
          <w:szCs w:val="28"/>
          <w:lang w:eastAsia="ru-RU"/>
        </w:rPr>
        <w:t>.</w:t>
      </w:r>
    </w:p>
    <w:p w14:paraId="587590B8" w14:textId="5EDDCA20" w:rsidR="00320CA6" w:rsidRPr="00FD7B0B" w:rsidRDefault="00320CA6" w:rsidP="00320CA6">
      <w:pPr>
        <w:spacing w:after="0" w:line="320" w:lineRule="atLeast"/>
        <w:jc w:val="both"/>
        <w:rPr>
          <w:rFonts w:ascii="Times New Roman" w:eastAsia="Times New Roman" w:hAnsi="Times New Roman"/>
          <w:sz w:val="28"/>
          <w:szCs w:val="28"/>
          <w:lang w:eastAsia="ru-RU"/>
        </w:rPr>
      </w:pPr>
      <w:r w:rsidRPr="00FD7B0B">
        <w:rPr>
          <w:rFonts w:ascii="Times New Roman" w:eastAsia="Times New Roman" w:hAnsi="Times New Roman"/>
          <w:noProof/>
          <w:sz w:val="28"/>
          <w:szCs w:val="28"/>
          <w:lang w:eastAsia="ru-RU"/>
        </w:rPr>
        <w:drawing>
          <wp:inline distT="0" distB="0" distL="0" distR="0" wp14:anchorId="1365173E" wp14:editId="30A5ACAA">
            <wp:extent cx="5895340" cy="2755900"/>
            <wp:effectExtent l="0" t="0" r="0" b="635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95340" cy="2755900"/>
                    </a:xfrm>
                    <a:prstGeom prst="rect">
                      <a:avLst/>
                    </a:prstGeom>
                    <a:noFill/>
                  </pic:spPr>
                </pic:pic>
              </a:graphicData>
            </a:graphic>
          </wp:inline>
        </w:drawing>
      </w:r>
    </w:p>
    <w:p w14:paraId="04C24041" w14:textId="73EB12A7" w:rsidR="00A51B25" w:rsidRPr="00FD7B0B" w:rsidRDefault="00A51B25" w:rsidP="00A51B2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29</w:t>
      </w:r>
      <w:r w:rsidRPr="00FD7B0B">
        <w:rPr>
          <w:rFonts w:ascii="Times New Roman" w:hAnsi="Times New Roman"/>
          <w:b w:val="0"/>
          <w:sz w:val="24"/>
          <w:szCs w:val="24"/>
        </w:rPr>
        <w:fldChar w:fldCharType="end"/>
      </w:r>
      <w:r w:rsidRPr="00FD7B0B">
        <w:rPr>
          <w:rFonts w:ascii="Times New Roman" w:hAnsi="Times New Roman"/>
          <w:b w:val="0"/>
          <w:sz w:val="24"/>
          <w:szCs w:val="24"/>
        </w:rPr>
        <w:t>. Динамика роста объема субсидии на возмещение недополученных доходов, возникающих в результате государственного регулирования тарифов на горячую воду в закрытой системе, питьевую воду и (или) услуги водоотведения для населения и потребителей, приравненных к населению и реализованных объемов питьевой воды и услуг водоотведения за 2020</w:t>
      </w:r>
      <w:r w:rsidR="00320CA6" w:rsidRPr="00FD7B0B">
        <w:rPr>
          <w:rFonts w:ascii="Times New Roman" w:hAnsi="Times New Roman"/>
          <w:b w:val="0"/>
          <w:sz w:val="24"/>
          <w:szCs w:val="24"/>
        </w:rPr>
        <w:t xml:space="preserve"> – </w:t>
      </w:r>
      <w:r w:rsidRPr="00FD7B0B">
        <w:rPr>
          <w:rFonts w:ascii="Times New Roman" w:hAnsi="Times New Roman"/>
          <w:b w:val="0"/>
          <w:sz w:val="24"/>
          <w:szCs w:val="24"/>
        </w:rPr>
        <w:t>2024 годы</w:t>
      </w:r>
    </w:p>
    <w:p w14:paraId="02534EFD" w14:textId="77777777" w:rsidR="00320CA6" w:rsidRPr="00FD7B0B" w:rsidRDefault="00320CA6" w:rsidP="00A51B25">
      <w:pPr>
        <w:spacing w:after="0" w:line="320" w:lineRule="atLeast"/>
        <w:ind w:firstLine="709"/>
        <w:jc w:val="both"/>
        <w:rPr>
          <w:rFonts w:ascii="Times New Roman" w:eastAsia="Times New Roman" w:hAnsi="Times New Roman"/>
          <w:sz w:val="28"/>
          <w:szCs w:val="28"/>
          <w:lang w:eastAsia="ru-RU"/>
        </w:rPr>
      </w:pPr>
    </w:p>
    <w:p w14:paraId="2B27A64E"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Потребность в средствах областного бюджета ∆В за 2024 год составила в сумме 2 977,2 млн.руб. (с учетом кредиторской задолженности на 01.01.2024 в размере 520,6 млн.руб.) или 134,4% к уровню 2023 года, выплачено средств из областного бюджета, нарастающим итогом с начала 2024 года, – 1 605,5 млн.руб., при этом кредиторская задолженность на 01.01.2025 составила 1 371,7 млн.руб. (в т.ч. за июль – ноябрь 2024 года – 1 129,8 млн.руб.).</w:t>
      </w:r>
    </w:p>
    <w:p w14:paraId="2B23BAA5" w14:textId="77777777" w:rsidR="00A51B25" w:rsidRPr="00FD7B0B" w:rsidRDefault="00A51B25" w:rsidP="000F25AF">
      <w:pPr>
        <w:pStyle w:val="aff0"/>
        <w:spacing w:after="0" w:line="240" w:lineRule="auto"/>
        <w:rPr>
          <w:rFonts w:ascii="Times New Roman" w:hAnsi="Times New Roman"/>
          <w:b w:val="0"/>
          <w:sz w:val="24"/>
          <w:szCs w:val="24"/>
        </w:rPr>
      </w:pPr>
    </w:p>
    <w:p w14:paraId="14BC1F01" w14:textId="77777777" w:rsidR="00A51B25" w:rsidRPr="00FD7B0B" w:rsidRDefault="00A51B25" w:rsidP="00A51B2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177</w:t>
      </w:r>
      <w:r w:rsidRPr="00FD7B0B">
        <w:rPr>
          <w:rFonts w:ascii="Times New Roman" w:hAnsi="Times New Roman"/>
          <w:b w:val="0"/>
          <w:sz w:val="24"/>
          <w:szCs w:val="24"/>
        </w:rPr>
        <w:fldChar w:fldCharType="end"/>
      </w:r>
      <w:r w:rsidRPr="00FD7B0B">
        <w:rPr>
          <w:rFonts w:ascii="Times New Roman" w:hAnsi="Times New Roman"/>
          <w:b w:val="0"/>
          <w:sz w:val="24"/>
          <w:szCs w:val="24"/>
        </w:rPr>
        <w:t>. Факторный анализ отклонений (без учета задолженности) в разрезе видов деятельности</w:t>
      </w:r>
    </w:p>
    <w:tbl>
      <w:tblPr>
        <w:tblW w:w="10041" w:type="dxa"/>
        <w:tblInd w:w="-307" w:type="dxa"/>
        <w:tblLayout w:type="fixed"/>
        <w:tblLook w:val="04A0" w:firstRow="1" w:lastRow="0" w:firstColumn="1" w:lastColumn="0" w:noHBand="0" w:noVBand="1"/>
      </w:tblPr>
      <w:tblGrid>
        <w:gridCol w:w="851"/>
        <w:gridCol w:w="567"/>
        <w:gridCol w:w="709"/>
        <w:gridCol w:w="709"/>
        <w:gridCol w:w="709"/>
        <w:gridCol w:w="708"/>
        <w:gridCol w:w="709"/>
        <w:gridCol w:w="709"/>
        <w:gridCol w:w="567"/>
        <w:gridCol w:w="709"/>
        <w:gridCol w:w="708"/>
        <w:gridCol w:w="568"/>
        <w:gridCol w:w="566"/>
        <w:gridCol w:w="710"/>
        <w:gridCol w:w="542"/>
      </w:tblGrid>
      <w:tr w:rsidR="00FD7B0B" w:rsidRPr="00FD7B0B" w14:paraId="0EF8BABD" w14:textId="77777777" w:rsidTr="000F25AF">
        <w:trPr>
          <w:trHeight w:val="95"/>
          <w:tblHeader/>
        </w:trPr>
        <w:tc>
          <w:tcPr>
            <w:tcW w:w="851" w:type="dxa"/>
            <w:vMerge w:val="restart"/>
            <w:tcBorders>
              <w:top w:val="double" w:sz="6" w:space="0" w:color="auto"/>
              <w:left w:val="double" w:sz="6" w:space="0" w:color="auto"/>
              <w:bottom w:val="single" w:sz="4" w:space="0" w:color="auto"/>
              <w:right w:val="single" w:sz="4" w:space="0" w:color="auto"/>
            </w:tcBorders>
            <w:shd w:val="clear" w:color="auto" w:fill="auto"/>
            <w:textDirection w:val="btLr"/>
            <w:vAlign w:val="center"/>
            <w:hideMark/>
          </w:tcPr>
          <w:p w14:paraId="0FFE1709"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Наименование услуги</w:t>
            </w:r>
          </w:p>
        </w:tc>
        <w:tc>
          <w:tcPr>
            <w:tcW w:w="567"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21C66FC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Период</w:t>
            </w:r>
          </w:p>
        </w:tc>
        <w:tc>
          <w:tcPr>
            <w:tcW w:w="2127" w:type="dxa"/>
            <w:gridSpan w:val="3"/>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54BBDE28"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2023 год</w:t>
            </w:r>
          </w:p>
        </w:tc>
        <w:tc>
          <w:tcPr>
            <w:tcW w:w="2126" w:type="dxa"/>
            <w:gridSpan w:val="3"/>
            <w:tcBorders>
              <w:top w:val="double" w:sz="6" w:space="0" w:color="auto"/>
              <w:left w:val="nil"/>
              <w:bottom w:val="single" w:sz="4" w:space="0" w:color="auto"/>
              <w:right w:val="single" w:sz="4" w:space="0" w:color="auto"/>
            </w:tcBorders>
            <w:shd w:val="clear" w:color="auto" w:fill="auto"/>
            <w:noWrap/>
            <w:vAlign w:val="center"/>
            <w:hideMark/>
          </w:tcPr>
          <w:p w14:paraId="46467C16"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2024 год</w:t>
            </w:r>
          </w:p>
        </w:tc>
        <w:tc>
          <w:tcPr>
            <w:tcW w:w="4370" w:type="dxa"/>
            <w:gridSpan w:val="7"/>
            <w:tcBorders>
              <w:top w:val="double" w:sz="6" w:space="0" w:color="auto"/>
              <w:left w:val="nil"/>
              <w:bottom w:val="single" w:sz="4" w:space="0" w:color="auto"/>
              <w:right w:val="double" w:sz="6" w:space="0" w:color="auto"/>
            </w:tcBorders>
            <w:shd w:val="clear" w:color="auto" w:fill="auto"/>
            <w:vAlign w:val="center"/>
          </w:tcPr>
          <w:p w14:paraId="1913282B"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Изменение</w:t>
            </w:r>
          </w:p>
        </w:tc>
      </w:tr>
      <w:tr w:rsidR="00FD7B0B" w:rsidRPr="00FD7B0B" w14:paraId="38DD3F33" w14:textId="77777777" w:rsidTr="00A51B25">
        <w:trPr>
          <w:trHeight w:val="454"/>
          <w:tblHeader/>
        </w:trPr>
        <w:tc>
          <w:tcPr>
            <w:tcW w:w="851" w:type="dxa"/>
            <w:vMerge/>
            <w:tcBorders>
              <w:top w:val="double" w:sz="6" w:space="0" w:color="auto"/>
              <w:left w:val="double" w:sz="6" w:space="0" w:color="auto"/>
              <w:bottom w:val="single" w:sz="4" w:space="0" w:color="auto"/>
              <w:right w:val="single" w:sz="4" w:space="0" w:color="auto"/>
            </w:tcBorders>
            <w:vAlign w:val="center"/>
            <w:hideMark/>
          </w:tcPr>
          <w:p w14:paraId="77209237"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567" w:type="dxa"/>
            <w:vMerge/>
            <w:tcBorders>
              <w:top w:val="double" w:sz="6" w:space="0" w:color="auto"/>
              <w:left w:val="single" w:sz="4" w:space="0" w:color="auto"/>
              <w:bottom w:val="single" w:sz="4" w:space="0" w:color="auto"/>
              <w:right w:val="single" w:sz="4" w:space="0" w:color="auto"/>
            </w:tcBorders>
            <w:vAlign w:val="center"/>
            <w:hideMark/>
          </w:tcPr>
          <w:p w14:paraId="3796329B"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8202A12"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Количество, тыс.куб.м, тыс.Гкал</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4FAAC23"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межтарифная разница, руб./куб.м, руб./Гкал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FAA8C03"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Сумма субсидии, млн.руб.</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CCA2C01"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Количество, тыс.куб.м, тыс. Гкал</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306DED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межтарифная разница, руб./куб.м, руб./Гкал (средний)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99F5B41"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Сумма субсидии, млн.руб.</w:t>
            </w:r>
          </w:p>
        </w:tc>
        <w:tc>
          <w:tcPr>
            <w:tcW w:w="567" w:type="dxa"/>
            <w:tcBorders>
              <w:top w:val="nil"/>
              <w:left w:val="nil"/>
              <w:bottom w:val="single" w:sz="4" w:space="0" w:color="auto"/>
              <w:right w:val="single" w:sz="4" w:space="0" w:color="auto"/>
            </w:tcBorders>
            <w:shd w:val="clear" w:color="auto" w:fill="auto"/>
            <w:vAlign w:val="center"/>
            <w:hideMark/>
          </w:tcPr>
          <w:p w14:paraId="717CD08F"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Количество, тыс.куб.м, тыс.Гкал </w:t>
            </w:r>
          </w:p>
        </w:tc>
        <w:tc>
          <w:tcPr>
            <w:tcW w:w="709" w:type="dxa"/>
            <w:tcBorders>
              <w:top w:val="nil"/>
              <w:left w:val="nil"/>
              <w:bottom w:val="single" w:sz="4" w:space="0" w:color="auto"/>
              <w:right w:val="single" w:sz="4" w:space="0" w:color="auto"/>
            </w:tcBorders>
            <w:shd w:val="clear" w:color="auto" w:fill="auto"/>
            <w:vAlign w:val="center"/>
            <w:hideMark/>
          </w:tcPr>
          <w:p w14:paraId="5C59F934"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межтарифная разница, руб./куб.м, руб/Гкал (средний)</w:t>
            </w:r>
          </w:p>
        </w:tc>
        <w:tc>
          <w:tcPr>
            <w:tcW w:w="708" w:type="dxa"/>
            <w:tcBorders>
              <w:top w:val="nil"/>
              <w:left w:val="nil"/>
              <w:bottom w:val="single" w:sz="4" w:space="0" w:color="auto"/>
              <w:right w:val="single" w:sz="4" w:space="0" w:color="auto"/>
            </w:tcBorders>
            <w:shd w:val="clear" w:color="auto" w:fill="auto"/>
            <w:vAlign w:val="center"/>
            <w:hideMark/>
          </w:tcPr>
          <w:p w14:paraId="02BA3874"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Сумма субсидии, млн.руб.</w:t>
            </w:r>
          </w:p>
        </w:tc>
        <w:tc>
          <w:tcPr>
            <w:tcW w:w="568" w:type="dxa"/>
            <w:tcBorders>
              <w:top w:val="nil"/>
              <w:left w:val="nil"/>
              <w:bottom w:val="single" w:sz="4" w:space="0" w:color="auto"/>
              <w:right w:val="single" w:sz="4" w:space="0" w:color="auto"/>
            </w:tcBorders>
            <w:shd w:val="clear" w:color="auto" w:fill="auto"/>
            <w:vAlign w:val="center"/>
            <w:hideMark/>
          </w:tcPr>
          <w:p w14:paraId="3D147795"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 т.ч. за счет объема, тыс.куб.м, тыс.Гкал</w:t>
            </w:r>
          </w:p>
        </w:tc>
        <w:tc>
          <w:tcPr>
            <w:tcW w:w="566" w:type="dxa"/>
            <w:tcBorders>
              <w:top w:val="nil"/>
              <w:left w:val="nil"/>
              <w:bottom w:val="single" w:sz="4" w:space="0" w:color="auto"/>
              <w:right w:val="single" w:sz="4" w:space="0" w:color="auto"/>
            </w:tcBorders>
            <w:shd w:val="clear" w:color="auto" w:fill="auto"/>
            <w:vAlign w:val="center"/>
            <w:hideMark/>
          </w:tcPr>
          <w:p w14:paraId="553C66DF"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c>
          <w:tcPr>
            <w:tcW w:w="710" w:type="dxa"/>
            <w:tcBorders>
              <w:top w:val="nil"/>
              <w:left w:val="nil"/>
              <w:bottom w:val="single" w:sz="4" w:space="0" w:color="auto"/>
              <w:right w:val="single" w:sz="4" w:space="0" w:color="auto"/>
            </w:tcBorders>
            <w:shd w:val="clear" w:color="auto" w:fill="auto"/>
            <w:vAlign w:val="center"/>
            <w:hideMark/>
          </w:tcPr>
          <w:p w14:paraId="09435E65"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 т.ч. за счет межтарифной разницы, млн.руб.</w:t>
            </w:r>
          </w:p>
        </w:tc>
        <w:tc>
          <w:tcPr>
            <w:tcW w:w="542"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7888F2F3" w14:textId="77777777" w:rsidR="00A51B25" w:rsidRPr="00FD7B0B" w:rsidRDefault="00A51B25" w:rsidP="00A51B25">
            <w:pPr>
              <w:spacing w:after="0" w:line="240" w:lineRule="auto"/>
              <w:ind w:left="-108" w:right="-79"/>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w:t>
            </w:r>
          </w:p>
        </w:tc>
      </w:tr>
      <w:tr w:rsidR="00FD7B0B" w:rsidRPr="00FD7B0B" w14:paraId="65BC5280" w14:textId="77777777" w:rsidTr="000F25AF">
        <w:trPr>
          <w:trHeight w:val="124"/>
        </w:trPr>
        <w:tc>
          <w:tcPr>
            <w:tcW w:w="851" w:type="dxa"/>
            <w:vMerge w:val="restart"/>
            <w:tcBorders>
              <w:top w:val="nil"/>
              <w:left w:val="double" w:sz="6" w:space="0" w:color="auto"/>
              <w:bottom w:val="single" w:sz="4" w:space="0" w:color="auto"/>
              <w:right w:val="single" w:sz="4" w:space="0" w:color="auto"/>
            </w:tcBorders>
            <w:shd w:val="clear" w:color="auto" w:fill="auto"/>
            <w:textDirection w:val="btLr"/>
            <w:vAlign w:val="center"/>
            <w:hideMark/>
          </w:tcPr>
          <w:p w14:paraId="1ACE6929"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Холодное водоснабжение</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BA5175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077E6A50"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13 692</w:t>
            </w:r>
          </w:p>
        </w:tc>
        <w:tc>
          <w:tcPr>
            <w:tcW w:w="709" w:type="dxa"/>
            <w:tcBorders>
              <w:top w:val="nil"/>
              <w:left w:val="nil"/>
              <w:bottom w:val="single" w:sz="4" w:space="0" w:color="auto"/>
              <w:right w:val="single" w:sz="4" w:space="0" w:color="auto"/>
            </w:tcBorders>
            <w:shd w:val="clear" w:color="auto" w:fill="auto"/>
            <w:noWrap/>
            <w:vAlign w:val="center"/>
          </w:tcPr>
          <w:p w14:paraId="17C1279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30,18</w:t>
            </w:r>
          </w:p>
        </w:tc>
        <w:tc>
          <w:tcPr>
            <w:tcW w:w="709" w:type="dxa"/>
            <w:tcBorders>
              <w:top w:val="nil"/>
              <w:left w:val="nil"/>
              <w:bottom w:val="single" w:sz="4" w:space="0" w:color="auto"/>
              <w:right w:val="single" w:sz="4" w:space="0" w:color="auto"/>
            </w:tcBorders>
            <w:shd w:val="clear" w:color="auto" w:fill="auto"/>
            <w:noWrap/>
            <w:vAlign w:val="center"/>
          </w:tcPr>
          <w:p w14:paraId="6818FCA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413,2</w:t>
            </w:r>
          </w:p>
        </w:tc>
        <w:tc>
          <w:tcPr>
            <w:tcW w:w="708" w:type="dxa"/>
            <w:tcBorders>
              <w:top w:val="nil"/>
              <w:left w:val="nil"/>
              <w:bottom w:val="single" w:sz="4" w:space="0" w:color="auto"/>
              <w:right w:val="single" w:sz="4" w:space="0" w:color="auto"/>
            </w:tcBorders>
            <w:shd w:val="clear" w:color="auto" w:fill="auto"/>
            <w:noWrap/>
            <w:vAlign w:val="center"/>
          </w:tcPr>
          <w:p w14:paraId="21A2B93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13 791</w:t>
            </w:r>
          </w:p>
        </w:tc>
        <w:tc>
          <w:tcPr>
            <w:tcW w:w="709" w:type="dxa"/>
            <w:tcBorders>
              <w:top w:val="nil"/>
              <w:left w:val="nil"/>
              <w:bottom w:val="single" w:sz="4" w:space="0" w:color="auto"/>
              <w:right w:val="single" w:sz="4" w:space="0" w:color="auto"/>
            </w:tcBorders>
            <w:shd w:val="clear" w:color="auto" w:fill="auto"/>
            <w:noWrap/>
            <w:vAlign w:val="center"/>
          </w:tcPr>
          <w:p w14:paraId="7AA74AB0"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31,00</w:t>
            </w:r>
          </w:p>
        </w:tc>
        <w:tc>
          <w:tcPr>
            <w:tcW w:w="709" w:type="dxa"/>
            <w:tcBorders>
              <w:top w:val="nil"/>
              <w:left w:val="nil"/>
              <w:bottom w:val="single" w:sz="4" w:space="0" w:color="auto"/>
              <w:right w:val="single" w:sz="4" w:space="0" w:color="auto"/>
            </w:tcBorders>
            <w:shd w:val="clear" w:color="auto" w:fill="auto"/>
            <w:noWrap/>
            <w:vAlign w:val="center"/>
          </w:tcPr>
          <w:p w14:paraId="7EE9437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427,5</w:t>
            </w:r>
          </w:p>
        </w:tc>
        <w:tc>
          <w:tcPr>
            <w:tcW w:w="567" w:type="dxa"/>
            <w:tcBorders>
              <w:top w:val="nil"/>
              <w:left w:val="nil"/>
              <w:bottom w:val="single" w:sz="4" w:space="0" w:color="auto"/>
              <w:right w:val="single" w:sz="4" w:space="0" w:color="auto"/>
            </w:tcBorders>
            <w:shd w:val="clear" w:color="auto" w:fill="auto"/>
            <w:noWrap/>
            <w:vAlign w:val="center"/>
          </w:tcPr>
          <w:p w14:paraId="55CEEE7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99</w:t>
            </w:r>
          </w:p>
        </w:tc>
        <w:tc>
          <w:tcPr>
            <w:tcW w:w="709" w:type="dxa"/>
            <w:tcBorders>
              <w:top w:val="nil"/>
              <w:left w:val="nil"/>
              <w:bottom w:val="single" w:sz="4" w:space="0" w:color="auto"/>
              <w:right w:val="single" w:sz="4" w:space="0" w:color="auto"/>
            </w:tcBorders>
            <w:shd w:val="clear" w:color="auto" w:fill="auto"/>
            <w:noWrap/>
            <w:vAlign w:val="center"/>
          </w:tcPr>
          <w:p w14:paraId="7EA0611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0,82</w:t>
            </w:r>
          </w:p>
        </w:tc>
        <w:tc>
          <w:tcPr>
            <w:tcW w:w="708" w:type="dxa"/>
            <w:tcBorders>
              <w:top w:val="nil"/>
              <w:left w:val="nil"/>
              <w:bottom w:val="single" w:sz="4" w:space="0" w:color="auto"/>
              <w:right w:val="single" w:sz="4" w:space="0" w:color="auto"/>
            </w:tcBorders>
            <w:shd w:val="clear" w:color="auto" w:fill="auto"/>
            <w:noWrap/>
            <w:vAlign w:val="center"/>
          </w:tcPr>
          <w:p w14:paraId="69BA93B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14,3</w:t>
            </w:r>
          </w:p>
        </w:tc>
        <w:tc>
          <w:tcPr>
            <w:tcW w:w="568" w:type="dxa"/>
            <w:tcBorders>
              <w:top w:val="nil"/>
              <w:left w:val="nil"/>
              <w:bottom w:val="single" w:sz="4" w:space="0" w:color="auto"/>
              <w:right w:val="single" w:sz="4" w:space="0" w:color="auto"/>
            </w:tcBorders>
            <w:shd w:val="clear" w:color="auto" w:fill="auto"/>
            <w:noWrap/>
            <w:vAlign w:val="center"/>
          </w:tcPr>
          <w:p w14:paraId="35C1A8D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3,07</w:t>
            </w:r>
          </w:p>
        </w:tc>
        <w:tc>
          <w:tcPr>
            <w:tcW w:w="566" w:type="dxa"/>
            <w:tcBorders>
              <w:top w:val="nil"/>
              <w:left w:val="nil"/>
              <w:bottom w:val="single" w:sz="4" w:space="0" w:color="auto"/>
              <w:right w:val="single" w:sz="4" w:space="0" w:color="auto"/>
            </w:tcBorders>
            <w:shd w:val="clear" w:color="auto" w:fill="auto"/>
            <w:noWrap/>
            <w:vAlign w:val="center"/>
          </w:tcPr>
          <w:p w14:paraId="61767C3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21,4</w:t>
            </w:r>
          </w:p>
        </w:tc>
        <w:tc>
          <w:tcPr>
            <w:tcW w:w="710" w:type="dxa"/>
            <w:tcBorders>
              <w:top w:val="nil"/>
              <w:left w:val="nil"/>
              <w:bottom w:val="single" w:sz="4" w:space="0" w:color="auto"/>
              <w:right w:val="single" w:sz="4" w:space="0" w:color="auto"/>
            </w:tcBorders>
            <w:shd w:val="clear" w:color="auto" w:fill="auto"/>
            <w:noWrap/>
            <w:vAlign w:val="center"/>
          </w:tcPr>
          <w:p w14:paraId="19885AD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11,26</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1F10E20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78,6</w:t>
            </w:r>
          </w:p>
        </w:tc>
      </w:tr>
      <w:tr w:rsidR="00FD7B0B" w:rsidRPr="00FD7B0B" w14:paraId="65E49BF8" w14:textId="77777777" w:rsidTr="000F25AF">
        <w:trPr>
          <w:trHeight w:val="84"/>
        </w:trPr>
        <w:tc>
          <w:tcPr>
            <w:tcW w:w="851" w:type="dxa"/>
            <w:vMerge/>
            <w:tcBorders>
              <w:top w:val="nil"/>
              <w:left w:val="double" w:sz="6" w:space="0" w:color="auto"/>
              <w:bottom w:val="single" w:sz="4" w:space="0" w:color="auto"/>
              <w:right w:val="single" w:sz="4" w:space="0" w:color="auto"/>
            </w:tcBorders>
            <w:vAlign w:val="center"/>
            <w:hideMark/>
          </w:tcPr>
          <w:p w14:paraId="04B5F389"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34C8BF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3AA32BB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13 375</w:t>
            </w:r>
          </w:p>
        </w:tc>
        <w:tc>
          <w:tcPr>
            <w:tcW w:w="709" w:type="dxa"/>
            <w:tcBorders>
              <w:top w:val="nil"/>
              <w:left w:val="nil"/>
              <w:bottom w:val="single" w:sz="4" w:space="0" w:color="auto"/>
              <w:right w:val="single" w:sz="4" w:space="0" w:color="auto"/>
            </w:tcBorders>
            <w:shd w:val="clear" w:color="auto" w:fill="auto"/>
            <w:noWrap/>
            <w:vAlign w:val="center"/>
          </w:tcPr>
          <w:p w14:paraId="20D2192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31,40</w:t>
            </w:r>
          </w:p>
        </w:tc>
        <w:tc>
          <w:tcPr>
            <w:tcW w:w="709" w:type="dxa"/>
            <w:tcBorders>
              <w:top w:val="nil"/>
              <w:left w:val="nil"/>
              <w:bottom w:val="single" w:sz="4" w:space="0" w:color="auto"/>
              <w:right w:val="single" w:sz="4" w:space="0" w:color="auto"/>
            </w:tcBorders>
            <w:shd w:val="clear" w:color="auto" w:fill="auto"/>
            <w:noWrap/>
            <w:vAlign w:val="center"/>
          </w:tcPr>
          <w:p w14:paraId="371AB93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419,9</w:t>
            </w:r>
          </w:p>
        </w:tc>
        <w:tc>
          <w:tcPr>
            <w:tcW w:w="708" w:type="dxa"/>
            <w:tcBorders>
              <w:top w:val="nil"/>
              <w:left w:val="nil"/>
              <w:bottom w:val="single" w:sz="4" w:space="0" w:color="auto"/>
              <w:right w:val="single" w:sz="4" w:space="0" w:color="auto"/>
            </w:tcBorders>
            <w:shd w:val="clear" w:color="auto" w:fill="auto"/>
            <w:noWrap/>
            <w:vAlign w:val="center"/>
          </w:tcPr>
          <w:p w14:paraId="173F5B1B"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12 954</w:t>
            </w:r>
          </w:p>
        </w:tc>
        <w:tc>
          <w:tcPr>
            <w:tcW w:w="709" w:type="dxa"/>
            <w:tcBorders>
              <w:top w:val="nil"/>
              <w:left w:val="nil"/>
              <w:bottom w:val="single" w:sz="4" w:space="0" w:color="auto"/>
              <w:right w:val="single" w:sz="4" w:space="0" w:color="auto"/>
            </w:tcBorders>
            <w:shd w:val="clear" w:color="auto" w:fill="auto"/>
            <w:noWrap/>
            <w:vAlign w:val="center"/>
          </w:tcPr>
          <w:p w14:paraId="7496C72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42,87</w:t>
            </w:r>
          </w:p>
        </w:tc>
        <w:tc>
          <w:tcPr>
            <w:tcW w:w="709" w:type="dxa"/>
            <w:tcBorders>
              <w:top w:val="nil"/>
              <w:left w:val="nil"/>
              <w:bottom w:val="single" w:sz="4" w:space="0" w:color="auto"/>
              <w:right w:val="single" w:sz="4" w:space="0" w:color="auto"/>
            </w:tcBorders>
            <w:shd w:val="clear" w:color="auto" w:fill="auto"/>
            <w:noWrap/>
            <w:vAlign w:val="center"/>
          </w:tcPr>
          <w:p w14:paraId="5763847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555,3</w:t>
            </w:r>
          </w:p>
        </w:tc>
        <w:tc>
          <w:tcPr>
            <w:tcW w:w="567" w:type="dxa"/>
            <w:tcBorders>
              <w:top w:val="nil"/>
              <w:left w:val="nil"/>
              <w:bottom w:val="single" w:sz="4" w:space="0" w:color="auto"/>
              <w:right w:val="single" w:sz="4" w:space="0" w:color="auto"/>
            </w:tcBorders>
            <w:shd w:val="clear" w:color="auto" w:fill="auto"/>
            <w:noWrap/>
            <w:vAlign w:val="center"/>
          </w:tcPr>
          <w:p w14:paraId="1FDE1DA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-421</w:t>
            </w:r>
          </w:p>
        </w:tc>
        <w:tc>
          <w:tcPr>
            <w:tcW w:w="709" w:type="dxa"/>
            <w:tcBorders>
              <w:top w:val="nil"/>
              <w:left w:val="nil"/>
              <w:bottom w:val="single" w:sz="4" w:space="0" w:color="auto"/>
              <w:right w:val="single" w:sz="4" w:space="0" w:color="auto"/>
            </w:tcBorders>
            <w:shd w:val="clear" w:color="auto" w:fill="auto"/>
            <w:noWrap/>
            <w:vAlign w:val="center"/>
          </w:tcPr>
          <w:p w14:paraId="272467A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11,47</w:t>
            </w:r>
          </w:p>
        </w:tc>
        <w:tc>
          <w:tcPr>
            <w:tcW w:w="708" w:type="dxa"/>
            <w:tcBorders>
              <w:top w:val="nil"/>
              <w:left w:val="nil"/>
              <w:bottom w:val="single" w:sz="4" w:space="0" w:color="auto"/>
              <w:right w:val="single" w:sz="4" w:space="0" w:color="auto"/>
            </w:tcBorders>
            <w:shd w:val="clear" w:color="auto" w:fill="auto"/>
            <w:noWrap/>
            <w:vAlign w:val="center"/>
          </w:tcPr>
          <w:p w14:paraId="3AA8952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135,4</w:t>
            </w:r>
          </w:p>
        </w:tc>
        <w:tc>
          <w:tcPr>
            <w:tcW w:w="568" w:type="dxa"/>
            <w:tcBorders>
              <w:top w:val="nil"/>
              <w:left w:val="nil"/>
              <w:bottom w:val="single" w:sz="4" w:space="0" w:color="auto"/>
              <w:right w:val="single" w:sz="4" w:space="0" w:color="auto"/>
            </w:tcBorders>
            <w:shd w:val="clear" w:color="auto" w:fill="auto"/>
            <w:noWrap/>
            <w:vAlign w:val="center"/>
          </w:tcPr>
          <w:p w14:paraId="706E06A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-18,05</w:t>
            </w:r>
          </w:p>
        </w:tc>
        <w:tc>
          <w:tcPr>
            <w:tcW w:w="566" w:type="dxa"/>
            <w:tcBorders>
              <w:top w:val="nil"/>
              <w:left w:val="nil"/>
              <w:bottom w:val="single" w:sz="4" w:space="0" w:color="auto"/>
              <w:right w:val="single" w:sz="4" w:space="0" w:color="auto"/>
            </w:tcBorders>
            <w:shd w:val="clear" w:color="auto" w:fill="auto"/>
            <w:noWrap/>
            <w:vAlign w:val="center"/>
          </w:tcPr>
          <w:p w14:paraId="4803061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-13,3</w:t>
            </w:r>
          </w:p>
        </w:tc>
        <w:tc>
          <w:tcPr>
            <w:tcW w:w="710" w:type="dxa"/>
            <w:tcBorders>
              <w:top w:val="nil"/>
              <w:left w:val="nil"/>
              <w:bottom w:val="single" w:sz="4" w:space="0" w:color="auto"/>
              <w:right w:val="single" w:sz="4" w:space="0" w:color="auto"/>
            </w:tcBorders>
            <w:shd w:val="clear" w:color="auto" w:fill="auto"/>
            <w:noWrap/>
            <w:vAlign w:val="center"/>
          </w:tcPr>
          <w:p w14:paraId="370CB7A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153,42</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7DEF7190"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113,3</w:t>
            </w:r>
          </w:p>
        </w:tc>
      </w:tr>
      <w:tr w:rsidR="00FD7B0B" w:rsidRPr="00FD7B0B" w14:paraId="363EAA79" w14:textId="77777777" w:rsidTr="00A51B25">
        <w:trPr>
          <w:trHeight w:val="454"/>
        </w:trPr>
        <w:tc>
          <w:tcPr>
            <w:tcW w:w="851" w:type="dxa"/>
            <w:vMerge/>
            <w:tcBorders>
              <w:top w:val="nil"/>
              <w:left w:val="double" w:sz="6" w:space="0" w:color="auto"/>
              <w:bottom w:val="single" w:sz="4" w:space="0" w:color="auto"/>
              <w:right w:val="single" w:sz="4" w:space="0" w:color="auto"/>
            </w:tcBorders>
            <w:vAlign w:val="center"/>
            <w:hideMark/>
          </w:tcPr>
          <w:p w14:paraId="0E406046"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6BA157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c>
          <w:tcPr>
            <w:tcW w:w="709" w:type="dxa"/>
            <w:tcBorders>
              <w:top w:val="nil"/>
              <w:left w:val="nil"/>
              <w:bottom w:val="single" w:sz="4" w:space="0" w:color="auto"/>
              <w:right w:val="single" w:sz="4" w:space="0" w:color="auto"/>
            </w:tcBorders>
            <w:shd w:val="clear" w:color="auto" w:fill="auto"/>
            <w:noWrap/>
            <w:vAlign w:val="center"/>
          </w:tcPr>
          <w:p w14:paraId="3BD6BE11"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27 067</w:t>
            </w:r>
          </w:p>
        </w:tc>
        <w:tc>
          <w:tcPr>
            <w:tcW w:w="709" w:type="dxa"/>
            <w:tcBorders>
              <w:top w:val="nil"/>
              <w:left w:val="nil"/>
              <w:bottom w:val="single" w:sz="4" w:space="0" w:color="auto"/>
              <w:right w:val="single" w:sz="4" w:space="0" w:color="auto"/>
            </w:tcBorders>
            <w:shd w:val="clear" w:color="auto" w:fill="auto"/>
            <w:noWrap/>
            <w:vAlign w:val="center"/>
          </w:tcPr>
          <w:p w14:paraId="3846565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30,78</w:t>
            </w:r>
          </w:p>
        </w:tc>
        <w:tc>
          <w:tcPr>
            <w:tcW w:w="709" w:type="dxa"/>
            <w:tcBorders>
              <w:top w:val="nil"/>
              <w:left w:val="nil"/>
              <w:bottom w:val="single" w:sz="4" w:space="0" w:color="auto"/>
              <w:right w:val="single" w:sz="4" w:space="0" w:color="auto"/>
            </w:tcBorders>
            <w:shd w:val="clear" w:color="auto" w:fill="auto"/>
            <w:noWrap/>
            <w:vAlign w:val="center"/>
          </w:tcPr>
          <w:p w14:paraId="7D6BEC7F"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833,1</w:t>
            </w:r>
          </w:p>
        </w:tc>
        <w:tc>
          <w:tcPr>
            <w:tcW w:w="708" w:type="dxa"/>
            <w:tcBorders>
              <w:top w:val="nil"/>
              <w:left w:val="nil"/>
              <w:bottom w:val="single" w:sz="4" w:space="0" w:color="auto"/>
              <w:right w:val="single" w:sz="4" w:space="0" w:color="auto"/>
            </w:tcBorders>
            <w:shd w:val="clear" w:color="auto" w:fill="auto"/>
            <w:noWrap/>
            <w:vAlign w:val="center"/>
          </w:tcPr>
          <w:p w14:paraId="305CC59D"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26 745</w:t>
            </w:r>
          </w:p>
        </w:tc>
        <w:tc>
          <w:tcPr>
            <w:tcW w:w="709" w:type="dxa"/>
            <w:tcBorders>
              <w:top w:val="nil"/>
              <w:left w:val="nil"/>
              <w:bottom w:val="single" w:sz="4" w:space="0" w:color="auto"/>
              <w:right w:val="single" w:sz="4" w:space="0" w:color="auto"/>
            </w:tcBorders>
            <w:shd w:val="clear" w:color="auto" w:fill="auto"/>
            <w:noWrap/>
            <w:vAlign w:val="center"/>
          </w:tcPr>
          <w:p w14:paraId="7215ED1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36,75</w:t>
            </w:r>
          </w:p>
        </w:tc>
        <w:tc>
          <w:tcPr>
            <w:tcW w:w="709" w:type="dxa"/>
            <w:tcBorders>
              <w:top w:val="nil"/>
              <w:left w:val="nil"/>
              <w:bottom w:val="single" w:sz="4" w:space="0" w:color="auto"/>
              <w:right w:val="single" w:sz="4" w:space="0" w:color="auto"/>
            </w:tcBorders>
            <w:shd w:val="clear" w:color="auto" w:fill="auto"/>
            <w:noWrap/>
            <w:vAlign w:val="center"/>
          </w:tcPr>
          <w:p w14:paraId="4E34F853"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982,8</w:t>
            </w:r>
          </w:p>
        </w:tc>
        <w:tc>
          <w:tcPr>
            <w:tcW w:w="567" w:type="dxa"/>
            <w:tcBorders>
              <w:top w:val="nil"/>
              <w:left w:val="nil"/>
              <w:bottom w:val="single" w:sz="4" w:space="0" w:color="auto"/>
              <w:right w:val="single" w:sz="4" w:space="0" w:color="auto"/>
            </w:tcBorders>
            <w:shd w:val="clear" w:color="auto" w:fill="auto"/>
            <w:noWrap/>
            <w:vAlign w:val="center"/>
          </w:tcPr>
          <w:p w14:paraId="61275CE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-322</w:t>
            </w:r>
          </w:p>
        </w:tc>
        <w:tc>
          <w:tcPr>
            <w:tcW w:w="709" w:type="dxa"/>
            <w:tcBorders>
              <w:top w:val="nil"/>
              <w:left w:val="nil"/>
              <w:bottom w:val="single" w:sz="4" w:space="0" w:color="auto"/>
              <w:right w:val="single" w:sz="4" w:space="0" w:color="auto"/>
            </w:tcBorders>
            <w:shd w:val="clear" w:color="auto" w:fill="auto"/>
            <w:noWrap/>
            <w:vAlign w:val="center"/>
          </w:tcPr>
          <w:p w14:paraId="3E23A7B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center"/>
          </w:tcPr>
          <w:p w14:paraId="78E6E2B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149,7</w:t>
            </w:r>
          </w:p>
        </w:tc>
        <w:tc>
          <w:tcPr>
            <w:tcW w:w="568" w:type="dxa"/>
            <w:tcBorders>
              <w:top w:val="nil"/>
              <w:left w:val="nil"/>
              <w:bottom w:val="single" w:sz="4" w:space="0" w:color="auto"/>
              <w:right w:val="single" w:sz="4" w:space="0" w:color="auto"/>
            </w:tcBorders>
            <w:shd w:val="clear" w:color="auto" w:fill="auto"/>
            <w:noWrap/>
            <w:vAlign w:val="center"/>
          </w:tcPr>
          <w:p w14:paraId="4C9547C6"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-14,98</w:t>
            </w:r>
          </w:p>
        </w:tc>
        <w:tc>
          <w:tcPr>
            <w:tcW w:w="566" w:type="dxa"/>
            <w:tcBorders>
              <w:top w:val="nil"/>
              <w:left w:val="nil"/>
              <w:bottom w:val="single" w:sz="4" w:space="0" w:color="auto"/>
              <w:right w:val="single" w:sz="4" w:space="0" w:color="auto"/>
            </w:tcBorders>
            <w:shd w:val="clear" w:color="auto" w:fill="auto"/>
            <w:noWrap/>
            <w:vAlign w:val="center"/>
          </w:tcPr>
          <w:p w14:paraId="15EF4BF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-10,0</w:t>
            </w:r>
          </w:p>
        </w:tc>
        <w:tc>
          <w:tcPr>
            <w:tcW w:w="710" w:type="dxa"/>
            <w:tcBorders>
              <w:top w:val="nil"/>
              <w:left w:val="nil"/>
              <w:bottom w:val="single" w:sz="4" w:space="0" w:color="auto"/>
              <w:right w:val="single" w:sz="4" w:space="0" w:color="auto"/>
            </w:tcBorders>
            <w:shd w:val="clear" w:color="auto" w:fill="auto"/>
            <w:noWrap/>
            <w:vAlign w:val="center"/>
          </w:tcPr>
          <w:p w14:paraId="18426F85"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164,68</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47BCEF8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110,0</w:t>
            </w:r>
          </w:p>
        </w:tc>
      </w:tr>
      <w:tr w:rsidR="00FD7B0B" w:rsidRPr="00FD7B0B" w14:paraId="07506AEA" w14:textId="77777777" w:rsidTr="000F25AF">
        <w:trPr>
          <w:trHeight w:val="136"/>
        </w:trPr>
        <w:tc>
          <w:tcPr>
            <w:tcW w:w="851" w:type="dxa"/>
            <w:vMerge w:val="restart"/>
            <w:tcBorders>
              <w:top w:val="single" w:sz="4" w:space="0" w:color="auto"/>
              <w:left w:val="double" w:sz="6" w:space="0" w:color="auto"/>
              <w:bottom w:val="single" w:sz="4" w:space="0" w:color="auto"/>
              <w:right w:val="single" w:sz="4" w:space="0" w:color="auto"/>
            </w:tcBorders>
            <w:shd w:val="clear" w:color="auto" w:fill="auto"/>
            <w:noWrap/>
            <w:textDirection w:val="btLr"/>
            <w:vAlign w:val="center"/>
            <w:hideMark/>
          </w:tcPr>
          <w:p w14:paraId="1D1EAAEB"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Водоотведение</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C8FAD5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6EFAF199"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14 316</w:t>
            </w:r>
          </w:p>
        </w:tc>
        <w:tc>
          <w:tcPr>
            <w:tcW w:w="709" w:type="dxa"/>
            <w:tcBorders>
              <w:top w:val="nil"/>
              <w:left w:val="nil"/>
              <w:bottom w:val="single" w:sz="4" w:space="0" w:color="auto"/>
              <w:right w:val="single" w:sz="4" w:space="0" w:color="auto"/>
            </w:tcBorders>
            <w:shd w:val="clear" w:color="auto" w:fill="auto"/>
            <w:noWrap/>
            <w:vAlign w:val="center"/>
          </w:tcPr>
          <w:p w14:paraId="2C135D7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34,69</w:t>
            </w:r>
          </w:p>
        </w:tc>
        <w:tc>
          <w:tcPr>
            <w:tcW w:w="709" w:type="dxa"/>
            <w:tcBorders>
              <w:top w:val="nil"/>
              <w:left w:val="nil"/>
              <w:bottom w:val="single" w:sz="4" w:space="0" w:color="auto"/>
              <w:right w:val="single" w:sz="4" w:space="0" w:color="auto"/>
            </w:tcBorders>
            <w:shd w:val="clear" w:color="auto" w:fill="auto"/>
            <w:noWrap/>
            <w:vAlign w:val="center"/>
          </w:tcPr>
          <w:p w14:paraId="7DF6554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496,6</w:t>
            </w:r>
          </w:p>
        </w:tc>
        <w:tc>
          <w:tcPr>
            <w:tcW w:w="708" w:type="dxa"/>
            <w:tcBorders>
              <w:top w:val="nil"/>
              <w:left w:val="nil"/>
              <w:bottom w:val="single" w:sz="4" w:space="0" w:color="auto"/>
              <w:right w:val="single" w:sz="4" w:space="0" w:color="auto"/>
            </w:tcBorders>
            <w:shd w:val="clear" w:color="auto" w:fill="auto"/>
            <w:noWrap/>
            <w:vAlign w:val="center"/>
          </w:tcPr>
          <w:p w14:paraId="6E319E70"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14 365</w:t>
            </w:r>
          </w:p>
        </w:tc>
        <w:tc>
          <w:tcPr>
            <w:tcW w:w="709" w:type="dxa"/>
            <w:tcBorders>
              <w:top w:val="nil"/>
              <w:left w:val="nil"/>
              <w:bottom w:val="single" w:sz="4" w:space="0" w:color="auto"/>
              <w:right w:val="single" w:sz="4" w:space="0" w:color="auto"/>
            </w:tcBorders>
            <w:shd w:val="clear" w:color="auto" w:fill="auto"/>
            <w:noWrap/>
            <w:vAlign w:val="center"/>
          </w:tcPr>
          <w:p w14:paraId="00982A6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34,93</w:t>
            </w:r>
          </w:p>
        </w:tc>
        <w:tc>
          <w:tcPr>
            <w:tcW w:w="709" w:type="dxa"/>
            <w:tcBorders>
              <w:top w:val="nil"/>
              <w:left w:val="nil"/>
              <w:bottom w:val="single" w:sz="4" w:space="0" w:color="auto"/>
              <w:right w:val="single" w:sz="4" w:space="0" w:color="auto"/>
            </w:tcBorders>
            <w:shd w:val="clear" w:color="auto" w:fill="auto"/>
            <w:noWrap/>
            <w:vAlign w:val="center"/>
          </w:tcPr>
          <w:p w14:paraId="689F3A5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501,8</w:t>
            </w:r>
          </w:p>
        </w:tc>
        <w:tc>
          <w:tcPr>
            <w:tcW w:w="567" w:type="dxa"/>
            <w:tcBorders>
              <w:top w:val="nil"/>
              <w:left w:val="nil"/>
              <w:bottom w:val="single" w:sz="4" w:space="0" w:color="auto"/>
              <w:right w:val="single" w:sz="4" w:space="0" w:color="auto"/>
            </w:tcBorders>
            <w:shd w:val="clear" w:color="auto" w:fill="auto"/>
            <w:noWrap/>
            <w:vAlign w:val="center"/>
          </w:tcPr>
          <w:p w14:paraId="3F8DC05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49</w:t>
            </w:r>
          </w:p>
        </w:tc>
        <w:tc>
          <w:tcPr>
            <w:tcW w:w="709" w:type="dxa"/>
            <w:tcBorders>
              <w:top w:val="nil"/>
              <w:left w:val="nil"/>
              <w:bottom w:val="single" w:sz="4" w:space="0" w:color="auto"/>
              <w:right w:val="single" w:sz="4" w:space="0" w:color="auto"/>
            </w:tcBorders>
            <w:shd w:val="clear" w:color="auto" w:fill="auto"/>
            <w:noWrap/>
            <w:vAlign w:val="center"/>
          </w:tcPr>
          <w:p w14:paraId="3C17EF3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0,24</w:t>
            </w:r>
          </w:p>
        </w:tc>
        <w:tc>
          <w:tcPr>
            <w:tcW w:w="708" w:type="dxa"/>
            <w:tcBorders>
              <w:top w:val="nil"/>
              <w:left w:val="nil"/>
              <w:bottom w:val="single" w:sz="4" w:space="0" w:color="auto"/>
              <w:right w:val="single" w:sz="4" w:space="0" w:color="auto"/>
            </w:tcBorders>
            <w:shd w:val="clear" w:color="auto" w:fill="auto"/>
            <w:noWrap/>
            <w:vAlign w:val="center"/>
          </w:tcPr>
          <w:p w14:paraId="7D41F51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5,2</w:t>
            </w:r>
          </w:p>
        </w:tc>
        <w:tc>
          <w:tcPr>
            <w:tcW w:w="568" w:type="dxa"/>
            <w:tcBorders>
              <w:top w:val="nil"/>
              <w:left w:val="nil"/>
              <w:bottom w:val="single" w:sz="4" w:space="0" w:color="auto"/>
              <w:right w:val="single" w:sz="4" w:space="0" w:color="auto"/>
            </w:tcBorders>
            <w:shd w:val="clear" w:color="auto" w:fill="auto"/>
            <w:noWrap/>
            <w:vAlign w:val="center"/>
          </w:tcPr>
          <w:p w14:paraId="6665405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1,71</w:t>
            </w:r>
          </w:p>
        </w:tc>
        <w:tc>
          <w:tcPr>
            <w:tcW w:w="566" w:type="dxa"/>
            <w:tcBorders>
              <w:top w:val="nil"/>
              <w:left w:val="nil"/>
              <w:bottom w:val="single" w:sz="4" w:space="0" w:color="auto"/>
              <w:right w:val="single" w:sz="4" w:space="0" w:color="auto"/>
            </w:tcBorders>
            <w:shd w:val="clear" w:color="auto" w:fill="auto"/>
            <w:noWrap/>
            <w:vAlign w:val="center"/>
          </w:tcPr>
          <w:p w14:paraId="5562052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32,9</w:t>
            </w:r>
          </w:p>
        </w:tc>
        <w:tc>
          <w:tcPr>
            <w:tcW w:w="710" w:type="dxa"/>
            <w:tcBorders>
              <w:top w:val="nil"/>
              <w:left w:val="nil"/>
              <w:bottom w:val="single" w:sz="4" w:space="0" w:color="auto"/>
              <w:right w:val="single" w:sz="4" w:space="0" w:color="auto"/>
            </w:tcBorders>
            <w:shd w:val="clear" w:color="auto" w:fill="auto"/>
            <w:noWrap/>
            <w:vAlign w:val="center"/>
          </w:tcPr>
          <w:p w14:paraId="2C6D525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3,49</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78FC6F8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67,1</w:t>
            </w:r>
          </w:p>
        </w:tc>
      </w:tr>
      <w:tr w:rsidR="00FD7B0B" w:rsidRPr="00FD7B0B" w14:paraId="581A0E22" w14:textId="77777777" w:rsidTr="00A51B25">
        <w:trPr>
          <w:trHeight w:val="454"/>
        </w:trPr>
        <w:tc>
          <w:tcPr>
            <w:tcW w:w="851" w:type="dxa"/>
            <w:vMerge/>
            <w:tcBorders>
              <w:top w:val="single" w:sz="4" w:space="0" w:color="auto"/>
              <w:left w:val="double" w:sz="6" w:space="0" w:color="auto"/>
              <w:bottom w:val="single" w:sz="4" w:space="0" w:color="auto"/>
              <w:right w:val="single" w:sz="4" w:space="0" w:color="auto"/>
            </w:tcBorders>
            <w:vAlign w:val="center"/>
            <w:hideMark/>
          </w:tcPr>
          <w:p w14:paraId="33223BB2"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358E75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44AFDFF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13 674</w:t>
            </w:r>
          </w:p>
        </w:tc>
        <w:tc>
          <w:tcPr>
            <w:tcW w:w="709" w:type="dxa"/>
            <w:tcBorders>
              <w:top w:val="nil"/>
              <w:left w:val="nil"/>
              <w:bottom w:val="single" w:sz="4" w:space="0" w:color="auto"/>
              <w:right w:val="single" w:sz="4" w:space="0" w:color="auto"/>
            </w:tcBorders>
            <w:shd w:val="clear" w:color="auto" w:fill="auto"/>
            <w:noWrap/>
            <w:vAlign w:val="center"/>
          </w:tcPr>
          <w:p w14:paraId="2A305ED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35,17</w:t>
            </w:r>
          </w:p>
        </w:tc>
        <w:tc>
          <w:tcPr>
            <w:tcW w:w="709" w:type="dxa"/>
            <w:tcBorders>
              <w:top w:val="nil"/>
              <w:left w:val="nil"/>
              <w:bottom w:val="single" w:sz="4" w:space="0" w:color="auto"/>
              <w:right w:val="single" w:sz="4" w:space="0" w:color="auto"/>
            </w:tcBorders>
            <w:shd w:val="clear" w:color="auto" w:fill="auto"/>
            <w:noWrap/>
            <w:vAlign w:val="center"/>
          </w:tcPr>
          <w:p w14:paraId="1CB298C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480,9</w:t>
            </w:r>
          </w:p>
        </w:tc>
        <w:tc>
          <w:tcPr>
            <w:tcW w:w="708" w:type="dxa"/>
            <w:tcBorders>
              <w:top w:val="nil"/>
              <w:left w:val="nil"/>
              <w:bottom w:val="single" w:sz="4" w:space="0" w:color="auto"/>
              <w:right w:val="single" w:sz="4" w:space="0" w:color="auto"/>
            </w:tcBorders>
            <w:shd w:val="clear" w:color="auto" w:fill="auto"/>
            <w:noWrap/>
            <w:vAlign w:val="center"/>
          </w:tcPr>
          <w:p w14:paraId="0A9CA34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17 775</w:t>
            </w:r>
          </w:p>
        </w:tc>
        <w:tc>
          <w:tcPr>
            <w:tcW w:w="709" w:type="dxa"/>
            <w:tcBorders>
              <w:top w:val="nil"/>
              <w:left w:val="nil"/>
              <w:bottom w:val="single" w:sz="4" w:space="0" w:color="auto"/>
              <w:right w:val="single" w:sz="4" w:space="0" w:color="auto"/>
            </w:tcBorders>
            <w:shd w:val="clear" w:color="auto" w:fill="auto"/>
            <w:noWrap/>
            <w:vAlign w:val="center"/>
          </w:tcPr>
          <w:p w14:paraId="3630941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35,47</w:t>
            </w:r>
          </w:p>
        </w:tc>
        <w:tc>
          <w:tcPr>
            <w:tcW w:w="709" w:type="dxa"/>
            <w:tcBorders>
              <w:top w:val="nil"/>
              <w:left w:val="nil"/>
              <w:bottom w:val="single" w:sz="4" w:space="0" w:color="auto"/>
              <w:right w:val="single" w:sz="4" w:space="0" w:color="auto"/>
            </w:tcBorders>
            <w:shd w:val="clear" w:color="auto" w:fill="auto"/>
            <w:noWrap/>
            <w:vAlign w:val="center"/>
          </w:tcPr>
          <w:p w14:paraId="00AEF4A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630,4</w:t>
            </w:r>
          </w:p>
        </w:tc>
        <w:tc>
          <w:tcPr>
            <w:tcW w:w="567" w:type="dxa"/>
            <w:tcBorders>
              <w:top w:val="nil"/>
              <w:left w:val="nil"/>
              <w:bottom w:val="single" w:sz="4" w:space="0" w:color="auto"/>
              <w:right w:val="single" w:sz="4" w:space="0" w:color="auto"/>
            </w:tcBorders>
            <w:shd w:val="clear" w:color="auto" w:fill="auto"/>
            <w:noWrap/>
            <w:vAlign w:val="center"/>
          </w:tcPr>
          <w:p w14:paraId="52EC758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4 101</w:t>
            </w:r>
          </w:p>
        </w:tc>
        <w:tc>
          <w:tcPr>
            <w:tcW w:w="709" w:type="dxa"/>
            <w:tcBorders>
              <w:top w:val="nil"/>
              <w:left w:val="nil"/>
              <w:bottom w:val="single" w:sz="4" w:space="0" w:color="auto"/>
              <w:right w:val="single" w:sz="4" w:space="0" w:color="auto"/>
            </w:tcBorders>
            <w:shd w:val="clear" w:color="auto" w:fill="auto"/>
            <w:noWrap/>
            <w:vAlign w:val="center"/>
          </w:tcPr>
          <w:p w14:paraId="54655AC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0,30</w:t>
            </w:r>
          </w:p>
        </w:tc>
        <w:tc>
          <w:tcPr>
            <w:tcW w:w="708" w:type="dxa"/>
            <w:tcBorders>
              <w:top w:val="nil"/>
              <w:left w:val="nil"/>
              <w:bottom w:val="single" w:sz="4" w:space="0" w:color="auto"/>
              <w:right w:val="single" w:sz="4" w:space="0" w:color="auto"/>
            </w:tcBorders>
            <w:shd w:val="clear" w:color="auto" w:fill="auto"/>
            <w:noWrap/>
            <w:vAlign w:val="center"/>
          </w:tcPr>
          <w:p w14:paraId="4F57E24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149,5</w:t>
            </w:r>
          </w:p>
        </w:tc>
        <w:tc>
          <w:tcPr>
            <w:tcW w:w="568" w:type="dxa"/>
            <w:tcBorders>
              <w:top w:val="nil"/>
              <w:left w:val="nil"/>
              <w:bottom w:val="single" w:sz="4" w:space="0" w:color="auto"/>
              <w:right w:val="single" w:sz="4" w:space="0" w:color="auto"/>
            </w:tcBorders>
            <w:shd w:val="clear" w:color="auto" w:fill="auto"/>
            <w:noWrap/>
            <w:vAlign w:val="center"/>
          </w:tcPr>
          <w:p w14:paraId="799085C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145,44</w:t>
            </w:r>
          </w:p>
        </w:tc>
        <w:tc>
          <w:tcPr>
            <w:tcW w:w="566" w:type="dxa"/>
            <w:tcBorders>
              <w:top w:val="nil"/>
              <w:left w:val="nil"/>
              <w:bottom w:val="single" w:sz="4" w:space="0" w:color="auto"/>
              <w:right w:val="single" w:sz="4" w:space="0" w:color="auto"/>
            </w:tcBorders>
            <w:shd w:val="clear" w:color="auto" w:fill="auto"/>
            <w:noWrap/>
            <w:vAlign w:val="center"/>
          </w:tcPr>
          <w:p w14:paraId="3869D24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97,3</w:t>
            </w:r>
          </w:p>
        </w:tc>
        <w:tc>
          <w:tcPr>
            <w:tcW w:w="710" w:type="dxa"/>
            <w:tcBorders>
              <w:top w:val="nil"/>
              <w:left w:val="nil"/>
              <w:bottom w:val="single" w:sz="4" w:space="0" w:color="auto"/>
              <w:right w:val="single" w:sz="4" w:space="0" w:color="auto"/>
            </w:tcBorders>
            <w:shd w:val="clear" w:color="auto" w:fill="auto"/>
            <w:noWrap/>
            <w:vAlign w:val="center"/>
          </w:tcPr>
          <w:p w14:paraId="4EB5C31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4,06</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2E0A318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2,7</w:t>
            </w:r>
          </w:p>
        </w:tc>
      </w:tr>
      <w:tr w:rsidR="00FD7B0B" w:rsidRPr="00FD7B0B" w14:paraId="6945B058" w14:textId="77777777" w:rsidTr="00A51B25">
        <w:trPr>
          <w:trHeight w:val="454"/>
        </w:trPr>
        <w:tc>
          <w:tcPr>
            <w:tcW w:w="851" w:type="dxa"/>
            <w:vMerge/>
            <w:tcBorders>
              <w:top w:val="single" w:sz="4" w:space="0" w:color="auto"/>
              <w:left w:val="double" w:sz="6" w:space="0" w:color="auto"/>
              <w:bottom w:val="single" w:sz="4" w:space="0" w:color="auto"/>
              <w:right w:val="single" w:sz="4" w:space="0" w:color="auto"/>
            </w:tcBorders>
            <w:vAlign w:val="center"/>
            <w:hideMark/>
          </w:tcPr>
          <w:p w14:paraId="7A9D1A3F"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804D24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c>
          <w:tcPr>
            <w:tcW w:w="709" w:type="dxa"/>
            <w:tcBorders>
              <w:top w:val="nil"/>
              <w:left w:val="nil"/>
              <w:bottom w:val="single" w:sz="4" w:space="0" w:color="auto"/>
              <w:right w:val="single" w:sz="4" w:space="0" w:color="auto"/>
            </w:tcBorders>
            <w:shd w:val="clear" w:color="auto" w:fill="auto"/>
            <w:noWrap/>
            <w:vAlign w:val="center"/>
          </w:tcPr>
          <w:p w14:paraId="6C04D812"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27 990</w:t>
            </w:r>
          </w:p>
        </w:tc>
        <w:tc>
          <w:tcPr>
            <w:tcW w:w="709" w:type="dxa"/>
            <w:tcBorders>
              <w:top w:val="nil"/>
              <w:left w:val="nil"/>
              <w:bottom w:val="single" w:sz="4" w:space="0" w:color="auto"/>
              <w:right w:val="single" w:sz="4" w:space="0" w:color="auto"/>
            </w:tcBorders>
            <w:shd w:val="clear" w:color="auto" w:fill="auto"/>
            <w:noWrap/>
            <w:vAlign w:val="center"/>
          </w:tcPr>
          <w:p w14:paraId="10E20D5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34,92</w:t>
            </w:r>
          </w:p>
        </w:tc>
        <w:tc>
          <w:tcPr>
            <w:tcW w:w="709" w:type="dxa"/>
            <w:tcBorders>
              <w:top w:val="nil"/>
              <w:left w:val="nil"/>
              <w:bottom w:val="single" w:sz="4" w:space="0" w:color="auto"/>
              <w:right w:val="single" w:sz="4" w:space="0" w:color="auto"/>
            </w:tcBorders>
            <w:shd w:val="clear" w:color="auto" w:fill="auto"/>
            <w:noWrap/>
            <w:vAlign w:val="center"/>
          </w:tcPr>
          <w:p w14:paraId="4B27BF77"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977,5</w:t>
            </w:r>
          </w:p>
        </w:tc>
        <w:tc>
          <w:tcPr>
            <w:tcW w:w="708" w:type="dxa"/>
            <w:tcBorders>
              <w:top w:val="nil"/>
              <w:left w:val="nil"/>
              <w:bottom w:val="single" w:sz="4" w:space="0" w:color="auto"/>
              <w:right w:val="single" w:sz="4" w:space="0" w:color="auto"/>
            </w:tcBorders>
            <w:shd w:val="clear" w:color="auto" w:fill="auto"/>
            <w:noWrap/>
            <w:vAlign w:val="center"/>
          </w:tcPr>
          <w:p w14:paraId="4EE91CC9"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32 140</w:t>
            </w:r>
          </w:p>
        </w:tc>
        <w:tc>
          <w:tcPr>
            <w:tcW w:w="709" w:type="dxa"/>
            <w:tcBorders>
              <w:top w:val="nil"/>
              <w:left w:val="nil"/>
              <w:bottom w:val="single" w:sz="4" w:space="0" w:color="auto"/>
              <w:right w:val="single" w:sz="4" w:space="0" w:color="auto"/>
            </w:tcBorders>
            <w:shd w:val="clear" w:color="auto" w:fill="auto"/>
            <w:noWrap/>
            <w:vAlign w:val="center"/>
          </w:tcPr>
          <w:p w14:paraId="60021BB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35,23</w:t>
            </w:r>
          </w:p>
        </w:tc>
        <w:tc>
          <w:tcPr>
            <w:tcW w:w="709" w:type="dxa"/>
            <w:tcBorders>
              <w:top w:val="nil"/>
              <w:left w:val="nil"/>
              <w:bottom w:val="single" w:sz="4" w:space="0" w:color="auto"/>
              <w:right w:val="single" w:sz="4" w:space="0" w:color="auto"/>
            </w:tcBorders>
            <w:shd w:val="clear" w:color="auto" w:fill="auto"/>
            <w:noWrap/>
            <w:vAlign w:val="center"/>
          </w:tcPr>
          <w:p w14:paraId="4BEE2D5F"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1 132,2</w:t>
            </w:r>
          </w:p>
        </w:tc>
        <w:tc>
          <w:tcPr>
            <w:tcW w:w="567" w:type="dxa"/>
            <w:tcBorders>
              <w:top w:val="nil"/>
              <w:left w:val="nil"/>
              <w:bottom w:val="single" w:sz="4" w:space="0" w:color="auto"/>
              <w:right w:val="single" w:sz="4" w:space="0" w:color="auto"/>
            </w:tcBorders>
            <w:shd w:val="clear" w:color="auto" w:fill="auto"/>
            <w:noWrap/>
            <w:vAlign w:val="center"/>
          </w:tcPr>
          <w:p w14:paraId="0B4F72F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4 150</w:t>
            </w:r>
          </w:p>
        </w:tc>
        <w:tc>
          <w:tcPr>
            <w:tcW w:w="709" w:type="dxa"/>
            <w:tcBorders>
              <w:top w:val="nil"/>
              <w:left w:val="nil"/>
              <w:bottom w:val="single" w:sz="4" w:space="0" w:color="auto"/>
              <w:right w:val="single" w:sz="4" w:space="0" w:color="auto"/>
            </w:tcBorders>
            <w:shd w:val="clear" w:color="auto" w:fill="auto"/>
            <w:noWrap/>
            <w:vAlign w:val="center"/>
          </w:tcPr>
          <w:p w14:paraId="01F99B2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center"/>
          </w:tcPr>
          <w:p w14:paraId="5FC2474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154,7</w:t>
            </w:r>
          </w:p>
        </w:tc>
        <w:tc>
          <w:tcPr>
            <w:tcW w:w="568" w:type="dxa"/>
            <w:tcBorders>
              <w:top w:val="nil"/>
              <w:left w:val="nil"/>
              <w:bottom w:val="single" w:sz="4" w:space="0" w:color="auto"/>
              <w:right w:val="single" w:sz="4" w:space="0" w:color="auto"/>
            </w:tcBorders>
            <w:shd w:val="clear" w:color="auto" w:fill="auto"/>
            <w:noWrap/>
            <w:vAlign w:val="center"/>
          </w:tcPr>
          <w:p w14:paraId="3B35C218"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147,16</w:t>
            </w:r>
          </w:p>
        </w:tc>
        <w:tc>
          <w:tcPr>
            <w:tcW w:w="566" w:type="dxa"/>
            <w:tcBorders>
              <w:top w:val="nil"/>
              <w:left w:val="nil"/>
              <w:bottom w:val="single" w:sz="4" w:space="0" w:color="auto"/>
              <w:right w:val="single" w:sz="4" w:space="0" w:color="auto"/>
            </w:tcBorders>
            <w:shd w:val="clear" w:color="auto" w:fill="auto"/>
            <w:noWrap/>
            <w:vAlign w:val="center"/>
          </w:tcPr>
          <w:p w14:paraId="1863E5E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95,1</w:t>
            </w:r>
          </w:p>
        </w:tc>
        <w:tc>
          <w:tcPr>
            <w:tcW w:w="710" w:type="dxa"/>
            <w:tcBorders>
              <w:top w:val="nil"/>
              <w:left w:val="nil"/>
              <w:bottom w:val="single" w:sz="4" w:space="0" w:color="auto"/>
              <w:right w:val="single" w:sz="4" w:space="0" w:color="auto"/>
            </w:tcBorders>
            <w:shd w:val="clear" w:color="auto" w:fill="auto"/>
            <w:noWrap/>
            <w:vAlign w:val="center"/>
          </w:tcPr>
          <w:p w14:paraId="4B772721"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7,54</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35250BE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4,9</w:t>
            </w:r>
          </w:p>
        </w:tc>
      </w:tr>
      <w:tr w:rsidR="00FD7B0B" w:rsidRPr="00FD7B0B" w14:paraId="0B7DEFAD" w14:textId="77777777" w:rsidTr="00A51B25">
        <w:trPr>
          <w:trHeight w:val="454"/>
        </w:trPr>
        <w:tc>
          <w:tcPr>
            <w:tcW w:w="851" w:type="dxa"/>
            <w:vMerge w:val="restart"/>
            <w:tcBorders>
              <w:top w:val="single" w:sz="4" w:space="0" w:color="auto"/>
              <w:left w:val="double" w:sz="6" w:space="0" w:color="auto"/>
              <w:bottom w:val="single" w:sz="4" w:space="0" w:color="auto"/>
              <w:right w:val="single" w:sz="4" w:space="0" w:color="auto"/>
            </w:tcBorders>
            <w:shd w:val="clear" w:color="auto" w:fill="auto"/>
            <w:textDirection w:val="btLr"/>
            <w:vAlign w:val="center"/>
            <w:hideMark/>
          </w:tcPr>
          <w:p w14:paraId="318B189B"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Горячее водоснабжение (компонент на холодную воду)</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03BB6B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4DDD847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547</w:t>
            </w:r>
          </w:p>
        </w:tc>
        <w:tc>
          <w:tcPr>
            <w:tcW w:w="709" w:type="dxa"/>
            <w:tcBorders>
              <w:top w:val="nil"/>
              <w:left w:val="nil"/>
              <w:bottom w:val="single" w:sz="4" w:space="0" w:color="auto"/>
              <w:right w:val="single" w:sz="4" w:space="0" w:color="auto"/>
            </w:tcBorders>
            <w:shd w:val="clear" w:color="auto" w:fill="auto"/>
            <w:noWrap/>
            <w:vAlign w:val="center"/>
          </w:tcPr>
          <w:p w14:paraId="462F97FB"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45,70</w:t>
            </w:r>
          </w:p>
        </w:tc>
        <w:tc>
          <w:tcPr>
            <w:tcW w:w="709" w:type="dxa"/>
            <w:tcBorders>
              <w:top w:val="nil"/>
              <w:left w:val="nil"/>
              <w:bottom w:val="single" w:sz="4" w:space="0" w:color="auto"/>
              <w:right w:val="single" w:sz="4" w:space="0" w:color="auto"/>
            </w:tcBorders>
            <w:shd w:val="clear" w:color="auto" w:fill="auto"/>
            <w:noWrap/>
            <w:vAlign w:val="center"/>
          </w:tcPr>
          <w:p w14:paraId="2AE64E5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25,0</w:t>
            </w:r>
          </w:p>
        </w:tc>
        <w:tc>
          <w:tcPr>
            <w:tcW w:w="708" w:type="dxa"/>
            <w:tcBorders>
              <w:top w:val="nil"/>
              <w:left w:val="nil"/>
              <w:bottom w:val="single" w:sz="4" w:space="0" w:color="auto"/>
              <w:right w:val="single" w:sz="4" w:space="0" w:color="auto"/>
            </w:tcBorders>
            <w:shd w:val="clear" w:color="auto" w:fill="auto"/>
            <w:noWrap/>
            <w:vAlign w:val="center"/>
          </w:tcPr>
          <w:p w14:paraId="6058A830"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593</w:t>
            </w:r>
          </w:p>
        </w:tc>
        <w:tc>
          <w:tcPr>
            <w:tcW w:w="709" w:type="dxa"/>
            <w:tcBorders>
              <w:top w:val="nil"/>
              <w:left w:val="nil"/>
              <w:bottom w:val="single" w:sz="4" w:space="0" w:color="auto"/>
              <w:right w:val="single" w:sz="4" w:space="0" w:color="auto"/>
            </w:tcBorders>
            <w:shd w:val="clear" w:color="auto" w:fill="auto"/>
            <w:noWrap/>
            <w:vAlign w:val="center"/>
          </w:tcPr>
          <w:p w14:paraId="44391CF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43,17</w:t>
            </w:r>
          </w:p>
        </w:tc>
        <w:tc>
          <w:tcPr>
            <w:tcW w:w="709" w:type="dxa"/>
            <w:tcBorders>
              <w:top w:val="nil"/>
              <w:left w:val="nil"/>
              <w:bottom w:val="single" w:sz="4" w:space="0" w:color="auto"/>
              <w:right w:val="single" w:sz="4" w:space="0" w:color="auto"/>
            </w:tcBorders>
            <w:shd w:val="clear" w:color="auto" w:fill="auto"/>
            <w:noWrap/>
            <w:vAlign w:val="center"/>
          </w:tcPr>
          <w:p w14:paraId="5E182BC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25,6</w:t>
            </w:r>
          </w:p>
        </w:tc>
        <w:tc>
          <w:tcPr>
            <w:tcW w:w="567" w:type="dxa"/>
            <w:tcBorders>
              <w:top w:val="nil"/>
              <w:left w:val="nil"/>
              <w:bottom w:val="single" w:sz="4" w:space="0" w:color="auto"/>
              <w:right w:val="single" w:sz="4" w:space="0" w:color="auto"/>
            </w:tcBorders>
            <w:shd w:val="clear" w:color="auto" w:fill="auto"/>
            <w:noWrap/>
            <w:vAlign w:val="center"/>
          </w:tcPr>
          <w:p w14:paraId="6054768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46</w:t>
            </w:r>
          </w:p>
        </w:tc>
        <w:tc>
          <w:tcPr>
            <w:tcW w:w="709" w:type="dxa"/>
            <w:tcBorders>
              <w:top w:val="nil"/>
              <w:left w:val="nil"/>
              <w:bottom w:val="single" w:sz="4" w:space="0" w:color="auto"/>
              <w:right w:val="single" w:sz="4" w:space="0" w:color="auto"/>
            </w:tcBorders>
            <w:shd w:val="clear" w:color="auto" w:fill="auto"/>
            <w:noWrap/>
            <w:vAlign w:val="center"/>
          </w:tcPr>
          <w:p w14:paraId="23537E2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-2,53</w:t>
            </w:r>
          </w:p>
        </w:tc>
        <w:tc>
          <w:tcPr>
            <w:tcW w:w="708" w:type="dxa"/>
            <w:tcBorders>
              <w:top w:val="nil"/>
              <w:left w:val="nil"/>
              <w:bottom w:val="single" w:sz="4" w:space="0" w:color="auto"/>
              <w:right w:val="single" w:sz="4" w:space="0" w:color="auto"/>
            </w:tcBorders>
            <w:shd w:val="clear" w:color="auto" w:fill="auto"/>
            <w:noWrap/>
            <w:vAlign w:val="center"/>
          </w:tcPr>
          <w:p w14:paraId="551B234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0,6</w:t>
            </w:r>
          </w:p>
        </w:tc>
        <w:tc>
          <w:tcPr>
            <w:tcW w:w="568" w:type="dxa"/>
            <w:tcBorders>
              <w:top w:val="nil"/>
              <w:left w:val="nil"/>
              <w:bottom w:val="single" w:sz="4" w:space="0" w:color="auto"/>
              <w:right w:val="single" w:sz="4" w:space="0" w:color="auto"/>
            </w:tcBorders>
            <w:shd w:val="clear" w:color="auto" w:fill="auto"/>
            <w:noWrap/>
            <w:vAlign w:val="center"/>
          </w:tcPr>
          <w:p w14:paraId="0D24A8AB"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1,99</w:t>
            </w:r>
          </w:p>
        </w:tc>
        <w:tc>
          <w:tcPr>
            <w:tcW w:w="566" w:type="dxa"/>
            <w:tcBorders>
              <w:top w:val="nil"/>
              <w:left w:val="nil"/>
              <w:bottom w:val="single" w:sz="4" w:space="0" w:color="auto"/>
              <w:right w:val="single" w:sz="4" w:space="0" w:color="auto"/>
            </w:tcBorders>
            <w:shd w:val="clear" w:color="auto" w:fill="auto"/>
            <w:noWrap/>
            <w:vAlign w:val="center"/>
          </w:tcPr>
          <w:p w14:paraId="52676E1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331,0</w:t>
            </w:r>
          </w:p>
        </w:tc>
        <w:tc>
          <w:tcPr>
            <w:tcW w:w="710" w:type="dxa"/>
            <w:tcBorders>
              <w:top w:val="nil"/>
              <w:left w:val="nil"/>
              <w:bottom w:val="single" w:sz="4" w:space="0" w:color="auto"/>
              <w:right w:val="single" w:sz="4" w:space="0" w:color="auto"/>
            </w:tcBorders>
            <w:shd w:val="clear" w:color="auto" w:fill="auto"/>
            <w:noWrap/>
            <w:vAlign w:val="center"/>
          </w:tcPr>
          <w:p w14:paraId="64F7CE4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-1,39</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11B29800"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-231,0</w:t>
            </w:r>
          </w:p>
        </w:tc>
      </w:tr>
      <w:tr w:rsidR="00FD7B0B" w:rsidRPr="00FD7B0B" w14:paraId="0744B46C" w14:textId="77777777" w:rsidTr="00A51B25">
        <w:trPr>
          <w:trHeight w:val="454"/>
        </w:trPr>
        <w:tc>
          <w:tcPr>
            <w:tcW w:w="851" w:type="dxa"/>
            <w:vMerge/>
            <w:tcBorders>
              <w:top w:val="single" w:sz="4" w:space="0" w:color="auto"/>
              <w:left w:val="double" w:sz="6" w:space="0" w:color="auto"/>
              <w:bottom w:val="single" w:sz="4" w:space="0" w:color="auto"/>
              <w:right w:val="single" w:sz="4" w:space="0" w:color="auto"/>
            </w:tcBorders>
            <w:vAlign w:val="center"/>
            <w:hideMark/>
          </w:tcPr>
          <w:p w14:paraId="796071BF"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3F8AB8B"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75D9B069"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475</w:t>
            </w:r>
          </w:p>
        </w:tc>
        <w:tc>
          <w:tcPr>
            <w:tcW w:w="709" w:type="dxa"/>
            <w:tcBorders>
              <w:top w:val="nil"/>
              <w:left w:val="nil"/>
              <w:bottom w:val="single" w:sz="4" w:space="0" w:color="auto"/>
              <w:right w:val="single" w:sz="4" w:space="0" w:color="auto"/>
            </w:tcBorders>
            <w:shd w:val="clear" w:color="auto" w:fill="auto"/>
            <w:noWrap/>
            <w:vAlign w:val="center"/>
          </w:tcPr>
          <w:p w14:paraId="3B519FD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44,21</w:t>
            </w:r>
          </w:p>
        </w:tc>
        <w:tc>
          <w:tcPr>
            <w:tcW w:w="709" w:type="dxa"/>
            <w:tcBorders>
              <w:top w:val="nil"/>
              <w:left w:val="nil"/>
              <w:bottom w:val="single" w:sz="4" w:space="0" w:color="auto"/>
              <w:right w:val="single" w:sz="4" w:space="0" w:color="auto"/>
            </w:tcBorders>
            <w:shd w:val="clear" w:color="auto" w:fill="auto"/>
            <w:noWrap/>
            <w:vAlign w:val="center"/>
          </w:tcPr>
          <w:p w14:paraId="456D999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21,0</w:t>
            </w:r>
          </w:p>
        </w:tc>
        <w:tc>
          <w:tcPr>
            <w:tcW w:w="708" w:type="dxa"/>
            <w:tcBorders>
              <w:top w:val="nil"/>
              <w:left w:val="nil"/>
              <w:bottom w:val="single" w:sz="4" w:space="0" w:color="auto"/>
              <w:right w:val="single" w:sz="4" w:space="0" w:color="auto"/>
            </w:tcBorders>
            <w:shd w:val="clear" w:color="auto" w:fill="auto"/>
            <w:noWrap/>
            <w:vAlign w:val="center"/>
          </w:tcPr>
          <w:p w14:paraId="18AA800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480</w:t>
            </w:r>
          </w:p>
        </w:tc>
        <w:tc>
          <w:tcPr>
            <w:tcW w:w="709" w:type="dxa"/>
            <w:tcBorders>
              <w:top w:val="nil"/>
              <w:left w:val="nil"/>
              <w:bottom w:val="single" w:sz="4" w:space="0" w:color="auto"/>
              <w:right w:val="single" w:sz="4" w:space="0" w:color="auto"/>
            </w:tcBorders>
            <w:shd w:val="clear" w:color="auto" w:fill="auto"/>
            <w:noWrap/>
            <w:vAlign w:val="center"/>
          </w:tcPr>
          <w:p w14:paraId="5FFDCF7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54,17</w:t>
            </w:r>
          </w:p>
        </w:tc>
        <w:tc>
          <w:tcPr>
            <w:tcW w:w="709" w:type="dxa"/>
            <w:tcBorders>
              <w:top w:val="nil"/>
              <w:left w:val="nil"/>
              <w:bottom w:val="single" w:sz="4" w:space="0" w:color="auto"/>
              <w:right w:val="single" w:sz="4" w:space="0" w:color="auto"/>
            </w:tcBorders>
            <w:shd w:val="clear" w:color="auto" w:fill="auto"/>
            <w:noWrap/>
            <w:vAlign w:val="center"/>
          </w:tcPr>
          <w:p w14:paraId="270D53B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26,0</w:t>
            </w:r>
          </w:p>
        </w:tc>
        <w:tc>
          <w:tcPr>
            <w:tcW w:w="567" w:type="dxa"/>
            <w:tcBorders>
              <w:top w:val="nil"/>
              <w:left w:val="nil"/>
              <w:bottom w:val="single" w:sz="4" w:space="0" w:color="auto"/>
              <w:right w:val="single" w:sz="4" w:space="0" w:color="auto"/>
            </w:tcBorders>
            <w:shd w:val="clear" w:color="auto" w:fill="auto"/>
            <w:noWrap/>
            <w:vAlign w:val="center"/>
          </w:tcPr>
          <w:p w14:paraId="45523A0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709" w:type="dxa"/>
            <w:tcBorders>
              <w:top w:val="nil"/>
              <w:left w:val="nil"/>
              <w:bottom w:val="single" w:sz="4" w:space="0" w:color="auto"/>
              <w:right w:val="single" w:sz="4" w:space="0" w:color="auto"/>
            </w:tcBorders>
            <w:shd w:val="clear" w:color="auto" w:fill="auto"/>
            <w:noWrap/>
            <w:vAlign w:val="center"/>
          </w:tcPr>
          <w:p w14:paraId="7E88D32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9,96</w:t>
            </w:r>
          </w:p>
        </w:tc>
        <w:tc>
          <w:tcPr>
            <w:tcW w:w="708" w:type="dxa"/>
            <w:tcBorders>
              <w:top w:val="nil"/>
              <w:left w:val="nil"/>
              <w:bottom w:val="single" w:sz="4" w:space="0" w:color="auto"/>
              <w:right w:val="single" w:sz="4" w:space="0" w:color="auto"/>
            </w:tcBorders>
            <w:shd w:val="clear" w:color="auto" w:fill="auto"/>
            <w:noWrap/>
            <w:vAlign w:val="center"/>
          </w:tcPr>
          <w:p w14:paraId="6218F98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5,0</w:t>
            </w:r>
          </w:p>
        </w:tc>
        <w:tc>
          <w:tcPr>
            <w:tcW w:w="568" w:type="dxa"/>
            <w:tcBorders>
              <w:top w:val="nil"/>
              <w:left w:val="nil"/>
              <w:bottom w:val="single" w:sz="4" w:space="0" w:color="auto"/>
              <w:right w:val="single" w:sz="4" w:space="0" w:color="auto"/>
            </w:tcBorders>
            <w:shd w:val="clear" w:color="auto" w:fill="auto"/>
            <w:noWrap/>
            <w:vAlign w:val="center"/>
          </w:tcPr>
          <w:p w14:paraId="732A583B"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0,27</w:t>
            </w:r>
          </w:p>
        </w:tc>
        <w:tc>
          <w:tcPr>
            <w:tcW w:w="566" w:type="dxa"/>
            <w:tcBorders>
              <w:top w:val="nil"/>
              <w:left w:val="nil"/>
              <w:bottom w:val="single" w:sz="4" w:space="0" w:color="auto"/>
              <w:right w:val="single" w:sz="4" w:space="0" w:color="auto"/>
            </w:tcBorders>
            <w:shd w:val="clear" w:color="auto" w:fill="auto"/>
            <w:noWrap/>
            <w:vAlign w:val="center"/>
          </w:tcPr>
          <w:p w14:paraId="3A87D09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5,4</w:t>
            </w:r>
          </w:p>
        </w:tc>
        <w:tc>
          <w:tcPr>
            <w:tcW w:w="710" w:type="dxa"/>
            <w:tcBorders>
              <w:top w:val="nil"/>
              <w:left w:val="nil"/>
              <w:bottom w:val="single" w:sz="4" w:space="0" w:color="auto"/>
              <w:right w:val="single" w:sz="4" w:space="0" w:color="auto"/>
            </w:tcBorders>
            <w:shd w:val="clear" w:color="auto" w:fill="auto"/>
            <w:noWrap/>
            <w:vAlign w:val="center"/>
          </w:tcPr>
          <w:p w14:paraId="075AD03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4,73</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41F24B6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94,6</w:t>
            </w:r>
          </w:p>
        </w:tc>
      </w:tr>
      <w:tr w:rsidR="00FD7B0B" w:rsidRPr="00FD7B0B" w14:paraId="765FE220" w14:textId="77777777" w:rsidTr="00A51B25">
        <w:trPr>
          <w:trHeight w:val="454"/>
        </w:trPr>
        <w:tc>
          <w:tcPr>
            <w:tcW w:w="851" w:type="dxa"/>
            <w:vMerge/>
            <w:tcBorders>
              <w:top w:val="single" w:sz="4" w:space="0" w:color="auto"/>
              <w:left w:val="double" w:sz="6" w:space="0" w:color="auto"/>
              <w:bottom w:val="single" w:sz="4" w:space="0" w:color="auto"/>
              <w:right w:val="single" w:sz="4" w:space="0" w:color="auto"/>
            </w:tcBorders>
            <w:vAlign w:val="center"/>
            <w:hideMark/>
          </w:tcPr>
          <w:p w14:paraId="71CA5791"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A8E48B0"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c>
          <w:tcPr>
            <w:tcW w:w="709" w:type="dxa"/>
            <w:tcBorders>
              <w:top w:val="nil"/>
              <w:left w:val="nil"/>
              <w:bottom w:val="single" w:sz="4" w:space="0" w:color="auto"/>
              <w:right w:val="single" w:sz="4" w:space="0" w:color="auto"/>
            </w:tcBorders>
            <w:shd w:val="clear" w:color="auto" w:fill="auto"/>
            <w:noWrap/>
            <w:vAlign w:val="center"/>
          </w:tcPr>
          <w:p w14:paraId="3F87813F"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1 022</w:t>
            </w:r>
          </w:p>
        </w:tc>
        <w:tc>
          <w:tcPr>
            <w:tcW w:w="709" w:type="dxa"/>
            <w:tcBorders>
              <w:top w:val="nil"/>
              <w:left w:val="nil"/>
              <w:bottom w:val="single" w:sz="4" w:space="0" w:color="auto"/>
              <w:right w:val="single" w:sz="4" w:space="0" w:color="auto"/>
            </w:tcBorders>
            <w:shd w:val="clear" w:color="auto" w:fill="auto"/>
            <w:noWrap/>
            <w:vAlign w:val="center"/>
          </w:tcPr>
          <w:p w14:paraId="4C762AB9"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45,01</w:t>
            </w:r>
          </w:p>
        </w:tc>
        <w:tc>
          <w:tcPr>
            <w:tcW w:w="709" w:type="dxa"/>
            <w:tcBorders>
              <w:top w:val="nil"/>
              <w:left w:val="nil"/>
              <w:bottom w:val="single" w:sz="4" w:space="0" w:color="auto"/>
              <w:right w:val="single" w:sz="4" w:space="0" w:color="auto"/>
            </w:tcBorders>
            <w:shd w:val="clear" w:color="auto" w:fill="auto"/>
            <w:noWrap/>
            <w:vAlign w:val="center"/>
          </w:tcPr>
          <w:p w14:paraId="6C51D711"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46,0</w:t>
            </w:r>
          </w:p>
        </w:tc>
        <w:tc>
          <w:tcPr>
            <w:tcW w:w="708" w:type="dxa"/>
            <w:tcBorders>
              <w:top w:val="nil"/>
              <w:left w:val="nil"/>
              <w:bottom w:val="single" w:sz="4" w:space="0" w:color="auto"/>
              <w:right w:val="single" w:sz="4" w:space="0" w:color="auto"/>
            </w:tcBorders>
            <w:shd w:val="clear" w:color="auto" w:fill="auto"/>
            <w:noWrap/>
            <w:vAlign w:val="center"/>
          </w:tcPr>
          <w:p w14:paraId="1AB49B8B"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1 073</w:t>
            </w:r>
          </w:p>
        </w:tc>
        <w:tc>
          <w:tcPr>
            <w:tcW w:w="709" w:type="dxa"/>
            <w:tcBorders>
              <w:top w:val="nil"/>
              <w:left w:val="nil"/>
              <w:bottom w:val="single" w:sz="4" w:space="0" w:color="auto"/>
              <w:right w:val="single" w:sz="4" w:space="0" w:color="auto"/>
            </w:tcBorders>
            <w:shd w:val="clear" w:color="auto" w:fill="auto"/>
            <w:noWrap/>
            <w:vAlign w:val="center"/>
          </w:tcPr>
          <w:p w14:paraId="1DBFDA6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48,09</w:t>
            </w:r>
          </w:p>
        </w:tc>
        <w:tc>
          <w:tcPr>
            <w:tcW w:w="709" w:type="dxa"/>
            <w:tcBorders>
              <w:top w:val="nil"/>
              <w:left w:val="nil"/>
              <w:bottom w:val="single" w:sz="4" w:space="0" w:color="auto"/>
              <w:right w:val="single" w:sz="4" w:space="0" w:color="auto"/>
            </w:tcBorders>
            <w:shd w:val="clear" w:color="auto" w:fill="auto"/>
            <w:noWrap/>
            <w:vAlign w:val="center"/>
          </w:tcPr>
          <w:p w14:paraId="642B1A2E"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51,6</w:t>
            </w:r>
          </w:p>
        </w:tc>
        <w:tc>
          <w:tcPr>
            <w:tcW w:w="567" w:type="dxa"/>
            <w:tcBorders>
              <w:top w:val="nil"/>
              <w:left w:val="nil"/>
              <w:bottom w:val="single" w:sz="4" w:space="0" w:color="auto"/>
              <w:right w:val="single" w:sz="4" w:space="0" w:color="auto"/>
            </w:tcBorders>
            <w:shd w:val="clear" w:color="auto" w:fill="auto"/>
            <w:noWrap/>
            <w:vAlign w:val="center"/>
          </w:tcPr>
          <w:p w14:paraId="64983259"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51</w:t>
            </w:r>
          </w:p>
        </w:tc>
        <w:tc>
          <w:tcPr>
            <w:tcW w:w="709" w:type="dxa"/>
            <w:tcBorders>
              <w:top w:val="nil"/>
              <w:left w:val="nil"/>
              <w:bottom w:val="single" w:sz="4" w:space="0" w:color="auto"/>
              <w:right w:val="single" w:sz="4" w:space="0" w:color="auto"/>
            </w:tcBorders>
            <w:shd w:val="clear" w:color="auto" w:fill="auto"/>
            <w:noWrap/>
            <w:vAlign w:val="center"/>
          </w:tcPr>
          <w:p w14:paraId="3DD05FCB"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center"/>
          </w:tcPr>
          <w:p w14:paraId="7DF7B1F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5,6</w:t>
            </w:r>
          </w:p>
        </w:tc>
        <w:tc>
          <w:tcPr>
            <w:tcW w:w="568" w:type="dxa"/>
            <w:tcBorders>
              <w:top w:val="nil"/>
              <w:left w:val="nil"/>
              <w:bottom w:val="single" w:sz="4" w:space="0" w:color="auto"/>
              <w:right w:val="single" w:sz="4" w:space="0" w:color="auto"/>
            </w:tcBorders>
            <w:shd w:val="clear" w:color="auto" w:fill="auto"/>
            <w:noWrap/>
            <w:vAlign w:val="center"/>
          </w:tcPr>
          <w:p w14:paraId="2272DB39"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2,26</w:t>
            </w:r>
          </w:p>
        </w:tc>
        <w:tc>
          <w:tcPr>
            <w:tcW w:w="566" w:type="dxa"/>
            <w:tcBorders>
              <w:top w:val="nil"/>
              <w:left w:val="nil"/>
              <w:bottom w:val="single" w:sz="4" w:space="0" w:color="auto"/>
              <w:right w:val="single" w:sz="4" w:space="0" w:color="auto"/>
            </w:tcBorders>
            <w:shd w:val="clear" w:color="auto" w:fill="auto"/>
            <w:noWrap/>
            <w:vAlign w:val="center"/>
          </w:tcPr>
          <w:p w14:paraId="2B50DDAB"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40,3</w:t>
            </w:r>
          </w:p>
        </w:tc>
        <w:tc>
          <w:tcPr>
            <w:tcW w:w="710" w:type="dxa"/>
            <w:tcBorders>
              <w:top w:val="nil"/>
              <w:left w:val="nil"/>
              <w:bottom w:val="single" w:sz="4" w:space="0" w:color="auto"/>
              <w:right w:val="single" w:sz="4" w:space="0" w:color="auto"/>
            </w:tcBorders>
            <w:shd w:val="clear" w:color="auto" w:fill="auto"/>
            <w:noWrap/>
            <w:vAlign w:val="center"/>
          </w:tcPr>
          <w:p w14:paraId="5854B94B"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3,34</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455559B9"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59,7</w:t>
            </w:r>
          </w:p>
        </w:tc>
      </w:tr>
      <w:tr w:rsidR="00FD7B0B" w:rsidRPr="00FD7B0B" w14:paraId="57D93511" w14:textId="77777777" w:rsidTr="00A51B25">
        <w:trPr>
          <w:trHeight w:val="454"/>
        </w:trPr>
        <w:tc>
          <w:tcPr>
            <w:tcW w:w="851" w:type="dxa"/>
            <w:vMerge w:val="restart"/>
            <w:tcBorders>
              <w:top w:val="single" w:sz="4" w:space="0" w:color="auto"/>
              <w:left w:val="double" w:sz="6" w:space="0" w:color="auto"/>
              <w:bottom w:val="single" w:sz="4" w:space="0" w:color="auto"/>
              <w:right w:val="single" w:sz="4" w:space="0" w:color="auto"/>
            </w:tcBorders>
            <w:shd w:val="clear" w:color="auto" w:fill="auto"/>
            <w:noWrap/>
            <w:textDirection w:val="btLr"/>
            <w:vAlign w:val="center"/>
          </w:tcPr>
          <w:p w14:paraId="5772D03F"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Горячее водоснабжение (компонент на тепловую энергию)</w:t>
            </w:r>
          </w:p>
        </w:tc>
        <w:tc>
          <w:tcPr>
            <w:tcW w:w="567" w:type="dxa"/>
            <w:tcBorders>
              <w:top w:val="nil"/>
              <w:left w:val="single" w:sz="4" w:space="0" w:color="auto"/>
              <w:bottom w:val="single" w:sz="4" w:space="0" w:color="auto"/>
              <w:right w:val="single" w:sz="4" w:space="0" w:color="auto"/>
            </w:tcBorders>
            <w:shd w:val="clear" w:color="auto" w:fill="auto"/>
            <w:noWrap/>
            <w:vAlign w:val="center"/>
          </w:tcPr>
          <w:p w14:paraId="6AABED0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60B043A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w:t>
            </w:r>
          </w:p>
        </w:tc>
        <w:tc>
          <w:tcPr>
            <w:tcW w:w="709" w:type="dxa"/>
            <w:tcBorders>
              <w:top w:val="nil"/>
              <w:left w:val="nil"/>
              <w:bottom w:val="single" w:sz="4" w:space="0" w:color="auto"/>
              <w:right w:val="single" w:sz="4" w:space="0" w:color="auto"/>
            </w:tcBorders>
            <w:shd w:val="clear" w:color="auto" w:fill="auto"/>
            <w:noWrap/>
            <w:vAlign w:val="center"/>
          </w:tcPr>
          <w:p w14:paraId="6521883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10 428,57</w:t>
            </w:r>
          </w:p>
        </w:tc>
        <w:tc>
          <w:tcPr>
            <w:tcW w:w="709" w:type="dxa"/>
            <w:tcBorders>
              <w:top w:val="nil"/>
              <w:left w:val="nil"/>
              <w:bottom w:val="single" w:sz="4" w:space="0" w:color="auto"/>
              <w:right w:val="single" w:sz="4" w:space="0" w:color="auto"/>
            </w:tcBorders>
            <w:shd w:val="clear" w:color="auto" w:fill="auto"/>
            <w:noWrap/>
            <w:vAlign w:val="center"/>
          </w:tcPr>
          <w:p w14:paraId="527442B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73,0</w:t>
            </w:r>
          </w:p>
        </w:tc>
        <w:tc>
          <w:tcPr>
            <w:tcW w:w="708" w:type="dxa"/>
            <w:tcBorders>
              <w:top w:val="nil"/>
              <w:left w:val="nil"/>
              <w:bottom w:val="single" w:sz="4" w:space="0" w:color="auto"/>
              <w:right w:val="single" w:sz="4" w:space="0" w:color="auto"/>
            </w:tcBorders>
            <w:shd w:val="clear" w:color="auto" w:fill="auto"/>
            <w:noWrap/>
            <w:vAlign w:val="center"/>
          </w:tcPr>
          <w:p w14:paraId="512FFC9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12</w:t>
            </w:r>
          </w:p>
        </w:tc>
        <w:tc>
          <w:tcPr>
            <w:tcW w:w="709" w:type="dxa"/>
            <w:tcBorders>
              <w:top w:val="nil"/>
              <w:left w:val="nil"/>
              <w:bottom w:val="single" w:sz="4" w:space="0" w:color="auto"/>
              <w:right w:val="single" w:sz="4" w:space="0" w:color="auto"/>
            </w:tcBorders>
            <w:shd w:val="clear" w:color="auto" w:fill="auto"/>
            <w:noWrap/>
            <w:vAlign w:val="center"/>
          </w:tcPr>
          <w:p w14:paraId="38F9D05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10 833,33</w:t>
            </w:r>
          </w:p>
        </w:tc>
        <w:tc>
          <w:tcPr>
            <w:tcW w:w="709" w:type="dxa"/>
            <w:tcBorders>
              <w:top w:val="nil"/>
              <w:left w:val="nil"/>
              <w:bottom w:val="single" w:sz="4" w:space="0" w:color="auto"/>
              <w:right w:val="single" w:sz="4" w:space="0" w:color="auto"/>
            </w:tcBorders>
            <w:shd w:val="clear" w:color="auto" w:fill="auto"/>
            <w:noWrap/>
            <w:vAlign w:val="center"/>
          </w:tcPr>
          <w:p w14:paraId="62BBAA1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130,0</w:t>
            </w:r>
          </w:p>
        </w:tc>
        <w:tc>
          <w:tcPr>
            <w:tcW w:w="567" w:type="dxa"/>
            <w:tcBorders>
              <w:top w:val="nil"/>
              <w:left w:val="nil"/>
              <w:bottom w:val="single" w:sz="4" w:space="0" w:color="auto"/>
              <w:right w:val="single" w:sz="4" w:space="0" w:color="auto"/>
            </w:tcBorders>
            <w:shd w:val="clear" w:color="auto" w:fill="auto"/>
            <w:noWrap/>
            <w:vAlign w:val="center"/>
          </w:tcPr>
          <w:p w14:paraId="547955E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709" w:type="dxa"/>
            <w:tcBorders>
              <w:top w:val="nil"/>
              <w:left w:val="nil"/>
              <w:bottom w:val="single" w:sz="4" w:space="0" w:color="auto"/>
              <w:right w:val="single" w:sz="4" w:space="0" w:color="auto"/>
            </w:tcBorders>
            <w:shd w:val="clear" w:color="auto" w:fill="auto"/>
            <w:noWrap/>
            <w:vAlign w:val="center"/>
          </w:tcPr>
          <w:p w14:paraId="4DE14A1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404,76</w:t>
            </w:r>
          </w:p>
        </w:tc>
        <w:tc>
          <w:tcPr>
            <w:tcW w:w="708" w:type="dxa"/>
            <w:tcBorders>
              <w:top w:val="nil"/>
              <w:left w:val="nil"/>
              <w:bottom w:val="single" w:sz="4" w:space="0" w:color="auto"/>
              <w:right w:val="single" w:sz="4" w:space="0" w:color="auto"/>
            </w:tcBorders>
            <w:shd w:val="clear" w:color="auto" w:fill="auto"/>
            <w:noWrap/>
            <w:vAlign w:val="center"/>
          </w:tcPr>
          <w:p w14:paraId="56E3757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57,0</w:t>
            </w:r>
          </w:p>
        </w:tc>
        <w:tc>
          <w:tcPr>
            <w:tcW w:w="568" w:type="dxa"/>
            <w:tcBorders>
              <w:top w:val="nil"/>
              <w:left w:val="nil"/>
              <w:bottom w:val="single" w:sz="4" w:space="0" w:color="auto"/>
              <w:right w:val="single" w:sz="4" w:space="0" w:color="auto"/>
            </w:tcBorders>
            <w:shd w:val="clear" w:color="auto" w:fill="auto"/>
            <w:noWrap/>
            <w:vAlign w:val="center"/>
          </w:tcPr>
          <w:p w14:paraId="6F1F649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54,17</w:t>
            </w:r>
          </w:p>
        </w:tc>
        <w:tc>
          <w:tcPr>
            <w:tcW w:w="566" w:type="dxa"/>
            <w:tcBorders>
              <w:top w:val="nil"/>
              <w:left w:val="nil"/>
              <w:bottom w:val="single" w:sz="4" w:space="0" w:color="auto"/>
              <w:right w:val="single" w:sz="4" w:space="0" w:color="auto"/>
            </w:tcBorders>
            <w:shd w:val="clear" w:color="auto" w:fill="auto"/>
            <w:noWrap/>
            <w:vAlign w:val="center"/>
          </w:tcPr>
          <w:p w14:paraId="22641FA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95,0</w:t>
            </w:r>
          </w:p>
        </w:tc>
        <w:tc>
          <w:tcPr>
            <w:tcW w:w="710" w:type="dxa"/>
            <w:tcBorders>
              <w:top w:val="nil"/>
              <w:left w:val="nil"/>
              <w:bottom w:val="single" w:sz="4" w:space="0" w:color="auto"/>
              <w:right w:val="single" w:sz="4" w:space="0" w:color="auto"/>
            </w:tcBorders>
            <w:shd w:val="clear" w:color="auto" w:fill="auto"/>
            <w:noWrap/>
            <w:vAlign w:val="center"/>
          </w:tcPr>
          <w:p w14:paraId="761EEEC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2,83</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1BBA5EF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5,0</w:t>
            </w:r>
          </w:p>
        </w:tc>
      </w:tr>
      <w:tr w:rsidR="00FD7B0B" w:rsidRPr="00FD7B0B" w14:paraId="69F8B386" w14:textId="77777777" w:rsidTr="00A51B25">
        <w:trPr>
          <w:trHeight w:val="454"/>
        </w:trPr>
        <w:tc>
          <w:tcPr>
            <w:tcW w:w="851" w:type="dxa"/>
            <w:vMerge/>
            <w:tcBorders>
              <w:top w:val="single" w:sz="4" w:space="0" w:color="auto"/>
              <w:left w:val="double" w:sz="6" w:space="0" w:color="auto"/>
              <w:bottom w:val="single" w:sz="4" w:space="0" w:color="auto"/>
              <w:right w:val="single" w:sz="4" w:space="0" w:color="auto"/>
            </w:tcBorders>
            <w:shd w:val="clear" w:color="auto" w:fill="auto"/>
            <w:noWrap/>
            <w:textDirection w:val="btLr"/>
            <w:vAlign w:val="center"/>
          </w:tcPr>
          <w:p w14:paraId="42D5AE22"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tcPr>
          <w:p w14:paraId="1A8629D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27FFEEA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w:t>
            </w:r>
          </w:p>
        </w:tc>
        <w:tc>
          <w:tcPr>
            <w:tcW w:w="709" w:type="dxa"/>
            <w:tcBorders>
              <w:top w:val="nil"/>
              <w:left w:val="nil"/>
              <w:bottom w:val="single" w:sz="4" w:space="0" w:color="auto"/>
              <w:right w:val="single" w:sz="4" w:space="0" w:color="auto"/>
            </w:tcBorders>
            <w:shd w:val="clear" w:color="auto" w:fill="auto"/>
            <w:noWrap/>
            <w:vAlign w:val="center"/>
          </w:tcPr>
          <w:p w14:paraId="207261F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10 375,00</w:t>
            </w:r>
          </w:p>
        </w:tc>
        <w:tc>
          <w:tcPr>
            <w:tcW w:w="709" w:type="dxa"/>
            <w:tcBorders>
              <w:top w:val="nil"/>
              <w:left w:val="nil"/>
              <w:bottom w:val="single" w:sz="4" w:space="0" w:color="auto"/>
              <w:right w:val="single" w:sz="4" w:space="0" w:color="auto"/>
            </w:tcBorders>
            <w:shd w:val="clear" w:color="auto" w:fill="auto"/>
            <w:noWrap/>
            <w:vAlign w:val="center"/>
          </w:tcPr>
          <w:p w14:paraId="5F24310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83,0</w:t>
            </w:r>
          </w:p>
        </w:tc>
        <w:tc>
          <w:tcPr>
            <w:tcW w:w="708" w:type="dxa"/>
            <w:tcBorders>
              <w:top w:val="nil"/>
              <w:left w:val="nil"/>
              <w:bottom w:val="single" w:sz="4" w:space="0" w:color="auto"/>
              <w:right w:val="single" w:sz="4" w:space="0" w:color="auto"/>
            </w:tcBorders>
            <w:shd w:val="clear" w:color="auto" w:fill="auto"/>
            <w:noWrap/>
            <w:vAlign w:val="center"/>
          </w:tcPr>
          <w:p w14:paraId="0A7957D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w:t>
            </w:r>
          </w:p>
        </w:tc>
        <w:tc>
          <w:tcPr>
            <w:tcW w:w="709" w:type="dxa"/>
            <w:tcBorders>
              <w:top w:val="nil"/>
              <w:left w:val="nil"/>
              <w:bottom w:val="single" w:sz="4" w:space="0" w:color="auto"/>
              <w:right w:val="single" w:sz="4" w:space="0" w:color="auto"/>
            </w:tcBorders>
            <w:shd w:val="clear" w:color="auto" w:fill="auto"/>
            <w:noWrap/>
            <w:vAlign w:val="center"/>
          </w:tcPr>
          <w:p w14:paraId="6C2AE64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17 777,78</w:t>
            </w:r>
          </w:p>
        </w:tc>
        <w:tc>
          <w:tcPr>
            <w:tcW w:w="709" w:type="dxa"/>
            <w:tcBorders>
              <w:top w:val="nil"/>
              <w:left w:val="nil"/>
              <w:bottom w:val="single" w:sz="4" w:space="0" w:color="auto"/>
              <w:right w:val="single" w:sz="4" w:space="0" w:color="auto"/>
            </w:tcBorders>
            <w:shd w:val="clear" w:color="auto" w:fill="auto"/>
            <w:noWrap/>
            <w:vAlign w:val="center"/>
          </w:tcPr>
          <w:p w14:paraId="44D2486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160,0</w:t>
            </w:r>
          </w:p>
        </w:tc>
        <w:tc>
          <w:tcPr>
            <w:tcW w:w="567" w:type="dxa"/>
            <w:tcBorders>
              <w:top w:val="nil"/>
              <w:left w:val="nil"/>
              <w:bottom w:val="single" w:sz="4" w:space="0" w:color="auto"/>
              <w:right w:val="single" w:sz="4" w:space="0" w:color="auto"/>
            </w:tcBorders>
            <w:shd w:val="clear" w:color="auto" w:fill="auto"/>
            <w:noWrap/>
            <w:vAlign w:val="center"/>
          </w:tcPr>
          <w:p w14:paraId="523174C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709" w:type="dxa"/>
            <w:tcBorders>
              <w:top w:val="nil"/>
              <w:left w:val="nil"/>
              <w:bottom w:val="single" w:sz="4" w:space="0" w:color="auto"/>
              <w:right w:val="single" w:sz="4" w:space="0" w:color="auto"/>
            </w:tcBorders>
            <w:shd w:val="clear" w:color="auto" w:fill="auto"/>
            <w:noWrap/>
            <w:vAlign w:val="center"/>
          </w:tcPr>
          <w:p w14:paraId="4E5B02A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7 402,78</w:t>
            </w:r>
          </w:p>
        </w:tc>
        <w:tc>
          <w:tcPr>
            <w:tcW w:w="708" w:type="dxa"/>
            <w:tcBorders>
              <w:top w:val="nil"/>
              <w:left w:val="nil"/>
              <w:bottom w:val="single" w:sz="4" w:space="0" w:color="auto"/>
              <w:right w:val="single" w:sz="4" w:space="0" w:color="auto"/>
            </w:tcBorders>
            <w:shd w:val="clear" w:color="auto" w:fill="auto"/>
            <w:noWrap/>
            <w:vAlign w:val="center"/>
          </w:tcPr>
          <w:p w14:paraId="148208F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77,0</w:t>
            </w:r>
          </w:p>
        </w:tc>
        <w:tc>
          <w:tcPr>
            <w:tcW w:w="568" w:type="dxa"/>
            <w:tcBorders>
              <w:top w:val="nil"/>
              <w:left w:val="nil"/>
              <w:bottom w:val="single" w:sz="4" w:space="0" w:color="auto"/>
              <w:right w:val="single" w:sz="4" w:space="0" w:color="auto"/>
            </w:tcBorders>
            <w:shd w:val="clear" w:color="auto" w:fill="auto"/>
            <w:noWrap/>
            <w:vAlign w:val="center"/>
          </w:tcPr>
          <w:p w14:paraId="5B9E404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17,78</w:t>
            </w:r>
          </w:p>
        </w:tc>
        <w:tc>
          <w:tcPr>
            <w:tcW w:w="566" w:type="dxa"/>
            <w:tcBorders>
              <w:top w:val="nil"/>
              <w:left w:val="nil"/>
              <w:bottom w:val="single" w:sz="4" w:space="0" w:color="auto"/>
              <w:right w:val="single" w:sz="4" w:space="0" w:color="auto"/>
            </w:tcBorders>
            <w:shd w:val="clear" w:color="auto" w:fill="auto"/>
            <w:noWrap/>
            <w:vAlign w:val="center"/>
          </w:tcPr>
          <w:p w14:paraId="611489C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23,1</w:t>
            </w:r>
          </w:p>
        </w:tc>
        <w:tc>
          <w:tcPr>
            <w:tcW w:w="710" w:type="dxa"/>
            <w:tcBorders>
              <w:top w:val="nil"/>
              <w:left w:val="nil"/>
              <w:bottom w:val="single" w:sz="4" w:space="0" w:color="auto"/>
              <w:right w:val="single" w:sz="4" w:space="0" w:color="auto"/>
            </w:tcBorders>
            <w:shd w:val="clear" w:color="auto" w:fill="auto"/>
            <w:noWrap/>
            <w:vAlign w:val="center"/>
          </w:tcPr>
          <w:p w14:paraId="6BF69B0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59,22</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6EA5CEB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76,9</w:t>
            </w:r>
          </w:p>
        </w:tc>
      </w:tr>
      <w:tr w:rsidR="00FD7B0B" w:rsidRPr="00FD7B0B" w14:paraId="37BD24D4" w14:textId="77777777" w:rsidTr="00A51B25">
        <w:trPr>
          <w:trHeight w:val="454"/>
        </w:trPr>
        <w:tc>
          <w:tcPr>
            <w:tcW w:w="851" w:type="dxa"/>
            <w:vMerge/>
            <w:tcBorders>
              <w:top w:val="single" w:sz="4" w:space="0" w:color="auto"/>
              <w:left w:val="double" w:sz="6" w:space="0" w:color="auto"/>
              <w:bottom w:val="single" w:sz="4" w:space="0" w:color="auto"/>
              <w:right w:val="single" w:sz="4" w:space="0" w:color="auto"/>
            </w:tcBorders>
            <w:shd w:val="clear" w:color="auto" w:fill="auto"/>
            <w:noWrap/>
            <w:textDirection w:val="btLr"/>
            <w:vAlign w:val="center"/>
          </w:tcPr>
          <w:p w14:paraId="050C028F"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tcPr>
          <w:p w14:paraId="38CAEA7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c>
          <w:tcPr>
            <w:tcW w:w="709" w:type="dxa"/>
            <w:tcBorders>
              <w:top w:val="nil"/>
              <w:left w:val="nil"/>
              <w:bottom w:val="single" w:sz="4" w:space="0" w:color="auto"/>
              <w:right w:val="single" w:sz="4" w:space="0" w:color="auto"/>
            </w:tcBorders>
            <w:shd w:val="clear" w:color="auto" w:fill="auto"/>
            <w:noWrap/>
            <w:vAlign w:val="center"/>
          </w:tcPr>
          <w:p w14:paraId="5B927C46"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15</w:t>
            </w:r>
          </w:p>
        </w:tc>
        <w:tc>
          <w:tcPr>
            <w:tcW w:w="709" w:type="dxa"/>
            <w:tcBorders>
              <w:top w:val="nil"/>
              <w:left w:val="nil"/>
              <w:bottom w:val="single" w:sz="4" w:space="0" w:color="auto"/>
              <w:right w:val="single" w:sz="4" w:space="0" w:color="auto"/>
            </w:tcBorders>
            <w:shd w:val="clear" w:color="auto" w:fill="auto"/>
            <w:noWrap/>
            <w:vAlign w:val="center"/>
          </w:tcPr>
          <w:p w14:paraId="1DB6727B"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10 400,00</w:t>
            </w:r>
          </w:p>
        </w:tc>
        <w:tc>
          <w:tcPr>
            <w:tcW w:w="709" w:type="dxa"/>
            <w:tcBorders>
              <w:top w:val="nil"/>
              <w:left w:val="nil"/>
              <w:bottom w:val="single" w:sz="4" w:space="0" w:color="auto"/>
              <w:right w:val="single" w:sz="4" w:space="0" w:color="auto"/>
            </w:tcBorders>
            <w:shd w:val="clear" w:color="auto" w:fill="auto"/>
            <w:noWrap/>
            <w:vAlign w:val="center"/>
          </w:tcPr>
          <w:p w14:paraId="7B52A57B"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156,0</w:t>
            </w:r>
          </w:p>
        </w:tc>
        <w:tc>
          <w:tcPr>
            <w:tcW w:w="708" w:type="dxa"/>
            <w:tcBorders>
              <w:top w:val="nil"/>
              <w:left w:val="nil"/>
              <w:bottom w:val="single" w:sz="4" w:space="0" w:color="auto"/>
              <w:right w:val="single" w:sz="4" w:space="0" w:color="auto"/>
            </w:tcBorders>
            <w:shd w:val="clear" w:color="auto" w:fill="auto"/>
            <w:noWrap/>
            <w:vAlign w:val="center"/>
          </w:tcPr>
          <w:p w14:paraId="2CA366DB"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21</w:t>
            </w:r>
          </w:p>
        </w:tc>
        <w:tc>
          <w:tcPr>
            <w:tcW w:w="709" w:type="dxa"/>
            <w:tcBorders>
              <w:top w:val="nil"/>
              <w:left w:val="nil"/>
              <w:bottom w:val="single" w:sz="4" w:space="0" w:color="auto"/>
              <w:right w:val="single" w:sz="4" w:space="0" w:color="auto"/>
            </w:tcBorders>
            <w:shd w:val="clear" w:color="auto" w:fill="auto"/>
            <w:noWrap/>
            <w:vAlign w:val="center"/>
          </w:tcPr>
          <w:p w14:paraId="13ADAD1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13 809,52</w:t>
            </w:r>
          </w:p>
        </w:tc>
        <w:tc>
          <w:tcPr>
            <w:tcW w:w="709" w:type="dxa"/>
            <w:tcBorders>
              <w:top w:val="nil"/>
              <w:left w:val="nil"/>
              <w:bottom w:val="single" w:sz="4" w:space="0" w:color="auto"/>
              <w:right w:val="single" w:sz="4" w:space="0" w:color="auto"/>
            </w:tcBorders>
            <w:shd w:val="clear" w:color="auto" w:fill="auto"/>
            <w:noWrap/>
            <w:vAlign w:val="center"/>
          </w:tcPr>
          <w:p w14:paraId="08D6E4F1"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290</w:t>
            </w:r>
          </w:p>
        </w:tc>
        <w:tc>
          <w:tcPr>
            <w:tcW w:w="567" w:type="dxa"/>
            <w:tcBorders>
              <w:top w:val="nil"/>
              <w:left w:val="nil"/>
              <w:bottom w:val="single" w:sz="4" w:space="0" w:color="auto"/>
              <w:right w:val="single" w:sz="4" w:space="0" w:color="auto"/>
            </w:tcBorders>
            <w:shd w:val="clear" w:color="auto" w:fill="auto"/>
            <w:noWrap/>
            <w:vAlign w:val="center"/>
          </w:tcPr>
          <w:p w14:paraId="371995E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w:t>
            </w:r>
          </w:p>
        </w:tc>
        <w:tc>
          <w:tcPr>
            <w:tcW w:w="709" w:type="dxa"/>
            <w:tcBorders>
              <w:top w:val="nil"/>
              <w:left w:val="nil"/>
              <w:bottom w:val="single" w:sz="4" w:space="0" w:color="auto"/>
              <w:right w:val="single" w:sz="4" w:space="0" w:color="auto"/>
            </w:tcBorders>
            <w:shd w:val="clear" w:color="auto" w:fill="auto"/>
            <w:noWrap/>
            <w:vAlign w:val="center"/>
          </w:tcPr>
          <w:p w14:paraId="6B982956"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center"/>
          </w:tcPr>
          <w:p w14:paraId="4776BC7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134,0</w:t>
            </w:r>
          </w:p>
        </w:tc>
        <w:tc>
          <w:tcPr>
            <w:tcW w:w="568" w:type="dxa"/>
            <w:tcBorders>
              <w:top w:val="nil"/>
              <w:left w:val="nil"/>
              <w:bottom w:val="single" w:sz="4" w:space="0" w:color="auto"/>
              <w:right w:val="single" w:sz="4" w:space="0" w:color="auto"/>
            </w:tcBorders>
            <w:shd w:val="clear" w:color="auto" w:fill="auto"/>
            <w:noWrap/>
            <w:vAlign w:val="center"/>
          </w:tcPr>
          <w:p w14:paraId="3128A3DB"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71,94</w:t>
            </w:r>
          </w:p>
        </w:tc>
        <w:tc>
          <w:tcPr>
            <w:tcW w:w="566" w:type="dxa"/>
            <w:tcBorders>
              <w:top w:val="nil"/>
              <w:left w:val="nil"/>
              <w:bottom w:val="single" w:sz="4" w:space="0" w:color="auto"/>
              <w:right w:val="single" w:sz="4" w:space="0" w:color="auto"/>
            </w:tcBorders>
            <w:shd w:val="clear" w:color="auto" w:fill="auto"/>
            <w:noWrap/>
            <w:vAlign w:val="center"/>
          </w:tcPr>
          <w:p w14:paraId="7F22C9B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53,7</w:t>
            </w:r>
          </w:p>
        </w:tc>
        <w:tc>
          <w:tcPr>
            <w:tcW w:w="710" w:type="dxa"/>
            <w:tcBorders>
              <w:top w:val="nil"/>
              <w:left w:val="nil"/>
              <w:bottom w:val="single" w:sz="4" w:space="0" w:color="auto"/>
              <w:right w:val="single" w:sz="4" w:space="0" w:color="auto"/>
            </w:tcBorders>
            <w:shd w:val="clear" w:color="auto" w:fill="auto"/>
            <w:noWrap/>
            <w:vAlign w:val="center"/>
          </w:tcPr>
          <w:p w14:paraId="74A27F46"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62,06</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18F98702"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46,3</w:t>
            </w:r>
          </w:p>
        </w:tc>
      </w:tr>
      <w:tr w:rsidR="00FD7B0B" w:rsidRPr="00FD7B0B" w14:paraId="1B019610" w14:textId="77777777" w:rsidTr="000F25AF">
        <w:trPr>
          <w:trHeight w:val="50"/>
        </w:trPr>
        <w:tc>
          <w:tcPr>
            <w:tcW w:w="851" w:type="dxa"/>
            <w:vMerge w:val="restart"/>
            <w:tcBorders>
              <w:top w:val="single" w:sz="4" w:space="0" w:color="auto"/>
              <w:left w:val="double" w:sz="6" w:space="0" w:color="auto"/>
              <w:bottom w:val="double" w:sz="6" w:space="0" w:color="000000"/>
              <w:right w:val="single" w:sz="4" w:space="0" w:color="auto"/>
            </w:tcBorders>
            <w:shd w:val="clear" w:color="auto" w:fill="auto"/>
            <w:noWrap/>
            <w:textDirection w:val="btLr"/>
            <w:vAlign w:val="center"/>
            <w:hideMark/>
          </w:tcPr>
          <w:p w14:paraId="6E3AAF55" w14:textId="77777777" w:rsidR="00A51B25" w:rsidRPr="00FD7B0B" w:rsidRDefault="00A51B25" w:rsidP="00A51B25">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C65334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п/г</w:t>
            </w:r>
          </w:p>
        </w:tc>
        <w:tc>
          <w:tcPr>
            <w:tcW w:w="709" w:type="dxa"/>
            <w:tcBorders>
              <w:top w:val="nil"/>
              <w:left w:val="nil"/>
              <w:bottom w:val="single" w:sz="4" w:space="0" w:color="auto"/>
              <w:right w:val="single" w:sz="4" w:space="0" w:color="auto"/>
            </w:tcBorders>
            <w:shd w:val="clear" w:color="auto" w:fill="auto"/>
            <w:noWrap/>
            <w:vAlign w:val="center"/>
          </w:tcPr>
          <w:p w14:paraId="316E390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28 562</w:t>
            </w:r>
          </w:p>
        </w:tc>
        <w:tc>
          <w:tcPr>
            <w:tcW w:w="709" w:type="dxa"/>
            <w:tcBorders>
              <w:top w:val="nil"/>
              <w:left w:val="nil"/>
              <w:bottom w:val="single" w:sz="4" w:space="0" w:color="auto"/>
              <w:right w:val="single" w:sz="4" w:space="0" w:color="auto"/>
            </w:tcBorders>
            <w:shd w:val="clear" w:color="auto" w:fill="auto"/>
            <w:noWrap/>
            <w:vAlign w:val="center"/>
          </w:tcPr>
          <w:p w14:paraId="6C8EF83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35,28</w:t>
            </w:r>
          </w:p>
        </w:tc>
        <w:tc>
          <w:tcPr>
            <w:tcW w:w="709" w:type="dxa"/>
            <w:tcBorders>
              <w:top w:val="nil"/>
              <w:left w:val="nil"/>
              <w:bottom w:val="single" w:sz="4" w:space="0" w:color="auto"/>
              <w:right w:val="single" w:sz="4" w:space="0" w:color="auto"/>
            </w:tcBorders>
            <w:shd w:val="clear" w:color="auto" w:fill="auto"/>
            <w:noWrap/>
            <w:vAlign w:val="center"/>
          </w:tcPr>
          <w:p w14:paraId="43D5500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1 007,8</w:t>
            </w:r>
          </w:p>
        </w:tc>
        <w:tc>
          <w:tcPr>
            <w:tcW w:w="708" w:type="dxa"/>
            <w:tcBorders>
              <w:top w:val="nil"/>
              <w:left w:val="nil"/>
              <w:bottom w:val="single" w:sz="4" w:space="0" w:color="auto"/>
              <w:right w:val="single" w:sz="4" w:space="0" w:color="auto"/>
            </w:tcBorders>
            <w:shd w:val="clear" w:color="auto" w:fill="auto"/>
            <w:noWrap/>
            <w:vAlign w:val="center"/>
          </w:tcPr>
          <w:p w14:paraId="696C656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28 761</w:t>
            </w:r>
          </w:p>
        </w:tc>
        <w:tc>
          <w:tcPr>
            <w:tcW w:w="709" w:type="dxa"/>
            <w:tcBorders>
              <w:top w:val="nil"/>
              <w:left w:val="nil"/>
              <w:bottom w:val="single" w:sz="4" w:space="0" w:color="auto"/>
              <w:right w:val="single" w:sz="4" w:space="0" w:color="auto"/>
            </w:tcBorders>
            <w:shd w:val="clear" w:color="auto" w:fill="auto"/>
            <w:noWrap/>
            <w:vAlign w:val="center"/>
          </w:tcPr>
          <w:p w14:paraId="7E7BDF9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37,72</w:t>
            </w:r>
          </w:p>
        </w:tc>
        <w:tc>
          <w:tcPr>
            <w:tcW w:w="709" w:type="dxa"/>
            <w:tcBorders>
              <w:top w:val="nil"/>
              <w:left w:val="nil"/>
              <w:bottom w:val="single" w:sz="4" w:space="0" w:color="auto"/>
              <w:right w:val="single" w:sz="4" w:space="0" w:color="auto"/>
            </w:tcBorders>
            <w:shd w:val="clear" w:color="auto" w:fill="auto"/>
            <w:noWrap/>
            <w:vAlign w:val="center"/>
          </w:tcPr>
          <w:p w14:paraId="713E5BC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1 084,9</w:t>
            </w:r>
          </w:p>
        </w:tc>
        <w:tc>
          <w:tcPr>
            <w:tcW w:w="567" w:type="dxa"/>
            <w:tcBorders>
              <w:top w:val="nil"/>
              <w:left w:val="nil"/>
              <w:bottom w:val="single" w:sz="4" w:space="0" w:color="auto"/>
              <w:right w:val="single" w:sz="4" w:space="0" w:color="auto"/>
            </w:tcBorders>
            <w:shd w:val="clear" w:color="auto" w:fill="auto"/>
            <w:noWrap/>
            <w:vAlign w:val="center"/>
          </w:tcPr>
          <w:p w14:paraId="0053E81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199</w:t>
            </w:r>
          </w:p>
        </w:tc>
        <w:tc>
          <w:tcPr>
            <w:tcW w:w="709" w:type="dxa"/>
            <w:tcBorders>
              <w:top w:val="nil"/>
              <w:left w:val="nil"/>
              <w:bottom w:val="single" w:sz="4" w:space="0" w:color="auto"/>
              <w:right w:val="single" w:sz="4" w:space="0" w:color="auto"/>
            </w:tcBorders>
            <w:shd w:val="clear" w:color="auto" w:fill="auto"/>
            <w:noWrap/>
            <w:vAlign w:val="center"/>
          </w:tcPr>
          <w:p w14:paraId="2DFB8B8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2,44</w:t>
            </w:r>
          </w:p>
        </w:tc>
        <w:tc>
          <w:tcPr>
            <w:tcW w:w="708" w:type="dxa"/>
            <w:tcBorders>
              <w:top w:val="nil"/>
              <w:left w:val="nil"/>
              <w:bottom w:val="single" w:sz="4" w:space="0" w:color="auto"/>
              <w:right w:val="single" w:sz="4" w:space="0" w:color="auto"/>
            </w:tcBorders>
            <w:shd w:val="clear" w:color="auto" w:fill="auto"/>
            <w:noWrap/>
            <w:vAlign w:val="center"/>
          </w:tcPr>
          <w:p w14:paraId="2623A2D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77,1</w:t>
            </w:r>
          </w:p>
        </w:tc>
        <w:tc>
          <w:tcPr>
            <w:tcW w:w="568" w:type="dxa"/>
            <w:tcBorders>
              <w:top w:val="nil"/>
              <w:left w:val="nil"/>
              <w:bottom w:val="single" w:sz="4" w:space="0" w:color="auto"/>
              <w:right w:val="single" w:sz="4" w:space="0" w:color="auto"/>
            </w:tcBorders>
            <w:shd w:val="clear" w:color="auto" w:fill="auto"/>
            <w:noWrap/>
            <w:vAlign w:val="center"/>
          </w:tcPr>
          <w:p w14:paraId="402AE53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7,51</w:t>
            </w:r>
          </w:p>
        </w:tc>
        <w:tc>
          <w:tcPr>
            <w:tcW w:w="566" w:type="dxa"/>
            <w:tcBorders>
              <w:top w:val="nil"/>
              <w:left w:val="nil"/>
              <w:bottom w:val="single" w:sz="4" w:space="0" w:color="auto"/>
              <w:right w:val="single" w:sz="4" w:space="0" w:color="auto"/>
            </w:tcBorders>
            <w:shd w:val="clear" w:color="auto" w:fill="auto"/>
            <w:noWrap/>
            <w:vAlign w:val="center"/>
          </w:tcPr>
          <w:p w14:paraId="48A7C03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9,7</w:t>
            </w:r>
          </w:p>
        </w:tc>
        <w:tc>
          <w:tcPr>
            <w:tcW w:w="710" w:type="dxa"/>
            <w:tcBorders>
              <w:top w:val="nil"/>
              <w:left w:val="nil"/>
              <w:bottom w:val="single" w:sz="4" w:space="0" w:color="auto"/>
              <w:right w:val="single" w:sz="4" w:space="0" w:color="auto"/>
            </w:tcBorders>
            <w:shd w:val="clear" w:color="auto" w:fill="auto"/>
            <w:noWrap/>
            <w:vAlign w:val="center"/>
          </w:tcPr>
          <w:p w14:paraId="66863DB8"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69,62</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46FAB51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90,3</w:t>
            </w:r>
          </w:p>
        </w:tc>
      </w:tr>
      <w:tr w:rsidR="00FD7B0B" w:rsidRPr="00FD7B0B" w14:paraId="1B138068" w14:textId="77777777" w:rsidTr="000F25AF">
        <w:trPr>
          <w:trHeight w:val="20"/>
        </w:trPr>
        <w:tc>
          <w:tcPr>
            <w:tcW w:w="851" w:type="dxa"/>
            <w:vMerge/>
            <w:tcBorders>
              <w:top w:val="nil"/>
              <w:left w:val="double" w:sz="6" w:space="0" w:color="auto"/>
              <w:bottom w:val="double" w:sz="6" w:space="0" w:color="000000"/>
              <w:right w:val="single" w:sz="4" w:space="0" w:color="auto"/>
            </w:tcBorders>
            <w:vAlign w:val="center"/>
            <w:hideMark/>
          </w:tcPr>
          <w:p w14:paraId="26E69677"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72724F9"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 п/г</w:t>
            </w:r>
          </w:p>
        </w:tc>
        <w:tc>
          <w:tcPr>
            <w:tcW w:w="709" w:type="dxa"/>
            <w:tcBorders>
              <w:top w:val="nil"/>
              <w:left w:val="nil"/>
              <w:bottom w:val="single" w:sz="4" w:space="0" w:color="auto"/>
              <w:right w:val="single" w:sz="4" w:space="0" w:color="auto"/>
            </w:tcBorders>
            <w:shd w:val="clear" w:color="auto" w:fill="auto"/>
            <w:noWrap/>
            <w:vAlign w:val="center"/>
          </w:tcPr>
          <w:p w14:paraId="33C26B2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27 532</w:t>
            </w:r>
          </w:p>
        </w:tc>
        <w:tc>
          <w:tcPr>
            <w:tcW w:w="709" w:type="dxa"/>
            <w:tcBorders>
              <w:top w:val="nil"/>
              <w:left w:val="nil"/>
              <w:bottom w:val="single" w:sz="4" w:space="0" w:color="auto"/>
              <w:right w:val="single" w:sz="4" w:space="0" w:color="auto"/>
            </w:tcBorders>
            <w:shd w:val="clear" w:color="auto" w:fill="auto"/>
            <w:noWrap/>
            <w:vAlign w:val="center"/>
          </w:tcPr>
          <w:p w14:paraId="44968DF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36,50</w:t>
            </w:r>
          </w:p>
        </w:tc>
        <w:tc>
          <w:tcPr>
            <w:tcW w:w="709" w:type="dxa"/>
            <w:tcBorders>
              <w:top w:val="nil"/>
              <w:left w:val="nil"/>
              <w:bottom w:val="single" w:sz="4" w:space="0" w:color="auto"/>
              <w:right w:val="single" w:sz="4" w:space="0" w:color="auto"/>
            </w:tcBorders>
            <w:shd w:val="clear" w:color="auto" w:fill="auto"/>
            <w:noWrap/>
            <w:vAlign w:val="center"/>
          </w:tcPr>
          <w:p w14:paraId="5ED116CB"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1 004,8</w:t>
            </w:r>
          </w:p>
        </w:tc>
        <w:tc>
          <w:tcPr>
            <w:tcW w:w="708" w:type="dxa"/>
            <w:tcBorders>
              <w:top w:val="nil"/>
              <w:left w:val="nil"/>
              <w:bottom w:val="single" w:sz="4" w:space="0" w:color="auto"/>
              <w:right w:val="single" w:sz="4" w:space="0" w:color="auto"/>
            </w:tcBorders>
            <w:shd w:val="clear" w:color="auto" w:fill="auto"/>
            <w:noWrap/>
            <w:vAlign w:val="center"/>
          </w:tcPr>
          <w:p w14:paraId="1664505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31 218</w:t>
            </w:r>
          </w:p>
        </w:tc>
        <w:tc>
          <w:tcPr>
            <w:tcW w:w="709" w:type="dxa"/>
            <w:tcBorders>
              <w:top w:val="nil"/>
              <w:left w:val="nil"/>
              <w:bottom w:val="single" w:sz="4" w:space="0" w:color="auto"/>
              <w:right w:val="single" w:sz="4" w:space="0" w:color="auto"/>
            </w:tcBorders>
            <w:shd w:val="clear" w:color="auto" w:fill="auto"/>
            <w:noWrap/>
            <w:vAlign w:val="center"/>
          </w:tcPr>
          <w:p w14:paraId="216A4D2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43,94</w:t>
            </w:r>
          </w:p>
        </w:tc>
        <w:tc>
          <w:tcPr>
            <w:tcW w:w="709" w:type="dxa"/>
            <w:tcBorders>
              <w:top w:val="nil"/>
              <w:left w:val="nil"/>
              <w:bottom w:val="single" w:sz="4" w:space="0" w:color="auto"/>
              <w:right w:val="single" w:sz="4" w:space="0" w:color="auto"/>
            </w:tcBorders>
            <w:shd w:val="clear" w:color="auto" w:fill="auto"/>
            <w:noWrap/>
            <w:vAlign w:val="center"/>
          </w:tcPr>
          <w:p w14:paraId="061FAD10"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1 371,7</w:t>
            </w:r>
          </w:p>
        </w:tc>
        <w:tc>
          <w:tcPr>
            <w:tcW w:w="567" w:type="dxa"/>
            <w:tcBorders>
              <w:top w:val="nil"/>
              <w:left w:val="nil"/>
              <w:bottom w:val="single" w:sz="4" w:space="0" w:color="auto"/>
              <w:right w:val="single" w:sz="4" w:space="0" w:color="auto"/>
            </w:tcBorders>
            <w:shd w:val="clear" w:color="auto" w:fill="auto"/>
            <w:noWrap/>
            <w:vAlign w:val="center"/>
          </w:tcPr>
          <w:p w14:paraId="083F0001"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3 686</w:t>
            </w:r>
          </w:p>
        </w:tc>
        <w:tc>
          <w:tcPr>
            <w:tcW w:w="709" w:type="dxa"/>
            <w:tcBorders>
              <w:top w:val="nil"/>
              <w:left w:val="nil"/>
              <w:bottom w:val="single" w:sz="4" w:space="0" w:color="auto"/>
              <w:right w:val="single" w:sz="4" w:space="0" w:color="auto"/>
            </w:tcBorders>
            <w:shd w:val="clear" w:color="auto" w:fill="auto"/>
            <w:noWrap/>
            <w:vAlign w:val="center"/>
          </w:tcPr>
          <w:p w14:paraId="73EFDAE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7,44</w:t>
            </w:r>
          </w:p>
        </w:tc>
        <w:tc>
          <w:tcPr>
            <w:tcW w:w="708" w:type="dxa"/>
            <w:tcBorders>
              <w:top w:val="nil"/>
              <w:left w:val="nil"/>
              <w:bottom w:val="single" w:sz="4" w:space="0" w:color="auto"/>
              <w:right w:val="single" w:sz="4" w:space="0" w:color="auto"/>
            </w:tcBorders>
            <w:shd w:val="clear" w:color="auto" w:fill="auto"/>
            <w:noWrap/>
            <w:vAlign w:val="center"/>
          </w:tcPr>
          <w:p w14:paraId="53AD1CF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366,9</w:t>
            </w:r>
          </w:p>
        </w:tc>
        <w:tc>
          <w:tcPr>
            <w:tcW w:w="568" w:type="dxa"/>
            <w:tcBorders>
              <w:top w:val="nil"/>
              <w:left w:val="nil"/>
              <w:bottom w:val="single" w:sz="4" w:space="0" w:color="auto"/>
              <w:right w:val="single" w:sz="4" w:space="0" w:color="auto"/>
            </w:tcBorders>
            <w:shd w:val="clear" w:color="auto" w:fill="auto"/>
            <w:noWrap/>
            <w:vAlign w:val="center"/>
          </w:tcPr>
          <w:p w14:paraId="333D1C27"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161,96</w:t>
            </w:r>
          </w:p>
        </w:tc>
        <w:tc>
          <w:tcPr>
            <w:tcW w:w="566" w:type="dxa"/>
            <w:tcBorders>
              <w:top w:val="nil"/>
              <w:left w:val="nil"/>
              <w:bottom w:val="single" w:sz="4" w:space="0" w:color="auto"/>
              <w:right w:val="single" w:sz="4" w:space="0" w:color="auto"/>
            </w:tcBorders>
            <w:shd w:val="clear" w:color="auto" w:fill="auto"/>
            <w:noWrap/>
            <w:vAlign w:val="center"/>
          </w:tcPr>
          <w:p w14:paraId="4A6DD7A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44,1</w:t>
            </w:r>
          </w:p>
        </w:tc>
        <w:tc>
          <w:tcPr>
            <w:tcW w:w="710" w:type="dxa"/>
            <w:tcBorders>
              <w:top w:val="nil"/>
              <w:left w:val="nil"/>
              <w:bottom w:val="single" w:sz="4" w:space="0" w:color="auto"/>
              <w:right w:val="single" w:sz="4" w:space="0" w:color="auto"/>
            </w:tcBorders>
            <w:shd w:val="clear" w:color="auto" w:fill="auto"/>
            <w:noWrap/>
            <w:vAlign w:val="center"/>
          </w:tcPr>
          <w:p w14:paraId="72F66F63"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204,91</w:t>
            </w:r>
          </w:p>
        </w:tc>
        <w:tc>
          <w:tcPr>
            <w:tcW w:w="542" w:type="dxa"/>
            <w:tcBorders>
              <w:top w:val="nil"/>
              <w:left w:val="single" w:sz="4" w:space="0" w:color="auto"/>
              <w:bottom w:val="single" w:sz="4" w:space="0" w:color="auto"/>
              <w:right w:val="double" w:sz="6" w:space="0" w:color="auto"/>
            </w:tcBorders>
            <w:shd w:val="clear" w:color="auto" w:fill="auto"/>
            <w:noWrap/>
            <w:vAlign w:val="center"/>
          </w:tcPr>
          <w:p w14:paraId="731C2DBC"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55,9</w:t>
            </w:r>
          </w:p>
        </w:tc>
      </w:tr>
      <w:tr w:rsidR="00FD7B0B" w:rsidRPr="00FD7B0B" w14:paraId="38C5091A" w14:textId="77777777" w:rsidTr="000F25AF">
        <w:trPr>
          <w:trHeight w:val="20"/>
        </w:trPr>
        <w:tc>
          <w:tcPr>
            <w:tcW w:w="851" w:type="dxa"/>
            <w:vMerge/>
            <w:tcBorders>
              <w:top w:val="nil"/>
              <w:left w:val="double" w:sz="6" w:space="0" w:color="auto"/>
              <w:bottom w:val="double" w:sz="6" w:space="0" w:color="auto"/>
              <w:right w:val="single" w:sz="4" w:space="0" w:color="auto"/>
            </w:tcBorders>
            <w:vAlign w:val="center"/>
            <w:hideMark/>
          </w:tcPr>
          <w:p w14:paraId="5631DA0A" w14:textId="77777777" w:rsidR="00A51B25" w:rsidRPr="00FD7B0B" w:rsidRDefault="00A51B25" w:rsidP="00A51B25">
            <w:pPr>
              <w:spacing w:after="0" w:line="240" w:lineRule="auto"/>
              <w:rPr>
                <w:rFonts w:ascii="Times New Roman" w:eastAsia="Times New Roman" w:hAnsi="Times New Roman" w:cs="Times New Roman"/>
                <w:sz w:val="16"/>
                <w:szCs w:val="16"/>
                <w:lang w:eastAsia="ru-RU"/>
              </w:rPr>
            </w:pPr>
          </w:p>
        </w:tc>
        <w:tc>
          <w:tcPr>
            <w:tcW w:w="567" w:type="dxa"/>
            <w:tcBorders>
              <w:top w:val="nil"/>
              <w:left w:val="single" w:sz="4" w:space="0" w:color="auto"/>
              <w:bottom w:val="double" w:sz="6" w:space="0" w:color="auto"/>
              <w:right w:val="single" w:sz="4" w:space="0" w:color="auto"/>
            </w:tcBorders>
            <w:shd w:val="clear" w:color="auto" w:fill="auto"/>
            <w:noWrap/>
            <w:vAlign w:val="center"/>
            <w:hideMark/>
          </w:tcPr>
          <w:p w14:paraId="51869DA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c>
          <w:tcPr>
            <w:tcW w:w="709" w:type="dxa"/>
            <w:tcBorders>
              <w:top w:val="nil"/>
              <w:left w:val="nil"/>
              <w:bottom w:val="double" w:sz="6" w:space="0" w:color="auto"/>
              <w:right w:val="single" w:sz="4" w:space="0" w:color="auto"/>
            </w:tcBorders>
            <w:shd w:val="clear" w:color="auto" w:fill="auto"/>
            <w:noWrap/>
            <w:vAlign w:val="center"/>
          </w:tcPr>
          <w:p w14:paraId="345BF334"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56 094</w:t>
            </w:r>
          </w:p>
        </w:tc>
        <w:tc>
          <w:tcPr>
            <w:tcW w:w="709" w:type="dxa"/>
            <w:tcBorders>
              <w:top w:val="nil"/>
              <w:left w:val="nil"/>
              <w:bottom w:val="double" w:sz="6" w:space="0" w:color="auto"/>
              <w:right w:val="single" w:sz="4" w:space="0" w:color="auto"/>
            </w:tcBorders>
            <w:shd w:val="clear" w:color="auto" w:fill="auto"/>
            <w:noWrap/>
            <w:vAlign w:val="center"/>
          </w:tcPr>
          <w:p w14:paraId="468DE74F"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35,88</w:t>
            </w:r>
          </w:p>
        </w:tc>
        <w:tc>
          <w:tcPr>
            <w:tcW w:w="709" w:type="dxa"/>
            <w:tcBorders>
              <w:top w:val="nil"/>
              <w:left w:val="nil"/>
              <w:bottom w:val="double" w:sz="6" w:space="0" w:color="auto"/>
              <w:right w:val="single" w:sz="4" w:space="0" w:color="auto"/>
            </w:tcBorders>
            <w:shd w:val="clear" w:color="auto" w:fill="auto"/>
            <w:noWrap/>
            <w:vAlign w:val="center"/>
          </w:tcPr>
          <w:p w14:paraId="4CEF9E3C"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2 012,6</w:t>
            </w:r>
          </w:p>
        </w:tc>
        <w:tc>
          <w:tcPr>
            <w:tcW w:w="708" w:type="dxa"/>
            <w:tcBorders>
              <w:top w:val="nil"/>
              <w:left w:val="nil"/>
              <w:bottom w:val="double" w:sz="6" w:space="0" w:color="auto"/>
              <w:right w:val="single" w:sz="4" w:space="0" w:color="auto"/>
            </w:tcBorders>
            <w:shd w:val="clear" w:color="auto" w:fill="auto"/>
            <w:noWrap/>
            <w:vAlign w:val="center"/>
          </w:tcPr>
          <w:p w14:paraId="1F964A27"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59 979</w:t>
            </w:r>
          </w:p>
        </w:tc>
        <w:tc>
          <w:tcPr>
            <w:tcW w:w="709" w:type="dxa"/>
            <w:tcBorders>
              <w:top w:val="nil"/>
              <w:left w:val="nil"/>
              <w:bottom w:val="double" w:sz="6" w:space="0" w:color="auto"/>
              <w:right w:val="single" w:sz="4" w:space="0" w:color="auto"/>
            </w:tcBorders>
            <w:shd w:val="clear" w:color="auto" w:fill="auto"/>
            <w:noWrap/>
            <w:vAlign w:val="center"/>
          </w:tcPr>
          <w:p w14:paraId="63A7724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40,96</w:t>
            </w:r>
          </w:p>
        </w:tc>
        <w:tc>
          <w:tcPr>
            <w:tcW w:w="709" w:type="dxa"/>
            <w:tcBorders>
              <w:top w:val="nil"/>
              <w:left w:val="nil"/>
              <w:bottom w:val="double" w:sz="6" w:space="0" w:color="auto"/>
              <w:right w:val="single" w:sz="4" w:space="0" w:color="auto"/>
            </w:tcBorders>
            <w:shd w:val="clear" w:color="auto" w:fill="auto"/>
            <w:noWrap/>
            <w:vAlign w:val="center"/>
          </w:tcPr>
          <w:p w14:paraId="29D85C99"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2 456,6</w:t>
            </w:r>
          </w:p>
        </w:tc>
        <w:tc>
          <w:tcPr>
            <w:tcW w:w="567" w:type="dxa"/>
            <w:tcBorders>
              <w:top w:val="nil"/>
              <w:left w:val="nil"/>
              <w:bottom w:val="double" w:sz="6" w:space="0" w:color="auto"/>
              <w:right w:val="single" w:sz="4" w:space="0" w:color="auto"/>
            </w:tcBorders>
            <w:shd w:val="clear" w:color="auto" w:fill="auto"/>
            <w:noWrap/>
            <w:vAlign w:val="center"/>
          </w:tcPr>
          <w:p w14:paraId="6C6519A5"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3 885</w:t>
            </w:r>
          </w:p>
        </w:tc>
        <w:tc>
          <w:tcPr>
            <w:tcW w:w="709" w:type="dxa"/>
            <w:tcBorders>
              <w:top w:val="nil"/>
              <w:left w:val="nil"/>
              <w:bottom w:val="double" w:sz="6" w:space="0" w:color="auto"/>
              <w:right w:val="single" w:sz="4" w:space="0" w:color="auto"/>
            </w:tcBorders>
            <w:shd w:val="clear" w:color="auto" w:fill="auto"/>
            <w:noWrap/>
            <w:vAlign w:val="center"/>
          </w:tcPr>
          <w:p w14:paraId="7D95B464"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p>
        </w:tc>
        <w:tc>
          <w:tcPr>
            <w:tcW w:w="708" w:type="dxa"/>
            <w:tcBorders>
              <w:top w:val="nil"/>
              <w:left w:val="nil"/>
              <w:bottom w:val="double" w:sz="6" w:space="0" w:color="auto"/>
              <w:right w:val="single" w:sz="4" w:space="0" w:color="auto"/>
            </w:tcBorders>
            <w:shd w:val="clear" w:color="auto" w:fill="auto"/>
            <w:noWrap/>
            <w:vAlign w:val="center"/>
          </w:tcPr>
          <w:p w14:paraId="73365E6E"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444,0</w:t>
            </w:r>
          </w:p>
        </w:tc>
        <w:tc>
          <w:tcPr>
            <w:tcW w:w="568" w:type="dxa"/>
            <w:tcBorders>
              <w:top w:val="nil"/>
              <w:left w:val="nil"/>
              <w:bottom w:val="double" w:sz="6" w:space="0" w:color="auto"/>
              <w:right w:val="single" w:sz="4" w:space="0" w:color="auto"/>
            </w:tcBorders>
            <w:shd w:val="clear" w:color="auto" w:fill="auto"/>
            <w:noWrap/>
            <w:vAlign w:val="center"/>
          </w:tcPr>
          <w:p w14:paraId="07D196C7"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169,47</w:t>
            </w:r>
          </w:p>
        </w:tc>
        <w:tc>
          <w:tcPr>
            <w:tcW w:w="566" w:type="dxa"/>
            <w:tcBorders>
              <w:top w:val="nil"/>
              <w:left w:val="nil"/>
              <w:bottom w:val="double" w:sz="6" w:space="0" w:color="auto"/>
              <w:right w:val="single" w:sz="4" w:space="0" w:color="auto"/>
            </w:tcBorders>
            <w:shd w:val="clear" w:color="auto" w:fill="auto"/>
            <w:noWrap/>
            <w:vAlign w:val="center"/>
          </w:tcPr>
          <w:p w14:paraId="0E920AAA"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38,2</w:t>
            </w:r>
          </w:p>
        </w:tc>
        <w:tc>
          <w:tcPr>
            <w:tcW w:w="710" w:type="dxa"/>
            <w:tcBorders>
              <w:top w:val="nil"/>
              <w:left w:val="nil"/>
              <w:bottom w:val="double" w:sz="6" w:space="0" w:color="auto"/>
              <w:right w:val="single" w:sz="4" w:space="0" w:color="auto"/>
            </w:tcBorders>
            <w:shd w:val="clear" w:color="auto" w:fill="auto"/>
            <w:noWrap/>
            <w:vAlign w:val="center"/>
          </w:tcPr>
          <w:p w14:paraId="13AFE258" w14:textId="77777777" w:rsidR="00A51B25" w:rsidRPr="00FD7B0B" w:rsidRDefault="00A51B25" w:rsidP="00A51B25">
            <w:pPr>
              <w:spacing w:after="0" w:line="240" w:lineRule="auto"/>
              <w:ind w:left="-108" w:right="-108"/>
              <w:jc w:val="center"/>
              <w:rPr>
                <w:rFonts w:ascii="Times New Roman" w:eastAsia="Times New Roman" w:hAnsi="Times New Roman" w:cs="Times New Roman"/>
                <w:b/>
                <w:sz w:val="16"/>
                <w:szCs w:val="16"/>
                <w:lang w:eastAsia="ru-RU"/>
              </w:rPr>
            </w:pPr>
            <w:r w:rsidRPr="00FD7B0B">
              <w:rPr>
                <w:rFonts w:ascii="Times New Roman" w:eastAsia="Times New Roman" w:hAnsi="Times New Roman" w:cs="Times New Roman"/>
                <w:b/>
                <w:sz w:val="16"/>
                <w:szCs w:val="16"/>
                <w:lang w:eastAsia="ru-RU"/>
              </w:rPr>
              <w:t>274,53</w:t>
            </w:r>
          </w:p>
        </w:tc>
        <w:tc>
          <w:tcPr>
            <w:tcW w:w="542" w:type="dxa"/>
            <w:tcBorders>
              <w:top w:val="nil"/>
              <w:left w:val="single" w:sz="4" w:space="0" w:color="auto"/>
              <w:bottom w:val="double" w:sz="6" w:space="0" w:color="auto"/>
              <w:right w:val="double" w:sz="6" w:space="0" w:color="auto"/>
            </w:tcBorders>
            <w:shd w:val="clear" w:color="auto" w:fill="auto"/>
            <w:noWrap/>
            <w:vAlign w:val="center"/>
          </w:tcPr>
          <w:p w14:paraId="5D8B017D" w14:textId="77777777" w:rsidR="00A51B25" w:rsidRPr="00FD7B0B" w:rsidRDefault="00A51B25" w:rsidP="00A51B25">
            <w:pPr>
              <w:spacing w:after="0" w:line="240" w:lineRule="auto"/>
              <w:ind w:left="-108" w:right="-108"/>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61,8</w:t>
            </w:r>
          </w:p>
        </w:tc>
      </w:tr>
    </w:tbl>
    <w:p w14:paraId="79FB0B79"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2EF429C7"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Рост потребности в средствах субсидии ∆В в отчетном периоде </w:t>
      </w:r>
      <w:r w:rsidRPr="00FD7B0B">
        <w:rPr>
          <w:rFonts w:ascii="Times New Roman" w:eastAsia="Times New Roman" w:hAnsi="Times New Roman"/>
          <w:sz w:val="28"/>
          <w:szCs w:val="28"/>
          <w:lang w:eastAsia="ru-RU"/>
        </w:rPr>
        <w:br/>
        <w:t>на 444,0 млн.руб. (на 22,1 % к 2023 году) в значительной степени (61,8 %) обусловлен ростом межтарифной разницы, при этом увеличение субсидируемого объема коммунальных ресурсов, реализованных населению и потребителям, приравненным к населению, повлияло лишь на 38,2 %.</w:t>
      </w:r>
    </w:p>
    <w:p w14:paraId="41744003" w14:textId="77777777" w:rsidR="00A51B25" w:rsidRPr="00FD7B0B" w:rsidRDefault="00A51B25" w:rsidP="00A51B25">
      <w:pPr>
        <w:spacing w:after="0" w:line="240" w:lineRule="auto"/>
        <w:contextualSpacing/>
        <w:rPr>
          <w:rFonts w:ascii="Times New Roman" w:hAnsi="Times New Roman"/>
          <w:sz w:val="28"/>
          <w:szCs w:val="28"/>
        </w:rPr>
      </w:pPr>
    </w:p>
    <w:p w14:paraId="23C880F1"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178</w:t>
      </w:r>
      <w:r w:rsidRPr="00FD7B0B">
        <w:rPr>
          <w:rFonts w:ascii="Times New Roman" w:hAnsi="Times New Roman"/>
          <w:sz w:val="24"/>
          <w:szCs w:val="24"/>
        </w:rPr>
        <w:fldChar w:fldCharType="end"/>
      </w:r>
      <w:r w:rsidRPr="00FD7B0B">
        <w:rPr>
          <w:rFonts w:ascii="Times New Roman" w:hAnsi="Times New Roman"/>
          <w:sz w:val="24"/>
          <w:szCs w:val="24"/>
        </w:rPr>
        <w:t>. Изменения объемов услуг водоснабжения и водоотведения, реализованных населению и потребителям, приравненным к населению, и потребности в средствах субсидии ∆В ООО «РВК-Архангельск» за 2023 – 2024 годы</w:t>
      </w:r>
    </w:p>
    <w:tbl>
      <w:tblPr>
        <w:tblStyle w:val="a7"/>
        <w:tblW w:w="9606"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526"/>
        <w:gridCol w:w="1559"/>
        <w:gridCol w:w="1134"/>
        <w:gridCol w:w="1559"/>
        <w:gridCol w:w="1134"/>
        <w:gridCol w:w="1560"/>
        <w:gridCol w:w="1134"/>
      </w:tblGrid>
      <w:tr w:rsidR="00FD7B0B" w:rsidRPr="00FD7B0B" w14:paraId="3D5F6463" w14:textId="77777777" w:rsidTr="00A51B25">
        <w:trPr>
          <w:trHeight w:val="157"/>
          <w:tblHeader/>
        </w:trPr>
        <w:tc>
          <w:tcPr>
            <w:tcW w:w="1526" w:type="dxa"/>
            <w:vMerge w:val="restart"/>
            <w:vAlign w:val="center"/>
            <w:hideMark/>
          </w:tcPr>
          <w:p w14:paraId="5E076CD3"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Наименование услуги</w:t>
            </w:r>
          </w:p>
        </w:tc>
        <w:tc>
          <w:tcPr>
            <w:tcW w:w="2693" w:type="dxa"/>
            <w:gridSpan w:val="2"/>
            <w:vAlign w:val="center"/>
            <w:hideMark/>
          </w:tcPr>
          <w:p w14:paraId="5DE6BB3C"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2023 год</w:t>
            </w:r>
          </w:p>
        </w:tc>
        <w:tc>
          <w:tcPr>
            <w:tcW w:w="2693" w:type="dxa"/>
            <w:gridSpan w:val="2"/>
            <w:vAlign w:val="center"/>
            <w:hideMark/>
          </w:tcPr>
          <w:p w14:paraId="77A9CBCE"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2024 год</w:t>
            </w:r>
          </w:p>
        </w:tc>
        <w:tc>
          <w:tcPr>
            <w:tcW w:w="2694" w:type="dxa"/>
            <w:gridSpan w:val="2"/>
            <w:vAlign w:val="center"/>
            <w:hideMark/>
          </w:tcPr>
          <w:p w14:paraId="47FC83F7"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2024 год к 2023 году, %</w:t>
            </w:r>
          </w:p>
        </w:tc>
      </w:tr>
      <w:tr w:rsidR="00FD7B0B" w:rsidRPr="00FD7B0B" w14:paraId="37D13FC9" w14:textId="77777777" w:rsidTr="00A51B25">
        <w:trPr>
          <w:trHeight w:val="1472"/>
          <w:tblHeader/>
        </w:trPr>
        <w:tc>
          <w:tcPr>
            <w:tcW w:w="1526" w:type="dxa"/>
            <w:vMerge/>
            <w:vAlign w:val="center"/>
            <w:hideMark/>
          </w:tcPr>
          <w:p w14:paraId="0F9AF2A6" w14:textId="77777777" w:rsidR="00A51B25" w:rsidRPr="00FD7B0B" w:rsidRDefault="00A51B25" w:rsidP="00A51B25">
            <w:pPr>
              <w:contextualSpacing/>
              <w:jc w:val="center"/>
              <w:rPr>
                <w:rFonts w:ascii="Times New Roman" w:eastAsia="Times New Roman" w:hAnsi="Times New Roman"/>
              </w:rPr>
            </w:pPr>
          </w:p>
        </w:tc>
        <w:tc>
          <w:tcPr>
            <w:tcW w:w="1559" w:type="dxa"/>
            <w:vAlign w:val="center"/>
            <w:hideMark/>
          </w:tcPr>
          <w:p w14:paraId="465B8520" w14:textId="77777777" w:rsidR="00A51B25" w:rsidRPr="00FD7B0B" w:rsidRDefault="00A51B25" w:rsidP="00A51B25">
            <w:pPr>
              <w:ind w:left="-108" w:right="-108"/>
              <w:contextualSpacing/>
              <w:jc w:val="center"/>
              <w:rPr>
                <w:rFonts w:ascii="Times New Roman" w:eastAsia="Times New Roman" w:hAnsi="Times New Roman"/>
              </w:rPr>
            </w:pPr>
            <w:r w:rsidRPr="00FD7B0B">
              <w:rPr>
                <w:rFonts w:ascii="Times New Roman" w:eastAsia="Times New Roman" w:hAnsi="Times New Roman"/>
              </w:rPr>
              <w:t>Фактический объем услуг водоснабжения и водоотведения, реализованных населению, тыс. куб.м</w:t>
            </w:r>
          </w:p>
        </w:tc>
        <w:tc>
          <w:tcPr>
            <w:tcW w:w="1134" w:type="dxa"/>
            <w:vAlign w:val="center"/>
            <w:hideMark/>
          </w:tcPr>
          <w:p w14:paraId="400EE6A8" w14:textId="77777777" w:rsidR="00A51B25" w:rsidRPr="00FD7B0B" w:rsidRDefault="00A51B25" w:rsidP="00A51B25">
            <w:pPr>
              <w:ind w:left="-108" w:right="-108"/>
              <w:contextualSpacing/>
              <w:jc w:val="center"/>
              <w:rPr>
                <w:rFonts w:ascii="Times New Roman" w:eastAsia="Times New Roman" w:hAnsi="Times New Roman"/>
              </w:rPr>
            </w:pPr>
            <w:r w:rsidRPr="00FD7B0B">
              <w:rPr>
                <w:rFonts w:ascii="Times New Roman" w:eastAsia="Times New Roman" w:hAnsi="Times New Roman"/>
              </w:rPr>
              <w:t>Потребность в средствах субсидии, млн.руб.</w:t>
            </w:r>
          </w:p>
        </w:tc>
        <w:tc>
          <w:tcPr>
            <w:tcW w:w="1559" w:type="dxa"/>
            <w:vAlign w:val="center"/>
            <w:hideMark/>
          </w:tcPr>
          <w:p w14:paraId="16B38031" w14:textId="77777777" w:rsidR="00A51B25" w:rsidRPr="00FD7B0B" w:rsidRDefault="00A51B25" w:rsidP="00A51B25">
            <w:pPr>
              <w:ind w:left="-108" w:right="-108"/>
              <w:contextualSpacing/>
              <w:jc w:val="center"/>
              <w:rPr>
                <w:rFonts w:ascii="Times New Roman" w:eastAsia="Times New Roman" w:hAnsi="Times New Roman"/>
              </w:rPr>
            </w:pPr>
            <w:r w:rsidRPr="00FD7B0B">
              <w:rPr>
                <w:rFonts w:ascii="Times New Roman" w:eastAsia="Times New Roman" w:hAnsi="Times New Roman"/>
              </w:rPr>
              <w:t>Фактический объем услуг водоснабжения и водоотведения, реализованных населению, тыс. куб.м</w:t>
            </w:r>
          </w:p>
        </w:tc>
        <w:tc>
          <w:tcPr>
            <w:tcW w:w="1134" w:type="dxa"/>
            <w:vAlign w:val="center"/>
            <w:hideMark/>
          </w:tcPr>
          <w:p w14:paraId="7F49A460" w14:textId="77777777" w:rsidR="00A51B25" w:rsidRPr="00FD7B0B" w:rsidRDefault="00A51B25" w:rsidP="00A51B25">
            <w:pPr>
              <w:ind w:left="-108" w:right="-108"/>
              <w:contextualSpacing/>
              <w:jc w:val="center"/>
              <w:rPr>
                <w:rFonts w:ascii="Times New Roman" w:eastAsia="Times New Roman" w:hAnsi="Times New Roman"/>
              </w:rPr>
            </w:pPr>
            <w:r w:rsidRPr="00FD7B0B">
              <w:rPr>
                <w:rFonts w:ascii="Times New Roman" w:eastAsia="Times New Roman" w:hAnsi="Times New Roman"/>
              </w:rPr>
              <w:t>Потребность в средствах субсидии, млн.руб.</w:t>
            </w:r>
          </w:p>
        </w:tc>
        <w:tc>
          <w:tcPr>
            <w:tcW w:w="1560" w:type="dxa"/>
            <w:vAlign w:val="center"/>
            <w:hideMark/>
          </w:tcPr>
          <w:p w14:paraId="4733E924" w14:textId="77777777" w:rsidR="00A51B25" w:rsidRPr="00FD7B0B" w:rsidRDefault="00A51B25" w:rsidP="00A51B25">
            <w:pPr>
              <w:ind w:left="-108" w:right="-108"/>
              <w:contextualSpacing/>
              <w:jc w:val="center"/>
              <w:rPr>
                <w:rFonts w:ascii="Times New Roman" w:eastAsia="Times New Roman" w:hAnsi="Times New Roman"/>
              </w:rPr>
            </w:pPr>
            <w:r w:rsidRPr="00FD7B0B">
              <w:rPr>
                <w:rFonts w:ascii="Times New Roman" w:eastAsia="Times New Roman" w:hAnsi="Times New Roman"/>
              </w:rPr>
              <w:t>Фактический объем услуг водоснабжения и водоотведения, реализованных населению</w:t>
            </w:r>
          </w:p>
        </w:tc>
        <w:tc>
          <w:tcPr>
            <w:tcW w:w="1134" w:type="dxa"/>
            <w:vAlign w:val="center"/>
            <w:hideMark/>
          </w:tcPr>
          <w:p w14:paraId="2D83E412" w14:textId="77777777" w:rsidR="00A51B25" w:rsidRPr="00FD7B0B" w:rsidRDefault="00A51B25" w:rsidP="00A51B25">
            <w:pPr>
              <w:ind w:left="-108" w:right="-108"/>
              <w:contextualSpacing/>
              <w:jc w:val="center"/>
              <w:rPr>
                <w:rFonts w:ascii="Times New Roman" w:eastAsia="Times New Roman" w:hAnsi="Times New Roman"/>
              </w:rPr>
            </w:pPr>
            <w:r w:rsidRPr="00FD7B0B">
              <w:rPr>
                <w:rFonts w:ascii="Times New Roman" w:eastAsia="Times New Roman" w:hAnsi="Times New Roman"/>
              </w:rPr>
              <w:t>Потребность в средствах субсидии</w:t>
            </w:r>
          </w:p>
        </w:tc>
      </w:tr>
      <w:tr w:rsidR="00FD7B0B" w:rsidRPr="00FD7B0B" w14:paraId="2919E799" w14:textId="77777777" w:rsidTr="00A51B25">
        <w:trPr>
          <w:trHeight w:val="47"/>
        </w:trPr>
        <w:tc>
          <w:tcPr>
            <w:tcW w:w="9606" w:type="dxa"/>
            <w:gridSpan w:val="7"/>
            <w:vAlign w:val="center"/>
            <w:hideMark/>
          </w:tcPr>
          <w:p w14:paraId="7188D32A"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ООО «РВК-Архангельск»</w:t>
            </w:r>
          </w:p>
        </w:tc>
      </w:tr>
      <w:tr w:rsidR="00FD7B0B" w:rsidRPr="00FD7B0B" w14:paraId="0312F0D3" w14:textId="77777777" w:rsidTr="00255076">
        <w:trPr>
          <w:trHeight w:val="132"/>
        </w:trPr>
        <w:tc>
          <w:tcPr>
            <w:tcW w:w="1526" w:type="dxa"/>
            <w:vAlign w:val="center"/>
            <w:hideMark/>
          </w:tcPr>
          <w:p w14:paraId="61D69D70"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питьевая вода</w:t>
            </w:r>
          </w:p>
        </w:tc>
        <w:tc>
          <w:tcPr>
            <w:tcW w:w="1559" w:type="dxa"/>
            <w:vAlign w:val="center"/>
            <w:hideMark/>
          </w:tcPr>
          <w:p w14:paraId="0162CF1F"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14 341,7</w:t>
            </w:r>
          </w:p>
        </w:tc>
        <w:tc>
          <w:tcPr>
            <w:tcW w:w="1134" w:type="dxa"/>
            <w:vAlign w:val="center"/>
            <w:hideMark/>
          </w:tcPr>
          <w:p w14:paraId="46B08E49"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280,5</w:t>
            </w:r>
          </w:p>
        </w:tc>
        <w:tc>
          <w:tcPr>
            <w:tcW w:w="1559" w:type="dxa"/>
            <w:vAlign w:val="center"/>
            <w:hideMark/>
          </w:tcPr>
          <w:p w14:paraId="7E4F5EEF"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14 341,1</w:t>
            </w:r>
          </w:p>
        </w:tc>
        <w:tc>
          <w:tcPr>
            <w:tcW w:w="1134" w:type="dxa"/>
            <w:vAlign w:val="center"/>
            <w:hideMark/>
          </w:tcPr>
          <w:p w14:paraId="45F9E904"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336,9</w:t>
            </w:r>
          </w:p>
        </w:tc>
        <w:tc>
          <w:tcPr>
            <w:tcW w:w="1560" w:type="dxa"/>
            <w:vAlign w:val="center"/>
            <w:hideMark/>
          </w:tcPr>
          <w:p w14:paraId="1F6D1167"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100,0</w:t>
            </w:r>
          </w:p>
        </w:tc>
        <w:tc>
          <w:tcPr>
            <w:tcW w:w="1134" w:type="dxa"/>
            <w:vAlign w:val="center"/>
            <w:hideMark/>
          </w:tcPr>
          <w:p w14:paraId="364152D1"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120,1</w:t>
            </w:r>
          </w:p>
        </w:tc>
      </w:tr>
      <w:tr w:rsidR="00FD7B0B" w:rsidRPr="00FD7B0B" w14:paraId="3008A239" w14:textId="77777777" w:rsidTr="00A51B25">
        <w:trPr>
          <w:trHeight w:val="226"/>
        </w:trPr>
        <w:tc>
          <w:tcPr>
            <w:tcW w:w="1526" w:type="dxa"/>
            <w:vAlign w:val="center"/>
            <w:hideMark/>
          </w:tcPr>
          <w:p w14:paraId="08AD7A6A"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услуги водоотведения</w:t>
            </w:r>
          </w:p>
        </w:tc>
        <w:tc>
          <w:tcPr>
            <w:tcW w:w="1559" w:type="dxa"/>
            <w:vAlign w:val="center"/>
            <w:hideMark/>
          </w:tcPr>
          <w:p w14:paraId="023DEAFD"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14 156,1</w:t>
            </w:r>
          </w:p>
        </w:tc>
        <w:tc>
          <w:tcPr>
            <w:tcW w:w="1134" w:type="dxa"/>
            <w:vAlign w:val="center"/>
            <w:hideMark/>
          </w:tcPr>
          <w:p w14:paraId="1C6C920B"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607,2</w:t>
            </w:r>
          </w:p>
        </w:tc>
        <w:tc>
          <w:tcPr>
            <w:tcW w:w="1559" w:type="dxa"/>
            <w:vAlign w:val="center"/>
            <w:hideMark/>
          </w:tcPr>
          <w:p w14:paraId="0C2B65AE"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14 228,5</w:t>
            </w:r>
          </w:p>
        </w:tc>
        <w:tc>
          <w:tcPr>
            <w:tcW w:w="1134" w:type="dxa"/>
            <w:vAlign w:val="center"/>
            <w:hideMark/>
          </w:tcPr>
          <w:p w14:paraId="77E871D7"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698,1</w:t>
            </w:r>
          </w:p>
        </w:tc>
        <w:tc>
          <w:tcPr>
            <w:tcW w:w="1560" w:type="dxa"/>
            <w:vAlign w:val="center"/>
            <w:hideMark/>
          </w:tcPr>
          <w:p w14:paraId="2B6436B3"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100,5</w:t>
            </w:r>
          </w:p>
        </w:tc>
        <w:tc>
          <w:tcPr>
            <w:tcW w:w="1134" w:type="dxa"/>
            <w:vAlign w:val="center"/>
            <w:hideMark/>
          </w:tcPr>
          <w:p w14:paraId="3E933297"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115,0</w:t>
            </w:r>
          </w:p>
        </w:tc>
      </w:tr>
      <w:tr w:rsidR="00A51B25" w:rsidRPr="00FD7B0B" w14:paraId="1A58E91E" w14:textId="77777777" w:rsidTr="00255076">
        <w:trPr>
          <w:trHeight w:val="43"/>
        </w:trPr>
        <w:tc>
          <w:tcPr>
            <w:tcW w:w="1526" w:type="dxa"/>
            <w:vAlign w:val="center"/>
            <w:hideMark/>
          </w:tcPr>
          <w:p w14:paraId="5644369A" w14:textId="77777777" w:rsidR="00A51B25" w:rsidRPr="00FD7B0B" w:rsidRDefault="00A51B25" w:rsidP="00A51B25">
            <w:pPr>
              <w:contextualSpacing/>
              <w:jc w:val="center"/>
              <w:rPr>
                <w:rFonts w:ascii="Times New Roman" w:eastAsia="Times New Roman" w:hAnsi="Times New Roman"/>
                <w:b/>
                <w:bCs/>
              </w:rPr>
            </w:pPr>
            <w:r w:rsidRPr="00FD7B0B">
              <w:rPr>
                <w:rFonts w:ascii="Times New Roman" w:eastAsia="Times New Roman" w:hAnsi="Times New Roman"/>
                <w:b/>
                <w:bCs/>
              </w:rPr>
              <w:t>ВСЕГО</w:t>
            </w:r>
          </w:p>
        </w:tc>
        <w:tc>
          <w:tcPr>
            <w:tcW w:w="1559" w:type="dxa"/>
            <w:vAlign w:val="center"/>
            <w:hideMark/>
          </w:tcPr>
          <w:p w14:paraId="11EFA03E"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28 497,8</w:t>
            </w:r>
          </w:p>
        </w:tc>
        <w:tc>
          <w:tcPr>
            <w:tcW w:w="1134" w:type="dxa"/>
            <w:vAlign w:val="center"/>
            <w:hideMark/>
          </w:tcPr>
          <w:p w14:paraId="30E32C63"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887,7</w:t>
            </w:r>
          </w:p>
        </w:tc>
        <w:tc>
          <w:tcPr>
            <w:tcW w:w="1559" w:type="dxa"/>
            <w:vAlign w:val="center"/>
            <w:hideMark/>
          </w:tcPr>
          <w:p w14:paraId="162A9ED8"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28 569,6</w:t>
            </w:r>
          </w:p>
        </w:tc>
        <w:tc>
          <w:tcPr>
            <w:tcW w:w="1134" w:type="dxa"/>
            <w:vAlign w:val="center"/>
            <w:hideMark/>
          </w:tcPr>
          <w:p w14:paraId="7C1C85E1"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1 035,0</w:t>
            </w:r>
          </w:p>
        </w:tc>
        <w:tc>
          <w:tcPr>
            <w:tcW w:w="1560" w:type="dxa"/>
            <w:vAlign w:val="center"/>
            <w:hideMark/>
          </w:tcPr>
          <w:p w14:paraId="6D48F887"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100,3</w:t>
            </w:r>
          </w:p>
        </w:tc>
        <w:tc>
          <w:tcPr>
            <w:tcW w:w="1134" w:type="dxa"/>
            <w:vAlign w:val="center"/>
            <w:hideMark/>
          </w:tcPr>
          <w:p w14:paraId="2373538C" w14:textId="77777777" w:rsidR="00A51B25" w:rsidRPr="00FD7B0B" w:rsidRDefault="00A51B25" w:rsidP="00A51B25">
            <w:pPr>
              <w:jc w:val="center"/>
              <w:rPr>
                <w:rFonts w:ascii="Times New Roman" w:hAnsi="Times New Roman"/>
                <w:sz w:val="22"/>
                <w:szCs w:val="22"/>
              </w:rPr>
            </w:pPr>
            <w:r w:rsidRPr="00FD7B0B">
              <w:rPr>
                <w:rFonts w:ascii="Times New Roman" w:hAnsi="Times New Roman"/>
                <w:sz w:val="22"/>
                <w:szCs w:val="22"/>
              </w:rPr>
              <w:t>116,6</w:t>
            </w:r>
          </w:p>
        </w:tc>
      </w:tr>
    </w:tbl>
    <w:p w14:paraId="1A6871FE" w14:textId="77777777" w:rsidR="00255076" w:rsidRPr="00FD7B0B" w:rsidRDefault="00255076" w:rsidP="00A51B25">
      <w:pPr>
        <w:spacing w:after="0" w:line="320" w:lineRule="atLeast"/>
        <w:ind w:firstLine="709"/>
        <w:jc w:val="both"/>
        <w:rPr>
          <w:rFonts w:ascii="Times New Roman" w:eastAsia="Times New Roman" w:hAnsi="Times New Roman"/>
          <w:sz w:val="28"/>
          <w:szCs w:val="28"/>
          <w:lang w:eastAsia="ru-RU"/>
        </w:rPr>
      </w:pPr>
    </w:p>
    <w:p w14:paraId="4C357799" w14:textId="77777777" w:rsidR="004D6B99" w:rsidRPr="00FD7B0B" w:rsidRDefault="004D6B99" w:rsidP="004D6B99">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Таким образом, анализ фактической потребности средств субсидии в 2024 году в отношении ООО «РВК-Архангельск» показал, что при практически неизменном объеме оказываемых услуг водоснабжения и водоотведения, рост </w:t>
      </w:r>
      <w:r w:rsidRPr="00FD7B0B">
        <w:rPr>
          <w:rFonts w:ascii="Times New Roman" w:eastAsia="Times New Roman" w:hAnsi="Times New Roman"/>
          <w:sz w:val="28"/>
          <w:szCs w:val="28"/>
          <w:lang w:eastAsia="ru-RU"/>
        </w:rPr>
        <w:lastRenderedPageBreak/>
        <w:t>межтарифной разницы послужил причиной роста суммы потребности в средствах субсидии на 16,6 %.</w:t>
      </w:r>
    </w:p>
    <w:p w14:paraId="2CDBBE89"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05294BD0" w14:textId="77777777" w:rsidR="00A51B25" w:rsidRPr="00FD7B0B" w:rsidRDefault="00A51B25" w:rsidP="00A51B25">
      <w:pPr>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достижения целевых показателей по итогам 2024 года.</w:t>
      </w:r>
    </w:p>
    <w:p w14:paraId="1C4E2D53"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рамках ГП №17 в целом на 2024 год (в ред. от 26.12.2024 № 1217-пп) утверждены 2 показателя, согласно паспорту РП «Чистая вода (Архангельская область)» (в ред. от 23.12.2024) утверждено 3 показателя, согласно паспорту КПМ (в ред. от 25.02.2025) – 9 показателей.</w:t>
      </w:r>
    </w:p>
    <w:p w14:paraId="7E2D9CEB" w14:textId="0455AC0C"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течение отчетного года ряд показателей РП и КПМ корректировались. Сведения об изменении показателей представлены в таблице</w:t>
      </w:r>
      <w:r w:rsidR="00255076" w:rsidRPr="00FD7B0B">
        <w:rPr>
          <w:rFonts w:ascii="Times New Roman" w:eastAsia="Times New Roman" w:hAnsi="Times New Roman"/>
          <w:sz w:val="28"/>
          <w:szCs w:val="28"/>
          <w:lang w:eastAsia="ru-RU"/>
        </w:rPr>
        <w:t xml:space="preserve"> </w:t>
      </w:r>
      <w:r w:rsidR="001B07CB" w:rsidRPr="00FD7B0B">
        <w:rPr>
          <w:rFonts w:ascii="Times New Roman" w:eastAsia="Times New Roman" w:hAnsi="Times New Roman"/>
          <w:sz w:val="28"/>
          <w:szCs w:val="28"/>
          <w:lang w:eastAsia="ru-RU"/>
        </w:rPr>
        <w:t>179</w:t>
      </w:r>
      <w:r w:rsidRPr="00FD7B0B">
        <w:rPr>
          <w:rFonts w:ascii="Times New Roman" w:eastAsia="Times New Roman" w:hAnsi="Times New Roman"/>
          <w:sz w:val="28"/>
          <w:szCs w:val="28"/>
          <w:lang w:eastAsia="ru-RU"/>
        </w:rPr>
        <w:t>.</w:t>
      </w:r>
    </w:p>
    <w:p w14:paraId="36E9E66C" w14:textId="77777777" w:rsidR="00A51B25" w:rsidRPr="00FD7B0B" w:rsidRDefault="00A51B25" w:rsidP="00A51B25">
      <w:pPr>
        <w:spacing w:after="0" w:line="240" w:lineRule="auto"/>
        <w:contextualSpacing/>
        <w:rPr>
          <w:rFonts w:ascii="Times New Roman" w:hAnsi="Times New Roman"/>
          <w:sz w:val="24"/>
          <w:szCs w:val="24"/>
        </w:rPr>
      </w:pPr>
    </w:p>
    <w:p w14:paraId="46398B3C"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179</w:t>
      </w:r>
      <w:r w:rsidRPr="00FD7B0B">
        <w:rPr>
          <w:rFonts w:ascii="Times New Roman" w:hAnsi="Times New Roman"/>
          <w:sz w:val="24"/>
          <w:szCs w:val="24"/>
        </w:rPr>
        <w:fldChar w:fldCharType="end"/>
      </w:r>
      <w:r w:rsidRPr="00FD7B0B">
        <w:rPr>
          <w:rFonts w:ascii="Times New Roman" w:hAnsi="Times New Roman"/>
          <w:sz w:val="24"/>
          <w:szCs w:val="24"/>
        </w:rPr>
        <w:t>. Сведения об изменении показателей по реализации мероприятий ГП № 17</w:t>
      </w:r>
    </w:p>
    <w:tbl>
      <w:tblPr>
        <w:tblStyle w:val="a7"/>
        <w:tblW w:w="9650"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5088"/>
        <w:gridCol w:w="992"/>
        <w:gridCol w:w="1160"/>
        <w:gridCol w:w="1276"/>
        <w:gridCol w:w="1134"/>
      </w:tblGrid>
      <w:tr w:rsidR="00FD7B0B" w:rsidRPr="00FD7B0B" w14:paraId="7C42A0B2" w14:textId="77777777" w:rsidTr="00255076">
        <w:trPr>
          <w:tblHeader/>
        </w:trPr>
        <w:tc>
          <w:tcPr>
            <w:tcW w:w="5088" w:type="dxa"/>
          </w:tcPr>
          <w:p w14:paraId="289F5A02"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Целевой показатель, единица измерения</w:t>
            </w:r>
          </w:p>
        </w:tc>
        <w:tc>
          <w:tcPr>
            <w:tcW w:w="992" w:type="dxa"/>
          </w:tcPr>
          <w:p w14:paraId="044CD712"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Ед. изм.</w:t>
            </w:r>
          </w:p>
        </w:tc>
        <w:tc>
          <w:tcPr>
            <w:tcW w:w="1160" w:type="dxa"/>
          </w:tcPr>
          <w:p w14:paraId="12E386F0"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Паспорт РП в ред. 16.02.2024</w:t>
            </w:r>
          </w:p>
        </w:tc>
        <w:tc>
          <w:tcPr>
            <w:tcW w:w="1276" w:type="dxa"/>
          </w:tcPr>
          <w:p w14:paraId="3DBC5DE9"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Паспорт РП в ред. 23.12.2024</w:t>
            </w:r>
          </w:p>
        </w:tc>
        <w:tc>
          <w:tcPr>
            <w:tcW w:w="1134" w:type="dxa"/>
          </w:tcPr>
          <w:p w14:paraId="7E6B7A60" w14:textId="77777777" w:rsidR="00A51B25" w:rsidRPr="00FD7B0B" w:rsidRDefault="00A51B25" w:rsidP="00A51B25">
            <w:pPr>
              <w:ind w:left="-108" w:right="-108"/>
              <w:contextualSpacing/>
              <w:jc w:val="center"/>
              <w:rPr>
                <w:rFonts w:ascii="Times New Roman" w:eastAsia="Times New Roman" w:hAnsi="Times New Roman"/>
              </w:rPr>
            </w:pPr>
            <w:r w:rsidRPr="00FD7B0B">
              <w:rPr>
                <w:rFonts w:ascii="Times New Roman" w:eastAsia="Times New Roman" w:hAnsi="Times New Roman"/>
              </w:rPr>
              <w:t>Изменение (+/-)</w:t>
            </w:r>
          </w:p>
        </w:tc>
      </w:tr>
      <w:tr w:rsidR="00FD7B0B" w:rsidRPr="00FD7B0B" w14:paraId="7902DB42" w14:textId="77777777" w:rsidTr="00255076">
        <w:tc>
          <w:tcPr>
            <w:tcW w:w="9650" w:type="dxa"/>
            <w:gridSpan w:val="5"/>
          </w:tcPr>
          <w:p w14:paraId="231BB531" w14:textId="77777777" w:rsidR="00A51B25" w:rsidRPr="00FD7B0B" w:rsidRDefault="00A51B25" w:rsidP="00A51B25">
            <w:pPr>
              <w:tabs>
                <w:tab w:val="left" w:pos="3720"/>
                <w:tab w:val="center" w:pos="4562"/>
              </w:tabs>
              <w:contextualSpacing/>
              <w:jc w:val="center"/>
              <w:rPr>
                <w:rFonts w:ascii="Times New Roman" w:eastAsia="Times New Roman" w:hAnsi="Times New Roman"/>
              </w:rPr>
            </w:pPr>
            <w:r w:rsidRPr="00FD7B0B">
              <w:rPr>
                <w:rFonts w:ascii="Times New Roman" w:eastAsia="Times New Roman" w:hAnsi="Times New Roman"/>
              </w:rPr>
              <w:t>Региональный проект «Чистая вода»</w:t>
            </w:r>
          </w:p>
        </w:tc>
      </w:tr>
      <w:tr w:rsidR="00FD7B0B" w:rsidRPr="00FD7B0B" w14:paraId="30B9C903" w14:textId="77777777" w:rsidTr="00255076">
        <w:tc>
          <w:tcPr>
            <w:tcW w:w="5088" w:type="dxa"/>
          </w:tcPr>
          <w:p w14:paraId="7DA27799" w14:textId="77777777" w:rsidR="00A51B25" w:rsidRPr="00FD7B0B" w:rsidRDefault="00A51B25" w:rsidP="00A51B25">
            <w:pPr>
              <w:autoSpaceDE w:val="0"/>
              <w:autoSpaceDN w:val="0"/>
              <w:adjustRightInd w:val="0"/>
              <w:rPr>
                <w:rFonts w:ascii="Times New Roman" w:eastAsia="Times New Roman" w:hAnsi="Times New Roman"/>
              </w:rPr>
            </w:pPr>
            <w:r w:rsidRPr="00FD7B0B">
              <w:rPr>
                <w:rFonts w:ascii="Times New Roman" w:eastAsia="Times New Roman" w:hAnsi="Times New Roman"/>
              </w:rPr>
              <w:t>Показатель «Доля населения Российской Федерации, обеспеченного качественной питьевой водой из систем централизованного водоснабжения»</w:t>
            </w:r>
          </w:p>
        </w:tc>
        <w:tc>
          <w:tcPr>
            <w:tcW w:w="992" w:type="dxa"/>
          </w:tcPr>
          <w:p w14:paraId="5CD315E7" w14:textId="77777777" w:rsidR="00A51B25" w:rsidRPr="00FD7B0B" w:rsidRDefault="00A51B25" w:rsidP="00A51B25">
            <w:pPr>
              <w:jc w:val="center"/>
            </w:pPr>
            <w:r w:rsidRPr="00FD7B0B">
              <w:rPr>
                <w:rFonts w:ascii="Times New Roman" w:eastAsia="Times New Roman" w:hAnsi="Times New Roman"/>
              </w:rPr>
              <w:t>процент</w:t>
            </w:r>
          </w:p>
        </w:tc>
        <w:tc>
          <w:tcPr>
            <w:tcW w:w="1160" w:type="dxa"/>
          </w:tcPr>
          <w:p w14:paraId="28FC195C"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73,1</w:t>
            </w:r>
          </w:p>
        </w:tc>
        <w:tc>
          <w:tcPr>
            <w:tcW w:w="1276" w:type="dxa"/>
          </w:tcPr>
          <w:p w14:paraId="6A659B1D"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68,9</w:t>
            </w:r>
          </w:p>
        </w:tc>
        <w:tc>
          <w:tcPr>
            <w:tcW w:w="1134" w:type="dxa"/>
          </w:tcPr>
          <w:p w14:paraId="56FC8652"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(-)4,2</w:t>
            </w:r>
          </w:p>
        </w:tc>
      </w:tr>
      <w:tr w:rsidR="00FD7B0B" w:rsidRPr="00FD7B0B" w14:paraId="529DFF34" w14:textId="77777777" w:rsidTr="00255076">
        <w:tc>
          <w:tcPr>
            <w:tcW w:w="5088" w:type="dxa"/>
          </w:tcPr>
          <w:p w14:paraId="62614E08" w14:textId="77777777" w:rsidR="00A51B25" w:rsidRPr="00FD7B0B" w:rsidRDefault="00A51B25" w:rsidP="00A51B25">
            <w:pPr>
              <w:autoSpaceDE w:val="0"/>
              <w:autoSpaceDN w:val="0"/>
              <w:adjustRightInd w:val="0"/>
              <w:rPr>
                <w:rFonts w:ascii="Times New Roman" w:eastAsia="Times New Roman" w:hAnsi="Times New Roman"/>
              </w:rPr>
            </w:pPr>
            <w:r w:rsidRPr="00FD7B0B">
              <w:rPr>
                <w:rFonts w:ascii="Times New Roman" w:eastAsia="Times New Roman" w:hAnsi="Times New Roman"/>
              </w:rPr>
              <w:t>Показатель «Доля городского населения Российской Федерации, обеспеченного качественной питьевой водой из систем централизованного водоснабжения»</w:t>
            </w:r>
          </w:p>
        </w:tc>
        <w:tc>
          <w:tcPr>
            <w:tcW w:w="992" w:type="dxa"/>
          </w:tcPr>
          <w:p w14:paraId="49FB6FDC" w14:textId="77777777" w:rsidR="00A51B25" w:rsidRPr="00FD7B0B" w:rsidRDefault="00A51B25" w:rsidP="00A51B25">
            <w:pPr>
              <w:jc w:val="center"/>
            </w:pPr>
            <w:r w:rsidRPr="00FD7B0B">
              <w:rPr>
                <w:rFonts w:ascii="Times New Roman" w:eastAsia="Times New Roman" w:hAnsi="Times New Roman"/>
              </w:rPr>
              <w:t>процент</w:t>
            </w:r>
          </w:p>
        </w:tc>
        <w:tc>
          <w:tcPr>
            <w:tcW w:w="1160" w:type="dxa"/>
          </w:tcPr>
          <w:p w14:paraId="4DFF146D"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85,2</w:t>
            </w:r>
          </w:p>
        </w:tc>
        <w:tc>
          <w:tcPr>
            <w:tcW w:w="1276" w:type="dxa"/>
          </w:tcPr>
          <w:p w14:paraId="4DBF7AB4"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83,1</w:t>
            </w:r>
          </w:p>
        </w:tc>
        <w:tc>
          <w:tcPr>
            <w:tcW w:w="1134" w:type="dxa"/>
          </w:tcPr>
          <w:p w14:paraId="45D334D1"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(-)2,1</w:t>
            </w:r>
          </w:p>
        </w:tc>
      </w:tr>
      <w:tr w:rsidR="00FD7B0B" w:rsidRPr="00FD7B0B" w14:paraId="4A0537ED" w14:textId="77777777" w:rsidTr="00255076">
        <w:tc>
          <w:tcPr>
            <w:tcW w:w="9650" w:type="dxa"/>
            <w:gridSpan w:val="5"/>
          </w:tcPr>
          <w:p w14:paraId="12546076"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Комплекс процессных мероприятий «Создание условий для обеспечения граждан в Архангельской области качественными услугами жилищно-коммунального хозяйства»</w:t>
            </w:r>
          </w:p>
        </w:tc>
      </w:tr>
      <w:tr w:rsidR="00FD7B0B" w:rsidRPr="00FD7B0B" w14:paraId="6FB1AD5E" w14:textId="77777777" w:rsidTr="00255076">
        <w:tc>
          <w:tcPr>
            <w:tcW w:w="5088" w:type="dxa"/>
          </w:tcPr>
          <w:p w14:paraId="453F6D9E"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Целевой показатель, единица измерения</w:t>
            </w:r>
          </w:p>
        </w:tc>
        <w:tc>
          <w:tcPr>
            <w:tcW w:w="992" w:type="dxa"/>
          </w:tcPr>
          <w:p w14:paraId="2D5D1D2B"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Ед. изм.</w:t>
            </w:r>
          </w:p>
        </w:tc>
        <w:tc>
          <w:tcPr>
            <w:tcW w:w="1160" w:type="dxa"/>
          </w:tcPr>
          <w:p w14:paraId="6834BB22"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Паспорт КМП от 29.03.2024</w:t>
            </w:r>
          </w:p>
        </w:tc>
        <w:tc>
          <w:tcPr>
            <w:tcW w:w="1276" w:type="dxa"/>
          </w:tcPr>
          <w:p w14:paraId="49FBF040"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Паспорт КМП от 17.12.2024</w:t>
            </w:r>
          </w:p>
        </w:tc>
        <w:tc>
          <w:tcPr>
            <w:tcW w:w="1134" w:type="dxa"/>
          </w:tcPr>
          <w:p w14:paraId="613CAC7A" w14:textId="77777777" w:rsidR="00A51B25" w:rsidRPr="00FD7B0B" w:rsidRDefault="00A51B25" w:rsidP="00A51B25">
            <w:pPr>
              <w:contextualSpacing/>
              <w:jc w:val="center"/>
              <w:rPr>
                <w:rFonts w:ascii="Times New Roman" w:eastAsia="Times New Roman" w:hAnsi="Times New Roman"/>
              </w:rPr>
            </w:pPr>
          </w:p>
        </w:tc>
      </w:tr>
      <w:tr w:rsidR="00FD7B0B" w:rsidRPr="00FD7B0B" w14:paraId="5C0F00F9" w14:textId="77777777" w:rsidTr="00255076">
        <w:tc>
          <w:tcPr>
            <w:tcW w:w="5088" w:type="dxa"/>
          </w:tcPr>
          <w:p w14:paraId="0E54E251" w14:textId="77777777" w:rsidR="00A51B25" w:rsidRPr="00FD7B0B" w:rsidRDefault="00A51B25" w:rsidP="00A51B25">
            <w:pPr>
              <w:autoSpaceDE w:val="0"/>
              <w:autoSpaceDN w:val="0"/>
              <w:adjustRightInd w:val="0"/>
              <w:rPr>
                <w:rFonts w:ascii="Times New Roman" w:eastAsia="Times New Roman" w:hAnsi="Times New Roman"/>
              </w:rPr>
            </w:pPr>
            <w:r w:rsidRPr="00FD7B0B">
              <w:rPr>
                <w:rFonts w:ascii="Times New Roman" w:hAnsi="Times New Roman"/>
              </w:rPr>
              <w:t>1.1. Доля государственных учреждений Архангельской области, в которых реализованы комплексные технические мероприятия по энергосбережению и повышению энергетической эффективности от общего числа государственных учреждений Архангельской области</w:t>
            </w:r>
          </w:p>
        </w:tc>
        <w:tc>
          <w:tcPr>
            <w:tcW w:w="992" w:type="dxa"/>
          </w:tcPr>
          <w:p w14:paraId="697AF7F1"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процент</w:t>
            </w:r>
          </w:p>
        </w:tc>
        <w:tc>
          <w:tcPr>
            <w:tcW w:w="1160" w:type="dxa"/>
          </w:tcPr>
          <w:p w14:paraId="2D86D36F"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38,4</w:t>
            </w:r>
          </w:p>
        </w:tc>
        <w:tc>
          <w:tcPr>
            <w:tcW w:w="1276" w:type="dxa"/>
          </w:tcPr>
          <w:p w14:paraId="286A1EF8"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31,1</w:t>
            </w:r>
          </w:p>
        </w:tc>
        <w:tc>
          <w:tcPr>
            <w:tcW w:w="1134" w:type="dxa"/>
          </w:tcPr>
          <w:p w14:paraId="0A32DB2D"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 7,3</w:t>
            </w:r>
          </w:p>
        </w:tc>
      </w:tr>
      <w:tr w:rsidR="00FD7B0B" w:rsidRPr="00FD7B0B" w14:paraId="61C0ED07" w14:textId="77777777" w:rsidTr="00255076">
        <w:tc>
          <w:tcPr>
            <w:tcW w:w="5088" w:type="dxa"/>
          </w:tcPr>
          <w:p w14:paraId="46A53011" w14:textId="77777777" w:rsidR="00A51B25" w:rsidRPr="00FD7B0B" w:rsidRDefault="00A51B25" w:rsidP="00A51B25">
            <w:pPr>
              <w:contextualSpacing/>
              <w:rPr>
                <w:rFonts w:ascii="Times New Roman" w:eastAsia="Times New Roman" w:hAnsi="Times New Roman"/>
              </w:rPr>
            </w:pPr>
            <w:r w:rsidRPr="00FD7B0B">
              <w:rPr>
                <w:rFonts w:ascii="Times New Roman" w:eastAsia="Times New Roman" w:hAnsi="Times New Roman"/>
              </w:rPr>
              <w:t>1.2. Доля муниципальных округов, городских округов, муниципальных районов Архангельской области, в которых реализованы комплексные технические мероприятия по энергосбережению и повышению энергетической эффективности, от общего числа муниципальных округов, городских округов, муниципальных районов Архангельской области</w:t>
            </w:r>
          </w:p>
        </w:tc>
        <w:tc>
          <w:tcPr>
            <w:tcW w:w="992" w:type="dxa"/>
          </w:tcPr>
          <w:p w14:paraId="4A31CD53" w14:textId="77777777" w:rsidR="00A51B25" w:rsidRPr="00FD7B0B" w:rsidRDefault="00A51B25" w:rsidP="00A51B25">
            <w:pPr>
              <w:jc w:val="center"/>
            </w:pPr>
            <w:r w:rsidRPr="00FD7B0B">
              <w:rPr>
                <w:rFonts w:ascii="Times New Roman" w:eastAsia="Times New Roman" w:hAnsi="Times New Roman"/>
              </w:rPr>
              <w:t>процент</w:t>
            </w:r>
          </w:p>
        </w:tc>
        <w:tc>
          <w:tcPr>
            <w:tcW w:w="1160" w:type="dxa"/>
          </w:tcPr>
          <w:p w14:paraId="739EB820"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72</w:t>
            </w:r>
          </w:p>
        </w:tc>
        <w:tc>
          <w:tcPr>
            <w:tcW w:w="1276" w:type="dxa"/>
          </w:tcPr>
          <w:p w14:paraId="2B0A8EB3"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44</w:t>
            </w:r>
          </w:p>
        </w:tc>
        <w:tc>
          <w:tcPr>
            <w:tcW w:w="1134" w:type="dxa"/>
          </w:tcPr>
          <w:p w14:paraId="4F11323B"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 28</w:t>
            </w:r>
          </w:p>
        </w:tc>
      </w:tr>
      <w:tr w:rsidR="00FD7B0B" w:rsidRPr="00FD7B0B" w14:paraId="0F6536B1" w14:textId="77777777" w:rsidTr="00255076">
        <w:tc>
          <w:tcPr>
            <w:tcW w:w="5088" w:type="dxa"/>
          </w:tcPr>
          <w:p w14:paraId="41521F74" w14:textId="77777777" w:rsidR="00A51B25" w:rsidRPr="00FD7B0B" w:rsidRDefault="00A51B25" w:rsidP="00A51B25">
            <w:pPr>
              <w:contextualSpacing/>
              <w:rPr>
                <w:rFonts w:ascii="Times New Roman" w:eastAsia="Times New Roman" w:hAnsi="Times New Roman"/>
              </w:rPr>
            </w:pPr>
            <w:r w:rsidRPr="00FD7B0B">
              <w:rPr>
                <w:rFonts w:ascii="Times New Roman" w:eastAsia="Times New Roman" w:hAnsi="Times New Roman"/>
              </w:rPr>
              <w:t>1.3. Доля построенных (реконструированных) сетей теплоснабжения в рамках реализации инвестиционных программ нарастающим итогом от общего количества сетей теплоснабжения, предусмотренных государственной программой</w:t>
            </w:r>
          </w:p>
        </w:tc>
        <w:tc>
          <w:tcPr>
            <w:tcW w:w="992" w:type="dxa"/>
          </w:tcPr>
          <w:p w14:paraId="068D6CED" w14:textId="77777777" w:rsidR="00A51B25" w:rsidRPr="00FD7B0B" w:rsidRDefault="00A51B25" w:rsidP="00A51B25">
            <w:pPr>
              <w:jc w:val="center"/>
            </w:pPr>
            <w:r w:rsidRPr="00FD7B0B">
              <w:rPr>
                <w:rFonts w:ascii="Times New Roman" w:eastAsia="Times New Roman" w:hAnsi="Times New Roman"/>
              </w:rPr>
              <w:t>процент</w:t>
            </w:r>
          </w:p>
        </w:tc>
        <w:tc>
          <w:tcPr>
            <w:tcW w:w="1160" w:type="dxa"/>
          </w:tcPr>
          <w:p w14:paraId="7A987405"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54,76</w:t>
            </w:r>
          </w:p>
        </w:tc>
        <w:tc>
          <w:tcPr>
            <w:tcW w:w="1276" w:type="dxa"/>
          </w:tcPr>
          <w:p w14:paraId="45A7DF4C"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65</w:t>
            </w:r>
          </w:p>
        </w:tc>
        <w:tc>
          <w:tcPr>
            <w:tcW w:w="1134" w:type="dxa"/>
          </w:tcPr>
          <w:p w14:paraId="542E4DA3"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10,24</w:t>
            </w:r>
          </w:p>
        </w:tc>
      </w:tr>
      <w:tr w:rsidR="00FD7B0B" w:rsidRPr="00FD7B0B" w14:paraId="46E5D64E" w14:textId="77777777" w:rsidTr="00255076">
        <w:tc>
          <w:tcPr>
            <w:tcW w:w="5088" w:type="dxa"/>
          </w:tcPr>
          <w:p w14:paraId="38EFDAED" w14:textId="77777777" w:rsidR="00A51B25" w:rsidRPr="00FD7B0B" w:rsidRDefault="00A51B25" w:rsidP="00A51B25">
            <w:pPr>
              <w:contextualSpacing/>
              <w:rPr>
                <w:rFonts w:ascii="Times New Roman" w:eastAsia="Times New Roman" w:hAnsi="Times New Roman"/>
              </w:rPr>
            </w:pPr>
            <w:r w:rsidRPr="00FD7B0B">
              <w:rPr>
                <w:rFonts w:ascii="Times New Roman" w:eastAsia="Times New Roman" w:hAnsi="Times New Roman"/>
              </w:rPr>
              <w:t>1.4.Доля построенных (реконструированных) сетей водоснабжения и водоотведения в рамках реализации инвестиционных программ нарастающим итогом от общего количества сетей водоснабжения и водоотведения, предусмотренных государственной программой</w:t>
            </w:r>
          </w:p>
        </w:tc>
        <w:tc>
          <w:tcPr>
            <w:tcW w:w="992" w:type="dxa"/>
          </w:tcPr>
          <w:p w14:paraId="64AE7988" w14:textId="77777777" w:rsidR="00A51B25" w:rsidRPr="00FD7B0B" w:rsidRDefault="00A51B25" w:rsidP="00A51B25">
            <w:pPr>
              <w:jc w:val="center"/>
            </w:pPr>
            <w:r w:rsidRPr="00FD7B0B">
              <w:rPr>
                <w:rFonts w:ascii="Times New Roman" w:eastAsia="Times New Roman" w:hAnsi="Times New Roman"/>
              </w:rPr>
              <w:t>процент</w:t>
            </w:r>
          </w:p>
        </w:tc>
        <w:tc>
          <w:tcPr>
            <w:tcW w:w="1160" w:type="dxa"/>
          </w:tcPr>
          <w:p w14:paraId="14794288"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35,29</w:t>
            </w:r>
          </w:p>
        </w:tc>
        <w:tc>
          <w:tcPr>
            <w:tcW w:w="1276" w:type="dxa"/>
          </w:tcPr>
          <w:p w14:paraId="0AFA1302"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30</w:t>
            </w:r>
          </w:p>
        </w:tc>
        <w:tc>
          <w:tcPr>
            <w:tcW w:w="1134" w:type="dxa"/>
          </w:tcPr>
          <w:p w14:paraId="36B7DEA9"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(-)5,29</w:t>
            </w:r>
          </w:p>
        </w:tc>
      </w:tr>
      <w:tr w:rsidR="00FD7B0B" w:rsidRPr="00FD7B0B" w14:paraId="1EFCCFD8" w14:textId="77777777" w:rsidTr="00255076">
        <w:tc>
          <w:tcPr>
            <w:tcW w:w="5088" w:type="dxa"/>
          </w:tcPr>
          <w:p w14:paraId="7A5B512A" w14:textId="77777777" w:rsidR="00A51B25" w:rsidRPr="00FD7B0B" w:rsidRDefault="00A51B25" w:rsidP="00A51B25">
            <w:pPr>
              <w:contextualSpacing/>
              <w:rPr>
                <w:rFonts w:ascii="Times New Roman" w:eastAsia="Times New Roman" w:hAnsi="Times New Roman"/>
              </w:rPr>
            </w:pPr>
            <w:r w:rsidRPr="00FD7B0B">
              <w:rPr>
                <w:rFonts w:ascii="Times New Roman" w:eastAsia="Times New Roman" w:hAnsi="Times New Roman"/>
              </w:rPr>
              <w:t>1.5. Доля разработанных проектов (проектной документации) на строительство и реконструкцию (модернизацию) объектов водоотведения от общего количества проектов, планируемых к разработке за период реализации государственной программы</w:t>
            </w:r>
          </w:p>
        </w:tc>
        <w:tc>
          <w:tcPr>
            <w:tcW w:w="992" w:type="dxa"/>
          </w:tcPr>
          <w:p w14:paraId="1C45A881" w14:textId="77777777" w:rsidR="00A51B25" w:rsidRPr="00FD7B0B" w:rsidRDefault="00A51B25" w:rsidP="00A51B25">
            <w:pPr>
              <w:jc w:val="center"/>
            </w:pPr>
            <w:r w:rsidRPr="00FD7B0B">
              <w:rPr>
                <w:rFonts w:ascii="Times New Roman" w:eastAsia="Times New Roman" w:hAnsi="Times New Roman"/>
              </w:rPr>
              <w:t>процент</w:t>
            </w:r>
          </w:p>
        </w:tc>
        <w:tc>
          <w:tcPr>
            <w:tcW w:w="1160" w:type="dxa"/>
          </w:tcPr>
          <w:p w14:paraId="375E143C"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71,4</w:t>
            </w:r>
          </w:p>
        </w:tc>
        <w:tc>
          <w:tcPr>
            <w:tcW w:w="1276" w:type="dxa"/>
          </w:tcPr>
          <w:p w14:paraId="2F3B248E"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100,0</w:t>
            </w:r>
          </w:p>
        </w:tc>
        <w:tc>
          <w:tcPr>
            <w:tcW w:w="1134" w:type="dxa"/>
          </w:tcPr>
          <w:p w14:paraId="0AF61E80"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28,6</w:t>
            </w:r>
          </w:p>
        </w:tc>
      </w:tr>
      <w:tr w:rsidR="00FD7B0B" w:rsidRPr="00FD7B0B" w14:paraId="2D627FE1" w14:textId="77777777" w:rsidTr="00255076">
        <w:tc>
          <w:tcPr>
            <w:tcW w:w="5088" w:type="dxa"/>
          </w:tcPr>
          <w:p w14:paraId="63BE65E9" w14:textId="77777777" w:rsidR="00A51B25" w:rsidRPr="00FD7B0B" w:rsidRDefault="00A51B25" w:rsidP="00A51B25">
            <w:pPr>
              <w:contextualSpacing/>
              <w:rPr>
                <w:rFonts w:ascii="Times New Roman" w:eastAsia="Times New Roman" w:hAnsi="Times New Roman"/>
              </w:rPr>
            </w:pPr>
            <w:r w:rsidRPr="00FD7B0B">
              <w:rPr>
                <w:rFonts w:ascii="Times New Roman" w:eastAsia="Times New Roman" w:hAnsi="Times New Roman"/>
              </w:rPr>
              <w:t xml:space="preserve">1.6. Доля разработанных проектов (проектной документации) за счет средств субсидии от общего </w:t>
            </w:r>
            <w:r w:rsidRPr="00FD7B0B">
              <w:rPr>
                <w:rFonts w:ascii="Times New Roman" w:eastAsia="Times New Roman" w:hAnsi="Times New Roman"/>
              </w:rPr>
              <w:lastRenderedPageBreak/>
              <w:t>количества объектов водоснабжения, планируемых к строительству и реконструкции в рамках региональной программы Архангельской области «Чистая вода (2019-2024 годы)»</w:t>
            </w:r>
          </w:p>
        </w:tc>
        <w:tc>
          <w:tcPr>
            <w:tcW w:w="992" w:type="dxa"/>
          </w:tcPr>
          <w:p w14:paraId="1A5890AF" w14:textId="77777777" w:rsidR="00A51B25" w:rsidRPr="00FD7B0B" w:rsidRDefault="00A51B25" w:rsidP="00A51B25">
            <w:pPr>
              <w:jc w:val="center"/>
            </w:pPr>
            <w:r w:rsidRPr="00FD7B0B">
              <w:rPr>
                <w:rFonts w:ascii="Times New Roman" w:eastAsia="Times New Roman" w:hAnsi="Times New Roman"/>
              </w:rPr>
              <w:lastRenderedPageBreak/>
              <w:t>процент</w:t>
            </w:r>
          </w:p>
        </w:tc>
        <w:tc>
          <w:tcPr>
            <w:tcW w:w="1160" w:type="dxa"/>
          </w:tcPr>
          <w:p w14:paraId="52B358C6"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46</w:t>
            </w:r>
          </w:p>
        </w:tc>
        <w:tc>
          <w:tcPr>
            <w:tcW w:w="1276" w:type="dxa"/>
          </w:tcPr>
          <w:p w14:paraId="45617D8B"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41</w:t>
            </w:r>
          </w:p>
        </w:tc>
        <w:tc>
          <w:tcPr>
            <w:tcW w:w="1134" w:type="dxa"/>
          </w:tcPr>
          <w:p w14:paraId="481A20A0"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(-)5</w:t>
            </w:r>
          </w:p>
        </w:tc>
      </w:tr>
      <w:tr w:rsidR="00FD7B0B" w:rsidRPr="00FD7B0B" w14:paraId="0C25CDD2" w14:textId="77777777" w:rsidTr="00255076">
        <w:tc>
          <w:tcPr>
            <w:tcW w:w="5088" w:type="dxa"/>
          </w:tcPr>
          <w:p w14:paraId="36D0A7D7" w14:textId="77777777" w:rsidR="00A51B25" w:rsidRPr="00FD7B0B" w:rsidRDefault="00A51B25" w:rsidP="00A51B25">
            <w:pPr>
              <w:ind w:left="19"/>
              <w:contextualSpacing/>
              <w:rPr>
                <w:rFonts w:ascii="Times New Roman" w:eastAsia="Times New Roman" w:hAnsi="Times New Roman"/>
              </w:rPr>
            </w:pPr>
            <w:r w:rsidRPr="00FD7B0B">
              <w:rPr>
                <w:rFonts w:ascii="Times New Roman" w:eastAsia="Times New Roman" w:hAnsi="Times New Roman"/>
              </w:rPr>
              <w:t>1.8 Доля построенных котельных от общего количества котельных, строительство которых предусмотрено за счет средств специального казначейского кредита</w:t>
            </w:r>
          </w:p>
        </w:tc>
        <w:tc>
          <w:tcPr>
            <w:tcW w:w="992" w:type="dxa"/>
          </w:tcPr>
          <w:p w14:paraId="7DC3B96B"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процент</w:t>
            </w:r>
          </w:p>
        </w:tc>
        <w:tc>
          <w:tcPr>
            <w:tcW w:w="1160" w:type="dxa"/>
          </w:tcPr>
          <w:p w14:paraId="58AD47AA"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100</w:t>
            </w:r>
          </w:p>
        </w:tc>
        <w:tc>
          <w:tcPr>
            <w:tcW w:w="1276" w:type="dxa"/>
          </w:tcPr>
          <w:p w14:paraId="0AA32019"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0</w:t>
            </w:r>
          </w:p>
        </w:tc>
        <w:tc>
          <w:tcPr>
            <w:tcW w:w="1134" w:type="dxa"/>
          </w:tcPr>
          <w:p w14:paraId="2F1322AB"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(-)100</w:t>
            </w:r>
          </w:p>
        </w:tc>
      </w:tr>
      <w:tr w:rsidR="00A51B25" w:rsidRPr="00FD7B0B" w14:paraId="2E71E263" w14:textId="77777777" w:rsidTr="00255076">
        <w:tc>
          <w:tcPr>
            <w:tcW w:w="5088" w:type="dxa"/>
          </w:tcPr>
          <w:p w14:paraId="2155A0A5" w14:textId="77777777" w:rsidR="00A51B25" w:rsidRPr="00FD7B0B" w:rsidRDefault="00A51B25" w:rsidP="00A51B25">
            <w:pPr>
              <w:ind w:left="19"/>
              <w:contextualSpacing/>
              <w:rPr>
                <w:rFonts w:ascii="Times New Roman" w:eastAsia="Times New Roman" w:hAnsi="Times New Roman"/>
              </w:rPr>
            </w:pPr>
            <w:r w:rsidRPr="00FD7B0B">
              <w:rPr>
                <w:rFonts w:ascii="Times New Roman" w:eastAsia="Times New Roman" w:hAnsi="Times New Roman"/>
              </w:rPr>
              <w:t>2.2. Доля в многоквартирных домах лифтов с истекшим назначенным сроком службы, замененных с привлечением средств областного бюджета, от общего количества лифтов с истекшим назначенным сроком службы в многоквартирных домах, включенных в региональную программу капитального ремонта общего имущества в многоквартирных домах, расположенных на территории Архангельской области</w:t>
            </w:r>
          </w:p>
        </w:tc>
        <w:tc>
          <w:tcPr>
            <w:tcW w:w="992" w:type="dxa"/>
          </w:tcPr>
          <w:p w14:paraId="6D00ABFC"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процент</w:t>
            </w:r>
          </w:p>
        </w:tc>
        <w:tc>
          <w:tcPr>
            <w:tcW w:w="1160" w:type="dxa"/>
          </w:tcPr>
          <w:p w14:paraId="4DD2DEC7"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12,6</w:t>
            </w:r>
          </w:p>
        </w:tc>
        <w:tc>
          <w:tcPr>
            <w:tcW w:w="1276" w:type="dxa"/>
          </w:tcPr>
          <w:p w14:paraId="2DB9586D"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4,2</w:t>
            </w:r>
          </w:p>
        </w:tc>
        <w:tc>
          <w:tcPr>
            <w:tcW w:w="1134" w:type="dxa"/>
          </w:tcPr>
          <w:p w14:paraId="3A822929" w14:textId="77777777" w:rsidR="00A51B25" w:rsidRPr="00FD7B0B" w:rsidRDefault="00A51B25" w:rsidP="00A51B25">
            <w:pPr>
              <w:jc w:val="center"/>
              <w:rPr>
                <w:rFonts w:ascii="Times New Roman" w:eastAsia="Times New Roman" w:hAnsi="Times New Roman"/>
              </w:rPr>
            </w:pPr>
            <w:r w:rsidRPr="00FD7B0B">
              <w:rPr>
                <w:rFonts w:ascii="Times New Roman" w:eastAsia="Times New Roman" w:hAnsi="Times New Roman"/>
              </w:rPr>
              <w:t>(-)8,4</w:t>
            </w:r>
          </w:p>
        </w:tc>
      </w:tr>
    </w:tbl>
    <w:p w14:paraId="6206B74B"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36B2B574" w14:textId="6A7EDAE3"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Плановые и фактические значения показателей ГП № 17 за 2022 – 2024 годы представлены в таблице </w:t>
      </w:r>
      <w:r w:rsidR="001B07CB" w:rsidRPr="00FD7B0B">
        <w:rPr>
          <w:rFonts w:ascii="Times New Roman" w:eastAsia="Times New Roman" w:hAnsi="Times New Roman"/>
          <w:sz w:val="28"/>
          <w:szCs w:val="28"/>
          <w:lang w:eastAsia="ru-RU"/>
        </w:rPr>
        <w:t>180</w:t>
      </w:r>
      <w:r w:rsidRPr="00FD7B0B">
        <w:rPr>
          <w:rFonts w:ascii="Times New Roman" w:eastAsia="Times New Roman" w:hAnsi="Times New Roman"/>
          <w:sz w:val="28"/>
          <w:szCs w:val="28"/>
          <w:lang w:eastAsia="ru-RU"/>
        </w:rPr>
        <w:t>.</w:t>
      </w:r>
    </w:p>
    <w:p w14:paraId="00E7EAA0" w14:textId="77777777" w:rsidR="00A51B25" w:rsidRPr="00FD7B0B" w:rsidRDefault="00A51B25" w:rsidP="00A51B25">
      <w:pPr>
        <w:spacing w:after="0" w:line="240" w:lineRule="auto"/>
        <w:contextualSpacing/>
        <w:rPr>
          <w:rFonts w:ascii="Times New Roman" w:hAnsi="Times New Roman"/>
          <w:sz w:val="24"/>
          <w:szCs w:val="24"/>
        </w:rPr>
      </w:pPr>
    </w:p>
    <w:p w14:paraId="5C20BA8A"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180</w:t>
      </w:r>
      <w:r w:rsidRPr="00FD7B0B">
        <w:rPr>
          <w:rFonts w:ascii="Times New Roman" w:hAnsi="Times New Roman"/>
          <w:sz w:val="24"/>
          <w:szCs w:val="24"/>
        </w:rPr>
        <w:fldChar w:fldCharType="end"/>
      </w:r>
      <w:r w:rsidRPr="00FD7B0B">
        <w:rPr>
          <w:rFonts w:ascii="Times New Roman" w:hAnsi="Times New Roman"/>
          <w:sz w:val="24"/>
          <w:szCs w:val="24"/>
        </w:rPr>
        <w:t>. Динамика значений показателей ГП № 17 за 2022 - 2024 годы</w:t>
      </w:r>
    </w:p>
    <w:tbl>
      <w:tblPr>
        <w:tblStyle w:val="a7"/>
        <w:tblW w:w="9624"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6506"/>
        <w:gridCol w:w="866"/>
        <w:gridCol w:w="856"/>
        <w:gridCol w:w="1396"/>
      </w:tblGrid>
      <w:tr w:rsidR="00FD7B0B" w:rsidRPr="00FD7B0B" w14:paraId="602DB5F0" w14:textId="77777777" w:rsidTr="001B07CB">
        <w:trPr>
          <w:trHeight w:val="284"/>
          <w:tblHeader/>
        </w:trPr>
        <w:tc>
          <w:tcPr>
            <w:tcW w:w="6506" w:type="dxa"/>
          </w:tcPr>
          <w:p w14:paraId="6EA125BC"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Наименование показателя, единица измерения</w:t>
            </w:r>
          </w:p>
        </w:tc>
        <w:tc>
          <w:tcPr>
            <w:tcW w:w="866" w:type="dxa"/>
          </w:tcPr>
          <w:p w14:paraId="37318E4A"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 xml:space="preserve">План </w:t>
            </w:r>
          </w:p>
        </w:tc>
        <w:tc>
          <w:tcPr>
            <w:tcW w:w="856" w:type="dxa"/>
          </w:tcPr>
          <w:p w14:paraId="032C836E"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 xml:space="preserve">Факт </w:t>
            </w:r>
          </w:p>
        </w:tc>
        <w:tc>
          <w:tcPr>
            <w:tcW w:w="1396" w:type="dxa"/>
          </w:tcPr>
          <w:p w14:paraId="5DBABE91"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Отклонение, +/-</w:t>
            </w:r>
          </w:p>
        </w:tc>
      </w:tr>
      <w:tr w:rsidR="00FD7B0B" w:rsidRPr="00FD7B0B" w14:paraId="63DADF3F" w14:textId="77777777" w:rsidTr="001B07CB">
        <w:trPr>
          <w:trHeight w:val="158"/>
        </w:trPr>
        <w:tc>
          <w:tcPr>
            <w:tcW w:w="6506" w:type="dxa"/>
          </w:tcPr>
          <w:p w14:paraId="54A9B34B"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А</w:t>
            </w:r>
          </w:p>
        </w:tc>
        <w:tc>
          <w:tcPr>
            <w:tcW w:w="866" w:type="dxa"/>
          </w:tcPr>
          <w:p w14:paraId="0D502ECC"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856" w:type="dxa"/>
          </w:tcPr>
          <w:p w14:paraId="582006D3"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w:t>
            </w:r>
          </w:p>
        </w:tc>
        <w:tc>
          <w:tcPr>
            <w:tcW w:w="1396" w:type="dxa"/>
          </w:tcPr>
          <w:p w14:paraId="5FB2A7C3" w14:textId="77777777" w:rsidR="00A51B25" w:rsidRPr="00FD7B0B" w:rsidRDefault="00A51B25" w:rsidP="00A51B25">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3=2-1</w:t>
            </w:r>
          </w:p>
        </w:tc>
      </w:tr>
      <w:tr w:rsidR="00FD7B0B" w:rsidRPr="00FD7B0B" w14:paraId="3F626D40" w14:textId="77777777" w:rsidTr="001B07CB">
        <w:trPr>
          <w:trHeight w:val="245"/>
        </w:trPr>
        <w:tc>
          <w:tcPr>
            <w:tcW w:w="6506" w:type="dxa"/>
            <w:vAlign w:val="center"/>
          </w:tcPr>
          <w:p w14:paraId="5EB353F1" w14:textId="77777777" w:rsidR="00A51B25" w:rsidRPr="00FD7B0B" w:rsidRDefault="00A51B25" w:rsidP="00A51B25">
            <w:pPr>
              <w:contextualSpacing/>
              <w:rPr>
                <w:rFonts w:ascii="Times New Roman" w:hAnsi="Times New Roman"/>
              </w:rPr>
            </w:pPr>
            <w:r w:rsidRPr="00FD7B0B">
              <w:rPr>
                <w:rFonts w:ascii="Times New Roman" w:hAnsi="Times New Roman"/>
              </w:rPr>
              <w:t>1. Уровень удовлетворенности населения Архангельской области качеством предоставляемых коммунальных услуг, процентов</w:t>
            </w:r>
          </w:p>
        </w:tc>
        <w:tc>
          <w:tcPr>
            <w:tcW w:w="866" w:type="dxa"/>
            <w:vAlign w:val="center"/>
          </w:tcPr>
          <w:p w14:paraId="20A83F83" w14:textId="77777777" w:rsidR="00A51B25" w:rsidRPr="00FD7B0B" w:rsidRDefault="00A51B25" w:rsidP="00A51B25">
            <w:pPr>
              <w:contextualSpacing/>
              <w:rPr>
                <w:rFonts w:ascii="Times New Roman" w:hAnsi="Times New Roman"/>
              </w:rPr>
            </w:pPr>
          </w:p>
        </w:tc>
        <w:tc>
          <w:tcPr>
            <w:tcW w:w="856" w:type="dxa"/>
            <w:vAlign w:val="center"/>
          </w:tcPr>
          <w:p w14:paraId="71993AD6" w14:textId="77777777" w:rsidR="00A51B25" w:rsidRPr="00FD7B0B" w:rsidRDefault="00A51B25" w:rsidP="00A51B25">
            <w:pPr>
              <w:contextualSpacing/>
              <w:rPr>
                <w:rFonts w:ascii="Times New Roman" w:hAnsi="Times New Roman"/>
              </w:rPr>
            </w:pPr>
          </w:p>
        </w:tc>
        <w:tc>
          <w:tcPr>
            <w:tcW w:w="1396" w:type="dxa"/>
            <w:vAlign w:val="center"/>
          </w:tcPr>
          <w:p w14:paraId="1E731111" w14:textId="77777777" w:rsidR="00A51B25" w:rsidRPr="00FD7B0B" w:rsidRDefault="00A51B25" w:rsidP="00A51B25">
            <w:pPr>
              <w:contextualSpacing/>
              <w:rPr>
                <w:rFonts w:ascii="Times New Roman" w:hAnsi="Times New Roman"/>
              </w:rPr>
            </w:pPr>
          </w:p>
        </w:tc>
      </w:tr>
      <w:tr w:rsidR="00FD7B0B" w:rsidRPr="00FD7B0B" w14:paraId="56F946EF" w14:textId="77777777" w:rsidTr="001B07CB">
        <w:trPr>
          <w:trHeight w:hRule="exact" w:val="255"/>
        </w:trPr>
        <w:tc>
          <w:tcPr>
            <w:tcW w:w="6506" w:type="dxa"/>
            <w:vAlign w:val="center"/>
          </w:tcPr>
          <w:p w14:paraId="3E06134E" w14:textId="77777777" w:rsidR="00A51B25" w:rsidRPr="00FD7B0B" w:rsidRDefault="00A51B25" w:rsidP="00A51B25">
            <w:pPr>
              <w:contextualSpacing/>
              <w:rPr>
                <w:rFonts w:ascii="Times New Roman" w:hAnsi="Times New Roman"/>
              </w:rPr>
            </w:pPr>
            <w:r w:rsidRPr="00FD7B0B">
              <w:rPr>
                <w:rFonts w:ascii="Times New Roman" w:hAnsi="Times New Roman"/>
              </w:rPr>
              <w:t>2022 год</w:t>
            </w:r>
          </w:p>
        </w:tc>
        <w:tc>
          <w:tcPr>
            <w:tcW w:w="866" w:type="dxa"/>
            <w:shd w:val="clear" w:color="auto" w:fill="auto"/>
            <w:vAlign w:val="center"/>
          </w:tcPr>
          <w:p w14:paraId="0A1F7620" w14:textId="77777777" w:rsidR="00A51B25" w:rsidRPr="00FD7B0B" w:rsidRDefault="00A51B25" w:rsidP="00A51B25">
            <w:pPr>
              <w:contextualSpacing/>
              <w:jc w:val="center"/>
              <w:rPr>
                <w:rFonts w:ascii="Times New Roman" w:hAnsi="Times New Roman"/>
              </w:rPr>
            </w:pPr>
            <w:r w:rsidRPr="00FD7B0B">
              <w:rPr>
                <w:rFonts w:ascii="Times New Roman" w:eastAsia="Times New Roman" w:hAnsi="Times New Roman"/>
              </w:rPr>
              <w:t>85,3</w:t>
            </w:r>
          </w:p>
        </w:tc>
        <w:tc>
          <w:tcPr>
            <w:tcW w:w="856" w:type="dxa"/>
            <w:shd w:val="clear" w:color="auto" w:fill="auto"/>
            <w:vAlign w:val="center"/>
          </w:tcPr>
          <w:p w14:paraId="7403547B" w14:textId="77777777" w:rsidR="00A51B25" w:rsidRPr="00FD7B0B" w:rsidRDefault="00A51B25" w:rsidP="00A51B25">
            <w:pPr>
              <w:contextualSpacing/>
              <w:jc w:val="center"/>
              <w:rPr>
                <w:rFonts w:ascii="Times New Roman" w:hAnsi="Times New Roman"/>
              </w:rPr>
            </w:pPr>
            <w:r w:rsidRPr="00FD7B0B">
              <w:rPr>
                <w:rFonts w:ascii="Times New Roman" w:eastAsia="Times New Roman" w:hAnsi="Times New Roman"/>
              </w:rPr>
              <w:t>83,8</w:t>
            </w:r>
          </w:p>
        </w:tc>
        <w:tc>
          <w:tcPr>
            <w:tcW w:w="1396" w:type="dxa"/>
            <w:vAlign w:val="center"/>
          </w:tcPr>
          <w:p w14:paraId="3ECCEEFD" w14:textId="77777777" w:rsidR="00A51B25" w:rsidRPr="00FD7B0B" w:rsidRDefault="00A51B25" w:rsidP="00A51B25">
            <w:pPr>
              <w:contextualSpacing/>
              <w:jc w:val="center"/>
              <w:rPr>
                <w:rFonts w:ascii="Times New Roman" w:hAnsi="Times New Roman"/>
              </w:rPr>
            </w:pPr>
            <w:r w:rsidRPr="00FD7B0B">
              <w:rPr>
                <w:rFonts w:ascii="Times New Roman" w:eastAsia="Times New Roman" w:hAnsi="Times New Roman"/>
              </w:rPr>
              <w:t>-1,5</w:t>
            </w:r>
          </w:p>
        </w:tc>
      </w:tr>
      <w:tr w:rsidR="00FD7B0B" w:rsidRPr="00FD7B0B" w14:paraId="2F4D6B4A" w14:textId="77777777" w:rsidTr="001B07CB">
        <w:trPr>
          <w:trHeight w:hRule="exact" w:val="255"/>
        </w:trPr>
        <w:tc>
          <w:tcPr>
            <w:tcW w:w="6506" w:type="dxa"/>
            <w:vAlign w:val="center"/>
          </w:tcPr>
          <w:p w14:paraId="342335A9" w14:textId="77777777" w:rsidR="00A51B25" w:rsidRPr="00FD7B0B" w:rsidRDefault="00A51B25" w:rsidP="00A51B25">
            <w:pPr>
              <w:contextualSpacing/>
              <w:rPr>
                <w:rFonts w:ascii="Times New Roman" w:eastAsia="Times New Roman" w:hAnsi="Times New Roman"/>
              </w:rPr>
            </w:pPr>
            <w:r w:rsidRPr="00FD7B0B">
              <w:rPr>
                <w:rFonts w:ascii="Times New Roman" w:hAnsi="Times New Roman"/>
              </w:rPr>
              <w:t>2023 год</w:t>
            </w:r>
          </w:p>
        </w:tc>
        <w:tc>
          <w:tcPr>
            <w:tcW w:w="866" w:type="dxa"/>
            <w:shd w:val="clear" w:color="auto" w:fill="auto"/>
            <w:vAlign w:val="center"/>
          </w:tcPr>
          <w:p w14:paraId="45CE7161"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85,3</w:t>
            </w:r>
          </w:p>
        </w:tc>
        <w:tc>
          <w:tcPr>
            <w:tcW w:w="856" w:type="dxa"/>
            <w:shd w:val="clear" w:color="auto" w:fill="auto"/>
            <w:vAlign w:val="center"/>
          </w:tcPr>
          <w:p w14:paraId="1BE0800A"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87,7</w:t>
            </w:r>
          </w:p>
        </w:tc>
        <w:tc>
          <w:tcPr>
            <w:tcW w:w="1396" w:type="dxa"/>
            <w:vAlign w:val="center"/>
          </w:tcPr>
          <w:p w14:paraId="0E9CC565"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+2,4</w:t>
            </w:r>
          </w:p>
        </w:tc>
      </w:tr>
      <w:tr w:rsidR="00FD7B0B" w:rsidRPr="00FD7B0B" w14:paraId="17FA6BD2" w14:textId="77777777" w:rsidTr="001B07CB">
        <w:trPr>
          <w:trHeight w:hRule="exact" w:val="255"/>
        </w:trPr>
        <w:tc>
          <w:tcPr>
            <w:tcW w:w="6506" w:type="dxa"/>
            <w:vAlign w:val="center"/>
          </w:tcPr>
          <w:p w14:paraId="4819C72E" w14:textId="77777777" w:rsidR="00A51B25" w:rsidRPr="00FD7B0B" w:rsidRDefault="00A51B25" w:rsidP="00A51B25">
            <w:pPr>
              <w:contextualSpacing/>
              <w:rPr>
                <w:rFonts w:ascii="Times New Roman" w:eastAsia="Times New Roman" w:hAnsi="Times New Roman"/>
              </w:rPr>
            </w:pPr>
            <w:r w:rsidRPr="00FD7B0B">
              <w:rPr>
                <w:rFonts w:ascii="Times New Roman" w:hAnsi="Times New Roman"/>
              </w:rPr>
              <w:t>2024 год</w:t>
            </w:r>
          </w:p>
        </w:tc>
        <w:tc>
          <w:tcPr>
            <w:tcW w:w="866" w:type="dxa"/>
            <w:vAlign w:val="center"/>
          </w:tcPr>
          <w:p w14:paraId="1FFB0CA0"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85,3</w:t>
            </w:r>
          </w:p>
        </w:tc>
        <w:tc>
          <w:tcPr>
            <w:tcW w:w="856" w:type="dxa"/>
            <w:vAlign w:val="center"/>
          </w:tcPr>
          <w:p w14:paraId="7D201297"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82,4</w:t>
            </w:r>
          </w:p>
        </w:tc>
        <w:tc>
          <w:tcPr>
            <w:tcW w:w="1396" w:type="dxa"/>
            <w:vAlign w:val="center"/>
          </w:tcPr>
          <w:p w14:paraId="52761B19"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-2,9</w:t>
            </w:r>
          </w:p>
        </w:tc>
      </w:tr>
      <w:tr w:rsidR="00FD7B0B" w:rsidRPr="00FD7B0B" w14:paraId="25F37B84" w14:textId="77777777" w:rsidTr="001B07CB">
        <w:trPr>
          <w:trHeight w:val="284"/>
        </w:trPr>
        <w:tc>
          <w:tcPr>
            <w:tcW w:w="6506" w:type="dxa"/>
            <w:vAlign w:val="center"/>
          </w:tcPr>
          <w:p w14:paraId="7D0713AE" w14:textId="77777777" w:rsidR="00A51B25" w:rsidRPr="00FD7B0B" w:rsidRDefault="00A51B25" w:rsidP="00A51B25">
            <w:pPr>
              <w:contextualSpacing/>
              <w:rPr>
                <w:rFonts w:ascii="Times New Roman" w:eastAsia="Times New Roman" w:hAnsi="Times New Roman"/>
              </w:rPr>
            </w:pPr>
            <w:r w:rsidRPr="00FD7B0B">
              <w:rPr>
                <w:rFonts w:ascii="Times New Roman" w:eastAsia="Times New Roman" w:hAnsi="Times New Roman"/>
              </w:rPr>
              <w:t>2. Полнота исполнения расходных обязательств Архангельской области, вытекающих из государственного регулирования цен (тарифов) (отношение фактически перечисленных средств субсидий и грантов в форме субсидий к установленным областным бюджетом бюджетным ассигнованиям), процентов</w:t>
            </w:r>
          </w:p>
        </w:tc>
        <w:tc>
          <w:tcPr>
            <w:tcW w:w="866" w:type="dxa"/>
            <w:vAlign w:val="center"/>
          </w:tcPr>
          <w:p w14:paraId="138AE37D" w14:textId="77777777" w:rsidR="00A51B25" w:rsidRPr="00FD7B0B" w:rsidRDefault="00A51B25" w:rsidP="00A51B25">
            <w:pPr>
              <w:contextualSpacing/>
              <w:jc w:val="center"/>
              <w:rPr>
                <w:rFonts w:ascii="Times New Roman" w:eastAsia="Times New Roman" w:hAnsi="Times New Roman"/>
              </w:rPr>
            </w:pPr>
          </w:p>
        </w:tc>
        <w:tc>
          <w:tcPr>
            <w:tcW w:w="856" w:type="dxa"/>
            <w:vAlign w:val="center"/>
          </w:tcPr>
          <w:p w14:paraId="5245EDD4" w14:textId="77777777" w:rsidR="00A51B25" w:rsidRPr="00FD7B0B" w:rsidRDefault="00A51B25" w:rsidP="00A51B25">
            <w:pPr>
              <w:contextualSpacing/>
              <w:jc w:val="center"/>
              <w:rPr>
                <w:rFonts w:ascii="Times New Roman" w:eastAsia="Times New Roman" w:hAnsi="Times New Roman"/>
              </w:rPr>
            </w:pPr>
          </w:p>
        </w:tc>
        <w:tc>
          <w:tcPr>
            <w:tcW w:w="1396" w:type="dxa"/>
            <w:vAlign w:val="center"/>
          </w:tcPr>
          <w:p w14:paraId="5FC1B96D" w14:textId="77777777" w:rsidR="00A51B25" w:rsidRPr="00FD7B0B" w:rsidRDefault="00A51B25" w:rsidP="00A51B25">
            <w:pPr>
              <w:contextualSpacing/>
              <w:jc w:val="center"/>
              <w:rPr>
                <w:rFonts w:ascii="Times New Roman" w:eastAsia="Times New Roman" w:hAnsi="Times New Roman"/>
              </w:rPr>
            </w:pPr>
          </w:p>
        </w:tc>
      </w:tr>
      <w:tr w:rsidR="00FD7B0B" w:rsidRPr="00FD7B0B" w14:paraId="0C9AAFE1" w14:textId="77777777" w:rsidTr="001B07CB">
        <w:trPr>
          <w:trHeight w:hRule="exact" w:val="255"/>
        </w:trPr>
        <w:tc>
          <w:tcPr>
            <w:tcW w:w="6506" w:type="dxa"/>
            <w:vAlign w:val="center"/>
          </w:tcPr>
          <w:p w14:paraId="08D64688" w14:textId="77777777" w:rsidR="00A51B25" w:rsidRPr="00FD7B0B" w:rsidRDefault="00A51B25" w:rsidP="00A51B25">
            <w:pPr>
              <w:contextualSpacing/>
              <w:rPr>
                <w:rFonts w:ascii="Times New Roman" w:hAnsi="Times New Roman"/>
              </w:rPr>
            </w:pPr>
            <w:r w:rsidRPr="00FD7B0B">
              <w:rPr>
                <w:rFonts w:ascii="Times New Roman" w:hAnsi="Times New Roman"/>
              </w:rPr>
              <w:t>2022 год</w:t>
            </w:r>
          </w:p>
        </w:tc>
        <w:tc>
          <w:tcPr>
            <w:tcW w:w="866" w:type="dxa"/>
            <w:vAlign w:val="center"/>
          </w:tcPr>
          <w:p w14:paraId="1F5C7F23" w14:textId="77777777" w:rsidR="00A51B25" w:rsidRPr="00FD7B0B" w:rsidRDefault="00A51B25" w:rsidP="00A51B25">
            <w:pPr>
              <w:contextualSpacing/>
              <w:jc w:val="center"/>
              <w:rPr>
                <w:rFonts w:ascii="Times New Roman" w:hAnsi="Times New Roman"/>
              </w:rPr>
            </w:pPr>
            <w:r w:rsidRPr="00FD7B0B">
              <w:rPr>
                <w:rFonts w:ascii="Times New Roman" w:hAnsi="Times New Roman"/>
              </w:rPr>
              <w:t>100,0</w:t>
            </w:r>
          </w:p>
        </w:tc>
        <w:tc>
          <w:tcPr>
            <w:tcW w:w="856" w:type="dxa"/>
            <w:shd w:val="clear" w:color="auto" w:fill="auto"/>
            <w:vAlign w:val="center"/>
          </w:tcPr>
          <w:p w14:paraId="3A86303E" w14:textId="77777777" w:rsidR="00A51B25" w:rsidRPr="00FD7B0B" w:rsidRDefault="00A51B25" w:rsidP="00A51B25">
            <w:pPr>
              <w:contextualSpacing/>
              <w:jc w:val="center"/>
              <w:rPr>
                <w:rFonts w:ascii="Times New Roman" w:hAnsi="Times New Roman"/>
              </w:rPr>
            </w:pPr>
            <w:r w:rsidRPr="00FD7B0B">
              <w:rPr>
                <w:rFonts w:ascii="Times New Roman" w:hAnsi="Times New Roman"/>
              </w:rPr>
              <w:t>100,0</w:t>
            </w:r>
          </w:p>
        </w:tc>
        <w:tc>
          <w:tcPr>
            <w:tcW w:w="1396" w:type="dxa"/>
            <w:vAlign w:val="center"/>
          </w:tcPr>
          <w:p w14:paraId="48F57BC9" w14:textId="77777777" w:rsidR="00A51B25" w:rsidRPr="00FD7B0B" w:rsidRDefault="00A51B25" w:rsidP="00A51B25">
            <w:pPr>
              <w:contextualSpacing/>
              <w:jc w:val="center"/>
              <w:rPr>
                <w:rFonts w:ascii="Times New Roman" w:hAnsi="Times New Roman"/>
              </w:rPr>
            </w:pPr>
            <w:r w:rsidRPr="00FD7B0B">
              <w:rPr>
                <w:rFonts w:ascii="Times New Roman" w:hAnsi="Times New Roman"/>
              </w:rPr>
              <w:t>0,0</w:t>
            </w:r>
          </w:p>
        </w:tc>
      </w:tr>
      <w:tr w:rsidR="00FD7B0B" w:rsidRPr="00FD7B0B" w14:paraId="5214E2D1" w14:textId="77777777" w:rsidTr="001B07CB">
        <w:trPr>
          <w:trHeight w:hRule="exact" w:val="255"/>
        </w:trPr>
        <w:tc>
          <w:tcPr>
            <w:tcW w:w="6506" w:type="dxa"/>
            <w:vAlign w:val="center"/>
          </w:tcPr>
          <w:p w14:paraId="255A06C2" w14:textId="77777777" w:rsidR="00A51B25" w:rsidRPr="00FD7B0B" w:rsidRDefault="00A51B25" w:rsidP="00A51B25">
            <w:pPr>
              <w:contextualSpacing/>
              <w:rPr>
                <w:rFonts w:ascii="Times New Roman" w:hAnsi="Times New Roman"/>
              </w:rPr>
            </w:pPr>
            <w:r w:rsidRPr="00FD7B0B">
              <w:rPr>
                <w:rFonts w:ascii="Times New Roman" w:hAnsi="Times New Roman"/>
              </w:rPr>
              <w:t>2023 год</w:t>
            </w:r>
          </w:p>
        </w:tc>
        <w:tc>
          <w:tcPr>
            <w:tcW w:w="866" w:type="dxa"/>
            <w:vAlign w:val="center"/>
          </w:tcPr>
          <w:p w14:paraId="09C206EA" w14:textId="77777777" w:rsidR="00A51B25" w:rsidRPr="00FD7B0B" w:rsidRDefault="00A51B25" w:rsidP="00A51B25">
            <w:pPr>
              <w:contextualSpacing/>
              <w:jc w:val="center"/>
              <w:rPr>
                <w:rFonts w:ascii="Times New Roman" w:hAnsi="Times New Roman"/>
              </w:rPr>
            </w:pPr>
            <w:r w:rsidRPr="00FD7B0B">
              <w:rPr>
                <w:rFonts w:ascii="Times New Roman" w:hAnsi="Times New Roman"/>
              </w:rPr>
              <w:t>100,0</w:t>
            </w:r>
          </w:p>
        </w:tc>
        <w:tc>
          <w:tcPr>
            <w:tcW w:w="856" w:type="dxa"/>
            <w:shd w:val="clear" w:color="auto" w:fill="auto"/>
            <w:vAlign w:val="center"/>
          </w:tcPr>
          <w:p w14:paraId="738FE897" w14:textId="77777777" w:rsidR="00A51B25" w:rsidRPr="00FD7B0B" w:rsidRDefault="00A51B25" w:rsidP="00A51B25">
            <w:pPr>
              <w:contextualSpacing/>
              <w:jc w:val="center"/>
              <w:rPr>
                <w:rFonts w:ascii="Times New Roman" w:hAnsi="Times New Roman"/>
              </w:rPr>
            </w:pPr>
            <w:r w:rsidRPr="00FD7B0B">
              <w:rPr>
                <w:rFonts w:ascii="Times New Roman" w:hAnsi="Times New Roman"/>
              </w:rPr>
              <w:t>82,1</w:t>
            </w:r>
          </w:p>
        </w:tc>
        <w:tc>
          <w:tcPr>
            <w:tcW w:w="1396" w:type="dxa"/>
            <w:vAlign w:val="center"/>
          </w:tcPr>
          <w:p w14:paraId="72DAE1C9" w14:textId="77777777" w:rsidR="00A51B25" w:rsidRPr="00FD7B0B" w:rsidRDefault="00A51B25" w:rsidP="00A51B25">
            <w:pPr>
              <w:contextualSpacing/>
              <w:jc w:val="center"/>
              <w:rPr>
                <w:rFonts w:ascii="Times New Roman" w:hAnsi="Times New Roman"/>
              </w:rPr>
            </w:pPr>
            <w:r w:rsidRPr="00FD7B0B">
              <w:rPr>
                <w:rFonts w:ascii="Times New Roman" w:hAnsi="Times New Roman"/>
              </w:rPr>
              <w:t>-17,9</w:t>
            </w:r>
          </w:p>
        </w:tc>
      </w:tr>
      <w:tr w:rsidR="00A51B25" w:rsidRPr="00FD7B0B" w14:paraId="3DEB9FFD" w14:textId="77777777" w:rsidTr="001B07CB">
        <w:trPr>
          <w:trHeight w:hRule="exact" w:val="266"/>
        </w:trPr>
        <w:tc>
          <w:tcPr>
            <w:tcW w:w="6506" w:type="dxa"/>
            <w:vAlign w:val="center"/>
          </w:tcPr>
          <w:p w14:paraId="064E3D14" w14:textId="77777777" w:rsidR="00A51B25" w:rsidRPr="00FD7B0B" w:rsidRDefault="00A51B25" w:rsidP="00A51B25">
            <w:pPr>
              <w:contextualSpacing/>
              <w:rPr>
                <w:rFonts w:ascii="Times New Roman" w:hAnsi="Times New Roman"/>
              </w:rPr>
            </w:pPr>
            <w:r w:rsidRPr="00FD7B0B">
              <w:rPr>
                <w:rFonts w:ascii="Times New Roman" w:hAnsi="Times New Roman"/>
              </w:rPr>
              <w:t>2024 год</w:t>
            </w:r>
          </w:p>
        </w:tc>
        <w:tc>
          <w:tcPr>
            <w:tcW w:w="866" w:type="dxa"/>
            <w:vAlign w:val="center"/>
          </w:tcPr>
          <w:p w14:paraId="0289D0E1" w14:textId="77777777" w:rsidR="00A51B25" w:rsidRPr="00FD7B0B" w:rsidRDefault="00A51B25" w:rsidP="00A51B25">
            <w:pPr>
              <w:contextualSpacing/>
              <w:jc w:val="center"/>
              <w:rPr>
                <w:rFonts w:ascii="Times New Roman" w:hAnsi="Times New Roman"/>
              </w:rPr>
            </w:pPr>
            <w:r w:rsidRPr="00FD7B0B">
              <w:rPr>
                <w:rFonts w:ascii="Times New Roman" w:hAnsi="Times New Roman"/>
              </w:rPr>
              <w:t>100,0</w:t>
            </w:r>
          </w:p>
        </w:tc>
        <w:tc>
          <w:tcPr>
            <w:tcW w:w="856" w:type="dxa"/>
            <w:vAlign w:val="center"/>
          </w:tcPr>
          <w:p w14:paraId="7C1F0C72" w14:textId="77777777" w:rsidR="00A51B25" w:rsidRPr="00FD7B0B" w:rsidRDefault="00A51B25" w:rsidP="00A51B25">
            <w:pPr>
              <w:contextualSpacing/>
              <w:jc w:val="center"/>
              <w:rPr>
                <w:rFonts w:ascii="Times New Roman" w:hAnsi="Times New Roman"/>
              </w:rPr>
            </w:pPr>
            <w:r w:rsidRPr="00FD7B0B">
              <w:rPr>
                <w:rFonts w:ascii="Times New Roman" w:hAnsi="Times New Roman"/>
              </w:rPr>
              <w:t>100,0</w:t>
            </w:r>
          </w:p>
        </w:tc>
        <w:tc>
          <w:tcPr>
            <w:tcW w:w="1396" w:type="dxa"/>
            <w:vAlign w:val="center"/>
          </w:tcPr>
          <w:p w14:paraId="4E2D60E9" w14:textId="77777777" w:rsidR="00A51B25" w:rsidRPr="00FD7B0B" w:rsidRDefault="00A51B25" w:rsidP="00A51B25">
            <w:pPr>
              <w:contextualSpacing/>
              <w:jc w:val="center"/>
              <w:rPr>
                <w:rFonts w:ascii="Times New Roman" w:hAnsi="Times New Roman"/>
              </w:rPr>
            </w:pPr>
            <w:r w:rsidRPr="00FD7B0B">
              <w:rPr>
                <w:rFonts w:ascii="Times New Roman" w:hAnsi="Times New Roman"/>
              </w:rPr>
              <w:t>0,0</w:t>
            </w:r>
          </w:p>
        </w:tc>
      </w:tr>
    </w:tbl>
    <w:p w14:paraId="1365827B" w14:textId="77777777" w:rsidR="00A51B25" w:rsidRPr="00FD7B0B" w:rsidRDefault="00A51B25" w:rsidP="00A51B25">
      <w:pPr>
        <w:spacing w:after="0" w:line="240" w:lineRule="auto"/>
        <w:contextualSpacing/>
        <w:rPr>
          <w:rFonts w:ascii="Times New Roman" w:hAnsi="Times New Roman"/>
          <w:sz w:val="24"/>
          <w:szCs w:val="24"/>
          <w:highlight w:val="cyan"/>
        </w:rPr>
      </w:pPr>
    </w:p>
    <w:p w14:paraId="384B6CCB" w14:textId="618A648E"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181</w:t>
      </w:r>
      <w:r w:rsidRPr="00FD7B0B">
        <w:rPr>
          <w:rFonts w:ascii="Times New Roman" w:hAnsi="Times New Roman"/>
          <w:sz w:val="24"/>
          <w:szCs w:val="24"/>
        </w:rPr>
        <w:fldChar w:fldCharType="end"/>
      </w:r>
      <w:r w:rsidRPr="00FD7B0B">
        <w:rPr>
          <w:rFonts w:ascii="Times New Roman" w:hAnsi="Times New Roman"/>
          <w:sz w:val="24"/>
          <w:szCs w:val="24"/>
        </w:rPr>
        <w:t>. Сведения о выполнении показателей ГП №</w:t>
      </w:r>
      <w:r w:rsidR="005A1B8D" w:rsidRPr="00FD7B0B">
        <w:rPr>
          <w:rFonts w:ascii="Times New Roman" w:hAnsi="Times New Roman"/>
          <w:sz w:val="24"/>
          <w:szCs w:val="24"/>
        </w:rPr>
        <w:t xml:space="preserve"> </w:t>
      </w:r>
      <w:r w:rsidRPr="00FD7B0B">
        <w:rPr>
          <w:rFonts w:ascii="Times New Roman" w:hAnsi="Times New Roman"/>
          <w:sz w:val="24"/>
          <w:szCs w:val="24"/>
        </w:rPr>
        <w:t>17, а также о расходах областного бюджета на их выполнение за 2024 год</w:t>
      </w:r>
    </w:p>
    <w:tbl>
      <w:tblPr>
        <w:tblStyle w:val="a7"/>
        <w:tblW w:w="9501" w:type="dxa"/>
        <w:jc w:val="center"/>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235"/>
        <w:gridCol w:w="708"/>
        <w:gridCol w:w="728"/>
        <w:gridCol w:w="850"/>
        <w:gridCol w:w="1116"/>
        <w:gridCol w:w="1578"/>
        <w:gridCol w:w="1134"/>
        <w:gridCol w:w="1152"/>
      </w:tblGrid>
      <w:tr w:rsidR="00FD7B0B" w:rsidRPr="00FD7B0B" w14:paraId="285A6831" w14:textId="77777777" w:rsidTr="001375A4">
        <w:trPr>
          <w:tblHeader/>
          <w:jc w:val="center"/>
        </w:trPr>
        <w:tc>
          <w:tcPr>
            <w:tcW w:w="2235" w:type="dxa"/>
            <w:vMerge w:val="restart"/>
            <w:vAlign w:val="center"/>
          </w:tcPr>
          <w:p w14:paraId="409985DB"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Подпрограмма</w:t>
            </w:r>
          </w:p>
        </w:tc>
        <w:tc>
          <w:tcPr>
            <w:tcW w:w="2286" w:type="dxa"/>
            <w:gridSpan w:val="3"/>
            <w:vAlign w:val="center"/>
          </w:tcPr>
          <w:p w14:paraId="5CB101CB"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Кол-во показателей</w:t>
            </w:r>
          </w:p>
        </w:tc>
        <w:tc>
          <w:tcPr>
            <w:tcW w:w="2694" w:type="dxa"/>
            <w:gridSpan w:val="2"/>
            <w:vAlign w:val="center"/>
          </w:tcPr>
          <w:p w14:paraId="0D9E9D6B" w14:textId="681750FA" w:rsidR="00A51B25" w:rsidRPr="00FD7B0B" w:rsidRDefault="00A51B25" w:rsidP="00380F04">
            <w:pPr>
              <w:contextualSpacing/>
              <w:jc w:val="center"/>
              <w:rPr>
                <w:rFonts w:ascii="Times New Roman" w:eastAsia="Times New Roman" w:hAnsi="Times New Roman"/>
              </w:rPr>
            </w:pPr>
            <w:r w:rsidRPr="00FD7B0B">
              <w:rPr>
                <w:rFonts w:ascii="Times New Roman" w:eastAsia="Times New Roman" w:hAnsi="Times New Roman"/>
              </w:rPr>
              <w:t>ГП №</w:t>
            </w:r>
            <w:r w:rsidR="005A1B8D" w:rsidRPr="00FD7B0B">
              <w:rPr>
                <w:rFonts w:ascii="Times New Roman" w:eastAsia="Times New Roman" w:hAnsi="Times New Roman"/>
              </w:rPr>
              <w:t xml:space="preserve"> </w:t>
            </w:r>
            <w:r w:rsidRPr="00FD7B0B">
              <w:rPr>
                <w:rFonts w:ascii="Times New Roman" w:eastAsia="Times New Roman" w:hAnsi="Times New Roman"/>
              </w:rPr>
              <w:t>17 (согласно проекту</w:t>
            </w:r>
            <w:r w:rsidR="00380F04" w:rsidRPr="00FD7B0B">
              <w:rPr>
                <w:rFonts w:ascii="Times New Roman" w:eastAsia="Times New Roman" w:hAnsi="Times New Roman"/>
              </w:rPr>
              <w:t> </w:t>
            </w:r>
            <w:r w:rsidRPr="00FD7B0B">
              <w:rPr>
                <w:rFonts w:ascii="Times New Roman" w:eastAsia="Times New Roman" w:hAnsi="Times New Roman"/>
              </w:rPr>
              <w:t>отчета о реализации ГП</w:t>
            </w:r>
            <w:r w:rsidR="00380F04" w:rsidRPr="00FD7B0B">
              <w:rPr>
                <w:rFonts w:ascii="Times New Roman" w:eastAsia="Times New Roman" w:hAnsi="Times New Roman"/>
              </w:rPr>
              <w:t xml:space="preserve"> </w:t>
            </w:r>
            <w:r w:rsidRPr="00FD7B0B">
              <w:rPr>
                <w:rFonts w:ascii="Times New Roman" w:eastAsia="Times New Roman" w:hAnsi="Times New Roman"/>
              </w:rPr>
              <w:t>№</w:t>
            </w:r>
            <w:r w:rsidR="00380F04" w:rsidRPr="00FD7B0B">
              <w:rPr>
                <w:rFonts w:ascii="Times New Roman" w:eastAsia="Times New Roman" w:hAnsi="Times New Roman"/>
              </w:rPr>
              <w:t xml:space="preserve"> </w:t>
            </w:r>
            <w:r w:rsidRPr="00FD7B0B">
              <w:rPr>
                <w:rFonts w:ascii="Times New Roman" w:eastAsia="Times New Roman" w:hAnsi="Times New Roman"/>
              </w:rPr>
              <w:t>17 в ред.</w:t>
            </w:r>
            <w:r w:rsidR="00380F04" w:rsidRPr="00FD7B0B">
              <w:rPr>
                <w:rFonts w:ascii="Times New Roman" w:eastAsia="Times New Roman" w:hAnsi="Times New Roman"/>
              </w:rPr>
              <w:t xml:space="preserve"> </w:t>
            </w:r>
            <w:r w:rsidRPr="00FD7B0B">
              <w:rPr>
                <w:rFonts w:ascii="Times New Roman" w:eastAsia="Times New Roman" w:hAnsi="Times New Roman"/>
              </w:rPr>
              <w:t xml:space="preserve">от 16.04.2025) на 31.12.2024 </w:t>
            </w:r>
          </w:p>
        </w:tc>
        <w:tc>
          <w:tcPr>
            <w:tcW w:w="2286" w:type="dxa"/>
            <w:gridSpan w:val="2"/>
            <w:vAlign w:val="center"/>
          </w:tcPr>
          <w:p w14:paraId="1909CF17"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Исполнено на 31.12.2024</w:t>
            </w:r>
          </w:p>
        </w:tc>
      </w:tr>
      <w:tr w:rsidR="00FD7B0B" w:rsidRPr="00FD7B0B" w14:paraId="22AF625A" w14:textId="77777777" w:rsidTr="001375A4">
        <w:trPr>
          <w:trHeight w:val="631"/>
          <w:tblHeader/>
          <w:jc w:val="center"/>
        </w:trPr>
        <w:tc>
          <w:tcPr>
            <w:tcW w:w="2235" w:type="dxa"/>
            <w:vMerge/>
            <w:vAlign w:val="center"/>
          </w:tcPr>
          <w:p w14:paraId="2F5BFA8A" w14:textId="77777777" w:rsidR="00A51B25" w:rsidRPr="00FD7B0B" w:rsidRDefault="00A51B25" w:rsidP="00A51B25">
            <w:pPr>
              <w:contextualSpacing/>
              <w:jc w:val="center"/>
              <w:rPr>
                <w:rFonts w:ascii="Times New Roman" w:eastAsia="Times New Roman" w:hAnsi="Times New Roman"/>
              </w:rPr>
            </w:pPr>
          </w:p>
        </w:tc>
        <w:tc>
          <w:tcPr>
            <w:tcW w:w="708" w:type="dxa"/>
            <w:vAlign w:val="center"/>
          </w:tcPr>
          <w:p w14:paraId="76A758B2"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План</w:t>
            </w:r>
          </w:p>
        </w:tc>
        <w:tc>
          <w:tcPr>
            <w:tcW w:w="728" w:type="dxa"/>
            <w:vAlign w:val="center"/>
          </w:tcPr>
          <w:p w14:paraId="0D029955"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Факт</w:t>
            </w:r>
          </w:p>
        </w:tc>
        <w:tc>
          <w:tcPr>
            <w:tcW w:w="850" w:type="dxa"/>
            <w:vAlign w:val="center"/>
          </w:tcPr>
          <w:p w14:paraId="37C0FE50"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 выполнения</w:t>
            </w:r>
          </w:p>
        </w:tc>
        <w:tc>
          <w:tcPr>
            <w:tcW w:w="1116" w:type="dxa"/>
            <w:vAlign w:val="center"/>
          </w:tcPr>
          <w:p w14:paraId="01E911E4"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млн.</w:t>
            </w:r>
          </w:p>
          <w:p w14:paraId="65600E99"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руб.</w:t>
            </w:r>
          </w:p>
        </w:tc>
        <w:tc>
          <w:tcPr>
            <w:tcW w:w="1578" w:type="dxa"/>
            <w:vAlign w:val="center"/>
          </w:tcPr>
          <w:p w14:paraId="311CFB52" w14:textId="77777777" w:rsidR="00A51B25" w:rsidRPr="00FD7B0B" w:rsidRDefault="00A51B25" w:rsidP="00A51B25">
            <w:pPr>
              <w:ind w:left="-90" w:right="-108"/>
              <w:contextualSpacing/>
              <w:jc w:val="center"/>
              <w:rPr>
                <w:rFonts w:ascii="Times New Roman" w:eastAsia="Times New Roman" w:hAnsi="Times New Roman"/>
              </w:rPr>
            </w:pPr>
            <w:r w:rsidRPr="00FD7B0B">
              <w:rPr>
                <w:rFonts w:ascii="Times New Roman" w:eastAsia="Times New Roman" w:hAnsi="Times New Roman"/>
              </w:rPr>
              <w:t>изменение к показателю на 01.01.2024, %</w:t>
            </w:r>
          </w:p>
        </w:tc>
        <w:tc>
          <w:tcPr>
            <w:tcW w:w="1134" w:type="dxa"/>
            <w:vAlign w:val="center"/>
          </w:tcPr>
          <w:p w14:paraId="3FE24D4F"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млн.</w:t>
            </w:r>
          </w:p>
          <w:p w14:paraId="67BCA557"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руб.</w:t>
            </w:r>
          </w:p>
        </w:tc>
        <w:tc>
          <w:tcPr>
            <w:tcW w:w="1152" w:type="dxa"/>
            <w:vAlign w:val="center"/>
          </w:tcPr>
          <w:p w14:paraId="4B1FEC0C"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 xml:space="preserve">% </w:t>
            </w:r>
            <w:r w:rsidRPr="00FD7B0B">
              <w:rPr>
                <w:rFonts w:ascii="Times New Roman" w:eastAsia="Times New Roman" w:hAnsi="Times New Roman"/>
              </w:rPr>
              <w:br/>
              <w:t>к ГП №17</w:t>
            </w:r>
          </w:p>
        </w:tc>
      </w:tr>
      <w:tr w:rsidR="00FD7B0B" w:rsidRPr="00FD7B0B" w14:paraId="41382887" w14:textId="77777777" w:rsidTr="001375A4">
        <w:trPr>
          <w:jc w:val="center"/>
        </w:trPr>
        <w:tc>
          <w:tcPr>
            <w:tcW w:w="2235" w:type="dxa"/>
          </w:tcPr>
          <w:p w14:paraId="3D5CCFF1" w14:textId="77777777" w:rsidR="00A51B25" w:rsidRPr="00FD7B0B" w:rsidRDefault="00A51B25" w:rsidP="00A51B25">
            <w:pPr>
              <w:contextualSpacing/>
              <w:jc w:val="both"/>
              <w:rPr>
                <w:rFonts w:ascii="Times New Roman" w:eastAsia="Times New Roman" w:hAnsi="Times New Roman"/>
              </w:rPr>
            </w:pPr>
            <w:r w:rsidRPr="00FD7B0B">
              <w:rPr>
                <w:rFonts w:ascii="Times New Roman" w:eastAsia="Times New Roman" w:hAnsi="Times New Roman"/>
              </w:rPr>
              <w:t>ГП № 17</w:t>
            </w:r>
          </w:p>
        </w:tc>
        <w:tc>
          <w:tcPr>
            <w:tcW w:w="708" w:type="dxa"/>
          </w:tcPr>
          <w:p w14:paraId="2CA221B3" w14:textId="77777777" w:rsidR="00A51B25" w:rsidRPr="00FD7B0B" w:rsidRDefault="00A51B25" w:rsidP="00A51B25">
            <w:pPr>
              <w:contextualSpacing/>
              <w:jc w:val="center"/>
              <w:rPr>
                <w:rFonts w:ascii="Times New Roman" w:hAnsi="Times New Roman"/>
              </w:rPr>
            </w:pPr>
            <w:r w:rsidRPr="00FD7B0B">
              <w:rPr>
                <w:rFonts w:ascii="Times New Roman" w:hAnsi="Times New Roman"/>
              </w:rPr>
              <w:t>2</w:t>
            </w:r>
          </w:p>
        </w:tc>
        <w:tc>
          <w:tcPr>
            <w:tcW w:w="728" w:type="dxa"/>
          </w:tcPr>
          <w:p w14:paraId="62F39F00" w14:textId="77777777" w:rsidR="00A51B25" w:rsidRPr="00FD7B0B" w:rsidRDefault="00A51B25" w:rsidP="00A51B25">
            <w:pPr>
              <w:contextualSpacing/>
              <w:jc w:val="center"/>
              <w:rPr>
                <w:rFonts w:ascii="Times New Roman" w:hAnsi="Times New Roman"/>
              </w:rPr>
            </w:pPr>
            <w:r w:rsidRPr="00FD7B0B">
              <w:rPr>
                <w:rFonts w:ascii="Times New Roman" w:hAnsi="Times New Roman"/>
              </w:rPr>
              <w:t>1</w:t>
            </w:r>
          </w:p>
        </w:tc>
        <w:tc>
          <w:tcPr>
            <w:tcW w:w="850" w:type="dxa"/>
          </w:tcPr>
          <w:p w14:paraId="3727AE13" w14:textId="77777777" w:rsidR="00A51B25" w:rsidRPr="00FD7B0B" w:rsidRDefault="00A51B25" w:rsidP="00A51B25">
            <w:pPr>
              <w:contextualSpacing/>
              <w:jc w:val="center"/>
              <w:rPr>
                <w:rFonts w:ascii="Times New Roman" w:hAnsi="Times New Roman"/>
              </w:rPr>
            </w:pPr>
            <w:r w:rsidRPr="00FD7B0B">
              <w:rPr>
                <w:rFonts w:ascii="Times New Roman" w:hAnsi="Times New Roman"/>
              </w:rPr>
              <w:t>50,0</w:t>
            </w:r>
          </w:p>
        </w:tc>
        <w:tc>
          <w:tcPr>
            <w:tcW w:w="1116" w:type="dxa"/>
          </w:tcPr>
          <w:p w14:paraId="084DD809"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х</w:t>
            </w:r>
          </w:p>
        </w:tc>
        <w:tc>
          <w:tcPr>
            <w:tcW w:w="1578" w:type="dxa"/>
          </w:tcPr>
          <w:p w14:paraId="2D658F89"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х</w:t>
            </w:r>
          </w:p>
        </w:tc>
        <w:tc>
          <w:tcPr>
            <w:tcW w:w="1134" w:type="dxa"/>
          </w:tcPr>
          <w:p w14:paraId="2C405270"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х</w:t>
            </w:r>
          </w:p>
        </w:tc>
        <w:tc>
          <w:tcPr>
            <w:tcW w:w="1152" w:type="dxa"/>
          </w:tcPr>
          <w:p w14:paraId="3AA75A18"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х</w:t>
            </w:r>
          </w:p>
        </w:tc>
      </w:tr>
      <w:tr w:rsidR="00FD7B0B" w:rsidRPr="00FD7B0B" w14:paraId="1D236BB3" w14:textId="77777777" w:rsidTr="001375A4">
        <w:trPr>
          <w:jc w:val="center"/>
        </w:trPr>
        <w:tc>
          <w:tcPr>
            <w:tcW w:w="2235" w:type="dxa"/>
          </w:tcPr>
          <w:p w14:paraId="2277ACC5" w14:textId="77777777" w:rsidR="00A51B25" w:rsidRPr="00FD7B0B" w:rsidRDefault="00A51B25" w:rsidP="00A51B25">
            <w:pPr>
              <w:contextualSpacing/>
              <w:jc w:val="both"/>
              <w:rPr>
                <w:rFonts w:ascii="Times New Roman" w:eastAsia="Times New Roman" w:hAnsi="Times New Roman"/>
              </w:rPr>
            </w:pPr>
            <w:r w:rsidRPr="00FD7B0B">
              <w:rPr>
                <w:rFonts w:ascii="Times New Roman" w:eastAsia="Times New Roman" w:hAnsi="Times New Roman"/>
              </w:rPr>
              <w:t>РП</w:t>
            </w:r>
          </w:p>
        </w:tc>
        <w:tc>
          <w:tcPr>
            <w:tcW w:w="708" w:type="dxa"/>
          </w:tcPr>
          <w:p w14:paraId="642BC05B" w14:textId="77777777" w:rsidR="00A51B25" w:rsidRPr="00FD7B0B" w:rsidRDefault="00A51B25" w:rsidP="00A51B25">
            <w:pPr>
              <w:contextualSpacing/>
              <w:jc w:val="center"/>
              <w:rPr>
                <w:rFonts w:ascii="Times New Roman" w:hAnsi="Times New Roman"/>
              </w:rPr>
            </w:pPr>
            <w:r w:rsidRPr="00FD7B0B">
              <w:rPr>
                <w:rFonts w:ascii="Times New Roman" w:hAnsi="Times New Roman"/>
              </w:rPr>
              <w:t>3</w:t>
            </w:r>
          </w:p>
        </w:tc>
        <w:tc>
          <w:tcPr>
            <w:tcW w:w="728" w:type="dxa"/>
          </w:tcPr>
          <w:p w14:paraId="7D7F4523" w14:textId="77777777" w:rsidR="00A51B25" w:rsidRPr="00FD7B0B" w:rsidRDefault="00A51B25" w:rsidP="00A51B25">
            <w:pPr>
              <w:contextualSpacing/>
              <w:jc w:val="center"/>
              <w:rPr>
                <w:rFonts w:ascii="Times New Roman" w:hAnsi="Times New Roman"/>
              </w:rPr>
            </w:pPr>
            <w:r w:rsidRPr="00FD7B0B">
              <w:rPr>
                <w:rFonts w:ascii="Times New Roman" w:hAnsi="Times New Roman"/>
              </w:rPr>
              <w:t>3</w:t>
            </w:r>
          </w:p>
        </w:tc>
        <w:tc>
          <w:tcPr>
            <w:tcW w:w="850" w:type="dxa"/>
          </w:tcPr>
          <w:p w14:paraId="168C4701" w14:textId="77777777" w:rsidR="00A51B25" w:rsidRPr="00FD7B0B" w:rsidRDefault="00A51B25" w:rsidP="00A51B25">
            <w:pPr>
              <w:contextualSpacing/>
              <w:jc w:val="center"/>
              <w:rPr>
                <w:rFonts w:ascii="Times New Roman" w:hAnsi="Times New Roman"/>
              </w:rPr>
            </w:pPr>
            <w:r w:rsidRPr="00FD7B0B">
              <w:rPr>
                <w:rFonts w:ascii="Times New Roman" w:hAnsi="Times New Roman"/>
              </w:rPr>
              <w:t>100,0</w:t>
            </w:r>
          </w:p>
        </w:tc>
        <w:tc>
          <w:tcPr>
            <w:tcW w:w="1116" w:type="dxa"/>
          </w:tcPr>
          <w:p w14:paraId="1E8CAB6F" w14:textId="77777777" w:rsidR="00A51B25" w:rsidRPr="00FD7B0B" w:rsidRDefault="00A51B25" w:rsidP="00A51B25">
            <w:pPr>
              <w:contextualSpacing/>
              <w:jc w:val="center"/>
              <w:rPr>
                <w:rFonts w:ascii="Times New Roman" w:hAnsi="Times New Roman"/>
              </w:rPr>
            </w:pPr>
            <w:r w:rsidRPr="00FD7B0B">
              <w:rPr>
                <w:rFonts w:ascii="Times New Roman" w:hAnsi="Times New Roman"/>
              </w:rPr>
              <w:t>489,6</w:t>
            </w:r>
          </w:p>
        </w:tc>
        <w:tc>
          <w:tcPr>
            <w:tcW w:w="1578" w:type="dxa"/>
          </w:tcPr>
          <w:p w14:paraId="15999266" w14:textId="77777777" w:rsidR="00A51B25" w:rsidRPr="00FD7B0B" w:rsidRDefault="00A51B25" w:rsidP="00A51B25">
            <w:pPr>
              <w:contextualSpacing/>
              <w:jc w:val="center"/>
              <w:rPr>
                <w:rFonts w:ascii="Times New Roman" w:hAnsi="Times New Roman"/>
              </w:rPr>
            </w:pPr>
            <w:r w:rsidRPr="00FD7B0B">
              <w:rPr>
                <w:rFonts w:ascii="Times New Roman" w:hAnsi="Times New Roman"/>
              </w:rPr>
              <w:t>100,0</w:t>
            </w:r>
          </w:p>
        </w:tc>
        <w:tc>
          <w:tcPr>
            <w:tcW w:w="1134" w:type="dxa"/>
          </w:tcPr>
          <w:p w14:paraId="3F921B10" w14:textId="77777777" w:rsidR="00A51B25" w:rsidRPr="00FD7B0B" w:rsidRDefault="00A51B25" w:rsidP="00A51B25">
            <w:pPr>
              <w:contextualSpacing/>
              <w:jc w:val="center"/>
              <w:rPr>
                <w:rFonts w:ascii="Times New Roman" w:hAnsi="Times New Roman"/>
              </w:rPr>
            </w:pPr>
            <w:r w:rsidRPr="00FD7B0B">
              <w:rPr>
                <w:rFonts w:ascii="Times New Roman" w:hAnsi="Times New Roman"/>
              </w:rPr>
              <w:t>500,7</w:t>
            </w:r>
          </w:p>
        </w:tc>
        <w:tc>
          <w:tcPr>
            <w:tcW w:w="1152" w:type="dxa"/>
          </w:tcPr>
          <w:p w14:paraId="6324FDA4" w14:textId="77777777" w:rsidR="00A51B25" w:rsidRPr="00FD7B0B" w:rsidRDefault="00A51B25" w:rsidP="00A51B25">
            <w:pPr>
              <w:contextualSpacing/>
              <w:jc w:val="center"/>
              <w:rPr>
                <w:rFonts w:ascii="Times New Roman" w:hAnsi="Times New Roman"/>
              </w:rPr>
            </w:pPr>
            <w:r w:rsidRPr="00FD7B0B">
              <w:rPr>
                <w:rFonts w:ascii="Times New Roman" w:hAnsi="Times New Roman"/>
              </w:rPr>
              <w:t>102,3</w:t>
            </w:r>
          </w:p>
        </w:tc>
      </w:tr>
      <w:tr w:rsidR="00FD7B0B" w:rsidRPr="00FD7B0B" w14:paraId="5D0359BE" w14:textId="77777777" w:rsidTr="001375A4">
        <w:trPr>
          <w:jc w:val="center"/>
        </w:trPr>
        <w:tc>
          <w:tcPr>
            <w:tcW w:w="2235" w:type="dxa"/>
          </w:tcPr>
          <w:p w14:paraId="72E773D0" w14:textId="77777777" w:rsidR="00A51B25" w:rsidRPr="00FD7B0B" w:rsidRDefault="00A51B25" w:rsidP="00A51B25">
            <w:pPr>
              <w:contextualSpacing/>
              <w:jc w:val="both"/>
              <w:rPr>
                <w:rFonts w:ascii="Times New Roman" w:eastAsia="Times New Roman" w:hAnsi="Times New Roman"/>
              </w:rPr>
            </w:pPr>
            <w:r w:rsidRPr="00FD7B0B">
              <w:rPr>
                <w:rFonts w:ascii="Times New Roman" w:eastAsia="Times New Roman" w:hAnsi="Times New Roman"/>
              </w:rPr>
              <w:t>КПМ</w:t>
            </w:r>
          </w:p>
        </w:tc>
        <w:tc>
          <w:tcPr>
            <w:tcW w:w="708" w:type="dxa"/>
          </w:tcPr>
          <w:p w14:paraId="3452DED6" w14:textId="77777777" w:rsidR="00A51B25" w:rsidRPr="00FD7B0B" w:rsidRDefault="00A51B25" w:rsidP="00A51B25">
            <w:pPr>
              <w:contextualSpacing/>
              <w:jc w:val="center"/>
              <w:rPr>
                <w:rFonts w:ascii="Times New Roman" w:hAnsi="Times New Roman"/>
              </w:rPr>
            </w:pPr>
            <w:r w:rsidRPr="00FD7B0B">
              <w:rPr>
                <w:rFonts w:ascii="Times New Roman" w:hAnsi="Times New Roman"/>
              </w:rPr>
              <w:t>9</w:t>
            </w:r>
          </w:p>
        </w:tc>
        <w:tc>
          <w:tcPr>
            <w:tcW w:w="728" w:type="dxa"/>
          </w:tcPr>
          <w:p w14:paraId="6A3B7D59" w14:textId="77777777" w:rsidR="00A51B25" w:rsidRPr="00FD7B0B" w:rsidRDefault="00A51B25" w:rsidP="00A51B25">
            <w:pPr>
              <w:contextualSpacing/>
              <w:jc w:val="center"/>
              <w:rPr>
                <w:rFonts w:ascii="Times New Roman" w:hAnsi="Times New Roman"/>
              </w:rPr>
            </w:pPr>
            <w:r w:rsidRPr="00FD7B0B">
              <w:rPr>
                <w:rFonts w:ascii="Times New Roman" w:hAnsi="Times New Roman"/>
              </w:rPr>
              <w:t>7</w:t>
            </w:r>
          </w:p>
        </w:tc>
        <w:tc>
          <w:tcPr>
            <w:tcW w:w="850" w:type="dxa"/>
          </w:tcPr>
          <w:p w14:paraId="0744B5B9" w14:textId="77777777" w:rsidR="00A51B25" w:rsidRPr="00FD7B0B" w:rsidRDefault="00A51B25" w:rsidP="00A51B25">
            <w:pPr>
              <w:contextualSpacing/>
              <w:jc w:val="center"/>
              <w:rPr>
                <w:rFonts w:ascii="Times New Roman" w:hAnsi="Times New Roman"/>
              </w:rPr>
            </w:pPr>
            <w:r w:rsidRPr="00FD7B0B">
              <w:rPr>
                <w:rFonts w:ascii="Times New Roman" w:hAnsi="Times New Roman"/>
              </w:rPr>
              <w:t>77,8</w:t>
            </w:r>
          </w:p>
        </w:tc>
        <w:tc>
          <w:tcPr>
            <w:tcW w:w="1116" w:type="dxa"/>
          </w:tcPr>
          <w:p w14:paraId="71FC2D61" w14:textId="77777777" w:rsidR="00A51B25" w:rsidRPr="00FD7B0B" w:rsidRDefault="00A51B25" w:rsidP="00A51B25">
            <w:pPr>
              <w:contextualSpacing/>
              <w:jc w:val="center"/>
              <w:rPr>
                <w:rFonts w:ascii="Times New Roman" w:hAnsi="Times New Roman"/>
              </w:rPr>
            </w:pPr>
            <w:r w:rsidRPr="00FD7B0B">
              <w:rPr>
                <w:rFonts w:ascii="Times New Roman" w:hAnsi="Times New Roman"/>
              </w:rPr>
              <w:t>18716,8</w:t>
            </w:r>
          </w:p>
        </w:tc>
        <w:tc>
          <w:tcPr>
            <w:tcW w:w="1578" w:type="dxa"/>
          </w:tcPr>
          <w:p w14:paraId="7265E4C3" w14:textId="77777777" w:rsidR="00A51B25" w:rsidRPr="00FD7B0B" w:rsidRDefault="00A51B25" w:rsidP="00A51B25">
            <w:pPr>
              <w:contextualSpacing/>
              <w:jc w:val="center"/>
              <w:rPr>
                <w:rFonts w:ascii="Times New Roman" w:hAnsi="Times New Roman"/>
              </w:rPr>
            </w:pPr>
            <w:r w:rsidRPr="00FD7B0B">
              <w:rPr>
                <w:rFonts w:ascii="Times New Roman" w:hAnsi="Times New Roman"/>
              </w:rPr>
              <w:t>118,6</w:t>
            </w:r>
          </w:p>
        </w:tc>
        <w:tc>
          <w:tcPr>
            <w:tcW w:w="1134" w:type="dxa"/>
          </w:tcPr>
          <w:p w14:paraId="4A05F6DD" w14:textId="77777777" w:rsidR="00A51B25" w:rsidRPr="00FD7B0B" w:rsidRDefault="00A51B25" w:rsidP="00A51B25">
            <w:pPr>
              <w:contextualSpacing/>
              <w:jc w:val="center"/>
              <w:rPr>
                <w:rFonts w:ascii="Times New Roman" w:hAnsi="Times New Roman"/>
              </w:rPr>
            </w:pPr>
            <w:r w:rsidRPr="00FD7B0B">
              <w:rPr>
                <w:rFonts w:ascii="Times New Roman" w:hAnsi="Times New Roman"/>
              </w:rPr>
              <w:t>16 286,6</w:t>
            </w:r>
          </w:p>
        </w:tc>
        <w:tc>
          <w:tcPr>
            <w:tcW w:w="1152" w:type="dxa"/>
          </w:tcPr>
          <w:p w14:paraId="61DC5706" w14:textId="77777777" w:rsidR="00A51B25" w:rsidRPr="00FD7B0B" w:rsidRDefault="00A51B25" w:rsidP="00A51B25">
            <w:pPr>
              <w:contextualSpacing/>
              <w:jc w:val="center"/>
              <w:rPr>
                <w:rFonts w:ascii="Times New Roman" w:hAnsi="Times New Roman"/>
              </w:rPr>
            </w:pPr>
            <w:r w:rsidRPr="00FD7B0B">
              <w:rPr>
                <w:rFonts w:ascii="Times New Roman" w:hAnsi="Times New Roman"/>
              </w:rPr>
              <w:t>87,0</w:t>
            </w:r>
          </w:p>
        </w:tc>
      </w:tr>
      <w:tr w:rsidR="00A51B25" w:rsidRPr="00FD7B0B" w14:paraId="7F2B2A08" w14:textId="77777777" w:rsidTr="001375A4">
        <w:trPr>
          <w:trHeight w:val="186"/>
          <w:jc w:val="center"/>
        </w:trPr>
        <w:tc>
          <w:tcPr>
            <w:tcW w:w="2235" w:type="dxa"/>
          </w:tcPr>
          <w:p w14:paraId="6496C2AF" w14:textId="77777777" w:rsidR="00A51B25" w:rsidRPr="00FD7B0B" w:rsidRDefault="00A51B25" w:rsidP="00A51B25">
            <w:pPr>
              <w:contextualSpacing/>
              <w:jc w:val="center"/>
              <w:rPr>
                <w:rFonts w:ascii="Times New Roman" w:eastAsia="Times New Roman" w:hAnsi="Times New Roman"/>
              </w:rPr>
            </w:pPr>
            <w:r w:rsidRPr="00FD7B0B">
              <w:rPr>
                <w:rFonts w:ascii="Times New Roman" w:eastAsia="Times New Roman" w:hAnsi="Times New Roman"/>
              </w:rPr>
              <w:t>Итого</w:t>
            </w:r>
          </w:p>
        </w:tc>
        <w:tc>
          <w:tcPr>
            <w:tcW w:w="708" w:type="dxa"/>
          </w:tcPr>
          <w:p w14:paraId="06B7ACAA" w14:textId="77777777" w:rsidR="00A51B25" w:rsidRPr="00FD7B0B" w:rsidRDefault="00A51B25" w:rsidP="00A51B25">
            <w:pPr>
              <w:contextualSpacing/>
              <w:jc w:val="center"/>
              <w:rPr>
                <w:rFonts w:ascii="Times New Roman" w:hAnsi="Times New Roman"/>
              </w:rPr>
            </w:pPr>
            <w:r w:rsidRPr="00FD7B0B">
              <w:rPr>
                <w:rFonts w:ascii="Times New Roman" w:hAnsi="Times New Roman"/>
              </w:rPr>
              <w:t>14</w:t>
            </w:r>
          </w:p>
        </w:tc>
        <w:tc>
          <w:tcPr>
            <w:tcW w:w="728" w:type="dxa"/>
          </w:tcPr>
          <w:p w14:paraId="4F679740" w14:textId="77777777" w:rsidR="00A51B25" w:rsidRPr="00FD7B0B" w:rsidRDefault="00A51B25" w:rsidP="00A51B25">
            <w:pPr>
              <w:contextualSpacing/>
              <w:jc w:val="center"/>
              <w:rPr>
                <w:rFonts w:ascii="Times New Roman" w:hAnsi="Times New Roman"/>
              </w:rPr>
            </w:pPr>
            <w:r w:rsidRPr="00FD7B0B">
              <w:rPr>
                <w:rFonts w:ascii="Times New Roman" w:hAnsi="Times New Roman"/>
              </w:rPr>
              <w:t>11</w:t>
            </w:r>
          </w:p>
        </w:tc>
        <w:tc>
          <w:tcPr>
            <w:tcW w:w="850" w:type="dxa"/>
          </w:tcPr>
          <w:p w14:paraId="54225382" w14:textId="77777777" w:rsidR="00A51B25" w:rsidRPr="00FD7B0B" w:rsidRDefault="00A51B25" w:rsidP="00A51B25">
            <w:pPr>
              <w:contextualSpacing/>
              <w:jc w:val="center"/>
              <w:rPr>
                <w:rFonts w:ascii="Times New Roman" w:hAnsi="Times New Roman"/>
              </w:rPr>
            </w:pPr>
            <w:r w:rsidRPr="00FD7B0B">
              <w:rPr>
                <w:rFonts w:ascii="Times New Roman" w:hAnsi="Times New Roman"/>
              </w:rPr>
              <w:t>78,6</w:t>
            </w:r>
          </w:p>
        </w:tc>
        <w:tc>
          <w:tcPr>
            <w:tcW w:w="1116" w:type="dxa"/>
          </w:tcPr>
          <w:p w14:paraId="43EA7339" w14:textId="77777777" w:rsidR="00A51B25" w:rsidRPr="00FD7B0B" w:rsidRDefault="00A51B25" w:rsidP="00A51B25">
            <w:pPr>
              <w:contextualSpacing/>
              <w:jc w:val="center"/>
              <w:rPr>
                <w:rFonts w:ascii="Times New Roman" w:hAnsi="Times New Roman"/>
              </w:rPr>
            </w:pPr>
            <w:r w:rsidRPr="00FD7B0B">
              <w:rPr>
                <w:rFonts w:ascii="Times New Roman" w:hAnsi="Times New Roman"/>
              </w:rPr>
              <w:t>19206,4</w:t>
            </w:r>
          </w:p>
        </w:tc>
        <w:tc>
          <w:tcPr>
            <w:tcW w:w="1578" w:type="dxa"/>
          </w:tcPr>
          <w:p w14:paraId="1453391C" w14:textId="77777777" w:rsidR="00A51B25" w:rsidRPr="00FD7B0B" w:rsidRDefault="00A51B25" w:rsidP="00A51B25">
            <w:pPr>
              <w:contextualSpacing/>
              <w:jc w:val="center"/>
              <w:rPr>
                <w:rFonts w:ascii="Times New Roman" w:hAnsi="Times New Roman"/>
              </w:rPr>
            </w:pPr>
            <w:r w:rsidRPr="00FD7B0B">
              <w:rPr>
                <w:rFonts w:ascii="Times New Roman" w:hAnsi="Times New Roman"/>
              </w:rPr>
              <w:t>118,1</w:t>
            </w:r>
          </w:p>
        </w:tc>
        <w:tc>
          <w:tcPr>
            <w:tcW w:w="1134" w:type="dxa"/>
          </w:tcPr>
          <w:p w14:paraId="57C2B41F" w14:textId="77777777" w:rsidR="00A51B25" w:rsidRPr="00FD7B0B" w:rsidRDefault="00A51B25" w:rsidP="00A51B25">
            <w:pPr>
              <w:contextualSpacing/>
              <w:jc w:val="center"/>
              <w:rPr>
                <w:rFonts w:ascii="Times New Roman" w:hAnsi="Times New Roman"/>
              </w:rPr>
            </w:pPr>
            <w:r w:rsidRPr="00FD7B0B">
              <w:rPr>
                <w:rFonts w:ascii="Times New Roman" w:hAnsi="Times New Roman"/>
              </w:rPr>
              <w:t>16 787,3</w:t>
            </w:r>
          </w:p>
        </w:tc>
        <w:tc>
          <w:tcPr>
            <w:tcW w:w="1152" w:type="dxa"/>
          </w:tcPr>
          <w:p w14:paraId="6384F801" w14:textId="77777777" w:rsidR="00A51B25" w:rsidRPr="00FD7B0B" w:rsidRDefault="00A51B25" w:rsidP="00A51B25">
            <w:pPr>
              <w:contextualSpacing/>
              <w:jc w:val="center"/>
              <w:rPr>
                <w:rFonts w:ascii="Times New Roman" w:hAnsi="Times New Roman"/>
              </w:rPr>
            </w:pPr>
            <w:r w:rsidRPr="00FD7B0B">
              <w:rPr>
                <w:rFonts w:ascii="Times New Roman" w:hAnsi="Times New Roman"/>
              </w:rPr>
              <w:t>87,4</w:t>
            </w:r>
          </w:p>
        </w:tc>
      </w:tr>
    </w:tbl>
    <w:p w14:paraId="64294BF5" w14:textId="77777777" w:rsidR="001375A4" w:rsidRPr="00FD7B0B" w:rsidRDefault="001375A4" w:rsidP="00A51B25">
      <w:pPr>
        <w:spacing w:after="0" w:line="320" w:lineRule="atLeast"/>
        <w:ind w:firstLine="709"/>
        <w:jc w:val="both"/>
        <w:rPr>
          <w:rFonts w:ascii="Times New Roman" w:eastAsia="Times New Roman" w:hAnsi="Times New Roman"/>
          <w:sz w:val="28"/>
          <w:szCs w:val="28"/>
          <w:lang w:eastAsia="ru-RU"/>
        </w:rPr>
      </w:pPr>
    </w:p>
    <w:p w14:paraId="35F875C9" w14:textId="04C2EF8D"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Уровень выполнения целевых показателей в целом по ГП №</w:t>
      </w:r>
      <w:r w:rsidR="001375A4"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 xml:space="preserve">17 составил 78,6 % при увеличении объемов финансирования (по сравнению с показателем </w:t>
      </w:r>
      <w:r w:rsidRPr="00FD7B0B">
        <w:rPr>
          <w:rFonts w:ascii="Times New Roman" w:eastAsia="Times New Roman" w:hAnsi="Times New Roman"/>
          <w:sz w:val="28"/>
          <w:szCs w:val="28"/>
          <w:lang w:eastAsia="ru-RU"/>
        </w:rPr>
        <w:lastRenderedPageBreak/>
        <w:t>на 01.01.2024) на 2 937,6 млн.руб., при этом бюджетные ассигнования использованы на 87,4 %.</w:t>
      </w:r>
    </w:p>
    <w:p w14:paraId="17CB63AF"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Следует отметить, что в проекте отчета о реализации в 2024 году </w:t>
      </w:r>
      <w:r w:rsidRPr="00FD7B0B">
        <w:rPr>
          <w:rFonts w:ascii="Times New Roman" w:eastAsia="Times New Roman" w:hAnsi="Times New Roman"/>
          <w:sz w:val="28"/>
          <w:szCs w:val="28"/>
          <w:lang w:eastAsia="ru-RU"/>
        </w:rPr>
        <w:br/>
        <w:t>ГП №17 (ред. от 16.04.2025) отсутствуют данные (плановые и фактические значения мероприятия (результата)) по мероприятиям 2.7-2.10 Обеспечение деятельности региональной общественной организации «Народная инспекция Архангельской области», министерства ТЭК и ЖКХ АО, государственной жилищной инспекции Архангельской области, некоммерческой организации «Фонд капитального ремонта многоквартирных домов Архангельской области», плановые значения мероприятия (результата) на 2024 год по которым установлены в паспорте КМП (ред. от 17.12.2024).</w:t>
      </w:r>
    </w:p>
    <w:p w14:paraId="70BBE4DF"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734836F8" w14:textId="77777777" w:rsidR="00A51B25" w:rsidRPr="00FD7B0B" w:rsidRDefault="00A51B25" w:rsidP="00A51B25">
      <w:pPr>
        <w:spacing w:after="0" w:line="240" w:lineRule="auto"/>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реализации ГП № 17</w:t>
      </w:r>
      <w:r w:rsidRPr="00FD7B0B">
        <w:rPr>
          <w:b/>
        </w:rPr>
        <w:t xml:space="preserve"> </w:t>
      </w:r>
      <w:r w:rsidRPr="00FD7B0B">
        <w:rPr>
          <w:rFonts w:ascii="Times New Roman" w:eastAsia="Times New Roman" w:hAnsi="Times New Roman" w:cs="Times New Roman"/>
          <w:b/>
          <w:sz w:val="28"/>
          <w:szCs w:val="28"/>
          <w:lang w:eastAsia="ru-RU"/>
        </w:rPr>
        <w:t>согласно Методике оценки</w:t>
      </w:r>
      <w:r w:rsidRPr="00FD7B0B">
        <w:rPr>
          <w:rFonts w:ascii="Times New Roman" w:hAnsi="Times New Roman"/>
          <w:b/>
          <w:sz w:val="28"/>
          <w:szCs w:val="28"/>
        </w:rPr>
        <w:t xml:space="preserve"> № 9К (1614)</w:t>
      </w:r>
    </w:p>
    <w:p w14:paraId="3471C0F4" w14:textId="77777777" w:rsidR="00A51B25" w:rsidRPr="00FD7B0B" w:rsidRDefault="00A51B25" w:rsidP="00A51B25">
      <w:pPr>
        <w:pStyle w:val="ConsPlusTitle"/>
        <w:jc w:val="center"/>
        <w:rPr>
          <w:rFonts w:ascii="Times New Roman" w:hAnsi="Times New Roman" w:cs="Times New Roman"/>
          <w:b w:val="0"/>
          <w:sz w:val="28"/>
          <w:szCs w:val="28"/>
        </w:rPr>
      </w:pPr>
      <w:r w:rsidRPr="00FD7B0B">
        <w:rPr>
          <w:rFonts w:ascii="Times New Roman" w:hAnsi="Times New Roman" w:cs="Times New Roman"/>
          <w:b w:val="0"/>
          <w:sz w:val="28"/>
          <w:szCs w:val="28"/>
        </w:rPr>
        <w:t>Оценка исполнения ГП № 17 по ресурсам и результатам за 2024 год</w:t>
      </w:r>
    </w:p>
    <w:p w14:paraId="456CA00E" w14:textId="77777777" w:rsidR="001375A4" w:rsidRPr="00FD7B0B" w:rsidRDefault="001375A4" w:rsidP="00A51B25">
      <w:pPr>
        <w:spacing w:after="0" w:line="240" w:lineRule="auto"/>
        <w:contextualSpacing/>
        <w:rPr>
          <w:rFonts w:ascii="Times New Roman" w:hAnsi="Times New Roman"/>
          <w:sz w:val="24"/>
          <w:szCs w:val="24"/>
        </w:rPr>
      </w:pPr>
    </w:p>
    <w:p w14:paraId="0B042A09"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182</w:t>
      </w:r>
      <w:r w:rsidRPr="00FD7B0B">
        <w:rPr>
          <w:rFonts w:ascii="Times New Roman" w:hAnsi="Times New Roman"/>
          <w:sz w:val="24"/>
          <w:szCs w:val="24"/>
        </w:rPr>
        <w:fldChar w:fldCharType="end"/>
      </w:r>
      <w:r w:rsidRPr="00FD7B0B">
        <w:rPr>
          <w:rFonts w:ascii="Times New Roman" w:hAnsi="Times New Roman"/>
          <w:sz w:val="24"/>
          <w:szCs w:val="24"/>
        </w:rPr>
        <w:t xml:space="preserve">. Оценка кассового исполнения по расходам областного бюджета </w:t>
      </w:r>
    </w:p>
    <w:tbl>
      <w:tblPr>
        <w:tblStyle w:val="a7"/>
        <w:tblW w:w="935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242"/>
        <w:gridCol w:w="4141"/>
        <w:gridCol w:w="2973"/>
      </w:tblGrid>
      <w:tr w:rsidR="00FD7B0B" w:rsidRPr="00FD7B0B" w14:paraId="38ED6DE7" w14:textId="77777777" w:rsidTr="00A51B25">
        <w:trPr>
          <w:trHeight w:val="340"/>
        </w:trPr>
        <w:tc>
          <w:tcPr>
            <w:tcW w:w="2284" w:type="dxa"/>
            <w:vAlign w:val="center"/>
          </w:tcPr>
          <w:p w14:paraId="39CD4322" w14:textId="77777777" w:rsidR="00A51B25" w:rsidRPr="00FD7B0B" w:rsidRDefault="00A51B25" w:rsidP="00A51B25">
            <w:pPr>
              <w:jc w:val="center"/>
              <w:rPr>
                <w:rFonts w:ascii="Times New Roman" w:hAnsi="Times New Roman"/>
              </w:rPr>
            </w:pPr>
            <w:r w:rsidRPr="00FD7B0B">
              <w:rPr>
                <w:rFonts w:ascii="Times New Roman" w:hAnsi="Times New Roman"/>
              </w:rPr>
              <w:t>кассовые расходы областного бюджета на реализацию ГП № 17 за 2024 год, млн.руб.</w:t>
            </w:r>
          </w:p>
        </w:tc>
        <w:tc>
          <w:tcPr>
            <w:tcW w:w="4241" w:type="dxa"/>
            <w:vAlign w:val="center"/>
          </w:tcPr>
          <w:p w14:paraId="12953B1B" w14:textId="77777777" w:rsidR="00A51B25" w:rsidRPr="00FD7B0B" w:rsidRDefault="00A51B25" w:rsidP="00A51B25">
            <w:pPr>
              <w:autoSpaceDE w:val="0"/>
              <w:autoSpaceDN w:val="0"/>
              <w:adjustRightInd w:val="0"/>
              <w:ind w:firstLine="34"/>
              <w:jc w:val="center"/>
              <w:rPr>
                <w:rFonts w:ascii="Times New Roman" w:hAnsi="Times New Roman"/>
              </w:rPr>
            </w:pPr>
            <w:r w:rsidRPr="00FD7B0B">
              <w:rPr>
                <w:rFonts w:ascii="Times New Roman" w:hAnsi="Times New Roman"/>
              </w:rPr>
              <w:t>бюджетные ассигнования областного бюджета, запланированные на реализацию ГП № 17 (в соответствии с показателями СБР на 31.12.2024), млн.руб.</w:t>
            </w:r>
          </w:p>
        </w:tc>
        <w:tc>
          <w:tcPr>
            <w:tcW w:w="3045" w:type="dxa"/>
            <w:vAlign w:val="center"/>
          </w:tcPr>
          <w:p w14:paraId="020946CA" w14:textId="77777777" w:rsidR="00A51B25" w:rsidRPr="00FD7B0B" w:rsidRDefault="00A51B25" w:rsidP="00A51B25">
            <w:pPr>
              <w:jc w:val="center"/>
              <w:rPr>
                <w:rFonts w:ascii="Times New Roman" w:hAnsi="Times New Roman"/>
              </w:rPr>
            </w:pPr>
            <w:r w:rsidRPr="00FD7B0B">
              <w:rPr>
                <w:rFonts w:ascii="Times New Roman" w:hAnsi="Times New Roman"/>
              </w:rPr>
              <w:t>степень кассового исполнения по расходам областного бюджета на реализацию ГП №17 за 2024 год, %</w:t>
            </w:r>
          </w:p>
        </w:tc>
      </w:tr>
      <w:tr w:rsidR="00FD7B0B" w:rsidRPr="00FD7B0B" w14:paraId="3587DD6D" w14:textId="77777777" w:rsidTr="00A51B25">
        <w:trPr>
          <w:trHeight w:val="126"/>
        </w:trPr>
        <w:tc>
          <w:tcPr>
            <w:tcW w:w="2284" w:type="dxa"/>
            <w:vAlign w:val="center"/>
          </w:tcPr>
          <w:p w14:paraId="079E0B71" w14:textId="77777777" w:rsidR="00A51B25" w:rsidRPr="00FD7B0B" w:rsidRDefault="00A51B25" w:rsidP="00A51B25">
            <w:pPr>
              <w:jc w:val="center"/>
              <w:rPr>
                <w:rFonts w:ascii="Times New Roman" w:hAnsi="Times New Roman"/>
              </w:rPr>
            </w:pPr>
            <w:r w:rsidRPr="00FD7B0B">
              <w:rPr>
                <w:rFonts w:ascii="Times New Roman" w:hAnsi="Times New Roman"/>
              </w:rPr>
              <w:t>11 508,2</w:t>
            </w:r>
          </w:p>
        </w:tc>
        <w:tc>
          <w:tcPr>
            <w:tcW w:w="4241" w:type="dxa"/>
            <w:vAlign w:val="center"/>
          </w:tcPr>
          <w:p w14:paraId="5529B455" w14:textId="77777777" w:rsidR="00A51B25" w:rsidRPr="00FD7B0B" w:rsidRDefault="00A51B25" w:rsidP="00A51B25">
            <w:pPr>
              <w:jc w:val="center"/>
              <w:rPr>
                <w:rFonts w:ascii="Times New Roman" w:hAnsi="Times New Roman"/>
              </w:rPr>
            </w:pPr>
            <w:r w:rsidRPr="00FD7B0B">
              <w:rPr>
                <w:rFonts w:ascii="Times New Roman" w:hAnsi="Times New Roman"/>
              </w:rPr>
              <w:t>12 501,2</w:t>
            </w:r>
          </w:p>
        </w:tc>
        <w:tc>
          <w:tcPr>
            <w:tcW w:w="3045" w:type="dxa"/>
            <w:vAlign w:val="center"/>
          </w:tcPr>
          <w:p w14:paraId="3BF80941" w14:textId="77777777" w:rsidR="00A51B25" w:rsidRPr="00FD7B0B" w:rsidRDefault="00A51B25" w:rsidP="00A51B25">
            <w:pPr>
              <w:jc w:val="center"/>
              <w:rPr>
                <w:rFonts w:ascii="Times New Roman" w:hAnsi="Times New Roman"/>
              </w:rPr>
            </w:pPr>
            <w:r w:rsidRPr="00FD7B0B">
              <w:rPr>
                <w:rFonts w:ascii="Times New Roman" w:hAnsi="Times New Roman"/>
              </w:rPr>
              <w:t>92,1</w:t>
            </w:r>
          </w:p>
        </w:tc>
      </w:tr>
    </w:tbl>
    <w:p w14:paraId="38467E22"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Степень кассового исполнения по расходам областного бюджета оценивается как средний уровень.</w:t>
      </w:r>
    </w:p>
    <w:p w14:paraId="0361A889" w14:textId="77777777" w:rsidR="00A51B25" w:rsidRPr="00FD7B0B" w:rsidRDefault="00A51B25" w:rsidP="00A51B25">
      <w:pPr>
        <w:spacing w:after="0" w:line="240" w:lineRule="auto"/>
        <w:contextualSpacing/>
        <w:rPr>
          <w:rFonts w:ascii="Times New Roman" w:hAnsi="Times New Roman"/>
          <w:sz w:val="24"/>
          <w:szCs w:val="24"/>
        </w:rPr>
      </w:pPr>
    </w:p>
    <w:p w14:paraId="548B3C80"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183</w:t>
      </w:r>
      <w:r w:rsidRPr="00FD7B0B">
        <w:rPr>
          <w:rFonts w:ascii="Times New Roman" w:hAnsi="Times New Roman"/>
          <w:sz w:val="24"/>
          <w:szCs w:val="24"/>
        </w:rPr>
        <w:fldChar w:fldCharType="end"/>
      </w:r>
      <w:r w:rsidRPr="00FD7B0B">
        <w:rPr>
          <w:rFonts w:ascii="Times New Roman" w:hAnsi="Times New Roman"/>
          <w:sz w:val="24"/>
          <w:szCs w:val="24"/>
        </w:rPr>
        <w:t xml:space="preserve">. Анализ объема проектной части </w:t>
      </w:r>
    </w:p>
    <w:tbl>
      <w:tblPr>
        <w:tblStyle w:val="a7"/>
        <w:tblW w:w="9620" w:type="dxa"/>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663"/>
        <w:gridCol w:w="3498"/>
        <w:gridCol w:w="1459"/>
      </w:tblGrid>
      <w:tr w:rsidR="00FD7B0B" w:rsidRPr="00FD7B0B" w14:paraId="48EBB6CB" w14:textId="77777777" w:rsidTr="001375A4">
        <w:trPr>
          <w:trHeight w:val="993"/>
          <w:jc w:val="center"/>
        </w:trPr>
        <w:tc>
          <w:tcPr>
            <w:tcW w:w="4663" w:type="dxa"/>
            <w:vAlign w:val="center"/>
          </w:tcPr>
          <w:p w14:paraId="7C9CE532" w14:textId="77777777" w:rsidR="00A51B25" w:rsidRPr="00FD7B0B" w:rsidRDefault="00A51B25" w:rsidP="00A51B25">
            <w:pPr>
              <w:jc w:val="center"/>
              <w:rPr>
                <w:rFonts w:ascii="Times New Roman" w:hAnsi="Times New Roman"/>
              </w:rPr>
            </w:pPr>
            <w:r w:rsidRPr="00FD7B0B">
              <w:rPr>
                <w:rFonts w:ascii="Times New Roman" w:hAnsi="Times New Roman"/>
              </w:rPr>
              <w:t>объем расходов областного бюджета, направленных на реализацию федеральных проектов, ведомственных проектов, федеральных целевых программ, реализуемых в рамках ГП №17 (в соответствии с показателями СБР на 31.12.2024), млн.руб.</w:t>
            </w:r>
          </w:p>
        </w:tc>
        <w:tc>
          <w:tcPr>
            <w:tcW w:w="3498" w:type="dxa"/>
            <w:vAlign w:val="center"/>
          </w:tcPr>
          <w:p w14:paraId="2A11A22E" w14:textId="77777777" w:rsidR="00A51B25" w:rsidRPr="00FD7B0B" w:rsidRDefault="00A51B25" w:rsidP="00A51B25">
            <w:pPr>
              <w:autoSpaceDE w:val="0"/>
              <w:autoSpaceDN w:val="0"/>
              <w:adjustRightInd w:val="0"/>
              <w:ind w:firstLine="34"/>
              <w:jc w:val="center"/>
              <w:rPr>
                <w:rFonts w:ascii="Times New Roman" w:hAnsi="Times New Roman"/>
              </w:rPr>
            </w:pPr>
            <w:r w:rsidRPr="00FD7B0B">
              <w:rPr>
                <w:rFonts w:ascii="Times New Roman" w:hAnsi="Times New Roman"/>
              </w:rPr>
              <w:t>общий объем расходов областного бюджета, направленных на реализацию ГП № 17 (в соответствии с показателями СБР на 31.12.2024), млн.руб.</w:t>
            </w:r>
          </w:p>
        </w:tc>
        <w:tc>
          <w:tcPr>
            <w:tcW w:w="1459" w:type="dxa"/>
            <w:vAlign w:val="center"/>
          </w:tcPr>
          <w:p w14:paraId="018791A9" w14:textId="77777777" w:rsidR="00A51B25" w:rsidRPr="00FD7B0B" w:rsidRDefault="00A51B25" w:rsidP="00A51B25">
            <w:pPr>
              <w:jc w:val="center"/>
              <w:rPr>
                <w:rFonts w:ascii="Times New Roman" w:hAnsi="Times New Roman"/>
              </w:rPr>
            </w:pPr>
            <w:r w:rsidRPr="00FD7B0B">
              <w:rPr>
                <w:rFonts w:ascii="Times New Roman" w:hAnsi="Times New Roman"/>
              </w:rPr>
              <w:t xml:space="preserve">доля проектной части </w:t>
            </w:r>
            <w:r w:rsidRPr="00FD7B0B">
              <w:rPr>
                <w:rFonts w:ascii="Times New Roman" w:hAnsi="Times New Roman"/>
              </w:rPr>
              <w:br/>
              <w:t>ГП № 17, %</w:t>
            </w:r>
          </w:p>
        </w:tc>
      </w:tr>
      <w:tr w:rsidR="00A51B25" w:rsidRPr="00FD7B0B" w14:paraId="3C16F96B" w14:textId="77777777" w:rsidTr="001375A4">
        <w:trPr>
          <w:jc w:val="center"/>
        </w:trPr>
        <w:tc>
          <w:tcPr>
            <w:tcW w:w="4663" w:type="dxa"/>
            <w:vAlign w:val="center"/>
          </w:tcPr>
          <w:p w14:paraId="15D05EA5" w14:textId="77777777" w:rsidR="00A51B25" w:rsidRPr="00FD7B0B" w:rsidRDefault="00A51B25" w:rsidP="00A51B25">
            <w:pPr>
              <w:jc w:val="center"/>
              <w:rPr>
                <w:rFonts w:ascii="Times New Roman" w:hAnsi="Times New Roman"/>
              </w:rPr>
            </w:pPr>
            <w:r w:rsidRPr="00FD7B0B">
              <w:rPr>
                <w:rFonts w:ascii="Times New Roman" w:hAnsi="Times New Roman"/>
              </w:rPr>
              <w:t>497,7</w:t>
            </w:r>
          </w:p>
        </w:tc>
        <w:tc>
          <w:tcPr>
            <w:tcW w:w="3498" w:type="dxa"/>
            <w:vAlign w:val="center"/>
          </w:tcPr>
          <w:p w14:paraId="75CB9729" w14:textId="77777777" w:rsidR="00A51B25" w:rsidRPr="00FD7B0B" w:rsidRDefault="00A51B25" w:rsidP="00A51B25">
            <w:pPr>
              <w:jc w:val="center"/>
              <w:rPr>
                <w:rFonts w:ascii="Times New Roman" w:hAnsi="Times New Roman"/>
              </w:rPr>
            </w:pPr>
            <w:r w:rsidRPr="00FD7B0B">
              <w:rPr>
                <w:rFonts w:ascii="Times New Roman" w:hAnsi="Times New Roman"/>
              </w:rPr>
              <w:t>12 501,2</w:t>
            </w:r>
          </w:p>
        </w:tc>
        <w:tc>
          <w:tcPr>
            <w:tcW w:w="1459" w:type="dxa"/>
            <w:vAlign w:val="center"/>
          </w:tcPr>
          <w:p w14:paraId="1E72FB14" w14:textId="77777777" w:rsidR="00A51B25" w:rsidRPr="00FD7B0B" w:rsidRDefault="00A51B25" w:rsidP="00A51B25">
            <w:pPr>
              <w:jc w:val="center"/>
              <w:rPr>
                <w:rFonts w:ascii="Times New Roman" w:hAnsi="Times New Roman"/>
              </w:rPr>
            </w:pPr>
            <w:r w:rsidRPr="00FD7B0B">
              <w:rPr>
                <w:rFonts w:ascii="Times New Roman" w:hAnsi="Times New Roman"/>
              </w:rPr>
              <w:t>4,0</w:t>
            </w:r>
          </w:p>
        </w:tc>
      </w:tr>
    </w:tbl>
    <w:p w14:paraId="586B5ED4"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2A21C681"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184</w:t>
      </w:r>
      <w:r w:rsidRPr="00FD7B0B">
        <w:rPr>
          <w:rFonts w:ascii="Times New Roman" w:hAnsi="Times New Roman"/>
          <w:sz w:val="24"/>
          <w:szCs w:val="24"/>
        </w:rPr>
        <w:fldChar w:fldCharType="end"/>
      </w:r>
      <w:r w:rsidRPr="00FD7B0B">
        <w:rPr>
          <w:rFonts w:ascii="Times New Roman" w:hAnsi="Times New Roman"/>
          <w:sz w:val="24"/>
          <w:szCs w:val="24"/>
        </w:rPr>
        <w:t>. Оценка объема изменений, внесенных в сводную бюджетную роспись областного бюджета (в отчетном году)</w:t>
      </w:r>
    </w:p>
    <w:tbl>
      <w:tblPr>
        <w:tblStyle w:val="a7"/>
        <w:tblW w:w="9573"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048"/>
        <w:gridCol w:w="3600"/>
        <w:gridCol w:w="2925"/>
      </w:tblGrid>
      <w:tr w:rsidR="00FD7B0B" w:rsidRPr="00FD7B0B" w14:paraId="3ECF848E" w14:textId="77777777" w:rsidTr="001375A4">
        <w:trPr>
          <w:trHeight w:val="395"/>
        </w:trPr>
        <w:tc>
          <w:tcPr>
            <w:tcW w:w="3048" w:type="dxa"/>
          </w:tcPr>
          <w:p w14:paraId="6CC91462" w14:textId="77777777" w:rsidR="00A51B25" w:rsidRPr="00FD7B0B" w:rsidRDefault="00A51B25" w:rsidP="00A51B25">
            <w:pPr>
              <w:jc w:val="center"/>
              <w:rPr>
                <w:rFonts w:ascii="Times New Roman" w:hAnsi="Times New Roman"/>
              </w:rPr>
            </w:pPr>
            <w:r w:rsidRPr="00FD7B0B">
              <w:rPr>
                <w:rFonts w:ascii="Times New Roman" w:hAnsi="Times New Roman"/>
              </w:rPr>
              <w:t>объем изменения (увеличения и (или) сокращения, внутреннего перераспределения) объема бюджетных ассигнований по ГП № 17, млн.руб.</w:t>
            </w:r>
          </w:p>
        </w:tc>
        <w:tc>
          <w:tcPr>
            <w:tcW w:w="3600" w:type="dxa"/>
          </w:tcPr>
          <w:p w14:paraId="791FE56A" w14:textId="77777777" w:rsidR="00A51B25" w:rsidRPr="00FD7B0B" w:rsidRDefault="00A51B25" w:rsidP="00A51B25">
            <w:pPr>
              <w:autoSpaceDE w:val="0"/>
              <w:autoSpaceDN w:val="0"/>
              <w:adjustRightInd w:val="0"/>
              <w:ind w:firstLine="34"/>
              <w:jc w:val="center"/>
              <w:rPr>
                <w:rFonts w:ascii="Times New Roman" w:hAnsi="Times New Roman"/>
              </w:rPr>
            </w:pPr>
            <w:r w:rsidRPr="00FD7B0B">
              <w:rPr>
                <w:rFonts w:ascii="Times New Roman" w:hAnsi="Times New Roman"/>
              </w:rPr>
              <w:t xml:space="preserve">бюджетные ассигнования областного бюджета, запланированные на реализацию ГП № 17 (в соответствии с утвержденными показателями СБР на 01.01.2024), млн.руб. </w:t>
            </w:r>
          </w:p>
        </w:tc>
        <w:tc>
          <w:tcPr>
            <w:tcW w:w="2925" w:type="dxa"/>
          </w:tcPr>
          <w:p w14:paraId="57B1106A" w14:textId="77777777" w:rsidR="00A51B25" w:rsidRPr="00FD7B0B" w:rsidRDefault="00A51B25" w:rsidP="00A51B25">
            <w:pPr>
              <w:jc w:val="center"/>
              <w:rPr>
                <w:rFonts w:ascii="Times New Roman" w:hAnsi="Times New Roman"/>
              </w:rPr>
            </w:pPr>
            <w:r w:rsidRPr="00FD7B0B">
              <w:rPr>
                <w:rFonts w:ascii="Times New Roman" w:hAnsi="Times New Roman"/>
              </w:rPr>
              <w:t>доля объема изменений (увеличения и (или) сокращения, внутреннего перераспределения) бюджетных ассигнований, %</w:t>
            </w:r>
          </w:p>
        </w:tc>
      </w:tr>
      <w:tr w:rsidR="00FD7B0B" w:rsidRPr="00FD7B0B" w14:paraId="478633FB" w14:textId="77777777" w:rsidTr="001375A4">
        <w:tc>
          <w:tcPr>
            <w:tcW w:w="3048" w:type="dxa"/>
            <w:shd w:val="clear" w:color="auto" w:fill="auto"/>
          </w:tcPr>
          <w:p w14:paraId="3A1D1174" w14:textId="77777777" w:rsidR="00A51B25" w:rsidRPr="00FD7B0B" w:rsidRDefault="00A51B25" w:rsidP="00A51B25">
            <w:pPr>
              <w:jc w:val="center"/>
              <w:rPr>
                <w:rFonts w:ascii="Times New Roman" w:hAnsi="Times New Roman"/>
              </w:rPr>
            </w:pPr>
            <w:r w:rsidRPr="00FD7B0B">
              <w:rPr>
                <w:rFonts w:ascii="Times New Roman" w:hAnsi="Times New Roman"/>
              </w:rPr>
              <w:t>4 010,2</w:t>
            </w:r>
          </w:p>
        </w:tc>
        <w:tc>
          <w:tcPr>
            <w:tcW w:w="3600" w:type="dxa"/>
            <w:shd w:val="clear" w:color="auto" w:fill="auto"/>
          </w:tcPr>
          <w:p w14:paraId="08336F21" w14:textId="77777777" w:rsidR="00A51B25" w:rsidRPr="00FD7B0B" w:rsidRDefault="00A51B25" w:rsidP="00A51B25">
            <w:pPr>
              <w:jc w:val="center"/>
              <w:rPr>
                <w:rFonts w:ascii="Times New Roman" w:hAnsi="Times New Roman"/>
              </w:rPr>
            </w:pPr>
            <w:r w:rsidRPr="00FD7B0B">
              <w:rPr>
                <w:rFonts w:ascii="Times New Roman" w:hAnsi="Times New Roman"/>
              </w:rPr>
              <w:t>6 110,7</w:t>
            </w:r>
          </w:p>
        </w:tc>
        <w:tc>
          <w:tcPr>
            <w:tcW w:w="2925" w:type="dxa"/>
            <w:shd w:val="clear" w:color="auto" w:fill="auto"/>
          </w:tcPr>
          <w:p w14:paraId="383AEC40" w14:textId="77777777" w:rsidR="00A51B25" w:rsidRPr="00FD7B0B" w:rsidRDefault="00A51B25" w:rsidP="00A51B25">
            <w:pPr>
              <w:jc w:val="center"/>
              <w:rPr>
                <w:rFonts w:ascii="Times New Roman" w:hAnsi="Times New Roman"/>
              </w:rPr>
            </w:pPr>
            <w:r w:rsidRPr="00FD7B0B">
              <w:rPr>
                <w:rFonts w:ascii="Times New Roman" w:hAnsi="Times New Roman"/>
              </w:rPr>
              <w:t>65,6</w:t>
            </w:r>
          </w:p>
        </w:tc>
      </w:tr>
    </w:tbl>
    <w:p w14:paraId="02851122"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Доля объема изменений бюджетных ассигнований соответствует низкому уровню оценки.</w:t>
      </w:r>
    </w:p>
    <w:p w14:paraId="45EEFCE0" w14:textId="77777777" w:rsidR="00A51B25" w:rsidRPr="00FD7B0B" w:rsidRDefault="00A51B25" w:rsidP="00A51B25">
      <w:pPr>
        <w:spacing w:after="0" w:line="240" w:lineRule="auto"/>
        <w:contextualSpacing/>
        <w:rPr>
          <w:rFonts w:ascii="Times New Roman" w:hAnsi="Times New Roman"/>
          <w:sz w:val="24"/>
          <w:szCs w:val="24"/>
        </w:rPr>
      </w:pPr>
    </w:p>
    <w:p w14:paraId="7C67E7B4"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185</w:t>
      </w:r>
      <w:r w:rsidRPr="00FD7B0B">
        <w:rPr>
          <w:rFonts w:ascii="Times New Roman" w:hAnsi="Times New Roman"/>
          <w:sz w:val="24"/>
          <w:szCs w:val="24"/>
        </w:rPr>
        <w:fldChar w:fldCharType="end"/>
      </w:r>
      <w:r w:rsidRPr="00FD7B0B">
        <w:rPr>
          <w:rFonts w:ascii="Times New Roman" w:hAnsi="Times New Roman"/>
          <w:sz w:val="24"/>
          <w:szCs w:val="24"/>
        </w:rPr>
        <w:t xml:space="preserve">. Оценка реализации мероприятий (достижения результатов) структурных элементов </w:t>
      </w:r>
    </w:p>
    <w:tbl>
      <w:tblPr>
        <w:tblStyle w:val="a7"/>
        <w:tblW w:w="935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866"/>
        <w:gridCol w:w="3781"/>
        <w:gridCol w:w="2709"/>
      </w:tblGrid>
      <w:tr w:rsidR="00FD7B0B" w:rsidRPr="00FD7B0B" w14:paraId="250F2040" w14:textId="77777777" w:rsidTr="00A51B25">
        <w:trPr>
          <w:trHeight w:val="934"/>
        </w:trPr>
        <w:tc>
          <w:tcPr>
            <w:tcW w:w="2932" w:type="dxa"/>
          </w:tcPr>
          <w:p w14:paraId="3930DC6D" w14:textId="77777777" w:rsidR="00A51B25" w:rsidRPr="00FD7B0B" w:rsidRDefault="00A51B25" w:rsidP="00A51B25">
            <w:pPr>
              <w:jc w:val="center"/>
              <w:rPr>
                <w:rFonts w:ascii="Times New Roman" w:hAnsi="Times New Roman"/>
              </w:rPr>
            </w:pPr>
            <w:r w:rsidRPr="00FD7B0B">
              <w:rPr>
                <w:rFonts w:ascii="Times New Roman" w:hAnsi="Times New Roman"/>
              </w:rPr>
              <w:t>степень достижения мероприятий (результатов) структурного элемента ГП №17 за 2024 год</w:t>
            </w:r>
          </w:p>
        </w:tc>
        <w:tc>
          <w:tcPr>
            <w:tcW w:w="3870" w:type="dxa"/>
          </w:tcPr>
          <w:p w14:paraId="22851B24" w14:textId="77777777" w:rsidR="00A51B25" w:rsidRPr="00FD7B0B" w:rsidRDefault="00A51B25" w:rsidP="00A51B25">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мероприятий (результатов) всех структурных элементов ГП №17, предусмотренных к достижению в 2024 году, ед.</w:t>
            </w:r>
          </w:p>
        </w:tc>
        <w:tc>
          <w:tcPr>
            <w:tcW w:w="2768" w:type="dxa"/>
          </w:tcPr>
          <w:p w14:paraId="676EE9E0" w14:textId="77777777" w:rsidR="00A51B25" w:rsidRPr="00FD7B0B" w:rsidRDefault="00A51B25" w:rsidP="00A51B25">
            <w:pPr>
              <w:jc w:val="center"/>
              <w:rPr>
                <w:rFonts w:ascii="Times New Roman" w:hAnsi="Times New Roman"/>
              </w:rPr>
            </w:pPr>
            <w:r w:rsidRPr="00FD7B0B">
              <w:rPr>
                <w:rFonts w:ascii="Times New Roman" w:hAnsi="Times New Roman"/>
              </w:rPr>
              <w:t>степень достижения всех мероприятий (результатов) всех структурных элементов ГП № 17 за 2024 год, %</w:t>
            </w:r>
          </w:p>
        </w:tc>
      </w:tr>
      <w:tr w:rsidR="00FD7B0B" w:rsidRPr="00FD7B0B" w14:paraId="45FAB591" w14:textId="77777777" w:rsidTr="00A51B25">
        <w:tc>
          <w:tcPr>
            <w:tcW w:w="2932" w:type="dxa"/>
          </w:tcPr>
          <w:p w14:paraId="505503FA" w14:textId="77777777" w:rsidR="00A51B25" w:rsidRPr="00FD7B0B" w:rsidRDefault="00A51B25" w:rsidP="00A51B25">
            <w:pPr>
              <w:jc w:val="center"/>
              <w:rPr>
                <w:rFonts w:ascii="Times New Roman" w:hAnsi="Times New Roman"/>
              </w:rPr>
            </w:pPr>
            <w:r w:rsidRPr="00FD7B0B">
              <w:rPr>
                <w:rFonts w:ascii="Times New Roman" w:hAnsi="Times New Roman"/>
              </w:rPr>
              <w:t>19,36</w:t>
            </w:r>
          </w:p>
        </w:tc>
        <w:tc>
          <w:tcPr>
            <w:tcW w:w="3870" w:type="dxa"/>
          </w:tcPr>
          <w:p w14:paraId="688667A8" w14:textId="77777777" w:rsidR="00A51B25" w:rsidRPr="00FD7B0B" w:rsidRDefault="00A51B25" w:rsidP="00A51B25">
            <w:pPr>
              <w:jc w:val="center"/>
              <w:rPr>
                <w:rFonts w:ascii="Times New Roman" w:hAnsi="Times New Roman"/>
              </w:rPr>
            </w:pPr>
            <w:r w:rsidRPr="00FD7B0B">
              <w:rPr>
                <w:rFonts w:ascii="Times New Roman" w:hAnsi="Times New Roman"/>
              </w:rPr>
              <w:t>21,0</w:t>
            </w:r>
          </w:p>
        </w:tc>
        <w:tc>
          <w:tcPr>
            <w:tcW w:w="2768" w:type="dxa"/>
          </w:tcPr>
          <w:p w14:paraId="07439012" w14:textId="77777777" w:rsidR="00A51B25" w:rsidRPr="00FD7B0B" w:rsidRDefault="00A51B25" w:rsidP="00A51B25">
            <w:pPr>
              <w:jc w:val="center"/>
              <w:rPr>
                <w:rFonts w:ascii="Times New Roman" w:hAnsi="Times New Roman"/>
              </w:rPr>
            </w:pPr>
            <w:r w:rsidRPr="00FD7B0B">
              <w:rPr>
                <w:rFonts w:ascii="Times New Roman" w:hAnsi="Times New Roman"/>
              </w:rPr>
              <w:t>92,2</w:t>
            </w:r>
          </w:p>
        </w:tc>
      </w:tr>
    </w:tbl>
    <w:p w14:paraId="3E1449E7"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lastRenderedPageBreak/>
        <w:t>В связи с внесением изменений после 1 декабря 2024 года в части ухудшения ранее установленных плановых показателей реализации мероприятий, присваивается оценка – «средний уровень».</w:t>
      </w:r>
    </w:p>
    <w:p w14:paraId="2B63EEAC" w14:textId="77777777" w:rsidR="00A51B25" w:rsidRPr="00FD7B0B" w:rsidRDefault="00A51B25" w:rsidP="00A51B25">
      <w:pPr>
        <w:spacing w:after="0" w:line="240" w:lineRule="auto"/>
        <w:contextualSpacing/>
        <w:rPr>
          <w:rFonts w:ascii="Times New Roman" w:hAnsi="Times New Roman"/>
          <w:sz w:val="24"/>
          <w:szCs w:val="24"/>
        </w:rPr>
      </w:pPr>
    </w:p>
    <w:p w14:paraId="33C80876"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186</w:t>
      </w:r>
      <w:r w:rsidRPr="00FD7B0B">
        <w:rPr>
          <w:rFonts w:ascii="Times New Roman" w:hAnsi="Times New Roman"/>
          <w:sz w:val="24"/>
          <w:szCs w:val="24"/>
        </w:rPr>
        <w:fldChar w:fldCharType="end"/>
      </w:r>
      <w:r w:rsidRPr="00FD7B0B">
        <w:rPr>
          <w:rFonts w:ascii="Times New Roman" w:hAnsi="Times New Roman"/>
          <w:sz w:val="24"/>
          <w:szCs w:val="24"/>
        </w:rPr>
        <w:t xml:space="preserve">. Оценка достижения плановых значений показателей </w:t>
      </w:r>
    </w:p>
    <w:tbl>
      <w:tblPr>
        <w:tblW w:w="960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215"/>
        <w:gridCol w:w="2387"/>
      </w:tblGrid>
      <w:tr w:rsidR="00FD7B0B" w:rsidRPr="00FD7B0B" w14:paraId="12C98DB6" w14:textId="77777777" w:rsidTr="001375A4">
        <w:trPr>
          <w:trHeight w:val="300"/>
        </w:trPr>
        <w:tc>
          <w:tcPr>
            <w:tcW w:w="7215" w:type="dxa"/>
            <w:vMerge w:val="restart"/>
            <w:vAlign w:val="center"/>
            <w:hideMark/>
          </w:tcPr>
          <w:p w14:paraId="1BF977C1" w14:textId="77777777" w:rsidR="00A51B25" w:rsidRPr="00FD7B0B" w:rsidRDefault="00A51B25" w:rsidP="00A51B2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Наименование целевого показателя (индикатора) в 2023 году</w:t>
            </w:r>
          </w:p>
        </w:tc>
        <w:tc>
          <w:tcPr>
            <w:tcW w:w="2387" w:type="dxa"/>
            <w:vMerge w:val="restart"/>
            <w:vAlign w:val="center"/>
            <w:hideMark/>
          </w:tcPr>
          <w:p w14:paraId="4C73D545" w14:textId="77777777" w:rsidR="00A51B25" w:rsidRPr="00FD7B0B" w:rsidRDefault="00A51B25" w:rsidP="00A51B25">
            <w:pPr>
              <w:spacing w:after="0" w:line="240" w:lineRule="auto"/>
              <w:jc w:val="center"/>
              <w:rPr>
                <w:rFonts w:ascii="Times New Roman" w:eastAsia="Times New Roman" w:hAnsi="Times New Roman"/>
                <w:sz w:val="20"/>
                <w:szCs w:val="20"/>
                <w:lang w:eastAsia="ru-RU"/>
              </w:rPr>
            </w:pPr>
            <w:r w:rsidRPr="00FD7B0B">
              <w:rPr>
                <w:rFonts w:ascii="Times New Roman" w:hAnsi="Times New Roman"/>
                <w:sz w:val="20"/>
                <w:szCs w:val="20"/>
              </w:rPr>
              <w:t xml:space="preserve">степень достижения показателя </w:t>
            </w:r>
            <w:r w:rsidRPr="00FD7B0B">
              <w:rPr>
                <w:rFonts w:ascii="Times New Roman" w:hAnsi="Times New Roman"/>
                <w:sz w:val="20"/>
                <w:szCs w:val="20"/>
              </w:rPr>
              <w:br/>
              <w:t>ГП № 17, %</w:t>
            </w:r>
          </w:p>
        </w:tc>
      </w:tr>
      <w:tr w:rsidR="00FD7B0B" w:rsidRPr="00FD7B0B" w14:paraId="17A0C9C7" w14:textId="77777777" w:rsidTr="00E005AC">
        <w:trPr>
          <w:trHeight w:val="450"/>
        </w:trPr>
        <w:tc>
          <w:tcPr>
            <w:tcW w:w="7215" w:type="dxa"/>
            <w:vMerge/>
            <w:vAlign w:val="center"/>
            <w:hideMark/>
          </w:tcPr>
          <w:p w14:paraId="594E4A32" w14:textId="77777777" w:rsidR="00A51B25" w:rsidRPr="00FD7B0B" w:rsidRDefault="00A51B25" w:rsidP="00A51B25">
            <w:pPr>
              <w:spacing w:after="0" w:line="240" w:lineRule="auto"/>
              <w:rPr>
                <w:rFonts w:ascii="Times New Roman" w:eastAsia="Times New Roman" w:hAnsi="Times New Roman"/>
                <w:sz w:val="20"/>
                <w:szCs w:val="20"/>
                <w:lang w:eastAsia="ru-RU"/>
              </w:rPr>
            </w:pPr>
          </w:p>
        </w:tc>
        <w:tc>
          <w:tcPr>
            <w:tcW w:w="2387" w:type="dxa"/>
            <w:vMerge/>
            <w:vAlign w:val="center"/>
            <w:hideMark/>
          </w:tcPr>
          <w:p w14:paraId="2B813A28" w14:textId="77777777" w:rsidR="00A51B25" w:rsidRPr="00FD7B0B" w:rsidRDefault="00A51B25" w:rsidP="00A51B25">
            <w:pPr>
              <w:spacing w:after="0" w:line="240" w:lineRule="auto"/>
              <w:rPr>
                <w:rFonts w:ascii="Times New Roman" w:eastAsia="Times New Roman" w:hAnsi="Times New Roman"/>
                <w:sz w:val="20"/>
                <w:szCs w:val="20"/>
                <w:lang w:eastAsia="ru-RU"/>
              </w:rPr>
            </w:pPr>
          </w:p>
        </w:tc>
      </w:tr>
      <w:tr w:rsidR="00FD7B0B" w:rsidRPr="00FD7B0B" w14:paraId="090CBF42" w14:textId="77777777" w:rsidTr="001375A4">
        <w:trPr>
          <w:trHeight w:val="346"/>
        </w:trPr>
        <w:tc>
          <w:tcPr>
            <w:tcW w:w="7215" w:type="dxa"/>
            <w:vAlign w:val="center"/>
            <w:hideMark/>
          </w:tcPr>
          <w:p w14:paraId="0E69A872" w14:textId="77777777" w:rsidR="00A51B25" w:rsidRPr="00FD7B0B" w:rsidRDefault="00A51B25" w:rsidP="00A51B2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Уровень удовлетворенности населения Архангельской области качеством предоставляемых коммунальных услуг, %</w:t>
            </w:r>
          </w:p>
        </w:tc>
        <w:tc>
          <w:tcPr>
            <w:tcW w:w="2387" w:type="dxa"/>
            <w:vAlign w:val="center"/>
            <w:hideMark/>
          </w:tcPr>
          <w:p w14:paraId="066FC607" w14:textId="77777777" w:rsidR="00A51B25" w:rsidRPr="00FD7B0B" w:rsidRDefault="00A51B25" w:rsidP="00A51B2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96,6</w:t>
            </w:r>
          </w:p>
        </w:tc>
      </w:tr>
      <w:tr w:rsidR="00FD7B0B" w:rsidRPr="00FD7B0B" w14:paraId="0C0F9856" w14:textId="77777777" w:rsidTr="001375A4">
        <w:trPr>
          <w:trHeight w:val="753"/>
        </w:trPr>
        <w:tc>
          <w:tcPr>
            <w:tcW w:w="7215" w:type="dxa"/>
            <w:vAlign w:val="center"/>
            <w:hideMark/>
          </w:tcPr>
          <w:p w14:paraId="4911E9BE" w14:textId="77777777" w:rsidR="00A51B25" w:rsidRPr="00FD7B0B" w:rsidRDefault="00A51B25" w:rsidP="00A51B2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Полнота исполнения расходных обязательств Архангельской области, вытекающих из государственного регулирования цен (тарифов) (отношение фактически перечисленных средств субсидий и грантов в форме субсидий к установленным областным бюджетом бюджетным ассигнованиям), %</w:t>
            </w:r>
          </w:p>
        </w:tc>
        <w:tc>
          <w:tcPr>
            <w:tcW w:w="2387" w:type="dxa"/>
            <w:vAlign w:val="center"/>
            <w:hideMark/>
          </w:tcPr>
          <w:p w14:paraId="4F4102A7" w14:textId="77777777" w:rsidR="00A51B25" w:rsidRPr="00FD7B0B" w:rsidRDefault="00A51B25" w:rsidP="00A51B2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100,0</w:t>
            </w:r>
          </w:p>
        </w:tc>
      </w:tr>
      <w:tr w:rsidR="00FD7B0B" w:rsidRPr="00FD7B0B" w14:paraId="54B1BA42" w14:textId="77777777" w:rsidTr="001375A4">
        <w:trPr>
          <w:trHeight w:val="210"/>
        </w:trPr>
        <w:tc>
          <w:tcPr>
            <w:tcW w:w="7215" w:type="dxa"/>
            <w:vAlign w:val="center"/>
          </w:tcPr>
          <w:p w14:paraId="4D53E2A6" w14:textId="77777777" w:rsidR="00A51B25" w:rsidRPr="00FD7B0B" w:rsidRDefault="00A51B25" w:rsidP="00A51B25">
            <w:pPr>
              <w:spacing w:after="0" w:line="240" w:lineRule="auto"/>
              <w:rPr>
                <w:rFonts w:ascii="Times New Roman" w:eastAsia="Times New Roman" w:hAnsi="Times New Roman"/>
                <w:sz w:val="20"/>
                <w:szCs w:val="20"/>
                <w:lang w:eastAsia="ru-RU"/>
              </w:rPr>
            </w:pPr>
            <w:r w:rsidRPr="00FD7B0B">
              <w:rPr>
                <w:rFonts w:ascii="Times New Roman" w:hAnsi="Times New Roman"/>
                <w:sz w:val="20"/>
                <w:szCs w:val="20"/>
              </w:rPr>
              <w:t>степень достижения всех показателей ГП № 17</w:t>
            </w:r>
          </w:p>
        </w:tc>
        <w:tc>
          <w:tcPr>
            <w:tcW w:w="2387" w:type="dxa"/>
            <w:vAlign w:val="center"/>
          </w:tcPr>
          <w:p w14:paraId="262AD81E" w14:textId="77777777" w:rsidR="00A51B25" w:rsidRPr="00FD7B0B" w:rsidRDefault="00A51B25" w:rsidP="00A51B2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98,3</w:t>
            </w:r>
          </w:p>
        </w:tc>
      </w:tr>
    </w:tbl>
    <w:p w14:paraId="41435B21"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Степень достижения всех показателей ГП №17 составляет 98,3% (90 % и более), что соответствует «высокому уровню».</w:t>
      </w:r>
    </w:p>
    <w:tbl>
      <w:tblPr>
        <w:tblStyle w:val="a7"/>
        <w:tblW w:w="935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479"/>
        <w:gridCol w:w="3172"/>
        <w:gridCol w:w="2705"/>
      </w:tblGrid>
      <w:tr w:rsidR="00FD7B0B" w:rsidRPr="00FD7B0B" w14:paraId="60E4981E" w14:textId="77777777" w:rsidTr="00A51B25">
        <w:trPr>
          <w:trHeight w:val="221"/>
        </w:trPr>
        <w:tc>
          <w:tcPr>
            <w:tcW w:w="3529" w:type="dxa"/>
            <w:vAlign w:val="center"/>
          </w:tcPr>
          <w:p w14:paraId="500BE312" w14:textId="77777777" w:rsidR="00A51B25" w:rsidRPr="00FD7B0B" w:rsidRDefault="00A51B25" w:rsidP="00A51B25">
            <w:pPr>
              <w:jc w:val="center"/>
              <w:rPr>
                <w:rFonts w:ascii="Times New Roman" w:hAnsi="Times New Roman"/>
              </w:rPr>
            </w:pPr>
            <w:r w:rsidRPr="00FD7B0B">
              <w:rPr>
                <w:rFonts w:ascii="Times New Roman" w:hAnsi="Times New Roman"/>
              </w:rPr>
              <w:t>количество выполненных показателей ГП № 17, ед.</w:t>
            </w:r>
          </w:p>
        </w:tc>
        <w:tc>
          <w:tcPr>
            <w:tcW w:w="3218" w:type="dxa"/>
            <w:vAlign w:val="center"/>
          </w:tcPr>
          <w:p w14:paraId="7312FA75" w14:textId="77777777" w:rsidR="00A51B25" w:rsidRPr="00FD7B0B" w:rsidRDefault="00A51B25" w:rsidP="00A51B25">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ГП № 17, ед.</w:t>
            </w:r>
          </w:p>
        </w:tc>
        <w:tc>
          <w:tcPr>
            <w:tcW w:w="2736" w:type="dxa"/>
            <w:vAlign w:val="center"/>
          </w:tcPr>
          <w:p w14:paraId="3A1F614D" w14:textId="77777777" w:rsidR="00A51B25" w:rsidRPr="00FD7B0B" w:rsidRDefault="00A51B25" w:rsidP="00A51B25">
            <w:pPr>
              <w:jc w:val="center"/>
              <w:rPr>
                <w:rFonts w:ascii="Times New Roman" w:hAnsi="Times New Roman"/>
              </w:rPr>
            </w:pPr>
            <w:r w:rsidRPr="00FD7B0B">
              <w:rPr>
                <w:rFonts w:ascii="Times New Roman" w:hAnsi="Times New Roman"/>
              </w:rPr>
              <w:t>доля выполненных показателей ГП № 17, %</w:t>
            </w:r>
          </w:p>
        </w:tc>
      </w:tr>
      <w:tr w:rsidR="00FD7B0B" w:rsidRPr="00FD7B0B" w14:paraId="38CDB1B5" w14:textId="77777777" w:rsidTr="00A51B25">
        <w:trPr>
          <w:trHeight w:val="264"/>
        </w:trPr>
        <w:tc>
          <w:tcPr>
            <w:tcW w:w="3529" w:type="dxa"/>
            <w:vAlign w:val="center"/>
          </w:tcPr>
          <w:p w14:paraId="3CACAC3D" w14:textId="77777777" w:rsidR="00A51B25" w:rsidRPr="00FD7B0B" w:rsidRDefault="00A51B25" w:rsidP="00A51B25">
            <w:pPr>
              <w:jc w:val="center"/>
              <w:rPr>
                <w:rFonts w:ascii="Times New Roman" w:hAnsi="Times New Roman"/>
              </w:rPr>
            </w:pPr>
            <w:r w:rsidRPr="00FD7B0B">
              <w:rPr>
                <w:rFonts w:ascii="Times New Roman" w:hAnsi="Times New Roman"/>
              </w:rPr>
              <w:t>1</w:t>
            </w:r>
          </w:p>
        </w:tc>
        <w:tc>
          <w:tcPr>
            <w:tcW w:w="3218" w:type="dxa"/>
            <w:vAlign w:val="center"/>
          </w:tcPr>
          <w:p w14:paraId="475864DF" w14:textId="77777777" w:rsidR="00A51B25" w:rsidRPr="00FD7B0B" w:rsidRDefault="00A51B25" w:rsidP="00A51B25">
            <w:pPr>
              <w:jc w:val="center"/>
              <w:rPr>
                <w:rFonts w:ascii="Times New Roman" w:hAnsi="Times New Roman"/>
              </w:rPr>
            </w:pPr>
            <w:r w:rsidRPr="00FD7B0B">
              <w:rPr>
                <w:rFonts w:ascii="Times New Roman" w:hAnsi="Times New Roman"/>
              </w:rPr>
              <w:t>2</w:t>
            </w:r>
          </w:p>
        </w:tc>
        <w:tc>
          <w:tcPr>
            <w:tcW w:w="2736" w:type="dxa"/>
            <w:vAlign w:val="center"/>
          </w:tcPr>
          <w:p w14:paraId="25228825" w14:textId="77777777" w:rsidR="00A51B25" w:rsidRPr="00FD7B0B" w:rsidRDefault="00A51B25" w:rsidP="00A51B25">
            <w:pPr>
              <w:jc w:val="center"/>
              <w:rPr>
                <w:rFonts w:ascii="Times New Roman" w:hAnsi="Times New Roman"/>
              </w:rPr>
            </w:pPr>
            <w:r w:rsidRPr="00FD7B0B">
              <w:rPr>
                <w:rFonts w:ascii="Times New Roman" w:hAnsi="Times New Roman"/>
              </w:rPr>
              <w:t>50</w:t>
            </w:r>
          </w:p>
        </w:tc>
      </w:tr>
    </w:tbl>
    <w:p w14:paraId="4627446C" w14:textId="77777777" w:rsidR="00A51B25" w:rsidRPr="00FD7B0B" w:rsidRDefault="00A51B25" w:rsidP="00A51B25">
      <w:pPr>
        <w:spacing w:after="0" w:line="320" w:lineRule="atLeast"/>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Доля выполненных показателей оценивается как низкий уровень.</w:t>
      </w:r>
    </w:p>
    <w:p w14:paraId="6B78AAA4"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0F373364" w14:textId="3FD32EBA"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187</w:t>
      </w:r>
      <w:r w:rsidRPr="00FD7B0B">
        <w:rPr>
          <w:rFonts w:ascii="Times New Roman" w:hAnsi="Times New Roman"/>
          <w:sz w:val="24"/>
          <w:szCs w:val="24"/>
        </w:rPr>
        <w:fldChar w:fldCharType="end"/>
      </w:r>
      <w:r w:rsidRPr="00FD7B0B">
        <w:rPr>
          <w:rFonts w:ascii="Times New Roman" w:hAnsi="Times New Roman"/>
          <w:sz w:val="24"/>
          <w:szCs w:val="24"/>
        </w:rPr>
        <w:t>.</w:t>
      </w:r>
      <w:r w:rsidR="001B07CB" w:rsidRPr="00FD7B0B">
        <w:rPr>
          <w:rFonts w:ascii="Times New Roman" w:hAnsi="Times New Roman"/>
          <w:sz w:val="24"/>
          <w:szCs w:val="24"/>
        </w:rPr>
        <w:t xml:space="preserve"> </w:t>
      </w:r>
      <w:r w:rsidRPr="00FD7B0B">
        <w:rPr>
          <w:rFonts w:ascii="Times New Roman" w:hAnsi="Times New Roman"/>
          <w:sz w:val="24"/>
          <w:szCs w:val="24"/>
        </w:rPr>
        <w:t xml:space="preserve">Оценка динамики дебиторской задолженности по расчетам по авансовым платежам </w:t>
      </w:r>
    </w:p>
    <w:tbl>
      <w:tblPr>
        <w:tblStyle w:val="a7"/>
        <w:tblW w:w="9601"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671"/>
        <w:gridCol w:w="3544"/>
        <w:gridCol w:w="2386"/>
      </w:tblGrid>
      <w:tr w:rsidR="00FD7B0B" w:rsidRPr="00FD7B0B" w14:paraId="4AA2A89C" w14:textId="77777777" w:rsidTr="00324099">
        <w:trPr>
          <w:trHeight w:val="536"/>
        </w:trPr>
        <w:tc>
          <w:tcPr>
            <w:tcW w:w="3671" w:type="dxa"/>
          </w:tcPr>
          <w:p w14:paraId="53BB46B0" w14:textId="77777777" w:rsidR="00A51B25" w:rsidRPr="00FD7B0B" w:rsidRDefault="00A51B25" w:rsidP="00A51B25">
            <w:pPr>
              <w:jc w:val="center"/>
              <w:rPr>
                <w:rFonts w:ascii="Times New Roman" w:hAnsi="Times New Roman"/>
              </w:rPr>
            </w:pPr>
            <w:r w:rsidRPr="00FD7B0B">
              <w:rPr>
                <w:rFonts w:ascii="Times New Roman" w:hAnsi="Times New Roman"/>
              </w:rPr>
              <w:t>объем просроченной дебиторской задолженности по авансовым платежам в рамках ГП №17 на конец отчетного года (данные формы 0503169 "Сведения по дебиторской и кредиторской задолженности" за 2024 год), млн.руб.</w:t>
            </w:r>
          </w:p>
        </w:tc>
        <w:tc>
          <w:tcPr>
            <w:tcW w:w="3544" w:type="dxa"/>
          </w:tcPr>
          <w:p w14:paraId="5293B317" w14:textId="77777777" w:rsidR="00A51B25" w:rsidRPr="00FD7B0B" w:rsidRDefault="00A51B25" w:rsidP="00A51B25">
            <w:pPr>
              <w:autoSpaceDE w:val="0"/>
              <w:autoSpaceDN w:val="0"/>
              <w:adjustRightInd w:val="0"/>
              <w:ind w:firstLine="34"/>
              <w:jc w:val="center"/>
              <w:rPr>
                <w:rFonts w:ascii="Times New Roman" w:hAnsi="Times New Roman"/>
                <w:szCs w:val="24"/>
              </w:rPr>
            </w:pPr>
            <w:r w:rsidRPr="00FD7B0B">
              <w:rPr>
                <w:rFonts w:ascii="Times New Roman" w:hAnsi="Times New Roman"/>
                <w:szCs w:val="24"/>
              </w:rPr>
              <w:t>общий объем дебиторской задолженности по авансовым платежам в рамках ГП №17 на конец отчетного года (данные формы 0503169 "Сведения по дебиторской и кредиторской задолженности" за 2024 год), млн.руб.</w:t>
            </w:r>
          </w:p>
        </w:tc>
        <w:tc>
          <w:tcPr>
            <w:tcW w:w="2386" w:type="dxa"/>
          </w:tcPr>
          <w:p w14:paraId="074A5B71" w14:textId="77777777" w:rsidR="00A51B25" w:rsidRPr="00FD7B0B" w:rsidRDefault="00A51B25" w:rsidP="00A51B25">
            <w:pPr>
              <w:jc w:val="center"/>
              <w:rPr>
                <w:rFonts w:ascii="Times New Roman" w:hAnsi="Times New Roman"/>
              </w:rPr>
            </w:pPr>
            <w:r w:rsidRPr="00FD7B0B">
              <w:rPr>
                <w:rFonts w:ascii="Times New Roman" w:hAnsi="Times New Roman"/>
              </w:rPr>
              <w:t>доля просроченной дебиторской задолженности в общем объеме дебиторской задолженности по ГП №17 за 2024 год, %</w:t>
            </w:r>
          </w:p>
        </w:tc>
      </w:tr>
      <w:tr w:rsidR="00A51B25" w:rsidRPr="00FD7B0B" w14:paraId="0C307201" w14:textId="77777777" w:rsidTr="00324099">
        <w:tc>
          <w:tcPr>
            <w:tcW w:w="3671" w:type="dxa"/>
          </w:tcPr>
          <w:p w14:paraId="5D2B491A" w14:textId="77777777" w:rsidR="00A51B25" w:rsidRPr="00FD7B0B" w:rsidRDefault="00A51B25" w:rsidP="00A51B25">
            <w:pPr>
              <w:jc w:val="center"/>
              <w:rPr>
                <w:rFonts w:ascii="Times New Roman" w:hAnsi="Times New Roman"/>
              </w:rPr>
            </w:pPr>
            <w:r w:rsidRPr="00FD7B0B">
              <w:rPr>
                <w:rFonts w:ascii="Times New Roman" w:hAnsi="Times New Roman"/>
              </w:rPr>
              <w:t>0,0</w:t>
            </w:r>
          </w:p>
        </w:tc>
        <w:tc>
          <w:tcPr>
            <w:tcW w:w="3544" w:type="dxa"/>
          </w:tcPr>
          <w:p w14:paraId="60A061E1" w14:textId="77777777" w:rsidR="00A51B25" w:rsidRPr="00FD7B0B" w:rsidRDefault="00A51B25" w:rsidP="00A51B25">
            <w:pPr>
              <w:jc w:val="center"/>
              <w:rPr>
                <w:rFonts w:ascii="Times New Roman" w:hAnsi="Times New Roman"/>
              </w:rPr>
            </w:pPr>
            <w:r w:rsidRPr="00FD7B0B">
              <w:rPr>
                <w:rFonts w:ascii="Times New Roman" w:hAnsi="Times New Roman"/>
              </w:rPr>
              <w:t>1 008,7</w:t>
            </w:r>
          </w:p>
        </w:tc>
        <w:tc>
          <w:tcPr>
            <w:tcW w:w="2386" w:type="dxa"/>
          </w:tcPr>
          <w:p w14:paraId="03D7E31D" w14:textId="77777777" w:rsidR="00A51B25" w:rsidRPr="00FD7B0B" w:rsidRDefault="00A51B25" w:rsidP="00A51B25">
            <w:pPr>
              <w:jc w:val="center"/>
              <w:rPr>
                <w:rFonts w:ascii="Times New Roman" w:hAnsi="Times New Roman"/>
              </w:rPr>
            </w:pPr>
            <w:r w:rsidRPr="00FD7B0B">
              <w:rPr>
                <w:rFonts w:ascii="Times New Roman" w:hAnsi="Times New Roman"/>
              </w:rPr>
              <w:t>0</w:t>
            </w:r>
          </w:p>
        </w:tc>
      </w:tr>
    </w:tbl>
    <w:p w14:paraId="3992591F" w14:textId="77777777" w:rsidR="00A51B25" w:rsidRPr="00FD7B0B" w:rsidRDefault="00A51B25" w:rsidP="00A51B25">
      <w:pPr>
        <w:spacing w:after="0" w:line="240" w:lineRule="auto"/>
        <w:jc w:val="both"/>
        <w:rPr>
          <w:rFonts w:ascii="Times New Roman" w:hAnsi="Times New Roman"/>
          <w:sz w:val="28"/>
          <w:szCs w:val="28"/>
        </w:rPr>
      </w:pPr>
    </w:p>
    <w:tbl>
      <w:tblPr>
        <w:tblStyle w:val="a7"/>
        <w:tblW w:w="935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809"/>
        <w:gridCol w:w="702"/>
        <w:gridCol w:w="1845"/>
      </w:tblGrid>
      <w:tr w:rsidR="00A51B25" w:rsidRPr="00FD7B0B" w14:paraId="62D81F05" w14:textId="77777777" w:rsidTr="00A51B25">
        <w:trPr>
          <w:trHeight w:val="374"/>
        </w:trPr>
        <w:tc>
          <w:tcPr>
            <w:tcW w:w="6912" w:type="dxa"/>
          </w:tcPr>
          <w:p w14:paraId="3E71BC0D" w14:textId="77777777" w:rsidR="00A51B25" w:rsidRPr="00FD7B0B" w:rsidRDefault="00A51B25" w:rsidP="00A51B25">
            <w:pPr>
              <w:jc w:val="both"/>
              <w:rPr>
                <w:rFonts w:ascii="Times New Roman" w:hAnsi="Times New Roman"/>
              </w:rPr>
            </w:pPr>
            <w:r w:rsidRPr="00FD7B0B">
              <w:rPr>
                <w:rFonts w:ascii="Times New Roman" w:hAnsi="Times New Roman"/>
              </w:rPr>
              <w:t xml:space="preserve">доля просроченной дебиторской задолженности в общем объеме дебиторской задолженности по ГП №17 за отчетный год </w:t>
            </w:r>
          </w:p>
        </w:tc>
        <w:tc>
          <w:tcPr>
            <w:tcW w:w="709" w:type="dxa"/>
          </w:tcPr>
          <w:p w14:paraId="2C4804A2" w14:textId="77777777" w:rsidR="00A51B25" w:rsidRPr="00FD7B0B" w:rsidRDefault="00A51B25" w:rsidP="00A51B25">
            <w:pPr>
              <w:jc w:val="center"/>
              <w:rPr>
                <w:rFonts w:ascii="Times New Roman" w:hAnsi="Times New Roman"/>
              </w:rPr>
            </w:pPr>
            <w:r w:rsidRPr="00FD7B0B">
              <w:rPr>
                <w:rFonts w:ascii="Times New Roman" w:hAnsi="Times New Roman"/>
              </w:rPr>
              <w:t>0</w:t>
            </w:r>
          </w:p>
        </w:tc>
        <w:tc>
          <w:tcPr>
            <w:tcW w:w="1862" w:type="dxa"/>
          </w:tcPr>
          <w:p w14:paraId="61E68062" w14:textId="77777777" w:rsidR="00A51B25" w:rsidRPr="00FD7B0B" w:rsidRDefault="00A51B25" w:rsidP="00A51B25">
            <w:pPr>
              <w:jc w:val="center"/>
              <w:rPr>
                <w:rFonts w:ascii="Times New Roman" w:hAnsi="Times New Roman"/>
              </w:rPr>
            </w:pPr>
            <w:r w:rsidRPr="00FD7B0B">
              <w:rPr>
                <w:rFonts w:ascii="Times New Roman" w:hAnsi="Times New Roman"/>
              </w:rPr>
              <w:t>высокий уровень</w:t>
            </w:r>
          </w:p>
        </w:tc>
      </w:tr>
    </w:tbl>
    <w:p w14:paraId="182AE07B" w14:textId="77777777" w:rsidR="00A51B25" w:rsidRPr="00FD7B0B" w:rsidRDefault="00A51B25" w:rsidP="00A51B25">
      <w:pPr>
        <w:spacing w:after="0" w:line="240" w:lineRule="auto"/>
        <w:jc w:val="both"/>
        <w:rPr>
          <w:rFonts w:ascii="Times New Roman" w:hAnsi="Times New Roman"/>
          <w:sz w:val="28"/>
          <w:szCs w:val="28"/>
        </w:rPr>
      </w:pPr>
    </w:p>
    <w:tbl>
      <w:tblPr>
        <w:tblStyle w:val="a7"/>
        <w:tblW w:w="961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032"/>
        <w:gridCol w:w="3190"/>
        <w:gridCol w:w="1547"/>
        <w:gridCol w:w="1849"/>
      </w:tblGrid>
      <w:tr w:rsidR="00FD7B0B" w:rsidRPr="00FD7B0B" w14:paraId="45A4F0C4" w14:textId="77777777" w:rsidTr="00324099">
        <w:trPr>
          <w:trHeight w:val="1871"/>
        </w:trPr>
        <w:tc>
          <w:tcPr>
            <w:tcW w:w="3032" w:type="dxa"/>
          </w:tcPr>
          <w:p w14:paraId="3FF2841C" w14:textId="77777777" w:rsidR="00A51B25" w:rsidRPr="00FD7B0B" w:rsidRDefault="00A51B25" w:rsidP="00A51B25">
            <w:pPr>
              <w:jc w:val="center"/>
              <w:rPr>
                <w:rFonts w:ascii="Times New Roman" w:hAnsi="Times New Roman"/>
              </w:rPr>
            </w:pPr>
            <w:r w:rsidRPr="00FD7B0B">
              <w:rPr>
                <w:rFonts w:ascii="Times New Roman" w:hAnsi="Times New Roman"/>
              </w:rPr>
              <w:t>объем дебиторской задолженности по авансовым платежам в рамках ГП №17 на конец отчетного года (данные формы 0503169 "Сведения по дебиторской и кредиторской задолженности" за 2024 год), млн.руб.</w:t>
            </w:r>
          </w:p>
        </w:tc>
        <w:tc>
          <w:tcPr>
            <w:tcW w:w="3190" w:type="dxa"/>
          </w:tcPr>
          <w:p w14:paraId="55C2ED34" w14:textId="77777777" w:rsidR="00A51B25" w:rsidRPr="00FD7B0B" w:rsidRDefault="00A51B25" w:rsidP="00A51B25">
            <w:pPr>
              <w:autoSpaceDE w:val="0"/>
              <w:autoSpaceDN w:val="0"/>
              <w:adjustRightInd w:val="0"/>
              <w:ind w:firstLine="34"/>
              <w:jc w:val="center"/>
              <w:rPr>
                <w:rFonts w:ascii="Times New Roman" w:hAnsi="Times New Roman"/>
              </w:rPr>
            </w:pPr>
            <w:r w:rsidRPr="00FD7B0B">
              <w:rPr>
                <w:rFonts w:ascii="Times New Roman" w:hAnsi="Times New Roman"/>
              </w:rPr>
              <w:t>объем дебиторской задолженности по авансовым платежам в рамках ГП №17 на начало отчетного года (данные формы 0503169 "Сведения по дебиторской и кредиторской задолженности" за 2024 год), млн.руб.</w:t>
            </w:r>
          </w:p>
        </w:tc>
        <w:tc>
          <w:tcPr>
            <w:tcW w:w="1547" w:type="dxa"/>
          </w:tcPr>
          <w:p w14:paraId="3212C539" w14:textId="77777777" w:rsidR="00A51B25" w:rsidRPr="00FD7B0B" w:rsidRDefault="00A51B25" w:rsidP="00A51B25">
            <w:pPr>
              <w:jc w:val="center"/>
              <w:rPr>
                <w:rFonts w:ascii="Times New Roman" w:hAnsi="Times New Roman"/>
              </w:rPr>
            </w:pPr>
            <w:r w:rsidRPr="00FD7B0B">
              <w:rPr>
                <w:rFonts w:ascii="Times New Roman" w:hAnsi="Times New Roman"/>
              </w:rPr>
              <w:t>кассовые расходы областного бюджета на реализацию ГП №17 за 2024 год, млн.руб.</w:t>
            </w:r>
          </w:p>
        </w:tc>
        <w:tc>
          <w:tcPr>
            <w:tcW w:w="1849" w:type="dxa"/>
          </w:tcPr>
          <w:p w14:paraId="1524F3AD" w14:textId="77777777" w:rsidR="00A51B25" w:rsidRPr="00FD7B0B" w:rsidRDefault="00A51B25" w:rsidP="00A51B25">
            <w:pPr>
              <w:jc w:val="center"/>
              <w:rPr>
                <w:rFonts w:ascii="Times New Roman" w:hAnsi="Times New Roman"/>
              </w:rPr>
            </w:pPr>
            <w:r w:rsidRPr="00FD7B0B">
              <w:rPr>
                <w:rFonts w:ascii="Times New Roman" w:hAnsi="Times New Roman"/>
              </w:rPr>
              <w:t>прирост дебиторской задолженности к объему кассовых расходов на реализацию ГП №17 за 2024 год, %</w:t>
            </w:r>
          </w:p>
        </w:tc>
      </w:tr>
      <w:tr w:rsidR="00A51B25" w:rsidRPr="00FD7B0B" w14:paraId="60A5FF0E" w14:textId="77777777" w:rsidTr="00324099">
        <w:tc>
          <w:tcPr>
            <w:tcW w:w="3032" w:type="dxa"/>
          </w:tcPr>
          <w:p w14:paraId="63B55C87" w14:textId="77777777" w:rsidR="00A51B25" w:rsidRPr="00FD7B0B" w:rsidRDefault="00A51B25" w:rsidP="00A51B25">
            <w:pPr>
              <w:jc w:val="center"/>
              <w:rPr>
                <w:rFonts w:ascii="Times New Roman" w:hAnsi="Times New Roman"/>
              </w:rPr>
            </w:pPr>
            <w:r w:rsidRPr="00FD7B0B">
              <w:rPr>
                <w:rFonts w:ascii="Times New Roman" w:hAnsi="Times New Roman"/>
              </w:rPr>
              <w:t>1 008,7</w:t>
            </w:r>
          </w:p>
        </w:tc>
        <w:tc>
          <w:tcPr>
            <w:tcW w:w="3190" w:type="dxa"/>
          </w:tcPr>
          <w:p w14:paraId="3FAB9244" w14:textId="77777777" w:rsidR="00A51B25" w:rsidRPr="00FD7B0B" w:rsidRDefault="00A51B25" w:rsidP="00A51B25">
            <w:pPr>
              <w:jc w:val="center"/>
              <w:rPr>
                <w:rFonts w:ascii="Times New Roman" w:hAnsi="Times New Roman"/>
              </w:rPr>
            </w:pPr>
            <w:r w:rsidRPr="00FD7B0B">
              <w:rPr>
                <w:rFonts w:ascii="Times New Roman" w:hAnsi="Times New Roman"/>
              </w:rPr>
              <w:t>73,8</w:t>
            </w:r>
          </w:p>
        </w:tc>
        <w:tc>
          <w:tcPr>
            <w:tcW w:w="1547" w:type="dxa"/>
          </w:tcPr>
          <w:p w14:paraId="341711C5" w14:textId="77777777" w:rsidR="00A51B25" w:rsidRPr="00FD7B0B" w:rsidRDefault="00A51B25" w:rsidP="00A51B25">
            <w:pPr>
              <w:jc w:val="center"/>
              <w:rPr>
                <w:rFonts w:ascii="Times New Roman" w:hAnsi="Times New Roman"/>
              </w:rPr>
            </w:pPr>
            <w:r w:rsidRPr="00FD7B0B">
              <w:rPr>
                <w:rFonts w:ascii="Times New Roman" w:hAnsi="Times New Roman"/>
              </w:rPr>
              <w:t>11 508,2</w:t>
            </w:r>
          </w:p>
        </w:tc>
        <w:tc>
          <w:tcPr>
            <w:tcW w:w="1849" w:type="dxa"/>
          </w:tcPr>
          <w:p w14:paraId="74118EF3" w14:textId="77777777" w:rsidR="00A51B25" w:rsidRPr="00FD7B0B" w:rsidRDefault="00A51B25" w:rsidP="00A51B25">
            <w:pPr>
              <w:jc w:val="center"/>
              <w:rPr>
                <w:rFonts w:ascii="Times New Roman" w:hAnsi="Times New Roman"/>
              </w:rPr>
            </w:pPr>
            <w:r w:rsidRPr="00FD7B0B">
              <w:rPr>
                <w:rFonts w:ascii="Times New Roman" w:hAnsi="Times New Roman"/>
              </w:rPr>
              <w:t>8,1</w:t>
            </w:r>
          </w:p>
        </w:tc>
      </w:tr>
    </w:tbl>
    <w:p w14:paraId="5B36A2D0" w14:textId="77777777" w:rsidR="00A51B25" w:rsidRPr="00FD7B0B" w:rsidRDefault="00A51B25" w:rsidP="00A51B25">
      <w:pPr>
        <w:spacing w:after="0" w:line="240" w:lineRule="auto"/>
        <w:jc w:val="both"/>
        <w:rPr>
          <w:rFonts w:ascii="Times New Roman" w:hAnsi="Times New Roman"/>
          <w:sz w:val="28"/>
          <w:szCs w:val="28"/>
        </w:rPr>
      </w:pPr>
    </w:p>
    <w:tbl>
      <w:tblPr>
        <w:tblStyle w:val="a7"/>
        <w:tblW w:w="958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648"/>
        <w:gridCol w:w="1044"/>
        <w:gridCol w:w="1893"/>
      </w:tblGrid>
      <w:tr w:rsidR="00A51B25" w:rsidRPr="00FD7B0B" w14:paraId="6E67C3A7" w14:textId="77777777" w:rsidTr="00324099">
        <w:trPr>
          <w:trHeight w:val="315"/>
        </w:trPr>
        <w:tc>
          <w:tcPr>
            <w:tcW w:w="6648" w:type="dxa"/>
            <w:vAlign w:val="center"/>
          </w:tcPr>
          <w:p w14:paraId="5A10E086" w14:textId="77777777" w:rsidR="00A51B25" w:rsidRPr="00FD7B0B" w:rsidRDefault="00A51B25" w:rsidP="00A51B25">
            <w:pPr>
              <w:rPr>
                <w:rFonts w:ascii="Times New Roman" w:hAnsi="Times New Roman"/>
              </w:rPr>
            </w:pPr>
            <w:r w:rsidRPr="00FD7B0B">
              <w:rPr>
                <w:rFonts w:ascii="Times New Roman" w:hAnsi="Times New Roman"/>
              </w:rPr>
              <w:t xml:space="preserve">прирост дебиторской задолженности к объему кассовых расходов на реализацию ГП №17 за 2024 год </w:t>
            </w:r>
          </w:p>
        </w:tc>
        <w:tc>
          <w:tcPr>
            <w:tcW w:w="1044" w:type="dxa"/>
            <w:vAlign w:val="center"/>
          </w:tcPr>
          <w:p w14:paraId="54826226" w14:textId="77777777" w:rsidR="00A51B25" w:rsidRPr="00FD7B0B" w:rsidRDefault="00A51B25" w:rsidP="00A51B25">
            <w:pPr>
              <w:jc w:val="center"/>
              <w:rPr>
                <w:rFonts w:ascii="Times New Roman" w:hAnsi="Times New Roman"/>
              </w:rPr>
            </w:pPr>
            <w:r w:rsidRPr="00FD7B0B">
              <w:rPr>
                <w:rFonts w:ascii="Times New Roman" w:hAnsi="Times New Roman"/>
              </w:rPr>
              <w:t>8,1</w:t>
            </w:r>
          </w:p>
        </w:tc>
        <w:tc>
          <w:tcPr>
            <w:tcW w:w="1893" w:type="dxa"/>
            <w:vAlign w:val="center"/>
          </w:tcPr>
          <w:p w14:paraId="28FC341B" w14:textId="77777777" w:rsidR="00A51B25" w:rsidRPr="00FD7B0B" w:rsidRDefault="00A51B25" w:rsidP="00A51B25">
            <w:pPr>
              <w:jc w:val="center"/>
              <w:rPr>
                <w:rFonts w:ascii="Times New Roman" w:hAnsi="Times New Roman"/>
              </w:rPr>
            </w:pPr>
            <w:r w:rsidRPr="00FD7B0B">
              <w:rPr>
                <w:rFonts w:ascii="Times New Roman" w:hAnsi="Times New Roman"/>
              </w:rPr>
              <w:t>низкий уровень</w:t>
            </w:r>
          </w:p>
        </w:tc>
      </w:tr>
    </w:tbl>
    <w:p w14:paraId="1DC9C153" w14:textId="77777777" w:rsidR="00A51B25" w:rsidRPr="00FD7B0B" w:rsidRDefault="00A51B25" w:rsidP="00A51B25">
      <w:pPr>
        <w:spacing w:after="0" w:line="320" w:lineRule="atLeast"/>
        <w:ind w:firstLine="709"/>
        <w:jc w:val="both"/>
        <w:rPr>
          <w:rFonts w:ascii="Times New Roman" w:eastAsia="Times New Roman" w:hAnsi="Times New Roman"/>
          <w:sz w:val="28"/>
          <w:szCs w:val="28"/>
          <w:lang w:eastAsia="ru-RU"/>
        </w:rPr>
      </w:pPr>
    </w:p>
    <w:p w14:paraId="600A571B"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Степень ввода объектов в эксплуатацию в рамках реализации ГП за 2024 год составляет 100 % (или 95 % и более), оценивается как высокий уровень.</w:t>
      </w:r>
    </w:p>
    <w:p w14:paraId="07BC8B5E"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p>
    <w:p w14:paraId="673B3F7B" w14:textId="77777777" w:rsidR="00A51B25" w:rsidRPr="00FD7B0B" w:rsidRDefault="00A51B25" w:rsidP="00A51B25">
      <w:pPr>
        <w:spacing w:after="0" w:line="240" w:lineRule="auto"/>
        <w:jc w:val="center"/>
        <w:rPr>
          <w:rFonts w:ascii="Times New Roman" w:hAnsi="Times New Roman"/>
          <w:sz w:val="28"/>
          <w:szCs w:val="28"/>
        </w:rPr>
      </w:pPr>
      <w:r w:rsidRPr="00FD7B0B">
        <w:rPr>
          <w:rFonts w:ascii="Times New Roman" w:hAnsi="Times New Roman"/>
          <w:sz w:val="28"/>
          <w:szCs w:val="28"/>
        </w:rPr>
        <w:t xml:space="preserve">Оценка формирования и использования системы показателей исходя из приоритетов социально-экономического развития Российской Федерации </w:t>
      </w:r>
    </w:p>
    <w:p w14:paraId="0E3698A5" w14:textId="77777777" w:rsidR="00324099" w:rsidRPr="00FD7B0B" w:rsidRDefault="00324099" w:rsidP="00A51B25">
      <w:pPr>
        <w:spacing w:after="0" w:line="240" w:lineRule="auto"/>
        <w:contextualSpacing/>
        <w:rPr>
          <w:rFonts w:ascii="Times New Roman" w:hAnsi="Times New Roman"/>
          <w:sz w:val="24"/>
          <w:szCs w:val="24"/>
        </w:rPr>
      </w:pPr>
    </w:p>
    <w:p w14:paraId="66FF4393"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lastRenderedPageBreak/>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188</w:t>
      </w:r>
      <w:r w:rsidRPr="00FD7B0B">
        <w:rPr>
          <w:rFonts w:ascii="Times New Roman" w:hAnsi="Times New Roman"/>
          <w:sz w:val="24"/>
          <w:szCs w:val="24"/>
        </w:rPr>
        <w:fldChar w:fldCharType="end"/>
      </w:r>
      <w:r w:rsidRPr="00FD7B0B">
        <w:rPr>
          <w:rFonts w:ascii="Times New Roman" w:hAnsi="Times New Roman"/>
          <w:sz w:val="24"/>
          <w:szCs w:val="24"/>
        </w:rPr>
        <w:t xml:space="preserve">. Оценка состава показателей </w:t>
      </w:r>
    </w:p>
    <w:tbl>
      <w:tblPr>
        <w:tblW w:w="948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215"/>
        <w:gridCol w:w="2268"/>
      </w:tblGrid>
      <w:tr w:rsidR="00FD7B0B" w:rsidRPr="00FD7B0B" w14:paraId="7D4C564D" w14:textId="77777777" w:rsidTr="00324099">
        <w:trPr>
          <w:trHeight w:val="300"/>
        </w:trPr>
        <w:tc>
          <w:tcPr>
            <w:tcW w:w="7215" w:type="dxa"/>
            <w:vMerge w:val="restart"/>
            <w:shd w:val="clear" w:color="auto" w:fill="auto"/>
            <w:vAlign w:val="center"/>
            <w:hideMark/>
          </w:tcPr>
          <w:p w14:paraId="69D03BD6" w14:textId="77777777" w:rsidR="00A51B25" w:rsidRPr="00FD7B0B" w:rsidRDefault="00A51B25" w:rsidP="00A51B2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Наименование целевого показателя (индикатора) в 2024 году</w:t>
            </w:r>
          </w:p>
        </w:tc>
        <w:tc>
          <w:tcPr>
            <w:tcW w:w="2268" w:type="dxa"/>
            <w:vMerge w:val="restart"/>
            <w:shd w:val="clear" w:color="auto" w:fill="auto"/>
            <w:vAlign w:val="center"/>
            <w:hideMark/>
          </w:tcPr>
          <w:p w14:paraId="74946DFC" w14:textId="77777777" w:rsidR="00A51B25" w:rsidRPr="00FD7B0B" w:rsidRDefault="00A51B25" w:rsidP="00A51B25">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Наименование результата </w:t>
            </w:r>
          </w:p>
        </w:tc>
      </w:tr>
      <w:tr w:rsidR="00FD7B0B" w:rsidRPr="00FD7B0B" w14:paraId="360763C0" w14:textId="77777777" w:rsidTr="00324099">
        <w:trPr>
          <w:trHeight w:hRule="exact" w:val="255"/>
        </w:trPr>
        <w:tc>
          <w:tcPr>
            <w:tcW w:w="7215" w:type="dxa"/>
            <w:vMerge/>
            <w:vAlign w:val="center"/>
            <w:hideMark/>
          </w:tcPr>
          <w:p w14:paraId="7497CE9E" w14:textId="77777777" w:rsidR="00A51B25" w:rsidRPr="00FD7B0B" w:rsidRDefault="00A51B25" w:rsidP="00A51B25">
            <w:pPr>
              <w:spacing w:after="0" w:line="240" w:lineRule="auto"/>
              <w:rPr>
                <w:rFonts w:ascii="Times New Roman" w:eastAsia="Times New Roman" w:hAnsi="Times New Roman"/>
                <w:sz w:val="20"/>
                <w:szCs w:val="20"/>
                <w:lang w:eastAsia="ru-RU"/>
              </w:rPr>
            </w:pPr>
          </w:p>
        </w:tc>
        <w:tc>
          <w:tcPr>
            <w:tcW w:w="2268" w:type="dxa"/>
            <w:vMerge/>
            <w:vAlign w:val="center"/>
            <w:hideMark/>
          </w:tcPr>
          <w:p w14:paraId="7EDE6CF8" w14:textId="77777777" w:rsidR="00A51B25" w:rsidRPr="00FD7B0B" w:rsidRDefault="00A51B25" w:rsidP="00A51B25">
            <w:pPr>
              <w:spacing w:after="0" w:line="240" w:lineRule="auto"/>
              <w:rPr>
                <w:rFonts w:ascii="Times New Roman" w:eastAsia="Times New Roman" w:hAnsi="Times New Roman"/>
                <w:sz w:val="20"/>
                <w:szCs w:val="20"/>
                <w:lang w:eastAsia="ru-RU"/>
              </w:rPr>
            </w:pPr>
          </w:p>
        </w:tc>
      </w:tr>
      <w:tr w:rsidR="00FD7B0B" w:rsidRPr="00FD7B0B" w14:paraId="0B055E16" w14:textId="77777777" w:rsidTr="00324099">
        <w:trPr>
          <w:trHeight w:val="358"/>
        </w:trPr>
        <w:tc>
          <w:tcPr>
            <w:tcW w:w="7215" w:type="dxa"/>
            <w:shd w:val="clear" w:color="auto" w:fill="auto"/>
            <w:vAlign w:val="center"/>
            <w:hideMark/>
          </w:tcPr>
          <w:p w14:paraId="548A87C1" w14:textId="77777777" w:rsidR="00A51B25" w:rsidRPr="00FD7B0B" w:rsidRDefault="00A51B25" w:rsidP="00A51B2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Уровень удовлетворенности населения Архангельской области качеством предоставляемых коммунальных услуг, %</w:t>
            </w:r>
          </w:p>
        </w:tc>
        <w:tc>
          <w:tcPr>
            <w:tcW w:w="2268" w:type="dxa"/>
            <w:shd w:val="clear" w:color="auto" w:fill="auto"/>
            <w:vAlign w:val="center"/>
            <w:hideMark/>
          </w:tcPr>
          <w:p w14:paraId="6186CA22" w14:textId="77777777" w:rsidR="00A51B25" w:rsidRPr="00FD7B0B" w:rsidRDefault="00A51B25" w:rsidP="00A51B25">
            <w:pPr>
              <w:spacing w:after="0" w:line="240" w:lineRule="auto"/>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конечный результат</w:t>
            </w:r>
          </w:p>
        </w:tc>
      </w:tr>
      <w:tr w:rsidR="00A51B25" w:rsidRPr="00FD7B0B" w14:paraId="1ACA8353" w14:textId="77777777" w:rsidTr="00324099">
        <w:trPr>
          <w:trHeight w:val="637"/>
        </w:trPr>
        <w:tc>
          <w:tcPr>
            <w:tcW w:w="7215" w:type="dxa"/>
            <w:shd w:val="clear" w:color="auto" w:fill="auto"/>
            <w:vAlign w:val="center"/>
            <w:hideMark/>
          </w:tcPr>
          <w:p w14:paraId="67F71C66" w14:textId="77777777" w:rsidR="00A51B25" w:rsidRPr="00FD7B0B" w:rsidRDefault="00A51B25" w:rsidP="00A51B2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 Полнота исполнения расходных обязательств Архангельской области, вытекающих из государственного регулирования цен (тарифов) (отношение фактически перечисленных средств субсидий и грантов в форме субсидий к установленным областным бюджетом бюджетным ассигнованиям), %</w:t>
            </w:r>
          </w:p>
        </w:tc>
        <w:tc>
          <w:tcPr>
            <w:tcW w:w="2268" w:type="dxa"/>
            <w:shd w:val="clear" w:color="auto" w:fill="auto"/>
            <w:vAlign w:val="center"/>
            <w:hideMark/>
          </w:tcPr>
          <w:p w14:paraId="0E096DEB" w14:textId="77777777" w:rsidR="00A51B25" w:rsidRPr="00FD7B0B" w:rsidRDefault="00A51B25" w:rsidP="00A51B25">
            <w:pPr>
              <w:spacing w:after="0" w:line="240" w:lineRule="auto"/>
              <w:jc w:val="both"/>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непосредственный результат</w:t>
            </w:r>
          </w:p>
        </w:tc>
      </w:tr>
    </w:tbl>
    <w:p w14:paraId="661CCE68" w14:textId="77777777" w:rsidR="00A51B25" w:rsidRPr="00FD7B0B" w:rsidRDefault="00A51B25" w:rsidP="00A51B25">
      <w:pPr>
        <w:spacing w:after="0" w:line="240" w:lineRule="auto"/>
        <w:contextualSpacing/>
        <w:rPr>
          <w:rFonts w:ascii="Times New Roman" w:hAnsi="Times New Roman"/>
          <w:sz w:val="24"/>
          <w:szCs w:val="24"/>
        </w:rPr>
      </w:pPr>
    </w:p>
    <w:tbl>
      <w:tblPr>
        <w:tblStyle w:val="34"/>
        <w:tblW w:w="935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523"/>
        <w:gridCol w:w="2419"/>
        <w:gridCol w:w="3414"/>
      </w:tblGrid>
      <w:tr w:rsidR="00FD7B0B" w:rsidRPr="00FD7B0B" w14:paraId="1F606C6D" w14:textId="77777777" w:rsidTr="00A51B25">
        <w:trPr>
          <w:trHeight w:val="556"/>
        </w:trPr>
        <w:tc>
          <w:tcPr>
            <w:tcW w:w="3510" w:type="dxa"/>
          </w:tcPr>
          <w:p w14:paraId="7A276204"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количество показателей ГП № 17, характеризующих непосредственные результаты, ед.</w:t>
            </w:r>
          </w:p>
        </w:tc>
        <w:tc>
          <w:tcPr>
            <w:tcW w:w="2410" w:type="dxa"/>
          </w:tcPr>
          <w:p w14:paraId="53E8256B" w14:textId="77777777" w:rsidR="00A51B25" w:rsidRPr="00FD7B0B" w:rsidRDefault="00A51B25" w:rsidP="00A51B25">
            <w:pPr>
              <w:autoSpaceDE w:val="0"/>
              <w:autoSpaceDN w:val="0"/>
              <w:adjustRightInd w:val="0"/>
              <w:ind w:firstLine="34"/>
              <w:jc w:val="center"/>
              <w:rPr>
                <w:rFonts w:ascii="Times New Roman" w:hAnsi="Times New Roman"/>
                <w:sz w:val="20"/>
                <w:szCs w:val="20"/>
              </w:rPr>
            </w:pPr>
            <w:r w:rsidRPr="00FD7B0B">
              <w:rPr>
                <w:rFonts w:ascii="Times New Roman" w:hAnsi="Times New Roman"/>
                <w:sz w:val="20"/>
                <w:szCs w:val="20"/>
              </w:rPr>
              <w:t>общее количество показателей ГП № 17, ед.</w:t>
            </w:r>
          </w:p>
        </w:tc>
        <w:tc>
          <w:tcPr>
            <w:tcW w:w="3402" w:type="dxa"/>
          </w:tcPr>
          <w:p w14:paraId="0BF05E5A"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доля показателей ГП № 17, характеризующих непосредственные результаты, %</w:t>
            </w:r>
          </w:p>
        </w:tc>
      </w:tr>
      <w:tr w:rsidR="00A51B25" w:rsidRPr="00FD7B0B" w14:paraId="2CC03937" w14:textId="77777777" w:rsidTr="00A51B25">
        <w:tc>
          <w:tcPr>
            <w:tcW w:w="3510" w:type="dxa"/>
          </w:tcPr>
          <w:p w14:paraId="512C613F"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1</w:t>
            </w:r>
          </w:p>
        </w:tc>
        <w:tc>
          <w:tcPr>
            <w:tcW w:w="2410" w:type="dxa"/>
          </w:tcPr>
          <w:p w14:paraId="2E9B8AF3"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2</w:t>
            </w:r>
          </w:p>
        </w:tc>
        <w:tc>
          <w:tcPr>
            <w:tcW w:w="3402" w:type="dxa"/>
          </w:tcPr>
          <w:p w14:paraId="202E56AF"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50,0</w:t>
            </w:r>
          </w:p>
        </w:tc>
      </w:tr>
    </w:tbl>
    <w:p w14:paraId="655FAAF3" w14:textId="77777777" w:rsidR="00A51B25" w:rsidRPr="00FD7B0B" w:rsidRDefault="00A51B25" w:rsidP="00A51B25">
      <w:pPr>
        <w:spacing w:after="0" w:line="240" w:lineRule="auto"/>
        <w:contextualSpacing/>
        <w:rPr>
          <w:rFonts w:ascii="Times New Roman" w:hAnsi="Times New Roman"/>
          <w:sz w:val="24"/>
          <w:szCs w:val="24"/>
        </w:rPr>
      </w:pPr>
    </w:p>
    <w:tbl>
      <w:tblPr>
        <w:tblStyle w:val="a7"/>
        <w:tblW w:w="935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523"/>
        <w:gridCol w:w="2419"/>
        <w:gridCol w:w="3414"/>
      </w:tblGrid>
      <w:tr w:rsidR="00FD7B0B" w:rsidRPr="00FD7B0B" w14:paraId="6E36C15B" w14:textId="77777777" w:rsidTr="00A51B25">
        <w:trPr>
          <w:trHeight w:val="766"/>
        </w:trPr>
        <w:tc>
          <w:tcPr>
            <w:tcW w:w="3510" w:type="dxa"/>
          </w:tcPr>
          <w:p w14:paraId="222E206B" w14:textId="77777777" w:rsidR="00A51B25" w:rsidRPr="00FD7B0B" w:rsidRDefault="00A51B25" w:rsidP="00A51B25">
            <w:pPr>
              <w:jc w:val="center"/>
              <w:rPr>
                <w:rFonts w:ascii="Times New Roman" w:hAnsi="Times New Roman"/>
              </w:rPr>
            </w:pPr>
            <w:r w:rsidRPr="00FD7B0B">
              <w:rPr>
                <w:rFonts w:ascii="Times New Roman" w:hAnsi="Times New Roman"/>
              </w:rPr>
              <w:t>количество показателей ГП № 17, характеризующих конечные результаты и итоговые эффекты, ед.</w:t>
            </w:r>
          </w:p>
        </w:tc>
        <w:tc>
          <w:tcPr>
            <w:tcW w:w="2410" w:type="dxa"/>
          </w:tcPr>
          <w:p w14:paraId="5E9E712D" w14:textId="77777777" w:rsidR="00A51B25" w:rsidRPr="00FD7B0B" w:rsidRDefault="00A51B25" w:rsidP="00A51B25">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ГП № 17, ед.</w:t>
            </w:r>
          </w:p>
        </w:tc>
        <w:tc>
          <w:tcPr>
            <w:tcW w:w="3402" w:type="dxa"/>
          </w:tcPr>
          <w:p w14:paraId="7F68B00C" w14:textId="77777777" w:rsidR="00A51B25" w:rsidRPr="00FD7B0B" w:rsidRDefault="00A51B25" w:rsidP="00A51B25">
            <w:pPr>
              <w:jc w:val="center"/>
              <w:rPr>
                <w:rFonts w:ascii="Times New Roman" w:hAnsi="Times New Roman"/>
              </w:rPr>
            </w:pPr>
            <w:r w:rsidRPr="00FD7B0B">
              <w:rPr>
                <w:rFonts w:ascii="Times New Roman" w:hAnsi="Times New Roman"/>
              </w:rPr>
              <w:t>доля показателей ГП № 17, характеризующих конечные результаты и итоговые эффекты, %</w:t>
            </w:r>
          </w:p>
        </w:tc>
      </w:tr>
      <w:tr w:rsidR="00A51B25" w:rsidRPr="00FD7B0B" w14:paraId="14AAC1F9" w14:textId="77777777" w:rsidTr="00A51B25">
        <w:trPr>
          <w:trHeight w:val="186"/>
        </w:trPr>
        <w:tc>
          <w:tcPr>
            <w:tcW w:w="3510" w:type="dxa"/>
          </w:tcPr>
          <w:p w14:paraId="45A4A9C8" w14:textId="77777777" w:rsidR="00A51B25" w:rsidRPr="00FD7B0B" w:rsidRDefault="00A51B25" w:rsidP="00A51B25">
            <w:pPr>
              <w:jc w:val="center"/>
              <w:rPr>
                <w:rFonts w:ascii="Times New Roman" w:hAnsi="Times New Roman"/>
              </w:rPr>
            </w:pPr>
            <w:r w:rsidRPr="00FD7B0B">
              <w:rPr>
                <w:rFonts w:ascii="Times New Roman" w:hAnsi="Times New Roman"/>
              </w:rPr>
              <w:t>1</w:t>
            </w:r>
          </w:p>
        </w:tc>
        <w:tc>
          <w:tcPr>
            <w:tcW w:w="2410" w:type="dxa"/>
          </w:tcPr>
          <w:p w14:paraId="591242E2" w14:textId="77777777" w:rsidR="00A51B25" w:rsidRPr="00FD7B0B" w:rsidRDefault="00A51B25" w:rsidP="00A51B25">
            <w:pPr>
              <w:jc w:val="center"/>
              <w:rPr>
                <w:rFonts w:ascii="Times New Roman" w:hAnsi="Times New Roman"/>
              </w:rPr>
            </w:pPr>
            <w:r w:rsidRPr="00FD7B0B">
              <w:rPr>
                <w:rFonts w:ascii="Times New Roman" w:hAnsi="Times New Roman"/>
              </w:rPr>
              <w:t>2</w:t>
            </w:r>
          </w:p>
        </w:tc>
        <w:tc>
          <w:tcPr>
            <w:tcW w:w="3402" w:type="dxa"/>
          </w:tcPr>
          <w:p w14:paraId="2C9CC127" w14:textId="77777777" w:rsidR="00A51B25" w:rsidRPr="00FD7B0B" w:rsidRDefault="00A51B25" w:rsidP="00A51B25">
            <w:pPr>
              <w:jc w:val="center"/>
              <w:rPr>
                <w:rFonts w:ascii="Times New Roman" w:hAnsi="Times New Roman"/>
              </w:rPr>
            </w:pPr>
            <w:r w:rsidRPr="00FD7B0B">
              <w:rPr>
                <w:rFonts w:ascii="Times New Roman" w:hAnsi="Times New Roman"/>
              </w:rPr>
              <w:t>50,0</w:t>
            </w:r>
          </w:p>
        </w:tc>
      </w:tr>
    </w:tbl>
    <w:p w14:paraId="75E027E6" w14:textId="77777777" w:rsidR="00A51B25" w:rsidRPr="00FD7B0B" w:rsidRDefault="00A51B25" w:rsidP="00A51B25">
      <w:pPr>
        <w:spacing w:after="0" w:line="240" w:lineRule="auto"/>
        <w:contextualSpacing/>
        <w:rPr>
          <w:rFonts w:ascii="Times New Roman" w:hAnsi="Times New Roman"/>
          <w:sz w:val="24"/>
          <w:szCs w:val="24"/>
        </w:rPr>
      </w:pPr>
    </w:p>
    <w:tbl>
      <w:tblPr>
        <w:tblStyle w:val="a7"/>
        <w:tblW w:w="935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523"/>
        <w:gridCol w:w="2419"/>
        <w:gridCol w:w="3414"/>
      </w:tblGrid>
      <w:tr w:rsidR="00FD7B0B" w:rsidRPr="00FD7B0B" w14:paraId="5DA40206" w14:textId="77777777" w:rsidTr="00A51B25">
        <w:trPr>
          <w:trHeight w:val="548"/>
        </w:trPr>
        <w:tc>
          <w:tcPr>
            <w:tcW w:w="3510" w:type="dxa"/>
          </w:tcPr>
          <w:p w14:paraId="33679678" w14:textId="77777777" w:rsidR="00A51B25" w:rsidRPr="00FD7B0B" w:rsidRDefault="00A51B25" w:rsidP="00A51B25">
            <w:pPr>
              <w:jc w:val="center"/>
              <w:rPr>
                <w:rFonts w:ascii="Times New Roman" w:hAnsi="Times New Roman"/>
              </w:rPr>
            </w:pPr>
            <w:r w:rsidRPr="00FD7B0B">
              <w:rPr>
                <w:rFonts w:ascii="Times New Roman" w:hAnsi="Times New Roman"/>
              </w:rPr>
              <w:t>количество показателей ГП № 17, характеризующих иные результаты, ед.</w:t>
            </w:r>
          </w:p>
        </w:tc>
        <w:tc>
          <w:tcPr>
            <w:tcW w:w="2410" w:type="dxa"/>
          </w:tcPr>
          <w:p w14:paraId="2804536F" w14:textId="77777777" w:rsidR="00A51B25" w:rsidRPr="00FD7B0B" w:rsidRDefault="00A51B25" w:rsidP="00A51B25">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ГП № 17, ед.</w:t>
            </w:r>
          </w:p>
        </w:tc>
        <w:tc>
          <w:tcPr>
            <w:tcW w:w="3402" w:type="dxa"/>
          </w:tcPr>
          <w:p w14:paraId="49019AFF" w14:textId="77777777" w:rsidR="00A51B25" w:rsidRPr="00FD7B0B" w:rsidRDefault="00A51B25" w:rsidP="00A51B25">
            <w:pPr>
              <w:jc w:val="center"/>
              <w:rPr>
                <w:rFonts w:ascii="Times New Roman" w:hAnsi="Times New Roman"/>
              </w:rPr>
            </w:pPr>
            <w:r w:rsidRPr="00FD7B0B">
              <w:rPr>
                <w:rFonts w:ascii="Times New Roman" w:hAnsi="Times New Roman"/>
              </w:rPr>
              <w:t>доля показателей ГП № 17, характеризующих иные результаты, %</w:t>
            </w:r>
          </w:p>
        </w:tc>
      </w:tr>
      <w:tr w:rsidR="00FD7B0B" w:rsidRPr="00FD7B0B" w14:paraId="64B73DF4" w14:textId="77777777" w:rsidTr="00A51B25">
        <w:tc>
          <w:tcPr>
            <w:tcW w:w="3510" w:type="dxa"/>
          </w:tcPr>
          <w:p w14:paraId="77EE94C4" w14:textId="77777777" w:rsidR="00A51B25" w:rsidRPr="00FD7B0B" w:rsidRDefault="00A51B25" w:rsidP="00A51B25">
            <w:pPr>
              <w:jc w:val="center"/>
              <w:rPr>
                <w:rFonts w:ascii="Times New Roman" w:hAnsi="Times New Roman"/>
              </w:rPr>
            </w:pPr>
            <w:r w:rsidRPr="00FD7B0B">
              <w:rPr>
                <w:rFonts w:ascii="Times New Roman" w:hAnsi="Times New Roman"/>
              </w:rPr>
              <w:t>0</w:t>
            </w:r>
          </w:p>
        </w:tc>
        <w:tc>
          <w:tcPr>
            <w:tcW w:w="2410" w:type="dxa"/>
          </w:tcPr>
          <w:p w14:paraId="16CE1552" w14:textId="77777777" w:rsidR="00A51B25" w:rsidRPr="00FD7B0B" w:rsidRDefault="00A51B25" w:rsidP="00A51B25">
            <w:pPr>
              <w:jc w:val="center"/>
              <w:rPr>
                <w:rFonts w:ascii="Times New Roman" w:hAnsi="Times New Roman"/>
              </w:rPr>
            </w:pPr>
            <w:r w:rsidRPr="00FD7B0B">
              <w:rPr>
                <w:rFonts w:ascii="Times New Roman" w:hAnsi="Times New Roman"/>
              </w:rPr>
              <w:t>2</w:t>
            </w:r>
          </w:p>
        </w:tc>
        <w:tc>
          <w:tcPr>
            <w:tcW w:w="3402" w:type="dxa"/>
          </w:tcPr>
          <w:p w14:paraId="7B14B6D7" w14:textId="77777777" w:rsidR="00A51B25" w:rsidRPr="00FD7B0B" w:rsidRDefault="00A51B25" w:rsidP="00A51B25">
            <w:pPr>
              <w:jc w:val="center"/>
              <w:rPr>
                <w:rFonts w:ascii="Times New Roman" w:hAnsi="Times New Roman"/>
              </w:rPr>
            </w:pPr>
            <w:r w:rsidRPr="00FD7B0B">
              <w:rPr>
                <w:rFonts w:ascii="Times New Roman" w:hAnsi="Times New Roman"/>
              </w:rPr>
              <w:t>0</w:t>
            </w:r>
          </w:p>
        </w:tc>
      </w:tr>
    </w:tbl>
    <w:p w14:paraId="64D0B08D"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Доля показателей ГП № 17, характеризующих конечные результаты и итоговые эффекты оценивается как низкий уровень.</w:t>
      </w:r>
    </w:p>
    <w:p w14:paraId="3511F52E" w14:textId="77777777" w:rsidR="00A51B25" w:rsidRPr="00FD7B0B" w:rsidRDefault="00A51B25" w:rsidP="00A51B25">
      <w:pPr>
        <w:spacing w:after="0" w:line="240" w:lineRule="auto"/>
        <w:contextualSpacing/>
        <w:rPr>
          <w:rFonts w:ascii="Times New Roman" w:hAnsi="Times New Roman"/>
          <w:sz w:val="24"/>
          <w:szCs w:val="24"/>
        </w:rPr>
      </w:pPr>
    </w:p>
    <w:p w14:paraId="0CF7A507" w14:textId="62B4295C"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189</w:t>
      </w:r>
      <w:r w:rsidRPr="00FD7B0B">
        <w:rPr>
          <w:rFonts w:ascii="Times New Roman" w:hAnsi="Times New Roman"/>
          <w:sz w:val="24"/>
          <w:szCs w:val="24"/>
        </w:rPr>
        <w:fldChar w:fldCharType="end"/>
      </w:r>
      <w:r w:rsidRPr="00FD7B0B">
        <w:rPr>
          <w:rFonts w:ascii="Times New Roman" w:hAnsi="Times New Roman"/>
          <w:sz w:val="24"/>
          <w:szCs w:val="24"/>
        </w:rPr>
        <w:t>. Оценка стабильности состава показателей ГП №</w:t>
      </w:r>
      <w:r w:rsidR="00324099" w:rsidRPr="00FD7B0B">
        <w:rPr>
          <w:rFonts w:ascii="Times New Roman" w:hAnsi="Times New Roman"/>
          <w:sz w:val="24"/>
          <w:szCs w:val="24"/>
        </w:rPr>
        <w:t xml:space="preserve"> </w:t>
      </w:r>
      <w:r w:rsidRPr="00FD7B0B">
        <w:rPr>
          <w:rFonts w:ascii="Times New Roman" w:hAnsi="Times New Roman"/>
          <w:sz w:val="24"/>
          <w:szCs w:val="24"/>
        </w:rPr>
        <w:t>17 на протяжении 2024 года</w:t>
      </w:r>
    </w:p>
    <w:tbl>
      <w:tblPr>
        <w:tblStyle w:val="27"/>
        <w:tblW w:w="935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808"/>
        <w:gridCol w:w="3272"/>
        <w:gridCol w:w="2276"/>
      </w:tblGrid>
      <w:tr w:rsidR="00FD7B0B" w:rsidRPr="00FD7B0B" w14:paraId="2A5F9B30" w14:textId="77777777" w:rsidTr="00A51B25">
        <w:trPr>
          <w:trHeight w:val="846"/>
        </w:trPr>
        <w:tc>
          <w:tcPr>
            <w:tcW w:w="3794" w:type="dxa"/>
          </w:tcPr>
          <w:p w14:paraId="1382C3AE"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количество показателей ГП №17 (на 31 декабря отчетного года), достижение которых было запланировано в отчетном году и по которым на протяжении отчетного года не менялась методика их расчета, ед.</w:t>
            </w:r>
          </w:p>
        </w:tc>
        <w:tc>
          <w:tcPr>
            <w:tcW w:w="3260" w:type="dxa"/>
          </w:tcPr>
          <w:p w14:paraId="1A999E4A" w14:textId="77777777" w:rsidR="00A51B25" w:rsidRPr="00FD7B0B" w:rsidRDefault="00A51B25" w:rsidP="00A51B25">
            <w:pPr>
              <w:autoSpaceDE w:val="0"/>
              <w:autoSpaceDN w:val="0"/>
              <w:adjustRightInd w:val="0"/>
              <w:ind w:firstLine="34"/>
              <w:jc w:val="center"/>
              <w:rPr>
                <w:rFonts w:ascii="Times New Roman" w:hAnsi="Times New Roman"/>
                <w:sz w:val="20"/>
                <w:szCs w:val="20"/>
              </w:rPr>
            </w:pPr>
            <w:r w:rsidRPr="00FD7B0B">
              <w:rPr>
                <w:rFonts w:ascii="Times New Roman" w:hAnsi="Times New Roman"/>
                <w:sz w:val="20"/>
                <w:szCs w:val="20"/>
              </w:rPr>
              <w:t xml:space="preserve">общее количество показателей ГП №17, достижение которых было запланировано в отчетном году хотя бы в одной из редакций ГП №17, утвержденных начиная с начала отчетного года, ед. </w:t>
            </w:r>
          </w:p>
        </w:tc>
        <w:tc>
          <w:tcPr>
            <w:tcW w:w="2268" w:type="dxa"/>
          </w:tcPr>
          <w:p w14:paraId="125A3994"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уровень стабильности состава показателей ГП №17 на протяжении 2024 года, %</w:t>
            </w:r>
          </w:p>
        </w:tc>
      </w:tr>
      <w:tr w:rsidR="00FD7B0B" w:rsidRPr="00FD7B0B" w14:paraId="1A086FAC" w14:textId="77777777" w:rsidTr="00A51B25">
        <w:tc>
          <w:tcPr>
            <w:tcW w:w="3794" w:type="dxa"/>
            <w:shd w:val="clear" w:color="auto" w:fill="auto"/>
          </w:tcPr>
          <w:p w14:paraId="30D151A9"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2</w:t>
            </w:r>
          </w:p>
        </w:tc>
        <w:tc>
          <w:tcPr>
            <w:tcW w:w="3260" w:type="dxa"/>
          </w:tcPr>
          <w:p w14:paraId="69369656"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2</w:t>
            </w:r>
          </w:p>
        </w:tc>
        <w:tc>
          <w:tcPr>
            <w:tcW w:w="2268" w:type="dxa"/>
          </w:tcPr>
          <w:p w14:paraId="6E324831" w14:textId="77777777" w:rsidR="00A51B25" w:rsidRPr="00FD7B0B" w:rsidRDefault="00A51B25" w:rsidP="00A51B25">
            <w:pPr>
              <w:jc w:val="center"/>
              <w:rPr>
                <w:rFonts w:ascii="Times New Roman" w:hAnsi="Times New Roman"/>
                <w:sz w:val="20"/>
                <w:szCs w:val="20"/>
              </w:rPr>
            </w:pPr>
            <w:r w:rsidRPr="00FD7B0B">
              <w:rPr>
                <w:rFonts w:ascii="Times New Roman" w:hAnsi="Times New Roman"/>
                <w:sz w:val="20"/>
                <w:szCs w:val="20"/>
              </w:rPr>
              <w:t>100,0</w:t>
            </w:r>
          </w:p>
        </w:tc>
      </w:tr>
    </w:tbl>
    <w:p w14:paraId="50B0D44D"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 xml:space="preserve">Уровень стабильности состава показателей ГП № 17 на протяжении </w:t>
      </w:r>
      <w:r w:rsidRPr="00FD7B0B">
        <w:rPr>
          <w:rFonts w:ascii="Times New Roman" w:eastAsia="Times New Roman" w:hAnsi="Times New Roman"/>
          <w:sz w:val="24"/>
          <w:szCs w:val="24"/>
          <w:lang w:eastAsia="ru-RU"/>
        </w:rPr>
        <w:br/>
        <w:t>года оценивается как высокий.</w:t>
      </w:r>
    </w:p>
    <w:p w14:paraId="2ACD7E5E" w14:textId="77777777" w:rsidR="00A51B25" w:rsidRPr="00FD7B0B" w:rsidRDefault="00A51B25" w:rsidP="00A51B25">
      <w:pPr>
        <w:spacing w:after="0" w:line="240" w:lineRule="auto"/>
        <w:contextualSpacing/>
        <w:rPr>
          <w:rFonts w:ascii="Times New Roman" w:hAnsi="Times New Roman"/>
          <w:sz w:val="24"/>
          <w:szCs w:val="24"/>
        </w:rPr>
      </w:pPr>
    </w:p>
    <w:p w14:paraId="2875A14F" w14:textId="77777777" w:rsidR="00A51B25" w:rsidRPr="00FD7B0B" w:rsidRDefault="00A51B25" w:rsidP="00A51B25">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190</w:t>
      </w:r>
      <w:r w:rsidRPr="00FD7B0B">
        <w:rPr>
          <w:rFonts w:ascii="Times New Roman" w:hAnsi="Times New Roman"/>
          <w:sz w:val="24"/>
          <w:szCs w:val="24"/>
        </w:rPr>
        <w:fldChar w:fldCharType="end"/>
      </w:r>
      <w:r w:rsidRPr="00FD7B0B">
        <w:rPr>
          <w:rFonts w:ascii="Times New Roman" w:hAnsi="Times New Roman"/>
          <w:sz w:val="24"/>
          <w:szCs w:val="24"/>
        </w:rPr>
        <w:t>. Оценка стабильности состава показателей государственной программы за три года (в ретроспективе)</w:t>
      </w:r>
    </w:p>
    <w:tbl>
      <w:tblPr>
        <w:tblStyle w:val="a7"/>
        <w:tblW w:w="9776"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238"/>
        <w:gridCol w:w="3973"/>
        <w:gridCol w:w="1565"/>
      </w:tblGrid>
      <w:tr w:rsidR="00FD7B0B" w:rsidRPr="00FD7B0B" w14:paraId="555E7B68" w14:textId="77777777" w:rsidTr="00324099">
        <w:trPr>
          <w:trHeight w:val="561"/>
        </w:trPr>
        <w:tc>
          <w:tcPr>
            <w:tcW w:w="4238" w:type="dxa"/>
          </w:tcPr>
          <w:p w14:paraId="43BA2047" w14:textId="77777777" w:rsidR="00A51B25" w:rsidRPr="00FD7B0B" w:rsidRDefault="00A51B25" w:rsidP="00A51B25">
            <w:pPr>
              <w:jc w:val="center"/>
              <w:rPr>
                <w:rFonts w:ascii="Times New Roman" w:hAnsi="Times New Roman"/>
              </w:rPr>
            </w:pPr>
            <w:r w:rsidRPr="00FD7B0B">
              <w:rPr>
                <w:rFonts w:ascii="Times New Roman" w:hAnsi="Times New Roman"/>
              </w:rPr>
              <w:t>количество показателей ГП №17, по которым осуществлялся мониторинг в отчетном году (на 31 декабря 2024 г.) и по которым на протяжении трех последних лет (отчетный год и два года, предшествующие отчетному) или с момента начала их мониторинга не изменялась методика их расчета, ед.</w:t>
            </w:r>
          </w:p>
        </w:tc>
        <w:tc>
          <w:tcPr>
            <w:tcW w:w="3973" w:type="dxa"/>
          </w:tcPr>
          <w:p w14:paraId="56750FB2" w14:textId="77777777" w:rsidR="00A51B25" w:rsidRPr="00FD7B0B" w:rsidRDefault="00A51B25" w:rsidP="00A51B25">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ГП №17, по которым хотя бы один раз на протяжении трех последних лет (отчетный год и два года, предшествующие отчетному - в редакциях ГП №17 по состоянию на 31 декабря соответствующего года) осуществлялся их мониторинг, ед.</w:t>
            </w:r>
          </w:p>
        </w:tc>
        <w:tc>
          <w:tcPr>
            <w:tcW w:w="1565" w:type="dxa"/>
          </w:tcPr>
          <w:p w14:paraId="63E7F993" w14:textId="77777777" w:rsidR="00A51B25" w:rsidRPr="00FD7B0B" w:rsidRDefault="00A51B25" w:rsidP="00A51B25">
            <w:pPr>
              <w:jc w:val="center"/>
              <w:rPr>
                <w:rFonts w:ascii="Times New Roman" w:hAnsi="Times New Roman"/>
              </w:rPr>
            </w:pPr>
            <w:r w:rsidRPr="00FD7B0B">
              <w:rPr>
                <w:rFonts w:ascii="Times New Roman" w:hAnsi="Times New Roman"/>
              </w:rPr>
              <w:t>уровень стабильности состава показателей ГП № 17 за три года, %</w:t>
            </w:r>
          </w:p>
        </w:tc>
      </w:tr>
      <w:tr w:rsidR="00FD7B0B" w:rsidRPr="00FD7B0B" w14:paraId="556CF056" w14:textId="77777777" w:rsidTr="00324099">
        <w:trPr>
          <w:trHeight w:val="230"/>
        </w:trPr>
        <w:tc>
          <w:tcPr>
            <w:tcW w:w="4238" w:type="dxa"/>
            <w:vAlign w:val="center"/>
          </w:tcPr>
          <w:p w14:paraId="24B11A0D" w14:textId="77777777" w:rsidR="00A51B25" w:rsidRPr="00FD7B0B" w:rsidRDefault="00A51B25" w:rsidP="00A51B25">
            <w:pPr>
              <w:jc w:val="center"/>
              <w:rPr>
                <w:rFonts w:ascii="Times New Roman" w:hAnsi="Times New Roman"/>
              </w:rPr>
            </w:pPr>
            <w:r w:rsidRPr="00FD7B0B">
              <w:rPr>
                <w:rFonts w:ascii="Times New Roman" w:hAnsi="Times New Roman"/>
              </w:rPr>
              <w:t>2</w:t>
            </w:r>
          </w:p>
        </w:tc>
        <w:tc>
          <w:tcPr>
            <w:tcW w:w="3973" w:type="dxa"/>
            <w:vAlign w:val="center"/>
          </w:tcPr>
          <w:p w14:paraId="39413353" w14:textId="77777777" w:rsidR="00A51B25" w:rsidRPr="00FD7B0B" w:rsidRDefault="00A51B25" w:rsidP="00A51B25">
            <w:pPr>
              <w:jc w:val="center"/>
              <w:rPr>
                <w:rFonts w:ascii="Times New Roman" w:hAnsi="Times New Roman"/>
              </w:rPr>
            </w:pPr>
            <w:r w:rsidRPr="00FD7B0B">
              <w:rPr>
                <w:rFonts w:ascii="Times New Roman" w:hAnsi="Times New Roman"/>
              </w:rPr>
              <w:t>2</w:t>
            </w:r>
          </w:p>
        </w:tc>
        <w:tc>
          <w:tcPr>
            <w:tcW w:w="1565" w:type="dxa"/>
            <w:vAlign w:val="center"/>
          </w:tcPr>
          <w:p w14:paraId="155ABF63" w14:textId="77777777" w:rsidR="00A51B25" w:rsidRPr="00FD7B0B" w:rsidRDefault="00A51B25" w:rsidP="00A51B25">
            <w:pPr>
              <w:jc w:val="center"/>
              <w:rPr>
                <w:rFonts w:ascii="Times New Roman" w:hAnsi="Times New Roman"/>
              </w:rPr>
            </w:pPr>
            <w:r w:rsidRPr="00FD7B0B">
              <w:rPr>
                <w:rFonts w:ascii="Times New Roman" w:hAnsi="Times New Roman"/>
              </w:rPr>
              <w:t>100,0</w:t>
            </w:r>
          </w:p>
        </w:tc>
      </w:tr>
    </w:tbl>
    <w:p w14:paraId="4F4CF5FF"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Уровень стабильности состава показателей ГП № 17 за 3 года оценивается как высокий.</w:t>
      </w:r>
    </w:p>
    <w:p w14:paraId="568620E9" w14:textId="77777777" w:rsidR="00A51B25" w:rsidRPr="00FD7B0B" w:rsidRDefault="00A51B25" w:rsidP="00A51B25">
      <w:pPr>
        <w:pStyle w:val="aff0"/>
        <w:spacing w:after="0" w:line="240" w:lineRule="auto"/>
        <w:rPr>
          <w:rFonts w:ascii="Times New Roman" w:hAnsi="Times New Roman"/>
          <w:b w:val="0"/>
          <w:sz w:val="24"/>
          <w:szCs w:val="24"/>
        </w:rPr>
      </w:pPr>
    </w:p>
    <w:p w14:paraId="6CE0F66E" w14:textId="77777777" w:rsidR="001B07CB" w:rsidRPr="00FD7B0B" w:rsidRDefault="001B07CB" w:rsidP="00A51B25">
      <w:pPr>
        <w:pStyle w:val="aff0"/>
        <w:spacing w:after="0" w:line="240" w:lineRule="auto"/>
        <w:rPr>
          <w:rFonts w:ascii="Times New Roman" w:hAnsi="Times New Roman"/>
          <w:b w:val="0"/>
          <w:sz w:val="24"/>
          <w:szCs w:val="24"/>
        </w:rPr>
      </w:pPr>
    </w:p>
    <w:p w14:paraId="0D5ABE5E" w14:textId="77777777" w:rsidR="001B07CB" w:rsidRPr="00FD7B0B" w:rsidRDefault="001B07CB" w:rsidP="00A51B25">
      <w:pPr>
        <w:pStyle w:val="aff0"/>
        <w:spacing w:after="0" w:line="240" w:lineRule="auto"/>
        <w:rPr>
          <w:rFonts w:ascii="Times New Roman" w:hAnsi="Times New Roman"/>
          <w:b w:val="0"/>
          <w:sz w:val="24"/>
          <w:szCs w:val="24"/>
        </w:rPr>
      </w:pPr>
    </w:p>
    <w:p w14:paraId="6D45DEE8" w14:textId="77777777" w:rsidR="001B07CB" w:rsidRPr="00FD7B0B" w:rsidRDefault="001B07CB" w:rsidP="00A51B25">
      <w:pPr>
        <w:pStyle w:val="aff0"/>
        <w:spacing w:after="0" w:line="240" w:lineRule="auto"/>
        <w:rPr>
          <w:rFonts w:ascii="Times New Roman" w:hAnsi="Times New Roman"/>
          <w:b w:val="0"/>
          <w:sz w:val="24"/>
          <w:szCs w:val="24"/>
        </w:rPr>
      </w:pPr>
    </w:p>
    <w:p w14:paraId="2C85646A" w14:textId="77777777" w:rsidR="001B07CB" w:rsidRPr="00FD7B0B" w:rsidRDefault="001B07CB" w:rsidP="00A51B25">
      <w:pPr>
        <w:pStyle w:val="aff0"/>
        <w:spacing w:after="0" w:line="240" w:lineRule="auto"/>
        <w:rPr>
          <w:rFonts w:ascii="Times New Roman" w:hAnsi="Times New Roman"/>
          <w:b w:val="0"/>
          <w:sz w:val="24"/>
          <w:szCs w:val="24"/>
        </w:rPr>
      </w:pPr>
    </w:p>
    <w:p w14:paraId="146A1359" w14:textId="77777777" w:rsidR="001B07CB" w:rsidRPr="00FD7B0B" w:rsidRDefault="001B07CB" w:rsidP="00A51B25">
      <w:pPr>
        <w:pStyle w:val="aff0"/>
        <w:spacing w:after="0" w:line="240" w:lineRule="auto"/>
        <w:rPr>
          <w:rFonts w:ascii="Times New Roman" w:hAnsi="Times New Roman"/>
          <w:b w:val="0"/>
          <w:sz w:val="24"/>
          <w:szCs w:val="24"/>
        </w:rPr>
      </w:pPr>
    </w:p>
    <w:p w14:paraId="72A96C59" w14:textId="595A00E3" w:rsidR="00A51B25" w:rsidRPr="00FD7B0B" w:rsidRDefault="001B07CB" w:rsidP="00A51B2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Т</w:t>
      </w:r>
      <w:r w:rsidR="00A51B25" w:rsidRPr="00FD7B0B">
        <w:rPr>
          <w:rFonts w:ascii="Times New Roman" w:hAnsi="Times New Roman"/>
          <w:b w:val="0"/>
          <w:sz w:val="24"/>
          <w:szCs w:val="24"/>
        </w:rPr>
        <w:t xml:space="preserve">аблица </w:t>
      </w:r>
      <w:r w:rsidR="00A51B25" w:rsidRPr="00FD7B0B">
        <w:rPr>
          <w:rFonts w:ascii="Times New Roman" w:hAnsi="Times New Roman"/>
          <w:b w:val="0"/>
          <w:sz w:val="24"/>
          <w:szCs w:val="24"/>
        </w:rPr>
        <w:fldChar w:fldCharType="begin"/>
      </w:r>
      <w:r w:rsidR="00A51B25" w:rsidRPr="00FD7B0B">
        <w:rPr>
          <w:rFonts w:ascii="Times New Roman" w:hAnsi="Times New Roman"/>
          <w:b w:val="0"/>
          <w:sz w:val="24"/>
          <w:szCs w:val="24"/>
        </w:rPr>
        <w:instrText xml:space="preserve"> SEQ Таблица \* ARABIC </w:instrText>
      </w:r>
      <w:r w:rsidR="00A51B25"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191</w:t>
      </w:r>
      <w:r w:rsidR="00A51B25" w:rsidRPr="00FD7B0B">
        <w:rPr>
          <w:rFonts w:ascii="Times New Roman" w:hAnsi="Times New Roman"/>
          <w:b w:val="0"/>
          <w:sz w:val="24"/>
          <w:szCs w:val="24"/>
        </w:rPr>
        <w:fldChar w:fldCharType="end"/>
      </w:r>
      <w:r w:rsidR="00A51B25" w:rsidRPr="00FD7B0B">
        <w:rPr>
          <w:rFonts w:ascii="Times New Roman" w:hAnsi="Times New Roman"/>
          <w:b w:val="0"/>
          <w:sz w:val="24"/>
          <w:szCs w:val="24"/>
        </w:rPr>
        <w:t>. Оценка динамики плановых (фактических) значений показателей государственной программы</w:t>
      </w:r>
    </w:p>
    <w:tbl>
      <w:tblPr>
        <w:tblW w:w="9781"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45"/>
        <w:gridCol w:w="406"/>
        <w:gridCol w:w="485"/>
        <w:gridCol w:w="507"/>
        <w:gridCol w:w="384"/>
        <w:gridCol w:w="467"/>
        <w:gridCol w:w="425"/>
        <w:gridCol w:w="992"/>
        <w:gridCol w:w="993"/>
        <w:gridCol w:w="992"/>
        <w:gridCol w:w="850"/>
        <w:gridCol w:w="992"/>
        <w:gridCol w:w="850"/>
        <w:gridCol w:w="993"/>
      </w:tblGrid>
      <w:tr w:rsidR="00FD7B0B" w:rsidRPr="00FD7B0B" w14:paraId="33ABDF69" w14:textId="77777777" w:rsidTr="00324099">
        <w:trPr>
          <w:trHeight w:val="357"/>
          <w:tblHeader/>
        </w:trPr>
        <w:tc>
          <w:tcPr>
            <w:tcW w:w="3119" w:type="dxa"/>
            <w:gridSpan w:val="7"/>
            <w:shd w:val="clear" w:color="auto" w:fill="auto"/>
            <w:vAlign w:val="center"/>
            <w:hideMark/>
          </w:tcPr>
          <w:p w14:paraId="68AE8D23" w14:textId="77777777" w:rsidR="00A51B25" w:rsidRPr="00FD7B0B" w:rsidRDefault="00A51B25" w:rsidP="00A51B25">
            <w:pPr>
              <w:spacing w:after="0" w:line="240" w:lineRule="auto"/>
              <w:ind w:left="-113" w:right="-93"/>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значения целевого показателя</w:t>
            </w:r>
          </w:p>
        </w:tc>
        <w:tc>
          <w:tcPr>
            <w:tcW w:w="992" w:type="dxa"/>
            <w:vMerge w:val="restart"/>
            <w:shd w:val="clear" w:color="auto" w:fill="auto"/>
            <w:vAlign w:val="center"/>
            <w:hideMark/>
          </w:tcPr>
          <w:p w14:paraId="0B696CD5" w14:textId="77777777" w:rsidR="00A51B25" w:rsidRPr="00FD7B0B" w:rsidRDefault="00A51B25" w:rsidP="00A51B25">
            <w:pPr>
              <w:spacing w:after="0" w:line="240" w:lineRule="auto"/>
              <w:ind w:left="-113" w:right="-93"/>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коэф-т роста планового значения показателя 2025 года по сравнению с плановым значением 2024 года</w:t>
            </w:r>
          </w:p>
        </w:tc>
        <w:tc>
          <w:tcPr>
            <w:tcW w:w="993" w:type="dxa"/>
            <w:vMerge w:val="restart"/>
            <w:shd w:val="clear" w:color="auto" w:fill="auto"/>
            <w:vAlign w:val="center"/>
            <w:hideMark/>
          </w:tcPr>
          <w:p w14:paraId="6680D72E" w14:textId="77777777" w:rsidR="00A51B25" w:rsidRPr="00FD7B0B" w:rsidRDefault="00A51B25" w:rsidP="00A51B25">
            <w:pPr>
              <w:spacing w:after="0" w:line="240" w:lineRule="auto"/>
              <w:ind w:left="-113" w:right="-93"/>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коэф-т роста планового значения показателя 2024 года по сравнению с фактическим значением 2023 года</w:t>
            </w:r>
          </w:p>
        </w:tc>
        <w:tc>
          <w:tcPr>
            <w:tcW w:w="992" w:type="dxa"/>
            <w:vMerge w:val="restart"/>
            <w:shd w:val="clear" w:color="auto" w:fill="auto"/>
            <w:vAlign w:val="center"/>
            <w:hideMark/>
          </w:tcPr>
          <w:p w14:paraId="77CBFB90" w14:textId="77777777" w:rsidR="00A51B25" w:rsidRPr="00FD7B0B" w:rsidRDefault="00A51B25" w:rsidP="00A51B25">
            <w:pPr>
              <w:spacing w:after="0" w:line="240" w:lineRule="auto"/>
              <w:ind w:left="-113" w:right="-93"/>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коэф-т роста фактического значения показателя 2023 года по сравнению с фактическим значением 2022 года</w:t>
            </w:r>
          </w:p>
        </w:tc>
        <w:tc>
          <w:tcPr>
            <w:tcW w:w="850" w:type="dxa"/>
            <w:vMerge w:val="restart"/>
            <w:shd w:val="clear" w:color="auto" w:fill="auto"/>
            <w:vAlign w:val="center"/>
            <w:hideMark/>
          </w:tcPr>
          <w:p w14:paraId="677ECD2E"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средний коэффициент роста значений показателя (индикатора)</w:t>
            </w:r>
          </w:p>
        </w:tc>
        <w:tc>
          <w:tcPr>
            <w:tcW w:w="2835" w:type="dxa"/>
            <w:gridSpan w:val="3"/>
            <w:shd w:val="clear" w:color="auto" w:fill="auto"/>
            <w:vAlign w:val="center"/>
            <w:hideMark/>
          </w:tcPr>
          <w:p w14:paraId="06923FF2"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Группы средних коэффициентов роста значений показателя (индикатора)</w:t>
            </w:r>
          </w:p>
        </w:tc>
      </w:tr>
      <w:tr w:rsidR="00FD7B0B" w:rsidRPr="00FD7B0B" w14:paraId="2D200733" w14:textId="77777777" w:rsidTr="00324099">
        <w:trPr>
          <w:trHeight w:val="900"/>
          <w:tblHeader/>
        </w:trPr>
        <w:tc>
          <w:tcPr>
            <w:tcW w:w="851" w:type="dxa"/>
            <w:gridSpan w:val="2"/>
            <w:shd w:val="clear" w:color="auto" w:fill="auto"/>
            <w:vAlign w:val="center"/>
            <w:hideMark/>
          </w:tcPr>
          <w:p w14:paraId="63A69755" w14:textId="77777777" w:rsidR="00A51B25" w:rsidRPr="00FD7B0B" w:rsidRDefault="00A51B25" w:rsidP="00A51B25">
            <w:pPr>
              <w:spacing w:after="0" w:line="240" w:lineRule="auto"/>
              <w:ind w:left="-113" w:right="-93"/>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2022 (план, факт)</w:t>
            </w:r>
          </w:p>
        </w:tc>
        <w:tc>
          <w:tcPr>
            <w:tcW w:w="992" w:type="dxa"/>
            <w:gridSpan w:val="2"/>
            <w:shd w:val="clear" w:color="auto" w:fill="auto"/>
            <w:vAlign w:val="center"/>
            <w:hideMark/>
          </w:tcPr>
          <w:p w14:paraId="09089011" w14:textId="77777777" w:rsidR="00A51B25" w:rsidRPr="00FD7B0B" w:rsidRDefault="00A51B25" w:rsidP="00A51B25">
            <w:pPr>
              <w:spacing w:after="0" w:line="240" w:lineRule="auto"/>
              <w:ind w:left="-113" w:right="-93"/>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2023 (план, факт)</w:t>
            </w:r>
          </w:p>
        </w:tc>
        <w:tc>
          <w:tcPr>
            <w:tcW w:w="851" w:type="dxa"/>
            <w:gridSpan w:val="2"/>
            <w:shd w:val="clear" w:color="auto" w:fill="auto"/>
            <w:vAlign w:val="center"/>
            <w:hideMark/>
          </w:tcPr>
          <w:p w14:paraId="288B9D24" w14:textId="77777777" w:rsidR="00A51B25" w:rsidRPr="00FD7B0B" w:rsidRDefault="00A51B25" w:rsidP="00A51B25">
            <w:pPr>
              <w:spacing w:after="0" w:line="240" w:lineRule="auto"/>
              <w:ind w:left="-113" w:right="-93"/>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2024 (план, факт)</w:t>
            </w:r>
          </w:p>
        </w:tc>
        <w:tc>
          <w:tcPr>
            <w:tcW w:w="425" w:type="dxa"/>
            <w:shd w:val="clear" w:color="auto" w:fill="auto"/>
            <w:vAlign w:val="center"/>
            <w:hideMark/>
          </w:tcPr>
          <w:p w14:paraId="0F183411" w14:textId="77777777" w:rsidR="00A51B25" w:rsidRPr="00FD7B0B" w:rsidRDefault="00A51B25" w:rsidP="00A51B25">
            <w:pPr>
              <w:spacing w:after="0" w:line="240" w:lineRule="auto"/>
              <w:ind w:left="-132" w:right="-109"/>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2025 (план)</w:t>
            </w:r>
          </w:p>
        </w:tc>
        <w:tc>
          <w:tcPr>
            <w:tcW w:w="992" w:type="dxa"/>
            <w:vMerge/>
            <w:vAlign w:val="center"/>
            <w:hideMark/>
          </w:tcPr>
          <w:p w14:paraId="2E921651" w14:textId="77777777" w:rsidR="00A51B25" w:rsidRPr="00FD7B0B" w:rsidRDefault="00A51B25" w:rsidP="00A51B25">
            <w:pPr>
              <w:spacing w:after="0" w:line="240" w:lineRule="auto"/>
              <w:ind w:left="-113" w:right="-93"/>
              <w:rPr>
                <w:rFonts w:ascii="Times New Roman" w:eastAsia="Times New Roman" w:hAnsi="Times New Roman"/>
                <w:sz w:val="16"/>
                <w:szCs w:val="16"/>
                <w:lang w:eastAsia="ru-RU"/>
              </w:rPr>
            </w:pPr>
          </w:p>
        </w:tc>
        <w:tc>
          <w:tcPr>
            <w:tcW w:w="993" w:type="dxa"/>
            <w:vMerge/>
            <w:vAlign w:val="center"/>
            <w:hideMark/>
          </w:tcPr>
          <w:p w14:paraId="356EE65C" w14:textId="77777777" w:rsidR="00A51B25" w:rsidRPr="00FD7B0B" w:rsidRDefault="00A51B25" w:rsidP="00A51B25">
            <w:pPr>
              <w:spacing w:after="0" w:line="240" w:lineRule="auto"/>
              <w:ind w:left="-113" w:right="-93"/>
              <w:rPr>
                <w:rFonts w:ascii="Times New Roman" w:eastAsia="Times New Roman" w:hAnsi="Times New Roman"/>
                <w:sz w:val="16"/>
                <w:szCs w:val="16"/>
                <w:lang w:eastAsia="ru-RU"/>
              </w:rPr>
            </w:pPr>
          </w:p>
        </w:tc>
        <w:tc>
          <w:tcPr>
            <w:tcW w:w="992" w:type="dxa"/>
            <w:vMerge/>
            <w:vAlign w:val="center"/>
            <w:hideMark/>
          </w:tcPr>
          <w:p w14:paraId="7A883574" w14:textId="77777777" w:rsidR="00A51B25" w:rsidRPr="00FD7B0B" w:rsidRDefault="00A51B25" w:rsidP="00A51B25">
            <w:pPr>
              <w:spacing w:after="0" w:line="240" w:lineRule="auto"/>
              <w:ind w:left="-113" w:right="-93"/>
              <w:rPr>
                <w:rFonts w:ascii="Times New Roman" w:eastAsia="Times New Roman" w:hAnsi="Times New Roman"/>
                <w:sz w:val="16"/>
                <w:szCs w:val="16"/>
                <w:lang w:eastAsia="ru-RU"/>
              </w:rPr>
            </w:pPr>
          </w:p>
        </w:tc>
        <w:tc>
          <w:tcPr>
            <w:tcW w:w="850" w:type="dxa"/>
            <w:vMerge/>
            <w:vAlign w:val="center"/>
            <w:hideMark/>
          </w:tcPr>
          <w:p w14:paraId="5677A1C5" w14:textId="77777777" w:rsidR="00A51B25" w:rsidRPr="00FD7B0B" w:rsidRDefault="00A51B25" w:rsidP="00A51B25">
            <w:pPr>
              <w:spacing w:after="0" w:line="240" w:lineRule="auto"/>
              <w:rPr>
                <w:rFonts w:ascii="Times New Roman" w:eastAsia="Times New Roman" w:hAnsi="Times New Roman"/>
                <w:sz w:val="16"/>
                <w:szCs w:val="16"/>
                <w:lang w:eastAsia="ru-RU"/>
              </w:rPr>
            </w:pPr>
          </w:p>
        </w:tc>
        <w:tc>
          <w:tcPr>
            <w:tcW w:w="992" w:type="dxa"/>
            <w:shd w:val="clear" w:color="auto" w:fill="auto"/>
            <w:vAlign w:val="center"/>
            <w:hideMark/>
          </w:tcPr>
          <w:p w14:paraId="4685DB82"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кол-во показателей с положительной динамикой</w:t>
            </w:r>
          </w:p>
        </w:tc>
        <w:tc>
          <w:tcPr>
            <w:tcW w:w="850" w:type="dxa"/>
            <w:shd w:val="clear" w:color="auto" w:fill="auto"/>
            <w:vAlign w:val="center"/>
            <w:hideMark/>
          </w:tcPr>
          <w:p w14:paraId="1842D502"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кол-во показателей без динамики</w:t>
            </w:r>
          </w:p>
        </w:tc>
        <w:tc>
          <w:tcPr>
            <w:tcW w:w="993" w:type="dxa"/>
            <w:shd w:val="clear" w:color="auto" w:fill="auto"/>
            <w:vAlign w:val="center"/>
            <w:hideMark/>
          </w:tcPr>
          <w:p w14:paraId="56F26BD7"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кол-во показателей c отрицательной динамикой</w:t>
            </w:r>
          </w:p>
        </w:tc>
      </w:tr>
      <w:tr w:rsidR="00FD7B0B" w:rsidRPr="00FD7B0B" w14:paraId="470A3E69" w14:textId="77777777" w:rsidTr="00324099">
        <w:trPr>
          <w:trHeight w:val="43"/>
        </w:trPr>
        <w:tc>
          <w:tcPr>
            <w:tcW w:w="9781" w:type="dxa"/>
            <w:gridSpan w:val="14"/>
            <w:shd w:val="clear" w:color="auto" w:fill="auto"/>
            <w:vAlign w:val="center"/>
          </w:tcPr>
          <w:p w14:paraId="40C0FF2D"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Показатель 1. Уровень удовлетворенности населения Архангельской области качеством предоставляемых коммунальных услуг, %</w:t>
            </w:r>
          </w:p>
        </w:tc>
      </w:tr>
      <w:tr w:rsidR="00FD7B0B" w:rsidRPr="00FD7B0B" w14:paraId="45E6ED7A" w14:textId="77777777" w:rsidTr="00324099">
        <w:trPr>
          <w:trHeight w:val="343"/>
        </w:trPr>
        <w:tc>
          <w:tcPr>
            <w:tcW w:w="445" w:type="dxa"/>
            <w:shd w:val="clear" w:color="auto" w:fill="auto"/>
            <w:vAlign w:val="center"/>
            <w:hideMark/>
          </w:tcPr>
          <w:p w14:paraId="6F090C8C" w14:textId="77777777" w:rsidR="00A51B25" w:rsidRPr="00FD7B0B" w:rsidRDefault="00A51B25" w:rsidP="00A51B25">
            <w:pPr>
              <w:spacing w:after="0" w:line="240" w:lineRule="auto"/>
              <w:ind w:left="-179" w:right="-166"/>
              <w:jc w:val="center"/>
              <w:rPr>
                <w:rFonts w:ascii="Times New Roman" w:eastAsia="Times New Roman" w:hAnsi="Times New Roman"/>
                <w:sz w:val="16"/>
                <w:szCs w:val="16"/>
                <w:lang w:eastAsia="ru-RU"/>
              </w:rPr>
            </w:pPr>
            <w:r w:rsidRPr="00FD7B0B">
              <w:rPr>
                <w:rFonts w:ascii="Times New Roman" w:eastAsia="Times New Roman" w:hAnsi="Times New Roman"/>
                <w:bCs/>
                <w:sz w:val="16"/>
                <w:szCs w:val="16"/>
                <w:lang w:eastAsia="ru-RU"/>
              </w:rPr>
              <w:t>85,3</w:t>
            </w:r>
          </w:p>
        </w:tc>
        <w:tc>
          <w:tcPr>
            <w:tcW w:w="406" w:type="dxa"/>
            <w:shd w:val="clear" w:color="auto" w:fill="auto"/>
            <w:noWrap/>
            <w:vAlign w:val="center"/>
            <w:hideMark/>
          </w:tcPr>
          <w:p w14:paraId="49333EDC"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83,8</w:t>
            </w:r>
          </w:p>
        </w:tc>
        <w:tc>
          <w:tcPr>
            <w:tcW w:w="485" w:type="dxa"/>
            <w:shd w:val="clear" w:color="auto" w:fill="auto"/>
            <w:vAlign w:val="center"/>
            <w:hideMark/>
          </w:tcPr>
          <w:p w14:paraId="4DFF5C42"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85,3</w:t>
            </w:r>
          </w:p>
        </w:tc>
        <w:tc>
          <w:tcPr>
            <w:tcW w:w="507" w:type="dxa"/>
            <w:shd w:val="clear" w:color="auto" w:fill="auto"/>
            <w:vAlign w:val="center"/>
            <w:hideMark/>
          </w:tcPr>
          <w:p w14:paraId="58831DC0"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87,7</w:t>
            </w:r>
          </w:p>
        </w:tc>
        <w:tc>
          <w:tcPr>
            <w:tcW w:w="384" w:type="dxa"/>
            <w:shd w:val="clear" w:color="auto" w:fill="auto"/>
            <w:vAlign w:val="center"/>
          </w:tcPr>
          <w:p w14:paraId="39193D6B"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85,3</w:t>
            </w:r>
          </w:p>
        </w:tc>
        <w:tc>
          <w:tcPr>
            <w:tcW w:w="467" w:type="dxa"/>
            <w:shd w:val="clear" w:color="auto" w:fill="auto"/>
            <w:vAlign w:val="center"/>
          </w:tcPr>
          <w:p w14:paraId="18561694"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82,4</w:t>
            </w:r>
          </w:p>
        </w:tc>
        <w:tc>
          <w:tcPr>
            <w:tcW w:w="425" w:type="dxa"/>
            <w:shd w:val="clear" w:color="auto" w:fill="auto"/>
            <w:vAlign w:val="center"/>
          </w:tcPr>
          <w:p w14:paraId="39ACE40A"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85,3</w:t>
            </w:r>
          </w:p>
        </w:tc>
        <w:tc>
          <w:tcPr>
            <w:tcW w:w="992" w:type="dxa"/>
            <w:shd w:val="clear" w:color="auto" w:fill="auto"/>
            <w:noWrap/>
            <w:vAlign w:val="center"/>
            <w:hideMark/>
          </w:tcPr>
          <w:p w14:paraId="38B516EB"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1,00</w:t>
            </w:r>
          </w:p>
        </w:tc>
        <w:tc>
          <w:tcPr>
            <w:tcW w:w="993" w:type="dxa"/>
            <w:shd w:val="clear" w:color="auto" w:fill="auto"/>
            <w:noWrap/>
            <w:vAlign w:val="center"/>
            <w:hideMark/>
          </w:tcPr>
          <w:p w14:paraId="163D138F"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0,97</w:t>
            </w:r>
          </w:p>
        </w:tc>
        <w:tc>
          <w:tcPr>
            <w:tcW w:w="992" w:type="dxa"/>
            <w:shd w:val="clear" w:color="auto" w:fill="auto"/>
            <w:noWrap/>
            <w:vAlign w:val="center"/>
            <w:hideMark/>
          </w:tcPr>
          <w:p w14:paraId="402414CA"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1,05</w:t>
            </w:r>
          </w:p>
        </w:tc>
        <w:tc>
          <w:tcPr>
            <w:tcW w:w="850" w:type="dxa"/>
            <w:shd w:val="clear" w:color="auto" w:fill="auto"/>
            <w:noWrap/>
            <w:vAlign w:val="center"/>
            <w:hideMark/>
          </w:tcPr>
          <w:p w14:paraId="433E59EE"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1,01</w:t>
            </w:r>
          </w:p>
        </w:tc>
        <w:tc>
          <w:tcPr>
            <w:tcW w:w="992" w:type="dxa"/>
            <w:shd w:val="clear" w:color="auto" w:fill="auto"/>
            <w:noWrap/>
            <w:vAlign w:val="center"/>
            <w:hideMark/>
          </w:tcPr>
          <w:p w14:paraId="4A0CE36A"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850" w:type="dxa"/>
            <w:shd w:val="clear" w:color="auto" w:fill="auto"/>
            <w:noWrap/>
            <w:vAlign w:val="center"/>
            <w:hideMark/>
          </w:tcPr>
          <w:p w14:paraId="6B7D3F2F"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993" w:type="dxa"/>
            <w:shd w:val="clear" w:color="auto" w:fill="auto"/>
            <w:noWrap/>
            <w:vAlign w:val="center"/>
            <w:hideMark/>
          </w:tcPr>
          <w:p w14:paraId="3EEDDA92"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r>
      <w:tr w:rsidR="00FD7B0B" w:rsidRPr="00FD7B0B" w14:paraId="4818F5A9" w14:textId="77777777" w:rsidTr="00324099">
        <w:trPr>
          <w:trHeight w:val="441"/>
        </w:trPr>
        <w:tc>
          <w:tcPr>
            <w:tcW w:w="9781" w:type="dxa"/>
            <w:gridSpan w:val="14"/>
            <w:shd w:val="clear" w:color="auto" w:fill="auto"/>
            <w:vAlign w:val="center"/>
          </w:tcPr>
          <w:p w14:paraId="47314460"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Показатель 2. Полнота исполнения расходных обязательств Архангельской области, вытекающих из государственного регулирования цен (тарифов) (отношение фактически перечисленных средств субсидий и грантов в форме субсидий к установленным областным бюджетом бюджетным ассигнованиям), %</w:t>
            </w:r>
          </w:p>
        </w:tc>
      </w:tr>
      <w:tr w:rsidR="00FD7B0B" w:rsidRPr="00FD7B0B" w14:paraId="3DED34C8" w14:textId="77777777" w:rsidTr="00324099">
        <w:trPr>
          <w:trHeight w:val="429"/>
        </w:trPr>
        <w:tc>
          <w:tcPr>
            <w:tcW w:w="445" w:type="dxa"/>
            <w:shd w:val="clear" w:color="auto" w:fill="auto"/>
            <w:vAlign w:val="center"/>
          </w:tcPr>
          <w:p w14:paraId="0095259F" w14:textId="77777777" w:rsidR="00A51B25" w:rsidRPr="00FD7B0B" w:rsidRDefault="00A51B25" w:rsidP="00A51B25">
            <w:pPr>
              <w:spacing w:after="0" w:line="240" w:lineRule="auto"/>
              <w:ind w:left="-179" w:right="-166"/>
              <w:jc w:val="center"/>
              <w:rPr>
                <w:rFonts w:ascii="Times New Roman" w:eastAsia="Times New Roman" w:hAnsi="Times New Roman"/>
                <w:sz w:val="16"/>
                <w:szCs w:val="16"/>
                <w:lang w:eastAsia="ru-RU"/>
              </w:rPr>
            </w:pPr>
            <w:r w:rsidRPr="00FD7B0B">
              <w:rPr>
                <w:rFonts w:ascii="Times New Roman" w:eastAsia="Times New Roman" w:hAnsi="Times New Roman"/>
                <w:bCs/>
                <w:sz w:val="16"/>
                <w:szCs w:val="16"/>
                <w:lang w:eastAsia="ru-RU"/>
              </w:rPr>
              <w:t>100,0</w:t>
            </w:r>
          </w:p>
        </w:tc>
        <w:tc>
          <w:tcPr>
            <w:tcW w:w="406" w:type="dxa"/>
            <w:shd w:val="clear" w:color="auto" w:fill="auto"/>
            <w:vAlign w:val="center"/>
          </w:tcPr>
          <w:p w14:paraId="74D0F457"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100,0</w:t>
            </w:r>
          </w:p>
        </w:tc>
        <w:tc>
          <w:tcPr>
            <w:tcW w:w="485" w:type="dxa"/>
            <w:shd w:val="clear" w:color="auto" w:fill="auto"/>
            <w:vAlign w:val="center"/>
            <w:hideMark/>
          </w:tcPr>
          <w:p w14:paraId="0F3A9490"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100,0</w:t>
            </w:r>
          </w:p>
        </w:tc>
        <w:tc>
          <w:tcPr>
            <w:tcW w:w="507" w:type="dxa"/>
            <w:shd w:val="clear" w:color="auto" w:fill="auto"/>
            <w:vAlign w:val="center"/>
            <w:hideMark/>
          </w:tcPr>
          <w:p w14:paraId="556206FE"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82,1</w:t>
            </w:r>
          </w:p>
        </w:tc>
        <w:tc>
          <w:tcPr>
            <w:tcW w:w="384" w:type="dxa"/>
            <w:shd w:val="clear" w:color="auto" w:fill="auto"/>
            <w:vAlign w:val="center"/>
          </w:tcPr>
          <w:p w14:paraId="2CB31E55"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100,0</w:t>
            </w:r>
          </w:p>
        </w:tc>
        <w:tc>
          <w:tcPr>
            <w:tcW w:w="467" w:type="dxa"/>
            <w:shd w:val="clear" w:color="auto" w:fill="auto"/>
            <w:vAlign w:val="center"/>
          </w:tcPr>
          <w:p w14:paraId="6E9F7778"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100,0</w:t>
            </w:r>
          </w:p>
        </w:tc>
        <w:tc>
          <w:tcPr>
            <w:tcW w:w="425" w:type="dxa"/>
            <w:shd w:val="clear" w:color="auto" w:fill="auto"/>
            <w:vAlign w:val="center"/>
          </w:tcPr>
          <w:p w14:paraId="76B73991"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100,0</w:t>
            </w:r>
          </w:p>
        </w:tc>
        <w:tc>
          <w:tcPr>
            <w:tcW w:w="992" w:type="dxa"/>
            <w:shd w:val="clear" w:color="auto" w:fill="auto"/>
            <w:noWrap/>
            <w:vAlign w:val="center"/>
            <w:hideMark/>
          </w:tcPr>
          <w:p w14:paraId="6E285CFE"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1,00</w:t>
            </w:r>
          </w:p>
        </w:tc>
        <w:tc>
          <w:tcPr>
            <w:tcW w:w="993" w:type="dxa"/>
            <w:shd w:val="clear" w:color="auto" w:fill="auto"/>
            <w:noWrap/>
            <w:vAlign w:val="center"/>
            <w:hideMark/>
          </w:tcPr>
          <w:p w14:paraId="1D847D14"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1,22</w:t>
            </w:r>
          </w:p>
        </w:tc>
        <w:tc>
          <w:tcPr>
            <w:tcW w:w="992" w:type="dxa"/>
            <w:shd w:val="clear" w:color="auto" w:fill="auto"/>
            <w:noWrap/>
            <w:vAlign w:val="center"/>
            <w:hideMark/>
          </w:tcPr>
          <w:p w14:paraId="7EBF2507" w14:textId="77777777" w:rsidR="00A51B25" w:rsidRPr="00FD7B0B" w:rsidRDefault="00A51B25" w:rsidP="00A51B25">
            <w:pPr>
              <w:spacing w:after="0" w:line="240" w:lineRule="auto"/>
              <w:ind w:left="-179" w:right="-166"/>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0,82</w:t>
            </w:r>
          </w:p>
        </w:tc>
        <w:tc>
          <w:tcPr>
            <w:tcW w:w="850" w:type="dxa"/>
            <w:shd w:val="clear" w:color="auto" w:fill="auto"/>
            <w:noWrap/>
            <w:vAlign w:val="center"/>
            <w:hideMark/>
          </w:tcPr>
          <w:p w14:paraId="05FC89AA"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1,01</w:t>
            </w:r>
          </w:p>
        </w:tc>
        <w:tc>
          <w:tcPr>
            <w:tcW w:w="992" w:type="dxa"/>
            <w:shd w:val="clear" w:color="auto" w:fill="auto"/>
            <w:noWrap/>
            <w:vAlign w:val="center"/>
            <w:hideMark/>
          </w:tcPr>
          <w:p w14:paraId="4439E5A5"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0,00</w:t>
            </w:r>
          </w:p>
        </w:tc>
        <w:tc>
          <w:tcPr>
            <w:tcW w:w="850" w:type="dxa"/>
            <w:shd w:val="clear" w:color="auto" w:fill="auto"/>
            <w:noWrap/>
            <w:vAlign w:val="center"/>
            <w:hideMark/>
          </w:tcPr>
          <w:p w14:paraId="7C2BCF31"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993" w:type="dxa"/>
            <w:shd w:val="clear" w:color="auto" w:fill="auto"/>
            <w:noWrap/>
            <w:vAlign w:val="center"/>
            <w:hideMark/>
          </w:tcPr>
          <w:p w14:paraId="37B88C5A" w14:textId="77777777" w:rsidR="00A51B25" w:rsidRPr="00FD7B0B" w:rsidRDefault="00A51B25" w:rsidP="00A51B25">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r>
    </w:tbl>
    <w:p w14:paraId="500EBF90"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Доля показателей ГП №17 в группах с положительной динамикой и без существенной динамики значений - высокий уровень.</w:t>
      </w:r>
    </w:p>
    <w:p w14:paraId="60D7C829" w14:textId="77777777" w:rsidR="00A51B25" w:rsidRPr="00FD7B0B" w:rsidRDefault="00A51B25" w:rsidP="00A51B25">
      <w:pPr>
        <w:spacing w:after="0" w:line="240" w:lineRule="auto"/>
        <w:ind w:firstLine="709"/>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Доля показателей государственной программы, по которым представлены фактические значения за отчетный год - высокий уровень.</w:t>
      </w:r>
    </w:p>
    <w:p w14:paraId="5126A65C" w14:textId="77777777" w:rsidR="00A51B25" w:rsidRPr="00FD7B0B" w:rsidRDefault="00A51B25" w:rsidP="00A51B25">
      <w:pPr>
        <w:pStyle w:val="aff0"/>
        <w:spacing w:after="0" w:line="240" w:lineRule="auto"/>
        <w:jc w:val="center"/>
        <w:rPr>
          <w:rFonts w:ascii="Times New Roman" w:hAnsi="Times New Roman"/>
          <w:sz w:val="28"/>
          <w:szCs w:val="28"/>
        </w:rPr>
      </w:pPr>
    </w:p>
    <w:p w14:paraId="52C8EC9D" w14:textId="77777777" w:rsidR="00A51B25" w:rsidRPr="00FD7B0B" w:rsidRDefault="00A51B25" w:rsidP="00A51B25">
      <w:pPr>
        <w:pStyle w:val="aff0"/>
        <w:spacing w:after="0" w:line="240" w:lineRule="auto"/>
        <w:jc w:val="center"/>
        <w:rPr>
          <w:rFonts w:ascii="Times New Roman" w:hAnsi="Times New Roman"/>
          <w:sz w:val="28"/>
          <w:szCs w:val="28"/>
        </w:rPr>
      </w:pPr>
      <w:r w:rsidRPr="00FD7B0B">
        <w:rPr>
          <w:rFonts w:ascii="Times New Roman" w:hAnsi="Times New Roman"/>
          <w:sz w:val="28"/>
          <w:szCs w:val="28"/>
        </w:rPr>
        <w:t>Итоговая оценка реализации ГП № 17</w:t>
      </w:r>
    </w:p>
    <w:p w14:paraId="012A3109" w14:textId="77777777" w:rsidR="00A51B25" w:rsidRPr="00FD7B0B" w:rsidRDefault="00A51B25" w:rsidP="00A51B25">
      <w:pPr>
        <w:pStyle w:val="aff0"/>
        <w:spacing w:after="0" w:line="240" w:lineRule="auto"/>
        <w:ind w:firstLine="708"/>
        <w:jc w:val="both"/>
        <w:rPr>
          <w:rFonts w:ascii="Times New Roman" w:hAnsi="Times New Roman"/>
          <w:b w:val="0"/>
          <w:sz w:val="28"/>
          <w:szCs w:val="28"/>
        </w:rPr>
      </w:pPr>
      <w:r w:rsidRPr="00FD7B0B">
        <w:rPr>
          <w:rFonts w:ascii="Times New Roman" w:hAnsi="Times New Roman"/>
          <w:b w:val="0"/>
          <w:sz w:val="28"/>
          <w:szCs w:val="28"/>
        </w:rPr>
        <w:t>Оценка исполнения государственной программы по ресурсам и результатам</w:t>
      </w:r>
    </w:p>
    <w:tbl>
      <w:tblPr>
        <w:tblW w:w="94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083"/>
        <w:gridCol w:w="1321"/>
        <w:gridCol w:w="1976"/>
        <w:gridCol w:w="1650"/>
        <w:gridCol w:w="1284"/>
        <w:gridCol w:w="1203"/>
        <w:gridCol w:w="968"/>
      </w:tblGrid>
      <w:tr w:rsidR="00FD7B0B" w:rsidRPr="00FD7B0B" w14:paraId="64AB9095" w14:textId="77777777" w:rsidTr="001B07CB">
        <w:trPr>
          <w:trHeight w:val="1427"/>
          <w:jc w:val="center"/>
        </w:trPr>
        <w:tc>
          <w:tcPr>
            <w:tcW w:w="1083" w:type="dxa"/>
            <w:vMerge w:val="restart"/>
            <w:shd w:val="clear" w:color="auto" w:fill="auto"/>
          </w:tcPr>
          <w:p w14:paraId="4AA7CC42"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Оценка кассового исполнения по расходам</w:t>
            </w:r>
          </w:p>
          <w:p w14:paraId="2253DD57"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областного бюджета на реализацию ГП за 2024 год</w:t>
            </w:r>
          </w:p>
        </w:tc>
        <w:tc>
          <w:tcPr>
            <w:tcW w:w="1321" w:type="dxa"/>
            <w:vMerge w:val="restart"/>
            <w:shd w:val="clear" w:color="auto" w:fill="auto"/>
          </w:tcPr>
          <w:p w14:paraId="065F1DFD"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Оценка объема изменений, внесенных в сводную бюджетную</w:t>
            </w:r>
          </w:p>
          <w:p w14:paraId="0A0E1C0D"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роспись областного бюджета в 2024 году</w:t>
            </w:r>
          </w:p>
          <w:p w14:paraId="5A56C77B"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p>
        </w:tc>
        <w:tc>
          <w:tcPr>
            <w:tcW w:w="1976" w:type="dxa"/>
          </w:tcPr>
          <w:p w14:paraId="4E2FB2B1"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Оценка реализации мероприятий (достижения результатов) структурных элементов в 2024 году</w:t>
            </w:r>
          </w:p>
        </w:tc>
        <w:tc>
          <w:tcPr>
            <w:tcW w:w="1650" w:type="dxa"/>
          </w:tcPr>
          <w:p w14:paraId="16E7178E"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 xml:space="preserve">Оценка достижения плановых значений показателей ГП </w:t>
            </w:r>
            <w:r w:rsidRPr="00FD7B0B">
              <w:rPr>
                <w:rFonts w:ascii="Times New Roman" w:hAnsi="Times New Roman"/>
                <w:sz w:val="20"/>
                <w:szCs w:val="20"/>
              </w:rPr>
              <w:br/>
              <w:t>в 2024 году</w:t>
            </w:r>
          </w:p>
        </w:tc>
        <w:tc>
          <w:tcPr>
            <w:tcW w:w="1284" w:type="dxa"/>
          </w:tcPr>
          <w:p w14:paraId="3A7F619A"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Оценка динамики дебиторской задолженности</w:t>
            </w:r>
          </w:p>
        </w:tc>
        <w:tc>
          <w:tcPr>
            <w:tcW w:w="1203" w:type="dxa"/>
          </w:tcPr>
          <w:p w14:paraId="43D02191"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Оценка ввода объектов в эксплуатацию в рамках реализации</w:t>
            </w:r>
          </w:p>
          <w:p w14:paraId="22A4A29A"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ГП</w:t>
            </w:r>
          </w:p>
        </w:tc>
        <w:tc>
          <w:tcPr>
            <w:tcW w:w="968" w:type="dxa"/>
            <w:vMerge w:val="restart"/>
          </w:tcPr>
          <w:p w14:paraId="20FEA924"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r w:rsidRPr="00FD7B0B">
              <w:rPr>
                <w:rFonts w:ascii="Times New Roman" w:hAnsi="Times New Roman"/>
                <w:sz w:val="20"/>
                <w:szCs w:val="20"/>
              </w:rPr>
              <w:t>Итого</w:t>
            </w:r>
          </w:p>
        </w:tc>
      </w:tr>
      <w:tr w:rsidR="00FD7B0B" w:rsidRPr="00FD7B0B" w14:paraId="745E8B60" w14:textId="77777777" w:rsidTr="001B07CB">
        <w:trPr>
          <w:trHeight w:val="595"/>
          <w:jc w:val="center"/>
        </w:trPr>
        <w:tc>
          <w:tcPr>
            <w:tcW w:w="1083" w:type="dxa"/>
            <w:vMerge/>
            <w:shd w:val="clear" w:color="auto" w:fill="auto"/>
          </w:tcPr>
          <w:p w14:paraId="24D6A169"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p>
        </w:tc>
        <w:tc>
          <w:tcPr>
            <w:tcW w:w="1321" w:type="dxa"/>
            <w:vMerge/>
            <w:shd w:val="clear" w:color="auto" w:fill="auto"/>
          </w:tcPr>
          <w:p w14:paraId="58FB0798"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p>
        </w:tc>
        <w:tc>
          <w:tcPr>
            <w:tcW w:w="1976" w:type="dxa"/>
          </w:tcPr>
          <w:p w14:paraId="315F32E1" w14:textId="77777777" w:rsidR="00A51B25" w:rsidRPr="00FD7B0B" w:rsidRDefault="00A51B25" w:rsidP="00A51B25">
            <w:pPr>
              <w:tabs>
                <w:tab w:val="left" w:pos="7755"/>
              </w:tabs>
              <w:spacing w:after="0" w:line="240" w:lineRule="auto"/>
              <w:ind w:left="-68" w:right="-58"/>
              <w:jc w:val="center"/>
              <w:rPr>
                <w:rFonts w:ascii="Times New Roman" w:hAnsi="Times New Roman"/>
                <w:sz w:val="16"/>
                <w:szCs w:val="16"/>
              </w:rPr>
            </w:pPr>
            <w:r w:rsidRPr="00FD7B0B">
              <w:rPr>
                <w:rFonts w:ascii="Times New Roman" w:hAnsi="Times New Roman"/>
                <w:sz w:val="16"/>
                <w:szCs w:val="16"/>
              </w:rPr>
              <w:t>Степень достижения мероприятия (результата) структурного элемента ГП</w:t>
            </w:r>
          </w:p>
        </w:tc>
        <w:tc>
          <w:tcPr>
            <w:tcW w:w="1650" w:type="dxa"/>
          </w:tcPr>
          <w:p w14:paraId="2C2FA15B" w14:textId="77777777" w:rsidR="00A51B25" w:rsidRPr="00FD7B0B" w:rsidRDefault="00A51B25" w:rsidP="00A51B25">
            <w:pPr>
              <w:tabs>
                <w:tab w:val="left" w:pos="7755"/>
              </w:tabs>
              <w:spacing w:after="0" w:line="240" w:lineRule="auto"/>
              <w:ind w:left="-68" w:right="-58"/>
              <w:jc w:val="center"/>
              <w:rPr>
                <w:rFonts w:ascii="Times New Roman" w:hAnsi="Times New Roman"/>
                <w:sz w:val="16"/>
                <w:szCs w:val="16"/>
              </w:rPr>
            </w:pPr>
            <w:r w:rsidRPr="00FD7B0B">
              <w:rPr>
                <w:rFonts w:ascii="Times New Roman" w:hAnsi="Times New Roman"/>
                <w:sz w:val="16"/>
                <w:szCs w:val="16"/>
              </w:rPr>
              <w:t>степень достижения плановых значений показателей ГП</w:t>
            </w:r>
          </w:p>
        </w:tc>
        <w:tc>
          <w:tcPr>
            <w:tcW w:w="1284" w:type="dxa"/>
          </w:tcPr>
          <w:p w14:paraId="3A4DDBB4" w14:textId="77777777" w:rsidR="00A51B25" w:rsidRPr="00FD7B0B" w:rsidRDefault="00A51B25" w:rsidP="00A51B25">
            <w:pPr>
              <w:ind w:left="-146" w:right="-156"/>
              <w:jc w:val="center"/>
              <w:rPr>
                <w:rFonts w:ascii="Times New Roman" w:hAnsi="Times New Roman"/>
                <w:sz w:val="16"/>
                <w:szCs w:val="16"/>
              </w:rPr>
            </w:pPr>
            <w:r w:rsidRPr="00FD7B0B">
              <w:rPr>
                <w:rFonts w:ascii="Times New Roman" w:hAnsi="Times New Roman"/>
                <w:sz w:val="16"/>
                <w:szCs w:val="16"/>
              </w:rPr>
              <w:t>доля просроченной дебиторской задолженности</w:t>
            </w:r>
          </w:p>
        </w:tc>
        <w:tc>
          <w:tcPr>
            <w:tcW w:w="1203" w:type="dxa"/>
          </w:tcPr>
          <w:p w14:paraId="57F25258"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p>
        </w:tc>
        <w:tc>
          <w:tcPr>
            <w:tcW w:w="968" w:type="dxa"/>
            <w:vMerge/>
          </w:tcPr>
          <w:p w14:paraId="064DDE87" w14:textId="77777777" w:rsidR="00A51B25" w:rsidRPr="00FD7B0B" w:rsidRDefault="00A51B25" w:rsidP="00A51B25">
            <w:pPr>
              <w:tabs>
                <w:tab w:val="left" w:pos="7755"/>
              </w:tabs>
              <w:spacing w:after="0" w:line="240" w:lineRule="auto"/>
              <w:ind w:left="-68" w:right="-58"/>
              <w:jc w:val="center"/>
              <w:rPr>
                <w:rFonts w:ascii="Times New Roman" w:hAnsi="Times New Roman"/>
                <w:sz w:val="20"/>
                <w:szCs w:val="20"/>
              </w:rPr>
            </w:pPr>
          </w:p>
        </w:tc>
      </w:tr>
      <w:tr w:rsidR="00FD7B0B" w:rsidRPr="00FD7B0B" w14:paraId="0BCDE0BD" w14:textId="77777777" w:rsidTr="001B07CB">
        <w:trPr>
          <w:trHeight w:val="339"/>
          <w:jc w:val="center"/>
        </w:trPr>
        <w:tc>
          <w:tcPr>
            <w:tcW w:w="1083" w:type="dxa"/>
            <w:shd w:val="clear" w:color="auto" w:fill="FFFF00"/>
            <w:vAlign w:val="center"/>
          </w:tcPr>
          <w:p w14:paraId="6A15D3C4" w14:textId="77777777" w:rsidR="00A51B25" w:rsidRPr="00FD7B0B" w:rsidRDefault="00A51B25" w:rsidP="00A51B25">
            <w:pPr>
              <w:tabs>
                <w:tab w:val="left" w:pos="7755"/>
              </w:tabs>
              <w:spacing w:after="0" w:line="240" w:lineRule="auto"/>
              <w:ind w:left="-68"/>
              <w:jc w:val="center"/>
              <w:rPr>
                <w:rFonts w:ascii="Times New Roman" w:hAnsi="Times New Roman"/>
                <w:sz w:val="20"/>
                <w:szCs w:val="20"/>
              </w:rPr>
            </w:pPr>
            <w:r w:rsidRPr="00FD7B0B">
              <w:rPr>
                <w:rFonts w:ascii="Times New Roman" w:hAnsi="Times New Roman"/>
                <w:sz w:val="20"/>
                <w:szCs w:val="20"/>
              </w:rPr>
              <w:t>Средний уровень</w:t>
            </w:r>
          </w:p>
        </w:tc>
        <w:tc>
          <w:tcPr>
            <w:tcW w:w="1321" w:type="dxa"/>
            <w:shd w:val="clear" w:color="auto" w:fill="FF0000"/>
            <w:vAlign w:val="center"/>
          </w:tcPr>
          <w:p w14:paraId="6269E3A3" w14:textId="77777777" w:rsidR="00A51B25" w:rsidRPr="00FD7B0B" w:rsidRDefault="00A51B25" w:rsidP="00A51B25">
            <w:pPr>
              <w:tabs>
                <w:tab w:val="left" w:pos="7755"/>
              </w:tabs>
              <w:spacing w:after="0" w:line="240" w:lineRule="auto"/>
              <w:ind w:left="-68"/>
              <w:jc w:val="center"/>
              <w:rPr>
                <w:rFonts w:ascii="Times New Roman" w:hAnsi="Times New Roman"/>
                <w:sz w:val="20"/>
                <w:szCs w:val="20"/>
              </w:rPr>
            </w:pPr>
            <w:r w:rsidRPr="00FD7B0B">
              <w:rPr>
                <w:rFonts w:ascii="Times New Roman" w:hAnsi="Times New Roman"/>
                <w:sz w:val="20"/>
                <w:szCs w:val="20"/>
              </w:rPr>
              <w:t>Низкий уровень</w:t>
            </w:r>
          </w:p>
        </w:tc>
        <w:tc>
          <w:tcPr>
            <w:tcW w:w="1976" w:type="dxa"/>
            <w:shd w:val="clear" w:color="auto" w:fill="FFFF00"/>
            <w:vAlign w:val="center"/>
          </w:tcPr>
          <w:p w14:paraId="134ED177" w14:textId="77777777" w:rsidR="00A51B25" w:rsidRPr="00FD7B0B" w:rsidRDefault="00A51B25" w:rsidP="00A51B25">
            <w:pPr>
              <w:tabs>
                <w:tab w:val="left" w:pos="7755"/>
              </w:tabs>
              <w:spacing w:after="0" w:line="240" w:lineRule="auto"/>
              <w:ind w:left="-68"/>
              <w:jc w:val="center"/>
              <w:rPr>
                <w:rFonts w:ascii="Times New Roman" w:hAnsi="Times New Roman"/>
                <w:sz w:val="20"/>
                <w:szCs w:val="20"/>
              </w:rPr>
            </w:pPr>
            <w:r w:rsidRPr="00FD7B0B">
              <w:rPr>
                <w:rFonts w:ascii="Times New Roman" w:hAnsi="Times New Roman"/>
                <w:sz w:val="20"/>
                <w:szCs w:val="20"/>
              </w:rPr>
              <w:t>Средний уровень</w:t>
            </w:r>
          </w:p>
        </w:tc>
        <w:tc>
          <w:tcPr>
            <w:tcW w:w="1650" w:type="dxa"/>
            <w:shd w:val="clear" w:color="auto" w:fill="92D050"/>
            <w:vAlign w:val="center"/>
          </w:tcPr>
          <w:p w14:paraId="51C66F43" w14:textId="77777777" w:rsidR="00A51B25" w:rsidRPr="00FD7B0B" w:rsidRDefault="00A51B25" w:rsidP="00A51B25">
            <w:pPr>
              <w:tabs>
                <w:tab w:val="left" w:pos="7755"/>
              </w:tabs>
              <w:spacing w:after="0" w:line="240" w:lineRule="auto"/>
              <w:ind w:left="-68"/>
              <w:jc w:val="center"/>
              <w:rPr>
                <w:rFonts w:ascii="Times New Roman" w:hAnsi="Times New Roman"/>
                <w:sz w:val="20"/>
                <w:szCs w:val="20"/>
              </w:rPr>
            </w:pPr>
            <w:r w:rsidRPr="00FD7B0B">
              <w:rPr>
                <w:rFonts w:ascii="Times New Roman" w:hAnsi="Times New Roman"/>
                <w:sz w:val="20"/>
                <w:szCs w:val="20"/>
              </w:rPr>
              <w:t>Высокий уровень</w:t>
            </w:r>
          </w:p>
        </w:tc>
        <w:tc>
          <w:tcPr>
            <w:tcW w:w="1284" w:type="dxa"/>
            <w:shd w:val="clear" w:color="auto" w:fill="92D050"/>
            <w:vAlign w:val="center"/>
          </w:tcPr>
          <w:p w14:paraId="44A73D8C" w14:textId="77777777" w:rsidR="00A51B25" w:rsidRPr="00FD7B0B" w:rsidRDefault="00A51B25" w:rsidP="00A51B25">
            <w:pPr>
              <w:tabs>
                <w:tab w:val="left" w:pos="7755"/>
              </w:tabs>
              <w:spacing w:after="0" w:line="240" w:lineRule="auto"/>
              <w:ind w:left="-68"/>
              <w:jc w:val="center"/>
              <w:rPr>
                <w:rFonts w:ascii="Times New Roman" w:hAnsi="Times New Roman"/>
                <w:sz w:val="20"/>
                <w:szCs w:val="20"/>
              </w:rPr>
            </w:pPr>
            <w:r w:rsidRPr="00FD7B0B">
              <w:rPr>
                <w:rFonts w:ascii="Times New Roman" w:hAnsi="Times New Roman"/>
                <w:sz w:val="20"/>
                <w:szCs w:val="20"/>
              </w:rPr>
              <w:t>Высокий уровень</w:t>
            </w:r>
          </w:p>
        </w:tc>
        <w:tc>
          <w:tcPr>
            <w:tcW w:w="1203" w:type="dxa"/>
            <w:shd w:val="clear" w:color="auto" w:fill="92D050"/>
            <w:vAlign w:val="center"/>
          </w:tcPr>
          <w:p w14:paraId="5EF10663" w14:textId="77777777" w:rsidR="00A51B25" w:rsidRPr="00FD7B0B" w:rsidRDefault="00A51B25" w:rsidP="00A51B25">
            <w:pPr>
              <w:tabs>
                <w:tab w:val="left" w:pos="7755"/>
              </w:tabs>
              <w:spacing w:after="0" w:line="240" w:lineRule="auto"/>
              <w:ind w:left="-68"/>
              <w:jc w:val="center"/>
              <w:rPr>
                <w:rFonts w:ascii="Times New Roman" w:hAnsi="Times New Roman"/>
                <w:sz w:val="20"/>
                <w:szCs w:val="20"/>
              </w:rPr>
            </w:pPr>
            <w:r w:rsidRPr="00FD7B0B">
              <w:rPr>
                <w:rFonts w:ascii="Times New Roman" w:hAnsi="Times New Roman"/>
                <w:sz w:val="20"/>
                <w:szCs w:val="20"/>
              </w:rPr>
              <w:t>Высокий уровень</w:t>
            </w:r>
          </w:p>
        </w:tc>
        <w:tc>
          <w:tcPr>
            <w:tcW w:w="968" w:type="dxa"/>
            <w:shd w:val="clear" w:color="auto" w:fill="FFFF00"/>
            <w:vAlign w:val="center"/>
          </w:tcPr>
          <w:p w14:paraId="5F8EFEB2" w14:textId="77777777" w:rsidR="00A51B25" w:rsidRPr="00FD7B0B" w:rsidRDefault="00A51B25" w:rsidP="00A51B25">
            <w:pPr>
              <w:tabs>
                <w:tab w:val="left" w:pos="7755"/>
              </w:tabs>
              <w:spacing w:after="0" w:line="240" w:lineRule="auto"/>
              <w:ind w:left="-68"/>
              <w:jc w:val="center"/>
              <w:rPr>
                <w:rFonts w:ascii="Times New Roman" w:hAnsi="Times New Roman"/>
                <w:b/>
                <w:sz w:val="20"/>
                <w:szCs w:val="20"/>
              </w:rPr>
            </w:pPr>
            <w:r w:rsidRPr="00FD7B0B">
              <w:rPr>
                <w:rFonts w:ascii="Times New Roman" w:hAnsi="Times New Roman"/>
                <w:b/>
                <w:sz w:val="20"/>
                <w:szCs w:val="20"/>
              </w:rPr>
              <w:t>Уровень выше среднего</w:t>
            </w:r>
          </w:p>
        </w:tc>
      </w:tr>
    </w:tbl>
    <w:p w14:paraId="74335F9D" w14:textId="77777777" w:rsidR="00A51B25" w:rsidRPr="00FD7B0B" w:rsidRDefault="00A51B25" w:rsidP="00A51B25">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Оценка формирования и использования системы показателей исходя из приоритетов социально-экономического развития РФ и Архангельской области по результатам проверки исполнения государственной программы</w:t>
      </w:r>
    </w:p>
    <w:tbl>
      <w:tblPr>
        <w:tblW w:w="948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413"/>
        <w:gridCol w:w="1549"/>
        <w:gridCol w:w="1418"/>
        <w:gridCol w:w="1559"/>
        <w:gridCol w:w="2551"/>
        <w:gridCol w:w="992"/>
      </w:tblGrid>
      <w:tr w:rsidR="00FD7B0B" w:rsidRPr="00FD7B0B" w14:paraId="216255F7" w14:textId="77777777" w:rsidTr="001B07CB">
        <w:trPr>
          <w:trHeight w:val="1454"/>
          <w:jc w:val="center"/>
        </w:trPr>
        <w:tc>
          <w:tcPr>
            <w:tcW w:w="1413" w:type="dxa"/>
          </w:tcPr>
          <w:p w14:paraId="71E809A3"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Оценка состава показателей ГП.</w:t>
            </w:r>
          </w:p>
        </w:tc>
        <w:tc>
          <w:tcPr>
            <w:tcW w:w="1549" w:type="dxa"/>
          </w:tcPr>
          <w:p w14:paraId="6DC698F0"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Оценка стабильности состава показателей ГП на протяжении отчетного года</w:t>
            </w:r>
          </w:p>
        </w:tc>
        <w:tc>
          <w:tcPr>
            <w:tcW w:w="1418" w:type="dxa"/>
          </w:tcPr>
          <w:p w14:paraId="76E63096"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Оценка стабильности состава показателей ГП за три года</w:t>
            </w:r>
          </w:p>
        </w:tc>
        <w:tc>
          <w:tcPr>
            <w:tcW w:w="1559" w:type="dxa"/>
            <w:shd w:val="clear" w:color="auto" w:fill="auto"/>
          </w:tcPr>
          <w:p w14:paraId="77E2DF01"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Оценка динамики плановых (фактических) значений</w:t>
            </w:r>
          </w:p>
          <w:p w14:paraId="55921496"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показателей ГП</w:t>
            </w:r>
          </w:p>
        </w:tc>
        <w:tc>
          <w:tcPr>
            <w:tcW w:w="2551" w:type="dxa"/>
          </w:tcPr>
          <w:p w14:paraId="602C95A2"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Оценка количества показателей государственной программы,</w:t>
            </w:r>
          </w:p>
          <w:p w14:paraId="29754B35"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по которым представлены фактические значения за 2024 год</w:t>
            </w:r>
          </w:p>
        </w:tc>
        <w:tc>
          <w:tcPr>
            <w:tcW w:w="992" w:type="dxa"/>
          </w:tcPr>
          <w:p w14:paraId="13D3048D"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Итого</w:t>
            </w:r>
          </w:p>
        </w:tc>
      </w:tr>
      <w:tr w:rsidR="00FD7B0B" w:rsidRPr="00FD7B0B" w14:paraId="55C5F07A" w14:textId="77777777" w:rsidTr="001B07CB">
        <w:trPr>
          <w:trHeight w:val="113"/>
          <w:jc w:val="center"/>
        </w:trPr>
        <w:tc>
          <w:tcPr>
            <w:tcW w:w="1413" w:type="dxa"/>
            <w:shd w:val="clear" w:color="auto" w:fill="FF0000"/>
            <w:vAlign w:val="center"/>
          </w:tcPr>
          <w:p w14:paraId="548895CF"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Низкий уровень</w:t>
            </w:r>
          </w:p>
        </w:tc>
        <w:tc>
          <w:tcPr>
            <w:tcW w:w="1549" w:type="dxa"/>
            <w:shd w:val="clear" w:color="auto" w:fill="92D050"/>
            <w:vAlign w:val="center"/>
          </w:tcPr>
          <w:p w14:paraId="16E7FF11"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Высокий уровень</w:t>
            </w:r>
          </w:p>
        </w:tc>
        <w:tc>
          <w:tcPr>
            <w:tcW w:w="1418" w:type="dxa"/>
            <w:shd w:val="clear" w:color="auto" w:fill="92D050"/>
            <w:vAlign w:val="center"/>
          </w:tcPr>
          <w:p w14:paraId="5D30F2FC"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Высокий уровень</w:t>
            </w:r>
          </w:p>
        </w:tc>
        <w:tc>
          <w:tcPr>
            <w:tcW w:w="1559" w:type="dxa"/>
            <w:shd w:val="clear" w:color="auto" w:fill="92D050"/>
            <w:vAlign w:val="center"/>
          </w:tcPr>
          <w:p w14:paraId="39E69626"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Высокий уровень</w:t>
            </w:r>
          </w:p>
        </w:tc>
        <w:tc>
          <w:tcPr>
            <w:tcW w:w="2551" w:type="dxa"/>
            <w:shd w:val="clear" w:color="auto" w:fill="92D050"/>
            <w:vAlign w:val="center"/>
          </w:tcPr>
          <w:p w14:paraId="5E1AF928" w14:textId="77777777" w:rsidR="00A51B25" w:rsidRPr="00FD7B0B" w:rsidRDefault="00A51B25" w:rsidP="00A51B25">
            <w:pPr>
              <w:tabs>
                <w:tab w:val="left" w:pos="7755"/>
              </w:tabs>
              <w:spacing w:after="0" w:line="240" w:lineRule="auto"/>
              <w:ind w:left="-68" w:right="85"/>
              <w:jc w:val="center"/>
              <w:rPr>
                <w:rFonts w:ascii="Times New Roman" w:hAnsi="Times New Roman"/>
                <w:sz w:val="20"/>
                <w:szCs w:val="20"/>
              </w:rPr>
            </w:pPr>
            <w:r w:rsidRPr="00FD7B0B">
              <w:rPr>
                <w:rFonts w:ascii="Times New Roman" w:hAnsi="Times New Roman"/>
                <w:sz w:val="20"/>
                <w:szCs w:val="20"/>
              </w:rPr>
              <w:t>Высокий уровень</w:t>
            </w:r>
          </w:p>
        </w:tc>
        <w:tc>
          <w:tcPr>
            <w:tcW w:w="992" w:type="dxa"/>
            <w:shd w:val="clear" w:color="auto" w:fill="FFFF00"/>
            <w:vAlign w:val="center"/>
          </w:tcPr>
          <w:p w14:paraId="4BD56D11" w14:textId="77777777" w:rsidR="00A51B25" w:rsidRPr="00FD7B0B" w:rsidRDefault="00A51B25" w:rsidP="00A51B25">
            <w:pPr>
              <w:tabs>
                <w:tab w:val="left" w:pos="7755"/>
              </w:tabs>
              <w:spacing w:after="0" w:line="240" w:lineRule="auto"/>
              <w:ind w:left="-68" w:right="85"/>
              <w:jc w:val="center"/>
              <w:rPr>
                <w:rFonts w:ascii="Times New Roman" w:hAnsi="Times New Roman"/>
                <w:b/>
                <w:sz w:val="20"/>
                <w:szCs w:val="20"/>
              </w:rPr>
            </w:pPr>
            <w:r w:rsidRPr="00FD7B0B">
              <w:rPr>
                <w:rFonts w:ascii="Times New Roman" w:hAnsi="Times New Roman"/>
                <w:b/>
                <w:sz w:val="20"/>
                <w:szCs w:val="20"/>
              </w:rPr>
              <w:t>Уровень выше среднего</w:t>
            </w:r>
          </w:p>
        </w:tc>
      </w:tr>
    </w:tbl>
    <w:p w14:paraId="64D1F769" w14:textId="1E7E1153" w:rsidR="00D304BC" w:rsidRPr="00FD7B0B" w:rsidRDefault="009B516C" w:rsidP="00D304BC">
      <w:pPr>
        <w:pStyle w:val="3"/>
        <w:spacing w:line="240" w:lineRule="auto"/>
        <w:jc w:val="center"/>
        <w:rPr>
          <w:rFonts w:ascii="Times New Roman" w:hAnsi="Times New Roman"/>
          <w:b w:val="0"/>
          <w:sz w:val="28"/>
          <w:szCs w:val="28"/>
          <w:u w:val="single"/>
          <w:lang w:val="ru-RU"/>
        </w:rPr>
      </w:pPr>
      <w:bookmarkStart w:id="141" w:name="_Toc198819145"/>
      <w:r w:rsidRPr="00FD7B0B">
        <w:rPr>
          <w:rFonts w:ascii="Times New Roman" w:hAnsi="Times New Roman"/>
          <w:b w:val="0"/>
          <w:sz w:val="28"/>
          <w:szCs w:val="28"/>
          <w:u w:val="single"/>
          <w:lang w:val="ru-RU"/>
        </w:rPr>
        <w:lastRenderedPageBreak/>
        <w:t>4</w:t>
      </w:r>
      <w:r w:rsidR="00D304BC"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lang w:val="ru-RU"/>
        </w:rPr>
        <w:t>.1</w:t>
      </w:r>
      <w:r w:rsidR="007F7958" w:rsidRPr="00FD7B0B">
        <w:rPr>
          <w:rFonts w:ascii="Times New Roman" w:hAnsi="Times New Roman"/>
          <w:b w:val="0"/>
          <w:sz w:val="28"/>
          <w:szCs w:val="28"/>
          <w:u w:val="single"/>
          <w:lang w:val="ru-RU"/>
        </w:rPr>
        <w:t>2</w:t>
      </w:r>
      <w:r w:rsidR="00D304BC" w:rsidRPr="00FD7B0B">
        <w:rPr>
          <w:rFonts w:ascii="Times New Roman" w:hAnsi="Times New Roman"/>
          <w:b w:val="0"/>
          <w:sz w:val="28"/>
          <w:szCs w:val="28"/>
          <w:u w:val="single"/>
          <w:lang w:val="ru-RU"/>
        </w:rPr>
        <w:t xml:space="preserve">. Государственная программа Архангельской области </w:t>
      </w:r>
      <w:r w:rsidR="00743ABC" w:rsidRPr="00FD7B0B">
        <w:rPr>
          <w:rFonts w:ascii="Times New Roman" w:hAnsi="Times New Roman"/>
          <w:b w:val="0"/>
          <w:sz w:val="28"/>
          <w:szCs w:val="28"/>
          <w:u w:val="single"/>
          <w:lang w:val="ru-RU"/>
        </w:rPr>
        <w:t>«</w:t>
      </w:r>
      <w:r w:rsidR="00D304BC" w:rsidRPr="00FD7B0B">
        <w:rPr>
          <w:rFonts w:ascii="Times New Roman" w:hAnsi="Times New Roman"/>
          <w:b w:val="0"/>
          <w:sz w:val="28"/>
          <w:szCs w:val="28"/>
          <w:u w:val="single"/>
          <w:lang w:val="ru-RU"/>
        </w:rPr>
        <w:t>Развитие транспортной системы Архангельской области</w:t>
      </w:r>
      <w:r w:rsidR="00743ABC" w:rsidRPr="00FD7B0B">
        <w:rPr>
          <w:rFonts w:ascii="Times New Roman" w:hAnsi="Times New Roman"/>
          <w:b w:val="0"/>
          <w:sz w:val="28"/>
          <w:szCs w:val="28"/>
          <w:u w:val="single"/>
          <w:lang w:val="ru-RU"/>
        </w:rPr>
        <w:t>»</w:t>
      </w:r>
      <w:bookmarkEnd w:id="141"/>
    </w:p>
    <w:p w14:paraId="17A83D9D" w14:textId="7E9AD14E"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Государственная программа Архангельской области «Развитие транспортной системы Архангельской области» утверждена постановлением Правительства АО 08.10.2013 № 463-пп (далее – ГП № 19).</w:t>
      </w:r>
    </w:p>
    <w:p w14:paraId="2C506576"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Ответственным исполнителем госпрограммы является министерство транспорта Архангельской области (далее – министерство транспорта).</w:t>
      </w:r>
    </w:p>
    <w:p w14:paraId="23513545"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ГП № 19 включает в себя следующие структурные элементы:</w:t>
      </w:r>
    </w:p>
    <w:p w14:paraId="7D75561B" w14:textId="3F4AB3A1" w:rsidR="0001284F" w:rsidRPr="00FD7B0B" w:rsidRDefault="0001284F" w:rsidP="00CB3CBA">
      <w:pPr>
        <w:pStyle w:val="a8"/>
        <w:numPr>
          <w:ilvl w:val="0"/>
          <w:numId w:val="24"/>
        </w:numPr>
        <w:jc w:val="both"/>
        <w:rPr>
          <w:sz w:val="28"/>
          <w:szCs w:val="28"/>
        </w:rPr>
      </w:pPr>
      <w:r w:rsidRPr="00FD7B0B">
        <w:rPr>
          <w:sz w:val="28"/>
          <w:szCs w:val="28"/>
        </w:rPr>
        <w:t>Проектная часть:</w:t>
      </w:r>
    </w:p>
    <w:p w14:paraId="197532F0" w14:textId="2FD9EEBF" w:rsidR="0001284F" w:rsidRPr="00FD7B0B" w:rsidRDefault="0001284F" w:rsidP="0001284F">
      <w:pPr>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t>- РП «Региональная и местная дорожная сеть (Архангельская область)» утвержден от 13.12.2018 № 9 (далее – РП № 9),</w:t>
      </w:r>
    </w:p>
    <w:p w14:paraId="402FCEAB" w14:textId="77777777" w:rsidR="0001284F" w:rsidRPr="00FD7B0B" w:rsidRDefault="0001284F" w:rsidP="0001284F">
      <w:pPr>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t>- РП «Общесистемные меры развития дорожного хозяйства (Архангельская область)», утвержден от 28.01.2019 № 1 (далее – РП № 1),</w:t>
      </w:r>
    </w:p>
    <w:p w14:paraId="051859C8" w14:textId="77777777" w:rsidR="0001284F" w:rsidRPr="00FD7B0B" w:rsidRDefault="0001284F" w:rsidP="0001284F">
      <w:pPr>
        <w:spacing w:after="0" w:line="240" w:lineRule="auto"/>
        <w:ind w:firstLine="708"/>
        <w:jc w:val="both"/>
        <w:rPr>
          <w:rFonts w:ascii="Times New Roman" w:eastAsia="Times New Roman" w:hAnsi="Times New Roman" w:cs="Times New Roman"/>
          <w:sz w:val="28"/>
          <w:szCs w:val="28"/>
          <w:lang w:eastAsia="ru-RU"/>
        </w:rPr>
      </w:pPr>
      <w:r w:rsidRPr="00FD7B0B">
        <w:rPr>
          <w:rFonts w:ascii="Times New Roman" w:hAnsi="Times New Roman" w:cs="Times New Roman"/>
          <w:sz w:val="28"/>
          <w:szCs w:val="28"/>
        </w:rPr>
        <w:t>-  РП «Безопасность дорожного движения (Архангельская область)» утвержден от 04.09.2019 № 7 (далее – РП № 7).</w:t>
      </w:r>
    </w:p>
    <w:p w14:paraId="1238F11A" w14:textId="77777777" w:rsidR="0001284F" w:rsidRPr="00FD7B0B" w:rsidRDefault="0001284F" w:rsidP="0001284F">
      <w:pPr>
        <w:pStyle w:val="a8"/>
        <w:ind w:left="0" w:firstLine="709"/>
        <w:jc w:val="both"/>
        <w:rPr>
          <w:sz w:val="28"/>
          <w:szCs w:val="28"/>
        </w:rPr>
      </w:pPr>
      <w:r w:rsidRPr="00FD7B0B">
        <w:rPr>
          <w:sz w:val="28"/>
          <w:szCs w:val="28"/>
        </w:rPr>
        <w:t>2. Процессная часть:</w:t>
      </w:r>
    </w:p>
    <w:p w14:paraId="2D8622B3" w14:textId="56A8E542" w:rsidR="0001284F" w:rsidRPr="00FD7B0B" w:rsidRDefault="0001284F" w:rsidP="0001284F">
      <w:pPr>
        <w:pStyle w:val="a8"/>
        <w:ind w:left="0" w:firstLine="709"/>
        <w:jc w:val="both"/>
        <w:rPr>
          <w:sz w:val="28"/>
          <w:szCs w:val="28"/>
        </w:rPr>
      </w:pPr>
      <w:r w:rsidRPr="00FD7B0B">
        <w:rPr>
          <w:sz w:val="28"/>
          <w:szCs w:val="28"/>
        </w:rPr>
        <w:t>- КПМ «Развитие пассажирской инфраструктуры и повышение уровня безопасности дорожного движения на территории Архангельской области» утвержден распоряжением министерства транспорта от 29.09.2023 № 375-р/1 (далее – КПМ № 375-р/1);</w:t>
      </w:r>
    </w:p>
    <w:p w14:paraId="0DEE05F8" w14:textId="287006F2" w:rsidR="0001284F" w:rsidRPr="00FD7B0B" w:rsidRDefault="0001284F" w:rsidP="0001284F">
      <w:pPr>
        <w:pStyle w:val="a8"/>
        <w:ind w:left="0" w:firstLine="709"/>
        <w:jc w:val="both"/>
        <w:rPr>
          <w:sz w:val="28"/>
          <w:szCs w:val="28"/>
        </w:rPr>
      </w:pPr>
      <w:r w:rsidRPr="00FD7B0B">
        <w:rPr>
          <w:sz w:val="28"/>
          <w:szCs w:val="28"/>
        </w:rPr>
        <w:t>- КПМ «Развитие и совершенствование сети автомобильных дорог общего пользования регионального или межмуниципального значения» утвержден распоряжением министерства транспорта от 29.09.2023 № 375-р/2 (далее – КПМ № 375-р/2);</w:t>
      </w:r>
    </w:p>
    <w:p w14:paraId="7F67C5DE" w14:textId="77777777" w:rsidR="0001284F" w:rsidRPr="00FD7B0B" w:rsidRDefault="0001284F" w:rsidP="0001284F">
      <w:pPr>
        <w:pStyle w:val="a8"/>
        <w:ind w:left="0" w:firstLine="709"/>
        <w:jc w:val="both"/>
        <w:rPr>
          <w:sz w:val="28"/>
          <w:szCs w:val="28"/>
        </w:rPr>
      </w:pPr>
      <w:r w:rsidRPr="00FD7B0B">
        <w:rPr>
          <w:sz w:val="28"/>
          <w:szCs w:val="28"/>
        </w:rPr>
        <w:t>- КПМ «Улучшение эксплуатационного состояния автомобильных дорог общего пользования регионального или межмуниципального значения за счет ремонта, капитального ремонта и содержания», утвержден распоряжением министерства транспорта от 29.09.2023 № 375-р/3 (далее – КПМ № 375-р/3).</w:t>
      </w:r>
    </w:p>
    <w:p w14:paraId="4B1EE07D" w14:textId="1C4BF4F6"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ГП № 19 за отчетный период внесены изменения, которыми увеличены объемы финансирования на 2024 год на 817,1 млн.руб. В разрезе структурных элементов сведения представлены в таблице </w:t>
      </w:r>
      <w:r w:rsidR="001B07CB" w:rsidRPr="00FD7B0B">
        <w:rPr>
          <w:rFonts w:ascii="Times New Roman" w:eastAsia="Times New Roman" w:hAnsi="Times New Roman"/>
          <w:sz w:val="28"/>
          <w:szCs w:val="28"/>
          <w:lang w:eastAsia="ru-RU"/>
        </w:rPr>
        <w:t>192</w:t>
      </w:r>
      <w:r w:rsidRPr="00FD7B0B">
        <w:rPr>
          <w:rFonts w:ascii="Times New Roman" w:eastAsia="Times New Roman" w:hAnsi="Times New Roman"/>
          <w:sz w:val="28"/>
          <w:szCs w:val="28"/>
          <w:lang w:eastAsia="ru-RU"/>
        </w:rPr>
        <w:t>.</w:t>
      </w:r>
    </w:p>
    <w:p w14:paraId="7A970B93" w14:textId="77777777" w:rsidR="0001284F" w:rsidRPr="00FD7B0B" w:rsidRDefault="0001284F" w:rsidP="0001284F">
      <w:pPr>
        <w:pStyle w:val="aff0"/>
        <w:spacing w:after="0" w:line="240" w:lineRule="auto"/>
        <w:rPr>
          <w:rFonts w:ascii="Times New Roman" w:hAnsi="Times New Roman"/>
          <w:b w:val="0"/>
          <w:sz w:val="24"/>
          <w:szCs w:val="24"/>
          <w:highlight w:val="cyan"/>
        </w:rPr>
      </w:pPr>
    </w:p>
    <w:p w14:paraId="0FA40363" w14:textId="77777777" w:rsidR="0001284F" w:rsidRPr="00FD7B0B" w:rsidRDefault="0001284F" w:rsidP="0001284F">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192</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Изменения, внесенные в объемы финансирования мероприятий ГП № 19 в разрезе структурных элементов, млн.руб.</w:t>
      </w:r>
    </w:p>
    <w:tbl>
      <w:tblPr>
        <w:tblW w:w="9531"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666"/>
        <w:gridCol w:w="1594"/>
        <w:gridCol w:w="1670"/>
        <w:gridCol w:w="1609"/>
        <w:gridCol w:w="992"/>
      </w:tblGrid>
      <w:tr w:rsidR="00FD7B0B" w:rsidRPr="00FD7B0B" w14:paraId="7C3CA985" w14:textId="77777777" w:rsidTr="00E005AC">
        <w:trPr>
          <w:trHeight w:val="276"/>
          <w:tblHeader/>
        </w:trPr>
        <w:tc>
          <w:tcPr>
            <w:tcW w:w="3666" w:type="dxa"/>
            <w:vMerge w:val="restart"/>
            <w:shd w:val="clear" w:color="auto" w:fill="auto"/>
            <w:vAlign w:val="center"/>
            <w:hideMark/>
          </w:tcPr>
          <w:p w14:paraId="22229F8B"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Структурный элемент</w:t>
            </w:r>
          </w:p>
        </w:tc>
        <w:tc>
          <w:tcPr>
            <w:tcW w:w="1594" w:type="dxa"/>
            <w:vMerge w:val="restart"/>
            <w:shd w:val="clear" w:color="auto" w:fill="auto"/>
            <w:vAlign w:val="center"/>
            <w:hideMark/>
          </w:tcPr>
          <w:p w14:paraId="254F6247"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Редакция ГП на 01.01.2024</w:t>
            </w:r>
          </w:p>
        </w:tc>
        <w:tc>
          <w:tcPr>
            <w:tcW w:w="1670" w:type="dxa"/>
            <w:vMerge w:val="restart"/>
            <w:shd w:val="clear" w:color="auto" w:fill="auto"/>
            <w:vAlign w:val="center"/>
            <w:hideMark/>
          </w:tcPr>
          <w:p w14:paraId="7179FBE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Редакция ГП на 31.12.2024</w:t>
            </w:r>
          </w:p>
        </w:tc>
        <w:tc>
          <w:tcPr>
            <w:tcW w:w="2601" w:type="dxa"/>
            <w:gridSpan w:val="2"/>
            <w:shd w:val="clear" w:color="auto" w:fill="auto"/>
            <w:vAlign w:val="center"/>
            <w:hideMark/>
          </w:tcPr>
          <w:p w14:paraId="6FC1E35F"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Изменения (+/-)</w:t>
            </w:r>
          </w:p>
        </w:tc>
      </w:tr>
      <w:tr w:rsidR="00FD7B0B" w:rsidRPr="00FD7B0B" w14:paraId="3DD94A63" w14:textId="77777777" w:rsidTr="00E005AC">
        <w:trPr>
          <w:trHeight w:val="65"/>
          <w:tblHeader/>
        </w:trPr>
        <w:tc>
          <w:tcPr>
            <w:tcW w:w="3666" w:type="dxa"/>
            <w:vMerge/>
            <w:vAlign w:val="center"/>
            <w:hideMark/>
          </w:tcPr>
          <w:p w14:paraId="3E4056D1"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594" w:type="dxa"/>
            <w:vMerge/>
            <w:vAlign w:val="center"/>
            <w:hideMark/>
          </w:tcPr>
          <w:p w14:paraId="454F615F"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670" w:type="dxa"/>
            <w:vMerge/>
            <w:vAlign w:val="center"/>
            <w:hideMark/>
          </w:tcPr>
          <w:p w14:paraId="1157645D"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609" w:type="dxa"/>
            <w:shd w:val="clear" w:color="auto" w:fill="auto"/>
            <w:vAlign w:val="center"/>
            <w:hideMark/>
          </w:tcPr>
          <w:p w14:paraId="60B1F802"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млн.руб.</w:t>
            </w:r>
          </w:p>
        </w:tc>
        <w:tc>
          <w:tcPr>
            <w:tcW w:w="992" w:type="dxa"/>
            <w:shd w:val="clear" w:color="auto" w:fill="auto"/>
            <w:vAlign w:val="center"/>
            <w:hideMark/>
          </w:tcPr>
          <w:p w14:paraId="268455B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r>
      <w:tr w:rsidR="00FD7B0B" w:rsidRPr="00FD7B0B" w14:paraId="6D86A768" w14:textId="77777777" w:rsidTr="000164F8">
        <w:trPr>
          <w:trHeight w:hRule="exact" w:val="276"/>
        </w:trPr>
        <w:tc>
          <w:tcPr>
            <w:tcW w:w="3666" w:type="dxa"/>
            <w:shd w:val="clear" w:color="auto" w:fill="auto"/>
            <w:vAlign w:val="center"/>
            <w:hideMark/>
          </w:tcPr>
          <w:p w14:paraId="540789EF"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9:</w:t>
            </w:r>
          </w:p>
        </w:tc>
        <w:tc>
          <w:tcPr>
            <w:tcW w:w="1594" w:type="dxa"/>
            <w:shd w:val="clear" w:color="auto" w:fill="auto"/>
            <w:vAlign w:val="center"/>
            <w:hideMark/>
          </w:tcPr>
          <w:p w14:paraId="40438B16"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6 554,5  </w:t>
            </w:r>
          </w:p>
        </w:tc>
        <w:tc>
          <w:tcPr>
            <w:tcW w:w="1670" w:type="dxa"/>
            <w:shd w:val="clear" w:color="auto" w:fill="auto"/>
            <w:vAlign w:val="center"/>
            <w:hideMark/>
          </w:tcPr>
          <w:p w14:paraId="7A3BAF1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7 102,0  </w:t>
            </w:r>
          </w:p>
        </w:tc>
        <w:tc>
          <w:tcPr>
            <w:tcW w:w="1609" w:type="dxa"/>
            <w:shd w:val="clear" w:color="auto" w:fill="auto"/>
            <w:vAlign w:val="center"/>
            <w:hideMark/>
          </w:tcPr>
          <w:p w14:paraId="5EB91F5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547,50</w:t>
            </w:r>
          </w:p>
        </w:tc>
        <w:tc>
          <w:tcPr>
            <w:tcW w:w="992" w:type="dxa"/>
            <w:shd w:val="clear" w:color="auto" w:fill="auto"/>
            <w:vAlign w:val="center"/>
            <w:hideMark/>
          </w:tcPr>
          <w:p w14:paraId="7EF3E434"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w:t>
            </w:r>
          </w:p>
        </w:tc>
      </w:tr>
      <w:tr w:rsidR="00FD7B0B" w:rsidRPr="00FD7B0B" w14:paraId="7C20BFEA" w14:textId="77777777" w:rsidTr="000164F8">
        <w:trPr>
          <w:trHeight w:hRule="exact" w:val="276"/>
        </w:trPr>
        <w:tc>
          <w:tcPr>
            <w:tcW w:w="3666" w:type="dxa"/>
            <w:shd w:val="clear" w:color="auto" w:fill="auto"/>
            <w:vAlign w:val="center"/>
            <w:hideMark/>
          </w:tcPr>
          <w:p w14:paraId="61D13F2F"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том числе областной бюджет</w:t>
            </w:r>
          </w:p>
        </w:tc>
        <w:tc>
          <w:tcPr>
            <w:tcW w:w="1594" w:type="dxa"/>
            <w:shd w:val="clear" w:color="auto" w:fill="auto"/>
            <w:vAlign w:val="center"/>
            <w:hideMark/>
          </w:tcPr>
          <w:p w14:paraId="3371D866"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5 844,5  </w:t>
            </w:r>
          </w:p>
        </w:tc>
        <w:tc>
          <w:tcPr>
            <w:tcW w:w="1670" w:type="dxa"/>
            <w:shd w:val="clear" w:color="auto" w:fill="auto"/>
            <w:vAlign w:val="center"/>
            <w:hideMark/>
          </w:tcPr>
          <w:p w14:paraId="3187913B"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6 975,3  </w:t>
            </w:r>
          </w:p>
        </w:tc>
        <w:tc>
          <w:tcPr>
            <w:tcW w:w="1609" w:type="dxa"/>
            <w:shd w:val="clear" w:color="auto" w:fill="auto"/>
            <w:vAlign w:val="center"/>
            <w:hideMark/>
          </w:tcPr>
          <w:p w14:paraId="38DB458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1 130,80</w:t>
            </w:r>
          </w:p>
        </w:tc>
        <w:tc>
          <w:tcPr>
            <w:tcW w:w="992" w:type="dxa"/>
            <w:shd w:val="clear" w:color="auto" w:fill="auto"/>
            <w:vAlign w:val="center"/>
            <w:hideMark/>
          </w:tcPr>
          <w:p w14:paraId="4F07DFC7"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w:t>
            </w:r>
          </w:p>
        </w:tc>
      </w:tr>
      <w:tr w:rsidR="00FD7B0B" w:rsidRPr="00FD7B0B" w14:paraId="2D6393E7" w14:textId="77777777" w:rsidTr="000164F8">
        <w:trPr>
          <w:trHeight w:hRule="exact" w:val="276"/>
        </w:trPr>
        <w:tc>
          <w:tcPr>
            <w:tcW w:w="3666" w:type="dxa"/>
            <w:shd w:val="clear" w:color="auto" w:fill="auto"/>
            <w:vAlign w:val="center"/>
            <w:hideMark/>
          </w:tcPr>
          <w:p w14:paraId="0F6F600F"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1</w:t>
            </w:r>
          </w:p>
        </w:tc>
        <w:tc>
          <w:tcPr>
            <w:tcW w:w="1594" w:type="dxa"/>
            <w:shd w:val="clear" w:color="auto" w:fill="auto"/>
            <w:vAlign w:val="center"/>
            <w:hideMark/>
          </w:tcPr>
          <w:p w14:paraId="3EC4D03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91,1  </w:t>
            </w:r>
          </w:p>
        </w:tc>
        <w:tc>
          <w:tcPr>
            <w:tcW w:w="1670" w:type="dxa"/>
            <w:shd w:val="clear" w:color="auto" w:fill="auto"/>
            <w:vAlign w:val="center"/>
            <w:hideMark/>
          </w:tcPr>
          <w:p w14:paraId="1F75246D"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89,6  </w:t>
            </w:r>
          </w:p>
        </w:tc>
        <w:tc>
          <w:tcPr>
            <w:tcW w:w="1609" w:type="dxa"/>
            <w:shd w:val="clear" w:color="auto" w:fill="auto"/>
            <w:vAlign w:val="center"/>
            <w:hideMark/>
          </w:tcPr>
          <w:p w14:paraId="6C033DE4"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-1,50</w:t>
            </w:r>
          </w:p>
        </w:tc>
        <w:tc>
          <w:tcPr>
            <w:tcW w:w="992" w:type="dxa"/>
            <w:shd w:val="clear" w:color="auto" w:fill="auto"/>
            <w:vAlign w:val="center"/>
            <w:hideMark/>
          </w:tcPr>
          <w:p w14:paraId="536A3AEE"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r>
      <w:tr w:rsidR="00FD7B0B" w:rsidRPr="00FD7B0B" w14:paraId="141440D3" w14:textId="77777777" w:rsidTr="000164F8">
        <w:trPr>
          <w:trHeight w:val="276"/>
        </w:trPr>
        <w:tc>
          <w:tcPr>
            <w:tcW w:w="3666" w:type="dxa"/>
            <w:shd w:val="clear" w:color="auto" w:fill="auto"/>
            <w:vAlign w:val="center"/>
            <w:hideMark/>
          </w:tcPr>
          <w:p w14:paraId="602DDDC8"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том числе областной бюджет</w:t>
            </w:r>
          </w:p>
        </w:tc>
        <w:tc>
          <w:tcPr>
            <w:tcW w:w="1594" w:type="dxa"/>
            <w:shd w:val="clear" w:color="auto" w:fill="auto"/>
            <w:vAlign w:val="center"/>
            <w:hideMark/>
          </w:tcPr>
          <w:p w14:paraId="5AA22BD4"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91,1  </w:t>
            </w:r>
          </w:p>
        </w:tc>
        <w:tc>
          <w:tcPr>
            <w:tcW w:w="1670" w:type="dxa"/>
            <w:shd w:val="clear" w:color="auto" w:fill="auto"/>
            <w:vAlign w:val="center"/>
            <w:hideMark/>
          </w:tcPr>
          <w:p w14:paraId="1A784C9E"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89,6  </w:t>
            </w:r>
          </w:p>
        </w:tc>
        <w:tc>
          <w:tcPr>
            <w:tcW w:w="1609" w:type="dxa"/>
            <w:shd w:val="clear" w:color="auto" w:fill="auto"/>
            <w:vAlign w:val="center"/>
            <w:hideMark/>
          </w:tcPr>
          <w:p w14:paraId="142012C2"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-1,50</w:t>
            </w:r>
          </w:p>
        </w:tc>
        <w:tc>
          <w:tcPr>
            <w:tcW w:w="992" w:type="dxa"/>
            <w:shd w:val="clear" w:color="auto" w:fill="auto"/>
            <w:vAlign w:val="center"/>
            <w:hideMark/>
          </w:tcPr>
          <w:p w14:paraId="2D7C4949"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r>
      <w:tr w:rsidR="00FD7B0B" w:rsidRPr="00FD7B0B" w14:paraId="675BEA43" w14:textId="77777777" w:rsidTr="000164F8">
        <w:trPr>
          <w:trHeight w:hRule="exact" w:val="276"/>
        </w:trPr>
        <w:tc>
          <w:tcPr>
            <w:tcW w:w="3666" w:type="dxa"/>
            <w:shd w:val="clear" w:color="auto" w:fill="auto"/>
            <w:vAlign w:val="center"/>
            <w:hideMark/>
          </w:tcPr>
          <w:p w14:paraId="6807A72E"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7</w:t>
            </w:r>
          </w:p>
        </w:tc>
        <w:tc>
          <w:tcPr>
            <w:tcW w:w="1594" w:type="dxa"/>
            <w:shd w:val="clear" w:color="auto" w:fill="auto"/>
            <w:vAlign w:val="center"/>
            <w:hideMark/>
          </w:tcPr>
          <w:p w14:paraId="08A5895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90,8  </w:t>
            </w:r>
          </w:p>
        </w:tc>
        <w:tc>
          <w:tcPr>
            <w:tcW w:w="1670" w:type="dxa"/>
            <w:shd w:val="clear" w:color="auto" w:fill="auto"/>
            <w:vAlign w:val="center"/>
            <w:hideMark/>
          </w:tcPr>
          <w:p w14:paraId="5191E10F"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103,6  </w:t>
            </w:r>
          </w:p>
        </w:tc>
        <w:tc>
          <w:tcPr>
            <w:tcW w:w="1609" w:type="dxa"/>
            <w:shd w:val="clear" w:color="auto" w:fill="auto"/>
            <w:vAlign w:val="center"/>
            <w:hideMark/>
          </w:tcPr>
          <w:p w14:paraId="6473E73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12,80</w:t>
            </w:r>
          </w:p>
        </w:tc>
        <w:tc>
          <w:tcPr>
            <w:tcW w:w="992" w:type="dxa"/>
            <w:shd w:val="clear" w:color="auto" w:fill="auto"/>
            <w:vAlign w:val="center"/>
            <w:hideMark/>
          </w:tcPr>
          <w:p w14:paraId="4D7A4954"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14</w:t>
            </w:r>
          </w:p>
        </w:tc>
      </w:tr>
      <w:tr w:rsidR="00FD7B0B" w:rsidRPr="00FD7B0B" w14:paraId="4F6FD746" w14:textId="77777777" w:rsidTr="000164F8">
        <w:trPr>
          <w:trHeight w:val="276"/>
        </w:trPr>
        <w:tc>
          <w:tcPr>
            <w:tcW w:w="3666" w:type="dxa"/>
            <w:shd w:val="clear" w:color="auto" w:fill="auto"/>
            <w:vAlign w:val="center"/>
            <w:hideMark/>
          </w:tcPr>
          <w:p w14:paraId="4C3708DF"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том числе областной бюджет</w:t>
            </w:r>
          </w:p>
        </w:tc>
        <w:tc>
          <w:tcPr>
            <w:tcW w:w="1594" w:type="dxa"/>
            <w:shd w:val="clear" w:color="auto" w:fill="auto"/>
            <w:vAlign w:val="center"/>
            <w:hideMark/>
          </w:tcPr>
          <w:p w14:paraId="765C2880"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89,7  </w:t>
            </w:r>
          </w:p>
        </w:tc>
        <w:tc>
          <w:tcPr>
            <w:tcW w:w="1670" w:type="dxa"/>
            <w:shd w:val="clear" w:color="auto" w:fill="auto"/>
            <w:vAlign w:val="center"/>
            <w:hideMark/>
          </w:tcPr>
          <w:p w14:paraId="488AC05E"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88,5  </w:t>
            </w:r>
          </w:p>
        </w:tc>
        <w:tc>
          <w:tcPr>
            <w:tcW w:w="1609" w:type="dxa"/>
            <w:shd w:val="clear" w:color="auto" w:fill="auto"/>
            <w:vAlign w:val="center"/>
            <w:hideMark/>
          </w:tcPr>
          <w:p w14:paraId="0E02B862"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-1,20</w:t>
            </w:r>
          </w:p>
        </w:tc>
        <w:tc>
          <w:tcPr>
            <w:tcW w:w="992" w:type="dxa"/>
            <w:shd w:val="clear" w:color="auto" w:fill="auto"/>
            <w:vAlign w:val="center"/>
            <w:hideMark/>
          </w:tcPr>
          <w:p w14:paraId="1968401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w:t>
            </w:r>
          </w:p>
        </w:tc>
      </w:tr>
      <w:tr w:rsidR="00FD7B0B" w:rsidRPr="00FD7B0B" w14:paraId="7CD273E4" w14:textId="77777777" w:rsidTr="000164F8">
        <w:trPr>
          <w:trHeight w:hRule="exact" w:val="276"/>
        </w:trPr>
        <w:tc>
          <w:tcPr>
            <w:tcW w:w="3666" w:type="dxa"/>
            <w:shd w:val="clear" w:color="auto" w:fill="auto"/>
            <w:vAlign w:val="center"/>
            <w:hideMark/>
          </w:tcPr>
          <w:p w14:paraId="10A26A41"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РП</w:t>
            </w:r>
          </w:p>
        </w:tc>
        <w:tc>
          <w:tcPr>
            <w:tcW w:w="1594" w:type="dxa"/>
            <w:shd w:val="clear" w:color="auto" w:fill="auto"/>
            <w:vAlign w:val="center"/>
            <w:hideMark/>
          </w:tcPr>
          <w:p w14:paraId="41D30094"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6 736,4  </w:t>
            </w:r>
          </w:p>
        </w:tc>
        <w:tc>
          <w:tcPr>
            <w:tcW w:w="1670" w:type="dxa"/>
            <w:shd w:val="clear" w:color="auto" w:fill="auto"/>
            <w:vAlign w:val="center"/>
            <w:hideMark/>
          </w:tcPr>
          <w:p w14:paraId="56C9F3BF"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7 295,2  </w:t>
            </w:r>
          </w:p>
        </w:tc>
        <w:tc>
          <w:tcPr>
            <w:tcW w:w="1609" w:type="dxa"/>
            <w:shd w:val="clear" w:color="auto" w:fill="auto"/>
            <w:vAlign w:val="center"/>
            <w:hideMark/>
          </w:tcPr>
          <w:p w14:paraId="1C98D941"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558,80</w:t>
            </w:r>
          </w:p>
        </w:tc>
        <w:tc>
          <w:tcPr>
            <w:tcW w:w="992" w:type="dxa"/>
            <w:shd w:val="clear" w:color="auto" w:fill="auto"/>
            <w:vAlign w:val="center"/>
            <w:hideMark/>
          </w:tcPr>
          <w:p w14:paraId="2ED3578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w:t>
            </w:r>
          </w:p>
        </w:tc>
      </w:tr>
      <w:tr w:rsidR="00FD7B0B" w:rsidRPr="00FD7B0B" w14:paraId="7CEC181C" w14:textId="77777777" w:rsidTr="000164F8">
        <w:trPr>
          <w:trHeight w:hRule="exact" w:val="276"/>
        </w:trPr>
        <w:tc>
          <w:tcPr>
            <w:tcW w:w="3666" w:type="dxa"/>
            <w:shd w:val="clear" w:color="auto" w:fill="auto"/>
            <w:vAlign w:val="center"/>
            <w:hideMark/>
          </w:tcPr>
          <w:p w14:paraId="30B4F075" w14:textId="77777777" w:rsidR="0001284F" w:rsidRPr="00FD7B0B" w:rsidRDefault="0001284F" w:rsidP="000164F8">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 том числе областной бюджет</w:t>
            </w:r>
          </w:p>
        </w:tc>
        <w:tc>
          <w:tcPr>
            <w:tcW w:w="1594" w:type="dxa"/>
            <w:shd w:val="clear" w:color="auto" w:fill="auto"/>
            <w:vAlign w:val="center"/>
            <w:hideMark/>
          </w:tcPr>
          <w:p w14:paraId="28799172"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6 025,3  </w:t>
            </w:r>
          </w:p>
        </w:tc>
        <w:tc>
          <w:tcPr>
            <w:tcW w:w="1670" w:type="dxa"/>
            <w:shd w:val="clear" w:color="auto" w:fill="auto"/>
            <w:vAlign w:val="center"/>
            <w:hideMark/>
          </w:tcPr>
          <w:p w14:paraId="5ACD8D31"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7 153,4  </w:t>
            </w:r>
          </w:p>
        </w:tc>
        <w:tc>
          <w:tcPr>
            <w:tcW w:w="1609" w:type="dxa"/>
            <w:shd w:val="clear" w:color="auto" w:fill="auto"/>
            <w:vAlign w:val="center"/>
            <w:hideMark/>
          </w:tcPr>
          <w:p w14:paraId="1AAE754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1 128,10</w:t>
            </w:r>
          </w:p>
        </w:tc>
        <w:tc>
          <w:tcPr>
            <w:tcW w:w="992" w:type="dxa"/>
            <w:shd w:val="clear" w:color="auto" w:fill="auto"/>
            <w:vAlign w:val="center"/>
            <w:hideMark/>
          </w:tcPr>
          <w:p w14:paraId="31D614E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19</w:t>
            </w:r>
          </w:p>
        </w:tc>
      </w:tr>
      <w:tr w:rsidR="00FD7B0B" w:rsidRPr="00FD7B0B" w14:paraId="5F863B77" w14:textId="77777777" w:rsidTr="000164F8">
        <w:trPr>
          <w:trHeight w:hRule="exact" w:val="276"/>
        </w:trPr>
        <w:tc>
          <w:tcPr>
            <w:tcW w:w="3666" w:type="dxa"/>
            <w:shd w:val="clear" w:color="auto" w:fill="auto"/>
            <w:vAlign w:val="center"/>
            <w:hideMark/>
          </w:tcPr>
          <w:p w14:paraId="0865ED9A"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375-р/1</w:t>
            </w:r>
          </w:p>
        </w:tc>
        <w:tc>
          <w:tcPr>
            <w:tcW w:w="1594" w:type="dxa"/>
            <w:shd w:val="clear" w:color="auto" w:fill="auto"/>
            <w:vAlign w:val="center"/>
            <w:hideMark/>
          </w:tcPr>
          <w:p w14:paraId="4958D12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3 863,8  </w:t>
            </w:r>
          </w:p>
        </w:tc>
        <w:tc>
          <w:tcPr>
            <w:tcW w:w="1670" w:type="dxa"/>
            <w:shd w:val="clear" w:color="auto" w:fill="auto"/>
            <w:vAlign w:val="center"/>
            <w:hideMark/>
          </w:tcPr>
          <w:p w14:paraId="6F5BFB49"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4 258,7  </w:t>
            </w:r>
          </w:p>
        </w:tc>
        <w:tc>
          <w:tcPr>
            <w:tcW w:w="1609" w:type="dxa"/>
            <w:shd w:val="clear" w:color="auto" w:fill="auto"/>
            <w:vAlign w:val="center"/>
            <w:hideMark/>
          </w:tcPr>
          <w:p w14:paraId="36C41BF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394,90</w:t>
            </w:r>
          </w:p>
        </w:tc>
        <w:tc>
          <w:tcPr>
            <w:tcW w:w="992" w:type="dxa"/>
            <w:shd w:val="clear" w:color="auto" w:fill="auto"/>
            <w:vAlign w:val="center"/>
            <w:hideMark/>
          </w:tcPr>
          <w:p w14:paraId="1C72146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w:t>
            </w:r>
          </w:p>
        </w:tc>
      </w:tr>
      <w:tr w:rsidR="00FD7B0B" w:rsidRPr="00FD7B0B" w14:paraId="51629ACE" w14:textId="77777777" w:rsidTr="000164F8">
        <w:trPr>
          <w:trHeight w:hRule="exact" w:val="276"/>
        </w:trPr>
        <w:tc>
          <w:tcPr>
            <w:tcW w:w="3666" w:type="dxa"/>
            <w:shd w:val="clear" w:color="auto" w:fill="auto"/>
            <w:vAlign w:val="center"/>
            <w:hideMark/>
          </w:tcPr>
          <w:p w14:paraId="3BA421F7"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том числе областной бюджет</w:t>
            </w:r>
          </w:p>
        </w:tc>
        <w:tc>
          <w:tcPr>
            <w:tcW w:w="1594" w:type="dxa"/>
            <w:shd w:val="clear" w:color="auto" w:fill="auto"/>
            <w:vAlign w:val="center"/>
            <w:hideMark/>
          </w:tcPr>
          <w:p w14:paraId="22B7E37D"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3 863,8  </w:t>
            </w:r>
          </w:p>
        </w:tc>
        <w:tc>
          <w:tcPr>
            <w:tcW w:w="1670" w:type="dxa"/>
            <w:shd w:val="clear" w:color="auto" w:fill="auto"/>
            <w:vAlign w:val="center"/>
            <w:hideMark/>
          </w:tcPr>
          <w:p w14:paraId="039EF553"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4 219,9  </w:t>
            </w:r>
          </w:p>
        </w:tc>
        <w:tc>
          <w:tcPr>
            <w:tcW w:w="1609" w:type="dxa"/>
            <w:shd w:val="clear" w:color="auto" w:fill="auto"/>
            <w:vAlign w:val="center"/>
            <w:hideMark/>
          </w:tcPr>
          <w:p w14:paraId="04362C80"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356,10</w:t>
            </w:r>
          </w:p>
        </w:tc>
        <w:tc>
          <w:tcPr>
            <w:tcW w:w="992" w:type="dxa"/>
            <w:shd w:val="clear" w:color="auto" w:fill="auto"/>
            <w:vAlign w:val="center"/>
            <w:hideMark/>
          </w:tcPr>
          <w:p w14:paraId="2D55D89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w:t>
            </w:r>
          </w:p>
        </w:tc>
      </w:tr>
      <w:tr w:rsidR="00FD7B0B" w:rsidRPr="00FD7B0B" w14:paraId="7C18A630" w14:textId="77777777" w:rsidTr="000164F8">
        <w:trPr>
          <w:trHeight w:hRule="exact" w:val="276"/>
        </w:trPr>
        <w:tc>
          <w:tcPr>
            <w:tcW w:w="3666" w:type="dxa"/>
            <w:shd w:val="clear" w:color="auto" w:fill="auto"/>
            <w:vAlign w:val="center"/>
            <w:hideMark/>
          </w:tcPr>
          <w:p w14:paraId="4ED9A009"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375-р/2</w:t>
            </w:r>
          </w:p>
        </w:tc>
        <w:tc>
          <w:tcPr>
            <w:tcW w:w="1594" w:type="dxa"/>
            <w:shd w:val="clear" w:color="auto" w:fill="auto"/>
            <w:vAlign w:val="center"/>
            <w:hideMark/>
          </w:tcPr>
          <w:p w14:paraId="0DDD52E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19,7  </w:t>
            </w:r>
          </w:p>
        </w:tc>
        <w:tc>
          <w:tcPr>
            <w:tcW w:w="1670" w:type="dxa"/>
            <w:shd w:val="clear" w:color="auto" w:fill="auto"/>
            <w:vAlign w:val="center"/>
            <w:hideMark/>
          </w:tcPr>
          <w:p w14:paraId="7EC18B3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38,0  </w:t>
            </w:r>
          </w:p>
        </w:tc>
        <w:tc>
          <w:tcPr>
            <w:tcW w:w="1609" w:type="dxa"/>
            <w:shd w:val="clear" w:color="auto" w:fill="auto"/>
            <w:vAlign w:val="center"/>
            <w:hideMark/>
          </w:tcPr>
          <w:p w14:paraId="62073C2F"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18,29</w:t>
            </w:r>
          </w:p>
        </w:tc>
        <w:tc>
          <w:tcPr>
            <w:tcW w:w="992" w:type="dxa"/>
            <w:shd w:val="clear" w:color="auto" w:fill="auto"/>
            <w:vAlign w:val="center"/>
            <w:hideMark/>
          </w:tcPr>
          <w:p w14:paraId="4A9CCAB0"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93</w:t>
            </w:r>
          </w:p>
        </w:tc>
      </w:tr>
      <w:tr w:rsidR="00FD7B0B" w:rsidRPr="00FD7B0B" w14:paraId="2616FB64" w14:textId="77777777" w:rsidTr="000164F8">
        <w:trPr>
          <w:trHeight w:hRule="exact" w:val="276"/>
        </w:trPr>
        <w:tc>
          <w:tcPr>
            <w:tcW w:w="3666" w:type="dxa"/>
            <w:shd w:val="clear" w:color="auto" w:fill="auto"/>
            <w:vAlign w:val="center"/>
            <w:hideMark/>
          </w:tcPr>
          <w:p w14:paraId="58AC80FD"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в том числе областной бюджет</w:t>
            </w:r>
          </w:p>
        </w:tc>
        <w:tc>
          <w:tcPr>
            <w:tcW w:w="1594" w:type="dxa"/>
            <w:shd w:val="clear" w:color="auto" w:fill="auto"/>
            <w:vAlign w:val="center"/>
            <w:hideMark/>
          </w:tcPr>
          <w:p w14:paraId="6CDD45F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19,7  </w:t>
            </w:r>
          </w:p>
        </w:tc>
        <w:tc>
          <w:tcPr>
            <w:tcW w:w="1670" w:type="dxa"/>
            <w:shd w:val="clear" w:color="auto" w:fill="auto"/>
            <w:vAlign w:val="center"/>
            <w:hideMark/>
          </w:tcPr>
          <w:p w14:paraId="7FD32A8A"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38,0  </w:t>
            </w:r>
          </w:p>
        </w:tc>
        <w:tc>
          <w:tcPr>
            <w:tcW w:w="1609" w:type="dxa"/>
            <w:shd w:val="clear" w:color="auto" w:fill="auto"/>
            <w:vAlign w:val="center"/>
            <w:hideMark/>
          </w:tcPr>
          <w:p w14:paraId="6313E75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18,29</w:t>
            </w:r>
          </w:p>
        </w:tc>
        <w:tc>
          <w:tcPr>
            <w:tcW w:w="992" w:type="dxa"/>
            <w:shd w:val="clear" w:color="auto" w:fill="auto"/>
            <w:vAlign w:val="center"/>
            <w:hideMark/>
          </w:tcPr>
          <w:p w14:paraId="0D9EF48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93</w:t>
            </w:r>
          </w:p>
        </w:tc>
      </w:tr>
      <w:tr w:rsidR="00FD7B0B" w:rsidRPr="00FD7B0B" w14:paraId="67C786AF" w14:textId="77777777" w:rsidTr="000164F8">
        <w:trPr>
          <w:trHeight w:hRule="exact" w:val="276"/>
        </w:trPr>
        <w:tc>
          <w:tcPr>
            <w:tcW w:w="3666" w:type="dxa"/>
            <w:shd w:val="clear" w:color="auto" w:fill="auto"/>
            <w:vAlign w:val="center"/>
            <w:hideMark/>
          </w:tcPr>
          <w:p w14:paraId="5AB6EED6"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375-р/3</w:t>
            </w:r>
          </w:p>
        </w:tc>
        <w:tc>
          <w:tcPr>
            <w:tcW w:w="1594" w:type="dxa"/>
            <w:shd w:val="clear" w:color="auto" w:fill="auto"/>
            <w:vAlign w:val="center"/>
            <w:hideMark/>
          </w:tcPr>
          <w:p w14:paraId="36F57AD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4 114,3  </w:t>
            </w:r>
          </w:p>
        </w:tc>
        <w:tc>
          <w:tcPr>
            <w:tcW w:w="1670" w:type="dxa"/>
            <w:shd w:val="clear" w:color="auto" w:fill="auto"/>
            <w:vAlign w:val="center"/>
            <w:hideMark/>
          </w:tcPr>
          <w:p w14:paraId="02761739"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3 959,5  </w:t>
            </w:r>
          </w:p>
        </w:tc>
        <w:tc>
          <w:tcPr>
            <w:tcW w:w="1609" w:type="dxa"/>
            <w:shd w:val="clear" w:color="auto" w:fill="auto"/>
            <w:vAlign w:val="center"/>
            <w:hideMark/>
          </w:tcPr>
          <w:p w14:paraId="0765910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-154,80</w:t>
            </w:r>
          </w:p>
        </w:tc>
        <w:tc>
          <w:tcPr>
            <w:tcW w:w="992" w:type="dxa"/>
            <w:shd w:val="clear" w:color="auto" w:fill="auto"/>
            <w:vAlign w:val="center"/>
            <w:hideMark/>
          </w:tcPr>
          <w:p w14:paraId="5E791FD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w:t>
            </w:r>
          </w:p>
        </w:tc>
      </w:tr>
      <w:tr w:rsidR="00FD7B0B" w:rsidRPr="00FD7B0B" w14:paraId="339EB988" w14:textId="77777777" w:rsidTr="000164F8">
        <w:trPr>
          <w:trHeight w:hRule="exact" w:val="276"/>
        </w:trPr>
        <w:tc>
          <w:tcPr>
            <w:tcW w:w="3666" w:type="dxa"/>
            <w:shd w:val="clear" w:color="auto" w:fill="auto"/>
            <w:vAlign w:val="center"/>
            <w:hideMark/>
          </w:tcPr>
          <w:p w14:paraId="6C86E7B3"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том числе областной бюджет</w:t>
            </w:r>
          </w:p>
        </w:tc>
        <w:tc>
          <w:tcPr>
            <w:tcW w:w="1594" w:type="dxa"/>
            <w:shd w:val="clear" w:color="auto" w:fill="auto"/>
            <w:vAlign w:val="center"/>
            <w:hideMark/>
          </w:tcPr>
          <w:p w14:paraId="0E73AF19"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4 114,3  </w:t>
            </w:r>
          </w:p>
        </w:tc>
        <w:tc>
          <w:tcPr>
            <w:tcW w:w="1670" w:type="dxa"/>
            <w:shd w:val="clear" w:color="auto" w:fill="auto"/>
            <w:vAlign w:val="center"/>
            <w:hideMark/>
          </w:tcPr>
          <w:p w14:paraId="0711094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3 959,5  </w:t>
            </w:r>
          </w:p>
        </w:tc>
        <w:tc>
          <w:tcPr>
            <w:tcW w:w="1609" w:type="dxa"/>
            <w:shd w:val="clear" w:color="auto" w:fill="auto"/>
            <w:vAlign w:val="center"/>
            <w:hideMark/>
          </w:tcPr>
          <w:p w14:paraId="339ECA2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-154,80</w:t>
            </w:r>
          </w:p>
        </w:tc>
        <w:tc>
          <w:tcPr>
            <w:tcW w:w="992" w:type="dxa"/>
            <w:shd w:val="clear" w:color="auto" w:fill="auto"/>
            <w:vAlign w:val="center"/>
            <w:hideMark/>
          </w:tcPr>
          <w:p w14:paraId="6DBE2BAF"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w:t>
            </w:r>
          </w:p>
        </w:tc>
      </w:tr>
      <w:tr w:rsidR="00FD7B0B" w:rsidRPr="00FD7B0B" w14:paraId="1478C93C" w14:textId="77777777" w:rsidTr="000164F8">
        <w:trPr>
          <w:trHeight w:val="276"/>
        </w:trPr>
        <w:tc>
          <w:tcPr>
            <w:tcW w:w="3666" w:type="dxa"/>
            <w:shd w:val="clear" w:color="auto" w:fill="auto"/>
            <w:vAlign w:val="center"/>
            <w:hideMark/>
          </w:tcPr>
          <w:p w14:paraId="6B40720B"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КПМ</w:t>
            </w:r>
          </w:p>
        </w:tc>
        <w:tc>
          <w:tcPr>
            <w:tcW w:w="1594" w:type="dxa"/>
            <w:shd w:val="clear" w:color="auto" w:fill="auto"/>
            <w:vAlign w:val="center"/>
            <w:hideMark/>
          </w:tcPr>
          <w:p w14:paraId="2263EF75"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7 997,8  </w:t>
            </w:r>
          </w:p>
        </w:tc>
        <w:tc>
          <w:tcPr>
            <w:tcW w:w="1670" w:type="dxa"/>
            <w:shd w:val="clear" w:color="auto" w:fill="auto"/>
            <w:vAlign w:val="center"/>
            <w:hideMark/>
          </w:tcPr>
          <w:p w14:paraId="6EE61EDD"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8 256,2  </w:t>
            </w:r>
          </w:p>
        </w:tc>
        <w:tc>
          <w:tcPr>
            <w:tcW w:w="1609" w:type="dxa"/>
            <w:shd w:val="clear" w:color="auto" w:fill="auto"/>
            <w:vAlign w:val="center"/>
            <w:hideMark/>
          </w:tcPr>
          <w:p w14:paraId="0D3AE971"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258,39</w:t>
            </w:r>
          </w:p>
        </w:tc>
        <w:tc>
          <w:tcPr>
            <w:tcW w:w="992" w:type="dxa"/>
            <w:shd w:val="clear" w:color="auto" w:fill="auto"/>
            <w:vAlign w:val="center"/>
            <w:hideMark/>
          </w:tcPr>
          <w:p w14:paraId="281A4FE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w:t>
            </w:r>
          </w:p>
        </w:tc>
      </w:tr>
      <w:tr w:rsidR="00FD7B0B" w:rsidRPr="00FD7B0B" w14:paraId="79865BDD" w14:textId="77777777" w:rsidTr="000164F8">
        <w:trPr>
          <w:trHeight w:val="276"/>
        </w:trPr>
        <w:tc>
          <w:tcPr>
            <w:tcW w:w="3666" w:type="dxa"/>
            <w:shd w:val="clear" w:color="auto" w:fill="auto"/>
            <w:vAlign w:val="center"/>
            <w:hideMark/>
          </w:tcPr>
          <w:p w14:paraId="78CCB49F" w14:textId="77777777" w:rsidR="0001284F" w:rsidRPr="00FD7B0B" w:rsidRDefault="0001284F" w:rsidP="000164F8">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 том числе областной бюджет</w:t>
            </w:r>
          </w:p>
        </w:tc>
        <w:tc>
          <w:tcPr>
            <w:tcW w:w="1594" w:type="dxa"/>
            <w:shd w:val="clear" w:color="auto" w:fill="auto"/>
            <w:vAlign w:val="center"/>
            <w:hideMark/>
          </w:tcPr>
          <w:p w14:paraId="603A2FF2"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7 997,8  </w:t>
            </w:r>
          </w:p>
        </w:tc>
        <w:tc>
          <w:tcPr>
            <w:tcW w:w="1670" w:type="dxa"/>
            <w:shd w:val="clear" w:color="auto" w:fill="auto"/>
            <w:vAlign w:val="center"/>
            <w:hideMark/>
          </w:tcPr>
          <w:p w14:paraId="334E3E3E"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8 217,4  </w:t>
            </w:r>
          </w:p>
        </w:tc>
        <w:tc>
          <w:tcPr>
            <w:tcW w:w="1609" w:type="dxa"/>
            <w:shd w:val="clear" w:color="auto" w:fill="auto"/>
            <w:vAlign w:val="center"/>
            <w:hideMark/>
          </w:tcPr>
          <w:p w14:paraId="5BB69681"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219,59</w:t>
            </w:r>
          </w:p>
        </w:tc>
        <w:tc>
          <w:tcPr>
            <w:tcW w:w="992" w:type="dxa"/>
            <w:shd w:val="clear" w:color="auto" w:fill="auto"/>
            <w:vAlign w:val="center"/>
            <w:hideMark/>
          </w:tcPr>
          <w:p w14:paraId="06B8C5BB"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w:t>
            </w:r>
          </w:p>
        </w:tc>
      </w:tr>
      <w:tr w:rsidR="00FD7B0B" w:rsidRPr="00FD7B0B" w14:paraId="077657DC" w14:textId="77777777" w:rsidTr="000164F8">
        <w:trPr>
          <w:trHeight w:hRule="exact" w:val="276"/>
        </w:trPr>
        <w:tc>
          <w:tcPr>
            <w:tcW w:w="3666" w:type="dxa"/>
            <w:shd w:val="clear" w:color="auto" w:fill="auto"/>
            <w:vAlign w:val="center"/>
            <w:hideMark/>
          </w:tcPr>
          <w:p w14:paraId="327F31AF"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 по ГП № 19</w:t>
            </w:r>
          </w:p>
        </w:tc>
        <w:tc>
          <w:tcPr>
            <w:tcW w:w="1594" w:type="dxa"/>
            <w:shd w:val="clear" w:color="auto" w:fill="auto"/>
            <w:vAlign w:val="center"/>
            <w:hideMark/>
          </w:tcPr>
          <w:p w14:paraId="54A1DEEA"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14 734,2  </w:t>
            </w:r>
          </w:p>
        </w:tc>
        <w:tc>
          <w:tcPr>
            <w:tcW w:w="1670" w:type="dxa"/>
            <w:shd w:val="clear" w:color="auto" w:fill="auto"/>
            <w:vAlign w:val="center"/>
            <w:hideMark/>
          </w:tcPr>
          <w:p w14:paraId="60F196C4"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15 551,4  </w:t>
            </w:r>
          </w:p>
        </w:tc>
        <w:tc>
          <w:tcPr>
            <w:tcW w:w="1609" w:type="dxa"/>
            <w:shd w:val="clear" w:color="auto" w:fill="auto"/>
            <w:vAlign w:val="center"/>
            <w:hideMark/>
          </w:tcPr>
          <w:p w14:paraId="2F31BC4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817,19</w:t>
            </w:r>
          </w:p>
        </w:tc>
        <w:tc>
          <w:tcPr>
            <w:tcW w:w="992" w:type="dxa"/>
            <w:shd w:val="clear" w:color="auto" w:fill="auto"/>
            <w:vAlign w:val="center"/>
            <w:hideMark/>
          </w:tcPr>
          <w:p w14:paraId="2211299E"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w:t>
            </w:r>
          </w:p>
        </w:tc>
      </w:tr>
      <w:tr w:rsidR="0001284F" w:rsidRPr="00FD7B0B" w14:paraId="2FFA0031" w14:textId="77777777" w:rsidTr="000164F8">
        <w:trPr>
          <w:trHeight w:hRule="exact" w:val="276"/>
        </w:trPr>
        <w:tc>
          <w:tcPr>
            <w:tcW w:w="3666" w:type="dxa"/>
            <w:shd w:val="clear" w:color="auto" w:fill="auto"/>
            <w:vAlign w:val="center"/>
            <w:hideMark/>
          </w:tcPr>
          <w:p w14:paraId="62155502" w14:textId="77777777" w:rsidR="0001284F" w:rsidRPr="00FD7B0B" w:rsidRDefault="0001284F" w:rsidP="000164F8">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 том числе областной бюджет</w:t>
            </w:r>
          </w:p>
        </w:tc>
        <w:tc>
          <w:tcPr>
            <w:tcW w:w="1594" w:type="dxa"/>
            <w:shd w:val="clear" w:color="auto" w:fill="auto"/>
            <w:vAlign w:val="center"/>
            <w:hideMark/>
          </w:tcPr>
          <w:p w14:paraId="676B0F82"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14 023,1  </w:t>
            </w:r>
          </w:p>
        </w:tc>
        <w:tc>
          <w:tcPr>
            <w:tcW w:w="1670" w:type="dxa"/>
            <w:shd w:val="clear" w:color="auto" w:fill="auto"/>
            <w:vAlign w:val="center"/>
            <w:hideMark/>
          </w:tcPr>
          <w:p w14:paraId="113EC9A4"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15 370,8  </w:t>
            </w:r>
          </w:p>
        </w:tc>
        <w:tc>
          <w:tcPr>
            <w:tcW w:w="1609" w:type="dxa"/>
            <w:shd w:val="clear" w:color="auto" w:fill="auto"/>
            <w:vAlign w:val="center"/>
            <w:hideMark/>
          </w:tcPr>
          <w:p w14:paraId="30CA6322"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1 347,69</w:t>
            </w:r>
          </w:p>
        </w:tc>
        <w:tc>
          <w:tcPr>
            <w:tcW w:w="992" w:type="dxa"/>
            <w:shd w:val="clear" w:color="auto" w:fill="auto"/>
            <w:vAlign w:val="center"/>
            <w:hideMark/>
          </w:tcPr>
          <w:p w14:paraId="5F49DEE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10</w:t>
            </w:r>
          </w:p>
        </w:tc>
      </w:tr>
    </w:tbl>
    <w:p w14:paraId="24E62654" w14:textId="77777777" w:rsidR="0001284F" w:rsidRPr="00FD7B0B" w:rsidRDefault="0001284F" w:rsidP="0001284F">
      <w:pPr>
        <w:spacing w:after="0" w:line="240" w:lineRule="auto"/>
        <w:ind w:firstLine="851"/>
        <w:contextualSpacing/>
        <w:jc w:val="both"/>
        <w:rPr>
          <w:rFonts w:ascii="Times New Roman" w:eastAsia="Times New Roman" w:hAnsi="Times New Roman"/>
          <w:sz w:val="28"/>
          <w:szCs w:val="28"/>
          <w:lang w:eastAsia="ru-RU"/>
        </w:rPr>
      </w:pPr>
    </w:p>
    <w:p w14:paraId="2C5925C8" w14:textId="18EEDC4D"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нарушение подпункта 2 пункта 5 Положения от 29.12.2021</w:t>
      </w:r>
      <w:r w:rsidRPr="00FD7B0B">
        <w:rPr>
          <w:rStyle w:val="afff1"/>
          <w:rFonts w:ascii="Times New Roman" w:eastAsia="Times New Roman" w:hAnsi="Times New Roman"/>
          <w:sz w:val="28"/>
          <w:szCs w:val="28"/>
          <w:lang w:eastAsia="ru-RU"/>
        </w:rPr>
        <w:footnoteReference w:id="30"/>
      </w:r>
      <w:r w:rsidRPr="00FD7B0B">
        <w:rPr>
          <w:rFonts w:ascii="Times New Roman" w:eastAsia="Times New Roman" w:hAnsi="Times New Roman"/>
          <w:sz w:val="28"/>
          <w:szCs w:val="28"/>
          <w:lang w:eastAsia="ru-RU"/>
        </w:rPr>
        <w:t xml:space="preserve">, пункта 39 </w:t>
      </w:r>
      <w:r w:rsidR="000164F8" w:rsidRPr="00FD7B0B">
        <w:rPr>
          <w:rFonts w:ascii="Times New Roman" w:eastAsia="Times New Roman" w:hAnsi="Times New Roman"/>
          <w:sz w:val="28"/>
          <w:szCs w:val="28"/>
          <w:lang w:eastAsia="ru-RU"/>
        </w:rPr>
        <w:t>Положения</w:t>
      </w:r>
      <w:r w:rsidRPr="00FD7B0B">
        <w:rPr>
          <w:rFonts w:ascii="Times New Roman" w:eastAsia="Times New Roman" w:hAnsi="Times New Roman"/>
          <w:sz w:val="28"/>
          <w:szCs w:val="28"/>
          <w:lang w:eastAsia="ru-RU"/>
        </w:rPr>
        <w:t> № 793-пп, пункта 3 статьи 139 и пункта 4 статьи 179 БК РФ в паспорте ГП № 19 до 27.12.2024 в общем объеме финансирования КПМ № 375</w:t>
      </w:r>
      <w:r w:rsidR="006C0D64" w:rsidRPr="00FD7B0B">
        <w:rPr>
          <w:rFonts w:ascii="Times New Roman" w:eastAsia="Times New Roman" w:hAnsi="Times New Roman"/>
          <w:sz w:val="28"/>
          <w:szCs w:val="28"/>
          <w:lang w:eastAsia="ru-RU"/>
        </w:rPr>
        <w:noBreakHyphen/>
      </w:r>
      <w:r w:rsidRPr="00FD7B0B">
        <w:rPr>
          <w:rFonts w:ascii="Times New Roman" w:eastAsia="Times New Roman" w:hAnsi="Times New Roman"/>
          <w:sz w:val="28"/>
          <w:szCs w:val="28"/>
          <w:lang w:eastAsia="ru-RU"/>
        </w:rPr>
        <w:t>р/1 не были утверждены средства местных бюджетов, предусмотренные при предоставлении субсидий из областного бюджета.</w:t>
      </w:r>
    </w:p>
    <w:p w14:paraId="730B2526" w14:textId="6DA41E8B"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Отмечаем, что в паспорте ГП № 19 (ред. от 27.12.2023) утвержден недостоверный объем финансирования за счет средств областного бюджета в общей сумме 14 737,7 млн.руб., тогда как при </w:t>
      </w:r>
      <w:r w:rsidR="006C0D64" w:rsidRPr="00FD7B0B">
        <w:rPr>
          <w:rFonts w:ascii="Times New Roman" w:eastAsia="Times New Roman" w:hAnsi="Times New Roman"/>
          <w:sz w:val="28"/>
          <w:szCs w:val="28"/>
          <w:lang w:eastAsia="ru-RU"/>
        </w:rPr>
        <w:t>суммировании</w:t>
      </w:r>
      <w:r w:rsidRPr="00FD7B0B">
        <w:rPr>
          <w:rFonts w:ascii="Times New Roman" w:eastAsia="Times New Roman" w:hAnsi="Times New Roman"/>
          <w:sz w:val="28"/>
          <w:szCs w:val="28"/>
          <w:lang w:eastAsia="ru-RU"/>
        </w:rPr>
        <w:t xml:space="preserve"> утвержденного объема средств областного бюджета по структурным элементам общая</w:t>
      </w:r>
      <w:r w:rsidR="006C0D64" w:rsidRPr="00FD7B0B">
        <w:rPr>
          <w:rFonts w:ascii="Times New Roman" w:eastAsia="Times New Roman" w:hAnsi="Times New Roman"/>
          <w:sz w:val="28"/>
          <w:szCs w:val="28"/>
          <w:lang w:eastAsia="ru-RU"/>
        </w:rPr>
        <w:t xml:space="preserve"> сумма составляет 14 023,1 млн.</w:t>
      </w:r>
      <w:r w:rsidRPr="00FD7B0B">
        <w:rPr>
          <w:rFonts w:ascii="Times New Roman" w:eastAsia="Times New Roman" w:hAnsi="Times New Roman"/>
          <w:sz w:val="28"/>
          <w:szCs w:val="28"/>
          <w:lang w:eastAsia="ru-RU"/>
        </w:rPr>
        <w:t>руб. или на 714,6 млн.руб. меньше.</w:t>
      </w:r>
    </w:p>
    <w:p w14:paraId="0D9D0530" w14:textId="02A95D2B"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течение отчетного периода в закон «Об областном бюджете» вносились изменения, общая сумма бюджетных ассигнований на реализацию мероприятий ГП № 19 увеличена на 231,1 млн.руб. и на 31.12.2024 составила 14 968,8 млн.руб. Сведения в разрезе структурных элементов и исполнителей госпрограммы представлены в таблице </w:t>
      </w:r>
      <w:r w:rsidR="001B07CB" w:rsidRPr="00FD7B0B">
        <w:rPr>
          <w:rFonts w:ascii="Times New Roman" w:eastAsia="Times New Roman" w:hAnsi="Times New Roman"/>
          <w:sz w:val="28"/>
          <w:szCs w:val="28"/>
          <w:lang w:eastAsia="ru-RU"/>
        </w:rPr>
        <w:t>193</w:t>
      </w:r>
      <w:r w:rsidRPr="00FD7B0B">
        <w:rPr>
          <w:rFonts w:ascii="Times New Roman" w:eastAsia="Times New Roman" w:hAnsi="Times New Roman"/>
          <w:sz w:val="28"/>
          <w:szCs w:val="28"/>
          <w:lang w:eastAsia="ru-RU"/>
        </w:rPr>
        <w:t>.</w:t>
      </w:r>
    </w:p>
    <w:p w14:paraId="5BDCC8F2"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p>
    <w:p w14:paraId="4015C2D5" w14:textId="77777777" w:rsidR="0001284F" w:rsidRPr="00FD7B0B" w:rsidRDefault="0001284F" w:rsidP="0001284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193</w:t>
      </w:r>
      <w:r w:rsidRPr="00FD7B0B">
        <w:rPr>
          <w:rFonts w:ascii="Times New Roman" w:hAnsi="Times New Roman"/>
          <w:b w:val="0"/>
          <w:sz w:val="24"/>
          <w:szCs w:val="24"/>
        </w:rPr>
        <w:fldChar w:fldCharType="end"/>
      </w:r>
      <w:r w:rsidRPr="00FD7B0B">
        <w:rPr>
          <w:rFonts w:ascii="Times New Roman" w:hAnsi="Times New Roman"/>
          <w:b w:val="0"/>
          <w:sz w:val="24"/>
          <w:szCs w:val="24"/>
        </w:rPr>
        <w:t>. Показатели закона «Об областном бюджете» в части бюджетных ассигнований на реализацию ГП № 19, млн.руб.</w:t>
      </w:r>
    </w:p>
    <w:tbl>
      <w:tblPr>
        <w:tblW w:w="9531"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268"/>
        <w:gridCol w:w="1559"/>
        <w:gridCol w:w="1559"/>
        <w:gridCol w:w="1134"/>
        <w:gridCol w:w="1011"/>
      </w:tblGrid>
      <w:tr w:rsidR="00FD7B0B" w:rsidRPr="00FD7B0B" w14:paraId="11579355" w14:textId="77777777" w:rsidTr="006C0D64">
        <w:trPr>
          <w:trHeight w:val="133"/>
          <w:tblHeader/>
        </w:trPr>
        <w:tc>
          <w:tcPr>
            <w:tcW w:w="4268" w:type="dxa"/>
            <w:vMerge w:val="restart"/>
            <w:shd w:val="clear" w:color="auto" w:fill="auto"/>
            <w:vAlign w:val="center"/>
            <w:hideMark/>
          </w:tcPr>
          <w:p w14:paraId="1DE033D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Структурный элемент, исполнитель</w:t>
            </w:r>
          </w:p>
        </w:tc>
        <w:tc>
          <w:tcPr>
            <w:tcW w:w="1559" w:type="dxa"/>
            <w:vMerge w:val="restart"/>
            <w:shd w:val="clear" w:color="auto" w:fill="auto"/>
            <w:vAlign w:val="center"/>
            <w:hideMark/>
          </w:tcPr>
          <w:p w14:paraId="3D312CA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Закон в ред. на 01.01.2024</w:t>
            </w:r>
          </w:p>
        </w:tc>
        <w:tc>
          <w:tcPr>
            <w:tcW w:w="1559" w:type="dxa"/>
            <w:vMerge w:val="restart"/>
            <w:shd w:val="clear" w:color="auto" w:fill="auto"/>
            <w:vAlign w:val="center"/>
            <w:hideMark/>
          </w:tcPr>
          <w:p w14:paraId="228BA877"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Закон в ред. на 31.12.2024</w:t>
            </w:r>
          </w:p>
        </w:tc>
        <w:tc>
          <w:tcPr>
            <w:tcW w:w="2145" w:type="dxa"/>
            <w:gridSpan w:val="2"/>
            <w:shd w:val="clear" w:color="auto" w:fill="auto"/>
            <w:vAlign w:val="center"/>
            <w:hideMark/>
          </w:tcPr>
          <w:p w14:paraId="62CA98DF"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Изменения (+/-)</w:t>
            </w:r>
          </w:p>
        </w:tc>
      </w:tr>
      <w:tr w:rsidR="00FD7B0B" w:rsidRPr="00FD7B0B" w14:paraId="446287DF" w14:textId="77777777" w:rsidTr="006C0D64">
        <w:trPr>
          <w:trHeight w:val="77"/>
          <w:tblHeader/>
        </w:trPr>
        <w:tc>
          <w:tcPr>
            <w:tcW w:w="4268" w:type="dxa"/>
            <w:vMerge/>
            <w:vAlign w:val="center"/>
            <w:hideMark/>
          </w:tcPr>
          <w:p w14:paraId="67BBE211"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559" w:type="dxa"/>
            <w:vMerge/>
            <w:vAlign w:val="center"/>
            <w:hideMark/>
          </w:tcPr>
          <w:p w14:paraId="2DDC9D3D"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559" w:type="dxa"/>
            <w:vMerge/>
            <w:vAlign w:val="center"/>
            <w:hideMark/>
          </w:tcPr>
          <w:p w14:paraId="0388F8B1"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134" w:type="dxa"/>
            <w:shd w:val="clear" w:color="auto" w:fill="auto"/>
            <w:vAlign w:val="center"/>
            <w:hideMark/>
          </w:tcPr>
          <w:p w14:paraId="38B95560"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млн.руб.</w:t>
            </w:r>
          </w:p>
        </w:tc>
        <w:tc>
          <w:tcPr>
            <w:tcW w:w="1011" w:type="dxa"/>
            <w:shd w:val="clear" w:color="auto" w:fill="auto"/>
            <w:vAlign w:val="center"/>
            <w:hideMark/>
          </w:tcPr>
          <w:p w14:paraId="390D0AC2"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r>
      <w:tr w:rsidR="00FD7B0B" w:rsidRPr="00FD7B0B" w14:paraId="13A3A93F" w14:textId="77777777" w:rsidTr="006C0D64">
        <w:trPr>
          <w:trHeight w:hRule="exact" w:val="255"/>
        </w:trPr>
        <w:tc>
          <w:tcPr>
            <w:tcW w:w="4268" w:type="dxa"/>
            <w:shd w:val="clear" w:color="auto" w:fill="auto"/>
            <w:vAlign w:val="center"/>
            <w:hideMark/>
          </w:tcPr>
          <w:p w14:paraId="13035639"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9:</w:t>
            </w:r>
          </w:p>
        </w:tc>
        <w:tc>
          <w:tcPr>
            <w:tcW w:w="1559" w:type="dxa"/>
            <w:shd w:val="clear" w:color="auto" w:fill="auto"/>
            <w:vAlign w:val="center"/>
            <w:hideMark/>
          </w:tcPr>
          <w:p w14:paraId="020F84E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6 554,1  </w:t>
            </w:r>
          </w:p>
        </w:tc>
        <w:tc>
          <w:tcPr>
            <w:tcW w:w="1559" w:type="dxa"/>
            <w:shd w:val="clear" w:color="auto" w:fill="auto"/>
            <w:vAlign w:val="center"/>
            <w:hideMark/>
          </w:tcPr>
          <w:p w14:paraId="286959B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6 554,1  </w:t>
            </w:r>
          </w:p>
        </w:tc>
        <w:tc>
          <w:tcPr>
            <w:tcW w:w="1134" w:type="dxa"/>
            <w:shd w:val="clear" w:color="auto" w:fill="auto"/>
            <w:vAlign w:val="center"/>
            <w:hideMark/>
          </w:tcPr>
          <w:p w14:paraId="6CA4BC18"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0,00</w:t>
            </w:r>
          </w:p>
        </w:tc>
        <w:tc>
          <w:tcPr>
            <w:tcW w:w="1011" w:type="dxa"/>
            <w:shd w:val="clear" w:color="auto" w:fill="auto"/>
            <w:vAlign w:val="center"/>
            <w:hideMark/>
          </w:tcPr>
          <w:p w14:paraId="06D0CF0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w:t>
            </w:r>
          </w:p>
        </w:tc>
      </w:tr>
      <w:tr w:rsidR="00FD7B0B" w:rsidRPr="00FD7B0B" w14:paraId="7EEB4B5F" w14:textId="77777777" w:rsidTr="006C0D64">
        <w:trPr>
          <w:trHeight w:hRule="exact" w:val="255"/>
        </w:trPr>
        <w:tc>
          <w:tcPr>
            <w:tcW w:w="4268" w:type="dxa"/>
            <w:shd w:val="clear" w:color="auto" w:fill="auto"/>
            <w:vAlign w:val="center"/>
            <w:hideMark/>
          </w:tcPr>
          <w:p w14:paraId="08A09DF9"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минтранс АО (104)</w:t>
            </w:r>
          </w:p>
        </w:tc>
        <w:tc>
          <w:tcPr>
            <w:tcW w:w="1559" w:type="dxa"/>
            <w:shd w:val="clear" w:color="auto" w:fill="auto"/>
            <w:vAlign w:val="center"/>
            <w:hideMark/>
          </w:tcPr>
          <w:p w14:paraId="14D902E5"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6 554,1  </w:t>
            </w:r>
          </w:p>
        </w:tc>
        <w:tc>
          <w:tcPr>
            <w:tcW w:w="1559" w:type="dxa"/>
            <w:shd w:val="clear" w:color="auto" w:fill="auto"/>
            <w:vAlign w:val="center"/>
            <w:hideMark/>
          </w:tcPr>
          <w:p w14:paraId="6450CFD3"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6 554,1  </w:t>
            </w:r>
          </w:p>
        </w:tc>
        <w:tc>
          <w:tcPr>
            <w:tcW w:w="1134" w:type="dxa"/>
            <w:shd w:val="clear" w:color="auto" w:fill="auto"/>
            <w:vAlign w:val="center"/>
            <w:hideMark/>
          </w:tcPr>
          <w:p w14:paraId="0B41BA2E"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73903918"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4201D930" w14:textId="77777777" w:rsidTr="006C0D64">
        <w:trPr>
          <w:trHeight w:hRule="exact" w:val="255"/>
        </w:trPr>
        <w:tc>
          <w:tcPr>
            <w:tcW w:w="4268" w:type="dxa"/>
            <w:shd w:val="clear" w:color="auto" w:fill="auto"/>
            <w:vAlign w:val="center"/>
            <w:hideMark/>
          </w:tcPr>
          <w:p w14:paraId="23B76CE1"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1</w:t>
            </w:r>
          </w:p>
        </w:tc>
        <w:tc>
          <w:tcPr>
            <w:tcW w:w="1559" w:type="dxa"/>
            <w:shd w:val="clear" w:color="auto" w:fill="auto"/>
            <w:vAlign w:val="center"/>
            <w:hideMark/>
          </w:tcPr>
          <w:p w14:paraId="4ED8C6D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120,6  </w:t>
            </w:r>
          </w:p>
        </w:tc>
        <w:tc>
          <w:tcPr>
            <w:tcW w:w="1559" w:type="dxa"/>
            <w:shd w:val="clear" w:color="auto" w:fill="auto"/>
            <w:vAlign w:val="center"/>
            <w:hideMark/>
          </w:tcPr>
          <w:p w14:paraId="6D50C41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120,6  </w:t>
            </w:r>
          </w:p>
        </w:tc>
        <w:tc>
          <w:tcPr>
            <w:tcW w:w="1134" w:type="dxa"/>
            <w:shd w:val="clear" w:color="auto" w:fill="auto"/>
            <w:vAlign w:val="center"/>
            <w:hideMark/>
          </w:tcPr>
          <w:p w14:paraId="4E7EFFEB"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0,00</w:t>
            </w:r>
          </w:p>
        </w:tc>
        <w:tc>
          <w:tcPr>
            <w:tcW w:w="1011" w:type="dxa"/>
            <w:shd w:val="clear" w:color="auto" w:fill="auto"/>
            <w:vAlign w:val="center"/>
            <w:hideMark/>
          </w:tcPr>
          <w:p w14:paraId="792CAD50"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w:t>
            </w:r>
          </w:p>
        </w:tc>
      </w:tr>
      <w:tr w:rsidR="00FD7B0B" w:rsidRPr="00FD7B0B" w14:paraId="71D47904" w14:textId="77777777" w:rsidTr="006C0D64">
        <w:trPr>
          <w:trHeight w:hRule="exact" w:val="255"/>
        </w:trPr>
        <w:tc>
          <w:tcPr>
            <w:tcW w:w="4268" w:type="dxa"/>
            <w:shd w:val="clear" w:color="auto" w:fill="auto"/>
            <w:vAlign w:val="center"/>
            <w:hideMark/>
          </w:tcPr>
          <w:p w14:paraId="5BF5DB7B"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минсвязь АО (72)</w:t>
            </w:r>
          </w:p>
        </w:tc>
        <w:tc>
          <w:tcPr>
            <w:tcW w:w="1559" w:type="dxa"/>
            <w:shd w:val="clear" w:color="auto" w:fill="auto"/>
            <w:vAlign w:val="center"/>
            <w:hideMark/>
          </w:tcPr>
          <w:p w14:paraId="01F1DDBF"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40,1  </w:t>
            </w:r>
          </w:p>
        </w:tc>
        <w:tc>
          <w:tcPr>
            <w:tcW w:w="1559" w:type="dxa"/>
            <w:shd w:val="clear" w:color="auto" w:fill="auto"/>
            <w:vAlign w:val="center"/>
            <w:hideMark/>
          </w:tcPr>
          <w:p w14:paraId="36D4969E"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40,1  </w:t>
            </w:r>
          </w:p>
        </w:tc>
        <w:tc>
          <w:tcPr>
            <w:tcW w:w="1134" w:type="dxa"/>
            <w:shd w:val="clear" w:color="auto" w:fill="auto"/>
            <w:vAlign w:val="center"/>
            <w:hideMark/>
          </w:tcPr>
          <w:p w14:paraId="14A30804"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4D77390D"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24FDD7CC" w14:textId="77777777" w:rsidTr="006C0D64">
        <w:trPr>
          <w:trHeight w:hRule="exact" w:val="255"/>
        </w:trPr>
        <w:tc>
          <w:tcPr>
            <w:tcW w:w="4268" w:type="dxa"/>
            <w:shd w:val="clear" w:color="auto" w:fill="auto"/>
            <w:vAlign w:val="center"/>
            <w:hideMark/>
          </w:tcPr>
          <w:p w14:paraId="7F3391B9"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минтранс АО (104)</w:t>
            </w:r>
          </w:p>
        </w:tc>
        <w:tc>
          <w:tcPr>
            <w:tcW w:w="1559" w:type="dxa"/>
            <w:shd w:val="clear" w:color="auto" w:fill="auto"/>
            <w:vAlign w:val="center"/>
            <w:hideMark/>
          </w:tcPr>
          <w:p w14:paraId="786A6F66"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80,5  </w:t>
            </w:r>
          </w:p>
        </w:tc>
        <w:tc>
          <w:tcPr>
            <w:tcW w:w="1559" w:type="dxa"/>
            <w:shd w:val="clear" w:color="auto" w:fill="auto"/>
            <w:vAlign w:val="center"/>
            <w:hideMark/>
          </w:tcPr>
          <w:p w14:paraId="26408C60"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80,5  </w:t>
            </w:r>
          </w:p>
        </w:tc>
        <w:tc>
          <w:tcPr>
            <w:tcW w:w="1134" w:type="dxa"/>
            <w:shd w:val="clear" w:color="auto" w:fill="auto"/>
            <w:vAlign w:val="center"/>
            <w:hideMark/>
          </w:tcPr>
          <w:p w14:paraId="1555FD25"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1EDD25BF"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391F61EA" w14:textId="77777777" w:rsidTr="006C0D64">
        <w:trPr>
          <w:trHeight w:hRule="exact" w:val="255"/>
        </w:trPr>
        <w:tc>
          <w:tcPr>
            <w:tcW w:w="4268" w:type="dxa"/>
            <w:shd w:val="clear" w:color="auto" w:fill="auto"/>
            <w:vAlign w:val="center"/>
            <w:hideMark/>
          </w:tcPr>
          <w:p w14:paraId="394C648F"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7</w:t>
            </w:r>
          </w:p>
        </w:tc>
        <w:tc>
          <w:tcPr>
            <w:tcW w:w="1559" w:type="dxa"/>
            <w:shd w:val="clear" w:color="auto" w:fill="auto"/>
            <w:vAlign w:val="center"/>
            <w:hideMark/>
          </w:tcPr>
          <w:p w14:paraId="42BA854F"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89,7  </w:t>
            </w:r>
          </w:p>
        </w:tc>
        <w:tc>
          <w:tcPr>
            <w:tcW w:w="1559" w:type="dxa"/>
            <w:shd w:val="clear" w:color="auto" w:fill="auto"/>
            <w:vAlign w:val="center"/>
            <w:hideMark/>
          </w:tcPr>
          <w:p w14:paraId="08990CDB"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89,7  </w:t>
            </w:r>
          </w:p>
        </w:tc>
        <w:tc>
          <w:tcPr>
            <w:tcW w:w="1134" w:type="dxa"/>
            <w:shd w:val="clear" w:color="auto" w:fill="auto"/>
            <w:vAlign w:val="center"/>
            <w:hideMark/>
          </w:tcPr>
          <w:p w14:paraId="728EE946"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0,00</w:t>
            </w:r>
          </w:p>
        </w:tc>
        <w:tc>
          <w:tcPr>
            <w:tcW w:w="1011" w:type="dxa"/>
            <w:shd w:val="clear" w:color="auto" w:fill="auto"/>
            <w:vAlign w:val="center"/>
            <w:hideMark/>
          </w:tcPr>
          <w:p w14:paraId="6F9819B7"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w:t>
            </w:r>
          </w:p>
        </w:tc>
      </w:tr>
      <w:tr w:rsidR="00FD7B0B" w:rsidRPr="00FD7B0B" w14:paraId="097E4DA5" w14:textId="77777777" w:rsidTr="006C0D64">
        <w:trPr>
          <w:trHeight w:hRule="exact" w:val="255"/>
        </w:trPr>
        <w:tc>
          <w:tcPr>
            <w:tcW w:w="4268" w:type="dxa"/>
            <w:shd w:val="clear" w:color="auto" w:fill="auto"/>
            <w:vAlign w:val="center"/>
            <w:hideMark/>
          </w:tcPr>
          <w:p w14:paraId="03FC1F29"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минтранс АО (104)</w:t>
            </w:r>
          </w:p>
        </w:tc>
        <w:tc>
          <w:tcPr>
            <w:tcW w:w="1559" w:type="dxa"/>
            <w:shd w:val="clear" w:color="auto" w:fill="auto"/>
            <w:vAlign w:val="center"/>
            <w:hideMark/>
          </w:tcPr>
          <w:p w14:paraId="7A441081"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 xml:space="preserve">40,0  </w:t>
            </w:r>
          </w:p>
        </w:tc>
        <w:tc>
          <w:tcPr>
            <w:tcW w:w="1559" w:type="dxa"/>
            <w:shd w:val="clear" w:color="auto" w:fill="auto"/>
            <w:vAlign w:val="center"/>
            <w:hideMark/>
          </w:tcPr>
          <w:p w14:paraId="203A0FF0"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 xml:space="preserve">40,0  </w:t>
            </w:r>
          </w:p>
        </w:tc>
        <w:tc>
          <w:tcPr>
            <w:tcW w:w="1134" w:type="dxa"/>
            <w:shd w:val="clear" w:color="auto" w:fill="auto"/>
            <w:vAlign w:val="center"/>
            <w:hideMark/>
          </w:tcPr>
          <w:p w14:paraId="6E823364"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13FA6EEE"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363D2DDC" w14:textId="77777777" w:rsidTr="006C0D64">
        <w:trPr>
          <w:trHeight w:hRule="exact" w:val="255"/>
        </w:trPr>
        <w:tc>
          <w:tcPr>
            <w:tcW w:w="4268" w:type="dxa"/>
            <w:shd w:val="clear" w:color="auto" w:fill="auto"/>
            <w:vAlign w:val="center"/>
            <w:hideMark/>
          </w:tcPr>
          <w:p w14:paraId="4D757AB9"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минздрав АО (62)</w:t>
            </w:r>
          </w:p>
        </w:tc>
        <w:tc>
          <w:tcPr>
            <w:tcW w:w="1559" w:type="dxa"/>
            <w:shd w:val="clear" w:color="auto" w:fill="auto"/>
            <w:vAlign w:val="center"/>
            <w:hideMark/>
          </w:tcPr>
          <w:p w14:paraId="2EF1E57F"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27,0  </w:t>
            </w:r>
          </w:p>
        </w:tc>
        <w:tc>
          <w:tcPr>
            <w:tcW w:w="1559" w:type="dxa"/>
            <w:shd w:val="clear" w:color="auto" w:fill="auto"/>
            <w:vAlign w:val="center"/>
            <w:hideMark/>
          </w:tcPr>
          <w:p w14:paraId="10FE0E42"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27,0  </w:t>
            </w:r>
          </w:p>
        </w:tc>
        <w:tc>
          <w:tcPr>
            <w:tcW w:w="1134" w:type="dxa"/>
            <w:shd w:val="clear" w:color="auto" w:fill="auto"/>
            <w:vAlign w:val="center"/>
            <w:hideMark/>
          </w:tcPr>
          <w:p w14:paraId="7D75BAA3"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2885F60E"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2EC2371B" w14:textId="77777777" w:rsidTr="006C0D64">
        <w:trPr>
          <w:trHeight w:hRule="exact" w:val="255"/>
        </w:trPr>
        <w:tc>
          <w:tcPr>
            <w:tcW w:w="4268" w:type="dxa"/>
            <w:shd w:val="clear" w:color="auto" w:fill="auto"/>
            <w:vAlign w:val="center"/>
            <w:hideMark/>
          </w:tcPr>
          <w:p w14:paraId="6415224B"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минобразования АО (75)</w:t>
            </w:r>
          </w:p>
        </w:tc>
        <w:tc>
          <w:tcPr>
            <w:tcW w:w="1559" w:type="dxa"/>
            <w:shd w:val="clear" w:color="auto" w:fill="auto"/>
            <w:vAlign w:val="center"/>
            <w:hideMark/>
          </w:tcPr>
          <w:p w14:paraId="19D17B21"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10,8  </w:t>
            </w:r>
          </w:p>
        </w:tc>
        <w:tc>
          <w:tcPr>
            <w:tcW w:w="1559" w:type="dxa"/>
            <w:shd w:val="clear" w:color="auto" w:fill="auto"/>
            <w:vAlign w:val="center"/>
            <w:hideMark/>
          </w:tcPr>
          <w:p w14:paraId="146D5956"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10,8  </w:t>
            </w:r>
          </w:p>
        </w:tc>
        <w:tc>
          <w:tcPr>
            <w:tcW w:w="1134" w:type="dxa"/>
            <w:shd w:val="clear" w:color="auto" w:fill="auto"/>
            <w:vAlign w:val="center"/>
            <w:hideMark/>
          </w:tcPr>
          <w:p w14:paraId="4209027F"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6EB19C33"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6E396896" w14:textId="77777777" w:rsidTr="006C0D64">
        <w:trPr>
          <w:trHeight w:hRule="exact" w:val="255"/>
        </w:trPr>
        <w:tc>
          <w:tcPr>
            <w:tcW w:w="4268" w:type="dxa"/>
            <w:shd w:val="clear" w:color="auto" w:fill="auto"/>
            <w:vAlign w:val="center"/>
            <w:hideMark/>
          </w:tcPr>
          <w:p w14:paraId="6BC8D3E8"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Архмолодежь (261)</w:t>
            </w:r>
          </w:p>
        </w:tc>
        <w:tc>
          <w:tcPr>
            <w:tcW w:w="1559" w:type="dxa"/>
            <w:shd w:val="clear" w:color="auto" w:fill="auto"/>
            <w:vAlign w:val="center"/>
            <w:hideMark/>
          </w:tcPr>
          <w:p w14:paraId="127667F7"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1,8  </w:t>
            </w:r>
          </w:p>
        </w:tc>
        <w:tc>
          <w:tcPr>
            <w:tcW w:w="1559" w:type="dxa"/>
            <w:shd w:val="clear" w:color="auto" w:fill="auto"/>
            <w:vAlign w:val="center"/>
            <w:hideMark/>
          </w:tcPr>
          <w:p w14:paraId="637F2BCC"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1,8  </w:t>
            </w:r>
          </w:p>
        </w:tc>
        <w:tc>
          <w:tcPr>
            <w:tcW w:w="1134" w:type="dxa"/>
            <w:shd w:val="clear" w:color="auto" w:fill="auto"/>
            <w:vAlign w:val="center"/>
            <w:hideMark/>
          </w:tcPr>
          <w:p w14:paraId="20C00C60"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02A77B7F"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0D5103B1" w14:textId="77777777" w:rsidTr="006C0D64">
        <w:trPr>
          <w:trHeight w:hRule="exact" w:val="255"/>
        </w:trPr>
        <w:tc>
          <w:tcPr>
            <w:tcW w:w="4268" w:type="dxa"/>
            <w:shd w:val="clear" w:color="auto" w:fill="auto"/>
            <w:vAlign w:val="center"/>
            <w:hideMark/>
          </w:tcPr>
          <w:p w14:paraId="2B6E3E34"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администрация ГАО и ПАО</w:t>
            </w:r>
          </w:p>
        </w:tc>
        <w:tc>
          <w:tcPr>
            <w:tcW w:w="1559" w:type="dxa"/>
            <w:shd w:val="clear" w:color="auto" w:fill="auto"/>
            <w:vAlign w:val="center"/>
            <w:hideMark/>
          </w:tcPr>
          <w:p w14:paraId="3F551719"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10,1  </w:t>
            </w:r>
          </w:p>
        </w:tc>
        <w:tc>
          <w:tcPr>
            <w:tcW w:w="1559" w:type="dxa"/>
            <w:shd w:val="clear" w:color="auto" w:fill="auto"/>
            <w:vAlign w:val="center"/>
            <w:hideMark/>
          </w:tcPr>
          <w:p w14:paraId="3E63FB7D"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10,1  </w:t>
            </w:r>
          </w:p>
        </w:tc>
        <w:tc>
          <w:tcPr>
            <w:tcW w:w="1134" w:type="dxa"/>
            <w:shd w:val="clear" w:color="auto" w:fill="auto"/>
            <w:vAlign w:val="center"/>
            <w:hideMark/>
          </w:tcPr>
          <w:p w14:paraId="1CB3C959"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38401421"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1EE88B22" w14:textId="77777777" w:rsidTr="006C0D64">
        <w:trPr>
          <w:trHeight w:hRule="exact" w:val="255"/>
        </w:trPr>
        <w:tc>
          <w:tcPr>
            <w:tcW w:w="4268" w:type="dxa"/>
            <w:shd w:val="clear" w:color="auto" w:fill="auto"/>
            <w:vAlign w:val="center"/>
            <w:hideMark/>
          </w:tcPr>
          <w:p w14:paraId="78075EA3"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РП</w:t>
            </w:r>
          </w:p>
        </w:tc>
        <w:tc>
          <w:tcPr>
            <w:tcW w:w="1559" w:type="dxa"/>
            <w:shd w:val="clear" w:color="auto" w:fill="auto"/>
            <w:vAlign w:val="center"/>
            <w:hideMark/>
          </w:tcPr>
          <w:p w14:paraId="4DC67C0A"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6 764,4  </w:t>
            </w:r>
          </w:p>
        </w:tc>
        <w:tc>
          <w:tcPr>
            <w:tcW w:w="1559" w:type="dxa"/>
            <w:shd w:val="clear" w:color="auto" w:fill="auto"/>
            <w:vAlign w:val="center"/>
            <w:hideMark/>
          </w:tcPr>
          <w:p w14:paraId="529169F7"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6 764,4  </w:t>
            </w:r>
          </w:p>
        </w:tc>
        <w:tc>
          <w:tcPr>
            <w:tcW w:w="1134" w:type="dxa"/>
            <w:shd w:val="clear" w:color="auto" w:fill="auto"/>
            <w:vAlign w:val="center"/>
            <w:hideMark/>
          </w:tcPr>
          <w:p w14:paraId="2F9B1CDF"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0,00</w:t>
            </w:r>
          </w:p>
        </w:tc>
        <w:tc>
          <w:tcPr>
            <w:tcW w:w="1011" w:type="dxa"/>
            <w:shd w:val="clear" w:color="auto" w:fill="auto"/>
            <w:vAlign w:val="center"/>
            <w:hideMark/>
          </w:tcPr>
          <w:p w14:paraId="6CAF5F51"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w:t>
            </w:r>
          </w:p>
        </w:tc>
      </w:tr>
      <w:tr w:rsidR="00FD7B0B" w:rsidRPr="00FD7B0B" w14:paraId="22D3A549" w14:textId="77777777" w:rsidTr="006C0D64">
        <w:trPr>
          <w:trHeight w:hRule="exact" w:val="255"/>
        </w:trPr>
        <w:tc>
          <w:tcPr>
            <w:tcW w:w="4268" w:type="dxa"/>
            <w:shd w:val="clear" w:color="auto" w:fill="auto"/>
            <w:vAlign w:val="center"/>
            <w:hideMark/>
          </w:tcPr>
          <w:p w14:paraId="5A2E4F9F"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375-р/1</w:t>
            </w:r>
          </w:p>
        </w:tc>
        <w:tc>
          <w:tcPr>
            <w:tcW w:w="1559" w:type="dxa"/>
            <w:shd w:val="clear" w:color="auto" w:fill="auto"/>
            <w:vAlign w:val="center"/>
            <w:hideMark/>
          </w:tcPr>
          <w:p w14:paraId="3DB17069"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3 863,8  </w:t>
            </w:r>
          </w:p>
        </w:tc>
        <w:tc>
          <w:tcPr>
            <w:tcW w:w="1559" w:type="dxa"/>
            <w:shd w:val="clear" w:color="auto" w:fill="auto"/>
            <w:vAlign w:val="center"/>
            <w:hideMark/>
          </w:tcPr>
          <w:p w14:paraId="5B324A54"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4 094,9  </w:t>
            </w:r>
          </w:p>
        </w:tc>
        <w:tc>
          <w:tcPr>
            <w:tcW w:w="1134" w:type="dxa"/>
            <w:shd w:val="clear" w:color="auto" w:fill="auto"/>
            <w:vAlign w:val="center"/>
            <w:hideMark/>
          </w:tcPr>
          <w:p w14:paraId="335A5EB8"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231,10</w:t>
            </w:r>
          </w:p>
        </w:tc>
        <w:tc>
          <w:tcPr>
            <w:tcW w:w="1011" w:type="dxa"/>
            <w:shd w:val="clear" w:color="auto" w:fill="auto"/>
            <w:vAlign w:val="center"/>
            <w:hideMark/>
          </w:tcPr>
          <w:p w14:paraId="2CF0896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6</w:t>
            </w:r>
          </w:p>
        </w:tc>
      </w:tr>
      <w:tr w:rsidR="00FD7B0B" w:rsidRPr="00FD7B0B" w14:paraId="49DE340A" w14:textId="77777777" w:rsidTr="006C0D64">
        <w:trPr>
          <w:trHeight w:hRule="exact" w:val="255"/>
        </w:trPr>
        <w:tc>
          <w:tcPr>
            <w:tcW w:w="4268" w:type="dxa"/>
            <w:shd w:val="clear" w:color="auto" w:fill="auto"/>
            <w:vAlign w:val="center"/>
            <w:hideMark/>
          </w:tcPr>
          <w:p w14:paraId="2C78A0D6"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минтранс АО (104)</w:t>
            </w:r>
          </w:p>
        </w:tc>
        <w:tc>
          <w:tcPr>
            <w:tcW w:w="1559" w:type="dxa"/>
            <w:shd w:val="clear" w:color="auto" w:fill="auto"/>
            <w:vAlign w:val="center"/>
            <w:hideMark/>
          </w:tcPr>
          <w:p w14:paraId="2ABEF7E0"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3 863,8  </w:t>
            </w:r>
          </w:p>
        </w:tc>
        <w:tc>
          <w:tcPr>
            <w:tcW w:w="1559" w:type="dxa"/>
            <w:shd w:val="clear" w:color="auto" w:fill="auto"/>
            <w:vAlign w:val="center"/>
            <w:hideMark/>
          </w:tcPr>
          <w:p w14:paraId="7B3826CF"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4 094,9  </w:t>
            </w:r>
          </w:p>
        </w:tc>
        <w:tc>
          <w:tcPr>
            <w:tcW w:w="1134" w:type="dxa"/>
            <w:shd w:val="clear" w:color="auto" w:fill="auto"/>
            <w:vAlign w:val="center"/>
            <w:hideMark/>
          </w:tcPr>
          <w:p w14:paraId="3435DC9E"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231,10</w:t>
            </w:r>
          </w:p>
        </w:tc>
        <w:tc>
          <w:tcPr>
            <w:tcW w:w="1011" w:type="dxa"/>
            <w:shd w:val="clear" w:color="auto" w:fill="auto"/>
            <w:vAlign w:val="center"/>
            <w:hideMark/>
          </w:tcPr>
          <w:p w14:paraId="115D7856"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6</w:t>
            </w:r>
          </w:p>
        </w:tc>
      </w:tr>
      <w:tr w:rsidR="00FD7B0B" w:rsidRPr="00FD7B0B" w14:paraId="70D4632E" w14:textId="77777777" w:rsidTr="006C0D64">
        <w:trPr>
          <w:trHeight w:hRule="exact" w:val="255"/>
        </w:trPr>
        <w:tc>
          <w:tcPr>
            <w:tcW w:w="4268" w:type="dxa"/>
            <w:shd w:val="clear" w:color="auto" w:fill="auto"/>
            <w:vAlign w:val="center"/>
            <w:hideMark/>
          </w:tcPr>
          <w:p w14:paraId="6C7F3155"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375-р/2</w:t>
            </w:r>
          </w:p>
        </w:tc>
        <w:tc>
          <w:tcPr>
            <w:tcW w:w="1559" w:type="dxa"/>
            <w:shd w:val="clear" w:color="auto" w:fill="auto"/>
            <w:vAlign w:val="center"/>
            <w:hideMark/>
          </w:tcPr>
          <w:p w14:paraId="66947194"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19,7  </w:t>
            </w:r>
          </w:p>
        </w:tc>
        <w:tc>
          <w:tcPr>
            <w:tcW w:w="1559" w:type="dxa"/>
            <w:shd w:val="clear" w:color="auto" w:fill="auto"/>
            <w:vAlign w:val="center"/>
            <w:hideMark/>
          </w:tcPr>
          <w:p w14:paraId="67D62397"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19,7  </w:t>
            </w:r>
          </w:p>
        </w:tc>
        <w:tc>
          <w:tcPr>
            <w:tcW w:w="1134" w:type="dxa"/>
            <w:shd w:val="clear" w:color="auto" w:fill="auto"/>
            <w:vAlign w:val="center"/>
            <w:hideMark/>
          </w:tcPr>
          <w:p w14:paraId="1D20361E"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0,00</w:t>
            </w:r>
          </w:p>
        </w:tc>
        <w:tc>
          <w:tcPr>
            <w:tcW w:w="1011" w:type="dxa"/>
            <w:shd w:val="clear" w:color="auto" w:fill="auto"/>
            <w:vAlign w:val="center"/>
            <w:hideMark/>
          </w:tcPr>
          <w:p w14:paraId="77C8E3B4"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w:t>
            </w:r>
          </w:p>
        </w:tc>
      </w:tr>
      <w:tr w:rsidR="00FD7B0B" w:rsidRPr="00FD7B0B" w14:paraId="622402CF" w14:textId="77777777" w:rsidTr="006C0D64">
        <w:trPr>
          <w:trHeight w:hRule="exact" w:val="255"/>
        </w:trPr>
        <w:tc>
          <w:tcPr>
            <w:tcW w:w="4268" w:type="dxa"/>
            <w:shd w:val="clear" w:color="auto" w:fill="auto"/>
            <w:vAlign w:val="center"/>
            <w:hideMark/>
          </w:tcPr>
          <w:p w14:paraId="1EEDC00B"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lastRenderedPageBreak/>
              <w:t>минтранс АО (104)</w:t>
            </w:r>
          </w:p>
        </w:tc>
        <w:tc>
          <w:tcPr>
            <w:tcW w:w="1559" w:type="dxa"/>
            <w:shd w:val="clear" w:color="auto" w:fill="auto"/>
            <w:vAlign w:val="center"/>
            <w:hideMark/>
          </w:tcPr>
          <w:p w14:paraId="21ED21DE"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19,7  </w:t>
            </w:r>
          </w:p>
        </w:tc>
        <w:tc>
          <w:tcPr>
            <w:tcW w:w="1559" w:type="dxa"/>
            <w:shd w:val="clear" w:color="auto" w:fill="auto"/>
            <w:vAlign w:val="center"/>
            <w:hideMark/>
          </w:tcPr>
          <w:p w14:paraId="2138FA26"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19,7  </w:t>
            </w:r>
          </w:p>
        </w:tc>
        <w:tc>
          <w:tcPr>
            <w:tcW w:w="1134" w:type="dxa"/>
            <w:shd w:val="clear" w:color="auto" w:fill="auto"/>
            <w:vAlign w:val="center"/>
            <w:hideMark/>
          </w:tcPr>
          <w:p w14:paraId="21E135A2"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57D359AC"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1B5F894E" w14:textId="77777777" w:rsidTr="006C0D64">
        <w:trPr>
          <w:trHeight w:hRule="exact" w:val="255"/>
        </w:trPr>
        <w:tc>
          <w:tcPr>
            <w:tcW w:w="4268" w:type="dxa"/>
            <w:shd w:val="clear" w:color="auto" w:fill="auto"/>
            <w:vAlign w:val="center"/>
            <w:hideMark/>
          </w:tcPr>
          <w:p w14:paraId="1A8CAB8C"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375-р/3</w:t>
            </w:r>
          </w:p>
        </w:tc>
        <w:tc>
          <w:tcPr>
            <w:tcW w:w="1559" w:type="dxa"/>
            <w:shd w:val="clear" w:color="auto" w:fill="auto"/>
            <w:vAlign w:val="center"/>
            <w:hideMark/>
          </w:tcPr>
          <w:p w14:paraId="219DE65D"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4 089,8  </w:t>
            </w:r>
          </w:p>
        </w:tc>
        <w:tc>
          <w:tcPr>
            <w:tcW w:w="1559" w:type="dxa"/>
            <w:shd w:val="clear" w:color="auto" w:fill="auto"/>
            <w:vAlign w:val="center"/>
            <w:hideMark/>
          </w:tcPr>
          <w:p w14:paraId="419B42B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4 089,8  </w:t>
            </w:r>
          </w:p>
        </w:tc>
        <w:tc>
          <w:tcPr>
            <w:tcW w:w="1134" w:type="dxa"/>
            <w:shd w:val="clear" w:color="auto" w:fill="auto"/>
            <w:vAlign w:val="center"/>
            <w:hideMark/>
          </w:tcPr>
          <w:p w14:paraId="7C5B6AE0"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0,00</w:t>
            </w:r>
          </w:p>
        </w:tc>
        <w:tc>
          <w:tcPr>
            <w:tcW w:w="1011" w:type="dxa"/>
            <w:shd w:val="clear" w:color="auto" w:fill="auto"/>
            <w:vAlign w:val="center"/>
            <w:hideMark/>
          </w:tcPr>
          <w:p w14:paraId="5A201201"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w:t>
            </w:r>
          </w:p>
        </w:tc>
      </w:tr>
      <w:tr w:rsidR="00FD7B0B" w:rsidRPr="00FD7B0B" w14:paraId="707CC578" w14:textId="77777777" w:rsidTr="006C0D64">
        <w:trPr>
          <w:trHeight w:hRule="exact" w:val="255"/>
        </w:trPr>
        <w:tc>
          <w:tcPr>
            <w:tcW w:w="4268" w:type="dxa"/>
            <w:shd w:val="clear" w:color="auto" w:fill="auto"/>
            <w:vAlign w:val="center"/>
            <w:hideMark/>
          </w:tcPr>
          <w:p w14:paraId="3B23401D" w14:textId="77777777" w:rsidR="0001284F" w:rsidRPr="00FD7B0B" w:rsidRDefault="0001284F" w:rsidP="000164F8">
            <w:pPr>
              <w:spacing w:after="0" w:line="240" w:lineRule="auto"/>
              <w:jc w:val="right"/>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минтранс АО (104)</w:t>
            </w:r>
          </w:p>
        </w:tc>
        <w:tc>
          <w:tcPr>
            <w:tcW w:w="1559" w:type="dxa"/>
            <w:shd w:val="clear" w:color="auto" w:fill="auto"/>
            <w:vAlign w:val="center"/>
            <w:hideMark/>
          </w:tcPr>
          <w:p w14:paraId="525F7D03"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4 089,8  </w:t>
            </w:r>
          </w:p>
        </w:tc>
        <w:tc>
          <w:tcPr>
            <w:tcW w:w="1559" w:type="dxa"/>
            <w:shd w:val="clear" w:color="auto" w:fill="auto"/>
            <w:vAlign w:val="center"/>
            <w:hideMark/>
          </w:tcPr>
          <w:p w14:paraId="344BCC2F" w14:textId="77777777" w:rsidR="0001284F" w:rsidRPr="00FD7B0B" w:rsidRDefault="0001284F" w:rsidP="000164F8">
            <w:pPr>
              <w:spacing w:after="0" w:line="240" w:lineRule="auto"/>
              <w:jc w:val="center"/>
              <w:rPr>
                <w:rFonts w:ascii="Times New Roman" w:eastAsia="Times New Roman" w:hAnsi="Times New Roman" w:cs="Times New Roman"/>
                <w:i/>
                <w:iCs/>
                <w:sz w:val="20"/>
                <w:szCs w:val="20"/>
                <w:lang w:eastAsia="ru-RU"/>
              </w:rPr>
            </w:pPr>
            <w:r w:rsidRPr="00FD7B0B">
              <w:rPr>
                <w:rFonts w:ascii="Times New Roman" w:eastAsia="Times New Roman" w:hAnsi="Times New Roman" w:cs="Times New Roman"/>
                <w:i/>
                <w:iCs/>
                <w:sz w:val="20"/>
                <w:szCs w:val="20"/>
                <w:lang w:eastAsia="ru-RU"/>
              </w:rPr>
              <w:t xml:space="preserve">4 089,8  </w:t>
            </w:r>
          </w:p>
        </w:tc>
        <w:tc>
          <w:tcPr>
            <w:tcW w:w="1134" w:type="dxa"/>
            <w:shd w:val="clear" w:color="auto" w:fill="auto"/>
            <w:vAlign w:val="center"/>
            <w:hideMark/>
          </w:tcPr>
          <w:p w14:paraId="5AE4F6B9" w14:textId="77777777" w:rsidR="0001284F" w:rsidRPr="00FD7B0B" w:rsidRDefault="0001284F" w:rsidP="000164F8">
            <w:pPr>
              <w:spacing w:after="0" w:line="240" w:lineRule="auto"/>
              <w:jc w:val="right"/>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0,00</w:t>
            </w:r>
          </w:p>
        </w:tc>
        <w:tc>
          <w:tcPr>
            <w:tcW w:w="1011" w:type="dxa"/>
            <w:shd w:val="clear" w:color="auto" w:fill="auto"/>
            <w:vAlign w:val="center"/>
            <w:hideMark/>
          </w:tcPr>
          <w:p w14:paraId="1CD9F445" w14:textId="77777777" w:rsidR="0001284F" w:rsidRPr="00FD7B0B" w:rsidRDefault="0001284F" w:rsidP="000164F8">
            <w:pPr>
              <w:spacing w:after="0" w:line="240" w:lineRule="auto"/>
              <w:jc w:val="center"/>
              <w:rPr>
                <w:rFonts w:ascii="Times New Roman" w:eastAsia="Times New Roman" w:hAnsi="Times New Roman" w:cs="Times New Roman"/>
                <w:i/>
                <w:iCs/>
                <w:lang w:eastAsia="ru-RU"/>
              </w:rPr>
            </w:pPr>
            <w:r w:rsidRPr="00FD7B0B">
              <w:rPr>
                <w:rFonts w:ascii="Times New Roman" w:eastAsia="Times New Roman" w:hAnsi="Times New Roman" w:cs="Times New Roman"/>
                <w:i/>
                <w:iCs/>
                <w:lang w:eastAsia="ru-RU"/>
              </w:rPr>
              <w:t>0</w:t>
            </w:r>
          </w:p>
        </w:tc>
      </w:tr>
      <w:tr w:rsidR="00FD7B0B" w:rsidRPr="00FD7B0B" w14:paraId="78686D2D" w14:textId="77777777" w:rsidTr="006C0D64">
        <w:trPr>
          <w:trHeight w:hRule="exact" w:val="255"/>
        </w:trPr>
        <w:tc>
          <w:tcPr>
            <w:tcW w:w="4268" w:type="dxa"/>
            <w:shd w:val="clear" w:color="auto" w:fill="auto"/>
            <w:vAlign w:val="center"/>
            <w:hideMark/>
          </w:tcPr>
          <w:p w14:paraId="7DB07497"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КПМ</w:t>
            </w:r>
          </w:p>
        </w:tc>
        <w:tc>
          <w:tcPr>
            <w:tcW w:w="1559" w:type="dxa"/>
            <w:shd w:val="clear" w:color="auto" w:fill="auto"/>
            <w:vAlign w:val="center"/>
            <w:hideMark/>
          </w:tcPr>
          <w:p w14:paraId="7575C98D"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7 973,3  </w:t>
            </w:r>
          </w:p>
        </w:tc>
        <w:tc>
          <w:tcPr>
            <w:tcW w:w="1559" w:type="dxa"/>
            <w:shd w:val="clear" w:color="auto" w:fill="auto"/>
            <w:vAlign w:val="center"/>
            <w:hideMark/>
          </w:tcPr>
          <w:p w14:paraId="42C21A70"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8 204,4  </w:t>
            </w:r>
          </w:p>
        </w:tc>
        <w:tc>
          <w:tcPr>
            <w:tcW w:w="1134" w:type="dxa"/>
            <w:shd w:val="clear" w:color="auto" w:fill="auto"/>
            <w:vAlign w:val="center"/>
            <w:hideMark/>
          </w:tcPr>
          <w:p w14:paraId="2B7D0A0A"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231,10</w:t>
            </w:r>
          </w:p>
        </w:tc>
        <w:tc>
          <w:tcPr>
            <w:tcW w:w="1011" w:type="dxa"/>
            <w:shd w:val="clear" w:color="auto" w:fill="auto"/>
            <w:vAlign w:val="center"/>
            <w:hideMark/>
          </w:tcPr>
          <w:p w14:paraId="76F6E2D1"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w:t>
            </w:r>
          </w:p>
        </w:tc>
      </w:tr>
      <w:tr w:rsidR="0001284F" w:rsidRPr="00FD7B0B" w14:paraId="492F040E" w14:textId="77777777" w:rsidTr="006C0D64">
        <w:trPr>
          <w:trHeight w:hRule="exact" w:val="255"/>
        </w:trPr>
        <w:tc>
          <w:tcPr>
            <w:tcW w:w="4268" w:type="dxa"/>
            <w:shd w:val="clear" w:color="auto" w:fill="auto"/>
            <w:vAlign w:val="center"/>
            <w:hideMark/>
          </w:tcPr>
          <w:p w14:paraId="59313DEC"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 по ГП № 19</w:t>
            </w:r>
          </w:p>
        </w:tc>
        <w:tc>
          <w:tcPr>
            <w:tcW w:w="1559" w:type="dxa"/>
            <w:shd w:val="clear" w:color="auto" w:fill="auto"/>
            <w:vAlign w:val="center"/>
            <w:hideMark/>
          </w:tcPr>
          <w:p w14:paraId="51217A33"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14 737,7  </w:t>
            </w:r>
          </w:p>
        </w:tc>
        <w:tc>
          <w:tcPr>
            <w:tcW w:w="1559" w:type="dxa"/>
            <w:shd w:val="clear" w:color="auto" w:fill="auto"/>
            <w:vAlign w:val="center"/>
            <w:hideMark/>
          </w:tcPr>
          <w:p w14:paraId="0C59CCD9"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14 968,8  </w:t>
            </w:r>
          </w:p>
        </w:tc>
        <w:tc>
          <w:tcPr>
            <w:tcW w:w="1134" w:type="dxa"/>
            <w:shd w:val="clear" w:color="auto" w:fill="auto"/>
            <w:vAlign w:val="center"/>
            <w:hideMark/>
          </w:tcPr>
          <w:p w14:paraId="6C145DE5"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231,10</w:t>
            </w:r>
          </w:p>
        </w:tc>
        <w:tc>
          <w:tcPr>
            <w:tcW w:w="1011" w:type="dxa"/>
            <w:shd w:val="clear" w:color="auto" w:fill="auto"/>
            <w:vAlign w:val="center"/>
            <w:hideMark/>
          </w:tcPr>
          <w:p w14:paraId="64631BD1"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r>
    </w:tbl>
    <w:p w14:paraId="2BBB72D7"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p>
    <w:p w14:paraId="51316F35" w14:textId="4426A2E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Сопоставление объемов финансирования, утвержденных ГП № 19 в редакции, действующей на 01.04.2024, и бюджетных ассигнований на ее реализацию, утвержденных законом «Об областном бюджете» в редакциях от 15.12.2023 и от 20.03.2024, представлено в таблице </w:t>
      </w:r>
      <w:r w:rsidR="001B07CB" w:rsidRPr="00FD7B0B">
        <w:rPr>
          <w:rFonts w:ascii="Times New Roman" w:eastAsia="Times New Roman" w:hAnsi="Times New Roman"/>
          <w:sz w:val="28"/>
          <w:szCs w:val="28"/>
          <w:lang w:eastAsia="ru-RU"/>
        </w:rPr>
        <w:t>194</w:t>
      </w:r>
      <w:r w:rsidRPr="00FD7B0B">
        <w:rPr>
          <w:rFonts w:ascii="Times New Roman" w:eastAsia="Times New Roman" w:hAnsi="Times New Roman"/>
          <w:sz w:val="28"/>
          <w:szCs w:val="28"/>
          <w:lang w:eastAsia="ru-RU"/>
        </w:rPr>
        <w:t>.</w:t>
      </w:r>
    </w:p>
    <w:p w14:paraId="70841A92" w14:textId="77777777" w:rsidR="0001284F" w:rsidRPr="00FD7B0B" w:rsidRDefault="0001284F" w:rsidP="0001284F">
      <w:pPr>
        <w:spacing w:after="0" w:line="240" w:lineRule="auto"/>
        <w:ind w:firstLine="709"/>
        <w:contextualSpacing/>
        <w:jc w:val="both"/>
        <w:rPr>
          <w:rFonts w:ascii="Times New Roman" w:eastAsia="Times New Roman" w:hAnsi="Times New Roman"/>
          <w:sz w:val="24"/>
          <w:szCs w:val="24"/>
          <w:lang w:eastAsia="ru-RU"/>
        </w:rPr>
      </w:pPr>
    </w:p>
    <w:p w14:paraId="16FC3679" w14:textId="32B03BAD" w:rsidR="0001284F" w:rsidRPr="00FD7B0B" w:rsidRDefault="0001284F" w:rsidP="0001284F">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194</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Сопоставление объемов финансирования, утвержденных ГП № 19 и бюджетных ассигнований на ее реализацию, утвержденных законом «Об областном бюджете», </w:t>
      </w:r>
      <w:r w:rsidR="000560EB" w:rsidRPr="00FD7B0B">
        <w:rPr>
          <w:rFonts w:ascii="Times New Roman" w:hAnsi="Times New Roman"/>
          <w:b w:val="0"/>
          <w:sz w:val="24"/>
          <w:szCs w:val="24"/>
        </w:rPr>
        <w:t>млн.руб.</w:t>
      </w:r>
    </w:p>
    <w:tbl>
      <w:tblPr>
        <w:tblW w:w="9628"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709"/>
        <w:gridCol w:w="1701"/>
        <w:gridCol w:w="1559"/>
        <w:gridCol w:w="1559"/>
        <w:gridCol w:w="1134"/>
        <w:gridCol w:w="966"/>
      </w:tblGrid>
      <w:tr w:rsidR="00FD7B0B" w:rsidRPr="00FD7B0B" w14:paraId="3E9590E5" w14:textId="77777777" w:rsidTr="00B939F2">
        <w:trPr>
          <w:trHeight w:val="58"/>
        </w:trPr>
        <w:tc>
          <w:tcPr>
            <w:tcW w:w="2709" w:type="dxa"/>
            <w:vMerge w:val="restart"/>
            <w:shd w:val="clear" w:color="auto" w:fill="auto"/>
            <w:vAlign w:val="center"/>
            <w:hideMark/>
          </w:tcPr>
          <w:p w14:paraId="64C274EE"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Структурный элемент</w:t>
            </w:r>
          </w:p>
        </w:tc>
        <w:tc>
          <w:tcPr>
            <w:tcW w:w="1701" w:type="dxa"/>
            <w:vMerge w:val="restart"/>
            <w:shd w:val="clear" w:color="auto" w:fill="auto"/>
            <w:vAlign w:val="center"/>
            <w:hideMark/>
          </w:tcPr>
          <w:p w14:paraId="130CB86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Закон в ред. на 01.01.2024</w:t>
            </w:r>
          </w:p>
        </w:tc>
        <w:tc>
          <w:tcPr>
            <w:tcW w:w="1559" w:type="dxa"/>
            <w:vMerge w:val="restart"/>
            <w:shd w:val="clear" w:color="auto" w:fill="auto"/>
            <w:vAlign w:val="center"/>
            <w:hideMark/>
          </w:tcPr>
          <w:p w14:paraId="6A0B67D6"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Закон в ред. от 20.03.2024</w:t>
            </w:r>
          </w:p>
        </w:tc>
        <w:tc>
          <w:tcPr>
            <w:tcW w:w="1559" w:type="dxa"/>
            <w:vMerge w:val="restart"/>
            <w:shd w:val="clear" w:color="auto" w:fill="auto"/>
            <w:vAlign w:val="center"/>
            <w:hideMark/>
          </w:tcPr>
          <w:p w14:paraId="529B78D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Редакция ГП на 01.04.2024</w:t>
            </w:r>
          </w:p>
        </w:tc>
        <w:tc>
          <w:tcPr>
            <w:tcW w:w="2100" w:type="dxa"/>
            <w:gridSpan w:val="2"/>
            <w:shd w:val="clear" w:color="auto" w:fill="auto"/>
            <w:vAlign w:val="center"/>
            <w:hideMark/>
          </w:tcPr>
          <w:p w14:paraId="317708B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отклонение (+/-)</w:t>
            </w:r>
          </w:p>
        </w:tc>
      </w:tr>
      <w:tr w:rsidR="00FD7B0B" w:rsidRPr="00FD7B0B" w14:paraId="1B3368E6" w14:textId="77777777" w:rsidTr="00F5084E">
        <w:trPr>
          <w:trHeight w:val="111"/>
        </w:trPr>
        <w:tc>
          <w:tcPr>
            <w:tcW w:w="2709" w:type="dxa"/>
            <w:vMerge/>
            <w:vAlign w:val="center"/>
            <w:hideMark/>
          </w:tcPr>
          <w:p w14:paraId="0AE4812E"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701" w:type="dxa"/>
            <w:vMerge/>
            <w:vAlign w:val="center"/>
            <w:hideMark/>
          </w:tcPr>
          <w:p w14:paraId="7B3C68F8"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559" w:type="dxa"/>
            <w:vMerge/>
            <w:vAlign w:val="center"/>
            <w:hideMark/>
          </w:tcPr>
          <w:p w14:paraId="5793F930"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559" w:type="dxa"/>
            <w:vMerge/>
            <w:vAlign w:val="center"/>
            <w:hideMark/>
          </w:tcPr>
          <w:p w14:paraId="62CB9375" w14:textId="77777777" w:rsidR="0001284F" w:rsidRPr="00FD7B0B" w:rsidRDefault="0001284F" w:rsidP="000164F8">
            <w:pPr>
              <w:spacing w:after="0" w:line="240" w:lineRule="auto"/>
              <w:rPr>
                <w:rFonts w:ascii="Times New Roman" w:eastAsia="Times New Roman" w:hAnsi="Times New Roman" w:cs="Times New Roman"/>
                <w:lang w:eastAsia="ru-RU"/>
              </w:rPr>
            </w:pPr>
          </w:p>
        </w:tc>
        <w:tc>
          <w:tcPr>
            <w:tcW w:w="1134" w:type="dxa"/>
            <w:shd w:val="clear" w:color="auto" w:fill="auto"/>
            <w:vAlign w:val="center"/>
            <w:hideMark/>
          </w:tcPr>
          <w:p w14:paraId="36E4D45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млн.руб.</w:t>
            </w:r>
          </w:p>
        </w:tc>
        <w:tc>
          <w:tcPr>
            <w:tcW w:w="966" w:type="dxa"/>
            <w:shd w:val="clear" w:color="auto" w:fill="auto"/>
            <w:vAlign w:val="center"/>
            <w:hideMark/>
          </w:tcPr>
          <w:p w14:paraId="03B393A2"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w:t>
            </w:r>
          </w:p>
        </w:tc>
      </w:tr>
      <w:tr w:rsidR="00FD7B0B" w:rsidRPr="00FD7B0B" w14:paraId="2B5F4E88" w14:textId="77777777" w:rsidTr="00F5084E">
        <w:trPr>
          <w:trHeight w:val="129"/>
        </w:trPr>
        <w:tc>
          <w:tcPr>
            <w:tcW w:w="2709" w:type="dxa"/>
            <w:shd w:val="clear" w:color="auto" w:fill="auto"/>
            <w:vAlign w:val="center"/>
            <w:hideMark/>
          </w:tcPr>
          <w:p w14:paraId="1E4BF821"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w:t>
            </w:r>
          </w:p>
        </w:tc>
        <w:tc>
          <w:tcPr>
            <w:tcW w:w="1701" w:type="dxa"/>
            <w:shd w:val="clear" w:color="auto" w:fill="auto"/>
            <w:vAlign w:val="center"/>
            <w:hideMark/>
          </w:tcPr>
          <w:p w14:paraId="637AC2C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2</w:t>
            </w:r>
          </w:p>
        </w:tc>
        <w:tc>
          <w:tcPr>
            <w:tcW w:w="1559" w:type="dxa"/>
            <w:shd w:val="clear" w:color="auto" w:fill="auto"/>
            <w:vAlign w:val="center"/>
            <w:hideMark/>
          </w:tcPr>
          <w:p w14:paraId="778F66B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3</w:t>
            </w:r>
          </w:p>
        </w:tc>
        <w:tc>
          <w:tcPr>
            <w:tcW w:w="1559" w:type="dxa"/>
            <w:shd w:val="clear" w:color="auto" w:fill="auto"/>
            <w:vAlign w:val="center"/>
            <w:hideMark/>
          </w:tcPr>
          <w:p w14:paraId="5364888B"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4</w:t>
            </w:r>
          </w:p>
        </w:tc>
        <w:tc>
          <w:tcPr>
            <w:tcW w:w="1134" w:type="dxa"/>
            <w:shd w:val="clear" w:color="auto" w:fill="auto"/>
            <w:vAlign w:val="center"/>
            <w:hideMark/>
          </w:tcPr>
          <w:p w14:paraId="52D72552"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5=4-2</w:t>
            </w:r>
          </w:p>
        </w:tc>
        <w:tc>
          <w:tcPr>
            <w:tcW w:w="966" w:type="dxa"/>
            <w:shd w:val="clear" w:color="auto" w:fill="auto"/>
            <w:vAlign w:val="center"/>
            <w:hideMark/>
          </w:tcPr>
          <w:p w14:paraId="22BF990D"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5=4-3</w:t>
            </w:r>
          </w:p>
        </w:tc>
      </w:tr>
      <w:tr w:rsidR="00FD7B0B" w:rsidRPr="00FD7B0B" w14:paraId="2E218A34" w14:textId="77777777" w:rsidTr="00F5084E">
        <w:trPr>
          <w:trHeight w:hRule="exact" w:val="255"/>
        </w:trPr>
        <w:tc>
          <w:tcPr>
            <w:tcW w:w="2709" w:type="dxa"/>
            <w:shd w:val="clear" w:color="auto" w:fill="auto"/>
            <w:vAlign w:val="center"/>
            <w:hideMark/>
          </w:tcPr>
          <w:p w14:paraId="025483D6"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9:</w:t>
            </w:r>
          </w:p>
        </w:tc>
        <w:tc>
          <w:tcPr>
            <w:tcW w:w="1701" w:type="dxa"/>
            <w:shd w:val="clear" w:color="auto" w:fill="auto"/>
            <w:vAlign w:val="center"/>
            <w:hideMark/>
          </w:tcPr>
          <w:p w14:paraId="7F5266B4"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6 554,1  </w:t>
            </w:r>
          </w:p>
        </w:tc>
        <w:tc>
          <w:tcPr>
            <w:tcW w:w="1559" w:type="dxa"/>
            <w:shd w:val="clear" w:color="auto" w:fill="auto"/>
            <w:vAlign w:val="center"/>
            <w:hideMark/>
          </w:tcPr>
          <w:p w14:paraId="173B0FE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6 554,1  </w:t>
            </w:r>
          </w:p>
        </w:tc>
        <w:tc>
          <w:tcPr>
            <w:tcW w:w="1559" w:type="dxa"/>
            <w:shd w:val="clear" w:color="auto" w:fill="auto"/>
            <w:vAlign w:val="center"/>
            <w:hideMark/>
          </w:tcPr>
          <w:p w14:paraId="4FDE4C9D"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6 554,5  </w:t>
            </w:r>
          </w:p>
        </w:tc>
        <w:tc>
          <w:tcPr>
            <w:tcW w:w="1134" w:type="dxa"/>
            <w:shd w:val="clear" w:color="auto" w:fill="auto"/>
            <w:vAlign w:val="center"/>
            <w:hideMark/>
          </w:tcPr>
          <w:p w14:paraId="1E2DFD40"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0,4</w:t>
            </w:r>
          </w:p>
        </w:tc>
        <w:tc>
          <w:tcPr>
            <w:tcW w:w="966" w:type="dxa"/>
            <w:shd w:val="clear" w:color="auto" w:fill="auto"/>
            <w:vAlign w:val="center"/>
            <w:hideMark/>
          </w:tcPr>
          <w:p w14:paraId="65594E66"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0,4</w:t>
            </w:r>
          </w:p>
        </w:tc>
      </w:tr>
      <w:tr w:rsidR="00FD7B0B" w:rsidRPr="00FD7B0B" w14:paraId="54EF1CA1" w14:textId="77777777" w:rsidTr="00F5084E">
        <w:trPr>
          <w:trHeight w:hRule="exact" w:val="255"/>
        </w:trPr>
        <w:tc>
          <w:tcPr>
            <w:tcW w:w="2709" w:type="dxa"/>
            <w:shd w:val="clear" w:color="auto" w:fill="auto"/>
            <w:vAlign w:val="center"/>
            <w:hideMark/>
          </w:tcPr>
          <w:p w14:paraId="57BFBCFD"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1</w:t>
            </w:r>
          </w:p>
        </w:tc>
        <w:tc>
          <w:tcPr>
            <w:tcW w:w="1701" w:type="dxa"/>
            <w:shd w:val="clear" w:color="auto" w:fill="auto"/>
            <w:vAlign w:val="center"/>
            <w:hideMark/>
          </w:tcPr>
          <w:p w14:paraId="71C2166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120,6  </w:t>
            </w:r>
          </w:p>
        </w:tc>
        <w:tc>
          <w:tcPr>
            <w:tcW w:w="1559" w:type="dxa"/>
            <w:shd w:val="clear" w:color="auto" w:fill="auto"/>
            <w:vAlign w:val="center"/>
            <w:hideMark/>
          </w:tcPr>
          <w:p w14:paraId="3DE2DEE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120,6  </w:t>
            </w:r>
          </w:p>
        </w:tc>
        <w:tc>
          <w:tcPr>
            <w:tcW w:w="1559" w:type="dxa"/>
            <w:shd w:val="clear" w:color="auto" w:fill="auto"/>
            <w:vAlign w:val="center"/>
            <w:hideMark/>
          </w:tcPr>
          <w:p w14:paraId="438E7AF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120,6  </w:t>
            </w:r>
          </w:p>
        </w:tc>
        <w:tc>
          <w:tcPr>
            <w:tcW w:w="1134" w:type="dxa"/>
            <w:shd w:val="clear" w:color="auto" w:fill="auto"/>
            <w:vAlign w:val="center"/>
            <w:hideMark/>
          </w:tcPr>
          <w:p w14:paraId="4C104C44"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966" w:type="dxa"/>
            <w:shd w:val="clear" w:color="auto" w:fill="auto"/>
            <w:vAlign w:val="center"/>
            <w:hideMark/>
          </w:tcPr>
          <w:p w14:paraId="284AB42E"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5C25B7A8" w14:textId="77777777" w:rsidTr="00F5084E">
        <w:trPr>
          <w:trHeight w:hRule="exact" w:val="255"/>
        </w:trPr>
        <w:tc>
          <w:tcPr>
            <w:tcW w:w="2709" w:type="dxa"/>
            <w:shd w:val="clear" w:color="auto" w:fill="auto"/>
            <w:vAlign w:val="center"/>
            <w:hideMark/>
          </w:tcPr>
          <w:p w14:paraId="742A371C"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7</w:t>
            </w:r>
          </w:p>
        </w:tc>
        <w:tc>
          <w:tcPr>
            <w:tcW w:w="1701" w:type="dxa"/>
            <w:shd w:val="clear" w:color="auto" w:fill="auto"/>
            <w:vAlign w:val="center"/>
            <w:hideMark/>
          </w:tcPr>
          <w:p w14:paraId="12911939"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89,7 </w:t>
            </w:r>
          </w:p>
        </w:tc>
        <w:tc>
          <w:tcPr>
            <w:tcW w:w="1559" w:type="dxa"/>
            <w:shd w:val="clear" w:color="auto" w:fill="auto"/>
            <w:vAlign w:val="center"/>
            <w:hideMark/>
          </w:tcPr>
          <w:p w14:paraId="6381507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89,7 </w:t>
            </w:r>
          </w:p>
        </w:tc>
        <w:tc>
          <w:tcPr>
            <w:tcW w:w="1559" w:type="dxa"/>
            <w:shd w:val="clear" w:color="auto" w:fill="auto"/>
            <w:vAlign w:val="center"/>
            <w:hideMark/>
          </w:tcPr>
          <w:p w14:paraId="72F98866"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89,7  </w:t>
            </w:r>
          </w:p>
        </w:tc>
        <w:tc>
          <w:tcPr>
            <w:tcW w:w="1134" w:type="dxa"/>
            <w:shd w:val="clear" w:color="auto" w:fill="auto"/>
            <w:vAlign w:val="center"/>
            <w:hideMark/>
          </w:tcPr>
          <w:p w14:paraId="69F2ABB6"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966" w:type="dxa"/>
            <w:shd w:val="clear" w:color="auto" w:fill="auto"/>
            <w:vAlign w:val="center"/>
            <w:hideMark/>
          </w:tcPr>
          <w:p w14:paraId="1DB24C4C"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027A54E5" w14:textId="77777777" w:rsidTr="00F5084E">
        <w:trPr>
          <w:trHeight w:hRule="exact" w:val="255"/>
        </w:trPr>
        <w:tc>
          <w:tcPr>
            <w:tcW w:w="2709" w:type="dxa"/>
            <w:shd w:val="clear" w:color="auto" w:fill="auto"/>
            <w:vAlign w:val="center"/>
            <w:hideMark/>
          </w:tcPr>
          <w:p w14:paraId="2E037CC7"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РП</w:t>
            </w:r>
          </w:p>
        </w:tc>
        <w:tc>
          <w:tcPr>
            <w:tcW w:w="1701" w:type="dxa"/>
            <w:shd w:val="clear" w:color="auto" w:fill="auto"/>
            <w:vAlign w:val="center"/>
            <w:hideMark/>
          </w:tcPr>
          <w:p w14:paraId="56D6A27A"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6 764,4  </w:t>
            </w:r>
          </w:p>
        </w:tc>
        <w:tc>
          <w:tcPr>
            <w:tcW w:w="1559" w:type="dxa"/>
            <w:shd w:val="clear" w:color="auto" w:fill="auto"/>
            <w:vAlign w:val="center"/>
            <w:hideMark/>
          </w:tcPr>
          <w:p w14:paraId="03240767"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6 764,4  </w:t>
            </w:r>
          </w:p>
        </w:tc>
        <w:tc>
          <w:tcPr>
            <w:tcW w:w="1559" w:type="dxa"/>
            <w:shd w:val="clear" w:color="auto" w:fill="auto"/>
            <w:vAlign w:val="center"/>
            <w:hideMark/>
          </w:tcPr>
          <w:p w14:paraId="183CAF2C"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6 764,8  </w:t>
            </w:r>
          </w:p>
        </w:tc>
        <w:tc>
          <w:tcPr>
            <w:tcW w:w="1134" w:type="dxa"/>
            <w:shd w:val="clear" w:color="auto" w:fill="auto"/>
            <w:vAlign w:val="center"/>
            <w:hideMark/>
          </w:tcPr>
          <w:p w14:paraId="6B18D9AA" w14:textId="77777777" w:rsidR="0001284F" w:rsidRPr="00FD7B0B" w:rsidRDefault="0001284F" w:rsidP="000164F8">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0,4</w:t>
            </w:r>
          </w:p>
        </w:tc>
        <w:tc>
          <w:tcPr>
            <w:tcW w:w="966" w:type="dxa"/>
            <w:shd w:val="clear" w:color="auto" w:fill="auto"/>
            <w:vAlign w:val="center"/>
            <w:hideMark/>
          </w:tcPr>
          <w:p w14:paraId="336345D2" w14:textId="77777777" w:rsidR="0001284F" w:rsidRPr="00FD7B0B" w:rsidRDefault="0001284F" w:rsidP="000164F8">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0,4</w:t>
            </w:r>
          </w:p>
        </w:tc>
      </w:tr>
      <w:tr w:rsidR="00FD7B0B" w:rsidRPr="00FD7B0B" w14:paraId="69516D01" w14:textId="77777777" w:rsidTr="00F5084E">
        <w:trPr>
          <w:trHeight w:hRule="exact" w:val="255"/>
        </w:trPr>
        <w:tc>
          <w:tcPr>
            <w:tcW w:w="2709" w:type="dxa"/>
            <w:shd w:val="clear" w:color="auto" w:fill="auto"/>
            <w:vAlign w:val="center"/>
            <w:hideMark/>
          </w:tcPr>
          <w:p w14:paraId="2A17933C"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375-р/1</w:t>
            </w:r>
          </w:p>
        </w:tc>
        <w:tc>
          <w:tcPr>
            <w:tcW w:w="1701" w:type="dxa"/>
            <w:shd w:val="clear" w:color="auto" w:fill="auto"/>
            <w:vAlign w:val="center"/>
            <w:hideMark/>
          </w:tcPr>
          <w:p w14:paraId="6578278F"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3 863,8  </w:t>
            </w:r>
          </w:p>
        </w:tc>
        <w:tc>
          <w:tcPr>
            <w:tcW w:w="1559" w:type="dxa"/>
            <w:shd w:val="clear" w:color="auto" w:fill="auto"/>
            <w:vAlign w:val="center"/>
            <w:hideMark/>
          </w:tcPr>
          <w:p w14:paraId="4D9283B9"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3 780,9  </w:t>
            </w:r>
          </w:p>
        </w:tc>
        <w:tc>
          <w:tcPr>
            <w:tcW w:w="1559" w:type="dxa"/>
            <w:shd w:val="clear" w:color="auto" w:fill="auto"/>
            <w:vAlign w:val="center"/>
            <w:hideMark/>
          </w:tcPr>
          <w:p w14:paraId="08D423D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3 863,8  </w:t>
            </w:r>
          </w:p>
        </w:tc>
        <w:tc>
          <w:tcPr>
            <w:tcW w:w="1134" w:type="dxa"/>
            <w:shd w:val="clear" w:color="auto" w:fill="auto"/>
            <w:vAlign w:val="center"/>
            <w:hideMark/>
          </w:tcPr>
          <w:p w14:paraId="4D6F4AC4"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966" w:type="dxa"/>
            <w:shd w:val="clear" w:color="auto" w:fill="auto"/>
            <w:vAlign w:val="center"/>
            <w:hideMark/>
          </w:tcPr>
          <w:p w14:paraId="4194175F"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82,9</w:t>
            </w:r>
          </w:p>
        </w:tc>
      </w:tr>
      <w:tr w:rsidR="00FD7B0B" w:rsidRPr="00FD7B0B" w14:paraId="2D3FA3B6" w14:textId="77777777" w:rsidTr="00F5084E">
        <w:trPr>
          <w:trHeight w:hRule="exact" w:val="255"/>
        </w:trPr>
        <w:tc>
          <w:tcPr>
            <w:tcW w:w="2709" w:type="dxa"/>
            <w:shd w:val="clear" w:color="auto" w:fill="auto"/>
            <w:vAlign w:val="center"/>
            <w:hideMark/>
          </w:tcPr>
          <w:p w14:paraId="73CFA2DD"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375-р/2</w:t>
            </w:r>
          </w:p>
        </w:tc>
        <w:tc>
          <w:tcPr>
            <w:tcW w:w="1701" w:type="dxa"/>
            <w:shd w:val="clear" w:color="auto" w:fill="auto"/>
            <w:vAlign w:val="center"/>
            <w:hideMark/>
          </w:tcPr>
          <w:p w14:paraId="7FA800E0"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19,7  </w:t>
            </w:r>
          </w:p>
        </w:tc>
        <w:tc>
          <w:tcPr>
            <w:tcW w:w="1559" w:type="dxa"/>
            <w:shd w:val="clear" w:color="auto" w:fill="auto"/>
            <w:vAlign w:val="center"/>
            <w:hideMark/>
          </w:tcPr>
          <w:p w14:paraId="6B3696A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19,7  </w:t>
            </w:r>
          </w:p>
        </w:tc>
        <w:tc>
          <w:tcPr>
            <w:tcW w:w="1559" w:type="dxa"/>
            <w:shd w:val="clear" w:color="auto" w:fill="auto"/>
            <w:vAlign w:val="center"/>
            <w:hideMark/>
          </w:tcPr>
          <w:p w14:paraId="283F23B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19,7  </w:t>
            </w:r>
          </w:p>
        </w:tc>
        <w:tc>
          <w:tcPr>
            <w:tcW w:w="1134" w:type="dxa"/>
            <w:shd w:val="clear" w:color="auto" w:fill="auto"/>
            <w:vAlign w:val="center"/>
            <w:hideMark/>
          </w:tcPr>
          <w:p w14:paraId="194A1E97"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966" w:type="dxa"/>
            <w:shd w:val="clear" w:color="auto" w:fill="auto"/>
            <w:vAlign w:val="center"/>
            <w:hideMark/>
          </w:tcPr>
          <w:p w14:paraId="4B844B0A"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4F85302A" w14:textId="77777777" w:rsidTr="00F5084E">
        <w:trPr>
          <w:trHeight w:hRule="exact" w:val="255"/>
        </w:trPr>
        <w:tc>
          <w:tcPr>
            <w:tcW w:w="2709" w:type="dxa"/>
            <w:shd w:val="clear" w:color="auto" w:fill="auto"/>
            <w:vAlign w:val="center"/>
            <w:hideMark/>
          </w:tcPr>
          <w:p w14:paraId="7D78583A"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375-р/3</w:t>
            </w:r>
          </w:p>
        </w:tc>
        <w:tc>
          <w:tcPr>
            <w:tcW w:w="1701" w:type="dxa"/>
            <w:shd w:val="clear" w:color="auto" w:fill="auto"/>
            <w:vAlign w:val="center"/>
            <w:hideMark/>
          </w:tcPr>
          <w:p w14:paraId="0CDDA47B"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4 089,8  </w:t>
            </w:r>
          </w:p>
        </w:tc>
        <w:tc>
          <w:tcPr>
            <w:tcW w:w="1559" w:type="dxa"/>
            <w:shd w:val="clear" w:color="auto" w:fill="auto"/>
            <w:vAlign w:val="center"/>
            <w:hideMark/>
          </w:tcPr>
          <w:p w14:paraId="2DFBBC74"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4 089,8  </w:t>
            </w:r>
          </w:p>
        </w:tc>
        <w:tc>
          <w:tcPr>
            <w:tcW w:w="1559" w:type="dxa"/>
            <w:shd w:val="clear" w:color="auto" w:fill="auto"/>
            <w:vAlign w:val="center"/>
            <w:hideMark/>
          </w:tcPr>
          <w:p w14:paraId="2D7989B4"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4 089,8  </w:t>
            </w:r>
          </w:p>
        </w:tc>
        <w:tc>
          <w:tcPr>
            <w:tcW w:w="1134" w:type="dxa"/>
            <w:shd w:val="clear" w:color="auto" w:fill="auto"/>
            <w:vAlign w:val="center"/>
            <w:hideMark/>
          </w:tcPr>
          <w:p w14:paraId="2AA496E2"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966" w:type="dxa"/>
            <w:shd w:val="clear" w:color="auto" w:fill="auto"/>
            <w:vAlign w:val="center"/>
            <w:hideMark/>
          </w:tcPr>
          <w:p w14:paraId="073D2370"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r>
      <w:tr w:rsidR="00FD7B0B" w:rsidRPr="00FD7B0B" w14:paraId="0F345101" w14:textId="77777777" w:rsidTr="00F5084E">
        <w:trPr>
          <w:trHeight w:hRule="exact" w:val="255"/>
        </w:trPr>
        <w:tc>
          <w:tcPr>
            <w:tcW w:w="2709" w:type="dxa"/>
            <w:shd w:val="clear" w:color="auto" w:fill="auto"/>
            <w:vAlign w:val="center"/>
            <w:hideMark/>
          </w:tcPr>
          <w:p w14:paraId="4395A91A"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КПМ</w:t>
            </w:r>
          </w:p>
        </w:tc>
        <w:tc>
          <w:tcPr>
            <w:tcW w:w="1701" w:type="dxa"/>
            <w:shd w:val="clear" w:color="auto" w:fill="auto"/>
            <w:vAlign w:val="center"/>
            <w:hideMark/>
          </w:tcPr>
          <w:p w14:paraId="5F852F39"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7 973,3  </w:t>
            </w:r>
          </w:p>
        </w:tc>
        <w:tc>
          <w:tcPr>
            <w:tcW w:w="1559" w:type="dxa"/>
            <w:shd w:val="clear" w:color="auto" w:fill="auto"/>
            <w:vAlign w:val="center"/>
            <w:hideMark/>
          </w:tcPr>
          <w:p w14:paraId="13718350"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7 890,4  </w:t>
            </w:r>
          </w:p>
        </w:tc>
        <w:tc>
          <w:tcPr>
            <w:tcW w:w="1559" w:type="dxa"/>
            <w:shd w:val="clear" w:color="auto" w:fill="auto"/>
            <w:vAlign w:val="center"/>
            <w:hideMark/>
          </w:tcPr>
          <w:p w14:paraId="04C7533B"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7 973,3  </w:t>
            </w:r>
          </w:p>
        </w:tc>
        <w:tc>
          <w:tcPr>
            <w:tcW w:w="1134" w:type="dxa"/>
            <w:shd w:val="clear" w:color="auto" w:fill="auto"/>
            <w:vAlign w:val="center"/>
            <w:hideMark/>
          </w:tcPr>
          <w:p w14:paraId="6DD0B6A1"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0,0</w:t>
            </w:r>
          </w:p>
        </w:tc>
        <w:tc>
          <w:tcPr>
            <w:tcW w:w="966" w:type="dxa"/>
            <w:shd w:val="clear" w:color="auto" w:fill="auto"/>
            <w:vAlign w:val="center"/>
            <w:hideMark/>
          </w:tcPr>
          <w:p w14:paraId="7AFB212A" w14:textId="77777777" w:rsidR="0001284F" w:rsidRPr="00FD7B0B" w:rsidRDefault="0001284F" w:rsidP="000164F8">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82,9</w:t>
            </w:r>
          </w:p>
        </w:tc>
      </w:tr>
      <w:tr w:rsidR="0001284F" w:rsidRPr="00FD7B0B" w14:paraId="44A64A79" w14:textId="77777777" w:rsidTr="00F5084E">
        <w:trPr>
          <w:trHeight w:hRule="exact" w:val="255"/>
        </w:trPr>
        <w:tc>
          <w:tcPr>
            <w:tcW w:w="2709" w:type="dxa"/>
            <w:shd w:val="clear" w:color="auto" w:fill="auto"/>
            <w:vAlign w:val="center"/>
            <w:hideMark/>
          </w:tcPr>
          <w:p w14:paraId="651459DE"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 по ГП № 19</w:t>
            </w:r>
          </w:p>
        </w:tc>
        <w:tc>
          <w:tcPr>
            <w:tcW w:w="1701" w:type="dxa"/>
            <w:shd w:val="clear" w:color="auto" w:fill="auto"/>
            <w:vAlign w:val="center"/>
            <w:hideMark/>
          </w:tcPr>
          <w:p w14:paraId="58C896ED"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14 737,7  </w:t>
            </w:r>
          </w:p>
        </w:tc>
        <w:tc>
          <w:tcPr>
            <w:tcW w:w="1559" w:type="dxa"/>
            <w:shd w:val="clear" w:color="auto" w:fill="auto"/>
            <w:vAlign w:val="center"/>
            <w:hideMark/>
          </w:tcPr>
          <w:p w14:paraId="2252F6EA"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14 654,8  </w:t>
            </w:r>
          </w:p>
        </w:tc>
        <w:tc>
          <w:tcPr>
            <w:tcW w:w="1559" w:type="dxa"/>
            <w:shd w:val="clear" w:color="auto" w:fill="auto"/>
            <w:vAlign w:val="center"/>
            <w:hideMark/>
          </w:tcPr>
          <w:p w14:paraId="63D7294D"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14 738,1  </w:t>
            </w:r>
          </w:p>
        </w:tc>
        <w:tc>
          <w:tcPr>
            <w:tcW w:w="1134" w:type="dxa"/>
            <w:shd w:val="clear" w:color="auto" w:fill="auto"/>
            <w:vAlign w:val="center"/>
            <w:hideMark/>
          </w:tcPr>
          <w:p w14:paraId="505854F3" w14:textId="77777777" w:rsidR="0001284F" w:rsidRPr="00FD7B0B" w:rsidRDefault="0001284F" w:rsidP="000164F8">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0,4</w:t>
            </w:r>
          </w:p>
        </w:tc>
        <w:tc>
          <w:tcPr>
            <w:tcW w:w="966" w:type="dxa"/>
            <w:shd w:val="clear" w:color="auto" w:fill="auto"/>
            <w:vAlign w:val="center"/>
            <w:hideMark/>
          </w:tcPr>
          <w:p w14:paraId="67BFD048" w14:textId="77777777" w:rsidR="0001284F" w:rsidRPr="00FD7B0B" w:rsidRDefault="0001284F" w:rsidP="000164F8">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166,6</w:t>
            </w:r>
          </w:p>
        </w:tc>
      </w:tr>
    </w:tbl>
    <w:p w14:paraId="3A83E883"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p>
    <w:p w14:paraId="717BBA49" w14:textId="729E0C0E"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нарушение пункта 29 </w:t>
      </w:r>
      <w:r w:rsidR="00F5084E" w:rsidRPr="00FD7B0B">
        <w:rPr>
          <w:rFonts w:ascii="Times New Roman" w:eastAsia="Times New Roman" w:hAnsi="Times New Roman"/>
          <w:sz w:val="28"/>
          <w:szCs w:val="28"/>
          <w:lang w:eastAsia="ru-RU"/>
        </w:rPr>
        <w:t>Положения</w:t>
      </w:r>
      <w:r w:rsidRPr="00FD7B0B">
        <w:rPr>
          <w:rFonts w:ascii="Times New Roman" w:eastAsia="Times New Roman" w:hAnsi="Times New Roman"/>
          <w:sz w:val="28"/>
          <w:szCs w:val="28"/>
          <w:lang w:eastAsia="ru-RU"/>
        </w:rPr>
        <w:t xml:space="preserve"> № 793-пп, пункта 4 статьи 10 областного закона о бюджетном процессе, ч. 2 ст. 179 БК РФ объем финансирования ГП № 19 не приведен в соответствие с законом «Об областном бюджете» до 01.04.2024.</w:t>
      </w:r>
    </w:p>
    <w:p w14:paraId="32A67469" w14:textId="39400056"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Сопоставление объемов финансирования, утвержденных ГП № 19 и бюджетных ассигнований на ее реализацию, утвержденных законом «Об областном бюджете» и СБР, представлено в таблице</w:t>
      </w:r>
      <w:r w:rsidR="00F5084E" w:rsidRPr="00FD7B0B">
        <w:rPr>
          <w:rFonts w:ascii="Times New Roman" w:eastAsia="Times New Roman" w:hAnsi="Times New Roman"/>
          <w:sz w:val="28"/>
          <w:szCs w:val="28"/>
          <w:lang w:eastAsia="ru-RU"/>
        </w:rPr>
        <w:t xml:space="preserve"> </w:t>
      </w:r>
      <w:r w:rsidR="001B07CB" w:rsidRPr="00FD7B0B">
        <w:rPr>
          <w:rFonts w:ascii="Times New Roman" w:eastAsia="Times New Roman" w:hAnsi="Times New Roman"/>
          <w:sz w:val="28"/>
          <w:szCs w:val="28"/>
          <w:lang w:eastAsia="ru-RU"/>
        </w:rPr>
        <w:t>195</w:t>
      </w:r>
      <w:r w:rsidRPr="00FD7B0B">
        <w:rPr>
          <w:rFonts w:ascii="Times New Roman" w:eastAsia="Times New Roman" w:hAnsi="Times New Roman"/>
          <w:sz w:val="28"/>
          <w:szCs w:val="28"/>
          <w:lang w:eastAsia="ru-RU"/>
        </w:rPr>
        <w:t>.</w:t>
      </w:r>
    </w:p>
    <w:p w14:paraId="36CCBD95" w14:textId="77777777" w:rsidR="0001284F" w:rsidRPr="00FD7B0B" w:rsidRDefault="0001284F" w:rsidP="0001284F">
      <w:pPr>
        <w:pStyle w:val="aff0"/>
        <w:spacing w:after="0" w:line="120" w:lineRule="auto"/>
        <w:rPr>
          <w:rFonts w:ascii="Times New Roman" w:hAnsi="Times New Roman"/>
          <w:b w:val="0"/>
          <w:sz w:val="24"/>
          <w:szCs w:val="24"/>
        </w:rPr>
      </w:pPr>
    </w:p>
    <w:p w14:paraId="6791C402" w14:textId="77777777" w:rsidR="0001284F" w:rsidRPr="00FD7B0B" w:rsidRDefault="0001284F" w:rsidP="0001284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195</w:t>
      </w:r>
      <w:r w:rsidRPr="00FD7B0B">
        <w:rPr>
          <w:rFonts w:ascii="Times New Roman" w:hAnsi="Times New Roman"/>
          <w:b w:val="0"/>
          <w:sz w:val="24"/>
          <w:szCs w:val="24"/>
        </w:rPr>
        <w:fldChar w:fldCharType="end"/>
      </w:r>
      <w:r w:rsidRPr="00FD7B0B">
        <w:rPr>
          <w:rFonts w:ascii="Times New Roman" w:hAnsi="Times New Roman"/>
          <w:b w:val="0"/>
          <w:sz w:val="24"/>
          <w:szCs w:val="24"/>
        </w:rPr>
        <w:t>. Сопоставление объемов финансирования: ГП № 19, закон «Об областном бюджете» и СБР, млн.руб.</w:t>
      </w:r>
    </w:p>
    <w:tbl>
      <w:tblPr>
        <w:tblW w:w="9667"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283"/>
        <w:gridCol w:w="1701"/>
        <w:gridCol w:w="1134"/>
        <w:gridCol w:w="1958"/>
        <w:gridCol w:w="1244"/>
        <w:gridCol w:w="1347"/>
      </w:tblGrid>
      <w:tr w:rsidR="00FD7B0B" w:rsidRPr="00FD7B0B" w14:paraId="5FBF7234" w14:textId="77777777" w:rsidTr="0006689B">
        <w:trPr>
          <w:trHeight w:val="467"/>
          <w:tblHeader/>
        </w:trPr>
        <w:tc>
          <w:tcPr>
            <w:tcW w:w="2283" w:type="dxa"/>
            <w:shd w:val="clear" w:color="auto" w:fill="auto"/>
            <w:vAlign w:val="center"/>
            <w:hideMark/>
          </w:tcPr>
          <w:p w14:paraId="5E197A7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Структурный элемент</w:t>
            </w:r>
          </w:p>
        </w:tc>
        <w:tc>
          <w:tcPr>
            <w:tcW w:w="1701" w:type="dxa"/>
            <w:shd w:val="clear" w:color="auto" w:fill="auto"/>
            <w:vAlign w:val="center"/>
            <w:hideMark/>
          </w:tcPr>
          <w:p w14:paraId="127CC742"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закон о бюджете на 31.12.2024</w:t>
            </w:r>
          </w:p>
        </w:tc>
        <w:tc>
          <w:tcPr>
            <w:tcW w:w="1134" w:type="dxa"/>
            <w:shd w:val="clear" w:color="auto" w:fill="auto"/>
            <w:vAlign w:val="center"/>
            <w:hideMark/>
          </w:tcPr>
          <w:p w14:paraId="57F4EB25"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СБР на 31.12.2024</w:t>
            </w:r>
          </w:p>
        </w:tc>
        <w:tc>
          <w:tcPr>
            <w:tcW w:w="1958" w:type="dxa"/>
            <w:shd w:val="clear" w:color="auto" w:fill="auto"/>
            <w:vAlign w:val="center"/>
            <w:hideMark/>
          </w:tcPr>
          <w:p w14:paraId="69EDBEC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ГП № 19 на 31.12.2024 (без МБ)</w:t>
            </w:r>
          </w:p>
        </w:tc>
        <w:tc>
          <w:tcPr>
            <w:tcW w:w="1244" w:type="dxa"/>
            <w:shd w:val="clear" w:color="auto" w:fill="auto"/>
            <w:vAlign w:val="center"/>
            <w:hideMark/>
          </w:tcPr>
          <w:p w14:paraId="60BDF944"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c>
          <w:tcPr>
            <w:tcW w:w="1347" w:type="dxa"/>
            <w:shd w:val="clear" w:color="auto" w:fill="auto"/>
            <w:vAlign w:val="center"/>
            <w:hideMark/>
          </w:tcPr>
          <w:p w14:paraId="73109F62"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r>
      <w:tr w:rsidR="00FD7B0B" w:rsidRPr="00FD7B0B" w14:paraId="50A98313" w14:textId="77777777" w:rsidTr="000164F8">
        <w:trPr>
          <w:trHeight w:val="42"/>
        </w:trPr>
        <w:tc>
          <w:tcPr>
            <w:tcW w:w="2283" w:type="dxa"/>
            <w:shd w:val="clear" w:color="auto" w:fill="auto"/>
            <w:vAlign w:val="center"/>
            <w:hideMark/>
          </w:tcPr>
          <w:p w14:paraId="4E8D1B9E"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А</w:t>
            </w:r>
          </w:p>
        </w:tc>
        <w:tc>
          <w:tcPr>
            <w:tcW w:w="1701" w:type="dxa"/>
            <w:shd w:val="clear" w:color="auto" w:fill="auto"/>
            <w:vAlign w:val="center"/>
            <w:hideMark/>
          </w:tcPr>
          <w:p w14:paraId="1669575D"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1134" w:type="dxa"/>
            <w:shd w:val="clear" w:color="auto" w:fill="auto"/>
            <w:vAlign w:val="center"/>
            <w:hideMark/>
          </w:tcPr>
          <w:p w14:paraId="624951E4"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1958" w:type="dxa"/>
            <w:shd w:val="clear" w:color="auto" w:fill="auto"/>
            <w:vAlign w:val="center"/>
            <w:hideMark/>
          </w:tcPr>
          <w:p w14:paraId="31D78021"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1244" w:type="dxa"/>
            <w:shd w:val="clear" w:color="auto" w:fill="auto"/>
            <w:vAlign w:val="center"/>
            <w:hideMark/>
          </w:tcPr>
          <w:p w14:paraId="335B45D6"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4=3-1</w:t>
            </w:r>
          </w:p>
        </w:tc>
        <w:tc>
          <w:tcPr>
            <w:tcW w:w="1347" w:type="dxa"/>
            <w:shd w:val="clear" w:color="auto" w:fill="auto"/>
            <w:vAlign w:val="center"/>
            <w:hideMark/>
          </w:tcPr>
          <w:p w14:paraId="4F92E008"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4=3-2</w:t>
            </w:r>
          </w:p>
        </w:tc>
      </w:tr>
      <w:tr w:rsidR="00FD7B0B" w:rsidRPr="00FD7B0B" w14:paraId="1DBCF591" w14:textId="77777777" w:rsidTr="0006689B">
        <w:trPr>
          <w:trHeight w:hRule="exact" w:val="255"/>
        </w:trPr>
        <w:tc>
          <w:tcPr>
            <w:tcW w:w="2283" w:type="dxa"/>
            <w:shd w:val="clear" w:color="auto" w:fill="auto"/>
            <w:vAlign w:val="center"/>
            <w:hideMark/>
          </w:tcPr>
          <w:p w14:paraId="12164686"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9:</w:t>
            </w:r>
          </w:p>
        </w:tc>
        <w:tc>
          <w:tcPr>
            <w:tcW w:w="1701" w:type="dxa"/>
            <w:shd w:val="clear" w:color="auto" w:fill="auto"/>
            <w:vAlign w:val="center"/>
            <w:hideMark/>
          </w:tcPr>
          <w:p w14:paraId="7B9C354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6 554,1  </w:t>
            </w:r>
          </w:p>
        </w:tc>
        <w:tc>
          <w:tcPr>
            <w:tcW w:w="1134" w:type="dxa"/>
            <w:shd w:val="clear" w:color="auto" w:fill="auto"/>
            <w:vAlign w:val="center"/>
            <w:hideMark/>
          </w:tcPr>
          <w:p w14:paraId="32B3EFC2"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7 101,9  </w:t>
            </w:r>
          </w:p>
        </w:tc>
        <w:tc>
          <w:tcPr>
            <w:tcW w:w="1958" w:type="dxa"/>
            <w:shd w:val="clear" w:color="auto" w:fill="auto"/>
            <w:vAlign w:val="center"/>
            <w:hideMark/>
          </w:tcPr>
          <w:p w14:paraId="3C01A3BE"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6 975,3  </w:t>
            </w:r>
          </w:p>
        </w:tc>
        <w:tc>
          <w:tcPr>
            <w:tcW w:w="1244" w:type="dxa"/>
            <w:shd w:val="clear" w:color="auto" w:fill="auto"/>
            <w:vAlign w:val="center"/>
            <w:hideMark/>
          </w:tcPr>
          <w:p w14:paraId="25F387B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421,2  </w:t>
            </w:r>
          </w:p>
        </w:tc>
        <w:tc>
          <w:tcPr>
            <w:tcW w:w="1347" w:type="dxa"/>
            <w:shd w:val="clear" w:color="auto" w:fill="auto"/>
            <w:vAlign w:val="center"/>
            <w:hideMark/>
          </w:tcPr>
          <w:p w14:paraId="0AA958B6"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-126,6  </w:t>
            </w:r>
          </w:p>
        </w:tc>
      </w:tr>
      <w:tr w:rsidR="00FD7B0B" w:rsidRPr="00FD7B0B" w14:paraId="310B3652" w14:textId="77777777" w:rsidTr="0006689B">
        <w:trPr>
          <w:trHeight w:hRule="exact" w:val="255"/>
        </w:trPr>
        <w:tc>
          <w:tcPr>
            <w:tcW w:w="2283" w:type="dxa"/>
            <w:shd w:val="clear" w:color="auto" w:fill="auto"/>
            <w:vAlign w:val="center"/>
            <w:hideMark/>
          </w:tcPr>
          <w:p w14:paraId="75257F09"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1</w:t>
            </w:r>
          </w:p>
        </w:tc>
        <w:tc>
          <w:tcPr>
            <w:tcW w:w="1701" w:type="dxa"/>
            <w:shd w:val="clear" w:color="auto" w:fill="auto"/>
            <w:vAlign w:val="center"/>
            <w:hideMark/>
          </w:tcPr>
          <w:p w14:paraId="3A87616C"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120,6  </w:t>
            </w:r>
          </w:p>
        </w:tc>
        <w:tc>
          <w:tcPr>
            <w:tcW w:w="1134" w:type="dxa"/>
            <w:shd w:val="clear" w:color="auto" w:fill="auto"/>
            <w:vAlign w:val="center"/>
            <w:hideMark/>
          </w:tcPr>
          <w:p w14:paraId="76B14E76"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89,6  </w:t>
            </w:r>
          </w:p>
        </w:tc>
        <w:tc>
          <w:tcPr>
            <w:tcW w:w="1958" w:type="dxa"/>
            <w:shd w:val="clear" w:color="auto" w:fill="auto"/>
            <w:vAlign w:val="center"/>
            <w:hideMark/>
          </w:tcPr>
          <w:p w14:paraId="0B1C0A1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89,6  </w:t>
            </w:r>
          </w:p>
        </w:tc>
        <w:tc>
          <w:tcPr>
            <w:tcW w:w="1244" w:type="dxa"/>
            <w:shd w:val="clear" w:color="auto" w:fill="auto"/>
            <w:vAlign w:val="center"/>
            <w:hideMark/>
          </w:tcPr>
          <w:p w14:paraId="4DBBECB2"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-31,0  </w:t>
            </w:r>
          </w:p>
        </w:tc>
        <w:tc>
          <w:tcPr>
            <w:tcW w:w="1347" w:type="dxa"/>
            <w:shd w:val="clear" w:color="auto" w:fill="auto"/>
            <w:vAlign w:val="center"/>
            <w:hideMark/>
          </w:tcPr>
          <w:p w14:paraId="3D74486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  </w:t>
            </w:r>
          </w:p>
        </w:tc>
      </w:tr>
      <w:tr w:rsidR="00FD7B0B" w:rsidRPr="00FD7B0B" w14:paraId="6EC959A7" w14:textId="77777777" w:rsidTr="0006689B">
        <w:trPr>
          <w:trHeight w:hRule="exact" w:val="255"/>
        </w:trPr>
        <w:tc>
          <w:tcPr>
            <w:tcW w:w="2283" w:type="dxa"/>
            <w:shd w:val="clear" w:color="auto" w:fill="auto"/>
            <w:vAlign w:val="center"/>
            <w:hideMark/>
          </w:tcPr>
          <w:p w14:paraId="162FAE86"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РП № 7</w:t>
            </w:r>
          </w:p>
        </w:tc>
        <w:tc>
          <w:tcPr>
            <w:tcW w:w="1701" w:type="dxa"/>
            <w:shd w:val="clear" w:color="auto" w:fill="auto"/>
            <w:vAlign w:val="center"/>
            <w:hideMark/>
          </w:tcPr>
          <w:p w14:paraId="3E47102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89,7  </w:t>
            </w:r>
          </w:p>
        </w:tc>
        <w:tc>
          <w:tcPr>
            <w:tcW w:w="1134" w:type="dxa"/>
            <w:shd w:val="clear" w:color="auto" w:fill="auto"/>
            <w:vAlign w:val="center"/>
            <w:hideMark/>
          </w:tcPr>
          <w:p w14:paraId="4742F72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86,4  </w:t>
            </w:r>
          </w:p>
        </w:tc>
        <w:tc>
          <w:tcPr>
            <w:tcW w:w="1958" w:type="dxa"/>
            <w:shd w:val="clear" w:color="auto" w:fill="auto"/>
            <w:vAlign w:val="center"/>
            <w:hideMark/>
          </w:tcPr>
          <w:p w14:paraId="6F10E809"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88,5  </w:t>
            </w:r>
          </w:p>
        </w:tc>
        <w:tc>
          <w:tcPr>
            <w:tcW w:w="1244" w:type="dxa"/>
            <w:shd w:val="clear" w:color="auto" w:fill="auto"/>
            <w:vAlign w:val="center"/>
            <w:hideMark/>
          </w:tcPr>
          <w:p w14:paraId="76A2A30B"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  </w:t>
            </w:r>
          </w:p>
        </w:tc>
        <w:tc>
          <w:tcPr>
            <w:tcW w:w="1347" w:type="dxa"/>
            <w:shd w:val="clear" w:color="auto" w:fill="auto"/>
            <w:vAlign w:val="center"/>
            <w:hideMark/>
          </w:tcPr>
          <w:p w14:paraId="5855CDE9"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2,1  </w:t>
            </w:r>
          </w:p>
        </w:tc>
      </w:tr>
      <w:tr w:rsidR="00FD7B0B" w:rsidRPr="00FD7B0B" w14:paraId="743DFD79" w14:textId="77777777" w:rsidTr="0006689B">
        <w:trPr>
          <w:trHeight w:hRule="exact" w:val="255"/>
        </w:trPr>
        <w:tc>
          <w:tcPr>
            <w:tcW w:w="2283" w:type="dxa"/>
            <w:shd w:val="clear" w:color="auto" w:fill="auto"/>
            <w:vAlign w:val="center"/>
            <w:hideMark/>
          </w:tcPr>
          <w:p w14:paraId="3D815F18"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РП</w:t>
            </w:r>
          </w:p>
        </w:tc>
        <w:tc>
          <w:tcPr>
            <w:tcW w:w="1701" w:type="dxa"/>
            <w:shd w:val="clear" w:color="auto" w:fill="auto"/>
            <w:vAlign w:val="center"/>
            <w:hideMark/>
          </w:tcPr>
          <w:p w14:paraId="2729E646"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6 764,4  </w:t>
            </w:r>
          </w:p>
        </w:tc>
        <w:tc>
          <w:tcPr>
            <w:tcW w:w="1134" w:type="dxa"/>
            <w:shd w:val="clear" w:color="auto" w:fill="auto"/>
            <w:vAlign w:val="center"/>
            <w:hideMark/>
          </w:tcPr>
          <w:p w14:paraId="0D73DB02"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7 277,9  </w:t>
            </w:r>
          </w:p>
        </w:tc>
        <w:tc>
          <w:tcPr>
            <w:tcW w:w="1958" w:type="dxa"/>
            <w:shd w:val="clear" w:color="auto" w:fill="auto"/>
            <w:vAlign w:val="center"/>
            <w:hideMark/>
          </w:tcPr>
          <w:p w14:paraId="30A58B75"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7 153,4  </w:t>
            </w:r>
          </w:p>
        </w:tc>
        <w:tc>
          <w:tcPr>
            <w:tcW w:w="1244" w:type="dxa"/>
            <w:shd w:val="clear" w:color="auto" w:fill="auto"/>
            <w:vAlign w:val="center"/>
            <w:hideMark/>
          </w:tcPr>
          <w:p w14:paraId="59E3D607"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389,0  </w:t>
            </w:r>
          </w:p>
        </w:tc>
        <w:tc>
          <w:tcPr>
            <w:tcW w:w="1347" w:type="dxa"/>
            <w:shd w:val="clear" w:color="auto" w:fill="auto"/>
            <w:vAlign w:val="center"/>
            <w:hideMark/>
          </w:tcPr>
          <w:p w14:paraId="1496B22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-124,5  </w:t>
            </w:r>
          </w:p>
        </w:tc>
      </w:tr>
      <w:tr w:rsidR="00FD7B0B" w:rsidRPr="00FD7B0B" w14:paraId="4AB843C4" w14:textId="77777777" w:rsidTr="0006689B">
        <w:trPr>
          <w:trHeight w:hRule="exact" w:val="255"/>
        </w:trPr>
        <w:tc>
          <w:tcPr>
            <w:tcW w:w="2283" w:type="dxa"/>
            <w:shd w:val="clear" w:color="auto" w:fill="auto"/>
            <w:vAlign w:val="center"/>
            <w:hideMark/>
          </w:tcPr>
          <w:p w14:paraId="093213B4"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375-р/1</w:t>
            </w:r>
          </w:p>
        </w:tc>
        <w:tc>
          <w:tcPr>
            <w:tcW w:w="1701" w:type="dxa"/>
            <w:shd w:val="clear" w:color="auto" w:fill="auto"/>
            <w:vAlign w:val="center"/>
            <w:hideMark/>
          </w:tcPr>
          <w:p w14:paraId="612AA6E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4 094,9  </w:t>
            </w:r>
          </w:p>
        </w:tc>
        <w:tc>
          <w:tcPr>
            <w:tcW w:w="1134" w:type="dxa"/>
            <w:shd w:val="clear" w:color="auto" w:fill="auto"/>
            <w:vAlign w:val="center"/>
            <w:hideMark/>
          </w:tcPr>
          <w:p w14:paraId="3C519C79"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4 220,3  </w:t>
            </w:r>
          </w:p>
        </w:tc>
        <w:tc>
          <w:tcPr>
            <w:tcW w:w="1958" w:type="dxa"/>
            <w:shd w:val="clear" w:color="auto" w:fill="auto"/>
            <w:vAlign w:val="center"/>
            <w:hideMark/>
          </w:tcPr>
          <w:p w14:paraId="21EC9C69"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4 219,9  </w:t>
            </w:r>
          </w:p>
        </w:tc>
        <w:tc>
          <w:tcPr>
            <w:tcW w:w="1244" w:type="dxa"/>
            <w:shd w:val="clear" w:color="auto" w:fill="auto"/>
            <w:vAlign w:val="center"/>
            <w:hideMark/>
          </w:tcPr>
          <w:p w14:paraId="0D39227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125,0  </w:t>
            </w:r>
          </w:p>
        </w:tc>
        <w:tc>
          <w:tcPr>
            <w:tcW w:w="1347" w:type="dxa"/>
            <w:shd w:val="clear" w:color="auto" w:fill="auto"/>
            <w:vAlign w:val="center"/>
            <w:hideMark/>
          </w:tcPr>
          <w:p w14:paraId="63EB08AA"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-0,4  </w:t>
            </w:r>
          </w:p>
        </w:tc>
      </w:tr>
      <w:tr w:rsidR="00FD7B0B" w:rsidRPr="00FD7B0B" w14:paraId="0A30A2AC" w14:textId="77777777" w:rsidTr="0006689B">
        <w:trPr>
          <w:trHeight w:hRule="exact" w:val="255"/>
        </w:trPr>
        <w:tc>
          <w:tcPr>
            <w:tcW w:w="2283" w:type="dxa"/>
            <w:shd w:val="clear" w:color="auto" w:fill="auto"/>
            <w:vAlign w:val="center"/>
            <w:hideMark/>
          </w:tcPr>
          <w:p w14:paraId="1A0C8029"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375-р/2</w:t>
            </w:r>
          </w:p>
        </w:tc>
        <w:tc>
          <w:tcPr>
            <w:tcW w:w="1701" w:type="dxa"/>
            <w:shd w:val="clear" w:color="auto" w:fill="auto"/>
            <w:vAlign w:val="center"/>
            <w:hideMark/>
          </w:tcPr>
          <w:p w14:paraId="6C9D6315"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19,7  </w:t>
            </w:r>
          </w:p>
        </w:tc>
        <w:tc>
          <w:tcPr>
            <w:tcW w:w="1134" w:type="dxa"/>
            <w:shd w:val="clear" w:color="auto" w:fill="auto"/>
            <w:vAlign w:val="center"/>
            <w:hideMark/>
          </w:tcPr>
          <w:p w14:paraId="6CEF13B0"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37,9  </w:t>
            </w:r>
          </w:p>
        </w:tc>
        <w:tc>
          <w:tcPr>
            <w:tcW w:w="1958" w:type="dxa"/>
            <w:shd w:val="clear" w:color="auto" w:fill="auto"/>
            <w:vAlign w:val="center"/>
            <w:hideMark/>
          </w:tcPr>
          <w:p w14:paraId="2AD338E8"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37,9  </w:t>
            </w:r>
          </w:p>
        </w:tc>
        <w:tc>
          <w:tcPr>
            <w:tcW w:w="1244" w:type="dxa"/>
            <w:shd w:val="clear" w:color="auto" w:fill="auto"/>
            <w:vAlign w:val="center"/>
            <w:hideMark/>
          </w:tcPr>
          <w:p w14:paraId="043ADA67"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18,2  </w:t>
            </w:r>
          </w:p>
        </w:tc>
        <w:tc>
          <w:tcPr>
            <w:tcW w:w="1347" w:type="dxa"/>
            <w:shd w:val="clear" w:color="auto" w:fill="auto"/>
            <w:vAlign w:val="center"/>
            <w:hideMark/>
          </w:tcPr>
          <w:p w14:paraId="60D944C8"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  </w:t>
            </w:r>
          </w:p>
        </w:tc>
      </w:tr>
      <w:tr w:rsidR="00FD7B0B" w:rsidRPr="00FD7B0B" w14:paraId="7EF261FB" w14:textId="77777777" w:rsidTr="0006689B">
        <w:trPr>
          <w:trHeight w:hRule="exact" w:val="255"/>
        </w:trPr>
        <w:tc>
          <w:tcPr>
            <w:tcW w:w="2283" w:type="dxa"/>
            <w:shd w:val="clear" w:color="auto" w:fill="auto"/>
            <w:vAlign w:val="center"/>
            <w:hideMark/>
          </w:tcPr>
          <w:p w14:paraId="06DD5730" w14:textId="77777777" w:rsidR="0001284F" w:rsidRPr="00FD7B0B" w:rsidRDefault="0001284F" w:rsidP="000164F8">
            <w:pPr>
              <w:spacing w:after="0" w:line="240" w:lineRule="auto"/>
              <w:jc w:val="both"/>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КПМ № 375-р/3</w:t>
            </w:r>
          </w:p>
        </w:tc>
        <w:tc>
          <w:tcPr>
            <w:tcW w:w="1701" w:type="dxa"/>
            <w:shd w:val="clear" w:color="auto" w:fill="auto"/>
            <w:vAlign w:val="center"/>
            <w:hideMark/>
          </w:tcPr>
          <w:p w14:paraId="7466707A"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4 089,8  </w:t>
            </w:r>
          </w:p>
        </w:tc>
        <w:tc>
          <w:tcPr>
            <w:tcW w:w="1134" w:type="dxa"/>
            <w:shd w:val="clear" w:color="auto" w:fill="auto"/>
            <w:vAlign w:val="center"/>
            <w:hideMark/>
          </w:tcPr>
          <w:p w14:paraId="18F5E053"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3 957,0  </w:t>
            </w:r>
          </w:p>
        </w:tc>
        <w:tc>
          <w:tcPr>
            <w:tcW w:w="1958" w:type="dxa"/>
            <w:shd w:val="clear" w:color="auto" w:fill="auto"/>
            <w:vAlign w:val="center"/>
            <w:hideMark/>
          </w:tcPr>
          <w:p w14:paraId="2BAB8820"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3 959,5  </w:t>
            </w:r>
          </w:p>
        </w:tc>
        <w:tc>
          <w:tcPr>
            <w:tcW w:w="1244" w:type="dxa"/>
            <w:shd w:val="clear" w:color="auto" w:fill="auto"/>
            <w:vAlign w:val="center"/>
            <w:hideMark/>
          </w:tcPr>
          <w:p w14:paraId="6E920166"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-130,3  </w:t>
            </w:r>
          </w:p>
        </w:tc>
        <w:tc>
          <w:tcPr>
            <w:tcW w:w="1347" w:type="dxa"/>
            <w:shd w:val="clear" w:color="auto" w:fill="auto"/>
            <w:vAlign w:val="center"/>
            <w:hideMark/>
          </w:tcPr>
          <w:p w14:paraId="724C94B9"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2,5  </w:t>
            </w:r>
          </w:p>
        </w:tc>
      </w:tr>
      <w:tr w:rsidR="00FD7B0B" w:rsidRPr="00FD7B0B" w14:paraId="1119A73A" w14:textId="77777777" w:rsidTr="0006689B">
        <w:trPr>
          <w:trHeight w:hRule="exact" w:val="255"/>
        </w:trPr>
        <w:tc>
          <w:tcPr>
            <w:tcW w:w="2283" w:type="dxa"/>
            <w:shd w:val="clear" w:color="auto" w:fill="auto"/>
            <w:vAlign w:val="center"/>
            <w:hideMark/>
          </w:tcPr>
          <w:p w14:paraId="33A5E63A"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Всего по КПМ                           </w:t>
            </w:r>
          </w:p>
        </w:tc>
        <w:tc>
          <w:tcPr>
            <w:tcW w:w="1701" w:type="dxa"/>
            <w:shd w:val="clear" w:color="auto" w:fill="auto"/>
            <w:vAlign w:val="center"/>
            <w:hideMark/>
          </w:tcPr>
          <w:p w14:paraId="7E7E0546"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8 204,4  </w:t>
            </w:r>
          </w:p>
        </w:tc>
        <w:tc>
          <w:tcPr>
            <w:tcW w:w="1134" w:type="dxa"/>
            <w:shd w:val="clear" w:color="auto" w:fill="auto"/>
            <w:vAlign w:val="center"/>
            <w:hideMark/>
          </w:tcPr>
          <w:p w14:paraId="439D5633"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8 215,2  </w:t>
            </w:r>
          </w:p>
        </w:tc>
        <w:tc>
          <w:tcPr>
            <w:tcW w:w="1958" w:type="dxa"/>
            <w:shd w:val="clear" w:color="auto" w:fill="auto"/>
            <w:vAlign w:val="center"/>
            <w:hideMark/>
          </w:tcPr>
          <w:p w14:paraId="0600C177"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8 217,3  </w:t>
            </w:r>
          </w:p>
        </w:tc>
        <w:tc>
          <w:tcPr>
            <w:tcW w:w="1244" w:type="dxa"/>
            <w:shd w:val="clear" w:color="auto" w:fill="auto"/>
            <w:vAlign w:val="center"/>
            <w:hideMark/>
          </w:tcPr>
          <w:p w14:paraId="660AAB06"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12,9  </w:t>
            </w:r>
          </w:p>
        </w:tc>
        <w:tc>
          <w:tcPr>
            <w:tcW w:w="1347" w:type="dxa"/>
            <w:shd w:val="clear" w:color="auto" w:fill="auto"/>
            <w:vAlign w:val="center"/>
            <w:hideMark/>
          </w:tcPr>
          <w:p w14:paraId="424FF93E"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2,1  </w:t>
            </w:r>
          </w:p>
        </w:tc>
      </w:tr>
      <w:tr w:rsidR="0001284F" w:rsidRPr="00FD7B0B" w14:paraId="79316BCE" w14:textId="77777777" w:rsidTr="0006689B">
        <w:trPr>
          <w:trHeight w:hRule="exact" w:val="255"/>
        </w:trPr>
        <w:tc>
          <w:tcPr>
            <w:tcW w:w="2283" w:type="dxa"/>
            <w:shd w:val="clear" w:color="auto" w:fill="auto"/>
            <w:vAlign w:val="center"/>
            <w:hideMark/>
          </w:tcPr>
          <w:p w14:paraId="20311E89"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 по ГП № 19</w:t>
            </w:r>
          </w:p>
        </w:tc>
        <w:tc>
          <w:tcPr>
            <w:tcW w:w="1701" w:type="dxa"/>
            <w:shd w:val="clear" w:color="auto" w:fill="auto"/>
            <w:vAlign w:val="center"/>
            <w:hideMark/>
          </w:tcPr>
          <w:p w14:paraId="176D25AB"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14 968,8  </w:t>
            </w:r>
          </w:p>
        </w:tc>
        <w:tc>
          <w:tcPr>
            <w:tcW w:w="1134" w:type="dxa"/>
            <w:shd w:val="clear" w:color="auto" w:fill="auto"/>
            <w:vAlign w:val="center"/>
            <w:hideMark/>
          </w:tcPr>
          <w:p w14:paraId="514AD7ED"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15 493,1  </w:t>
            </w:r>
          </w:p>
        </w:tc>
        <w:tc>
          <w:tcPr>
            <w:tcW w:w="1958" w:type="dxa"/>
            <w:shd w:val="clear" w:color="auto" w:fill="auto"/>
            <w:vAlign w:val="center"/>
            <w:hideMark/>
          </w:tcPr>
          <w:p w14:paraId="3F4A91E3"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15 370,7  </w:t>
            </w:r>
          </w:p>
        </w:tc>
        <w:tc>
          <w:tcPr>
            <w:tcW w:w="1244" w:type="dxa"/>
            <w:shd w:val="clear" w:color="auto" w:fill="auto"/>
            <w:vAlign w:val="center"/>
            <w:hideMark/>
          </w:tcPr>
          <w:p w14:paraId="2ACB95C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401,9  </w:t>
            </w:r>
          </w:p>
        </w:tc>
        <w:tc>
          <w:tcPr>
            <w:tcW w:w="1347" w:type="dxa"/>
            <w:shd w:val="clear" w:color="auto" w:fill="auto"/>
            <w:vAlign w:val="center"/>
            <w:hideMark/>
          </w:tcPr>
          <w:p w14:paraId="5F3E6EE7"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-122,4  </w:t>
            </w:r>
          </w:p>
        </w:tc>
      </w:tr>
    </w:tbl>
    <w:p w14:paraId="7801C082" w14:textId="77777777" w:rsidR="0001284F" w:rsidRPr="00FD7B0B" w:rsidRDefault="0001284F" w:rsidP="0001284F">
      <w:pPr>
        <w:spacing w:after="0" w:line="120" w:lineRule="auto"/>
        <w:ind w:firstLine="709"/>
        <w:contextualSpacing/>
        <w:jc w:val="both"/>
        <w:rPr>
          <w:rFonts w:ascii="Times New Roman" w:eastAsia="Times New Roman" w:hAnsi="Times New Roman"/>
          <w:sz w:val="28"/>
          <w:szCs w:val="28"/>
          <w:lang w:eastAsia="ru-RU"/>
        </w:rPr>
      </w:pPr>
    </w:p>
    <w:p w14:paraId="76433309"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По состоянию на 31.12.2024 расходы на реализацию мероприятий ГП № 19 утверждены в общей сумме 15 370,7 млн.руб., что на 122,4 млн.руб. или на 1 % ниже параметров СБР на 2024 год.</w:t>
      </w:r>
    </w:p>
    <w:p w14:paraId="0B09CB32"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Необходимо отметить, что в течение отчетного периода в раздел 4 «Финансовое обеспечение государственной программы» паспорта ГП № 19 трижды вносились изменения объема финансирования мероприятий: постановлениями Правительства АО от 26.02.2024, 01.07.2024, 27.12.2024.</w:t>
      </w:r>
    </w:p>
    <w:p w14:paraId="4C7B87CD" w14:textId="77777777" w:rsidR="0001284F" w:rsidRPr="00FD7B0B" w:rsidRDefault="0001284F" w:rsidP="0001284F">
      <w:pPr>
        <w:spacing w:after="0" w:line="120" w:lineRule="auto"/>
        <w:contextualSpacing/>
        <w:jc w:val="both"/>
        <w:rPr>
          <w:rFonts w:ascii="Times New Roman" w:eastAsia="Times New Roman" w:hAnsi="Times New Roman" w:cs="Times New Roman"/>
          <w:sz w:val="24"/>
          <w:szCs w:val="24"/>
          <w:lang w:eastAsia="ru-RU"/>
        </w:rPr>
      </w:pPr>
    </w:p>
    <w:p w14:paraId="3A159645" w14:textId="77777777" w:rsidR="0001284F" w:rsidRPr="00FD7B0B" w:rsidRDefault="0001284F" w:rsidP="0001284F">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196</w:t>
      </w:r>
      <w:r w:rsidRPr="00FD7B0B">
        <w:rPr>
          <w:rFonts w:ascii="Times New Roman" w:hAnsi="Times New Roman"/>
          <w:b w:val="0"/>
          <w:sz w:val="24"/>
          <w:szCs w:val="24"/>
        </w:rPr>
        <w:fldChar w:fldCharType="end"/>
      </w:r>
      <w:r w:rsidRPr="00FD7B0B">
        <w:rPr>
          <w:rFonts w:ascii="Times New Roman" w:hAnsi="Times New Roman"/>
          <w:b w:val="0"/>
          <w:sz w:val="24"/>
          <w:szCs w:val="24"/>
        </w:rPr>
        <w:t>. Соотношение изменений ГП № 19 к СБР, млн.руб.</w:t>
      </w:r>
    </w:p>
    <w:tbl>
      <w:tblPr>
        <w:tblW w:w="4930" w:type="pct"/>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295"/>
        <w:gridCol w:w="1368"/>
        <w:gridCol w:w="1241"/>
        <w:gridCol w:w="1648"/>
        <w:gridCol w:w="1915"/>
        <w:gridCol w:w="1003"/>
        <w:gridCol w:w="1003"/>
      </w:tblGrid>
      <w:tr w:rsidR="00FD7B0B" w:rsidRPr="00FD7B0B" w14:paraId="2135D854" w14:textId="77777777" w:rsidTr="00224CA2">
        <w:trPr>
          <w:trHeight w:val="74"/>
          <w:tblHeader/>
        </w:trPr>
        <w:tc>
          <w:tcPr>
            <w:tcW w:w="1405" w:type="pct"/>
            <w:gridSpan w:val="2"/>
            <w:shd w:val="clear" w:color="auto" w:fill="auto"/>
            <w:vAlign w:val="center"/>
            <w:hideMark/>
          </w:tcPr>
          <w:p w14:paraId="6932A3E4"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СБР</w:t>
            </w:r>
          </w:p>
        </w:tc>
        <w:tc>
          <w:tcPr>
            <w:tcW w:w="3065" w:type="pct"/>
            <w:gridSpan w:val="4"/>
            <w:shd w:val="clear" w:color="auto" w:fill="auto"/>
            <w:vAlign w:val="center"/>
            <w:hideMark/>
          </w:tcPr>
          <w:p w14:paraId="56C63EF7"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ГП № 19</w:t>
            </w:r>
          </w:p>
        </w:tc>
        <w:tc>
          <w:tcPr>
            <w:tcW w:w="529" w:type="pct"/>
            <w:vMerge w:val="restart"/>
            <w:shd w:val="clear" w:color="auto" w:fill="auto"/>
            <w:vAlign w:val="center"/>
            <w:hideMark/>
          </w:tcPr>
          <w:p w14:paraId="0E6A5B1B"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отклонение 7=4-2</w:t>
            </w:r>
          </w:p>
        </w:tc>
      </w:tr>
      <w:tr w:rsidR="00FD7B0B" w:rsidRPr="00FD7B0B" w14:paraId="05F0613F" w14:textId="77777777" w:rsidTr="00224CA2">
        <w:trPr>
          <w:trHeight w:val="372"/>
          <w:tblHeader/>
        </w:trPr>
        <w:tc>
          <w:tcPr>
            <w:tcW w:w="684" w:type="pct"/>
            <w:shd w:val="clear" w:color="auto" w:fill="auto"/>
            <w:vAlign w:val="center"/>
            <w:hideMark/>
          </w:tcPr>
          <w:p w14:paraId="29B8C6DD"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дата</w:t>
            </w:r>
          </w:p>
        </w:tc>
        <w:tc>
          <w:tcPr>
            <w:tcW w:w="722" w:type="pct"/>
            <w:shd w:val="clear" w:color="auto" w:fill="auto"/>
            <w:vAlign w:val="center"/>
            <w:hideMark/>
          </w:tcPr>
          <w:p w14:paraId="30B1D68A"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объем финансирования</w:t>
            </w:r>
          </w:p>
        </w:tc>
        <w:tc>
          <w:tcPr>
            <w:tcW w:w="655" w:type="pct"/>
            <w:shd w:val="clear" w:color="auto" w:fill="auto"/>
            <w:vAlign w:val="center"/>
            <w:hideMark/>
          </w:tcPr>
          <w:p w14:paraId="31804633"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редакция</w:t>
            </w:r>
          </w:p>
        </w:tc>
        <w:tc>
          <w:tcPr>
            <w:tcW w:w="870" w:type="pct"/>
            <w:shd w:val="clear" w:color="auto" w:fill="auto"/>
            <w:vAlign w:val="center"/>
            <w:hideMark/>
          </w:tcPr>
          <w:p w14:paraId="2111D2BE"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объем финансирования, указанный за счет средств ОБ</w:t>
            </w:r>
          </w:p>
        </w:tc>
        <w:tc>
          <w:tcPr>
            <w:tcW w:w="1011" w:type="pct"/>
            <w:shd w:val="clear" w:color="auto" w:fill="auto"/>
            <w:vAlign w:val="center"/>
            <w:hideMark/>
          </w:tcPr>
          <w:p w14:paraId="43CE900D"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объем финансирования, суммарно за счет средств ОБ по структурным элементам</w:t>
            </w:r>
          </w:p>
        </w:tc>
        <w:tc>
          <w:tcPr>
            <w:tcW w:w="529" w:type="pct"/>
            <w:shd w:val="clear" w:color="auto" w:fill="auto"/>
            <w:vAlign w:val="center"/>
            <w:hideMark/>
          </w:tcPr>
          <w:p w14:paraId="66791212"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отклонение 6=4-5</w:t>
            </w:r>
          </w:p>
        </w:tc>
        <w:tc>
          <w:tcPr>
            <w:tcW w:w="529" w:type="pct"/>
            <w:vMerge/>
            <w:vAlign w:val="center"/>
            <w:hideMark/>
          </w:tcPr>
          <w:p w14:paraId="4DB72417" w14:textId="77777777" w:rsidR="0001284F" w:rsidRPr="00FD7B0B" w:rsidRDefault="0001284F" w:rsidP="000164F8">
            <w:pPr>
              <w:spacing w:after="0" w:line="240" w:lineRule="auto"/>
              <w:rPr>
                <w:rFonts w:ascii="Times New Roman" w:eastAsia="Times New Roman" w:hAnsi="Times New Roman" w:cs="Times New Roman"/>
                <w:sz w:val="16"/>
                <w:szCs w:val="16"/>
                <w:lang w:eastAsia="ru-RU"/>
              </w:rPr>
            </w:pPr>
          </w:p>
        </w:tc>
      </w:tr>
      <w:tr w:rsidR="00FD7B0B" w:rsidRPr="00FD7B0B" w14:paraId="183E47F3" w14:textId="77777777" w:rsidTr="00224CA2">
        <w:trPr>
          <w:trHeight w:val="95"/>
        </w:trPr>
        <w:tc>
          <w:tcPr>
            <w:tcW w:w="684" w:type="pct"/>
            <w:shd w:val="clear" w:color="auto" w:fill="auto"/>
            <w:vAlign w:val="center"/>
            <w:hideMark/>
          </w:tcPr>
          <w:p w14:paraId="71CF6E06"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722" w:type="pct"/>
            <w:shd w:val="clear" w:color="auto" w:fill="auto"/>
            <w:vAlign w:val="center"/>
            <w:hideMark/>
          </w:tcPr>
          <w:p w14:paraId="3DBCC89A"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655" w:type="pct"/>
            <w:shd w:val="clear" w:color="auto" w:fill="auto"/>
            <w:vAlign w:val="center"/>
            <w:hideMark/>
          </w:tcPr>
          <w:p w14:paraId="0E688F7E"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870" w:type="pct"/>
            <w:shd w:val="clear" w:color="auto" w:fill="auto"/>
            <w:vAlign w:val="center"/>
            <w:hideMark/>
          </w:tcPr>
          <w:p w14:paraId="5C559C8E"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w:t>
            </w:r>
          </w:p>
        </w:tc>
        <w:tc>
          <w:tcPr>
            <w:tcW w:w="1011" w:type="pct"/>
            <w:shd w:val="clear" w:color="auto" w:fill="auto"/>
            <w:vAlign w:val="center"/>
            <w:hideMark/>
          </w:tcPr>
          <w:p w14:paraId="5B63CDE0"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529" w:type="pct"/>
            <w:shd w:val="clear" w:color="auto" w:fill="auto"/>
            <w:vAlign w:val="center"/>
            <w:hideMark/>
          </w:tcPr>
          <w:p w14:paraId="1EDDDF7F"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w:t>
            </w:r>
          </w:p>
        </w:tc>
        <w:tc>
          <w:tcPr>
            <w:tcW w:w="529" w:type="pct"/>
            <w:shd w:val="clear" w:color="auto" w:fill="auto"/>
            <w:vAlign w:val="center"/>
            <w:hideMark/>
          </w:tcPr>
          <w:p w14:paraId="40D3CBCD"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7</w:t>
            </w:r>
          </w:p>
        </w:tc>
      </w:tr>
      <w:tr w:rsidR="00FD7B0B" w:rsidRPr="00FD7B0B" w14:paraId="514B3302" w14:textId="77777777" w:rsidTr="00224CA2">
        <w:trPr>
          <w:trHeight w:val="149"/>
        </w:trPr>
        <w:tc>
          <w:tcPr>
            <w:tcW w:w="684" w:type="pct"/>
            <w:shd w:val="clear" w:color="auto" w:fill="auto"/>
            <w:vAlign w:val="center"/>
            <w:hideMark/>
          </w:tcPr>
          <w:p w14:paraId="285AEBE7"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01.01.2024</w:t>
            </w:r>
          </w:p>
        </w:tc>
        <w:tc>
          <w:tcPr>
            <w:tcW w:w="722" w:type="pct"/>
            <w:shd w:val="clear" w:color="auto" w:fill="auto"/>
            <w:vAlign w:val="center"/>
            <w:hideMark/>
          </w:tcPr>
          <w:p w14:paraId="4318C05B"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14 737,732  </w:t>
            </w:r>
          </w:p>
        </w:tc>
        <w:tc>
          <w:tcPr>
            <w:tcW w:w="655" w:type="pct"/>
            <w:vMerge w:val="restart"/>
            <w:shd w:val="clear" w:color="auto" w:fill="auto"/>
            <w:vAlign w:val="center"/>
            <w:hideMark/>
          </w:tcPr>
          <w:p w14:paraId="279828D2"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27.12.2023</w:t>
            </w:r>
          </w:p>
        </w:tc>
        <w:tc>
          <w:tcPr>
            <w:tcW w:w="870" w:type="pct"/>
            <w:vMerge w:val="restart"/>
            <w:shd w:val="clear" w:color="auto" w:fill="auto"/>
            <w:vAlign w:val="center"/>
            <w:hideMark/>
          </w:tcPr>
          <w:p w14:paraId="1362B7E4"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14 733,147  </w:t>
            </w:r>
          </w:p>
        </w:tc>
        <w:tc>
          <w:tcPr>
            <w:tcW w:w="1011" w:type="pct"/>
            <w:vMerge w:val="restart"/>
            <w:shd w:val="clear" w:color="auto" w:fill="auto"/>
            <w:vAlign w:val="center"/>
            <w:hideMark/>
          </w:tcPr>
          <w:p w14:paraId="4D3550C3"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14 023,147  </w:t>
            </w:r>
          </w:p>
        </w:tc>
        <w:tc>
          <w:tcPr>
            <w:tcW w:w="529" w:type="pct"/>
            <w:vMerge w:val="restart"/>
            <w:shd w:val="clear" w:color="auto" w:fill="auto"/>
            <w:vAlign w:val="center"/>
            <w:hideMark/>
          </w:tcPr>
          <w:p w14:paraId="116825C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710,000  </w:t>
            </w:r>
          </w:p>
        </w:tc>
        <w:tc>
          <w:tcPr>
            <w:tcW w:w="529" w:type="pct"/>
            <w:shd w:val="clear" w:color="auto" w:fill="auto"/>
            <w:vAlign w:val="center"/>
            <w:hideMark/>
          </w:tcPr>
          <w:p w14:paraId="637D1994"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-4,585</w:t>
            </w:r>
          </w:p>
        </w:tc>
      </w:tr>
      <w:tr w:rsidR="00FD7B0B" w:rsidRPr="00FD7B0B" w14:paraId="19CDEF75" w14:textId="77777777" w:rsidTr="00224CA2">
        <w:trPr>
          <w:trHeight w:val="194"/>
        </w:trPr>
        <w:tc>
          <w:tcPr>
            <w:tcW w:w="684" w:type="pct"/>
            <w:shd w:val="clear" w:color="auto" w:fill="auto"/>
            <w:vAlign w:val="center"/>
            <w:hideMark/>
          </w:tcPr>
          <w:p w14:paraId="4CF0B150"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01.02.2024</w:t>
            </w:r>
          </w:p>
        </w:tc>
        <w:tc>
          <w:tcPr>
            <w:tcW w:w="722" w:type="pct"/>
            <w:shd w:val="clear" w:color="auto" w:fill="auto"/>
            <w:vAlign w:val="center"/>
            <w:hideMark/>
          </w:tcPr>
          <w:p w14:paraId="48CF1EE2"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14 737,732  </w:t>
            </w:r>
          </w:p>
        </w:tc>
        <w:tc>
          <w:tcPr>
            <w:tcW w:w="655" w:type="pct"/>
            <w:vMerge/>
            <w:vAlign w:val="center"/>
            <w:hideMark/>
          </w:tcPr>
          <w:p w14:paraId="4CE08F41"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870" w:type="pct"/>
            <w:vMerge/>
            <w:vAlign w:val="center"/>
            <w:hideMark/>
          </w:tcPr>
          <w:p w14:paraId="5DE49192"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24B16987"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452A3191"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7EBC5320"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-4,585</w:t>
            </w:r>
          </w:p>
        </w:tc>
      </w:tr>
      <w:tr w:rsidR="00FD7B0B" w:rsidRPr="00FD7B0B" w14:paraId="52F250B2" w14:textId="77777777" w:rsidTr="00224CA2">
        <w:trPr>
          <w:trHeight w:val="85"/>
        </w:trPr>
        <w:tc>
          <w:tcPr>
            <w:tcW w:w="684" w:type="pct"/>
            <w:vMerge w:val="restart"/>
            <w:shd w:val="clear" w:color="auto" w:fill="auto"/>
            <w:vAlign w:val="center"/>
            <w:hideMark/>
          </w:tcPr>
          <w:p w14:paraId="0C6826A9"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01.03.2024</w:t>
            </w:r>
          </w:p>
        </w:tc>
        <w:tc>
          <w:tcPr>
            <w:tcW w:w="722" w:type="pct"/>
            <w:vMerge w:val="restart"/>
            <w:shd w:val="clear" w:color="auto" w:fill="auto"/>
            <w:vAlign w:val="center"/>
            <w:hideMark/>
          </w:tcPr>
          <w:p w14:paraId="129FDBFE"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14 737,732  </w:t>
            </w:r>
          </w:p>
        </w:tc>
        <w:tc>
          <w:tcPr>
            <w:tcW w:w="655" w:type="pct"/>
            <w:shd w:val="clear" w:color="auto" w:fill="auto"/>
            <w:vAlign w:val="center"/>
            <w:hideMark/>
          </w:tcPr>
          <w:p w14:paraId="19C75466"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09.02.2024</w:t>
            </w:r>
          </w:p>
        </w:tc>
        <w:tc>
          <w:tcPr>
            <w:tcW w:w="870" w:type="pct"/>
            <w:shd w:val="clear" w:color="auto" w:fill="auto"/>
            <w:vAlign w:val="center"/>
            <w:hideMark/>
          </w:tcPr>
          <w:p w14:paraId="0EFD9E94"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14 733,147  </w:t>
            </w:r>
          </w:p>
        </w:tc>
        <w:tc>
          <w:tcPr>
            <w:tcW w:w="1011" w:type="pct"/>
            <w:shd w:val="clear" w:color="auto" w:fill="auto"/>
            <w:vAlign w:val="center"/>
            <w:hideMark/>
          </w:tcPr>
          <w:p w14:paraId="32B95F38"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14 023,147  </w:t>
            </w:r>
          </w:p>
        </w:tc>
        <w:tc>
          <w:tcPr>
            <w:tcW w:w="529" w:type="pct"/>
            <w:shd w:val="clear" w:color="auto" w:fill="auto"/>
            <w:vAlign w:val="center"/>
            <w:hideMark/>
          </w:tcPr>
          <w:p w14:paraId="0C86BDD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710,000  </w:t>
            </w:r>
          </w:p>
        </w:tc>
        <w:tc>
          <w:tcPr>
            <w:tcW w:w="529" w:type="pct"/>
            <w:shd w:val="clear" w:color="auto" w:fill="auto"/>
            <w:vAlign w:val="center"/>
            <w:hideMark/>
          </w:tcPr>
          <w:p w14:paraId="282C9F9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-4,585</w:t>
            </w:r>
          </w:p>
        </w:tc>
      </w:tr>
      <w:tr w:rsidR="00FD7B0B" w:rsidRPr="00FD7B0B" w14:paraId="52297ED6" w14:textId="77777777" w:rsidTr="00224CA2">
        <w:trPr>
          <w:trHeight w:val="130"/>
        </w:trPr>
        <w:tc>
          <w:tcPr>
            <w:tcW w:w="684" w:type="pct"/>
            <w:vMerge/>
            <w:vAlign w:val="center"/>
            <w:hideMark/>
          </w:tcPr>
          <w:p w14:paraId="350EA065"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722" w:type="pct"/>
            <w:vMerge/>
            <w:vAlign w:val="center"/>
            <w:hideMark/>
          </w:tcPr>
          <w:p w14:paraId="0D2C1378"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655" w:type="pct"/>
            <w:shd w:val="clear" w:color="auto" w:fill="auto"/>
            <w:vAlign w:val="center"/>
            <w:hideMark/>
          </w:tcPr>
          <w:p w14:paraId="6EF38EB9"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26.02.2024</w:t>
            </w:r>
          </w:p>
        </w:tc>
        <w:tc>
          <w:tcPr>
            <w:tcW w:w="870" w:type="pct"/>
            <w:shd w:val="clear" w:color="auto" w:fill="auto"/>
            <w:vAlign w:val="center"/>
            <w:hideMark/>
          </w:tcPr>
          <w:p w14:paraId="10B74EE3"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14 737,732  </w:t>
            </w:r>
          </w:p>
        </w:tc>
        <w:tc>
          <w:tcPr>
            <w:tcW w:w="1011" w:type="pct"/>
            <w:shd w:val="clear" w:color="auto" w:fill="auto"/>
            <w:vAlign w:val="center"/>
            <w:hideMark/>
          </w:tcPr>
          <w:p w14:paraId="635A21B8"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14 738,092  </w:t>
            </w:r>
          </w:p>
        </w:tc>
        <w:tc>
          <w:tcPr>
            <w:tcW w:w="529" w:type="pct"/>
            <w:shd w:val="clear" w:color="auto" w:fill="auto"/>
            <w:vAlign w:val="center"/>
            <w:hideMark/>
          </w:tcPr>
          <w:p w14:paraId="13CC8615"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-0,360  </w:t>
            </w:r>
          </w:p>
        </w:tc>
        <w:tc>
          <w:tcPr>
            <w:tcW w:w="529" w:type="pct"/>
            <w:shd w:val="clear" w:color="auto" w:fill="auto"/>
            <w:vAlign w:val="center"/>
            <w:hideMark/>
          </w:tcPr>
          <w:p w14:paraId="28409F3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0,000</w:t>
            </w:r>
          </w:p>
        </w:tc>
      </w:tr>
      <w:tr w:rsidR="00FD7B0B" w:rsidRPr="00FD7B0B" w14:paraId="65B885F1" w14:textId="77777777" w:rsidTr="00224CA2">
        <w:trPr>
          <w:trHeight w:val="163"/>
        </w:trPr>
        <w:tc>
          <w:tcPr>
            <w:tcW w:w="684" w:type="pct"/>
            <w:vMerge/>
            <w:vAlign w:val="center"/>
            <w:hideMark/>
          </w:tcPr>
          <w:p w14:paraId="1CF3C0DE"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722" w:type="pct"/>
            <w:vMerge/>
            <w:vAlign w:val="center"/>
            <w:hideMark/>
          </w:tcPr>
          <w:p w14:paraId="4E3AD86B"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655" w:type="pct"/>
            <w:vMerge w:val="restart"/>
            <w:shd w:val="clear" w:color="auto" w:fill="auto"/>
            <w:vAlign w:val="center"/>
            <w:hideMark/>
          </w:tcPr>
          <w:p w14:paraId="428D5D8F"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01.03.2024</w:t>
            </w:r>
          </w:p>
        </w:tc>
        <w:tc>
          <w:tcPr>
            <w:tcW w:w="870" w:type="pct"/>
            <w:vMerge w:val="restart"/>
            <w:shd w:val="clear" w:color="auto" w:fill="auto"/>
            <w:vAlign w:val="center"/>
            <w:hideMark/>
          </w:tcPr>
          <w:p w14:paraId="444B04E0"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14 737,732  </w:t>
            </w:r>
          </w:p>
        </w:tc>
        <w:tc>
          <w:tcPr>
            <w:tcW w:w="1011" w:type="pct"/>
            <w:vMerge w:val="restart"/>
            <w:shd w:val="clear" w:color="auto" w:fill="auto"/>
            <w:vAlign w:val="center"/>
            <w:hideMark/>
          </w:tcPr>
          <w:p w14:paraId="0D06DB9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14 738,092  </w:t>
            </w:r>
          </w:p>
        </w:tc>
        <w:tc>
          <w:tcPr>
            <w:tcW w:w="529" w:type="pct"/>
            <w:vMerge w:val="restart"/>
            <w:shd w:val="clear" w:color="auto" w:fill="auto"/>
            <w:vAlign w:val="center"/>
            <w:hideMark/>
          </w:tcPr>
          <w:p w14:paraId="5B2418D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-0,360  </w:t>
            </w:r>
          </w:p>
        </w:tc>
        <w:tc>
          <w:tcPr>
            <w:tcW w:w="529" w:type="pct"/>
            <w:shd w:val="clear" w:color="auto" w:fill="auto"/>
            <w:vAlign w:val="center"/>
            <w:hideMark/>
          </w:tcPr>
          <w:p w14:paraId="12DA8F4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0,000</w:t>
            </w:r>
          </w:p>
        </w:tc>
      </w:tr>
      <w:tr w:rsidR="00FD7B0B" w:rsidRPr="00FD7B0B" w14:paraId="3B9601E2" w14:textId="77777777" w:rsidTr="00224CA2">
        <w:trPr>
          <w:trHeight w:val="209"/>
        </w:trPr>
        <w:tc>
          <w:tcPr>
            <w:tcW w:w="684" w:type="pct"/>
            <w:shd w:val="clear" w:color="auto" w:fill="auto"/>
            <w:vAlign w:val="center"/>
            <w:hideMark/>
          </w:tcPr>
          <w:p w14:paraId="72F749E3"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01.04.2024</w:t>
            </w:r>
          </w:p>
        </w:tc>
        <w:tc>
          <w:tcPr>
            <w:tcW w:w="722" w:type="pct"/>
            <w:shd w:val="clear" w:color="auto" w:fill="auto"/>
            <w:vAlign w:val="center"/>
            <w:hideMark/>
          </w:tcPr>
          <w:p w14:paraId="13DA736B"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14 654,843  </w:t>
            </w:r>
          </w:p>
        </w:tc>
        <w:tc>
          <w:tcPr>
            <w:tcW w:w="655" w:type="pct"/>
            <w:vMerge/>
            <w:vAlign w:val="center"/>
            <w:hideMark/>
          </w:tcPr>
          <w:p w14:paraId="3E8A7D5A"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870" w:type="pct"/>
            <w:vMerge/>
            <w:vAlign w:val="center"/>
            <w:hideMark/>
          </w:tcPr>
          <w:p w14:paraId="61F7C959"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79F44B7F"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2C01441E"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479F0BD7"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82,889</w:t>
            </w:r>
          </w:p>
        </w:tc>
      </w:tr>
      <w:tr w:rsidR="00FD7B0B" w:rsidRPr="00FD7B0B" w14:paraId="1D81CFBD" w14:textId="77777777" w:rsidTr="00224CA2">
        <w:trPr>
          <w:trHeight w:val="241"/>
        </w:trPr>
        <w:tc>
          <w:tcPr>
            <w:tcW w:w="684" w:type="pct"/>
            <w:shd w:val="clear" w:color="auto" w:fill="auto"/>
            <w:vAlign w:val="center"/>
            <w:hideMark/>
          </w:tcPr>
          <w:p w14:paraId="04D31F96"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01.05.2024</w:t>
            </w:r>
          </w:p>
        </w:tc>
        <w:tc>
          <w:tcPr>
            <w:tcW w:w="722" w:type="pct"/>
            <w:shd w:val="clear" w:color="auto" w:fill="auto"/>
            <w:vAlign w:val="center"/>
            <w:hideMark/>
          </w:tcPr>
          <w:p w14:paraId="326F60D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14 654,843  </w:t>
            </w:r>
          </w:p>
        </w:tc>
        <w:tc>
          <w:tcPr>
            <w:tcW w:w="655" w:type="pct"/>
            <w:vMerge/>
            <w:vAlign w:val="center"/>
            <w:hideMark/>
          </w:tcPr>
          <w:p w14:paraId="75E3A791"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870" w:type="pct"/>
            <w:vMerge/>
            <w:vAlign w:val="center"/>
            <w:hideMark/>
          </w:tcPr>
          <w:p w14:paraId="39A0691A"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59ECD4FF"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6DB43092"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34B84D7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82,889</w:t>
            </w:r>
          </w:p>
        </w:tc>
      </w:tr>
      <w:tr w:rsidR="00FD7B0B" w:rsidRPr="00FD7B0B" w14:paraId="2DF6A5EC" w14:textId="77777777" w:rsidTr="00224CA2">
        <w:trPr>
          <w:trHeight w:val="131"/>
        </w:trPr>
        <w:tc>
          <w:tcPr>
            <w:tcW w:w="684" w:type="pct"/>
            <w:shd w:val="clear" w:color="auto" w:fill="auto"/>
            <w:vAlign w:val="center"/>
            <w:hideMark/>
          </w:tcPr>
          <w:p w14:paraId="180B4DE5"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01.06.2024</w:t>
            </w:r>
          </w:p>
        </w:tc>
        <w:tc>
          <w:tcPr>
            <w:tcW w:w="722" w:type="pct"/>
            <w:shd w:val="clear" w:color="auto" w:fill="auto"/>
            <w:vAlign w:val="center"/>
            <w:hideMark/>
          </w:tcPr>
          <w:p w14:paraId="04B8019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14 646,843  </w:t>
            </w:r>
          </w:p>
        </w:tc>
        <w:tc>
          <w:tcPr>
            <w:tcW w:w="655" w:type="pct"/>
            <w:vMerge/>
            <w:vAlign w:val="center"/>
            <w:hideMark/>
          </w:tcPr>
          <w:p w14:paraId="2220D412"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870" w:type="pct"/>
            <w:vMerge/>
            <w:vAlign w:val="center"/>
            <w:hideMark/>
          </w:tcPr>
          <w:p w14:paraId="60747973"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6F64127B"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6D25F37D"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63FAF785"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90,889</w:t>
            </w:r>
          </w:p>
        </w:tc>
      </w:tr>
      <w:tr w:rsidR="00FD7B0B" w:rsidRPr="00FD7B0B" w14:paraId="6E0862A4" w14:textId="77777777" w:rsidTr="00224CA2">
        <w:trPr>
          <w:trHeight w:val="162"/>
        </w:trPr>
        <w:tc>
          <w:tcPr>
            <w:tcW w:w="684" w:type="pct"/>
            <w:vMerge w:val="restart"/>
            <w:shd w:val="clear" w:color="auto" w:fill="auto"/>
            <w:vAlign w:val="center"/>
            <w:hideMark/>
          </w:tcPr>
          <w:p w14:paraId="6A482B32"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01.07.2024</w:t>
            </w:r>
          </w:p>
        </w:tc>
        <w:tc>
          <w:tcPr>
            <w:tcW w:w="722" w:type="pct"/>
            <w:vMerge w:val="restart"/>
            <w:shd w:val="clear" w:color="auto" w:fill="auto"/>
            <w:vAlign w:val="center"/>
            <w:hideMark/>
          </w:tcPr>
          <w:p w14:paraId="6DADFC8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14 631,851  </w:t>
            </w:r>
          </w:p>
        </w:tc>
        <w:tc>
          <w:tcPr>
            <w:tcW w:w="655" w:type="pct"/>
            <w:shd w:val="clear" w:color="auto" w:fill="auto"/>
            <w:vAlign w:val="center"/>
            <w:hideMark/>
          </w:tcPr>
          <w:p w14:paraId="46BE6977"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01.07.2024</w:t>
            </w:r>
          </w:p>
        </w:tc>
        <w:tc>
          <w:tcPr>
            <w:tcW w:w="870" w:type="pct"/>
            <w:shd w:val="clear" w:color="auto" w:fill="auto"/>
            <w:vAlign w:val="center"/>
            <w:hideMark/>
          </w:tcPr>
          <w:p w14:paraId="11E0D592"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14 646,843  </w:t>
            </w:r>
          </w:p>
        </w:tc>
        <w:tc>
          <w:tcPr>
            <w:tcW w:w="1011" w:type="pct"/>
            <w:shd w:val="clear" w:color="auto" w:fill="auto"/>
            <w:vAlign w:val="center"/>
            <w:hideMark/>
          </w:tcPr>
          <w:p w14:paraId="796E059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14 646,843  </w:t>
            </w:r>
          </w:p>
        </w:tc>
        <w:tc>
          <w:tcPr>
            <w:tcW w:w="529" w:type="pct"/>
            <w:shd w:val="clear" w:color="auto" w:fill="auto"/>
            <w:vAlign w:val="center"/>
            <w:hideMark/>
          </w:tcPr>
          <w:p w14:paraId="0CDA9ED3"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0,000  </w:t>
            </w:r>
          </w:p>
        </w:tc>
        <w:tc>
          <w:tcPr>
            <w:tcW w:w="529" w:type="pct"/>
            <w:shd w:val="clear" w:color="auto" w:fill="auto"/>
            <w:vAlign w:val="center"/>
            <w:hideMark/>
          </w:tcPr>
          <w:p w14:paraId="3A0BB415"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14,992</w:t>
            </w:r>
          </w:p>
        </w:tc>
      </w:tr>
      <w:tr w:rsidR="00FD7B0B" w:rsidRPr="00FD7B0B" w14:paraId="7F7E6FB4" w14:textId="77777777" w:rsidTr="00224CA2">
        <w:trPr>
          <w:trHeight w:val="67"/>
        </w:trPr>
        <w:tc>
          <w:tcPr>
            <w:tcW w:w="684" w:type="pct"/>
            <w:vMerge/>
            <w:vAlign w:val="center"/>
            <w:hideMark/>
          </w:tcPr>
          <w:p w14:paraId="52BD25B0"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722" w:type="pct"/>
            <w:vMerge/>
            <w:vAlign w:val="center"/>
            <w:hideMark/>
          </w:tcPr>
          <w:p w14:paraId="3D5BB15F"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655" w:type="pct"/>
            <w:vMerge w:val="restart"/>
            <w:shd w:val="clear" w:color="auto" w:fill="auto"/>
            <w:vAlign w:val="center"/>
            <w:hideMark/>
          </w:tcPr>
          <w:p w14:paraId="01B05A97"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19.07.2024</w:t>
            </w:r>
          </w:p>
        </w:tc>
        <w:tc>
          <w:tcPr>
            <w:tcW w:w="870" w:type="pct"/>
            <w:vMerge w:val="restart"/>
            <w:shd w:val="clear" w:color="auto" w:fill="auto"/>
            <w:vAlign w:val="center"/>
            <w:hideMark/>
          </w:tcPr>
          <w:p w14:paraId="658FF47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14 646,843  </w:t>
            </w:r>
          </w:p>
        </w:tc>
        <w:tc>
          <w:tcPr>
            <w:tcW w:w="1011" w:type="pct"/>
            <w:vMerge w:val="restart"/>
            <w:shd w:val="clear" w:color="auto" w:fill="auto"/>
            <w:vAlign w:val="center"/>
            <w:hideMark/>
          </w:tcPr>
          <w:p w14:paraId="5EA39B55"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14 676,843  </w:t>
            </w:r>
          </w:p>
        </w:tc>
        <w:tc>
          <w:tcPr>
            <w:tcW w:w="529" w:type="pct"/>
            <w:vMerge w:val="restart"/>
            <w:shd w:val="clear" w:color="auto" w:fill="auto"/>
            <w:vAlign w:val="center"/>
            <w:hideMark/>
          </w:tcPr>
          <w:p w14:paraId="458AEBA3"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0,000  </w:t>
            </w:r>
          </w:p>
        </w:tc>
        <w:tc>
          <w:tcPr>
            <w:tcW w:w="529" w:type="pct"/>
            <w:shd w:val="clear" w:color="auto" w:fill="auto"/>
            <w:vAlign w:val="center"/>
            <w:hideMark/>
          </w:tcPr>
          <w:p w14:paraId="7D7EAB4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14,992</w:t>
            </w:r>
          </w:p>
        </w:tc>
      </w:tr>
      <w:tr w:rsidR="00FD7B0B" w:rsidRPr="00FD7B0B" w14:paraId="3F22B326" w14:textId="77777777" w:rsidTr="00224CA2">
        <w:trPr>
          <w:trHeight w:val="98"/>
        </w:trPr>
        <w:tc>
          <w:tcPr>
            <w:tcW w:w="684" w:type="pct"/>
            <w:shd w:val="clear" w:color="auto" w:fill="auto"/>
            <w:vAlign w:val="center"/>
            <w:hideMark/>
          </w:tcPr>
          <w:p w14:paraId="30903837"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01.08.2024</w:t>
            </w:r>
          </w:p>
        </w:tc>
        <w:tc>
          <w:tcPr>
            <w:tcW w:w="722" w:type="pct"/>
            <w:shd w:val="clear" w:color="auto" w:fill="auto"/>
            <w:vAlign w:val="center"/>
            <w:hideMark/>
          </w:tcPr>
          <w:p w14:paraId="27C95825"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14 838,016  </w:t>
            </w:r>
          </w:p>
        </w:tc>
        <w:tc>
          <w:tcPr>
            <w:tcW w:w="655" w:type="pct"/>
            <w:vMerge/>
            <w:vAlign w:val="center"/>
            <w:hideMark/>
          </w:tcPr>
          <w:p w14:paraId="724745D3"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870" w:type="pct"/>
            <w:vMerge/>
            <w:vAlign w:val="center"/>
            <w:hideMark/>
          </w:tcPr>
          <w:p w14:paraId="334EAD4F"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6C5B7AB3"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0C7F1E6A"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03BE85E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-191,173</w:t>
            </w:r>
          </w:p>
        </w:tc>
      </w:tr>
      <w:tr w:rsidR="00FD7B0B" w:rsidRPr="00FD7B0B" w14:paraId="0C8BA4CC" w14:textId="77777777" w:rsidTr="00224CA2">
        <w:trPr>
          <w:trHeight w:val="126"/>
        </w:trPr>
        <w:tc>
          <w:tcPr>
            <w:tcW w:w="684" w:type="pct"/>
            <w:shd w:val="clear" w:color="auto" w:fill="auto"/>
            <w:vAlign w:val="center"/>
            <w:hideMark/>
          </w:tcPr>
          <w:p w14:paraId="313F8B4D"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01.09.2024</w:t>
            </w:r>
          </w:p>
        </w:tc>
        <w:tc>
          <w:tcPr>
            <w:tcW w:w="722" w:type="pct"/>
            <w:shd w:val="clear" w:color="auto" w:fill="auto"/>
            <w:vAlign w:val="center"/>
            <w:hideMark/>
          </w:tcPr>
          <w:p w14:paraId="6DCFE249"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14 838,016  </w:t>
            </w:r>
          </w:p>
        </w:tc>
        <w:tc>
          <w:tcPr>
            <w:tcW w:w="655" w:type="pct"/>
            <w:vMerge/>
            <w:vAlign w:val="center"/>
            <w:hideMark/>
          </w:tcPr>
          <w:p w14:paraId="5B28F823"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870" w:type="pct"/>
            <w:vMerge/>
            <w:vAlign w:val="center"/>
            <w:hideMark/>
          </w:tcPr>
          <w:p w14:paraId="4DC44D07"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7ECBD81C"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6D2EB0D1"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33422B80"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-191,173</w:t>
            </w:r>
          </w:p>
        </w:tc>
      </w:tr>
      <w:tr w:rsidR="00FD7B0B" w:rsidRPr="00FD7B0B" w14:paraId="20F8E504" w14:textId="77777777" w:rsidTr="00224CA2">
        <w:trPr>
          <w:trHeight w:val="158"/>
        </w:trPr>
        <w:tc>
          <w:tcPr>
            <w:tcW w:w="684" w:type="pct"/>
            <w:shd w:val="clear" w:color="auto" w:fill="auto"/>
            <w:vAlign w:val="center"/>
            <w:hideMark/>
          </w:tcPr>
          <w:p w14:paraId="643DCAAC"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01.10.2024</w:t>
            </w:r>
          </w:p>
        </w:tc>
        <w:tc>
          <w:tcPr>
            <w:tcW w:w="722" w:type="pct"/>
            <w:shd w:val="clear" w:color="auto" w:fill="auto"/>
            <w:vAlign w:val="center"/>
            <w:hideMark/>
          </w:tcPr>
          <w:p w14:paraId="31951AE7"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14 837,522  </w:t>
            </w:r>
          </w:p>
        </w:tc>
        <w:tc>
          <w:tcPr>
            <w:tcW w:w="655" w:type="pct"/>
            <w:vMerge/>
            <w:vAlign w:val="center"/>
            <w:hideMark/>
          </w:tcPr>
          <w:p w14:paraId="4035D168"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870" w:type="pct"/>
            <w:vMerge/>
            <w:vAlign w:val="center"/>
            <w:hideMark/>
          </w:tcPr>
          <w:p w14:paraId="6BAF532D"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4016E1BB"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48DE8A7D"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1C73C929"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-160,679</w:t>
            </w:r>
          </w:p>
        </w:tc>
      </w:tr>
      <w:tr w:rsidR="00FD7B0B" w:rsidRPr="00FD7B0B" w14:paraId="5160B48C" w14:textId="77777777" w:rsidTr="00224CA2">
        <w:trPr>
          <w:trHeight w:val="189"/>
        </w:trPr>
        <w:tc>
          <w:tcPr>
            <w:tcW w:w="684" w:type="pct"/>
            <w:shd w:val="clear" w:color="auto" w:fill="auto"/>
            <w:vAlign w:val="center"/>
            <w:hideMark/>
          </w:tcPr>
          <w:p w14:paraId="077689FF"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01.11.2024</w:t>
            </w:r>
          </w:p>
        </w:tc>
        <w:tc>
          <w:tcPr>
            <w:tcW w:w="722" w:type="pct"/>
            <w:shd w:val="clear" w:color="auto" w:fill="auto"/>
            <w:vAlign w:val="center"/>
            <w:hideMark/>
          </w:tcPr>
          <w:p w14:paraId="6998B04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14 964,998  </w:t>
            </w:r>
          </w:p>
        </w:tc>
        <w:tc>
          <w:tcPr>
            <w:tcW w:w="655" w:type="pct"/>
            <w:vMerge/>
            <w:vAlign w:val="center"/>
            <w:hideMark/>
          </w:tcPr>
          <w:p w14:paraId="21B0BB24"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870" w:type="pct"/>
            <w:vMerge/>
            <w:vAlign w:val="center"/>
            <w:hideMark/>
          </w:tcPr>
          <w:p w14:paraId="140811E6"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14A3526A"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589D6647"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29698D5B"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-318,155</w:t>
            </w:r>
          </w:p>
        </w:tc>
      </w:tr>
      <w:tr w:rsidR="00FD7B0B" w:rsidRPr="00FD7B0B" w14:paraId="191161EB" w14:textId="77777777" w:rsidTr="00224CA2">
        <w:trPr>
          <w:trHeight w:val="94"/>
        </w:trPr>
        <w:tc>
          <w:tcPr>
            <w:tcW w:w="684" w:type="pct"/>
            <w:vMerge w:val="restart"/>
            <w:shd w:val="clear" w:color="auto" w:fill="auto"/>
            <w:vAlign w:val="center"/>
            <w:hideMark/>
          </w:tcPr>
          <w:p w14:paraId="05FB4C8F"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01.12.2024</w:t>
            </w:r>
          </w:p>
        </w:tc>
        <w:tc>
          <w:tcPr>
            <w:tcW w:w="722" w:type="pct"/>
            <w:vMerge w:val="restart"/>
            <w:shd w:val="clear" w:color="auto" w:fill="auto"/>
            <w:vAlign w:val="center"/>
            <w:hideMark/>
          </w:tcPr>
          <w:p w14:paraId="14B4BA6E"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15 158,106  </w:t>
            </w:r>
          </w:p>
        </w:tc>
        <w:tc>
          <w:tcPr>
            <w:tcW w:w="655" w:type="pct"/>
            <w:vMerge/>
            <w:vAlign w:val="center"/>
            <w:hideMark/>
          </w:tcPr>
          <w:p w14:paraId="7460D571"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870" w:type="pct"/>
            <w:vMerge/>
            <w:vAlign w:val="center"/>
            <w:hideMark/>
          </w:tcPr>
          <w:p w14:paraId="41E934D4"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2A9C8EB2"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531B08CC"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4F2D548C"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-511,263</w:t>
            </w:r>
          </w:p>
        </w:tc>
      </w:tr>
      <w:tr w:rsidR="00FD7B0B" w:rsidRPr="00FD7B0B" w14:paraId="04DB8F99" w14:textId="77777777" w:rsidTr="00224CA2">
        <w:trPr>
          <w:trHeight w:val="126"/>
        </w:trPr>
        <w:tc>
          <w:tcPr>
            <w:tcW w:w="684" w:type="pct"/>
            <w:vMerge/>
            <w:vAlign w:val="center"/>
            <w:hideMark/>
          </w:tcPr>
          <w:p w14:paraId="4AE62CCB"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722" w:type="pct"/>
            <w:vMerge/>
            <w:vAlign w:val="center"/>
            <w:hideMark/>
          </w:tcPr>
          <w:p w14:paraId="7B5138F7"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655" w:type="pct"/>
            <w:vMerge w:val="restart"/>
            <w:shd w:val="clear" w:color="auto" w:fill="auto"/>
            <w:vAlign w:val="center"/>
            <w:hideMark/>
          </w:tcPr>
          <w:p w14:paraId="76035809"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27.12.2024</w:t>
            </w:r>
          </w:p>
        </w:tc>
        <w:tc>
          <w:tcPr>
            <w:tcW w:w="870" w:type="pct"/>
            <w:vMerge w:val="restart"/>
            <w:shd w:val="clear" w:color="auto" w:fill="auto"/>
            <w:vAlign w:val="center"/>
            <w:hideMark/>
          </w:tcPr>
          <w:p w14:paraId="7955384B"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15 370,769  </w:t>
            </w:r>
          </w:p>
        </w:tc>
        <w:tc>
          <w:tcPr>
            <w:tcW w:w="1011" w:type="pct"/>
            <w:vMerge w:val="restart"/>
            <w:shd w:val="clear" w:color="auto" w:fill="auto"/>
            <w:vAlign w:val="center"/>
            <w:hideMark/>
          </w:tcPr>
          <w:p w14:paraId="555D8C28"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15 370,769  </w:t>
            </w:r>
          </w:p>
        </w:tc>
        <w:tc>
          <w:tcPr>
            <w:tcW w:w="529" w:type="pct"/>
            <w:vMerge w:val="restart"/>
            <w:shd w:val="clear" w:color="auto" w:fill="auto"/>
            <w:vAlign w:val="center"/>
            <w:hideMark/>
          </w:tcPr>
          <w:p w14:paraId="00D6BE9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0,000  </w:t>
            </w:r>
          </w:p>
        </w:tc>
        <w:tc>
          <w:tcPr>
            <w:tcW w:w="529" w:type="pct"/>
            <w:shd w:val="clear" w:color="auto" w:fill="auto"/>
            <w:vAlign w:val="center"/>
            <w:hideMark/>
          </w:tcPr>
          <w:p w14:paraId="49596098"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212,663</w:t>
            </w:r>
          </w:p>
        </w:tc>
      </w:tr>
      <w:tr w:rsidR="0001284F" w:rsidRPr="00FD7B0B" w14:paraId="213D7EC4" w14:textId="77777777" w:rsidTr="00224CA2">
        <w:trPr>
          <w:trHeight w:val="171"/>
        </w:trPr>
        <w:tc>
          <w:tcPr>
            <w:tcW w:w="684" w:type="pct"/>
            <w:shd w:val="clear" w:color="auto" w:fill="auto"/>
            <w:vAlign w:val="center"/>
            <w:hideMark/>
          </w:tcPr>
          <w:p w14:paraId="7620A07E"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 31.12.2024</w:t>
            </w:r>
          </w:p>
        </w:tc>
        <w:tc>
          <w:tcPr>
            <w:tcW w:w="722" w:type="pct"/>
            <w:shd w:val="clear" w:color="auto" w:fill="auto"/>
            <w:vAlign w:val="center"/>
            <w:hideMark/>
          </w:tcPr>
          <w:p w14:paraId="5CB9FFA7"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15 493,164  </w:t>
            </w:r>
          </w:p>
        </w:tc>
        <w:tc>
          <w:tcPr>
            <w:tcW w:w="655" w:type="pct"/>
            <w:vMerge/>
            <w:vAlign w:val="center"/>
            <w:hideMark/>
          </w:tcPr>
          <w:p w14:paraId="66918980"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870" w:type="pct"/>
            <w:vMerge/>
            <w:vAlign w:val="center"/>
            <w:hideMark/>
          </w:tcPr>
          <w:p w14:paraId="7854D98D"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011" w:type="pct"/>
            <w:vMerge/>
            <w:vAlign w:val="center"/>
            <w:hideMark/>
          </w:tcPr>
          <w:p w14:paraId="6A2ADF32"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vMerge/>
            <w:vAlign w:val="center"/>
            <w:hideMark/>
          </w:tcPr>
          <w:p w14:paraId="09C16D70"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529" w:type="pct"/>
            <w:shd w:val="clear" w:color="auto" w:fill="auto"/>
            <w:vAlign w:val="center"/>
            <w:hideMark/>
          </w:tcPr>
          <w:p w14:paraId="5C902738"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-122,395</w:t>
            </w:r>
          </w:p>
        </w:tc>
      </w:tr>
    </w:tbl>
    <w:p w14:paraId="4F34DC80" w14:textId="77777777" w:rsidR="0001284F" w:rsidRPr="00FD7B0B" w:rsidRDefault="0001284F" w:rsidP="0001284F">
      <w:pPr>
        <w:spacing w:after="0" w:line="120" w:lineRule="auto"/>
        <w:ind w:firstLine="709"/>
        <w:contextualSpacing/>
        <w:jc w:val="both"/>
        <w:rPr>
          <w:rFonts w:ascii="Times New Roman" w:eastAsia="Times New Roman" w:hAnsi="Times New Roman"/>
          <w:sz w:val="28"/>
          <w:szCs w:val="28"/>
          <w:lang w:eastAsia="ru-RU"/>
        </w:rPr>
      </w:pPr>
    </w:p>
    <w:p w14:paraId="39FBF64A" w14:textId="4C2B32C1"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нарушение пункта 29 </w:t>
      </w:r>
      <w:r w:rsidR="00FA4F3E" w:rsidRPr="00FD7B0B">
        <w:rPr>
          <w:rFonts w:ascii="Times New Roman" w:eastAsia="Times New Roman" w:hAnsi="Times New Roman"/>
          <w:sz w:val="28"/>
          <w:szCs w:val="28"/>
          <w:lang w:eastAsia="ru-RU"/>
        </w:rPr>
        <w:t>Положения</w:t>
      </w:r>
      <w:r w:rsidRPr="00FD7B0B">
        <w:rPr>
          <w:rFonts w:ascii="Times New Roman" w:eastAsia="Times New Roman" w:hAnsi="Times New Roman"/>
          <w:sz w:val="28"/>
          <w:szCs w:val="28"/>
          <w:lang w:eastAsia="ru-RU"/>
        </w:rPr>
        <w:t xml:space="preserve"> №793-пп паспорт ГП № 19 в течение отчетного периода не приводился в соответствие с СБР с соблюдением установленного срока – не позднее 45 дней после внесения соответствующих изменений в СБР.</w:t>
      </w:r>
    </w:p>
    <w:p w14:paraId="131B6158"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приложению № 5 к пояснительной записке по ГП № 19 за 2024 год кассовые расходы областного бюджета составили в общей сумме 15 095,9 млн.руб. или 97,4 % к утвержденному плану на 2024 год (15 493,16).</w:t>
      </w:r>
    </w:p>
    <w:p w14:paraId="1C721E93" w14:textId="6CD962CB"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Исполнение по кодам вида расхода и ГРБС представлены в таблицах</w:t>
      </w:r>
      <w:r w:rsidR="00224CA2" w:rsidRPr="00FD7B0B">
        <w:rPr>
          <w:rFonts w:ascii="Times New Roman" w:eastAsia="Times New Roman" w:hAnsi="Times New Roman"/>
          <w:sz w:val="28"/>
          <w:szCs w:val="28"/>
          <w:lang w:eastAsia="ru-RU"/>
        </w:rPr>
        <w:t xml:space="preserve"> </w:t>
      </w:r>
      <w:r w:rsidR="001B07CB" w:rsidRPr="00FD7B0B">
        <w:rPr>
          <w:rFonts w:ascii="Times New Roman" w:eastAsia="Times New Roman" w:hAnsi="Times New Roman"/>
          <w:sz w:val="28"/>
          <w:szCs w:val="28"/>
          <w:lang w:eastAsia="ru-RU"/>
        </w:rPr>
        <w:t>197</w:t>
      </w:r>
      <w:r w:rsidRPr="00FD7B0B">
        <w:rPr>
          <w:rFonts w:ascii="Times New Roman" w:eastAsia="Times New Roman" w:hAnsi="Times New Roman"/>
          <w:sz w:val="28"/>
          <w:szCs w:val="28"/>
          <w:lang w:eastAsia="ru-RU"/>
        </w:rPr>
        <w:t>.</w:t>
      </w:r>
    </w:p>
    <w:p w14:paraId="1791D91E" w14:textId="77777777" w:rsidR="0001284F" w:rsidRPr="00FD7B0B" w:rsidRDefault="0001284F" w:rsidP="00224CA2">
      <w:pPr>
        <w:spacing w:after="0" w:line="240" w:lineRule="auto"/>
        <w:ind w:firstLine="709"/>
        <w:contextualSpacing/>
        <w:jc w:val="both"/>
        <w:rPr>
          <w:rFonts w:ascii="Times New Roman" w:eastAsia="Times New Roman" w:hAnsi="Times New Roman"/>
          <w:sz w:val="28"/>
          <w:szCs w:val="28"/>
          <w:lang w:eastAsia="ru-RU"/>
        </w:rPr>
      </w:pPr>
    </w:p>
    <w:p w14:paraId="514318C2" w14:textId="77777777" w:rsidR="0001284F" w:rsidRPr="00FD7B0B" w:rsidRDefault="0001284F" w:rsidP="0001284F">
      <w:pPr>
        <w:pStyle w:val="aff0"/>
        <w:keepNext/>
        <w:spacing w:after="0" w:line="240" w:lineRule="auto"/>
        <w:jc w:val="both"/>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197</w:t>
      </w:r>
      <w:r w:rsidRPr="00FD7B0B">
        <w:rPr>
          <w:rFonts w:ascii="Times New Roman" w:hAnsi="Times New Roman"/>
          <w:b w:val="0"/>
          <w:sz w:val="24"/>
          <w:szCs w:val="24"/>
        </w:rPr>
        <w:fldChar w:fldCharType="end"/>
      </w:r>
      <w:r w:rsidRPr="00FD7B0B">
        <w:rPr>
          <w:rFonts w:ascii="Times New Roman" w:hAnsi="Times New Roman"/>
          <w:b w:val="0"/>
          <w:sz w:val="24"/>
          <w:szCs w:val="24"/>
        </w:rPr>
        <w:t>. Исполнение бюджетных ассигнований в разрезе вида расходов, млн.руб.</w:t>
      </w: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850"/>
        <w:gridCol w:w="1560"/>
        <w:gridCol w:w="567"/>
        <w:gridCol w:w="425"/>
        <w:gridCol w:w="1276"/>
        <w:gridCol w:w="283"/>
        <w:gridCol w:w="1559"/>
        <w:gridCol w:w="1134"/>
      </w:tblGrid>
      <w:tr w:rsidR="00FD7B0B" w:rsidRPr="00FD7B0B" w14:paraId="49EB1E71" w14:textId="77777777" w:rsidTr="00224CA2">
        <w:trPr>
          <w:trHeight w:val="226"/>
          <w:tblHeader/>
        </w:trPr>
        <w:tc>
          <w:tcPr>
            <w:tcW w:w="2850" w:type="dxa"/>
            <w:shd w:val="clear" w:color="000000" w:fill="FFFFFF"/>
            <w:vAlign w:val="center"/>
            <w:hideMark/>
          </w:tcPr>
          <w:p w14:paraId="1619A18C"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ГРБС</w:t>
            </w:r>
          </w:p>
        </w:tc>
        <w:tc>
          <w:tcPr>
            <w:tcW w:w="1560" w:type="dxa"/>
            <w:shd w:val="clear" w:color="000000" w:fill="FFFFFF"/>
            <w:vAlign w:val="center"/>
            <w:hideMark/>
          </w:tcPr>
          <w:p w14:paraId="70572DE1"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Структурный элемент</w:t>
            </w:r>
          </w:p>
        </w:tc>
        <w:tc>
          <w:tcPr>
            <w:tcW w:w="992" w:type="dxa"/>
            <w:gridSpan w:val="2"/>
            <w:shd w:val="clear" w:color="000000" w:fill="FFFFFF"/>
            <w:vAlign w:val="center"/>
            <w:hideMark/>
          </w:tcPr>
          <w:p w14:paraId="5B880F84"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Вид</w:t>
            </w:r>
            <w:r w:rsidRPr="00FD7B0B">
              <w:rPr>
                <w:rFonts w:ascii="Times New Roman" w:eastAsia="Times New Roman" w:hAnsi="Times New Roman" w:cs="Times New Roman"/>
                <w:sz w:val="18"/>
                <w:szCs w:val="18"/>
                <w:lang w:eastAsia="ru-RU"/>
              </w:rPr>
              <w:br/>
              <w:t>расходов</w:t>
            </w:r>
          </w:p>
        </w:tc>
        <w:tc>
          <w:tcPr>
            <w:tcW w:w="1559" w:type="dxa"/>
            <w:gridSpan w:val="2"/>
            <w:shd w:val="clear" w:color="000000" w:fill="FFFFFF"/>
            <w:vAlign w:val="center"/>
            <w:hideMark/>
          </w:tcPr>
          <w:p w14:paraId="0DC821AF"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СБР на 31.12.2024</w:t>
            </w:r>
          </w:p>
        </w:tc>
        <w:tc>
          <w:tcPr>
            <w:tcW w:w="1559" w:type="dxa"/>
            <w:shd w:val="clear" w:color="000000" w:fill="FFFFFF"/>
            <w:vAlign w:val="center"/>
            <w:hideMark/>
          </w:tcPr>
          <w:p w14:paraId="51C0EB2C"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 на 31.12.2024</w:t>
            </w:r>
          </w:p>
        </w:tc>
        <w:tc>
          <w:tcPr>
            <w:tcW w:w="1134" w:type="dxa"/>
            <w:shd w:val="clear" w:color="auto" w:fill="auto"/>
            <w:vAlign w:val="center"/>
            <w:hideMark/>
          </w:tcPr>
          <w:p w14:paraId="710AE474"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 к СБР</w:t>
            </w:r>
          </w:p>
        </w:tc>
      </w:tr>
      <w:tr w:rsidR="00FD7B0B" w:rsidRPr="00FD7B0B" w14:paraId="3B785028" w14:textId="77777777" w:rsidTr="000164F8">
        <w:trPr>
          <w:trHeight w:val="163"/>
        </w:trPr>
        <w:tc>
          <w:tcPr>
            <w:tcW w:w="2850" w:type="dxa"/>
            <w:shd w:val="clear" w:color="auto" w:fill="auto"/>
            <w:vAlign w:val="center"/>
            <w:hideMark/>
          </w:tcPr>
          <w:p w14:paraId="5BFBA8E5"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минздрав АО</w:t>
            </w:r>
          </w:p>
        </w:tc>
        <w:tc>
          <w:tcPr>
            <w:tcW w:w="1560" w:type="dxa"/>
            <w:shd w:val="clear" w:color="auto" w:fill="auto"/>
            <w:vAlign w:val="center"/>
            <w:hideMark/>
          </w:tcPr>
          <w:p w14:paraId="608B3CD8"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7</w:t>
            </w:r>
          </w:p>
        </w:tc>
        <w:tc>
          <w:tcPr>
            <w:tcW w:w="992" w:type="dxa"/>
            <w:gridSpan w:val="2"/>
            <w:shd w:val="clear" w:color="auto" w:fill="auto"/>
            <w:vAlign w:val="center"/>
            <w:hideMark/>
          </w:tcPr>
          <w:p w14:paraId="58AA1AA3"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559" w:type="dxa"/>
            <w:gridSpan w:val="2"/>
            <w:shd w:val="clear" w:color="auto" w:fill="auto"/>
            <w:vAlign w:val="center"/>
            <w:hideMark/>
          </w:tcPr>
          <w:p w14:paraId="10CCB5D6"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24,7</w:t>
            </w:r>
          </w:p>
        </w:tc>
        <w:tc>
          <w:tcPr>
            <w:tcW w:w="1559" w:type="dxa"/>
            <w:shd w:val="clear" w:color="auto" w:fill="auto"/>
            <w:vAlign w:val="center"/>
            <w:hideMark/>
          </w:tcPr>
          <w:p w14:paraId="18688552"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24,7</w:t>
            </w:r>
          </w:p>
        </w:tc>
        <w:tc>
          <w:tcPr>
            <w:tcW w:w="1134" w:type="dxa"/>
            <w:shd w:val="clear" w:color="auto" w:fill="auto"/>
            <w:vAlign w:val="center"/>
            <w:hideMark/>
          </w:tcPr>
          <w:p w14:paraId="7CCF6590"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5F5498AC" w14:textId="77777777" w:rsidTr="000164F8">
        <w:trPr>
          <w:trHeight w:val="153"/>
        </w:trPr>
        <w:tc>
          <w:tcPr>
            <w:tcW w:w="2850" w:type="dxa"/>
            <w:shd w:val="clear" w:color="auto" w:fill="auto"/>
            <w:vAlign w:val="center"/>
            <w:hideMark/>
          </w:tcPr>
          <w:p w14:paraId="11A7D857"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минсвязь АО</w:t>
            </w:r>
          </w:p>
        </w:tc>
        <w:tc>
          <w:tcPr>
            <w:tcW w:w="1560" w:type="dxa"/>
            <w:shd w:val="clear" w:color="auto" w:fill="auto"/>
            <w:vAlign w:val="center"/>
            <w:hideMark/>
          </w:tcPr>
          <w:p w14:paraId="6F2331DB"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1</w:t>
            </w:r>
          </w:p>
        </w:tc>
        <w:tc>
          <w:tcPr>
            <w:tcW w:w="992" w:type="dxa"/>
            <w:gridSpan w:val="2"/>
            <w:shd w:val="clear" w:color="auto" w:fill="auto"/>
            <w:vAlign w:val="center"/>
            <w:hideMark/>
          </w:tcPr>
          <w:p w14:paraId="343C9DDD"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559" w:type="dxa"/>
            <w:gridSpan w:val="2"/>
            <w:shd w:val="clear" w:color="auto" w:fill="auto"/>
            <w:vAlign w:val="center"/>
            <w:hideMark/>
          </w:tcPr>
          <w:p w14:paraId="1480F224"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89,6</w:t>
            </w:r>
          </w:p>
        </w:tc>
        <w:tc>
          <w:tcPr>
            <w:tcW w:w="1559" w:type="dxa"/>
            <w:shd w:val="clear" w:color="auto" w:fill="auto"/>
            <w:vAlign w:val="center"/>
            <w:hideMark/>
          </w:tcPr>
          <w:p w14:paraId="31D6142A"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89,6</w:t>
            </w:r>
          </w:p>
        </w:tc>
        <w:tc>
          <w:tcPr>
            <w:tcW w:w="1134" w:type="dxa"/>
            <w:shd w:val="clear" w:color="auto" w:fill="auto"/>
            <w:vAlign w:val="center"/>
            <w:hideMark/>
          </w:tcPr>
          <w:p w14:paraId="7CD054DD"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248097BC" w14:textId="77777777" w:rsidTr="000164F8">
        <w:trPr>
          <w:trHeight w:val="143"/>
        </w:trPr>
        <w:tc>
          <w:tcPr>
            <w:tcW w:w="2850" w:type="dxa"/>
            <w:shd w:val="clear" w:color="auto" w:fill="auto"/>
            <w:vAlign w:val="center"/>
            <w:hideMark/>
          </w:tcPr>
          <w:p w14:paraId="4B71D806"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Архмолодежь</w:t>
            </w:r>
          </w:p>
        </w:tc>
        <w:tc>
          <w:tcPr>
            <w:tcW w:w="1560" w:type="dxa"/>
            <w:shd w:val="clear" w:color="auto" w:fill="auto"/>
            <w:vAlign w:val="center"/>
            <w:hideMark/>
          </w:tcPr>
          <w:p w14:paraId="69793A57"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7</w:t>
            </w:r>
          </w:p>
        </w:tc>
        <w:tc>
          <w:tcPr>
            <w:tcW w:w="992" w:type="dxa"/>
            <w:gridSpan w:val="2"/>
            <w:shd w:val="clear" w:color="auto" w:fill="auto"/>
            <w:vAlign w:val="center"/>
            <w:hideMark/>
          </w:tcPr>
          <w:p w14:paraId="6AC0057A"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559" w:type="dxa"/>
            <w:gridSpan w:val="2"/>
            <w:shd w:val="clear" w:color="auto" w:fill="auto"/>
            <w:vAlign w:val="center"/>
            <w:hideMark/>
          </w:tcPr>
          <w:p w14:paraId="639F0C69"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1,8</w:t>
            </w:r>
          </w:p>
        </w:tc>
        <w:tc>
          <w:tcPr>
            <w:tcW w:w="1559" w:type="dxa"/>
            <w:shd w:val="clear" w:color="auto" w:fill="auto"/>
            <w:vAlign w:val="center"/>
            <w:hideMark/>
          </w:tcPr>
          <w:p w14:paraId="67ABF1FB"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1,8</w:t>
            </w:r>
          </w:p>
        </w:tc>
        <w:tc>
          <w:tcPr>
            <w:tcW w:w="1134" w:type="dxa"/>
            <w:shd w:val="clear" w:color="auto" w:fill="auto"/>
            <w:vAlign w:val="center"/>
            <w:hideMark/>
          </w:tcPr>
          <w:p w14:paraId="4A6F2238"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6A35F417" w14:textId="77777777" w:rsidTr="000164F8">
        <w:trPr>
          <w:trHeight w:val="118"/>
        </w:trPr>
        <w:tc>
          <w:tcPr>
            <w:tcW w:w="2850" w:type="dxa"/>
            <w:shd w:val="clear" w:color="auto" w:fill="auto"/>
            <w:vAlign w:val="center"/>
            <w:hideMark/>
          </w:tcPr>
          <w:p w14:paraId="7449D585"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администрация ГАО и ПАО</w:t>
            </w:r>
          </w:p>
        </w:tc>
        <w:tc>
          <w:tcPr>
            <w:tcW w:w="1560" w:type="dxa"/>
            <w:shd w:val="clear" w:color="auto" w:fill="auto"/>
            <w:vAlign w:val="center"/>
            <w:hideMark/>
          </w:tcPr>
          <w:p w14:paraId="4F91416E"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7</w:t>
            </w:r>
          </w:p>
        </w:tc>
        <w:tc>
          <w:tcPr>
            <w:tcW w:w="992" w:type="dxa"/>
            <w:gridSpan w:val="2"/>
            <w:shd w:val="clear" w:color="auto" w:fill="auto"/>
            <w:vAlign w:val="center"/>
            <w:hideMark/>
          </w:tcPr>
          <w:p w14:paraId="12880B61"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559" w:type="dxa"/>
            <w:gridSpan w:val="2"/>
            <w:shd w:val="clear" w:color="auto" w:fill="auto"/>
            <w:vAlign w:val="center"/>
            <w:hideMark/>
          </w:tcPr>
          <w:p w14:paraId="082949BB"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10,1</w:t>
            </w:r>
          </w:p>
        </w:tc>
        <w:tc>
          <w:tcPr>
            <w:tcW w:w="1559" w:type="dxa"/>
            <w:shd w:val="clear" w:color="auto" w:fill="auto"/>
            <w:vAlign w:val="center"/>
            <w:hideMark/>
          </w:tcPr>
          <w:p w14:paraId="32FE34F8"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10,1</w:t>
            </w:r>
          </w:p>
        </w:tc>
        <w:tc>
          <w:tcPr>
            <w:tcW w:w="1134" w:type="dxa"/>
            <w:shd w:val="clear" w:color="auto" w:fill="auto"/>
            <w:vAlign w:val="center"/>
            <w:hideMark/>
          </w:tcPr>
          <w:p w14:paraId="5D42E41C"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4165820B" w14:textId="77777777" w:rsidTr="000164F8">
        <w:trPr>
          <w:trHeight w:val="95"/>
        </w:trPr>
        <w:tc>
          <w:tcPr>
            <w:tcW w:w="2850" w:type="dxa"/>
            <w:shd w:val="clear" w:color="auto" w:fill="auto"/>
            <w:vAlign w:val="center"/>
            <w:hideMark/>
          </w:tcPr>
          <w:p w14:paraId="32E2021A"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237780EE"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 № 375-р/1</w:t>
            </w:r>
          </w:p>
        </w:tc>
        <w:tc>
          <w:tcPr>
            <w:tcW w:w="992" w:type="dxa"/>
            <w:gridSpan w:val="2"/>
            <w:shd w:val="clear" w:color="auto" w:fill="auto"/>
            <w:vAlign w:val="center"/>
            <w:hideMark/>
          </w:tcPr>
          <w:p w14:paraId="3A99EA00"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559" w:type="dxa"/>
            <w:gridSpan w:val="2"/>
            <w:shd w:val="clear" w:color="auto" w:fill="auto"/>
            <w:vAlign w:val="center"/>
            <w:hideMark/>
          </w:tcPr>
          <w:p w14:paraId="3DB2DD0A"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523,9</w:t>
            </w:r>
          </w:p>
        </w:tc>
        <w:tc>
          <w:tcPr>
            <w:tcW w:w="1559" w:type="dxa"/>
            <w:shd w:val="clear" w:color="auto" w:fill="auto"/>
            <w:vAlign w:val="center"/>
            <w:hideMark/>
          </w:tcPr>
          <w:p w14:paraId="11D696B6"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465,3</w:t>
            </w:r>
          </w:p>
        </w:tc>
        <w:tc>
          <w:tcPr>
            <w:tcW w:w="1134" w:type="dxa"/>
            <w:shd w:val="clear" w:color="auto" w:fill="auto"/>
            <w:vAlign w:val="center"/>
            <w:hideMark/>
          </w:tcPr>
          <w:p w14:paraId="706081EE"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88,8</w:t>
            </w:r>
          </w:p>
        </w:tc>
      </w:tr>
      <w:tr w:rsidR="00FD7B0B" w:rsidRPr="00FD7B0B" w14:paraId="2ACBC9DC" w14:textId="77777777" w:rsidTr="000164F8">
        <w:trPr>
          <w:trHeight w:val="47"/>
        </w:trPr>
        <w:tc>
          <w:tcPr>
            <w:tcW w:w="2850" w:type="dxa"/>
            <w:vMerge w:val="restart"/>
            <w:shd w:val="clear" w:color="auto" w:fill="auto"/>
            <w:vAlign w:val="center"/>
            <w:hideMark/>
          </w:tcPr>
          <w:p w14:paraId="6E3AC020"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минобразования АО</w:t>
            </w:r>
          </w:p>
        </w:tc>
        <w:tc>
          <w:tcPr>
            <w:tcW w:w="1560" w:type="dxa"/>
            <w:vMerge w:val="restart"/>
            <w:shd w:val="clear" w:color="auto" w:fill="auto"/>
            <w:vAlign w:val="center"/>
            <w:hideMark/>
          </w:tcPr>
          <w:p w14:paraId="5EE98D8D"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7</w:t>
            </w:r>
          </w:p>
        </w:tc>
        <w:tc>
          <w:tcPr>
            <w:tcW w:w="992" w:type="dxa"/>
            <w:gridSpan w:val="2"/>
            <w:shd w:val="clear" w:color="auto" w:fill="auto"/>
            <w:vAlign w:val="center"/>
            <w:hideMark/>
          </w:tcPr>
          <w:p w14:paraId="40E832DD"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559" w:type="dxa"/>
            <w:gridSpan w:val="2"/>
            <w:shd w:val="clear" w:color="auto" w:fill="auto"/>
            <w:vAlign w:val="center"/>
            <w:hideMark/>
          </w:tcPr>
          <w:p w14:paraId="26F41D8E"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w:t>
            </w:r>
          </w:p>
        </w:tc>
        <w:tc>
          <w:tcPr>
            <w:tcW w:w="1559" w:type="dxa"/>
            <w:shd w:val="clear" w:color="auto" w:fill="auto"/>
            <w:vAlign w:val="center"/>
            <w:hideMark/>
          </w:tcPr>
          <w:p w14:paraId="7E1E9F2F"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w:t>
            </w:r>
          </w:p>
        </w:tc>
        <w:tc>
          <w:tcPr>
            <w:tcW w:w="1134" w:type="dxa"/>
            <w:shd w:val="clear" w:color="auto" w:fill="auto"/>
            <w:vAlign w:val="center"/>
            <w:hideMark/>
          </w:tcPr>
          <w:p w14:paraId="77CDBCAA"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5A0234BD" w14:textId="77777777" w:rsidTr="000164F8">
        <w:trPr>
          <w:trHeight w:val="42"/>
        </w:trPr>
        <w:tc>
          <w:tcPr>
            <w:tcW w:w="2850" w:type="dxa"/>
            <w:vMerge/>
            <w:vAlign w:val="center"/>
            <w:hideMark/>
          </w:tcPr>
          <w:p w14:paraId="670BB963"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560" w:type="dxa"/>
            <w:vMerge/>
            <w:vAlign w:val="center"/>
            <w:hideMark/>
          </w:tcPr>
          <w:p w14:paraId="47D3FB35" w14:textId="77777777" w:rsidR="0001284F" w:rsidRPr="00FD7B0B" w:rsidRDefault="0001284F" w:rsidP="000164F8">
            <w:pPr>
              <w:spacing w:after="0" w:line="240" w:lineRule="auto"/>
              <w:rPr>
                <w:rFonts w:ascii="Times New Roman" w:eastAsia="Times New Roman" w:hAnsi="Times New Roman" w:cs="Times New Roman"/>
                <w:sz w:val="18"/>
                <w:szCs w:val="18"/>
                <w:lang w:eastAsia="ru-RU"/>
              </w:rPr>
            </w:pPr>
          </w:p>
        </w:tc>
        <w:tc>
          <w:tcPr>
            <w:tcW w:w="992" w:type="dxa"/>
            <w:gridSpan w:val="2"/>
            <w:shd w:val="clear" w:color="auto" w:fill="auto"/>
            <w:vAlign w:val="center"/>
            <w:hideMark/>
          </w:tcPr>
          <w:p w14:paraId="2A58FDD7"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w:t>
            </w:r>
          </w:p>
        </w:tc>
        <w:tc>
          <w:tcPr>
            <w:tcW w:w="1559" w:type="dxa"/>
            <w:gridSpan w:val="2"/>
            <w:shd w:val="clear" w:color="auto" w:fill="auto"/>
            <w:vAlign w:val="center"/>
            <w:hideMark/>
          </w:tcPr>
          <w:p w14:paraId="330EF5ED"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9,2</w:t>
            </w:r>
          </w:p>
        </w:tc>
        <w:tc>
          <w:tcPr>
            <w:tcW w:w="1559" w:type="dxa"/>
            <w:shd w:val="clear" w:color="auto" w:fill="auto"/>
            <w:vAlign w:val="center"/>
            <w:hideMark/>
          </w:tcPr>
          <w:p w14:paraId="5FFD5040"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8,8</w:t>
            </w:r>
          </w:p>
        </w:tc>
        <w:tc>
          <w:tcPr>
            <w:tcW w:w="1134" w:type="dxa"/>
            <w:shd w:val="clear" w:color="auto" w:fill="auto"/>
            <w:vAlign w:val="center"/>
            <w:hideMark/>
          </w:tcPr>
          <w:p w14:paraId="13FC8836"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96,6</w:t>
            </w:r>
          </w:p>
        </w:tc>
      </w:tr>
      <w:tr w:rsidR="00FD7B0B" w:rsidRPr="00FD7B0B" w14:paraId="413BA2AF" w14:textId="77777777" w:rsidTr="000164F8">
        <w:trPr>
          <w:trHeight w:val="155"/>
        </w:trPr>
        <w:tc>
          <w:tcPr>
            <w:tcW w:w="2850" w:type="dxa"/>
            <w:shd w:val="clear" w:color="auto" w:fill="auto"/>
            <w:vAlign w:val="center"/>
            <w:hideMark/>
          </w:tcPr>
          <w:p w14:paraId="21AE2E8C"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323C7C50"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 № 375-р/1</w:t>
            </w:r>
          </w:p>
        </w:tc>
        <w:tc>
          <w:tcPr>
            <w:tcW w:w="992" w:type="dxa"/>
            <w:gridSpan w:val="2"/>
            <w:shd w:val="clear" w:color="auto" w:fill="auto"/>
            <w:vAlign w:val="center"/>
            <w:hideMark/>
          </w:tcPr>
          <w:p w14:paraId="5579DF87"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c>
          <w:tcPr>
            <w:tcW w:w="1559" w:type="dxa"/>
            <w:gridSpan w:val="2"/>
            <w:shd w:val="clear" w:color="auto" w:fill="auto"/>
            <w:vAlign w:val="center"/>
            <w:hideMark/>
          </w:tcPr>
          <w:p w14:paraId="3F812F69"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252,6</w:t>
            </w:r>
          </w:p>
        </w:tc>
        <w:tc>
          <w:tcPr>
            <w:tcW w:w="1559" w:type="dxa"/>
            <w:shd w:val="clear" w:color="auto" w:fill="auto"/>
            <w:vAlign w:val="center"/>
            <w:hideMark/>
          </w:tcPr>
          <w:p w14:paraId="5A04A22A"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251,6</w:t>
            </w:r>
          </w:p>
        </w:tc>
        <w:tc>
          <w:tcPr>
            <w:tcW w:w="1134" w:type="dxa"/>
            <w:shd w:val="clear" w:color="auto" w:fill="auto"/>
            <w:vAlign w:val="center"/>
            <w:hideMark/>
          </w:tcPr>
          <w:p w14:paraId="7ECE08FC"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99,6</w:t>
            </w:r>
          </w:p>
        </w:tc>
      </w:tr>
      <w:tr w:rsidR="00FD7B0B" w:rsidRPr="00FD7B0B" w14:paraId="399648C5" w14:textId="77777777" w:rsidTr="000164F8">
        <w:trPr>
          <w:trHeight w:val="144"/>
        </w:trPr>
        <w:tc>
          <w:tcPr>
            <w:tcW w:w="2850" w:type="dxa"/>
            <w:shd w:val="clear" w:color="auto" w:fill="auto"/>
            <w:vAlign w:val="center"/>
            <w:hideMark/>
          </w:tcPr>
          <w:p w14:paraId="27DCE639"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6078D998"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 № 375-р/1</w:t>
            </w:r>
          </w:p>
        </w:tc>
        <w:tc>
          <w:tcPr>
            <w:tcW w:w="992" w:type="dxa"/>
            <w:gridSpan w:val="2"/>
            <w:shd w:val="clear" w:color="auto" w:fill="auto"/>
            <w:vAlign w:val="center"/>
            <w:hideMark/>
          </w:tcPr>
          <w:p w14:paraId="17408199"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tc>
        <w:tc>
          <w:tcPr>
            <w:tcW w:w="1559" w:type="dxa"/>
            <w:gridSpan w:val="2"/>
            <w:shd w:val="clear" w:color="auto" w:fill="auto"/>
            <w:vAlign w:val="center"/>
            <w:hideMark/>
          </w:tcPr>
          <w:p w14:paraId="20B89B35"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359,7</w:t>
            </w:r>
          </w:p>
        </w:tc>
        <w:tc>
          <w:tcPr>
            <w:tcW w:w="1559" w:type="dxa"/>
            <w:shd w:val="clear" w:color="auto" w:fill="auto"/>
            <w:vAlign w:val="center"/>
            <w:hideMark/>
          </w:tcPr>
          <w:p w14:paraId="652704D0"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290,2</w:t>
            </w:r>
          </w:p>
        </w:tc>
        <w:tc>
          <w:tcPr>
            <w:tcW w:w="1134" w:type="dxa"/>
            <w:shd w:val="clear" w:color="auto" w:fill="auto"/>
            <w:vAlign w:val="center"/>
            <w:hideMark/>
          </w:tcPr>
          <w:p w14:paraId="24F0811F"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80,7</w:t>
            </w:r>
          </w:p>
        </w:tc>
      </w:tr>
      <w:tr w:rsidR="00FD7B0B" w:rsidRPr="00FD7B0B" w14:paraId="0AE57B62" w14:textId="77777777" w:rsidTr="000164F8">
        <w:trPr>
          <w:trHeight w:val="121"/>
        </w:trPr>
        <w:tc>
          <w:tcPr>
            <w:tcW w:w="2850" w:type="dxa"/>
            <w:shd w:val="clear" w:color="auto" w:fill="auto"/>
            <w:vAlign w:val="center"/>
            <w:hideMark/>
          </w:tcPr>
          <w:p w14:paraId="5572847B"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25515780"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9</w:t>
            </w:r>
          </w:p>
        </w:tc>
        <w:tc>
          <w:tcPr>
            <w:tcW w:w="992" w:type="dxa"/>
            <w:gridSpan w:val="2"/>
            <w:shd w:val="clear" w:color="auto" w:fill="auto"/>
            <w:vAlign w:val="center"/>
            <w:hideMark/>
          </w:tcPr>
          <w:p w14:paraId="3C9683CB"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tc>
        <w:tc>
          <w:tcPr>
            <w:tcW w:w="1559" w:type="dxa"/>
            <w:gridSpan w:val="2"/>
            <w:shd w:val="clear" w:color="auto" w:fill="auto"/>
            <w:vAlign w:val="center"/>
            <w:hideMark/>
          </w:tcPr>
          <w:p w14:paraId="754AE8B8"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6 391,9</w:t>
            </w:r>
          </w:p>
        </w:tc>
        <w:tc>
          <w:tcPr>
            <w:tcW w:w="1559" w:type="dxa"/>
            <w:shd w:val="clear" w:color="auto" w:fill="auto"/>
            <w:vAlign w:val="center"/>
            <w:hideMark/>
          </w:tcPr>
          <w:p w14:paraId="55CEE336"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6 349,9</w:t>
            </w:r>
          </w:p>
        </w:tc>
        <w:tc>
          <w:tcPr>
            <w:tcW w:w="1134" w:type="dxa"/>
            <w:shd w:val="clear" w:color="auto" w:fill="auto"/>
            <w:vAlign w:val="center"/>
            <w:hideMark/>
          </w:tcPr>
          <w:p w14:paraId="7CEF7EEE"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99,3</w:t>
            </w:r>
          </w:p>
        </w:tc>
      </w:tr>
      <w:tr w:rsidR="00FD7B0B" w:rsidRPr="00FD7B0B" w14:paraId="7F71F9A9" w14:textId="77777777" w:rsidTr="000164F8">
        <w:trPr>
          <w:trHeight w:val="97"/>
        </w:trPr>
        <w:tc>
          <w:tcPr>
            <w:tcW w:w="2850" w:type="dxa"/>
            <w:shd w:val="clear" w:color="auto" w:fill="auto"/>
            <w:vAlign w:val="center"/>
            <w:hideMark/>
          </w:tcPr>
          <w:p w14:paraId="20BB0917"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42586A75"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 № 375-р/3</w:t>
            </w:r>
          </w:p>
        </w:tc>
        <w:tc>
          <w:tcPr>
            <w:tcW w:w="992" w:type="dxa"/>
            <w:gridSpan w:val="2"/>
            <w:shd w:val="clear" w:color="auto" w:fill="auto"/>
            <w:vAlign w:val="center"/>
            <w:hideMark/>
          </w:tcPr>
          <w:p w14:paraId="54F8DFB2"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tc>
        <w:tc>
          <w:tcPr>
            <w:tcW w:w="1559" w:type="dxa"/>
            <w:gridSpan w:val="2"/>
            <w:shd w:val="clear" w:color="auto" w:fill="auto"/>
            <w:vAlign w:val="center"/>
            <w:hideMark/>
          </w:tcPr>
          <w:p w14:paraId="6AAA9DA8"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3 957,0</w:t>
            </w:r>
          </w:p>
        </w:tc>
        <w:tc>
          <w:tcPr>
            <w:tcW w:w="1559" w:type="dxa"/>
            <w:shd w:val="clear" w:color="auto" w:fill="auto"/>
            <w:vAlign w:val="center"/>
            <w:hideMark/>
          </w:tcPr>
          <w:p w14:paraId="2E6F28BF"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3 763,7</w:t>
            </w:r>
          </w:p>
        </w:tc>
        <w:tc>
          <w:tcPr>
            <w:tcW w:w="1134" w:type="dxa"/>
            <w:shd w:val="clear" w:color="auto" w:fill="auto"/>
            <w:vAlign w:val="center"/>
            <w:hideMark/>
          </w:tcPr>
          <w:p w14:paraId="797B04BF"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95,1</w:t>
            </w:r>
          </w:p>
        </w:tc>
      </w:tr>
      <w:tr w:rsidR="00FD7B0B" w:rsidRPr="00FD7B0B" w14:paraId="4D286D47" w14:textId="77777777" w:rsidTr="000164F8">
        <w:trPr>
          <w:trHeight w:val="215"/>
        </w:trPr>
        <w:tc>
          <w:tcPr>
            <w:tcW w:w="2850" w:type="dxa"/>
            <w:shd w:val="clear" w:color="auto" w:fill="auto"/>
            <w:vAlign w:val="center"/>
            <w:hideMark/>
          </w:tcPr>
          <w:p w14:paraId="5283C659"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минтранс АО</w:t>
            </w:r>
          </w:p>
        </w:tc>
        <w:tc>
          <w:tcPr>
            <w:tcW w:w="1560" w:type="dxa"/>
            <w:shd w:val="clear" w:color="auto" w:fill="auto"/>
            <w:vAlign w:val="center"/>
            <w:hideMark/>
          </w:tcPr>
          <w:p w14:paraId="245D2B36"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 № 375-р/1</w:t>
            </w:r>
          </w:p>
        </w:tc>
        <w:tc>
          <w:tcPr>
            <w:tcW w:w="992" w:type="dxa"/>
            <w:gridSpan w:val="2"/>
            <w:shd w:val="clear" w:color="auto" w:fill="auto"/>
            <w:vAlign w:val="center"/>
            <w:hideMark/>
          </w:tcPr>
          <w:p w14:paraId="254F7928"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300</w:t>
            </w:r>
          </w:p>
        </w:tc>
        <w:tc>
          <w:tcPr>
            <w:tcW w:w="1559" w:type="dxa"/>
            <w:gridSpan w:val="2"/>
            <w:shd w:val="clear" w:color="auto" w:fill="auto"/>
            <w:vAlign w:val="center"/>
            <w:hideMark/>
          </w:tcPr>
          <w:p w14:paraId="74E7B265"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0,1</w:t>
            </w:r>
          </w:p>
        </w:tc>
        <w:tc>
          <w:tcPr>
            <w:tcW w:w="1559" w:type="dxa"/>
            <w:shd w:val="clear" w:color="auto" w:fill="auto"/>
            <w:vAlign w:val="center"/>
            <w:hideMark/>
          </w:tcPr>
          <w:p w14:paraId="77B3B5BD"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0,07</w:t>
            </w:r>
          </w:p>
        </w:tc>
        <w:tc>
          <w:tcPr>
            <w:tcW w:w="1134" w:type="dxa"/>
            <w:shd w:val="clear" w:color="auto" w:fill="auto"/>
            <w:vAlign w:val="center"/>
            <w:hideMark/>
          </w:tcPr>
          <w:p w14:paraId="445006FA"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56,0</w:t>
            </w:r>
          </w:p>
        </w:tc>
      </w:tr>
      <w:tr w:rsidR="00FD7B0B" w:rsidRPr="00FD7B0B" w14:paraId="0CA40230" w14:textId="77777777" w:rsidTr="000164F8">
        <w:trPr>
          <w:trHeight w:val="63"/>
        </w:trPr>
        <w:tc>
          <w:tcPr>
            <w:tcW w:w="2850" w:type="dxa"/>
            <w:shd w:val="clear" w:color="auto" w:fill="auto"/>
            <w:vAlign w:val="center"/>
            <w:hideMark/>
          </w:tcPr>
          <w:p w14:paraId="22F50912"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2D69CDEF"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 № 375-р/2</w:t>
            </w:r>
          </w:p>
        </w:tc>
        <w:tc>
          <w:tcPr>
            <w:tcW w:w="992" w:type="dxa"/>
            <w:gridSpan w:val="2"/>
            <w:shd w:val="clear" w:color="auto" w:fill="auto"/>
            <w:vAlign w:val="center"/>
            <w:hideMark/>
          </w:tcPr>
          <w:p w14:paraId="4F0E0DDC"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w:t>
            </w:r>
          </w:p>
        </w:tc>
        <w:tc>
          <w:tcPr>
            <w:tcW w:w="1559" w:type="dxa"/>
            <w:gridSpan w:val="2"/>
            <w:shd w:val="clear" w:color="auto" w:fill="auto"/>
            <w:vAlign w:val="center"/>
            <w:hideMark/>
          </w:tcPr>
          <w:p w14:paraId="69368810"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38,0</w:t>
            </w:r>
          </w:p>
        </w:tc>
        <w:tc>
          <w:tcPr>
            <w:tcW w:w="1559" w:type="dxa"/>
            <w:shd w:val="clear" w:color="auto" w:fill="auto"/>
            <w:vAlign w:val="center"/>
            <w:hideMark/>
          </w:tcPr>
          <w:p w14:paraId="6C0EB12A"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30,8</w:t>
            </w:r>
          </w:p>
        </w:tc>
        <w:tc>
          <w:tcPr>
            <w:tcW w:w="1134" w:type="dxa"/>
            <w:shd w:val="clear" w:color="auto" w:fill="auto"/>
            <w:vAlign w:val="center"/>
            <w:hideMark/>
          </w:tcPr>
          <w:p w14:paraId="0AAF92EB"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81,1</w:t>
            </w:r>
          </w:p>
        </w:tc>
      </w:tr>
      <w:tr w:rsidR="00FD7B0B" w:rsidRPr="00FD7B0B" w14:paraId="489EE069" w14:textId="77777777" w:rsidTr="000164F8">
        <w:trPr>
          <w:trHeight w:val="181"/>
        </w:trPr>
        <w:tc>
          <w:tcPr>
            <w:tcW w:w="2850" w:type="dxa"/>
            <w:shd w:val="clear" w:color="auto" w:fill="auto"/>
            <w:vAlign w:val="center"/>
            <w:hideMark/>
          </w:tcPr>
          <w:p w14:paraId="0AF4A37D"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6630A0CA"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 № 375-р/1</w:t>
            </w:r>
          </w:p>
        </w:tc>
        <w:tc>
          <w:tcPr>
            <w:tcW w:w="992" w:type="dxa"/>
            <w:gridSpan w:val="2"/>
            <w:shd w:val="clear" w:color="auto" w:fill="auto"/>
            <w:vAlign w:val="center"/>
            <w:hideMark/>
          </w:tcPr>
          <w:p w14:paraId="72954FEE"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w:t>
            </w:r>
          </w:p>
        </w:tc>
        <w:tc>
          <w:tcPr>
            <w:tcW w:w="1559" w:type="dxa"/>
            <w:gridSpan w:val="2"/>
            <w:shd w:val="clear" w:color="auto" w:fill="auto"/>
            <w:vAlign w:val="center"/>
            <w:hideMark/>
          </w:tcPr>
          <w:p w14:paraId="6528428A"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1 746,7</w:t>
            </w:r>
          </w:p>
        </w:tc>
        <w:tc>
          <w:tcPr>
            <w:tcW w:w="1559" w:type="dxa"/>
            <w:shd w:val="clear" w:color="auto" w:fill="auto"/>
            <w:vAlign w:val="center"/>
            <w:hideMark/>
          </w:tcPr>
          <w:p w14:paraId="548D8352"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1 735,3</w:t>
            </w:r>
          </w:p>
        </w:tc>
        <w:tc>
          <w:tcPr>
            <w:tcW w:w="1134" w:type="dxa"/>
            <w:shd w:val="clear" w:color="auto" w:fill="auto"/>
            <w:vAlign w:val="center"/>
            <w:hideMark/>
          </w:tcPr>
          <w:p w14:paraId="53F3BCCD"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99,3</w:t>
            </w:r>
          </w:p>
        </w:tc>
      </w:tr>
      <w:tr w:rsidR="00FD7B0B" w:rsidRPr="00FD7B0B" w14:paraId="034A0F52" w14:textId="77777777" w:rsidTr="000164F8">
        <w:trPr>
          <w:trHeight w:val="157"/>
        </w:trPr>
        <w:tc>
          <w:tcPr>
            <w:tcW w:w="2850" w:type="dxa"/>
            <w:shd w:val="clear" w:color="auto" w:fill="auto"/>
            <w:vAlign w:val="center"/>
            <w:hideMark/>
          </w:tcPr>
          <w:p w14:paraId="1213F11E"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2215BEA1"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9</w:t>
            </w:r>
          </w:p>
        </w:tc>
        <w:tc>
          <w:tcPr>
            <w:tcW w:w="992" w:type="dxa"/>
            <w:gridSpan w:val="2"/>
            <w:shd w:val="clear" w:color="auto" w:fill="auto"/>
            <w:vAlign w:val="center"/>
            <w:hideMark/>
          </w:tcPr>
          <w:p w14:paraId="373ED8D7"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w:t>
            </w:r>
          </w:p>
        </w:tc>
        <w:tc>
          <w:tcPr>
            <w:tcW w:w="1559" w:type="dxa"/>
            <w:gridSpan w:val="2"/>
            <w:shd w:val="clear" w:color="auto" w:fill="auto"/>
            <w:vAlign w:val="center"/>
            <w:hideMark/>
          </w:tcPr>
          <w:p w14:paraId="01118C59"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710,0</w:t>
            </w:r>
          </w:p>
        </w:tc>
        <w:tc>
          <w:tcPr>
            <w:tcW w:w="1559" w:type="dxa"/>
            <w:shd w:val="clear" w:color="auto" w:fill="auto"/>
            <w:vAlign w:val="center"/>
            <w:hideMark/>
          </w:tcPr>
          <w:p w14:paraId="1941D673"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701,2</w:t>
            </w:r>
          </w:p>
        </w:tc>
        <w:tc>
          <w:tcPr>
            <w:tcW w:w="1134" w:type="dxa"/>
            <w:shd w:val="clear" w:color="auto" w:fill="auto"/>
            <w:vAlign w:val="center"/>
            <w:hideMark/>
          </w:tcPr>
          <w:p w14:paraId="0DCCC263"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98,8</w:t>
            </w:r>
          </w:p>
        </w:tc>
      </w:tr>
      <w:tr w:rsidR="00FD7B0B" w:rsidRPr="00FD7B0B" w14:paraId="705B9F74" w14:textId="77777777" w:rsidTr="000164F8">
        <w:trPr>
          <w:trHeight w:val="146"/>
        </w:trPr>
        <w:tc>
          <w:tcPr>
            <w:tcW w:w="2850" w:type="dxa"/>
            <w:shd w:val="clear" w:color="auto" w:fill="auto"/>
            <w:vAlign w:val="center"/>
            <w:hideMark/>
          </w:tcPr>
          <w:p w14:paraId="4B3A7339"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1C633D45"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7</w:t>
            </w:r>
          </w:p>
        </w:tc>
        <w:tc>
          <w:tcPr>
            <w:tcW w:w="992" w:type="dxa"/>
            <w:gridSpan w:val="2"/>
            <w:shd w:val="clear" w:color="auto" w:fill="auto"/>
            <w:vAlign w:val="center"/>
            <w:hideMark/>
          </w:tcPr>
          <w:p w14:paraId="263253EA"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w:t>
            </w:r>
          </w:p>
        </w:tc>
        <w:tc>
          <w:tcPr>
            <w:tcW w:w="1559" w:type="dxa"/>
            <w:gridSpan w:val="2"/>
            <w:shd w:val="clear" w:color="auto" w:fill="auto"/>
            <w:vAlign w:val="center"/>
            <w:hideMark/>
          </w:tcPr>
          <w:p w14:paraId="73C9F54C"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w:t>
            </w:r>
          </w:p>
        </w:tc>
        <w:tc>
          <w:tcPr>
            <w:tcW w:w="1559" w:type="dxa"/>
            <w:shd w:val="clear" w:color="auto" w:fill="auto"/>
            <w:vAlign w:val="center"/>
            <w:hideMark/>
          </w:tcPr>
          <w:p w14:paraId="25D454C7"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37,5</w:t>
            </w:r>
          </w:p>
        </w:tc>
        <w:tc>
          <w:tcPr>
            <w:tcW w:w="1134" w:type="dxa"/>
            <w:shd w:val="clear" w:color="auto" w:fill="auto"/>
            <w:vAlign w:val="center"/>
            <w:hideMark/>
          </w:tcPr>
          <w:p w14:paraId="5DC52CFC"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93,7</w:t>
            </w:r>
          </w:p>
        </w:tc>
      </w:tr>
      <w:tr w:rsidR="00FD7B0B" w:rsidRPr="00FD7B0B" w14:paraId="713DE9AF" w14:textId="77777777" w:rsidTr="000164F8">
        <w:trPr>
          <w:trHeight w:val="123"/>
        </w:trPr>
        <w:tc>
          <w:tcPr>
            <w:tcW w:w="2850" w:type="dxa"/>
            <w:shd w:val="clear" w:color="auto" w:fill="auto"/>
            <w:vAlign w:val="center"/>
            <w:hideMark/>
          </w:tcPr>
          <w:p w14:paraId="0601122A"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560" w:type="dxa"/>
            <w:shd w:val="clear" w:color="auto" w:fill="auto"/>
            <w:vAlign w:val="center"/>
            <w:hideMark/>
          </w:tcPr>
          <w:p w14:paraId="722293D2"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 № 375-р/1</w:t>
            </w:r>
          </w:p>
        </w:tc>
        <w:tc>
          <w:tcPr>
            <w:tcW w:w="992" w:type="dxa"/>
            <w:gridSpan w:val="2"/>
            <w:shd w:val="clear" w:color="auto" w:fill="auto"/>
            <w:vAlign w:val="center"/>
            <w:hideMark/>
          </w:tcPr>
          <w:p w14:paraId="338DD2D4"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800</w:t>
            </w:r>
          </w:p>
        </w:tc>
        <w:tc>
          <w:tcPr>
            <w:tcW w:w="1559" w:type="dxa"/>
            <w:gridSpan w:val="2"/>
            <w:shd w:val="clear" w:color="auto" w:fill="auto"/>
            <w:vAlign w:val="center"/>
            <w:hideMark/>
          </w:tcPr>
          <w:p w14:paraId="62DDEC73"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1 337,2</w:t>
            </w:r>
          </w:p>
        </w:tc>
        <w:tc>
          <w:tcPr>
            <w:tcW w:w="1559" w:type="dxa"/>
            <w:shd w:val="clear" w:color="auto" w:fill="auto"/>
            <w:vAlign w:val="center"/>
            <w:hideMark/>
          </w:tcPr>
          <w:p w14:paraId="76C4E505"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1 334,7</w:t>
            </w:r>
          </w:p>
        </w:tc>
        <w:tc>
          <w:tcPr>
            <w:tcW w:w="1134" w:type="dxa"/>
            <w:shd w:val="clear" w:color="auto" w:fill="auto"/>
            <w:vAlign w:val="center"/>
            <w:hideMark/>
          </w:tcPr>
          <w:p w14:paraId="7A92EA92"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99,8</w:t>
            </w:r>
          </w:p>
        </w:tc>
      </w:tr>
      <w:tr w:rsidR="00FD7B0B" w:rsidRPr="00FD7B0B" w14:paraId="3D1D3119" w14:textId="77777777" w:rsidTr="000164F8">
        <w:trPr>
          <w:trHeight w:val="99"/>
        </w:trPr>
        <w:tc>
          <w:tcPr>
            <w:tcW w:w="9654" w:type="dxa"/>
            <w:gridSpan w:val="8"/>
            <w:shd w:val="clear" w:color="auto" w:fill="auto"/>
            <w:vAlign w:val="center"/>
            <w:hideMark/>
          </w:tcPr>
          <w:p w14:paraId="6F3AC825" w14:textId="77777777" w:rsidR="0001284F" w:rsidRPr="00FD7B0B" w:rsidRDefault="0001284F" w:rsidP="000164F8">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итого по видам расходов</w:t>
            </w:r>
          </w:p>
        </w:tc>
      </w:tr>
      <w:tr w:rsidR="00FD7B0B" w:rsidRPr="00FD7B0B" w14:paraId="4B86C52E" w14:textId="77777777" w:rsidTr="000164F8">
        <w:trPr>
          <w:trHeight w:val="126"/>
        </w:trPr>
        <w:tc>
          <w:tcPr>
            <w:tcW w:w="4977" w:type="dxa"/>
            <w:gridSpan w:val="3"/>
            <w:shd w:val="clear" w:color="auto" w:fill="auto"/>
            <w:vAlign w:val="center"/>
            <w:hideMark/>
          </w:tcPr>
          <w:p w14:paraId="23F15716"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c>
          <w:tcPr>
            <w:tcW w:w="1701" w:type="dxa"/>
            <w:gridSpan w:val="2"/>
            <w:shd w:val="clear" w:color="auto" w:fill="auto"/>
            <w:vAlign w:val="bottom"/>
            <w:hideMark/>
          </w:tcPr>
          <w:p w14:paraId="7CA6BA02"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252,6</w:t>
            </w:r>
          </w:p>
        </w:tc>
        <w:tc>
          <w:tcPr>
            <w:tcW w:w="1842" w:type="dxa"/>
            <w:gridSpan w:val="2"/>
            <w:shd w:val="clear" w:color="auto" w:fill="auto"/>
            <w:vAlign w:val="bottom"/>
            <w:hideMark/>
          </w:tcPr>
          <w:p w14:paraId="233AE8D2"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251,6</w:t>
            </w:r>
          </w:p>
        </w:tc>
        <w:tc>
          <w:tcPr>
            <w:tcW w:w="1134" w:type="dxa"/>
            <w:shd w:val="clear" w:color="auto" w:fill="auto"/>
            <w:vAlign w:val="bottom"/>
            <w:hideMark/>
          </w:tcPr>
          <w:p w14:paraId="26029123"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99,6</w:t>
            </w:r>
          </w:p>
        </w:tc>
      </w:tr>
      <w:tr w:rsidR="00FD7B0B" w:rsidRPr="00FD7B0B" w14:paraId="2CB9D2EF" w14:textId="77777777" w:rsidTr="000164F8">
        <w:trPr>
          <w:trHeight w:val="102"/>
        </w:trPr>
        <w:tc>
          <w:tcPr>
            <w:tcW w:w="4977" w:type="dxa"/>
            <w:gridSpan w:val="3"/>
            <w:shd w:val="clear" w:color="auto" w:fill="auto"/>
            <w:vAlign w:val="center"/>
            <w:hideMark/>
          </w:tcPr>
          <w:p w14:paraId="0C474AE8"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tc>
        <w:tc>
          <w:tcPr>
            <w:tcW w:w="1701" w:type="dxa"/>
            <w:gridSpan w:val="2"/>
            <w:shd w:val="clear" w:color="auto" w:fill="auto"/>
            <w:vAlign w:val="bottom"/>
            <w:hideMark/>
          </w:tcPr>
          <w:p w14:paraId="26116DEA"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10 708,6</w:t>
            </w:r>
          </w:p>
        </w:tc>
        <w:tc>
          <w:tcPr>
            <w:tcW w:w="1842" w:type="dxa"/>
            <w:gridSpan w:val="2"/>
            <w:shd w:val="clear" w:color="auto" w:fill="auto"/>
            <w:vAlign w:val="bottom"/>
            <w:hideMark/>
          </w:tcPr>
          <w:p w14:paraId="05B2765D"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10 403,8</w:t>
            </w:r>
          </w:p>
        </w:tc>
        <w:tc>
          <w:tcPr>
            <w:tcW w:w="1134" w:type="dxa"/>
            <w:shd w:val="clear" w:color="auto" w:fill="auto"/>
            <w:vAlign w:val="bottom"/>
            <w:hideMark/>
          </w:tcPr>
          <w:p w14:paraId="2A7384C9"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97,2</w:t>
            </w:r>
          </w:p>
        </w:tc>
      </w:tr>
      <w:tr w:rsidR="00FD7B0B" w:rsidRPr="00FD7B0B" w14:paraId="3D05C8F0" w14:textId="77777777" w:rsidTr="000164F8">
        <w:trPr>
          <w:trHeight w:val="78"/>
        </w:trPr>
        <w:tc>
          <w:tcPr>
            <w:tcW w:w="4977" w:type="dxa"/>
            <w:gridSpan w:val="3"/>
            <w:shd w:val="clear" w:color="auto" w:fill="auto"/>
            <w:vAlign w:val="center"/>
            <w:hideMark/>
          </w:tcPr>
          <w:p w14:paraId="6FDDF256"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300</w:t>
            </w:r>
          </w:p>
        </w:tc>
        <w:tc>
          <w:tcPr>
            <w:tcW w:w="1701" w:type="dxa"/>
            <w:gridSpan w:val="2"/>
            <w:shd w:val="clear" w:color="auto" w:fill="auto"/>
            <w:vAlign w:val="bottom"/>
            <w:hideMark/>
          </w:tcPr>
          <w:p w14:paraId="30A6D371"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0,1</w:t>
            </w:r>
          </w:p>
        </w:tc>
        <w:tc>
          <w:tcPr>
            <w:tcW w:w="1842" w:type="dxa"/>
            <w:gridSpan w:val="2"/>
            <w:shd w:val="clear" w:color="auto" w:fill="auto"/>
            <w:vAlign w:val="bottom"/>
            <w:hideMark/>
          </w:tcPr>
          <w:p w14:paraId="0B0A55D1"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0,07</w:t>
            </w:r>
          </w:p>
        </w:tc>
        <w:tc>
          <w:tcPr>
            <w:tcW w:w="1134" w:type="dxa"/>
            <w:shd w:val="clear" w:color="auto" w:fill="auto"/>
            <w:vAlign w:val="bottom"/>
            <w:hideMark/>
          </w:tcPr>
          <w:p w14:paraId="268AFC82"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56,0</w:t>
            </w:r>
          </w:p>
        </w:tc>
      </w:tr>
      <w:tr w:rsidR="00FD7B0B" w:rsidRPr="00FD7B0B" w14:paraId="6703A5DE" w14:textId="77777777" w:rsidTr="000164F8">
        <w:trPr>
          <w:trHeight w:val="54"/>
        </w:trPr>
        <w:tc>
          <w:tcPr>
            <w:tcW w:w="4977" w:type="dxa"/>
            <w:gridSpan w:val="3"/>
            <w:shd w:val="clear" w:color="auto" w:fill="auto"/>
            <w:vAlign w:val="center"/>
            <w:hideMark/>
          </w:tcPr>
          <w:p w14:paraId="21FA847E"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w:t>
            </w:r>
          </w:p>
        </w:tc>
        <w:tc>
          <w:tcPr>
            <w:tcW w:w="1701" w:type="dxa"/>
            <w:gridSpan w:val="2"/>
            <w:shd w:val="clear" w:color="auto" w:fill="auto"/>
            <w:vAlign w:val="bottom"/>
            <w:hideMark/>
          </w:tcPr>
          <w:p w14:paraId="22B99F6E"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38,0</w:t>
            </w:r>
          </w:p>
        </w:tc>
        <w:tc>
          <w:tcPr>
            <w:tcW w:w="1842" w:type="dxa"/>
            <w:gridSpan w:val="2"/>
            <w:shd w:val="clear" w:color="auto" w:fill="auto"/>
            <w:vAlign w:val="bottom"/>
            <w:hideMark/>
          </w:tcPr>
          <w:p w14:paraId="462607A4"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30,8</w:t>
            </w:r>
          </w:p>
        </w:tc>
        <w:tc>
          <w:tcPr>
            <w:tcW w:w="1134" w:type="dxa"/>
            <w:shd w:val="clear" w:color="auto" w:fill="auto"/>
            <w:vAlign w:val="bottom"/>
            <w:hideMark/>
          </w:tcPr>
          <w:p w14:paraId="3BFFFFC3"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81,1</w:t>
            </w:r>
          </w:p>
        </w:tc>
      </w:tr>
      <w:tr w:rsidR="00FD7B0B" w:rsidRPr="00FD7B0B" w14:paraId="7331C9D4" w14:textId="77777777" w:rsidTr="000164F8">
        <w:trPr>
          <w:trHeight w:val="171"/>
        </w:trPr>
        <w:tc>
          <w:tcPr>
            <w:tcW w:w="4977" w:type="dxa"/>
            <w:gridSpan w:val="3"/>
            <w:shd w:val="clear" w:color="auto" w:fill="auto"/>
            <w:vAlign w:val="center"/>
            <w:hideMark/>
          </w:tcPr>
          <w:p w14:paraId="11FF212C"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w:t>
            </w:r>
          </w:p>
        </w:tc>
        <w:tc>
          <w:tcPr>
            <w:tcW w:w="1701" w:type="dxa"/>
            <w:gridSpan w:val="2"/>
            <w:shd w:val="clear" w:color="auto" w:fill="auto"/>
            <w:vAlign w:val="bottom"/>
            <w:hideMark/>
          </w:tcPr>
          <w:p w14:paraId="03A86191"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2 505,9</w:t>
            </w:r>
          </w:p>
        </w:tc>
        <w:tc>
          <w:tcPr>
            <w:tcW w:w="1842" w:type="dxa"/>
            <w:gridSpan w:val="2"/>
            <w:shd w:val="clear" w:color="auto" w:fill="auto"/>
            <w:vAlign w:val="bottom"/>
            <w:hideMark/>
          </w:tcPr>
          <w:p w14:paraId="6DB39D36"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2 482,8</w:t>
            </w:r>
          </w:p>
        </w:tc>
        <w:tc>
          <w:tcPr>
            <w:tcW w:w="1134" w:type="dxa"/>
            <w:shd w:val="clear" w:color="auto" w:fill="auto"/>
            <w:vAlign w:val="bottom"/>
            <w:hideMark/>
          </w:tcPr>
          <w:p w14:paraId="1EA320E6"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99,1</w:t>
            </w:r>
          </w:p>
        </w:tc>
      </w:tr>
      <w:tr w:rsidR="00FD7B0B" w:rsidRPr="00FD7B0B" w14:paraId="1B333D64" w14:textId="77777777" w:rsidTr="000164F8">
        <w:trPr>
          <w:trHeight w:val="147"/>
        </w:trPr>
        <w:tc>
          <w:tcPr>
            <w:tcW w:w="4977" w:type="dxa"/>
            <w:gridSpan w:val="3"/>
            <w:shd w:val="clear" w:color="auto" w:fill="auto"/>
            <w:vAlign w:val="center"/>
            <w:hideMark/>
          </w:tcPr>
          <w:p w14:paraId="5818C5A5"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701" w:type="dxa"/>
            <w:gridSpan w:val="2"/>
            <w:shd w:val="clear" w:color="auto" w:fill="auto"/>
            <w:vAlign w:val="bottom"/>
            <w:hideMark/>
          </w:tcPr>
          <w:p w14:paraId="4963400E"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650,7</w:t>
            </w:r>
          </w:p>
        </w:tc>
        <w:tc>
          <w:tcPr>
            <w:tcW w:w="1842" w:type="dxa"/>
            <w:gridSpan w:val="2"/>
            <w:shd w:val="clear" w:color="auto" w:fill="auto"/>
            <w:vAlign w:val="bottom"/>
            <w:hideMark/>
          </w:tcPr>
          <w:p w14:paraId="7F9D2F40"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592,1</w:t>
            </w:r>
          </w:p>
        </w:tc>
        <w:tc>
          <w:tcPr>
            <w:tcW w:w="1134" w:type="dxa"/>
            <w:shd w:val="clear" w:color="auto" w:fill="auto"/>
            <w:vAlign w:val="bottom"/>
            <w:hideMark/>
          </w:tcPr>
          <w:p w14:paraId="4C2AA61B"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91,0</w:t>
            </w:r>
          </w:p>
        </w:tc>
      </w:tr>
      <w:tr w:rsidR="0001284F" w:rsidRPr="00FD7B0B" w14:paraId="2A72A786" w14:textId="77777777" w:rsidTr="000164F8">
        <w:trPr>
          <w:trHeight w:val="137"/>
        </w:trPr>
        <w:tc>
          <w:tcPr>
            <w:tcW w:w="4977" w:type="dxa"/>
            <w:gridSpan w:val="3"/>
            <w:shd w:val="clear" w:color="auto" w:fill="auto"/>
            <w:vAlign w:val="center"/>
            <w:hideMark/>
          </w:tcPr>
          <w:p w14:paraId="17C6E82B"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800</w:t>
            </w:r>
          </w:p>
        </w:tc>
        <w:tc>
          <w:tcPr>
            <w:tcW w:w="1701" w:type="dxa"/>
            <w:gridSpan w:val="2"/>
            <w:shd w:val="clear" w:color="auto" w:fill="auto"/>
            <w:vAlign w:val="bottom"/>
            <w:hideMark/>
          </w:tcPr>
          <w:p w14:paraId="44C56DFF"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1 337,2</w:t>
            </w:r>
          </w:p>
        </w:tc>
        <w:tc>
          <w:tcPr>
            <w:tcW w:w="1842" w:type="dxa"/>
            <w:gridSpan w:val="2"/>
            <w:shd w:val="clear" w:color="auto" w:fill="auto"/>
            <w:vAlign w:val="bottom"/>
            <w:hideMark/>
          </w:tcPr>
          <w:p w14:paraId="6519A833" w14:textId="77777777" w:rsidR="0001284F" w:rsidRPr="00FD7B0B" w:rsidRDefault="0001284F" w:rsidP="000164F8">
            <w:pPr>
              <w:spacing w:after="0" w:line="240" w:lineRule="auto"/>
              <w:jc w:val="right"/>
              <w:rPr>
                <w:rFonts w:ascii="Times New Roman" w:eastAsia="Times New Roman" w:hAnsi="Times New Roman" w:cs="Times New Roman"/>
                <w:sz w:val="18"/>
                <w:szCs w:val="18"/>
                <w:lang w:val="en-US" w:eastAsia="ru-RU"/>
              </w:rPr>
            </w:pPr>
            <w:r w:rsidRPr="00FD7B0B">
              <w:rPr>
                <w:rFonts w:ascii="Times New Roman" w:eastAsia="Times New Roman" w:hAnsi="Times New Roman" w:cs="Times New Roman"/>
                <w:sz w:val="18"/>
                <w:szCs w:val="18"/>
                <w:lang w:eastAsia="ru-RU"/>
              </w:rPr>
              <w:t>1 334,7</w:t>
            </w:r>
          </w:p>
        </w:tc>
        <w:tc>
          <w:tcPr>
            <w:tcW w:w="1134" w:type="dxa"/>
            <w:shd w:val="clear" w:color="auto" w:fill="auto"/>
            <w:vAlign w:val="bottom"/>
            <w:hideMark/>
          </w:tcPr>
          <w:p w14:paraId="2456A131" w14:textId="77777777" w:rsidR="0001284F" w:rsidRPr="00FD7B0B" w:rsidRDefault="0001284F" w:rsidP="000164F8">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99,8</w:t>
            </w:r>
          </w:p>
        </w:tc>
      </w:tr>
    </w:tbl>
    <w:p w14:paraId="0B91878A" w14:textId="77777777" w:rsidR="0001284F" w:rsidRPr="00FD7B0B" w:rsidRDefault="0001284F" w:rsidP="0001284F">
      <w:pPr>
        <w:spacing w:after="0" w:line="120" w:lineRule="auto"/>
        <w:ind w:firstLine="709"/>
        <w:contextualSpacing/>
        <w:jc w:val="both"/>
        <w:rPr>
          <w:rFonts w:ascii="Times New Roman" w:eastAsia="Times New Roman" w:hAnsi="Times New Roman"/>
          <w:sz w:val="28"/>
          <w:szCs w:val="28"/>
          <w:lang w:eastAsia="ru-RU"/>
        </w:rPr>
      </w:pPr>
    </w:p>
    <w:p w14:paraId="69097406"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Отмечаем не полное исполнение бюджетных ассигнований министерством транспорта и министерством образования.</w:t>
      </w:r>
    </w:p>
    <w:p w14:paraId="2AB5018B" w14:textId="1A461BF0"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Отмечаем исполнение ниже 90 % по видам расхода 300 (Социальное обеспечение и иные выплаты населению) и 400 (Капитальные вложения в объекты государственной (муниципальной) собственности) п</w:t>
      </w:r>
      <w:r w:rsidR="00DB53A0" w:rsidRPr="00FD7B0B">
        <w:rPr>
          <w:rFonts w:ascii="Times New Roman" w:eastAsia="Times New Roman" w:hAnsi="Times New Roman"/>
          <w:sz w:val="28"/>
          <w:szCs w:val="28"/>
          <w:lang w:eastAsia="ru-RU"/>
        </w:rPr>
        <w:t>о ГРБС министерство транспорта.</w:t>
      </w:r>
    </w:p>
    <w:p w14:paraId="7D08F288" w14:textId="77777777" w:rsidR="0001284F" w:rsidRPr="00FD7B0B" w:rsidRDefault="0001284F" w:rsidP="0001284F">
      <w:pPr>
        <w:spacing w:after="0" w:line="120" w:lineRule="auto"/>
        <w:ind w:firstLine="709"/>
        <w:contextualSpacing/>
        <w:jc w:val="both"/>
        <w:rPr>
          <w:rFonts w:ascii="Times New Roman" w:eastAsia="Times New Roman" w:hAnsi="Times New Roman" w:cs="Times New Roman"/>
          <w:sz w:val="24"/>
          <w:szCs w:val="24"/>
          <w:lang w:eastAsia="ru-RU"/>
        </w:rPr>
      </w:pPr>
    </w:p>
    <w:p w14:paraId="5B4D3EB8" w14:textId="77777777" w:rsidR="0001284F" w:rsidRPr="00FD7B0B" w:rsidRDefault="0001284F" w:rsidP="0001284F">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198</w:t>
      </w:r>
      <w:r w:rsidRPr="00FD7B0B">
        <w:rPr>
          <w:rFonts w:ascii="Times New Roman" w:hAnsi="Times New Roman"/>
          <w:b w:val="0"/>
          <w:sz w:val="24"/>
          <w:szCs w:val="24"/>
        </w:rPr>
        <w:fldChar w:fldCharType="end"/>
      </w:r>
      <w:r w:rsidRPr="00FD7B0B">
        <w:rPr>
          <w:rFonts w:ascii="Times New Roman" w:hAnsi="Times New Roman"/>
          <w:b w:val="0"/>
          <w:sz w:val="24"/>
          <w:szCs w:val="24"/>
        </w:rPr>
        <w:t>. Сопоставление финансового обеспечения структурных элементов</w:t>
      </w:r>
      <w:r w:rsidRPr="00FD7B0B">
        <w:rPr>
          <w:rFonts w:ascii="Times New Roman" w:hAnsi="Times New Roman"/>
          <w:b w:val="0"/>
          <w:noProof/>
          <w:sz w:val="24"/>
          <w:szCs w:val="24"/>
        </w:rPr>
        <w:t xml:space="preserve"> с показателями паспорта ГП № 19 и закона "Об областном бюджете" на 01.04.2024, млн.руб.</w:t>
      </w: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154"/>
        <w:gridCol w:w="2256"/>
        <w:gridCol w:w="2126"/>
        <w:gridCol w:w="1276"/>
        <w:gridCol w:w="992"/>
        <w:gridCol w:w="850"/>
      </w:tblGrid>
      <w:tr w:rsidR="00FD7B0B" w:rsidRPr="00FD7B0B" w14:paraId="0095BCB7" w14:textId="77777777" w:rsidTr="00373393">
        <w:trPr>
          <w:trHeight w:val="288"/>
          <w:tblHeader/>
        </w:trPr>
        <w:tc>
          <w:tcPr>
            <w:tcW w:w="2154" w:type="dxa"/>
            <w:vMerge w:val="restart"/>
            <w:shd w:val="clear" w:color="auto" w:fill="auto"/>
            <w:vAlign w:val="center"/>
            <w:hideMark/>
          </w:tcPr>
          <w:p w14:paraId="3D6C07AA"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Структурный элемент</w:t>
            </w:r>
          </w:p>
        </w:tc>
        <w:tc>
          <w:tcPr>
            <w:tcW w:w="2256" w:type="dxa"/>
            <w:vMerge w:val="restart"/>
            <w:shd w:val="clear" w:color="auto" w:fill="auto"/>
            <w:vAlign w:val="center"/>
            <w:hideMark/>
          </w:tcPr>
          <w:p w14:paraId="746ED108"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Паспорта структурных элементов в редакциях, действующих на 01.04.2024</w:t>
            </w:r>
          </w:p>
        </w:tc>
        <w:tc>
          <w:tcPr>
            <w:tcW w:w="2126" w:type="dxa"/>
            <w:vMerge w:val="restart"/>
            <w:shd w:val="clear" w:color="auto" w:fill="auto"/>
            <w:vAlign w:val="center"/>
            <w:hideMark/>
          </w:tcPr>
          <w:p w14:paraId="5A561CA9"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Редакция ГП на 01.04.2024 (действие ред.: 05.03.2024.</w:t>
            </w:r>
            <w:r w:rsidRPr="00FD7B0B">
              <w:rPr>
                <w:rFonts w:ascii="Times New Roman" w:eastAsia="Times New Roman" w:hAnsi="Times New Roman" w:cs="Times New Roman"/>
                <w:sz w:val="20"/>
                <w:szCs w:val="20"/>
                <w:lang w:eastAsia="ru-RU"/>
              </w:rPr>
              <w:br/>
              <w:t xml:space="preserve"> - 03.07.2024)</w:t>
            </w:r>
          </w:p>
        </w:tc>
        <w:tc>
          <w:tcPr>
            <w:tcW w:w="1276" w:type="dxa"/>
            <w:vMerge w:val="restart"/>
            <w:shd w:val="clear" w:color="auto" w:fill="auto"/>
            <w:vAlign w:val="center"/>
            <w:hideMark/>
          </w:tcPr>
          <w:p w14:paraId="349669DE"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Закон в ред. от 20.03.2024</w:t>
            </w:r>
          </w:p>
        </w:tc>
        <w:tc>
          <w:tcPr>
            <w:tcW w:w="1842" w:type="dxa"/>
            <w:gridSpan w:val="2"/>
            <w:shd w:val="clear" w:color="auto" w:fill="auto"/>
            <w:vAlign w:val="center"/>
            <w:hideMark/>
          </w:tcPr>
          <w:p w14:paraId="096847C3"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r>
      <w:tr w:rsidR="00FD7B0B" w:rsidRPr="00FD7B0B" w14:paraId="51228BB8" w14:textId="77777777" w:rsidTr="00373393">
        <w:trPr>
          <w:trHeight w:val="521"/>
          <w:tblHeader/>
        </w:trPr>
        <w:tc>
          <w:tcPr>
            <w:tcW w:w="2154" w:type="dxa"/>
            <w:vMerge/>
            <w:vAlign w:val="center"/>
            <w:hideMark/>
          </w:tcPr>
          <w:p w14:paraId="0B7566CA"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2256" w:type="dxa"/>
            <w:vMerge/>
            <w:vAlign w:val="center"/>
            <w:hideMark/>
          </w:tcPr>
          <w:p w14:paraId="31F5109A"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2126" w:type="dxa"/>
            <w:vMerge/>
            <w:vAlign w:val="center"/>
            <w:hideMark/>
          </w:tcPr>
          <w:p w14:paraId="218AB249"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1276" w:type="dxa"/>
            <w:vMerge/>
            <w:vAlign w:val="center"/>
            <w:hideMark/>
          </w:tcPr>
          <w:p w14:paraId="60E65D8B"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p>
        </w:tc>
        <w:tc>
          <w:tcPr>
            <w:tcW w:w="992" w:type="dxa"/>
            <w:shd w:val="clear" w:color="auto" w:fill="auto"/>
            <w:vAlign w:val="center"/>
            <w:hideMark/>
          </w:tcPr>
          <w:p w14:paraId="009F767A"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млн.руб.</w:t>
            </w:r>
          </w:p>
        </w:tc>
        <w:tc>
          <w:tcPr>
            <w:tcW w:w="850" w:type="dxa"/>
            <w:shd w:val="clear" w:color="auto" w:fill="auto"/>
            <w:vAlign w:val="center"/>
            <w:hideMark/>
          </w:tcPr>
          <w:p w14:paraId="0090E15E"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r>
      <w:tr w:rsidR="00FD7B0B" w:rsidRPr="00FD7B0B" w14:paraId="27FCA457" w14:textId="77777777" w:rsidTr="000164F8">
        <w:trPr>
          <w:trHeight w:val="42"/>
        </w:trPr>
        <w:tc>
          <w:tcPr>
            <w:tcW w:w="2154" w:type="dxa"/>
            <w:shd w:val="clear" w:color="auto" w:fill="auto"/>
            <w:vAlign w:val="center"/>
            <w:hideMark/>
          </w:tcPr>
          <w:p w14:paraId="3556FC81"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2256" w:type="dxa"/>
            <w:shd w:val="clear" w:color="auto" w:fill="auto"/>
            <w:vAlign w:val="center"/>
            <w:hideMark/>
          </w:tcPr>
          <w:p w14:paraId="6521A63F"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2126" w:type="dxa"/>
            <w:shd w:val="clear" w:color="auto" w:fill="auto"/>
            <w:vAlign w:val="center"/>
            <w:hideMark/>
          </w:tcPr>
          <w:p w14:paraId="56F3A05E"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1276" w:type="dxa"/>
            <w:shd w:val="clear" w:color="auto" w:fill="auto"/>
            <w:vAlign w:val="center"/>
            <w:hideMark/>
          </w:tcPr>
          <w:p w14:paraId="5B5C1C0D"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w:t>
            </w:r>
          </w:p>
        </w:tc>
        <w:tc>
          <w:tcPr>
            <w:tcW w:w="992" w:type="dxa"/>
            <w:shd w:val="clear" w:color="auto" w:fill="auto"/>
            <w:vAlign w:val="center"/>
            <w:hideMark/>
          </w:tcPr>
          <w:p w14:paraId="77ACF9C2"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5=3-2</w:t>
            </w:r>
          </w:p>
        </w:tc>
        <w:tc>
          <w:tcPr>
            <w:tcW w:w="850" w:type="dxa"/>
            <w:shd w:val="clear" w:color="auto" w:fill="auto"/>
            <w:vAlign w:val="center"/>
            <w:hideMark/>
          </w:tcPr>
          <w:p w14:paraId="41F67BEA"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5=4-2</w:t>
            </w:r>
          </w:p>
        </w:tc>
      </w:tr>
      <w:tr w:rsidR="00FD7B0B" w:rsidRPr="00FD7B0B" w14:paraId="4F355471" w14:textId="77777777" w:rsidTr="000164F8">
        <w:trPr>
          <w:trHeight w:val="94"/>
        </w:trPr>
        <w:tc>
          <w:tcPr>
            <w:tcW w:w="2154" w:type="dxa"/>
            <w:shd w:val="clear" w:color="auto" w:fill="auto"/>
            <w:vAlign w:val="center"/>
            <w:hideMark/>
          </w:tcPr>
          <w:p w14:paraId="22395967" w14:textId="77777777" w:rsidR="0001284F" w:rsidRPr="00FD7B0B" w:rsidRDefault="0001284F" w:rsidP="000164F8">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9:</w:t>
            </w:r>
          </w:p>
        </w:tc>
        <w:tc>
          <w:tcPr>
            <w:tcW w:w="2256" w:type="dxa"/>
            <w:shd w:val="clear" w:color="auto" w:fill="auto"/>
            <w:vAlign w:val="center"/>
            <w:hideMark/>
          </w:tcPr>
          <w:p w14:paraId="0D2775F3"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6 554,1  </w:t>
            </w:r>
          </w:p>
        </w:tc>
        <w:tc>
          <w:tcPr>
            <w:tcW w:w="2126" w:type="dxa"/>
            <w:shd w:val="clear" w:color="auto" w:fill="auto"/>
            <w:vAlign w:val="center"/>
            <w:hideMark/>
          </w:tcPr>
          <w:p w14:paraId="3DE4A13A"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6 554,5  </w:t>
            </w:r>
          </w:p>
        </w:tc>
        <w:tc>
          <w:tcPr>
            <w:tcW w:w="1276" w:type="dxa"/>
            <w:shd w:val="clear" w:color="auto" w:fill="auto"/>
            <w:vAlign w:val="center"/>
            <w:hideMark/>
          </w:tcPr>
          <w:p w14:paraId="0709FF85"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6 554,1  </w:t>
            </w:r>
          </w:p>
        </w:tc>
        <w:tc>
          <w:tcPr>
            <w:tcW w:w="992" w:type="dxa"/>
            <w:shd w:val="clear" w:color="auto" w:fill="auto"/>
            <w:vAlign w:val="center"/>
            <w:hideMark/>
          </w:tcPr>
          <w:p w14:paraId="259C55CE"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w:t>
            </w:r>
          </w:p>
        </w:tc>
        <w:tc>
          <w:tcPr>
            <w:tcW w:w="850" w:type="dxa"/>
            <w:shd w:val="clear" w:color="auto" w:fill="auto"/>
            <w:vAlign w:val="center"/>
            <w:hideMark/>
          </w:tcPr>
          <w:p w14:paraId="7994740F"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6026A396" w14:textId="77777777" w:rsidTr="000164F8">
        <w:trPr>
          <w:trHeight w:val="140"/>
        </w:trPr>
        <w:tc>
          <w:tcPr>
            <w:tcW w:w="2154" w:type="dxa"/>
            <w:shd w:val="clear" w:color="auto" w:fill="auto"/>
            <w:vAlign w:val="center"/>
            <w:hideMark/>
          </w:tcPr>
          <w:p w14:paraId="4BF54998" w14:textId="77777777" w:rsidR="0001284F" w:rsidRPr="00FD7B0B" w:rsidRDefault="0001284F" w:rsidP="000164F8">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1</w:t>
            </w:r>
          </w:p>
        </w:tc>
        <w:tc>
          <w:tcPr>
            <w:tcW w:w="2256" w:type="dxa"/>
            <w:shd w:val="clear" w:color="auto" w:fill="auto"/>
            <w:vAlign w:val="center"/>
            <w:hideMark/>
          </w:tcPr>
          <w:p w14:paraId="1C151E3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120,6  </w:t>
            </w:r>
          </w:p>
        </w:tc>
        <w:tc>
          <w:tcPr>
            <w:tcW w:w="2126" w:type="dxa"/>
            <w:shd w:val="clear" w:color="auto" w:fill="auto"/>
            <w:vAlign w:val="center"/>
            <w:hideMark/>
          </w:tcPr>
          <w:p w14:paraId="71340CB3"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120,6  </w:t>
            </w:r>
          </w:p>
        </w:tc>
        <w:tc>
          <w:tcPr>
            <w:tcW w:w="1276" w:type="dxa"/>
            <w:shd w:val="clear" w:color="auto" w:fill="auto"/>
            <w:vAlign w:val="center"/>
            <w:hideMark/>
          </w:tcPr>
          <w:p w14:paraId="74D8132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120,6  </w:t>
            </w:r>
          </w:p>
        </w:tc>
        <w:tc>
          <w:tcPr>
            <w:tcW w:w="992" w:type="dxa"/>
            <w:shd w:val="clear" w:color="auto" w:fill="auto"/>
            <w:vAlign w:val="center"/>
            <w:hideMark/>
          </w:tcPr>
          <w:p w14:paraId="2062CC9B"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50" w:type="dxa"/>
            <w:shd w:val="clear" w:color="auto" w:fill="auto"/>
            <w:vAlign w:val="center"/>
            <w:hideMark/>
          </w:tcPr>
          <w:p w14:paraId="09501447"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62512F87" w14:textId="77777777" w:rsidTr="000164F8">
        <w:trPr>
          <w:trHeight w:val="47"/>
        </w:trPr>
        <w:tc>
          <w:tcPr>
            <w:tcW w:w="2154" w:type="dxa"/>
            <w:shd w:val="clear" w:color="auto" w:fill="auto"/>
            <w:vAlign w:val="center"/>
            <w:hideMark/>
          </w:tcPr>
          <w:p w14:paraId="455E8962" w14:textId="77777777" w:rsidR="0001284F" w:rsidRPr="00FD7B0B" w:rsidRDefault="0001284F" w:rsidP="000164F8">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7</w:t>
            </w:r>
          </w:p>
        </w:tc>
        <w:tc>
          <w:tcPr>
            <w:tcW w:w="2256" w:type="dxa"/>
            <w:shd w:val="clear" w:color="auto" w:fill="auto"/>
            <w:vAlign w:val="center"/>
            <w:hideMark/>
          </w:tcPr>
          <w:p w14:paraId="56C950EA"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89,7  </w:t>
            </w:r>
          </w:p>
        </w:tc>
        <w:tc>
          <w:tcPr>
            <w:tcW w:w="2126" w:type="dxa"/>
            <w:shd w:val="clear" w:color="auto" w:fill="auto"/>
            <w:vAlign w:val="center"/>
            <w:hideMark/>
          </w:tcPr>
          <w:p w14:paraId="0431F275"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89,7  </w:t>
            </w:r>
          </w:p>
        </w:tc>
        <w:tc>
          <w:tcPr>
            <w:tcW w:w="1276" w:type="dxa"/>
            <w:shd w:val="clear" w:color="auto" w:fill="auto"/>
            <w:vAlign w:val="center"/>
            <w:hideMark/>
          </w:tcPr>
          <w:p w14:paraId="0B2F36FE"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89,7  </w:t>
            </w:r>
          </w:p>
        </w:tc>
        <w:tc>
          <w:tcPr>
            <w:tcW w:w="992" w:type="dxa"/>
            <w:shd w:val="clear" w:color="auto" w:fill="auto"/>
            <w:vAlign w:val="center"/>
            <w:hideMark/>
          </w:tcPr>
          <w:p w14:paraId="2D5D6280"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50" w:type="dxa"/>
            <w:shd w:val="clear" w:color="auto" w:fill="auto"/>
            <w:vAlign w:val="center"/>
            <w:hideMark/>
          </w:tcPr>
          <w:p w14:paraId="72989320"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6BABCC7B" w14:textId="77777777" w:rsidTr="000164F8">
        <w:trPr>
          <w:trHeight w:val="213"/>
        </w:trPr>
        <w:tc>
          <w:tcPr>
            <w:tcW w:w="2154" w:type="dxa"/>
            <w:shd w:val="clear" w:color="auto" w:fill="auto"/>
            <w:vAlign w:val="center"/>
            <w:hideMark/>
          </w:tcPr>
          <w:p w14:paraId="5F994673"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РП</w:t>
            </w:r>
          </w:p>
        </w:tc>
        <w:tc>
          <w:tcPr>
            <w:tcW w:w="2256" w:type="dxa"/>
            <w:shd w:val="clear" w:color="auto" w:fill="auto"/>
            <w:vAlign w:val="center"/>
            <w:hideMark/>
          </w:tcPr>
          <w:p w14:paraId="1630A603"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6 764,4  </w:t>
            </w:r>
          </w:p>
        </w:tc>
        <w:tc>
          <w:tcPr>
            <w:tcW w:w="2126" w:type="dxa"/>
            <w:shd w:val="clear" w:color="auto" w:fill="auto"/>
            <w:vAlign w:val="center"/>
            <w:hideMark/>
          </w:tcPr>
          <w:p w14:paraId="635D7AB5"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6 764,8  </w:t>
            </w:r>
          </w:p>
        </w:tc>
        <w:tc>
          <w:tcPr>
            <w:tcW w:w="1276" w:type="dxa"/>
            <w:shd w:val="clear" w:color="auto" w:fill="auto"/>
            <w:vAlign w:val="center"/>
            <w:hideMark/>
          </w:tcPr>
          <w:p w14:paraId="143965BF"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6 764,4  </w:t>
            </w:r>
          </w:p>
        </w:tc>
        <w:tc>
          <w:tcPr>
            <w:tcW w:w="992" w:type="dxa"/>
            <w:shd w:val="clear" w:color="auto" w:fill="auto"/>
            <w:vAlign w:val="center"/>
            <w:hideMark/>
          </w:tcPr>
          <w:p w14:paraId="79010AC1"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w:t>
            </w:r>
          </w:p>
        </w:tc>
        <w:tc>
          <w:tcPr>
            <w:tcW w:w="850" w:type="dxa"/>
            <w:shd w:val="clear" w:color="auto" w:fill="auto"/>
            <w:vAlign w:val="center"/>
            <w:hideMark/>
          </w:tcPr>
          <w:p w14:paraId="38067B0F"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2D10CB0F" w14:textId="77777777" w:rsidTr="000164F8">
        <w:trPr>
          <w:trHeight w:val="122"/>
        </w:trPr>
        <w:tc>
          <w:tcPr>
            <w:tcW w:w="2154" w:type="dxa"/>
            <w:shd w:val="clear" w:color="auto" w:fill="auto"/>
            <w:vAlign w:val="center"/>
            <w:hideMark/>
          </w:tcPr>
          <w:p w14:paraId="38D08950" w14:textId="77777777" w:rsidR="0001284F" w:rsidRPr="00FD7B0B" w:rsidRDefault="0001284F" w:rsidP="000164F8">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 375-р/1</w:t>
            </w:r>
          </w:p>
        </w:tc>
        <w:tc>
          <w:tcPr>
            <w:tcW w:w="2256" w:type="dxa"/>
            <w:shd w:val="clear" w:color="auto" w:fill="auto"/>
            <w:vAlign w:val="center"/>
            <w:hideMark/>
          </w:tcPr>
          <w:p w14:paraId="33309B0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3 863,8  </w:t>
            </w:r>
          </w:p>
        </w:tc>
        <w:tc>
          <w:tcPr>
            <w:tcW w:w="2126" w:type="dxa"/>
            <w:shd w:val="clear" w:color="auto" w:fill="auto"/>
            <w:vAlign w:val="center"/>
            <w:hideMark/>
          </w:tcPr>
          <w:p w14:paraId="6AB74024"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3 863,8  </w:t>
            </w:r>
          </w:p>
        </w:tc>
        <w:tc>
          <w:tcPr>
            <w:tcW w:w="1276" w:type="dxa"/>
            <w:shd w:val="clear" w:color="auto" w:fill="auto"/>
            <w:vAlign w:val="center"/>
            <w:hideMark/>
          </w:tcPr>
          <w:p w14:paraId="1324898F"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3 780,9  </w:t>
            </w:r>
          </w:p>
        </w:tc>
        <w:tc>
          <w:tcPr>
            <w:tcW w:w="992" w:type="dxa"/>
            <w:shd w:val="clear" w:color="auto" w:fill="auto"/>
            <w:vAlign w:val="center"/>
            <w:hideMark/>
          </w:tcPr>
          <w:p w14:paraId="7BBDFCAD"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50" w:type="dxa"/>
            <w:shd w:val="clear" w:color="auto" w:fill="auto"/>
            <w:vAlign w:val="center"/>
            <w:hideMark/>
          </w:tcPr>
          <w:p w14:paraId="42936EDC"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-82,9</w:t>
            </w:r>
          </w:p>
        </w:tc>
      </w:tr>
      <w:tr w:rsidR="00FD7B0B" w:rsidRPr="00FD7B0B" w14:paraId="43CB2D42" w14:textId="77777777" w:rsidTr="000164F8">
        <w:trPr>
          <w:trHeight w:val="168"/>
        </w:trPr>
        <w:tc>
          <w:tcPr>
            <w:tcW w:w="2154" w:type="dxa"/>
            <w:shd w:val="clear" w:color="auto" w:fill="auto"/>
            <w:vAlign w:val="center"/>
            <w:hideMark/>
          </w:tcPr>
          <w:p w14:paraId="784ACFD1" w14:textId="77777777" w:rsidR="0001284F" w:rsidRPr="00FD7B0B" w:rsidRDefault="0001284F" w:rsidP="000164F8">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 375-р/2</w:t>
            </w:r>
          </w:p>
        </w:tc>
        <w:tc>
          <w:tcPr>
            <w:tcW w:w="2256" w:type="dxa"/>
            <w:shd w:val="clear" w:color="auto" w:fill="auto"/>
            <w:vAlign w:val="center"/>
            <w:hideMark/>
          </w:tcPr>
          <w:p w14:paraId="69138F2B"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19,7  </w:t>
            </w:r>
          </w:p>
        </w:tc>
        <w:tc>
          <w:tcPr>
            <w:tcW w:w="2126" w:type="dxa"/>
            <w:shd w:val="clear" w:color="auto" w:fill="auto"/>
            <w:vAlign w:val="center"/>
            <w:hideMark/>
          </w:tcPr>
          <w:p w14:paraId="2E684368"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19,7  </w:t>
            </w:r>
          </w:p>
        </w:tc>
        <w:tc>
          <w:tcPr>
            <w:tcW w:w="1276" w:type="dxa"/>
            <w:shd w:val="clear" w:color="auto" w:fill="auto"/>
            <w:vAlign w:val="center"/>
            <w:hideMark/>
          </w:tcPr>
          <w:p w14:paraId="70EEBE00"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19,7  </w:t>
            </w:r>
          </w:p>
        </w:tc>
        <w:tc>
          <w:tcPr>
            <w:tcW w:w="992" w:type="dxa"/>
            <w:shd w:val="clear" w:color="auto" w:fill="auto"/>
            <w:vAlign w:val="center"/>
            <w:hideMark/>
          </w:tcPr>
          <w:p w14:paraId="11FC024F"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50" w:type="dxa"/>
            <w:shd w:val="clear" w:color="auto" w:fill="auto"/>
            <w:vAlign w:val="center"/>
            <w:hideMark/>
          </w:tcPr>
          <w:p w14:paraId="0BF1515E"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68CF9924" w14:textId="77777777" w:rsidTr="000164F8">
        <w:trPr>
          <w:trHeight w:val="194"/>
        </w:trPr>
        <w:tc>
          <w:tcPr>
            <w:tcW w:w="2154" w:type="dxa"/>
            <w:shd w:val="clear" w:color="auto" w:fill="auto"/>
            <w:vAlign w:val="center"/>
            <w:hideMark/>
          </w:tcPr>
          <w:p w14:paraId="649419F6" w14:textId="77777777" w:rsidR="0001284F" w:rsidRPr="00FD7B0B" w:rsidRDefault="0001284F" w:rsidP="000164F8">
            <w:pPr>
              <w:spacing w:after="0" w:line="240" w:lineRule="auto"/>
              <w:jc w:val="both"/>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КПМ № 375-р/3</w:t>
            </w:r>
          </w:p>
        </w:tc>
        <w:tc>
          <w:tcPr>
            <w:tcW w:w="2256" w:type="dxa"/>
            <w:shd w:val="clear" w:color="auto" w:fill="auto"/>
            <w:vAlign w:val="center"/>
            <w:hideMark/>
          </w:tcPr>
          <w:p w14:paraId="20B4DC2B"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4 089,8  </w:t>
            </w:r>
          </w:p>
        </w:tc>
        <w:tc>
          <w:tcPr>
            <w:tcW w:w="2126" w:type="dxa"/>
            <w:shd w:val="clear" w:color="auto" w:fill="auto"/>
            <w:vAlign w:val="center"/>
            <w:hideMark/>
          </w:tcPr>
          <w:p w14:paraId="556F2361"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4 089,8  </w:t>
            </w:r>
          </w:p>
        </w:tc>
        <w:tc>
          <w:tcPr>
            <w:tcW w:w="1276" w:type="dxa"/>
            <w:shd w:val="clear" w:color="auto" w:fill="auto"/>
            <w:vAlign w:val="center"/>
            <w:hideMark/>
          </w:tcPr>
          <w:p w14:paraId="23AD1E33"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4 089,8  </w:t>
            </w:r>
          </w:p>
        </w:tc>
        <w:tc>
          <w:tcPr>
            <w:tcW w:w="992" w:type="dxa"/>
            <w:shd w:val="clear" w:color="auto" w:fill="auto"/>
            <w:vAlign w:val="center"/>
            <w:hideMark/>
          </w:tcPr>
          <w:p w14:paraId="436C5BD3"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50" w:type="dxa"/>
            <w:shd w:val="clear" w:color="auto" w:fill="auto"/>
            <w:vAlign w:val="center"/>
            <w:hideMark/>
          </w:tcPr>
          <w:p w14:paraId="2F0B8A91"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08ECEFC0" w14:textId="77777777" w:rsidTr="000164F8">
        <w:trPr>
          <w:trHeight w:val="85"/>
        </w:trPr>
        <w:tc>
          <w:tcPr>
            <w:tcW w:w="2154" w:type="dxa"/>
            <w:shd w:val="clear" w:color="auto" w:fill="auto"/>
            <w:vAlign w:val="center"/>
            <w:hideMark/>
          </w:tcPr>
          <w:p w14:paraId="7F32EA51"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Всего по КПМ</w:t>
            </w:r>
          </w:p>
        </w:tc>
        <w:tc>
          <w:tcPr>
            <w:tcW w:w="2256" w:type="dxa"/>
            <w:shd w:val="clear" w:color="auto" w:fill="auto"/>
            <w:vAlign w:val="center"/>
            <w:hideMark/>
          </w:tcPr>
          <w:p w14:paraId="5F54295F"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7 973,3  </w:t>
            </w:r>
          </w:p>
        </w:tc>
        <w:tc>
          <w:tcPr>
            <w:tcW w:w="2126" w:type="dxa"/>
            <w:shd w:val="clear" w:color="auto" w:fill="auto"/>
            <w:vAlign w:val="center"/>
            <w:hideMark/>
          </w:tcPr>
          <w:p w14:paraId="3AC41CC5"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7 973,3  </w:t>
            </w:r>
          </w:p>
        </w:tc>
        <w:tc>
          <w:tcPr>
            <w:tcW w:w="1276" w:type="dxa"/>
            <w:shd w:val="clear" w:color="auto" w:fill="auto"/>
            <w:vAlign w:val="center"/>
            <w:hideMark/>
          </w:tcPr>
          <w:p w14:paraId="109083B1"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7 890,4  </w:t>
            </w:r>
          </w:p>
        </w:tc>
        <w:tc>
          <w:tcPr>
            <w:tcW w:w="992" w:type="dxa"/>
            <w:shd w:val="clear" w:color="auto" w:fill="auto"/>
            <w:vAlign w:val="center"/>
            <w:hideMark/>
          </w:tcPr>
          <w:p w14:paraId="1318D3C7"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850" w:type="dxa"/>
            <w:shd w:val="clear" w:color="auto" w:fill="auto"/>
            <w:vAlign w:val="center"/>
            <w:hideMark/>
          </w:tcPr>
          <w:p w14:paraId="3A812ECB"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-82,9</w:t>
            </w:r>
          </w:p>
        </w:tc>
      </w:tr>
      <w:tr w:rsidR="0001284F" w:rsidRPr="00FD7B0B" w14:paraId="37CCB907" w14:textId="77777777" w:rsidTr="000164F8">
        <w:trPr>
          <w:trHeight w:val="103"/>
        </w:trPr>
        <w:tc>
          <w:tcPr>
            <w:tcW w:w="2154" w:type="dxa"/>
            <w:shd w:val="clear" w:color="auto" w:fill="auto"/>
            <w:vAlign w:val="center"/>
            <w:hideMark/>
          </w:tcPr>
          <w:p w14:paraId="04B64F9A" w14:textId="77777777" w:rsidR="0001284F" w:rsidRPr="00FD7B0B" w:rsidRDefault="0001284F" w:rsidP="000164F8">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 по ГП № 19</w:t>
            </w:r>
          </w:p>
        </w:tc>
        <w:tc>
          <w:tcPr>
            <w:tcW w:w="2256" w:type="dxa"/>
            <w:shd w:val="clear" w:color="auto" w:fill="auto"/>
            <w:vAlign w:val="center"/>
            <w:hideMark/>
          </w:tcPr>
          <w:p w14:paraId="611878EC"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14 737,7  </w:t>
            </w:r>
          </w:p>
        </w:tc>
        <w:tc>
          <w:tcPr>
            <w:tcW w:w="2126" w:type="dxa"/>
            <w:shd w:val="clear" w:color="auto" w:fill="auto"/>
            <w:vAlign w:val="center"/>
            <w:hideMark/>
          </w:tcPr>
          <w:p w14:paraId="02E3D57F"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14 738,1  </w:t>
            </w:r>
          </w:p>
        </w:tc>
        <w:tc>
          <w:tcPr>
            <w:tcW w:w="1276" w:type="dxa"/>
            <w:shd w:val="clear" w:color="auto" w:fill="auto"/>
            <w:vAlign w:val="center"/>
            <w:hideMark/>
          </w:tcPr>
          <w:p w14:paraId="798221DB" w14:textId="77777777" w:rsidR="0001284F" w:rsidRPr="00FD7B0B" w:rsidRDefault="0001284F" w:rsidP="000164F8">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14 654,8  </w:t>
            </w:r>
          </w:p>
        </w:tc>
        <w:tc>
          <w:tcPr>
            <w:tcW w:w="992" w:type="dxa"/>
            <w:shd w:val="clear" w:color="auto" w:fill="auto"/>
            <w:vAlign w:val="center"/>
            <w:hideMark/>
          </w:tcPr>
          <w:p w14:paraId="1059BBA9"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0,4</w:t>
            </w:r>
          </w:p>
        </w:tc>
        <w:tc>
          <w:tcPr>
            <w:tcW w:w="850" w:type="dxa"/>
            <w:shd w:val="clear" w:color="auto" w:fill="auto"/>
            <w:vAlign w:val="center"/>
            <w:hideMark/>
          </w:tcPr>
          <w:p w14:paraId="5D80F891" w14:textId="77777777" w:rsidR="0001284F" w:rsidRPr="00FD7B0B" w:rsidRDefault="0001284F" w:rsidP="000164F8">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-82,9</w:t>
            </w:r>
          </w:p>
        </w:tc>
      </w:tr>
    </w:tbl>
    <w:p w14:paraId="43E32007" w14:textId="77777777" w:rsidR="0001284F" w:rsidRPr="00FD7B0B" w:rsidRDefault="0001284F" w:rsidP="0001284F">
      <w:pPr>
        <w:spacing w:after="0" w:line="120" w:lineRule="auto"/>
        <w:ind w:firstLine="709"/>
        <w:contextualSpacing/>
        <w:jc w:val="both"/>
        <w:rPr>
          <w:rFonts w:ascii="Times New Roman" w:eastAsia="Times New Roman" w:hAnsi="Times New Roman"/>
          <w:sz w:val="28"/>
          <w:szCs w:val="28"/>
          <w:lang w:eastAsia="ru-RU"/>
        </w:rPr>
      </w:pPr>
    </w:p>
    <w:p w14:paraId="7B508840" w14:textId="6B45A169"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нарушение пункта 29 </w:t>
      </w:r>
      <w:r w:rsidR="00DB53A0" w:rsidRPr="00FD7B0B">
        <w:rPr>
          <w:rFonts w:ascii="Times New Roman" w:eastAsia="Times New Roman" w:hAnsi="Times New Roman"/>
          <w:sz w:val="28"/>
          <w:szCs w:val="28"/>
          <w:lang w:eastAsia="ru-RU"/>
        </w:rPr>
        <w:t xml:space="preserve">Положения </w:t>
      </w:r>
      <w:r w:rsidRPr="00FD7B0B">
        <w:rPr>
          <w:rFonts w:ascii="Times New Roman" w:eastAsia="Times New Roman" w:hAnsi="Times New Roman"/>
          <w:sz w:val="28"/>
          <w:szCs w:val="28"/>
          <w:lang w:eastAsia="ru-RU"/>
        </w:rPr>
        <w:t>№ 793-пп паспорт КПМ № 375-р/1 не приведен в соответствии с законом «Об областном бюджете» в установленный срок – «не позднее 1 апреля текущего финансового года».</w:t>
      </w:r>
    </w:p>
    <w:p w14:paraId="5B880C0A" w14:textId="77777777" w:rsidR="0001284F" w:rsidRPr="00FD7B0B" w:rsidRDefault="0001284F" w:rsidP="0001284F">
      <w:pPr>
        <w:spacing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нарушение пункта 41 Постановления № 793-пп допущено расхождение параметров финансового обеспечения ГП № 19 и паспорта РП № 9.</w:t>
      </w:r>
    </w:p>
    <w:p w14:paraId="54F92074" w14:textId="1DCC4DE0"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запросу КСП АО минэкономпром АО 11.04.2025 представлен проект отчета</w:t>
      </w:r>
      <w:r w:rsidRPr="00FD7B0B">
        <w:t xml:space="preserve"> </w:t>
      </w:r>
      <w:r w:rsidRPr="00FD7B0B">
        <w:rPr>
          <w:rFonts w:ascii="Times New Roman" w:eastAsia="Times New Roman" w:hAnsi="Times New Roman"/>
          <w:sz w:val="28"/>
          <w:szCs w:val="28"/>
          <w:lang w:eastAsia="ru-RU"/>
        </w:rPr>
        <w:t xml:space="preserve">о реализации в 2024 году ГП № 19, согласно которому кассовые расходы составили в общей сумме 15 095,9 млн.руб. за счет средств областного бюджета или 97,4 % к утвержденному плану на 2024 год (15 493,16). Кассовые расходы за счет бюджетов муниципальных образований </w:t>
      </w:r>
      <w:r w:rsidR="00DB53A0" w:rsidRPr="00FD7B0B">
        <w:rPr>
          <w:rFonts w:ascii="Times New Roman" w:eastAsia="Times New Roman" w:hAnsi="Times New Roman"/>
          <w:sz w:val="28"/>
          <w:szCs w:val="28"/>
          <w:lang w:eastAsia="ru-RU"/>
        </w:rPr>
        <w:t>отсутствуют</w:t>
      </w:r>
      <w:r w:rsidRPr="00FD7B0B">
        <w:rPr>
          <w:rFonts w:ascii="Times New Roman" w:eastAsia="Times New Roman" w:hAnsi="Times New Roman"/>
          <w:sz w:val="28"/>
          <w:szCs w:val="28"/>
          <w:lang w:eastAsia="ru-RU"/>
        </w:rPr>
        <w:t>.</w:t>
      </w:r>
    </w:p>
    <w:p w14:paraId="3A215AA6"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По запросу КСП АО министерством транспорта 18.04.2025 представлен другой проект отчета о реализации ГП № 19, отличающийся от представленного минэкономпром АО как в текстовой (пояснительной) части, так и в табличных </w:t>
      </w:r>
      <w:r w:rsidRPr="00FD7B0B">
        <w:rPr>
          <w:rFonts w:ascii="Times New Roman" w:eastAsia="Times New Roman" w:hAnsi="Times New Roman"/>
          <w:sz w:val="28"/>
          <w:szCs w:val="28"/>
          <w:lang w:eastAsia="ru-RU"/>
        </w:rPr>
        <w:lastRenderedPageBreak/>
        <w:t>формах. Например, объем финансирования ГП № 19 плановый и фактический указан с учетом средств местных бюджетов в разрезе мероприятий.</w:t>
      </w:r>
    </w:p>
    <w:p w14:paraId="2C9F6E51" w14:textId="77777777" w:rsidR="0001284F" w:rsidRPr="00FD7B0B" w:rsidRDefault="0001284F" w:rsidP="0001284F">
      <w:pPr>
        <w:spacing w:after="0" w:line="120" w:lineRule="auto"/>
        <w:ind w:firstLine="709"/>
        <w:contextualSpacing/>
        <w:jc w:val="both"/>
        <w:rPr>
          <w:rFonts w:ascii="Times New Roman" w:eastAsia="Times New Roman" w:hAnsi="Times New Roman"/>
          <w:sz w:val="28"/>
          <w:szCs w:val="28"/>
          <w:lang w:eastAsia="ru-RU"/>
        </w:rPr>
      </w:pPr>
    </w:p>
    <w:p w14:paraId="6FCCA4FD"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b/>
          <w:sz w:val="28"/>
          <w:szCs w:val="28"/>
          <w:lang w:eastAsia="ru-RU"/>
        </w:rPr>
        <w:t>В рамках РП № 1</w:t>
      </w:r>
      <w:r w:rsidRPr="00FD7B0B">
        <w:rPr>
          <w:rFonts w:ascii="Times New Roman" w:eastAsia="Times New Roman" w:hAnsi="Times New Roman"/>
          <w:sz w:val="28"/>
          <w:szCs w:val="28"/>
          <w:lang w:eastAsia="ru-RU"/>
        </w:rPr>
        <w:t xml:space="preserve"> запланирована реализация 7 мероприятий, запланированные расходы по которым на отчетную дату выполнены на 96,7 % к СБР. Согласно проекту отчета о реализации ГП № 19 все мероприятия выполнены полностью, из них отдельно отмечено мероприятие:</w:t>
      </w:r>
    </w:p>
    <w:p w14:paraId="18E27426" w14:textId="2B6C1005"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1) Субсидии бюджетам 10 муниципальных районов, муниципальных округов, городских округов и городских поселений Архангельской области на модернизацию нерегулируемых пешеходных переходов, светофорных объектов и установку светофорных объектов, пешеходных ограждений на автомобильных дорогах общего пользования местного значения – исполнено 37</w:t>
      </w:r>
      <w:r w:rsidR="00FB1344" w:rsidRPr="00FD7B0B">
        <w:rPr>
          <w:rFonts w:ascii="Times New Roman" w:eastAsia="Times New Roman" w:hAnsi="Times New Roman"/>
          <w:sz w:val="28"/>
          <w:szCs w:val="28"/>
          <w:lang w:eastAsia="ru-RU"/>
        </w:rPr>
        <w:t>,494 млн.руб. или 93,7 % к СБР.</w:t>
      </w:r>
    </w:p>
    <w:p w14:paraId="428EA18F" w14:textId="4FD9A4DF"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Министерством транспорта с мая по сентябрь заключены 10 соглашений с МО на общую сумму субсидии (с учетом внесенных изменений с июля по декабрь) на 37,578 млн.руб. или на 2,422 млн.руб. м</w:t>
      </w:r>
      <w:r w:rsidR="00110166" w:rsidRPr="00FD7B0B">
        <w:rPr>
          <w:rFonts w:ascii="Times New Roman" w:eastAsia="Times New Roman" w:hAnsi="Times New Roman"/>
          <w:sz w:val="28"/>
          <w:szCs w:val="28"/>
          <w:lang w:eastAsia="ru-RU"/>
        </w:rPr>
        <w:t>еньше плановых показателей СБР.</w:t>
      </w:r>
    </w:p>
    <w:p w14:paraId="74D8B6EC" w14:textId="6BAF6CE0"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каждом соглашении указан общий объем бюджетных ассигнований, объем субсидии и установленный предельный уровень софинансирования в размере от 63,65 % до 80,0 %, что соответствует пункту 5 Положения о порядке и условиях проведения конкурса на предоставление субсидий бюджетам муниципальных районов, муниципальных округов, городских округов и городских поселений Архангельской области на софинансирование мероприятий по модернизации нерегулируемых пешеходных переходов, светофорных объектов и установке светофорных объектов, пешеходных ограждений на автомобильных дорогах общего пользования местного значения (далее – Положение по модернизации).</w:t>
      </w:r>
    </w:p>
    <w:p w14:paraId="38EE82FB"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ходе экспертизы исполнения бюджета за 2024 год выявлено, что в нарушение п. 5 Положения по модернизации, статьи 139 БК РФ по соглашению № Т026-8 от 31.05.2024, заключенному министерством транспорта с администрацией Холмогорского МО АО завышен размер субсидии на 14 790,78 руб., исходя из установленного соглашением уровня софинансирования или неверно утвержден уровень софинансирования, при размере субсидии 3,2 млн.руб. и общем объеме бюджетных ассигнований в 4,3 млн.руб., в таком случае уровень софинансирования должен был составить 74,6011915 %.</w:t>
      </w:r>
    </w:p>
    <w:p w14:paraId="50F52A5C" w14:textId="6B96CE5C"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отчетам МО, кассовые расходы по мероприятию всего составили 49,206 млн.руб., из них за счет средств субсидии 37,494 млн.руб., за счет средств местных бюджетов – 11,712 млн.руб. Достоверность сведений проектов отчета о реализации ГП № 19 в 2024 году в части расходов местных бюджетов подтвердить не представляется возможным, поскольку на момент проведения экспертизы отчет не утвержден, а оба варианта проекта отчета, содержат разные данные о расходах за счет средств местных бюджетов, не соответствующие отчетам муниципальных образований.</w:t>
      </w:r>
    </w:p>
    <w:p w14:paraId="6866DC91"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целом исполнение кассовых расходов проектной части госпрограммы составило 99,3 % к СБР и 107 % к параметрам закона «Об областном бюджете». </w:t>
      </w:r>
    </w:p>
    <w:p w14:paraId="4D289C03"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b/>
          <w:sz w:val="28"/>
          <w:szCs w:val="28"/>
          <w:lang w:eastAsia="ru-RU"/>
        </w:rPr>
        <w:lastRenderedPageBreak/>
        <w:t>В рамках КПМ № 375-р/1</w:t>
      </w:r>
      <w:r w:rsidRPr="00FD7B0B">
        <w:rPr>
          <w:rFonts w:ascii="Times New Roman" w:eastAsia="Times New Roman" w:hAnsi="Times New Roman"/>
          <w:sz w:val="28"/>
          <w:szCs w:val="28"/>
          <w:lang w:eastAsia="ru-RU"/>
        </w:rPr>
        <w:t xml:space="preserve"> запланирована реализация 25 мероприятий, из них выполнено - 22, запланированные расходы по которым на отчетную дату выполнены на 96,6 % к СБР, в том числе отмечены отдельно следующие мероприятия:</w:t>
      </w:r>
    </w:p>
    <w:p w14:paraId="29F60A2A" w14:textId="77777777" w:rsidR="0001284F" w:rsidRPr="00FD7B0B" w:rsidRDefault="0001284F" w:rsidP="00265138">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1.1. Обеспечено возмещение недополученных доходов организациям воздушного транспорта, возникающих в результате государственного регулирования тарифов на перевозку пассажиров и багажа – исполнено 237,8 млн.руб. или 100 % к СБР, в том числе:</w:t>
      </w:r>
    </w:p>
    <w:p w14:paraId="5EF0B663" w14:textId="2297427F"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 по соглашению № 2024/ВТС-1 от 19.01.2024 с АО «2-ой Архангельский объединенный авиаотряд» перечислено 185,5 млн.руб. (выплаты осуществлены за ноябрь (частичная оплата) – декабрь 2023 года в размере </w:t>
      </w:r>
      <w:r w:rsidR="00265138" w:rsidRPr="00FD7B0B">
        <w:rPr>
          <w:rFonts w:ascii="Times New Roman" w:eastAsia="Times New Roman" w:hAnsi="Times New Roman"/>
          <w:sz w:val="28"/>
          <w:szCs w:val="28"/>
          <w:lang w:eastAsia="ru-RU"/>
        </w:rPr>
        <w:t>28,4 млн.</w:t>
      </w:r>
      <w:r w:rsidRPr="00FD7B0B">
        <w:rPr>
          <w:rFonts w:ascii="Times New Roman" w:eastAsia="Times New Roman" w:hAnsi="Times New Roman"/>
          <w:sz w:val="28"/>
          <w:szCs w:val="28"/>
          <w:lang w:eastAsia="ru-RU"/>
        </w:rPr>
        <w:t>руб. и январь – август (частичная оплата)</w:t>
      </w:r>
      <w:r w:rsidR="00265138" w:rsidRPr="00FD7B0B">
        <w:rPr>
          <w:rFonts w:ascii="Times New Roman" w:eastAsia="Times New Roman" w:hAnsi="Times New Roman"/>
          <w:sz w:val="28"/>
          <w:szCs w:val="28"/>
          <w:lang w:eastAsia="ru-RU"/>
        </w:rPr>
        <w:t xml:space="preserve"> 2024 года в размере 157,1 млн.</w:t>
      </w:r>
      <w:r w:rsidRPr="00FD7B0B">
        <w:rPr>
          <w:rFonts w:ascii="Times New Roman" w:eastAsia="Times New Roman" w:hAnsi="Times New Roman"/>
          <w:sz w:val="28"/>
          <w:szCs w:val="28"/>
          <w:lang w:eastAsia="ru-RU"/>
        </w:rPr>
        <w:t>руб.) или 100</w:t>
      </w:r>
      <w:r w:rsidR="00265138" w:rsidRPr="00FD7B0B">
        <w:rPr>
          <w:rFonts w:ascii="Times New Roman" w:eastAsia="Times New Roman" w:hAnsi="Times New Roman"/>
          <w:sz w:val="28"/>
          <w:szCs w:val="28"/>
          <w:lang w:eastAsia="ru-RU"/>
        </w:rPr>
        <w:t> </w:t>
      </w:r>
      <w:r w:rsidRPr="00FD7B0B">
        <w:rPr>
          <w:rFonts w:ascii="Times New Roman" w:eastAsia="Times New Roman" w:hAnsi="Times New Roman"/>
          <w:sz w:val="28"/>
          <w:szCs w:val="28"/>
          <w:lang w:eastAsia="ru-RU"/>
        </w:rPr>
        <w:t xml:space="preserve">% от плановых значений соглашения. </w:t>
      </w:r>
    </w:p>
    <w:p w14:paraId="3D292856" w14:textId="77777777" w:rsidR="00373393" w:rsidRPr="00FD7B0B" w:rsidRDefault="00373393" w:rsidP="00373393">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отчету АО «2-ой Архангельский объединенный авиаотряд» фактически недополученные доходы при осуществлении авиаперевозок пассажиров и багажа за 2024 год составили в размере 263,5 млн.руб. В связи с необеспеченностью финансирования потребности в средствах субсидий за период август (частично) – ноябрь 2024 года по состоянию на 01.01.2025 задолженность министерства транспорта перед АО «2-ой Архангельский ОАО» недополученных доходов, возникающих в результате государственного регулирования тарифов на перевозку пассажиров и багажа, составляет не менее 106 млн.руб.</w:t>
      </w:r>
    </w:p>
    <w:p w14:paraId="1D2F16E3" w14:textId="77777777" w:rsidR="0001284F" w:rsidRPr="00FD7B0B" w:rsidRDefault="0001284F" w:rsidP="0001284F">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Кредиторская задолженность у министерства транспорта по состоянию на 31.12.2024 отсутствует (подтверждено данным бюджетной отчетности «Сведения по дебиторской и кредиторской задолженности» (ф. 0503169) за 2024 год), что свидетельствует о нарушении принципов полноты отражения расходов и достоверности бюджета, определенных статьями 32 и 37 БК РФ, статей 9, 10, 13 </w:t>
      </w:r>
      <w:r w:rsidRPr="00FD7B0B">
        <w:rPr>
          <w:rFonts w:ascii="Times New Roman" w:hAnsi="Times New Roman" w:cs="Times New Roman"/>
          <w:sz w:val="28"/>
          <w:szCs w:val="28"/>
        </w:rPr>
        <w:t xml:space="preserve">Федерального закона от 06.12.2011 № 402-ФЗ "О бухгалтерском учете", </w:t>
      </w:r>
      <w:r w:rsidRPr="00FD7B0B">
        <w:rPr>
          <w:rFonts w:ascii="Times New Roman" w:eastAsia="Times New Roman" w:hAnsi="Times New Roman" w:cs="Times New Roman"/>
          <w:sz w:val="28"/>
          <w:szCs w:val="28"/>
          <w:lang w:eastAsia="ru-RU"/>
        </w:rPr>
        <w:t>пунктов 3, 254, 257 Инструкции № 157н, пунктов 2,</w:t>
      </w:r>
      <w:r w:rsidRPr="00FD7B0B">
        <w:t xml:space="preserve"> </w:t>
      </w:r>
      <w:r w:rsidRPr="00FD7B0B">
        <w:rPr>
          <w:rFonts w:ascii="Times New Roman" w:eastAsia="Times New Roman" w:hAnsi="Times New Roman" w:cs="Times New Roman"/>
          <w:sz w:val="28"/>
          <w:szCs w:val="28"/>
          <w:lang w:eastAsia="ru-RU"/>
        </w:rPr>
        <w:t>102 Инструкции № 162н, пунктов 12,13,14,15,167 Инструкции № 191н;</w:t>
      </w:r>
    </w:p>
    <w:p w14:paraId="328DC9DF" w14:textId="2A4AA2B6"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 по соглашению № 2024/ВТС-6 от 06.02.2024 с АО «Вологодское авиационное предприятие» перечислено 52,3 млн.руб. или 100 % от плановых значений соглашения, из них: согласно отчету АО </w:t>
      </w:r>
      <w:r w:rsidRPr="00FD7B0B">
        <w:rPr>
          <w:rFonts w:ascii="Times New Roman" w:eastAsia="Times New Roman" w:hAnsi="Times New Roman" w:cs="Times New Roman"/>
          <w:sz w:val="28"/>
          <w:szCs w:val="28"/>
          <w:lang w:eastAsia="ru-RU"/>
        </w:rPr>
        <w:t xml:space="preserve">«Вологодское авиационное предприятие» </w:t>
      </w:r>
      <w:r w:rsidRPr="00FD7B0B">
        <w:rPr>
          <w:rFonts w:ascii="Times New Roman" w:eastAsia="Times New Roman" w:hAnsi="Times New Roman"/>
          <w:sz w:val="28"/>
          <w:szCs w:val="28"/>
          <w:lang w:eastAsia="ru-RU"/>
        </w:rPr>
        <w:t>фактически недополученные доходы при осуществлении авиаперевозок пассажиров и багажа за 2024 год составили 50,2 млн.руб., оплачена за 2023 год (кредиторская задолженность) в размере</w:t>
      </w:r>
      <w:r w:rsidRPr="00FD7B0B">
        <w:t xml:space="preserve"> </w:t>
      </w:r>
      <w:r w:rsidR="00265138" w:rsidRPr="00FD7B0B">
        <w:rPr>
          <w:rFonts w:ascii="Times New Roman" w:eastAsia="Times New Roman" w:hAnsi="Times New Roman"/>
          <w:sz w:val="28"/>
          <w:szCs w:val="28"/>
          <w:lang w:eastAsia="ru-RU"/>
        </w:rPr>
        <w:t>2,1 млн.руб.</w:t>
      </w:r>
    </w:p>
    <w:p w14:paraId="04864DD3"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Необходимо отметить, что соглашениями № 2024/ВТС-1 от 19.01.2024, № 2024/ВТС-6 от 06.02.2024 установлен показатель результата использования субсидии - Доля рейсов на субсидируемых маршрутах, фактически выполненных в соответствии с расписанием при осуществлении пассажирских перевозок, в общем количестве рейсов, установленных в соответствии с расписанием – 100 %, что не соответствует пункту 21 Порядка предоставления субсидии на возмещение недополученных доходов, возникающих в результате государственного регулирования тарифов на перевозку пассажиров и багажа </w:t>
      </w:r>
      <w:r w:rsidRPr="00FD7B0B">
        <w:rPr>
          <w:rFonts w:ascii="Times New Roman" w:eastAsia="Times New Roman" w:hAnsi="Times New Roman"/>
          <w:sz w:val="28"/>
          <w:szCs w:val="28"/>
          <w:lang w:eastAsia="ru-RU"/>
        </w:rPr>
        <w:lastRenderedPageBreak/>
        <w:t>воздушным транспортом, в котором указано, что показателями результата предоставления субсидии являются:</w:t>
      </w:r>
    </w:p>
    <w:p w14:paraId="2F645B04"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доля рейсов на субсидируемых маршрутах, фактически выполненных в соответствии с расписанием при осуществлении пассажирских перевозок;</w:t>
      </w:r>
    </w:p>
    <w:p w14:paraId="3804673E"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количество перевезенных пассажиров на субсидируемых маршрутах воздушным транспортом.</w:t>
      </w:r>
    </w:p>
    <w:p w14:paraId="1BF9979B"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2) Обеспечено возмещение недополученных доходов организациям железнодорожного транспорта, возникающих в результате государственного регулирования тарифов на перевозку пассажиров и багажа в пригородном и межмуниципальном сообщении – исполнено 574,3 млн.руб. или 100 % к СБР, в том числе:</w:t>
      </w:r>
    </w:p>
    <w:p w14:paraId="5139E63B" w14:textId="3E09D951"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по соглашению от 18.01.2024 № 02/ЖД-2024 с АО «Северная пригородная пассажирская компания»</w:t>
      </w:r>
      <w:r w:rsidRPr="00FD7B0B">
        <w:t xml:space="preserve"> </w:t>
      </w:r>
      <w:r w:rsidR="00D0403F" w:rsidRPr="00FD7B0B">
        <w:rPr>
          <w:rFonts w:ascii="Times New Roman" w:eastAsia="Times New Roman" w:hAnsi="Times New Roman"/>
          <w:sz w:val="28"/>
          <w:szCs w:val="28"/>
          <w:lang w:eastAsia="ru-RU"/>
        </w:rPr>
        <w:t>перечислено 574,3 млн.руб.</w:t>
      </w:r>
    </w:p>
    <w:p w14:paraId="354245DE" w14:textId="079B6F8E"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отчету АО «Северная пригородная пассажирская компания» фактически недополученные доходы за 2024 год составили в размере 739,4 млн.руб. В связи с необеспеченностью финансирования потребности в средствах субсидий за 2024 года по состоянию на 01.01.2025 задолженность министерства транспорта перед АО «Северная пригородная пассажирская компания» недополученных доходов, возникающих в результате государственного регулирования тарифов на перевозку пассажиров и багаж</w:t>
      </w:r>
      <w:r w:rsidR="00D0403F" w:rsidRPr="00FD7B0B">
        <w:rPr>
          <w:rFonts w:ascii="Times New Roman" w:eastAsia="Times New Roman" w:hAnsi="Times New Roman"/>
          <w:sz w:val="28"/>
          <w:szCs w:val="28"/>
          <w:lang w:eastAsia="ru-RU"/>
        </w:rPr>
        <w:t>а, составляет не менее 400 млн.</w:t>
      </w:r>
      <w:r w:rsidRPr="00FD7B0B">
        <w:rPr>
          <w:rFonts w:ascii="Times New Roman" w:eastAsia="Times New Roman" w:hAnsi="Times New Roman"/>
          <w:sz w:val="28"/>
          <w:szCs w:val="28"/>
          <w:lang w:eastAsia="ru-RU"/>
        </w:rPr>
        <w:t>руб.</w:t>
      </w:r>
    </w:p>
    <w:p w14:paraId="4A7F26B8" w14:textId="77777777" w:rsidR="0001284F" w:rsidRPr="00FD7B0B" w:rsidRDefault="0001284F" w:rsidP="0001284F">
      <w:pPr>
        <w:spacing w:after="0" w:line="240" w:lineRule="auto"/>
        <w:ind w:firstLine="708"/>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Кредиторская задолженность у министерства транспорта по состоянию на 31.12.2024 отсутствует (подтверждено данным бюджетной отчетности «Сведения по дебиторской и кредиторской задолженности» (ф. 0503169) за 2024 год), что свидетельствует о нарушении принципов полноты отражения расходов и достоверности бюджета, определенных статьями 32 и 37 БК РФ, статей 9, 10, 13 Федерального закона от 06.12.2011 № 402-ФЗ "О бухгалтерском учете", пунктов 3, 254, 257 Инструкции № 157н, пунктов 2, 102 Инструкции № 162н, пунктов 12,13,14,15,167 Инструкции № 191н;</w:t>
      </w:r>
    </w:p>
    <w:p w14:paraId="0AFD4F37"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3) Обеспечена компенсация организации железнодорожного транспорта потерь в доходах, возникающих в результате предоставления 50-процентной скидки на проезд железнодорожным транспортом общего пользования в поездах пригородного сообщения учащимся и воспитанникам образовательных организаций старше семи лет, студентам (курсантам), обучающимся по очной форме обучения в профессиональных образовательных организациях и образовательных организациях высшего образования – исполнено 19,4 млн.руб. или 99 % к СБР, в том числе:</w:t>
      </w:r>
    </w:p>
    <w:p w14:paraId="32D4B9D0"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по соглашению от 18.01.2024 № 03/ЖД-2024 перечислено 19,2 млн.руб.</w:t>
      </w:r>
    </w:p>
    <w:p w14:paraId="25E92952" w14:textId="77777777" w:rsidR="0001284F" w:rsidRPr="00FD7B0B" w:rsidRDefault="0001284F" w:rsidP="0001284F">
      <w:pPr>
        <w:spacing w:after="0" w:line="240" w:lineRule="auto"/>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АО «Северная пригородная пассажирская компания». Согласно отчету АО «Северная пригородная пассажирская компания» фактически недополученные доходы за 2024 год составили 15,1 млн.руб., также 4,1 млн.руб. оплачено за 2023 год (кредиторская задолженность).</w:t>
      </w:r>
    </w:p>
    <w:p w14:paraId="7CE2F093" w14:textId="77777777" w:rsidR="0001284F" w:rsidRPr="00FD7B0B" w:rsidRDefault="0001284F" w:rsidP="0001284F">
      <w:pPr>
        <w:spacing w:after="0" w:line="240" w:lineRule="auto"/>
        <w:ind w:firstLine="708"/>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2.2. Выполнены содержание, ремонт, капитальный ремонт инфраструктуры технологической узкоколейной железной дороги «Липаково – Лужма – Сеза» Плесецкого муниципального округа Архангельской области, </w:t>
      </w:r>
      <w:r w:rsidRPr="00FD7B0B">
        <w:rPr>
          <w:rFonts w:ascii="Times New Roman" w:eastAsia="Times New Roman" w:hAnsi="Times New Roman"/>
          <w:sz w:val="28"/>
          <w:szCs w:val="28"/>
          <w:lang w:eastAsia="ru-RU"/>
        </w:rPr>
        <w:lastRenderedPageBreak/>
        <w:t>включая ремонт и капитальный ремонт подвижного состава – исполнено 2,6 млн.руб. или 80,8 % к СБР, что соответствует отчету о расходах муниципального образования. При этом согласно отчету МО, показатель соглашения не выполнен – результат мероприятия не достигнут.</w:t>
      </w:r>
    </w:p>
    <w:p w14:paraId="293423AD"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3.3. Организованы пассажирские муниципальные маршруты для перевозки пассажиров и багажа автомобильным транспортом – исполнено 122,159 млн.руб. или 93,3 % к СБР.</w:t>
      </w:r>
    </w:p>
    <w:p w14:paraId="50496975" w14:textId="7EC2ABA2"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Вместе с тем, отчеты о расходах муниципальных образований не соответствуют данным отчета об исполнении бюджета и вариантам проекта отчета о реализации ГП № 19.</w:t>
      </w:r>
    </w:p>
    <w:p w14:paraId="2B5F7D87"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отчетах о расходах муниципальных образований указано, что в местные бюджеты из областного бюджета поступило 121,650 млн.руб. (меньше на 0,509 млн.руб.), кассовые расходы за счет средств субсидии из областного бюджета составили 122,163 млн.руб. (больше на 0,004 млн.руб.):</w:t>
      </w:r>
    </w:p>
    <w:p w14:paraId="095F7D96"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Отклонение по поступившей сумме субсидии выявлено по трем муниципальным образованиям: Ленский МР АО, Мезенский МО АО, Шенкурский МО АО;</w:t>
      </w:r>
    </w:p>
    <w:p w14:paraId="2F61994B"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Отклонение по кассовым расходам выявлено по Красноборскому МР АО. В отчете о расходах муниципального образования кассовые расходы за счет субсидии составили 100 % - 13,841 млн.руб., тогда как согласно отчетности минтранс АО по форме 0503125 – 13,837 млн.руб.</w:t>
      </w:r>
    </w:p>
    <w:p w14:paraId="4E4295C2"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Также отмечаем, что в строке 1135 приложения № 12</w:t>
      </w:r>
      <w:r w:rsidRPr="00FD7B0B">
        <w:t xml:space="preserve"> </w:t>
      </w:r>
      <w:r w:rsidRPr="00FD7B0B">
        <w:rPr>
          <w:rFonts w:ascii="Times New Roman" w:hAnsi="Times New Roman" w:cs="Times New Roman"/>
        </w:rPr>
        <w:t>«</w:t>
      </w:r>
      <w:r w:rsidRPr="00FD7B0B">
        <w:rPr>
          <w:rFonts w:ascii="Times New Roman" w:eastAsia="Times New Roman" w:hAnsi="Times New Roman"/>
          <w:sz w:val="28"/>
          <w:szCs w:val="28"/>
          <w:lang w:eastAsia="ru-RU"/>
        </w:rPr>
        <w:t>Информация об исполнении областного бюджета в разрезе межбюджетных трансфертов, предоставленных муниципальным образованиям Архангельской области за 2024 год» к отчету об исполнении бюджета указано, что исполнено 13,837 млн.руб. из 13,841 млн.руб. утвержденных СБР (99,9 %), при этом в столбце 9 процентное исполнение указано как 100 %.</w:t>
      </w:r>
    </w:p>
    <w:p w14:paraId="6B780033" w14:textId="77777777" w:rsidR="0001284F" w:rsidRPr="00FD7B0B" w:rsidRDefault="0001284F" w:rsidP="0001284F">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Министерством транспорта в 2024 году заключены 16 соглашений о предоставлении субсидии из областного бюджета бюджетам муниципальных образований на общую сумму 130,9 млн.руб. Уровень софинансирования из бюджета муниципальных образований по соглашениям муниципальными образованиями составил не менее 20 %, что соответствует условиям предоставления субсидии.</w:t>
      </w:r>
    </w:p>
    <w:p w14:paraId="75ACA4BA" w14:textId="5243EF64" w:rsidR="0001284F" w:rsidRPr="00FD7B0B" w:rsidRDefault="0001284F" w:rsidP="0001284F">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Выборочным методом проведен анализ кассовых расходов по муниципальным контрактам на предмет соответствия отчетам о расходах по данным сайта ЕИС. Выявлено, что по муниципальному контракту от 07.06.2024 № 3290700341624000013, заключенному администрацией Вельского МР АО в рамках указанного мероприятия, подрядчиком исполнены обязательства на 3,763 млн.руб. (по 20.12.2024), оплачено – 3,806 млн.руб. (по 31.12.202</w:t>
      </w:r>
      <w:r w:rsidR="00EE5A9A" w:rsidRPr="00FD7B0B">
        <w:rPr>
          <w:rFonts w:ascii="Times New Roman" w:eastAsia="Times New Roman" w:hAnsi="Times New Roman"/>
          <w:sz w:val="28"/>
          <w:szCs w:val="28"/>
          <w:lang w:eastAsia="ru-RU"/>
        </w:rPr>
        <w:t>4) или больше на 0,043 млн.руб.</w:t>
      </w:r>
    </w:p>
    <w:p w14:paraId="7B386BAD" w14:textId="77777777" w:rsidR="0001284F" w:rsidRPr="00FD7B0B" w:rsidRDefault="0001284F" w:rsidP="0001284F">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Подрядчиком по акту от 20.12.2024 предъявлен объем невыполненных работ за период с 21 по 31 декабря. Авансирование контрактом не предусмотрено. В нарушение условий соглашения, пп. 6 п. 7 и 21 Положения от 29.12.2021, п. 1 и 2 ч. 1 ст. 94 Закона № 44-ФЗ, статьи 139, п. 3 ст. 162, ст. 306.4 БК РФ</w:t>
      </w:r>
      <w:r w:rsidRPr="00FD7B0B">
        <w:t xml:space="preserve"> </w:t>
      </w:r>
      <w:r w:rsidRPr="00FD7B0B">
        <w:rPr>
          <w:rFonts w:ascii="Times New Roman" w:eastAsia="Times New Roman" w:hAnsi="Times New Roman"/>
          <w:sz w:val="28"/>
          <w:szCs w:val="28"/>
          <w:lang w:eastAsia="ru-RU"/>
        </w:rPr>
        <w:t xml:space="preserve">оплата произведена за полный месяц с учетом невыполненных работ. </w:t>
      </w:r>
      <w:r w:rsidRPr="00FD7B0B">
        <w:rPr>
          <w:rFonts w:ascii="Times New Roman" w:eastAsia="Times New Roman" w:hAnsi="Times New Roman"/>
          <w:sz w:val="28"/>
          <w:szCs w:val="28"/>
          <w:lang w:eastAsia="ru-RU"/>
        </w:rPr>
        <w:lastRenderedPageBreak/>
        <w:t>Министерством транспорта при согласовании заявки на перечисление бюджетных средств по акту выполненных работ за декабрь 2024 года нарушены статьи 158, 162 БК РФ.</w:t>
      </w:r>
    </w:p>
    <w:p w14:paraId="3E87D2A5"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3.5. Проведены ремонтные работы на пассажирских судах водного транспорта – исполнено 2,7 млн.руб. или 91 % к СБР, что соответствует данным отчета муниципального образования.</w:t>
      </w:r>
    </w:p>
    <w:p w14:paraId="7BA8D516" w14:textId="1343A101"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Министерством транспорта и администрацией Холмогорского МО АО 06.05.2024 заключено соглашение о предоставлении субсидии из областного бюджета бюджету на проведение ремонтных работ на трех пассажирских судах водного транспорта (Холмогорский муниципальный район Архангельской области). Согласно отчетам муниципального образования</w:t>
      </w:r>
      <w:r w:rsidR="00EE5A9A" w:rsidRPr="00FD7B0B">
        <w:rPr>
          <w:rFonts w:ascii="Times New Roman" w:eastAsia="Times New Roman" w:hAnsi="Times New Roman"/>
          <w:sz w:val="28"/>
          <w:szCs w:val="28"/>
          <w:lang w:eastAsia="ru-RU"/>
        </w:rPr>
        <w:t>,</w:t>
      </w:r>
      <w:r w:rsidRPr="00FD7B0B">
        <w:rPr>
          <w:rFonts w:ascii="Times New Roman" w:eastAsia="Times New Roman" w:hAnsi="Times New Roman"/>
          <w:sz w:val="28"/>
          <w:szCs w:val="28"/>
          <w:lang w:eastAsia="ru-RU"/>
        </w:rPr>
        <w:t xml:space="preserve"> значение показателя не достигнуто - капитальный ремонт проведен только на двух судах водного транспорта, кассовые расходы исполнены на 91 % от плановых значений. Результат мероприятия не достигнут.</w:t>
      </w:r>
    </w:p>
    <w:p w14:paraId="1703A255"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3.6. Организован межмуниципальный маршрут «Хабарка – Выселки» для обеспечения буксирных перевозок организованных групп людей внутренним водным транспортом в период весеннего ледохода и осеннего ледостава – исполнено 8,8 млн.руб. или 68 % к СБР.</w:t>
      </w:r>
    </w:p>
    <w:p w14:paraId="01775BBE" w14:textId="137786FA"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СБР внесены изменения лишь в декабре 2024 года, увеличив бюджетные ассигнования до 13,1 млн.руб. (на 65 %). Пояснений о низком исполнении утвержденных бюджетных ассигнований и о целесообразности такого увеличения информация не представлена ни в проектах отчетов о реализации госпрограммы, ни в пояснительной записке к отчету об исполнении бюджета.</w:t>
      </w:r>
    </w:p>
    <w:p w14:paraId="5B0738BA" w14:textId="45101246"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На портале проектов НПА Архангельской области</w:t>
      </w:r>
      <w:r w:rsidRPr="00FD7B0B">
        <w:rPr>
          <w:rStyle w:val="afff1"/>
          <w:rFonts w:ascii="Times New Roman" w:eastAsia="Times New Roman" w:hAnsi="Times New Roman"/>
          <w:sz w:val="28"/>
          <w:szCs w:val="28"/>
          <w:lang w:eastAsia="ru-RU"/>
        </w:rPr>
        <w:footnoteReference w:id="31"/>
      </w:r>
      <w:r w:rsidRPr="00FD7B0B">
        <w:rPr>
          <w:rFonts w:ascii="Times New Roman" w:eastAsia="Times New Roman" w:hAnsi="Times New Roman"/>
          <w:sz w:val="28"/>
          <w:szCs w:val="28"/>
          <w:lang w:eastAsia="ru-RU"/>
        </w:rPr>
        <w:t xml:space="preserve"> размещена пояснительная записка министерства транспорта к проекту постановления Правительства АО «О внесении изменений в сводную бюджетную роспись областного бюджета на 2024 год и на плановый период 2025 и 2026 годов», в которой предлагается перераспределить бюджетные ассигнования, в том числе увеличить объем БА по указанному мероприятию в связи с продлением срока выполнени</w:t>
      </w:r>
      <w:r w:rsidR="00B939F2" w:rsidRPr="00FD7B0B">
        <w:rPr>
          <w:rFonts w:ascii="Times New Roman" w:eastAsia="Times New Roman" w:hAnsi="Times New Roman"/>
          <w:sz w:val="28"/>
          <w:szCs w:val="28"/>
          <w:lang w:eastAsia="ru-RU"/>
        </w:rPr>
        <w:t>я работ ввиду погодных условий.</w:t>
      </w:r>
    </w:p>
    <w:p w14:paraId="3F1813F5" w14:textId="67ABEC02"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рамках исполнения мероприятия министерством транспорта заключено 11 государственных контрактов с ООО «Северная Морс</w:t>
      </w:r>
      <w:r w:rsidR="007D5AD0" w:rsidRPr="00FD7B0B">
        <w:rPr>
          <w:rFonts w:ascii="Times New Roman" w:eastAsia="Times New Roman" w:hAnsi="Times New Roman"/>
          <w:sz w:val="28"/>
          <w:szCs w:val="28"/>
          <w:lang w:eastAsia="ru-RU"/>
        </w:rPr>
        <w:t>кая Компания»:</w:t>
      </w:r>
    </w:p>
    <w:p w14:paraId="19C281E3" w14:textId="151CCA5B"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1 контракт от 02.04.2024 на 8,5 млн.руб. срок выполн</w:t>
      </w:r>
      <w:r w:rsidR="007D5AD0" w:rsidRPr="00FD7B0B">
        <w:rPr>
          <w:rFonts w:ascii="Times New Roman" w:eastAsia="Times New Roman" w:hAnsi="Times New Roman"/>
          <w:sz w:val="28"/>
          <w:szCs w:val="28"/>
          <w:lang w:eastAsia="ru-RU"/>
        </w:rPr>
        <w:t>ения перевозок – до 02.12.2024,</w:t>
      </w:r>
    </w:p>
    <w:p w14:paraId="55FD99CF" w14:textId="4C8306CB"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6 контрактов от 23.12.20</w:t>
      </w:r>
      <w:r w:rsidR="007D5AD0" w:rsidRPr="00FD7B0B">
        <w:rPr>
          <w:rFonts w:ascii="Times New Roman" w:eastAsia="Times New Roman" w:hAnsi="Times New Roman"/>
          <w:sz w:val="28"/>
          <w:szCs w:val="28"/>
          <w:lang w:eastAsia="ru-RU"/>
        </w:rPr>
        <w:t>24 на общую сумму 2,2 млн.руб.,</w:t>
      </w:r>
    </w:p>
    <w:p w14:paraId="7D028AD0" w14:textId="2D1F61E9"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4 контракта от 25.12.2</w:t>
      </w:r>
      <w:r w:rsidR="007D5AD0" w:rsidRPr="00FD7B0B">
        <w:rPr>
          <w:rFonts w:ascii="Times New Roman" w:eastAsia="Times New Roman" w:hAnsi="Times New Roman"/>
          <w:sz w:val="28"/>
          <w:szCs w:val="28"/>
          <w:lang w:eastAsia="ru-RU"/>
        </w:rPr>
        <w:t>024 на общую сумму 1,4 млн.руб.</w:t>
      </w:r>
    </w:p>
    <w:p w14:paraId="65944DFD" w14:textId="77777777" w:rsidR="0001284F" w:rsidRPr="00FD7B0B" w:rsidRDefault="0001284F" w:rsidP="0001284F">
      <w:pPr>
        <w:spacing w:after="0" w:line="240" w:lineRule="auto"/>
        <w:ind w:firstLine="709"/>
        <w:contextualSpacing/>
        <w:jc w:val="both"/>
        <w:rPr>
          <w:rFonts w:ascii="Times New Roman" w:eastAsia="Times New Roman" w:hAnsi="Times New Roman"/>
          <w:strike/>
          <w:sz w:val="28"/>
          <w:szCs w:val="28"/>
          <w:lang w:eastAsia="ru-RU"/>
        </w:rPr>
      </w:pPr>
      <w:r w:rsidRPr="00FD7B0B">
        <w:rPr>
          <w:rFonts w:ascii="Times New Roman" w:eastAsia="Times New Roman" w:hAnsi="Times New Roman"/>
          <w:sz w:val="28"/>
          <w:szCs w:val="28"/>
          <w:lang w:eastAsia="ru-RU"/>
        </w:rPr>
        <w:t>Срок выполнения перевозок по 10 ГК со 02 по 12 декабря. По условиям контрактов от декабря 2024 года на основании пункта 2 статьи 425 ГК РФ условия заключенных контрактов применяются к отношениям, возникшим до заключения контрактов.</w:t>
      </w:r>
    </w:p>
    <w:p w14:paraId="0580C9A4"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Всего контракты заключены на общую сумму 12,1 млн.руб. или на 1,0 млн.руб. меньше, чем предусмотрено СБР с учетом внесенных изменений </w:t>
      </w:r>
      <w:r w:rsidRPr="00FD7B0B">
        <w:rPr>
          <w:rFonts w:ascii="Times New Roman" w:eastAsia="Times New Roman" w:hAnsi="Times New Roman"/>
          <w:sz w:val="28"/>
          <w:szCs w:val="28"/>
          <w:lang w:eastAsia="ru-RU"/>
        </w:rPr>
        <w:lastRenderedPageBreak/>
        <w:t>Постановлением Правительства АО № 1128-пп от 19.12.2024 об увеличении расходов по мероприятию на 2,3 млн.руб.</w:t>
      </w:r>
    </w:p>
    <w:p w14:paraId="38C44D2E"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Также отмечаем, что все УПД по десяти ГК, заключенным 23 и 25 декабря 2024 года, приняты и подписаны представителем министерства транспорта 24 и 25 декабря 2024 года. То есть расходы областного бюджета могли быть исполнены на 12,1 млн.руб. или на 3,3 млн.руб. больше исполненных расходов.</w:t>
      </w:r>
    </w:p>
    <w:p w14:paraId="5DD1A4D1"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3.10. Разработаны документы транспортного планирования Архангельской области - не исполнено в полном объеме. В пояснительной записке к отчету об исполнении бюджета указана причина – «в связи с нарушением сроков производства работ». Показатель результата не достигнут.</w:t>
      </w:r>
    </w:p>
    <w:p w14:paraId="4EACCE3A" w14:textId="77777777" w:rsidR="0001284F" w:rsidRPr="00FD7B0B" w:rsidRDefault="0001284F" w:rsidP="0001284F">
      <w:pPr>
        <w:spacing w:before="240"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4.5. Осуществлено применение специальных технических средств фиксации нарушений Правил дорожного движения, работающих в автоматическом режиме – исполнено 51,4 млн.руб. или 69,3 % к СБР. Пояснений о низком исполнении утвержденных бюджетных ассигнований не представлено ни в проектах отчетов о реализации госпрограммы, ни в пояснительной записке к отчету об исполнении бюджета.</w:t>
      </w:r>
    </w:p>
    <w:p w14:paraId="56705AEA" w14:textId="77777777" w:rsidR="0001284F" w:rsidRPr="00FD7B0B" w:rsidRDefault="0001284F" w:rsidP="0001284F">
      <w:pPr>
        <w:spacing w:before="240"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Средства предоставлены в виде субсидии ГБУ АО «Региональная транспортная служба» по двум целевым статьям:</w:t>
      </w:r>
    </w:p>
    <w:p w14:paraId="2F5CA6AA" w14:textId="77777777" w:rsidR="0001284F" w:rsidRPr="00FD7B0B" w:rsidRDefault="0001284F" w:rsidP="0001284F">
      <w:pPr>
        <w:spacing w:before="240"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19Е0173140 - Оснащение автомобильных дорог Архангельской области стационарными камерами фотовидеофиксации нарушений правил дорожного движения – исполнено 27,1 млн.руб. или 60 % от бюджетных ассигнований, утвержденных СБР (44,6 млн.руб.), в том числе расходы по контракту от 24.08.2021 № 44-эа/6 «Оказание услуг по аренде стационарных комплексов фотовидеофиксации нарушений Правил дорожного движения Российской Федерации с установкой на объектах улично-дорожной сети в Архангельской области с последующей передачей в собственность заказчика», за 12 месяцев 2024 года плановая стоимость – 25,6 млн.руб., согласно платежным поручениям, размещенным на сайте ЕИС фактически оплачено в 2024 году – 14,4 млн.руб.;</w:t>
      </w:r>
    </w:p>
    <w:p w14:paraId="10729191" w14:textId="77777777" w:rsidR="0001284F" w:rsidRPr="00FD7B0B" w:rsidRDefault="0001284F" w:rsidP="0001284F">
      <w:pPr>
        <w:spacing w:before="240"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19Е0173240 - Выявление и сокращение количества мест концентрации дорожно-транспортных происшествий на дорогах Архангельской области – исполнено 24,3 млн.руб. или 80 % от бюджетных ассигнований, утвержденных СБР (29,6 млн.руб.). Выборочным методом проведен анализ исполнения кассовых расходов учреждением по контрактам, заключенным на оказание услуги по доставке экземпляров постановлений по делам об административных правонарушениях, отклонений не выявлено.</w:t>
      </w:r>
    </w:p>
    <w:p w14:paraId="164717EF"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b/>
          <w:sz w:val="28"/>
          <w:szCs w:val="28"/>
          <w:lang w:eastAsia="ru-RU"/>
        </w:rPr>
        <w:t>В рамках КПМ № 375-р/2</w:t>
      </w:r>
      <w:r w:rsidRPr="00FD7B0B">
        <w:rPr>
          <w:rFonts w:ascii="Times New Roman" w:eastAsia="Times New Roman" w:hAnsi="Times New Roman"/>
          <w:sz w:val="28"/>
          <w:szCs w:val="28"/>
          <w:lang w:eastAsia="ru-RU"/>
        </w:rPr>
        <w:t xml:space="preserve"> запланирована реализация 2 мероприятий, из них выполнено - 1, запланированные расходы по которым на отчетную дату выполнены на 81,1 % к СБР, из них не выполнено:</w:t>
      </w:r>
    </w:p>
    <w:p w14:paraId="406DDE67" w14:textId="03E8B878" w:rsidR="0001284F" w:rsidRPr="00FD7B0B" w:rsidRDefault="0001284F" w:rsidP="0001284F">
      <w:pPr>
        <w:spacing w:after="0" w:line="240" w:lineRule="auto"/>
        <w:ind w:firstLine="709"/>
        <w:contextualSpacing/>
        <w:jc w:val="both"/>
        <w:rPr>
          <w:rFonts w:ascii="Times New Roman" w:eastAsia="Times New Roman" w:hAnsi="Times New Roman"/>
          <w:i/>
          <w:sz w:val="28"/>
          <w:szCs w:val="28"/>
          <w:lang w:eastAsia="ru-RU"/>
        </w:rPr>
      </w:pPr>
      <w:r w:rsidRPr="00FD7B0B">
        <w:rPr>
          <w:rFonts w:ascii="Times New Roman" w:eastAsia="Times New Roman" w:hAnsi="Times New Roman"/>
          <w:sz w:val="28"/>
          <w:szCs w:val="28"/>
          <w:lang w:eastAsia="ru-RU"/>
        </w:rPr>
        <w:t>1) 1.3. Разработана проектная документация на выполнение работ по строительству автомобильной дороги Онега - Покровское на участке Хайнозерской дороги в Онежском районе Архангельской области - 0,00 (0 %) (</w:t>
      </w:r>
      <w:r w:rsidRPr="00FD7B0B">
        <w:rPr>
          <w:rFonts w:ascii="Times New Roman" w:eastAsia="Times New Roman" w:hAnsi="Times New Roman"/>
          <w:i/>
          <w:sz w:val="28"/>
          <w:szCs w:val="28"/>
          <w:lang w:eastAsia="ru-RU"/>
        </w:rPr>
        <w:t>представлены пояснения: Государственный контракт приостановлен. Завершение предусмотрено в 2025 году. К подряд</w:t>
      </w:r>
      <w:r w:rsidR="00F672B1" w:rsidRPr="00FD7B0B">
        <w:rPr>
          <w:rFonts w:ascii="Times New Roman" w:eastAsia="Times New Roman" w:hAnsi="Times New Roman"/>
          <w:i/>
          <w:sz w:val="28"/>
          <w:szCs w:val="28"/>
          <w:lang w:eastAsia="ru-RU"/>
        </w:rPr>
        <w:t>чику будут применены штрафные</w:t>
      </w:r>
      <w:r w:rsidR="00373393" w:rsidRPr="00FD7B0B">
        <w:rPr>
          <w:rFonts w:ascii="Times New Roman" w:eastAsia="Times New Roman" w:hAnsi="Times New Roman"/>
          <w:i/>
          <w:sz w:val="28"/>
          <w:szCs w:val="28"/>
          <w:lang w:eastAsia="ru-RU"/>
        </w:rPr>
        <w:t xml:space="preserve"> санкции</w:t>
      </w:r>
      <w:r w:rsidR="00F672B1" w:rsidRPr="00FD7B0B">
        <w:rPr>
          <w:rFonts w:ascii="Times New Roman" w:eastAsia="Times New Roman" w:hAnsi="Times New Roman"/>
          <w:i/>
          <w:sz w:val="28"/>
          <w:szCs w:val="28"/>
          <w:lang w:eastAsia="ru-RU"/>
        </w:rPr>
        <w:t>).</w:t>
      </w:r>
    </w:p>
    <w:p w14:paraId="51F9E032"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b/>
          <w:sz w:val="28"/>
          <w:szCs w:val="28"/>
          <w:lang w:eastAsia="ru-RU"/>
        </w:rPr>
        <w:lastRenderedPageBreak/>
        <w:t>В рамках КПМ № 375-р/3</w:t>
      </w:r>
      <w:r w:rsidRPr="00FD7B0B">
        <w:rPr>
          <w:rFonts w:ascii="Times New Roman" w:eastAsia="Times New Roman" w:hAnsi="Times New Roman"/>
          <w:sz w:val="28"/>
          <w:szCs w:val="28"/>
          <w:lang w:eastAsia="ru-RU"/>
        </w:rPr>
        <w:t xml:space="preserve"> запланирована реализация 4 мероприятий, из них выполнено полностью – 2, частично – 2, запланированные расходы по которым на отчетную дату выполнены на 95,1 % к СБР, из них выполнены частично:</w:t>
      </w:r>
    </w:p>
    <w:p w14:paraId="7A1AC2A4"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1) 1.1. Выполнен капитальный ремонт и ремонт участков (объектов) региональных автомобильных дорог, а также искусственных сооружений, не включенных в национальный проект «Безопасные качественные дороги» – исполнено 736,2 млн.руб. или 91 % к СБР. В соответствии с проектом отчета (Перечень мероприятий (результатов) и контрольных точек структурного элемента государственной программы Архангельской области) не выполнено полностью – разработка 3 проектных документаций из 16 запланированных. </w:t>
      </w:r>
    </w:p>
    <w:p w14:paraId="6FA9FDAB"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2) 1.2. Приведены в нормативное состояние и устроены вновь элементы обустройства автомобильных дорог» – исполнено 4,2 млн.руб. или 83 % к СБР. В соответствии с проектом отчета (Перечень мероприятий (результатов) и контрольных точек структурного элемента государственной программы Архангельской области) не выполнено полностью – разработка 2 проектных документаций из 4 запланированных.</w:t>
      </w:r>
    </w:p>
    <w:p w14:paraId="67757F22" w14:textId="77777777" w:rsidR="0001284F" w:rsidRPr="00FD7B0B" w:rsidRDefault="0001284F" w:rsidP="0001284F">
      <w:pPr>
        <w:spacing w:after="0" w:line="240" w:lineRule="auto"/>
        <w:contextualSpacing/>
        <w:jc w:val="center"/>
        <w:rPr>
          <w:rFonts w:ascii="Times New Roman" w:eastAsia="Times New Roman" w:hAnsi="Times New Roman"/>
          <w:b/>
          <w:sz w:val="28"/>
          <w:szCs w:val="28"/>
          <w:lang w:eastAsia="ru-RU"/>
        </w:rPr>
      </w:pPr>
    </w:p>
    <w:p w14:paraId="219B187D" w14:textId="77777777" w:rsidR="0001284F" w:rsidRPr="00FD7B0B" w:rsidRDefault="0001284F" w:rsidP="0001284F">
      <w:pPr>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достижения показателей по итогам 2024 года</w:t>
      </w:r>
    </w:p>
    <w:p w14:paraId="560744C8"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соответствии с подпунктом 3 пункта 12 Постановления № 793-пп</w:t>
      </w:r>
      <w:r w:rsidRPr="00FD7B0B">
        <w:t xml:space="preserve"> </w:t>
      </w:r>
      <w:r w:rsidRPr="00FD7B0B">
        <w:rPr>
          <w:rFonts w:ascii="Times New Roman" w:eastAsia="Times New Roman" w:hAnsi="Times New Roman"/>
          <w:sz w:val="28"/>
          <w:szCs w:val="28"/>
          <w:lang w:eastAsia="ru-RU"/>
        </w:rPr>
        <w:t>в число показателей госпрограмм и показателей их структурных элементов включаются показатели стратегии социально-экономического развития Архангельской области (далее – стратегия).</w:t>
      </w:r>
    </w:p>
    <w:p w14:paraId="6FE69088"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разделе </w:t>
      </w:r>
      <w:r w:rsidRPr="00FD7B0B">
        <w:rPr>
          <w:rFonts w:ascii="Times New Roman" w:eastAsia="Times New Roman" w:hAnsi="Times New Roman"/>
          <w:sz w:val="28"/>
          <w:szCs w:val="28"/>
          <w:lang w:val="en-US" w:eastAsia="ru-RU"/>
        </w:rPr>
        <w:t>V</w:t>
      </w:r>
      <w:r w:rsidRPr="00FD7B0B">
        <w:rPr>
          <w:rFonts w:ascii="Times New Roman" w:eastAsia="Times New Roman" w:hAnsi="Times New Roman"/>
          <w:sz w:val="28"/>
          <w:szCs w:val="28"/>
          <w:lang w:eastAsia="ru-RU"/>
        </w:rPr>
        <w:t xml:space="preserve"> стратегии перечислены проекты развития транспортной системы Архангельской области, из них отмечено:</w:t>
      </w:r>
    </w:p>
    <w:p w14:paraId="7B43B67A"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проект «Автодорожный каркас Архангельской области». Результат – к 2024 году доля автомобильных дорог регионального значения, соответствующих нормативным требованиям, в их общей протяженности будет превышать 32 процента. По данным проектов отчета о реализации госпрограммы в 2024 году значение показателя стратегии не достигнуто и составило 30,774 %. Вместе с тем, плановое значение 2024 года составляет ниже уровня, указанного в стратегии – 29,1 %.</w:t>
      </w:r>
    </w:p>
    <w:p w14:paraId="2B38D0C6" w14:textId="77777777" w:rsidR="0001284F" w:rsidRPr="00FD7B0B" w:rsidRDefault="0001284F" w:rsidP="0001284F">
      <w:pPr>
        <w:pStyle w:val="aff0"/>
        <w:spacing w:after="0" w:line="120" w:lineRule="auto"/>
        <w:rPr>
          <w:rFonts w:ascii="Times New Roman" w:hAnsi="Times New Roman"/>
          <w:b w:val="0"/>
          <w:sz w:val="24"/>
          <w:szCs w:val="24"/>
        </w:rPr>
      </w:pPr>
    </w:p>
    <w:p w14:paraId="3DAE0BCE" w14:textId="77777777" w:rsidR="0001284F" w:rsidRPr="00FD7B0B" w:rsidRDefault="0001284F" w:rsidP="0001284F">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199</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об изменении и достижении (в соответствии с проектом отчета) в 2024 году значений показателей при реализации мероприятий ГП № 19.</w:t>
      </w:r>
    </w:p>
    <w:tbl>
      <w:tblPr>
        <w:tblStyle w:val="a7"/>
        <w:tblW w:w="9563"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369"/>
        <w:gridCol w:w="1275"/>
        <w:gridCol w:w="1153"/>
        <w:gridCol w:w="1134"/>
        <w:gridCol w:w="709"/>
        <w:gridCol w:w="1134"/>
        <w:gridCol w:w="789"/>
      </w:tblGrid>
      <w:tr w:rsidR="00FD7B0B" w:rsidRPr="00FD7B0B" w14:paraId="1D8F5DB9" w14:textId="77777777" w:rsidTr="00DC7FF9">
        <w:trPr>
          <w:trHeight w:val="384"/>
          <w:tblHeader/>
        </w:trPr>
        <w:tc>
          <w:tcPr>
            <w:tcW w:w="3369" w:type="dxa"/>
          </w:tcPr>
          <w:p w14:paraId="5907A970"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показатель</w:t>
            </w:r>
          </w:p>
        </w:tc>
        <w:tc>
          <w:tcPr>
            <w:tcW w:w="1275" w:type="dxa"/>
          </w:tcPr>
          <w:p w14:paraId="15FC1218" w14:textId="77777777" w:rsidR="0001284F" w:rsidRPr="00FD7B0B" w:rsidRDefault="0001284F" w:rsidP="000164F8">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Признак</w:t>
            </w:r>
          </w:p>
        </w:tc>
        <w:tc>
          <w:tcPr>
            <w:tcW w:w="1153" w:type="dxa"/>
          </w:tcPr>
          <w:p w14:paraId="024EE57C" w14:textId="77777777" w:rsidR="0001284F" w:rsidRPr="00FD7B0B" w:rsidRDefault="0001284F" w:rsidP="000164F8">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ГП в ред. на 01.01.2024</w:t>
            </w:r>
          </w:p>
        </w:tc>
        <w:tc>
          <w:tcPr>
            <w:tcW w:w="1134" w:type="dxa"/>
          </w:tcPr>
          <w:p w14:paraId="27C67375" w14:textId="77777777" w:rsidR="0001284F" w:rsidRPr="00FD7B0B" w:rsidRDefault="0001284F" w:rsidP="000164F8">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ГП в ред. на 31.12.2024</w:t>
            </w:r>
          </w:p>
        </w:tc>
        <w:tc>
          <w:tcPr>
            <w:tcW w:w="709" w:type="dxa"/>
          </w:tcPr>
          <w:p w14:paraId="034805D5" w14:textId="77777777" w:rsidR="0001284F" w:rsidRPr="00FD7B0B" w:rsidRDefault="0001284F" w:rsidP="000164F8">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Изменение</w:t>
            </w:r>
          </w:p>
        </w:tc>
        <w:tc>
          <w:tcPr>
            <w:tcW w:w="1134" w:type="dxa"/>
          </w:tcPr>
          <w:p w14:paraId="7D147AF1" w14:textId="77777777" w:rsidR="0001284F" w:rsidRPr="00FD7B0B" w:rsidRDefault="0001284F" w:rsidP="000164F8">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Фактическое значение</w:t>
            </w:r>
          </w:p>
        </w:tc>
        <w:tc>
          <w:tcPr>
            <w:tcW w:w="789" w:type="dxa"/>
          </w:tcPr>
          <w:p w14:paraId="15BD6318"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 xml:space="preserve">% </w:t>
            </w:r>
            <w:r w:rsidRPr="00FD7B0B">
              <w:rPr>
                <w:rFonts w:ascii="Times New Roman" w:eastAsia="Times New Roman" w:hAnsi="Times New Roman"/>
                <w:sz w:val="16"/>
                <w:szCs w:val="16"/>
              </w:rPr>
              <w:t>к плану</w:t>
            </w:r>
          </w:p>
        </w:tc>
      </w:tr>
      <w:tr w:rsidR="00FD7B0B" w:rsidRPr="00FD7B0B" w14:paraId="552BB4B9" w14:textId="77777777" w:rsidTr="00DC7FF9">
        <w:trPr>
          <w:trHeight w:val="1152"/>
        </w:trPr>
        <w:tc>
          <w:tcPr>
            <w:tcW w:w="3369" w:type="dxa"/>
          </w:tcPr>
          <w:p w14:paraId="200B390F" w14:textId="77777777" w:rsidR="0001284F" w:rsidRPr="00FD7B0B" w:rsidRDefault="0001284F" w:rsidP="000164F8">
            <w:pPr>
              <w:contextualSpacing/>
              <w:rPr>
                <w:rFonts w:ascii="Times New Roman" w:eastAsia="Times New Roman" w:hAnsi="Times New Roman"/>
                <w:sz w:val="18"/>
                <w:szCs w:val="18"/>
              </w:rPr>
            </w:pPr>
            <w:r w:rsidRPr="00FD7B0B">
              <w:rPr>
                <w:rFonts w:ascii="Times New Roman" w:eastAsia="Times New Roman" w:hAnsi="Times New Roman"/>
                <w:sz w:val="18"/>
                <w:szCs w:val="18"/>
              </w:rPr>
              <w:t>Доля автомобильных дорог общего пользования регионального или межмуниципального значения, соответствующих нормативным требованиям к транспортно-эксплуатационным показателям</w:t>
            </w:r>
          </w:p>
        </w:tc>
        <w:tc>
          <w:tcPr>
            <w:tcW w:w="1275" w:type="dxa"/>
            <w:vAlign w:val="center"/>
          </w:tcPr>
          <w:p w14:paraId="6998A66D" w14:textId="77777777" w:rsidR="0001284F" w:rsidRPr="00FD7B0B" w:rsidRDefault="0001284F" w:rsidP="000164F8">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Возрастающий</w:t>
            </w:r>
          </w:p>
        </w:tc>
        <w:tc>
          <w:tcPr>
            <w:tcW w:w="1153" w:type="dxa"/>
            <w:vAlign w:val="center"/>
          </w:tcPr>
          <w:p w14:paraId="2035835C"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29,1 %</w:t>
            </w:r>
          </w:p>
        </w:tc>
        <w:tc>
          <w:tcPr>
            <w:tcW w:w="1134" w:type="dxa"/>
            <w:vAlign w:val="center"/>
          </w:tcPr>
          <w:p w14:paraId="3FFD1925" w14:textId="77777777" w:rsidR="0001284F" w:rsidRPr="00FD7B0B" w:rsidRDefault="0001284F" w:rsidP="000164F8">
            <w:pPr>
              <w:contextualSpacing/>
              <w:jc w:val="center"/>
              <w:rPr>
                <w:rFonts w:ascii="Times New Roman" w:eastAsia="Times New Roman" w:hAnsi="Times New Roman"/>
                <w:sz w:val="18"/>
                <w:szCs w:val="18"/>
              </w:rPr>
            </w:pPr>
          </w:p>
          <w:p w14:paraId="6BBA672C"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29,1 %</w:t>
            </w:r>
          </w:p>
          <w:p w14:paraId="6914EECE" w14:textId="77777777" w:rsidR="0001284F" w:rsidRPr="00FD7B0B" w:rsidRDefault="0001284F" w:rsidP="000164F8">
            <w:pPr>
              <w:contextualSpacing/>
              <w:jc w:val="center"/>
              <w:rPr>
                <w:rFonts w:ascii="Times New Roman" w:eastAsia="Times New Roman" w:hAnsi="Times New Roman"/>
                <w:sz w:val="18"/>
                <w:szCs w:val="18"/>
              </w:rPr>
            </w:pPr>
          </w:p>
        </w:tc>
        <w:tc>
          <w:tcPr>
            <w:tcW w:w="709" w:type="dxa"/>
            <w:vAlign w:val="center"/>
          </w:tcPr>
          <w:p w14:paraId="631A3D5C"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w:t>
            </w:r>
          </w:p>
        </w:tc>
        <w:tc>
          <w:tcPr>
            <w:tcW w:w="1134" w:type="dxa"/>
            <w:vAlign w:val="center"/>
          </w:tcPr>
          <w:p w14:paraId="00B0DB2D"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30,774</w:t>
            </w:r>
          </w:p>
        </w:tc>
        <w:tc>
          <w:tcPr>
            <w:tcW w:w="789" w:type="dxa"/>
            <w:vAlign w:val="center"/>
          </w:tcPr>
          <w:p w14:paraId="1BD4FE47"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105,8</w:t>
            </w:r>
          </w:p>
        </w:tc>
      </w:tr>
      <w:tr w:rsidR="00FD7B0B" w:rsidRPr="00FD7B0B" w14:paraId="22CE42D5" w14:textId="77777777" w:rsidTr="00DC7FF9">
        <w:trPr>
          <w:trHeight w:val="639"/>
        </w:trPr>
        <w:tc>
          <w:tcPr>
            <w:tcW w:w="3369" w:type="dxa"/>
          </w:tcPr>
          <w:p w14:paraId="08C0F4C4" w14:textId="77777777" w:rsidR="0001284F" w:rsidRPr="00FD7B0B" w:rsidRDefault="0001284F" w:rsidP="000164F8">
            <w:pPr>
              <w:contextualSpacing/>
              <w:rPr>
                <w:rFonts w:ascii="Times New Roman" w:eastAsia="Times New Roman" w:hAnsi="Times New Roman"/>
                <w:sz w:val="18"/>
                <w:szCs w:val="18"/>
              </w:rPr>
            </w:pPr>
            <w:r w:rsidRPr="00FD7B0B">
              <w:rPr>
                <w:rFonts w:ascii="Times New Roman" w:eastAsia="Times New Roman" w:hAnsi="Times New Roman"/>
                <w:sz w:val="18"/>
                <w:szCs w:val="18"/>
              </w:rPr>
              <w:t>Темп снижения количества лиц, погибших в дорожно-транспортных происшествиях на автомобильных дорогах общего пользования АО</w:t>
            </w:r>
          </w:p>
        </w:tc>
        <w:tc>
          <w:tcPr>
            <w:tcW w:w="1275" w:type="dxa"/>
            <w:vAlign w:val="center"/>
          </w:tcPr>
          <w:p w14:paraId="6D7AAD03" w14:textId="77777777" w:rsidR="0001284F" w:rsidRPr="00FD7B0B" w:rsidRDefault="0001284F" w:rsidP="000164F8">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Убывающий</w:t>
            </w:r>
          </w:p>
        </w:tc>
        <w:tc>
          <w:tcPr>
            <w:tcW w:w="1153" w:type="dxa"/>
            <w:vAlign w:val="center"/>
          </w:tcPr>
          <w:p w14:paraId="164C3392"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84,6 %</w:t>
            </w:r>
          </w:p>
        </w:tc>
        <w:tc>
          <w:tcPr>
            <w:tcW w:w="1134" w:type="dxa"/>
            <w:vAlign w:val="center"/>
          </w:tcPr>
          <w:p w14:paraId="046315AD"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84,6 %</w:t>
            </w:r>
          </w:p>
        </w:tc>
        <w:tc>
          <w:tcPr>
            <w:tcW w:w="709" w:type="dxa"/>
            <w:vAlign w:val="center"/>
          </w:tcPr>
          <w:p w14:paraId="684332B6"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w:t>
            </w:r>
          </w:p>
        </w:tc>
        <w:tc>
          <w:tcPr>
            <w:tcW w:w="1134" w:type="dxa"/>
            <w:vAlign w:val="center"/>
          </w:tcPr>
          <w:p w14:paraId="74FD580A"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85,7</w:t>
            </w:r>
          </w:p>
        </w:tc>
        <w:tc>
          <w:tcPr>
            <w:tcW w:w="789" w:type="dxa"/>
            <w:vAlign w:val="center"/>
          </w:tcPr>
          <w:p w14:paraId="3627755D"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101,3</w:t>
            </w:r>
          </w:p>
        </w:tc>
      </w:tr>
      <w:tr w:rsidR="0001284F" w:rsidRPr="00FD7B0B" w14:paraId="292E2C02" w14:textId="77777777" w:rsidTr="00DC7FF9">
        <w:trPr>
          <w:trHeight w:val="1359"/>
        </w:trPr>
        <w:tc>
          <w:tcPr>
            <w:tcW w:w="3369" w:type="dxa"/>
          </w:tcPr>
          <w:p w14:paraId="5DE6BB3F" w14:textId="77777777" w:rsidR="0001284F" w:rsidRPr="00FD7B0B" w:rsidRDefault="0001284F" w:rsidP="000164F8">
            <w:pPr>
              <w:contextualSpacing/>
              <w:rPr>
                <w:rFonts w:ascii="Times New Roman" w:eastAsia="Times New Roman" w:hAnsi="Times New Roman"/>
                <w:sz w:val="18"/>
                <w:szCs w:val="18"/>
              </w:rPr>
            </w:pPr>
            <w:r w:rsidRPr="00FD7B0B">
              <w:rPr>
                <w:rFonts w:ascii="Times New Roman" w:eastAsia="Times New Roman" w:hAnsi="Times New Roman"/>
                <w:sz w:val="18"/>
                <w:szCs w:val="18"/>
              </w:rPr>
              <w:lastRenderedPageBreak/>
              <w:t>Доля рейсов, фактически выполненных в соответствии с расписанием при осуществлении пассажирских перевозок водным, воздушным, железнодорожным и автомобильным транспортом, в общем количестве рейсов, установленных в соответствии с расписанием</w:t>
            </w:r>
          </w:p>
        </w:tc>
        <w:tc>
          <w:tcPr>
            <w:tcW w:w="1275" w:type="dxa"/>
            <w:vAlign w:val="center"/>
          </w:tcPr>
          <w:p w14:paraId="77AA3FDE" w14:textId="77777777" w:rsidR="0001284F" w:rsidRPr="00FD7B0B" w:rsidRDefault="0001284F" w:rsidP="000164F8">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Возрастающий</w:t>
            </w:r>
          </w:p>
        </w:tc>
        <w:tc>
          <w:tcPr>
            <w:tcW w:w="1153" w:type="dxa"/>
            <w:vAlign w:val="center"/>
          </w:tcPr>
          <w:p w14:paraId="59611BA3"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95,%</w:t>
            </w:r>
          </w:p>
        </w:tc>
        <w:tc>
          <w:tcPr>
            <w:tcW w:w="1134" w:type="dxa"/>
            <w:vAlign w:val="center"/>
          </w:tcPr>
          <w:p w14:paraId="7D6E1CF2"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95 %</w:t>
            </w:r>
          </w:p>
        </w:tc>
        <w:tc>
          <w:tcPr>
            <w:tcW w:w="709" w:type="dxa"/>
            <w:vAlign w:val="center"/>
          </w:tcPr>
          <w:p w14:paraId="04595CDD"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0</w:t>
            </w:r>
          </w:p>
        </w:tc>
        <w:tc>
          <w:tcPr>
            <w:tcW w:w="1134" w:type="dxa"/>
            <w:vAlign w:val="center"/>
          </w:tcPr>
          <w:p w14:paraId="734C41F4"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92,7</w:t>
            </w:r>
          </w:p>
        </w:tc>
        <w:tc>
          <w:tcPr>
            <w:tcW w:w="789" w:type="dxa"/>
            <w:vAlign w:val="center"/>
          </w:tcPr>
          <w:p w14:paraId="4F8B2C45" w14:textId="77777777" w:rsidR="0001284F" w:rsidRPr="00FD7B0B" w:rsidRDefault="0001284F" w:rsidP="000164F8">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97,6</w:t>
            </w:r>
          </w:p>
        </w:tc>
      </w:tr>
    </w:tbl>
    <w:p w14:paraId="6B5B1381" w14:textId="77777777" w:rsidR="0001284F" w:rsidRPr="00FD7B0B" w:rsidRDefault="0001284F" w:rsidP="0001284F">
      <w:pPr>
        <w:spacing w:after="0" w:line="120" w:lineRule="auto"/>
        <w:ind w:firstLine="709"/>
        <w:contextualSpacing/>
        <w:jc w:val="both"/>
        <w:rPr>
          <w:rFonts w:ascii="Times New Roman" w:eastAsia="Times New Roman" w:hAnsi="Times New Roman"/>
          <w:sz w:val="28"/>
          <w:szCs w:val="28"/>
          <w:lang w:eastAsia="ru-RU"/>
        </w:rPr>
      </w:pPr>
    </w:p>
    <w:p w14:paraId="72CD99C5" w14:textId="77777777" w:rsidR="0001284F" w:rsidRPr="00FD7B0B" w:rsidRDefault="0001284F" w:rsidP="0001284F">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структурным элементам ГП № 19 установлено 23 показателя, по данным проекта отчета плановые значения всех показателей исполнены на 100 и более процентов</w:t>
      </w:r>
      <w:r w:rsidRPr="00FD7B0B">
        <w:t xml:space="preserve"> </w:t>
      </w:r>
      <w:r w:rsidRPr="00FD7B0B">
        <w:rPr>
          <w:rFonts w:ascii="Times New Roman" w:eastAsia="Times New Roman" w:hAnsi="Times New Roman"/>
          <w:sz w:val="28"/>
          <w:szCs w:val="28"/>
          <w:lang w:eastAsia="ru-RU"/>
        </w:rPr>
        <w:t>при увеличении объемов финансирования госпрограммы в течение отчетного периода на 358 млн.руб.</w:t>
      </w:r>
    </w:p>
    <w:p w14:paraId="5491178C" w14:textId="77777777" w:rsidR="0001284F" w:rsidRPr="00FD7B0B" w:rsidRDefault="0001284F" w:rsidP="0001284F">
      <w:pPr>
        <w:spacing w:after="0" w:line="120" w:lineRule="auto"/>
        <w:ind w:firstLine="709"/>
        <w:contextualSpacing/>
        <w:jc w:val="both"/>
        <w:rPr>
          <w:rFonts w:ascii="Times New Roman" w:eastAsia="Times New Roman" w:hAnsi="Times New Roman"/>
          <w:sz w:val="28"/>
          <w:szCs w:val="28"/>
          <w:lang w:eastAsia="ru-RU"/>
        </w:rPr>
      </w:pPr>
    </w:p>
    <w:p w14:paraId="5D412ECC" w14:textId="77777777" w:rsidR="0001284F" w:rsidRPr="00FD7B0B" w:rsidRDefault="0001284F" w:rsidP="0001284F">
      <w:pPr>
        <w:spacing w:after="0" w:line="240" w:lineRule="auto"/>
        <w:jc w:val="center"/>
        <w:rPr>
          <w:rFonts w:ascii="Times New Roman" w:hAnsi="Times New Roman"/>
          <w:b/>
          <w:sz w:val="28"/>
          <w:szCs w:val="28"/>
        </w:rPr>
      </w:pPr>
      <w:r w:rsidRPr="00FD7B0B">
        <w:rPr>
          <w:rFonts w:ascii="Times New Roman" w:eastAsia="Times New Roman" w:hAnsi="Times New Roman"/>
          <w:b/>
          <w:sz w:val="28"/>
          <w:szCs w:val="28"/>
          <w:lang w:eastAsia="ru-RU"/>
        </w:rPr>
        <w:t xml:space="preserve">Оценка реализации ГП № 19 </w:t>
      </w:r>
      <w:r w:rsidRPr="00FD7B0B">
        <w:rPr>
          <w:rFonts w:ascii="Times New Roman" w:eastAsia="Times New Roman" w:hAnsi="Times New Roman" w:cs="Times New Roman"/>
          <w:b/>
          <w:sz w:val="28"/>
          <w:szCs w:val="28"/>
          <w:lang w:eastAsia="ru-RU"/>
        </w:rPr>
        <w:t>согласно Методике оценки</w:t>
      </w:r>
      <w:r w:rsidRPr="00FD7B0B">
        <w:rPr>
          <w:rFonts w:ascii="Times New Roman" w:hAnsi="Times New Roman"/>
          <w:b/>
          <w:sz w:val="28"/>
          <w:szCs w:val="28"/>
        </w:rPr>
        <w:t xml:space="preserve"> № 9К (1614).</w:t>
      </w:r>
    </w:p>
    <w:p w14:paraId="28AD3941" w14:textId="77777777" w:rsidR="0001284F" w:rsidRPr="00FD7B0B" w:rsidRDefault="0001284F" w:rsidP="0001284F">
      <w:pPr>
        <w:spacing w:after="0" w:line="240" w:lineRule="auto"/>
        <w:jc w:val="center"/>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Оценка исполнения ГП № 19 по ресурсам и результатам за 2024 год</w:t>
      </w:r>
    </w:p>
    <w:p w14:paraId="187A30BB" w14:textId="77777777" w:rsidR="0001284F" w:rsidRPr="00FD7B0B" w:rsidRDefault="0001284F" w:rsidP="0001284F">
      <w:pPr>
        <w:spacing w:after="0" w:line="320" w:lineRule="atLeast"/>
        <w:jc w:val="both"/>
        <w:rPr>
          <w:rFonts w:ascii="Times New Roman" w:eastAsia="Times New Roman" w:hAnsi="Times New Roman"/>
          <w:sz w:val="24"/>
          <w:szCs w:val="24"/>
          <w:lang w:eastAsia="ru-RU"/>
        </w:rPr>
      </w:pPr>
      <w:r w:rsidRPr="00FD7B0B">
        <w:rPr>
          <w:rFonts w:ascii="Times New Roman" w:eastAsia="Times New Roman" w:hAnsi="Times New Roman"/>
          <w:sz w:val="24"/>
          <w:szCs w:val="24"/>
          <w:lang w:eastAsia="ru-RU"/>
        </w:rPr>
        <w:t xml:space="preserve">1) оценка кассового исполнения по расходам областного бюджета </w:t>
      </w: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174"/>
        <w:gridCol w:w="3112"/>
        <w:gridCol w:w="2529"/>
        <w:gridCol w:w="1701"/>
      </w:tblGrid>
      <w:tr w:rsidR="00FD7B0B" w:rsidRPr="00FD7B0B" w14:paraId="3229066D" w14:textId="77777777" w:rsidTr="00DC7FF9">
        <w:trPr>
          <w:trHeight w:val="602"/>
        </w:trPr>
        <w:tc>
          <w:tcPr>
            <w:tcW w:w="2174" w:type="dxa"/>
          </w:tcPr>
          <w:p w14:paraId="22AC3FAA" w14:textId="77777777" w:rsidR="0001284F" w:rsidRPr="00FD7B0B" w:rsidRDefault="0001284F" w:rsidP="000164F8">
            <w:pPr>
              <w:jc w:val="center"/>
              <w:rPr>
                <w:rFonts w:ascii="Times New Roman" w:hAnsi="Times New Roman"/>
              </w:rPr>
            </w:pPr>
            <w:r w:rsidRPr="00FD7B0B">
              <w:rPr>
                <w:rFonts w:ascii="Times New Roman" w:hAnsi="Times New Roman"/>
              </w:rPr>
              <w:t xml:space="preserve">кассовые расходы ОБ на реализацию </w:t>
            </w:r>
          </w:p>
          <w:p w14:paraId="45132C68" w14:textId="77777777" w:rsidR="0001284F" w:rsidRPr="00FD7B0B" w:rsidRDefault="0001284F" w:rsidP="000164F8">
            <w:pPr>
              <w:jc w:val="center"/>
              <w:rPr>
                <w:rFonts w:ascii="Times New Roman" w:hAnsi="Times New Roman"/>
              </w:rPr>
            </w:pPr>
            <w:r w:rsidRPr="00FD7B0B">
              <w:rPr>
                <w:rFonts w:ascii="Times New Roman" w:hAnsi="Times New Roman"/>
              </w:rPr>
              <w:t>за 2024 год, млн.руб.</w:t>
            </w:r>
          </w:p>
        </w:tc>
        <w:tc>
          <w:tcPr>
            <w:tcW w:w="3112" w:type="dxa"/>
          </w:tcPr>
          <w:p w14:paraId="0B9B6ED9" w14:textId="77777777" w:rsidR="0001284F" w:rsidRPr="00FD7B0B" w:rsidRDefault="0001284F" w:rsidP="000164F8">
            <w:pPr>
              <w:autoSpaceDE w:val="0"/>
              <w:autoSpaceDN w:val="0"/>
              <w:adjustRightInd w:val="0"/>
              <w:ind w:firstLine="34"/>
              <w:jc w:val="center"/>
              <w:rPr>
                <w:rFonts w:ascii="Times New Roman" w:hAnsi="Times New Roman"/>
              </w:rPr>
            </w:pPr>
            <w:r w:rsidRPr="00FD7B0B">
              <w:rPr>
                <w:rFonts w:ascii="Times New Roman" w:hAnsi="Times New Roman"/>
              </w:rPr>
              <w:t>бюджетные ассигнования ОБ в соответствии с показателями СБР на 31.12.2024), млн.руб.</w:t>
            </w:r>
          </w:p>
        </w:tc>
        <w:tc>
          <w:tcPr>
            <w:tcW w:w="2529" w:type="dxa"/>
          </w:tcPr>
          <w:p w14:paraId="64F81EDF" w14:textId="77777777" w:rsidR="0001284F" w:rsidRPr="00FD7B0B" w:rsidRDefault="0001284F" w:rsidP="00DC7FF9">
            <w:pPr>
              <w:ind w:right="156"/>
              <w:jc w:val="center"/>
              <w:rPr>
                <w:rFonts w:ascii="Times New Roman" w:hAnsi="Times New Roman"/>
              </w:rPr>
            </w:pPr>
            <w:r w:rsidRPr="00FD7B0B">
              <w:rPr>
                <w:rFonts w:ascii="Times New Roman" w:hAnsi="Times New Roman"/>
              </w:rPr>
              <w:t>степень кассового исполнения по расходам ОБ за 2024 год, %</w:t>
            </w:r>
          </w:p>
        </w:tc>
        <w:tc>
          <w:tcPr>
            <w:tcW w:w="1701" w:type="dxa"/>
          </w:tcPr>
          <w:p w14:paraId="1DC53904" w14:textId="77777777" w:rsidR="0001284F" w:rsidRPr="00FD7B0B" w:rsidRDefault="0001284F" w:rsidP="000164F8">
            <w:pPr>
              <w:jc w:val="center"/>
              <w:rPr>
                <w:rFonts w:ascii="Times New Roman" w:hAnsi="Times New Roman"/>
              </w:rPr>
            </w:pPr>
            <w:r w:rsidRPr="00FD7B0B">
              <w:rPr>
                <w:rFonts w:ascii="Times New Roman" w:hAnsi="Times New Roman"/>
              </w:rPr>
              <w:t>оценка</w:t>
            </w:r>
          </w:p>
        </w:tc>
      </w:tr>
      <w:tr w:rsidR="0001284F" w:rsidRPr="00FD7B0B" w14:paraId="0EC27E7E" w14:textId="77777777" w:rsidTr="00DC7FF9">
        <w:trPr>
          <w:trHeight w:val="233"/>
        </w:trPr>
        <w:tc>
          <w:tcPr>
            <w:tcW w:w="2174" w:type="dxa"/>
          </w:tcPr>
          <w:p w14:paraId="6AE8515F" w14:textId="77777777" w:rsidR="0001284F" w:rsidRPr="00FD7B0B" w:rsidRDefault="0001284F" w:rsidP="000164F8">
            <w:pPr>
              <w:jc w:val="center"/>
              <w:rPr>
                <w:rFonts w:ascii="Times New Roman" w:hAnsi="Times New Roman"/>
              </w:rPr>
            </w:pPr>
            <w:r w:rsidRPr="00FD7B0B">
              <w:rPr>
                <w:rFonts w:ascii="Times New Roman" w:hAnsi="Times New Roman"/>
              </w:rPr>
              <w:t>15 095,9</w:t>
            </w:r>
          </w:p>
        </w:tc>
        <w:tc>
          <w:tcPr>
            <w:tcW w:w="3112" w:type="dxa"/>
          </w:tcPr>
          <w:p w14:paraId="6D86982E" w14:textId="77777777" w:rsidR="0001284F" w:rsidRPr="00FD7B0B" w:rsidRDefault="0001284F" w:rsidP="000164F8">
            <w:pPr>
              <w:jc w:val="center"/>
              <w:rPr>
                <w:rFonts w:ascii="Times New Roman" w:hAnsi="Times New Roman"/>
              </w:rPr>
            </w:pPr>
            <w:r w:rsidRPr="00FD7B0B">
              <w:rPr>
                <w:rFonts w:ascii="Times New Roman" w:hAnsi="Times New Roman"/>
              </w:rPr>
              <w:t>15 493,2</w:t>
            </w:r>
          </w:p>
        </w:tc>
        <w:tc>
          <w:tcPr>
            <w:tcW w:w="2529" w:type="dxa"/>
          </w:tcPr>
          <w:p w14:paraId="5F89017D" w14:textId="77777777" w:rsidR="0001284F" w:rsidRPr="00FD7B0B" w:rsidRDefault="0001284F" w:rsidP="000164F8">
            <w:pPr>
              <w:jc w:val="center"/>
              <w:rPr>
                <w:rFonts w:ascii="Times New Roman" w:hAnsi="Times New Roman"/>
              </w:rPr>
            </w:pPr>
            <w:r w:rsidRPr="00FD7B0B">
              <w:rPr>
                <w:rFonts w:ascii="Times New Roman" w:hAnsi="Times New Roman"/>
              </w:rPr>
              <w:t>97,43</w:t>
            </w:r>
          </w:p>
        </w:tc>
        <w:tc>
          <w:tcPr>
            <w:tcW w:w="1701" w:type="dxa"/>
          </w:tcPr>
          <w:p w14:paraId="260AFE17" w14:textId="77777777" w:rsidR="0001284F" w:rsidRPr="00FD7B0B" w:rsidRDefault="0001284F" w:rsidP="000164F8">
            <w:pPr>
              <w:jc w:val="center"/>
              <w:rPr>
                <w:rFonts w:ascii="Times New Roman" w:hAnsi="Times New Roman"/>
              </w:rPr>
            </w:pPr>
            <w:r w:rsidRPr="00FD7B0B">
              <w:rPr>
                <w:rFonts w:ascii="Times New Roman" w:hAnsi="Times New Roman"/>
              </w:rPr>
              <w:t>высокий уровень</w:t>
            </w:r>
          </w:p>
        </w:tc>
      </w:tr>
    </w:tbl>
    <w:p w14:paraId="567B5BD9" w14:textId="77777777" w:rsidR="0001284F" w:rsidRPr="00FD7B0B" w:rsidRDefault="0001284F" w:rsidP="0001284F">
      <w:pPr>
        <w:spacing w:after="0" w:line="120" w:lineRule="auto"/>
        <w:jc w:val="both"/>
        <w:rPr>
          <w:rFonts w:ascii="Times New Roman" w:hAnsi="Times New Roman"/>
          <w:sz w:val="28"/>
          <w:szCs w:val="28"/>
        </w:rPr>
      </w:pPr>
    </w:p>
    <w:p w14:paraId="557F76E3" w14:textId="77777777" w:rsidR="0001284F" w:rsidRPr="00FD7B0B" w:rsidRDefault="0001284F" w:rsidP="0001284F">
      <w:pPr>
        <w:spacing w:after="0"/>
        <w:jc w:val="both"/>
        <w:rPr>
          <w:rFonts w:ascii="Times New Roman" w:hAnsi="Times New Roman"/>
          <w:sz w:val="24"/>
          <w:szCs w:val="24"/>
        </w:rPr>
      </w:pPr>
      <w:r w:rsidRPr="00FD7B0B">
        <w:rPr>
          <w:rFonts w:ascii="Times New Roman" w:hAnsi="Times New Roman"/>
          <w:sz w:val="24"/>
          <w:szCs w:val="24"/>
        </w:rPr>
        <w:t xml:space="preserve">2) анализ объема проектной части </w:t>
      </w: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111"/>
        <w:gridCol w:w="3704"/>
        <w:gridCol w:w="1701"/>
      </w:tblGrid>
      <w:tr w:rsidR="00FD7B0B" w:rsidRPr="00FD7B0B" w14:paraId="3BB4D10B" w14:textId="77777777" w:rsidTr="00AF7E13">
        <w:trPr>
          <w:trHeight w:val="691"/>
        </w:trPr>
        <w:tc>
          <w:tcPr>
            <w:tcW w:w="4111" w:type="dxa"/>
          </w:tcPr>
          <w:p w14:paraId="1600C141" w14:textId="77777777" w:rsidR="0001284F" w:rsidRPr="00FD7B0B" w:rsidRDefault="0001284F" w:rsidP="000164F8">
            <w:pPr>
              <w:jc w:val="center"/>
              <w:rPr>
                <w:rFonts w:ascii="Times New Roman" w:hAnsi="Times New Roman"/>
              </w:rPr>
            </w:pPr>
            <w:r w:rsidRPr="00FD7B0B">
              <w:rPr>
                <w:rFonts w:ascii="Times New Roman" w:hAnsi="Times New Roman"/>
              </w:rPr>
              <w:t xml:space="preserve">объем расходов ОБ, направленных на реализацию проектной части </w:t>
            </w:r>
          </w:p>
          <w:p w14:paraId="36028579" w14:textId="77777777" w:rsidR="0001284F" w:rsidRPr="00FD7B0B" w:rsidRDefault="0001284F" w:rsidP="000164F8">
            <w:pPr>
              <w:jc w:val="center"/>
              <w:rPr>
                <w:rFonts w:ascii="Times New Roman" w:hAnsi="Times New Roman"/>
              </w:rPr>
            </w:pPr>
            <w:r w:rsidRPr="00FD7B0B">
              <w:rPr>
                <w:rFonts w:ascii="Times New Roman" w:hAnsi="Times New Roman"/>
              </w:rPr>
              <w:t>(СБР на 31.12.2024), млн.руб.</w:t>
            </w:r>
          </w:p>
        </w:tc>
        <w:tc>
          <w:tcPr>
            <w:tcW w:w="3704" w:type="dxa"/>
          </w:tcPr>
          <w:p w14:paraId="19C748E7" w14:textId="77777777" w:rsidR="0001284F" w:rsidRPr="00FD7B0B" w:rsidRDefault="0001284F" w:rsidP="000164F8">
            <w:pPr>
              <w:autoSpaceDE w:val="0"/>
              <w:autoSpaceDN w:val="0"/>
              <w:adjustRightInd w:val="0"/>
              <w:ind w:firstLine="34"/>
              <w:jc w:val="center"/>
              <w:rPr>
                <w:rFonts w:ascii="Times New Roman" w:hAnsi="Times New Roman"/>
              </w:rPr>
            </w:pPr>
            <w:r w:rsidRPr="00FD7B0B">
              <w:rPr>
                <w:rFonts w:ascii="Times New Roman" w:hAnsi="Times New Roman"/>
              </w:rPr>
              <w:t xml:space="preserve">общий объем расходов ОБ, направленных на реализацию ГП № 19 </w:t>
            </w:r>
          </w:p>
          <w:p w14:paraId="0D448682" w14:textId="77777777" w:rsidR="0001284F" w:rsidRPr="00FD7B0B" w:rsidRDefault="0001284F" w:rsidP="000164F8">
            <w:pPr>
              <w:autoSpaceDE w:val="0"/>
              <w:autoSpaceDN w:val="0"/>
              <w:adjustRightInd w:val="0"/>
              <w:ind w:firstLine="34"/>
              <w:jc w:val="center"/>
              <w:rPr>
                <w:rFonts w:ascii="Times New Roman" w:hAnsi="Times New Roman"/>
              </w:rPr>
            </w:pPr>
            <w:r w:rsidRPr="00FD7B0B">
              <w:rPr>
                <w:rFonts w:ascii="Times New Roman" w:hAnsi="Times New Roman"/>
              </w:rPr>
              <w:t>(СБР на 31.12.2024), млн.руб.</w:t>
            </w:r>
          </w:p>
        </w:tc>
        <w:tc>
          <w:tcPr>
            <w:tcW w:w="1701" w:type="dxa"/>
          </w:tcPr>
          <w:p w14:paraId="18E8F2BC" w14:textId="77777777" w:rsidR="0001284F" w:rsidRPr="00FD7B0B" w:rsidRDefault="0001284F" w:rsidP="000164F8">
            <w:pPr>
              <w:jc w:val="center"/>
              <w:rPr>
                <w:rFonts w:ascii="Times New Roman" w:hAnsi="Times New Roman"/>
              </w:rPr>
            </w:pPr>
            <w:r w:rsidRPr="00FD7B0B">
              <w:rPr>
                <w:rFonts w:ascii="Times New Roman" w:hAnsi="Times New Roman"/>
              </w:rPr>
              <w:t>доля проектной части, %</w:t>
            </w:r>
          </w:p>
        </w:tc>
      </w:tr>
      <w:tr w:rsidR="0001284F" w:rsidRPr="00FD7B0B" w14:paraId="4ACD4E23" w14:textId="77777777" w:rsidTr="00854C28">
        <w:tc>
          <w:tcPr>
            <w:tcW w:w="4111" w:type="dxa"/>
          </w:tcPr>
          <w:p w14:paraId="22C4560F" w14:textId="77777777" w:rsidR="0001284F" w:rsidRPr="00FD7B0B" w:rsidRDefault="0001284F" w:rsidP="000164F8">
            <w:pPr>
              <w:jc w:val="center"/>
              <w:rPr>
                <w:rFonts w:ascii="Times New Roman" w:hAnsi="Times New Roman"/>
              </w:rPr>
            </w:pPr>
            <w:r w:rsidRPr="00FD7B0B">
              <w:rPr>
                <w:rFonts w:ascii="Times New Roman" w:hAnsi="Times New Roman"/>
              </w:rPr>
              <w:t>7 224,2</w:t>
            </w:r>
          </w:p>
        </w:tc>
        <w:tc>
          <w:tcPr>
            <w:tcW w:w="3704" w:type="dxa"/>
          </w:tcPr>
          <w:p w14:paraId="612646BA" w14:textId="77777777" w:rsidR="0001284F" w:rsidRPr="00FD7B0B" w:rsidRDefault="0001284F" w:rsidP="000164F8">
            <w:pPr>
              <w:jc w:val="center"/>
              <w:rPr>
                <w:rFonts w:ascii="Times New Roman" w:hAnsi="Times New Roman"/>
              </w:rPr>
            </w:pPr>
            <w:r w:rsidRPr="00FD7B0B">
              <w:rPr>
                <w:rFonts w:ascii="Times New Roman" w:hAnsi="Times New Roman"/>
              </w:rPr>
              <w:t>15 095,9</w:t>
            </w:r>
          </w:p>
        </w:tc>
        <w:tc>
          <w:tcPr>
            <w:tcW w:w="1701" w:type="dxa"/>
          </w:tcPr>
          <w:p w14:paraId="14744023" w14:textId="77777777" w:rsidR="0001284F" w:rsidRPr="00FD7B0B" w:rsidRDefault="0001284F" w:rsidP="000164F8">
            <w:pPr>
              <w:jc w:val="center"/>
              <w:rPr>
                <w:rFonts w:ascii="Times New Roman" w:hAnsi="Times New Roman"/>
              </w:rPr>
            </w:pPr>
            <w:r w:rsidRPr="00FD7B0B">
              <w:rPr>
                <w:rFonts w:ascii="Times New Roman" w:hAnsi="Times New Roman"/>
              </w:rPr>
              <w:t>47,85</w:t>
            </w:r>
          </w:p>
        </w:tc>
      </w:tr>
    </w:tbl>
    <w:p w14:paraId="413B833C" w14:textId="77777777" w:rsidR="0001284F" w:rsidRPr="00FD7B0B" w:rsidRDefault="0001284F" w:rsidP="0001284F">
      <w:pPr>
        <w:spacing w:after="0" w:line="120" w:lineRule="auto"/>
        <w:jc w:val="both"/>
        <w:rPr>
          <w:rFonts w:ascii="Times New Roman" w:hAnsi="Times New Roman"/>
          <w:sz w:val="28"/>
          <w:szCs w:val="28"/>
        </w:rPr>
      </w:pPr>
    </w:p>
    <w:p w14:paraId="23266B91" w14:textId="77777777" w:rsidR="0001284F" w:rsidRPr="00FD7B0B" w:rsidRDefault="0001284F" w:rsidP="0001284F">
      <w:pPr>
        <w:spacing w:after="0" w:line="240" w:lineRule="auto"/>
        <w:jc w:val="both"/>
        <w:rPr>
          <w:rFonts w:ascii="Times New Roman" w:hAnsi="Times New Roman"/>
          <w:sz w:val="24"/>
          <w:szCs w:val="24"/>
        </w:rPr>
      </w:pPr>
      <w:r w:rsidRPr="00FD7B0B">
        <w:rPr>
          <w:rFonts w:ascii="Times New Roman" w:hAnsi="Times New Roman"/>
          <w:sz w:val="24"/>
          <w:szCs w:val="24"/>
        </w:rPr>
        <w:t xml:space="preserve">3) оценка объема изменений, внесенных в СБР </w:t>
      </w: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138"/>
        <w:gridCol w:w="2835"/>
        <w:gridCol w:w="1842"/>
        <w:gridCol w:w="1701"/>
      </w:tblGrid>
      <w:tr w:rsidR="00FD7B0B" w:rsidRPr="00FD7B0B" w14:paraId="1E995EBF" w14:textId="77777777" w:rsidTr="00854C28">
        <w:trPr>
          <w:trHeight w:val="419"/>
        </w:trPr>
        <w:tc>
          <w:tcPr>
            <w:tcW w:w="3138" w:type="dxa"/>
          </w:tcPr>
          <w:p w14:paraId="13F95A31" w14:textId="77777777" w:rsidR="0001284F" w:rsidRPr="00FD7B0B" w:rsidRDefault="0001284F" w:rsidP="000164F8">
            <w:pPr>
              <w:jc w:val="center"/>
              <w:rPr>
                <w:rFonts w:ascii="Times New Roman" w:hAnsi="Times New Roman"/>
              </w:rPr>
            </w:pPr>
            <w:r w:rsidRPr="00FD7B0B">
              <w:rPr>
                <w:rFonts w:ascii="Times New Roman" w:hAnsi="Times New Roman"/>
              </w:rPr>
              <w:t>объем изменения объема БА, млн.руб.</w:t>
            </w:r>
          </w:p>
        </w:tc>
        <w:tc>
          <w:tcPr>
            <w:tcW w:w="2835" w:type="dxa"/>
          </w:tcPr>
          <w:p w14:paraId="6005CC56" w14:textId="77777777" w:rsidR="0001284F" w:rsidRPr="00FD7B0B" w:rsidRDefault="0001284F" w:rsidP="000164F8">
            <w:pPr>
              <w:autoSpaceDE w:val="0"/>
              <w:autoSpaceDN w:val="0"/>
              <w:adjustRightInd w:val="0"/>
              <w:ind w:firstLine="34"/>
              <w:jc w:val="center"/>
              <w:rPr>
                <w:rFonts w:ascii="Times New Roman" w:hAnsi="Times New Roman"/>
              </w:rPr>
            </w:pPr>
            <w:r w:rsidRPr="00FD7B0B">
              <w:rPr>
                <w:rFonts w:ascii="Times New Roman" w:hAnsi="Times New Roman"/>
              </w:rPr>
              <w:t xml:space="preserve">бюджетные ассигнования ОБ (СБР на 01.01.2024), млн.руб. </w:t>
            </w:r>
          </w:p>
        </w:tc>
        <w:tc>
          <w:tcPr>
            <w:tcW w:w="1842" w:type="dxa"/>
          </w:tcPr>
          <w:p w14:paraId="597CE478" w14:textId="77777777" w:rsidR="0001284F" w:rsidRPr="00FD7B0B" w:rsidRDefault="0001284F" w:rsidP="000164F8">
            <w:pPr>
              <w:jc w:val="center"/>
              <w:rPr>
                <w:rFonts w:ascii="Times New Roman" w:hAnsi="Times New Roman"/>
              </w:rPr>
            </w:pPr>
            <w:r w:rsidRPr="00FD7B0B">
              <w:rPr>
                <w:rFonts w:ascii="Times New Roman" w:hAnsi="Times New Roman"/>
              </w:rPr>
              <w:t>доля объема изменений БА, %</w:t>
            </w:r>
          </w:p>
        </w:tc>
        <w:tc>
          <w:tcPr>
            <w:tcW w:w="1701" w:type="dxa"/>
          </w:tcPr>
          <w:p w14:paraId="2755B8A5" w14:textId="77777777" w:rsidR="0001284F" w:rsidRPr="00FD7B0B" w:rsidRDefault="0001284F" w:rsidP="000164F8">
            <w:pPr>
              <w:jc w:val="center"/>
              <w:rPr>
                <w:rFonts w:ascii="Times New Roman" w:hAnsi="Times New Roman"/>
              </w:rPr>
            </w:pPr>
            <w:r w:rsidRPr="00FD7B0B">
              <w:rPr>
                <w:rFonts w:ascii="Times New Roman" w:hAnsi="Times New Roman"/>
              </w:rPr>
              <w:t>оценка</w:t>
            </w:r>
          </w:p>
        </w:tc>
      </w:tr>
      <w:tr w:rsidR="0001284F" w:rsidRPr="00FD7B0B" w14:paraId="1F436D34" w14:textId="77777777" w:rsidTr="00854C28">
        <w:tc>
          <w:tcPr>
            <w:tcW w:w="3138" w:type="dxa"/>
            <w:shd w:val="clear" w:color="auto" w:fill="auto"/>
          </w:tcPr>
          <w:p w14:paraId="7CD47FD4" w14:textId="77777777" w:rsidR="0001284F" w:rsidRPr="00FD7B0B" w:rsidRDefault="0001284F" w:rsidP="000164F8">
            <w:pPr>
              <w:jc w:val="center"/>
              <w:rPr>
                <w:rFonts w:ascii="Times New Roman" w:hAnsi="Times New Roman"/>
              </w:rPr>
            </w:pPr>
            <w:r w:rsidRPr="00FD7B0B">
              <w:rPr>
                <w:rFonts w:ascii="Times New Roman" w:hAnsi="Times New Roman"/>
              </w:rPr>
              <w:t>755,5</w:t>
            </w:r>
          </w:p>
        </w:tc>
        <w:tc>
          <w:tcPr>
            <w:tcW w:w="2835" w:type="dxa"/>
            <w:shd w:val="clear" w:color="auto" w:fill="auto"/>
          </w:tcPr>
          <w:p w14:paraId="7F38DBED" w14:textId="77777777" w:rsidR="0001284F" w:rsidRPr="00FD7B0B" w:rsidRDefault="0001284F" w:rsidP="000164F8">
            <w:pPr>
              <w:jc w:val="center"/>
              <w:rPr>
                <w:rFonts w:ascii="Times New Roman" w:hAnsi="Times New Roman"/>
              </w:rPr>
            </w:pPr>
            <w:r w:rsidRPr="00FD7B0B">
              <w:rPr>
                <w:rFonts w:ascii="Times New Roman" w:hAnsi="Times New Roman"/>
              </w:rPr>
              <w:t>14 737,7</w:t>
            </w:r>
          </w:p>
        </w:tc>
        <w:tc>
          <w:tcPr>
            <w:tcW w:w="1842" w:type="dxa"/>
            <w:shd w:val="clear" w:color="auto" w:fill="auto"/>
          </w:tcPr>
          <w:p w14:paraId="435A134D" w14:textId="77777777" w:rsidR="0001284F" w:rsidRPr="00FD7B0B" w:rsidRDefault="0001284F" w:rsidP="000164F8">
            <w:pPr>
              <w:jc w:val="center"/>
              <w:rPr>
                <w:rFonts w:ascii="Times New Roman" w:hAnsi="Times New Roman"/>
              </w:rPr>
            </w:pPr>
            <w:r w:rsidRPr="00FD7B0B">
              <w:rPr>
                <w:rFonts w:ascii="Times New Roman" w:hAnsi="Times New Roman"/>
              </w:rPr>
              <w:t>5,1</w:t>
            </w:r>
          </w:p>
        </w:tc>
        <w:tc>
          <w:tcPr>
            <w:tcW w:w="1701" w:type="dxa"/>
          </w:tcPr>
          <w:p w14:paraId="71A342B7" w14:textId="77777777" w:rsidR="0001284F" w:rsidRPr="00FD7B0B" w:rsidRDefault="0001284F" w:rsidP="000164F8">
            <w:pPr>
              <w:jc w:val="center"/>
              <w:rPr>
                <w:rFonts w:ascii="Times New Roman" w:hAnsi="Times New Roman"/>
              </w:rPr>
            </w:pPr>
            <w:r w:rsidRPr="00FD7B0B">
              <w:rPr>
                <w:rFonts w:ascii="Times New Roman" w:hAnsi="Times New Roman"/>
              </w:rPr>
              <w:t>высокий уровень</w:t>
            </w:r>
          </w:p>
        </w:tc>
      </w:tr>
    </w:tbl>
    <w:p w14:paraId="78C12E24" w14:textId="77777777" w:rsidR="0001284F" w:rsidRPr="00FD7B0B" w:rsidRDefault="0001284F" w:rsidP="0001284F">
      <w:pPr>
        <w:spacing w:after="0" w:line="120" w:lineRule="auto"/>
        <w:jc w:val="both"/>
        <w:rPr>
          <w:rFonts w:ascii="Times New Roman" w:hAnsi="Times New Roman"/>
          <w:sz w:val="28"/>
          <w:szCs w:val="28"/>
        </w:rPr>
      </w:pPr>
    </w:p>
    <w:p w14:paraId="26141B82" w14:textId="77777777" w:rsidR="0001284F" w:rsidRPr="00FD7B0B" w:rsidRDefault="0001284F" w:rsidP="0001284F">
      <w:pPr>
        <w:spacing w:after="0" w:line="240" w:lineRule="auto"/>
        <w:jc w:val="both"/>
        <w:rPr>
          <w:rFonts w:ascii="Times New Roman" w:hAnsi="Times New Roman"/>
          <w:sz w:val="24"/>
          <w:szCs w:val="24"/>
        </w:rPr>
      </w:pPr>
      <w:r w:rsidRPr="00FD7B0B">
        <w:rPr>
          <w:rFonts w:ascii="Times New Roman" w:hAnsi="Times New Roman"/>
          <w:sz w:val="24"/>
          <w:szCs w:val="24"/>
        </w:rPr>
        <w:t xml:space="preserve">4) оценка достижения плановых значений показателей </w:t>
      </w:r>
    </w:p>
    <w:tbl>
      <w:tblPr>
        <w:tblStyle w:val="a7"/>
        <w:tblW w:w="9541"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456"/>
        <w:gridCol w:w="2666"/>
        <w:gridCol w:w="2463"/>
        <w:gridCol w:w="1956"/>
      </w:tblGrid>
      <w:tr w:rsidR="00FD7B0B" w:rsidRPr="00FD7B0B" w14:paraId="77F361E5" w14:textId="77777777" w:rsidTr="00854C28">
        <w:trPr>
          <w:trHeight w:val="288"/>
        </w:trPr>
        <w:tc>
          <w:tcPr>
            <w:tcW w:w="2456" w:type="dxa"/>
          </w:tcPr>
          <w:p w14:paraId="6C700A96" w14:textId="77777777" w:rsidR="0001284F" w:rsidRPr="00FD7B0B" w:rsidRDefault="0001284F" w:rsidP="000164F8">
            <w:pPr>
              <w:jc w:val="center"/>
              <w:rPr>
                <w:rFonts w:ascii="Times New Roman" w:hAnsi="Times New Roman"/>
              </w:rPr>
            </w:pPr>
            <w:r w:rsidRPr="00FD7B0B">
              <w:rPr>
                <w:rFonts w:ascii="Times New Roman" w:hAnsi="Times New Roman"/>
              </w:rPr>
              <w:t>количество достигнутых значений показателей, ед.</w:t>
            </w:r>
          </w:p>
        </w:tc>
        <w:tc>
          <w:tcPr>
            <w:tcW w:w="2666" w:type="dxa"/>
          </w:tcPr>
          <w:p w14:paraId="21531DD2" w14:textId="77777777" w:rsidR="0001284F" w:rsidRPr="00FD7B0B" w:rsidRDefault="0001284F" w:rsidP="000164F8">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ед.</w:t>
            </w:r>
          </w:p>
        </w:tc>
        <w:tc>
          <w:tcPr>
            <w:tcW w:w="2463" w:type="dxa"/>
          </w:tcPr>
          <w:p w14:paraId="0CABC88D" w14:textId="77777777" w:rsidR="0001284F" w:rsidRPr="00FD7B0B" w:rsidRDefault="0001284F" w:rsidP="000164F8">
            <w:pPr>
              <w:jc w:val="center"/>
              <w:rPr>
                <w:rFonts w:ascii="Times New Roman" w:hAnsi="Times New Roman"/>
              </w:rPr>
            </w:pPr>
            <w:r w:rsidRPr="00FD7B0B">
              <w:rPr>
                <w:rFonts w:ascii="Times New Roman" w:hAnsi="Times New Roman"/>
              </w:rPr>
              <w:t>доля выполненных показателей, %</w:t>
            </w:r>
          </w:p>
        </w:tc>
        <w:tc>
          <w:tcPr>
            <w:tcW w:w="1956" w:type="dxa"/>
          </w:tcPr>
          <w:p w14:paraId="353972BC" w14:textId="77777777" w:rsidR="0001284F" w:rsidRPr="00FD7B0B" w:rsidRDefault="0001284F" w:rsidP="000164F8">
            <w:pPr>
              <w:jc w:val="center"/>
              <w:rPr>
                <w:rFonts w:ascii="Times New Roman" w:hAnsi="Times New Roman"/>
              </w:rPr>
            </w:pPr>
            <w:r w:rsidRPr="00FD7B0B">
              <w:rPr>
                <w:rFonts w:ascii="Times New Roman" w:hAnsi="Times New Roman"/>
              </w:rPr>
              <w:t>оценка</w:t>
            </w:r>
          </w:p>
        </w:tc>
      </w:tr>
      <w:tr w:rsidR="0001284F" w:rsidRPr="00FD7B0B" w14:paraId="0EF8D143" w14:textId="77777777" w:rsidTr="00854C28">
        <w:tc>
          <w:tcPr>
            <w:tcW w:w="2456" w:type="dxa"/>
          </w:tcPr>
          <w:p w14:paraId="4EFF98F5" w14:textId="77777777" w:rsidR="0001284F" w:rsidRPr="00FD7B0B" w:rsidRDefault="0001284F" w:rsidP="000164F8">
            <w:pPr>
              <w:jc w:val="center"/>
              <w:rPr>
                <w:rFonts w:ascii="Times New Roman" w:hAnsi="Times New Roman"/>
              </w:rPr>
            </w:pPr>
            <w:r w:rsidRPr="00FD7B0B">
              <w:rPr>
                <w:rFonts w:ascii="Times New Roman" w:hAnsi="Times New Roman"/>
              </w:rPr>
              <w:t>2</w:t>
            </w:r>
          </w:p>
        </w:tc>
        <w:tc>
          <w:tcPr>
            <w:tcW w:w="2666" w:type="dxa"/>
          </w:tcPr>
          <w:p w14:paraId="3E9BD821" w14:textId="77777777" w:rsidR="0001284F" w:rsidRPr="00FD7B0B" w:rsidRDefault="0001284F" w:rsidP="000164F8">
            <w:pPr>
              <w:jc w:val="center"/>
              <w:rPr>
                <w:rFonts w:ascii="Times New Roman" w:hAnsi="Times New Roman"/>
              </w:rPr>
            </w:pPr>
            <w:r w:rsidRPr="00FD7B0B">
              <w:rPr>
                <w:rFonts w:ascii="Times New Roman" w:hAnsi="Times New Roman"/>
              </w:rPr>
              <w:t>3</w:t>
            </w:r>
          </w:p>
        </w:tc>
        <w:tc>
          <w:tcPr>
            <w:tcW w:w="2463" w:type="dxa"/>
          </w:tcPr>
          <w:p w14:paraId="7BBF3DC1" w14:textId="77777777" w:rsidR="0001284F" w:rsidRPr="00FD7B0B" w:rsidRDefault="0001284F" w:rsidP="000164F8">
            <w:pPr>
              <w:jc w:val="center"/>
              <w:rPr>
                <w:rFonts w:ascii="Times New Roman" w:hAnsi="Times New Roman"/>
              </w:rPr>
            </w:pPr>
            <w:r w:rsidRPr="00FD7B0B">
              <w:rPr>
                <w:rFonts w:ascii="Times New Roman" w:hAnsi="Times New Roman"/>
              </w:rPr>
              <w:t>66,66</w:t>
            </w:r>
          </w:p>
        </w:tc>
        <w:tc>
          <w:tcPr>
            <w:tcW w:w="1956" w:type="dxa"/>
          </w:tcPr>
          <w:p w14:paraId="72B11829" w14:textId="77777777" w:rsidR="0001284F" w:rsidRPr="00FD7B0B" w:rsidRDefault="0001284F" w:rsidP="000164F8">
            <w:pPr>
              <w:jc w:val="center"/>
              <w:rPr>
                <w:rFonts w:ascii="Times New Roman" w:hAnsi="Times New Roman"/>
              </w:rPr>
            </w:pPr>
            <w:r w:rsidRPr="00FD7B0B">
              <w:rPr>
                <w:rFonts w:ascii="Times New Roman" w:hAnsi="Times New Roman"/>
              </w:rPr>
              <w:t>низкий уровень</w:t>
            </w:r>
          </w:p>
        </w:tc>
      </w:tr>
    </w:tbl>
    <w:p w14:paraId="7A80AE42" w14:textId="77777777" w:rsidR="0001284F" w:rsidRPr="00FD7B0B" w:rsidRDefault="0001284F" w:rsidP="0001284F">
      <w:pPr>
        <w:spacing w:after="0" w:line="192" w:lineRule="auto"/>
        <w:jc w:val="both"/>
        <w:rPr>
          <w:rFonts w:ascii="Times New Roman" w:hAnsi="Times New Roman"/>
          <w:sz w:val="28"/>
          <w:szCs w:val="28"/>
        </w:rPr>
      </w:pP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122"/>
        <w:gridCol w:w="2410"/>
        <w:gridCol w:w="1984"/>
      </w:tblGrid>
      <w:tr w:rsidR="0001284F" w:rsidRPr="00FD7B0B" w14:paraId="73A08D4C" w14:textId="77777777" w:rsidTr="00854C28">
        <w:tc>
          <w:tcPr>
            <w:tcW w:w="5122" w:type="dxa"/>
          </w:tcPr>
          <w:p w14:paraId="35AA1FA6" w14:textId="77777777" w:rsidR="0001284F" w:rsidRPr="00FD7B0B" w:rsidRDefault="0001284F" w:rsidP="000164F8">
            <w:pPr>
              <w:rPr>
                <w:rFonts w:ascii="Times New Roman" w:hAnsi="Times New Roman"/>
              </w:rPr>
            </w:pPr>
            <w:r w:rsidRPr="00FD7B0B">
              <w:rPr>
                <w:rFonts w:ascii="Times New Roman" w:hAnsi="Times New Roman"/>
              </w:rPr>
              <w:t>степень достижения всех показателей ГП № 19</w:t>
            </w:r>
          </w:p>
        </w:tc>
        <w:tc>
          <w:tcPr>
            <w:tcW w:w="2410" w:type="dxa"/>
          </w:tcPr>
          <w:p w14:paraId="5A8CFEF1" w14:textId="77777777" w:rsidR="0001284F" w:rsidRPr="00FD7B0B" w:rsidRDefault="0001284F" w:rsidP="000164F8">
            <w:pPr>
              <w:jc w:val="center"/>
              <w:rPr>
                <w:rFonts w:ascii="Times New Roman" w:hAnsi="Times New Roman"/>
              </w:rPr>
            </w:pPr>
            <w:r w:rsidRPr="00FD7B0B">
              <w:rPr>
                <w:rFonts w:ascii="Times New Roman" w:hAnsi="Times New Roman"/>
              </w:rPr>
              <w:t>99,2</w:t>
            </w:r>
          </w:p>
        </w:tc>
        <w:tc>
          <w:tcPr>
            <w:tcW w:w="1984" w:type="dxa"/>
          </w:tcPr>
          <w:p w14:paraId="6E1D4302" w14:textId="77777777" w:rsidR="0001284F" w:rsidRPr="00FD7B0B" w:rsidRDefault="0001284F" w:rsidP="000164F8">
            <w:pPr>
              <w:jc w:val="center"/>
              <w:rPr>
                <w:rFonts w:ascii="Times New Roman" w:hAnsi="Times New Roman"/>
              </w:rPr>
            </w:pPr>
            <w:r w:rsidRPr="00FD7B0B">
              <w:rPr>
                <w:rFonts w:ascii="Times New Roman" w:hAnsi="Times New Roman"/>
              </w:rPr>
              <w:t>высокий уровень</w:t>
            </w:r>
          </w:p>
        </w:tc>
      </w:tr>
    </w:tbl>
    <w:p w14:paraId="71599A43" w14:textId="77777777" w:rsidR="0001284F" w:rsidRPr="00FD7B0B" w:rsidRDefault="0001284F" w:rsidP="0001284F">
      <w:pPr>
        <w:spacing w:after="0" w:line="120" w:lineRule="auto"/>
        <w:jc w:val="both"/>
        <w:rPr>
          <w:rFonts w:ascii="Times New Roman" w:hAnsi="Times New Roman"/>
          <w:sz w:val="28"/>
          <w:szCs w:val="28"/>
        </w:rPr>
      </w:pPr>
    </w:p>
    <w:p w14:paraId="157FEDB6" w14:textId="77777777" w:rsidR="0001284F" w:rsidRPr="00FD7B0B" w:rsidRDefault="0001284F" w:rsidP="0001284F">
      <w:pPr>
        <w:spacing w:after="0" w:line="240" w:lineRule="auto"/>
        <w:jc w:val="both"/>
        <w:rPr>
          <w:rFonts w:ascii="Times New Roman" w:hAnsi="Times New Roman"/>
          <w:sz w:val="24"/>
          <w:szCs w:val="24"/>
        </w:rPr>
      </w:pPr>
      <w:r w:rsidRPr="00FD7B0B">
        <w:rPr>
          <w:rFonts w:ascii="Times New Roman" w:hAnsi="Times New Roman"/>
          <w:sz w:val="24"/>
          <w:szCs w:val="24"/>
        </w:rPr>
        <w:t xml:space="preserve">5) оценка динамики дебиторской задолженности по расчетам по авансовым платежам </w:t>
      </w: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786"/>
        <w:gridCol w:w="2884"/>
        <w:gridCol w:w="2694"/>
        <w:gridCol w:w="1152"/>
      </w:tblGrid>
      <w:tr w:rsidR="00FD7B0B" w:rsidRPr="00FD7B0B" w14:paraId="3B51ED95" w14:textId="77777777" w:rsidTr="00854C28">
        <w:trPr>
          <w:trHeight w:val="445"/>
        </w:trPr>
        <w:tc>
          <w:tcPr>
            <w:tcW w:w="2786" w:type="dxa"/>
            <w:vAlign w:val="center"/>
          </w:tcPr>
          <w:p w14:paraId="67CF0BD9"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объем просроченной дебиторской задолженности по авансовым платежам на конец отчетного года (данные ф.0503169), млн.руб.</w:t>
            </w:r>
          </w:p>
        </w:tc>
        <w:tc>
          <w:tcPr>
            <w:tcW w:w="2884" w:type="dxa"/>
            <w:vAlign w:val="center"/>
          </w:tcPr>
          <w:p w14:paraId="0D066E89" w14:textId="77777777" w:rsidR="0001284F" w:rsidRPr="00FD7B0B" w:rsidRDefault="0001284F" w:rsidP="000164F8">
            <w:pPr>
              <w:autoSpaceDE w:val="0"/>
              <w:autoSpaceDN w:val="0"/>
              <w:adjustRightInd w:val="0"/>
              <w:ind w:firstLine="34"/>
              <w:jc w:val="center"/>
              <w:rPr>
                <w:rFonts w:ascii="Times New Roman" w:hAnsi="Times New Roman"/>
                <w:sz w:val="16"/>
                <w:szCs w:val="16"/>
              </w:rPr>
            </w:pPr>
            <w:r w:rsidRPr="00FD7B0B">
              <w:rPr>
                <w:rFonts w:ascii="Times New Roman" w:hAnsi="Times New Roman"/>
                <w:sz w:val="16"/>
                <w:szCs w:val="16"/>
              </w:rPr>
              <w:t>общий объем дебиторской задолженности по авансовым платежам на конец отчетного года (данные ф.0503169), млн.руб.</w:t>
            </w:r>
          </w:p>
        </w:tc>
        <w:tc>
          <w:tcPr>
            <w:tcW w:w="2694" w:type="dxa"/>
            <w:vAlign w:val="center"/>
          </w:tcPr>
          <w:p w14:paraId="4ACB240F"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доля просроченной дебиторской задолженности в общем объеме дебиторской задолженности за 2024 год, %</w:t>
            </w:r>
          </w:p>
        </w:tc>
        <w:tc>
          <w:tcPr>
            <w:tcW w:w="1152" w:type="dxa"/>
            <w:vAlign w:val="center"/>
          </w:tcPr>
          <w:p w14:paraId="6E332651"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оценка</w:t>
            </w:r>
          </w:p>
        </w:tc>
      </w:tr>
      <w:tr w:rsidR="0001284F" w:rsidRPr="00FD7B0B" w14:paraId="53279DA0" w14:textId="77777777" w:rsidTr="00854C28">
        <w:tc>
          <w:tcPr>
            <w:tcW w:w="2786" w:type="dxa"/>
            <w:vAlign w:val="center"/>
          </w:tcPr>
          <w:p w14:paraId="51144638" w14:textId="77777777" w:rsidR="0001284F" w:rsidRPr="00FD7B0B" w:rsidRDefault="0001284F" w:rsidP="000164F8">
            <w:pPr>
              <w:jc w:val="center"/>
              <w:rPr>
                <w:rFonts w:ascii="Times New Roman" w:hAnsi="Times New Roman"/>
              </w:rPr>
            </w:pPr>
            <w:r w:rsidRPr="00FD7B0B">
              <w:rPr>
                <w:rFonts w:ascii="Times New Roman" w:hAnsi="Times New Roman"/>
              </w:rPr>
              <w:t>0,0</w:t>
            </w:r>
          </w:p>
        </w:tc>
        <w:tc>
          <w:tcPr>
            <w:tcW w:w="2884" w:type="dxa"/>
            <w:vAlign w:val="center"/>
          </w:tcPr>
          <w:p w14:paraId="11D6AB10" w14:textId="77777777" w:rsidR="0001284F" w:rsidRPr="00FD7B0B" w:rsidRDefault="0001284F" w:rsidP="000164F8">
            <w:pPr>
              <w:jc w:val="center"/>
              <w:rPr>
                <w:rFonts w:ascii="Times New Roman" w:hAnsi="Times New Roman"/>
              </w:rPr>
            </w:pPr>
            <w:r w:rsidRPr="00FD7B0B">
              <w:rPr>
                <w:rFonts w:ascii="Times New Roman" w:hAnsi="Times New Roman"/>
              </w:rPr>
              <w:t>154,4</w:t>
            </w:r>
          </w:p>
        </w:tc>
        <w:tc>
          <w:tcPr>
            <w:tcW w:w="2694" w:type="dxa"/>
            <w:vAlign w:val="center"/>
          </w:tcPr>
          <w:p w14:paraId="736D3AAF" w14:textId="77777777" w:rsidR="0001284F" w:rsidRPr="00FD7B0B" w:rsidRDefault="0001284F" w:rsidP="000164F8">
            <w:pPr>
              <w:jc w:val="center"/>
              <w:rPr>
                <w:rFonts w:ascii="Times New Roman" w:hAnsi="Times New Roman"/>
              </w:rPr>
            </w:pPr>
            <w:r w:rsidRPr="00FD7B0B">
              <w:rPr>
                <w:rFonts w:ascii="Times New Roman" w:hAnsi="Times New Roman"/>
              </w:rPr>
              <w:t>0</w:t>
            </w:r>
          </w:p>
        </w:tc>
        <w:tc>
          <w:tcPr>
            <w:tcW w:w="1152" w:type="dxa"/>
            <w:vAlign w:val="center"/>
          </w:tcPr>
          <w:p w14:paraId="40713C6B" w14:textId="77777777" w:rsidR="0001284F" w:rsidRPr="00FD7B0B" w:rsidRDefault="0001284F" w:rsidP="000164F8">
            <w:pPr>
              <w:jc w:val="center"/>
              <w:rPr>
                <w:rFonts w:ascii="Times New Roman" w:hAnsi="Times New Roman"/>
              </w:rPr>
            </w:pPr>
            <w:r w:rsidRPr="00FD7B0B">
              <w:rPr>
                <w:rFonts w:ascii="Times New Roman" w:hAnsi="Times New Roman"/>
              </w:rPr>
              <w:t>высокий уровень</w:t>
            </w:r>
          </w:p>
        </w:tc>
      </w:tr>
    </w:tbl>
    <w:p w14:paraId="31D6EB47" w14:textId="77777777" w:rsidR="0001284F" w:rsidRPr="00FD7B0B" w:rsidRDefault="0001284F" w:rsidP="0001284F">
      <w:pPr>
        <w:spacing w:after="0" w:line="120" w:lineRule="auto"/>
        <w:jc w:val="both"/>
        <w:rPr>
          <w:rFonts w:ascii="Times New Roman" w:hAnsi="Times New Roman"/>
          <w:sz w:val="28"/>
          <w:szCs w:val="28"/>
        </w:rPr>
      </w:pP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694"/>
        <w:gridCol w:w="2693"/>
        <w:gridCol w:w="1861"/>
        <w:gridCol w:w="2268"/>
      </w:tblGrid>
      <w:tr w:rsidR="00FD7B0B" w:rsidRPr="00FD7B0B" w14:paraId="1225A9F2" w14:textId="77777777" w:rsidTr="00854C28">
        <w:trPr>
          <w:trHeight w:val="697"/>
        </w:trPr>
        <w:tc>
          <w:tcPr>
            <w:tcW w:w="2694" w:type="dxa"/>
            <w:vAlign w:val="center"/>
          </w:tcPr>
          <w:p w14:paraId="1D0CC8B4"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объем дебиторской задолженности по авансовым платежам на конец отчетного года (данные ф. 0503169), млн.руб.</w:t>
            </w:r>
          </w:p>
        </w:tc>
        <w:tc>
          <w:tcPr>
            <w:tcW w:w="2693" w:type="dxa"/>
            <w:vAlign w:val="center"/>
          </w:tcPr>
          <w:p w14:paraId="0E7C66ED" w14:textId="77777777" w:rsidR="0001284F" w:rsidRPr="00FD7B0B" w:rsidRDefault="0001284F" w:rsidP="000164F8">
            <w:pPr>
              <w:autoSpaceDE w:val="0"/>
              <w:autoSpaceDN w:val="0"/>
              <w:adjustRightInd w:val="0"/>
              <w:ind w:firstLine="34"/>
              <w:jc w:val="center"/>
              <w:rPr>
                <w:rFonts w:ascii="Times New Roman" w:hAnsi="Times New Roman"/>
                <w:sz w:val="16"/>
                <w:szCs w:val="16"/>
              </w:rPr>
            </w:pPr>
            <w:r w:rsidRPr="00FD7B0B">
              <w:rPr>
                <w:rFonts w:ascii="Times New Roman" w:hAnsi="Times New Roman"/>
                <w:sz w:val="16"/>
                <w:szCs w:val="16"/>
              </w:rPr>
              <w:t>объем дебиторской задолженности по авансовым платежам на начало отчетного года (данные ф. 0503169), млн.руб.</w:t>
            </w:r>
          </w:p>
        </w:tc>
        <w:tc>
          <w:tcPr>
            <w:tcW w:w="1861" w:type="dxa"/>
            <w:vAlign w:val="center"/>
          </w:tcPr>
          <w:p w14:paraId="55855B27"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кассовые расходы областного бюджета за 2024 год, млн.руб.</w:t>
            </w:r>
          </w:p>
        </w:tc>
        <w:tc>
          <w:tcPr>
            <w:tcW w:w="2268" w:type="dxa"/>
            <w:vAlign w:val="center"/>
          </w:tcPr>
          <w:p w14:paraId="7806C4D3"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 xml:space="preserve">прирост дебиторской задолженности к объему кассовых расходов </w:t>
            </w:r>
          </w:p>
          <w:p w14:paraId="36B9D4CE"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за 2024 год, %</w:t>
            </w:r>
          </w:p>
        </w:tc>
      </w:tr>
      <w:tr w:rsidR="0001284F" w:rsidRPr="00FD7B0B" w14:paraId="5793568E" w14:textId="77777777" w:rsidTr="00854C28">
        <w:tc>
          <w:tcPr>
            <w:tcW w:w="2694" w:type="dxa"/>
            <w:vAlign w:val="center"/>
          </w:tcPr>
          <w:p w14:paraId="49F56ADA" w14:textId="77777777" w:rsidR="0001284F" w:rsidRPr="00FD7B0B" w:rsidRDefault="0001284F" w:rsidP="000164F8">
            <w:pPr>
              <w:jc w:val="center"/>
              <w:rPr>
                <w:rFonts w:ascii="Times New Roman" w:hAnsi="Times New Roman"/>
              </w:rPr>
            </w:pPr>
            <w:r w:rsidRPr="00FD7B0B">
              <w:rPr>
                <w:rFonts w:ascii="Times New Roman" w:hAnsi="Times New Roman"/>
              </w:rPr>
              <w:t>154,4</w:t>
            </w:r>
          </w:p>
        </w:tc>
        <w:tc>
          <w:tcPr>
            <w:tcW w:w="2693" w:type="dxa"/>
            <w:vAlign w:val="center"/>
          </w:tcPr>
          <w:p w14:paraId="6711010A" w14:textId="77777777" w:rsidR="0001284F" w:rsidRPr="00FD7B0B" w:rsidRDefault="0001284F" w:rsidP="000164F8">
            <w:pPr>
              <w:jc w:val="center"/>
              <w:rPr>
                <w:rFonts w:ascii="Times New Roman" w:hAnsi="Times New Roman"/>
              </w:rPr>
            </w:pPr>
            <w:r w:rsidRPr="00FD7B0B">
              <w:rPr>
                <w:rFonts w:ascii="Times New Roman" w:hAnsi="Times New Roman"/>
              </w:rPr>
              <w:t>99,6</w:t>
            </w:r>
          </w:p>
        </w:tc>
        <w:tc>
          <w:tcPr>
            <w:tcW w:w="1861" w:type="dxa"/>
            <w:vAlign w:val="center"/>
          </w:tcPr>
          <w:p w14:paraId="1261C04A" w14:textId="77777777" w:rsidR="0001284F" w:rsidRPr="00FD7B0B" w:rsidRDefault="0001284F" w:rsidP="000164F8">
            <w:pPr>
              <w:jc w:val="center"/>
              <w:rPr>
                <w:rFonts w:ascii="Times New Roman" w:hAnsi="Times New Roman"/>
              </w:rPr>
            </w:pPr>
            <w:r w:rsidRPr="00FD7B0B">
              <w:rPr>
                <w:rFonts w:ascii="Times New Roman" w:hAnsi="Times New Roman"/>
              </w:rPr>
              <w:t>15 095,9</w:t>
            </w:r>
          </w:p>
        </w:tc>
        <w:tc>
          <w:tcPr>
            <w:tcW w:w="2268" w:type="dxa"/>
            <w:vAlign w:val="center"/>
          </w:tcPr>
          <w:p w14:paraId="4B1AA0B0" w14:textId="77777777" w:rsidR="0001284F" w:rsidRPr="00FD7B0B" w:rsidRDefault="0001284F" w:rsidP="000164F8">
            <w:pPr>
              <w:jc w:val="center"/>
              <w:rPr>
                <w:rFonts w:ascii="Times New Roman" w:hAnsi="Times New Roman"/>
              </w:rPr>
            </w:pPr>
            <w:r w:rsidRPr="00FD7B0B">
              <w:rPr>
                <w:rFonts w:ascii="Times New Roman" w:hAnsi="Times New Roman"/>
              </w:rPr>
              <w:t>0,36</w:t>
            </w:r>
          </w:p>
        </w:tc>
      </w:tr>
    </w:tbl>
    <w:p w14:paraId="4A6C5E87" w14:textId="77777777" w:rsidR="0001284F" w:rsidRPr="00FD7B0B" w:rsidRDefault="0001284F" w:rsidP="0001284F">
      <w:pPr>
        <w:spacing w:after="0" w:line="120" w:lineRule="auto"/>
        <w:jc w:val="both"/>
        <w:rPr>
          <w:rFonts w:ascii="Times New Roman" w:hAnsi="Times New Roman"/>
          <w:sz w:val="28"/>
          <w:szCs w:val="28"/>
        </w:rPr>
      </w:pPr>
    </w:p>
    <w:p w14:paraId="3A732BD2" w14:textId="77777777" w:rsidR="0001284F" w:rsidRPr="00FD7B0B" w:rsidRDefault="0001284F" w:rsidP="0001284F">
      <w:pPr>
        <w:spacing w:after="0" w:line="240" w:lineRule="auto"/>
        <w:jc w:val="both"/>
        <w:rPr>
          <w:rFonts w:ascii="Times New Roman" w:hAnsi="Times New Roman"/>
          <w:sz w:val="24"/>
          <w:szCs w:val="24"/>
        </w:rPr>
      </w:pPr>
      <w:r w:rsidRPr="00FD7B0B">
        <w:rPr>
          <w:rFonts w:ascii="Times New Roman" w:hAnsi="Times New Roman"/>
          <w:sz w:val="24"/>
          <w:szCs w:val="24"/>
        </w:rPr>
        <w:t xml:space="preserve">6) оценка ввода объектов в эксплуатацию </w:t>
      </w: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261"/>
        <w:gridCol w:w="3543"/>
        <w:gridCol w:w="1560"/>
        <w:gridCol w:w="1152"/>
      </w:tblGrid>
      <w:tr w:rsidR="00FD7B0B" w:rsidRPr="00FD7B0B" w14:paraId="2898E80A" w14:textId="77777777" w:rsidTr="00854C28">
        <w:trPr>
          <w:trHeight w:val="866"/>
        </w:trPr>
        <w:tc>
          <w:tcPr>
            <w:tcW w:w="3261" w:type="dxa"/>
            <w:vAlign w:val="center"/>
          </w:tcPr>
          <w:p w14:paraId="6F64FBC4"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количество введенных в 2024 году объектов в эксплуатацию, в том числе объектов капитального строительства государственной собственности субъектов РФ (муниципальной собственности), ед.</w:t>
            </w:r>
          </w:p>
        </w:tc>
        <w:tc>
          <w:tcPr>
            <w:tcW w:w="3543" w:type="dxa"/>
            <w:vAlign w:val="center"/>
          </w:tcPr>
          <w:p w14:paraId="101B7E4D" w14:textId="77777777" w:rsidR="0001284F" w:rsidRPr="00FD7B0B" w:rsidRDefault="0001284F" w:rsidP="000164F8">
            <w:pPr>
              <w:autoSpaceDE w:val="0"/>
              <w:autoSpaceDN w:val="0"/>
              <w:adjustRightInd w:val="0"/>
              <w:ind w:firstLine="34"/>
              <w:jc w:val="center"/>
              <w:rPr>
                <w:rFonts w:ascii="Times New Roman" w:hAnsi="Times New Roman"/>
                <w:sz w:val="16"/>
                <w:szCs w:val="16"/>
              </w:rPr>
            </w:pPr>
            <w:r w:rsidRPr="00FD7B0B">
              <w:rPr>
                <w:rFonts w:ascii="Times New Roman" w:hAnsi="Times New Roman"/>
                <w:sz w:val="16"/>
                <w:szCs w:val="16"/>
              </w:rPr>
              <w:t>количество объектов, подлежащих введению в 2024 году в эксплуатацию, в том числе объектов капитального строительства государственной собственности субъектов РФ (муниципальной собственности), ед.</w:t>
            </w:r>
          </w:p>
        </w:tc>
        <w:tc>
          <w:tcPr>
            <w:tcW w:w="1560" w:type="dxa"/>
            <w:vAlign w:val="center"/>
          </w:tcPr>
          <w:p w14:paraId="09C8F943"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степень ввода объектов в эксплуатацию за 2024 год, %</w:t>
            </w:r>
          </w:p>
        </w:tc>
        <w:tc>
          <w:tcPr>
            <w:tcW w:w="1152" w:type="dxa"/>
            <w:vAlign w:val="center"/>
          </w:tcPr>
          <w:p w14:paraId="7E0F3609"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оценка</w:t>
            </w:r>
          </w:p>
        </w:tc>
      </w:tr>
      <w:tr w:rsidR="0001284F" w:rsidRPr="00FD7B0B" w14:paraId="7A4AECAA" w14:textId="77777777" w:rsidTr="00854C28">
        <w:tc>
          <w:tcPr>
            <w:tcW w:w="3261" w:type="dxa"/>
            <w:vAlign w:val="center"/>
          </w:tcPr>
          <w:p w14:paraId="0D0A8959" w14:textId="77777777" w:rsidR="0001284F" w:rsidRPr="00FD7B0B" w:rsidRDefault="0001284F" w:rsidP="000164F8">
            <w:pPr>
              <w:jc w:val="center"/>
              <w:rPr>
                <w:rFonts w:ascii="Times New Roman" w:hAnsi="Times New Roman"/>
              </w:rPr>
            </w:pPr>
            <w:r w:rsidRPr="00FD7B0B">
              <w:rPr>
                <w:rFonts w:ascii="Times New Roman" w:hAnsi="Times New Roman"/>
              </w:rPr>
              <w:lastRenderedPageBreak/>
              <w:t>2</w:t>
            </w:r>
          </w:p>
        </w:tc>
        <w:tc>
          <w:tcPr>
            <w:tcW w:w="3543" w:type="dxa"/>
            <w:vAlign w:val="center"/>
          </w:tcPr>
          <w:p w14:paraId="6843DA45" w14:textId="77777777" w:rsidR="0001284F" w:rsidRPr="00FD7B0B" w:rsidRDefault="0001284F" w:rsidP="000164F8">
            <w:pPr>
              <w:jc w:val="center"/>
              <w:rPr>
                <w:rFonts w:ascii="Times New Roman" w:hAnsi="Times New Roman"/>
              </w:rPr>
            </w:pPr>
            <w:r w:rsidRPr="00FD7B0B">
              <w:rPr>
                <w:rFonts w:ascii="Times New Roman" w:hAnsi="Times New Roman"/>
              </w:rPr>
              <w:t>3</w:t>
            </w:r>
          </w:p>
        </w:tc>
        <w:tc>
          <w:tcPr>
            <w:tcW w:w="1560" w:type="dxa"/>
            <w:vAlign w:val="center"/>
          </w:tcPr>
          <w:p w14:paraId="0E197916" w14:textId="77777777" w:rsidR="0001284F" w:rsidRPr="00FD7B0B" w:rsidRDefault="0001284F" w:rsidP="000164F8">
            <w:pPr>
              <w:jc w:val="center"/>
              <w:rPr>
                <w:rFonts w:ascii="Times New Roman" w:hAnsi="Times New Roman"/>
              </w:rPr>
            </w:pPr>
            <w:r w:rsidRPr="00FD7B0B">
              <w:rPr>
                <w:rFonts w:ascii="Times New Roman" w:hAnsi="Times New Roman"/>
              </w:rPr>
              <w:t>66,66</w:t>
            </w:r>
          </w:p>
        </w:tc>
        <w:tc>
          <w:tcPr>
            <w:tcW w:w="1152" w:type="dxa"/>
            <w:vAlign w:val="center"/>
          </w:tcPr>
          <w:p w14:paraId="024709AD" w14:textId="77777777" w:rsidR="0001284F" w:rsidRPr="00FD7B0B" w:rsidRDefault="0001284F" w:rsidP="000164F8">
            <w:pPr>
              <w:jc w:val="center"/>
              <w:rPr>
                <w:rFonts w:ascii="Times New Roman" w:hAnsi="Times New Roman"/>
              </w:rPr>
            </w:pPr>
            <w:r w:rsidRPr="00FD7B0B">
              <w:rPr>
                <w:rFonts w:ascii="Times New Roman" w:hAnsi="Times New Roman"/>
              </w:rPr>
              <w:t>низкий уровень</w:t>
            </w:r>
          </w:p>
        </w:tc>
      </w:tr>
    </w:tbl>
    <w:p w14:paraId="27662628" w14:textId="77777777" w:rsidR="0001284F" w:rsidRPr="00FD7B0B" w:rsidRDefault="0001284F" w:rsidP="0001284F">
      <w:pPr>
        <w:spacing w:after="0" w:line="120" w:lineRule="auto"/>
        <w:jc w:val="both"/>
        <w:rPr>
          <w:rFonts w:ascii="Times New Roman" w:hAnsi="Times New Roman"/>
          <w:sz w:val="28"/>
          <w:szCs w:val="28"/>
        </w:rPr>
      </w:pPr>
    </w:p>
    <w:p w14:paraId="14D28268" w14:textId="315537FC" w:rsidR="0001284F" w:rsidRPr="00FD7B0B" w:rsidRDefault="0001284F" w:rsidP="0001284F">
      <w:pPr>
        <w:spacing w:after="0" w:line="240" w:lineRule="auto"/>
        <w:jc w:val="center"/>
        <w:rPr>
          <w:rFonts w:ascii="Times New Roman" w:hAnsi="Times New Roman"/>
          <w:sz w:val="28"/>
          <w:szCs w:val="28"/>
        </w:rPr>
      </w:pPr>
      <w:r w:rsidRPr="00FD7B0B">
        <w:rPr>
          <w:rFonts w:ascii="Times New Roman" w:hAnsi="Times New Roman"/>
          <w:sz w:val="28"/>
          <w:szCs w:val="28"/>
        </w:rPr>
        <w:t>Оценка формирования и использования системы показателей исходя из приоритетов социально-экономического развития Российской Федерации по результа</w:t>
      </w:r>
      <w:r w:rsidR="00854C28" w:rsidRPr="00FD7B0B">
        <w:rPr>
          <w:rFonts w:ascii="Times New Roman" w:hAnsi="Times New Roman"/>
          <w:sz w:val="28"/>
          <w:szCs w:val="28"/>
        </w:rPr>
        <w:t>там проверки исполнения ГП № 19</w:t>
      </w:r>
    </w:p>
    <w:p w14:paraId="6AE19A42" w14:textId="77777777" w:rsidR="0001284F" w:rsidRPr="00FD7B0B" w:rsidRDefault="0001284F" w:rsidP="0001284F">
      <w:pPr>
        <w:spacing w:after="0" w:line="240" w:lineRule="auto"/>
        <w:jc w:val="both"/>
        <w:rPr>
          <w:rFonts w:ascii="Times New Roman" w:hAnsi="Times New Roman"/>
          <w:sz w:val="24"/>
          <w:szCs w:val="24"/>
        </w:rPr>
      </w:pPr>
      <w:r w:rsidRPr="00FD7B0B">
        <w:rPr>
          <w:rFonts w:ascii="Times New Roman" w:hAnsi="Times New Roman"/>
          <w:sz w:val="24"/>
          <w:szCs w:val="24"/>
        </w:rPr>
        <w:t xml:space="preserve">1) оценка состава показателей </w:t>
      </w: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536"/>
        <w:gridCol w:w="2004"/>
        <w:gridCol w:w="1701"/>
        <w:gridCol w:w="1275"/>
      </w:tblGrid>
      <w:tr w:rsidR="00FD7B0B" w:rsidRPr="00FD7B0B" w14:paraId="2997E77B" w14:textId="77777777" w:rsidTr="00AF7E13">
        <w:trPr>
          <w:trHeight w:val="463"/>
        </w:trPr>
        <w:tc>
          <w:tcPr>
            <w:tcW w:w="4536" w:type="dxa"/>
            <w:vAlign w:val="center"/>
          </w:tcPr>
          <w:p w14:paraId="6BE7C4F1" w14:textId="77777777" w:rsidR="0001284F" w:rsidRPr="00FD7B0B" w:rsidRDefault="0001284F" w:rsidP="000164F8">
            <w:pPr>
              <w:jc w:val="center"/>
              <w:rPr>
                <w:rFonts w:ascii="Times New Roman" w:hAnsi="Times New Roman"/>
              </w:rPr>
            </w:pPr>
            <w:r w:rsidRPr="00FD7B0B">
              <w:rPr>
                <w:rFonts w:ascii="Times New Roman" w:hAnsi="Times New Roman"/>
              </w:rPr>
              <w:t>Наименование</w:t>
            </w:r>
          </w:p>
        </w:tc>
        <w:tc>
          <w:tcPr>
            <w:tcW w:w="2004" w:type="dxa"/>
            <w:vAlign w:val="center"/>
          </w:tcPr>
          <w:p w14:paraId="357B5234" w14:textId="77777777" w:rsidR="0001284F" w:rsidRPr="00FD7B0B" w:rsidRDefault="0001284F" w:rsidP="000164F8">
            <w:pPr>
              <w:autoSpaceDE w:val="0"/>
              <w:autoSpaceDN w:val="0"/>
              <w:adjustRightInd w:val="0"/>
              <w:ind w:firstLine="34"/>
              <w:jc w:val="center"/>
              <w:rPr>
                <w:rFonts w:ascii="Times New Roman" w:hAnsi="Times New Roman"/>
              </w:rPr>
            </w:pPr>
            <w:r w:rsidRPr="00FD7B0B">
              <w:rPr>
                <w:rFonts w:ascii="Times New Roman" w:hAnsi="Times New Roman"/>
              </w:rPr>
              <w:t>количество показателей, ед.</w:t>
            </w:r>
          </w:p>
        </w:tc>
        <w:tc>
          <w:tcPr>
            <w:tcW w:w="1701" w:type="dxa"/>
            <w:vAlign w:val="center"/>
          </w:tcPr>
          <w:p w14:paraId="570D6A15" w14:textId="77777777" w:rsidR="0001284F" w:rsidRPr="00FD7B0B" w:rsidRDefault="0001284F" w:rsidP="000164F8">
            <w:pPr>
              <w:jc w:val="center"/>
              <w:rPr>
                <w:rFonts w:ascii="Times New Roman" w:hAnsi="Times New Roman"/>
              </w:rPr>
            </w:pPr>
            <w:r w:rsidRPr="00FD7B0B">
              <w:rPr>
                <w:rFonts w:ascii="Times New Roman" w:hAnsi="Times New Roman"/>
              </w:rPr>
              <w:t>доля показателей, %</w:t>
            </w:r>
          </w:p>
        </w:tc>
        <w:tc>
          <w:tcPr>
            <w:tcW w:w="1275" w:type="dxa"/>
            <w:vAlign w:val="center"/>
          </w:tcPr>
          <w:p w14:paraId="38AB95A0" w14:textId="77777777" w:rsidR="0001284F" w:rsidRPr="00FD7B0B" w:rsidRDefault="0001284F" w:rsidP="000164F8">
            <w:pPr>
              <w:jc w:val="center"/>
              <w:rPr>
                <w:rFonts w:ascii="Times New Roman" w:hAnsi="Times New Roman"/>
              </w:rPr>
            </w:pPr>
            <w:r w:rsidRPr="00FD7B0B">
              <w:rPr>
                <w:rFonts w:ascii="Times New Roman" w:hAnsi="Times New Roman"/>
              </w:rPr>
              <w:t>оценка</w:t>
            </w:r>
          </w:p>
        </w:tc>
      </w:tr>
      <w:tr w:rsidR="00FD7B0B" w:rsidRPr="00FD7B0B" w14:paraId="45EA1683" w14:textId="77777777" w:rsidTr="00854C28">
        <w:tc>
          <w:tcPr>
            <w:tcW w:w="4536" w:type="dxa"/>
            <w:vAlign w:val="center"/>
          </w:tcPr>
          <w:p w14:paraId="439810AE" w14:textId="77777777" w:rsidR="0001284F" w:rsidRPr="00FD7B0B" w:rsidRDefault="0001284F" w:rsidP="000164F8">
            <w:pPr>
              <w:rPr>
                <w:rFonts w:ascii="Times New Roman" w:hAnsi="Times New Roman"/>
              </w:rPr>
            </w:pPr>
            <w:r w:rsidRPr="00FD7B0B">
              <w:rPr>
                <w:rFonts w:ascii="Times New Roman" w:hAnsi="Times New Roman"/>
              </w:rPr>
              <w:t>показатели, характеризующие непосредственные результаты</w:t>
            </w:r>
          </w:p>
        </w:tc>
        <w:tc>
          <w:tcPr>
            <w:tcW w:w="2004" w:type="dxa"/>
            <w:vAlign w:val="center"/>
          </w:tcPr>
          <w:p w14:paraId="3BC4C97D" w14:textId="77777777" w:rsidR="0001284F" w:rsidRPr="00FD7B0B" w:rsidRDefault="0001284F" w:rsidP="000164F8">
            <w:pPr>
              <w:jc w:val="center"/>
              <w:rPr>
                <w:rFonts w:ascii="Times New Roman" w:hAnsi="Times New Roman"/>
              </w:rPr>
            </w:pPr>
            <w:r w:rsidRPr="00FD7B0B">
              <w:rPr>
                <w:rFonts w:ascii="Times New Roman" w:hAnsi="Times New Roman"/>
              </w:rPr>
              <w:t>0</w:t>
            </w:r>
          </w:p>
        </w:tc>
        <w:tc>
          <w:tcPr>
            <w:tcW w:w="1701" w:type="dxa"/>
            <w:vAlign w:val="center"/>
          </w:tcPr>
          <w:p w14:paraId="077297EE" w14:textId="77777777" w:rsidR="0001284F" w:rsidRPr="00FD7B0B" w:rsidRDefault="0001284F" w:rsidP="000164F8">
            <w:pPr>
              <w:jc w:val="center"/>
              <w:rPr>
                <w:rFonts w:ascii="Times New Roman" w:hAnsi="Times New Roman"/>
              </w:rPr>
            </w:pPr>
            <w:r w:rsidRPr="00FD7B0B">
              <w:rPr>
                <w:rFonts w:ascii="Times New Roman" w:hAnsi="Times New Roman"/>
              </w:rPr>
              <w:t>0</w:t>
            </w:r>
          </w:p>
        </w:tc>
        <w:tc>
          <w:tcPr>
            <w:tcW w:w="1275" w:type="dxa"/>
            <w:vMerge w:val="restart"/>
            <w:vAlign w:val="center"/>
          </w:tcPr>
          <w:p w14:paraId="523B3EEE" w14:textId="77777777" w:rsidR="0001284F" w:rsidRPr="00FD7B0B" w:rsidRDefault="0001284F" w:rsidP="000164F8">
            <w:pPr>
              <w:jc w:val="center"/>
              <w:rPr>
                <w:rFonts w:ascii="Times New Roman" w:hAnsi="Times New Roman"/>
              </w:rPr>
            </w:pPr>
            <w:r w:rsidRPr="00FD7B0B">
              <w:rPr>
                <w:rFonts w:ascii="Times New Roman" w:hAnsi="Times New Roman"/>
              </w:rPr>
              <w:t>высокий уровень</w:t>
            </w:r>
          </w:p>
        </w:tc>
      </w:tr>
      <w:tr w:rsidR="00FD7B0B" w:rsidRPr="00FD7B0B" w14:paraId="1D0D83EA" w14:textId="77777777" w:rsidTr="00854C28">
        <w:tc>
          <w:tcPr>
            <w:tcW w:w="4536" w:type="dxa"/>
            <w:vAlign w:val="center"/>
          </w:tcPr>
          <w:p w14:paraId="406E8891" w14:textId="77777777" w:rsidR="0001284F" w:rsidRPr="00FD7B0B" w:rsidRDefault="0001284F" w:rsidP="000164F8">
            <w:pPr>
              <w:rPr>
                <w:rFonts w:ascii="Times New Roman" w:hAnsi="Times New Roman"/>
              </w:rPr>
            </w:pPr>
            <w:r w:rsidRPr="00FD7B0B">
              <w:rPr>
                <w:rFonts w:ascii="Times New Roman" w:hAnsi="Times New Roman"/>
              </w:rPr>
              <w:t>показатели, характеризующие конечные результаты и итоговые эффекты</w:t>
            </w:r>
          </w:p>
        </w:tc>
        <w:tc>
          <w:tcPr>
            <w:tcW w:w="2004" w:type="dxa"/>
            <w:vAlign w:val="center"/>
          </w:tcPr>
          <w:p w14:paraId="6B79E882" w14:textId="77777777" w:rsidR="0001284F" w:rsidRPr="00FD7B0B" w:rsidRDefault="0001284F" w:rsidP="000164F8">
            <w:pPr>
              <w:jc w:val="center"/>
              <w:rPr>
                <w:rFonts w:ascii="Times New Roman" w:hAnsi="Times New Roman"/>
              </w:rPr>
            </w:pPr>
            <w:r w:rsidRPr="00FD7B0B">
              <w:rPr>
                <w:rFonts w:ascii="Times New Roman" w:hAnsi="Times New Roman"/>
              </w:rPr>
              <w:t>3</w:t>
            </w:r>
          </w:p>
        </w:tc>
        <w:tc>
          <w:tcPr>
            <w:tcW w:w="1701" w:type="dxa"/>
            <w:vAlign w:val="center"/>
          </w:tcPr>
          <w:p w14:paraId="3ED9A828" w14:textId="77777777" w:rsidR="0001284F" w:rsidRPr="00FD7B0B" w:rsidRDefault="0001284F" w:rsidP="000164F8">
            <w:pPr>
              <w:jc w:val="center"/>
              <w:rPr>
                <w:rFonts w:ascii="Times New Roman" w:hAnsi="Times New Roman"/>
              </w:rPr>
            </w:pPr>
            <w:r w:rsidRPr="00FD7B0B">
              <w:rPr>
                <w:rFonts w:ascii="Times New Roman" w:hAnsi="Times New Roman"/>
              </w:rPr>
              <w:t>100</w:t>
            </w:r>
          </w:p>
        </w:tc>
        <w:tc>
          <w:tcPr>
            <w:tcW w:w="1275" w:type="dxa"/>
            <w:vMerge/>
            <w:vAlign w:val="center"/>
          </w:tcPr>
          <w:p w14:paraId="3F14D3C8" w14:textId="77777777" w:rsidR="0001284F" w:rsidRPr="00FD7B0B" w:rsidRDefault="0001284F" w:rsidP="000164F8">
            <w:pPr>
              <w:jc w:val="center"/>
              <w:rPr>
                <w:rFonts w:ascii="Times New Roman" w:hAnsi="Times New Roman"/>
              </w:rPr>
            </w:pPr>
          </w:p>
        </w:tc>
      </w:tr>
      <w:tr w:rsidR="0001284F" w:rsidRPr="00FD7B0B" w14:paraId="4AE70793" w14:textId="77777777" w:rsidTr="00854C28">
        <w:tc>
          <w:tcPr>
            <w:tcW w:w="4536" w:type="dxa"/>
            <w:vAlign w:val="center"/>
          </w:tcPr>
          <w:p w14:paraId="2A8A5CD5" w14:textId="77777777" w:rsidR="0001284F" w:rsidRPr="00FD7B0B" w:rsidRDefault="0001284F" w:rsidP="000164F8">
            <w:pPr>
              <w:rPr>
                <w:rFonts w:ascii="Times New Roman" w:hAnsi="Times New Roman"/>
              </w:rPr>
            </w:pPr>
            <w:r w:rsidRPr="00FD7B0B">
              <w:rPr>
                <w:rFonts w:ascii="Times New Roman" w:hAnsi="Times New Roman"/>
              </w:rPr>
              <w:t>показатели, характеризующие иные результаты</w:t>
            </w:r>
          </w:p>
        </w:tc>
        <w:tc>
          <w:tcPr>
            <w:tcW w:w="2004" w:type="dxa"/>
            <w:vAlign w:val="center"/>
          </w:tcPr>
          <w:p w14:paraId="19183365" w14:textId="77777777" w:rsidR="0001284F" w:rsidRPr="00FD7B0B" w:rsidRDefault="0001284F" w:rsidP="000164F8">
            <w:pPr>
              <w:jc w:val="center"/>
              <w:rPr>
                <w:rFonts w:ascii="Times New Roman" w:hAnsi="Times New Roman"/>
              </w:rPr>
            </w:pPr>
            <w:r w:rsidRPr="00FD7B0B">
              <w:rPr>
                <w:rFonts w:ascii="Times New Roman" w:hAnsi="Times New Roman"/>
              </w:rPr>
              <w:t>0</w:t>
            </w:r>
          </w:p>
        </w:tc>
        <w:tc>
          <w:tcPr>
            <w:tcW w:w="1701" w:type="dxa"/>
            <w:vAlign w:val="center"/>
          </w:tcPr>
          <w:p w14:paraId="50785F44" w14:textId="77777777" w:rsidR="0001284F" w:rsidRPr="00FD7B0B" w:rsidRDefault="0001284F" w:rsidP="000164F8">
            <w:pPr>
              <w:jc w:val="center"/>
              <w:rPr>
                <w:rFonts w:ascii="Times New Roman" w:hAnsi="Times New Roman"/>
              </w:rPr>
            </w:pPr>
            <w:r w:rsidRPr="00FD7B0B">
              <w:rPr>
                <w:rFonts w:ascii="Times New Roman" w:hAnsi="Times New Roman"/>
              </w:rPr>
              <w:t>0</w:t>
            </w:r>
          </w:p>
        </w:tc>
        <w:tc>
          <w:tcPr>
            <w:tcW w:w="1275" w:type="dxa"/>
            <w:vMerge/>
            <w:vAlign w:val="center"/>
          </w:tcPr>
          <w:p w14:paraId="34EB88AC" w14:textId="77777777" w:rsidR="0001284F" w:rsidRPr="00FD7B0B" w:rsidRDefault="0001284F" w:rsidP="000164F8">
            <w:pPr>
              <w:jc w:val="center"/>
              <w:rPr>
                <w:rFonts w:ascii="Times New Roman" w:hAnsi="Times New Roman"/>
              </w:rPr>
            </w:pPr>
          </w:p>
        </w:tc>
      </w:tr>
    </w:tbl>
    <w:p w14:paraId="1C1A6B1F" w14:textId="77777777" w:rsidR="0001284F" w:rsidRPr="00FD7B0B" w:rsidRDefault="0001284F" w:rsidP="0001284F">
      <w:pPr>
        <w:spacing w:after="0" w:line="120" w:lineRule="auto"/>
        <w:jc w:val="both"/>
        <w:rPr>
          <w:rFonts w:ascii="Times New Roman" w:hAnsi="Times New Roman"/>
          <w:sz w:val="28"/>
          <w:szCs w:val="28"/>
        </w:rPr>
      </w:pPr>
    </w:p>
    <w:p w14:paraId="3C8C3A23" w14:textId="77777777" w:rsidR="0001284F" w:rsidRPr="00FD7B0B" w:rsidRDefault="0001284F" w:rsidP="0001284F">
      <w:pPr>
        <w:spacing w:after="0" w:line="240" w:lineRule="auto"/>
        <w:jc w:val="both"/>
        <w:rPr>
          <w:rFonts w:ascii="Times New Roman" w:hAnsi="Times New Roman"/>
          <w:sz w:val="24"/>
          <w:szCs w:val="24"/>
        </w:rPr>
      </w:pPr>
      <w:r w:rsidRPr="00FD7B0B">
        <w:rPr>
          <w:rFonts w:ascii="Times New Roman" w:hAnsi="Times New Roman"/>
          <w:sz w:val="24"/>
          <w:szCs w:val="24"/>
        </w:rPr>
        <w:t>2) оценка стабильности состава показателей на протяжении года</w:t>
      </w: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082"/>
        <w:gridCol w:w="3318"/>
        <w:gridCol w:w="1964"/>
        <w:gridCol w:w="1152"/>
      </w:tblGrid>
      <w:tr w:rsidR="00FD7B0B" w:rsidRPr="00FD7B0B" w14:paraId="5058B7FC" w14:textId="77777777" w:rsidTr="00854C28">
        <w:trPr>
          <w:trHeight w:val="846"/>
        </w:trPr>
        <w:tc>
          <w:tcPr>
            <w:tcW w:w="3082" w:type="dxa"/>
          </w:tcPr>
          <w:p w14:paraId="6A9F1B31"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количество показателей (на 31.12.2024), достижение которых было запланировано в отчетном году и по которым на протяжении отчетного года не менялась методика их расчета, ед.</w:t>
            </w:r>
          </w:p>
        </w:tc>
        <w:tc>
          <w:tcPr>
            <w:tcW w:w="3318" w:type="dxa"/>
          </w:tcPr>
          <w:p w14:paraId="74E315C4" w14:textId="77777777" w:rsidR="0001284F" w:rsidRPr="00FD7B0B" w:rsidRDefault="0001284F" w:rsidP="000164F8">
            <w:pPr>
              <w:autoSpaceDE w:val="0"/>
              <w:autoSpaceDN w:val="0"/>
              <w:adjustRightInd w:val="0"/>
              <w:ind w:firstLine="34"/>
              <w:jc w:val="center"/>
              <w:rPr>
                <w:rFonts w:ascii="Times New Roman" w:hAnsi="Times New Roman"/>
                <w:sz w:val="16"/>
                <w:szCs w:val="16"/>
              </w:rPr>
            </w:pPr>
            <w:r w:rsidRPr="00FD7B0B">
              <w:rPr>
                <w:rFonts w:ascii="Times New Roman" w:hAnsi="Times New Roman"/>
                <w:sz w:val="16"/>
                <w:szCs w:val="16"/>
              </w:rPr>
              <w:t xml:space="preserve">общее количество показателей, достижение которых было запланировано в отчетном году хотя бы в одной из редакций ГП № 19, утвержденных начиная с начала отчетного года, ед. </w:t>
            </w:r>
          </w:p>
        </w:tc>
        <w:tc>
          <w:tcPr>
            <w:tcW w:w="1964" w:type="dxa"/>
            <w:vAlign w:val="center"/>
          </w:tcPr>
          <w:p w14:paraId="46C700C8"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уровень стабильности состава показателей на протяжении 2024 года, %</w:t>
            </w:r>
          </w:p>
        </w:tc>
        <w:tc>
          <w:tcPr>
            <w:tcW w:w="1152" w:type="dxa"/>
            <w:vAlign w:val="center"/>
          </w:tcPr>
          <w:p w14:paraId="5B75C6CE" w14:textId="77777777" w:rsidR="0001284F" w:rsidRPr="00FD7B0B" w:rsidRDefault="0001284F" w:rsidP="000164F8">
            <w:pPr>
              <w:jc w:val="center"/>
              <w:rPr>
                <w:rFonts w:ascii="Times New Roman" w:hAnsi="Times New Roman"/>
              </w:rPr>
            </w:pPr>
            <w:r w:rsidRPr="00FD7B0B">
              <w:rPr>
                <w:rFonts w:ascii="Times New Roman" w:hAnsi="Times New Roman"/>
              </w:rPr>
              <w:t>оценка</w:t>
            </w:r>
          </w:p>
        </w:tc>
      </w:tr>
      <w:tr w:rsidR="0001284F" w:rsidRPr="00FD7B0B" w14:paraId="64B1AE8D" w14:textId="77777777" w:rsidTr="00854C28">
        <w:tc>
          <w:tcPr>
            <w:tcW w:w="3082" w:type="dxa"/>
            <w:shd w:val="clear" w:color="auto" w:fill="auto"/>
            <w:vAlign w:val="center"/>
          </w:tcPr>
          <w:p w14:paraId="76970EA4" w14:textId="77777777" w:rsidR="0001284F" w:rsidRPr="00FD7B0B" w:rsidRDefault="0001284F" w:rsidP="000164F8">
            <w:pPr>
              <w:jc w:val="center"/>
              <w:rPr>
                <w:rFonts w:ascii="Times New Roman" w:hAnsi="Times New Roman"/>
              </w:rPr>
            </w:pPr>
            <w:r w:rsidRPr="00FD7B0B">
              <w:rPr>
                <w:rFonts w:ascii="Times New Roman" w:hAnsi="Times New Roman"/>
              </w:rPr>
              <w:t>3</w:t>
            </w:r>
          </w:p>
        </w:tc>
        <w:tc>
          <w:tcPr>
            <w:tcW w:w="3318" w:type="dxa"/>
            <w:vAlign w:val="center"/>
          </w:tcPr>
          <w:p w14:paraId="1C19B074" w14:textId="77777777" w:rsidR="0001284F" w:rsidRPr="00FD7B0B" w:rsidRDefault="0001284F" w:rsidP="000164F8">
            <w:pPr>
              <w:jc w:val="center"/>
              <w:rPr>
                <w:rFonts w:ascii="Times New Roman" w:hAnsi="Times New Roman"/>
              </w:rPr>
            </w:pPr>
            <w:r w:rsidRPr="00FD7B0B">
              <w:rPr>
                <w:rFonts w:ascii="Times New Roman" w:hAnsi="Times New Roman"/>
              </w:rPr>
              <w:t>3</w:t>
            </w:r>
          </w:p>
        </w:tc>
        <w:tc>
          <w:tcPr>
            <w:tcW w:w="1964" w:type="dxa"/>
            <w:vAlign w:val="center"/>
          </w:tcPr>
          <w:p w14:paraId="209303D2" w14:textId="77777777" w:rsidR="0001284F" w:rsidRPr="00FD7B0B" w:rsidRDefault="0001284F" w:rsidP="000164F8">
            <w:pPr>
              <w:jc w:val="center"/>
              <w:rPr>
                <w:rFonts w:ascii="Times New Roman" w:hAnsi="Times New Roman"/>
              </w:rPr>
            </w:pPr>
            <w:r w:rsidRPr="00FD7B0B">
              <w:rPr>
                <w:rFonts w:ascii="Times New Roman" w:hAnsi="Times New Roman"/>
              </w:rPr>
              <w:t>100</w:t>
            </w:r>
          </w:p>
        </w:tc>
        <w:tc>
          <w:tcPr>
            <w:tcW w:w="1152" w:type="dxa"/>
            <w:vAlign w:val="center"/>
          </w:tcPr>
          <w:p w14:paraId="4306532D" w14:textId="77777777" w:rsidR="0001284F" w:rsidRPr="00FD7B0B" w:rsidRDefault="0001284F" w:rsidP="000164F8">
            <w:pPr>
              <w:jc w:val="center"/>
              <w:rPr>
                <w:rFonts w:ascii="Times New Roman" w:hAnsi="Times New Roman"/>
              </w:rPr>
            </w:pPr>
            <w:r w:rsidRPr="00FD7B0B">
              <w:rPr>
                <w:rFonts w:ascii="Times New Roman" w:hAnsi="Times New Roman"/>
              </w:rPr>
              <w:t>высокий уровень</w:t>
            </w:r>
          </w:p>
        </w:tc>
      </w:tr>
    </w:tbl>
    <w:p w14:paraId="0F8242D3" w14:textId="77777777" w:rsidR="0001284F" w:rsidRPr="00FD7B0B" w:rsidRDefault="0001284F" w:rsidP="0001284F">
      <w:pPr>
        <w:spacing w:after="0" w:line="120" w:lineRule="auto"/>
        <w:jc w:val="both"/>
        <w:rPr>
          <w:rFonts w:ascii="Times New Roman" w:hAnsi="Times New Roman"/>
          <w:sz w:val="28"/>
          <w:szCs w:val="28"/>
        </w:rPr>
      </w:pPr>
    </w:p>
    <w:p w14:paraId="134A45D6" w14:textId="77777777" w:rsidR="0001284F" w:rsidRPr="00FD7B0B" w:rsidRDefault="0001284F" w:rsidP="00CB3CBA">
      <w:pPr>
        <w:pStyle w:val="a8"/>
        <w:numPr>
          <w:ilvl w:val="0"/>
          <w:numId w:val="22"/>
        </w:numPr>
        <w:jc w:val="both"/>
      </w:pPr>
      <w:r w:rsidRPr="00FD7B0B">
        <w:t xml:space="preserve">оценка стабильности состава показателей за три года </w:t>
      </w:r>
    </w:p>
    <w:tbl>
      <w:tblPr>
        <w:tblStyle w:val="a7"/>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647"/>
        <w:gridCol w:w="2732"/>
        <w:gridCol w:w="1862"/>
        <w:gridCol w:w="1275"/>
      </w:tblGrid>
      <w:tr w:rsidR="00FD7B0B" w:rsidRPr="00FD7B0B" w14:paraId="26ECB77E" w14:textId="77777777" w:rsidTr="00854C28">
        <w:trPr>
          <w:trHeight w:val="811"/>
        </w:trPr>
        <w:tc>
          <w:tcPr>
            <w:tcW w:w="3647" w:type="dxa"/>
          </w:tcPr>
          <w:p w14:paraId="2365EA87"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количество показателей, по которым осуществлялся мониторинг в отчетном году (на 31.12.2024) и по которым на протяжении трех последних лет … не изменялась методика их расчета, ед.</w:t>
            </w:r>
          </w:p>
        </w:tc>
        <w:tc>
          <w:tcPr>
            <w:tcW w:w="2732" w:type="dxa"/>
            <w:vAlign w:val="center"/>
          </w:tcPr>
          <w:p w14:paraId="17E2F0F9" w14:textId="77777777" w:rsidR="0001284F" w:rsidRPr="00FD7B0B" w:rsidRDefault="0001284F" w:rsidP="000164F8">
            <w:pPr>
              <w:autoSpaceDE w:val="0"/>
              <w:autoSpaceDN w:val="0"/>
              <w:adjustRightInd w:val="0"/>
              <w:ind w:firstLine="34"/>
              <w:jc w:val="center"/>
              <w:rPr>
                <w:rFonts w:ascii="Times New Roman" w:hAnsi="Times New Roman"/>
                <w:sz w:val="16"/>
                <w:szCs w:val="16"/>
              </w:rPr>
            </w:pPr>
            <w:r w:rsidRPr="00FD7B0B">
              <w:rPr>
                <w:rFonts w:ascii="Times New Roman" w:hAnsi="Times New Roman"/>
                <w:sz w:val="16"/>
                <w:szCs w:val="16"/>
              </w:rPr>
              <w:t>общее количество показателей, по которым хотя бы один раз на протяжении трех последних лет … осуществлялся их мониторинг, ед.</w:t>
            </w:r>
          </w:p>
        </w:tc>
        <w:tc>
          <w:tcPr>
            <w:tcW w:w="1862" w:type="dxa"/>
            <w:vAlign w:val="center"/>
          </w:tcPr>
          <w:p w14:paraId="78432F36" w14:textId="77777777" w:rsidR="0001284F" w:rsidRPr="00FD7B0B" w:rsidRDefault="0001284F" w:rsidP="000164F8">
            <w:pPr>
              <w:jc w:val="center"/>
              <w:rPr>
                <w:rFonts w:ascii="Times New Roman" w:hAnsi="Times New Roman"/>
                <w:sz w:val="16"/>
                <w:szCs w:val="16"/>
              </w:rPr>
            </w:pPr>
            <w:r w:rsidRPr="00FD7B0B">
              <w:rPr>
                <w:rFonts w:ascii="Times New Roman" w:hAnsi="Times New Roman"/>
                <w:sz w:val="16"/>
                <w:szCs w:val="16"/>
              </w:rPr>
              <w:t>уровень стабильности состава показателей за три года, %</w:t>
            </w:r>
          </w:p>
        </w:tc>
        <w:tc>
          <w:tcPr>
            <w:tcW w:w="1275" w:type="dxa"/>
            <w:vAlign w:val="center"/>
          </w:tcPr>
          <w:p w14:paraId="447711A5" w14:textId="77777777" w:rsidR="0001284F" w:rsidRPr="00FD7B0B" w:rsidRDefault="0001284F" w:rsidP="000164F8">
            <w:pPr>
              <w:jc w:val="center"/>
              <w:rPr>
                <w:rFonts w:ascii="Times New Roman" w:hAnsi="Times New Roman"/>
                <w:sz w:val="18"/>
                <w:szCs w:val="18"/>
              </w:rPr>
            </w:pPr>
            <w:r w:rsidRPr="00FD7B0B">
              <w:rPr>
                <w:rFonts w:ascii="Times New Roman" w:hAnsi="Times New Roman"/>
              </w:rPr>
              <w:t>оценка</w:t>
            </w:r>
          </w:p>
        </w:tc>
      </w:tr>
      <w:tr w:rsidR="0001284F" w:rsidRPr="00FD7B0B" w14:paraId="0284FCC5" w14:textId="77777777" w:rsidTr="00854C28">
        <w:trPr>
          <w:trHeight w:val="300"/>
        </w:trPr>
        <w:tc>
          <w:tcPr>
            <w:tcW w:w="3647" w:type="dxa"/>
            <w:vAlign w:val="center"/>
          </w:tcPr>
          <w:p w14:paraId="62481A5D" w14:textId="77777777" w:rsidR="0001284F" w:rsidRPr="00FD7B0B" w:rsidRDefault="0001284F" w:rsidP="000164F8">
            <w:pPr>
              <w:jc w:val="center"/>
              <w:rPr>
                <w:rFonts w:ascii="Times New Roman" w:hAnsi="Times New Roman"/>
              </w:rPr>
            </w:pPr>
            <w:r w:rsidRPr="00FD7B0B">
              <w:rPr>
                <w:rFonts w:ascii="Times New Roman" w:hAnsi="Times New Roman"/>
              </w:rPr>
              <w:t>1</w:t>
            </w:r>
          </w:p>
        </w:tc>
        <w:tc>
          <w:tcPr>
            <w:tcW w:w="2732" w:type="dxa"/>
            <w:vAlign w:val="center"/>
          </w:tcPr>
          <w:p w14:paraId="03284778" w14:textId="77777777" w:rsidR="0001284F" w:rsidRPr="00FD7B0B" w:rsidRDefault="0001284F" w:rsidP="000164F8">
            <w:pPr>
              <w:jc w:val="center"/>
              <w:rPr>
                <w:rFonts w:ascii="Times New Roman" w:hAnsi="Times New Roman"/>
              </w:rPr>
            </w:pPr>
            <w:r w:rsidRPr="00FD7B0B">
              <w:rPr>
                <w:rFonts w:ascii="Times New Roman" w:hAnsi="Times New Roman"/>
              </w:rPr>
              <w:t>1</w:t>
            </w:r>
          </w:p>
        </w:tc>
        <w:tc>
          <w:tcPr>
            <w:tcW w:w="1862" w:type="dxa"/>
            <w:vAlign w:val="center"/>
          </w:tcPr>
          <w:p w14:paraId="3B4A665D" w14:textId="77777777" w:rsidR="0001284F" w:rsidRPr="00FD7B0B" w:rsidRDefault="0001284F" w:rsidP="000164F8">
            <w:pPr>
              <w:jc w:val="center"/>
              <w:rPr>
                <w:rFonts w:ascii="Times New Roman" w:hAnsi="Times New Roman"/>
              </w:rPr>
            </w:pPr>
            <w:r w:rsidRPr="00FD7B0B">
              <w:rPr>
                <w:rFonts w:ascii="Times New Roman" w:hAnsi="Times New Roman"/>
              </w:rPr>
              <w:t>100</w:t>
            </w:r>
          </w:p>
        </w:tc>
        <w:tc>
          <w:tcPr>
            <w:tcW w:w="1275" w:type="dxa"/>
            <w:vAlign w:val="center"/>
          </w:tcPr>
          <w:p w14:paraId="3045D83A" w14:textId="77777777" w:rsidR="0001284F" w:rsidRPr="00FD7B0B" w:rsidRDefault="0001284F" w:rsidP="000164F8">
            <w:pPr>
              <w:jc w:val="center"/>
              <w:rPr>
                <w:rFonts w:ascii="Times New Roman" w:hAnsi="Times New Roman"/>
              </w:rPr>
            </w:pPr>
            <w:r w:rsidRPr="00FD7B0B">
              <w:rPr>
                <w:rFonts w:ascii="Times New Roman" w:hAnsi="Times New Roman"/>
              </w:rPr>
              <w:t>высокий уровень</w:t>
            </w:r>
          </w:p>
        </w:tc>
      </w:tr>
    </w:tbl>
    <w:p w14:paraId="42E1C0EC" w14:textId="77777777" w:rsidR="0001284F" w:rsidRPr="00FD7B0B" w:rsidRDefault="0001284F" w:rsidP="0001284F">
      <w:pPr>
        <w:spacing w:after="0" w:line="120" w:lineRule="auto"/>
        <w:jc w:val="both"/>
        <w:rPr>
          <w:rFonts w:ascii="Times New Roman" w:hAnsi="Times New Roman"/>
          <w:sz w:val="20"/>
          <w:szCs w:val="20"/>
          <w:highlight w:val="cyan"/>
        </w:rPr>
      </w:pPr>
    </w:p>
    <w:p w14:paraId="69B2EFC8" w14:textId="77777777" w:rsidR="0001284F" w:rsidRPr="00FD7B0B" w:rsidRDefault="0001284F" w:rsidP="00CB3CBA">
      <w:pPr>
        <w:pStyle w:val="a8"/>
        <w:numPr>
          <w:ilvl w:val="0"/>
          <w:numId w:val="22"/>
        </w:numPr>
        <w:jc w:val="both"/>
      </w:pPr>
      <w:r w:rsidRPr="00FD7B0B">
        <w:t>оценка динамики плановых (фактических) значений показателей*</w:t>
      </w: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134"/>
        <w:gridCol w:w="2693"/>
        <w:gridCol w:w="2552"/>
        <w:gridCol w:w="1275"/>
      </w:tblGrid>
      <w:tr w:rsidR="00FD7B0B" w:rsidRPr="00FD7B0B" w14:paraId="481C341B" w14:textId="77777777" w:rsidTr="000164F8">
        <w:trPr>
          <w:trHeight w:val="381"/>
        </w:trPr>
        <w:tc>
          <w:tcPr>
            <w:tcW w:w="3134" w:type="dxa"/>
            <w:shd w:val="clear" w:color="auto" w:fill="auto"/>
            <w:vAlign w:val="center"/>
            <w:hideMark/>
          </w:tcPr>
          <w:p w14:paraId="10A5B888"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Параметры оценки</w:t>
            </w:r>
          </w:p>
        </w:tc>
        <w:tc>
          <w:tcPr>
            <w:tcW w:w="2693" w:type="dxa"/>
            <w:shd w:val="clear" w:color="auto" w:fill="auto"/>
            <w:vAlign w:val="center"/>
            <w:hideMark/>
          </w:tcPr>
          <w:p w14:paraId="40A4E9F6" w14:textId="7D94050B" w:rsidR="0001284F" w:rsidRPr="00FD7B0B" w:rsidRDefault="0001284F" w:rsidP="00EC7C76">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Количество показателей в 2022</w:t>
            </w:r>
            <w:r w:rsidR="00EC7C76" w:rsidRPr="00FD7B0B">
              <w:rPr>
                <w:rFonts w:ascii="Times New Roman" w:eastAsia="Times New Roman" w:hAnsi="Times New Roman" w:cs="Times New Roman"/>
                <w:sz w:val="20"/>
                <w:szCs w:val="20"/>
                <w:lang w:eastAsia="ru-RU"/>
              </w:rPr>
              <w:t xml:space="preserve"> – </w:t>
            </w:r>
            <w:r w:rsidRPr="00FD7B0B">
              <w:rPr>
                <w:rFonts w:ascii="Times New Roman" w:eastAsia="Times New Roman" w:hAnsi="Times New Roman" w:cs="Times New Roman"/>
                <w:sz w:val="20"/>
                <w:szCs w:val="20"/>
                <w:lang w:eastAsia="ru-RU"/>
              </w:rPr>
              <w:t>2024 гг.</w:t>
            </w:r>
          </w:p>
        </w:tc>
        <w:tc>
          <w:tcPr>
            <w:tcW w:w="2552" w:type="dxa"/>
            <w:shd w:val="clear" w:color="auto" w:fill="auto"/>
            <w:vAlign w:val="center"/>
            <w:hideMark/>
          </w:tcPr>
          <w:p w14:paraId="11B050D2"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Доля в общем объеме показателей</w:t>
            </w:r>
          </w:p>
        </w:tc>
        <w:tc>
          <w:tcPr>
            <w:tcW w:w="1275" w:type="dxa"/>
            <w:shd w:val="clear" w:color="auto" w:fill="auto"/>
            <w:vAlign w:val="center"/>
            <w:hideMark/>
          </w:tcPr>
          <w:p w14:paraId="34194296"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оценка</w:t>
            </w:r>
          </w:p>
        </w:tc>
      </w:tr>
      <w:tr w:rsidR="00FD7B0B" w:rsidRPr="00FD7B0B" w14:paraId="2E53D655" w14:textId="77777777" w:rsidTr="000164F8">
        <w:trPr>
          <w:trHeight w:val="474"/>
        </w:trPr>
        <w:tc>
          <w:tcPr>
            <w:tcW w:w="3134" w:type="dxa"/>
            <w:shd w:val="clear" w:color="auto" w:fill="auto"/>
            <w:vAlign w:val="center"/>
            <w:hideMark/>
          </w:tcPr>
          <w:p w14:paraId="7D07D1D0" w14:textId="77777777" w:rsidR="0001284F" w:rsidRPr="00FD7B0B" w:rsidRDefault="0001284F" w:rsidP="000164F8">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Общее количество показателей (индикаторов) с положительной динамикой</w:t>
            </w:r>
          </w:p>
        </w:tc>
        <w:tc>
          <w:tcPr>
            <w:tcW w:w="2693" w:type="dxa"/>
            <w:shd w:val="clear" w:color="auto" w:fill="auto"/>
            <w:vAlign w:val="center"/>
            <w:hideMark/>
          </w:tcPr>
          <w:p w14:paraId="300908E2"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2552" w:type="dxa"/>
            <w:shd w:val="clear" w:color="auto" w:fill="auto"/>
            <w:vAlign w:val="center"/>
            <w:hideMark/>
          </w:tcPr>
          <w:p w14:paraId="65A6845D" w14:textId="77777777" w:rsidR="0001284F" w:rsidRPr="00FD7B0B" w:rsidRDefault="0001284F" w:rsidP="000164F8">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w:t>
            </w:r>
          </w:p>
        </w:tc>
        <w:tc>
          <w:tcPr>
            <w:tcW w:w="1275" w:type="dxa"/>
            <w:shd w:val="clear" w:color="auto" w:fill="auto"/>
            <w:vAlign w:val="center"/>
            <w:hideMark/>
          </w:tcPr>
          <w:p w14:paraId="4030E1D1" w14:textId="77777777" w:rsidR="0001284F" w:rsidRPr="00FD7B0B" w:rsidRDefault="0001284F" w:rsidP="000164F8">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высокий уровень</w:t>
            </w:r>
          </w:p>
        </w:tc>
      </w:tr>
    </w:tbl>
    <w:p w14:paraId="615258B0" w14:textId="77777777" w:rsidR="0001284F" w:rsidRPr="00FD7B0B" w:rsidRDefault="0001284F" w:rsidP="0001284F">
      <w:pPr>
        <w:spacing w:after="0" w:line="240" w:lineRule="auto"/>
        <w:jc w:val="both"/>
        <w:rPr>
          <w:rFonts w:ascii="Times New Roman" w:hAnsi="Times New Roman"/>
          <w:i/>
          <w:sz w:val="16"/>
          <w:szCs w:val="16"/>
        </w:rPr>
      </w:pPr>
      <w:r w:rsidRPr="00FD7B0B">
        <w:rPr>
          <w:rFonts w:ascii="Times New Roman" w:hAnsi="Times New Roman"/>
          <w:i/>
          <w:sz w:val="16"/>
          <w:szCs w:val="16"/>
        </w:rPr>
        <w:t>*учитывался только один показатель, по которому в проекте отчета о реализации ГП № 19 представлены фактические значения за два предыдущих года.</w:t>
      </w:r>
    </w:p>
    <w:p w14:paraId="2F2141AA" w14:textId="77777777" w:rsidR="0001284F" w:rsidRPr="00FD7B0B" w:rsidRDefault="0001284F" w:rsidP="0001284F">
      <w:pPr>
        <w:spacing w:after="0" w:line="120" w:lineRule="auto"/>
        <w:ind w:firstLine="709"/>
        <w:jc w:val="both"/>
        <w:rPr>
          <w:rFonts w:ascii="Times New Roman" w:hAnsi="Times New Roman"/>
          <w:sz w:val="24"/>
          <w:szCs w:val="24"/>
        </w:rPr>
      </w:pPr>
    </w:p>
    <w:p w14:paraId="29E0D58D" w14:textId="77777777" w:rsidR="0001284F" w:rsidRPr="00FD7B0B" w:rsidRDefault="0001284F" w:rsidP="0001284F">
      <w:pPr>
        <w:spacing w:after="0" w:line="240" w:lineRule="auto"/>
        <w:jc w:val="both"/>
        <w:rPr>
          <w:rFonts w:ascii="Times New Roman" w:hAnsi="Times New Roman"/>
          <w:sz w:val="24"/>
          <w:szCs w:val="24"/>
        </w:rPr>
      </w:pPr>
      <w:r w:rsidRPr="00FD7B0B">
        <w:rPr>
          <w:rFonts w:ascii="Times New Roman" w:hAnsi="Times New Roman"/>
          <w:sz w:val="24"/>
          <w:szCs w:val="24"/>
        </w:rPr>
        <w:t xml:space="preserve">5) оценка количества показателей, по которым представлены фактические значения </w:t>
      </w: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686"/>
        <w:gridCol w:w="1701"/>
        <w:gridCol w:w="2977"/>
        <w:gridCol w:w="1275"/>
      </w:tblGrid>
      <w:tr w:rsidR="00FD7B0B" w:rsidRPr="00FD7B0B" w14:paraId="1C14B56D" w14:textId="77777777" w:rsidTr="000164F8">
        <w:trPr>
          <w:trHeight w:val="627"/>
        </w:trPr>
        <w:tc>
          <w:tcPr>
            <w:tcW w:w="3686" w:type="dxa"/>
          </w:tcPr>
          <w:p w14:paraId="316D3DF1" w14:textId="77777777" w:rsidR="0001284F" w:rsidRPr="00FD7B0B" w:rsidRDefault="0001284F" w:rsidP="000164F8">
            <w:pPr>
              <w:jc w:val="center"/>
              <w:rPr>
                <w:rFonts w:ascii="Times New Roman" w:hAnsi="Times New Roman"/>
              </w:rPr>
            </w:pPr>
            <w:r w:rsidRPr="00FD7B0B">
              <w:rPr>
                <w:rFonts w:ascii="Times New Roman" w:hAnsi="Times New Roman"/>
              </w:rPr>
              <w:t>количество показателей, по которым представлены фактические значения за 2024 год, ед.</w:t>
            </w:r>
          </w:p>
        </w:tc>
        <w:tc>
          <w:tcPr>
            <w:tcW w:w="1701" w:type="dxa"/>
          </w:tcPr>
          <w:p w14:paraId="46EE1779" w14:textId="77777777" w:rsidR="0001284F" w:rsidRPr="00FD7B0B" w:rsidRDefault="0001284F" w:rsidP="000164F8">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ед.</w:t>
            </w:r>
          </w:p>
        </w:tc>
        <w:tc>
          <w:tcPr>
            <w:tcW w:w="2977" w:type="dxa"/>
          </w:tcPr>
          <w:p w14:paraId="37075D64" w14:textId="77777777" w:rsidR="0001284F" w:rsidRPr="00FD7B0B" w:rsidRDefault="0001284F" w:rsidP="000164F8">
            <w:pPr>
              <w:jc w:val="center"/>
              <w:rPr>
                <w:rFonts w:ascii="Times New Roman" w:hAnsi="Times New Roman"/>
              </w:rPr>
            </w:pPr>
            <w:r w:rsidRPr="00FD7B0B">
              <w:rPr>
                <w:rFonts w:ascii="Times New Roman" w:hAnsi="Times New Roman"/>
              </w:rPr>
              <w:t>доля показателей, по которым представлены фактические значения за 2024 год, %</w:t>
            </w:r>
          </w:p>
        </w:tc>
        <w:tc>
          <w:tcPr>
            <w:tcW w:w="1275" w:type="dxa"/>
          </w:tcPr>
          <w:p w14:paraId="30969667" w14:textId="77777777" w:rsidR="0001284F" w:rsidRPr="00FD7B0B" w:rsidRDefault="0001284F" w:rsidP="000164F8">
            <w:pPr>
              <w:jc w:val="center"/>
              <w:rPr>
                <w:rFonts w:ascii="Times New Roman" w:hAnsi="Times New Roman"/>
              </w:rPr>
            </w:pPr>
            <w:r w:rsidRPr="00FD7B0B">
              <w:rPr>
                <w:rFonts w:ascii="Times New Roman" w:hAnsi="Times New Roman"/>
              </w:rPr>
              <w:t>оценка</w:t>
            </w:r>
          </w:p>
        </w:tc>
      </w:tr>
      <w:tr w:rsidR="0001284F" w:rsidRPr="00FD7B0B" w14:paraId="00B6B161" w14:textId="77777777" w:rsidTr="000164F8">
        <w:tc>
          <w:tcPr>
            <w:tcW w:w="3686" w:type="dxa"/>
            <w:vAlign w:val="center"/>
          </w:tcPr>
          <w:p w14:paraId="6180DF6D" w14:textId="77777777" w:rsidR="0001284F" w:rsidRPr="00FD7B0B" w:rsidRDefault="0001284F" w:rsidP="000164F8">
            <w:pPr>
              <w:jc w:val="center"/>
              <w:rPr>
                <w:rFonts w:ascii="Times New Roman" w:hAnsi="Times New Roman"/>
              </w:rPr>
            </w:pPr>
            <w:r w:rsidRPr="00FD7B0B">
              <w:rPr>
                <w:rFonts w:ascii="Times New Roman" w:hAnsi="Times New Roman"/>
              </w:rPr>
              <w:t>3</w:t>
            </w:r>
          </w:p>
        </w:tc>
        <w:tc>
          <w:tcPr>
            <w:tcW w:w="1701" w:type="dxa"/>
            <w:vAlign w:val="center"/>
          </w:tcPr>
          <w:p w14:paraId="280847B8" w14:textId="77777777" w:rsidR="0001284F" w:rsidRPr="00FD7B0B" w:rsidRDefault="0001284F" w:rsidP="000164F8">
            <w:pPr>
              <w:jc w:val="center"/>
              <w:rPr>
                <w:rFonts w:ascii="Times New Roman" w:hAnsi="Times New Roman"/>
              </w:rPr>
            </w:pPr>
            <w:r w:rsidRPr="00FD7B0B">
              <w:rPr>
                <w:rFonts w:ascii="Times New Roman" w:hAnsi="Times New Roman"/>
              </w:rPr>
              <w:t>3</w:t>
            </w:r>
          </w:p>
        </w:tc>
        <w:tc>
          <w:tcPr>
            <w:tcW w:w="2977" w:type="dxa"/>
            <w:vAlign w:val="center"/>
          </w:tcPr>
          <w:p w14:paraId="60B41FA1" w14:textId="77777777" w:rsidR="0001284F" w:rsidRPr="00FD7B0B" w:rsidRDefault="0001284F" w:rsidP="000164F8">
            <w:pPr>
              <w:jc w:val="center"/>
              <w:rPr>
                <w:rFonts w:ascii="Times New Roman" w:hAnsi="Times New Roman"/>
              </w:rPr>
            </w:pPr>
            <w:r w:rsidRPr="00FD7B0B">
              <w:rPr>
                <w:rFonts w:ascii="Times New Roman" w:hAnsi="Times New Roman"/>
              </w:rPr>
              <w:t>100</w:t>
            </w:r>
          </w:p>
        </w:tc>
        <w:tc>
          <w:tcPr>
            <w:tcW w:w="1275" w:type="dxa"/>
            <w:vAlign w:val="center"/>
          </w:tcPr>
          <w:p w14:paraId="792E4FC2" w14:textId="77777777" w:rsidR="0001284F" w:rsidRPr="00FD7B0B" w:rsidRDefault="0001284F" w:rsidP="000164F8">
            <w:pPr>
              <w:jc w:val="center"/>
              <w:rPr>
                <w:rFonts w:ascii="Times New Roman" w:hAnsi="Times New Roman"/>
              </w:rPr>
            </w:pPr>
            <w:r w:rsidRPr="00FD7B0B">
              <w:rPr>
                <w:rFonts w:ascii="Times New Roman" w:hAnsi="Times New Roman"/>
              </w:rPr>
              <w:t>высокий уровень</w:t>
            </w:r>
          </w:p>
        </w:tc>
      </w:tr>
    </w:tbl>
    <w:p w14:paraId="7BBF78ED" w14:textId="77777777" w:rsidR="0001284F" w:rsidRPr="00FD7B0B" w:rsidRDefault="0001284F" w:rsidP="0001284F">
      <w:pPr>
        <w:spacing w:after="0" w:line="240" w:lineRule="auto"/>
        <w:jc w:val="both"/>
        <w:rPr>
          <w:rFonts w:ascii="Times New Roman" w:hAnsi="Times New Roman"/>
          <w:sz w:val="16"/>
          <w:szCs w:val="16"/>
        </w:rPr>
      </w:pPr>
    </w:p>
    <w:p w14:paraId="7B8F201F" w14:textId="77777777" w:rsidR="0001284F" w:rsidRPr="00FD7B0B" w:rsidRDefault="0001284F" w:rsidP="0001284F">
      <w:pPr>
        <w:spacing w:after="0" w:line="240" w:lineRule="auto"/>
        <w:jc w:val="both"/>
        <w:rPr>
          <w:rFonts w:ascii="Times New Roman" w:hAnsi="Times New Roman"/>
          <w:sz w:val="24"/>
          <w:szCs w:val="24"/>
        </w:rPr>
      </w:pPr>
      <w:r w:rsidRPr="00FD7B0B">
        <w:rPr>
          <w:rFonts w:ascii="Times New Roman" w:hAnsi="Times New Roman"/>
          <w:sz w:val="24"/>
          <w:szCs w:val="24"/>
        </w:rPr>
        <w:t xml:space="preserve">6) Оценка количества показателей, по которым формируется официальная статистическая информация в соответствии с федеральным планом статистических работ и которые рассчитываются по методикам, принятым международными организациями </w:t>
      </w:r>
    </w:p>
    <w:tbl>
      <w:tblPr>
        <w:tblStyle w:val="a7"/>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686"/>
        <w:gridCol w:w="1701"/>
        <w:gridCol w:w="2977"/>
        <w:gridCol w:w="1275"/>
      </w:tblGrid>
      <w:tr w:rsidR="00FD7B0B" w:rsidRPr="00FD7B0B" w14:paraId="0F64E7A0" w14:textId="77777777" w:rsidTr="000164F8">
        <w:trPr>
          <w:trHeight w:val="627"/>
        </w:trPr>
        <w:tc>
          <w:tcPr>
            <w:tcW w:w="3686" w:type="dxa"/>
          </w:tcPr>
          <w:p w14:paraId="3CD02C97" w14:textId="77777777" w:rsidR="0001284F" w:rsidRPr="00FD7B0B" w:rsidRDefault="0001284F" w:rsidP="000164F8">
            <w:pPr>
              <w:jc w:val="center"/>
              <w:rPr>
                <w:rFonts w:ascii="Times New Roman" w:hAnsi="Times New Roman"/>
                <w:sz w:val="18"/>
                <w:szCs w:val="18"/>
              </w:rPr>
            </w:pPr>
            <w:r w:rsidRPr="00FD7B0B">
              <w:rPr>
                <w:rFonts w:ascii="Times New Roman" w:hAnsi="Times New Roman"/>
                <w:sz w:val="18"/>
                <w:szCs w:val="18"/>
              </w:rPr>
              <w:t>количество показателей, по которым формируется официальная статистическая информация…, ед.</w:t>
            </w:r>
          </w:p>
        </w:tc>
        <w:tc>
          <w:tcPr>
            <w:tcW w:w="1701" w:type="dxa"/>
          </w:tcPr>
          <w:p w14:paraId="194B62EB" w14:textId="77777777" w:rsidR="0001284F" w:rsidRPr="00FD7B0B" w:rsidRDefault="0001284F" w:rsidP="000164F8">
            <w:pPr>
              <w:autoSpaceDE w:val="0"/>
              <w:autoSpaceDN w:val="0"/>
              <w:adjustRightInd w:val="0"/>
              <w:ind w:firstLine="34"/>
              <w:jc w:val="center"/>
              <w:rPr>
                <w:rFonts w:ascii="Times New Roman" w:hAnsi="Times New Roman"/>
                <w:sz w:val="18"/>
                <w:szCs w:val="18"/>
              </w:rPr>
            </w:pPr>
            <w:r w:rsidRPr="00FD7B0B">
              <w:rPr>
                <w:rFonts w:ascii="Times New Roman" w:hAnsi="Times New Roman"/>
                <w:sz w:val="18"/>
                <w:szCs w:val="18"/>
              </w:rPr>
              <w:t>общее количество показателей, ед.</w:t>
            </w:r>
          </w:p>
        </w:tc>
        <w:tc>
          <w:tcPr>
            <w:tcW w:w="2977" w:type="dxa"/>
          </w:tcPr>
          <w:p w14:paraId="7C1E7E79" w14:textId="77777777" w:rsidR="0001284F" w:rsidRPr="00FD7B0B" w:rsidRDefault="0001284F" w:rsidP="000164F8">
            <w:pPr>
              <w:jc w:val="center"/>
              <w:rPr>
                <w:rFonts w:ascii="Times New Roman" w:hAnsi="Times New Roman"/>
                <w:sz w:val="18"/>
                <w:szCs w:val="18"/>
              </w:rPr>
            </w:pPr>
            <w:r w:rsidRPr="00FD7B0B">
              <w:rPr>
                <w:rFonts w:ascii="Times New Roman" w:hAnsi="Times New Roman"/>
                <w:sz w:val="18"/>
                <w:szCs w:val="18"/>
              </w:rPr>
              <w:t>доля показателей, по которым формируется официальная статистическая информация…, %</w:t>
            </w:r>
          </w:p>
        </w:tc>
        <w:tc>
          <w:tcPr>
            <w:tcW w:w="1275" w:type="dxa"/>
          </w:tcPr>
          <w:p w14:paraId="38E6F57F" w14:textId="77777777" w:rsidR="0001284F" w:rsidRPr="00FD7B0B" w:rsidRDefault="0001284F" w:rsidP="000164F8">
            <w:pPr>
              <w:jc w:val="center"/>
              <w:rPr>
                <w:rFonts w:ascii="Times New Roman" w:hAnsi="Times New Roman"/>
                <w:sz w:val="18"/>
                <w:szCs w:val="18"/>
              </w:rPr>
            </w:pPr>
            <w:r w:rsidRPr="00FD7B0B">
              <w:rPr>
                <w:rFonts w:ascii="Times New Roman" w:hAnsi="Times New Roman"/>
                <w:sz w:val="18"/>
                <w:szCs w:val="18"/>
              </w:rPr>
              <w:t>оценка</w:t>
            </w:r>
          </w:p>
        </w:tc>
      </w:tr>
      <w:tr w:rsidR="0001284F" w:rsidRPr="00FD7B0B" w14:paraId="7D21E2A5" w14:textId="77777777" w:rsidTr="000164F8">
        <w:tc>
          <w:tcPr>
            <w:tcW w:w="3686" w:type="dxa"/>
            <w:vAlign w:val="center"/>
          </w:tcPr>
          <w:p w14:paraId="2D169A7A" w14:textId="77777777" w:rsidR="0001284F" w:rsidRPr="00FD7B0B" w:rsidRDefault="0001284F" w:rsidP="000164F8">
            <w:pPr>
              <w:jc w:val="center"/>
              <w:rPr>
                <w:rFonts w:ascii="Times New Roman" w:hAnsi="Times New Roman"/>
              </w:rPr>
            </w:pPr>
            <w:r w:rsidRPr="00FD7B0B">
              <w:rPr>
                <w:rFonts w:ascii="Times New Roman" w:hAnsi="Times New Roman"/>
              </w:rPr>
              <w:t>2</w:t>
            </w:r>
          </w:p>
        </w:tc>
        <w:tc>
          <w:tcPr>
            <w:tcW w:w="1701" w:type="dxa"/>
            <w:vAlign w:val="center"/>
          </w:tcPr>
          <w:p w14:paraId="5730FA62" w14:textId="77777777" w:rsidR="0001284F" w:rsidRPr="00FD7B0B" w:rsidRDefault="0001284F" w:rsidP="000164F8">
            <w:pPr>
              <w:jc w:val="center"/>
              <w:rPr>
                <w:rFonts w:ascii="Times New Roman" w:hAnsi="Times New Roman"/>
              </w:rPr>
            </w:pPr>
            <w:r w:rsidRPr="00FD7B0B">
              <w:rPr>
                <w:rFonts w:ascii="Times New Roman" w:hAnsi="Times New Roman"/>
              </w:rPr>
              <w:t>3</w:t>
            </w:r>
          </w:p>
        </w:tc>
        <w:tc>
          <w:tcPr>
            <w:tcW w:w="2977" w:type="dxa"/>
            <w:vAlign w:val="center"/>
          </w:tcPr>
          <w:p w14:paraId="0D02670F" w14:textId="77777777" w:rsidR="0001284F" w:rsidRPr="00FD7B0B" w:rsidRDefault="0001284F" w:rsidP="000164F8">
            <w:pPr>
              <w:jc w:val="center"/>
              <w:rPr>
                <w:rFonts w:ascii="Times New Roman" w:hAnsi="Times New Roman"/>
              </w:rPr>
            </w:pPr>
            <w:r w:rsidRPr="00FD7B0B">
              <w:rPr>
                <w:rFonts w:ascii="Times New Roman" w:hAnsi="Times New Roman"/>
              </w:rPr>
              <w:t>66,66</w:t>
            </w:r>
          </w:p>
        </w:tc>
        <w:tc>
          <w:tcPr>
            <w:tcW w:w="1275" w:type="dxa"/>
            <w:vAlign w:val="center"/>
          </w:tcPr>
          <w:p w14:paraId="30385BAE" w14:textId="77777777" w:rsidR="0001284F" w:rsidRPr="00FD7B0B" w:rsidRDefault="0001284F" w:rsidP="000164F8">
            <w:pPr>
              <w:jc w:val="center"/>
              <w:rPr>
                <w:rFonts w:ascii="Times New Roman" w:hAnsi="Times New Roman"/>
              </w:rPr>
            </w:pPr>
            <w:r w:rsidRPr="00FD7B0B">
              <w:rPr>
                <w:rFonts w:ascii="Times New Roman" w:hAnsi="Times New Roman"/>
              </w:rPr>
              <w:t>низкий уровень</w:t>
            </w:r>
          </w:p>
        </w:tc>
      </w:tr>
    </w:tbl>
    <w:p w14:paraId="1800DC3D" w14:textId="77777777" w:rsidR="0001284F" w:rsidRPr="00FD7B0B" w:rsidRDefault="0001284F" w:rsidP="0001284F">
      <w:pPr>
        <w:spacing w:after="0" w:line="120" w:lineRule="auto"/>
        <w:ind w:firstLine="709"/>
        <w:jc w:val="center"/>
        <w:rPr>
          <w:rFonts w:ascii="Times New Roman" w:hAnsi="Times New Roman"/>
          <w:sz w:val="28"/>
          <w:szCs w:val="28"/>
        </w:rPr>
      </w:pPr>
    </w:p>
    <w:p w14:paraId="10907C9A" w14:textId="77777777" w:rsidR="00AF7E13" w:rsidRPr="00FD7B0B" w:rsidRDefault="00AF7E13" w:rsidP="0001284F">
      <w:pPr>
        <w:spacing w:after="0" w:line="240" w:lineRule="auto"/>
        <w:ind w:firstLine="709"/>
        <w:jc w:val="center"/>
        <w:rPr>
          <w:rFonts w:ascii="Times New Roman" w:hAnsi="Times New Roman"/>
          <w:b/>
          <w:sz w:val="28"/>
          <w:szCs w:val="28"/>
        </w:rPr>
      </w:pPr>
    </w:p>
    <w:p w14:paraId="1208C8B6" w14:textId="77777777" w:rsidR="00AF7E13" w:rsidRPr="00FD7B0B" w:rsidRDefault="00AF7E13" w:rsidP="0001284F">
      <w:pPr>
        <w:spacing w:after="0" w:line="240" w:lineRule="auto"/>
        <w:ind w:firstLine="709"/>
        <w:jc w:val="center"/>
        <w:rPr>
          <w:rFonts w:ascii="Times New Roman" w:hAnsi="Times New Roman"/>
          <w:b/>
          <w:sz w:val="28"/>
          <w:szCs w:val="28"/>
        </w:rPr>
      </w:pPr>
    </w:p>
    <w:p w14:paraId="76089A66" w14:textId="77777777" w:rsidR="00AF7E13" w:rsidRPr="00FD7B0B" w:rsidRDefault="00AF7E13" w:rsidP="0001284F">
      <w:pPr>
        <w:spacing w:after="0" w:line="240" w:lineRule="auto"/>
        <w:ind w:firstLine="709"/>
        <w:jc w:val="center"/>
        <w:rPr>
          <w:rFonts w:ascii="Times New Roman" w:hAnsi="Times New Roman"/>
          <w:b/>
          <w:sz w:val="28"/>
          <w:szCs w:val="28"/>
        </w:rPr>
      </w:pPr>
    </w:p>
    <w:p w14:paraId="740DD338" w14:textId="77777777" w:rsidR="0001284F" w:rsidRPr="00FD7B0B" w:rsidRDefault="0001284F" w:rsidP="0001284F">
      <w:pPr>
        <w:spacing w:after="0" w:line="240" w:lineRule="auto"/>
        <w:ind w:firstLine="709"/>
        <w:jc w:val="center"/>
        <w:rPr>
          <w:rFonts w:ascii="Times New Roman" w:hAnsi="Times New Roman"/>
          <w:b/>
          <w:sz w:val="28"/>
          <w:szCs w:val="28"/>
        </w:rPr>
      </w:pPr>
      <w:r w:rsidRPr="00FD7B0B">
        <w:rPr>
          <w:rFonts w:ascii="Times New Roman" w:hAnsi="Times New Roman"/>
          <w:b/>
          <w:sz w:val="28"/>
          <w:szCs w:val="28"/>
        </w:rPr>
        <w:lastRenderedPageBreak/>
        <w:t>Итоговая оценка исполнения ГП № 19</w:t>
      </w:r>
    </w:p>
    <w:p w14:paraId="516CFAFC" w14:textId="77777777" w:rsidR="0001284F" w:rsidRPr="00FD7B0B" w:rsidRDefault="0001284F" w:rsidP="0001284F">
      <w:pPr>
        <w:pStyle w:val="ConsPlusNormal"/>
        <w:spacing w:line="120" w:lineRule="auto"/>
        <w:ind w:firstLine="0"/>
        <w:rPr>
          <w:rFonts w:ascii="Times New Roman" w:hAnsi="Times New Roman" w:cs="Times New Roman"/>
        </w:rPr>
      </w:pPr>
    </w:p>
    <w:p w14:paraId="5CE58843" w14:textId="77777777" w:rsidR="0001284F" w:rsidRPr="00FD7B0B" w:rsidRDefault="0001284F" w:rsidP="0001284F">
      <w:pPr>
        <w:pStyle w:val="aff0"/>
        <w:keepNext/>
        <w:spacing w:after="0" w:line="240" w:lineRule="auto"/>
        <w:jc w:val="both"/>
        <w:rPr>
          <w:rFonts w:ascii="Times New Roman" w:hAnsi="Times New Roman"/>
          <w:b w:val="0"/>
          <w:sz w:val="24"/>
          <w:szCs w:val="24"/>
        </w:rPr>
      </w:pPr>
      <w:r w:rsidRPr="00FD7B0B">
        <w:rPr>
          <w:rFonts w:ascii="Times New Roman" w:hAnsi="Times New Roman"/>
          <w:b w:val="0"/>
          <w:sz w:val="24"/>
          <w:szCs w:val="24"/>
        </w:rPr>
        <w:t>Оценка исполнения по ресурсам и результатам</w:t>
      </w: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149"/>
        <w:gridCol w:w="1134"/>
        <w:gridCol w:w="1134"/>
        <w:gridCol w:w="993"/>
        <w:gridCol w:w="2503"/>
        <w:gridCol w:w="1182"/>
        <w:gridCol w:w="1559"/>
      </w:tblGrid>
      <w:tr w:rsidR="00FD7B0B" w:rsidRPr="00FD7B0B" w14:paraId="079CA17A" w14:textId="77777777" w:rsidTr="000164F8">
        <w:trPr>
          <w:trHeight w:val="273"/>
        </w:trPr>
        <w:tc>
          <w:tcPr>
            <w:tcW w:w="1149" w:type="dxa"/>
            <w:vMerge w:val="restart"/>
            <w:shd w:val="clear" w:color="auto" w:fill="auto"/>
            <w:vAlign w:val="center"/>
            <w:hideMark/>
          </w:tcPr>
          <w:p w14:paraId="6CA94FB3"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кассового исполнения по расходам ОБ </w:t>
            </w:r>
          </w:p>
        </w:tc>
        <w:tc>
          <w:tcPr>
            <w:tcW w:w="1134" w:type="dxa"/>
            <w:vMerge w:val="restart"/>
            <w:shd w:val="clear" w:color="auto" w:fill="auto"/>
            <w:vAlign w:val="center"/>
            <w:hideMark/>
          </w:tcPr>
          <w:p w14:paraId="36636C4E"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объема изменений, внесенных </w:t>
            </w:r>
          </w:p>
          <w:p w14:paraId="1F3EC3EE"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в СБР </w:t>
            </w:r>
          </w:p>
        </w:tc>
        <w:tc>
          <w:tcPr>
            <w:tcW w:w="2127" w:type="dxa"/>
            <w:gridSpan w:val="2"/>
            <w:shd w:val="clear" w:color="auto" w:fill="auto"/>
            <w:vAlign w:val="center"/>
            <w:hideMark/>
          </w:tcPr>
          <w:p w14:paraId="45EF41E6"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достижения плановых значений показателей </w:t>
            </w:r>
          </w:p>
        </w:tc>
        <w:tc>
          <w:tcPr>
            <w:tcW w:w="2503" w:type="dxa"/>
            <w:shd w:val="clear" w:color="auto" w:fill="auto"/>
            <w:vAlign w:val="center"/>
            <w:hideMark/>
          </w:tcPr>
          <w:p w14:paraId="06BFF67D"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динамики дебиторской задолженности по расчетам по авансовым платежам </w:t>
            </w:r>
          </w:p>
        </w:tc>
        <w:tc>
          <w:tcPr>
            <w:tcW w:w="1182" w:type="dxa"/>
            <w:vMerge w:val="restart"/>
            <w:shd w:val="clear" w:color="auto" w:fill="auto"/>
            <w:vAlign w:val="center"/>
            <w:hideMark/>
          </w:tcPr>
          <w:p w14:paraId="0D5FDC66"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ввода объектов в эксплуатацию</w:t>
            </w:r>
          </w:p>
        </w:tc>
        <w:tc>
          <w:tcPr>
            <w:tcW w:w="1559" w:type="dxa"/>
            <w:vMerge w:val="restart"/>
            <w:shd w:val="clear" w:color="auto" w:fill="auto"/>
            <w:vAlign w:val="center"/>
            <w:hideMark/>
          </w:tcPr>
          <w:p w14:paraId="3196F75E"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r>
      <w:tr w:rsidR="00FD7B0B" w:rsidRPr="00FD7B0B" w14:paraId="66B6D0B6" w14:textId="77777777" w:rsidTr="000164F8">
        <w:trPr>
          <w:trHeight w:val="384"/>
        </w:trPr>
        <w:tc>
          <w:tcPr>
            <w:tcW w:w="1149" w:type="dxa"/>
            <w:vMerge/>
            <w:vAlign w:val="center"/>
            <w:hideMark/>
          </w:tcPr>
          <w:p w14:paraId="1EEB6E02" w14:textId="77777777" w:rsidR="0001284F" w:rsidRPr="00FD7B0B" w:rsidRDefault="0001284F" w:rsidP="000164F8">
            <w:pPr>
              <w:spacing w:after="0" w:line="240" w:lineRule="auto"/>
              <w:rPr>
                <w:rFonts w:ascii="Times New Roman" w:eastAsia="Times New Roman" w:hAnsi="Times New Roman" w:cs="Times New Roman"/>
                <w:sz w:val="16"/>
                <w:szCs w:val="16"/>
                <w:lang w:eastAsia="ru-RU"/>
              </w:rPr>
            </w:pPr>
          </w:p>
        </w:tc>
        <w:tc>
          <w:tcPr>
            <w:tcW w:w="1134" w:type="dxa"/>
            <w:vMerge/>
            <w:vAlign w:val="center"/>
            <w:hideMark/>
          </w:tcPr>
          <w:p w14:paraId="48E80E67" w14:textId="77777777" w:rsidR="0001284F" w:rsidRPr="00FD7B0B" w:rsidRDefault="0001284F" w:rsidP="000164F8">
            <w:pPr>
              <w:spacing w:after="0" w:line="240" w:lineRule="auto"/>
              <w:rPr>
                <w:rFonts w:ascii="Times New Roman" w:eastAsia="Times New Roman" w:hAnsi="Times New Roman" w:cs="Times New Roman"/>
                <w:sz w:val="16"/>
                <w:szCs w:val="16"/>
                <w:lang w:eastAsia="ru-RU"/>
              </w:rPr>
            </w:pPr>
          </w:p>
        </w:tc>
        <w:tc>
          <w:tcPr>
            <w:tcW w:w="1134" w:type="dxa"/>
            <w:shd w:val="clear" w:color="auto" w:fill="auto"/>
            <w:vAlign w:val="center"/>
            <w:hideMark/>
          </w:tcPr>
          <w:p w14:paraId="097D70CB" w14:textId="77777777" w:rsidR="0001284F" w:rsidRPr="00FD7B0B" w:rsidRDefault="0001284F" w:rsidP="000164F8">
            <w:pPr>
              <w:spacing w:after="0" w:line="240" w:lineRule="auto"/>
              <w:jc w:val="center"/>
              <w:rPr>
                <w:rFonts w:ascii="Times New Roman" w:eastAsia="Times New Roman" w:hAnsi="Times New Roman" w:cs="Times New Roman"/>
                <w:sz w:val="12"/>
                <w:szCs w:val="12"/>
                <w:lang w:eastAsia="ru-RU"/>
              </w:rPr>
            </w:pPr>
            <w:r w:rsidRPr="00FD7B0B">
              <w:rPr>
                <w:rFonts w:ascii="Times New Roman" w:eastAsia="Times New Roman" w:hAnsi="Times New Roman" w:cs="Times New Roman"/>
                <w:sz w:val="12"/>
                <w:szCs w:val="12"/>
                <w:lang w:eastAsia="ru-RU"/>
              </w:rPr>
              <w:t xml:space="preserve">степень достижения всех показателей </w:t>
            </w:r>
          </w:p>
        </w:tc>
        <w:tc>
          <w:tcPr>
            <w:tcW w:w="993" w:type="dxa"/>
            <w:shd w:val="clear" w:color="auto" w:fill="auto"/>
            <w:vAlign w:val="center"/>
            <w:hideMark/>
          </w:tcPr>
          <w:p w14:paraId="2C5CDA63" w14:textId="77777777" w:rsidR="0001284F" w:rsidRPr="00FD7B0B" w:rsidRDefault="0001284F" w:rsidP="000164F8">
            <w:pPr>
              <w:spacing w:after="0" w:line="240" w:lineRule="auto"/>
              <w:jc w:val="center"/>
              <w:rPr>
                <w:rFonts w:ascii="Times New Roman" w:eastAsia="Times New Roman" w:hAnsi="Times New Roman" w:cs="Times New Roman"/>
                <w:sz w:val="12"/>
                <w:szCs w:val="12"/>
                <w:lang w:eastAsia="ru-RU"/>
              </w:rPr>
            </w:pPr>
            <w:r w:rsidRPr="00FD7B0B">
              <w:rPr>
                <w:rFonts w:ascii="Times New Roman" w:eastAsia="Times New Roman" w:hAnsi="Times New Roman" w:cs="Times New Roman"/>
                <w:sz w:val="12"/>
                <w:szCs w:val="12"/>
                <w:lang w:eastAsia="ru-RU"/>
              </w:rPr>
              <w:t xml:space="preserve">доля выполненных показателей </w:t>
            </w:r>
          </w:p>
        </w:tc>
        <w:tc>
          <w:tcPr>
            <w:tcW w:w="2503" w:type="dxa"/>
            <w:shd w:val="clear" w:color="auto" w:fill="auto"/>
            <w:vAlign w:val="center"/>
            <w:hideMark/>
          </w:tcPr>
          <w:p w14:paraId="0132DC1D" w14:textId="77777777" w:rsidR="0001284F" w:rsidRPr="00FD7B0B" w:rsidRDefault="0001284F" w:rsidP="000164F8">
            <w:pPr>
              <w:spacing w:after="0" w:line="240" w:lineRule="auto"/>
              <w:jc w:val="center"/>
              <w:rPr>
                <w:rFonts w:ascii="Times New Roman" w:eastAsia="Times New Roman" w:hAnsi="Times New Roman" w:cs="Times New Roman"/>
                <w:sz w:val="12"/>
                <w:szCs w:val="12"/>
                <w:lang w:eastAsia="ru-RU"/>
              </w:rPr>
            </w:pPr>
            <w:r w:rsidRPr="00FD7B0B">
              <w:rPr>
                <w:rFonts w:ascii="Times New Roman" w:eastAsia="Times New Roman" w:hAnsi="Times New Roman" w:cs="Times New Roman"/>
                <w:sz w:val="12"/>
                <w:szCs w:val="12"/>
                <w:lang w:eastAsia="ru-RU"/>
              </w:rPr>
              <w:t xml:space="preserve">доля просроченной дебиторской задолженности в общем объеме дебиторской задолженности </w:t>
            </w:r>
          </w:p>
        </w:tc>
        <w:tc>
          <w:tcPr>
            <w:tcW w:w="1182" w:type="dxa"/>
            <w:vMerge/>
            <w:vAlign w:val="center"/>
            <w:hideMark/>
          </w:tcPr>
          <w:p w14:paraId="1732F757" w14:textId="77777777" w:rsidR="0001284F" w:rsidRPr="00FD7B0B" w:rsidRDefault="0001284F" w:rsidP="000164F8">
            <w:pPr>
              <w:spacing w:after="0" w:line="240" w:lineRule="auto"/>
              <w:rPr>
                <w:rFonts w:ascii="Times New Roman" w:eastAsia="Times New Roman" w:hAnsi="Times New Roman" w:cs="Times New Roman"/>
                <w:sz w:val="16"/>
                <w:szCs w:val="16"/>
                <w:lang w:eastAsia="ru-RU"/>
              </w:rPr>
            </w:pPr>
          </w:p>
        </w:tc>
        <w:tc>
          <w:tcPr>
            <w:tcW w:w="1559" w:type="dxa"/>
            <w:vMerge/>
            <w:vAlign w:val="center"/>
            <w:hideMark/>
          </w:tcPr>
          <w:p w14:paraId="19477DEE" w14:textId="77777777" w:rsidR="0001284F" w:rsidRPr="00FD7B0B" w:rsidRDefault="0001284F" w:rsidP="000164F8">
            <w:pPr>
              <w:spacing w:after="0" w:line="240" w:lineRule="auto"/>
              <w:rPr>
                <w:rFonts w:ascii="Times New Roman" w:eastAsia="Times New Roman" w:hAnsi="Times New Roman" w:cs="Times New Roman"/>
                <w:sz w:val="16"/>
                <w:szCs w:val="16"/>
                <w:lang w:eastAsia="ru-RU"/>
              </w:rPr>
            </w:pPr>
          </w:p>
        </w:tc>
      </w:tr>
      <w:tr w:rsidR="00FD7B0B" w:rsidRPr="00FD7B0B" w14:paraId="0F772FD2" w14:textId="77777777" w:rsidTr="00EC7C76">
        <w:trPr>
          <w:trHeight w:val="160"/>
        </w:trPr>
        <w:tc>
          <w:tcPr>
            <w:tcW w:w="1149" w:type="dxa"/>
            <w:shd w:val="clear" w:color="000000" w:fill="92D050"/>
            <w:vAlign w:val="center"/>
            <w:hideMark/>
          </w:tcPr>
          <w:p w14:paraId="0E71D5FC"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1134" w:type="dxa"/>
            <w:shd w:val="clear" w:color="000000" w:fill="92D050"/>
            <w:vAlign w:val="center"/>
            <w:hideMark/>
          </w:tcPr>
          <w:p w14:paraId="402AEA15"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1134" w:type="dxa"/>
            <w:shd w:val="clear" w:color="000000" w:fill="92D050"/>
            <w:vAlign w:val="center"/>
            <w:hideMark/>
          </w:tcPr>
          <w:p w14:paraId="4962F0AF"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993" w:type="dxa"/>
            <w:shd w:val="clear" w:color="000000" w:fill="FF0000"/>
            <w:vAlign w:val="center"/>
            <w:hideMark/>
          </w:tcPr>
          <w:p w14:paraId="73B8473B"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низкий уровень</w:t>
            </w:r>
          </w:p>
        </w:tc>
        <w:tc>
          <w:tcPr>
            <w:tcW w:w="2503" w:type="dxa"/>
            <w:shd w:val="clear" w:color="000000" w:fill="92D050"/>
            <w:vAlign w:val="center"/>
            <w:hideMark/>
          </w:tcPr>
          <w:p w14:paraId="7F91A495"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1182" w:type="dxa"/>
            <w:shd w:val="clear" w:color="000000" w:fill="FF0000"/>
            <w:vAlign w:val="center"/>
            <w:hideMark/>
          </w:tcPr>
          <w:p w14:paraId="1163D59A"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низкий уровень</w:t>
            </w:r>
          </w:p>
        </w:tc>
        <w:tc>
          <w:tcPr>
            <w:tcW w:w="1559" w:type="dxa"/>
            <w:shd w:val="clear" w:color="auto" w:fill="FFFF00"/>
            <w:vAlign w:val="center"/>
            <w:hideMark/>
          </w:tcPr>
          <w:p w14:paraId="3E0636F5"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уровень выше среднего</w:t>
            </w:r>
          </w:p>
        </w:tc>
      </w:tr>
    </w:tbl>
    <w:p w14:paraId="6A724475" w14:textId="77777777" w:rsidR="0001284F" w:rsidRPr="00FD7B0B" w:rsidRDefault="0001284F" w:rsidP="0001284F">
      <w:pPr>
        <w:pStyle w:val="aff0"/>
        <w:keepNext/>
        <w:spacing w:after="0" w:line="240" w:lineRule="auto"/>
        <w:jc w:val="both"/>
        <w:rPr>
          <w:rFonts w:ascii="Times New Roman" w:hAnsi="Times New Roman"/>
          <w:b w:val="0"/>
          <w:sz w:val="24"/>
          <w:szCs w:val="24"/>
        </w:rPr>
      </w:pPr>
      <w:r w:rsidRPr="00FD7B0B">
        <w:rPr>
          <w:rFonts w:ascii="Times New Roman" w:hAnsi="Times New Roman"/>
          <w:b w:val="0"/>
          <w:sz w:val="24"/>
          <w:szCs w:val="24"/>
        </w:rPr>
        <w:t xml:space="preserve">Оценка формирования и использования системы показателей исходя из приоритетов социально-экономического развития Российской Федерации по результатам проверки исполнения </w:t>
      </w:r>
    </w:p>
    <w:p w14:paraId="75BBE825" w14:textId="77777777" w:rsidR="00EC7C76" w:rsidRPr="00FD7B0B" w:rsidRDefault="00EC7C76" w:rsidP="00EC7C76">
      <w:pPr>
        <w:pStyle w:val="aff0"/>
        <w:keepNext/>
        <w:spacing w:after="0" w:line="240" w:lineRule="auto"/>
        <w:jc w:val="both"/>
        <w:rPr>
          <w:rFonts w:ascii="Times New Roman" w:hAnsi="Times New Roman"/>
          <w:b w:val="0"/>
          <w:sz w:val="24"/>
          <w:szCs w:val="24"/>
        </w:rPr>
      </w:pPr>
    </w:p>
    <w:tbl>
      <w:tblPr>
        <w:tblW w:w="9654"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043"/>
        <w:gridCol w:w="1140"/>
        <w:gridCol w:w="1258"/>
        <w:gridCol w:w="1197"/>
        <w:gridCol w:w="1331"/>
        <w:gridCol w:w="2126"/>
        <w:gridCol w:w="1559"/>
      </w:tblGrid>
      <w:tr w:rsidR="00FD7B0B" w:rsidRPr="00FD7B0B" w14:paraId="2701F875" w14:textId="77777777" w:rsidTr="000164F8">
        <w:trPr>
          <w:trHeight w:val="246"/>
        </w:trPr>
        <w:tc>
          <w:tcPr>
            <w:tcW w:w="9654" w:type="dxa"/>
            <w:gridSpan w:val="7"/>
            <w:shd w:val="clear" w:color="auto" w:fill="auto"/>
            <w:vAlign w:val="center"/>
            <w:hideMark/>
          </w:tcPr>
          <w:p w14:paraId="3CB92D0C"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формирования и использования системы показателей исходя из приоритетов социально-экономического развития Российской Федерации по результатам проверки исполнения ГП № 19</w:t>
            </w:r>
          </w:p>
        </w:tc>
      </w:tr>
      <w:tr w:rsidR="00FD7B0B" w:rsidRPr="00FD7B0B" w14:paraId="06C955CC" w14:textId="77777777" w:rsidTr="000164F8">
        <w:trPr>
          <w:trHeight w:val="1041"/>
        </w:trPr>
        <w:tc>
          <w:tcPr>
            <w:tcW w:w="1043" w:type="dxa"/>
            <w:shd w:val="clear" w:color="auto" w:fill="auto"/>
            <w:vAlign w:val="center"/>
            <w:hideMark/>
          </w:tcPr>
          <w:p w14:paraId="11A564D7"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состава показателей </w:t>
            </w:r>
          </w:p>
        </w:tc>
        <w:tc>
          <w:tcPr>
            <w:tcW w:w="1140" w:type="dxa"/>
            <w:shd w:val="clear" w:color="auto" w:fill="auto"/>
            <w:vAlign w:val="center"/>
            <w:hideMark/>
          </w:tcPr>
          <w:p w14:paraId="111A58C3"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стабильности состава показателей на протяжении 2024 года</w:t>
            </w:r>
          </w:p>
        </w:tc>
        <w:tc>
          <w:tcPr>
            <w:tcW w:w="1258" w:type="dxa"/>
            <w:shd w:val="clear" w:color="auto" w:fill="auto"/>
            <w:vAlign w:val="center"/>
            <w:hideMark/>
          </w:tcPr>
          <w:p w14:paraId="3ACBDD59"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стабильности состава показателей за три года (в ретроспективе)</w:t>
            </w:r>
          </w:p>
        </w:tc>
        <w:tc>
          <w:tcPr>
            <w:tcW w:w="1197" w:type="dxa"/>
            <w:shd w:val="clear" w:color="auto" w:fill="auto"/>
            <w:vAlign w:val="center"/>
            <w:hideMark/>
          </w:tcPr>
          <w:p w14:paraId="39F77520"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динамики плановых (фактических) значений показателей </w:t>
            </w:r>
          </w:p>
        </w:tc>
        <w:tc>
          <w:tcPr>
            <w:tcW w:w="1331" w:type="dxa"/>
            <w:shd w:val="clear" w:color="auto" w:fill="auto"/>
            <w:vAlign w:val="center"/>
            <w:hideMark/>
          </w:tcPr>
          <w:p w14:paraId="655525A3"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количества показателей, по которым представлены фактические значения </w:t>
            </w:r>
          </w:p>
        </w:tc>
        <w:tc>
          <w:tcPr>
            <w:tcW w:w="2126" w:type="dxa"/>
            <w:shd w:val="clear" w:color="auto" w:fill="auto"/>
            <w:vAlign w:val="center"/>
            <w:hideMark/>
          </w:tcPr>
          <w:p w14:paraId="0E91D654"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количества показателей, по которым формируется официальная статистическая информация … </w:t>
            </w:r>
          </w:p>
          <w:p w14:paraId="0BD80E83"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за 2024 год</w:t>
            </w:r>
          </w:p>
        </w:tc>
        <w:tc>
          <w:tcPr>
            <w:tcW w:w="1559" w:type="dxa"/>
            <w:shd w:val="clear" w:color="auto" w:fill="auto"/>
            <w:vAlign w:val="center"/>
            <w:hideMark/>
          </w:tcPr>
          <w:p w14:paraId="7AB181B1"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r>
      <w:tr w:rsidR="00FD7B0B" w:rsidRPr="00FD7B0B" w14:paraId="63F9BAA2" w14:textId="77777777" w:rsidTr="000164F8">
        <w:trPr>
          <w:trHeight w:val="167"/>
        </w:trPr>
        <w:tc>
          <w:tcPr>
            <w:tcW w:w="1043" w:type="dxa"/>
            <w:shd w:val="clear" w:color="000000" w:fill="92D050"/>
            <w:vAlign w:val="center"/>
            <w:hideMark/>
          </w:tcPr>
          <w:p w14:paraId="74ED1533"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1140" w:type="dxa"/>
            <w:shd w:val="clear" w:color="000000" w:fill="92D050"/>
            <w:vAlign w:val="center"/>
            <w:hideMark/>
          </w:tcPr>
          <w:p w14:paraId="4653382B"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1258" w:type="dxa"/>
            <w:shd w:val="clear" w:color="000000" w:fill="92D050"/>
            <w:vAlign w:val="center"/>
            <w:hideMark/>
          </w:tcPr>
          <w:p w14:paraId="019EA02B"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1197" w:type="dxa"/>
            <w:shd w:val="clear" w:color="000000" w:fill="92D050"/>
            <w:vAlign w:val="center"/>
            <w:hideMark/>
          </w:tcPr>
          <w:p w14:paraId="3D733D3B"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1331" w:type="dxa"/>
            <w:shd w:val="clear" w:color="000000" w:fill="92D050"/>
            <w:vAlign w:val="center"/>
            <w:hideMark/>
          </w:tcPr>
          <w:p w14:paraId="0900CF57"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2126" w:type="dxa"/>
            <w:shd w:val="clear" w:color="000000" w:fill="FF0000"/>
            <w:vAlign w:val="center"/>
            <w:hideMark/>
          </w:tcPr>
          <w:p w14:paraId="7F1EDF72"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низкий уровень</w:t>
            </w:r>
          </w:p>
        </w:tc>
        <w:tc>
          <w:tcPr>
            <w:tcW w:w="1559" w:type="dxa"/>
            <w:shd w:val="clear" w:color="auto" w:fill="auto"/>
            <w:vAlign w:val="center"/>
            <w:hideMark/>
          </w:tcPr>
          <w:p w14:paraId="5E6F0402" w14:textId="77777777" w:rsidR="0001284F" w:rsidRPr="00FD7B0B" w:rsidRDefault="0001284F" w:rsidP="000164F8">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уровень выше среднего</w:t>
            </w:r>
          </w:p>
        </w:tc>
      </w:tr>
    </w:tbl>
    <w:p w14:paraId="2D076A3F" w14:textId="63232996" w:rsidR="00D304BC" w:rsidRPr="00FD7B0B" w:rsidRDefault="009B516C" w:rsidP="00016B73">
      <w:pPr>
        <w:pStyle w:val="3"/>
        <w:spacing w:line="240" w:lineRule="auto"/>
        <w:jc w:val="center"/>
        <w:rPr>
          <w:rFonts w:ascii="Times New Roman" w:hAnsi="Times New Roman"/>
          <w:b w:val="0"/>
          <w:sz w:val="28"/>
          <w:szCs w:val="28"/>
          <w:u w:val="single"/>
          <w:lang w:val="ru-RU"/>
        </w:rPr>
      </w:pPr>
      <w:bookmarkStart w:id="142" w:name="_Toc198819146"/>
      <w:r w:rsidRPr="00FD7B0B">
        <w:rPr>
          <w:rFonts w:ascii="Times New Roman" w:hAnsi="Times New Roman"/>
          <w:b w:val="0"/>
          <w:sz w:val="28"/>
          <w:szCs w:val="28"/>
          <w:u w:val="single"/>
          <w:lang w:val="ru-RU"/>
        </w:rPr>
        <w:t>4</w:t>
      </w:r>
      <w:r w:rsidR="00D304BC"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lang w:val="ru-RU"/>
        </w:rPr>
        <w:t>.</w:t>
      </w:r>
      <w:r w:rsidR="00451491" w:rsidRPr="00FD7B0B">
        <w:rPr>
          <w:rFonts w:ascii="Times New Roman" w:hAnsi="Times New Roman"/>
          <w:b w:val="0"/>
          <w:sz w:val="28"/>
          <w:szCs w:val="28"/>
          <w:u w:val="single"/>
          <w:lang w:val="ru-RU"/>
        </w:rPr>
        <w:t>1</w:t>
      </w:r>
      <w:r w:rsidR="007F7958"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lang w:val="ru-RU"/>
        </w:rPr>
        <w:t xml:space="preserve">. Государственная программа Архангельской области </w:t>
      </w:r>
      <w:r w:rsidR="00743ABC" w:rsidRPr="00FD7B0B">
        <w:rPr>
          <w:rFonts w:ascii="Times New Roman" w:hAnsi="Times New Roman"/>
          <w:b w:val="0"/>
          <w:sz w:val="28"/>
          <w:szCs w:val="28"/>
          <w:u w:val="single"/>
          <w:lang w:val="ru-RU"/>
        </w:rPr>
        <w:t>«</w:t>
      </w:r>
      <w:r w:rsidR="00D304BC" w:rsidRPr="00FD7B0B">
        <w:rPr>
          <w:rFonts w:ascii="Times New Roman" w:hAnsi="Times New Roman"/>
          <w:b w:val="0"/>
          <w:sz w:val="28"/>
          <w:szCs w:val="28"/>
          <w:u w:val="single"/>
          <w:lang w:val="ru-RU"/>
        </w:rPr>
        <w:t>Развитие инфраструктуры Соловецкого архипелага</w:t>
      </w:r>
      <w:r w:rsidR="00743ABC" w:rsidRPr="00FD7B0B">
        <w:rPr>
          <w:rFonts w:ascii="Times New Roman" w:hAnsi="Times New Roman"/>
          <w:b w:val="0"/>
          <w:sz w:val="28"/>
          <w:szCs w:val="28"/>
          <w:u w:val="single"/>
          <w:lang w:val="ru-RU"/>
        </w:rPr>
        <w:t>»</w:t>
      </w:r>
      <w:bookmarkEnd w:id="142"/>
    </w:p>
    <w:p w14:paraId="7FC98167" w14:textId="5342588D" w:rsidR="00621D6F" w:rsidRPr="00FD7B0B" w:rsidRDefault="00621D6F" w:rsidP="00621D6F">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Государственная программа Архангельской области «</w:t>
      </w:r>
      <w:r w:rsidRPr="00FD7B0B">
        <w:rPr>
          <w:rFonts w:ascii="Times New Roman" w:eastAsia="Calibri" w:hAnsi="Times New Roman" w:cs="Times New Roman"/>
          <w:sz w:val="28"/>
          <w:szCs w:val="28"/>
        </w:rPr>
        <w:t>Развитие инфраструктуры Соловецкого архипелага</w:t>
      </w:r>
      <w:r w:rsidRPr="00FD7B0B">
        <w:rPr>
          <w:rFonts w:ascii="Times New Roman" w:eastAsia="Times New Roman" w:hAnsi="Times New Roman" w:cs="Times New Roman"/>
          <w:sz w:val="28"/>
          <w:szCs w:val="28"/>
          <w:lang w:eastAsia="ru-RU"/>
        </w:rPr>
        <w:t xml:space="preserve">» утверждена постановлением Правительства Архангельской области от </w:t>
      </w:r>
      <w:r w:rsidRPr="00FD7B0B">
        <w:rPr>
          <w:rFonts w:ascii="Times New Roman" w:eastAsia="Calibri" w:hAnsi="Times New Roman" w:cs="Times New Roman"/>
          <w:sz w:val="28"/>
          <w:szCs w:val="28"/>
        </w:rPr>
        <w:t xml:space="preserve">16.07.2013 № 314-пп </w:t>
      </w:r>
      <w:r w:rsidRPr="00FD7B0B">
        <w:rPr>
          <w:rFonts w:ascii="Times New Roman" w:eastAsia="Times New Roman" w:hAnsi="Times New Roman" w:cs="Times New Roman"/>
          <w:sz w:val="28"/>
          <w:szCs w:val="28"/>
          <w:lang w:eastAsia="ru-RU"/>
        </w:rPr>
        <w:t>(далее – ГП № 20, госпрограмма).</w:t>
      </w:r>
    </w:p>
    <w:p w14:paraId="707655C2" w14:textId="77777777" w:rsidR="00621D6F" w:rsidRPr="00FD7B0B" w:rsidRDefault="00621D6F" w:rsidP="00621D6F">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Цель ГП № 20 – создание комфортной среды для проживания населения и приема паломников и туристов на Соловецком архипелаге.</w:t>
      </w:r>
    </w:p>
    <w:p w14:paraId="06C4F1BC" w14:textId="10907E2C" w:rsidR="00621D6F" w:rsidRPr="00FD7B0B" w:rsidRDefault="00621D6F" w:rsidP="00621D6F">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Срок реализации госпрограммы – 2024</w:t>
      </w:r>
      <w:r w:rsidR="00A83FD3" w:rsidRPr="00FD7B0B">
        <w:rPr>
          <w:rFonts w:ascii="Times New Roman" w:eastAsia="Times New Roman" w:hAnsi="Times New Roman" w:cs="Times New Roman"/>
          <w:sz w:val="28"/>
          <w:szCs w:val="28"/>
          <w:lang w:eastAsia="ru-RU"/>
        </w:rPr>
        <w:t xml:space="preserve"> – </w:t>
      </w:r>
      <w:r w:rsidRPr="00FD7B0B">
        <w:rPr>
          <w:rFonts w:ascii="Times New Roman" w:eastAsia="Times New Roman" w:hAnsi="Times New Roman" w:cs="Times New Roman"/>
          <w:sz w:val="28"/>
          <w:szCs w:val="28"/>
          <w:lang w:eastAsia="ru-RU"/>
        </w:rPr>
        <w:t>2026 годы (в ред. постановления Правительства Архангельской области от 09.10.2023 № 969-пп (далее – постановление № 969-пп).</w:t>
      </w:r>
    </w:p>
    <w:p w14:paraId="4C7A6F52" w14:textId="77777777" w:rsidR="00621D6F" w:rsidRPr="00FD7B0B" w:rsidRDefault="00621D6F" w:rsidP="00621D6F">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Постановлением № 969-пп добавлен паспорт ГП № 20.</w:t>
      </w:r>
    </w:p>
    <w:p w14:paraId="100D7535" w14:textId="77777777" w:rsidR="00621D6F" w:rsidRPr="00FD7B0B" w:rsidRDefault="00621D6F" w:rsidP="00621D6F">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Ответственный исполнитель ГП № 20 – агентство по развитию Соловецкого архипелага Архангельской области (далее – агентство), соисполнителем является минстрой АО.</w:t>
      </w:r>
    </w:p>
    <w:p w14:paraId="6F56329D" w14:textId="77777777" w:rsidR="00621D6F" w:rsidRPr="00FD7B0B" w:rsidRDefault="00621D6F" w:rsidP="00621D6F">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Структура ГП № 20 состоит из проектной и процессной частей. Процессная часть госпрограммы включает комплекс процессных мероприятий, которая осуществляется в рамках 2 задач структурного элемента.</w:t>
      </w:r>
    </w:p>
    <w:p w14:paraId="58E0B25C" w14:textId="187CEE73" w:rsidR="00621D6F" w:rsidRPr="00FD7B0B" w:rsidRDefault="00621D6F" w:rsidP="00621D6F">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отчетном периоде предусмотрено выполнение мероприятий в рамках следующих задач (таблица </w:t>
      </w:r>
      <w:r w:rsidR="006B77CA" w:rsidRPr="00FD7B0B">
        <w:rPr>
          <w:rFonts w:ascii="Times New Roman" w:eastAsia="Times New Roman" w:hAnsi="Times New Roman" w:cs="Times New Roman"/>
          <w:sz w:val="28"/>
          <w:szCs w:val="28"/>
          <w:lang w:eastAsia="ru-RU"/>
        </w:rPr>
        <w:t>200</w:t>
      </w:r>
      <w:r w:rsidRPr="00FD7B0B">
        <w:rPr>
          <w:rFonts w:ascii="Times New Roman" w:eastAsia="Times New Roman" w:hAnsi="Times New Roman" w:cs="Times New Roman"/>
          <w:sz w:val="28"/>
          <w:szCs w:val="28"/>
          <w:lang w:eastAsia="ru-RU"/>
        </w:rPr>
        <w:t>):</w:t>
      </w:r>
    </w:p>
    <w:p w14:paraId="3F27610B" w14:textId="77777777" w:rsidR="00621D6F" w:rsidRPr="00FD7B0B" w:rsidRDefault="00621D6F" w:rsidP="00621D6F">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64C2B2DE" w14:textId="27C79D88" w:rsidR="00621D6F" w:rsidRPr="00FD7B0B" w:rsidRDefault="00540EC5" w:rsidP="00621D6F">
      <w:pPr>
        <w:spacing w:after="0" w:line="240" w:lineRule="auto"/>
        <w:rPr>
          <w:rFonts w:ascii="Times New Roman" w:eastAsia="Times New Roman" w:hAnsi="Times New Roman" w:cs="Times New Roman"/>
          <w:bCs/>
          <w:sz w:val="24"/>
          <w:szCs w:val="24"/>
          <w:lang w:eastAsia="ru-RU"/>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200</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621D6F" w:rsidRPr="00FD7B0B">
        <w:rPr>
          <w:rFonts w:ascii="Times New Roman" w:eastAsia="Times New Roman" w:hAnsi="Times New Roman" w:cs="Times New Roman"/>
          <w:bCs/>
          <w:sz w:val="24"/>
          <w:szCs w:val="24"/>
          <w:lang w:eastAsia="ru-RU"/>
        </w:rPr>
        <w:t>Информация о задачах, в рамках которых предусмотрено выполнение мероприятий ГП № 20 на 2024 год</w:t>
      </w:r>
    </w:p>
    <w:tbl>
      <w:tblPr>
        <w:tblStyle w:val="a7"/>
        <w:tblW w:w="0" w:type="auto"/>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7621"/>
        <w:gridCol w:w="1950"/>
      </w:tblGrid>
      <w:tr w:rsidR="00FD7B0B" w:rsidRPr="00FD7B0B" w14:paraId="617AAF68" w14:textId="77777777" w:rsidTr="006B77CA">
        <w:trPr>
          <w:tblHeader/>
        </w:trPr>
        <w:tc>
          <w:tcPr>
            <w:tcW w:w="7621" w:type="dxa"/>
          </w:tcPr>
          <w:p w14:paraId="7F39CB6F" w14:textId="77777777" w:rsidR="00621D6F" w:rsidRPr="00FD7B0B" w:rsidRDefault="00621D6F" w:rsidP="006B77CA">
            <w:pPr>
              <w:autoSpaceDE w:val="0"/>
              <w:autoSpaceDN w:val="0"/>
              <w:adjustRightInd w:val="0"/>
              <w:jc w:val="center"/>
              <w:rPr>
                <w:rFonts w:ascii="Times New Roman" w:eastAsia="Times New Roman" w:hAnsi="Times New Roman"/>
                <w:b/>
              </w:rPr>
            </w:pPr>
            <w:r w:rsidRPr="00FD7B0B">
              <w:rPr>
                <w:rFonts w:ascii="Times New Roman" w:eastAsia="Times New Roman" w:hAnsi="Times New Roman"/>
                <w:b/>
              </w:rPr>
              <w:t>№, наименование задачи ГП № 20</w:t>
            </w:r>
          </w:p>
        </w:tc>
        <w:tc>
          <w:tcPr>
            <w:tcW w:w="1950" w:type="dxa"/>
          </w:tcPr>
          <w:p w14:paraId="673E70CF" w14:textId="77777777" w:rsidR="00621D6F" w:rsidRPr="00FD7B0B" w:rsidRDefault="00621D6F" w:rsidP="006B77CA">
            <w:pPr>
              <w:autoSpaceDE w:val="0"/>
              <w:autoSpaceDN w:val="0"/>
              <w:adjustRightInd w:val="0"/>
              <w:jc w:val="center"/>
              <w:rPr>
                <w:rFonts w:ascii="Times New Roman" w:eastAsia="Times New Roman" w:hAnsi="Times New Roman"/>
                <w:b/>
              </w:rPr>
            </w:pPr>
            <w:r w:rsidRPr="00FD7B0B">
              <w:rPr>
                <w:rFonts w:ascii="Times New Roman" w:eastAsia="Times New Roman" w:hAnsi="Times New Roman"/>
                <w:b/>
              </w:rPr>
              <w:t>Ответственный исполнитель (соисполнитель)</w:t>
            </w:r>
          </w:p>
        </w:tc>
      </w:tr>
      <w:tr w:rsidR="00FD7B0B" w:rsidRPr="00FD7B0B" w14:paraId="6B572E63" w14:textId="77777777" w:rsidTr="006B77CA">
        <w:tc>
          <w:tcPr>
            <w:tcW w:w="7621" w:type="dxa"/>
          </w:tcPr>
          <w:p w14:paraId="3AA80C70" w14:textId="77777777" w:rsidR="00621D6F" w:rsidRPr="00FD7B0B" w:rsidRDefault="00621D6F" w:rsidP="006B77CA">
            <w:pPr>
              <w:autoSpaceDE w:val="0"/>
              <w:autoSpaceDN w:val="0"/>
              <w:adjustRightInd w:val="0"/>
              <w:rPr>
                <w:rFonts w:ascii="Times New Roman" w:eastAsia="Times New Roman" w:hAnsi="Times New Roman"/>
              </w:rPr>
            </w:pPr>
            <w:r w:rsidRPr="00FD7B0B">
              <w:rPr>
                <w:rFonts w:ascii="Times New Roman" w:eastAsia="Times New Roman" w:hAnsi="Times New Roman"/>
              </w:rPr>
              <w:t>№ 1 – развитие коммунальной, инженерной и социальной инфраструктуры Соловецкого архипелага</w:t>
            </w:r>
          </w:p>
        </w:tc>
        <w:tc>
          <w:tcPr>
            <w:tcW w:w="1950" w:type="dxa"/>
            <w:vAlign w:val="center"/>
          </w:tcPr>
          <w:p w14:paraId="5BF1EE7E" w14:textId="77777777" w:rsidR="00621D6F" w:rsidRPr="00FD7B0B" w:rsidRDefault="00621D6F" w:rsidP="006B77CA">
            <w:pPr>
              <w:autoSpaceDE w:val="0"/>
              <w:autoSpaceDN w:val="0"/>
              <w:adjustRightInd w:val="0"/>
              <w:jc w:val="center"/>
              <w:rPr>
                <w:rFonts w:ascii="Times New Roman" w:eastAsia="Times New Roman" w:hAnsi="Times New Roman"/>
              </w:rPr>
            </w:pPr>
            <w:r w:rsidRPr="00FD7B0B">
              <w:rPr>
                <w:rFonts w:ascii="Times New Roman" w:eastAsia="Times New Roman" w:hAnsi="Times New Roman"/>
              </w:rPr>
              <w:t>минстрой АО</w:t>
            </w:r>
          </w:p>
        </w:tc>
      </w:tr>
      <w:tr w:rsidR="00621D6F" w:rsidRPr="00FD7B0B" w14:paraId="403C42D2" w14:textId="77777777" w:rsidTr="006B77CA">
        <w:tc>
          <w:tcPr>
            <w:tcW w:w="7621" w:type="dxa"/>
          </w:tcPr>
          <w:p w14:paraId="0A9B8B46" w14:textId="77777777" w:rsidR="00621D6F" w:rsidRPr="00FD7B0B" w:rsidRDefault="00621D6F" w:rsidP="006B77CA">
            <w:pPr>
              <w:autoSpaceDE w:val="0"/>
              <w:autoSpaceDN w:val="0"/>
              <w:adjustRightInd w:val="0"/>
              <w:rPr>
                <w:rFonts w:ascii="Times New Roman" w:eastAsia="Times New Roman" w:hAnsi="Times New Roman"/>
              </w:rPr>
            </w:pPr>
            <w:r w:rsidRPr="00FD7B0B">
              <w:rPr>
                <w:rFonts w:ascii="Times New Roman" w:eastAsia="Times New Roman" w:hAnsi="Times New Roman"/>
              </w:rPr>
              <w:lastRenderedPageBreak/>
              <w:t>№ 2 – создание информационно-коммуникационной инфраструктуры Соловецкого архипелага, развитие туристской инфраструктуры</w:t>
            </w:r>
          </w:p>
        </w:tc>
        <w:tc>
          <w:tcPr>
            <w:tcW w:w="1950" w:type="dxa"/>
          </w:tcPr>
          <w:p w14:paraId="0C3AA0EC" w14:textId="77777777" w:rsidR="00621D6F" w:rsidRPr="00FD7B0B" w:rsidRDefault="00621D6F" w:rsidP="006B77CA">
            <w:pPr>
              <w:jc w:val="center"/>
            </w:pPr>
            <w:r w:rsidRPr="00FD7B0B">
              <w:rPr>
                <w:rFonts w:ascii="Times New Roman" w:eastAsia="Times New Roman" w:hAnsi="Times New Roman"/>
              </w:rPr>
              <w:t>агентство</w:t>
            </w:r>
          </w:p>
        </w:tc>
      </w:tr>
    </w:tbl>
    <w:p w14:paraId="62DC37E5" w14:textId="77777777" w:rsidR="00621D6F" w:rsidRPr="00FD7B0B" w:rsidRDefault="00621D6F" w:rsidP="00621D6F">
      <w:pPr>
        <w:autoSpaceDE w:val="0"/>
        <w:autoSpaceDN w:val="0"/>
        <w:adjustRightInd w:val="0"/>
        <w:spacing w:after="0" w:line="240" w:lineRule="auto"/>
        <w:ind w:firstLine="709"/>
        <w:jc w:val="both"/>
        <w:rPr>
          <w:rFonts w:ascii="Times New Roman" w:eastAsia="Times New Roman" w:hAnsi="Times New Roman" w:cs="Times New Roman"/>
          <w:sz w:val="28"/>
          <w:szCs w:val="28"/>
          <w:highlight w:val="cyan"/>
          <w:lang w:eastAsia="ru-RU"/>
        </w:rPr>
      </w:pPr>
    </w:p>
    <w:p w14:paraId="35594294" w14:textId="2682F321" w:rsidR="00621D6F" w:rsidRPr="00FD7B0B" w:rsidRDefault="00621D6F" w:rsidP="00540EC5">
      <w:pPr>
        <w:spacing w:after="0" w:line="320" w:lineRule="atLeast"/>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На реализацию мероприятий ГП № 20 на 2024 год, в редакции постановления от 28.12.2023 N 1369-пп, действующей на 31.12.2023, утверждено финансирование в общей сумме 472,9 </w:t>
      </w:r>
      <w:r w:rsidR="000560EB" w:rsidRPr="00FD7B0B">
        <w:rPr>
          <w:rFonts w:ascii="Times New Roman" w:eastAsia="Times New Roman" w:hAnsi="Times New Roman" w:cs="Times New Roman"/>
          <w:sz w:val="28"/>
          <w:szCs w:val="28"/>
          <w:lang w:eastAsia="ru-RU"/>
        </w:rPr>
        <w:t>млн.руб.</w:t>
      </w:r>
      <w:r w:rsidRPr="00FD7B0B">
        <w:rPr>
          <w:rFonts w:ascii="Times New Roman" w:eastAsia="Times New Roman" w:hAnsi="Times New Roman" w:cs="Times New Roman"/>
          <w:sz w:val="28"/>
          <w:szCs w:val="28"/>
          <w:lang w:eastAsia="ru-RU"/>
        </w:rPr>
        <w:t xml:space="preserve"> (средства ОБ).</w:t>
      </w:r>
    </w:p>
    <w:p w14:paraId="3C5C014E" w14:textId="77777777" w:rsidR="00621D6F" w:rsidRPr="00FD7B0B" w:rsidRDefault="00621D6F" w:rsidP="00540EC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отчетном периоде изменения в госпрограмму вносились 6 раз постановлениями Правительства АО: от 16.02.2024 № 115-пп, от 08.05.2024 № 354-пп, от 18.07.2024 № 546-пп, от 08.08.2024 № 615-пп, от 23.10.2024 № 871-пп, от 16.12.2024 № 1098-пп.</w:t>
      </w:r>
    </w:p>
    <w:p w14:paraId="30AAE980" w14:textId="5A48FADB" w:rsidR="00621D6F" w:rsidRPr="00FD7B0B" w:rsidRDefault="00621D6F" w:rsidP="00540EC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Постановлением Правительства АО от 18.07.2024 № 546-пп «О внесении изменений в постановление правительства Архангельской области от 16 июля 2013 года № 314-пп» внесено изменение в Положение «О порядке и условиях предоставления гранта в форме субсидии НКО «Фонд целевого капитала Северного (Арктического) федерального университета имени М.В. Ломоносова» на реализацию НОП «Соловецкая летняя школа САФУ: комплексное развитие территории с уникальным природным и историко-культурным наследием».</w:t>
      </w:r>
    </w:p>
    <w:p w14:paraId="27CC9703" w14:textId="77777777" w:rsidR="00621D6F" w:rsidRPr="00FD7B0B" w:rsidRDefault="00621D6F" w:rsidP="00540EC5">
      <w:pPr>
        <w:autoSpaceDE w:val="0"/>
        <w:autoSpaceDN w:val="0"/>
        <w:adjustRightInd w:val="0"/>
        <w:spacing w:after="0" w:line="240" w:lineRule="auto"/>
        <w:ind w:firstLine="709"/>
        <w:jc w:val="both"/>
        <w:rPr>
          <w:rFonts w:ascii="Times New Roman" w:hAnsi="Times New Roman" w:cs="Times New Roman"/>
          <w:sz w:val="28"/>
          <w:szCs w:val="28"/>
        </w:rPr>
      </w:pPr>
      <w:r w:rsidRPr="00FD7B0B">
        <w:rPr>
          <w:rFonts w:ascii="Times New Roman" w:eastAsia="Times New Roman" w:hAnsi="Times New Roman" w:cs="Times New Roman"/>
          <w:sz w:val="28"/>
          <w:szCs w:val="28"/>
          <w:lang w:eastAsia="ru-RU"/>
        </w:rPr>
        <w:t xml:space="preserve">Постановлением от 23.10.2024 № 871-пп исключен «Порядок предоставления и расходования иного межбюджетного трансферта бюджету Приморского муниципального округа АО на благоустройство территории поселка Соловецкое и приобретение уборочной и коммунальной техники» и рекомендовано органам местного самоуправления </w:t>
      </w:r>
      <w:r w:rsidRPr="00FD7B0B">
        <w:rPr>
          <w:rFonts w:ascii="Times New Roman" w:hAnsi="Times New Roman" w:cs="Times New Roman"/>
          <w:sz w:val="28"/>
          <w:szCs w:val="28"/>
        </w:rPr>
        <w:t xml:space="preserve">муниципального образования «Приморский муниципальный район»; МО «Сельское поселение Соловецкое» при формировании бюджетов муниципальных образований ежегодно предусматривать средства на софинансирование мероприятий указанной Программы. Также внесены изменения в основные положения и показатели Паспорта ГП </w:t>
      </w:r>
      <w:r w:rsidRPr="00FD7B0B">
        <w:rPr>
          <w:rFonts w:ascii="Times New Roman" w:eastAsia="Times New Roman" w:hAnsi="Times New Roman" w:cs="Times New Roman"/>
          <w:sz w:val="28"/>
          <w:szCs w:val="28"/>
          <w:lang w:eastAsia="ru-RU"/>
        </w:rPr>
        <w:t>№ 20</w:t>
      </w:r>
      <w:r w:rsidRPr="00FD7B0B">
        <w:rPr>
          <w:rFonts w:ascii="Times New Roman" w:hAnsi="Times New Roman" w:cs="Times New Roman"/>
          <w:sz w:val="28"/>
          <w:szCs w:val="28"/>
        </w:rPr>
        <w:t>.</w:t>
      </w:r>
    </w:p>
    <w:p w14:paraId="6ECA1AD0" w14:textId="5FC8C087" w:rsidR="00621D6F" w:rsidRPr="00FD7B0B" w:rsidRDefault="00621D6F" w:rsidP="00540EC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Постановлениями от 16.02.2024 № 115-пп, от 08.05.2024 № 354-пп, </w:t>
      </w:r>
      <w:r w:rsidRPr="00FD7B0B">
        <w:rPr>
          <w:rFonts w:ascii="Times New Roman" w:eastAsia="Times New Roman" w:hAnsi="Times New Roman" w:cs="Times New Roman"/>
          <w:sz w:val="28"/>
          <w:szCs w:val="28"/>
          <w:lang w:eastAsia="ru-RU"/>
        </w:rPr>
        <w:br/>
        <w:t xml:space="preserve">от 08.08.2024 № 615-пп, от 16.12.2024 № 1098-пп в паспорт ГП № 20 внесены изменения в части общих объемов и источников финансового обеспечения (таблица </w:t>
      </w:r>
      <w:r w:rsidR="006B77CA" w:rsidRPr="00FD7B0B">
        <w:rPr>
          <w:rFonts w:ascii="Times New Roman" w:eastAsia="Times New Roman" w:hAnsi="Times New Roman" w:cs="Times New Roman"/>
          <w:sz w:val="28"/>
          <w:szCs w:val="28"/>
          <w:lang w:eastAsia="ru-RU"/>
        </w:rPr>
        <w:t>201</w:t>
      </w:r>
      <w:r w:rsidRPr="00FD7B0B">
        <w:rPr>
          <w:rFonts w:ascii="Times New Roman" w:eastAsia="Times New Roman" w:hAnsi="Times New Roman" w:cs="Times New Roman"/>
          <w:sz w:val="28"/>
          <w:szCs w:val="28"/>
          <w:lang w:eastAsia="ru-RU"/>
        </w:rPr>
        <w:t>):</w:t>
      </w:r>
    </w:p>
    <w:p w14:paraId="5A739DC3" w14:textId="77777777" w:rsidR="00621D6F" w:rsidRPr="00FD7B0B" w:rsidRDefault="00621D6F" w:rsidP="00540EC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207839F4" w14:textId="78F9CDFA" w:rsidR="00621D6F" w:rsidRPr="00FD7B0B" w:rsidRDefault="00D912EA" w:rsidP="00D912EA">
      <w:pPr>
        <w:autoSpaceDE w:val="0"/>
        <w:autoSpaceDN w:val="0"/>
        <w:adjustRightInd w:val="0"/>
        <w:spacing w:after="0" w:line="240" w:lineRule="auto"/>
        <w:rPr>
          <w:rFonts w:ascii="Times New Roman" w:eastAsia="Times New Roman" w:hAnsi="Times New Roman" w:cs="Times New Roman"/>
          <w:sz w:val="24"/>
          <w:szCs w:val="24"/>
          <w:lang w:eastAsia="ru-RU"/>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201</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621D6F" w:rsidRPr="00FD7B0B">
        <w:rPr>
          <w:rFonts w:ascii="Times New Roman" w:eastAsia="Times New Roman" w:hAnsi="Times New Roman" w:cs="Times New Roman"/>
          <w:sz w:val="24"/>
          <w:szCs w:val="24"/>
          <w:lang w:eastAsia="ru-RU"/>
        </w:rPr>
        <w:t xml:space="preserve">Информация об изменениях объемов финансирования ГП № 20 в течение </w:t>
      </w:r>
      <w:r w:rsidR="00621D6F" w:rsidRPr="00FD7B0B">
        <w:rPr>
          <w:rFonts w:ascii="Times New Roman" w:eastAsia="Times New Roman" w:hAnsi="Times New Roman" w:cs="Times New Roman"/>
          <w:sz w:val="24"/>
          <w:szCs w:val="24"/>
          <w:lang w:eastAsia="ru-RU"/>
        </w:rPr>
        <w:br/>
        <w:t>2024 г.</w:t>
      </w:r>
    </w:p>
    <w:tbl>
      <w:tblPr>
        <w:tblW w:w="9356" w:type="dxa"/>
        <w:tblInd w:w="108" w:type="dxa"/>
        <w:tblLayout w:type="fixed"/>
        <w:tblLook w:val="04A0" w:firstRow="1" w:lastRow="0" w:firstColumn="1" w:lastColumn="0" w:noHBand="0" w:noVBand="1"/>
      </w:tblPr>
      <w:tblGrid>
        <w:gridCol w:w="3402"/>
        <w:gridCol w:w="1418"/>
        <w:gridCol w:w="1559"/>
        <w:gridCol w:w="1559"/>
        <w:gridCol w:w="1418"/>
      </w:tblGrid>
      <w:tr w:rsidR="00FD7B0B" w:rsidRPr="00FD7B0B" w14:paraId="0819CAD5" w14:textId="77777777" w:rsidTr="00621D6F">
        <w:trPr>
          <w:trHeight w:val="136"/>
          <w:tblHeader/>
        </w:trPr>
        <w:tc>
          <w:tcPr>
            <w:tcW w:w="340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F53FFA3" w14:textId="77777777" w:rsidR="00621D6F" w:rsidRPr="00FD7B0B" w:rsidRDefault="00621D6F" w:rsidP="00621D6F">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ГП в редакции постановлений Правительства АО</w:t>
            </w:r>
          </w:p>
        </w:tc>
        <w:tc>
          <w:tcPr>
            <w:tcW w:w="2977" w:type="dxa"/>
            <w:gridSpan w:val="2"/>
            <w:tcBorders>
              <w:top w:val="double" w:sz="6" w:space="0" w:color="auto"/>
              <w:left w:val="nil"/>
              <w:bottom w:val="single" w:sz="4" w:space="0" w:color="auto"/>
              <w:right w:val="single" w:sz="4" w:space="0" w:color="auto"/>
            </w:tcBorders>
            <w:shd w:val="clear" w:color="auto" w:fill="auto"/>
            <w:noWrap/>
            <w:vAlign w:val="center"/>
            <w:hideMark/>
          </w:tcPr>
          <w:p w14:paraId="1482DA52" w14:textId="4536FC82" w:rsidR="00621D6F" w:rsidRPr="00FD7B0B" w:rsidRDefault="00621D6F" w:rsidP="00621D6F">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Объем финансирования,</w:t>
            </w:r>
            <w:r w:rsidRPr="00FD7B0B">
              <w:rPr>
                <w:rFonts w:ascii="Times New Roman" w:eastAsia="Times New Roman" w:hAnsi="Times New Roman" w:cs="Times New Roman"/>
                <w:b/>
                <w:bCs/>
                <w:sz w:val="18"/>
                <w:szCs w:val="18"/>
                <w:lang w:eastAsia="ru-RU"/>
              </w:rPr>
              <w:br/>
              <w:t xml:space="preserve"> млн.руб.</w:t>
            </w:r>
          </w:p>
        </w:tc>
        <w:tc>
          <w:tcPr>
            <w:tcW w:w="2977" w:type="dxa"/>
            <w:gridSpan w:val="2"/>
            <w:tcBorders>
              <w:top w:val="double" w:sz="6" w:space="0" w:color="auto"/>
              <w:left w:val="single" w:sz="4" w:space="0" w:color="auto"/>
              <w:bottom w:val="single" w:sz="4" w:space="0" w:color="auto"/>
              <w:right w:val="double" w:sz="6" w:space="0" w:color="000000"/>
            </w:tcBorders>
            <w:shd w:val="clear" w:color="auto" w:fill="auto"/>
            <w:vAlign w:val="center"/>
            <w:hideMark/>
          </w:tcPr>
          <w:p w14:paraId="7AFE47EA" w14:textId="6981F033" w:rsidR="00621D6F" w:rsidRPr="00FD7B0B" w:rsidRDefault="00621D6F" w:rsidP="00621D6F">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Отклонение от показателей предыдущей редакции, млн.руб.</w:t>
            </w:r>
          </w:p>
        </w:tc>
      </w:tr>
      <w:tr w:rsidR="00FD7B0B" w:rsidRPr="00FD7B0B" w14:paraId="26EB8898" w14:textId="77777777" w:rsidTr="00621D6F">
        <w:trPr>
          <w:trHeight w:val="101"/>
          <w:tblHeader/>
        </w:trPr>
        <w:tc>
          <w:tcPr>
            <w:tcW w:w="3402" w:type="dxa"/>
            <w:vMerge/>
            <w:tcBorders>
              <w:top w:val="double" w:sz="6" w:space="0" w:color="auto"/>
              <w:left w:val="double" w:sz="6" w:space="0" w:color="auto"/>
              <w:bottom w:val="single" w:sz="4" w:space="0" w:color="auto"/>
              <w:right w:val="single" w:sz="4" w:space="0" w:color="auto"/>
            </w:tcBorders>
            <w:vAlign w:val="center"/>
            <w:hideMark/>
          </w:tcPr>
          <w:p w14:paraId="6086F35E" w14:textId="77777777" w:rsidR="00621D6F" w:rsidRPr="00FD7B0B" w:rsidRDefault="00621D6F" w:rsidP="00621D6F">
            <w:pPr>
              <w:spacing w:after="0" w:line="240" w:lineRule="auto"/>
              <w:rPr>
                <w:rFonts w:ascii="Times New Roman" w:eastAsia="Times New Roman" w:hAnsi="Times New Roman" w:cs="Times New Roman"/>
                <w:b/>
                <w:bCs/>
                <w:sz w:val="18"/>
                <w:szCs w:val="18"/>
                <w:lang w:eastAsia="ru-RU"/>
              </w:rPr>
            </w:pPr>
          </w:p>
        </w:tc>
        <w:tc>
          <w:tcPr>
            <w:tcW w:w="1418" w:type="dxa"/>
            <w:tcBorders>
              <w:top w:val="single" w:sz="4" w:space="0" w:color="auto"/>
              <w:left w:val="nil"/>
              <w:bottom w:val="single" w:sz="4" w:space="0" w:color="auto"/>
              <w:right w:val="single" w:sz="4" w:space="0" w:color="auto"/>
            </w:tcBorders>
            <w:shd w:val="clear" w:color="auto" w:fill="auto"/>
            <w:vAlign w:val="center"/>
          </w:tcPr>
          <w:p w14:paraId="34333A83" w14:textId="77777777" w:rsidR="00621D6F" w:rsidRPr="00FD7B0B" w:rsidRDefault="00621D6F" w:rsidP="00621D6F">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КМБ</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2C587381" w14:textId="77777777" w:rsidR="00621D6F" w:rsidRPr="00FD7B0B" w:rsidRDefault="00621D6F" w:rsidP="00621D6F">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ОБ</w:t>
            </w:r>
          </w:p>
        </w:tc>
        <w:tc>
          <w:tcPr>
            <w:tcW w:w="1559" w:type="dxa"/>
            <w:tcBorders>
              <w:top w:val="nil"/>
              <w:left w:val="nil"/>
              <w:bottom w:val="single" w:sz="4" w:space="0" w:color="auto"/>
              <w:right w:val="single" w:sz="4" w:space="0" w:color="auto"/>
            </w:tcBorders>
            <w:shd w:val="clear" w:color="auto" w:fill="auto"/>
            <w:vAlign w:val="center"/>
          </w:tcPr>
          <w:p w14:paraId="5853F361" w14:textId="77777777" w:rsidR="00621D6F" w:rsidRPr="00FD7B0B" w:rsidRDefault="00621D6F" w:rsidP="00621D6F">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КМБ</w:t>
            </w:r>
          </w:p>
        </w:tc>
        <w:tc>
          <w:tcPr>
            <w:tcW w:w="1418" w:type="dxa"/>
            <w:tcBorders>
              <w:top w:val="nil"/>
              <w:left w:val="nil"/>
              <w:bottom w:val="single" w:sz="4" w:space="0" w:color="auto"/>
              <w:right w:val="double" w:sz="6" w:space="0" w:color="auto"/>
            </w:tcBorders>
            <w:shd w:val="clear" w:color="auto" w:fill="auto"/>
            <w:noWrap/>
            <w:vAlign w:val="center"/>
            <w:hideMark/>
          </w:tcPr>
          <w:p w14:paraId="27ACB013" w14:textId="77777777" w:rsidR="00621D6F" w:rsidRPr="00FD7B0B" w:rsidRDefault="00621D6F" w:rsidP="00621D6F">
            <w:pPr>
              <w:spacing w:after="0" w:line="240" w:lineRule="auto"/>
              <w:jc w:val="center"/>
              <w:rPr>
                <w:rFonts w:ascii="Times New Roman" w:eastAsia="Times New Roman" w:hAnsi="Times New Roman" w:cs="Times New Roman"/>
                <w:b/>
                <w:bCs/>
                <w:sz w:val="18"/>
                <w:szCs w:val="18"/>
                <w:lang w:eastAsia="ru-RU"/>
              </w:rPr>
            </w:pPr>
            <w:r w:rsidRPr="00FD7B0B">
              <w:rPr>
                <w:rFonts w:ascii="Times New Roman" w:eastAsia="Times New Roman" w:hAnsi="Times New Roman" w:cs="Times New Roman"/>
                <w:b/>
                <w:bCs/>
                <w:sz w:val="18"/>
                <w:szCs w:val="18"/>
                <w:lang w:eastAsia="ru-RU"/>
              </w:rPr>
              <w:t>ОБ</w:t>
            </w:r>
          </w:p>
        </w:tc>
      </w:tr>
      <w:tr w:rsidR="00FD7B0B" w:rsidRPr="00FD7B0B" w14:paraId="167C56E6" w14:textId="77777777" w:rsidTr="00621D6F">
        <w:trPr>
          <w:trHeight w:val="41"/>
        </w:trPr>
        <w:tc>
          <w:tcPr>
            <w:tcW w:w="3402" w:type="dxa"/>
            <w:tcBorders>
              <w:top w:val="nil"/>
              <w:left w:val="double" w:sz="6" w:space="0" w:color="auto"/>
              <w:bottom w:val="single" w:sz="4" w:space="0" w:color="auto"/>
              <w:right w:val="single" w:sz="4" w:space="0" w:color="auto"/>
            </w:tcBorders>
            <w:shd w:val="clear" w:color="auto" w:fill="auto"/>
            <w:noWrap/>
            <w:vAlign w:val="center"/>
            <w:hideMark/>
          </w:tcPr>
          <w:p w14:paraId="34E3F1D5" w14:textId="77777777" w:rsidR="00621D6F" w:rsidRPr="00FD7B0B" w:rsidRDefault="00621D6F" w:rsidP="00621D6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28.12.2023 № 1369-пп (на 01.01.2024)</w:t>
            </w:r>
          </w:p>
        </w:tc>
        <w:tc>
          <w:tcPr>
            <w:tcW w:w="1418" w:type="dxa"/>
            <w:tcBorders>
              <w:top w:val="nil"/>
              <w:left w:val="nil"/>
              <w:bottom w:val="single" w:sz="4" w:space="0" w:color="auto"/>
              <w:right w:val="single" w:sz="4" w:space="0" w:color="auto"/>
            </w:tcBorders>
            <w:shd w:val="clear" w:color="auto" w:fill="auto"/>
            <w:noWrap/>
            <w:vAlign w:val="center"/>
          </w:tcPr>
          <w:p w14:paraId="27C13E37"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1559" w:type="dxa"/>
            <w:tcBorders>
              <w:top w:val="nil"/>
              <w:left w:val="nil"/>
              <w:bottom w:val="single" w:sz="4" w:space="0" w:color="auto"/>
              <w:right w:val="single" w:sz="4" w:space="0" w:color="auto"/>
            </w:tcBorders>
            <w:shd w:val="clear" w:color="auto" w:fill="auto"/>
            <w:noWrap/>
            <w:vAlign w:val="center"/>
          </w:tcPr>
          <w:p w14:paraId="3B7C828C"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472,9</w:t>
            </w:r>
          </w:p>
        </w:tc>
        <w:tc>
          <w:tcPr>
            <w:tcW w:w="1559" w:type="dxa"/>
            <w:tcBorders>
              <w:top w:val="nil"/>
              <w:left w:val="nil"/>
              <w:bottom w:val="single" w:sz="4" w:space="0" w:color="auto"/>
              <w:right w:val="single" w:sz="4" w:space="0" w:color="auto"/>
            </w:tcBorders>
            <w:shd w:val="clear" w:color="auto" w:fill="auto"/>
            <w:noWrap/>
            <w:vAlign w:val="center"/>
          </w:tcPr>
          <w:p w14:paraId="32A90209"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c>
          <w:tcPr>
            <w:tcW w:w="1418" w:type="dxa"/>
            <w:tcBorders>
              <w:top w:val="nil"/>
              <w:left w:val="nil"/>
              <w:bottom w:val="single" w:sz="4" w:space="0" w:color="auto"/>
              <w:right w:val="double" w:sz="6" w:space="0" w:color="auto"/>
            </w:tcBorders>
            <w:shd w:val="clear" w:color="auto" w:fill="auto"/>
            <w:noWrap/>
            <w:vAlign w:val="center"/>
            <w:hideMark/>
          </w:tcPr>
          <w:p w14:paraId="18BFF08F"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w:t>
            </w:r>
          </w:p>
        </w:tc>
      </w:tr>
      <w:tr w:rsidR="00FD7B0B" w:rsidRPr="00FD7B0B" w14:paraId="22AB572B" w14:textId="77777777" w:rsidTr="00621D6F">
        <w:trPr>
          <w:trHeight w:val="41"/>
        </w:trPr>
        <w:tc>
          <w:tcPr>
            <w:tcW w:w="3402" w:type="dxa"/>
            <w:tcBorders>
              <w:top w:val="nil"/>
              <w:left w:val="double" w:sz="6" w:space="0" w:color="auto"/>
              <w:bottom w:val="single" w:sz="4" w:space="0" w:color="auto"/>
              <w:right w:val="single" w:sz="4" w:space="0" w:color="auto"/>
            </w:tcBorders>
            <w:shd w:val="clear" w:color="auto" w:fill="auto"/>
            <w:noWrap/>
            <w:vAlign w:val="center"/>
            <w:hideMark/>
          </w:tcPr>
          <w:p w14:paraId="3B1E6AD4" w14:textId="77777777" w:rsidR="00621D6F" w:rsidRPr="00FD7B0B" w:rsidRDefault="00621D6F" w:rsidP="00621D6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16.02.2024 № 115-пп</w:t>
            </w:r>
          </w:p>
        </w:tc>
        <w:tc>
          <w:tcPr>
            <w:tcW w:w="1418" w:type="dxa"/>
            <w:tcBorders>
              <w:top w:val="nil"/>
              <w:left w:val="nil"/>
              <w:bottom w:val="single" w:sz="4" w:space="0" w:color="auto"/>
              <w:right w:val="single" w:sz="4" w:space="0" w:color="auto"/>
            </w:tcBorders>
            <w:shd w:val="clear" w:color="auto" w:fill="FFFFFF" w:themeFill="background1"/>
            <w:noWrap/>
            <w:vAlign w:val="center"/>
          </w:tcPr>
          <w:p w14:paraId="18F5267A"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10,8</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0FD1D989"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338,9</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00930DA1"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10,8</w:t>
            </w:r>
          </w:p>
        </w:tc>
        <w:tc>
          <w:tcPr>
            <w:tcW w:w="1418" w:type="dxa"/>
            <w:tcBorders>
              <w:top w:val="nil"/>
              <w:left w:val="nil"/>
              <w:bottom w:val="single" w:sz="4" w:space="0" w:color="auto"/>
              <w:right w:val="double" w:sz="6" w:space="0" w:color="auto"/>
            </w:tcBorders>
            <w:shd w:val="clear" w:color="auto" w:fill="FFFFFF" w:themeFill="background1"/>
            <w:noWrap/>
            <w:vAlign w:val="center"/>
            <w:hideMark/>
          </w:tcPr>
          <w:p w14:paraId="247E7716"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-134,0</w:t>
            </w:r>
          </w:p>
        </w:tc>
      </w:tr>
      <w:tr w:rsidR="00FD7B0B" w:rsidRPr="00FD7B0B" w14:paraId="612B7618" w14:textId="77777777" w:rsidTr="00621D6F">
        <w:trPr>
          <w:trHeight w:val="112"/>
        </w:trPr>
        <w:tc>
          <w:tcPr>
            <w:tcW w:w="3402" w:type="dxa"/>
            <w:tcBorders>
              <w:top w:val="nil"/>
              <w:left w:val="double" w:sz="6" w:space="0" w:color="auto"/>
              <w:bottom w:val="single" w:sz="4" w:space="0" w:color="auto"/>
              <w:right w:val="single" w:sz="4" w:space="0" w:color="auto"/>
            </w:tcBorders>
            <w:shd w:val="clear" w:color="auto" w:fill="auto"/>
            <w:noWrap/>
            <w:vAlign w:val="center"/>
            <w:hideMark/>
          </w:tcPr>
          <w:p w14:paraId="223BD93D" w14:textId="77777777" w:rsidR="00621D6F" w:rsidRPr="00FD7B0B" w:rsidRDefault="00621D6F" w:rsidP="00621D6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08.05.2024 № 354-пп</w:t>
            </w:r>
          </w:p>
        </w:tc>
        <w:tc>
          <w:tcPr>
            <w:tcW w:w="1418" w:type="dxa"/>
            <w:tcBorders>
              <w:top w:val="nil"/>
              <w:left w:val="nil"/>
              <w:bottom w:val="single" w:sz="4" w:space="0" w:color="auto"/>
              <w:right w:val="single" w:sz="4" w:space="0" w:color="auto"/>
            </w:tcBorders>
            <w:shd w:val="clear" w:color="auto" w:fill="FFFFFF" w:themeFill="background1"/>
            <w:noWrap/>
            <w:vAlign w:val="center"/>
          </w:tcPr>
          <w:p w14:paraId="6D09B55D"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10,8</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287F9BD2"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339,0</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4289A03B"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1418" w:type="dxa"/>
            <w:tcBorders>
              <w:top w:val="nil"/>
              <w:left w:val="nil"/>
              <w:bottom w:val="single" w:sz="4" w:space="0" w:color="auto"/>
              <w:right w:val="double" w:sz="6" w:space="0" w:color="auto"/>
            </w:tcBorders>
            <w:shd w:val="clear" w:color="auto" w:fill="FFFFFF" w:themeFill="background1"/>
            <w:noWrap/>
            <w:vAlign w:val="center"/>
          </w:tcPr>
          <w:p w14:paraId="34D4C237"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0,10</w:t>
            </w:r>
          </w:p>
        </w:tc>
      </w:tr>
      <w:tr w:rsidR="00FD7B0B" w:rsidRPr="00FD7B0B" w14:paraId="45AB2C9B" w14:textId="77777777" w:rsidTr="00621D6F">
        <w:trPr>
          <w:trHeight w:val="41"/>
        </w:trPr>
        <w:tc>
          <w:tcPr>
            <w:tcW w:w="3402" w:type="dxa"/>
            <w:tcBorders>
              <w:top w:val="nil"/>
              <w:left w:val="double" w:sz="6" w:space="0" w:color="auto"/>
              <w:bottom w:val="single" w:sz="4" w:space="0" w:color="auto"/>
              <w:right w:val="single" w:sz="4" w:space="0" w:color="auto"/>
            </w:tcBorders>
            <w:shd w:val="clear" w:color="auto" w:fill="auto"/>
            <w:vAlign w:val="center"/>
            <w:hideMark/>
          </w:tcPr>
          <w:p w14:paraId="5B5E66CF" w14:textId="77777777" w:rsidR="00621D6F" w:rsidRPr="00FD7B0B" w:rsidRDefault="00621D6F" w:rsidP="00621D6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08.08.2024 № 615-пп</w:t>
            </w:r>
          </w:p>
        </w:tc>
        <w:tc>
          <w:tcPr>
            <w:tcW w:w="1418" w:type="dxa"/>
            <w:tcBorders>
              <w:top w:val="nil"/>
              <w:left w:val="nil"/>
              <w:bottom w:val="single" w:sz="4" w:space="0" w:color="auto"/>
              <w:right w:val="single" w:sz="4" w:space="0" w:color="auto"/>
            </w:tcBorders>
            <w:shd w:val="clear" w:color="auto" w:fill="FFFFFF" w:themeFill="background1"/>
            <w:noWrap/>
            <w:vAlign w:val="center"/>
          </w:tcPr>
          <w:p w14:paraId="4F9B0936"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10,8</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09BD39AF"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340,6</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3B5A929E"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w:t>
            </w:r>
          </w:p>
        </w:tc>
        <w:tc>
          <w:tcPr>
            <w:tcW w:w="1418" w:type="dxa"/>
            <w:tcBorders>
              <w:top w:val="nil"/>
              <w:left w:val="nil"/>
              <w:bottom w:val="single" w:sz="4" w:space="0" w:color="auto"/>
              <w:right w:val="double" w:sz="6" w:space="0" w:color="auto"/>
            </w:tcBorders>
            <w:shd w:val="clear" w:color="auto" w:fill="FFFFFF" w:themeFill="background1"/>
            <w:noWrap/>
            <w:vAlign w:val="center"/>
          </w:tcPr>
          <w:p w14:paraId="1CB7790A"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1,6</w:t>
            </w:r>
          </w:p>
        </w:tc>
      </w:tr>
      <w:tr w:rsidR="00FD7B0B" w:rsidRPr="00FD7B0B" w14:paraId="0989BC40" w14:textId="77777777" w:rsidTr="00621D6F">
        <w:trPr>
          <w:trHeight w:val="41"/>
        </w:trPr>
        <w:tc>
          <w:tcPr>
            <w:tcW w:w="3402" w:type="dxa"/>
            <w:tcBorders>
              <w:top w:val="nil"/>
              <w:left w:val="double" w:sz="6" w:space="0" w:color="auto"/>
              <w:bottom w:val="single" w:sz="4" w:space="0" w:color="auto"/>
              <w:right w:val="single" w:sz="4" w:space="0" w:color="auto"/>
            </w:tcBorders>
            <w:shd w:val="clear" w:color="auto" w:fill="auto"/>
            <w:vAlign w:val="center"/>
          </w:tcPr>
          <w:p w14:paraId="52DB0415" w14:textId="77777777" w:rsidR="00621D6F" w:rsidRPr="00FD7B0B" w:rsidRDefault="00621D6F" w:rsidP="00621D6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 16.12.2024 № 1098-пп</w:t>
            </w:r>
          </w:p>
        </w:tc>
        <w:tc>
          <w:tcPr>
            <w:tcW w:w="1418" w:type="dxa"/>
            <w:tcBorders>
              <w:top w:val="nil"/>
              <w:left w:val="nil"/>
              <w:bottom w:val="single" w:sz="4" w:space="0" w:color="auto"/>
              <w:right w:val="single" w:sz="4" w:space="0" w:color="auto"/>
            </w:tcBorders>
            <w:shd w:val="clear" w:color="auto" w:fill="FFFFFF" w:themeFill="background1"/>
            <w:noWrap/>
            <w:vAlign w:val="center"/>
          </w:tcPr>
          <w:p w14:paraId="3738884D"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8,8</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0ED1B051"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342,7</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1D65CBB3"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w:t>
            </w:r>
          </w:p>
        </w:tc>
        <w:tc>
          <w:tcPr>
            <w:tcW w:w="1418" w:type="dxa"/>
            <w:tcBorders>
              <w:top w:val="nil"/>
              <w:left w:val="nil"/>
              <w:bottom w:val="single" w:sz="4" w:space="0" w:color="auto"/>
              <w:right w:val="double" w:sz="6" w:space="0" w:color="auto"/>
            </w:tcBorders>
            <w:shd w:val="clear" w:color="auto" w:fill="FFFFFF" w:themeFill="background1"/>
            <w:noWrap/>
            <w:vAlign w:val="center"/>
          </w:tcPr>
          <w:p w14:paraId="65445550"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2,1</w:t>
            </w:r>
          </w:p>
        </w:tc>
      </w:tr>
      <w:tr w:rsidR="00621D6F" w:rsidRPr="00FD7B0B" w14:paraId="6B922EB0" w14:textId="77777777" w:rsidTr="00D912EA">
        <w:trPr>
          <w:trHeight w:val="41"/>
        </w:trPr>
        <w:tc>
          <w:tcPr>
            <w:tcW w:w="6379" w:type="dxa"/>
            <w:gridSpan w:val="3"/>
            <w:tcBorders>
              <w:top w:val="single" w:sz="4" w:space="0" w:color="auto"/>
              <w:left w:val="double" w:sz="6" w:space="0" w:color="auto"/>
              <w:bottom w:val="double" w:sz="6" w:space="0" w:color="auto"/>
              <w:right w:val="single" w:sz="4" w:space="0" w:color="000000"/>
            </w:tcBorders>
            <w:shd w:val="clear" w:color="auto" w:fill="auto"/>
            <w:noWrap/>
            <w:vAlign w:val="bottom"/>
            <w:hideMark/>
          </w:tcPr>
          <w:p w14:paraId="0407A318" w14:textId="77777777" w:rsidR="00621D6F" w:rsidRPr="00FD7B0B" w:rsidRDefault="00621D6F" w:rsidP="00621D6F">
            <w:pPr>
              <w:spacing w:after="0" w:line="240" w:lineRule="auto"/>
              <w:jc w:val="right"/>
              <w:rPr>
                <w:rFonts w:ascii="Times New Roman" w:eastAsia="Times New Roman" w:hAnsi="Times New Roman" w:cs="Times New Roman"/>
                <w:b/>
                <w:lang w:eastAsia="ru-RU"/>
              </w:rPr>
            </w:pPr>
            <w:r w:rsidRPr="00FD7B0B">
              <w:rPr>
                <w:rFonts w:ascii="Times New Roman" w:eastAsia="Times New Roman" w:hAnsi="Times New Roman" w:cs="Times New Roman"/>
                <w:b/>
                <w:lang w:eastAsia="ru-RU"/>
              </w:rPr>
              <w:t>ИТОГО:</w:t>
            </w:r>
          </w:p>
        </w:tc>
        <w:tc>
          <w:tcPr>
            <w:tcW w:w="1559" w:type="dxa"/>
            <w:tcBorders>
              <w:top w:val="nil"/>
              <w:left w:val="nil"/>
              <w:bottom w:val="double" w:sz="6" w:space="0" w:color="auto"/>
              <w:right w:val="single" w:sz="4" w:space="0" w:color="auto"/>
            </w:tcBorders>
            <w:shd w:val="clear" w:color="auto" w:fill="auto"/>
            <w:noWrap/>
            <w:vAlign w:val="center"/>
          </w:tcPr>
          <w:p w14:paraId="340879E8"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8,8</w:t>
            </w:r>
          </w:p>
        </w:tc>
        <w:tc>
          <w:tcPr>
            <w:tcW w:w="1418" w:type="dxa"/>
            <w:tcBorders>
              <w:top w:val="nil"/>
              <w:left w:val="nil"/>
              <w:bottom w:val="double" w:sz="6" w:space="0" w:color="auto"/>
              <w:right w:val="double" w:sz="6" w:space="0" w:color="auto"/>
            </w:tcBorders>
            <w:shd w:val="clear" w:color="auto" w:fill="auto"/>
            <w:noWrap/>
            <w:vAlign w:val="center"/>
            <w:hideMark/>
          </w:tcPr>
          <w:p w14:paraId="443976DF"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-130,2</w:t>
            </w:r>
          </w:p>
        </w:tc>
      </w:tr>
    </w:tbl>
    <w:p w14:paraId="6216026F" w14:textId="77777777" w:rsidR="00621D6F" w:rsidRPr="00FD7B0B" w:rsidRDefault="00621D6F" w:rsidP="00621D6F">
      <w:pPr>
        <w:spacing w:after="0" w:line="320" w:lineRule="atLeast"/>
        <w:ind w:firstLine="709"/>
        <w:jc w:val="both"/>
        <w:rPr>
          <w:rFonts w:ascii="Times New Roman" w:eastAsia="Times New Roman" w:hAnsi="Times New Roman" w:cs="Times New Roman"/>
          <w:sz w:val="28"/>
          <w:szCs w:val="28"/>
          <w:lang w:eastAsia="ru-RU"/>
        </w:rPr>
      </w:pPr>
    </w:p>
    <w:p w14:paraId="016836C4" w14:textId="492C7054" w:rsidR="00621D6F" w:rsidRPr="00FD7B0B" w:rsidRDefault="00621D6F" w:rsidP="00621D6F">
      <w:pPr>
        <w:spacing w:after="0" w:line="320" w:lineRule="atLeast"/>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Информация об изменении объемов финансирования КПМ в разрезе участников ГП характеризуется следующими показателями (таблица </w:t>
      </w:r>
      <w:r w:rsidR="006B77CA" w:rsidRPr="00FD7B0B">
        <w:rPr>
          <w:rFonts w:ascii="Times New Roman" w:eastAsia="Times New Roman" w:hAnsi="Times New Roman" w:cs="Times New Roman"/>
          <w:sz w:val="28"/>
          <w:szCs w:val="28"/>
          <w:lang w:eastAsia="ru-RU"/>
        </w:rPr>
        <w:t>202</w:t>
      </w:r>
      <w:r w:rsidRPr="00FD7B0B">
        <w:rPr>
          <w:rFonts w:ascii="Times New Roman" w:eastAsia="Times New Roman" w:hAnsi="Times New Roman" w:cs="Times New Roman"/>
          <w:sz w:val="28"/>
          <w:szCs w:val="28"/>
          <w:lang w:eastAsia="ru-RU"/>
        </w:rPr>
        <w:t>):</w:t>
      </w:r>
    </w:p>
    <w:p w14:paraId="1609B9E6" w14:textId="77777777" w:rsidR="00621D6F" w:rsidRPr="00FD7B0B" w:rsidRDefault="00621D6F" w:rsidP="00621D6F">
      <w:pPr>
        <w:keepNext/>
        <w:spacing w:after="0" w:line="240" w:lineRule="auto"/>
        <w:jc w:val="both"/>
        <w:rPr>
          <w:rFonts w:ascii="Times New Roman" w:eastAsia="Calibri" w:hAnsi="Times New Roman" w:cs="Times New Roman"/>
          <w:bCs/>
          <w:sz w:val="24"/>
          <w:szCs w:val="24"/>
          <w:highlight w:val="cyan"/>
        </w:rPr>
      </w:pPr>
    </w:p>
    <w:p w14:paraId="7E87A78A" w14:textId="48A4873A" w:rsidR="00621D6F" w:rsidRPr="00FD7B0B" w:rsidRDefault="000C205B" w:rsidP="000C205B">
      <w:pPr>
        <w:keepNext/>
        <w:spacing w:after="0" w:line="240" w:lineRule="auto"/>
        <w:rPr>
          <w:rFonts w:ascii="Times New Roman" w:eastAsia="Calibri" w:hAnsi="Times New Roman" w:cs="Times New Roman"/>
          <w:bCs/>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202</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621D6F" w:rsidRPr="00FD7B0B">
        <w:rPr>
          <w:rFonts w:ascii="Times New Roman" w:eastAsia="Calibri" w:hAnsi="Times New Roman" w:cs="Times New Roman"/>
          <w:bCs/>
          <w:sz w:val="24"/>
          <w:szCs w:val="24"/>
        </w:rPr>
        <w:t xml:space="preserve">Информация об изменении объемов финансирования КПМ «Развитие инфраструктуры Соловецкого архипелага» в разрезе участников ГП, </w:t>
      </w:r>
      <w:r w:rsidR="000560EB" w:rsidRPr="00FD7B0B">
        <w:rPr>
          <w:rFonts w:ascii="Times New Roman" w:eastAsia="Calibri" w:hAnsi="Times New Roman" w:cs="Times New Roman"/>
          <w:bCs/>
          <w:sz w:val="24"/>
          <w:szCs w:val="24"/>
        </w:rPr>
        <w:t>млн.руб.</w:t>
      </w:r>
    </w:p>
    <w:tbl>
      <w:tblPr>
        <w:tblStyle w:val="a7"/>
        <w:tblW w:w="9554" w:type="dxa"/>
        <w:tblInd w:w="-15"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563"/>
        <w:gridCol w:w="2287"/>
        <w:gridCol w:w="1842"/>
        <w:gridCol w:w="1011"/>
        <w:gridCol w:w="851"/>
      </w:tblGrid>
      <w:tr w:rsidR="00FD7B0B" w:rsidRPr="00FD7B0B" w14:paraId="0CA09A2A" w14:textId="77777777" w:rsidTr="000C205B">
        <w:trPr>
          <w:tblHeader/>
        </w:trPr>
        <w:tc>
          <w:tcPr>
            <w:tcW w:w="3563" w:type="dxa"/>
            <w:vMerge w:val="restart"/>
          </w:tcPr>
          <w:p w14:paraId="35336417" w14:textId="77777777" w:rsidR="00621D6F" w:rsidRPr="00FD7B0B" w:rsidRDefault="00621D6F" w:rsidP="00621D6F">
            <w:pPr>
              <w:contextualSpacing/>
              <w:jc w:val="center"/>
              <w:rPr>
                <w:rFonts w:ascii="Times New Roman" w:eastAsia="Times New Roman" w:hAnsi="Times New Roman"/>
                <w:b/>
                <w:sz w:val="18"/>
                <w:szCs w:val="18"/>
              </w:rPr>
            </w:pPr>
          </w:p>
          <w:p w14:paraId="0F938779" w14:textId="77777777" w:rsidR="00621D6F" w:rsidRPr="00FD7B0B" w:rsidRDefault="00621D6F" w:rsidP="00621D6F">
            <w:pPr>
              <w:contextualSpacing/>
              <w:jc w:val="center"/>
              <w:rPr>
                <w:rFonts w:ascii="Times New Roman" w:eastAsia="Times New Roman" w:hAnsi="Times New Roman"/>
                <w:b/>
                <w:sz w:val="18"/>
                <w:szCs w:val="18"/>
              </w:rPr>
            </w:pPr>
            <w:r w:rsidRPr="00FD7B0B">
              <w:rPr>
                <w:rFonts w:ascii="Times New Roman" w:eastAsia="Times New Roman" w:hAnsi="Times New Roman"/>
                <w:b/>
                <w:sz w:val="18"/>
                <w:szCs w:val="18"/>
              </w:rPr>
              <w:t>Участник ГП</w:t>
            </w:r>
          </w:p>
        </w:tc>
        <w:tc>
          <w:tcPr>
            <w:tcW w:w="2287" w:type="dxa"/>
            <w:vMerge w:val="restart"/>
          </w:tcPr>
          <w:p w14:paraId="29C0DA84" w14:textId="77777777" w:rsidR="00621D6F" w:rsidRPr="00FD7B0B" w:rsidRDefault="00621D6F" w:rsidP="00621D6F">
            <w:pPr>
              <w:contextualSpacing/>
              <w:jc w:val="center"/>
              <w:rPr>
                <w:rFonts w:ascii="Times New Roman" w:eastAsia="Times New Roman" w:hAnsi="Times New Roman"/>
                <w:b/>
                <w:sz w:val="18"/>
                <w:szCs w:val="18"/>
              </w:rPr>
            </w:pPr>
            <w:r w:rsidRPr="00FD7B0B">
              <w:rPr>
                <w:rFonts w:ascii="Times New Roman" w:eastAsia="Times New Roman" w:hAnsi="Times New Roman"/>
                <w:b/>
                <w:sz w:val="18"/>
                <w:szCs w:val="18"/>
              </w:rPr>
              <w:t xml:space="preserve">Распоряжение агентства </w:t>
            </w:r>
          </w:p>
          <w:p w14:paraId="668BBE36" w14:textId="77777777" w:rsidR="00621D6F" w:rsidRPr="00FD7B0B" w:rsidRDefault="00621D6F" w:rsidP="00621D6F">
            <w:pPr>
              <w:contextualSpacing/>
              <w:jc w:val="center"/>
              <w:rPr>
                <w:rFonts w:ascii="Times New Roman" w:eastAsia="Times New Roman" w:hAnsi="Times New Roman"/>
                <w:b/>
                <w:sz w:val="18"/>
                <w:szCs w:val="18"/>
              </w:rPr>
            </w:pPr>
            <w:r w:rsidRPr="00FD7B0B">
              <w:rPr>
                <w:rFonts w:ascii="Times New Roman" w:eastAsia="Times New Roman" w:hAnsi="Times New Roman"/>
                <w:b/>
                <w:sz w:val="18"/>
                <w:szCs w:val="18"/>
              </w:rPr>
              <w:t xml:space="preserve"> от 27.12.2023</w:t>
            </w:r>
          </w:p>
          <w:p w14:paraId="1A0D09AB" w14:textId="77777777" w:rsidR="00621D6F" w:rsidRPr="00FD7B0B" w:rsidRDefault="00621D6F" w:rsidP="00621D6F">
            <w:pPr>
              <w:contextualSpacing/>
              <w:jc w:val="center"/>
              <w:rPr>
                <w:rFonts w:ascii="Times New Roman" w:eastAsia="Times New Roman" w:hAnsi="Times New Roman"/>
                <w:b/>
                <w:sz w:val="18"/>
                <w:szCs w:val="18"/>
              </w:rPr>
            </w:pPr>
            <w:r w:rsidRPr="00FD7B0B">
              <w:rPr>
                <w:rFonts w:ascii="Times New Roman" w:eastAsia="Times New Roman" w:hAnsi="Times New Roman"/>
                <w:b/>
                <w:sz w:val="18"/>
                <w:szCs w:val="18"/>
              </w:rPr>
              <w:t xml:space="preserve"> № 11-р</w:t>
            </w:r>
          </w:p>
        </w:tc>
        <w:tc>
          <w:tcPr>
            <w:tcW w:w="1842" w:type="dxa"/>
            <w:vMerge w:val="restart"/>
          </w:tcPr>
          <w:p w14:paraId="013895C1" w14:textId="476AAA3F" w:rsidR="00621D6F" w:rsidRPr="00FD7B0B" w:rsidRDefault="00621D6F" w:rsidP="000C205B">
            <w:pPr>
              <w:contextualSpacing/>
              <w:jc w:val="center"/>
              <w:rPr>
                <w:rFonts w:ascii="Times New Roman" w:eastAsia="Times New Roman" w:hAnsi="Times New Roman"/>
                <w:b/>
                <w:sz w:val="18"/>
                <w:szCs w:val="18"/>
              </w:rPr>
            </w:pPr>
            <w:r w:rsidRPr="00FD7B0B">
              <w:rPr>
                <w:rFonts w:ascii="Times New Roman" w:eastAsia="Times New Roman" w:hAnsi="Times New Roman"/>
                <w:b/>
                <w:sz w:val="18"/>
                <w:szCs w:val="18"/>
              </w:rPr>
              <w:t xml:space="preserve">Распоряжение агентства </w:t>
            </w:r>
            <w:r w:rsidR="000C205B" w:rsidRPr="00FD7B0B">
              <w:rPr>
                <w:rFonts w:ascii="Times New Roman" w:eastAsia="Times New Roman" w:hAnsi="Times New Roman"/>
                <w:b/>
                <w:sz w:val="18"/>
                <w:szCs w:val="18"/>
              </w:rPr>
              <w:t>о</w:t>
            </w:r>
            <w:r w:rsidRPr="00FD7B0B">
              <w:rPr>
                <w:rFonts w:ascii="Times New Roman" w:eastAsia="Times New Roman" w:hAnsi="Times New Roman"/>
                <w:b/>
                <w:sz w:val="18"/>
                <w:szCs w:val="18"/>
              </w:rPr>
              <w:t>т 28.12.2024 № 20-р</w:t>
            </w:r>
          </w:p>
        </w:tc>
        <w:tc>
          <w:tcPr>
            <w:tcW w:w="1862" w:type="dxa"/>
            <w:gridSpan w:val="2"/>
          </w:tcPr>
          <w:p w14:paraId="72D5BC2A" w14:textId="77777777" w:rsidR="00621D6F" w:rsidRPr="00FD7B0B" w:rsidRDefault="00621D6F" w:rsidP="00621D6F">
            <w:pPr>
              <w:contextualSpacing/>
              <w:jc w:val="center"/>
              <w:rPr>
                <w:rFonts w:ascii="Times New Roman" w:eastAsia="Times New Roman" w:hAnsi="Times New Roman"/>
                <w:b/>
                <w:sz w:val="18"/>
                <w:szCs w:val="18"/>
              </w:rPr>
            </w:pPr>
            <w:r w:rsidRPr="00FD7B0B">
              <w:rPr>
                <w:rFonts w:ascii="Times New Roman" w:eastAsia="Times New Roman" w:hAnsi="Times New Roman"/>
                <w:b/>
                <w:sz w:val="18"/>
                <w:szCs w:val="18"/>
              </w:rPr>
              <w:t>Изменения (+/-)</w:t>
            </w:r>
          </w:p>
        </w:tc>
      </w:tr>
      <w:tr w:rsidR="00FD7B0B" w:rsidRPr="00FD7B0B" w14:paraId="3FB53AD4" w14:textId="77777777" w:rsidTr="000C205B">
        <w:trPr>
          <w:tblHeader/>
        </w:trPr>
        <w:tc>
          <w:tcPr>
            <w:tcW w:w="3563" w:type="dxa"/>
            <w:vMerge/>
          </w:tcPr>
          <w:p w14:paraId="0846E280" w14:textId="77777777" w:rsidR="00621D6F" w:rsidRPr="00FD7B0B" w:rsidRDefault="00621D6F" w:rsidP="00621D6F">
            <w:pPr>
              <w:contextualSpacing/>
              <w:jc w:val="center"/>
              <w:rPr>
                <w:rFonts w:ascii="Times New Roman" w:eastAsia="Times New Roman" w:hAnsi="Times New Roman"/>
                <w:b/>
                <w:sz w:val="18"/>
                <w:szCs w:val="18"/>
              </w:rPr>
            </w:pPr>
          </w:p>
        </w:tc>
        <w:tc>
          <w:tcPr>
            <w:tcW w:w="2287" w:type="dxa"/>
            <w:vMerge/>
          </w:tcPr>
          <w:p w14:paraId="226C068B" w14:textId="77777777" w:rsidR="00621D6F" w:rsidRPr="00FD7B0B" w:rsidRDefault="00621D6F" w:rsidP="00621D6F">
            <w:pPr>
              <w:contextualSpacing/>
              <w:jc w:val="center"/>
              <w:rPr>
                <w:rFonts w:ascii="Times New Roman" w:eastAsia="Times New Roman" w:hAnsi="Times New Roman"/>
                <w:b/>
                <w:sz w:val="18"/>
                <w:szCs w:val="18"/>
              </w:rPr>
            </w:pPr>
          </w:p>
        </w:tc>
        <w:tc>
          <w:tcPr>
            <w:tcW w:w="1842" w:type="dxa"/>
            <w:vMerge/>
          </w:tcPr>
          <w:p w14:paraId="2543C542" w14:textId="77777777" w:rsidR="00621D6F" w:rsidRPr="00FD7B0B" w:rsidRDefault="00621D6F" w:rsidP="00621D6F">
            <w:pPr>
              <w:contextualSpacing/>
              <w:jc w:val="center"/>
              <w:rPr>
                <w:rFonts w:ascii="Times New Roman" w:eastAsia="Times New Roman" w:hAnsi="Times New Roman"/>
                <w:b/>
                <w:sz w:val="18"/>
                <w:szCs w:val="18"/>
              </w:rPr>
            </w:pPr>
          </w:p>
        </w:tc>
        <w:tc>
          <w:tcPr>
            <w:tcW w:w="1011" w:type="dxa"/>
            <w:vAlign w:val="center"/>
          </w:tcPr>
          <w:p w14:paraId="33F348BF" w14:textId="61672608" w:rsidR="00621D6F" w:rsidRPr="00FD7B0B" w:rsidRDefault="00621D6F" w:rsidP="00621D6F">
            <w:pPr>
              <w:contextualSpacing/>
              <w:jc w:val="center"/>
              <w:rPr>
                <w:rFonts w:ascii="Times New Roman" w:eastAsia="Times New Roman" w:hAnsi="Times New Roman"/>
                <w:b/>
                <w:sz w:val="18"/>
                <w:szCs w:val="18"/>
              </w:rPr>
            </w:pPr>
            <w:r w:rsidRPr="00FD7B0B">
              <w:rPr>
                <w:rFonts w:ascii="Times New Roman" w:eastAsia="Times New Roman" w:hAnsi="Times New Roman"/>
                <w:b/>
                <w:sz w:val="18"/>
                <w:szCs w:val="18"/>
              </w:rPr>
              <w:t>млн.руб.</w:t>
            </w:r>
          </w:p>
        </w:tc>
        <w:tc>
          <w:tcPr>
            <w:tcW w:w="851" w:type="dxa"/>
            <w:vAlign w:val="center"/>
          </w:tcPr>
          <w:p w14:paraId="173AA413" w14:textId="77777777" w:rsidR="00621D6F" w:rsidRPr="00FD7B0B" w:rsidRDefault="00621D6F" w:rsidP="00621D6F">
            <w:pPr>
              <w:contextualSpacing/>
              <w:jc w:val="center"/>
              <w:rPr>
                <w:rFonts w:ascii="Times New Roman" w:eastAsia="Times New Roman" w:hAnsi="Times New Roman"/>
                <w:b/>
                <w:sz w:val="18"/>
                <w:szCs w:val="18"/>
              </w:rPr>
            </w:pPr>
            <w:r w:rsidRPr="00FD7B0B">
              <w:rPr>
                <w:rFonts w:ascii="Times New Roman" w:eastAsia="Times New Roman" w:hAnsi="Times New Roman"/>
                <w:b/>
                <w:sz w:val="18"/>
                <w:szCs w:val="18"/>
              </w:rPr>
              <w:t xml:space="preserve">% </w:t>
            </w:r>
          </w:p>
        </w:tc>
      </w:tr>
      <w:tr w:rsidR="00FD7B0B" w:rsidRPr="00FD7B0B" w14:paraId="64D3F851" w14:textId="77777777" w:rsidTr="000C205B">
        <w:tc>
          <w:tcPr>
            <w:tcW w:w="3563" w:type="dxa"/>
          </w:tcPr>
          <w:p w14:paraId="269EAD43" w14:textId="77777777" w:rsidR="00621D6F" w:rsidRPr="00FD7B0B" w:rsidRDefault="00621D6F" w:rsidP="00621D6F">
            <w:pPr>
              <w:contextualSpacing/>
              <w:rPr>
                <w:rFonts w:ascii="Times New Roman" w:eastAsia="Times New Roman" w:hAnsi="Times New Roman"/>
                <w:sz w:val="18"/>
                <w:szCs w:val="18"/>
              </w:rPr>
            </w:pPr>
            <w:r w:rsidRPr="00FD7B0B">
              <w:rPr>
                <w:rFonts w:ascii="Times New Roman" w:eastAsia="Times New Roman" w:hAnsi="Times New Roman"/>
                <w:sz w:val="18"/>
                <w:szCs w:val="18"/>
              </w:rPr>
              <w:t>Минстрой АО (019)</w:t>
            </w:r>
          </w:p>
        </w:tc>
        <w:tc>
          <w:tcPr>
            <w:tcW w:w="2287" w:type="dxa"/>
          </w:tcPr>
          <w:p w14:paraId="30699970" w14:textId="77777777" w:rsidR="00621D6F" w:rsidRPr="00FD7B0B" w:rsidRDefault="00621D6F" w:rsidP="00621D6F">
            <w:pPr>
              <w:jc w:val="center"/>
              <w:rPr>
                <w:rFonts w:ascii="Times New Roman" w:hAnsi="Times New Roman"/>
              </w:rPr>
            </w:pPr>
            <w:r w:rsidRPr="00FD7B0B">
              <w:rPr>
                <w:rFonts w:ascii="Times New Roman" w:hAnsi="Times New Roman"/>
              </w:rPr>
              <w:t>300,0 (ОБ)</w:t>
            </w:r>
          </w:p>
        </w:tc>
        <w:tc>
          <w:tcPr>
            <w:tcW w:w="1842" w:type="dxa"/>
          </w:tcPr>
          <w:p w14:paraId="5E303D12" w14:textId="77777777" w:rsidR="00621D6F" w:rsidRPr="00FD7B0B" w:rsidRDefault="00621D6F" w:rsidP="00621D6F">
            <w:pPr>
              <w:jc w:val="center"/>
              <w:rPr>
                <w:rFonts w:ascii="Times New Roman" w:hAnsi="Times New Roman"/>
              </w:rPr>
            </w:pPr>
            <w:r w:rsidRPr="00FD7B0B">
              <w:rPr>
                <w:rFonts w:ascii="Times New Roman" w:hAnsi="Times New Roman"/>
              </w:rPr>
              <w:t>311,3(ОБ)</w:t>
            </w:r>
          </w:p>
        </w:tc>
        <w:tc>
          <w:tcPr>
            <w:tcW w:w="1011" w:type="dxa"/>
          </w:tcPr>
          <w:p w14:paraId="7BA3BE24" w14:textId="77777777" w:rsidR="00621D6F" w:rsidRPr="00FD7B0B" w:rsidRDefault="00621D6F" w:rsidP="00621D6F">
            <w:pPr>
              <w:jc w:val="center"/>
              <w:rPr>
                <w:rFonts w:ascii="Times New Roman" w:hAnsi="Times New Roman"/>
              </w:rPr>
            </w:pPr>
            <w:r w:rsidRPr="00FD7B0B">
              <w:rPr>
                <w:rFonts w:ascii="Times New Roman" w:hAnsi="Times New Roman"/>
              </w:rPr>
              <w:t>11,3</w:t>
            </w:r>
          </w:p>
        </w:tc>
        <w:tc>
          <w:tcPr>
            <w:tcW w:w="851" w:type="dxa"/>
            <w:vAlign w:val="bottom"/>
          </w:tcPr>
          <w:p w14:paraId="53C26CC7" w14:textId="77777777" w:rsidR="00621D6F" w:rsidRPr="00FD7B0B" w:rsidRDefault="00621D6F" w:rsidP="00621D6F">
            <w:pPr>
              <w:contextualSpacing/>
              <w:jc w:val="center"/>
              <w:rPr>
                <w:rFonts w:ascii="Times New Roman" w:eastAsia="Times New Roman" w:hAnsi="Times New Roman"/>
                <w:sz w:val="18"/>
                <w:szCs w:val="18"/>
              </w:rPr>
            </w:pPr>
            <w:r w:rsidRPr="00FD7B0B">
              <w:rPr>
                <w:rFonts w:ascii="Times New Roman" w:eastAsia="Times New Roman" w:hAnsi="Times New Roman"/>
                <w:sz w:val="18"/>
                <w:szCs w:val="18"/>
              </w:rPr>
              <w:t>3,8</w:t>
            </w:r>
          </w:p>
        </w:tc>
      </w:tr>
      <w:tr w:rsidR="00FD7B0B" w:rsidRPr="00FD7B0B" w14:paraId="3C4C74EE" w14:textId="77777777" w:rsidTr="000C205B">
        <w:tc>
          <w:tcPr>
            <w:tcW w:w="3563" w:type="dxa"/>
          </w:tcPr>
          <w:p w14:paraId="32EA1617" w14:textId="77777777" w:rsidR="00621D6F" w:rsidRPr="00FD7B0B" w:rsidRDefault="00621D6F" w:rsidP="00621D6F">
            <w:pPr>
              <w:contextualSpacing/>
              <w:rPr>
                <w:rFonts w:ascii="Times New Roman" w:eastAsia="Times New Roman" w:hAnsi="Times New Roman"/>
                <w:sz w:val="18"/>
                <w:szCs w:val="18"/>
              </w:rPr>
            </w:pPr>
            <w:r w:rsidRPr="00FD7B0B">
              <w:rPr>
                <w:rFonts w:ascii="Times New Roman" w:eastAsia="Times New Roman" w:hAnsi="Times New Roman"/>
                <w:sz w:val="18"/>
                <w:szCs w:val="18"/>
              </w:rPr>
              <w:t>Агентство по развитию Соловецкого архипелага (349)</w:t>
            </w:r>
          </w:p>
        </w:tc>
        <w:tc>
          <w:tcPr>
            <w:tcW w:w="2287" w:type="dxa"/>
          </w:tcPr>
          <w:p w14:paraId="595E41F3" w14:textId="77777777" w:rsidR="00621D6F" w:rsidRPr="00FD7B0B" w:rsidRDefault="00621D6F" w:rsidP="00621D6F">
            <w:pPr>
              <w:jc w:val="center"/>
              <w:rPr>
                <w:rFonts w:ascii="Times New Roman" w:hAnsi="Times New Roman"/>
              </w:rPr>
            </w:pPr>
            <w:r w:rsidRPr="00FD7B0B">
              <w:rPr>
                <w:rFonts w:ascii="Times New Roman" w:hAnsi="Times New Roman"/>
              </w:rPr>
              <w:t>36,9 (ОБ)</w:t>
            </w:r>
          </w:p>
        </w:tc>
        <w:tc>
          <w:tcPr>
            <w:tcW w:w="1842" w:type="dxa"/>
          </w:tcPr>
          <w:p w14:paraId="10150011" w14:textId="77777777" w:rsidR="00621D6F" w:rsidRPr="00FD7B0B" w:rsidRDefault="00621D6F" w:rsidP="00621D6F">
            <w:pPr>
              <w:jc w:val="center"/>
              <w:rPr>
                <w:rFonts w:ascii="Times New Roman" w:hAnsi="Times New Roman"/>
              </w:rPr>
            </w:pPr>
            <w:r w:rsidRPr="00FD7B0B">
              <w:rPr>
                <w:rFonts w:ascii="Times New Roman" w:hAnsi="Times New Roman"/>
              </w:rPr>
              <w:t>28,3 (ОБ)</w:t>
            </w:r>
          </w:p>
        </w:tc>
        <w:tc>
          <w:tcPr>
            <w:tcW w:w="1011" w:type="dxa"/>
          </w:tcPr>
          <w:p w14:paraId="10B03829" w14:textId="77777777" w:rsidR="00621D6F" w:rsidRPr="00FD7B0B" w:rsidRDefault="00621D6F" w:rsidP="00621D6F">
            <w:pPr>
              <w:jc w:val="center"/>
              <w:rPr>
                <w:rFonts w:ascii="Times New Roman" w:hAnsi="Times New Roman"/>
              </w:rPr>
            </w:pPr>
            <w:r w:rsidRPr="00FD7B0B">
              <w:rPr>
                <w:rFonts w:ascii="Times New Roman" w:hAnsi="Times New Roman"/>
              </w:rPr>
              <w:t>-8,6</w:t>
            </w:r>
          </w:p>
        </w:tc>
        <w:tc>
          <w:tcPr>
            <w:tcW w:w="851" w:type="dxa"/>
          </w:tcPr>
          <w:p w14:paraId="53674846" w14:textId="77777777" w:rsidR="00621D6F" w:rsidRPr="00FD7B0B" w:rsidRDefault="00621D6F" w:rsidP="00621D6F">
            <w:pPr>
              <w:jc w:val="center"/>
              <w:rPr>
                <w:rFonts w:ascii="Times New Roman" w:hAnsi="Times New Roman"/>
              </w:rPr>
            </w:pPr>
            <w:r w:rsidRPr="00FD7B0B">
              <w:rPr>
                <w:rFonts w:ascii="Times New Roman" w:hAnsi="Times New Roman"/>
              </w:rPr>
              <w:t>-23,3</w:t>
            </w:r>
          </w:p>
        </w:tc>
      </w:tr>
      <w:tr w:rsidR="00FD7B0B" w:rsidRPr="00FD7B0B" w14:paraId="785CF0AA" w14:textId="77777777" w:rsidTr="000C205B">
        <w:tc>
          <w:tcPr>
            <w:tcW w:w="3563" w:type="dxa"/>
          </w:tcPr>
          <w:p w14:paraId="5C2E9D95" w14:textId="77777777" w:rsidR="00621D6F" w:rsidRPr="00FD7B0B" w:rsidRDefault="00621D6F" w:rsidP="00621D6F">
            <w:pPr>
              <w:contextualSpacing/>
              <w:rPr>
                <w:rFonts w:ascii="Times New Roman" w:eastAsia="Times New Roman" w:hAnsi="Times New Roman"/>
                <w:b/>
                <w:sz w:val="18"/>
                <w:szCs w:val="18"/>
              </w:rPr>
            </w:pPr>
            <w:r w:rsidRPr="00FD7B0B">
              <w:rPr>
                <w:rFonts w:ascii="Times New Roman" w:eastAsia="Times New Roman" w:hAnsi="Times New Roman"/>
                <w:b/>
                <w:sz w:val="18"/>
                <w:szCs w:val="18"/>
              </w:rPr>
              <w:t>Всего по госпрограмме</w:t>
            </w:r>
          </w:p>
        </w:tc>
        <w:tc>
          <w:tcPr>
            <w:tcW w:w="2287" w:type="dxa"/>
          </w:tcPr>
          <w:p w14:paraId="03605624" w14:textId="77777777" w:rsidR="00621D6F" w:rsidRPr="00FD7B0B" w:rsidRDefault="00621D6F" w:rsidP="00621D6F">
            <w:pPr>
              <w:jc w:val="center"/>
              <w:rPr>
                <w:rFonts w:ascii="Times New Roman" w:hAnsi="Times New Roman"/>
              </w:rPr>
            </w:pPr>
            <w:r w:rsidRPr="00FD7B0B">
              <w:rPr>
                <w:rFonts w:ascii="Times New Roman" w:hAnsi="Times New Roman"/>
              </w:rPr>
              <w:t>336,9 (ОБ)</w:t>
            </w:r>
          </w:p>
        </w:tc>
        <w:tc>
          <w:tcPr>
            <w:tcW w:w="1842" w:type="dxa"/>
          </w:tcPr>
          <w:p w14:paraId="21D563F8" w14:textId="77777777" w:rsidR="00621D6F" w:rsidRPr="00FD7B0B" w:rsidRDefault="00621D6F" w:rsidP="00621D6F">
            <w:pPr>
              <w:jc w:val="center"/>
              <w:rPr>
                <w:rFonts w:ascii="Times New Roman" w:hAnsi="Times New Roman"/>
              </w:rPr>
            </w:pPr>
            <w:r w:rsidRPr="00FD7B0B">
              <w:rPr>
                <w:rFonts w:ascii="Times New Roman" w:hAnsi="Times New Roman"/>
              </w:rPr>
              <w:t>339,6 (ОБ)</w:t>
            </w:r>
          </w:p>
        </w:tc>
        <w:tc>
          <w:tcPr>
            <w:tcW w:w="1011" w:type="dxa"/>
          </w:tcPr>
          <w:p w14:paraId="1268E01D" w14:textId="77777777" w:rsidR="00621D6F" w:rsidRPr="00FD7B0B" w:rsidRDefault="00621D6F" w:rsidP="00621D6F">
            <w:pPr>
              <w:jc w:val="center"/>
              <w:rPr>
                <w:rFonts w:ascii="Times New Roman" w:hAnsi="Times New Roman"/>
              </w:rPr>
            </w:pPr>
            <w:r w:rsidRPr="00FD7B0B">
              <w:rPr>
                <w:rFonts w:ascii="Times New Roman" w:hAnsi="Times New Roman"/>
              </w:rPr>
              <w:t>-2,7</w:t>
            </w:r>
          </w:p>
        </w:tc>
        <w:tc>
          <w:tcPr>
            <w:tcW w:w="851" w:type="dxa"/>
          </w:tcPr>
          <w:p w14:paraId="5C6A62CB" w14:textId="77777777" w:rsidR="00621D6F" w:rsidRPr="00FD7B0B" w:rsidRDefault="00621D6F" w:rsidP="00621D6F">
            <w:pPr>
              <w:jc w:val="center"/>
              <w:rPr>
                <w:rFonts w:ascii="Times New Roman" w:hAnsi="Times New Roman"/>
              </w:rPr>
            </w:pPr>
            <w:r w:rsidRPr="00FD7B0B">
              <w:rPr>
                <w:rFonts w:ascii="Times New Roman" w:hAnsi="Times New Roman"/>
              </w:rPr>
              <w:t>-0,8</w:t>
            </w:r>
          </w:p>
        </w:tc>
      </w:tr>
    </w:tbl>
    <w:p w14:paraId="2089B1AE" w14:textId="77777777" w:rsidR="00621D6F" w:rsidRPr="00FD7B0B" w:rsidRDefault="00621D6F" w:rsidP="000C205B">
      <w:pPr>
        <w:spacing w:after="0" w:line="320" w:lineRule="atLeast"/>
        <w:ind w:firstLine="709"/>
        <w:jc w:val="both"/>
        <w:rPr>
          <w:rFonts w:ascii="Times New Roman" w:eastAsia="Times New Roman" w:hAnsi="Times New Roman" w:cs="Times New Roman"/>
          <w:sz w:val="28"/>
          <w:szCs w:val="28"/>
          <w:lang w:eastAsia="ru-RU"/>
        </w:rPr>
      </w:pPr>
    </w:p>
    <w:p w14:paraId="5D7226DE" w14:textId="5E57DD51" w:rsidR="00621D6F" w:rsidRPr="00FD7B0B" w:rsidRDefault="00621D6F" w:rsidP="00621D6F">
      <w:pPr>
        <w:spacing w:after="0" w:line="320" w:lineRule="atLeast"/>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Таким образом, на 31.12.2024 объем финансирования КПМ по сравнению с данными на начало отчетного периода по минстрою АО увеличился на 11,3 </w:t>
      </w:r>
      <w:r w:rsidR="000560EB" w:rsidRPr="00FD7B0B">
        <w:rPr>
          <w:rFonts w:ascii="Times New Roman" w:eastAsia="Times New Roman" w:hAnsi="Times New Roman" w:cs="Times New Roman"/>
          <w:sz w:val="28"/>
          <w:szCs w:val="28"/>
          <w:lang w:eastAsia="ru-RU"/>
        </w:rPr>
        <w:t>млн.руб.</w:t>
      </w:r>
      <w:r w:rsidRPr="00FD7B0B">
        <w:rPr>
          <w:rFonts w:ascii="Times New Roman" w:eastAsia="Times New Roman" w:hAnsi="Times New Roman" w:cs="Times New Roman"/>
          <w:sz w:val="28"/>
          <w:szCs w:val="28"/>
          <w:lang w:eastAsia="ru-RU"/>
        </w:rPr>
        <w:t xml:space="preserve"> или на 3,8 %, а по </w:t>
      </w:r>
      <w:r w:rsidR="000C205B" w:rsidRPr="00FD7B0B">
        <w:rPr>
          <w:rFonts w:ascii="Times New Roman" w:eastAsia="Times New Roman" w:hAnsi="Times New Roman" w:cs="Times New Roman"/>
          <w:sz w:val="28"/>
          <w:szCs w:val="28"/>
          <w:lang w:eastAsia="ru-RU"/>
        </w:rPr>
        <w:t>агентству снизился на 2,7 млн.</w:t>
      </w:r>
      <w:r w:rsidRPr="00FD7B0B">
        <w:rPr>
          <w:rFonts w:ascii="Times New Roman" w:eastAsia="Times New Roman" w:hAnsi="Times New Roman" w:cs="Times New Roman"/>
          <w:sz w:val="28"/>
          <w:szCs w:val="28"/>
          <w:lang w:eastAsia="ru-RU"/>
        </w:rPr>
        <w:t xml:space="preserve">руб. или на 0,8 %. </w:t>
      </w:r>
    </w:p>
    <w:p w14:paraId="7F49F780" w14:textId="76CBEA47" w:rsidR="00621D6F" w:rsidRPr="00FD7B0B" w:rsidRDefault="00621D6F" w:rsidP="00621D6F">
      <w:pPr>
        <w:spacing w:after="0" w:line="320" w:lineRule="atLeast"/>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Сопоставление объемов финансирования, утвержденных ГП № 20, бюджетных ассигнований на ее реализацию, утвержденных законом «Об областном бюджете» и СБР на 31.12.2024 представлено в таблице </w:t>
      </w:r>
      <w:r w:rsidR="006B77CA" w:rsidRPr="00FD7B0B">
        <w:rPr>
          <w:rFonts w:ascii="Times New Roman" w:eastAsia="Times New Roman" w:hAnsi="Times New Roman" w:cs="Times New Roman"/>
          <w:sz w:val="28"/>
          <w:szCs w:val="28"/>
          <w:lang w:eastAsia="ru-RU"/>
        </w:rPr>
        <w:t>203</w:t>
      </w:r>
      <w:r w:rsidRPr="00FD7B0B">
        <w:rPr>
          <w:rFonts w:ascii="Times New Roman" w:eastAsia="Times New Roman" w:hAnsi="Times New Roman" w:cs="Times New Roman"/>
          <w:sz w:val="28"/>
          <w:szCs w:val="28"/>
          <w:lang w:eastAsia="ru-RU"/>
        </w:rPr>
        <w:t>.</w:t>
      </w:r>
    </w:p>
    <w:p w14:paraId="53A8D612" w14:textId="77777777" w:rsidR="00621D6F" w:rsidRPr="00FD7B0B" w:rsidRDefault="00621D6F" w:rsidP="000C205B">
      <w:pPr>
        <w:keepNext/>
        <w:spacing w:after="0" w:line="240" w:lineRule="auto"/>
        <w:rPr>
          <w:rFonts w:ascii="Times New Roman" w:hAnsi="Times New Roman"/>
          <w:sz w:val="24"/>
          <w:szCs w:val="24"/>
        </w:rPr>
      </w:pPr>
    </w:p>
    <w:p w14:paraId="3F3C6FB8" w14:textId="457AEA7E" w:rsidR="00621D6F" w:rsidRPr="00FD7B0B" w:rsidRDefault="000C205B" w:rsidP="000C205B">
      <w:pPr>
        <w:keepNext/>
        <w:spacing w:after="0" w:line="240" w:lineRule="auto"/>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203</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621D6F" w:rsidRPr="00FD7B0B">
        <w:rPr>
          <w:rFonts w:ascii="Times New Roman" w:hAnsi="Times New Roman"/>
          <w:sz w:val="24"/>
          <w:szCs w:val="24"/>
        </w:rPr>
        <w:t>Сопоставление объемов финансирования, утвержденных ГП № 20 и бюджетных ассигнований на ее реализацию, утвержденных Законом «Об областном бюджете» и СБР, млн.руб.</w:t>
      </w:r>
    </w:p>
    <w:tbl>
      <w:tblPr>
        <w:tblW w:w="9568"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095"/>
        <w:gridCol w:w="1406"/>
        <w:gridCol w:w="1176"/>
        <w:gridCol w:w="1271"/>
        <w:gridCol w:w="1275"/>
        <w:gridCol w:w="1345"/>
      </w:tblGrid>
      <w:tr w:rsidR="00FD7B0B" w:rsidRPr="00FD7B0B" w14:paraId="2D89E019" w14:textId="77777777" w:rsidTr="00AC5101">
        <w:trPr>
          <w:trHeight w:val="865"/>
        </w:trPr>
        <w:tc>
          <w:tcPr>
            <w:tcW w:w="3095" w:type="dxa"/>
            <w:shd w:val="clear" w:color="auto" w:fill="auto"/>
            <w:vAlign w:val="center"/>
            <w:hideMark/>
          </w:tcPr>
          <w:p w14:paraId="0C96C0E3"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Наименование участника ГП</w:t>
            </w:r>
          </w:p>
        </w:tc>
        <w:tc>
          <w:tcPr>
            <w:tcW w:w="1406" w:type="dxa"/>
            <w:shd w:val="clear" w:color="auto" w:fill="auto"/>
            <w:vAlign w:val="center"/>
            <w:hideMark/>
          </w:tcPr>
          <w:p w14:paraId="0E726C2E"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Показатели закона о бюджете на 23.12.2024</w:t>
            </w:r>
          </w:p>
        </w:tc>
        <w:tc>
          <w:tcPr>
            <w:tcW w:w="1176" w:type="dxa"/>
            <w:shd w:val="clear" w:color="auto" w:fill="auto"/>
            <w:vAlign w:val="center"/>
            <w:hideMark/>
          </w:tcPr>
          <w:p w14:paraId="56ACDE87"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Показатели СБР на 31.12.2024</w:t>
            </w:r>
          </w:p>
        </w:tc>
        <w:tc>
          <w:tcPr>
            <w:tcW w:w="1271" w:type="dxa"/>
            <w:shd w:val="clear" w:color="auto" w:fill="auto"/>
            <w:vAlign w:val="center"/>
            <w:hideMark/>
          </w:tcPr>
          <w:p w14:paraId="40E1B543"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Показатели.</w:t>
            </w:r>
          </w:p>
          <w:p w14:paraId="2DF3AB79"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Исполнение</w:t>
            </w:r>
          </w:p>
          <w:p w14:paraId="78061C84"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на 31.12.2024</w:t>
            </w:r>
          </w:p>
        </w:tc>
        <w:tc>
          <w:tcPr>
            <w:tcW w:w="1275" w:type="dxa"/>
            <w:shd w:val="clear" w:color="auto" w:fill="auto"/>
            <w:vAlign w:val="center"/>
            <w:hideMark/>
          </w:tcPr>
          <w:p w14:paraId="1D80F2CF"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Отклонение,</w:t>
            </w:r>
          </w:p>
          <w:p w14:paraId="76EFB69A"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w:t>
            </w:r>
          </w:p>
          <w:p w14:paraId="653D361E"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гр.</w:t>
            </w:r>
            <w:r w:rsidRPr="00FD7B0B">
              <w:rPr>
                <w:rFonts w:ascii="Times New Roman" w:eastAsia="Times New Roman" w:hAnsi="Times New Roman" w:cs="Times New Roman"/>
                <w:b/>
                <w:sz w:val="18"/>
                <w:szCs w:val="18"/>
                <w:lang w:val="en-US" w:eastAsia="ru-RU"/>
              </w:rPr>
              <w:t>4</w:t>
            </w:r>
            <w:r w:rsidRPr="00FD7B0B">
              <w:rPr>
                <w:rFonts w:ascii="Times New Roman" w:eastAsia="Times New Roman" w:hAnsi="Times New Roman" w:cs="Times New Roman"/>
                <w:b/>
                <w:sz w:val="18"/>
                <w:szCs w:val="18"/>
                <w:lang w:eastAsia="ru-RU"/>
              </w:rPr>
              <w:t>-гр.3</w:t>
            </w:r>
          </w:p>
        </w:tc>
        <w:tc>
          <w:tcPr>
            <w:tcW w:w="1345" w:type="dxa"/>
            <w:vAlign w:val="center"/>
          </w:tcPr>
          <w:p w14:paraId="7852069F" w14:textId="77777777" w:rsidR="00621D6F" w:rsidRPr="00FD7B0B" w:rsidRDefault="00621D6F" w:rsidP="00621D6F">
            <w:pPr>
              <w:spacing w:after="0" w:line="240" w:lineRule="auto"/>
              <w:ind w:right="89"/>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Отклонение,</w:t>
            </w:r>
          </w:p>
          <w:p w14:paraId="7DD4E6E9"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w:t>
            </w:r>
          </w:p>
          <w:p w14:paraId="6BAB813D"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val="en-US" w:eastAsia="ru-RU"/>
              </w:rPr>
            </w:pPr>
            <w:r w:rsidRPr="00FD7B0B">
              <w:rPr>
                <w:rFonts w:ascii="Times New Roman" w:eastAsia="Times New Roman" w:hAnsi="Times New Roman" w:cs="Times New Roman"/>
                <w:b/>
                <w:sz w:val="18"/>
                <w:szCs w:val="18"/>
                <w:lang w:eastAsia="ru-RU"/>
              </w:rPr>
              <w:t>гр.</w:t>
            </w:r>
            <w:r w:rsidRPr="00FD7B0B">
              <w:rPr>
                <w:rFonts w:ascii="Times New Roman" w:eastAsia="Times New Roman" w:hAnsi="Times New Roman" w:cs="Times New Roman"/>
                <w:b/>
                <w:sz w:val="18"/>
                <w:szCs w:val="18"/>
                <w:lang w:val="en-US" w:eastAsia="ru-RU"/>
              </w:rPr>
              <w:t>4</w:t>
            </w:r>
            <w:r w:rsidRPr="00FD7B0B">
              <w:rPr>
                <w:rFonts w:ascii="Times New Roman" w:eastAsia="Times New Roman" w:hAnsi="Times New Roman" w:cs="Times New Roman"/>
                <w:b/>
                <w:sz w:val="18"/>
                <w:szCs w:val="18"/>
                <w:lang w:eastAsia="ru-RU"/>
              </w:rPr>
              <w:t>-гр.</w:t>
            </w:r>
            <w:r w:rsidRPr="00FD7B0B">
              <w:rPr>
                <w:rFonts w:ascii="Times New Roman" w:eastAsia="Times New Roman" w:hAnsi="Times New Roman" w:cs="Times New Roman"/>
                <w:b/>
                <w:sz w:val="18"/>
                <w:szCs w:val="18"/>
                <w:lang w:val="en-US" w:eastAsia="ru-RU"/>
              </w:rPr>
              <w:t>2</w:t>
            </w:r>
          </w:p>
        </w:tc>
      </w:tr>
      <w:tr w:rsidR="00FD7B0B" w:rsidRPr="00FD7B0B" w14:paraId="0C15B335" w14:textId="77777777" w:rsidTr="00AC5101">
        <w:trPr>
          <w:trHeight w:val="59"/>
        </w:trPr>
        <w:tc>
          <w:tcPr>
            <w:tcW w:w="3095" w:type="dxa"/>
            <w:shd w:val="clear" w:color="auto" w:fill="auto"/>
            <w:vAlign w:val="center"/>
          </w:tcPr>
          <w:p w14:paraId="1D66D7F4" w14:textId="77777777" w:rsidR="00621D6F" w:rsidRPr="00FD7B0B" w:rsidRDefault="00621D6F" w:rsidP="00621D6F">
            <w:pPr>
              <w:spacing w:after="0" w:line="240" w:lineRule="auto"/>
              <w:jc w:val="center"/>
              <w:rPr>
                <w:rFonts w:ascii="Times New Roman" w:eastAsia="Times New Roman" w:hAnsi="Times New Roman" w:cs="Times New Roman"/>
                <w:sz w:val="18"/>
                <w:szCs w:val="18"/>
              </w:rPr>
            </w:pPr>
            <w:r w:rsidRPr="00FD7B0B">
              <w:rPr>
                <w:rFonts w:ascii="Times New Roman" w:eastAsia="Times New Roman" w:hAnsi="Times New Roman" w:cs="Times New Roman"/>
                <w:sz w:val="18"/>
                <w:szCs w:val="18"/>
              </w:rPr>
              <w:t>1</w:t>
            </w:r>
          </w:p>
        </w:tc>
        <w:tc>
          <w:tcPr>
            <w:tcW w:w="1406" w:type="dxa"/>
            <w:shd w:val="clear" w:color="auto" w:fill="auto"/>
            <w:vAlign w:val="center"/>
          </w:tcPr>
          <w:p w14:paraId="0D778050"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w:t>
            </w:r>
          </w:p>
        </w:tc>
        <w:tc>
          <w:tcPr>
            <w:tcW w:w="1176" w:type="dxa"/>
            <w:shd w:val="clear" w:color="auto" w:fill="auto"/>
            <w:vAlign w:val="center"/>
          </w:tcPr>
          <w:p w14:paraId="3C823A48"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w:t>
            </w:r>
          </w:p>
        </w:tc>
        <w:tc>
          <w:tcPr>
            <w:tcW w:w="1271" w:type="dxa"/>
            <w:shd w:val="clear" w:color="auto" w:fill="auto"/>
            <w:vAlign w:val="center"/>
          </w:tcPr>
          <w:p w14:paraId="6B029EFD"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w:t>
            </w:r>
          </w:p>
        </w:tc>
        <w:tc>
          <w:tcPr>
            <w:tcW w:w="1275" w:type="dxa"/>
            <w:shd w:val="clear" w:color="auto" w:fill="auto"/>
            <w:vAlign w:val="center"/>
          </w:tcPr>
          <w:p w14:paraId="5E9A5103"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w:t>
            </w:r>
          </w:p>
        </w:tc>
        <w:tc>
          <w:tcPr>
            <w:tcW w:w="1345" w:type="dxa"/>
          </w:tcPr>
          <w:p w14:paraId="6122B8BA"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w:t>
            </w:r>
          </w:p>
        </w:tc>
      </w:tr>
      <w:tr w:rsidR="00FD7B0B" w:rsidRPr="00FD7B0B" w14:paraId="436B6286" w14:textId="77777777" w:rsidTr="00AC5101">
        <w:trPr>
          <w:trHeight w:val="59"/>
        </w:trPr>
        <w:tc>
          <w:tcPr>
            <w:tcW w:w="3095" w:type="dxa"/>
            <w:shd w:val="clear" w:color="auto" w:fill="auto"/>
            <w:vAlign w:val="center"/>
          </w:tcPr>
          <w:p w14:paraId="3788A07E" w14:textId="77777777" w:rsidR="00621D6F" w:rsidRPr="00FD7B0B" w:rsidRDefault="00621D6F" w:rsidP="00621D6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Минстрой АО (019)</w:t>
            </w:r>
          </w:p>
        </w:tc>
        <w:tc>
          <w:tcPr>
            <w:tcW w:w="1406" w:type="dxa"/>
            <w:shd w:val="clear" w:color="auto" w:fill="auto"/>
            <w:vAlign w:val="center"/>
          </w:tcPr>
          <w:p w14:paraId="0F81CA02"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300,0</w:t>
            </w:r>
          </w:p>
        </w:tc>
        <w:tc>
          <w:tcPr>
            <w:tcW w:w="1176" w:type="dxa"/>
            <w:shd w:val="clear" w:color="auto" w:fill="auto"/>
            <w:vAlign w:val="center"/>
          </w:tcPr>
          <w:p w14:paraId="012F661A"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311,3</w:t>
            </w:r>
          </w:p>
        </w:tc>
        <w:tc>
          <w:tcPr>
            <w:tcW w:w="1271" w:type="dxa"/>
            <w:shd w:val="clear" w:color="auto" w:fill="auto"/>
            <w:vAlign w:val="center"/>
          </w:tcPr>
          <w:p w14:paraId="126CAFD7"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311,3</w:t>
            </w:r>
          </w:p>
        </w:tc>
        <w:tc>
          <w:tcPr>
            <w:tcW w:w="1275" w:type="dxa"/>
            <w:shd w:val="clear" w:color="auto" w:fill="auto"/>
            <w:vAlign w:val="center"/>
          </w:tcPr>
          <w:p w14:paraId="6EA28E04"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0,0</w:t>
            </w:r>
          </w:p>
        </w:tc>
        <w:tc>
          <w:tcPr>
            <w:tcW w:w="1345" w:type="dxa"/>
          </w:tcPr>
          <w:p w14:paraId="6D2F1CA9"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11,3</w:t>
            </w:r>
          </w:p>
        </w:tc>
      </w:tr>
      <w:tr w:rsidR="00FD7B0B" w:rsidRPr="00FD7B0B" w14:paraId="12F765D2" w14:textId="77777777" w:rsidTr="00AC5101">
        <w:trPr>
          <w:trHeight w:val="59"/>
        </w:trPr>
        <w:tc>
          <w:tcPr>
            <w:tcW w:w="3095" w:type="dxa"/>
            <w:shd w:val="clear" w:color="auto" w:fill="auto"/>
            <w:vAlign w:val="center"/>
          </w:tcPr>
          <w:p w14:paraId="09AF9483" w14:textId="77777777" w:rsidR="00621D6F" w:rsidRPr="00FD7B0B" w:rsidRDefault="00621D6F" w:rsidP="00621D6F">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rPr>
              <w:t>Агентство по развитию Соловецкого архипелага (349)</w:t>
            </w:r>
          </w:p>
        </w:tc>
        <w:tc>
          <w:tcPr>
            <w:tcW w:w="1406" w:type="dxa"/>
            <w:shd w:val="clear" w:color="auto" w:fill="auto"/>
            <w:vAlign w:val="center"/>
          </w:tcPr>
          <w:p w14:paraId="2FE1134C"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36,9</w:t>
            </w:r>
          </w:p>
        </w:tc>
        <w:tc>
          <w:tcPr>
            <w:tcW w:w="1176" w:type="dxa"/>
            <w:shd w:val="clear" w:color="auto" w:fill="auto"/>
            <w:vAlign w:val="center"/>
          </w:tcPr>
          <w:p w14:paraId="68AE1CCE"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27,6</w:t>
            </w:r>
          </w:p>
        </w:tc>
        <w:tc>
          <w:tcPr>
            <w:tcW w:w="1271" w:type="dxa"/>
            <w:shd w:val="clear" w:color="auto" w:fill="auto"/>
            <w:vAlign w:val="center"/>
          </w:tcPr>
          <w:p w14:paraId="7A93EEA3"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26,5</w:t>
            </w:r>
          </w:p>
        </w:tc>
        <w:tc>
          <w:tcPr>
            <w:tcW w:w="1275" w:type="dxa"/>
            <w:shd w:val="clear" w:color="auto" w:fill="auto"/>
            <w:vAlign w:val="center"/>
          </w:tcPr>
          <w:p w14:paraId="1836E152"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w:t>
            </w:r>
          </w:p>
        </w:tc>
        <w:tc>
          <w:tcPr>
            <w:tcW w:w="1345" w:type="dxa"/>
            <w:vAlign w:val="center"/>
          </w:tcPr>
          <w:p w14:paraId="0C6ED53E" w14:textId="77777777" w:rsidR="00621D6F" w:rsidRPr="00FD7B0B" w:rsidRDefault="00621D6F" w:rsidP="00621D6F">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-10,4</w:t>
            </w:r>
          </w:p>
        </w:tc>
      </w:tr>
      <w:tr w:rsidR="00FD7B0B" w:rsidRPr="00FD7B0B" w14:paraId="5EB12A80" w14:textId="77777777" w:rsidTr="00AC5101">
        <w:trPr>
          <w:trHeight w:val="59"/>
        </w:trPr>
        <w:tc>
          <w:tcPr>
            <w:tcW w:w="3095" w:type="dxa"/>
            <w:shd w:val="clear" w:color="auto" w:fill="auto"/>
            <w:vAlign w:val="center"/>
          </w:tcPr>
          <w:p w14:paraId="3809E8E7" w14:textId="77777777" w:rsidR="00621D6F" w:rsidRPr="00FD7B0B" w:rsidRDefault="00621D6F" w:rsidP="00621D6F">
            <w:pPr>
              <w:spacing w:after="0" w:line="240" w:lineRule="auto"/>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 xml:space="preserve">Всего по ГП № 20, в том числе: </w:t>
            </w:r>
          </w:p>
        </w:tc>
        <w:tc>
          <w:tcPr>
            <w:tcW w:w="1406" w:type="dxa"/>
            <w:shd w:val="clear" w:color="auto" w:fill="auto"/>
            <w:vAlign w:val="center"/>
          </w:tcPr>
          <w:p w14:paraId="6F38C7EC"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336,9</w:t>
            </w:r>
          </w:p>
        </w:tc>
        <w:tc>
          <w:tcPr>
            <w:tcW w:w="1176" w:type="dxa"/>
            <w:shd w:val="clear" w:color="auto" w:fill="auto"/>
            <w:vAlign w:val="center"/>
          </w:tcPr>
          <w:p w14:paraId="705A990D"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338,9</w:t>
            </w:r>
          </w:p>
        </w:tc>
        <w:tc>
          <w:tcPr>
            <w:tcW w:w="1271" w:type="dxa"/>
            <w:shd w:val="clear" w:color="auto" w:fill="auto"/>
            <w:vAlign w:val="center"/>
          </w:tcPr>
          <w:p w14:paraId="5EAE6C5A"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337,8</w:t>
            </w:r>
          </w:p>
        </w:tc>
        <w:tc>
          <w:tcPr>
            <w:tcW w:w="1275" w:type="dxa"/>
            <w:shd w:val="clear" w:color="auto" w:fill="auto"/>
            <w:vAlign w:val="center"/>
          </w:tcPr>
          <w:p w14:paraId="647F906F"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-1,1</w:t>
            </w:r>
          </w:p>
        </w:tc>
        <w:tc>
          <w:tcPr>
            <w:tcW w:w="1345" w:type="dxa"/>
            <w:vAlign w:val="center"/>
          </w:tcPr>
          <w:p w14:paraId="0CD4E711" w14:textId="77777777" w:rsidR="00621D6F" w:rsidRPr="00FD7B0B" w:rsidRDefault="00621D6F" w:rsidP="00621D6F">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0,90</w:t>
            </w:r>
          </w:p>
        </w:tc>
      </w:tr>
    </w:tbl>
    <w:p w14:paraId="4DB85A99" w14:textId="77777777" w:rsidR="00621D6F" w:rsidRPr="00FD7B0B" w:rsidRDefault="00621D6F" w:rsidP="00621D6F">
      <w:pPr>
        <w:spacing w:after="0" w:line="240" w:lineRule="auto"/>
        <w:ind w:firstLine="709"/>
        <w:jc w:val="both"/>
        <w:rPr>
          <w:rFonts w:ascii="Times New Roman" w:eastAsia="Calibri" w:hAnsi="Times New Roman" w:cs="Times New Roman"/>
          <w:sz w:val="24"/>
          <w:szCs w:val="24"/>
        </w:rPr>
      </w:pPr>
    </w:p>
    <w:p w14:paraId="34788137" w14:textId="1D9538D4"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 31.12.2024 показа</w:t>
      </w:r>
      <w:r w:rsidR="00AC5101" w:rsidRPr="00FD7B0B">
        <w:rPr>
          <w:rFonts w:ascii="Times New Roman" w:eastAsia="Calibri" w:hAnsi="Times New Roman" w:cs="Times New Roman"/>
          <w:sz w:val="28"/>
          <w:szCs w:val="28"/>
        </w:rPr>
        <w:t>тели по исполнению на 0,90 млн.</w:t>
      </w:r>
      <w:r w:rsidRPr="00FD7B0B">
        <w:rPr>
          <w:rFonts w:ascii="Times New Roman" w:eastAsia="Calibri" w:hAnsi="Times New Roman" w:cs="Times New Roman"/>
          <w:sz w:val="28"/>
          <w:szCs w:val="28"/>
        </w:rPr>
        <w:t xml:space="preserve">руб. превышают показатели закона об областном бюджете. </w:t>
      </w:r>
    </w:p>
    <w:p w14:paraId="0E01E876" w14:textId="4081447B"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Отклонение показателей по исполнению от показател</w:t>
      </w:r>
      <w:r w:rsidR="00AC5101" w:rsidRPr="00FD7B0B">
        <w:rPr>
          <w:rFonts w:ascii="Times New Roman" w:eastAsia="Calibri" w:hAnsi="Times New Roman" w:cs="Times New Roman"/>
          <w:sz w:val="28"/>
          <w:szCs w:val="28"/>
        </w:rPr>
        <w:t>ей УСБР составляет (-) 1,1 млн.</w:t>
      </w:r>
      <w:r w:rsidRPr="00FD7B0B">
        <w:rPr>
          <w:rFonts w:ascii="Times New Roman" w:eastAsia="Calibri" w:hAnsi="Times New Roman" w:cs="Times New Roman"/>
          <w:sz w:val="28"/>
          <w:szCs w:val="28"/>
        </w:rPr>
        <w:t>руб.</w:t>
      </w:r>
    </w:p>
    <w:p w14:paraId="2461623F" w14:textId="593238DE" w:rsidR="00621D6F" w:rsidRPr="00FD7B0B" w:rsidRDefault="00621D6F" w:rsidP="00621D6F">
      <w:pPr>
        <w:autoSpaceDE w:val="0"/>
        <w:autoSpaceDN w:val="0"/>
        <w:adjustRightInd w:val="0"/>
        <w:spacing w:after="0" w:line="240" w:lineRule="auto"/>
        <w:ind w:firstLine="708"/>
        <w:jc w:val="both"/>
        <w:rPr>
          <w:rFonts w:ascii="Times New Roman" w:hAnsi="Times New Roman" w:cs="Times New Roman"/>
          <w:sz w:val="28"/>
          <w:szCs w:val="28"/>
        </w:rPr>
      </w:pPr>
      <w:r w:rsidRPr="00FD7B0B">
        <w:rPr>
          <w:rFonts w:ascii="Times New Roman" w:eastAsia="Calibri" w:hAnsi="Times New Roman" w:cs="Times New Roman"/>
          <w:sz w:val="28"/>
          <w:szCs w:val="28"/>
        </w:rPr>
        <w:t xml:space="preserve">1. Системы водоснабжения поселка Соловецкий. </w:t>
      </w:r>
      <w:r w:rsidRPr="00FD7B0B">
        <w:rPr>
          <w:rFonts w:ascii="Times New Roman" w:eastAsia="Times New Roman" w:hAnsi="Times New Roman" w:cs="Times New Roman"/>
          <w:sz w:val="28"/>
          <w:szCs w:val="28"/>
          <w:lang w:eastAsia="ru-RU"/>
        </w:rPr>
        <w:t xml:space="preserve">Реализация данного мероприятия в рамках ГП № 20 осуществляется с 2015 года. </w:t>
      </w:r>
      <w:r w:rsidRPr="00FD7B0B">
        <w:rPr>
          <w:rFonts w:ascii="Times New Roman" w:eastAsia="Calibri" w:hAnsi="Times New Roman" w:cs="Times New Roman"/>
          <w:sz w:val="28"/>
          <w:szCs w:val="28"/>
        </w:rPr>
        <w:t xml:space="preserve">В 2024 году финансирование отсутствует. Изменены целевые показатели ГП № 20 - завершение строительства перенесено с 2024 года на 2027 год. Показатель уровня технической готовности, предусмотренный изначально на 2024 год в объеме 100 %, составляет 15 %. </w:t>
      </w:r>
    </w:p>
    <w:p w14:paraId="4702DC55" w14:textId="7CD2F0E4"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2. Канализационных сетей и коллекторов, канализационных очистных сооружений поселка Соловецкий. По данному объекту финансирование на 2024 год в объеме 0,5 </w:t>
      </w:r>
      <w:r w:rsidR="000560EB" w:rsidRPr="00FD7B0B">
        <w:rPr>
          <w:rFonts w:ascii="Times New Roman" w:eastAsia="Calibri" w:hAnsi="Times New Roman" w:cs="Times New Roman"/>
          <w:sz w:val="28"/>
          <w:szCs w:val="28"/>
        </w:rPr>
        <w:t>млн.руб.</w:t>
      </w:r>
      <w:r w:rsidRPr="00FD7B0B">
        <w:rPr>
          <w:rFonts w:ascii="Times New Roman" w:eastAsia="Calibri" w:hAnsi="Times New Roman" w:cs="Times New Roman"/>
          <w:sz w:val="28"/>
          <w:szCs w:val="28"/>
        </w:rPr>
        <w:t xml:space="preserve"> (ср</w:t>
      </w:r>
      <w:r w:rsidR="00AC5101" w:rsidRPr="00FD7B0B">
        <w:rPr>
          <w:rFonts w:ascii="Times New Roman" w:eastAsia="Calibri" w:hAnsi="Times New Roman" w:cs="Times New Roman"/>
          <w:sz w:val="28"/>
          <w:szCs w:val="28"/>
        </w:rPr>
        <w:t>едства ОБ).</w:t>
      </w:r>
    </w:p>
    <w:p w14:paraId="53CB93BA" w14:textId="55F249C3"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Мероприятие по строительству </w:t>
      </w:r>
      <w:r w:rsidRPr="00FD7B0B">
        <w:rPr>
          <w:rFonts w:ascii="Times New Roman" w:hAnsi="Times New Roman"/>
          <w:sz w:val="28"/>
          <w:szCs w:val="28"/>
        </w:rPr>
        <w:t xml:space="preserve">канализационных сетей и коллекторов, канализационных очистных сооружений включено </w:t>
      </w:r>
      <w:r w:rsidRPr="00FD7B0B">
        <w:rPr>
          <w:rFonts w:ascii="Times New Roman" w:eastAsia="Calibri" w:hAnsi="Times New Roman" w:cs="Times New Roman"/>
          <w:sz w:val="28"/>
          <w:szCs w:val="28"/>
        </w:rPr>
        <w:t>в ОАИП на 2024 год в объеме 0,5</w:t>
      </w:r>
      <w:r w:rsidR="00C93524" w:rsidRPr="00FD7B0B">
        <w:rPr>
          <w:rFonts w:ascii="Times New Roman" w:eastAsia="Calibri" w:hAnsi="Times New Roman" w:cs="Times New Roman"/>
          <w:sz w:val="28"/>
          <w:szCs w:val="28"/>
        </w:rPr>
        <w:t xml:space="preserve"> млн.</w:t>
      </w:r>
      <w:r w:rsidRPr="00FD7B0B">
        <w:rPr>
          <w:rFonts w:ascii="Times New Roman" w:eastAsia="Calibri" w:hAnsi="Times New Roman" w:cs="Times New Roman"/>
          <w:sz w:val="28"/>
          <w:szCs w:val="28"/>
        </w:rPr>
        <w:t>руб. по разработке проектной документации, по состоянию на 31.12.2024 исполнено в полном объёме</w:t>
      </w:r>
      <w:r w:rsidR="00C93524" w:rsidRPr="00FD7B0B">
        <w:rPr>
          <w:rFonts w:ascii="Times New Roman" w:eastAsia="Calibri" w:hAnsi="Times New Roman" w:cs="Times New Roman"/>
          <w:sz w:val="28"/>
          <w:szCs w:val="28"/>
        </w:rPr>
        <w:t>.</w:t>
      </w:r>
    </w:p>
    <w:p w14:paraId="43EF2129" w14:textId="074B3178"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Указанные объекты учтены в Части II. «ОНС, не являющиеся предметом действующих договоров строительного подряда и (или) не вовлеченные в хозяйственный оборот» Регионального реестра незавершенных объектов </w:t>
      </w:r>
      <w:r w:rsidRPr="00FD7B0B">
        <w:rPr>
          <w:rFonts w:ascii="Times New Roman" w:eastAsia="Calibri" w:hAnsi="Times New Roman" w:cs="Times New Roman"/>
          <w:sz w:val="28"/>
          <w:szCs w:val="28"/>
        </w:rPr>
        <w:lastRenderedPageBreak/>
        <w:t xml:space="preserve">капитального строительства, строительство, реконструкция которых осуществлялись полностью или частично за счет средств областного бюджета, местных бюджетов муниципальных образований Архангельской области (далее – Реестр ОНС АО)*, согласно которому на 01.01.2024 состояние данных объектов характеризуется следующими показателями (таблица </w:t>
      </w:r>
      <w:r w:rsidR="0070073F" w:rsidRPr="00FD7B0B">
        <w:rPr>
          <w:rFonts w:ascii="Times New Roman" w:eastAsia="Calibri" w:hAnsi="Times New Roman" w:cs="Times New Roman"/>
          <w:sz w:val="28"/>
          <w:szCs w:val="28"/>
        </w:rPr>
        <w:t>204</w:t>
      </w:r>
      <w:r w:rsidRPr="00FD7B0B">
        <w:rPr>
          <w:rFonts w:ascii="Times New Roman" w:eastAsia="Calibri" w:hAnsi="Times New Roman" w:cs="Times New Roman"/>
          <w:sz w:val="28"/>
          <w:szCs w:val="28"/>
        </w:rPr>
        <w:t>):</w:t>
      </w:r>
    </w:p>
    <w:p w14:paraId="47D7EC86" w14:textId="77777777" w:rsidR="00621D6F" w:rsidRPr="00FD7B0B" w:rsidRDefault="00621D6F" w:rsidP="00621D6F">
      <w:pPr>
        <w:spacing w:after="0" w:line="240" w:lineRule="auto"/>
        <w:jc w:val="both"/>
        <w:rPr>
          <w:rFonts w:ascii="Times New Roman" w:eastAsia="Calibri" w:hAnsi="Times New Roman" w:cs="Times New Roman"/>
          <w:sz w:val="24"/>
          <w:szCs w:val="24"/>
        </w:rPr>
      </w:pPr>
    </w:p>
    <w:p w14:paraId="4199A739" w14:textId="78FD51C9" w:rsidR="00621D6F" w:rsidRPr="00FD7B0B" w:rsidRDefault="00C93524" w:rsidP="00621D6F">
      <w:pPr>
        <w:spacing w:after="0" w:line="240" w:lineRule="auto"/>
        <w:jc w:val="both"/>
        <w:rPr>
          <w:rFonts w:ascii="Times New Roman" w:eastAsia="Calibri" w:hAnsi="Times New Roman" w:cs="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204</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621D6F" w:rsidRPr="00FD7B0B">
        <w:rPr>
          <w:rFonts w:ascii="Times New Roman" w:eastAsia="Calibri" w:hAnsi="Times New Roman" w:cs="Times New Roman"/>
          <w:sz w:val="24"/>
          <w:szCs w:val="24"/>
        </w:rPr>
        <w:t>Информация о состоянии ОНС на 01.01.2024</w:t>
      </w:r>
    </w:p>
    <w:tbl>
      <w:tblPr>
        <w:tblStyle w:val="a7"/>
        <w:tblW w:w="9658" w:type="dxa"/>
        <w:tblInd w:w="-15" w:type="dxa"/>
        <w:tblLook w:val="04A0" w:firstRow="1" w:lastRow="0" w:firstColumn="1" w:lastColumn="0" w:noHBand="0" w:noVBand="1"/>
      </w:tblPr>
      <w:tblGrid>
        <w:gridCol w:w="3261"/>
        <w:gridCol w:w="2144"/>
        <w:gridCol w:w="2127"/>
        <w:gridCol w:w="2126"/>
      </w:tblGrid>
      <w:tr w:rsidR="00FD7B0B" w:rsidRPr="00FD7B0B" w14:paraId="59E8B870" w14:textId="77777777" w:rsidTr="00E63B69">
        <w:trPr>
          <w:tblHeader/>
        </w:trPr>
        <w:tc>
          <w:tcPr>
            <w:tcW w:w="3261" w:type="dxa"/>
            <w:tcBorders>
              <w:top w:val="double" w:sz="4" w:space="0" w:color="auto"/>
              <w:left w:val="double" w:sz="4" w:space="0" w:color="auto"/>
            </w:tcBorders>
            <w:vAlign w:val="center"/>
          </w:tcPr>
          <w:p w14:paraId="28806D1D" w14:textId="77777777" w:rsidR="00C93524" w:rsidRPr="00FD7B0B" w:rsidRDefault="00C93524" w:rsidP="00621D6F">
            <w:pPr>
              <w:jc w:val="center"/>
              <w:rPr>
                <w:rFonts w:ascii="Times New Roman" w:hAnsi="Times New Roman"/>
                <w:b/>
              </w:rPr>
            </w:pPr>
            <w:r w:rsidRPr="00FD7B0B">
              <w:rPr>
                <w:rFonts w:ascii="Times New Roman" w:hAnsi="Times New Roman"/>
                <w:b/>
              </w:rPr>
              <w:t>Наименование объекта</w:t>
            </w:r>
          </w:p>
        </w:tc>
        <w:tc>
          <w:tcPr>
            <w:tcW w:w="2144" w:type="dxa"/>
            <w:tcBorders>
              <w:top w:val="double" w:sz="4" w:space="0" w:color="auto"/>
            </w:tcBorders>
            <w:vAlign w:val="center"/>
          </w:tcPr>
          <w:p w14:paraId="61E6AF46" w14:textId="4656D6EC" w:rsidR="00C93524" w:rsidRPr="00FD7B0B" w:rsidRDefault="00C93524" w:rsidP="00621D6F">
            <w:pPr>
              <w:jc w:val="center"/>
              <w:rPr>
                <w:rFonts w:ascii="Times New Roman" w:hAnsi="Times New Roman"/>
                <w:b/>
              </w:rPr>
            </w:pPr>
            <w:r w:rsidRPr="00FD7B0B">
              <w:rPr>
                <w:rFonts w:ascii="Times New Roman" w:hAnsi="Times New Roman"/>
                <w:b/>
              </w:rPr>
              <w:t>Объем капвложений за весь период строительства, млн.руб.</w:t>
            </w:r>
          </w:p>
        </w:tc>
        <w:tc>
          <w:tcPr>
            <w:tcW w:w="2127" w:type="dxa"/>
            <w:tcBorders>
              <w:top w:val="double" w:sz="4" w:space="0" w:color="auto"/>
            </w:tcBorders>
            <w:vAlign w:val="center"/>
          </w:tcPr>
          <w:p w14:paraId="69DF040B" w14:textId="77777777" w:rsidR="00C93524" w:rsidRPr="00FD7B0B" w:rsidRDefault="00C93524" w:rsidP="00621D6F">
            <w:pPr>
              <w:jc w:val="center"/>
              <w:rPr>
                <w:rFonts w:ascii="Times New Roman" w:hAnsi="Times New Roman"/>
                <w:b/>
              </w:rPr>
            </w:pPr>
            <w:r w:rsidRPr="00FD7B0B">
              <w:rPr>
                <w:rFonts w:ascii="Times New Roman" w:hAnsi="Times New Roman"/>
                <w:b/>
              </w:rPr>
              <w:t>Степень строительной готовности объекта, %</w:t>
            </w:r>
          </w:p>
        </w:tc>
        <w:tc>
          <w:tcPr>
            <w:tcW w:w="2126" w:type="dxa"/>
            <w:tcBorders>
              <w:top w:val="double" w:sz="4" w:space="0" w:color="auto"/>
              <w:right w:val="double" w:sz="4" w:space="0" w:color="auto"/>
            </w:tcBorders>
            <w:vAlign w:val="center"/>
          </w:tcPr>
          <w:p w14:paraId="2BAAFE40" w14:textId="77777777" w:rsidR="00C93524" w:rsidRPr="00FD7B0B" w:rsidRDefault="00C93524" w:rsidP="00621D6F">
            <w:pPr>
              <w:jc w:val="center"/>
              <w:rPr>
                <w:rFonts w:ascii="Times New Roman" w:hAnsi="Times New Roman"/>
                <w:b/>
              </w:rPr>
            </w:pPr>
            <w:r w:rsidRPr="00FD7B0B">
              <w:rPr>
                <w:rFonts w:ascii="Times New Roman" w:hAnsi="Times New Roman"/>
                <w:b/>
              </w:rPr>
              <w:t>Период простоя строительства</w:t>
            </w:r>
          </w:p>
        </w:tc>
      </w:tr>
      <w:tr w:rsidR="00FD7B0B" w:rsidRPr="00FD7B0B" w14:paraId="22B81C46" w14:textId="77777777" w:rsidTr="00E63B69">
        <w:tc>
          <w:tcPr>
            <w:tcW w:w="3261" w:type="dxa"/>
            <w:tcBorders>
              <w:left w:val="double" w:sz="4" w:space="0" w:color="auto"/>
            </w:tcBorders>
          </w:tcPr>
          <w:p w14:paraId="0AD4BAF8" w14:textId="77777777" w:rsidR="00C93524" w:rsidRPr="00FD7B0B" w:rsidRDefault="00C93524" w:rsidP="00621D6F">
            <w:pPr>
              <w:rPr>
                <w:rFonts w:ascii="Times New Roman" w:hAnsi="Times New Roman"/>
              </w:rPr>
            </w:pPr>
            <w:r w:rsidRPr="00FD7B0B">
              <w:rPr>
                <w:rFonts w:ascii="Times New Roman" w:hAnsi="Times New Roman"/>
              </w:rPr>
              <w:t>Строительство и реконструкция системы водоснабжения</w:t>
            </w:r>
          </w:p>
        </w:tc>
        <w:tc>
          <w:tcPr>
            <w:tcW w:w="2144" w:type="dxa"/>
            <w:vAlign w:val="center"/>
          </w:tcPr>
          <w:p w14:paraId="1E156AB4" w14:textId="77777777" w:rsidR="00C93524" w:rsidRPr="00FD7B0B" w:rsidRDefault="00C93524" w:rsidP="00621D6F">
            <w:pPr>
              <w:jc w:val="center"/>
              <w:rPr>
                <w:rFonts w:ascii="Times New Roman" w:hAnsi="Times New Roman"/>
              </w:rPr>
            </w:pPr>
            <w:r w:rsidRPr="00FD7B0B">
              <w:rPr>
                <w:rFonts w:ascii="Times New Roman" w:hAnsi="Times New Roman"/>
              </w:rPr>
              <w:t>59,3</w:t>
            </w:r>
          </w:p>
        </w:tc>
        <w:tc>
          <w:tcPr>
            <w:tcW w:w="2127" w:type="dxa"/>
            <w:vAlign w:val="center"/>
          </w:tcPr>
          <w:p w14:paraId="36AB2E1E" w14:textId="77777777" w:rsidR="00C93524" w:rsidRPr="00FD7B0B" w:rsidRDefault="00C93524" w:rsidP="00621D6F">
            <w:pPr>
              <w:jc w:val="center"/>
              <w:rPr>
                <w:rFonts w:ascii="Times New Roman" w:hAnsi="Times New Roman"/>
              </w:rPr>
            </w:pPr>
            <w:r w:rsidRPr="00FD7B0B">
              <w:rPr>
                <w:rFonts w:ascii="Times New Roman" w:hAnsi="Times New Roman"/>
              </w:rPr>
              <w:t>15 %</w:t>
            </w:r>
          </w:p>
        </w:tc>
        <w:tc>
          <w:tcPr>
            <w:tcW w:w="2126" w:type="dxa"/>
            <w:tcBorders>
              <w:right w:val="double" w:sz="4" w:space="0" w:color="auto"/>
            </w:tcBorders>
            <w:vAlign w:val="center"/>
          </w:tcPr>
          <w:p w14:paraId="60150D9D" w14:textId="77777777" w:rsidR="00C93524" w:rsidRPr="00FD7B0B" w:rsidRDefault="00C93524" w:rsidP="00621D6F">
            <w:pPr>
              <w:jc w:val="center"/>
              <w:rPr>
                <w:rFonts w:ascii="Times New Roman" w:hAnsi="Times New Roman"/>
              </w:rPr>
            </w:pPr>
            <w:r w:rsidRPr="00FD7B0B">
              <w:rPr>
                <w:rFonts w:ascii="Times New Roman" w:hAnsi="Times New Roman"/>
              </w:rPr>
              <w:t>4 года</w:t>
            </w:r>
          </w:p>
        </w:tc>
      </w:tr>
      <w:tr w:rsidR="00FD7B0B" w:rsidRPr="00FD7B0B" w14:paraId="78CB940F" w14:textId="77777777" w:rsidTr="00E63B69">
        <w:tc>
          <w:tcPr>
            <w:tcW w:w="3261" w:type="dxa"/>
            <w:tcBorders>
              <w:left w:val="double" w:sz="4" w:space="0" w:color="auto"/>
            </w:tcBorders>
          </w:tcPr>
          <w:p w14:paraId="7A687A3F" w14:textId="77777777" w:rsidR="00C93524" w:rsidRPr="00FD7B0B" w:rsidRDefault="00C93524" w:rsidP="00621D6F">
            <w:pPr>
              <w:rPr>
                <w:rFonts w:ascii="Times New Roman" w:hAnsi="Times New Roman"/>
              </w:rPr>
            </w:pPr>
            <w:r w:rsidRPr="00FD7B0B">
              <w:rPr>
                <w:rFonts w:ascii="Times New Roman" w:hAnsi="Times New Roman"/>
              </w:rPr>
              <w:t xml:space="preserve">Строительство канализационных сетей и коллекторов, канализационных очистных сооружений </w:t>
            </w:r>
          </w:p>
        </w:tc>
        <w:tc>
          <w:tcPr>
            <w:tcW w:w="2144" w:type="dxa"/>
            <w:vAlign w:val="center"/>
          </w:tcPr>
          <w:p w14:paraId="1526C377" w14:textId="77777777" w:rsidR="00C93524" w:rsidRPr="00FD7B0B" w:rsidRDefault="00C93524" w:rsidP="00621D6F">
            <w:pPr>
              <w:jc w:val="center"/>
              <w:rPr>
                <w:rFonts w:ascii="Times New Roman" w:hAnsi="Times New Roman"/>
              </w:rPr>
            </w:pPr>
            <w:r w:rsidRPr="00FD7B0B">
              <w:rPr>
                <w:rFonts w:ascii="Times New Roman" w:hAnsi="Times New Roman"/>
              </w:rPr>
              <w:t>79,6</w:t>
            </w:r>
          </w:p>
        </w:tc>
        <w:tc>
          <w:tcPr>
            <w:tcW w:w="2127" w:type="dxa"/>
            <w:vAlign w:val="center"/>
          </w:tcPr>
          <w:p w14:paraId="0B257A62" w14:textId="77777777" w:rsidR="00C93524" w:rsidRPr="00FD7B0B" w:rsidRDefault="00C93524" w:rsidP="00621D6F">
            <w:pPr>
              <w:jc w:val="center"/>
              <w:rPr>
                <w:rFonts w:ascii="Times New Roman" w:hAnsi="Times New Roman"/>
              </w:rPr>
            </w:pPr>
            <w:r w:rsidRPr="00FD7B0B">
              <w:rPr>
                <w:rFonts w:ascii="Times New Roman" w:hAnsi="Times New Roman"/>
              </w:rPr>
              <w:t>36 %</w:t>
            </w:r>
          </w:p>
        </w:tc>
        <w:tc>
          <w:tcPr>
            <w:tcW w:w="2126" w:type="dxa"/>
            <w:tcBorders>
              <w:right w:val="double" w:sz="4" w:space="0" w:color="auto"/>
            </w:tcBorders>
            <w:vAlign w:val="center"/>
          </w:tcPr>
          <w:p w14:paraId="37D4C663" w14:textId="77777777" w:rsidR="00C93524" w:rsidRPr="00FD7B0B" w:rsidRDefault="00C93524" w:rsidP="00621D6F">
            <w:pPr>
              <w:jc w:val="center"/>
              <w:rPr>
                <w:rFonts w:ascii="Times New Roman" w:hAnsi="Times New Roman"/>
              </w:rPr>
            </w:pPr>
            <w:r w:rsidRPr="00FD7B0B">
              <w:rPr>
                <w:rFonts w:ascii="Times New Roman" w:hAnsi="Times New Roman"/>
              </w:rPr>
              <w:t>4 года</w:t>
            </w:r>
          </w:p>
        </w:tc>
      </w:tr>
      <w:tr w:rsidR="00FD7B0B" w:rsidRPr="00FD7B0B" w14:paraId="0B693D49" w14:textId="77777777" w:rsidTr="00E63B69">
        <w:tc>
          <w:tcPr>
            <w:tcW w:w="3261" w:type="dxa"/>
            <w:tcBorders>
              <w:left w:val="double" w:sz="4" w:space="0" w:color="auto"/>
              <w:bottom w:val="double" w:sz="4" w:space="0" w:color="auto"/>
            </w:tcBorders>
          </w:tcPr>
          <w:p w14:paraId="4424C3D4" w14:textId="77777777" w:rsidR="00C93524" w:rsidRPr="00FD7B0B" w:rsidRDefault="00C93524" w:rsidP="00621D6F">
            <w:pPr>
              <w:jc w:val="right"/>
              <w:rPr>
                <w:rFonts w:ascii="Times New Roman" w:hAnsi="Times New Roman"/>
                <w:b/>
              </w:rPr>
            </w:pPr>
            <w:r w:rsidRPr="00FD7B0B">
              <w:rPr>
                <w:rFonts w:ascii="Times New Roman" w:hAnsi="Times New Roman"/>
                <w:b/>
              </w:rPr>
              <w:t>ИТОГО:</w:t>
            </w:r>
          </w:p>
        </w:tc>
        <w:tc>
          <w:tcPr>
            <w:tcW w:w="2144" w:type="dxa"/>
            <w:tcBorders>
              <w:bottom w:val="double" w:sz="4" w:space="0" w:color="auto"/>
              <w:right w:val="single" w:sz="4" w:space="0" w:color="auto"/>
            </w:tcBorders>
          </w:tcPr>
          <w:p w14:paraId="51798643" w14:textId="77777777" w:rsidR="00C93524" w:rsidRPr="00FD7B0B" w:rsidRDefault="00C93524" w:rsidP="00621D6F">
            <w:pPr>
              <w:jc w:val="center"/>
              <w:rPr>
                <w:rFonts w:ascii="Times New Roman" w:hAnsi="Times New Roman"/>
              </w:rPr>
            </w:pPr>
            <w:r w:rsidRPr="00FD7B0B">
              <w:rPr>
                <w:rFonts w:ascii="Times New Roman" w:hAnsi="Times New Roman"/>
              </w:rPr>
              <w:t>138,9</w:t>
            </w:r>
          </w:p>
        </w:tc>
        <w:tc>
          <w:tcPr>
            <w:tcW w:w="2127" w:type="dxa"/>
            <w:tcBorders>
              <w:top w:val="single" w:sz="4" w:space="0" w:color="auto"/>
              <w:left w:val="single" w:sz="4" w:space="0" w:color="auto"/>
              <w:bottom w:val="double" w:sz="4" w:space="0" w:color="auto"/>
              <w:right w:val="nil"/>
            </w:tcBorders>
            <w:vAlign w:val="center"/>
          </w:tcPr>
          <w:p w14:paraId="3E20A7E9" w14:textId="77777777" w:rsidR="00C93524" w:rsidRPr="00FD7B0B" w:rsidRDefault="00C93524" w:rsidP="00621D6F">
            <w:pPr>
              <w:jc w:val="center"/>
              <w:rPr>
                <w:rFonts w:ascii="Times New Roman" w:hAnsi="Times New Roman"/>
              </w:rPr>
            </w:pPr>
          </w:p>
        </w:tc>
        <w:tc>
          <w:tcPr>
            <w:tcW w:w="2126" w:type="dxa"/>
            <w:tcBorders>
              <w:top w:val="single" w:sz="4" w:space="0" w:color="auto"/>
              <w:left w:val="nil"/>
              <w:bottom w:val="double" w:sz="4" w:space="0" w:color="auto"/>
              <w:right w:val="double" w:sz="4" w:space="0" w:color="auto"/>
            </w:tcBorders>
            <w:vAlign w:val="center"/>
          </w:tcPr>
          <w:p w14:paraId="05D65AE2" w14:textId="77777777" w:rsidR="00C93524" w:rsidRPr="00FD7B0B" w:rsidRDefault="00C93524" w:rsidP="00621D6F">
            <w:pPr>
              <w:jc w:val="center"/>
              <w:rPr>
                <w:rFonts w:ascii="Times New Roman" w:hAnsi="Times New Roman"/>
              </w:rPr>
            </w:pPr>
          </w:p>
        </w:tc>
      </w:tr>
    </w:tbl>
    <w:p w14:paraId="5F60E14D" w14:textId="77777777" w:rsidR="00621D6F" w:rsidRPr="00FD7B0B" w:rsidRDefault="00621D6F" w:rsidP="00621D6F">
      <w:pPr>
        <w:spacing w:after="0" w:line="240" w:lineRule="auto"/>
        <w:rPr>
          <w:rFonts w:ascii="Times New Roman" w:eastAsia="Calibri" w:hAnsi="Times New Roman" w:cs="Times New Roman"/>
          <w:sz w:val="20"/>
          <w:szCs w:val="20"/>
        </w:rPr>
      </w:pPr>
      <w:r w:rsidRPr="00FD7B0B">
        <w:rPr>
          <w:rFonts w:ascii="Times New Roman" w:eastAsia="Calibri" w:hAnsi="Times New Roman" w:cs="Times New Roman"/>
          <w:sz w:val="20"/>
          <w:szCs w:val="20"/>
        </w:rPr>
        <w:t>* Реестр ОНС АО формируется до 01 июля года, следующего за отчетным по состоянию на 31 декабря отчетного года</w:t>
      </w:r>
    </w:p>
    <w:p w14:paraId="22B02143" w14:textId="77777777" w:rsidR="00621D6F" w:rsidRPr="00FD7B0B" w:rsidRDefault="00621D6F" w:rsidP="00621D6F">
      <w:pPr>
        <w:spacing w:after="0" w:line="240" w:lineRule="auto"/>
        <w:ind w:firstLine="709"/>
        <w:jc w:val="both"/>
        <w:rPr>
          <w:rFonts w:ascii="Times New Roman" w:eastAsia="Calibri" w:hAnsi="Times New Roman" w:cs="Times New Roman"/>
          <w:sz w:val="28"/>
          <w:szCs w:val="28"/>
        </w:rPr>
      </w:pPr>
    </w:p>
    <w:p w14:paraId="59F8DC75" w14:textId="77777777"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соответствии с паспортом комплекса процессных мероприятий «Развитие инфраструктуры Соловецкого архипелага», утвержденного распоряжением агентства по развитию Соловецкого архипелага АО от 26.09.2023 № 9-р в 2024 году осуществлялась реализация 10 мероприятий.</w:t>
      </w:r>
    </w:p>
    <w:p w14:paraId="3B2E5B88" w14:textId="2D671AA2"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1) По объекту «Здание участковой больницы на 40 посещений и стационаром на 10 коек в п. Соловецкий» финансирование ГП № 20 в редакции, действующей на 0</w:t>
      </w:r>
      <w:r w:rsidR="00C93524" w:rsidRPr="00FD7B0B">
        <w:rPr>
          <w:rFonts w:ascii="Times New Roman" w:eastAsia="Calibri" w:hAnsi="Times New Roman" w:cs="Times New Roman"/>
          <w:sz w:val="28"/>
          <w:szCs w:val="28"/>
        </w:rPr>
        <w:t>1.01.2024 предусмотрено 10 млн.</w:t>
      </w:r>
      <w:r w:rsidRPr="00FD7B0B">
        <w:rPr>
          <w:rFonts w:ascii="Times New Roman" w:eastAsia="Calibri" w:hAnsi="Times New Roman" w:cs="Times New Roman"/>
          <w:sz w:val="28"/>
          <w:szCs w:val="28"/>
        </w:rPr>
        <w:t>руб.</w:t>
      </w:r>
    </w:p>
    <w:p w14:paraId="7C7A40E0" w14:textId="255404B5"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состоянию на 07.02.2024 объем финансового обеспеч</w:t>
      </w:r>
      <w:r w:rsidR="00C93524" w:rsidRPr="00FD7B0B">
        <w:rPr>
          <w:rFonts w:ascii="Times New Roman" w:eastAsia="Calibri" w:hAnsi="Times New Roman" w:cs="Times New Roman"/>
          <w:sz w:val="28"/>
          <w:szCs w:val="28"/>
        </w:rPr>
        <w:t>ения составил - 302,0 млн.руб.</w:t>
      </w:r>
    </w:p>
    <w:p w14:paraId="7917D4B9" w14:textId="3ED0A176" w:rsidR="00621D6F" w:rsidRPr="00FD7B0B" w:rsidRDefault="00621D6F" w:rsidP="00621D6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Calibri" w:hAnsi="Times New Roman" w:cs="Times New Roman"/>
          <w:sz w:val="28"/>
          <w:szCs w:val="28"/>
        </w:rPr>
        <w:t xml:space="preserve"> На 31.12.2024 объем финансового обеспечения увеличился до 307,5 </w:t>
      </w:r>
      <w:r w:rsidR="00C93524" w:rsidRPr="00FD7B0B">
        <w:rPr>
          <w:rFonts w:ascii="Times New Roman" w:eastAsia="Calibri" w:hAnsi="Times New Roman" w:cs="Times New Roman"/>
          <w:sz w:val="28"/>
          <w:szCs w:val="28"/>
        </w:rPr>
        <w:t>млн.</w:t>
      </w:r>
      <w:r w:rsidRPr="00FD7B0B">
        <w:rPr>
          <w:rFonts w:ascii="Times New Roman" w:eastAsia="Calibri" w:hAnsi="Times New Roman" w:cs="Times New Roman"/>
          <w:sz w:val="28"/>
          <w:szCs w:val="28"/>
        </w:rPr>
        <w:t xml:space="preserve">руб. Исполнение по </w:t>
      </w:r>
      <w:r w:rsidRPr="00FD7B0B">
        <w:rPr>
          <w:rFonts w:ascii="Times New Roman" w:eastAsia="Times New Roman" w:hAnsi="Times New Roman" w:cs="Times New Roman"/>
          <w:sz w:val="28"/>
          <w:szCs w:val="28"/>
          <w:lang w:eastAsia="ru-RU"/>
        </w:rPr>
        <w:t>СБР на 31</w:t>
      </w:r>
      <w:r w:rsidR="00C93524" w:rsidRPr="00FD7B0B">
        <w:rPr>
          <w:rFonts w:ascii="Times New Roman" w:eastAsia="Times New Roman" w:hAnsi="Times New Roman" w:cs="Times New Roman"/>
          <w:sz w:val="28"/>
          <w:szCs w:val="28"/>
          <w:lang w:eastAsia="ru-RU"/>
        </w:rPr>
        <w:t>.12.2024 составило – 307,5 млн.</w:t>
      </w:r>
      <w:r w:rsidRPr="00FD7B0B">
        <w:rPr>
          <w:rFonts w:ascii="Times New Roman" w:eastAsia="Times New Roman" w:hAnsi="Times New Roman" w:cs="Times New Roman"/>
          <w:sz w:val="28"/>
          <w:szCs w:val="28"/>
          <w:lang w:eastAsia="ru-RU"/>
        </w:rPr>
        <w:t>руб., что составляет 100</w:t>
      </w:r>
      <w:r w:rsidR="00407224"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 в том числе средства областного </w:t>
      </w:r>
      <w:r w:rsidR="00407224" w:rsidRPr="00FD7B0B">
        <w:rPr>
          <w:rFonts w:ascii="Times New Roman" w:eastAsia="Times New Roman" w:hAnsi="Times New Roman" w:cs="Times New Roman"/>
          <w:sz w:val="28"/>
          <w:szCs w:val="28"/>
          <w:lang w:eastAsia="ru-RU"/>
        </w:rPr>
        <w:t>бюджета по ОАИП – 38,9 млн.</w:t>
      </w:r>
      <w:r w:rsidRPr="00FD7B0B">
        <w:rPr>
          <w:rFonts w:ascii="Times New Roman" w:eastAsia="Times New Roman" w:hAnsi="Times New Roman" w:cs="Times New Roman"/>
          <w:sz w:val="28"/>
          <w:szCs w:val="28"/>
          <w:lang w:eastAsia="ru-RU"/>
        </w:rPr>
        <w:t>руб.</w:t>
      </w:r>
    </w:p>
    <w:p w14:paraId="2248A715" w14:textId="2002DF9D" w:rsidR="00621D6F" w:rsidRPr="00FD7B0B" w:rsidRDefault="00621D6F" w:rsidP="00621D6F">
      <w:pPr>
        <w:spacing w:after="0" w:line="240" w:lineRule="auto"/>
        <w:ind w:firstLine="709"/>
        <w:jc w:val="both"/>
        <w:rPr>
          <w:rFonts w:ascii="Times New Roman" w:eastAsia="Calibri" w:hAnsi="Times New Roman" w:cs="Times New Roman"/>
          <w:sz w:val="24"/>
          <w:szCs w:val="24"/>
          <w:lang w:eastAsia="ru-RU"/>
        </w:rPr>
      </w:pPr>
      <w:r w:rsidRPr="00FD7B0B">
        <w:rPr>
          <w:rFonts w:ascii="Times New Roman" w:eastAsia="Calibri" w:hAnsi="Times New Roman" w:cs="Times New Roman"/>
          <w:sz w:val="28"/>
          <w:szCs w:val="28"/>
        </w:rPr>
        <w:t xml:space="preserve">Согласно проекту </w:t>
      </w:r>
      <w:r w:rsidR="00407224" w:rsidRPr="00FD7B0B">
        <w:rPr>
          <w:rFonts w:ascii="Times New Roman" w:eastAsia="Calibri" w:hAnsi="Times New Roman" w:cs="Times New Roman"/>
          <w:sz w:val="28"/>
          <w:szCs w:val="28"/>
        </w:rPr>
        <w:t>о</w:t>
      </w:r>
      <w:r w:rsidRPr="00FD7B0B">
        <w:rPr>
          <w:rFonts w:ascii="Times New Roman" w:eastAsia="Calibri" w:hAnsi="Times New Roman" w:cs="Times New Roman"/>
          <w:sz w:val="28"/>
          <w:szCs w:val="28"/>
        </w:rPr>
        <w:t>тчета об исполнении госпрограммы, фактические расходы по данному мероприятию в 2024 году составили 307,5 млн.руб. Подрядной организацией ООО «Сполохи» в рамках госконтракта от 06.12.2023 в</w:t>
      </w:r>
      <w:r w:rsidRPr="00FD7B0B">
        <w:rPr>
          <w:rFonts w:ascii="Times New Roman" w:eastAsia="Calibri" w:hAnsi="Times New Roman" w:cs="Times New Roman"/>
          <w:sz w:val="28"/>
          <w:szCs w:val="28"/>
          <w:lang w:eastAsia="ru-RU"/>
        </w:rPr>
        <w:t>ыполнены следующие работы: перевозка материала, устройство наружных сетей канализации, водопровода и дренажной системы,</w:t>
      </w:r>
      <w:r w:rsidR="00407224" w:rsidRPr="00FD7B0B">
        <w:rPr>
          <w:rFonts w:ascii="Times New Roman" w:eastAsia="Calibri" w:hAnsi="Times New Roman" w:cs="Times New Roman"/>
          <w:sz w:val="28"/>
          <w:szCs w:val="28"/>
          <w:lang w:eastAsia="ru-RU"/>
        </w:rPr>
        <w:t xml:space="preserve"> внутренние отделочные работы.</w:t>
      </w:r>
    </w:p>
    <w:p w14:paraId="583E9D6E" w14:textId="29495929"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Мероприятие по завершению строительства объекта «Строительство здания участковой больницы на 40 посещений и стационаром на 10 коек в поселке Соловецкий, корректировка проектно-сметной документации, экспертиза проекта, проведение оценки воздействия на объект всемирного наследия ЮНЕСКО» включено в ОАИП на 2024 год и плановый период 2025-2026 годов.</w:t>
      </w:r>
    </w:p>
    <w:p w14:paraId="752A65C4" w14:textId="39FB3162" w:rsidR="00621D6F" w:rsidRPr="00FD7B0B" w:rsidRDefault="00621D6F" w:rsidP="00621D6F">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Объём финансирования на 2025 год по мероприятию п</w:t>
      </w:r>
      <w:r w:rsidR="00407224" w:rsidRPr="00FD7B0B">
        <w:rPr>
          <w:rFonts w:ascii="Times New Roman" w:eastAsia="Times New Roman" w:hAnsi="Times New Roman" w:cs="Times New Roman"/>
          <w:sz w:val="28"/>
          <w:szCs w:val="28"/>
          <w:lang w:eastAsia="ru-RU"/>
        </w:rPr>
        <w:t>редусмотрен в объеме 406,9 млн.</w:t>
      </w:r>
      <w:r w:rsidRPr="00FD7B0B">
        <w:rPr>
          <w:rFonts w:ascii="Times New Roman" w:eastAsia="Times New Roman" w:hAnsi="Times New Roman" w:cs="Times New Roman"/>
          <w:sz w:val="28"/>
          <w:szCs w:val="28"/>
          <w:lang w:eastAsia="ru-RU"/>
        </w:rPr>
        <w:t>руб. (Распоряжение агентства по развитию Соловецкого архипелага от 28.12.2024 № 20-р).</w:t>
      </w:r>
    </w:p>
    <w:p w14:paraId="768F041D" w14:textId="74A26220"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Тем не менее, есть дебиторская задолженность по контракту от 14.12.2020, заключенному между ГКУ АО «ГУКС» (Заказчик) и ООО «Белый дом» на строительство объекта «Здание участковой больницы на 40 посещений и стационаром на 10 коек в поселке Соловецкий». Заказчиком подано исковое заявление от 06.10.2023 № 5106. Решением Арбитражного суда АО от 09.04.2025 взыскано 55 114 923, 04 руб. неосновательного обогащения, 2 852 341,12 руб. пени, 537 200,34 руб. процентов; проценты, начисленные на сумму долга 55 114 923, 04 руб. за период с 09.10.2023 по день фактической оплаты долга исходя из размера ключевой ставки Банка России, действующей в соответствующие периоды просрочки. Решение не вступило в законную силу.</w:t>
      </w:r>
    </w:p>
    <w:p w14:paraId="679DCCBC" w14:textId="77777777"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состоянию на 31.12.2024 итоговые контрольные точки мероприятий (результатов) структурного элемента ГП № 20, ответственным исполнителем по которому является минстрой АО, выполнены в полном объеме.</w:t>
      </w:r>
    </w:p>
    <w:p w14:paraId="2BC44069" w14:textId="77777777"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При этом отклонение от планового исполнения по контрольной точке «Оплата работ по корректировке объекта мероприятия (результата) «Построено здание участковой больницы на 40 посещений и стационаром на 10 коек в п. Соловецкий» обусловлено нарушением сроков выполнения обязательств, предусмотренных государственным контрактом от 06.12.2023, заключенным между ГКУ АО «ГУКС» и ООО «Сполохи-монтаж». В целях устранения нарушения обязательств в адрес ООО «Сполохи-монтаж» направлено требование о взыскании штрафа от 13.03.2025 № 830 (письмо минстроя АО от 05.05.2025 № 201/1613).</w:t>
      </w:r>
    </w:p>
    <w:p w14:paraId="7E12A4D7" w14:textId="70BED23F"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Согласно отчету о реализации мероприятий ГП № 20 за 2024 год, общий объём финансирования ГП из областного бюджета в соответствии со СБР на </w:t>
      </w:r>
      <w:r w:rsidR="00D5686F" w:rsidRPr="00FD7B0B">
        <w:rPr>
          <w:rFonts w:ascii="Times New Roman" w:eastAsia="Calibri" w:hAnsi="Times New Roman" w:cs="Times New Roman"/>
          <w:sz w:val="28"/>
          <w:szCs w:val="28"/>
        </w:rPr>
        <w:t>28.12.2024 составил 338,95 млн.</w:t>
      </w:r>
      <w:r w:rsidRPr="00FD7B0B">
        <w:rPr>
          <w:rFonts w:ascii="Times New Roman" w:eastAsia="Calibri" w:hAnsi="Times New Roman" w:cs="Times New Roman"/>
          <w:sz w:val="28"/>
          <w:szCs w:val="28"/>
        </w:rPr>
        <w:t>руб., в том чи</w:t>
      </w:r>
      <w:r w:rsidR="00D5686F" w:rsidRPr="00FD7B0B">
        <w:rPr>
          <w:rFonts w:ascii="Times New Roman" w:eastAsia="Calibri" w:hAnsi="Times New Roman" w:cs="Times New Roman"/>
          <w:sz w:val="28"/>
          <w:szCs w:val="28"/>
        </w:rPr>
        <w:t xml:space="preserve">сле средства ФБ – </w:t>
      </w:r>
      <w:r w:rsidR="00D5686F" w:rsidRPr="00FD7B0B">
        <w:rPr>
          <w:rFonts w:ascii="Times New Roman" w:eastAsia="Calibri" w:hAnsi="Times New Roman" w:cs="Times New Roman"/>
          <w:sz w:val="28"/>
          <w:szCs w:val="28"/>
        </w:rPr>
        <w:br/>
        <w:t>270, 0 млн.</w:t>
      </w:r>
      <w:r w:rsidRPr="00FD7B0B">
        <w:rPr>
          <w:rFonts w:ascii="Times New Roman" w:eastAsia="Calibri" w:hAnsi="Times New Roman" w:cs="Times New Roman"/>
          <w:sz w:val="28"/>
          <w:szCs w:val="28"/>
        </w:rPr>
        <w:t>руб.</w:t>
      </w:r>
    </w:p>
    <w:p w14:paraId="2C4AC0EC" w14:textId="5A28268E"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отчетном пер</w:t>
      </w:r>
      <w:r w:rsidR="00D5686F" w:rsidRPr="00FD7B0B">
        <w:rPr>
          <w:rFonts w:ascii="Times New Roman" w:eastAsia="Calibri" w:hAnsi="Times New Roman" w:cs="Times New Roman"/>
          <w:sz w:val="28"/>
          <w:szCs w:val="28"/>
        </w:rPr>
        <w:t>иоде не израсходовано 1,15 млн.</w:t>
      </w:r>
      <w:r w:rsidRPr="00FD7B0B">
        <w:rPr>
          <w:rFonts w:ascii="Times New Roman" w:eastAsia="Calibri" w:hAnsi="Times New Roman" w:cs="Times New Roman"/>
          <w:sz w:val="28"/>
          <w:szCs w:val="28"/>
        </w:rPr>
        <w:t>руб., экономия средств на командировочные расходы, заработную плату и коммунальные услуги в рамках деятельности агентства.</w:t>
      </w:r>
    </w:p>
    <w:p w14:paraId="4AD7D81A" w14:textId="77777777" w:rsidR="00621D6F" w:rsidRPr="00FD7B0B" w:rsidRDefault="00621D6F" w:rsidP="00621D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Следует отметить, что в отчете представлена информация об исполнении плана реализации мероприятий госпрограммы. Согласно проекту распоряжения об утверждении отчета о реализации ГП № 20 в 2024 году, эффективность реализации госпрограммы признана высокой.</w:t>
      </w:r>
    </w:p>
    <w:p w14:paraId="558A4A64" w14:textId="77777777" w:rsidR="00621D6F" w:rsidRPr="00FD7B0B" w:rsidRDefault="00621D6F" w:rsidP="00621D6F">
      <w:pPr>
        <w:spacing w:after="0" w:line="240" w:lineRule="auto"/>
        <w:ind w:firstLine="709"/>
        <w:jc w:val="both"/>
      </w:pPr>
      <w:r w:rsidRPr="00FD7B0B">
        <w:rPr>
          <w:rFonts w:ascii="Times New Roman" w:eastAsia="Calibri" w:hAnsi="Times New Roman" w:cs="Times New Roman"/>
          <w:sz w:val="28"/>
          <w:szCs w:val="28"/>
        </w:rPr>
        <w:t>Мероприятия (результаты) и контрольные точки мероприятий (результатов) структурного элемента ГП АО, в отношении которых не выполняется план реализации отсутствуют.</w:t>
      </w:r>
    </w:p>
    <w:p w14:paraId="2B578CFC" w14:textId="1B9A1D46" w:rsidR="00D304BC" w:rsidRPr="00FD7B0B" w:rsidRDefault="009B516C" w:rsidP="00D304BC">
      <w:pPr>
        <w:pStyle w:val="3"/>
        <w:spacing w:line="240" w:lineRule="auto"/>
        <w:jc w:val="center"/>
        <w:rPr>
          <w:rFonts w:ascii="Times New Roman" w:hAnsi="Times New Roman"/>
          <w:b w:val="0"/>
          <w:sz w:val="28"/>
          <w:szCs w:val="28"/>
          <w:u w:val="single"/>
          <w:lang w:val="ru-RU"/>
        </w:rPr>
      </w:pPr>
      <w:bookmarkStart w:id="143" w:name="_Toc198819147"/>
      <w:r w:rsidRPr="00FD7B0B">
        <w:rPr>
          <w:rFonts w:ascii="Times New Roman" w:hAnsi="Times New Roman"/>
          <w:b w:val="0"/>
          <w:sz w:val="28"/>
          <w:szCs w:val="28"/>
          <w:u w:val="single"/>
          <w:lang w:val="ru-RU"/>
        </w:rPr>
        <w:t>4</w:t>
      </w:r>
      <w:r w:rsidR="00D304BC"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lang w:val="ru-RU"/>
        </w:rPr>
        <w:t>.1</w:t>
      </w:r>
      <w:r w:rsidR="007F7958" w:rsidRPr="00FD7B0B">
        <w:rPr>
          <w:rFonts w:ascii="Times New Roman" w:hAnsi="Times New Roman"/>
          <w:b w:val="0"/>
          <w:sz w:val="28"/>
          <w:szCs w:val="28"/>
          <w:u w:val="single"/>
          <w:lang w:val="ru-RU"/>
        </w:rPr>
        <w:t>4</w:t>
      </w:r>
      <w:r w:rsidR="00D304BC" w:rsidRPr="00FD7B0B">
        <w:rPr>
          <w:rFonts w:ascii="Times New Roman" w:hAnsi="Times New Roman"/>
          <w:b w:val="0"/>
          <w:sz w:val="28"/>
          <w:szCs w:val="28"/>
          <w:u w:val="single"/>
          <w:lang w:val="ru-RU"/>
        </w:rPr>
        <w:t xml:space="preserve">. Государственная программа Архангельской области </w:t>
      </w:r>
      <w:r w:rsidR="00743ABC" w:rsidRPr="00FD7B0B">
        <w:rPr>
          <w:rFonts w:ascii="Times New Roman" w:hAnsi="Times New Roman"/>
          <w:b w:val="0"/>
          <w:sz w:val="28"/>
          <w:szCs w:val="28"/>
          <w:u w:val="single"/>
          <w:lang w:val="ru-RU"/>
        </w:rPr>
        <w:t>«</w:t>
      </w:r>
      <w:r w:rsidR="00D304BC" w:rsidRPr="00FD7B0B">
        <w:rPr>
          <w:rFonts w:ascii="Times New Roman" w:hAnsi="Times New Roman"/>
          <w:b w:val="0"/>
          <w:sz w:val="28"/>
          <w:szCs w:val="28"/>
          <w:u w:val="single"/>
          <w:lang w:val="ru-RU"/>
        </w:rPr>
        <w:t>Комплексное развитие сельских территорий Архангельской области</w:t>
      </w:r>
      <w:r w:rsidR="00743ABC" w:rsidRPr="00FD7B0B">
        <w:rPr>
          <w:rFonts w:ascii="Times New Roman" w:hAnsi="Times New Roman"/>
          <w:b w:val="0"/>
          <w:sz w:val="28"/>
          <w:szCs w:val="28"/>
          <w:u w:val="single"/>
          <w:lang w:val="ru-RU"/>
        </w:rPr>
        <w:t>»</w:t>
      </w:r>
      <w:bookmarkEnd w:id="143"/>
    </w:p>
    <w:p w14:paraId="2DC7D32A" w14:textId="64E38CCB" w:rsidR="001252CE" w:rsidRPr="00FD7B0B" w:rsidRDefault="001252CE" w:rsidP="001252CE">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eastAsia="Times New Roman" w:hAnsi="Times New Roman"/>
          <w:sz w:val="28"/>
          <w:szCs w:val="28"/>
          <w:lang w:eastAsia="ru-RU"/>
        </w:rPr>
        <w:t>Государственная программа Архангельской области «</w:t>
      </w:r>
      <w:r w:rsidRPr="00FD7B0B">
        <w:rPr>
          <w:rFonts w:ascii="Times New Roman" w:hAnsi="Times New Roman"/>
          <w:sz w:val="28"/>
          <w:szCs w:val="28"/>
        </w:rPr>
        <w:t>Комплексное развитие сельских территорий Архангельской области</w:t>
      </w:r>
      <w:r w:rsidRPr="00FD7B0B">
        <w:rPr>
          <w:rFonts w:ascii="Times New Roman" w:eastAsia="Times New Roman" w:hAnsi="Times New Roman"/>
          <w:sz w:val="28"/>
          <w:szCs w:val="28"/>
          <w:lang w:eastAsia="ru-RU"/>
        </w:rPr>
        <w:t xml:space="preserve">» утверждена </w:t>
      </w:r>
      <w:r w:rsidRPr="00FD7B0B">
        <w:rPr>
          <w:rFonts w:ascii="Times New Roman" w:eastAsia="Times New Roman" w:hAnsi="Times New Roman"/>
          <w:sz w:val="28"/>
          <w:szCs w:val="28"/>
          <w:lang w:eastAsia="ru-RU"/>
        </w:rPr>
        <w:lastRenderedPageBreak/>
        <w:t xml:space="preserve">постановлением Правительства Архангельской области от </w:t>
      </w:r>
      <w:r w:rsidRPr="00FD7B0B">
        <w:rPr>
          <w:rFonts w:ascii="Times New Roman" w:hAnsi="Times New Roman"/>
          <w:sz w:val="28"/>
          <w:szCs w:val="28"/>
        </w:rPr>
        <w:t>24.09.2019 № 510-пп</w:t>
      </w:r>
      <w:r w:rsidRPr="00FD7B0B">
        <w:rPr>
          <w:rFonts w:ascii="Times New Roman" w:eastAsia="Times New Roman" w:hAnsi="Times New Roman"/>
          <w:sz w:val="28"/>
          <w:szCs w:val="28"/>
          <w:lang w:eastAsia="ru-RU"/>
        </w:rPr>
        <w:t xml:space="preserve"> (далее – ГП № 25, госпрограмма).</w:t>
      </w:r>
    </w:p>
    <w:p w14:paraId="65FCC8CC" w14:textId="21B9E5A6"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Госпрограмм включает в себя следующие структурные элементы:</w:t>
      </w:r>
    </w:p>
    <w:p w14:paraId="2DB03272" w14:textId="77777777" w:rsidR="001252CE" w:rsidRPr="00FD7B0B" w:rsidRDefault="001252CE" w:rsidP="001252CE">
      <w:pPr>
        <w:spacing w:after="0" w:line="240" w:lineRule="auto"/>
        <w:ind w:firstLine="709"/>
        <w:contextualSpacing/>
        <w:jc w:val="both"/>
        <w:rPr>
          <w:rFonts w:ascii="Times New Roman" w:hAnsi="Times New Roman" w:cs="Times New Roman"/>
          <w:sz w:val="28"/>
          <w:szCs w:val="28"/>
        </w:rPr>
      </w:pPr>
      <w:r w:rsidRPr="00FD7B0B">
        <w:rPr>
          <w:rFonts w:ascii="Times New Roman" w:eastAsia="Times New Roman" w:hAnsi="Times New Roman" w:cs="Times New Roman"/>
          <w:sz w:val="28"/>
          <w:szCs w:val="28"/>
          <w:lang w:eastAsia="ru-RU"/>
        </w:rPr>
        <w:t xml:space="preserve">1. Проектная часть ГП № 25: </w:t>
      </w:r>
      <w:r w:rsidRPr="00FD7B0B">
        <w:rPr>
          <w:rFonts w:ascii="Times New Roman" w:hAnsi="Times New Roman" w:cs="Times New Roman"/>
          <w:sz w:val="28"/>
          <w:szCs w:val="28"/>
        </w:rPr>
        <w:t>РП «Развитие жилищного строительства на сельских территориях и повышение уровня благоустройства домовладений» (далее – РП № 1), РП «Содействие занятости сельского населения» (далее – РП № 2), РП «Благоустройство сельских территорий» (далее – РП № 3), РП «Развитие транспортной инфраструктуры на сельских территория» (далее – РП № 4), РП «Современный облик сельских территорий» (далее – РП № 5).</w:t>
      </w:r>
    </w:p>
    <w:p w14:paraId="5B8C0E50" w14:textId="77777777" w:rsidR="001252CE" w:rsidRPr="00FD7B0B" w:rsidRDefault="001252CE" w:rsidP="001252CE">
      <w:pPr>
        <w:spacing w:after="0" w:line="240" w:lineRule="auto"/>
        <w:ind w:firstLine="709"/>
        <w:contextualSpacing/>
        <w:jc w:val="both"/>
        <w:rPr>
          <w:rFonts w:ascii="Times New Roman" w:hAnsi="Times New Roman" w:cs="Times New Roman"/>
          <w:sz w:val="28"/>
          <w:szCs w:val="28"/>
        </w:rPr>
      </w:pPr>
      <w:r w:rsidRPr="00FD7B0B">
        <w:rPr>
          <w:rFonts w:ascii="Times New Roman" w:hAnsi="Times New Roman" w:cs="Times New Roman"/>
          <w:sz w:val="28"/>
          <w:szCs w:val="28"/>
        </w:rPr>
        <w:t>2. Процессная часть ГП № 25: КПМ «Сопровождение мероприятий по комплексному развитию сельских территорий Архангельской области» (далее – КПМ).</w:t>
      </w:r>
    </w:p>
    <w:p w14:paraId="270DF72B"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Ответственным исполнителем госпрограммы является </w:t>
      </w:r>
      <w:r w:rsidRPr="00FD7B0B">
        <w:rPr>
          <w:rFonts w:ascii="Times New Roman" w:hAnsi="Times New Roman"/>
          <w:sz w:val="28"/>
          <w:szCs w:val="28"/>
        </w:rPr>
        <w:t>министерство агропромышленного комплекса и торговли Архангельской области</w:t>
      </w:r>
      <w:r w:rsidRPr="00FD7B0B">
        <w:rPr>
          <w:rFonts w:ascii="Times New Roman" w:eastAsia="Times New Roman" w:hAnsi="Times New Roman"/>
          <w:sz w:val="28"/>
          <w:szCs w:val="28"/>
          <w:lang w:eastAsia="ru-RU"/>
        </w:rPr>
        <w:t xml:space="preserve"> (далее – минагропром АО).</w:t>
      </w:r>
    </w:p>
    <w:p w14:paraId="5DCFF9DF"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На реализацию мероприятий ГП № 25 на 2024 год, в редакции, действовавшей на 01.01.2024, утверждено финансирование в общей сумме 1 199,2</w:t>
      </w:r>
      <w:r w:rsidRPr="00FD7B0B">
        <w:rPr>
          <w:rFonts w:ascii="Times New Roman" w:hAnsi="Times New Roman"/>
          <w:sz w:val="28"/>
          <w:szCs w:val="28"/>
        </w:rPr>
        <w:t xml:space="preserve"> </w:t>
      </w:r>
      <w:r w:rsidRPr="00FD7B0B">
        <w:rPr>
          <w:rFonts w:ascii="Times New Roman" w:eastAsia="Times New Roman" w:hAnsi="Times New Roman"/>
          <w:sz w:val="28"/>
          <w:szCs w:val="28"/>
          <w:lang w:eastAsia="ru-RU"/>
        </w:rPr>
        <w:t>млн.руб., в т.ч. за счет областного бюджета – 855,5 млн.руб.</w:t>
      </w:r>
    </w:p>
    <w:p w14:paraId="0EB1C445" w14:textId="6AFF1978"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За 2024 год в ГП № 25 внесены изменения, увеличившие сумму расходов на 2024 год на 66,8</w:t>
      </w:r>
      <w:r w:rsidRPr="00FD7B0B">
        <w:rPr>
          <w:rFonts w:ascii="Times New Roman" w:hAnsi="Times New Roman"/>
          <w:sz w:val="28"/>
          <w:szCs w:val="28"/>
        </w:rPr>
        <w:t xml:space="preserve"> </w:t>
      </w:r>
      <w:r w:rsidRPr="00FD7B0B">
        <w:rPr>
          <w:rFonts w:ascii="Times New Roman" w:eastAsia="Times New Roman" w:hAnsi="Times New Roman"/>
          <w:sz w:val="28"/>
          <w:szCs w:val="28"/>
          <w:lang w:eastAsia="ru-RU"/>
        </w:rPr>
        <w:t xml:space="preserve">млн.руб. (6 %). В разрезе структурных элементов сведения представлены в таблице </w:t>
      </w:r>
      <w:r w:rsidR="0070073F" w:rsidRPr="00FD7B0B">
        <w:rPr>
          <w:rFonts w:ascii="Times New Roman" w:eastAsia="Times New Roman" w:hAnsi="Times New Roman"/>
          <w:sz w:val="28"/>
          <w:szCs w:val="28"/>
          <w:lang w:eastAsia="ru-RU"/>
        </w:rPr>
        <w:t>205</w:t>
      </w:r>
      <w:r w:rsidRPr="00FD7B0B">
        <w:rPr>
          <w:rFonts w:ascii="Times New Roman" w:eastAsia="Times New Roman" w:hAnsi="Times New Roman"/>
          <w:sz w:val="28"/>
          <w:szCs w:val="28"/>
          <w:lang w:eastAsia="ru-RU"/>
        </w:rPr>
        <w:t>.</w:t>
      </w:r>
    </w:p>
    <w:p w14:paraId="54C33FE4" w14:textId="77777777" w:rsidR="001252CE" w:rsidRPr="00FD7B0B" w:rsidRDefault="001252CE" w:rsidP="00112DE6">
      <w:pPr>
        <w:spacing w:after="0" w:line="240" w:lineRule="auto"/>
        <w:ind w:firstLine="851"/>
        <w:contextualSpacing/>
        <w:jc w:val="both"/>
        <w:rPr>
          <w:rFonts w:ascii="Times New Roman" w:eastAsia="Times New Roman" w:hAnsi="Times New Roman" w:cs="Times New Roman"/>
          <w:sz w:val="24"/>
          <w:szCs w:val="24"/>
          <w:lang w:eastAsia="ru-RU"/>
        </w:rPr>
      </w:pPr>
    </w:p>
    <w:p w14:paraId="6176E9D7" w14:textId="2DC652FD" w:rsidR="001252CE" w:rsidRPr="00FD7B0B" w:rsidRDefault="00112DE6" w:rsidP="00112DE6">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205</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1252CE" w:rsidRPr="00FD7B0B">
        <w:rPr>
          <w:rFonts w:ascii="Times New Roman" w:hAnsi="Times New Roman"/>
          <w:b w:val="0"/>
          <w:sz w:val="24"/>
          <w:szCs w:val="24"/>
        </w:rPr>
        <w:t>Изменения, внесенные в объемы финансирования мероприятий ГП № 25 за год в разрезе подпрограмм и источников финансирования, млн.руб.</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139"/>
        <w:gridCol w:w="1287"/>
        <w:gridCol w:w="1293"/>
        <w:gridCol w:w="1551"/>
        <w:gridCol w:w="1337"/>
      </w:tblGrid>
      <w:tr w:rsidR="00FD7B0B" w:rsidRPr="00FD7B0B" w14:paraId="7F619699" w14:textId="77777777" w:rsidTr="001252CE">
        <w:trPr>
          <w:trHeight w:val="403"/>
          <w:tblHeader/>
        </w:trPr>
        <w:tc>
          <w:tcPr>
            <w:tcW w:w="2154" w:type="pct"/>
            <w:vMerge w:val="restart"/>
          </w:tcPr>
          <w:p w14:paraId="29F5B90B"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Подпрограмма, источник финансирования</w:t>
            </w:r>
          </w:p>
        </w:tc>
        <w:tc>
          <w:tcPr>
            <w:tcW w:w="670" w:type="pct"/>
            <w:vMerge w:val="restart"/>
          </w:tcPr>
          <w:p w14:paraId="52C8AFF7"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Редакция ГП № 25 на 01.01.2024</w:t>
            </w:r>
          </w:p>
        </w:tc>
        <w:tc>
          <w:tcPr>
            <w:tcW w:w="673" w:type="pct"/>
            <w:vMerge w:val="restart"/>
          </w:tcPr>
          <w:p w14:paraId="78136FD1"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Редакция ГП № 25 на 31.12.2024</w:t>
            </w:r>
          </w:p>
        </w:tc>
        <w:tc>
          <w:tcPr>
            <w:tcW w:w="1503" w:type="pct"/>
            <w:gridSpan w:val="2"/>
          </w:tcPr>
          <w:p w14:paraId="1CB5A402"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Изменения за отчетный период (+/-)</w:t>
            </w:r>
          </w:p>
        </w:tc>
      </w:tr>
      <w:tr w:rsidR="00FD7B0B" w:rsidRPr="00FD7B0B" w14:paraId="43A27501" w14:textId="77777777" w:rsidTr="001252CE">
        <w:trPr>
          <w:trHeight w:val="166"/>
          <w:tblHeader/>
        </w:trPr>
        <w:tc>
          <w:tcPr>
            <w:tcW w:w="2154" w:type="pct"/>
            <w:vMerge/>
          </w:tcPr>
          <w:p w14:paraId="5DDB5C6C" w14:textId="77777777" w:rsidR="001252CE" w:rsidRPr="00FD7B0B" w:rsidRDefault="001252CE" w:rsidP="001252CE">
            <w:pPr>
              <w:contextualSpacing/>
              <w:jc w:val="center"/>
              <w:rPr>
                <w:rFonts w:ascii="Times New Roman" w:eastAsia="Times New Roman" w:hAnsi="Times New Roman"/>
              </w:rPr>
            </w:pPr>
          </w:p>
        </w:tc>
        <w:tc>
          <w:tcPr>
            <w:tcW w:w="670" w:type="pct"/>
            <w:vMerge/>
          </w:tcPr>
          <w:p w14:paraId="43758A5A" w14:textId="77777777" w:rsidR="001252CE" w:rsidRPr="00FD7B0B" w:rsidRDefault="001252CE" w:rsidP="001252CE">
            <w:pPr>
              <w:contextualSpacing/>
              <w:jc w:val="center"/>
              <w:rPr>
                <w:rFonts w:ascii="Times New Roman" w:eastAsia="Times New Roman" w:hAnsi="Times New Roman"/>
              </w:rPr>
            </w:pPr>
          </w:p>
        </w:tc>
        <w:tc>
          <w:tcPr>
            <w:tcW w:w="673" w:type="pct"/>
            <w:vMerge/>
          </w:tcPr>
          <w:p w14:paraId="0F4986D9" w14:textId="77777777" w:rsidR="001252CE" w:rsidRPr="00FD7B0B" w:rsidRDefault="001252CE" w:rsidP="001252CE">
            <w:pPr>
              <w:contextualSpacing/>
              <w:jc w:val="center"/>
              <w:rPr>
                <w:rFonts w:ascii="Times New Roman" w:eastAsia="Times New Roman" w:hAnsi="Times New Roman"/>
              </w:rPr>
            </w:pPr>
          </w:p>
        </w:tc>
        <w:tc>
          <w:tcPr>
            <w:tcW w:w="807" w:type="pct"/>
          </w:tcPr>
          <w:p w14:paraId="12C6F8BE"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млн.руб.</w:t>
            </w:r>
          </w:p>
        </w:tc>
        <w:tc>
          <w:tcPr>
            <w:tcW w:w="696" w:type="pct"/>
          </w:tcPr>
          <w:p w14:paraId="7641568E"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w:t>
            </w:r>
          </w:p>
        </w:tc>
      </w:tr>
      <w:tr w:rsidR="00FD7B0B" w:rsidRPr="00FD7B0B" w14:paraId="63965948" w14:textId="77777777" w:rsidTr="001252CE">
        <w:tc>
          <w:tcPr>
            <w:tcW w:w="2154" w:type="pct"/>
          </w:tcPr>
          <w:p w14:paraId="4A6F8519" w14:textId="77777777" w:rsidR="001252CE" w:rsidRPr="00FD7B0B" w:rsidRDefault="001252CE" w:rsidP="001252CE">
            <w:pPr>
              <w:contextualSpacing/>
              <w:jc w:val="both"/>
              <w:rPr>
                <w:rFonts w:ascii="Times New Roman" w:eastAsia="Times New Roman" w:hAnsi="Times New Roman"/>
              </w:rPr>
            </w:pPr>
            <w:r w:rsidRPr="00FD7B0B">
              <w:rPr>
                <w:rFonts w:ascii="Times New Roman" w:eastAsia="Times New Roman" w:hAnsi="Times New Roman"/>
              </w:rPr>
              <w:t>РП № 1</w:t>
            </w:r>
          </w:p>
        </w:tc>
        <w:tc>
          <w:tcPr>
            <w:tcW w:w="670" w:type="pct"/>
            <w:vAlign w:val="center"/>
          </w:tcPr>
          <w:p w14:paraId="3351F2D7"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187,1</w:t>
            </w:r>
          </w:p>
        </w:tc>
        <w:tc>
          <w:tcPr>
            <w:tcW w:w="673" w:type="pct"/>
            <w:vAlign w:val="center"/>
          </w:tcPr>
          <w:p w14:paraId="69DDE504"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135,9</w:t>
            </w:r>
          </w:p>
        </w:tc>
        <w:tc>
          <w:tcPr>
            <w:tcW w:w="807" w:type="pct"/>
            <w:vAlign w:val="center"/>
          </w:tcPr>
          <w:p w14:paraId="00A7AC2A"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-51,2</w:t>
            </w:r>
          </w:p>
        </w:tc>
        <w:tc>
          <w:tcPr>
            <w:tcW w:w="696" w:type="pct"/>
            <w:vAlign w:val="center"/>
          </w:tcPr>
          <w:p w14:paraId="3B847557"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-27</w:t>
            </w:r>
          </w:p>
        </w:tc>
      </w:tr>
      <w:tr w:rsidR="00FD7B0B" w:rsidRPr="00FD7B0B" w14:paraId="40639D0D" w14:textId="77777777" w:rsidTr="001252CE">
        <w:tc>
          <w:tcPr>
            <w:tcW w:w="2154" w:type="pct"/>
          </w:tcPr>
          <w:p w14:paraId="19EBF9D2" w14:textId="77777777" w:rsidR="001252CE" w:rsidRPr="00FD7B0B" w:rsidRDefault="001252CE" w:rsidP="001252CE">
            <w:pPr>
              <w:ind w:left="1153"/>
              <w:contextualSpacing/>
              <w:jc w:val="both"/>
              <w:rPr>
                <w:rFonts w:ascii="Times New Roman" w:eastAsia="Times New Roman" w:hAnsi="Times New Roman"/>
              </w:rPr>
            </w:pPr>
            <w:r w:rsidRPr="00FD7B0B">
              <w:rPr>
                <w:rFonts w:ascii="Times New Roman" w:eastAsia="Times New Roman" w:hAnsi="Times New Roman"/>
              </w:rPr>
              <w:t>в том числе областной бюджет</w:t>
            </w:r>
          </w:p>
        </w:tc>
        <w:tc>
          <w:tcPr>
            <w:tcW w:w="670" w:type="pct"/>
            <w:vAlign w:val="center"/>
          </w:tcPr>
          <w:p w14:paraId="0CDBBEE4"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46,0</w:t>
            </w:r>
          </w:p>
        </w:tc>
        <w:tc>
          <w:tcPr>
            <w:tcW w:w="673" w:type="pct"/>
            <w:vAlign w:val="center"/>
          </w:tcPr>
          <w:p w14:paraId="6536DCE2"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63,1</w:t>
            </w:r>
          </w:p>
        </w:tc>
        <w:tc>
          <w:tcPr>
            <w:tcW w:w="807" w:type="pct"/>
            <w:vAlign w:val="center"/>
          </w:tcPr>
          <w:p w14:paraId="04C4C2D1"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17,1</w:t>
            </w:r>
          </w:p>
        </w:tc>
        <w:tc>
          <w:tcPr>
            <w:tcW w:w="696" w:type="pct"/>
            <w:vAlign w:val="center"/>
          </w:tcPr>
          <w:p w14:paraId="0B7270F2"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37</w:t>
            </w:r>
          </w:p>
        </w:tc>
      </w:tr>
      <w:tr w:rsidR="00FD7B0B" w:rsidRPr="00FD7B0B" w14:paraId="3B540BB2" w14:textId="77777777" w:rsidTr="001252CE">
        <w:tc>
          <w:tcPr>
            <w:tcW w:w="2154" w:type="pct"/>
          </w:tcPr>
          <w:p w14:paraId="488CCAD9" w14:textId="77777777" w:rsidR="001252CE" w:rsidRPr="00FD7B0B" w:rsidRDefault="001252CE" w:rsidP="001252CE">
            <w:pPr>
              <w:contextualSpacing/>
              <w:jc w:val="both"/>
              <w:rPr>
                <w:rFonts w:ascii="Times New Roman" w:eastAsia="Times New Roman" w:hAnsi="Times New Roman"/>
              </w:rPr>
            </w:pPr>
            <w:r w:rsidRPr="00FD7B0B">
              <w:rPr>
                <w:rFonts w:ascii="Times New Roman" w:eastAsia="Times New Roman" w:hAnsi="Times New Roman"/>
              </w:rPr>
              <w:t xml:space="preserve">РП № </w:t>
            </w:r>
            <w:r w:rsidRPr="00FD7B0B">
              <w:rPr>
                <w:rFonts w:ascii="Times New Roman" w:eastAsia="Times New Roman" w:hAnsi="Times New Roman"/>
                <w:lang w:val="en-US"/>
              </w:rPr>
              <w:t>2</w:t>
            </w:r>
          </w:p>
        </w:tc>
        <w:tc>
          <w:tcPr>
            <w:tcW w:w="670" w:type="pct"/>
            <w:vAlign w:val="center"/>
          </w:tcPr>
          <w:p w14:paraId="5C4EB97A"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58,4</w:t>
            </w:r>
          </w:p>
        </w:tc>
        <w:tc>
          <w:tcPr>
            <w:tcW w:w="673" w:type="pct"/>
            <w:vAlign w:val="center"/>
          </w:tcPr>
          <w:p w14:paraId="532E6492"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8,9</w:t>
            </w:r>
          </w:p>
        </w:tc>
        <w:tc>
          <w:tcPr>
            <w:tcW w:w="807" w:type="pct"/>
            <w:vAlign w:val="center"/>
          </w:tcPr>
          <w:p w14:paraId="35D51A6B"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-49,5</w:t>
            </w:r>
          </w:p>
        </w:tc>
        <w:tc>
          <w:tcPr>
            <w:tcW w:w="696" w:type="pct"/>
            <w:vAlign w:val="center"/>
          </w:tcPr>
          <w:p w14:paraId="4B634B7E"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-85</w:t>
            </w:r>
          </w:p>
        </w:tc>
      </w:tr>
      <w:tr w:rsidR="00FD7B0B" w:rsidRPr="00FD7B0B" w14:paraId="20B514AB" w14:textId="77777777" w:rsidTr="001252CE">
        <w:tc>
          <w:tcPr>
            <w:tcW w:w="2154" w:type="pct"/>
          </w:tcPr>
          <w:p w14:paraId="22518D39" w14:textId="77777777" w:rsidR="001252CE" w:rsidRPr="00FD7B0B" w:rsidRDefault="001252CE" w:rsidP="001252CE">
            <w:pPr>
              <w:ind w:left="1153"/>
              <w:contextualSpacing/>
              <w:jc w:val="both"/>
              <w:rPr>
                <w:rFonts w:ascii="Times New Roman" w:eastAsia="Times New Roman" w:hAnsi="Times New Roman"/>
              </w:rPr>
            </w:pPr>
            <w:r w:rsidRPr="00FD7B0B">
              <w:rPr>
                <w:rFonts w:ascii="Times New Roman" w:eastAsia="Times New Roman" w:hAnsi="Times New Roman"/>
              </w:rPr>
              <w:t>в том числе областной бюджет</w:t>
            </w:r>
          </w:p>
        </w:tc>
        <w:tc>
          <w:tcPr>
            <w:tcW w:w="670" w:type="pct"/>
            <w:vAlign w:val="center"/>
          </w:tcPr>
          <w:p w14:paraId="2DA38A37"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23,8</w:t>
            </w:r>
          </w:p>
        </w:tc>
        <w:tc>
          <w:tcPr>
            <w:tcW w:w="673" w:type="pct"/>
            <w:vAlign w:val="center"/>
          </w:tcPr>
          <w:p w14:paraId="75FA36E5"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5,0</w:t>
            </w:r>
          </w:p>
        </w:tc>
        <w:tc>
          <w:tcPr>
            <w:tcW w:w="807" w:type="pct"/>
            <w:vAlign w:val="center"/>
          </w:tcPr>
          <w:p w14:paraId="1B18E402"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-18,8</w:t>
            </w:r>
          </w:p>
        </w:tc>
        <w:tc>
          <w:tcPr>
            <w:tcW w:w="696" w:type="pct"/>
            <w:vAlign w:val="center"/>
          </w:tcPr>
          <w:p w14:paraId="24EFDB19"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-79</w:t>
            </w:r>
          </w:p>
        </w:tc>
      </w:tr>
      <w:tr w:rsidR="00FD7B0B" w:rsidRPr="00FD7B0B" w14:paraId="3A01307D" w14:textId="77777777" w:rsidTr="001252CE">
        <w:tc>
          <w:tcPr>
            <w:tcW w:w="2154" w:type="pct"/>
          </w:tcPr>
          <w:p w14:paraId="5DE69BA4" w14:textId="77777777" w:rsidR="001252CE" w:rsidRPr="00FD7B0B" w:rsidRDefault="001252CE" w:rsidP="001252CE">
            <w:pPr>
              <w:contextualSpacing/>
              <w:jc w:val="both"/>
              <w:rPr>
                <w:rFonts w:ascii="Times New Roman" w:eastAsia="Times New Roman" w:hAnsi="Times New Roman"/>
              </w:rPr>
            </w:pPr>
            <w:r w:rsidRPr="00FD7B0B">
              <w:rPr>
                <w:rFonts w:ascii="Times New Roman" w:eastAsia="Times New Roman" w:hAnsi="Times New Roman"/>
              </w:rPr>
              <w:t xml:space="preserve">РП № </w:t>
            </w:r>
            <w:r w:rsidRPr="00FD7B0B">
              <w:rPr>
                <w:rFonts w:ascii="Times New Roman" w:eastAsia="Times New Roman" w:hAnsi="Times New Roman"/>
                <w:lang w:val="en-US"/>
              </w:rPr>
              <w:t>3</w:t>
            </w:r>
          </w:p>
        </w:tc>
        <w:tc>
          <w:tcPr>
            <w:tcW w:w="670" w:type="pct"/>
            <w:vAlign w:val="center"/>
          </w:tcPr>
          <w:p w14:paraId="72EDD344"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20,3</w:t>
            </w:r>
          </w:p>
        </w:tc>
        <w:tc>
          <w:tcPr>
            <w:tcW w:w="673" w:type="pct"/>
            <w:vAlign w:val="center"/>
          </w:tcPr>
          <w:p w14:paraId="28CEDF1A"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22,2</w:t>
            </w:r>
          </w:p>
        </w:tc>
        <w:tc>
          <w:tcPr>
            <w:tcW w:w="807" w:type="pct"/>
            <w:vAlign w:val="center"/>
          </w:tcPr>
          <w:p w14:paraId="2351A49D"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1,9</w:t>
            </w:r>
          </w:p>
        </w:tc>
        <w:tc>
          <w:tcPr>
            <w:tcW w:w="696" w:type="pct"/>
            <w:vAlign w:val="center"/>
          </w:tcPr>
          <w:p w14:paraId="0E24EF68"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9</w:t>
            </w:r>
          </w:p>
        </w:tc>
      </w:tr>
      <w:tr w:rsidR="00FD7B0B" w:rsidRPr="00FD7B0B" w14:paraId="53111465" w14:textId="77777777" w:rsidTr="001252CE">
        <w:tc>
          <w:tcPr>
            <w:tcW w:w="2154" w:type="pct"/>
          </w:tcPr>
          <w:p w14:paraId="5AADFEBB" w14:textId="77777777" w:rsidR="001252CE" w:rsidRPr="00FD7B0B" w:rsidRDefault="001252CE" w:rsidP="001252CE">
            <w:pPr>
              <w:ind w:left="1153"/>
              <w:contextualSpacing/>
              <w:jc w:val="both"/>
              <w:rPr>
                <w:rFonts w:ascii="Times New Roman" w:eastAsia="Times New Roman" w:hAnsi="Times New Roman"/>
              </w:rPr>
            </w:pPr>
            <w:r w:rsidRPr="00FD7B0B">
              <w:rPr>
                <w:rFonts w:ascii="Times New Roman" w:eastAsia="Times New Roman" w:hAnsi="Times New Roman"/>
              </w:rPr>
              <w:t>в том числе областной бюджет</w:t>
            </w:r>
          </w:p>
        </w:tc>
        <w:tc>
          <w:tcPr>
            <w:tcW w:w="670" w:type="pct"/>
            <w:vAlign w:val="center"/>
          </w:tcPr>
          <w:p w14:paraId="6012252C"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14,2</w:t>
            </w:r>
          </w:p>
        </w:tc>
        <w:tc>
          <w:tcPr>
            <w:tcW w:w="673" w:type="pct"/>
            <w:vAlign w:val="center"/>
          </w:tcPr>
          <w:p w14:paraId="3328EFA3"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14,2</w:t>
            </w:r>
          </w:p>
        </w:tc>
        <w:tc>
          <w:tcPr>
            <w:tcW w:w="807" w:type="pct"/>
            <w:vAlign w:val="center"/>
          </w:tcPr>
          <w:p w14:paraId="447E1436"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0</w:t>
            </w:r>
          </w:p>
        </w:tc>
        <w:tc>
          <w:tcPr>
            <w:tcW w:w="696" w:type="pct"/>
            <w:vAlign w:val="center"/>
          </w:tcPr>
          <w:p w14:paraId="33DA26D9"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0</w:t>
            </w:r>
          </w:p>
        </w:tc>
      </w:tr>
      <w:tr w:rsidR="00FD7B0B" w:rsidRPr="00FD7B0B" w14:paraId="3BE4F300" w14:textId="77777777" w:rsidTr="001252CE">
        <w:tc>
          <w:tcPr>
            <w:tcW w:w="2154" w:type="pct"/>
          </w:tcPr>
          <w:p w14:paraId="51483E0F" w14:textId="77777777" w:rsidR="001252CE" w:rsidRPr="00FD7B0B" w:rsidRDefault="001252CE" w:rsidP="001252CE">
            <w:pPr>
              <w:contextualSpacing/>
              <w:jc w:val="both"/>
              <w:rPr>
                <w:rFonts w:ascii="Times New Roman" w:eastAsia="Times New Roman" w:hAnsi="Times New Roman"/>
              </w:rPr>
            </w:pPr>
            <w:r w:rsidRPr="00FD7B0B">
              <w:rPr>
                <w:rFonts w:ascii="Times New Roman" w:eastAsia="Times New Roman" w:hAnsi="Times New Roman"/>
              </w:rPr>
              <w:t xml:space="preserve">РП № </w:t>
            </w:r>
            <w:r w:rsidRPr="00FD7B0B">
              <w:rPr>
                <w:rFonts w:ascii="Times New Roman" w:eastAsia="Times New Roman" w:hAnsi="Times New Roman"/>
                <w:lang w:val="en-US"/>
              </w:rPr>
              <w:t>4</w:t>
            </w:r>
          </w:p>
        </w:tc>
        <w:tc>
          <w:tcPr>
            <w:tcW w:w="670" w:type="pct"/>
            <w:vAlign w:val="center"/>
          </w:tcPr>
          <w:p w14:paraId="5B819758"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210,1</w:t>
            </w:r>
          </w:p>
        </w:tc>
        <w:tc>
          <w:tcPr>
            <w:tcW w:w="673" w:type="pct"/>
            <w:vAlign w:val="center"/>
          </w:tcPr>
          <w:p w14:paraId="1597F944"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188,7</w:t>
            </w:r>
          </w:p>
        </w:tc>
        <w:tc>
          <w:tcPr>
            <w:tcW w:w="807" w:type="pct"/>
            <w:vAlign w:val="center"/>
          </w:tcPr>
          <w:p w14:paraId="02426792"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-21,4</w:t>
            </w:r>
          </w:p>
        </w:tc>
        <w:tc>
          <w:tcPr>
            <w:tcW w:w="696" w:type="pct"/>
            <w:vAlign w:val="center"/>
          </w:tcPr>
          <w:p w14:paraId="488BF28D"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-10</w:t>
            </w:r>
          </w:p>
        </w:tc>
      </w:tr>
      <w:tr w:rsidR="00FD7B0B" w:rsidRPr="00FD7B0B" w14:paraId="00503FD2" w14:textId="77777777" w:rsidTr="001252CE">
        <w:tc>
          <w:tcPr>
            <w:tcW w:w="2154" w:type="pct"/>
          </w:tcPr>
          <w:p w14:paraId="594B276E" w14:textId="77777777" w:rsidR="001252CE" w:rsidRPr="00FD7B0B" w:rsidRDefault="001252CE" w:rsidP="001252CE">
            <w:pPr>
              <w:ind w:left="1153"/>
              <w:contextualSpacing/>
              <w:jc w:val="both"/>
              <w:rPr>
                <w:rFonts w:ascii="Times New Roman" w:eastAsia="Times New Roman" w:hAnsi="Times New Roman"/>
              </w:rPr>
            </w:pPr>
            <w:r w:rsidRPr="00FD7B0B">
              <w:rPr>
                <w:rFonts w:ascii="Times New Roman" w:eastAsia="Times New Roman" w:hAnsi="Times New Roman"/>
              </w:rPr>
              <w:t>в том числе областной бюджет</w:t>
            </w:r>
          </w:p>
        </w:tc>
        <w:tc>
          <w:tcPr>
            <w:tcW w:w="670" w:type="pct"/>
            <w:vAlign w:val="center"/>
          </w:tcPr>
          <w:p w14:paraId="33349E66"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188,8</w:t>
            </w:r>
          </w:p>
        </w:tc>
        <w:tc>
          <w:tcPr>
            <w:tcW w:w="673" w:type="pct"/>
            <w:vAlign w:val="center"/>
          </w:tcPr>
          <w:p w14:paraId="04AD7711"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168,6</w:t>
            </w:r>
          </w:p>
        </w:tc>
        <w:tc>
          <w:tcPr>
            <w:tcW w:w="807" w:type="pct"/>
            <w:vAlign w:val="center"/>
          </w:tcPr>
          <w:p w14:paraId="0DBD69A5"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-20,2</w:t>
            </w:r>
          </w:p>
        </w:tc>
        <w:tc>
          <w:tcPr>
            <w:tcW w:w="696" w:type="pct"/>
            <w:vAlign w:val="center"/>
          </w:tcPr>
          <w:p w14:paraId="368AA7B3"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-11</w:t>
            </w:r>
          </w:p>
        </w:tc>
      </w:tr>
      <w:tr w:rsidR="00FD7B0B" w:rsidRPr="00FD7B0B" w14:paraId="2D9D3247" w14:textId="77777777" w:rsidTr="001252CE">
        <w:tc>
          <w:tcPr>
            <w:tcW w:w="2154" w:type="pct"/>
          </w:tcPr>
          <w:p w14:paraId="21ACFAD6" w14:textId="77777777" w:rsidR="001252CE" w:rsidRPr="00FD7B0B" w:rsidRDefault="001252CE" w:rsidP="001252CE">
            <w:pPr>
              <w:contextualSpacing/>
              <w:jc w:val="both"/>
              <w:rPr>
                <w:rFonts w:ascii="Times New Roman" w:eastAsia="Times New Roman" w:hAnsi="Times New Roman"/>
              </w:rPr>
            </w:pPr>
            <w:r w:rsidRPr="00FD7B0B">
              <w:rPr>
                <w:rFonts w:ascii="Times New Roman" w:eastAsia="Times New Roman" w:hAnsi="Times New Roman"/>
              </w:rPr>
              <w:t>РП № 5</w:t>
            </w:r>
          </w:p>
        </w:tc>
        <w:tc>
          <w:tcPr>
            <w:tcW w:w="670" w:type="pct"/>
            <w:vAlign w:val="center"/>
          </w:tcPr>
          <w:p w14:paraId="041FA948"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720,5</w:t>
            </w:r>
          </w:p>
        </w:tc>
        <w:tc>
          <w:tcPr>
            <w:tcW w:w="673" w:type="pct"/>
            <w:vAlign w:val="center"/>
          </w:tcPr>
          <w:p w14:paraId="4DADE03C"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909,6</w:t>
            </w:r>
          </w:p>
        </w:tc>
        <w:tc>
          <w:tcPr>
            <w:tcW w:w="807" w:type="pct"/>
            <w:vAlign w:val="center"/>
          </w:tcPr>
          <w:p w14:paraId="228036AA"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189,1</w:t>
            </w:r>
          </w:p>
        </w:tc>
        <w:tc>
          <w:tcPr>
            <w:tcW w:w="696" w:type="pct"/>
            <w:vAlign w:val="center"/>
          </w:tcPr>
          <w:p w14:paraId="2BBDDB92"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26</w:t>
            </w:r>
          </w:p>
        </w:tc>
      </w:tr>
      <w:tr w:rsidR="00FD7B0B" w:rsidRPr="00FD7B0B" w14:paraId="66067ADE" w14:textId="77777777" w:rsidTr="001252CE">
        <w:tc>
          <w:tcPr>
            <w:tcW w:w="2154" w:type="pct"/>
          </w:tcPr>
          <w:p w14:paraId="029E9727" w14:textId="77777777" w:rsidR="001252CE" w:rsidRPr="00FD7B0B" w:rsidRDefault="001252CE" w:rsidP="001252CE">
            <w:pPr>
              <w:ind w:left="1153"/>
              <w:contextualSpacing/>
              <w:jc w:val="both"/>
              <w:rPr>
                <w:rFonts w:ascii="Times New Roman" w:eastAsia="Times New Roman" w:hAnsi="Times New Roman"/>
              </w:rPr>
            </w:pPr>
            <w:r w:rsidRPr="00FD7B0B">
              <w:rPr>
                <w:rFonts w:ascii="Times New Roman" w:eastAsia="Times New Roman" w:hAnsi="Times New Roman"/>
              </w:rPr>
              <w:t>в том числе областной бюджет</w:t>
            </w:r>
          </w:p>
        </w:tc>
        <w:tc>
          <w:tcPr>
            <w:tcW w:w="670" w:type="pct"/>
            <w:vAlign w:val="center"/>
          </w:tcPr>
          <w:p w14:paraId="19195FFA"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579,9</w:t>
            </w:r>
          </w:p>
        </w:tc>
        <w:tc>
          <w:tcPr>
            <w:tcW w:w="673" w:type="pct"/>
            <w:vAlign w:val="center"/>
          </w:tcPr>
          <w:p w14:paraId="7D83C51F"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765,4</w:t>
            </w:r>
          </w:p>
        </w:tc>
        <w:tc>
          <w:tcPr>
            <w:tcW w:w="807" w:type="pct"/>
            <w:vAlign w:val="center"/>
          </w:tcPr>
          <w:p w14:paraId="432E3C29"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185,5</w:t>
            </w:r>
          </w:p>
        </w:tc>
        <w:tc>
          <w:tcPr>
            <w:tcW w:w="696" w:type="pct"/>
            <w:vAlign w:val="center"/>
          </w:tcPr>
          <w:p w14:paraId="5FC6BB26"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32</w:t>
            </w:r>
          </w:p>
        </w:tc>
      </w:tr>
      <w:tr w:rsidR="00FD7B0B" w:rsidRPr="00FD7B0B" w14:paraId="0B1252D3" w14:textId="77777777" w:rsidTr="001252CE">
        <w:tc>
          <w:tcPr>
            <w:tcW w:w="2154" w:type="pct"/>
          </w:tcPr>
          <w:p w14:paraId="21A47D3A" w14:textId="77777777" w:rsidR="001252CE" w:rsidRPr="00FD7B0B" w:rsidRDefault="001252CE" w:rsidP="001252CE">
            <w:pPr>
              <w:contextualSpacing/>
              <w:jc w:val="both"/>
              <w:rPr>
                <w:rFonts w:ascii="Times New Roman" w:eastAsia="Times New Roman" w:hAnsi="Times New Roman"/>
              </w:rPr>
            </w:pPr>
            <w:r w:rsidRPr="00FD7B0B">
              <w:rPr>
                <w:rFonts w:ascii="Times New Roman" w:eastAsia="Times New Roman" w:hAnsi="Times New Roman"/>
              </w:rPr>
              <w:t>КПМ</w:t>
            </w:r>
          </w:p>
        </w:tc>
        <w:tc>
          <w:tcPr>
            <w:tcW w:w="670" w:type="pct"/>
            <w:vAlign w:val="center"/>
          </w:tcPr>
          <w:p w14:paraId="3E64E719"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2,8</w:t>
            </w:r>
          </w:p>
        </w:tc>
        <w:tc>
          <w:tcPr>
            <w:tcW w:w="673" w:type="pct"/>
            <w:vAlign w:val="center"/>
          </w:tcPr>
          <w:p w14:paraId="4002796E"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0,7</w:t>
            </w:r>
          </w:p>
        </w:tc>
        <w:tc>
          <w:tcPr>
            <w:tcW w:w="807" w:type="pct"/>
            <w:vAlign w:val="center"/>
          </w:tcPr>
          <w:p w14:paraId="39F95883"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-2,1</w:t>
            </w:r>
          </w:p>
        </w:tc>
        <w:tc>
          <w:tcPr>
            <w:tcW w:w="696" w:type="pct"/>
            <w:vAlign w:val="center"/>
          </w:tcPr>
          <w:p w14:paraId="2DC5747B"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-75</w:t>
            </w:r>
          </w:p>
        </w:tc>
      </w:tr>
      <w:tr w:rsidR="00FD7B0B" w:rsidRPr="00FD7B0B" w14:paraId="67E3763E" w14:textId="77777777" w:rsidTr="001252CE">
        <w:tc>
          <w:tcPr>
            <w:tcW w:w="2154" w:type="pct"/>
          </w:tcPr>
          <w:p w14:paraId="59002EB6" w14:textId="77777777" w:rsidR="001252CE" w:rsidRPr="00FD7B0B" w:rsidRDefault="001252CE" w:rsidP="001252CE">
            <w:pPr>
              <w:ind w:left="1153"/>
              <w:contextualSpacing/>
              <w:jc w:val="both"/>
              <w:rPr>
                <w:rFonts w:ascii="Times New Roman" w:eastAsia="Times New Roman" w:hAnsi="Times New Roman"/>
              </w:rPr>
            </w:pPr>
            <w:r w:rsidRPr="00FD7B0B">
              <w:rPr>
                <w:rFonts w:ascii="Times New Roman" w:eastAsia="Times New Roman" w:hAnsi="Times New Roman"/>
              </w:rPr>
              <w:t>в том числе областной бюджет</w:t>
            </w:r>
          </w:p>
        </w:tc>
        <w:tc>
          <w:tcPr>
            <w:tcW w:w="670" w:type="pct"/>
            <w:vAlign w:val="center"/>
          </w:tcPr>
          <w:p w14:paraId="770CCF96"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2,8</w:t>
            </w:r>
          </w:p>
        </w:tc>
        <w:tc>
          <w:tcPr>
            <w:tcW w:w="673" w:type="pct"/>
            <w:vAlign w:val="center"/>
          </w:tcPr>
          <w:p w14:paraId="418494AB"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0,7</w:t>
            </w:r>
          </w:p>
        </w:tc>
        <w:tc>
          <w:tcPr>
            <w:tcW w:w="807" w:type="pct"/>
            <w:vAlign w:val="center"/>
          </w:tcPr>
          <w:p w14:paraId="1648429C"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-2,1</w:t>
            </w:r>
          </w:p>
        </w:tc>
        <w:tc>
          <w:tcPr>
            <w:tcW w:w="696" w:type="pct"/>
            <w:vAlign w:val="center"/>
          </w:tcPr>
          <w:p w14:paraId="6D301005" w14:textId="77777777" w:rsidR="001252CE" w:rsidRPr="00FD7B0B" w:rsidRDefault="001252CE" w:rsidP="001252CE">
            <w:pPr>
              <w:contextualSpacing/>
              <w:jc w:val="center"/>
              <w:rPr>
                <w:rFonts w:ascii="Times New Roman" w:eastAsia="Times New Roman" w:hAnsi="Times New Roman"/>
              </w:rPr>
            </w:pPr>
            <w:r w:rsidRPr="00FD7B0B">
              <w:rPr>
                <w:rFonts w:ascii="Times New Roman" w:eastAsia="Times New Roman" w:hAnsi="Times New Roman"/>
              </w:rPr>
              <w:t>-75</w:t>
            </w:r>
          </w:p>
        </w:tc>
      </w:tr>
      <w:tr w:rsidR="00FD7B0B" w:rsidRPr="00FD7B0B" w14:paraId="692D3681" w14:textId="77777777" w:rsidTr="001252CE">
        <w:tc>
          <w:tcPr>
            <w:tcW w:w="2154" w:type="pct"/>
          </w:tcPr>
          <w:p w14:paraId="1C3C0E0E" w14:textId="77777777" w:rsidR="001252CE" w:rsidRPr="00FD7B0B" w:rsidRDefault="001252CE" w:rsidP="001252CE">
            <w:pPr>
              <w:contextualSpacing/>
              <w:jc w:val="both"/>
              <w:rPr>
                <w:rFonts w:ascii="Times New Roman" w:eastAsia="Times New Roman" w:hAnsi="Times New Roman"/>
                <w:b/>
              </w:rPr>
            </w:pPr>
            <w:r w:rsidRPr="00FD7B0B">
              <w:rPr>
                <w:rFonts w:ascii="Times New Roman" w:eastAsia="Times New Roman" w:hAnsi="Times New Roman"/>
                <w:b/>
              </w:rPr>
              <w:t>Всего по госпрограмме</w:t>
            </w:r>
          </w:p>
        </w:tc>
        <w:tc>
          <w:tcPr>
            <w:tcW w:w="670" w:type="pct"/>
            <w:vAlign w:val="center"/>
          </w:tcPr>
          <w:p w14:paraId="46F3E748" w14:textId="77777777" w:rsidR="001252CE" w:rsidRPr="00FD7B0B" w:rsidRDefault="001252CE" w:rsidP="001252CE">
            <w:pPr>
              <w:contextualSpacing/>
              <w:jc w:val="center"/>
              <w:rPr>
                <w:rFonts w:ascii="Times New Roman" w:eastAsia="Times New Roman" w:hAnsi="Times New Roman"/>
                <w:b/>
              </w:rPr>
            </w:pPr>
            <w:r w:rsidRPr="00FD7B0B">
              <w:rPr>
                <w:rFonts w:ascii="Times New Roman" w:eastAsia="Times New Roman" w:hAnsi="Times New Roman"/>
                <w:b/>
              </w:rPr>
              <w:t>1199,2</w:t>
            </w:r>
          </w:p>
        </w:tc>
        <w:tc>
          <w:tcPr>
            <w:tcW w:w="673" w:type="pct"/>
            <w:vAlign w:val="center"/>
          </w:tcPr>
          <w:p w14:paraId="15FC97D7" w14:textId="77777777" w:rsidR="001252CE" w:rsidRPr="00FD7B0B" w:rsidRDefault="001252CE" w:rsidP="001252CE">
            <w:pPr>
              <w:contextualSpacing/>
              <w:jc w:val="center"/>
              <w:rPr>
                <w:rFonts w:ascii="Times New Roman" w:eastAsia="Times New Roman" w:hAnsi="Times New Roman"/>
                <w:b/>
              </w:rPr>
            </w:pPr>
            <w:r w:rsidRPr="00FD7B0B">
              <w:rPr>
                <w:rFonts w:ascii="Times New Roman" w:eastAsia="Times New Roman" w:hAnsi="Times New Roman"/>
                <w:b/>
              </w:rPr>
              <w:t>1266,0</w:t>
            </w:r>
          </w:p>
        </w:tc>
        <w:tc>
          <w:tcPr>
            <w:tcW w:w="807" w:type="pct"/>
            <w:vAlign w:val="center"/>
          </w:tcPr>
          <w:p w14:paraId="1659CF0D" w14:textId="77777777" w:rsidR="001252CE" w:rsidRPr="00FD7B0B" w:rsidRDefault="001252CE" w:rsidP="001252CE">
            <w:pPr>
              <w:contextualSpacing/>
              <w:jc w:val="center"/>
              <w:rPr>
                <w:rFonts w:ascii="Times New Roman" w:eastAsia="Times New Roman" w:hAnsi="Times New Roman"/>
                <w:b/>
              </w:rPr>
            </w:pPr>
            <w:r w:rsidRPr="00FD7B0B">
              <w:rPr>
                <w:rFonts w:ascii="Times New Roman" w:eastAsia="Times New Roman" w:hAnsi="Times New Roman"/>
                <w:b/>
              </w:rPr>
              <w:t>66,8</w:t>
            </w:r>
          </w:p>
        </w:tc>
        <w:tc>
          <w:tcPr>
            <w:tcW w:w="696" w:type="pct"/>
            <w:vAlign w:val="center"/>
          </w:tcPr>
          <w:p w14:paraId="0E68E531" w14:textId="77777777" w:rsidR="001252CE" w:rsidRPr="00FD7B0B" w:rsidRDefault="001252CE" w:rsidP="001252CE">
            <w:pPr>
              <w:contextualSpacing/>
              <w:jc w:val="center"/>
              <w:rPr>
                <w:rFonts w:ascii="Times New Roman" w:eastAsia="Times New Roman" w:hAnsi="Times New Roman"/>
                <w:b/>
              </w:rPr>
            </w:pPr>
            <w:r w:rsidRPr="00FD7B0B">
              <w:rPr>
                <w:rFonts w:ascii="Times New Roman" w:eastAsia="Times New Roman" w:hAnsi="Times New Roman"/>
                <w:b/>
              </w:rPr>
              <w:t>6</w:t>
            </w:r>
          </w:p>
        </w:tc>
      </w:tr>
      <w:tr w:rsidR="001252CE" w:rsidRPr="00FD7B0B" w14:paraId="13949B81" w14:textId="77777777" w:rsidTr="001252CE">
        <w:tc>
          <w:tcPr>
            <w:tcW w:w="2154" w:type="pct"/>
          </w:tcPr>
          <w:p w14:paraId="0690EB6D" w14:textId="77777777" w:rsidR="001252CE" w:rsidRPr="00FD7B0B" w:rsidRDefault="001252CE" w:rsidP="001252CE">
            <w:pPr>
              <w:contextualSpacing/>
              <w:jc w:val="both"/>
              <w:rPr>
                <w:rFonts w:ascii="Times New Roman" w:eastAsia="Times New Roman" w:hAnsi="Times New Roman"/>
                <w:b/>
              </w:rPr>
            </w:pPr>
            <w:r w:rsidRPr="00FD7B0B">
              <w:rPr>
                <w:rFonts w:ascii="Times New Roman" w:eastAsia="Times New Roman" w:hAnsi="Times New Roman"/>
                <w:b/>
              </w:rPr>
              <w:t xml:space="preserve">                    в том числе областной бюджет</w:t>
            </w:r>
          </w:p>
        </w:tc>
        <w:tc>
          <w:tcPr>
            <w:tcW w:w="670" w:type="pct"/>
            <w:vAlign w:val="center"/>
          </w:tcPr>
          <w:p w14:paraId="00A4720B" w14:textId="77777777" w:rsidR="001252CE" w:rsidRPr="00FD7B0B" w:rsidRDefault="001252CE" w:rsidP="001252CE">
            <w:pPr>
              <w:contextualSpacing/>
              <w:jc w:val="center"/>
              <w:rPr>
                <w:rFonts w:ascii="Times New Roman" w:eastAsia="Times New Roman" w:hAnsi="Times New Roman"/>
                <w:b/>
              </w:rPr>
            </w:pPr>
            <w:r w:rsidRPr="00FD7B0B">
              <w:rPr>
                <w:rFonts w:ascii="Times New Roman" w:eastAsia="Times New Roman" w:hAnsi="Times New Roman"/>
                <w:b/>
              </w:rPr>
              <w:t>855,5</w:t>
            </w:r>
          </w:p>
        </w:tc>
        <w:tc>
          <w:tcPr>
            <w:tcW w:w="673" w:type="pct"/>
            <w:vAlign w:val="center"/>
          </w:tcPr>
          <w:p w14:paraId="3FB7C160" w14:textId="77777777" w:rsidR="001252CE" w:rsidRPr="00FD7B0B" w:rsidRDefault="001252CE" w:rsidP="001252CE">
            <w:pPr>
              <w:contextualSpacing/>
              <w:jc w:val="center"/>
              <w:rPr>
                <w:rFonts w:ascii="Times New Roman" w:eastAsia="Times New Roman" w:hAnsi="Times New Roman"/>
                <w:b/>
              </w:rPr>
            </w:pPr>
            <w:r w:rsidRPr="00FD7B0B">
              <w:rPr>
                <w:rFonts w:ascii="Times New Roman" w:eastAsia="Times New Roman" w:hAnsi="Times New Roman"/>
                <w:b/>
              </w:rPr>
              <w:t>1017,0</w:t>
            </w:r>
          </w:p>
        </w:tc>
        <w:tc>
          <w:tcPr>
            <w:tcW w:w="807" w:type="pct"/>
            <w:vAlign w:val="center"/>
          </w:tcPr>
          <w:p w14:paraId="07824E41" w14:textId="77777777" w:rsidR="001252CE" w:rsidRPr="00FD7B0B" w:rsidRDefault="001252CE" w:rsidP="001252CE">
            <w:pPr>
              <w:contextualSpacing/>
              <w:jc w:val="center"/>
              <w:rPr>
                <w:rFonts w:ascii="Times New Roman" w:eastAsia="Times New Roman" w:hAnsi="Times New Roman"/>
                <w:b/>
              </w:rPr>
            </w:pPr>
            <w:r w:rsidRPr="00FD7B0B">
              <w:rPr>
                <w:rFonts w:ascii="Times New Roman" w:eastAsia="Times New Roman" w:hAnsi="Times New Roman"/>
                <w:b/>
              </w:rPr>
              <w:t>161,5</w:t>
            </w:r>
          </w:p>
        </w:tc>
        <w:tc>
          <w:tcPr>
            <w:tcW w:w="696" w:type="pct"/>
            <w:vAlign w:val="center"/>
          </w:tcPr>
          <w:p w14:paraId="2D00D268" w14:textId="77777777" w:rsidR="001252CE" w:rsidRPr="00FD7B0B" w:rsidRDefault="001252CE" w:rsidP="001252CE">
            <w:pPr>
              <w:contextualSpacing/>
              <w:jc w:val="center"/>
              <w:rPr>
                <w:rFonts w:ascii="Times New Roman" w:eastAsia="Times New Roman" w:hAnsi="Times New Roman"/>
                <w:b/>
              </w:rPr>
            </w:pPr>
            <w:r w:rsidRPr="00FD7B0B">
              <w:rPr>
                <w:rFonts w:ascii="Times New Roman" w:eastAsia="Times New Roman" w:hAnsi="Times New Roman"/>
                <w:b/>
              </w:rPr>
              <w:t>19</w:t>
            </w:r>
          </w:p>
        </w:tc>
      </w:tr>
    </w:tbl>
    <w:p w14:paraId="471E4E6C" w14:textId="77777777" w:rsidR="001252CE" w:rsidRPr="00FD7B0B" w:rsidRDefault="001252CE" w:rsidP="001252CE">
      <w:pPr>
        <w:spacing w:after="0" w:line="240" w:lineRule="exact"/>
        <w:ind w:firstLine="709"/>
        <w:contextualSpacing/>
        <w:jc w:val="both"/>
        <w:rPr>
          <w:rFonts w:ascii="Times New Roman" w:eastAsia="Times New Roman" w:hAnsi="Times New Roman"/>
          <w:sz w:val="28"/>
          <w:szCs w:val="28"/>
          <w:lang w:eastAsia="ru-RU"/>
        </w:rPr>
      </w:pPr>
    </w:p>
    <w:p w14:paraId="70B365AA" w14:textId="1E307583" w:rsidR="001252CE" w:rsidRPr="00FD7B0B" w:rsidRDefault="001252CE" w:rsidP="001252CE">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Законом «Об областном бюджете», в редакции, действовавшей на 01.01.2024, расходы на реализацию мероприятий ГП № 25 утверждены</w:t>
      </w:r>
      <w:r w:rsidR="00112DE6" w:rsidRPr="00FD7B0B">
        <w:rPr>
          <w:rFonts w:ascii="Times New Roman" w:eastAsia="Times New Roman" w:hAnsi="Times New Roman"/>
          <w:sz w:val="28"/>
          <w:szCs w:val="28"/>
          <w:lang w:eastAsia="ru-RU"/>
        </w:rPr>
        <w:t xml:space="preserve"> в общей сумме 1 093,5 млн.руб.</w:t>
      </w:r>
    </w:p>
    <w:p w14:paraId="2D502232" w14:textId="09EA040E" w:rsidR="001252CE" w:rsidRPr="00FD7B0B" w:rsidRDefault="001252CE" w:rsidP="001252CE">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течение отчетного периода в закон «Об областном бюджете» изменения по ГП № 25 не вносились, расходы на реализацию мероприятий ГП № 25 по состоянию на 31.12.2024 утверждены в общей</w:t>
      </w:r>
      <w:r w:rsidR="00112DE6" w:rsidRPr="00FD7B0B">
        <w:rPr>
          <w:rFonts w:ascii="Times New Roman" w:eastAsia="Times New Roman" w:hAnsi="Times New Roman"/>
          <w:sz w:val="28"/>
          <w:szCs w:val="28"/>
          <w:lang w:eastAsia="ru-RU"/>
        </w:rPr>
        <w:t xml:space="preserve"> сумме 1 093,5 млн.руб.</w:t>
      </w:r>
    </w:p>
    <w:p w14:paraId="763CA051" w14:textId="1734FE14"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 xml:space="preserve">Сопоставление объемов финансирования, утвержденных ГП № 25, и бюджетных ассигнований на ее реализацию, утвержденных законом «Об областном бюджете» представлено в таблице </w:t>
      </w:r>
      <w:r w:rsidR="0070073F" w:rsidRPr="00FD7B0B">
        <w:rPr>
          <w:rFonts w:ascii="Times New Roman" w:eastAsia="Times New Roman" w:hAnsi="Times New Roman"/>
          <w:sz w:val="28"/>
          <w:szCs w:val="28"/>
          <w:lang w:eastAsia="ru-RU"/>
        </w:rPr>
        <w:t>206</w:t>
      </w:r>
      <w:r w:rsidRPr="00FD7B0B">
        <w:rPr>
          <w:rFonts w:ascii="Times New Roman" w:eastAsia="Times New Roman" w:hAnsi="Times New Roman"/>
          <w:sz w:val="28"/>
          <w:szCs w:val="28"/>
          <w:lang w:eastAsia="ru-RU"/>
        </w:rPr>
        <w:t>.</w:t>
      </w:r>
    </w:p>
    <w:p w14:paraId="0EDF408F" w14:textId="77777777" w:rsidR="001252CE" w:rsidRPr="00FD7B0B" w:rsidRDefault="001252CE" w:rsidP="001252CE">
      <w:pPr>
        <w:pStyle w:val="aff0"/>
        <w:spacing w:after="0" w:line="240" w:lineRule="auto"/>
        <w:rPr>
          <w:rFonts w:ascii="Times New Roman" w:hAnsi="Times New Roman"/>
          <w:b w:val="0"/>
          <w:sz w:val="24"/>
          <w:szCs w:val="24"/>
        </w:rPr>
      </w:pPr>
    </w:p>
    <w:p w14:paraId="25BC6E9D" w14:textId="6A155457" w:rsidR="001252CE" w:rsidRPr="00FD7B0B" w:rsidRDefault="00112DE6" w:rsidP="001252C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206</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1252CE" w:rsidRPr="00FD7B0B">
        <w:rPr>
          <w:rFonts w:ascii="Times New Roman" w:hAnsi="Times New Roman"/>
          <w:b w:val="0"/>
          <w:sz w:val="24"/>
          <w:szCs w:val="24"/>
        </w:rPr>
        <w:t>Сопоставление объемов финансирования, утвержденных ГП № 25 (в ред. на 31.12.2024) бюджетных ассигнований, утвержденных законом «Об областном бюджете» в редакции, действующей на конец года, к уточненной сводной бюджетной росписи на 31.12.2024, млн.руб.</w:t>
      </w:r>
    </w:p>
    <w:tbl>
      <w:tblPr>
        <w:tblW w:w="5000" w:type="pct"/>
        <w:tblLook w:val="04A0" w:firstRow="1" w:lastRow="0" w:firstColumn="1" w:lastColumn="0" w:noHBand="0" w:noVBand="1"/>
      </w:tblPr>
      <w:tblGrid>
        <w:gridCol w:w="2268"/>
        <w:gridCol w:w="2082"/>
        <w:gridCol w:w="1454"/>
        <w:gridCol w:w="1287"/>
        <w:gridCol w:w="1259"/>
        <w:gridCol w:w="1257"/>
      </w:tblGrid>
      <w:tr w:rsidR="00FD7B0B" w:rsidRPr="00FD7B0B" w14:paraId="024916F3" w14:textId="77777777" w:rsidTr="00500547">
        <w:trPr>
          <w:trHeight w:val="465"/>
          <w:tblHeader/>
        </w:trPr>
        <w:tc>
          <w:tcPr>
            <w:tcW w:w="1180" w:type="pct"/>
            <w:vMerge w:val="restart"/>
            <w:tcBorders>
              <w:top w:val="double" w:sz="4" w:space="0" w:color="auto"/>
              <w:left w:val="double" w:sz="4" w:space="0" w:color="auto"/>
              <w:right w:val="single" w:sz="4" w:space="0" w:color="auto"/>
            </w:tcBorders>
            <w:shd w:val="clear" w:color="auto" w:fill="auto"/>
            <w:vAlign w:val="center"/>
            <w:hideMark/>
          </w:tcPr>
          <w:p w14:paraId="48EC4D82"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Подпрограмма</w:t>
            </w:r>
          </w:p>
        </w:tc>
        <w:tc>
          <w:tcPr>
            <w:tcW w:w="1083" w:type="pct"/>
            <w:vMerge w:val="restart"/>
            <w:tcBorders>
              <w:top w:val="double" w:sz="4" w:space="0" w:color="auto"/>
              <w:left w:val="nil"/>
              <w:right w:val="single" w:sz="4" w:space="0" w:color="auto"/>
            </w:tcBorders>
            <w:shd w:val="clear" w:color="auto" w:fill="auto"/>
            <w:vAlign w:val="center"/>
            <w:hideMark/>
          </w:tcPr>
          <w:p w14:paraId="2C665137"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Показатели госпрограммы на 31.12.2024 (без учета МБ и внебюджетных источников)</w:t>
            </w:r>
          </w:p>
        </w:tc>
        <w:tc>
          <w:tcPr>
            <w:tcW w:w="757" w:type="pct"/>
            <w:vMerge w:val="restart"/>
            <w:tcBorders>
              <w:top w:val="double" w:sz="4" w:space="0" w:color="auto"/>
              <w:left w:val="nil"/>
              <w:right w:val="single" w:sz="4" w:space="0" w:color="auto"/>
            </w:tcBorders>
            <w:shd w:val="clear" w:color="auto" w:fill="auto"/>
            <w:vAlign w:val="center"/>
            <w:hideMark/>
          </w:tcPr>
          <w:p w14:paraId="6C466E6A"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Показатели закона о бюджете на 31.12.2024</w:t>
            </w:r>
          </w:p>
        </w:tc>
        <w:tc>
          <w:tcPr>
            <w:tcW w:w="670" w:type="pct"/>
            <w:vMerge w:val="restart"/>
            <w:tcBorders>
              <w:top w:val="double" w:sz="4" w:space="0" w:color="auto"/>
              <w:left w:val="nil"/>
              <w:right w:val="single" w:sz="4" w:space="0" w:color="auto"/>
            </w:tcBorders>
            <w:shd w:val="clear" w:color="auto" w:fill="auto"/>
            <w:vAlign w:val="center"/>
            <w:hideMark/>
          </w:tcPr>
          <w:p w14:paraId="6506C4A1"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Показатели СБР на 31.12.2024</w:t>
            </w:r>
          </w:p>
        </w:tc>
        <w:tc>
          <w:tcPr>
            <w:tcW w:w="1309" w:type="pct"/>
            <w:gridSpan w:val="2"/>
            <w:tcBorders>
              <w:top w:val="double" w:sz="4" w:space="0" w:color="auto"/>
              <w:left w:val="nil"/>
              <w:bottom w:val="single" w:sz="4" w:space="0" w:color="auto"/>
              <w:right w:val="double" w:sz="4" w:space="0" w:color="auto"/>
            </w:tcBorders>
            <w:shd w:val="clear" w:color="auto" w:fill="auto"/>
            <w:vAlign w:val="center"/>
            <w:hideMark/>
          </w:tcPr>
          <w:p w14:paraId="4FB23286"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Отклонение (+/-)</w:t>
            </w:r>
          </w:p>
        </w:tc>
      </w:tr>
      <w:tr w:rsidR="00FD7B0B" w:rsidRPr="00FD7B0B" w14:paraId="7931F29D" w14:textId="77777777" w:rsidTr="00500547">
        <w:trPr>
          <w:trHeight w:val="72"/>
        </w:trPr>
        <w:tc>
          <w:tcPr>
            <w:tcW w:w="1180" w:type="pct"/>
            <w:vMerge/>
            <w:tcBorders>
              <w:left w:val="double" w:sz="4" w:space="0" w:color="auto"/>
              <w:bottom w:val="single" w:sz="4" w:space="0" w:color="auto"/>
              <w:right w:val="single" w:sz="4" w:space="0" w:color="auto"/>
            </w:tcBorders>
            <w:shd w:val="clear" w:color="auto" w:fill="auto"/>
            <w:vAlign w:val="center"/>
          </w:tcPr>
          <w:p w14:paraId="49021AB4"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p>
        </w:tc>
        <w:tc>
          <w:tcPr>
            <w:tcW w:w="1083" w:type="pct"/>
            <w:vMerge/>
            <w:tcBorders>
              <w:left w:val="nil"/>
              <w:bottom w:val="single" w:sz="4" w:space="0" w:color="auto"/>
              <w:right w:val="single" w:sz="4" w:space="0" w:color="auto"/>
            </w:tcBorders>
            <w:shd w:val="clear" w:color="auto" w:fill="auto"/>
            <w:vAlign w:val="center"/>
          </w:tcPr>
          <w:p w14:paraId="70C74E98"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p>
        </w:tc>
        <w:tc>
          <w:tcPr>
            <w:tcW w:w="757" w:type="pct"/>
            <w:vMerge/>
            <w:tcBorders>
              <w:left w:val="nil"/>
              <w:bottom w:val="single" w:sz="4" w:space="0" w:color="auto"/>
              <w:right w:val="single" w:sz="4" w:space="0" w:color="auto"/>
            </w:tcBorders>
            <w:shd w:val="clear" w:color="auto" w:fill="auto"/>
            <w:vAlign w:val="center"/>
          </w:tcPr>
          <w:p w14:paraId="291F20F2"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p>
        </w:tc>
        <w:tc>
          <w:tcPr>
            <w:tcW w:w="670" w:type="pct"/>
            <w:vMerge/>
            <w:tcBorders>
              <w:left w:val="nil"/>
              <w:bottom w:val="single" w:sz="4" w:space="0" w:color="auto"/>
              <w:right w:val="single" w:sz="4" w:space="0" w:color="auto"/>
            </w:tcBorders>
            <w:shd w:val="clear" w:color="auto" w:fill="auto"/>
            <w:vAlign w:val="center"/>
          </w:tcPr>
          <w:p w14:paraId="2A3FA3FB"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p>
        </w:tc>
        <w:tc>
          <w:tcPr>
            <w:tcW w:w="655" w:type="pct"/>
            <w:tcBorders>
              <w:top w:val="single" w:sz="4" w:space="0" w:color="auto"/>
              <w:left w:val="nil"/>
              <w:bottom w:val="single" w:sz="4" w:space="0" w:color="auto"/>
              <w:right w:val="double" w:sz="4" w:space="0" w:color="auto"/>
            </w:tcBorders>
            <w:shd w:val="clear" w:color="auto" w:fill="auto"/>
          </w:tcPr>
          <w:p w14:paraId="66829345"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СБР от закона о бюджете</w:t>
            </w:r>
          </w:p>
        </w:tc>
        <w:tc>
          <w:tcPr>
            <w:tcW w:w="654" w:type="pct"/>
            <w:tcBorders>
              <w:top w:val="single" w:sz="4" w:space="0" w:color="auto"/>
              <w:left w:val="nil"/>
              <w:bottom w:val="single" w:sz="4" w:space="0" w:color="auto"/>
              <w:right w:val="double" w:sz="4" w:space="0" w:color="auto"/>
            </w:tcBorders>
          </w:tcPr>
          <w:p w14:paraId="3A58BC06"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СБР от ГП</w:t>
            </w:r>
          </w:p>
        </w:tc>
      </w:tr>
      <w:tr w:rsidR="00FD7B0B" w:rsidRPr="00FD7B0B" w14:paraId="757D9B31" w14:textId="77777777" w:rsidTr="00500547">
        <w:trPr>
          <w:trHeight w:val="118"/>
        </w:trPr>
        <w:tc>
          <w:tcPr>
            <w:tcW w:w="1180" w:type="pct"/>
            <w:tcBorders>
              <w:top w:val="single" w:sz="4" w:space="0" w:color="auto"/>
              <w:left w:val="double" w:sz="4" w:space="0" w:color="auto"/>
              <w:bottom w:val="single" w:sz="4" w:space="0" w:color="auto"/>
              <w:right w:val="single" w:sz="4" w:space="0" w:color="auto"/>
            </w:tcBorders>
            <w:shd w:val="clear" w:color="auto" w:fill="auto"/>
            <w:vAlign w:val="center"/>
          </w:tcPr>
          <w:p w14:paraId="0C357955" w14:textId="77777777" w:rsidR="001252CE" w:rsidRPr="00FD7B0B" w:rsidRDefault="001252CE" w:rsidP="001252CE">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РП № 1</w:t>
            </w:r>
          </w:p>
        </w:tc>
        <w:tc>
          <w:tcPr>
            <w:tcW w:w="1083" w:type="pct"/>
            <w:tcBorders>
              <w:top w:val="nil"/>
              <w:left w:val="nil"/>
              <w:bottom w:val="single" w:sz="4" w:space="0" w:color="auto"/>
              <w:right w:val="single" w:sz="4" w:space="0" w:color="auto"/>
            </w:tcBorders>
            <w:shd w:val="clear" w:color="auto" w:fill="auto"/>
            <w:vAlign w:val="center"/>
          </w:tcPr>
          <w:p w14:paraId="7A7C74F0"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63,1</w:t>
            </w:r>
          </w:p>
        </w:tc>
        <w:tc>
          <w:tcPr>
            <w:tcW w:w="757" w:type="pct"/>
            <w:tcBorders>
              <w:top w:val="nil"/>
              <w:left w:val="nil"/>
              <w:bottom w:val="single" w:sz="4" w:space="0" w:color="auto"/>
              <w:right w:val="single" w:sz="4" w:space="0" w:color="auto"/>
            </w:tcBorders>
            <w:shd w:val="clear" w:color="auto" w:fill="auto"/>
            <w:vAlign w:val="center"/>
          </w:tcPr>
          <w:p w14:paraId="139F0AD5"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63,1</w:t>
            </w:r>
          </w:p>
        </w:tc>
        <w:tc>
          <w:tcPr>
            <w:tcW w:w="670" w:type="pct"/>
            <w:tcBorders>
              <w:top w:val="nil"/>
              <w:left w:val="nil"/>
              <w:bottom w:val="single" w:sz="4" w:space="0" w:color="auto"/>
              <w:right w:val="single" w:sz="4" w:space="0" w:color="auto"/>
            </w:tcBorders>
            <w:shd w:val="clear" w:color="auto" w:fill="auto"/>
            <w:vAlign w:val="center"/>
          </w:tcPr>
          <w:p w14:paraId="576F59BB"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63,1</w:t>
            </w:r>
          </w:p>
        </w:tc>
        <w:tc>
          <w:tcPr>
            <w:tcW w:w="655" w:type="pct"/>
            <w:tcBorders>
              <w:top w:val="single" w:sz="4" w:space="0" w:color="auto"/>
              <w:left w:val="nil"/>
              <w:bottom w:val="single" w:sz="4" w:space="0" w:color="auto"/>
              <w:right w:val="double" w:sz="4" w:space="0" w:color="auto"/>
            </w:tcBorders>
            <w:shd w:val="clear" w:color="auto" w:fill="auto"/>
            <w:vAlign w:val="center"/>
          </w:tcPr>
          <w:p w14:paraId="65D2384B"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c>
          <w:tcPr>
            <w:tcW w:w="654" w:type="pct"/>
            <w:tcBorders>
              <w:top w:val="single" w:sz="4" w:space="0" w:color="auto"/>
              <w:left w:val="nil"/>
              <w:bottom w:val="single" w:sz="4" w:space="0" w:color="auto"/>
              <w:right w:val="double" w:sz="4" w:space="0" w:color="auto"/>
            </w:tcBorders>
            <w:vAlign w:val="center"/>
          </w:tcPr>
          <w:p w14:paraId="4CC67B86"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650821C1" w14:textId="77777777" w:rsidTr="00500547">
        <w:trPr>
          <w:trHeight w:val="118"/>
        </w:trPr>
        <w:tc>
          <w:tcPr>
            <w:tcW w:w="1180" w:type="pct"/>
            <w:tcBorders>
              <w:top w:val="single" w:sz="4" w:space="0" w:color="auto"/>
              <w:left w:val="double" w:sz="4" w:space="0" w:color="auto"/>
              <w:bottom w:val="single" w:sz="4" w:space="0" w:color="auto"/>
              <w:right w:val="single" w:sz="4" w:space="0" w:color="auto"/>
            </w:tcBorders>
            <w:shd w:val="clear" w:color="auto" w:fill="auto"/>
            <w:vAlign w:val="center"/>
          </w:tcPr>
          <w:p w14:paraId="6EB7ACFF" w14:textId="77777777" w:rsidR="001252CE" w:rsidRPr="00FD7B0B" w:rsidRDefault="001252CE" w:rsidP="001252CE">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РП № 2</w:t>
            </w:r>
          </w:p>
        </w:tc>
        <w:tc>
          <w:tcPr>
            <w:tcW w:w="1083" w:type="pct"/>
            <w:tcBorders>
              <w:top w:val="nil"/>
              <w:left w:val="nil"/>
              <w:bottom w:val="single" w:sz="4" w:space="0" w:color="auto"/>
              <w:right w:val="single" w:sz="4" w:space="0" w:color="auto"/>
            </w:tcBorders>
            <w:shd w:val="clear" w:color="auto" w:fill="auto"/>
            <w:vAlign w:val="center"/>
          </w:tcPr>
          <w:p w14:paraId="177498C4" w14:textId="77777777" w:rsidR="001252CE" w:rsidRPr="00FD7B0B" w:rsidRDefault="001252CE" w:rsidP="001252CE">
            <w:pPr>
              <w:spacing w:after="0" w:line="240" w:lineRule="auto"/>
              <w:jc w:val="center"/>
              <w:rPr>
                <w:rFonts w:ascii="Times New Roman" w:hAnsi="Times New Roman"/>
                <w:sz w:val="20"/>
                <w:szCs w:val="20"/>
              </w:rPr>
            </w:pPr>
            <w:r w:rsidRPr="00FD7B0B">
              <w:rPr>
                <w:rFonts w:ascii="Times New Roman" w:hAnsi="Times New Roman"/>
                <w:sz w:val="20"/>
                <w:szCs w:val="20"/>
              </w:rPr>
              <w:t>5,0</w:t>
            </w:r>
          </w:p>
        </w:tc>
        <w:tc>
          <w:tcPr>
            <w:tcW w:w="757" w:type="pct"/>
            <w:tcBorders>
              <w:top w:val="nil"/>
              <w:left w:val="nil"/>
              <w:bottom w:val="single" w:sz="4" w:space="0" w:color="auto"/>
              <w:right w:val="single" w:sz="4" w:space="0" w:color="auto"/>
            </w:tcBorders>
            <w:shd w:val="clear" w:color="auto" w:fill="auto"/>
            <w:vAlign w:val="center"/>
          </w:tcPr>
          <w:p w14:paraId="6F1560DB"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25,2</w:t>
            </w:r>
          </w:p>
        </w:tc>
        <w:tc>
          <w:tcPr>
            <w:tcW w:w="670" w:type="pct"/>
            <w:tcBorders>
              <w:top w:val="nil"/>
              <w:left w:val="nil"/>
              <w:bottom w:val="single" w:sz="4" w:space="0" w:color="auto"/>
              <w:right w:val="single" w:sz="4" w:space="0" w:color="auto"/>
            </w:tcBorders>
            <w:shd w:val="clear" w:color="auto" w:fill="auto"/>
            <w:vAlign w:val="center"/>
          </w:tcPr>
          <w:p w14:paraId="2231A09B"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5,0</w:t>
            </w:r>
          </w:p>
        </w:tc>
        <w:tc>
          <w:tcPr>
            <w:tcW w:w="655" w:type="pct"/>
            <w:tcBorders>
              <w:top w:val="single" w:sz="4" w:space="0" w:color="auto"/>
              <w:left w:val="nil"/>
              <w:bottom w:val="single" w:sz="4" w:space="0" w:color="auto"/>
              <w:right w:val="double" w:sz="4" w:space="0" w:color="auto"/>
            </w:tcBorders>
            <w:shd w:val="clear" w:color="auto" w:fill="auto"/>
            <w:vAlign w:val="center"/>
          </w:tcPr>
          <w:p w14:paraId="64EB1546"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-20,2</w:t>
            </w:r>
          </w:p>
        </w:tc>
        <w:tc>
          <w:tcPr>
            <w:tcW w:w="654" w:type="pct"/>
            <w:tcBorders>
              <w:top w:val="single" w:sz="4" w:space="0" w:color="auto"/>
              <w:left w:val="nil"/>
              <w:bottom w:val="single" w:sz="4" w:space="0" w:color="auto"/>
              <w:right w:val="double" w:sz="4" w:space="0" w:color="auto"/>
            </w:tcBorders>
            <w:vAlign w:val="center"/>
          </w:tcPr>
          <w:p w14:paraId="299C1CC3"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3652475D" w14:textId="77777777" w:rsidTr="00500547">
        <w:trPr>
          <w:trHeight w:val="118"/>
        </w:trPr>
        <w:tc>
          <w:tcPr>
            <w:tcW w:w="1180" w:type="pct"/>
            <w:tcBorders>
              <w:top w:val="single" w:sz="4" w:space="0" w:color="auto"/>
              <w:left w:val="double" w:sz="4" w:space="0" w:color="auto"/>
              <w:bottom w:val="single" w:sz="4" w:space="0" w:color="auto"/>
              <w:right w:val="single" w:sz="4" w:space="0" w:color="auto"/>
            </w:tcBorders>
            <w:shd w:val="clear" w:color="auto" w:fill="auto"/>
            <w:vAlign w:val="center"/>
          </w:tcPr>
          <w:p w14:paraId="0403DCCE" w14:textId="77777777" w:rsidR="001252CE" w:rsidRPr="00FD7B0B" w:rsidRDefault="001252CE" w:rsidP="001252CE">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РП № 3</w:t>
            </w:r>
          </w:p>
        </w:tc>
        <w:tc>
          <w:tcPr>
            <w:tcW w:w="1083" w:type="pct"/>
            <w:tcBorders>
              <w:top w:val="nil"/>
              <w:left w:val="nil"/>
              <w:bottom w:val="single" w:sz="4" w:space="0" w:color="auto"/>
              <w:right w:val="single" w:sz="4" w:space="0" w:color="auto"/>
            </w:tcBorders>
            <w:shd w:val="clear" w:color="auto" w:fill="auto"/>
            <w:vAlign w:val="center"/>
          </w:tcPr>
          <w:p w14:paraId="233A8FB2" w14:textId="77777777" w:rsidR="001252CE" w:rsidRPr="00FD7B0B" w:rsidRDefault="001252CE" w:rsidP="001252CE">
            <w:pPr>
              <w:spacing w:after="0" w:line="240" w:lineRule="auto"/>
              <w:jc w:val="center"/>
              <w:rPr>
                <w:rFonts w:ascii="Times New Roman" w:hAnsi="Times New Roman"/>
                <w:sz w:val="20"/>
                <w:szCs w:val="20"/>
              </w:rPr>
            </w:pPr>
            <w:r w:rsidRPr="00FD7B0B">
              <w:rPr>
                <w:rFonts w:ascii="Times New Roman" w:hAnsi="Times New Roman"/>
                <w:sz w:val="20"/>
                <w:szCs w:val="20"/>
              </w:rPr>
              <w:t>14,2</w:t>
            </w:r>
          </w:p>
        </w:tc>
        <w:tc>
          <w:tcPr>
            <w:tcW w:w="757" w:type="pct"/>
            <w:tcBorders>
              <w:top w:val="nil"/>
              <w:left w:val="nil"/>
              <w:bottom w:val="single" w:sz="4" w:space="0" w:color="auto"/>
              <w:right w:val="single" w:sz="4" w:space="0" w:color="auto"/>
            </w:tcBorders>
            <w:shd w:val="clear" w:color="auto" w:fill="auto"/>
            <w:vAlign w:val="center"/>
          </w:tcPr>
          <w:p w14:paraId="18A776BC"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14,2</w:t>
            </w:r>
          </w:p>
        </w:tc>
        <w:tc>
          <w:tcPr>
            <w:tcW w:w="670" w:type="pct"/>
            <w:tcBorders>
              <w:top w:val="nil"/>
              <w:left w:val="nil"/>
              <w:bottom w:val="single" w:sz="4" w:space="0" w:color="auto"/>
              <w:right w:val="single" w:sz="4" w:space="0" w:color="auto"/>
            </w:tcBorders>
            <w:shd w:val="clear" w:color="auto" w:fill="auto"/>
            <w:vAlign w:val="center"/>
          </w:tcPr>
          <w:p w14:paraId="6B82C051"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14,2</w:t>
            </w:r>
          </w:p>
        </w:tc>
        <w:tc>
          <w:tcPr>
            <w:tcW w:w="655" w:type="pct"/>
            <w:tcBorders>
              <w:top w:val="single" w:sz="4" w:space="0" w:color="auto"/>
              <w:left w:val="nil"/>
              <w:bottom w:val="single" w:sz="4" w:space="0" w:color="auto"/>
              <w:right w:val="double" w:sz="4" w:space="0" w:color="auto"/>
            </w:tcBorders>
            <w:shd w:val="clear" w:color="auto" w:fill="auto"/>
            <w:vAlign w:val="center"/>
          </w:tcPr>
          <w:p w14:paraId="1218E235"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c>
          <w:tcPr>
            <w:tcW w:w="654" w:type="pct"/>
            <w:tcBorders>
              <w:top w:val="single" w:sz="4" w:space="0" w:color="auto"/>
              <w:left w:val="nil"/>
              <w:bottom w:val="single" w:sz="4" w:space="0" w:color="auto"/>
              <w:right w:val="double" w:sz="4" w:space="0" w:color="auto"/>
            </w:tcBorders>
            <w:vAlign w:val="center"/>
          </w:tcPr>
          <w:p w14:paraId="5FAACB9E"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7BC7E541" w14:textId="77777777" w:rsidTr="00500547">
        <w:trPr>
          <w:trHeight w:val="118"/>
        </w:trPr>
        <w:tc>
          <w:tcPr>
            <w:tcW w:w="1180" w:type="pct"/>
            <w:tcBorders>
              <w:top w:val="single" w:sz="4" w:space="0" w:color="auto"/>
              <w:left w:val="double" w:sz="4" w:space="0" w:color="auto"/>
              <w:bottom w:val="single" w:sz="4" w:space="0" w:color="auto"/>
              <w:right w:val="single" w:sz="4" w:space="0" w:color="auto"/>
            </w:tcBorders>
            <w:shd w:val="clear" w:color="auto" w:fill="auto"/>
            <w:vAlign w:val="center"/>
          </w:tcPr>
          <w:p w14:paraId="0D8881E5" w14:textId="77777777" w:rsidR="001252CE" w:rsidRPr="00FD7B0B" w:rsidRDefault="001252CE" w:rsidP="001252CE">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РП № 4</w:t>
            </w:r>
          </w:p>
        </w:tc>
        <w:tc>
          <w:tcPr>
            <w:tcW w:w="1083" w:type="pct"/>
            <w:tcBorders>
              <w:top w:val="nil"/>
              <w:left w:val="nil"/>
              <w:bottom w:val="single" w:sz="4" w:space="0" w:color="auto"/>
              <w:right w:val="single" w:sz="4" w:space="0" w:color="auto"/>
            </w:tcBorders>
            <w:shd w:val="clear" w:color="auto" w:fill="auto"/>
            <w:vAlign w:val="center"/>
          </w:tcPr>
          <w:p w14:paraId="48EBF021" w14:textId="77777777" w:rsidR="001252CE" w:rsidRPr="00FD7B0B" w:rsidRDefault="001252CE" w:rsidP="001252CE">
            <w:pPr>
              <w:spacing w:after="0" w:line="240" w:lineRule="auto"/>
              <w:jc w:val="center"/>
              <w:rPr>
                <w:rFonts w:ascii="Times New Roman" w:hAnsi="Times New Roman"/>
                <w:sz w:val="20"/>
                <w:szCs w:val="20"/>
              </w:rPr>
            </w:pPr>
            <w:r w:rsidRPr="00FD7B0B">
              <w:rPr>
                <w:rFonts w:ascii="Times New Roman" w:hAnsi="Times New Roman"/>
                <w:sz w:val="20"/>
                <w:szCs w:val="20"/>
              </w:rPr>
              <w:t>168,6</w:t>
            </w:r>
          </w:p>
        </w:tc>
        <w:tc>
          <w:tcPr>
            <w:tcW w:w="757" w:type="pct"/>
            <w:tcBorders>
              <w:top w:val="nil"/>
              <w:left w:val="nil"/>
              <w:bottom w:val="single" w:sz="4" w:space="0" w:color="auto"/>
              <w:right w:val="single" w:sz="4" w:space="0" w:color="auto"/>
            </w:tcBorders>
            <w:shd w:val="clear" w:color="auto" w:fill="auto"/>
            <w:vAlign w:val="center"/>
          </w:tcPr>
          <w:p w14:paraId="1E67F5D6"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169,3</w:t>
            </w:r>
          </w:p>
        </w:tc>
        <w:tc>
          <w:tcPr>
            <w:tcW w:w="670" w:type="pct"/>
            <w:tcBorders>
              <w:top w:val="nil"/>
              <w:left w:val="nil"/>
              <w:bottom w:val="single" w:sz="4" w:space="0" w:color="auto"/>
              <w:right w:val="single" w:sz="4" w:space="0" w:color="auto"/>
            </w:tcBorders>
            <w:shd w:val="clear" w:color="auto" w:fill="auto"/>
            <w:vAlign w:val="center"/>
          </w:tcPr>
          <w:p w14:paraId="154ED009"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168,2</w:t>
            </w:r>
          </w:p>
        </w:tc>
        <w:tc>
          <w:tcPr>
            <w:tcW w:w="655" w:type="pct"/>
            <w:tcBorders>
              <w:top w:val="single" w:sz="4" w:space="0" w:color="auto"/>
              <w:left w:val="nil"/>
              <w:bottom w:val="single" w:sz="4" w:space="0" w:color="auto"/>
              <w:right w:val="double" w:sz="4" w:space="0" w:color="auto"/>
            </w:tcBorders>
            <w:shd w:val="clear" w:color="auto" w:fill="auto"/>
            <w:vAlign w:val="center"/>
          </w:tcPr>
          <w:p w14:paraId="0B8FB314"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-1,1</w:t>
            </w:r>
          </w:p>
        </w:tc>
        <w:tc>
          <w:tcPr>
            <w:tcW w:w="654" w:type="pct"/>
            <w:tcBorders>
              <w:top w:val="single" w:sz="4" w:space="0" w:color="auto"/>
              <w:left w:val="nil"/>
              <w:bottom w:val="single" w:sz="4" w:space="0" w:color="auto"/>
              <w:right w:val="double" w:sz="4" w:space="0" w:color="auto"/>
            </w:tcBorders>
            <w:vAlign w:val="center"/>
          </w:tcPr>
          <w:p w14:paraId="22D5B686"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-0,4</w:t>
            </w:r>
          </w:p>
        </w:tc>
      </w:tr>
      <w:tr w:rsidR="00FD7B0B" w:rsidRPr="00FD7B0B" w14:paraId="400571E7" w14:textId="77777777" w:rsidTr="00500547">
        <w:trPr>
          <w:trHeight w:val="164"/>
        </w:trPr>
        <w:tc>
          <w:tcPr>
            <w:tcW w:w="1180" w:type="pct"/>
            <w:tcBorders>
              <w:top w:val="single" w:sz="4" w:space="0" w:color="auto"/>
              <w:left w:val="double" w:sz="4" w:space="0" w:color="auto"/>
              <w:bottom w:val="single" w:sz="4" w:space="0" w:color="auto"/>
              <w:right w:val="single" w:sz="4" w:space="0" w:color="auto"/>
            </w:tcBorders>
            <w:shd w:val="clear" w:color="auto" w:fill="auto"/>
            <w:vAlign w:val="center"/>
          </w:tcPr>
          <w:p w14:paraId="3EB2DFC1" w14:textId="77777777" w:rsidR="001252CE" w:rsidRPr="00FD7B0B" w:rsidRDefault="001252CE" w:rsidP="001252CE">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РП № 5</w:t>
            </w:r>
          </w:p>
        </w:tc>
        <w:tc>
          <w:tcPr>
            <w:tcW w:w="1083" w:type="pct"/>
            <w:tcBorders>
              <w:top w:val="nil"/>
              <w:left w:val="nil"/>
              <w:bottom w:val="single" w:sz="4" w:space="0" w:color="auto"/>
              <w:right w:val="single" w:sz="4" w:space="0" w:color="auto"/>
            </w:tcBorders>
            <w:shd w:val="clear" w:color="auto" w:fill="auto"/>
            <w:vAlign w:val="center"/>
          </w:tcPr>
          <w:p w14:paraId="6F3ED3BD"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765,4</w:t>
            </w:r>
          </w:p>
        </w:tc>
        <w:tc>
          <w:tcPr>
            <w:tcW w:w="757" w:type="pct"/>
            <w:tcBorders>
              <w:top w:val="nil"/>
              <w:left w:val="nil"/>
              <w:bottom w:val="single" w:sz="4" w:space="0" w:color="auto"/>
              <w:right w:val="single" w:sz="4" w:space="0" w:color="auto"/>
            </w:tcBorders>
            <w:shd w:val="clear" w:color="auto" w:fill="auto"/>
            <w:vAlign w:val="center"/>
          </w:tcPr>
          <w:p w14:paraId="584DF7B0"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820,9</w:t>
            </w:r>
          </w:p>
        </w:tc>
        <w:tc>
          <w:tcPr>
            <w:tcW w:w="670" w:type="pct"/>
            <w:tcBorders>
              <w:top w:val="nil"/>
              <w:left w:val="nil"/>
              <w:bottom w:val="single" w:sz="4" w:space="0" w:color="auto"/>
              <w:right w:val="single" w:sz="4" w:space="0" w:color="auto"/>
            </w:tcBorders>
            <w:shd w:val="clear" w:color="auto" w:fill="auto"/>
            <w:vAlign w:val="center"/>
          </w:tcPr>
          <w:p w14:paraId="422408DC"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764,1</w:t>
            </w:r>
          </w:p>
        </w:tc>
        <w:tc>
          <w:tcPr>
            <w:tcW w:w="655" w:type="pct"/>
            <w:tcBorders>
              <w:top w:val="single" w:sz="4" w:space="0" w:color="auto"/>
              <w:left w:val="nil"/>
              <w:bottom w:val="single" w:sz="4" w:space="0" w:color="auto"/>
              <w:right w:val="double" w:sz="4" w:space="0" w:color="auto"/>
            </w:tcBorders>
            <w:shd w:val="clear" w:color="auto" w:fill="auto"/>
            <w:vAlign w:val="center"/>
          </w:tcPr>
          <w:p w14:paraId="7B74A54D"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-56,8</w:t>
            </w:r>
          </w:p>
        </w:tc>
        <w:tc>
          <w:tcPr>
            <w:tcW w:w="654" w:type="pct"/>
            <w:tcBorders>
              <w:top w:val="single" w:sz="4" w:space="0" w:color="auto"/>
              <w:left w:val="nil"/>
              <w:bottom w:val="single" w:sz="4" w:space="0" w:color="auto"/>
              <w:right w:val="double" w:sz="4" w:space="0" w:color="auto"/>
            </w:tcBorders>
            <w:vAlign w:val="center"/>
          </w:tcPr>
          <w:p w14:paraId="44F682D1"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w:t>
            </w:r>
          </w:p>
        </w:tc>
      </w:tr>
      <w:tr w:rsidR="00FD7B0B" w:rsidRPr="00FD7B0B" w14:paraId="78FAD9EA" w14:textId="77777777" w:rsidTr="00500547">
        <w:trPr>
          <w:trHeight w:val="68"/>
        </w:trPr>
        <w:tc>
          <w:tcPr>
            <w:tcW w:w="1180" w:type="pct"/>
            <w:tcBorders>
              <w:top w:val="single" w:sz="4" w:space="0" w:color="auto"/>
              <w:left w:val="double" w:sz="4" w:space="0" w:color="auto"/>
              <w:bottom w:val="single" w:sz="4" w:space="0" w:color="auto"/>
              <w:right w:val="single" w:sz="4" w:space="0" w:color="auto"/>
            </w:tcBorders>
            <w:shd w:val="clear" w:color="auto" w:fill="auto"/>
            <w:vAlign w:val="center"/>
          </w:tcPr>
          <w:p w14:paraId="2BEF8CED" w14:textId="77777777" w:rsidR="001252CE" w:rsidRPr="00FD7B0B" w:rsidRDefault="001252CE" w:rsidP="001252CE">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КПМ</w:t>
            </w:r>
          </w:p>
        </w:tc>
        <w:tc>
          <w:tcPr>
            <w:tcW w:w="1083" w:type="pct"/>
            <w:tcBorders>
              <w:top w:val="nil"/>
              <w:left w:val="nil"/>
              <w:bottom w:val="single" w:sz="4" w:space="0" w:color="auto"/>
              <w:right w:val="single" w:sz="4" w:space="0" w:color="auto"/>
            </w:tcBorders>
            <w:shd w:val="clear" w:color="auto" w:fill="auto"/>
            <w:vAlign w:val="center"/>
          </w:tcPr>
          <w:p w14:paraId="1FFE2A0E"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0,7</w:t>
            </w:r>
          </w:p>
        </w:tc>
        <w:tc>
          <w:tcPr>
            <w:tcW w:w="757" w:type="pct"/>
            <w:tcBorders>
              <w:top w:val="nil"/>
              <w:left w:val="nil"/>
              <w:bottom w:val="single" w:sz="4" w:space="0" w:color="auto"/>
              <w:right w:val="single" w:sz="4" w:space="0" w:color="auto"/>
            </w:tcBorders>
            <w:shd w:val="clear" w:color="auto" w:fill="auto"/>
            <w:vAlign w:val="center"/>
          </w:tcPr>
          <w:p w14:paraId="74A01946"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0,8</w:t>
            </w:r>
          </w:p>
        </w:tc>
        <w:tc>
          <w:tcPr>
            <w:tcW w:w="670" w:type="pct"/>
            <w:tcBorders>
              <w:top w:val="nil"/>
              <w:left w:val="nil"/>
              <w:bottom w:val="single" w:sz="4" w:space="0" w:color="auto"/>
              <w:right w:val="single" w:sz="4" w:space="0" w:color="auto"/>
            </w:tcBorders>
            <w:shd w:val="clear" w:color="auto" w:fill="auto"/>
            <w:vAlign w:val="center"/>
          </w:tcPr>
          <w:p w14:paraId="3CF6897E"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0,7</w:t>
            </w:r>
          </w:p>
        </w:tc>
        <w:tc>
          <w:tcPr>
            <w:tcW w:w="655" w:type="pct"/>
            <w:tcBorders>
              <w:top w:val="single" w:sz="4" w:space="0" w:color="auto"/>
              <w:left w:val="nil"/>
              <w:bottom w:val="single" w:sz="4" w:space="0" w:color="auto"/>
              <w:right w:val="double" w:sz="4" w:space="0" w:color="auto"/>
            </w:tcBorders>
            <w:shd w:val="clear" w:color="auto" w:fill="auto"/>
            <w:vAlign w:val="center"/>
          </w:tcPr>
          <w:p w14:paraId="59057260"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-0,1</w:t>
            </w:r>
          </w:p>
        </w:tc>
        <w:tc>
          <w:tcPr>
            <w:tcW w:w="654" w:type="pct"/>
            <w:tcBorders>
              <w:top w:val="single" w:sz="4" w:space="0" w:color="auto"/>
              <w:left w:val="nil"/>
              <w:bottom w:val="single" w:sz="4" w:space="0" w:color="auto"/>
              <w:right w:val="double" w:sz="4" w:space="0" w:color="auto"/>
            </w:tcBorders>
            <w:vAlign w:val="center"/>
          </w:tcPr>
          <w:p w14:paraId="4101B147"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1252CE" w:rsidRPr="00FD7B0B" w14:paraId="4F551CD2" w14:textId="77777777" w:rsidTr="00500547">
        <w:trPr>
          <w:trHeight w:val="100"/>
        </w:trPr>
        <w:tc>
          <w:tcPr>
            <w:tcW w:w="1180" w:type="pct"/>
            <w:tcBorders>
              <w:top w:val="single" w:sz="4" w:space="0" w:color="auto"/>
              <w:left w:val="double" w:sz="4" w:space="0" w:color="auto"/>
              <w:bottom w:val="double" w:sz="4" w:space="0" w:color="auto"/>
              <w:right w:val="single" w:sz="4" w:space="0" w:color="auto"/>
            </w:tcBorders>
            <w:shd w:val="clear" w:color="auto" w:fill="auto"/>
            <w:vAlign w:val="center"/>
            <w:hideMark/>
          </w:tcPr>
          <w:p w14:paraId="4A86E024"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Всего по ГП</w:t>
            </w:r>
          </w:p>
        </w:tc>
        <w:tc>
          <w:tcPr>
            <w:tcW w:w="1083" w:type="pct"/>
            <w:tcBorders>
              <w:top w:val="single" w:sz="4" w:space="0" w:color="auto"/>
              <w:left w:val="nil"/>
              <w:bottom w:val="double" w:sz="4" w:space="0" w:color="auto"/>
              <w:right w:val="single" w:sz="4" w:space="0" w:color="auto"/>
            </w:tcBorders>
            <w:shd w:val="clear" w:color="auto" w:fill="auto"/>
            <w:vAlign w:val="center"/>
          </w:tcPr>
          <w:p w14:paraId="3351A1EA"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1017,0</w:t>
            </w:r>
          </w:p>
        </w:tc>
        <w:tc>
          <w:tcPr>
            <w:tcW w:w="757" w:type="pct"/>
            <w:tcBorders>
              <w:top w:val="single" w:sz="4" w:space="0" w:color="auto"/>
              <w:left w:val="nil"/>
              <w:bottom w:val="double" w:sz="4" w:space="0" w:color="auto"/>
              <w:right w:val="single" w:sz="4" w:space="0" w:color="auto"/>
            </w:tcBorders>
            <w:shd w:val="clear" w:color="auto" w:fill="auto"/>
            <w:vAlign w:val="center"/>
          </w:tcPr>
          <w:p w14:paraId="5DBD69DE"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1093,5</w:t>
            </w:r>
          </w:p>
        </w:tc>
        <w:tc>
          <w:tcPr>
            <w:tcW w:w="670" w:type="pct"/>
            <w:tcBorders>
              <w:top w:val="single" w:sz="4" w:space="0" w:color="auto"/>
              <w:left w:val="nil"/>
              <w:bottom w:val="double" w:sz="4" w:space="0" w:color="auto"/>
              <w:right w:val="single" w:sz="4" w:space="0" w:color="auto"/>
            </w:tcBorders>
            <w:shd w:val="clear" w:color="auto" w:fill="auto"/>
            <w:vAlign w:val="center"/>
          </w:tcPr>
          <w:p w14:paraId="46935E03"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1015,3</w:t>
            </w:r>
          </w:p>
        </w:tc>
        <w:tc>
          <w:tcPr>
            <w:tcW w:w="655" w:type="pct"/>
            <w:tcBorders>
              <w:top w:val="single" w:sz="4" w:space="0" w:color="auto"/>
              <w:left w:val="nil"/>
              <w:bottom w:val="double" w:sz="4" w:space="0" w:color="auto"/>
              <w:right w:val="double" w:sz="4" w:space="0" w:color="auto"/>
            </w:tcBorders>
            <w:shd w:val="clear" w:color="auto" w:fill="auto"/>
            <w:vAlign w:val="center"/>
          </w:tcPr>
          <w:p w14:paraId="1E8A764E"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-78,2</w:t>
            </w:r>
          </w:p>
        </w:tc>
        <w:tc>
          <w:tcPr>
            <w:tcW w:w="654" w:type="pct"/>
            <w:tcBorders>
              <w:top w:val="single" w:sz="4" w:space="0" w:color="auto"/>
              <w:left w:val="nil"/>
              <w:bottom w:val="double" w:sz="4" w:space="0" w:color="auto"/>
              <w:right w:val="double" w:sz="4" w:space="0" w:color="auto"/>
            </w:tcBorders>
            <w:vAlign w:val="center"/>
          </w:tcPr>
          <w:p w14:paraId="40E94050" w14:textId="77777777" w:rsidR="001252CE" w:rsidRPr="00FD7B0B" w:rsidRDefault="001252CE" w:rsidP="001252C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-1,7</w:t>
            </w:r>
          </w:p>
        </w:tc>
      </w:tr>
    </w:tbl>
    <w:p w14:paraId="0F3F8360" w14:textId="77777777" w:rsidR="001252CE" w:rsidRPr="00FD7B0B" w:rsidRDefault="001252CE" w:rsidP="001252CE">
      <w:pPr>
        <w:spacing w:after="0" w:line="240" w:lineRule="exact"/>
        <w:ind w:firstLine="709"/>
        <w:contextualSpacing/>
        <w:jc w:val="both"/>
        <w:rPr>
          <w:rFonts w:ascii="Times New Roman" w:eastAsia="Times New Roman" w:hAnsi="Times New Roman"/>
          <w:sz w:val="28"/>
          <w:szCs w:val="28"/>
          <w:lang w:eastAsia="ru-RU"/>
        </w:rPr>
      </w:pPr>
    </w:p>
    <w:p w14:paraId="129FC09C"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По состоянию на 31.12.2024 СБР на 2024 год расходы на реализацию мероприятий ГП № 25 утверждены в общей сумме 1015,3 млн.руб., что на 78,2 млн.руб. или на 7,1 % ниже параметров, утвержденных областным законом «Об областном бюджете» в редакции, действующей на 31.12.2024. </w:t>
      </w:r>
    </w:p>
    <w:p w14:paraId="15ACE622"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состоянию на 31.12.2024 расходы на реализацию мероприятий ГП № 25 утверждены в общей сумме 1017,0 млн.руб., что на 1,7 млн.руб. или на 0,2 % выше параметров СБР на 2024 год.</w:t>
      </w:r>
    </w:p>
    <w:p w14:paraId="25056871"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приложению № 4 к пояснительной записке по ГП № 25 за 2024 год кассовые расходы областного бюджета составили 1015,1 млн.руб. или 92,8 % к утвержденному плану на 2024 год.</w:t>
      </w:r>
    </w:p>
    <w:p w14:paraId="5B847278" w14:textId="3AA35D2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Исполнение по кодам вида расхода и ГРБС представлены в таблицах</w:t>
      </w:r>
      <w:r w:rsidR="00500547" w:rsidRPr="00FD7B0B">
        <w:rPr>
          <w:rFonts w:ascii="Times New Roman" w:eastAsia="Times New Roman" w:hAnsi="Times New Roman"/>
          <w:sz w:val="28"/>
          <w:szCs w:val="28"/>
          <w:lang w:eastAsia="ru-RU"/>
        </w:rPr>
        <w:t xml:space="preserve"> </w:t>
      </w:r>
      <w:r w:rsidR="0070073F" w:rsidRPr="00FD7B0B">
        <w:rPr>
          <w:rFonts w:ascii="Times New Roman" w:eastAsia="Times New Roman" w:hAnsi="Times New Roman"/>
          <w:sz w:val="28"/>
          <w:szCs w:val="28"/>
          <w:lang w:eastAsia="ru-RU"/>
        </w:rPr>
        <w:t>207</w:t>
      </w:r>
      <w:r w:rsidR="00500547" w:rsidRPr="00FD7B0B">
        <w:rPr>
          <w:rFonts w:ascii="Times New Roman" w:eastAsia="Times New Roman" w:hAnsi="Times New Roman"/>
          <w:sz w:val="28"/>
          <w:szCs w:val="28"/>
          <w:lang w:eastAsia="ru-RU"/>
        </w:rPr>
        <w:t xml:space="preserve"> и</w:t>
      </w:r>
      <w:r w:rsidR="0070073F" w:rsidRPr="00FD7B0B">
        <w:rPr>
          <w:rFonts w:ascii="Times New Roman" w:eastAsia="Times New Roman" w:hAnsi="Times New Roman"/>
          <w:sz w:val="28"/>
          <w:szCs w:val="28"/>
          <w:lang w:eastAsia="ru-RU"/>
        </w:rPr>
        <w:t> 208</w:t>
      </w:r>
      <w:r w:rsidRPr="00FD7B0B">
        <w:rPr>
          <w:rFonts w:ascii="Times New Roman" w:eastAsia="Times New Roman" w:hAnsi="Times New Roman"/>
          <w:sz w:val="28"/>
          <w:szCs w:val="28"/>
          <w:lang w:eastAsia="ru-RU"/>
        </w:rPr>
        <w:t>.</w:t>
      </w:r>
    </w:p>
    <w:p w14:paraId="03284103" w14:textId="77777777" w:rsidR="001252CE" w:rsidRPr="00FD7B0B" w:rsidRDefault="001252CE" w:rsidP="00500547">
      <w:pPr>
        <w:pStyle w:val="aff0"/>
        <w:spacing w:after="0" w:line="240" w:lineRule="auto"/>
        <w:rPr>
          <w:rFonts w:ascii="Times New Roman" w:hAnsi="Times New Roman"/>
          <w:b w:val="0"/>
          <w:sz w:val="24"/>
          <w:szCs w:val="24"/>
        </w:rPr>
      </w:pPr>
    </w:p>
    <w:p w14:paraId="3A52B448" w14:textId="5C7D130A" w:rsidR="001252CE" w:rsidRPr="00FD7B0B" w:rsidRDefault="00500547" w:rsidP="00500547">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207</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1252CE" w:rsidRPr="00FD7B0B">
        <w:rPr>
          <w:rFonts w:ascii="Times New Roman" w:hAnsi="Times New Roman"/>
          <w:b w:val="0"/>
          <w:sz w:val="24"/>
          <w:szCs w:val="24"/>
        </w:rPr>
        <w:t>Исполнение бюджетных ассигнований ГП № 25 в разрезе ГРБС, млн.руб.</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419"/>
        <w:gridCol w:w="1987"/>
        <w:gridCol w:w="2554"/>
        <w:gridCol w:w="1647"/>
      </w:tblGrid>
      <w:tr w:rsidR="00FD7B0B" w:rsidRPr="00FD7B0B" w14:paraId="242E5B95" w14:textId="77777777" w:rsidTr="001252CE">
        <w:trPr>
          <w:trHeight w:val="187"/>
        </w:trPr>
        <w:tc>
          <w:tcPr>
            <w:tcW w:w="1780" w:type="pct"/>
            <w:shd w:val="clear" w:color="000000" w:fill="FFFFFF"/>
            <w:vAlign w:val="center"/>
            <w:hideMark/>
          </w:tcPr>
          <w:p w14:paraId="11DAFDBC"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ГРБС</w:t>
            </w:r>
          </w:p>
        </w:tc>
        <w:tc>
          <w:tcPr>
            <w:tcW w:w="1034" w:type="pct"/>
            <w:shd w:val="clear" w:color="000000" w:fill="FFFFFF"/>
            <w:vAlign w:val="center"/>
            <w:hideMark/>
          </w:tcPr>
          <w:p w14:paraId="1944DC08"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СБР на 31.12.2024</w:t>
            </w:r>
          </w:p>
        </w:tc>
        <w:tc>
          <w:tcPr>
            <w:tcW w:w="1329" w:type="pct"/>
            <w:shd w:val="clear" w:color="000000" w:fill="FFFFFF"/>
            <w:vAlign w:val="center"/>
            <w:hideMark/>
          </w:tcPr>
          <w:p w14:paraId="01B9E45E"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Исполнено на 31.12.2024</w:t>
            </w:r>
          </w:p>
        </w:tc>
        <w:tc>
          <w:tcPr>
            <w:tcW w:w="858" w:type="pct"/>
            <w:shd w:val="clear" w:color="auto" w:fill="auto"/>
            <w:vAlign w:val="center"/>
            <w:hideMark/>
          </w:tcPr>
          <w:p w14:paraId="537AAC3C"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исполнения</w:t>
            </w:r>
          </w:p>
        </w:tc>
      </w:tr>
      <w:tr w:rsidR="00FD7B0B" w:rsidRPr="00FD7B0B" w14:paraId="0AAF1146" w14:textId="77777777" w:rsidTr="001252CE">
        <w:trPr>
          <w:trHeight w:val="207"/>
        </w:trPr>
        <w:tc>
          <w:tcPr>
            <w:tcW w:w="1780" w:type="pct"/>
            <w:shd w:val="clear" w:color="auto" w:fill="auto"/>
            <w:vAlign w:val="center"/>
            <w:hideMark/>
          </w:tcPr>
          <w:p w14:paraId="217C2F2F"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минагропром АО</w:t>
            </w:r>
          </w:p>
        </w:tc>
        <w:tc>
          <w:tcPr>
            <w:tcW w:w="1034" w:type="pct"/>
            <w:shd w:val="clear" w:color="auto" w:fill="auto"/>
            <w:noWrap/>
            <w:vAlign w:val="center"/>
          </w:tcPr>
          <w:p w14:paraId="342ADF90"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68,8</w:t>
            </w:r>
          </w:p>
        </w:tc>
        <w:tc>
          <w:tcPr>
            <w:tcW w:w="1329" w:type="pct"/>
            <w:shd w:val="clear" w:color="auto" w:fill="auto"/>
            <w:noWrap/>
            <w:vAlign w:val="center"/>
          </w:tcPr>
          <w:p w14:paraId="6BCF67B5"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68,8</w:t>
            </w:r>
          </w:p>
        </w:tc>
        <w:tc>
          <w:tcPr>
            <w:tcW w:w="858" w:type="pct"/>
            <w:shd w:val="clear" w:color="auto" w:fill="auto"/>
            <w:noWrap/>
            <w:vAlign w:val="center"/>
          </w:tcPr>
          <w:p w14:paraId="0ECA8723"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4EECC30" w14:textId="77777777" w:rsidTr="001252CE">
        <w:trPr>
          <w:trHeight w:val="42"/>
        </w:trPr>
        <w:tc>
          <w:tcPr>
            <w:tcW w:w="1780" w:type="pct"/>
            <w:shd w:val="clear" w:color="auto" w:fill="auto"/>
            <w:vAlign w:val="center"/>
            <w:hideMark/>
          </w:tcPr>
          <w:p w14:paraId="79366FCF"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минстрой АО</w:t>
            </w:r>
          </w:p>
        </w:tc>
        <w:tc>
          <w:tcPr>
            <w:tcW w:w="1034" w:type="pct"/>
            <w:shd w:val="clear" w:color="auto" w:fill="auto"/>
            <w:noWrap/>
            <w:vAlign w:val="center"/>
          </w:tcPr>
          <w:p w14:paraId="386C600C"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721,8</w:t>
            </w:r>
          </w:p>
        </w:tc>
        <w:tc>
          <w:tcPr>
            <w:tcW w:w="1329" w:type="pct"/>
            <w:shd w:val="clear" w:color="auto" w:fill="auto"/>
            <w:noWrap/>
            <w:vAlign w:val="center"/>
          </w:tcPr>
          <w:p w14:paraId="30AD6BFA"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721,8</w:t>
            </w:r>
          </w:p>
        </w:tc>
        <w:tc>
          <w:tcPr>
            <w:tcW w:w="858" w:type="pct"/>
            <w:shd w:val="clear" w:color="auto" w:fill="auto"/>
            <w:noWrap/>
            <w:vAlign w:val="center"/>
          </w:tcPr>
          <w:p w14:paraId="08141178"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09A78182" w14:textId="77777777" w:rsidTr="001252CE">
        <w:trPr>
          <w:trHeight w:val="173"/>
        </w:trPr>
        <w:tc>
          <w:tcPr>
            <w:tcW w:w="1780" w:type="pct"/>
            <w:shd w:val="clear" w:color="auto" w:fill="auto"/>
            <w:vAlign w:val="center"/>
            <w:hideMark/>
          </w:tcPr>
          <w:p w14:paraId="581C0BA0"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1034" w:type="pct"/>
            <w:shd w:val="clear" w:color="auto" w:fill="auto"/>
            <w:noWrap/>
            <w:vAlign w:val="center"/>
          </w:tcPr>
          <w:p w14:paraId="46F6F030"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168,2</w:t>
            </w:r>
          </w:p>
        </w:tc>
        <w:tc>
          <w:tcPr>
            <w:tcW w:w="1329" w:type="pct"/>
            <w:shd w:val="clear" w:color="auto" w:fill="auto"/>
            <w:noWrap/>
            <w:vAlign w:val="center"/>
          </w:tcPr>
          <w:p w14:paraId="0A692CF8"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168,2</w:t>
            </w:r>
          </w:p>
        </w:tc>
        <w:tc>
          <w:tcPr>
            <w:tcW w:w="858" w:type="pct"/>
            <w:shd w:val="clear" w:color="auto" w:fill="auto"/>
            <w:noWrap/>
            <w:vAlign w:val="center"/>
          </w:tcPr>
          <w:p w14:paraId="7FEEDD2A"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19797197" w14:textId="77777777" w:rsidTr="001252CE">
        <w:trPr>
          <w:trHeight w:val="148"/>
        </w:trPr>
        <w:tc>
          <w:tcPr>
            <w:tcW w:w="1780" w:type="pct"/>
            <w:shd w:val="clear" w:color="auto" w:fill="auto"/>
            <w:vAlign w:val="center"/>
            <w:hideMark/>
          </w:tcPr>
          <w:p w14:paraId="7A200568"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минспорт АО</w:t>
            </w:r>
          </w:p>
        </w:tc>
        <w:tc>
          <w:tcPr>
            <w:tcW w:w="1034" w:type="pct"/>
            <w:shd w:val="clear" w:color="auto" w:fill="auto"/>
            <w:noWrap/>
            <w:vAlign w:val="center"/>
          </w:tcPr>
          <w:p w14:paraId="397C54ED"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42,3</w:t>
            </w:r>
          </w:p>
        </w:tc>
        <w:tc>
          <w:tcPr>
            <w:tcW w:w="1329" w:type="pct"/>
            <w:shd w:val="clear" w:color="auto" w:fill="auto"/>
            <w:noWrap/>
            <w:vAlign w:val="center"/>
          </w:tcPr>
          <w:p w14:paraId="71D2E289"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42,3</w:t>
            </w:r>
          </w:p>
        </w:tc>
        <w:tc>
          <w:tcPr>
            <w:tcW w:w="858" w:type="pct"/>
            <w:shd w:val="clear" w:color="auto" w:fill="auto"/>
            <w:noWrap/>
            <w:vAlign w:val="center"/>
          </w:tcPr>
          <w:p w14:paraId="424984D3"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r w:rsidR="00FD7B0B" w:rsidRPr="00FD7B0B" w14:paraId="153FB34B" w14:textId="77777777" w:rsidTr="001252CE">
        <w:trPr>
          <w:trHeight w:val="101"/>
        </w:trPr>
        <w:tc>
          <w:tcPr>
            <w:tcW w:w="1780" w:type="pct"/>
            <w:shd w:val="clear" w:color="auto" w:fill="auto"/>
            <w:vAlign w:val="center"/>
            <w:hideMark/>
          </w:tcPr>
          <w:p w14:paraId="630766A6"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администрация ГАО и ПАО</w:t>
            </w:r>
          </w:p>
        </w:tc>
        <w:tc>
          <w:tcPr>
            <w:tcW w:w="1034" w:type="pct"/>
            <w:shd w:val="clear" w:color="auto" w:fill="auto"/>
            <w:noWrap/>
            <w:vAlign w:val="center"/>
          </w:tcPr>
          <w:p w14:paraId="2DF9E25F"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14,2</w:t>
            </w:r>
          </w:p>
        </w:tc>
        <w:tc>
          <w:tcPr>
            <w:tcW w:w="1329" w:type="pct"/>
            <w:shd w:val="clear" w:color="auto" w:fill="auto"/>
            <w:noWrap/>
            <w:vAlign w:val="center"/>
          </w:tcPr>
          <w:p w14:paraId="666E17D9"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14,0</w:t>
            </w:r>
          </w:p>
        </w:tc>
        <w:tc>
          <w:tcPr>
            <w:tcW w:w="858" w:type="pct"/>
            <w:shd w:val="clear" w:color="auto" w:fill="auto"/>
            <w:noWrap/>
            <w:vAlign w:val="center"/>
          </w:tcPr>
          <w:p w14:paraId="2895C8A9"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98,6</w:t>
            </w:r>
          </w:p>
        </w:tc>
      </w:tr>
      <w:tr w:rsidR="001252CE" w:rsidRPr="00FD7B0B" w14:paraId="77E008EE" w14:textId="77777777" w:rsidTr="001252CE">
        <w:trPr>
          <w:trHeight w:val="101"/>
        </w:trPr>
        <w:tc>
          <w:tcPr>
            <w:tcW w:w="1780" w:type="pct"/>
            <w:shd w:val="clear" w:color="auto" w:fill="auto"/>
            <w:vAlign w:val="center"/>
          </w:tcPr>
          <w:p w14:paraId="47CE0B0E"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Итого</w:t>
            </w:r>
          </w:p>
        </w:tc>
        <w:tc>
          <w:tcPr>
            <w:tcW w:w="1034" w:type="pct"/>
            <w:shd w:val="clear" w:color="auto" w:fill="auto"/>
            <w:noWrap/>
            <w:vAlign w:val="center"/>
          </w:tcPr>
          <w:p w14:paraId="468AE483"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1015,3</w:t>
            </w:r>
          </w:p>
        </w:tc>
        <w:tc>
          <w:tcPr>
            <w:tcW w:w="1329" w:type="pct"/>
            <w:shd w:val="clear" w:color="auto" w:fill="auto"/>
            <w:noWrap/>
            <w:vAlign w:val="center"/>
          </w:tcPr>
          <w:p w14:paraId="596D59EB"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1015,1</w:t>
            </w:r>
          </w:p>
        </w:tc>
        <w:tc>
          <w:tcPr>
            <w:tcW w:w="858" w:type="pct"/>
            <w:shd w:val="clear" w:color="auto" w:fill="auto"/>
            <w:noWrap/>
            <w:vAlign w:val="center"/>
          </w:tcPr>
          <w:p w14:paraId="531F6E87"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r>
    </w:tbl>
    <w:p w14:paraId="68C39522" w14:textId="77777777" w:rsidR="001252CE" w:rsidRPr="00FD7B0B" w:rsidRDefault="001252CE" w:rsidP="001252CE">
      <w:pPr>
        <w:spacing w:after="0" w:line="120" w:lineRule="auto"/>
        <w:ind w:firstLine="709"/>
        <w:contextualSpacing/>
        <w:jc w:val="both"/>
        <w:rPr>
          <w:rFonts w:ascii="Times New Roman" w:eastAsia="Times New Roman" w:hAnsi="Times New Roman"/>
          <w:sz w:val="28"/>
          <w:szCs w:val="28"/>
          <w:lang w:eastAsia="ru-RU"/>
        </w:rPr>
      </w:pPr>
    </w:p>
    <w:p w14:paraId="323D312A" w14:textId="77777777" w:rsidR="001252CE" w:rsidRPr="00FD7B0B" w:rsidRDefault="001252CE" w:rsidP="001252CE">
      <w:pPr>
        <w:spacing w:after="0" w:line="120" w:lineRule="auto"/>
        <w:ind w:firstLine="709"/>
        <w:contextualSpacing/>
        <w:jc w:val="both"/>
        <w:rPr>
          <w:rFonts w:ascii="Times New Roman" w:eastAsia="Times New Roman" w:hAnsi="Times New Roman"/>
          <w:sz w:val="24"/>
          <w:szCs w:val="24"/>
          <w:lang w:eastAsia="ru-RU"/>
        </w:rPr>
      </w:pPr>
    </w:p>
    <w:p w14:paraId="7093DCBD" w14:textId="21741345" w:rsidR="001252CE" w:rsidRPr="00FD7B0B" w:rsidRDefault="00500547" w:rsidP="00500547">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208</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1252CE" w:rsidRPr="00FD7B0B">
        <w:rPr>
          <w:rFonts w:ascii="Times New Roman" w:hAnsi="Times New Roman"/>
          <w:b w:val="0"/>
          <w:sz w:val="24"/>
          <w:szCs w:val="24"/>
        </w:rPr>
        <w:t>Исполнение бюджетных ассигнований в разрезе вида расходов, млн.руб.</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898"/>
        <w:gridCol w:w="1593"/>
        <w:gridCol w:w="936"/>
        <w:gridCol w:w="1430"/>
        <w:gridCol w:w="1589"/>
        <w:gridCol w:w="1161"/>
      </w:tblGrid>
      <w:tr w:rsidR="00FD7B0B" w:rsidRPr="00FD7B0B" w14:paraId="09DC57CD" w14:textId="77777777" w:rsidTr="002B0E6C">
        <w:trPr>
          <w:trHeight w:val="226"/>
          <w:tblHeader/>
        </w:trPr>
        <w:tc>
          <w:tcPr>
            <w:tcW w:w="1509" w:type="pct"/>
            <w:shd w:val="clear" w:color="000000" w:fill="FFFFFF"/>
            <w:vAlign w:val="center"/>
            <w:hideMark/>
          </w:tcPr>
          <w:p w14:paraId="73883F9C"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ГРБС</w:t>
            </w:r>
          </w:p>
        </w:tc>
        <w:tc>
          <w:tcPr>
            <w:tcW w:w="829" w:type="pct"/>
            <w:shd w:val="clear" w:color="000000" w:fill="FFFFFF"/>
            <w:vAlign w:val="center"/>
            <w:hideMark/>
          </w:tcPr>
          <w:p w14:paraId="4CFD34BD"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Структурный элемент</w:t>
            </w:r>
          </w:p>
        </w:tc>
        <w:tc>
          <w:tcPr>
            <w:tcW w:w="487" w:type="pct"/>
            <w:shd w:val="clear" w:color="000000" w:fill="FFFFFF"/>
            <w:vAlign w:val="center"/>
            <w:hideMark/>
          </w:tcPr>
          <w:p w14:paraId="28DD143F"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Вид</w:t>
            </w:r>
            <w:r w:rsidRPr="00FD7B0B">
              <w:rPr>
                <w:rFonts w:ascii="Times New Roman" w:eastAsia="Times New Roman" w:hAnsi="Times New Roman" w:cs="Times New Roman"/>
                <w:sz w:val="18"/>
                <w:szCs w:val="18"/>
                <w:lang w:eastAsia="ru-RU"/>
              </w:rPr>
              <w:br/>
              <w:t>расходов</w:t>
            </w:r>
          </w:p>
        </w:tc>
        <w:tc>
          <w:tcPr>
            <w:tcW w:w="744" w:type="pct"/>
            <w:shd w:val="clear" w:color="000000" w:fill="FFFFFF"/>
            <w:vAlign w:val="center"/>
            <w:hideMark/>
          </w:tcPr>
          <w:p w14:paraId="445E89B5"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СБР на 31.12.2024</w:t>
            </w:r>
          </w:p>
        </w:tc>
        <w:tc>
          <w:tcPr>
            <w:tcW w:w="827" w:type="pct"/>
            <w:shd w:val="clear" w:color="000000" w:fill="FFFFFF"/>
            <w:vAlign w:val="center"/>
            <w:hideMark/>
          </w:tcPr>
          <w:p w14:paraId="79D5AFE7"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 на 31.12.2024</w:t>
            </w:r>
          </w:p>
        </w:tc>
        <w:tc>
          <w:tcPr>
            <w:tcW w:w="604" w:type="pct"/>
            <w:shd w:val="clear" w:color="auto" w:fill="auto"/>
            <w:vAlign w:val="center"/>
            <w:hideMark/>
          </w:tcPr>
          <w:p w14:paraId="15CA383E"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исполнено к СБР</w:t>
            </w:r>
          </w:p>
        </w:tc>
      </w:tr>
      <w:tr w:rsidR="00FD7B0B" w:rsidRPr="00FD7B0B" w14:paraId="31057190" w14:textId="77777777" w:rsidTr="001252CE">
        <w:trPr>
          <w:trHeight w:val="163"/>
        </w:trPr>
        <w:tc>
          <w:tcPr>
            <w:tcW w:w="1509" w:type="pct"/>
            <w:vMerge w:val="restart"/>
            <w:shd w:val="clear" w:color="auto" w:fill="auto"/>
            <w:vAlign w:val="center"/>
            <w:hideMark/>
          </w:tcPr>
          <w:p w14:paraId="65210C91"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минагропром АО</w:t>
            </w:r>
          </w:p>
        </w:tc>
        <w:tc>
          <w:tcPr>
            <w:tcW w:w="829" w:type="pct"/>
            <w:shd w:val="clear" w:color="auto" w:fill="auto"/>
            <w:vAlign w:val="center"/>
            <w:hideMark/>
          </w:tcPr>
          <w:p w14:paraId="3FEC0040"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1</w:t>
            </w:r>
          </w:p>
        </w:tc>
        <w:tc>
          <w:tcPr>
            <w:tcW w:w="487" w:type="pct"/>
            <w:shd w:val="clear" w:color="auto" w:fill="auto"/>
            <w:vAlign w:val="center"/>
          </w:tcPr>
          <w:p w14:paraId="5BD26E77"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520</w:t>
            </w:r>
          </w:p>
        </w:tc>
        <w:tc>
          <w:tcPr>
            <w:tcW w:w="744" w:type="pct"/>
            <w:shd w:val="clear" w:color="auto" w:fill="auto"/>
            <w:vAlign w:val="center"/>
          </w:tcPr>
          <w:p w14:paraId="32E4B58E"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63,1</w:t>
            </w:r>
          </w:p>
        </w:tc>
        <w:tc>
          <w:tcPr>
            <w:tcW w:w="827" w:type="pct"/>
            <w:shd w:val="clear" w:color="auto" w:fill="auto"/>
            <w:vAlign w:val="center"/>
          </w:tcPr>
          <w:p w14:paraId="0B15D8C3"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63,1</w:t>
            </w:r>
          </w:p>
        </w:tc>
        <w:tc>
          <w:tcPr>
            <w:tcW w:w="604" w:type="pct"/>
            <w:shd w:val="clear" w:color="auto" w:fill="auto"/>
            <w:vAlign w:val="center"/>
          </w:tcPr>
          <w:p w14:paraId="602971F3"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55EBA993" w14:textId="77777777" w:rsidTr="001252CE">
        <w:trPr>
          <w:trHeight w:val="163"/>
        </w:trPr>
        <w:tc>
          <w:tcPr>
            <w:tcW w:w="1509" w:type="pct"/>
            <w:vMerge/>
            <w:shd w:val="clear" w:color="auto" w:fill="auto"/>
            <w:vAlign w:val="center"/>
          </w:tcPr>
          <w:p w14:paraId="38E26593"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p>
        </w:tc>
        <w:tc>
          <w:tcPr>
            <w:tcW w:w="829" w:type="pct"/>
            <w:shd w:val="clear" w:color="auto" w:fill="auto"/>
            <w:vAlign w:val="center"/>
          </w:tcPr>
          <w:p w14:paraId="605F7E16"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2</w:t>
            </w:r>
          </w:p>
        </w:tc>
        <w:tc>
          <w:tcPr>
            <w:tcW w:w="487" w:type="pct"/>
            <w:shd w:val="clear" w:color="auto" w:fill="auto"/>
            <w:vAlign w:val="center"/>
          </w:tcPr>
          <w:p w14:paraId="4A74E8FC"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810</w:t>
            </w:r>
          </w:p>
        </w:tc>
        <w:tc>
          <w:tcPr>
            <w:tcW w:w="744" w:type="pct"/>
            <w:shd w:val="clear" w:color="auto" w:fill="auto"/>
            <w:vAlign w:val="center"/>
          </w:tcPr>
          <w:p w14:paraId="021AE0F8"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w:t>
            </w:r>
          </w:p>
        </w:tc>
        <w:tc>
          <w:tcPr>
            <w:tcW w:w="827" w:type="pct"/>
            <w:shd w:val="clear" w:color="auto" w:fill="auto"/>
            <w:vAlign w:val="center"/>
          </w:tcPr>
          <w:p w14:paraId="5C354044"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w:t>
            </w:r>
          </w:p>
        </w:tc>
        <w:tc>
          <w:tcPr>
            <w:tcW w:w="604" w:type="pct"/>
            <w:shd w:val="clear" w:color="auto" w:fill="auto"/>
            <w:vAlign w:val="center"/>
          </w:tcPr>
          <w:p w14:paraId="01EF5710"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6C971C1" w14:textId="77777777" w:rsidTr="001252CE">
        <w:trPr>
          <w:trHeight w:val="163"/>
        </w:trPr>
        <w:tc>
          <w:tcPr>
            <w:tcW w:w="1509" w:type="pct"/>
            <w:vMerge/>
            <w:shd w:val="clear" w:color="auto" w:fill="auto"/>
            <w:vAlign w:val="center"/>
          </w:tcPr>
          <w:p w14:paraId="4CD53F0D"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p>
        </w:tc>
        <w:tc>
          <w:tcPr>
            <w:tcW w:w="829" w:type="pct"/>
            <w:shd w:val="clear" w:color="auto" w:fill="auto"/>
            <w:vAlign w:val="center"/>
          </w:tcPr>
          <w:p w14:paraId="2BE0AD9D"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КПМ</w:t>
            </w:r>
          </w:p>
        </w:tc>
        <w:tc>
          <w:tcPr>
            <w:tcW w:w="487" w:type="pct"/>
            <w:shd w:val="clear" w:color="auto" w:fill="auto"/>
            <w:vAlign w:val="center"/>
          </w:tcPr>
          <w:p w14:paraId="65713C58"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620</w:t>
            </w:r>
          </w:p>
        </w:tc>
        <w:tc>
          <w:tcPr>
            <w:tcW w:w="744" w:type="pct"/>
            <w:shd w:val="clear" w:color="auto" w:fill="auto"/>
            <w:vAlign w:val="center"/>
          </w:tcPr>
          <w:p w14:paraId="4424F3C7"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w:t>
            </w:r>
          </w:p>
        </w:tc>
        <w:tc>
          <w:tcPr>
            <w:tcW w:w="827" w:type="pct"/>
            <w:shd w:val="clear" w:color="auto" w:fill="auto"/>
            <w:vAlign w:val="center"/>
          </w:tcPr>
          <w:p w14:paraId="58A90424"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w:t>
            </w:r>
          </w:p>
        </w:tc>
        <w:tc>
          <w:tcPr>
            <w:tcW w:w="604" w:type="pct"/>
            <w:shd w:val="clear" w:color="auto" w:fill="auto"/>
            <w:vAlign w:val="center"/>
          </w:tcPr>
          <w:p w14:paraId="6710B3AA"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E88375E" w14:textId="77777777" w:rsidTr="001252CE">
        <w:trPr>
          <w:trHeight w:val="153"/>
        </w:trPr>
        <w:tc>
          <w:tcPr>
            <w:tcW w:w="1509" w:type="pct"/>
            <w:vMerge w:val="restart"/>
            <w:shd w:val="clear" w:color="auto" w:fill="auto"/>
            <w:vAlign w:val="center"/>
            <w:hideMark/>
          </w:tcPr>
          <w:p w14:paraId="791DA94A"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минстрой АО</w:t>
            </w:r>
          </w:p>
        </w:tc>
        <w:tc>
          <w:tcPr>
            <w:tcW w:w="829" w:type="pct"/>
            <w:shd w:val="clear" w:color="auto" w:fill="auto"/>
            <w:vAlign w:val="center"/>
            <w:hideMark/>
          </w:tcPr>
          <w:p w14:paraId="01F47439"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5</w:t>
            </w:r>
          </w:p>
        </w:tc>
        <w:tc>
          <w:tcPr>
            <w:tcW w:w="487" w:type="pct"/>
            <w:shd w:val="clear" w:color="auto" w:fill="auto"/>
            <w:vAlign w:val="center"/>
          </w:tcPr>
          <w:p w14:paraId="1A1B5765"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240</w:t>
            </w:r>
          </w:p>
        </w:tc>
        <w:tc>
          <w:tcPr>
            <w:tcW w:w="744" w:type="pct"/>
            <w:shd w:val="clear" w:color="auto" w:fill="auto"/>
            <w:vAlign w:val="center"/>
          </w:tcPr>
          <w:p w14:paraId="25F48960"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w:t>
            </w:r>
          </w:p>
        </w:tc>
        <w:tc>
          <w:tcPr>
            <w:tcW w:w="827" w:type="pct"/>
            <w:shd w:val="clear" w:color="auto" w:fill="auto"/>
            <w:vAlign w:val="center"/>
          </w:tcPr>
          <w:p w14:paraId="3146DD86"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w:t>
            </w:r>
          </w:p>
        </w:tc>
        <w:tc>
          <w:tcPr>
            <w:tcW w:w="604" w:type="pct"/>
            <w:shd w:val="clear" w:color="auto" w:fill="auto"/>
            <w:vAlign w:val="center"/>
          </w:tcPr>
          <w:p w14:paraId="06AD399F"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5A390968" w14:textId="77777777" w:rsidTr="001252CE">
        <w:trPr>
          <w:trHeight w:val="153"/>
        </w:trPr>
        <w:tc>
          <w:tcPr>
            <w:tcW w:w="1509" w:type="pct"/>
            <w:vMerge/>
            <w:shd w:val="clear" w:color="auto" w:fill="auto"/>
            <w:vAlign w:val="center"/>
          </w:tcPr>
          <w:p w14:paraId="0AC0EA3E"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p>
        </w:tc>
        <w:tc>
          <w:tcPr>
            <w:tcW w:w="829" w:type="pct"/>
            <w:shd w:val="clear" w:color="auto" w:fill="auto"/>
            <w:vAlign w:val="center"/>
          </w:tcPr>
          <w:p w14:paraId="25E6FEE1"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5</w:t>
            </w:r>
          </w:p>
        </w:tc>
        <w:tc>
          <w:tcPr>
            <w:tcW w:w="487" w:type="pct"/>
            <w:shd w:val="clear" w:color="auto" w:fill="auto"/>
            <w:vAlign w:val="center"/>
          </w:tcPr>
          <w:p w14:paraId="29CCB39D"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410</w:t>
            </w:r>
          </w:p>
        </w:tc>
        <w:tc>
          <w:tcPr>
            <w:tcW w:w="744" w:type="pct"/>
            <w:shd w:val="clear" w:color="auto" w:fill="auto"/>
            <w:vAlign w:val="center"/>
          </w:tcPr>
          <w:p w14:paraId="2D135884"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124,3</w:t>
            </w:r>
          </w:p>
        </w:tc>
        <w:tc>
          <w:tcPr>
            <w:tcW w:w="827" w:type="pct"/>
            <w:shd w:val="clear" w:color="auto" w:fill="auto"/>
            <w:vAlign w:val="center"/>
          </w:tcPr>
          <w:p w14:paraId="5A37888F"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124,3</w:t>
            </w:r>
          </w:p>
        </w:tc>
        <w:tc>
          <w:tcPr>
            <w:tcW w:w="604" w:type="pct"/>
            <w:shd w:val="clear" w:color="auto" w:fill="auto"/>
            <w:vAlign w:val="center"/>
          </w:tcPr>
          <w:p w14:paraId="1F7EB02A"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2E143F74" w14:textId="77777777" w:rsidTr="001252CE">
        <w:trPr>
          <w:trHeight w:val="143"/>
        </w:trPr>
        <w:tc>
          <w:tcPr>
            <w:tcW w:w="1509" w:type="pct"/>
            <w:vMerge/>
            <w:shd w:val="clear" w:color="auto" w:fill="auto"/>
            <w:vAlign w:val="center"/>
          </w:tcPr>
          <w:p w14:paraId="592AC5ED"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p>
        </w:tc>
        <w:tc>
          <w:tcPr>
            <w:tcW w:w="829" w:type="pct"/>
            <w:shd w:val="clear" w:color="auto" w:fill="auto"/>
            <w:vAlign w:val="center"/>
          </w:tcPr>
          <w:p w14:paraId="58F80B8F"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5</w:t>
            </w:r>
          </w:p>
        </w:tc>
        <w:tc>
          <w:tcPr>
            <w:tcW w:w="487" w:type="pct"/>
            <w:shd w:val="clear" w:color="auto" w:fill="auto"/>
            <w:vAlign w:val="center"/>
          </w:tcPr>
          <w:p w14:paraId="3EE04D75"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520</w:t>
            </w:r>
          </w:p>
        </w:tc>
        <w:tc>
          <w:tcPr>
            <w:tcW w:w="744" w:type="pct"/>
            <w:shd w:val="clear" w:color="auto" w:fill="auto"/>
            <w:vAlign w:val="center"/>
          </w:tcPr>
          <w:p w14:paraId="3E08598C"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598,3</w:t>
            </w:r>
          </w:p>
        </w:tc>
        <w:tc>
          <w:tcPr>
            <w:tcW w:w="827" w:type="pct"/>
            <w:shd w:val="clear" w:color="auto" w:fill="auto"/>
            <w:vAlign w:val="center"/>
          </w:tcPr>
          <w:p w14:paraId="616013BE"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598,3</w:t>
            </w:r>
          </w:p>
        </w:tc>
        <w:tc>
          <w:tcPr>
            <w:tcW w:w="604" w:type="pct"/>
            <w:shd w:val="clear" w:color="auto" w:fill="auto"/>
            <w:vAlign w:val="center"/>
          </w:tcPr>
          <w:p w14:paraId="3DE24F98"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434F1C9" w14:textId="77777777" w:rsidTr="001252CE">
        <w:trPr>
          <w:trHeight w:val="118"/>
        </w:trPr>
        <w:tc>
          <w:tcPr>
            <w:tcW w:w="1509" w:type="pct"/>
            <w:shd w:val="clear" w:color="auto" w:fill="auto"/>
            <w:vAlign w:val="center"/>
          </w:tcPr>
          <w:p w14:paraId="59D318AF"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минтранс АО</w:t>
            </w:r>
          </w:p>
        </w:tc>
        <w:tc>
          <w:tcPr>
            <w:tcW w:w="829" w:type="pct"/>
            <w:shd w:val="clear" w:color="auto" w:fill="auto"/>
            <w:vAlign w:val="center"/>
          </w:tcPr>
          <w:p w14:paraId="1266DFB9"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4</w:t>
            </w:r>
          </w:p>
        </w:tc>
        <w:tc>
          <w:tcPr>
            <w:tcW w:w="487" w:type="pct"/>
            <w:shd w:val="clear" w:color="auto" w:fill="auto"/>
            <w:vAlign w:val="center"/>
          </w:tcPr>
          <w:p w14:paraId="0FA17023"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520</w:t>
            </w:r>
          </w:p>
        </w:tc>
        <w:tc>
          <w:tcPr>
            <w:tcW w:w="744" w:type="pct"/>
            <w:shd w:val="clear" w:color="auto" w:fill="auto"/>
            <w:vAlign w:val="center"/>
          </w:tcPr>
          <w:p w14:paraId="3F579D78"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168,2</w:t>
            </w:r>
          </w:p>
        </w:tc>
        <w:tc>
          <w:tcPr>
            <w:tcW w:w="827" w:type="pct"/>
            <w:shd w:val="clear" w:color="auto" w:fill="auto"/>
            <w:vAlign w:val="center"/>
          </w:tcPr>
          <w:p w14:paraId="1F40EB9F"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168,2</w:t>
            </w:r>
          </w:p>
        </w:tc>
        <w:tc>
          <w:tcPr>
            <w:tcW w:w="604" w:type="pct"/>
            <w:shd w:val="clear" w:color="auto" w:fill="auto"/>
            <w:vAlign w:val="center"/>
          </w:tcPr>
          <w:p w14:paraId="189C033D"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B9F43EB" w14:textId="77777777" w:rsidTr="001252CE">
        <w:trPr>
          <w:trHeight w:val="95"/>
        </w:trPr>
        <w:tc>
          <w:tcPr>
            <w:tcW w:w="1509" w:type="pct"/>
            <w:shd w:val="clear" w:color="auto" w:fill="auto"/>
            <w:vAlign w:val="center"/>
          </w:tcPr>
          <w:p w14:paraId="6E2C6F74"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минспорт АО</w:t>
            </w:r>
          </w:p>
        </w:tc>
        <w:tc>
          <w:tcPr>
            <w:tcW w:w="829" w:type="pct"/>
            <w:shd w:val="clear" w:color="auto" w:fill="auto"/>
            <w:vAlign w:val="center"/>
          </w:tcPr>
          <w:p w14:paraId="39BCA143"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РП № 5</w:t>
            </w:r>
          </w:p>
        </w:tc>
        <w:tc>
          <w:tcPr>
            <w:tcW w:w="487" w:type="pct"/>
            <w:shd w:val="clear" w:color="auto" w:fill="auto"/>
            <w:vAlign w:val="center"/>
          </w:tcPr>
          <w:p w14:paraId="14836561"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520</w:t>
            </w:r>
          </w:p>
        </w:tc>
        <w:tc>
          <w:tcPr>
            <w:tcW w:w="744" w:type="pct"/>
            <w:shd w:val="clear" w:color="auto" w:fill="auto"/>
            <w:vAlign w:val="center"/>
          </w:tcPr>
          <w:p w14:paraId="0FD4EC25"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35,1</w:t>
            </w:r>
          </w:p>
        </w:tc>
        <w:tc>
          <w:tcPr>
            <w:tcW w:w="827" w:type="pct"/>
            <w:shd w:val="clear" w:color="auto" w:fill="auto"/>
            <w:vAlign w:val="center"/>
          </w:tcPr>
          <w:p w14:paraId="7673F9DD"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35,1</w:t>
            </w:r>
          </w:p>
        </w:tc>
        <w:tc>
          <w:tcPr>
            <w:tcW w:w="604" w:type="pct"/>
            <w:shd w:val="clear" w:color="auto" w:fill="auto"/>
            <w:vAlign w:val="center"/>
          </w:tcPr>
          <w:p w14:paraId="5A459CDA"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25559CA9" w14:textId="77777777" w:rsidTr="001252CE">
        <w:trPr>
          <w:trHeight w:val="42"/>
        </w:trPr>
        <w:tc>
          <w:tcPr>
            <w:tcW w:w="1509" w:type="pct"/>
            <w:shd w:val="clear" w:color="auto" w:fill="auto"/>
            <w:vAlign w:val="center"/>
          </w:tcPr>
          <w:p w14:paraId="67FD5759"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администрация ГАО и ПАО</w:t>
            </w:r>
          </w:p>
        </w:tc>
        <w:tc>
          <w:tcPr>
            <w:tcW w:w="829" w:type="pct"/>
            <w:shd w:val="clear" w:color="auto" w:fill="auto"/>
            <w:vAlign w:val="center"/>
          </w:tcPr>
          <w:p w14:paraId="7D0CEE62"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val="en-US" w:eastAsia="ru-RU"/>
              </w:rPr>
            </w:pPr>
            <w:r w:rsidRPr="00FD7B0B">
              <w:rPr>
                <w:rFonts w:ascii="Times New Roman" w:eastAsia="Times New Roman" w:hAnsi="Times New Roman" w:cs="Times New Roman"/>
                <w:sz w:val="18"/>
                <w:szCs w:val="18"/>
                <w:lang w:eastAsia="ru-RU"/>
              </w:rPr>
              <w:t>РП №</w:t>
            </w:r>
            <w:r w:rsidRPr="00FD7B0B">
              <w:rPr>
                <w:rFonts w:ascii="Times New Roman" w:eastAsia="Times New Roman" w:hAnsi="Times New Roman" w:cs="Times New Roman"/>
                <w:sz w:val="18"/>
                <w:szCs w:val="18"/>
                <w:lang w:val="en-US" w:eastAsia="ru-RU"/>
              </w:rPr>
              <w:t>3</w:t>
            </w:r>
          </w:p>
        </w:tc>
        <w:tc>
          <w:tcPr>
            <w:tcW w:w="487" w:type="pct"/>
            <w:shd w:val="clear" w:color="auto" w:fill="auto"/>
            <w:vAlign w:val="center"/>
          </w:tcPr>
          <w:p w14:paraId="74222BDF"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val="en-US" w:eastAsia="ru-RU"/>
              </w:rPr>
            </w:pPr>
            <w:r w:rsidRPr="00FD7B0B">
              <w:rPr>
                <w:rFonts w:ascii="Times New Roman" w:eastAsia="Times New Roman" w:hAnsi="Times New Roman" w:cs="Times New Roman"/>
                <w:sz w:val="18"/>
                <w:szCs w:val="18"/>
                <w:lang w:val="en-US" w:eastAsia="ru-RU"/>
              </w:rPr>
              <w:t>520</w:t>
            </w:r>
          </w:p>
        </w:tc>
        <w:tc>
          <w:tcPr>
            <w:tcW w:w="744" w:type="pct"/>
            <w:shd w:val="clear" w:color="auto" w:fill="auto"/>
            <w:vAlign w:val="center"/>
          </w:tcPr>
          <w:p w14:paraId="5DF9F708"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14,2</w:t>
            </w:r>
          </w:p>
        </w:tc>
        <w:tc>
          <w:tcPr>
            <w:tcW w:w="827" w:type="pct"/>
            <w:shd w:val="clear" w:color="auto" w:fill="auto"/>
            <w:vAlign w:val="center"/>
          </w:tcPr>
          <w:p w14:paraId="5986D2D5"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val="en-US" w:eastAsia="ru-RU"/>
              </w:rPr>
              <w:t>14</w:t>
            </w:r>
            <w:r w:rsidRPr="00FD7B0B">
              <w:rPr>
                <w:rFonts w:ascii="Times New Roman" w:eastAsia="Times New Roman" w:hAnsi="Times New Roman" w:cs="Times New Roman"/>
                <w:sz w:val="18"/>
                <w:szCs w:val="18"/>
                <w:lang w:eastAsia="ru-RU"/>
              </w:rPr>
              <w:t>,</w:t>
            </w:r>
            <w:r w:rsidRPr="00FD7B0B">
              <w:rPr>
                <w:rFonts w:ascii="Times New Roman" w:eastAsia="Times New Roman" w:hAnsi="Times New Roman" w:cs="Times New Roman"/>
                <w:sz w:val="18"/>
                <w:szCs w:val="18"/>
                <w:lang w:val="en-US" w:eastAsia="ru-RU"/>
              </w:rPr>
              <w:t>0</w:t>
            </w:r>
          </w:p>
        </w:tc>
        <w:tc>
          <w:tcPr>
            <w:tcW w:w="604" w:type="pct"/>
            <w:shd w:val="clear" w:color="auto" w:fill="auto"/>
            <w:vAlign w:val="center"/>
          </w:tcPr>
          <w:p w14:paraId="245328EC"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98,6</w:t>
            </w:r>
          </w:p>
        </w:tc>
      </w:tr>
      <w:tr w:rsidR="00FD7B0B" w:rsidRPr="00FD7B0B" w14:paraId="1C7365A0" w14:textId="77777777" w:rsidTr="001252CE">
        <w:trPr>
          <w:trHeight w:val="42"/>
        </w:trPr>
        <w:tc>
          <w:tcPr>
            <w:tcW w:w="2338" w:type="pct"/>
            <w:gridSpan w:val="2"/>
            <w:shd w:val="clear" w:color="auto" w:fill="auto"/>
            <w:vAlign w:val="center"/>
          </w:tcPr>
          <w:p w14:paraId="6067B857"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итого по видам расходов</w:t>
            </w:r>
          </w:p>
        </w:tc>
        <w:tc>
          <w:tcPr>
            <w:tcW w:w="487" w:type="pct"/>
            <w:shd w:val="clear" w:color="auto" w:fill="auto"/>
            <w:vAlign w:val="center"/>
          </w:tcPr>
          <w:p w14:paraId="0617BD3F" w14:textId="77777777" w:rsidR="001252CE" w:rsidRPr="00FD7B0B" w:rsidRDefault="001252CE" w:rsidP="001252CE">
            <w:pPr>
              <w:spacing w:after="0" w:line="240" w:lineRule="auto"/>
              <w:jc w:val="center"/>
              <w:rPr>
                <w:rFonts w:ascii="Times New Roman" w:eastAsia="Times New Roman" w:hAnsi="Times New Roman" w:cs="Times New Roman"/>
                <w:sz w:val="18"/>
                <w:szCs w:val="18"/>
                <w:lang w:val="en-US" w:eastAsia="ru-RU"/>
              </w:rPr>
            </w:pPr>
          </w:p>
        </w:tc>
        <w:tc>
          <w:tcPr>
            <w:tcW w:w="744" w:type="pct"/>
            <w:shd w:val="clear" w:color="auto" w:fill="auto"/>
            <w:vAlign w:val="center"/>
          </w:tcPr>
          <w:p w14:paraId="57C3D2FB"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p>
        </w:tc>
        <w:tc>
          <w:tcPr>
            <w:tcW w:w="827" w:type="pct"/>
            <w:shd w:val="clear" w:color="auto" w:fill="auto"/>
            <w:vAlign w:val="center"/>
          </w:tcPr>
          <w:p w14:paraId="0E81D0C3" w14:textId="77777777" w:rsidR="001252CE" w:rsidRPr="00FD7B0B" w:rsidRDefault="001252CE" w:rsidP="001252CE">
            <w:pPr>
              <w:spacing w:after="0" w:line="240" w:lineRule="auto"/>
              <w:jc w:val="right"/>
              <w:rPr>
                <w:rFonts w:ascii="Times New Roman" w:eastAsia="Times New Roman" w:hAnsi="Times New Roman" w:cs="Times New Roman"/>
                <w:sz w:val="18"/>
                <w:szCs w:val="18"/>
                <w:lang w:val="en-US" w:eastAsia="ru-RU"/>
              </w:rPr>
            </w:pPr>
          </w:p>
        </w:tc>
        <w:tc>
          <w:tcPr>
            <w:tcW w:w="604" w:type="pct"/>
            <w:shd w:val="clear" w:color="auto" w:fill="auto"/>
            <w:vAlign w:val="center"/>
          </w:tcPr>
          <w:p w14:paraId="253279B2"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p>
        </w:tc>
      </w:tr>
      <w:tr w:rsidR="00FD7B0B" w:rsidRPr="00FD7B0B" w14:paraId="2101B6C0" w14:textId="77777777" w:rsidTr="001252CE">
        <w:trPr>
          <w:trHeight w:val="42"/>
        </w:trPr>
        <w:tc>
          <w:tcPr>
            <w:tcW w:w="2825" w:type="pct"/>
            <w:gridSpan w:val="3"/>
            <w:shd w:val="clear" w:color="auto" w:fill="auto"/>
            <w:vAlign w:val="center"/>
          </w:tcPr>
          <w:p w14:paraId="120E7B4D"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tc>
        <w:tc>
          <w:tcPr>
            <w:tcW w:w="744" w:type="pct"/>
            <w:shd w:val="clear" w:color="auto" w:fill="auto"/>
            <w:vAlign w:val="center"/>
          </w:tcPr>
          <w:p w14:paraId="509CFA16"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w:t>
            </w:r>
          </w:p>
        </w:tc>
        <w:tc>
          <w:tcPr>
            <w:tcW w:w="827" w:type="pct"/>
            <w:shd w:val="clear" w:color="auto" w:fill="auto"/>
            <w:vAlign w:val="center"/>
          </w:tcPr>
          <w:p w14:paraId="3132F1EA"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6,4</w:t>
            </w:r>
          </w:p>
        </w:tc>
        <w:tc>
          <w:tcPr>
            <w:tcW w:w="604" w:type="pct"/>
            <w:shd w:val="clear" w:color="auto" w:fill="auto"/>
            <w:vAlign w:val="center"/>
          </w:tcPr>
          <w:p w14:paraId="0A776245"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7B42DFF3" w14:textId="77777777" w:rsidTr="001252CE">
        <w:trPr>
          <w:trHeight w:val="42"/>
        </w:trPr>
        <w:tc>
          <w:tcPr>
            <w:tcW w:w="2825" w:type="pct"/>
            <w:gridSpan w:val="3"/>
            <w:shd w:val="clear" w:color="auto" w:fill="auto"/>
            <w:vAlign w:val="center"/>
          </w:tcPr>
          <w:p w14:paraId="59CCBABE"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w:t>
            </w:r>
          </w:p>
        </w:tc>
        <w:tc>
          <w:tcPr>
            <w:tcW w:w="744" w:type="pct"/>
            <w:shd w:val="clear" w:color="auto" w:fill="auto"/>
            <w:vAlign w:val="center"/>
          </w:tcPr>
          <w:p w14:paraId="1E24E072"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124,3</w:t>
            </w:r>
          </w:p>
        </w:tc>
        <w:tc>
          <w:tcPr>
            <w:tcW w:w="827" w:type="pct"/>
            <w:shd w:val="clear" w:color="auto" w:fill="auto"/>
            <w:vAlign w:val="center"/>
          </w:tcPr>
          <w:p w14:paraId="07C32B97"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124,3</w:t>
            </w:r>
          </w:p>
        </w:tc>
        <w:tc>
          <w:tcPr>
            <w:tcW w:w="604" w:type="pct"/>
            <w:shd w:val="clear" w:color="auto" w:fill="auto"/>
            <w:vAlign w:val="center"/>
          </w:tcPr>
          <w:p w14:paraId="656BFFD8"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AC53557" w14:textId="77777777" w:rsidTr="001252CE">
        <w:trPr>
          <w:trHeight w:val="42"/>
        </w:trPr>
        <w:tc>
          <w:tcPr>
            <w:tcW w:w="2825" w:type="pct"/>
            <w:gridSpan w:val="3"/>
            <w:shd w:val="clear" w:color="auto" w:fill="auto"/>
            <w:vAlign w:val="center"/>
          </w:tcPr>
          <w:p w14:paraId="4F966F5A"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w:t>
            </w:r>
          </w:p>
        </w:tc>
        <w:tc>
          <w:tcPr>
            <w:tcW w:w="744" w:type="pct"/>
            <w:shd w:val="clear" w:color="auto" w:fill="auto"/>
            <w:vAlign w:val="center"/>
          </w:tcPr>
          <w:p w14:paraId="593AB61F"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878,9</w:t>
            </w:r>
          </w:p>
        </w:tc>
        <w:tc>
          <w:tcPr>
            <w:tcW w:w="827" w:type="pct"/>
            <w:shd w:val="clear" w:color="auto" w:fill="auto"/>
            <w:vAlign w:val="center"/>
          </w:tcPr>
          <w:p w14:paraId="3C69A8B7"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878,7</w:t>
            </w:r>
          </w:p>
        </w:tc>
        <w:tc>
          <w:tcPr>
            <w:tcW w:w="604" w:type="pct"/>
            <w:shd w:val="clear" w:color="auto" w:fill="auto"/>
            <w:vAlign w:val="center"/>
          </w:tcPr>
          <w:p w14:paraId="3C7A4C12"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0F92C99F" w14:textId="77777777" w:rsidTr="001252CE">
        <w:trPr>
          <w:trHeight w:val="42"/>
        </w:trPr>
        <w:tc>
          <w:tcPr>
            <w:tcW w:w="2825" w:type="pct"/>
            <w:gridSpan w:val="3"/>
            <w:shd w:val="clear" w:color="auto" w:fill="auto"/>
            <w:vAlign w:val="center"/>
          </w:tcPr>
          <w:p w14:paraId="3A9C2C8A"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744" w:type="pct"/>
            <w:shd w:val="clear" w:color="auto" w:fill="auto"/>
            <w:vAlign w:val="center"/>
          </w:tcPr>
          <w:p w14:paraId="14656D1F"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w:t>
            </w:r>
          </w:p>
        </w:tc>
        <w:tc>
          <w:tcPr>
            <w:tcW w:w="827" w:type="pct"/>
            <w:shd w:val="clear" w:color="auto" w:fill="auto"/>
            <w:vAlign w:val="center"/>
          </w:tcPr>
          <w:p w14:paraId="12180094"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0,7</w:t>
            </w:r>
          </w:p>
        </w:tc>
        <w:tc>
          <w:tcPr>
            <w:tcW w:w="604" w:type="pct"/>
            <w:shd w:val="clear" w:color="auto" w:fill="auto"/>
            <w:vAlign w:val="center"/>
          </w:tcPr>
          <w:p w14:paraId="3DDAD7BA"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6B2013C2" w14:textId="77777777" w:rsidTr="001252CE">
        <w:trPr>
          <w:trHeight w:val="42"/>
        </w:trPr>
        <w:tc>
          <w:tcPr>
            <w:tcW w:w="2825" w:type="pct"/>
            <w:gridSpan w:val="3"/>
            <w:shd w:val="clear" w:color="auto" w:fill="auto"/>
            <w:vAlign w:val="center"/>
          </w:tcPr>
          <w:p w14:paraId="0D4DA471"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800</w:t>
            </w:r>
          </w:p>
        </w:tc>
        <w:tc>
          <w:tcPr>
            <w:tcW w:w="744" w:type="pct"/>
            <w:shd w:val="clear" w:color="auto" w:fill="auto"/>
            <w:vAlign w:val="center"/>
          </w:tcPr>
          <w:p w14:paraId="76AA480F"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w:t>
            </w:r>
          </w:p>
        </w:tc>
        <w:tc>
          <w:tcPr>
            <w:tcW w:w="827" w:type="pct"/>
            <w:shd w:val="clear" w:color="auto" w:fill="auto"/>
            <w:vAlign w:val="center"/>
          </w:tcPr>
          <w:p w14:paraId="7D9B4C73"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w:t>
            </w:r>
          </w:p>
        </w:tc>
        <w:tc>
          <w:tcPr>
            <w:tcW w:w="604" w:type="pct"/>
            <w:shd w:val="clear" w:color="auto" w:fill="auto"/>
            <w:vAlign w:val="center"/>
          </w:tcPr>
          <w:p w14:paraId="49D0D249"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1252CE" w:rsidRPr="00FD7B0B" w14:paraId="0EF0E769" w14:textId="77777777" w:rsidTr="001252CE">
        <w:trPr>
          <w:trHeight w:val="42"/>
        </w:trPr>
        <w:tc>
          <w:tcPr>
            <w:tcW w:w="2825" w:type="pct"/>
            <w:gridSpan w:val="3"/>
            <w:shd w:val="clear" w:color="auto" w:fill="auto"/>
            <w:vAlign w:val="center"/>
          </w:tcPr>
          <w:p w14:paraId="48A2E021"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Итого</w:t>
            </w:r>
          </w:p>
        </w:tc>
        <w:tc>
          <w:tcPr>
            <w:tcW w:w="744" w:type="pct"/>
            <w:shd w:val="clear" w:color="auto" w:fill="auto"/>
            <w:vAlign w:val="center"/>
          </w:tcPr>
          <w:p w14:paraId="2B7D2622"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1015,3</w:t>
            </w:r>
          </w:p>
        </w:tc>
        <w:tc>
          <w:tcPr>
            <w:tcW w:w="827" w:type="pct"/>
            <w:shd w:val="clear" w:color="auto" w:fill="auto"/>
            <w:vAlign w:val="center"/>
          </w:tcPr>
          <w:p w14:paraId="7B2CBF83"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1015,1</w:t>
            </w:r>
          </w:p>
        </w:tc>
        <w:tc>
          <w:tcPr>
            <w:tcW w:w="604" w:type="pct"/>
            <w:shd w:val="clear" w:color="auto" w:fill="auto"/>
            <w:vAlign w:val="center"/>
          </w:tcPr>
          <w:p w14:paraId="7EBC0AA2" w14:textId="77777777" w:rsidR="001252CE" w:rsidRPr="00FD7B0B" w:rsidRDefault="001252CE" w:rsidP="001252CE">
            <w:pPr>
              <w:spacing w:after="0" w:line="240" w:lineRule="auto"/>
              <w:jc w:val="right"/>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bl>
    <w:p w14:paraId="4AEA52AD" w14:textId="77777777" w:rsidR="001252CE" w:rsidRPr="00FD7B0B" w:rsidRDefault="001252CE" w:rsidP="001252CE">
      <w:pPr>
        <w:spacing w:after="0" w:line="120" w:lineRule="auto"/>
        <w:ind w:firstLine="709"/>
        <w:contextualSpacing/>
        <w:jc w:val="both"/>
        <w:rPr>
          <w:rFonts w:ascii="Times New Roman" w:eastAsia="Times New Roman" w:hAnsi="Times New Roman"/>
          <w:sz w:val="28"/>
          <w:szCs w:val="28"/>
          <w:lang w:eastAsia="ru-RU"/>
        </w:rPr>
      </w:pPr>
    </w:p>
    <w:p w14:paraId="1A72A525"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Наибольший удельный вес в структуре кассовых расходов по ГП № 25 принадлежит межбюджетным трансфертам (код 500) – 86,6 %. При этом основная доля межбюджетных трансфертов приходится на реализацию мероприятий РП № 5.</w:t>
      </w:r>
    </w:p>
    <w:p w14:paraId="3B363E4E" w14:textId="5EAFD11A"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запросу КСП АО представлен проект отчета</w:t>
      </w:r>
      <w:r w:rsidRPr="00FD7B0B">
        <w:t xml:space="preserve"> </w:t>
      </w:r>
      <w:r w:rsidRPr="00FD7B0B">
        <w:rPr>
          <w:rFonts w:ascii="Times New Roman" w:eastAsia="Times New Roman" w:hAnsi="Times New Roman"/>
          <w:sz w:val="28"/>
          <w:szCs w:val="28"/>
          <w:lang w:eastAsia="ru-RU"/>
        </w:rPr>
        <w:t>о реализации в 2024 году ГП № 25, согласно которому кассовые расходы сформировались в общей сумме 1015,1 млн.руб. за счет средств областного бюджета или 100 % к утвержденн</w:t>
      </w:r>
      <w:r w:rsidR="002B0E6C" w:rsidRPr="00FD7B0B">
        <w:rPr>
          <w:rFonts w:ascii="Times New Roman" w:eastAsia="Times New Roman" w:hAnsi="Times New Roman"/>
          <w:sz w:val="28"/>
          <w:szCs w:val="28"/>
          <w:lang w:eastAsia="ru-RU"/>
        </w:rPr>
        <w:t>ому плану на 2024 год (1015,3).</w:t>
      </w:r>
    </w:p>
    <w:p w14:paraId="2B010337" w14:textId="77777777" w:rsidR="001252CE" w:rsidRPr="00FD7B0B" w:rsidRDefault="001252CE" w:rsidP="001252CE">
      <w:pPr>
        <w:spacing w:after="0" w:line="120" w:lineRule="auto"/>
        <w:contextualSpacing/>
        <w:jc w:val="both"/>
        <w:rPr>
          <w:rFonts w:ascii="Times New Roman" w:eastAsia="Times New Roman" w:hAnsi="Times New Roman" w:cs="Times New Roman"/>
          <w:sz w:val="28"/>
          <w:szCs w:val="28"/>
          <w:lang w:eastAsia="ru-RU"/>
        </w:rPr>
      </w:pPr>
    </w:p>
    <w:p w14:paraId="60E51664" w14:textId="77777777" w:rsidR="001252CE" w:rsidRPr="00FD7B0B" w:rsidRDefault="001252CE" w:rsidP="001252CE">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209</w:t>
      </w:r>
      <w:r w:rsidRPr="00FD7B0B">
        <w:rPr>
          <w:rFonts w:ascii="Times New Roman" w:hAnsi="Times New Roman"/>
          <w:b w:val="0"/>
          <w:sz w:val="24"/>
          <w:szCs w:val="24"/>
        </w:rPr>
        <w:fldChar w:fldCharType="end"/>
      </w:r>
      <w:r w:rsidRPr="00FD7B0B">
        <w:rPr>
          <w:rFonts w:ascii="Times New Roman" w:hAnsi="Times New Roman"/>
          <w:b w:val="0"/>
          <w:sz w:val="24"/>
          <w:szCs w:val="24"/>
        </w:rPr>
        <w:t>. Данные проекта отчета о реализации ГП № 19 в 2024 году, тыс.руб.</w:t>
      </w:r>
    </w:p>
    <w:tbl>
      <w:tblPr>
        <w:tblW w:w="4963"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782"/>
        <w:gridCol w:w="1202"/>
        <w:gridCol w:w="1402"/>
        <w:gridCol w:w="835"/>
        <w:gridCol w:w="925"/>
        <w:gridCol w:w="1390"/>
      </w:tblGrid>
      <w:tr w:rsidR="00FD7B0B" w:rsidRPr="00FD7B0B" w14:paraId="0323139B" w14:textId="77777777" w:rsidTr="002B0E6C">
        <w:trPr>
          <w:trHeight w:val="115"/>
          <w:tblHeader/>
        </w:trPr>
        <w:tc>
          <w:tcPr>
            <w:tcW w:w="1983" w:type="pct"/>
            <w:vMerge w:val="restart"/>
            <w:shd w:val="clear" w:color="auto" w:fill="auto"/>
            <w:vAlign w:val="center"/>
            <w:hideMark/>
          </w:tcPr>
          <w:p w14:paraId="4F98EA1F"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Наименование мероприятия (результата)</w:t>
            </w:r>
          </w:p>
        </w:tc>
        <w:tc>
          <w:tcPr>
            <w:tcW w:w="3017" w:type="pct"/>
            <w:gridSpan w:val="5"/>
            <w:shd w:val="clear" w:color="auto" w:fill="auto"/>
            <w:vAlign w:val="center"/>
            <w:hideMark/>
          </w:tcPr>
          <w:p w14:paraId="385A8167"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Объем финансирования госпрограммы (за отчетный период)</w:t>
            </w:r>
          </w:p>
        </w:tc>
      </w:tr>
      <w:tr w:rsidR="00FD7B0B" w:rsidRPr="00FD7B0B" w14:paraId="46EC9F7A" w14:textId="77777777" w:rsidTr="002B0E6C">
        <w:trPr>
          <w:trHeight w:val="115"/>
          <w:tblHeader/>
        </w:trPr>
        <w:tc>
          <w:tcPr>
            <w:tcW w:w="1983" w:type="pct"/>
            <w:vMerge/>
            <w:vAlign w:val="center"/>
            <w:hideMark/>
          </w:tcPr>
          <w:p w14:paraId="73B3C3D9"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p>
        </w:tc>
        <w:tc>
          <w:tcPr>
            <w:tcW w:w="3017" w:type="pct"/>
            <w:gridSpan w:val="5"/>
            <w:shd w:val="clear" w:color="auto" w:fill="auto"/>
            <w:vAlign w:val="center"/>
            <w:hideMark/>
          </w:tcPr>
          <w:p w14:paraId="526D51EC"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 том числе</w:t>
            </w:r>
          </w:p>
        </w:tc>
      </w:tr>
      <w:tr w:rsidR="00FD7B0B" w:rsidRPr="00FD7B0B" w14:paraId="1EE77A7E" w14:textId="77777777" w:rsidTr="002B0E6C">
        <w:trPr>
          <w:trHeight w:val="147"/>
          <w:tblHeader/>
        </w:trPr>
        <w:tc>
          <w:tcPr>
            <w:tcW w:w="1983" w:type="pct"/>
            <w:vMerge/>
            <w:vAlign w:val="center"/>
            <w:hideMark/>
          </w:tcPr>
          <w:p w14:paraId="7EAEF5DD"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p>
        </w:tc>
        <w:tc>
          <w:tcPr>
            <w:tcW w:w="1802" w:type="pct"/>
            <w:gridSpan w:val="3"/>
            <w:shd w:val="clear" w:color="auto" w:fill="auto"/>
            <w:vAlign w:val="center"/>
            <w:hideMark/>
          </w:tcPr>
          <w:p w14:paraId="191B2ABB"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областной бюджет</w:t>
            </w:r>
          </w:p>
        </w:tc>
        <w:tc>
          <w:tcPr>
            <w:tcW w:w="1215" w:type="pct"/>
            <w:gridSpan w:val="2"/>
            <w:shd w:val="clear" w:color="auto" w:fill="auto"/>
            <w:vAlign w:val="center"/>
            <w:hideMark/>
          </w:tcPr>
          <w:p w14:paraId="4242FCC2"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бюджеты МО АО</w:t>
            </w:r>
          </w:p>
        </w:tc>
      </w:tr>
      <w:tr w:rsidR="00FD7B0B" w:rsidRPr="00FD7B0B" w14:paraId="7354A1D2" w14:textId="77777777" w:rsidTr="002B0E6C">
        <w:trPr>
          <w:trHeight w:val="78"/>
          <w:tblHeader/>
        </w:trPr>
        <w:tc>
          <w:tcPr>
            <w:tcW w:w="1983" w:type="pct"/>
            <w:vMerge/>
            <w:vAlign w:val="center"/>
            <w:hideMark/>
          </w:tcPr>
          <w:p w14:paraId="3152E959"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p>
        </w:tc>
        <w:tc>
          <w:tcPr>
            <w:tcW w:w="630" w:type="pct"/>
            <w:shd w:val="clear" w:color="auto" w:fill="auto"/>
            <w:vAlign w:val="center"/>
            <w:hideMark/>
          </w:tcPr>
          <w:p w14:paraId="54CED04D"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 на год</w:t>
            </w:r>
          </w:p>
        </w:tc>
        <w:tc>
          <w:tcPr>
            <w:tcW w:w="735" w:type="pct"/>
            <w:shd w:val="clear" w:color="auto" w:fill="auto"/>
            <w:vAlign w:val="center"/>
            <w:hideMark/>
          </w:tcPr>
          <w:p w14:paraId="1D19F311"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кассовые расходы</w:t>
            </w:r>
          </w:p>
        </w:tc>
        <w:tc>
          <w:tcPr>
            <w:tcW w:w="438" w:type="pct"/>
            <w:shd w:val="clear" w:color="auto" w:fill="auto"/>
            <w:vAlign w:val="center"/>
            <w:hideMark/>
          </w:tcPr>
          <w:p w14:paraId="078E8588"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w:t>
            </w:r>
          </w:p>
        </w:tc>
        <w:tc>
          <w:tcPr>
            <w:tcW w:w="485" w:type="pct"/>
            <w:shd w:val="clear" w:color="auto" w:fill="auto"/>
            <w:vAlign w:val="center"/>
            <w:hideMark/>
          </w:tcPr>
          <w:p w14:paraId="01A56849"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план</w:t>
            </w:r>
          </w:p>
        </w:tc>
        <w:tc>
          <w:tcPr>
            <w:tcW w:w="730" w:type="pct"/>
            <w:shd w:val="clear" w:color="auto" w:fill="auto"/>
            <w:vAlign w:val="center"/>
            <w:hideMark/>
          </w:tcPr>
          <w:p w14:paraId="419E5CA3"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кассовые расходы</w:t>
            </w:r>
          </w:p>
        </w:tc>
      </w:tr>
      <w:tr w:rsidR="00FD7B0B" w:rsidRPr="00FD7B0B" w14:paraId="0E2257AC" w14:textId="77777777" w:rsidTr="001252CE">
        <w:trPr>
          <w:trHeight w:val="110"/>
        </w:trPr>
        <w:tc>
          <w:tcPr>
            <w:tcW w:w="1983" w:type="pct"/>
            <w:shd w:val="clear" w:color="auto" w:fill="auto"/>
            <w:vAlign w:val="center"/>
            <w:hideMark/>
          </w:tcPr>
          <w:p w14:paraId="10D0DAF8"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Проектная часть </w:t>
            </w:r>
          </w:p>
        </w:tc>
        <w:tc>
          <w:tcPr>
            <w:tcW w:w="630" w:type="pct"/>
            <w:shd w:val="clear" w:color="auto" w:fill="auto"/>
            <w:vAlign w:val="center"/>
          </w:tcPr>
          <w:p w14:paraId="376D224D"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1014,6</w:t>
            </w:r>
          </w:p>
        </w:tc>
        <w:tc>
          <w:tcPr>
            <w:tcW w:w="735" w:type="pct"/>
            <w:shd w:val="clear" w:color="auto" w:fill="auto"/>
            <w:vAlign w:val="center"/>
          </w:tcPr>
          <w:p w14:paraId="70C9C560"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1014,4</w:t>
            </w:r>
          </w:p>
        </w:tc>
        <w:tc>
          <w:tcPr>
            <w:tcW w:w="438" w:type="pct"/>
            <w:shd w:val="clear" w:color="auto" w:fill="auto"/>
            <w:vAlign w:val="center"/>
          </w:tcPr>
          <w:p w14:paraId="07A5F92D"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485" w:type="pct"/>
            <w:shd w:val="clear" w:color="auto" w:fill="auto"/>
            <w:vAlign w:val="center"/>
          </w:tcPr>
          <w:p w14:paraId="0554EC39"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10,6</w:t>
            </w:r>
          </w:p>
        </w:tc>
        <w:tc>
          <w:tcPr>
            <w:tcW w:w="730" w:type="pct"/>
            <w:shd w:val="clear" w:color="auto" w:fill="auto"/>
            <w:vAlign w:val="center"/>
          </w:tcPr>
          <w:p w14:paraId="25F6F504"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14,1</w:t>
            </w:r>
          </w:p>
        </w:tc>
      </w:tr>
      <w:tr w:rsidR="00FD7B0B" w:rsidRPr="00FD7B0B" w14:paraId="3A093DD3" w14:textId="77777777" w:rsidTr="001252CE">
        <w:trPr>
          <w:trHeight w:val="155"/>
        </w:trPr>
        <w:tc>
          <w:tcPr>
            <w:tcW w:w="1983" w:type="pct"/>
            <w:shd w:val="clear" w:color="auto" w:fill="auto"/>
            <w:vAlign w:val="center"/>
            <w:hideMark/>
          </w:tcPr>
          <w:p w14:paraId="568A2452"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1</w:t>
            </w:r>
          </w:p>
        </w:tc>
        <w:tc>
          <w:tcPr>
            <w:tcW w:w="630" w:type="pct"/>
            <w:shd w:val="clear" w:color="auto" w:fill="auto"/>
            <w:vAlign w:val="center"/>
          </w:tcPr>
          <w:p w14:paraId="0CA03888"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63,1</w:t>
            </w:r>
          </w:p>
        </w:tc>
        <w:tc>
          <w:tcPr>
            <w:tcW w:w="735" w:type="pct"/>
            <w:shd w:val="clear" w:color="auto" w:fill="auto"/>
            <w:vAlign w:val="center"/>
          </w:tcPr>
          <w:p w14:paraId="79A56B9B"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63,1</w:t>
            </w:r>
          </w:p>
        </w:tc>
        <w:tc>
          <w:tcPr>
            <w:tcW w:w="438" w:type="pct"/>
            <w:shd w:val="clear" w:color="auto" w:fill="auto"/>
            <w:vAlign w:val="center"/>
          </w:tcPr>
          <w:p w14:paraId="5A1E0DF8"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485" w:type="pct"/>
            <w:shd w:val="clear" w:color="auto" w:fill="auto"/>
            <w:vAlign w:val="center"/>
          </w:tcPr>
          <w:p w14:paraId="4E0ADC41"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5,1</w:t>
            </w:r>
          </w:p>
        </w:tc>
        <w:tc>
          <w:tcPr>
            <w:tcW w:w="730" w:type="pct"/>
            <w:shd w:val="clear" w:color="auto" w:fill="auto"/>
            <w:vAlign w:val="center"/>
          </w:tcPr>
          <w:p w14:paraId="11B07871"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9,9</w:t>
            </w:r>
          </w:p>
        </w:tc>
      </w:tr>
      <w:tr w:rsidR="00FD7B0B" w:rsidRPr="00FD7B0B" w14:paraId="3EF35C19" w14:textId="77777777" w:rsidTr="001252CE">
        <w:trPr>
          <w:trHeight w:val="187"/>
        </w:trPr>
        <w:tc>
          <w:tcPr>
            <w:tcW w:w="1983" w:type="pct"/>
            <w:shd w:val="clear" w:color="auto" w:fill="auto"/>
            <w:vAlign w:val="center"/>
            <w:hideMark/>
          </w:tcPr>
          <w:p w14:paraId="0F959907"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2</w:t>
            </w:r>
          </w:p>
        </w:tc>
        <w:tc>
          <w:tcPr>
            <w:tcW w:w="630" w:type="pct"/>
            <w:shd w:val="clear" w:color="auto" w:fill="auto"/>
            <w:vAlign w:val="center"/>
          </w:tcPr>
          <w:p w14:paraId="791C5F0E"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w:t>
            </w:r>
          </w:p>
        </w:tc>
        <w:tc>
          <w:tcPr>
            <w:tcW w:w="735" w:type="pct"/>
            <w:shd w:val="clear" w:color="auto" w:fill="auto"/>
            <w:vAlign w:val="center"/>
          </w:tcPr>
          <w:p w14:paraId="5077A128"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w:t>
            </w:r>
          </w:p>
        </w:tc>
        <w:tc>
          <w:tcPr>
            <w:tcW w:w="438" w:type="pct"/>
            <w:shd w:val="clear" w:color="auto" w:fill="auto"/>
            <w:vAlign w:val="center"/>
          </w:tcPr>
          <w:p w14:paraId="186E6C27"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485" w:type="pct"/>
            <w:shd w:val="clear" w:color="auto" w:fill="auto"/>
            <w:vAlign w:val="center"/>
          </w:tcPr>
          <w:p w14:paraId="5F37C7DE"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730" w:type="pct"/>
            <w:shd w:val="clear" w:color="auto" w:fill="auto"/>
            <w:vAlign w:val="center"/>
          </w:tcPr>
          <w:p w14:paraId="79FB7639"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43520D8A" w14:textId="77777777" w:rsidTr="001252CE">
        <w:trPr>
          <w:trHeight w:val="90"/>
        </w:trPr>
        <w:tc>
          <w:tcPr>
            <w:tcW w:w="1983" w:type="pct"/>
            <w:shd w:val="clear" w:color="auto" w:fill="auto"/>
            <w:vAlign w:val="center"/>
            <w:hideMark/>
          </w:tcPr>
          <w:p w14:paraId="1920FA6F"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3</w:t>
            </w:r>
          </w:p>
        </w:tc>
        <w:tc>
          <w:tcPr>
            <w:tcW w:w="630" w:type="pct"/>
            <w:shd w:val="clear" w:color="auto" w:fill="auto"/>
            <w:vAlign w:val="center"/>
          </w:tcPr>
          <w:p w14:paraId="21343584"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14,2</w:t>
            </w:r>
          </w:p>
        </w:tc>
        <w:tc>
          <w:tcPr>
            <w:tcW w:w="735" w:type="pct"/>
            <w:shd w:val="clear" w:color="auto" w:fill="auto"/>
            <w:vAlign w:val="center"/>
          </w:tcPr>
          <w:p w14:paraId="6AF5BD7A"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14,0</w:t>
            </w:r>
          </w:p>
        </w:tc>
        <w:tc>
          <w:tcPr>
            <w:tcW w:w="438" w:type="pct"/>
            <w:shd w:val="clear" w:color="auto" w:fill="auto"/>
            <w:vAlign w:val="center"/>
          </w:tcPr>
          <w:p w14:paraId="7072D7D2"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98,6</w:t>
            </w:r>
          </w:p>
        </w:tc>
        <w:tc>
          <w:tcPr>
            <w:tcW w:w="485" w:type="pct"/>
            <w:shd w:val="clear" w:color="auto" w:fill="auto"/>
            <w:vAlign w:val="center"/>
          </w:tcPr>
          <w:p w14:paraId="00CE7FB7"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w:t>
            </w:r>
          </w:p>
        </w:tc>
        <w:tc>
          <w:tcPr>
            <w:tcW w:w="730" w:type="pct"/>
            <w:shd w:val="clear" w:color="auto" w:fill="auto"/>
            <w:vAlign w:val="center"/>
          </w:tcPr>
          <w:p w14:paraId="0D063CAA"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5,7</w:t>
            </w:r>
          </w:p>
        </w:tc>
      </w:tr>
      <w:tr w:rsidR="00FD7B0B" w:rsidRPr="00FD7B0B" w14:paraId="4C526A85" w14:textId="77777777" w:rsidTr="001252CE">
        <w:trPr>
          <w:trHeight w:val="90"/>
        </w:trPr>
        <w:tc>
          <w:tcPr>
            <w:tcW w:w="1983" w:type="pct"/>
            <w:shd w:val="clear" w:color="auto" w:fill="auto"/>
            <w:vAlign w:val="center"/>
          </w:tcPr>
          <w:p w14:paraId="3DDE4CEC"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4</w:t>
            </w:r>
          </w:p>
        </w:tc>
        <w:tc>
          <w:tcPr>
            <w:tcW w:w="630" w:type="pct"/>
            <w:shd w:val="clear" w:color="auto" w:fill="auto"/>
            <w:vAlign w:val="center"/>
          </w:tcPr>
          <w:p w14:paraId="1439DD8B"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168,2</w:t>
            </w:r>
          </w:p>
        </w:tc>
        <w:tc>
          <w:tcPr>
            <w:tcW w:w="735" w:type="pct"/>
            <w:shd w:val="clear" w:color="auto" w:fill="auto"/>
            <w:vAlign w:val="center"/>
          </w:tcPr>
          <w:p w14:paraId="0AF4CEE1"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168,2</w:t>
            </w:r>
          </w:p>
        </w:tc>
        <w:tc>
          <w:tcPr>
            <w:tcW w:w="438" w:type="pct"/>
            <w:shd w:val="clear" w:color="auto" w:fill="auto"/>
            <w:vAlign w:val="center"/>
          </w:tcPr>
          <w:p w14:paraId="6CB135BF"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485" w:type="pct"/>
            <w:shd w:val="clear" w:color="auto" w:fill="auto"/>
            <w:vAlign w:val="center"/>
          </w:tcPr>
          <w:p w14:paraId="6567E070"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0,3</w:t>
            </w:r>
          </w:p>
        </w:tc>
        <w:tc>
          <w:tcPr>
            <w:tcW w:w="730" w:type="pct"/>
            <w:shd w:val="clear" w:color="auto" w:fill="auto"/>
            <w:vAlign w:val="center"/>
          </w:tcPr>
          <w:p w14:paraId="5D1A12DC"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0,3</w:t>
            </w:r>
          </w:p>
        </w:tc>
      </w:tr>
      <w:tr w:rsidR="00FD7B0B" w:rsidRPr="00FD7B0B" w14:paraId="6692F340" w14:textId="77777777" w:rsidTr="001252CE">
        <w:trPr>
          <w:trHeight w:val="90"/>
        </w:trPr>
        <w:tc>
          <w:tcPr>
            <w:tcW w:w="1983" w:type="pct"/>
            <w:shd w:val="clear" w:color="auto" w:fill="auto"/>
            <w:vAlign w:val="center"/>
          </w:tcPr>
          <w:p w14:paraId="10CD600A"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 5</w:t>
            </w:r>
          </w:p>
        </w:tc>
        <w:tc>
          <w:tcPr>
            <w:tcW w:w="630" w:type="pct"/>
            <w:shd w:val="clear" w:color="auto" w:fill="auto"/>
            <w:vAlign w:val="center"/>
          </w:tcPr>
          <w:p w14:paraId="31EA0C71"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764,1</w:t>
            </w:r>
          </w:p>
        </w:tc>
        <w:tc>
          <w:tcPr>
            <w:tcW w:w="735" w:type="pct"/>
            <w:shd w:val="clear" w:color="auto" w:fill="auto"/>
            <w:vAlign w:val="center"/>
          </w:tcPr>
          <w:p w14:paraId="7AEC165A"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764,1</w:t>
            </w:r>
          </w:p>
        </w:tc>
        <w:tc>
          <w:tcPr>
            <w:tcW w:w="438" w:type="pct"/>
            <w:shd w:val="clear" w:color="auto" w:fill="auto"/>
            <w:vAlign w:val="center"/>
          </w:tcPr>
          <w:p w14:paraId="4E226997"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485" w:type="pct"/>
            <w:shd w:val="clear" w:color="auto" w:fill="auto"/>
            <w:vAlign w:val="center"/>
          </w:tcPr>
          <w:p w14:paraId="1939991A"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w:t>
            </w:r>
          </w:p>
        </w:tc>
        <w:tc>
          <w:tcPr>
            <w:tcW w:w="730" w:type="pct"/>
            <w:shd w:val="clear" w:color="auto" w:fill="auto"/>
            <w:vAlign w:val="center"/>
          </w:tcPr>
          <w:p w14:paraId="51B34CB7"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w:t>
            </w:r>
          </w:p>
        </w:tc>
      </w:tr>
      <w:tr w:rsidR="00FD7B0B" w:rsidRPr="00FD7B0B" w14:paraId="26AAB4C1" w14:textId="77777777" w:rsidTr="0070073F">
        <w:trPr>
          <w:trHeight w:val="199"/>
        </w:trPr>
        <w:tc>
          <w:tcPr>
            <w:tcW w:w="1983" w:type="pct"/>
            <w:shd w:val="clear" w:color="auto" w:fill="auto"/>
            <w:vAlign w:val="center"/>
            <w:hideMark/>
          </w:tcPr>
          <w:p w14:paraId="2E8AD83C"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Процессная часть </w:t>
            </w:r>
          </w:p>
        </w:tc>
        <w:tc>
          <w:tcPr>
            <w:tcW w:w="630" w:type="pct"/>
            <w:shd w:val="clear" w:color="auto" w:fill="auto"/>
            <w:vAlign w:val="center"/>
          </w:tcPr>
          <w:p w14:paraId="1F96448C"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0,7</w:t>
            </w:r>
          </w:p>
        </w:tc>
        <w:tc>
          <w:tcPr>
            <w:tcW w:w="735" w:type="pct"/>
            <w:shd w:val="clear" w:color="auto" w:fill="auto"/>
            <w:vAlign w:val="center"/>
          </w:tcPr>
          <w:p w14:paraId="62D08506"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0,7</w:t>
            </w:r>
          </w:p>
        </w:tc>
        <w:tc>
          <w:tcPr>
            <w:tcW w:w="438" w:type="pct"/>
            <w:shd w:val="clear" w:color="auto" w:fill="auto"/>
            <w:vAlign w:val="center"/>
          </w:tcPr>
          <w:p w14:paraId="748C3309"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485" w:type="pct"/>
            <w:shd w:val="clear" w:color="auto" w:fill="auto"/>
            <w:vAlign w:val="center"/>
          </w:tcPr>
          <w:p w14:paraId="418EC3C6"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730" w:type="pct"/>
            <w:shd w:val="clear" w:color="auto" w:fill="auto"/>
            <w:vAlign w:val="center"/>
          </w:tcPr>
          <w:p w14:paraId="1CF9652A"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FD7B0B" w:rsidRPr="00FD7B0B" w14:paraId="2DD2B175" w14:textId="77777777" w:rsidTr="0070073F">
        <w:trPr>
          <w:trHeight w:val="102"/>
        </w:trPr>
        <w:tc>
          <w:tcPr>
            <w:tcW w:w="1983" w:type="pct"/>
            <w:shd w:val="clear" w:color="auto" w:fill="auto"/>
            <w:vAlign w:val="center"/>
            <w:hideMark/>
          </w:tcPr>
          <w:p w14:paraId="7DE5284D"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КПМ </w:t>
            </w:r>
          </w:p>
        </w:tc>
        <w:tc>
          <w:tcPr>
            <w:tcW w:w="630" w:type="pct"/>
            <w:shd w:val="clear" w:color="auto" w:fill="auto"/>
            <w:vAlign w:val="center"/>
          </w:tcPr>
          <w:p w14:paraId="5B480A28"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0,7</w:t>
            </w:r>
          </w:p>
        </w:tc>
        <w:tc>
          <w:tcPr>
            <w:tcW w:w="735" w:type="pct"/>
            <w:shd w:val="clear" w:color="auto" w:fill="auto"/>
            <w:vAlign w:val="center"/>
          </w:tcPr>
          <w:p w14:paraId="75BA87DB"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0,7</w:t>
            </w:r>
          </w:p>
        </w:tc>
        <w:tc>
          <w:tcPr>
            <w:tcW w:w="438" w:type="pct"/>
            <w:shd w:val="clear" w:color="auto" w:fill="auto"/>
            <w:vAlign w:val="center"/>
          </w:tcPr>
          <w:p w14:paraId="0FFAC8E8"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485" w:type="pct"/>
            <w:shd w:val="clear" w:color="auto" w:fill="auto"/>
            <w:vAlign w:val="center"/>
          </w:tcPr>
          <w:p w14:paraId="22FA38EF"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730" w:type="pct"/>
            <w:shd w:val="clear" w:color="auto" w:fill="auto"/>
            <w:vAlign w:val="center"/>
          </w:tcPr>
          <w:p w14:paraId="7466FBB1"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r>
      <w:tr w:rsidR="001252CE" w:rsidRPr="00FD7B0B" w14:paraId="3185062B" w14:textId="77777777" w:rsidTr="001252CE">
        <w:trPr>
          <w:trHeight w:val="153"/>
        </w:trPr>
        <w:tc>
          <w:tcPr>
            <w:tcW w:w="1983" w:type="pct"/>
            <w:shd w:val="clear" w:color="auto" w:fill="auto"/>
            <w:vAlign w:val="center"/>
            <w:hideMark/>
          </w:tcPr>
          <w:p w14:paraId="06EEAE99" w14:textId="77777777" w:rsidR="001252CE" w:rsidRPr="00FD7B0B" w:rsidRDefault="001252CE" w:rsidP="001252CE">
            <w:pPr>
              <w:spacing w:after="0" w:line="240" w:lineRule="auto"/>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Итого по госпрограмме</w:t>
            </w:r>
          </w:p>
        </w:tc>
        <w:tc>
          <w:tcPr>
            <w:tcW w:w="630" w:type="pct"/>
            <w:shd w:val="clear" w:color="auto" w:fill="auto"/>
            <w:vAlign w:val="center"/>
          </w:tcPr>
          <w:p w14:paraId="0DACD5F0" w14:textId="77777777" w:rsidR="001252CE" w:rsidRPr="00FD7B0B" w:rsidRDefault="001252CE" w:rsidP="001252CE">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1015,3</w:t>
            </w:r>
          </w:p>
        </w:tc>
        <w:tc>
          <w:tcPr>
            <w:tcW w:w="735" w:type="pct"/>
            <w:shd w:val="clear" w:color="auto" w:fill="auto"/>
            <w:vAlign w:val="center"/>
          </w:tcPr>
          <w:p w14:paraId="3A980E10" w14:textId="77777777" w:rsidR="001252CE" w:rsidRPr="00FD7B0B" w:rsidRDefault="001252CE" w:rsidP="001252CE">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1015,1</w:t>
            </w:r>
          </w:p>
        </w:tc>
        <w:tc>
          <w:tcPr>
            <w:tcW w:w="438" w:type="pct"/>
            <w:shd w:val="clear" w:color="auto" w:fill="auto"/>
            <w:vAlign w:val="center"/>
          </w:tcPr>
          <w:p w14:paraId="7660464A" w14:textId="77777777" w:rsidR="001252CE" w:rsidRPr="00FD7B0B" w:rsidRDefault="001252CE" w:rsidP="001252CE">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100,0</w:t>
            </w:r>
          </w:p>
        </w:tc>
        <w:tc>
          <w:tcPr>
            <w:tcW w:w="485" w:type="pct"/>
            <w:shd w:val="clear" w:color="auto" w:fill="auto"/>
            <w:vAlign w:val="center"/>
          </w:tcPr>
          <w:p w14:paraId="667573D9" w14:textId="77777777" w:rsidR="001252CE" w:rsidRPr="00FD7B0B" w:rsidRDefault="001252CE" w:rsidP="001252CE">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14,7</w:t>
            </w:r>
          </w:p>
        </w:tc>
        <w:tc>
          <w:tcPr>
            <w:tcW w:w="730" w:type="pct"/>
            <w:shd w:val="clear" w:color="auto" w:fill="auto"/>
            <w:vAlign w:val="center"/>
          </w:tcPr>
          <w:p w14:paraId="42EA4C7C" w14:textId="77777777" w:rsidR="001252CE" w:rsidRPr="00FD7B0B" w:rsidRDefault="001252CE" w:rsidP="001252CE">
            <w:pPr>
              <w:spacing w:after="0" w:line="240" w:lineRule="auto"/>
              <w:jc w:val="center"/>
              <w:rPr>
                <w:rFonts w:ascii="Times New Roman" w:eastAsia="Times New Roman" w:hAnsi="Times New Roman" w:cs="Times New Roman"/>
                <w:b/>
                <w:sz w:val="20"/>
                <w:szCs w:val="20"/>
                <w:lang w:eastAsia="ru-RU"/>
              </w:rPr>
            </w:pPr>
            <w:r w:rsidRPr="00FD7B0B">
              <w:rPr>
                <w:rFonts w:ascii="Times New Roman" w:eastAsia="Times New Roman" w:hAnsi="Times New Roman" w:cs="Times New Roman"/>
                <w:b/>
                <w:sz w:val="20"/>
                <w:szCs w:val="20"/>
                <w:lang w:eastAsia="ru-RU"/>
              </w:rPr>
              <w:t>20,2</w:t>
            </w:r>
          </w:p>
        </w:tc>
      </w:tr>
    </w:tbl>
    <w:p w14:paraId="574A6048"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p>
    <w:p w14:paraId="5B5CA0FE"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ГП № 25 имеет ссылку на согласованность мероприятий со Стратегией социально-экономического развития Архангельской области до 2035 года, утвержденной законом Архангельской области от 18.02.2019 № 57-5-ОЗ (далее - Стратегия АО), тем не менее, в Приложении № 1 к Стратегии АО «Перечень государственных программ и приоритетных проектов, включенных в Стратегию», ГП № 25 не включена. В течение 2024 года, как и ранее, корректировка Стратегии АО не осуществлена.</w:t>
      </w:r>
    </w:p>
    <w:p w14:paraId="099E86C7"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p>
    <w:p w14:paraId="21A5460E" w14:textId="77777777" w:rsidR="001252CE" w:rsidRPr="00FD7B0B" w:rsidRDefault="001252CE" w:rsidP="001252CE">
      <w:pPr>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достижения показателей по итогам 2024 года</w:t>
      </w:r>
    </w:p>
    <w:p w14:paraId="5C7D3EAE" w14:textId="3D4E74B8"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рамках ГП № 25 за 2024 год количество утверж</w:t>
      </w:r>
      <w:r w:rsidR="002B0E6C" w:rsidRPr="00FD7B0B">
        <w:rPr>
          <w:rFonts w:ascii="Times New Roman" w:eastAsia="Times New Roman" w:hAnsi="Times New Roman"/>
          <w:sz w:val="28"/>
          <w:szCs w:val="28"/>
          <w:lang w:eastAsia="ru-RU"/>
        </w:rPr>
        <w:t>денных показателей составило 3.</w:t>
      </w:r>
    </w:p>
    <w:p w14:paraId="4BDA90DF" w14:textId="77777777" w:rsidR="001252CE" w:rsidRPr="00FD7B0B" w:rsidRDefault="001252CE" w:rsidP="001252CE">
      <w:pPr>
        <w:pStyle w:val="aff0"/>
        <w:spacing w:after="0" w:line="120" w:lineRule="auto"/>
        <w:rPr>
          <w:rFonts w:ascii="Times New Roman" w:hAnsi="Times New Roman"/>
          <w:b w:val="0"/>
          <w:sz w:val="24"/>
          <w:szCs w:val="24"/>
        </w:rPr>
      </w:pPr>
    </w:p>
    <w:p w14:paraId="1AF497ED" w14:textId="2828848D" w:rsidR="001252CE" w:rsidRPr="00FD7B0B" w:rsidRDefault="002B0E6C" w:rsidP="002B0E6C">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210</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1252CE" w:rsidRPr="00FD7B0B">
        <w:rPr>
          <w:rFonts w:ascii="Times New Roman" w:hAnsi="Times New Roman"/>
          <w:b w:val="0"/>
          <w:sz w:val="24"/>
          <w:szCs w:val="24"/>
        </w:rPr>
        <w:t>Сведения об изменении и достижении (в соответствии с проектом отчета) в 2024 году значений показателей при реализации мероприятий ГП № 25</w:t>
      </w:r>
    </w:p>
    <w:tbl>
      <w:tblPr>
        <w:tblStyle w:val="a7"/>
        <w:tblW w:w="5044"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387"/>
        <w:gridCol w:w="1218"/>
        <w:gridCol w:w="1125"/>
        <w:gridCol w:w="1151"/>
        <w:gridCol w:w="969"/>
        <w:gridCol w:w="1103"/>
        <w:gridCol w:w="739"/>
      </w:tblGrid>
      <w:tr w:rsidR="00FD7B0B" w:rsidRPr="00FD7B0B" w14:paraId="4C1F1F3D" w14:textId="77777777" w:rsidTr="002B0E6C">
        <w:trPr>
          <w:trHeight w:val="384"/>
          <w:tblHeader/>
        </w:trPr>
        <w:tc>
          <w:tcPr>
            <w:tcW w:w="1747" w:type="pct"/>
          </w:tcPr>
          <w:p w14:paraId="34751B91"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 xml:space="preserve">Показатель </w:t>
            </w:r>
          </w:p>
        </w:tc>
        <w:tc>
          <w:tcPr>
            <w:tcW w:w="628" w:type="pct"/>
          </w:tcPr>
          <w:p w14:paraId="0BAF538F"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Признак</w:t>
            </w:r>
          </w:p>
        </w:tc>
        <w:tc>
          <w:tcPr>
            <w:tcW w:w="580" w:type="pct"/>
          </w:tcPr>
          <w:p w14:paraId="60254C2B"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ГП в ред. на 01.01.2024</w:t>
            </w:r>
          </w:p>
        </w:tc>
        <w:tc>
          <w:tcPr>
            <w:tcW w:w="594" w:type="pct"/>
          </w:tcPr>
          <w:p w14:paraId="11E808CE"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ГП в ред. на 31.12.2024</w:t>
            </w:r>
          </w:p>
        </w:tc>
        <w:tc>
          <w:tcPr>
            <w:tcW w:w="500" w:type="pct"/>
          </w:tcPr>
          <w:p w14:paraId="0DA691FE"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Изменение</w:t>
            </w:r>
          </w:p>
        </w:tc>
        <w:tc>
          <w:tcPr>
            <w:tcW w:w="569" w:type="pct"/>
          </w:tcPr>
          <w:p w14:paraId="4A3B77DE"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Фактическое значение</w:t>
            </w:r>
          </w:p>
        </w:tc>
        <w:tc>
          <w:tcPr>
            <w:tcW w:w="381" w:type="pct"/>
          </w:tcPr>
          <w:p w14:paraId="66725B22"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 к плану</w:t>
            </w:r>
          </w:p>
        </w:tc>
      </w:tr>
      <w:tr w:rsidR="00FD7B0B" w:rsidRPr="00FD7B0B" w14:paraId="4B699C72" w14:textId="77777777" w:rsidTr="002B0E6C">
        <w:trPr>
          <w:trHeight w:val="300"/>
        </w:trPr>
        <w:tc>
          <w:tcPr>
            <w:tcW w:w="1747" w:type="pct"/>
          </w:tcPr>
          <w:p w14:paraId="60FE329C" w14:textId="77777777" w:rsidR="001252CE" w:rsidRPr="00FD7B0B" w:rsidRDefault="001252CE" w:rsidP="001252CE">
            <w:pPr>
              <w:autoSpaceDE w:val="0"/>
              <w:autoSpaceDN w:val="0"/>
              <w:adjustRightInd w:val="0"/>
              <w:rPr>
                <w:rFonts w:ascii="Times New Roman" w:hAnsi="Times New Roman"/>
                <w:sz w:val="16"/>
                <w:szCs w:val="16"/>
              </w:rPr>
            </w:pPr>
            <w:r w:rsidRPr="00FD7B0B">
              <w:rPr>
                <w:rFonts w:ascii="Times New Roman" w:eastAsia="Times New Roman" w:hAnsi="Times New Roman"/>
                <w:sz w:val="16"/>
                <w:szCs w:val="16"/>
              </w:rPr>
              <w:t xml:space="preserve">1. </w:t>
            </w:r>
            <w:r w:rsidRPr="00FD7B0B">
              <w:rPr>
                <w:rFonts w:ascii="Times New Roman" w:hAnsi="Times New Roman"/>
                <w:sz w:val="16"/>
                <w:szCs w:val="16"/>
              </w:rPr>
              <w:t>Доля сельского населения</w:t>
            </w:r>
          </w:p>
          <w:p w14:paraId="12E88781" w14:textId="77777777" w:rsidR="001252CE" w:rsidRPr="00FD7B0B" w:rsidRDefault="001252CE" w:rsidP="001252CE">
            <w:pPr>
              <w:autoSpaceDE w:val="0"/>
              <w:autoSpaceDN w:val="0"/>
              <w:adjustRightInd w:val="0"/>
              <w:rPr>
                <w:rFonts w:ascii="Times New Roman" w:eastAsia="Times New Roman" w:hAnsi="Times New Roman"/>
                <w:sz w:val="16"/>
                <w:szCs w:val="16"/>
              </w:rPr>
            </w:pPr>
            <w:r w:rsidRPr="00FD7B0B">
              <w:rPr>
                <w:rFonts w:ascii="Times New Roman" w:hAnsi="Times New Roman"/>
                <w:sz w:val="16"/>
                <w:szCs w:val="16"/>
              </w:rPr>
              <w:t>в общей численности населения (%)</w:t>
            </w:r>
          </w:p>
        </w:tc>
        <w:tc>
          <w:tcPr>
            <w:tcW w:w="628" w:type="pct"/>
            <w:vAlign w:val="center"/>
          </w:tcPr>
          <w:p w14:paraId="7DA32ADD"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возрастающий</w:t>
            </w:r>
          </w:p>
        </w:tc>
        <w:tc>
          <w:tcPr>
            <w:tcW w:w="580" w:type="pct"/>
            <w:vAlign w:val="center"/>
          </w:tcPr>
          <w:p w14:paraId="77B059AA"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21,6</w:t>
            </w:r>
          </w:p>
        </w:tc>
        <w:tc>
          <w:tcPr>
            <w:tcW w:w="594" w:type="pct"/>
            <w:vAlign w:val="center"/>
          </w:tcPr>
          <w:p w14:paraId="436CD8DA"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21,6</w:t>
            </w:r>
          </w:p>
        </w:tc>
        <w:tc>
          <w:tcPr>
            <w:tcW w:w="500" w:type="pct"/>
            <w:vAlign w:val="center"/>
          </w:tcPr>
          <w:p w14:paraId="41C7F40B"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0</w:t>
            </w:r>
          </w:p>
        </w:tc>
        <w:tc>
          <w:tcPr>
            <w:tcW w:w="569" w:type="pct"/>
            <w:vAlign w:val="center"/>
          </w:tcPr>
          <w:p w14:paraId="2EEA2376"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21,6</w:t>
            </w:r>
          </w:p>
        </w:tc>
        <w:tc>
          <w:tcPr>
            <w:tcW w:w="381" w:type="pct"/>
            <w:vAlign w:val="center"/>
          </w:tcPr>
          <w:p w14:paraId="675F3B0F"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100,0</w:t>
            </w:r>
          </w:p>
        </w:tc>
      </w:tr>
      <w:tr w:rsidR="00FD7B0B" w:rsidRPr="00FD7B0B" w14:paraId="2C9BEFAD" w14:textId="77777777" w:rsidTr="002B0E6C">
        <w:trPr>
          <w:trHeight w:val="489"/>
        </w:trPr>
        <w:tc>
          <w:tcPr>
            <w:tcW w:w="1747" w:type="pct"/>
          </w:tcPr>
          <w:p w14:paraId="2DA38DC4" w14:textId="77777777" w:rsidR="001252CE" w:rsidRPr="00FD7B0B" w:rsidRDefault="001252CE" w:rsidP="001252CE">
            <w:pPr>
              <w:autoSpaceDE w:val="0"/>
              <w:autoSpaceDN w:val="0"/>
              <w:adjustRightInd w:val="0"/>
              <w:rPr>
                <w:rFonts w:ascii="Times New Roman" w:hAnsi="Times New Roman"/>
                <w:sz w:val="16"/>
                <w:szCs w:val="16"/>
              </w:rPr>
            </w:pPr>
            <w:r w:rsidRPr="00FD7B0B">
              <w:rPr>
                <w:rFonts w:ascii="Times New Roman" w:eastAsia="Times New Roman" w:hAnsi="Times New Roman"/>
                <w:sz w:val="16"/>
                <w:szCs w:val="16"/>
              </w:rPr>
              <w:lastRenderedPageBreak/>
              <w:t xml:space="preserve">2. </w:t>
            </w:r>
            <w:r w:rsidRPr="00FD7B0B">
              <w:rPr>
                <w:rFonts w:ascii="Times New Roman" w:hAnsi="Times New Roman"/>
                <w:sz w:val="16"/>
                <w:szCs w:val="16"/>
              </w:rPr>
              <w:t>Соотношение среднемесячных располагаемых ресурсов сельского</w:t>
            </w:r>
          </w:p>
          <w:p w14:paraId="76827590" w14:textId="1772BF15" w:rsidR="001252CE" w:rsidRPr="00FD7B0B" w:rsidRDefault="001252CE" w:rsidP="002B0E6C">
            <w:pPr>
              <w:autoSpaceDE w:val="0"/>
              <w:autoSpaceDN w:val="0"/>
              <w:adjustRightInd w:val="0"/>
              <w:rPr>
                <w:rFonts w:ascii="Times New Roman" w:eastAsia="Times New Roman" w:hAnsi="Times New Roman"/>
                <w:sz w:val="16"/>
                <w:szCs w:val="16"/>
              </w:rPr>
            </w:pPr>
            <w:r w:rsidRPr="00FD7B0B">
              <w:rPr>
                <w:rFonts w:ascii="Times New Roman" w:hAnsi="Times New Roman"/>
                <w:sz w:val="16"/>
                <w:szCs w:val="16"/>
              </w:rPr>
              <w:t xml:space="preserve">и городского домохозяйств </w:t>
            </w:r>
            <w:r w:rsidRPr="00FD7B0B">
              <w:rPr>
                <w:rFonts w:ascii="Times New Roman" w:eastAsia="Times New Roman" w:hAnsi="Times New Roman"/>
                <w:sz w:val="16"/>
                <w:szCs w:val="16"/>
              </w:rPr>
              <w:t>(%)</w:t>
            </w:r>
          </w:p>
        </w:tc>
        <w:tc>
          <w:tcPr>
            <w:tcW w:w="628" w:type="pct"/>
            <w:vAlign w:val="center"/>
          </w:tcPr>
          <w:p w14:paraId="05E4FB98"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возрастающий</w:t>
            </w:r>
          </w:p>
        </w:tc>
        <w:tc>
          <w:tcPr>
            <w:tcW w:w="580" w:type="pct"/>
            <w:vAlign w:val="center"/>
          </w:tcPr>
          <w:p w14:paraId="3C94A772"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78,88</w:t>
            </w:r>
          </w:p>
        </w:tc>
        <w:tc>
          <w:tcPr>
            <w:tcW w:w="594" w:type="pct"/>
            <w:vAlign w:val="center"/>
          </w:tcPr>
          <w:p w14:paraId="2DE8A738"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78,88</w:t>
            </w:r>
          </w:p>
        </w:tc>
        <w:tc>
          <w:tcPr>
            <w:tcW w:w="500" w:type="pct"/>
            <w:vAlign w:val="center"/>
          </w:tcPr>
          <w:p w14:paraId="5163CAE9"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0</w:t>
            </w:r>
          </w:p>
        </w:tc>
        <w:tc>
          <w:tcPr>
            <w:tcW w:w="569" w:type="pct"/>
            <w:vAlign w:val="center"/>
          </w:tcPr>
          <w:p w14:paraId="7C6C35FE"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108,12</w:t>
            </w:r>
          </w:p>
        </w:tc>
        <w:tc>
          <w:tcPr>
            <w:tcW w:w="381" w:type="pct"/>
            <w:vAlign w:val="center"/>
          </w:tcPr>
          <w:p w14:paraId="5E6039F2"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137,1</w:t>
            </w:r>
          </w:p>
        </w:tc>
      </w:tr>
      <w:tr w:rsidR="001252CE" w:rsidRPr="00FD7B0B" w14:paraId="1E6EE8AD" w14:textId="77777777" w:rsidTr="002B0E6C">
        <w:trPr>
          <w:trHeight w:val="505"/>
        </w:trPr>
        <w:tc>
          <w:tcPr>
            <w:tcW w:w="1747" w:type="pct"/>
          </w:tcPr>
          <w:p w14:paraId="754695DD" w14:textId="281937D6" w:rsidR="001252CE" w:rsidRPr="00FD7B0B" w:rsidRDefault="001252CE" w:rsidP="002B0E6C">
            <w:pPr>
              <w:autoSpaceDE w:val="0"/>
              <w:autoSpaceDN w:val="0"/>
              <w:adjustRightInd w:val="0"/>
              <w:rPr>
                <w:rFonts w:ascii="Times New Roman" w:eastAsia="Times New Roman" w:hAnsi="Times New Roman"/>
                <w:sz w:val="16"/>
                <w:szCs w:val="16"/>
              </w:rPr>
            </w:pPr>
            <w:r w:rsidRPr="00FD7B0B">
              <w:rPr>
                <w:rFonts w:ascii="Times New Roman" w:eastAsia="Times New Roman" w:hAnsi="Times New Roman"/>
                <w:sz w:val="16"/>
                <w:szCs w:val="16"/>
              </w:rPr>
              <w:t xml:space="preserve">3. </w:t>
            </w:r>
            <w:r w:rsidRPr="00FD7B0B">
              <w:rPr>
                <w:rFonts w:ascii="Times New Roman" w:hAnsi="Times New Roman"/>
                <w:sz w:val="16"/>
                <w:szCs w:val="16"/>
              </w:rPr>
              <w:t xml:space="preserve">Доля общей площади благоустроенных жилых помещений в сельских населенных пунктах </w:t>
            </w:r>
            <w:r w:rsidRPr="00FD7B0B">
              <w:rPr>
                <w:rFonts w:ascii="Times New Roman" w:eastAsia="Times New Roman" w:hAnsi="Times New Roman"/>
                <w:sz w:val="16"/>
                <w:szCs w:val="16"/>
              </w:rPr>
              <w:t>(%)</w:t>
            </w:r>
          </w:p>
        </w:tc>
        <w:tc>
          <w:tcPr>
            <w:tcW w:w="628" w:type="pct"/>
            <w:vAlign w:val="center"/>
          </w:tcPr>
          <w:p w14:paraId="2FF02D35"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возрастающий</w:t>
            </w:r>
          </w:p>
        </w:tc>
        <w:tc>
          <w:tcPr>
            <w:tcW w:w="580" w:type="pct"/>
            <w:vAlign w:val="center"/>
          </w:tcPr>
          <w:p w14:paraId="2C030FB7"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8,0</w:t>
            </w:r>
          </w:p>
        </w:tc>
        <w:tc>
          <w:tcPr>
            <w:tcW w:w="594" w:type="pct"/>
            <w:vAlign w:val="center"/>
          </w:tcPr>
          <w:p w14:paraId="0C7EA192"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7,0</w:t>
            </w:r>
          </w:p>
        </w:tc>
        <w:tc>
          <w:tcPr>
            <w:tcW w:w="500" w:type="pct"/>
            <w:vAlign w:val="center"/>
          </w:tcPr>
          <w:p w14:paraId="71091974"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-1,0</w:t>
            </w:r>
          </w:p>
        </w:tc>
        <w:tc>
          <w:tcPr>
            <w:tcW w:w="569" w:type="pct"/>
            <w:vAlign w:val="center"/>
          </w:tcPr>
          <w:p w14:paraId="052278EC"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6,8</w:t>
            </w:r>
          </w:p>
        </w:tc>
        <w:tc>
          <w:tcPr>
            <w:tcW w:w="381" w:type="pct"/>
            <w:vAlign w:val="center"/>
          </w:tcPr>
          <w:p w14:paraId="168599ED"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97,1</w:t>
            </w:r>
          </w:p>
        </w:tc>
      </w:tr>
    </w:tbl>
    <w:p w14:paraId="1FE0E494"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p>
    <w:p w14:paraId="11ADD04B" w14:textId="7B098488"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2024 году при реализации мероприятий ГП № 25 отмечено снижение плановых значений показателя «</w:t>
      </w:r>
      <w:r w:rsidRPr="00FD7B0B">
        <w:rPr>
          <w:rFonts w:ascii="Times New Roman" w:hAnsi="Times New Roman" w:cs="Times New Roman"/>
          <w:sz w:val="28"/>
          <w:szCs w:val="28"/>
        </w:rPr>
        <w:t>Доля общей площади благоустроенных жилых помещений</w:t>
      </w:r>
      <w:r w:rsidRPr="00FD7B0B">
        <w:rPr>
          <w:rFonts w:ascii="Times New Roman" w:hAnsi="Times New Roman"/>
          <w:sz w:val="28"/>
          <w:szCs w:val="28"/>
        </w:rPr>
        <w:t xml:space="preserve"> </w:t>
      </w:r>
      <w:r w:rsidRPr="00FD7B0B">
        <w:rPr>
          <w:rFonts w:ascii="Times New Roman" w:hAnsi="Times New Roman" w:cs="Times New Roman"/>
          <w:sz w:val="28"/>
          <w:szCs w:val="28"/>
        </w:rPr>
        <w:t>в сельских населенных пунктах</w:t>
      </w:r>
      <w:r w:rsidRPr="00FD7B0B">
        <w:rPr>
          <w:rFonts w:ascii="Times New Roman" w:hAnsi="Times New Roman"/>
          <w:sz w:val="28"/>
          <w:szCs w:val="28"/>
        </w:rPr>
        <w:t>» на 1</w:t>
      </w:r>
      <w:r w:rsidR="002B0E6C" w:rsidRPr="00FD7B0B">
        <w:rPr>
          <w:rFonts w:ascii="Times New Roman" w:hAnsi="Times New Roman"/>
          <w:sz w:val="28"/>
          <w:szCs w:val="28"/>
        </w:rPr>
        <w:t xml:space="preserve"> </w:t>
      </w:r>
      <w:r w:rsidRPr="00FD7B0B">
        <w:rPr>
          <w:rFonts w:ascii="Times New Roman" w:hAnsi="Times New Roman"/>
          <w:sz w:val="28"/>
          <w:szCs w:val="28"/>
        </w:rPr>
        <w:t>%</w:t>
      </w:r>
      <w:r w:rsidRPr="00FD7B0B">
        <w:rPr>
          <w:rFonts w:ascii="Times New Roman" w:eastAsia="Times New Roman" w:hAnsi="Times New Roman"/>
          <w:sz w:val="28"/>
          <w:szCs w:val="28"/>
          <w:lang w:eastAsia="ru-RU"/>
        </w:rPr>
        <w:t>.</w:t>
      </w:r>
    </w:p>
    <w:p w14:paraId="541C8E82" w14:textId="4A9B6F51" w:rsidR="001252CE" w:rsidRPr="00FD7B0B" w:rsidRDefault="001252CE" w:rsidP="001252CE">
      <w:pPr>
        <w:pStyle w:val="ConsPlusNormal"/>
        <w:ind w:firstLine="709"/>
        <w:jc w:val="both"/>
        <w:rPr>
          <w:rFonts w:ascii="Times New Roman" w:eastAsiaTheme="minorHAnsi" w:hAnsi="Times New Roman" w:cs="Times New Roman"/>
          <w:bCs/>
          <w:sz w:val="28"/>
          <w:szCs w:val="28"/>
          <w:lang w:eastAsia="en-US"/>
        </w:rPr>
      </w:pPr>
      <w:r w:rsidRPr="00FD7B0B">
        <w:rPr>
          <w:rFonts w:ascii="Times New Roman" w:hAnsi="Times New Roman" w:cs="Times New Roman"/>
          <w:sz w:val="28"/>
          <w:szCs w:val="28"/>
        </w:rPr>
        <w:t xml:space="preserve">В нарушение п. 20 </w:t>
      </w:r>
      <w:r w:rsidR="00095943" w:rsidRPr="00FD7B0B">
        <w:rPr>
          <w:rFonts w:ascii="Times New Roman" w:hAnsi="Times New Roman"/>
          <w:sz w:val="28"/>
          <w:szCs w:val="28"/>
        </w:rPr>
        <w:t>Положения</w:t>
      </w:r>
      <w:r w:rsidRPr="00FD7B0B">
        <w:rPr>
          <w:rFonts w:ascii="Times New Roman" w:hAnsi="Times New Roman"/>
          <w:sz w:val="28"/>
          <w:szCs w:val="28"/>
        </w:rPr>
        <w:t> № 793-пп</w:t>
      </w:r>
      <w:r w:rsidRPr="00FD7B0B">
        <w:rPr>
          <w:rFonts w:ascii="Times New Roman" w:hAnsi="Times New Roman" w:cs="Times New Roman"/>
          <w:sz w:val="28"/>
          <w:szCs w:val="28"/>
        </w:rPr>
        <w:t xml:space="preserve"> базовые значения показателей ГП № 25, принятые на уровне 2023 года и указанные в паспорте, не соответствуют фактически достигнутым значениям за 2023 год. Так, показатель «Соотношение среднемесячных располагаемых ресурсов сельского и городского домохозяйств» в паспорте ГП № 25 принят на уровне 111,16</w:t>
      </w:r>
      <w:r w:rsidR="00095943" w:rsidRPr="00FD7B0B">
        <w:rPr>
          <w:rFonts w:ascii="Times New Roman" w:hAnsi="Times New Roman" w:cs="Times New Roman"/>
          <w:sz w:val="28"/>
          <w:szCs w:val="28"/>
        </w:rPr>
        <w:t xml:space="preserve"> </w:t>
      </w:r>
      <w:r w:rsidRPr="00FD7B0B">
        <w:rPr>
          <w:rFonts w:ascii="Times New Roman" w:hAnsi="Times New Roman" w:cs="Times New Roman"/>
          <w:sz w:val="28"/>
          <w:szCs w:val="28"/>
        </w:rPr>
        <w:t xml:space="preserve">% (за 2023 год), в то время как фактически достигнутое его значение, исходя из </w:t>
      </w:r>
      <w:r w:rsidRPr="00FD7B0B">
        <w:rPr>
          <w:rFonts w:ascii="Times New Roman" w:eastAsiaTheme="minorHAnsi" w:hAnsi="Times New Roman" w:cs="Times New Roman"/>
          <w:bCs/>
          <w:sz w:val="28"/>
          <w:szCs w:val="28"/>
          <w:lang w:eastAsia="en-US"/>
        </w:rPr>
        <w:t>отчета о реализации в 2023 году ГП № 25, утвержденного распоряжением правительства АО от 22.04.2024 №</w:t>
      </w:r>
      <w:r w:rsidR="00095943" w:rsidRPr="00FD7B0B">
        <w:rPr>
          <w:rFonts w:ascii="Times New Roman" w:eastAsiaTheme="minorHAnsi" w:hAnsi="Times New Roman" w:cs="Times New Roman"/>
          <w:bCs/>
          <w:sz w:val="28"/>
          <w:szCs w:val="28"/>
          <w:lang w:eastAsia="en-US"/>
        </w:rPr>
        <w:t> </w:t>
      </w:r>
      <w:r w:rsidRPr="00FD7B0B">
        <w:rPr>
          <w:rFonts w:ascii="Times New Roman" w:eastAsiaTheme="minorHAnsi" w:hAnsi="Times New Roman" w:cs="Times New Roman"/>
          <w:bCs/>
          <w:sz w:val="28"/>
          <w:szCs w:val="28"/>
          <w:lang w:eastAsia="en-US"/>
        </w:rPr>
        <w:t>196</w:t>
      </w:r>
      <w:r w:rsidR="00095943" w:rsidRPr="00FD7B0B">
        <w:rPr>
          <w:rFonts w:ascii="Times New Roman" w:eastAsiaTheme="minorHAnsi" w:hAnsi="Times New Roman" w:cs="Times New Roman"/>
          <w:bCs/>
          <w:sz w:val="28"/>
          <w:szCs w:val="28"/>
          <w:lang w:eastAsia="en-US"/>
        </w:rPr>
        <w:noBreakHyphen/>
      </w:r>
      <w:r w:rsidRPr="00FD7B0B">
        <w:rPr>
          <w:rFonts w:ascii="Times New Roman" w:eastAsiaTheme="minorHAnsi" w:hAnsi="Times New Roman" w:cs="Times New Roman"/>
          <w:bCs/>
          <w:sz w:val="28"/>
          <w:szCs w:val="28"/>
          <w:lang w:eastAsia="en-US"/>
        </w:rPr>
        <w:t>рп, составило 108,52</w:t>
      </w:r>
      <w:r w:rsidR="00095943" w:rsidRPr="00FD7B0B">
        <w:rPr>
          <w:rFonts w:ascii="Times New Roman" w:eastAsiaTheme="minorHAnsi" w:hAnsi="Times New Roman" w:cs="Times New Roman"/>
          <w:bCs/>
          <w:sz w:val="28"/>
          <w:szCs w:val="28"/>
          <w:lang w:eastAsia="en-US"/>
        </w:rPr>
        <w:t xml:space="preserve"> </w:t>
      </w:r>
      <w:r w:rsidRPr="00FD7B0B">
        <w:rPr>
          <w:rFonts w:ascii="Times New Roman" w:eastAsiaTheme="minorHAnsi" w:hAnsi="Times New Roman" w:cs="Times New Roman"/>
          <w:bCs/>
          <w:sz w:val="28"/>
          <w:szCs w:val="28"/>
          <w:lang w:eastAsia="en-US"/>
        </w:rPr>
        <w:t>%. Аналогично, при достигнутом в 2023 году фактическом значении показателя «Доля общей площади благоустроенных жилых помещений в сельских населенных пунктах» 7,2</w:t>
      </w:r>
      <w:r w:rsidR="00095943" w:rsidRPr="00FD7B0B">
        <w:rPr>
          <w:rFonts w:ascii="Times New Roman" w:eastAsiaTheme="minorHAnsi" w:hAnsi="Times New Roman" w:cs="Times New Roman"/>
          <w:bCs/>
          <w:sz w:val="28"/>
          <w:szCs w:val="28"/>
          <w:lang w:eastAsia="en-US"/>
        </w:rPr>
        <w:t xml:space="preserve"> </w:t>
      </w:r>
      <w:r w:rsidRPr="00FD7B0B">
        <w:rPr>
          <w:rFonts w:ascii="Times New Roman" w:eastAsiaTheme="minorHAnsi" w:hAnsi="Times New Roman" w:cs="Times New Roman"/>
          <w:bCs/>
          <w:sz w:val="28"/>
          <w:szCs w:val="28"/>
          <w:lang w:eastAsia="en-US"/>
        </w:rPr>
        <w:t>%, в ГП № 25 отражено его значение на уровне 6,7</w:t>
      </w:r>
      <w:r w:rsidR="00095943" w:rsidRPr="00FD7B0B">
        <w:rPr>
          <w:rFonts w:ascii="Times New Roman" w:eastAsiaTheme="minorHAnsi" w:hAnsi="Times New Roman" w:cs="Times New Roman"/>
          <w:bCs/>
          <w:sz w:val="28"/>
          <w:szCs w:val="28"/>
          <w:lang w:eastAsia="en-US"/>
        </w:rPr>
        <w:t xml:space="preserve"> </w:t>
      </w:r>
      <w:r w:rsidRPr="00FD7B0B">
        <w:rPr>
          <w:rFonts w:ascii="Times New Roman" w:eastAsiaTheme="minorHAnsi" w:hAnsi="Times New Roman" w:cs="Times New Roman"/>
          <w:bCs/>
          <w:sz w:val="28"/>
          <w:szCs w:val="28"/>
          <w:lang w:eastAsia="en-US"/>
        </w:rPr>
        <w:t>%.</w:t>
      </w:r>
    </w:p>
    <w:p w14:paraId="6693F315" w14:textId="62653417" w:rsidR="001252CE" w:rsidRPr="00FD7B0B" w:rsidRDefault="001252CE" w:rsidP="001252CE">
      <w:pPr>
        <w:pStyle w:val="ConsPlusNormal"/>
        <w:ind w:firstLine="709"/>
        <w:jc w:val="both"/>
        <w:rPr>
          <w:rFonts w:ascii="Times New Roman" w:eastAsiaTheme="minorHAnsi" w:hAnsi="Times New Roman" w:cs="Times New Roman"/>
          <w:bCs/>
          <w:sz w:val="28"/>
          <w:szCs w:val="28"/>
          <w:lang w:eastAsia="en-US"/>
        </w:rPr>
      </w:pPr>
      <w:r w:rsidRPr="00FD7B0B">
        <w:rPr>
          <w:rFonts w:ascii="Times New Roman" w:eastAsiaTheme="minorHAnsi" w:hAnsi="Times New Roman" w:cs="Times New Roman"/>
          <w:bCs/>
          <w:sz w:val="28"/>
          <w:szCs w:val="28"/>
          <w:lang w:eastAsia="en-US"/>
        </w:rPr>
        <w:t>Фактическое значение показателя «</w:t>
      </w:r>
      <w:r w:rsidRPr="00FD7B0B">
        <w:rPr>
          <w:rFonts w:ascii="Times New Roman" w:hAnsi="Times New Roman" w:cs="Times New Roman"/>
          <w:sz w:val="28"/>
          <w:szCs w:val="28"/>
        </w:rPr>
        <w:t>Соотношение среднемесячных располагаемых ресурсов сельского и городского домохозяйств» за 2024 год составило78,88</w:t>
      </w:r>
      <w:r w:rsidR="00095943" w:rsidRPr="00FD7B0B">
        <w:rPr>
          <w:rFonts w:ascii="Times New Roman" w:hAnsi="Times New Roman" w:cs="Times New Roman"/>
          <w:sz w:val="28"/>
          <w:szCs w:val="28"/>
        </w:rPr>
        <w:t xml:space="preserve"> </w:t>
      </w:r>
      <w:r w:rsidRPr="00FD7B0B">
        <w:rPr>
          <w:rFonts w:ascii="Times New Roman" w:hAnsi="Times New Roman" w:cs="Times New Roman"/>
          <w:sz w:val="28"/>
          <w:szCs w:val="28"/>
        </w:rPr>
        <w:t>% при фактически достигнутом в 2023 году уровне 108,52</w:t>
      </w:r>
      <w:r w:rsidR="00095943" w:rsidRPr="00FD7B0B">
        <w:rPr>
          <w:rFonts w:ascii="Times New Roman" w:hAnsi="Times New Roman" w:cs="Times New Roman"/>
          <w:sz w:val="28"/>
          <w:szCs w:val="28"/>
        </w:rPr>
        <w:t xml:space="preserve"> </w:t>
      </w:r>
      <w:r w:rsidRPr="00FD7B0B">
        <w:rPr>
          <w:rFonts w:ascii="Times New Roman" w:hAnsi="Times New Roman" w:cs="Times New Roman"/>
          <w:sz w:val="28"/>
          <w:szCs w:val="28"/>
        </w:rPr>
        <w:t xml:space="preserve">%. Соответственно, </w:t>
      </w:r>
      <w:r w:rsidRPr="00FD7B0B">
        <w:rPr>
          <w:rFonts w:ascii="Times New Roman" w:eastAsiaTheme="minorHAnsi" w:hAnsi="Times New Roman" w:cs="Times New Roman"/>
          <w:bCs/>
          <w:sz w:val="28"/>
          <w:szCs w:val="28"/>
          <w:lang w:eastAsia="en-US"/>
        </w:rPr>
        <w:t>реализация мероприятий ГП № 25 направлена на снижение значения данного показателя в перспективе.</w:t>
      </w:r>
    </w:p>
    <w:p w14:paraId="54E14F02" w14:textId="280C97A3" w:rsidR="001252CE" w:rsidRPr="00FD7B0B" w:rsidRDefault="001252CE" w:rsidP="001252CE">
      <w:pPr>
        <w:pStyle w:val="ConsPlusNormal"/>
        <w:ind w:firstLine="709"/>
        <w:jc w:val="both"/>
        <w:rPr>
          <w:rFonts w:ascii="Times New Roman" w:eastAsiaTheme="minorHAnsi" w:hAnsi="Times New Roman" w:cs="Times New Roman"/>
          <w:sz w:val="28"/>
          <w:szCs w:val="28"/>
          <w:lang w:eastAsia="en-US"/>
        </w:rPr>
      </w:pPr>
      <w:r w:rsidRPr="00FD7B0B">
        <w:rPr>
          <w:rFonts w:ascii="Times New Roman" w:eastAsiaTheme="minorHAnsi" w:hAnsi="Times New Roman" w:cs="Times New Roman"/>
          <w:bCs/>
          <w:sz w:val="28"/>
          <w:szCs w:val="28"/>
          <w:lang w:eastAsia="en-US"/>
        </w:rPr>
        <w:t xml:space="preserve">Одним из показателей ГП № 25 является доля общей площади благоустроенных жилых помещений в сельских населенных пунктах, ответственным за его достижение в нарушение п. 35 </w:t>
      </w:r>
      <w:r w:rsidR="00095943" w:rsidRPr="00FD7B0B">
        <w:rPr>
          <w:rFonts w:ascii="Times New Roman" w:eastAsiaTheme="minorHAnsi" w:hAnsi="Times New Roman" w:cs="Times New Roman"/>
          <w:bCs/>
          <w:sz w:val="28"/>
          <w:szCs w:val="28"/>
          <w:lang w:eastAsia="en-US"/>
        </w:rPr>
        <w:t>Положения</w:t>
      </w:r>
      <w:r w:rsidRPr="00FD7B0B">
        <w:rPr>
          <w:rFonts w:ascii="Times New Roman" w:eastAsiaTheme="minorHAnsi" w:hAnsi="Times New Roman" w:cs="Times New Roman"/>
          <w:bCs/>
          <w:sz w:val="28"/>
          <w:szCs w:val="28"/>
          <w:lang w:eastAsia="en-US"/>
        </w:rPr>
        <w:t xml:space="preserve"> </w:t>
      </w:r>
      <w:r w:rsidRPr="00FD7B0B">
        <w:rPr>
          <w:rFonts w:ascii="Times New Roman" w:eastAsiaTheme="minorHAnsi" w:hAnsi="Times New Roman" w:cs="Times New Roman"/>
          <w:sz w:val="28"/>
          <w:szCs w:val="28"/>
          <w:lang w:eastAsia="en-US"/>
        </w:rPr>
        <w:t xml:space="preserve">№ 793-пп </w:t>
      </w:r>
      <w:r w:rsidRPr="00FD7B0B">
        <w:rPr>
          <w:rFonts w:ascii="Times New Roman" w:eastAsiaTheme="minorHAnsi" w:hAnsi="Times New Roman" w:cs="Times New Roman"/>
          <w:bCs/>
          <w:sz w:val="28"/>
          <w:szCs w:val="28"/>
          <w:lang w:eastAsia="en-US"/>
        </w:rPr>
        <w:t>определен минстрой АО. Достижение указанного показателя связано, в т.ч. с реализацией РП № 1, по которому минстрой АО не имеет статуса соисполнителя.</w:t>
      </w:r>
      <w:r w:rsidRPr="00FD7B0B">
        <w:rPr>
          <w:rFonts w:ascii="Times New Roman" w:eastAsiaTheme="minorHAnsi" w:hAnsi="Times New Roman" w:cs="Times New Roman"/>
          <w:sz w:val="28"/>
          <w:szCs w:val="28"/>
          <w:lang w:eastAsia="en-US"/>
        </w:rPr>
        <w:t xml:space="preserve">  Согласно п. 35 </w:t>
      </w:r>
      <w:r w:rsidR="00095943" w:rsidRPr="00FD7B0B">
        <w:rPr>
          <w:rFonts w:ascii="Times New Roman" w:eastAsiaTheme="minorHAnsi" w:hAnsi="Times New Roman" w:cs="Times New Roman"/>
          <w:sz w:val="28"/>
          <w:szCs w:val="28"/>
          <w:lang w:eastAsia="en-US"/>
        </w:rPr>
        <w:t>Положения</w:t>
      </w:r>
      <w:r w:rsidRPr="00FD7B0B">
        <w:rPr>
          <w:rFonts w:ascii="Times New Roman" w:eastAsiaTheme="minorHAnsi" w:hAnsi="Times New Roman" w:cs="Times New Roman"/>
          <w:sz w:val="28"/>
          <w:szCs w:val="28"/>
          <w:lang w:eastAsia="en-US"/>
        </w:rPr>
        <w:t xml:space="preserve"> № 793-пп руководитель ответственного исполнителя, соисполнителя несет персональную ответственность за реализацию соответствующих структурных элементов государственной программы, выполнение их мероприятий (результатов), достижение показателей государственной программы и ее структурных элементов, а также полноту и достоверность представляемых сведений.</w:t>
      </w:r>
    </w:p>
    <w:p w14:paraId="62A0EC85" w14:textId="5903A7F1"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соответствии с подп. 3 п. 12 </w:t>
      </w:r>
      <w:r w:rsidR="00095943" w:rsidRPr="00FD7B0B">
        <w:rPr>
          <w:rFonts w:ascii="Times New Roman" w:eastAsia="Times New Roman" w:hAnsi="Times New Roman"/>
          <w:sz w:val="28"/>
          <w:szCs w:val="28"/>
          <w:lang w:eastAsia="ru-RU"/>
        </w:rPr>
        <w:t>Положения</w:t>
      </w:r>
      <w:r w:rsidRPr="00FD7B0B">
        <w:rPr>
          <w:rFonts w:ascii="Times New Roman" w:eastAsia="Times New Roman" w:hAnsi="Times New Roman"/>
          <w:sz w:val="28"/>
          <w:szCs w:val="28"/>
          <w:lang w:eastAsia="ru-RU"/>
        </w:rPr>
        <w:t xml:space="preserve"> № 793-пп</w:t>
      </w:r>
      <w:r w:rsidRPr="00FD7B0B">
        <w:t xml:space="preserve"> </w:t>
      </w:r>
      <w:r w:rsidRPr="00FD7B0B">
        <w:rPr>
          <w:rFonts w:ascii="Times New Roman" w:eastAsia="Times New Roman" w:hAnsi="Times New Roman"/>
          <w:sz w:val="28"/>
          <w:szCs w:val="28"/>
          <w:lang w:eastAsia="ru-RU"/>
        </w:rPr>
        <w:t xml:space="preserve">в число показателей госпрограмм и показателей их структурных элементов включаются показатели стратегии социально-экономического развития Архангельской области (далее – </w:t>
      </w:r>
      <w:r w:rsidR="00095943" w:rsidRPr="00FD7B0B">
        <w:rPr>
          <w:rFonts w:ascii="Times New Roman" w:eastAsia="Times New Roman" w:hAnsi="Times New Roman"/>
          <w:sz w:val="28"/>
          <w:szCs w:val="28"/>
          <w:lang w:eastAsia="ru-RU"/>
        </w:rPr>
        <w:t>С</w:t>
      </w:r>
      <w:r w:rsidRPr="00FD7B0B">
        <w:rPr>
          <w:rFonts w:ascii="Times New Roman" w:eastAsia="Times New Roman" w:hAnsi="Times New Roman"/>
          <w:sz w:val="28"/>
          <w:szCs w:val="28"/>
          <w:lang w:eastAsia="ru-RU"/>
        </w:rPr>
        <w:t>тратегия).</w:t>
      </w:r>
    </w:p>
    <w:p w14:paraId="529EA0A1" w14:textId="0652B9BF" w:rsidR="001252CE" w:rsidRPr="00FD7B0B" w:rsidRDefault="001252CE" w:rsidP="001252CE">
      <w:pPr>
        <w:spacing w:after="0" w:line="240" w:lineRule="auto"/>
        <w:ind w:firstLine="709"/>
        <w:contextualSpacing/>
        <w:jc w:val="both"/>
        <w:rPr>
          <w:rFonts w:ascii="Times New Roman" w:hAnsi="Times New Roman" w:cs="Times New Roman"/>
          <w:sz w:val="28"/>
          <w:szCs w:val="28"/>
        </w:rPr>
      </w:pPr>
      <w:r w:rsidRPr="00FD7B0B">
        <w:rPr>
          <w:rFonts w:ascii="Times New Roman" w:eastAsia="Times New Roman" w:hAnsi="Times New Roman"/>
          <w:sz w:val="28"/>
          <w:szCs w:val="28"/>
          <w:lang w:eastAsia="ru-RU"/>
        </w:rPr>
        <w:t xml:space="preserve">В разделе 3.4 «Сельские территории как новые точки экономического роста» </w:t>
      </w:r>
      <w:r w:rsidR="00095943" w:rsidRPr="00FD7B0B">
        <w:rPr>
          <w:rFonts w:ascii="Times New Roman" w:eastAsia="Times New Roman" w:hAnsi="Times New Roman"/>
          <w:sz w:val="28"/>
          <w:szCs w:val="28"/>
          <w:lang w:eastAsia="ru-RU"/>
        </w:rPr>
        <w:t>С</w:t>
      </w:r>
      <w:r w:rsidRPr="00FD7B0B">
        <w:rPr>
          <w:rFonts w:ascii="Times New Roman" w:eastAsia="Times New Roman" w:hAnsi="Times New Roman"/>
          <w:sz w:val="28"/>
          <w:szCs w:val="28"/>
          <w:lang w:eastAsia="ru-RU"/>
        </w:rPr>
        <w:t>тратегии перечислены проекты развития сельских территорий АО. Проектом «</w:t>
      </w:r>
      <w:r w:rsidRPr="00FD7B0B">
        <w:rPr>
          <w:rFonts w:ascii="Times New Roman" w:hAnsi="Times New Roman" w:cs="Times New Roman"/>
          <w:bCs/>
          <w:sz w:val="28"/>
          <w:szCs w:val="28"/>
        </w:rPr>
        <w:t>Социальное и инфраструктурное обеспечение сельских территорий</w:t>
      </w:r>
      <w:r w:rsidRPr="00FD7B0B">
        <w:rPr>
          <w:rFonts w:ascii="Times New Roman" w:eastAsia="Times New Roman" w:hAnsi="Times New Roman"/>
          <w:sz w:val="28"/>
          <w:szCs w:val="28"/>
          <w:lang w:eastAsia="ru-RU"/>
        </w:rPr>
        <w:t xml:space="preserve">» предусмотрено, что к 2035 году </w:t>
      </w:r>
      <w:r w:rsidRPr="00FD7B0B">
        <w:rPr>
          <w:rFonts w:ascii="Times New Roman" w:hAnsi="Times New Roman" w:cs="Times New Roman"/>
          <w:sz w:val="28"/>
          <w:szCs w:val="28"/>
        </w:rPr>
        <w:t xml:space="preserve">удельный вес общей площади жилых помещений в сельских населенных пунктах, оборудованных всеми видами благоустройства, </w:t>
      </w:r>
      <w:r w:rsidRPr="00FD7B0B">
        <w:rPr>
          <w:rFonts w:ascii="Times New Roman" w:hAnsi="Times New Roman" w:cs="Times New Roman"/>
          <w:sz w:val="28"/>
          <w:szCs w:val="28"/>
        </w:rPr>
        <w:lastRenderedPageBreak/>
        <w:t>составит 45 %. С учетом того, что паспортом ГП № 25 предусмотрено достижение к 2026 году значения данного показателя на уровне 8</w:t>
      </w:r>
      <w:r w:rsidR="00095943" w:rsidRPr="00FD7B0B">
        <w:rPr>
          <w:rFonts w:ascii="Times New Roman" w:hAnsi="Times New Roman" w:cs="Times New Roman"/>
          <w:sz w:val="28"/>
          <w:szCs w:val="28"/>
        </w:rPr>
        <w:t xml:space="preserve"> </w:t>
      </w:r>
      <w:r w:rsidRPr="00FD7B0B">
        <w:rPr>
          <w:rFonts w:ascii="Times New Roman" w:hAnsi="Times New Roman" w:cs="Times New Roman"/>
          <w:sz w:val="28"/>
          <w:szCs w:val="28"/>
        </w:rPr>
        <w:t>% (с ежегодным приростом всего 0,5</w:t>
      </w:r>
      <w:r w:rsidR="00095943" w:rsidRPr="00FD7B0B">
        <w:rPr>
          <w:rFonts w:ascii="Times New Roman" w:hAnsi="Times New Roman" w:cs="Times New Roman"/>
          <w:sz w:val="28"/>
          <w:szCs w:val="28"/>
        </w:rPr>
        <w:t xml:space="preserve"> </w:t>
      </w:r>
      <w:r w:rsidRPr="00FD7B0B">
        <w:rPr>
          <w:rFonts w:ascii="Times New Roman" w:hAnsi="Times New Roman" w:cs="Times New Roman"/>
          <w:sz w:val="28"/>
          <w:szCs w:val="28"/>
        </w:rPr>
        <w:t>% в 2024</w:t>
      </w:r>
      <w:r w:rsidR="00095943" w:rsidRPr="00FD7B0B">
        <w:rPr>
          <w:rFonts w:ascii="Times New Roman" w:hAnsi="Times New Roman" w:cs="Times New Roman"/>
          <w:sz w:val="28"/>
          <w:szCs w:val="28"/>
        </w:rPr>
        <w:t xml:space="preserve"> – </w:t>
      </w:r>
      <w:r w:rsidRPr="00FD7B0B">
        <w:rPr>
          <w:rFonts w:ascii="Times New Roman" w:hAnsi="Times New Roman" w:cs="Times New Roman"/>
          <w:sz w:val="28"/>
          <w:szCs w:val="28"/>
        </w:rPr>
        <w:t>2026 годах), а также учитывая тот факт, что по результатам 2024 года запланированное значение данного показателя не достигнуто, то представляется труднореализуемым достижение опр</w:t>
      </w:r>
      <w:r w:rsidR="00095943" w:rsidRPr="00FD7B0B">
        <w:rPr>
          <w:rFonts w:ascii="Times New Roman" w:hAnsi="Times New Roman" w:cs="Times New Roman"/>
          <w:sz w:val="28"/>
          <w:szCs w:val="28"/>
        </w:rPr>
        <w:t>еделенного стратегией значения.</w:t>
      </w:r>
    </w:p>
    <w:p w14:paraId="2A851310" w14:textId="513A09EC"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По структурным элементам ГП № 25 установлены 6 показателей, информация о достижении которых представлена в таблице </w:t>
      </w:r>
      <w:r w:rsidR="0070073F" w:rsidRPr="00FD7B0B">
        <w:rPr>
          <w:rFonts w:ascii="Times New Roman" w:eastAsia="Times New Roman" w:hAnsi="Times New Roman"/>
          <w:sz w:val="28"/>
          <w:szCs w:val="28"/>
          <w:lang w:eastAsia="ru-RU"/>
        </w:rPr>
        <w:t>211</w:t>
      </w:r>
      <w:r w:rsidRPr="00FD7B0B">
        <w:rPr>
          <w:rFonts w:ascii="Times New Roman" w:eastAsia="Times New Roman" w:hAnsi="Times New Roman"/>
          <w:sz w:val="28"/>
          <w:szCs w:val="28"/>
          <w:lang w:eastAsia="ru-RU"/>
        </w:rPr>
        <w:t>.</w:t>
      </w:r>
    </w:p>
    <w:p w14:paraId="4E3906BB" w14:textId="77777777" w:rsidR="001252CE" w:rsidRPr="00FD7B0B" w:rsidRDefault="001252CE" w:rsidP="001252CE">
      <w:pPr>
        <w:spacing w:after="0" w:line="240" w:lineRule="auto"/>
        <w:ind w:firstLine="709"/>
        <w:contextualSpacing/>
        <w:jc w:val="both"/>
        <w:rPr>
          <w:rFonts w:ascii="Times New Roman" w:eastAsia="Times New Roman" w:hAnsi="Times New Roman"/>
          <w:sz w:val="28"/>
          <w:szCs w:val="28"/>
          <w:lang w:eastAsia="ru-RU"/>
        </w:rPr>
      </w:pPr>
    </w:p>
    <w:p w14:paraId="7CC41D6E" w14:textId="2B0B5E1D" w:rsidR="001252CE" w:rsidRPr="00FD7B0B" w:rsidRDefault="00AC2B32" w:rsidP="001252C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211</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1252CE" w:rsidRPr="00FD7B0B">
        <w:rPr>
          <w:rFonts w:ascii="Times New Roman" w:hAnsi="Times New Roman"/>
          <w:b w:val="0"/>
          <w:sz w:val="24"/>
          <w:szCs w:val="24"/>
        </w:rPr>
        <w:t>Сведения о достижении (в соответствии с проектом отчета) в 2024 году значений показателей при реализации структурных элементов ГП № 25</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900"/>
        <w:gridCol w:w="590"/>
        <w:gridCol w:w="1162"/>
        <w:gridCol w:w="1114"/>
        <w:gridCol w:w="1097"/>
        <w:gridCol w:w="744"/>
      </w:tblGrid>
      <w:tr w:rsidR="00FD7B0B" w:rsidRPr="00FD7B0B" w14:paraId="3F77D87C" w14:textId="77777777" w:rsidTr="00AC2B32">
        <w:trPr>
          <w:trHeight w:val="384"/>
          <w:tblHeader/>
        </w:trPr>
        <w:tc>
          <w:tcPr>
            <w:tcW w:w="2550" w:type="pct"/>
          </w:tcPr>
          <w:p w14:paraId="0AA9FB93"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 xml:space="preserve">Показатель </w:t>
            </w:r>
          </w:p>
        </w:tc>
        <w:tc>
          <w:tcPr>
            <w:tcW w:w="307" w:type="pct"/>
          </w:tcPr>
          <w:p w14:paraId="3624FE8F"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РП, КПМ</w:t>
            </w:r>
          </w:p>
        </w:tc>
        <w:tc>
          <w:tcPr>
            <w:tcW w:w="605" w:type="pct"/>
          </w:tcPr>
          <w:p w14:paraId="44468AB7"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Плановые значения на 31.12.2024</w:t>
            </w:r>
          </w:p>
        </w:tc>
        <w:tc>
          <w:tcPr>
            <w:tcW w:w="580" w:type="pct"/>
          </w:tcPr>
          <w:p w14:paraId="6144755B"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Фактическое значение на 31.12.2024</w:t>
            </w:r>
          </w:p>
        </w:tc>
        <w:tc>
          <w:tcPr>
            <w:tcW w:w="571" w:type="pct"/>
          </w:tcPr>
          <w:p w14:paraId="1A570CF6"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Отклонение</w:t>
            </w:r>
          </w:p>
        </w:tc>
        <w:tc>
          <w:tcPr>
            <w:tcW w:w="388" w:type="pct"/>
          </w:tcPr>
          <w:p w14:paraId="1898F83C"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 к плану</w:t>
            </w:r>
          </w:p>
        </w:tc>
      </w:tr>
      <w:tr w:rsidR="00FD7B0B" w:rsidRPr="00FD7B0B" w14:paraId="40DB3D52" w14:textId="77777777" w:rsidTr="00AC2B32">
        <w:trPr>
          <w:trHeight w:val="300"/>
        </w:trPr>
        <w:tc>
          <w:tcPr>
            <w:tcW w:w="2550" w:type="pct"/>
          </w:tcPr>
          <w:p w14:paraId="73B8D9D8" w14:textId="77777777" w:rsidR="001252CE" w:rsidRPr="00FD7B0B" w:rsidRDefault="001252CE" w:rsidP="001252CE">
            <w:pPr>
              <w:autoSpaceDE w:val="0"/>
              <w:autoSpaceDN w:val="0"/>
              <w:adjustRightInd w:val="0"/>
              <w:rPr>
                <w:rFonts w:ascii="Times New Roman" w:eastAsia="Times New Roman" w:hAnsi="Times New Roman"/>
                <w:sz w:val="16"/>
                <w:szCs w:val="16"/>
              </w:rPr>
            </w:pPr>
            <w:r w:rsidRPr="00FD7B0B">
              <w:rPr>
                <w:rFonts w:ascii="Times New Roman" w:eastAsia="Times New Roman" w:hAnsi="Times New Roman"/>
                <w:sz w:val="16"/>
                <w:szCs w:val="16"/>
              </w:rPr>
              <w:t xml:space="preserve">1. </w:t>
            </w:r>
            <w:r w:rsidRPr="00FD7B0B">
              <w:rPr>
                <w:rFonts w:ascii="Times New Roman" w:hAnsi="Times New Roman"/>
                <w:sz w:val="16"/>
                <w:szCs w:val="16"/>
              </w:rPr>
              <w:t>Количество семей, для которых представлены возможности улучшения жилищных условий на сельских территориях (агломерациях) (ед.)</w:t>
            </w:r>
          </w:p>
        </w:tc>
        <w:tc>
          <w:tcPr>
            <w:tcW w:w="307" w:type="pct"/>
            <w:vAlign w:val="center"/>
          </w:tcPr>
          <w:p w14:paraId="158A3AA4"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605" w:type="pct"/>
            <w:vAlign w:val="center"/>
          </w:tcPr>
          <w:p w14:paraId="72F87320"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112</w:t>
            </w:r>
          </w:p>
        </w:tc>
        <w:tc>
          <w:tcPr>
            <w:tcW w:w="580" w:type="pct"/>
            <w:vAlign w:val="center"/>
          </w:tcPr>
          <w:p w14:paraId="406592C1"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111</w:t>
            </w:r>
          </w:p>
        </w:tc>
        <w:tc>
          <w:tcPr>
            <w:tcW w:w="571" w:type="pct"/>
            <w:vAlign w:val="center"/>
          </w:tcPr>
          <w:p w14:paraId="13BBC0F8"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w:t>
            </w:r>
          </w:p>
        </w:tc>
        <w:tc>
          <w:tcPr>
            <w:tcW w:w="388" w:type="pct"/>
            <w:vAlign w:val="center"/>
          </w:tcPr>
          <w:p w14:paraId="24E6AF2E"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99,1</w:t>
            </w:r>
          </w:p>
        </w:tc>
      </w:tr>
      <w:tr w:rsidR="00FD7B0B" w:rsidRPr="00FD7B0B" w14:paraId="11A8A025" w14:textId="77777777" w:rsidTr="00AC2B32">
        <w:trPr>
          <w:trHeight w:val="489"/>
        </w:trPr>
        <w:tc>
          <w:tcPr>
            <w:tcW w:w="2550" w:type="pct"/>
          </w:tcPr>
          <w:p w14:paraId="35CC42D0" w14:textId="77777777" w:rsidR="001252CE" w:rsidRPr="00FD7B0B" w:rsidRDefault="001252CE" w:rsidP="001252CE">
            <w:pPr>
              <w:autoSpaceDE w:val="0"/>
              <w:autoSpaceDN w:val="0"/>
              <w:adjustRightInd w:val="0"/>
              <w:rPr>
                <w:rFonts w:ascii="Times New Roman" w:eastAsia="Times New Roman" w:hAnsi="Times New Roman"/>
                <w:sz w:val="16"/>
                <w:szCs w:val="16"/>
              </w:rPr>
            </w:pPr>
            <w:r w:rsidRPr="00FD7B0B">
              <w:rPr>
                <w:rFonts w:ascii="Times New Roman" w:eastAsia="Times New Roman" w:hAnsi="Times New Roman"/>
                <w:sz w:val="16"/>
                <w:szCs w:val="16"/>
              </w:rPr>
              <w:t xml:space="preserve">2. </w:t>
            </w:r>
            <w:r w:rsidRPr="00FD7B0B">
              <w:rPr>
                <w:rFonts w:ascii="Times New Roman" w:hAnsi="Times New Roman"/>
                <w:sz w:val="16"/>
                <w:szCs w:val="16"/>
              </w:rPr>
              <w:t xml:space="preserve">Численность специалистов, прошедших обучение либо привлеченных на работу на сельских территориях в результате оказания государственной поддержки </w:t>
            </w:r>
            <w:r w:rsidRPr="00FD7B0B">
              <w:rPr>
                <w:rFonts w:ascii="Times New Roman" w:eastAsia="Times New Roman" w:hAnsi="Times New Roman"/>
                <w:sz w:val="16"/>
                <w:szCs w:val="16"/>
              </w:rPr>
              <w:t>(чел.)</w:t>
            </w:r>
          </w:p>
        </w:tc>
        <w:tc>
          <w:tcPr>
            <w:tcW w:w="307" w:type="pct"/>
            <w:vAlign w:val="center"/>
          </w:tcPr>
          <w:p w14:paraId="782BFF19"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w:t>
            </w:r>
          </w:p>
        </w:tc>
        <w:tc>
          <w:tcPr>
            <w:tcW w:w="605" w:type="pct"/>
            <w:vAlign w:val="center"/>
          </w:tcPr>
          <w:p w14:paraId="4AE6649B"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32</w:t>
            </w:r>
          </w:p>
        </w:tc>
        <w:tc>
          <w:tcPr>
            <w:tcW w:w="580" w:type="pct"/>
            <w:vAlign w:val="center"/>
          </w:tcPr>
          <w:p w14:paraId="03AE7856"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77</w:t>
            </w:r>
          </w:p>
        </w:tc>
        <w:tc>
          <w:tcPr>
            <w:tcW w:w="571" w:type="pct"/>
            <w:vAlign w:val="center"/>
          </w:tcPr>
          <w:p w14:paraId="574B2F8B"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45</w:t>
            </w:r>
          </w:p>
        </w:tc>
        <w:tc>
          <w:tcPr>
            <w:tcW w:w="388" w:type="pct"/>
            <w:vAlign w:val="center"/>
          </w:tcPr>
          <w:p w14:paraId="7A6BB917"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240,6</w:t>
            </w:r>
          </w:p>
        </w:tc>
      </w:tr>
      <w:tr w:rsidR="00FD7B0B" w:rsidRPr="00FD7B0B" w14:paraId="7FEE0D9E" w14:textId="77777777" w:rsidTr="00AC2B32">
        <w:trPr>
          <w:trHeight w:val="505"/>
        </w:trPr>
        <w:tc>
          <w:tcPr>
            <w:tcW w:w="2550" w:type="pct"/>
          </w:tcPr>
          <w:p w14:paraId="0D14576E" w14:textId="1D830473" w:rsidR="001252CE" w:rsidRPr="00FD7B0B" w:rsidRDefault="001252CE" w:rsidP="00AC2B32">
            <w:pPr>
              <w:autoSpaceDE w:val="0"/>
              <w:autoSpaceDN w:val="0"/>
              <w:adjustRightInd w:val="0"/>
              <w:rPr>
                <w:rFonts w:ascii="Times New Roman" w:eastAsia="Times New Roman" w:hAnsi="Times New Roman"/>
                <w:sz w:val="16"/>
                <w:szCs w:val="16"/>
              </w:rPr>
            </w:pPr>
            <w:r w:rsidRPr="00FD7B0B">
              <w:rPr>
                <w:rFonts w:ascii="Times New Roman" w:eastAsia="Times New Roman" w:hAnsi="Times New Roman"/>
                <w:sz w:val="16"/>
                <w:szCs w:val="16"/>
              </w:rPr>
              <w:t xml:space="preserve">3. </w:t>
            </w:r>
            <w:r w:rsidRPr="00FD7B0B">
              <w:rPr>
                <w:rFonts w:ascii="Times New Roman" w:hAnsi="Times New Roman"/>
                <w:sz w:val="16"/>
                <w:szCs w:val="16"/>
              </w:rPr>
              <w:t xml:space="preserve">Доля сельского населения, комфортность проживания которого повысилась в результате реализации проектов по благоустройству общественных пространств на сельских территориях </w:t>
            </w:r>
            <w:r w:rsidRPr="00FD7B0B">
              <w:rPr>
                <w:rFonts w:ascii="Times New Roman" w:eastAsia="Times New Roman" w:hAnsi="Times New Roman"/>
                <w:sz w:val="16"/>
                <w:szCs w:val="16"/>
              </w:rPr>
              <w:t>(%)</w:t>
            </w:r>
          </w:p>
        </w:tc>
        <w:tc>
          <w:tcPr>
            <w:tcW w:w="307" w:type="pct"/>
            <w:vAlign w:val="center"/>
          </w:tcPr>
          <w:p w14:paraId="606ABBF9"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3</w:t>
            </w:r>
          </w:p>
        </w:tc>
        <w:tc>
          <w:tcPr>
            <w:tcW w:w="605" w:type="pct"/>
            <w:vAlign w:val="center"/>
          </w:tcPr>
          <w:p w14:paraId="79BA3551"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17,0</w:t>
            </w:r>
          </w:p>
        </w:tc>
        <w:tc>
          <w:tcPr>
            <w:tcW w:w="580" w:type="pct"/>
            <w:vAlign w:val="center"/>
          </w:tcPr>
          <w:p w14:paraId="779C59E9"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18,0</w:t>
            </w:r>
          </w:p>
        </w:tc>
        <w:tc>
          <w:tcPr>
            <w:tcW w:w="571" w:type="pct"/>
            <w:vAlign w:val="center"/>
          </w:tcPr>
          <w:p w14:paraId="443238A7"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1,0</w:t>
            </w:r>
          </w:p>
        </w:tc>
        <w:tc>
          <w:tcPr>
            <w:tcW w:w="388" w:type="pct"/>
            <w:vAlign w:val="center"/>
          </w:tcPr>
          <w:p w14:paraId="55B445FE"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105,9</w:t>
            </w:r>
          </w:p>
        </w:tc>
      </w:tr>
      <w:tr w:rsidR="00FD7B0B" w:rsidRPr="00FD7B0B" w14:paraId="30F9D4C6" w14:textId="77777777" w:rsidTr="00AC2B32">
        <w:trPr>
          <w:trHeight w:val="253"/>
        </w:trPr>
        <w:tc>
          <w:tcPr>
            <w:tcW w:w="2550" w:type="pct"/>
          </w:tcPr>
          <w:p w14:paraId="6A8D5943" w14:textId="77777777" w:rsidR="001252CE" w:rsidRPr="00FD7B0B" w:rsidRDefault="001252CE" w:rsidP="001252CE">
            <w:pPr>
              <w:autoSpaceDE w:val="0"/>
              <w:autoSpaceDN w:val="0"/>
              <w:adjustRightInd w:val="0"/>
              <w:rPr>
                <w:rFonts w:ascii="Times New Roman" w:eastAsia="Times New Roman" w:hAnsi="Times New Roman"/>
                <w:sz w:val="16"/>
                <w:szCs w:val="16"/>
              </w:rPr>
            </w:pPr>
            <w:r w:rsidRPr="00FD7B0B">
              <w:rPr>
                <w:rFonts w:ascii="Times New Roman" w:eastAsia="Times New Roman" w:hAnsi="Times New Roman"/>
                <w:sz w:val="16"/>
                <w:szCs w:val="16"/>
              </w:rPr>
              <w:t>4. Количество сельских населенных пунктов, транспортная доступность которых улучшена (ед.)</w:t>
            </w:r>
          </w:p>
        </w:tc>
        <w:tc>
          <w:tcPr>
            <w:tcW w:w="307" w:type="pct"/>
            <w:vAlign w:val="center"/>
          </w:tcPr>
          <w:p w14:paraId="4BA64AB6"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4</w:t>
            </w:r>
          </w:p>
        </w:tc>
        <w:tc>
          <w:tcPr>
            <w:tcW w:w="605" w:type="pct"/>
            <w:vAlign w:val="center"/>
          </w:tcPr>
          <w:p w14:paraId="458D0D1F"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4</w:t>
            </w:r>
          </w:p>
        </w:tc>
        <w:tc>
          <w:tcPr>
            <w:tcW w:w="580" w:type="pct"/>
            <w:vAlign w:val="center"/>
          </w:tcPr>
          <w:p w14:paraId="4F3D3268"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4</w:t>
            </w:r>
          </w:p>
        </w:tc>
        <w:tc>
          <w:tcPr>
            <w:tcW w:w="571" w:type="pct"/>
            <w:vAlign w:val="center"/>
          </w:tcPr>
          <w:p w14:paraId="79C398F1"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0</w:t>
            </w:r>
          </w:p>
        </w:tc>
        <w:tc>
          <w:tcPr>
            <w:tcW w:w="388" w:type="pct"/>
            <w:vAlign w:val="center"/>
          </w:tcPr>
          <w:p w14:paraId="5FCF5B99"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100,0</w:t>
            </w:r>
          </w:p>
        </w:tc>
      </w:tr>
      <w:tr w:rsidR="00FD7B0B" w:rsidRPr="00FD7B0B" w14:paraId="696EE71B" w14:textId="77777777" w:rsidTr="00AC2B32">
        <w:trPr>
          <w:trHeight w:val="505"/>
        </w:trPr>
        <w:tc>
          <w:tcPr>
            <w:tcW w:w="2550" w:type="pct"/>
          </w:tcPr>
          <w:p w14:paraId="7B6481C0" w14:textId="77777777" w:rsidR="001252CE" w:rsidRPr="00FD7B0B" w:rsidRDefault="001252CE" w:rsidP="001252CE">
            <w:pPr>
              <w:autoSpaceDE w:val="0"/>
              <w:autoSpaceDN w:val="0"/>
              <w:adjustRightInd w:val="0"/>
              <w:rPr>
                <w:rFonts w:ascii="Times New Roman" w:eastAsia="Times New Roman" w:hAnsi="Times New Roman"/>
                <w:sz w:val="16"/>
                <w:szCs w:val="16"/>
              </w:rPr>
            </w:pPr>
            <w:r w:rsidRPr="00FD7B0B">
              <w:rPr>
                <w:rFonts w:ascii="Times New Roman" w:eastAsia="Times New Roman" w:hAnsi="Times New Roman"/>
                <w:sz w:val="16"/>
                <w:szCs w:val="16"/>
              </w:rPr>
              <w:t xml:space="preserve">5. </w:t>
            </w:r>
            <w:r w:rsidRPr="00FD7B0B">
              <w:rPr>
                <w:rFonts w:ascii="Times New Roman" w:hAnsi="Times New Roman"/>
                <w:sz w:val="16"/>
                <w:szCs w:val="16"/>
              </w:rPr>
              <w:t>Доля сельского населения, проживающего на сельских территориях, на которых реализованы проекты комплексного развития сельских территорий (агломераций) (%)</w:t>
            </w:r>
          </w:p>
        </w:tc>
        <w:tc>
          <w:tcPr>
            <w:tcW w:w="307" w:type="pct"/>
            <w:vAlign w:val="center"/>
          </w:tcPr>
          <w:p w14:paraId="59D28A13"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5</w:t>
            </w:r>
          </w:p>
        </w:tc>
        <w:tc>
          <w:tcPr>
            <w:tcW w:w="605" w:type="pct"/>
            <w:vAlign w:val="center"/>
          </w:tcPr>
          <w:p w14:paraId="7D07E752"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15,0</w:t>
            </w:r>
          </w:p>
        </w:tc>
        <w:tc>
          <w:tcPr>
            <w:tcW w:w="580" w:type="pct"/>
            <w:vAlign w:val="center"/>
          </w:tcPr>
          <w:p w14:paraId="33422EA0"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12,4</w:t>
            </w:r>
          </w:p>
        </w:tc>
        <w:tc>
          <w:tcPr>
            <w:tcW w:w="571" w:type="pct"/>
            <w:vAlign w:val="center"/>
          </w:tcPr>
          <w:p w14:paraId="0D037117"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-2,6</w:t>
            </w:r>
          </w:p>
        </w:tc>
        <w:tc>
          <w:tcPr>
            <w:tcW w:w="388" w:type="pct"/>
            <w:vAlign w:val="center"/>
          </w:tcPr>
          <w:p w14:paraId="58164556"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82,7</w:t>
            </w:r>
          </w:p>
        </w:tc>
      </w:tr>
      <w:tr w:rsidR="001252CE" w:rsidRPr="00FD7B0B" w14:paraId="0E2BCCDB" w14:textId="77777777" w:rsidTr="00AC2B32">
        <w:trPr>
          <w:trHeight w:val="505"/>
        </w:trPr>
        <w:tc>
          <w:tcPr>
            <w:tcW w:w="2550" w:type="pct"/>
          </w:tcPr>
          <w:p w14:paraId="5EA4E21B" w14:textId="77777777" w:rsidR="001252CE" w:rsidRPr="00FD7B0B" w:rsidRDefault="001252CE" w:rsidP="001252CE">
            <w:pPr>
              <w:autoSpaceDE w:val="0"/>
              <w:autoSpaceDN w:val="0"/>
              <w:adjustRightInd w:val="0"/>
              <w:rPr>
                <w:rFonts w:ascii="Times New Roman" w:eastAsia="Times New Roman" w:hAnsi="Times New Roman"/>
                <w:sz w:val="16"/>
                <w:szCs w:val="16"/>
              </w:rPr>
            </w:pPr>
            <w:r w:rsidRPr="00FD7B0B">
              <w:rPr>
                <w:rFonts w:ascii="Times New Roman" w:eastAsia="Times New Roman" w:hAnsi="Times New Roman"/>
                <w:sz w:val="16"/>
                <w:szCs w:val="16"/>
              </w:rPr>
              <w:t>6. Доля муниципальных образований Архангельской области, районов (округов), участвующих в мероприятиях государственной программы с 2022 года</w:t>
            </w:r>
          </w:p>
        </w:tc>
        <w:tc>
          <w:tcPr>
            <w:tcW w:w="307" w:type="pct"/>
            <w:vAlign w:val="center"/>
          </w:tcPr>
          <w:p w14:paraId="768303D7"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КПМ</w:t>
            </w:r>
          </w:p>
        </w:tc>
        <w:tc>
          <w:tcPr>
            <w:tcW w:w="605" w:type="pct"/>
            <w:vAlign w:val="center"/>
          </w:tcPr>
          <w:p w14:paraId="1B374DBD"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75</w:t>
            </w:r>
          </w:p>
        </w:tc>
        <w:tc>
          <w:tcPr>
            <w:tcW w:w="580" w:type="pct"/>
            <w:vAlign w:val="center"/>
          </w:tcPr>
          <w:p w14:paraId="33ADFE3D"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89,5</w:t>
            </w:r>
          </w:p>
        </w:tc>
        <w:tc>
          <w:tcPr>
            <w:tcW w:w="571" w:type="pct"/>
            <w:vAlign w:val="center"/>
          </w:tcPr>
          <w:p w14:paraId="34FF34F1"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14,5</w:t>
            </w:r>
          </w:p>
        </w:tc>
        <w:tc>
          <w:tcPr>
            <w:tcW w:w="388" w:type="pct"/>
            <w:vAlign w:val="center"/>
          </w:tcPr>
          <w:p w14:paraId="3D9EBFAB" w14:textId="77777777" w:rsidR="001252CE" w:rsidRPr="00FD7B0B" w:rsidRDefault="001252CE" w:rsidP="001252CE">
            <w:pPr>
              <w:contextualSpacing/>
              <w:jc w:val="center"/>
              <w:rPr>
                <w:rFonts w:ascii="Times New Roman" w:eastAsia="Times New Roman" w:hAnsi="Times New Roman"/>
                <w:sz w:val="16"/>
                <w:szCs w:val="16"/>
              </w:rPr>
            </w:pPr>
            <w:r w:rsidRPr="00FD7B0B">
              <w:rPr>
                <w:rFonts w:ascii="Times New Roman" w:eastAsia="Times New Roman" w:hAnsi="Times New Roman"/>
                <w:sz w:val="16"/>
                <w:szCs w:val="16"/>
              </w:rPr>
              <w:t>119,3</w:t>
            </w:r>
          </w:p>
        </w:tc>
      </w:tr>
    </w:tbl>
    <w:p w14:paraId="415E96D8" w14:textId="77777777" w:rsidR="001252CE" w:rsidRPr="00FD7B0B" w:rsidRDefault="001252CE" w:rsidP="001252CE">
      <w:pPr>
        <w:spacing w:after="0" w:line="240" w:lineRule="exact"/>
        <w:ind w:firstLine="709"/>
        <w:contextualSpacing/>
        <w:jc w:val="both"/>
        <w:rPr>
          <w:rFonts w:ascii="Times New Roman" w:eastAsia="Times New Roman" w:hAnsi="Times New Roman"/>
          <w:sz w:val="28"/>
          <w:szCs w:val="28"/>
          <w:lang w:eastAsia="ru-RU"/>
        </w:rPr>
      </w:pPr>
    </w:p>
    <w:p w14:paraId="64CDB987" w14:textId="70673A05" w:rsidR="001252CE" w:rsidRPr="00FD7B0B" w:rsidRDefault="001252CE" w:rsidP="001252CE">
      <w:pPr>
        <w:spacing w:after="0" w:line="240" w:lineRule="auto"/>
        <w:ind w:firstLine="709"/>
        <w:contextualSpacing/>
        <w:jc w:val="both"/>
        <w:rPr>
          <w:rFonts w:ascii="Times New Roman" w:hAnsi="Times New Roman"/>
          <w:sz w:val="28"/>
          <w:szCs w:val="28"/>
          <w:lang w:eastAsia="ru-RU"/>
        </w:rPr>
      </w:pPr>
      <w:r w:rsidRPr="00FD7B0B">
        <w:rPr>
          <w:rFonts w:ascii="Times New Roman" w:eastAsia="Times New Roman" w:hAnsi="Times New Roman"/>
          <w:sz w:val="28"/>
          <w:szCs w:val="28"/>
          <w:lang w:eastAsia="ru-RU"/>
        </w:rPr>
        <w:t>Показатели ГП № 25 не соответствуют всем 18 показателям, установленным приложением к Стратегии устойчивого развития сельских территорий Российской Федерации на период до 2030 года, утвержденной распоряжением Правительства РФ от 02.02.2015 № 151</w:t>
      </w:r>
      <w:r w:rsidR="00AC2B32" w:rsidRPr="00FD7B0B">
        <w:rPr>
          <w:rFonts w:ascii="Times New Roman" w:eastAsia="Times New Roman" w:hAnsi="Times New Roman"/>
          <w:sz w:val="28"/>
          <w:szCs w:val="28"/>
          <w:lang w:eastAsia="ru-RU"/>
        </w:rPr>
        <w:t>-р (далее – Стратегия № 151-р).</w:t>
      </w:r>
    </w:p>
    <w:p w14:paraId="435360CF" w14:textId="77777777" w:rsidR="001252CE" w:rsidRPr="00FD7B0B" w:rsidRDefault="001252CE" w:rsidP="001252CE">
      <w:pPr>
        <w:spacing w:after="0" w:line="240" w:lineRule="auto"/>
        <w:ind w:firstLine="709"/>
        <w:contextualSpacing/>
        <w:jc w:val="both"/>
        <w:rPr>
          <w:rFonts w:ascii="Times New Roman" w:hAnsi="Times New Roman"/>
          <w:sz w:val="28"/>
          <w:szCs w:val="28"/>
          <w:lang w:eastAsia="ru-RU"/>
        </w:rPr>
      </w:pPr>
      <w:r w:rsidRPr="00FD7B0B">
        <w:rPr>
          <w:rFonts w:ascii="Times New Roman" w:hAnsi="Times New Roman"/>
          <w:sz w:val="28"/>
          <w:szCs w:val="28"/>
          <w:lang w:eastAsia="ru-RU"/>
        </w:rPr>
        <w:t>При этом, согласно Стратегии № 151-р целями государственной политики в области обеспечения устойчивого развития сельских территорий на период до 2030 года являются:</w:t>
      </w:r>
    </w:p>
    <w:p w14:paraId="70B5CD32" w14:textId="77777777" w:rsidR="001252CE" w:rsidRPr="00FD7B0B" w:rsidRDefault="001252CE" w:rsidP="00CB3CBA">
      <w:pPr>
        <w:pStyle w:val="a8"/>
        <w:numPr>
          <w:ilvl w:val="0"/>
          <w:numId w:val="23"/>
        </w:numPr>
        <w:ind w:left="0" w:firstLine="709"/>
        <w:jc w:val="both"/>
        <w:rPr>
          <w:rFonts w:eastAsiaTheme="minorHAnsi"/>
          <w:sz w:val="28"/>
          <w:szCs w:val="28"/>
        </w:rPr>
      </w:pPr>
      <w:r w:rsidRPr="00FD7B0B">
        <w:rPr>
          <w:rFonts w:eastAsiaTheme="minorHAnsi"/>
          <w:sz w:val="28"/>
          <w:szCs w:val="28"/>
        </w:rPr>
        <w:t>создание благоприятных социально-экономических условий для выполнения сельскими территориями их общенациональных функций и решения задач территориального развития;</w:t>
      </w:r>
    </w:p>
    <w:p w14:paraId="098DFBDE" w14:textId="77777777" w:rsidR="001252CE" w:rsidRPr="00FD7B0B" w:rsidRDefault="001252CE" w:rsidP="00CB3CBA">
      <w:pPr>
        <w:pStyle w:val="a8"/>
        <w:numPr>
          <w:ilvl w:val="0"/>
          <w:numId w:val="23"/>
        </w:numPr>
        <w:ind w:left="0" w:firstLine="709"/>
        <w:jc w:val="both"/>
        <w:rPr>
          <w:rFonts w:eastAsiaTheme="minorHAnsi"/>
          <w:sz w:val="28"/>
          <w:szCs w:val="28"/>
        </w:rPr>
      </w:pPr>
      <w:r w:rsidRPr="00FD7B0B">
        <w:rPr>
          <w:rFonts w:eastAsiaTheme="minorHAnsi"/>
          <w:sz w:val="28"/>
          <w:szCs w:val="28"/>
        </w:rPr>
        <w:t>обеспечение стабилизации численности сельского населения и создание условий для его роста за счет снижения смертности, увеличения ожидаемой продолжительности жизни, уменьшения миграционного оттока населения;</w:t>
      </w:r>
    </w:p>
    <w:p w14:paraId="27041B23" w14:textId="77777777" w:rsidR="001252CE" w:rsidRPr="00FD7B0B" w:rsidRDefault="001252CE" w:rsidP="00CB3CBA">
      <w:pPr>
        <w:pStyle w:val="a8"/>
        <w:numPr>
          <w:ilvl w:val="0"/>
          <w:numId w:val="23"/>
        </w:numPr>
        <w:ind w:left="0" w:firstLine="709"/>
        <w:jc w:val="both"/>
        <w:rPr>
          <w:rFonts w:eastAsiaTheme="minorHAnsi"/>
          <w:sz w:val="28"/>
          <w:szCs w:val="28"/>
        </w:rPr>
      </w:pPr>
      <w:r w:rsidRPr="00FD7B0B">
        <w:rPr>
          <w:rFonts w:eastAsiaTheme="minorHAnsi"/>
          <w:sz w:val="28"/>
          <w:szCs w:val="28"/>
        </w:rPr>
        <w:t>обеспечение занятости, повышение уровня и качества жизни сельского населения с учетом современных требований и стандартов;</w:t>
      </w:r>
    </w:p>
    <w:p w14:paraId="6391DCFD" w14:textId="77777777" w:rsidR="001252CE" w:rsidRPr="00FD7B0B" w:rsidRDefault="001252CE" w:rsidP="00CB3CBA">
      <w:pPr>
        <w:pStyle w:val="a8"/>
        <w:numPr>
          <w:ilvl w:val="0"/>
          <w:numId w:val="23"/>
        </w:numPr>
        <w:ind w:left="0" w:firstLine="709"/>
        <w:jc w:val="both"/>
        <w:rPr>
          <w:rFonts w:eastAsiaTheme="minorHAnsi"/>
          <w:sz w:val="28"/>
          <w:szCs w:val="28"/>
        </w:rPr>
      </w:pPr>
      <w:r w:rsidRPr="00FD7B0B">
        <w:rPr>
          <w:rFonts w:eastAsiaTheme="minorHAnsi"/>
          <w:sz w:val="28"/>
          <w:szCs w:val="28"/>
        </w:rPr>
        <w:t>повышение эффективности сельского хозяйства и вклада сельских территорий в социально-экономическое развитие страны.</w:t>
      </w:r>
    </w:p>
    <w:p w14:paraId="6DD7B67E" w14:textId="77777777" w:rsidR="001252CE" w:rsidRPr="00FD7B0B" w:rsidRDefault="001252CE" w:rsidP="001252CE">
      <w:pPr>
        <w:spacing w:after="0" w:line="240" w:lineRule="auto"/>
        <w:ind w:firstLine="709"/>
        <w:contextualSpacing/>
        <w:jc w:val="both"/>
        <w:rPr>
          <w:rFonts w:ascii="Times New Roman" w:hAnsi="Times New Roman"/>
          <w:sz w:val="28"/>
          <w:szCs w:val="28"/>
          <w:lang w:eastAsia="ru-RU"/>
        </w:rPr>
      </w:pPr>
      <w:r w:rsidRPr="00FD7B0B">
        <w:rPr>
          <w:rFonts w:ascii="Times New Roman" w:hAnsi="Times New Roman"/>
          <w:sz w:val="28"/>
          <w:szCs w:val="28"/>
          <w:lang w:eastAsia="ru-RU"/>
        </w:rPr>
        <w:t xml:space="preserve">Однако, целевые показатели ГП № 25 не имеют прямой связи, например, с такими целями Стратегии № 151-р, как «обеспечение стабилизации численности </w:t>
      </w:r>
      <w:r w:rsidRPr="00FD7B0B">
        <w:rPr>
          <w:rFonts w:ascii="Times New Roman" w:hAnsi="Times New Roman"/>
          <w:sz w:val="28"/>
          <w:szCs w:val="28"/>
          <w:lang w:eastAsia="ru-RU"/>
        </w:rPr>
        <w:lastRenderedPageBreak/>
        <w:t>сельского населения и создание условий для его роста за счет снижения смертности, увеличения ожидаемой продолжительности жизни, уменьшения миграционного оттока населения» и «повышение эффективности сельского хозяйства и вклада сельских территорий в социально-экономическое развитие страны».</w:t>
      </w:r>
    </w:p>
    <w:p w14:paraId="75EF84C8" w14:textId="77777777" w:rsidR="001252CE" w:rsidRPr="00FD7B0B" w:rsidRDefault="001252CE" w:rsidP="001252CE">
      <w:pPr>
        <w:spacing w:after="0" w:line="240" w:lineRule="auto"/>
        <w:contextualSpacing/>
        <w:jc w:val="center"/>
        <w:rPr>
          <w:rFonts w:ascii="Times New Roman" w:eastAsia="Times New Roman" w:hAnsi="Times New Roman"/>
          <w:b/>
          <w:sz w:val="28"/>
          <w:szCs w:val="28"/>
          <w:lang w:eastAsia="ru-RU"/>
        </w:rPr>
      </w:pPr>
    </w:p>
    <w:p w14:paraId="00C5DC9A" w14:textId="34F52C60" w:rsidR="001252CE" w:rsidRPr="00FD7B0B" w:rsidRDefault="001252CE" w:rsidP="001252CE">
      <w:pPr>
        <w:spacing w:after="0" w:line="240" w:lineRule="auto"/>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 xml:space="preserve">Оценка реализации ГП № 19 </w:t>
      </w:r>
      <w:r w:rsidRPr="00FD7B0B">
        <w:rPr>
          <w:rFonts w:ascii="Times New Roman" w:eastAsia="Times New Roman" w:hAnsi="Times New Roman" w:cs="Times New Roman"/>
          <w:b/>
          <w:sz w:val="28"/>
          <w:szCs w:val="28"/>
          <w:lang w:eastAsia="ru-RU"/>
        </w:rPr>
        <w:t>согласно Методике оценки</w:t>
      </w:r>
      <w:r w:rsidR="00AC2B32" w:rsidRPr="00FD7B0B">
        <w:rPr>
          <w:rFonts w:ascii="Times New Roman" w:hAnsi="Times New Roman"/>
          <w:b/>
          <w:sz w:val="28"/>
          <w:szCs w:val="28"/>
        </w:rPr>
        <w:t xml:space="preserve"> № 9К (1614)</w:t>
      </w:r>
    </w:p>
    <w:p w14:paraId="1B93EF14" w14:textId="77777777" w:rsidR="001252CE" w:rsidRPr="00FD7B0B" w:rsidRDefault="001252CE" w:rsidP="001252CE">
      <w:pPr>
        <w:spacing w:after="0" w:line="320" w:lineRule="atLeast"/>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1) оценка кассового исполнения по расходам областного бюджета на реализацию ГП № 25 за 2024 год</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164"/>
        <w:gridCol w:w="3095"/>
        <w:gridCol w:w="2452"/>
        <w:gridCol w:w="1896"/>
      </w:tblGrid>
      <w:tr w:rsidR="00FD7B0B" w:rsidRPr="00FD7B0B" w14:paraId="1B58E730" w14:textId="77777777" w:rsidTr="001252CE">
        <w:trPr>
          <w:trHeight w:val="602"/>
        </w:trPr>
        <w:tc>
          <w:tcPr>
            <w:tcW w:w="1126" w:type="pct"/>
          </w:tcPr>
          <w:p w14:paraId="15479F25" w14:textId="77777777" w:rsidR="001252CE" w:rsidRPr="00FD7B0B" w:rsidRDefault="001252CE" w:rsidP="001252CE">
            <w:pPr>
              <w:jc w:val="center"/>
              <w:rPr>
                <w:rFonts w:ascii="Times New Roman" w:hAnsi="Times New Roman"/>
              </w:rPr>
            </w:pPr>
            <w:r w:rsidRPr="00FD7B0B">
              <w:rPr>
                <w:rFonts w:ascii="Times New Roman" w:hAnsi="Times New Roman"/>
              </w:rPr>
              <w:t xml:space="preserve">кассовые расходы ОБ на реализацию </w:t>
            </w:r>
          </w:p>
          <w:p w14:paraId="77B10FDA" w14:textId="77777777" w:rsidR="001252CE" w:rsidRPr="00FD7B0B" w:rsidRDefault="001252CE" w:rsidP="001252CE">
            <w:pPr>
              <w:jc w:val="center"/>
              <w:rPr>
                <w:rFonts w:ascii="Times New Roman" w:hAnsi="Times New Roman"/>
              </w:rPr>
            </w:pPr>
            <w:r w:rsidRPr="00FD7B0B">
              <w:rPr>
                <w:rFonts w:ascii="Times New Roman" w:hAnsi="Times New Roman"/>
              </w:rPr>
              <w:t>за 2024 год, млн.руб.</w:t>
            </w:r>
          </w:p>
        </w:tc>
        <w:tc>
          <w:tcPr>
            <w:tcW w:w="1611" w:type="pct"/>
          </w:tcPr>
          <w:p w14:paraId="5EBA0DFD"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бюджетные ассигнования ОБ в соответствии с показателями СБР на 31.12.2024), млн.руб.</w:t>
            </w:r>
          </w:p>
        </w:tc>
        <w:tc>
          <w:tcPr>
            <w:tcW w:w="1276" w:type="pct"/>
          </w:tcPr>
          <w:p w14:paraId="22B77D0D" w14:textId="77777777" w:rsidR="001252CE" w:rsidRPr="00FD7B0B" w:rsidRDefault="001252CE" w:rsidP="001252CE">
            <w:pPr>
              <w:jc w:val="center"/>
              <w:rPr>
                <w:rFonts w:ascii="Times New Roman" w:hAnsi="Times New Roman"/>
              </w:rPr>
            </w:pPr>
            <w:r w:rsidRPr="00FD7B0B">
              <w:rPr>
                <w:rFonts w:ascii="Times New Roman" w:hAnsi="Times New Roman"/>
              </w:rPr>
              <w:t>степень кассового исполнения по расходам ОБ за 2024 год, %</w:t>
            </w:r>
          </w:p>
        </w:tc>
        <w:tc>
          <w:tcPr>
            <w:tcW w:w="987" w:type="pct"/>
          </w:tcPr>
          <w:p w14:paraId="744522E7" w14:textId="77777777" w:rsidR="001252CE" w:rsidRPr="00FD7B0B" w:rsidRDefault="001252CE" w:rsidP="001252CE">
            <w:pPr>
              <w:jc w:val="center"/>
              <w:rPr>
                <w:rFonts w:ascii="Times New Roman" w:hAnsi="Times New Roman"/>
              </w:rPr>
            </w:pPr>
            <w:r w:rsidRPr="00FD7B0B">
              <w:rPr>
                <w:rFonts w:ascii="Times New Roman" w:hAnsi="Times New Roman"/>
              </w:rPr>
              <w:t>оценка</w:t>
            </w:r>
          </w:p>
        </w:tc>
      </w:tr>
      <w:tr w:rsidR="001252CE" w:rsidRPr="00FD7B0B" w14:paraId="255C3438" w14:textId="77777777" w:rsidTr="001252CE">
        <w:trPr>
          <w:trHeight w:val="233"/>
        </w:trPr>
        <w:tc>
          <w:tcPr>
            <w:tcW w:w="1126" w:type="pct"/>
          </w:tcPr>
          <w:p w14:paraId="3CA9EC3D" w14:textId="77777777" w:rsidR="001252CE" w:rsidRPr="00FD7B0B" w:rsidRDefault="001252CE" w:rsidP="001252CE">
            <w:pPr>
              <w:jc w:val="center"/>
              <w:rPr>
                <w:rFonts w:ascii="Times New Roman" w:hAnsi="Times New Roman"/>
              </w:rPr>
            </w:pPr>
            <w:r w:rsidRPr="00FD7B0B">
              <w:rPr>
                <w:rFonts w:ascii="Times New Roman" w:hAnsi="Times New Roman"/>
              </w:rPr>
              <w:t>1015,1</w:t>
            </w:r>
          </w:p>
        </w:tc>
        <w:tc>
          <w:tcPr>
            <w:tcW w:w="1611" w:type="pct"/>
          </w:tcPr>
          <w:p w14:paraId="5DD8A4CB" w14:textId="77777777" w:rsidR="001252CE" w:rsidRPr="00FD7B0B" w:rsidRDefault="001252CE" w:rsidP="001252CE">
            <w:pPr>
              <w:jc w:val="center"/>
              <w:rPr>
                <w:rFonts w:ascii="Times New Roman" w:hAnsi="Times New Roman"/>
              </w:rPr>
            </w:pPr>
            <w:r w:rsidRPr="00FD7B0B">
              <w:rPr>
                <w:rFonts w:ascii="Times New Roman" w:hAnsi="Times New Roman"/>
              </w:rPr>
              <w:t>1015,3</w:t>
            </w:r>
          </w:p>
        </w:tc>
        <w:tc>
          <w:tcPr>
            <w:tcW w:w="1276" w:type="pct"/>
          </w:tcPr>
          <w:p w14:paraId="5B36E845" w14:textId="77777777" w:rsidR="001252CE" w:rsidRPr="00FD7B0B" w:rsidRDefault="001252CE" w:rsidP="001252CE">
            <w:pPr>
              <w:jc w:val="center"/>
              <w:rPr>
                <w:rFonts w:ascii="Times New Roman" w:hAnsi="Times New Roman"/>
              </w:rPr>
            </w:pPr>
            <w:r w:rsidRPr="00FD7B0B">
              <w:rPr>
                <w:rFonts w:ascii="Times New Roman" w:hAnsi="Times New Roman"/>
              </w:rPr>
              <w:t>100,0</w:t>
            </w:r>
          </w:p>
        </w:tc>
        <w:tc>
          <w:tcPr>
            <w:tcW w:w="987" w:type="pct"/>
          </w:tcPr>
          <w:p w14:paraId="647987D0" w14:textId="77777777" w:rsidR="001252CE" w:rsidRPr="00FD7B0B" w:rsidRDefault="001252CE" w:rsidP="001252CE">
            <w:pPr>
              <w:jc w:val="center"/>
              <w:rPr>
                <w:rFonts w:ascii="Times New Roman" w:hAnsi="Times New Roman"/>
              </w:rPr>
            </w:pPr>
            <w:r w:rsidRPr="00FD7B0B">
              <w:rPr>
                <w:rFonts w:ascii="Times New Roman" w:hAnsi="Times New Roman"/>
              </w:rPr>
              <w:t>высокий уровень</w:t>
            </w:r>
          </w:p>
        </w:tc>
      </w:tr>
    </w:tbl>
    <w:p w14:paraId="5D4C1345" w14:textId="77777777" w:rsidR="001252CE" w:rsidRPr="00FD7B0B" w:rsidRDefault="001252CE" w:rsidP="001252CE">
      <w:pPr>
        <w:spacing w:after="0" w:line="120" w:lineRule="auto"/>
        <w:jc w:val="both"/>
        <w:rPr>
          <w:rFonts w:ascii="Times New Roman" w:hAnsi="Times New Roman"/>
          <w:sz w:val="28"/>
          <w:szCs w:val="28"/>
        </w:rPr>
      </w:pPr>
    </w:p>
    <w:p w14:paraId="4A8C307B" w14:textId="77777777" w:rsidR="001252CE" w:rsidRPr="00FD7B0B" w:rsidRDefault="001252CE" w:rsidP="001252CE">
      <w:pPr>
        <w:spacing w:after="0"/>
        <w:ind w:firstLine="709"/>
        <w:jc w:val="both"/>
        <w:rPr>
          <w:rFonts w:ascii="Times New Roman" w:hAnsi="Times New Roman"/>
          <w:sz w:val="28"/>
          <w:szCs w:val="28"/>
        </w:rPr>
      </w:pPr>
      <w:r w:rsidRPr="00FD7B0B">
        <w:rPr>
          <w:rFonts w:ascii="Times New Roman" w:hAnsi="Times New Roman"/>
          <w:sz w:val="28"/>
          <w:szCs w:val="28"/>
        </w:rPr>
        <w:t>2) анализ объема проектной части ГП № 25</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097"/>
        <w:gridCol w:w="3815"/>
        <w:gridCol w:w="1695"/>
      </w:tblGrid>
      <w:tr w:rsidR="00FD7B0B" w:rsidRPr="00FD7B0B" w14:paraId="369ECAA8" w14:textId="77777777" w:rsidTr="001252CE">
        <w:trPr>
          <w:trHeight w:val="737"/>
        </w:trPr>
        <w:tc>
          <w:tcPr>
            <w:tcW w:w="2132" w:type="pct"/>
          </w:tcPr>
          <w:p w14:paraId="7F2CC688" w14:textId="77777777" w:rsidR="001252CE" w:rsidRPr="00FD7B0B" w:rsidRDefault="001252CE" w:rsidP="001252CE">
            <w:pPr>
              <w:jc w:val="center"/>
              <w:rPr>
                <w:rFonts w:ascii="Times New Roman" w:hAnsi="Times New Roman"/>
              </w:rPr>
            </w:pPr>
            <w:r w:rsidRPr="00FD7B0B">
              <w:rPr>
                <w:rFonts w:ascii="Times New Roman" w:hAnsi="Times New Roman"/>
              </w:rPr>
              <w:t xml:space="preserve">объем расходов ОБ, направленных на реализацию проектной части </w:t>
            </w:r>
          </w:p>
          <w:p w14:paraId="73C9462A" w14:textId="77777777" w:rsidR="001252CE" w:rsidRPr="00FD7B0B" w:rsidRDefault="001252CE" w:rsidP="001252CE">
            <w:pPr>
              <w:jc w:val="center"/>
              <w:rPr>
                <w:rFonts w:ascii="Times New Roman" w:hAnsi="Times New Roman"/>
              </w:rPr>
            </w:pPr>
            <w:r w:rsidRPr="00FD7B0B">
              <w:rPr>
                <w:rFonts w:ascii="Times New Roman" w:hAnsi="Times New Roman"/>
              </w:rPr>
              <w:t>(СБР на 31.12.2024), млн.руб.</w:t>
            </w:r>
          </w:p>
        </w:tc>
        <w:tc>
          <w:tcPr>
            <w:tcW w:w="1985" w:type="pct"/>
          </w:tcPr>
          <w:p w14:paraId="0B95B5B8"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 xml:space="preserve">общий объем расходов ОБ, направленных на реализацию ГП № 25 </w:t>
            </w:r>
          </w:p>
          <w:p w14:paraId="0968FC15"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(СБР на 31.12.2024), млн.руб.</w:t>
            </w:r>
          </w:p>
        </w:tc>
        <w:tc>
          <w:tcPr>
            <w:tcW w:w="882" w:type="pct"/>
          </w:tcPr>
          <w:p w14:paraId="1B9B79DD" w14:textId="77777777" w:rsidR="001252CE" w:rsidRPr="00FD7B0B" w:rsidRDefault="001252CE" w:rsidP="001252CE">
            <w:pPr>
              <w:jc w:val="center"/>
              <w:rPr>
                <w:rFonts w:ascii="Times New Roman" w:hAnsi="Times New Roman"/>
              </w:rPr>
            </w:pPr>
            <w:r w:rsidRPr="00FD7B0B">
              <w:rPr>
                <w:rFonts w:ascii="Times New Roman" w:hAnsi="Times New Roman"/>
              </w:rPr>
              <w:t>доля проектной части, %</w:t>
            </w:r>
          </w:p>
        </w:tc>
      </w:tr>
      <w:tr w:rsidR="001252CE" w:rsidRPr="00FD7B0B" w14:paraId="7478C815" w14:textId="77777777" w:rsidTr="001252CE">
        <w:trPr>
          <w:trHeight w:val="139"/>
        </w:trPr>
        <w:tc>
          <w:tcPr>
            <w:tcW w:w="2132" w:type="pct"/>
          </w:tcPr>
          <w:p w14:paraId="04D171CA" w14:textId="77777777" w:rsidR="001252CE" w:rsidRPr="00FD7B0B" w:rsidRDefault="001252CE" w:rsidP="001252CE">
            <w:pPr>
              <w:jc w:val="center"/>
              <w:rPr>
                <w:rFonts w:ascii="Times New Roman" w:hAnsi="Times New Roman"/>
              </w:rPr>
            </w:pPr>
            <w:r w:rsidRPr="00FD7B0B">
              <w:rPr>
                <w:rFonts w:ascii="Times New Roman" w:eastAsia="Times New Roman" w:hAnsi="Times New Roman"/>
              </w:rPr>
              <w:t>1014,4</w:t>
            </w:r>
          </w:p>
        </w:tc>
        <w:tc>
          <w:tcPr>
            <w:tcW w:w="1985" w:type="pct"/>
          </w:tcPr>
          <w:p w14:paraId="7207154B" w14:textId="77777777" w:rsidR="001252CE" w:rsidRPr="00FD7B0B" w:rsidRDefault="001252CE" w:rsidP="001252CE">
            <w:pPr>
              <w:jc w:val="center"/>
              <w:rPr>
                <w:rFonts w:ascii="Times New Roman" w:hAnsi="Times New Roman"/>
              </w:rPr>
            </w:pPr>
            <w:r w:rsidRPr="00FD7B0B">
              <w:rPr>
                <w:rFonts w:ascii="Times New Roman" w:hAnsi="Times New Roman"/>
              </w:rPr>
              <w:t>1015,3</w:t>
            </w:r>
          </w:p>
        </w:tc>
        <w:tc>
          <w:tcPr>
            <w:tcW w:w="882" w:type="pct"/>
          </w:tcPr>
          <w:p w14:paraId="14C8BFF5" w14:textId="77777777" w:rsidR="001252CE" w:rsidRPr="00FD7B0B" w:rsidRDefault="001252CE" w:rsidP="001252CE">
            <w:pPr>
              <w:jc w:val="center"/>
              <w:rPr>
                <w:rFonts w:ascii="Times New Roman" w:hAnsi="Times New Roman"/>
              </w:rPr>
            </w:pPr>
            <w:r w:rsidRPr="00FD7B0B">
              <w:rPr>
                <w:rFonts w:ascii="Times New Roman" w:hAnsi="Times New Roman"/>
              </w:rPr>
              <w:t>99,9</w:t>
            </w:r>
          </w:p>
        </w:tc>
      </w:tr>
    </w:tbl>
    <w:p w14:paraId="58A0C2AA" w14:textId="77777777" w:rsidR="001252CE" w:rsidRPr="00FD7B0B" w:rsidRDefault="001252CE" w:rsidP="001252CE">
      <w:pPr>
        <w:spacing w:after="0" w:line="120" w:lineRule="auto"/>
        <w:jc w:val="both"/>
        <w:rPr>
          <w:rFonts w:ascii="Times New Roman" w:hAnsi="Times New Roman"/>
          <w:sz w:val="28"/>
          <w:szCs w:val="28"/>
        </w:rPr>
      </w:pPr>
    </w:p>
    <w:p w14:paraId="2A58E979" w14:textId="77777777" w:rsidR="001252CE" w:rsidRPr="00FD7B0B" w:rsidRDefault="001252CE" w:rsidP="001252CE">
      <w:pPr>
        <w:spacing w:after="0" w:line="240" w:lineRule="auto"/>
        <w:ind w:firstLine="709"/>
        <w:jc w:val="both"/>
        <w:rPr>
          <w:rFonts w:ascii="Times New Roman" w:hAnsi="Times New Roman"/>
          <w:sz w:val="28"/>
          <w:szCs w:val="28"/>
        </w:rPr>
      </w:pPr>
      <w:r w:rsidRPr="00FD7B0B">
        <w:rPr>
          <w:rFonts w:ascii="Times New Roman" w:hAnsi="Times New Roman"/>
          <w:sz w:val="28"/>
          <w:szCs w:val="28"/>
        </w:rPr>
        <w:t>3) оценка объема изменений, внесенных в СБР в 2024 году</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777"/>
        <w:gridCol w:w="3116"/>
        <w:gridCol w:w="1843"/>
        <w:gridCol w:w="1871"/>
      </w:tblGrid>
      <w:tr w:rsidR="00FD7B0B" w:rsidRPr="00FD7B0B" w14:paraId="1425E0EC" w14:textId="77777777" w:rsidTr="00AC2B32">
        <w:trPr>
          <w:trHeight w:val="419"/>
        </w:trPr>
        <w:tc>
          <w:tcPr>
            <w:tcW w:w="1445" w:type="pct"/>
          </w:tcPr>
          <w:p w14:paraId="30018825" w14:textId="77777777" w:rsidR="001252CE" w:rsidRPr="00FD7B0B" w:rsidRDefault="001252CE" w:rsidP="001252CE">
            <w:pPr>
              <w:jc w:val="center"/>
              <w:rPr>
                <w:rFonts w:ascii="Times New Roman" w:hAnsi="Times New Roman"/>
              </w:rPr>
            </w:pPr>
            <w:r w:rsidRPr="00FD7B0B">
              <w:rPr>
                <w:rFonts w:ascii="Times New Roman" w:hAnsi="Times New Roman"/>
              </w:rPr>
              <w:t>объем изменения объема БА, млн.руб.</w:t>
            </w:r>
          </w:p>
        </w:tc>
        <w:tc>
          <w:tcPr>
            <w:tcW w:w="1621" w:type="pct"/>
          </w:tcPr>
          <w:p w14:paraId="45D0CE54"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 xml:space="preserve">бюджетные ассигнования ОБ (СБР на 01.01.2024), млн.руб. </w:t>
            </w:r>
          </w:p>
        </w:tc>
        <w:tc>
          <w:tcPr>
            <w:tcW w:w="959" w:type="pct"/>
          </w:tcPr>
          <w:p w14:paraId="76885304" w14:textId="77777777" w:rsidR="001252CE" w:rsidRPr="00FD7B0B" w:rsidRDefault="001252CE" w:rsidP="001252CE">
            <w:pPr>
              <w:jc w:val="center"/>
              <w:rPr>
                <w:rFonts w:ascii="Times New Roman" w:hAnsi="Times New Roman"/>
              </w:rPr>
            </w:pPr>
            <w:r w:rsidRPr="00FD7B0B">
              <w:rPr>
                <w:rFonts w:ascii="Times New Roman" w:hAnsi="Times New Roman"/>
              </w:rPr>
              <w:t>доля объема изменений БА, %</w:t>
            </w:r>
          </w:p>
        </w:tc>
        <w:tc>
          <w:tcPr>
            <w:tcW w:w="974" w:type="pct"/>
          </w:tcPr>
          <w:p w14:paraId="66E5ACDF" w14:textId="77777777" w:rsidR="001252CE" w:rsidRPr="00FD7B0B" w:rsidRDefault="001252CE" w:rsidP="001252CE">
            <w:pPr>
              <w:jc w:val="center"/>
              <w:rPr>
                <w:rFonts w:ascii="Times New Roman" w:hAnsi="Times New Roman"/>
              </w:rPr>
            </w:pPr>
            <w:r w:rsidRPr="00FD7B0B">
              <w:rPr>
                <w:rFonts w:ascii="Times New Roman" w:hAnsi="Times New Roman"/>
              </w:rPr>
              <w:t>оценка</w:t>
            </w:r>
          </w:p>
        </w:tc>
      </w:tr>
      <w:tr w:rsidR="001252CE" w:rsidRPr="00FD7B0B" w14:paraId="371372C8" w14:textId="77777777" w:rsidTr="00AC2B32">
        <w:tc>
          <w:tcPr>
            <w:tcW w:w="1445" w:type="pct"/>
            <w:shd w:val="clear" w:color="auto" w:fill="auto"/>
          </w:tcPr>
          <w:p w14:paraId="0C328585" w14:textId="77777777" w:rsidR="001252CE" w:rsidRPr="00FD7B0B" w:rsidRDefault="001252CE" w:rsidP="001252CE">
            <w:pPr>
              <w:jc w:val="center"/>
              <w:rPr>
                <w:rFonts w:ascii="Times New Roman" w:hAnsi="Times New Roman"/>
              </w:rPr>
            </w:pPr>
            <w:r w:rsidRPr="00FD7B0B">
              <w:rPr>
                <w:rFonts w:ascii="Times New Roman" w:hAnsi="Times New Roman"/>
              </w:rPr>
              <w:t>117,1</w:t>
            </w:r>
          </w:p>
        </w:tc>
        <w:tc>
          <w:tcPr>
            <w:tcW w:w="1621" w:type="pct"/>
            <w:shd w:val="clear" w:color="auto" w:fill="auto"/>
          </w:tcPr>
          <w:p w14:paraId="0938F33F" w14:textId="77777777" w:rsidR="001252CE" w:rsidRPr="00FD7B0B" w:rsidRDefault="001252CE" w:rsidP="001252CE">
            <w:pPr>
              <w:jc w:val="center"/>
              <w:rPr>
                <w:rFonts w:ascii="Times New Roman" w:hAnsi="Times New Roman"/>
              </w:rPr>
            </w:pPr>
            <w:r w:rsidRPr="00FD7B0B">
              <w:rPr>
                <w:rFonts w:ascii="Times New Roman" w:hAnsi="Times New Roman"/>
              </w:rPr>
              <w:t>1 093,5</w:t>
            </w:r>
          </w:p>
        </w:tc>
        <w:tc>
          <w:tcPr>
            <w:tcW w:w="959" w:type="pct"/>
            <w:shd w:val="clear" w:color="auto" w:fill="auto"/>
          </w:tcPr>
          <w:p w14:paraId="68D866A4" w14:textId="77777777" w:rsidR="001252CE" w:rsidRPr="00FD7B0B" w:rsidRDefault="001252CE" w:rsidP="001252CE">
            <w:pPr>
              <w:jc w:val="center"/>
              <w:rPr>
                <w:rFonts w:ascii="Times New Roman" w:hAnsi="Times New Roman"/>
              </w:rPr>
            </w:pPr>
            <w:r w:rsidRPr="00FD7B0B">
              <w:rPr>
                <w:rFonts w:ascii="Times New Roman" w:hAnsi="Times New Roman"/>
              </w:rPr>
              <w:t>10,7</w:t>
            </w:r>
          </w:p>
        </w:tc>
        <w:tc>
          <w:tcPr>
            <w:tcW w:w="974" w:type="pct"/>
          </w:tcPr>
          <w:p w14:paraId="50E6889B" w14:textId="77777777" w:rsidR="001252CE" w:rsidRPr="00FD7B0B" w:rsidRDefault="001252CE" w:rsidP="001252CE">
            <w:pPr>
              <w:jc w:val="center"/>
              <w:rPr>
                <w:rFonts w:ascii="Times New Roman" w:hAnsi="Times New Roman"/>
              </w:rPr>
            </w:pPr>
            <w:r w:rsidRPr="00FD7B0B">
              <w:rPr>
                <w:rFonts w:ascii="Times New Roman" w:hAnsi="Times New Roman"/>
              </w:rPr>
              <w:t>высокий уровень</w:t>
            </w:r>
          </w:p>
        </w:tc>
      </w:tr>
    </w:tbl>
    <w:p w14:paraId="00273FA5" w14:textId="77777777" w:rsidR="001252CE" w:rsidRPr="00FD7B0B" w:rsidRDefault="001252CE" w:rsidP="001252CE">
      <w:pPr>
        <w:spacing w:after="0" w:line="120" w:lineRule="auto"/>
        <w:jc w:val="both"/>
        <w:rPr>
          <w:rFonts w:ascii="Times New Roman" w:hAnsi="Times New Roman"/>
          <w:sz w:val="28"/>
          <w:szCs w:val="28"/>
        </w:rPr>
      </w:pPr>
    </w:p>
    <w:p w14:paraId="7CC16060" w14:textId="77777777" w:rsidR="001252CE" w:rsidRPr="00FD7B0B" w:rsidRDefault="001252CE" w:rsidP="001252CE">
      <w:pPr>
        <w:spacing w:after="0" w:line="240" w:lineRule="auto"/>
        <w:ind w:firstLine="709"/>
        <w:jc w:val="both"/>
        <w:rPr>
          <w:rFonts w:ascii="Times New Roman" w:hAnsi="Times New Roman"/>
          <w:sz w:val="28"/>
          <w:szCs w:val="28"/>
        </w:rPr>
      </w:pPr>
      <w:r w:rsidRPr="00FD7B0B">
        <w:rPr>
          <w:rFonts w:ascii="Times New Roman" w:hAnsi="Times New Roman"/>
          <w:sz w:val="28"/>
          <w:szCs w:val="28"/>
        </w:rPr>
        <w:t>4) оценка реализации мероприятий (достижения результатов) структурных элементов ГП № 25 за 2024 год</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790"/>
        <w:gridCol w:w="3912"/>
        <w:gridCol w:w="2905"/>
      </w:tblGrid>
      <w:tr w:rsidR="00FD7B0B" w:rsidRPr="00FD7B0B" w14:paraId="60BA1E44" w14:textId="77777777" w:rsidTr="001252CE">
        <w:trPr>
          <w:trHeight w:val="934"/>
        </w:trPr>
        <w:tc>
          <w:tcPr>
            <w:tcW w:w="1452" w:type="pct"/>
          </w:tcPr>
          <w:p w14:paraId="219B2F00" w14:textId="77777777" w:rsidR="001252CE" w:rsidRPr="00FD7B0B" w:rsidRDefault="001252CE" w:rsidP="001252CE">
            <w:pPr>
              <w:jc w:val="center"/>
              <w:rPr>
                <w:rFonts w:ascii="Times New Roman" w:hAnsi="Times New Roman"/>
              </w:rPr>
            </w:pPr>
            <w:r w:rsidRPr="00FD7B0B">
              <w:rPr>
                <w:rFonts w:ascii="Times New Roman" w:hAnsi="Times New Roman"/>
              </w:rPr>
              <w:t xml:space="preserve">степень достижения мероприятий (результатов) структурного элемента </w:t>
            </w:r>
          </w:p>
          <w:p w14:paraId="5966D90F" w14:textId="77777777" w:rsidR="001252CE" w:rsidRPr="00FD7B0B" w:rsidRDefault="001252CE" w:rsidP="001252CE">
            <w:pPr>
              <w:jc w:val="center"/>
              <w:rPr>
                <w:rFonts w:ascii="Times New Roman" w:hAnsi="Times New Roman"/>
              </w:rPr>
            </w:pPr>
            <w:r w:rsidRPr="00FD7B0B">
              <w:rPr>
                <w:rFonts w:ascii="Times New Roman" w:hAnsi="Times New Roman"/>
              </w:rPr>
              <w:t>за 2024 год</w:t>
            </w:r>
          </w:p>
        </w:tc>
        <w:tc>
          <w:tcPr>
            <w:tcW w:w="2036" w:type="pct"/>
          </w:tcPr>
          <w:p w14:paraId="59A1E7EB"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мероприятий (результатов) всех структурных элементов, предусмотренных к достижению в 2024 году, ед.</w:t>
            </w:r>
          </w:p>
        </w:tc>
        <w:tc>
          <w:tcPr>
            <w:tcW w:w="1512" w:type="pct"/>
          </w:tcPr>
          <w:p w14:paraId="334B098C" w14:textId="77777777" w:rsidR="001252CE" w:rsidRPr="00FD7B0B" w:rsidRDefault="001252CE" w:rsidP="001252CE">
            <w:pPr>
              <w:jc w:val="center"/>
              <w:rPr>
                <w:rFonts w:ascii="Times New Roman" w:hAnsi="Times New Roman"/>
              </w:rPr>
            </w:pPr>
            <w:r w:rsidRPr="00FD7B0B">
              <w:rPr>
                <w:rFonts w:ascii="Times New Roman" w:hAnsi="Times New Roman"/>
              </w:rPr>
              <w:t>степень достижения всех мероприятий (результатов) всех структурных элементов за 2024 год, %</w:t>
            </w:r>
          </w:p>
        </w:tc>
      </w:tr>
      <w:tr w:rsidR="001252CE" w:rsidRPr="00FD7B0B" w14:paraId="64CDA057" w14:textId="77777777" w:rsidTr="001252CE">
        <w:tc>
          <w:tcPr>
            <w:tcW w:w="1452" w:type="pct"/>
          </w:tcPr>
          <w:p w14:paraId="5F2811CF" w14:textId="77777777" w:rsidR="001252CE" w:rsidRPr="00FD7B0B" w:rsidRDefault="001252CE" w:rsidP="001252CE">
            <w:pPr>
              <w:jc w:val="center"/>
              <w:rPr>
                <w:rFonts w:ascii="Times New Roman" w:hAnsi="Times New Roman"/>
              </w:rPr>
            </w:pPr>
            <w:r w:rsidRPr="00FD7B0B">
              <w:rPr>
                <w:rFonts w:ascii="Times New Roman" w:hAnsi="Times New Roman"/>
              </w:rPr>
              <w:t>5,818</w:t>
            </w:r>
          </w:p>
        </w:tc>
        <w:tc>
          <w:tcPr>
            <w:tcW w:w="2036" w:type="pct"/>
          </w:tcPr>
          <w:p w14:paraId="1F401CC0" w14:textId="77777777" w:rsidR="001252CE" w:rsidRPr="00FD7B0B" w:rsidRDefault="001252CE" w:rsidP="001252CE">
            <w:pPr>
              <w:jc w:val="center"/>
              <w:rPr>
                <w:rFonts w:ascii="Times New Roman" w:hAnsi="Times New Roman"/>
              </w:rPr>
            </w:pPr>
            <w:r w:rsidRPr="00FD7B0B">
              <w:rPr>
                <w:rFonts w:ascii="Times New Roman" w:hAnsi="Times New Roman"/>
              </w:rPr>
              <w:t>6</w:t>
            </w:r>
          </w:p>
        </w:tc>
        <w:tc>
          <w:tcPr>
            <w:tcW w:w="1512" w:type="pct"/>
          </w:tcPr>
          <w:p w14:paraId="799BB076" w14:textId="77777777" w:rsidR="001252CE" w:rsidRPr="00FD7B0B" w:rsidRDefault="001252CE" w:rsidP="001252CE">
            <w:pPr>
              <w:jc w:val="center"/>
              <w:rPr>
                <w:rFonts w:ascii="Times New Roman" w:hAnsi="Times New Roman"/>
              </w:rPr>
            </w:pPr>
            <w:r w:rsidRPr="00FD7B0B">
              <w:rPr>
                <w:rFonts w:ascii="Times New Roman" w:hAnsi="Times New Roman"/>
              </w:rPr>
              <w:t>97,0</w:t>
            </w:r>
          </w:p>
        </w:tc>
      </w:tr>
    </w:tbl>
    <w:p w14:paraId="3F8D2503" w14:textId="77777777" w:rsidR="001252CE" w:rsidRPr="00FD7B0B" w:rsidRDefault="001252CE" w:rsidP="001252CE">
      <w:pPr>
        <w:spacing w:after="0" w:line="120" w:lineRule="auto"/>
        <w:jc w:val="both"/>
        <w:rPr>
          <w:rFonts w:ascii="Times New Roman" w:hAnsi="Times New Roman"/>
          <w:sz w:val="28"/>
          <w:szCs w:val="28"/>
        </w:rPr>
      </w:pPr>
    </w:p>
    <w:p w14:paraId="24D1C426" w14:textId="77777777" w:rsidR="001252CE" w:rsidRPr="00FD7B0B" w:rsidRDefault="001252CE" w:rsidP="001252CE">
      <w:pPr>
        <w:spacing w:after="0" w:line="240" w:lineRule="auto"/>
        <w:ind w:firstLine="709"/>
        <w:jc w:val="both"/>
        <w:rPr>
          <w:rFonts w:ascii="Times New Roman" w:hAnsi="Times New Roman"/>
          <w:sz w:val="28"/>
          <w:szCs w:val="28"/>
        </w:rPr>
      </w:pPr>
      <w:r w:rsidRPr="00FD7B0B">
        <w:rPr>
          <w:rFonts w:ascii="Times New Roman" w:hAnsi="Times New Roman"/>
          <w:sz w:val="28"/>
          <w:szCs w:val="28"/>
        </w:rPr>
        <w:t>5) оценка достижения плановых значений показателей ГП № 25 за 2024 год</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448"/>
        <w:gridCol w:w="2755"/>
        <w:gridCol w:w="2456"/>
        <w:gridCol w:w="1948"/>
      </w:tblGrid>
      <w:tr w:rsidR="00FD7B0B" w:rsidRPr="00FD7B0B" w14:paraId="79EF4392" w14:textId="77777777" w:rsidTr="001252CE">
        <w:trPr>
          <w:trHeight w:val="288"/>
        </w:trPr>
        <w:tc>
          <w:tcPr>
            <w:tcW w:w="1274" w:type="pct"/>
          </w:tcPr>
          <w:p w14:paraId="1E5EBA67" w14:textId="77777777" w:rsidR="001252CE" w:rsidRPr="00FD7B0B" w:rsidRDefault="001252CE" w:rsidP="001252CE">
            <w:pPr>
              <w:jc w:val="center"/>
              <w:rPr>
                <w:rFonts w:ascii="Times New Roman" w:hAnsi="Times New Roman"/>
              </w:rPr>
            </w:pPr>
            <w:r w:rsidRPr="00FD7B0B">
              <w:rPr>
                <w:rFonts w:ascii="Times New Roman" w:hAnsi="Times New Roman"/>
              </w:rPr>
              <w:t>количество достигнутых значений показателей, ед.</w:t>
            </w:r>
          </w:p>
        </w:tc>
        <w:tc>
          <w:tcPr>
            <w:tcW w:w="1434" w:type="pct"/>
          </w:tcPr>
          <w:p w14:paraId="3321B7AB"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ед.</w:t>
            </w:r>
          </w:p>
        </w:tc>
        <w:tc>
          <w:tcPr>
            <w:tcW w:w="1278" w:type="pct"/>
          </w:tcPr>
          <w:p w14:paraId="2F8FE214" w14:textId="77777777" w:rsidR="001252CE" w:rsidRPr="00FD7B0B" w:rsidRDefault="001252CE" w:rsidP="001252CE">
            <w:pPr>
              <w:jc w:val="center"/>
              <w:rPr>
                <w:rFonts w:ascii="Times New Roman" w:hAnsi="Times New Roman"/>
              </w:rPr>
            </w:pPr>
            <w:r w:rsidRPr="00FD7B0B">
              <w:rPr>
                <w:rFonts w:ascii="Times New Roman" w:hAnsi="Times New Roman"/>
              </w:rPr>
              <w:t>доля выполненных показателей, %</w:t>
            </w:r>
          </w:p>
        </w:tc>
        <w:tc>
          <w:tcPr>
            <w:tcW w:w="1015" w:type="pct"/>
          </w:tcPr>
          <w:p w14:paraId="3DE0F3A1" w14:textId="77777777" w:rsidR="001252CE" w:rsidRPr="00FD7B0B" w:rsidRDefault="001252CE" w:rsidP="001252CE">
            <w:pPr>
              <w:jc w:val="center"/>
              <w:rPr>
                <w:rFonts w:ascii="Times New Roman" w:hAnsi="Times New Roman"/>
              </w:rPr>
            </w:pPr>
            <w:r w:rsidRPr="00FD7B0B">
              <w:rPr>
                <w:rFonts w:ascii="Times New Roman" w:hAnsi="Times New Roman"/>
              </w:rPr>
              <w:t>оценка</w:t>
            </w:r>
          </w:p>
        </w:tc>
      </w:tr>
      <w:tr w:rsidR="001252CE" w:rsidRPr="00FD7B0B" w14:paraId="192F60DB" w14:textId="77777777" w:rsidTr="001252CE">
        <w:tc>
          <w:tcPr>
            <w:tcW w:w="1274" w:type="pct"/>
          </w:tcPr>
          <w:p w14:paraId="6B00414E" w14:textId="77777777" w:rsidR="001252CE" w:rsidRPr="00FD7B0B" w:rsidRDefault="001252CE" w:rsidP="001252CE">
            <w:pPr>
              <w:jc w:val="center"/>
              <w:rPr>
                <w:rFonts w:ascii="Times New Roman" w:hAnsi="Times New Roman"/>
              </w:rPr>
            </w:pPr>
            <w:r w:rsidRPr="00FD7B0B">
              <w:rPr>
                <w:rFonts w:ascii="Times New Roman" w:hAnsi="Times New Roman"/>
              </w:rPr>
              <w:t>4</w:t>
            </w:r>
          </w:p>
        </w:tc>
        <w:tc>
          <w:tcPr>
            <w:tcW w:w="1434" w:type="pct"/>
          </w:tcPr>
          <w:p w14:paraId="03D6448D" w14:textId="77777777" w:rsidR="001252CE" w:rsidRPr="00FD7B0B" w:rsidRDefault="001252CE" w:rsidP="001252CE">
            <w:pPr>
              <w:jc w:val="center"/>
              <w:rPr>
                <w:rFonts w:ascii="Times New Roman" w:hAnsi="Times New Roman"/>
              </w:rPr>
            </w:pPr>
            <w:r w:rsidRPr="00FD7B0B">
              <w:rPr>
                <w:rFonts w:ascii="Times New Roman" w:hAnsi="Times New Roman"/>
              </w:rPr>
              <w:t>6</w:t>
            </w:r>
          </w:p>
        </w:tc>
        <w:tc>
          <w:tcPr>
            <w:tcW w:w="1278" w:type="pct"/>
          </w:tcPr>
          <w:p w14:paraId="4E108866" w14:textId="77777777" w:rsidR="001252CE" w:rsidRPr="00FD7B0B" w:rsidRDefault="001252CE" w:rsidP="001252CE">
            <w:pPr>
              <w:jc w:val="center"/>
              <w:rPr>
                <w:rFonts w:ascii="Times New Roman" w:hAnsi="Times New Roman"/>
              </w:rPr>
            </w:pPr>
            <w:r w:rsidRPr="00FD7B0B">
              <w:rPr>
                <w:rFonts w:ascii="Times New Roman" w:hAnsi="Times New Roman"/>
              </w:rPr>
              <w:t>66,66</w:t>
            </w:r>
          </w:p>
        </w:tc>
        <w:tc>
          <w:tcPr>
            <w:tcW w:w="1015" w:type="pct"/>
          </w:tcPr>
          <w:p w14:paraId="6B4D8D37" w14:textId="77777777" w:rsidR="001252CE" w:rsidRPr="00FD7B0B" w:rsidRDefault="001252CE" w:rsidP="001252CE">
            <w:pPr>
              <w:jc w:val="center"/>
              <w:rPr>
                <w:rFonts w:ascii="Times New Roman" w:hAnsi="Times New Roman"/>
              </w:rPr>
            </w:pPr>
            <w:r w:rsidRPr="00FD7B0B">
              <w:rPr>
                <w:rFonts w:ascii="Times New Roman" w:hAnsi="Times New Roman"/>
              </w:rPr>
              <w:t>низкий уровень</w:t>
            </w:r>
          </w:p>
        </w:tc>
      </w:tr>
    </w:tbl>
    <w:p w14:paraId="49A37E5C" w14:textId="77777777" w:rsidR="001252CE" w:rsidRPr="00FD7B0B" w:rsidRDefault="001252CE" w:rsidP="001252CE">
      <w:pPr>
        <w:spacing w:after="0" w:line="192" w:lineRule="auto"/>
        <w:jc w:val="both"/>
        <w:rPr>
          <w:rFonts w:ascii="Times New Roman" w:hAnsi="Times New Roman"/>
          <w:sz w:val="28"/>
          <w:szCs w:val="28"/>
        </w:rPr>
      </w:pP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228"/>
        <w:gridCol w:w="2402"/>
        <w:gridCol w:w="1977"/>
      </w:tblGrid>
      <w:tr w:rsidR="001252CE" w:rsidRPr="00FD7B0B" w14:paraId="3A5CC4EB" w14:textId="77777777" w:rsidTr="001252CE">
        <w:tc>
          <w:tcPr>
            <w:tcW w:w="2721" w:type="pct"/>
          </w:tcPr>
          <w:p w14:paraId="2033703B" w14:textId="77777777" w:rsidR="001252CE" w:rsidRPr="00FD7B0B" w:rsidRDefault="001252CE" w:rsidP="001252CE">
            <w:pPr>
              <w:rPr>
                <w:rFonts w:ascii="Times New Roman" w:hAnsi="Times New Roman"/>
              </w:rPr>
            </w:pPr>
            <w:r w:rsidRPr="00FD7B0B">
              <w:rPr>
                <w:rFonts w:ascii="Times New Roman" w:hAnsi="Times New Roman"/>
              </w:rPr>
              <w:t>степень достижения всех показателей ГП № 25</w:t>
            </w:r>
          </w:p>
        </w:tc>
        <w:tc>
          <w:tcPr>
            <w:tcW w:w="1250" w:type="pct"/>
          </w:tcPr>
          <w:p w14:paraId="706554FB" w14:textId="77777777" w:rsidR="001252CE" w:rsidRPr="00FD7B0B" w:rsidRDefault="001252CE" w:rsidP="001252CE">
            <w:pPr>
              <w:jc w:val="center"/>
              <w:rPr>
                <w:rFonts w:ascii="Times New Roman" w:hAnsi="Times New Roman"/>
              </w:rPr>
            </w:pPr>
            <w:r w:rsidRPr="00FD7B0B">
              <w:rPr>
                <w:rFonts w:ascii="Times New Roman" w:hAnsi="Times New Roman"/>
              </w:rPr>
              <w:t>99,0</w:t>
            </w:r>
          </w:p>
        </w:tc>
        <w:tc>
          <w:tcPr>
            <w:tcW w:w="1029" w:type="pct"/>
          </w:tcPr>
          <w:p w14:paraId="7A7A214F" w14:textId="77777777" w:rsidR="001252CE" w:rsidRPr="00FD7B0B" w:rsidRDefault="001252CE" w:rsidP="001252CE">
            <w:pPr>
              <w:jc w:val="center"/>
              <w:rPr>
                <w:rFonts w:ascii="Times New Roman" w:hAnsi="Times New Roman"/>
              </w:rPr>
            </w:pPr>
            <w:r w:rsidRPr="00FD7B0B">
              <w:rPr>
                <w:rFonts w:ascii="Times New Roman" w:hAnsi="Times New Roman"/>
              </w:rPr>
              <w:t>высокий уровень</w:t>
            </w:r>
          </w:p>
        </w:tc>
      </w:tr>
    </w:tbl>
    <w:p w14:paraId="13FB3088" w14:textId="77777777" w:rsidR="001252CE" w:rsidRPr="00FD7B0B" w:rsidRDefault="001252CE" w:rsidP="001252CE">
      <w:pPr>
        <w:spacing w:after="0" w:line="120" w:lineRule="auto"/>
        <w:jc w:val="both"/>
        <w:rPr>
          <w:rFonts w:ascii="Times New Roman" w:hAnsi="Times New Roman"/>
          <w:sz w:val="28"/>
          <w:szCs w:val="28"/>
        </w:rPr>
      </w:pPr>
    </w:p>
    <w:p w14:paraId="26819DFC" w14:textId="77777777" w:rsidR="001252CE" w:rsidRPr="00FD7B0B" w:rsidRDefault="001252CE" w:rsidP="001252CE">
      <w:pPr>
        <w:spacing w:after="0" w:line="240" w:lineRule="auto"/>
        <w:ind w:firstLine="709"/>
        <w:jc w:val="both"/>
        <w:rPr>
          <w:rFonts w:ascii="Times New Roman" w:hAnsi="Times New Roman"/>
          <w:sz w:val="28"/>
          <w:szCs w:val="28"/>
        </w:rPr>
      </w:pPr>
      <w:r w:rsidRPr="00FD7B0B">
        <w:rPr>
          <w:rFonts w:ascii="Times New Roman" w:hAnsi="Times New Roman"/>
          <w:sz w:val="28"/>
          <w:szCs w:val="28"/>
        </w:rPr>
        <w:t>6) оценка динамики дебиторской задолженности по расчетам по авансовым платежам за 2024 год</w:t>
      </w:r>
      <w:r w:rsidRPr="00FD7B0B">
        <w:rPr>
          <w:rFonts w:ascii="Times New Roman" w:hAnsi="Times New Roman"/>
          <w:sz w:val="28"/>
          <w:szCs w:val="28"/>
        </w:rPr>
        <w:tab/>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777"/>
        <w:gridCol w:w="2875"/>
        <w:gridCol w:w="2685"/>
        <w:gridCol w:w="1270"/>
      </w:tblGrid>
      <w:tr w:rsidR="00FD7B0B" w:rsidRPr="00FD7B0B" w14:paraId="12477FE4" w14:textId="77777777" w:rsidTr="001252CE">
        <w:trPr>
          <w:trHeight w:val="445"/>
        </w:trPr>
        <w:tc>
          <w:tcPr>
            <w:tcW w:w="1445" w:type="pct"/>
            <w:vAlign w:val="center"/>
          </w:tcPr>
          <w:p w14:paraId="55969873" w14:textId="77777777" w:rsidR="001252CE" w:rsidRPr="00FD7B0B" w:rsidRDefault="001252CE" w:rsidP="001252CE">
            <w:pPr>
              <w:jc w:val="center"/>
              <w:rPr>
                <w:rFonts w:ascii="Times New Roman" w:hAnsi="Times New Roman"/>
              </w:rPr>
            </w:pPr>
            <w:r w:rsidRPr="00FD7B0B">
              <w:rPr>
                <w:rFonts w:ascii="Times New Roman" w:hAnsi="Times New Roman"/>
              </w:rPr>
              <w:t>объем просроченной дебиторской задолженности по авансовым платежам на конец отчетного года (данные ф.0503169), млн.руб.</w:t>
            </w:r>
          </w:p>
        </w:tc>
        <w:tc>
          <w:tcPr>
            <w:tcW w:w="1496" w:type="pct"/>
            <w:vAlign w:val="center"/>
          </w:tcPr>
          <w:p w14:paraId="0D634DB2"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общий объем дебиторской задолженности по авансовым платежам на конец отчетного года (данные ф.0503169), млн.руб.</w:t>
            </w:r>
          </w:p>
        </w:tc>
        <w:tc>
          <w:tcPr>
            <w:tcW w:w="1397" w:type="pct"/>
            <w:vAlign w:val="center"/>
          </w:tcPr>
          <w:p w14:paraId="35A857F1" w14:textId="77777777" w:rsidR="001252CE" w:rsidRPr="00FD7B0B" w:rsidRDefault="001252CE" w:rsidP="001252CE">
            <w:pPr>
              <w:jc w:val="center"/>
              <w:rPr>
                <w:rFonts w:ascii="Times New Roman" w:hAnsi="Times New Roman"/>
              </w:rPr>
            </w:pPr>
            <w:r w:rsidRPr="00FD7B0B">
              <w:rPr>
                <w:rFonts w:ascii="Times New Roman" w:hAnsi="Times New Roman"/>
              </w:rPr>
              <w:t>доля просроченной дебиторской задолженности в общем объеме дебиторской задолженности за 2024 год, %</w:t>
            </w:r>
          </w:p>
        </w:tc>
        <w:tc>
          <w:tcPr>
            <w:tcW w:w="661" w:type="pct"/>
            <w:vAlign w:val="center"/>
          </w:tcPr>
          <w:p w14:paraId="16428DD2" w14:textId="77777777" w:rsidR="001252CE" w:rsidRPr="00FD7B0B" w:rsidRDefault="001252CE" w:rsidP="001252CE">
            <w:pPr>
              <w:jc w:val="center"/>
              <w:rPr>
                <w:rFonts w:ascii="Times New Roman" w:hAnsi="Times New Roman"/>
              </w:rPr>
            </w:pPr>
            <w:r w:rsidRPr="00FD7B0B">
              <w:rPr>
                <w:rFonts w:ascii="Times New Roman" w:hAnsi="Times New Roman"/>
              </w:rPr>
              <w:t>оценка</w:t>
            </w:r>
          </w:p>
        </w:tc>
      </w:tr>
      <w:tr w:rsidR="001252CE" w:rsidRPr="00FD7B0B" w14:paraId="5946CA97" w14:textId="77777777" w:rsidTr="001252CE">
        <w:tc>
          <w:tcPr>
            <w:tcW w:w="1445" w:type="pct"/>
            <w:vAlign w:val="center"/>
          </w:tcPr>
          <w:p w14:paraId="5C02160F" w14:textId="77777777" w:rsidR="001252CE" w:rsidRPr="00FD7B0B" w:rsidRDefault="001252CE" w:rsidP="001252CE">
            <w:pPr>
              <w:jc w:val="center"/>
              <w:rPr>
                <w:rFonts w:ascii="Times New Roman" w:hAnsi="Times New Roman"/>
              </w:rPr>
            </w:pPr>
            <w:r w:rsidRPr="00FD7B0B">
              <w:rPr>
                <w:rFonts w:ascii="Times New Roman" w:hAnsi="Times New Roman"/>
              </w:rPr>
              <w:t>0,0</w:t>
            </w:r>
          </w:p>
        </w:tc>
        <w:tc>
          <w:tcPr>
            <w:tcW w:w="1496" w:type="pct"/>
            <w:vAlign w:val="center"/>
          </w:tcPr>
          <w:p w14:paraId="57151B2F" w14:textId="77777777" w:rsidR="001252CE" w:rsidRPr="00FD7B0B" w:rsidRDefault="001252CE" w:rsidP="001252CE">
            <w:pPr>
              <w:jc w:val="center"/>
              <w:rPr>
                <w:rFonts w:ascii="Times New Roman" w:hAnsi="Times New Roman"/>
              </w:rPr>
            </w:pPr>
            <w:r w:rsidRPr="00FD7B0B">
              <w:rPr>
                <w:rFonts w:ascii="Times New Roman" w:hAnsi="Times New Roman"/>
              </w:rPr>
              <w:t>498,6</w:t>
            </w:r>
          </w:p>
        </w:tc>
        <w:tc>
          <w:tcPr>
            <w:tcW w:w="1397" w:type="pct"/>
            <w:vAlign w:val="center"/>
          </w:tcPr>
          <w:p w14:paraId="5FC0BCD4" w14:textId="77777777" w:rsidR="001252CE" w:rsidRPr="00FD7B0B" w:rsidRDefault="001252CE" w:rsidP="001252CE">
            <w:pPr>
              <w:jc w:val="center"/>
              <w:rPr>
                <w:rFonts w:ascii="Times New Roman" w:hAnsi="Times New Roman"/>
              </w:rPr>
            </w:pPr>
            <w:r w:rsidRPr="00FD7B0B">
              <w:rPr>
                <w:rFonts w:ascii="Times New Roman" w:hAnsi="Times New Roman"/>
              </w:rPr>
              <w:t>0</w:t>
            </w:r>
          </w:p>
        </w:tc>
        <w:tc>
          <w:tcPr>
            <w:tcW w:w="661" w:type="pct"/>
            <w:vAlign w:val="center"/>
          </w:tcPr>
          <w:p w14:paraId="0018FA4B" w14:textId="77777777" w:rsidR="001252CE" w:rsidRPr="00FD7B0B" w:rsidRDefault="001252CE" w:rsidP="001252CE">
            <w:pPr>
              <w:jc w:val="center"/>
              <w:rPr>
                <w:rFonts w:ascii="Times New Roman" w:hAnsi="Times New Roman"/>
              </w:rPr>
            </w:pPr>
            <w:r w:rsidRPr="00FD7B0B">
              <w:rPr>
                <w:rFonts w:ascii="Times New Roman" w:hAnsi="Times New Roman"/>
              </w:rPr>
              <w:t>высокий уровень</w:t>
            </w:r>
          </w:p>
        </w:tc>
      </w:tr>
    </w:tbl>
    <w:p w14:paraId="0BD6D74E" w14:textId="77777777" w:rsidR="001252CE" w:rsidRPr="00FD7B0B" w:rsidRDefault="001252CE" w:rsidP="001252CE">
      <w:pPr>
        <w:spacing w:after="0" w:line="120" w:lineRule="auto"/>
        <w:jc w:val="both"/>
        <w:rPr>
          <w:rFonts w:ascii="Times New Roman" w:hAnsi="Times New Roman"/>
          <w:sz w:val="28"/>
          <w:szCs w:val="28"/>
        </w:rPr>
      </w:pP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458"/>
        <w:gridCol w:w="2457"/>
        <w:gridCol w:w="1383"/>
        <w:gridCol w:w="2039"/>
        <w:gridCol w:w="1270"/>
      </w:tblGrid>
      <w:tr w:rsidR="00FD7B0B" w:rsidRPr="00FD7B0B" w14:paraId="4276BB7B" w14:textId="77777777" w:rsidTr="001E2D90">
        <w:trPr>
          <w:trHeight w:val="394"/>
        </w:trPr>
        <w:tc>
          <w:tcPr>
            <w:tcW w:w="1279" w:type="pct"/>
            <w:vAlign w:val="center"/>
          </w:tcPr>
          <w:p w14:paraId="4C0E8149" w14:textId="77777777" w:rsidR="001252CE" w:rsidRPr="00FD7B0B" w:rsidRDefault="001252CE" w:rsidP="001252CE">
            <w:pPr>
              <w:jc w:val="center"/>
              <w:rPr>
                <w:rFonts w:ascii="Times New Roman" w:hAnsi="Times New Roman"/>
              </w:rPr>
            </w:pPr>
            <w:r w:rsidRPr="00FD7B0B">
              <w:rPr>
                <w:rFonts w:ascii="Times New Roman" w:hAnsi="Times New Roman"/>
              </w:rPr>
              <w:t xml:space="preserve">объем дебиторской задолженности по авансовым платежам на конец отчетного года </w:t>
            </w:r>
            <w:r w:rsidRPr="00FD7B0B">
              <w:rPr>
                <w:rFonts w:ascii="Times New Roman" w:hAnsi="Times New Roman"/>
              </w:rPr>
              <w:lastRenderedPageBreak/>
              <w:t>(данные ф. 0503169), млн.руб.</w:t>
            </w:r>
          </w:p>
        </w:tc>
        <w:tc>
          <w:tcPr>
            <w:tcW w:w="1279" w:type="pct"/>
            <w:vAlign w:val="center"/>
          </w:tcPr>
          <w:p w14:paraId="63829EF7"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lastRenderedPageBreak/>
              <w:t xml:space="preserve">объем дебиторской задолженности по авансовым платежам на начало отчетного года </w:t>
            </w:r>
            <w:r w:rsidRPr="00FD7B0B">
              <w:rPr>
                <w:rFonts w:ascii="Times New Roman" w:hAnsi="Times New Roman"/>
              </w:rPr>
              <w:lastRenderedPageBreak/>
              <w:t>(данные ф. 0503169), млн.руб.</w:t>
            </w:r>
          </w:p>
        </w:tc>
        <w:tc>
          <w:tcPr>
            <w:tcW w:w="720" w:type="pct"/>
            <w:vAlign w:val="center"/>
          </w:tcPr>
          <w:p w14:paraId="25195495" w14:textId="77777777" w:rsidR="001252CE" w:rsidRPr="00FD7B0B" w:rsidRDefault="001252CE" w:rsidP="001252CE">
            <w:pPr>
              <w:jc w:val="center"/>
              <w:rPr>
                <w:rFonts w:ascii="Times New Roman" w:hAnsi="Times New Roman"/>
              </w:rPr>
            </w:pPr>
            <w:r w:rsidRPr="00FD7B0B">
              <w:rPr>
                <w:rFonts w:ascii="Times New Roman" w:hAnsi="Times New Roman"/>
              </w:rPr>
              <w:lastRenderedPageBreak/>
              <w:t xml:space="preserve">кассовые расходы областного бюджета за </w:t>
            </w:r>
            <w:r w:rsidRPr="00FD7B0B">
              <w:rPr>
                <w:rFonts w:ascii="Times New Roman" w:hAnsi="Times New Roman"/>
              </w:rPr>
              <w:lastRenderedPageBreak/>
              <w:t>2024 год, млн.руб.</w:t>
            </w:r>
          </w:p>
        </w:tc>
        <w:tc>
          <w:tcPr>
            <w:tcW w:w="1061" w:type="pct"/>
            <w:vAlign w:val="center"/>
          </w:tcPr>
          <w:p w14:paraId="57CE8C5A" w14:textId="77777777" w:rsidR="001252CE" w:rsidRPr="00FD7B0B" w:rsidRDefault="001252CE" w:rsidP="001252CE">
            <w:pPr>
              <w:jc w:val="center"/>
              <w:rPr>
                <w:rFonts w:ascii="Times New Roman" w:hAnsi="Times New Roman"/>
              </w:rPr>
            </w:pPr>
            <w:r w:rsidRPr="00FD7B0B">
              <w:rPr>
                <w:rFonts w:ascii="Times New Roman" w:hAnsi="Times New Roman"/>
              </w:rPr>
              <w:lastRenderedPageBreak/>
              <w:t>прирост дебиторской задолженности к объему кассовых расходов за 2024 год, %</w:t>
            </w:r>
          </w:p>
        </w:tc>
        <w:tc>
          <w:tcPr>
            <w:tcW w:w="661" w:type="pct"/>
            <w:vAlign w:val="center"/>
          </w:tcPr>
          <w:p w14:paraId="29EB49B0" w14:textId="77777777" w:rsidR="001252CE" w:rsidRPr="00FD7B0B" w:rsidRDefault="001252CE" w:rsidP="001252CE">
            <w:pPr>
              <w:jc w:val="center"/>
              <w:rPr>
                <w:rFonts w:ascii="Times New Roman" w:hAnsi="Times New Roman"/>
              </w:rPr>
            </w:pPr>
            <w:r w:rsidRPr="00FD7B0B">
              <w:rPr>
                <w:rFonts w:ascii="Times New Roman" w:hAnsi="Times New Roman"/>
              </w:rPr>
              <w:t>оценка</w:t>
            </w:r>
          </w:p>
        </w:tc>
      </w:tr>
      <w:tr w:rsidR="001252CE" w:rsidRPr="00FD7B0B" w14:paraId="2E3F52E2" w14:textId="77777777" w:rsidTr="001252CE">
        <w:tc>
          <w:tcPr>
            <w:tcW w:w="1279" w:type="pct"/>
            <w:vAlign w:val="center"/>
          </w:tcPr>
          <w:p w14:paraId="60032FA7" w14:textId="77777777" w:rsidR="001252CE" w:rsidRPr="00FD7B0B" w:rsidRDefault="001252CE" w:rsidP="001252CE">
            <w:pPr>
              <w:jc w:val="center"/>
              <w:rPr>
                <w:rFonts w:ascii="Times New Roman" w:hAnsi="Times New Roman"/>
              </w:rPr>
            </w:pPr>
            <w:r w:rsidRPr="00FD7B0B">
              <w:rPr>
                <w:rFonts w:ascii="Times New Roman" w:hAnsi="Times New Roman"/>
              </w:rPr>
              <w:t>498,6</w:t>
            </w:r>
          </w:p>
        </w:tc>
        <w:tc>
          <w:tcPr>
            <w:tcW w:w="1279" w:type="pct"/>
            <w:vAlign w:val="center"/>
          </w:tcPr>
          <w:p w14:paraId="75480EEE" w14:textId="77777777" w:rsidR="001252CE" w:rsidRPr="00FD7B0B" w:rsidRDefault="001252CE" w:rsidP="001252CE">
            <w:pPr>
              <w:jc w:val="center"/>
              <w:rPr>
                <w:rFonts w:ascii="Times New Roman" w:hAnsi="Times New Roman"/>
              </w:rPr>
            </w:pPr>
            <w:r w:rsidRPr="00FD7B0B">
              <w:rPr>
                <w:rFonts w:ascii="Times New Roman" w:hAnsi="Times New Roman"/>
              </w:rPr>
              <w:t>5,7</w:t>
            </w:r>
          </w:p>
        </w:tc>
        <w:tc>
          <w:tcPr>
            <w:tcW w:w="720" w:type="pct"/>
            <w:vAlign w:val="center"/>
          </w:tcPr>
          <w:p w14:paraId="6871A490" w14:textId="77777777" w:rsidR="001252CE" w:rsidRPr="00FD7B0B" w:rsidRDefault="001252CE" w:rsidP="001252CE">
            <w:pPr>
              <w:jc w:val="center"/>
              <w:rPr>
                <w:rFonts w:ascii="Times New Roman" w:hAnsi="Times New Roman"/>
              </w:rPr>
            </w:pPr>
            <w:r w:rsidRPr="00FD7B0B">
              <w:rPr>
                <w:rFonts w:ascii="Times New Roman" w:hAnsi="Times New Roman"/>
              </w:rPr>
              <w:t>1015,1</w:t>
            </w:r>
          </w:p>
        </w:tc>
        <w:tc>
          <w:tcPr>
            <w:tcW w:w="1061" w:type="pct"/>
            <w:vAlign w:val="center"/>
          </w:tcPr>
          <w:p w14:paraId="6AC31BED" w14:textId="77777777" w:rsidR="001252CE" w:rsidRPr="00FD7B0B" w:rsidRDefault="001252CE" w:rsidP="001252CE">
            <w:pPr>
              <w:jc w:val="center"/>
              <w:rPr>
                <w:rFonts w:ascii="Times New Roman" w:hAnsi="Times New Roman"/>
              </w:rPr>
            </w:pPr>
            <w:r w:rsidRPr="00FD7B0B">
              <w:rPr>
                <w:rFonts w:ascii="Times New Roman" w:hAnsi="Times New Roman"/>
              </w:rPr>
              <w:t>48,6</w:t>
            </w:r>
          </w:p>
        </w:tc>
        <w:tc>
          <w:tcPr>
            <w:tcW w:w="661" w:type="pct"/>
            <w:vAlign w:val="center"/>
          </w:tcPr>
          <w:p w14:paraId="5A13375A" w14:textId="77777777" w:rsidR="001252CE" w:rsidRPr="00FD7B0B" w:rsidRDefault="001252CE" w:rsidP="001252CE">
            <w:pPr>
              <w:jc w:val="center"/>
              <w:rPr>
                <w:rFonts w:ascii="Times New Roman" w:hAnsi="Times New Roman"/>
              </w:rPr>
            </w:pPr>
            <w:r w:rsidRPr="00FD7B0B">
              <w:rPr>
                <w:rFonts w:ascii="Times New Roman" w:hAnsi="Times New Roman"/>
              </w:rPr>
              <w:t>низкий уровень</w:t>
            </w:r>
          </w:p>
        </w:tc>
      </w:tr>
    </w:tbl>
    <w:p w14:paraId="4E5B841D" w14:textId="77777777" w:rsidR="001252CE" w:rsidRPr="00FD7B0B" w:rsidRDefault="001252CE" w:rsidP="001252CE">
      <w:pPr>
        <w:spacing w:after="0" w:line="120" w:lineRule="auto"/>
        <w:jc w:val="both"/>
        <w:rPr>
          <w:rFonts w:ascii="Times New Roman" w:hAnsi="Times New Roman"/>
          <w:sz w:val="28"/>
          <w:szCs w:val="28"/>
        </w:rPr>
      </w:pPr>
    </w:p>
    <w:p w14:paraId="27E82879" w14:textId="77777777" w:rsidR="001252CE" w:rsidRPr="00FD7B0B" w:rsidRDefault="001252CE" w:rsidP="001252CE">
      <w:pPr>
        <w:spacing w:after="0" w:line="240" w:lineRule="auto"/>
        <w:ind w:firstLine="709"/>
        <w:jc w:val="both"/>
        <w:rPr>
          <w:rFonts w:ascii="Times New Roman" w:hAnsi="Times New Roman"/>
          <w:sz w:val="28"/>
          <w:szCs w:val="28"/>
        </w:rPr>
      </w:pPr>
      <w:r w:rsidRPr="00FD7B0B">
        <w:rPr>
          <w:rFonts w:ascii="Times New Roman" w:hAnsi="Times New Roman"/>
          <w:sz w:val="28"/>
          <w:szCs w:val="28"/>
        </w:rPr>
        <w:t>7) оценка ввода объектов в эксплуатацию за 2024 год</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251"/>
        <w:gridCol w:w="3532"/>
        <w:gridCol w:w="1554"/>
        <w:gridCol w:w="1270"/>
      </w:tblGrid>
      <w:tr w:rsidR="00FD7B0B" w:rsidRPr="00FD7B0B" w14:paraId="2BE54D56" w14:textId="77777777" w:rsidTr="001252CE">
        <w:trPr>
          <w:trHeight w:val="866"/>
        </w:trPr>
        <w:tc>
          <w:tcPr>
            <w:tcW w:w="1692" w:type="pct"/>
            <w:vAlign w:val="center"/>
          </w:tcPr>
          <w:p w14:paraId="10657EEE"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количество введенных в 2024 году объектов в эксплуатацию, в том числе объектов капитального строительства государственной собственности субъектов РФ (муниципальной собственности), ед.</w:t>
            </w:r>
          </w:p>
        </w:tc>
        <w:tc>
          <w:tcPr>
            <w:tcW w:w="1838" w:type="pct"/>
            <w:vAlign w:val="center"/>
          </w:tcPr>
          <w:p w14:paraId="20C32331" w14:textId="77777777" w:rsidR="001252CE" w:rsidRPr="00FD7B0B" w:rsidRDefault="001252CE" w:rsidP="001252CE">
            <w:pPr>
              <w:autoSpaceDE w:val="0"/>
              <w:autoSpaceDN w:val="0"/>
              <w:adjustRightInd w:val="0"/>
              <w:ind w:firstLine="34"/>
              <w:jc w:val="center"/>
              <w:rPr>
                <w:rFonts w:ascii="Times New Roman" w:hAnsi="Times New Roman"/>
                <w:sz w:val="16"/>
                <w:szCs w:val="16"/>
              </w:rPr>
            </w:pPr>
            <w:r w:rsidRPr="00FD7B0B">
              <w:rPr>
                <w:rFonts w:ascii="Times New Roman" w:hAnsi="Times New Roman"/>
                <w:sz w:val="16"/>
                <w:szCs w:val="16"/>
              </w:rPr>
              <w:t>количество объектов, подлежащих введению в 2024 году в эксплуатацию, в том числе объектов капитального строительства государственной собственности субъектов РФ (муниципальной собственности), ед.</w:t>
            </w:r>
          </w:p>
        </w:tc>
        <w:tc>
          <w:tcPr>
            <w:tcW w:w="809" w:type="pct"/>
            <w:vAlign w:val="center"/>
          </w:tcPr>
          <w:p w14:paraId="7929C126"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степень ввода объектов в эксплуатацию за 2024 год, %</w:t>
            </w:r>
          </w:p>
        </w:tc>
        <w:tc>
          <w:tcPr>
            <w:tcW w:w="661" w:type="pct"/>
            <w:vAlign w:val="center"/>
          </w:tcPr>
          <w:p w14:paraId="51E3D167"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оценка</w:t>
            </w:r>
          </w:p>
        </w:tc>
      </w:tr>
      <w:tr w:rsidR="001252CE" w:rsidRPr="00FD7B0B" w14:paraId="124C274B" w14:textId="77777777" w:rsidTr="001252CE">
        <w:tc>
          <w:tcPr>
            <w:tcW w:w="1692" w:type="pct"/>
            <w:vAlign w:val="center"/>
          </w:tcPr>
          <w:p w14:paraId="16D4ABD2"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3</w:t>
            </w:r>
          </w:p>
        </w:tc>
        <w:tc>
          <w:tcPr>
            <w:tcW w:w="1838" w:type="pct"/>
            <w:vAlign w:val="center"/>
          </w:tcPr>
          <w:p w14:paraId="77D04704"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4</w:t>
            </w:r>
          </w:p>
        </w:tc>
        <w:tc>
          <w:tcPr>
            <w:tcW w:w="809" w:type="pct"/>
            <w:vAlign w:val="center"/>
          </w:tcPr>
          <w:p w14:paraId="0C415958"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75,0</w:t>
            </w:r>
          </w:p>
        </w:tc>
        <w:tc>
          <w:tcPr>
            <w:tcW w:w="661" w:type="pct"/>
            <w:vAlign w:val="center"/>
          </w:tcPr>
          <w:p w14:paraId="420D463B"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средний уровень</w:t>
            </w:r>
          </w:p>
        </w:tc>
      </w:tr>
    </w:tbl>
    <w:p w14:paraId="0E8C2444" w14:textId="77777777" w:rsidR="001252CE" w:rsidRPr="00FD7B0B" w:rsidRDefault="001252CE" w:rsidP="001252CE">
      <w:pPr>
        <w:spacing w:after="0" w:line="120" w:lineRule="auto"/>
        <w:jc w:val="both"/>
        <w:rPr>
          <w:rFonts w:ascii="Times New Roman" w:hAnsi="Times New Roman"/>
          <w:sz w:val="28"/>
          <w:szCs w:val="28"/>
        </w:rPr>
      </w:pPr>
    </w:p>
    <w:p w14:paraId="31580B23" w14:textId="2158999D" w:rsidR="001252CE" w:rsidRPr="00FD7B0B" w:rsidRDefault="001252CE" w:rsidP="00AC2B32">
      <w:pPr>
        <w:spacing w:after="0" w:line="240" w:lineRule="auto"/>
        <w:jc w:val="center"/>
        <w:rPr>
          <w:rFonts w:ascii="Times New Roman" w:hAnsi="Times New Roman"/>
          <w:sz w:val="28"/>
          <w:szCs w:val="28"/>
        </w:rPr>
      </w:pPr>
      <w:r w:rsidRPr="00FD7B0B">
        <w:rPr>
          <w:rFonts w:ascii="Times New Roman" w:hAnsi="Times New Roman"/>
          <w:sz w:val="28"/>
          <w:szCs w:val="28"/>
        </w:rPr>
        <w:t>Оценка формирования и использования системы показателей, исходя из приоритетов социально-экономического развития Российской Федерации по результа</w:t>
      </w:r>
      <w:r w:rsidR="00AC2B32" w:rsidRPr="00FD7B0B">
        <w:rPr>
          <w:rFonts w:ascii="Times New Roman" w:hAnsi="Times New Roman"/>
          <w:sz w:val="28"/>
          <w:szCs w:val="28"/>
        </w:rPr>
        <w:t>там проверки исполнения ГП № 25</w:t>
      </w:r>
    </w:p>
    <w:p w14:paraId="19B00DAA" w14:textId="77777777" w:rsidR="001252CE" w:rsidRPr="00FD7B0B" w:rsidRDefault="001252CE" w:rsidP="001252CE">
      <w:pPr>
        <w:spacing w:after="0" w:line="240" w:lineRule="auto"/>
        <w:jc w:val="both"/>
        <w:rPr>
          <w:rFonts w:ascii="Times New Roman" w:hAnsi="Times New Roman"/>
          <w:sz w:val="28"/>
          <w:szCs w:val="28"/>
        </w:rPr>
      </w:pPr>
    </w:p>
    <w:p w14:paraId="12090555" w14:textId="77777777" w:rsidR="001252CE" w:rsidRPr="00FD7B0B" w:rsidRDefault="001252CE" w:rsidP="001252CE">
      <w:pPr>
        <w:spacing w:after="0" w:line="240" w:lineRule="auto"/>
        <w:ind w:firstLine="709"/>
        <w:jc w:val="both"/>
        <w:rPr>
          <w:rFonts w:ascii="Times New Roman" w:hAnsi="Times New Roman"/>
          <w:sz w:val="28"/>
          <w:szCs w:val="28"/>
          <w:lang w:val="en-US"/>
        </w:rPr>
      </w:pPr>
      <w:r w:rsidRPr="00FD7B0B">
        <w:rPr>
          <w:rFonts w:ascii="Times New Roman" w:hAnsi="Times New Roman"/>
          <w:sz w:val="28"/>
          <w:szCs w:val="28"/>
        </w:rPr>
        <w:t xml:space="preserve">1) оценка состава показателей ГП № </w:t>
      </w:r>
      <w:r w:rsidRPr="00FD7B0B">
        <w:rPr>
          <w:rFonts w:ascii="Times New Roman" w:hAnsi="Times New Roman"/>
          <w:sz w:val="28"/>
          <w:szCs w:val="28"/>
          <w:lang w:val="en-US"/>
        </w:rPr>
        <w:t>25</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220"/>
        <w:gridCol w:w="1697"/>
        <w:gridCol w:w="1691"/>
        <w:gridCol w:w="999"/>
      </w:tblGrid>
      <w:tr w:rsidR="00FD7B0B" w:rsidRPr="00FD7B0B" w14:paraId="2F3BA0BA" w14:textId="77777777" w:rsidTr="001E2D90">
        <w:trPr>
          <w:trHeight w:val="203"/>
        </w:trPr>
        <w:tc>
          <w:tcPr>
            <w:tcW w:w="2717" w:type="pct"/>
            <w:vAlign w:val="center"/>
          </w:tcPr>
          <w:p w14:paraId="7F1E47CC" w14:textId="77777777" w:rsidR="001252CE" w:rsidRPr="00FD7B0B" w:rsidRDefault="001252CE" w:rsidP="001252CE">
            <w:pPr>
              <w:jc w:val="center"/>
              <w:rPr>
                <w:rFonts w:ascii="Times New Roman" w:hAnsi="Times New Roman"/>
              </w:rPr>
            </w:pPr>
            <w:r w:rsidRPr="00FD7B0B">
              <w:rPr>
                <w:rFonts w:ascii="Times New Roman" w:hAnsi="Times New Roman"/>
              </w:rPr>
              <w:t>Наименование</w:t>
            </w:r>
          </w:p>
        </w:tc>
        <w:tc>
          <w:tcPr>
            <w:tcW w:w="883" w:type="pct"/>
            <w:vAlign w:val="center"/>
          </w:tcPr>
          <w:p w14:paraId="47B5469C"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количество показателей, ед.</w:t>
            </w:r>
          </w:p>
        </w:tc>
        <w:tc>
          <w:tcPr>
            <w:tcW w:w="880" w:type="pct"/>
            <w:vAlign w:val="center"/>
          </w:tcPr>
          <w:p w14:paraId="10629EEC" w14:textId="77777777" w:rsidR="001252CE" w:rsidRPr="00FD7B0B" w:rsidRDefault="001252CE" w:rsidP="001252CE">
            <w:pPr>
              <w:jc w:val="center"/>
              <w:rPr>
                <w:rFonts w:ascii="Times New Roman" w:hAnsi="Times New Roman"/>
              </w:rPr>
            </w:pPr>
            <w:r w:rsidRPr="00FD7B0B">
              <w:rPr>
                <w:rFonts w:ascii="Times New Roman" w:hAnsi="Times New Roman"/>
              </w:rPr>
              <w:t>доля показателей, %</w:t>
            </w:r>
          </w:p>
        </w:tc>
        <w:tc>
          <w:tcPr>
            <w:tcW w:w="520" w:type="pct"/>
            <w:vAlign w:val="center"/>
          </w:tcPr>
          <w:p w14:paraId="32778BD1" w14:textId="77777777" w:rsidR="001252CE" w:rsidRPr="00FD7B0B" w:rsidRDefault="001252CE" w:rsidP="001252CE">
            <w:pPr>
              <w:jc w:val="center"/>
              <w:rPr>
                <w:rFonts w:ascii="Times New Roman" w:hAnsi="Times New Roman"/>
              </w:rPr>
            </w:pPr>
            <w:r w:rsidRPr="00FD7B0B">
              <w:rPr>
                <w:rFonts w:ascii="Times New Roman" w:hAnsi="Times New Roman"/>
              </w:rPr>
              <w:t>оценка</w:t>
            </w:r>
          </w:p>
        </w:tc>
      </w:tr>
      <w:tr w:rsidR="00FD7B0B" w:rsidRPr="00FD7B0B" w14:paraId="58B7B6BC" w14:textId="77777777" w:rsidTr="001E2D90">
        <w:trPr>
          <w:trHeight w:val="296"/>
        </w:trPr>
        <w:tc>
          <w:tcPr>
            <w:tcW w:w="2717" w:type="pct"/>
            <w:vAlign w:val="center"/>
          </w:tcPr>
          <w:p w14:paraId="1D91C435" w14:textId="77777777" w:rsidR="001252CE" w:rsidRPr="00FD7B0B" w:rsidRDefault="001252CE" w:rsidP="001252CE">
            <w:pPr>
              <w:rPr>
                <w:rFonts w:ascii="Times New Roman" w:hAnsi="Times New Roman"/>
              </w:rPr>
            </w:pPr>
            <w:r w:rsidRPr="00FD7B0B">
              <w:rPr>
                <w:rFonts w:ascii="Times New Roman" w:hAnsi="Times New Roman"/>
              </w:rPr>
              <w:t>показатели, характеризующие непосредственные результаты</w:t>
            </w:r>
          </w:p>
        </w:tc>
        <w:tc>
          <w:tcPr>
            <w:tcW w:w="883" w:type="pct"/>
            <w:vAlign w:val="center"/>
          </w:tcPr>
          <w:p w14:paraId="7C20E76A" w14:textId="77777777" w:rsidR="001252CE" w:rsidRPr="00FD7B0B" w:rsidRDefault="001252CE" w:rsidP="001252CE">
            <w:pPr>
              <w:jc w:val="center"/>
              <w:rPr>
                <w:rFonts w:ascii="Times New Roman" w:hAnsi="Times New Roman"/>
              </w:rPr>
            </w:pPr>
            <w:r w:rsidRPr="00FD7B0B">
              <w:rPr>
                <w:rFonts w:ascii="Times New Roman" w:hAnsi="Times New Roman"/>
              </w:rPr>
              <w:t>0</w:t>
            </w:r>
          </w:p>
        </w:tc>
        <w:tc>
          <w:tcPr>
            <w:tcW w:w="880" w:type="pct"/>
            <w:vAlign w:val="center"/>
          </w:tcPr>
          <w:p w14:paraId="155AB643" w14:textId="77777777" w:rsidR="001252CE" w:rsidRPr="00FD7B0B" w:rsidRDefault="001252CE" w:rsidP="001252CE">
            <w:pPr>
              <w:jc w:val="center"/>
              <w:rPr>
                <w:rFonts w:ascii="Times New Roman" w:hAnsi="Times New Roman"/>
              </w:rPr>
            </w:pPr>
            <w:r w:rsidRPr="00FD7B0B">
              <w:rPr>
                <w:rFonts w:ascii="Times New Roman" w:hAnsi="Times New Roman"/>
              </w:rPr>
              <w:t>0</w:t>
            </w:r>
          </w:p>
        </w:tc>
        <w:tc>
          <w:tcPr>
            <w:tcW w:w="520" w:type="pct"/>
            <w:vMerge w:val="restart"/>
            <w:vAlign w:val="center"/>
          </w:tcPr>
          <w:p w14:paraId="540ED96B" w14:textId="77777777" w:rsidR="001252CE" w:rsidRPr="00FD7B0B" w:rsidRDefault="001252CE" w:rsidP="001252CE">
            <w:pPr>
              <w:jc w:val="center"/>
              <w:rPr>
                <w:rFonts w:ascii="Times New Roman" w:hAnsi="Times New Roman"/>
              </w:rPr>
            </w:pPr>
            <w:r w:rsidRPr="00FD7B0B">
              <w:rPr>
                <w:rFonts w:ascii="Times New Roman" w:hAnsi="Times New Roman"/>
              </w:rPr>
              <w:t>высокий уровень</w:t>
            </w:r>
          </w:p>
        </w:tc>
      </w:tr>
      <w:tr w:rsidR="00FD7B0B" w:rsidRPr="00FD7B0B" w14:paraId="50DD4AB6" w14:textId="77777777" w:rsidTr="001E2D90">
        <w:tc>
          <w:tcPr>
            <w:tcW w:w="2717" w:type="pct"/>
            <w:vAlign w:val="center"/>
          </w:tcPr>
          <w:p w14:paraId="1AEA3479" w14:textId="77777777" w:rsidR="001252CE" w:rsidRPr="00FD7B0B" w:rsidRDefault="001252CE" w:rsidP="001252CE">
            <w:pPr>
              <w:rPr>
                <w:rFonts w:ascii="Times New Roman" w:hAnsi="Times New Roman"/>
              </w:rPr>
            </w:pPr>
            <w:r w:rsidRPr="00FD7B0B">
              <w:rPr>
                <w:rFonts w:ascii="Times New Roman" w:hAnsi="Times New Roman"/>
              </w:rPr>
              <w:t>показатели, характеризующие конечные результаты и итоговые эффекты</w:t>
            </w:r>
          </w:p>
        </w:tc>
        <w:tc>
          <w:tcPr>
            <w:tcW w:w="883" w:type="pct"/>
            <w:vAlign w:val="center"/>
          </w:tcPr>
          <w:p w14:paraId="25EBC832" w14:textId="77777777" w:rsidR="001252CE" w:rsidRPr="00FD7B0B" w:rsidRDefault="001252CE" w:rsidP="001252CE">
            <w:pPr>
              <w:jc w:val="center"/>
              <w:rPr>
                <w:rFonts w:ascii="Times New Roman" w:hAnsi="Times New Roman"/>
              </w:rPr>
            </w:pPr>
            <w:r w:rsidRPr="00FD7B0B">
              <w:rPr>
                <w:rFonts w:ascii="Times New Roman" w:hAnsi="Times New Roman"/>
              </w:rPr>
              <w:t>3</w:t>
            </w:r>
          </w:p>
        </w:tc>
        <w:tc>
          <w:tcPr>
            <w:tcW w:w="880" w:type="pct"/>
            <w:vAlign w:val="center"/>
          </w:tcPr>
          <w:p w14:paraId="616BEF84" w14:textId="77777777" w:rsidR="001252CE" w:rsidRPr="00FD7B0B" w:rsidRDefault="001252CE" w:rsidP="001252CE">
            <w:pPr>
              <w:jc w:val="center"/>
              <w:rPr>
                <w:rFonts w:ascii="Times New Roman" w:hAnsi="Times New Roman"/>
              </w:rPr>
            </w:pPr>
            <w:r w:rsidRPr="00FD7B0B">
              <w:rPr>
                <w:rFonts w:ascii="Times New Roman" w:hAnsi="Times New Roman"/>
              </w:rPr>
              <w:t>100</w:t>
            </w:r>
          </w:p>
        </w:tc>
        <w:tc>
          <w:tcPr>
            <w:tcW w:w="520" w:type="pct"/>
            <w:vMerge/>
            <w:vAlign w:val="center"/>
          </w:tcPr>
          <w:p w14:paraId="04D0947E" w14:textId="77777777" w:rsidR="001252CE" w:rsidRPr="00FD7B0B" w:rsidRDefault="001252CE" w:rsidP="001252CE">
            <w:pPr>
              <w:jc w:val="center"/>
              <w:rPr>
                <w:rFonts w:ascii="Times New Roman" w:hAnsi="Times New Roman"/>
              </w:rPr>
            </w:pPr>
          </w:p>
        </w:tc>
      </w:tr>
      <w:tr w:rsidR="001252CE" w:rsidRPr="00FD7B0B" w14:paraId="53D3E167" w14:textId="77777777" w:rsidTr="001E2D90">
        <w:tc>
          <w:tcPr>
            <w:tcW w:w="2717" w:type="pct"/>
            <w:vAlign w:val="center"/>
          </w:tcPr>
          <w:p w14:paraId="54881703" w14:textId="77777777" w:rsidR="001252CE" w:rsidRPr="00FD7B0B" w:rsidRDefault="001252CE" w:rsidP="001252CE">
            <w:pPr>
              <w:rPr>
                <w:rFonts w:ascii="Times New Roman" w:hAnsi="Times New Roman"/>
              </w:rPr>
            </w:pPr>
            <w:r w:rsidRPr="00FD7B0B">
              <w:rPr>
                <w:rFonts w:ascii="Times New Roman" w:hAnsi="Times New Roman"/>
              </w:rPr>
              <w:t>показатели, характеризующие иные результаты</w:t>
            </w:r>
          </w:p>
        </w:tc>
        <w:tc>
          <w:tcPr>
            <w:tcW w:w="883" w:type="pct"/>
            <w:vAlign w:val="center"/>
          </w:tcPr>
          <w:p w14:paraId="03E7A157" w14:textId="77777777" w:rsidR="001252CE" w:rsidRPr="00FD7B0B" w:rsidRDefault="001252CE" w:rsidP="001252CE">
            <w:pPr>
              <w:jc w:val="center"/>
              <w:rPr>
                <w:rFonts w:ascii="Times New Roman" w:hAnsi="Times New Roman"/>
              </w:rPr>
            </w:pPr>
            <w:r w:rsidRPr="00FD7B0B">
              <w:rPr>
                <w:rFonts w:ascii="Times New Roman" w:hAnsi="Times New Roman"/>
              </w:rPr>
              <w:t>0</w:t>
            </w:r>
          </w:p>
        </w:tc>
        <w:tc>
          <w:tcPr>
            <w:tcW w:w="880" w:type="pct"/>
            <w:vAlign w:val="center"/>
          </w:tcPr>
          <w:p w14:paraId="68253283" w14:textId="77777777" w:rsidR="001252CE" w:rsidRPr="00FD7B0B" w:rsidRDefault="001252CE" w:rsidP="001252CE">
            <w:pPr>
              <w:jc w:val="center"/>
              <w:rPr>
                <w:rFonts w:ascii="Times New Roman" w:hAnsi="Times New Roman"/>
              </w:rPr>
            </w:pPr>
            <w:r w:rsidRPr="00FD7B0B">
              <w:rPr>
                <w:rFonts w:ascii="Times New Roman" w:hAnsi="Times New Roman"/>
              </w:rPr>
              <w:t>0</w:t>
            </w:r>
          </w:p>
        </w:tc>
        <w:tc>
          <w:tcPr>
            <w:tcW w:w="520" w:type="pct"/>
            <w:vMerge/>
            <w:vAlign w:val="center"/>
          </w:tcPr>
          <w:p w14:paraId="760FB65C" w14:textId="77777777" w:rsidR="001252CE" w:rsidRPr="00FD7B0B" w:rsidRDefault="001252CE" w:rsidP="001252CE">
            <w:pPr>
              <w:jc w:val="center"/>
              <w:rPr>
                <w:rFonts w:ascii="Times New Roman" w:hAnsi="Times New Roman"/>
              </w:rPr>
            </w:pPr>
          </w:p>
        </w:tc>
      </w:tr>
    </w:tbl>
    <w:p w14:paraId="027B2189" w14:textId="77777777" w:rsidR="001252CE" w:rsidRPr="00FD7B0B" w:rsidRDefault="001252CE" w:rsidP="001252CE">
      <w:pPr>
        <w:spacing w:after="0" w:line="240" w:lineRule="exact"/>
        <w:jc w:val="both"/>
        <w:rPr>
          <w:rFonts w:ascii="Times New Roman" w:hAnsi="Times New Roman"/>
          <w:sz w:val="28"/>
          <w:szCs w:val="28"/>
        </w:rPr>
      </w:pPr>
    </w:p>
    <w:p w14:paraId="48C23493" w14:textId="77777777" w:rsidR="001252CE" w:rsidRPr="00FD7B0B" w:rsidRDefault="001252CE" w:rsidP="001252CE">
      <w:pPr>
        <w:spacing w:after="0" w:line="240" w:lineRule="auto"/>
        <w:ind w:firstLine="709"/>
        <w:jc w:val="both"/>
        <w:rPr>
          <w:rFonts w:ascii="Times New Roman" w:hAnsi="Times New Roman"/>
          <w:sz w:val="28"/>
          <w:szCs w:val="28"/>
        </w:rPr>
      </w:pPr>
      <w:r w:rsidRPr="00FD7B0B">
        <w:rPr>
          <w:rFonts w:ascii="Times New Roman" w:hAnsi="Times New Roman"/>
          <w:sz w:val="28"/>
          <w:szCs w:val="28"/>
        </w:rPr>
        <w:t>2) оценка стабильности состава показателей ГП № 25 на протяжении года</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072"/>
        <w:gridCol w:w="3307"/>
        <w:gridCol w:w="1958"/>
        <w:gridCol w:w="1270"/>
      </w:tblGrid>
      <w:tr w:rsidR="00FD7B0B" w:rsidRPr="00FD7B0B" w14:paraId="2D416AE8" w14:textId="77777777" w:rsidTr="001252CE">
        <w:trPr>
          <w:trHeight w:val="846"/>
        </w:trPr>
        <w:tc>
          <w:tcPr>
            <w:tcW w:w="1599" w:type="pct"/>
          </w:tcPr>
          <w:p w14:paraId="5D67C0E5" w14:textId="77777777" w:rsidR="001252CE" w:rsidRPr="00FD7B0B" w:rsidRDefault="001252CE" w:rsidP="001252CE">
            <w:pPr>
              <w:jc w:val="center"/>
              <w:rPr>
                <w:rFonts w:ascii="Times New Roman" w:hAnsi="Times New Roman"/>
              </w:rPr>
            </w:pPr>
            <w:r w:rsidRPr="00FD7B0B">
              <w:rPr>
                <w:rFonts w:ascii="Times New Roman" w:hAnsi="Times New Roman"/>
              </w:rPr>
              <w:t>количество показателей (на 31.12.2024), достижение которых было запланировано в отчетном году и по которым на протяжении отчетного года не менялась методика их расчета, ед.</w:t>
            </w:r>
          </w:p>
        </w:tc>
        <w:tc>
          <w:tcPr>
            <w:tcW w:w="1721" w:type="pct"/>
          </w:tcPr>
          <w:p w14:paraId="70600BB2"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 xml:space="preserve">общее количество показателей, достижение которых было запланировано в отчетном году хотя бы в одной из редакций ГП № 25, утвержденных начиная с начала отчетного года, ед. </w:t>
            </w:r>
          </w:p>
        </w:tc>
        <w:tc>
          <w:tcPr>
            <w:tcW w:w="1019" w:type="pct"/>
            <w:vAlign w:val="center"/>
          </w:tcPr>
          <w:p w14:paraId="2FADAB31" w14:textId="77777777" w:rsidR="001252CE" w:rsidRPr="00FD7B0B" w:rsidRDefault="001252CE" w:rsidP="001252CE">
            <w:pPr>
              <w:jc w:val="center"/>
              <w:rPr>
                <w:rFonts w:ascii="Times New Roman" w:hAnsi="Times New Roman"/>
              </w:rPr>
            </w:pPr>
            <w:r w:rsidRPr="00FD7B0B">
              <w:rPr>
                <w:rFonts w:ascii="Times New Roman" w:hAnsi="Times New Roman"/>
              </w:rPr>
              <w:t>уровень стабильности состава показателей на протяжении 2024 года, %</w:t>
            </w:r>
          </w:p>
        </w:tc>
        <w:tc>
          <w:tcPr>
            <w:tcW w:w="661" w:type="pct"/>
            <w:vAlign w:val="center"/>
          </w:tcPr>
          <w:p w14:paraId="348D56A3" w14:textId="77777777" w:rsidR="001252CE" w:rsidRPr="00FD7B0B" w:rsidRDefault="001252CE" w:rsidP="001252CE">
            <w:pPr>
              <w:jc w:val="center"/>
              <w:rPr>
                <w:rFonts w:ascii="Times New Roman" w:hAnsi="Times New Roman"/>
              </w:rPr>
            </w:pPr>
            <w:r w:rsidRPr="00FD7B0B">
              <w:rPr>
                <w:rFonts w:ascii="Times New Roman" w:hAnsi="Times New Roman"/>
              </w:rPr>
              <w:t>оценка</w:t>
            </w:r>
          </w:p>
        </w:tc>
      </w:tr>
      <w:tr w:rsidR="001252CE" w:rsidRPr="00FD7B0B" w14:paraId="2AD8147D" w14:textId="77777777" w:rsidTr="001252CE">
        <w:tc>
          <w:tcPr>
            <w:tcW w:w="1599" w:type="pct"/>
            <w:shd w:val="clear" w:color="auto" w:fill="auto"/>
            <w:vAlign w:val="center"/>
          </w:tcPr>
          <w:p w14:paraId="41AF08E5" w14:textId="77777777" w:rsidR="001252CE" w:rsidRPr="00FD7B0B" w:rsidRDefault="001252CE" w:rsidP="001252CE">
            <w:pPr>
              <w:jc w:val="center"/>
              <w:rPr>
                <w:rFonts w:ascii="Times New Roman" w:hAnsi="Times New Roman"/>
              </w:rPr>
            </w:pPr>
            <w:r w:rsidRPr="00FD7B0B">
              <w:rPr>
                <w:rFonts w:ascii="Times New Roman" w:hAnsi="Times New Roman"/>
              </w:rPr>
              <w:t>2</w:t>
            </w:r>
          </w:p>
        </w:tc>
        <w:tc>
          <w:tcPr>
            <w:tcW w:w="1721" w:type="pct"/>
            <w:vAlign w:val="center"/>
          </w:tcPr>
          <w:p w14:paraId="72F4FF06" w14:textId="77777777" w:rsidR="001252CE" w:rsidRPr="00FD7B0B" w:rsidRDefault="001252CE" w:rsidP="001252CE">
            <w:pPr>
              <w:jc w:val="center"/>
              <w:rPr>
                <w:rFonts w:ascii="Times New Roman" w:hAnsi="Times New Roman"/>
              </w:rPr>
            </w:pPr>
            <w:r w:rsidRPr="00FD7B0B">
              <w:rPr>
                <w:rFonts w:ascii="Times New Roman" w:hAnsi="Times New Roman"/>
              </w:rPr>
              <w:t>3</w:t>
            </w:r>
          </w:p>
        </w:tc>
        <w:tc>
          <w:tcPr>
            <w:tcW w:w="1019" w:type="pct"/>
            <w:vAlign w:val="center"/>
          </w:tcPr>
          <w:p w14:paraId="3BE86E1C" w14:textId="77777777" w:rsidR="001252CE" w:rsidRPr="00FD7B0B" w:rsidRDefault="001252CE" w:rsidP="001252CE">
            <w:pPr>
              <w:jc w:val="center"/>
              <w:rPr>
                <w:rFonts w:ascii="Times New Roman" w:hAnsi="Times New Roman"/>
              </w:rPr>
            </w:pPr>
            <w:r w:rsidRPr="00FD7B0B">
              <w:rPr>
                <w:rFonts w:ascii="Times New Roman" w:hAnsi="Times New Roman"/>
              </w:rPr>
              <w:t>66,7</w:t>
            </w:r>
          </w:p>
        </w:tc>
        <w:tc>
          <w:tcPr>
            <w:tcW w:w="661" w:type="pct"/>
            <w:vAlign w:val="center"/>
          </w:tcPr>
          <w:p w14:paraId="5ED4F56C" w14:textId="77777777" w:rsidR="001252CE" w:rsidRPr="00FD7B0B" w:rsidRDefault="001252CE" w:rsidP="001252CE">
            <w:pPr>
              <w:jc w:val="center"/>
              <w:rPr>
                <w:rFonts w:ascii="Times New Roman" w:hAnsi="Times New Roman"/>
              </w:rPr>
            </w:pPr>
            <w:r w:rsidRPr="00FD7B0B">
              <w:rPr>
                <w:rFonts w:ascii="Times New Roman" w:hAnsi="Times New Roman"/>
              </w:rPr>
              <w:t>низкий уровень</w:t>
            </w:r>
          </w:p>
        </w:tc>
      </w:tr>
    </w:tbl>
    <w:p w14:paraId="3E96DA99" w14:textId="77777777" w:rsidR="001252CE" w:rsidRPr="00FD7B0B" w:rsidRDefault="001252CE" w:rsidP="001252CE">
      <w:pPr>
        <w:spacing w:after="0" w:line="240" w:lineRule="exact"/>
        <w:ind w:firstLine="709"/>
        <w:jc w:val="both"/>
        <w:rPr>
          <w:rFonts w:ascii="Times New Roman" w:hAnsi="Times New Roman"/>
          <w:sz w:val="20"/>
          <w:szCs w:val="20"/>
        </w:rPr>
      </w:pPr>
    </w:p>
    <w:p w14:paraId="3C4CFB98" w14:textId="06B8EE45" w:rsidR="001252CE" w:rsidRPr="00FD7B0B" w:rsidRDefault="000A4C6C" w:rsidP="000A4C6C">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3) </w:t>
      </w:r>
      <w:r w:rsidR="001252CE" w:rsidRPr="00FD7B0B">
        <w:rPr>
          <w:rFonts w:ascii="Times New Roman" w:hAnsi="Times New Roman"/>
          <w:sz w:val="28"/>
          <w:szCs w:val="28"/>
        </w:rPr>
        <w:t>оценка динамики плановых (фактических) значений показателей ГП №</w:t>
      </w:r>
      <w:r w:rsidRPr="00FD7B0B">
        <w:rPr>
          <w:rFonts w:ascii="Times New Roman" w:hAnsi="Times New Roman"/>
          <w:sz w:val="28"/>
          <w:szCs w:val="28"/>
        </w:rPr>
        <w:t> </w:t>
      </w:r>
      <w:r w:rsidR="001252CE" w:rsidRPr="00FD7B0B">
        <w:rPr>
          <w:rFonts w:ascii="Times New Roman" w:hAnsi="Times New Roman"/>
          <w:sz w:val="28"/>
          <w:szCs w:val="28"/>
        </w:rPr>
        <w:t>25</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064"/>
        <w:gridCol w:w="1893"/>
        <w:gridCol w:w="1098"/>
        <w:gridCol w:w="1552"/>
      </w:tblGrid>
      <w:tr w:rsidR="00FD7B0B" w:rsidRPr="00FD7B0B" w14:paraId="3B54960F" w14:textId="77777777" w:rsidTr="001252CE">
        <w:trPr>
          <w:trHeight w:val="198"/>
        </w:trPr>
        <w:tc>
          <w:tcPr>
            <w:tcW w:w="2953" w:type="pct"/>
            <w:shd w:val="clear" w:color="auto" w:fill="auto"/>
            <w:vAlign w:val="center"/>
            <w:hideMark/>
          </w:tcPr>
          <w:p w14:paraId="705CD227"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Параметры оценки</w:t>
            </w:r>
          </w:p>
        </w:tc>
        <w:tc>
          <w:tcPr>
            <w:tcW w:w="584" w:type="pct"/>
            <w:shd w:val="clear" w:color="auto" w:fill="auto"/>
            <w:noWrap/>
            <w:vAlign w:val="center"/>
            <w:hideMark/>
          </w:tcPr>
          <w:p w14:paraId="33F71D80"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Кол-во показателей</w:t>
            </w:r>
          </w:p>
        </w:tc>
        <w:tc>
          <w:tcPr>
            <w:tcW w:w="462" w:type="pct"/>
            <w:shd w:val="clear" w:color="auto" w:fill="auto"/>
            <w:noWrap/>
            <w:vAlign w:val="center"/>
            <w:hideMark/>
          </w:tcPr>
          <w:p w14:paraId="2A3390BE"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Уд. вес, %</w:t>
            </w:r>
          </w:p>
        </w:tc>
        <w:tc>
          <w:tcPr>
            <w:tcW w:w="1002" w:type="pct"/>
            <w:shd w:val="clear" w:color="auto" w:fill="auto"/>
            <w:noWrap/>
            <w:vAlign w:val="center"/>
            <w:hideMark/>
          </w:tcPr>
          <w:p w14:paraId="17448951"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оценка</w:t>
            </w:r>
          </w:p>
        </w:tc>
      </w:tr>
      <w:tr w:rsidR="00FD7B0B" w:rsidRPr="00FD7B0B" w14:paraId="7C078B3B" w14:textId="77777777" w:rsidTr="001252CE">
        <w:trPr>
          <w:trHeight w:val="198"/>
        </w:trPr>
        <w:tc>
          <w:tcPr>
            <w:tcW w:w="2953" w:type="pct"/>
            <w:shd w:val="clear" w:color="auto" w:fill="auto"/>
            <w:noWrap/>
            <w:vAlign w:val="center"/>
            <w:hideMark/>
          </w:tcPr>
          <w:p w14:paraId="370D88AE"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количество показателей с положительной динамикой</w:t>
            </w:r>
          </w:p>
        </w:tc>
        <w:tc>
          <w:tcPr>
            <w:tcW w:w="584" w:type="pct"/>
            <w:shd w:val="clear" w:color="auto" w:fill="auto"/>
            <w:noWrap/>
            <w:vAlign w:val="center"/>
            <w:hideMark/>
          </w:tcPr>
          <w:p w14:paraId="1D413CC7"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w:t>
            </w:r>
          </w:p>
        </w:tc>
        <w:tc>
          <w:tcPr>
            <w:tcW w:w="462" w:type="pct"/>
            <w:shd w:val="clear" w:color="auto" w:fill="auto"/>
            <w:noWrap/>
            <w:vAlign w:val="center"/>
            <w:hideMark/>
          </w:tcPr>
          <w:p w14:paraId="6AC54F4B"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w:t>
            </w:r>
          </w:p>
        </w:tc>
        <w:tc>
          <w:tcPr>
            <w:tcW w:w="1002" w:type="pct"/>
            <w:vMerge w:val="restart"/>
            <w:shd w:val="clear" w:color="auto" w:fill="auto"/>
            <w:noWrap/>
            <w:vAlign w:val="center"/>
            <w:hideMark/>
          </w:tcPr>
          <w:p w14:paraId="2E7FE882"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низкий уровень</w:t>
            </w:r>
          </w:p>
        </w:tc>
      </w:tr>
      <w:tr w:rsidR="00FD7B0B" w:rsidRPr="00FD7B0B" w14:paraId="0B3CA603" w14:textId="77777777" w:rsidTr="001252CE">
        <w:trPr>
          <w:trHeight w:val="198"/>
        </w:trPr>
        <w:tc>
          <w:tcPr>
            <w:tcW w:w="2953" w:type="pct"/>
            <w:shd w:val="clear" w:color="auto" w:fill="auto"/>
            <w:noWrap/>
            <w:vAlign w:val="center"/>
            <w:hideMark/>
          </w:tcPr>
          <w:p w14:paraId="487545A1"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количество показателей без динамики </w:t>
            </w:r>
          </w:p>
        </w:tc>
        <w:tc>
          <w:tcPr>
            <w:tcW w:w="584" w:type="pct"/>
            <w:shd w:val="clear" w:color="auto" w:fill="auto"/>
            <w:noWrap/>
            <w:vAlign w:val="center"/>
            <w:hideMark/>
          </w:tcPr>
          <w:p w14:paraId="55FCFA3E"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462" w:type="pct"/>
            <w:shd w:val="clear" w:color="auto" w:fill="auto"/>
            <w:noWrap/>
            <w:vAlign w:val="center"/>
            <w:hideMark/>
          </w:tcPr>
          <w:p w14:paraId="651904AC"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66,7</w:t>
            </w:r>
          </w:p>
        </w:tc>
        <w:tc>
          <w:tcPr>
            <w:tcW w:w="1002" w:type="pct"/>
            <w:vMerge/>
            <w:shd w:val="clear" w:color="auto" w:fill="auto"/>
            <w:noWrap/>
            <w:vAlign w:val="center"/>
            <w:hideMark/>
          </w:tcPr>
          <w:p w14:paraId="0BD526C2"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p>
        </w:tc>
      </w:tr>
      <w:tr w:rsidR="00FD7B0B" w:rsidRPr="00FD7B0B" w14:paraId="6D351A58" w14:textId="77777777" w:rsidTr="001252CE">
        <w:trPr>
          <w:trHeight w:val="218"/>
        </w:trPr>
        <w:tc>
          <w:tcPr>
            <w:tcW w:w="2953" w:type="pct"/>
            <w:shd w:val="clear" w:color="auto" w:fill="auto"/>
            <w:noWrap/>
            <w:vAlign w:val="center"/>
            <w:hideMark/>
          </w:tcPr>
          <w:p w14:paraId="30B98A25"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количество показателей c отрицательной динамикой </w:t>
            </w:r>
          </w:p>
        </w:tc>
        <w:tc>
          <w:tcPr>
            <w:tcW w:w="584" w:type="pct"/>
            <w:shd w:val="clear" w:color="auto" w:fill="auto"/>
            <w:noWrap/>
            <w:vAlign w:val="center"/>
            <w:hideMark/>
          </w:tcPr>
          <w:p w14:paraId="58F58B1A"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462" w:type="pct"/>
            <w:shd w:val="clear" w:color="auto" w:fill="auto"/>
            <w:noWrap/>
            <w:vAlign w:val="center"/>
            <w:hideMark/>
          </w:tcPr>
          <w:p w14:paraId="5EE6403B"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33,3</w:t>
            </w:r>
          </w:p>
        </w:tc>
        <w:tc>
          <w:tcPr>
            <w:tcW w:w="1002" w:type="pct"/>
            <w:vMerge/>
            <w:shd w:val="clear" w:color="auto" w:fill="auto"/>
            <w:vAlign w:val="center"/>
            <w:hideMark/>
          </w:tcPr>
          <w:p w14:paraId="423B04D4"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p>
        </w:tc>
      </w:tr>
      <w:tr w:rsidR="001252CE" w:rsidRPr="00FD7B0B" w14:paraId="2BBC00CD" w14:textId="77777777" w:rsidTr="001252CE">
        <w:trPr>
          <w:trHeight w:val="186"/>
        </w:trPr>
        <w:tc>
          <w:tcPr>
            <w:tcW w:w="2953" w:type="pct"/>
            <w:shd w:val="clear" w:color="auto" w:fill="auto"/>
            <w:vAlign w:val="center"/>
            <w:hideMark/>
          </w:tcPr>
          <w:p w14:paraId="2940A04D"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общее количество показателей (индикаторов)</w:t>
            </w:r>
          </w:p>
        </w:tc>
        <w:tc>
          <w:tcPr>
            <w:tcW w:w="584" w:type="pct"/>
            <w:shd w:val="clear" w:color="auto" w:fill="auto"/>
            <w:noWrap/>
            <w:vAlign w:val="center"/>
            <w:hideMark/>
          </w:tcPr>
          <w:p w14:paraId="2F52670A" w14:textId="77777777" w:rsidR="001252CE" w:rsidRPr="00FD7B0B" w:rsidRDefault="001252CE" w:rsidP="001252CE">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462" w:type="pct"/>
            <w:shd w:val="clear" w:color="auto" w:fill="auto"/>
            <w:noWrap/>
            <w:vAlign w:val="center"/>
            <w:hideMark/>
          </w:tcPr>
          <w:p w14:paraId="0747C5E6" w14:textId="77777777" w:rsidR="001252CE" w:rsidRPr="00FD7B0B" w:rsidRDefault="001252CE" w:rsidP="001252C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100,0</w:t>
            </w:r>
          </w:p>
        </w:tc>
        <w:tc>
          <w:tcPr>
            <w:tcW w:w="1002" w:type="pct"/>
            <w:vMerge/>
            <w:shd w:val="clear" w:color="auto" w:fill="auto"/>
            <w:noWrap/>
            <w:vAlign w:val="center"/>
            <w:hideMark/>
          </w:tcPr>
          <w:p w14:paraId="677FC52B" w14:textId="77777777" w:rsidR="001252CE" w:rsidRPr="00FD7B0B" w:rsidRDefault="001252CE" w:rsidP="001252CE">
            <w:pPr>
              <w:spacing w:after="0" w:line="240" w:lineRule="auto"/>
              <w:rPr>
                <w:rFonts w:ascii="Times New Roman" w:eastAsia="Times New Roman" w:hAnsi="Times New Roman" w:cs="Times New Roman"/>
                <w:sz w:val="20"/>
                <w:szCs w:val="20"/>
                <w:lang w:eastAsia="ru-RU"/>
              </w:rPr>
            </w:pPr>
          </w:p>
        </w:tc>
      </w:tr>
    </w:tbl>
    <w:p w14:paraId="66778DD0" w14:textId="77777777" w:rsidR="001252CE" w:rsidRPr="00FD7B0B" w:rsidRDefault="001252CE" w:rsidP="001252CE">
      <w:pPr>
        <w:spacing w:after="0" w:line="240" w:lineRule="exact"/>
        <w:ind w:firstLine="709"/>
        <w:jc w:val="both"/>
        <w:rPr>
          <w:rFonts w:ascii="Times New Roman" w:hAnsi="Times New Roman"/>
          <w:sz w:val="24"/>
          <w:szCs w:val="24"/>
        </w:rPr>
      </w:pPr>
    </w:p>
    <w:p w14:paraId="1388607F" w14:textId="77777777" w:rsidR="001252CE" w:rsidRPr="00FD7B0B" w:rsidRDefault="001252CE" w:rsidP="001252CE">
      <w:pPr>
        <w:spacing w:after="0" w:line="240" w:lineRule="auto"/>
        <w:ind w:firstLine="709"/>
        <w:jc w:val="both"/>
        <w:rPr>
          <w:rFonts w:ascii="Times New Roman" w:hAnsi="Times New Roman"/>
          <w:sz w:val="28"/>
          <w:szCs w:val="28"/>
        </w:rPr>
      </w:pPr>
      <w:r w:rsidRPr="00FD7B0B">
        <w:rPr>
          <w:rFonts w:ascii="Times New Roman" w:hAnsi="Times New Roman"/>
          <w:sz w:val="28"/>
          <w:szCs w:val="28"/>
        </w:rPr>
        <w:t>4) оценка количества показателей ГП № 25, по которым представлены фактические значения за 2024 год</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475"/>
        <w:gridCol w:w="1601"/>
        <w:gridCol w:w="2763"/>
        <w:gridCol w:w="1768"/>
      </w:tblGrid>
      <w:tr w:rsidR="00FD7B0B" w:rsidRPr="00FD7B0B" w14:paraId="3F1448CB" w14:textId="77777777" w:rsidTr="009F3363">
        <w:trPr>
          <w:trHeight w:val="627"/>
        </w:trPr>
        <w:tc>
          <w:tcPr>
            <w:tcW w:w="1809" w:type="pct"/>
          </w:tcPr>
          <w:p w14:paraId="71EAAC3E" w14:textId="77777777" w:rsidR="001252CE" w:rsidRPr="00FD7B0B" w:rsidRDefault="001252CE" w:rsidP="001252CE">
            <w:pPr>
              <w:jc w:val="center"/>
              <w:rPr>
                <w:rFonts w:ascii="Times New Roman" w:hAnsi="Times New Roman"/>
              </w:rPr>
            </w:pPr>
            <w:r w:rsidRPr="00FD7B0B">
              <w:rPr>
                <w:rFonts w:ascii="Times New Roman" w:hAnsi="Times New Roman"/>
              </w:rPr>
              <w:t>количество показателей, по которым представлены фактические значения за 2024 год, ед.</w:t>
            </w:r>
          </w:p>
        </w:tc>
        <w:tc>
          <w:tcPr>
            <w:tcW w:w="833" w:type="pct"/>
          </w:tcPr>
          <w:p w14:paraId="52DECAFF"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ед.</w:t>
            </w:r>
          </w:p>
        </w:tc>
        <w:tc>
          <w:tcPr>
            <w:tcW w:w="1438" w:type="pct"/>
          </w:tcPr>
          <w:p w14:paraId="481E77DF" w14:textId="77777777" w:rsidR="001252CE" w:rsidRPr="00FD7B0B" w:rsidRDefault="001252CE" w:rsidP="001252CE">
            <w:pPr>
              <w:jc w:val="center"/>
              <w:rPr>
                <w:rFonts w:ascii="Times New Roman" w:hAnsi="Times New Roman"/>
              </w:rPr>
            </w:pPr>
            <w:r w:rsidRPr="00FD7B0B">
              <w:rPr>
                <w:rFonts w:ascii="Times New Roman" w:hAnsi="Times New Roman"/>
              </w:rPr>
              <w:t>доля показателей, по которым представлены фактические значения за 2024 год, %</w:t>
            </w:r>
          </w:p>
        </w:tc>
        <w:tc>
          <w:tcPr>
            <w:tcW w:w="920" w:type="pct"/>
          </w:tcPr>
          <w:p w14:paraId="53E97AAE" w14:textId="77777777" w:rsidR="001252CE" w:rsidRPr="00FD7B0B" w:rsidRDefault="001252CE" w:rsidP="001252CE">
            <w:pPr>
              <w:jc w:val="center"/>
              <w:rPr>
                <w:rFonts w:ascii="Times New Roman" w:hAnsi="Times New Roman"/>
              </w:rPr>
            </w:pPr>
            <w:r w:rsidRPr="00FD7B0B">
              <w:rPr>
                <w:rFonts w:ascii="Times New Roman" w:hAnsi="Times New Roman"/>
              </w:rPr>
              <w:t>оценка</w:t>
            </w:r>
          </w:p>
        </w:tc>
      </w:tr>
      <w:tr w:rsidR="001252CE" w:rsidRPr="00FD7B0B" w14:paraId="0D2BD9E1" w14:textId="77777777" w:rsidTr="009F3363">
        <w:tc>
          <w:tcPr>
            <w:tcW w:w="1809" w:type="pct"/>
            <w:vAlign w:val="center"/>
          </w:tcPr>
          <w:p w14:paraId="08395696" w14:textId="77777777" w:rsidR="001252CE" w:rsidRPr="00FD7B0B" w:rsidRDefault="001252CE" w:rsidP="001252CE">
            <w:pPr>
              <w:jc w:val="center"/>
              <w:rPr>
                <w:rFonts w:ascii="Times New Roman" w:hAnsi="Times New Roman"/>
              </w:rPr>
            </w:pPr>
            <w:r w:rsidRPr="00FD7B0B">
              <w:rPr>
                <w:rFonts w:ascii="Times New Roman" w:hAnsi="Times New Roman"/>
              </w:rPr>
              <w:t>3</w:t>
            </w:r>
          </w:p>
        </w:tc>
        <w:tc>
          <w:tcPr>
            <w:tcW w:w="833" w:type="pct"/>
            <w:vAlign w:val="center"/>
          </w:tcPr>
          <w:p w14:paraId="1ABB6CDF" w14:textId="77777777" w:rsidR="001252CE" w:rsidRPr="00FD7B0B" w:rsidRDefault="001252CE" w:rsidP="001252CE">
            <w:pPr>
              <w:jc w:val="center"/>
              <w:rPr>
                <w:rFonts w:ascii="Times New Roman" w:hAnsi="Times New Roman"/>
              </w:rPr>
            </w:pPr>
            <w:r w:rsidRPr="00FD7B0B">
              <w:rPr>
                <w:rFonts w:ascii="Times New Roman" w:hAnsi="Times New Roman"/>
              </w:rPr>
              <w:t>3</w:t>
            </w:r>
          </w:p>
        </w:tc>
        <w:tc>
          <w:tcPr>
            <w:tcW w:w="1438" w:type="pct"/>
            <w:vAlign w:val="center"/>
          </w:tcPr>
          <w:p w14:paraId="234C5937" w14:textId="77777777" w:rsidR="001252CE" w:rsidRPr="00FD7B0B" w:rsidRDefault="001252CE" w:rsidP="001252CE">
            <w:pPr>
              <w:jc w:val="center"/>
              <w:rPr>
                <w:rFonts w:ascii="Times New Roman" w:hAnsi="Times New Roman"/>
              </w:rPr>
            </w:pPr>
            <w:r w:rsidRPr="00FD7B0B">
              <w:rPr>
                <w:rFonts w:ascii="Times New Roman" w:hAnsi="Times New Roman"/>
              </w:rPr>
              <w:t>100</w:t>
            </w:r>
          </w:p>
        </w:tc>
        <w:tc>
          <w:tcPr>
            <w:tcW w:w="920" w:type="pct"/>
            <w:vAlign w:val="center"/>
          </w:tcPr>
          <w:p w14:paraId="43076148" w14:textId="77777777" w:rsidR="001252CE" w:rsidRPr="00FD7B0B" w:rsidRDefault="001252CE" w:rsidP="001252CE">
            <w:pPr>
              <w:jc w:val="center"/>
              <w:rPr>
                <w:rFonts w:ascii="Times New Roman" w:hAnsi="Times New Roman"/>
              </w:rPr>
            </w:pPr>
            <w:r w:rsidRPr="00FD7B0B">
              <w:rPr>
                <w:rFonts w:ascii="Times New Roman" w:hAnsi="Times New Roman"/>
              </w:rPr>
              <w:t>высокий уровень</w:t>
            </w:r>
          </w:p>
        </w:tc>
      </w:tr>
    </w:tbl>
    <w:p w14:paraId="66525498" w14:textId="77777777" w:rsidR="001252CE" w:rsidRPr="00FD7B0B" w:rsidRDefault="001252CE" w:rsidP="001252CE">
      <w:pPr>
        <w:spacing w:after="0" w:line="240" w:lineRule="exact"/>
        <w:ind w:firstLine="709"/>
        <w:jc w:val="both"/>
        <w:rPr>
          <w:rFonts w:ascii="Times New Roman" w:hAnsi="Times New Roman"/>
          <w:sz w:val="24"/>
          <w:szCs w:val="24"/>
        </w:rPr>
      </w:pPr>
    </w:p>
    <w:p w14:paraId="7F842C79" w14:textId="77777777" w:rsidR="001252CE" w:rsidRPr="00FD7B0B" w:rsidRDefault="001252CE" w:rsidP="001252CE">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5) Оценка количества показателей ГП № 25, по которым формируется официальная статистическая информация в соответствии с федеральным планом </w:t>
      </w:r>
      <w:r w:rsidRPr="00FD7B0B">
        <w:rPr>
          <w:rFonts w:ascii="Times New Roman" w:hAnsi="Times New Roman"/>
          <w:sz w:val="28"/>
          <w:szCs w:val="28"/>
        </w:rPr>
        <w:lastRenderedPageBreak/>
        <w:t>статистических работ и которые рассчитываются по методикам, принятым международными организациями за 2024 год</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339"/>
        <w:gridCol w:w="1397"/>
        <w:gridCol w:w="2913"/>
        <w:gridCol w:w="1958"/>
      </w:tblGrid>
      <w:tr w:rsidR="00FD7B0B" w:rsidRPr="00FD7B0B" w14:paraId="77F377D4" w14:textId="77777777" w:rsidTr="001252CE">
        <w:trPr>
          <w:trHeight w:val="627"/>
        </w:trPr>
        <w:tc>
          <w:tcPr>
            <w:tcW w:w="1738" w:type="pct"/>
          </w:tcPr>
          <w:p w14:paraId="0CAB1552" w14:textId="3C832A29" w:rsidR="001252CE" w:rsidRPr="00FD7B0B" w:rsidRDefault="009F3363" w:rsidP="001252CE">
            <w:pPr>
              <w:jc w:val="center"/>
              <w:rPr>
                <w:rFonts w:ascii="Times New Roman" w:hAnsi="Times New Roman"/>
              </w:rPr>
            </w:pPr>
            <w:r w:rsidRPr="00FD7B0B">
              <w:rPr>
                <w:rFonts w:ascii="Times New Roman" w:hAnsi="Times New Roman"/>
              </w:rPr>
              <w:t xml:space="preserve">Количество </w:t>
            </w:r>
            <w:r w:rsidR="001252CE" w:rsidRPr="00FD7B0B">
              <w:rPr>
                <w:rFonts w:ascii="Times New Roman" w:hAnsi="Times New Roman"/>
              </w:rPr>
              <w:t>показателей, по которым формируется официальная стат. информация…, ед.</w:t>
            </w:r>
          </w:p>
        </w:tc>
        <w:tc>
          <w:tcPr>
            <w:tcW w:w="727" w:type="pct"/>
          </w:tcPr>
          <w:p w14:paraId="1A5DABE8" w14:textId="77777777" w:rsidR="001252CE" w:rsidRPr="00FD7B0B" w:rsidRDefault="001252CE" w:rsidP="001252CE">
            <w:pPr>
              <w:autoSpaceDE w:val="0"/>
              <w:autoSpaceDN w:val="0"/>
              <w:adjustRightInd w:val="0"/>
              <w:ind w:firstLine="34"/>
              <w:jc w:val="center"/>
              <w:rPr>
                <w:rFonts w:ascii="Times New Roman" w:hAnsi="Times New Roman"/>
              </w:rPr>
            </w:pPr>
            <w:r w:rsidRPr="00FD7B0B">
              <w:rPr>
                <w:rFonts w:ascii="Times New Roman" w:hAnsi="Times New Roman"/>
              </w:rPr>
              <w:t>общее количество показателей, ед.</w:t>
            </w:r>
          </w:p>
        </w:tc>
        <w:tc>
          <w:tcPr>
            <w:tcW w:w="1516" w:type="pct"/>
          </w:tcPr>
          <w:p w14:paraId="169890D7" w14:textId="77777777" w:rsidR="001252CE" w:rsidRPr="00FD7B0B" w:rsidRDefault="001252CE" w:rsidP="001252CE">
            <w:pPr>
              <w:jc w:val="center"/>
              <w:rPr>
                <w:rFonts w:ascii="Times New Roman" w:hAnsi="Times New Roman"/>
              </w:rPr>
            </w:pPr>
            <w:r w:rsidRPr="00FD7B0B">
              <w:rPr>
                <w:rFonts w:ascii="Times New Roman" w:hAnsi="Times New Roman"/>
              </w:rPr>
              <w:t>доля показателей, по которым формируется официальная статистическая информация…, %</w:t>
            </w:r>
          </w:p>
        </w:tc>
        <w:tc>
          <w:tcPr>
            <w:tcW w:w="1020" w:type="pct"/>
          </w:tcPr>
          <w:p w14:paraId="75F94C5D" w14:textId="77777777" w:rsidR="001252CE" w:rsidRPr="00FD7B0B" w:rsidRDefault="001252CE" w:rsidP="001252CE">
            <w:pPr>
              <w:jc w:val="center"/>
              <w:rPr>
                <w:rFonts w:ascii="Times New Roman" w:hAnsi="Times New Roman"/>
              </w:rPr>
            </w:pPr>
            <w:r w:rsidRPr="00FD7B0B">
              <w:rPr>
                <w:rFonts w:ascii="Times New Roman" w:hAnsi="Times New Roman"/>
              </w:rPr>
              <w:t>оценка</w:t>
            </w:r>
          </w:p>
        </w:tc>
      </w:tr>
      <w:tr w:rsidR="001252CE" w:rsidRPr="00FD7B0B" w14:paraId="24B20B56" w14:textId="77777777" w:rsidTr="001252CE">
        <w:tc>
          <w:tcPr>
            <w:tcW w:w="1738" w:type="pct"/>
            <w:vAlign w:val="center"/>
          </w:tcPr>
          <w:p w14:paraId="5248FD85" w14:textId="77777777" w:rsidR="001252CE" w:rsidRPr="00FD7B0B" w:rsidRDefault="001252CE" w:rsidP="001252CE">
            <w:pPr>
              <w:jc w:val="center"/>
              <w:rPr>
                <w:rFonts w:ascii="Times New Roman" w:hAnsi="Times New Roman"/>
                <w:lang w:val="en-US"/>
              </w:rPr>
            </w:pPr>
            <w:r w:rsidRPr="00FD7B0B">
              <w:rPr>
                <w:rFonts w:ascii="Times New Roman" w:hAnsi="Times New Roman"/>
                <w:lang w:val="en-US"/>
              </w:rPr>
              <w:t>3</w:t>
            </w:r>
          </w:p>
        </w:tc>
        <w:tc>
          <w:tcPr>
            <w:tcW w:w="727" w:type="pct"/>
            <w:vAlign w:val="center"/>
          </w:tcPr>
          <w:p w14:paraId="5532BABF" w14:textId="77777777" w:rsidR="001252CE" w:rsidRPr="00FD7B0B" w:rsidRDefault="001252CE" w:rsidP="001252CE">
            <w:pPr>
              <w:jc w:val="center"/>
              <w:rPr>
                <w:rFonts w:ascii="Times New Roman" w:hAnsi="Times New Roman"/>
              </w:rPr>
            </w:pPr>
            <w:r w:rsidRPr="00FD7B0B">
              <w:rPr>
                <w:rFonts w:ascii="Times New Roman" w:hAnsi="Times New Roman"/>
              </w:rPr>
              <w:t>3</w:t>
            </w:r>
          </w:p>
        </w:tc>
        <w:tc>
          <w:tcPr>
            <w:tcW w:w="1516" w:type="pct"/>
            <w:vAlign w:val="center"/>
          </w:tcPr>
          <w:p w14:paraId="16330CA7" w14:textId="77777777" w:rsidR="001252CE" w:rsidRPr="00FD7B0B" w:rsidRDefault="001252CE" w:rsidP="001252CE">
            <w:pPr>
              <w:jc w:val="center"/>
              <w:rPr>
                <w:rFonts w:ascii="Times New Roman" w:hAnsi="Times New Roman"/>
              </w:rPr>
            </w:pPr>
            <w:r w:rsidRPr="00FD7B0B">
              <w:rPr>
                <w:rFonts w:ascii="Times New Roman" w:hAnsi="Times New Roman"/>
                <w:lang w:val="en-US"/>
              </w:rPr>
              <w:t>100</w:t>
            </w:r>
            <w:r w:rsidRPr="00FD7B0B">
              <w:rPr>
                <w:rFonts w:ascii="Times New Roman" w:hAnsi="Times New Roman"/>
              </w:rPr>
              <w:t>,0</w:t>
            </w:r>
          </w:p>
        </w:tc>
        <w:tc>
          <w:tcPr>
            <w:tcW w:w="1020" w:type="pct"/>
            <w:vAlign w:val="center"/>
          </w:tcPr>
          <w:p w14:paraId="3F791F49" w14:textId="77777777" w:rsidR="001252CE" w:rsidRPr="00FD7B0B" w:rsidRDefault="001252CE" w:rsidP="001252CE">
            <w:pPr>
              <w:jc w:val="center"/>
              <w:rPr>
                <w:rFonts w:ascii="Times New Roman" w:hAnsi="Times New Roman"/>
              </w:rPr>
            </w:pPr>
            <w:r w:rsidRPr="00FD7B0B">
              <w:rPr>
                <w:rFonts w:ascii="Times New Roman" w:hAnsi="Times New Roman"/>
              </w:rPr>
              <w:t>высокий уровень</w:t>
            </w:r>
          </w:p>
        </w:tc>
      </w:tr>
    </w:tbl>
    <w:p w14:paraId="5D69B796" w14:textId="77777777" w:rsidR="001252CE" w:rsidRPr="00FD7B0B" w:rsidRDefault="001252CE" w:rsidP="001252CE">
      <w:pPr>
        <w:spacing w:after="0" w:line="120" w:lineRule="auto"/>
        <w:ind w:firstLine="709"/>
        <w:jc w:val="center"/>
        <w:rPr>
          <w:rFonts w:ascii="Times New Roman" w:hAnsi="Times New Roman"/>
          <w:sz w:val="28"/>
          <w:szCs w:val="28"/>
        </w:rPr>
      </w:pPr>
    </w:p>
    <w:p w14:paraId="3BB4CB10" w14:textId="77777777" w:rsidR="001252CE" w:rsidRPr="00FD7B0B" w:rsidRDefault="001252CE" w:rsidP="001252CE">
      <w:pPr>
        <w:spacing w:after="0" w:line="240" w:lineRule="auto"/>
        <w:ind w:firstLine="709"/>
        <w:jc w:val="center"/>
        <w:rPr>
          <w:rFonts w:ascii="Times New Roman" w:hAnsi="Times New Roman"/>
          <w:b/>
          <w:sz w:val="28"/>
          <w:szCs w:val="28"/>
        </w:rPr>
      </w:pPr>
      <w:r w:rsidRPr="00FD7B0B">
        <w:rPr>
          <w:rFonts w:ascii="Times New Roman" w:hAnsi="Times New Roman"/>
          <w:b/>
          <w:sz w:val="28"/>
          <w:szCs w:val="28"/>
        </w:rPr>
        <w:t xml:space="preserve">Итоговая оценка исполнения ГП № </w:t>
      </w:r>
      <w:r w:rsidRPr="00FD7B0B">
        <w:rPr>
          <w:rFonts w:ascii="Times New Roman" w:hAnsi="Times New Roman"/>
          <w:b/>
          <w:sz w:val="28"/>
          <w:szCs w:val="28"/>
          <w:lang w:val="en-US"/>
        </w:rPr>
        <w:t>25</w:t>
      </w:r>
    </w:p>
    <w:p w14:paraId="21DEE8ED" w14:textId="77777777" w:rsidR="001252CE" w:rsidRPr="00FD7B0B" w:rsidRDefault="001252CE" w:rsidP="001252CE">
      <w:pPr>
        <w:pStyle w:val="ConsPlusNormal"/>
        <w:spacing w:line="120" w:lineRule="auto"/>
        <w:ind w:firstLine="0"/>
        <w:rPr>
          <w:rFonts w:ascii="Times New Roman" w:hAnsi="Times New Roman" w:cs="Times New Roman"/>
        </w:rPr>
      </w:pPr>
    </w:p>
    <w:p w14:paraId="7F9A83D7" w14:textId="77777777" w:rsidR="001252CE" w:rsidRPr="00FD7B0B" w:rsidRDefault="001252CE" w:rsidP="00CB3CBA">
      <w:pPr>
        <w:pStyle w:val="aff0"/>
        <w:keepNext/>
        <w:numPr>
          <w:ilvl w:val="0"/>
          <w:numId w:val="25"/>
        </w:numPr>
        <w:spacing w:after="0" w:line="240" w:lineRule="auto"/>
        <w:jc w:val="both"/>
        <w:rPr>
          <w:rFonts w:ascii="Times New Roman" w:hAnsi="Times New Roman"/>
          <w:b w:val="0"/>
          <w:sz w:val="28"/>
          <w:szCs w:val="28"/>
        </w:rPr>
      </w:pPr>
      <w:r w:rsidRPr="00FD7B0B">
        <w:rPr>
          <w:rFonts w:ascii="Times New Roman" w:hAnsi="Times New Roman"/>
          <w:b w:val="0"/>
          <w:sz w:val="28"/>
          <w:szCs w:val="28"/>
        </w:rPr>
        <w:t>Оценка исполнения ГП № 25 по ресурсам и результатам.</w:t>
      </w:r>
    </w:p>
    <w:tbl>
      <w:tblPr>
        <w:tblStyle w:val="a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904"/>
        <w:gridCol w:w="877"/>
        <w:gridCol w:w="995"/>
        <w:gridCol w:w="1095"/>
        <w:gridCol w:w="918"/>
        <w:gridCol w:w="1016"/>
        <w:gridCol w:w="1095"/>
        <w:gridCol w:w="1095"/>
        <w:gridCol w:w="890"/>
        <w:gridCol w:w="722"/>
      </w:tblGrid>
      <w:tr w:rsidR="00FD7B0B" w:rsidRPr="00FD7B0B" w14:paraId="31ACD223" w14:textId="77777777" w:rsidTr="001252CE">
        <w:tc>
          <w:tcPr>
            <w:tcW w:w="5000" w:type="pct"/>
            <w:gridSpan w:val="10"/>
          </w:tcPr>
          <w:p w14:paraId="65C0D4B3"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Оценка исполнения ГП № 25 по ресурсам и результатам</w:t>
            </w:r>
          </w:p>
        </w:tc>
      </w:tr>
      <w:tr w:rsidR="00FD7B0B" w:rsidRPr="00FD7B0B" w14:paraId="04A05694" w14:textId="77777777" w:rsidTr="001252CE">
        <w:tc>
          <w:tcPr>
            <w:tcW w:w="470" w:type="pct"/>
            <w:vMerge w:val="restart"/>
          </w:tcPr>
          <w:p w14:paraId="4E064CE6"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Оценка кассов-ого исполне-ния ГП № 25</w:t>
            </w:r>
          </w:p>
        </w:tc>
        <w:tc>
          <w:tcPr>
            <w:tcW w:w="456" w:type="pct"/>
            <w:vMerge w:val="restart"/>
          </w:tcPr>
          <w:p w14:paraId="62C0F8A2"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Оценка объема измене-ний, внесен-ных в СБР ...</w:t>
            </w:r>
          </w:p>
        </w:tc>
        <w:tc>
          <w:tcPr>
            <w:tcW w:w="1088" w:type="pct"/>
            <w:gridSpan w:val="2"/>
          </w:tcPr>
          <w:p w14:paraId="200F39F7"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Оценка реализации мероприятий (достижения результатов) структурных элементов госпрограммы</w:t>
            </w:r>
          </w:p>
        </w:tc>
        <w:tc>
          <w:tcPr>
            <w:tcW w:w="1007" w:type="pct"/>
            <w:gridSpan w:val="2"/>
          </w:tcPr>
          <w:p w14:paraId="032F8DC7"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Оценка достижения ... показателей госпрограммы</w:t>
            </w:r>
          </w:p>
        </w:tc>
        <w:tc>
          <w:tcPr>
            <w:tcW w:w="1140" w:type="pct"/>
            <w:gridSpan w:val="2"/>
          </w:tcPr>
          <w:p w14:paraId="525EC4FD" w14:textId="0EF54934"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Оценка динамики дебиторской задолженности</w:t>
            </w:r>
          </w:p>
        </w:tc>
        <w:tc>
          <w:tcPr>
            <w:tcW w:w="463" w:type="pct"/>
            <w:vMerge w:val="restart"/>
          </w:tcPr>
          <w:p w14:paraId="18B7F282"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Оценка ввода объектов в эксплуа-тацию ...</w:t>
            </w:r>
          </w:p>
        </w:tc>
        <w:tc>
          <w:tcPr>
            <w:tcW w:w="377" w:type="pct"/>
            <w:vMerge w:val="restart"/>
          </w:tcPr>
          <w:p w14:paraId="63DF327A"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Итого</w:t>
            </w:r>
          </w:p>
        </w:tc>
      </w:tr>
      <w:tr w:rsidR="00FD7B0B" w:rsidRPr="00FD7B0B" w14:paraId="0AC07A49" w14:textId="77777777" w:rsidTr="001252CE">
        <w:tc>
          <w:tcPr>
            <w:tcW w:w="470" w:type="pct"/>
            <w:vMerge/>
          </w:tcPr>
          <w:p w14:paraId="16262098" w14:textId="77777777" w:rsidR="001252CE" w:rsidRPr="00FD7B0B" w:rsidRDefault="001252CE" w:rsidP="009F3363">
            <w:pPr>
              <w:pStyle w:val="ad"/>
              <w:jc w:val="center"/>
              <w:rPr>
                <w:rFonts w:ascii="Times New Roman" w:hAnsi="Times New Roman"/>
                <w:sz w:val="16"/>
                <w:szCs w:val="16"/>
              </w:rPr>
            </w:pPr>
          </w:p>
        </w:tc>
        <w:tc>
          <w:tcPr>
            <w:tcW w:w="456" w:type="pct"/>
            <w:vMerge/>
          </w:tcPr>
          <w:p w14:paraId="4FBD1CDE" w14:textId="77777777" w:rsidR="001252CE" w:rsidRPr="00FD7B0B" w:rsidRDefault="001252CE" w:rsidP="009F3363">
            <w:pPr>
              <w:pStyle w:val="ad"/>
              <w:jc w:val="center"/>
              <w:rPr>
                <w:rFonts w:ascii="Times New Roman" w:hAnsi="Times New Roman"/>
                <w:sz w:val="16"/>
                <w:szCs w:val="16"/>
              </w:rPr>
            </w:pPr>
          </w:p>
        </w:tc>
        <w:tc>
          <w:tcPr>
            <w:tcW w:w="518" w:type="pct"/>
          </w:tcPr>
          <w:p w14:paraId="25094C96"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степень достижения мероприя-тий (результа-тов) ГП № 25</w:t>
            </w:r>
          </w:p>
        </w:tc>
        <w:tc>
          <w:tcPr>
            <w:tcW w:w="570" w:type="pct"/>
          </w:tcPr>
          <w:p w14:paraId="70CBEB75"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справочно &lt;*&gt;: доля реализован-ных мероприя-тий (достигну-тых результатов).</w:t>
            </w:r>
          </w:p>
        </w:tc>
        <w:tc>
          <w:tcPr>
            <w:tcW w:w="478" w:type="pct"/>
          </w:tcPr>
          <w:p w14:paraId="5A14E6F5"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степень достиже-ния показате-лей ГП № 25</w:t>
            </w:r>
          </w:p>
        </w:tc>
        <w:tc>
          <w:tcPr>
            <w:tcW w:w="529" w:type="pct"/>
          </w:tcPr>
          <w:p w14:paraId="6EED1DCB"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справочно &lt;*&gt;: доля выполнен-ных показателей ГП№ 25</w:t>
            </w:r>
          </w:p>
        </w:tc>
        <w:tc>
          <w:tcPr>
            <w:tcW w:w="570" w:type="pct"/>
          </w:tcPr>
          <w:p w14:paraId="199CD7F4"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доля просрочен-ной дебиторс-кой задолжен-ности ...</w:t>
            </w:r>
          </w:p>
        </w:tc>
        <w:tc>
          <w:tcPr>
            <w:tcW w:w="570" w:type="pct"/>
          </w:tcPr>
          <w:p w14:paraId="31157200"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справочно &lt;*&gt;: прирост дебитор-ской задолжен-ности ...</w:t>
            </w:r>
          </w:p>
        </w:tc>
        <w:tc>
          <w:tcPr>
            <w:tcW w:w="463" w:type="pct"/>
            <w:vMerge/>
          </w:tcPr>
          <w:p w14:paraId="1EC332FC" w14:textId="77777777" w:rsidR="001252CE" w:rsidRPr="00FD7B0B" w:rsidRDefault="001252CE" w:rsidP="009F3363">
            <w:pPr>
              <w:pStyle w:val="ad"/>
              <w:jc w:val="center"/>
              <w:rPr>
                <w:rFonts w:ascii="Times New Roman" w:hAnsi="Times New Roman"/>
                <w:sz w:val="16"/>
                <w:szCs w:val="16"/>
              </w:rPr>
            </w:pPr>
          </w:p>
        </w:tc>
        <w:tc>
          <w:tcPr>
            <w:tcW w:w="377" w:type="pct"/>
            <w:vMerge/>
          </w:tcPr>
          <w:p w14:paraId="41879DE0" w14:textId="77777777" w:rsidR="001252CE" w:rsidRPr="00FD7B0B" w:rsidRDefault="001252CE" w:rsidP="009F3363">
            <w:pPr>
              <w:pStyle w:val="ad"/>
              <w:jc w:val="center"/>
              <w:rPr>
                <w:rFonts w:ascii="Times New Roman" w:hAnsi="Times New Roman"/>
                <w:sz w:val="16"/>
                <w:szCs w:val="16"/>
              </w:rPr>
            </w:pPr>
          </w:p>
        </w:tc>
      </w:tr>
      <w:tr w:rsidR="00FD7B0B" w:rsidRPr="00FD7B0B" w14:paraId="72406E09" w14:textId="77777777" w:rsidTr="001252CE">
        <w:tc>
          <w:tcPr>
            <w:tcW w:w="470" w:type="pct"/>
          </w:tcPr>
          <w:p w14:paraId="1520092E"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1</w:t>
            </w:r>
          </w:p>
        </w:tc>
        <w:tc>
          <w:tcPr>
            <w:tcW w:w="456" w:type="pct"/>
          </w:tcPr>
          <w:p w14:paraId="090CE834"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2</w:t>
            </w:r>
          </w:p>
        </w:tc>
        <w:tc>
          <w:tcPr>
            <w:tcW w:w="1088" w:type="pct"/>
            <w:gridSpan w:val="2"/>
          </w:tcPr>
          <w:p w14:paraId="4F34D919"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3</w:t>
            </w:r>
          </w:p>
        </w:tc>
        <w:tc>
          <w:tcPr>
            <w:tcW w:w="1007" w:type="pct"/>
            <w:gridSpan w:val="2"/>
          </w:tcPr>
          <w:p w14:paraId="3979757D"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4</w:t>
            </w:r>
          </w:p>
        </w:tc>
        <w:tc>
          <w:tcPr>
            <w:tcW w:w="570" w:type="pct"/>
          </w:tcPr>
          <w:p w14:paraId="039D1B59"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5</w:t>
            </w:r>
          </w:p>
        </w:tc>
        <w:tc>
          <w:tcPr>
            <w:tcW w:w="570" w:type="pct"/>
          </w:tcPr>
          <w:p w14:paraId="3D2EDE21"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6</w:t>
            </w:r>
          </w:p>
        </w:tc>
        <w:tc>
          <w:tcPr>
            <w:tcW w:w="463" w:type="pct"/>
          </w:tcPr>
          <w:p w14:paraId="4A0C65B0"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7</w:t>
            </w:r>
          </w:p>
        </w:tc>
        <w:tc>
          <w:tcPr>
            <w:tcW w:w="377" w:type="pct"/>
          </w:tcPr>
          <w:p w14:paraId="58A5F8A3"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8</w:t>
            </w:r>
          </w:p>
        </w:tc>
      </w:tr>
      <w:tr w:rsidR="00FD7B0B" w:rsidRPr="00FD7B0B" w14:paraId="37A80BB5" w14:textId="77777777" w:rsidTr="009F3363">
        <w:tc>
          <w:tcPr>
            <w:tcW w:w="470" w:type="pct"/>
            <w:shd w:val="clear" w:color="auto" w:fill="92D050"/>
            <w:vAlign w:val="center"/>
          </w:tcPr>
          <w:p w14:paraId="2CCA53E5"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высокий уровень</w:t>
            </w:r>
          </w:p>
        </w:tc>
        <w:tc>
          <w:tcPr>
            <w:tcW w:w="456" w:type="pct"/>
            <w:shd w:val="clear" w:color="auto" w:fill="92D050"/>
            <w:vAlign w:val="center"/>
          </w:tcPr>
          <w:p w14:paraId="69013F25"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высокий уровень</w:t>
            </w:r>
          </w:p>
        </w:tc>
        <w:tc>
          <w:tcPr>
            <w:tcW w:w="518" w:type="pct"/>
            <w:shd w:val="clear" w:color="auto" w:fill="92D050"/>
            <w:vAlign w:val="center"/>
          </w:tcPr>
          <w:p w14:paraId="6FE06F2A"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высокий уровень</w:t>
            </w:r>
          </w:p>
        </w:tc>
        <w:tc>
          <w:tcPr>
            <w:tcW w:w="570" w:type="pct"/>
            <w:shd w:val="clear" w:color="auto" w:fill="FF0000"/>
            <w:vAlign w:val="center"/>
          </w:tcPr>
          <w:p w14:paraId="1015A0B6"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низкий</w:t>
            </w:r>
          </w:p>
          <w:p w14:paraId="28C322BC"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уровень</w:t>
            </w:r>
          </w:p>
        </w:tc>
        <w:tc>
          <w:tcPr>
            <w:tcW w:w="478" w:type="pct"/>
            <w:shd w:val="clear" w:color="auto" w:fill="92D050"/>
            <w:vAlign w:val="center"/>
          </w:tcPr>
          <w:p w14:paraId="61185E1C"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высокий уровень</w:t>
            </w:r>
          </w:p>
        </w:tc>
        <w:tc>
          <w:tcPr>
            <w:tcW w:w="529" w:type="pct"/>
            <w:shd w:val="clear" w:color="auto" w:fill="FF0000"/>
            <w:vAlign w:val="center"/>
          </w:tcPr>
          <w:p w14:paraId="7EDF53E0"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низкий</w:t>
            </w:r>
          </w:p>
          <w:p w14:paraId="58A1B44E"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уровень</w:t>
            </w:r>
          </w:p>
        </w:tc>
        <w:tc>
          <w:tcPr>
            <w:tcW w:w="570" w:type="pct"/>
            <w:shd w:val="clear" w:color="auto" w:fill="92D050"/>
            <w:vAlign w:val="center"/>
          </w:tcPr>
          <w:p w14:paraId="4E8EFEF5"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высокий уровень</w:t>
            </w:r>
          </w:p>
        </w:tc>
        <w:tc>
          <w:tcPr>
            <w:tcW w:w="570" w:type="pct"/>
            <w:shd w:val="clear" w:color="auto" w:fill="FF0000"/>
            <w:vAlign w:val="center"/>
          </w:tcPr>
          <w:p w14:paraId="5ED7E90D" w14:textId="77777777" w:rsidR="001252CE" w:rsidRPr="00FD7B0B" w:rsidRDefault="001252CE" w:rsidP="001252CE">
            <w:pPr>
              <w:jc w:val="center"/>
              <w:rPr>
                <w:rFonts w:ascii="Times New Roman" w:hAnsi="Times New Roman"/>
                <w:sz w:val="16"/>
                <w:szCs w:val="16"/>
              </w:rPr>
            </w:pPr>
            <w:r w:rsidRPr="00FD7B0B">
              <w:rPr>
                <w:rFonts w:ascii="Times New Roman" w:hAnsi="Times New Roman"/>
                <w:sz w:val="16"/>
                <w:szCs w:val="16"/>
              </w:rPr>
              <w:t>низкий</w:t>
            </w:r>
          </w:p>
          <w:p w14:paraId="1C146EB8"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уровень</w:t>
            </w:r>
          </w:p>
        </w:tc>
        <w:tc>
          <w:tcPr>
            <w:tcW w:w="463" w:type="pct"/>
            <w:shd w:val="clear" w:color="auto" w:fill="FFFF00"/>
            <w:vAlign w:val="center"/>
          </w:tcPr>
          <w:p w14:paraId="56E837E6" w14:textId="77777777" w:rsidR="001252CE" w:rsidRPr="00FD7B0B" w:rsidRDefault="001252CE" w:rsidP="009F3363">
            <w:pPr>
              <w:pStyle w:val="ad"/>
              <w:jc w:val="center"/>
              <w:rPr>
                <w:rFonts w:ascii="Times New Roman" w:hAnsi="Times New Roman"/>
                <w:sz w:val="16"/>
                <w:szCs w:val="16"/>
              </w:rPr>
            </w:pPr>
            <w:r w:rsidRPr="00FD7B0B">
              <w:rPr>
                <w:rFonts w:ascii="Times New Roman" w:hAnsi="Times New Roman"/>
                <w:sz w:val="16"/>
                <w:szCs w:val="16"/>
              </w:rPr>
              <w:t>средний уровень</w:t>
            </w:r>
          </w:p>
        </w:tc>
        <w:tc>
          <w:tcPr>
            <w:tcW w:w="377" w:type="pct"/>
            <w:shd w:val="clear" w:color="auto" w:fill="92D050"/>
          </w:tcPr>
          <w:p w14:paraId="25B54F18"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высо-кий уров-ень</w:t>
            </w:r>
          </w:p>
        </w:tc>
      </w:tr>
      <w:tr w:rsidR="001252CE" w:rsidRPr="00FD7B0B" w14:paraId="1F083DAD" w14:textId="77777777" w:rsidTr="001252CE">
        <w:tc>
          <w:tcPr>
            <w:tcW w:w="470" w:type="pct"/>
          </w:tcPr>
          <w:p w14:paraId="44D5FD3D"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3</w:t>
            </w:r>
          </w:p>
        </w:tc>
        <w:tc>
          <w:tcPr>
            <w:tcW w:w="456" w:type="pct"/>
          </w:tcPr>
          <w:p w14:paraId="6060E8DF"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3</w:t>
            </w:r>
          </w:p>
        </w:tc>
        <w:tc>
          <w:tcPr>
            <w:tcW w:w="518" w:type="pct"/>
          </w:tcPr>
          <w:p w14:paraId="00D29971"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3</w:t>
            </w:r>
          </w:p>
        </w:tc>
        <w:tc>
          <w:tcPr>
            <w:tcW w:w="570" w:type="pct"/>
          </w:tcPr>
          <w:p w14:paraId="2A554324" w14:textId="77777777" w:rsidR="001252CE" w:rsidRPr="00FD7B0B" w:rsidRDefault="001252CE" w:rsidP="001252CE">
            <w:pPr>
              <w:pStyle w:val="ad"/>
              <w:jc w:val="center"/>
              <w:rPr>
                <w:rFonts w:ascii="Times New Roman" w:hAnsi="Times New Roman"/>
                <w:sz w:val="16"/>
                <w:szCs w:val="16"/>
              </w:rPr>
            </w:pPr>
          </w:p>
        </w:tc>
        <w:tc>
          <w:tcPr>
            <w:tcW w:w="478" w:type="pct"/>
          </w:tcPr>
          <w:p w14:paraId="23FD93AC"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3</w:t>
            </w:r>
          </w:p>
        </w:tc>
        <w:tc>
          <w:tcPr>
            <w:tcW w:w="529" w:type="pct"/>
          </w:tcPr>
          <w:p w14:paraId="5216F96C" w14:textId="77777777" w:rsidR="001252CE" w:rsidRPr="00FD7B0B" w:rsidRDefault="001252CE" w:rsidP="001252CE">
            <w:pPr>
              <w:pStyle w:val="ad"/>
              <w:jc w:val="center"/>
              <w:rPr>
                <w:rFonts w:ascii="Times New Roman" w:hAnsi="Times New Roman"/>
                <w:sz w:val="16"/>
                <w:szCs w:val="16"/>
              </w:rPr>
            </w:pPr>
          </w:p>
        </w:tc>
        <w:tc>
          <w:tcPr>
            <w:tcW w:w="570" w:type="pct"/>
          </w:tcPr>
          <w:p w14:paraId="566B94D0"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3</w:t>
            </w:r>
          </w:p>
        </w:tc>
        <w:tc>
          <w:tcPr>
            <w:tcW w:w="570" w:type="pct"/>
          </w:tcPr>
          <w:p w14:paraId="7838D95C" w14:textId="77777777" w:rsidR="001252CE" w:rsidRPr="00FD7B0B" w:rsidRDefault="001252CE" w:rsidP="001252CE">
            <w:pPr>
              <w:pStyle w:val="ad"/>
              <w:jc w:val="center"/>
              <w:rPr>
                <w:rFonts w:ascii="Times New Roman" w:hAnsi="Times New Roman"/>
                <w:sz w:val="16"/>
                <w:szCs w:val="16"/>
              </w:rPr>
            </w:pPr>
          </w:p>
        </w:tc>
        <w:tc>
          <w:tcPr>
            <w:tcW w:w="463" w:type="pct"/>
          </w:tcPr>
          <w:p w14:paraId="37F78A8B"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2</w:t>
            </w:r>
          </w:p>
        </w:tc>
        <w:tc>
          <w:tcPr>
            <w:tcW w:w="377" w:type="pct"/>
          </w:tcPr>
          <w:p w14:paraId="2E8AD488" w14:textId="77777777" w:rsidR="001252CE" w:rsidRPr="00FD7B0B" w:rsidRDefault="001252CE" w:rsidP="001252CE">
            <w:pPr>
              <w:pStyle w:val="ad"/>
              <w:jc w:val="center"/>
              <w:rPr>
                <w:rFonts w:ascii="Times New Roman" w:hAnsi="Times New Roman"/>
                <w:sz w:val="16"/>
                <w:szCs w:val="16"/>
              </w:rPr>
            </w:pPr>
            <w:r w:rsidRPr="00FD7B0B">
              <w:rPr>
                <w:rFonts w:ascii="Times New Roman" w:hAnsi="Times New Roman"/>
                <w:sz w:val="16"/>
                <w:szCs w:val="16"/>
              </w:rPr>
              <w:t>2,83</w:t>
            </w:r>
          </w:p>
        </w:tc>
      </w:tr>
    </w:tbl>
    <w:p w14:paraId="1A32C847" w14:textId="77777777" w:rsidR="001252CE" w:rsidRPr="00FD7B0B" w:rsidRDefault="001252CE" w:rsidP="001252CE">
      <w:pPr>
        <w:pStyle w:val="ad"/>
        <w:spacing w:line="240" w:lineRule="exact"/>
        <w:ind w:firstLine="709"/>
        <w:jc w:val="both"/>
        <w:rPr>
          <w:rFonts w:ascii="Times New Roman" w:hAnsi="Times New Roman"/>
          <w:sz w:val="28"/>
          <w:szCs w:val="28"/>
        </w:rPr>
      </w:pPr>
    </w:p>
    <w:p w14:paraId="293A08A3" w14:textId="77777777" w:rsidR="001252CE" w:rsidRPr="00FD7B0B" w:rsidRDefault="001252CE" w:rsidP="001252CE">
      <w:pPr>
        <w:pStyle w:val="aff0"/>
        <w:keepNext/>
        <w:spacing w:after="0" w:line="240" w:lineRule="auto"/>
        <w:jc w:val="both"/>
        <w:rPr>
          <w:rFonts w:ascii="Times New Roman" w:hAnsi="Times New Roman"/>
          <w:b w:val="0"/>
          <w:sz w:val="28"/>
          <w:szCs w:val="28"/>
        </w:rPr>
      </w:pPr>
      <w:r w:rsidRPr="00FD7B0B">
        <w:rPr>
          <w:rFonts w:ascii="Times New Roman" w:hAnsi="Times New Roman"/>
          <w:b w:val="0"/>
          <w:sz w:val="28"/>
          <w:szCs w:val="28"/>
        </w:rPr>
        <w:t>2) Оценка формирования и использования системы показателей, исходя из приоритетов социально-экономического развития Российской Федерации по результатам проверки исполнения ГП № 25</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505"/>
        <w:gridCol w:w="1645"/>
        <w:gridCol w:w="1727"/>
        <w:gridCol w:w="1681"/>
        <w:gridCol w:w="1810"/>
        <w:gridCol w:w="1239"/>
      </w:tblGrid>
      <w:tr w:rsidR="00FD7B0B" w:rsidRPr="00FD7B0B" w14:paraId="2BB09F62" w14:textId="77777777" w:rsidTr="001252CE">
        <w:trPr>
          <w:trHeight w:val="390"/>
        </w:trPr>
        <w:tc>
          <w:tcPr>
            <w:tcW w:w="5000" w:type="pct"/>
            <w:gridSpan w:val="6"/>
            <w:shd w:val="clear" w:color="auto" w:fill="auto"/>
            <w:vAlign w:val="center"/>
            <w:hideMark/>
          </w:tcPr>
          <w:p w14:paraId="326A1B93"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формирования и использования системы показателей исходя из приоритетов социально-экономического развития Российской Федерации по результатам проверки исполнения ГП № 25</w:t>
            </w:r>
          </w:p>
        </w:tc>
      </w:tr>
      <w:tr w:rsidR="00FD7B0B" w:rsidRPr="00FD7B0B" w14:paraId="6164530D" w14:textId="77777777" w:rsidTr="001252CE">
        <w:trPr>
          <w:trHeight w:val="924"/>
        </w:trPr>
        <w:tc>
          <w:tcPr>
            <w:tcW w:w="783" w:type="pct"/>
            <w:shd w:val="clear" w:color="auto" w:fill="auto"/>
            <w:vAlign w:val="center"/>
            <w:hideMark/>
          </w:tcPr>
          <w:p w14:paraId="31DF494B"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состава показателей </w:t>
            </w:r>
          </w:p>
        </w:tc>
        <w:tc>
          <w:tcPr>
            <w:tcW w:w="856" w:type="pct"/>
            <w:shd w:val="clear" w:color="auto" w:fill="auto"/>
            <w:vAlign w:val="center"/>
            <w:hideMark/>
          </w:tcPr>
          <w:p w14:paraId="5E0BA227"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оценка стабильности состава показателей на протяжении 2024 года</w:t>
            </w:r>
          </w:p>
        </w:tc>
        <w:tc>
          <w:tcPr>
            <w:tcW w:w="899" w:type="pct"/>
            <w:shd w:val="clear" w:color="auto" w:fill="auto"/>
            <w:vAlign w:val="center"/>
          </w:tcPr>
          <w:p w14:paraId="7F589F2F"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динамики плановых (фактических) значений показателей </w:t>
            </w:r>
          </w:p>
        </w:tc>
        <w:tc>
          <w:tcPr>
            <w:tcW w:w="875" w:type="pct"/>
            <w:shd w:val="clear" w:color="auto" w:fill="auto"/>
            <w:vAlign w:val="center"/>
          </w:tcPr>
          <w:p w14:paraId="05DFD94B"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количества показателей, по которым представлены фактические значения </w:t>
            </w:r>
          </w:p>
        </w:tc>
        <w:tc>
          <w:tcPr>
            <w:tcW w:w="942" w:type="pct"/>
            <w:shd w:val="clear" w:color="auto" w:fill="auto"/>
            <w:vAlign w:val="center"/>
          </w:tcPr>
          <w:p w14:paraId="779FD89A"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 xml:space="preserve">оценка количества показателей, по которым формируется официальная статистическая информация … </w:t>
            </w:r>
          </w:p>
          <w:p w14:paraId="4A457B4A"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за 2024 год</w:t>
            </w:r>
          </w:p>
        </w:tc>
        <w:tc>
          <w:tcPr>
            <w:tcW w:w="645" w:type="pct"/>
            <w:shd w:val="clear" w:color="auto" w:fill="auto"/>
            <w:vAlign w:val="center"/>
          </w:tcPr>
          <w:p w14:paraId="66979CB9"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ИТОГО</w:t>
            </w:r>
          </w:p>
        </w:tc>
      </w:tr>
      <w:tr w:rsidR="00FD7B0B" w:rsidRPr="00FD7B0B" w14:paraId="01F767DD" w14:textId="77777777" w:rsidTr="001252CE">
        <w:trPr>
          <w:trHeight w:val="140"/>
        </w:trPr>
        <w:tc>
          <w:tcPr>
            <w:tcW w:w="783" w:type="pct"/>
            <w:shd w:val="clear" w:color="auto" w:fill="auto"/>
            <w:vAlign w:val="center"/>
            <w:hideMark/>
          </w:tcPr>
          <w:p w14:paraId="60D2FE80"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856" w:type="pct"/>
            <w:shd w:val="clear" w:color="auto" w:fill="auto"/>
            <w:vAlign w:val="center"/>
            <w:hideMark/>
          </w:tcPr>
          <w:p w14:paraId="197A5A1B"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w:t>
            </w:r>
          </w:p>
        </w:tc>
        <w:tc>
          <w:tcPr>
            <w:tcW w:w="899" w:type="pct"/>
            <w:shd w:val="clear" w:color="auto" w:fill="auto"/>
            <w:vAlign w:val="center"/>
          </w:tcPr>
          <w:p w14:paraId="05DF7CFA"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875" w:type="pct"/>
            <w:shd w:val="clear" w:color="auto" w:fill="auto"/>
            <w:vAlign w:val="center"/>
          </w:tcPr>
          <w:p w14:paraId="69CA3B04"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4</w:t>
            </w:r>
          </w:p>
        </w:tc>
        <w:tc>
          <w:tcPr>
            <w:tcW w:w="942" w:type="pct"/>
            <w:shd w:val="clear" w:color="auto" w:fill="auto"/>
            <w:vAlign w:val="center"/>
          </w:tcPr>
          <w:p w14:paraId="0E46EB23"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5</w:t>
            </w:r>
          </w:p>
        </w:tc>
        <w:tc>
          <w:tcPr>
            <w:tcW w:w="645" w:type="pct"/>
            <w:shd w:val="clear" w:color="auto" w:fill="auto"/>
            <w:vAlign w:val="center"/>
          </w:tcPr>
          <w:p w14:paraId="51B759A8"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6</w:t>
            </w:r>
          </w:p>
        </w:tc>
      </w:tr>
      <w:tr w:rsidR="00FD7B0B" w:rsidRPr="00FD7B0B" w14:paraId="09B228AF" w14:textId="77777777" w:rsidTr="001252CE">
        <w:trPr>
          <w:trHeight w:val="227"/>
        </w:trPr>
        <w:tc>
          <w:tcPr>
            <w:tcW w:w="783" w:type="pct"/>
            <w:shd w:val="clear" w:color="000000" w:fill="92D050"/>
            <w:vAlign w:val="center"/>
            <w:hideMark/>
          </w:tcPr>
          <w:p w14:paraId="0B5836FF"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856" w:type="pct"/>
            <w:shd w:val="clear" w:color="auto" w:fill="FF0000"/>
            <w:vAlign w:val="center"/>
            <w:hideMark/>
          </w:tcPr>
          <w:p w14:paraId="52428079"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низкий уровень</w:t>
            </w:r>
          </w:p>
        </w:tc>
        <w:tc>
          <w:tcPr>
            <w:tcW w:w="899" w:type="pct"/>
            <w:shd w:val="clear" w:color="auto" w:fill="FF0000"/>
            <w:vAlign w:val="center"/>
          </w:tcPr>
          <w:p w14:paraId="5C477664"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низкий уровень</w:t>
            </w:r>
          </w:p>
        </w:tc>
        <w:tc>
          <w:tcPr>
            <w:tcW w:w="875" w:type="pct"/>
            <w:shd w:val="clear" w:color="000000" w:fill="92D050"/>
            <w:vAlign w:val="center"/>
          </w:tcPr>
          <w:p w14:paraId="3C95C015"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942" w:type="pct"/>
            <w:shd w:val="clear" w:color="000000" w:fill="92D050"/>
            <w:vAlign w:val="center"/>
          </w:tcPr>
          <w:p w14:paraId="57F6B2BB"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высокий уровень</w:t>
            </w:r>
          </w:p>
        </w:tc>
        <w:tc>
          <w:tcPr>
            <w:tcW w:w="645" w:type="pct"/>
            <w:shd w:val="clear" w:color="auto" w:fill="FFFF00"/>
            <w:vAlign w:val="center"/>
          </w:tcPr>
          <w:p w14:paraId="2E338641"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средний уровень</w:t>
            </w:r>
          </w:p>
        </w:tc>
      </w:tr>
      <w:tr w:rsidR="00FD7B0B" w:rsidRPr="00FD7B0B" w14:paraId="5F7B4973" w14:textId="77777777" w:rsidTr="001252CE">
        <w:trPr>
          <w:trHeight w:val="134"/>
        </w:trPr>
        <w:tc>
          <w:tcPr>
            <w:tcW w:w="783" w:type="pct"/>
            <w:shd w:val="clear" w:color="auto" w:fill="FFFFFF" w:themeFill="background1"/>
            <w:vAlign w:val="center"/>
            <w:hideMark/>
          </w:tcPr>
          <w:p w14:paraId="12CF767A"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856" w:type="pct"/>
            <w:shd w:val="clear" w:color="auto" w:fill="FFFFFF" w:themeFill="background1"/>
            <w:vAlign w:val="center"/>
            <w:hideMark/>
          </w:tcPr>
          <w:p w14:paraId="3C00E2F0"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899" w:type="pct"/>
            <w:shd w:val="clear" w:color="auto" w:fill="FFFFFF" w:themeFill="background1"/>
            <w:vAlign w:val="center"/>
          </w:tcPr>
          <w:p w14:paraId="090EE902"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1</w:t>
            </w:r>
          </w:p>
        </w:tc>
        <w:tc>
          <w:tcPr>
            <w:tcW w:w="875" w:type="pct"/>
            <w:shd w:val="clear" w:color="auto" w:fill="FFFFFF" w:themeFill="background1"/>
            <w:vAlign w:val="center"/>
          </w:tcPr>
          <w:p w14:paraId="1C0DA0B6"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942" w:type="pct"/>
            <w:shd w:val="clear" w:color="auto" w:fill="FFFFFF" w:themeFill="background1"/>
            <w:vAlign w:val="center"/>
          </w:tcPr>
          <w:p w14:paraId="51DB1552"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3</w:t>
            </w:r>
          </w:p>
        </w:tc>
        <w:tc>
          <w:tcPr>
            <w:tcW w:w="645" w:type="pct"/>
            <w:shd w:val="clear" w:color="auto" w:fill="FFFFFF" w:themeFill="background1"/>
            <w:vAlign w:val="center"/>
          </w:tcPr>
          <w:p w14:paraId="5CCDD543" w14:textId="77777777" w:rsidR="001252CE" w:rsidRPr="00FD7B0B" w:rsidRDefault="001252CE" w:rsidP="001252CE">
            <w:pPr>
              <w:spacing w:after="0" w:line="240" w:lineRule="auto"/>
              <w:jc w:val="center"/>
              <w:rPr>
                <w:rFonts w:ascii="Times New Roman" w:eastAsia="Times New Roman" w:hAnsi="Times New Roman" w:cs="Times New Roman"/>
                <w:sz w:val="16"/>
                <w:szCs w:val="16"/>
                <w:lang w:eastAsia="ru-RU"/>
              </w:rPr>
            </w:pPr>
            <w:r w:rsidRPr="00FD7B0B">
              <w:rPr>
                <w:rFonts w:ascii="Times New Roman" w:eastAsia="Times New Roman" w:hAnsi="Times New Roman" w:cs="Times New Roman"/>
                <w:sz w:val="16"/>
                <w:szCs w:val="16"/>
                <w:lang w:eastAsia="ru-RU"/>
              </w:rPr>
              <w:t>2,2</w:t>
            </w:r>
          </w:p>
        </w:tc>
      </w:tr>
    </w:tbl>
    <w:p w14:paraId="1C982BA4" w14:textId="7B3F7E47" w:rsidR="00D304BC" w:rsidRPr="00FD7B0B" w:rsidRDefault="009B516C" w:rsidP="00D304BC">
      <w:pPr>
        <w:pStyle w:val="3"/>
        <w:spacing w:line="240" w:lineRule="auto"/>
        <w:jc w:val="center"/>
        <w:rPr>
          <w:rFonts w:ascii="Times New Roman" w:hAnsi="Times New Roman"/>
          <w:b w:val="0"/>
          <w:sz w:val="28"/>
          <w:szCs w:val="28"/>
          <w:u w:val="single"/>
          <w:lang w:val="ru-RU"/>
        </w:rPr>
      </w:pPr>
      <w:bookmarkStart w:id="144" w:name="_Toc198819148"/>
      <w:r w:rsidRPr="00FD7B0B">
        <w:rPr>
          <w:rFonts w:ascii="Times New Roman" w:hAnsi="Times New Roman"/>
          <w:b w:val="0"/>
          <w:sz w:val="28"/>
          <w:szCs w:val="28"/>
          <w:u w:val="single"/>
          <w:lang w:val="ru-RU"/>
        </w:rPr>
        <w:t>4</w:t>
      </w:r>
      <w:r w:rsidR="00D304BC"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D304BC" w:rsidRPr="00FD7B0B">
        <w:rPr>
          <w:rFonts w:ascii="Times New Roman" w:hAnsi="Times New Roman"/>
          <w:b w:val="0"/>
          <w:sz w:val="28"/>
          <w:szCs w:val="28"/>
          <w:u w:val="single"/>
          <w:lang w:val="ru-RU"/>
        </w:rPr>
        <w:t>.</w:t>
      </w:r>
      <w:r w:rsidR="00451491" w:rsidRPr="00FD7B0B">
        <w:rPr>
          <w:rFonts w:ascii="Times New Roman" w:hAnsi="Times New Roman"/>
          <w:b w:val="0"/>
          <w:sz w:val="28"/>
          <w:szCs w:val="28"/>
          <w:u w:val="single"/>
          <w:lang w:val="ru-RU"/>
        </w:rPr>
        <w:t>1</w:t>
      </w:r>
      <w:r w:rsidR="007F7958" w:rsidRPr="00FD7B0B">
        <w:rPr>
          <w:rFonts w:ascii="Times New Roman" w:hAnsi="Times New Roman"/>
          <w:b w:val="0"/>
          <w:sz w:val="28"/>
          <w:szCs w:val="28"/>
          <w:u w:val="single"/>
          <w:lang w:val="ru-RU"/>
        </w:rPr>
        <w:t>5</w:t>
      </w:r>
      <w:r w:rsidR="00D304BC" w:rsidRPr="00FD7B0B">
        <w:rPr>
          <w:rFonts w:ascii="Times New Roman" w:hAnsi="Times New Roman"/>
          <w:b w:val="0"/>
          <w:sz w:val="28"/>
          <w:szCs w:val="28"/>
          <w:u w:val="single"/>
          <w:lang w:val="ru-RU"/>
        </w:rPr>
        <w:t xml:space="preserve">. Государственная программы Архангельской области </w:t>
      </w:r>
      <w:r w:rsidR="00743ABC" w:rsidRPr="00FD7B0B">
        <w:rPr>
          <w:rFonts w:ascii="Times New Roman" w:hAnsi="Times New Roman"/>
          <w:b w:val="0"/>
          <w:sz w:val="28"/>
          <w:szCs w:val="28"/>
          <w:u w:val="single"/>
          <w:lang w:val="ru-RU"/>
        </w:rPr>
        <w:t>«</w:t>
      </w:r>
      <w:r w:rsidR="00D304BC" w:rsidRPr="00FD7B0B">
        <w:rPr>
          <w:rFonts w:ascii="Times New Roman" w:hAnsi="Times New Roman"/>
          <w:b w:val="0"/>
          <w:sz w:val="28"/>
          <w:szCs w:val="28"/>
          <w:u w:val="single"/>
          <w:lang w:val="ru-RU"/>
        </w:rPr>
        <w:t>Экономическое развитие и инвестиционная деятельность в Архангельской области</w:t>
      </w:r>
      <w:r w:rsidR="00743ABC" w:rsidRPr="00FD7B0B">
        <w:rPr>
          <w:rFonts w:ascii="Times New Roman" w:hAnsi="Times New Roman"/>
          <w:b w:val="0"/>
          <w:sz w:val="28"/>
          <w:szCs w:val="28"/>
          <w:u w:val="single"/>
          <w:lang w:val="ru-RU"/>
        </w:rPr>
        <w:t>»</w:t>
      </w:r>
      <w:bookmarkEnd w:id="144"/>
    </w:p>
    <w:p w14:paraId="053B1D0A" w14:textId="21FEE95A" w:rsidR="00AD4D1E" w:rsidRPr="00FD7B0B" w:rsidRDefault="00AD4D1E" w:rsidP="00AD4D1E">
      <w:pPr>
        <w:spacing w:after="0" w:line="240" w:lineRule="auto"/>
        <w:ind w:firstLine="709"/>
        <w:contextualSpacing/>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Ответственным исполнителем </w:t>
      </w:r>
      <w:r w:rsidRPr="00FD7B0B">
        <w:rPr>
          <w:rFonts w:ascii="Times New Roman" w:eastAsia="Times New Roman" w:hAnsi="Times New Roman" w:cs="Times New Roman"/>
          <w:sz w:val="28"/>
          <w:szCs w:val="28"/>
          <w:lang w:eastAsia="ru-RU"/>
        </w:rPr>
        <w:t>государственной программы Архангельской области «Экономическое «Экономическое развитие и инвестиционная деятельность в Архангельской области»</w:t>
      </w:r>
      <w:r w:rsidRPr="00FD7B0B">
        <w:t xml:space="preserve"> </w:t>
      </w:r>
      <w:r w:rsidRPr="00FD7B0B">
        <w:rPr>
          <w:rFonts w:ascii="Times New Roman" w:eastAsia="Times New Roman" w:hAnsi="Times New Roman" w:cs="Times New Roman"/>
          <w:sz w:val="28"/>
          <w:szCs w:val="28"/>
          <w:lang w:eastAsia="ru-RU"/>
        </w:rPr>
        <w:t xml:space="preserve">(далее – госпрограмма № 26, ГП АО, госпрограмма) </w:t>
      </w:r>
      <w:r w:rsidRPr="00FD7B0B">
        <w:rPr>
          <w:rFonts w:ascii="Times New Roman" w:eastAsia="Calibri" w:hAnsi="Times New Roman" w:cs="Times New Roman"/>
          <w:sz w:val="28"/>
          <w:szCs w:val="28"/>
        </w:rPr>
        <w:t>является министерство экономического развития и промышленности Архангельской области (далее – минэкономразвития Архангельской области).</w:t>
      </w:r>
    </w:p>
    <w:p w14:paraId="47D5C639" w14:textId="787A56C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паспорту госпрограммы</w:t>
      </w:r>
      <w:r w:rsidR="00252802"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 26, в редакции, действующей на 01.01.2024, на 2024 год запланированы бюджетные ассигнования в общей сумме 2 511,5 млн.руб., в том числе: за счет средств областного бюджета – 2 509,8 </w:t>
      </w:r>
      <w:r w:rsidRPr="00FD7B0B">
        <w:rPr>
          <w:rFonts w:ascii="Times New Roman" w:eastAsia="Times New Roman" w:hAnsi="Times New Roman" w:cs="Times New Roman"/>
          <w:sz w:val="28"/>
          <w:szCs w:val="28"/>
          <w:lang w:eastAsia="ru-RU"/>
        </w:rPr>
        <w:lastRenderedPageBreak/>
        <w:t>млн.руб., консолидированны</w:t>
      </w:r>
      <w:r w:rsidR="00252802" w:rsidRPr="00FD7B0B">
        <w:rPr>
          <w:rFonts w:ascii="Times New Roman" w:eastAsia="Times New Roman" w:hAnsi="Times New Roman" w:cs="Times New Roman"/>
          <w:sz w:val="28"/>
          <w:szCs w:val="28"/>
          <w:lang w:eastAsia="ru-RU"/>
        </w:rPr>
        <w:t>х</w:t>
      </w:r>
      <w:r w:rsidRPr="00FD7B0B">
        <w:rPr>
          <w:rFonts w:ascii="Times New Roman" w:eastAsia="Times New Roman" w:hAnsi="Times New Roman" w:cs="Times New Roman"/>
          <w:sz w:val="28"/>
          <w:szCs w:val="28"/>
          <w:lang w:eastAsia="ru-RU"/>
        </w:rPr>
        <w:t xml:space="preserve"> бюджет</w:t>
      </w:r>
      <w:r w:rsidR="00252802" w:rsidRPr="00FD7B0B">
        <w:rPr>
          <w:rFonts w:ascii="Times New Roman" w:eastAsia="Times New Roman" w:hAnsi="Times New Roman" w:cs="Times New Roman"/>
          <w:sz w:val="28"/>
          <w:szCs w:val="28"/>
          <w:lang w:eastAsia="ru-RU"/>
        </w:rPr>
        <w:t>ов</w:t>
      </w:r>
      <w:r w:rsidRPr="00FD7B0B">
        <w:rPr>
          <w:rFonts w:ascii="Times New Roman" w:eastAsia="Times New Roman" w:hAnsi="Times New Roman" w:cs="Times New Roman"/>
          <w:sz w:val="28"/>
          <w:szCs w:val="28"/>
          <w:lang w:eastAsia="ru-RU"/>
        </w:rPr>
        <w:t xml:space="preserve"> муниципальных образований Архангельской области – 1,7 млн.руб. по следующим структурным элементам:</w:t>
      </w:r>
    </w:p>
    <w:p w14:paraId="6F225E62" w14:textId="68AD8693"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- 9 региональных проектов, направленных на р</w:t>
      </w:r>
      <w:r w:rsidR="00252802" w:rsidRPr="00FD7B0B">
        <w:rPr>
          <w:rFonts w:ascii="Times New Roman" w:eastAsia="Times New Roman" w:hAnsi="Times New Roman" w:cs="Times New Roman"/>
          <w:sz w:val="28"/>
          <w:szCs w:val="28"/>
          <w:lang w:eastAsia="ru-RU"/>
        </w:rPr>
        <w:t>еализацию федеральных проектов;</w:t>
      </w:r>
    </w:p>
    <w:p w14:paraId="148BC21A"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комплекс процессных мероприятий «Экономическое и научное развитие Архангельской области</w:t>
      </w:r>
      <w:r w:rsidRPr="00FD7B0B">
        <w:t>.</w:t>
      </w:r>
    </w:p>
    <w:p w14:paraId="50A21385" w14:textId="6C119B26"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 отчетный период в госпрограмму № 26 внесены изменения, которые увеличили сумму расходо</w:t>
      </w:r>
      <w:r w:rsidR="00252802" w:rsidRPr="00FD7B0B">
        <w:rPr>
          <w:rFonts w:ascii="Times New Roman" w:eastAsia="Times New Roman" w:hAnsi="Times New Roman" w:cs="Times New Roman"/>
          <w:sz w:val="28"/>
          <w:szCs w:val="28"/>
          <w:lang w:eastAsia="ru-RU"/>
        </w:rPr>
        <w:t>в на 2024 год на 219,4 млн.руб.</w:t>
      </w:r>
    </w:p>
    <w:p w14:paraId="74D3B85E" w14:textId="2C2F234E"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Сведения в разрезе структурных элементов госпрограммы и источников финансирования, представлены в таблице </w:t>
      </w:r>
      <w:r w:rsidR="001E2D90" w:rsidRPr="00FD7B0B">
        <w:rPr>
          <w:rFonts w:ascii="Times New Roman" w:eastAsia="Times New Roman" w:hAnsi="Times New Roman" w:cs="Times New Roman"/>
          <w:sz w:val="28"/>
          <w:szCs w:val="28"/>
          <w:lang w:eastAsia="ru-RU"/>
        </w:rPr>
        <w:t>212</w:t>
      </w:r>
      <w:r w:rsidRPr="00FD7B0B">
        <w:rPr>
          <w:rFonts w:ascii="Times New Roman" w:eastAsia="Times New Roman" w:hAnsi="Times New Roman" w:cs="Times New Roman"/>
          <w:sz w:val="28"/>
          <w:szCs w:val="28"/>
          <w:lang w:eastAsia="ru-RU"/>
        </w:rPr>
        <w:t>.</w:t>
      </w:r>
    </w:p>
    <w:p w14:paraId="7954F34B"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4"/>
          <w:szCs w:val="24"/>
          <w:lang w:eastAsia="ru-RU"/>
        </w:rPr>
      </w:pPr>
    </w:p>
    <w:p w14:paraId="52CC5044" w14:textId="7FB81C93" w:rsidR="00AD4D1E" w:rsidRPr="00FD7B0B" w:rsidRDefault="00252802" w:rsidP="00252802">
      <w:pPr>
        <w:pStyle w:val="aff0"/>
        <w:keepNext/>
        <w:spacing w:after="0" w:line="240" w:lineRule="auto"/>
        <w:rPr>
          <w:rFonts w:ascii="Times New Roman" w:eastAsia="Times New Roman" w:hAnsi="Times New Roman"/>
          <w:b w:val="0"/>
          <w:sz w:val="24"/>
          <w:szCs w:val="24"/>
          <w:lang w:eastAsia="ru-RU"/>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212</w:t>
      </w:r>
      <w:r w:rsidRPr="00FD7B0B">
        <w:rPr>
          <w:rFonts w:ascii="Times New Roman" w:hAnsi="Times New Roman"/>
          <w:b w:val="0"/>
          <w:sz w:val="24"/>
          <w:szCs w:val="24"/>
        </w:rPr>
        <w:fldChar w:fldCharType="end"/>
      </w:r>
      <w:r w:rsidRPr="00FD7B0B">
        <w:rPr>
          <w:rFonts w:ascii="Times New Roman" w:hAnsi="Times New Roman"/>
          <w:b w:val="0"/>
          <w:sz w:val="24"/>
          <w:szCs w:val="24"/>
        </w:rPr>
        <w:t>.</w:t>
      </w:r>
      <w:r w:rsidR="00AD4D1E" w:rsidRPr="00FD7B0B">
        <w:rPr>
          <w:rFonts w:ascii="Times New Roman" w:eastAsia="Times New Roman" w:hAnsi="Times New Roman"/>
          <w:b w:val="0"/>
          <w:sz w:val="24"/>
          <w:szCs w:val="24"/>
          <w:lang w:eastAsia="ru-RU"/>
        </w:rPr>
        <w:t xml:space="preserve"> Изменения, внесенные в объемы финансирования структурных элементов госпрограммы № 26 за 2023 год в разрезе структурных элемент</w:t>
      </w:r>
      <w:r w:rsidRPr="00FD7B0B">
        <w:rPr>
          <w:rFonts w:ascii="Times New Roman" w:eastAsia="Times New Roman" w:hAnsi="Times New Roman"/>
          <w:b w:val="0"/>
          <w:sz w:val="24"/>
          <w:szCs w:val="24"/>
          <w:lang w:eastAsia="ru-RU"/>
        </w:rPr>
        <w:t>ов и источников финансирования, млн.руб.</w:t>
      </w:r>
    </w:p>
    <w:tbl>
      <w:tblPr>
        <w:tblW w:w="9655" w:type="dxa"/>
        <w:tblInd w:w="93" w:type="dxa"/>
        <w:tblLook w:val="04A0" w:firstRow="1" w:lastRow="0" w:firstColumn="1" w:lastColumn="0" w:noHBand="0" w:noVBand="1"/>
      </w:tblPr>
      <w:tblGrid>
        <w:gridCol w:w="4712"/>
        <w:gridCol w:w="1417"/>
        <w:gridCol w:w="1395"/>
        <w:gridCol w:w="1157"/>
        <w:gridCol w:w="974"/>
      </w:tblGrid>
      <w:tr w:rsidR="00FD7B0B" w:rsidRPr="00FD7B0B" w14:paraId="3B6D9112" w14:textId="77777777" w:rsidTr="00252802">
        <w:trPr>
          <w:trHeight w:val="485"/>
          <w:tblHeader/>
        </w:trPr>
        <w:tc>
          <w:tcPr>
            <w:tcW w:w="471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03302A82"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Структурные элементы госпрограммы, источник финансирования</w:t>
            </w:r>
          </w:p>
        </w:tc>
        <w:tc>
          <w:tcPr>
            <w:tcW w:w="1417"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9DB5C9F"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Редакция ГП АО на 01.01.2024 (от 21.12.2023 № 1298-пп)</w:t>
            </w:r>
          </w:p>
        </w:tc>
        <w:tc>
          <w:tcPr>
            <w:tcW w:w="1395"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F7D1DBA"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Редакция ГП АО на 31.12.2024 (от 23.12.2024 № 1163-пп)</w:t>
            </w:r>
          </w:p>
        </w:tc>
        <w:tc>
          <w:tcPr>
            <w:tcW w:w="2131" w:type="dxa"/>
            <w:gridSpan w:val="2"/>
            <w:tcBorders>
              <w:top w:val="double" w:sz="4" w:space="0" w:color="auto"/>
              <w:left w:val="nil"/>
              <w:bottom w:val="single" w:sz="4" w:space="0" w:color="auto"/>
              <w:right w:val="double" w:sz="4" w:space="0" w:color="auto"/>
            </w:tcBorders>
            <w:shd w:val="clear" w:color="auto" w:fill="auto"/>
            <w:vAlign w:val="center"/>
            <w:hideMark/>
          </w:tcPr>
          <w:p w14:paraId="1DEA2A82"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Изменения за отчетный период (+/-)</w:t>
            </w:r>
          </w:p>
        </w:tc>
      </w:tr>
      <w:tr w:rsidR="00FD7B0B" w:rsidRPr="00FD7B0B" w14:paraId="073046A5" w14:textId="77777777" w:rsidTr="00252802">
        <w:trPr>
          <w:trHeight w:val="315"/>
          <w:tblHeader/>
        </w:trPr>
        <w:tc>
          <w:tcPr>
            <w:tcW w:w="4712" w:type="dxa"/>
            <w:vMerge/>
            <w:tcBorders>
              <w:top w:val="single" w:sz="4" w:space="0" w:color="auto"/>
              <w:left w:val="double" w:sz="4" w:space="0" w:color="auto"/>
              <w:bottom w:val="single" w:sz="4" w:space="0" w:color="auto"/>
              <w:right w:val="single" w:sz="4" w:space="0" w:color="auto"/>
            </w:tcBorders>
            <w:vAlign w:val="center"/>
            <w:hideMark/>
          </w:tcPr>
          <w:p w14:paraId="75634331" w14:textId="77777777" w:rsidR="00AD4D1E" w:rsidRPr="00FD7B0B" w:rsidRDefault="00AD4D1E" w:rsidP="00AD4D1E">
            <w:pPr>
              <w:spacing w:after="0" w:line="240" w:lineRule="auto"/>
              <w:rPr>
                <w:rFonts w:ascii="Times New Roman" w:eastAsia="Calibri" w:hAnsi="Times New Roman" w:cs="Times New Roman"/>
                <w:bCs/>
                <w:sz w:val="20"/>
                <w:szCs w:val="20"/>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C159EF7" w14:textId="77777777" w:rsidR="00AD4D1E" w:rsidRPr="00FD7B0B" w:rsidRDefault="00AD4D1E" w:rsidP="00AD4D1E">
            <w:pPr>
              <w:spacing w:after="0" w:line="240" w:lineRule="auto"/>
              <w:rPr>
                <w:rFonts w:ascii="Times New Roman" w:eastAsia="Calibri" w:hAnsi="Times New Roman" w:cs="Times New Roman"/>
                <w:bCs/>
                <w:sz w:val="20"/>
                <w:szCs w:val="20"/>
              </w:rPr>
            </w:pPr>
          </w:p>
        </w:tc>
        <w:tc>
          <w:tcPr>
            <w:tcW w:w="1395" w:type="dxa"/>
            <w:vMerge/>
            <w:tcBorders>
              <w:top w:val="single" w:sz="4" w:space="0" w:color="auto"/>
              <w:left w:val="single" w:sz="4" w:space="0" w:color="auto"/>
              <w:bottom w:val="single" w:sz="4" w:space="0" w:color="auto"/>
              <w:right w:val="single" w:sz="4" w:space="0" w:color="auto"/>
            </w:tcBorders>
            <w:vAlign w:val="center"/>
            <w:hideMark/>
          </w:tcPr>
          <w:p w14:paraId="648066C9" w14:textId="77777777" w:rsidR="00AD4D1E" w:rsidRPr="00FD7B0B" w:rsidRDefault="00AD4D1E" w:rsidP="00AD4D1E">
            <w:pPr>
              <w:spacing w:after="0" w:line="240" w:lineRule="auto"/>
              <w:rPr>
                <w:rFonts w:ascii="Times New Roman" w:eastAsia="Calibri" w:hAnsi="Times New Roman" w:cs="Times New Roman"/>
                <w:bCs/>
                <w:sz w:val="20"/>
                <w:szCs w:val="20"/>
              </w:rPr>
            </w:pPr>
          </w:p>
        </w:tc>
        <w:tc>
          <w:tcPr>
            <w:tcW w:w="1157" w:type="dxa"/>
            <w:tcBorders>
              <w:top w:val="nil"/>
              <w:left w:val="nil"/>
              <w:bottom w:val="single" w:sz="4" w:space="0" w:color="auto"/>
              <w:right w:val="single" w:sz="4" w:space="0" w:color="auto"/>
            </w:tcBorders>
            <w:shd w:val="clear" w:color="auto" w:fill="auto"/>
            <w:vAlign w:val="center"/>
            <w:hideMark/>
          </w:tcPr>
          <w:p w14:paraId="2CF40D01"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млн.руб.</w:t>
            </w:r>
          </w:p>
        </w:tc>
        <w:tc>
          <w:tcPr>
            <w:tcW w:w="974" w:type="dxa"/>
            <w:tcBorders>
              <w:top w:val="nil"/>
              <w:left w:val="nil"/>
              <w:bottom w:val="single" w:sz="4" w:space="0" w:color="auto"/>
              <w:right w:val="double" w:sz="4" w:space="0" w:color="auto"/>
            </w:tcBorders>
            <w:shd w:val="clear" w:color="auto" w:fill="auto"/>
            <w:vAlign w:val="center"/>
            <w:hideMark/>
          </w:tcPr>
          <w:p w14:paraId="29A3ACFE"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w:t>
            </w:r>
          </w:p>
        </w:tc>
      </w:tr>
      <w:tr w:rsidR="00FD7B0B" w:rsidRPr="00FD7B0B" w14:paraId="6D8A5034" w14:textId="77777777" w:rsidTr="00252802">
        <w:trPr>
          <w:trHeight w:val="299"/>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6212EE86" w14:textId="77777777" w:rsidR="00AD4D1E" w:rsidRPr="00FD7B0B" w:rsidRDefault="00AD4D1E" w:rsidP="00252802">
            <w:pPr>
              <w:spacing w:after="0" w:line="240" w:lineRule="auto"/>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1. РП «Создание благоприятных условий для осуществления деятельности самозанятыми гражданами», в том числе:</w:t>
            </w:r>
          </w:p>
        </w:tc>
        <w:tc>
          <w:tcPr>
            <w:tcW w:w="1417" w:type="dxa"/>
            <w:tcBorders>
              <w:top w:val="nil"/>
              <w:left w:val="nil"/>
              <w:bottom w:val="single" w:sz="4" w:space="0" w:color="auto"/>
              <w:right w:val="single" w:sz="4" w:space="0" w:color="auto"/>
            </w:tcBorders>
            <w:shd w:val="clear" w:color="auto" w:fill="auto"/>
            <w:vAlign w:val="center"/>
          </w:tcPr>
          <w:p w14:paraId="0B556892"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5,8</w:t>
            </w:r>
          </w:p>
        </w:tc>
        <w:tc>
          <w:tcPr>
            <w:tcW w:w="1395" w:type="dxa"/>
            <w:tcBorders>
              <w:top w:val="nil"/>
              <w:left w:val="nil"/>
              <w:bottom w:val="single" w:sz="4" w:space="0" w:color="auto"/>
              <w:right w:val="single" w:sz="4" w:space="0" w:color="auto"/>
            </w:tcBorders>
            <w:shd w:val="clear" w:color="auto" w:fill="auto"/>
            <w:vAlign w:val="center"/>
          </w:tcPr>
          <w:p w14:paraId="66994D01"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5,8</w:t>
            </w:r>
          </w:p>
        </w:tc>
        <w:tc>
          <w:tcPr>
            <w:tcW w:w="1157" w:type="dxa"/>
            <w:tcBorders>
              <w:top w:val="nil"/>
              <w:left w:val="nil"/>
              <w:bottom w:val="single" w:sz="4" w:space="0" w:color="auto"/>
              <w:right w:val="single" w:sz="4" w:space="0" w:color="auto"/>
            </w:tcBorders>
            <w:shd w:val="clear" w:color="auto" w:fill="auto"/>
            <w:vAlign w:val="center"/>
          </w:tcPr>
          <w:p w14:paraId="222C0066"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0</w:t>
            </w:r>
          </w:p>
        </w:tc>
        <w:tc>
          <w:tcPr>
            <w:tcW w:w="974" w:type="dxa"/>
            <w:tcBorders>
              <w:top w:val="nil"/>
              <w:left w:val="nil"/>
              <w:bottom w:val="single" w:sz="4" w:space="0" w:color="auto"/>
              <w:right w:val="double" w:sz="4" w:space="0" w:color="auto"/>
            </w:tcBorders>
            <w:shd w:val="clear" w:color="auto" w:fill="auto"/>
            <w:vAlign w:val="center"/>
          </w:tcPr>
          <w:p w14:paraId="0D180527"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0</w:t>
            </w:r>
          </w:p>
        </w:tc>
      </w:tr>
      <w:tr w:rsidR="00FD7B0B" w:rsidRPr="00FD7B0B" w14:paraId="1B2CDAED" w14:textId="77777777" w:rsidTr="00252802">
        <w:trPr>
          <w:trHeight w:val="238"/>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6E33CD14" w14:textId="77777777" w:rsidR="00AD4D1E" w:rsidRPr="00FD7B0B" w:rsidRDefault="00AD4D1E" w:rsidP="00252802">
            <w:pPr>
              <w:spacing w:after="0" w:line="240" w:lineRule="auto"/>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областной бюджет</w:t>
            </w:r>
          </w:p>
        </w:tc>
        <w:tc>
          <w:tcPr>
            <w:tcW w:w="1417" w:type="dxa"/>
            <w:tcBorders>
              <w:top w:val="nil"/>
              <w:left w:val="nil"/>
              <w:bottom w:val="single" w:sz="4" w:space="0" w:color="auto"/>
              <w:right w:val="single" w:sz="4" w:space="0" w:color="auto"/>
            </w:tcBorders>
            <w:shd w:val="clear" w:color="auto" w:fill="auto"/>
            <w:vAlign w:val="center"/>
          </w:tcPr>
          <w:p w14:paraId="544F7193"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5,8</w:t>
            </w:r>
          </w:p>
        </w:tc>
        <w:tc>
          <w:tcPr>
            <w:tcW w:w="1395" w:type="dxa"/>
            <w:tcBorders>
              <w:top w:val="nil"/>
              <w:left w:val="nil"/>
              <w:bottom w:val="single" w:sz="4" w:space="0" w:color="auto"/>
              <w:right w:val="single" w:sz="4" w:space="0" w:color="auto"/>
            </w:tcBorders>
            <w:shd w:val="clear" w:color="auto" w:fill="auto"/>
            <w:vAlign w:val="center"/>
          </w:tcPr>
          <w:p w14:paraId="06C4F13E"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5,8</w:t>
            </w:r>
          </w:p>
        </w:tc>
        <w:tc>
          <w:tcPr>
            <w:tcW w:w="1157" w:type="dxa"/>
            <w:tcBorders>
              <w:top w:val="nil"/>
              <w:left w:val="nil"/>
              <w:bottom w:val="single" w:sz="4" w:space="0" w:color="auto"/>
              <w:right w:val="single" w:sz="4" w:space="0" w:color="auto"/>
            </w:tcBorders>
            <w:shd w:val="clear" w:color="auto" w:fill="auto"/>
            <w:vAlign w:val="center"/>
          </w:tcPr>
          <w:p w14:paraId="4C678D06"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0</w:t>
            </w:r>
          </w:p>
        </w:tc>
        <w:tc>
          <w:tcPr>
            <w:tcW w:w="974" w:type="dxa"/>
            <w:tcBorders>
              <w:top w:val="nil"/>
              <w:left w:val="nil"/>
              <w:bottom w:val="single" w:sz="4" w:space="0" w:color="auto"/>
              <w:right w:val="double" w:sz="4" w:space="0" w:color="auto"/>
            </w:tcBorders>
            <w:shd w:val="clear" w:color="auto" w:fill="auto"/>
            <w:vAlign w:val="center"/>
          </w:tcPr>
          <w:p w14:paraId="3B99ED2E" w14:textId="77777777" w:rsidR="00AD4D1E" w:rsidRPr="00FD7B0B" w:rsidRDefault="00AD4D1E" w:rsidP="00AD4D1E">
            <w:pPr>
              <w:spacing w:after="0" w:line="240" w:lineRule="auto"/>
              <w:jc w:val="center"/>
              <w:rPr>
                <w:rFonts w:ascii="Times New Roman" w:eastAsia="Calibri" w:hAnsi="Times New Roman" w:cs="Times New Roman"/>
                <w:bCs/>
                <w:sz w:val="20"/>
                <w:szCs w:val="20"/>
              </w:rPr>
            </w:pPr>
            <w:r w:rsidRPr="00FD7B0B">
              <w:rPr>
                <w:rFonts w:ascii="Times New Roman" w:eastAsia="Calibri" w:hAnsi="Times New Roman" w:cs="Times New Roman"/>
                <w:bCs/>
                <w:sz w:val="20"/>
                <w:szCs w:val="20"/>
              </w:rPr>
              <w:t>0</w:t>
            </w:r>
          </w:p>
        </w:tc>
      </w:tr>
      <w:tr w:rsidR="00FD7B0B" w:rsidRPr="00FD7B0B" w14:paraId="3D3D6C0B" w14:textId="77777777" w:rsidTr="00252802">
        <w:trPr>
          <w:trHeight w:val="127"/>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22D76814"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2. РП «Создание условий для легкого старта и комфортного ведения бизнеса» в том числе:</w:t>
            </w:r>
          </w:p>
        </w:tc>
        <w:tc>
          <w:tcPr>
            <w:tcW w:w="1417" w:type="dxa"/>
            <w:tcBorders>
              <w:top w:val="nil"/>
              <w:left w:val="nil"/>
              <w:bottom w:val="single" w:sz="4" w:space="0" w:color="auto"/>
              <w:right w:val="single" w:sz="4" w:space="0" w:color="auto"/>
            </w:tcBorders>
            <w:shd w:val="clear" w:color="auto" w:fill="auto"/>
            <w:vAlign w:val="center"/>
          </w:tcPr>
          <w:p w14:paraId="3CC080A9"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43,4</w:t>
            </w:r>
          </w:p>
        </w:tc>
        <w:tc>
          <w:tcPr>
            <w:tcW w:w="1395" w:type="dxa"/>
            <w:tcBorders>
              <w:top w:val="nil"/>
              <w:left w:val="nil"/>
              <w:bottom w:val="single" w:sz="4" w:space="0" w:color="auto"/>
              <w:right w:val="single" w:sz="4" w:space="0" w:color="auto"/>
            </w:tcBorders>
            <w:shd w:val="clear" w:color="auto" w:fill="auto"/>
            <w:vAlign w:val="center"/>
          </w:tcPr>
          <w:p w14:paraId="4014B27B"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25,4</w:t>
            </w:r>
          </w:p>
        </w:tc>
        <w:tc>
          <w:tcPr>
            <w:tcW w:w="1157" w:type="dxa"/>
            <w:tcBorders>
              <w:top w:val="nil"/>
              <w:left w:val="nil"/>
              <w:bottom w:val="single" w:sz="4" w:space="0" w:color="auto"/>
              <w:right w:val="single" w:sz="4" w:space="0" w:color="auto"/>
            </w:tcBorders>
            <w:shd w:val="clear" w:color="auto" w:fill="auto"/>
            <w:vAlign w:val="center"/>
          </w:tcPr>
          <w:p w14:paraId="750FDF6A"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-18,0</w:t>
            </w:r>
          </w:p>
        </w:tc>
        <w:tc>
          <w:tcPr>
            <w:tcW w:w="974" w:type="dxa"/>
            <w:tcBorders>
              <w:top w:val="nil"/>
              <w:left w:val="nil"/>
              <w:bottom w:val="single" w:sz="4" w:space="0" w:color="auto"/>
              <w:right w:val="double" w:sz="4" w:space="0" w:color="auto"/>
            </w:tcBorders>
            <w:shd w:val="clear" w:color="auto" w:fill="auto"/>
            <w:vAlign w:val="center"/>
          </w:tcPr>
          <w:p w14:paraId="7CFAD154"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-41,5</w:t>
            </w:r>
          </w:p>
        </w:tc>
      </w:tr>
      <w:tr w:rsidR="00FD7B0B" w:rsidRPr="00FD7B0B" w14:paraId="11D417B9" w14:textId="77777777" w:rsidTr="00252802">
        <w:trPr>
          <w:trHeight w:val="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7866A474"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eastAsia="Calibri" w:hAnsi="Times New Roman" w:cs="Times New Roman"/>
                <w:bCs/>
                <w:sz w:val="20"/>
                <w:szCs w:val="20"/>
              </w:rPr>
              <w:t>областной бюджет</w:t>
            </w:r>
          </w:p>
        </w:tc>
        <w:tc>
          <w:tcPr>
            <w:tcW w:w="1417" w:type="dxa"/>
            <w:tcBorders>
              <w:top w:val="nil"/>
              <w:left w:val="nil"/>
              <w:bottom w:val="single" w:sz="4" w:space="0" w:color="auto"/>
              <w:right w:val="single" w:sz="4" w:space="0" w:color="auto"/>
            </w:tcBorders>
            <w:shd w:val="clear" w:color="auto" w:fill="auto"/>
            <w:vAlign w:val="center"/>
          </w:tcPr>
          <w:p w14:paraId="14BFFAC4"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43,4</w:t>
            </w:r>
          </w:p>
        </w:tc>
        <w:tc>
          <w:tcPr>
            <w:tcW w:w="1395" w:type="dxa"/>
            <w:tcBorders>
              <w:top w:val="nil"/>
              <w:left w:val="nil"/>
              <w:bottom w:val="single" w:sz="4" w:space="0" w:color="auto"/>
              <w:right w:val="single" w:sz="4" w:space="0" w:color="auto"/>
            </w:tcBorders>
            <w:shd w:val="clear" w:color="auto" w:fill="auto"/>
            <w:vAlign w:val="center"/>
          </w:tcPr>
          <w:p w14:paraId="2403F82A"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25,4</w:t>
            </w:r>
          </w:p>
        </w:tc>
        <w:tc>
          <w:tcPr>
            <w:tcW w:w="1157" w:type="dxa"/>
            <w:tcBorders>
              <w:top w:val="nil"/>
              <w:left w:val="nil"/>
              <w:bottom w:val="single" w:sz="4" w:space="0" w:color="auto"/>
              <w:right w:val="single" w:sz="4" w:space="0" w:color="auto"/>
            </w:tcBorders>
            <w:shd w:val="clear" w:color="auto" w:fill="auto"/>
            <w:vAlign w:val="center"/>
          </w:tcPr>
          <w:p w14:paraId="47541742"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-18,0</w:t>
            </w:r>
          </w:p>
        </w:tc>
        <w:tc>
          <w:tcPr>
            <w:tcW w:w="974" w:type="dxa"/>
            <w:tcBorders>
              <w:top w:val="nil"/>
              <w:left w:val="nil"/>
              <w:bottom w:val="single" w:sz="4" w:space="0" w:color="auto"/>
              <w:right w:val="double" w:sz="4" w:space="0" w:color="auto"/>
            </w:tcBorders>
            <w:shd w:val="clear" w:color="auto" w:fill="auto"/>
            <w:vAlign w:val="center"/>
          </w:tcPr>
          <w:p w14:paraId="000D1B11"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-41,5</w:t>
            </w:r>
          </w:p>
        </w:tc>
      </w:tr>
      <w:tr w:rsidR="00FD7B0B" w:rsidRPr="00FD7B0B" w14:paraId="6F71B1D8" w14:textId="77777777" w:rsidTr="00252802">
        <w:trPr>
          <w:trHeight w:val="279"/>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109EBEB2"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3. РП «Акселерация субъектов малого и среднего предпринимательства», в том числе:</w:t>
            </w:r>
          </w:p>
        </w:tc>
        <w:tc>
          <w:tcPr>
            <w:tcW w:w="1417" w:type="dxa"/>
            <w:tcBorders>
              <w:top w:val="nil"/>
              <w:left w:val="nil"/>
              <w:bottom w:val="single" w:sz="4" w:space="0" w:color="auto"/>
              <w:right w:val="single" w:sz="4" w:space="0" w:color="auto"/>
            </w:tcBorders>
            <w:shd w:val="clear" w:color="auto" w:fill="auto"/>
            <w:vAlign w:val="center"/>
          </w:tcPr>
          <w:p w14:paraId="3506736C"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103,1</w:t>
            </w:r>
          </w:p>
        </w:tc>
        <w:tc>
          <w:tcPr>
            <w:tcW w:w="1395" w:type="dxa"/>
            <w:tcBorders>
              <w:top w:val="nil"/>
              <w:left w:val="nil"/>
              <w:bottom w:val="single" w:sz="4" w:space="0" w:color="auto"/>
              <w:right w:val="single" w:sz="4" w:space="0" w:color="auto"/>
            </w:tcBorders>
            <w:shd w:val="clear" w:color="auto" w:fill="auto"/>
            <w:vAlign w:val="center"/>
          </w:tcPr>
          <w:p w14:paraId="5386C5D3"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100,4</w:t>
            </w:r>
          </w:p>
        </w:tc>
        <w:tc>
          <w:tcPr>
            <w:tcW w:w="1157" w:type="dxa"/>
            <w:tcBorders>
              <w:top w:val="nil"/>
              <w:left w:val="nil"/>
              <w:bottom w:val="single" w:sz="4" w:space="0" w:color="auto"/>
              <w:right w:val="single" w:sz="4" w:space="0" w:color="auto"/>
            </w:tcBorders>
            <w:shd w:val="clear" w:color="auto" w:fill="auto"/>
            <w:vAlign w:val="center"/>
          </w:tcPr>
          <w:p w14:paraId="7460243D"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-2,7</w:t>
            </w:r>
          </w:p>
        </w:tc>
        <w:tc>
          <w:tcPr>
            <w:tcW w:w="974" w:type="dxa"/>
            <w:tcBorders>
              <w:top w:val="nil"/>
              <w:left w:val="nil"/>
              <w:bottom w:val="single" w:sz="4" w:space="0" w:color="auto"/>
              <w:right w:val="double" w:sz="4" w:space="0" w:color="auto"/>
            </w:tcBorders>
            <w:shd w:val="clear" w:color="auto" w:fill="auto"/>
            <w:vAlign w:val="center"/>
          </w:tcPr>
          <w:p w14:paraId="275B2A47"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-2,7</w:t>
            </w:r>
          </w:p>
        </w:tc>
      </w:tr>
      <w:tr w:rsidR="00FD7B0B" w:rsidRPr="00FD7B0B" w14:paraId="3A7041AA" w14:textId="77777777" w:rsidTr="00252802">
        <w:trPr>
          <w:trHeight w:val="130"/>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77C09351"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eastAsia="Calibri" w:hAnsi="Times New Roman" w:cs="Times New Roman"/>
                <w:bCs/>
                <w:sz w:val="20"/>
                <w:szCs w:val="20"/>
              </w:rPr>
              <w:t>областной бюджет</w:t>
            </w:r>
          </w:p>
        </w:tc>
        <w:tc>
          <w:tcPr>
            <w:tcW w:w="1417" w:type="dxa"/>
            <w:tcBorders>
              <w:top w:val="nil"/>
              <w:left w:val="nil"/>
              <w:bottom w:val="single" w:sz="4" w:space="0" w:color="auto"/>
              <w:right w:val="single" w:sz="4" w:space="0" w:color="auto"/>
            </w:tcBorders>
            <w:shd w:val="clear" w:color="auto" w:fill="auto"/>
            <w:vAlign w:val="center"/>
          </w:tcPr>
          <w:p w14:paraId="31E08157"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103,1</w:t>
            </w:r>
          </w:p>
        </w:tc>
        <w:tc>
          <w:tcPr>
            <w:tcW w:w="1395" w:type="dxa"/>
            <w:tcBorders>
              <w:top w:val="nil"/>
              <w:left w:val="nil"/>
              <w:bottom w:val="single" w:sz="4" w:space="0" w:color="auto"/>
              <w:right w:val="single" w:sz="4" w:space="0" w:color="auto"/>
            </w:tcBorders>
            <w:shd w:val="clear" w:color="auto" w:fill="auto"/>
            <w:vAlign w:val="center"/>
          </w:tcPr>
          <w:p w14:paraId="0CCEA446"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100,4</w:t>
            </w:r>
          </w:p>
        </w:tc>
        <w:tc>
          <w:tcPr>
            <w:tcW w:w="1157" w:type="dxa"/>
            <w:tcBorders>
              <w:top w:val="nil"/>
              <w:left w:val="nil"/>
              <w:bottom w:val="single" w:sz="4" w:space="0" w:color="auto"/>
              <w:right w:val="single" w:sz="4" w:space="0" w:color="auto"/>
            </w:tcBorders>
            <w:shd w:val="clear" w:color="auto" w:fill="auto"/>
            <w:vAlign w:val="center"/>
          </w:tcPr>
          <w:p w14:paraId="6E80D7B6"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-2,7</w:t>
            </w:r>
          </w:p>
        </w:tc>
        <w:tc>
          <w:tcPr>
            <w:tcW w:w="974" w:type="dxa"/>
            <w:tcBorders>
              <w:top w:val="nil"/>
              <w:left w:val="nil"/>
              <w:bottom w:val="single" w:sz="4" w:space="0" w:color="auto"/>
              <w:right w:val="double" w:sz="4" w:space="0" w:color="auto"/>
            </w:tcBorders>
            <w:shd w:val="clear" w:color="auto" w:fill="auto"/>
            <w:vAlign w:val="center"/>
          </w:tcPr>
          <w:p w14:paraId="5FE0497E"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-2,7</w:t>
            </w:r>
          </w:p>
        </w:tc>
      </w:tr>
      <w:tr w:rsidR="00FD7B0B" w:rsidRPr="00FD7B0B" w14:paraId="014E79C3" w14:textId="77777777" w:rsidTr="00252802">
        <w:trPr>
          <w:trHeight w:val="219"/>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7F93D6E5"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4. РП «Системные меры по повышению производительности труда», в том числе:</w:t>
            </w:r>
          </w:p>
        </w:tc>
        <w:tc>
          <w:tcPr>
            <w:tcW w:w="1417" w:type="dxa"/>
            <w:tcBorders>
              <w:top w:val="nil"/>
              <w:left w:val="nil"/>
              <w:bottom w:val="single" w:sz="4" w:space="0" w:color="auto"/>
              <w:right w:val="single" w:sz="4" w:space="0" w:color="auto"/>
            </w:tcBorders>
            <w:shd w:val="clear" w:color="auto" w:fill="auto"/>
            <w:vAlign w:val="center"/>
          </w:tcPr>
          <w:p w14:paraId="65A7FB9C"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0,045</w:t>
            </w:r>
          </w:p>
        </w:tc>
        <w:tc>
          <w:tcPr>
            <w:tcW w:w="1395" w:type="dxa"/>
            <w:tcBorders>
              <w:top w:val="nil"/>
              <w:left w:val="nil"/>
              <w:bottom w:val="single" w:sz="4" w:space="0" w:color="auto"/>
              <w:right w:val="single" w:sz="4" w:space="0" w:color="auto"/>
            </w:tcBorders>
            <w:shd w:val="clear" w:color="auto" w:fill="auto"/>
            <w:vAlign w:val="center"/>
          </w:tcPr>
          <w:p w14:paraId="786C8994"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0,07</w:t>
            </w:r>
          </w:p>
        </w:tc>
        <w:tc>
          <w:tcPr>
            <w:tcW w:w="1157" w:type="dxa"/>
            <w:tcBorders>
              <w:top w:val="nil"/>
              <w:left w:val="nil"/>
              <w:bottom w:val="single" w:sz="4" w:space="0" w:color="auto"/>
              <w:right w:val="single" w:sz="4" w:space="0" w:color="auto"/>
            </w:tcBorders>
            <w:shd w:val="clear" w:color="auto" w:fill="auto"/>
            <w:vAlign w:val="center"/>
          </w:tcPr>
          <w:p w14:paraId="76E6E0E8"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+0,025</w:t>
            </w:r>
          </w:p>
        </w:tc>
        <w:tc>
          <w:tcPr>
            <w:tcW w:w="974" w:type="dxa"/>
            <w:tcBorders>
              <w:top w:val="nil"/>
              <w:left w:val="nil"/>
              <w:bottom w:val="single" w:sz="4" w:space="0" w:color="auto"/>
              <w:right w:val="double" w:sz="4" w:space="0" w:color="auto"/>
            </w:tcBorders>
            <w:shd w:val="clear" w:color="auto" w:fill="auto"/>
            <w:vAlign w:val="center"/>
          </w:tcPr>
          <w:p w14:paraId="124F2516"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+55,5</w:t>
            </w:r>
          </w:p>
        </w:tc>
      </w:tr>
      <w:tr w:rsidR="00FD7B0B" w:rsidRPr="00FD7B0B" w14:paraId="1B24F009" w14:textId="77777777" w:rsidTr="00252802">
        <w:trPr>
          <w:trHeight w:val="112"/>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3AA1ED3B"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eastAsia="Calibri" w:hAnsi="Times New Roman" w:cs="Times New Roman"/>
                <w:bCs/>
                <w:sz w:val="20"/>
                <w:szCs w:val="20"/>
              </w:rPr>
              <w:t>областной бюджет</w:t>
            </w:r>
          </w:p>
        </w:tc>
        <w:tc>
          <w:tcPr>
            <w:tcW w:w="1417" w:type="dxa"/>
            <w:tcBorders>
              <w:top w:val="nil"/>
              <w:left w:val="nil"/>
              <w:bottom w:val="single" w:sz="4" w:space="0" w:color="auto"/>
              <w:right w:val="single" w:sz="4" w:space="0" w:color="auto"/>
            </w:tcBorders>
            <w:shd w:val="clear" w:color="auto" w:fill="auto"/>
            <w:vAlign w:val="center"/>
          </w:tcPr>
          <w:p w14:paraId="7116BD89"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0,045</w:t>
            </w:r>
          </w:p>
        </w:tc>
        <w:tc>
          <w:tcPr>
            <w:tcW w:w="1395" w:type="dxa"/>
            <w:tcBorders>
              <w:top w:val="nil"/>
              <w:left w:val="nil"/>
              <w:bottom w:val="single" w:sz="4" w:space="0" w:color="auto"/>
              <w:right w:val="single" w:sz="4" w:space="0" w:color="auto"/>
            </w:tcBorders>
            <w:shd w:val="clear" w:color="auto" w:fill="auto"/>
            <w:vAlign w:val="center"/>
          </w:tcPr>
          <w:p w14:paraId="1072128E"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0,07</w:t>
            </w:r>
          </w:p>
        </w:tc>
        <w:tc>
          <w:tcPr>
            <w:tcW w:w="1157" w:type="dxa"/>
            <w:tcBorders>
              <w:top w:val="nil"/>
              <w:left w:val="nil"/>
              <w:bottom w:val="single" w:sz="4" w:space="0" w:color="auto"/>
              <w:right w:val="single" w:sz="4" w:space="0" w:color="auto"/>
            </w:tcBorders>
            <w:shd w:val="clear" w:color="auto" w:fill="auto"/>
            <w:vAlign w:val="center"/>
          </w:tcPr>
          <w:p w14:paraId="033E86B7"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+0,025</w:t>
            </w:r>
          </w:p>
        </w:tc>
        <w:tc>
          <w:tcPr>
            <w:tcW w:w="974" w:type="dxa"/>
            <w:tcBorders>
              <w:top w:val="nil"/>
              <w:left w:val="nil"/>
              <w:bottom w:val="single" w:sz="4" w:space="0" w:color="auto"/>
              <w:right w:val="double" w:sz="4" w:space="0" w:color="auto"/>
            </w:tcBorders>
            <w:shd w:val="clear" w:color="auto" w:fill="auto"/>
            <w:vAlign w:val="center"/>
          </w:tcPr>
          <w:p w14:paraId="10C2C5A4"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+55,5</w:t>
            </w:r>
          </w:p>
        </w:tc>
      </w:tr>
      <w:tr w:rsidR="00FD7B0B" w:rsidRPr="00FD7B0B" w14:paraId="55CFEF51" w14:textId="77777777" w:rsidTr="00252802">
        <w:trPr>
          <w:trHeight w:val="3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73195060"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5. РП «Адресная поддержка повышения производительности труда на предприятиях», в том числе:</w:t>
            </w:r>
          </w:p>
        </w:tc>
        <w:tc>
          <w:tcPr>
            <w:tcW w:w="1417" w:type="dxa"/>
            <w:tcBorders>
              <w:top w:val="nil"/>
              <w:left w:val="nil"/>
              <w:bottom w:val="single" w:sz="4" w:space="0" w:color="auto"/>
              <w:right w:val="single" w:sz="4" w:space="0" w:color="auto"/>
            </w:tcBorders>
            <w:shd w:val="clear" w:color="auto" w:fill="auto"/>
            <w:vAlign w:val="center"/>
          </w:tcPr>
          <w:p w14:paraId="2D2D5B2D"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7,2</w:t>
            </w:r>
          </w:p>
        </w:tc>
        <w:tc>
          <w:tcPr>
            <w:tcW w:w="1395" w:type="dxa"/>
            <w:tcBorders>
              <w:top w:val="nil"/>
              <w:left w:val="nil"/>
              <w:bottom w:val="single" w:sz="4" w:space="0" w:color="auto"/>
              <w:right w:val="single" w:sz="4" w:space="0" w:color="auto"/>
            </w:tcBorders>
            <w:shd w:val="clear" w:color="auto" w:fill="auto"/>
            <w:vAlign w:val="center"/>
          </w:tcPr>
          <w:p w14:paraId="400FA131"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9,0</w:t>
            </w:r>
          </w:p>
        </w:tc>
        <w:tc>
          <w:tcPr>
            <w:tcW w:w="1157" w:type="dxa"/>
            <w:tcBorders>
              <w:top w:val="nil"/>
              <w:left w:val="nil"/>
              <w:bottom w:val="single" w:sz="4" w:space="0" w:color="auto"/>
              <w:right w:val="single" w:sz="4" w:space="0" w:color="auto"/>
            </w:tcBorders>
            <w:shd w:val="clear" w:color="auto" w:fill="auto"/>
            <w:vAlign w:val="center"/>
          </w:tcPr>
          <w:p w14:paraId="32A7B875"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+1,8</w:t>
            </w:r>
          </w:p>
        </w:tc>
        <w:tc>
          <w:tcPr>
            <w:tcW w:w="974" w:type="dxa"/>
            <w:tcBorders>
              <w:top w:val="nil"/>
              <w:left w:val="nil"/>
              <w:bottom w:val="single" w:sz="4" w:space="0" w:color="auto"/>
              <w:right w:val="double" w:sz="4" w:space="0" w:color="auto"/>
            </w:tcBorders>
            <w:shd w:val="clear" w:color="auto" w:fill="auto"/>
            <w:vAlign w:val="center"/>
          </w:tcPr>
          <w:p w14:paraId="675C2A4E"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+25</w:t>
            </w:r>
          </w:p>
        </w:tc>
      </w:tr>
      <w:tr w:rsidR="00FD7B0B" w:rsidRPr="00FD7B0B" w14:paraId="4F679114" w14:textId="77777777" w:rsidTr="00252802">
        <w:trPr>
          <w:trHeight w:val="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251CCF5E"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eastAsia="Calibri" w:hAnsi="Times New Roman" w:cs="Times New Roman"/>
                <w:bCs/>
                <w:sz w:val="20"/>
                <w:szCs w:val="20"/>
              </w:rPr>
              <w:t>областной бюджет</w:t>
            </w:r>
          </w:p>
        </w:tc>
        <w:tc>
          <w:tcPr>
            <w:tcW w:w="1417" w:type="dxa"/>
            <w:tcBorders>
              <w:top w:val="nil"/>
              <w:left w:val="nil"/>
              <w:bottom w:val="single" w:sz="4" w:space="0" w:color="auto"/>
              <w:right w:val="single" w:sz="4" w:space="0" w:color="auto"/>
            </w:tcBorders>
            <w:shd w:val="clear" w:color="auto" w:fill="auto"/>
            <w:vAlign w:val="center"/>
          </w:tcPr>
          <w:p w14:paraId="5D4C13ED"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7,2</w:t>
            </w:r>
          </w:p>
        </w:tc>
        <w:tc>
          <w:tcPr>
            <w:tcW w:w="1395" w:type="dxa"/>
            <w:tcBorders>
              <w:top w:val="nil"/>
              <w:left w:val="nil"/>
              <w:bottom w:val="single" w:sz="4" w:space="0" w:color="auto"/>
              <w:right w:val="single" w:sz="4" w:space="0" w:color="auto"/>
            </w:tcBorders>
            <w:shd w:val="clear" w:color="auto" w:fill="auto"/>
            <w:vAlign w:val="center"/>
          </w:tcPr>
          <w:p w14:paraId="4AA54F93"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9,0</w:t>
            </w:r>
          </w:p>
        </w:tc>
        <w:tc>
          <w:tcPr>
            <w:tcW w:w="1157" w:type="dxa"/>
            <w:tcBorders>
              <w:top w:val="nil"/>
              <w:left w:val="nil"/>
              <w:bottom w:val="single" w:sz="4" w:space="0" w:color="auto"/>
              <w:right w:val="single" w:sz="4" w:space="0" w:color="auto"/>
            </w:tcBorders>
            <w:shd w:val="clear" w:color="auto" w:fill="auto"/>
            <w:vAlign w:val="center"/>
          </w:tcPr>
          <w:p w14:paraId="42EAAA7F"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+1,8</w:t>
            </w:r>
          </w:p>
        </w:tc>
        <w:tc>
          <w:tcPr>
            <w:tcW w:w="974" w:type="dxa"/>
            <w:tcBorders>
              <w:top w:val="nil"/>
              <w:left w:val="nil"/>
              <w:bottom w:val="single" w:sz="4" w:space="0" w:color="auto"/>
              <w:right w:val="double" w:sz="4" w:space="0" w:color="auto"/>
            </w:tcBorders>
            <w:shd w:val="clear" w:color="auto" w:fill="auto"/>
            <w:vAlign w:val="center"/>
          </w:tcPr>
          <w:p w14:paraId="3F9B99C9"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+25</w:t>
            </w:r>
          </w:p>
        </w:tc>
      </w:tr>
      <w:tr w:rsidR="00FD7B0B" w:rsidRPr="00FD7B0B" w14:paraId="3FFAE95F"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53359D08"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6. РП «Развитие промышленности», в том числе:</w:t>
            </w:r>
          </w:p>
        </w:tc>
        <w:tc>
          <w:tcPr>
            <w:tcW w:w="1417" w:type="dxa"/>
            <w:tcBorders>
              <w:top w:val="nil"/>
              <w:left w:val="nil"/>
              <w:bottom w:val="single" w:sz="4" w:space="0" w:color="auto"/>
              <w:right w:val="single" w:sz="4" w:space="0" w:color="auto"/>
            </w:tcBorders>
            <w:shd w:val="clear" w:color="auto" w:fill="auto"/>
            <w:vAlign w:val="center"/>
          </w:tcPr>
          <w:p w14:paraId="4AD623E8"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89,4</w:t>
            </w:r>
          </w:p>
        </w:tc>
        <w:tc>
          <w:tcPr>
            <w:tcW w:w="1395" w:type="dxa"/>
            <w:tcBorders>
              <w:top w:val="nil"/>
              <w:left w:val="nil"/>
              <w:bottom w:val="single" w:sz="4" w:space="0" w:color="auto"/>
              <w:right w:val="single" w:sz="4" w:space="0" w:color="auto"/>
            </w:tcBorders>
            <w:shd w:val="clear" w:color="auto" w:fill="auto"/>
            <w:vAlign w:val="center"/>
          </w:tcPr>
          <w:p w14:paraId="142C599E"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91,9</w:t>
            </w:r>
          </w:p>
        </w:tc>
        <w:tc>
          <w:tcPr>
            <w:tcW w:w="1157" w:type="dxa"/>
            <w:tcBorders>
              <w:top w:val="nil"/>
              <w:left w:val="nil"/>
              <w:bottom w:val="single" w:sz="4" w:space="0" w:color="auto"/>
              <w:right w:val="single" w:sz="4" w:space="0" w:color="auto"/>
            </w:tcBorders>
            <w:shd w:val="clear" w:color="auto" w:fill="auto"/>
            <w:vAlign w:val="center"/>
          </w:tcPr>
          <w:p w14:paraId="0476D02E"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+2,5</w:t>
            </w:r>
          </w:p>
        </w:tc>
        <w:tc>
          <w:tcPr>
            <w:tcW w:w="974" w:type="dxa"/>
            <w:tcBorders>
              <w:top w:val="single" w:sz="4" w:space="0" w:color="auto"/>
              <w:left w:val="nil"/>
              <w:bottom w:val="single" w:sz="4" w:space="0" w:color="auto"/>
              <w:right w:val="double" w:sz="4" w:space="0" w:color="auto"/>
            </w:tcBorders>
            <w:shd w:val="clear" w:color="auto" w:fill="auto"/>
            <w:vAlign w:val="center"/>
          </w:tcPr>
          <w:p w14:paraId="5D1D16A7"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+2,8</w:t>
            </w:r>
          </w:p>
        </w:tc>
      </w:tr>
      <w:tr w:rsidR="00FD7B0B" w:rsidRPr="00FD7B0B" w14:paraId="28673957"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17D7C026" w14:textId="77777777" w:rsidR="00AD4D1E" w:rsidRPr="00FD7B0B" w:rsidRDefault="00AD4D1E" w:rsidP="00252802">
            <w:pPr>
              <w:spacing w:after="0"/>
              <w:rPr>
                <w:rFonts w:ascii="Times New Roman" w:hAnsi="Times New Roman"/>
                <w:bCs/>
                <w:sz w:val="20"/>
                <w:szCs w:val="20"/>
              </w:rPr>
            </w:pPr>
            <w:r w:rsidRPr="00FD7B0B">
              <w:rPr>
                <w:rFonts w:ascii="Times New Roman" w:hAnsi="Times New Roman"/>
                <w:bCs/>
                <w:sz w:val="20"/>
                <w:szCs w:val="20"/>
              </w:rPr>
              <w:t>областной бюджет</w:t>
            </w:r>
          </w:p>
        </w:tc>
        <w:tc>
          <w:tcPr>
            <w:tcW w:w="1417" w:type="dxa"/>
            <w:tcBorders>
              <w:top w:val="nil"/>
              <w:left w:val="nil"/>
              <w:bottom w:val="single" w:sz="4" w:space="0" w:color="auto"/>
              <w:right w:val="single" w:sz="4" w:space="0" w:color="auto"/>
            </w:tcBorders>
            <w:shd w:val="clear" w:color="auto" w:fill="auto"/>
            <w:vAlign w:val="center"/>
          </w:tcPr>
          <w:p w14:paraId="4AF33517"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89,4</w:t>
            </w:r>
          </w:p>
        </w:tc>
        <w:tc>
          <w:tcPr>
            <w:tcW w:w="1395" w:type="dxa"/>
            <w:tcBorders>
              <w:top w:val="nil"/>
              <w:left w:val="nil"/>
              <w:bottom w:val="single" w:sz="4" w:space="0" w:color="auto"/>
              <w:right w:val="single" w:sz="4" w:space="0" w:color="auto"/>
            </w:tcBorders>
            <w:shd w:val="clear" w:color="auto" w:fill="auto"/>
            <w:vAlign w:val="center"/>
          </w:tcPr>
          <w:p w14:paraId="6F48918A"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91,9</w:t>
            </w:r>
          </w:p>
        </w:tc>
        <w:tc>
          <w:tcPr>
            <w:tcW w:w="1157" w:type="dxa"/>
            <w:tcBorders>
              <w:top w:val="single" w:sz="4" w:space="0" w:color="auto"/>
              <w:left w:val="nil"/>
              <w:bottom w:val="single" w:sz="4" w:space="0" w:color="auto"/>
              <w:right w:val="single" w:sz="4" w:space="0" w:color="auto"/>
            </w:tcBorders>
            <w:shd w:val="clear" w:color="auto" w:fill="auto"/>
            <w:vAlign w:val="center"/>
          </w:tcPr>
          <w:p w14:paraId="4E044156"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+2,5</w:t>
            </w:r>
          </w:p>
        </w:tc>
        <w:tc>
          <w:tcPr>
            <w:tcW w:w="974" w:type="dxa"/>
            <w:tcBorders>
              <w:top w:val="single" w:sz="4" w:space="0" w:color="auto"/>
              <w:left w:val="nil"/>
              <w:bottom w:val="single" w:sz="4" w:space="0" w:color="auto"/>
              <w:right w:val="double" w:sz="4" w:space="0" w:color="auto"/>
            </w:tcBorders>
            <w:shd w:val="clear" w:color="auto" w:fill="auto"/>
            <w:vAlign w:val="center"/>
          </w:tcPr>
          <w:p w14:paraId="144B50CB"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+2,8</w:t>
            </w:r>
          </w:p>
        </w:tc>
      </w:tr>
      <w:tr w:rsidR="00FD7B0B" w:rsidRPr="00FD7B0B" w14:paraId="50D349BD"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1B0F7DEC"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7. РП «Реализация мероприятий плана социального развития центров экономического роста на территории Арктической зоны Российской Федерации», в том числе:</w:t>
            </w:r>
          </w:p>
        </w:tc>
        <w:tc>
          <w:tcPr>
            <w:tcW w:w="1417" w:type="dxa"/>
            <w:tcBorders>
              <w:top w:val="single" w:sz="4" w:space="0" w:color="auto"/>
              <w:left w:val="nil"/>
              <w:bottom w:val="single" w:sz="4" w:space="0" w:color="auto"/>
              <w:right w:val="single" w:sz="4" w:space="0" w:color="auto"/>
            </w:tcBorders>
            <w:shd w:val="clear" w:color="auto" w:fill="auto"/>
            <w:vAlign w:val="center"/>
          </w:tcPr>
          <w:p w14:paraId="3C5E8CDE"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1 114,1</w:t>
            </w:r>
          </w:p>
        </w:tc>
        <w:tc>
          <w:tcPr>
            <w:tcW w:w="1395" w:type="dxa"/>
            <w:tcBorders>
              <w:top w:val="single" w:sz="4" w:space="0" w:color="auto"/>
              <w:left w:val="nil"/>
              <w:bottom w:val="single" w:sz="4" w:space="0" w:color="auto"/>
              <w:right w:val="single" w:sz="4" w:space="0" w:color="auto"/>
            </w:tcBorders>
            <w:shd w:val="clear" w:color="auto" w:fill="auto"/>
            <w:vAlign w:val="center"/>
          </w:tcPr>
          <w:p w14:paraId="124EFB17"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1 113,9</w:t>
            </w:r>
          </w:p>
        </w:tc>
        <w:tc>
          <w:tcPr>
            <w:tcW w:w="1157" w:type="dxa"/>
            <w:tcBorders>
              <w:top w:val="single" w:sz="4" w:space="0" w:color="auto"/>
              <w:left w:val="nil"/>
              <w:bottom w:val="single" w:sz="4" w:space="0" w:color="auto"/>
              <w:right w:val="single" w:sz="4" w:space="0" w:color="auto"/>
            </w:tcBorders>
            <w:shd w:val="clear" w:color="auto" w:fill="auto"/>
            <w:vAlign w:val="center"/>
          </w:tcPr>
          <w:p w14:paraId="7B035E0B"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-0,2</w:t>
            </w:r>
          </w:p>
        </w:tc>
        <w:tc>
          <w:tcPr>
            <w:tcW w:w="974" w:type="dxa"/>
            <w:tcBorders>
              <w:top w:val="single" w:sz="4" w:space="0" w:color="auto"/>
              <w:left w:val="nil"/>
              <w:bottom w:val="single" w:sz="4" w:space="0" w:color="auto"/>
              <w:right w:val="double" w:sz="4" w:space="0" w:color="auto"/>
            </w:tcBorders>
            <w:shd w:val="clear" w:color="auto" w:fill="auto"/>
            <w:vAlign w:val="center"/>
          </w:tcPr>
          <w:p w14:paraId="4B3BD125"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-0,01</w:t>
            </w:r>
          </w:p>
        </w:tc>
      </w:tr>
      <w:tr w:rsidR="00FD7B0B" w:rsidRPr="00FD7B0B" w14:paraId="7007D373"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54C0B492"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областной бюджет</w:t>
            </w:r>
          </w:p>
        </w:tc>
        <w:tc>
          <w:tcPr>
            <w:tcW w:w="1417" w:type="dxa"/>
            <w:tcBorders>
              <w:top w:val="single" w:sz="4" w:space="0" w:color="auto"/>
              <w:left w:val="nil"/>
              <w:bottom w:val="single" w:sz="4" w:space="0" w:color="auto"/>
              <w:right w:val="single" w:sz="4" w:space="0" w:color="auto"/>
            </w:tcBorders>
            <w:shd w:val="clear" w:color="auto" w:fill="auto"/>
            <w:vAlign w:val="center"/>
          </w:tcPr>
          <w:p w14:paraId="7FDC27DE"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1 113,5</w:t>
            </w:r>
          </w:p>
        </w:tc>
        <w:tc>
          <w:tcPr>
            <w:tcW w:w="1395" w:type="dxa"/>
            <w:tcBorders>
              <w:top w:val="single" w:sz="4" w:space="0" w:color="auto"/>
              <w:left w:val="nil"/>
              <w:bottom w:val="single" w:sz="4" w:space="0" w:color="auto"/>
              <w:right w:val="single" w:sz="4" w:space="0" w:color="auto"/>
            </w:tcBorders>
            <w:shd w:val="clear" w:color="auto" w:fill="auto"/>
            <w:vAlign w:val="center"/>
          </w:tcPr>
          <w:p w14:paraId="3BF25FE4"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1 113,5</w:t>
            </w:r>
          </w:p>
        </w:tc>
        <w:tc>
          <w:tcPr>
            <w:tcW w:w="1157" w:type="dxa"/>
            <w:tcBorders>
              <w:top w:val="single" w:sz="4" w:space="0" w:color="auto"/>
              <w:left w:val="nil"/>
              <w:bottom w:val="single" w:sz="4" w:space="0" w:color="auto"/>
              <w:right w:val="single" w:sz="4" w:space="0" w:color="auto"/>
            </w:tcBorders>
            <w:shd w:val="clear" w:color="auto" w:fill="auto"/>
            <w:vAlign w:val="center"/>
          </w:tcPr>
          <w:p w14:paraId="5C558B90"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w:t>
            </w:r>
          </w:p>
        </w:tc>
        <w:tc>
          <w:tcPr>
            <w:tcW w:w="974" w:type="dxa"/>
            <w:tcBorders>
              <w:top w:val="single" w:sz="4" w:space="0" w:color="auto"/>
              <w:left w:val="nil"/>
              <w:bottom w:val="single" w:sz="4" w:space="0" w:color="auto"/>
              <w:right w:val="double" w:sz="4" w:space="0" w:color="auto"/>
            </w:tcBorders>
            <w:shd w:val="clear" w:color="auto" w:fill="auto"/>
            <w:vAlign w:val="center"/>
          </w:tcPr>
          <w:p w14:paraId="58D7F611"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w:t>
            </w:r>
          </w:p>
        </w:tc>
      </w:tr>
      <w:tr w:rsidR="00FD7B0B" w:rsidRPr="00FD7B0B" w14:paraId="7FF11C78"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7747C47B"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консолидированные бюджеты муниципальных образований Архангельской области</w:t>
            </w:r>
          </w:p>
        </w:tc>
        <w:tc>
          <w:tcPr>
            <w:tcW w:w="1417" w:type="dxa"/>
            <w:tcBorders>
              <w:top w:val="single" w:sz="4" w:space="0" w:color="auto"/>
              <w:left w:val="nil"/>
              <w:bottom w:val="single" w:sz="4" w:space="0" w:color="auto"/>
              <w:right w:val="single" w:sz="4" w:space="0" w:color="auto"/>
            </w:tcBorders>
            <w:shd w:val="clear" w:color="auto" w:fill="auto"/>
            <w:vAlign w:val="center"/>
          </w:tcPr>
          <w:p w14:paraId="17499D7E"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0,6</w:t>
            </w:r>
          </w:p>
        </w:tc>
        <w:tc>
          <w:tcPr>
            <w:tcW w:w="1395" w:type="dxa"/>
            <w:tcBorders>
              <w:top w:val="single" w:sz="4" w:space="0" w:color="auto"/>
              <w:left w:val="nil"/>
              <w:bottom w:val="single" w:sz="4" w:space="0" w:color="auto"/>
              <w:right w:val="single" w:sz="4" w:space="0" w:color="auto"/>
            </w:tcBorders>
            <w:shd w:val="clear" w:color="auto" w:fill="auto"/>
            <w:vAlign w:val="center"/>
          </w:tcPr>
          <w:p w14:paraId="7E2BB985"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0,4</w:t>
            </w:r>
          </w:p>
        </w:tc>
        <w:tc>
          <w:tcPr>
            <w:tcW w:w="1157" w:type="dxa"/>
            <w:tcBorders>
              <w:top w:val="single" w:sz="4" w:space="0" w:color="auto"/>
              <w:left w:val="nil"/>
              <w:bottom w:val="single" w:sz="4" w:space="0" w:color="auto"/>
              <w:right w:val="single" w:sz="4" w:space="0" w:color="auto"/>
            </w:tcBorders>
            <w:shd w:val="clear" w:color="auto" w:fill="auto"/>
            <w:vAlign w:val="center"/>
          </w:tcPr>
          <w:p w14:paraId="6E791FD8"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-0,2</w:t>
            </w:r>
          </w:p>
        </w:tc>
        <w:tc>
          <w:tcPr>
            <w:tcW w:w="974" w:type="dxa"/>
            <w:tcBorders>
              <w:top w:val="single" w:sz="4" w:space="0" w:color="auto"/>
              <w:left w:val="nil"/>
              <w:bottom w:val="single" w:sz="4" w:space="0" w:color="auto"/>
              <w:right w:val="double" w:sz="4" w:space="0" w:color="auto"/>
            </w:tcBorders>
            <w:shd w:val="clear" w:color="auto" w:fill="auto"/>
            <w:vAlign w:val="center"/>
          </w:tcPr>
          <w:p w14:paraId="37C79D7A"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-33,3</w:t>
            </w:r>
          </w:p>
        </w:tc>
      </w:tr>
      <w:tr w:rsidR="00FD7B0B" w:rsidRPr="00FD7B0B" w14:paraId="071D1FB8"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5FDE2EEA"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8. РП «Создание сети современных кампусов» в том числе:</w:t>
            </w:r>
          </w:p>
        </w:tc>
        <w:tc>
          <w:tcPr>
            <w:tcW w:w="1417" w:type="dxa"/>
            <w:tcBorders>
              <w:top w:val="single" w:sz="4" w:space="0" w:color="auto"/>
              <w:left w:val="nil"/>
              <w:bottom w:val="single" w:sz="4" w:space="0" w:color="auto"/>
              <w:right w:val="single" w:sz="4" w:space="0" w:color="auto"/>
            </w:tcBorders>
            <w:shd w:val="clear" w:color="auto" w:fill="auto"/>
            <w:vAlign w:val="center"/>
          </w:tcPr>
          <w:p w14:paraId="69BAA2A5"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400,00</w:t>
            </w:r>
          </w:p>
        </w:tc>
        <w:tc>
          <w:tcPr>
            <w:tcW w:w="1395" w:type="dxa"/>
            <w:tcBorders>
              <w:top w:val="single" w:sz="4" w:space="0" w:color="auto"/>
              <w:left w:val="nil"/>
              <w:bottom w:val="single" w:sz="4" w:space="0" w:color="auto"/>
              <w:right w:val="single" w:sz="4" w:space="0" w:color="auto"/>
            </w:tcBorders>
            <w:shd w:val="clear" w:color="auto" w:fill="auto"/>
            <w:vAlign w:val="center"/>
          </w:tcPr>
          <w:p w14:paraId="37FE7367"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450,00</w:t>
            </w:r>
          </w:p>
        </w:tc>
        <w:tc>
          <w:tcPr>
            <w:tcW w:w="1157" w:type="dxa"/>
            <w:tcBorders>
              <w:top w:val="single" w:sz="4" w:space="0" w:color="auto"/>
              <w:left w:val="nil"/>
              <w:bottom w:val="single" w:sz="4" w:space="0" w:color="auto"/>
              <w:right w:val="single" w:sz="4" w:space="0" w:color="auto"/>
            </w:tcBorders>
            <w:shd w:val="clear" w:color="auto" w:fill="auto"/>
            <w:vAlign w:val="center"/>
          </w:tcPr>
          <w:p w14:paraId="379DF9A1"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+50,0</w:t>
            </w:r>
          </w:p>
        </w:tc>
        <w:tc>
          <w:tcPr>
            <w:tcW w:w="974" w:type="dxa"/>
            <w:tcBorders>
              <w:top w:val="single" w:sz="4" w:space="0" w:color="auto"/>
              <w:left w:val="nil"/>
              <w:bottom w:val="single" w:sz="4" w:space="0" w:color="auto"/>
              <w:right w:val="double" w:sz="4" w:space="0" w:color="auto"/>
            </w:tcBorders>
            <w:shd w:val="clear" w:color="auto" w:fill="auto"/>
            <w:vAlign w:val="center"/>
          </w:tcPr>
          <w:p w14:paraId="427E6CB4"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+12,5</w:t>
            </w:r>
          </w:p>
        </w:tc>
      </w:tr>
      <w:tr w:rsidR="00FD7B0B" w:rsidRPr="00FD7B0B" w14:paraId="2D8596FD"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03567FA8"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областной бюджет</w:t>
            </w:r>
          </w:p>
        </w:tc>
        <w:tc>
          <w:tcPr>
            <w:tcW w:w="1417" w:type="dxa"/>
            <w:tcBorders>
              <w:top w:val="single" w:sz="4" w:space="0" w:color="auto"/>
              <w:left w:val="nil"/>
              <w:bottom w:val="single" w:sz="4" w:space="0" w:color="auto"/>
              <w:right w:val="single" w:sz="4" w:space="0" w:color="auto"/>
            </w:tcBorders>
            <w:shd w:val="clear" w:color="auto" w:fill="auto"/>
            <w:vAlign w:val="center"/>
          </w:tcPr>
          <w:p w14:paraId="286C1125"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400,00</w:t>
            </w:r>
          </w:p>
        </w:tc>
        <w:tc>
          <w:tcPr>
            <w:tcW w:w="1395" w:type="dxa"/>
            <w:tcBorders>
              <w:top w:val="single" w:sz="4" w:space="0" w:color="auto"/>
              <w:left w:val="nil"/>
              <w:bottom w:val="single" w:sz="4" w:space="0" w:color="auto"/>
              <w:right w:val="single" w:sz="4" w:space="0" w:color="auto"/>
            </w:tcBorders>
            <w:shd w:val="clear" w:color="auto" w:fill="auto"/>
            <w:vAlign w:val="center"/>
          </w:tcPr>
          <w:p w14:paraId="54DA8C5C"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450,00</w:t>
            </w:r>
          </w:p>
        </w:tc>
        <w:tc>
          <w:tcPr>
            <w:tcW w:w="1157" w:type="dxa"/>
            <w:tcBorders>
              <w:top w:val="single" w:sz="4" w:space="0" w:color="auto"/>
              <w:left w:val="nil"/>
              <w:bottom w:val="single" w:sz="4" w:space="0" w:color="auto"/>
              <w:right w:val="single" w:sz="4" w:space="0" w:color="auto"/>
            </w:tcBorders>
            <w:shd w:val="clear" w:color="auto" w:fill="auto"/>
            <w:vAlign w:val="center"/>
          </w:tcPr>
          <w:p w14:paraId="5F47900B"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+50,0</w:t>
            </w:r>
          </w:p>
        </w:tc>
        <w:tc>
          <w:tcPr>
            <w:tcW w:w="974" w:type="dxa"/>
            <w:tcBorders>
              <w:top w:val="single" w:sz="4" w:space="0" w:color="auto"/>
              <w:left w:val="nil"/>
              <w:bottom w:val="single" w:sz="4" w:space="0" w:color="auto"/>
              <w:right w:val="double" w:sz="4" w:space="0" w:color="auto"/>
            </w:tcBorders>
            <w:shd w:val="clear" w:color="auto" w:fill="auto"/>
            <w:vAlign w:val="center"/>
          </w:tcPr>
          <w:p w14:paraId="576DE20B"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+12,5</w:t>
            </w:r>
          </w:p>
        </w:tc>
      </w:tr>
      <w:tr w:rsidR="00FD7B0B" w:rsidRPr="00FD7B0B" w14:paraId="5D487838"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78FE3D53" w14:textId="77777777" w:rsidR="00AD4D1E" w:rsidRPr="00FD7B0B" w:rsidRDefault="00AD4D1E" w:rsidP="00252802">
            <w:pPr>
              <w:spacing w:after="0" w:line="240" w:lineRule="auto"/>
              <w:rPr>
                <w:rFonts w:ascii="Times New Roman" w:hAnsi="Times New Roman"/>
                <w:bCs/>
                <w:sz w:val="20"/>
                <w:szCs w:val="20"/>
              </w:rPr>
            </w:pPr>
            <w:r w:rsidRPr="00FD7B0B">
              <w:rPr>
                <w:rFonts w:ascii="Times New Roman" w:hAnsi="Times New Roman"/>
                <w:bCs/>
                <w:sz w:val="20"/>
                <w:szCs w:val="20"/>
              </w:rPr>
              <w:t>9. РП «Стимулирование спроса на отечественные беспилотные авиационные системы (Архангельская область)», в том числе:</w:t>
            </w:r>
          </w:p>
        </w:tc>
        <w:tc>
          <w:tcPr>
            <w:tcW w:w="1417" w:type="dxa"/>
            <w:tcBorders>
              <w:top w:val="single" w:sz="4" w:space="0" w:color="auto"/>
              <w:left w:val="nil"/>
              <w:bottom w:val="single" w:sz="4" w:space="0" w:color="auto"/>
              <w:right w:val="single" w:sz="4" w:space="0" w:color="auto"/>
            </w:tcBorders>
            <w:shd w:val="clear" w:color="auto" w:fill="auto"/>
            <w:vAlign w:val="center"/>
          </w:tcPr>
          <w:p w14:paraId="4C839C0D"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64,0</w:t>
            </w:r>
          </w:p>
        </w:tc>
        <w:tc>
          <w:tcPr>
            <w:tcW w:w="1395" w:type="dxa"/>
            <w:tcBorders>
              <w:top w:val="single" w:sz="4" w:space="0" w:color="auto"/>
              <w:left w:val="nil"/>
              <w:bottom w:val="single" w:sz="4" w:space="0" w:color="auto"/>
              <w:right w:val="single" w:sz="4" w:space="0" w:color="auto"/>
            </w:tcBorders>
            <w:shd w:val="clear" w:color="auto" w:fill="auto"/>
            <w:vAlign w:val="center"/>
          </w:tcPr>
          <w:p w14:paraId="70068526"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317,4</w:t>
            </w:r>
          </w:p>
        </w:tc>
        <w:tc>
          <w:tcPr>
            <w:tcW w:w="1157" w:type="dxa"/>
            <w:tcBorders>
              <w:top w:val="single" w:sz="4" w:space="0" w:color="auto"/>
              <w:left w:val="nil"/>
              <w:bottom w:val="single" w:sz="4" w:space="0" w:color="auto"/>
              <w:right w:val="single" w:sz="4" w:space="0" w:color="auto"/>
            </w:tcBorders>
            <w:shd w:val="clear" w:color="auto" w:fill="auto"/>
            <w:vAlign w:val="center"/>
          </w:tcPr>
          <w:p w14:paraId="452EE842"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+253,4</w:t>
            </w:r>
          </w:p>
        </w:tc>
        <w:tc>
          <w:tcPr>
            <w:tcW w:w="974" w:type="dxa"/>
            <w:tcBorders>
              <w:top w:val="single" w:sz="4" w:space="0" w:color="auto"/>
              <w:left w:val="nil"/>
              <w:bottom w:val="single" w:sz="4" w:space="0" w:color="auto"/>
              <w:right w:val="double" w:sz="4" w:space="0" w:color="auto"/>
            </w:tcBorders>
            <w:shd w:val="clear" w:color="auto" w:fill="auto"/>
            <w:vAlign w:val="center"/>
          </w:tcPr>
          <w:p w14:paraId="339103B8"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в 4,95 раза</w:t>
            </w:r>
          </w:p>
        </w:tc>
      </w:tr>
      <w:tr w:rsidR="00FD7B0B" w:rsidRPr="00FD7B0B" w14:paraId="016A3CB5"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4038D609" w14:textId="77777777" w:rsidR="00AD4D1E" w:rsidRPr="00FD7B0B" w:rsidRDefault="00AD4D1E" w:rsidP="00252802">
            <w:pPr>
              <w:spacing w:after="0"/>
              <w:rPr>
                <w:rFonts w:ascii="Times New Roman" w:hAnsi="Times New Roman"/>
                <w:bCs/>
                <w:sz w:val="20"/>
                <w:szCs w:val="20"/>
              </w:rPr>
            </w:pPr>
            <w:r w:rsidRPr="00FD7B0B">
              <w:rPr>
                <w:rFonts w:ascii="Times New Roman" w:hAnsi="Times New Roman"/>
                <w:bCs/>
                <w:sz w:val="20"/>
                <w:szCs w:val="20"/>
              </w:rPr>
              <w:t>областной бюджет</w:t>
            </w:r>
          </w:p>
        </w:tc>
        <w:tc>
          <w:tcPr>
            <w:tcW w:w="1417" w:type="dxa"/>
            <w:tcBorders>
              <w:top w:val="single" w:sz="4" w:space="0" w:color="auto"/>
              <w:left w:val="nil"/>
              <w:bottom w:val="single" w:sz="4" w:space="0" w:color="auto"/>
              <w:right w:val="single" w:sz="4" w:space="0" w:color="auto"/>
            </w:tcBorders>
            <w:shd w:val="clear" w:color="auto" w:fill="auto"/>
            <w:vAlign w:val="center"/>
          </w:tcPr>
          <w:p w14:paraId="5F77DB01"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64,0</w:t>
            </w:r>
          </w:p>
        </w:tc>
        <w:tc>
          <w:tcPr>
            <w:tcW w:w="1395" w:type="dxa"/>
            <w:tcBorders>
              <w:top w:val="single" w:sz="4" w:space="0" w:color="auto"/>
              <w:left w:val="nil"/>
              <w:bottom w:val="single" w:sz="4" w:space="0" w:color="auto"/>
              <w:right w:val="single" w:sz="4" w:space="0" w:color="auto"/>
            </w:tcBorders>
            <w:shd w:val="clear" w:color="auto" w:fill="auto"/>
            <w:vAlign w:val="center"/>
          </w:tcPr>
          <w:p w14:paraId="141996FF"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317,4</w:t>
            </w:r>
          </w:p>
        </w:tc>
        <w:tc>
          <w:tcPr>
            <w:tcW w:w="1157" w:type="dxa"/>
            <w:tcBorders>
              <w:top w:val="single" w:sz="4" w:space="0" w:color="auto"/>
              <w:left w:val="nil"/>
              <w:bottom w:val="single" w:sz="4" w:space="0" w:color="auto"/>
              <w:right w:val="single" w:sz="4" w:space="0" w:color="auto"/>
            </w:tcBorders>
            <w:shd w:val="clear" w:color="auto" w:fill="auto"/>
            <w:vAlign w:val="center"/>
          </w:tcPr>
          <w:p w14:paraId="34C2821D"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+253,4</w:t>
            </w:r>
          </w:p>
        </w:tc>
        <w:tc>
          <w:tcPr>
            <w:tcW w:w="974" w:type="dxa"/>
            <w:tcBorders>
              <w:top w:val="single" w:sz="4" w:space="0" w:color="auto"/>
              <w:left w:val="nil"/>
              <w:bottom w:val="single" w:sz="4" w:space="0" w:color="auto"/>
              <w:right w:val="double" w:sz="4" w:space="0" w:color="auto"/>
            </w:tcBorders>
            <w:shd w:val="clear" w:color="auto" w:fill="auto"/>
            <w:vAlign w:val="center"/>
          </w:tcPr>
          <w:p w14:paraId="25066555"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в 4,95 раза</w:t>
            </w:r>
          </w:p>
        </w:tc>
      </w:tr>
      <w:tr w:rsidR="00FD7B0B" w:rsidRPr="00FD7B0B" w14:paraId="57C32188" w14:textId="77777777" w:rsidTr="00252802">
        <w:trPr>
          <w:trHeight w:val="174"/>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63A7A286" w14:textId="77777777" w:rsidR="00AD4D1E" w:rsidRPr="00FD7B0B" w:rsidRDefault="00AD4D1E" w:rsidP="00252802">
            <w:pPr>
              <w:spacing w:after="0"/>
              <w:rPr>
                <w:rFonts w:ascii="Times New Roman" w:hAnsi="Times New Roman"/>
                <w:bCs/>
                <w:sz w:val="20"/>
                <w:szCs w:val="20"/>
              </w:rPr>
            </w:pPr>
            <w:r w:rsidRPr="00FD7B0B">
              <w:rPr>
                <w:rFonts w:ascii="Times New Roman" w:hAnsi="Times New Roman"/>
                <w:bCs/>
                <w:sz w:val="20"/>
                <w:szCs w:val="20"/>
              </w:rPr>
              <w:t>КПМ «Экономическое и научное развитие Архангельской области»</w:t>
            </w:r>
          </w:p>
        </w:tc>
        <w:tc>
          <w:tcPr>
            <w:tcW w:w="1417" w:type="dxa"/>
            <w:tcBorders>
              <w:top w:val="single" w:sz="4" w:space="0" w:color="auto"/>
              <w:left w:val="nil"/>
              <w:bottom w:val="single" w:sz="4" w:space="0" w:color="auto"/>
              <w:right w:val="single" w:sz="4" w:space="0" w:color="auto"/>
            </w:tcBorders>
            <w:shd w:val="clear" w:color="auto" w:fill="auto"/>
            <w:vAlign w:val="center"/>
          </w:tcPr>
          <w:p w14:paraId="3112E66B"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684,3</w:t>
            </w:r>
          </w:p>
        </w:tc>
        <w:tc>
          <w:tcPr>
            <w:tcW w:w="1395" w:type="dxa"/>
            <w:tcBorders>
              <w:top w:val="single" w:sz="4" w:space="0" w:color="auto"/>
              <w:left w:val="nil"/>
              <w:bottom w:val="single" w:sz="4" w:space="0" w:color="auto"/>
              <w:right w:val="single" w:sz="4" w:space="0" w:color="auto"/>
            </w:tcBorders>
            <w:shd w:val="clear" w:color="auto" w:fill="auto"/>
            <w:vAlign w:val="center"/>
          </w:tcPr>
          <w:p w14:paraId="3D1E5FDA"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616,9</w:t>
            </w:r>
          </w:p>
        </w:tc>
        <w:tc>
          <w:tcPr>
            <w:tcW w:w="1157" w:type="dxa"/>
            <w:tcBorders>
              <w:top w:val="single" w:sz="4" w:space="0" w:color="auto"/>
              <w:left w:val="nil"/>
              <w:bottom w:val="single" w:sz="4" w:space="0" w:color="auto"/>
              <w:right w:val="single" w:sz="4" w:space="0" w:color="auto"/>
            </w:tcBorders>
            <w:shd w:val="clear" w:color="auto" w:fill="auto"/>
            <w:vAlign w:val="center"/>
          </w:tcPr>
          <w:p w14:paraId="515004E3"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-67,4</w:t>
            </w:r>
          </w:p>
        </w:tc>
        <w:tc>
          <w:tcPr>
            <w:tcW w:w="974" w:type="dxa"/>
            <w:tcBorders>
              <w:top w:val="single" w:sz="4" w:space="0" w:color="auto"/>
              <w:left w:val="nil"/>
              <w:bottom w:val="single" w:sz="4" w:space="0" w:color="auto"/>
              <w:right w:val="double" w:sz="4" w:space="0" w:color="auto"/>
            </w:tcBorders>
            <w:shd w:val="clear" w:color="auto" w:fill="auto"/>
            <w:vAlign w:val="center"/>
          </w:tcPr>
          <w:p w14:paraId="05D85860"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-9,8</w:t>
            </w:r>
          </w:p>
        </w:tc>
      </w:tr>
      <w:tr w:rsidR="00FD7B0B" w:rsidRPr="00FD7B0B" w14:paraId="6C9D70AB"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73EA4342" w14:textId="77777777" w:rsidR="00AD4D1E" w:rsidRPr="00FD7B0B" w:rsidRDefault="00AD4D1E" w:rsidP="00252802">
            <w:pPr>
              <w:spacing w:after="0"/>
              <w:rPr>
                <w:rFonts w:ascii="Times New Roman" w:hAnsi="Times New Roman"/>
                <w:bCs/>
                <w:sz w:val="20"/>
                <w:szCs w:val="20"/>
              </w:rPr>
            </w:pPr>
            <w:r w:rsidRPr="00FD7B0B">
              <w:rPr>
                <w:rFonts w:ascii="Times New Roman" w:hAnsi="Times New Roman"/>
                <w:bCs/>
                <w:sz w:val="20"/>
                <w:szCs w:val="20"/>
              </w:rPr>
              <w:lastRenderedPageBreak/>
              <w:t>областной бюджет</w:t>
            </w:r>
          </w:p>
        </w:tc>
        <w:tc>
          <w:tcPr>
            <w:tcW w:w="1417" w:type="dxa"/>
            <w:tcBorders>
              <w:top w:val="single" w:sz="4" w:space="0" w:color="auto"/>
              <w:left w:val="nil"/>
              <w:bottom w:val="single" w:sz="4" w:space="0" w:color="auto"/>
              <w:right w:val="single" w:sz="4" w:space="0" w:color="auto"/>
            </w:tcBorders>
            <w:shd w:val="clear" w:color="auto" w:fill="auto"/>
            <w:vAlign w:val="center"/>
          </w:tcPr>
          <w:p w14:paraId="7D23278B"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683,2</w:t>
            </w:r>
          </w:p>
        </w:tc>
        <w:tc>
          <w:tcPr>
            <w:tcW w:w="1395" w:type="dxa"/>
            <w:tcBorders>
              <w:top w:val="single" w:sz="4" w:space="0" w:color="auto"/>
              <w:left w:val="nil"/>
              <w:bottom w:val="single" w:sz="4" w:space="0" w:color="auto"/>
              <w:right w:val="single" w:sz="4" w:space="0" w:color="auto"/>
            </w:tcBorders>
            <w:shd w:val="clear" w:color="auto" w:fill="auto"/>
            <w:vAlign w:val="center"/>
          </w:tcPr>
          <w:p w14:paraId="48B10757"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615,8</w:t>
            </w:r>
          </w:p>
        </w:tc>
        <w:tc>
          <w:tcPr>
            <w:tcW w:w="1157" w:type="dxa"/>
            <w:tcBorders>
              <w:top w:val="single" w:sz="4" w:space="0" w:color="auto"/>
              <w:left w:val="nil"/>
              <w:bottom w:val="single" w:sz="4" w:space="0" w:color="auto"/>
              <w:right w:val="single" w:sz="4" w:space="0" w:color="auto"/>
            </w:tcBorders>
            <w:shd w:val="clear" w:color="auto" w:fill="auto"/>
            <w:vAlign w:val="center"/>
          </w:tcPr>
          <w:p w14:paraId="4A737A95"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-67,4</w:t>
            </w:r>
          </w:p>
        </w:tc>
        <w:tc>
          <w:tcPr>
            <w:tcW w:w="974" w:type="dxa"/>
            <w:tcBorders>
              <w:top w:val="single" w:sz="4" w:space="0" w:color="auto"/>
              <w:left w:val="nil"/>
              <w:bottom w:val="single" w:sz="4" w:space="0" w:color="auto"/>
              <w:right w:val="double" w:sz="4" w:space="0" w:color="auto"/>
            </w:tcBorders>
            <w:shd w:val="clear" w:color="auto" w:fill="auto"/>
            <w:vAlign w:val="center"/>
          </w:tcPr>
          <w:p w14:paraId="4B328822"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-9,9</w:t>
            </w:r>
          </w:p>
        </w:tc>
      </w:tr>
      <w:tr w:rsidR="00FD7B0B" w:rsidRPr="00FD7B0B" w14:paraId="54CCD44F"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6EF834AC" w14:textId="77777777" w:rsidR="00AD4D1E" w:rsidRPr="00FD7B0B" w:rsidRDefault="00AD4D1E" w:rsidP="00252802">
            <w:pPr>
              <w:spacing w:after="0"/>
              <w:rPr>
                <w:rFonts w:ascii="Times New Roman" w:hAnsi="Times New Roman"/>
                <w:bCs/>
                <w:sz w:val="20"/>
                <w:szCs w:val="20"/>
              </w:rPr>
            </w:pPr>
            <w:r w:rsidRPr="00FD7B0B">
              <w:rPr>
                <w:rFonts w:ascii="Times New Roman" w:hAnsi="Times New Roman"/>
                <w:bCs/>
                <w:sz w:val="20"/>
                <w:szCs w:val="20"/>
              </w:rPr>
              <w:t>консолидированные бюджеты муниципальных образований Архангельской области</w:t>
            </w:r>
          </w:p>
        </w:tc>
        <w:tc>
          <w:tcPr>
            <w:tcW w:w="1417" w:type="dxa"/>
            <w:tcBorders>
              <w:top w:val="single" w:sz="4" w:space="0" w:color="auto"/>
              <w:left w:val="nil"/>
              <w:bottom w:val="single" w:sz="4" w:space="0" w:color="auto"/>
              <w:right w:val="single" w:sz="4" w:space="0" w:color="auto"/>
            </w:tcBorders>
            <w:shd w:val="clear" w:color="auto" w:fill="auto"/>
            <w:vAlign w:val="center"/>
          </w:tcPr>
          <w:p w14:paraId="4309A1B2"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1,1</w:t>
            </w:r>
          </w:p>
        </w:tc>
        <w:tc>
          <w:tcPr>
            <w:tcW w:w="1395" w:type="dxa"/>
            <w:tcBorders>
              <w:top w:val="single" w:sz="4" w:space="0" w:color="auto"/>
              <w:left w:val="nil"/>
              <w:bottom w:val="single" w:sz="4" w:space="0" w:color="auto"/>
              <w:right w:val="single" w:sz="4" w:space="0" w:color="auto"/>
            </w:tcBorders>
            <w:shd w:val="clear" w:color="auto" w:fill="auto"/>
            <w:vAlign w:val="center"/>
          </w:tcPr>
          <w:p w14:paraId="638D0334"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1,1</w:t>
            </w:r>
          </w:p>
        </w:tc>
        <w:tc>
          <w:tcPr>
            <w:tcW w:w="1157" w:type="dxa"/>
            <w:tcBorders>
              <w:top w:val="single" w:sz="4" w:space="0" w:color="auto"/>
              <w:left w:val="nil"/>
              <w:bottom w:val="single" w:sz="4" w:space="0" w:color="auto"/>
              <w:right w:val="single" w:sz="4" w:space="0" w:color="auto"/>
            </w:tcBorders>
            <w:shd w:val="clear" w:color="auto" w:fill="auto"/>
            <w:vAlign w:val="center"/>
          </w:tcPr>
          <w:p w14:paraId="33C0BE0E"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w:t>
            </w:r>
          </w:p>
        </w:tc>
        <w:tc>
          <w:tcPr>
            <w:tcW w:w="974" w:type="dxa"/>
            <w:tcBorders>
              <w:top w:val="single" w:sz="4" w:space="0" w:color="auto"/>
              <w:left w:val="nil"/>
              <w:bottom w:val="single" w:sz="4" w:space="0" w:color="auto"/>
              <w:right w:val="double" w:sz="4" w:space="0" w:color="auto"/>
            </w:tcBorders>
            <w:shd w:val="clear" w:color="auto" w:fill="auto"/>
            <w:vAlign w:val="center"/>
          </w:tcPr>
          <w:p w14:paraId="0447E29A"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w:t>
            </w:r>
          </w:p>
        </w:tc>
      </w:tr>
      <w:tr w:rsidR="00FD7B0B" w:rsidRPr="00FD7B0B" w14:paraId="74E970C2"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50F9B48A" w14:textId="77777777" w:rsidR="00AD4D1E" w:rsidRPr="00FD7B0B" w:rsidRDefault="00AD4D1E" w:rsidP="00252802">
            <w:pPr>
              <w:spacing w:after="0"/>
              <w:rPr>
                <w:rFonts w:ascii="Times New Roman" w:hAnsi="Times New Roman"/>
                <w:b/>
                <w:bCs/>
                <w:sz w:val="20"/>
                <w:szCs w:val="20"/>
              </w:rPr>
            </w:pPr>
            <w:r w:rsidRPr="00FD7B0B">
              <w:rPr>
                <w:rFonts w:ascii="Times New Roman" w:hAnsi="Times New Roman"/>
                <w:b/>
                <w:bCs/>
                <w:sz w:val="20"/>
                <w:szCs w:val="20"/>
              </w:rPr>
              <w:t>Госпрограмма № 26, всего, в том числе:</w:t>
            </w:r>
          </w:p>
        </w:tc>
        <w:tc>
          <w:tcPr>
            <w:tcW w:w="1417" w:type="dxa"/>
            <w:tcBorders>
              <w:top w:val="single" w:sz="4" w:space="0" w:color="auto"/>
              <w:left w:val="nil"/>
              <w:bottom w:val="single" w:sz="4" w:space="0" w:color="auto"/>
              <w:right w:val="single" w:sz="4" w:space="0" w:color="auto"/>
            </w:tcBorders>
            <w:shd w:val="clear" w:color="auto" w:fill="auto"/>
            <w:vAlign w:val="center"/>
          </w:tcPr>
          <w:p w14:paraId="168FE3CF" w14:textId="77777777" w:rsidR="00AD4D1E" w:rsidRPr="00FD7B0B" w:rsidRDefault="00AD4D1E" w:rsidP="00AD4D1E">
            <w:pPr>
              <w:spacing w:after="0"/>
              <w:jc w:val="center"/>
              <w:rPr>
                <w:rFonts w:ascii="Times New Roman" w:hAnsi="Times New Roman"/>
                <w:b/>
                <w:bCs/>
                <w:sz w:val="20"/>
                <w:szCs w:val="20"/>
              </w:rPr>
            </w:pPr>
            <w:r w:rsidRPr="00FD7B0B">
              <w:rPr>
                <w:rFonts w:ascii="Times New Roman" w:hAnsi="Times New Roman"/>
                <w:b/>
                <w:bCs/>
                <w:sz w:val="20"/>
                <w:szCs w:val="20"/>
              </w:rPr>
              <w:t>2 511,5</w:t>
            </w:r>
          </w:p>
        </w:tc>
        <w:tc>
          <w:tcPr>
            <w:tcW w:w="1395" w:type="dxa"/>
            <w:tcBorders>
              <w:top w:val="single" w:sz="4" w:space="0" w:color="auto"/>
              <w:left w:val="nil"/>
              <w:bottom w:val="single" w:sz="4" w:space="0" w:color="auto"/>
              <w:right w:val="single" w:sz="4" w:space="0" w:color="auto"/>
            </w:tcBorders>
            <w:shd w:val="clear" w:color="auto" w:fill="auto"/>
            <w:vAlign w:val="center"/>
          </w:tcPr>
          <w:p w14:paraId="29232F3A" w14:textId="77777777" w:rsidR="00AD4D1E" w:rsidRPr="00FD7B0B" w:rsidRDefault="00AD4D1E" w:rsidP="00AD4D1E">
            <w:pPr>
              <w:spacing w:after="0"/>
              <w:jc w:val="center"/>
              <w:rPr>
                <w:rFonts w:ascii="Times New Roman" w:hAnsi="Times New Roman"/>
                <w:b/>
                <w:bCs/>
                <w:sz w:val="20"/>
                <w:szCs w:val="20"/>
              </w:rPr>
            </w:pPr>
            <w:r w:rsidRPr="00FD7B0B">
              <w:rPr>
                <w:rFonts w:ascii="Times New Roman" w:hAnsi="Times New Roman"/>
                <w:b/>
                <w:bCs/>
                <w:sz w:val="20"/>
                <w:szCs w:val="20"/>
              </w:rPr>
              <w:t>2 730,8</w:t>
            </w:r>
          </w:p>
        </w:tc>
        <w:tc>
          <w:tcPr>
            <w:tcW w:w="1157" w:type="dxa"/>
            <w:tcBorders>
              <w:top w:val="single" w:sz="4" w:space="0" w:color="auto"/>
              <w:left w:val="nil"/>
              <w:bottom w:val="single" w:sz="4" w:space="0" w:color="auto"/>
              <w:right w:val="single" w:sz="4" w:space="0" w:color="auto"/>
            </w:tcBorders>
            <w:shd w:val="clear" w:color="auto" w:fill="auto"/>
            <w:vAlign w:val="center"/>
          </w:tcPr>
          <w:p w14:paraId="45D7924C" w14:textId="77777777" w:rsidR="00AD4D1E" w:rsidRPr="00FD7B0B" w:rsidRDefault="00AD4D1E" w:rsidP="00AD4D1E">
            <w:pPr>
              <w:spacing w:after="0"/>
              <w:jc w:val="center"/>
              <w:rPr>
                <w:rFonts w:ascii="Times New Roman" w:hAnsi="Times New Roman"/>
                <w:b/>
                <w:bCs/>
                <w:sz w:val="20"/>
                <w:szCs w:val="20"/>
              </w:rPr>
            </w:pPr>
            <w:r w:rsidRPr="00FD7B0B">
              <w:rPr>
                <w:rFonts w:ascii="Times New Roman" w:hAnsi="Times New Roman"/>
                <w:b/>
                <w:bCs/>
                <w:sz w:val="20"/>
                <w:szCs w:val="20"/>
              </w:rPr>
              <w:t>+219,3</w:t>
            </w:r>
          </w:p>
        </w:tc>
        <w:tc>
          <w:tcPr>
            <w:tcW w:w="974" w:type="dxa"/>
            <w:tcBorders>
              <w:top w:val="single" w:sz="4" w:space="0" w:color="auto"/>
              <w:left w:val="nil"/>
              <w:bottom w:val="single" w:sz="4" w:space="0" w:color="auto"/>
              <w:right w:val="double" w:sz="4" w:space="0" w:color="auto"/>
            </w:tcBorders>
            <w:shd w:val="clear" w:color="auto" w:fill="auto"/>
            <w:vAlign w:val="center"/>
          </w:tcPr>
          <w:p w14:paraId="7A14395C" w14:textId="77777777" w:rsidR="00AD4D1E" w:rsidRPr="00FD7B0B" w:rsidRDefault="00AD4D1E" w:rsidP="00AD4D1E">
            <w:pPr>
              <w:spacing w:after="0"/>
              <w:jc w:val="center"/>
              <w:rPr>
                <w:rFonts w:ascii="Times New Roman" w:hAnsi="Times New Roman"/>
                <w:b/>
                <w:bCs/>
                <w:sz w:val="20"/>
                <w:szCs w:val="20"/>
              </w:rPr>
            </w:pPr>
            <w:r w:rsidRPr="00FD7B0B">
              <w:rPr>
                <w:rFonts w:ascii="Times New Roman" w:hAnsi="Times New Roman"/>
                <w:b/>
                <w:bCs/>
                <w:sz w:val="20"/>
                <w:szCs w:val="20"/>
              </w:rPr>
              <w:t>+8,7</w:t>
            </w:r>
          </w:p>
        </w:tc>
      </w:tr>
      <w:tr w:rsidR="00FD7B0B" w:rsidRPr="00FD7B0B" w14:paraId="189DBA43" w14:textId="77777777" w:rsidTr="00252802">
        <w:trPr>
          <w:trHeight w:val="243"/>
        </w:trPr>
        <w:tc>
          <w:tcPr>
            <w:tcW w:w="4712" w:type="dxa"/>
            <w:tcBorders>
              <w:top w:val="single" w:sz="4" w:space="0" w:color="auto"/>
              <w:left w:val="double" w:sz="4" w:space="0" w:color="auto"/>
              <w:bottom w:val="single" w:sz="4" w:space="0" w:color="auto"/>
              <w:right w:val="single" w:sz="4" w:space="0" w:color="auto"/>
            </w:tcBorders>
            <w:shd w:val="clear" w:color="auto" w:fill="auto"/>
            <w:vAlign w:val="center"/>
          </w:tcPr>
          <w:p w14:paraId="3A97C9DF" w14:textId="77777777" w:rsidR="00AD4D1E" w:rsidRPr="00FD7B0B" w:rsidRDefault="00AD4D1E" w:rsidP="00252802">
            <w:pPr>
              <w:spacing w:after="0"/>
              <w:rPr>
                <w:rFonts w:ascii="Times New Roman" w:hAnsi="Times New Roman"/>
                <w:bCs/>
                <w:sz w:val="20"/>
                <w:szCs w:val="20"/>
              </w:rPr>
            </w:pPr>
            <w:r w:rsidRPr="00FD7B0B">
              <w:rPr>
                <w:rFonts w:ascii="Times New Roman" w:hAnsi="Times New Roman"/>
                <w:bCs/>
                <w:sz w:val="20"/>
                <w:szCs w:val="20"/>
              </w:rPr>
              <w:t>областной бюджет</w:t>
            </w:r>
          </w:p>
        </w:tc>
        <w:tc>
          <w:tcPr>
            <w:tcW w:w="1417" w:type="dxa"/>
            <w:tcBorders>
              <w:top w:val="single" w:sz="4" w:space="0" w:color="auto"/>
              <w:left w:val="nil"/>
              <w:bottom w:val="single" w:sz="4" w:space="0" w:color="auto"/>
              <w:right w:val="single" w:sz="4" w:space="0" w:color="auto"/>
            </w:tcBorders>
            <w:shd w:val="clear" w:color="auto" w:fill="auto"/>
            <w:vAlign w:val="center"/>
          </w:tcPr>
          <w:p w14:paraId="6C28528A"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2 509,8</w:t>
            </w:r>
          </w:p>
        </w:tc>
        <w:tc>
          <w:tcPr>
            <w:tcW w:w="1395" w:type="dxa"/>
            <w:tcBorders>
              <w:top w:val="single" w:sz="4" w:space="0" w:color="auto"/>
              <w:left w:val="nil"/>
              <w:bottom w:val="single" w:sz="4" w:space="0" w:color="auto"/>
              <w:right w:val="single" w:sz="4" w:space="0" w:color="auto"/>
            </w:tcBorders>
            <w:shd w:val="clear" w:color="auto" w:fill="auto"/>
            <w:vAlign w:val="center"/>
          </w:tcPr>
          <w:p w14:paraId="61F372DD"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2 729,3</w:t>
            </w:r>
          </w:p>
        </w:tc>
        <w:tc>
          <w:tcPr>
            <w:tcW w:w="1157" w:type="dxa"/>
            <w:tcBorders>
              <w:top w:val="single" w:sz="4" w:space="0" w:color="auto"/>
              <w:left w:val="nil"/>
              <w:bottom w:val="single" w:sz="4" w:space="0" w:color="auto"/>
              <w:right w:val="single" w:sz="4" w:space="0" w:color="auto"/>
            </w:tcBorders>
            <w:shd w:val="clear" w:color="auto" w:fill="auto"/>
            <w:vAlign w:val="center"/>
          </w:tcPr>
          <w:p w14:paraId="538A7681"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+219,5</w:t>
            </w:r>
          </w:p>
        </w:tc>
        <w:tc>
          <w:tcPr>
            <w:tcW w:w="974" w:type="dxa"/>
            <w:tcBorders>
              <w:top w:val="single" w:sz="4" w:space="0" w:color="auto"/>
              <w:left w:val="nil"/>
              <w:bottom w:val="single" w:sz="4" w:space="0" w:color="auto"/>
              <w:right w:val="double" w:sz="4" w:space="0" w:color="auto"/>
            </w:tcBorders>
            <w:shd w:val="clear" w:color="auto" w:fill="auto"/>
            <w:vAlign w:val="center"/>
          </w:tcPr>
          <w:p w14:paraId="01F11420"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+8,7</w:t>
            </w:r>
          </w:p>
        </w:tc>
      </w:tr>
      <w:tr w:rsidR="00AD4D1E" w:rsidRPr="00FD7B0B" w14:paraId="142C8A40" w14:textId="77777777" w:rsidTr="00252802">
        <w:trPr>
          <w:trHeight w:val="243"/>
        </w:trPr>
        <w:tc>
          <w:tcPr>
            <w:tcW w:w="4712" w:type="dxa"/>
            <w:tcBorders>
              <w:top w:val="single" w:sz="4" w:space="0" w:color="auto"/>
              <w:left w:val="double" w:sz="4" w:space="0" w:color="auto"/>
              <w:bottom w:val="double" w:sz="4" w:space="0" w:color="auto"/>
              <w:right w:val="single" w:sz="4" w:space="0" w:color="auto"/>
            </w:tcBorders>
            <w:shd w:val="clear" w:color="auto" w:fill="auto"/>
            <w:vAlign w:val="center"/>
          </w:tcPr>
          <w:p w14:paraId="75FF5D61" w14:textId="77777777" w:rsidR="00AD4D1E" w:rsidRPr="00FD7B0B" w:rsidRDefault="00AD4D1E" w:rsidP="00252802">
            <w:pPr>
              <w:spacing w:after="0"/>
              <w:rPr>
                <w:rFonts w:ascii="Times New Roman" w:hAnsi="Times New Roman"/>
                <w:bCs/>
                <w:sz w:val="20"/>
                <w:szCs w:val="20"/>
              </w:rPr>
            </w:pPr>
            <w:r w:rsidRPr="00FD7B0B">
              <w:rPr>
                <w:rFonts w:ascii="Times New Roman" w:hAnsi="Times New Roman"/>
                <w:bCs/>
                <w:sz w:val="20"/>
                <w:szCs w:val="20"/>
              </w:rPr>
              <w:t>консолидированные бюджеты муниципальных образований Архангельской области</w:t>
            </w:r>
          </w:p>
        </w:tc>
        <w:tc>
          <w:tcPr>
            <w:tcW w:w="1417" w:type="dxa"/>
            <w:tcBorders>
              <w:top w:val="single" w:sz="4" w:space="0" w:color="auto"/>
              <w:left w:val="nil"/>
              <w:bottom w:val="double" w:sz="4" w:space="0" w:color="auto"/>
              <w:right w:val="single" w:sz="4" w:space="0" w:color="auto"/>
            </w:tcBorders>
            <w:shd w:val="clear" w:color="auto" w:fill="auto"/>
            <w:vAlign w:val="center"/>
          </w:tcPr>
          <w:p w14:paraId="60AE3631"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1,7</w:t>
            </w:r>
          </w:p>
        </w:tc>
        <w:tc>
          <w:tcPr>
            <w:tcW w:w="1395" w:type="dxa"/>
            <w:tcBorders>
              <w:top w:val="single" w:sz="4" w:space="0" w:color="auto"/>
              <w:left w:val="nil"/>
              <w:bottom w:val="double" w:sz="4" w:space="0" w:color="auto"/>
              <w:right w:val="single" w:sz="4" w:space="0" w:color="auto"/>
            </w:tcBorders>
            <w:shd w:val="clear" w:color="auto" w:fill="auto"/>
            <w:vAlign w:val="center"/>
          </w:tcPr>
          <w:p w14:paraId="1661DBA2"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1,5</w:t>
            </w:r>
          </w:p>
        </w:tc>
        <w:tc>
          <w:tcPr>
            <w:tcW w:w="1157" w:type="dxa"/>
            <w:tcBorders>
              <w:top w:val="single" w:sz="4" w:space="0" w:color="auto"/>
              <w:left w:val="nil"/>
              <w:bottom w:val="double" w:sz="4" w:space="0" w:color="auto"/>
              <w:right w:val="single" w:sz="4" w:space="0" w:color="auto"/>
            </w:tcBorders>
            <w:shd w:val="clear" w:color="auto" w:fill="auto"/>
            <w:vAlign w:val="center"/>
          </w:tcPr>
          <w:p w14:paraId="4333838F"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-0,2</w:t>
            </w:r>
          </w:p>
        </w:tc>
        <w:tc>
          <w:tcPr>
            <w:tcW w:w="974" w:type="dxa"/>
            <w:tcBorders>
              <w:top w:val="single" w:sz="4" w:space="0" w:color="auto"/>
              <w:left w:val="nil"/>
              <w:bottom w:val="double" w:sz="4" w:space="0" w:color="auto"/>
              <w:right w:val="double" w:sz="4" w:space="0" w:color="auto"/>
            </w:tcBorders>
            <w:shd w:val="clear" w:color="auto" w:fill="auto"/>
            <w:vAlign w:val="center"/>
          </w:tcPr>
          <w:p w14:paraId="2A4AD726" w14:textId="77777777" w:rsidR="00AD4D1E" w:rsidRPr="00FD7B0B" w:rsidRDefault="00AD4D1E" w:rsidP="00AD4D1E">
            <w:pPr>
              <w:spacing w:after="0"/>
              <w:jc w:val="center"/>
              <w:rPr>
                <w:rFonts w:ascii="Times New Roman" w:hAnsi="Times New Roman"/>
                <w:bCs/>
                <w:sz w:val="20"/>
                <w:szCs w:val="20"/>
              </w:rPr>
            </w:pPr>
            <w:r w:rsidRPr="00FD7B0B">
              <w:rPr>
                <w:rFonts w:ascii="Times New Roman" w:hAnsi="Times New Roman"/>
                <w:bCs/>
                <w:sz w:val="20"/>
                <w:szCs w:val="20"/>
              </w:rPr>
              <w:t>-11,8</w:t>
            </w:r>
          </w:p>
        </w:tc>
      </w:tr>
    </w:tbl>
    <w:p w14:paraId="0E4E8B68" w14:textId="77777777" w:rsidR="00252802" w:rsidRPr="00FD7B0B" w:rsidRDefault="00252802"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0BC06AA2"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состоянию на 01.01.2024 расходы на реализацию структурных элементов госпрограммы № 26 за счет средств областного бюджета утверждены в объеме 2 509,8 млн.руб.</w:t>
      </w:r>
    </w:p>
    <w:p w14:paraId="6FC770DC" w14:textId="1F5FE9C0"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Законом «Об областном бюджете» в редакции, действующей на 01.01.2024 и сводной бюджетной росписью на 01.01.2024, расходы на реализацию структурных элементов госпрограммы № 26 на 2024 год утверждены в общей сумме 2 490,1 млн.руб. </w:t>
      </w:r>
    </w:p>
    <w:p w14:paraId="5141A7F9"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нарушение пункта 29 Положения № 793-пп объемы финансирования госпрограммы № 26 и ее структурных элементов на 2024 год не приведены в соответствие со сводной бюджетной росписью областного бюджета на текущий финансовый год (2 чтение) на сумму 19,7 млн.руб. (2 509,8-2 490,1), в том числе: по РП «Создание условий для легкого старта и комфортного ведения бизнеса» - на 18,0 млн.руб., по региональному проекту «Акселерация субъектов малого и среднего предпринимательства» на 1,7 млн.руб.</w:t>
      </w:r>
    </w:p>
    <w:p w14:paraId="4ED73A16"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 счет изменений и дополнений, внесенными в течение отчетного периода областными законами в закон «Об областном бюджете», общая сумма бюджетных ассигнований на ГП АО № 26 на 31.12.2024 составила 2 493,3 млн.руб., увеличение 3,2 млн.руб.:</w:t>
      </w:r>
    </w:p>
    <w:p w14:paraId="31DC4DB6"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 счет увеличения проектной части госпрограммы на сумму 54,2 млн.руб.;</w:t>
      </w:r>
    </w:p>
    <w:p w14:paraId="6B9E1249"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 счет уменьшения финансирования КПМ «Экономическое и научное развитие Архангельской области» на 51,0 млн.руб.</w:t>
      </w:r>
    </w:p>
    <w:p w14:paraId="2A306C30"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Объем финансирования в целом по ФП «Государственная поддержка реализации на территории Арктической зоны Российской Федерации инвестиционных проектов» на 2024 год остался неизменным.</w:t>
      </w:r>
    </w:p>
    <w:p w14:paraId="1EB3360C" w14:textId="0E13B870"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При этом областным законом от 23.12.2024 № 176-13-ОЗ в закон об областном бюджете на 2024 год произведено изменение объема и перераспределение в разрезе участников госпрограммы целевой субсидии из федерального бюджета на 2024 год, предусмотренной в рамках реализации ФП «Государственная поддержка реализации на территории Арктической зоны Российской Федерации инвестиционных проектов» в размере 270,0 млн руб. и софинансирования из областного бюджета в сумме 30,0 млн.руб. по мероприятию «Реконструкция пл. Профсоюзов в г. Архангельске» по причине обнаружения объекта, обладающего признаками объекта культурного наследия «Участок культурного слоя исторического поселения город Архангельск </w:t>
      </w:r>
      <w:r w:rsidRPr="00FD7B0B">
        <w:rPr>
          <w:rFonts w:ascii="Times New Roman" w:eastAsia="Calibri" w:hAnsi="Times New Roman" w:cs="Times New Roman"/>
          <w:sz w:val="28"/>
          <w:szCs w:val="28"/>
        </w:rPr>
        <w:lastRenderedPageBreak/>
        <w:t xml:space="preserve">территории Театральной (Оперной) площади и набережной до места расположения Благовещенской церкви» при выполнении строительно-монтажных работ. С середины мая до начала августа 2024 года строительно-монтажные работы были приостановлены. </w:t>
      </w:r>
      <w:r w:rsidRPr="00FD7B0B">
        <w:rPr>
          <w:rFonts w:ascii="Times New Roman" w:eastAsia="Times New Roman" w:hAnsi="Times New Roman" w:cs="Times New Roman"/>
          <w:sz w:val="28"/>
          <w:szCs w:val="28"/>
          <w:lang w:eastAsia="ru-RU"/>
        </w:rPr>
        <w:t xml:space="preserve">Проведение историко-культурной экспертизы и археологическое сопровождение увеличивает сроки выполнения работ на площади Профсоюзов и в 2024 году средства федеральной субсидии в размере 270,0 млн.руб. не будут израсходованы. </w:t>
      </w:r>
      <w:r w:rsidRPr="00FD7B0B">
        <w:rPr>
          <w:rFonts w:ascii="Times New Roman" w:eastAsia="Calibri" w:hAnsi="Times New Roman" w:cs="Times New Roman"/>
          <w:sz w:val="28"/>
          <w:szCs w:val="28"/>
        </w:rPr>
        <w:t>В связи с этим, на основании протокола президиума Государственной комиссии по вопросам развития Арктики от 02.09.2024 № 3пр перенесен срок завершения мероприятия по реконструкци</w:t>
      </w:r>
      <w:r w:rsidR="003D624F" w:rsidRPr="00FD7B0B">
        <w:rPr>
          <w:rFonts w:ascii="Times New Roman" w:eastAsia="Calibri" w:hAnsi="Times New Roman" w:cs="Times New Roman"/>
          <w:sz w:val="28"/>
          <w:szCs w:val="28"/>
        </w:rPr>
        <w:t>и пл. Профсоюзов на 2026 год.</w:t>
      </w:r>
    </w:p>
    <w:p w14:paraId="5C2D1E35"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рамках мероприятий ФП «Государственная поддержка реализации на территории Арктической зоны РФ инвестиционных проектов» на 2024 год, в разрезе участников госпрограммы, в объемы финансирования внесены следующие изменения:</w:t>
      </w:r>
    </w:p>
    <w:p w14:paraId="49ECCBC4"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а) по министерству ТЭК и ЖКХ Архангельской области:</w:t>
      </w:r>
    </w:p>
    <w:p w14:paraId="1C52095A"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уменьшены ассигнования по мероприятию «Реконструкция пл. Профсоюзов в г. Архангельске» на сумму 300,0 млн.руб., из них: 270,0 млн.руб, за счет средств федерального бюджета и 30,0 млн.руб. за счет средств областного бюджета;</w:t>
      </w:r>
    </w:p>
    <w:p w14:paraId="123D91CC"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увеличены ассигнования в рамках госпрограммы на новое мероприятие «Субсидия бюджету городского округа «Город Архангельск» (реализация мероприятий по благоустройству общественной территории «Набережная Соломбалки с обеих сторон, от ул. Советской до просп. Никольского»)» на 59,8 млн.руб., из них 53,8 млн.руб. за счет средств федерального бюджета и 6,0 млн.руб. за счет средств областного бюджета;</w:t>
      </w:r>
    </w:p>
    <w:p w14:paraId="5F0EF941" w14:textId="390346C0"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б) по министерству тр</w:t>
      </w:r>
      <w:r w:rsidR="003D624F" w:rsidRPr="00FD7B0B">
        <w:rPr>
          <w:rFonts w:ascii="Times New Roman" w:eastAsia="Calibri" w:hAnsi="Times New Roman" w:cs="Times New Roman"/>
          <w:sz w:val="28"/>
          <w:szCs w:val="28"/>
        </w:rPr>
        <w:t>анспорта Архангельской области:</w:t>
      </w:r>
    </w:p>
    <w:p w14:paraId="5C7D0AA7" w14:textId="6B9800A8"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увеличены ассигнования в рамках госпрограммы на новое мероприятие «Строительство автомобильного проезда к школе на 860 мест в территориальном округе Майская горка» 47,9 </w:t>
      </w:r>
      <w:r w:rsidR="000560EB" w:rsidRPr="00FD7B0B">
        <w:rPr>
          <w:rFonts w:ascii="Times New Roman" w:eastAsia="Calibri" w:hAnsi="Times New Roman" w:cs="Times New Roman"/>
          <w:sz w:val="28"/>
          <w:szCs w:val="28"/>
        </w:rPr>
        <w:t>млн.руб.</w:t>
      </w:r>
      <w:r w:rsidRPr="00FD7B0B">
        <w:rPr>
          <w:rFonts w:ascii="Times New Roman" w:eastAsia="Calibri" w:hAnsi="Times New Roman" w:cs="Times New Roman"/>
          <w:sz w:val="28"/>
          <w:szCs w:val="28"/>
        </w:rPr>
        <w:t>, в том числе: 43,1 млн.руб. за счет средств федерального бюджета и 4,8 млн.руб. за счет средств областного бюджета;</w:t>
      </w:r>
    </w:p>
    <w:p w14:paraId="440E92EB"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по министерству образования Архангельской области:</w:t>
      </w:r>
    </w:p>
    <w:p w14:paraId="7E270A93"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увеличены ассигнования в рамках госпрограммы на новое мероприятие приобретение интерактивных панелей с рельсовыми системами, классной доской (или на мобильных стойках) в комплекте для оснащения общеобразовательных организаций в г. Архангельске, г. Северодвинске, г. Новодвинске и Пинежском муниципальном округе Архангельской области в сумме 128,5 млн.руб., в том числе: 115,7 млн.руб. за счет средств федерального бюджета и 12,8 млн.руб. за счет средств областного бюджета;</w:t>
      </w:r>
    </w:p>
    <w:p w14:paraId="3ACD9500"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уменьшены ассигнования в рамках госпрограммы на капитальный ремонт здания ГБОУ ДО АО «Дворец детского и юношеского творчества», в связи с экономией по результатам торгов в размере 24,0 млн.руб., в том числе 21,6 млн.руб. за счет средств федерального бюджета и 2,4 млн.руб. за счет средств областного бюджета;</w:t>
      </w:r>
    </w:p>
    <w:p w14:paraId="7BD9F48B"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г) по министерству культуры Архангельской области:</w:t>
      </w:r>
    </w:p>
    <w:p w14:paraId="738766A3"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увеличены ассигнования в рамках госпрограммы на мероприятие «Оснащение ГБУК АО «Архангельская областная научная ордена «Знак Почета» библиотека имени Н.А. Добролюбова» мебелью, оборудованием, программным обеспечением, музыкальными инструментами и материальными запасами» на 87,8 млн.руб., в том числе 79,0 млн.руб. за счет средств федерального бюджета и 8,8 млн.руб. за счет средств областного бюджета.</w:t>
      </w:r>
    </w:p>
    <w:p w14:paraId="520B10D6" w14:textId="440AF6E4" w:rsidR="00AD4D1E" w:rsidRPr="00FD7B0B" w:rsidRDefault="00AD4D1E" w:rsidP="001C4C8F">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Сопоставление объемов финансирования, утвержденных на 2024 год паспортом госпрограммы № 26, бюджетных ассигнований на ее реализацию, утвержденных областным законом об областном бюджете и сводной бюджетной росписью на 31.12.</w:t>
      </w:r>
      <w:r w:rsidR="001C4C8F" w:rsidRPr="00FD7B0B">
        <w:rPr>
          <w:rFonts w:ascii="Times New Roman" w:eastAsia="Times New Roman" w:hAnsi="Times New Roman" w:cs="Times New Roman"/>
          <w:sz w:val="28"/>
          <w:szCs w:val="28"/>
          <w:lang w:eastAsia="ru-RU"/>
        </w:rPr>
        <w:t xml:space="preserve">2024, представлено в таблице </w:t>
      </w:r>
      <w:r w:rsidR="001E2D90" w:rsidRPr="00FD7B0B">
        <w:rPr>
          <w:rFonts w:ascii="Times New Roman" w:eastAsia="Times New Roman" w:hAnsi="Times New Roman" w:cs="Times New Roman"/>
          <w:sz w:val="28"/>
          <w:szCs w:val="28"/>
          <w:lang w:eastAsia="ru-RU"/>
        </w:rPr>
        <w:t>213</w:t>
      </w:r>
      <w:r w:rsidRPr="00FD7B0B">
        <w:rPr>
          <w:rFonts w:ascii="Times New Roman" w:eastAsia="Times New Roman" w:hAnsi="Times New Roman" w:cs="Times New Roman"/>
          <w:sz w:val="28"/>
          <w:szCs w:val="28"/>
          <w:lang w:eastAsia="ru-RU"/>
        </w:rPr>
        <w:t>.</w:t>
      </w:r>
    </w:p>
    <w:p w14:paraId="2C4770A7" w14:textId="77777777" w:rsidR="001B58D5" w:rsidRPr="00FD7B0B" w:rsidRDefault="001B58D5" w:rsidP="001C4C8F">
      <w:pPr>
        <w:spacing w:after="0" w:line="240" w:lineRule="auto"/>
        <w:ind w:firstLine="709"/>
        <w:contextualSpacing/>
        <w:jc w:val="both"/>
        <w:rPr>
          <w:rFonts w:ascii="Times New Roman" w:eastAsia="Times New Roman" w:hAnsi="Times New Roman" w:cs="Times New Roman"/>
          <w:sz w:val="28"/>
          <w:szCs w:val="28"/>
          <w:lang w:eastAsia="ru-RU"/>
        </w:rPr>
      </w:pPr>
    </w:p>
    <w:p w14:paraId="2A1E1D14" w14:textId="0DF23193" w:rsidR="00AD4D1E" w:rsidRPr="00FD7B0B" w:rsidRDefault="001C4C8F" w:rsidP="001C4C8F">
      <w:pPr>
        <w:pStyle w:val="aff0"/>
        <w:keepNext/>
        <w:spacing w:after="0" w:line="240" w:lineRule="auto"/>
        <w:rPr>
          <w:rFonts w:ascii="Times New Roman" w:hAnsi="Times New Roman"/>
          <w:bCs w:val="0"/>
          <w:sz w:val="24"/>
          <w:szCs w:val="24"/>
          <w:highlight w:val="cyan"/>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213</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AD4D1E" w:rsidRPr="00FD7B0B">
        <w:rPr>
          <w:rFonts w:ascii="Times New Roman" w:hAnsi="Times New Roman"/>
          <w:b w:val="0"/>
          <w:sz w:val="24"/>
          <w:szCs w:val="24"/>
        </w:rPr>
        <w:t>Сопоставление объемов финансирования, утвержденных на 2024 год паспортом госпрограммы № 26 и бюджетных ассигнований на ее реализацию, утвержденных законом «Об областном бюджете», сводной бюджетной росписью, млн.руб.</w:t>
      </w:r>
    </w:p>
    <w:tbl>
      <w:tblPr>
        <w:tblW w:w="9676" w:type="dxa"/>
        <w:tblInd w:w="-15" w:type="dxa"/>
        <w:tblLayout w:type="fixed"/>
        <w:tblLook w:val="04A0" w:firstRow="1" w:lastRow="0" w:firstColumn="1" w:lastColumn="0" w:noHBand="0" w:noVBand="1"/>
      </w:tblPr>
      <w:tblGrid>
        <w:gridCol w:w="2552"/>
        <w:gridCol w:w="1483"/>
        <w:gridCol w:w="1842"/>
        <w:gridCol w:w="1276"/>
        <w:gridCol w:w="1276"/>
        <w:gridCol w:w="1247"/>
      </w:tblGrid>
      <w:tr w:rsidR="00FD7B0B" w:rsidRPr="00FD7B0B" w14:paraId="178B0213" w14:textId="77777777" w:rsidTr="0038334B">
        <w:trPr>
          <w:trHeight w:val="278"/>
          <w:tblHeader/>
        </w:trPr>
        <w:tc>
          <w:tcPr>
            <w:tcW w:w="2552" w:type="dxa"/>
            <w:tcBorders>
              <w:top w:val="double" w:sz="4" w:space="0" w:color="auto"/>
              <w:left w:val="double" w:sz="4" w:space="0" w:color="auto"/>
              <w:bottom w:val="single" w:sz="4" w:space="0" w:color="auto"/>
              <w:right w:val="single" w:sz="4" w:space="0" w:color="auto"/>
            </w:tcBorders>
            <w:shd w:val="clear" w:color="auto" w:fill="auto"/>
            <w:vAlign w:val="center"/>
            <w:hideMark/>
          </w:tcPr>
          <w:p w14:paraId="604E5CDC" w14:textId="0DDEEF06" w:rsidR="00AD4D1E" w:rsidRPr="00FD7B0B" w:rsidRDefault="00AD4D1E" w:rsidP="0038334B">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Наименование структурных </w:t>
            </w:r>
            <w:r w:rsidR="0038334B" w:rsidRPr="00FD7B0B">
              <w:rPr>
                <w:rFonts w:ascii="Times New Roman" w:eastAsia="Times New Roman" w:hAnsi="Times New Roman" w:cs="Times New Roman"/>
                <w:sz w:val="20"/>
                <w:szCs w:val="20"/>
                <w:lang w:eastAsia="ru-RU"/>
              </w:rPr>
              <w:t>элементов</w:t>
            </w:r>
            <w:r w:rsidRPr="00FD7B0B">
              <w:rPr>
                <w:rFonts w:ascii="Times New Roman" w:eastAsia="Times New Roman" w:hAnsi="Times New Roman" w:cs="Times New Roman"/>
                <w:sz w:val="20"/>
                <w:szCs w:val="20"/>
                <w:lang w:eastAsia="ru-RU"/>
              </w:rPr>
              <w:t xml:space="preserve"> госпрограммы</w:t>
            </w:r>
          </w:p>
        </w:tc>
        <w:tc>
          <w:tcPr>
            <w:tcW w:w="1483" w:type="dxa"/>
            <w:tcBorders>
              <w:top w:val="double" w:sz="4" w:space="0" w:color="auto"/>
              <w:left w:val="nil"/>
              <w:bottom w:val="single" w:sz="4" w:space="0" w:color="auto"/>
              <w:right w:val="single" w:sz="4" w:space="0" w:color="auto"/>
            </w:tcBorders>
            <w:shd w:val="clear" w:color="auto" w:fill="auto"/>
            <w:vAlign w:val="center"/>
            <w:hideMark/>
          </w:tcPr>
          <w:p w14:paraId="394D4089"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Показатели госпрограммы на 31.12.2024</w:t>
            </w:r>
          </w:p>
        </w:tc>
        <w:tc>
          <w:tcPr>
            <w:tcW w:w="1842" w:type="dxa"/>
            <w:tcBorders>
              <w:top w:val="double" w:sz="4" w:space="0" w:color="auto"/>
              <w:left w:val="nil"/>
              <w:bottom w:val="single" w:sz="4" w:space="0" w:color="auto"/>
              <w:right w:val="single" w:sz="4" w:space="0" w:color="auto"/>
            </w:tcBorders>
            <w:shd w:val="clear" w:color="auto" w:fill="auto"/>
            <w:vAlign w:val="center"/>
            <w:hideMark/>
          </w:tcPr>
          <w:p w14:paraId="63B18EBA"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Показатели закона о бюджете на 31.12.2024</w:t>
            </w:r>
          </w:p>
        </w:tc>
        <w:tc>
          <w:tcPr>
            <w:tcW w:w="1276" w:type="dxa"/>
            <w:tcBorders>
              <w:top w:val="double" w:sz="4" w:space="0" w:color="auto"/>
              <w:left w:val="nil"/>
              <w:bottom w:val="single" w:sz="4" w:space="0" w:color="auto"/>
              <w:right w:val="single" w:sz="4" w:space="0" w:color="auto"/>
            </w:tcBorders>
            <w:shd w:val="clear" w:color="auto" w:fill="auto"/>
            <w:vAlign w:val="center"/>
            <w:hideMark/>
          </w:tcPr>
          <w:p w14:paraId="2DBD4FEF"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c>
          <w:tcPr>
            <w:tcW w:w="1276" w:type="dxa"/>
            <w:tcBorders>
              <w:top w:val="double" w:sz="4" w:space="0" w:color="auto"/>
              <w:left w:val="nil"/>
              <w:bottom w:val="single" w:sz="4" w:space="0" w:color="auto"/>
              <w:right w:val="single" w:sz="4" w:space="0" w:color="auto"/>
            </w:tcBorders>
            <w:shd w:val="clear" w:color="auto" w:fill="auto"/>
            <w:vAlign w:val="center"/>
            <w:hideMark/>
          </w:tcPr>
          <w:p w14:paraId="52B05FE9"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Показатели СБР на 31.12.2024</w:t>
            </w:r>
          </w:p>
        </w:tc>
        <w:tc>
          <w:tcPr>
            <w:tcW w:w="1247" w:type="dxa"/>
            <w:tcBorders>
              <w:top w:val="double" w:sz="4" w:space="0" w:color="auto"/>
              <w:left w:val="nil"/>
              <w:bottom w:val="single" w:sz="4" w:space="0" w:color="auto"/>
              <w:right w:val="double" w:sz="4" w:space="0" w:color="auto"/>
            </w:tcBorders>
            <w:shd w:val="clear" w:color="auto" w:fill="auto"/>
            <w:vAlign w:val="center"/>
            <w:hideMark/>
          </w:tcPr>
          <w:p w14:paraId="535C508D"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Отклонение (+/-)</w:t>
            </w:r>
          </w:p>
        </w:tc>
      </w:tr>
      <w:tr w:rsidR="00FD7B0B" w:rsidRPr="00FD7B0B" w14:paraId="1968F6F3" w14:textId="77777777" w:rsidTr="0038334B">
        <w:trPr>
          <w:trHeight w:val="170"/>
        </w:trPr>
        <w:tc>
          <w:tcPr>
            <w:tcW w:w="2552"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4ADB4601"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1483" w:type="dxa"/>
            <w:tcBorders>
              <w:top w:val="nil"/>
              <w:left w:val="nil"/>
              <w:bottom w:val="single" w:sz="4" w:space="0" w:color="auto"/>
              <w:right w:val="single" w:sz="4" w:space="0" w:color="auto"/>
            </w:tcBorders>
            <w:shd w:val="clear" w:color="auto" w:fill="auto"/>
            <w:vAlign w:val="center"/>
            <w:hideMark/>
          </w:tcPr>
          <w:p w14:paraId="5919698E"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1842" w:type="dxa"/>
            <w:tcBorders>
              <w:top w:val="nil"/>
              <w:left w:val="nil"/>
              <w:bottom w:val="single" w:sz="4" w:space="0" w:color="auto"/>
              <w:right w:val="single" w:sz="4" w:space="0" w:color="auto"/>
            </w:tcBorders>
            <w:shd w:val="clear" w:color="auto" w:fill="auto"/>
            <w:vAlign w:val="center"/>
            <w:hideMark/>
          </w:tcPr>
          <w:p w14:paraId="3EF35A95"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18E6D27C"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4=3-2</w:t>
            </w:r>
          </w:p>
        </w:tc>
        <w:tc>
          <w:tcPr>
            <w:tcW w:w="1276" w:type="dxa"/>
            <w:tcBorders>
              <w:top w:val="nil"/>
              <w:left w:val="nil"/>
              <w:bottom w:val="single" w:sz="4" w:space="0" w:color="auto"/>
              <w:right w:val="single" w:sz="4" w:space="0" w:color="auto"/>
            </w:tcBorders>
            <w:shd w:val="clear" w:color="auto" w:fill="auto"/>
            <w:vAlign w:val="center"/>
            <w:hideMark/>
          </w:tcPr>
          <w:p w14:paraId="6A25960B"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1247" w:type="dxa"/>
            <w:tcBorders>
              <w:top w:val="single" w:sz="4" w:space="0" w:color="auto"/>
              <w:left w:val="nil"/>
              <w:bottom w:val="single" w:sz="4" w:space="0" w:color="auto"/>
              <w:right w:val="double" w:sz="4" w:space="0" w:color="auto"/>
            </w:tcBorders>
            <w:shd w:val="clear" w:color="auto" w:fill="auto"/>
            <w:vAlign w:val="center"/>
            <w:hideMark/>
          </w:tcPr>
          <w:p w14:paraId="3EFA0A46"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6=5-3</w:t>
            </w:r>
          </w:p>
        </w:tc>
      </w:tr>
      <w:tr w:rsidR="00FD7B0B" w:rsidRPr="00FD7B0B" w14:paraId="7A54A92F" w14:textId="77777777" w:rsidTr="0038334B">
        <w:trPr>
          <w:trHeight w:val="315"/>
        </w:trPr>
        <w:tc>
          <w:tcPr>
            <w:tcW w:w="2552" w:type="dxa"/>
            <w:tcBorders>
              <w:top w:val="single" w:sz="4" w:space="0" w:color="auto"/>
              <w:left w:val="double" w:sz="4" w:space="0" w:color="auto"/>
              <w:bottom w:val="single" w:sz="4" w:space="0" w:color="auto"/>
              <w:right w:val="single" w:sz="4" w:space="0" w:color="auto"/>
            </w:tcBorders>
            <w:shd w:val="clear" w:color="auto" w:fill="auto"/>
          </w:tcPr>
          <w:p w14:paraId="6AD681BF" w14:textId="77777777" w:rsidR="00AD4D1E" w:rsidRPr="00FD7B0B" w:rsidRDefault="00AD4D1E" w:rsidP="001C4C8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направленные на реализацию ФП, входящих в состав национальных проектов, из них:</w:t>
            </w:r>
          </w:p>
        </w:tc>
        <w:tc>
          <w:tcPr>
            <w:tcW w:w="1483" w:type="dxa"/>
            <w:tcBorders>
              <w:top w:val="nil"/>
              <w:left w:val="nil"/>
              <w:bottom w:val="single" w:sz="4" w:space="0" w:color="auto"/>
              <w:right w:val="single" w:sz="4" w:space="0" w:color="auto"/>
            </w:tcBorders>
            <w:shd w:val="clear" w:color="auto" w:fill="auto"/>
            <w:vAlign w:val="center"/>
          </w:tcPr>
          <w:p w14:paraId="423C6270"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908,1</w:t>
            </w:r>
          </w:p>
        </w:tc>
        <w:tc>
          <w:tcPr>
            <w:tcW w:w="1842" w:type="dxa"/>
            <w:tcBorders>
              <w:top w:val="nil"/>
              <w:left w:val="nil"/>
              <w:bottom w:val="single" w:sz="4" w:space="0" w:color="auto"/>
              <w:right w:val="single" w:sz="4" w:space="0" w:color="auto"/>
            </w:tcBorders>
            <w:shd w:val="clear" w:color="auto" w:fill="auto"/>
            <w:vAlign w:val="center"/>
          </w:tcPr>
          <w:p w14:paraId="21994BD0"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658,2</w:t>
            </w:r>
          </w:p>
        </w:tc>
        <w:tc>
          <w:tcPr>
            <w:tcW w:w="1276" w:type="dxa"/>
            <w:tcBorders>
              <w:top w:val="nil"/>
              <w:left w:val="nil"/>
              <w:bottom w:val="single" w:sz="4" w:space="0" w:color="auto"/>
              <w:right w:val="single" w:sz="4" w:space="0" w:color="auto"/>
            </w:tcBorders>
            <w:shd w:val="clear" w:color="auto" w:fill="auto"/>
            <w:vAlign w:val="center"/>
          </w:tcPr>
          <w:p w14:paraId="10FE3E56"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-248,9</w:t>
            </w:r>
          </w:p>
        </w:tc>
        <w:tc>
          <w:tcPr>
            <w:tcW w:w="1276" w:type="dxa"/>
            <w:tcBorders>
              <w:top w:val="nil"/>
              <w:left w:val="nil"/>
              <w:bottom w:val="single" w:sz="4" w:space="0" w:color="auto"/>
              <w:right w:val="single" w:sz="4" w:space="0" w:color="auto"/>
            </w:tcBorders>
            <w:shd w:val="clear" w:color="auto" w:fill="auto"/>
            <w:vAlign w:val="center"/>
          </w:tcPr>
          <w:p w14:paraId="04AA1F92"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898,7</w:t>
            </w:r>
          </w:p>
        </w:tc>
        <w:tc>
          <w:tcPr>
            <w:tcW w:w="1247" w:type="dxa"/>
            <w:tcBorders>
              <w:top w:val="single" w:sz="4" w:space="0" w:color="auto"/>
              <w:left w:val="nil"/>
              <w:bottom w:val="single" w:sz="4" w:space="0" w:color="auto"/>
              <w:right w:val="double" w:sz="4" w:space="0" w:color="auto"/>
            </w:tcBorders>
            <w:shd w:val="clear" w:color="auto" w:fill="auto"/>
            <w:vAlign w:val="center"/>
          </w:tcPr>
          <w:p w14:paraId="0D89CB9B"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240,5</w:t>
            </w:r>
          </w:p>
        </w:tc>
      </w:tr>
      <w:tr w:rsidR="00FD7B0B" w:rsidRPr="00FD7B0B" w14:paraId="17907A67" w14:textId="77777777" w:rsidTr="0038334B">
        <w:trPr>
          <w:trHeight w:val="315"/>
        </w:trPr>
        <w:tc>
          <w:tcPr>
            <w:tcW w:w="2552" w:type="dxa"/>
            <w:tcBorders>
              <w:top w:val="single" w:sz="4" w:space="0" w:color="auto"/>
              <w:left w:val="double" w:sz="4" w:space="0" w:color="auto"/>
              <w:bottom w:val="single" w:sz="4" w:space="0" w:color="auto"/>
              <w:right w:val="single" w:sz="4" w:space="0" w:color="auto"/>
            </w:tcBorders>
            <w:shd w:val="clear" w:color="auto" w:fill="auto"/>
            <w:vAlign w:val="center"/>
          </w:tcPr>
          <w:p w14:paraId="1CEB72E7" w14:textId="77777777" w:rsidR="00AD4D1E" w:rsidRPr="00FD7B0B" w:rsidRDefault="00AD4D1E" w:rsidP="001C4C8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ФП «Стимулирование спроса на отечественные беспилотные авиационные системы»</w:t>
            </w:r>
          </w:p>
        </w:tc>
        <w:tc>
          <w:tcPr>
            <w:tcW w:w="1483" w:type="dxa"/>
            <w:tcBorders>
              <w:top w:val="nil"/>
              <w:left w:val="nil"/>
              <w:bottom w:val="single" w:sz="4" w:space="0" w:color="auto"/>
              <w:right w:val="single" w:sz="4" w:space="0" w:color="auto"/>
            </w:tcBorders>
            <w:shd w:val="clear" w:color="auto" w:fill="auto"/>
            <w:vAlign w:val="center"/>
          </w:tcPr>
          <w:p w14:paraId="0FA3C117"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317,4</w:t>
            </w:r>
          </w:p>
        </w:tc>
        <w:tc>
          <w:tcPr>
            <w:tcW w:w="1842" w:type="dxa"/>
            <w:tcBorders>
              <w:top w:val="nil"/>
              <w:left w:val="nil"/>
              <w:bottom w:val="single" w:sz="4" w:space="0" w:color="auto"/>
              <w:right w:val="single" w:sz="4" w:space="0" w:color="auto"/>
            </w:tcBorders>
            <w:shd w:val="clear" w:color="auto" w:fill="auto"/>
            <w:vAlign w:val="center"/>
          </w:tcPr>
          <w:p w14:paraId="1833598A"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64,0</w:t>
            </w:r>
          </w:p>
        </w:tc>
        <w:tc>
          <w:tcPr>
            <w:tcW w:w="1276" w:type="dxa"/>
            <w:tcBorders>
              <w:top w:val="nil"/>
              <w:left w:val="nil"/>
              <w:bottom w:val="single" w:sz="4" w:space="0" w:color="auto"/>
              <w:right w:val="single" w:sz="4" w:space="0" w:color="auto"/>
            </w:tcBorders>
            <w:shd w:val="clear" w:color="auto" w:fill="auto"/>
            <w:vAlign w:val="center"/>
          </w:tcPr>
          <w:p w14:paraId="04FEAFDE"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-253,4</w:t>
            </w:r>
          </w:p>
        </w:tc>
        <w:tc>
          <w:tcPr>
            <w:tcW w:w="1276" w:type="dxa"/>
            <w:tcBorders>
              <w:top w:val="nil"/>
              <w:left w:val="nil"/>
              <w:bottom w:val="single" w:sz="4" w:space="0" w:color="auto"/>
              <w:right w:val="single" w:sz="4" w:space="0" w:color="auto"/>
            </w:tcBorders>
            <w:shd w:val="clear" w:color="auto" w:fill="auto"/>
            <w:vAlign w:val="center"/>
          </w:tcPr>
          <w:p w14:paraId="39AD9BFC"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308,1</w:t>
            </w:r>
          </w:p>
        </w:tc>
        <w:tc>
          <w:tcPr>
            <w:tcW w:w="1247" w:type="dxa"/>
            <w:tcBorders>
              <w:top w:val="single" w:sz="4" w:space="0" w:color="auto"/>
              <w:left w:val="nil"/>
              <w:bottom w:val="single" w:sz="4" w:space="0" w:color="auto"/>
              <w:right w:val="double" w:sz="4" w:space="0" w:color="auto"/>
            </w:tcBorders>
            <w:shd w:val="clear" w:color="auto" w:fill="auto"/>
            <w:vAlign w:val="center"/>
          </w:tcPr>
          <w:p w14:paraId="5445DF33"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244,1</w:t>
            </w:r>
          </w:p>
        </w:tc>
      </w:tr>
      <w:tr w:rsidR="00FD7B0B" w:rsidRPr="00FD7B0B" w14:paraId="5904FA44" w14:textId="77777777" w:rsidTr="0038334B">
        <w:trPr>
          <w:trHeight w:val="315"/>
        </w:trPr>
        <w:tc>
          <w:tcPr>
            <w:tcW w:w="2552" w:type="dxa"/>
            <w:tcBorders>
              <w:top w:val="single" w:sz="4" w:space="0" w:color="auto"/>
              <w:left w:val="double" w:sz="4" w:space="0" w:color="auto"/>
              <w:bottom w:val="single" w:sz="4" w:space="0" w:color="auto"/>
              <w:right w:val="single" w:sz="4" w:space="0" w:color="auto"/>
            </w:tcBorders>
            <w:shd w:val="clear" w:color="auto" w:fill="auto"/>
            <w:vAlign w:val="center"/>
          </w:tcPr>
          <w:p w14:paraId="1CB470DA" w14:textId="77777777" w:rsidR="00AD4D1E" w:rsidRPr="00FD7B0B" w:rsidRDefault="00AD4D1E" w:rsidP="001C4C8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РП, направленные на реализацию ФП, не входящих в состав национальных проектов</w:t>
            </w:r>
          </w:p>
        </w:tc>
        <w:tc>
          <w:tcPr>
            <w:tcW w:w="1483" w:type="dxa"/>
            <w:tcBorders>
              <w:top w:val="nil"/>
              <w:left w:val="nil"/>
              <w:bottom w:val="single" w:sz="4" w:space="0" w:color="auto"/>
              <w:right w:val="single" w:sz="4" w:space="0" w:color="auto"/>
            </w:tcBorders>
            <w:shd w:val="clear" w:color="auto" w:fill="auto"/>
            <w:vAlign w:val="center"/>
          </w:tcPr>
          <w:p w14:paraId="515A0DD9"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1 205,8</w:t>
            </w:r>
          </w:p>
        </w:tc>
        <w:tc>
          <w:tcPr>
            <w:tcW w:w="1842" w:type="dxa"/>
            <w:tcBorders>
              <w:top w:val="nil"/>
              <w:left w:val="nil"/>
              <w:bottom w:val="single" w:sz="4" w:space="0" w:color="auto"/>
              <w:right w:val="single" w:sz="4" w:space="0" w:color="auto"/>
            </w:tcBorders>
            <w:shd w:val="clear" w:color="auto" w:fill="auto"/>
            <w:vAlign w:val="center"/>
          </w:tcPr>
          <w:p w14:paraId="06D20F95"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1 202,9</w:t>
            </w:r>
          </w:p>
        </w:tc>
        <w:tc>
          <w:tcPr>
            <w:tcW w:w="1276" w:type="dxa"/>
            <w:tcBorders>
              <w:top w:val="nil"/>
              <w:left w:val="nil"/>
              <w:bottom w:val="single" w:sz="4" w:space="0" w:color="auto"/>
              <w:right w:val="single" w:sz="4" w:space="0" w:color="auto"/>
            </w:tcBorders>
            <w:shd w:val="clear" w:color="auto" w:fill="auto"/>
            <w:vAlign w:val="center"/>
          </w:tcPr>
          <w:p w14:paraId="43AC8120"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-2,9</w:t>
            </w:r>
          </w:p>
        </w:tc>
        <w:tc>
          <w:tcPr>
            <w:tcW w:w="1276" w:type="dxa"/>
            <w:tcBorders>
              <w:top w:val="nil"/>
              <w:left w:val="nil"/>
              <w:bottom w:val="single" w:sz="4" w:space="0" w:color="auto"/>
              <w:right w:val="single" w:sz="4" w:space="0" w:color="auto"/>
            </w:tcBorders>
            <w:shd w:val="clear" w:color="auto" w:fill="auto"/>
            <w:vAlign w:val="center"/>
          </w:tcPr>
          <w:p w14:paraId="4BE272BB"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1 205,4</w:t>
            </w:r>
          </w:p>
        </w:tc>
        <w:tc>
          <w:tcPr>
            <w:tcW w:w="1247" w:type="dxa"/>
            <w:tcBorders>
              <w:top w:val="single" w:sz="4" w:space="0" w:color="auto"/>
              <w:left w:val="nil"/>
              <w:bottom w:val="single" w:sz="4" w:space="0" w:color="auto"/>
              <w:right w:val="double" w:sz="4" w:space="0" w:color="auto"/>
            </w:tcBorders>
            <w:shd w:val="clear" w:color="auto" w:fill="auto"/>
            <w:vAlign w:val="center"/>
          </w:tcPr>
          <w:p w14:paraId="49583C0F"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2,5</w:t>
            </w:r>
          </w:p>
        </w:tc>
      </w:tr>
      <w:tr w:rsidR="00FD7B0B" w:rsidRPr="00FD7B0B" w14:paraId="30845ED6" w14:textId="77777777" w:rsidTr="0038334B">
        <w:trPr>
          <w:trHeight w:val="315"/>
        </w:trPr>
        <w:tc>
          <w:tcPr>
            <w:tcW w:w="2552" w:type="dxa"/>
            <w:tcBorders>
              <w:top w:val="single" w:sz="4" w:space="0" w:color="auto"/>
              <w:left w:val="double" w:sz="4" w:space="0" w:color="auto"/>
              <w:bottom w:val="single" w:sz="4" w:space="0" w:color="auto"/>
              <w:right w:val="single" w:sz="4" w:space="0" w:color="auto"/>
            </w:tcBorders>
            <w:shd w:val="clear" w:color="auto" w:fill="auto"/>
            <w:vAlign w:val="center"/>
          </w:tcPr>
          <w:p w14:paraId="2F01F558" w14:textId="77777777" w:rsidR="00AD4D1E" w:rsidRPr="00FD7B0B" w:rsidRDefault="00AD4D1E" w:rsidP="001C4C8F">
            <w:pPr>
              <w:spacing w:after="0"/>
              <w:rPr>
                <w:rFonts w:ascii="Times New Roman" w:hAnsi="Times New Roman"/>
                <w:bCs/>
                <w:sz w:val="20"/>
                <w:szCs w:val="20"/>
              </w:rPr>
            </w:pPr>
            <w:r w:rsidRPr="00FD7B0B">
              <w:rPr>
                <w:rFonts w:ascii="Times New Roman" w:hAnsi="Times New Roman"/>
                <w:bCs/>
                <w:sz w:val="20"/>
                <w:szCs w:val="20"/>
              </w:rPr>
              <w:t>КПМ «Экономическое и научное развитие Архангельской области»</w:t>
            </w:r>
          </w:p>
        </w:tc>
        <w:tc>
          <w:tcPr>
            <w:tcW w:w="1483" w:type="dxa"/>
            <w:tcBorders>
              <w:top w:val="nil"/>
              <w:left w:val="nil"/>
              <w:bottom w:val="single" w:sz="4" w:space="0" w:color="auto"/>
              <w:right w:val="single" w:sz="4" w:space="0" w:color="auto"/>
            </w:tcBorders>
            <w:shd w:val="clear" w:color="auto" w:fill="auto"/>
            <w:vAlign w:val="center"/>
          </w:tcPr>
          <w:p w14:paraId="792E075C"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616,9</w:t>
            </w:r>
          </w:p>
        </w:tc>
        <w:tc>
          <w:tcPr>
            <w:tcW w:w="1842" w:type="dxa"/>
            <w:tcBorders>
              <w:top w:val="nil"/>
              <w:left w:val="nil"/>
              <w:bottom w:val="single" w:sz="4" w:space="0" w:color="auto"/>
              <w:right w:val="single" w:sz="4" w:space="0" w:color="auto"/>
            </w:tcBorders>
            <w:shd w:val="clear" w:color="auto" w:fill="auto"/>
            <w:vAlign w:val="center"/>
          </w:tcPr>
          <w:p w14:paraId="75DD3ED1"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632,2</w:t>
            </w:r>
          </w:p>
        </w:tc>
        <w:tc>
          <w:tcPr>
            <w:tcW w:w="1276" w:type="dxa"/>
            <w:tcBorders>
              <w:top w:val="nil"/>
              <w:left w:val="nil"/>
              <w:bottom w:val="single" w:sz="4" w:space="0" w:color="auto"/>
              <w:right w:val="single" w:sz="4" w:space="0" w:color="auto"/>
            </w:tcBorders>
            <w:shd w:val="clear" w:color="auto" w:fill="auto"/>
            <w:vAlign w:val="center"/>
          </w:tcPr>
          <w:p w14:paraId="43BFD56E"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15,3</w:t>
            </w:r>
          </w:p>
        </w:tc>
        <w:tc>
          <w:tcPr>
            <w:tcW w:w="1276" w:type="dxa"/>
            <w:tcBorders>
              <w:top w:val="nil"/>
              <w:left w:val="nil"/>
              <w:bottom w:val="single" w:sz="4" w:space="0" w:color="auto"/>
              <w:right w:val="single" w:sz="4" w:space="0" w:color="auto"/>
            </w:tcBorders>
            <w:shd w:val="clear" w:color="auto" w:fill="auto"/>
            <w:vAlign w:val="center"/>
          </w:tcPr>
          <w:p w14:paraId="316BC064"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600,1</w:t>
            </w:r>
          </w:p>
        </w:tc>
        <w:tc>
          <w:tcPr>
            <w:tcW w:w="1247" w:type="dxa"/>
            <w:tcBorders>
              <w:top w:val="single" w:sz="4" w:space="0" w:color="auto"/>
              <w:left w:val="nil"/>
              <w:bottom w:val="single" w:sz="4" w:space="0" w:color="auto"/>
              <w:right w:val="double" w:sz="4" w:space="0" w:color="auto"/>
            </w:tcBorders>
            <w:shd w:val="clear" w:color="auto" w:fill="auto"/>
            <w:vAlign w:val="center"/>
          </w:tcPr>
          <w:p w14:paraId="0DC09798"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-32,1</w:t>
            </w:r>
          </w:p>
        </w:tc>
      </w:tr>
      <w:tr w:rsidR="00FD7B0B" w:rsidRPr="00FD7B0B" w14:paraId="4BB58BA0" w14:textId="77777777" w:rsidTr="0038334B">
        <w:trPr>
          <w:trHeight w:val="166"/>
        </w:trPr>
        <w:tc>
          <w:tcPr>
            <w:tcW w:w="2552" w:type="dxa"/>
            <w:tcBorders>
              <w:top w:val="single" w:sz="4" w:space="0" w:color="auto"/>
              <w:left w:val="double" w:sz="4" w:space="0" w:color="auto"/>
              <w:bottom w:val="double" w:sz="4" w:space="0" w:color="auto"/>
              <w:right w:val="single" w:sz="4" w:space="0" w:color="auto"/>
            </w:tcBorders>
            <w:shd w:val="clear" w:color="auto" w:fill="auto"/>
            <w:vAlign w:val="center"/>
            <w:hideMark/>
          </w:tcPr>
          <w:p w14:paraId="61370F8E" w14:textId="77777777" w:rsidR="00AD4D1E" w:rsidRPr="00FD7B0B" w:rsidRDefault="00AD4D1E" w:rsidP="001C4C8F">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Всего по госпрограмме</w:t>
            </w:r>
          </w:p>
        </w:tc>
        <w:tc>
          <w:tcPr>
            <w:tcW w:w="1483" w:type="dxa"/>
            <w:tcBorders>
              <w:top w:val="single" w:sz="4" w:space="0" w:color="auto"/>
              <w:left w:val="nil"/>
              <w:bottom w:val="double" w:sz="4" w:space="0" w:color="auto"/>
              <w:right w:val="single" w:sz="4" w:space="0" w:color="auto"/>
            </w:tcBorders>
            <w:shd w:val="clear" w:color="auto" w:fill="auto"/>
            <w:vAlign w:val="center"/>
          </w:tcPr>
          <w:p w14:paraId="185CB64C"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2 730,8</w:t>
            </w:r>
          </w:p>
        </w:tc>
        <w:tc>
          <w:tcPr>
            <w:tcW w:w="1842" w:type="dxa"/>
            <w:tcBorders>
              <w:top w:val="single" w:sz="4" w:space="0" w:color="auto"/>
              <w:left w:val="nil"/>
              <w:bottom w:val="double" w:sz="4" w:space="0" w:color="auto"/>
              <w:right w:val="single" w:sz="4" w:space="0" w:color="auto"/>
            </w:tcBorders>
            <w:shd w:val="clear" w:color="auto" w:fill="auto"/>
            <w:vAlign w:val="center"/>
          </w:tcPr>
          <w:p w14:paraId="37CA30D1"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2 493,3</w:t>
            </w:r>
          </w:p>
        </w:tc>
        <w:tc>
          <w:tcPr>
            <w:tcW w:w="1276" w:type="dxa"/>
            <w:tcBorders>
              <w:top w:val="single" w:sz="4" w:space="0" w:color="auto"/>
              <w:left w:val="nil"/>
              <w:bottom w:val="double" w:sz="4" w:space="0" w:color="auto"/>
              <w:right w:val="single" w:sz="4" w:space="0" w:color="auto"/>
            </w:tcBorders>
            <w:shd w:val="clear" w:color="auto" w:fill="auto"/>
            <w:vAlign w:val="center"/>
          </w:tcPr>
          <w:p w14:paraId="62BF8609"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-237,5</w:t>
            </w:r>
          </w:p>
        </w:tc>
        <w:tc>
          <w:tcPr>
            <w:tcW w:w="1276" w:type="dxa"/>
            <w:tcBorders>
              <w:top w:val="single" w:sz="4" w:space="0" w:color="auto"/>
              <w:left w:val="nil"/>
              <w:bottom w:val="double" w:sz="4" w:space="0" w:color="auto"/>
              <w:right w:val="single" w:sz="4" w:space="0" w:color="auto"/>
            </w:tcBorders>
            <w:shd w:val="clear" w:color="auto" w:fill="auto"/>
            <w:vAlign w:val="center"/>
          </w:tcPr>
          <w:p w14:paraId="6885E561"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val="en-US" w:eastAsia="ru-RU"/>
              </w:rPr>
            </w:pPr>
            <w:r w:rsidRPr="00FD7B0B">
              <w:rPr>
                <w:rFonts w:ascii="Times New Roman" w:eastAsia="Times New Roman" w:hAnsi="Times New Roman" w:cs="Times New Roman"/>
                <w:sz w:val="20"/>
                <w:szCs w:val="20"/>
                <w:lang w:eastAsia="ru-RU"/>
              </w:rPr>
              <w:t>2 704,2</w:t>
            </w:r>
          </w:p>
        </w:tc>
        <w:tc>
          <w:tcPr>
            <w:tcW w:w="1247" w:type="dxa"/>
            <w:tcBorders>
              <w:top w:val="single" w:sz="4" w:space="0" w:color="auto"/>
              <w:left w:val="nil"/>
              <w:bottom w:val="double" w:sz="4" w:space="0" w:color="auto"/>
              <w:right w:val="double" w:sz="4" w:space="0" w:color="auto"/>
            </w:tcBorders>
            <w:shd w:val="clear" w:color="auto" w:fill="auto"/>
            <w:vAlign w:val="center"/>
          </w:tcPr>
          <w:p w14:paraId="73BD9978" w14:textId="77777777" w:rsidR="00AD4D1E" w:rsidRPr="00FD7B0B" w:rsidRDefault="00AD4D1E" w:rsidP="00AD4D1E">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210,9</w:t>
            </w:r>
          </w:p>
        </w:tc>
      </w:tr>
    </w:tbl>
    <w:p w14:paraId="0EBA5CDC"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1E890E55" w14:textId="3B6D577A"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Уточненной сводной бюджетной росписью по состоянию на 31.12.2024 расходы на реализацию мероприятий ГП АО № 26 на 2024 год утверждены в общей сумме 2 704,2 млн.руб., что на 210,9 млн.руб. или на 8,4</w:t>
      </w:r>
      <w:r w:rsidR="00790C04"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превышают параметры, утвержденные областным законом «Об областном бюджете» в редакции, действующе</w:t>
      </w:r>
      <w:r w:rsidR="001C4C8F" w:rsidRPr="00FD7B0B">
        <w:rPr>
          <w:rFonts w:ascii="Times New Roman" w:eastAsia="Times New Roman" w:hAnsi="Times New Roman" w:cs="Times New Roman"/>
          <w:sz w:val="28"/>
          <w:szCs w:val="28"/>
          <w:lang w:eastAsia="ru-RU"/>
        </w:rPr>
        <w:t>й на 31.12.2024.</w:t>
      </w:r>
    </w:p>
    <w:p w14:paraId="0AF7A561"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Отклонение показателей сводной бюджетной росписи на 210,9 млн.руб. от параметров, утвержденных областным законом об областном бюджете на 31.12.2024 в целом по госпрограмме № 26, обусловлено утверждением уточненной сводной бюджетной росписью министерству образования Архангельской области объема финансирования по ФП «Стимулирование спроса на отечественные беспилотные авиационные системы» больше на 244,1 млн.руб., чем предусмотрено показателями областного закона об областном бюджете. </w:t>
      </w:r>
    </w:p>
    <w:p w14:paraId="0B227810" w14:textId="5EFE6584"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При сопоставлении утвержденных объемов финансирования в целом по госпрограмме № 26 на 2024 год с аналогичными параметрами 2023 года, </w:t>
      </w:r>
      <w:r w:rsidRPr="00FD7B0B">
        <w:rPr>
          <w:rFonts w:ascii="Times New Roman" w:eastAsia="Times New Roman" w:hAnsi="Times New Roman" w:cs="Times New Roman"/>
          <w:sz w:val="28"/>
          <w:szCs w:val="28"/>
          <w:lang w:eastAsia="ru-RU"/>
        </w:rPr>
        <w:lastRenderedPageBreak/>
        <w:t>наблюдается рост бюджетных ассигнований в 2024 году как по общему объему финансирования, так и в разрезе источников финансировани</w:t>
      </w:r>
      <w:r w:rsidR="00790C04" w:rsidRPr="00FD7B0B">
        <w:rPr>
          <w:rFonts w:ascii="Times New Roman" w:eastAsia="Times New Roman" w:hAnsi="Times New Roman" w:cs="Times New Roman"/>
          <w:sz w:val="28"/>
          <w:szCs w:val="28"/>
          <w:lang w:eastAsia="ru-RU"/>
        </w:rPr>
        <w:t>я.</w:t>
      </w:r>
    </w:p>
    <w:p w14:paraId="4464A753" w14:textId="77777777" w:rsidR="00AD4D1E" w:rsidRPr="00FD7B0B" w:rsidRDefault="00AD4D1E" w:rsidP="00790C04">
      <w:pPr>
        <w:pStyle w:val="aff0"/>
        <w:keepNext/>
        <w:spacing w:after="0" w:line="240" w:lineRule="auto"/>
        <w:rPr>
          <w:rFonts w:ascii="Times New Roman" w:hAnsi="Times New Roman"/>
          <w:b w:val="0"/>
          <w:sz w:val="24"/>
          <w:szCs w:val="24"/>
        </w:rPr>
      </w:pPr>
    </w:p>
    <w:p w14:paraId="6473E6C1" w14:textId="0C3BDFE9" w:rsidR="00AD4D1E" w:rsidRPr="00FD7B0B" w:rsidRDefault="00790C04" w:rsidP="00790C04">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214</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AD4D1E" w:rsidRPr="00FD7B0B">
        <w:rPr>
          <w:rFonts w:ascii="Times New Roman" w:hAnsi="Times New Roman"/>
          <w:b w:val="0"/>
          <w:sz w:val="24"/>
          <w:szCs w:val="24"/>
        </w:rPr>
        <w:t>Сопоставление объемов финансирования, утвержденных сводной бюджетной росписью на реализацию подпрограмм госпрограммы в 2023 году и структурных элементов госпрограммы на 2024 годы</w:t>
      </w:r>
      <w:r w:rsidR="0038334B" w:rsidRPr="00FD7B0B">
        <w:rPr>
          <w:rFonts w:ascii="Times New Roman" w:hAnsi="Times New Roman"/>
          <w:b w:val="0"/>
          <w:sz w:val="24"/>
          <w:szCs w:val="24"/>
        </w:rPr>
        <w:t>, 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838"/>
        <w:gridCol w:w="2834"/>
        <w:gridCol w:w="2336"/>
        <w:gridCol w:w="2337"/>
      </w:tblGrid>
      <w:tr w:rsidR="00FD7B0B" w:rsidRPr="00FD7B0B" w14:paraId="468DEE09" w14:textId="77777777" w:rsidTr="00790C04">
        <w:trPr>
          <w:trHeight w:val="26"/>
        </w:trPr>
        <w:tc>
          <w:tcPr>
            <w:tcW w:w="1838" w:type="dxa"/>
            <w:vMerge w:val="restart"/>
            <w:vAlign w:val="center"/>
          </w:tcPr>
          <w:p w14:paraId="4D685E84" w14:textId="77777777" w:rsidR="00AD4D1E" w:rsidRPr="00FD7B0B" w:rsidRDefault="00AD4D1E" w:rsidP="00AD4D1E">
            <w:pPr>
              <w:contextualSpacing/>
              <w:jc w:val="center"/>
              <w:rPr>
                <w:rFonts w:ascii="Times New Roman" w:eastAsia="Times New Roman" w:hAnsi="Times New Roman"/>
              </w:rPr>
            </w:pPr>
            <w:r w:rsidRPr="00FD7B0B">
              <w:rPr>
                <w:rFonts w:ascii="Times New Roman" w:eastAsia="Times New Roman" w:hAnsi="Times New Roman"/>
              </w:rPr>
              <w:t>Период</w:t>
            </w:r>
          </w:p>
        </w:tc>
        <w:tc>
          <w:tcPr>
            <w:tcW w:w="7507" w:type="dxa"/>
            <w:gridSpan w:val="3"/>
            <w:vAlign w:val="center"/>
          </w:tcPr>
          <w:p w14:paraId="37FED714" w14:textId="77777777" w:rsidR="00AD4D1E" w:rsidRPr="00FD7B0B" w:rsidRDefault="00AD4D1E" w:rsidP="00AD4D1E">
            <w:pPr>
              <w:contextualSpacing/>
              <w:jc w:val="center"/>
              <w:rPr>
                <w:rFonts w:ascii="Times New Roman" w:eastAsia="Times New Roman" w:hAnsi="Times New Roman"/>
              </w:rPr>
            </w:pPr>
            <w:r w:rsidRPr="00FD7B0B">
              <w:rPr>
                <w:rFonts w:ascii="Times New Roman" w:eastAsia="Times New Roman" w:hAnsi="Times New Roman"/>
              </w:rPr>
              <w:t>Утверждено сводной бюджетной росписью на реализацию госпрограммы № 26</w:t>
            </w:r>
          </w:p>
        </w:tc>
      </w:tr>
      <w:tr w:rsidR="00FD7B0B" w:rsidRPr="00FD7B0B" w14:paraId="4B099A94" w14:textId="77777777" w:rsidTr="00790C04">
        <w:tc>
          <w:tcPr>
            <w:tcW w:w="1838" w:type="dxa"/>
            <w:vMerge/>
            <w:vAlign w:val="center"/>
          </w:tcPr>
          <w:p w14:paraId="4DF1ABF5" w14:textId="77777777" w:rsidR="00AD4D1E" w:rsidRPr="00FD7B0B" w:rsidRDefault="00AD4D1E" w:rsidP="00AD4D1E">
            <w:pPr>
              <w:contextualSpacing/>
              <w:jc w:val="center"/>
              <w:rPr>
                <w:rFonts w:ascii="Times New Roman" w:eastAsia="Times New Roman" w:hAnsi="Times New Roman"/>
              </w:rPr>
            </w:pPr>
          </w:p>
        </w:tc>
        <w:tc>
          <w:tcPr>
            <w:tcW w:w="2834" w:type="dxa"/>
            <w:vAlign w:val="center"/>
          </w:tcPr>
          <w:p w14:paraId="4B5EA3EE" w14:textId="2187A4F7" w:rsidR="00AD4D1E" w:rsidRPr="00FD7B0B" w:rsidRDefault="0038334B" w:rsidP="00AD4D1E">
            <w:pPr>
              <w:contextualSpacing/>
              <w:jc w:val="center"/>
              <w:rPr>
                <w:rFonts w:ascii="Times New Roman" w:eastAsia="Times New Roman" w:hAnsi="Times New Roman"/>
              </w:rPr>
            </w:pPr>
            <w:r w:rsidRPr="00FD7B0B">
              <w:rPr>
                <w:rFonts w:ascii="Times New Roman" w:eastAsia="Times New Roman" w:hAnsi="Times New Roman"/>
              </w:rPr>
              <w:t>Всего</w:t>
            </w:r>
          </w:p>
        </w:tc>
        <w:tc>
          <w:tcPr>
            <w:tcW w:w="2336" w:type="dxa"/>
            <w:vAlign w:val="center"/>
          </w:tcPr>
          <w:p w14:paraId="08C3B7B5" w14:textId="461D7396" w:rsidR="00AD4D1E" w:rsidRPr="00FD7B0B" w:rsidRDefault="0038334B" w:rsidP="0038334B">
            <w:pPr>
              <w:contextualSpacing/>
              <w:jc w:val="center"/>
              <w:rPr>
                <w:rFonts w:ascii="Times New Roman" w:eastAsia="Times New Roman" w:hAnsi="Times New Roman"/>
              </w:rPr>
            </w:pPr>
            <w:r w:rsidRPr="00FD7B0B">
              <w:rPr>
                <w:rFonts w:ascii="Times New Roman" w:eastAsia="Times New Roman" w:hAnsi="Times New Roman"/>
              </w:rPr>
              <w:t>Федеральный бюджет</w:t>
            </w:r>
          </w:p>
        </w:tc>
        <w:tc>
          <w:tcPr>
            <w:tcW w:w="2337" w:type="dxa"/>
            <w:vAlign w:val="center"/>
          </w:tcPr>
          <w:p w14:paraId="576B50DA" w14:textId="6E7ADA06" w:rsidR="00AD4D1E" w:rsidRPr="00FD7B0B" w:rsidRDefault="0038334B" w:rsidP="0038334B">
            <w:pPr>
              <w:contextualSpacing/>
              <w:jc w:val="center"/>
              <w:rPr>
                <w:rFonts w:ascii="Times New Roman" w:eastAsia="Times New Roman" w:hAnsi="Times New Roman"/>
              </w:rPr>
            </w:pPr>
            <w:r w:rsidRPr="00FD7B0B">
              <w:rPr>
                <w:rFonts w:ascii="Times New Roman" w:eastAsia="Times New Roman" w:hAnsi="Times New Roman"/>
              </w:rPr>
              <w:t>Областной бюджет</w:t>
            </w:r>
          </w:p>
        </w:tc>
      </w:tr>
      <w:tr w:rsidR="00FD7B0B" w:rsidRPr="00FD7B0B" w14:paraId="615AE16A" w14:textId="77777777" w:rsidTr="00790C04">
        <w:tc>
          <w:tcPr>
            <w:tcW w:w="1838" w:type="dxa"/>
          </w:tcPr>
          <w:p w14:paraId="4A7C025F" w14:textId="77777777" w:rsidR="00AD4D1E" w:rsidRPr="00FD7B0B" w:rsidRDefault="00AD4D1E" w:rsidP="00AD4D1E">
            <w:pPr>
              <w:contextualSpacing/>
              <w:jc w:val="both"/>
              <w:rPr>
                <w:rFonts w:ascii="Times New Roman" w:eastAsia="Times New Roman" w:hAnsi="Times New Roman"/>
              </w:rPr>
            </w:pPr>
            <w:r w:rsidRPr="00FD7B0B">
              <w:rPr>
                <w:rFonts w:ascii="Times New Roman" w:eastAsia="Times New Roman" w:hAnsi="Times New Roman"/>
              </w:rPr>
              <w:t>2023 год</w:t>
            </w:r>
          </w:p>
        </w:tc>
        <w:tc>
          <w:tcPr>
            <w:tcW w:w="2834" w:type="dxa"/>
            <w:vAlign w:val="center"/>
          </w:tcPr>
          <w:p w14:paraId="1273D1DA" w14:textId="77777777" w:rsidR="00AD4D1E" w:rsidRPr="00FD7B0B" w:rsidRDefault="00AD4D1E" w:rsidP="00AD4D1E">
            <w:pPr>
              <w:contextualSpacing/>
              <w:jc w:val="center"/>
              <w:rPr>
                <w:rFonts w:ascii="Times New Roman" w:eastAsia="Times New Roman" w:hAnsi="Times New Roman"/>
              </w:rPr>
            </w:pPr>
            <w:r w:rsidRPr="00FD7B0B">
              <w:rPr>
                <w:rFonts w:ascii="Times New Roman" w:eastAsia="Times New Roman" w:hAnsi="Times New Roman"/>
              </w:rPr>
              <w:t>1 293,4</w:t>
            </w:r>
          </w:p>
        </w:tc>
        <w:tc>
          <w:tcPr>
            <w:tcW w:w="2336" w:type="dxa"/>
            <w:vAlign w:val="center"/>
          </w:tcPr>
          <w:p w14:paraId="00465BC9" w14:textId="77777777" w:rsidR="00AD4D1E" w:rsidRPr="00FD7B0B" w:rsidRDefault="00AD4D1E" w:rsidP="00AD4D1E">
            <w:pPr>
              <w:contextualSpacing/>
              <w:jc w:val="center"/>
              <w:rPr>
                <w:rFonts w:ascii="Times New Roman" w:eastAsia="Times New Roman" w:hAnsi="Times New Roman"/>
              </w:rPr>
            </w:pPr>
            <w:r w:rsidRPr="00FD7B0B">
              <w:rPr>
                <w:rFonts w:ascii="Times New Roman" w:eastAsia="Times New Roman" w:hAnsi="Times New Roman"/>
              </w:rPr>
              <w:t>354,2</w:t>
            </w:r>
          </w:p>
        </w:tc>
        <w:tc>
          <w:tcPr>
            <w:tcW w:w="2337" w:type="dxa"/>
            <w:vAlign w:val="center"/>
          </w:tcPr>
          <w:p w14:paraId="263BDB5A" w14:textId="77777777" w:rsidR="00AD4D1E" w:rsidRPr="00FD7B0B" w:rsidRDefault="00AD4D1E" w:rsidP="00AD4D1E">
            <w:pPr>
              <w:contextualSpacing/>
              <w:jc w:val="center"/>
              <w:rPr>
                <w:rFonts w:ascii="Times New Roman" w:eastAsia="Times New Roman" w:hAnsi="Times New Roman"/>
              </w:rPr>
            </w:pPr>
            <w:r w:rsidRPr="00FD7B0B">
              <w:rPr>
                <w:rFonts w:ascii="Times New Roman" w:eastAsia="Times New Roman" w:hAnsi="Times New Roman"/>
              </w:rPr>
              <w:t>939,2</w:t>
            </w:r>
          </w:p>
        </w:tc>
      </w:tr>
      <w:tr w:rsidR="00FD7B0B" w:rsidRPr="00FD7B0B" w14:paraId="52670B9C" w14:textId="77777777" w:rsidTr="00790C04">
        <w:tc>
          <w:tcPr>
            <w:tcW w:w="1838" w:type="dxa"/>
          </w:tcPr>
          <w:p w14:paraId="76867FF0" w14:textId="77777777" w:rsidR="00AD4D1E" w:rsidRPr="00FD7B0B" w:rsidRDefault="00AD4D1E" w:rsidP="00AD4D1E">
            <w:pPr>
              <w:contextualSpacing/>
              <w:jc w:val="both"/>
              <w:rPr>
                <w:rFonts w:ascii="Times New Roman" w:eastAsia="Times New Roman" w:hAnsi="Times New Roman"/>
              </w:rPr>
            </w:pPr>
            <w:r w:rsidRPr="00FD7B0B">
              <w:rPr>
                <w:rFonts w:ascii="Times New Roman" w:eastAsia="Times New Roman" w:hAnsi="Times New Roman"/>
              </w:rPr>
              <w:t>2024 год</w:t>
            </w:r>
          </w:p>
        </w:tc>
        <w:tc>
          <w:tcPr>
            <w:tcW w:w="2834" w:type="dxa"/>
            <w:vAlign w:val="center"/>
          </w:tcPr>
          <w:p w14:paraId="20E711A0" w14:textId="77777777" w:rsidR="00AD4D1E" w:rsidRPr="00FD7B0B" w:rsidRDefault="00AD4D1E" w:rsidP="00AD4D1E">
            <w:pPr>
              <w:contextualSpacing/>
              <w:jc w:val="center"/>
              <w:rPr>
                <w:rFonts w:ascii="Times New Roman" w:eastAsia="Times New Roman" w:hAnsi="Times New Roman"/>
              </w:rPr>
            </w:pPr>
            <w:r w:rsidRPr="00FD7B0B">
              <w:rPr>
                <w:rFonts w:ascii="Times New Roman" w:eastAsia="Times New Roman" w:hAnsi="Times New Roman"/>
              </w:rPr>
              <w:t>2 704,2</w:t>
            </w:r>
          </w:p>
        </w:tc>
        <w:tc>
          <w:tcPr>
            <w:tcW w:w="2336" w:type="dxa"/>
            <w:vAlign w:val="center"/>
          </w:tcPr>
          <w:p w14:paraId="5B9BEF48" w14:textId="77777777" w:rsidR="00AD4D1E" w:rsidRPr="00FD7B0B" w:rsidRDefault="00AD4D1E" w:rsidP="00AD4D1E">
            <w:pPr>
              <w:contextualSpacing/>
              <w:jc w:val="center"/>
              <w:rPr>
                <w:rFonts w:ascii="Times New Roman" w:eastAsia="Times New Roman" w:hAnsi="Times New Roman"/>
              </w:rPr>
            </w:pPr>
            <w:r w:rsidRPr="00FD7B0B">
              <w:rPr>
                <w:rFonts w:ascii="Times New Roman" w:eastAsia="Times New Roman" w:hAnsi="Times New Roman"/>
              </w:rPr>
              <w:t>1 442,0</w:t>
            </w:r>
          </w:p>
        </w:tc>
        <w:tc>
          <w:tcPr>
            <w:tcW w:w="2337" w:type="dxa"/>
            <w:vAlign w:val="center"/>
          </w:tcPr>
          <w:p w14:paraId="083773ED" w14:textId="77777777" w:rsidR="00AD4D1E" w:rsidRPr="00FD7B0B" w:rsidRDefault="00AD4D1E" w:rsidP="00AD4D1E">
            <w:pPr>
              <w:contextualSpacing/>
              <w:jc w:val="center"/>
              <w:rPr>
                <w:rFonts w:ascii="Times New Roman" w:eastAsia="Times New Roman" w:hAnsi="Times New Roman"/>
              </w:rPr>
            </w:pPr>
            <w:r w:rsidRPr="00FD7B0B">
              <w:rPr>
                <w:rFonts w:ascii="Times New Roman" w:eastAsia="Times New Roman" w:hAnsi="Times New Roman"/>
              </w:rPr>
              <w:t>1 262,2</w:t>
            </w:r>
          </w:p>
        </w:tc>
      </w:tr>
      <w:tr w:rsidR="00AD4D1E" w:rsidRPr="00FD7B0B" w14:paraId="5A1510D0" w14:textId="77777777" w:rsidTr="00790C04">
        <w:trPr>
          <w:trHeight w:val="120"/>
        </w:trPr>
        <w:tc>
          <w:tcPr>
            <w:tcW w:w="1838" w:type="dxa"/>
          </w:tcPr>
          <w:p w14:paraId="56354892" w14:textId="77777777" w:rsidR="00AD4D1E" w:rsidRPr="00FD7B0B" w:rsidRDefault="00AD4D1E" w:rsidP="00AD4D1E">
            <w:pPr>
              <w:contextualSpacing/>
              <w:jc w:val="both"/>
              <w:rPr>
                <w:rFonts w:ascii="Times New Roman" w:eastAsia="Times New Roman" w:hAnsi="Times New Roman"/>
                <w:b/>
              </w:rPr>
            </w:pPr>
            <w:r w:rsidRPr="00FD7B0B">
              <w:rPr>
                <w:rFonts w:ascii="Times New Roman" w:eastAsia="Times New Roman" w:hAnsi="Times New Roman"/>
                <w:b/>
              </w:rPr>
              <w:t>Отклонения</w:t>
            </w:r>
          </w:p>
        </w:tc>
        <w:tc>
          <w:tcPr>
            <w:tcW w:w="2834" w:type="dxa"/>
            <w:vAlign w:val="center"/>
          </w:tcPr>
          <w:p w14:paraId="552DEE44" w14:textId="77777777" w:rsidR="00AD4D1E" w:rsidRPr="00FD7B0B" w:rsidRDefault="00AD4D1E" w:rsidP="00AD4D1E">
            <w:pPr>
              <w:contextualSpacing/>
              <w:jc w:val="center"/>
              <w:rPr>
                <w:rFonts w:ascii="Times New Roman" w:eastAsia="Times New Roman" w:hAnsi="Times New Roman"/>
                <w:b/>
              </w:rPr>
            </w:pPr>
            <w:r w:rsidRPr="00FD7B0B">
              <w:rPr>
                <w:rFonts w:ascii="Times New Roman" w:eastAsia="Times New Roman" w:hAnsi="Times New Roman"/>
                <w:b/>
              </w:rPr>
              <w:t>+1 410,8</w:t>
            </w:r>
          </w:p>
        </w:tc>
        <w:tc>
          <w:tcPr>
            <w:tcW w:w="2336" w:type="dxa"/>
            <w:vAlign w:val="center"/>
          </w:tcPr>
          <w:p w14:paraId="5E1A8FC0" w14:textId="77777777" w:rsidR="00AD4D1E" w:rsidRPr="00FD7B0B" w:rsidRDefault="00AD4D1E" w:rsidP="00AD4D1E">
            <w:pPr>
              <w:contextualSpacing/>
              <w:jc w:val="center"/>
              <w:rPr>
                <w:rFonts w:ascii="Times New Roman" w:eastAsia="Times New Roman" w:hAnsi="Times New Roman"/>
                <w:b/>
              </w:rPr>
            </w:pPr>
            <w:r w:rsidRPr="00FD7B0B">
              <w:rPr>
                <w:rFonts w:ascii="Times New Roman" w:eastAsia="Times New Roman" w:hAnsi="Times New Roman"/>
                <w:b/>
              </w:rPr>
              <w:t>+1 087,8</w:t>
            </w:r>
          </w:p>
        </w:tc>
        <w:tc>
          <w:tcPr>
            <w:tcW w:w="2337" w:type="dxa"/>
            <w:vAlign w:val="center"/>
          </w:tcPr>
          <w:p w14:paraId="3C09ABEA" w14:textId="77777777" w:rsidR="00AD4D1E" w:rsidRPr="00FD7B0B" w:rsidRDefault="00AD4D1E" w:rsidP="00AD4D1E">
            <w:pPr>
              <w:contextualSpacing/>
              <w:jc w:val="center"/>
              <w:rPr>
                <w:rFonts w:ascii="Times New Roman" w:eastAsia="Times New Roman" w:hAnsi="Times New Roman"/>
                <w:b/>
              </w:rPr>
            </w:pPr>
            <w:r w:rsidRPr="00FD7B0B">
              <w:rPr>
                <w:rFonts w:ascii="Times New Roman" w:eastAsia="Times New Roman" w:hAnsi="Times New Roman"/>
                <w:b/>
              </w:rPr>
              <w:t>+323,0</w:t>
            </w:r>
          </w:p>
        </w:tc>
      </w:tr>
    </w:tbl>
    <w:p w14:paraId="7A0AFC5B" w14:textId="77777777" w:rsidR="0038334B" w:rsidRPr="00FD7B0B" w:rsidRDefault="0038334B"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7532EF79" w14:textId="22F56B49" w:rsidR="00AD4D1E" w:rsidRPr="00FD7B0B" w:rsidRDefault="00AC5C0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Отмечается</w:t>
      </w:r>
      <w:r w:rsidR="00AD4D1E" w:rsidRPr="00FD7B0B">
        <w:rPr>
          <w:rFonts w:ascii="Times New Roman" w:eastAsia="Times New Roman" w:hAnsi="Times New Roman" w:cs="Times New Roman"/>
          <w:sz w:val="28"/>
          <w:szCs w:val="28"/>
          <w:lang w:eastAsia="ru-RU"/>
        </w:rPr>
        <w:t xml:space="preserve"> рост объемов финансирования на 2024 год в целом госпрограмме № 26 на 1 410,8 млн.руб. или в 2,1 раза, по сравнению с 2023 годом, в том числе увеличение в разрезе источников финансирования: средств федерального бюджета и прочих целевых средств на 1 087,8 млн.руб., средств областного бюджета на 32</w:t>
      </w:r>
      <w:r w:rsidRPr="00FD7B0B">
        <w:rPr>
          <w:rFonts w:ascii="Times New Roman" w:eastAsia="Times New Roman" w:hAnsi="Times New Roman" w:cs="Times New Roman"/>
          <w:sz w:val="28"/>
          <w:szCs w:val="28"/>
          <w:lang w:eastAsia="ru-RU"/>
        </w:rPr>
        <w:t>3,0 млн.</w:t>
      </w:r>
      <w:r w:rsidR="00AD4D1E" w:rsidRPr="00FD7B0B">
        <w:rPr>
          <w:rFonts w:ascii="Times New Roman" w:eastAsia="Times New Roman" w:hAnsi="Times New Roman" w:cs="Times New Roman"/>
          <w:sz w:val="28"/>
          <w:szCs w:val="28"/>
          <w:lang w:eastAsia="ru-RU"/>
        </w:rPr>
        <w:t>руб.</w:t>
      </w:r>
    </w:p>
    <w:p w14:paraId="3E19F516"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Причиной увеличения объемов бюджетных ассигнований в 2024 году послужило включение в проектную часть госпрограммы № 26 финансирования следующих структурных элементов:</w:t>
      </w:r>
    </w:p>
    <w:p w14:paraId="04DC17D9"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РП «Реализация мероприятий плана социального развития центров экономического роста на территории Арктической зоны Российской Федерации» с объемом финансирования 1 113,5 млн.руб., в том числе: средства федерального бюджета и прочие целевые средства – 1 002,1 млн.руб., средства областного бюджета – 111,4 млн.руб.;</w:t>
      </w:r>
    </w:p>
    <w:p w14:paraId="0A8BA4EB" w14:textId="3C219833"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РП «Стимулирование спроса на отечественные беспилотные авиационные системы»</w:t>
      </w:r>
      <w:r w:rsidRPr="00FD7B0B">
        <w:t xml:space="preserve"> </w:t>
      </w:r>
      <w:r w:rsidRPr="00FD7B0B">
        <w:rPr>
          <w:rFonts w:ascii="Times New Roman" w:eastAsia="Times New Roman" w:hAnsi="Times New Roman" w:cs="Times New Roman"/>
          <w:sz w:val="28"/>
          <w:szCs w:val="28"/>
          <w:lang w:eastAsia="ru-RU"/>
        </w:rPr>
        <w:t>с объемом финансирования 308,1 млн.руб.,</w:t>
      </w:r>
      <w:r w:rsidRPr="00FD7B0B">
        <w:t xml:space="preserve"> </w:t>
      </w:r>
      <w:r w:rsidRPr="00FD7B0B">
        <w:rPr>
          <w:rFonts w:ascii="Times New Roman" w:eastAsia="Times New Roman" w:hAnsi="Times New Roman" w:cs="Times New Roman"/>
          <w:sz w:val="28"/>
          <w:szCs w:val="28"/>
          <w:lang w:eastAsia="ru-RU"/>
        </w:rPr>
        <w:t>в том числе: средства федерального бюджета и прочие целевые средства – 303,1 млн.руб., средства областного бюджета – 5,0 млн.руб.;</w:t>
      </w:r>
    </w:p>
    <w:p w14:paraId="2A4290FB"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РП «Создание сети современных кампусов» - с объемом финансирования за счет средств областного бюджета 450,0 млн.руб. против 240,4 млн.руб. в 2023 году.</w:t>
      </w:r>
    </w:p>
    <w:p w14:paraId="56C0BD35" w14:textId="6FD8BDB5"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то</w:t>
      </w:r>
      <w:r w:rsidR="00AC5C0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же время отмечаем снижение финансирования в отчетном году региональных проектов, реализуемых в рамках НП «МСП и поддержка предпринимательской инициативы» на 181,9 млн.руб.: с общего объема финансирования 313,5 млн.руб. в 2023 году до 131,6 млн.руб. - в 2024 году, из них:</w:t>
      </w:r>
    </w:p>
    <w:p w14:paraId="3B2773CB" w14:textId="3A0E0E00"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РП «Создание условий для легкого старта и комфортного ведения бизнеса» общее уменьшение – 15,8 млн.руб. (с 4</w:t>
      </w:r>
      <w:r w:rsidR="004E3613" w:rsidRPr="00FD7B0B">
        <w:rPr>
          <w:rFonts w:ascii="Times New Roman" w:eastAsia="Times New Roman" w:hAnsi="Times New Roman" w:cs="Times New Roman"/>
          <w:sz w:val="28"/>
          <w:szCs w:val="28"/>
          <w:lang w:eastAsia="ru-RU"/>
        </w:rPr>
        <w:t>1,2 млн.руб. до 25,4 млн.руб.);</w:t>
      </w:r>
    </w:p>
    <w:p w14:paraId="73920EE8"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РП «Акселерация субъектом МСП» общее уменьшение – 166,1 млн.руб. (с 266,5 млн.руб. до 100,4 млн.руб.).</w:t>
      </w:r>
    </w:p>
    <w:p w14:paraId="4552C428"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133BFF56" w14:textId="483BF04A"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Согласно пояснительной записке к отчету об исполнении областного бюджета за 2024 год,</w:t>
      </w:r>
      <w:r w:rsidRPr="00FD7B0B">
        <w:t xml:space="preserve"> </w:t>
      </w:r>
      <w:r w:rsidRPr="00FD7B0B">
        <w:rPr>
          <w:rFonts w:ascii="Times New Roman" w:eastAsia="Times New Roman" w:hAnsi="Times New Roman" w:cs="Times New Roman"/>
          <w:sz w:val="28"/>
          <w:szCs w:val="28"/>
          <w:lang w:eastAsia="ru-RU"/>
        </w:rPr>
        <w:t>кассовые расходы по госпрограмме № 26 составили в общей сумме 2 671,5 млн.руб. или 98,8</w:t>
      </w:r>
      <w:r w:rsidR="004E3613"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к параметрам, утвержденным сводной бюджетной росписью по состоянию на 31.12.2024.</w:t>
      </w:r>
    </w:p>
    <w:p w14:paraId="7FBF40AF" w14:textId="755CA3F8"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Сведения о произведенных кассовых расходах в разрезе источников финансирования на реализацию госпрограммы № 26 за 202</w:t>
      </w:r>
      <w:r w:rsidR="004E3613" w:rsidRPr="00FD7B0B">
        <w:rPr>
          <w:rFonts w:ascii="Times New Roman" w:eastAsia="Times New Roman" w:hAnsi="Times New Roman" w:cs="Times New Roman"/>
          <w:sz w:val="28"/>
          <w:szCs w:val="28"/>
          <w:lang w:eastAsia="ru-RU"/>
        </w:rPr>
        <w:t xml:space="preserve">4 год, представлены на рисунке </w:t>
      </w:r>
      <w:r w:rsidR="00420A00" w:rsidRPr="00FD7B0B">
        <w:rPr>
          <w:rFonts w:ascii="Times New Roman" w:eastAsia="Times New Roman" w:hAnsi="Times New Roman" w:cs="Times New Roman"/>
          <w:sz w:val="28"/>
          <w:szCs w:val="28"/>
          <w:lang w:eastAsia="ru-RU"/>
        </w:rPr>
        <w:t>30</w:t>
      </w:r>
      <w:r w:rsidRPr="00FD7B0B">
        <w:rPr>
          <w:rFonts w:ascii="Times New Roman" w:eastAsia="Times New Roman" w:hAnsi="Times New Roman" w:cs="Times New Roman"/>
          <w:sz w:val="28"/>
          <w:szCs w:val="28"/>
          <w:lang w:eastAsia="ru-RU"/>
        </w:rPr>
        <w:t>.</w:t>
      </w:r>
    </w:p>
    <w:p w14:paraId="67216D7C" w14:textId="1E5F238A" w:rsidR="00AD4D1E" w:rsidRPr="00FD7B0B" w:rsidRDefault="008B1028" w:rsidP="004E3613">
      <w:pPr>
        <w:spacing w:after="0" w:line="240" w:lineRule="auto"/>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noProof/>
          <w:sz w:val="28"/>
          <w:szCs w:val="28"/>
          <w:lang w:eastAsia="ru-RU"/>
        </w:rPr>
        <w:drawing>
          <wp:inline distT="0" distB="0" distL="0" distR="0" wp14:anchorId="66791A02" wp14:editId="2354EFB3">
            <wp:extent cx="5937885" cy="273748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7885" cy="2737485"/>
                    </a:xfrm>
                    <a:prstGeom prst="rect">
                      <a:avLst/>
                    </a:prstGeom>
                    <a:noFill/>
                  </pic:spPr>
                </pic:pic>
              </a:graphicData>
            </a:graphic>
          </wp:inline>
        </w:drawing>
      </w:r>
    </w:p>
    <w:p w14:paraId="08722E41" w14:textId="7C281565" w:rsidR="00AD4D1E" w:rsidRPr="00FD7B0B" w:rsidRDefault="008B1028" w:rsidP="008B1028">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30</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AD4D1E" w:rsidRPr="00FD7B0B">
        <w:rPr>
          <w:rFonts w:ascii="Times New Roman" w:hAnsi="Times New Roman"/>
          <w:b w:val="0"/>
          <w:sz w:val="24"/>
          <w:szCs w:val="24"/>
        </w:rPr>
        <w:t>Расходы на реализацию ГП АО № 26 за 2024 год в разрезе источников финансирования, млн.руб.</w:t>
      </w:r>
    </w:p>
    <w:p w14:paraId="1F651EED" w14:textId="77777777" w:rsidR="00AD4D1E" w:rsidRPr="00FD7B0B" w:rsidRDefault="00AD4D1E" w:rsidP="008B1028">
      <w:pPr>
        <w:pStyle w:val="aff0"/>
        <w:keepNext/>
        <w:spacing w:after="0" w:line="240" w:lineRule="auto"/>
        <w:rPr>
          <w:rFonts w:ascii="Times New Roman" w:hAnsi="Times New Roman"/>
          <w:b w:val="0"/>
          <w:sz w:val="24"/>
          <w:szCs w:val="24"/>
        </w:rPr>
      </w:pPr>
    </w:p>
    <w:p w14:paraId="05601D21" w14:textId="11918141" w:rsidR="00AD4D1E" w:rsidRPr="00FD7B0B" w:rsidRDefault="008B1028"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w:t>
      </w:r>
      <w:r w:rsidR="00AD4D1E" w:rsidRPr="00FD7B0B">
        <w:rPr>
          <w:rFonts w:ascii="Times New Roman" w:eastAsia="Times New Roman" w:hAnsi="Times New Roman" w:cs="Times New Roman"/>
          <w:sz w:val="28"/>
          <w:szCs w:val="28"/>
          <w:lang w:eastAsia="ru-RU"/>
        </w:rPr>
        <w:t>тмечае</w:t>
      </w:r>
      <w:r w:rsidRPr="00FD7B0B">
        <w:rPr>
          <w:rFonts w:ascii="Times New Roman" w:eastAsia="Times New Roman" w:hAnsi="Times New Roman" w:cs="Times New Roman"/>
          <w:sz w:val="28"/>
          <w:szCs w:val="28"/>
          <w:lang w:eastAsia="ru-RU"/>
        </w:rPr>
        <w:t>тся</w:t>
      </w:r>
      <w:r w:rsidR="00AD4D1E" w:rsidRPr="00FD7B0B">
        <w:rPr>
          <w:rFonts w:ascii="Times New Roman" w:eastAsia="Times New Roman" w:hAnsi="Times New Roman" w:cs="Times New Roman"/>
          <w:sz w:val="28"/>
          <w:szCs w:val="28"/>
          <w:lang w:eastAsia="ru-RU"/>
        </w:rPr>
        <w:t xml:space="preserve"> невыполнение кассовых расходов по итогам реализации госпрограммы № 26 за 2024 год к параметрам, утвержденным сводной бюджетной росписью, как в целом по госпрограмме, так и в разрезе источников финансирования.</w:t>
      </w:r>
    </w:p>
    <w:p w14:paraId="534A22D9" w14:textId="77777777" w:rsidR="00AD4D1E" w:rsidRPr="00FD7B0B" w:rsidRDefault="00AD4D1E" w:rsidP="008B1028">
      <w:pPr>
        <w:spacing w:after="0" w:line="240" w:lineRule="auto"/>
        <w:ind w:firstLine="709"/>
        <w:contextualSpacing/>
        <w:jc w:val="both"/>
        <w:rPr>
          <w:rFonts w:ascii="Times New Roman" w:eastAsia="Times New Roman" w:hAnsi="Times New Roman" w:cs="Times New Roman"/>
          <w:sz w:val="28"/>
          <w:szCs w:val="28"/>
          <w:lang w:eastAsia="ru-RU"/>
        </w:rPr>
      </w:pPr>
    </w:p>
    <w:p w14:paraId="5E27D0F2" w14:textId="1FAEC1F5"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Расходы областного бюджета на реализацию госпрограммы № 26 за 2024 год, а также параметры, утвержденные на 2024 год в разрезе главных распорядителей и видов расходов,</w:t>
      </w:r>
      <w:r w:rsidR="00183D78" w:rsidRPr="00FD7B0B">
        <w:rPr>
          <w:rFonts w:ascii="Times New Roman" w:eastAsia="Times New Roman" w:hAnsi="Times New Roman" w:cs="Times New Roman"/>
          <w:sz w:val="28"/>
          <w:szCs w:val="28"/>
          <w:lang w:eastAsia="ru-RU"/>
        </w:rPr>
        <w:t xml:space="preserve"> представлены ниже в таблице </w:t>
      </w:r>
      <w:r w:rsidR="00420A00" w:rsidRPr="00FD7B0B">
        <w:rPr>
          <w:rFonts w:ascii="Times New Roman" w:eastAsia="Times New Roman" w:hAnsi="Times New Roman" w:cs="Times New Roman"/>
          <w:sz w:val="28"/>
          <w:szCs w:val="28"/>
          <w:lang w:eastAsia="ru-RU"/>
        </w:rPr>
        <w:t>215</w:t>
      </w:r>
      <w:r w:rsidRPr="00FD7B0B">
        <w:rPr>
          <w:rFonts w:ascii="Times New Roman" w:eastAsia="Times New Roman" w:hAnsi="Times New Roman" w:cs="Times New Roman"/>
          <w:sz w:val="28"/>
          <w:szCs w:val="28"/>
          <w:lang w:eastAsia="ru-RU"/>
        </w:rPr>
        <w:t>.</w:t>
      </w:r>
    </w:p>
    <w:p w14:paraId="3887C641"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2793B8A8" w14:textId="556BC80B" w:rsidR="00AD4D1E" w:rsidRPr="00FD7B0B" w:rsidRDefault="00183D78" w:rsidP="00183D78">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215</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AD4D1E" w:rsidRPr="00FD7B0B">
        <w:rPr>
          <w:rFonts w:ascii="Times New Roman" w:hAnsi="Times New Roman"/>
          <w:b w:val="0"/>
          <w:sz w:val="24"/>
          <w:szCs w:val="24"/>
        </w:rPr>
        <w:t>Основные параметры утвержденных и исполненных расходов из областного бюджета за 2024 на ре</w:t>
      </w:r>
      <w:r w:rsidRPr="00FD7B0B">
        <w:rPr>
          <w:rFonts w:ascii="Times New Roman" w:hAnsi="Times New Roman"/>
          <w:b w:val="0"/>
          <w:sz w:val="24"/>
          <w:szCs w:val="24"/>
        </w:rPr>
        <w:t>ализацию мероприятий ГП АО № 26</w:t>
      </w:r>
    </w:p>
    <w:tbl>
      <w:tblPr>
        <w:tblW w:w="9608" w:type="dxa"/>
        <w:tblInd w:w="-15" w:type="dxa"/>
        <w:tblLayout w:type="fixed"/>
        <w:tblLook w:val="04A0" w:firstRow="1" w:lastRow="0" w:firstColumn="1" w:lastColumn="0" w:noHBand="0" w:noVBand="1"/>
      </w:tblPr>
      <w:tblGrid>
        <w:gridCol w:w="4243"/>
        <w:gridCol w:w="709"/>
        <w:gridCol w:w="1417"/>
        <w:gridCol w:w="1134"/>
        <w:gridCol w:w="1134"/>
        <w:gridCol w:w="971"/>
      </w:tblGrid>
      <w:tr w:rsidR="00FD7B0B" w:rsidRPr="00FD7B0B" w14:paraId="0635DF19" w14:textId="77777777" w:rsidTr="00183D78">
        <w:trPr>
          <w:trHeight w:val="233"/>
          <w:tblHeader/>
        </w:trPr>
        <w:tc>
          <w:tcPr>
            <w:tcW w:w="4243"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91FDAAC"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Calibri" w:hAnsi="Times New Roman" w:cs="Times New Roman"/>
                <w:sz w:val="24"/>
                <w:szCs w:val="24"/>
              </w:rPr>
              <w:t>г</w:t>
            </w:r>
            <w:r w:rsidRPr="00FD7B0B">
              <w:rPr>
                <w:rFonts w:ascii="Times New Roman" w:eastAsia="Times New Roman" w:hAnsi="Times New Roman" w:cs="Times New Roman"/>
                <w:sz w:val="18"/>
                <w:szCs w:val="18"/>
                <w:lang w:eastAsia="ru-RU"/>
              </w:rPr>
              <w:t>лавный распорядитель, подгруппы видов расходов</w:t>
            </w:r>
          </w:p>
        </w:tc>
        <w:tc>
          <w:tcPr>
            <w:tcW w:w="70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614E9EE"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Код вида расходов</w:t>
            </w:r>
          </w:p>
        </w:tc>
        <w:tc>
          <w:tcPr>
            <w:tcW w:w="2551" w:type="dxa"/>
            <w:gridSpan w:val="2"/>
            <w:tcBorders>
              <w:top w:val="double" w:sz="4" w:space="0" w:color="auto"/>
              <w:left w:val="nil"/>
              <w:bottom w:val="single" w:sz="4" w:space="0" w:color="auto"/>
              <w:right w:val="single" w:sz="4" w:space="0" w:color="auto"/>
            </w:tcBorders>
            <w:shd w:val="clear" w:color="auto" w:fill="auto"/>
            <w:vAlign w:val="center"/>
            <w:hideMark/>
          </w:tcPr>
          <w:p w14:paraId="6B5F0316"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 на 2024 год, млн.руб.</w:t>
            </w:r>
          </w:p>
        </w:tc>
        <w:tc>
          <w:tcPr>
            <w:tcW w:w="2105" w:type="dxa"/>
            <w:gridSpan w:val="2"/>
            <w:tcBorders>
              <w:top w:val="double" w:sz="4" w:space="0" w:color="auto"/>
              <w:left w:val="nil"/>
              <w:bottom w:val="single" w:sz="4" w:space="0" w:color="auto"/>
              <w:right w:val="single" w:sz="4" w:space="0" w:color="auto"/>
            </w:tcBorders>
            <w:shd w:val="clear" w:color="auto" w:fill="auto"/>
            <w:vAlign w:val="center"/>
            <w:hideMark/>
          </w:tcPr>
          <w:p w14:paraId="3706429A"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Исполнение на 31.12.2024, млн.руб.</w:t>
            </w:r>
          </w:p>
        </w:tc>
      </w:tr>
      <w:tr w:rsidR="00FD7B0B" w:rsidRPr="00FD7B0B" w14:paraId="1148DCE4" w14:textId="77777777" w:rsidTr="00183D78">
        <w:trPr>
          <w:trHeight w:val="705"/>
          <w:tblHeader/>
        </w:trPr>
        <w:tc>
          <w:tcPr>
            <w:tcW w:w="4243" w:type="dxa"/>
            <w:vMerge/>
            <w:tcBorders>
              <w:top w:val="single" w:sz="4" w:space="0" w:color="auto"/>
              <w:left w:val="double" w:sz="4" w:space="0" w:color="auto"/>
              <w:bottom w:val="single" w:sz="4" w:space="0" w:color="auto"/>
              <w:right w:val="single" w:sz="4" w:space="0" w:color="auto"/>
            </w:tcBorders>
            <w:vAlign w:val="center"/>
            <w:hideMark/>
          </w:tcPr>
          <w:p w14:paraId="5BBC6AB1" w14:textId="77777777" w:rsidR="00AD4D1E" w:rsidRPr="00FD7B0B" w:rsidRDefault="00AD4D1E" w:rsidP="00AD4D1E">
            <w:pPr>
              <w:spacing w:after="0" w:line="240" w:lineRule="auto"/>
              <w:rPr>
                <w:rFonts w:ascii="Times New Roman" w:eastAsia="Times New Roman" w:hAnsi="Times New Roman" w:cs="Times New Roman"/>
                <w:sz w:val="18"/>
                <w:szCs w:val="18"/>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55F35F" w14:textId="77777777" w:rsidR="00AD4D1E" w:rsidRPr="00FD7B0B" w:rsidRDefault="00AD4D1E" w:rsidP="00AD4D1E">
            <w:pPr>
              <w:spacing w:after="0" w:line="240" w:lineRule="auto"/>
              <w:rPr>
                <w:rFonts w:ascii="Times New Roman" w:eastAsia="Times New Roman" w:hAnsi="Times New Roman" w:cs="Times New Roman"/>
                <w:sz w:val="18"/>
                <w:szCs w:val="18"/>
                <w:lang w:eastAsia="ru-RU"/>
              </w:rPr>
            </w:pPr>
          </w:p>
        </w:tc>
        <w:tc>
          <w:tcPr>
            <w:tcW w:w="1417" w:type="dxa"/>
            <w:tcBorders>
              <w:top w:val="nil"/>
              <w:left w:val="nil"/>
              <w:bottom w:val="single" w:sz="4" w:space="0" w:color="auto"/>
              <w:right w:val="single" w:sz="4" w:space="0" w:color="auto"/>
            </w:tcBorders>
            <w:shd w:val="clear" w:color="auto" w:fill="auto"/>
            <w:vAlign w:val="center"/>
            <w:hideMark/>
          </w:tcPr>
          <w:p w14:paraId="0A667302"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Утверждено на год законом о бюджете на 2024 год (в ред. 23.12.2024 № 176-13-ОЗ)</w:t>
            </w:r>
          </w:p>
        </w:tc>
        <w:tc>
          <w:tcPr>
            <w:tcW w:w="1134" w:type="dxa"/>
            <w:tcBorders>
              <w:top w:val="nil"/>
              <w:left w:val="nil"/>
              <w:bottom w:val="single" w:sz="4" w:space="0" w:color="auto"/>
              <w:right w:val="single" w:sz="4" w:space="0" w:color="auto"/>
            </w:tcBorders>
            <w:shd w:val="clear" w:color="auto" w:fill="auto"/>
            <w:vAlign w:val="center"/>
            <w:hideMark/>
          </w:tcPr>
          <w:p w14:paraId="1756D1FF"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Сводная бюджетная роспись на 31.12.2024</w:t>
            </w:r>
          </w:p>
        </w:tc>
        <w:tc>
          <w:tcPr>
            <w:tcW w:w="1134" w:type="dxa"/>
            <w:tcBorders>
              <w:top w:val="nil"/>
              <w:left w:val="nil"/>
              <w:bottom w:val="single" w:sz="4" w:space="0" w:color="auto"/>
              <w:right w:val="single" w:sz="4" w:space="0" w:color="auto"/>
            </w:tcBorders>
            <w:shd w:val="clear" w:color="auto" w:fill="auto"/>
            <w:vAlign w:val="center"/>
            <w:hideMark/>
          </w:tcPr>
          <w:p w14:paraId="78C2D4F0"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Исполнено на 31.12.2024 </w:t>
            </w:r>
          </w:p>
        </w:tc>
        <w:tc>
          <w:tcPr>
            <w:tcW w:w="971" w:type="dxa"/>
            <w:tcBorders>
              <w:top w:val="nil"/>
              <w:left w:val="nil"/>
              <w:bottom w:val="single" w:sz="4" w:space="0" w:color="auto"/>
              <w:right w:val="double" w:sz="4" w:space="0" w:color="auto"/>
            </w:tcBorders>
            <w:shd w:val="clear" w:color="auto" w:fill="auto"/>
            <w:vAlign w:val="center"/>
            <w:hideMark/>
          </w:tcPr>
          <w:p w14:paraId="656FE8F5"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к уточненной сводной бюджетной росписи на год</w:t>
            </w:r>
          </w:p>
        </w:tc>
      </w:tr>
      <w:tr w:rsidR="00FD7B0B" w:rsidRPr="00FD7B0B" w14:paraId="1FBBB961" w14:textId="77777777" w:rsidTr="00183D78">
        <w:trPr>
          <w:trHeight w:val="197"/>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334EE128"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министерство ТЭК и ЖКХ Архангельской области (023)</w:t>
            </w:r>
          </w:p>
        </w:tc>
        <w:tc>
          <w:tcPr>
            <w:tcW w:w="709" w:type="dxa"/>
            <w:tcBorders>
              <w:top w:val="nil"/>
              <w:left w:val="nil"/>
              <w:bottom w:val="single" w:sz="4" w:space="0" w:color="auto"/>
              <w:right w:val="single" w:sz="4" w:space="0" w:color="auto"/>
            </w:tcBorders>
            <w:shd w:val="clear" w:color="auto" w:fill="auto"/>
            <w:vAlign w:val="center"/>
            <w:hideMark/>
          </w:tcPr>
          <w:p w14:paraId="74209C8F"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500 </w:t>
            </w:r>
          </w:p>
        </w:tc>
        <w:tc>
          <w:tcPr>
            <w:tcW w:w="1417" w:type="dxa"/>
            <w:tcBorders>
              <w:top w:val="nil"/>
              <w:left w:val="nil"/>
              <w:bottom w:val="single" w:sz="4" w:space="0" w:color="auto"/>
              <w:right w:val="single" w:sz="4" w:space="0" w:color="auto"/>
            </w:tcBorders>
            <w:shd w:val="clear" w:color="auto" w:fill="auto"/>
            <w:vAlign w:val="center"/>
          </w:tcPr>
          <w:p w14:paraId="222322C5"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361,3</w:t>
            </w:r>
          </w:p>
        </w:tc>
        <w:tc>
          <w:tcPr>
            <w:tcW w:w="1134" w:type="dxa"/>
            <w:tcBorders>
              <w:top w:val="nil"/>
              <w:left w:val="nil"/>
              <w:bottom w:val="single" w:sz="4" w:space="0" w:color="auto"/>
              <w:right w:val="single" w:sz="4" w:space="0" w:color="auto"/>
            </w:tcBorders>
            <w:shd w:val="clear" w:color="auto" w:fill="auto"/>
            <w:vAlign w:val="center"/>
          </w:tcPr>
          <w:p w14:paraId="38F9AD1E"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361,3</w:t>
            </w:r>
          </w:p>
        </w:tc>
        <w:tc>
          <w:tcPr>
            <w:tcW w:w="1134" w:type="dxa"/>
            <w:tcBorders>
              <w:top w:val="nil"/>
              <w:left w:val="nil"/>
              <w:bottom w:val="single" w:sz="4" w:space="0" w:color="auto"/>
              <w:right w:val="single" w:sz="4" w:space="0" w:color="auto"/>
            </w:tcBorders>
            <w:shd w:val="clear" w:color="auto" w:fill="auto"/>
            <w:vAlign w:val="center"/>
          </w:tcPr>
          <w:p w14:paraId="5D7331A9"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361,3</w:t>
            </w:r>
          </w:p>
        </w:tc>
        <w:tc>
          <w:tcPr>
            <w:tcW w:w="971" w:type="dxa"/>
            <w:tcBorders>
              <w:top w:val="single" w:sz="4" w:space="0" w:color="auto"/>
              <w:left w:val="nil"/>
              <w:bottom w:val="single" w:sz="4" w:space="0" w:color="auto"/>
              <w:right w:val="double" w:sz="4" w:space="0" w:color="auto"/>
            </w:tcBorders>
            <w:shd w:val="clear" w:color="auto" w:fill="auto"/>
            <w:vAlign w:val="center"/>
          </w:tcPr>
          <w:p w14:paraId="27451177"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00B78C02" w14:textId="77777777" w:rsidTr="00183D78">
        <w:trPr>
          <w:trHeight w:val="269"/>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tcPr>
          <w:p w14:paraId="7FC38C16"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w:t>
            </w:r>
            <w:r w:rsidRPr="00FD7B0B">
              <w:rPr>
                <w:rFonts w:ascii="Times New Roman" w:hAnsi="Times New Roman" w:cs="Times New Roman"/>
                <w:sz w:val="18"/>
                <w:szCs w:val="18"/>
              </w:rPr>
              <w:t xml:space="preserve"> </w:t>
            </w:r>
            <w:r w:rsidRPr="00FD7B0B">
              <w:rPr>
                <w:rFonts w:ascii="Times New Roman" w:eastAsia="Times New Roman" w:hAnsi="Times New Roman" w:cs="Times New Roman"/>
                <w:sz w:val="18"/>
                <w:szCs w:val="18"/>
                <w:lang w:eastAsia="ru-RU"/>
              </w:rPr>
              <w:t>министерство природных ресурсов и ЛПК Архангельской области (045)</w:t>
            </w:r>
          </w:p>
        </w:tc>
        <w:tc>
          <w:tcPr>
            <w:tcW w:w="709" w:type="dxa"/>
            <w:tcBorders>
              <w:top w:val="nil"/>
              <w:left w:val="nil"/>
              <w:bottom w:val="single" w:sz="4" w:space="0" w:color="auto"/>
              <w:right w:val="single" w:sz="4" w:space="0" w:color="auto"/>
            </w:tcBorders>
            <w:shd w:val="clear" w:color="auto" w:fill="auto"/>
            <w:vAlign w:val="center"/>
          </w:tcPr>
          <w:p w14:paraId="0BE21DA2"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tc>
        <w:tc>
          <w:tcPr>
            <w:tcW w:w="1417" w:type="dxa"/>
            <w:tcBorders>
              <w:top w:val="nil"/>
              <w:left w:val="nil"/>
              <w:bottom w:val="single" w:sz="4" w:space="0" w:color="auto"/>
              <w:right w:val="single" w:sz="4" w:space="0" w:color="auto"/>
            </w:tcBorders>
            <w:shd w:val="clear" w:color="auto" w:fill="auto"/>
            <w:vAlign w:val="center"/>
          </w:tcPr>
          <w:p w14:paraId="7C978A38"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134" w:type="dxa"/>
            <w:tcBorders>
              <w:top w:val="nil"/>
              <w:left w:val="nil"/>
              <w:bottom w:val="single" w:sz="4" w:space="0" w:color="auto"/>
              <w:right w:val="single" w:sz="4" w:space="0" w:color="auto"/>
            </w:tcBorders>
            <w:shd w:val="clear" w:color="auto" w:fill="auto"/>
            <w:vAlign w:val="center"/>
          </w:tcPr>
          <w:p w14:paraId="5C9E734A"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134" w:type="dxa"/>
            <w:tcBorders>
              <w:top w:val="nil"/>
              <w:left w:val="nil"/>
              <w:bottom w:val="single" w:sz="4" w:space="0" w:color="auto"/>
              <w:right w:val="single" w:sz="4" w:space="0" w:color="auto"/>
            </w:tcBorders>
            <w:shd w:val="clear" w:color="auto" w:fill="auto"/>
            <w:vAlign w:val="center"/>
          </w:tcPr>
          <w:p w14:paraId="45B9BBEB"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30,0</w:t>
            </w:r>
          </w:p>
        </w:tc>
        <w:tc>
          <w:tcPr>
            <w:tcW w:w="971" w:type="dxa"/>
            <w:tcBorders>
              <w:top w:val="single" w:sz="4" w:space="0" w:color="auto"/>
              <w:left w:val="nil"/>
              <w:bottom w:val="single" w:sz="4" w:space="0" w:color="auto"/>
              <w:right w:val="double" w:sz="4" w:space="0" w:color="auto"/>
            </w:tcBorders>
            <w:shd w:val="clear" w:color="auto" w:fill="auto"/>
            <w:vAlign w:val="center"/>
          </w:tcPr>
          <w:p w14:paraId="016AFEA4"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w:t>
            </w:r>
          </w:p>
        </w:tc>
      </w:tr>
      <w:tr w:rsidR="00FD7B0B" w:rsidRPr="00FD7B0B" w14:paraId="6FBF9C96" w14:textId="77777777" w:rsidTr="00183D78">
        <w:trPr>
          <w:trHeight w:val="280"/>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tcPr>
          <w:p w14:paraId="1C82E592"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 министерство здравоохранения Архангельской области (062)</w:t>
            </w:r>
          </w:p>
        </w:tc>
        <w:tc>
          <w:tcPr>
            <w:tcW w:w="709" w:type="dxa"/>
            <w:tcBorders>
              <w:top w:val="nil"/>
              <w:left w:val="nil"/>
              <w:bottom w:val="single" w:sz="4" w:space="0" w:color="auto"/>
              <w:right w:val="single" w:sz="4" w:space="0" w:color="auto"/>
            </w:tcBorders>
            <w:shd w:val="clear" w:color="auto" w:fill="auto"/>
            <w:vAlign w:val="center"/>
          </w:tcPr>
          <w:p w14:paraId="64ADE3E5"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417" w:type="dxa"/>
            <w:tcBorders>
              <w:top w:val="nil"/>
              <w:left w:val="nil"/>
              <w:bottom w:val="single" w:sz="4" w:space="0" w:color="auto"/>
              <w:right w:val="single" w:sz="4" w:space="0" w:color="auto"/>
            </w:tcBorders>
            <w:shd w:val="clear" w:color="auto" w:fill="auto"/>
            <w:vAlign w:val="center"/>
          </w:tcPr>
          <w:p w14:paraId="7E0CAF2D"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194,7</w:t>
            </w:r>
          </w:p>
        </w:tc>
        <w:tc>
          <w:tcPr>
            <w:tcW w:w="1134" w:type="dxa"/>
            <w:tcBorders>
              <w:top w:val="nil"/>
              <w:left w:val="nil"/>
              <w:bottom w:val="single" w:sz="4" w:space="0" w:color="auto"/>
              <w:right w:val="single" w:sz="4" w:space="0" w:color="auto"/>
            </w:tcBorders>
            <w:shd w:val="clear" w:color="auto" w:fill="auto"/>
            <w:vAlign w:val="center"/>
          </w:tcPr>
          <w:p w14:paraId="47A957EB"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194,7</w:t>
            </w:r>
          </w:p>
        </w:tc>
        <w:tc>
          <w:tcPr>
            <w:tcW w:w="1134" w:type="dxa"/>
            <w:tcBorders>
              <w:top w:val="nil"/>
              <w:left w:val="nil"/>
              <w:bottom w:val="single" w:sz="4" w:space="0" w:color="auto"/>
              <w:right w:val="single" w:sz="4" w:space="0" w:color="auto"/>
            </w:tcBorders>
            <w:shd w:val="clear" w:color="auto" w:fill="auto"/>
            <w:vAlign w:val="center"/>
          </w:tcPr>
          <w:p w14:paraId="469EB4E7"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194,7</w:t>
            </w:r>
          </w:p>
        </w:tc>
        <w:tc>
          <w:tcPr>
            <w:tcW w:w="971" w:type="dxa"/>
            <w:tcBorders>
              <w:top w:val="single" w:sz="4" w:space="0" w:color="auto"/>
              <w:left w:val="nil"/>
              <w:bottom w:val="single" w:sz="4" w:space="0" w:color="auto"/>
              <w:right w:val="double" w:sz="4" w:space="0" w:color="auto"/>
            </w:tcBorders>
            <w:shd w:val="clear" w:color="auto" w:fill="auto"/>
            <w:vAlign w:val="center"/>
          </w:tcPr>
          <w:p w14:paraId="518ED649"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0E8383B3" w14:textId="77777777" w:rsidTr="00183D78">
        <w:trPr>
          <w:trHeight w:val="280"/>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tcPr>
          <w:p w14:paraId="24E7202D"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 министерство культуры Архангельской</w:t>
            </w:r>
          </w:p>
          <w:p w14:paraId="51CA3796"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области (069)</w:t>
            </w:r>
          </w:p>
        </w:tc>
        <w:tc>
          <w:tcPr>
            <w:tcW w:w="709" w:type="dxa"/>
            <w:tcBorders>
              <w:top w:val="nil"/>
              <w:left w:val="nil"/>
              <w:bottom w:val="single" w:sz="4" w:space="0" w:color="auto"/>
              <w:right w:val="single" w:sz="4" w:space="0" w:color="auto"/>
            </w:tcBorders>
            <w:shd w:val="clear" w:color="auto" w:fill="auto"/>
            <w:vAlign w:val="center"/>
          </w:tcPr>
          <w:p w14:paraId="55C35C25"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417" w:type="dxa"/>
            <w:tcBorders>
              <w:top w:val="nil"/>
              <w:left w:val="nil"/>
              <w:bottom w:val="single" w:sz="4" w:space="0" w:color="auto"/>
              <w:right w:val="single" w:sz="4" w:space="0" w:color="auto"/>
            </w:tcBorders>
            <w:shd w:val="clear" w:color="auto" w:fill="auto"/>
            <w:vAlign w:val="center"/>
          </w:tcPr>
          <w:p w14:paraId="42B2CB70"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87,8</w:t>
            </w:r>
          </w:p>
        </w:tc>
        <w:tc>
          <w:tcPr>
            <w:tcW w:w="1134" w:type="dxa"/>
            <w:tcBorders>
              <w:top w:val="nil"/>
              <w:left w:val="nil"/>
              <w:bottom w:val="single" w:sz="4" w:space="0" w:color="auto"/>
              <w:right w:val="single" w:sz="4" w:space="0" w:color="auto"/>
            </w:tcBorders>
            <w:shd w:val="clear" w:color="auto" w:fill="auto"/>
            <w:vAlign w:val="center"/>
          </w:tcPr>
          <w:p w14:paraId="603352EA"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87,8</w:t>
            </w:r>
          </w:p>
        </w:tc>
        <w:tc>
          <w:tcPr>
            <w:tcW w:w="1134" w:type="dxa"/>
            <w:tcBorders>
              <w:top w:val="nil"/>
              <w:left w:val="nil"/>
              <w:bottom w:val="single" w:sz="4" w:space="0" w:color="auto"/>
              <w:right w:val="single" w:sz="4" w:space="0" w:color="auto"/>
            </w:tcBorders>
            <w:shd w:val="clear" w:color="auto" w:fill="auto"/>
            <w:vAlign w:val="center"/>
          </w:tcPr>
          <w:p w14:paraId="2C00C2EF"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87,8</w:t>
            </w:r>
          </w:p>
        </w:tc>
        <w:tc>
          <w:tcPr>
            <w:tcW w:w="971" w:type="dxa"/>
            <w:tcBorders>
              <w:top w:val="single" w:sz="4" w:space="0" w:color="auto"/>
              <w:left w:val="nil"/>
              <w:bottom w:val="single" w:sz="4" w:space="0" w:color="auto"/>
              <w:right w:val="double" w:sz="4" w:space="0" w:color="auto"/>
            </w:tcBorders>
            <w:shd w:val="clear" w:color="auto" w:fill="auto"/>
            <w:vAlign w:val="center"/>
          </w:tcPr>
          <w:p w14:paraId="34432231"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3392A341" w14:textId="77777777" w:rsidTr="00183D78">
        <w:trPr>
          <w:trHeight w:val="135"/>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tcPr>
          <w:p w14:paraId="666031F5"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 министерство образования Архангельской</w:t>
            </w:r>
          </w:p>
          <w:p w14:paraId="13696C3B"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области (075)</w:t>
            </w:r>
          </w:p>
        </w:tc>
        <w:tc>
          <w:tcPr>
            <w:tcW w:w="709" w:type="dxa"/>
            <w:tcBorders>
              <w:top w:val="nil"/>
              <w:left w:val="nil"/>
              <w:bottom w:val="single" w:sz="4" w:space="0" w:color="auto"/>
              <w:right w:val="single" w:sz="4" w:space="0" w:color="auto"/>
            </w:tcBorders>
            <w:shd w:val="clear" w:color="auto" w:fill="auto"/>
            <w:vAlign w:val="center"/>
          </w:tcPr>
          <w:p w14:paraId="4E69E04F"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p w14:paraId="4ECF1E79"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417" w:type="dxa"/>
            <w:tcBorders>
              <w:top w:val="nil"/>
              <w:left w:val="nil"/>
              <w:bottom w:val="single" w:sz="4" w:space="0" w:color="auto"/>
              <w:right w:val="single" w:sz="4" w:space="0" w:color="auto"/>
            </w:tcBorders>
            <w:shd w:val="clear" w:color="auto" w:fill="auto"/>
            <w:vAlign w:val="center"/>
          </w:tcPr>
          <w:p w14:paraId="7AD0F7BF"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306,2</w:t>
            </w:r>
          </w:p>
        </w:tc>
        <w:tc>
          <w:tcPr>
            <w:tcW w:w="1134" w:type="dxa"/>
            <w:tcBorders>
              <w:top w:val="nil"/>
              <w:left w:val="nil"/>
              <w:bottom w:val="single" w:sz="4" w:space="0" w:color="auto"/>
              <w:right w:val="single" w:sz="4" w:space="0" w:color="auto"/>
            </w:tcBorders>
            <w:shd w:val="clear" w:color="auto" w:fill="auto"/>
            <w:vAlign w:val="center"/>
          </w:tcPr>
          <w:p w14:paraId="3DBD5AE4"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550,3</w:t>
            </w:r>
          </w:p>
        </w:tc>
        <w:tc>
          <w:tcPr>
            <w:tcW w:w="1134" w:type="dxa"/>
            <w:tcBorders>
              <w:top w:val="nil"/>
              <w:left w:val="nil"/>
              <w:bottom w:val="single" w:sz="4" w:space="0" w:color="auto"/>
              <w:right w:val="single" w:sz="4" w:space="0" w:color="auto"/>
            </w:tcBorders>
            <w:shd w:val="clear" w:color="auto" w:fill="auto"/>
            <w:vAlign w:val="center"/>
          </w:tcPr>
          <w:p w14:paraId="2454A416"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549,9</w:t>
            </w:r>
          </w:p>
        </w:tc>
        <w:tc>
          <w:tcPr>
            <w:tcW w:w="971" w:type="dxa"/>
            <w:tcBorders>
              <w:top w:val="single" w:sz="4" w:space="0" w:color="auto"/>
              <w:left w:val="nil"/>
              <w:bottom w:val="single" w:sz="4" w:space="0" w:color="auto"/>
              <w:right w:val="double" w:sz="4" w:space="0" w:color="auto"/>
            </w:tcBorders>
            <w:shd w:val="clear" w:color="auto" w:fill="auto"/>
            <w:vAlign w:val="center"/>
          </w:tcPr>
          <w:p w14:paraId="5E27AFDD"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99,9</w:t>
            </w:r>
          </w:p>
        </w:tc>
      </w:tr>
      <w:tr w:rsidR="00FD7B0B" w:rsidRPr="00FD7B0B" w14:paraId="679BF858" w14:textId="77777777" w:rsidTr="00183D78">
        <w:trPr>
          <w:trHeight w:val="355"/>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tcPr>
          <w:p w14:paraId="1B8DB2A8"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 министерство науки, высшей школы и научно-технологического развития Архангельской области (079)</w:t>
            </w:r>
          </w:p>
        </w:tc>
        <w:tc>
          <w:tcPr>
            <w:tcW w:w="709" w:type="dxa"/>
            <w:tcBorders>
              <w:top w:val="nil"/>
              <w:left w:val="nil"/>
              <w:bottom w:val="single" w:sz="4" w:space="0" w:color="auto"/>
              <w:right w:val="single" w:sz="4" w:space="0" w:color="auto"/>
            </w:tcBorders>
            <w:shd w:val="clear" w:color="auto" w:fill="auto"/>
            <w:vAlign w:val="center"/>
          </w:tcPr>
          <w:p w14:paraId="0F98CDD8" w14:textId="77777777" w:rsidR="00183D78"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p w14:paraId="2D960A02" w14:textId="77777777" w:rsidR="00183D78"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p w14:paraId="260B99CB" w14:textId="700ABD79"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tc>
        <w:tc>
          <w:tcPr>
            <w:tcW w:w="1417" w:type="dxa"/>
            <w:tcBorders>
              <w:top w:val="nil"/>
              <w:left w:val="nil"/>
              <w:bottom w:val="single" w:sz="4" w:space="0" w:color="auto"/>
              <w:right w:val="single" w:sz="4" w:space="0" w:color="auto"/>
            </w:tcBorders>
            <w:shd w:val="clear" w:color="auto" w:fill="auto"/>
            <w:vAlign w:val="center"/>
          </w:tcPr>
          <w:p w14:paraId="2617D485"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110,4</w:t>
            </w:r>
          </w:p>
        </w:tc>
        <w:tc>
          <w:tcPr>
            <w:tcW w:w="1134" w:type="dxa"/>
            <w:tcBorders>
              <w:top w:val="nil"/>
              <w:left w:val="nil"/>
              <w:bottom w:val="single" w:sz="4" w:space="0" w:color="auto"/>
              <w:right w:val="single" w:sz="4" w:space="0" w:color="auto"/>
            </w:tcBorders>
            <w:shd w:val="clear" w:color="auto" w:fill="auto"/>
            <w:vAlign w:val="center"/>
          </w:tcPr>
          <w:p w14:paraId="7B40A8A3"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111,6</w:t>
            </w:r>
          </w:p>
        </w:tc>
        <w:tc>
          <w:tcPr>
            <w:tcW w:w="1134" w:type="dxa"/>
            <w:tcBorders>
              <w:top w:val="nil"/>
              <w:left w:val="nil"/>
              <w:bottom w:val="single" w:sz="4" w:space="0" w:color="auto"/>
              <w:right w:val="single" w:sz="4" w:space="0" w:color="auto"/>
            </w:tcBorders>
            <w:shd w:val="clear" w:color="auto" w:fill="auto"/>
            <w:vAlign w:val="center"/>
          </w:tcPr>
          <w:p w14:paraId="7A926980"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111,6</w:t>
            </w:r>
          </w:p>
        </w:tc>
        <w:tc>
          <w:tcPr>
            <w:tcW w:w="971" w:type="dxa"/>
            <w:tcBorders>
              <w:top w:val="single" w:sz="4" w:space="0" w:color="auto"/>
              <w:left w:val="nil"/>
              <w:bottom w:val="single" w:sz="4" w:space="0" w:color="auto"/>
              <w:right w:val="double" w:sz="4" w:space="0" w:color="auto"/>
            </w:tcBorders>
            <w:shd w:val="clear" w:color="auto" w:fill="auto"/>
            <w:vAlign w:val="center"/>
          </w:tcPr>
          <w:p w14:paraId="5DE6501B"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78B77653" w14:textId="77777777" w:rsidTr="00183D78">
        <w:trPr>
          <w:trHeight w:val="405"/>
        </w:trPr>
        <w:tc>
          <w:tcPr>
            <w:tcW w:w="4243" w:type="dxa"/>
            <w:tcBorders>
              <w:top w:val="single" w:sz="4" w:space="0" w:color="auto"/>
              <w:left w:val="double" w:sz="4" w:space="0" w:color="auto"/>
              <w:bottom w:val="single" w:sz="4" w:space="0" w:color="auto"/>
              <w:right w:val="single" w:sz="4" w:space="0" w:color="auto"/>
            </w:tcBorders>
            <w:shd w:val="clear" w:color="auto" w:fill="auto"/>
            <w:vAlign w:val="bottom"/>
          </w:tcPr>
          <w:p w14:paraId="65932E52"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lastRenderedPageBreak/>
              <w:t>7. министерство АПК и торговли Архангельской области (083)</w:t>
            </w:r>
          </w:p>
        </w:tc>
        <w:tc>
          <w:tcPr>
            <w:tcW w:w="709" w:type="dxa"/>
            <w:tcBorders>
              <w:top w:val="nil"/>
              <w:left w:val="nil"/>
              <w:bottom w:val="single" w:sz="4" w:space="0" w:color="auto"/>
              <w:right w:val="single" w:sz="4" w:space="0" w:color="auto"/>
            </w:tcBorders>
            <w:shd w:val="clear" w:color="auto" w:fill="auto"/>
            <w:vAlign w:val="center"/>
          </w:tcPr>
          <w:p w14:paraId="5A64DE46"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p w14:paraId="6AAFFF24"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800</w:t>
            </w:r>
          </w:p>
        </w:tc>
        <w:tc>
          <w:tcPr>
            <w:tcW w:w="1417" w:type="dxa"/>
            <w:tcBorders>
              <w:top w:val="nil"/>
              <w:left w:val="nil"/>
              <w:bottom w:val="single" w:sz="4" w:space="0" w:color="auto"/>
              <w:right w:val="single" w:sz="4" w:space="0" w:color="auto"/>
            </w:tcBorders>
            <w:shd w:val="clear" w:color="auto" w:fill="auto"/>
            <w:vAlign w:val="center"/>
          </w:tcPr>
          <w:p w14:paraId="7CDBEE80"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8,1</w:t>
            </w:r>
          </w:p>
        </w:tc>
        <w:tc>
          <w:tcPr>
            <w:tcW w:w="1134" w:type="dxa"/>
            <w:tcBorders>
              <w:top w:val="nil"/>
              <w:left w:val="nil"/>
              <w:bottom w:val="single" w:sz="4" w:space="0" w:color="auto"/>
              <w:right w:val="single" w:sz="4" w:space="0" w:color="auto"/>
            </w:tcBorders>
            <w:shd w:val="clear" w:color="auto" w:fill="auto"/>
            <w:vAlign w:val="center"/>
          </w:tcPr>
          <w:p w14:paraId="1C59B052"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7,1</w:t>
            </w:r>
          </w:p>
        </w:tc>
        <w:tc>
          <w:tcPr>
            <w:tcW w:w="1134" w:type="dxa"/>
            <w:tcBorders>
              <w:top w:val="nil"/>
              <w:left w:val="nil"/>
              <w:bottom w:val="single" w:sz="4" w:space="0" w:color="auto"/>
              <w:right w:val="single" w:sz="4" w:space="0" w:color="auto"/>
            </w:tcBorders>
            <w:shd w:val="clear" w:color="auto" w:fill="auto"/>
            <w:vAlign w:val="center"/>
          </w:tcPr>
          <w:p w14:paraId="37CDEB2B"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7,1</w:t>
            </w:r>
          </w:p>
        </w:tc>
        <w:tc>
          <w:tcPr>
            <w:tcW w:w="971" w:type="dxa"/>
            <w:tcBorders>
              <w:top w:val="single" w:sz="4" w:space="0" w:color="auto"/>
              <w:left w:val="nil"/>
              <w:bottom w:val="single" w:sz="4" w:space="0" w:color="auto"/>
              <w:right w:val="double" w:sz="4" w:space="0" w:color="auto"/>
            </w:tcBorders>
            <w:shd w:val="clear" w:color="auto" w:fill="auto"/>
            <w:vAlign w:val="center"/>
          </w:tcPr>
          <w:p w14:paraId="71C39EFE"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52E834A1" w14:textId="77777777" w:rsidTr="00183D78">
        <w:trPr>
          <w:trHeight w:val="405"/>
        </w:trPr>
        <w:tc>
          <w:tcPr>
            <w:tcW w:w="4243" w:type="dxa"/>
            <w:tcBorders>
              <w:top w:val="single" w:sz="4" w:space="0" w:color="auto"/>
              <w:left w:val="double" w:sz="4" w:space="0" w:color="auto"/>
              <w:bottom w:val="single" w:sz="4" w:space="0" w:color="auto"/>
              <w:right w:val="single" w:sz="4" w:space="0" w:color="auto"/>
            </w:tcBorders>
            <w:shd w:val="clear" w:color="auto" w:fill="auto"/>
            <w:vAlign w:val="bottom"/>
          </w:tcPr>
          <w:p w14:paraId="31433854"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 министерство транспорта Архангельской области (104)</w:t>
            </w:r>
          </w:p>
        </w:tc>
        <w:tc>
          <w:tcPr>
            <w:tcW w:w="709" w:type="dxa"/>
            <w:tcBorders>
              <w:top w:val="nil"/>
              <w:left w:val="nil"/>
              <w:bottom w:val="single" w:sz="4" w:space="0" w:color="auto"/>
              <w:right w:val="single" w:sz="4" w:space="0" w:color="auto"/>
            </w:tcBorders>
            <w:shd w:val="clear" w:color="auto" w:fill="auto"/>
            <w:vAlign w:val="center"/>
          </w:tcPr>
          <w:p w14:paraId="7AD4B0D3"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w:t>
            </w:r>
          </w:p>
        </w:tc>
        <w:tc>
          <w:tcPr>
            <w:tcW w:w="1417" w:type="dxa"/>
            <w:tcBorders>
              <w:top w:val="nil"/>
              <w:left w:val="nil"/>
              <w:bottom w:val="single" w:sz="4" w:space="0" w:color="auto"/>
              <w:right w:val="single" w:sz="4" w:space="0" w:color="auto"/>
            </w:tcBorders>
            <w:shd w:val="clear" w:color="auto" w:fill="auto"/>
            <w:vAlign w:val="center"/>
          </w:tcPr>
          <w:p w14:paraId="4C908557"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47,9</w:t>
            </w:r>
          </w:p>
        </w:tc>
        <w:tc>
          <w:tcPr>
            <w:tcW w:w="1134" w:type="dxa"/>
            <w:tcBorders>
              <w:top w:val="nil"/>
              <w:left w:val="nil"/>
              <w:bottom w:val="single" w:sz="4" w:space="0" w:color="auto"/>
              <w:right w:val="single" w:sz="4" w:space="0" w:color="auto"/>
            </w:tcBorders>
            <w:shd w:val="clear" w:color="auto" w:fill="auto"/>
            <w:vAlign w:val="center"/>
          </w:tcPr>
          <w:p w14:paraId="5F5829A7"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47,9</w:t>
            </w:r>
          </w:p>
        </w:tc>
        <w:tc>
          <w:tcPr>
            <w:tcW w:w="1134" w:type="dxa"/>
            <w:tcBorders>
              <w:top w:val="nil"/>
              <w:left w:val="nil"/>
              <w:bottom w:val="single" w:sz="4" w:space="0" w:color="auto"/>
              <w:right w:val="single" w:sz="4" w:space="0" w:color="auto"/>
            </w:tcBorders>
            <w:shd w:val="clear" w:color="auto" w:fill="auto"/>
            <w:vAlign w:val="center"/>
          </w:tcPr>
          <w:p w14:paraId="5442DDB5"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47,0</w:t>
            </w:r>
          </w:p>
        </w:tc>
        <w:tc>
          <w:tcPr>
            <w:tcW w:w="971" w:type="dxa"/>
            <w:tcBorders>
              <w:top w:val="single" w:sz="4" w:space="0" w:color="auto"/>
              <w:left w:val="nil"/>
              <w:bottom w:val="single" w:sz="4" w:space="0" w:color="auto"/>
              <w:right w:val="double" w:sz="4" w:space="0" w:color="auto"/>
            </w:tcBorders>
            <w:shd w:val="clear" w:color="auto" w:fill="auto"/>
            <w:vAlign w:val="center"/>
          </w:tcPr>
          <w:p w14:paraId="24405421"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98,1</w:t>
            </w:r>
          </w:p>
        </w:tc>
      </w:tr>
      <w:tr w:rsidR="00FD7B0B" w:rsidRPr="00FD7B0B" w14:paraId="48202EDC" w14:textId="77777777" w:rsidTr="00183D78">
        <w:trPr>
          <w:trHeight w:val="676"/>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tcPr>
          <w:p w14:paraId="3137D8A2"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 министерство экономического развития, и промышленности Архангельской области (138)</w:t>
            </w:r>
          </w:p>
        </w:tc>
        <w:tc>
          <w:tcPr>
            <w:tcW w:w="709" w:type="dxa"/>
            <w:tcBorders>
              <w:top w:val="nil"/>
              <w:left w:val="nil"/>
              <w:bottom w:val="single" w:sz="4" w:space="0" w:color="auto"/>
              <w:right w:val="single" w:sz="4" w:space="0" w:color="auto"/>
            </w:tcBorders>
            <w:shd w:val="clear" w:color="auto" w:fill="auto"/>
            <w:vAlign w:val="center"/>
          </w:tcPr>
          <w:p w14:paraId="6713C77C" w14:textId="77777777" w:rsidR="00183D78"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p w14:paraId="267ED02A" w14:textId="77777777" w:rsidR="00183D78"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p w14:paraId="51AFD13C" w14:textId="77777777" w:rsidR="00183D78"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300,</w:t>
            </w:r>
          </w:p>
          <w:p w14:paraId="128C8DE7" w14:textId="77777777" w:rsidR="00183D78"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w:t>
            </w:r>
          </w:p>
          <w:p w14:paraId="0A4D04C7" w14:textId="77777777" w:rsidR="00183D78"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p w14:paraId="467E9804" w14:textId="47BD084E"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800</w:t>
            </w:r>
          </w:p>
        </w:tc>
        <w:tc>
          <w:tcPr>
            <w:tcW w:w="1417" w:type="dxa"/>
            <w:tcBorders>
              <w:top w:val="nil"/>
              <w:left w:val="nil"/>
              <w:bottom w:val="single" w:sz="4" w:space="0" w:color="auto"/>
              <w:right w:val="single" w:sz="4" w:space="0" w:color="auto"/>
            </w:tcBorders>
            <w:shd w:val="clear" w:color="auto" w:fill="auto"/>
            <w:vAlign w:val="center"/>
          </w:tcPr>
          <w:p w14:paraId="019AB124"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959,1</w:t>
            </w:r>
          </w:p>
        </w:tc>
        <w:tc>
          <w:tcPr>
            <w:tcW w:w="1134" w:type="dxa"/>
            <w:tcBorders>
              <w:top w:val="nil"/>
              <w:left w:val="nil"/>
              <w:bottom w:val="single" w:sz="4" w:space="0" w:color="auto"/>
              <w:right w:val="single" w:sz="4" w:space="0" w:color="auto"/>
            </w:tcBorders>
            <w:shd w:val="clear" w:color="auto" w:fill="auto"/>
            <w:vAlign w:val="center"/>
          </w:tcPr>
          <w:p w14:paraId="268A63D5"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933,7</w:t>
            </w:r>
          </w:p>
        </w:tc>
        <w:tc>
          <w:tcPr>
            <w:tcW w:w="1134" w:type="dxa"/>
            <w:tcBorders>
              <w:top w:val="nil"/>
              <w:left w:val="nil"/>
              <w:bottom w:val="single" w:sz="4" w:space="0" w:color="auto"/>
              <w:right w:val="single" w:sz="4" w:space="0" w:color="auto"/>
            </w:tcBorders>
            <w:shd w:val="clear" w:color="auto" w:fill="auto"/>
            <w:vAlign w:val="center"/>
          </w:tcPr>
          <w:p w14:paraId="2624AD3C"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932,8</w:t>
            </w:r>
          </w:p>
        </w:tc>
        <w:tc>
          <w:tcPr>
            <w:tcW w:w="971" w:type="dxa"/>
            <w:tcBorders>
              <w:top w:val="single" w:sz="4" w:space="0" w:color="auto"/>
              <w:left w:val="nil"/>
              <w:bottom w:val="single" w:sz="4" w:space="0" w:color="auto"/>
              <w:right w:val="double" w:sz="4" w:space="0" w:color="auto"/>
            </w:tcBorders>
            <w:shd w:val="clear" w:color="auto" w:fill="auto"/>
            <w:vAlign w:val="center"/>
          </w:tcPr>
          <w:p w14:paraId="6816A761"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99,9</w:t>
            </w:r>
          </w:p>
        </w:tc>
      </w:tr>
      <w:tr w:rsidR="00FD7B0B" w:rsidRPr="00FD7B0B" w14:paraId="1A0450E0" w14:textId="77777777" w:rsidTr="00AD0203">
        <w:trPr>
          <w:trHeight w:val="41"/>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15B27E66"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 министерство имущественных отношений Архангельской области (163)</w:t>
            </w:r>
          </w:p>
        </w:tc>
        <w:tc>
          <w:tcPr>
            <w:tcW w:w="709" w:type="dxa"/>
            <w:tcBorders>
              <w:top w:val="nil"/>
              <w:left w:val="nil"/>
              <w:bottom w:val="single" w:sz="4" w:space="0" w:color="auto"/>
              <w:right w:val="single" w:sz="4" w:space="0" w:color="auto"/>
            </w:tcBorders>
            <w:shd w:val="clear" w:color="auto" w:fill="auto"/>
            <w:vAlign w:val="center"/>
            <w:hideMark/>
          </w:tcPr>
          <w:p w14:paraId="7BA7C5AD"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b/>
                <w:sz w:val="18"/>
                <w:szCs w:val="18"/>
                <w:lang w:eastAsia="ru-RU"/>
              </w:rPr>
              <w:t> </w:t>
            </w:r>
            <w:r w:rsidRPr="00FD7B0B">
              <w:rPr>
                <w:rFonts w:ascii="Times New Roman" w:eastAsia="Times New Roman" w:hAnsi="Times New Roman" w:cs="Times New Roman"/>
                <w:sz w:val="18"/>
                <w:szCs w:val="18"/>
                <w:lang w:eastAsia="ru-RU"/>
              </w:rPr>
              <w:t>400</w:t>
            </w:r>
          </w:p>
        </w:tc>
        <w:tc>
          <w:tcPr>
            <w:tcW w:w="1417" w:type="dxa"/>
            <w:tcBorders>
              <w:top w:val="nil"/>
              <w:left w:val="nil"/>
              <w:bottom w:val="single" w:sz="4" w:space="0" w:color="auto"/>
              <w:right w:val="single" w:sz="4" w:space="0" w:color="auto"/>
            </w:tcBorders>
            <w:shd w:val="clear" w:color="auto" w:fill="auto"/>
            <w:vAlign w:val="center"/>
          </w:tcPr>
          <w:p w14:paraId="6E5767A5"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50,6</w:t>
            </w:r>
          </w:p>
        </w:tc>
        <w:tc>
          <w:tcPr>
            <w:tcW w:w="1134" w:type="dxa"/>
            <w:tcBorders>
              <w:top w:val="nil"/>
              <w:left w:val="nil"/>
              <w:bottom w:val="single" w:sz="4" w:space="0" w:color="auto"/>
              <w:right w:val="single" w:sz="4" w:space="0" w:color="auto"/>
            </w:tcBorders>
            <w:shd w:val="clear" w:color="auto" w:fill="auto"/>
            <w:vAlign w:val="center"/>
          </w:tcPr>
          <w:p w14:paraId="2A301111"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50,6</w:t>
            </w:r>
          </w:p>
        </w:tc>
        <w:tc>
          <w:tcPr>
            <w:tcW w:w="1134" w:type="dxa"/>
            <w:tcBorders>
              <w:top w:val="nil"/>
              <w:left w:val="nil"/>
              <w:bottom w:val="single" w:sz="4" w:space="0" w:color="auto"/>
              <w:right w:val="single" w:sz="4" w:space="0" w:color="auto"/>
            </w:tcBorders>
            <w:shd w:val="clear" w:color="auto" w:fill="auto"/>
            <w:vAlign w:val="center"/>
          </w:tcPr>
          <w:p w14:paraId="110B70DA"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50,6</w:t>
            </w:r>
          </w:p>
        </w:tc>
        <w:tc>
          <w:tcPr>
            <w:tcW w:w="971" w:type="dxa"/>
            <w:tcBorders>
              <w:top w:val="single" w:sz="4" w:space="0" w:color="auto"/>
              <w:left w:val="nil"/>
              <w:bottom w:val="single" w:sz="4" w:space="0" w:color="auto"/>
              <w:right w:val="double" w:sz="4" w:space="0" w:color="auto"/>
            </w:tcBorders>
            <w:shd w:val="clear" w:color="auto" w:fill="auto"/>
            <w:vAlign w:val="center"/>
          </w:tcPr>
          <w:p w14:paraId="7EF50D18"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73CC04FE" w14:textId="77777777" w:rsidTr="00183D78">
        <w:trPr>
          <w:trHeight w:val="276"/>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tcPr>
          <w:p w14:paraId="329F5E4B"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 министерство спорта Архангельской области (263)</w:t>
            </w:r>
          </w:p>
        </w:tc>
        <w:tc>
          <w:tcPr>
            <w:tcW w:w="709" w:type="dxa"/>
            <w:tcBorders>
              <w:top w:val="nil"/>
              <w:left w:val="nil"/>
              <w:bottom w:val="single" w:sz="4" w:space="0" w:color="auto"/>
              <w:right w:val="single" w:sz="4" w:space="0" w:color="auto"/>
            </w:tcBorders>
            <w:shd w:val="clear" w:color="auto" w:fill="auto"/>
            <w:vAlign w:val="center"/>
          </w:tcPr>
          <w:p w14:paraId="26F13093"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417" w:type="dxa"/>
            <w:tcBorders>
              <w:top w:val="nil"/>
              <w:left w:val="nil"/>
              <w:bottom w:val="single" w:sz="4" w:space="0" w:color="auto"/>
              <w:right w:val="single" w:sz="4" w:space="0" w:color="auto"/>
            </w:tcBorders>
            <w:shd w:val="clear" w:color="auto" w:fill="auto"/>
            <w:vAlign w:val="center"/>
          </w:tcPr>
          <w:p w14:paraId="0DE13C44"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119,5</w:t>
            </w:r>
          </w:p>
        </w:tc>
        <w:tc>
          <w:tcPr>
            <w:tcW w:w="1134" w:type="dxa"/>
            <w:tcBorders>
              <w:top w:val="nil"/>
              <w:left w:val="nil"/>
              <w:bottom w:val="single" w:sz="4" w:space="0" w:color="auto"/>
              <w:right w:val="single" w:sz="4" w:space="0" w:color="auto"/>
            </w:tcBorders>
            <w:shd w:val="clear" w:color="auto" w:fill="auto"/>
            <w:vAlign w:val="center"/>
          </w:tcPr>
          <w:p w14:paraId="14D1AD69"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119,5</w:t>
            </w:r>
          </w:p>
        </w:tc>
        <w:tc>
          <w:tcPr>
            <w:tcW w:w="1134" w:type="dxa"/>
            <w:tcBorders>
              <w:top w:val="nil"/>
              <w:left w:val="nil"/>
              <w:bottom w:val="single" w:sz="4" w:space="0" w:color="auto"/>
              <w:right w:val="single" w:sz="4" w:space="0" w:color="auto"/>
            </w:tcBorders>
            <w:shd w:val="clear" w:color="auto" w:fill="auto"/>
            <w:vAlign w:val="center"/>
          </w:tcPr>
          <w:p w14:paraId="4AF64B2B"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119,5</w:t>
            </w:r>
          </w:p>
        </w:tc>
        <w:tc>
          <w:tcPr>
            <w:tcW w:w="971" w:type="dxa"/>
            <w:tcBorders>
              <w:top w:val="single" w:sz="4" w:space="0" w:color="auto"/>
              <w:left w:val="nil"/>
              <w:bottom w:val="single" w:sz="4" w:space="0" w:color="auto"/>
              <w:right w:val="double" w:sz="4" w:space="0" w:color="auto"/>
            </w:tcBorders>
            <w:shd w:val="clear" w:color="auto" w:fill="auto"/>
            <w:vAlign w:val="center"/>
          </w:tcPr>
          <w:p w14:paraId="65AE8909"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23F836E2" w14:textId="77777777" w:rsidTr="00AD0203">
        <w:trPr>
          <w:trHeight w:val="176"/>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74E88599"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12. Агентство по тарифам и ценам Архангельской области (306)</w:t>
            </w:r>
          </w:p>
        </w:tc>
        <w:tc>
          <w:tcPr>
            <w:tcW w:w="709" w:type="dxa"/>
            <w:tcBorders>
              <w:top w:val="nil"/>
              <w:left w:val="nil"/>
              <w:bottom w:val="single" w:sz="4" w:space="0" w:color="auto"/>
              <w:right w:val="single" w:sz="4" w:space="0" w:color="auto"/>
            </w:tcBorders>
            <w:shd w:val="clear" w:color="auto" w:fill="auto"/>
            <w:vAlign w:val="center"/>
            <w:hideMark/>
          </w:tcPr>
          <w:p w14:paraId="175A2C34"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b/>
                <w:sz w:val="18"/>
                <w:szCs w:val="18"/>
                <w:lang w:eastAsia="ru-RU"/>
              </w:rPr>
              <w:t> </w:t>
            </w:r>
            <w:r w:rsidRPr="00FD7B0B">
              <w:rPr>
                <w:rFonts w:ascii="Times New Roman" w:eastAsia="Times New Roman" w:hAnsi="Times New Roman" w:cs="Times New Roman"/>
                <w:sz w:val="18"/>
                <w:szCs w:val="18"/>
                <w:lang w:eastAsia="ru-RU"/>
              </w:rPr>
              <w:t>100,</w:t>
            </w:r>
          </w:p>
          <w:p w14:paraId="795E96D6" w14:textId="77777777" w:rsidR="00AD4D1E" w:rsidRPr="00FD7B0B" w:rsidRDefault="00AD4D1E" w:rsidP="00AD4D1E">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sz w:val="18"/>
                <w:szCs w:val="18"/>
                <w:lang w:eastAsia="ru-RU"/>
              </w:rPr>
              <w:t>200</w:t>
            </w:r>
          </w:p>
        </w:tc>
        <w:tc>
          <w:tcPr>
            <w:tcW w:w="1417" w:type="dxa"/>
            <w:tcBorders>
              <w:top w:val="nil"/>
              <w:left w:val="nil"/>
              <w:bottom w:val="single" w:sz="4" w:space="0" w:color="auto"/>
              <w:right w:val="single" w:sz="4" w:space="0" w:color="auto"/>
            </w:tcBorders>
            <w:shd w:val="clear" w:color="auto" w:fill="auto"/>
            <w:vAlign w:val="center"/>
          </w:tcPr>
          <w:p w14:paraId="3CCD88AD"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92,4</w:t>
            </w:r>
          </w:p>
        </w:tc>
        <w:tc>
          <w:tcPr>
            <w:tcW w:w="1134" w:type="dxa"/>
            <w:tcBorders>
              <w:top w:val="nil"/>
              <w:left w:val="nil"/>
              <w:bottom w:val="single" w:sz="4" w:space="0" w:color="auto"/>
              <w:right w:val="single" w:sz="4" w:space="0" w:color="auto"/>
            </w:tcBorders>
            <w:shd w:val="clear" w:color="auto" w:fill="auto"/>
            <w:vAlign w:val="center"/>
          </w:tcPr>
          <w:p w14:paraId="34013548"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84,5</w:t>
            </w:r>
          </w:p>
        </w:tc>
        <w:tc>
          <w:tcPr>
            <w:tcW w:w="1134" w:type="dxa"/>
            <w:tcBorders>
              <w:top w:val="nil"/>
              <w:left w:val="nil"/>
              <w:bottom w:val="single" w:sz="4" w:space="0" w:color="auto"/>
              <w:right w:val="single" w:sz="4" w:space="0" w:color="auto"/>
            </w:tcBorders>
            <w:shd w:val="clear" w:color="auto" w:fill="auto"/>
            <w:vAlign w:val="center"/>
          </w:tcPr>
          <w:p w14:paraId="2D65DC3B"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84,0</w:t>
            </w:r>
          </w:p>
        </w:tc>
        <w:tc>
          <w:tcPr>
            <w:tcW w:w="971" w:type="dxa"/>
            <w:tcBorders>
              <w:top w:val="single" w:sz="4" w:space="0" w:color="auto"/>
              <w:left w:val="nil"/>
              <w:bottom w:val="single" w:sz="4" w:space="0" w:color="auto"/>
              <w:right w:val="double" w:sz="4" w:space="0" w:color="auto"/>
            </w:tcBorders>
            <w:shd w:val="clear" w:color="auto" w:fill="auto"/>
            <w:vAlign w:val="center"/>
          </w:tcPr>
          <w:p w14:paraId="37BE8B71"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99,5</w:t>
            </w:r>
          </w:p>
        </w:tc>
      </w:tr>
      <w:tr w:rsidR="00FD7B0B" w:rsidRPr="00FD7B0B" w14:paraId="52971990" w14:textId="77777777" w:rsidTr="00183D78">
        <w:trPr>
          <w:trHeight w:val="480"/>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045E44DC"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13. Контрактное агентство Архангельской области (735)</w:t>
            </w:r>
          </w:p>
        </w:tc>
        <w:tc>
          <w:tcPr>
            <w:tcW w:w="709" w:type="dxa"/>
            <w:tcBorders>
              <w:top w:val="nil"/>
              <w:left w:val="nil"/>
              <w:bottom w:val="single" w:sz="4" w:space="0" w:color="auto"/>
              <w:right w:val="single" w:sz="4" w:space="0" w:color="auto"/>
            </w:tcBorders>
            <w:shd w:val="clear" w:color="auto" w:fill="auto"/>
            <w:noWrap/>
            <w:vAlign w:val="bottom"/>
            <w:hideMark/>
          </w:tcPr>
          <w:p w14:paraId="39F47326" w14:textId="77777777" w:rsidR="00183D78"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b/>
                <w:sz w:val="18"/>
                <w:szCs w:val="18"/>
                <w:lang w:eastAsia="ru-RU"/>
              </w:rPr>
              <w:t> </w:t>
            </w:r>
            <w:r w:rsidRPr="00FD7B0B">
              <w:rPr>
                <w:rFonts w:ascii="Times New Roman" w:eastAsia="Times New Roman" w:hAnsi="Times New Roman" w:cs="Times New Roman"/>
                <w:sz w:val="18"/>
                <w:szCs w:val="18"/>
                <w:lang w:eastAsia="ru-RU"/>
              </w:rPr>
              <w:t>100,</w:t>
            </w:r>
          </w:p>
          <w:p w14:paraId="7933CBC8" w14:textId="77777777" w:rsidR="00183D78"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200,</w:t>
            </w:r>
          </w:p>
          <w:p w14:paraId="2F846DB6" w14:textId="531DB144"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600</w:t>
            </w:r>
          </w:p>
        </w:tc>
        <w:tc>
          <w:tcPr>
            <w:tcW w:w="1417" w:type="dxa"/>
            <w:tcBorders>
              <w:top w:val="nil"/>
              <w:left w:val="nil"/>
              <w:bottom w:val="single" w:sz="4" w:space="0" w:color="auto"/>
              <w:right w:val="single" w:sz="4" w:space="0" w:color="auto"/>
            </w:tcBorders>
            <w:shd w:val="clear" w:color="auto" w:fill="auto"/>
            <w:vAlign w:val="center"/>
          </w:tcPr>
          <w:p w14:paraId="0671A507"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95,3</w:t>
            </w:r>
          </w:p>
        </w:tc>
        <w:tc>
          <w:tcPr>
            <w:tcW w:w="1134" w:type="dxa"/>
            <w:tcBorders>
              <w:top w:val="nil"/>
              <w:left w:val="nil"/>
              <w:bottom w:val="single" w:sz="4" w:space="0" w:color="auto"/>
              <w:right w:val="single" w:sz="4" w:space="0" w:color="auto"/>
            </w:tcBorders>
            <w:shd w:val="clear" w:color="auto" w:fill="auto"/>
            <w:vAlign w:val="center"/>
          </w:tcPr>
          <w:p w14:paraId="50D4C313"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95,2</w:t>
            </w:r>
          </w:p>
        </w:tc>
        <w:tc>
          <w:tcPr>
            <w:tcW w:w="1134" w:type="dxa"/>
            <w:tcBorders>
              <w:top w:val="nil"/>
              <w:left w:val="nil"/>
              <w:bottom w:val="single" w:sz="4" w:space="0" w:color="auto"/>
              <w:right w:val="single" w:sz="4" w:space="0" w:color="auto"/>
            </w:tcBorders>
            <w:shd w:val="clear" w:color="auto" w:fill="auto"/>
            <w:vAlign w:val="center"/>
          </w:tcPr>
          <w:p w14:paraId="0D4C9F53"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95,2</w:t>
            </w:r>
          </w:p>
        </w:tc>
        <w:tc>
          <w:tcPr>
            <w:tcW w:w="971" w:type="dxa"/>
            <w:tcBorders>
              <w:top w:val="single" w:sz="4" w:space="0" w:color="auto"/>
              <w:left w:val="nil"/>
              <w:bottom w:val="single" w:sz="4" w:space="0" w:color="auto"/>
              <w:right w:val="double" w:sz="4" w:space="0" w:color="auto"/>
            </w:tcBorders>
            <w:shd w:val="clear" w:color="auto" w:fill="auto"/>
            <w:vAlign w:val="center"/>
          </w:tcPr>
          <w:p w14:paraId="4F88EA73"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w:t>
            </w:r>
          </w:p>
        </w:tc>
      </w:tr>
      <w:tr w:rsidR="00FD7B0B" w:rsidRPr="00FD7B0B" w14:paraId="7D366F5D" w14:textId="77777777" w:rsidTr="00AD0203">
        <w:trPr>
          <w:trHeight w:val="41"/>
        </w:trPr>
        <w:tc>
          <w:tcPr>
            <w:tcW w:w="4243" w:type="dxa"/>
            <w:tcBorders>
              <w:top w:val="single" w:sz="4" w:space="0" w:color="auto"/>
              <w:left w:val="double" w:sz="4" w:space="0" w:color="auto"/>
              <w:bottom w:val="single" w:sz="4" w:space="0" w:color="auto"/>
              <w:right w:val="single" w:sz="4" w:space="0" w:color="auto"/>
            </w:tcBorders>
            <w:shd w:val="clear" w:color="auto" w:fill="DEEAF6" w:themeFill="accent1" w:themeFillTint="33"/>
            <w:vAlign w:val="center"/>
          </w:tcPr>
          <w:p w14:paraId="09BC96B6"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ВСЕГО по госпрограмме № 26, в том числе:</w:t>
            </w:r>
          </w:p>
        </w:tc>
        <w:tc>
          <w:tcPr>
            <w:tcW w:w="709" w:type="dxa"/>
            <w:tcBorders>
              <w:top w:val="nil"/>
              <w:left w:val="nil"/>
              <w:bottom w:val="single" w:sz="4" w:space="0" w:color="auto"/>
              <w:right w:val="single" w:sz="4" w:space="0" w:color="auto"/>
            </w:tcBorders>
            <w:shd w:val="clear" w:color="auto" w:fill="DEEAF6" w:themeFill="accent1" w:themeFillTint="33"/>
            <w:vAlign w:val="center"/>
          </w:tcPr>
          <w:p w14:paraId="22EE7F16" w14:textId="77777777" w:rsidR="00AD4D1E" w:rsidRPr="00FD7B0B" w:rsidRDefault="00AD4D1E" w:rsidP="00AD4D1E">
            <w:pPr>
              <w:spacing w:after="0" w:line="240" w:lineRule="auto"/>
              <w:jc w:val="center"/>
              <w:rPr>
                <w:rFonts w:ascii="Times New Roman" w:eastAsia="Times New Roman" w:hAnsi="Times New Roman" w:cs="Times New Roman"/>
                <w:b/>
                <w:sz w:val="18"/>
                <w:szCs w:val="18"/>
                <w:lang w:eastAsia="ru-RU"/>
              </w:rPr>
            </w:pPr>
          </w:p>
        </w:tc>
        <w:tc>
          <w:tcPr>
            <w:tcW w:w="1417" w:type="dxa"/>
            <w:tcBorders>
              <w:top w:val="nil"/>
              <w:left w:val="nil"/>
              <w:bottom w:val="single" w:sz="4" w:space="0" w:color="auto"/>
              <w:right w:val="single" w:sz="4" w:space="0" w:color="auto"/>
            </w:tcBorders>
            <w:shd w:val="clear" w:color="auto" w:fill="DEEAF6" w:themeFill="accent1" w:themeFillTint="33"/>
            <w:vAlign w:val="center"/>
          </w:tcPr>
          <w:p w14:paraId="328E46F6" w14:textId="77777777" w:rsidR="00AD4D1E" w:rsidRPr="00FD7B0B" w:rsidRDefault="00AD4D1E" w:rsidP="00AD4D1E">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2 493,3</w:t>
            </w:r>
          </w:p>
        </w:tc>
        <w:tc>
          <w:tcPr>
            <w:tcW w:w="1134" w:type="dxa"/>
            <w:tcBorders>
              <w:top w:val="nil"/>
              <w:left w:val="nil"/>
              <w:bottom w:val="single" w:sz="4" w:space="0" w:color="auto"/>
              <w:right w:val="single" w:sz="4" w:space="0" w:color="auto"/>
            </w:tcBorders>
            <w:shd w:val="clear" w:color="auto" w:fill="DEEAF6" w:themeFill="accent1" w:themeFillTint="33"/>
            <w:vAlign w:val="center"/>
          </w:tcPr>
          <w:p w14:paraId="17450849" w14:textId="77777777" w:rsidR="00AD4D1E" w:rsidRPr="00FD7B0B" w:rsidRDefault="00AD4D1E" w:rsidP="00AD4D1E">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2 704,2</w:t>
            </w:r>
          </w:p>
        </w:tc>
        <w:tc>
          <w:tcPr>
            <w:tcW w:w="1134" w:type="dxa"/>
            <w:tcBorders>
              <w:top w:val="nil"/>
              <w:left w:val="nil"/>
              <w:bottom w:val="single" w:sz="4" w:space="0" w:color="auto"/>
              <w:right w:val="single" w:sz="4" w:space="0" w:color="auto"/>
            </w:tcBorders>
            <w:shd w:val="clear" w:color="auto" w:fill="DEEAF6" w:themeFill="accent1" w:themeFillTint="33"/>
            <w:vAlign w:val="center"/>
          </w:tcPr>
          <w:p w14:paraId="4E5BA5D8" w14:textId="77777777" w:rsidR="00AD4D1E" w:rsidRPr="00FD7B0B" w:rsidRDefault="00AD4D1E" w:rsidP="00AD4D1E">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2 671,5</w:t>
            </w:r>
          </w:p>
        </w:tc>
        <w:tc>
          <w:tcPr>
            <w:tcW w:w="971" w:type="dxa"/>
            <w:tcBorders>
              <w:top w:val="single" w:sz="4" w:space="0" w:color="auto"/>
              <w:left w:val="nil"/>
              <w:bottom w:val="single" w:sz="4" w:space="0" w:color="auto"/>
              <w:right w:val="double" w:sz="4" w:space="0" w:color="auto"/>
            </w:tcBorders>
            <w:shd w:val="clear" w:color="auto" w:fill="DEEAF6" w:themeFill="accent1" w:themeFillTint="33"/>
            <w:vAlign w:val="center"/>
          </w:tcPr>
          <w:p w14:paraId="2CF63AB1" w14:textId="77777777" w:rsidR="00AD4D1E" w:rsidRPr="00FD7B0B" w:rsidRDefault="00AD4D1E" w:rsidP="00AD4D1E">
            <w:pPr>
              <w:spacing w:after="0" w:line="240" w:lineRule="auto"/>
              <w:jc w:val="center"/>
              <w:rPr>
                <w:rFonts w:ascii="Times New Roman" w:eastAsia="Times New Roman" w:hAnsi="Times New Roman" w:cs="Times New Roman"/>
                <w:b/>
                <w:sz w:val="18"/>
                <w:szCs w:val="18"/>
                <w:lang w:eastAsia="ru-RU"/>
              </w:rPr>
            </w:pPr>
            <w:r w:rsidRPr="00FD7B0B">
              <w:rPr>
                <w:rFonts w:ascii="Times New Roman" w:eastAsia="Times New Roman" w:hAnsi="Times New Roman" w:cs="Times New Roman"/>
                <w:b/>
                <w:sz w:val="18"/>
                <w:szCs w:val="18"/>
                <w:lang w:eastAsia="ru-RU"/>
              </w:rPr>
              <w:t>98,8</w:t>
            </w:r>
          </w:p>
        </w:tc>
      </w:tr>
      <w:tr w:rsidR="00FD7B0B" w:rsidRPr="00FD7B0B" w14:paraId="31C8AADA" w14:textId="77777777" w:rsidTr="00AD0203">
        <w:trPr>
          <w:trHeight w:val="41"/>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tcPr>
          <w:p w14:paraId="2C5B4589"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контрактуемые расходы всего,</w:t>
            </w:r>
          </w:p>
        </w:tc>
        <w:tc>
          <w:tcPr>
            <w:tcW w:w="709" w:type="dxa"/>
            <w:tcBorders>
              <w:top w:val="nil"/>
              <w:left w:val="nil"/>
              <w:bottom w:val="single" w:sz="4" w:space="0" w:color="auto"/>
              <w:right w:val="single" w:sz="4" w:space="0" w:color="auto"/>
            </w:tcBorders>
            <w:shd w:val="clear" w:color="auto" w:fill="auto"/>
            <w:vAlign w:val="center"/>
          </w:tcPr>
          <w:p w14:paraId="44877143"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 200 </w:t>
            </w:r>
          </w:p>
        </w:tc>
        <w:tc>
          <w:tcPr>
            <w:tcW w:w="1417" w:type="dxa"/>
            <w:tcBorders>
              <w:top w:val="nil"/>
              <w:left w:val="nil"/>
              <w:bottom w:val="single" w:sz="4" w:space="0" w:color="auto"/>
              <w:right w:val="single" w:sz="4" w:space="0" w:color="auto"/>
            </w:tcBorders>
            <w:shd w:val="clear" w:color="auto" w:fill="auto"/>
            <w:vAlign w:val="center"/>
          </w:tcPr>
          <w:p w14:paraId="1B10DEAD"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203,7</w:t>
            </w:r>
          </w:p>
        </w:tc>
        <w:tc>
          <w:tcPr>
            <w:tcW w:w="1134" w:type="dxa"/>
            <w:tcBorders>
              <w:top w:val="nil"/>
              <w:left w:val="nil"/>
              <w:bottom w:val="single" w:sz="4" w:space="0" w:color="auto"/>
              <w:right w:val="single" w:sz="4" w:space="0" w:color="auto"/>
            </w:tcBorders>
            <w:shd w:val="clear" w:color="auto" w:fill="auto"/>
            <w:vAlign w:val="center"/>
          </w:tcPr>
          <w:p w14:paraId="713B4353"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443,2</w:t>
            </w:r>
          </w:p>
        </w:tc>
        <w:tc>
          <w:tcPr>
            <w:tcW w:w="1134" w:type="dxa"/>
            <w:tcBorders>
              <w:top w:val="nil"/>
              <w:left w:val="nil"/>
              <w:bottom w:val="single" w:sz="4" w:space="0" w:color="auto"/>
              <w:right w:val="single" w:sz="4" w:space="0" w:color="auto"/>
            </w:tcBorders>
            <w:shd w:val="clear" w:color="auto" w:fill="auto"/>
            <w:vAlign w:val="center"/>
          </w:tcPr>
          <w:p w14:paraId="0992B500"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412,6</w:t>
            </w:r>
          </w:p>
        </w:tc>
        <w:tc>
          <w:tcPr>
            <w:tcW w:w="971" w:type="dxa"/>
            <w:tcBorders>
              <w:top w:val="single" w:sz="4" w:space="0" w:color="auto"/>
              <w:left w:val="nil"/>
              <w:bottom w:val="single" w:sz="4" w:space="0" w:color="auto"/>
              <w:right w:val="double" w:sz="4" w:space="0" w:color="auto"/>
            </w:tcBorders>
            <w:shd w:val="clear" w:color="auto" w:fill="auto"/>
            <w:vAlign w:val="center"/>
          </w:tcPr>
          <w:p w14:paraId="5C367F90"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93,1</w:t>
            </w:r>
          </w:p>
        </w:tc>
      </w:tr>
      <w:tr w:rsidR="00FD7B0B" w:rsidRPr="00FD7B0B" w14:paraId="38AFCF3B" w14:textId="77777777" w:rsidTr="00AD0203">
        <w:trPr>
          <w:trHeight w:val="254"/>
        </w:trPr>
        <w:tc>
          <w:tcPr>
            <w:tcW w:w="4243" w:type="dxa"/>
            <w:tcBorders>
              <w:top w:val="single" w:sz="4" w:space="0" w:color="auto"/>
              <w:left w:val="double" w:sz="4" w:space="0" w:color="auto"/>
              <w:bottom w:val="single" w:sz="4" w:space="0" w:color="auto"/>
              <w:right w:val="single" w:sz="4" w:space="0" w:color="auto"/>
            </w:tcBorders>
            <w:shd w:val="clear" w:color="auto" w:fill="auto"/>
            <w:vAlign w:val="center"/>
          </w:tcPr>
          <w:p w14:paraId="7A4F4A7A" w14:textId="77777777" w:rsidR="00AD4D1E" w:rsidRPr="00FD7B0B" w:rsidRDefault="00AD4D1E" w:rsidP="00183D78">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Капитальные вложения в объекты государственной (муниципальной) собственности</w:t>
            </w:r>
          </w:p>
        </w:tc>
        <w:tc>
          <w:tcPr>
            <w:tcW w:w="709" w:type="dxa"/>
            <w:tcBorders>
              <w:top w:val="nil"/>
              <w:left w:val="nil"/>
              <w:bottom w:val="single" w:sz="4" w:space="0" w:color="auto"/>
              <w:right w:val="single" w:sz="4" w:space="0" w:color="auto"/>
            </w:tcBorders>
            <w:shd w:val="clear" w:color="auto" w:fill="auto"/>
            <w:vAlign w:val="center"/>
          </w:tcPr>
          <w:p w14:paraId="4EE92FFE"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400</w:t>
            </w:r>
          </w:p>
        </w:tc>
        <w:tc>
          <w:tcPr>
            <w:tcW w:w="1417" w:type="dxa"/>
            <w:tcBorders>
              <w:top w:val="nil"/>
              <w:left w:val="nil"/>
              <w:bottom w:val="single" w:sz="4" w:space="0" w:color="auto"/>
              <w:right w:val="single" w:sz="4" w:space="0" w:color="auto"/>
            </w:tcBorders>
            <w:shd w:val="clear" w:color="auto" w:fill="auto"/>
            <w:vAlign w:val="center"/>
          </w:tcPr>
          <w:p w14:paraId="62E2FEE9"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50,6</w:t>
            </w:r>
          </w:p>
        </w:tc>
        <w:tc>
          <w:tcPr>
            <w:tcW w:w="1134" w:type="dxa"/>
            <w:tcBorders>
              <w:top w:val="nil"/>
              <w:left w:val="nil"/>
              <w:bottom w:val="single" w:sz="4" w:space="0" w:color="auto"/>
              <w:right w:val="single" w:sz="4" w:space="0" w:color="auto"/>
            </w:tcBorders>
            <w:shd w:val="clear" w:color="auto" w:fill="auto"/>
            <w:vAlign w:val="center"/>
          </w:tcPr>
          <w:p w14:paraId="395A101B"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50,6</w:t>
            </w:r>
          </w:p>
        </w:tc>
        <w:tc>
          <w:tcPr>
            <w:tcW w:w="1134" w:type="dxa"/>
            <w:tcBorders>
              <w:top w:val="nil"/>
              <w:left w:val="nil"/>
              <w:bottom w:val="single" w:sz="4" w:space="0" w:color="auto"/>
              <w:right w:val="single" w:sz="4" w:space="0" w:color="auto"/>
            </w:tcBorders>
            <w:shd w:val="clear" w:color="auto" w:fill="auto"/>
            <w:vAlign w:val="center"/>
          </w:tcPr>
          <w:p w14:paraId="4F289F05"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50,6</w:t>
            </w:r>
          </w:p>
        </w:tc>
        <w:tc>
          <w:tcPr>
            <w:tcW w:w="971" w:type="dxa"/>
            <w:tcBorders>
              <w:top w:val="single" w:sz="4" w:space="0" w:color="auto"/>
              <w:left w:val="nil"/>
              <w:bottom w:val="single" w:sz="4" w:space="0" w:color="auto"/>
              <w:right w:val="double" w:sz="4" w:space="0" w:color="auto"/>
            </w:tcBorders>
            <w:shd w:val="clear" w:color="auto" w:fill="auto"/>
            <w:vAlign w:val="center"/>
          </w:tcPr>
          <w:p w14:paraId="64695A08" w14:textId="77777777" w:rsidR="00AD4D1E" w:rsidRPr="00FD7B0B" w:rsidRDefault="00AD4D1E" w:rsidP="00AD4D1E">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100,0</w:t>
            </w:r>
          </w:p>
        </w:tc>
      </w:tr>
      <w:tr w:rsidR="00FD7B0B" w:rsidRPr="00FD7B0B" w14:paraId="34361EE6" w14:textId="77777777" w:rsidTr="00AD0203">
        <w:trPr>
          <w:trHeight w:val="41"/>
        </w:trPr>
        <w:tc>
          <w:tcPr>
            <w:tcW w:w="4243" w:type="dxa"/>
            <w:tcBorders>
              <w:top w:val="single" w:sz="4" w:space="0" w:color="auto"/>
              <w:left w:val="double" w:sz="4" w:space="0" w:color="auto"/>
              <w:bottom w:val="double" w:sz="4" w:space="0" w:color="auto"/>
              <w:right w:val="single" w:sz="4" w:space="0" w:color="auto"/>
            </w:tcBorders>
            <w:shd w:val="clear" w:color="auto" w:fill="auto"/>
            <w:vAlign w:val="center"/>
          </w:tcPr>
          <w:p w14:paraId="4BADDA9B" w14:textId="77777777" w:rsidR="00AD4D1E" w:rsidRPr="00FD7B0B" w:rsidRDefault="00AD4D1E" w:rsidP="00AD0203">
            <w:pPr>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межбюджетные трансферты, всего</w:t>
            </w:r>
          </w:p>
        </w:tc>
        <w:tc>
          <w:tcPr>
            <w:tcW w:w="709" w:type="dxa"/>
            <w:tcBorders>
              <w:top w:val="single" w:sz="4" w:space="0" w:color="auto"/>
              <w:left w:val="nil"/>
              <w:bottom w:val="double" w:sz="4" w:space="0" w:color="auto"/>
              <w:right w:val="single" w:sz="4" w:space="0" w:color="auto"/>
            </w:tcBorders>
            <w:shd w:val="clear" w:color="auto" w:fill="auto"/>
            <w:vAlign w:val="center"/>
          </w:tcPr>
          <w:p w14:paraId="67A853C8" w14:textId="77777777" w:rsidR="00AD4D1E" w:rsidRPr="00FD7B0B" w:rsidRDefault="00AD4D1E" w:rsidP="00AD020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500</w:t>
            </w:r>
          </w:p>
        </w:tc>
        <w:tc>
          <w:tcPr>
            <w:tcW w:w="1417" w:type="dxa"/>
            <w:tcBorders>
              <w:top w:val="single" w:sz="4" w:space="0" w:color="auto"/>
              <w:left w:val="nil"/>
              <w:bottom w:val="double" w:sz="4" w:space="0" w:color="auto"/>
              <w:right w:val="single" w:sz="4" w:space="0" w:color="auto"/>
            </w:tcBorders>
            <w:shd w:val="clear" w:color="auto" w:fill="auto"/>
            <w:vAlign w:val="center"/>
          </w:tcPr>
          <w:p w14:paraId="3FA319F1" w14:textId="77777777" w:rsidR="00AD4D1E" w:rsidRPr="00FD7B0B" w:rsidRDefault="00AD4D1E" w:rsidP="00AD020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419,1</w:t>
            </w:r>
          </w:p>
        </w:tc>
        <w:tc>
          <w:tcPr>
            <w:tcW w:w="1134" w:type="dxa"/>
            <w:tcBorders>
              <w:top w:val="single" w:sz="4" w:space="0" w:color="auto"/>
              <w:left w:val="nil"/>
              <w:bottom w:val="double" w:sz="4" w:space="0" w:color="auto"/>
              <w:right w:val="single" w:sz="4" w:space="0" w:color="auto"/>
            </w:tcBorders>
            <w:shd w:val="clear" w:color="auto" w:fill="auto"/>
            <w:vAlign w:val="center"/>
          </w:tcPr>
          <w:p w14:paraId="6F26F6CF" w14:textId="77777777" w:rsidR="00AD4D1E" w:rsidRPr="00FD7B0B" w:rsidRDefault="00AD4D1E" w:rsidP="00AD020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417,9</w:t>
            </w:r>
          </w:p>
        </w:tc>
        <w:tc>
          <w:tcPr>
            <w:tcW w:w="1134" w:type="dxa"/>
            <w:tcBorders>
              <w:top w:val="single" w:sz="4" w:space="0" w:color="auto"/>
              <w:left w:val="nil"/>
              <w:bottom w:val="double" w:sz="4" w:space="0" w:color="auto"/>
              <w:right w:val="single" w:sz="4" w:space="0" w:color="auto"/>
            </w:tcBorders>
            <w:shd w:val="clear" w:color="auto" w:fill="auto"/>
            <w:vAlign w:val="center"/>
          </w:tcPr>
          <w:p w14:paraId="44D74F3F" w14:textId="77777777" w:rsidR="00AD4D1E" w:rsidRPr="00FD7B0B" w:rsidRDefault="00AD4D1E" w:rsidP="00AD020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417,0</w:t>
            </w:r>
          </w:p>
        </w:tc>
        <w:tc>
          <w:tcPr>
            <w:tcW w:w="971" w:type="dxa"/>
            <w:tcBorders>
              <w:top w:val="single" w:sz="4" w:space="0" w:color="auto"/>
              <w:left w:val="nil"/>
              <w:bottom w:val="double" w:sz="4" w:space="0" w:color="auto"/>
              <w:right w:val="double" w:sz="4" w:space="0" w:color="auto"/>
            </w:tcBorders>
            <w:shd w:val="clear" w:color="auto" w:fill="auto"/>
            <w:vAlign w:val="center"/>
          </w:tcPr>
          <w:p w14:paraId="1307FB08" w14:textId="77777777" w:rsidR="00AD4D1E" w:rsidRPr="00FD7B0B" w:rsidRDefault="00AD4D1E" w:rsidP="00AD0203">
            <w:pPr>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99,9</w:t>
            </w:r>
          </w:p>
        </w:tc>
      </w:tr>
    </w:tbl>
    <w:p w14:paraId="5569F57B" w14:textId="77777777" w:rsidR="00AD0203" w:rsidRPr="00FD7B0B" w:rsidRDefault="00AD0203" w:rsidP="00AD4D1E">
      <w:pPr>
        <w:spacing w:after="0" w:line="240" w:lineRule="auto"/>
        <w:ind w:firstLine="709"/>
        <w:jc w:val="both"/>
        <w:rPr>
          <w:rFonts w:ascii="Times New Roman" w:eastAsia="Calibri" w:hAnsi="Times New Roman" w:cs="Times New Roman"/>
          <w:sz w:val="28"/>
          <w:szCs w:val="28"/>
        </w:rPr>
      </w:pPr>
    </w:p>
    <w:p w14:paraId="1B4C31DA" w14:textId="225B9109" w:rsidR="00AD4D1E" w:rsidRPr="00FD7B0B" w:rsidRDefault="00AD0203"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И</w:t>
      </w:r>
      <w:r w:rsidR="00AD4D1E" w:rsidRPr="00FD7B0B">
        <w:rPr>
          <w:rFonts w:ascii="Times New Roman" w:eastAsia="Calibri" w:hAnsi="Times New Roman" w:cs="Times New Roman"/>
          <w:sz w:val="28"/>
          <w:szCs w:val="28"/>
        </w:rPr>
        <w:t>сполнение структурных элементов при реализации ГП АО № 26 в 2024 году</w:t>
      </w:r>
      <w:r w:rsidR="00AD4D1E" w:rsidRPr="00FD7B0B">
        <w:rPr>
          <w:rFonts w:ascii="Calibri" w:eastAsia="Calibri" w:hAnsi="Calibri" w:cs="Times New Roman"/>
        </w:rPr>
        <w:t xml:space="preserve"> </w:t>
      </w:r>
      <w:r w:rsidR="00AD4D1E" w:rsidRPr="00FD7B0B">
        <w:rPr>
          <w:rFonts w:ascii="Times New Roman" w:eastAsia="Calibri" w:hAnsi="Times New Roman" w:cs="Times New Roman"/>
          <w:sz w:val="28"/>
          <w:szCs w:val="28"/>
        </w:rPr>
        <w:t>в части:</w:t>
      </w:r>
    </w:p>
    <w:p w14:paraId="552138EF" w14:textId="4CA3B084"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контрактуемых расходов составило 412,6 млн.руб. или 93,1 % к утвержденным значе</w:t>
      </w:r>
      <w:r w:rsidR="00AD0203" w:rsidRPr="00FD7B0B">
        <w:rPr>
          <w:rFonts w:ascii="Times New Roman" w:eastAsia="Calibri" w:hAnsi="Times New Roman" w:cs="Times New Roman"/>
          <w:sz w:val="28"/>
          <w:szCs w:val="28"/>
        </w:rPr>
        <w:t>ниям сводной бюджетной росписи,</w:t>
      </w:r>
    </w:p>
    <w:p w14:paraId="76920043" w14:textId="7CE92478"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капитальных вложений в объекты государственной (муниципальной) собственности – 50,6 млн.руб. или 100</w:t>
      </w:r>
      <w:r w:rsidR="006A3D36" w:rsidRPr="00FD7B0B">
        <w:rPr>
          <w:rFonts w:ascii="Times New Roman" w:eastAsia="Calibri" w:hAnsi="Times New Roman" w:cs="Times New Roman"/>
          <w:sz w:val="28"/>
          <w:szCs w:val="28"/>
        </w:rPr>
        <w:t xml:space="preserve"> </w:t>
      </w:r>
      <w:r w:rsidRPr="00FD7B0B">
        <w:rPr>
          <w:rFonts w:ascii="Times New Roman" w:eastAsia="Calibri" w:hAnsi="Times New Roman" w:cs="Times New Roman"/>
          <w:sz w:val="28"/>
          <w:szCs w:val="28"/>
        </w:rPr>
        <w:t>%;</w:t>
      </w:r>
    </w:p>
    <w:p w14:paraId="5A210991"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межбюджетных трансфертов 417,0 млн.руб или 99,9 % соответственно.</w:t>
      </w:r>
    </w:p>
    <w:p w14:paraId="4078EA00" w14:textId="439653A9"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Невыполнение по контрактуемым расходам в 2024 году отмечаем по министерству природных ресурсов и ЛПК Архангельской области в рамках РП «Стимулирование спроса на отечественные беспилотные авиационные системы (Архангельская область)» по мероприятию «Приобретены беспилотные авиационные системы в целях осуществления мероприятий в области лесных отношений» (далее – БАС). При плане 60,0 млн.руб., исполнено 30,0 млн.руб. или 50% к утвержденным значениям сводной бюджетной росписи. Для осуществления закупки БАС между министерством природных ресурсов и ЛПК АО и АО «ГТЛК» заключены два государственных контракта: от 01.07.2024 №</w:t>
      </w:r>
      <w:r w:rsidR="00D90508"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 xml:space="preserve">12 и от 29.08.2024 № 19. В декабре 2024 года АО «ГТЛК» довело до министерства информацию что производитель БАС «Геоскан 801» перенес сроки поставки БАС на 2025 год, в связи необходимостью поиска новых поставщиков комплектующих изделий и выстраивания новых логистических </w:t>
      </w:r>
      <w:r w:rsidRPr="00FD7B0B">
        <w:rPr>
          <w:rFonts w:ascii="Times New Roman" w:eastAsia="Times New Roman" w:hAnsi="Times New Roman" w:cs="Times New Roman"/>
          <w:sz w:val="28"/>
          <w:szCs w:val="28"/>
          <w:lang w:eastAsia="ru-RU"/>
        </w:rPr>
        <w:lastRenderedPageBreak/>
        <w:t>цепочек из-за введенных санкционных ограничений</w:t>
      </w:r>
      <w:r w:rsidR="00D90508" w:rsidRPr="00FD7B0B">
        <w:rPr>
          <w:rFonts w:ascii="Times New Roman" w:eastAsia="Times New Roman" w:hAnsi="Times New Roman" w:cs="Times New Roman"/>
          <w:sz w:val="28"/>
          <w:szCs w:val="28"/>
          <w:lang w:eastAsia="ru-RU"/>
        </w:rPr>
        <w:t xml:space="preserve"> в отношении производителя БАС.</w:t>
      </w:r>
    </w:p>
    <w:p w14:paraId="79B5D22C"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4F4CC976" w14:textId="77777777"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2024 году в рамках госпрограммы № 26 осуществлялось достижение 35 показателей уровня госпрограммы и структурных элементов, входящих в ее состав, реализация 58 мероприятий (результатов) уровня структурных элементов.</w:t>
      </w:r>
    </w:p>
    <w:p w14:paraId="4FD987DC" w14:textId="77777777"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Исполнение в 2024 году мероприятий (результатов) госпрограммы № 26, в разрезе проектной части (региональных проектов) и КПМ «Экономическое и научное развитие Архангельской области», характеризуется следующими показателями.</w:t>
      </w:r>
    </w:p>
    <w:p w14:paraId="673DF483" w14:textId="76078111"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Кассовые расходы по госпрограмме за 2024 год составили в общей сумме 2 671,5 млн.руб. или 98,8</w:t>
      </w:r>
      <w:r w:rsidR="006A3D3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 к уточненной сводной бюджетной росписи, из них: </w:t>
      </w:r>
    </w:p>
    <w:p w14:paraId="4EDA2D84" w14:textId="18EF4FC1"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проектной части – 2 072,8 млн.руб. или 98,5</w:t>
      </w:r>
      <w:r w:rsidR="006A3D3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2310F852" w14:textId="2FD36C37"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КПМ «Экономическое и научное развитие Архангельской области» - 598,7 или 99,8</w:t>
      </w:r>
      <w:r w:rsidR="006A3D3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5D1333AF" w14:textId="5CEB504C"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соответствии с отчетом о реализации госпрограммы № 26, в 2024 году не достигнуты установленные значения по 3 из 58 установленных мероприятий (результатов) уровня структурных элементов или 5</w:t>
      </w:r>
      <w:r w:rsidR="006A3D3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 в том числе: </w:t>
      </w:r>
    </w:p>
    <w:p w14:paraId="44B2AEDE" w14:textId="77777777"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по проектной части – 1 мероприятие из 42 установленных мероприятий, или 2,4%, </w:t>
      </w:r>
    </w:p>
    <w:p w14:paraId="15EB62E0" w14:textId="4A74570A"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КПМ «Экономическое и научное развитие Архангельской области» - 2 мероприятия из 16 установленных или 12,5</w:t>
      </w:r>
      <w:r w:rsidR="006A3D3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023CF841" w14:textId="77777777"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p>
    <w:p w14:paraId="780C9706" w14:textId="77777777" w:rsidR="00AD4D1E" w:rsidRPr="00FD7B0B" w:rsidRDefault="00AD4D1E" w:rsidP="00933226">
      <w:pPr>
        <w:spacing w:after="0" w:line="240" w:lineRule="auto"/>
        <w:ind w:firstLine="709"/>
        <w:jc w:val="both"/>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t>Проектная часть госпрограммы № 26</w:t>
      </w:r>
    </w:p>
    <w:p w14:paraId="160AB0FA" w14:textId="03FA9433"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 Региональный проект «Создание благоприятных условий для осуществления деятельности самозанятыми гражданами» (далее – РП).</w:t>
      </w:r>
      <w:r w:rsidRPr="00FD7B0B">
        <w:t xml:space="preserve"> </w:t>
      </w:r>
      <w:r w:rsidRPr="00FD7B0B">
        <w:rPr>
          <w:rFonts w:ascii="Times New Roman" w:hAnsi="Times New Roman" w:cs="Times New Roman"/>
          <w:sz w:val="28"/>
          <w:szCs w:val="28"/>
        </w:rPr>
        <w:t xml:space="preserve">РП реализован </w:t>
      </w:r>
      <w:r w:rsidRPr="00FD7B0B">
        <w:rPr>
          <w:rFonts w:ascii="Times New Roman" w:eastAsia="Times New Roman" w:hAnsi="Times New Roman" w:cs="Times New Roman"/>
          <w:sz w:val="28"/>
          <w:szCs w:val="28"/>
          <w:lang w:eastAsia="ru-RU"/>
        </w:rPr>
        <w:t>в рамках национального проекта «Малое и среднее предпринимательство и поддержка индивидуальной предпринимательской инициативы» (далее - НП «</w:t>
      </w:r>
      <w:r w:rsidRPr="00FD7B0B">
        <w:rPr>
          <w:rFonts w:ascii="Times New Roman" w:hAnsi="Times New Roman"/>
          <w:sz w:val="28"/>
          <w:szCs w:val="28"/>
        </w:rPr>
        <w:t>МСП и поддержка индивидуальной предпринимательской инициативы»)</w:t>
      </w:r>
      <w:r w:rsidRPr="00FD7B0B">
        <w:rPr>
          <w:rFonts w:ascii="Times New Roman" w:eastAsia="Times New Roman" w:hAnsi="Times New Roman" w:cs="Times New Roman"/>
          <w:sz w:val="28"/>
          <w:szCs w:val="28"/>
          <w:lang w:eastAsia="ru-RU"/>
        </w:rPr>
        <w:t>. На 2024 год запланировано 5,8 млн.руб.</w:t>
      </w:r>
      <w:r w:rsidRPr="00FD7B0B">
        <w:t xml:space="preserve"> </w:t>
      </w:r>
      <w:r w:rsidRPr="00FD7B0B">
        <w:rPr>
          <w:rFonts w:ascii="Times New Roman" w:eastAsia="Times New Roman" w:hAnsi="Times New Roman" w:cs="Times New Roman"/>
          <w:sz w:val="28"/>
          <w:szCs w:val="28"/>
          <w:lang w:eastAsia="ru-RU"/>
        </w:rPr>
        <w:t>из них: средства федерального бюджета и прочие целевые средства – 5,7 млн.руб., средства областного бюджета – 0,1 млн.руб. Минэкономразвития АО средства в размере 5,8 млн.руб. перечислены на реализацию мероприятий в АНО АО «Агентство регионального развития» (далее – АНО «АРР») на основании соглашения от 29.02.2024 № 40-2024-000237 в полном объеме. Исполнено – 5,8 млн.руб. (100</w:t>
      </w:r>
      <w:r w:rsidR="0093322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r w:rsidRPr="00FD7B0B">
        <w:t xml:space="preserve"> </w:t>
      </w:r>
      <w:r w:rsidRPr="00FD7B0B">
        <w:rPr>
          <w:rFonts w:ascii="Times New Roman" w:eastAsia="Times New Roman" w:hAnsi="Times New Roman" w:cs="Times New Roman"/>
          <w:sz w:val="28"/>
          <w:szCs w:val="28"/>
          <w:lang w:eastAsia="ru-RU"/>
        </w:rPr>
        <w:t>Реализация 2 мероприятий и контрольных точек РП в отчетном периоде осуществлялась без нарушения плана.</w:t>
      </w:r>
    </w:p>
    <w:p w14:paraId="333431AD" w14:textId="77777777"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2) Региональный проект «Создание условий для легкого старта и комфортного ведения бизнеса»</w:t>
      </w:r>
      <w:r w:rsidRPr="00FD7B0B">
        <w:t xml:space="preserve"> </w:t>
      </w:r>
      <w:r w:rsidRPr="00FD7B0B">
        <w:rPr>
          <w:rFonts w:ascii="Times New Roman" w:eastAsia="Times New Roman" w:hAnsi="Times New Roman" w:cs="Times New Roman"/>
          <w:sz w:val="28"/>
          <w:szCs w:val="28"/>
          <w:lang w:eastAsia="ru-RU"/>
        </w:rPr>
        <w:t>(далее – РП). РП</w:t>
      </w:r>
      <w:r w:rsidRPr="00FD7B0B">
        <w:t xml:space="preserve"> </w:t>
      </w:r>
      <w:r w:rsidRPr="00FD7B0B">
        <w:rPr>
          <w:rFonts w:ascii="Times New Roman" w:eastAsia="Times New Roman" w:hAnsi="Times New Roman" w:cs="Times New Roman"/>
          <w:sz w:val="28"/>
          <w:szCs w:val="28"/>
          <w:lang w:eastAsia="ru-RU"/>
        </w:rPr>
        <w:t>реализован в рамках</w:t>
      </w:r>
      <w:r w:rsidRPr="00FD7B0B">
        <w:t xml:space="preserve"> </w:t>
      </w:r>
      <w:r w:rsidRPr="00FD7B0B">
        <w:rPr>
          <w:rFonts w:ascii="Times New Roman" w:eastAsia="Times New Roman" w:hAnsi="Times New Roman" w:cs="Times New Roman"/>
          <w:sz w:val="28"/>
          <w:szCs w:val="28"/>
          <w:lang w:eastAsia="ru-RU"/>
        </w:rPr>
        <w:t>НП «МСП и поддержка индивидуальной предпринимательской инициативы».</w:t>
      </w:r>
      <w:r w:rsidRPr="00FD7B0B">
        <w:t xml:space="preserve"> </w:t>
      </w:r>
      <w:r w:rsidRPr="00FD7B0B">
        <w:rPr>
          <w:rFonts w:ascii="Times New Roman" w:eastAsia="Times New Roman" w:hAnsi="Times New Roman" w:cs="Times New Roman"/>
          <w:sz w:val="28"/>
          <w:szCs w:val="28"/>
          <w:lang w:eastAsia="ru-RU"/>
        </w:rPr>
        <w:t>На 2024 год запланировано 25,4 млн.руб.,</w:t>
      </w:r>
      <w:r w:rsidRPr="00FD7B0B">
        <w:t xml:space="preserve"> </w:t>
      </w:r>
      <w:r w:rsidRPr="00FD7B0B">
        <w:rPr>
          <w:rFonts w:ascii="Times New Roman" w:eastAsia="Times New Roman" w:hAnsi="Times New Roman" w:cs="Times New Roman"/>
          <w:sz w:val="28"/>
          <w:szCs w:val="28"/>
          <w:lang w:eastAsia="ru-RU"/>
        </w:rPr>
        <w:t>из них: средства федерального бюджета и прочие целевые средства – 15,4 млн.руб., средства областного бюджета – 10,0 млн.руб., исполнено в полном объеме.</w:t>
      </w:r>
      <w:r w:rsidRPr="00FD7B0B">
        <w:t xml:space="preserve"> </w:t>
      </w:r>
      <w:r w:rsidRPr="00FD7B0B">
        <w:rPr>
          <w:rFonts w:ascii="Times New Roman" w:eastAsia="Times New Roman" w:hAnsi="Times New Roman" w:cs="Times New Roman"/>
          <w:sz w:val="28"/>
          <w:szCs w:val="28"/>
          <w:lang w:eastAsia="ru-RU"/>
        </w:rPr>
        <w:t>Реализация 5 мероприятий и контрольных точек РП в отчетном периоде осуществлялась без нарушения плана.</w:t>
      </w:r>
    </w:p>
    <w:p w14:paraId="74627EEE" w14:textId="18FCB0C4"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3) Региональный проект «Акселерация субъектов малого и среднего предпринимательства»</w:t>
      </w:r>
      <w:r w:rsidRPr="00FD7B0B">
        <w:t xml:space="preserve"> </w:t>
      </w:r>
      <w:r w:rsidRPr="00FD7B0B">
        <w:rPr>
          <w:rFonts w:ascii="Times New Roman" w:eastAsia="Times New Roman" w:hAnsi="Times New Roman" w:cs="Times New Roman"/>
          <w:sz w:val="28"/>
          <w:szCs w:val="28"/>
          <w:lang w:eastAsia="ru-RU"/>
        </w:rPr>
        <w:t>(далее – РП). РП реализован в рамках НП «МСП и поддержка индивидуальной предпринимательской инициативы». В рамках РП на 2024 год запланировано 100,4 млн.руб., из них: средства федерального бюджета и прочие целевые средства – 82,1 млн.руб., средства областного бюджета – 18,3 млн.руб., исполнено – 100,4 млн.руб. (100</w:t>
      </w:r>
      <w:r w:rsidR="00DB4A7D"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в том числе: минэкономразвития АО – 42,9 млн.руб., министерством имущественных отношений АО – 50,4 млн.руб., министерством А</w:t>
      </w:r>
      <w:r w:rsidR="00DB4A7D" w:rsidRPr="00FD7B0B">
        <w:rPr>
          <w:rFonts w:ascii="Times New Roman" w:eastAsia="Times New Roman" w:hAnsi="Times New Roman" w:cs="Times New Roman"/>
          <w:sz w:val="28"/>
          <w:szCs w:val="28"/>
          <w:lang w:eastAsia="ru-RU"/>
        </w:rPr>
        <w:t>ПК и торговли АО – 7,1 млн.руб.</w:t>
      </w:r>
    </w:p>
    <w:p w14:paraId="01AC5C70" w14:textId="343BD3DF"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2024 году реализация 1 мероприятия РП из 7 установленных, осуществлена с нарушением установленного плана. Ответственный исполнитель мероприятия – минэкономразвития АО. Информация о не выполнении значения (результата) мероприятия приведена в таблице</w:t>
      </w:r>
      <w:r w:rsidR="00DB4A7D" w:rsidRPr="00FD7B0B">
        <w:rPr>
          <w:rFonts w:ascii="Times New Roman" w:eastAsia="Times New Roman" w:hAnsi="Times New Roman" w:cs="Times New Roman"/>
          <w:sz w:val="28"/>
          <w:szCs w:val="28"/>
          <w:lang w:eastAsia="ru-RU"/>
        </w:rPr>
        <w:t xml:space="preserve"> </w:t>
      </w:r>
      <w:r w:rsidR="00420A00" w:rsidRPr="00FD7B0B">
        <w:rPr>
          <w:rFonts w:ascii="Times New Roman" w:eastAsia="Times New Roman" w:hAnsi="Times New Roman" w:cs="Times New Roman"/>
          <w:sz w:val="28"/>
          <w:szCs w:val="28"/>
          <w:lang w:eastAsia="ru-RU"/>
        </w:rPr>
        <w:t>216</w:t>
      </w:r>
      <w:r w:rsidRPr="00FD7B0B">
        <w:rPr>
          <w:rFonts w:ascii="Times New Roman" w:eastAsia="Times New Roman" w:hAnsi="Times New Roman" w:cs="Times New Roman"/>
          <w:sz w:val="28"/>
          <w:szCs w:val="28"/>
          <w:lang w:eastAsia="ru-RU"/>
        </w:rPr>
        <w:t>.</w:t>
      </w:r>
    </w:p>
    <w:p w14:paraId="4C62DE6C"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07FBB5C0" w14:textId="58FE136C" w:rsidR="00AD4D1E" w:rsidRPr="00FD7B0B" w:rsidRDefault="00DB4A7D" w:rsidP="00DB4A7D">
      <w:pPr>
        <w:spacing w:after="0" w:line="240" w:lineRule="auto"/>
        <w:rPr>
          <w:rFonts w:ascii="Times New Roman" w:eastAsia="Times New Roman" w:hAnsi="Times New Roman" w:cs="Times New Roman"/>
          <w:sz w:val="28"/>
          <w:szCs w:val="28"/>
          <w:lang w:eastAsia="ru-RU"/>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216</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AD4D1E" w:rsidRPr="00FD7B0B">
        <w:rPr>
          <w:rFonts w:ascii="Times New Roman" w:eastAsia="Calibri" w:hAnsi="Times New Roman" w:cs="Times New Roman"/>
          <w:sz w:val="24"/>
          <w:szCs w:val="24"/>
        </w:rPr>
        <w:t>Информация о невыполнении значения мероприятия (результата) по РП «Акселерация субъектов малого и среднего предпринимательства» ГП АО № 26</w:t>
      </w:r>
      <w:r w:rsidR="00AD4D1E" w:rsidRPr="00FD7B0B">
        <w:t xml:space="preserve"> </w:t>
      </w:r>
      <w:r w:rsidR="00AD4D1E" w:rsidRPr="00FD7B0B">
        <w:rPr>
          <w:rFonts w:ascii="Times New Roman" w:eastAsia="Calibri" w:hAnsi="Times New Roman" w:cs="Times New Roman"/>
          <w:sz w:val="24"/>
          <w:szCs w:val="24"/>
        </w:rPr>
        <w:t>за 2024 год</w:t>
      </w:r>
    </w:p>
    <w:tbl>
      <w:tblPr>
        <w:tblW w:w="9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4"/>
        <w:gridCol w:w="1134"/>
        <w:gridCol w:w="1134"/>
        <w:gridCol w:w="1276"/>
        <w:gridCol w:w="992"/>
        <w:gridCol w:w="1134"/>
      </w:tblGrid>
      <w:tr w:rsidR="00FD7B0B" w:rsidRPr="00FD7B0B" w14:paraId="2102E5FC" w14:textId="77777777" w:rsidTr="00987260">
        <w:trPr>
          <w:trHeight w:val="571"/>
          <w:tblHeader/>
        </w:trPr>
        <w:tc>
          <w:tcPr>
            <w:tcW w:w="3954" w:type="dxa"/>
            <w:vMerge w:val="restart"/>
            <w:tcBorders>
              <w:top w:val="double" w:sz="4" w:space="0" w:color="auto"/>
              <w:left w:val="double" w:sz="4" w:space="0" w:color="auto"/>
            </w:tcBorders>
            <w:shd w:val="clear" w:color="auto" w:fill="auto"/>
          </w:tcPr>
          <w:p w14:paraId="5E782911"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Наименование мероприятия (результата),</w:t>
            </w:r>
          </w:p>
          <w:p w14:paraId="42CC525C"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контрольной точки</w:t>
            </w:r>
          </w:p>
        </w:tc>
        <w:tc>
          <w:tcPr>
            <w:tcW w:w="2268" w:type="dxa"/>
            <w:gridSpan w:val="2"/>
            <w:tcBorders>
              <w:top w:val="double" w:sz="4" w:space="0" w:color="auto"/>
            </w:tcBorders>
            <w:shd w:val="clear" w:color="auto" w:fill="auto"/>
          </w:tcPr>
          <w:p w14:paraId="33805D74"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Срок окончания реализации мероприятия (результата),</w:t>
            </w:r>
          </w:p>
          <w:p w14:paraId="5E8DF04C"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контрольной точки</w:t>
            </w:r>
          </w:p>
        </w:tc>
        <w:tc>
          <w:tcPr>
            <w:tcW w:w="1276" w:type="dxa"/>
            <w:vMerge w:val="restart"/>
            <w:tcBorders>
              <w:top w:val="double" w:sz="4" w:space="0" w:color="auto"/>
            </w:tcBorders>
            <w:shd w:val="clear" w:color="auto" w:fill="auto"/>
          </w:tcPr>
          <w:p w14:paraId="0648868E"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Единица измерения мероприятия (результата)</w:t>
            </w:r>
          </w:p>
        </w:tc>
        <w:tc>
          <w:tcPr>
            <w:tcW w:w="2126" w:type="dxa"/>
            <w:gridSpan w:val="2"/>
            <w:tcBorders>
              <w:top w:val="double" w:sz="4" w:space="0" w:color="auto"/>
              <w:bottom w:val="nil"/>
              <w:right w:val="double" w:sz="4" w:space="0" w:color="auto"/>
            </w:tcBorders>
            <w:shd w:val="clear" w:color="auto" w:fill="auto"/>
          </w:tcPr>
          <w:p w14:paraId="275E9B20"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Значение </w:t>
            </w:r>
          </w:p>
          <w:p w14:paraId="7371F489"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мероприятия (результата)</w:t>
            </w:r>
          </w:p>
        </w:tc>
      </w:tr>
      <w:tr w:rsidR="00FD7B0B" w:rsidRPr="00FD7B0B" w14:paraId="09DB2BE3" w14:textId="77777777" w:rsidTr="00987260">
        <w:trPr>
          <w:trHeight w:val="41"/>
          <w:tblHeader/>
        </w:trPr>
        <w:tc>
          <w:tcPr>
            <w:tcW w:w="3954" w:type="dxa"/>
            <w:vMerge/>
            <w:tcBorders>
              <w:left w:val="double" w:sz="4" w:space="0" w:color="auto"/>
            </w:tcBorders>
            <w:shd w:val="clear" w:color="auto" w:fill="auto"/>
          </w:tcPr>
          <w:p w14:paraId="073DA82D" w14:textId="77777777" w:rsidR="00987260" w:rsidRPr="00FD7B0B" w:rsidRDefault="00987260"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p>
        </w:tc>
        <w:tc>
          <w:tcPr>
            <w:tcW w:w="1134" w:type="dxa"/>
            <w:shd w:val="clear" w:color="auto" w:fill="auto"/>
          </w:tcPr>
          <w:p w14:paraId="63697F97" w14:textId="6C83BFA8" w:rsidR="00987260" w:rsidRPr="00FD7B0B" w:rsidRDefault="00987260"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w:t>
            </w:r>
          </w:p>
        </w:tc>
        <w:tc>
          <w:tcPr>
            <w:tcW w:w="1134" w:type="dxa"/>
            <w:shd w:val="clear" w:color="auto" w:fill="auto"/>
          </w:tcPr>
          <w:p w14:paraId="6150BB5D" w14:textId="1238F5B5" w:rsidR="00987260" w:rsidRPr="00FD7B0B" w:rsidRDefault="00987260"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Факт</w:t>
            </w:r>
          </w:p>
        </w:tc>
        <w:tc>
          <w:tcPr>
            <w:tcW w:w="1276" w:type="dxa"/>
            <w:vMerge/>
            <w:tcBorders>
              <w:top w:val="single" w:sz="4" w:space="0" w:color="auto"/>
            </w:tcBorders>
            <w:shd w:val="clear" w:color="auto" w:fill="auto"/>
          </w:tcPr>
          <w:p w14:paraId="7130D41F" w14:textId="77777777" w:rsidR="00987260" w:rsidRPr="00FD7B0B" w:rsidRDefault="00987260"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p>
        </w:tc>
        <w:tc>
          <w:tcPr>
            <w:tcW w:w="992" w:type="dxa"/>
            <w:tcBorders>
              <w:top w:val="single" w:sz="4" w:space="0" w:color="auto"/>
            </w:tcBorders>
            <w:shd w:val="clear" w:color="auto" w:fill="auto"/>
            <w:vAlign w:val="center"/>
          </w:tcPr>
          <w:p w14:paraId="23B57073" w14:textId="77777777" w:rsidR="00987260" w:rsidRPr="00FD7B0B" w:rsidRDefault="00987260"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w:t>
            </w:r>
          </w:p>
        </w:tc>
        <w:tc>
          <w:tcPr>
            <w:tcW w:w="1134" w:type="dxa"/>
            <w:tcBorders>
              <w:top w:val="single" w:sz="4" w:space="0" w:color="auto"/>
              <w:right w:val="double" w:sz="4" w:space="0" w:color="auto"/>
            </w:tcBorders>
            <w:shd w:val="clear" w:color="auto" w:fill="auto"/>
            <w:vAlign w:val="center"/>
          </w:tcPr>
          <w:p w14:paraId="76417381" w14:textId="77777777" w:rsidR="00987260" w:rsidRPr="00FD7B0B" w:rsidRDefault="00987260"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Факт</w:t>
            </w:r>
          </w:p>
        </w:tc>
      </w:tr>
      <w:tr w:rsidR="00DB4A7D" w:rsidRPr="00FD7B0B" w14:paraId="436D9973" w14:textId="77777777" w:rsidTr="00987260">
        <w:trPr>
          <w:trHeight w:val="243"/>
          <w:tblHeader/>
        </w:trPr>
        <w:tc>
          <w:tcPr>
            <w:tcW w:w="3954" w:type="dxa"/>
            <w:tcBorders>
              <w:left w:val="double" w:sz="4" w:space="0" w:color="auto"/>
              <w:bottom w:val="double" w:sz="4" w:space="0" w:color="auto"/>
            </w:tcBorders>
            <w:shd w:val="clear" w:color="auto" w:fill="auto"/>
          </w:tcPr>
          <w:p w14:paraId="44061E25" w14:textId="77777777" w:rsidR="00DB4A7D" w:rsidRPr="00FD7B0B" w:rsidRDefault="00DB4A7D" w:rsidP="00987260">
            <w:pPr>
              <w:widowControl w:val="0"/>
              <w:autoSpaceDE w:val="0"/>
              <w:autoSpaceDN w:val="0"/>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Субъектам малого и среднего предпринимательства обеспечен льготный доступ к заемным средствам государственных микрофинансовых организаций (количество действующих микрозаймов, выданных микрофинансовой организацией)</w:t>
            </w:r>
          </w:p>
        </w:tc>
        <w:tc>
          <w:tcPr>
            <w:tcW w:w="1134" w:type="dxa"/>
            <w:tcBorders>
              <w:bottom w:val="double" w:sz="4" w:space="0" w:color="auto"/>
            </w:tcBorders>
            <w:shd w:val="clear" w:color="auto" w:fill="auto"/>
            <w:vAlign w:val="center"/>
          </w:tcPr>
          <w:p w14:paraId="39BF4357"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31.12.2024</w:t>
            </w:r>
          </w:p>
        </w:tc>
        <w:tc>
          <w:tcPr>
            <w:tcW w:w="1134" w:type="dxa"/>
            <w:tcBorders>
              <w:bottom w:val="double" w:sz="4" w:space="0" w:color="auto"/>
            </w:tcBorders>
            <w:shd w:val="clear" w:color="auto" w:fill="auto"/>
            <w:vAlign w:val="center"/>
          </w:tcPr>
          <w:p w14:paraId="79872889"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31.12.2024</w:t>
            </w:r>
          </w:p>
        </w:tc>
        <w:tc>
          <w:tcPr>
            <w:tcW w:w="1276" w:type="dxa"/>
            <w:tcBorders>
              <w:bottom w:val="double" w:sz="4" w:space="0" w:color="auto"/>
            </w:tcBorders>
            <w:shd w:val="clear" w:color="auto" w:fill="auto"/>
            <w:vAlign w:val="center"/>
          </w:tcPr>
          <w:p w14:paraId="512AF7FE"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Тысяча единиц</w:t>
            </w:r>
          </w:p>
        </w:tc>
        <w:tc>
          <w:tcPr>
            <w:tcW w:w="992" w:type="dxa"/>
            <w:tcBorders>
              <w:bottom w:val="double" w:sz="4" w:space="0" w:color="auto"/>
            </w:tcBorders>
            <w:shd w:val="clear" w:color="auto" w:fill="auto"/>
            <w:vAlign w:val="center"/>
          </w:tcPr>
          <w:p w14:paraId="7878BE96"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1,087</w:t>
            </w:r>
          </w:p>
        </w:tc>
        <w:tc>
          <w:tcPr>
            <w:tcW w:w="1134" w:type="dxa"/>
            <w:tcBorders>
              <w:bottom w:val="double" w:sz="4" w:space="0" w:color="auto"/>
              <w:right w:val="double" w:sz="4" w:space="0" w:color="auto"/>
            </w:tcBorders>
            <w:shd w:val="clear" w:color="auto" w:fill="auto"/>
            <w:vAlign w:val="center"/>
          </w:tcPr>
          <w:p w14:paraId="4B346F3C" w14:textId="77777777" w:rsidR="00DB4A7D" w:rsidRPr="00FD7B0B" w:rsidRDefault="00DB4A7D"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0,621</w:t>
            </w:r>
          </w:p>
        </w:tc>
      </w:tr>
    </w:tbl>
    <w:p w14:paraId="62A8DE32" w14:textId="77777777" w:rsidR="00987260" w:rsidRPr="00FD7B0B" w:rsidRDefault="00987260"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5EA49B54" w14:textId="0879CE7F" w:rsidR="00AD4D1E" w:rsidRPr="00FD7B0B" w:rsidRDefault="00987260"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w:t>
      </w:r>
      <w:r w:rsidR="00AD4D1E" w:rsidRPr="00FD7B0B">
        <w:rPr>
          <w:rFonts w:ascii="Times New Roman" w:eastAsia="Times New Roman" w:hAnsi="Times New Roman" w:cs="Times New Roman"/>
          <w:sz w:val="28"/>
          <w:szCs w:val="28"/>
          <w:lang w:eastAsia="ru-RU"/>
        </w:rPr>
        <w:t>ыполнение значения мероприятия за 2024 год составило 57,1</w:t>
      </w:r>
      <w:r w:rsidR="00BE5415" w:rsidRPr="00FD7B0B">
        <w:rPr>
          <w:rFonts w:ascii="Times New Roman" w:eastAsia="Times New Roman" w:hAnsi="Times New Roman" w:cs="Times New Roman"/>
          <w:sz w:val="28"/>
          <w:szCs w:val="28"/>
          <w:lang w:eastAsia="ru-RU"/>
        </w:rPr>
        <w:t xml:space="preserve"> </w:t>
      </w:r>
      <w:r w:rsidR="00AD4D1E" w:rsidRPr="00FD7B0B">
        <w:rPr>
          <w:rFonts w:ascii="Times New Roman" w:eastAsia="Times New Roman" w:hAnsi="Times New Roman" w:cs="Times New Roman"/>
          <w:sz w:val="28"/>
          <w:szCs w:val="28"/>
          <w:lang w:eastAsia="ru-RU"/>
        </w:rPr>
        <w:t>% от запланированного. Недостижение результата произошло в связи со значительным количеством погашенных займов в течение года, в том числе по займам, выданным в период COVID-19 (в соответствии с приказом Минэкономразвития России от 01.06.2020 № 323), по которым срок возврата займа был продлен до 5 лет (срок погашения приходится на 2024 год), что привело к снижению количества действующих микрозаймов, выданных микрофинансовой организацией на отчетную дату. За 2024 год количество погашенных займов превышает количество выданных займов.</w:t>
      </w:r>
      <w:r w:rsidR="00AD4D1E" w:rsidRPr="00FD7B0B">
        <w:t xml:space="preserve"> </w:t>
      </w:r>
      <w:r w:rsidR="00AD4D1E" w:rsidRPr="00FD7B0B">
        <w:rPr>
          <w:rFonts w:ascii="Times New Roman" w:eastAsia="Times New Roman" w:hAnsi="Times New Roman" w:cs="Times New Roman"/>
          <w:sz w:val="28"/>
          <w:szCs w:val="28"/>
          <w:lang w:eastAsia="ru-RU"/>
        </w:rPr>
        <w:t>Реализация остальных 6 мероприятий и контрольных точек РП в отчетном периоде осуществлялась без нарушения плана.</w:t>
      </w:r>
    </w:p>
    <w:p w14:paraId="6BE7DB73" w14:textId="4F0B4129"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4)</w:t>
      </w:r>
      <w:r w:rsidRPr="00FD7B0B">
        <w:t xml:space="preserve"> </w:t>
      </w:r>
      <w:r w:rsidRPr="00FD7B0B">
        <w:rPr>
          <w:rFonts w:ascii="Times New Roman" w:eastAsia="Times New Roman" w:hAnsi="Times New Roman" w:cs="Times New Roman"/>
          <w:sz w:val="28"/>
          <w:szCs w:val="28"/>
          <w:lang w:eastAsia="ru-RU"/>
        </w:rPr>
        <w:t>Региональный проект «Системные меры по повышению производительности труда».</w:t>
      </w:r>
      <w:r w:rsidRPr="00FD7B0B">
        <w:t xml:space="preserve"> </w:t>
      </w:r>
      <w:r w:rsidRPr="00FD7B0B">
        <w:rPr>
          <w:rFonts w:ascii="Times New Roman" w:eastAsia="Times New Roman" w:hAnsi="Times New Roman" w:cs="Times New Roman"/>
          <w:sz w:val="28"/>
          <w:szCs w:val="28"/>
          <w:lang w:eastAsia="ru-RU"/>
        </w:rPr>
        <w:t>РП реализован минэкономразвития АО в рамках национального проекта «Производительность труда» (далее – НП «Производительность труда»). На реализацию РП в 2024 году предусмотрены средства областн</w:t>
      </w:r>
      <w:r w:rsidR="00BE5415" w:rsidRPr="00FD7B0B">
        <w:rPr>
          <w:rFonts w:ascii="Times New Roman" w:eastAsia="Times New Roman" w:hAnsi="Times New Roman" w:cs="Times New Roman"/>
          <w:sz w:val="28"/>
          <w:szCs w:val="28"/>
          <w:lang w:eastAsia="ru-RU"/>
        </w:rPr>
        <w:t>ого бюджета в размере 0,07 млн.</w:t>
      </w:r>
      <w:r w:rsidRPr="00FD7B0B">
        <w:rPr>
          <w:rFonts w:ascii="Times New Roman" w:eastAsia="Times New Roman" w:hAnsi="Times New Roman" w:cs="Times New Roman"/>
          <w:sz w:val="28"/>
          <w:szCs w:val="28"/>
          <w:lang w:eastAsia="ru-RU"/>
        </w:rPr>
        <w:t>руб., израсходова</w:t>
      </w:r>
      <w:r w:rsidR="00BE5415" w:rsidRPr="00FD7B0B">
        <w:rPr>
          <w:rFonts w:ascii="Times New Roman" w:eastAsia="Times New Roman" w:hAnsi="Times New Roman" w:cs="Times New Roman"/>
          <w:sz w:val="28"/>
          <w:szCs w:val="28"/>
          <w:lang w:eastAsia="ru-RU"/>
        </w:rPr>
        <w:t>но за отчетный период 0,07 млн.</w:t>
      </w:r>
      <w:r w:rsidRPr="00FD7B0B">
        <w:rPr>
          <w:rFonts w:ascii="Times New Roman" w:eastAsia="Times New Roman" w:hAnsi="Times New Roman" w:cs="Times New Roman"/>
          <w:sz w:val="28"/>
          <w:szCs w:val="28"/>
          <w:lang w:eastAsia="ru-RU"/>
        </w:rPr>
        <w:t>руб. или 100,0</w:t>
      </w:r>
      <w:r w:rsidR="00BE5415"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r w:rsidRPr="00FD7B0B">
        <w:t xml:space="preserve"> </w:t>
      </w:r>
      <w:r w:rsidRPr="00FD7B0B">
        <w:rPr>
          <w:rFonts w:ascii="Times New Roman" w:eastAsia="Times New Roman" w:hAnsi="Times New Roman" w:cs="Times New Roman"/>
          <w:sz w:val="28"/>
          <w:szCs w:val="28"/>
          <w:lang w:eastAsia="ru-RU"/>
        </w:rPr>
        <w:t>Реализация 1 мероприятия и контрольных точек РП осуществлялась без нарушения плана.</w:t>
      </w:r>
    </w:p>
    <w:p w14:paraId="38DAC73C"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5)</w:t>
      </w:r>
      <w:r w:rsidRPr="00FD7B0B">
        <w:t xml:space="preserve"> </w:t>
      </w:r>
      <w:r w:rsidRPr="00FD7B0B">
        <w:rPr>
          <w:rFonts w:ascii="Times New Roman" w:eastAsia="Times New Roman" w:hAnsi="Times New Roman" w:cs="Times New Roman"/>
          <w:sz w:val="28"/>
          <w:szCs w:val="28"/>
          <w:lang w:eastAsia="ru-RU"/>
        </w:rPr>
        <w:t>Региональный проект «Адресная поддержка повышения производительности труда на предприятиях». РП</w:t>
      </w:r>
      <w:r w:rsidRPr="00FD7B0B">
        <w:t xml:space="preserve"> </w:t>
      </w:r>
      <w:r w:rsidRPr="00FD7B0B">
        <w:rPr>
          <w:rFonts w:ascii="Times New Roman" w:eastAsia="Times New Roman" w:hAnsi="Times New Roman" w:cs="Times New Roman"/>
          <w:sz w:val="28"/>
          <w:szCs w:val="28"/>
          <w:lang w:eastAsia="ru-RU"/>
        </w:rPr>
        <w:t xml:space="preserve">реализован минэкономразвития Архангельской области в рамках НП «Производительность </w:t>
      </w:r>
      <w:r w:rsidRPr="00FD7B0B">
        <w:rPr>
          <w:rFonts w:ascii="Times New Roman" w:eastAsia="Times New Roman" w:hAnsi="Times New Roman" w:cs="Times New Roman"/>
          <w:sz w:val="28"/>
          <w:szCs w:val="28"/>
          <w:lang w:eastAsia="ru-RU"/>
        </w:rPr>
        <w:lastRenderedPageBreak/>
        <w:t>труда».</w:t>
      </w:r>
      <w:r w:rsidRPr="00FD7B0B">
        <w:t xml:space="preserve"> </w:t>
      </w:r>
      <w:r w:rsidRPr="00FD7B0B">
        <w:rPr>
          <w:rFonts w:ascii="Times New Roman" w:hAnsi="Times New Roman" w:cs="Times New Roman"/>
          <w:sz w:val="28"/>
          <w:szCs w:val="28"/>
        </w:rPr>
        <w:t xml:space="preserve">На реализацию РП </w:t>
      </w:r>
      <w:r w:rsidRPr="00FD7B0B">
        <w:rPr>
          <w:rFonts w:ascii="Times New Roman" w:eastAsia="Times New Roman" w:hAnsi="Times New Roman" w:cs="Times New Roman"/>
          <w:sz w:val="28"/>
          <w:szCs w:val="28"/>
          <w:lang w:eastAsia="ru-RU"/>
        </w:rPr>
        <w:t>на 2024 год запланировано 8,9 млн.руб., из них: средства федерального бюджета и прочие целевые средства – 4,2 млн.руб., средства областного бюджета – 4,7 млн.руб., израсходовано за отчетный период 8,9 млн.руб., что составляет 100 %.</w:t>
      </w:r>
      <w:r w:rsidRPr="00FD7B0B">
        <w:t xml:space="preserve"> </w:t>
      </w:r>
      <w:r w:rsidRPr="00FD7B0B">
        <w:rPr>
          <w:rFonts w:ascii="Times New Roman" w:hAnsi="Times New Roman" w:cs="Times New Roman"/>
          <w:sz w:val="28"/>
          <w:szCs w:val="28"/>
        </w:rPr>
        <w:t xml:space="preserve">На реализацию мероприятий (результатов) госпрограммы </w:t>
      </w:r>
      <w:r w:rsidRPr="00FD7B0B">
        <w:rPr>
          <w:rFonts w:ascii="Times New Roman" w:eastAsia="Times New Roman" w:hAnsi="Times New Roman" w:cs="Times New Roman"/>
          <w:sz w:val="28"/>
          <w:szCs w:val="28"/>
          <w:lang w:eastAsia="ru-RU"/>
        </w:rPr>
        <w:t>между минэкономразвития Архангельской области и АНО «АРР» заключены соглашения от 25.06.2024 № 40-2024-001618 на сумму 4,2 млн.руб. и от 05.12.2024 № РЦК-2024 на сумму 4,7 млн.руб.</w:t>
      </w:r>
      <w:r w:rsidRPr="00FD7B0B">
        <w:t xml:space="preserve"> </w:t>
      </w:r>
      <w:r w:rsidRPr="00FD7B0B">
        <w:rPr>
          <w:rFonts w:ascii="Times New Roman" w:eastAsia="Times New Roman" w:hAnsi="Times New Roman" w:cs="Times New Roman"/>
          <w:sz w:val="28"/>
          <w:szCs w:val="28"/>
          <w:lang w:eastAsia="ru-RU"/>
        </w:rPr>
        <w:t>За отчетный период реализация 2 мероприятий и контрольных точек РП осуществлялась без нарушения плана.</w:t>
      </w:r>
    </w:p>
    <w:p w14:paraId="3C1A1766"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6) Региональный проект «Создание сети современных кампусов». Создание студенческого кампуса мирового уровня «Арктическая звезда» осуществляется в рамках федерального проекта «Создание сети современных кампусов» национального проекта «Наука и университеты».</w:t>
      </w:r>
    </w:p>
    <w:p w14:paraId="50006C49"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целях исполнения обязательств концедента согласно заключенному концессионному соглашению о финансировании, создании и эксплуатации студенческого кампуса мирового уровня «Арктическая звезда», минэкономразвития Архангельской области направлены средства ООО «Арктическая звезда» на выплату капитального гранта в соответствии с концессионным соглашением.</w:t>
      </w:r>
    </w:p>
    <w:p w14:paraId="3B470A41" w14:textId="47045A4D"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Всего запланировано в рамках мероприятий РП - 450,0 млн.руб.,</w:t>
      </w:r>
      <w:r w:rsidRPr="00FD7B0B">
        <w:t xml:space="preserve"> </w:t>
      </w:r>
      <w:r w:rsidRPr="00FD7B0B">
        <w:rPr>
          <w:rFonts w:ascii="Times New Roman" w:eastAsia="Times New Roman" w:hAnsi="Times New Roman" w:cs="Times New Roman"/>
          <w:sz w:val="28"/>
          <w:szCs w:val="28"/>
          <w:lang w:eastAsia="ru-RU"/>
        </w:rPr>
        <w:t>израсходованы средства бюджета в размере 450,0 млн.руб., что составляет 100,0</w:t>
      </w:r>
      <w:r w:rsidR="00EC0BCF"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 За отчетный период реализация 2 мероприятий и контрольных точек РП осуществлялась без нарушения плана.</w:t>
      </w:r>
    </w:p>
    <w:p w14:paraId="2F61425F" w14:textId="31FDEE12"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7) Региональный проект «Стимулирование спроса на отечественные беспилотные авиационные системы (Архангельская область)». РП реализован в рамках нацпроекта «Беспилотные авиационные системы» в 2 мероприятиях.</w:t>
      </w:r>
      <w:r w:rsidRPr="00FD7B0B">
        <w:rPr>
          <w:rFonts w:ascii="Times New Roman" w:hAnsi="Times New Roman" w:cs="Times New Roman"/>
          <w:sz w:val="28"/>
          <w:szCs w:val="28"/>
        </w:rPr>
        <w:t xml:space="preserve"> Расходы </w:t>
      </w:r>
      <w:r w:rsidRPr="00FD7B0B">
        <w:rPr>
          <w:rFonts w:ascii="Times New Roman" w:eastAsia="Times New Roman" w:hAnsi="Times New Roman" w:cs="Times New Roman"/>
          <w:sz w:val="28"/>
          <w:szCs w:val="28"/>
          <w:lang w:eastAsia="ru-RU"/>
        </w:rPr>
        <w:t xml:space="preserve">на реализацию РП на 2024 год утверждены уточненным планом в сумме 308,1 млн.руб., из них: средства федерального бюджета и прочие целевые средства – 303,1 млн.руб., средства областного бюджета – 5,0 млн.руб. Общее исполнение по РП составило 278,1 млн.руб. или 90,3 % </w:t>
      </w:r>
      <w:r w:rsidR="00EC0BCF" w:rsidRPr="00FD7B0B">
        <w:rPr>
          <w:rFonts w:ascii="Times New Roman" w:eastAsia="Times New Roman" w:hAnsi="Times New Roman" w:cs="Times New Roman"/>
          <w:sz w:val="28"/>
          <w:szCs w:val="28"/>
          <w:lang w:eastAsia="ru-RU"/>
        </w:rPr>
        <w:t>уточненного плана, в том числе:</w:t>
      </w:r>
    </w:p>
    <w:p w14:paraId="413BF96C" w14:textId="729F767F"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министерству природных ресурсов и ЛПК Архангельской области (далее – министерство) утверждено 60,0 млн.руб., исполнено – 30,0 млн.руб. (50,0 % к уточненному плану). В связи необходимостью поиска новых поставщиков комплектующих изделий и выстраивания новых логистических цепочек из-за введенных санкционных ограничений в отношении производителя БАС поставка 40 БАС перенесена на 1 квартал 2025 года.</w:t>
      </w:r>
      <w:r w:rsidRPr="00FD7B0B">
        <w:t xml:space="preserve"> </w:t>
      </w:r>
      <w:r w:rsidRPr="00FD7B0B">
        <w:rPr>
          <w:rFonts w:ascii="Times New Roman" w:eastAsia="Times New Roman" w:hAnsi="Times New Roman" w:cs="Times New Roman"/>
          <w:sz w:val="28"/>
          <w:szCs w:val="28"/>
          <w:lang w:eastAsia="ru-RU"/>
        </w:rPr>
        <w:t xml:space="preserve">За отчетный период реализация мероприятия «Приобретены беспилотные авиационные системы в целях осуществления мероприятий в области лесных отношений» осуществлена без нарушения плана. </w:t>
      </w:r>
      <w:r w:rsidRPr="00FD7B0B">
        <w:rPr>
          <w:rFonts w:ascii="Times New Roman" w:hAnsi="Times New Roman" w:cs="Times New Roman"/>
          <w:sz w:val="28"/>
          <w:szCs w:val="28"/>
        </w:rPr>
        <w:t xml:space="preserve">Вместе с тем </w:t>
      </w:r>
      <w:r w:rsidRPr="00FD7B0B">
        <w:rPr>
          <w:rFonts w:ascii="Times New Roman" w:eastAsia="Times New Roman" w:hAnsi="Times New Roman" w:cs="Times New Roman"/>
          <w:sz w:val="28"/>
          <w:szCs w:val="28"/>
          <w:lang w:eastAsia="ru-RU"/>
        </w:rPr>
        <w:t>нарушены 3 срока окончания (реализации) контрольных точек по мероприятию из 4 установленных или 75</w:t>
      </w:r>
      <w:r w:rsidR="00F81B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(внесение сведений о государственном контракте в реестр контрактов, приемка поставленных товаров и другие);</w:t>
      </w:r>
    </w:p>
    <w:p w14:paraId="34DC85F1" w14:textId="6A91ED4E"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по министерству образования Архангельской области (далее – министерство) – 248,1 млн.руб. или 100,0 % к уточненному годовому плану на оснащение образовательных организаций, реализующих основные </w:t>
      </w:r>
      <w:r w:rsidRPr="00FD7B0B">
        <w:rPr>
          <w:rFonts w:ascii="Times New Roman" w:eastAsia="Times New Roman" w:hAnsi="Times New Roman" w:cs="Times New Roman"/>
          <w:sz w:val="28"/>
          <w:szCs w:val="28"/>
          <w:lang w:eastAsia="ru-RU"/>
        </w:rPr>
        <w:lastRenderedPageBreak/>
        <w:t>общеобразовательные программы, оборудованием для реализации образовательных процессов по разработке, производству и эксплуатации БАС. За отчетный период реализация 1 мероприятия РП «Оснащены (БАС) образовательные организации, реализующие образовательные программы общего и среднего профессионального образования…» осуществлялась министерством без нарушения плана, для 18 образовательных организаций</w:t>
      </w:r>
      <w:r w:rsidRPr="00FD7B0B">
        <w:t xml:space="preserve"> </w:t>
      </w:r>
      <w:r w:rsidRPr="00FD7B0B">
        <w:rPr>
          <w:rFonts w:ascii="Times New Roman" w:eastAsia="Times New Roman" w:hAnsi="Times New Roman" w:cs="Times New Roman"/>
          <w:sz w:val="28"/>
          <w:szCs w:val="28"/>
          <w:lang w:eastAsia="ru-RU"/>
        </w:rPr>
        <w:t>закуплены квадрокоптеры, компьютерное оборудование, специализированная мебель, 3D-принтеры и иные инструменты. Вместе с тем за отчетный период нарушено 7 сроков окончания (реализации) контрольных точек по мероприятию из 11 установленных или 63,6</w:t>
      </w:r>
      <w:r w:rsidR="00F81B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(обучение педагогических работников в рамках мероприятия,</w:t>
      </w:r>
      <w:r w:rsidRPr="00FD7B0B">
        <w:t xml:space="preserve"> </w:t>
      </w:r>
      <w:r w:rsidRPr="00FD7B0B">
        <w:rPr>
          <w:rFonts w:ascii="Times New Roman" w:eastAsia="Times New Roman" w:hAnsi="Times New Roman" w:cs="Times New Roman"/>
          <w:sz w:val="28"/>
          <w:szCs w:val="28"/>
          <w:lang w:eastAsia="ru-RU"/>
        </w:rPr>
        <w:t>оснащение специализированных классов (кружков) или центров практической подготовки, открытие специализированных классов (кружков) и центров практической подготовки и другие);</w:t>
      </w:r>
    </w:p>
    <w:p w14:paraId="0B0B4300" w14:textId="5BF259C8"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8) Региональный проект «Развитие промышленности». Общий объем расходов по РП утвержден уточ</w:t>
      </w:r>
      <w:r w:rsidR="00F81B2E" w:rsidRPr="00FD7B0B">
        <w:rPr>
          <w:rFonts w:ascii="Times New Roman" w:eastAsia="Times New Roman" w:hAnsi="Times New Roman" w:cs="Times New Roman"/>
          <w:sz w:val="28"/>
          <w:szCs w:val="28"/>
          <w:lang w:eastAsia="ru-RU"/>
        </w:rPr>
        <w:t>ненным планом в сумме 91,9 млн.</w:t>
      </w:r>
      <w:r w:rsidRPr="00FD7B0B">
        <w:rPr>
          <w:rFonts w:ascii="Times New Roman" w:eastAsia="Times New Roman" w:hAnsi="Times New Roman" w:cs="Times New Roman"/>
          <w:sz w:val="28"/>
          <w:szCs w:val="28"/>
          <w:lang w:eastAsia="ru-RU"/>
        </w:rPr>
        <w:t>руб., из них: средства федерального бюджета и прочие целевые средства – 29,4 млн.руб., средства областного бюджета – 62,5 млн.руб Исполнение составило – 91,9 млн.руб. и</w:t>
      </w:r>
      <w:r w:rsidR="00F81B2E" w:rsidRPr="00FD7B0B">
        <w:rPr>
          <w:rFonts w:ascii="Times New Roman" w:eastAsia="Times New Roman" w:hAnsi="Times New Roman" w:cs="Times New Roman"/>
          <w:sz w:val="28"/>
          <w:szCs w:val="28"/>
          <w:lang w:eastAsia="ru-RU"/>
        </w:rPr>
        <w:t>ли 100,0 % к уточненному плану.</w:t>
      </w:r>
    </w:p>
    <w:p w14:paraId="4A15FF50" w14:textId="59CD38A8"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отчетном периоде Архангельская область участвовала в реализации ГП РФ «Развитие промышленности и повышение ее конкурентоспособности». Минэкономразвития Архангельской области с микрокредитной компанией Архангельский региональный фонд «Развитие» заключено соглашение о предоставлении из бюджета Архангельской области субсидии некоммерческой организации на сумму 49,</w:t>
      </w:r>
      <w:r w:rsidR="0038334B" w:rsidRPr="00FD7B0B">
        <w:rPr>
          <w:rFonts w:ascii="Times New Roman" w:eastAsia="Times New Roman" w:hAnsi="Times New Roman" w:cs="Times New Roman"/>
          <w:sz w:val="28"/>
          <w:szCs w:val="28"/>
          <w:lang w:eastAsia="ru-RU"/>
        </w:rPr>
        <w:t>4</w:t>
      </w:r>
      <w:r w:rsidRPr="00FD7B0B">
        <w:rPr>
          <w:rFonts w:ascii="Times New Roman" w:eastAsia="Times New Roman" w:hAnsi="Times New Roman" w:cs="Times New Roman"/>
          <w:sz w:val="28"/>
          <w:szCs w:val="28"/>
          <w:lang w:eastAsia="ru-RU"/>
        </w:rPr>
        <w:t xml:space="preserve"> млн.руб.</w:t>
      </w:r>
      <w:r w:rsidRPr="00FD7B0B">
        <w:t xml:space="preserve"> </w:t>
      </w:r>
      <w:r w:rsidRPr="00FD7B0B">
        <w:rPr>
          <w:rFonts w:ascii="Times New Roman" w:eastAsia="Times New Roman" w:hAnsi="Times New Roman" w:cs="Times New Roman"/>
          <w:sz w:val="28"/>
          <w:szCs w:val="28"/>
          <w:lang w:eastAsia="ru-RU"/>
        </w:rPr>
        <w:t>на докапитализацию регионального</w:t>
      </w:r>
      <w:r w:rsidR="00F81B2E" w:rsidRPr="00FD7B0B">
        <w:rPr>
          <w:rFonts w:ascii="Times New Roman" w:eastAsia="Times New Roman" w:hAnsi="Times New Roman" w:cs="Times New Roman"/>
          <w:sz w:val="28"/>
          <w:szCs w:val="28"/>
          <w:lang w:eastAsia="ru-RU"/>
        </w:rPr>
        <w:t xml:space="preserve"> Фонда развития промышленности.</w:t>
      </w:r>
    </w:p>
    <w:p w14:paraId="48F06F43"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 отчетный период реализация 10 мероприятий и контрольных точек РП осуществлялась без нарушения плана.</w:t>
      </w:r>
    </w:p>
    <w:p w14:paraId="4AE936F4" w14:textId="350A24E4"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9) Региональный проект «Реализация мероприятий плана социального развития центров экономического роста на территории Арктической зоны Российской Федерации». Общий объем расходов по РП утвержден уточнен</w:t>
      </w:r>
      <w:r w:rsidR="0008384B" w:rsidRPr="00FD7B0B">
        <w:rPr>
          <w:rFonts w:ascii="Times New Roman" w:eastAsia="Times New Roman" w:hAnsi="Times New Roman" w:cs="Times New Roman"/>
          <w:sz w:val="28"/>
          <w:szCs w:val="28"/>
          <w:lang w:eastAsia="ru-RU"/>
        </w:rPr>
        <w:t>ным планом в сумме 1 113,5 млн.</w:t>
      </w:r>
      <w:r w:rsidRPr="00FD7B0B">
        <w:rPr>
          <w:rFonts w:ascii="Times New Roman" w:eastAsia="Times New Roman" w:hAnsi="Times New Roman" w:cs="Times New Roman"/>
          <w:sz w:val="28"/>
          <w:szCs w:val="28"/>
          <w:lang w:eastAsia="ru-RU"/>
        </w:rPr>
        <w:t>руб., из них: средства федерального бюджета и прочие целевые средства – 1 002,1 млн.руб., средства областного бюджета – 114,4 млн.руб. Ис</w:t>
      </w:r>
      <w:r w:rsidR="0008384B" w:rsidRPr="00FD7B0B">
        <w:rPr>
          <w:rFonts w:ascii="Times New Roman" w:eastAsia="Times New Roman" w:hAnsi="Times New Roman" w:cs="Times New Roman"/>
          <w:sz w:val="28"/>
          <w:szCs w:val="28"/>
          <w:lang w:eastAsia="ru-RU"/>
        </w:rPr>
        <w:t>полнение составило 1 112,2 млн.</w:t>
      </w:r>
      <w:r w:rsidRPr="00FD7B0B">
        <w:rPr>
          <w:rFonts w:ascii="Times New Roman" w:eastAsia="Times New Roman" w:hAnsi="Times New Roman" w:cs="Times New Roman"/>
          <w:sz w:val="28"/>
          <w:szCs w:val="28"/>
          <w:lang w:eastAsia="ru-RU"/>
        </w:rPr>
        <w:t>руб</w:t>
      </w:r>
      <w:r w:rsidR="0008384B"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xml:space="preserve"> или 99,9 % к уточненному плану.</w:t>
      </w:r>
    </w:p>
    <w:p w14:paraId="6FEE11C5"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Средства направлены главным распорядителям, ответственным за реализацию мероприятий плана социального развития центров экономического роста Архангельской области:</w:t>
      </w:r>
    </w:p>
    <w:p w14:paraId="1B2C9852"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министерству ТЭК и ЖКХ Архангельской области в размере 361,3 млн.руб., из них: средства федерального бюджета и прочие целевые средства – 325,2 млн.руб., средства областного бюджета – 36,1 млн.руб. на реализацию следующих мероприятий:</w:t>
      </w:r>
    </w:p>
    <w:p w14:paraId="18DC4F0B" w14:textId="2C51CCA4"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реконструкция пл. Профсоюзов в г. Архангельске – 301,5 млн.руб. (средства федерального бюджета</w:t>
      </w:r>
      <w:r w:rsidRPr="00FD7B0B">
        <w:t xml:space="preserve"> </w:t>
      </w:r>
      <w:r w:rsidRPr="00FD7B0B">
        <w:rPr>
          <w:rFonts w:ascii="Times New Roman" w:eastAsia="Times New Roman" w:hAnsi="Times New Roman" w:cs="Times New Roman"/>
          <w:sz w:val="28"/>
          <w:szCs w:val="28"/>
          <w:lang w:eastAsia="ru-RU"/>
        </w:rPr>
        <w:t>и прочие целевые средства – 271,4 млн.руб.).</w:t>
      </w:r>
      <w:r w:rsidRPr="00FD7B0B">
        <w:t xml:space="preserve"> </w:t>
      </w:r>
      <w:r w:rsidRPr="00FD7B0B">
        <w:rPr>
          <w:rFonts w:ascii="Times New Roman" w:eastAsia="Times New Roman" w:hAnsi="Times New Roman" w:cs="Times New Roman"/>
          <w:sz w:val="28"/>
          <w:szCs w:val="28"/>
          <w:lang w:eastAsia="ru-RU"/>
        </w:rPr>
        <w:t xml:space="preserve">В 2024 году выполнены работы по реконструкции систем водоснабжения и дренажно-ливневой канализации, а также археологические работы. При </w:t>
      </w:r>
      <w:r w:rsidRPr="00FD7B0B">
        <w:rPr>
          <w:rFonts w:ascii="Times New Roman" w:eastAsia="Times New Roman" w:hAnsi="Times New Roman" w:cs="Times New Roman"/>
          <w:sz w:val="28"/>
          <w:szCs w:val="28"/>
          <w:lang w:eastAsia="ru-RU"/>
        </w:rPr>
        <w:lastRenderedPageBreak/>
        <w:t>выполнении строительно-монтажных работ обнаружены объекты, обладающий признаками культурного наследия, в связи с чем работы на объекте были приостановлены. Техническая готовность объекта – 6</w:t>
      </w:r>
      <w:r w:rsidR="0008384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получено повторное положительное заключение государственной экспертизы Архангельской области ПСД 13.12.2024 и 23.12.2024. На 31.12.2024 расходы составили 301,5 млн.руб. По паспорту РП окончательная дата реализации мероприятия указана - 2026 год. В то</w:t>
      </w:r>
      <w:r w:rsidR="0008384B"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же время нарушен срок окончания контрольной точки по проведению корректировки</w:t>
      </w:r>
      <w:r w:rsidR="0008384B" w:rsidRPr="00FD7B0B">
        <w:rPr>
          <w:rFonts w:ascii="Times New Roman" w:eastAsia="Times New Roman" w:hAnsi="Times New Roman" w:cs="Times New Roman"/>
          <w:sz w:val="28"/>
          <w:szCs w:val="28"/>
          <w:lang w:eastAsia="ru-RU"/>
        </w:rPr>
        <w:t xml:space="preserve"> проектно-сметной документации.</w:t>
      </w:r>
    </w:p>
    <w:p w14:paraId="56D116E3"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благоустройство общественной территории «Набережная Соломбалки с обеих сторон, от ул. Советской до просп. Никольского» – 59,8 млн.руб. (средства федерального бюджета и прочие целевые средства – 53,8 млн.руб.). Завершена реализация первого этапа проекта без нарушения контрольных точек мероприятия;</w:t>
      </w:r>
    </w:p>
    <w:p w14:paraId="2E67DDA7"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министерству здравоохранения Архангельской области в размере 194,7 млн.руб., из них: средства федерального бюджета и прочие целевые средства – 175,3 млн.руб., средства областного бюджета – 19,4 млн.руб., направлены на реализацию мероприятий:</w:t>
      </w:r>
    </w:p>
    <w:p w14:paraId="61AF2BAE" w14:textId="775FC67A"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«Поставка, монтаж и оснащение мобильных (инвентарных) зданий «Врачебная амбулатория», в том числе благоустройство прилегающей территории –п. Каменка ГБУЗ «Архангельская областная клиническая больница» - 36,3 млн.руб. Все работы по мероприятию завершены и приняты 27.11.2024. В тоже время нарушен срок окончания контрольной точки по проведению конкурсных процедур и заключению контракто</w:t>
      </w:r>
      <w:r w:rsidR="00BD1D26" w:rsidRPr="00FD7B0B">
        <w:rPr>
          <w:rFonts w:ascii="Times New Roman" w:eastAsia="Times New Roman" w:hAnsi="Times New Roman" w:cs="Times New Roman"/>
          <w:sz w:val="28"/>
          <w:szCs w:val="28"/>
          <w:lang w:eastAsia="ru-RU"/>
        </w:rPr>
        <w:t>в на приобретение оборудования;</w:t>
      </w:r>
    </w:p>
    <w:p w14:paraId="182B8E27"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«Капитальный ремонт здания центральной инфекционной больницы ГБУЗ «Архангельская областная клиническая больница», в том числе проведение строительного контроля при выполнении работ по капитальному ремонту» - 158,4 млн.руб. Окончание выполнения работ согласно контракту – 30.11.2025. В настоящее время продолжаются работы: по демонтажу перекрытия 2-го этажа, монтаж металлических балок 2-го этажа, заделка кирпичом отверстий от старых деревянных балок, установка каркаса для перегородок на 3-ем этаже. По паспорту РП окончательная дата реализации мероприятия указана - 2025 год;</w:t>
      </w:r>
    </w:p>
    <w:p w14:paraId="59F91CC6"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министерству образования Архангельской области направлено 302,2 млн.руб., из них: средства федерального бюджета и прочие целевые средства 272,0 млн.руб., средства областного бюджета – 30,2 млн. рублей на реализацию следующих мероприятий:</w:t>
      </w:r>
    </w:p>
    <w:p w14:paraId="44D1B105" w14:textId="0251001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«Капитальный ремонт здания ГБОУ ДО «Дворец детского и юношеского творчества», выполнение работ по благоустройству прилегающей территории с ремонтом и монтажом наружных инженерных сетей, устройство и оснащение оборудованием плоскостных сооружений, а также приобретение и монтаж оборудования, мебели, средств обучения и воспитания» - 173,7 млн.руб. По паспорту РП окончательная дата реализации мероприятия указана - 2025 год, при этом нарушены 3 срока окончания (реализации) контрольных точек по мероприятию из 4 установленных</w:t>
      </w:r>
      <w:r w:rsidRPr="00FD7B0B">
        <w:t xml:space="preserve"> </w:t>
      </w:r>
      <w:r w:rsidRPr="00FD7B0B">
        <w:rPr>
          <w:rFonts w:ascii="Times New Roman" w:eastAsia="Times New Roman" w:hAnsi="Times New Roman" w:cs="Times New Roman"/>
          <w:sz w:val="28"/>
          <w:szCs w:val="28"/>
          <w:lang w:eastAsia="ru-RU"/>
        </w:rPr>
        <w:t>или 75</w:t>
      </w:r>
      <w:r w:rsidR="00AE432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(нарушены сроки заключения контрактов на капитальный ремонт и благоустройство и другие);</w:t>
      </w:r>
    </w:p>
    <w:p w14:paraId="3B80E588" w14:textId="46F3CD44"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«Приобретение интерактивных панелей с рельсовыми системами, классной доской (или на мобильных стойках) в комплекте для оснащения общеобразовательных организаций в г. Архангельске, в г. Новодвинске, в г. Северодвинске, в Пинежском муниципальном округе». Для оснащения 56 образовательных учреждений Архангельской области приобретены 348 комплексов, включающих рельсовую систему (или на мобильной стойке) в комплекте с интерактивной панелью на сумму 128,</w:t>
      </w:r>
      <w:r w:rsidR="000938AC" w:rsidRPr="00FD7B0B">
        <w:rPr>
          <w:rFonts w:ascii="Times New Roman" w:eastAsia="Times New Roman" w:hAnsi="Times New Roman" w:cs="Times New Roman"/>
          <w:sz w:val="28"/>
          <w:szCs w:val="28"/>
          <w:lang w:eastAsia="ru-RU"/>
        </w:rPr>
        <w:t>1</w:t>
      </w:r>
      <w:r w:rsidRPr="00FD7B0B">
        <w:rPr>
          <w:rFonts w:ascii="Times New Roman" w:eastAsia="Times New Roman" w:hAnsi="Times New Roman" w:cs="Times New Roman"/>
          <w:sz w:val="28"/>
          <w:szCs w:val="28"/>
          <w:lang w:eastAsia="ru-RU"/>
        </w:rPr>
        <w:t xml:space="preserve"> млн.руб. Реализация мероприятия и контрольной точки осуществлялась без нарушения плана;</w:t>
      </w:r>
    </w:p>
    <w:p w14:paraId="5AF26EA4" w14:textId="44A41AB5"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министерству культуры Архангельской области направлено 87,8 млн.руб., из них: средства федерального бюджета и прочие целевые средства – 79,0 млн.руб., средства областного бюджета - 8,8 млн.руб. на оснащение ГБУК «Архангельская областная научная ордена «Знак Почета» библиотека имени Н.А. Добролюбова» мебелью, оборудованием, программным обеспечением, музыкальными инструментами и материальными запасами. Кассовый расход по состоянию на 31.12.2024 составил 87,</w:t>
      </w:r>
      <w:r w:rsidR="0008187B" w:rsidRPr="00FD7B0B">
        <w:rPr>
          <w:rFonts w:ascii="Times New Roman" w:eastAsia="Times New Roman" w:hAnsi="Times New Roman" w:cs="Times New Roman"/>
          <w:sz w:val="28"/>
          <w:szCs w:val="28"/>
          <w:lang w:eastAsia="ru-RU"/>
        </w:rPr>
        <w:t>8</w:t>
      </w:r>
      <w:r w:rsidRPr="00FD7B0B">
        <w:rPr>
          <w:rFonts w:ascii="Times New Roman" w:eastAsia="Times New Roman" w:hAnsi="Times New Roman" w:cs="Times New Roman"/>
          <w:sz w:val="28"/>
          <w:szCs w:val="28"/>
          <w:lang w:eastAsia="ru-RU"/>
        </w:rPr>
        <w:t xml:space="preserve"> млн.руб., или </w:t>
      </w:r>
      <w:r w:rsidR="0008187B" w:rsidRPr="00FD7B0B">
        <w:rPr>
          <w:rFonts w:ascii="Times New Roman" w:eastAsia="Times New Roman" w:hAnsi="Times New Roman" w:cs="Times New Roman"/>
          <w:sz w:val="28"/>
          <w:szCs w:val="28"/>
          <w:lang w:eastAsia="ru-RU"/>
        </w:rPr>
        <w:t>100,0</w:t>
      </w:r>
      <w:r w:rsidRPr="00FD7B0B">
        <w:rPr>
          <w:rFonts w:ascii="Times New Roman" w:eastAsia="Times New Roman" w:hAnsi="Times New Roman" w:cs="Times New Roman"/>
          <w:sz w:val="28"/>
          <w:szCs w:val="28"/>
          <w:lang w:eastAsia="ru-RU"/>
        </w:rPr>
        <w:t xml:space="preserve"> % </w:t>
      </w:r>
      <w:r w:rsidR="0008187B" w:rsidRPr="00FD7B0B">
        <w:rPr>
          <w:rFonts w:ascii="Times New Roman" w:eastAsia="Times New Roman" w:hAnsi="Times New Roman" w:cs="Times New Roman"/>
          <w:sz w:val="28"/>
          <w:szCs w:val="28"/>
          <w:lang w:eastAsia="ru-RU"/>
        </w:rPr>
        <w:t>к</w:t>
      </w:r>
      <w:r w:rsidRPr="00FD7B0B">
        <w:rPr>
          <w:rFonts w:ascii="Times New Roman" w:eastAsia="Times New Roman" w:hAnsi="Times New Roman" w:cs="Times New Roman"/>
          <w:sz w:val="28"/>
          <w:szCs w:val="28"/>
          <w:lang w:eastAsia="ru-RU"/>
        </w:rPr>
        <w:t xml:space="preserve"> уточненно</w:t>
      </w:r>
      <w:r w:rsidR="0008187B" w:rsidRPr="00FD7B0B">
        <w:rPr>
          <w:rFonts w:ascii="Times New Roman" w:eastAsia="Times New Roman" w:hAnsi="Times New Roman" w:cs="Times New Roman"/>
          <w:sz w:val="28"/>
          <w:szCs w:val="28"/>
          <w:lang w:eastAsia="ru-RU"/>
        </w:rPr>
        <w:t>му</w:t>
      </w:r>
      <w:r w:rsidRPr="00FD7B0B">
        <w:rPr>
          <w:rFonts w:ascii="Times New Roman" w:eastAsia="Times New Roman" w:hAnsi="Times New Roman" w:cs="Times New Roman"/>
          <w:sz w:val="28"/>
          <w:szCs w:val="28"/>
          <w:lang w:eastAsia="ru-RU"/>
        </w:rPr>
        <w:t xml:space="preserve"> план</w:t>
      </w:r>
      <w:r w:rsidR="0008187B" w:rsidRPr="00FD7B0B">
        <w:rPr>
          <w:rFonts w:ascii="Times New Roman" w:eastAsia="Times New Roman" w:hAnsi="Times New Roman" w:cs="Times New Roman"/>
          <w:sz w:val="28"/>
          <w:szCs w:val="28"/>
          <w:lang w:eastAsia="ru-RU"/>
        </w:rPr>
        <w:t>у</w:t>
      </w:r>
      <w:r w:rsidRPr="00FD7B0B">
        <w:rPr>
          <w:rFonts w:ascii="Times New Roman" w:eastAsia="Times New Roman" w:hAnsi="Times New Roman" w:cs="Times New Roman"/>
          <w:sz w:val="28"/>
          <w:szCs w:val="28"/>
          <w:lang w:eastAsia="ru-RU"/>
        </w:rPr>
        <w:t>.</w:t>
      </w:r>
      <w:r w:rsidRPr="00FD7B0B">
        <w:t xml:space="preserve"> </w:t>
      </w:r>
      <w:r w:rsidRPr="00FD7B0B">
        <w:rPr>
          <w:rFonts w:ascii="Times New Roman" w:eastAsia="Times New Roman" w:hAnsi="Times New Roman" w:cs="Times New Roman"/>
          <w:sz w:val="28"/>
          <w:szCs w:val="28"/>
          <w:lang w:eastAsia="ru-RU"/>
        </w:rPr>
        <w:t>Реализация мероприятия и контрольной точки осуществлялась без нарушения плана;</w:t>
      </w:r>
    </w:p>
    <w:p w14:paraId="218B7A6C"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министерству спорта Архангельской области направлено 119,5 млн.руб. или 100,0 % уточненного плана, из них: средства федерального бюджета</w:t>
      </w:r>
      <w:r w:rsidRPr="00FD7B0B">
        <w:t xml:space="preserve"> </w:t>
      </w:r>
      <w:r w:rsidRPr="00FD7B0B">
        <w:rPr>
          <w:rFonts w:ascii="Times New Roman" w:eastAsia="Times New Roman" w:hAnsi="Times New Roman" w:cs="Times New Roman"/>
          <w:sz w:val="28"/>
          <w:szCs w:val="28"/>
          <w:lang w:eastAsia="ru-RU"/>
        </w:rPr>
        <w:t>и прочие целевые средства – 107,5 млн. рублей, средства областного бюджета – 12,0 млн.руб. на модернизацию и оснащение стадиона им. В.С. Кузина.</w:t>
      </w:r>
      <w:r w:rsidRPr="00FD7B0B">
        <w:t xml:space="preserve"> </w:t>
      </w:r>
      <w:r w:rsidRPr="00FD7B0B">
        <w:rPr>
          <w:rFonts w:ascii="Times New Roman" w:eastAsia="Times New Roman" w:hAnsi="Times New Roman" w:cs="Times New Roman"/>
          <w:sz w:val="28"/>
          <w:szCs w:val="28"/>
          <w:lang w:eastAsia="ru-RU"/>
        </w:rPr>
        <w:t>Запланированные работы выполнены в полном объеме.</w:t>
      </w:r>
      <w:r w:rsidRPr="00FD7B0B">
        <w:t xml:space="preserve"> </w:t>
      </w:r>
      <w:r w:rsidRPr="00FD7B0B">
        <w:rPr>
          <w:rFonts w:ascii="Times New Roman" w:eastAsia="Times New Roman" w:hAnsi="Times New Roman" w:cs="Times New Roman"/>
          <w:sz w:val="28"/>
          <w:szCs w:val="28"/>
          <w:lang w:eastAsia="ru-RU"/>
        </w:rPr>
        <w:t>Реализация мероприятия и контрольных точек осуществлялась без нарушения плана;</w:t>
      </w:r>
    </w:p>
    <w:p w14:paraId="7EE449D6" w14:textId="77777777" w:rsidR="00AD4D1E" w:rsidRPr="00FD7B0B" w:rsidRDefault="00AD4D1E" w:rsidP="00AD4D1E">
      <w:pPr>
        <w:spacing w:after="0" w:line="320" w:lineRule="atLeast"/>
        <w:ind w:firstLine="709"/>
        <w:jc w:val="both"/>
        <w:rPr>
          <w:rFonts w:ascii="Times New Roman" w:eastAsia="SimSun" w:hAnsi="Times New Roman" w:cs="Times New Roman"/>
          <w:iCs/>
          <w:sz w:val="28"/>
          <w:szCs w:val="28"/>
          <w:lang w:eastAsia="ru-RU"/>
        </w:rPr>
      </w:pPr>
      <w:r w:rsidRPr="00FD7B0B">
        <w:rPr>
          <w:rFonts w:ascii="Times New Roman" w:eastAsia="SimSun" w:hAnsi="Times New Roman" w:cs="Times New Roman"/>
          <w:iCs/>
          <w:sz w:val="28"/>
          <w:szCs w:val="28"/>
          <w:lang w:eastAsia="ru-RU"/>
        </w:rPr>
        <w:t>министерству транспорта Архангельской области</w:t>
      </w:r>
      <w:r w:rsidRPr="00FD7B0B">
        <w:rPr>
          <w:rFonts w:ascii="Times New Roman" w:eastAsia="SimSun" w:hAnsi="Times New Roman" w:cs="Times New Roman"/>
          <w:b/>
          <w:iCs/>
          <w:sz w:val="28"/>
          <w:szCs w:val="28"/>
          <w:lang w:eastAsia="ru-RU"/>
        </w:rPr>
        <w:t xml:space="preserve"> </w:t>
      </w:r>
      <w:r w:rsidRPr="00FD7B0B">
        <w:rPr>
          <w:rFonts w:ascii="Times New Roman" w:eastAsia="SimSun" w:hAnsi="Times New Roman" w:cs="Times New Roman"/>
          <w:iCs/>
          <w:sz w:val="28"/>
          <w:szCs w:val="28"/>
          <w:lang w:eastAsia="ru-RU"/>
        </w:rPr>
        <w:t>на</w:t>
      </w:r>
      <w:r w:rsidRPr="00FD7B0B">
        <w:rPr>
          <w:rFonts w:ascii="Times New Roman" w:eastAsia="SimSun" w:hAnsi="Times New Roman" w:cs="Times New Roman"/>
          <w:b/>
          <w:iCs/>
          <w:sz w:val="28"/>
          <w:szCs w:val="28"/>
          <w:lang w:eastAsia="ru-RU"/>
        </w:rPr>
        <w:t xml:space="preserve"> </w:t>
      </w:r>
      <w:r w:rsidRPr="00FD7B0B">
        <w:rPr>
          <w:rFonts w:ascii="Times New Roman" w:eastAsia="SimSun" w:hAnsi="Times New Roman" w:cs="Times New Roman"/>
          <w:iCs/>
          <w:sz w:val="28"/>
          <w:szCs w:val="28"/>
          <w:lang w:eastAsia="ru-RU"/>
        </w:rPr>
        <w:t>строительство автомобильного проезда к школе на 860 мест в территориальном округе Майская горка предусмотрено 47,9 млн.руб., из них: средства федерального бюджета – 43,1 млн.руб., средства областного бюджета – 4,8 млн.руб. Кассовый расход составил 47,1 млн.руб., или 98,3 % уточненного плана. В 2024 году выполнены все запланированные работы по устройству асфальтобетонного покрытия проезда и тротуара с учетом водоотвода, устройству мест для посадки и высадки пассажиров, а также благоустройству территории, устройству наружного освещения</w:t>
      </w:r>
      <w:bookmarkStart w:id="145" w:name="undefined"/>
      <w:r w:rsidRPr="00FD7B0B">
        <w:rPr>
          <w:rFonts w:ascii="Times New Roman" w:eastAsia="SimSun" w:hAnsi="Times New Roman" w:cs="Times New Roman"/>
          <w:iCs/>
          <w:sz w:val="28"/>
          <w:szCs w:val="28"/>
          <w:lang w:eastAsia="ru-RU"/>
        </w:rPr>
        <w:t>. Объект введен в эксплуатацию. Реализация мероприятия и контрольной точки осуществлялась без нарушения плана.</w:t>
      </w:r>
    </w:p>
    <w:bookmarkEnd w:id="145"/>
    <w:p w14:paraId="16F19752" w14:textId="42E68EB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За отчетный период реализация 9 мероприятий РП осуществлена без нарушения плана, но с нарушением сроков окончания (реализации) контрольных точек по </w:t>
      </w:r>
      <w:r w:rsidR="008012C2" w:rsidRPr="00FD7B0B">
        <w:rPr>
          <w:rFonts w:ascii="Times New Roman" w:eastAsia="Times New Roman" w:hAnsi="Times New Roman" w:cs="Times New Roman"/>
          <w:sz w:val="28"/>
          <w:szCs w:val="28"/>
          <w:lang w:eastAsia="ru-RU"/>
        </w:rPr>
        <w:t>вышеперечисленным мероприятиям.</w:t>
      </w:r>
    </w:p>
    <w:p w14:paraId="4D46F2F0"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10) Региональный проект «Системные меры развития международной кооперации и экспорта».</w:t>
      </w:r>
      <w:r w:rsidRPr="00FD7B0B">
        <w:t xml:space="preserve"> </w:t>
      </w:r>
      <w:r w:rsidRPr="00FD7B0B">
        <w:rPr>
          <w:rFonts w:ascii="Times New Roman" w:eastAsia="Times New Roman" w:hAnsi="Times New Roman" w:cs="Times New Roman"/>
          <w:sz w:val="28"/>
          <w:szCs w:val="28"/>
          <w:lang w:eastAsia="ru-RU"/>
        </w:rPr>
        <w:t>Региональный проект реализован в рамках национального проекта «Международная кооперация и экспорт».</w:t>
      </w:r>
      <w:r w:rsidRPr="00FD7B0B">
        <w:t xml:space="preserve"> </w:t>
      </w:r>
      <w:r w:rsidRPr="00FD7B0B">
        <w:rPr>
          <w:rFonts w:ascii="Times New Roman" w:eastAsia="Times New Roman" w:hAnsi="Times New Roman" w:cs="Times New Roman"/>
          <w:sz w:val="28"/>
          <w:szCs w:val="28"/>
          <w:lang w:eastAsia="ru-RU"/>
        </w:rPr>
        <w:t>На реализацию данного РП в госпрограмме на 2024 год финансовые средства не предусмотрены.</w:t>
      </w:r>
      <w:r w:rsidRPr="00FD7B0B">
        <w:t xml:space="preserve"> </w:t>
      </w:r>
      <w:r w:rsidRPr="00FD7B0B">
        <w:rPr>
          <w:rFonts w:ascii="Times New Roman" w:eastAsia="Times New Roman" w:hAnsi="Times New Roman" w:cs="Times New Roman"/>
          <w:sz w:val="28"/>
          <w:szCs w:val="28"/>
          <w:lang w:eastAsia="ru-RU"/>
        </w:rPr>
        <w:t>За отчетный период реализация 2 мероприятий и контрольных точек РП осуществлялась без нарушения плана.</w:t>
      </w:r>
    </w:p>
    <w:p w14:paraId="35E2CC56"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763BF357" w14:textId="77777777" w:rsidR="00420A00" w:rsidRPr="00FD7B0B" w:rsidRDefault="00420A00" w:rsidP="00AD4D1E">
      <w:pPr>
        <w:spacing w:after="0" w:line="240" w:lineRule="auto"/>
        <w:ind w:firstLine="709"/>
        <w:jc w:val="both"/>
        <w:rPr>
          <w:rFonts w:ascii="Times New Roman" w:eastAsia="Times New Roman" w:hAnsi="Times New Roman" w:cs="Times New Roman"/>
          <w:b/>
          <w:sz w:val="28"/>
          <w:szCs w:val="28"/>
          <w:lang w:eastAsia="ru-RU"/>
        </w:rPr>
      </w:pPr>
    </w:p>
    <w:p w14:paraId="74F34EEF" w14:textId="77777777" w:rsidR="00420A00" w:rsidRPr="00FD7B0B" w:rsidRDefault="00420A00" w:rsidP="00AD4D1E">
      <w:pPr>
        <w:spacing w:after="0" w:line="240" w:lineRule="auto"/>
        <w:ind w:firstLine="709"/>
        <w:jc w:val="both"/>
        <w:rPr>
          <w:rFonts w:ascii="Times New Roman" w:eastAsia="Times New Roman" w:hAnsi="Times New Roman" w:cs="Times New Roman"/>
          <w:b/>
          <w:sz w:val="28"/>
          <w:szCs w:val="28"/>
          <w:lang w:eastAsia="ru-RU"/>
        </w:rPr>
      </w:pPr>
    </w:p>
    <w:p w14:paraId="58C5CF57" w14:textId="77777777" w:rsidR="00AD4D1E" w:rsidRPr="00FD7B0B" w:rsidRDefault="00AD4D1E" w:rsidP="00AD4D1E">
      <w:pPr>
        <w:spacing w:after="0" w:line="240" w:lineRule="auto"/>
        <w:ind w:firstLine="709"/>
        <w:jc w:val="both"/>
        <w:rPr>
          <w:rFonts w:ascii="Times New Roman" w:eastAsia="Times New Roman" w:hAnsi="Times New Roman" w:cs="Times New Roman"/>
          <w:b/>
          <w:sz w:val="28"/>
          <w:szCs w:val="28"/>
          <w:lang w:eastAsia="ru-RU"/>
        </w:rPr>
      </w:pPr>
      <w:r w:rsidRPr="00FD7B0B">
        <w:rPr>
          <w:rFonts w:ascii="Times New Roman" w:eastAsia="Times New Roman" w:hAnsi="Times New Roman" w:cs="Times New Roman"/>
          <w:b/>
          <w:sz w:val="28"/>
          <w:szCs w:val="28"/>
          <w:lang w:eastAsia="ru-RU"/>
        </w:rPr>
        <w:lastRenderedPageBreak/>
        <w:t xml:space="preserve">КПМ «Экономическое и научное развитие Архангельской области» </w:t>
      </w:r>
    </w:p>
    <w:p w14:paraId="37B01D1D" w14:textId="11947598"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Общий объем расходов на реализацию КПМ утвержден за счет средств областного бюджета в сумме 600,1 млн.руб. За 2024 год исполнение составило 598,7 млн.руб. или 99,8 % к уточненному план</w:t>
      </w:r>
      <w:r w:rsidR="008012C2" w:rsidRPr="00FD7B0B">
        <w:rPr>
          <w:rFonts w:ascii="Times New Roman" w:eastAsia="Times New Roman" w:hAnsi="Times New Roman" w:cs="Times New Roman"/>
          <w:sz w:val="28"/>
          <w:szCs w:val="28"/>
          <w:lang w:eastAsia="ru-RU"/>
        </w:rPr>
        <w:t>у. Реализацию КПМ осуществляли:</w:t>
      </w:r>
    </w:p>
    <w:p w14:paraId="7A59B993"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минэкономразвития Архангельской области – 307,8 млн.руб. или 99,7 % уточненного плана;</w:t>
      </w:r>
    </w:p>
    <w:p w14:paraId="5F3126A6"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министерство науки, высшей школы и научно-технологического развития Архангельской области – 111,6 млн.руб. или 100,0 % уточненного плана;</w:t>
      </w:r>
    </w:p>
    <w:p w14:paraId="7BA49E05"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агентство по тарифам и ценам Архангельской области – 84,0 млн.руб. или 99,4 % уточненного плана;</w:t>
      </w:r>
    </w:p>
    <w:p w14:paraId="754F1F59"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контрактное агентство Архангельской области – 95,2 млн.руб. или 99,9 % уточненного плана.</w:t>
      </w:r>
    </w:p>
    <w:p w14:paraId="77728B25"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рамках мероприятий КПМ заключены соглашения о предоставлении субсидии из областного бюджета бюджетам муниципальных образований Архангельской области на доставку муки и лекарственных средств в районы Крайнего Севера и приравненные к ним местности с ограниченными сроками завоза грузов. Соглашения заключены с Ленским муниципальным районом, Верхнетоемским, Лешуконским, Мезенским, Пинежским, Приморским, Шенкурским муниципальными округами Архангельской области.</w:t>
      </w:r>
    </w:p>
    <w:p w14:paraId="0051075A" w14:textId="6CD5BBD1"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За отчетный период из 16 предусмотренных реализация 2 мероприятий о</w:t>
      </w:r>
      <w:r w:rsidR="008012C2" w:rsidRPr="00FD7B0B">
        <w:rPr>
          <w:rFonts w:ascii="Times New Roman" w:eastAsia="Times New Roman" w:hAnsi="Times New Roman" w:cs="Times New Roman"/>
          <w:sz w:val="28"/>
          <w:szCs w:val="28"/>
          <w:lang w:eastAsia="ru-RU"/>
        </w:rPr>
        <w:t>существлена с нарушением плана.</w:t>
      </w:r>
    </w:p>
    <w:p w14:paraId="3F93B361" w14:textId="4C393EEC"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Информация о причинах невыполнения меро</w:t>
      </w:r>
      <w:r w:rsidR="008012C2" w:rsidRPr="00FD7B0B">
        <w:rPr>
          <w:rFonts w:ascii="Times New Roman" w:eastAsia="Times New Roman" w:hAnsi="Times New Roman" w:cs="Times New Roman"/>
          <w:sz w:val="28"/>
          <w:szCs w:val="28"/>
          <w:lang w:eastAsia="ru-RU"/>
        </w:rPr>
        <w:t>приятий, приведена в таблице</w:t>
      </w:r>
      <w:r w:rsidR="00420A00" w:rsidRPr="00FD7B0B">
        <w:rPr>
          <w:rFonts w:ascii="Times New Roman" w:eastAsia="Times New Roman" w:hAnsi="Times New Roman" w:cs="Times New Roman"/>
          <w:sz w:val="28"/>
          <w:szCs w:val="28"/>
          <w:lang w:eastAsia="ru-RU"/>
        </w:rPr>
        <w:t> 217</w:t>
      </w:r>
      <w:r w:rsidRPr="00FD7B0B">
        <w:rPr>
          <w:rFonts w:ascii="Times New Roman" w:eastAsia="Times New Roman" w:hAnsi="Times New Roman" w:cs="Times New Roman"/>
          <w:sz w:val="28"/>
          <w:szCs w:val="28"/>
          <w:lang w:eastAsia="ru-RU"/>
        </w:rPr>
        <w:t>.</w:t>
      </w:r>
    </w:p>
    <w:p w14:paraId="4679F8EB" w14:textId="77777777" w:rsidR="008012C2" w:rsidRPr="00FD7B0B" w:rsidRDefault="008012C2" w:rsidP="008012C2">
      <w:pPr>
        <w:spacing w:after="0" w:line="240" w:lineRule="auto"/>
        <w:rPr>
          <w:rFonts w:ascii="Times New Roman" w:hAnsi="Times New Roman"/>
          <w:sz w:val="24"/>
          <w:szCs w:val="24"/>
        </w:rPr>
      </w:pPr>
    </w:p>
    <w:p w14:paraId="2055661C" w14:textId="0F90F0FE" w:rsidR="00AD4D1E" w:rsidRPr="00FD7B0B" w:rsidRDefault="008012C2" w:rsidP="008012C2">
      <w:pPr>
        <w:spacing w:after="0" w:line="240" w:lineRule="auto"/>
        <w:rPr>
          <w:rFonts w:ascii="Times New Roman" w:hAnsi="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217</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AD4D1E" w:rsidRPr="00FD7B0B">
        <w:rPr>
          <w:rFonts w:ascii="Times New Roman" w:hAnsi="Times New Roman"/>
          <w:sz w:val="24"/>
          <w:szCs w:val="24"/>
        </w:rPr>
        <w:t>Информация о невыполнении значений мероприятий (результатов) по КПМ ГП АО № 26 за 2024 год.</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1"/>
        <w:gridCol w:w="1134"/>
        <w:gridCol w:w="1134"/>
        <w:gridCol w:w="1276"/>
        <w:gridCol w:w="709"/>
        <w:gridCol w:w="851"/>
      </w:tblGrid>
      <w:tr w:rsidR="00FD7B0B" w:rsidRPr="00FD7B0B" w14:paraId="5DACBC87" w14:textId="77777777" w:rsidTr="000F121E">
        <w:trPr>
          <w:trHeight w:val="571"/>
          <w:tblHeader/>
        </w:trPr>
        <w:tc>
          <w:tcPr>
            <w:tcW w:w="4521" w:type="dxa"/>
            <w:vMerge w:val="restart"/>
            <w:tcBorders>
              <w:top w:val="double" w:sz="4" w:space="0" w:color="auto"/>
              <w:left w:val="double" w:sz="4" w:space="0" w:color="auto"/>
            </w:tcBorders>
            <w:shd w:val="clear" w:color="auto" w:fill="auto"/>
          </w:tcPr>
          <w:p w14:paraId="073B082F"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Наименование мероприятия (результата),</w:t>
            </w:r>
          </w:p>
          <w:p w14:paraId="7EB5958A"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контрольной точки</w:t>
            </w:r>
          </w:p>
        </w:tc>
        <w:tc>
          <w:tcPr>
            <w:tcW w:w="2268" w:type="dxa"/>
            <w:gridSpan w:val="2"/>
            <w:tcBorders>
              <w:top w:val="double" w:sz="4" w:space="0" w:color="auto"/>
            </w:tcBorders>
            <w:shd w:val="clear" w:color="auto" w:fill="auto"/>
          </w:tcPr>
          <w:p w14:paraId="1736BE41"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Срок окончания реализации мероприятия (результата),</w:t>
            </w:r>
          </w:p>
          <w:p w14:paraId="2A2D857A"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контрольной точки</w:t>
            </w:r>
          </w:p>
        </w:tc>
        <w:tc>
          <w:tcPr>
            <w:tcW w:w="1276" w:type="dxa"/>
            <w:vMerge w:val="restart"/>
            <w:tcBorders>
              <w:top w:val="double" w:sz="4" w:space="0" w:color="auto"/>
            </w:tcBorders>
            <w:shd w:val="clear" w:color="auto" w:fill="auto"/>
          </w:tcPr>
          <w:p w14:paraId="2F666633"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Единица измерения мероприятия (результата)</w:t>
            </w:r>
          </w:p>
        </w:tc>
        <w:tc>
          <w:tcPr>
            <w:tcW w:w="1560" w:type="dxa"/>
            <w:gridSpan w:val="2"/>
            <w:tcBorders>
              <w:top w:val="double" w:sz="4" w:space="0" w:color="auto"/>
              <w:bottom w:val="nil"/>
              <w:right w:val="double" w:sz="4" w:space="0" w:color="auto"/>
            </w:tcBorders>
            <w:shd w:val="clear" w:color="auto" w:fill="auto"/>
          </w:tcPr>
          <w:p w14:paraId="066B73F2"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 xml:space="preserve">Значение </w:t>
            </w:r>
          </w:p>
          <w:p w14:paraId="634BADFB"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мероприятия (результата)</w:t>
            </w:r>
          </w:p>
        </w:tc>
      </w:tr>
      <w:tr w:rsidR="00FD7B0B" w:rsidRPr="00FD7B0B" w14:paraId="76F62691" w14:textId="77777777" w:rsidTr="000F121E">
        <w:trPr>
          <w:trHeight w:val="41"/>
          <w:tblHeader/>
        </w:trPr>
        <w:tc>
          <w:tcPr>
            <w:tcW w:w="4521" w:type="dxa"/>
            <w:vMerge/>
            <w:tcBorders>
              <w:left w:val="double" w:sz="4" w:space="0" w:color="auto"/>
            </w:tcBorders>
            <w:shd w:val="clear" w:color="auto" w:fill="auto"/>
          </w:tcPr>
          <w:p w14:paraId="46C96B12"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p>
        </w:tc>
        <w:tc>
          <w:tcPr>
            <w:tcW w:w="1134" w:type="dxa"/>
            <w:shd w:val="clear" w:color="auto" w:fill="auto"/>
          </w:tcPr>
          <w:p w14:paraId="381D7E30" w14:textId="0403B3C8"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w:t>
            </w:r>
          </w:p>
        </w:tc>
        <w:tc>
          <w:tcPr>
            <w:tcW w:w="1134" w:type="dxa"/>
            <w:shd w:val="clear" w:color="auto" w:fill="auto"/>
          </w:tcPr>
          <w:p w14:paraId="5E7EB973" w14:textId="3B74EDAE"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Факт</w:t>
            </w:r>
          </w:p>
        </w:tc>
        <w:tc>
          <w:tcPr>
            <w:tcW w:w="1276" w:type="dxa"/>
            <w:vMerge/>
            <w:tcBorders>
              <w:top w:val="single" w:sz="4" w:space="0" w:color="auto"/>
            </w:tcBorders>
            <w:shd w:val="clear" w:color="auto" w:fill="auto"/>
          </w:tcPr>
          <w:p w14:paraId="3E9D4B97"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p>
        </w:tc>
        <w:tc>
          <w:tcPr>
            <w:tcW w:w="709" w:type="dxa"/>
            <w:tcBorders>
              <w:top w:val="single" w:sz="4" w:space="0" w:color="auto"/>
            </w:tcBorders>
            <w:shd w:val="clear" w:color="auto" w:fill="auto"/>
            <w:vAlign w:val="center"/>
          </w:tcPr>
          <w:p w14:paraId="7AE02981"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План</w:t>
            </w:r>
          </w:p>
        </w:tc>
        <w:tc>
          <w:tcPr>
            <w:tcW w:w="851" w:type="dxa"/>
            <w:tcBorders>
              <w:top w:val="single" w:sz="4" w:space="0" w:color="auto"/>
              <w:right w:val="double" w:sz="4" w:space="0" w:color="auto"/>
            </w:tcBorders>
            <w:shd w:val="clear" w:color="auto" w:fill="auto"/>
            <w:vAlign w:val="center"/>
          </w:tcPr>
          <w:p w14:paraId="50AEBB90"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Факт</w:t>
            </w:r>
          </w:p>
        </w:tc>
      </w:tr>
      <w:tr w:rsidR="00FD7B0B" w:rsidRPr="00FD7B0B" w14:paraId="26FBC1FB" w14:textId="77777777" w:rsidTr="000F121E">
        <w:trPr>
          <w:trHeight w:val="330"/>
          <w:tblHeader/>
        </w:trPr>
        <w:tc>
          <w:tcPr>
            <w:tcW w:w="4521" w:type="dxa"/>
            <w:tcBorders>
              <w:left w:val="double" w:sz="4" w:space="0" w:color="auto"/>
              <w:bottom w:val="single" w:sz="4" w:space="0" w:color="auto"/>
            </w:tcBorders>
            <w:shd w:val="clear" w:color="auto" w:fill="auto"/>
          </w:tcPr>
          <w:p w14:paraId="65391B70" w14:textId="7980AB57" w:rsidR="008012C2" w:rsidRPr="00FD7B0B" w:rsidRDefault="008012C2" w:rsidP="000F121E">
            <w:pPr>
              <w:widowControl w:val="0"/>
              <w:autoSpaceDE w:val="0"/>
              <w:autoSpaceDN w:val="0"/>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 Субъектам малого и среднего предпринимательства и самозанятым гражданам предоставлены микрозаймы</w:t>
            </w:r>
          </w:p>
        </w:tc>
        <w:tc>
          <w:tcPr>
            <w:tcW w:w="1134" w:type="dxa"/>
            <w:tcBorders>
              <w:bottom w:val="single" w:sz="4" w:space="0" w:color="auto"/>
            </w:tcBorders>
            <w:shd w:val="clear" w:color="auto" w:fill="auto"/>
            <w:vAlign w:val="center"/>
          </w:tcPr>
          <w:p w14:paraId="5ADE7605"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31.12.2024</w:t>
            </w:r>
          </w:p>
        </w:tc>
        <w:tc>
          <w:tcPr>
            <w:tcW w:w="1134" w:type="dxa"/>
            <w:tcBorders>
              <w:bottom w:val="single" w:sz="4" w:space="0" w:color="auto"/>
            </w:tcBorders>
            <w:shd w:val="clear" w:color="auto" w:fill="auto"/>
            <w:vAlign w:val="center"/>
          </w:tcPr>
          <w:p w14:paraId="236291F5"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31.12.2024</w:t>
            </w:r>
          </w:p>
        </w:tc>
        <w:tc>
          <w:tcPr>
            <w:tcW w:w="1276" w:type="dxa"/>
            <w:tcBorders>
              <w:bottom w:val="single" w:sz="4" w:space="0" w:color="auto"/>
            </w:tcBorders>
            <w:shd w:val="clear" w:color="auto" w:fill="auto"/>
            <w:vAlign w:val="center"/>
          </w:tcPr>
          <w:p w14:paraId="17862C50"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Единица</w:t>
            </w:r>
          </w:p>
        </w:tc>
        <w:tc>
          <w:tcPr>
            <w:tcW w:w="709" w:type="dxa"/>
            <w:tcBorders>
              <w:bottom w:val="single" w:sz="4" w:space="0" w:color="auto"/>
            </w:tcBorders>
            <w:shd w:val="clear" w:color="auto" w:fill="auto"/>
            <w:vAlign w:val="center"/>
          </w:tcPr>
          <w:p w14:paraId="115EB768"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390</w:t>
            </w:r>
          </w:p>
        </w:tc>
        <w:tc>
          <w:tcPr>
            <w:tcW w:w="851" w:type="dxa"/>
            <w:tcBorders>
              <w:bottom w:val="single" w:sz="4" w:space="0" w:color="auto"/>
              <w:right w:val="double" w:sz="4" w:space="0" w:color="auto"/>
            </w:tcBorders>
            <w:shd w:val="clear" w:color="auto" w:fill="auto"/>
            <w:vAlign w:val="center"/>
          </w:tcPr>
          <w:p w14:paraId="79AEC90D"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157</w:t>
            </w:r>
          </w:p>
        </w:tc>
      </w:tr>
      <w:tr w:rsidR="008012C2" w:rsidRPr="00FD7B0B" w14:paraId="682D1FF8" w14:textId="77777777" w:rsidTr="000F121E">
        <w:trPr>
          <w:trHeight w:val="243"/>
          <w:tblHeader/>
        </w:trPr>
        <w:tc>
          <w:tcPr>
            <w:tcW w:w="4521" w:type="dxa"/>
            <w:tcBorders>
              <w:left w:val="double" w:sz="4" w:space="0" w:color="auto"/>
              <w:bottom w:val="double" w:sz="4" w:space="0" w:color="auto"/>
            </w:tcBorders>
            <w:shd w:val="clear" w:color="auto" w:fill="auto"/>
          </w:tcPr>
          <w:p w14:paraId="234D789A" w14:textId="77777777" w:rsidR="008012C2" w:rsidRPr="00FD7B0B" w:rsidRDefault="008012C2" w:rsidP="000F121E">
            <w:pPr>
              <w:widowControl w:val="0"/>
              <w:autoSpaceDE w:val="0"/>
              <w:autoSpaceDN w:val="0"/>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2. Отобраны и профинансированы научные проекты. В отчетном периоде обеспечено подписание трех соглашений о финансировании проектов, отобранных в рамках конкурсов Российского научного фонда 2022, 2023 и 2024 годов</w:t>
            </w:r>
          </w:p>
          <w:p w14:paraId="6E186B2F" w14:textId="77777777" w:rsidR="008012C2" w:rsidRPr="00FD7B0B" w:rsidRDefault="008012C2" w:rsidP="000F121E">
            <w:pPr>
              <w:widowControl w:val="0"/>
              <w:autoSpaceDE w:val="0"/>
              <w:autoSpaceDN w:val="0"/>
              <w:spacing w:after="0" w:line="240" w:lineRule="auto"/>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Ответственный исполнитель мероприятия – министерство науки, высшей школы и научно-технологического развития Архангельской области</w:t>
            </w:r>
          </w:p>
        </w:tc>
        <w:tc>
          <w:tcPr>
            <w:tcW w:w="1134" w:type="dxa"/>
            <w:tcBorders>
              <w:bottom w:val="double" w:sz="4" w:space="0" w:color="auto"/>
            </w:tcBorders>
            <w:shd w:val="clear" w:color="auto" w:fill="auto"/>
            <w:vAlign w:val="center"/>
          </w:tcPr>
          <w:p w14:paraId="39D4CF9A"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01.01.2024</w:t>
            </w:r>
          </w:p>
        </w:tc>
        <w:tc>
          <w:tcPr>
            <w:tcW w:w="1134" w:type="dxa"/>
            <w:tcBorders>
              <w:bottom w:val="double" w:sz="4" w:space="0" w:color="auto"/>
            </w:tcBorders>
            <w:shd w:val="clear" w:color="auto" w:fill="auto"/>
            <w:vAlign w:val="center"/>
          </w:tcPr>
          <w:p w14:paraId="342D2595"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31.12.2024</w:t>
            </w:r>
          </w:p>
        </w:tc>
        <w:tc>
          <w:tcPr>
            <w:tcW w:w="1276" w:type="dxa"/>
            <w:tcBorders>
              <w:bottom w:val="double" w:sz="4" w:space="0" w:color="auto"/>
            </w:tcBorders>
            <w:shd w:val="clear" w:color="auto" w:fill="auto"/>
            <w:vAlign w:val="center"/>
          </w:tcPr>
          <w:p w14:paraId="4307886A"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Единица</w:t>
            </w:r>
          </w:p>
        </w:tc>
        <w:tc>
          <w:tcPr>
            <w:tcW w:w="709" w:type="dxa"/>
            <w:tcBorders>
              <w:bottom w:val="double" w:sz="4" w:space="0" w:color="auto"/>
            </w:tcBorders>
            <w:shd w:val="clear" w:color="auto" w:fill="auto"/>
            <w:vAlign w:val="center"/>
          </w:tcPr>
          <w:p w14:paraId="130928B2"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10</w:t>
            </w:r>
          </w:p>
        </w:tc>
        <w:tc>
          <w:tcPr>
            <w:tcW w:w="851" w:type="dxa"/>
            <w:tcBorders>
              <w:bottom w:val="double" w:sz="4" w:space="0" w:color="auto"/>
              <w:right w:val="double" w:sz="4" w:space="0" w:color="auto"/>
            </w:tcBorders>
            <w:shd w:val="clear" w:color="auto" w:fill="auto"/>
            <w:vAlign w:val="center"/>
          </w:tcPr>
          <w:p w14:paraId="616AF480" w14:textId="77777777" w:rsidR="008012C2" w:rsidRPr="00FD7B0B" w:rsidRDefault="008012C2" w:rsidP="00AD4D1E">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FD7B0B">
              <w:rPr>
                <w:rFonts w:ascii="Times New Roman" w:eastAsia="Times New Roman" w:hAnsi="Times New Roman" w:cs="Times New Roman"/>
                <w:sz w:val="18"/>
                <w:szCs w:val="18"/>
                <w:lang w:eastAsia="ru-RU"/>
              </w:rPr>
              <w:t>8</w:t>
            </w:r>
          </w:p>
        </w:tc>
      </w:tr>
    </w:tbl>
    <w:p w14:paraId="26709B89" w14:textId="77777777" w:rsidR="000F121E" w:rsidRPr="00FD7B0B" w:rsidRDefault="000F12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26306DE6" w14:textId="5E4FBBB1" w:rsidR="00AD4D1E" w:rsidRPr="00FD7B0B" w:rsidRDefault="000F12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w:t>
      </w:r>
      <w:r w:rsidR="00AD4D1E" w:rsidRPr="00FD7B0B">
        <w:rPr>
          <w:rFonts w:ascii="Times New Roman" w:eastAsia="Times New Roman" w:hAnsi="Times New Roman" w:cs="Times New Roman"/>
          <w:sz w:val="28"/>
          <w:szCs w:val="28"/>
          <w:lang w:eastAsia="ru-RU"/>
        </w:rPr>
        <w:t>ыполнение значения мероприятия «Субъектам малого и среднего предпринимательства и самозанятым гражданам предоставлены микрозаймы» за 2024 год составило 40,2</w:t>
      </w:r>
      <w:r w:rsidRPr="00FD7B0B">
        <w:rPr>
          <w:rFonts w:ascii="Times New Roman" w:eastAsia="Times New Roman" w:hAnsi="Times New Roman" w:cs="Times New Roman"/>
          <w:sz w:val="28"/>
          <w:szCs w:val="28"/>
          <w:lang w:eastAsia="ru-RU"/>
        </w:rPr>
        <w:t xml:space="preserve"> </w:t>
      </w:r>
      <w:r w:rsidR="00AD4D1E" w:rsidRPr="00FD7B0B">
        <w:rPr>
          <w:rFonts w:ascii="Times New Roman" w:eastAsia="Times New Roman" w:hAnsi="Times New Roman" w:cs="Times New Roman"/>
          <w:sz w:val="28"/>
          <w:szCs w:val="28"/>
          <w:lang w:eastAsia="ru-RU"/>
        </w:rPr>
        <w:t xml:space="preserve">% от запланированного. Не достижение результата мероприятия произошло в связи со значительным количеством погашенных займов в течение года, в том числе по займам, выданным в период COVID-19 (в соответствии с приказом Минэкономразвития России от 01.06.2020 № 323), по которым срок возврата займа был продлен до 5 лет (срок погашения приходится </w:t>
      </w:r>
      <w:r w:rsidR="00AD4D1E" w:rsidRPr="00FD7B0B">
        <w:rPr>
          <w:rFonts w:ascii="Times New Roman" w:eastAsia="Times New Roman" w:hAnsi="Times New Roman" w:cs="Times New Roman"/>
          <w:sz w:val="28"/>
          <w:szCs w:val="28"/>
          <w:lang w:eastAsia="ru-RU"/>
        </w:rPr>
        <w:lastRenderedPageBreak/>
        <w:t>на 2024 год), что привело к снижению количества действующих микрозаймов, выданных микрофинансовой организацией, на отчетную дату. За 2024 год количество погашенных займов превышает количество выданных займов.</w:t>
      </w:r>
      <w:r w:rsidR="00AD4D1E" w:rsidRPr="00FD7B0B">
        <w:t xml:space="preserve"> </w:t>
      </w:r>
      <w:r w:rsidR="00AD4D1E" w:rsidRPr="00FD7B0B">
        <w:rPr>
          <w:rFonts w:ascii="Times New Roman" w:eastAsia="Times New Roman" w:hAnsi="Times New Roman" w:cs="Times New Roman"/>
          <w:sz w:val="28"/>
          <w:szCs w:val="28"/>
          <w:lang w:eastAsia="ru-RU"/>
        </w:rPr>
        <w:t>Ответственный исполнитель мероприятия – минэкономразвития Архангельской области.</w:t>
      </w:r>
    </w:p>
    <w:p w14:paraId="2AF4CD40" w14:textId="3F8826E8"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второму невыполненному мероприятию</w:t>
      </w:r>
      <w:r w:rsidRPr="00FD7B0B">
        <w:t xml:space="preserve"> </w:t>
      </w:r>
      <w:r w:rsidRPr="00FD7B0B">
        <w:rPr>
          <w:rFonts w:ascii="Times New Roman" w:eastAsia="Times New Roman" w:hAnsi="Times New Roman" w:cs="Times New Roman"/>
          <w:sz w:val="28"/>
          <w:szCs w:val="28"/>
          <w:lang w:eastAsia="ru-RU"/>
        </w:rPr>
        <w:t>недостижение произошло в связи со снижением финансирования.</w:t>
      </w:r>
    </w:p>
    <w:p w14:paraId="0C72C8AD"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2A893FB5"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госпрограмме № 26 в целом на 2024 год утверждено 35 показателей уровня госпрограммы и структурных элементов, входящих в ее состав, из них: 4 целевых показателя в рамках госпрограммы.</w:t>
      </w:r>
      <w:r w:rsidRPr="00FD7B0B">
        <w:t xml:space="preserve"> </w:t>
      </w:r>
      <w:r w:rsidRPr="00FD7B0B">
        <w:rPr>
          <w:rFonts w:ascii="Times New Roman" w:eastAsia="Calibri" w:hAnsi="Times New Roman" w:cs="Times New Roman"/>
          <w:sz w:val="28"/>
          <w:szCs w:val="28"/>
        </w:rPr>
        <w:t>Необходимо отметить, что из 4 целевых показателей на уровне ГП АО № 26, утвержденных на 2024 год, 3 показателя ранее в госпрограмму № 26 не включались.</w:t>
      </w:r>
    </w:p>
    <w:p w14:paraId="6E5DD8B2" w14:textId="2057E7AA"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Плановые и фактические значения (прогноз за 2024 год) целевых показателей на уровне ГП АО № 26 за ряд</w:t>
      </w:r>
      <w:r w:rsidR="000F121E" w:rsidRPr="00FD7B0B">
        <w:rPr>
          <w:rFonts w:ascii="Times New Roman" w:eastAsia="Times New Roman" w:hAnsi="Times New Roman" w:cs="Times New Roman"/>
          <w:sz w:val="28"/>
          <w:szCs w:val="28"/>
          <w:lang w:eastAsia="ru-RU"/>
        </w:rPr>
        <w:t xml:space="preserve"> лет, представлены в таблице </w:t>
      </w:r>
      <w:r w:rsidR="00420A00" w:rsidRPr="00FD7B0B">
        <w:rPr>
          <w:rFonts w:ascii="Times New Roman" w:eastAsia="Times New Roman" w:hAnsi="Times New Roman" w:cs="Times New Roman"/>
          <w:sz w:val="28"/>
          <w:szCs w:val="28"/>
          <w:lang w:eastAsia="ru-RU"/>
        </w:rPr>
        <w:t>218</w:t>
      </w:r>
      <w:r w:rsidRPr="00FD7B0B">
        <w:rPr>
          <w:rFonts w:ascii="Times New Roman" w:eastAsia="Times New Roman" w:hAnsi="Times New Roman" w:cs="Times New Roman"/>
          <w:sz w:val="28"/>
          <w:szCs w:val="28"/>
          <w:lang w:eastAsia="ru-RU"/>
        </w:rPr>
        <w:t>.</w:t>
      </w:r>
    </w:p>
    <w:p w14:paraId="214F0B9E" w14:textId="77777777" w:rsidR="00AD4D1E" w:rsidRPr="00FD7B0B" w:rsidRDefault="00AD4D1E" w:rsidP="00AD4D1E">
      <w:pPr>
        <w:spacing w:after="0" w:line="240" w:lineRule="auto"/>
        <w:ind w:firstLine="851"/>
        <w:contextualSpacing/>
        <w:jc w:val="both"/>
        <w:rPr>
          <w:rFonts w:ascii="Times New Roman" w:eastAsia="Times New Roman" w:hAnsi="Times New Roman" w:cs="Times New Roman"/>
          <w:sz w:val="24"/>
          <w:szCs w:val="24"/>
          <w:lang w:eastAsia="ru-RU"/>
        </w:rPr>
      </w:pPr>
    </w:p>
    <w:p w14:paraId="707D760D" w14:textId="268C92BD" w:rsidR="00AD4D1E" w:rsidRPr="00FD7B0B" w:rsidRDefault="000F121E" w:rsidP="000F121E">
      <w:pPr>
        <w:spacing w:after="0" w:line="240" w:lineRule="auto"/>
        <w:rPr>
          <w:rFonts w:ascii="Times New Roman" w:eastAsia="Calibri" w:hAnsi="Times New Roman" w:cs="Times New Roman"/>
          <w:bCs/>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218</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AD4D1E" w:rsidRPr="00FD7B0B">
        <w:rPr>
          <w:rFonts w:ascii="Times New Roman" w:eastAsia="Calibri" w:hAnsi="Times New Roman" w:cs="Times New Roman"/>
          <w:bCs/>
          <w:sz w:val="24"/>
          <w:szCs w:val="24"/>
        </w:rPr>
        <w:t xml:space="preserve">Динамика значений целевых показателей на уровне ГП АО № 26 за 2022- 2024 годы </w:t>
      </w:r>
    </w:p>
    <w:tbl>
      <w:tblPr>
        <w:tblStyle w:val="15"/>
        <w:tblW w:w="9624"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521"/>
        <w:gridCol w:w="1822"/>
        <w:gridCol w:w="818"/>
        <w:gridCol w:w="1270"/>
        <w:gridCol w:w="1193"/>
      </w:tblGrid>
      <w:tr w:rsidR="00FD7B0B" w:rsidRPr="00FD7B0B" w14:paraId="32974194" w14:textId="77777777" w:rsidTr="00420A00">
        <w:trPr>
          <w:tblHeader/>
        </w:trPr>
        <w:tc>
          <w:tcPr>
            <w:tcW w:w="4521" w:type="dxa"/>
          </w:tcPr>
          <w:p w14:paraId="1826BFC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Наименование целевого показателя, единица измерения</w:t>
            </w:r>
          </w:p>
        </w:tc>
        <w:tc>
          <w:tcPr>
            <w:tcW w:w="1822" w:type="dxa"/>
          </w:tcPr>
          <w:p w14:paraId="2197A38A"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Ответственный исполнитель</w:t>
            </w:r>
          </w:p>
        </w:tc>
        <w:tc>
          <w:tcPr>
            <w:tcW w:w="818" w:type="dxa"/>
          </w:tcPr>
          <w:p w14:paraId="516996B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План</w:t>
            </w:r>
          </w:p>
        </w:tc>
        <w:tc>
          <w:tcPr>
            <w:tcW w:w="1270" w:type="dxa"/>
          </w:tcPr>
          <w:p w14:paraId="5AC88D93"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Факт</w:t>
            </w:r>
          </w:p>
        </w:tc>
        <w:tc>
          <w:tcPr>
            <w:tcW w:w="1193" w:type="dxa"/>
          </w:tcPr>
          <w:p w14:paraId="5AEC341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Отклонение, +/-</w:t>
            </w:r>
          </w:p>
        </w:tc>
      </w:tr>
      <w:tr w:rsidR="00FD7B0B" w:rsidRPr="00FD7B0B" w14:paraId="63D3D12A" w14:textId="77777777" w:rsidTr="00420A00">
        <w:tc>
          <w:tcPr>
            <w:tcW w:w="4521" w:type="dxa"/>
          </w:tcPr>
          <w:p w14:paraId="6FBBA1D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А</w:t>
            </w:r>
          </w:p>
        </w:tc>
        <w:tc>
          <w:tcPr>
            <w:tcW w:w="1822" w:type="dxa"/>
          </w:tcPr>
          <w:p w14:paraId="0C3C44C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Б</w:t>
            </w:r>
          </w:p>
        </w:tc>
        <w:tc>
          <w:tcPr>
            <w:tcW w:w="818" w:type="dxa"/>
          </w:tcPr>
          <w:p w14:paraId="7F26EBB1"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1270" w:type="dxa"/>
          </w:tcPr>
          <w:p w14:paraId="132CD30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w:t>
            </w:r>
          </w:p>
        </w:tc>
        <w:tc>
          <w:tcPr>
            <w:tcW w:w="1193" w:type="dxa"/>
          </w:tcPr>
          <w:p w14:paraId="39A7577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3=2-1</w:t>
            </w:r>
          </w:p>
        </w:tc>
      </w:tr>
      <w:tr w:rsidR="00FD7B0B" w:rsidRPr="00FD7B0B" w14:paraId="2AF3FC44" w14:textId="77777777" w:rsidTr="00420A00">
        <w:tc>
          <w:tcPr>
            <w:tcW w:w="4521" w:type="dxa"/>
          </w:tcPr>
          <w:p w14:paraId="500C1D09" w14:textId="77777777" w:rsidR="00AD4D1E" w:rsidRPr="00FD7B0B" w:rsidRDefault="00AD4D1E" w:rsidP="000F121E">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r w:rsidRPr="00FD7B0B">
              <w:t xml:space="preserve"> </w:t>
            </w:r>
            <w:r w:rsidRPr="00FD7B0B">
              <w:rPr>
                <w:rFonts w:ascii="Times New Roman" w:eastAsia="Times New Roman" w:hAnsi="Times New Roman"/>
                <w:sz w:val="18"/>
                <w:szCs w:val="18"/>
                <w:lang w:eastAsia="ru-RU"/>
              </w:rPr>
              <w:t>Темп роста (индекс роста) физического объема инвестиций в основной капитал, за исключением инвестиций инфраструктурных монополий (федеральные проекты) и бюджетных ассигнований федерального бюджета к 2020 году, %</w:t>
            </w:r>
          </w:p>
        </w:tc>
        <w:tc>
          <w:tcPr>
            <w:tcW w:w="1822" w:type="dxa"/>
            <w:vMerge w:val="restart"/>
          </w:tcPr>
          <w:p w14:paraId="7BC2C7DE"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p w14:paraId="7A7A9B89"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p w14:paraId="4CADDBC4"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p w14:paraId="44D4D7ED"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p w14:paraId="346C8440"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p w14:paraId="421A6D55"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p w14:paraId="0AE126CE"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p w14:paraId="7A9A66E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Министерство экономического развития и промышленности Архангельской области</w:t>
            </w:r>
          </w:p>
        </w:tc>
        <w:tc>
          <w:tcPr>
            <w:tcW w:w="818" w:type="dxa"/>
            <w:vAlign w:val="center"/>
          </w:tcPr>
          <w:p w14:paraId="106AA35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270" w:type="dxa"/>
            <w:vAlign w:val="center"/>
          </w:tcPr>
          <w:p w14:paraId="6609A23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193" w:type="dxa"/>
            <w:vAlign w:val="center"/>
          </w:tcPr>
          <w:p w14:paraId="1AA0EEC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FD7B0B" w:rsidRPr="00FD7B0B" w14:paraId="3C8D6FFD" w14:textId="77777777" w:rsidTr="00420A00">
        <w:tc>
          <w:tcPr>
            <w:tcW w:w="4521" w:type="dxa"/>
            <w:vAlign w:val="center"/>
          </w:tcPr>
          <w:p w14:paraId="6D217F3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2022 год</w:t>
            </w:r>
          </w:p>
        </w:tc>
        <w:tc>
          <w:tcPr>
            <w:tcW w:w="1822" w:type="dxa"/>
            <w:vMerge/>
          </w:tcPr>
          <w:p w14:paraId="391B2C64"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6282BB1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108,9</w:t>
            </w:r>
          </w:p>
        </w:tc>
        <w:tc>
          <w:tcPr>
            <w:tcW w:w="1270" w:type="dxa"/>
            <w:vAlign w:val="center"/>
          </w:tcPr>
          <w:p w14:paraId="4C50352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74,7</w:t>
            </w:r>
          </w:p>
        </w:tc>
        <w:tc>
          <w:tcPr>
            <w:tcW w:w="1193" w:type="dxa"/>
            <w:vAlign w:val="center"/>
          </w:tcPr>
          <w:p w14:paraId="3C12E95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-34,2</w:t>
            </w:r>
          </w:p>
        </w:tc>
      </w:tr>
      <w:tr w:rsidR="00FD7B0B" w:rsidRPr="00FD7B0B" w14:paraId="0B6F7953" w14:textId="77777777" w:rsidTr="00420A00">
        <w:tc>
          <w:tcPr>
            <w:tcW w:w="4521" w:type="dxa"/>
          </w:tcPr>
          <w:p w14:paraId="190E132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2023 год</w:t>
            </w:r>
          </w:p>
        </w:tc>
        <w:tc>
          <w:tcPr>
            <w:tcW w:w="1822" w:type="dxa"/>
            <w:vMerge/>
          </w:tcPr>
          <w:p w14:paraId="4C019BA1"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74BC4EDE"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113,7</w:t>
            </w:r>
          </w:p>
        </w:tc>
        <w:tc>
          <w:tcPr>
            <w:tcW w:w="1270" w:type="dxa"/>
            <w:vAlign w:val="center"/>
          </w:tcPr>
          <w:p w14:paraId="772AA39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80,2</w:t>
            </w:r>
          </w:p>
        </w:tc>
        <w:tc>
          <w:tcPr>
            <w:tcW w:w="1193" w:type="dxa"/>
            <w:vAlign w:val="center"/>
          </w:tcPr>
          <w:p w14:paraId="39D3BFB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-33,5</w:t>
            </w:r>
          </w:p>
        </w:tc>
      </w:tr>
      <w:tr w:rsidR="00FD7B0B" w:rsidRPr="00FD7B0B" w14:paraId="2BD1DE07" w14:textId="77777777" w:rsidTr="00420A00">
        <w:tc>
          <w:tcPr>
            <w:tcW w:w="4521" w:type="dxa"/>
          </w:tcPr>
          <w:p w14:paraId="4E8E197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2024 год</w:t>
            </w:r>
          </w:p>
        </w:tc>
        <w:tc>
          <w:tcPr>
            <w:tcW w:w="1822" w:type="dxa"/>
            <w:vMerge/>
          </w:tcPr>
          <w:p w14:paraId="3C7348BD"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2DBA4D1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88</w:t>
            </w:r>
          </w:p>
        </w:tc>
        <w:tc>
          <w:tcPr>
            <w:tcW w:w="1270" w:type="dxa"/>
            <w:vAlign w:val="center"/>
          </w:tcPr>
          <w:p w14:paraId="5F2BF0F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76,6</w:t>
            </w:r>
          </w:p>
        </w:tc>
        <w:tc>
          <w:tcPr>
            <w:tcW w:w="1193" w:type="dxa"/>
            <w:vAlign w:val="center"/>
          </w:tcPr>
          <w:p w14:paraId="33C87233"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-11,4</w:t>
            </w:r>
          </w:p>
        </w:tc>
      </w:tr>
      <w:tr w:rsidR="00FD7B0B" w:rsidRPr="00FD7B0B" w14:paraId="245257E5" w14:textId="77777777" w:rsidTr="00420A00">
        <w:tc>
          <w:tcPr>
            <w:tcW w:w="4521" w:type="dxa"/>
          </w:tcPr>
          <w:p w14:paraId="2D3F81AB" w14:textId="77777777" w:rsidR="00AD4D1E" w:rsidRPr="00FD7B0B" w:rsidRDefault="00AD4D1E" w:rsidP="000F121E">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 Индекс производства по виду экономической деятельности «Обрабатывающие производства» по отношению к предыдущему году</w:t>
            </w:r>
          </w:p>
        </w:tc>
        <w:tc>
          <w:tcPr>
            <w:tcW w:w="1822" w:type="dxa"/>
            <w:vMerge/>
          </w:tcPr>
          <w:p w14:paraId="785E4FC4"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5526F97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270" w:type="dxa"/>
            <w:vAlign w:val="center"/>
          </w:tcPr>
          <w:p w14:paraId="533CBCA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193" w:type="dxa"/>
            <w:vAlign w:val="center"/>
          </w:tcPr>
          <w:p w14:paraId="5C1ECAAE"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FD7B0B" w:rsidRPr="00FD7B0B" w14:paraId="4168E2BE" w14:textId="77777777" w:rsidTr="00420A00">
        <w:tc>
          <w:tcPr>
            <w:tcW w:w="4521" w:type="dxa"/>
            <w:vAlign w:val="center"/>
          </w:tcPr>
          <w:p w14:paraId="0602A823"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2022 год, % к предыдущему году</w:t>
            </w:r>
          </w:p>
        </w:tc>
        <w:tc>
          <w:tcPr>
            <w:tcW w:w="1822" w:type="dxa"/>
            <w:vMerge/>
          </w:tcPr>
          <w:p w14:paraId="2EF9062E"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226EE6C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270" w:type="dxa"/>
            <w:vAlign w:val="center"/>
          </w:tcPr>
          <w:p w14:paraId="139858D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193" w:type="dxa"/>
            <w:vAlign w:val="center"/>
          </w:tcPr>
          <w:p w14:paraId="5695870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FD7B0B" w:rsidRPr="00FD7B0B" w14:paraId="112CD56B" w14:textId="77777777" w:rsidTr="00420A00">
        <w:tc>
          <w:tcPr>
            <w:tcW w:w="4521" w:type="dxa"/>
            <w:vAlign w:val="center"/>
          </w:tcPr>
          <w:p w14:paraId="6FCF616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2023 год, % к предыдущему году</w:t>
            </w:r>
          </w:p>
        </w:tc>
        <w:tc>
          <w:tcPr>
            <w:tcW w:w="1822" w:type="dxa"/>
            <w:vMerge/>
          </w:tcPr>
          <w:p w14:paraId="01D85FBF"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64DDE63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270" w:type="dxa"/>
            <w:vAlign w:val="center"/>
          </w:tcPr>
          <w:p w14:paraId="2FD4F4C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193" w:type="dxa"/>
            <w:vAlign w:val="center"/>
          </w:tcPr>
          <w:p w14:paraId="17BEE39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FD7B0B" w:rsidRPr="00FD7B0B" w14:paraId="3F201E45" w14:textId="77777777" w:rsidTr="00420A00">
        <w:tc>
          <w:tcPr>
            <w:tcW w:w="4521" w:type="dxa"/>
            <w:vAlign w:val="center"/>
          </w:tcPr>
          <w:p w14:paraId="00043601"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2024 год, % к предыдущему году</w:t>
            </w:r>
          </w:p>
        </w:tc>
        <w:tc>
          <w:tcPr>
            <w:tcW w:w="1822" w:type="dxa"/>
            <w:vMerge/>
          </w:tcPr>
          <w:p w14:paraId="3C986675"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3D9F62C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98,1</w:t>
            </w:r>
          </w:p>
        </w:tc>
        <w:tc>
          <w:tcPr>
            <w:tcW w:w="1270" w:type="dxa"/>
            <w:vAlign w:val="center"/>
          </w:tcPr>
          <w:p w14:paraId="269D76EA"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107,55</w:t>
            </w:r>
          </w:p>
          <w:p w14:paraId="01E7A3D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(оперативные данные)</w:t>
            </w:r>
          </w:p>
        </w:tc>
        <w:tc>
          <w:tcPr>
            <w:tcW w:w="1193" w:type="dxa"/>
            <w:vAlign w:val="center"/>
          </w:tcPr>
          <w:p w14:paraId="2E84FE6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+ 9,45</w:t>
            </w:r>
          </w:p>
        </w:tc>
      </w:tr>
      <w:tr w:rsidR="00FD7B0B" w:rsidRPr="00FD7B0B" w14:paraId="1C1CB8CA" w14:textId="77777777" w:rsidTr="00420A00">
        <w:tc>
          <w:tcPr>
            <w:tcW w:w="4521" w:type="dxa"/>
          </w:tcPr>
          <w:p w14:paraId="4E3602AD" w14:textId="77777777" w:rsidR="00AD4D1E" w:rsidRPr="00FD7B0B" w:rsidRDefault="00AD4D1E" w:rsidP="000F121E">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 Количество вновь созданных субъектов МСП, тысяч единиц</w:t>
            </w:r>
          </w:p>
        </w:tc>
        <w:tc>
          <w:tcPr>
            <w:tcW w:w="1822" w:type="dxa"/>
            <w:vMerge/>
          </w:tcPr>
          <w:p w14:paraId="091176E0"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7E0A228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270" w:type="dxa"/>
            <w:vAlign w:val="center"/>
          </w:tcPr>
          <w:p w14:paraId="65DC576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193" w:type="dxa"/>
            <w:vAlign w:val="center"/>
          </w:tcPr>
          <w:p w14:paraId="511134A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FD7B0B" w:rsidRPr="00FD7B0B" w14:paraId="5F975AF4" w14:textId="77777777" w:rsidTr="00420A00">
        <w:tc>
          <w:tcPr>
            <w:tcW w:w="4521" w:type="dxa"/>
            <w:vAlign w:val="center"/>
          </w:tcPr>
          <w:p w14:paraId="14E9EEF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2022 год</w:t>
            </w:r>
          </w:p>
        </w:tc>
        <w:tc>
          <w:tcPr>
            <w:tcW w:w="1822" w:type="dxa"/>
            <w:vMerge/>
          </w:tcPr>
          <w:p w14:paraId="6D81E59A"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2B523DA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c>
          <w:tcPr>
            <w:tcW w:w="1270" w:type="dxa"/>
            <w:vAlign w:val="center"/>
          </w:tcPr>
          <w:p w14:paraId="0D14217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c>
          <w:tcPr>
            <w:tcW w:w="1193" w:type="dxa"/>
            <w:vAlign w:val="center"/>
          </w:tcPr>
          <w:p w14:paraId="58556883"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r>
      <w:tr w:rsidR="00FD7B0B" w:rsidRPr="00FD7B0B" w14:paraId="0FFBAE7E" w14:textId="77777777" w:rsidTr="00420A00">
        <w:tc>
          <w:tcPr>
            <w:tcW w:w="4521" w:type="dxa"/>
            <w:vAlign w:val="center"/>
          </w:tcPr>
          <w:p w14:paraId="4C893C0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2023 год</w:t>
            </w:r>
          </w:p>
        </w:tc>
        <w:tc>
          <w:tcPr>
            <w:tcW w:w="1822" w:type="dxa"/>
            <w:vMerge/>
          </w:tcPr>
          <w:p w14:paraId="47D095E9"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2813DC6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c>
          <w:tcPr>
            <w:tcW w:w="1270" w:type="dxa"/>
            <w:vAlign w:val="center"/>
          </w:tcPr>
          <w:p w14:paraId="1CFBC75F"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c>
          <w:tcPr>
            <w:tcW w:w="1193" w:type="dxa"/>
            <w:vAlign w:val="center"/>
          </w:tcPr>
          <w:p w14:paraId="021C3A7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r>
      <w:tr w:rsidR="00FD7B0B" w:rsidRPr="00FD7B0B" w14:paraId="2569A2FB" w14:textId="77777777" w:rsidTr="00420A00">
        <w:tc>
          <w:tcPr>
            <w:tcW w:w="4521" w:type="dxa"/>
            <w:vAlign w:val="center"/>
          </w:tcPr>
          <w:p w14:paraId="4561C14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2024 год</w:t>
            </w:r>
          </w:p>
        </w:tc>
        <w:tc>
          <w:tcPr>
            <w:tcW w:w="1822" w:type="dxa"/>
            <w:vMerge/>
          </w:tcPr>
          <w:p w14:paraId="5240F020"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2048D6F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4,5</w:t>
            </w:r>
          </w:p>
        </w:tc>
        <w:tc>
          <w:tcPr>
            <w:tcW w:w="1270" w:type="dxa"/>
            <w:vAlign w:val="center"/>
          </w:tcPr>
          <w:p w14:paraId="256B8551"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4,9</w:t>
            </w:r>
          </w:p>
        </w:tc>
        <w:tc>
          <w:tcPr>
            <w:tcW w:w="1193" w:type="dxa"/>
            <w:vAlign w:val="center"/>
          </w:tcPr>
          <w:p w14:paraId="28E6481F"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+0,4</w:t>
            </w:r>
          </w:p>
        </w:tc>
      </w:tr>
      <w:tr w:rsidR="00FD7B0B" w:rsidRPr="00FD7B0B" w14:paraId="41F6314A" w14:textId="77777777" w:rsidTr="00420A00">
        <w:tc>
          <w:tcPr>
            <w:tcW w:w="4521" w:type="dxa"/>
          </w:tcPr>
          <w:p w14:paraId="609E493A" w14:textId="77777777" w:rsidR="00AD4D1E" w:rsidRPr="00FD7B0B" w:rsidRDefault="00AD4D1E" w:rsidP="000F121E">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 Доля исследователей в возрасте до 39 лет в общей численности исследователей, привлеченных к выполнению научных исследований и разработок в ходе реализации научных проектов, получивших финансовую поддержку из областного бюджета, %</w:t>
            </w:r>
          </w:p>
        </w:tc>
        <w:tc>
          <w:tcPr>
            <w:tcW w:w="1822" w:type="dxa"/>
            <w:vMerge/>
          </w:tcPr>
          <w:p w14:paraId="336C324D"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58D293F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270" w:type="dxa"/>
            <w:vAlign w:val="center"/>
          </w:tcPr>
          <w:p w14:paraId="2182EBA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193" w:type="dxa"/>
            <w:vAlign w:val="center"/>
          </w:tcPr>
          <w:p w14:paraId="3696603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FD7B0B" w:rsidRPr="00FD7B0B" w14:paraId="51789239" w14:textId="77777777" w:rsidTr="00420A00">
        <w:tc>
          <w:tcPr>
            <w:tcW w:w="4521" w:type="dxa"/>
            <w:vAlign w:val="center"/>
          </w:tcPr>
          <w:p w14:paraId="1CCDC1C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2022 год</w:t>
            </w:r>
          </w:p>
        </w:tc>
        <w:tc>
          <w:tcPr>
            <w:tcW w:w="1822" w:type="dxa"/>
            <w:vMerge/>
          </w:tcPr>
          <w:p w14:paraId="1C8F6CE6"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45516E3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270" w:type="dxa"/>
            <w:vAlign w:val="center"/>
          </w:tcPr>
          <w:p w14:paraId="5FFE632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193" w:type="dxa"/>
            <w:vAlign w:val="center"/>
          </w:tcPr>
          <w:p w14:paraId="3D2F0FA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FD7B0B" w:rsidRPr="00FD7B0B" w14:paraId="49CF1139" w14:textId="77777777" w:rsidTr="00420A00">
        <w:trPr>
          <w:trHeight w:val="144"/>
        </w:trPr>
        <w:tc>
          <w:tcPr>
            <w:tcW w:w="4521" w:type="dxa"/>
            <w:vAlign w:val="center"/>
          </w:tcPr>
          <w:p w14:paraId="198E67A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2023 год</w:t>
            </w:r>
          </w:p>
        </w:tc>
        <w:tc>
          <w:tcPr>
            <w:tcW w:w="1822" w:type="dxa"/>
            <w:vMerge/>
          </w:tcPr>
          <w:p w14:paraId="072B4E6F"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236CA6D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270" w:type="dxa"/>
            <w:vAlign w:val="center"/>
          </w:tcPr>
          <w:p w14:paraId="1A49F1AF"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1193" w:type="dxa"/>
            <w:vAlign w:val="center"/>
          </w:tcPr>
          <w:p w14:paraId="21C97D0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AD4D1E" w:rsidRPr="00FD7B0B" w14:paraId="22143866" w14:textId="77777777" w:rsidTr="00420A00">
        <w:tc>
          <w:tcPr>
            <w:tcW w:w="4521" w:type="dxa"/>
            <w:vAlign w:val="center"/>
          </w:tcPr>
          <w:p w14:paraId="27D485B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2024 год</w:t>
            </w:r>
          </w:p>
        </w:tc>
        <w:tc>
          <w:tcPr>
            <w:tcW w:w="1822" w:type="dxa"/>
            <w:vMerge/>
          </w:tcPr>
          <w:p w14:paraId="1F1A4DF8" w14:textId="77777777" w:rsidR="00AD4D1E" w:rsidRPr="00FD7B0B" w:rsidRDefault="00AD4D1E" w:rsidP="00AD4D1E">
            <w:pPr>
              <w:spacing w:after="80"/>
              <w:contextualSpacing/>
              <w:jc w:val="both"/>
              <w:rPr>
                <w:rFonts w:ascii="Times New Roman" w:eastAsia="Times New Roman" w:hAnsi="Times New Roman"/>
                <w:sz w:val="18"/>
                <w:szCs w:val="18"/>
                <w:lang w:eastAsia="ru-RU"/>
              </w:rPr>
            </w:pPr>
          </w:p>
        </w:tc>
        <w:tc>
          <w:tcPr>
            <w:tcW w:w="818" w:type="dxa"/>
            <w:vAlign w:val="center"/>
          </w:tcPr>
          <w:p w14:paraId="4F2DD51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53</w:t>
            </w:r>
          </w:p>
        </w:tc>
        <w:tc>
          <w:tcPr>
            <w:tcW w:w="1270" w:type="dxa"/>
            <w:vAlign w:val="center"/>
          </w:tcPr>
          <w:p w14:paraId="2C53F34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73,4</w:t>
            </w:r>
          </w:p>
        </w:tc>
        <w:tc>
          <w:tcPr>
            <w:tcW w:w="1193" w:type="dxa"/>
            <w:vAlign w:val="center"/>
          </w:tcPr>
          <w:p w14:paraId="2BA989B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+20,4</w:t>
            </w:r>
          </w:p>
        </w:tc>
      </w:tr>
    </w:tbl>
    <w:p w14:paraId="66595ABD" w14:textId="77777777" w:rsidR="00191630" w:rsidRPr="00FD7B0B" w:rsidRDefault="00191630" w:rsidP="00191630">
      <w:pPr>
        <w:spacing w:after="0" w:line="240" w:lineRule="auto"/>
        <w:ind w:firstLine="709"/>
        <w:contextualSpacing/>
        <w:jc w:val="both"/>
        <w:rPr>
          <w:rFonts w:ascii="Times New Roman" w:eastAsia="Times New Roman" w:hAnsi="Times New Roman" w:cs="Times New Roman"/>
          <w:sz w:val="28"/>
          <w:szCs w:val="28"/>
          <w:lang w:eastAsia="ru-RU"/>
        </w:rPr>
      </w:pPr>
    </w:p>
    <w:p w14:paraId="7CC46683" w14:textId="77777777" w:rsidR="00AD4D1E" w:rsidRPr="00FD7B0B" w:rsidRDefault="00AD4D1E" w:rsidP="00191630">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Согласно сведениям о достижении целевых показателей госпрограммы в 2024 году, минэкономразвития АО как ответственным исполнителем госпрограммы уровень выполнения целевых показателей в целом по госпрограмме № 26 обеспечен на 75 %, из 4 установленных значений целевых показателей на 2024 год значения достигнуты по 3 показателям. При этом объем </w:t>
      </w:r>
      <w:r w:rsidRPr="00FD7B0B">
        <w:rPr>
          <w:rFonts w:ascii="Times New Roman" w:eastAsia="Times New Roman" w:hAnsi="Times New Roman" w:cs="Times New Roman"/>
          <w:sz w:val="28"/>
          <w:szCs w:val="28"/>
          <w:lang w:eastAsia="ru-RU"/>
        </w:rPr>
        <w:lastRenderedPageBreak/>
        <w:t>финансирования структурных элементов госпрограммы № 26 на 2024 год, по сравнению с 2023 годом, увеличился на сумму 1 410,8 млн.руб. или в 2,1 раза.</w:t>
      </w:r>
    </w:p>
    <w:p w14:paraId="159D980B" w14:textId="31FF956D"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2024 году в целом по госпрограмме не обеспечено достижение установленного значения 1 целевого показателя «Темп роста (индекс роста) физического объема инвестиций в основной капитал, за исключением инвестиций инфраструктурных монополий (федеральные проекты) и бюджетных ассигнований федерального бюджета к 2020 году», при плане 88</w:t>
      </w:r>
      <w:r w:rsidR="00191630"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фактическое значение составило 76,6</w:t>
      </w:r>
      <w:r w:rsidR="00191630"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Степень достижения планового значения показателя составила 87</w:t>
      </w:r>
      <w:r w:rsidR="00191630"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Согласно обоснованиям отклонений значения целевого показателя, значительное снижение показателя обусловлено завершением реализации крупных проектов, а также приостановкой или существенным сокращением инвестиционных проектов в лесопромышленном комплексе на фоне введенных санкций, который до 2022 года ежегодно обеспечивал более 20% всех инвестиций в экономику региона. Предприятия лесопромышленного комплекса сдержанно подходят к реализации новых проектов и осуществляют вложения поддерживающего характера в модернизацию действующих производств и инфраструктуру. Дополнительно, снижение доступности кредитования, связанное с высокой ключевой ставкой, также оказывает негативное влияние на инвестиционную активность компаний. Также стоит отметить приостановление с 2022 года инфраструктурных субсидий на реализацию инвестиционных проектов в Арктической зоне Российской Федерации в соответствии с постановлением Правительства Российской Федерации от 16.12.2020 г. № 2129 и механизма льготного кредитования резидентов Арктической зоны Российской Федерации в рамках постановления Правительства Российской Федерации от 21.12.2020 г. № 2186. По данному целевому показателю прослеживается отрицательная динамика невыполнения на протяжении нескольких лет: по итогам 2022 года степень достижения данного показателя составила 68,6</w:t>
      </w:r>
      <w:r w:rsidR="00191630"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итогам 2023 года – 70,5%, по итогам 2024 года – 87</w:t>
      </w:r>
      <w:r w:rsidR="00191630"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59DE9990"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Плановые и фактические значения целевых показателей</w:t>
      </w:r>
      <w:r w:rsidRPr="00FD7B0B">
        <w:rPr>
          <w:rFonts w:ascii="Times New Roman" w:eastAsia="Calibri" w:hAnsi="Times New Roman" w:cs="Times New Roman"/>
          <w:bCs/>
          <w:sz w:val="28"/>
          <w:szCs w:val="28"/>
        </w:rPr>
        <w:t xml:space="preserve"> за 2024 год</w:t>
      </w:r>
      <w:r w:rsidRPr="00FD7B0B">
        <w:rPr>
          <w:rFonts w:ascii="Times New Roman" w:eastAsia="Calibri" w:hAnsi="Times New Roman" w:cs="Times New Roman"/>
          <w:sz w:val="28"/>
          <w:szCs w:val="28"/>
        </w:rPr>
        <w:t>, установленные в рамках госпрограммы № 26 на уровне структурных элементов, а именно: проектной (РП) и процессной (КПМ) частей, представлены в таблице № 10.</w:t>
      </w:r>
    </w:p>
    <w:p w14:paraId="4BB612A9"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p>
    <w:p w14:paraId="22F6C612"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рамках проектной части госпрограммы № 26 утвержден 21 целевой показатель и 10 показателей утверждены в рамках КПМ «Экономическое и научное развитие Архангельской области».</w:t>
      </w:r>
    </w:p>
    <w:p w14:paraId="701970DC" w14:textId="77777777" w:rsidR="00AD4D1E" w:rsidRPr="00FD7B0B" w:rsidRDefault="00AD4D1E" w:rsidP="00AD4D1E">
      <w:pPr>
        <w:spacing w:after="0" w:line="240" w:lineRule="auto"/>
        <w:ind w:firstLine="709"/>
        <w:jc w:val="both"/>
        <w:rPr>
          <w:rFonts w:ascii="Times New Roman" w:eastAsia="Calibri" w:hAnsi="Times New Roman" w:cs="Times New Roman"/>
          <w:sz w:val="28"/>
          <w:szCs w:val="28"/>
        </w:rPr>
      </w:pPr>
    </w:p>
    <w:p w14:paraId="06F54A0D" w14:textId="77777777" w:rsidR="00420A00" w:rsidRPr="00FD7B0B" w:rsidRDefault="00420A00" w:rsidP="00191630">
      <w:pPr>
        <w:spacing w:after="0" w:line="240" w:lineRule="auto"/>
        <w:rPr>
          <w:rFonts w:ascii="Times New Roman" w:hAnsi="Times New Roman"/>
          <w:sz w:val="24"/>
          <w:szCs w:val="24"/>
        </w:rPr>
      </w:pPr>
    </w:p>
    <w:p w14:paraId="0B268A26" w14:textId="77777777" w:rsidR="00420A00" w:rsidRPr="00FD7B0B" w:rsidRDefault="00420A00" w:rsidP="00191630">
      <w:pPr>
        <w:spacing w:after="0" w:line="240" w:lineRule="auto"/>
        <w:rPr>
          <w:rFonts w:ascii="Times New Roman" w:hAnsi="Times New Roman"/>
          <w:sz w:val="24"/>
          <w:szCs w:val="24"/>
        </w:rPr>
      </w:pPr>
    </w:p>
    <w:p w14:paraId="608E9AD6" w14:textId="77777777" w:rsidR="00420A00" w:rsidRPr="00FD7B0B" w:rsidRDefault="00420A00" w:rsidP="00191630">
      <w:pPr>
        <w:spacing w:after="0" w:line="240" w:lineRule="auto"/>
        <w:rPr>
          <w:rFonts w:ascii="Times New Roman" w:hAnsi="Times New Roman"/>
          <w:sz w:val="24"/>
          <w:szCs w:val="24"/>
        </w:rPr>
      </w:pPr>
    </w:p>
    <w:p w14:paraId="59D6E513" w14:textId="77777777" w:rsidR="00420A00" w:rsidRPr="00FD7B0B" w:rsidRDefault="00420A00" w:rsidP="00191630">
      <w:pPr>
        <w:spacing w:after="0" w:line="240" w:lineRule="auto"/>
        <w:rPr>
          <w:rFonts w:ascii="Times New Roman" w:hAnsi="Times New Roman"/>
          <w:sz w:val="24"/>
          <w:szCs w:val="24"/>
        </w:rPr>
      </w:pPr>
    </w:p>
    <w:p w14:paraId="241EE1DF" w14:textId="77777777" w:rsidR="00420A00" w:rsidRPr="00FD7B0B" w:rsidRDefault="00420A00" w:rsidP="00191630">
      <w:pPr>
        <w:spacing w:after="0" w:line="240" w:lineRule="auto"/>
        <w:rPr>
          <w:rFonts w:ascii="Times New Roman" w:hAnsi="Times New Roman"/>
          <w:sz w:val="24"/>
          <w:szCs w:val="24"/>
        </w:rPr>
      </w:pPr>
    </w:p>
    <w:p w14:paraId="4FCBE4EE" w14:textId="77777777" w:rsidR="00420A00" w:rsidRPr="00FD7B0B" w:rsidRDefault="00420A00" w:rsidP="00191630">
      <w:pPr>
        <w:spacing w:after="0" w:line="240" w:lineRule="auto"/>
        <w:rPr>
          <w:rFonts w:ascii="Times New Roman" w:hAnsi="Times New Roman"/>
          <w:sz w:val="24"/>
          <w:szCs w:val="24"/>
        </w:rPr>
      </w:pPr>
    </w:p>
    <w:p w14:paraId="1B0B9D56" w14:textId="2C6B440E" w:rsidR="00AD4D1E" w:rsidRPr="00FD7B0B" w:rsidRDefault="00191630" w:rsidP="00191630">
      <w:pPr>
        <w:spacing w:after="0" w:line="240" w:lineRule="auto"/>
        <w:rPr>
          <w:rFonts w:ascii="Times New Roman" w:eastAsia="Calibri" w:hAnsi="Times New Roman" w:cs="Times New Roman"/>
          <w:bCs/>
          <w:sz w:val="24"/>
          <w:szCs w:val="24"/>
        </w:rPr>
      </w:pPr>
      <w:r w:rsidRPr="00FD7B0B">
        <w:rPr>
          <w:rFonts w:ascii="Times New Roman" w:hAnsi="Times New Roman"/>
          <w:sz w:val="24"/>
          <w:szCs w:val="24"/>
        </w:rPr>
        <w:lastRenderedPageBreak/>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219</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AD4D1E" w:rsidRPr="00FD7B0B">
        <w:rPr>
          <w:rFonts w:ascii="Times New Roman" w:eastAsia="Calibri" w:hAnsi="Times New Roman" w:cs="Times New Roman"/>
          <w:bCs/>
          <w:sz w:val="24"/>
          <w:szCs w:val="24"/>
        </w:rPr>
        <w:t>Сведения о выполнении целевых показателей, установленных в рамках госпрограммы № 26 на уровне структурных элементов, в разрезе проектной (РП) и процессной (КПМ) частей, а также о расходах на их выполнение за 2024 год</w:t>
      </w:r>
    </w:p>
    <w:tbl>
      <w:tblPr>
        <w:tblStyle w:val="27"/>
        <w:tblW w:w="9607"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104"/>
        <w:gridCol w:w="703"/>
        <w:gridCol w:w="960"/>
        <w:gridCol w:w="741"/>
        <w:gridCol w:w="960"/>
        <w:gridCol w:w="1276"/>
        <w:gridCol w:w="992"/>
        <w:gridCol w:w="871"/>
      </w:tblGrid>
      <w:tr w:rsidR="00FD7B0B" w:rsidRPr="00FD7B0B" w14:paraId="29794F79" w14:textId="77777777" w:rsidTr="00855166">
        <w:trPr>
          <w:tblHeader/>
        </w:trPr>
        <w:tc>
          <w:tcPr>
            <w:tcW w:w="3104" w:type="dxa"/>
            <w:vMerge w:val="restart"/>
            <w:vAlign w:val="center"/>
          </w:tcPr>
          <w:p w14:paraId="279FB7FF"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Структурные элементы госпрограммы </w:t>
            </w:r>
          </w:p>
        </w:tc>
        <w:tc>
          <w:tcPr>
            <w:tcW w:w="2404" w:type="dxa"/>
            <w:gridSpan w:val="3"/>
            <w:vAlign w:val="center"/>
          </w:tcPr>
          <w:p w14:paraId="35627D9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Количество целевых показателей</w:t>
            </w:r>
          </w:p>
        </w:tc>
        <w:tc>
          <w:tcPr>
            <w:tcW w:w="2236" w:type="dxa"/>
            <w:gridSpan w:val="2"/>
            <w:vAlign w:val="center"/>
          </w:tcPr>
          <w:p w14:paraId="1E79D0E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Объем финансирования ГП АО № 26 на 31.12.2024</w:t>
            </w:r>
          </w:p>
        </w:tc>
        <w:tc>
          <w:tcPr>
            <w:tcW w:w="1863" w:type="dxa"/>
            <w:gridSpan w:val="2"/>
          </w:tcPr>
          <w:p w14:paraId="42509BE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Исполнено согласно отчету о реализации госпрограммы на 31.12.2024</w:t>
            </w:r>
          </w:p>
        </w:tc>
      </w:tr>
      <w:tr w:rsidR="00FD7B0B" w:rsidRPr="00FD7B0B" w14:paraId="0B8DFCA1" w14:textId="77777777" w:rsidTr="00855166">
        <w:trPr>
          <w:tblHeader/>
        </w:trPr>
        <w:tc>
          <w:tcPr>
            <w:tcW w:w="3104" w:type="dxa"/>
            <w:vMerge/>
          </w:tcPr>
          <w:p w14:paraId="2DEAA00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c>
          <w:tcPr>
            <w:tcW w:w="703" w:type="dxa"/>
            <w:vAlign w:val="center"/>
          </w:tcPr>
          <w:p w14:paraId="1D0A5343"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План</w:t>
            </w:r>
          </w:p>
        </w:tc>
        <w:tc>
          <w:tcPr>
            <w:tcW w:w="960" w:type="dxa"/>
            <w:vAlign w:val="center"/>
          </w:tcPr>
          <w:p w14:paraId="3028EA9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Фактическое выполнение</w:t>
            </w:r>
          </w:p>
        </w:tc>
        <w:tc>
          <w:tcPr>
            <w:tcW w:w="741" w:type="dxa"/>
            <w:vAlign w:val="center"/>
          </w:tcPr>
          <w:p w14:paraId="2CBC4DA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выполнения</w:t>
            </w:r>
          </w:p>
        </w:tc>
        <w:tc>
          <w:tcPr>
            <w:tcW w:w="960" w:type="dxa"/>
            <w:vAlign w:val="center"/>
          </w:tcPr>
          <w:p w14:paraId="4EFB5B8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млн.руб.</w:t>
            </w:r>
          </w:p>
        </w:tc>
        <w:tc>
          <w:tcPr>
            <w:tcW w:w="1276" w:type="dxa"/>
            <w:vAlign w:val="center"/>
          </w:tcPr>
          <w:p w14:paraId="1BF41B4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изменение к показателю на 01.01.2024, %</w:t>
            </w:r>
          </w:p>
        </w:tc>
        <w:tc>
          <w:tcPr>
            <w:tcW w:w="992" w:type="dxa"/>
            <w:vAlign w:val="center"/>
          </w:tcPr>
          <w:p w14:paraId="7EC7FBB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млн.руб.</w:t>
            </w:r>
          </w:p>
        </w:tc>
        <w:tc>
          <w:tcPr>
            <w:tcW w:w="871" w:type="dxa"/>
            <w:vAlign w:val="center"/>
          </w:tcPr>
          <w:p w14:paraId="5911664A"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выполнения</w:t>
            </w:r>
          </w:p>
        </w:tc>
      </w:tr>
      <w:tr w:rsidR="00FD7B0B" w:rsidRPr="00FD7B0B" w14:paraId="14042AD1" w14:textId="77777777" w:rsidTr="00855166">
        <w:tc>
          <w:tcPr>
            <w:tcW w:w="3104" w:type="dxa"/>
          </w:tcPr>
          <w:p w14:paraId="61215480" w14:textId="77777777" w:rsidR="00AD4D1E" w:rsidRPr="00FD7B0B" w:rsidRDefault="00AD4D1E" w:rsidP="00855166">
            <w:pPr>
              <w:spacing w:after="80"/>
              <w:contextualSpacing/>
              <w:rPr>
                <w:rFonts w:ascii="Times New Roman" w:eastAsia="Times New Roman" w:hAnsi="Times New Roman"/>
                <w:i/>
                <w:sz w:val="18"/>
                <w:szCs w:val="18"/>
                <w:lang w:eastAsia="ru-RU"/>
              </w:rPr>
            </w:pPr>
            <w:r w:rsidRPr="00FD7B0B">
              <w:rPr>
                <w:rFonts w:ascii="Times New Roman" w:eastAsia="Times New Roman" w:hAnsi="Times New Roman"/>
                <w:i/>
                <w:sz w:val="18"/>
                <w:szCs w:val="18"/>
                <w:lang w:eastAsia="ru-RU"/>
              </w:rPr>
              <w:t>Проектная часть госпрограммы</w:t>
            </w:r>
          </w:p>
        </w:tc>
        <w:tc>
          <w:tcPr>
            <w:tcW w:w="703" w:type="dxa"/>
            <w:vAlign w:val="center"/>
          </w:tcPr>
          <w:p w14:paraId="56B38C3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w:t>
            </w:r>
          </w:p>
        </w:tc>
        <w:tc>
          <w:tcPr>
            <w:tcW w:w="960" w:type="dxa"/>
            <w:vAlign w:val="center"/>
          </w:tcPr>
          <w:p w14:paraId="4115F78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18</w:t>
            </w:r>
          </w:p>
        </w:tc>
        <w:tc>
          <w:tcPr>
            <w:tcW w:w="741" w:type="dxa"/>
            <w:vAlign w:val="center"/>
          </w:tcPr>
          <w:p w14:paraId="02C6246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85,7</w:t>
            </w:r>
          </w:p>
        </w:tc>
        <w:tc>
          <w:tcPr>
            <w:tcW w:w="960" w:type="dxa"/>
            <w:vAlign w:val="center"/>
          </w:tcPr>
          <w:p w14:paraId="066F50E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2 104,1</w:t>
            </w:r>
          </w:p>
        </w:tc>
        <w:tc>
          <w:tcPr>
            <w:tcW w:w="1276" w:type="dxa"/>
            <w:vAlign w:val="center"/>
          </w:tcPr>
          <w:p w14:paraId="777F33F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+1 533,45</w:t>
            </w:r>
          </w:p>
        </w:tc>
        <w:tc>
          <w:tcPr>
            <w:tcW w:w="992" w:type="dxa"/>
            <w:vAlign w:val="center"/>
          </w:tcPr>
          <w:p w14:paraId="65FA56BA"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2 072,8</w:t>
            </w:r>
          </w:p>
        </w:tc>
        <w:tc>
          <w:tcPr>
            <w:tcW w:w="871" w:type="dxa"/>
            <w:vAlign w:val="center"/>
          </w:tcPr>
          <w:p w14:paraId="4FDE08C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FD7B0B" w:rsidRPr="00FD7B0B" w14:paraId="4C69F933" w14:textId="77777777" w:rsidTr="00855166">
        <w:tc>
          <w:tcPr>
            <w:tcW w:w="3104" w:type="dxa"/>
          </w:tcPr>
          <w:p w14:paraId="7EEB49F2"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РП «Создание благоприятных условий для осуществления деятельности самозанятыми гражданами»</w:t>
            </w:r>
          </w:p>
        </w:tc>
        <w:tc>
          <w:tcPr>
            <w:tcW w:w="703" w:type="dxa"/>
            <w:vAlign w:val="center"/>
          </w:tcPr>
          <w:p w14:paraId="2380C7B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960" w:type="dxa"/>
            <w:vAlign w:val="center"/>
          </w:tcPr>
          <w:p w14:paraId="1E79B80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741" w:type="dxa"/>
            <w:vAlign w:val="center"/>
          </w:tcPr>
          <w:p w14:paraId="3E95BF8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c>
          <w:tcPr>
            <w:tcW w:w="960" w:type="dxa"/>
            <w:vAlign w:val="center"/>
          </w:tcPr>
          <w:p w14:paraId="11E0A55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5,8</w:t>
            </w:r>
          </w:p>
        </w:tc>
        <w:tc>
          <w:tcPr>
            <w:tcW w:w="1276" w:type="dxa"/>
            <w:vAlign w:val="center"/>
          </w:tcPr>
          <w:p w14:paraId="7233962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92" w:type="dxa"/>
            <w:vAlign w:val="center"/>
          </w:tcPr>
          <w:p w14:paraId="4015368E"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5,8</w:t>
            </w:r>
          </w:p>
        </w:tc>
        <w:tc>
          <w:tcPr>
            <w:tcW w:w="871" w:type="dxa"/>
            <w:vAlign w:val="center"/>
          </w:tcPr>
          <w:p w14:paraId="08DAC95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r>
      <w:tr w:rsidR="00FD7B0B" w:rsidRPr="00FD7B0B" w14:paraId="34A86D43" w14:textId="77777777" w:rsidTr="00855166">
        <w:tc>
          <w:tcPr>
            <w:tcW w:w="3104" w:type="dxa"/>
          </w:tcPr>
          <w:p w14:paraId="1889EC07"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 РП «Акселерация субъектов малого и среднего предпринимательства»</w:t>
            </w:r>
          </w:p>
        </w:tc>
        <w:tc>
          <w:tcPr>
            <w:tcW w:w="703" w:type="dxa"/>
            <w:vAlign w:val="center"/>
          </w:tcPr>
          <w:p w14:paraId="7E307B7E"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960" w:type="dxa"/>
            <w:vAlign w:val="center"/>
          </w:tcPr>
          <w:p w14:paraId="24FE7E6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741" w:type="dxa"/>
            <w:vAlign w:val="center"/>
          </w:tcPr>
          <w:p w14:paraId="5243B8A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c>
          <w:tcPr>
            <w:tcW w:w="960" w:type="dxa"/>
            <w:vAlign w:val="center"/>
          </w:tcPr>
          <w:p w14:paraId="0B0F3E2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100,4</w:t>
            </w:r>
          </w:p>
        </w:tc>
        <w:tc>
          <w:tcPr>
            <w:tcW w:w="1276" w:type="dxa"/>
            <w:vAlign w:val="center"/>
          </w:tcPr>
          <w:p w14:paraId="62D0181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+57,5</w:t>
            </w:r>
          </w:p>
        </w:tc>
        <w:tc>
          <w:tcPr>
            <w:tcW w:w="992" w:type="dxa"/>
            <w:vAlign w:val="center"/>
          </w:tcPr>
          <w:p w14:paraId="6438ED7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100,4</w:t>
            </w:r>
          </w:p>
        </w:tc>
        <w:tc>
          <w:tcPr>
            <w:tcW w:w="871" w:type="dxa"/>
            <w:vAlign w:val="center"/>
          </w:tcPr>
          <w:p w14:paraId="76FBCB0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r>
      <w:tr w:rsidR="00FD7B0B" w:rsidRPr="00FD7B0B" w14:paraId="2090A4F9" w14:textId="77777777" w:rsidTr="00855166">
        <w:tc>
          <w:tcPr>
            <w:tcW w:w="3104" w:type="dxa"/>
          </w:tcPr>
          <w:p w14:paraId="3C74734A"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 РП «Адресная поддержка повышения производительности труда на предприятиях»</w:t>
            </w:r>
          </w:p>
        </w:tc>
        <w:tc>
          <w:tcPr>
            <w:tcW w:w="703" w:type="dxa"/>
            <w:vAlign w:val="center"/>
          </w:tcPr>
          <w:p w14:paraId="5A77B07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13</w:t>
            </w:r>
          </w:p>
        </w:tc>
        <w:tc>
          <w:tcPr>
            <w:tcW w:w="960" w:type="dxa"/>
            <w:vAlign w:val="center"/>
          </w:tcPr>
          <w:p w14:paraId="3CB9326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13</w:t>
            </w:r>
          </w:p>
        </w:tc>
        <w:tc>
          <w:tcPr>
            <w:tcW w:w="741" w:type="dxa"/>
            <w:vAlign w:val="center"/>
          </w:tcPr>
          <w:p w14:paraId="27D042B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c>
          <w:tcPr>
            <w:tcW w:w="960" w:type="dxa"/>
            <w:vAlign w:val="center"/>
          </w:tcPr>
          <w:p w14:paraId="7B9CF68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9,0</w:t>
            </w:r>
          </w:p>
        </w:tc>
        <w:tc>
          <w:tcPr>
            <w:tcW w:w="1276" w:type="dxa"/>
            <w:vAlign w:val="center"/>
          </w:tcPr>
          <w:p w14:paraId="4FAB20F1"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+1,8</w:t>
            </w:r>
          </w:p>
        </w:tc>
        <w:tc>
          <w:tcPr>
            <w:tcW w:w="992" w:type="dxa"/>
            <w:vAlign w:val="center"/>
          </w:tcPr>
          <w:p w14:paraId="731B8D7F"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9,0</w:t>
            </w:r>
          </w:p>
        </w:tc>
        <w:tc>
          <w:tcPr>
            <w:tcW w:w="871" w:type="dxa"/>
            <w:vAlign w:val="center"/>
          </w:tcPr>
          <w:p w14:paraId="03103A13"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r>
      <w:tr w:rsidR="00FD7B0B" w:rsidRPr="00FD7B0B" w14:paraId="6220348A" w14:textId="77777777" w:rsidTr="00855166">
        <w:tc>
          <w:tcPr>
            <w:tcW w:w="3104" w:type="dxa"/>
          </w:tcPr>
          <w:p w14:paraId="6815B588"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 РП «Системные меры развития международной кооперации и экспорта»</w:t>
            </w:r>
          </w:p>
        </w:tc>
        <w:tc>
          <w:tcPr>
            <w:tcW w:w="703" w:type="dxa"/>
            <w:vAlign w:val="center"/>
          </w:tcPr>
          <w:p w14:paraId="23E2016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960" w:type="dxa"/>
            <w:vAlign w:val="center"/>
          </w:tcPr>
          <w:p w14:paraId="305D25A3"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741" w:type="dxa"/>
            <w:vAlign w:val="center"/>
          </w:tcPr>
          <w:p w14:paraId="0079A7C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c>
          <w:tcPr>
            <w:tcW w:w="960" w:type="dxa"/>
            <w:vAlign w:val="center"/>
          </w:tcPr>
          <w:p w14:paraId="5626FED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1276" w:type="dxa"/>
            <w:vAlign w:val="center"/>
          </w:tcPr>
          <w:p w14:paraId="310AA39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92" w:type="dxa"/>
            <w:vAlign w:val="center"/>
          </w:tcPr>
          <w:p w14:paraId="0032D35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871" w:type="dxa"/>
            <w:vAlign w:val="center"/>
          </w:tcPr>
          <w:p w14:paraId="38E2714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r>
      <w:tr w:rsidR="00FD7B0B" w:rsidRPr="00FD7B0B" w14:paraId="28BE5363" w14:textId="77777777" w:rsidTr="00855166">
        <w:tc>
          <w:tcPr>
            <w:tcW w:w="3104" w:type="dxa"/>
          </w:tcPr>
          <w:p w14:paraId="088C7D82" w14:textId="77777777" w:rsidR="00AD4D1E" w:rsidRPr="00FD7B0B" w:rsidRDefault="00AD4D1E" w:rsidP="00855166">
            <w:pPr>
              <w:spacing w:after="80"/>
              <w:contextualSpacing/>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5 РП «Развитие промышленности»</w:t>
            </w:r>
          </w:p>
        </w:tc>
        <w:tc>
          <w:tcPr>
            <w:tcW w:w="703" w:type="dxa"/>
            <w:vAlign w:val="center"/>
          </w:tcPr>
          <w:p w14:paraId="10B7A2DF"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2</w:t>
            </w:r>
          </w:p>
        </w:tc>
        <w:tc>
          <w:tcPr>
            <w:tcW w:w="960" w:type="dxa"/>
            <w:vAlign w:val="center"/>
          </w:tcPr>
          <w:p w14:paraId="6FEFF2CA"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1</w:t>
            </w:r>
          </w:p>
        </w:tc>
        <w:tc>
          <w:tcPr>
            <w:tcW w:w="741" w:type="dxa"/>
            <w:vAlign w:val="center"/>
          </w:tcPr>
          <w:p w14:paraId="63422EE9"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50</w:t>
            </w:r>
          </w:p>
        </w:tc>
        <w:tc>
          <w:tcPr>
            <w:tcW w:w="960" w:type="dxa"/>
            <w:vAlign w:val="center"/>
          </w:tcPr>
          <w:p w14:paraId="7D0E807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89,4</w:t>
            </w:r>
          </w:p>
        </w:tc>
        <w:tc>
          <w:tcPr>
            <w:tcW w:w="1276" w:type="dxa"/>
            <w:vAlign w:val="center"/>
          </w:tcPr>
          <w:p w14:paraId="3063AE6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+2,5</w:t>
            </w:r>
          </w:p>
        </w:tc>
        <w:tc>
          <w:tcPr>
            <w:tcW w:w="992" w:type="dxa"/>
            <w:vAlign w:val="center"/>
          </w:tcPr>
          <w:p w14:paraId="7B255BA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91,9</w:t>
            </w:r>
          </w:p>
        </w:tc>
        <w:tc>
          <w:tcPr>
            <w:tcW w:w="871" w:type="dxa"/>
            <w:vAlign w:val="center"/>
          </w:tcPr>
          <w:p w14:paraId="63394FF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p>
        </w:tc>
      </w:tr>
      <w:tr w:rsidR="00FD7B0B" w:rsidRPr="00FD7B0B" w14:paraId="64E5B9EC" w14:textId="77777777" w:rsidTr="00855166">
        <w:tc>
          <w:tcPr>
            <w:tcW w:w="3104" w:type="dxa"/>
          </w:tcPr>
          <w:p w14:paraId="2891B277"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 РП «Стимулирование спроса на отечественные беспилотные авиационные системы (Архангельская область)»</w:t>
            </w:r>
          </w:p>
        </w:tc>
        <w:tc>
          <w:tcPr>
            <w:tcW w:w="703" w:type="dxa"/>
            <w:vAlign w:val="center"/>
          </w:tcPr>
          <w:p w14:paraId="78784D3A"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3</w:t>
            </w:r>
          </w:p>
        </w:tc>
        <w:tc>
          <w:tcPr>
            <w:tcW w:w="960" w:type="dxa"/>
            <w:vAlign w:val="center"/>
          </w:tcPr>
          <w:p w14:paraId="3A37ADA5"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1</w:t>
            </w:r>
          </w:p>
        </w:tc>
        <w:tc>
          <w:tcPr>
            <w:tcW w:w="741" w:type="dxa"/>
            <w:vAlign w:val="center"/>
          </w:tcPr>
          <w:p w14:paraId="050D6B49"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33,3</w:t>
            </w:r>
          </w:p>
        </w:tc>
        <w:tc>
          <w:tcPr>
            <w:tcW w:w="960" w:type="dxa"/>
            <w:vAlign w:val="center"/>
          </w:tcPr>
          <w:p w14:paraId="6ED988E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308,1</w:t>
            </w:r>
          </w:p>
        </w:tc>
        <w:tc>
          <w:tcPr>
            <w:tcW w:w="1276" w:type="dxa"/>
            <w:vAlign w:val="center"/>
          </w:tcPr>
          <w:p w14:paraId="2A66581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+308,1</w:t>
            </w:r>
          </w:p>
        </w:tc>
        <w:tc>
          <w:tcPr>
            <w:tcW w:w="992" w:type="dxa"/>
            <w:vAlign w:val="center"/>
          </w:tcPr>
          <w:p w14:paraId="334E578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278,1</w:t>
            </w:r>
          </w:p>
        </w:tc>
        <w:tc>
          <w:tcPr>
            <w:tcW w:w="871" w:type="dxa"/>
            <w:vAlign w:val="center"/>
          </w:tcPr>
          <w:p w14:paraId="5F80A27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90,3</w:t>
            </w:r>
          </w:p>
        </w:tc>
      </w:tr>
      <w:tr w:rsidR="00FD7B0B" w:rsidRPr="00FD7B0B" w14:paraId="30EE2253" w14:textId="77777777" w:rsidTr="00855166">
        <w:tc>
          <w:tcPr>
            <w:tcW w:w="3104" w:type="dxa"/>
          </w:tcPr>
          <w:p w14:paraId="5C1A74E4"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 РП «Создание условий для легкого старта и комфортного ведения бизнеса»</w:t>
            </w:r>
          </w:p>
        </w:tc>
        <w:tc>
          <w:tcPr>
            <w:tcW w:w="703" w:type="dxa"/>
            <w:vAlign w:val="center"/>
          </w:tcPr>
          <w:p w14:paraId="7E0326B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60" w:type="dxa"/>
            <w:vAlign w:val="center"/>
          </w:tcPr>
          <w:p w14:paraId="59F13D2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741" w:type="dxa"/>
            <w:vAlign w:val="center"/>
          </w:tcPr>
          <w:p w14:paraId="16C3F8F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60" w:type="dxa"/>
            <w:vAlign w:val="center"/>
          </w:tcPr>
          <w:p w14:paraId="773379AA"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25,4</w:t>
            </w:r>
          </w:p>
        </w:tc>
        <w:tc>
          <w:tcPr>
            <w:tcW w:w="1276" w:type="dxa"/>
            <w:vAlign w:val="center"/>
          </w:tcPr>
          <w:p w14:paraId="0CCF6FB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92" w:type="dxa"/>
            <w:vAlign w:val="center"/>
          </w:tcPr>
          <w:p w14:paraId="0CFD63D3"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25,3</w:t>
            </w:r>
          </w:p>
        </w:tc>
        <w:tc>
          <w:tcPr>
            <w:tcW w:w="871" w:type="dxa"/>
            <w:vAlign w:val="center"/>
          </w:tcPr>
          <w:p w14:paraId="6FEB4CC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99,9</w:t>
            </w:r>
          </w:p>
        </w:tc>
      </w:tr>
      <w:tr w:rsidR="00FD7B0B" w:rsidRPr="00FD7B0B" w14:paraId="36578B79" w14:textId="77777777" w:rsidTr="00855166">
        <w:tc>
          <w:tcPr>
            <w:tcW w:w="3104" w:type="dxa"/>
          </w:tcPr>
          <w:p w14:paraId="3AA79981"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 РП «Системные меры по повышению производительности труда»</w:t>
            </w:r>
          </w:p>
        </w:tc>
        <w:tc>
          <w:tcPr>
            <w:tcW w:w="703" w:type="dxa"/>
            <w:vAlign w:val="center"/>
          </w:tcPr>
          <w:p w14:paraId="4AB8AB0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60" w:type="dxa"/>
            <w:vAlign w:val="center"/>
          </w:tcPr>
          <w:p w14:paraId="2986EC9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741" w:type="dxa"/>
            <w:vAlign w:val="center"/>
          </w:tcPr>
          <w:p w14:paraId="3830032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60" w:type="dxa"/>
            <w:vAlign w:val="center"/>
          </w:tcPr>
          <w:p w14:paraId="24F69B6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0,07</w:t>
            </w:r>
          </w:p>
        </w:tc>
        <w:tc>
          <w:tcPr>
            <w:tcW w:w="1276" w:type="dxa"/>
            <w:vAlign w:val="center"/>
          </w:tcPr>
          <w:p w14:paraId="23B4B841"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+0,045</w:t>
            </w:r>
          </w:p>
        </w:tc>
        <w:tc>
          <w:tcPr>
            <w:tcW w:w="992" w:type="dxa"/>
            <w:vAlign w:val="center"/>
          </w:tcPr>
          <w:p w14:paraId="670D566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0,07</w:t>
            </w:r>
          </w:p>
        </w:tc>
        <w:tc>
          <w:tcPr>
            <w:tcW w:w="871" w:type="dxa"/>
            <w:vAlign w:val="center"/>
          </w:tcPr>
          <w:p w14:paraId="05B97203"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r>
      <w:tr w:rsidR="00FD7B0B" w:rsidRPr="00FD7B0B" w14:paraId="1A4EB327" w14:textId="77777777" w:rsidTr="00855166">
        <w:tc>
          <w:tcPr>
            <w:tcW w:w="3104" w:type="dxa"/>
          </w:tcPr>
          <w:p w14:paraId="578E6524"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 РП «Создание сети современных кампусов»</w:t>
            </w:r>
          </w:p>
        </w:tc>
        <w:tc>
          <w:tcPr>
            <w:tcW w:w="703" w:type="dxa"/>
            <w:vAlign w:val="center"/>
          </w:tcPr>
          <w:p w14:paraId="0CCAFB2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60" w:type="dxa"/>
            <w:vAlign w:val="center"/>
          </w:tcPr>
          <w:p w14:paraId="621208A4"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741" w:type="dxa"/>
            <w:vAlign w:val="center"/>
          </w:tcPr>
          <w:p w14:paraId="68E276F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60" w:type="dxa"/>
            <w:vAlign w:val="center"/>
          </w:tcPr>
          <w:p w14:paraId="52FB819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450,0</w:t>
            </w:r>
          </w:p>
        </w:tc>
        <w:tc>
          <w:tcPr>
            <w:tcW w:w="1276" w:type="dxa"/>
            <w:vAlign w:val="center"/>
          </w:tcPr>
          <w:p w14:paraId="15A7EBE8"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+50,0</w:t>
            </w:r>
          </w:p>
        </w:tc>
        <w:tc>
          <w:tcPr>
            <w:tcW w:w="992" w:type="dxa"/>
            <w:vAlign w:val="center"/>
          </w:tcPr>
          <w:p w14:paraId="6611D98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450,0</w:t>
            </w:r>
          </w:p>
        </w:tc>
        <w:tc>
          <w:tcPr>
            <w:tcW w:w="871" w:type="dxa"/>
            <w:vAlign w:val="center"/>
          </w:tcPr>
          <w:p w14:paraId="55D2FD5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w:t>
            </w:r>
          </w:p>
        </w:tc>
      </w:tr>
      <w:tr w:rsidR="00FD7B0B" w:rsidRPr="00FD7B0B" w14:paraId="79EFB734" w14:textId="77777777" w:rsidTr="00855166">
        <w:tc>
          <w:tcPr>
            <w:tcW w:w="3104" w:type="dxa"/>
          </w:tcPr>
          <w:p w14:paraId="583B94E4"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 РП «Государственная поддержка реализации на территории Арктической зоны Российской Федерации инвестиционных проектов»</w:t>
            </w:r>
          </w:p>
        </w:tc>
        <w:tc>
          <w:tcPr>
            <w:tcW w:w="703" w:type="dxa"/>
            <w:vAlign w:val="center"/>
          </w:tcPr>
          <w:p w14:paraId="00CBD1BD"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60" w:type="dxa"/>
            <w:vAlign w:val="center"/>
          </w:tcPr>
          <w:p w14:paraId="2639EA2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741" w:type="dxa"/>
            <w:vAlign w:val="center"/>
          </w:tcPr>
          <w:p w14:paraId="16D866E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960" w:type="dxa"/>
            <w:vAlign w:val="center"/>
          </w:tcPr>
          <w:p w14:paraId="06F0B2F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1 113,5</w:t>
            </w:r>
          </w:p>
        </w:tc>
        <w:tc>
          <w:tcPr>
            <w:tcW w:w="1276" w:type="dxa"/>
            <w:vAlign w:val="center"/>
          </w:tcPr>
          <w:p w14:paraId="5B0EF71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+1 113,5</w:t>
            </w:r>
          </w:p>
        </w:tc>
        <w:tc>
          <w:tcPr>
            <w:tcW w:w="992" w:type="dxa"/>
            <w:vAlign w:val="center"/>
          </w:tcPr>
          <w:p w14:paraId="682A6D3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1 112,3</w:t>
            </w:r>
          </w:p>
        </w:tc>
        <w:tc>
          <w:tcPr>
            <w:tcW w:w="871" w:type="dxa"/>
            <w:vAlign w:val="center"/>
          </w:tcPr>
          <w:p w14:paraId="3EAC7AC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99,9</w:t>
            </w:r>
          </w:p>
        </w:tc>
      </w:tr>
      <w:tr w:rsidR="00FD7B0B" w:rsidRPr="00FD7B0B" w14:paraId="2B791991" w14:textId="77777777" w:rsidTr="00855166">
        <w:tc>
          <w:tcPr>
            <w:tcW w:w="3104" w:type="dxa"/>
          </w:tcPr>
          <w:p w14:paraId="7C543096" w14:textId="77777777" w:rsidR="00AD4D1E" w:rsidRPr="00FD7B0B" w:rsidRDefault="00AD4D1E" w:rsidP="00855166">
            <w:pPr>
              <w:spacing w:after="80"/>
              <w:contextualSpacing/>
              <w:rPr>
                <w:rFonts w:ascii="Times New Roman" w:eastAsia="Times New Roman" w:hAnsi="Times New Roman"/>
                <w:i/>
                <w:sz w:val="18"/>
                <w:szCs w:val="18"/>
                <w:lang w:eastAsia="ru-RU"/>
              </w:rPr>
            </w:pPr>
            <w:r w:rsidRPr="00FD7B0B">
              <w:rPr>
                <w:rFonts w:ascii="Times New Roman" w:eastAsia="Times New Roman" w:hAnsi="Times New Roman"/>
                <w:i/>
                <w:sz w:val="18"/>
                <w:szCs w:val="18"/>
                <w:lang w:eastAsia="ru-RU"/>
              </w:rPr>
              <w:t>Процессная часть госпрограммы</w:t>
            </w:r>
          </w:p>
        </w:tc>
        <w:tc>
          <w:tcPr>
            <w:tcW w:w="703" w:type="dxa"/>
            <w:vAlign w:val="center"/>
          </w:tcPr>
          <w:p w14:paraId="44D8DD8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w:t>
            </w:r>
          </w:p>
        </w:tc>
        <w:tc>
          <w:tcPr>
            <w:tcW w:w="960" w:type="dxa"/>
            <w:vAlign w:val="center"/>
          </w:tcPr>
          <w:p w14:paraId="4EB6972C"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w:t>
            </w:r>
          </w:p>
        </w:tc>
        <w:tc>
          <w:tcPr>
            <w:tcW w:w="741" w:type="dxa"/>
            <w:vAlign w:val="center"/>
          </w:tcPr>
          <w:p w14:paraId="4DD24FBF"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60</w:t>
            </w:r>
          </w:p>
        </w:tc>
        <w:tc>
          <w:tcPr>
            <w:tcW w:w="960" w:type="dxa"/>
            <w:vAlign w:val="center"/>
          </w:tcPr>
          <w:p w14:paraId="184A2749"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600,1</w:t>
            </w:r>
          </w:p>
        </w:tc>
        <w:tc>
          <w:tcPr>
            <w:tcW w:w="1276" w:type="dxa"/>
            <w:vAlign w:val="center"/>
          </w:tcPr>
          <w:p w14:paraId="6FD1C74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+104,5</w:t>
            </w:r>
          </w:p>
        </w:tc>
        <w:tc>
          <w:tcPr>
            <w:tcW w:w="992" w:type="dxa"/>
            <w:vAlign w:val="center"/>
          </w:tcPr>
          <w:p w14:paraId="5DD6CBA1"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598,7</w:t>
            </w:r>
          </w:p>
        </w:tc>
        <w:tc>
          <w:tcPr>
            <w:tcW w:w="871" w:type="dxa"/>
            <w:vAlign w:val="center"/>
          </w:tcPr>
          <w:p w14:paraId="144EBB6E"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99,8</w:t>
            </w:r>
          </w:p>
        </w:tc>
      </w:tr>
      <w:tr w:rsidR="00FD7B0B" w:rsidRPr="00FD7B0B" w14:paraId="4A55C676" w14:textId="77777777" w:rsidTr="00855166">
        <w:tc>
          <w:tcPr>
            <w:tcW w:w="3104" w:type="dxa"/>
          </w:tcPr>
          <w:p w14:paraId="5FD6A8C4"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КПМ ««Экономическое и научное развитие Архангельской области»</w:t>
            </w:r>
          </w:p>
        </w:tc>
        <w:tc>
          <w:tcPr>
            <w:tcW w:w="703" w:type="dxa"/>
            <w:vAlign w:val="center"/>
          </w:tcPr>
          <w:p w14:paraId="49153FEB"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10</w:t>
            </w:r>
          </w:p>
        </w:tc>
        <w:tc>
          <w:tcPr>
            <w:tcW w:w="960" w:type="dxa"/>
            <w:vAlign w:val="center"/>
          </w:tcPr>
          <w:p w14:paraId="4F41F69B"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6</w:t>
            </w:r>
          </w:p>
        </w:tc>
        <w:tc>
          <w:tcPr>
            <w:tcW w:w="741" w:type="dxa"/>
            <w:vAlign w:val="center"/>
          </w:tcPr>
          <w:p w14:paraId="309E8927"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60</w:t>
            </w:r>
          </w:p>
        </w:tc>
        <w:tc>
          <w:tcPr>
            <w:tcW w:w="960" w:type="dxa"/>
            <w:vAlign w:val="center"/>
          </w:tcPr>
          <w:p w14:paraId="4D0065C6"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600,1</w:t>
            </w:r>
          </w:p>
        </w:tc>
        <w:tc>
          <w:tcPr>
            <w:tcW w:w="1276" w:type="dxa"/>
            <w:vAlign w:val="center"/>
          </w:tcPr>
          <w:p w14:paraId="234D3725"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+104,5</w:t>
            </w:r>
          </w:p>
        </w:tc>
        <w:tc>
          <w:tcPr>
            <w:tcW w:w="992" w:type="dxa"/>
            <w:vAlign w:val="center"/>
          </w:tcPr>
          <w:p w14:paraId="64495497"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598,7</w:t>
            </w:r>
          </w:p>
        </w:tc>
        <w:tc>
          <w:tcPr>
            <w:tcW w:w="871" w:type="dxa"/>
            <w:vAlign w:val="center"/>
          </w:tcPr>
          <w:p w14:paraId="6C3F1000"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99,8</w:t>
            </w:r>
          </w:p>
        </w:tc>
      </w:tr>
      <w:tr w:rsidR="00AD4D1E" w:rsidRPr="00FD7B0B" w14:paraId="00EB3E45" w14:textId="77777777" w:rsidTr="00855166">
        <w:tc>
          <w:tcPr>
            <w:tcW w:w="3104" w:type="dxa"/>
          </w:tcPr>
          <w:p w14:paraId="57AB7D73" w14:textId="77777777" w:rsidR="00AD4D1E" w:rsidRPr="00FD7B0B" w:rsidRDefault="00AD4D1E" w:rsidP="00855166">
            <w:pPr>
              <w:spacing w:after="80"/>
              <w:contextualSpacing/>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Итого</w:t>
            </w:r>
          </w:p>
        </w:tc>
        <w:tc>
          <w:tcPr>
            <w:tcW w:w="703" w:type="dxa"/>
            <w:vAlign w:val="center"/>
          </w:tcPr>
          <w:p w14:paraId="68F883C9"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31</w:t>
            </w:r>
          </w:p>
        </w:tc>
        <w:tc>
          <w:tcPr>
            <w:tcW w:w="960" w:type="dxa"/>
            <w:vAlign w:val="center"/>
          </w:tcPr>
          <w:p w14:paraId="20E49C26" w14:textId="77777777" w:rsidR="00AD4D1E" w:rsidRPr="00FD7B0B" w:rsidRDefault="00AD4D1E" w:rsidP="00AD4D1E">
            <w:pPr>
              <w:spacing w:after="80"/>
              <w:contextualSpacing/>
              <w:jc w:val="center"/>
              <w:rPr>
                <w:rFonts w:ascii="Times New Roman" w:eastAsia="Times New Roman" w:hAnsi="Times New Roman"/>
                <w:b/>
                <w:sz w:val="18"/>
                <w:szCs w:val="18"/>
                <w:lang w:eastAsia="ru-RU"/>
              </w:rPr>
            </w:pPr>
            <w:r w:rsidRPr="00FD7B0B">
              <w:rPr>
                <w:rFonts w:ascii="Times New Roman" w:eastAsia="Times New Roman" w:hAnsi="Times New Roman"/>
                <w:b/>
                <w:sz w:val="18"/>
                <w:szCs w:val="18"/>
                <w:lang w:eastAsia="ru-RU"/>
              </w:rPr>
              <w:t>24</w:t>
            </w:r>
          </w:p>
        </w:tc>
        <w:tc>
          <w:tcPr>
            <w:tcW w:w="741" w:type="dxa"/>
            <w:vAlign w:val="center"/>
          </w:tcPr>
          <w:p w14:paraId="7D472761"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77,4</w:t>
            </w:r>
          </w:p>
        </w:tc>
        <w:tc>
          <w:tcPr>
            <w:tcW w:w="960" w:type="dxa"/>
            <w:vAlign w:val="center"/>
          </w:tcPr>
          <w:p w14:paraId="2DBEC2AE"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2 704,2</w:t>
            </w:r>
          </w:p>
        </w:tc>
        <w:tc>
          <w:tcPr>
            <w:tcW w:w="1276" w:type="dxa"/>
            <w:vAlign w:val="center"/>
          </w:tcPr>
          <w:p w14:paraId="0A3F4C3B"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+1 637,9</w:t>
            </w:r>
          </w:p>
        </w:tc>
        <w:tc>
          <w:tcPr>
            <w:tcW w:w="992" w:type="dxa"/>
            <w:vAlign w:val="center"/>
          </w:tcPr>
          <w:p w14:paraId="395C1DB2"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2 671,5</w:t>
            </w:r>
          </w:p>
        </w:tc>
        <w:tc>
          <w:tcPr>
            <w:tcW w:w="871" w:type="dxa"/>
            <w:vAlign w:val="center"/>
          </w:tcPr>
          <w:p w14:paraId="1DEBFA3A" w14:textId="77777777" w:rsidR="00AD4D1E" w:rsidRPr="00FD7B0B" w:rsidRDefault="00AD4D1E" w:rsidP="00AD4D1E">
            <w:pPr>
              <w:spacing w:after="80"/>
              <w:contextualSpacing/>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98,8</w:t>
            </w:r>
          </w:p>
        </w:tc>
      </w:tr>
    </w:tbl>
    <w:p w14:paraId="6E8D033E" w14:textId="77777777" w:rsidR="00855166" w:rsidRPr="00FD7B0B" w:rsidRDefault="00855166"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5BC07D36" w14:textId="5683443A" w:rsidR="00AD4D1E" w:rsidRPr="00FD7B0B" w:rsidRDefault="00855166"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З</w:t>
      </w:r>
      <w:r w:rsidR="00AD4D1E" w:rsidRPr="00FD7B0B">
        <w:rPr>
          <w:rFonts w:ascii="Times New Roman" w:eastAsia="Times New Roman" w:hAnsi="Times New Roman" w:cs="Times New Roman"/>
          <w:sz w:val="28"/>
          <w:szCs w:val="28"/>
          <w:lang w:eastAsia="ru-RU"/>
        </w:rPr>
        <w:t>а 2024 год из 31 показателя, установленного в рамках госпрограммы № 26 на уровне структурных элементов: проектной (РП) и процессной (КПМ) частей, достигнуты в полном объеме 24 показателя или 77,4</w:t>
      </w:r>
      <w:r w:rsidRPr="00FD7B0B">
        <w:rPr>
          <w:rFonts w:ascii="Times New Roman" w:eastAsia="Times New Roman" w:hAnsi="Times New Roman" w:cs="Times New Roman"/>
          <w:sz w:val="28"/>
          <w:szCs w:val="28"/>
          <w:lang w:eastAsia="ru-RU"/>
        </w:rPr>
        <w:t xml:space="preserve"> %.</w:t>
      </w:r>
    </w:p>
    <w:p w14:paraId="0290578A" w14:textId="38FF4895"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Необходимо отметить, что из 9 РП, входящих в состав проектной части госпрограммы, по которым утверждены объемы финансирования,</w:t>
      </w:r>
      <w:r w:rsidRPr="00FD7B0B">
        <w:t xml:space="preserve"> </w:t>
      </w:r>
      <w:r w:rsidRPr="00FD7B0B">
        <w:rPr>
          <w:rFonts w:ascii="Times New Roman" w:eastAsia="Times New Roman" w:hAnsi="Times New Roman" w:cs="Times New Roman"/>
          <w:sz w:val="28"/>
          <w:szCs w:val="28"/>
          <w:lang w:eastAsia="ru-RU"/>
        </w:rPr>
        <w:t>по 4 РП не установлены плановые значения целевых п</w:t>
      </w:r>
      <w:r w:rsidR="00855166" w:rsidRPr="00FD7B0B">
        <w:rPr>
          <w:rFonts w:ascii="Times New Roman" w:eastAsia="Times New Roman" w:hAnsi="Times New Roman" w:cs="Times New Roman"/>
          <w:sz w:val="28"/>
          <w:szCs w:val="28"/>
          <w:lang w:eastAsia="ru-RU"/>
        </w:rPr>
        <w:t>оказателей на 2024 год, из них:</w:t>
      </w:r>
    </w:p>
    <w:p w14:paraId="767AFCAE"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РП «Системные меры по повышению производительности труда» утверждено 0,07 млн.руб.;</w:t>
      </w:r>
    </w:p>
    <w:p w14:paraId="673C9E37"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РП «Создание условий для легкого старта и комфортного ведения бизнеса» утверждено 25,4 млн.руб.;</w:t>
      </w:r>
    </w:p>
    <w:p w14:paraId="1B8E9041"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РП «Создание сети современных кампусов» - 450,0 млн.руб.;</w:t>
      </w:r>
    </w:p>
    <w:p w14:paraId="4740D326"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lastRenderedPageBreak/>
        <w:t>РП «Государственная поддержка реализации на территории Арктической зоны Российской Федерации инвестиционных проектов» утверждено 1 113,5 млн.руб.</w:t>
      </w:r>
    </w:p>
    <w:p w14:paraId="1CF121DD" w14:textId="2689DD16"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Из 21 целевого показателя проектной части госпрограммы № 26, выполнено в полном объеме 18 показателей или 85,7</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Не достигнуты плановые значения целевых показателей по 2 региональным проектам, в том числе:</w:t>
      </w:r>
    </w:p>
    <w:p w14:paraId="69ACD294" w14:textId="77777777"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Calibri" w:hAnsi="Times New Roman" w:cs="Times New Roman"/>
          <w:sz w:val="28"/>
          <w:szCs w:val="28"/>
        </w:rPr>
        <w:t xml:space="preserve">РП «Развитие промышленности» из 2 плановых значений целевых показателей в 2024 году не обеспечено достижение значение 1 показателя или 50%. </w:t>
      </w:r>
      <w:r w:rsidRPr="00FD7B0B">
        <w:rPr>
          <w:rFonts w:ascii="Times New Roman" w:eastAsia="Times New Roman" w:hAnsi="Times New Roman"/>
          <w:sz w:val="28"/>
          <w:szCs w:val="28"/>
          <w:lang w:eastAsia="ru-RU"/>
        </w:rPr>
        <w:t xml:space="preserve">Степень достижения показателя </w:t>
      </w:r>
      <w:r w:rsidRPr="00FD7B0B">
        <w:rPr>
          <w:rFonts w:ascii="Times New Roman" w:hAnsi="Times New Roman" w:cs="Times New Roman"/>
          <w:sz w:val="28"/>
          <w:szCs w:val="28"/>
        </w:rPr>
        <w:t>«</w:t>
      </w:r>
      <w:r w:rsidRPr="00FD7B0B">
        <w:rPr>
          <w:rFonts w:ascii="Times New Roman" w:eastAsia="Calibri" w:hAnsi="Times New Roman" w:cs="Times New Roman"/>
          <w:sz w:val="28"/>
          <w:szCs w:val="28"/>
        </w:rPr>
        <w:t xml:space="preserve">Количество проектов развития промышленности, поддержанных региональным ФРП, (единиц)» </w:t>
      </w:r>
      <w:r w:rsidRPr="00FD7B0B">
        <w:rPr>
          <w:rFonts w:ascii="Times New Roman" w:eastAsia="Times New Roman" w:hAnsi="Times New Roman"/>
          <w:sz w:val="28"/>
          <w:szCs w:val="28"/>
          <w:lang w:eastAsia="ru-RU"/>
        </w:rPr>
        <w:t xml:space="preserve">составила 85,7% Ответственный исполнитель – минэкономразвития Архангельской области. </w:t>
      </w:r>
      <w:r w:rsidRPr="00FD7B0B">
        <w:rPr>
          <w:rFonts w:ascii="Times New Roman" w:eastAsia="Times New Roman" w:hAnsi="Times New Roman" w:cs="Times New Roman"/>
          <w:sz w:val="28"/>
          <w:szCs w:val="28"/>
          <w:lang w:eastAsia="ru-RU"/>
        </w:rPr>
        <w:t>Согласно обоснованиям отклонений значений целевого показателя, отклонение от планового значения показателя обусловлено возросшим средним размером займа, что связано в том числе с ростом стоимости приобретаемого оборудования. В связи с чем было поддержано меньшее количество проектов, чем изначально запланировано;</w:t>
      </w:r>
    </w:p>
    <w:p w14:paraId="261779EB" w14:textId="77777777"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РП «Стимулирование спроса на отечественные беспилотные авиационные системы (Архангельская область)» не обеспечено достижение 2 целевых показателей из 3 установленных программой, выполнение составило 33,3%, в том числе:</w:t>
      </w:r>
    </w:p>
    <w:p w14:paraId="6DACF367" w14:textId="339F7D1A"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степень достижения показателя «Оснащение ГАУ Архангельской области «Единый лесопожарный центр» БАС до норматива, в соответствии с распоряжением Правительства РФ от 19.07.2019 № 1605-р «Об утверждении нормативов обеспеченности субъекта РФ лесопожарными формированиями, пожарной техникой и оборудованием, противопожарным снаряжением и инвентарем, иными средствами предупреждения и тушения лесных пожаров» (%), составила 10,5</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при плане 100</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xml:space="preserve">%, факт </w:t>
      </w:r>
      <w:r w:rsidR="00675C06"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xml:space="preserve"> 10</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1F0297C1" w14:textId="07E4E392" w:rsidR="00AD4D1E" w:rsidRPr="00FD7B0B" w:rsidRDefault="00AD4D1E" w:rsidP="00AD4D1E">
      <w:pPr>
        <w:spacing w:after="0" w:line="240" w:lineRule="auto"/>
        <w:ind w:firstLine="709"/>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степень достижения показателя</w:t>
      </w:r>
      <w:r w:rsidRPr="00FD7B0B">
        <w:t xml:space="preserve"> </w:t>
      </w:r>
      <w:r w:rsidRPr="00FD7B0B">
        <w:rPr>
          <w:rFonts w:ascii="Times New Roman" w:eastAsia="Times New Roman" w:hAnsi="Times New Roman" w:cs="Times New Roman"/>
          <w:sz w:val="28"/>
          <w:szCs w:val="28"/>
          <w:lang w:eastAsia="ru-RU"/>
        </w:rPr>
        <w:t>Оснащение государственных инспекторов БАС до норматива обеспеченности субъекта РФ техникой и оборудованием, необходимыми для патрулирования лесов в соответствии приказу Рослесхоза от 29.07.2021 № 608 «Об утверждении Нормативов обеспеченности субъекта РФ техникой и оборудованием, необходимыми для патрулирования лесов»</w:t>
      </w:r>
      <w:r w:rsidRPr="00FD7B0B">
        <w:t xml:space="preserve"> </w:t>
      </w:r>
      <w:r w:rsidRPr="00FD7B0B">
        <w:rPr>
          <w:rFonts w:ascii="Times New Roman" w:eastAsia="Times New Roman" w:hAnsi="Times New Roman" w:cs="Times New Roman"/>
          <w:sz w:val="28"/>
          <w:szCs w:val="28"/>
          <w:lang w:eastAsia="ru-RU"/>
        </w:rPr>
        <w:t>(%), составила 40</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при плане 7,5</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факт – 3</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Согласно обоснованиям отклонений значений 2 целевых показателей, ответственным исполнителем которых является министерство природных ресурсов и ЛПК Архангельской области, распоряжением Правительства Архангельской области от 29.10.2024 № 552-рп внесены изменения в распоряжение Правительства Архангельской области от 03.05.2024 № 221-рп «Об осуществлении в 2024 году закупки на поставку беспилотных авиационных систем у единственного поставщика», в части осуществления закупок БАС в 2024 – 2025 годах и установки предельного срока исполнения контракта до 31 декабря 2025 года.</w:t>
      </w:r>
    </w:p>
    <w:p w14:paraId="418478CA" w14:textId="3CF0140A"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По КПМ «Экономическое и научное развитие Архангельской области»</w:t>
      </w:r>
      <w:r w:rsidRPr="00FD7B0B">
        <w:t xml:space="preserve"> </w:t>
      </w:r>
      <w:r w:rsidRPr="00FD7B0B">
        <w:rPr>
          <w:rFonts w:ascii="Times New Roman" w:eastAsia="Times New Roman" w:hAnsi="Times New Roman" w:cs="Times New Roman"/>
          <w:sz w:val="28"/>
          <w:szCs w:val="28"/>
          <w:lang w:eastAsia="ru-RU"/>
        </w:rPr>
        <w:t xml:space="preserve">из 10 целевых показателей, выполнены в полном объеме значения по 6 показателям </w:t>
      </w:r>
      <w:r w:rsidRPr="00FD7B0B">
        <w:rPr>
          <w:rFonts w:ascii="Times New Roman" w:eastAsia="Times New Roman" w:hAnsi="Times New Roman" w:cs="Times New Roman"/>
          <w:sz w:val="28"/>
          <w:szCs w:val="28"/>
          <w:lang w:eastAsia="ru-RU"/>
        </w:rPr>
        <w:lastRenderedPageBreak/>
        <w:t>или 60</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r w:rsidRPr="00FD7B0B">
        <w:t xml:space="preserve"> </w:t>
      </w:r>
      <w:r w:rsidRPr="00FD7B0B">
        <w:rPr>
          <w:rFonts w:ascii="Times New Roman" w:eastAsia="Times New Roman" w:hAnsi="Times New Roman" w:cs="Times New Roman"/>
          <w:sz w:val="28"/>
          <w:szCs w:val="28"/>
          <w:lang w:eastAsia="ru-RU"/>
        </w:rPr>
        <w:t>Не достигнуты плановые значения 4 целевых показателей по КПМ, в том числе:</w:t>
      </w:r>
    </w:p>
    <w:p w14:paraId="121AC7A2" w14:textId="613D9A2C"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«Объем инвестиций в основной капитал за счет всех источников финансирования» при плановом значении 130,2 млрд.руб., достигнуто – 110,8 млрд.руб. или 85</w:t>
      </w:r>
      <w:r w:rsidR="00C1658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Ответственный исполнитель – минэкономразвития Архангельской области. Снижение объема инвестиций обусловлено завершением реализации в 2023 году ряда крупных проектов, таких как: 1. Проект «Модернизация лесоперерабатывающих мощностей на базе ООО «Группа компаний «УЛК». Фактический объем инвестиций в проект составил 5,76 млрд.руб.,</w:t>
      </w:r>
      <w:r w:rsidRPr="00FD7B0B">
        <w:t xml:space="preserve"> </w:t>
      </w:r>
      <w:r w:rsidRPr="00FD7B0B">
        <w:rPr>
          <w:rFonts w:ascii="Times New Roman" w:eastAsia="Times New Roman" w:hAnsi="Times New Roman" w:cs="Times New Roman"/>
          <w:sz w:val="28"/>
          <w:szCs w:val="28"/>
          <w:lang w:eastAsia="ru-RU"/>
        </w:rPr>
        <w:t>в АО «ЦС «Звездочка» завершено строительство цеха по производству новых типов пропульсивных комплексов и техническому перевооружению баллонного участка. Объем инвестиций в проект составил порядка 3 млрд.руб. и другие;</w:t>
      </w:r>
    </w:p>
    <w:p w14:paraId="28695B0F" w14:textId="62C13D2E"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«Доля централизованных закупок (в стоимостном выражении), %»,</w:t>
      </w:r>
      <w:r w:rsidRPr="00FD7B0B">
        <w:t xml:space="preserve"> </w:t>
      </w:r>
      <w:r w:rsidRPr="00FD7B0B">
        <w:rPr>
          <w:rFonts w:ascii="Times New Roman" w:eastAsia="Times New Roman" w:hAnsi="Times New Roman" w:cs="Times New Roman"/>
          <w:sz w:val="28"/>
          <w:szCs w:val="28"/>
          <w:lang w:eastAsia="ru-RU"/>
        </w:rPr>
        <w:t xml:space="preserve">при плановом значении </w:t>
      </w:r>
      <w:r w:rsidR="00675C06" w:rsidRPr="00FD7B0B">
        <w:rPr>
          <w:rFonts w:ascii="Times New Roman" w:eastAsia="Times New Roman" w:hAnsi="Times New Roman" w:cs="Times New Roman"/>
          <w:sz w:val="28"/>
          <w:szCs w:val="28"/>
          <w:lang w:eastAsia="ru-RU"/>
        </w:rPr>
        <w:t>–</w:t>
      </w:r>
      <w:r w:rsidRPr="00FD7B0B">
        <w:rPr>
          <w:rFonts w:ascii="Times New Roman" w:eastAsia="Times New Roman" w:hAnsi="Times New Roman" w:cs="Times New Roman"/>
          <w:sz w:val="28"/>
          <w:szCs w:val="28"/>
          <w:lang w:eastAsia="ru-RU"/>
        </w:rPr>
        <w:t xml:space="preserve"> 82</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достигнуто – 79,0</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или 96,3</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Ответственный исполнитель – контрактное агентство Архангельской области. По данному показателю прослеживается отрицательная динамика невыполнения на протяжении нескольких лет: по итогам 2022 года степень достижения данного показателя составила 98,8</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итогам 2023 года – 87,2</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итогам 2024 года – 93,3</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6CD713AE" w14:textId="780A2DD8"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«Среднее количество участников централизованных закупок, %», при плановом значении – 2,8</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достигнуто – 2,3</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или 82,1</w:t>
      </w:r>
      <w:r w:rsidR="00675C06"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Ответственный исполнитель – контрактное агентство Архангельской области.</w:t>
      </w:r>
      <w:r w:rsidRPr="00FD7B0B">
        <w:t xml:space="preserve"> </w:t>
      </w:r>
      <w:r w:rsidRPr="00FD7B0B">
        <w:rPr>
          <w:rFonts w:ascii="Times New Roman" w:eastAsia="Times New Roman" w:hAnsi="Times New Roman" w:cs="Times New Roman"/>
          <w:sz w:val="28"/>
          <w:szCs w:val="28"/>
          <w:lang w:eastAsia="ru-RU"/>
        </w:rPr>
        <w:t>Уменьшение показателя связано с проблемами в логистике, ростом цен, что вызывает опасения участвовать в государственных закупках, а также с ростом количества закупок, несостоявшихся по причине подачи одной заявки участником рынка.</w:t>
      </w:r>
      <w:r w:rsidRPr="00FD7B0B">
        <w:t xml:space="preserve"> </w:t>
      </w:r>
      <w:r w:rsidRPr="00FD7B0B">
        <w:rPr>
          <w:rFonts w:ascii="Times New Roman" w:eastAsia="Times New Roman" w:hAnsi="Times New Roman" w:cs="Times New Roman"/>
          <w:sz w:val="28"/>
          <w:szCs w:val="28"/>
          <w:lang w:eastAsia="ru-RU"/>
        </w:rPr>
        <w:t>По данному показателю также прослеживается отрицательная динамика невыполнения на протяжении нескольких лет: по итогам 2022 года степень достижения данного показателя составила 55,6</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итогам 2023 года – 92,6</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итогам 2024 года – 82,1</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121AF41F" w14:textId="66CCCBBE"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«Доля заключений об оценке регулирующего воздействия, содержащих количественные оценки, %», при плановом значении – 60</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достигнуто – 25</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или 41,7</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Не достижение указанного значения обусловлено тем, что из 8 проектов нормативных правовых актов Архангельской области, в отношении которых в 2024 году проведены процедуры оценки регулирующего воздействия, в части 6 данных проектов актов невозможно проведение количественной оценки результатов их воздействия на стадии принятия таких проектов актов.</w:t>
      </w:r>
    </w:p>
    <w:p w14:paraId="2F14111F"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2FE18D28" w14:textId="59B12DE2"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то</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же время некоторые целевые показатели в разрезе структурных элементов госпрограммы № 26 за 2024 год перевыполнены в несколько раз, в частности:</w:t>
      </w:r>
    </w:p>
    <w:p w14:paraId="7AF10887" w14:textId="040F60CD"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xml:space="preserve">- по РП «Создание благоприятных условий для осуществления деятельности самозанятыми гражданами» по целевому показателю «Количество самозанятых граждан, зафиксировавших свой статус и применяющих специальный налоговый режим «Налог на профессиональный доход» (НПД)…», </w:t>
      </w:r>
      <w:r w:rsidRPr="00FD7B0B">
        <w:rPr>
          <w:rFonts w:ascii="Times New Roman" w:eastAsia="Times New Roman" w:hAnsi="Times New Roman" w:cs="Times New Roman"/>
          <w:sz w:val="28"/>
          <w:szCs w:val="28"/>
          <w:lang w:eastAsia="ru-RU"/>
        </w:rPr>
        <w:lastRenderedPageBreak/>
        <w:t>степень достижения составила – 507,4</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при плановых значениях 9,226 тыс.человек, факт – 46,814 тыс.человек, «по причине привлекательности налогового режима по НПД для самозанятых привела к росту количества самозанятых».</w:t>
      </w:r>
      <w:r w:rsidRPr="00FD7B0B">
        <w:t xml:space="preserve"> </w:t>
      </w:r>
      <w:r w:rsidRPr="00FD7B0B">
        <w:rPr>
          <w:rFonts w:ascii="Times New Roman" w:eastAsia="Times New Roman" w:hAnsi="Times New Roman" w:cs="Times New Roman"/>
          <w:sz w:val="28"/>
          <w:szCs w:val="28"/>
          <w:lang w:eastAsia="ru-RU"/>
        </w:rPr>
        <w:t>Кроме этого, по данному показателю прослеживается тенденция значительного перевыполнения планового значения показателя на протяжении нескольких лет: по итогам 2022 года степень достижения данного показателя составила 302,4</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итогам 2023 года – 394,6</w:t>
      </w:r>
      <w:r w:rsidR="0008352E"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итогам 2024 года – 507,4</w:t>
      </w:r>
      <w:r w:rsidR="0008352E" w:rsidRPr="00FD7B0B">
        <w:rPr>
          <w:rFonts w:ascii="Times New Roman" w:eastAsia="Times New Roman" w:hAnsi="Times New Roman" w:cs="Times New Roman"/>
          <w:sz w:val="28"/>
          <w:szCs w:val="28"/>
          <w:lang w:eastAsia="ru-RU"/>
        </w:rPr>
        <w:t> </w:t>
      </w:r>
      <w:r w:rsidRPr="00FD7B0B">
        <w:rPr>
          <w:rFonts w:ascii="Times New Roman" w:eastAsia="Times New Roman" w:hAnsi="Times New Roman" w:cs="Times New Roman"/>
          <w:sz w:val="28"/>
          <w:szCs w:val="28"/>
          <w:lang w:eastAsia="ru-RU"/>
        </w:rPr>
        <w:t>%;</w:t>
      </w:r>
    </w:p>
    <w:p w14:paraId="0BE10A73" w14:textId="4A9F3CAD"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 по РП «Адресная поддержка повышения производительности труда на предприятиях» по целевому показателю «Количество сотрудников предприятий и представителей региональных команд, прошедших обучение инструментам повышения производительности труда, нарастающим итогом», степень достижения в 2024 году составила – 224,7 чел., при плановых значениях 397 чел., факт – 892 чел., степень достижения составила – 224,7</w:t>
      </w:r>
      <w:r w:rsidR="0077062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причине: показатель агрегированный, в расчет входят обученные сотрудники: предприятий-участников национального проекта, внедряющих мероприятия национального проекта самостоятельно, предприятий, внедряющих мероприятия национального проекта с ФЦК и региональных команд, что приводит к перевыполнению показателя.</w:t>
      </w:r>
      <w:r w:rsidRPr="00FD7B0B">
        <w:t xml:space="preserve"> </w:t>
      </w:r>
      <w:r w:rsidRPr="00FD7B0B">
        <w:rPr>
          <w:rFonts w:ascii="Times New Roman" w:eastAsia="Times New Roman" w:hAnsi="Times New Roman" w:cs="Times New Roman"/>
          <w:sz w:val="28"/>
          <w:szCs w:val="28"/>
          <w:lang w:eastAsia="ru-RU"/>
        </w:rPr>
        <w:t>По данному показателю также прослеживается тенденция значительного перевыполнения</w:t>
      </w:r>
      <w:r w:rsidRPr="00FD7B0B">
        <w:t xml:space="preserve"> </w:t>
      </w:r>
      <w:r w:rsidRPr="00FD7B0B">
        <w:rPr>
          <w:rFonts w:ascii="Times New Roman" w:eastAsia="Times New Roman" w:hAnsi="Times New Roman" w:cs="Times New Roman"/>
          <w:sz w:val="28"/>
          <w:szCs w:val="28"/>
          <w:lang w:eastAsia="ru-RU"/>
        </w:rPr>
        <w:t>планового значения показателя на протяжении нескольких лет: по итогам 2022 года степень достижения данного показателя составила 160</w:t>
      </w:r>
      <w:r w:rsidR="0077062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итогам 2023 года – 192</w:t>
      </w:r>
      <w:r w:rsidR="0077062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 по итогам 2024 года – 224,7</w:t>
      </w:r>
      <w:r w:rsidR="00770627" w:rsidRPr="00FD7B0B">
        <w:rPr>
          <w:rFonts w:ascii="Times New Roman" w:eastAsia="Times New Roman" w:hAnsi="Times New Roman" w:cs="Times New Roman"/>
          <w:sz w:val="28"/>
          <w:szCs w:val="28"/>
          <w:lang w:eastAsia="ru-RU"/>
        </w:rPr>
        <w:t xml:space="preserve"> </w:t>
      </w:r>
      <w:r w:rsidRPr="00FD7B0B">
        <w:rPr>
          <w:rFonts w:ascii="Times New Roman" w:eastAsia="Times New Roman" w:hAnsi="Times New Roman" w:cs="Times New Roman"/>
          <w:sz w:val="28"/>
          <w:szCs w:val="28"/>
          <w:lang w:eastAsia="ru-RU"/>
        </w:rPr>
        <w:t>%.</w:t>
      </w:r>
    </w:p>
    <w:p w14:paraId="535A845D"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5294D287"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r w:rsidRPr="00FD7B0B">
        <w:rPr>
          <w:rFonts w:ascii="Times New Roman" w:eastAsia="Times New Roman" w:hAnsi="Times New Roman" w:cs="Times New Roman"/>
          <w:sz w:val="28"/>
          <w:szCs w:val="28"/>
          <w:lang w:eastAsia="ru-RU"/>
        </w:rPr>
        <w:t>В соответствии с отчетом о реализации в 2024 году госпрограммы № 26 интегральная оценка эффективности реализации госпрограммы по итогам 2024 года составила 90,6 баллов, что свидетельствует о высокой степени эффективности реализации госпрограммы. Оценка реализации госпрограммы по исполнителям составила 93,8 баллов. При этом показатель оценки качества планирования и управления реализацией государственной программы по итогам отчетного года составил 78,0 баллов, что свидетельствует о низком качестве планирования.</w:t>
      </w:r>
    </w:p>
    <w:p w14:paraId="325D70B7"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sz w:val="28"/>
          <w:szCs w:val="28"/>
          <w:lang w:eastAsia="ru-RU"/>
        </w:rPr>
      </w:pPr>
    </w:p>
    <w:p w14:paraId="45B9F6FE" w14:textId="77777777" w:rsidR="00AD4D1E" w:rsidRPr="00FD7B0B" w:rsidRDefault="00AD4D1E" w:rsidP="00AD4D1E">
      <w:pPr>
        <w:spacing w:after="0" w:line="240" w:lineRule="auto"/>
        <w:ind w:firstLine="709"/>
        <w:contextualSpacing/>
        <w:jc w:val="both"/>
        <w:rPr>
          <w:rFonts w:ascii="Times New Roman" w:eastAsia="Times New Roman" w:hAnsi="Times New Roman" w:cs="Times New Roman"/>
          <w:i/>
          <w:sz w:val="28"/>
          <w:szCs w:val="28"/>
          <w:lang w:eastAsia="ru-RU"/>
        </w:rPr>
      </w:pPr>
      <w:r w:rsidRPr="00FD7B0B">
        <w:rPr>
          <w:rFonts w:ascii="Times New Roman" w:eastAsia="Times New Roman" w:hAnsi="Times New Roman" w:cs="Times New Roman"/>
          <w:i/>
          <w:sz w:val="28"/>
          <w:szCs w:val="28"/>
          <w:lang w:eastAsia="ru-RU"/>
        </w:rPr>
        <w:t>Оценка реализации госпрограммы № 26 согласно Методике оценки четной палаты РФ от 28.02.2023 № 9К (1614)</w:t>
      </w:r>
    </w:p>
    <w:p w14:paraId="0A45584D" w14:textId="2DC56ED9" w:rsidR="00AD4D1E" w:rsidRPr="00FD7B0B" w:rsidRDefault="00AD4D1E" w:rsidP="00AD4D1E">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Оценка исполнения государственной программы по ресурсам и результатам предс</w:t>
      </w:r>
      <w:r w:rsidR="00C16586" w:rsidRPr="00FD7B0B">
        <w:rPr>
          <w:rFonts w:ascii="Times New Roman" w:hAnsi="Times New Roman" w:cs="Times New Roman"/>
          <w:sz w:val="28"/>
          <w:szCs w:val="28"/>
        </w:rPr>
        <w:t xml:space="preserve">тавлена в таблице </w:t>
      </w:r>
      <w:r w:rsidR="00420A00" w:rsidRPr="00FD7B0B">
        <w:rPr>
          <w:rFonts w:ascii="Times New Roman" w:hAnsi="Times New Roman" w:cs="Times New Roman"/>
          <w:sz w:val="28"/>
          <w:szCs w:val="28"/>
        </w:rPr>
        <w:t>220</w:t>
      </w:r>
      <w:r w:rsidRPr="00FD7B0B">
        <w:rPr>
          <w:rFonts w:ascii="Times New Roman" w:hAnsi="Times New Roman" w:cs="Times New Roman"/>
          <w:sz w:val="28"/>
          <w:szCs w:val="28"/>
        </w:rPr>
        <w:t>.</w:t>
      </w:r>
    </w:p>
    <w:p w14:paraId="21593646" w14:textId="77777777" w:rsidR="00AD4D1E" w:rsidRPr="00FD7B0B" w:rsidRDefault="00AD4D1E" w:rsidP="00AD4D1E">
      <w:pPr>
        <w:spacing w:after="0" w:line="240" w:lineRule="auto"/>
        <w:ind w:firstLine="709"/>
        <w:jc w:val="both"/>
        <w:rPr>
          <w:rFonts w:ascii="Times New Roman" w:hAnsi="Times New Roman" w:cs="Times New Roman"/>
          <w:sz w:val="24"/>
          <w:szCs w:val="24"/>
        </w:rPr>
      </w:pPr>
    </w:p>
    <w:p w14:paraId="0A3A3E1F" w14:textId="77777777" w:rsidR="00420A00" w:rsidRPr="00FD7B0B" w:rsidRDefault="00420A00" w:rsidP="00AD4D1E">
      <w:pPr>
        <w:spacing w:after="0" w:line="240" w:lineRule="auto"/>
        <w:jc w:val="both"/>
        <w:rPr>
          <w:rFonts w:ascii="Times New Roman" w:hAnsi="Times New Roman"/>
          <w:sz w:val="24"/>
          <w:szCs w:val="24"/>
        </w:rPr>
      </w:pPr>
    </w:p>
    <w:p w14:paraId="776DEE95" w14:textId="77777777" w:rsidR="00420A00" w:rsidRPr="00FD7B0B" w:rsidRDefault="00420A00" w:rsidP="00AD4D1E">
      <w:pPr>
        <w:spacing w:after="0" w:line="240" w:lineRule="auto"/>
        <w:jc w:val="both"/>
        <w:rPr>
          <w:rFonts w:ascii="Times New Roman" w:hAnsi="Times New Roman"/>
          <w:sz w:val="24"/>
          <w:szCs w:val="24"/>
        </w:rPr>
      </w:pPr>
    </w:p>
    <w:p w14:paraId="4F66BEFB" w14:textId="77777777" w:rsidR="00420A00" w:rsidRPr="00FD7B0B" w:rsidRDefault="00420A00" w:rsidP="00AD4D1E">
      <w:pPr>
        <w:spacing w:after="0" w:line="240" w:lineRule="auto"/>
        <w:jc w:val="both"/>
        <w:rPr>
          <w:rFonts w:ascii="Times New Roman" w:hAnsi="Times New Roman"/>
          <w:sz w:val="24"/>
          <w:szCs w:val="24"/>
        </w:rPr>
      </w:pPr>
    </w:p>
    <w:p w14:paraId="33B9742F" w14:textId="77777777" w:rsidR="00420A00" w:rsidRPr="00FD7B0B" w:rsidRDefault="00420A00" w:rsidP="00AD4D1E">
      <w:pPr>
        <w:spacing w:after="0" w:line="240" w:lineRule="auto"/>
        <w:jc w:val="both"/>
        <w:rPr>
          <w:rFonts w:ascii="Times New Roman" w:hAnsi="Times New Roman"/>
          <w:sz w:val="24"/>
          <w:szCs w:val="24"/>
        </w:rPr>
      </w:pPr>
    </w:p>
    <w:p w14:paraId="6CAAF01C" w14:textId="77777777" w:rsidR="00420A00" w:rsidRPr="00FD7B0B" w:rsidRDefault="00420A00" w:rsidP="00AD4D1E">
      <w:pPr>
        <w:spacing w:after="0" w:line="240" w:lineRule="auto"/>
        <w:jc w:val="both"/>
        <w:rPr>
          <w:rFonts w:ascii="Times New Roman" w:hAnsi="Times New Roman"/>
          <w:sz w:val="24"/>
          <w:szCs w:val="24"/>
        </w:rPr>
      </w:pPr>
    </w:p>
    <w:p w14:paraId="74CA557C" w14:textId="77777777" w:rsidR="00420A00" w:rsidRPr="00FD7B0B" w:rsidRDefault="00420A00" w:rsidP="00AD4D1E">
      <w:pPr>
        <w:spacing w:after="0" w:line="240" w:lineRule="auto"/>
        <w:jc w:val="both"/>
        <w:rPr>
          <w:rFonts w:ascii="Times New Roman" w:hAnsi="Times New Roman"/>
          <w:sz w:val="24"/>
          <w:szCs w:val="24"/>
        </w:rPr>
      </w:pPr>
    </w:p>
    <w:p w14:paraId="113E64DE" w14:textId="77777777" w:rsidR="00420A00" w:rsidRPr="00FD7B0B" w:rsidRDefault="00420A00" w:rsidP="00AD4D1E">
      <w:pPr>
        <w:spacing w:after="0" w:line="240" w:lineRule="auto"/>
        <w:jc w:val="both"/>
        <w:rPr>
          <w:rFonts w:ascii="Times New Roman" w:hAnsi="Times New Roman"/>
          <w:sz w:val="24"/>
          <w:szCs w:val="24"/>
        </w:rPr>
      </w:pPr>
    </w:p>
    <w:p w14:paraId="21B06501" w14:textId="77777777" w:rsidR="00420A00" w:rsidRPr="00FD7B0B" w:rsidRDefault="00420A00" w:rsidP="00AD4D1E">
      <w:pPr>
        <w:spacing w:after="0" w:line="240" w:lineRule="auto"/>
        <w:jc w:val="both"/>
        <w:rPr>
          <w:rFonts w:ascii="Times New Roman" w:hAnsi="Times New Roman"/>
          <w:sz w:val="24"/>
          <w:szCs w:val="24"/>
        </w:rPr>
      </w:pPr>
    </w:p>
    <w:p w14:paraId="071F8E5D" w14:textId="77777777" w:rsidR="00420A00" w:rsidRPr="00FD7B0B" w:rsidRDefault="00420A00" w:rsidP="00AD4D1E">
      <w:pPr>
        <w:spacing w:after="0" w:line="240" w:lineRule="auto"/>
        <w:jc w:val="both"/>
        <w:rPr>
          <w:rFonts w:ascii="Times New Roman" w:hAnsi="Times New Roman"/>
          <w:sz w:val="24"/>
          <w:szCs w:val="24"/>
        </w:rPr>
      </w:pPr>
    </w:p>
    <w:p w14:paraId="7683ED06" w14:textId="12A452B1" w:rsidR="00AD4D1E" w:rsidRPr="00FD7B0B" w:rsidRDefault="00C16586" w:rsidP="00AD4D1E">
      <w:pPr>
        <w:spacing w:after="0" w:line="240" w:lineRule="auto"/>
        <w:jc w:val="both"/>
        <w:rPr>
          <w:rFonts w:ascii="Times New Roman" w:hAnsi="Times New Roman" w:cs="Times New Roman"/>
          <w:sz w:val="24"/>
          <w:szCs w:val="24"/>
        </w:rPr>
      </w:pPr>
      <w:r w:rsidRPr="00FD7B0B">
        <w:rPr>
          <w:rFonts w:ascii="Times New Roman" w:hAnsi="Times New Roman"/>
          <w:sz w:val="24"/>
          <w:szCs w:val="24"/>
        </w:rPr>
        <w:lastRenderedPageBreak/>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220</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AD4D1E" w:rsidRPr="00FD7B0B">
        <w:rPr>
          <w:rFonts w:ascii="Times New Roman" w:hAnsi="Times New Roman"/>
          <w:sz w:val="24"/>
          <w:szCs w:val="24"/>
        </w:rPr>
        <w:t>Оценка исполнения госпрограммы № 26 за 2024 год по ресурсам и результатам</w:t>
      </w:r>
    </w:p>
    <w:tbl>
      <w:tblPr>
        <w:tblStyle w:val="a7"/>
        <w:tblW w:w="9888" w:type="dxa"/>
        <w:tblLayout w:type="fixed"/>
        <w:tblLook w:val="04A0" w:firstRow="1" w:lastRow="0" w:firstColumn="1" w:lastColumn="0" w:noHBand="0" w:noVBand="1"/>
      </w:tblPr>
      <w:tblGrid>
        <w:gridCol w:w="1242"/>
        <w:gridCol w:w="1276"/>
        <w:gridCol w:w="1276"/>
        <w:gridCol w:w="1276"/>
        <w:gridCol w:w="1134"/>
        <w:gridCol w:w="1134"/>
        <w:gridCol w:w="1304"/>
        <w:gridCol w:w="1246"/>
      </w:tblGrid>
      <w:tr w:rsidR="00FD7B0B" w:rsidRPr="00FD7B0B" w14:paraId="3A374986" w14:textId="77777777" w:rsidTr="00AD4D1E">
        <w:trPr>
          <w:trHeight w:val="945"/>
        </w:trPr>
        <w:tc>
          <w:tcPr>
            <w:tcW w:w="1242" w:type="dxa"/>
            <w:vMerge w:val="restart"/>
            <w:tcBorders>
              <w:top w:val="double" w:sz="4" w:space="0" w:color="auto"/>
              <w:left w:val="double" w:sz="4" w:space="0" w:color="auto"/>
            </w:tcBorders>
            <w:vAlign w:val="center"/>
          </w:tcPr>
          <w:p w14:paraId="3E28F7F7" w14:textId="77777777" w:rsidR="00AD4D1E" w:rsidRPr="00FD7B0B" w:rsidRDefault="00AD4D1E" w:rsidP="00AD4D1E">
            <w:pPr>
              <w:jc w:val="center"/>
              <w:rPr>
                <w:rFonts w:ascii="Times New Roman" w:hAnsi="Times New Roman"/>
              </w:rPr>
            </w:pPr>
            <w:r w:rsidRPr="00FD7B0B">
              <w:rPr>
                <w:rFonts w:ascii="Times New Roman" w:hAnsi="Times New Roman"/>
              </w:rPr>
              <w:t>Оценка кассового исполнения госпрограммы № 26</w:t>
            </w:r>
          </w:p>
        </w:tc>
        <w:tc>
          <w:tcPr>
            <w:tcW w:w="1276" w:type="dxa"/>
            <w:vMerge w:val="restart"/>
            <w:tcBorders>
              <w:top w:val="double" w:sz="4" w:space="0" w:color="auto"/>
            </w:tcBorders>
            <w:shd w:val="clear" w:color="auto" w:fill="auto"/>
            <w:vAlign w:val="center"/>
          </w:tcPr>
          <w:p w14:paraId="44BD9114" w14:textId="77777777" w:rsidR="00AD4D1E" w:rsidRPr="00FD7B0B" w:rsidRDefault="00AD4D1E" w:rsidP="00AD4D1E">
            <w:pPr>
              <w:jc w:val="center"/>
              <w:rPr>
                <w:rFonts w:ascii="Times New Roman" w:hAnsi="Times New Roman"/>
              </w:rPr>
            </w:pPr>
            <w:r w:rsidRPr="00FD7B0B">
              <w:rPr>
                <w:rFonts w:ascii="Times New Roman" w:hAnsi="Times New Roman"/>
              </w:rPr>
              <w:t xml:space="preserve">Оценка объема изменений, внесенных в сводную бюджетную роспись </w:t>
            </w:r>
          </w:p>
        </w:tc>
        <w:tc>
          <w:tcPr>
            <w:tcW w:w="2552" w:type="dxa"/>
            <w:gridSpan w:val="2"/>
            <w:tcBorders>
              <w:top w:val="double" w:sz="4" w:space="0" w:color="auto"/>
            </w:tcBorders>
            <w:vAlign w:val="center"/>
          </w:tcPr>
          <w:p w14:paraId="377377A5" w14:textId="77777777" w:rsidR="00AD4D1E" w:rsidRPr="00FD7B0B" w:rsidRDefault="00AD4D1E" w:rsidP="00AD4D1E">
            <w:pPr>
              <w:jc w:val="center"/>
              <w:rPr>
                <w:rFonts w:ascii="Times New Roman" w:hAnsi="Times New Roman"/>
              </w:rPr>
            </w:pPr>
            <w:r w:rsidRPr="00FD7B0B">
              <w:rPr>
                <w:rFonts w:ascii="Times New Roman" w:hAnsi="Times New Roman"/>
              </w:rPr>
              <w:t>Оценка реализации мероприятий (достижения результатов) структурных элементов госпрограммы</w:t>
            </w:r>
          </w:p>
        </w:tc>
        <w:tc>
          <w:tcPr>
            <w:tcW w:w="2268" w:type="dxa"/>
            <w:gridSpan w:val="2"/>
            <w:tcBorders>
              <w:top w:val="double" w:sz="4" w:space="0" w:color="auto"/>
            </w:tcBorders>
            <w:vAlign w:val="center"/>
          </w:tcPr>
          <w:p w14:paraId="63C1C470" w14:textId="77777777" w:rsidR="00AD4D1E" w:rsidRPr="00FD7B0B" w:rsidRDefault="00AD4D1E" w:rsidP="00AD4D1E">
            <w:pPr>
              <w:jc w:val="center"/>
              <w:rPr>
                <w:rFonts w:ascii="Times New Roman" w:hAnsi="Times New Roman"/>
              </w:rPr>
            </w:pPr>
            <w:r w:rsidRPr="00FD7B0B">
              <w:rPr>
                <w:rFonts w:ascii="Times New Roman" w:hAnsi="Times New Roman"/>
              </w:rPr>
              <w:t xml:space="preserve">Оценка достижения плановых значений показателей госпрограммы </w:t>
            </w:r>
          </w:p>
        </w:tc>
        <w:tc>
          <w:tcPr>
            <w:tcW w:w="1304" w:type="dxa"/>
            <w:vMerge w:val="restart"/>
            <w:tcBorders>
              <w:top w:val="double" w:sz="4" w:space="0" w:color="auto"/>
            </w:tcBorders>
            <w:vAlign w:val="center"/>
          </w:tcPr>
          <w:p w14:paraId="1B99F22D" w14:textId="77777777" w:rsidR="00AD4D1E" w:rsidRPr="00FD7B0B" w:rsidRDefault="00AD4D1E" w:rsidP="00AD4D1E">
            <w:pPr>
              <w:jc w:val="center"/>
              <w:rPr>
                <w:rFonts w:ascii="Times New Roman" w:hAnsi="Times New Roman"/>
              </w:rPr>
            </w:pPr>
            <w:r w:rsidRPr="00FD7B0B">
              <w:rPr>
                <w:rFonts w:ascii="Times New Roman" w:hAnsi="Times New Roman"/>
              </w:rPr>
              <w:t>Оценка ввода объектов в эксплуатацию</w:t>
            </w:r>
          </w:p>
        </w:tc>
        <w:tc>
          <w:tcPr>
            <w:tcW w:w="1246" w:type="dxa"/>
            <w:vMerge w:val="restart"/>
            <w:tcBorders>
              <w:top w:val="double" w:sz="4" w:space="0" w:color="auto"/>
              <w:right w:val="double" w:sz="4" w:space="0" w:color="auto"/>
            </w:tcBorders>
            <w:vAlign w:val="center"/>
          </w:tcPr>
          <w:p w14:paraId="7BEC7AFD" w14:textId="77777777" w:rsidR="00AD4D1E" w:rsidRPr="00FD7B0B" w:rsidRDefault="00AD4D1E" w:rsidP="00AD4D1E">
            <w:pPr>
              <w:jc w:val="center"/>
              <w:rPr>
                <w:rFonts w:ascii="Times New Roman" w:hAnsi="Times New Roman"/>
              </w:rPr>
            </w:pPr>
            <w:r w:rsidRPr="00FD7B0B">
              <w:rPr>
                <w:rFonts w:ascii="Times New Roman" w:hAnsi="Times New Roman"/>
              </w:rPr>
              <w:t>Итого</w:t>
            </w:r>
          </w:p>
        </w:tc>
      </w:tr>
      <w:tr w:rsidR="00FD7B0B" w:rsidRPr="00FD7B0B" w14:paraId="405A2BD7" w14:textId="77777777" w:rsidTr="00AD4D1E">
        <w:tc>
          <w:tcPr>
            <w:tcW w:w="1242" w:type="dxa"/>
            <w:vMerge/>
            <w:tcBorders>
              <w:left w:val="double" w:sz="4" w:space="0" w:color="auto"/>
            </w:tcBorders>
          </w:tcPr>
          <w:p w14:paraId="760C7F34" w14:textId="77777777" w:rsidR="00AD4D1E" w:rsidRPr="00FD7B0B" w:rsidRDefault="00AD4D1E" w:rsidP="00AD4D1E">
            <w:pPr>
              <w:jc w:val="both"/>
              <w:rPr>
                <w:rFonts w:ascii="Times New Roman" w:hAnsi="Times New Roman"/>
              </w:rPr>
            </w:pPr>
          </w:p>
        </w:tc>
        <w:tc>
          <w:tcPr>
            <w:tcW w:w="1276" w:type="dxa"/>
            <w:vMerge/>
            <w:shd w:val="clear" w:color="auto" w:fill="auto"/>
          </w:tcPr>
          <w:p w14:paraId="5878F2D0" w14:textId="77777777" w:rsidR="00AD4D1E" w:rsidRPr="00FD7B0B" w:rsidRDefault="00AD4D1E" w:rsidP="00AD4D1E">
            <w:pPr>
              <w:jc w:val="both"/>
              <w:rPr>
                <w:rFonts w:ascii="Times New Roman" w:hAnsi="Times New Roman"/>
              </w:rPr>
            </w:pPr>
          </w:p>
        </w:tc>
        <w:tc>
          <w:tcPr>
            <w:tcW w:w="1276" w:type="dxa"/>
            <w:vAlign w:val="center"/>
          </w:tcPr>
          <w:p w14:paraId="3307F865" w14:textId="77777777" w:rsidR="00AD4D1E" w:rsidRPr="00FD7B0B" w:rsidRDefault="00AD4D1E" w:rsidP="00AD4D1E">
            <w:pPr>
              <w:jc w:val="center"/>
              <w:rPr>
                <w:rFonts w:ascii="Times New Roman" w:hAnsi="Times New Roman"/>
              </w:rPr>
            </w:pPr>
            <w:r w:rsidRPr="00FD7B0B">
              <w:rPr>
                <w:rFonts w:ascii="Times New Roman" w:hAnsi="Times New Roman"/>
              </w:rPr>
              <w:t>степень достижения мероприятий (результатов) госпрограммы № 26</w:t>
            </w:r>
          </w:p>
        </w:tc>
        <w:tc>
          <w:tcPr>
            <w:tcW w:w="1276" w:type="dxa"/>
            <w:vAlign w:val="center"/>
          </w:tcPr>
          <w:p w14:paraId="53D10492" w14:textId="77777777" w:rsidR="00AD4D1E" w:rsidRPr="00FD7B0B" w:rsidRDefault="00AD4D1E" w:rsidP="00AD4D1E">
            <w:pPr>
              <w:jc w:val="center"/>
              <w:rPr>
                <w:rFonts w:ascii="Times New Roman" w:hAnsi="Times New Roman"/>
              </w:rPr>
            </w:pPr>
            <w:r w:rsidRPr="00FD7B0B">
              <w:rPr>
                <w:rFonts w:ascii="Times New Roman" w:hAnsi="Times New Roman"/>
              </w:rPr>
              <w:t>справочно &lt;*&gt;: доля реализованных мероприятий (достигнутых результатов) госпрограммы № 26</w:t>
            </w:r>
          </w:p>
        </w:tc>
        <w:tc>
          <w:tcPr>
            <w:tcW w:w="1134" w:type="dxa"/>
            <w:vAlign w:val="center"/>
          </w:tcPr>
          <w:p w14:paraId="14A932A1" w14:textId="77777777" w:rsidR="00AD4D1E" w:rsidRPr="00FD7B0B" w:rsidRDefault="00AD4D1E" w:rsidP="00AD4D1E">
            <w:pPr>
              <w:jc w:val="center"/>
              <w:rPr>
                <w:rFonts w:ascii="Times New Roman" w:hAnsi="Times New Roman"/>
              </w:rPr>
            </w:pPr>
            <w:r w:rsidRPr="00FD7B0B">
              <w:rPr>
                <w:rFonts w:ascii="Times New Roman" w:hAnsi="Times New Roman"/>
              </w:rPr>
              <w:t>степень достижения показателей</w:t>
            </w:r>
          </w:p>
        </w:tc>
        <w:tc>
          <w:tcPr>
            <w:tcW w:w="1134" w:type="dxa"/>
            <w:vAlign w:val="center"/>
          </w:tcPr>
          <w:p w14:paraId="3A07F8F2" w14:textId="77777777" w:rsidR="00AD4D1E" w:rsidRPr="00FD7B0B" w:rsidRDefault="00AD4D1E" w:rsidP="00AD4D1E">
            <w:pPr>
              <w:jc w:val="center"/>
              <w:rPr>
                <w:rFonts w:ascii="Times New Roman" w:hAnsi="Times New Roman"/>
              </w:rPr>
            </w:pPr>
            <w:r w:rsidRPr="00FD7B0B">
              <w:rPr>
                <w:rFonts w:ascii="Times New Roman" w:hAnsi="Times New Roman"/>
              </w:rPr>
              <w:t>справочно &lt;*&gt;: доля выполненных показателей</w:t>
            </w:r>
          </w:p>
        </w:tc>
        <w:tc>
          <w:tcPr>
            <w:tcW w:w="1304" w:type="dxa"/>
            <w:vMerge/>
          </w:tcPr>
          <w:p w14:paraId="5EE62711" w14:textId="77777777" w:rsidR="00AD4D1E" w:rsidRPr="00FD7B0B" w:rsidRDefault="00AD4D1E" w:rsidP="00AD4D1E">
            <w:pPr>
              <w:jc w:val="both"/>
              <w:rPr>
                <w:rFonts w:ascii="Times New Roman" w:hAnsi="Times New Roman"/>
              </w:rPr>
            </w:pPr>
          </w:p>
        </w:tc>
        <w:tc>
          <w:tcPr>
            <w:tcW w:w="1246" w:type="dxa"/>
            <w:vMerge/>
            <w:tcBorders>
              <w:right w:val="double" w:sz="4" w:space="0" w:color="auto"/>
            </w:tcBorders>
          </w:tcPr>
          <w:p w14:paraId="3E759822" w14:textId="77777777" w:rsidR="00AD4D1E" w:rsidRPr="00FD7B0B" w:rsidRDefault="00AD4D1E" w:rsidP="00AD4D1E">
            <w:pPr>
              <w:jc w:val="both"/>
              <w:rPr>
                <w:rFonts w:ascii="Times New Roman" w:hAnsi="Times New Roman"/>
              </w:rPr>
            </w:pPr>
          </w:p>
        </w:tc>
      </w:tr>
      <w:tr w:rsidR="00FD7B0B" w:rsidRPr="00FD7B0B" w14:paraId="043702F5" w14:textId="77777777" w:rsidTr="00816DCB">
        <w:trPr>
          <w:trHeight w:val="319"/>
        </w:trPr>
        <w:tc>
          <w:tcPr>
            <w:tcW w:w="1242" w:type="dxa"/>
            <w:tcBorders>
              <w:left w:val="double" w:sz="4" w:space="0" w:color="auto"/>
              <w:bottom w:val="single" w:sz="4" w:space="0" w:color="auto"/>
            </w:tcBorders>
            <w:shd w:val="clear" w:color="auto" w:fill="92D050"/>
            <w:vAlign w:val="center"/>
          </w:tcPr>
          <w:p w14:paraId="5E50A8A0" w14:textId="77777777" w:rsidR="00AD4D1E" w:rsidRPr="00FD7B0B" w:rsidRDefault="00AD4D1E" w:rsidP="00AD4D1E">
            <w:pPr>
              <w:jc w:val="center"/>
              <w:rPr>
                <w:rFonts w:ascii="Times New Roman" w:hAnsi="Times New Roman"/>
              </w:rPr>
            </w:pPr>
            <w:r w:rsidRPr="00FD7B0B">
              <w:rPr>
                <w:rFonts w:ascii="Times New Roman" w:hAnsi="Times New Roman"/>
              </w:rPr>
              <w:t>Высокий уровень</w:t>
            </w:r>
          </w:p>
        </w:tc>
        <w:tc>
          <w:tcPr>
            <w:tcW w:w="1276" w:type="dxa"/>
            <w:tcBorders>
              <w:bottom w:val="single" w:sz="4" w:space="0" w:color="auto"/>
            </w:tcBorders>
            <w:shd w:val="clear" w:color="auto" w:fill="FFFF00"/>
            <w:vAlign w:val="center"/>
          </w:tcPr>
          <w:p w14:paraId="5761F3F1" w14:textId="77777777" w:rsidR="00AD4D1E" w:rsidRPr="00FD7B0B" w:rsidRDefault="00AD4D1E" w:rsidP="00AD4D1E">
            <w:pPr>
              <w:jc w:val="center"/>
              <w:rPr>
                <w:rFonts w:ascii="Times New Roman" w:hAnsi="Times New Roman"/>
              </w:rPr>
            </w:pPr>
            <w:r w:rsidRPr="00FD7B0B">
              <w:rPr>
                <w:rFonts w:ascii="Times New Roman" w:hAnsi="Times New Roman"/>
              </w:rPr>
              <w:t>Средний уровень</w:t>
            </w:r>
          </w:p>
        </w:tc>
        <w:tc>
          <w:tcPr>
            <w:tcW w:w="1276" w:type="dxa"/>
            <w:tcBorders>
              <w:bottom w:val="single" w:sz="4" w:space="0" w:color="auto"/>
            </w:tcBorders>
            <w:shd w:val="clear" w:color="auto" w:fill="92D050"/>
            <w:vAlign w:val="center"/>
          </w:tcPr>
          <w:p w14:paraId="63D83B04" w14:textId="77777777" w:rsidR="00AD4D1E" w:rsidRPr="00FD7B0B" w:rsidRDefault="00AD4D1E" w:rsidP="00AD4D1E">
            <w:pPr>
              <w:jc w:val="center"/>
              <w:rPr>
                <w:rFonts w:ascii="Times New Roman" w:hAnsi="Times New Roman"/>
              </w:rPr>
            </w:pPr>
            <w:r w:rsidRPr="00FD7B0B">
              <w:rPr>
                <w:rFonts w:ascii="Times New Roman" w:hAnsi="Times New Roman"/>
              </w:rPr>
              <w:t>Высокий уровень</w:t>
            </w:r>
          </w:p>
        </w:tc>
        <w:tc>
          <w:tcPr>
            <w:tcW w:w="1276" w:type="dxa"/>
            <w:tcBorders>
              <w:bottom w:val="single" w:sz="4" w:space="0" w:color="auto"/>
            </w:tcBorders>
            <w:shd w:val="clear" w:color="auto" w:fill="92D050"/>
            <w:vAlign w:val="center"/>
          </w:tcPr>
          <w:p w14:paraId="795CF9D1" w14:textId="77777777" w:rsidR="00AD4D1E" w:rsidRPr="00FD7B0B" w:rsidRDefault="00AD4D1E" w:rsidP="00AD4D1E">
            <w:pPr>
              <w:jc w:val="center"/>
              <w:rPr>
                <w:rFonts w:ascii="Times New Roman" w:hAnsi="Times New Roman"/>
              </w:rPr>
            </w:pPr>
            <w:r w:rsidRPr="00FD7B0B">
              <w:rPr>
                <w:rFonts w:ascii="Times New Roman" w:hAnsi="Times New Roman"/>
              </w:rPr>
              <w:t>Высокий уровень</w:t>
            </w:r>
          </w:p>
        </w:tc>
        <w:tc>
          <w:tcPr>
            <w:tcW w:w="1134" w:type="dxa"/>
            <w:tcBorders>
              <w:bottom w:val="single" w:sz="4" w:space="0" w:color="auto"/>
            </w:tcBorders>
            <w:shd w:val="clear" w:color="auto" w:fill="92D050"/>
            <w:vAlign w:val="center"/>
          </w:tcPr>
          <w:p w14:paraId="7EE8C04E" w14:textId="77777777" w:rsidR="00AD4D1E" w:rsidRPr="00FD7B0B" w:rsidRDefault="00AD4D1E" w:rsidP="00AD4D1E">
            <w:pPr>
              <w:jc w:val="center"/>
              <w:rPr>
                <w:rFonts w:ascii="Times New Roman" w:hAnsi="Times New Roman"/>
              </w:rPr>
            </w:pPr>
            <w:r w:rsidRPr="00FD7B0B">
              <w:rPr>
                <w:rFonts w:ascii="Times New Roman" w:hAnsi="Times New Roman"/>
              </w:rPr>
              <w:t>Высокий уровень</w:t>
            </w:r>
          </w:p>
        </w:tc>
        <w:tc>
          <w:tcPr>
            <w:tcW w:w="1134" w:type="dxa"/>
            <w:tcBorders>
              <w:bottom w:val="single" w:sz="4" w:space="0" w:color="auto"/>
            </w:tcBorders>
            <w:shd w:val="clear" w:color="auto" w:fill="FFFF00"/>
            <w:vAlign w:val="center"/>
          </w:tcPr>
          <w:p w14:paraId="42267A6E" w14:textId="77777777" w:rsidR="00AD4D1E" w:rsidRPr="00FD7B0B" w:rsidRDefault="00AD4D1E" w:rsidP="00AD4D1E">
            <w:pPr>
              <w:jc w:val="center"/>
              <w:rPr>
                <w:rFonts w:ascii="Times New Roman" w:hAnsi="Times New Roman"/>
              </w:rPr>
            </w:pPr>
            <w:r w:rsidRPr="00FD7B0B">
              <w:rPr>
                <w:rFonts w:ascii="Times New Roman" w:hAnsi="Times New Roman"/>
              </w:rPr>
              <w:t>Средний уровень</w:t>
            </w:r>
          </w:p>
        </w:tc>
        <w:tc>
          <w:tcPr>
            <w:tcW w:w="1304" w:type="dxa"/>
            <w:tcBorders>
              <w:bottom w:val="single" w:sz="4" w:space="0" w:color="auto"/>
            </w:tcBorders>
            <w:shd w:val="clear" w:color="auto" w:fill="92D050"/>
          </w:tcPr>
          <w:p w14:paraId="59339ECF" w14:textId="77777777" w:rsidR="00AD4D1E" w:rsidRPr="00FD7B0B" w:rsidRDefault="00AD4D1E" w:rsidP="00AD4D1E">
            <w:pPr>
              <w:jc w:val="center"/>
              <w:rPr>
                <w:rFonts w:ascii="Times New Roman" w:hAnsi="Times New Roman"/>
              </w:rPr>
            </w:pPr>
            <w:r w:rsidRPr="00FD7B0B">
              <w:rPr>
                <w:rFonts w:ascii="Times New Roman" w:hAnsi="Times New Roman"/>
              </w:rPr>
              <w:t>Высокий уровень</w:t>
            </w:r>
          </w:p>
        </w:tc>
        <w:tc>
          <w:tcPr>
            <w:tcW w:w="1246" w:type="dxa"/>
            <w:tcBorders>
              <w:bottom w:val="single" w:sz="4" w:space="0" w:color="auto"/>
              <w:right w:val="double" w:sz="4" w:space="0" w:color="auto"/>
            </w:tcBorders>
            <w:shd w:val="clear" w:color="auto" w:fill="FFFF00"/>
            <w:vAlign w:val="center"/>
          </w:tcPr>
          <w:p w14:paraId="2C6044AA" w14:textId="77777777" w:rsidR="00AD4D1E" w:rsidRPr="00FD7B0B" w:rsidRDefault="00AD4D1E" w:rsidP="00AD4D1E">
            <w:pPr>
              <w:jc w:val="center"/>
              <w:rPr>
                <w:rFonts w:ascii="Times New Roman" w:hAnsi="Times New Roman"/>
                <w:b/>
              </w:rPr>
            </w:pPr>
            <w:r w:rsidRPr="00FD7B0B">
              <w:rPr>
                <w:rFonts w:ascii="Times New Roman" w:hAnsi="Times New Roman"/>
                <w:b/>
              </w:rPr>
              <w:t>Выше среднего</w:t>
            </w:r>
          </w:p>
        </w:tc>
      </w:tr>
      <w:tr w:rsidR="00AD4D1E" w:rsidRPr="00FD7B0B" w14:paraId="51975CE8" w14:textId="77777777" w:rsidTr="00AD4D1E">
        <w:trPr>
          <w:trHeight w:val="314"/>
        </w:trPr>
        <w:tc>
          <w:tcPr>
            <w:tcW w:w="1242" w:type="dxa"/>
            <w:tcBorders>
              <w:left w:val="double" w:sz="4" w:space="0" w:color="auto"/>
              <w:bottom w:val="double" w:sz="4" w:space="0" w:color="auto"/>
            </w:tcBorders>
            <w:shd w:val="clear" w:color="auto" w:fill="auto"/>
            <w:vAlign w:val="center"/>
          </w:tcPr>
          <w:p w14:paraId="4D791246" w14:textId="77777777" w:rsidR="00AD4D1E" w:rsidRPr="00FD7B0B" w:rsidRDefault="00AD4D1E" w:rsidP="00AD4D1E">
            <w:pPr>
              <w:jc w:val="center"/>
              <w:rPr>
                <w:rFonts w:ascii="Times New Roman" w:hAnsi="Times New Roman"/>
              </w:rPr>
            </w:pPr>
            <w:r w:rsidRPr="00FD7B0B">
              <w:rPr>
                <w:rFonts w:ascii="Times New Roman" w:hAnsi="Times New Roman"/>
              </w:rPr>
              <w:t>3</w:t>
            </w:r>
          </w:p>
        </w:tc>
        <w:tc>
          <w:tcPr>
            <w:tcW w:w="1276" w:type="dxa"/>
            <w:tcBorders>
              <w:bottom w:val="double" w:sz="4" w:space="0" w:color="auto"/>
            </w:tcBorders>
            <w:shd w:val="clear" w:color="auto" w:fill="auto"/>
            <w:vAlign w:val="center"/>
          </w:tcPr>
          <w:p w14:paraId="38BED3C8" w14:textId="77777777" w:rsidR="00AD4D1E" w:rsidRPr="00FD7B0B" w:rsidRDefault="00AD4D1E" w:rsidP="00AD4D1E">
            <w:pPr>
              <w:jc w:val="center"/>
              <w:rPr>
                <w:rFonts w:ascii="Times New Roman" w:hAnsi="Times New Roman"/>
              </w:rPr>
            </w:pPr>
            <w:r w:rsidRPr="00FD7B0B">
              <w:rPr>
                <w:rFonts w:ascii="Times New Roman" w:hAnsi="Times New Roman"/>
              </w:rPr>
              <w:t>2</w:t>
            </w:r>
          </w:p>
        </w:tc>
        <w:tc>
          <w:tcPr>
            <w:tcW w:w="1276" w:type="dxa"/>
            <w:tcBorders>
              <w:bottom w:val="double" w:sz="4" w:space="0" w:color="auto"/>
            </w:tcBorders>
            <w:vAlign w:val="center"/>
          </w:tcPr>
          <w:p w14:paraId="0BCF7D05" w14:textId="77777777" w:rsidR="00AD4D1E" w:rsidRPr="00FD7B0B" w:rsidRDefault="00AD4D1E" w:rsidP="00AD4D1E">
            <w:pPr>
              <w:jc w:val="center"/>
              <w:rPr>
                <w:rFonts w:ascii="Times New Roman" w:hAnsi="Times New Roman"/>
              </w:rPr>
            </w:pPr>
            <w:r w:rsidRPr="00FD7B0B">
              <w:rPr>
                <w:rFonts w:ascii="Times New Roman" w:hAnsi="Times New Roman"/>
              </w:rPr>
              <w:t>3</w:t>
            </w:r>
          </w:p>
        </w:tc>
        <w:tc>
          <w:tcPr>
            <w:tcW w:w="1276" w:type="dxa"/>
            <w:tcBorders>
              <w:bottom w:val="double" w:sz="4" w:space="0" w:color="auto"/>
            </w:tcBorders>
            <w:vAlign w:val="center"/>
          </w:tcPr>
          <w:p w14:paraId="31FBE8BB" w14:textId="77777777" w:rsidR="00AD4D1E" w:rsidRPr="00FD7B0B" w:rsidRDefault="00AD4D1E" w:rsidP="00AD4D1E">
            <w:pPr>
              <w:jc w:val="center"/>
              <w:rPr>
                <w:rFonts w:ascii="Times New Roman" w:hAnsi="Times New Roman"/>
              </w:rPr>
            </w:pPr>
            <w:r w:rsidRPr="00FD7B0B">
              <w:rPr>
                <w:rFonts w:ascii="Times New Roman" w:hAnsi="Times New Roman"/>
              </w:rPr>
              <w:t>-</w:t>
            </w:r>
          </w:p>
        </w:tc>
        <w:tc>
          <w:tcPr>
            <w:tcW w:w="1134" w:type="dxa"/>
            <w:tcBorders>
              <w:bottom w:val="double" w:sz="4" w:space="0" w:color="auto"/>
            </w:tcBorders>
            <w:vAlign w:val="center"/>
          </w:tcPr>
          <w:p w14:paraId="281C2574" w14:textId="77777777" w:rsidR="00AD4D1E" w:rsidRPr="00FD7B0B" w:rsidRDefault="00AD4D1E" w:rsidP="00AD4D1E">
            <w:pPr>
              <w:jc w:val="center"/>
              <w:rPr>
                <w:rFonts w:ascii="Times New Roman" w:hAnsi="Times New Roman"/>
              </w:rPr>
            </w:pPr>
            <w:r w:rsidRPr="00FD7B0B">
              <w:rPr>
                <w:rFonts w:ascii="Times New Roman" w:hAnsi="Times New Roman"/>
              </w:rPr>
              <w:t>3</w:t>
            </w:r>
          </w:p>
        </w:tc>
        <w:tc>
          <w:tcPr>
            <w:tcW w:w="1134" w:type="dxa"/>
            <w:tcBorders>
              <w:bottom w:val="double" w:sz="4" w:space="0" w:color="auto"/>
            </w:tcBorders>
            <w:vAlign w:val="center"/>
          </w:tcPr>
          <w:p w14:paraId="5AD58C9C" w14:textId="77777777" w:rsidR="00AD4D1E" w:rsidRPr="00FD7B0B" w:rsidRDefault="00AD4D1E" w:rsidP="00AD4D1E">
            <w:pPr>
              <w:jc w:val="center"/>
              <w:rPr>
                <w:rFonts w:ascii="Times New Roman" w:hAnsi="Times New Roman"/>
              </w:rPr>
            </w:pPr>
            <w:r w:rsidRPr="00FD7B0B">
              <w:rPr>
                <w:rFonts w:ascii="Times New Roman" w:hAnsi="Times New Roman"/>
              </w:rPr>
              <w:t>-</w:t>
            </w:r>
          </w:p>
        </w:tc>
        <w:tc>
          <w:tcPr>
            <w:tcW w:w="1304" w:type="dxa"/>
            <w:tcBorders>
              <w:bottom w:val="double" w:sz="4" w:space="0" w:color="auto"/>
            </w:tcBorders>
          </w:tcPr>
          <w:p w14:paraId="4D8022B9" w14:textId="77777777" w:rsidR="00AD4D1E" w:rsidRPr="00FD7B0B" w:rsidRDefault="00AD4D1E" w:rsidP="00AD4D1E">
            <w:pPr>
              <w:jc w:val="center"/>
              <w:rPr>
                <w:rFonts w:ascii="Times New Roman" w:hAnsi="Times New Roman"/>
              </w:rPr>
            </w:pPr>
            <w:r w:rsidRPr="00FD7B0B">
              <w:rPr>
                <w:rFonts w:ascii="Times New Roman" w:hAnsi="Times New Roman"/>
              </w:rPr>
              <w:t>3</w:t>
            </w:r>
          </w:p>
        </w:tc>
        <w:tc>
          <w:tcPr>
            <w:tcW w:w="1246" w:type="dxa"/>
            <w:tcBorders>
              <w:bottom w:val="double" w:sz="4" w:space="0" w:color="auto"/>
              <w:right w:val="double" w:sz="4" w:space="0" w:color="auto"/>
            </w:tcBorders>
            <w:shd w:val="clear" w:color="auto" w:fill="auto"/>
            <w:vAlign w:val="center"/>
          </w:tcPr>
          <w:p w14:paraId="47C0FC2E" w14:textId="77777777" w:rsidR="00AD4D1E" w:rsidRPr="00FD7B0B" w:rsidRDefault="00AD4D1E" w:rsidP="00AD4D1E">
            <w:pPr>
              <w:jc w:val="center"/>
              <w:rPr>
                <w:rFonts w:ascii="Times New Roman" w:hAnsi="Times New Roman"/>
                <w:b/>
              </w:rPr>
            </w:pPr>
            <w:r w:rsidRPr="00FD7B0B">
              <w:rPr>
                <w:rFonts w:ascii="Times New Roman" w:hAnsi="Times New Roman"/>
                <w:b/>
              </w:rPr>
              <w:t>2,8</w:t>
            </w:r>
          </w:p>
        </w:tc>
      </w:tr>
    </w:tbl>
    <w:p w14:paraId="36D41536" w14:textId="77777777" w:rsidR="00AD4D1E" w:rsidRPr="00FD7B0B" w:rsidRDefault="00AD4D1E" w:rsidP="00AD4D1E">
      <w:pPr>
        <w:spacing w:after="0" w:line="240" w:lineRule="auto"/>
        <w:ind w:firstLine="709"/>
        <w:jc w:val="both"/>
        <w:rPr>
          <w:rFonts w:ascii="Times New Roman" w:hAnsi="Times New Roman" w:cs="Times New Roman"/>
          <w:sz w:val="28"/>
          <w:szCs w:val="28"/>
          <w:highlight w:val="cyan"/>
        </w:rPr>
      </w:pPr>
    </w:p>
    <w:p w14:paraId="013E85CC" w14:textId="3C7AA354" w:rsidR="00AD4D1E" w:rsidRPr="00FD7B0B" w:rsidRDefault="00AD4D1E" w:rsidP="00AD4D1E">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Оценка формирования и использования системы показателей по результатам проверки исполнения государственной прогр</w:t>
      </w:r>
      <w:r w:rsidR="00DF0ADB" w:rsidRPr="00FD7B0B">
        <w:rPr>
          <w:rFonts w:ascii="Times New Roman" w:hAnsi="Times New Roman" w:cs="Times New Roman"/>
          <w:sz w:val="28"/>
          <w:szCs w:val="28"/>
        </w:rPr>
        <w:t xml:space="preserve">аммы представлена в таблице </w:t>
      </w:r>
      <w:r w:rsidR="00420A00" w:rsidRPr="00FD7B0B">
        <w:rPr>
          <w:rFonts w:ascii="Times New Roman" w:hAnsi="Times New Roman" w:cs="Times New Roman"/>
          <w:sz w:val="28"/>
          <w:szCs w:val="28"/>
        </w:rPr>
        <w:t>221</w:t>
      </w:r>
      <w:r w:rsidRPr="00FD7B0B">
        <w:rPr>
          <w:rFonts w:ascii="Times New Roman" w:hAnsi="Times New Roman" w:cs="Times New Roman"/>
          <w:sz w:val="28"/>
          <w:szCs w:val="28"/>
        </w:rPr>
        <w:t>.</w:t>
      </w:r>
    </w:p>
    <w:p w14:paraId="569F9A08" w14:textId="77777777" w:rsidR="00AD4D1E" w:rsidRPr="00FD7B0B" w:rsidRDefault="00AD4D1E" w:rsidP="00AD4D1E">
      <w:pPr>
        <w:spacing w:after="0" w:line="240" w:lineRule="auto"/>
        <w:ind w:firstLine="709"/>
        <w:jc w:val="both"/>
        <w:rPr>
          <w:rFonts w:ascii="Times New Roman" w:hAnsi="Times New Roman" w:cs="Times New Roman"/>
          <w:sz w:val="24"/>
          <w:szCs w:val="24"/>
        </w:rPr>
      </w:pPr>
    </w:p>
    <w:p w14:paraId="43E50437" w14:textId="01FC8A96" w:rsidR="00AD4D1E" w:rsidRPr="00FD7B0B" w:rsidRDefault="00DF0ADB" w:rsidP="00DF0ADB">
      <w:pPr>
        <w:spacing w:after="0" w:line="240" w:lineRule="auto"/>
        <w:rPr>
          <w:rFonts w:ascii="Times New Roman" w:hAnsi="Times New Roman" w:cs="Times New Roman"/>
          <w:sz w:val="24"/>
          <w:szCs w:val="24"/>
        </w:rPr>
      </w:pPr>
      <w:r w:rsidRPr="00FD7B0B">
        <w:rPr>
          <w:rFonts w:ascii="Times New Roman" w:hAnsi="Times New Roman"/>
          <w:sz w:val="24"/>
          <w:szCs w:val="24"/>
        </w:rPr>
        <w:t xml:space="preserve">Таблица </w:t>
      </w:r>
      <w:r w:rsidRPr="00FD7B0B">
        <w:rPr>
          <w:rFonts w:ascii="Times New Roman" w:hAnsi="Times New Roman"/>
          <w:sz w:val="24"/>
          <w:szCs w:val="24"/>
        </w:rPr>
        <w:fldChar w:fldCharType="begin"/>
      </w:r>
      <w:r w:rsidRPr="00FD7B0B">
        <w:rPr>
          <w:rFonts w:ascii="Times New Roman" w:hAnsi="Times New Roman"/>
          <w:sz w:val="24"/>
          <w:szCs w:val="24"/>
        </w:rPr>
        <w:instrText xml:space="preserve"> SEQ Таблица \* ARABIC </w:instrText>
      </w:r>
      <w:r w:rsidRPr="00FD7B0B">
        <w:rPr>
          <w:rFonts w:ascii="Times New Roman" w:hAnsi="Times New Roman"/>
          <w:sz w:val="24"/>
          <w:szCs w:val="24"/>
        </w:rPr>
        <w:fldChar w:fldCharType="separate"/>
      </w:r>
      <w:r w:rsidR="002959CD" w:rsidRPr="00FD7B0B">
        <w:rPr>
          <w:rFonts w:ascii="Times New Roman" w:hAnsi="Times New Roman"/>
          <w:noProof/>
          <w:sz w:val="24"/>
          <w:szCs w:val="24"/>
        </w:rPr>
        <w:t>221</w:t>
      </w:r>
      <w:r w:rsidRPr="00FD7B0B">
        <w:rPr>
          <w:rFonts w:ascii="Times New Roman" w:hAnsi="Times New Roman"/>
          <w:sz w:val="24"/>
          <w:szCs w:val="24"/>
        </w:rPr>
        <w:fldChar w:fldCharType="end"/>
      </w:r>
      <w:r w:rsidRPr="00FD7B0B">
        <w:rPr>
          <w:rFonts w:ascii="Times New Roman" w:hAnsi="Times New Roman"/>
          <w:sz w:val="24"/>
          <w:szCs w:val="24"/>
        </w:rPr>
        <w:t xml:space="preserve">. </w:t>
      </w:r>
      <w:r w:rsidR="00AD4D1E" w:rsidRPr="00FD7B0B">
        <w:rPr>
          <w:rFonts w:ascii="Times New Roman" w:hAnsi="Times New Roman"/>
          <w:sz w:val="24"/>
          <w:szCs w:val="24"/>
        </w:rPr>
        <w:t>Оценка формирования и использования системы показателей по результатам проверки исполнения госпрограммы № 26 за 2024 год</w:t>
      </w:r>
    </w:p>
    <w:tbl>
      <w:tblPr>
        <w:tblStyle w:val="a7"/>
        <w:tblW w:w="0" w:type="auto"/>
        <w:tblLook w:val="04A0" w:firstRow="1" w:lastRow="0" w:firstColumn="1" w:lastColumn="0" w:noHBand="0" w:noVBand="1"/>
      </w:tblPr>
      <w:tblGrid>
        <w:gridCol w:w="1564"/>
        <w:gridCol w:w="1564"/>
        <w:gridCol w:w="1565"/>
        <w:gridCol w:w="1813"/>
        <w:gridCol w:w="1571"/>
        <w:gridCol w:w="1516"/>
      </w:tblGrid>
      <w:tr w:rsidR="00FD7B0B" w:rsidRPr="00FD7B0B" w14:paraId="0A4DCB80" w14:textId="77777777" w:rsidTr="00DF0ADB">
        <w:tc>
          <w:tcPr>
            <w:tcW w:w="1564" w:type="dxa"/>
            <w:tcBorders>
              <w:top w:val="double" w:sz="4" w:space="0" w:color="auto"/>
              <w:left w:val="double" w:sz="4" w:space="0" w:color="auto"/>
            </w:tcBorders>
            <w:vAlign w:val="center"/>
          </w:tcPr>
          <w:p w14:paraId="43DF9915" w14:textId="77777777" w:rsidR="00AD4D1E" w:rsidRPr="00FD7B0B" w:rsidRDefault="00AD4D1E" w:rsidP="00AD4D1E">
            <w:pPr>
              <w:jc w:val="center"/>
              <w:rPr>
                <w:rFonts w:ascii="Times New Roman" w:hAnsi="Times New Roman"/>
              </w:rPr>
            </w:pPr>
            <w:r w:rsidRPr="00FD7B0B">
              <w:rPr>
                <w:rFonts w:ascii="Times New Roman" w:hAnsi="Times New Roman"/>
              </w:rPr>
              <w:t>Оценка состава показателей госпрограммы № 26</w:t>
            </w:r>
          </w:p>
        </w:tc>
        <w:tc>
          <w:tcPr>
            <w:tcW w:w="1564" w:type="dxa"/>
            <w:tcBorders>
              <w:top w:val="double" w:sz="4" w:space="0" w:color="auto"/>
            </w:tcBorders>
            <w:vAlign w:val="center"/>
          </w:tcPr>
          <w:p w14:paraId="74009211" w14:textId="77777777" w:rsidR="00AD4D1E" w:rsidRPr="00FD7B0B" w:rsidRDefault="00AD4D1E" w:rsidP="00AD4D1E">
            <w:pPr>
              <w:jc w:val="center"/>
              <w:rPr>
                <w:rFonts w:ascii="Times New Roman" w:hAnsi="Times New Roman"/>
              </w:rPr>
            </w:pPr>
            <w:r w:rsidRPr="00FD7B0B">
              <w:rPr>
                <w:rFonts w:ascii="Times New Roman" w:hAnsi="Times New Roman"/>
              </w:rPr>
              <w:t>Оценка стабильности состава</w:t>
            </w:r>
            <w:r w:rsidRPr="00FD7B0B">
              <w:t xml:space="preserve"> </w:t>
            </w:r>
            <w:r w:rsidRPr="00FD7B0B">
              <w:rPr>
                <w:rFonts w:ascii="Times New Roman" w:hAnsi="Times New Roman"/>
              </w:rPr>
              <w:t>показателей госпрограммы № 26 на протяжении отчетного года</w:t>
            </w:r>
          </w:p>
        </w:tc>
        <w:tc>
          <w:tcPr>
            <w:tcW w:w="1565" w:type="dxa"/>
            <w:tcBorders>
              <w:top w:val="double" w:sz="4" w:space="0" w:color="auto"/>
            </w:tcBorders>
            <w:vAlign w:val="center"/>
          </w:tcPr>
          <w:p w14:paraId="54F09567" w14:textId="77777777" w:rsidR="00AD4D1E" w:rsidRPr="00FD7B0B" w:rsidRDefault="00AD4D1E" w:rsidP="00AD4D1E">
            <w:pPr>
              <w:jc w:val="center"/>
              <w:rPr>
                <w:rFonts w:ascii="Times New Roman" w:hAnsi="Times New Roman"/>
              </w:rPr>
            </w:pPr>
            <w:r w:rsidRPr="00FD7B0B">
              <w:rPr>
                <w:rFonts w:ascii="Times New Roman" w:hAnsi="Times New Roman"/>
              </w:rPr>
              <w:t>Оценка динамики плановых (фактических) значений показателей госпрограммы № 26</w:t>
            </w:r>
          </w:p>
        </w:tc>
        <w:tc>
          <w:tcPr>
            <w:tcW w:w="1813" w:type="dxa"/>
            <w:tcBorders>
              <w:top w:val="double" w:sz="4" w:space="0" w:color="auto"/>
            </w:tcBorders>
            <w:vAlign w:val="center"/>
          </w:tcPr>
          <w:p w14:paraId="2CA07ABE" w14:textId="77777777" w:rsidR="00AD4D1E" w:rsidRPr="00FD7B0B" w:rsidRDefault="00AD4D1E" w:rsidP="00AD4D1E">
            <w:pPr>
              <w:jc w:val="center"/>
              <w:rPr>
                <w:rFonts w:ascii="Times New Roman" w:hAnsi="Times New Roman"/>
              </w:rPr>
            </w:pPr>
            <w:r w:rsidRPr="00FD7B0B">
              <w:rPr>
                <w:rFonts w:ascii="Times New Roman" w:hAnsi="Times New Roman"/>
              </w:rPr>
              <w:t>Оценка количества показателей госпрограммы № 26, по которым представлены фактические значения за отчетный год</w:t>
            </w:r>
          </w:p>
        </w:tc>
        <w:tc>
          <w:tcPr>
            <w:tcW w:w="1571" w:type="dxa"/>
            <w:tcBorders>
              <w:top w:val="double" w:sz="4" w:space="0" w:color="auto"/>
            </w:tcBorders>
            <w:vAlign w:val="center"/>
          </w:tcPr>
          <w:p w14:paraId="23919B33" w14:textId="77777777" w:rsidR="00AD4D1E" w:rsidRPr="00FD7B0B" w:rsidRDefault="00AD4D1E" w:rsidP="00AD4D1E">
            <w:pPr>
              <w:jc w:val="center"/>
              <w:rPr>
                <w:rFonts w:ascii="Times New Roman" w:hAnsi="Times New Roman"/>
              </w:rPr>
            </w:pPr>
            <w:r w:rsidRPr="00FD7B0B">
              <w:rPr>
                <w:rFonts w:ascii="Times New Roman" w:hAnsi="Times New Roman"/>
              </w:rPr>
              <w:t>Оценка количества показателей госпрограммы, по которым формируется официальная статистическая информация ...</w:t>
            </w:r>
          </w:p>
        </w:tc>
        <w:tc>
          <w:tcPr>
            <w:tcW w:w="1516" w:type="dxa"/>
            <w:tcBorders>
              <w:top w:val="double" w:sz="4" w:space="0" w:color="auto"/>
              <w:right w:val="double" w:sz="4" w:space="0" w:color="auto"/>
            </w:tcBorders>
            <w:vAlign w:val="center"/>
          </w:tcPr>
          <w:p w14:paraId="23FBB4A4" w14:textId="77777777" w:rsidR="00AD4D1E" w:rsidRPr="00FD7B0B" w:rsidRDefault="00AD4D1E" w:rsidP="00AD4D1E">
            <w:pPr>
              <w:jc w:val="center"/>
              <w:rPr>
                <w:rFonts w:ascii="Times New Roman" w:hAnsi="Times New Roman"/>
              </w:rPr>
            </w:pPr>
            <w:r w:rsidRPr="00FD7B0B">
              <w:rPr>
                <w:rFonts w:ascii="Times New Roman" w:hAnsi="Times New Roman"/>
              </w:rPr>
              <w:t>ИТОГО</w:t>
            </w:r>
          </w:p>
        </w:tc>
      </w:tr>
      <w:tr w:rsidR="00FD7B0B" w:rsidRPr="00FD7B0B" w14:paraId="649C0342" w14:textId="77777777" w:rsidTr="00816DCB">
        <w:trPr>
          <w:trHeight w:val="263"/>
        </w:trPr>
        <w:tc>
          <w:tcPr>
            <w:tcW w:w="1564" w:type="dxa"/>
            <w:tcBorders>
              <w:left w:val="double" w:sz="4" w:space="0" w:color="auto"/>
              <w:bottom w:val="single" w:sz="4" w:space="0" w:color="auto"/>
            </w:tcBorders>
            <w:shd w:val="clear" w:color="auto" w:fill="FF0000"/>
            <w:vAlign w:val="center"/>
          </w:tcPr>
          <w:p w14:paraId="6584B1C2" w14:textId="77777777" w:rsidR="00AD4D1E" w:rsidRPr="00FD7B0B" w:rsidRDefault="00AD4D1E" w:rsidP="00AD4D1E">
            <w:pPr>
              <w:jc w:val="center"/>
              <w:rPr>
                <w:rFonts w:ascii="Times New Roman" w:hAnsi="Times New Roman"/>
              </w:rPr>
            </w:pPr>
            <w:r w:rsidRPr="00FD7B0B">
              <w:rPr>
                <w:rFonts w:ascii="Times New Roman" w:hAnsi="Times New Roman"/>
              </w:rPr>
              <w:t>Низкий уровень</w:t>
            </w:r>
          </w:p>
        </w:tc>
        <w:tc>
          <w:tcPr>
            <w:tcW w:w="1564" w:type="dxa"/>
            <w:tcBorders>
              <w:bottom w:val="single" w:sz="4" w:space="0" w:color="auto"/>
            </w:tcBorders>
            <w:shd w:val="clear" w:color="auto" w:fill="92D050"/>
            <w:vAlign w:val="center"/>
          </w:tcPr>
          <w:p w14:paraId="2EA44B86" w14:textId="77777777" w:rsidR="00AD4D1E" w:rsidRPr="00FD7B0B" w:rsidRDefault="00AD4D1E" w:rsidP="00AD4D1E">
            <w:pPr>
              <w:jc w:val="center"/>
              <w:rPr>
                <w:rFonts w:ascii="Times New Roman" w:hAnsi="Times New Roman"/>
              </w:rPr>
            </w:pPr>
            <w:r w:rsidRPr="00FD7B0B">
              <w:rPr>
                <w:rFonts w:ascii="Times New Roman" w:hAnsi="Times New Roman"/>
              </w:rPr>
              <w:t>Высокий уровень</w:t>
            </w:r>
          </w:p>
        </w:tc>
        <w:tc>
          <w:tcPr>
            <w:tcW w:w="1565" w:type="dxa"/>
            <w:tcBorders>
              <w:bottom w:val="single" w:sz="4" w:space="0" w:color="auto"/>
            </w:tcBorders>
            <w:shd w:val="clear" w:color="auto" w:fill="auto"/>
            <w:vAlign w:val="center"/>
          </w:tcPr>
          <w:p w14:paraId="6FF22AAB" w14:textId="77777777" w:rsidR="00AD4D1E" w:rsidRPr="00FD7B0B" w:rsidRDefault="00AD4D1E" w:rsidP="00AD4D1E">
            <w:pPr>
              <w:jc w:val="center"/>
              <w:rPr>
                <w:rFonts w:ascii="Times New Roman" w:hAnsi="Times New Roman"/>
              </w:rPr>
            </w:pPr>
            <w:r w:rsidRPr="00FD7B0B">
              <w:rPr>
                <w:rFonts w:ascii="Times New Roman" w:hAnsi="Times New Roman"/>
              </w:rPr>
              <w:t>Не проведена</w:t>
            </w:r>
          </w:p>
        </w:tc>
        <w:tc>
          <w:tcPr>
            <w:tcW w:w="1813" w:type="dxa"/>
            <w:tcBorders>
              <w:bottom w:val="single" w:sz="4" w:space="0" w:color="auto"/>
            </w:tcBorders>
            <w:shd w:val="clear" w:color="auto" w:fill="FF0000"/>
            <w:vAlign w:val="center"/>
          </w:tcPr>
          <w:p w14:paraId="385BDDE7" w14:textId="77777777" w:rsidR="00AD4D1E" w:rsidRPr="00FD7B0B" w:rsidRDefault="00AD4D1E" w:rsidP="00AD4D1E">
            <w:pPr>
              <w:jc w:val="center"/>
              <w:rPr>
                <w:rFonts w:ascii="Times New Roman" w:hAnsi="Times New Roman"/>
              </w:rPr>
            </w:pPr>
            <w:r w:rsidRPr="00FD7B0B">
              <w:rPr>
                <w:rFonts w:ascii="Times New Roman" w:hAnsi="Times New Roman"/>
              </w:rPr>
              <w:t>Низкий уровень</w:t>
            </w:r>
          </w:p>
        </w:tc>
        <w:tc>
          <w:tcPr>
            <w:tcW w:w="1571" w:type="dxa"/>
            <w:tcBorders>
              <w:bottom w:val="single" w:sz="4" w:space="0" w:color="auto"/>
            </w:tcBorders>
            <w:shd w:val="clear" w:color="auto" w:fill="FFFF00"/>
            <w:vAlign w:val="center"/>
          </w:tcPr>
          <w:p w14:paraId="375CC375" w14:textId="77777777" w:rsidR="00AD4D1E" w:rsidRPr="00FD7B0B" w:rsidRDefault="00AD4D1E" w:rsidP="00AD4D1E">
            <w:pPr>
              <w:jc w:val="center"/>
              <w:rPr>
                <w:rFonts w:ascii="Times New Roman" w:hAnsi="Times New Roman"/>
              </w:rPr>
            </w:pPr>
            <w:r w:rsidRPr="00FD7B0B">
              <w:rPr>
                <w:rFonts w:ascii="Times New Roman" w:hAnsi="Times New Roman"/>
              </w:rPr>
              <w:t>Средний уровень</w:t>
            </w:r>
          </w:p>
        </w:tc>
        <w:tc>
          <w:tcPr>
            <w:tcW w:w="1516" w:type="dxa"/>
            <w:tcBorders>
              <w:bottom w:val="single" w:sz="4" w:space="0" w:color="auto"/>
              <w:right w:val="double" w:sz="4" w:space="0" w:color="auto"/>
            </w:tcBorders>
            <w:shd w:val="clear" w:color="auto" w:fill="FFFF00"/>
            <w:vAlign w:val="center"/>
          </w:tcPr>
          <w:p w14:paraId="7CC31F7D" w14:textId="77777777" w:rsidR="00AD4D1E" w:rsidRPr="00FD7B0B" w:rsidRDefault="00AD4D1E" w:rsidP="00AD4D1E">
            <w:pPr>
              <w:jc w:val="center"/>
              <w:rPr>
                <w:rFonts w:ascii="Times New Roman" w:hAnsi="Times New Roman"/>
                <w:b/>
              </w:rPr>
            </w:pPr>
            <w:r w:rsidRPr="00FD7B0B">
              <w:rPr>
                <w:rFonts w:ascii="Times New Roman" w:hAnsi="Times New Roman"/>
                <w:b/>
              </w:rPr>
              <w:t>Ниже среднего</w:t>
            </w:r>
          </w:p>
        </w:tc>
      </w:tr>
      <w:tr w:rsidR="00FD7B0B" w:rsidRPr="00FD7B0B" w14:paraId="5AB2048A" w14:textId="77777777" w:rsidTr="00DF0ADB">
        <w:trPr>
          <w:trHeight w:val="339"/>
        </w:trPr>
        <w:tc>
          <w:tcPr>
            <w:tcW w:w="1564" w:type="dxa"/>
            <w:tcBorders>
              <w:left w:val="double" w:sz="4" w:space="0" w:color="auto"/>
              <w:bottom w:val="double" w:sz="4" w:space="0" w:color="auto"/>
            </w:tcBorders>
            <w:vAlign w:val="center"/>
          </w:tcPr>
          <w:p w14:paraId="5035D6C3" w14:textId="77777777" w:rsidR="00AD4D1E" w:rsidRPr="00FD7B0B" w:rsidRDefault="00AD4D1E" w:rsidP="00AD4D1E">
            <w:pPr>
              <w:jc w:val="center"/>
              <w:rPr>
                <w:rFonts w:ascii="Times New Roman" w:hAnsi="Times New Roman"/>
              </w:rPr>
            </w:pPr>
            <w:r w:rsidRPr="00FD7B0B">
              <w:rPr>
                <w:rFonts w:ascii="Times New Roman" w:hAnsi="Times New Roman"/>
              </w:rPr>
              <w:t>1</w:t>
            </w:r>
          </w:p>
        </w:tc>
        <w:tc>
          <w:tcPr>
            <w:tcW w:w="1564" w:type="dxa"/>
            <w:tcBorders>
              <w:bottom w:val="double" w:sz="4" w:space="0" w:color="auto"/>
            </w:tcBorders>
            <w:vAlign w:val="center"/>
          </w:tcPr>
          <w:p w14:paraId="3C7CE43C" w14:textId="77777777" w:rsidR="00AD4D1E" w:rsidRPr="00FD7B0B" w:rsidRDefault="00AD4D1E" w:rsidP="00AD4D1E">
            <w:pPr>
              <w:jc w:val="center"/>
              <w:rPr>
                <w:rFonts w:ascii="Times New Roman" w:hAnsi="Times New Roman"/>
              </w:rPr>
            </w:pPr>
            <w:r w:rsidRPr="00FD7B0B">
              <w:rPr>
                <w:rFonts w:ascii="Times New Roman" w:hAnsi="Times New Roman"/>
              </w:rPr>
              <w:t>3</w:t>
            </w:r>
          </w:p>
        </w:tc>
        <w:tc>
          <w:tcPr>
            <w:tcW w:w="1565" w:type="dxa"/>
            <w:tcBorders>
              <w:bottom w:val="double" w:sz="4" w:space="0" w:color="auto"/>
            </w:tcBorders>
            <w:vAlign w:val="center"/>
          </w:tcPr>
          <w:p w14:paraId="1E4CB322" w14:textId="77777777" w:rsidR="00AD4D1E" w:rsidRPr="00FD7B0B" w:rsidRDefault="00AD4D1E" w:rsidP="00AD4D1E">
            <w:pPr>
              <w:jc w:val="center"/>
              <w:rPr>
                <w:rFonts w:ascii="Times New Roman" w:hAnsi="Times New Roman"/>
              </w:rPr>
            </w:pPr>
            <w:r w:rsidRPr="00FD7B0B">
              <w:rPr>
                <w:rFonts w:ascii="Times New Roman" w:hAnsi="Times New Roman"/>
              </w:rPr>
              <w:t>-</w:t>
            </w:r>
          </w:p>
        </w:tc>
        <w:tc>
          <w:tcPr>
            <w:tcW w:w="1813" w:type="dxa"/>
            <w:tcBorders>
              <w:bottom w:val="double" w:sz="4" w:space="0" w:color="auto"/>
            </w:tcBorders>
            <w:vAlign w:val="center"/>
          </w:tcPr>
          <w:p w14:paraId="7F80D0F3" w14:textId="77777777" w:rsidR="00AD4D1E" w:rsidRPr="00FD7B0B" w:rsidRDefault="00AD4D1E" w:rsidP="00AD4D1E">
            <w:pPr>
              <w:jc w:val="center"/>
              <w:rPr>
                <w:rFonts w:ascii="Times New Roman" w:hAnsi="Times New Roman"/>
              </w:rPr>
            </w:pPr>
            <w:r w:rsidRPr="00FD7B0B">
              <w:rPr>
                <w:rFonts w:ascii="Times New Roman" w:hAnsi="Times New Roman"/>
              </w:rPr>
              <w:t>1</w:t>
            </w:r>
          </w:p>
        </w:tc>
        <w:tc>
          <w:tcPr>
            <w:tcW w:w="1571" w:type="dxa"/>
            <w:tcBorders>
              <w:bottom w:val="double" w:sz="4" w:space="0" w:color="auto"/>
            </w:tcBorders>
            <w:vAlign w:val="center"/>
          </w:tcPr>
          <w:p w14:paraId="0BDD03ED" w14:textId="77777777" w:rsidR="00AD4D1E" w:rsidRPr="00FD7B0B" w:rsidRDefault="00AD4D1E" w:rsidP="00AD4D1E">
            <w:pPr>
              <w:jc w:val="center"/>
              <w:rPr>
                <w:rFonts w:ascii="Times New Roman" w:hAnsi="Times New Roman"/>
              </w:rPr>
            </w:pPr>
            <w:r w:rsidRPr="00FD7B0B">
              <w:rPr>
                <w:rFonts w:ascii="Times New Roman" w:hAnsi="Times New Roman"/>
              </w:rPr>
              <w:t>2</w:t>
            </w:r>
          </w:p>
        </w:tc>
        <w:tc>
          <w:tcPr>
            <w:tcW w:w="1516" w:type="dxa"/>
            <w:tcBorders>
              <w:bottom w:val="double" w:sz="4" w:space="0" w:color="auto"/>
              <w:right w:val="double" w:sz="4" w:space="0" w:color="auto"/>
            </w:tcBorders>
            <w:vAlign w:val="center"/>
          </w:tcPr>
          <w:p w14:paraId="38EC4223" w14:textId="77777777" w:rsidR="00AD4D1E" w:rsidRPr="00FD7B0B" w:rsidRDefault="00AD4D1E" w:rsidP="00AD4D1E">
            <w:pPr>
              <w:jc w:val="center"/>
              <w:rPr>
                <w:rFonts w:ascii="Times New Roman" w:hAnsi="Times New Roman"/>
                <w:b/>
              </w:rPr>
            </w:pPr>
            <w:r w:rsidRPr="00FD7B0B">
              <w:rPr>
                <w:rFonts w:ascii="Times New Roman" w:hAnsi="Times New Roman"/>
                <w:b/>
              </w:rPr>
              <w:t>1,7</w:t>
            </w:r>
          </w:p>
        </w:tc>
      </w:tr>
    </w:tbl>
    <w:p w14:paraId="5C302E04" w14:textId="18C1E802" w:rsidR="00B34504" w:rsidRPr="00FD7B0B" w:rsidRDefault="009B516C" w:rsidP="00B34504">
      <w:pPr>
        <w:pStyle w:val="3"/>
        <w:spacing w:line="240" w:lineRule="auto"/>
        <w:jc w:val="center"/>
        <w:rPr>
          <w:rFonts w:ascii="Times New Roman" w:hAnsi="Times New Roman"/>
          <w:b w:val="0"/>
          <w:sz w:val="28"/>
          <w:szCs w:val="28"/>
          <w:u w:val="single"/>
          <w:lang w:val="ru-RU"/>
        </w:rPr>
      </w:pPr>
      <w:bookmarkStart w:id="146" w:name="_Toc198819149"/>
      <w:r w:rsidRPr="00FD7B0B">
        <w:rPr>
          <w:rFonts w:ascii="Times New Roman" w:hAnsi="Times New Roman"/>
          <w:b w:val="0"/>
          <w:sz w:val="28"/>
          <w:szCs w:val="28"/>
          <w:u w:val="single"/>
          <w:lang w:val="ru-RU"/>
        </w:rPr>
        <w:t>4</w:t>
      </w:r>
      <w:r w:rsidR="00B34504"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B34504" w:rsidRPr="00FD7B0B">
        <w:rPr>
          <w:rFonts w:ascii="Times New Roman" w:hAnsi="Times New Roman"/>
          <w:b w:val="0"/>
          <w:sz w:val="28"/>
          <w:szCs w:val="28"/>
          <w:u w:val="single"/>
          <w:lang w:val="ru-RU"/>
        </w:rPr>
        <w:t>.</w:t>
      </w:r>
      <w:r w:rsidR="00CD68E3" w:rsidRPr="00FD7B0B">
        <w:rPr>
          <w:rFonts w:ascii="Times New Roman" w:hAnsi="Times New Roman"/>
          <w:b w:val="0"/>
          <w:sz w:val="28"/>
          <w:szCs w:val="28"/>
          <w:u w:val="single"/>
          <w:lang w:val="ru-RU"/>
        </w:rPr>
        <w:t>1</w:t>
      </w:r>
      <w:r w:rsidR="007F7958" w:rsidRPr="00FD7B0B">
        <w:rPr>
          <w:rFonts w:ascii="Times New Roman" w:hAnsi="Times New Roman"/>
          <w:b w:val="0"/>
          <w:sz w:val="28"/>
          <w:szCs w:val="28"/>
          <w:u w:val="single"/>
          <w:lang w:val="ru-RU"/>
        </w:rPr>
        <w:t>6</w:t>
      </w:r>
      <w:r w:rsidR="00B34504" w:rsidRPr="00FD7B0B">
        <w:rPr>
          <w:rFonts w:ascii="Times New Roman" w:hAnsi="Times New Roman"/>
          <w:b w:val="0"/>
          <w:sz w:val="28"/>
          <w:szCs w:val="28"/>
          <w:u w:val="single"/>
          <w:lang w:val="ru-RU"/>
        </w:rPr>
        <w:t xml:space="preserve">. </w:t>
      </w:r>
      <w:r w:rsidR="0061376B" w:rsidRPr="00FD7B0B">
        <w:rPr>
          <w:rFonts w:ascii="Times New Roman" w:hAnsi="Times New Roman"/>
          <w:b w:val="0"/>
          <w:sz w:val="28"/>
          <w:szCs w:val="28"/>
          <w:u w:val="single"/>
          <w:lang w:val="ru-RU"/>
        </w:rPr>
        <w:t xml:space="preserve">Государственная </w:t>
      </w:r>
      <w:r w:rsidR="00B34504" w:rsidRPr="00FD7B0B">
        <w:rPr>
          <w:rFonts w:ascii="Times New Roman" w:hAnsi="Times New Roman"/>
          <w:b w:val="0"/>
          <w:sz w:val="28"/>
          <w:szCs w:val="28"/>
          <w:u w:val="single"/>
          <w:lang w:val="ru-RU"/>
        </w:rPr>
        <w:t xml:space="preserve">программа Архангельской области </w:t>
      </w:r>
      <w:r w:rsidR="00743ABC" w:rsidRPr="00FD7B0B">
        <w:rPr>
          <w:rFonts w:ascii="Times New Roman" w:hAnsi="Times New Roman"/>
          <w:b w:val="0"/>
          <w:sz w:val="28"/>
          <w:szCs w:val="28"/>
          <w:u w:val="single"/>
          <w:lang w:val="ru-RU"/>
        </w:rPr>
        <w:t>«</w:t>
      </w:r>
      <w:r w:rsidR="0061376B" w:rsidRPr="00FD7B0B">
        <w:rPr>
          <w:rFonts w:ascii="Times New Roman" w:hAnsi="Times New Roman"/>
          <w:b w:val="0"/>
          <w:sz w:val="28"/>
          <w:szCs w:val="28"/>
          <w:u w:val="single"/>
          <w:lang w:val="ru-RU"/>
        </w:rPr>
        <w:t>Развитие физической культуры и спорта в Архангельской области</w:t>
      </w:r>
      <w:r w:rsidR="00743ABC" w:rsidRPr="00FD7B0B">
        <w:rPr>
          <w:rFonts w:ascii="Times New Roman" w:hAnsi="Times New Roman"/>
          <w:b w:val="0"/>
          <w:sz w:val="28"/>
          <w:szCs w:val="28"/>
          <w:u w:val="single"/>
          <w:lang w:val="ru-RU"/>
        </w:rPr>
        <w:t>»</w:t>
      </w:r>
      <w:bookmarkEnd w:id="146"/>
    </w:p>
    <w:p w14:paraId="2CB8CA22" w14:textId="297F3DAD"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Государственная программа Архангельской области </w:t>
      </w:r>
      <w:r w:rsidRPr="00FD7B0B">
        <w:rPr>
          <w:rFonts w:ascii="Times New Roman" w:hAnsi="Times New Roman"/>
          <w:sz w:val="28"/>
          <w:szCs w:val="28"/>
        </w:rPr>
        <w:t xml:space="preserve">«Развитие физической культуры и спорта в Архангельской области» </w:t>
      </w:r>
      <w:r w:rsidRPr="00FD7B0B">
        <w:rPr>
          <w:rFonts w:ascii="Times New Roman" w:eastAsia="Times New Roman" w:hAnsi="Times New Roman"/>
          <w:sz w:val="28"/>
          <w:szCs w:val="28"/>
          <w:lang w:eastAsia="ru-RU"/>
        </w:rPr>
        <w:t>утверждена постановлением Правительства Архангельской области от 09.10.2020 № 664-пп (далее – ГП № 28, госпрограмма).</w:t>
      </w:r>
    </w:p>
    <w:p w14:paraId="482F414F"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Ответственным исполнителем госпрограммы является министерство спорта Архангельской области (далее - министерство).</w:t>
      </w:r>
    </w:p>
    <w:p w14:paraId="57E94E10" w14:textId="77777777" w:rsidR="00CD21BE" w:rsidRPr="00FD7B0B" w:rsidRDefault="00CD21BE" w:rsidP="00CD21BE">
      <w:pPr>
        <w:spacing w:after="0" w:line="240" w:lineRule="auto"/>
        <w:ind w:firstLine="709"/>
        <w:jc w:val="both"/>
        <w:rPr>
          <w:rFonts w:ascii="Times New Roman" w:hAnsi="Times New Roman"/>
          <w:sz w:val="28"/>
          <w:szCs w:val="28"/>
          <w:lang w:eastAsia="ru-RU"/>
        </w:rPr>
      </w:pPr>
      <w:r w:rsidRPr="00FD7B0B">
        <w:rPr>
          <w:rFonts w:ascii="Times New Roman" w:hAnsi="Times New Roman"/>
          <w:sz w:val="28"/>
          <w:szCs w:val="28"/>
          <w:lang w:eastAsia="ru-RU"/>
        </w:rPr>
        <w:t>Структура госпрограммы № 28 на 2024 год состоит из:</w:t>
      </w:r>
    </w:p>
    <w:p w14:paraId="2C6497E7" w14:textId="77777777" w:rsidR="00CD21BE" w:rsidRPr="00FD7B0B" w:rsidRDefault="00CD21BE" w:rsidP="00CD21BE">
      <w:pPr>
        <w:spacing w:after="0" w:line="240" w:lineRule="auto"/>
        <w:ind w:firstLine="709"/>
        <w:jc w:val="both"/>
        <w:rPr>
          <w:rFonts w:ascii="Times New Roman" w:eastAsia="Times New Roman" w:hAnsi="Times New Roman"/>
          <w:bCs/>
          <w:sz w:val="28"/>
          <w:szCs w:val="28"/>
          <w:lang w:eastAsia="ru-RU"/>
        </w:rPr>
      </w:pPr>
      <w:r w:rsidRPr="00FD7B0B">
        <w:rPr>
          <w:rFonts w:ascii="Times New Roman" w:eastAsia="Times New Roman" w:hAnsi="Times New Roman"/>
          <w:bCs/>
          <w:sz w:val="28"/>
          <w:szCs w:val="28"/>
          <w:lang w:eastAsia="ru-RU"/>
        </w:rPr>
        <w:t>Проектная часть госпрограммы № 28, в которую входят:</w:t>
      </w:r>
    </w:p>
    <w:p w14:paraId="2A243576" w14:textId="77777777" w:rsidR="00CD21BE" w:rsidRPr="00FD7B0B" w:rsidRDefault="00CD21BE" w:rsidP="00CD21BE">
      <w:pPr>
        <w:pStyle w:val="ad"/>
        <w:ind w:firstLine="709"/>
        <w:jc w:val="both"/>
        <w:rPr>
          <w:rFonts w:ascii="Times New Roman" w:hAnsi="Times New Roman"/>
          <w:sz w:val="28"/>
          <w:szCs w:val="28"/>
          <w:lang w:eastAsia="ru-RU"/>
        </w:rPr>
      </w:pPr>
      <w:r w:rsidRPr="00FD7B0B">
        <w:rPr>
          <w:rFonts w:ascii="Times New Roman" w:hAnsi="Times New Roman"/>
          <w:sz w:val="28"/>
          <w:szCs w:val="28"/>
          <w:lang w:eastAsia="ru-RU"/>
        </w:rPr>
        <w:t xml:space="preserve">- Региональный проект «Создание для всех категорий и групп населения условий для занятий физической культурой и спортом, массовым спортом, в том </w:t>
      </w:r>
      <w:r w:rsidRPr="00FD7B0B">
        <w:rPr>
          <w:rFonts w:ascii="Times New Roman" w:hAnsi="Times New Roman"/>
          <w:sz w:val="28"/>
          <w:szCs w:val="28"/>
          <w:lang w:eastAsia="ru-RU"/>
        </w:rPr>
        <w:lastRenderedPageBreak/>
        <w:t>числе повышение уровня обеспеченности населения объектами спорта, а также подготовка спортивного резерва»;</w:t>
      </w:r>
    </w:p>
    <w:p w14:paraId="4A23C0B7" w14:textId="2C96066D" w:rsidR="00CD21BE" w:rsidRPr="00FD7B0B" w:rsidRDefault="00CD21BE" w:rsidP="00CD21BE">
      <w:pPr>
        <w:pStyle w:val="ad"/>
        <w:ind w:firstLine="709"/>
        <w:jc w:val="both"/>
        <w:rPr>
          <w:rFonts w:ascii="Times New Roman" w:hAnsi="Times New Roman"/>
          <w:sz w:val="28"/>
          <w:szCs w:val="28"/>
          <w:lang w:eastAsia="ru-RU"/>
        </w:rPr>
      </w:pPr>
      <w:r w:rsidRPr="00FD7B0B">
        <w:rPr>
          <w:rFonts w:ascii="Times New Roman" w:hAnsi="Times New Roman"/>
          <w:sz w:val="28"/>
          <w:szCs w:val="28"/>
          <w:lang w:eastAsia="ru-RU"/>
        </w:rPr>
        <w:t>- Регион</w:t>
      </w:r>
      <w:r w:rsidR="005B3E52" w:rsidRPr="00FD7B0B">
        <w:rPr>
          <w:rFonts w:ascii="Times New Roman" w:hAnsi="Times New Roman"/>
          <w:sz w:val="28"/>
          <w:szCs w:val="28"/>
          <w:lang w:eastAsia="ru-RU"/>
        </w:rPr>
        <w:t>альный проект «Бизнес – спринт».</w:t>
      </w:r>
    </w:p>
    <w:p w14:paraId="4DE1EA1B" w14:textId="057238B8" w:rsidR="00CD21BE" w:rsidRPr="00FD7B0B" w:rsidRDefault="00CD21BE" w:rsidP="005B3E52">
      <w:pPr>
        <w:spacing w:after="0" w:line="240" w:lineRule="auto"/>
        <w:ind w:firstLine="709"/>
        <w:jc w:val="both"/>
        <w:rPr>
          <w:rFonts w:ascii="Times New Roman" w:hAnsi="Times New Roman"/>
          <w:sz w:val="28"/>
          <w:szCs w:val="28"/>
          <w:lang w:eastAsia="ru-RU"/>
        </w:rPr>
      </w:pPr>
      <w:r w:rsidRPr="00FD7B0B">
        <w:rPr>
          <w:rFonts w:ascii="Times New Roman" w:hAnsi="Times New Roman"/>
          <w:bCs/>
          <w:sz w:val="28"/>
          <w:szCs w:val="28"/>
          <w:lang w:eastAsia="ru-RU"/>
        </w:rPr>
        <w:t>Процессная часть госп</w:t>
      </w:r>
      <w:r w:rsidR="005B3E52" w:rsidRPr="00FD7B0B">
        <w:rPr>
          <w:rFonts w:ascii="Times New Roman" w:hAnsi="Times New Roman"/>
          <w:bCs/>
          <w:sz w:val="28"/>
          <w:szCs w:val="28"/>
          <w:lang w:eastAsia="ru-RU"/>
        </w:rPr>
        <w:t xml:space="preserve">рограммы № 28, в которую входит </w:t>
      </w:r>
      <w:r w:rsidRPr="00FD7B0B">
        <w:rPr>
          <w:rFonts w:ascii="Times New Roman" w:hAnsi="Times New Roman"/>
          <w:sz w:val="28"/>
          <w:szCs w:val="28"/>
          <w:lang w:eastAsia="ru-RU"/>
        </w:rPr>
        <w:t>Комплекс процессных мероприятий «</w:t>
      </w:r>
      <w:r w:rsidRPr="00FD7B0B">
        <w:rPr>
          <w:rFonts w:ascii="Times New Roman" w:hAnsi="Times New Roman"/>
          <w:bCs/>
          <w:sz w:val="28"/>
          <w:szCs w:val="28"/>
          <w:lang w:eastAsia="ru-RU"/>
        </w:rPr>
        <w:t>Развитие физической культуры и спорта в Архангельской области</w:t>
      </w:r>
      <w:r w:rsidRPr="00FD7B0B">
        <w:rPr>
          <w:rFonts w:ascii="Times New Roman" w:hAnsi="Times New Roman"/>
          <w:sz w:val="28"/>
          <w:szCs w:val="28"/>
          <w:lang w:eastAsia="ru-RU"/>
        </w:rPr>
        <w:t>».</w:t>
      </w:r>
    </w:p>
    <w:p w14:paraId="6EDEFBCD"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На реализацию ГП № 28 на 2024 год, в редакции, действующей на 31.12.2024, утверждено финансирование за счет средств областного бюджета в общей сумме 1 288,3 млн.руб.</w:t>
      </w:r>
    </w:p>
    <w:p w14:paraId="7B6EDA2F" w14:textId="0D388E81"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За отчетный год в ГП № 28 внесены изменения, которые уменьшили сумму ассигнований на 2024 год на 264,1 млн.руб. или 17,0 %. В разрезе источников финансирования с</w:t>
      </w:r>
      <w:r w:rsidR="005B3E52" w:rsidRPr="00FD7B0B">
        <w:rPr>
          <w:rFonts w:ascii="Times New Roman" w:eastAsia="Times New Roman" w:hAnsi="Times New Roman"/>
          <w:sz w:val="28"/>
          <w:szCs w:val="28"/>
          <w:lang w:eastAsia="ru-RU"/>
        </w:rPr>
        <w:t xml:space="preserve">ведения представлены в таблице </w:t>
      </w:r>
      <w:r w:rsidR="00420A00" w:rsidRPr="00FD7B0B">
        <w:rPr>
          <w:rFonts w:ascii="Times New Roman" w:eastAsia="Times New Roman" w:hAnsi="Times New Roman"/>
          <w:sz w:val="28"/>
          <w:szCs w:val="28"/>
          <w:lang w:eastAsia="ru-RU"/>
        </w:rPr>
        <w:t>222</w:t>
      </w:r>
      <w:r w:rsidRPr="00FD7B0B">
        <w:rPr>
          <w:rFonts w:ascii="Times New Roman" w:eastAsia="Times New Roman" w:hAnsi="Times New Roman"/>
          <w:sz w:val="28"/>
          <w:szCs w:val="28"/>
          <w:lang w:eastAsia="ru-RU"/>
        </w:rPr>
        <w:t>.</w:t>
      </w:r>
    </w:p>
    <w:p w14:paraId="66B540DF" w14:textId="77777777" w:rsidR="00CD21BE" w:rsidRPr="00FD7B0B" w:rsidRDefault="00CD21BE" w:rsidP="00CD21BE">
      <w:pPr>
        <w:pStyle w:val="aff0"/>
        <w:spacing w:after="0" w:line="240" w:lineRule="auto"/>
        <w:rPr>
          <w:rFonts w:ascii="Times New Roman" w:hAnsi="Times New Roman"/>
          <w:b w:val="0"/>
          <w:sz w:val="24"/>
          <w:szCs w:val="24"/>
        </w:rPr>
      </w:pPr>
    </w:p>
    <w:p w14:paraId="52869855" w14:textId="77777777" w:rsidR="00CD21BE" w:rsidRPr="00FD7B0B" w:rsidRDefault="00CD21BE" w:rsidP="00CD21B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222</w:t>
      </w:r>
      <w:r w:rsidRPr="00FD7B0B">
        <w:rPr>
          <w:rFonts w:ascii="Times New Roman" w:hAnsi="Times New Roman"/>
          <w:b w:val="0"/>
          <w:sz w:val="24"/>
          <w:szCs w:val="24"/>
        </w:rPr>
        <w:fldChar w:fldCharType="end"/>
      </w:r>
      <w:r w:rsidRPr="00FD7B0B">
        <w:rPr>
          <w:rFonts w:ascii="Times New Roman" w:hAnsi="Times New Roman"/>
          <w:b w:val="0"/>
          <w:sz w:val="24"/>
          <w:szCs w:val="24"/>
        </w:rPr>
        <w:t>. Изменения, внесенные в объемы финансирования мероприятий ГП № 28 за 2024 год в разрезе структурных элементов и источников финансирования, млн.руб.</w:t>
      </w:r>
    </w:p>
    <w:tbl>
      <w:tblPr>
        <w:tblW w:w="9497" w:type="dxa"/>
        <w:tblInd w:w="131" w:type="dxa"/>
        <w:tblLayout w:type="fixed"/>
        <w:tblLook w:val="04A0" w:firstRow="1" w:lastRow="0" w:firstColumn="1" w:lastColumn="0" w:noHBand="0" w:noVBand="1"/>
      </w:tblPr>
      <w:tblGrid>
        <w:gridCol w:w="4808"/>
        <w:gridCol w:w="1418"/>
        <w:gridCol w:w="1418"/>
        <w:gridCol w:w="992"/>
        <w:gridCol w:w="861"/>
      </w:tblGrid>
      <w:tr w:rsidR="00FD7B0B" w:rsidRPr="00FD7B0B" w14:paraId="3B7CFE80" w14:textId="77777777" w:rsidTr="00816DCB">
        <w:trPr>
          <w:trHeight w:val="804"/>
        </w:trPr>
        <w:tc>
          <w:tcPr>
            <w:tcW w:w="480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08ECF3F"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Подпрограмма, источник финансирования</w:t>
            </w:r>
          </w:p>
        </w:tc>
        <w:tc>
          <w:tcPr>
            <w:tcW w:w="1418"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51B1599C"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Редакция ГП № 28 на 01.01.2024 (в ред. от 17.01.2024) </w:t>
            </w:r>
          </w:p>
        </w:tc>
        <w:tc>
          <w:tcPr>
            <w:tcW w:w="1418"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1BC79894"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xml:space="preserve">Редакция ГП № 28 на 31.12.2024 (в ред. от 27.12.2024) </w:t>
            </w:r>
          </w:p>
        </w:tc>
        <w:tc>
          <w:tcPr>
            <w:tcW w:w="1853" w:type="dxa"/>
            <w:gridSpan w:val="2"/>
            <w:tcBorders>
              <w:top w:val="double" w:sz="6" w:space="0" w:color="auto"/>
              <w:left w:val="nil"/>
              <w:bottom w:val="single" w:sz="4" w:space="0" w:color="auto"/>
              <w:right w:val="double" w:sz="6" w:space="0" w:color="000000"/>
            </w:tcBorders>
            <w:shd w:val="clear" w:color="auto" w:fill="auto"/>
            <w:vAlign w:val="center"/>
            <w:hideMark/>
          </w:tcPr>
          <w:p w14:paraId="5335369D"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Изменения за отчетный период (+/-)</w:t>
            </w:r>
          </w:p>
        </w:tc>
      </w:tr>
      <w:tr w:rsidR="00FD7B0B" w:rsidRPr="00FD7B0B" w14:paraId="0D162B5A" w14:textId="77777777" w:rsidTr="00163BD7">
        <w:trPr>
          <w:trHeight w:val="20"/>
        </w:trPr>
        <w:tc>
          <w:tcPr>
            <w:tcW w:w="4808" w:type="dxa"/>
            <w:vMerge/>
            <w:tcBorders>
              <w:top w:val="double" w:sz="6" w:space="0" w:color="auto"/>
              <w:left w:val="double" w:sz="6" w:space="0" w:color="auto"/>
              <w:bottom w:val="single" w:sz="4" w:space="0" w:color="auto"/>
              <w:right w:val="single" w:sz="4" w:space="0" w:color="auto"/>
            </w:tcBorders>
            <w:vAlign w:val="center"/>
            <w:hideMark/>
          </w:tcPr>
          <w:p w14:paraId="453C49B2" w14:textId="77777777" w:rsidR="00CD21BE" w:rsidRPr="00FD7B0B" w:rsidRDefault="00CD21BE" w:rsidP="00CD21BE">
            <w:pPr>
              <w:spacing w:after="0" w:line="240" w:lineRule="auto"/>
              <w:rPr>
                <w:rFonts w:ascii="Times New Roman" w:eastAsia="Times New Roman" w:hAnsi="Times New Roman"/>
                <w:sz w:val="20"/>
                <w:szCs w:val="20"/>
                <w:lang w:eastAsia="ru-RU"/>
              </w:rPr>
            </w:pPr>
          </w:p>
        </w:tc>
        <w:tc>
          <w:tcPr>
            <w:tcW w:w="1418" w:type="dxa"/>
            <w:vMerge/>
            <w:tcBorders>
              <w:top w:val="double" w:sz="6" w:space="0" w:color="auto"/>
              <w:left w:val="single" w:sz="4" w:space="0" w:color="auto"/>
              <w:bottom w:val="single" w:sz="4" w:space="0" w:color="000000"/>
              <w:right w:val="single" w:sz="4" w:space="0" w:color="auto"/>
            </w:tcBorders>
            <w:vAlign w:val="center"/>
            <w:hideMark/>
          </w:tcPr>
          <w:p w14:paraId="34E3F94C" w14:textId="77777777" w:rsidR="00CD21BE" w:rsidRPr="00FD7B0B" w:rsidRDefault="00CD21BE" w:rsidP="00CD21BE">
            <w:pPr>
              <w:spacing w:after="0" w:line="240" w:lineRule="auto"/>
              <w:rPr>
                <w:rFonts w:ascii="Times New Roman" w:eastAsia="Times New Roman" w:hAnsi="Times New Roman"/>
                <w:sz w:val="20"/>
                <w:szCs w:val="20"/>
                <w:lang w:eastAsia="ru-RU"/>
              </w:rPr>
            </w:pPr>
          </w:p>
        </w:tc>
        <w:tc>
          <w:tcPr>
            <w:tcW w:w="1418" w:type="dxa"/>
            <w:vMerge/>
            <w:tcBorders>
              <w:top w:val="double" w:sz="6" w:space="0" w:color="auto"/>
              <w:left w:val="single" w:sz="4" w:space="0" w:color="auto"/>
              <w:bottom w:val="single" w:sz="4" w:space="0" w:color="000000"/>
              <w:right w:val="single" w:sz="4" w:space="0" w:color="auto"/>
            </w:tcBorders>
            <w:vAlign w:val="center"/>
            <w:hideMark/>
          </w:tcPr>
          <w:p w14:paraId="28DFA4F7" w14:textId="77777777" w:rsidR="00CD21BE" w:rsidRPr="00FD7B0B" w:rsidRDefault="00CD21BE" w:rsidP="00CD21BE">
            <w:pPr>
              <w:spacing w:after="0" w:line="240" w:lineRule="auto"/>
              <w:rPr>
                <w:rFonts w:ascii="Times New Roman" w:eastAsia="Times New Roman" w:hAnsi="Times New Roman"/>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26C84EBB"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млн.руб.</w:t>
            </w:r>
          </w:p>
        </w:tc>
        <w:tc>
          <w:tcPr>
            <w:tcW w:w="861" w:type="dxa"/>
            <w:tcBorders>
              <w:top w:val="nil"/>
              <w:left w:val="nil"/>
              <w:bottom w:val="single" w:sz="4" w:space="0" w:color="auto"/>
              <w:right w:val="double" w:sz="6" w:space="0" w:color="auto"/>
            </w:tcBorders>
            <w:shd w:val="clear" w:color="auto" w:fill="auto"/>
            <w:vAlign w:val="center"/>
            <w:hideMark/>
          </w:tcPr>
          <w:p w14:paraId="6D811BD8"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w:t>
            </w:r>
          </w:p>
        </w:tc>
      </w:tr>
      <w:tr w:rsidR="00FD7B0B" w:rsidRPr="00FD7B0B" w14:paraId="5AF1F941" w14:textId="77777777" w:rsidTr="00163BD7">
        <w:trPr>
          <w:trHeight w:val="1042"/>
        </w:trPr>
        <w:tc>
          <w:tcPr>
            <w:tcW w:w="4808" w:type="dxa"/>
            <w:tcBorders>
              <w:top w:val="nil"/>
              <w:left w:val="double" w:sz="6" w:space="0" w:color="auto"/>
              <w:bottom w:val="single" w:sz="4" w:space="0" w:color="auto"/>
              <w:right w:val="single" w:sz="4" w:space="0" w:color="auto"/>
            </w:tcBorders>
            <w:shd w:val="clear" w:color="auto" w:fill="auto"/>
            <w:vAlign w:val="center"/>
            <w:hideMark/>
          </w:tcPr>
          <w:p w14:paraId="2689D52B" w14:textId="77777777" w:rsidR="00CD21BE" w:rsidRPr="00FD7B0B" w:rsidRDefault="00CD21BE" w:rsidP="005B3E52">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Региональный проект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в том числе:</w:t>
            </w:r>
          </w:p>
        </w:tc>
        <w:tc>
          <w:tcPr>
            <w:tcW w:w="1418" w:type="dxa"/>
            <w:tcBorders>
              <w:top w:val="nil"/>
              <w:left w:val="nil"/>
              <w:bottom w:val="single" w:sz="4" w:space="0" w:color="auto"/>
              <w:right w:val="single" w:sz="4" w:space="0" w:color="auto"/>
            </w:tcBorders>
            <w:shd w:val="clear" w:color="auto" w:fill="auto"/>
            <w:vAlign w:val="center"/>
            <w:hideMark/>
          </w:tcPr>
          <w:p w14:paraId="10C39250"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226,4</w:t>
            </w:r>
          </w:p>
        </w:tc>
        <w:tc>
          <w:tcPr>
            <w:tcW w:w="1418" w:type="dxa"/>
            <w:tcBorders>
              <w:top w:val="nil"/>
              <w:left w:val="nil"/>
              <w:bottom w:val="single" w:sz="4" w:space="0" w:color="auto"/>
              <w:right w:val="single" w:sz="4" w:space="0" w:color="auto"/>
            </w:tcBorders>
            <w:shd w:val="clear" w:color="auto" w:fill="auto"/>
            <w:vAlign w:val="center"/>
            <w:hideMark/>
          </w:tcPr>
          <w:p w14:paraId="39D0C9AD"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25,1</w:t>
            </w:r>
          </w:p>
        </w:tc>
        <w:tc>
          <w:tcPr>
            <w:tcW w:w="992" w:type="dxa"/>
            <w:tcBorders>
              <w:top w:val="nil"/>
              <w:left w:val="nil"/>
              <w:bottom w:val="single" w:sz="4" w:space="0" w:color="auto"/>
              <w:right w:val="single" w:sz="4" w:space="0" w:color="auto"/>
            </w:tcBorders>
            <w:shd w:val="clear" w:color="auto" w:fill="auto"/>
            <w:vAlign w:val="center"/>
            <w:hideMark/>
          </w:tcPr>
          <w:p w14:paraId="19D5B7AF"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-201,3</w:t>
            </w:r>
          </w:p>
        </w:tc>
        <w:tc>
          <w:tcPr>
            <w:tcW w:w="861" w:type="dxa"/>
            <w:tcBorders>
              <w:top w:val="nil"/>
              <w:left w:val="nil"/>
              <w:bottom w:val="single" w:sz="4" w:space="0" w:color="auto"/>
              <w:right w:val="double" w:sz="6" w:space="0" w:color="auto"/>
            </w:tcBorders>
            <w:shd w:val="clear" w:color="auto" w:fill="auto"/>
            <w:vAlign w:val="center"/>
            <w:hideMark/>
          </w:tcPr>
          <w:p w14:paraId="36F47324"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-88,9</w:t>
            </w:r>
          </w:p>
        </w:tc>
      </w:tr>
      <w:tr w:rsidR="00FD7B0B" w:rsidRPr="00FD7B0B" w14:paraId="48A8B217" w14:textId="77777777" w:rsidTr="00163BD7">
        <w:trPr>
          <w:trHeight w:val="255"/>
        </w:trPr>
        <w:tc>
          <w:tcPr>
            <w:tcW w:w="4808" w:type="dxa"/>
            <w:tcBorders>
              <w:top w:val="nil"/>
              <w:left w:val="double" w:sz="6" w:space="0" w:color="auto"/>
              <w:bottom w:val="single" w:sz="4" w:space="0" w:color="auto"/>
              <w:right w:val="single" w:sz="4" w:space="0" w:color="auto"/>
            </w:tcBorders>
            <w:shd w:val="clear" w:color="auto" w:fill="auto"/>
            <w:vAlign w:val="center"/>
            <w:hideMark/>
          </w:tcPr>
          <w:p w14:paraId="0FF40FE7" w14:textId="77777777" w:rsidR="00CD21BE" w:rsidRPr="00FD7B0B" w:rsidRDefault="00CD21BE" w:rsidP="005B3E52">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областной бюджет</w:t>
            </w:r>
          </w:p>
        </w:tc>
        <w:tc>
          <w:tcPr>
            <w:tcW w:w="1418" w:type="dxa"/>
            <w:tcBorders>
              <w:top w:val="nil"/>
              <w:left w:val="nil"/>
              <w:bottom w:val="single" w:sz="4" w:space="0" w:color="auto"/>
              <w:right w:val="single" w:sz="4" w:space="0" w:color="auto"/>
            </w:tcBorders>
            <w:shd w:val="clear" w:color="auto" w:fill="auto"/>
            <w:vAlign w:val="center"/>
            <w:hideMark/>
          </w:tcPr>
          <w:p w14:paraId="2112C9DE"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226,4</w:t>
            </w:r>
          </w:p>
        </w:tc>
        <w:tc>
          <w:tcPr>
            <w:tcW w:w="1418" w:type="dxa"/>
            <w:tcBorders>
              <w:top w:val="nil"/>
              <w:left w:val="nil"/>
              <w:bottom w:val="single" w:sz="4" w:space="0" w:color="auto"/>
              <w:right w:val="single" w:sz="4" w:space="0" w:color="auto"/>
            </w:tcBorders>
            <w:shd w:val="clear" w:color="auto" w:fill="auto"/>
            <w:vAlign w:val="center"/>
            <w:hideMark/>
          </w:tcPr>
          <w:p w14:paraId="68D6FEEC"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25,1</w:t>
            </w:r>
          </w:p>
        </w:tc>
        <w:tc>
          <w:tcPr>
            <w:tcW w:w="992" w:type="dxa"/>
            <w:tcBorders>
              <w:top w:val="nil"/>
              <w:left w:val="nil"/>
              <w:bottom w:val="single" w:sz="4" w:space="0" w:color="auto"/>
              <w:right w:val="single" w:sz="4" w:space="0" w:color="auto"/>
            </w:tcBorders>
            <w:shd w:val="clear" w:color="auto" w:fill="auto"/>
            <w:vAlign w:val="center"/>
            <w:hideMark/>
          </w:tcPr>
          <w:p w14:paraId="1AFE8332"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-201,3</w:t>
            </w:r>
          </w:p>
        </w:tc>
        <w:tc>
          <w:tcPr>
            <w:tcW w:w="861" w:type="dxa"/>
            <w:tcBorders>
              <w:top w:val="nil"/>
              <w:left w:val="nil"/>
              <w:bottom w:val="single" w:sz="4" w:space="0" w:color="auto"/>
              <w:right w:val="double" w:sz="6" w:space="0" w:color="auto"/>
            </w:tcBorders>
            <w:shd w:val="clear" w:color="auto" w:fill="auto"/>
            <w:vAlign w:val="center"/>
            <w:hideMark/>
          </w:tcPr>
          <w:p w14:paraId="30FBD860"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-88,9</w:t>
            </w:r>
          </w:p>
        </w:tc>
      </w:tr>
      <w:tr w:rsidR="00FD7B0B" w:rsidRPr="00FD7B0B" w14:paraId="3A5E18B6" w14:textId="77777777" w:rsidTr="00163BD7">
        <w:trPr>
          <w:trHeight w:val="147"/>
        </w:trPr>
        <w:tc>
          <w:tcPr>
            <w:tcW w:w="4808" w:type="dxa"/>
            <w:tcBorders>
              <w:top w:val="nil"/>
              <w:left w:val="double" w:sz="6" w:space="0" w:color="auto"/>
              <w:bottom w:val="single" w:sz="4" w:space="0" w:color="auto"/>
              <w:right w:val="single" w:sz="4" w:space="0" w:color="auto"/>
            </w:tcBorders>
            <w:shd w:val="clear" w:color="auto" w:fill="auto"/>
            <w:vAlign w:val="center"/>
            <w:hideMark/>
          </w:tcPr>
          <w:p w14:paraId="0AC506AF" w14:textId="77777777" w:rsidR="00CD21BE" w:rsidRPr="00FD7B0B" w:rsidRDefault="00CD21BE" w:rsidP="005B3E52">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Региональный проект "Бизнес-спринт", в том числе:</w:t>
            </w:r>
          </w:p>
        </w:tc>
        <w:tc>
          <w:tcPr>
            <w:tcW w:w="1418" w:type="dxa"/>
            <w:tcBorders>
              <w:top w:val="nil"/>
              <w:left w:val="nil"/>
              <w:bottom w:val="single" w:sz="4" w:space="0" w:color="auto"/>
              <w:right w:val="single" w:sz="4" w:space="0" w:color="auto"/>
            </w:tcBorders>
            <w:shd w:val="clear" w:color="auto" w:fill="auto"/>
            <w:vAlign w:val="center"/>
            <w:hideMark/>
          </w:tcPr>
          <w:p w14:paraId="439E1162"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145,7</w:t>
            </w:r>
          </w:p>
        </w:tc>
        <w:tc>
          <w:tcPr>
            <w:tcW w:w="1418" w:type="dxa"/>
            <w:tcBorders>
              <w:top w:val="nil"/>
              <w:left w:val="nil"/>
              <w:bottom w:val="single" w:sz="4" w:space="0" w:color="auto"/>
              <w:right w:val="single" w:sz="4" w:space="0" w:color="auto"/>
            </w:tcBorders>
            <w:shd w:val="clear" w:color="auto" w:fill="auto"/>
            <w:vAlign w:val="center"/>
            <w:hideMark/>
          </w:tcPr>
          <w:p w14:paraId="220DC414"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132,4</w:t>
            </w:r>
          </w:p>
        </w:tc>
        <w:tc>
          <w:tcPr>
            <w:tcW w:w="992" w:type="dxa"/>
            <w:tcBorders>
              <w:top w:val="nil"/>
              <w:left w:val="nil"/>
              <w:bottom w:val="single" w:sz="4" w:space="0" w:color="auto"/>
              <w:right w:val="single" w:sz="4" w:space="0" w:color="auto"/>
            </w:tcBorders>
            <w:shd w:val="clear" w:color="auto" w:fill="auto"/>
            <w:vAlign w:val="center"/>
            <w:hideMark/>
          </w:tcPr>
          <w:p w14:paraId="05280730"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-13,3</w:t>
            </w:r>
          </w:p>
        </w:tc>
        <w:tc>
          <w:tcPr>
            <w:tcW w:w="861" w:type="dxa"/>
            <w:tcBorders>
              <w:top w:val="nil"/>
              <w:left w:val="nil"/>
              <w:bottom w:val="single" w:sz="4" w:space="0" w:color="auto"/>
              <w:right w:val="double" w:sz="6" w:space="0" w:color="auto"/>
            </w:tcBorders>
            <w:shd w:val="clear" w:color="auto" w:fill="auto"/>
            <w:vAlign w:val="center"/>
            <w:hideMark/>
          </w:tcPr>
          <w:p w14:paraId="6BA880B2"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-9,1</w:t>
            </w:r>
          </w:p>
        </w:tc>
      </w:tr>
      <w:tr w:rsidR="00FD7B0B" w:rsidRPr="00FD7B0B" w14:paraId="56CE6630" w14:textId="77777777" w:rsidTr="00163BD7">
        <w:trPr>
          <w:trHeight w:val="255"/>
        </w:trPr>
        <w:tc>
          <w:tcPr>
            <w:tcW w:w="4808" w:type="dxa"/>
            <w:tcBorders>
              <w:top w:val="nil"/>
              <w:left w:val="double" w:sz="6" w:space="0" w:color="auto"/>
              <w:bottom w:val="single" w:sz="4" w:space="0" w:color="auto"/>
              <w:right w:val="single" w:sz="4" w:space="0" w:color="auto"/>
            </w:tcBorders>
            <w:shd w:val="clear" w:color="auto" w:fill="auto"/>
            <w:vAlign w:val="center"/>
            <w:hideMark/>
          </w:tcPr>
          <w:p w14:paraId="46E6D542" w14:textId="77777777" w:rsidR="00CD21BE" w:rsidRPr="00FD7B0B" w:rsidRDefault="00CD21BE" w:rsidP="005B3E52">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областной бюджет</w:t>
            </w:r>
          </w:p>
        </w:tc>
        <w:tc>
          <w:tcPr>
            <w:tcW w:w="1418" w:type="dxa"/>
            <w:tcBorders>
              <w:top w:val="nil"/>
              <w:left w:val="nil"/>
              <w:bottom w:val="single" w:sz="4" w:space="0" w:color="auto"/>
              <w:right w:val="single" w:sz="4" w:space="0" w:color="auto"/>
            </w:tcBorders>
            <w:shd w:val="clear" w:color="auto" w:fill="auto"/>
            <w:vAlign w:val="center"/>
            <w:hideMark/>
          </w:tcPr>
          <w:p w14:paraId="20902855"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145,7</w:t>
            </w:r>
          </w:p>
        </w:tc>
        <w:tc>
          <w:tcPr>
            <w:tcW w:w="1418" w:type="dxa"/>
            <w:tcBorders>
              <w:top w:val="nil"/>
              <w:left w:val="nil"/>
              <w:bottom w:val="single" w:sz="4" w:space="0" w:color="auto"/>
              <w:right w:val="single" w:sz="4" w:space="0" w:color="auto"/>
            </w:tcBorders>
            <w:shd w:val="clear" w:color="auto" w:fill="auto"/>
            <w:vAlign w:val="center"/>
            <w:hideMark/>
          </w:tcPr>
          <w:p w14:paraId="5568192C"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132,4</w:t>
            </w:r>
          </w:p>
        </w:tc>
        <w:tc>
          <w:tcPr>
            <w:tcW w:w="992" w:type="dxa"/>
            <w:tcBorders>
              <w:top w:val="nil"/>
              <w:left w:val="nil"/>
              <w:bottom w:val="single" w:sz="4" w:space="0" w:color="auto"/>
              <w:right w:val="single" w:sz="4" w:space="0" w:color="auto"/>
            </w:tcBorders>
            <w:shd w:val="clear" w:color="auto" w:fill="auto"/>
            <w:vAlign w:val="center"/>
            <w:hideMark/>
          </w:tcPr>
          <w:p w14:paraId="159A9417"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-13,3</w:t>
            </w:r>
          </w:p>
        </w:tc>
        <w:tc>
          <w:tcPr>
            <w:tcW w:w="861" w:type="dxa"/>
            <w:tcBorders>
              <w:top w:val="nil"/>
              <w:left w:val="nil"/>
              <w:bottom w:val="single" w:sz="4" w:space="0" w:color="auto"/>
              <w:right w:val="double" w:sz="6" w:space="0" w:color="auto"/>
            </w:tcBorders>
            <w:shd w:val="clear" w:color="auto" w:fill="auto"/>
            <w:vAlign w:val="center"/>
            <w:hideMark/>
          </w:tcPr>
          <w:p w14:paraId="662FE76E"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-9,1</w:t>
            </w:r>
          </w:p>
        </w:tc>
      </w:tr>
      <w:tr w:rsidR="00FD7B0B" w:rsidRPr="00FD7B0B" w14:paraId="2A917957" w14:textId="77777777" w:rsidTr="00163BD7">
        <w:trPr>
          <w:trHeight w:val="414"/>
        </w:trPr>
        <w:tc>
          <w:tcPr>
            <w:tcW w:w="4808" w:type="dxa"/>
            <w:tcBorders>
              <w:top w:val="nil"/>
              <w:left w:val="double" w:sz="6" w:space="0" w:color="auto"/>
              <w:bottom w:val="single" w:sz="4" w:space="0" w:color="auto"/>
              <w:right w:val="single" w:sz="4" w:space="0" w:color="auto"/>
            </w:tcBorders>
            <w:shd w:val="clear" w:color="auto" w:fill="auto"/>
            <w:vAlign w:val="center"/>
            <w:hideMark/>
          </w:tcPr>
          <w:p w14:paraId="4733299C" w14:textId="77777777" w:rsidR="00CD21BE" w:rsidRPr="00FD7B0B" w:rsidRDefault="00CD21BE" w:rsidP="005B3E52">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Комплекс процессных мероприятий "Развитие физической культуры и спорта в Архангельской области", в том числе:</w:t>
            </w:r>
          </w:p>
        </w:tc>
        <w:tc>
          <w:tcPr>
            <w:tcW w:w="1418" w:type="dxa"/>
            <w:tcBorders>
              <w:top w:val="nil"/>
              <w:left w:val="nil"/>
              <w:bottom w:val="single" w:sz="4" w:space="0" w:color="auto"/>
              <w:right w:val="single" w:sz="4" w:space="0" w:color="auto"/>
            </w:tcBorders>
            <w:shd w:val="clear" w:color="auto" w:fill="auto"/>
            <w:vAlign w:val="center"/>
            <w:hideMark/>
          </w:tcPr>
          <w:p w14:paraId="10D02E46"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1 180,3</w:t>
            </w:r>
          </w:p>
        </w:tc>
        <w:tc>
          <w:tcPr>
            <w:tcW w:w="1418" w:type="dxa"/>
            <w:tcBorders>
              <w:top w:val="nil"/>
              <w:left w:val="nil"/>
              <w:bottom w:val="single" w:sz="4" w:space="0" w:color="auto"/>
              <w:right w:val="single" w:sz="4" w:space="0" w:color="auto"/>
            </w:tcBorders>
            <w:shd w:val="clear" w:color="auto" w:fill="auto"/>
            <w:vAlign w:val="center"/>
            <w:hideMark/>
          </w:tcPr>
          <w:p w14:paraId="1D8BFCC9"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1 130,8</w:t>
            </w:r>
          </w:p>
        </w:tc>
        <w:tc>
          <w:tcPr>
            <w:tcW w:w="992" w:type="dxa"/>
            <w:tcBorders>
              <w:top w:val="nil"/>
              <w:left w:val="nil"/>
              <w:bottom w:val="single" w:sz="4" w:space="0" w:color="auto"/>
              <w:right w:val="single" w:sz="4" w:space="0" w:color="auto"/>
            </w:tcBorders>
            <w:shd w:val="clear" w:color="auto" w:fill="auto"/>
            <w:vAlign w:val="center"/>
            <w:hideMark/>
          </w:tcPr>
          <w:p w14:paraId="1E6D7E31"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-49,5</w:t>
            </w:r>
          </w:p>
        </w:tc>
        <w:tc>
          <w:tcPr>
            <w:tcW w:w="861" w:type="dxa"/>
            <w:tcBorders>
              <w:top w:val="nil"/>
              <w:left w:val="nil"/>
              <w:bottom w:val="single" w:sz="4" w:space="0" w:color="auto"/>
              <w:right w:val="double" w:sz="6" w:space="0" w:color="auto"/>
            </w:tcBorders>
            <w:shd w:val="clear" w:color="auto" w:fill="auto"/>
            <w:vAlign w:val="center"/>
            <w:hideMark/>
          </w:tcPr>
          <w:p w14:paraId="698EE91A"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-4,2</w:t>
            </w:r>
          </w:p>
        </w:tc>
      </w:tr>
      <w:tr w:rsidR="00FD7B0B" w:rsidRPr="00FD7B0B" w14:paraId="55350EC7" w14:textId="77777777" w:rsidTr="00163BD7">
        <w:trPr>
          <w:trHeight w:val="255"/>
        </w:trPr>
        <w:tc>
          <w:tcPr>
            <w:tcW w:w="4808" w:type="dxa"/>
            <w:tcBorders>
              <w:top w:val="nil"/>
              <w:left w:val="double" w:sz="6" w:space="0" w:color="auto"/>
              <w:bottom w:val="single" w:sz="4" w:space="0" w:color="auto"/>
              <w:right w:val="single" w:sz="4" w:space="0" w:color="auto"/>
            </w:tcBorders>
            <w:shd w:val="clear" w:color="auto" w:fill="auto"/>
            <w:vAlign w:val="center"/>
            <w:hideMark/>
          </w:tcPr>
          <w:p w14:paraId="29E8D1DA" w14:textId="77777777" w:rsidR="00CD21BE" w:rsidRPr="00FD7B0B" w:rsidRDefault="00CD21BE" w:rsidP="005B3E52">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областной бюджет</w:t>
            </w:r>
          </w:p>
        </w:tc>
        <w:tc>
          <w:tcPr>
            <w:tcW w:w="1418" w:type="dxa"/>
            <w:tcBorders>
              <w:top w:val="nil"/>
              <w:left w:val="nil"/>
              <w:bottom w:val="single" w:sz="4" w:space="0" w:color="auto"/>
              <w:right w:val="single" w:sz="4" w:space="0" w:color="auto"/>
            </w:tcBorders>
            <w:shd w:val="clear" w:color="auto" w:fill="auto"/>
            <w:vAlign w:val="center"/>
            <w:hideMark/>
          </w:tcPr>
          <w:p w14:paraId="63C76A77"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1 180,3</w:t>
            </w:r>
          </w:p>
        </w:tc>
        <w:tc>
          <w:tcPr>
            <w:tcW w:w="1418" w:type="dxa"/>
            <w:tcBorders>
              <w:top w:val="nil"/>
              <w:left w:val="nil"/>
              <w:bottom w:val="single" w:sz="4" w:space="0" w:color="auto"/>
              <w:right w:val="single" w:sz="4" w:space="0" w:color="auto"/>
            </w:tcBorders>
            <w:shd w:val="clear" w:color="auto" w:fill="auto"/>
            <w:vAlign w:val="center"/>
            <w:hideMark/>
          </w:tcPr>
          <w:p w14:paraId="744C4200"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1 130,8</w:t>
            </w:r>
          </w:p>
        </w:tc>
        <w:tc>
          <w:tcPr>
            <w:tcW w:w="992" w:type="dxa"/>
            <w:tcBorders>
              <w:top w:val="nil"/>
              <w:left w:val="nil"/>
              <w:bottom w:val="single" w:sz="4" w:space="0" w:color="auto"/>
              <w:right w:val="single" w:sz="4" w:space="0" w:color="auto"/>
            </w:tcBorders>
            <w:shd w:val="clear" w:color="auto" w:fill="auto"/>
            <w:vAlign w:val="center"/>
            <w:hideMark/>
          </w:tcPr>
          <w:p w14:paraId="2C8CF3FC"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-49,5</w:t>
            </w:r>
          </w:p>
        </w:tc>
        <w:tc>
          <w:tcPr>
            <w:tcW w:w="861" w:type="dxa"/>
            <w:tcBorders>
              <w:top w:val="nil"/>
              <w:left w:val="nil"/>
              <w:bottom w:val="single" w:sz="4" w:space="0" w:color="auto"/>
              <w:right w:val="double" w:sz="6" w:space="0" w:color="auto"/>
            </w:tcBorders>
            <w:shd w:val="clear" w:color="auto" w:fill="auto"/>
            <w:vAlign w:val="center"/>
            <w:hideMark/>
          </w:tcPr>
          <w:p w14:paraId="3678D94C"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-4,2</w:t>
            </w:r>
          </w:p>
        </w:tc>
      </w:tr>
      <w:tr w:rsidR="00FD7B0B" w:rsidRPr="00FD7B0B" w14:paraId="47CB3DA6" w14:textId="77777777" w:rsidTr="00163BD7">
        <w:trPr>
          <w:trHeight w:val="255"/>
        </w:trPr>
        <w:tc>
          <w:tcPr>
            <w:tcW w:w="4808" w:type="dxa"/>
            <w:tcBorders>
              <w:top w:val="nil"/>
              <w:left w:val="double" w:sz="6" w:space="0" w:color="auto"/>
              <w:bottom w:val="single" w:sz="4" w:space="0" w:color="auto"/>
              <w:right w:val="single" w:sz="4" w:space="0" w:color="auto"/>
            </w:tcBorders>
            <w:shd w:val="clear" w:color="auto" w:fill="auto"/>
            <w:vAlign w:val="center"/>
            <w:hideMark/>
          </w:tcPr>
          <w:p w14:paraId="6F84BDC9" w14:textId="77777777" w:rsidR="00CD21BE" w:rsidRPr="00FD7B0B" w:rsidRDefault="00CD21BE" w:rsidP="005B3E52">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Всего по госпрограмме</w:t>
            </w:r>
          </w:p>
        </w:tc>
        <w:tc>
          <w:tcPr>
            <w:tcW w:w="1418" w:type="dxa"/>
            <w:tcBorders>
              <w:top w:val="nil"/>
              <w:left w:val="nil"/>
              <w:bottom w:val="single" w:sz="4" w:space="0" w:color="auto"/>
              <w:right w:val="single" w:sz="4" w:space="0" w:color="auto"/>
            </w:tcBorders>
            <w:shd w:val="clear" w:color="auto" w:fill="auto"/>
            <w:vAlign w:val="center"/>
            <w:hideMark/>
          </w:tcPr>
          <w:p w14:paraId="5271AB86"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1 552,4</w:t>
            </w:r>
          </w:p>
        </w:tc>
        <w:tc>
          <w:tcPr>
            <w:tcW w:w="1418" w:type="dxa"/>
            <w:tcBorders>
              <w:top w:val="nil"/>
              <w:left w:val="nil"/>
              <w:bottom w:val="single" w:sz="4" w:space="0" w:color="auto"/>
              <w:right w:val="single" w:sz="4" w:space="0" w:color="auto"/>
            </w:tcBorders>
            <w:shd w:val="clear" w:color="auto" w:fill="auto"/>
            <w:vAlign w:val="center"/>
            <w:hideMark/>
          </w:tcPr>
          <w:p w14:paraId="6DCE15E9"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1 288,3</w:t>
            </w:r>
          </w:p>
        </w:tc>
        <w:tc>
          <w:tcPr>
            <w:tcW w:w="992" w:type="dxa"/>
            <w:tcBorders>
              <w:top w:val="nil"/>
              <w:left w:val="nil"/>
              <w:bottom w:val="single" w:sz="4" w:space="0" w:color="auto"/>
              <w:right w:val="single" w:sz="4" w:space="0" w:color="auto"/>
            </w:tcBorders>
            <w:shd w:val="clear" w:color="auto" w:fill="auto"/>
            <w:vAlign w:val="center"/>
            <w:hideMark/>
          </w:tcPr>
          <w:p w14:paraId="162B6A82"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-264,1</w:t>
            </w:r>
          </w:p>
        </w:tc>
        <w:tc>
          <w:tcPr>
            <w:tcW w:w="861" w:type="dxa"/>
            <w:tcBorders>
              <w:top w:val="nil"/>
              <w:left w:val="nil"/>
              <w:bottom w:val="single" w:sz="4" w:space="0" w:color="auto"/>
              <w:right w:val="double" w:sz="6" w:space="0" w:color="auto"/>
            </w:tcBorders>
            <w:shd w:val="clear" w:color="auto" w:fill="auto"/>
            <w:vAlign w:val="center"/>
            <w:hideMark/>
          </w:tcPr>
          <w:p w14:paraId="1AA1AF35"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-17,0</w:t>
            </w:r>
          </w:p>
        </w:tc>
      </w:tr>
      <w:tr w:rsidR="00CD21BE" w:rsidRPr="00FD7B0B" w14:paraId="2DC81F9A" w14:textId="77777777" w:rsidTr="00163BD7">
        <w:trPr>
          <w:trHeight w:val="255"/>
        </w:trPr>
        <w:tc>
          <w:tcPr>
            <w:tcW w:w="4808" w:type="dxa"/>
            <w:tcBorders>
              <w:top w:val="nil"/>
              <w:left w:val="double" w:sz="6" w:space="0" w:color="auto"/>
              <w:bottom w:val="single" w:sz="4" w:space="0" w:color="auto"/>
              <w:right w:val="single" w:sz="4" w:space="0" w:color="auto"/>
            </w:tcBorders>
            <w:shd w:val="clear" w:color="auto" w:fill="auto"/>
            <w:vAlign w:val="center"/>
            <w:hideMark/>
          </w:tcPr>
          <w:p w14:paraId="5B08E863" w14:textId="77777777" w:rsidR="00CD21BE" w:rsidRPr="00FD7B0B" w:rsidRDefault="00CD21BE" w:rsidP="005B3E52">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 областной бюджет</w:t>
            </w:r>
          </w:p>
        </w:tc>
        <w:tc>
          <w:tcPr>
            <w:tcW w:w="1418" w:type="dxa"/>
            <w:tcBorders>
              <w:top w:val="nil"/>
              <w:left w:val="nil"/>
              <w:bottom w:val="single" w:sz="4" w:space="0" w:color="auto"/>
              <w:right w:val="single" w:sz="4" w:space="0" w:color="auto"/>
            </w:tcBorders>
            <w:shd w:val="clear" w:color="auto" w:fill="auto"/>
            <w:vAlign w:val="center"/>
            <w:hideMark/>
          </w:tcPr>
          <w:p w14:paraId="7FC80B0F"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1 552,4</w:t>
            </w:r>
          </w:p>
        </w:tc>
        <w:tc>
          <w:tcPr>
            <w:tcW w:w="1418" w:type="dxa"/>
            <w:tcBorders>
              <w:top w:val="nil"/>
              <w:left w:val="nil"/>
              <w:bottom w:val="single" w:sz="4" w:space="0" w:color="auto"/>
              <w:right w:val="single" w:sz="4" w:space="0" w:color="auto"/>
            </w:tcBorders>
            <w:shd w:val="clear" w:color="auto" w:fill="auto"/>
            <w:vAlign w:val="center"/>
            <w:hideMark/>
          </w:tcPr>
          <w:p w14:paraId="385D2A46"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1 288,3</w:t>
            </w:r>
          </w:p>
        </w:tc>
        <w:tc>
          <w:tcPr>
            <w:tcW w:w="992" w:type="dxa"/>
            <w:tcBorders>
              <w:top w:val="nil"/>
              <w:left w:val="nil"/>
              <w:bottom w:val="single" w:sz="4" w:space="0" w:color="auto"/>
              <w:right w:val="single" w:sz="4" w:space="0" w:color="auto"/>
            </w:tcBorders>
            <w:shd w:val="clear" w:color="auto" w:fill="auto"/>
            <w:vAlign w:val="center"/>
            <w:hideMark/>
          </w:tcPr>
          <w:p w14:paraId="692B8197"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-264,1</w:t>
            </w:r>
          </w:p>
        </w:tc>
        <w:tc>
          <w:tcPr>
            <w:tcW w:w="861" w:type="dxa"/>
            <w:tcBorders>
              <w:top w:val="nil"/>
              <w:left w:val="nil"/>
              <w:bottom w:val="single" w:sz="4" w:space="0" w:color="auto"/>
              <w:right w:val="double" w:sz="6" w:space="0" w:color="auto"/>
            </w:tcBorders>
            <w:shd w:val="clear" w:color="auto" w:fill="auto"/>
            <w:vAlign w:val="center"/>
            <w:hideMark/>
          </w:tcPr>
          <w:p w14:paraId="4517669B"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-17,0</w:t>
            </w:r>
          </w:p>
        </w:tc>
      </w:tr>
    </w:tbl>
    <w:p w14:paraId="717121DF" w14:textId="77777777" w:rsidR="00CD21BE" w:rsidRPr="00FD7B0B" w:rsidRDefault="00CD21BE" w:rsidP="00CD21BE">
      <w:pPr>
        <w:spacing w:line="240" w:lineRule="auto"/>
        <w:ind w:firstLine="851"/>
        <w:contextualSpacing/>
        <w:jc w:val="both"/>
        <w:rPr>
          <w:rFonts w:ascii="Times New Roman" w:eastAsia="Times New Roman" w:hAnsi="Times New Roman"/>
          <w:sz w:val="28"/>
          <w:szCs w:val="28"/>
          <w:lang w:eastAsia="ru-RU"/>
        </w:rPr>
      </w:pPr>
    </w:p>
    <w:p w14:paraId="1C2D5A6E" w14:textId="525C66C0" w:rsidR="00CD21BE" w:rsidRPr="00FD7B0B" w:rsidRDefault="00163BD7"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w:t>
      </w:r>
      <w:r w:rsidR="00CD21BE" w:rsidRPr="00FD7B0B">
        <w:rPr>
          <w:rFonts w:ascii="Times New Roman" w:eastAsia="Times New Roman" w:hAnsi="Times New Roman"/>
          <w:sz w:val="28"/>
          <w:szCs w:val="28"/>
          <w:lang w:eastAsia="ru-RU"/>
        </w:rPr>
        <w:t>нижение бюджетных ассигнований обусловлено</w:t>
      </w:r>
      <w:r w:rsidRPr="00FD7B0B">
        <w:rPr>
          <w:rFonts w:ascii="Times New Roman" w:eastAsia="Times New Roman" w:hAnsi="Times New Roman"/>
          <w:sz w:val="28"/>
          <w:szCs w:val="28"/>
          <w:lang w:eastAsia="ru-RU"/>
        </w:rPr>
        <w:t>,</w:t>
      </w:r>
      <w:r w:rsidR="00CD21BE" w:rsidRPr="00FD7B0B">
        <w:rPr>
          <w:rFonts w:ascii="Times New Roman" w:eastAsia="Times New Roman" w:hAnsi="Times New Roman"/>
          <w:sz w:val="28"/>
          <w:szCs w:val="28"/>
          <w:lang w:eastAsia="ru-RU"/>
        </w:rPr>
        <w:t xml:space="preserve"> в основном</w:t>
      </w:r>
      <w:r w:rsidRPr="00FD7B0B">
        <w:rPr>
          <w:rFonts w:ascii="Times New Roman" w:eastAsia="Times New Roman" w:hAnsi="Times New Roman"/>
          <w:sz w:val="28"/>
          <w:szCs w:val="28"/>
          <w:lang w:eastAsia="ru-RU"/>
        </w:rPr>
        <w:t>,</w:t>
      </w:r>
      <w:r w:rsidR="00CD21BE" w:rsidRPr="00FD7B0B">
        <w:rPr>
          <w:rFonts w:ascii="Times New Roman" w:eastAsia="Times New Roman" w:hAnsi="Times New Roman"/>
          <w:sz w:val="28"/>
          <w:szCs w:val="28"/>
          <w:lang w:eastAsia="ru-RU"/>
        </w:rPr>
        <w:t xml:space="preserve"> за счет сокращения ассигнований на реализацию регионального проекта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на 201,3 </w:t>
      </w:r>
      <w:r w:rsidR="000560EB" w:rsidRPr="00FD7B0B">
        <w:rPr>
          <w:rFonts w:ascii="Times New Roman" w:eastAsia="Times New Roman" w:hAnsi="Times New Roman"/>
          <w:sz w:val="28"/>
          <w:szCs w:val="28"/>
          <w:lang w:eastAsia="ru-RU"/>
        </w:rPr>
        <w:t>млн.руб.</w:t>
      </w:r>
      <w:r w:rsidR="00CD21BE" w:rsidRPr="00FD7B0B">
        <w:rPr>
          <w:rFonts w:ascii="Times New Roman" w:eastAsia="Times New Roman" w:hAnsi="Times New Roman"/>
          <w:sz w:val="28"/>
          <w:szCs w:val="28"/>
          <w:lang w:eastAsia="ru-RU"/>
        </w:rPr>
        <w:t xml:space="preserve"> или 88,9 %, а также на реализацию комплекса процессных мероприятий «Развитие физической культуры и спорта в Архангельской области» на 49,5 млн.руб. или 4,2 %.</w:t>
      </w:r>
    </w:p>
    <w:p w14:paraId="12F2EF87"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p>
    <w:p w14:paraId="0CDBBF0D"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Областным законом «Об областном бюджете на 2024 год», в редакции, действующей на 01.01.2024, расходы на реализацию структурных элементов ГП № 28 утверждены в общей сумме 1 329,1 млн.руб.</w:t>
      </w:r>
    </w:p>
    <w:p w14:paraId="653D0141" w14:textId="6FCC51FF"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течение отчетного периода областными законами о внесении изменений и дополнений в закон «Об областном бюджете» общая сумма ассигнований на </w:t>
      </w:r>
      <w:r w:rsidRPr="00FD7B0B">
        <w:rPr>
          <w:rFonts w:ascii="Times New Roman" w:eastAsia="Times New Roman" w:hAnsi="Times New Roman"/>
          <w:sz w:val="28"/>
          <w:szCs w:val="28"/>
          <w:lang w:eastAsia="ru-RU"/>
        </w:rPr>
        <w:lastRenderedPageBreak/>
        <w:t>реализацию ГП № 28 уменьшена на 21,9 млн.руб. и на 31.12.2024 составила 1 307,2 млн.руб. Сведения в разрезе структурных элементов и исполнителей госпрог</w:t>
      </w:r>
      <w:r w:rsidR="00842F7F" w:rsidRPr="00FD7B0B">
        <w:rPr>
          <w:rFonts w:ascii="Times New Roman" w:eastAsia="Times New Roman" w:hAnsi="Times New Roman"/>
          <w:sz w:val="28"/>
          <w:szCs w:val="28"/>
          <w:lang w:eastAsia="ru-RU"/>
        </w:rPr>
        <w:t xml:space="preserve">раммы представлены в таблице </w:t>
      </w:r>
      <w:r w:rsidR="00420A00" w:rsidRPr="00FD7B0B">
        <w:rPr>
          <w:rFonts w:ascii="Times New Roman" w:eastAsia="Times New Roman" w:hAnsi="Times New Roman"/>
          <w:sz w:val="28"/>
          <w:szCs w:val="28"/>
          <w:lang w:eastAsia="ru-RU"/>
        </w:rPr>
        <w:t>223</w:t>
      </w:r>
      <w:r w:rsidRPr="00FD7B0B">
        <w:rPr>
          <w:rFonts w:ascii="Times New Roman" w:eastAsia="Times New Roman" w:hAnsi="Times New Roman"/>
          <w:sz w:val="28"/>
          <w:szCs w:val="28"/>
          <w:lang w:eastAsia="ru-RU"/>
        </w:rPr>
        <w:t>.</w:t>
      </w:r>
    </w:p>
    <w:p w14:paraId="706608E8" w14:textId="77777777" w:rsidR="00CD21BE" w:rsidRPr="00FD7B0B" w:rsidRDefault="00CD21BE" w:rsidP="00CD21BE">
      <w:pPr>
        <w:spacing w:after="0" w:line="240" w:lineRule="auto"/>
        <w:ind w:firstLine="851"/>
        <w:contextualSpacing/>
        <w:jc w:val="both"/>
        <w:rPr>
          <w:rFonts w:ascii="Times New Roman" w:eastAsia="Times New Roman" w:hAnsi="Times New Roman"/>
          <w:sz w:val="28"/>
          <w:szCs w:val="28"/>
          <w:lang w:eastAsia="ru-RU"/>
        </w:rPr>
      </w:pPr>
    </w:p>
    <w:p w14:paraId="15709482" w14:textId="77777777" w:rsidR="00CD21BE" w:rsidRPr="00FD7B0B" w:rsidRDefault="00CD21BE" w:rsidP="00CD21B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223</w:t>
      </w:r>
      <w:r w:rsidRPr="00FD7B0B">
        <w:rPr>
          <w:rFonts w:ascii="Times New Roman" w:hAnsi="Times New Roman"/>
          <w:b w:val="0"/>
          <w:sz w:val="24"/>
          <w:szCs w:val="24"/>
        </w:rPr>
        <w:fldChar w:fldCharType="end"/>
      </w:r>
      <w:r w:rsidRPr="00FD7B0B">
        <w:rPr>
          <w:rFonts w:ascii="Times New Roman" w:hAnsi="Times New Roman"/>
          <w:b w:val="0"/>
          <w:sz w:val="24"/>
          <w:szCs w:val="24"/>
        </w:rPr>
        <w:t>. Показатели областного закона «Об областном бюджете» в части бюджетных ассигнований на реализацию ГП № 28 в разрезе структурных элементов и исполнителей, млн.руб.</w:t>
      </w:r>
    </w:p>
    <w:tbl>
      <w:tblPr>
        <w:tblW w:w="9535"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697"/>
        <w:gridCol w:w="1578"/>
        <w:gridCol w:w="1599"/>
        <w:gridCol w:w="973"/>
        <w:gridCol w:w="688"/>
      </w:tblGrid>
      <w:tr w:rsidR="00FD7B0B" w:rsidRPr="00FD7B0B" w14:paraId="346BE91C" w14:textId="77777777" w:rsidTr="008B429D">
        <w:trPr>
          <w:trHeight w:val="54"/>
          <w:tblHeader/>
        </w:trPr>
        <w:tc>
          <w:tcPr>
            <w:tcW w:w="4697" w:type="dxa"/>
            <w:vMerge w:val="restart"/>
            <w:shd w:val="clear" w:color="auto" w:fill="auto"/>
            <w:vAlign w:val="center"/>
            <w:hideMark/>
          </w:tcPr>
          <w:p w14:paraId="1AFE0C2E"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Подпрограмма, исполнитель</w:t>
            </w:r>
          </w:p>
        </w:tc>
        <w:tc>
          <w:tcPr>
            <w:tcW w:w="1578" w:type="dxa"/>
            <w:vMerge w:val="restart"/>
            <w:shd w:val="clear" w:color="auto" w:fill="auto"/>
            <w:vAlign w:val="center"/>
            <w:hideMark/>
          </w:tcPr>
          <w:p w14:paraId="1F260918"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Закон в ред. на 01.01.2024 (в ред. 15.12.2023)</w:t>
            </w:r>
          </w:p>
        </w:tc>
        <w:tc>
          <w:tcPr>
            <w:tcW w:w="1599" w:type="dxa"/>
            <w:vMerge w:val="restart"/>
            <w:shd w:val="clear" w:color="auto" w:fill="auto"/>
            <w:vAlign w:val="center"/>
            <w:hideMark/>
          </w:tcPr>
          <w:p w14:paraId="1137A308"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Закон в ред. на 31.12.2024 (в ред. 23.12.2024)</w:t>
            </w:r>
          </w:p>
        </w:tc>
        <w:tc>
          <w:tcPr>
            <w:tcW w:w="1661" w:type="dxa"/>
            <w:gridSpan w:val="2"/>
            <w:shd w:val="clear" w:color="auto" w:fill="auto"/>
            <w:vAlign w:val="center"/>
            <w:hideMark/>
          </w:tcPr>
          <w:p w14:paraId="1E761E0F"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Изменения (+/-)</w:t>
            </w:r>
          </w:p>
        </w:tc>
      </w:tr>
      <w:tr w:rsidR="00FD7B0B" w:rsidRPr="00FD7B0B" w14:paraId="533EE8C1" w14:textId="77777777" w:rsidTr="008B429D">
        <w:trPr>
          <w:trHeight w:val="240"/>
          <w:tblHeader/>
        </w:trPr>
        <w:tc>
          <w:tcPr>
            <w:tcW w:w="4697" w:type="dxa"/>
            <w:vMerge/>
            <w:vAlign w:val="center"/>
            <w:hideMark/>
          </w:tcPr>
          <w:p w14:paraId="2ADAB1D6"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1578" w:type="dxa"/>
            <w:vMerge/>
            <w:vAlign w:val="center"/>
            <w:hideMark/>
          </w:tcPr>
          <w:p w14:paraId="22E53057"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1599" w:type="dxa"/>
            <w:vMerge/>
            <w:vAlign w:val="center"/>
            <w:hideMark/>
          </w:tcPr>
          <w:p w14:paraId="4D7C4C07"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973" w:type="dxa"/>
            <w:shd w:val="clear" w:color="auto" w:fill="auto"/>
            <w:vAlign w:val="center"/>
            <w:hideMark/>
          </w:tcPr>
          <w:p w14:paraId="347D7AE4"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млн.руб.</w:t>
            </w:r>
          </w:p>
        </w:tc>
        <w:tc>
          <w:tcPr>
            <w:tcW w:w="688" w:type="dxa"/>
            <w:shd w:val="clear" w:color="auto" w:fill="auto"/>
            <w:vAlign w:val="center"/>
            <w:hideMark/>
          </w:tcPr>
          <w:p w14:paraId="4CE04835"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r>
      <w:tr w:rsidR="00FD7B0B" w:rsidRPr="00FD7B0B" w14:paraId="04C4B047" w14:textId="77777777" w:rsidTr="00613895">
        <w:trPr>
          <w:trHeight w:val="36"/>
        </w:trPr>
        <w:tc>
          <w:tcPr>
            <w:tcW w:w="4697" w:type="dxa"/>
            <w:shd w:val="clear" w:color="auto" w:fill="auto"/>
            <w:vAlign w:val="center"/>
            <w:hideMark/>
          </w:tcPr>
          <w:p w14:paraId="2F74033D" w14:textId="0EB3D226" w:rsidR="00613895" w:rsidRPr="00FD7B0B" w:rsidRDefault="00CD21BE" w:rsidP="00613895">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Областной бюджет (всего), из них</w:t>
            </w:r>
          </w:p>
        </w:tc>
        <w:tc>
          <w:tcPr>
            <w:tcW w:w="1578" w:type="dxa"/>
            <w:shd w:val="clear" w:color="auto" w:fill="auto"/>
            <w:vAlign w:val="center"/>
            <w:hideMark/>
          </w:tcPr>
          <w:p w14:paraId="10AD0DCF"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1 329,1</w:t>
            </w:r>
          </w:p>
        </w:tc>
        <w:tc>
          <w:tcPr>
            <w:tcW w:w="1599" w:type="dxa"/>
            <w:shd w:val="clear" w:color="auto" w:fill="auto"/>
            <w:vAlign w:val="center"/>
            <w:hideMark/>
          </w:tcPr>
          <w:p w14:paraId="59F77F16"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1 307,2</w:t>
            </w:r>
          </w:p>
        </w:tc>
        <w:tc>
          <w:tcPr>
            <w:tcW w:w="973" w:type="dxa"/>
            <w:shd w:val="clear" w:color="auto" w:fill="auto"/>
            <w:vAlign w:val="center"/>
            <w:hideMark/>
          </w:tcPr>
          <w:p w14:paraId="06D35460"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-21,9</w:t>
            </w:r>
          </w:p>
        </w:tc>
        <w:tc>
          <w:tcPr>
            <w:tcW w:w="688" w:type="dxa"/>
            <w:shd w:val="clear" w:color="auto" w:fill="auto"/>
            <w:vAlign w:val="center"/>
            <w:hideMark/>
          </w:tcPr>
          <w:p w14:paraId="74589122"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-1,6</w:t>
            </w:r>
          </w:p>
        </w:tc>
      </w:tr>
      <w:tr w:rsidR="00FD7B0B" w:rsidRPr="00FD7B0B" w14:paraId="0BB4CA28" w14:textId="77777777" w:rsidTr="00613895">
        <w:trPr>
          <w:trHeight w:val="834"/>
        </w:trPr>
        <w:tc>
          <w:tcPr>
            <w:tcW w:w="4697" w:type="dxa"/>
            <w:shd w:val="clear" w:color="auto" w:fill="auto"/>
            <w:vAlign w:val="center"/>
            <w:hideMark/>
          </w:tcPr>
          <w:p w14:paraId="08AB4F11" w14:textId="77777777" w:rsidR="00CD21BE" w:rsidRPr="00FD7B0B" w:rsidRDefault="00CD21BE" w:rsidP="0061389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Региональный проект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в том числе:</w:t>
            </w:r>
          </w:p>
        </w:tc>
        <w:tc>
          <w:tcPr>
            <w:tcW w:w="1578" w:type="dxa"/>
            <w:shd w:val="clear" w:color="auto" w:fill="auto"/>
            <w:noWrap/>
            <w:vAlign w:val="center"/>
            <w:hideMark/>
          </w:tcPr>
          <w:p w14:paraId="2F04E64A"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15,1</w:t>
            </w:r>
          </w:p>
        </w:tc>
        <w:tc>
          <w:tcPr>
            <w:tcW w:w="1599" w:type="dxa"/>
            <w:shd w:val="clear" w:color="auto" w:fill="auto"/>
            <w:noWrap/>
            <w:vAlign w:val="center"/>
            <w:hideMark/>
          </w:tcPr>
          <w:p w14:paraId="6A0377AD"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15,1</w:t>
            </w:r>
          </w:p>
        </w:tc>
        <w:tc>
          <w:tcPr>
            <w:tcW w:w="973" w:type="dxa"/>
            <w:shd w:val="clear" w:color="auto" w:fill="auto"/>
            <w:vAlign w:val="center"/>
            <w:hideMark/>
          </w:tcPr>
          <w:p w14:paraId="22131D0A"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688" w:type="dxa"/>
            <w:shd w:val="clear" w:color="auto" w:fill="auto"/>
            <w:vAlign w:val="center"/>
            <w:hideMark/>
          </w:tcPr>
          <w:p w14:paraId="524DBF68"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0814B810" w14:textId="77777777" w:rsidTr="008B429D">
        <w:trPr>
          <w:trHeight w:val="267"/>
        </w:trPr>
        <w:tc>
          <w:tcPr>
            <w:tcW w:w="4697" w:type="dxa"/>
            <w:shd w:val="clear" w:color="auto" w:fill="auto"/>
            <w:vAlign w:val="center"/>
            <w:hideMark/>
          </w:tcPr>
          <w:p w14:paraId="31BC1E0C" w14:textId="77777777" w:rsidR="00CD21BE" w:rsidRPr="00FD7B0B" w:rsidRDefault="00CD21BE" w:rsidP="00613895">
            <w:pPr>
              <w:spacing w:after="0" w:line="240" w:lineRule="auto"/>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 Министерство строительства и архитектуры Архангельской области</w:t>
            </w:r>
          </w:p>
        </w:tc>
        <w:tc>
          <w:tcPr>
            <w:tcW w:w="1578" w:type="dxa"/>
            <w:shd w:val="clear" w:color="auto" w:fill="auto"/>
            <w:noWrap/>
            <w:vAlign w:val="center"/>
            <w:hideMark/>
          </w:tcPr>
          <w:p w14:paraId="18D99112"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5,1</w:t>
            </w:r>
          </w:p>
        </w:tc>
        <w:tc>
          <w:tcPr>
            <w:tcW w:w="1599" w:type="dxa"/>
            <w:shd w:val="clear" w:color="auto" w:fill="auto"/>
            <w:noWrap/>
            <w:vAlign w:val="center"/>
            <w:hideMark/>
          </w:tcPr>
          <w:p w14:paraId="6D9F29CA"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5,1</w:t>
            </w:r>
          </w:p>
        </w:tc>
        <w:tc>
          <w:tcPr>
            <w:tcW w:w="973" w:type="dxa"/>
            <w:shd w:val="clear" w:color="auto" w:fill="auto"/>
            <w:vAlign w:val="center"/>
            <w:hideMark/>
          </w:tcPr>
          <w:p w14:paraId="0E132AD0"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688" w:type="dxa"/>
            <w:shd w:val="clear" w:color="auto" w:fill="auto"/>
            <w:vAlign w:val="center"/>
            <w:hideMark/>
          </w:tcPr>
          <w:p w14:paraId="105E2DEE"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4B632800" w14:textId="77777777" w:rsidTr="008B429D">
        <w:trPr>
          <w:trHeight w:val="36"/>
        </w:trPr>
        <w:tc>
          <w:tcPr>
            <w:tcW w:w="4697" w:type="dxa"/>
            <w:shd w:val="clear" w:color="auto" w:fill="auto"/>
            <w:vAlign w:val="center"/>
            <w:hideMark/>
          </w:tcPr>
          <w:p w14:paraId="1DE604EC" w14:textId="77777777" w:rsidR="00CD21BE" w:rsidRPr="00FD7B0B" w:rsidRDefault="00CD21BE" w:rsidP="00613895">
            <w:pPr>
              <w:spacing w:after="0" w:line="240" w:lineRule="auto"/>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 Министерство спорта Архангельской области</w:t>
            </w:r>
          </w:p>
        </w:tc>
        <w:tc>
          <w:tcPr>
            <w:tcW w:w="1578" w:type="dxa"/>
            <w:shd w:val="clear" w:color="auto" w:fill="auto"/>
            <w:noWrap/>
            <w:vAlign w:val="center"/>
            <w:hideMark/>
          </w:tcPr>
          <w:p w14:paraId="1C5793AC"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w:t>
            </w:r>
          </w:p>
        </w:tc>
        <w:tc>
          <w:tcPr>
            <w:tcW w:w="1599" w:type="dxa"/>
            <w:shd w:val="clear" w:color="auto" w:fill="auto"/>
            <w:noWrap/>
            <w:vAlign w:val="center"/>
            <w:hideMark/>
          </w:tcPr>
          <w:p w14:paraId="66C90154"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10,0</w:t>
            </w:r>
          </w:p>
        </w:tc>
        <w:tc>
          <w:tcPr>
            <w:tcW w:w="973" w:type="dxa"/>
            <w:shd w:val="clear" w:color="auto" w:fill="auto"/>
            <w:vAlign w:val="center"/>
            <w:hideMark/>
          </w:tcPr>
          <w:p w14:paraId="4844D72C"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688" w:type="dxa"/>
            <w:shd w:val="clear" w:color="auto" w:fill="auto"/>
            <w:vAlign w:val="center"/>
            <w:hideMark/>
          </w:tcPr>
          <w:p w14:paraId="13FF7CCB"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4FC14A2B" w14:textId="77777777" w:rsidTr="008B429D">
        <w:trPr>
          <w:trHeight w:val="36"/>
        </w:trPr>
        <w:tc>
          <w:tcPr>
            <w:tcW w:w="4697" w:type="dxa"/>
            <w:shd w:val="clear" w:color="auto" w:fill="auto"/>
            <w:vAlign w:val="center"/>
            <w:hideMark/>
          </w:tcPr>
          <w:p w14:paraId="360260F1" w14:textId="77777777" w:rsidR="00CD21BE" w:rsidRPr="00FD7B0B" w:rsidRDefault="00CD21BE" w:rsidP="0061389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Региональный проект "Бизнес-спринт" в том числе:</w:t>
            </w:r>
          </w:p>
        </w:tc>
        <w:tc>
          <w:tcPr>
            <w:tcW w:w="1578" w:type="dxa"/>
            <w:shd w:val="clear" w:color="auto" w:fill="auto"/>
            <w:noWrap/>
            <w:vAlign w:val="center"/>
            <w:hideMark/>
          </w:tcPr>
          <w:p w14:paraId="144DC855"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132,4</w:t>
            </w:r>
          </w:p>
        </w:tc>
        <w:tc>
          <w:tcPr>
            <w:tcW w:w="1599" w:type="dxa"/>
            <w:shd w:val="clear" w:color="auto" w:fill="auto"/>
            <w:noWrap/>
            <w:vAlign w:val="center"/>
            <w:hideMark/>
          </w:tcPr>
          <w:p w14:paraId="070B2300"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132,4</w:t>
            </w:r>
          </w:p>
        </w:tc>
        <w:tc>
          <w:tcPr>
            <w:tcW w:w="973" w:type="dxa"/>
            <w:shd w:val="clear" w:color="auto" w:fill="auto"/>
            <w:vAlign w:val="center"/>
            <w:hideMark/>
          </w:tcPr>
          <w:p w14:paraId="514A5A5E"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688" w:type="dxa"/>
            <w:shd w:val="clear" w:color="auto" w:fill="auto"/>
            <w:vAlign w:val="center"/>
            <w:hideMark/>
          </w:tcPr>
          <w:p w14:paraId="2C7997CC"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2C13AC9F" w14:textId="77777777" w:rsidTr="008B429D">
        <w:trPr>
          <w:trHeight w:val="36"/>
        </w:trPr>
        <w:tc>
          <w:tcPr>
            <w:tcW w:w="4697" w:type="dxa"/>
            <w:shd w:val="clear" w:color="auto" w:fill="auto"/>
            <w:vAlign w:val="center"/>
            <w:hideMark/>
          </w:tcPr>
          <w:p w14:paraId="45474463" w14:textId="77777777" w:rsidR="00CD21BE" w:rsidRPr="00FD7B0B" w:rsidRDefault="00CD21BE" w:rsidP="00613895">
            <w:pPr>
              <w:spacing w:after="0" w:line="240" w:lineRule="auto"/>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 Министерство спорта Архангельской области</w:t>
            </w:r>
          </w:p>
        </w:tc>
        <w:tc>
          <w:tcPr>
            <w:tcW w:w="1578" w:type="dxa"/>
            <w:shd w:val="clear" w:color="auto" w:fill="auto"/>
            <w:noWrap/>
            <w:vAlign w:val="center"/>
            <w:hideMark/>
          </w:tcPr>
          <w:p w14:paraId="5A1771F7"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132,4</w:t>
            </w:r>
          </w:p>
        </w:tc>
        <w:tc>
          <w:tcPr>
            <w:tcW w:w="1599" w:type="dxa"/>
            <w:shd w:val="clear" w:color="auto" w:fill="auto"/>
            <w:noWrap/>
            <w:vAlign w:val="center"/>
            <w:hideMark/>
          </w:tcPr>
          <w:p w14:paraId="507BEF11"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132,4</w:t>
            </w:r>
          </w:p>
        </w:tc>
        <w:tc>
          <w:tcPr>
            <w:tcW w:w="973" w:type="dxa"/>
            <w:shd w:val="clear" w:color="auto" w:fill="auto"/>
            <w:vAlign w:val="center"/>
            <w:hideMark/>
          </w:tcPr>
          <w:p w14:paraId="3D8F2CF4"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688" w:type="dxa"/>
            <w:shd w:val="clear" w:color="auto" w:fill="auto"/>
            <w:vAlign w:val="center"/>
            <w:hideMark/>
          </w:tcPr>
          <w:p w14:paraId="38BC54F2"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79307A90" w14:textId="77777777" w:rsidTr="008B429D">
        <w:trPr>
          <w:trHeight w:val="185"/>
        </w:trPr>
        <w:tc>
          <w:tcPr>
            <w:tcW w:w="4697" w:type="dxa"/>
            <w:shd w:val="clear" w:color="auto" w:fill="auto"/>
            <w:vAlign w:val="center"/>
            <w:hideMark/>
          </w:tcPr>
          <w:p w14:paraId="09D20809" w14:textId="77777777" w:rsidR="00CD21BE" w:rsidRPr="00FD7B0B" w:rsidRDefault="00CD21BE" w:rsidP="00613895">
            <w:pPr>
              <w:spacing w:after="0" w:line="240" w:lineRule="auto"/>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Комплекс процессных мероприятий "Развитие физической культуры и спорта в Архангельской области", в том числе:</w:t>
            </w:r>
          </w:p>
        </w:tc>
        <w:tc>
          <w:tcPr>
            <w:tcW w:w="1578" w:type="dxa"/>
            <w:shd w:val="clear" w:color="auto" w:fill="auto"/>
            <w:noWrap/>
            <w:vAlign w:val="center"/>
            <w:hideMark/>
          </w:tcPr>
          <w:p w14:paraId="598B048E"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1 181,6</w:t>
            </w:r>
          </w:p>
        </w:tc>
        <w:tc>
          <w:tcPr>
            <w:tcW w:w="1599" w:type="dxa"/>
            <w:shd w:val="clear" w:color="auto" w:fill="auto"/>
            <w:noWrap/>
            <w:vAlign w:val="center"/>
            <w:hideMark/>
          </w:tcPr>
          <w:p w14:paraId="453A99C5"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1 159,7</w:t>
            </w:r>
          </w:p>
        </w:tc>
        <w:tc>
          <w:tcPr>
            <w:tcW w:w="973" w:type="dxa"/>
            <w:shd w:val="clear" w:color="auto" w:fill="auto"/>
            <w:vAlign w:val="center"/>
            <w:hideMark/>
          </w:tcPr>
          <w:p w14:paraId="742A00C4"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-21,9</w:t>
            </w:r>
          </w:p>
        </w:tc>
        <w:tc>
          <w:tcPr>
            <w:tcW w:w="688" w:type="dxa"/>
            <w:shd w:val="clear" w:color="auto" w:fill="auto"/>
            <w:vAlign w:val="center"/>
            <w:hideMark/>
          </w:tcPr>
          <w:p w14:paraId="0A6C561E"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-1,9</w:t>
            </w:r>
          </w:p>
        </w:tc>
      </w:tr>
      <w:tr w:rsidR="00FD7B0B" w:rsidRPr="00FD7B0B" w14:paraId="2F06A53D" w14:textId="77777777" w:rsidTr="008B429D">
        <w:trPr>
          <w:trHeight w:val="181"/>
        </w:trPr>
        <w:tc>
          <w:tcPr>
            <w:tcW w:w="4697" w:type="dxa"/>
            <w:shd w:val="clear" w:color="auto" w:fill="auto"/>
            <w:vAlign w:val="center"/>
            <w:hideMark/>
          </w:tcPr>
          <w:p w14:paraId="53DAD2F5" w14:textId="77777777" w:rsidR="00CD21BE" w:rsidRPr="00FD7B0B" w:rsidRDefault="00CD21BE" w:rsidP="00613895">
            <w:pPr>
              <w:spacing w:after="0" w:line="240" w:lineRule="auto"/>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 Министерство строительства и архитектуры Архангельской области</w:t>
            </w:r>
          </w:p>
        </w:tc>
        <w:tc>
          <w:tcPr>
            <w:tcW w:w="1578" w:type="dxa"/>
            <w:shd w:val="clear" w:color="auto" w:fill="auto"/>
            <w:noWrap/>
            <w:vAlign w:val="center"/>
            <w:hideMark/>
          </w:tcPr>
          <w:p w14:paraId="0CDBE988"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119,0</w:t>
            </w:r>
          </w:p>
        </w:tc>
        <w:tc>
          <w:tcPr>
            <w:tcW w:w="1599" w:type="dxa"/>
            <w:shd w:val="clear" w:color="auto" w:fill="auto"/>
            <w:noWrap/>
            <w:vAlign w:val="center"/>
            <w:hideMark/>
          </w:tcPr>
          <w:p w14:paraId="6B9AC8CA"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119,0</w:t>
            </w:r>
          </w:p>
        </w:tc>
        <w:tc>
          <w:tcPr>
            <w:tcW w:w="973" w:type="dxa"/>
            <w:shd w:val="clear" w:color="auto" w:fill="auto"/>
            <w:vAlign w:val="center"/>
            <w:hideMark/>
          </w:tcPr>
          <w:p w14:paraId="2C15EB0A"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688" w:type="dxa"/>
            <w:shd w:val="clear" w:color="auto" w:fill="auto"/>
            <w:vAlign w:val="center"/>
            <w:hideMark/>
          </w:tcPr>
          <w:p w14:paraId="5FE6A9A2"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FD7B0B" w:rsidRPr="00FD7B0B" w14:paraId="7A2AE78E" w14:textId="77777777" w:rsidTr="008B429D">
        <w:trPr>
          <w:trHeight w:val="273"/>
        </w:trPr>
        <w:tc>
          <w:tcPr>
            <w:tcW w:w="4697" w:type="dxa"/>
            <w:shd w:val="clear" w:color="auto" w:fill="auto"/>
            <w:vAlign w:val="center"/>
            <w:hideMark/>
          </w:tcPr>
          <w:p w14:paraId="2CFDD287" w14:textId="77777777" w:rsidR="00CD21BE" w:rsidRPr="00FD7B0B" w:rsidRDefault="00CD21BE" w:rsidP="00613895">
            <w:pPr>
              <w:spacing w:after="0" w:line="240" w:lineRule="auto"/>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 Министерство здравоохранения Архангельской области</w:t>
            </w:r>
          </w:p>
        </w:tc>
        <w:tc>
          <w:tcPr>
            <w:tcW w:w="1578" w:type="dxa"/>
            <w:shd w:val="clear" w:color="auto" w:fill="auto"/>
            <w:noWrap/>
            <w:vAlign w:val="center"/>
            <w:hideMark/>
          </w:tcPr>
          <w:p w14:paraId="208255D1"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5,2</w:t>
            </w:r>
          </w:p>
        </w:tc>
        <w:tc>
          <w:tcPr>
            <w:tcW w:w="1599" w:type="dxa"/>
            <w:shd w:val="clear" w:color="auto" w:fill="auto"/>
            <w:noWrap/>
            <w:vAlign w:val="center"/>
            <w:hideMark/>
          </w:tcPr>
          <w:p w14:paraId="4323056C"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5,2</w:t>
            </w:r>
          </w:p>
        </w:tc>
        <w:tc>
          <w:tcPr>
            <w:tcW w:w="973" w:type="dxa"/>
            <w:shd w:val="clear" w:color="auto" w:fill="auto"/>
            <w:vAlign w:val="center"/>
            <w:hideMark/>
          </w:tcPr>
          <w:p w14:paraId="3193D98D"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688" w:type="dxa"/>
            <w:shd w:val="clear" w:color="auto" w:fill="auto"/>
            <w:vAlign w:val="center"/>
            <w:hideMark/>
          </w:tcPr>
          <w:p w14:paraId="100DBD7C"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0,0</w:t>
            </w:r>
          </w:p>
        </w:tc>
      </w:tr>
      <w:tr w:rsidR="00CD21BE" w:rsidRPr="00FD7B0B" w14:paraId="55B88128" w14:textId="77777777" w:rsidTr="008B429D">
        <w:trPr>
          <w:trHeight w:val="81"/>
        </w:trPr>
        <w:tc>
          <w:tcPr>
            <w:tcW w:w="4697" w:type="dxa"/>
            <w:shd w:val="clear" w:color="auto" w:fill="auto"/>
            <w:vAlign w:val="center"/>
            <w:hideMark/>
          </w:tcPr>
          <w:p w14:paraId="5B02248D" w14:textId="77777777" w:rsidR="00CD21BE" w:rsidRPr="00FD7B0B" w:rsidRDefault="00CD21BE" w:rsidP="00613895">
            <w:pPr>
              <w:spacing w:after="0" w:line="240" w:lineRule="auto"/>
              <w:rPr>
                <w:rFonts w:ascii="Times New Roman" w:eastAsia="Times New Roman" w:hAnsi="Times New Roman"/>
                <w:i/>
                <w:iCs/>
                <w:sz w:val="20"/>
                <w:szCs w:val="20"/>
                <w:lang w:eastAsia="ru-RU"/>
              </w:rPr>
            </w:pPr>
            <w:r w:rsidRPr="00FD7B0B">
              <w:rPr>
                <w:rFonts w:ascii="Times New Roman" w:eastAsia="Times New Roman" w:hAnsi="Times New Roman"/>
                <w:i/>
                <w:iCs/>
                <w:sz w:val="20"/>
                <w:szCs w:val="20"/>
                <w:lang w:eastAsia="ru-RU"/>
              </w:rPr>
              <w:t>- Министерство спорта Архангельской области</w:t>
            </w:r>
          </w:p>
        </w:tc>
        <w:tc>
          <w:tcPr>
            <w:tcW w:w="1578" w:type="dxa"/>
            <w:shd w:val="clear" w:color="auto" w:fill="auto"/>
            <w:noWrap/>
            <w:vAlign w:val="center"/>
            <w:hideMark/>
          </w:tcPr>
          <w:p w14:paraId="7C4119B3"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1 057,4</w:t>
            </w:r>
          </w:p>
        </w:tc>
        <w:tc>
          <w:tcPr>
            <w:tcW w:w="1599" w:type="dxa"/>
            <w:shd w:val="clear" w:color="auto" w:fill="auto"/>
            <w:noWrap/>
            <w:vAlign w:val="center"/>
            <w:hideMark/>
          </w:tcPr>
          <w:p w14:paraId="6883D81E"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1 035,5</w:t>
            </w:r>
          </w:p>
        </w:tc>
        <w:tc>
          <w:tcPr>
            <w:tcW w:w="973" w:type="dxa"/>
            <w:shd w:val="clear" w:color="auto" w:fill="auto"/>
            <w:vAlign w:val="center"/>
            <w:hideMark/>
          </w:tcPr>
          <w:p w14:paraId="2506ECEA"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-21,9</w:t>
            </w:r>
          </w:p>
        </w:tc>
        <w:tc>
          <w:tcPr>
            <w:tcW w:w="688" w:type="dxa"/>
            <w:shd w:val="clear" w:color="auto" w:fill="auto"/>
            <w:vAlign w:val="center"/>
            <w:hideMark/>
          </w:tcPr>
          <w:p w14:paraId="15BB83B5" w14:textId="77777777" w:rsidR="00CD21BE" w:rsidRPr="00FD7B0B" w:rsidRDefault="00CD21BE" w:rsidP="00CD21BE">
            <w:pPr>
              <w:spacing w:after="0" w:line="240" w:lineRule="auto"/>
              <w:jc w:val="center"/>
              <w:rPr>
                <w:rFonts w:ascii="Times New Roman" w:eastAsia="Times New Roman" w:hAnsi="Times New Roman"/>
                <w:sz w:val="20"/>
                <w:szCs w:val="20"/>
                <w:lang w:eastAsia="ru-RU"/>
              </w:rPr>
            </w:pPr>
            <w:r w:rsidRPr="00FD7B0B">
              <w:rPr>
                <w:rFonts w:ascii="Times New Roman" w:eastAsia="Times New Roman" w:hAnsi="Times New Roman"/>
                <w:sz w:val="20"/>
                <w:szCs w:val="20"/>
                <w:lang w:eastAsia="ru-RU"/>
              </w:rPr>
              <w:t>-2,1</w:t>
            </w:r>
          </w:p>
        </w:tc>
      </w:tr>
    </w:tbl>
    <w:p w14:paraId="223FC389" w14:textId="77777777" w:rsidR="00CD21BE" w:rsidRPr="00FD7B0B" w:rsidRDefault="00CD21BE" w:rsidP="00CD21BE">
      <w:pPr>
        <w:spacing w:after="0" w:line="240" w:lineRule="auto"/>
        <w:ind w:firstLine="851"/>
        <w:jc w:val="both"/>
        <w:rPr>
          <w:rFonts w:ascii="Times New Roman" w:eastAsia="Times New Roman" w:hAnsi="Times New Roman"/>
          <w:sz w:val="28"/>
          <w:szCs w:val="28"/>
          <w:lang w:eastAsia="ru-RU"/>
        </w:rPr>
      </w:pPr>
    </w:p>
    <w:p w14:paraId="033D16BF" w14:textId="51524A55" w:rsidR="00CD21BE" w:rsidRPr="00FD7B0B" w:rsidRDefault="008B429D" w:rsidP="00EF32D1">
      <w:pPr>
        <w:spacing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w:t>
      </w:r>
      <w:r w:rsidR="00CD21BE" w:rsidRPr="00FD7B0B">
        <w:rPr>
          <w:rFonts w:ascii="Times New Roman" w:eastAsia="Times New Roman" w:hAnsi="Times New Roman"/>
          <w:sz w:val="28"/>
          <w:szCs w:val="28"/>
          <w:lang w:eastAsia="ru-RU"/>
        </w:rPr>
        <w:t>нижение бюджетных ассигнований обусловлено за счет</w:t>
      </w:r>
      <w:r w:rsidR="00CD21BE" w:rsidRPr="00FD7B0B">
        <w:rPr>
          <w:rFonts w:ascii="Times New Roman" w:hAnsi="Times New Roman"/>
          <w:sz w:val="28"/>
          <w:szCs w:val="28"/>
        </w:rPr>
        <w:t xml:space="preserve"> министерства спорта Архангельской области </w:t>
      </w:r>
      <w:r w:rsidRPr="00FD7B0B">
        <w:rPr>
          <w:rFonts w:ascii="Times New Roman" w:eastAsia="Times New Roman" w:hAnsi="Times New Roman"/>
          <w:sz w:val="28"/>
          <w:szCs w:val="28"/>
          <w:lang w:eastAsia="ru-RU"/>
        </w:rPr>
        <w:t>в сумме 21,9 млн.</w:t>
      </w:r>
      <w:r w:rsidR="00CD21BE" w:rsidRPr="00FD7B0B">
        <w:rPr>
          <w:rFonts w:ascii="Times New Roman" w:eastAsia="Times New Roman" w:hAnsi="Times New Roman"/>
          <w:sz w:val="28"/>
          <w:szCs w:val="28"/>
          <w:lang w:eastAsia="ru-RU"/>
        </w:rPr>
        <w:t>руб. или 2,1 %.</w:t>
      </w:r>
    </w:p>
    <w:p w14:paraId="27C234C8" w14:textId="214A1DB4" w:rsidR="00CD21BE" w:rsidRPr="00FD7B0B" w:rsidRDefault="00CD21BE" w:rsidP="00EF32D1">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Сопоставление объемов финансирования, утвержденных ГП № 28 и бюджетных ассигнований на ее реализацию, утвержденных законом «Об областном б</w:t>
      </w:r>
      <w:r w:rsidR="00EF32D1" w:rsidRPr="00FD7B0B">
        <w:rPr>
          <w:rFonts w:ascii="Times New Roman" w:eastAsia="Times New Roman" w:hAnsi="Times New Roman"/>
          <w:sz w:val="28"/>
          <w:szCs w:val="28"/>
          <w:lang w:eastAsia="ru-RU"/>
        </w:rPr>
        <w:t xml:space="preserve">юджете» представлено в таблице </w:t>
      </w:r>
      <w:r w:rsidR="00420A00" w:rsidRPr="00FD7B0B">
        <w:rPr>
          <w:rFonts w:ascii="Times New Roman" w:eastAsia="Times New Roman" w:hAnsi="Times New Roman"/>
          <w:sz w:val="28"/>
          <w:szCs w:val="28"/>
          <w:lang w:eastAsia="ru-RU"/>
        </w:rPr>
        <w:t>224</w:t>
      </w:r>
      <w:r w:rsidRPr="00FD7B0B">
        <w:rPr>
          <w:rFonts w:ascii="Times New Roman" w:eastAsia="Times New Roman" w:hAnsi="Times New Roman"/>
          <w:sz w:val="28"/>
          <w:szCs w:val="28"/>
          <w:lang w:eastAsia="ru-RU"/>
        </w:rPr>
        <w:t>.</w:t>
      </w:r>
    </w:p>
    <w:p w14:paraId="606FB1FF" w14:textId="77777777" w:rsidR="00CD21BE" w:rsidRPr="00FD7B0B" w:rsidRDefault="00CD21BE" w:rsidP="00EF32D1">
      <w:pPr>
        <w:spacing w:after="0" w:line="240" w:lineRule="auto"/>
        <w:ind w:firstLine="709"/>
        <w:contextualSpacing/>
        <w:jc w:val="both"/>
        <w:rPr>
          <w:rFonts w:ascii="Times New Roman" w:eastAsia="Times New Roman" w:hAnsi="Times New Roman"/>
          <w:sz w:val="28"/>
          <w:szCs w:val="28"/>
          <w:lang w:eastAsia="ru-RU"/>
        </w:rPr>
      </w:pPr>
    </w:p>
    <w:p w14:paraId="380C7F92" w14:textId="77777777" w:rsidR="00CD21BE" w:rsidRPr="00FD7B0B" w:rsidRDefault="00CD21BE" w:rsidP="00CD21B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224</w:t>
      </w:r>
      <w:r w:rsidRPr="00FD7B0B">
        <w:rPr>
          <w:rFonts w:ascii="Times New Roman" w:hAnsi="Times New Roman"/>
          <w:b w:val="0"/>
          <w:sz w:val="24"/>
          <w:szCs w:val="24"/>
        </w:rPr>
        <w:fldChar w:fldCharType="end"/>
      </w:r>
      <w:r w:rsidRPr="00FD7B0B">
        <w:rPr>
          <w:rFonts w:ascii="Times New Roman" w:hAnsi="Times New Roman"/>
          <w:b w:val="0"/>
          <w:sz w:val="24"/>
          <w:szCs w:val="24"/>
        </w:rPr>
        <w:t>. Сопоставление объемов финансирования, утвержденных ГП № 28 и бюджетных ассигнований на ее реализацию, утвержденных законом «Об областном бюджете», млн.руб.</w:t>
      </w:r>
    </w:p>
    <w:tbl>
      <w:tblPr>
        <w:tblW w:w="9563"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268"/>
        <w:gridCol w:w="1437"/>
        <w:gridCol w:w="1417"/>
        <w:gridCol w:w="1038"/>
        <w:gridCol w:w="1276"/>
        <w:gridCol w:w="1038"/>
        <w:gridCol w:w="1089"/>
      </w:tblGrid>
      <w:tr w:rsidR="00FD7B0B" w:rsidRPr="00FD7B0B" w14:paraId="315E4964" w14:textId="77777777" w:rsidTr="00420A00">
        <w:trPr>
          <w:trHeight w:val="300"/>
          <w:tblHeader/>
        </w:trPr>
        <w:tc>
          <w:tcPr>
            <w:tcW w:w="2268" w:type="dxa"/>
            <w:vMerge w:val="restart"/>
            <w:shd w:val="clear" w:color="auto" w:fill="auto"/>
            <w:vAlign w:val="center"/>
            <w:hideMark/>
          </w:tcPr>
          <w:p w14:paraId="5286C82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Подпрограмма</w:t>
            </w:r>
          </w:p>
        </w:tc>
        <w:tc>
          <w:tcPr>
            <w:tcW w:w="1437" w:type="dxa"/>
            <w:vMerge w:val="restart"/>
            <w:shd w:val="clear" w:color="auto" w:fill="auto"/>
            <w:vAlign w:val="center"/>
            <w:hideMark/>
          </w:tcPr>
          <w:p w14:paraId="17B937E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Показатели закона о бюджете на 31.12.2024 (в ред. 23.12.2024)</w:t>
            </w:r>
          </w:p>
        </w:tc>
        <w:tc>
          <w:tcPr>
            <w:tcW w:w="1417" w:type="dxa"/>
            <w:vMerge w:val="restart"/>
            <w:shd w:val="clear" w:color="auto" w:fill="auto"/>
            <w:vAlign w:val="center"/>
            <w:hideMark/>
          </w:tcPr>
          <w:p w14:paraId="37A2EB3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Паспорт госпрограммы на 31.12.2024 (в ред. от 27.12.2024) </w:t>
            </w:r>
          </w:p>
        </w:tc>
        <w:tc>
          <w:tcPr>
            <w:tcW w:w="1038" w:type="dxa"/>
            <w:vMerge w:val="restart"/>
            <w:shd w:val="clear" w:color="auto" w:fill="auto"/>
            <w:vAlign w:val="center"/>
            <w:hideMark/>
          </w:tcPr>
          <w:p w14:paraId="00277E3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Отклонение (+/-)</w:t>
            </w:r>
          </w:p>
        </w:tc>
        <w:tc>
          <w:tcPr>
            <w:tcW w:w="1276" w:type="dxa"/>
            <w:vMerge w:val="restart"/>
            <w:shd w:val="clear" w:color="auto" w:fill="auto"/>
            <w:vAlign w:val="center"/>
            <w:hideMark/>
          </w:tcPr>
          <w:p w14:paraId="0621016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Показатели сводной бюджетной росписи на 31.12.2024</w:t>
            </w:r>
          </w:p>
        </w:tc>
        <w:tc>
          <w:tcPr>
            <w:tcW w:w="1038" w:type="dxa"/>
            <w:vMerge w:val="restart"/>
            <w:shd w:val="clear" w:color="auto" w:fill="auto"/>
            <w:vAlign w:val="center"/>
            <w:hideMark/>
          </w:tcPr>
          <w:p w14:paraId="3B3ECF7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Отклонение (+/-)</w:t>
            </w:r>
          </w:p>
        </w:tc>
        <w:tc>
          <w:tcPr>
            <w:tcW w:w="1089" w:type="dxa"/>
            <w:vMerge w:val="restart"/>
            <w:shd w:val="clear" w:color="auto" w:fill="auto"/>
            <w:vAlign w:val="center"/>
            <w:hideMark/>
          </w:tcPr>
          <w:p w14:paraId="73A8E4C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Отклонение (+/-)</w:t>
            </w:r>
          </w:p>
        </w:tc>
      </w:tr>
      <w:tr w:rsidR="00FD7B0B" w:rsidRPr="00FD7B0B" w14:paraId="7189CBB2" w14:textId="77777777" w:rsidTr="00420A00">
        <w:trPr>
          <w:trHeight w:val="566"/>
          <w:tblHeader/>
        </w:trPr>
        <w:tc>
          <w:tcPr>
            <w:tcW w:w="2268" w:type="dxa"/>
            <w:vMerge/>
            <w:vAlign w:val="center"/>
            <w:hideMark/>
          </w:tcPr>
          <w:p w14:paraId="09324EBC"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1437" w:type="dxa"/>
            <w:vMerge/>
            <w:vAlign w:val="center"/>
            <w:hideMark/>
          </w:tcPr>
          <w:p w14:paraId="6A0327C2"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1417" w:type="dxa"/>
            <w:vMerge/>
            <w:vAlign w:val="center"/>
            <w:hideMark/>
          </w:tcPr>
          <w:p w14:paraId="161936CA"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1038" w:type="dxa"/>
            <w:vMerge/>
            <w:vAlign w:val="center"/>
            <w:hideMark/>
          </w:tcPr>
          <w:p w14:paraId="605799C7"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1276" w:type="dxa"/>
            <w:vMerge/>
            <w:vAlign w:val="center"/>
            <w:hideMark/>
          </w:tcPr>
          <w:p w14:paraId="1BB3628D"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1038" w:type="dxa"/>
            <w:vMerge/>
            <w:vAlign w:val="center"/>
            <w:hideMark/>
          </w:tcPr>
          <w:p w14:paraId="4BD88D58"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1089" w:type="dxa"/>
            <w:vMerge/>
            <w:vAlign w:val="center"/>
            <w:hideMark/>
          </w:tcPr>
          <w:p w14:paraId="4DB345CE" w14:textId="77777777" w:rsidR="00CD21BE" w:rsidRPr="00FD7B0B" w:rsidRDefault="00CD21BE" w:rsidP="00CD21BE">
            <w:pPr>
              <w:spacing w:after="0" w:line="240" w:lineRule="auto"/>
              <w:rPr>
                <w:rFonts w:ascii="Times New Roman" w:eastAsia="Times New Roman" w:hAnsi="Times New Roman"/>
                <w:sz w:val="16"/>
                <w:szCs w:val="16"/>
                <w:lang w:eastAsia="ru-RU"/>
              </w:rPr>
            </w:pPr>
          </w:p>
        </w:tc>
      </w:tr>
      <w:tr w:rsidR="00FD7B0B" w:rsidRPr="00FD7B0B" w14:paraId="34E28EEC" w14:textId="77777777" w:rsidTr="00816DCB">
        <w:trPr>
          <w:trHeight w:val="221"/>
        </w:trPr>
        <w:tc>
          <w:tcPr>
            <w:tcW w:w="2268" w:type="dxa"/>
            <w:shd w:val="clear" w:color="auto" w:fill="auto"/>
            <w:vAlign w:val="center"/>
            <w:hideMark/>
          </w:tcPr>
          <w:p w14:paraId="4E58600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w:t>
            </w:r>
          </w:p>
        </w:tc>
        <w:tc>
          <w:tcPr>
            <w:tcW w:w="1437" w:type="dxa"/>
            <w:shd w:val="clear" w:color="auto" w:fill="auto"/>
            <w:vAlign w:val="center"/>
            <w:hideMark/>
          </w:tcPr>
          <w:p w14:paraId="2F68C9D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417" w:type="dxa"/>
            <w:shd w:val="clear" w:color="auto" w:fill="auto"/>
            <w:vAlign w:val="center"/>
            <w:hideMark/>
          </w:tcPr>
          <w:p w14:paraId="6213A95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038" w:type="dxa"/>
            <w:shd w:val="clear" w:color="auto" w:fill="auto"/>
            <w:noWrap/>
            <w:vAlign w:val="center"/>
            <w:hideMark/>
          </w:tcPr>
          <w:p w14:paraId="2753B0C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3=2-1</w:t>
            </w:r>
          </w:p>
        </w:tc>
        <w:tc>
          <w:tcPr>
            <w:tcW w:w="1276" w:type="dxa"/>
            <w:shd w:val="clear" w:color="auto" w:fill="auto"/>
            <w:vAlign w:val="center"/>
            <w:hideMark/>
          </w:tcPr>
          <w:p w14:paraId="50B214D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w:t>
            </w:r>
          </w:p>
        </w:tc>
        <w:tc>
          <w:tcPr>
            <w:tcW w:w="1038" w:type="dxa"/>
            <w:shd w:val="clear" w:color="auto" w:fill="auto"/>
            <w:vAlign w:val="center"/>
            <w:hideMark/>
          </w:tcPr>
          <w:p w14:paraId="5AD665A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5=4-2</w:t>
            </w:r>
          </w:p>
        </w:tc>
        <w:tc>
          <w:tcPr>
            <w:tcW w:w="1089" w:type="dxa"/>
            <w:shd w:val="clear" w:color="auto" w:fill="auto"/>
            <w:vAlign w:val="center"/>
            <w:hideMark/>
          </w:tcPr>
          <w:p w14:paraId="6E079B6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6=4-1</w:t>
            </w:r>
          </w:p>
        </w:tc>
      </w:tr>
      <w:tr w:rsidR="00FD7B0B" w:rsidRPr="00FD7B0B" w14:paraId="1BCC771F" w14:textId="77777777" w:rsidTr="00816DCB">
        <w:trPr>
          <w:trHeight w:val="1575"/>
        </w:trPr>
        <w:tc>
          <w:tcPr>
            <w:tcW w:w="2268" w:type="dxa"/>
            <w:shd w:val="clear" w:color="auto" w:fill="auto"/>
            <w:vAlign w:val="center"/>
            <w:hideMark/>
          </w:tcPr>
          <w:p w14:paraId="7291C3FB" w14:textId="77777777" w:rsidR="00CD21BE" w:rsidRPr="00FD7B0B" w:rsidRDefault="00CD21BE" w:rsidP="00EF32D1">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Региональный проект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tc>
        <w:tc>
          <w:tcPr>
            <w:tcW w:w="1437" w:type="dxa"/>
            <w:shd w:val="clear" w:color="auto" w:fill="auto"/>
            <w:noWrap/>
            <w:vAlign w:val="center"/>
            <w:hideMark/>
          </w:tcPr>
          <w:p w14:paraId="5D1862A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15,1</w:t>
            </w:r>
          </w:p>
        </w:tc>
        <w:tc>
          <w:tcPr>
            <w:tcW w:w="1417" w:type="dxa"/>
            <w:shd w:val="clear" w:color="auto" w:fill="auto"/>
            <w:noWrap/>
            <w:vAlign w:val="center"/>
            <w:hideMark/>
          </w:tcPr>
          <w:p w14:paraId="0B8C8A7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25,1</w:t>
            </w:r>
          </w:p>
        </w:tc>
        <w:tc>
          <w:tcPr>
            <w:tcW w:w="1038" w:type="dxa"/>
            <w:shd w:val="clear" w:color="auto" w:fill="auto"/>
            <w:noWrap/>
            <w:vAlign w:val="center"/>
            <w:hideMark/>
          </w:tcPr>
          <w:p w14:paraId="29A7BD4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w:t>
            </w:r>
          </w:p>
        </w:tc>
        <w:tc>
          <w:tcPr>
            <w:tcW w:w="1276" w:type="dxa"/>
            <w:shd w:val="clear" w:color="auto" w:fill="auto"/>
            <w:noWrap/>
            <w:vAlign w:val="center"/>
            <w:hideMark/>
          </w:tcPr>
          <w:p w14:paraId="23146D4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25,1</w:t>
            </w:r>
          </w:p>
        </w:tc>
        <w:tc>
          <w:tcPr>
            <w:tcW w:w="1038" w:type="dxa"/>
            <w:shd w:val="clear" w:color="auto" w:fill="auto"/>
            <w:noWrap/>
            <w:vAlign w:val="center"/>
            <w:hideMark/>
          </w:tcPr>
          <w:p w14:paraId="61B0667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c>
          <w:tcPr>
            <w:tcW w:w="1089" w:type="dxa"/>
            <w:shd w:val="clear" w:color="auto" w:fill="auto"/>
            <w:noWrap/>
            <w:vAlign w:val="center"/>
            <w:hideMark/>
          </w:tcPr>
          <w:p w14:paraId="4758269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w:t>
            </w:r>
          </w:p>
        </w:tc>
      </w:tr>
      <w:tr w:rsidR="00FD7B0B" w:rsidRPr="00FD7B0B" w14:paraId="4B0153FD" w14:textId="77777777" w:rsidTr="00816DCB">
        <w:trPr>
          <w:trHeight w:val="223"/>
        </w:trPr>
        <w:tc>
          <w:tcPr>
            <w:tcW w:w="2268" w:type="dxa"/>
            <w:shd w:val="clear" w:color="auto" w:fill="auto"/>
            <w:vAlign w:val="center"/>
            <w:hideMark/>
          </w:tcPr>
          <w:p w14:paraId="0E02B010" w14:textId="77777777" w:rsidR="00CD21BE" w:rsidRPr="00FD7B0B" w:rsidRDefault="00CD21BE" w:rsidP="00EF32D1">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Региональный проект "Бизнес-спринт"</w:t>
            </w:r>
          </w:p>
        </w:tc>
        <w:tc>
          <w:tcPr>
            <w:tcW w:w="1437" w:type="dxa"/>
            <w:shd w:val="clear" w:color="auto" w:fill="auto"/>
            <w:noWrap/>
            <w:vAlign w:val="center"/>
            <w:hideMark/>
          </w:tcPr>
          <w:p w14:paraId="18291A7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132,4</w:t>
            </w:r>
          </w:p>
        </w:tc>
        <w:tc>
          <w:tcPr>
            <w:tcW w:w="1417" w:type="dxa"/>
            <w:shd w:val="clear" w:color="auto" w:fill="auto"/>
            <w:noWrap/>
            <w:vAlign w:val="center"/>
            <w:hideMark/>
          </w:tcPr>
          <w:p w14:paraId="7BE86FF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132,4</w:t>
            </w:r>
          </w:p>
        </w:tc>
        <w:tc>
          <w:tcPr>
            <w:tcW w:w="1038" w:type="dxa"/>
            <w:shd w:val="clear" w:color="auto" w:fill="auto"/>
            <w:noWrap/>
            <w:vAlign w:val="center"/>
            <w:hideMark/>
          </w:tcPr>
          <w:p w14:paraId="1F1B32F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c>
          <w:tcPr>
            <w:tcW w:w="1276" w:type="dxa"/>
            <w:shd w:val="clear" w:color="auto" w:fill="auto"/>
            <w:noWrap/>
            <w:vAlign w:val="center"/>
            <w:hideMark/>
          </w:tcPr>
          <w:p w14:paraId="717DF8A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132,4</w:t>
            </w:r>
          </w:p>
        </w:tc>
        <w:tc>
          <w:tcPr>
            <w:tcW w:w="1038" w:type="dxa"/>
            <w:shd w:val="clear" w:color="auto" w:fill="auto"/>
            <w:noWrap/>
            <w:vAlign w:val="center"/>
            <w:hideMark/>
          </w:tcPr>
          <w:p w14:paraId="08B8115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c>
          <w:tcPr>
            <w:tcW w:w="1089" w:type="dxa"/>
            <w:shd w:val="clear" w:color="auto" w:fill="auto"/>
            <w:noWrap/>
            <w:vAlign w:val="center"/>
            <w:hideMark/>
          </w:tcPr>
          <w:p w14:paraId="187E940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r>
      <w:tr w:rsidR="00FD7B0B" w:rsidRPr="00FD7B0B" w14:paraId="61849F29" w14:textId="77777777" w:rsidTr="00816DCB">
        <w:trPr>
          <w:trHeight w:val="554"/>
        </w:trPr>
        <w:tc>
          <w:tcPr>
            <w:tcW w:w="2268" w:type="dxa"/>
            <w:shd w:val="clear" w:color="auto" w:fill="auto"/>
            <w:vAlign w:val="center"/>
            <w:hideMark/>
          </w:tcPr>
          <w:p w14:paraId="0CFFF864" w14:textId="77777777" w:rsidR="00CD21BE" w:rsidRPr="00FD7B0B" w:rsidRDefault="00CD21BE" w:rsidP="00EF32D1">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lastRenderedPageBreak/>
              <w:t>Комплекс процессных мероприятий "Развитие физической культуры и спорта в Архангельской области"</w:t>
            </w:r>
          </w:p>
        </w:tc>
        <w:tc>
          <w:tcPr>
            <w:tcW w:w="1437" w:type="dxa"/>
            <w:shd w:val="clear" w:color="auto" w:fill="auto"/>
            <w:noWrap/>
            <w:vAlign w:val="center"/>
            <w:hideMark/>
          </w:tcPr>
          <w:p w14:paraId="52E8C1E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1 159,7</w:t>
            </w:r>
          </w:p>
        </w:tc>
        <w:tc>
          <w:tcPr>
            <w:tcW w:w="1417" w:type="dxa"/>
            <w:shd w:val="clear" w:color="auto" w:fill="auto"/>
            <w:noWrap/>
            <w:vAlign w:val="center"/>
            <w:hideMark/>
          </w:tcPr>
          <w:p w14:paraId="4662E5B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1 130,8</w:t>
            </w:r>
          </w:p>
        </w:tc>
        <w:tc>
          <w:tcPr>
            <w:tcW w:w="1038" w:type="dxa"/>
            <w:shd w:val="clear" w:color="auto" w:fill="auto"/>
            <w:noWrap/>
            <w:vAlign w:val="center"/>
            <w:hideMark/>
          </w:tcPr>
          <w:p w14:paraId="5B13D64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-28,9</w:t>
            </w:r>
          </w:p>
        </w:tc>
        <w:tc>
          <w:tcPr>
            <w:tcW w:w="1276" w:type="dxa"/>
            <w:shd w:val="clear" w:color="auto" w:fill="auto"/>
            <w:noWrap/>
            <w:vAlign w:val="center"/>
            <w:hideMark/>
          </w:tcPr>
          <w:p w14:paraId="230F529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1 133,9</w:t>
            </w:r>
          </w:p>
        </w:tc>
        <w:tc>
          <w:tcPr>
            <w:tcW w:w="1038" w:type="dxa"/>
            <w:shd w:val="clear" w:color="auto" w:fill="auto"/>
            <w:noWrap/>
            <w:vAlign w:val="center"/>
            <w:hideMark/>
          </w:tcPr>
          <w:p w14:paraId="1DE0D9B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3,1</w:t>
            </w:r>
          </w:p>
        </w:tc>
        <w:tc>
          <w:tcPr>
            <w:tcW w:w="1089" w:type="dxa"/>
            <w:shd w:val="clear" w:color="auto" w:fill="auto"/>
            <w:noWrap/>
            <w:vAlign w:val="center"/>
            <w:hideMark/>
          </w:tcPr>
          <w:p w14:paraId="560D911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-25,8</w:t>
            </w:r>
          </w:p>
        </w:tc>
      </w:tr>
      <w:tr w:rsidR="00CD21BE" w:rsidRPr="00FD7B0B" w14:paraId="1876F710" w14:textId="77777777" w:rsidTr="00816DCB">
        <w:trPr>
          <w:trHeight w:val="43"/>
        </w:trPr>
        <w:tc>
          <w:tcPr>
            <w:tcW w:w="2268" w:type="dxa"/>
            <w:shd w:val="clear" w:color="auto" w:fill="auto"/>
            <w:noWrap/>
            <w:vAlign w:val="center"/>
            <w:hideMark/>
          </w:tcPr>
          <w:p w14:paraId="37DAC661" w14:textId="77777777" w:rsidR="00CD21BE" w:rsidRPr="00FD7B0B" w:rsidRDefault="00CD21BE" w:rsidP="00EF32D1">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Всего по госпрограмме</w:t>
            </w:r>
          </w:p>
        </w:tc>
        <w:tc>
          <w:tcPr>
            <w:tcW w:w="1437" w:type="dxa"/>
            <w:shd w:val="clear" w:color="auto" w:fill="auto"/>
            <w:noWrap/>
            <w:vAlign w:val="center"/>
            <w:hideMark/>
          </w:tcPr>
          <w:p w14:paraId="5EF952F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1 307,2</w:t>
            </w:r>
          </w:p>
        </w:tc>
        <w:tc>
          <w:tcPr>
            <w:tcW w:w="1417" w:type="dxa"/>
            <w:shd w:val="clear" w:color="auto" w:fill="auto"/>
            <w:noWrap/>
            <w:vAlign w:val="center"/>
            <w:hideMark/>
          </w:tcPr>
          <w:p w14:paraId="1DF01AB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1 288,3</w:t>
            </w:r>
          </w:p>
        </w:tc>
        <w:tc>
          <w:tcPr>
            <w:tcW w:w="1038" w:type="dxa"/>
            <w:shd w:val="clear" w:color="auto" w:fill="auto"/>
            <w:noWrap/>
            <w:vAlign w:val="center"/>
            <w:hideMark/>
          </w:tcPr>
          <w:p w14:paraId="1F3D50D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-18,9</w:t>
            </w:r>
          </w:p>
        </w:tc>
        <w:tc>
          <w:tcPr>
            <w:tcW w:w="1276" w:type="dxa"/>
            <w:shd w:val="clear" w:color="auto" w:fill="auto"/>
            <w:noWrap/>
            <w:vAlign w:val="center"/>
            <w:hideMark/>
          </w:tcPr>
          <w:p w14:paraId="0E53461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1 291,4</w:t>
            </w:r>
          </w:p>
        </w:tc>
        <w:tc>
          <w:tcPr>
            <w:tcW w:w="1038" w:type="dxa"/>
            <w:shd w:val="clear" w:color="auto" w:fill="auto"/>
            <w:noWrap/>
            <w:vAlign w:val="center"/>
            <w:hideMark/>
          </w:tcPr>
          <w:p w14:paraId="2BB3944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3,1</w:t>
            </w:r>
          </w:p>
        </w:tc>
        <w:tc>
          <w:tcPr>
            <w:tcW w:w="1089" w:type="dxa"/>
            <w:shd w:val="clear" w:color="auto" w:fill="auto"/>
            <w:noWrap/>
            <w:vAlign w:val="center"/>
            <w:hideMark/>
          </w:tcPr>
          <w:p w14:paraId="234B3D2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-15,8</w:t>
            </w:r>
          </w:p>
        </w:tc>
      </w:tr>
    </w:tbl>
    <w:p w14:paraId="26F0E320" w14:textId="77777777" w:rsidR="00CD21BE" w:rsidRPr="00FD7B0B" w:rsidRDefault="00CD21BE" w:rsidP="00CD21BE">
      <w:pPr>
        <w:spacing w:after="0" w:line="240" w:lineRule="auto"/>
        <w:ind w:firstLine="851"/>
        <w:contextualSpacing/>
        <w:jc w:val="both"/>
        <w:rPr>
          <w:rFonts w:ascii="Times New Roman" w:eastAsia="Times New Roman" w:hAnsi="Times New Roman"/>
          <w:sz w:val="28"/>
          <w:szCs w:val="28"/>
          <w:lang w:eastAsia="ru-RU"/>
        </w:rPr>
      </w:pPr>
    </w:p>
    <w:p w14:paraId="024612F4" w14:textId="77777777" w:rsidR="00CD21BE" w:rsidRPr="00FD7B0B" w:rsidRDefault="00CD21BE" w:rsidP="00CD21BE">
      <w:pPr>
        <w:spacing w:after="0" w:line="240" w:lineRule="auto"/>
        <w:ind w:firstLine="851"/>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течение 2024 года изменения в сводную бюджетную роспись вносились на основании постановлений Правительства Архангельской области. По состоянию на 31.12.2024 уточненной сводной бюджетной росписью областного бюджета на 2024 год расходы на реализацию ГП № 28 утверждены в общей сумме 1 291,4 млн.руб., что на 15,8 млн.руб. или на 1,2 % ниже параметров, утвержденных областным законом «Об областном бюджете» в редакции, действующей на 31.12.2024.</w:t>
      </w:r>
    </w:p>
    <w:p w14:paraId="5551C353" w14:textId="18EAC41D" w:rsidR="00CD21BE" w:rsidRPr="00FD7B0B" w:rsidRDefault="00CD21BE" w:rsidP="002658C8">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Следует отметить, что по состоянию на 01.04.2025 бюджетные ассигнования, предусмотренные ГП № 28 на 2024 год, не были приведены в соответствие со сводной бюджетной росписью областного бюджета на 31.12.2024 на общую сумму 3,1 млн.руб. (1 291,4-1 288,3), что не соответствует требованиям пункта 4 статьи 10 областного закона </w:t>
      </w:r>
      <w:r w:rsidR="00E70DAA" w:rsidRPr="00FD7B0B">
        <w:rPr>
          <w:rFonts w:ascii="Times New Roman" w:eastAsia="Times New Roman" w:hAnsi="Times New Roman"/>
          <w:sz w:val="28"/>
          <w:szCs w:val="28"/>
          <w:lang w:eastAsia="ru-RU"/>
        </w:rPr>
        <w:t>о</w:t>
      </w:r>
      <w:r w:rsidRPr="00FD7B0B">
        <w:rPr>
          <w:rFonts w:ascii="Times New Roman" w:eastAsia="Times New Roman" w:hAnsi="Times New Roman"/>
          <w:sz w:val="28"/>
          <w:szCs w:val="28"/>
          <w:lang w:eastAsia="ru-RU"/>
        </w:rPr>
        <w:t xml:space="preserve"> бюджетном процессе, пункта 29 Положения № 793-пп.</w:t>
      </w:r>
    </w:p>
    <w:p w14:paraId="3CBF3932" w14:textId="77777777" w:rsidR="00CD21BE" w:rsidRPr="00FD7B0B" w:rsidRDefault="00CD21BE" w:rsidP="00E70DAA">
      <w:pPr>
        <w:spacing w:after="0" w:line="240" w:lineRule="auto"/>
        <w:ind w:firstLine="709"/>
        <w:contextualSpacing/>
        <w:jc w:val="both"/>
        <w:rPr>
          <w:rFonts w:ascii="Times New Roman" w:eastAsia="Times New Roman" w:hAnsi="Times New Roman"/>
          <w:sz w:val="28"/>
          <w:szCs w:val="28"/>
          <w:lang w:eastAsia="ru-RU"/>
        </w:rPr>
      </w:pPr>
    </w:p>
    <w:p w14:paraId="0F020F2E" w14:textId="2C1A9B38" w:rsidR="00CD21BE" w:rsidRPr="00FD7B0B" w:rsidRDefault="00CD21BE" w:rsidP="00E70DAA">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отчету о реализации госпрограммы за 2024 расходы за счет федеральных и областных средств составили в общей сумме 1 291,4 млн.руб. или 100 % к утвержденным сводной бюджетной росписью параметрам на 2024 год. В разрезе источников финансирования св</w:t>
      </w:r>
      <w:r w:rsidR="00E70DAA" w:rsidRPr="00FD7B0B">
        <w:rPr>
          <w:rFonts w:ascii="Times New Roman" w:eastAsia="Times New Roman" w:hAnsi="Times New Roman"/>
          <w:sz w:val="28"/>
          <w:szCs w:val="28"/>
          <w:lang w:eastAsia="ru-RU"/>
        </w:rPr>
        <w:t xml:space="preserve">едения представлены на рисунке </w:t>
      </w:r>
      <w:r w:rsidR="00420A00" w:rsidRPr="00FD7B0B">
        <w:rPr>
          <w:rFonts w:ascii="Times New Roman" w:eastAsia="Times New Roman" w:hAnsi="Times New Roman"/>
          <w:sz w:val="28"/>
          <w:szCs w:val="28"/>
          <w:lang w:eastAsia="ru-RU"/>
        </w:rPr>
        <w:t>31</w:t>
      </w:r>
      <w:r w:rsidRPr="00FD7B0B">
        <w:rPr>
          <w:rFonts w:ascii="Times New Roman" w:eastAsia="Times New Roman" w:hAnsi="Times New Roman"/>
          <w:sz w:val="28"/>
          <w:szCs w:val="28"/>
          <w:lang w:eastAsia="ru-RU"/>
        </w:rPr>
        <w:t>.</w:t>
      </w:r>
    </w:p>
    <w:p w14:paraId="2BAF9E78" w14:textId="7920AA51" w:rsidR="00E70DAA" w:rsidRPr="00FD7B0B" w:rsidRDefault="00E70DAA" w:rsidP="00E70DAA">
      <w:pPr>
        <w:spacing w:after="0" w:line="240" w:lineRule="auto"/>
        <w:contextualSpacing/>
        <w:jc w:val="center"/>
        <w:rPr>
          <w:rFonts w:ascii="Times New Roman" w:eastAsia="Times New Roman" w:hAnsi="Times New Roman"/>
          <w:sz w:val="28"/>
          <w:szCs w:val="28"/>
          <w:lang w:eastAsia="ru-RU"/>
        </w:rPr>
      </w:pPr>
      <w:r w:rsidRPr="00FD7B0B">
        <w:rPr>
          <w:rFonts w:ascii="Times New Roman" w:eastAsia="Times New Roman" w:hAnsi="Times New Roman"/>
          <w:noProof/>
          <w:sz w:val="28"/>
          <w:szCs w:val="28"/>
          <w:lang w:eastAsia="ru-RU"/>
        </w:rPr>
        <w:drawing>
          <wp:inline distT="0" distB="0" distL="0" distR="0" wp14:anchorId="5D475C37" wp14:editId="31ADF1C4">
            <wp:extent cx="5224780" cy="1390015"/>
            <wp:effectExtent l="0" t="0" r="0" b="63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24780" cy="1390015"/>
                    </a:xfrm>
                    <a:prstGeom prst="rect">
                      <a:avLst/>
                    </a:prstGeom>
                    <a:noFill/>
                  </pic:spPr>
                </pic:pic>
              </a:graphicData>
            </a:graphic>
          </wp:inline>
        </w:drawing>
      </w:r>
    </w:p>
    <w:p w14:paraId="58C37E7D" w14:textId="77777777" w:rsidR="00CD21BE" w:rsidRPr="00FD7B0B" w:rsidRDefault="00CD21BE" w:rsidP="00CD21B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noProof/>
          <w:sz w:val="24"/>
          <w:szCs w:val="24"/>
        </w:rPr>
        <w:fldChar w:fldCharType="begin"/>
      </w:r>
      <w:r w:rsidRPr="00FD7B0B">
        <w:rPr>
          <w:rFonts w:ascii="Times New Roman" w:hAnsi="Times New Roman"/>
          <w:b w:val="0"/>
          <w:noProof/>
          <w:sz w:val="24"/>
          <w:szCs w:val="24"/>
        </w:rPr>
        <w:instrText xml:space="preserve"> SEQ Рисунок \* ARABIC </w:instrText>
      </w:r>
      <w:r w:rsidRPr="00FD7B0B">
        <w:rPr>
          <w:rFonts w:ascii="Times New Roman" w:hAnsi="Times New Roman"/>
          <w:b w:val="0"/>
          <w:noProof/>
          <w:sz w:val="24"/>
          <w:szCs w:val="24"/>
        </w:rPr>
        <w:fldChar w:fldCharType="separate"/>
      </w:r>
      <w:r w:rsidR="002959CD" w:rsidRPr="00FD7B0B">
        <w:rPr>
          <w:rFonts w:ascii="Times New Roman" w:hAnsi="Times New Roman"/>
          <w:b w:val="0"/>
          <w:noProof/>
          <w:sz w:val="24"/>
          <w:szCs w:val="24"/>
        </w:rPr>
        <w:t>31</w:t>
      </w:r>
      <w:r w:rsidRPr="00FD7B0B">
        <w:rPr>
          <w:rFonts w:ascii="Times New Roman" w:hAnsi="Times New Roman"/>
          <w:b w:val="0"/>
          <w:noProof/>
          <w:sz w:val="24"/>
          <w:szCs w:val="24"/>
        </w:rPr>
        <w:fldChar w:fldCharType="end"/>
      </w:r>
      <w:r w:rsidRPr="00FD7B0B">
        <w:rPr>
          <w:rFonts w:ascii="Times New Roman" w:hAnsi="Times New Roman"/>
          <w:b w:val="0"/>
          <w:sz w:val="24"/>
          <w:szCs w:val="24"/>
        </w:rPr>
        <w:t>. Расходы на реализацию мероприятий ГП № 28 за 2024 в разрезе источников финансирования, млн.руб.</w:t>
      </w:r>
    </w:p>
    <w:p w14:paraId="5ED85A80" w14:textId="77777777" w:rsidR="00CD21BE" w:rsidRPr="00FD7B0B" w:rsidRDefault="00CD21BE" w:rsidP="00CD21BE">
      <w:pPr>
        <w:spacing w:after="0" w:line="240" w:lineRule="auto"/>
        <w:ind w:firstLine="851"/>
        <w:contextualSpacing/>
        <w:jc w:val="both"/>
        <w:rPr>
          <w:rFonts w:ascii="Times New Roman" w:eastAsia="Times New Roman" w:hAnsi="Times New Roman"/>
          <w:i/>
          <w:sz w:val="28"/>
          <w:szCs w:val="28"/>
          <w:u w:val="single"/>
          <w:lang w:eastAsia="ru-RU"/>
        </w:rPr>
      </w:pPr>
    </w:p>
    <w:p w14:paraId="2D14B937" w14:textId="33F93745" w:rsidR="00CD21BE" w:rsidRPr="00FD7B0B" w:rsidRDefault="00CD21BE" w:rsidP="00CD21BE">
      <w:pPr>
        <w:spacing w:after="0" w:line="240" w:lineRule="auto"/>
        <w:ind w:firstLine="851"/>
        <w:jc w:val="both"/>
        <w:rPr>
          <w:rFonts w:ascii="Times New Roman" w:hAnsi="Times New Roman"/>
          <w:strike/>
          <w:sz w:val="28"/>
          <w:szCs w:val="28"/>
        </w:rPr>
      </w:pPr>
      <w:r w:rsidRPr="00FD7B0B">
        <w:rPr>
          <w:rFonts w:ascii="Times New Roman" w:hAnsi="Times New Roman"/>
          <w:sz w:val="28"/>
          <w:szCs w:val="28"/>
        </w:rPr>
        <w:t>В целом кассовые расходы на реализацию мероприятий госпрограммы за счет всех источников составили 1 291,4 млн.руб. или 100,0 % к утвержденным значениям на 2024, в т.ч. за счет средств федерального бюджета 87,4 млн.руб. или 100,0 %, за счет средств областного бюджета</w:t>
      </w:r>
      <w:r w:rsidR="00706E00" w:rsidRPr="00FD7B0B">
        <w:rPr>
          <w:rFonts w:ascii="Times New Roman" w:hAnsi="Times New Roman"/>
          <w:sz w:val="28"/>
          <w:szCs w:val="28"/>
        </w:rPr>
        <w:t xml:space="preserve"> 1 204,0 млн.руб. или 100,0 %.</w:t>
      </w:r>
    </w:p>
    <w:p w14:paraId="0F124F38" w14:textId="6D9DBDE1" w:rsidR="00CD21BE" w:rsidRPr="00FD7B0B" w:rsidRDefault="00CD21BE" w:rsidP="00706E0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Расходы областного бюджета на реализацию госпрограммы за 2024 год, а также параметры, утвержденные на 2024 год в разрезе главных распорядителей и подгрупп видов р</w:t>
      </w:r>
      <w:r w:rsidR="00706E00" w:rsidRPr="00FD7B0B">
        <w:rPr>
          <w:rFonts w:ascii="Times New Roman" w:eastAsia="Times New Roman" w:hAnsi="Times New Roman"/>
          <w:sz w:val="28"/>
          <w:szCs w:val="28"/>
          <w:lang w:eastAsia="ru-RU"/>
        </w:rPr>
        <w:t xml:space="preserve">асходов представлены в таблице </w:t>
      </w:r>
      <w:r w:rsidR="00420A00" w:rsidRPr="00FD7B0B">
        <w:rPr>
          <w:rFonts w:ascii="Times New Roman" w:eastAsia="Times New Roman" w:hAnsi="Times New Roman"/>
          <w:sz w:val="28"/>
          <w:szCs w:val="28"/>
          <w:lang w:eastAsia="ru-RU"/>
        </w:rPr>
        <w:t>225</w:t>
      </w:r>
      <w:r w:rsidRPr="00FD7B0B">
        <w:rPr>
          <w:rFonts w:ascii="Times New Roman" w:eastAsia="Times New Roman" w:hAnsi="Times New Roman"/>
          <w:sz w:val="28"/>
          <w:szCs w:val="28"/>
          <w:lang w:eastAsia="ru-RU"/>
        </w:rPr>
        <w:t>.</w:t>
      </w:r>
    </w:p>
    <w:p w14:paraId="4C75E1D2" w14:textId="77777777" w:rsidR="00CD21BE" w:rsidRPr="00FD7B0B" w:rsidRDefault="00CD21BE" w:rsidP="00CD21BE">
      <w:pPr>
        <w:spacing w:after="0" w:line="240" w:lineRule="auto"/>
        <w:ind w:firstLine="851"/>
        <w:contextualSpacing/>
        <w:jc w:val="both"/>
        <w:rPr>
          <w:rFonts w:ascii="Times New Roman" w:eastAsia="Times New Roman" w:hAnsi="Times New Roman"/>
          <w:sz w:val="24"/>
          <w:szCs w:val="24"/>
          <w:lang w:eastAsia="ru-RU"/>
        </w:rPr>
      </w:pPr>
    </w:p>
    <w:p w14:paraId="578A4B5D" w14:textId="77777777" w:rsidR="00420A00" w:rsidRPr="00FD7B0B" w:rsidRDefault="00420A00" w:rsidP="00CD21BE">
      <w:pPr>
        <w:pStyle w:val="aff0"/>
        <w:spacing w:after="0" w:line="240" w:lineRule="auto"/>
        <w:rPr>
          <w:rFonts w:ascii="Times New Roman" w:hAnsi="Times New Roman"/>
          <w:b w:val="0"/>
          <w:sz w:val="24"/>
          <w:szCs w:val="24"/>
        </w:rPr>
      </w:pPr>
    </w:p>
    <w:p w14:paraId="61652442" w14:textId="7EDD0534" w:rsidR="00CD21BE" w:rsidRPr="00FD7B0B" w:rsidRDefault="00CD21BE" w:rsidP="00CD21B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225</w:t>
      </w:r>
      <w:r w:rsidRPr="00FD7B0B">
        <w:rPr>
          <w:rFonts w:ascii="Times New Roman" w:hAnsi="Times New Roman"/>
          <w:b w:val="0"/>
          <w:sz w:val="24"/>
          <w:szCs w:val="24"/>
        </w:rPr>
        <w:fldChar w:fldCharType="end"/>
      </w:r>
      <w:r w:rsidRPr="00FD7B0B">
        <w:rPr>
          <w:rFonts w:ascii="Times New Roman" w:hAnsi="Times New Roman"/>
          <w:b w:val="0"/>
          <w:sz w:val="24"/>
          <w:szCs w:val="24"/>
        </w:rPr>
        <w:t>. Основные параметры утвержденных и исполненных расходов из областного бюджета за 2024 год на</w:t>
      </w:r>
      <w:r w:rsidR="00E82850" w:rsidRPr="00FD7B0B">
        <w:rPr>
          <w:rFonts w:ascii="Times New Roman" w:hAnsi="Times New Roman"/>
          <w:b w:val="0"/>
          <w:sz w:val="24"/>
          <w:szCs w:val="24"/>
        </w:rPr>
        <w:t xml:space="preserve"> реализацию мероприятий ГП № 28</w:t>
      </w:r>
    </w:p>
    <w:tbl>
      <w:tblPr>
        <w:tblW w:w="9497" w:type="dxa"/>
        <w:tblInd w:w="131"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3107"/>
        <w:gridCol w:w="850"/>
        <w:gridCol w:w="1571"/>
        <w:gridCol w:w="1560"/>
        <w:gridCol w:w="849"/>
        <w:gridCol w:w="1560"/>
      </w:tblGrid>
      <w:tr w:rsidR="00FD7B0B" w:rsidRPr="00FD7B0B" w14:paraId="2B42CD58" w14:textId="77777777" w:rsidTr="00AC39B2">
        <w:trPr>
          <w:trHeight w:val="49"/>
          <w:tblHeader/>
        </w:trPr>
        <w:tc>
          <w:tcPr>
            <w:tcW w:w="3107" w:type="dxa"/>
            <w:vMerge w:val="restart"/>
            <w:shd w:val="clear" w:color="auto" w:fill="auto"/>
            <w:vAlign w:val="center"/>
            <w:hideMark/>
          </w:tcPr>
          <w:p w14:paraId="002CD23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Главный распорядитель, группы видов расходов</w:t>
            </w:r>
          </w:p>
        </w:tc>
        <w:tc>
          <w:tcPr>
            <w:tcW w:w="850" w:type="dxa"/>
            <w:vMerge w:val="restart"/>
            <w:shd w:val="clear" w:color="auto" w:fill="auto"/>
            <w:vAlign w:val="center"/>
            <w:hideMark/>
          </w:tcPr>
          <w:p w14:paraId="52886FF3" w14:textId="0230A16E" w:rsidR="00CD21BE" w:rsidRPr="00FD7B0B" w:rsidRDefault="00CD21BE" w:rsidP="00AC39B2">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Код вида расходов</w:t>
            </w:r>
          </w:p>
        </w:tc>
        <w:tc>
          <w:tcPr>
            <w:tcW w:w="3131" w:type="dxa"/>
            <w:gridSpan w:val="2"/>
            <w:shd w:val="clear" w:color="auto" w:fill="auto"/>
            <w:vAlign w:val="center"/>
            <w:hideMark/>
          </w:tcPr>
          <w:p w14:paraId="573BA86D" w14:textId="24E6D250"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План 2024 года на 31.12.2024, </w:t>
            </w:r>
            <w:r w:rsidR="000560EB" w:rsidRPr="00FD7B0B">
              <w:rPr>
                <w:rFonts w:ascii="Times New Roman" w:eastAsia="Times New Roman" w:hAnsi="Times New Roman"/>
                <w:sz w:val="16"/>
                <w:szCs w:val="16"/>
                <w:lang w:eastAsia="ru-RU"/>
              </w:rPr>
              <w:t>млн.руб.</w:t>
            </w:r>
          </w:p>
        </w:tc>
        <w:tc>
          <w:tcPr>
            <w:tcW w:w="2409" w:type="dxa"/>
            <w:gridSpan w:val="2"/>
            <w:shd w:val="clear" w:color="auto" w:fill="auto"/>
            <w:vAlign w:val="center"/>
            <w:hideMark/>
          </w:tcPr>
          <w:p w14:paraId="26B93C1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Исполнение на 31.12.2024</w:t>
            </w:r>
          </w:p>
        </w:tc>
      </w:tr>
      <w:tr w:rsidR="00FD7B0B" w:rsidRPr="00FD7B0B" w14:paraId="4BBCC954" w14:textId="77777777" w:rsidTr="00AC39B2">
        <w:trPr>
          <w:trHeight w:val="765"/>
          <w:tblHeader/>
        </w:trPr>
        <w:tc>
          <w:tcPr>
            <w:tcW w:w="3107" w:type="dxa"/>
            <w:vMerge/>
            <w:vAlign w:val="center"/>
            <w:hideMark/>
          </w:tcPr>
          <w:p w14:paraId="3CCC6908"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850" w:type="dxa"/>
            <w:vMerge/>
            <w:vAlign w:val="center"/>
            <w:hideMark/>
          </w:tcPr>
          <w:p w14:paraId="08E63D5D"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1571" w:type="dxa"/>
            <w:shd w:val="clear" w:color="auto" w:fill="auto"/>
            <w:vAlign w:val="center"/>
            <w:hideMark/>
          </w:tcPr>
          <w:p w14:paraId="03CCCA0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Утверждено на год законом о бюджете</w:t>
            </w:r>
          </w:p>
        </w:tc>
        <w:tc>
          <w:tcPr>
            <w:tcW w:w="1560" w:type="dxa"/>
            <w:shd w:val="clear" w:color="auto" w:fill="auto"/>
            <w:vAlign w:val="center"/>
            <w:hideMark/>
          </w:tcPr>
          <w:p w14:paraId="626EBBE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Сводная бюджетная роспись на 2024 год</w:t>
            </w:r>
          </w:p>
        </w:tc>
        <w:tc>
          <w:tcPr>
            <w:tcW w:w="849" w:type="dxa"/>
            <w:shd w:val="clear" w:color="auto" w:fill="auto"/>
            <w:vAlign w:val="center"/>
            <w:hideMark/>
          </w:tcPr>
          <w:p w14:paraId="4D2AFBC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 млн.руб.</w:t>
            </w:r>
          </w:p>
        </w:tc>
        <w:tc>
          <w:tcPr>
            <w:tcW w:w="1560" w:type="dxa"/>
            <w:shd w:val="clear" w:color="auto" w:fill="auto"/>
            <w:vAlign w:val="center"/>
            <w:hideMark/>
          </w:tcPr>
          <w:p w14:paraId="05092AD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 % к уточненной сводной бюджетной росписи на год</w:t>
            </w:r>
          </w:p>
        </w:tc>
      </w:tr>
      <w:tr w:rsidR="00FD7B0B" w:rsidRPr="00FD7B0B" w14:paraId="375E8468" w14:textId="77777777" w:rsidTr="00AC39B2">
        <w:trPr>
          <w:trHeight w:val="206"/>
        </w:trPr>
        <w:tc>
          <w:tcPr>
            <w:tcW w:w="3107" w:type="dxa"/>
            <w:shd w:val="clear" w:color="auto" w:fill="auto"/>
            <w:vAlign w:val="center"/>
            <w:hideMark/>
          </w:tcPr>
          <w:p w14:paraId="24846BD7"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Министерство спорта Архангельской области</w:t>
            </w:r>
          </w:p>
        </w:tc>
        <w:tc>
          <w:tcPr>
            <w:tcW w:w="850" w:type="dxa"/>
            <w:shd w:val="clear" w:color="auto" w:fill="auto"/>
            <w:vAlign w:val="center"/>
            <w:hideMark/>
          </w:tcPr>
          <w:p w14:paraId="0729E62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571" w:type="dxa"/>
            <w:shd w:val="clear" w:color="auto" w:fill="auto"/>
            <w:vAlign w:val="center"/>
            <w:hideMark/>
          </w:tcPr>
          <w:p w14:paraId="6D6F583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228,3</w:t>
            </w:r>
          </w:p>
        </w:tc>
        <w:tc>
          <w:tcPr>
            <w:tcW w:w="1560" w:type="dxa"/>
            <w:shd w:val="clear" w:color="auto" w:fill="auto"/>
            <w:vAlign w:val="center"/>
            <w:hideMark/>
          </w:tcPr>
          <w:p w14:paraId="6397D4A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208,7</w:t>
            </w:r>
          </w:p>
        </w:tc>
        <w:tc>
          <w:tcPr>
            <w:tcW w:w="849" w:type="dxa"/>
            <w:shd w:val="clear" w:color="auto" w:fill="auto"/>
            <w:vAlign w:val="center"/>
            <w:hideMark/>
          </w:tcPr>
          <w:p w14:paraId="52C4E33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208,70</w:t>
            </w:r>
          </w:p>
        </w:tc>
        <w:tc>
          <w:tcPr>
            <w:tcW w:w="1560" w:type="dxa"/>
            <w:shd w:val="clear" w:color="auto" w:fill="auto"/>
            <w:vAlign w:val="center"/>
            <w:hideMark/>
          </w:tcPr>
          <w:p w14:paraId="664D1D0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r w:rsidR="00FD7B0B" w:rsidRPr="00FD7B0B" w14:paraId="2963A97C" w14:textId="77777777" w:rsidTr="00AC39B2">
        <w:trPr>
          <w:trHeight w:val="530"/>
        </w:trPr>
        <w:tc>
          <w:tcPr>
            <w:tcW w:w="3107" w:type="dxa"/>
            <w:shd w:val="clear" w:color="auto" w:fill="auto"/>
            <w:vAlign w:val="center"/>
            <w:hideMark/>
          </w:tcPr>
          <w:p w14:paraId="400A69D7"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Закупка товаров, работ и услуг для обеспечения государственных (муниципальных) нужд</w:t>
            </w:r>
          </w:p>
        </w:tc>
        <w:tc>
          <w:tcPr>
            <w:tcW w:w="850" w:type="dxa"/>
            <w:shd w:val="clear" w:color="auto" w:fill="auto"/>
            <w:vAlign w:val="center"/>
            <w:hideMark/>
          </w:tcPr>
          <w:p w14:paraId="6A8B31B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200</w:t>
            </w:r>
          </w:p>
        </w:tc>
        <w:tc>
          <w:tcPr>
            <w:tcW w:w="1571" w:type="dxa"/>
            <w:shd w:val="clear" w:color="auto" w:fill="auto"/>
            <w:vAlign w:val="center"/>
            <w:hideMark/>
          </w:tcPr>
          <w:p w14:paraId="78FE7CA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0,5</w:t>
            </w:r>
          </w:p>
        </w:tc>
        <w:tc>
          <w:tcPr>
            <w:tcW w:w="1560" w:type="dxa"/>
            <w:shd w:val="clear" w:color="auto" w:fill="auto"/>
            <w:vAlign w:val="center"/>
            <w:hideMark/>
          </w:tcPr>
          <w:p w14:paraId="5600668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0,5</w:t>
            </w:r>
          </w:p>
        </w:tc>
        <w:tc>
          <w:tcPr>
            <w:tcW w:w="849" w:type="dxa"/>
            <w:shd w:val="clear" w:color="auto" w:fill="auto"/>
            <w:vAlign w:val="center"/>
            <w:hideMark/>
          </w:tcPr>
          <w:p w14:paraId="686A703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0,5</w:t>
            </w:r>
          </w:p>
        </w:tc>
        <w:tc>
          <w:tcPr>
            <w:tcW w:w="1560" w:type="dxa"/>
            <w:shd w:val="clear" w:color="auto" w:fill="auto"/>
            <w:vAlign w:val="center"/>
            <w:hideMark/>
          </w:tcPr>
          <w:p w14:paraId="565F844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w:t>
            </w:r>
          </w:p>
        </w:tc>
      </w:tr>
      <w:tr w:rsidR="00FD7B0B" w:rsidRPr="00FD7B0B" w14:paraId="1B1E62AD" w14:textId="77777777" w:rsidTr="00AC39B2">
        <w:trPr>
          <w:trHeight w:val="107"/>
        </w:trPr>
        <w:tc>
          <w:tcPr>
            <w:tcW w:w="3107" w:type="dxa"/>
            <w:shd w:val="clear" w:color="auto" w:fill="auto"/>
            <w:vAlign w:val="center"/>
            <w:hideMark/>
          </w:tcPr>
          <w:p w14:paraId="6F69CB44"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Иные закупки товаров, работ и услуг для обеспечения государственных (муниципальных) нужд</w:t>
            </w:r>
          </w:p>
        </w:tc>
        <w:tc>
          <w:tcPr>
            <w:tcW w:w="850" w:type="dxa"/>
            <w:shd w:val="clear" w:color="auto" w:fill="auto"/>
            <w:vAlign w:val="center"/>
            <w:hideMark/>
          </w:tcPr>
          <w:p w14:paraId="48A7EC0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240</w:t>
            </w:r>
          </w:p>
        </w:tc>
        <w:tc>
          <w:tcPr>
            <w:tcW w:w="1571" w:type="dxa"/>
            <w:shd w:val="clear" w:color="auto" w:fill="auto"/>
            <w:vAlign w:val="center"/>
            <w:hideMark/>
          </w:tcPr>
          <w:p w14:paraId="6D15EFC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0,5</w:t>
            </w:r>
          </w:p>
        </w:tc>
        <w:tc>
          <w:tcPr>
            <w:tcW w:w="1560" w:type="dxa"/>
            <w:shd w:val="clear" w:color="auto" w:fill="auto"/>
            <w:vAlign w:val="center"/>
            <w:hideMark/>
          </w:tcPr>
          <w:p w14:paraId="7D9B8F9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0,5</w:t>
            </w:r>
          </w:p>
        </w:tc>
        <w:tc>
          <w:tcPr>
            <w:tcW w:w="849" w:type="dxa"/>
            <w:shd w:val="clear" w:color="auto" w:fill="auto"/>
            <w:vAlign w:val="center"/>
            <w:hideMark/>
          </w:tcPr>
          <w:p w14:paraId="53E04AA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0,5</w:t>
            </w:r>
          </w:p>
        </w:tc>
        <w:tc>
          <w:tcPr>
            <w:tcW w:w="1560" w:type="dxa"/>
            <w:shd w:val="clear" w:color="auto" w:fill="auto"/>
            <w:vAlign w:val="center"/>
            <w:hideMark/>
          </w:tcPr>
          <w:p w14:paraId="5E9BD3E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w:t>
            </w:r>
          </w:p>
        </w:tc>
      </w:tr>
      <w:tr w:rsidR="00FD7B0B" w:rsidRPr="00FD7B0B" w14:paraId="0C86ABE6" w14:textId="77777777" w:rsidTr="00AC39B2">
        <w:trPr>
          <w:trHeight w:val="101"/>
        </w:trPr>
        <w:tc>
          <w:tcPr>
            <w:tcW w:w="3107" w:type="dxa"/>
            <w:shd w:val="clear" w:color="auto" w:fill="auto"/>
            <w:vAlign w:val="center"/>
            <w:hideMark/>
          </w:tcPr>
          <w:p w14:paraId="77BC3B12"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Межбюджетные трансферты</w:t>
            </w:r>
          </w:p>
        </w:tc>
        <w:tc>
          <w:tcPr>
            <w:tcW w:w="850" w:type="dxa"/>
            <w:shd w:val="clear" w:color="auto" w:fill="auto"/>
            <w:vAlign w:val="center"/>
            <w:hideMark/>
          </w:tcPr>
          <w:p w14:paraId="0B33128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500</w:t>
            </w:r>
          </w:p>
        </w:tc>
        <w:tc>
          <w:tcPr>
            <w:tcW w:w="1571" w:type="dxa"/>
            <w:shd w:val="clear" w:color="auto" w:fill="auto"/>
            <w:vAlign w:val="center"/>
            <w:hideMark/>
          </w:tcPr>
          <w:p w14:paraId="415AC1F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227,8</w:t>
            </w:r>
          </w:p>
        </w:tc>
        <w:tc>
          <w:tcPr>
            <w:tcW w:w="1560" w:type="dxa"/>
            <w:shd w:val="clear" w:color="auto" w:fill="auto"/>
            <w:vAlign w:val="center"/>
            <w:hideMark/>
          </w:tcPr>
          <w:p w14:paraId="51CF594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208,2</w:t>
            </w:r>
          </w:p>
        </w:tc>
        <w:tc>
          <w:tcPr>
            <w:tcW w:w="849" w:type="dxa"/>
            <w:shd w:val="clear" w:color="auto" w:fill="auto"/>
            <w:vAlign w:val="center"/>
            <w:hideMark/>
          </w:tcPr>
          <w:p w14:paraId="1A9FBB2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208,2</w:t>
            </w:r>
          </w:p>
        </w:tc>
        <w:tc>
          <w:tcPr>
            <w:tcW w:w="1560" w:type="dxa"/>
            <w:shd w:val="clear" w:color="auto" w:fill="auto"/>
            <w:vAlign w:val="center"/>
            <w:hideMark/>
          </w:tcPr>
          <w:p w14:paraId="7CDB84E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r w:rsidR="00FD7B0B" w:rsidRPr="00FD7B0B" w14:paraId="46B6D8A7" w14:textId="77777777" w:rsidTr="00AC39B2">
        <w:trPr>
          <w:trHeight w:val="46"/>
        </w:trPr>
        <w:tc>
          <w:tcPr>
            <w:tcW w:w="3107" w:type="dxa"/>
            <w:shd w:val="clear" w:color="auto" w:fill="auto"/>
            <w:vAlign w:val="center"/>
            <w:hideMark/>
          </w:tcPr>
          <w:p w14:paraId="257D5486"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Субсидии</w:t>
            </w:r>
          </w:p>
        </w:tc>
        <w:tc>
          <w:tcPr>
            <w:tcW w:w="850" w:type="dxa"/>
            <w:shd w:val="clear" w:color="auto" w:fill="auto"/>
            <w:vAlign w:val="center"/>
            <w:hideMark/>
          </w:tcPr>
          <w:p w14:paraId="5420547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520</w:t>
            </w:r>
          </w:p>
        </w:tc>
        <w:tc>
          <w:tcPr>
            <w:tcW w:w="1571" w:type="dxa"/>
            <w:shd w:val="clear" w:color="auto" w:fill="auto"/>
            <w:vAlign w:val="center"/>
            <w:hideMark/>
          </w:tcPr>
          <w:p w14:paraId="77557DD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227,8</w:t>
            </w:r>
          </w:p>
        </w:tc>
        <w:tc>
          <w:tcPr>
            <w:tcW w:w="1560" w:type="dxa"/>
            <w:shd w:val="clear" w:color="auto" w:fill="auto"/>
            <w:vAlign w:val="center"/>
            <w:hideMark/>
          </w:tcPr>
          <w:p w14:paraId="25C9CA2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208,2</w:t>
            </w:r>
          </w:p>
        </w:tc>
        <w:tc>
          <w:tcPr>
            <w:tcW w:w="849" w:type="dxa"/>
            <w:shd w:val="clear" w:color="auto" w:fill="auto"/>
            <w:vAlign w:val="center"/>
            <w:hideMark/>
          </w:tcPr>
          <w:p w14:paraId="495CBEE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208,2</w:t>
            </w:r>
          </w:p>
        </w:tc>
        <w:tc>
          <w:tcPr>
            <w:tcW w:w="1560" w:type="dxa"/>
            <w:shd w:val="clear" w:color="auto" w:fill="auto"/>
            <w:vAlign w:val="center"/>
            <w:hideMark/>
          </w:tcPr>
          <w:p w14:paraId="0613F55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r w:rsidR="00FD7B0B" w:rsidRPr="00FD7B0B" w14:paraId="57DA98BC" w14:textId="77777777" w:rsidTr="00AC39B2">
        <w:trPr>
          <w:trHeight w:val="34"/>
        </w:trPr>
        <w:tc>
          <w:tcPr>
            <w:tcW w:w="3107" w:type="dxa"/>
            <w:shd w:val="clear" w:color="auto" w:fill="auto"/>
            <w:vAlign w:val="center"/>
            <w:hideMark/>
          </w:tcPr>
          <w:p w14:paraId="6FA2494B"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Иные межбюджетные трансферты</w:t>
            </w:r>
          </w:p>
        </w:tc>
        <w:tc>
          <w:tcPr>
            <w:tcW w:w="850" w:type="dxa"/>
            <w:shd w:val="clear" w:color="auto" w:fill="auto"/>
            <w:vAlign w:val="center"/>
            <w:hideMark/>
          </w:tcPr>
          <w:p w14:paraId="3FE2BF2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540</w:t>
            </w:r>
          </w:p>
        </w:tc>
        <w:tc>
          <w:tcPr>
            <w:tcW w:w="1571" w:type="dxa"/>
            <w:shd w:val="clear" w:color="auto" w:fill="auto"/>
            <w:vAlign w:val="center"/>
            <w:hideMark/>
          </w:tcPr>
          <w:p w14:paraId="78CC0D3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1560" w:type="dxa"/>
            <w:shd w:val="clear" w:color="auto" w:fill="auto"/>
            <w:vAlign w:val="center"/>
            <w:hideMark/>
          </w:tcPr>
          <w:p w14:paraId="4723CCD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849" w:type="dxa"/>
            <w:shd w:val="clear" w:color="auto" w:fill="auto"/>
            <w:vAlign w:val="center"/>
            <w:hideMark/>
          </w:tcPr>
          <w:p w14:paraId="437680F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1560" w:type="dxa"/>
            <w:shd w:val="clear" w:color="auto" w:fill="auto"/>
            <w:vAlign w:val="center"/>
            <w:hideMark/>
          </w:tcPr>
          <w:p w14:paraId="343E5F4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r>
      <w:tr w:rsidR="00FD7B0B" w:rsidRPr="00FD7B0B" w14:paraId="54F249F6" w14:textId="77777777" w:rsidTr="00AC39B2">
        <w:trPr>
          <w:trHeight w:val="34"/>
        </w:trPr>
        <w:tc>
          <w:tcPr>
            <w:tcW w:w="3107" w:type="dxa"/>
            <w:shd w:val="clear" w:color="auto" w:fill="auto"/>
            <w:vAlign w:val="center"/>
            <w:hideMark/>
          </w:tcPr>
          <w:p w14:paraId="782251FD"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 Министерство строительства и архитектуры Архангельской области</w:t>
            </w:r>
          </w:p>
        </w:tc>
        <w:tc>
          <w:tcPr>
            <w:tcW w:w="850" w:type="dxa"/>
            <w:shd w:val="clear" w:color="auto" w:fill="auto"/>
            <w:noWrap/>
            <w:vAlign w:val="center"/>
            <w:hideMark/>
          </w:tcPr>
          <w:p w14:paraId="57B0541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571" w:type="dxa"/>
            <w:shd w:val="clear" w:color="auto" w:fill="auto"/>
            <w:noWrap/>
            <w:vAlign w:val="center"/>
            <w:hideMark/>
          </w:tcPr>
          <w:p w14:paraId="2297CA7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124,0</w:t>
            </w:r>
          </w:p>
        </w:tc>
        <w:tc>
          <w:tcPr>
            <w:tcW w:w="1560" w:type="dxa"/>
            <w:shd w:val="clear" w:color="auto" w:fill="auto"/>
            <w:noWrap/>
            <w:vAlign w:val="center"/>
            <w:hideMark/>
          </w:tcPr>
          <w:p w14:paraId="343EAFE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75,1</w:t>
            </w:r>
          </w:p>
        </w:tc>
        <w:tc>
          <w:tcPr>
            <w:tcW w:w="849" w:type="dxa"/>
            <w:shd w:val="clear" w:color="auto" w:fill="auto"/>
            <w:noWrap/>
            <w:vAlign w:val="center"/>
            <w:hideMark/>
          </w:tcPr>
          <w:p w14:paraId="63EE78F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75,1</w:t>
            </w:r>
          </w:p>
        </w:tc>
        <w:tc>
          <w:tcPr>
            <w:tcW w:w="1560" w:type="dxa"/>
            <w:shd w:val="clear" w:color="auto" w:fill="auto"/>
            <w:noWrap/>
            <w:vAlign w:val="center"/>
            <w:hideMark/>
          </w:tcPr>
          <w:p w14:paraId="4EA2C1D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r w:rsidR="00FD7B0B" w:rsidRPr="00FD7B0B" w14:paraId="13E047A0" w14:textId="77777777" w:rsidTr="00AC39B2">
        <w:trPr>
          <w:trHeight w:val="399"/>
        </w:trPr>
        <w:tc>
          <w:tcPr>
            <w:tcW w:w="3107" w:type="dxa"/>
            <w:shd w:val="clear" w:color="auto" w:fill="auto"/>
            <w:vAlign w:val="center"/>
            <w:hideMark/>
          </w:tcPr>
          <w:p w14:paraId="6E0C56CE"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Капитальные вложения в объекты государственной (муниципальной) собственности</w:t>
            </w:r>
          </w:p>
        </w:tc>
        <w:tc>
          <w:tcPr>
            <w:tcW w:w="850" w:type="dxa"/>
            <w:shd w:val="clear" w:color="auto" w:fill="auto"/>
            <w:vAlign w:val="center"/>
            <w:hideMark/>
          </w:tcPr>
          <w:p w14:paraId="6A6B010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400</w:t>
            </w:r>
          </w:p>
        </w:tc>
        <w:tc>
          <w:tcPr>
            <w:tcW w:w="1571" w:type="dxa"/>
            <w:shd w:val="clear" w:color="auto" w:fill="auto"/>
            <w:noWrap/>
            <w:vAlign w:val="center"/>
            <w:hideMark/>
          </w:tcPr>
          <w:p w14:paraId="2612CAC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5,1</w:t>
            </w:r>
          </w:p>
        </w:tc>
        <w:tc>
          <w:tcPr>
            <w:tcW w:w="1560" w:type="dxa"/>
            <w:shd w:val="clear" w:color="auto" w:fill="auto"/>
            <w:noWrap/>
            <w:vAlign w:val="center"/>
            <w:hideMark/>
          </w:tcPr>
          <w:p w14:paraId="39F8E87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c>
          <w:tcPr>
            <w:tcW w:w="849" w:type="dxa"/>
            <w:shd w:val="clear" w:color="auto" w:fill="auto"/>
            <w:noWrap/>
            <w:vAlign w:val="center"/>
            <w:hideMark/>
          </w:tcPr>
          <w:p w14:paraId="1CFBDAD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1560" w:type="dxa"/>
            <w:shd w:val="clear" w:color="auto" w:fill="auto"/>
            <w:noWrap/>
            <w:vAlign w:val="center"/>
            <w:hideMark/>
          </w:tcPr>
          <w:p w14:paraId="0507B61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r>
      <w:tr w:rsidR="00FD7B0B" w:rsidRPr="00FD7B0B" w14:paraId="16BDCDCA" w14:textId="77777777" w:rsidTr="00AC39B2">
        <w:trPr>
          <w:trHeight w:val="123"/>
        </w:trPr>
        <w:tc>
          <w:tcPr>
            <w:tcW w:w="3107" w:type="dxa"/>
            <w:shd w:val="clear" w:color="auto" w:fill="auto"/>
            <w:vAlign w:val="center"/>
            <w:hideMark/>
          </w:tcPr>
          <w:p w14:paraId="1E28875D"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Бюджетные инвестиции</w:t>
            </w:r>
          </w:p>
        </w:tc>
        <w:tc>
          <w:tcPr>
            <w:tcW w:w="850" w:type="dxa"/>
            <w:shd w:val="clear" w:color="auto" w:fill="auto"/>
            <w:vAlign w:val="center"/>
            <w:hideMark/>
          </w:tcPr>
          <w:p w14:paraId="13DDC42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410</w:t>
            </w:r>
          </w:p>
        </w:tc>
        <w:tc>
          <w:tcPr>
            <w:tcW w:w="1571" w:type="dxa"/>
            <w:shd w:val="clear" w:color="auto" w:fill="auto"/>
            <w:noWrap/>
            <w:vAlign w:val="center"/>
            <w:hideMark/>
          </w:tcPr>
          <w:p w14:paraId="3DBA6C4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5,1</w:t>
            </w:r>
          </w:p>
        </w:tc>
        <w:tc>
          <w:tcPr>
            <w:tcW w:w="1560" w:type="dxa"/>
            <w:shd w:val="clear" w:color="auto" w:fill="auto"/>
            <w:noWrap/>
            <w:vAlign w:val="center"/>
            <w:hideMark/>
          </w:tcPr>
          <w:p w14:paraId="33D79E8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c>
          <w:tcPr>
            <w:tcW w:w="849" w:type="dxa"/>
            <w:shd w:val="clear" w:color="auto" w:fill="auto"/>
            <w:noWrap/>
            <w:vAlign w:val="center"/>
            <w:hideMark/>
          </w:tcPr>
          <w:p w14:paraId="71EA761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1560" w:type="dxa"/>
            <w:shd w:val="clear" w:color="auto" w:fill="auto"/>
            <w:noWrap/>
            <w:vAlign w:val="center"/>
            <w:hideMark/>
          </w:tcPr>
          <w:p w14:paraId="4AC2302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r>
      <w:tr w:rsidR="00FD7B0B" w:rsidRPr="00FD7B0B" w14:paraId="147AC1E5" w14:textId="77777777" w:rsidTr="00AC39B2">
        <w:trPr>
          <w:trHeight w:val="34"/>
        </w:trPr>
        <w:tc>
          <w:tcPr>
            <w:tcW w:w="3107" w:type="dxa"/>
            <w:shd w:val="clear" w:color="auto" w:fill="auto"/>
            <w:vAlign w:val="center"/>
            <w:hideMark/>
          </w:tcPr>
          <w:p w14:paraId="0A8C89C4"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Межбюджетные трансферты</w:t>
            </w:r>
          </w:p>
        </w:tc>
        <w:tc>
          <w:tcPr>
            <w:tcW w:w="850" w:type="dxa"/>
            <w:shd w:val="clear" w:color="auto" w:fill="auto"/>
            <w:vAlign w:val="center"/>
            <w:hideMark/>
          </w:tcPr>
          <w:p w14:paraId="4C8DCD5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500</w:t>
            </w:r>
          </w:p>
        </w:tc>
        <w:tc>
          <w:tcPr>
            <w:tcW w:w="1571" w:type="dxa"/>
            <w:shd w:val="clear" w:color="auto" w:fill="auto"/>
            <w:noWrap/>
            <w:vAlign w:val="center"/>
            <w:hideMark/>
          </w:tcPr>
          <w:p w14:paraId="770B51B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118,9</w:t>
            </w:r>
          </w:p>
        </w:tc>
        <w:tc>
          <w:tcPr>
            <w:tcW w:w="1560" w:type="dxa"/>
            <w:shd w:val="clear" w:color="auto" w:fill="auto"/>
            <w:noWrap/>
            <w:vAlign w:val="center"/>
            <w:hideMark/>
          </w:tcPr>
          <w:p w14:paraId="084B459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75,1</w:t>
            </w:r>
          </w:p>
        </w:tc>
        <w:tc>
          <w:tcPr>
            <w:tcW w:w="849" w:type="dxa"/>
            <w:shd w:val="clear" w:color="auto" w:fill="auto"/>
            <w:noWrap/>
            <w:vAlign w:val="center"/>
            <w:hideMark/>
          </w:tcPr>
          <w:p w14:paraId="4AB9261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75,1</w:t>
            </w:r>
          </w:p>
        </w:tc>
        <w:tc>
          <w:tcPr>
            <w:tcW w:w="1560" w:type="dxa"/>
            <w:shd w:val="clear" w:color="auto" w:fill="auto"/>
            <w:noWrap/>
            <w:vAlign w:val="center"/>
            <w:hideMark/>
          </w:tcPr>
          <w:p w14:paraId="3BF72CB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r w:rsidR="00CD21BE" w:rsidRPr="00FD7B0B" w14:paraId="3BD68FD3" w14:textId="77777777" w:rsidTr="00AC39B2">
        <w:trPr>
          <w:trHeight w:val="34"/>
        </w:trPr>
        <w:tc>
          <w:tcPr>
            <w:tcW w:w="3107" w:type="dxa"/>
            <w:shd w:val="clear" w:color="auto" w:fill="auto"/>
            <w:vAlign w:val="center"/>
            <w:hideMark/>
          </w:tcPr>
          <w:p w14:paraId="446D3320"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Субсидии</w:t>
            </w:r>
          </w:p>
        </w:tc>
        <w:tc>
          <w:tcPr>
            <w:tcW w:w="850" w:type="dxa"/>
            <w:shd w:val="clear" w:color="auto" w:fill="auto"/>
            <w:vAlign w:val="center"/>
            <w:hideMark/>
          </w:tcPr>
          <w:p w14:paraId="2C4F30A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520</w:t>
            </w:r>
          </w:p>
        </w:tc>
        <w:tc>
          <w:tcPr>
            <w:tcW w:w="1571" w:type="dxa"/>
            <w:shd w:val="clear" w:color="auto" w:fill="auto"/>
            <w:noWrap/>
            <w:vAlign w:val="center"/>
            <w:hideMark/>
          </w:tcPr>
          <w:p w14:paraId="750A9BA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118,9</w:t>
            </w:r>
          </w:p>
        </w:tc>
        <w:tc>
          <w:tcPr>
            <w:tcW w:w="1560" w:type="dxa"/>
            <w:shd w:val="clear" w:color="auto" w:fill="auto"/>
            <w:noWrap/>
            <w:vAlign w:val="center"/>
            <w:hideMark/>
          </w:tcPr>
          <w:p w14:paraId="33027B3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75,1</w:t>
            </w:r>
          </w:p>
        </w:tc>
        <w:tc>
          <w:tcPr>
            <w:tcW w:w="849" w:type="dxa"/>
            <w:shd w:val="clear" w:color="auto" w:fill="auto"/>
            <w:noWrap/>
            <w:vAlign w:val="center"/>
            <w:hideMark/>
          </w:tcPr>
          <w:p w14:paraId="013C9D5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75,1</w:t>
            </w:r>
          </w:p>
        </w:tc>
        <w:tc>
          <w:tcPr>
            <w:tcW w:w="1560" w:type="dxa"/>
            <w:shd w:val="clear" w:color="auto" w:fill="auto"/>
            <w:noWrap/>
            <w:vAlign w:val="center"/>
            <w:hideMark/>
          </w:tcPr>
          <w:p w14:paraId="0D6D796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bl>
    <w:p w14:paraId="31587439" w14:textId="77777777" w:rsidR="00CD21BE" w:rsidRPr="00FD7B0B" w:rsidRDefault="00CD21BE" w:rsidP="00AC39B2">
      <w:pPr>
        <w:spacing w:after="0" w:line="240" w:lineRule="auto"/>
        <w:ind w:firstLine="709"/>
        <w:jc w:val="both"/>
        <w:rPr>
          <w:rFonts w:ascii="Times New Roman" w:hAnsi="Times New Roman"/>
          <w:sz w:val="28"/>
          <w:szCs w:val="28"/>
        </w:rPr>
      </w:pPr>
    </w:p>
    <w:p w14:paraId="296F7358" w14:textId="61F79C1B" w:rsidR="00CD21BE" w:rsidRPr="00FD7B0B" w:rsidRDefault="00CD21BE" w:rsidP="00AC39B2">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Динамика исполнения мероприятий ГП № 28 в части контрактуемых расходов, межбюджетных трансфертов и капитальных вложений представлены на рисунках </w:t>
      </w:r>
      <w:r w:rsidR="00420A00" w:rsidRPr="00FD7B0B">
        <w:rPr>
          <w:rFonts w:ascii="Times New Roman" w:eastAsia="Times New Roman" w:hAnsi="Times New Roman"/>
          <w:sz w:val="28"/>
          <w:szCs w:val="28"/>
          <w:lang w:eastAsia="ru-RU"/>
        </w:rPr>
        <w:t>32</w:t>
      </w:r>
      <w:r w:rsidRPr="00FD7B0B">
        <w:rPr>
          <w:rFonts w:ascii="Times New Roman" w:eastAsia="Times New Roman" w:hAnsi="Times New Roman"/>
          <w:sz w:val="28"/>
          <w:szCs w:val="28"/>
          <w:lang w:eastAsia="ru-RU"/>
        </w:rPr>
        <w:t xml:space="preserve"> и </w:t>
      </w:r>
      <w:r w:rsidR="00420A00" w:rsidRPr="00FD7B0B">
        <w:rPr>
          <w:rFonts w:ascii="Times New Roman" w:eastAsia="Times New Roman" w:hAnsi="Times New Roman"/>
          <w:sz w:val="28"/>
          <w:szCs w:val="28"/>
          <w:lang w:eastAsia="ru-RU"/>
        </w:rPr>
        <w:t>33</w:t>
      </w:r>
      <w:r w:rsidRPr="00FD7B0B">
        <w:rPr>
          <w:rFonts w:ascii="Times New Roman" w:eastAsia="Times New Roman" w:hAnsi="Times New Roman"/>
          <w:sz w:val="28"/>
          <w:szCs w:val="28"/>
          <w:lang w:eastAsia="ru-RU"/>
        </w:rPr>
        <w:t>.</w:t>
      </w:r>
    </w:p>
    <w:p w14:paraId="79D02797" w14:textId="24E5FBB6" w:rsidR="00E82850" w:rsidRPr="00FD7B0B" w:rsidRDefault="00E82850" w:rsidP="00E82850">
      <w:pPr>
        <w:spacing w:after="0" w:line="240" w:lineRule="auto"/>
        <w:contextualSpacing/>
        <w:jc w:val="center"/>
        <w:rPr>
          <w:rFonts w:ascii="Times New Roman" w:eastAsia="Times New Roman" w:hAnsi="Times New Roman"/>
          <w:sz w:val="28"/>
          <w:szCs w:val="28"/>
          <w:lang w:eastAsia="ru-RU"/>
        </w:rPr>
      </w:pPr>
      <w:r w:rsidRPr="00FD7B0B">
        <w:rPr>
          <w:rFonts w:ascii="Times New Roman" w:eastAsia="Times New Roman" w:hAnsi="Times New Roman"/>
          <w:noProof/>
          <w:sz w:val="28"/>
          <w:szCs w:val="28"/>
          <w:lang w:eastAsia="ru-RU"/>
        </w:rPr>
        <w:drawing>
          <wp:inline distT="0" distB="0" distL="0" distR="0" wp14:anchorId="276B97E0" wp14:editId="126B295D">
            <wp:extent cx="5092574" cy="1730745"/>
            <wp:effectExtent l="0" t="0" r="0" b="317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06500" cy="1735478"/>
                    </a:xfrm>
                    <a:prstGeom prst="rect">
                      <a:avLst/>
                    </a:prstGeom>
                    <a:noFill/>
                  </pic:spPr>
                </pic:pic>
              </a:graphicData>
            </a:graphic>
          </wp:inline>
        </w:drawing>
      </w:r>
    </w:p>
    <w:p w14:paraId="3E0F9CF4" w14:textId="77777777" w:rsidR="00CD21BE" w:rsidRPr="00FD7B0B" w:rsidRDefault="00CD21BE" w:rsidP="00E82850">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32</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областного бюджета за 2024 на реализацию мероприятий ГП № 28 в части контрактуемых расходов, млн.руб.</w:t>
      </w:r>
    </w:p>
    <w:p w14:paraId="23560AEE" w14:textId="46D81541" w:rsidR="00E82850" w:rsidRPr="00FD7B0B" w:rsidRDefault="00E82850" w:rsidP="00E82850">
      <w:pPr>
        <w:jc w:val="center"/>
      </w:pPr>
      <w:r w:rsidRPr="00FD7B0B">
        <w:rPr>
          <w:noProof/>
          <w:lang w:eastAsia="ru-RU"/>
        </w:rPr>
        <w:drawing>
          <wp:inline distT="0" distB="0" distL="0" distR="0" wp14:anchorId="67BEFAF9" wp14:editId="325D366C">
            <wp:extent cx="5015620" cy="1984333"/>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24189" cy="1987723"/>
                    </a:xfrm>
                    <a:prstGeom prst="rect">
                      <a:avLst/>
                    </a:prstGeom>
                    <a:noFill/>
                  </pic:spPr>
                </pic:pic>
              </a:graphicData>
            </a:graphic>
          </wp:inline>
        </w:drawing>
      </w:r>
    </w:p>
    <w:p w14:paraId="35BB1C19" w14:textId="75F7459C" w:rsidR="00CD21BE" w:rsidRPr="00FD7B0B" w:rsidRDefault="00420A00" w:rsidP="00E82850">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33</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CD21BE" w:rsidRPr="00FD7B0B">
        <w:rPr>
          <w:rFonts w:ascii="Times New Roman" w:hAnsi="Times New Roman"/>
          <w:b w:val="0"/>
          <w:sz w:val="24"/>
          <w:szCs w:val="24"/>
        </w:rPr>
        <w:t>Расходы областного бюджета за 2024 на реализацию мероприятий ГП № 28 в части межбюджетных трансфертов, млн.руб.</w:t>
      </w:r>
    </w:p>
    <w:p w14:paraId="6631BBED" w14:textId="77777777" w:rsidR="00CD21BE" w:rsidRPr="00FD7B0B" w:rsidRDefault="00CD21BE" w:rsidP="00E82850">
      <w:pPr>
        <w:pStyle w:val="aff0"/>
        <w:spacing w:after="0" w:line="240" w:lineRule="auto"/>
        <w:rPr>
          <w:rFonts w:ascii="Times New Roman" w:hAnsi="Times New Roman"/>
          <w:b w:val="0"/>
          <w:sz w:val="24"/>
          <w:szCs w:val="24"/>
        </w:rPr>
      </w:pPr>
    </w:p>
    <w:p w14:paraId="1D0372EE" w14:textId="64384489" w:rsidR="00CD21BE" w:rsidRPr="00FD7B0B" w:rsidRDefault="00164B09" w:rsidP="00E8285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О</w:t>
      </w:r>
      <w:r w:rsidR="00CD21BE" w:rsidRPr="00FD7B0B">
        <w:rPr>
          <w:rFonts w:ascii="Times New Roman" w:eastAsia="Times New Roman" w:hAnsi="Times New Roman"/>
          <w:sz w:val="28"/>
          <w:szCs w:val="28"/>
          <w:lang w:eastAsia="ru-RU"/>
        </w:rPr>
        <w:t>сновная доля кассовых расходов из запланированных бюджетных ассигнований в части их поквартального расходования на реализацию мероприятий госпрограммы пришлась на 3 и 4 квартал 2024 года соответственно.</w:t>
      </w:r>
    </w:p>
    <w:p w14:paraId="285CC34B" w14:textId="77777777" w:rsidR="00CD21BE" w:rsidRPr="00FD7B0B" w:rsidRDefault="00CD21BE" w:rsidP="00E82850">
      <w:pPr>
        <w:spacing w:after="0" w:line="240" w:lineRule="auto"/>
        <w:ind w:firstLine="709"/>
        <w:contextualSpacing/>
        <w:jc w:val="both"/>
        <w:rPr>
          <w:rFonts w:ascii="Times New Roman" w:eastAsia="Times New Roman" w:hAnsi="Times New Roman"/>
          <w:sz w:val="28"/>
          <w:szCs w:val="28"/>
          <w:lang w:eastAsia="ru-RU"/>
        </w:rPr>
      </w:pPr>
    </w:p>
    <w:p w14:paraId="09BCDBE2" w14:textId="77777777" w:rsidR="00CD21BE" w:rsidRPr="00FD7B0B" w:rsidRDefault="00CD21BE" w:rsidP="00164B0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2024 году в рамках государственной программы Архангельской области «Развитие физической культуры и спорта в Архангельской области» осуществлялось достижение 6 показателей уровня государственной программы и структурных элементов, входящих в ее состав, реализация 19 мероприятий (результатов) уровня структурных элементов.</w:t>
      </w:r>
    </w:p>
    <w:p w14:paraId="5A8536B7" w14:textId="0393DE79" w:rsidR="00CD21BE" w:rsidRPr="00FD7B0B" w:rsidRDefault="00CD21BE" w:rsidP="00164B0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Исполнение мероприятий КПМ ГП № 28 характеризуется следующими показат</w:t>
      </w:r>
      <w:r w:rsidR="00816DCB" w:rsidRPr="00FD7B0B">
        <w:rPr>
          <w:rFonts w:ascii="Times New Roman" w:eastAsia="Times New Roman" w:hAnsi="Times New Roman"/>
          <w:sz w:val="28"/>
          <w:szCs w:val="28"/>
          <w:lang w:eastAsia="ru-RU"/>
        </w:rPr>
        <w:t>елями:</w:t>
      </w:r>
    </w:p>
    <w:p w14:paraId="4390F0C2" w14:textId="77777777" w:rsidR="00CD21BE" w:rsidRPr="00FD7B0B" w:rsidRDefault="00CD21BE" w:rsidP="00164B0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рамках КПМ реализуется 16 мероприятия (этапов мероприятий), в том числе на отчетную дату:</w:t>
      </w:r>
    </w:p>
    <w:p w14:paraId="2A7119FF" w14:textId="77777777" w:rsidR="00CD21BE" w:rsidRPr="00FD7B0B" w:rsidRDefault="00CD21BE" w:rsidP="00164B0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- 15 мероприятий выполнено в полном объеме (в установленные сроки);</w:t>
      </w:r>
    </w:p>
    <w:p w14:paraId="4FFF051B" w14:textId="77777777" w:rsidR="00CD21BE" w:rsidRPr="00FD7B0B" w:rsidRDefault="00CD21BE" w:rsidP="00164B09">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- 1 мероприятия выполнено не в полном объеме или с нарушением сроков, установленных планом реализации госпрограммы.</w:t>
      </w:r>
    </w:p>
    <w:p w14:paraId="0573C2DD" w14:textId="77777777" w:rsidR="00CD21BE" w:rsidRPr="00FD7B0B" w:rsidRDefault="00CD21BE" w:rsidP="00E33F2B">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Согласно отчету о реализации в 2024 году ГП № 28 общая сумма расходов на реализацию мероприятий КПМ за счет областного бюджета составила 1 133,9 млн.руб. из 1 133,9 млн.руб. </w:t>
      </w:r>
    </w:p>
    <w:p w14:paraId="45075AE5" w14:textId="77777777" w:rsidR="00CD21BE" w:rsidRPr="00FD7B0B" w:rsidRDefault="00CD21BE" w:rsidP="00E33F2B">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отчетном периоде не в полном объеме реализовано мероприятие «Проведено обустройство и модернизация плоскостных спортивных сооружений муниципальных образований Архангельской области». Согласно данным отчета фактически обустроено 11 единицы или 91,6 % от запланированного (12 единиц) в связи с этапностью работ и технологическими особенностями выполнения работ по устройству искусственных покрытий (требования к погодным условиям). В 2024 году завершены работы I этапа обустройства стадиона МОУ «Новодвинская гимназия». Реализация II этапа (укладка искусственного покрытия на футбольном поле) – в 2025 году.</w:t>
      </w:r>
    </w:p>
    <w:p w14:paraId="4636EF63" w14:textId="77777777" w:rsidR="00CD21BE" w:rsidRPr="00FD7B0B" w:rsidRDefault="00CD21BE" w:rsidP="00ED0D5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мероприятию «Проведена модернизация лыжного стадиона имени В.С. Кузина» несмотря на его выполнение в полном объеме в 2024 году, были нарушены сроки в части поставки материалов (устройства водосбрасывающих лотков), необходимых для его выполнения. Так плановая дата завершение работ (контрольная точка) - 30.11.2024, фактически акты подписаны 25.12.2024.</w:t>
      </w:r>
    </w:p>
    <w:p w14:paraId="448A8DE5" w14:textId="29B803F9" w:rsidR="00CD21BE" w:rsidRPr="00FD7B0B" w:rsidRDefault="00CD21BE" w:rsidP="00ED0D55">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Кроме того, в отчетном периоде не реализовано мероприятие «Приобретено спортивное оборудование и инвентарь для государственных учреждений дополнительного образования со специальным наименованием «спортивная школа» и учреждений физической культуры и спорта Архангельской области» в плановом объеме 1 единица в связи с тем, что в течение 2024 год</w:t>
      </w:r>
      <w:r w:rsidR="00ED0D55" w:rsidRPr="00FD7B0B">
        <w:rPr>
          <w:rFonts w:ascii="Times New Roman" w:eastAsia="Times New Roman" w:hAnsi="Times New Roman"/>
          <w:sz w:val="28"/>
          <w:szCs w:val="28"/>
          <w:lang w:eastAsia="ru-RU"/>
        </w:rPr>
        <w:t>а</w:t>
      </w:r>
      <w:r w:rsidRPr="00FD7B0B">
        <w:rPr>
          <w:rFonts w:ascii="Times New Roman" w:eastAsia="Times New Roman" w:hAnsi="Times New Roman"/>
          <w:sz w:val="28"/>
          <w:szCs w:val="28"/>
          <w:lang w:eastAsia="ru-RU"/>
        </w:rPr>
        <w:t xml:space="preserve"> произведено секвестирование средств на его реализацию в сумме 1,7 млн.руб. или 100 % от запланированных средств. Вместе с тем, согласно паспорту КПМ в ред. от 24.12.2024 по вышеуказанному мероприятию изменения в плановое значение внесены не были.</w:t>
      </w:r>
    </w:p>
    <w:p w14:paraId="1272575F" w14:textId="4D7FBC01" w:rsidR="00CD21BE" w:rsidRPr="00FD7B0B" w:rsidRDefault="00CD21BE" w:rsidP="00ED0D55">
      <w:pPr>
        <w:spacing w:after="0" w:line="240" w:lineRule="auto"/>
        <w:ind w:firstLine="709"/>
        <w:jc w:val="both"/>
        <w:rPr>
          <w:rFonts w:ascii="Times New Roman" w:hAnsi="Times New Roman"/>
          <w:sz w:val="28"/>
          <w:szCs w:val="28"/>
          <w:lang w:eastAsia="ru-RU"/>
        </w:rPr>
      </w:pPr>
      <w:r w:rsidRPr="00FD7B0B">
        <w:rPr>
          <w:rFonts w:ascii="Times New Roman" w:hAnsi="Times New Roman"/>
          <w:sz w:val="28"/>
          <w:szCs w:val="28"/>
        </w:rPr>
        <w:t xml:space="preserve">С учетом чего, министерством спорта Архангельской области не соблюдены требования пунктов </w:t>
      </w:r>
      <w:r w:rsidRPr="00FD7B0B">
        <w:rPr>
          <w:rFonts w:ascii="Times New Roman" w:hAnsi="Times New Roman"/>
          <w:sz w:val="28"/>
          <w:szCs w:val="28"/>
          <w:lang w:eastAsia="ru-RU"/>
        </w:rPr>
        <w:t>25</w:t>
      </w:r>
      <w:r w:rsidR="00ED0D55" w:rsidRPr="00FD7B0B">
        <w:rPr>
          <w:rFonts w:ascii="Times New Roman" w:hAnsi="Times New Roman"/>
          <w:sz w:val="28"/>
          <w:szCs w:val="28"/>
          <w:lang w:eastAsia="ru-RU"/>
        </w:rPr>
        <w:t xml:space="preserve"> – </w:t>
      </w:r>
      <w:r w:rsidRPr="00FD7B0B">
        <w:rPr>
          <w:rFonts w:ascii="Times New Roman" w:hAnsi="Times New Roman"/>
          <w:sz w:val="28"/>
          <w:szCs w:val="28"/>
          <w:lang w:eastAsia="ru-RU"/>
        </w:rPr>
        <w:t>29 Положения № 793-пп в части внесения изменений в паспорт КПМ.</w:t>
      </w:r>
    </w:p>
    <w:p w14:paraId="478E8E6F" w14:textId="77777777" w:rsidR="00CD21BE" w:rsidRPr="00FD7B0B" w:rsidRDefault="00CD21BE" w:rsidP="00ED0D55">
      <w:pPr>
        <w:spacing w:after="0" w:line="240" w:lineRule="auto"/>
        <w:ind w:firstLine="709"/>
        <w:jc w:val="both"/>
        <w:rPr>
          <w:rFonts w:ascii="Times New Roman" w:hAnsi="Times New Roman"/>
          <w:sz w:val="28"/>
          <w:szCs w:val="28"/>
        </w:rPr>
      </w:pPr>
      <w:r w:rsidRPr="00FD7B0B">
        <w:rPr>
          <w:rFonts w:ascii="Times New Roman" w:hAnsi="Times New Roman"/>
          <w:sz w:val="28"/>
          <w:szCs w:val="28"/>
        </w:rPr>
        <w:lastRenderedPageBreak/>
        <w:t>Также следует отметить, что распоряжением министерства спорта Архангельской области от 24.12.2024 № 716-рм в связи с отсутствием средств на реализацию мероприятий «Созданы открытые площадки для тестирования населения Архангельской области в соответствии с Всероссийским физкультурно-спортивным комплексом «Готов к труду и обороне» в муниципальных образованиях Архангельской области» и «Проведено обустройство и модернизация скейт-площадок в муниципальных образованиях Архангельской области» из паспорта КПМ исключены плановые значения мероприятий, запланированные на 2024 год в объеме 4 и 2 единицы соответственно.</w:t>
      </w:r>
    </w:p>
    <w:p w14:paraId="42FB17A2" w14:textId="77777777" w:rsidR="00CD21BE" w:rsidRPr="00FD7B0B" w:rsidRDefault="00CD21BE" w:rsidP="00ED0D55">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Таким образом, контрольно-счетная палата отмечает, что в ряде случаев из паспорта КПМ исключено как финансирование, так и плановое значение для ряда мероприятий в него входящих.</w:t>
      </w:r>
    </w:p>
    <w:p w14:paraId="35C67D7D" w14:textId="5417F44D" w:rsidR="00CD21BE" w:rsidRPr="00FD7B0B" w:rsidRDefault="00CD21BE" w:rsidP="00ED0D55">
      <w:pPr>
        <w:spacing w:after="0" w:line="240" w:lineRule="auto"/>
        <w:ind w:firstLine="709"/>
        <w:jc w:val="both"/>
        <w:rPr>
          <w:rFonts w:ascii="Times New Roman" w:hAnsi="Times New Roman"/>
          <w:sz w:val="28"/>
          <w:szCs w:val="28"/>
        </w:rPr>
      </w:pPr>
      <w:r w:rsidRPr="00FD7B0B">
        <w:rPr>
          <w:rFonts w:ascii="Times New Roman" w:hAnsi="Times New Roman"/>
          <w:sz w:val="28"/>
          <w:szCs w:val="28"/>
        </w:rPr>
        <w:t>Указанные факты не соответствуют национальным целям и задачам, изложенным в указе Президента РФ от 07.05.2024 № 309 «О национальных целях развития Российской Федерации на период до 2030 года и на перспективу до 2036 года», направленным на сохранение населения, укрепление здоровья и повышение благополучия людей, поддержка семьи и повышение к 2030 году уровня удовлетворенности граждан условиями для занятий физической культурой и спортом.</w:t>
      </w:r>
    </w:p>
    <w:p w14:paraId="1AC903DF" w14:textId="77777777" w:rsidR="00CD21BE" w:rsidRPr="00FD7B0B" w:rsidRDefault="00CD21BE" w:rsidP="00ED0D55">
      <w:pPr>
        <w:spacing w:after="0" w:line="240" w:lineRule="auto"/>
        <w:ind w:firstLine="709"/>
        <w:jc w:val="both"/>
        <w:rPr>
          <w:rFonts w:ascii="Times New Roman" w:hAnsi="Times New Roman"/>
          <w:sz w:val="28"/>
          <w:szCs w:val="28"/>
        </w:rPr>
      </w:pPr>
    </w:p>
    <w:p w14:paraId="2CA64539" w14:textId="77777777" w:rsidR="00CD21BE" w:rsidRPr="00FD7B0B" w:rsidRDefault="00CD21BE" w:rsidP="00F002C6">
      <w:pPr>
        <w:spacing w:after="0" w:line="240" w:lineRule="auto"/>
        <w:contextualSpacing/>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достижения целевых показателей по итогам 2024 года</w:t>
      </w:r>
    </w:p>
    <w:p w14:paraId="01BA72ED" w14:textId="77777777" w:rsidR="00CD21BE" w:rsidRPr="00FD7B0B" w:rsidRDefault="00CD21BE" w:rsidP="00F002C6">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Паспортом госпрограммы № 28 на 2024 год утверждено 6 целевых показателей. </w:t>
      </w:r>
    </w:p>
    <w:p w14:paraId="68D7B20E" w14:textId="77777777" w:rsidR="00CD21BE" w:rsidRPr="00FD7B0B" w:rsidRDefault="00CD21BE" w:rsidP="00F002C6">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Целевые показатели ГП № 28 в целом соответствуют целям и задачам, установленным государственной программой РФ «Развитие физической культуры и спорта», достижению национальной цели развития Российской Федерации на период до 2030 года и на перспективу до 2036 года «Сохранение населения, здоровье и благополучие людей, поддержка семьи», определенной указом Президента РФ от 07.05.2024 № 309, повышение к 2030 году уровня удовлетворенности граждан условиями для занятий физической культурой и спортом, а также увеличение ожидаемой продолжительности жизни до 78 лет к 2030 году, паспортом федерального проекта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(далее – федеральный проект «Спорт – норма жизни»), а также паспортом регионального проекта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(Архангельская область)» (далее – региональный проект «Спорт-норма жизни»), срок реализации которого 01.01.2019-31.12.2024, паспортом федерального проекта «Бизнес-спринт (Я выбираю спорт)» (далее – федеральный проект «Бизнес-спринт»), утвержденного 23.12.2021, а также паспортом регионального проекта «Бизнес-спринт» (Я выбираю спорт) (далее – </w:t>
      </w:r>
      <w:r w:rsidRPr="00FD7B0B">
        <w:rPr>
          <w:rFonts w:ascii="Times New Roman" w:hAnsi="Times New Roman"/>
          <w:sz w:val="28"/>
          <w:szCs w:val="28"/>
        </w:rPr>
        <w:lastRenderedPageBreak/>
        <w:t>региональный проект «Бизнес-спринт»), утвержденного 29.09.2023, срок реализации которого 01.01.2024-31.12.2026.</w:t>
      </w:r>
    </w:p>
    <w:p w14:paraId="35D6B9A0" w14:textId="15E6C5A0" w:rsidR="00CD21BE" w:rsidRPr="00FD7B0B" w:rsidRDefault="00CD21BE" w:rsidP="00F002C6">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Вместе с тем необходимо отметить, что Стратегия социально-экономического развития Архангельской области до 2035 года, утвержденная законом Архангельской области от 18.02.2019 № 57-5-ОЗ не содержит информации и направлений ее реализации в части достижения целевых показателей, связанных с развитием физической культуры и спорта, а также в сфере развития молодежной политик</w:t>
      </w:r>
      <w:r w:rsidR="00F002C6" w:rsidRPr="00FD7B0B">
        <w:rPr>
          <w:rFonts w:ascii="Times New Roman" w:eastAsia="Times New Roman" w:hAnsi="Times New Roman"/>
          <w:sz w:val="28"/>
          <w:szCs w:val="28"/>
          <w:lang w:eastAsia="ru-RU"/>
        </w:rPr>
        <w:t>и и патриотического воспитания.</w:t>
      </w:r>
    </w:p>
    <w:p w14:paraId="099C073F" w14:textId="7D81ADFA" w:rsidR="00CD21BE" w:rsidRPr="00FD7B0B" w:rsidRDefault="00CD21BE" w:rsidP="00F002C6">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Контрольно-счетная палата неоднократно в своих заключениях (за 2021, 2022, 2023 годы) указывала о необходимости внесения соответствующих изменений в Стратегию социально-экономического развития Архангельской области до 2035 года и госпрограмму в части мероприятий в сфере развития физической культуры и спорта с целью взаимоувязки соответствующих целевых показателей, характеризующ</w:t>
      </w:r>
      <w:r w:rsidR="00F002C6" w:rsidRPr="00FD7B0B">
        <w:rPr>
          <w:rFonts w:ascii="Times New Roman" w:eastAsia="Times New Roman" w:hAnsi="Times New Roman"/>
          <w:sz w:val="28"/>
          <w:szCs w:val="28"/>
          <w:lang w:eastAsia="ru-RU"/>
        </w:rPr>
        <w:t>их эффективность их реализации.</w:t>
      </w:r>
    </w:p>
    <w:p w14:paraId="41CEA061" w14:textId="687A4945" w:rsidR="00CD21BE" w:rsidRPr="00FD7B0B" w:rsidRDefault="00CD21BE" w:rsidP="0088181C">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течение отчетного года один целевой показатель подвергался корректировке планового значения. Сведения об изменении целевых пока</w:t>
      </w:r>
      <w:r w:rsidR="0088181C" w:rsidRPr="00FD7B0B">
        <w:rPr>
          <w:rFonts w:ascii="Times New Roman" w:eastAsia="Times New Roman" w:hAnsi="Times New Roman"/>
          <w:sz w:val="28"/>
          <w:szCs w:val="28"/>
          <w:lang w:eastAsia="ru-RU"/>
        </w:rPr>
        <w:t xml:space="preserve">зателей представлены в таблице </w:t>
      </w:r>
      <w:r w:rsidR="00085427" w:rsidRPr="00FD7B0B">
        <w:rPr>
          <w:rFonts w:ascii="Times New Roman" w:eastAsia="Times New Roman" w:hAnsi="Times New Roman"/>
          <w:sz w:val="28"/>
          <w:szCs w:val="28"/>
          <w:lang w:eastAsia="ru-RU"/>
        </w:rPr>
        <w:t>226</w:t>
      </w:r>
      <w:r w:rsidRPr="00FD7B0B">
        <w:rPr>
          <w:rFonts w:ascii="Times New Roman" w:eastAsia="Times New Roman" w:hAnsi="Times New Roman"/>
          <w:sz w:val="28"/>
          <w:szCs w:val="28"/>
          <w:lang w:eastAsia="ru-RU"/>
        </w:rPr>
        <w:t>.</w:t>
      </w:r>
    </w:p>
    <w:p w14:paraId="2EEB6E53" w14:textId="77777777" w:rsidR="00CD21BE" w:rsidRPr="00FD7B0B" w:rsidRDefault="00CD21BE" w:rsidP="00CD21BE">
      <w:pPr>
        <w:spacing w:after="0" w:line="240" w:lineRule="auto"/>
        <w:ind w:firstLine="851"/>
        <w:contextualSpacing/>
        <w:jc w:val="both"/>
        <w:rPr>
          <w:rFonts w:ascii="Times New Roman" w:eastAsia="Times New Roman" w:hAnsi="Times New Roman"/>
          <w:sz w:val="28"/>
          <w:szCs w:val="28"/>
          <w:lang w:eastAsia="ru-RU"/>
        </w:rPr>
      </w:pPr>
    </w:p>
    <w:p w14:paraId="18F42BC3" w14:textId="346013EF" w:rsidR="00CD21BE" w:rsidRPr="00FD7B0B" w:rsidRDefault="00CD21BE" w:rsidP="00CD21B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226</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об изменении целевых показателей</w:t>
      </w:r>
      <w:r w:rsidR="0088181C" w:rsidRPr="00FD7B0B">
        <w:rPr>
          <w:rFonts w:ascii="Times New Roman" w:hAnsi="Times New Roman"/>
          <w:b w:val="0"/>
          <w:sz w:val="24"/>
          <w:szCs w:val="24"/>
        </w:rPr>
        <w:t xml:space="preserve"> реализацию мероприятий ГП № 28</w:t>
      </w:r>
    </w:p>
    <w:tbl>
      <w:tblPr>
        <w:tblW w:w="951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145"/>
        <w:gridCol w:w="1417"/>
        <w:gridCol w:w="1560"/>
        <w:gridCol w:w="992"/>
        <w:gridCol w:w="3402"/>
      </w:tblGrid>
      <w:tr w:rsidR="00FD7B0B" w:rsidRPr="00FD7B0B" w14:paraId="04FBD5A1" w14:textId="77777777" w:rsidTr="00610963">
        <w:trPr>
          <w:trHeight w:val="529"/>
        </w:trPr>
        <w:tc>
          <w:tcPr>
            <w:tcW w:w="2145" w:type="dxa"/>
            <w:shd w:val="clear" w:color="auto" w:fill="auto"/>
            <w:vAlign w:val="center"/>
            <w:hideMark/>
          </w:tcPr>
          <w:p w14:paraId="6A3FA7D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Целевой показатель, единица измерения</w:t>
            </w:r>
          </w:p>
        </w:tc>
        <w:tc>
          <w:tcPr>
            <w:tcW w:w="1417" w:type="dxa"/>
            <w:shd w:val="clear" w:color="auto" w:fill="auto"/>
            <w:vAlign w:val="center"/>
            <w:hideMark/>
          </w:tcPr>
          <w:p w14:paraId="2717A2D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Редакция ГП № 28 на 01.01.2024</w:t>
            </w:r>
          </w:p>
          <w:p w14:paraId="50CE54D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 (в ред. от 17.01.2024)</w:t>
            </w:r>
          </w:p>
        </w:tc>
        <w:tc>
          <w:tcPr>
            <w:tcW w:w="1560" w:type="dxa"/>
            <w:shd w:val="clear" w:color="auto" w:fill="auto"/>
            <w:vAlign w:val="center"/>
            <w:hideMark/>
          </w:tcPr>
          <w:p w14:paraId="1698997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Редакция ГП № 28 на 31.12.2024</w:t>
            </w:r>
          </w:p>
          <w:p w14:paraId="77432A6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 (в ред. от 27.12.2024)</w:t>
            </w:r>
          </w:p>
        </w:tc>
        <w:tc>
          <w:tcPr>
            <w:tcW w:w="992" w:type="dxa"/>
            <w:shd w:val="clear" w:color="auto" w:fill="auto"/>
            <w:vAlign w:val="center"/>
            <w:hideMark/>
          </w:tcPr>
          <w:p w14:paraId="66BEFE5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Изменение (+/-)</w:t>
            </w:r>
          </w:p>
        </w:tc>
        <w:tc>
          <w:tcPr>
            <w:tcW w:w="3402" w:type="dxa"/>
            <w:shd w:val="clear" w:color="auto" w:fill="auto"/>
            <w:vAlign w:val="center"/>
            <w:hideMark/>
          </w:tcPr>
          <w:p w14:paraId="48306E1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Причины</w:t>
            </w:r>
          </w:p>
        </w:tc>
      </w:tr>
      <w:tr w:rsidR="00FD7B0B" w:rsidRPr="00FD7B0B" w14:paraId="31C47F52" w14:textId="77777777" w:rsidTr="00610963">
        <w:trPr>
          <w:trHeight w:val="73"/>
        </w:trPr>
        <w:tc>
          <w:tcPr>
            <w:tcW w:w="2145" w:type="dxa"/>
            <w:shd w:val="clear" w:color="auto" w:fill="auto"/>
            <w:vAlign w:val="center"/>
            <w:hideMark/>
          </w:tcPr>
          <w:p w14:paraId="4C3F253B"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Госпрограмма в целом</w:t>
            </w:r>
          </w:p>
        </w:tc>
        <w:tc>
          <w:tcPr>
            <w:tcW w:w="1417" w:type="dxa"/>
            <w:shd w:val="clear" w:color="auto" w:fill="auto"/>
            <w:vAlign w:val="center"/>
            <w:hideMark/>
          </w:tcPr>
          <w:p w14:paraId="2D84149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560" w:type="dxa"/>
            <w:shd w:val="clear" w:color="auto" w:fill="auto"/>
            <w:vAlign w:val="center"/>
            <w:hideMark/>
          </w:tcPr>
          <w:p w14:paraId="3F15A0C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992" w:type="dxa"/>
            <w:shd w:val="clear" w:color="auto" w:fill="auto"/>
            <w:vAlign w:val="center"/>
            <w:hideMark/>
          </w:tcPr>
          <w:p w14:paraId="3BC571D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3402" w:type="dxa"/>
            <w:shd w:val="clear" w:color="auto" w:fill="auto"/>
            <w:vAlign w:val="center"/>
            <w:hideMark/>
          </w:tcPr>
          <w:p w14:paraId="20AD41D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CD21BE" w:rsidRPr="00FD7B0B" w14:paraId="52392B6C" w14:textId="77777777" w:rsidTr="00610963">
        <w:trPr>
          <w:trHeight w:val="1578"/>
        </w:trPr>
        <w:tc>
          <w:tcPr>
            <w:tcW w:w="2145" w:type="dxa"/>
            <w:shd w:val="clear" w:color="auto" w:fill="auto"/>
            <w:vAlign w:val="center"/>
            <w:hideMark/>
          </w:tcPr>
          <w:p w14:paraId="5A5543EE"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Доля граждан Архангельской области в возрасте 3 - 29 лет, систематически занимающихся физической культурой и спортом, в общей численности граждан данной возрастной категории, %</w:t>
            </w:r>
          </w:p>
        </w:tc>
        <w:tc>
          <w:tcPr>
            <w:tcW w:w="1417" w:type="dxa"/>
            <w:shd w:val="clear" w:color="auto" w:fill="auto"/>
            <w:vAlign w:val="center"/>
            <w:hideMark/>
          </w:tcPr>
          <w:p w14:paraId="141BE4D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88,3</w:t>
            </w:r>
          </w:p>
        </w:tc>
        <w:tc>
          <w:tcPr>
            <w:tcW w:w="1560" w:type="dxa"/>
            <w:shd w:val="clear" w:color="auto" w:fill="auto"/>
            <w:vAlign w:val="center"/>
            <w:hideMark/>
          </w:tcPr>
          <w:p w14:paraId="0D25FA3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91,8</w:t>
            </w:r>
          </w:p>
        </w:tc>
        <w:tc>
          <w:tcPr>
            <w:tcW w:w="992" w:type="dxa"/>
            <w:shd w:val="clear" w:color="auto" w:fill="auto"/>
            <w:vAlign w:val="center"/>
            <w:hideMark/>
          </w:tcPr>
          <w:p w14:paraId="04FD1D7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3,5</w:t>
            </w:r>
          </w:p>
        </w:tc>
        <w:tc>
          <w:tcPr>
            <w:tcW w:w="3402" w:type="dxa"/>
            <w:shd w:val="clear" w:color="auto" w:fill="auto"/>
            <w:hideMark/>
          </w:tcPr>
          <w:p w14:paraId="7D5F75DA" w14:textId="77777777" w:rsidR="00CD21BE" w:rsidRPr="00FD7B0B" w:rsidRDefault="00CD21BE" w:rsidP="00610963">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bCs/>
                <w:sz w:val="16"/>
                <w:szCs w:val="16"/>
                <w:lang w:eastAsia="ru-RU"/>
              </w:rPr>
              <w:t>На основании дополнительного соглашения к соглашению о реализации на территории Архангельской области государственной программы субъекта Российской Федерации, направленной на достижение целей и показателей государственной программы Российской Федерации «Развитие физической культуры и спорта» № 2022-00697/2 от 20 декабря 2023 г.</w:t>
            </w:r>
          </w:p>
        </w:tc>
      </w:tr>
    </w:tbl>
    <w:p w14:paraId="7643B88E"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p>
    <w:p w14:paraId="1F0C1620" w14:textId="3781200F"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Плановые и фактические значения отдельных целевых показателей ГП №</w:t>
      </w:r>
      <w:r w:rsidR="008F2374" w:rsidRPr="00FD7B0B">
        <w:rPr>
          <w:rFonts w:ascii="Times New Roman" w:eastAsia="Times New Roman" w:hAnsi="Times New Roman"/>
          <w:sz w:val="28"/>
          <w:szCs w:val="28"/>
          <w:lang w:eastAsia="ru-RU"/>
        </w:rPr>
        <w:t> </w:t>
      </w:r>
      <w:r w:rsidRPr="00FD7B0B">
        <w:rPr>
          <w:rFonts w:ascii="Times New Roman" w:eastAsia="Times New Roman" w:hAnsi="Times New Roman"/>
          <w:sz w:val="28"/>
          <w:szCs w:val="28"/>
          <w:lang w:eastAsia="ru-RU"/>
        </w:rPr>
        <w:t>28 за ряд лет представлены в таблиц</w:t>
      </w:r>
      <w:r w:rsidR="00085427" w:rsidRPr="00FD7B0B">
        <w:rPr>
          <w:rFonts w:ascii="Times New Roman" w:eastAsia="Times New Roman" w:hAnsi="Times New Roman"/>
          <w:sz w:val="28"/>
          <w:szCs w:val="28"/>
          <w:lang w:eastAsia="ru-RU"/>
        </w:rPr>
        <w:t>е</w:t>
      </w:r>
      <w:r w:rsidRPr="00FD7B0B">
        <w:rPr>
          <w:rFonts w:ascii="Times New Roman" w:eastAsia="Times New Roman" w:hAnsi="Times New Roman"/>
          <w:sz w:val="28"/>
          <w:szCs w:val="28"/>
          <w:lang w:eastAsia="ru-RU"/>
        </w:rPr>
        <w:t xml:space="preserve"> </w:t>
      </w:r>
      <w:r w:rsidR="00085427" w:rsidRPr="00FD7B0B">
        <w:rPr>
          <w:rFonts w:ascii="Times New Roman" w:eastAsia="Times New Roman" w:hAnsi="Times New Roman"/>
          <w:sz w:val="28"/>
          <w:szCs w:val="28"/>
          <w:lang w:eastAsia="ru-RU"/>
        </w:rPr>
        <w:t>227</w:t>
      </w:r>
      <w:r w:rsidRPr="00FD7B0B">
        <w:rPr>
          <w:rFonts w:ascii="Times New Roman" w:eastAsia="Times New Roman" w:hAnsi="Times New Roman"/>
          <w:sz w:val="28"/>
          <w:szCs w:val="28"/>
          <w:lang w:eastAsia="ru-RU"/>
        </w:rPr>
        <w:t>.</w:t>
      </w:r>
    </w:p>
    <w:p w14:paraId="2DB98AE4"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p>
    <w:p w14:paraId="42120852" w14:textId="53E72037" w:rsidR="00CD21BE" w:rsidRPr="00FD7B0B" w:rsidRDefault="00CD21BE" w:rsidP="00CD21B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227</w:t>
      </w:r>
      <w:r w:rsidRPr="00FD7B0B">
        <w:rPr>
          <w:rFonts w:ascii="Times New Roman" w:hAnsi="Times New Roman"/>
          <w:b w:val="0"/>
          <w:sz w:val="24"/>
          <w:szCs w:val="24"/>
        </w:rPr>
        <w:fldChar w:fldCharType="end"/>
      </w:r>
      <w:r w:rsidRPr="00FD7B0B">
        <w:rPr>
          <w:rFonts w:ascii="Times New Roman" w:hAnsi="Times New Roman"/>
          <w:b w:val="0"/>
          <w:sz w:val="24"/>
          <w:szCs w:val="24"/>
        </w:rPr>
        <w:t>. Динамика значений отдельных целевых показате</w:t>
      </w:r>
      <w:r w:rsidR="00610963" w:rsidRPr="00FD7B0B">
        <w:rPr>
          <w:rFonts w:ascii="Times New Roman" w:hAnsi="Times New Roman"/>
          <w:b w:val="0"/>
          <w:sz w:val="24"/>
          <w:szCs w:val="24"/>
        </w:rPr>
        <w:t>лей ГП № 28 за 2023 - 2025 годы</w:t>
      </w:r>
    </w:p>
    <w:tbl>
      <w:tblPr>
        <w:tblW w:w="9554"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122"/>
        <w:gridCol w:w="1860"/>
        <w:gridCol w:w="852"/>
        <w:gridCol w:w="709"/>
        <w:gridCol w:w="1011"/>
      </w:tblGrid>
      <w:tr w:rsidR="00FD7B0B" w:rsidRPr="00FD7B0B" w14:paraId="020C8023" w14:textId="77777777" w:rsidTr="002239A2">
        <w:trPr>
          <w:trHeight w:val="286"/>
          <w:tblHeader/>
        </w:trPr>
        <w:tc>
          <w:tcPr>
            <w:tcW w:w="5122" w:type="dxa"/>
            <w:shd w:val="clear" w:color="000000" w:fill="FFFFFF"/>
            <w:vAlign w:val="center"/>
            <w:hideMark/>
          </w:tcPr>
          <w:p w14:paraId="48D6142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Наименование целевого показателя, единица измерения</w:t>
            </w:r>
          </w:p>
        </w:tc>
        <w:tc>
          <w:tcPr>
            <w:tcW w:w="1860" w:type="dxa"/>
            <w:shd w:val="clear" w:color="000000" w:fill="FFFFFF"/>
            <w:vAlign w:val="center"/>
            <w:hideMark/>
          </w:tcPr>
          <w:p w14:paraId="57D0A26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Исполнитель</w:t>
            </w:r>
          </w:p>
        </w:tc>
        <w:tc>
          <w:tcPr>
            <w:tcW w:w="852" w:type="dxa"/>
            <w:shd w:val="clear" w:color="000000" w:fill="FFFFFF"/>
            <w:vAlign w:val="center"/>
            <w:hideMark/>
          </w:tcPr>
          <w:p w14:paraId="79F3B2D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План</w:t>
            </w:r>
          </w:p>
        </w:tc>
        <w:tc>
          <w:tcPr>
            <w:tcW w:w="709" w:type="dxa"/>
            <w:shd w:val="clear" w:color="000000" w:fill="FFFFFF"/>
            <w:vAlign w:val="center"/>
            <w:hideMark/>
          </w:tcPr>
          <w:p w14:paraId="151FF4D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Факт</w:t>
            </w:r>
          </w:p>
        </w:tc>
        <w:tc>
          <w:tcPr>
            <w:tcW w:w="1011" w:type="dxa"/>
            <w:shd w:val="clear" w:color="000000" w:fill="FFFFFF"/>
            <w:vAlign w:val="center"/>
            <w:hideMark/>
          </w:tcPr>
          <w:p w14:paraId="06017C5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Исполнено, %</w:t>
            </w:r>
          </w:p>
        </w:tc>
      </w:tr>
      <w:tr w:rsidR="00FD7B0B" w:rsidRPr="00FD7B0B" w14:paraId="065A76D2" w14:textId="77777777" w:rsidTr="00610963">
        <w:trPr>
          <w:trHeight w:val="219"/>
        </w:trPr>
        <w:tc>
          <w:tcPr>
            <w:tcW w:w="5122" w:type="dxa"/>
            <w:shd w:val="clear" w:color="000000" w:fill="FFFFFF"/>
            <w:vAlign w:val="center"/>
            <w:hideMark/>
          </w:tcPr>
          <w:p w14:paraId="349C605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w:t>
            </w:r>
          </w:p>
        </w:tc>
        <w:tc>
          <w:tcPr>
            <w:tcW w:w="1860" w:type="dxa"/>
            <w:shd w:val="clear" w:color="000000" w:fill="FFFFFF"/>
            <w:vAlign w:val="center"/>
            <w:hideMark/>
          </w:tcPr>
          <w:p w14:paraId="6E29724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Б</w:t>
            </w:r>
          </w:p>
        </w:tc>
        <w:tc>
          <w:tcPr>
            <w:tcW w:w="852" w:type="dxa"/>
            <w:shd w:val="clear" w:color="000000" w:fill="FFFFFF"/>
            <w:vAlign w:val="center"/>
            <w:hideMark/>
          </w:tcPr>
          <w:p w14:paraId="4711075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709" w:type="dxa"/>
            <w:shd w:val="clear" w:color="000000" w:fill="FFFFFF"/>
            <w:vAlign w:val="center"/>
            <w:hideMark/>
          </w:tcPr>
          <w:p w14:paraId="7354A6B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011" w:type="dxa"/>
            <w:shd w:val="clear" w:color="000000" w:fill="FFFFFF"/>
            <w:vAlign w:val="center"/>
            <w:hideMark/>
          </w:tcPr>
          <w:p w14:paraId="118DC20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3=2/1*100</w:t>
            </w:r>
          </w:p>
        </w:tc>
      </w:tr>
      <w:tr w:rsidR="00FD7B0B" w:rsidRPr="00FD7B0B" w14:paraId="2CFC4FC8" w14:textId="77777777" w:rsidTr="00610963">
        <w:trPr>
          <w:trHeight w:val="147"/>
        </w:trPr>
        <w:tc>
          <w:tcPr>
            <w:tcW w:w="5122" w:type="dxa"/>
            <w:shd w:val="clear" w:color="000000" w:fill="FFFFFF"/>
            <w:vAlign w:val="center"/>
            <w:hideMark/>
          </w:tcPr>
          <w:p w14:paraId="578D00B3"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Доля граждан Архангельской области в возрасте 3 - 29 лет, систематически занимающихся физической культурой и спортом, в общей численности граждан данной возрастной категории, %</w:t>
            </w:r>
          </w:p>
        </w:tc>
        <w:tc>
          <w:tcPr>
            <w:tcW w:w="1860" w:type="dxa"/>
            <w:shd w:val="clear" w:color="000000" w:fill="FFFFFF"/>
            <w:vAlign w:val="center"/>
            <w:hideMark/>
          </w:tcPr>
          <w:p w14:paraId="5760A58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Министерство спорта Архангельской области</w:t>
            </w:r>
          </w:p>
        </w:tc>
        <w:tc>
          <w:tcPr>
            <w:tcW w:w="852" w:type="dxa"/>
            <w:shd w:val="clear" w:color="000000" w:fill="FFFFFF"/>
            <w:vAlign w:val="center"/>
            <w:hideMark/>
          </w:tcPr>
          <w:p w14:paraId="31BADEF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709" w:type="dxa"/>
            <w:shd w:val="clear" w:color="000000" w:fill="FFFFFF"/>
            <w:vAlign w:val="center"/>
            <w:hideMark/>
          </w:tcPr>
          <w:p w14:paraId="6909A3E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011" w:type="dxa"/>
            <w:shd w:val="clear" w:color="000000" w:fill="FFFFFF"/>
            <w:vAlign w:val="center"/>
            <w:hideMark/>
          </w:tcPr>
          <w:p w14:paraId="31E1581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4B88D94A" w14:textId="77777777" w:rsidTr="00610963">
        <w:trPr>
          <w:trHeight w:val="141"/>
        </w:trPr>
        <w:tc>
          <w:tcPr>
            <w:tcW w:w="5122" w:type="dxa"/>
            <w:shd w:val="clear" w:color="000000" w:fill="FFFFFF"/>
            <w:vAlign w:val="center"/>
            <w:hideMark/>
          </w:tcPr>
          <w:p w14:paraId="668D69B2" w14:textId="77777777" w:rsidR="00CD21BE" w:rsidRPr="00FD7B0B" w:rsidRDefault="00CD21BE" w:rsidP="00CD21BE">
            <w:pPr>
              <w:spacing w:after="0" w:line="240" w:lineRule="auto"/>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2023 год (предшествующий отчетному)</w:t>
            </w:r>
          </w:p>
        </w:tc>
        <w:tc>
          <w:tcPr>
            <w:tcW w:w="1860" w:type="dxa"/>
            <w:shd w:val="clear" w:color="000000" w:fill="FFFFFF"/>
            <w:vAlign w:val="center"/>
            <w:hideMark/>
          </w:tcPr>
          <w:p w14:paraId="5A1CBAC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vAlign w:val="center"/>
            <w:hideMark/>
          </w:tcPr>
          <w:p w14:paraId="1B36AB2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86,8</w:t>
            </w:r>
          </w:p>
        </w:tc>
        <w:tc>
          <w:tcPr>
            <w:tcW w:w="709" w:type="dxa"/>
            <w:shd w:val="clear" w:color="000000" w:fill="FFFFFF"/>
            <w:vAlign w:val="center"/>
            <w:hideMark/>
          </w:tcPr>
          <w:p w14:paraId="1B50D3D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96,6</w:t>
            </w:r>
          </w:p>
        </w:tc>
        <w:tc>
          <w:tcPr>
            <w:tcW w:w="1011" w:type="dxa"/>
            <w:shd w:val="clear" w:color="000000" w:fill="FFFFFF"/>
            <w:vAlign w:val="center"/>
            <w:hideMark/>
          </w:tcPr>
          <w:p w14:paraId="06DC467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111,3</w:t>
            </w:r>
          </w:p>
        </w:tc>
      </w:tr>
      <w:tr w:rsidR="00FD7B0B" w:rsidRPr="00FD7B0B" w14:paraId="51B40326" w14:textId="77777777" w:rsidTr="00185F40">
        <w:trPr>
          <w:trHeight w:val="86"/>
        </w:trPr>
        <w:tc>
          <w:tcPr>
            <w:tcW w:w="5122" w:type="dxa"/>
            <w:shd w:val="clear" w:color="000000" w:fill="FFFFFF"/>
            <w:vAlign w:val="center"/>
            <w:hideMark/>
          </w:tcPr>
          <w:p w14:paraId="5C04C858"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2024 год (отчетный год)</w:t>
            </w:r>
          </w:p>
        </w:tc>
        <w:tc>
          <w:tcPr>
            <w:tcW w:w="1860" w:type="dxa"/>
            <w:shd w:val="clear" w:color="000000" w:fill="FFFFFF"/>
            <w:vAlign w:val="center"/>
            <w:hideMark/>
          </w:tcPr>
          <w:p w14:paraId="3E86B75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vAlign w:val="center"/>
            <w:hideMark/>
          </w:tcPr>
          <w:p w14:paraId="5134DA4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91,8</w:t>
            </w:r>
          </w:p>
        </w:tc>
        <w:tc>
          <w:tcPr>
            <w:tcW w:w="709" w:type="dxa"/>
            <w:shd w:val="clear" w:color="000000" w:fill="FFFFFF"/>
            <w:vAlign w:val="center"/>
            <w:hideMark/>
          </w:tcPr>
          <w:p w14:paraId="73A7974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89,7</w:t>
            </w:r>
          </w:p>
        </w:tc>
        <w:tc>
          <w:tcPr>
            <w:tcW w:w="1011" w:type="dxa"/>
            <w:shd w:val="clear" w:color="000000" w:fill="FFFFFF"/>
            <w:vAlign w:val="center"/>
            <w:hideMark/>
          </w:tcPr>
          <w:p w14:paraId="7F649BA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97,7</w:t>
            </w:r>
          </w:p>
        </w:tc>
      </w:tr>
      <w:tr w:rsidR="00FD7B0B" w:rsidRPr="00FD7B0B" w14:paraId="3A6A2FD8" w14:textId="77777777" w:rsidTr="00185F40">
        <w:trPr>
          <w:trHeight w:val="175"/>
        </w:trPr>
        <w:tc>
          <w:tcPr>
            <w:tcW w:w="5122" w:type="dxa"/>
            <w:shd w:val="clear" w:color="000000" w:fill="FFFFFF"/>
            <w:vAlign w:val="center"/>
            <w:hideMark/>
          </w:tcPr>
          <w:p w14:paraId="01E9AC8A"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2025 год (текущий год)</w:t>
            </w:r>
          </w:p>
        </w:tc>
        <w:tc>
          <w:tcPr>
            <w:tcW w:w="1860" w:type="dxa"/>
            <w:shd w:val="clear" w:color="000000" w:fill="FFFFFF"/>
            <w:vAlign w:val="center"/>
            <w:hideMark/>
          </w:tcPr>
          <w:p w14:paraId="7C8CD48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vAlign w:val="center"/>
            <w:hideMark/>
          </w:tcPr>
          <w:p w14:paraId="41C2AAF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88,6</w:t>
            </w:r>
          </w:p>
        </w:tc>
        <w:tc>
          <w:tcPr>
            <w:tcW w:w="709" w:type="dxa"/>
            <w:shd w:val="clear" w:color="000000" w:fill="FFFFFF"/>
            <w:vAlign w:val="center"/>
            <w:hideMark/>
          </w:tcPr>
          <w:p w14:paraId="6426C29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1011" w:type="dxa"/>
            <w:shd w:val="clear" w:color="000000" w:fill="FFFFFF"/>
            <w:vAlign w:val="center"/>
            <w:hideMark/>
          </w:tcPr>
          <w:p w14:paraId="3E03FF6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74FA3E4E" w14:textId="77777777" w:rsidTr="00185F40">
        <w:trPr>
          <w:trHeight w:val="107"/>
        </w:trPr>
        <w:tc>
          <w:tcPr>
            <w:tcW w:w="5122" w:type="dxa"/>
            <w:shd w:val="clear" w:color="000000" w:fill="FFFFFF"/>
            <w:vAlign w:val="center"/>
            <w:hideMark/>
          </w:tcPr>
          <w:p w14:paraId="16BA3D00"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 Доля граждан Архангельской области в возрасте от 30 до 54 лет включительно (женщины) и до 59 лет включительно (мужчины), систематически занимающихся физической культурой и спортом, в общей численности граждан данной возрастной категории, %</w:t>
            </w:r>
          </w:p>
        </w:tc>
        <w:tc>
          <w:tcPr>
            <w:tcW w:w="1860" w:type="dxa"/>
            <w:shd w:val="clear" w:color="000000" w:fill="FFFFFF"/>
            <w:vAlign w:val="center"/>
            <w:hideMark/>
          </w:tcPr>
          <w:p w14:paraId="01C2E01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Министерство спорта Архангельской области</w:t>
            </w:r>
          </w:p>
        </w:tc>
        <w:tc>
          <w:tcPr>
            <w:tcW w:w="852" w:type="dxa"/>
            <w:shd w:val="clear" w:color="000000" w:fill="FFFFFF"/>
            <w:vAlign w:val="center"/>
            <w:hideMark/>
          </w:tcPr>
          <w:p w14:paraId="2C1AFFC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709" w:type="dxa"/>
            <w:shd w:val="clear" w:color="000000" w:fill="FFFFFF"/>
            <w:vAlign w:val="center"/>
            <w:hideMark/>
          </w:tcPr>
          <w:p w14:paraId="22D3956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011" w:type="dxa"/>
            <w:shd w:val="clear" w:color="000000" w:fill="FFFFFF"/>
            <w:vAlign w:val="center"/>
            <w:hideMark/>
          </w:tcPr>
          <w:p w14:paraId="2A17FAB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0F584DCE" w14:textId="77777777" w:rsidTr="00185F40">
        <w:trPr>
          <w:trHeight w:val="75"/>
        </w:trPr>
        <w:tc>
          <w:tcPr>
            <w:tcW w:w="5122" w:type="dxa"/>
            <w:shd w:val="clear" w:color="000000" w:fill="FFFFFF"/>
            <w:vAlign w:val="center"/>
            <w:hideMark/>
          </w:tcPr>
          <w:p w14:paraId="3F3531E5" w14:textId="77777777" w:rsidR="00CD21BE" w:rsidRPr="00FD7B0B" w:rsidRDefault="00CD21BE" w:rsidP="00CD21BE">
            <w:pPr>
              <w:spacing w:after="0" w:line="240" w:lineRule="auto"/>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2023 год (предшествующий отчетному)</w:t>
            </w:r>
          </w:p>
        </w:tc>
        <w:tc>
          <w:tcPr>
            <w:tcW w:w="1860" w:type="dxa"/>
            <w:shd w:val="clear" w:color="000000" w:fill="FFFFFF"/>
            <w:vAlign w:val="center"/>
            <w:hideMark/>
          </w:tcPr>
          <w:p w14:paraId="76C7E5E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vAlign w:val="center"/>
            <w:hideMark/>
          </w:tcPr>
          <w:p w14:paraId="6DCB7BD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46,0</w:t>
            </w:r>
          </w:p>
        </w:tc>
        <w:tc>
          <w:tcPr>
            <w:tcW w:w="709" w:type="dxa"/>
            <w:shd w:val="clear" w:color="000000" w:fill="FFFFFF"/>
            <w:vAlign w:val="center"/>
            <w:hideMark/>
          </w:tcPr>
          <w:p w14:paraId="325C199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42,0</w:t>
            </w:r>
          </w:p>
        </w:tc>
        <w:tc>
          <w:tcPr>
            <w:tcW w:w="1011" w:type="dxa"/>
            <w:shd w:val="clear" w:color="000000" w:fill="FFFFFF"/>
            <w:vAlign w:val="center"/>
            <w:hideMark/>
          </w:tcPr>
          <w:p w14:paraId="124F82C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91,3</w:t>
            </w:r>
          </w:p>
        </w:tc>
      </w:tr>
      <w:tr w:rsidR="00FD7B0B" w:rsidRPr="00FD7B0B" w14:paraId="1E5D278F" w14:textId="77777777" w:rsidTr="00185F40">
        <w:trPr>
          <w:trHeight w:val="149"/>
        </w:trPr>
        <w:tc>
          <w:tcPr>
            <w:tcW w:w="5122" w:type="dxa"/>
            <w:shd w:val="clear" w:color="000000" w:fill="FFFFFF"/>
            <w:vAlign w:val="center"/>
            <w:hideMark/>
          </w:tcPr>
          <w:p w14:paraId="49AD9EF1"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2024 год (отчетный год)</w:t>
            </w:r>
          </w:p>
        </w:tc>
        <w:tc>
          <w:tcPr>
            <w:tcW w:w="1860" w:type="dxa"/>
            <w:shd w:val="clear" w:color="000000" w:fill="FFFFFF"/>
            <w:vAlign w:val="center"/>
            <w:hideMark/>
          </w:tcPr>
          <w:p w14:paraId="24B76BD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vAlign w:val="center"/>
            <w:hideMark/>
          </w:tcPr>
          <w:p w14:paraId="2BB15E0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52,5</w:t>
            </w:r>
          </w:p>
        </w:tc>
        <w:tc>
          <w:tcPr>
            <w:tcW w:w="709" w:type="dxa"/>
            <w:shd w:val="clear" w:color="000000" w:fill="FFFFFF"/>
            <w:vAlign w:val="center"/>
            <w:hideMark/>
          </w:tcPr>
          <w:p w14:paraId="4E71894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49,7</w:t>
            </w:r>
          </w:p>
        </w:tc>
        <w:tc>
          <w:tcPr>
            <w:tcW w:w="1011" w:type="dxa"/>
            <w:shd w:val="clear" w:color="000000" w:fill="FFFFFF"/>
            <w:vAlign w:val="center"/>
            <w:hideMark/>
          </w:tcPr>
          <w:p w14:paraId="74ACA5A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94,7</w:t>
            </w:r>
          </w:p>
        </w:tc>
      </w:tr>
      <w:tr w:rsidR="00FD7B0B" w:rsidRPr="00FD7B0B" w14:paraId="7D2D3F71" w14:textId="77777777" w:rsidTr="00185F40">
        <w:trPr>
          <w:trHeight w:val="95"/>
        </w:trPr>
        <w:tc>
          <w:tcPr>
            <w:tcW w:w="5122" w:type="dxa"/>
            <w:shd w:val="clear" w:color="000000" w:fill="FFFFFF"/>
            <w:vAlign w:val="center"/>
            <w:hideMark/>
          </w:tcPr>
          <w:p w14:paraId="76C34B86"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2025 год (текущий год)</w:t>
            </w:r>
          </w:p>
        </w:tc>
        <w:tc>
          <w:tcPr>
            <w:tcW w:w="1860" w:type="dxa"/>
            <w:shd w:val="clear" w:color="000000" w:fill="FFFFFF"/>
            <w:vAlign w:val="center"/>
            <w:hideMark/>
          </w:tcPr>
          <w:p w14:paraId="3D3544D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vAlign w:val="center"/>
            <w:hideMark/>
          </w:tcPr>
          <w:p w14:paraId="3F9E10E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53,2</w:t>
            </w:r>
          </w:p>
        </w:tc>
        <w:tc>
          <w:tcPr>
            <w:tcW w:w="709" w:type="dxa"/>
            <w:shd w:val="clear" w:color="000000" w:fill="FFFFFF"/>
            <w:vAlign w:val="center"/>
            <w:hideMark/>
          </w:tcPr>
          <w:p w14:paraId="2DFBDF0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1011" w:type="dxa"/>
            <w:shd w:val="clear" w:color="000000" w:fill="FFFFFF"/>
            <w:vAlign w:val="center"/>
            <w:hideMark/>
          </w:tcPr>
          <w:p w14:paraId="32A84A0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795CA67C" w14:textId="77777777" w:rsidTr="00185F40">
        <w:trPr>
          <w:trHeight w:val="324"/>
        </w:trPr>
        <w:tc>
          <w:tcPr>
            <w:tcW w:w="5122" w:type="dxa"/>
            <w:shd w:val="clear" w:color="000000" w:fill="FFFFFF"/>
            <w:vAlign w:val="center"/>
            <w:hideMark/>
          </w:tcPr>
          <w:p w14:paraId="4BE7BBC6"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3. Доля граждан Архангельской области в возрасте от 55 лет (женщины) и от 60 лет (мужчины) до 79 лет включительно, </w:t>
            </w:r>
            <w:r w:rsidRPr="00FD7B0B">
              <w:rPr>
                <w:rFonts w:ascii="Times New Roman" w:eastAsia="Times New Roman" w:hAnsi="Times New Roman"/>
                <w:sz w:val="16"/>
                <w:szCs w:val="16"/>
                <w:lang w:eastAsia="ru-RU"/>
              </w:rPr>
              <w:lastRenderedPageBreak/>
              <w:t>систематически занимающихся физической культурой и спортом, в общей численности граждан данной возрастной категории, %</w:t>
            </w:r>
          </w:p>
        </w:tc>
        <w:tc>
          <w:tcPr>
            <w:tcW w:w="1860" w:type="dxa"/>
            <w:shd w:val="clear" w:color="000000" w:fill="FFFFFF"/>
            <w:vAlign w:val="center"/>
            <w:hideMark/>
          </w:tcPr>
          <w:p w14:paraId="141B802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lastRenderedPageBreak/>
              <w:t>Министерство спорта Архангельской области</w:t>
            </w:r>
          </w:p>
        </w:tc>
        <w:tc>
          <w:tcPr>
            <w:tcW w:w="852" w:type="dxa"/>
            <w:shd w:val="clear" w:color="000000" w:fill="FFFFFF"/>
            <w:vAlign w:val="center"/>
            <w:hideMark/>
          </w:tcPr>
          <w:p w14:paraId="7E10679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709" w:type="dxa"/>
            <w:shd w:val="clear" w:color="000000" w:fill="FFFFFF"/>
            <w:vAlign w:val="center"/>
            <w:hideMark/>
          </w:tcPr>
          <w:p w14:paraId="56628BE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011" w:type="dxa"/>
            <w:shd w:val="clear" w:color="000000" w:fill="FFFFFF"/>
            <w:vAlign w:val="center"/>
            <w:hideMark/>
          </w:tcPr>
          <w:p w14:paraId="1D9F0A5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6F2EE787" w14:textId="77777777" w:rsidTr="00185F40">
        <w:trPr>
          <w:trHeight w:val="137"/>
        </w:trPr>
        <w:tc>
          <w:tcPr>
            <w:tcW w:w="5122" w:type="dxa"/>
            <w:shd w:val="clear" w:color="000000" w:fill="FFFFFF"/>
            <w:vAlign w:val="center"/>
            <w:hideMark/>
          </w:tcPr>
          <w:p w14:paraId="726BDF0D"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2023 год (предшествующий отчетному)</w:t>
            </w:r>
          </w:p>
        </w:tc>
        <w:tc>
          <w:tcPr>
            <w:tcW w:w="1860" w:type="dxa"/>
            <w:shd w:val="clear" w:color="000000" w:fill="FFFFFF"/>
            <w:vAlign w:val="center"/>
            <w:hideMark/>
          </w:tcPr>
          <w:p w14:paraId="2F58E73E"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 </w:t>
            </w:r>
          </w:p>
        </w:tc>
        <w:tc>
          <w:tcPr>
            <w:tcW w:w="852" w:type="dxa"/>
            <w:shd w:val="clear" w:color="000000" w:fill="FFFFFF"/>
            <w:vAlign w:val="center"/>
            <w:hideMark/>
          </w:tcPr>
          <w:p w14:paraId="00ABF032"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21,1</w:t>
            </w:r>
          </w:p>
        </w:tc>
        <w:tc>
          <w:tcPr>
            <w:tcW w:w="709" w:type="dxa"/>
            <w:shd w:val="clear" w:color="000000" w:fill="FFFFFF"/>
            <w:vAlign w:val="center"/>
            <w:hideMark/>
          </w:tcPr>
          <w:p w14:paraId="5F2A6A41"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18,6</w:t>
            </w:r>
          </w:p>
        </w:tc>
        <w:tc>
          <w:tcPr>
            <w:tcW w:w="1011" w:type="dxa"/>
            <w:shd w:val="clear" w:color="000000" w:fill="FFFFFF"/>
            <w:vAlign w:val="center"/>
            <w:hideMark/>
          </w:tcPr>
          <w:p w14:paraId="793B3360"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88,2</w:t>
            </w:r>
          </w:p>
        </w:tc>
      </w:tr>
      <w:tr w:rsidR="00FD7B0B" w:rsidRPr="00FD7B0B" w14:paraId="2B8E096E" w14:textId="77777777" w:rsidTr="00185F40">
        <w:trPr>
          <w:trHeight w:val="83"/>
        </w:trPr>
        <w:tc>
          <w:tcPr>
            <w:tcW w:w="5122" w:type="dxa"/>
            <w:shd w:val="clear" w:color="000000" w:fill="FFFFFF"/>
            <w:vAlign w:val="center"/>
            <w:hideMark/>
          </w:tcPr>
          <w:p w14:paraId="75751768"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2024 год (отчетный год)</w:t>
            </w:r>
          </w:p>
        </w:tc>
        <w:tc>
          <w:tcPr>
            <w:tcW w:w="1860" w:type="dxa"/>
            <w:shd w:val="clear" w:color="000000" w:fill="FFFFFF"/>
            <w:vAlign w:val="center"/>
            <w:hideMark/>
          </w:tcPr>
          <w:p w14:paraId="280FEA3E"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 </w:t>
            </w:r>
          </w:p>
        </w:tc>
        <w:tc>
          <w:tcPr>
            <w:tcW w:w="852" w:type="dxa"/>
            <w:shd w:val="clear" w:color="000000" w:fill="FFFFFF"/>
            <w:vAlign w:val="center"/>
            <w:hideMark/>
          </w:tcPr>
          <w:p w14:paraId="059A10F0"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23,5</w:t>
            </w:r>
          </w:p>
        </w:tc>
        <w:tc>
          <w:tcPr>
            <w:tcW w:w="709" w:type="dxa"/>
            <w:shd w:val="clear" w:color="000000" w:fill="FFFFFF"/>
            <w:vAlign w:val="center"/>
            <w:hideMark/>
          </w:tcPr>
          <w:p w14:paraId="02887473"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22,1</w:t>
            </w:r>
          </w:p>
        </w:tc>
        <w:tc>
          <w:tcPr>
            <w:tcW w:w="1011" w:type="dxa"/>
            <w:shd w:val="clear" w:color="000000" w:fill="FFFFFF"/>
            <w:vAlign w:val="center"/>
            <w:hideMark/>
          </w:tcPr>
          <w:p w14:paraId="47E8082A"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94,0</w:t>
            </w:r>
          </w:p>
        </w:tc>
      </w:tr>
      <w:tr w:rsidR="00FD7B0B" w:rsidRPr="00FD7B0B" w14:paraId="136E10D5" w14:textId="77777777" w:rsidTr="00185F40">
        <w:trPr>
          <w:trHeight w:val="34"/>
        </w:trPr>
        <w:tc>
          <w:tcPr>
            <w:tcW w:w="5122" w:type="dxa"/>
            <w:shd w:val="clear" w:color="000000" w:fill="FFFFFF"/>
            <w:vAlign w:val="center"/>
            <w:hideMark/>
          </w:tcPr>
          <w:p w14:paraId="030C8719"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2025 год (текущий год)</w:t>
            </w:r>
          </w:p>
        </w:tc>
        <w:tc>
          <w:tcPr>
            <w:tcW w:w="1860" w:type="dxa"/>
            <w:shd w:val="clear" w:color="000000" w:fill="FFFFFF"/>
            <w:vAlign w:val="center"/>
            <w:hideMark/>
          </w:tcPr>
          <w:p w14:paraId="12A77E29"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 </w:t>
            </w:r>
          </w:p>
        </w:tc>
        <w:tc>
          <w:tcPr>
            <w:tcW w:w="852" w:type="dxa"/>
            <w:shd w:val="clear" w:color="000000" w:fill="FFFFFF"/>
            <w:vAlign w:val="center"/>
            <w:hideMark/>
          </w:tcPr>
          <w:p w14:paraId="3E9FA797"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27,1</w:t>
            </w:r>
          </w:p>
        </w:tc>
        <w:tc>
          <w:tcPr>
            <w:tcW w:w="709" w:type="dxa"/>
            <w:shd w:val="clear" w:color="000000" w:fill="FFFFFF"/>
            <w:vAlign w:val="center"/>
            <w:hideMark/>
          </w:tcPr>
          <w:p w14:paraId="0DED1B48"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w:t>
            </w:r>
          </w:p>
        </w:tc>
        <w:tc>
          <w:tcPr>
            <w:tcW w:w="1011" w:type="dxa"/>
            <w:shd w:val="clear" w:color="000000" w:fill="FFFFFF"/>
            <w:vAlign w:val="center"/>
            <w:hideMark/>
          </w:tcPr>
          <w:p w14:paraId="5C3C6150" w14:textId="77777777" w:rsidR="00CD21BE" w:rsidRPr="00FD7B0B" w:rsidRDefault="00CD21BE" w:rsidP="00185F40">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 </w:t>
            </w:r>
          </w:p>
        </w:tc>
      </w:tr>
      <w:tr w:rsidR="00FD7B0B" w:rsidRPr="00FD7B0B" w14:paraId="55A8D19F" w14:textId="77777777" w:rsidTr="00185F40">
        <w:trPr>
          <w:trHeight w:val="245"/>
        </w:trPr>
        <w:tc>
          <w:tcPr>
            <w:tcW w:w="5122" w:type="dxa"/>
            <w:shd w:val="clear" w:color="000000" w:fill="FFFFFF"/>
            <w:vAlign w:val="center"/>
            <w:hideMark/>
          </w:tcPr>
          <w:p w14:paraId="00887BE5"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 Доля граждан трудоспособного возраста Архангельской области, систематически занимающихся физической культурой и спортом, %</w:t>
            </w:r>
          </w:p>
        </w:tc>
        <w:tc>
          <w:tcPr>
            <w:tcW w:w="1860" w:type="dxa"/>
            <w:shd w:val="clear" w:color="000000" w:fill="FFFFFF"/>
            <w:vAlign w:val="center"/>
            <w:hideMark/>
          </w:tcPr>
          <w:p w14:paraId="0F05C2B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Министерство спорта Архангельской области</w:t>
            </w:r>
          </w:p>
        </w:tc>
        <w:tc>
          <w:tcPr>
            <w:tcW w:w="852" w:type="dxa"/>
            <w:shd w:val="clear" w:color="000000" w:fill="FFFFFF"/>
            <w:noWrap/>
            <w:vAlign w:val="center"/>
            <w:hideMark/>
          </w:tcPr>
          <w:p w14:paraId="6B0C3ECC"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709" w:type="dxa"/>
            <w:shd w:val="clear" w:color="000000" w:fill="FFFFFF"/>
            <w:noWrap/>
            <w:vAlign w:val="center"/>
            <w:hideMark/>
          </w:tcPr>
          <w:p w14:paraId="4FD20CA9"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011" w:type="dxa"/>
            <w:shd w:val="clear" w:color="000000" w:fill="FFFFFF"/>
            <w:noWrap/>
            <w:vAlign w:val="center"/>
            <w:hideMark/>
          </w:tcPr>
          <w:p w14:paraId="483C8AE2"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2299CFB7" w14:textId="77777777" w:rsidTr="00185F40">
        <w:trPr>
          <w:trHeight w:val="150"/>
        </w:trPr>
        <w:tc>
          <w:tcPr>
            <w:tcW w:w="5122" w:type="dxa"/>
            <w:shd w:val="clear" w:color="000000" w:fill="FFFFFF"/>
            <w:vAlign w:val="center"/>
            <w:hideMark/>
          </w:tcPr>
          <w:p w14:paraId="487EB294" w14:textId="77777777" w:rsidR="00CD21BE" w:rsidRPr="00FD7B0B" w:rsidRDefault="00CD21BE" w:rsidP="00CD21BE">
            <w:pPr>
              <w:spacing w:after="0" w:line="240" w:lineRule="auto"/>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2023 год (предшествующий отчетному)</w:t>
            </w:r>
          </w:p>
        </w:tc>
        <w:tc>
          <w:tcPr>
            <w:tcW w:w="1860" w:type="dxa"/>
            <w:shd w:val="clear" w:color="000000" w:fill="FFFFFF"/>
            <w:noWrap/>
            <w:vAlign w:val="center"/>
            <w:hideMark/>
          </w:tcPr>
          <w:p w14:paraId="3F95AE3C"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noWrap/>
            <w:vAlign w:val="center"/>
            <w:hideMark/>
          </w:tcPr>
          <w:p w14:paraId="6C49FEC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46,7</w:t>
            </w:r>
          </w:p>
        </w:tc>
        <w:tc>
          <w:tcPr>
            <w:tcW w:w="709" w:type="dxa"/>
            <w:shd w:val="clear" w:color="000000" w:fill="FFFFFF"/>
            <w:noWrap/>
            <w:vAlign w:val="center"/>
            <w:hideMark/>
          </w:tcPr>
          <w:p w14:paraId="6DC0D17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54,6</w:t>
            </w:r>
          </w:p>
        </w:tc>
        <w:tc>
          <w:tcPr>
            <w:tcW w:w="1011" w:type="dxa"/>
            <w:shd w:val="clear" w:color="000000" w:fill="FFFFFF"/>
            <w:noWrap/>
            <w:vAlign w:val="center"/>
            <w:hideMark/>
          </w:tcPr>
          <w:p w14:paraId="1931B28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116,9</w:t>
            </w:r>
          </w:p>
        </w:tc>
      </w:tr>
      <w:tr w:rsidR="00FD7B0B" w:rsidRPr="00FD7B0B" w14:paraId="1F265BCD" w14:textId="77777777" w:rsidTr="00185F40">
        <w:trPr>
          <w:trHeight w:val="97"/>
        </w:trPr>
        <w:tc>
          <w:tcPr>
            <w:tcW w:w="5122" w:type="dxa"/>
            <w:shd w:val="clear" w:color="000000" w:fill="FFFFFF"/>
            <w:vAlign w:val="center"/>
            <w:hideMark/>
          </w:tcPr>
          <w:p w14:paraId="01C25296" w14:textId="77777777" w:rsidR="00CD21BE" w:rsidRPr="00FD7B0B" w:rsidRDefault="00CD21BE" w:rsidP="00CD21BE">
            <w:pPr>
              <w:spacing w:after="0" w:line="240" w:lineRule="auto"/>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w:t>
            </w:r>
            <w:r w:rsidRPr="00FD7B0B">
              <w:rPr>
                <w:rFonts w:ascii="Times New Roman" w:eastAsia="Times New Roman" w:hAnsi="Times New Roman"/>
                <w:i/>
                <w:iCs/>
                <w:sz w:val="16"/>
                <w:szCs w:val="16"/>
                <w:lang w:val="en-US" w:eastAsia="ru-RU"/>
              </w:rPr>
              <w:t>4</w:t>
            </w:r>
            <w:r w:rsidRPr="00FD7B0B">
              <w:rPr>
                <w:rFonts w:ascii="Times New Roman" w:eastAsia="Times New Roman" w:hAnsi="Times New Roman"/>
                <w:i/>
                <w:iCs/>
                <w:sz w:val="16"/>
                <w:szCs w:val="16"/>
                <w:lang w:eastAsia="ru-RU"/>
              </w:rPr>
              <w:t xml:space="preserve"> год (отчетный год)</w:t>
            </w:r>
          </w:p>
        </w:tc>
        <w:tc>
          <w:tcPr>
            <w:tcW w:w="1860" w:type="dxa"/>
            <w:shd w:val="clear" w:color="000000" w:fill="FFFFFF"/>
            <w:noWrap/>
            <w:vAlign w:val="center"/>
            <w:hideMark/>
          </w:tcPr>
          <w:p w14:paraId="16E6F353"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noWrap/>
            <w:vAlign w:val="center"/>
            <w:hideMark/>
          </w:tcPr>
          <w:p w14:paraId="35117EC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50,5</w:t>
            </w:r>
          </w:p>
        </w:tc>
        <w:tc>
          <w:tcPr>
            <w:tcW w:w="709" w:type="dxa"/>
            <w:shd w:val="clear" w:color="000000" w:fill="FFFFFF"/>
            <w:noWrap/>
            <w:vAlign w:val="center"/>
            <w:hideMark/>
          </w:tcPr>
          <w:p w14:paraId="7B39C85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60,5</w:t>
            </w:r>
          </w:p>
        </w:tc>
        <w:tc>
          <w:tcPr>
            <w:tcW w:w="1011" w:type="dxa"/>
            <w:shd w:val="clear" w:color="000000" w:fill="FFFFFF"/>
            <w:noWrap/>
            <w:vAlign w:val="center"/>
            <w:hideMark/>
          </w:tcPr>
          <w:p w14:paraId="72C8DF2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119,8</w:t>
            </w:r>
          </w:p>
        </w:tc>
      </w:tr>
      <w:tr w:rsidR="00FD7B0B" w:rsidRPr="00FD7B0B" w14:paraId="7E72702A" w14:textId="77777777" w:rsidTr="00185F40">
        <w:trPr>
          <w:trHeight w:val="185"/>
        </w:trPr>
        <w:tc>
          <w:tcPr>
            <w:tcW w:w="5122" w:type="dxa"/>
            <w:shd w:val="clear" w:color="000000" w:fill="FFFFFF"/>
            <w:vAlign w:val="center"/>
            <w:hideMark/>
          </w:tcPr>
          <w:p w14:paraId="1D9C7F99"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2025 год (текущий год)</w:t>
            </w:r>
          </w:p>
        </w:tc>
        <w:tc>
          <w:tcPr>
            <w:tcW w:w="1860" w:type="dxa"/>
            <w:shd w:val="clear" w:color="000000" w:fill="FFFFFF"/>
            <w:noWrap/>
            <w:vAlign w:val="center"/>
            <w:hideMark/>
          </w:tcPr>
          <w:p w14:paraId="17D7C5EF"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noWrap/>
            <w:vAlign w:val="center"/>
            <w:hideMark/>
          </w:tcPr>
          <w:p w14:paraId="4BD121E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54,2</w:t>
            </w:r>
          </w:p>
        </w:tc>
        <w:tc>
          <w:tcPr>
            <w:tcW w:w="709" w:type="dxa"/>
            <w:shd w:val="clear" w:color="000000" w:fill="FFFFFF"/>
            <w:noWrap/>
            <w:vAlign w:val="center"/>
            <w:hideMark/>
          </w:tcPr>
          <w:p w14:paraId="310DE6E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1011" w:type="dxa"/>
            <w:shd w:val="clear" w:color="000000" w:fill="FFFFFF"/>
            <w:noWrap/>
            <w:vAlign w:val="center"/>
            <w:hideMark/>
          </w:tcPr>
          <w:p w14:paraId="7D609CF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6FC97A82" w14:textId="77777777" w:rsidTr="00185F40">
        <w:trPr>
          <w:trHeight w:val="415"/>
        </w:trPr>
        <w:tc>
          <w:tcPr>
            <w:tcW w:w="5122" w:type="dxa"/>
            <w:shd w:val="clear" w:color="000000" w:fill="FFFFFF"/>
            <w:vAlign w:val="center"/>
            <w:hideMark/>
          </w:tcPr>
          <w:p w14:paraId="0746038E"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 Доля лиц с ограниченными возможностями здоровья и инвалидов, систематически занимающихся физической культурой и спортом, в общей численности указанной категории населения Архангельской области, не имеющего противопоказаний для занятий физической культурой и спортом, %</w:t>
            </w:r>
          </w:p>
        </w:tc>
        <w:tc>
          <w:tcPr>
            <w:tcW w:w="1860" w:type="dxa"/>
            <w:shd w:val="clear" w:color="000000" w:fill="FFFFFF"/>
            <w:vAlign w:val="center"/>
            <w:hideMark/>
          </w:tcPr>
          <w:p w14:paraId="240321A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Министерство спорта Архангельской области</w:t>
            </w:r>
          </w:p>
        </w:tc>
        <w:tc>
          <w:tcPr>
            <w:tcW w:w="852" w:type="dxa"/>
            <w:shd w:val="clear" w:color="000000" w:fill="FFFFFF"/>
            <w:noWrap/>
            <w:vAlign w:val="center"/>
            <w:hideMark/>
          </w:tcPr>
          <w:p w14:paraId="272EA696"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709" w:type="dxa"/>
            <w:shd w:val="clear" w:color="000000" w:fill="FFFFFF"/>
            <w:noWrap/>
            <w:vAlign w:val="center"/>
            <w:hideMark/>
          </w:tcPr>
          <w:p w14:paraId="43B994B2"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011" w:type="dxa"/>
            <w:shd w:val="clear" w:color="000000" w:fill="FFFFFF"/>
            <w:noWrap/>
            <w:vAlign w:val="center"/>
            <w:hideMark/>
          </w:tcPr>
          <w:p w14:paraId="418A4017"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1C84E36B" w14:textId="77777777" w:rsidTr="008F2374">
        <w:trPr>
          <w:trHeight w:val="34"/>
        </w:trPr>
        <w:tc>
          <w:tcPr>
            <w:tcW w:w="5122" w:type="dxa"/>
            <w:shd w:val="clear" w:color="000000" w:fill="FFFFFF"/>
            <w:vAlign w:val="center"/>
            <w:hideMark/>
          </w:tcPr>
          <w:p w14:paraId="1F6DCA5C" w14:textId="77777777" w:rsidR="00CD21BE" w:rsidRPr="00FD7B0B" w:rsidRDefault="00CD21BE" w:rsidP="00CD21BE">
            <w:pPr>
              <w:spacing w:after="0" w:line="240" w:lineRule="auto"/>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2023 год (предшествующий отчетному)</w:t>
            </w:r>
          </w:p>
        </w:tc>
        <w:tc>
          <w:tcPr>
            <w:tcW w:w="1860" w:type="dxa"/>
            <w:shd w:val="clear" w:color="000000" w:fill="FFFFFF"/>
            <w:noWrap/>
            <w:vAlign w:val="center"/>
            <w:hideMark/>
          </w:tcPr>
          <w:p w14:paraId="51F8EC16"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noWrap/>
            <w:vAlign w:val="center"/>
            <w:hideMark/>
          </w:tcPr>
          <w:p w14:paraId="5585D87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20,1</w:t>
            </w:r>
          </w:p>
        </w:tc>
        <w:tc>
          <w:tcPr>
            <w:tcW w:w="709" w:type="dxa"/>
            <w:shd w:val="clear" w:color="000000" w:fill="FFFFFF"/>
            <w:noWrap/>
            <w:vAlign w:val="center"/>
            <w:hideMark/>
          </w:tcPr>
          <w:p w14:paraId="0ACE2A3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20,2</w:t>
            </w:r>
          </w:p>
        </w:tc>
        <w:tc>
          <w:tcPr>
            <w:tcW w:w="1011" w:type="dxa"/>
            <w:shd w:val="clear" w:color="000000" w:fill="FFFFFF"/>
            <w:noWrap/>
            <w:vAlign w:val="center"/>
            <w:hideMark/>
          </w:tcPr>
          <w:p w14:paraId="223669C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100,5</w:t>
            </w:r>
          </w:p>
        </w:tc>
      </w:tr>
      <w:tr w:rsidR="00FD7B0B" w:rsidRPr="00FD7B0B" w14:paraId="6D283A40" w14:textId="77777777" w:rsidTr="008F2374">
        <w:trPr>
          <w:trHeight w:val="34"/>
        </w:trPr>
        <w:tc>
          <w:tcPr>
            <w:tcW w:w="5122" w:type="dxa"/>
            <w:shd w:val="clear" w:color="000000" w:fill="FFFFFF"/>
            <w:vAlign w:val="center"/>
            <w:hideMark/>
          </w:tcPr>
          <w:p w14:paraId="31153778"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2024 год (отчетный год)</w:t>
            </w:r>
          </w:p>
        </w:tc>
        <w:tc>
          <w:tcPr>
            <w:tcW w:w="1860" w:type="dxa"/>
            <w:shd w:val="clear" w:color="000000" w:fill="FFFFFF"/>
            <w:noWrap/>
            <w:vAlign w:val="center"/>
            <w:hideMark/>
          </w:tcPr>
          <w:p w14:paraId="15FDC7E5"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noWrap/>
            <w:vAlign w:val="center"/>
            <w:hideMark/>
          </w:tcPr>
          <w:p w14:paraId="43EA52B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21,6</w:t>
            </w:r>
          </w:p>
        </w:tc>
        <w:tc>
          <w:tcPr>
            <w:tcW w:w="709" w:type="dxa"/>
            <w:shd w:val="clear" w:color="000000" w:fill="FFFFFF"/>
            <w:noWrap/>
            <w:vAlign w:val="center"/>
            <w:hideMark/>
          </w:tcPr>
          <w:p w14:paraId="0F74FF7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19,5</w:t>
            </w:r>
          </w:p>
        </w:tc>
        <w:tc>
          <w:tcPr>
            <w:tcW w:w="1011" w:type="dxa"/>
            <w:shd w:val="clear" w:color="000000" w:fill="FFFFFF"/>
            <w:noWrap/>
            <w:vAlign w:val="center"/>
            <w:hideMark/>
          </w:tcPr>
          <w:p w14:paraId="167A4EA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90,3</w:t>
            </w:r>
          </w:p>
        </w:tc>
      </w:tr>
      <w:tr w:rsidR="00FD7B0B" w:rsidRPr="00FD7B0B" w14:paraId="512E5698" w14:textId="77777777" w:rsidTr="008F2374">
        <w:trPr>
          <w:trHeight w:val="65"/>
        </w:trPr>
        <w:tc>
          <w:tcPr>
            <w:tcW w:w="5122" w:type="dxa"/>
            <w:shd w:val="clear" w:color="000000" w:fill="FFFFFF"/>
            <w:vAlign w:val="center"/>
            <w:hideMark/>
          </w:tcPr>
          <w:p w14:paraId="3B4FA46F"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2025 год (текущий год)</w:t>
            </w:r>
          </w:p>
        </w:tc>
        <w:tc>
          <w:tcPr>
            <w:tcW w:w="1860" w:type="dxa"/>
            <w:shd w:val="clear" w:color="000000" w:fill="FFFFFF"/>
            <w:noWrap/>
            <w:vAlign w:val="center"/>
            <w:hideMark/>
          </w:tcPr>
          <w:p w14:paraId="79640179"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noWrap/>
            <w:vAlign w:val="center"/>
            <w:hideMark/>
          </w:tcPr>
          <w:p w14:paraId="0C99864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23,6</w:t>
            </w:r>
          </w:p>
        </w:tc>
        <w:tc>
          <w:tcPr>
            <w:tcW w:w="709" w:type="dxa"/>
            <w:shd w:val="clear" w:color="000000" w:fill="FFFFFF"/>
            <w:noWrap/>
            <w:vAlign w:val="center"/>
            <w:hideMark/>
          </w:tcPr>
          <w:p w14:paraId="78C12D6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1011" w:type="dxa"/>
            <w:shd w:val="clear" w:color="000000" w:fill="FFFFFF"/>
            <w:noWrap/>
            <w:vAlign w:val="center"/>
            <w:hideMark/>
          </w:tcPr>
          <w:p w14:paraId="25F8B46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67D540F7" w14:textId="77777777" w:rsidTr="008F2374">
        <w:trPr>
          <w:trHeight w:val="153"/>
        </w:trPr>
        <w:tc>
          <w:tcPr>
            <w:tcW w:w="5122" w:type="dxa"/>
            <w:shd w:val="clear" w:color="000000" w:fill="FFFFFF"/>
            <w:vAlign w:val="center"/>
            <w:hideMark/>
          </w:tcPr>
          <w:p w14:paraId="79BCEA5E"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 Доля сельского населения Архангельской области, систематически занимающегося физической культурой и спортом, %</w:t>
            </w:r>
          </w:p>
        </w:tc>
        <w:tc>
          <w:tcPr>
            <w:tcW w:w="1860" w:type="dxa"/>
            <w:shd w:val="clear" w:color="000000" w:fill="FFFFFF"/>
            <w:vAlign w:val="center"/>
            <w:hideMark/>
          </w:tcPr>
          <w:p w14:paraId="5F78209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Министерство спорта Архангельской области</w:t>
            </w:r>
          </w:p>
        </w:tc>
        <w:tc>
          <w:tcPr>
            <w:tcW w:w="852" w:type="dxa"/>
            <w:shd w:val="clear" w:color="000000" w:fill="FFFFFF"/>
            <w:noWrap/>
            <w:vAlign w:val="center"/>
            <w:hideMark/>
          </w:tcPr>
          <w:p w14:paraId="1E873838"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709" w:type="dxa"/>
            <w:shd w:val="clear" w:color="000000" w:fill="FFFFFF"/>
            <w:noWrap/>
            <w:vAlign w:val="center"/>
            <w:hideMark/>
          </w:tcPr>
          <w:p w14:paraId="44847D62"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011" w:type="dxa"/>
            <w:shd w:val="clear" w:color="000000" w:fill="FFFFFF"/>
            <w:noWrap/>
            <w:vAlign w:val="center"/>
            <w:hideMark/>
          </w:tcPr>
          <w:p w14:paraId="29CAE58E"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4B5EC0FA" w14:textId="77777777" w:rsidTr="008F2374">
        <w:trPr>
          <w:trHeight w:val="34"/>
        </w:trPr>
        <w:tc>
          <w:tcPr>
            <w:tcW w:w="5122" w:type="dxa"/>
            <w:shd w:val="clear" w:color="000000" w:fill="FFFFFF"/>
            <w:vAlign w:val="center"/>
            <w:hideMark/>
          </w:tcPr>
          <w:p w14:paraId="7B2A2F66" w14:textId="77777777" w:rsidR="00CD21BE" w:rsidRPr="00FD7B0B" w:rsidRDefault="00CD21BE" w:rsidP="00CD21BE">
            <w:pPr>
              <w:spacing w:after="0" w:line="240" w:lineRule="auto"/>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2023 год (предшествующий отчетному)</w:t>
            </w:r>
          </w:p>
        </w:tc>
        <w:tc>
          <w:tcPr>
            <w:tcW w:w="1860" w:type="dxa"/>
            <w:shd w:val="clear" w:color="000000" w:fill="FFFFFF"/>
            <w:noWrap/>
            <w:vAlign w:val="center"/>
            <w:hideMark/>
          </w:tcPr>
          <w:p w14:paraId="1C695CEF"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noWrap/>
            <w:vAlign w:val="center"/>
            <w:hideMark/>
          </w:tcPr>
          <w:p w14:paraId="111F007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41,6</w:t>
            </w:r>
          </w:p>
        </w:tc>
        <w:tc>
          <w:tcPr>
            <w:tcW w:w="709" w:type="dxa"/>
            <w:shd w:val="clear" w:color="000000" w:fill="FFFFFF"/>
            <w:noWrap/>
            <w:vAlign w:val="center"/>
            <w:hideMark/>
          </w:tcPr>
          <w:p w14:paraId="6D626FB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37,2</w:t>
            </w:r>
          </w:p>
        </w:tc>
        <w:tc>
          <w:tcPr>
            <w:tcW w:w="1011" w:type="dxa"/>
            <w:shd w:val="clear" w:color="000000" w:fill="FFFFFF"/>
            <w:noWrap/>
            <w:vAlign w:val="center"/>
            <w:hideMark/>
          </w:tcPr>
          <w:p w14:paraId="74646AB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89,4</w:t>
            </w:r>
          </w:p>
        </w:tc>
      </w:tr>
      <w:tr w:rsidR="00FD7B0B" w:rsidRPr="00FD7B0B" w14:paraId="1FEBABC4" w14:textId="77777777" w:rsidTr="008F2374">
        <w:trPr>
          <w:trHeight w:val="62"/>
        </w:trPr>
        <w:tc>
          <w:tcPr>
            <w:tcW w:w="5122" w:type="dxa"/>
            <w:shd w:val="clear" w:color="000000" w:fill="FFFFFF"/>
            <w:vAlign w:val="center"/>
            <w:hideMark/>
          </w:tcPr>
          <w:p w14:paraId="0D1E1037"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2024 год (отчетный год)</w:t>
            </w:r>
          </w:p>
        </w:tc>
        <w:tc>
          <w:tcPr>
            <w:tcW w:w="1860" w:type="dxa"/>
            <w:shd w:val="clear" w:color="000000" w:fill="FFFFFF"/>
            <w:noWrap/>
            <w:vAlign w:val="center"/>
            <w:hideMark/>
          </w:tcPr>
          <w:p w14:paraId="5560B5D7"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noWrap/>
            <w:vAlign w:val="center"/>
            <w:hideMark/>
          </w:tcPr>
          <w:p w14:paraId="7A2CEB3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46,0</w:t>
            </w:r>
          </w:p>
        </w:tc>
        <w:tc>
          <w:tcPr>
            <w:tcW w:w="709" w:type="dxa"/>
            <w:shd w:val="clear" w:color="000000" w:fill="FFFFFF"/>
            <w:noWrap/>
            <w:vAlign w:val="center"/>
            <w:hideMark/>
          </w:tcPr>
          <w:p w14:paraId="2848B5B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45,9</w:t>
            </w:r>
          </w:p>
        </w:tc>
        <w:tc>
          <w:tcPr>
            <w:tcW w:w="1011" w:type="dxa"/>
            <w:shd w:val="clear" w:color="000000" w:fill="FFFFFF"/>
            <w:noWrap/>
            <w:vAlign w:val="center"/>
            <w:hideMark/>
          </w:tcPr>
          <w:p w14:paraId="086EDB9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99,8</w:t>
            </w:r>
          </w:p>
        </w:tc>
      </w:tr>
      <w:tr w:rsidR="00FD7B0B" w:rsidRPr="00FD7B0B" w14:paraId="137528B9" w14:textId="77777777" w:rsidTr="008F2374">
        <w:trPr>
          <w:trHeight w:val="34"/>
        </w:trPr>
        <w:tc>
          <w:tcPr>
            <w:tcW w:w="5122" w:type="dxa"/>
            <w:shd w:val="clear" w:color="000000" w:fill="FFFFFF"/>
            <w:vAlign w:val="center"/>
            <w:hideMark/>
          </w:tcPr>
          <w:p w14:paraId="2F294B9B" w14:textId="77777777" w:rsidR="00CD21BE" w:rsidRPr="00FD7B0B" w:rsidRDefault="00CD21BE" w:rsidP="00CD21B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2025 год (текущий год)</w:t>
            </w:r>
          </w:p>
        </w:tc>
        <w:tc>
          <w:tcPr>
            <w:tcW w:w="1860" w:type="dxa"/>
            <w:shd w:val="clear" w:color="000000" w:fill="FFFFFF"/>
            <w:noWrap/>
            <w:vAlign w:val="center"/>
            <w:hideMark/>
          </w:tcPr>
          <w:p w14:paraId="5E464522"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852" w:type="dxa"/>
            <w:shd w:val="clear" w:color="000000" w:fill="FFFFFF"/>
            <w:noWrap/>
            <w:vAlign w:val="center"/>
            <w:hideMark/>
          </w:tcPr>
          <w:p w14:paraId="48D722A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48,3</w:t>
            </w:r>
          </w:p>
        </w:tc>
        <w:tc>
          <w:tcPr>
            <w:tcW w:w="709" w:type="dxa"/>
            <w:shd w:val="clear" w:color="000000" w:fill="FFFFFF"/>
            <w:noWrap/>
            <w:vAlign w:val="center"/>
            <w:hideMark/>
          </w:tcPr>
          <w:p w14:paraId="00598A2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1011" w:type="dxa"/>
            <w:shd w:val="clear" w:color="000000" w:fill="FFFFFF"/>
            <w:noWrap/>
            <w:vAlign w:val="center"/>
            <w:hideMark/>
          </w:tcPr>
          <w:p w14:paraId="0615F56E" w14:textId="77777777" w:rsidR="00CD21BE" w:rsidRPr="00FD7B0B" w:rsidRDefault="00CD21BE" w:rsidP="00CD21B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bl>
    <w:p w14:paraId="4148D386" w14:textId="77777777" w:rsidR="008F2374" w:rsidRPr="00FD7B0B" w:rsidRDefault="008F2374" w:rsidP="00CD21BE">
      <w:pPr>
        <w:spacing w:after="0" w:line="240" w:lineRule="auto"/>
        <w:ind w:firstLine="709"/>
        <w:contextualSpacing/>
        <w:jc w:val="both"/>
        <w:rPr>
          <w:rFonts w:ascii="Times New Roman" w:eastAsia="Times New Roman" w:hAnsi="Times New Roman"/>
          <w:sz w:val="28"/>
          <w:szCs w:val="28"/>
          <w:lang w:eastAsia="ru-RU"/>
        </w:rPr>
      </w:pPr>
    </w:p>
    <w:p w14:paraId="10A8060E"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итогам 2024 года не выполняются плановые значения ряда целевых показателей:</w:t>
      </w:r>
    </w:p>
    <w:p w14:paraId="18FD0744"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Доля граждан Архангельской области в возрасте от 30 до 54 лет включительно (женщины) и до 59 лет включительно (мужчины), систематически занимающихся физической культурой и спортом, в общей численности граждан данной возрастной категории, %;</w:t>
      </w:r>
    </w:p>
    <w:p w14:paraId="3E0C7210"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Доля граждан Архангельской области в возрасте от 55 лет (женщины) и от 60 лет (мужчины) до 79 лет включительно, систематически занимающихся физической культурой и спортом, в общей численности граждан данной возрастной категории, %;</w:t>
      </w:r>
    </w:p>
    <w:p w14:paraId="7E80B466"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Доля лиц с ограниченными возможностями здоровья и инвалидов, систематически занимающихся физической культурой и спортом, в общей численности указанной категории населения Архангельской области, не имеющего противопоказаний для занятий физической культурой и спортом, %.</w:t>
      </w:r>
    </w:p>
    <w:p w14:paraId="2A95BAD2" w14:textId="379404B9"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Невыполнение целевых показателей в полной мере обусловлено недостаточностью отработки муниципальными образованиями в организациях предоставляющих статистическую информацию. Кроме того, при организации работы учреждений спортивной направленности, проводимой с инвалидами и лицами с ОВЗ, существуют проблемы кадрового потенциала учреждений, материально-технического оснащения спортивных сооружений по обеспечению условий их доступности для инвалидов и маломобильных групп населения, а также недостаточность финансирования мероприятий на создание физкультурно-оздоровительных и спортивных клубов для инвалидов по месту жительства.</w:t>
      </w:r>
    </w:p>
    <w:p w14:paraId="4D2CD73D"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Также, в порядке расчета данного показателя в государственной программе, используется формула, в знаменателе которой из численности населения Архангельской области с ограниченными возможностями здоровья и инвалидов (человек) вычитается только численность инвалидов Архангельской </w:t>
      </w:r>
      <w:r w:rsidRPr="00FD7B0B">
        <w:rPr>
          <w:rFonts w:ascii="Times New Roman" w:eastAsia="Times New Roman" w:hAnsi="Times New Roman"/>
          <w:sz w:val="28"/>
          <w:szCs w:val="28"/>
          <w:lang w:eastAsia="ru-RU"/>
        </w:rPr>
        <w:lastRenderedPageBreak/>
        <w:t>области, которые имеют противопоказания для занятий физической культурой и спортом (человек), а численность лиц с ОВЗ не вычитается, что заведомо увеличивает знаменатель и уменьшает долю лиц с ограниченными возможностями здоровья и инвалидов, систематически занимающихся физической культурой и спортом.</w:t>
      </w:r>
    </w:p>
    <w:p w14:paraId="4C4A2DE7"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то же время за 2024 год перевыполнен целевой показатель:</w:t>
      </w:r>
    </w:p>
    <w:p w14:paraId="54CFE297"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Доля граждан трудоспособного возраста Архангельской области, систематически занимающихся физической культурой и спортом, %.</w:t>
      </w:r>
    </w:p>
    <w:p w14:paraId="4634955E" w14:textId="13AF694D"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Контрольно-счетная палата полагает необходимым отметить, что значительное перевыполнение/невыполнение целевых показателей свидетельствует, в том числе о недостатках планирования (не учтены факторы, влияющие на результат</w:t>
      </w:r>
      <w:r w:rsidR="000A4C6C"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не учитывается динамика за ряд лет.</w:t>
      </w:r>
    </w:p>
    <w:p w14:paraId="6A53212B" w14:textId="77777777" w:rsidR="00CD21BE" w:rsidRPr="00FD7B0B" w:rsidRDefault="00CD21BE" w:rsidP="009C797E">
      <w:pPr>
        <w:pStyle w:val="aff0"/>
        <w:spacing w:after="0" w:line="240" w:lineRule="auto"/>
        <w:rPr>
          <w:rFonts w:ascii="Times New Roman" w:hAnsi="Times New Roman"/>
          <w:b w:val="0"/>
          <w:sz w:val="24"/>
          <w:szCs w:val="24"/>
        </w:rPr>
      </w:pPr>
    </w:p>
    <w:p w14:paraId="122C6FA7" w14:textId="46832989" w:rsidR="00CD21BE" w:rsidRPr="00FD7B0B" w:rsidRDefault="00CD21BE" w:rsidP="00CD21B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228</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 выполнении целевых показателей ГП № 28, а также о расход</w:t>
      </w:r>
      <w:r w:rsidR="009C797E" w:rsidRPr="00FD7B0B">
        <w:rPr>
          <w:rFonts w:ascii="Times New Roman" w:hAnsi="Times New Roman"/>
          <w:b w:val="0"/>
          <w:sz w:val="24"/>
          <w:szCs w:val="24"/>
        </w:rPr>
        <w:t>ах на их выполнение за 2024 год</w:t>
      </w:r>
    </w:p>
    <w:tbl>
      <w:tblPr>
        <w:tblW w:w="9260" w:type="dxa"/>
        <w:tblInd w:w="108" w:type="dxa"/>
        <w:tblLook w:val="04A0" w:firstRow="1" w:lastRow="0" w:firstColumn="1" w:lastColumn="0" w:noHBand="0" w:noVBand="1"/>
      </w:tblPr>
      <w:tblGrid>
        <w:gridCol w:w="1701"/>
        <w:gridCol w:w="709"/>
        <w:gridCol w:w="1134"/>
        <w:gridCol w:w="1134"/>
        <w:gridCol w:w="851"/>
        <w:gridCol w:w="1600"/>
        <w:gridCol w:w="951"/>
        <w:gridCol w:w="1180"/>
      </w:tblGrid>
      <w:tr w:rsidR="00FD7B0B" w:rsidRPr="00FD7B0B" w14:paraId="54B3422F" w14:textId="77777777" w:rsidTr="009C797E">
        <w:trPr>
          <w:trHeight w:val="237"/>
        </w:trPr>
        <w:tc>
          <w:tcPr>
            <w:tcW w:w="170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DC404E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Подпрограмма</w:t>
            </w:r>
          </w:p>
        </w:tc>
        <w:tc>
          <w:tcPr>
            <w:tcW w:w="2977" w:type="dxa"/>
            <w:gridSpan w:val="3"/>
            <w:tcBorders>
              <w:top w:val="double" w:sz="6" w:space="0" w:color="auto"/>
              <w:left w:val="nil"/>
              <w:bottom w:val="single" w:sz="4" w:space="0" w:color="auto"/>
              <w:right w:val="single" w:sz="4" w:space="0" w:color="auto"/>
            </w:tcBorders>
            <w:shd w:val="clear" w:color="auto" w:fill="auto"/>
            <w:vAlign w:val="center"/>
            <w:hideMark/>
          </w:tcPr>
          <w:p w14:paraId="73FCE45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Кол-во целевых показателей на 2024 год</w:t>
            </w:r>
          </w:p>
        </w:tc>
        <w:tc>
          <w:tcPr>
            <w:tcW w:w="2451" w:type="dxa"/>
            <w:gridSpan w:val="2"/>
            <w:tcBorders>
              <w:top w:val="double" w:sz="6" w:space="0" w:color="auto"/>
              <w:left w:val="nil"/>
              <w:bottom w:val="single" w:sz="4" w:space="0" w:color="auto"/>
              <w:right w:val="single" w:sz="4" w:space="0" w:color="000000"/>
            </w:tcBorders>
            <w:shd w:val="clear" w:color="auto" w:fill="auto"/>
            <w:vAlign w:val="center"/>
            <w:hideMark/>
          </w:tcPr>
          <w:p w14:paraId="47D0AFF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Объем финансирования ГП № 28 на 31.12.2024 (в ред. от 27.12.2024) </w:t>
            </w:r>
          </w:p>
        </w:tc>
        <w:tc>
          <w:tcPr>
            <w:tcW w:w="2131" w:type="dxa"/>
            <w:gridSpan w:val="2"/>
            <w:tcBorders>
              <w:top w:val="double" w:sz="6" w:space="0" w:color="auto"/>
              <w:left w:val="nil"/>
              <w:bottom w:val="single" w:sz="4" w:space="0" w:color="auto"/>
              <w:right w:val="double" w:sz="6" w:space="0" w:color="000000"/>
            </w:tcBorders>
            <w:shd w:val="clear" w:color="auto" w:fill="auto"/>
            <w:vAlign w:val="center"/>
            <w:hideMark/>
          </w:tcPr>
          <w:p w14:paraId="2BFAEF18"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Исполнено согласно отчету о реализации госпрограммы</w:t>
            </w:r>
          </w:p>
        </w:tc>
      </w:tr>
      <w:tr w:rsidR="00FD7B0B" w:rsidRPr="00FD7B0B" w14:paraId="6681D115" w14:textId="77777777" w:rsidTr="009C797E">
        <w:trPr>
          <w:trHeight w:val="204"/>
        </w:trPr>
        <w:tc>
          <w:tcPr>
            <w:tcW w:w="1701" w:type="dxa"/>
            <w:vMerge/>
            <w:tcBorders>
              <w:top w:val="double" w:sz="6" w:space="0" w:color="auto"/>
              <w:left w:val="double" w:sz="6" w:space="0" w:color="auto"/>
              <w:bottom w:val="single" w:sz="4" w:space="0" w:color="auto"/>
              <w:right w:val="single" w:sz="4" w:space="0" w:color="auto"/>
            </w:tcBorders>
            <w:vAlign w:val="center"/>
            <w:hideMark/>
          </w:tcPr>
          <w:p w14:paraId="7BFEF670"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709" w:type="dxa"/>
            <w:tcBorders>
              <w:top w:val="nil"/>
              <w:left w:val="nil"/>
              <w:bottom w:val="single" w:sz="4" w:space="0" w:color="auto"/>
              <w:right w:val="single" w:sz="4" w:space="0" w:color="auto"/>
            </w:tcBorders>
            <w:shd w:val="clear" w:color="auto" w:fill="auto"/>
            <w:vAlign w:val="center"/>
            <w:hideMark/>
          </w:tcPr>
          <w:p w14:paraId="7F41201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План</w:t>
            </w:r>
          </w:p>
        </w:tc>
        <w:tc>
          <w:tcPr>
            <w:tcW w:w="1134" w:type="dxa"/>
            <w:tcBorders>
              <w:top w:val="nil"/>
              <w:left w:val="nil"/>
              <w:bottom w:val="single" w:sz="4" w:space="0" w:color="auto"/>
              <w:right w:val="single" w:sz="4" w:space="0" w:color="auto"/>
            </w:tcBorders>
            <w:shd w:val="clear" w:color="auto" w:fill="auto"/>
            <w:vAlign w:val="center"/>
            <w:hideMark/>
          </w:tcPr>
          <w:p w14:paraId="0078364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Фактическое выполнение</w:t>
            </w:r>
          </w:p>
        </w:tc>
        <w:tc>
          <w:tcPr>
            <w:tcW w:w="1134" w:type="dxa"/>
            <w:tcBorders>
              <w:top w:val="nil"/>
              <w:left w:val="nil"/>
              <w:bottom w:val="single" w:sz="4" w:space="0" w:color="auto"/>
              <w:right w:val="single" w:sz="4" w:space="0" w:color="auto"/>
            </w:tcBorders>
            <w:shd w:val="clear" w:color="auto" w:fill="auto"/>
            <w:vAlign w:val="center"/>
            <w:hideMark/>
          </w:tcPr>
          <w:p w14:paraId="1EC6C5E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выполнения</w:t>
            </w:r>
          </w:p>
        </w:tc>
        <w:tc>
          <w:tcPr>
            <w:tcW w:w="851" w:type="dxa"/>
            <w:tcBorders>
              <w:top w:val="nil"/>
              <w:left w:val="nil"/>
              <w:bottom w:val="single" w:sz="4" w:space="0" w:color="auto"/>
              <w:right w:val="single" w:sz="4" w:space="0" w:color="auto"/>
            </w:tcBorders>
            <w:shd w:val="clear" w:color="auto" w:fill="auto"/>
            <w:vAlign w:val="center"/>
            <w:hideMark/>
          </w:tcPr>
          <w:p w14:paraId="4AA37B7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млн.руб.</w:t>
            </w:r>
          </w:p>
        </w:tc>
        <w:tc>
          <w:tcPr>
            <w:tcW w:w="1600" w:type="dxa"/>
            <w:tcBorders>
              <w:top w:val="nil"/>
              <w:left w:val="nil"/>
              <w:bottom w:val="single" w:sz="4" w:space="0" w:color="auto"/>
              <w:right w:val="single" w:sz="4" w:space="0" w:color="auto"/>
            </w:tcBorders>
            <w:shd w:val="clear" w:color="auto" w:fill="auto"/>
            <w:vAlign w:val="center"/>
            <w:hideMark/>
          </w:tcPr>
          <w:p w14:paraId="7CC4B1A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изменение к показателю на 01.01.2024, %</w:t>
            </w:r>
          </w:p>
        </w:tc>
        <w:tc>
          <w:tcPr>
            <w:tcW w:w="951" w:type="dxa"/>
            <w:tcBorders>
              <w:top w:val="nil"/>
              <w:left w:val="nil"/>
              <w:bottom w:val="single" w:sz="4" w:space="0" w:color="auto"/>
              <w:right w:val="single" w:sz="4" w:space="0" w:color="auto"/>
            </w:tcBorders>
            <w:shd w:val="clear" w:color="auto" w:fill="auto"/>
            <w:vAlign w:val="center"/>
            <w:hideMark/>
          </w:tcPr>
          <w:p w14:paraId="20E029F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млн.руб.</w:t>
            </w:r>
          </w:p>
        </w:tc>
        <w:tc>
          <w:tcPr>
            <w:tcW w:w="1180" w:type="dxa"/>
            <w:tcBorders>
              <w:top w:val="nil"/>
              <w:left w:val="nil"/>
              <w:bottom w:val="single" w:sz="4" w:space="0" w:color="auto"/>
              <w:right w:val="double" w:sz="6" w:space="0" w:color="auto"/>
            </w:tcBorders>
            <w:shd w:val="clear" w:color="auto" w:fill="auto"/>
            <w:vAlign w:val="center"/>
            <w:hideMark/>
          </w:tcPr>
          <w:p w14:paraId="52B78BF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выполнения</w:t>
            </w:r>
          </w:p>
        </w:tc>
      </w:tr>
      <w:tr w:rsidR="00FD7B0B" w:rsidRPr="00FD7B0B" w14:paraId="44203F3A" w14:textId="77777777" w:rsidTr="009C797E">
        <w:trPr>
          <w:trHeight w:val="76"/>
        </w:trPr>
        <w:tc>
          <w:tcPr>
            <w:tcW w:w="1701" w:type="dxa"/>
            <w:tcBorders>
              <w:top w:val="nil"/>
              <w:left w:val="double" w:sz="6" w:space="0" w:color="auto"/>
              <w:bottom w:val="single" w:sz="4" w:space="0" w:color="auto"/>
              <w:right w:val="single" w:sz="4" w:space="0" w:color="auto"/>
            </w:tcBorders>
            <w:shd w:val="clear" w:color="auto" w:fill="auto"/>
            <w:vAlign w:val="center"/>
            <w:hideMark/>
          </w:tcPr>
          <w:p w14:paraId="1D3EF59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w:t>
            </w:r>
          </w:p>
        </w:tc>
        <w:tc>
          <w:tcPr>
            <w:tcW w:w="709" w:type="dxa"/>
            <w:tcBorders>
              <w:top w:val="nil"/>
              <w:left w:val="nil"/>
              <w:bottom w:val="single" w:sz="4" w:space="0" w:color="auto"/>
              <w:right w:val="single" w:sz="4" w:space="0" w:color="auto"/>
            </w:tcBorders>
            <w:shd w:val="clear" w:color="auto" w:fill="auto"/>
            <w:vAlign w:val="center"/>
            <w:hideMark/>
          </w:tcPr>
          <w:p w14:paraId="1361397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14:paraId="13E745C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14:paraId="2A6BD2A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3=2/1*100</w:t>
            </w:r>
          </w:p>
        </w:tc>
        <w:tc>
          <w:tcPr>
            <w:tcW w:w="851" w:type="dxa"/>
            <w:tcBorders>
              <w:top w:val="nil"/>
              <w:left w:val="nil"/>
              <w:bottom w:val="single" w:sz="4" w:space="0" w:color="auto"/>
              <w:right w:val="single" w:sz="4" w:space="0" w:color="auto"/>
            </w:tcBorders>
            <w:shd w:val="clear" w:color="auto" w:fill="auto"/>
            <w:vAlign w:val="center"/>
            <w:hideMark/>
          </w:tcPr>
          <w:p w14:paraId="057E47B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w:t>
            </w:r>
          </w:p>
        </w:tc>
        <w:tc>
          <w:tcPr>
            <w:tcW w:w="1600" w:type="dxa"/>
            <w:tcBorders>
              <w:top w:val="nil"/>
              <w:left w:val="nil"/>
              <w:bottom w:val="single" w:sz="4" w:space="0" w:color="auto"/>
              <w:right w:val="single" w:sz="4" w:space="0" w:color="auto"/>
            </w:tcBorders>
            <w:shd w:val="clear" w:color="auto" w:fill="auto"/>
            <w:vAlign w:val="center"/>
            <w:hideMark/>
          </w:tcPr>
          <w:p w14:paraId="5890E2A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w:t>
            </w:r>
          </w:p>
        </w:tc>
        <w:tc>
          <w:tcPr>
            <w:tcW w:w="951" w:type="dxa"/>
            <w:tcBorders>
              <w:top w:val="nil"/>
              <w:left w:val="nil"/>
              <w:bottom w:val="single" w:sz="4" w:space="0" w:color="auto"/>
              <w:right w:val="single" w:sz="4" w:space="0" w:color="auto"/>
            </w:tcBorders>
            <w:shd w:val="clear" w:color="auto" w:fill="auto"/>
            <w:vAlign w:val="center"/>
            <w:hideMark/>
          </w:tcPr>
          <w:p w14:paraId="495532C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w:t>
            </w:r>
          </w:p>
        </w:tc>
        <w:tc>
          <w:tcPr>
            <w:tcW w:w="1180" w:type="dxa"/>
            <w:tcBorders>
              <w:top w:val="nil"/>
              <w:left w:val="nil"/>
              <w:bottom w:val="single" w:sz="4" w:space="0" w:color="auto"/>
              <w:right w:val="double" w:sz="6" w:space="0" w:color="auto"/>
            </w:tcBorders>
            <w:shd w:val="clear" w:color="auto" w:fill="auto"/>
            <w:vAlign w:val="center"/>
            <w:hideMark/>
          </w:tcPr>
          <w:p w14:paraId="648B03D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w:t>
            </w:r>
          </w:p>
        </w:tc>
      </w:tr>
      <w:tr w:rsidR="00FD7B0B" w:rsidRPr="00FD7B0B" w14:paraId="7A51B179" w14:textId="77777777" w:rsidTr="009C797E">
        <w:trPr>
          <w:trHeight w:val="39"/>
        </w:trPr>
        <w:tc>
          <w:tcPr>
            <w:tcW w:w="1701" w:type="dxa"/>
            <w:tcBorders>
              <w:top w:val="nil"/>
              <w:left w:val="double" w:sz="6" w:space="0" w:color="auto"/>
              <w:bottom w:val="single" w:sz="4" w:space="0" w:color="auto"/>
              <w:right w:val="single" w:sz="4" w:space="0" w:color="auto"/>
            </w:tcBorders>
            <w:shd w:val="clear" w:color="auto" w:fill="auto"/>
            <w:vAlign w:val="center"/>
            <w:hideMark/>
          </w:tcPr>
          <w:p w14:paraId="24267D46" w14:textId="77777777" w:rsidR="00CD21BE" w:rsidRPr="00FD7B0B" w:rsidRDefault="00CD21BE" w:rsidP="00CD21BE">
            <w:pPr>
              <w:spacing w:after="0" w:line="240" w:lineRule="auto"/>
              <w:jc w:val="both"/>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Госпрограмма № 28</w:t>
            </w:r>
          </w:p>
        </w:tc>
        <w:tc>
          <w:tcPr>
            <w:tcW w:w="709" w:type="dxa"/>
            <w:tcBorders>
              <w:top w:val="nil"/>
              <w:left w:val="nil"/>
              <w:bottom w:val="single" w:sz="4" w:space="0" w:color="auto"/>
              <w:right w:val="single" w:sz="4" w:space="0" w:color="auto"/>
            </w:tcBorders>
            <w:shd w:val="clear" w:color="auto" w:fill="auto"/>
            <w:vAlign w:val="center"/>
            <w:hideMark/>
          </w:tcPr>
          <w:p w14:paraId="73A09ACD"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w:t>
            </w:r>
          </w:p>
        </w:tc>
        <w:tc>
          <w:tcPr>
            <w:tcW w:w="1134" w:type="dxa"/>
            <w:tcBorders>
              <w:top w:val="nil"/>
              <w:left w:val="nil"/>
              <w:bottom w:val="single" w:sz="4" w:space="0" w:color="auto"/>
              <w:right w:val="single" w:sz="4" w:space="0" w:color="auto"/>
            </w:tcBorders>
            <w:shd w:val="clear" w:color="000000" w:fill="FFFFFF"/>
            <w:vAlign w:val="center"/>
            <w:hideMark/>
          </w:tcPr>
          <w:p w14:paraId="735FA96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w:t>
            </w:r>
          </w:p>
        </w:tc>
        <w:tc>
          <w:tcPr>
            <w:tcW w:w="1134" w:type="dxa"/>
            <w:tcBorders>
              <w:top w:val="nil"/>
              <w:left w:val="nil"/>
              <w:bottom w:val="single" w:sz="4" w:space="0" w:color="auto"/>
              <w:right w:val="single" w:sz="4" w:space="0" w:color="auto"/>
            </w:tcBorders>
            <w:shd w:val="clear" w:color="auto" w:fill="auto"/>
            <w:vAlign w:val="center"/>
            <w:hideMark/>
          </w:tcPr>
          <w:p w14:paraId="37F2A2D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c>
          <w:tcPr>
            <w:tcW w:w="851" w:type="dxa"/>
            <w:tcBorders>
              <w:top w:val="nil"/>
              <w:left w:val="nil"/>
              <w:bottom w:val="single" w:sz="4" w:space="0" w:color="auto"/>
              <w:right w:val="single" w:sz="4" w:space="0" w:color="auto"/>
            </w:tcBorders>
            <w:shd w:val="clear" w:color="auto" w:fill="auto"/>
            <w:vAlign w:val="center"/>
            <w:hideMark/>
          </w:tcPr>
          <w:p w14:paraId="725EFF6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1 288,3</w:t>
            </w:r>
          </w:p>
        </w:tc>
        <w:tc>
          <w:tcPr>
            <w:tcW w:w="1600" w:type="dxa"/>
            <w:tcBorders>
              <w:top w:val="nil"/>
              <w:left w:val="nil"/>
              <w:bottom w:val="single" w:sz="4" w:space="0" w:color="auto"/>
              <w:right w:val="single" w:sz="4" w:space="0" w:color="auto"/>
            </w:tcBorders>
            <w:shd w:val="clear" w:color="auto" w:fill="auto"/>
            <w:vAlign w:val="center"/>
            <w:hideMark/>
          </w:tcPr>
          <w:p w14:paraId="4178192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-17,0</w:t>
            </w:r>
          </w:p>
        </w:tc>
        <w:tc>
          <w:tcPr>
            <w:tcW w:w="951" w:type="dxa"/>
            <w:tcBorders>
              <w:top w:val="nil"/>
              <w:left w:val="nil"/>
              <w:bottom w:val="single" w:sz="4" w:space="0" w:color="auto"/>
              <w:right w:val="single" w:sz="4" w:space="0" w:color="auto"/>
            </w:tcBorders>
            <w:shd w:val="clear" w:color="000000" w:fill="FFFFFF"/>
            <w:vAlign w:val="center"/>
            <w:hideMark/>
          </w:tcPr>
          <w:p w14:paraId="376AFE1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1 291,4</w:t>
            </w:r>
          </w:p>
        </w:tc>
        <w:tc>
          <w:tcPr>
            <w:tcW w:w="1180" w:type="dxa"/>
            <w:tcBorders>
              <w:top w:val="nil"/>
              <w:left w:val="nil"/>
              <w:bottom w:val="single" w:sz="4" w:space="0" w:color="auto"/>
              <w:right w:val="double" w:sz="6" w:space="0" w:color="auto"/>
            </w:tcBorders>
            <w:shd w:val="clear" w:color="000000" w:fill="FFFFFF"/>
            <w:vAlign w:val="center"/>
            <w:hideMark/>
          </w:tcPr>
          <w:p w14:paraId="1EA3507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r w:rsidR="00CD21BE" w:rsidRPr="00FD7B0B" w14:paraId="24D6FFC1" w14:textId="77777777" w:rsidTr="009C797E">
        <w:trPr>
          <w:trHeight w:val="39"/>
        </w:trPr>
        <w:tc>
          <w:tcPr>
            <w:tcW w:w="1701" w:type="dxa"/>
            <w:tcBorders>
              <w:top w:val="nil"/>
              <w:left w:val="double" w:sz="6" w:space="0" w:color="auto"/>
              <w:bottom w:val="double" w:sz="6" w:space="0" w:color="auto"/>
              <w:right w:val="single" w:sz="4" w:space="0" w:color="auto"/>
            </w:tcBorders>
            <w:shd w:val="clear" w:color="auto" w:fill="auto"/>
            <w:vAlign w:val="center"/>
            <w:hideMark/>
          </w:tcPr>
          <w:p w14:paraId="2B127887" w14:textId="77777777" w:rsidR="00CD21BE" w:rsidRPr="00FD7B0B" w:rsidRDefault="00CD21BE" w:rsidP="00CD21BE">
            <w:pPr>
              <w:spacing w:after="0" w:line="240" w:lineRule="auto"/>
              <w:jc w:val="both"/>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Итого</w:t>
            </w:r>
          </w:p>
        </w:tc>
        <w:tc>
          <w:tcPr>
            <w:tcW w:w="709" w:type="dxa"/>
            <w:tcBorders>
              <w:top w:val="nil"/>
              <w:left w:val="nil"/>
              <w:bottom w:val="double" w:sz="6" w:space="0" w:color="auto"/>
              <w:right w:val="single" w:sz="4" w:space="0" w:color="auto"/>
            </w:tcBorders>
            <w:shd w:val="clear" w:color="auto" w:fill="auto"/>
            <w:vAlign w:val="center"/>
            <w:hideMark/>
          </w:tcPr>
          <w:p w14:paraId="7EA6996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w:t>
            </w:r>
          </w:p>
        </w:tc>
        <w:tc>
          <w:tcPr>
            <w:tcW w:w="1134" w:type="dxa"/>
            <w:tcBorders>
              <w:top w:val="nil"/>
              <w:left w:val="nil"/>
              <w:bottom w:val="double" w:sz="6" w:space="0" w:color="auto"/>
              <w:right w:val="single" w:sz="4" w:space="0" w:color="auto"/>
            </w:tcBorders>
            <w:shd w:val="clear" w:color="auto" w:fill="auto"/>
            <w:noWrap/>
            <w:vAlign w:val="center"/>
            <w:hideMark/>
          </w:tcPr>
          <w:p w14:paraId="5857CD6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w:t>
            </w:r>
          </w:p>
        </w:tc>
        <w:tc>
          <w:tcPr>
            <w:tcW w:w="1134" w:type="dxa"/>
            <w:tcBorders>
              <w:top w:val="nil"/>
              <w:left w:val="nil"/>
              <w:bottom w:val="double" w:sz="6" w:space="0" w:color="auto"/>
              <w:right w:val="single" w:sz="4" w:space="0" w:color="auto"/>
            </w:tcBorders>
            <w:shd w:val="clear" w:color="auto" w:fill="auto"/>
            <w:noWrap/>
            <w:vAlign w:val="center"/>
            <w:hideMark/>
          </w:tcPr>
          <w:p w14:paraId="3B6F98E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c>
          <w:tcPr>
            <w:tcW w:w="851" w:type="dxa"/>
            <w:tcBorders>
              <w:top w:val="nil"/>
              <w:left w:val="nil"/>
              <w:bottom w:val="double" w:sz="6" w:space="0" w:color="auto"/>
              <w:right w:val="single" w:sz="4" w:space="0" w:color="auto"/>
            </w:tcBorders>
            <w:shd w:val="clear" w:color="auto" w:fill="auto"/>
            <w:noWrap/>
            <w:vAlign w:val="center"/>
            <w:hideMark/>
          </w:tcPr>
          <w:p w14:paraId="4349770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1 288,3</w:t>
            </w:r>
          </w:p>
        </w:tc>
        <w:tc>
          <w:tcPr>
            <w:tcW w:w="1600" w:type="dxa"/>
            <w:tcBorders>
              <w:top w:val="nil"/>
              <w:left w:val="nil"/>
              <w:bottom w:val="double" w:sz="6" w:space="0" w:color="auto"/>
              <w:right w:val="single" w:sz="4" w:space="0" w:color="auto"/>
            </w:tcBorders>
            <w:shd w:val="clear" w:color="auto" w:fill="auto"/>
            <w:noWrap/>
            <w:vAlign w:val="center"/>
            <w:hideMark/>
          </w:tcPr>
          <w:p w14:paraId="7468790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-17,0</w:t>
            </w:r>
          </w:p>
        </w:tc>
        <w:tc>
          <w:tcPr>
            <w:tcW w:w="951" w:type="dxa"/>
            <w:tcBorders>
              <w:top w:val="nil"/>
              <w:left w:val="nil"/>
              <w:bottom w:val="double" w:sz="6" w:space="0" w:color="auto"/>
              <w:right w:val="single" w:sz="4" w:space="0" w:color="auto"/>
            </w:tcBorders>
            <w:shd w:val="clear" w:color="auto" w:fill="auto"/>
            <w:noWrap/>
            <w:vAlign w:val="center"/>
            <w:hideMark/>
          </w:tcPr>
          <w:p w14:paraId="66F8A6F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1 291,4</w:t>
            </w:r>
          </w:p>
        </w:tc>
        <w:tc>
          <w:tcPr>
            <w:tcW w:w="1180" w:type="dxa"/>
            <w:tcBorders>
              <w:top w:val="nil"/>
              <w:left w:val="nil"/>
              <w:bottom w:val="double" w:sz="6" w:space="0" w:color="auto"/>
              <w:right w:val="double" w:sz="6" w:space="0" w:color="auto"/>
            </w:tcBorders>
            <w:shd w:val="clear" w:color="auto" w:fill="auto"/>
            <w:noWrap/>
            <w:vAlign w:val="center"/>
            <w:hideMark/>
          </w:tcPr>
          <w:p w14:paraId="6C2A10E5"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bl>
    <w:p w14:paraId="671E4B94" w14:textId="77777777" w:rsidR="00CD21BE" w:rsidRPr="00FD7B0B" w:rsidRDefault="00CD21BE" w:rsidP="009C797E">
      <w:pPr>
        <w:spacing w:after="0" w:line="240" w:lineRule="auto"/>
        <w:ind w:firstLine="709"/>
        <w:contextualSpacing/>
        <w:jc w:val="both"/>
        <w:rPr>
          <w:rFonts w:ascii="Times New Roman" w:eastAsia="Times New Roman" w:hAnsi="Times New Roman"/>
          <w:sz w:val="28"/>
          <w:szCs w:val="28"/>
          <w:lang w:eastAsia="ru-RU"/>
        </w:rPr>
      </w:pPr>
    </w:p>
    <w:p w14:paraId="10465D03" w14:textId="77777777" w:rsidR="00CD21BE" w:rsidRPr="00FD7B0B" w:rsidRDefault="00CD21BE" w:rsidP="009C797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Уровень выполнения целевых показателей в целом по ГП № 28 составил 100 % при уменьшении объемов финансирования госпрограммы на 264,1 млн.руб. или на 17,0 %. При этом исполнение за счет всех источников составило 100,0 %.</w:t>
      </w:r>
    </w:p>
    <w:p w14:paraId="4088CDBD" w14:textId="77777777" w:rsidR="009C797E" w:rsidRPr="00FD7B0B" w:rsidRDefault="009C797E" w:rsidP="009C797E">
      <w:pPr>
        <w:spacing w:after="0" w:line="240" w:lineRule="auto"/>
        <w:contextualSpacing/>
        <w:jc w:val="both"/>
        <w:rPr>
          <w:rFonts w:ascii="Times New Roman" w:eastAsia="Times New Roman" w:hAnsi="Times New Roman"/>
          <w:b/>
          <w:spacing w:val="-2"/>
          <w:sz w:val="28"/>
          <w:szCs w:val="28"/>
        </w:rPr>
      </w:pPr>
    </w:p>
    <w:p w14:paraId="766AF34F" w14:textId="13E9F4BD" w:rsidR="00CD21BE" w:rsidRPr="00FD7B0B" w:rsidRDefault="00CD21BE" w:rsidP="009C797E">
      <w:pPr>
        <w:spacing w:after="0" w:line="240" w:lineRule="auto"/>
        <w:contextualSpacing/>
        <w:jc w:val="both"/>
        <w:rPr>
          <w:rFonts w:ascii="Times New Roman" w:eastAsia="Times New Roman" w:hAnsi="Times New Roman"/>
          <w:sz w:val="28"/>
          <w:szCs w:val="28"/>
          <w:lang w:eastAsia="ru-RU"/>
        </w:rPr>
      </w:pPr>
      <w:r w:rsidRPr="00FD7B0B">
        <w:rPr>
          <w:rFonts w:ascii="Times New Roman" w:eastAsia="Times New Roman" w:hAnsi="Times New Roman"/>
          <w:b/>
          <w:spacing w:val="-2"/>
          <w:sz w:val="28"/>
          <w:szCs w:val="28"/>
        </w:rPr>
        <w:t>Региональный проект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p w14:paraId="000518E3" w14:textId="77777777" w:rsidR="00CD21BE" w:rsidRPr="00FD7B0B" w:rsidRDefault="00CD21BE" w:rsidP="00ED248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данным Отчета кассовые расходы на реализацию мероприятий регионального проекта по состоянию на 31.12.2024 составили 25,1 млн.руб., что соответствует данным отчета об исполнении областного бюджета по бюджетным ассигнованиям на реализацию государственных, адресных и иных программ Архангельской области и непрограммных направлений деятельности за 2024 год.</w:t>
      </w:r>
    </w:p>
    <w:p w14:paraId="5E986141" w14:textId="77777777" w:rsidR="00CD21BE" w:rsidRPr="00FD7B0B" w:rsidRDefault="00CD21BE" w:rsidP="00ED248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Анализ динамики исполнения целевых показателей, установленных паспортом регионального проекта на 2024 год показал следующее.</w:t>
      </w:r>
    </w:p>
    <w:p w14:paraId="16D7DB93" w14:textId="77777777" w:rsidR="00CD21BE" w:rsidRPr="00FD7B0B" w:rsidRDefault="00CD21BE" w:rsidP="00ED248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Паспортом регионального проекта на 2024 год установлено два целевых показателя, которые соответствуют показателям федерального проекта «Спорт - норма жизни» в рамках национального проекта «Демография».</w:t>
      </w:r>
    </w:p>
    <w:p w14:paraId="720F5963" w14:textId="77777777" w:rsidR="00CD21BE" w:rsidRPr="00FD7B0B" w:rsidRDefault="00CD21BE" w:rsidP="00ED248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Значение целевых показателей регионального проекта на 2024 в целом выше значения целевых показателей, установленных на аналогичный период паспортом национального проекта «Демография» и паспортом федерального проекта «Спорт – норма жизни».</w:t>
      </w:r>
    </w:p>
    <w:p w14:paraId="51E513A4" w14:textId="77777777" w:rsidR="00CD21BE" w:rsidRPr="00FD7B0B" w:rsidRDefault="00CD21BE" w:rsidP="00ED248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Согласно предварительной информации, предоставленной министерством экономического развития и промышленности Архангельской области по запросу контрольно-счетной палаты Архангельской области от 03.04.2025 №01-02/294, а именно, отчету о реализации в 2024 году государственной программы Архангельской области «Развитие физической культуры и спорта в Архангельской области» (далее – Отчет) в отчетном 2024 году не достигнуто плановое значение одного из показателей регионального проекта. Информация приведена ниже:</w:t>
      </w:r>
    </w:p>
    <w:tbl>
      <w:tblPr>
        <w:tblW w:w="9517"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6540"/>
        <w:gridCol w:w="850"/>
        <w:gridCol w:w="709"/>
        <w:gridCol w:w="709"/>
        <w:gridCol w:w="709"/>
      </w:tblGrid>
      <w:tr w:rsidR="00FD7B0B" w:rsidRPr="00FD7B0B" w14:paraId="747DB5A9" w14:textId="77777777" w:rsidTr="00ED2480">
        <w:trPr>
          <w:trHeight w:val="20"/>
          <w:tblHeader/>
        </w:trPr>
        <w:tc>
          <w:tcPr>
            <w:tcW w:w="6540" w:type="dxa"/>
            <w:vMerge w:val="restart"/>
            <w:shd w:val="clear" w:color="auto" w:fill="auto"/>
            <w:vAlign w:val="center"/>
            <w:hideMark/>
          </w:tcPr>
          <w:p w14:paraId="5C2F4AFA"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Наименование показателя</w:t>
            </w:r>
          </w:p>
        </w:tc>
        <w:tc>
          <w:tcPr>
            <w:tcW w:w="2977" w:type="dxa"/>
            <w:gridSpan w:val="4"/>
            <w:shd w:val="clear" w:color="auto" w:fill="auto"/>
            <w:vAlign w:val="center"/>
            <w:hideMark/>
          </w:tcPr>
          <w:p w14:paraId="1D5C2ED7"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Период, год</w:t>
            </w:r>
          </w:p>
        </w:tc>
      </w:tr>
      <w:tr w:rsidR="00FD7B0B" w:rsidRPr="00FD7B0B" w14:paraId="08F6772B" w14:textId="77777777" w:rsidTr="00ED2480">
        <w:trPr>
          <w:trHeight w:val="65"/>
          <w:tblHeader/>
        </w:trPr>
        <w:tc>
          <w:tcPr>
            <w:tcW w:w="6540" w:type="dxa"/>
            <w:vMerge/>
            <w:vAlign w:val="center"/>
            <w:hideMark/>
          </w:tcPr>
          <w:p w14:paraId="15AF0025"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1559" w:type="dxa"/>
            <w:gridSpan w:val="2"/>
            <w:shd w:val="clear" w:color="auto" w:fill="auto"/>
            <w:vAlign w:val="center"/>
            <w:hideMark/>
          </w:tcPr>
          <w:p w14:paraId="75A546B5"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2023</w:t>
            </w:r>
          </w:p>
        </w:tc>
        <w:tc>
          <w:tcPr>
            <w:tcW w:w="1418" w:type="dxa"/>
            <w:gridSpan w:val="2"/>
            <w:shd w:val="clear" w:color="auto" w:fill="auto"/>
            <w:vAlign w:val="center"/>
            <w:hideMark/>
          </w:tcPr>
          <w:p w14:paraId="60968197"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2024</w:t>
            </w:r>
          </w:p>
        </w:tc>
      </w:tr>
      <w:tr w:rsidR="00FD7B0B" w:rsidRPr="00FD7B0B" w14:paraId="0BF3D82B" w14:textId="77777777" w:rsidTr="00ED2480">
        <w:trPr>
          <w:trHeight w:val="34"/>
          <w:tblHeader/>
        </w:trPr>
        <w:tc>
          <w:tcPr>
            <w:tcW w:w="6540" w:type="dxa"/>
            <w:vMerge/>
            <w:vAlign w:val="center"/>
            <w:hideMark/>
          </w:tcPr>
          <w:p w14:paraId="72466304"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850" w:type="dxa"/>
            <w:shd w:val="clear" w:color="auto" w:fill="auto"/>
            <w:vAlign w:val="center"/>
            <w:hideMark/>
          </w:tcPr>
          <w:p w14:paraId="11518BB7"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план</w:t>
            </w:r>
          </w:p>
        </w:tc>
        <w:tc>
          <w:tcPr>
            <w:tcW w:w="709" w:type="dxa"/>
            <w:shd w:val="clear" w:color="auto" w:fill="auto"/>
            <w:vAlign w:val="center"/>
            <w:hideMark/>
          </w:tcPr>
          <w:p w14:paraId="00699751"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факт</w:t>
            </w:r>
          </w:p>
        </w:tc>
        <w:tc>
          <w:tcPr>
            <w:tcW w:w="709" w:type="dxa"/>
            <w:shd w:val="clear" w:color="auto" w:fill="auto"/>
            <w:vAlign w:val="center"/>
            <w:hideMark/>
          </w:tcPr>
          <w:p w14:paraId="6DDEBBDD"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план</w:t>
            </w:r>
          </w:p>
        </w:tc>
        <w:tc>
          <w:tcPr>
            <w:tcW w:w="709" w:type="dxa"/>
            <w:shd w:val="clear" w:color="auto" w:fill="auto"/>
            <w:vAlign w:val="center"/>
            <w:hideMark/>
          </w:tcPr>
          <w:p w14:paraId="14DA0B65"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факт</w:t>
            </w:r>
          </w:p>
        </w:tc>
      </w:tr>
      <w:tr w:rsidR="00FD7B0B" w:rsidRPr="00FD7B0B" w14:paraId="59BD3643" w14:textId="77777777" w:rsidTr="00ED2480">
        <w:trPr>
          <w:trHeight w:val="185"/>
        </w:trPr>
        <w:tc>
          <w:tcPr>
            <w:tcW w:w="9517" w:type="dxa"/>
            <w:gridSpan w:val="5"/>
            <w:shd w:val="clear" w:color="000000" w:fill="FFFFFF"/>
            <w:vAlign w:val="center"/>
            <w:hideMark/>
          </w:tcPr>
          <w:p w14:paraId="24B89F1F"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Уровень обеспеченности населения Архангельской области спортивными сооружениями исходя из единовременной пропускной способности объектов спорта </w:t>
            </w:r>
          </w:p>
        </w:tc>
      </w:tr>
      <w:tr w:rsidR="00FD7B0B" w:rsidRPr="00FD7B0B" w14:paraId="4DB70461" w14:textId="77777777" w:rsidTr="00542A1F">
        <w:trPr>
          <w:trHeight w:hRule="exact" w:val="293"/>
        </w:trPr>
        <w:tc>
          <w:tcPr>
            <w:tcW w:w="6540" w:type="dxa"/>
            <w:shd w:val="clear" w:color="auto" w:fill="auto"/>
            <w:vAlign w:val="center"/>
            <w:hideMark/>
          </w:tcPr>
          <w:p w14:paraId="4AD7858D" w14:textId="77777777" w:rsidR="00CD21BE" w:rsidRPr="00FD7B0B" w:rsidRDefault="00CD21BE" w:rsidP="00CD21B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Значение, установленное региональным проектом, %</w:t>
            </w:r>
          </w:p>
        </w:tc>
        <w:tc>
          <w:tcPr>
            <w:tcW w:w="850" w:type="dxa"/>
            <w:shd w:val="clear" w:color="000000" w:fill="FFFFFF"/>
            <w:vAlign w:val="center"/>
            <w:hideMark/>
          </w:tcPr>
          <w:p w14:paraId="492B4A90"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58,0</w:t>
            </w:r>
          </w:p>
        </w:tc>
        <w:tc>
          <w:tcPr>
            <w:tcW w:w="709" w:type="dxa"/>
            <w:shd w:val="clear" w:color="000000" w:fill="FFFFFF"/>
            <w:vAlign w:val="center"/>
            <w:hideMark/>
          </w:tcPr>
          <w:p w14:paraId="1CD85613"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60,0</w:t>
            </w:r>
          </w:p>
        </w:tc>
        <w:tc>
          <w:tcPr>
            <w:tcW w:w="709" w:type="dxa"/>
            <w:shd w:val="clear" w:color="000000" w:fill="FFFFFF"/>
            <w:vAlign w:val="center"/>
            <w:hideMark/>
          </w:tcPr>
          <w:p w14:paraId="326ACFA0"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62,1</w:t>
            </w:r>
          </w:p>
        </w:tc>
        <w:tc>
          <w:tcPr>
            <w:tcW w:w="709" w:type="dxa"/>
            <w:shd w:val="clear" w:color="auto" w:fill="auto"/>
            <w:noWrap/>
            <w:vAlign w:val="center"/>
            <w:hideMark/>
          </w:tcPr>
          <w:p w14:paraId="46ABF3DB"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59,5</w:t>
            </w:r>
          </w:p>
        </w:tc>
      </w:tr>
      <w:tr w:rsidR="00FD7B0B" w:rsidRPr="00FD7B0B" w14:paraId="21528760" w14:textId="77777777" w:rsidTr="00ED2480">
        <w:trPr>
          <w:trHeight w:hRule="exact" w:val="529"/>
        </w:trPr>
        <w:tc>
          <w:tcPr>
            <w:tcW w:w="6540" w:type="dxa"/>
            <w:shd w:val="clear" w:color="auto" w:fill="auto"/>
            <w:vAlign w:val="center"/>
            <w:hideMark/>
          </w:tcPr>
          <w:p w14:paraId="012FE5B1" w14:textId="77777777" w:rsidR="00CD21BE" w:rsidRPr="00FD7B0B" w:rsidRDefault="00CD21BE" w:rsidP="00CD21B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Значение, установленное федеральным проектом от 29.04.2019 (по состоянию на 07.03.2023), %</w:t>
            </w:r>
          </w:p>
        </w:tc>
        <w:tc>
          <w:tcPr>
            <w:tcW w:w="850" w:type="dxa"/>
            <w:shd w:val="clear" w:color="000000" w:fill="FFFFFF"/>
            <w:vAlign w:val="center"/>
            <w:hideMark/>
          </w:tcPr>
          <w:p w14:paraId="258B72B9"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60,0</w:t>
            </w:r>
          </w:p>
        </w:tc>
        <w:tc>
          <w:tcPr>
            <w:tcW w:w="709" w:type="dxa"/>
            <w:shd w:val="clear" w:color="000000" w:fill="FFFFFF"/>
            <w:vAlign w:val="center"/>
            <w:hideMark/>
          </w:tcPr>
          <w:p w14:paraId="71BCD841"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c>
          <w:tcPr>
            <w:tcW w:w="709" w:type="dxa"/>
            <w:shd w:val="clear" w:color="000000" w:fill="FFFFFF"/>
            <w:vAlign w:val="center"/>
            <w:hideMark/>
          </w:tcPr>
          <w:p w14:paraId="74C13207"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62,0</w:t>
            </w:r>
          </w:p>
        </w:tc>
        <w:tc>
          <w:tcPr>
            <w:tcW w:w="709" w:type="dxa"/>
            <w:shd w:val="clear" w:color="000000" w:fill="FFFFFF"/>
            <w:vAlign w:val="center"/>
            <w:hideMark/>
          </w:tcPr>
          <w:p w14:paraId="32A93B3E"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r>
      <w:tr w:rsidR="00FD7B0B" w:rsidRPr="00FD7B0B" w14:paraId="464433D1" w14:textId="77777777" w:rsidTr="00ED2480">
        <w:trPr>
          <w:trHeight w:hRule="exact" w:val="422"/>
        </w:trPr>
        <w:tc>
          <w:tcPr>
            <w:tcW w:w="6540" w:type="dxa"/>
            <w:shd w:val="clear" w:color="auto" w:fill="auto"/>
            <w:vAlign w:val="center"/>
            <w:hideMark/>
          </w:tcPr>
          <w:p w14:paraId="76203D25" w14:textId="77777777" w:rsidR="00CD21BE" w:rsidRPr="00FD7B0B" w:rsidRDefault="00CD21BE" w:rsidP="00CD21B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Значение, установленное федеральным проектом от 29.04.2019 для Архангельской области (по состоянию на 07.03.2023), %</w:t>
            </w:r>
          </w:p>
        </w:tc>
        <w:tc>
          <w:tcPr>
            <w:tcW w:w="850" w:type="dxa"/>
            <w:shd w:val="clear" w:color="000000" w:fill="FFFFFF"/>
            <w:vAlign w:val="center"/>
            <w:hideMark/>
          </w:tcPr>
          <w:p w14:paraId="4DD6BB63"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56,0</w:t>
            </w:r>
          </w:p>
        </w:tc>
        <w:tc>
          <w:tcPr>
            <w:tcW w:w="709" w:type="dxa"/>
            <w:shd w:val="clear" w:color="000000" w:fill="FFFFFF"/>
            <w:vAlign w:val="center"/>
            <w:hideMark/>
          </w:tcPr>
          <w:p w14:paraId="41DFA40D"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c>
          <w:tcPr>
            <w:tcW w:w="709" w:type="dxa"/>
            <w:shd w:val="clear" w:color="000000" w:fill="FFFFFF"/>
            <w:vAlign w:val="center"/>
            <w:hideMark/>
          </w:tcPr>
          <w:p w14:paraId="3BA54D75"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57,0</w:t>
            </w:r>
          </w:p>
        </w:tc>
        <w:tc>
          <w:tcPr>
            <w:tcW w:w="709" w:type="dxa"/>
            <w:shd w:val="clear" w:color="000000" w:fill="FFFFFF"/>
            <w:vAlign w:val="center"/>
            <w:hideMark/>
          </w:tcPr>
          <w:p w14:paraId="4F9946F6"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r>
      <w:tr w:rsidR="00FD7B0B" w:rsidRPr="00FD7B0B" w14:paraId="380D188B" w14:textId="77777777" w:rsidTr="00ED2480">
        <w:trPr>
          <w:trHeight w:hRule="exact" w:val="469"/>
        </w:trPr>
        <w:tc>
          <w:tcPr>
            <w:tcW w:w="6540" w:type="dxa"/>
            <w:shd w:val="clear" w:color="auto" w:fill="auto"/>
            <w:vAlign w:val="center"/>
            <w:hideMark/>
          </w:tcPr>
          <w:p w14:paraId="4184BAB5" w14:textId="77777777" w:rsidR="00CD21BE" w:rsidRPr="00FD7B0B" w:rsidRDefault="00CD21BE" w:rsidP="00CD21B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Значение, установленное национальным проектом «Демография», (по состоянию на 06.03.2023), %</w:t>
            </w:r>
          </w:p>
        </w:tc>
        <w:tc>
          <w:tcPr>
            <w:tcW w:w="850" w:type="dxa"/>
            <w:shd w:val="clear" w:color="000000" w:fill="FFFFFF"/>
            <w:vAlign w:val="center"/>
            <w:hideMark/>
          </w:tcPr>
          <w:p w14:paraId="1BFB8D2B"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60,0</w:t>
            </w:r>
          </w:p>
        </w:tc>
        <w:tc>
          <w:tcPr>
            <w:tcW w:w="709" w:type="dxa"/>
            <w:shd w:val="clear" w:color="000000" w:fill="FFFFFF"/>
            <w:vAlign w:val="center"/>
            <w:hideMark/>
          </w:tcPr>
          <w:p w14:paraId="1C63752D"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c>
          <w:tcPr>
            <w:tcW w:w="709" w:type="dxa"/>
            <w:shd w:val="clear" w:color="000000" w:fill="FFFFFF"/>
            <w:vAlign w:val="center"/>
            <w:hideMark/>
          </w:tcPr>
          <w:p w14:paraId="2E930EEC"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62,0</w:t>
            </w:r>
          </w:p>
        </w:tc>
        <w:tc>
          <w:tcPr>
            <w:tcW w:w="709" w:type="dxa"/>
            <w:shd w:val="clear" w:color="000000" w:fill="FFFFFF"/>
            <w:vAlign w:val="center"/>
            <w:hideMark/>
          </w:tcPr>
          <w:p w14:paraId="5AB049D3"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r>
    </w:tbl>
    <w:p w14:paraId="69734DC2" w14:textId="77777777" w:rsidR="00CD21BE" w:rsidRPr="00FD7B0B" w:rsidRDefault="00CD21BE" w:rsidP="00CD21BE">
      <w:pPr>
        <w:widowControl w:val="0"/>
        <w:shd w:val="clear" w:color="auto" w:fill="FFFFFF"/>
        <w:autoSpaceDE w:val="0"/>
        <w:autoSpaceDN w:val="0"/>
        <w:spacing w:after="0" w:line="240" w:lineRule="auto"/>
        <w:ind w:firstLine="851"/>
        <w:jc w:val="both"/>
        <w:rPr>
          <w:rFonts w:ascii="Times New Roman" w:hAnsi="Times New Roman"/>
          <w:sz w:val="28"/>
          <w:szCs w:val="28"/>
        </w:rPr>
      </w:pPr>
    </w:p>
    <w:p w14:paraId="077AED56" w14:textId="77777777" w:rsidR="00CD21BE" w:rsidRPr="00FD7B0B" w:rsidRDefault="00CD21BE" w:rsidP="00CD21BE">
      <w:pPr>
        <w:spacing w:after="0" w:line="240" w:lineRule="auto"/>
        <w:ind w:firstLine="851"/>
        <w:jc w:val="both"/>
        <w:rPr>
          <w:rFonts w:ascii="Times New Roman" w:eastAsia="Times New Roman" w:hAnsi="Times New Roman"/>
          <w:sz w:val="28"/>
          <w:szCs w:val="28"/>
          <w:lang w:eastAsia="ru-RU"/>
        </w:rPr>
      </w:pPr>
      <w:r w:rsidRPr="00FD7B0B">
        <w:rPr>
          <w:rFonts w:ascii="Times New Roman" w:hAnsi="Times New Roman"/>
          <w:sz w:val="28"/>
          <w:szCs w:val="28"/>
        </w:rPr>
        <w:t xml:space="preserve">Вместе с тем, </w:t>
      </w:r>
      <w:r w:rsidRPr="00FD7B0B">
        <w:rPr>
          <w:rFonts w:ascii="Times New Roman" w:eastAsia="Times New Roman" w:hAnsi="Times New Roman"/>
          <w:sz w:val="28"/>
          <w:szCs w:val="28"/>
          <w:lang w:eastAsia="ru-RU"/>
        </w:rPr>
        <w:t xml:space="preserve">контрольно-счетная палата </w:t>
      </w:r>
      <w:r w:rsidRPr="00FD7B0B">
        <w:rPr>
          <w:rFonts w:ascii="Times New Roman" w:hAnsi="Times New Roman"/>
          <w:sz w:val="28"/>
          <w:szCs w:val="28"/>
        </w:rPr>
        <w:t xml:space="preserve">в </w:t>
      </w:r>
      <w:r w:rsidRPr="00FD7B0B">
        <w:rPr>
          <w:rFonts w:ascii="Times New Roman" w:eastAsia="Times New Roman" w:hAnsi="Times New Roman"/>
          <w:sz w:val="28"/>
          <w:szCs w:val="28"/>
          <w:lang w:eastAsia="ru-RU"/>
        </w:rPr>
        <w:t>заключении по результатам экспертизы проекта областного закона «</w:t>
      </w:r>
      <w:r w:rsidRPr="00FD7B0B">
        <w:rPr>
          <w:rFonts w:ascii="Times New Roman" w:eastAsia="Times New Roman" w:hAnsi="Times New Roman"/>
          <w:bCs/>
          <w:sz w:val="28"/>
          <w:szCs w:val="28"/>
          <w:lang w:eastAsia="ru-RU"/>
        </w:rPr>
        <w:t>Об областном бюджете на 2024 год и на плановый период 2025 и 2026 годов» отмечала, что п</w:t>
      </w:r>
      <w:r w:rsidRPr="00FD7B0B">
        <w:rPr>
          <w:rFonts w:ascii="Times New Roman" w:eastAsia="Times New Roman" w:hAnsi="Times New Roman"/>
          <w:sz w:val="28"/>
          <w:szCs w:val="28"/>
          <w:lang w:eastAsia="ru-RU"/>
        </w:rPr>
        <w:t>аспортом регионального проекта на 2024 год предусмотрен значительный рост его значения по отношению к 2023 году с целью достижения плановых значений показателя установленных на федеральном уровне, при этом сокращение количества объектов капитального строительства, ввод в эксплуатацию которых планировался в 2024 году в связи с отменой финансирования, несет в себе риски по достижению целей, предусмотренных национальным проектом «Демография», в том числе по фактическому достижению плановых значений показателей, установленных региональным проектом на 2024 год.</w:t>
      </w:r>
    </w:p>
    <w:p w14:paraId="11EFB843" w14:textId="77777777" w:rsidR="00CD21BE" w:rsidRPr="00FD7B0B" w:rsidRDefault="00CD21BE" w:rsidP="00CD21BE">
      <w:pPr>
        <w:spacing w:after="0" w:line="240" w:lineRule="auto"/>
        <w:ind w:firstLine="851"/>
        <w:jc w:val="both"/>
        <w:rPr>
          <w:rFonts w:ascii="Times New Roman" w:eastAsia="Times New Roman" w:hAnsi="Times New Roman"/>
          <w:sz w:val="28"/>
          <w:szCs w:val="28"/>
          <w:lang w:eastAsia="ru-RU"/>
        </w:rPr>
      </w:pPr>
    </w:p>
    <w:p w14:paraId="347CA8C6" w14:textId="77777777" w:rsidR="00CD21BE" w:rsidRPr="00FD7B0B" w:rsidRDefault="00CD21BE" w:rsidP="00BC16E6">
      <w:pPr>
        <w:spacing w:after="0" w:line="240" w:lineRule="auto"/>
        <w:rPr>
          <w:rFonts w:ascii="Times New Roman" w:eastAsia="Times New Roman" w:hAnsi="Times New Roman"/>
          <w:b/>
          <w:spacing w:val="-2"/>
          <w:sz w:val="28"/>
          <w:szCs w:val="28"/>
          <w:lang w:eastAsia="ru-RU"/>
        </w:rPr>
      </w:pPr>
      <w:r w:rsidRPr="00FD7B0B">
        <w:rPr>
          <w:rFonts w:ascii="Times New Roman" w:eastAsia="Times New Roman" w:hAnsi="Times New Roman"/>
          <w:b/>
          <w:spacing w:val="-2"/>
          <w:sz w:val="28"/>
          <w:szCs w:val="28"/>
          <w:lang w:eastAsia="ru-RU"/>
        </w:rPr>
        <w:t>Региональный проект «Бизнес - спринт» (Я выбираю спорт)</w:t>
      </w:r>
    </w:p>
    <w:p w14:paraId="5DC7214F" w14:textId="77777777" w:rsidR="00CD21BE" w:rsidRPr="00FD7B0B" w:rsidRDefault="00CD21BE" w:rsidP="00CD21BE">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Согласно данным Отчета кассовые расходы на реализацию мероприятий регионального проекта по состоянию на 31.12.2024 составили 132,4 млн.руб., что соответствует данным отчета об исполнении областного бюджета по бюджетным ассигнованиям на реализацию государственных, адресных и иных программ Архангельской области и непрограммных направлений деятельности за 2024 год. </w:t>
      </w:r>
    </w:p>
    <w:p w14:paraId="3B55B3FC" w14:textId="77777777" w:rsidR="00CD21BE" w:rsidRPr="00FD7B0B" w:rsidRDefault="00CD21BE" w:rsidP="00CD21BE">
      <w:pPr>
        <w:spacing w:after="0" w:line="240" w:lineRule="auto"/>
        <w:ind w:firstLine="709"/>
        <w:jc w:val="both"/>
        <w:rPr>
          <w:rFonts w:ascii="Times New Roman" w:hAnsi="Times New Roman"/>
          <w:sz w:val="28"/>
          <w:szCs w:val="28"/>
        </w:rPr>
      </w:pPr>
      <w:r w:rsidRPr="00FD7B0B">
        <w:rPr>
          <w:rFonts w:ascii="Times New Roman" w:hAnsi="Times New Roman"/>
          <w:sz w:val="28"/>
          <w:szCs w:val="28"/>
        </w:rPr>
        <w:t>Информация об исполнении представлена ниже, млн.руб.</w:t>
      </w:r>
    </w:p>
    <w:tbl>
      <w:tblPr>
        <w:tblW w:w="9356"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5529"/>
        <w:gridCol w:w="850"/>
        <w:gridCol w:w="1418"/>
        <w:gridCol w:w="1559"/>
      </w:tblGrid>
      <w:tr w:rsidR="00FD7B0B" w:rsidRPr="00FD7B0B" w14:paraId="07456FB8" w14:textId="77777777" w:rsidTr="00BC16E6">
        <w:trPr>
          <w:trHeight w:val="207"/>
        </w:trPr>
        <w:tc>
          <w:tcPr>
            <w:tcW w:w="5529" w:type="dxa"/>
            <w:vMerge w:val="restart"/>
            <w:shd w:val="clear" w:color="auto" w:fill="auto"/>
            <w:vAlign w:val="center"/>
            <w:hideMark/>
          </w:tcPr>
          <w:p w14:paraId="61E68DAE"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Наименование</w:t>
            </w:r>
          </w:p>
        </w:tc>
        <w:tc>
          <w:tcPr>
            <w:tcW w:w="850" w:type="dxa"/>
            <w:vMerge w:val="restart"/>
            <w:shd w:val="clear" w:color="auto" w:fill="auto"/>
            <w:vAlign w:val="center"/>
            <w:hideMark/>
          </w:tcPr>
          <w:p w14:paraId="64D642D2"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План</w:t>
            </w:r>
          </w:p>
        </w:tc>
        <w:tc>
          <w:tcPr>
            <w:tcW w:w="1418" w:type="dxa"/>
            <w:vMerge w:val="restart"/>
            <w:shd w:val="clear" w:color="auto" w:fill="auto"/>
            <w:vAlign w:val="center"/>
            <w:hideMark/>
          </w:tcPr>
          <w:p w14:paraId="0ACE60BD"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Исполнение</w:t>
            </w:r>
          </w:p>
        </w:tc>
        <w:tc>
          <w:tcPr>
            <w:tcW w:w="1559" w:type="dxa"/>
            <w:vMerge w:val="restart"/>
            <w:shd w:val="clear" w:color="auto" w:fill="auto"/>
            <w:vAlign w:val="center"/>
            <w:hideMark/>
          </w:tcPr>
          <w:p w14:paraId="2A61DC19"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 выполнения </w:t>
            </w:r>
          </w:p>
        </w:tc>
      </w:tr>
      <w:tr w:rsidR="00FD7B0B" w:rsidRPr="00FD7B0B" w14:paraId="61B15CF7" w14:textId="77777777" w:rsidTr="002239A2">
        <w:trPr>
          <w:trHeight w:val="450"/>
        </w:trPr>
        <w:tc>
          <w:tcPr>
            <w:tcW w:w="5529" w:type="dxa"/>
            <w:vMerge/>
            <w:vAlign w:val="center"/>
            <w:hideMark/>
          </w:tcPr>
          <w:p w14:paraId="0DDBA802"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850" w:type="dxa"/>
            <w:vMerge/>
            <w:vAlign w:val="center"/>
            <w:hideMark/>
          </w:tcPr>
          <w:p w14:paraId="3EC9171D"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1418" w:type="dxa"/>
            <w:vMerge/>
            <w:vAlign w:val="center"/>
            <w:hideMark/>
          </w:tcPr>
          <w:p w14:paraId="43888AD4"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1559" w:type="dxa"/>
            <w:vMerge/>
            <w:vAlign w:val="center"/>
            <w:hideMark/>
          </w:tcPr>
          <w:p w14:paraId="6842B1F1" w14:textId="77777777" w:rsidR="00CD21BE" w:rsidRPr="00FD7B0B" w:rsidRDefault="00CD21BE" w:rsidP="00CD21BE">
            <w:pPr>
              <w:spacing w:after="0" w:line="240" w:lineRule="auto"/>
              <w:rPr>
                <w:rFonts w:ascii="Times New Roman" w:eastAsia="Times New Roman" w:hAnsi="Times New Roman"/>
                <w:sz w:val="18"/>
                <w:szCs w:val="18"/>
                <w:lang w:eastAsia="ru-RU"/>
              </w:rPr>
            </w:pPr>
          </w:p>
        </w:tc>
      </w:tr>
      <w:tr w:rsidR="00CD21BE" w:rsidRPr="00FD7B0B" w14:paraId="0DF5D8CA" w14:textId="77777777" w:rsidTr="00CD21BE">
        <w:trPr>
          <w:trHeight w:val="300"/>
        </w:trPr>
        <w:tc>
          <w:tcPr>
            <w:tcW w:w="5529" w:type="dxa"/>
            <w:shd w:val="clear" w:color="auto" w:fill="auto"/>
            <w:vAlign w:val="center"/>
            <w:hideMark/>
          </w:tcPr>
          <w:p w14:paraId="6C485794" w14:textId="77777777" w:rsidR="00CD21BE" w:rsidRPr="00FD7B0B" w:rsidRDefault="00CD21BE" w:rsidP="00CD21BE">
            <w:pPr>
              <w:spacing w:after="0" w:line="240" w:lineRule="auto"/>
              <w:jc w:val="both"/>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Созданы «умные» спортивные площадки</w:t>
            </w:r>
          </w:p>
        </w:tc>
        <w:tc>
          <w:tcPr>
            <w:tcW w:w="850" w:type="dxa"/>
            <w:shd w:val="clear" w:color="auto" w:fill="auto"/>
            <w:noWrap/>
            <w:vAlign w:val="center"/>
            <w:hideMark/>
          </w:tcPr>
          <w:p w14:paraId="2E54BF87"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132,4</w:t>
            </w:r>
          </w:p>
        </w:tc>
        <w:tc>
          <w:tcPr>
            <w:tcW w:w="1418" w:type="dxa"/>
            <w:shd w:val="clear" w:color="auto" w:fill="auto"/>
            <w:noWrap/>
            <w:vAlign w:val="center"/>
            <w:hideMark/>
          </w:tcPr>
          <w:p w14:paraId="04447424"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132,4</w:t>
            </w:r>
          </w:p>
        </w:tc>
        <w:tc>
          <w:tcPr>
            <w:tcW w:w="1559" w:type="dxa"/>
            <w:shd w:val="clear" w:color="auto" w:fill="auto"/>
            <w:noWrap/>
            <w:vAlign w:val="center"/>
            <w:hideMark/>
          </w:tcPr>
          <w:p w14:paraId="5128313D"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r>
    </w:tbl>
    <w:p w14:paraId="7A4C0BC1" w14:textId="77777777" w:rsidR="00CD21BE" w:rsidRPr="00FD7B0B" w:rsidRDefault="00CD21BE" w:rsidP="00BC16E6">
      <w:pPr>
        <w:spacing w:after="0" w:line="240" w:lineRule="auto"/>
        <w:ind w:firstLine="709"/>
        <w:jc w:val="both"/>
        <w:rPr>
          <w:rFonts w:ascii="Times New Roman" w:hAnsi="Times New Roman"/>
          <w:sz w:val="28"/>
          <w:szCs w:val="28"/>
        </w:rPr>
      </w:pPr>
    </w:p>
    <w:p w14:paraId="526BD7E9" w14:textId="1F833054" w:rsidR="00CD21BE" w:rsidRPr="00FD7B0B" w:rsidRDefault="00CD21BE" w:rsidP="00BC16E6">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Паспортом регионального проекта (в ред. от 23.12.2024) установлен результат от реализации мероприятия «Созданы «умные» спортивные площадки» в 2024 </w:t>
      </w:r>
      <w:r w:rsidR="00BC16E6" w:rsidRPr="00FD7B0B">
        <w:rPr>
          <w:rFonts w:ascii="Times New Roman" w:hAnsi="Times New Roman"/>
          <w:sz w:val="28"/>
          <w:szCs w:val="28"/>
        </w:rPr>
        <w:t>– 2 ед.</w:t>
      </w:r>
    </w:p>
    <w:p w14:paraId="0E46D599" w14:textId="77777777" w:rsidR="00CD21BE" w:rsidRPr="00FD7B0B" w:rsidRDefault="00CD21BE" w:rsidP="00BC16E6">
      <w:pPr>
        <w:spacing w:after="0" w:line="240" w:lineRule="auto"/>
        <w:ind w:firstLine="709"/>
        <w:jc w:val="both"/>
        <w:rPr>
          <w:rFonts w:ascii="Times New Roman" w:hAnsi="Times New Roman"/>
          <w:sz w:val="28"/>
          <w:szCs w:val="28"/>
        </w:rPr>
      </w:pPr>
      <w:r w:rsidRPr="00FD7B0B">
        <w:rPr>
          <w:rFonts w:ascii="Times New Roman" w:hAnsi="Times New Roman"/>
          <w:sz w:val="28"/>
          <w:szCs w:val="28"/>
        </w:rPr>
        <w:lastRenderedPageBreak/>
        <w:t>Согласно предварительному отчету о реализации в 2024 году государственной программы Архангельской области «Развитие физической культуры и спорта в Архангельской области в отчетном 2024 приобретены материалы и оборудование для одной «умной» спортивной площадки в рамках соглашения заключенного с администрацией Коношского муниципального района от 22.02.2024 № 11622000-1-2024-005.</w:t>
      </w:r>
    </w:p>
    <w:p w14:paraId="4E7CFACA" w14:textId="0FF80582" w:rsidR="00CD21BE" w:rsidRPr="00FD7B0B" w:rsidRDefault="00CD21BE" w:rsidP="00BC16E6">
      <w:pPr>
        <w:spacing w:after="0" w:line="240" w:lineRule="auto"/>
        <w:ind w:firstLine="709"/>
        <w:jc w:val="both"/>
        <w:rPr>
          <w:rFonts w:ascii="Times New Roman" w:hAnsi="Times New Roman"/>
          <w:sz w:val="28"/>
          <w:szCs w:val="28"/>
        </w:rPr>
      </w:pPr>
      <w:r w:rsidRPr="00FD7B0B">
        <w:rPr>
          <w:rFonts w:ascii="Times New Roman" w:hAnsi="Times New Roman"/>
          <w:sz w:val="28"/>
          <w:szCs w:val="28"/>
        </w:rPr>
        <w:t>Между Правительством Архангельской области и Министерством спорта Российской Федерации заключено дополнительное соглашение, согласно которому внесены изменения в значение результатов использования субсидии, которые предусматривают на 2024 результат использования субсидии «Созданы «умные» спортивные п</w:t>
      </w:r>
      <w:r w:rsidR="00BC16E6" w:rsidRPr="00FD7B0B">
        <w:rPr>
          <w:rFonts w:ascii="Times New Roman" w:hAnsi="Times New Roman"/>
          <w:sz w:val="28"/>
          <w:szCs w:val="28"/>
        </w:rPr>
        <w:t>лощадки в количестве 1 единицы.</w:t>
      </w:r>
    </w:p>
    <w:p w14:paraId="2BADF7AB" w14:textId="3B4C7DFD" w:rsidR="00CD21BE" w:rsidRPr="00FD7B0B" w:rsidRDefault="00CD21BE" w:rsidP="002F1B14">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С учетом </w:t>
      </w:r>
      <w:r w:rsidR="002F1B14" w:rsidRPr="00FD7B0B">
        <w:rPr>
          <w:rFonts w:ascii="Times New Roman" w:hAnsi="Times New Roman"/>
          <w:sz w:val="28"/>
          <w:szCs w:val="28"/>
        </w:rPr>
        <w:t>вышеизложенного</w:t>
      </w:r>
      <w:r w:rsidRPr="00FD7B0B">
        <w:rPr>
          <w:rFonts w:ascii="Times New Roman" w:hAnsi="Times New Roman"/>
          <w:sz w:val="28"/>
          <w:szCs w:val="28"/>
        </w:rPr>
        <w:t>, министерством спорта Архангельской области не соблюдены требования пунктов 25</w:t>
      </w:r>
      <w:r w:rsidR="002F1B14" w:rsidRPr="00FD7B0B">
        <w:rPr>
          <w:rFonts w:ascii="Times New Roman" w:hAnsi="Times New Roman"/>
          <w:sz w:val="28"/>
          <w:szCs w:val="28"/>
        </w:rPr>
        <w:t xml:space="preserve"> – </w:t>
      </w:r>
      <w:r w:rsidRPr="00FD7B0B">
        <w:rPr>
          <w:rFonts w:ascii="Times New Roman" w:hAnsi="Times New Roman"/>
          <w:sz w:val="28"/>
          <w:szCs w:val="28"/>
        </w:rPr>
        <w:t>29 Положения № 793-пп в части внесения изменений в плановое значение результата мероприятия паспорта регионального проекта «Бизнес–спринт» на 2024 с учетом заключенного дополнительного соглашения.</w:t>
      </w:r>
    </w:p>
    <w:p w14:paraId="4C031E42" w14:textId="77777777" w:rsidR="00CD21BE" w:rsidRPr="00FD7B0B" w:rsidRDefault="00CD21BE" w:rsidP="002F1B14">
      <w:pPr>
        <w:spacing w:after="0" w:line="240" w:lineRule="auto"/>
        <w:ind w:firstLine="709"/>
        <w:jc w:val="both"/>
        <w:rPr>
          <w:rFonts w:ascii="Times New Roman" w:hAnsi="Times New Roman"/>
          <w:sz w:val="28"/>
          <w:szCs w:val="28"/>
        </w:rPr>
      </w:pPr>
      <w:r w:rsidRPr="00FD7B0B">
        <w:rPr>
          <w:rFonts w:ascii="Times New Roman" w:hAnsi="Times New Roman"/>
          <w:sz w:val="28"/>
          <w:szCs w:val="28"/>
        </w:rPr>
        <w:t>Анализ динамики исполнения целевых показателей, установленных паспортом регионального проекта на 2024 год, показал следующее.</w:t>
      </w:r>
    </w:p>
    <w:p w14:paraId="2EAC9A3A" w14:textId="1EFB1923" w:rsidR="00CD21BE" w:rsidRPr="00FD7B0B" w:rsidRDefault="00CD21BE" w:rsidP="002F1B14">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Согласно Отчету</w:t>
      </w:r>
      <w:r w:rsidR="00EA657D" w:rsidRPr="00FD7B0B">
        <w:rPr>
          <w:rFonts w:ascii="Times New Roman" w:hAnsi="Times New Roman"/>
          <w:sz w:val="28"/>
          <w:szCs w:val="28"/>
        </w:rPr>
        <w:t>,</w:t>
      </w:r>
      <w:r w:rsidRPr="00FD7B0B">
        <w:rPr>
          <w:rFonts w:ascii="Times New Roman" w:hAnsi="Times New Roman"/>
          <w:sz w:val="28"/>
          <w:szCs w:val="28"/>
        </w:rPr>
        <w:t xml:space="preserve"> в отчетном 2024 году не достигнуто плановое значение одного из показателей регионального проекта. Информация приведена ниже:</w:t>
      </w:r>
    </w:p>
    <w:tbl>
      <w:tblPr>
        <w:tblW w:w="9414" w:type="dxa"/>
        <w:tblInd w:w="113" w:type="dxa"/>
        <w:tblLook w:val="04A0" w:firstRow="1" w:lastRow="0" w:firstColumn="1" w:lastColumn="0" w:noHBand="0" w:noVBand="1"/>
      </w:tblPr>
      <w:tblGrid>
        <w:gridCol w:w="7225"/>
        <w:gridCol w:w="889"/>
        <w:gridCol w:w="1300"/>
      </w:tblGrid>
      <w:tr w:rsidR="00FD7B0B" w:rsidRPr="00FD7B0B" w14:paraId="4AA29CBA" w14:textId="77777777" w:rsidTr="007C33B6">
        <w:trPr>
          <w:trHeight w:val="52"/>
        </w:trPr>
        <w:tc>
          <w:tcPr>
            <w:tcW w:w="7225"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2EA56B27"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Наименование показателя</w:t>
            </w:r>
          </w:p>
        </w:tc>
        <w:tc>
          <w:tcPr>
            <w:tcW w:w="2189" w:type="dxa"/>
            <w:gridSpan w:val="2"/>
            <w:tcBorders>
              <w:top w:val="double" w:sz="4" w:space="0" w:color="auto"/>
              <w:left w:val="nil"/>
              <w:bottom w:val="single" w:sz="4" w:space="0" w:color="auto"/>
              <w:right w:val="double" w:sz="4" w:space="0" w:color="auto"/>
            </w:tcBorders>
            <w:shd w:val="clear" w:color="auto" w:fill="auto"/>
            <w:vAlign w:val="center"/>
            <w:hideMark/>
          </w:tcPr>
          <w:p w14:paraId="1B0C86F8"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Период, год</w:t>
            </w:r>
          </w:p>
        </w:tc>
      </w:tr>
      <w:tr w:rsidR="00FD7B0B" w:rsidRPr="00FD7B0B" w14:paraId="1CFDC3E3" w14:textId="77777777" w:rsidTr="007C33B6">
        <w:trPr>
          <w:trHeight w:val="118"/>
        </w:trPr>
        <w:tc>
          <w:tcPr>
            <w:tcW w:w="7225" w:type="dxa"/>
            <w:vMerge/>
            <w:tcBorders>
              <w:top w:val="single" w:sz="4" w:space="0" w:color="auto"/>
              <w:left w:val="double" w:sz="4" w:space="0" w:color="auto"/>
              <w:bottom w:val="single" w:sz="4" w:space="0" w:color="auto"/>
              <w:right w:val="single" w:sz="4" w:space="0" w:color="auto"/>
            </w:tcBorders>
            <w:vAlign w:val="center"/>
            <w:hideMark/>
          </w:tcPr>
          <w:p w14:paraId="5B637418"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2189" w:type="dxa"/>
            <w:gridSpan w:val="2"/>
            <w:tcBorders>
              <w:top w:val="single" w:sz="4" w:space="0" w:color="auto"/>
              <w:left w:val="nil"/>
              <w:bottom w:val="single" w:sz="4" w:space="0" w:color="auto"/>
              <w:right w:val="double" w:sz="4" w:space="0" w:color="auto"/>
            </w:tcBorders>
            <w:shd w:val="clear" w:color="auto" w:fill="auto"/>
            <w:vAlign w:val="center"/>
            <w:hideMark/>
          </w:tcPr>
          <w:p w14:paraId="1169A579"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2024</w:t>
            </w:r>
          </w:p>
        </w:tc>
      </w:tr>
      <w:tr w:rsidR="00FD7B0B" w:rsidRPr="00FD7B0B" w14:paraId="725D5DC5" w14:textId="77777777" w:rsidTr="007C33B6">
        <w:trPr>
          <w:trHeight w:val="39"/>
        </w:trPr>
        <w:tc>
          <w:tcPr>
            <w:tcW w:w="7225" w:type="dxa"/>
            <w:vMerge/>
            <w:tcBorders>
              <w:top w:val="single" w:sz="4" w:space="0" w:color="auto"/>
              <w:left w:val="double" w:sz="4" w:space="0" w:color="auto"/>
              <w:bottom w:val="single" w:sz="4" w:space="0" w:color="auto"/>
              <w:right w:val="single" w:sz="4" w:space="0" w:color="auto"/>
            </w:tcBorders>
            <w:vAlign w:val="center"/>
            <w:hideMark/>
          </w:tcPr>
          <w:p w14:paraId="4E50A665" w14:textId="77777777" w:rsidR="00CD21BE" w:rsidRPr="00FD7B0B" w:rsidRDefault="00CD21BE" w:rsidP="00CD21BE">
            <w:pPr>
              <w:spacing w:after="0" w:line="240" w:lineRule="auto"/>
              <w:rPr>
                <w:rFonts w:ascii="Times New Roman" w:eastAsia="Times New Roman" w:hAnsi="Times New Roman"/>
                <w:sz w:val="18"/>
                <w:szCs w:val="18"/>
                <w:lang w:eastAsia="ru-RU"/>
              </w:rPr>
            </w:pPr>
          </w:p>
        </w:tc>
        <w:tc>
          <w:tcPr>
            <w:tcW w:w="889" w:type="dxa"/>
            <w:tcBorders>
              <w:top w:val="nil"/>
              <w:left w:val="nil"/>
              <w:bottom w:val="single" w:sz="4" w:space="0" w:color="auto"/>
              <w:right w:val="single" w:sz="4" w:space="0" w:color="auto"/>
            </w:tcBorders>
            <w:shd w:val="clear" w:color="auto" w:fill="auto"/>
            <w:vAlign w:val="center"/>
            <w:hideMark/>
          </w:tcPr>
          <w:p w14:paraId="070C3CBF"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план</w:t>
            </w:r>
          </w:p>
        </w:tc>
        <w:tc>
          <w:tcPr>
            <w:tcW w:w="1300" w:type="dxa"/>
            <w:tcBorders>
              <w:top w:val="nil"/>
              <w:left w:val="nil"/>
              <w:bottom w:val="single" w:sz="4" w:space="0" w:color="auto"/>
              <w:right w:val="double" w:sz="4" w:space="0" w:color="auto"/>
            </w:tcBorders>
            <w:shd w:val="clear" w:color="auto" w:fill="auto"/>
            <w:vAlign w:val="center"/>
            <w:hideMark/>
          </w:tcPr>
          <w:p w14:paraId="7B832CDF"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факт</w:t>
            </w:r>
          </w:p>
        </w:tc>
      </w:tr>
      <w:tr w:rsidR="00FD7B0B" w:rsidRPr="00FD7B0B" w14:paraId="64C1F3C7" w14:textId="77777777" w:rsidTr="007C33B6">
        <w:trPr>
          <w:trHeight w:val="252"/>
        </w:trPr>
        <w:tc>
          <w:tcPr>
            <w:tcW w:w="9414" w:type="dxa"/>
            <w:gridSpan w:val="3"/>
            <w:tcBorders>
              <w:top w:val="single" w:sz="4" w:space="0" w:color="auto"/>
              <w:left w:val="double" w:sz="4" w:space="0" w:color="auto"/>
              <w:bottom w:val="single" w:sz="4" w:space="0" w:color="auto"/>
              <w:right w:val="double" w:sz="4" w:space="0" w:color="auto"/>
            </w:tcBorders>
            <w:shd w:val="clear" w:color="000000" w:fill="FFFFFF"/>
            <w:vAlign w:val="center"/>
            <w:hideMark/>
          </w:tcPr>
          <w:p w14:paraId="02E34B07" w14:textId="77777777" w:rsidR="00CD21BE" w:rsidRPr="00FD7B0B" w:rsidRDefault="00CD21BE" w:rsidP="00CD21B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Уровень обеспеченности граждан спортивными сооружениями исходя из единовременной пропускной способности объектов спорта (ГП)</w:t>
            </w:r>
          </w:p>
        </w:tc>
      </w:tr>
      <w:tr w:rsidR="00CD21BE" w:rsidRPr="00FD7B0B" w14:paraId="27A90FAF" w14:textId="77777777" w:rsidTr="007C33B6">
        <w:trPr>
          <w:trHeight w:hRule="exact" w:val="264"/>
        </w:trPr>
        <w:tc>
          <w:tcPr>
            <w:tcW w:w="7225" w:type="dxa"/>
            <w:tcBorders>
              <w:top w:val="nil"/>
              <w:left w:val="double" w:sz="4" w:space="0" w:color="auto"/>
              <w:bottom w:val="double" w:sz="4" w:space="0" w:color="auto"/>
              <w:right w:val="single" w:sz="4" w:space="0" w:color="auto"/>
            </w:tcBorders>
            <w:shd w:val="clear" w:color="auto" w:fill="auto"/>
            <w:vAlign w:val="center"/>
            <w:hideMark/>
          </w:tcPr>
          <w:p w14:paraId="7FB207E3" w14:textId="77777777" w:rsidR="00CD21BE" w:rsidRPr="00FD7B0B" w:rsidRDefault="00CD21BE" w:rsidP="00CD21B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Значение, установленное региональным проектом, %</w:t>
            </w:r>
          </w:p>
        </w:tc>
        <w:tc>
          <w:tcPr>
            <w:tcW w:w="889" w:type="dxa"/>
            <w:tcBorders>
              <w:top w:val="nil"/>
              <w:left w:val="nil"/>
              <w:bottom w:val="double" w:sz="4" w:space="0" w:color="auto"/>
              <w:right w:val="single" w:sz="4" w:space="0" w:color="auto"/>
            </w:tcBorders>
            <w:shd w:val="clear" w:color="auto" w:fill="auto"/>
            <w:vAlign w:val="center"/>
            <w:hideMark/>
          </w:tcPr>
          <w:p w14:paraId="6BE58433"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62,1</w:t>
            </w:r>
          </w:p>
        </w:tc>
        <w:tc>
          <w:tcPr>
            <w:tcW w:w="1300" w:type="dxa"/>
            <w:tcBorders>
              <w:top w:val="nil"/>
              <w:left w:val="nil"/>
              <w:bottom w:val="double" w:sz="4" w:space="0" w:color="auto"/>
              <w:right w:val="double" w:sz="4" w:space="0" w:color="auto"/>
            </w:tcBorders>
            <w:shd w:val="clear" w:color="auto" w:fill="auto"/>
            <w:vAlign w:val="center"/>
            <w:hideMark/>
          </w:tcPr>
          <w:p w14:paraId="5F0D98BA"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59,5</w:t>
            </w:r>
          </w:p>
        </w:tc>
      </w:tr>
    </w:tbl>
    <w:p w14:paraId="1BCB6692" w14:textId="77777777" w:rsidR="00CD21BE" w:rsidRPr="00FD7B0B" w:rsidRDefault="00CD21BE" w:rsidP="007C33B6">
      <w:pPr>
        <w:spacing w:after="0" w:line="240" w:lineRule="auto"/>
        <w:ind w:firstLine="709"/>
        <w:jc w:val="both"/>
        <w:rPr>
          <w:rFonts w:ascii="Times New Roman" w:hAnsi="Times New Roman"/>
          <w:sz w:val="28"/>
          <w:szCs w:val="28"/>
        </w:rPr>
      </w:pPr>
    </w:p>
    <w:p w14:paraId="652AB924" w14:textId="77777777" w:rsidR="00CD21BE" w:rsidRPr="00FD7B0B" w:rsidRDefault="00CD21BE" w:rsidP="007C33B6">
      <w:pPr>
        <w:spacing w:after="0" w:line="240" w:lineRule="auto"/>
        <w:ind w:firstLine="709"/>
        <w:jc w:val="both"/>
        <w:rPr>
          <w:rFonts w:ascii="Times New Roman" w:hAnsi="Times New Roman"/>
          <w:sz w:val="28"/>
          <w:szCs w:val="28"/>
        </w:rPr>
      </w:pPr>
      <w:r w:rsidRPr="00FD7B0B">
        <w:rPr>
          <w:rFonts w:ascii="Times New Roman" w:hAnsi="Times New Roman"/>
          <w:sz w:val="28"/>
          <w:szCs w:val="28"/>
        </w:rPr>
        <w:t>Кроме того, паспортом регионального проекта (в ред. от 23.12.2024) на 2024 год установлен целевой показатель «Доля граждан трудоспособного возраста, систематически занимающихся физической культурой и спортом» плановое значение, которого в отчетном 2024 году достигнуто.</w:t>
      </w:r>
    </w:p>
    <w:p w14:paraId="330D8C92" w14:textId="77777777" w:rsidR="00CD21BE" w:rsidRPr="00FD7B0B" w:rsidRDefault="00CD21BE" w:rsidP="007C33B6">
      <w:pPr>
        <w:spacing w:after="0" w:line="240" w:lineRule="auto"/>
        <w:ind w:firstLine="709"/>
        <w:jc w:val="both"/>
        <w:rPr>
          <w:rFonts w:ascii="Times New Roman" w:hAnsi="Times New Roman"/>
          <w:sz w:val="28"/>
          <w:szCs w:val="28"/>
        </w:rPr>
      </w:pPr>
      <w:r w:rsidRPr="00FD7B0B">
        <w:rPr>
          <w:rFonts w:ascii="Times New Roman" w:hAnsi="Times New Roman"/>
          <w:sz w:val="28"/>
          <w:szCs w:val="28"/>
        </w:rPr>
        <w:t>Вместе с тем, согласно паспорту государственной программы «Развитие физической культуры и спорта в Архангельской области» (в ред. от 27.12.2024) на 2024 год установлен идентичный показатель «Доля граждан трудоспособного возраста, систематически занимающихся физической культурой и спортом».</w:t>
      </w:r>
    </w:p>
    <w:p w14:paraId="29D6857F" w14:textId="2256159D" w:rsidR="00CD21BE" w:rsidRPr="00FD7B0B" w:rsidRDefault="00CD21BE" w:rsidP="007C33B6">
      <w:pPr>
        <w:spacing w:after="0" w:line="240" w:lineRule="auto"/>
        <w:ind w:firstLine="709"/>
        <w:jc w:val="both"/>
        <w:rPr>
          <w:rFonts w:ascii="Times New Roman" w:hAnsi="Times New Roman"/>
          <w:sz w:val="28"/>
          <w:szCs w:val="28"/>
        </w:rPr>
      </w:pPr>
      <w:r w:rsidRPr="00FD7B0B">
        <w:rPr>
          <w:rFonts w:ascii="Times New Roman" w:hAnsi="Times New Roman"/>
          <w:sz w:val="28"/>
          <w:szCs w:val="28"/>
        </w:rPr>
        <w:t>С учетом чего, министерством спорта Архангельской области при формировании паспорта регионального проекта «Бизнес-спринт» (Я выбираю спорт) не соблюдены требования пункта 12 Положения № 793-пп в части дублирования показателей государственной программы и показателей структурных элементов, входящих в ее состав.</w:t>
      </w:r>
    </w:p>
    <w:p w14:paraId="25CC256A" w14:textId="77777777" w:rsidR="00CD21BE" w:rsidRPr="00FD7B0B" w:rsidRDefault="00CD21BE" w:rsidP="007C33B6">
      <w:pPr>
        <w:spacing w:after="0" w:line="240" w:lineRule="auto"/>
        <w:ind w:firstLine="709"/>
        <w:jc w:val="both"/>
        <w:rPr>
          <w:rFonts w:ascii="Times New Roman" w:hAnsi="Times New Roman"/>
          <w:sz w:val="28"/>
          <w:szCs w:val="28"/>
        </w:rPr>
      </w:pPr>
    </w:p>
    <w:p w14:paraId="23C429E7" w14:textId="08A083E0" w:rsidR="00CD21BE" w:rsidRPr="00FD7B0B" w:rsidRDefault="00CD21BE" w:rsidP="00CD21BE">
      <w:pPr>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эффективности реализации госпрограммы по итогам</w:t>
      </w:r>
      <w:r w:rsidRPr="00FD7B0B">
        <w:rPr>
          <w:rFonts w:ascii="Times New Roman" w:eastAsia="Times New Roman" w:hAnsi="Times New Roman"/>
          <w:b/>
          <w:i/>
          <w:sz w:val="28"/>
          <w:szCs w:val="28"/>
          <w:lang w:eastAsia="ru-RU"/>
        </w:rPr>
        <w:t xml:space="preserve"> </w:t>
      </w:r>
      <w:r w:rsidR="007C33B6" w:rsidRPr="00FD7B0B">
        <w:rPr>
          <w:rFonts w:ascii="Times New Roman" w:eastAsia="Times New Roman" w:hAnsi="Times New Roman"/>
          <w:b/>
          <w:sz w:val="28"/>
          <w:szCs w:val="28"/>
          <w:lang w:eastAsia="ru-RU"/>
        </w:rPr>
        <w:t>2024 года</w:t>
      </w:r>
    </w:p>
    <w:p w14:paraId="378846F4" w14:textId="77777777" w:rsidR="00CD21BE" w:rsidRPr="00FD7B0B" w:rsidRDefault="00CD21BE" w:rsidP="00AD52D1">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В соответствии с Положением о порядке проведения оценки эффективности реализации государственных программ Архангельской области и критериях такой оценки, утвержденным постановлением Правительства Архангельской области от 28.08.2023 № 793-пп значение показателя </w:t>
      </w:r>
      <w:r w:rsidRPr="00FD7B0B">
        <w:rPr>
          <w:rFonts w:ascii="Times New Roman" w:hAnsi="Times New Roman"/>
          <w:sz w:val="28"/>
          <w:szCs w:val="28"/>
        </w:rPr>
        <w:lastRenderedPageBreak/>
        <w:t>эффективности реализации ГП № 28 по итогам 2024 года составил 97,5 баллов, что свидетельствует о средней степени эффективности реализации госпрограммы.</w:t>
      </w:r>
    </w:p>
    <w:p w14:paraId="0216D5C9" w14:textId="63F52BCA" w:rsidR="00CD21BE" w:rsidRPr="00FD7B0B" w:rsidRDefault="00CD21BE" w:rsidP="00AD52D1">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Показатель оценки качества планирования и управления реализацией государственной программы по итогам отчетного года составил 62,5 баллов, что свид</w:t>
      </w:r>
      <w:r w:rsidR="00AD52D1" w:rsidRPr="00FD7B0B">
        <w:rPr>
          <w:rFonts w:ascii="Times New Roman" w:hAnsi="Times New Roman"/>
          <w:sz w:val="28"/>
          <w:szCs w:val="28"/>
        </w:rPr>
        <w:t>етельствует об низком качестве.</w:t>
      </w:r>
    </w:p>
    <w:p w14:paraId="41143D03" w14:textId="77777777" w:rsidR="00CD21BE" w:rsidRPr="00FD7B0B" w:rsidRDefault="00CD21BE" w:rsidP="00AD52D1">
      <w:pPr>
        <w:spacing w:after="0" w:line="240" w:lineRule="auto"/>
        <w:ind w:firstLine="709"/>
        <w:jc w:val="both"/>
        <w:rPr>
          <w:rFonts w:ascii="Times New Roman" w:hAnsi="Times New Roman"/>
          <w:sz w:val="28"/>
          <w:szCs w:val="28"/>
        </w:rPr>
      </w:pPr>
    </w:p>
    <w:p w14:paraId="74655DB4" w14:textId="0E44B363" w:rsidR="00CD21BE" w:rsidRPr="00FD7B0B" w:rsidRDefault="00CD21BE" w:rsidP="00CD21BE">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рамках внешней проверки годового отчета исполнения областного бюджета за 2024 год проведена оценка реализации госпрограммы № 28 с использованием методики Счетной палаты РФ. По результатам проведен</w:t>
      </w:r>
      <w:r w:rsidR="00AD52D1" w:rsidRPr="00FD7B0B">
        <w:rPr>
          <w:rFonts w:ascii="Times New Roman" w:hAnsi="Times New Roman"/>
          <w:sz w:val="28"/>
          <w:szCs w:val="28"/>
        </w:rPr>
        <w:t>ия оценки установлено следующее:</w:t>
      </w:r>
    </w:p>
    <w:tbl>
      <w:tblPr>
        <w:tblW w:w="9521" w:type="dxa"/>
        <w:tblInd w:w="8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1157"/>
        <w:gridCol w:w="1134"/>
        <w:gridCol w:w="1276"/>
        <w:gridCol w:w="1275"/>
        <w:gridCol w:w="1135"/>
        <w:gridCol w:w="1276"/>
        <w:gridCol w:w="1417"/>
        <w:gridCol w:w="851"/>
      </w:tblGrid>
      <w:tr w:rsidR="00FD7B0B" w:rsidRPr="00FD7B0B" w14:paraId="022646D5" w14:textId="77777777" w:rsidTr="00CD21BE">
        <w:trPr>
          <w:trHeight w:val="260"/>
        </w:trPr>
        <w:tc>
          <w:tcPr>
            <w:tcW w:w="9521" w:type="dxa"/>
            <w:gridSpan w:val="8"/>
            <w:shd w:val="clear" w:color="auto" w:fill="auto"/>
            <w:vAlign w:val="center"/>
            <w:hideMark/>
          </w:tcPr>
          <w:p w14:paraId="6FC8B72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hAnsi="Times New Roman"/>
                <w:sz w:val="18"/>
                <w:szCs w:val="18"/>
              </w:rPr>
              <w:t>Оценка исполнения госпрограммы № 28 за 2024 год по ресурсам и результатам</w:t>
            </w:r>
          </w:p>
        </w:tc>
      </w:tr>
      <w:tr w:rsidR="00FD7B0B" w:rsidRPr="00FD7B0B" w14:paraId="59D2ECE2" w14:textId="77777777" w:rsidTr="00CD21BE">
        <w:trPr>
          <w:trHeight w:val="770"/>
        </w:trPr>
        <w:tc>
          <w:tcPr>
            <w:tcW w:w="1157" w:type="dxa"/>
            <w:vMerge w:val="restart"/>
            <w:shd w:val="clear" w:color="auto" w:fill="auto"/>
            <w:vAlign w:val="center"/>
            <w:hideMark/>
          </w:tcPr>
          <w:p w14:paraId="117804C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Оценка кассового исполнения по расходам ГП № 28</w:t>
            </w:r>
          </w:p>
        </w:tc>
        <w:tc>
          <w:tcPr>
            <w:tcW w:w="1134" w:type="dxa"/>
            <w:vMerge w:val="restart"/>
            <w:shd w:val="clear" w:color="auto" w:fill="auto"/>
            <w:vAlign w:val="center"/>
            <w:hideMark/>
          </w:tcPr>
          <w:p w14:paraId="445B8D3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Оценка объема изменений, внесенных в сводную бюджетную роспись в отчетном году</w:t>
            </w:r>
            <w:r w:rsidRPr="00FD7B0B">
              <w:rPr>
                <w:rFonts w:ascii="Times New Roman" w:eastAsia="Times New Roman" w:hAnsi="Times New Roman"/>
                <w:sz w:val="16"/>
                <w:szCs w:val="16"/>
                <w:lang w:eastAsia="ru-RU"/>
              </w:rPr>
              <w:br/>
            </w:r>
          </w:p>
        </w:tc>
        <w:tc>
          <w:tcPr>
            <w:tcW w:w="2551" w:type="dxa"/>
            <w:gridSpan w:val="2"/>
            <w:shd w:val="clear" w:color="auto" w:fill="auto"/>
            <w:vAlign w:val="center"/>
            <w:hideMark/>
          </w:tcPr>
          <w:p w14:paraId="0744BEA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Оценка степени достижения мероприятий (результатов) государственной программы</w:t>
            </w:r>
          </w:p>
        </w:tc>
        <w:tc>
          <w:tcPr>
            <w:tcW w:w="2411" w:type="dxa"/>
            <w:gridSpan w:val="2"/>
            <w:shd w:val="clear" w:color="auto" w:fill="auto"/>
            <w:vAlign w:val="center"/>
            <w:hideMark/>
          </w:tcPr>
          <w:p w14:paraId="7352364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Оценка достижения плановых значений показателей (индикаторов) государственной программы за отчетный год</w:t>
            </w:r>
          </w:p>
        </w:tc>
        <w:tc>
          <w:tcPr>
            <w:tcW w:w="1417" w:type="dxa"/>
            <w:vMerge w:val="restart"/>
            <w:shd w:val="clear" w:color="auto" w:fill="auto"/>
            <w:vAlign w:val="center"/>
            <w:hideMark/>
          </w:tcPr>
          <w:p w14:paraId="33F90B13"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Оценка степени ввода объектов в эксплуатацию в рамках реализации государственной программы за отчетный год</w:t>
            </w:r>
          </w:p>
        </w:tc>
        <w:tc>
          <w:tcPr>
            <w:tcW w:w="851" w:type="dxa"/>
            <w:vMerge w:val="restart"/>
            <w:shd w:val="clear" w:color="auto" w:fill="auto"/>
            <w:vAlign w:val="center"/>
            <w:hideMark/>
          </w:tcPr>
          <w:p w14:paraId="742AA440"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Итого </w:t>
            </w:r>
          </w:p>
          <w:p w14:paraId="22EC2EFA"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68E2F150" w14:textId="77777777" w:rsidTr="00AD52D1">
        <w:trPr>
          <w:trHeight w:val="1265"/>
        </w:trPr>
        <w:tc>
          <w:tcPr>
            <w:tcW w:w="1157" w:type="dxa"/>
            <w:vMerge/>
            <w:vAlign w:val="center"/>
            <w:hideMark/>
          </w:tcPr>
          <w:p w14:paraId="0BD67F8F"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1134" w:type="dxa"/>
            <w:vMerge/>
            <w:vAlign w:val="center"/>
            <w:hideMark/>
          </w:tcPr>
          <w:p w14:paraId="3EE8422D" w14:textId="77777777" w:rsidR="00CD21BE" w:rsidRPr="00FD7B0B" w:rsidRDefault="00CD21BE" w:rsidP="00CD21BE">
            <w:pPr>
              <w:spacing w:after="0" w:line="240" w:lineRule="auto"/>
              <w:rPr>
                <w:rFonts w:ascii="Times New Roman" w:eastAsia="Times New Roman" w:hAnsi="Times New Roman"/>
                <w:sz w:val="16"/>
                <w:szCs w:val="16"/>
                <w:lang w:eastAsia="ru-RU"/>
              </w:rPr>
            </w:pPr>
          </w:p>
        </w:tc>
        <w:tc>
          <w:tcPr>
            <w:tcW w:w="1276" w:type="dxa"/>
            <w:shd w:val="clear" w:color="auto" w:fill="auto"/>
            <w:vAlign w:val="center"/>
            <w:hideMark/>
          </w:tcPr>
          <w:p w14:paraId="6F3F9F26"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степень достижения всех результатов всех  мероприятий (результатов)</w:t>
            </w:r>
          </w:p>
          <w:p w14:paraId="76C956BC"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 ГП № 28</w:t>
            </w:r>
          </w:p>
        </w:tc>
        <w:tc>
          <w:tcPr>
            <w:tcW w:w="1275" w:type="dxa"/>
            <w:shd w:val="clear" w:color="auto" w:fill="auto"/>
            <w:vAlign w:val="center"/>
            <w:hideMark/>
          </w:tcPr>
          <w:p w14:paraId="251153B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справочно* доля реализованных всех мероприятий (достигнутых результатов) ГП № 28</w:t>
            </w:r>
          </w:p>
        </w:tc>
        <w:tc>
          <w:tcPr>
            <w:tcW w:w="1135" w:type="dxa"/>
            <w:shd w:val="clear" w:color="auto" w:fill="auto"/>
            <w:vAlign w:val="center"/>
            <w:hideMark/>
          </w:tcPr>
          <w:p w14:paraId="24C5A990" w14:textId="77777777" w:rsidR="00CD21BE" w:rsidRPr="00FD7B0B" w:rsidRDefault="00CD21BE" w:rsidP="00CD21BE">
            <w:pPr>
              <w:spacing w:after="0" w:line="240" w:lineRule="auto"/>
              <w:ind w:left="34"/>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степень достижения всех показателей ГП № 28 </w:t>
            </w:r>
          </w:p>
        </w:tc>
        <w:tc>
          <w:tcPr>
            <w:tcW w:w="1276" w:type="dxa"/>
            <w:shd w:val="clear" w:color="auto" w:fill="auto"/>
            <w:vAlign w:val="center"/>
            <w:hideMark/>
          </w:tcPr>
          <w:p w14:paraId="4E06CC7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справочно* доля выполненных показателей  ГП № 28</w:t>
            </w:r>
          </w:p>
        </w:tc>
        <w:tc>
          <w:tcPr>
            <w:tcW w:w="1417" w:type="dxa"/>
            <w:vMerge/>
            <w:shd w:val="clear" w:color="auto" w:fill="auto"/>
            <w:vAlign w:val="center"/>
            <w:hideMark/>
          </w:tcPr>
          <w:p w14:paraId="75DF7C59"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p>
        </w:tc>
        <w:tc>
          <w:tcPr>
            <w:tcW w:w="851" w:type="dxa"/>
            <w:vMerge/>
            <w:shd w:val="clear" w:color="auto" w:fill="auto"/>
            <w:vAlign w:val="center"/>
            <w:hideMark/>
          </w:tcPr>
          <w:p w14:paraId="19B2513B"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p>
        </w:tc>
      </w:tr>
      <w:tr w:rsidR="00FD7B0B" w:rsidRPr="00FD7B0B" w14:paraId="772BF95C" w14:textId="77777777" w:rsidTr="00CD21BE">
        <w:trPr>
          <w:trHeight w:val="300"/>
        </w:trPr>
        <w:tc>
          <w:tcPr>
            <w:tcW w:w="1157" w:type="dxa"/>
            <w:tcBorders>
              <w:bottom w:val="single" w:sz="6" w:space="0" w:color="auto"/>
            </w:tcBorders>
            <w:shd w:val="clear" w:color="auto" w:fill="auto"/>
            <w:vAlign w:val="center"/>
            <w:hideMark/>
          </w:tcPr>
          <w:p w14:paraId="655082B2"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134" w:type="dxa"/>
            <w:tcBorders>
              <w:bottom w:val="single" w:sz="6" w:space="0" w:color="auto"/>
            </w:tcBorders>
            <w:shd w:val="clear" w:color="auto" w:fill="auto"/>
            <w:vAlign w:val="center"/>
            <w:hideMark/>
          </w:tcPr>
          <w:p w14:paraId="5CB2D16F"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2551" w:type="dxa"/>
            <w:gridSpan w:val="2"/>
            <w:shd w:val="clear" w:color="auto" w:fill="auto"/>
            <w:vAlign w:val="center"/>
            <w:hideMark/>
          </w:tcPr>
          <w:p w14:paraId="5319894E"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w:t>
            </w:r>
          </w:p>
        </w:tc>
        <w:tc>
          <w:tcPr>
            <w:tcW w:w="2411" w:type="dxa"/>
            <w:gridSpan w:val="2"/>
            <w:tcBorders>
              <w:bottom w:val="single" w:sz="6" w:space="0" w:color="auto"/>
            </w:tcBorders>
            <w:shd w:val="clear" w:color="auto" w:fill="auto"/>
            <w:vAlign w:val="center"/>
            <w:hideMark/>
          </w:tcPr>
          <w:p w14:paraId="15B56A74"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w:t>
            </w:r>
          </w:p>
        </w:tc>
        <w:tc>
          <w:tcPr>
            <w:tcW w:w="1417" w:type="dxa"/>
            <w:tcBorders>
              <w:bottom w:val="single" w:sz="6" w:space="0" w:color="auto"/>
            </w:tcBorders>
            <w:shd w:val="clear" w:color="auto" w:fill="auto"/>
            <w:vAlign w:val="center"/>
            <w:hideMark/>
          </w:tcPr>
          <w:p w14:paraId="6BC193F1"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w:t>
            </w:r>
          </w:p>
        </w:tc>
        <w:tc>
          <w:tcPr>
            <w:tcW w:w="851" w:type="dxa"/>
            <w:tcBorders>
              <w:bottom w:val="single" w:sz="6" w:space="0" w:color="auto"/>
            </w:tcBorders>
            <w:shd w:val="clear" w:color="auto" w:fill="auto"/>
            <w:vAlign w:val="center"/>
            <w:hideMark/>
          </w:tcPr>
          <w:p w14:paraId="7C558067" w14:textId="77777777" w:rsidR="00CD21BE" w:rsidRPr="00FD7B0B" w:rsidRDefault="00CD21BE" w:rsidP="00CD21B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w:t>
            </w:r>
          </w:p>
        </w:tc>
      </w:tr>
      <w:tr w:rsidR="00FD7B0B" w:rsidRPr="00FD7B0B" w14:paraId="4F99B9C6" w14:textId="77777777" w:rsidTr="00CD21BE">
        <w:trPr>
          <w:trHeight w:val="532"/>
        </w:trPr>
        <w:tc>
          <w:tcPr>
            <w:tcW w:w="1157" w:type="dxa"/>
            <w:tcBorders>
              <w:top w:val="single" w:sz="6" w:space="0" w:color="auto"/>
              <w:bottom w:val="single" w:sz="6" w:space="0" w:color="auto"/>
            </w:tcBorders>
            <w:shd w:val="clear" w:color="auto" w:fill="92D050"/>
            <w:vAlign w:val="center"/>
            <w:hideMark/>
          </w:tcPr>
          <w:p w14:paraId="6D0A27B2"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 xml:space="preserve">высокий уровень </w:t>
            </w:r>
          </w:p>
        </w:tc>
        <w:tc>
          <w:tcPr>
            <w:tcW w:w="1134" w:type="dxa"/>
            <w:tcBorders>
              <w:top w:val="single" w:sz="6" w:space="0" w:color="auto"/>
              <w:bottom w:val="single" w:sz="6" w:space="0" w:color="auto"/>
            </w:tcBorders>
            <w:shd w:val="clear" w:color="000000" w:fill="92D050"/>
            <w:vAlign w:val="center"/>
            <w:hideMark/>
          </w:tcPr>
          <w:p w14:paraId="39A1B972"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 xml:space="preserve">высокий уровень </w:t>
            </w:r>
          </w:p>
        </w:tc>
        <w:tc>
          <w:tcPr>
            <w:tcW w:w="1276" w:type="dxa"/>
            <w:tcBorders>
              <w:top w:val="single" w:sz="6" w:space="0" w:color="auto"/>
              <w:bottom w:val="single" w:sz="6" w:space="0" w:color="auto"/>
            </w:tcBorders>
            <w:shd w:val="clear" w:color="auto" w:fill="92D050"/>
            <w:vAlign w:val="center"/>
            <w:hideMark/>
          </w:tcPr>
          <w:p w14:paraId="0C5425E8"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 xml:space="preserve">высокий уровень </w:t>
            </w:r>
          </w:p>
        </w:tc>
        <w:tc>
          <w:tcPr>
            <w:tcW w:w="1275" w:type="dxa"/>
            <w:tcBorders>
              <w:top w:val="single" w:sz="6" w:space="0" w:color="auto"/>
              <w:bottom w:val="single" w:sz="6" w:space="0" w:color="auto"/>
            </w:tcBorders>
            <w:shd w:val="clear" w:color="auto" w:fill="92D050"/>
            <w:vAlign w:val="center"/>
          </w:tcPr>
          <w:p w14:paraId="133EE071"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высокий уровень</w:t>
            </w:r>
          </w:p>
        </w:tc>
        <w:tc>
          <w:tcPr>
            <w:tcW w:w="1135" w:type="dxa"/>
            <w:tcBorders>
              <w:top w:val="single" w:sz="6" w:space="0" w:color="auto"/>
              <w:bottom w:val="single" w:sz="6" w:space="0" w:color="auto"/>
            </w:tcBorders>
            <w:shd w:val="clear" w:color="auto" w:fill="92D050"/>
            <w:vAlign w:val="center"/>
            <w:hideMark/>
          </w:tcPr>
          <w:p w14:paraId="6E351A80"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 xml:space="preserve">высокий уровень </w:t>
            </w:r>
          </w:p>
        </w:tc>
        <w:tc>
          <w:tcPr>
            <w:tcW w:w="1276" w:type="dxa"/>
            <w:tcBorders>
              <w:top w:val="single" w:sz="6" w:space="0" w:color="auto"/>
              <w:bottom w:val="single" w:sz="6" w:space="0" w:color="auto"/>
            </w:tcBorders>
            <w:shd w:val="clear" w:color="auto" w:fill="FFFF00"/>
            <w:vAlign w:val="center"/>
            <w:hideMark/>
          </w:tcPr>
          <w:p w14:paraId="06469D56"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 xml:space="preserve">низкий уровень </w:t>
            </w:r>
          </w:p>
        </w:tc>
        <w:tc>
          <w:tcPr>
            <w:tcW w:w="1417" w:type="dxa"/>
            <w:tcBorders>
              <w:top w:val="single" w:sz="6" w:space="0" w:color="auto"/>
              <w:bottom w:val="single" w:sz="6" w:space="0" w:color="auto"/>
            </w:tcBorders>
            <w:shd w:val="clear" w:color="auto" w:fill="92D050"/>
            <w:vAlign w:val="center"/>
            <w:hideMark/>
          </w:tcPr>
          <w:p w14:paraId="5E0E9108" w14:textId="22002923" w:rsidR="00CD21BE" w:rsidRPr="00FD7B0B" w:rsidRDefault="00CD21BE" w:rsidP="00EA657D">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 xml:space="preserve">высокий уровень </w:t>
            </w:r>
          </w:p>
        </w:tc>
        <w:tc>
          <w:tcPr>
            <w:tcW w:w="851" w:type="dxa"/>
            <w:tcBorders>
              <w:top w:val="single" w:sz="6" w:space="0" w:color="auto"/>
              <w:bottom w:val="single" w:sz="6" w:space="0" w:color="auto"/>
            </w:tcBorders>
            <w:shd w:val="clear" w:color="auto" w:fill="92D050"/>
            <w:vAlign w:val="center"/>
            <w:hideMark/>
          </w:tcPr>
          <w:p w14:paraId="6FDEC0DC"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 xml:space="preserve"> уровень выше среднего</w:t>
            </w:r>
          </w:p>
        </w:tc>
      </w:tr>
      <w:tr w:rsidR="00FD7B0B" w:rsidRPr="00FD7B0B" w14:paraId="09EF3715" w14:textId="77777777" w:rsidTr="00CD21BE">
        <w:trPr>
          <w:trHeight w:val="245"/>
        </w:trPr>
        <w:tc>
          <w:tcPr>
            <w:tcW w:w="1157" w:type="dxa"/>
            <w:tcBorders>
              <w:top w:val="single" w:sz="6" w:space="0" w:color="auto"/>
            </w:tcBorders>
            <w:shd w:val="clear" w:color="auto" w:fill="auto"/>
            <w:vAlign w:val="center"/>
          </w:tcPr>
          <w:p w14:paraId="5778B287"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3</w:t>
            </w:r>
          </w:p>
        </w:tc>
        <w:tc>
          <w:tcPr>
            <w:tcW w:w="1134" w:type="dxa"/>
            <w:tcBorders>
              <w:top w:val="single" w:sz="6" w:space="0" w:color="auto"/>
            </w:tcBorders>
            <w:shd w:val="clear" w:color="000000" w:fill="FFFFFF"/>
            <w:vAlign w:val="center"/>
          </w:tcPr>
          <w:p w14:paraId="4C65B777"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3</w:t>
            </w:r>
          </w:p>
        </w:tc>
        <w:tc>
          <w:tcPr>
            <w:tcW w:w="1276" w:type="dxa"/>
            <w:tcBorders>
              <w:top w:val="single" w:sz="6" w:space="0" w:color="auto"/>
            </w:tcBorders>
            <w:shd w:val="clear" w:color="auto" w:fill="auto"/>
            <w:vAlign w:val="center"/>
          </w:tcPr>
          <w:p w14:paraId="753C2293"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3</w:t>
            </w:r>
          </w:p>
        </w:tc>
        <w:tc>
          <w:tcPr>
            <w:tcW w:w="1275" w:type="dxa"/>
            <w:tcBorders>
              <w:top w:val="single" w:sz="6" w:space="0" w:color="auto"/>
            </w:tcBorders>
            <w:shd w:val="clear" w:color="auto" w:fill="auto"/>
            <w:vAlign w:val="center"/>
          </w:tcPr>
          <w:p w14:paraId="1F075325"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w:t>
            </w:r>
          </w:p>
        </w:tc>
        <w:tc>
          <w:tcPr>
            <w:tcW w:w="1135" w:type="dxa"/>
            <w:tcBorders>
              <w:top w:val="single" w:sz="6" w:space="0" w:color="auto"/>
            </w:tcBorders>
            <w:shd w:val="clear" w:color="auto" w:fill="auto"/>
            <w:vAlign w:val="center"/>
          </w:tcPr>
          <w:p w14:paraId="770D8216"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3</w:t>
            </w:r>
          </w:p>
        </w:tc>
        <w:tc>
          <w:tcPr>
            <w:tcW w:w="1276" w:type="dxa"/>
            <w:tcBorders>
              <w:top w:val="single" w:sz="6" w:space="0" w:color="auto"/>
            </w:tcBorders>
            <w:shd w:val="clear" w:color="auto" w:fill="auto"/>
            <w:vAlign w:val="center"/>
          </w:tcPr>
          <w:p w14:paraId="5C44896A"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w:t>
            </w:r>
          </w:p>
        </w:tc>
        <w:tc>
          <w:tcPr>
            <w:tcW w:w="1417" w:type="dxa"/>
            <w:tcBorders>
              <w:top w:val="single" w:sz="6" w:space="0" w:color="auto"/>
            </w:tcBorders>
            <w:shd w:val="clear" w:color="auto" w:fill="auto"/>
            <w:vAlign w:val="center"/>
          </w:tcPr>
          <w:p w14:paraId="4C58986D"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3</w:t>
            </w:r>
          </w:p>
        </w:tc>
        <w:tc>
          <w:tcPr>
            <w:tcW w:w="851" w:type="dxa"/>
            <w:tcBorders>
              <w:top w:val="single" w:sz="6" w:space="0" w:color="auto"/>
            </w:tcBorders>
            <w:shd w:val="clear" w:color="auto" w:fill="auto"/>
            <w:vAlign w:val="center"/>
          </w:tcPr>
          <w:p w14:paraId="7DDC5D2B" w14:textId="77777777" w:rsidR="00CD21BE" w:rsidRPr="00FD7B0B" w:rsidRDefault="00CD21BE" w:rsidP="00CD21BE">
            <w:pPr>
              <w:spacing w:after="0" w:line="240" w:lineRule="auto"/>
              <w:jc w:val="center"/>
              <w:rPr>
                <w:rFonts w:ascii="Times New Roman" w:eastAsia="Times New Roman" w:hAnsi="Times New Roman"/>
                <w:bCs/>
                <w:sz w:val="16"/>
                <w:szCs w:val="16"/>
                <w:lang w:eastAsia="ru-RU"/>
              </w:rPr>
            </w:pPr>
            <w:r w:rsidRPr="00FD7B0B">
              <w:rPr>
                <w:rFonts w:ascii="Times New Roman" w:eastAsia="Times New Roman" w:hAnsi="Times New Roman"/>
                <w:bCs/>
                <w:sz w:val="16"/>
                <w:szCs w:val="16"/>
                <w:lang w:eastAsia="ru-RU"/>
              </w:rPr>
              <w:t>3,0</w:t>
            </w:r>
          </w:p>
        </w:tc>
      </w:tr>
    </w:tbl>
    <w:p w14:paraId="3920C8DE" w14:textId="77777777" w:rsidR="00CD21BE" w:rsidRPr="00FD7B0B" w:rsidRDefault="00CD21BE" w:rsidP="00AD52D1">
      <w:pPr>
        <w:spacing w:after="0" w:line="240" w:lineRule="auto"/>
        <w:contextualSpacing/>
        <w:jc w:val="both"/>
        <w:rPr>
          <w:rFonts w:ascii="Times New Roman" w:hAnsi="Times New Roman"/>
          <w:sz w:val="18"/>
          <w:szCs w:val="18"/>
        </w:rPr>
      </w:pPr>
      <w:r w:rsidRPr="00FD7B0B">
        <w:rPr>
          <w:rFonts w:ascii="Times New Roman" w:hAnsi="Times New Roman"/>
          <w:sz w:val="18"/>
          <w:szCs w:val="18"/>
        </w:rPr>
        <w:t>*Оценка проводится аналитически (справочно) и не участвует в формировании итоговой оценки реализации государственной программы.</w:t>
      </w:r>
    </w:p>
    <w:p w14:paraId="39C6B4E1" w14:textId="77777777" w:rsidR="00CD21BE" w:rsidRPr="00FD7B0B" w:rsidRDefault="00CD21BE" w:rsidP="00CD21BE">
      <w:pPr>
        <w:spacing w:after="0" w:line="240" w:lineRule="auto"/>
        <w:ind w:firstLine="709"/>
        <w:contextualSpacing/>
        <w:jc w:val="both"/>
        <w:rPr>
          <w:rFonts w:ascii="Times New Roman" w:hAnsi="Times New Roman"/>
          <w:b/>
          <w:sz w:val="28"/>
          <w:highlight w:val="cyan"/>
        </w:rPr>
      </w:pPr>
    </w:p>
    <w:tbl>
      <w:tblPr>
        <w:tblW w:w="9758" w:type="dxa"/>
        <w:tblInd w:w="131"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395"/>
        <w:gridCol w:w="1843"/>
        <w:gridCol w:w="1559"/>
        <w:gridCol w:w="1842"/>
        <w:gridCol w:w="1897"/>
        <w:gridCol w:w="1222"/>
      </w:tblGrid>
      <w:tr w:rsidR="00FD7B0B" w:rsidRPr="00FD7B0B" w14:paraId="411079B6" w14:textId="77777777" w:rsidTr="00AD52D1">
        <w:trPr>
          <w:trHeight w:val="250"/>
        </w:trPr>
        <w:tc>
          <w:tcPr>
            <w:tcW w:w="9758" w:type="dxa"/>
            <w:gridSpan w:val="6"/>
            <w:shd w:val="clear" w:color="auto" w:fill="auto"/>
            <w:vAlign w:val="center"/>
            <w:hideMark/>
          </w:tcPr>
          <w:p w14:paraId="1715F97A"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Оценка формирования и использования системы показателей исходя из приоритетов социально-экономического развития РФ по результатам проверки исполнения госпрограммы № 28</w:t>
            </w:r>
          </w:p>
        </w:tc>
      </w:tr>
      <w:tr w:rsidR="00FD7B0B" w:rsidRPr="00FD7B0B" w14:paraId="3CAE1431" w14:textId="77777777" w:rsidTr="00CD21BE">
        <w:trPr>
          <w:trHeight w:val="2760"/>
        </w:trPr>
        <w:tc>
          <w:tcPr>
            <w:tcW w:w="1395" w:type="dxa"/>
            <w:shd w:val="clear" w:color="auto" w:fill="auto"/>
            <w:vAlign w:val="center"/>
            <w:hideMark/>
          </w:tcPr>
          <w:p w14:paraId="301A2465"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Оценка состава показателей государственной программы</w:t>
            </w:r>
          </w:p>
        </w:tc>
        <w:tc>
          <w:tcPr>
            <w:tcW w:w="1843" w:type="dxa"/>
            <w:shd w:val="clear" w:color="auto" w:fill="auto"/>
            <w:vAlign w:val="center"/>
            <w:hideMark/>
          </w:tcPr>
          <w:p w14:paraId="75F2F208"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Оценка стабильности состава показателей государственной программы на протяжении отчетного года</w:t>
            </w:r>
          </w:p>
        </w:tc>
        <w:tc>
          <w:tcPr>
            <w:tcW w:w="1559" w:type="dxa"/>
            <w:shd w:val="clear" w:color="auto" w:fill="auto"/>
            <w:vAlign w:val="center"/>
            <w:hideMark/>
          </w:tcPr>
          <w:p w14:paraId="043C17B8"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Оценка динамики плановых (фактических) значений показателей государственной программы</w:t>
            </w:r>
          </w:p>
        </w:tc>
        <w:tc>
          <w:tcPr>
            <w:tcW w:w="1842" w:type="dxa"/>
            <w:shd w:val="clear" w:color="auto" w:fill="auto"/>
            <w:vAlign w:val="center"/>
            <w:hideMark/>
          </w:tcPr>
          <w:p w14:paraId="1066963C"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Оценка количества показателей государственной программы, по которым представлены фактические значения за отчетный год</w:t>
            </w:r>
          </w:p>
        </w:tc>
        <w:tc>
          <w:tcPr>
            <w:tcW w:w="1897" w:type="dxa"/>
            <w:shd w:val="clear" w:color="auto" w:fill="auto"/>
            <w:vAlign w:val="center"/>
            <w:hideMark/>
          </w:tcPr>
          <w:p w14:paraId="4A9E2B9A"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Оценка количества показателей государственной программы, по которым формируется официальная статистическая информация в соответствии с федеральным планом статистических работ и которые рассчитываются по методикам, принятым международными организациями</w:t>
            </w:r>
          </w:p>
        </w:tc>
        <w:tc>
          <w:tcPr>
            <w:tcW w:w="1222" w:type="dxa"/>
            <w:shd w:val="clear" w:color="auto" w:fill="auto"/>
            <w:vAlign w:val="center"/>
            <w:hideMark/>
          </w:tcPr>
          <w:p w14:paraId="30FB8871"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Итого </w:t>
            </w:r>
          </w:p>
        </w:tc>
      </w:tr>
      <w:tr w:rsidR="00FD7B0B" w:rsidRPr="00FD7B0B" w14:paraId="4C1E854C" w14:textId="77777777" w:rsidTr="00CD21BE">
        <w:trPr>
          <w:trHeight w:val="300"/>
        </w:trPr>
        <w:tc>
          <w:tcPr>
            <w:tcW w:w="1395" w:type="dxa"/>
            <w:shd w:val="clear" w:color="auto" w:fill="auto"/>
            <w:vAlign w:val="center"/>
            <w:hideMark/>
          </w:tcPr>
          <w:p w14:paraId="7D497E07"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1843" w:type="dxa"/>
            <w:shd w:val="clear" w:color="auto" w:fill="auto"/>
            <w:vAlign w:val="center"/>
            <w:hideMark/>
          </w:tcPr>
          <w:p w14:paraId="0774D7C5"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w:t>
            </w:r>
          </w:p>
        </w:tc>
        <w:tc>
          <w:tcPr>
            <w:tcW w:w="1559" w:type="dxa"/>
            <w:shd w:val="clear" w:color="auto" w:fill="auto"/>
            <w:vAlign w:val="center"/>
            <w:hideMark/>
          </w:tcPr>
          <w:p w14:paraId="2886528C"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w:t>
            </w:r>
          </w:p>
        </w:tc>
        <w:tc>
          <w:tcPr>
            <w:tcW w:w="1842" w:type="dxa"/>
            <w:shd w:val="clear" w:color="auto" w:fill="auto"/>
            <w:vAlign w:val="center"/>
            <w:hideMark/>
          </w:tcPr>
          <w:p w14:paraId="44197E41"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w:t>
            </w:r>
          </w:p>
        </w:tc>
        <w:tc>
          <w:tcPr>
            <w:tcW w:w="1897" w:type="dxa"/>
            <w:shd w:val="clear" w:color="auto" w:fill="auto"/>
            <w:vAlign w:val="center"/>
            <w:hideMark/>
          </w:tcPr>
          <w:p w14:paraId="210D62B3"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w:t>
            </w:r>
          </w:p>
        </w:tc>
        <w:tc>
          <w:tcPr>
            <w:tcW w:w="1222" w:type="dxa"/>
            <w:shd w:val="clear" w:color="auto" w:fill="auto"/>
            <w:vAlign w:val="center"/>
            <w:hideMark/>
          </w:tcPr>
          <w:p w14:paraId="199033C3"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w:t>
            </w:r>
          </w:p>
        </w:tc>
      </w:tr>
      <w:tr w:rsidR="00FD7B0B" w:rsidRPr="00FD7B0B" w14:paraId="7E37BF97" w14:textId="77777777" w:rsidTr="00CD21BE">
        <w:trPr>
          <w:trHeight w:val="618"/>
        </w:trPr>
        <w:tc>
          <w:tcPr>
            <w:tcW w:w="1395" w:type="dxa"/>
            <w:shd w:val="clear" w:color="000000" w:fill="FF0000"/>
            <w:vAlign w:val="center"/>
            <w:hideMark/>
          </w:tcPr>
          <w:p w14:paraId="49EC9D0F" w14:textId="77777777" w:rsidR="00CD21BE" w:rsidRPr="00FD7B0B" w:rsidRDefault="00CD21BE" w:rsidP="00CD21BE">
            <w:pPr>
              <w:spacing w:after="0" w:line="240" w:lineRule="auto"/>
              <w:jc w:val="center"/>
              <w:rPr>
                <w:rFonts w:ascii="Times New Roman" w:eastAsia="Times New Roman" w:hAnsi="Times New Roman"/>
                <w:bCs/>
                <w:sz w:val="18"/>
                <w:szCs w:val="18"/>
                <w:lang w:eastAsia="ru-RU"/>
              </w:rPr>
            </w:pPr>
            <w:r w:rsidRPr="00FD7B0B">
              <w:rPr>
                <w:rFonts w:ascii="Times New Roman" w:eastAsia="Times New Roman" w:hAnsi="Times New Roman"/>
                <w:bCs/>
                <w:sz w:val="18"/>
                <w:szCs w:val="18"/>
                <w:lang w:eastAsia="ru-RU"/>
              </w:rPr>
              <w:t xml:space="preserve">низкий уровень </w:t>
            </w:r>
          </w:p>
        </w:tc>
        <w:tc>
          <w:tcPr>
            <w:tcW w:w="1843" w:type="dxa"/>
            <w:shd w:val="clear" w:color="000000" w:fill="92D050"/>
            <w:vAlign w:val="center"/>
            <w:hideMark/>
          </w:tcPr>
          <w:p w14:paraId="15522A3C" w14:textId="77777777" w:rsidR="00CD21BE" w:rsidRPr="00FD7B0B" w:rsidRDefault="00CD21BE" w:rsidP="00CD21BE">
            <w:pPr>
              <w:spacing w:after="0" w:line="240" w:lineRule="auto"/>
              <w:jc w:val="center"/>
              <w:rPr>
                <w:rFonts w:ascii="Times New Roman" w:eastAsia="Times New Roman" w:hAnsi="Times New Roman"/>
                <w:bCs/>
                <w:sz w:val="18"/>
                <w:szCs w:val="18"/>
                <w:lang w:eastAsia="ru-RU"/>
              </w:rPr>
            </w:pPr>
            <w:r w:rsidRPr="00FD7B0B">
              <w:rPr>
                <w:rFonts w:ascii="Times New Roman" w:eastAsia="Times New Roman" w:hAnsi="Times New Roman"/>
                <w:bCs/>
                <w:sz w:val="18"/>
                <w:szCs w:val="18"/>
                <w:lang w:eastAsia="ru-RU"/>
              </w:rPr>
              <w:t xml:space="preserve">высокий уровень </w:t>
            </w:r>
          </w:p>
        </w:tc>
        <w:tc>
          <w:tcPr>
            <w:tcW w:w="1559" w:type="dxa"/>
            <w:shd w:val="clear" w:color="000000" w:fill="92D050"/>
            <w:vAlign w:val="center"/>
            <w:hideMark/>
          </w:tcPr>
          <w:p w14:paraId="0C2AF4D9" w14:textId="77777777" w:rsidR="00CD21BE" w:rsidRPr="00FD7B0B" w:rsidRDefault="00CD21BE" w:rsidP="00CD21BE">
            <w:pPr>
              <w:spacing w:after="0" w:line="240" w:lineRule="auto"/>
              <w:jc w:val="center"/>
              <w:rPr>
                <w:rFonts w:ascii="Times New Roman" w:eastAsia="Times New Roman" w:hAnsi="Times New Roman"/>
                <w:bCs/>
                <w:sz w:val="18"/>
                <w:szCs w:val="18"/>
                <w:lang w:eastAsia="ru-RU"/>
              </w:rPr>
            </w:pPr>
            <w:r w:rsidRPr="00FD7B0B">
              <w:rPr>
                <w:rFonts w:ascii="Times New Roman" w:eastAsia="Times New Roman" w:hAnsi="Times New Roman"/>
                <w:bCs/>
                <w:sz w:val="18"/>
                <w:szCs w:val="18"/>
                <w:lang w:eastAsia="ru-RU"/>
              </w:rPr>
              <w:t xml:space="preserve">высокий уровень </w:t>
            </w:r>
          </w:p>
        </w:tc>
        <w:tc>
          <w:tcPr>
            <w:tcW w:w="1842" w:type="dxa"/>
            <w:shd w:val="clear" w:color="000000" w:fill="92D050"/>
            <w:vAlign w:val="center"/>
            <w:hideMark/>
          </w:tcPr>
          <w:p w14:paraId="66FFF362" w14:textId="77777777" w:rsidR="00CD21BE" w:rsidRPr="00FD7B0B" w:rsidRDefault="00CD21BE" w:rsidP="00CD21BE">
            <w:pPr>
              <w:spacing w:after="0" w:line="240" w:lineRule="auto"/>
              <w:jc w:val="center"/>
              <w:rPr>
                <w:rFonts w:ascii="Times New Roman" w:eastAsia="Times New Roman" w:hAnsi="Times New Roman"/>
                <w:bCs/>
                <w:sz w:val="18"/>
                <w:szCs w:val="18"/>
                <w:lang w:eastAsia="ru-RU"/>
              </w:rPr>
            </w:pPr>
            <w:r w:rsidRPr="00FD7B0B">
              <w:rPr>
                <w:rFonts w:ascii="Times New Roman" w:eastAsia="Times New Roman" w:hAnsi="Times New Roman"/>
                <w:bCs/>
                <w:sz w:val="18"/>
                <w:szCs w:val="18"/>
                <w:lang w:eastAsia="ru-RU"/>
              </w:rPr>
              <w:t xml:space="preserve">высокий уровень </w:t>
            </w:r>
          </w:p>
        </w:tc>
        <w:tc>
          <w:tcPr>
            <w:tcW w:w="1897" w:type="dxa"/>
            <w:shd w:val="clear" w:color="000000" w:fill="92D050"/>
            <w:vAlign w:val="center"/>
            <w:hideMark/>
          </w:tcPr>
          <w:p w14:paraId="0428EC8B" w14:textId="77777777" w:rsidR="00CD21BE" w:rsidRPr="00FD7B0B" w:rsidRDefault="00CD21BE" w:rsidP="00CD21BE">
            <w:pPr>
              <w:spacing w:after="0" w:line="240" w:lineRule="auto"/>
              <w:jc w:val="center"/>
              <w:rPr>
                <w:rFonts w:ascii="Times New Roman" w:eastAsia="Times New Roman" w:hAnsi="Times New Roman"/>
                <w:bCs/>
                <w:sz w:val="18"/>
                <w:szCs w:val="18"/>
                <w:lang w:eastAsia="ru-RU"/>
              </w:rPr>
            </w:pPr>
            <w:r w:rsidRPr="00FD7B0B">
              <w:rPr>
                <w:rFonts w:ascii="Times New Roman" w:eastAsia="Times New Roman" w:hAnsi="Times New Roman"/>
                <w:bCs/>
                <w:sz w:val="18"/>
                <w:szCs w:val="18"/>
                <w:lang w:eastAsia="ru-RU"/>
              </w:rPr>
              <w:t xml:space="preserve">высокий уровень </w:t>
            </w:r>
          </w:p>
        </w:tc>
        <w:tc>
          <w:tcPr>
            <w:tcW w:w="1222" w:type="dxa"/>
            <w:shd w:val="clear" w:color="000000" w:fill="92D050"/>
            <w:vAlign w:val="center"/>
            <w:hideMark/>
          </w:tcPr>
          <w:p w14:paraId="3107403A" w14:textId="77777777" w:rsidR="00CD21BE" w:rsidRPr="00FD7B0B" w:rsidRDefault="00CD21BE" w:rsidP="00CD21BE">
            <w:pPr>
              <w:spacing w:after="0" w:line="240" w:lineRule="auto"/>
              <w:jc w:val="center"/>
              <w:rPr>
                <w:rFonts w:ascii="Times New Roman" w:eastAsia="Times New Roman" w:hAnsi="Times New Roman"/>
                <w:bCs/>
                <w:sz w:val="18"/>
                <w:szCs w:val="18"/>
                <w:lang w:eastAsia="ru-RU"/>
              </w:rPr>
            </w:pPr>
            <w:r w:rsidRPr="00FD7B0B">
              <w:rPr>
                <w:rFonts w:ascii="Times New Roman" w:eastAsia="Times New Roman" w:hAnsi="Times New Roman"/>
                <w:bCs/>
                <w:sz w:val="18"/>
                <w:szCs w:val="18"/>
                <w:lang w:eastAsia="ru-RU"/>
              </w:rPr>
              <w:t>уровень выше среднего</w:t>
            </w:r>
          </w:p>
        </w:tc>
      </w:tr>
      <w:tr w:rsidR="00CD21BE" w:rsidRPr="00FD7B0B" w14:paraId="33C8FD0A" w14:textId="77777777" w:rsidTr="00CD21BE">
        <w:trPr>
          <w:trHeight w:val="310"/>
        </w:trPr>
        <w:tc>
          <w:tcPr>
            <w:tcW w:w="1395" w:type="dxa"/>
            <w:shd w:val="clear" w:color="auto" w:fill="auto"/>
            <w:noWrap/>
            <w:vAlign w:val="center"/>
            <w:hideMark/>
          </w:tcPr>
          <w:p w14:paraId="3BBE11D8"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1843" w:type="dxa"/>
            <w:shd w:val="clear" w:color="auto" w:fill="auto"/>
            <w:noWrap/>
            <w:vAlign w:val="center"/>
            <w:hideMark/>
          </w:tcPr>
          <w:p w14:paraId="05BF6D67"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w:t>
            </w:r>
          </w:p>
        </w:tc>
        <w:tc>
          <w:tcPr>
            <w:tcW w:w="1559" w:type="dxa"/>
            <w:shd w:val="clear" w:color="auto" w:fill="auto"/>
            <w:noWrap/>
            <w:vAlign w:val="center"/>
            <w:hideMark/>
          </w:tcPr>
          <w:p w14:paraId="1BD4CB68"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w:t>
            </w:r>
          </w:p>
        </w:tc>
        <w:tc>
          <w:tcPr>
            <w:tcW w:w="1842" w:type="dxa"/>
            <w:shd w:val="clear" w:color="auto" w:fill="auto"/>
            <w:noWrap/>
            <w:vAlign w:val="center"/>
            <w:hideMark/>
          </w:tcPr>
          <w:p w14:paraId="4D8C1718"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w:t>
            </w:r>
          </w:p>
        </w:tc>
        <w:tc>
          <w:tcPr>
            <w:tcW w:w="1897" w:type="dxa"/>
            <w:shd w:val="clear" w:color="auto" w:fill="auto"/>
            <w:noWrap/>
            <w:vAlign w:val="center"/>
            <w:hideMark/>
          </w:tcPr>
          <w:p w14:paraId="125EC40C"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w:t>
            </w:r>
          </w:p>
        </w:tc>
        <w:tc>
          <w:tcPr>
            <w:tcW w:w="1222" w:type="dxa"/>
            <w:shd w:val="clear" w:color="auto" w:fill="auto"/>
            <w:noWrap/>
            <w:vAlign w:val="center"/>
            <w:hideMark/>
          </w:tcPr>
          <w:p w14:paraId="5893A90B" w14:textId="77777777" w:rsidR="00CD21BE" w:rsidRPr="00FD7B0B" w:rsidRDefault="00CD21BE" w:rsidP="00CD21B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2,6</w:t>
            </w:r>
          </w:p>
        </w:tc>
      </w:tr>
    </w:tbl>
    <w:p w14:paraId="40A02DA4" w14:textId="77777777" w:rsidR="00CD21BE" w:rsidRPr="00FD7B0B" w:rsidRDefault="00CD21BE" w:rsidP="00CD21BE">
      <w:pPr>
        <w:spacing w:after="0" w:line="240" w:lineRule="auto"/>
        <w:ind w:firstLine="709"/>
        <w:contextualSpacing/>
        <w:jc w:val="both"/>
        <w:rPr>
          <w:rFonts w:ascii="Times New Roman" w:hAnsi="Times New Roman"/>
          <w:b/>
          <w:sz w:val="28"/>
        </w:rPr>
      </w:pPr>
    </w:p>
    <w:p w14:paraId="5C03D194" w14:textId="77777777" w:rsidR="00CD21BE" w:rsidRPr="00FD7B0B" w:rsidRDefault="00CD21BE" w:rsidP="00CD21BE">
      <w:pPr>
        <w:spacing w:after="0" w:line="240" w:lineRule="auto"/>
        <w:ind w:firstLine="709"/>
        <w:jc w:val="both"/>
        <w:rPr>
          <w:rFonts w:ascii="Times New Roman" w:hAnsi="Times New Roman"/>
          <w:sz w:val="28"/>
        </w:rPr>
      </w:pPr>
      <w:r w:rsidRPr="00FD7B0B">
        <w:rPr>
          <w:rFonts w:ascii="Times New Roman" w:hAnsi="Times New Roman"/>
          <w:sz w:val="28"/>
        </w:rPr>
        <w:t xml:space="preserve">Таким образом, результаты оценки эффективности реализации ГП № 28 по итогам 2024 года в соответствии с Положением о порядке проведения оценки </w:t>
      </w:r>
      <w:r w:rsidRPr="00FD7B0B">
        <w:rPr>
          <w:rFonts w:ascii="Times New Roman" w:hAnsi="Times New Roman"/>
          <w:sz w:val="28"/>
        </w:rPr>
        <w:lastRenderedPageBreak/>
        <w:t>эффективности реализации государственных программ Архангельской области и критериях такой оценки, утвержденным постановлением Правительства Архангельской области от 28.08.2023 № 793-пп в целом соответствуют результатам оценки исполнения ГП № 28 по ресурсам и результатам, а также формирования и использования ее показателей по методике Счетной палаты.</w:t>
      </w:r>
    </w:p>
    <w:p w14:paraId="198C1547" w14:textId="77777777" w:rsidR="00CD21BE" w:rsidRPr="00FD7B0B" w:rsidRDefault="00CD21BE" w:rsidP="00CD21BE">
      <w:pPr>
        <w:spacing w:after="0" w:line="240" w:lineRule="auto"/>
        <w:ind w:firstLine="709"/>
        <w:contextualSpacing/>
        <w:jc w:val="both"/>
        <w:rPr>
          <w:rFonts w:ascii="Times New Roman" w:hAnsi="Times New Roman"/>
          <w:b/>
          <w:sz w:val="28"/>
        </w:rPr>
      </w:pPr>
    </w:p>
    <w:p w14:paraId="2E18F799" w14:textId="77777777" w:rsidR="00CD21BE" w:rsidRPr="00FD7B0B" w:rsidRDefault="00CD21BE" w:rsidP="00CD21BE">
      <w:pPr>
        <w:spacing w:after="0" w:line="240" w:lineRule="auto"/>
        <w:ind w:firstLine="709"/>
        <w:contextualSpacing/>
        <w:jc w:val="both"/>
        <w:rPr>
          <w:rFonts w:ascii="Times New Roman" w:hAnsi="Times New Roman"/>
          <w:b/>
          <w:sz w:val="28"/>
        </w:rPr>
      </w:pPr>
      <w:r w:rsidRPr="00FD7B0B">
        <w:rPr>
          <w:rFonts w:ascii="Times New Roman" w:hAnsi="Times New Roman"/>
          <w:b/>
          <w:sz w:val="28"/>
        </w:rPr>
        <w:t>В рамках проведенного анализа выявлены следующие основные недостатки ГП № 28:</w:t>
      </w:r>
    </w:p>
    <w:p w14:paraId="2ABBB309" w14:textId="77777777" w:rsidR="00CD21BE" w:rsidRPr="00FD7B0B" w:rsidRDefault="00CD21BE" w:rsidP="002A2799">
      <w:pPr>
        <w:pStyle w:val="a8"/>
        <w:numPr>
          <w:ilvl w:val="0"/>
          <w:numId w:val="14"/>
        </w:numPr>
        <w:ind w:left="0" w:firstLine="709"/>
        <w:jc w:val="both"/>
        <w:rPr>
          <w:sz w:val="28"/>
        </w:rPr>
      </w:pPr>
      <w:r w:rsidRPr="00FD7B0B">
        <w:rPr>
          <w:sz w:val="28"/>
        </w:rPr>
        <w:t>При анализе показателей госпрограммы установлено незначительное количество показателей, которые направлены на конечные результаты и итоговые эффекты реализации госпрограммы в целом.</w:t>
      </w:r>
    </w:p>
    <w:p w14:paraId="7DD02B1F" w14:textId="77777777" w:rsidR="00CD21BE" w:rsidRPr="00FD7B0B" w:rsidRDefault="00CD21BE" w:rsidP="002A2799">
      <w:pPr>
        <w:pStyle w:val="a8"/>
        <w:numPr>
          <w:ilvl w:val="0"/>
          <w:numId w:val="14"/>
        </w:numPr>
        <w:ind w:left="0" w:firstLine="709"/>
        <w:jc w:val="both"/>
        <w:rPr>
          <w:sz w:val="28"/>
          <w:szCs w:val="28"/>
        </w:rPr>
      </w:pPr>
      <w:r w:rsidRPr="00FD7B0B">
        <w:rPr>
          <w:sz w:val="28"/>
          <w:szCs w:val="28"/>
        </w:rPr>
        <w:t>Наблюдается низкая оценка качества планирования и управления реализацией госпрограммой, что обусловлено следующими факторами:</w:t>
      </w:r>
    </w:p>
    <w:p w14:paraId="36132FB6"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фактический срок завершения более двух контрольных точек плана реализации наступил ранее трех месяцев от даты, определенной в плане реализации государственной программы на отчетный год (недостаточное качество планирования);</w:t>
      </w:r>
    </w:p>
    <w:p w14:paraId="191A1EE1"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несоблюдение сроков приведения госпрограммы в соответствие с областным законом об областном бюджете;</w:t>
      </w:r>
    </w:p>
    <w:p w14:paraId="1A1F5556"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отчетная информация первоначально не содержала полного объема сведений, что затруднило объективную оценку хода выполнения госпрограммы;</w:t>
      </w:r>
    </w:p>
    <w:p w14:paraId="3F19958A" w14:textId="77777777" w:rsidR="00CD21BE" w:rsidRPr="00FD7B0B" w:rsidRDefault="00CD21BE" w:rsidP="00CD21B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неполное наличие актуальной информации о реализации госпрограммы на официальном сайте Правительства Архангельской области.</w:t>
      </w:r>
    </w:p>
    <w:p w14:paraId="52605561" w14:textId="0FA20A0E" w:rsidR="008E689B" w:rsidRPr="00FD7B0B" w:rsidRDefault="009B516C" w:rsidP="008E689B">
      <w:pPr>
        <w:pStyle w:val="3"/>
        <w:spacing w:line="240" w:lineRule="auto"/>
        <w:jc w:val="center"/>
        <w:rPr>
          <w:rFonts w:ascii="Times New Roman" w:hAnsi="Times New Roman"/>
          <w:b w:val="0"/>
          <w:sz w:val="28"/>
          <w:szCs w:val="28"/>
          <w:u w:val="single"/>
          <w:lang w:val="ru-RU"/>
        </w:rPr>
      </w:pPr>
      <w:bookmarkStart w:id="147" w:name="_Toc198819150"/>
      <w:r w:rsidRPr="00FD7B0B">
        <w:rPr>
          <w:rFonts w:ascii="Times New Roman" w:hAnsi="Times New Roman"/>
          <w:b w:val="0"/>
          <w:sz w:val="28"/>
          <w:szCs w:val="28"/>
          <w:u w:val="single"/>
          <w:lang w:val="ru-RU"/>
        </w:rPr>
        <w:t>4</w:t>
      </w:r>
      <w:r w:rsidR="008E689B" w:rsidRPr="00FD7B0B">
        <w:rPr>
          <w:rFonts w:ascii="Times New Roman" w:hAnsi="Times New Roman"/>
          <w:b w:val="0"/>
          <w:sz w:val="28"/>
          <w:szCs w:val="28"/>
          <w:u w:val="single"/>
          <w:lang w:val="ru-RU"/>
        </w:rPr>
        <w:t>.</w:t>
      </w:r>
      <w:r w:rsidR="00671A9D" w:rsidRPr="00FD7B0B">
        <w:rPr>
          <w:rFonts w:ascii="Times New Roman" w:hAnsi="Times New Roman"/>
          <w:b w:val="0"/>
          <w:sz w:val="28"/>
          <w:szCs w:val="28"/>
          <w:u w:val="single"/>
          <w:lang w:val="ru-RU"/>
        </w:rPr>
        <w:t>3</w:t>
      </w:r>
      <w:r w:rsidR="008E689B" w:rsidRPr="00FD7B0B">
        <w:rPr>
          <w:rFonts w:ascii="Times New Roman" w:hAnsi="Times New Roman"/>
          <w:b w:val="0"/>
          <w:sz w:val="28"/>
          <w:szCs w:val="28"/>
          <w:u w:val="single"/>
          <w:lang w:val="ru-RU"/>
        </w:rPr>
        <w:t>.</w:t>
      </w:r>
      <w:r w:rsidR="007F7958" w:rsidRPr="00FD7B0B">
        <w:rPr>
          <w:rFonts w:ascii="Times New Roman" w:hAnsi="Times New Roman"/>
          <w:b w:val="0"/>
          <w:sz w:val="28"/>
          <w:szCs w:val="28"/>
          <w:u w:val="single"/>
          <w:lang w:val="ru-RU"/>
        </w:rPr>
        <w:t>17</w:t>
      </w:r>
      <w:r w:rsidR="008E689B" w:rsidRPr="00FD7B0B">
        <w:rPr>
          <w:rFonts w:ascii="Times New Roman" w:hAnsi="Times New Roman"/>
          <w:b w:val="0"/>
          <w:sz w:val="28"/>
          <w:szCs w:val="28"/>
          <w:u w:val="single"/>
          <w:lang w:val="ru-RU"/>
        </w:rPr>
        <w:t xml:space="preserve">. Государственная программа Архангельской области </w:t>
      </w:r>
      <w:r w:rsidR="00743ABC" w:rsidRPr="00FD7B0B">
        <w:rPr>
          <w:rFonts w:ascii="Times New Roman" w:hAnsi="Times New Roman"/>
          <w:b w:val="0"/>
          <w:sz w:val="28"/>
          <w:szCs w:val="28"/>
          <w:u w:val="single"/>
          <w:lang w:val="ru-RU"/>
        </w:rPr>
        <w:t>«</w:t>
      </w:r>
      <w:r w:rsidR="008E689B" w:rsidRPr="00FD7B0B">
        <w:rPr>
          <w:rFonts w:ascii="Times New Roman" w:hAnsi="Times New Roman"/>
          <w:b w:val="0"/>
          <w:sz w:val="28"/>
          <w:szCs w:val="28"/>
          <w:u w:val="single"/>
          <w:lang w:val="ru-RU"/>
        </w:rPr>
        <w:t>Молодежь Поморья</w:t>
      </w:r>
      <w:r w:rsidR="00743ABC" w:rsidRPr="00FD7B0B">
        <w:rPr>
          <w:rFonts w:ascii="Times New Roman" w:hAnsi="Times New Roman"/>
          <w:b w:val="0"/>
          <w:sz w:val="28"/>
          <w:szCs w:val="28"/>
          <w:u w:val="single"/>
          <w:lang w:val="ru-RU"/>
        </w:rPr>
        <w:t>»</w:t>
      </w:r>
      <w:bookmarkEnd w:id="147"/>
    </w:p>
    <w:p w14:paraId="7694221D" w14:textId="779EF015" w:rsidR="00FA150E" w:rsidRPr="00FD7B0B" w:rsidRDefault="00FA150E" w:rsidP="00D62A10">
      <w:pPr>
        <w:spacing w:after="0" w:line="240" w:lineRule="auto"/>
        <w:ind w:firstLine="709"/>
        <w:jc w:val="both"/>
        <w:rPr>
          <w:rFonts w:ascii="Times New Roman" w:hAnsi="Times New Roman"/>
          <w:sz w:val="28"/>
          <w:szCs w:val="28"/>
          <w:lang w:eastAsia="ru-RU"/>
        </w:rPr>
      </w:pPr>
      <w:r w:rsidRPr="00FD7B0B">
        <w:rPr>
          <w:rFonts w:ascii="Times New Roman" w:hAnsi="Times New Roman"/>
          <w:sz w:val="28"/>
          <w:szCs w:val="28"/>
          <w:lang w:eastAsia="ru-RU"/>
        </w:rPr>
        <w:t>Государственная программа Архангельской области «Молодежь Поморья» утверждена постановлением Правительства Архангельской области от 09.10.2020 № 659-пп (</w:t>
      </w:r>
      <w:r w:rsidR="00525C8B" w:rsidRPr="00FD7B0B">
        <w:rPr>
          <w:rFonts w:ascii="Times New Roman" w:hAnsi="Times New Roman"/>
          <w:sz w:val="28"/>
          <w:szCs w:val="28"/>
          <w:lang w:eastAsia="ru-RU"/>
        </w:rPr>
        <w:t>далее – ГП № 29, госпрограмма).</w:t>
      </w:r>
    </w:p>
    <w:p w14:paraId="2BEDA51A" w14:textId="269FB3DB" w:rsidR="00FA150E" w:rsidRPr="00FD7B0B" w:rsidRDefault="00FA150E" w:rsidP="00D62A10">
      <w:pPr>
        <w:spacing w:after="0" w:line="240" w:lineRule="auto"/>
        <w:ind w:firstLine="709"/>
        <w:jc w:val="both"/>
        <w:rPr>
          <w:rFonts w:ascii="Times New Roman" w:hAnsi="Times New Roman"/>
          <w:sz w:val="28"/>
          <w:szCs w:val="28"/>
          <w:lang w:eastAsia="ru-RU"/>
        </w:rPr>
      </w:pPr>
      <w:r w:rsidRPr="00FD7B0B">
        <w:rPr>
          <w:rFonts w:ascii="Times New Roman" w:hAnsi="Times New Roman"/>
          <w:sz w:val="28"/>
          <w:szCs w:val="28"/>
          <w:lang w:eastAsia="ru-RU"/>
        </w:rPr>
        <w:t xml:space="preserve">Ответственным исполнителем госпрограммы является агентство по делам </w:t>
      </w:r>
      <w:r w:rsidR="00525C8B" w:rsidRPr="00FD7B0B">
        <w:rPr>
          <w:rFonts w:ascii="Times New Roman" w:hAnsi="Times New Roman"/>
          <w:sz w:val="28"/>
          <w:szCs w:val="28"/>
          <w:lang w:eastAsia="ru-RU"/>
        </w:rPr>
        <w:t>молодежи Архангельской области.</w:t>
      </w:r>
    </w:p>
    <w:p w14:paraId="56E3A5F1" w14:textId="77777777" w:rsidR="00FA150E" w:rsidRPr="00FD7B0B" w:rsidRDefault="00FA150E" w:rsidP="00D62A10">
      <w:pPr>
        <w:spacing w:after="0" w:line="240" w:lineRule="auto"/>
        <w:ind w:firstLine="709"/>
        <w:jc w:val="both"/>
        <w:rPr>
          <w:rFonts w:ascii="Times New Roman" w:hAnsi="Times New Roman"/>
          <w:sz w:val="28"/>
          <w:szCs w:val="28"/>
          <w:lang w:eastAsia="ru-RU"/>
        </w:rPr>
      </w:pPr>
      <w:r w:rsidRPr="00FD7B0B">
        <w:rPr>
          <w:rFonts w:ascii="Times New Roman" w:hAnsi="Times New Roman"/>
          <w:sz w:val="28"/>
          <w:szCs w:val="28"/>
          <w:lang w:eastAsia="ru-RU"/>
        </w:rPr>
        <w:t>Структура госпрограммы № 29 на 2024 год состоит из:</w:t>
      </w:r>
    </w:p>
    <w:p w14:paraId="76620409" w14:textId="77777777" w:rsidR="00FA150E" w:rsidRPr="00FD7B0B" w:rsidRDefault="00FA150E" w:rsidP="00D62A10">
      <w:pPr>
        <w:spacing w:after="0" w:line="240" w:lineRule="auto"/>
        <w:ind w:firstLine="709"/>
        <w:jc w:val="both"/>
        <w:rPr>
          <w:rFonts w:ascii="Times New Roman" w:eastAsia="Times New Roman" w:hAnsi="Times New Roman"/>
          <w:bCs/>
          <w:sz w:val="28"/>
          <w:szCs w:val="28"/>
          <w:lang w:eastAsia="ru-RU"/>
        </w:rPr>
      </w:pPr>
      <w:r w:rsidRPr="00FD7B0B">
        <w:rPr>
          <w:rFonts w:ascii="Times New Roman" w:eastAsia="Times New Roman" w:hAnsi="Times New Roman"/>
          <w:bCs/>
          <w:sz w:val="28"/>
          <w:szCs w:val="28"/>
          <w:lang w:eastAsia="ru-RU"/>
        </w:rPr>
        <w:t>Проектная часть госпрограммы № 29, в которую входят:</w:t>
      </w:r>
    </w:p>
    <w:p w14:paraId="2941C648" w14:textId="77777777" w:rsidR="00FA150E" w:rsidRPr="00FD7B0B" w:rsidRDefault="00FA150E" w:rsidP="00D62A10">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Региональный проект «Патриотическое воспитание граждан Российской Федерации (Архангельская область)»;</w:t>
      </w:r>
    </w:p>
    <w:p w14:paraId="5B60791E" w14:textId="77777777" w:rsidR="00FA150E" w:rsidRPr="00FD7B0B" w:rsidRDefault="00FA150E" w:rsidP="00D62A10">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Региональный проект «Развитие системы поддержки молодежи («Молодежь России») (Архангельская область)».</w:t>
      </w:r>
    </w:p>
    <w:p w14:paraId="1F13603F" w14:textId="77777777" w:rsidR="00FA150E" w:rsidRPr="00FD7B0B" w:rsidRDefault="00FA150E" w:rsidP="00D62A10">
      <w:pPr>
        <w:spacing w:after="0" w:line="240" w:lineRule="auto"/>
        <w:ind w:firstLine="709"/>
        <w:jc w:val="both"/>
        <w:rPr>
          <w:rFonts w:ascii="Times New Roman" w:hAnsi="Times New Roman"/>
          <w:sz w:val="28"/>
          <w:szCs w:val="28"/>
          <w:lang w:eastAsia="ru-RU"/>
        </w:rPr>
      </w:pPr>
      <w:r w:rsidRPr="00FD7B0B">
        <w:rPr>
          <w:rFonts w:ascii="Times New Roman" w:hAnsi="Times New Roman"/>
          <w:bCs/>
          <w:sz w:val="28"/>
          <w:szCs w:val="28"/>
          <w:lang w:eastAsia="ru-RU"/>
        </w:rPr>
        <w:t>Процессная часть госпрограммы № 29, в которую входят:</w:t>
      </w:r>
    </w:p>
    <w:p w14:paraId="45601D63" w14:textId="77777777" w:rsidR="00FA150E" w:rsidRPr="00FD7B0B" w:rsidRDefault="00FA150E" w:rsidP="00D62A10">
      <w:pPr>
        <w:spacing w:after="0" w:line="240" w:lineRule="auto"/>
        <w:ind w:firstLine="709"/>
        <w:jc w:val="both"/>
        <w:rPr>
          <w:rFonts w:ascii="Times New Roman" w:hAnsi="Times New Roman"/>
          <w:sz w:val="28"/>
          <w:szCs w:val="28"/>
          <w:lang w:eastAsia="ru-RU"/>
        </w:rPr>
      </w:pPr>
      <w:r w:rsidRPr="00FD7B0B">
        <w:rPr>
          <w:rFonts w:ascii="Times New Roman" w:hAnsi="Times New Roman"/>
          <w:sz w:val="28"/>
          <w:szCs w:val="28"/>
          <w:lang w:eastAsia="ru-RU"/>
        </w:rPr>
        <w:t>- Комплекс процессных мероприятий «Развитие сферы государственной молодежной политики Архангельской области».</w:t>
      </w:r>
    </w:p>
    <w:p w14:paraId="13544A44" w14:textId="57C3945A" w:rsidR="00FA150E" w:rsidRPr="00FD7B0B" w:rsidRDefault="00FA150E" w:rsidP="00D62A1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На реализацию ГП № 29 на 2024 год в редакции, действующей на 31.12.2024, утверждено финансирование за счет средств областного бюджета в общей сумме 780,3 млн.руб.</w:t>
      </w:r>
    </w:p>
    <w:p w14:paraId="23B1CA60" w14:textId="749611A4" w:rsidR="00FA150E" w:rsidRPr="00FD7B0B" w:rsidRDefault="00FA150E" w:rsidP="00D62A1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Областным законом «Об областном бюджете на 2024 год</w:t>
      </w:r>
      <w:r w:rsidR="00525C8B" w:rsidRPr="00FD7B0B">
        <w:rPr>
          <w:rFonts w:ascii="Times New Roman" w:eastAsia="Times New Roman" w:hAnsi="Times New Roman"/>
          <w:sz w:val="28"/>
          <w:szCs w:val="28"/>
          <w:lang w:eastAsia="ru-RU"/>
        </w:rPr>
        <w:t>»</w:t>
      </w:r>
      <w:r w:rsidRPr="00FD7B0B">
        <w:rPr>
          <w:rFonts w:ascii="Times New Roman" w:eastAsia="Times New Roman" w:hAnsi="Times New Roman"/>
          <w:sz w:val="28"/>
          <w:szCs w:val="28"/>
          <w:lang w:eastAsia="ru-RU"/>
        </w:rPr>
        <w:t>, в редакции, действующей на 01.01.2024, расходы на реализацию мероприятий ГП № 29 утверждены в общей сумме 798,4 млн.руб.</w:t>
      </w:r>
    </w:p>
    <w:p w14:paraId="76AD9D23" w14:textId="2AE1EBD4" w:rsidR="00FA150E" w:rsidRPr="00FD7B0B" w:rsidRDefault="00FA150E" w:rsidP="00D62A10">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течение отчетного периода областными законами о внесении изменений и дополнений в закон «Об областном бюджете» общая сумма ассигнований на реализацию мероприятий ГП № 29 уменьшена на 11,6 млн.руб. и на 31.12.2024 составила 786,8 млн.руб. Сведения в разрезе структурных элементов и исполнителей госпр</w:t>
      </w:r>
      <w:r w:rsidR="00D62A10" w:rsidRPr="00FD7B0B">
        <w:rPr>
          <w:rFonts w:ascii="Times New Roman" w:eastAsia="Times New Roman" w:hAnsi="Times New Roman"/>
          <w:sz w:val="28"/>
          <w:szCs w:val="28"/>
          <w:lang w:eastAsia="ru-RU"/>
        </w:rPr>
        <w:t xml:space="preserve">ограммы представлены в таблице </w:t>
      </w:r>
      <w:r w:rsidR="00542A1F" w:rsidRPr="00FD7B0B">
        <w:rPr>
          <w:rFonts w:ascii="Times New Roman" w:eastAsia="Times New Roman" w:hAnsi="Times New Roman"/>
          <w:sz w:val="28"/>
          <w:szCs w:val="28"/>
          <w:lang w:eastAsia="ru-RU"/>
        </w:rPr>
        <w:t>229</w:t>
      </w:r>
      <w:r w:rsidRPr="00FD7B0B">
        <w:rPr>
          <w:rFonts w:ascii="Times New Roman" w:eastAsia="Times New Roman" w:hAnsi="Times New Roman"/>
          <w:sz w:val="28"/>
          <w:szCs w:val="28"/>
          <w:lang w:eastAsia="ru-RU"/>
        </w:rPr>
        <w:t>.</w:t>
      </w:r>
    </w:p>
    <w:p w14:paraId="7D7246DD" w14:textId="77777777" w:rsidR="00FA150E" w:rsidRPr="00FD7B0B" w:rsidRDefault="00FA150E" w:rsidP="00FA150E">
      <w:pPr>
        <w:spacing w:after="0" w:line="240" w:lineRule="auto"/>
        <w:ind w:firstLine="851"/>
        <w:contextualSpacing/>
        <w:jc w:val="both"/>
        <w:rPr>
          <w:rFonts w:ascii="Times New Roman" w:eastAsia="Times New Roman" w:hAnsi="Times New Roman"/>
          <w:sz w:val="28"/>
          <w:szCs w:val="28"/>
          <w:highlight w:val="cyan"/>
          <w:lang w:eastAsia="ru-RU"/>
        </w:rPr>
      </w:pPr>
    </w:p>
    <w:p w14:paraId="241595EE" w14:textId="77777777" w:rsidR="00FA150E" w:rsidRPr="00FD7B0B" w:rsidRDefault="00FA150E" w:rsidP="00FA150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229</w:t>
      </w:r>
      <w:r w:rsidRPr="00FD7B0B">
        <w:rPr>
          <w:rFonts w:ascii="Times New Roman" w:hAnsi="Times New Roman"/>
          <w:b w:val="0"/>
          <w:sz w:val="24"/>
          <w:szCs w:val="24"/>
        </w:rPr>
        <w:fldChar w:fldCharType="end"/>
      </w:r>
      <w:r w:rsidRPr="00FD7B0B">
        <w:rPr>
          <w:rFonts w:ascii="Times New Roman" w:hAnsi="Times New Roman"/>
          <w:b w:val="0"/>
          <w:sz w:val="24"/>
          <w:szCs w:val="24"/>
        </w:rPr>
        <w:t>. Показатели областного закона «Об областном бюджете» в части бюджетных ассигнований на реализацию ГП № 29 в разрезе структурных элементов и исполнителей, млн.руб.</w:t>
      </w:r>
    </w:p>
    <w:tbl>
      <w:tblPr>
        <w:tblW w:w="9639"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820"/>
        <w:gridCol w:w="1560"/>
        <w:gridCol w:w="1559"/>
        <w:gridCol w:w="992"/>
        <w:gridCol w:w="708"/>
      </w:tblGrid>
      <w:tr w:rsidR="00FD7B0B" w:rsidRPr="00FD7B0B" w14:paraId="7B66964E" w14:textId="77777777" w:rsidTr="009F06F6">
        <w:trPr>
          <w:trHeight w:val="277"/>
        </w:trPr>
        <w:tc>
          <w:tcPr>
            <w:tcW w:w="4820" w:type="dxa"/>
            <w:vMerge w:val="restart"/>
            <w:shd w:val="clear" w:color="auto" w:fill="auto"/>
            <w:vAlign w:val="center"/>
            <w:hideMark/>
          </w:tcPr>
          <w:p w14:paraId="6B2598DC"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Подпрограмма, исполнитель</w:t>
            </w:r>
          </w:p>
        </w:tc>
        <w:tc>
          <w:tcPr>
            <w:tcW w:w="1560" w:type="dxa"/>
            <w:vMerge w:val="restart"/>
            <w:shd w:val="clear" w:color="auto" w:fill="auto"/>
            <w:vAlign w:val="center"/>
            <w:hideMark/>
          </w:tcPr>
          <w:p w14:paraId="1C66221D"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Закон в ред. на 01.01.2024 (в ред. 15.12.2023)</w:t>
            </w:r>
          </w:p>
        </w:tc>
        <w:tc>
          <w:tcPr>
            <w:tcW w:w="1559" w:type="dxa"/>
            <w:vMerge w:val="restart"/>
            <w:shd w:val="clear" w:color="auto" w:fill="auto"/>
            <w:vAlign w:val="center"/>
            <w:hideMark/>
          </w:tcPr>
          <w:p w14:paraId="1537857C"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Закон в ред. на 31.12.2024 (в ред. 23.12.2024)</w:t>
            </w:r>
          </w:p>
        </w:tc>
        <w:tc>
          <w:tcPr>
            <w:tcW w:w="1700" w:type="dxa"/>
            <w:gridSpan w:val="2"/>
            <w:shd w:val="clear" w:color="auto" w:fill="auto"/>
            <w:vAlign w:val="center"/>
            <w:hideMark/>
          </w:tcPr>
          <w:p w14:paraId="0E089C73"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Изменения (+/-)</w:t>
            </w:r>
          </w:p>
        </w:tc>
      </w:tr>
      <w:tr w:rsidR="00FD7B0B" w:rsidRPr="00FD7B0B" w14:paraId="50687766" w14:textId="77777777" w:rsidTr="009F06F6">
        <w:trPr>
          <w:trHeight w:val="360"/>
        </w:trPr>
        <w:tc>
          <w:tcPr>
            <w:tcW w:w="4820" w:type="dxa"/>
            <w:vMerge/>
            <w:vAlign w:val="center"/>
            <w:hideMark/>
          </w:tcPr>
          <w:p w14:paraId="29A126D3" w14:textId="77777777" w:rsidR="00FA150E" w:rsidRPr="00FD7B0B" w:rsidRDefault="00FA150E" w:rsidP="00FA150E">
            <w:pPr>
              <w:spacing w:after="0" w:line="240" w:lineRule="auto"/>
              <w:rPr>
                <w:rFonts w:ascii="Times New Roman" w:eastAsia="Times New Roman" w:hAnsi="Times New Roman"/>
                <w:sz w:val="18"/>
                <w:szCs w:val="18"/>
                <w:lang w:eastAsia="ru-RU"/>
              </w:rPr>
            </w:pPr>
          </w:p>
        </w:tc>
        <w:tc>
          <w:tcPr>
            <w:tcW w:w="1560" w:type="dxa"/>
            <w:vMerge/>
            <w:vAlign w:val="center"/>
            <w:hideMark/>
          </w:tcPr>
          <w:p w14:paraId="265B2321" w14:textId="77777777" w:rsidR="00FA150E" w:rsidRPr="00FD7B0B" w:rsidRDefault="00FA150E" w:rsidP="00FA150E">
            <w:pPr>
              <w:spacing w:after="0" w:line="240" w:lineRule="auto"/>
              <w:rPr>
                <w:rFonts w:ascii="Times New Roman" w:eastAsia="Times New Roman" w:hAnsi="Times New Roman"/>
                <w:sz w:val="18"/>
                <w:szCs w:val="18"/>
                <w:lang w:eastAsia="ru-RU"/>
              </w:rPr>
            </w:pPr>
          </w:p>
        </w:tc>
        <w:tc>
          <w:tcPr>
            <w:tcW w:w="1559" w:type="dxa"/>
            <w:vMerge/>
            <w:vAlign w:val="center"/>
            <w:hideMark/>
          </w:tcPr>
          <w:p w14:paraId="115F5E7E" w14:textId="77777777" w:rsidR="00FA150E" w:rsidRPr="00FD7B0B" w:rsidRDefault="00FA150E" w:rsidP="00FA150E">
            <w:pPr>
              <w:spacing w:after="0" w:line="240" w:lineRule="auto"/>
              <w:rPr>
                <w:rFonts w:ascii="Times New Roman" w:eastAsia="Times New Roman" w:hAnsi="Times New Roman"/>
                <w:sz w:val="18"/>
                <w:szCs w:val="18"/>
                <w:lang w:eastAsia="ru-RU"/>
              </w:rPr>
            </w:pPr>
          </w:p>
        </w:tc>
        <w:tc>
          <w:tcPr>
            <w:tcW w:w="992" w:type="dxa"/>
            <w:shd w:val="clear" w:color="auto" w:fill="auto"/>
            <w:vAlign w:val="center"/>
            <w:hideMark/>
          </w:tcPr>
          <w:p w14:paraId="12B8AF6A"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млн.руб.</w:t>
            </w:r>
          </w:p>
        </w:tc>
        <w:tc>
          <w:tcPr>
            <w:tcW w:w="708" w:type="dxa"/>
            <w:shd w:val="clear" w:color="auto" w:fill="auto"/>
            <w:vAlign w:val="center"/>
            <w:hideMark/>
          </w:tcPr>
          <w:p w14:paraId="522E2C5B"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w:t>
            </w:r>
          </w:p>
        </w:tc>
      </w:tr>
      <w:tr w:rsidR="00FD7B0B" w:rsidRPr="00FD7B0B" w14:paraId="6220B39E" w14:textId="77777777" w:rsidTr="009F06F6">
        <w:trPr>
          <w:trHeight w:val="175"/>
        </w:trPr>
        <w:tc>
          <w:tcPr>
            <w:tcW w:w="4820" w:type="dxa"/>
            <w:shd w:val="clear" w:color="auto" w:fill="auto"/>
            <w:noWrap/>
            <w:vAlign w:val="center"/>
            <w:hideMark/>
          </w:tcPr>
          <w:p w14:paraId="52B963D0" w14:textId="77777777" w:rsidR="00FA150E" w:rsidRPr="00FD7B0B" w:rsidRDefault="00FA150E" w:rsidP="00FA150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Областной бюджет (всего), из них</w:t>
            </w:r>
          </w:p>
        </w:tc>
        <w:tc>
          <w:tcPr>
            <w:tcW w:w="1560" w:type="dxa"/>
            <w:shd w:val="clear" w:color="auto" w:fill="auto"/>
            <w:vAlign w:val="center"/>
            <w:hideMark/>
          </w:tcPr>
          <w:p w14:paraId="2D3701A6"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798,4</w:t>
            </w:r>
          </w:p>
        </w:tc>
        <w:tc>
          <w:tcPr>
            <w:tcW w:w="1559" w:type="dxa"/>
            <w:shd w:val="clear" w:color="auto" w:fill="auto"/>
            <w:vAlign w:val="center"/>
            <w:hideMark/>
          </w:tcPr>
          <w:p w14:paraId="3247040A"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786,8</w:t>
            </w:r>
          </w:p>
        </w:tc>
        <w:tc>
          <w:tcPr>
            <w:tcW w:w="992" w:type="dxa"/>
            <w:shd w:val="clear" w:color="auto" w:fill="auto"/>
            <w:vAlign w:val="center"/>
            <w:hideMark/>
          </w:tcPr>
          <w:p w14:paraId="6972B917"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-11,6</w:t>
            </w:r>
          </w:p>
        </w:tc>
        <w:tc>
          <w:tcPr>
            <w:tcW w:w="708" w:type="dxa"/>
            <w:shd w:val="clear" w:color="auto" w:fill="auto"/>
            <w:vAlign w:val="center"/>
            <w:hideMark/>
          </w:tcPr>
          <w:p w14:paraId="71338FCE"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-1,5</w:t>
            </w:r>
          </w:p>
        </w:tc>
      </w:tr>
      <w:tr w:rsidR="00FD7B0B" w:rsidRPr="00FD7B0B" w14:paraId="185F2F6C" w14:textId="77777777" w:rsidTr="009F06F6">
        <w:trPr>
          <w:trHeight w:val="377"/>
        </w:trPr>
        <w:tc>
          <w:tcPr>
            <w:tcW w:w="4820" w:type="dxa"/>
            <w:shd w:val="clear" w:color="auto" w:fill="auto"/>
            <w:vAlign w:val="center"/>
            <w:hideMark/>
          </w:tcPr>
          <w:p w14:paraId="1B978FE3" w14:textId="77777777" w:rsidR="00FA150E" w:rsidRPr="00FD7B0B" w:rsidRDefault="00FA150E" w:rsidP="00FA150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Региональный проект «Патриотическое воспитание граждан Российской Федерации (Архангельская область)»</w:t>
            </w:r>
          </w:p>
        </w:tc>
        <w:tc>
          <w:tcPr>
            <w:tcW w:w="1560" w:type="dxa"/>
            <w:shd w:val="clear" w:color="auto" w:fill="auto"/>
            <w:vAlign w:val="center"/>
            <w:hideMark/>
          </w:tcPr>
          <w:p w14:paraId="2077C8FD"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109,1</w:t>
            </w:r>
          </w:p>
        </w:tc>
        <w:tc>
          <w:tcPr>
            <w:tcW w:w="1559" w:type="dxa"/>
            <w:shd w:val="clear" w:color="auto" w:fill="auto"/>
            <w:vAlign w:val="center"/>
            <w:hideMark/>
          </w:tcPr>
          <w:p w14:paraId="2E665D5D"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109,1</w:t>
            </w:r>
          </w:p>
        </w:tc>
        <w:tc>
          <w:tcPr>
            <w:tcW w:w="992" w:type="dxa"/>
            <w:shd w:val="clear" w:color="auto" w:fill="auto"/>
            <w:vAlign w:val="center"/>
            <w:hideMark/>
          </w:tcPr>
          <w:p w14:paraId="28188F41"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708" w:type="dxa"/>
            <w:shd w:val="clear" w:color="auto" w:fill="auto"/>
            <w:vAlign w:val="center"/>
            <w:hideMark/>
          </w:tcPr>
          <w:p w14:paraId="513C7B9E"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r>
      <w:tr w:rsidR="00FD7B0B" w:rsidRPr="00FD7B0B" w14:paraId="72819625" w14:textId="77777777" w:rsidTr="009F06F6">
        <w:trPr>
          <w:trHeight w:val="38"/>
        </w:trPr>
        <w:tc>
          <w:tcPr>
            <w:tcW w:w="4820" w:type="dxa"/>
            <w:shd w:val="clear" w:color="auto" w:fill="auto"/>
            <w:vAlign w:val="center"/>
            <w:hideMark/>
          </w:tcPr>
          <w:p w14:paraId="16AAFF9A" w14:textId="77777777" w:rsidR="00FA150E" w:rsidRPr="00FD7B0B" w:rsidRDefault="00FA150E" w:rsidP="00FA150E">
            <w:pPr>
              <w:spacing w:after="0" w:line="240" w:lineRule="auto"/>
              <w:rPr>
                <w:rFonts w:ascii="Times New Roman" w:eastAsia="Times New Roman" w:hAnsi="Times New Roman"/>
                <w:i/>
                <w:iCs/>
                <w:sz w:val="18"/>
                <w:szCs w:val="18"/>
                <w:lang w:eastAsia="ru-RU"/>
              </w:rPr>
            </w:pPr>
            <w:r w:rsidRPr="00FD7B0B">
              <w:rPr>
                <w:rFonts w:ascii="Times New Roman" w:eastAsia="Times New Roman" w:hAnsi="Times New Roman"/>
                <w:i/>
                <w:iCs/>
                <w:sz w:val="18"/>
                <w:szCs w:val="18"/>
                <w:lang w:eastAsia="ru-RU"/>
              </w:rPr>
              <w:t>- Министерство образования Архангельской области</w:t>
            </w:r>
          </w:p>
        </w:tc>
        <w:tc>
          <w:tcPr>
            <w:tcW w:w="1560" w:type="dxa"/>
            <w:shd w:val="clear" w:color="auto" w:fill="auto"/>
            <w:vAlign w:val="center"/>
            <w:hideMark/>
          </w:tcPr>
          <w:p w14:paraId="391C87B8"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109,1</w:t>
            </w:r>
          </w:p>
        </w:tc>
        <w:tc>
          <w:tcPr>
            <w:tcW w:w="1559" w:type="dxa"/>
            <w:shd w:val="clear" w:color="auto" w:fill="auto"/>
            <w:vAlign w:val="center"/>
            <w:hideMark/>
          </w:tcPr>
          <w:p w14:paraId="168F7058"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109,1</w:t>
            </w:r>
          </w:p>
        </w:tc>
        <w:tc>
          <w:tcPr>
            <w:tcW w:w="992" w:type="dxa"/>
            <w:shd w:val="clear" w:color="auto" w:fill="auto"/>
            <w:vAlign w:val="center"/>
            <w:hideMark/>
          </w:tcPr>
          <w:p w14:paraId="17D592EC"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708" w:type="dxa"/>
            <w:shd w:val="clear" w:color="auto" w:fill="auto"/>
            <w:vAlign w:val="center"/>
            <w:hideMark/>
          </w:tcPr>
          <w:p w14:paraId="77722EFD"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r>
      <w:tr w:rsidR="00FD7B0B" w:rsidRPr="00FD7B0B" w14:paraId="38870699" w14:textId="77777777" w:rsidTr="009F06F6">
        <w:trPr>
          <w:trHeight w:val="360"/>
        </w:trPr>
        <w:tc>
          <w:tcPr>
            <w:tcW w:w="4820" w:type="dxa"/>
            <w:shd w:val="clear" w:color="auto" w:fill="auto"/>
            <w:vAlign w:val="center"/>
            <w:hideMark/>
          </w:tcPr>
          <w:p w14:paraId="7069FB8E" w14:textId="77777777" w:rsidR="00FA150E" w:rsidRPr="00FD7B0B" w:rsidRDefault="00FA150E" w:rsidP="00FA150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Региональный проект</w:t>
            </w:r>
          </w:p>
          <w:p w14:paraId="2CE46901" w14:textId="77777777" w:rsidR="00FA150E" w:rsidRPr="00FD7B0B" w:rsidRDefault="00FA150E" w:rsidP="00FA150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«Развитие системы поддержки молодежи («Молодежь России») (Архангельская область)»</w:t>
            </w:r>
          </w:p>
        </w:tc>
        <w:tc>
          <w:tcPr>
            <w:tcW w:w="1560" w:type="dxa"/>
            <w:shd w:val="clear" w:color="auto" w:fill="auto"/>
            <w:vAlign w:val="center"/>
            <w:hideMark/>
          </w:tcPr>
          <w:p w14:paraId="519D0CED"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141,3</w:t>
            </w:r>
          </w:p>
        </w:tc>
        <w:tc>
          <w:tcPr>
            <w:tcW w:w="1559" w:type="dxa"/>
            <w:shd w:val="clear" w:color="auto" w:fill="auto"/>
            <w:vAlign w:val="center"/>
            <w:hideMark/>
          </w:tcPr>
          <w:p w14:paraId="1105B778"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141,3</w:t>
            </w:r>
          </w:p>
        </w:tc>
        <w:tc>
          <w:tcPr>
            <w:tcW w:w="992" w:type="dxa"/>
            <w:shd w:val="clear" w:color="auto" w:fill="auto"/>
            <w:vAlign w:val="center"/>
            <w:hideMark/>
          </w:tcPr>
          <w:p w14:paraId="235C2221"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708" w:type="dxa"/>
            <w:shd w:val="clear" w:color="auto" w:fill="auto"/>
            <w:vAlign w:val="center"/>
            <w:hideMark/>
          </w:tcPr>
          <w:p w14:paraId="209613EC"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r>
      <w:tr w:rsidR="00FD7B0B" w:rsidRPr="00FD7B0B" w14:paraId="264E230C" w14:textId="77777777" w:rsidTr="009F06F6">
        <w:trPr>
          <w:trHeight w:val="83"/>
        </w:trPr>
        <w:tc>
          <w:tcPr>
            <w:tcW w:w="4820" w:type="dxa"/>
            <w:shd w:val="clear" w:color="auto" w:fill="auto"/>
            <w:vAlign w:val="center"/>
            <w:hideMark/>
          </w:tcPr>
          <w:p w14:paraId="2F14E876" w14:textId="77777777" w:rsidR="00FA150E" w:rsidRPr="00FD7B0B" w:rsidRDefault="00FA150E" w:rsidP="00FA150E">
            <w:pPr>
              <w:spacing w:after="0" w:line="240" w:lineRule="auto"/>
              <w:rPr>
                <w:rFonts w:ascii="Times New Roman" w:eastAsia="Times New Roman" w:hAnsi="Times New Roman"/>
                <w:i/>
                <w:iCs/>
                <w:sz w:val="18"/>
                <w:szCs w:val="18"/>
                <w:lang w:eastAsia="ru-RU"/>
              </w:rPr>
            </w:pPr>
            <w:r w:rsidRPr="00FD7B0B">
              <w:rPr>
                <w:rFonts w:ascii="Times New Roman" w:eastAsia="Times New Roman" w:hAnsi="Times New Roman"/>
                <w:i/>
                <w:iCs/>
                <w:sz w:val="18"/>
                <w:szCs w:val="18"/>
                <w:lang w:eastAsia="ru-RU"/>
              </w:rPr>
              <w:t>- Агентство по делам молодежи Архангельской области</w:t>
            </w:r>
          </w:p>
        </w:tc>
        <w:tc>
          <w:tcPr>
            <w:tcW w:w="1560" w:type="dxa"/>
            <w:shd w:val="clear" w:color="auto" w:fill="auto"/>
            <w:vAlign w:val="center"/>
            <w:hideMark/>
          </w:tcPr>
          <w:p w14:paraId="5026B847"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141,3</w:t>
            </w:r>
          </w:p>
        </w:tc>
        <w:tc>
          <w:tcPr>
            <w:tcW w:w="1559" w:type="dxa"/>
            <w:shd w:val="clear" w:color="auto" w:fill="auto"/>
            <w:vAlign w:val="center"/>
            <w:hideMark/>
          </w:tcPr>
          <w:p w14:paraId="78786B95"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141,3</w:t>
            </w:r>
          </w:p>
        </w:tc>
        <w:tc>
          <w:tcPr>
            <w:tcW w:w="992" w:type="dxa"/>
            <w:shd w:val="clear" w:color="auto" w:fill="auto"/>
            <w:vAlign w:val="center"/>
            <w:hideMark/>
          </w:tcPr>
          <w:p w14:paraId="3EC433A2"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708" w:type="dxa"/>
            <w:shd w:val="clear" w:color="auto" w:fill="auto"/>
            <w:vAlign w:val="center"/>
            <w:hideMark/>
          </w:tcPr>
          <w:p w14:paraId="07FD951D"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r>
      <w:tr w:rsidR="00FD7B0B" w:rsidRPr="00FD7B0B" w14:paraId="311572E3" w14:textId="77777777" w:rsidTr="009F06F6">
        <w:trPr>
          <w:trHeight w:val="432"/>
        </w:trPr>
        <w:tc>
          <w:tcPr>
            <w:tcW w:w="4820" w:type="dxa"/>
            <w:shd w:val="clear" w:color="auto" w:fill="auto"/>
            <w:vAlign w:val="center"/>
            <w:hideMark/>
          </w:tcPr>
          <w:p w14:paraId="1EA34EF7" w14:textId="77777777" w:rsidR="00FA150E" w:rsidRPr="00FD7B0B" w:rsidRDefault="00FA150E" w:rsidP="00FA150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Комплекс процессных мероприятий «Развитие сферы государственной молодежной политики Архангельской области»</w:t>
            </w:r>
          </w:p>
        </w:tc>
        <w:tc>
          <w:tcPr>
            <w:tcW w:w="1560" w:type="dxa"/>
            <w:shd w:val="clear" w:color="auto" w:fill="auto"/>
            <w:vAlign w:val="center"/>
            <w:hideMark/>
          </w:tcPr>
          <w:p w14:paraId="7A1917C5"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548,0</w:t>
            </w:r>
          </w:p>
        </w:tc>
        <w:tc>
          <w:tcPr>
            <w:tcW w:w="1559" w:type="dxa"/>
            <w:shd w:val="clear" w:color="auto" w:fill="auto"/>
            <w:vAlign w:val="center"/>
            <w:hideMark/>
          </w:tcPr>
          <w:p w14:paraId="2FB1C9B1"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536,4</w:t>
            </w:r>
          </w:p>
        </w:tc>
        <w:tc>
          <w:tcPr>
            <w:tcW w:w="992" w:type="dxa"/>
            <w:shd w:val="clear" w:color="auto" w:fill="auto"/>
            <w:vAlign w:val="center"/>
            <w:hideMark/>
          </w:tcPr>
          <w:p w14:paraId="52935F25"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-11,6</w:t>
            </w:r>
          </w:p>
        </w:tc>
        <w:tc>
          <w:tcPr>
            <w:tcW w:w="708" w:type="dxa"/>
            <w:shd w:val="clear" w:color="auto" w:fill="auto"/>
            <w:vAlign w:val="center"/>
            <w:hideMark/>
          </w:tcPr>
          <w:p w14:paraId="7AB5F218"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w:t>
            </w:r>
          </w:p>
        </w:tc>
      </w:tr>
      <w:tr w:rsidR="00FD7B0B" w:rsidRPr="00FD7B0B" w14:paraId="6AF63325" w14:textId="77777777" w:rsidTr="009F06F6">
        <w:trPr>
          <w:trHeight w:val="229"/>
        </w:trPr>
        <w:tc>
          <w:tcPr>
            <w:tcW w:w="4820" w:type="dxa"/>
            <w:shd w:val="clear" w:color="auto" w:fill="auto"/>
            <w:vAlign w:val="center"/>
            <w:hideMark/>
          </w:tcPr>
          <w:p w14:paraId="1EE54529" w14:textId="77777777" w:rsidR="00FA150E" w:rsidRPr="00FD7B0B" w:rsidRDefault="00FA150E" w:rsidP="00FA150E">
            <w:pPr>
              <w:spacing w:after="0" w:line="240" w:lineRule="auto"/>
              <w:rPr>
                <w:rFonts w:ascii="Times New Roman" w:eastAsia="Times New Roman" w:hAnsi="Times New Roman"/>
                <w:i/>
                <w:iCs/>
                <w:sz w:val="18"/>
                <w:szCs w:val="18"/>
                <w:lang w:eastAsia="ru-RU"/>
              </w:rPr>
            </w:pPr>
            <w:r w:rsidRPr="00FD7B0B">
              <w:rPr>
                <w:rFonts w:ascii="Times New Roman" w:eastAsia="Times New Roman" w:hAnsi="Times New Roman"/>
                <w:i/>
                <w:iCs/>
                <w:sz w:val="18"/>
                <w:szCs w:val="18"/>
                <w:lang w:eastAsia="ru-RU"/>
              </w:rPr>
              <w:t>- Министерство образования Архангельской области</w:t>
            </w:r>
          </w:p>
        </w:tc>
        <w:tc>
          <w:tcPr>
            <w:tcW w:w="1560" w:type="dxa"/>
            <w:shd w:val="clear" w:color="auto" w:fill="auto"/>
            <w:vAlign w:val="center"/>
            <w:hideMark/>
          </w:tcPr>
          <w:p w14:paraId="5C9AEF70"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w:t>
            </w:r>
          </w:p>
        </w:tc>
        <w:tc>
          <w:tcPr>
            <w:tcW w:w="1559" w:type="dxa"/>
            <w:shd w:val="clear" w:color="auto" w:fill="auto"/>
            <w:vAlign w:val="center"/>
            <w:hideMark/>
          </w:tcPr>
          <w:p w14:paraId="3EE088B5"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w:t>
            </w:r>
          </w:p>
        </w:tc>
        <w:tc>
          <w:tcPr>
            <w:tcW w:w="992" w:type="dxa"/>
            <w:shd w:val="clear" w:color="auto" w:fill="auto"/>
            <w:vAlign w:val="center"/>
            <w:hideMark/>
          </w:tcPr>
          <w:p w14:paraId="46E96C9B"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c>
          <w:tcPr>
            <w:tcW w:w="708" w:type="dxa"/>
            <w:shd w:val="clear" w:color="auto" w:fill="auto"/>
            <w:vAlign w:val="center"/>
            <w:hideMark/>
          </w:tcPr>
          <w:p w14:paraId="03F862E2"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0,0</w:t>
            </w:r>
          </w:p>
        </w:tc>
      </w:tr>
      <w:tr w:rsidR="00FD7B0B" w:rsidRPr="00FD7B0B" w14:paraId="77B196FD" w14:textId="77777777" w:rsidTr="009F06F6">
        <w:trPr>
          <w:trHeight w:val="113"/>
        </w:trPr>
        <w:tc>
          <w:tcPr>
            <w:tcW w:w="4820" w:type="dxa"/>
            <w:shd w:val="clear" w:color="auto" w:fill="auto"/>
            <w:vAlign w:val="center"/>
            <w:hideMark/>
          </w:tcPr>
          <w:p w14:paraId="0214F161" w14:textId="77777777" w:rsidR="00FA150E" w:rsidRPr="00FD7B0B" w:rsidRDefault="00FA150E" w:rsidP="00FA150E">
            <w:pPr>
              <w:spacing w:after="0" w:line="240" w:lineRule="auto"/>
              <w:rPr>
                <w:rFonts w:ascii="Times New Roman" w:eastAsia="Times New Roman" w:hAnsi="Times New Roman"/>
                <w:i/>
                <w:iCs/>
                <w:sz w:val="18"/>
                <w:szCs w:val="18"/>
                <w:lang w:eastAsia="ru-RU"/>
              </w:rPr>
            </w:pPr>
            <w:r w:rsidRPr="00FD7B0B">
              <w:rPr>
                <w:rFonts w:ascii="Times New Roman" w:eastAsia="Times New Roman" w:hAnsi="Times New Roman"/>
                <w:i/>
                <w:iCs/>
                <w:sz w:val="18"/>
                <w:szCs w:val="18"/>
                <w:lang w:eastAsia="ru-RU"/>
              </w:rPr>
              <w:t>- Агентство по делам молодежи Архангельской области</w:t>
            </w:r>
          </w:p>
        </w:tc>
        <w:tc>
          <w:tcPr>
            <w:tcW w:w="1560" w:type="dxa"/>
            <w:shd w:val="clear" w:color="auto" w:fill="auto"/>
            <w:vAlign w:val="center"/>
            <w:hideMark/>
          </w:tcPr>
          <w:p w14:paraId="787CCF1B"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546,9</w:t>
            </w:r>
          </w:p>
        </w:tc>
        <w:tc>
          <w:tcPr>
            <w:tcW w:w="1559" w:type="dxa"/>
            <w:shd w:val="clear" w:color="auto" w:fill="auto"/>
            <w:vAlign w:val="center"/>
            <w:hideMark/>
          </w:tcPr>
          <w:p w14:paraId="672239D7"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535,3</w:t>
            </w:r>
          </w:p>
        </w:tc>
        <w:tc>
          <w:tcPr>
            <w:tcW w:w="992" w:type="dxa"/>
            <w:shd w:val="clear" w:color="auto" w:fill="auto"/>
            <w:vAlign w:val="center"/>
            <w:hideMark/>
          </w:tcPr>
          <w:p w14:paraId="2711E7C4"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-11,6</w:t>
            </w:r>
          </w:p>
        </w:tc>
        <w:tc>
          <w:tcPr>
            <w:tcW w:w="708" w:type="dxa"/>
            <w:shd w:val="clear" w:color="auto" w:fill="auto"/>
            <w:vAlign w:val="center"/>
            <w:hideMark/>
          </w:tcPr>
          <w:p w14:paraId="74F50AF0"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w:t>
            </w:r>
          </w:p>
        </w:tc>
      </w:tr>
    </w:tbl>
    <w:p w14:paraId="72FA6736" w14:textId="77777777" w:rsidR="00FA150E" w:rsidRPr="00FD7B0B" w:rsidRDefault="00FA150E" w:rsidP="00FA150E">
      <w:pPr>
        <w:spacing w:after="0" w:line="240" w:lineRule="auto"/>
        <w:ind w:firstLine="851"/>
        <w:jc w:val="both"/>
        <w:rPr>
          <w:rFonts w:ascii="Times New Roman" w:eastAsia="Times New Roman" w:hAnsi="Times New Roman"/>
          <w:sz w:val="28"/>
          <w:szCs w:val="28"/>
          <w:lang w:eastAsia="ru-RU"/>
        </w:rPr>
      </w:pPr>
    </w:p>
    <w:p w14:paraId="0B5673D6" w14:textId="6EC3C5DD" w:rsidR="00FA150E" w:rsidRPr="00FD7B0B" w:rsidRDefault="00FA150E" w:rsidP="00FA150E">
      <w:pPr>
        <w:spacing w:after="0" w:line="240" w:lineRule="auto"/>
        <w:ind w:firstLine="851"/>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Сопоставление объемов финансирования, утвержденных ГП № 29 и бюджетных ассигнований на ее реализацию, утвержденных законом «Об областном б</w:t>
      </w:r>
      <w:r w:rsidR="009F06F6" w:rsidRPr="00FD7B0B">
        <w:rPr>
          <w:rFonts w:ascii="Times New Roman" w:eastAsia="Times New Roman" w:hAnsi="Times New Roman"/>
          <w:sz w:val="28"/>
          <w:szCs w:val="28"/>
          <w:lang w:eastAsia="ru-RU"/>
        </w:rPr>
        <w:t xml:space="preserve">юджете» представлено в таблице </w:t>
      </w:r>
      <w:r w:rsidR="00542A1F" w:rsidRPr="00FD7B0B">
        <w:rPr>
          <w:rFonts w:ascii="Times New Roman" w:eastAsia="Times New Roman" w:hAnsi="Times New Roman"/>
          <w:sz w:val="28"/>
          <w:szCs w:val="28"/>
          <w:lang w:eastAsia="ru-RU"/>
        </w:rPr>
        <w:t>230</w:t>
      </w:r>
      <w:r w:rsidRPr="00FD7B0B">
        <w:rPr>
          <w:rFonts w:ascii="Times New Roman" w:eastAsia="Times New Roman" w:hAnsi="Times New Roman"/>
          <w:sz w:val="28"/>
          <w:szCs w:val="28"/>
          <w:lang w:eastAsia="ru-RU"/>
        </w:rPr>
        <w:t>.</w:t>
      </w:r>
    </w:p>
    <w:p w14:paraId="0EA69DE8" w14:textId="77777777" w:rsidR="00FA150E" w:rsidRPr="00FD7B0B" w:rsidRDefault="00FA150E" w:rsidP="00FA150E">
      <w:pPr>
        <w:spacing w:after="0" w:line="240" w:lineRule="auto"/>
        <w:ind w:firstLine="851"/>
        <w:contextualSpacing/>
        <w:jc w:val="both"/>
        <w:rPr>
          <w:rFonts w:ascii="Times New Roman" w:eastAsia="Times New Roman" w:hAnsi="Times New Roman"/>
          <w:sz w:val="28"/>
          <w:szCs w:val="28"/>
          <w:lang w:eastAsia="ru-RU"/>
        </w:rPr>
      </w:pPr>
    </w:p>
    <w:p w14:paraId="2904737F" w14:textId="30AFEA8C" w:rsidR="00FA150E" w:rsidRPr="00FD7B0B" w:rsidRDefault="009F06F6" w:rsidP="00FA150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230</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FA150E" w:rsidRPr="00FD7B0B">
        <w:rPr>
          <w:rFonts w:ascii="Times New Roman" w:eastAsia="Times New Roman" w:hAnsi="Times New Roman"/>
          <w:b w:val="0"/>
          <w:sz w:val="24"/>
          <w:szCs w:val="24"/>
          <w:lang w:eastAsia="ru-RU"/>
        </w:rPr>
        <w:t>Сопоставление объемов финансирования, утвержденных ГП № 29 и бюджетных ассигнований на ее реализацию, утвержденных законом «Об областном бюджете»</w:t>
      </w:r>
      <w:r w:rsidR="00FA150E" w:rsidRPr="00FD7B0B">
        <w:rPr>
          <w:rFonts w:ascii="Times New Roman" w:hAnsi="Times New Roman"/>
          <w:b w:val="0"/>
          <w:sz w:val="24"/>
          <w:szCs w:val="24"/>
        </w:rPr>
        <w:t>, млн.руб.</w:t>
      </w:r>
    </w:p>
    <w:tbl>
      <w:tblPr>
        <w:tblW w:w="9492"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287"/>
        <w:gridCol w:w="1417"/>
        <w:gridCol w:w="1276"/>
        <w:gridCol w:w="1038"/>
        <w:gridCol w:w="1276"/>
        <w:gridCol w:w="1038"/>
        <w:gridCol w:w="1160"/>
      </w:tblGrid>
      <w:tr w:rsidR="00FD7B0B" w:rsidRPr="00FD7B0B" w14:paraId="78132FCC" w14:textId="77777777" w:rsidTr="00296D46">
        <w:trPr>
          <w:trHeight w:val="864"/>
        </w:trPr>
        <w:tc>
          <w:tcPr>
            <w:tcW w:w="2287" w:type="dxa"/>
            <w:vMerge w:val="restart"/>
            <w:shd w:val="clear" w:color="auto" w:fill="auto"/>
            <w:vAlign w:val="center"/>
            <w:hideMark/>
          </w:tcPr>
          <w:p w14:paraId="2ACF9B0A"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Подпрограмма</w:t>
            </w:r>
          </w:p>
        </w:tc>
        <w:tc>
          <w:tcPr>
            <w:tcW w:w="1417" w:type="dxa"/>
            <w:vMerge w:val="restart"/>
            <w:shd w:val="clear" w:color="auto" w:fill="auto"/>
            <w:vAlign w:val="center"/>
            <w:hideMark/>
          </w:tcPr>
          <w:p w14:paraId="797BA88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Показатели закона о бюджете на 31.12.2024 (в ред. 23.12.2024)</w:t>
            </w:r>
          </w:p>
        </w:tc>
        <w:tc>
          <w:tcPr>
            <w:tcW w:w="1276" w:type="dxa"/>
            <w:vMerge w:val="restart"/>
            <w:shd w:val="clear" w:color="auto" w:fill="auto"/>
            <w:vAlign w:val="center"/>
            <w:hideMark/>
          </w:tcPr>
          <w:p w14:paraId="17FDDB8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Паспорт госпрограммы на 31.12.2024 (в ред. от 25.12.2024) </w:t>
            </w:r>
          </w:p>
        </w:tc>
        <w:tc>
          <w:tcPr>
            <w:tcW w:w="1038" w:type="dxa"/>
            <w:vMerge w:val="restart"/>
            <w:shd w:val="clear" w:color="auto" w:fill="auto"/>
            <w:vAlign w:val="center"/>
            <w:hideMark/>
          </w:tcPr>
          <w:p w14:paraId="00DA92D9"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Отклонение (+/-)</w:t>
            </w:r>
          </w:p>
        </w:tc>
        <w:tc>
          <w:tcPr>
            <w:tcW w:w="1276" w:type="dxa"/>
            <w:vMerge w:val="restart"/>
            <w:shd w:val="clear" w:color="auto" w:fill="auto"/>
            <w:vAlign w:val="center"/>
            <w:hideMark/>
          </w:tcPr>
          <w:p w14:paraId="5C403E09"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Показатели сводной бюджетной росписи на 31.12.2024</w:t>
            </w:r>
          </w:p>
        </w:tc>
        <w:tc>
          <w:tcPr>
            <w:tcW w:w="1038" w:type="dxa"/>
            <w:vMerge w:val="restart"/>
            <w:shd w:val="clear" w:color="auto" w:fill="auto"/>
            <w:vAlign w:val="center"/>
            <w:hideMark/>
          </w:tcPr>
          <w:p w14:paraId="2798C9B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Отклонение (+/-)</w:t>
            </w:r>
          </w:p>
        </w:tc>
        <w:tc>
          <w:tcPr>
            <w:tcW w:w="1160" w:type="dxa"/>
            <w:vMerge w:val="restart"/>
            <w:shd w:val="clear" w:color="auto" w:fill="auto"/>
            <w:vAlign w:val="center"/>
            <w:hideMark/>
          </w:tcPr>
          <w:p w14:paraId="2B806799"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Отклонение (+/-)</w:t>
            </w:r>
          </w:p>
        </w:tc>
      </w:tr>
      <w:tr w:rsidR="00FD7B0B" w:rsidRPr="00FD7B0B" w14:paraId="73DA7E2F" w14:textId="77777777" w:rsidTr="00542A1F">
        <w:trPr>
          <w:trHeight w:val="450"/>
        </w:trPr>
        <w:tc>
          <w:tcPr>
            <w:tcW w:w="2287" w:type="dxa"/>
            <w:vMerge/>
            <w:vAlign w:val="center"/>
            <w:hideMark/>
          </w:tcPr>
          <w:p w14:paraId="131D8F70" w14:textId="77777777" w:rsidR="00FA150E" w:rsidRPr="00FD7B0B" w:rsidRDefault="00FA150E" w:rsidP="00FA150E">
            <w:pPr>
              <w:spacing w:after="0" w:line="240" w:lineRule="auto"/>
              <w:rPr>
                <w:rFonts w:ascii="Times New Roman" w:eastAsia="Times New Roman" w:hAnsi="Times New Roman"/>
                <w:sz w:val="16"/>
                <w:szCs w:val="16"/>
                <w:lang w:eastAsia="ru-RU"/>
              </w:rPr>
            </w:pPr>
          </w:p>
        </w:tc>
        <w:tc>
          <w:tcPr>
            <w:tcW w:w="1417" w:type="dxa"/>
            <w:vMerge/>
            <w:vAlign w:val="center"/>
            <w:hideMark/>
          </w:tcPr>
          <w:p w14:paraId="70146592" w14:textId="77777777" w:rsidR="00FA150E" w:rsidRPr="00FD7B0B" w:rsidRDefault="00FA150E" w:rsidP="00FA150E">
            <w:pPr>
              <w:spacing w:after="0" w:line="240" w:lineRule="auto"/>
              <w:rPr>
                <w:rFonts w:ascii="Times New Roman" w:eastAsia="Times New Roman" w:hAnsi="Times New Roman"/>
                <w:sz w:val="16"/>
                <w:szCs w:val="16"/>
                <w:lang w:eastAsia="ru-RU"/>
              </w:rPr>
            </w:pPr>
          </w:p>
        </w:tc>
        <w:tc>
          <w:tcPr>
            <w:tcW w:w="1276" w:type="dxa"/>
            <w:vMerge/>
            <w:vAlign w:val="center"/>
            <w:hideMark/>
          </w:tcPr>
          <w:p w14:paraId="5989807B" w14:textId="77777777" w:rsidR="00FA150E" w:rsidRPr="00FD7B0B" w:rsidRDefault="00FA150E" w:rsidP="00FA150E">
            <w:pPr>
              <w:spacing w:after="0" w:line="240" w:lineRule="auto"/>
              <w:rPr>
                <w:rFonts w:ascii="Times New Roman" w:eastAsia="Times New Roman" w:hAnsi="Times New Roman"/>
                <w:sz w:val="16"/>
                <w:szCs w:val="16"/>
                <w:lang w:eastAsia="ru-RU"/>
              </w:rPr>
            </w:pPr>
          </w:p>
        </w:tc>
        <w:tc>
          <w:tcPr>
            <w:tcW w:w="1038" w:type="dxa"/>
            <w:vMerge/>
            <w:vAlign w:val="center"/>
            <w:hideMark/>
          </w:tcPr>
          <w:p w14:paraId="0B12E500" w14:textId="77777777" w:rsidR="00FA150E" w:rsidRPr="00FD7B0B" w:rsidRDefault="00FA150E" w:rsidP="00FA150E">
            <w:pPr>
              <w:spacing w:after="0" w:line="240" w:lineRule="auto"/>
              <w:rPr>
                <w:rFonts w:ascii="Times New Roman" w:eastAsia="Times New Roman" w:hAnsi="Times New Roman"/>
                <w:sz w:val="16"/>
                <w:szCs w:val="16"/>
                <w:lang w:eastAsia="ru-RU"/>
              </w:rPr>
            </w:pPr>
          </w:p>
        </w:tc>
        <w:tc>
          <w:tcPr>
            <w:tcW w:w="1276" w:type="dxa"/>
            <w:vMerge/>
            <w:vAlign w:val="center"/>
            <w:hideMark/>
          </w:tcPr>
          <w:p w14:paraId="6EE7DD35" w14:textId="77777777" w:rsidR="00FA150E" w:rsidRPr="00FD7B0B" w:rsidRDefault="00FA150E" w:rsidP="00FA150E">
            <w:pPr>
              <w:spacing w:after="0" w:line="240" w:lineRule="auto"/>
              <w:rPr>
                <w:rFonts w:ascii="Times New Roman" w:eastAsia="Times New Roman" w:hAnsi="Times New Roman"/>
                <w:sz w:val="16"/>
                <w:szCs w:val="16"/>
                <w:lang w:eastAsia="ru-RU"/>
              </w:rPr>
            </w:pPr>
          </w:p>
        </w:tc>
        <w:tc>
          <w:tcPr>
            <w:tcW w:w="1038" w:type="dxa"/>
            <w:vMerge/>
            <w:vAlign w:val="center"/>
            <w:hideMark/>
          </w:tcPr>
          <w:p w14:paraId="501E1A89" w14:textId="77777777" w:rsidR="00FA150E" w:rsidRPr="00FD7B0B" w:rsidRDefault="00FA150E" w:rsidP="00FA150E">
            <w:pPr>
              <w:spacing w:after="0" w:line="240" w:lineRule="auto"/>
              <w:rPr>
                <w:rFonts w:ascii="Times New Roman" w:eastAsia="Times New Roman" w:hAnsi="Times New Roman"/>
                <w:sz w:val="16"/>
                <w:szCs w:val="16"/>
                <w:lang w:eastAsia="ru-RU"/>
              </w:rPr>
            </w:pPr>
          </w:p>
        </w:tc>
        <w:tc>
          <w:tcPr>
            <w:tcW w:w="1160" w:type="dxa"/>
            <w:vMerge/>
            <w:vAlign w:val="center"/>
            <w:hideMark/>
          </w:tcPr>
          <w:p w14:paraId="2DECE358" w14:textId="77777777" w:rsidR="00FA150E" w:rsidRPr="00FD7B0B" w:rsidRDefault="00FA150E" w:rsidP="00FA150E">
            <w:pPr>
              <w:spacing w:after="0" w:line="240" w:lineRule="auto"/>
              <w:rPr>
                <w:rFonts w:ascii="Times New Roman" w:eastAsia="Times New Roman" w:hAnsi="Times New Roman"/>
                <w:sz w:val="16"/>
                <w:szCs w:val="16"/>
                <w:lang w:eastAsia="ru-RU"/>
              </w:rPr>
            </w:pPr>
          </w:p>
        </w:tc>
      </w:tr>
      <w:tr w:rsidR="00FD7B0B" w:rsidRPr="00FD7B0B" w14:paraId="267CC3D7" w14:textId="77777777" w:rsidTr="00296D46">
        <w:trPr>
          <w:trHeight w:val="180"/>
        </w:trPr>
        <w:tc>
          <w:tcPr>
            <w:tcW w:w="2287" w:type="dxa"/>
            <w:shd w:val="clear" w:color="auto" w:fill="auto"/>
            <w:vAlign w:val="center"/>
            <w:hideMark/>
          </w:tcPr>
          <w:p w14:paraId="2027BB66"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w:t>
            </w:r>
          </w:p>
        </w:tc>
        <w:tc>
          <w:tcPr>
            <w:tcW w:w="1417" w:type="dxa"/>
            <w:shd w:val="clear" w:color="auto" w:fill="auto"/>
            <w:vAlign w:val="center"/>
            <w:hideMark/>
          </w:tcPr>
          <w:p w14:paraId="2F4D084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276" w:type="dxa"/>
            <w:shd w:val="clear" w:color="auto" w:fill="auto"/>
            <w:vAlign w:val="center"/>
            <w:hideMark/>
          </w:tcPr>
          <w:p w14:paraId="3944606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038" w:type="dxa"/>
            <w:shd w:val="clear" w:color="auto" w:fill="auto"/>
            <w:noWrap/>
            <w:vAlign w:val="center"/>
            <w:hideMark/>
          </w:tcPr>
          <w:p w14:paraId="0F33B8A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3=2-1</w:t>
            </w:r>
          </w:p>
        </w:tc>
        <w:tc>
          <w:tcPr>
            <w:tcW w:w="1276" w:type="dxa"/>
            <w:shd w:val="clear" w:color="auto" w:fill="auto"/>
            <w:vAlign w:val="center"/>
            <w:hideMark/>
          </w:tcPr>
          <w:p w14:paraId="4E40631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w:t>
            </w:r>
          </w:p>
        </w:tc>
        <w:tc>
          <w:tcPr>
            <w:tcW w:w="1038" w:type="dxa"/>
            <w:shd w:val="clear" w:color="auto" w:fill="auto"/>
            <w:vAlign w:val="center"/>
            <w:hideMark/>
          </w:tcPr>
          <w:p w14:paraId="17275E6D"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5=4-2</w:t>
            </w:r>
          </w:p>
        </w:tc>
        <w:tc>
          <w:tcPr>
            <w:tcW w:w="1160" w:type="dxa"/>
            <w:shd w:val="clear" w:color="auto" w:fill="auto"/>
            <w:vAlign w:val="center"/>
            <w:hideMark/>
          </w:tcPr>
          <w:p w14:paraId="5C5E3DF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6=4-1</w:t>
            </w:r>
          </w:p>
        </w:tc>
      </w:tr>
      <w:tr w:rsidR="00FD7B0B" w:rsidRPr="00FD7B0B" w14:paraId="30401A2B" w14:textId="77777777" w:rsidTr="00296D46">
        <w:trPr>
          <w:trHeight w:val="960"/>
        </w:trPr>
        <w:tc>
          <w:tcPr>
            <w:tcW w:w="2287" w:type="dxa"/>
            <w:shd w:val="clear" w:color="auto" w:fill="auto"/>
            <w:vAlign w:val="center"/>
            <w:hideMark/>
          </w:tcPr>
          <w:p w14:paraId="1B71DA09"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Региональный проект «Патриотическое воспитание граждан Российской Федерации (Архангельская область)»</w:t>
            </w:r>
          </w:p>
        </w:tc>
        <w:tc>
          <w:tcPr>
            <w:tcW w:w="1417" w:type="dxa"/>
            <w:shd w:val="clear" w:color="auto" w:fill="auto"/>
            <w:vAlign w:val="center"/>
            <w:hideMark/>
          </w:tcPr>
          <w:p w14:paraId="79C6575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109,1</w:t>
            </w:r>
          </w:p>
        </w:tc>
        <w:tc>
          <w:tcPr>
            <w:tcW w:w="1276" w:type="dxa"/>
            <w:shd w:val="clear" w:color="auto" w:fill="auto"/>
            <w:vAlign w:val="center"/>
            <w:hideMark/>
          </w:tcPr>
          <w:p w14:paraId="4910CCA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111,1</w:t>
            </w:r>
          </w:p>
        </w:tc>
        <w:tc>
          <w:tcPr>
            <w:tcW w:w="1038" w:type="dxa"/>
            <w:shd w:val="clear" w:color="auto" w:fill="auto"/>
            <w:noWrap/>
            <w:vAlign w:val="center"/>
            <w:hideMark/>
          </w:tcPr>
          <w:p w14:paraId="2487802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w:t>
            </w:r>
          </w:p>
        </w:tc>
        <w:tc>
          <w:tcPr>
            <w:tcW w:w="1276" w:type="dxa"/>
            <w:shd w:val="clear" w:color="auto" w:fill="auto"/>
            <w:vAlign w:val="center"/>
            <w:hideMark/>
          </w:tcPr>
          <w:p w14:paraId="7D4B2F93"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105,8</w:t>
            </w:r>
          </w:p>
        </w:tc>
        <w:tc>
          <w:tcPr>
            <w:tcW w:w="1038" w:type="dxa"/>
            <w:shd w:val="clear" w:color="auto" w:fill="auto"/>
            <w:noWrap/>
            <w:vAlign w:val="center"/>
            <w:hideMark/>
          </w:tcPr>
          <w:p w14:paraId="486D267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-5,3</w:t>
            </w:r>
          </w:p>
        </w:tc>
        <w:tc>
          <w:tcPr>
            <w:tcW w:w="1160" w:type="dxa"/>
            <w:shd w:val="clear" w:color="auto" w:fill="auto"/>
            <w:noWrap/>
            <w:vAlign w:val="center"/>
            <w:hideMark/>
          </w:tcPr>
          <w:p w14:paraId="1E68A9A0"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-3,3</w:t>
            </w:r>
          </w:p>
        </w:tc>
      </w:tr>
      <w:tr w:rsidR="00FD7B0B" w:rsidRPr="00FD7B0B" w14:paraId="7E7F7ABE" w14:textId="77777777" w:rsidTr="00296D46">
        <w:trPr>
          <w:trHeight w:val="849"/>
        </w:trPr>
        <w:tc>
          <w:tcPr>
            <w:tcW w:w="2287" w:type="dxa"/>
            <w:shd w:val="clear" w:color="auto" w:fill="auto"/>
            <w:vAlign w:val="center"/>
            <w:hideMark/>
          </w:tcPr>
          <w:p w14:paraId="2638C28F"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Региональный проект «Развитие системы поддержки молодежи («Молодежь России») (Архангельская область)»</w:t>
            </w:r>
          </w:p>
        </w:tc>
        <w:tc>
          <w:tcPr>
            <w:tcW w:w="1417" w:type="dxa"/>
            <w:shd w:val="clear" w:color="auto" w:fill="auto"/>
            <w:vAlign w:val="center"/>
            <w:hideMark/>
          </w:tcPr>
          <w:p w14:paraId="6A8CA0B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141,3</w:t>
            </w:r>
          </w:p>
        </w:tc>
        <w:tc>
          <w:tcPr>
            <w:tcW w:w="1276" w:type="dxa"/>
            <w:shd w:val="clear" w:color="auto" w:fill="auto"/>
            <w:vAlign w:val="center"/>
            <w:hideMark/>
          </w:tcPr>
          <w:p w14:paraId="2FFF8D1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141,3</w:t>
            </w:r>
          </w:p>
        </w:tc>
        <w:tc>
          <w:tcPr>
            <w:tcW w:w="1038" w:type="dxa"/>
            <w:shd w:val="clear" w:color="auto" w:fill="auto"/>
            <w:noWrap/>
            <w:vAlign w:val="center"/>
            <w:hideMark/>
          </w:tcPr>
          <w:p w14:paraId="79D46CB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c>
          <w:tcPr>
            <w:tcW w:w="1276" w:type="dxa"/>
            <w:shd w:val="clear" w:color="auto" w:fill="auto"/>
            <w:vAlign w:val="center"/>
            <w:hideMark/>
          </w:tcPr>
          <w:p w14:paraId="655AAB20"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141,3</w:t>
            </w:r>
          </w:p>
        </w:tc>
        <w:tc>
          <w:tcPr>
            <w:tcW w:w="1038" w:type="dxa"/>
            <w:shd w:val="clear" w:color="auto" w:fill="auto"/>
            <w:noWrap/>
            <w:vAlign w:val="center"/>
            <w:hideMark/>
          </w:tcPr>
          <w:p w14:paraId="6263C8F5"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c>
          <w:tcPr>
            <w:tcW w:w="1160" w:type="dxa"/>
            <w:shd w:val="clear" w:color="auto" w:fill="auto"/>
            <w:noWrap/>
            <w:vAlign w:val="center"/>
            <w:hideMark/>
          </w:tcPr>
          <w:p w14:paraId="29215325"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w:t>
            </w:r>
          </w:p>
        </w:tc>
      </w:tr>
      <w:tr w:rsidR="00FD7B0B" w:rsidRPr="00FD7B0B" w14:paraId="21BB9467" w14:textId="77777777" w:rsidTr="00296D46">
        <w:trPr>
          <w:trHeight w:val="749"/>
        </w:trPr>
        <w:tc>
          <w:tcPr>
            <w:tcW w:w="2287" w:type="dxa"/>
            <w:shd w:val="clear" w:color="auto" w:fill="auto"/>
            <w:vAlign w:val="center"/>
            <w:hideMark/>
          </w:tcPr>
          <w:p w14:paraId="7B94D616"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Комплекс процессных мероприятий «Развитие сферы государственной молодежной политики Архангельской области»</w:t>
            </w:r>
          </w:p>
        </w:tc>
        <w:tc>
          <w:tcPr>
            <w:tcW w:w="1417" w:type="dxa"/>
            <w:shd w:val="clear" w:color="auto" w:fill="auto"/>
            <w:vAlign w:val="center"/>
            <w:hideMark/>
          </w:tcPr>
          <w:p w14:paraId="17E60EF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536,4</w:t>
            </w:r>
          </w:p>
        </w:tc>
        <w:tc>
          <w:tcPr>
            <w:tcW w:w="1276" w:type="dxa"/>
            <w:shd w:val="clear" w:color="auto" w:fill="auto"/>
            <w:vAlign w:val="center"/>
            <w:hideMark/>
          </w:tcPr>
          <w:p w14:paraId="6FD9E9A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527,9</w:t>
            </w:r>
          </w:p>
        </w:tc>
        <w:tc>
          <w:tcPr>
            <w:tcW w:w="1038" w:type="dxa"/>
            <w:shd w:val="clear" w:color="auto" w:fill="auto"/>
            <w:noWrap/>
            <w:vAlign w:val="center"/>
            <w:hideMark/>
          </w:tcPr>
          <w:p w14:paraId="15E4D10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-8,5</w:t>
            </w:r>
          </w:p>
        </w:tc>
        <w:tc>
          <w:tcPr>
            <w:tcW w:w="1276" w:type="dxa"/>
            <w:shd w:val="clear" w:color="auto" w:fill="auto"/>
            <w:vAlign w:val="center"/>
            <w:hideMark/>
          </w:tcPr>
          <w:p w14:paraId="0632F599"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551,2</w:t>
            </w:r>
          </w:p>
        </w:tc>
        <w:tc>
          <w:tcPr>
            <w:tcW w:w="1038" w:type="dxa"/>
            <w:shd w:val="clear" w:color="auto" w:fill="auto"/>
            <w:noWrap/>
            <w:vAlign w:val="center"/>
            <w:hideMark/>
          </w:tcPr>
          <w:p w14:paraId="6C04A713"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23,3</w:t>
            </w:r>
          </w:p>
        </w:tc>
        <w:tc>
          <w:tcPr>
            <w:tcW w:w="1160" w:type="dxa"/>
            <w:shd w:val="clear" w:color="auto" w:fill="auto"/>
            <w:noWrap/>
            <w:vAlign w:val="center"/>
            <w:hideMark/>
          </w:tcPr>
          <w:p w14:paraId="098A8276"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14,8</w:t>
            </w:r>
          </w:p>
        </w:tc>
      </w:tr>
      <w:tr w:rsidR="00FA150E" w:rsidRPr="00FD7B0B" w14:paraId="5D133F95" w14:textId="77777777" w:rsidTr="00296D46">
        <w:trPr>
          <w:trHeight w:val="71"/>
        </w:trPr>
        <w:tc>
          <w:tcPr>
            <w:tcW w:w="2287" w:type="dxa"/>
            <w:shd w:val="clear" w:color="auto" w:fill="auto"/>
            <w:vAlign w:val="center"/>
            <w:hideMark/>
          </w:tcPr>
          <w:p w14:paraId="3438FB5A" w14:textId="77777777" w:rsidR="00FA150E" w:rsidRPr="00FD7B0B" w:rsidRDefault="00FA150E" w:rsidP="00FA150E">
            <w:pPr>
              <w:spacing w:after="0" w:line="240" w:lineRule="auto"/>
              <w:jc w:val="both"/>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Всего по госпрограмме</w:t>
            </w:r>
          </w:p>
        </w:tc>
        <w:tc>
          <w:tcPr>
            <w:tcW w:w="1417" w:type="dxa"/>
            <w:shd w:val="clear" w:color="auto" w:fill="auto"/>
            <w:vAlign w:val="center"/>
            <w:hideMark/>
          </w:tcPr>
          <w:p w14:paraId="090F6D90"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786,8</w:t>
            </w:r>
          </w:p>
        </w:tc>
        <w:tc>
          <w:tcPr>
            <w:tcW w:w="1276" w:type="dxa"/>
            <w:shd w:val="clear" w:color="auto" w:fill="auto"/>
            <w:vAlign w:val="center"/>
            <w:hideMark/>
          </w:tcPr>
          <w:p w14:paraId="2FEAD3D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780,3</w:t>
            </w:r>
          </w:p>
        </w:tc>
        <w:tc>
          <w:tcPr>
            <w:tcW w:w="1038" w:type="dxa"/>
            <w:shd w:val="clear" w:color="auto" w:fill="auto"/>
            <w:noWrap/>
            <w:vAlign w:val="center"/>
            <w:hideMark/>
          </w:tcPr>
          <w:p w14:paraId="5ECD2D6D"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-6,5</w:t>
            </w:r>
          </w:p>
        </w:tc>
        <w:tc>
          <w:tcPr>
            <w:tcW w:w="1276" w:type="dxa"/>
            <w:shd w:val="clear" w:color="auto" w:fill="auto"/>
            <w:vAlign w:val="center"/>
            <w:hideMark/>
          </w:tcPr>
          <w:p w14:paraId="00549E65"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798,3</w:t>
            </w:r>
          </w:p>
        </w:tc>
        <w:tc>
          <w:tcPr>
            <w:tcW w:w="1038" w:type="dxa"/>
            <w:shd w:val="clear" w:color="auto" w:fill="auto"/>
            <w:noWrap/>
            <w:vAlign w:val="center"/>
            <w:hideMark/>
          </w:tcPr>
          <w:p w14:paraId="494D3C7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18,0</w:t>
            </w:r>
          </w:p>
        </w:tc>
        <w:tc>
          <w:tcPr>
            <w:tcW w:w="1160" w:type="dxa"/>
            <w:shd w:val="clear" w:color="auto" w:fill="auto"/>
            <w:noWrap/>
            <w:vAlign w:val="center"/>
            <w:hideMark/>
          </w:tcPr>
          <w:p w14:paraId="33158EC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11,5</w:t>
            </w:r>
          </w:p>
        </w:tc>
      </w:tr>
    </w:tbl>
    <w:p w14:paraId="467B286C" w14:textId="77777777" w:rsidR="00FA150E" w:rsidRPr="00FD7B0B" w:rsidRDefault="00FA150E" w:rsidP="00FA150E">
      <w:pPr>
        <w:spacing w:after="0" w:line="240" w:lineRule="auto"/>
        <w:ind w:firstLine="851"/>
        <w:contextualSpacing/>
        <w:jc w:val="both"/>
        <w:rPr>
          <w:rFonts w:ascii="Times New Roman" w:eastAsia="Times New Roman" w:hAnsi="Times New Roman"/>
          <w:sz w:val="28"/>
          <w:szCs w:val="28"/>
          <w:lang w:eastAsia="ru-RU"/>
        </w:rPr>
      </w:pPr>
    </w:p>
    <w:p w14:paraId="7DCA8348" w14:textId="77777777" w:rsidR="00FA150E" w:rsidRPr="00FD7B0B" w:rsidRDefault="00FA150E" w:rsidP="008A1B68">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течение 2024 года изменения в сводную бюджетную роспись вносились на основании постановлений Правительства Архангельской области. По состоянию на 31.12.2024 уточненной сводной бюджетной росписью областного бюджета на 2024 год расходы на реализацию мероприятий ГП № 29 утверждены в общей сумме 798,3 млн.руб., что на 11,5 млн.руб. или на 1,5 % выше параметров, утвержденных областным законом «Об областном бюджете» в редакции, действующей на 31.12.2024.</w:t>
      </w:r>
    </w:p>
    <w:p w14:paraId="5D1B6F5E" w14:textId="6082C705" w:rsidR="00FA150E" w:rsidRPr="00FD7B0B" w:rsidRDefault="00FA150E" w:rsidP="008A1B68">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Следует отметить, что по состоянию на 01.04.2025 бюджетные ассигнования, предусмотренные ГП № 29 на 2024 год, не были приведены в соответствие со сводной бюджетной росписью областного бюджета на 31.12.2024 на общую сумму 18,0 млн.руб. (798,3-780,3), что не соответствует требованиям пункта 4 статьи 10 областного закона </w:t>
      </w:r>
      <w:r w:rsidR="00DA7475" w:rsidRPr="00FD7B0B">
        <w:rPr>
          <w:rFonts w:ascii="Times New Roman" w:eastAsia="Times New Roman" w:hAnsi="Times New Roman"/>
          <w:sz w:val="28"/>
          <w:szCs w:val="28"/>
          <w:lang w:eastAsia="ru-RU"/>
        </w:rPr>
        <w:t>о</w:t>
      </w:r>
      <w:r w:rsidRPr="00FD7B0B">
        <w:rPr>
          <w:rFonts w:ascii="Times New Roman" w:eastAsia="Times New Roman" w:hAnsi="Times New Roman"/>
          <w:sz w:val="28"/>
          <w:szCs w:val="28"/>
          <w:lang w:eastAsia="ru-RU"/>
        </w:rPr>
        <w:t xml:space="preserve"> бюджетном процессе, пункта 29 Положения № 793-пп.</w:t>
      </w:r>
    </w:p>
    <w:p w14:paraId="008C6010" w14:textId="77777777" w:rsidR="00FA150E" w:rsidRPr="00FD7B0B" w:rsidRDefault="00FA150E" w:rsidP="008A1B68">
      <w:pPr>
        <w:spacing w:after="0" w:line="240" w:lineRule="auto"/>
        <w:ind w:firstLine="709"/>
        <w:contextualSpacing/>
        <w:jc w:val="both"/>
        <w:rPr>
          <w:rFonts w:ascii="Times New Roman" w:eastAsia="Times New Roman" w:hAnsi="Times New Roman"/>
          <w:sz w:val="28"/>
          <w:szCs w:val="28"/>
          <w:lang w:eastAsia="ru-RU"/>
        </w:rPr>
      </w:pPr>
    </w:p>
    <w:p w14:paraId="244E0368" w14:textId="7F35B60D" w:rsidR="00FA150E" w:rsidRPr="00FD7B0B" w:rsidRDefault="00FA150E" w:rsidP="008A1B68">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Согласно отчету о реализации госпрограммы за 2024 расходы за счет федеральных и областных средств составили в общей сумме 797,4 млн.руб. или 99,9 % к утвержденным сводной бюджетной росписью параметрам на 2024 год. В разрезе источников финансир</w:t>
      </w:r>
      <w:r w:rsidR="00DA7475" w:rsidRPr="00FD7B0B">
        <w:rPr>
          <w:rFonts w:ascii="Times New Roman" w:eastAsia="Times New Roman" w:hAnsi="Times New Roman"/>
          <w:sz w:val="28"/>
          <w:szCs w:val="28"/>
          <w:lang w:eastAsia="ru-RU"/>
        </w:rPr>
        <w:t xml:space="preserve">ования представлены на рисунке </w:t>
      </w:r>
      <w:r w:rsidR="00542A1F" w:rsidRPr="00FD7B0B">
        <w:rPr>
          <w:rFonts w:ascii="Times New Roman" w:eastAsia="Times New Roman" w:hAnsi="Times New Roman"/>
          <w:sz w:val="28"/>
          <w:szCs w:val="28"/>
          <w:lang w:eastAsia="ru-RU"/>
        </w:rPr>
        <w:t>34</w:t>
      </w:r>
      <w:r w:rsidRPr="00FD7B0B">
        <w:rPr>
          <w:rFonts w:ascii="Times New Roman" w:eastAsia="Times New Roman" w:hAnsi="Times New Roman"/>
          <w:sz w:val="28"/>
          <w:szCs w:val="28"/>
          <w:lang w:eastAsia="ru-RU"/>
        </w:rPr>
        <w:t>.</w:t>
      </w:r>
    </w:p>
    <w:p w14:paraId="4B513A1C" w14:textId="3038C95D" w:rsidR="008A1B68" w:rsidRPr="00FD7B0B" w:rsidRDefault="008A1B68" w:rsidP="008A1B68">
      <w:pPr>
        <w:spacing w:after="0" w:line="240" w:lineRule="auto"/>
        <w:contextualSpacing/>
        <w:jc w:val="center"/>
        <w:rPr>
          <w:rFonts w:ascii="Times New Roman" w:eastAsia="Times New Roman" w:hAnsi="Times New Roman"/>
          <w:sz w:val="28"/>
          <w:szCs w:val="28"/>
          <w:lang w:eastAsia="ru-RU"/>
        </w:rPr>
      </w:pPr>
      <w:r w:rsidRPr="00FD7B0B">
        <w:rPr>
          <w:rFonts w:ascii="Times New Roman" w:eastAsia="Times New Roman" w:hAnsi="Times New Roman"/>
          <w:noProof/>
          <w:sz w:val="28"/>
          <w:szCs w:val="28"/>
          <w:lang w:eastAsia="ru-RU"/>
        </w:rPr>
        <w:drawing>
          <wp:inline distT="0" distB="0" distL="0" distR="0" wp14:anchorId="7819CAA1" wp14:editId="39F2BC91">
            <wp:extent cx="5383530" cy="1353185"/>
            <wp:effectExtent l="0" t="0" r="762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83530" cy="1353185"/>
                    </a:xfrm>
                    <a:prstGeom prst="rect">
                      <a:avLst/>
                    </a:prstGeom>
                    <a:noFill/>
                  </pic:spPr>
                </pic:pic>
              </a:graphicData>
            </a:graphic>
          </wp:inline>
        </w:drawing>
      </w:r>
    </w:p>
    <w:p w14:paraId="7F70CCB6" w14:textId="77777777" w:rsidR="00FA150E" w:rsidRPr="00FD7B0B" w:rsidRDefault="00FA150E" w:rsidP="00FA150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noProof/>
          <w:sz w:val="24"/>
          <w:szCs w:val="24"/>
        </w:rPr>
        <w:fldChar w:fldCharType="begin"/>
      </w:r>
      <w:r w:rsidRPr="00FD7B0B">
        <w:rPr>
          <w:rFonts w:ascii="Times New Roman" w:hAnsi="Times New Roman"/>
          <w:b w:val="0"/>
          <w:noProof/>
          <w:sz w:val="24"/>
          <w:szCs w:val="24"/>
        </w:rPr>
        <w:instrText xml:space="preserve"> SEQ Рисунок \* ARABIC </w:instrText>
      </w:r>
      <w:r w:rsidRPr="00FD7B0B">
        <w:rPr>
          <w:rFonts w:ascii="Times New Roman" w:hAnsi="Times New Roman"/>
          <w:b w:val="0"/>
          <w:noProof/>
          <w:sz w:val="24"/>
          <w:szCs w:val="24"/>
        </w:rPr>
        <w:fldChar w:fldCharType="separate"/>
      </w:r>
      <w:r w:rsidR="002959CD" w:rsidRPr="00FD7B0B">
        <w:rPr>
          <w:rFonts w:ascii="Times New Roman" w:hAnsi="Times New Roman"/>
          <w:b w:val="0"/>
          <w:noProof/>
          <w:sz w:val="24"/>
          <w:szCs w:val="24"/>
        </w:rPr>
        <w:t>34</w:t>
      </w:r>
      <w:r w:rsidRPr="00FD7B0B">
        <w:rPr>
          <w:rFonts w:ascii="Times New Roman" w:hAnsi="Times New Roman"/>
          <w:b w:val="0"/>
          <w:noProof/>
          <w:sz w:val="24"/>
          <w:szCs w:val="24"/>
        </w:rPr>
        <w:fldChar w:fldCharType="end"/>
      </w:r>
      <w:r w:rsidRPr="00FD7B0B">
        <w:rPr>
          <w:rFonts w:ascii="Times New Roman" w:hAnsi="Times New Roman"/>
          <w:b w:val="0"/>
          <w:sz w:val="24"/>
          <w:szCs w:val="24"/>
        </w:rPr>
        <w:t>. Расходы на реализацию мероприятий ГП № 29 за 2024 в разрезе источников финансирования, млн.руб.</w:t>
      </w:r>
    </w:p>
    <w:p w14:paraId="7F923B5B" w14:textId="77777777" w:rsidR="00FA150E" w:rsidRPr="00FD7B0B" w:rsidRDefault="00FA150E" w:rsidP="008A1B68">
      <w:pPr>
        <w:spacing w:after="0" w:line="240" w:lineRule="auto"/>
        <w:ind w:firstLine="709"/>
        <w:jc w:val="both"/>
        <w:rPr>
          <w:rFonts w:ascii="Times New Roman" w:hAnsi="Times New Roman"/>
          <w:sz w:val="28"/>
          <w:szCs w:val="28"/>
        </w:rPr>
      </w:pPr>
    </w:p>
    <w:p w14:paraId="27FC00CE" w14:textId="2D71DABA" w:rsidR="00FA150E" w:rsidRPr="00FD7B0B" w:rsidRDefault="00FA150E" w:rsidP="008A1B68">
      <w:pPr>
        <w:spacing w:after="0" w:line="240" w:lineRule="auto"/>
        <w:ind w:firstLine="709"/>
        <w:jc w:val="both"/>
        <w:rPr>
          <w:rFonts w:ascii="Times New Roman" w:hAnsi="Times New Roman"/>
          <w:strike/>
          <w:sz w:val="28"/>
          <w:szCs w:val="28"/>
        </w:rPr>
      </w:pPr>
      <w:r w:rsidRPr="00FD7B0B">
        <w:rPr>
          <w:rFonts w:ascii="Times New Roman" w:hAnsi="Times New Roman"/>
          <w:sz w:val="28"/>
          <w:szCs w:val="28"/>
        </w:rPr>
        <w:t>В целом кассовые расходы на реализацию мероприятий госпрограммы за счет средств федерального и областного бюджета составили 797,4 млн.руб. или 99,9 % к утвержденным значениям на 2024, в т.ч. за счет средств федерального бюджета 242,0 млн.руб. или 99,9 %, за счет средств областного бюдж</w:t>
      </w:r>
      <w:r w:rsidR="008A1B68" w:rsidRPr="00FD7B0B">
        <w:rPr>
          <w:rFonts w:ascii="Times New Roman" w:hAnsi="Times New Roman"/>
          <w:sz w:val="28"/>
          <w:szCs w:val="28"/>
        </w:rPr>
        <w:t>ета 555,4 млн.руб. или 99,9 %.</w:t>
      </w:r>
    </w:p>
    <w:p w14:paraId="09B7A44C" w14:textId="77777777" w:rsidR="00FA150E" w:rsidRPr="00FD7B0B" w:rsidRDefault="00FA150E" w:rsidP="008A1B68">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части поквартального анализа произведенных кассовых расходов на реализацию госпрограммы необходимо отметить, что расходы осуществлялась равномерно в течение 2024.</w:t>
      </w:r>
    </w:p>
    <w:p w14:paraId="6526B9B2" w14:textId="77777777" w:rsidR="00FA150E" w:rsidRPr="00FD7B0B" w:rsidRDefault="00FA150E" w:rsidP="008A1B68">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 </w:t>
      </w:r>
    </w:p>
    <w:p w14:paraId="19AEC373" w14:textId="63576197" w:rsidR="00FA150E" w:rsidRPr="00FD7B0B" w:rsidRDefault="00FA150E" w:rsidP="008A1B68">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Расходы областного бюджета на реализацию госпрограммы за 2024 год, а также параметры, утвержденные на 2024 год в разрезе главных распорядителей и подгрупп видов р</w:t>
      </w:r>
      <w:r w:rsidR="008A1B68" w:rsidRPr="00FD7B0B">
        <w:rPr>
          <w:rFonts w:ascii="Times New Roman" w:eastAsia="Times New Roman" w:hAnsi="Times New Roman"/>
          <w:sz w:val="28"/>
          <w:szCs w:val="28"/>
          <w:lang w:eastAsia="ru-RU"/>
        </w:rPr>
        <w:t xml:space="preserve">асходов представлены в таблице </w:t>
      </w:r>
      <w:r w:rsidR="004358AF" w:rsidRPr="00FD7B0B">
        <w:rPr>
          <w:rFonts w:ascii="Times New Roman" w:eastAsia="Times New Roman" w:hAnsi="Times New Roman"/>
          <w:sz w:val="28"/>
          <w:szCs w:val="28"/>
          <w:lang w:eastAsia="ru-RU"/>
        </w:rPr>
        <w:t>231</w:t>
      </w:r>
      <w:r w:rsidRPr="00FD7B0B">
        <w:rPr>
          <w:rFonts w:ascii="Times New Roman" w:eastAsia="Times New Roman" w:hAnsi="Times New Roman"/>
          <w:sz w:val="28"/>
          <w:szCs w:val="28"/>
          <w:lang w:eastAsia="ru-RU"/>
        </w:rPr>
        <w:t>.</w:t>
      </w:r>
    </w:p>
    <w:p w14:paraId="608CC7D3" w14:textId="77777777" w:rsidR="00FA150E" w:rsidRPr="00FD7B0B" w:rsidRDefault="00FA150E" w:rsidP="008A1B68">
      <w:pPr>
        <w:spacing w:after="0" w:line="240" w:lineRule="auto"/>
        <w:ind w:firstLine="709"/>
        <w:contextualSpacing/>
        <w:jc w:val="both"/>
        <w:rPr>
          <w:rFonts w:ascii="Times New Roman" w:eastAsia="Times New Roman" w:hAnsi="Times New Roman"/>
          <w:sz w:val="24"/>
          <w:szCs w:val="24"/>
          <w:lang w:eastAsia="ru-RU"/>
        </w:rPr>
      </w:pPr>
    </w:p>
    <w:p w14:paraId="2A47CE1A" w14:textId="77777777" w:rsidR="004358AF" w:rsidRPr="00FD7B0B" w:rsidRDefault="004358AF" w:rsidP="00FA150E">
      <w:pPr>
        <w:pStyle w:val="aff0"/>
        <w:spacing w:after="0" w:line="240" w:lineRule="auto"/>
        <w:rPr>
          <w:rFonts w:ascii="Times New Roman" w:hAnsi="Times New Roman"/>
          <w:b w:val="0"/>
          <w:sz w:val="24"/>
          <w:szCs w:val="24"/>
        </w:rPr>
      </w:pPr>
    </w:p>
    <w:p w14:paraId="1FBA72AB" w14:textId="77777777" w:rsidR="004358AF" w:rsidRPr="00FD7B0B" w:rsidRDefault="004358AF" w:rsidP="00FA150E">
      <w:pPr>
        <w:pStyle w:val="aff0"/>
        <w:spacing w:after="0" w:line="240" w:lineRule="auto"/>
        <w:rPr>
          <w:rFonts w:ascii="Times New Roman" w:hAnsi="Times New Roman"/>
          <w:b w:val="0"/>
          <w:sz w:val="24"/>
          <w:szCs w:val="24"/>
        </w:rPr>
      </w:pPr>
    </w:p>
    <w:p w14:paraId="4ECDDEF0" w14:textId="77777777" w:rsidR="004358AF" w:rsidRPr="00FD7B0B" w:rsidRDefault="004358AF" w:rsidP="00FA150E">
      <w:pPr>
        <w:pStyle w:val="aff0"/>
        <w:spacing w:after="0" w:line="240" w:lineRule="auto"/>
        <w:rPr>
          <w:rFonts w:ascii="Times New Roman" w:hAnsi="Times New Roman"/>
          <w:b w:val="0"/>
          <w:sz w:val="24"/>
          <w:szCs w:val="24"/>
        </w:rPr>
      </w:pPr>
    </w:p>
    <w:p w14:paraId="13DADA93" w14:textId="4A6BAFE5" w:rsidR="00FA150E" w:rsidRPr="00FD7B0B" w:rsidRDefault="00852127" w:rsidP="00FA150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231</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FA150E" w:rsidRPr="00FD7B0B">
        <w:rPr>
          <w:rFonts w:ascii="Times New Roman" w:hAnsi="Times New Roman"/>
          <w:b w:val="0"/>
          <w:sz w:val="24"/>
          <w:szCs w:val="24"/>
        </w:rPr>
        <w:t>Основные параметры утвержденных и исполненных расходов из областного бюджета за 2024 на</w:t>
      </w:r>
      <w:r w:rsidR="00BD032B" w:rsidRPr="00FD7B0B">
        <w:rPr>
          <w:rFonts w:ascii="Times New Roman" w:hAnsi="Times New Roman"/>
          <w:b w:val="0"/>
          <w:sz w:val="24"/>
          <w:szCs w:val="24"/>
        </w:rPr>
        <w:t xml:space="preserve"> реализацию мероприятий ГП № 29</w:t>
      </w:r>
    </w:p>
    <w:tbl>
      <w:tblPr>
        <w:tblW w:w="9639"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410"/>
        <w:gridCol w:w="850"/>
        <w:gridCol w:w="1701"/>
        <w:gridCol w:w="1701"/>
        <w:gridCol w:w="851"/>
        <w:gridCol w:w="2126"/>
      </w:tblGrid>
      <w:tr w:rsidR="00FD7B0B" w:rsidRPr="00FD7B0B" w14:paraId="5F1FF7D6" w14:textId="77777777" w:rsidTr="004358AF">
        <w:trPr>
          <w:trHeight w:val="23"/>
          <w:tblHeader/>
        </w:trPr>
        <w:tc>
          <w:tcPr>
            <w:tcW w:w="2410" w:type="dxa"/>
            <w:vMerge w:val="restart"/>
            <w:shd w:val="clear" w:color="auto" w:fill="auto"/>
            <w:vAlign w:val="center"/>
            <w:hideMark/>
          </w:tcPr>
          <w:p w14:paraId="4DFFE29D"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Главный распорядитель, группы видов расходов</w:t>
            </w:r>
          </w:p>
        </w:tc>
        <w:tc>
          <w:tcPr>
            <w:tcW w:w="850" w:type="dxa"/>
            <w:vMerge w:val="restart"/>
            <w:shd w:val="clear" w:color="auto" w:fill="auto"/>
            <w:vAlign w:val="center"/>
            <w:hideMark/>
          </w:tcPr>
          <w:p w14:paraId="6CA57720" w14:textId="79658988" w:rsidR="00FA150E" w:rsidRPr="00FD7B0B" w:rsidRDefault="00FA150E" w:rsidP="00BD032B">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Код вида расходов</w:t>
            </w:r>
          </w:p>
        </w:tc>
        <w:tc>
          <w:tcPr>
            <w:tcW w:w="3402" w:type="dxa"/>
            <w:gridSpan w:val="2"/>
            <w:shd w:val="clear" w:color="auto" w:fill="auto"/>
            <w:vAlign w:val="center"/>
            <w:hideMark/>
          </w:tcPr>
          <w:p w14:paraId="22D7FB84" w14:textId="2DBAAF1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План 2024 года на 31.12.2024, </w:t>
            </w:r>
            <w:r w:rsidR="000560EB" w:rsidRPr="00FD7B0B">
              <w:rPr>
                <w:rFonts w:ascii="Times New Roman" w:eastAsia="Times New Roman" w:hAnsi="Times New Roman"/>
                <w:sz w:val="16"/>
                <w:szCs w:val="16"/>
                <w:lang w:eastAsia="ru-RU"/>
              </w:rPr>
              <w:t>млн.руб.</w:t>
            </w:r>
          </w:p>
        </w:tc>
        <w:tc>
          <w:tcPr>
            <w:tcW w:w="2977" w:type="dxa"/>
            <w:gridSpan w:val="2"/>
            <w:shd w:val="clear" w:color="auto" w:fill="auto"/>
            <w:vAlign w:val="center"/>
            <w:hideMark/>
          </w:tcPr>
          <w:p w14:paraId="52D8B83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Исполнение на 31.12.2024</w:t>
            </w:r>
          </w:p>
        </w:tc>
      </w:tr>
      <w:tr w:rsidR="00FD7B0B" w:rsidRPr="00FD7B0B" w14:paraId="6D20CE59" w14:textId="77777777" w:rsidTr="004358AF">
        <w:trPr>
          <w:trHeight w:val="237"/>
          <w:tblHeader/>
        </w:trPr>
        <w:tc>
          <w:tcPr>
            <w:tcW w:w="2410" w:type="dxa"/>
            <w:vMerge/>
            <w:vAlign w:val="center"/>
            <w:hideMark/>
          </w:tcPr>
          <w:p w14:paraId="6873AF1F" w14:textId="77777777" w:rsidR="00FA150E" w:rsidRPr="00FD7B0B" w:rsidRDefault="00FA150E" w:rsidP="00FA150E">
            <w:pPr>
              <w:spacing w:after="0" w:line="240" w:lineRule="auto"/>
              <w:rPr>
                <w:rFonts w:ascii="Times New Roman" w:eastAsia="Times New Roman" w:hAnsi="Times New Roman"/>
                <w:sz w:val="16"/>
                <w:szCs w:val="16"/>
                <w:lang w:eastAsia="ru-RU"/>
              </w:rPr>
            </w:pPr>
          </w:p>
        </w:tc>
        <w:tc>
          <w:tcPr>
            <w:tcW w:w="850" w:type="dxa"/>
            <w:vMerge/>
            <w:vAlign w:val="center"/>
            <w:hideMark/>
          </w:tcPr>
          <w:p w14:paraId="3912250F" w14:textId="77777777" w:rsidR="00FA150E" w:rsidRPr="00FD7B0B" w:rsidRDefault="00FA150E" w:rsidP="00FA150E">
            <w:pPr>
              <w:spacing w:after="0" w:line="240" w:lineRule="auto"/>
              <w:rPr>
                <w:rFonts w:ascii="Times New Roman" w:eastAsia="Times New Roman" w:hAnsi="Times New Roman"/>
                <w:sz w:val="16"/>
                <w:szCs w:val="16"/>
                <w:lang w:eastAsia="ru-RU"/>
              </w:rPr>
            </w:pPr>
          </w:p>
        </w:tc>
        <w:tc>
          <w:tcPr>
            <w:tcW w:w="1701" w:type="dxa"/>
            <w:shd w:val="clear" w:color="auto" w:fill="auto"/>
            <w:vAlign w:val="center"/>
            <w:hideMark/>
          </w:tcPr>
          <w:p w14:paraId="0824806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Утверждено на год законом о бюджете</w:t>
            </w:r>
          </w:p>
        </w:tc>
        <w:tc>
          <w:tcPr>
            <w:tcW w:w="1701" w:type="dxa"/>
            <w:shd w:val="clear" w:color="auto" w:fill="auto"/>
            <w:vAlign w:val="center"/>
            <w:hideMark/>
          </w:tcPr>
          <w:p w14:paraId="7B5E9B9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Сводная бюджетная роспись на 2024 год</w:t>
            </w:r>
          </w:p>
        </w:tc>
        <w:tc>
          <w:tcPr>
            <w:tcW w:w="851" w:type="dxa"/>
            <w:shd w:val="clear" w:color="auto" w:fill="auto"/>
            <w:vAlign w:val="center"/>
            <w:hideMark/>
          </w:tcPr>
          <w:p w14:paraId="7785296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 млн.руб.</w:t>
            </w:r>
          </w:p>
        </w:tc>
        <w:tc>
          <w:tcPr>
            <w:tcW w:w="2126" w:type="dxa"/>
            <w:shd w:val="clear" w:color="auto" w:fill="auto"/>
            <w:vAlign w:val="center"/>
            <w:hideMark/>
          </w:tcPr>
          <w:p w14:paraId="4A92645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 % к уточненной сводной бюджетной росписи на год</w:t>
            </w:r>
          </w:p>
        </w:tc>
      </w:tr>
      <w:tr w:rsidR="00FD7B0B" w:rsidRPr="00FD7B0B" w14:paraId="459BF34B" w14:textId="77777777" w:rsidTr="00BD032B">
        <w:trPr>
          <w:trHeight w:val="128"/>
        </w:trPr>
        <w:tc>
          <w:tcPr>
            <w:tcW w:w="2410" w:type="dxa"/>
            <w:shd w:val="clear" w:color="auto" w:fill="auto"/>
            <w:vAlign w:val="center"/>
            <w:hideMark/>
          </w:tcPr>
          <w:p w14:paraId="1E991DA0"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Агентство по делам молодежи Архангельской области</w:t>
            </w:r>
          </w:p>
        </w:tc>
        <w:tc>
          <w:tcPr>
            <w:tcW w:w="850" w:type="dxa"/>
            <w:shd w:val="clear" w:color="auto" w:fill="auto"/>
            <w:vAlign w:val="center"/>
            <w:hideMark/>
          </w:tcPr>
          <w:p w14:paraId="73124F2D"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701" w:type="dxa"/>
            <w:shd w:val="clear" w:color="auto" w:fill="auto"/>
            <w:vAlign w:val="center"/>
            <w:hideMark/>
          </w:tcPr>
          <w:p w14:paraId="20745933"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166,2</w:t>
            </w:r>
          </w:p>
        </w:tc>
        <w:tc>
          <w:tcPr>
            <w:tcW w:w="1701" w:type="dxa"/>
            <w:shd w:val="clear" w:color="auto" w:fill="auto"/>
            <w:vAlign w:val="center"/>
            <w:hideMark/>
          </w:tcPr>
          <w:p w14:paraId="2A8ECA1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180,2</w:t>
            </w:r>
          </w:p>
        </w:tc>
        <w:tc>
          <w:tcPr>
            <w:tcW w:w="851" w:type="dxa"/>
            <w:shd w:val="clear" w:color="auto" w:fill="auto"/>
            <w:vAlign w:val="center"/>
            <w:hideMark/>
          </w:tcPr>
          <w:p w14:paraId="42EB1ED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179,8</w:t>
            </w:r>
          </w:p>
        </w:tc>
        <w:tc>
          <w:tcPr>
            <w:tcW w:w="2126" w:type="dxa"/>
            <w:shd w:val="clear" w:color="auto" w:fill="auto"/>
            <w:vAlign w:val="center"/>
            <w:hideMark/>
          </w:tcPr>
          <w:p w14:paraId="510B9D3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99,8</w:t>
            </w:r>
          </w:p>
        </w:tc>
      </w:tr>
      <w:tr w:rsidR="00FD7B0B" w:rsidRPr="00FD7B0B" w14:paraId="18CB19A2" w14:textId="77777777" w:rsidTr="00BD032B">
        <w:trPr>
          <w:trHeight w:val="670"/>
        </w:trPr>
        <w:tc>
          <w:tcPr>
            <w:tcW w:w="2410" w:type="dxa"/>
            <w:shd w:val="clear" w:color="auto" w:fill="auto"/>
            <w:vAlign w:val="center"/>
            <w:hideMark/>
          </w:tcPr>
          <w:p w14:paraId="0AD15EB0"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Закупка товаров, работ и услуг для обеспечения государственных (муниципальных) нужд</w:t>
            </w:r>
          </w:p>
        </w:tc>
        <w:tc>
          <w:tcPr>
            <w:tcW w:w="850" w:type="dxa"/>
            <w:shd w:val="clear" w:color="auto" w:fill="auto"/>
            <w:vAlign w:val="center"/>
            <w:hideMark/>
          </w:tcPr>
          <w:p w14:paraId="1D2A42A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200</w:t>
            </w:r>
          </w:p>
        </w:tc>
        <w:tc>
          <w:tcPr>
            <w:tcW w:w="1701" w:type="dxa"/>
            <w:shd w:val="clear" w:color="auto" w:fill="auto"/>
            <w:vAlign w:val="center"/>
            <w:hideMark/>
          </w:tcPr>
          <w:p w14:paraId="794AF945"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2,3</w:t>
            </w:r>
          </w:p>
        </w:tc>
        <w:tc>
          <w:tcPr>
            <w:tcW w:w="1701" w:type="dxa"/>
            <w:shd w:val="clear" w:color="auto" w:fill="auto"/>
            <w:vAlign w:val="center"/>
            <w:hideMark/>
          </w:tcPr>
          <w:p w14:paraId="4C49C3A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1,9</w:t>
            </w:r>
          </w:p>
        </w:tc>
        <w:tc>
          <w:tcPr>
            <w:tcW w:w="851" w:type="dxa"/>
            <w:shd w:val="clear" w:color="auto" w:fill="auto"/>
            <w:vAlign w:val="center"/>
            <w:hideMark/>
          </w:tcPr>
          <w:p w14:paraId="44E3B39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1,9</w:t>
            </w:r>
          </w:p>
        </w:tc>
        <w:tc>
          <w:tcPr>
            <w:tcW w:w="2126" w:type="dxa"/>
            <w:shd w:val="clear" w:color="auto" w:fill="auto"/>
            <w:vAlign w:val="center"/>
            <w:hideMark/>
          </w:tcPr>
          <w:p w14:paraId="6E6E4E9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r w:rsidR="00FD7B0B" w:rsidRPr="00FD7B0B" w14:paraId="2EC95696" w14:textId="77777777" w:rsidTr="00BD032B">
        <w:trPr>
          <w:trHeight w:val="269"/>
        </w:trPr>
        <w:tc>
          <w:tcPr>
            <w:tcW w:w="2410" w:type="dxa"/>
            <w:shd w:val="clear" w:color="auto" w:fill="auto"/>
            <w:vAlign w:val="center"/>
            <w:hideMark/>
          </w:tcPr>
          <w:p w14:paraId="42A316AC"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Иные закупки товаров, работ и услуг для обеспечения государственных (муниципальных) нужд</w:t>
            </w:r>
          </w:p>
        </w:tc>
        <w:tc>
          <w:tcPr>
            <w:tcW w:w="850" w:type="dxa"/>
            <w:shd w:val="clear" w:color="auto" w:fill="auto"/>
            <w:vAlign w:val="center"/>
            <w:hideMark/>
          </w:tcPr>
          <w:p w14:paraId="05A98E8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240</w:t>
            </w:r>
          </w:p>
        </w:tc>
        <w:tc>
          <w:tcPr>
            <w:tcW w:w="1701" w:type="dxa"/>
            <w:shd w:val="clear" w:color="auto" w:fill="auto"/>
            <w:vAlign w:val="center"/>
            <w:hideMark/>
          </w:tcPr>
          <w:p w14:paraId="54CD231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2,3</w:t>
            </w:r>
          </w:p>
        </w:tc>
        <w:tc>
          <w:tcPr>
            <w:tcW w:w="1701" w:type="dxa"/>
            <w:shd w:val="clear" w:color="auto" w:fill="auto"/>
            <w:vAlign w:val="center"/>
            <w:hideMark/>
          </w:tcPr>
          <w:p w14:paraId="5CC8DC1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1,9</w:t>
            </w:r>
          </w:p>
        </w:tc>
        <w:tc>
          <w:tcPr>
            <w:tcW w:w="851" w:type="dxa"/>
            <w:shd w:val="clear" w:color="auto" w:fill="auto"/>
            <w:vAlign w:val="center"/>
            <w:hideMark/>
          </w:tcPr>
          <w:p w14:paraId="20B1107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1,9</w:t>
            </w:r>
          </w:p>
        </w:tc>
        <w:tc>
          <w:tcPr>
            <w:tcW w:w="2126" w:type="dxa"/>
            <w:shd w:val="clear" w:color="auto" w:fill="auto"/>
            <w:vAlign w:val="center"/>
            <w:hideMark/>
          </w:tcPr>
          <w:p w14:paraId="43D0729A"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r w:rsidR="00FD7B0B" w:rsidRPr="00FD7B0B" w14:paraId="3DB1707E" w14:textId="77777777" w:rsidTr="00BD032B">
        <w:trPr>
          <w:trHeight w:val="99"/>
        </w:trPr>
        <w:tc>
          <w:tcPr>
            <w:tcW w:w="2410" w:type="dxa"/>
            <w:shd w:val="clear" w:color="auto" w:fill="auto"/>
            <w:vAlign w:val="center"/>
            <w:hideMark/>
          </w:tcPr>
          <w:p w14:paraId="7D0B8DC2"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Межбюджетные трансферты</w:t>
            </w:r>
          </w:p>
        </w:tc>
        <w:tc>
          <w:tcPr>
            <w:tcW w:w="850" w:type="dxa"/>
            <w:shd w:val="clear" w:color="auto" w:fill="auto"/>
            <w:vAlign w:val="center"/>
            <w:hideMark/>
          </w:tcPr>
          <w:p w14:paraId="3F4A407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500</w:t>
            </w:r>
          </w:p>
        </w:tc>
        <w:tc>
          <w:tcPr>
            <w:tcW w:w="1701" w:type="dxa"/>
            <w:shd w:val="clear" w:color="auto" w:fill="auto"/>
            <w:vAlign w:val="center"/>
            <w:hideMark/>
          </w:tcPr>
          <w:p w14:paraId="1E96F75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163,9</w:t>
            </w:r>
          </w:p>
        </w:tc>
        <w:tc>
          <w:tcPr>
            <w:tcW w:w="1701" w:type="dxa"/>
            <w:shd w:val="clear" w:color="auto" w:fill="auto"/>
            <w:vAlign w:val="center"/>
            <w:hideMark/>
          </w:tcPr>
          <w:p w14:paraId="209C42C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178,3</w:t>
            </w:r>
          </w:p>
        </w:tc>
        <w:tc>
          <w:tcPr>
            <w:tcW w:w="851" w:type="dxa"/>
            <w:shd w:val="clear" w:color="auto" w:fill="auto"/>
            <w:vAlign w:val="center"/>
            <w:hideMark/>
          </w:tcPr>
          <w:p w14:paraId="25BA117A"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177,9</w:t>
            </w:r>
          </w:p>
        </w:tc>
        <w:tc>
          <w:tcPr>
            <w:tcW w:w="2126" w:type="dxa"/>
            <w:shd w:val="clear" w:color="auto" w:fill="auto"/>
            <w:vAlign w:val="center"/>
            <w:hideMark/>
          </w:tcPr>
          <w:p w14:paraId="6E3D389A"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99,8</w:t>
            </w:r>
          </w:p>
        </w:tc>
      </w:tr>
      <w:tr w:rsidR="00FD7B0B" w:rsidRPr="00FD7B0B" w14:paraId="4F7FB438" w14:textId="77777777" w:rsidTr="00BD032B">
        <w:trPr>
          <w:trHeight w:val="173"/>
        </w:trPr>
        <w:tc>
          <w:tcPr>
            <w:tcW w:w="2410" w:type="dxa"/>
            <w:shd w:val="clear" w:color="auto" w:fill="auto"/>
            <w:vAlign w:val="center"/>
            <w:hideMark/>
          </w:tcPr>
          <w:p w14:paraId="5B35780D"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Субсидии</w:t>
            </w:r>
          </w:p>
        </w:tc>
        <w:tc>
          <w:tcPr>
            <w:tcW w:w="850" w:type="dxa"/>
            <w:shd w:val="clear" w:color="auto" w:fill="auto"/>
            <w:vAlign w:val="center"/>
            <w:hideMark/>
          </w:tcPr>
          <w:p w14:paraId="2D4B623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520</w:t>
            </w:r>
          </w:p>
        </w:tc>
        <w:tc>
          <w:tcPr>
            <w:tcW w:w="1701" w:type="dxa"/>
            <w:shd w:val="clear" w:color="auto" w:fill="auto"/>
            <w:vAlign w:val="center"/>
            <w:hideMark/>
          </w:tcPr>
          <w:p w14:paraId="40049DF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57,2</w:t>
            </w:r>
          </w:p>
        </w:tc>
        <w:tc>
          <w:tcPr>
            <w:tcW w:w="1701" w:type="dxa"/>
            <w:shd w:val="clear" w:color="auto" w:fill="auto"/>
            <w:vAlign w:val="center"/>
            <w:hideMark/>
          </w:tcPr>
          <w:p w14:paraId="0C2DFF5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74,9</w:t>
            </w:r>
          </w:p>
        </w:tc>
        <w:tc>
          <w:tcPr>
            <w:tcW w:w="851" w:type="dxa"/>
            <w:shd w:val="clear" w:color="auto" w:fill="auto"/>
            <w:vAlign w:val="center"/>
            <w:hideMark/>
          </w:tcPr>
          <w:p w14:paraId="5BA8FC20"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74,9</w:t>
            </w:r>
          </w:p>
        </w:tc>
        <w:tc>
          <w:tcPr>
            <w:tcW w:w="2126" w:type="dxa"/>
            <w:shd w:val="clear" w:color="auto" w:fill="auto"/>
            <w:vAlign w:val="center"/>
            <w:hideMark/>
          </w:tcPr>
          <w:p w14:paraId="7CDD43D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r>
      <w:tr w:rsidR="00FD7B0B" w:rsidRPr="00FD7B0B" w14:paraId="0B80A3A1" w14:textId="77777777" w:rsidTr="00BD032B">
        <w:trPr>
          <w:trHeight w:val="378"/>
        </w:trPr>
        <w:tc>
          <w:tcPr>
            <w:tcW w:w="2410" w:type="dxa"/>
            <w:shd w:val="clear" w:color="auto" w:fill="auto"/>
            <w:vAlign w:val="center"/>
            <w:hideMark/>
          </w:tcPr>
          <w:p w14:paraId="71319598"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Иные межбюджетные трансферты</w:t>
            </w:r>
          </w:p>
        </w:tc>
        <w:tc>
          <w:tcPr>
            <w:tcW w:w="850" w:type="dxa"/>
            <w:shd w:val="clear" w:color="auto" w:fill="auto"/>
            <w:vAlign w:val="center"/>
            <w:hideMark/>
          </w:tcPr>
          <w:p w14:paraId="1644CC7A"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540</w:t>
            </w:r>
          </w:p>
        </w:tc>
        <w:tc>
          <w:tcPr>
            <w:tcW w:w="1701" w:type="dxa"/>
            <w:shd w:val="clear" w:color="auto" w:fill="auto"/>
            <w:vAlign w:val="center"/>
            <w:hideMark/>
          </w:tcPr>
          <w:p w14:paraId="6865194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106,7</w:t>
            </w:r>
          </w:p>
        </w:tc>
        <w:tc>
          <w:tcPr>
            <w:tcW w:w="1701" w:type="dxa"/>
            <w:shd w:val="clear" w:color="auto" w:fill="auto"/>
            <w:vAlign w:val="center"/>
            <w:hideMark/>
          </w:tcPr>
          <w:p w14:paraId="09883C33"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103,4</w:t>
            </w:r>
          </w:p>
        </w:tc>
        <w:tc>
          <w:tcPr>
            <w:tcW w:w="851" w:type="dxa"/>
            <w:shd w:val="clear" w:color="auto" w:fill="auto"/>
            <w:vAlign w:val="center"/>
            <w:hideMark/>
          </w:tcPr>
          <w:p w14:paraId="4A7A1DD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103,0</w:t>
            </w:r>
          </w:p>
        </w:tc>
        <w:tc>
          <w:tcPr>
            <w:tcW w:w="2126" w:type="dxa"/>
            <w:shd w:val="clear" w:color="auto" w:fill="auto"/>
            <w:vAlign w:val="center"/>
            <w:hideMark/>
          </w:tcPr>
          <w:p w14:paraId="49D856A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99,7</w:t>
            </w:r>
          </w:p>
        </w:tc>
      </w:tr>
    </w:tbl>
    <w:p w14:paraId="0BA31E43" w14:textId="77777777" w:rsidR="00FA150E" w:rsidRPr="00FD7B0B" w:rsidRDefault="00FA150E" w:rsidP="00FA150E">
      <w:pPr>
        <w:spacing w:after="0" w:line="240" w:lineRule="auto"/>
        <w:ind w:firstLine="851"/>
        <w:contextualSpacing/>
        <w:jc w:val="both"/>
        <w:rPr>
          <w:rFonts w:ascii="Times New Roman" w:eastAsia="Times New Roman" w:hAnsi="Times New Roman"/>
          <w:sz w:val="28"/>
          <w:szCs w:val="28"/>
          <w:lang w:eastAsia="ru-RU"/>
        </w:rPr>
      </w:pPr>
    </w:p>
    <w:p w14:paraId="0BCC979B" w14:textId="6785E0EB" w:rsidR="00FA150E" w:rsidRPr="00FD7B0B" w:rsidRDefault="00FA150E" w:rsidP="00FA150E">
      <w:pPr>
        <w:spacing w:after="0" w:line="240" w:lineRule="auto"/>
        <w:ind w:firstLine="851"/>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Динамика исполнения мероприятий ГП № 29 в части контрактуемых расходов и межбюджетных трансфертов представлены на рисунках </w:t>
      </w:r>
      <w:r w:rsidR="004358AF" w:rsidRPr="00FD7B0B">
        <w:rPr>
          <w:rFonts w:ascii="Times New Roman" w:eastAsia="Times New Roman" w:hAnsi="Times New Roman"/>
          <w:sz w:val="28"/>
          <w:szCs w:val="28"/>
          <w:lang w:eastAsia="ru-RU"/>
        </w:rPr>
        <w:t>35</w:t>
      </w:r>
      <w:r w:rsidRPr="00FD7B0B">
        <w:rPr>
          <w:rFonts w:ascii="Times New Roman" w:eastAsia="Times New Roman" w:hAnsi="Times New Roman"/>
          <w:sz w:val="28"/>
          <w:szCs w:val="28"/>
          <w:lang w:eastAsia="ru-RU"/>
        </w:rPr>
        <w:t xml:space="preserve"> и </w:t>
      </w:r>
      <w:r w:rsidR="004358AF" w:rsidRPr="00FD7B0B">
        <w:rPr>
          <w:rFonts w:ascii="Times New Roman" w:eastAsia="Times New Roman" w:hAnsi="Times New Roman"/>
          <w:sz w:val="28"/>
          <w:szCs w:val="28"/>
          <w:lang w:eastAsia="ru-RU"/>
        </w:rPr>
        <w:t>36</w:t>
      </w:r>
      <w:r w:rsidRPr="00FD7B0B">
        <w:rPr>
          <w:rFonts w:ascii="Times New Roman" w:eastAsia="Times New Roman" w:hAnsi="Times New Roman"/>
          <w:sz w:val="28"/>
          <w:szCs w:val="28"/>
          <w:lang w:eastAsia="ru-RU"/>
        </w:rPr>
        <w:t>.</w:t>
      </w:r>
    </w:p>
    <w:p w14:paraId="42E0CFAE" w14:textId="0F9B178F" w:rsidR="00FA150E" w:rsidRPr="00FD7B0B" w:rsidRDefault="00B94A3E" w:rsidP="00B94A3E">
      <w:pPr>
        <w:spacing w:after="0" w:line="240" w:lineRule="auto"/>
        <w:contextualSpacing/>
        <w:jc w:val="center"/>
        <w:rPr>
          <w:rFonts w:ascii="Times New Roman" w:eastAsia="Times New Roman" w:hAnsi="Times New Roman"/>
          <w:sz w:val="28"/>
          <w:szCs w:val="28"/>
          <w:lang w:eastAsia="ru-RU"/>
        </w:rPr>
      </w:pPr>
      <w:r w:rsidRPr="00FD7B0B">
        <w:rPr>
          <w:rFonts w:ascii="Times New Roman" w:eastAsia="Times New Roman" w:hAnsi="Times New Roman"/>
          <w:noProof/>
          <w:sz w:val="28"/>
          <w:szCs w:val="28"/>
          <w:lang w:eastAsia="ru-RU"/>
        </w:rPr>
        <w:drawing>
          <wp:inline distT="0" distB="0" distL="0" distR="0" wp14:anchorId="708159FB" wp14:editId="565B821B">
            <wp:extent cx="5370830" cy="1840865"/>
            <wp:effectExtent l="0" t="0" r="1270" b="698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70830" cy="1840865"/>
                    </a:xfrm>
                    <a:prstGeom prst="rect">
                      <a:avLst/>
                    </a:prstGeom>
                    <a:noFill/>
                  </pic:spPr>
                </pic:pic>
              </a:graphicData>
            </a:graphic>
          </wp:inline>
        </w:drawing>
      </w:r>
    </w:p>
    <w:p w14:paraId="5A86022E" w14:textId="46F75B81" w:rsidR="00FA150E" w:rsidRPr="00FD7B0B" w:rsidRDefault="008F6940" w:rsidP="00FA150E">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Рисунок </w:t>
      </w:r>
      <w:r w:rsidRPr="00FD7B0B">
        <w:rPr>
          <w:rFonts w:ascii="Times New Roman" w:hAnsi="Times New Roman"/>
          <w:noProof/>
          <w:sz w:val="24"/>
          <w:szCs w:val="24"/>
        </w:rPr>
        <w:fldChar w:fldCharType="begin"/>
      </w:r>
      <w:r w:rsidRPr="00FD7B0B">
        <w:rPr>
          <w:rFonts w:ascii="Times New Roman" w:hAnsi="Times New Roman"/>
          <w:noProof/>
          <w:sz w:val="24"/>
          <w:szCs w:val="24"/>
        </w:rPr>
        <w:instrText xml:space="preserve"> SEQ Рисунок \* ARABIC </w:instrText>
      </w:r>
      <w:r w:rsidRPr="00FD7B0B">
        <w:rPr>
          <w:rFonts w:ascii="Times New Roman" w:hAnsi="Times New Roman"/>
          <w:noProof/>
          <w:sz w:val="24"/>
          <w:szCs w:val="24"/>
        </w:rPr>
        <w:fldChar w:fldCharType="separate"/>
      </w:r>
      <w:r w:rsidR="002959CD" w:rsidRPr="00FD7B0B">
        <w:rPr>
          <w:rFonts w:ascii="Times New Roman" w:hAnsi="Times New Roman"/>
          <w:noProof/>
          <w:sz w:val="24"/>
          <w:szCs w:val="24"/>
        </w:rPr>
        <w:t>35</w:t>
      </w:r>
      <w:r w:rsidRPr="00FD7B0B">
        <w:rPr>
          <w:rFonts w:ascii="Times New Roman" w:hAnsi="Times New Roman"/>
          <w:noProof/>
          <w:sz w:val="24"/>
          <w:szCs w:val="24"/>
        </w:rPr>
        <w:fldChar w:fldCharType="end"/>
      </w:r>
      <w:r w:rsidRPr="00FD7B0B">
        <w:rPr>
          <w:rFonts w:ascii="Times New Roman" w:hAnsi="Times New Roman"/>
          <w:sz w:val="24"/>
          <w:szCs w:val="24"/>
        </w:rPr>
        <w:t xml:space="preserve">. </w:t>
      </w:r>
      <w:r w:rsidR="00FA150E" w:rsidRPr="00FD7B0B">
        <w:rPr>
          <w:rFonts w:ascii="Times New Roman" w:hAnsi="Times New Roman"/>
          <w:sz w:val="24"/>
          <w:szCs w:val="24"/>
        </w:rPr>
        <w:t>Расходы областного бюджета за 2024 на реализацию мероприятий ГП № 29 в части контрактуемых расходов, млн.руб.</w:t>
      </w:r>
    </w:p>
    <w:p w14:paraId="620E7FBE" w14:textId="26FFF64A" w:rsidR="00FA150E" w:rsidRPr="00FD7B0B" w:rsidRDefault="008F6940" w:rsidP="00FA150E">
      <w:pPr>
        <w:spacing w:after="0" w:line="240" w:lineRule="auto"/>
        <w:contextualSpacing/>
        <w:rPr>
          <w:rFonts w:ascii="Times New Roman" w:hAnsi="Times New Roman"/>
          <w:sz w:val="24"/>
          <w:szCs w:val="24"/>
        </w:rPr>
      </w:pPr>
      <w:r w:rsidRPr="00FD7B0B">
        <w:rPr>
          <w:rFonts w:ascii="Times New Roman" w:hAnsi="Times New Roman"/>
          <w:noProof/>
          <w:sz w:val="24"/>
          <w:szCs w:val="24"/>
          <w:lang w:eastAsia="ru-RU"/>
        </w:rPr>
        <w:drawing>
          <wp:inline distT="0" distB="0" distL="0" distR="0" wp14:anchorId="75C77812" wp14:editId="3A3DCAB8">
            <wp:extent cx="5502125" cy="1790500"/>
            <wp:effectExtent l="0" t="0" r="3810" b="63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16344" cy="1795127"/>
                    </a:xfrm>
                    <a:prstGeom prst="rect">
                      <a:avLst/>
                    </a:prstGeom>
                    <a:noFill/>
                  </pic:spPr>
                </pic:pic>
              </a:graphicData>
            </a:graphic>
          </wp:inline>
        </w:drawing>
      </w:r>
    </w:p>
    <w:p w14:paraId="0ECC0216" w14:textId="7AC994C3" w:rsidR="00FA150E" w:rsidRPr="00FD7B0B" w:rsidRDefault="008F6940" w:rsidP="00FA150E">
      <w:pPr>
        <w:spacing w:after="0" w:line="240" w:lineRule="auto"/>
        <w:contextualSpacing/>
        <w:rPr>
          <w:rFonts w:ascii="Times New Roman" w:hAnsi="Times New Roman"/>
          <w:sz w:val="24"/>
          <w:szCs w:val="24"/>
        </w:rPr>
      </w:pPr>
      <w:r w:rsidRPr="00FD7B0B">
        <w:rPr>
          <w:rFonts w:ascii="Times New Roman" w:hAnsi="Times New Roman"/>
          <w:sz w:val="24"/>
          <w:szCs w:val="24"/>
        </w:rPr>
        <w:t xml:space="preserve">Рисунок </w:t>
      </w:r>
      <w:r w:rsidRPr="00FD7B0B">
        <w:rPr>
          <w:rFonts w:ascii="Times New Roman" w:hAnsi="Times New Roman"/>
          <w:noProof/>
          <w:sz w:val="24"/>
          <w:szCs w:val="24"/>
        </w:rPr>
        <w:fldChar w:fldCharType="begin"/>
      </w:r>
      <w:r w:rsidRPr="00FD7B0B">
        <w:rPr>
          <w:rFonts w:ascii="Times New Roman" w:hAnsi="Times New Roman"/>
          <w:noProof/>
          <w:sz w:val="24"/>
          <w:szCs w:val="24"/>
        </w:rPr>
        <w:instrText xml:space="preserve"> SEQ Рисунок \* ARABIC </w:instrText>
      </w:r>
      <w:r w:rsidRPr="00FD7B0B">
        <w:rPr>
          <w:rFonts w:ascii="Times New Roman" w:hAnsi="Times New Roman"/>
          <w:noProof/>
          <w:sz w:val="24"/>
          <w:szCs w:val="24"/>
        </w:rPr>
        <w:fldChar w:fldCharType="separate"/>
      </w:r>
      <w:r w:rsidR="002959CD" w:rsidRPr="00FD7B0B">
        <w:rPr>
          <w:rFonts w:ascii="Times New Roman" w:hAnsi="Times New Roman"/>
          <w:noProof/>
          <w:sz w:val="24"/>
          <w:szCs w:val="24"/>
        </w:rPr>
        <w:t>36</w:t>
      </w:r>
      <w:r w:rsidRPr="00FD7B0B">
        <w:rPr>
          <w:rFonts w:ascii="Times New Roman" w:hAnsi="Times New Roman"/>
          <w:noProof/>
          <w:sz w:val="24"/>
          <w:szCs w:val="24"/>
        </w:rPr>
        <w:fldChar w:fldCharType="end"/>
      </w:r>
      <w:r w:rsidRPr="00FD7B0B">
        <w:rPr>
          <w:rFonts w:ascii="Times New Roman" w:hAnsi="Times New Roman"/>
          <w:sz w:val="24"/>
          <w:szCs w:val="24"/>
        </w:rPr>
        <w:t xml:space="preserve">. </w:t>
      </w:r>
      <w:r w:rsidR="00FA150E" w:rsidRPr="00FD7B0B">
        <w:rPr>
          <w:rFonts w:ascii="Times New Roman" w:hAnsi="Times New Roman"/>
          <w:sz w:val="24"/>
          <w:szCs w:val="24"/>
        </w:rPr>
        <w:t>Расходы областного бюджета за 2024 на реализацию мероприятий ГП № 29 в части межбюджетных трансфертов, млн.руб.</w:t>
      </w:r>
    </w:p>
    <w:p w14:paraId="4378D1D2" w14:textId="77777777" w:rsidR="00FA150E" w:rsidRPr="00FD7B0B" w:rsidRDefault="00FA150E" w:rsidP="00FA150E">
      <w:pPr>
        <w:spacing w:after="0" w:line="240" w:lineRule="auto"/>
        <w:ind w:firstLine="851"/>
        <w:jc w:val="both"/>
        <w:rPr>
          <w:rFonts w:ascii="Times New Roman" w:hAnsi="Times New Roman"/>
          <w:sz w:val="28"/>
          <w:szCs w:val="28"/>
        </w:rPr>
      </w:pPr>
    </w:p>
    <w:p w14:paraId="0D16383D" w14:textId="77777777" w:rsidR="00FA150E" w:rsidRPr="00FD7B0B" w:rsidRDefault="00FA150E" w:rsidP="00FA150E">
      <w:pPr>
        <w:spacing w:after="0" w:line="240" w:lineRule="auto"/>
        <w:ind w:firstLine="709"/>
        <w:jc w:val="both"/>
        <w:rPr>
          <w:rFonts w:ascii="Times New Roman" w:eastAsia="Times New Roman" w:hAnsi="Times New Roman"/>
          <w:sz w:val="28"/>
          <w:szCs w:val="28"/>
          <w:lang w:eastAsia="ru-RU"/>
        </w:rPr>
      </w:pPr>
      <w:r w:rsidRPr="00FD7B0B">
        <w:rPr>
          <w:rFonts w:ascii="Times New Roman" w:hAnsi="Times New Roman"/>
          <w:sz w:val="28"/>
          <w:szCs w:val="28"/>
        </w:rPr>
        <w:t>В целом основная доля кассовых расходов из запланированных бюджетных ассигнований в части их поквартального расходования на реализацию мероприятий госпрограммы пришлась на 3 и 4 квартал 2024 года соответственно.</w:t>
      </w:r>
    </w:p>
    <w:p w14:paraId="2878328F" w14:textId="77777777" w:rsidR="00FA150E" w:rsidRPr="00FD7B0B" w:rsidRDefault="00FA150E" w:rsidP="00FA150E">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2024 году в рамках ГП № 29 осуществлялось достижение 2 показателей уровня государственной программы и структурных элементов, входящих в ее состав, реализация 36 мероприятий (результатов) уровня структурных элементов.</w:t>
      </w:r>
    </w:p>
    <w:p w14:paraId="26386CD8" w14:textId="77777777" w:rsidR="00FA150E" w:rsidRPr="00FD7B0B" w:rsidRDefault="00FA150E" w:rsidP="00FA150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Исполнение мероприятий КПМ ГП № 29 характеризуется следующими показателями.</w:t>
      </w:r>
    </w:p>
    <w:p w14:paraId="5DB46C97" w14:textId="77777777" w:rsidR="00FA150E" w:rsidRPr="00FD7B0B" w:rsidRDefault="00FA150E" w:rsidP="00FA150E">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рамках КПМ реализуется 29 мероприятия (этапов мероприятий), в том числе на отчетную дату:</w:t>
      </w:r>
    </w:p>
    <w:p w14:paraId="6DB6B9B0" w14:textId="77777777" w:rsidR="00FA150E" w:rsidRPr="00FD7B0B" w:rsidRDefault="00FA150E" w:rsidP="00FA150E">
      <w:pPr>
        <w:spacing w:after="0" w:line="240" w:lineRule="auto"/>
        <w:ind w:firstLine="709"/>
        <w:jc w:val="both"/>
        <w:rPr>
          <w:rFonts w:ascii="Times New Roman" w:hAnsi="Times New Roman"/>
          <w:sz w:val="28"/>
          <w:szCs w:val="28"/>
        </w:rPr>
      </w:pPr>
      <w:r w:rsidRPr="00FD7B0B">
        <w:rPr>
          <w:rFonts w:ascii="Times New Roman" w:hAnsi="Times New Roman"/>
          <w:sz w:val="28"/>
          <w:szCs w:val="28"/>
        </w:rPr>
        <w:t>- 28 мероприятий выполнено в полном объеме (в установленные сроки);</w:t>
      </w:r>
    </w:p>
    <w:p w14:paraId="15FE972A" w14:textId="77777777" w:rsidR="00FA150E" w:rsidRPr="00FD7B0B" w:rsidRDefault="00FA150E" w:rsidP="00FA150E">
      <w:pPr>
        <w:spacing w:after="0" w:line="240" w:lineRule="auto"/>
        <w:ind w:firstLine="709"/>
        <w:jc w:val="both"/>
        <w:rPr>
          <w:rFonts w:ascii="Times New Roman" w:hAnsi="Times New Roman"/>
          <w:sz w:val="28"/>
          <w:szCs w:val="28"/>
        </w:rPr>
      </w:pPr>
      <w:r w:rsidRPr="00FD7B0B">
        <w:rPr>
          <w:rFonts w:ascii="Times New Roman" w:hAnsi="Times New Roman"/>
          <w:sz w:val="28"/>
          <w:szCs w:val="28"/>
        </w:rPr>
        <w:t>- 1 мероприятия выполнено не в полном объеме или с нарушением сроков, установленных планом реализации госпрограммы.</w:t>
      </w:r>
    </w:p>
    <w:p w14:paraId="62F9F468" w14:textId="77777777" w:rsidR="00FA150E" w:rsidRPr="00FD7B0B" w:rsidRDefault="00FA150E" w:rsidP="00FA150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Согласно отчету о реализации в 2024 году ГП № 29 общая сумма расходов на реализацию мероприятий КПМ за счет областного бюджета составила 550,6 млн.руб. из 551,2 млн.руб. </w:t>
      </w:r>
    </w:p>
    <w:p w14:paraId="2A2224EE" w14:textId="77777777" w:rsidR="00FA150E" w:rsidRPr="00FD7B0B" w:rsidRDefault="00FA150E" w:rsidP="00FA150E">
      <w:pPr>
        <w:spacing w:after="0" w:line="240" w:lineRule="auto"/>
        <w:ind w:firstLine="709"/>
        <w:jc w:val="both"/>
        <w:rPr>
          <w:rFonts w:ascii="Times New Roman" w:hAnsi="Times New Roman"/>
          <w:sz w:val="28"/>
          <w:szCs w:val="28"/>
        </w:rPr>
      </w:pPr>
      <w:r w:rsidRPr="00FD7B0B">
        <w:rPr>
          <w:rFonts w:ascii="Times New Roman" w:eastAsia="Times New Roman" w:hAnsi="Times New Roman"/>
          <w:sz w:val="28"/>
          <w:szCs w:val="28"/>
          <w:lang w:eastAsia="ru-RU"/>
        </w:rPr>
        <w:t>В отчетном периоде не в полном объеме реализовано мероприятие «Осуществлена поддержка зональных центров патриотического воспитания и подготовки граждан (молодежи) к военной службе». С</w:t>
      </w:r>
      <w:r w:rsidRPr="00FD7B0B">
        <w:rPr>
          <w:rFonts w:ascii="Times New Roman" w:hAnsi="Times New Roman"/>
          <w:sz w:val="28"/>
          <w:szCs w:val="28"/>
        </w:rPr>
        <w:t>огласно данным отчета фактически осуществлена поддержка 24 зональных центров или 96,0 % от запланированного (25 единиц) по причине его закрытия в г. Мирный (в связи с отсутствием необходимости).</w:t>
      </w:r>
    </w:p>
    <w:p w14:paraId="7AEF8E8E" w14:textId="77777777" w:rsidR="00FA150E" w:rsidRPr="00FD7B0B" w:rsidRDefault="00FA150E" w:rsidP="00FA150E">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Установлено, что предварительный отчет о реализации в 2024 году комплекса процессных мероприятий ГП № 29 содержит недостоверные данные по ряду мероприятий в части кассовых расходов.</w:t>
      </w:r>
    </w:p>
    <w:p w14:paraId="533CE475" w14:textId="6C1903B8" w:rsidR="00FA150E" w:rsidRPr="00FD7B0B" w:rsidRDefault="00FA150E" w:rsidP="00FA150E">
      <w:pPr>
        <w:pStyle w:val="ad"/>
        <w:ind w:firstLine="709"/>
        <w:jc w:val="both"/>
        <w:rPr>
          <w:rFonts w:ascii="Times New Roman" w:hAnsi="Times New Roman"/>
          <w:sz w:val="28"/>
          <w:szCs w:val="28"/>
          <w:lang w:eastAsia="ru-RU"/>
        </w:rPr>
      </w:pPr>
      <w:r w:rsidRPr="00FD7B0B">
        <w:rPr>
          <w:rFonts w:ascii="Times New Roman" w:hAnsi="Times New Roman"/>
          <w:sz w:val="28"/>
          <w:szCs w:val="28"/>
          <w:lang w:eastAsia="ru-RU"/>
        </w:rPr>
        <w:t xml:space="preserve">В разделе </w:t>
      </w:r>
      <w:r w:rsidRPr="00FD7B0B">
        <w:rPr>
          <w:rFonts w:ascii="Times New Roman" w:hAnsi="Times New Roman"/>
          <w:sz w:val="28"/>
          <w:szCs w:val="28"/>
          <w:lang w:val="en-US" w:eastAsia="ru-RU"/>
        </w:rPr>
        <w:t>II</w:t>
      </w:r>
      <w:r w:rsidRPr="00FD7B0B">
        <w:rPr>
          <w:rFonts w:ascii="Times New Roman" w:hAnsi="Times New Roman"/>
          <w:sz w:val="28"/>
          <w:szCs w:val="28"/>
          <w:lang w:eastAsia="ru-RU"/>
        </w:rPr>
        <w:t xml:space="preserve"> «</w:t>
      </w:r>
      <w:r w:rsidRPr="00FD7B0B">
        <w:rPr>
          <w:rFonts w:ascii="Times New Roman" w:hAnsi="Times New Roman"/>
          <w:sz w:val="28"/>
          <w:szCs w:val="28"/>
          <w:lang w:val="x-none" w:eastAsia="ru-RU"/>
        </w:rPr>
        <w:t>Объемы финансирования и кассовые расходы в рамках структурных элементов государственной программы</w:t>
      </w:r>
      <w:r w:rsidRPr="00FD7B0B">
        <w:rPr>
          <w:rFonts w:ascii="Times New Roman" w:hAnsi="Times New Roman"/>
          <w:sz w:val="28"/>
          <w:szCs w:val="28"/>
          <w:lang w:eastAsia="ru-RU"/>
        </w:rPr>
        <w:t>» табличной части Отчета за 2024 год в граф</w:t>
      </w:r>
      <w:r w:rsidR="00672D4B" w:rsidRPr="00FD7B0B">
        <w:rPr>
          <w:rFonts w:ascii="Times New Roman" w:hAnsi="Times New Roman"/>
          <w:sz w:val="28"/>
          <w:szCs w:val="28"/>
          <w:lang w:eastAsia="ru-RU"/>
        </w:rPr>
        <w:t>ах</w:t>
      </w:r>
      <w:r w:rsidRPr="00FD7B0B">
        <w:rPr>
          <w:rFonts w:ascii="Times New Roman" w:hAnsi="Times New Roman"/>
          <w:sz w:val="28"/>
          <w:szCs w:val="28"/>
          <w:lang w:eastAsia="ru-RU"/>
        </w:rPr>
        <w:t xml:space="preserve"> 4, 7 для ряда мероприятий указан кассовый расход, который не соответствует </w:t>
      </w:r>
      <w:r w:rsidR="00A80DA6" w:rsidRPr="00FD7B0B">
        <w:rPr>
          <w:rFonts w:ascii="Times New Roman" w:hAnsi="Times New Roman"/>
          <w:sz w:val="28"/>
          <w:szCs w:val="28"/>
          <w:lang w:eastAsia="ru-RU"/>
        </w:rPr>
        <w:t>показателям</w:t>
      </w:r>
      <w:r w:rsidRPr="00FD7B0B">
        <w:rPr>
          <w:rFonts w:ascii="Times New Roman" w:hAnsi="Times New Roman"/>
          <w:sz w:val="28"/>
          <w:szCs w:val="28"/>
          <w:lang w:eastAsia="ru-RU"/>
        </w:rPr>
        <w:t xml:space="preserve"> уточненной сводной бюджетной росписи на 2024</w:t>
      </w:r>
      <w:r w:rsidR="004358AF" w:rsidRPr="00FD7B0B">
        <w:rPr>
          <w:rFonts w:ascii="Times New Roman" w:hAnsi="Times New Roman"/>
          <w:sz w:val="28"/>
          <w:szCs w:val="28"/>
          <w:lang w:eastAsia="ru-RU"/>
        </w:rPr>
        <w:t xml:space="preserve"> год. Информация приведена ниже:</w:t>
      </w:r>
    </w:p>
    <w:tbl>
      <w:tblPr>
        <w:tblW w:w="9408"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960"/>
        <w:gridCol w:w="3561"/>
        <w:gridCol w:w="1701"/>
        <w:gridCol w:w="1186"/>
      </w:tblGrid>
      <w:tr w:rsidR="00FD7B0B" w:rsidRPr="00FD7B0B" w14:paraId="3D219ECB" w14:textId="77777777" w:rsidTr="00672D4B">
        <w:trPr>
          <w:trHeight w:val="1252"/>
        </w:trPr>
        <w:tc>
          <w:tcPr>
            <w:tcW w:w="2960" w:type="dxa"/>
            <w:shd w:val="clear" w:color="auto" w:fill="auto"/>
            <w:vAlign w:val="center"/>
            <w:hideMark/>
          </w:tcPr>
          <w:p w14:paraId="6215348B"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Наименование мероприятия (результата), контрольной точки</w:t>
            </w:r>
          </w:p>
        </w:tc>
        <w:tc>
          <w:tcPr>
            <w:tcW w:w="3561" w:type="dxa"/>
            <w:shd w:val="clear" w:color="auto" w:fill="auto"/>
            <w:vAlign w:val="center"/>
            <w:hideMark/>
          </w:tcPr>
          <w:p w14:paraId="628DA2BE"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Кассовый расход, указанный в разделе II «Объемы финансирования и кассовые расходы в рамках структурных элементов государственной программы» табличной части Отчета за 2024 год в графе 7, </w:t>
            </w:r>
          </w:p>
          <w:p w14:paraId="6EA94297" w14:textId="72BAA9FF" w:rsidR="00FA150E" w:rsidRPr="00FD7B0B" w:rsidRDefault="00672D4B"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тыс.</w:t>
            </w:r>
            <w:r w:rsidR="00FA150E" w:rsidRPr="00FD7B0B">
              <w:rPr>
                <w:rFonts w:ascii="Times New Roman" w:eastAsia="Times New Roman" w:hAnsi="Times New Roman"/>
                <w:sz w:val="18"/>
                <w:szCs w:val="18"/>
                <w:lang w:eastAsia="ru-RU"/>
              </w:rPr>
              <w:t xml:space="preserve">руб. </w:t>
            </w:r>
          </w:p>
        </w:tc>
        <w:tc>
          <w:tcPr>
            <w:tcW w:w="1701" w:type="dxa"/>
            <w:shd w:val="clear" w:color="auto" w:fill="auto"/>
            <w:vAlign w:val="center"/>
            <w:hideMark/>
          </w:tcPr>
          <w:p w14:paraId="6E6C8673" w14:textId="1139379E"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Кассовый расход на реализацию мероприя</w:t>
            </w:r>
            <w:r w:rsidR="00672D4B" w:rsidRPr="00FD7B0B">
              <w:rPr>
                <w:rFonts w:ascii="Times New Roman" w:eastAsia="Times New Roman" w:hAnsi="Times New Roman"/>
                <w:sz w:val="18"/>
                <w:szCs w:val="18"/>
                <w:lang w:eastAsia="ru-RU"/>
              </w:rPr>
              <w:t>тия согласно УСБР на 2024, тыс.</w:t>
            </w:r>
            <w:r w:rsidRPr="00FD7B0B">
              <w:rPr>
                <w:rFonts w:ascii="Times New Roman" w:eastAsia="Times New Roman" w:hAnsi="Times New Roman"/>
                <w:sz w:val="18"/>
                <w:szCs w:val="18"/>
                <w:lang w:eastAsia="ru-RU"/>
              </w:rPr>
              <w:t xml:space="preserve">руб. </w:t>
            </w:r>
          </w:p>
        </w:tc>
        <w:tc>
          <w:tcPr>
            <w:tcW w:w="1186" w:type="dxa"/>
            <w:shd w:val="clear" w:color="auto" w:fill="auto"/>
            <w:vAlign w:val="center"/>
            <w:hideMark/>
          </w:tcPr>
          <w:p w14:paraId="546EE3AF" w14:textId="2A4EF07F" w:rsidR="00FA150E" w:rsidRPr="00FD7B0B" w:rsidRDefault="00672D4B"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Отклонение, тыс.</w:t>
            </w:r>
            <w:r w:rsidR="00FA150E" w:rsidRPr="00FD7B0B">
              <w:rPr>
                <w:rFonts w:ascii="Times New Roman" w:eastAsia="Times New Roman" w:hAnsi="Times New Roman"/>
                <w:sz w:val="18"/>
                <w:szCs w:val="18"/>
                <w:lang w:eastAsia="ru-RU"/>
              </w:rPr>
              <w:t>руб.</w:t>
            </w:r>
          </w:p>
        </w:tc>
      </w:tr>
      <w:tr w:rsidR="00FD7B0B" w:rsidRPr="00FD7B0B" w14:paraId="01C207B2" w14:textId="77777777" w:rsidTr="00DB0BA3">
        <w:trPr>
          <w:trHeight w:val="406"/>
        </w:trPr>
        <w:tc>
          <w:tcPr>
            <w:tcW w:w="2960" w:type="dxa"/>
            <w:shd w:val="clear" w:color="auto" w:fill="auto"/>
            <w:vAlign w:val="center"/>
            <w:hideMark/>
          </w:tcPr>
          <w:p w14:paraId="4DD5B301" w14:textId="77777777" w:rsidR="00FA150E" w:rsidRPr="00FD7B0B" w:rsidRDefault="00FA150E" w:rsidP="00FA150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Мероприятие (результат) «4.2. Трудоустроены несовершеннолетние граждане на временные рабочие места»</w:t>
            </w:r>
          </w:p>
        </w:tc>
        <w:tc>
          <w:tcPr>
            <w:tcW w:w="3561" w:type="dxa"/>
            <w:shd w:val="clear" w:color="auto" w:fill="auto"/>
            <w:noWrap/>
            <w:vAlign w:val="center"/>
            <w:hideMark/>
          </w:tcPr>
          <w:p w14:paraId="1A40FE5D"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16 617,30</w:t>
            </w:r>
          </w:p>
        </w:tc>
        <w:tc>
          <w:tcPr>
            <w:tcW w:w="1701" w:type="dxa"/>
            <w:shd w:val="clear" w:color="auto" w:fill="auto"/>
            <w:noWrap/>
            <w:vAlign w:val="center"/>
            <w:hideMark/>
          </w:tcPr>
          <w:p w14:paraId="4A6AF6D3"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16 616,80</w:t>
            </w:r>
          </w:p>
        </w:tc>
        <w:tc>
          <w:tcPr>
            <w:tcW w:w="1186" w:type="dxa"/>
            <w:shd w:val="clear" w:color="auto" w:fill="auto"/>
            <w:noWrap/>
            <w:vAlign w:val="center"/>
            <w:hideMark/>
          </w:tcPr>
          <w:p w14:paraId="048BC99C"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-0,50</w:t>
            </w:r>
          </w:p>
        </w:tc>
      </w:tr>
      <w:tr w:rsidR="00FA150E" w:rsidRPr="00FD7B0B" w14:paraId="11EECB2B" w14:textId="77777777" w:rsidTr="00FA150E">
        <w:trPr>
          <w:trHeight w:val="960"/>
        </w:trPr>
        <w:tc>
          <w:tcPr>
            <w:tcW w:w="2960" w:type="dxa"/>
            <w:shd w:val="clear" w:color="auto" w:fill="auto"/>
            <w:vAlign w:val="center"/>
            <w:hideMark/>
          </w:tcPr>
          <w:p w14:paraId="0BADD69D" w14:textId="77777777" w:rsidR="00FA150E" w:rsidRPr="00FD7B0B" w:rsidRDefault="00FA150E" w:rsidP="00FA150E">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Мероприятие (результат) «4.3. Трудоустроены несовершеннолетние в составе трудовых бригад несовершеннолетних»</w:t>
            </w:r>
          </w:p>
        </w:tc>
        <w:tc>
          <w:tcPr>
            <w:tcW w:w="3561" w:type="dxa"/>
            <w:shd w:val="clear" w:color="auto" w:fill="auto"/>
            <w:noWrap/>
            <w:vAlign w:val="center"/>
            <w:hideMark/>
          </w:tcPr>
          <w:p w14:paraId="270EF930"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val="en-US" w:eastAsia="ru-RU"/>
              </w:rPr>
              <w:t>2 020,09</w:t>
            </w:r>
          </w:p>
        </w:tc>
        <w:tc>
          <w:tcPr>
            <w:tcW w:w="1701" w:type="dxa"/>
            <w:shd w:val="clear" w:color="auto" w:fill="auto"/>
            <w:noWrap/>
            <w:vAlign w:val="center"/>
            <w:hideMark/>
          </w:tcPr>
          <w:p w14:paraId="047A8118"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1 791,60</w:t>
            </w:r>
          </w:p>
        </w:tc>
        <w:tc>
          <w:tcPr>
            <w:tcW w:w="1186" w:type="dxa"/>
            <w:shd w:val="clear" w:color="auto" w:fill="auto"/>
            <w:noWrap/>
            <w:vAlign w:val="center"/>
            <w:hideMark/>
          </w:tcPr>
          <w:p w14:paraId="6AB73811" w14:textId="77777777" w:rsidR="00FA150E" w:rsidRPr="00FD7B0B" w:rsidRDefault="00FA150E" w:rsidP="00FA150E">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-228,49</w:t>
            </w:r>
          </w:p>
        </w:tc>
      </w:tr>
    </w:tbl>
    <w:p w14:paraId="0DF26BDA" w14:textId="77777777" w:rsidR="00296D46" w:rsidRPr="00FD7B0B" w:rsidRDefault="00296D46" w:rsidP="00296D46">
      <w:pPr>
        <w:pStyle w:val="ad"/>
        <w:ind w:firstLine="709"/>
        <w:jc w:val="both"/>
        <w:rPr>
          <w:rFonts w:ascii="Times New Roman" w:hAnsi="Times New Roman"/>
          <w:sz w:val="28"/>
          <w:szCs w:val="28"/>
          <w:lang w:eastAsia="ru-RU"/>
        </w:rPr>
      </w:pPr>
    </w:p>
    <w:p w14:paraId="10F4EA78" w14:textId="4F6C2606" w:rsidR="00FA150E" w:rsidRPr="00FD7B0B" w:rsidRDefault="00FA150E" w:rsidP="00296D46">
      <w:pPr>
        <w:pStyle w:val="ad"/>
        <w:ind w:firstLine="709"/>
        <w:jc w:val="both"/>
        <w:rPr>
          <w:rFonts w:ascii="Times New Roman" w:hAnsi="Times New Roman"/>
          <w:sz w:val="28"/>
          <w:szCs w:val="28"/>
          <w:lang w:eastAsia="ru-RU"/>
        </w:rPr>
      </w:pPr>
      <w:r w:rsidRPr="00FD7B0B">
        <w:rPr>
          <w:rFonts w:ascii="Times New Roman" w:hAnsi="Times New Roman"/>
          <w:sz w:val="28"/>
          <w:szCs w:val="28"/>
          <w:lang w:eastAsia="ru-RU"/>
        </w:rPr>
        <w:t xml:space="preserve">Таким образом, контрольно-счетная палата отмечает, что не соответствие кассовых расходов, указанных разделе </w:t>
      </w:r>
      <w:r w:rsidRPr="00FD7B0B">
        <w:rPr>
          <w:rFonts w:ascii="Times New Roman" w:hAnsi="Times New Roman"/>
          <w:sz w:val="28"/>
          <w:szCs w:val="28"/>
          <w:lang w:val="en-US" w:eastAsia="ru-RU"/>
        </w:rPr>
        <w:t>II</w:t>
      </w:r>
      <w:r w:rsidRPr="00FD7B0B">
        <w:rPr>
          <w:rFonts w:ascii="Times New Roman" w:hAnsi="Times New Roman"/>
          <w:sz w:val="28"/>
          <w:szCs w:val="28"/>
          <w:lang w:eastAsia="ru-RU"/>
        </w:rPr>
        <w:t xml:space="preserve"> «</w:t>
      </w:r>
      <w:r w:rsidRPr="00FD7B0B">
        <w:rPr>
          <w:rFonts w:ascii="Times New Roman" w:hAnsi="Times New Roman"/>
          <w:sz w:val="28"/>
          <w:szCs w:val="28"/>
          <w:lang w:val="x-none" w:eastAsia="ru-RU"/>
        </w:rPr>
        <w:t>Объемы финансирования и кассовые расходы в рамках структурных элементов государственной программы</w:t>
      </w:r>
      <w:r w:rsidRPr="00FD7B0B">
        <w:rPr>
          <w:rFonts w:ascii="Times New Roman" w:hAnsi="Times New Roman"/>
          <w:sz w:val="28"/>
          <w:szCs w:val="28"/>
          <w:lang w:eastAsia="ru-RU"/>
        </w:rPr>
        <w:t>» табличной части Отчета за 2024 год в граф</w:t>
      </w:r>
      <w:r w:rsidR="00296D46" w:rsidRPr="00FD7B0B">
        <w:rPr>
          <w:rFonts w:ascii="Times New Roman" w:hAnsi="Times New Roman"/>
          <w:sz w:val="28"/>
          <w:szCs w:val="28"/>
          <w:lang w:eastAsia="ru-RU"/>
        </w:rPr>
        <w:t>ах</w:t>
      </w:r>
      <w:r w:rsidRPr="00FD7B0B">
        <w:rPr>
          <w:rFonts w:ascii="Times New Roman" w:hAnsi="Times New Roman"/>
          <w:sz w:val="28"/>
          <w:szCs w:val="28"/>
          <w:lang w:eastAsia="ru-RU"/>
        </w:rPr>
        <w:t xml:space="preserve"> 4, 7 который не соответствует </w:t>
      </w:r>
      <w:r w:rsidR="00A80DA6" w:rsidRPr="00FD7B0B">
        <w:rPr>
          <w:rFonts w:ascii="Times New Roman" w:hAnsi="Times New Roman"/>
          <w:sz w:val="28"/>
          <w:szCs w:val="28"/>
          <w:lang w:eastAsia="ru-RU"/>
        </w:rPr>
        <w:t>показателям</w:t>
      </w:r>
      <w:r w:rsidRPr="00FD7B0B">
        <w:rPr>
          <w:rFonts w:ascii="Times New Roman" w:hAnsi="Times New Roman"/>
          <w:sz w:val="28"/>
          <w:szCs w:val="28"/>
          <w:lang w:eastAsia="ru-RU"/>
        </w:rPr>
        <w:t xml:space="preserve"> уточненной сводной бюджетной росписи на 2024 год противоречит требованиям пунктов 42, 43, 44 </w:t>
      </w:r>
      <w:r w:rsidR="00296D46" w:rsidRPr="00FD7B0B">
        <w:rPr>
          <w:rFonts w:ascii="Times New Roman" w:hAnsi="Times New Roman"/>
          <w:sz w:val="28"/>
          <w:szCs w:val="28"/>
          <w:lang w:eastAsia="ru-RU"/>
        </w:rPr>
        <w:t>П</w:t>
      </w:r>
      <w:r w:rsidRPr="00FD7B0B">
        <w:rPr>
          <w:rFonts w:ascii="Times New Roman" w:hAnsi="Times New Roman"/>
          <w:sz w:val="28"/>
          <w:szCs w:val="28"/>
          <w:lang w:eastAsia="ru-RU"/>
        </w:rPr>
        <w:t>оложения № 793-пп.</w:t>
      </w:r>
    </w:p>
    <w:p w14:paraId="1ED3B9C3" w14:textId="00B6A038" w:rsidR="00FA150E" w:rsidRPr="00FD7B0B" w:rsidRDefault="00FA150E" w:rsidP="00296D46">
      <w:pPr>
        <w:pStyle w:val="ad"/>
        <w:ind w:firstLine="709"/>
        <w:jc w:val="both"/>
        <w:rPr>
          <w:rFonts w:ascii="Times New Roman" w:hAnsi="Times New Roman"/>
          <w:sz w:val="28"/>
          <w:szCs w:val="28"/>
          <w:lang w:eastAsia="ru-RU"/>
        </w:rPr>
      </w:pPr>
      <w:r w:rsidRPr="00FD7B0B">
        <w:rPr>
          <w:rFonts w:ascii="Times New Roman" w:hAnsi="Times New Roman"/>
          <w:sz w:val="28"/>
          <w:szCs w:val="28"/>
          <w:lang w:eastAsia="ru-RU"/>
        </w:rPr>
        <w:t xml:space="preserve">Необходимо отметить, что в течение 2024 года по ряду мероприятий были внесены изменения в плановые значения мероприятий (результата) в связи с уменьшением (исключением) финансирования на их реализацию, что в свою </w:t>
      </w:r>
      <w:r w:rsidRPr="00FD7B0B">
        <w:rPr>
          <w:rFonts w:ascii="Times New Roman" w:hAnsi="Times New Roman"/>
          <w:sz w:val="28"/>
          <w:szCs w:val="28"/>
          <w:lang w:eastAsia="ru-RU"/>
        </w:rPr>
        <w:lastRenderedPageBreak/>
        <w:t>очередь свидетельствует о недостатках планирован</w:t>
      </w:r>
      <w:r w:rsidR="00296D46" w:rsidRPr="00FD7B0B">
        <w:rPr>
          <w:rFonts w:ascii="Times New Roman" w:hAnsi="Times New Roman"/>
          <w:sz w:val="28"/>
          <w:szCs w:val="28"/>
          <w:lang w:eastAsia="ru-RU"/>
        </w:rPr>
        <w:t>ия. Информация приведена ниже.</w:t>
      </w:r>
    </w:p>
    <w:tbl>
      <w:tblPr>
        <w:tblW w:w="9761"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748"/>
        <w:gridCol w:w="946"/>
        <w:gridCol w:w="1964"/>
        <w:gridCol w:w="1843"/>
        <w:gridCol w:w="1559"/>
        <w:gridCol w:w="1701"/>
      </w:tblGrid>
      <w:tr w:rsidR="00FD7B0B" w:rsidRPr="00FD7B0B" w14:paraId="230C9CF7" w14:textId="77777777" w:rsidTr="00296D46">
        <w:trPr>
          <w:trHeight w:val="2400"/>
          <w:tblHeader/>
        </w:trPr>
        <w:tc>
          <w:tcPr>
            <w:tcW w:w="1748" w:type="dxa"/>
            <w:shd w:val="clear" w:color="auto" w:fill="auto"/>
            <w:vAlign w:val="center"/>
            <w:hideMark/>
          </w:tcPr>
          <w:p w14:paraId="3B8A4236"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Наименование мероприятия (результата), контрольной точки</w:t>
            </w:r>
          </w:p>
        </w:tc>
        <w:tc>
          <w:tcPr>
            <w:tcW w:w="946" w:type="dxa"/>
            <w:shd w:val="clear" w:color="auto" w:fill="auto"/>
            <w:vAlign w:val="center"/>
            <w:hideMark/>
          </w:tcPr>
          <w:p w14:paraId="421AD953"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Единица измерения мероприятия (результата)</w:t>
            </w:r>
          </w:p>
        </w:tc>
        <w:tc>
          <w:tcPr>
            <w:tcW w:w="1964" w:type="dxa"/>
            <w:shd w:val="clear" w:color="auto" w:fill="auto"/>
            <w:vAlign w:val="center"/>
            <w:hideMark/>
          </w:tcPr>
          <w:p w14:paraId="1B10187A" w14:textId="1FC39016" w:rsidR="00FA150E" w:rsidRPr="00FD7B0B" w:rsidRDefault="00FA150E" w:rsidP="00983E9B">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Значение мероприятия (результата), утвержденное паспортом </w:t>
            </w:r>
            <w:r w:rsidR="00983E9B" w:rsidRPr="00FD7B0B">
              <w:rPr>
                <w:rFonts w:ascii="Times New Roman" w:eastAsia="Times New Roman" w:hAnsi="Times New Roman"/>
                <w:sz w:val="16"/>
                <w:szCs w:val="16"/>
                <w:lang w:eastAsia="ru-RU"/>
              </w:rPr>
              <w:t>КПМ</w:t>
            </w:r>
            <w:r w:rsidRPr="00FD7B0B">
              <w:rPr>
                <w:rFonts w:ascii="Times New Roman" w:eastAsia="Times New Roman" w:hAnsi="Times New Roman"/>
                <w:sz w:val="16"/>
                <w:szCs w:val="16"/>
                <w:lang w:eastAsia="ru-RU"/>
              </w:rPr>
              <w:t xml:space="preserve"> </w:t>
            </w:r>
            <w:r w:rsidR="00296D46" w:rsidRPr="00FD7B0B">
              <w:rPr>
                <w:rFonts w:ascii="Times New Roman" w:eastAsia="Times New Roman" w:hAnsi="Times New Roman"/>
                <w:sz w:val="16"/>
                <w:szCs w:val="16"/>
                <w:lang w:eastAsia="ru-RU"/>
              </w:rPr>
              <w:t>«</w:t>
            </w:r>
            <w:r w:rsidRPr="00FD7B0B">
              <w:rPr>
                <w:rFonts w:ascii="Times New Roman" w:eastAsia="Times New Roman" w:hAnsi="Times New Roman"/>
                <w:sz w:val="16"/>
                <w:szCs w:val="16"/>
                <w:lang w:eastAsia="ru-RU"/>
              </w:rPr>
              <w:t>Развитие сферы государственной молодежной политики Архангельской области» (процессной части) (в ред. от 25.09.2023 № 136-р)</w:t>
            </w:r>
          </w:p>
        </w:tc>
        <w:tc>
          <w:tcPr>
            <w:tcW w:w="1843" w:type="dxa"/>
            <w:shd w:val="clear" w:color="auto" w:fill="auto"/>
            <w:vAlign w:val="center"/>
            <w:hideMark/>
          </w:tcPr>
          <w:p w14:paraId="5387B332" w14:textId="5613D37D" w:rsidR="00FA150E" w:rsidRPr="00FD7B0B" w:rsidRDefault="00FA150E" w:rsidP="00983E9B">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Значение мероприятия (результата), утвержденное паспортом </w:t>
            </w:r>
            <w:r w:rsidR="00983E9B" w:rsidRPr="00FD7B0B">
              <w:rPr>
                <w:rFonts w:ascii="Times New Roman" w:eastAsia="Times New Roman" w:hAnsi="Times New Roman"/>
                <w:sz w:val="16"/>
                <w:szCs w:val="16"/>
                <w:lang w:eastAsia="ru-RU"/>
              </w:rPr>
              <w:t>КПМ</w:t>
            </w:r>
            <w:r w:rsidRPr="00FD7B0B">
              <w:rPr>
                <w:rFonts w:ascii="Times New Roman" w:eastAsia="Times New Roman" w:hAnsi="Times New Roman"/>
                <w:sz w:val="16"/>
                <w:szCs w:val="16"/>
                <w:lang w:eastAsia="ru-RU"/>
              </w:rPr>
              <w:t xml:space="preserve"> «Развитие сферы государственной молодежной политики Архангельской области» (процессной части) (в ред. от 27.12.2024)</w:t>
            </w:r>
          </w:p>
        </w:tc>
        <w:tc>
          <w:tcPr>
            <w:tcW w:w="1559" w:type="dxa"/>
            <w:shd w:val="clear" w:color="auto" w:fill="auto"/>
            <w:vAlign w:val="center"/>
            <w:hideMark/>
          </w:tcPr>
          <w:p w14:paraId="17F26BD2" w14:textId="40C2DA40" w:rsidR="00FA150E" w:rsidRPr="00FD7B0B" w:rsidRDefault="00FA150E" w:rsidP="00983E9B">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Объем финансового обеспечения, утвержденный паспортом </w:t>
            </w:r>
            <w:r w:rsidR="00983E9B" w:rsidRPr="00FD7B0B">
              <w:rPr>
                <w:rFonts w:ascii="Times New Roman" w:eastAsia="Times New Roman" w:hAnsi="Times New Roman"/>
                <w:sz w:val="16"/>
                <w:szCs w:val="16"/>
                <w:lang w:eastAsia="ru-RU"/>
              </w:rPr>
              <w:t>КПМ</w:t>
            </w:r>
            <w:r w:rsidRPr="00FD7B0B">
              <w:rPr>
                <w:rFonts w:ascii="Times New Roman" w:eastAsia="Times New Roman" w:hAnsi="Times New Roman"/>
                <w:sz w:val="16"/>
                <w:szCs w:val="16"/>
                <w:lang w:eastAsia="ru-RU"/>
              </w:rPr>
              <w:t xml:space="preserve"> «Развитие сферы государственной молодежной политики Архангельской области» (процессной части) (в ред. от 25.09.2023 № 136-р), тыс.руб.</w:t>
            </w:r>
          </w:p>
        </w:tc>
        <w:tc>
          <w:tcPr>
            <w:tcW w:w="1701" w:type="dxa"/>
            <w:shd w:val="clear" w:color="auto" w:fill="auto"/>
            <w:vAlign w:val="center"/>
            <w:hideMark/>
          </w:tcPr>
          <w:p w14:paraId="4A1F04EC" w14:textId="4DAD3C31" w:rsidR="00FA150E" w:rsidRPr="00FD7B0B" w:rsidRDefault="00FA150E" w:rsidP="00983E9B">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Объем финансового обеспечения, утвержденный паспортом </w:t>
            </w:r>
            <w:r w:rsidR="00983E9B" w:rsidRPr="00FD7B0B">
              <w:rPr>
                <w:rFonts w:ascii="Times New Roman" w:eastAsia="Times New Roman" w:hAnsi="Times New Roman"/>
                <w:sz w:val="16"/>
                <w:szCs w:val="16"/>
                <w:lang w:eastAsia="ru-RU"/>
              </w:rPr>
              <w:t>КПМ</w:t>
            </w:r>
            <w:r w:rsidRPr="00FD7B0B">
              <w:rPr>
                <w:rFonts w:ascii="Times New Roman" w:eastAsia="Times New Roman" w:hAnsi="Times New Roman"/>
                <w:sz w:val="16"/>
                <w:szCs w:val="16"/>
                <w:lang w:eastAsia="ru-RU"/>
              </w:rPr>
              <w:t xml:space="preserve"> «Развитие сферы государственной молодежной политики Архангельской области» (процессной части) (в ред. от 27.12.2024), тыс.руб.</w:t>
            </w:r>
          </w:p>
        </w:tc>
      </w:tr>
      <w:tr w:rsidR="00FD7B0B" w:rsidRPr="00FD7B0B" w14:paraId="4A7BE575" w14:textId="77777777" w:rsidTr="00296D46">
        <w:trPr>
          <w:trHeight w:val="1275"/>
        </w:trPr>
        <w:tc>
          <w:tcPr>
            <w:tcW w:w="1748" w:type="dxa"/>
            <w:shd w:val="clear" w:color="auto" w:fill="auto"/>
            <w:vAlign w:val="center"/>
            <w:hideMark/>
          </w:tcPr>
          <w:p w14:paraId="35EE714B"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Мероприятие (результат) «1.6. Осуществлен капитальный ремонт объектов муниципальной собственности муниципальных районов, муниципальных округов и городских округов Архангельской области»</w:t>
            </w:r>
          </w:p>
        </w:tc>
        <w:tc>
          <w:tcPr>
            <w:tcW w:w="946" w:type="dxa"/>
            <w:shd w:val="clear" w:color="auto" w:fill="auto"/>
            <w:vAlign w:val="center"/>
            <w:hideMark/>
          </w:tcPr>
          <w:p w14:paraId="177D219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1964" w:type="dxa"/>
            <w:shd w:val="clear" w:color="auto" w:fill="auto"/>
            <w:noWrap/>
            <w:vAlign w:val="center"/>
            <w:hideMark/>
          </w:tcPr>
          <w:p w14:paraId="367F55E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843" w:type="dxa"/>
            <w:shd w:val="clear" w:color="000000" w:fill="FFFFFF"/>
            <w:noWrap/>
            <w:vAlign w:val="center"/>
            <w:hideMark/>
          </w:tcPr>
          <w:p w14:paraId="4E1079C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1559" w:type="dxa"/>
            <w:shd w:val="clear" w:color="auto" w:fill="auto"/>
            <w:noWrap/>
            <w:vAlign w:val="center"/>
            <w:hideMark/>
          </w:tcPr>
          <w:p w14:paraId="691BC956"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3 600,00</w:t>
            </w:r>
          </w:p>
        </w:tc>
        <w:tc>
          <w:tcPr>
            <w:tcW w:w="1701" w:type="dxa"/>
            <w:shd w:val="clear" w:color="auto" w:fill="auto"/>
            <w:noWrap/>
            <w:vAlign w:val="center"/>
            <w:hideMark/>
          </w:tcPr>
          <w:p w14:paraId="6A07DB7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0,00</w:t>
            </w:r>
          </w:p>
        </w:tc>
      </w:tr>
      <w:tr w:rsidR="00FD7B0B" w:rsidRPr="00FD7B0B" w14:paraId="6FFED918" w14:textId="77777777" w:rsidTr="00296D46">
        <w:trPr>
          <w:trHeight w:val="1020"/>
        </w:trPr>
        <w:tc>
          <w:tcPr>
            <w:tcW w:w="1748" w:type="dxa"/>
            <w:shd w:val="clear" w:color="auto" w:fill="auto"/>
            <w:vAlign w:val="center"/>
            <w:hideMark/>
          </w:tcPr>
          <w:p w14:paraId="0E1EA94D"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Мероприятие (результат) «2.2. Реализованы проекты в сфере патриотического воспитания»</w:t>
            </w:r>
          </w:p>
        </w:tc>
        <w:tc>
          <w:tcPr>
            <w:tcW w:w="946" w:type="dxa"/>
            <w:shd w:val="clear" w:color="auto" w:fill="auto"/>
            <w:vAlign w:val="center"/>
            <w:hideMark/>
          </w:tcPr>
          <w:p w14:paraId="4951A2B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единица</w:t>
            </w:r>
          </w:p>
        </w:tc>
        <w:tc>
          <w:tcPr>
            <w:tcW w:w="1964" w:type="dxa"/>
            <w:shd w:val="clear" w:color="auto" w:fill="auto"/>
            <w:noWrap/>
            <w:vAlign w:val="center"/>
            <w:hideMark/>
          </w:tcPr>
          <w:p w14:paraId="5BDD66E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30</w:t>
            </w:r>
          </w:p>
        </w:tc>
        <w:tc>
          <w:tcPr>
            <w:tcW w:w="1843" w:type="dxa"/>
            <w:shd w:val="clear" w:color="000000" w:fill="FFFFFF"/>
            <w:noWrap/>
            <w:vAlign w:val="center"/>
            <w:hideMark/>
          </w:tcPr>
          <w:p w14:paraId="57C2A7BA"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w:t>
            </w:r>
          </w:p>
        </w:tc>
        <w:tc>
          <w:tcPr>
            <w:tcW w:w="1559" w:type="dxa"/>
            <w:shd w:val="clear" w:color="auto" w:fill="auto"/>
            <w:noWrap/>
            <w:vAlign w:val="center"/>
            <w:hideMark/>
          </w:tcPr>
          <w:p w14:paraId="61A980A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7 200,00</w:t>
            </w:r>
          </w:p>
        </w:tc>
        <w:tc>
          <w:tcPr>
            <w:tcW w:w="1701" w:type="dxa"/>
            <w:shd w:val="clear" w:color="auto" w:fill="auto"/>
            <w:noWrap/>
            <w:vAlign w:val="center"/>
            <w:hideMark/>
          </w:tcPr>
          <w:p w14:paraId="3EB99110"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5 200,00</w:t>
            </w:r>
          </w:p>
        </w:tc>
      </w:tr>
      <w:tr w:rsidR="00FD7B0B" w:rsidRPr="00FD7B0B" w14:paraId="08CC1616" w14:textId="77777777" w:rsidTr="00296D46">
        <w:trPr>
          <w:trHeight w:val="510"/>
        </w:trPr>
        <w:tc>
          <w:tcPr>
            <w:tcW w:w="1748" w:type="dxa"/>
            <w:shd w:val="clear" w:color="auto" w:fill="auto"/>
            <w:vAlign w:val="center"/>
            <w:hideMark/>
          </w:tcPr>
          <w:p w14:paraId="1EDB5619"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Мероприятие (результат) «2.6. Проведены муниципальные молодежные форумы»</w:t>
            </w:r>
          </w:p>
        </w:tc>
        <w:tc>
          <w:tcPr>
            <w:tcW w:w="946" w:type="dxa"/>
            <w:shd w:val="clear" w:color="auto" w:fill="auto"/>
            <w:vAlign w:val="center"/>
            <w:hideMark/>
          </w:tcPr>
          <w:p w14:paraId="5F82B19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единица</w:t>
            </w:r>
          </w:p>
        </w:tc>
        <w:tc>
          <w:tcPr>
            <w:tcW w:w="1964" w:type="dxa"/>
            <w:shd w:val="clear" w:color="auto" w:fill="auto"/>
            <w:noWrap/>
            <w:vAlign w:val="center"/>
            <w:hideMark/>
          </w:tcPr>
          <w:p w14:paraId="33E46DD0"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w:t>
            </w:r>
          </w:p>
        </w:tc>
        <w:tc>
          <w:tcPr>
            <w:tcW w:w="1843" w:type="dxa"/>
            <w:shd w:val="clear" w:color="000000" w:fill="FFFFFF"/>
            <w:noWrap/>
            <w:vAlign w:val="center"/>
            <w:hideMark/>
          </w:tcPr>
          <w:p w14:paraId="5D558A9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1559" w:type="dxa"/>
            <w:shd w:val="clear" w:color="auto" w:fill="auto"/>
            <w:noWrap/>
            <w:vAlign w:val="center"/>
            <w:hideMark/>
          </w:tcPr>
          <w:p w14:paraId="35B3C93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1 800,00</w:t>
            </w:r>
          </w:p>
        </w:tc>
        <w:tc>
          <w:tcPr>
            <w:tcW w:w="1701" w:type="dxa"/>
            <w:shd w:val="clear" w:color="auto" w:fill="auto"/>
            <w:noWrap/>
            <w:vAlign w:val="center"/>
            <w:hideMark/>
          </w:tcPr>
          <w:p w14:paraId="4D3BC39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0,00</w:t>
            </w:r>
          </w:p>
        </w:tc>
      </w:tr>
      <w:tr w:rsidR="00FD7B0B" w:rsidRPr="00FD7B0B" w14:paraId="2B513E76" w14:textId="77777777" w:rsidTr="00296D46">
        <w:trPr>
          <w:trHeight w:val="1020"/>
        </w:trPr>
        <w:tc>
          <w:tcPr>
            <w:tcW w:w="1748" w:type="dxa"/>
            <w:shd w:val="clear" w:color="auto" w:fill="auto"/>
            <w:vAlign w:val="center"/>
            <w:hideMark/>
          </w:tcPr>
          <w:p w14:paraId="1877F860"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Мероприятие (результат) «3.5. Реализованы проекты и мероприятия, направленные на гражданско-патриотическое воспитание молодежи, в том числе с внедрением инновационных подходов»</w:t>
            </w:r>
          </w:p>
        </w:tc>
        <w:tc>
          <w:tcPr>
            <w:tcW w:w="946" w:type="dxa"/>
            <w:shd w:val="clear" w:color="auto" w:fill="auto"/>
            <w:vAlign w:val="center"/>
            <w:hideMark/>
          </w:tcPr>
          <w:p w14:paraId="4D803F0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единица</w:t>
            </w:r>
          </w:p>
        </w:tc>
        <w:tc>
          <w:tcPr>
            <w:tcW w:w="1964" w:type="dxa"/>
            <w:shd w:val="clear" w:color="auto" w:fill="auto"/>
            <w:noWrap/>
            <w:vAlign w:val="center"/>
            <w:hideMark/>
          </w:tcPr>
          <w:p w14:paraId="4C00078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16</w:t>
            </w:r>
          </w:p>
        </w:tc>
        <w:tc>
          <w:tcPr>
            <w:tcW w:w="1843" w:type="dxa"/>
            <w:shd w:val="clear" w:color="000000" w:fill="FFFFFF"/>
            <w:noWrap/>
            <w:vAlign w:val="center"/>
            <w:hideMark/>
          </w:tcPr>
          <w:p w14:paraId="382DA12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w:t>
            </w:r>
          </w:p>
        </w:tc>
        <w:tc>
          <w:tcPr>
            <w:tcW w:w="1559" w:type="dxa"/>
            <w:shd w:val="clear" w:color="auto" w:fill="auto"/>
            <w:noWrap/>
            <w:vAlign w:val="center"/>
            <w:hideMark/>
          </w:tcPr>
          <w:p w14:paraId="498C5093"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5 447,70</w:t>
            </w:r>
          </w:p>
        </w:tc>
        <w:tc>
          <w:tcPr>
            <w:tcW w:w="1701" w:type="dxa"/>
            <w:shd w:val="clear" w:color="auto" w:fill="auto"/>
            <w:noWrap/>
            <w:vAlign w:val="center"/>
            <w:hideMark/>
          </w:tcPr>
          <w:p w14:paraId="26FBF776"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1 875,23</w:t>
            </w:r>
          </w:p>
        </w:tc>
      </w:tr>
      <w:tr w:rsidR="00FD7B0B" w:rsidRPr="00FD7B0B" w14:paraId="4CB64DA3" w14:textId="77777777" w:rsidTr="00296D46">
        <w:trPr>
          <w:trHeight w:val="765"/>
        </w:trPr>
        <w:tc>
          <w:tcPr>
            <w:tcW w:w="1748" w:type="dxa"/>
            <w:shd w:val="clear" w:color="auto" w:fill="auto"/>
            <w:vAlign w:val="center"/>
            <w:hideMark/>
          </w:tcPr>
          <w:p w14:paraId="66D6117A"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Мероприятие (результат) «4.3. Трудоустроены несовершеннолетние в составе трудовых бригад несовершеннолетних»</w:t>
            </w:r>
          </w:p>
        </w:tc>
        <w:tc>
          <w:tcPr>
            <w:tcW w:w="946" w:type="dxa"/>
            <w:shd w:val="clear" w:color="auto" w:fill="auto"/>
            <w:vAlign w:val="center"/>
            <w:hideMark/>
          </w:tcPr>
          <w:p w14:paraId="3D6962A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человек</w:t>
            </w:r>
          </w:p>
        </w:tc>
        <w:tc>
          <w:tcPr>
            <w:tcW w:w="1964" w:type="dxa"/>
            <w:shd w:val="clear" w:color="auto" w:fill="auto"/>
            <w:noWrap/>
            <w:vAlign w:val="center"/>
            <w:hideMark/>
          </w:tcPr>
          <w:p w14:paraId="0EFA07F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200</w:t>
            </w:r>
          </w:p>
        </w:tc>
        <w:tc>
          <w:tcPr>
            <w:tcW w:w="1843" w:type="dxa"/>
            <w:shd w:val="clear" w:color="000000" w:fill="FFFFFF"/>
            <w:noWrap/>
            <w:vAlign w:val="center"/>
            <w:hideMark/>
          </w:tcPr>
          <w:p w14:paraId="290F84A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50</w:t>
            </w:r>
          </w:p>
        </w:tc>
        <w:tc>
          <w:tcPr>
            <w:tcW w:w="1559" w:type="dxa"/>
            <w:shd w:val="clear" w:color="auto" w:fill="auto"/>
            <w:noWrap/>
            <w:vAlign w:val="center"/>
            <w:hideMark/>
          </w:tcPr>
          <w:p w14:paraId="5360441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7 020,10</w:t>
            </w:r>
          </w:p>
        </w:tc>
        <w:tc>
          <w:tcPr>
            <w:tcW w:w="1701" w:type="dxa"/>
            <w:shd w:val="clear" w:color="auto" w:fill="auto"/>
            <w:noWrap/>
            <w:vAlign w:val="center"/>
            <w:hideMark/>
          </w:tcPr>
          <w:p w14:paraId="2F222A1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2 020,09</w:t>
            </w:r>
          </w:p>
        </w:tc>
      </w:tr>
      <w:tr w:rsidR="00FD7B0B" w:rsidRPr="00FD7B0B" w14:paraId="6C293709" w14:textId="77777777" w:rsidTr="00296D46">
        <w:trPr>
          <w:trHeight w:val="510"/>
        </w:trPr>
        <w:tc>
          <w:tcPr>
            <w:tcW w:w="1748" w:type="dxa"/>
            <w:shd w:val="clear" w:color="auto" w:fill="auto"/>
            <w:vAlign w:val="center"/>
            <w:hideMark/>
          </w:tcPr>
          <w:p w14:paraId="08CD3B69"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Мероприятие (результат) «4.4. Реализован проект «Наставник ТОП»</w:t>
            </w:r>
          </w:p>
        </w:tc>
        <w:tc>
          <w:tcPr>
            <w:tcW w:w="946" w:type="dxa"/>
            <w:shd w:val="clear" w:color="auto" w:fill="auto"/>
            <w:vAlign w:val="center"/>
            <w:hideMark/>
          </w:tcPr>
          <w:p w14:paraId="446CF2C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единица</w:t>
            </w:r>
          </w:p>
        </w:tc>
        <w:tc>
          <w:tcPr>
            <w:tcW w:w="1964" w:type="dxa"/>
            <w:shd w:val="clear" w:color="auto" w:fill="auto"/>
            <w:noWrap/>
            <w:vAlign w:val="center"/>
            <w:hideMark/>
          </w:tcPr>
          <w:p w14:paraId="22AA88A6"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843" w:type="dxa"/>
            <w:shd w:val="clear" w:color="000000" w:fill="FFFFFF"/>
            <w:noWrap/>
            <w:vAlign w:val="center"/>
            <w:hideMark/>
          </w:tcPr>
          <w:p w14:paraId="0348FF4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1559" w:type="dxa"/>
            <w:shd w:val="clear" w:color="auto" w:fill="auto"/>
            <w:noWrap/>
            <w:vAlign w:val="center"/>
            <w:hideMark/>
          </w:tcPr>
          <w:p w14:paraId="22771340"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1 620,00</w:t>
            </w:r>
          </w:p>
        </w:tc>
        <w:tc>
          <w:tcPr>
            <w:tcW w:w="1701" w:type="dxa"/>
            <w:shd w:val="clear" w:color="auto" w:fill="auto"/>
            <w:noWrap/>
            <w:vAlign w:val="center"/>
            <w:hideMark/>
          </w:tcPr>
          <w:p w14:paraId="4D2A55C5"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0,00</w:t>
            </w:r>
          </w:p>
        </w:tc>
      </w:tr>
    </w:tbl>
    <w:p w14:paraId="0431579F" w14:textId="77777777" w:rsidR="00FA150E" w:rsidRPr="00FD7B0B" w:rsidRDefault="00FA150E" w:rsidP="00983E9B">
      <w:pPr>
        <w:pStyle w:val="ad"/>
        <w:ind w:firstLine="709"/>
        <w:jc w:val="both"/>
        <w:rPr>
          <w:rFonts w:ascii="Times New Roman" w:hAnsi="Times New Roman"/>
          <w:sz w:val="28"/>
          <w:szCs w:val="28"/>
          <w:lang w:eastAsia="ru-RU"/>
        </w:rPr>
      </w:pPr>
    </w:p>
    <w:p w14:paraId="73FB3245" w14:textId="12900119" w:rsidR="00FA150E" w:rsidRPr="00FD7B0B" w:rsidRDefault="00FA150E" w:rsidP="00983E9B">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Кроме того, согласно отчету о ходе реализации регионального проекта за 2024 год «Развитие системы поддержки молодежи («Молодежь России» (Архангельская область) (далее – Отчет о реализации регионального проекта), предоставленному агентством по делам молодежи  Архангельской области по запросу контрольно-счетной палаты от 07.04.2025 № 01-02/309, име</w:t>
      </w:r>
      <w:r w:rsidR="00983E9B" w:rsidRPr="00FD7B0B">
        <w:rPr>
          <w:rFonts w:ascii="Times New Roman" w:eastAsia="Times New Roman" w:hAnsi="Times New Roman"/>
          <w:sz w:val="28"/>
          <w:szCs w:val="28"/>
          <w:lang w:eastAsia="ru-RU"/>
        </w:rPr>
        <w:t>ю</w:t>
      </w:r>
      <w:r w:rsidRPr="00FD7B0B">
        <w:rPr>
          <w:rFonts w:ascii="Times New Roman" w:eastAsia="Times New Roman" w:hAnsi="Times New Roman"/>
          <w:sz w:val="28"/>
          <w:szCs w:val="28"/>
          <w:lang w:eastAsia="ru-RU"/>
        </w:rPr>
        <w:t xml:space="preserve">тся </w:t>
      </w:r>
      <w:r w:rsidRPr="00FD7B0B">
        <w:rPr>
          <w:rFonts w:ascii="Times New Roman" w:eastAsia="Times New Roman" w:hAnsi="Times New Roman"/>
          <w:sz w:val="28"/>
          <w:szCs w:val="28"/>
          <w:lang w:eastAsia="ru-RU"/>
        </w:rPr>
        <w:lastRenderedPageBreak/>
        <w:t>систематическ</w:t>
      </w:r>
      <w:r w:rsidR="00983E9B" w:rsidRPr="00FD7B0B">
        <w:rPr>
          <w:rFonts w:ascii="Times New Roman" w:eastAsia="Times New Roman" w:hAnsi="Times New Roman"/>
          <w:sz w:val="28"/>
          <w:szCs w:val="28"/>
          <w:lang w:eastAsia="ru-RU"/>
        </w:rPr>
        <w:t>и</w:t>
      </w:r>
      <w:r w:rsidRPr="00FD7B0B">
        <w:rPr>
          <w:rFonts w:ascii="Times New Roman" w:eastAsia="Times New Roman" w:hAnsi="Times New Roman"/>
          <w:sz w:val="28"/>
          <w:szCs w:val="28"/>
          <w:lang w:eastAsia="ru-RU"/>
        </w:rPr>
        <w:t>е нарушени</w:t>
      </w:r>
      <w:r w:rsidR="00983E9B" w:rsidRPr="00FD7B0B">
        <w:rPr>
          <w:rFonts w:ascii="Times New Roman" w:eastAsia="Times New Roman" w:hAnsi="Times New Roman"/>
          <w:sz w:val="28"/>
          <w:szCs w:val="28"/>
          <w:lang w:eastAsia="ru-RU"/>
        </w:rPr>
        <w:t>я</w:t>
      </w:r>
      <w:r w:rsidRPr="00FD7B0B">
        <w:rPr>
          <w:rFonts w:ascii="Times New Roman" w:eastAsia="Times New Roman" w:hAnsi="Times New Roman"/>
          <w:sz w:val="28"/>
          <w:szCs w:val="28"/>
          <w:lang w:eastAsia="ru-RU"/>
        </w:rPr>
        <w:t xml:space="preserve"> контрольных точек в части установленных сроков при реализации мероприятий, установленных паспортом регионального проекта «Развитие системы поддержки молодежи («Молодежь России»)» на 2024 год. Следует отметить, что информация о нарушении контрольных точек не отражена в приложении № 1 к отчету о реализации в 2024 году государственной программы Архангельской области «Молодежь Поморья». Общая информация о нарушении контрольных точек регионального проекта приведена ниже:</w:t>
      </w:r>
    </w:p>
    <w:tbl>
      <w:tblPr>
        <w:tblW w:w="962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7215"/>
        <w:gridCol w:w="1276"/>
        <w:gridCol w:w="1134"/>
      </w:tblGrid>
      <w:tr w:rsidR="00FD7B0B" w:rsidRPr="00FD7B0B" w14:paraId="03B5D678" w14:textId="77777777" w:rsidTr="00983E9B">
        <w:trPr>
          <w:trHeight w:val="487"/>
        </w:trPr>
        <w:tc>
          <w:tcPr>
            <w:tcW w:w="7215" w:type="dxa"/>
            <w:vMerge w:val="restart"/>
            <w:shd w:val="clear" w:color="auto" w:fill="auto"/>
          </w:tcPr>
          <w:p w14:paraId="06C47429" w14:textId="77777777" w:rsidR="00FA150E" w:rsidRPr="00FD7B0B" w:rsidRDefault="00FA150E" w:rsidP="00FA150E">
            <w:pPr>
              <w:widowControl w:val="0"/>
              <w:autoSpaceDE w:val="0"/>
              <w:autoSpaceDN w:val="0"/>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Наименование мероприятия (результата), контрольной точки</w:t>
            </w:r>
          </w:p>
        </w:tc>
        <w:tc>
          <w:tcPr>
            <w:tcW w:w="2410" w:type="dxa"/>
            <w:gridSpan w:val="2"/>
            <w:shd w:val="clear" w:color="auto" w:fill="auto"/>
          </w:tcPr>
          <w:p w14:paraId="39A8FC5F" w14:textId="77777777" w:rsidR="00FA150E" w:rsidRPr="00FD7B0B" w:rsidRDefault="00FA150E" w:rsidP="00FA150E">
            <w:pPr>
              <w:widowControl w:val="0"/>
              <w:autoSpaceDE w:val="0"/>
              <w:autoSpaceDN w:val="0"/>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Срок окончания реализации мероприятия (результата),</w:t>
            </w:r>
          </w:p>
          <w:p w14:paraId="22E69A30" w14:textId="77777777" w:rsidR="00FA150E" w:rsidRPr="00FD7B0B" w:rsidRDefault="00FA150E" w:rsidP="00FA150E">
            <w:pPr>
              <w:widowControl w:val="0"/>
              <w:autoSpaceDE w:val="0"/>
              <w:autoSpaceDN w:val="0"/>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контрольной точки</w:t>
            </w:r>
          </w:p>
        </w:tc>
      </w:tr>
      <w:tr w:rsidR="00FD7B0B" w:rsidRPr="00FD7B0B" w14:paraId="6BBEBD64" w14:textId="77777777" w:rsidTr="00983E9B">
        <w:trPr>
          <w:trHeight w:val="129"/>
        </w:trPr>
        <w:tc>
          <w:tcPr>
            <w:tcW w:w="7215" w:type="dxa"/>
            <w:vMerge/>
            <w:shd w:val="clear" w:color="auto" w:fill="auto"/>
          </w:tcPr>
          <w:p w14:paraId="71F16174"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p>
        </w:tc>
        <w:tc>
          <w:tcPr>
            <w:tcW w:w="1276" w:type="dxa"/>
            <w:shd w:val="clear" w:color="auto" w:fill="auto"/>
          </w:tcPr>
          <w:p w14:paraId="54349141" w14:textId="77777777" w:rsidR="00FA150E" w:rsidRPr="00FD7B0B" w:rsidRDefault="00FA150E" w:rsidP="00FA150E">
            <w:pPr>
              <w:widowControl w:val="0"/>
              <w:autoSpaceDE w:val="0"/>
              <w:autoSpaceDN w:val="0"/>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План</w:t>
            </w:r>
          </w:p>
        </w:tc>
        <w:tc>
          <w:tcPr>
            <w:tcW w:w="1134" w:type="dxa"/>
            <w:shd w:val="clear" w:color="auto" w:fill="auto"/>
          </w:tcPr>
          <w:p w14:paraId="7FB55D06" w14:textId="77777777" w:rsidR="00FA150E" w:rsidRPr="00FD7B0B" w:rsidRDefault="00FA150E" w:rsidP="00FA150E">
            <w:pPr>
              <w:widowControl w:val="0"/>
              <w:autoSpaceDE w:val="0"/>
              <w:autoSpaceDN w:val="0"/>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Факт</w:t>
            </w:r>
          </w:p>
        </w:tc>
      </w:tr>
      <w:tr w:rsidR="00FD7B0B" w:rsidRPr="00FD7B0B" w14:paraId="079AB431" w14:textId="77777777" w:rsidTr="00983E9B">
        <w:trPr>
          <w:trHeight w:val="344"/>
        </w:trPr>
        <w:tc>
          <w:tcPr>
            <w:tcW w:w="9625" w:type="dxa"/>
            <w:gridSpan w:val="3"/>
          </w:tcPr>
          <w:p w14:paraId="0F749C3E" w14:textId="77777777" w:rsidR="00FA150E" w:rsidRPr="00FD7B0B" w:rsidRDefault="00FA150E" w:rsidP="00FA150E">
            <w:pPr>
              <w:widowControl w:val="0"/>
              <w:autoSpaceDE w:val="0"/>
              <w:autoSpaceDN w:val="0"/>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Реализована программа комплексного развития молодежной политики в субъектах Российской Федерации «Регион для молодых»</w:t>
            </w:r>
          </w:p>
        </w:tc>
      </w:tr>
      <w:tr w:rsidR="00FD7B0B" w:rsidRPr="00FD7B0B" w14:paraId="557182E1" w14:textId="77777777" w:rsidTr="00983E9B">
        <w:trPr>
          <w:trHeight w:val="600"/>
        </w:trPr>
        <w:tc>
          <w:tcPr>
            <w:tcW w:w="7215" w:type="dxa"/>
            <w:shd w:val="clear" w:color="auto" w:fill="auto"/>
          </w:tcPr>
          <w:p w14:paraId="54FF8215"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«Заключено соглашение о предоставлении субсидии юридическому (физическому) лицу (соглашение о предоставлении субсидии юридическому (физическому) лицу включено в реестр соглашений)»</w:t>
            </w:r>
          </w:p>
        </w:tc>
        <w:tc>
          <w:tcPr>
            <w:tcW w:w="1276" w:type="dxa"/>
            <w:shd w:val="clear" w:color="auto" w:fill="auto"/>
          </w:tcPr>
          <w:p w14:paraId="692E4800"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15.03.2024</w:t>
            </w:r>
          </w:p>
        </w:tc>
        <w:tc>
          <w:tcPr>
            <w:tcW w:w="1134" w:type="dxa"/>
            <w:shd w:val="clear" w:color="auto" w:fill="auto"/>
          </w:tcPr>
          <w:p w14:paraId="2F8D292D"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19.03.2024</w:t>
            </w:r>
          </w:p>
        </w:tc>
      </w:tr>
      <w:tr w:rsidR="00FD7B0B" w:rsidRPr="00FD7B0B" w14:paraId="411CA2CD" w14:textId="77777777" w:rsidTr="00983E9B">
        <w:trPr>
          <w:trHeight w:val="388"/>
        </w:trPr>
        <w:tc>
          <w:tcPr>
            <w:tcW w:w="7215" w:type="dxa"/>
            <w:shd w:val="clear" w:color="auto" w:fill="auto"/>
          </w:tcPr>
          <w:p w14:paraId="7EB6E247"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«Завершен ремонт здания мультиформатного пространства "Создание" студенческих отрядов Архангельской области»</w:t>
            </w:r>
          </w:p>
        </w:tc>
        <w:tc>
          <w:tcPr>
            <w:tcW w:w="1276" w:type="dxa"/>
            <w:shd w:val="clear" w:color="auto" w:fill="auto"/>
          </w:tcPr>
          <w:p w14:paraId="4913B740"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25.11.2024</w:t>
            </w:r>
          </w:p>
        </w:tc>
        <w:tc>
          <w:tcPr>
            <w:tcW w:w="1134" w:type="dxa"/>
            <w:shd w:val="clear" w:color="auto" w:fill="auto"/>
          </w:tcPr>
          <w:p w14:paraId="1469FD07"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20.12.2024</w:t>
            </w:r>
          </w:p>
        </w:tc>
      </w:tr>
      <w:tr w:rsidR="00FD7B0B" w:rsidRPr="00FD7B0B" w14:paraId="45B59228" w14:textId="77777777" w:rsidTr="00983E9B">
        <w:trPr>
          <w:trHeight w:val="125"/>
        </w:trPr>
        <w:tc>
          <w:tcPr>
            <w:tcW w:w="7215" w:type="dxa"/>
            <w:shd w:val="clear" w:color="auto" w:fill="auto"/>
          </w:tcPr>
          <w:p w14:paraId="029E613A"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«Завершены ремонтные работы в здании МАУ «Молодежный центр»</w:t>
            </w:r>
          </w:p>
        </w:tc>
        <w:tc>
          <w:tcPr>
            <w:tcW w:w="1276" w:type="dxa"/>
            <w:shd w:val="clear" w:color="auto" w:fill="auto"/>
          </w:tcPr>
          <w:p w14:paraId="11049DE1"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25.11.2024</w:t>
            </w:r>
          </w:p>
        </w:tc>
        <w:tc>
          <w:tcPr>
            <w:tcW w:w="1134" w:type="dxa"/>
            <w:shd w:val="clear" w:color="auto" w:fill="auto"/>
          </w:tcPr>
          <w:p w14:paraId="79296FDE"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06.12.2024</w:t>
            </w:r>
          </w:p>
        </w:tc>
      </w:tr>
      <w:tr w:rsidR="00FD7B0B" w:rsidRPr="00FD7B0B" w14:paraId="7D7A5DE8" w14:textId="77777777" w:rsidTr="00983E9B">
        <w:trPr>
          <w:trHeight w:val="143"/>
        </w:trPr>
        <w:tc>
          <w:tcPr>
            <w:tcW w:w="7215" w:type="dxa"/>
            <w:shd w:val="clear" w:color="auto" w:fill="auto"/>
          </w:tcPr>
          <w:p w14:paraId="61B4E1C5"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«Предоставлен отчет об использовании межбюджетных трансфертов»</w:t>
            </w:r>
          </w:p>
        </w:tc>
        <w:tc>
          <w:tcPr>
            <w:tcW w:w="1276" w:type="dxa"/>
            <w:shd w:val="clear" w:color="auto" w:fill="auto"/>
          </w:tcPr>
          <w:p w14:paraId="73462937"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16.12.2024</w:t>
            </w:r>
          </w:p>
        </w:tc>
        <w:tc>
          <w:tcPr>
            <w:tcW w:w="1134" w:type="dxa"/>
            <w:shd w:val="clear" w:color="auto" w:fill="auto"/>
          </w:tcPr>
          <w:p w14:paraId="65A81D56"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26.12.2024</w:t>
            </w:r>
          </w:p>
        </w:tc>
      </w:tr>
      <w:tr w:rsidR="00FD7B0B" w:rsidRPr="00FD7B0B" w14:paraId="4445802F" w14:textId="77777777" w:rsidTr="00983E9B">
        <w:trPr>
          <w:trHeight w:val="415"/>
        </w:trPr>
        <w:tc>
          <w:tcPr>
            <w:tcW w:w="7215" w:type="dxa"/>
            <w:shd w:val="clear" w:color="auto" w:fill="auto"/>
          </w:tcPr>
          <w:p w14:paraId="5A717C2D"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«Предоставлен отчет о выполнении соглашения о предоставлении субсидии юридическому (физическому) лицу»</w:t>
            </w:r>
          </w:p>
        </w:tc>
        <w:tc>
          <w:tcPr>
            <w:tcW w:w="1276" w:type="dxa"/>
            <w:shd w:val="clear" w:color="auto" w:fill="auto"/>
          </w:tcPr>
          <w:p w14:paraId="4EB59D98"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20.12.2024</w:t>
            </w:r>
          </w:p>
        </w:tc>
        <w:tc>
          <w:tcPr>
            <w:tcW w:w="1134" w:type="dxa"/>
            <w:shd w:val="clear" w:color="auto" w:fill="auto"/>
          </w:tcPr>
          <w:p w14:paraId="286BA27E"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26.12.2024</w:t>
            </w:r>
          </w:p>
        </w:tc>
      </w:tr>
      <w:tr w:rsidR="00FD7B0B" w:rsidRPr="00FD7B0B" w14:paraId="2EC50358" w14:textId="77777777" w:rsidTr="00983E9B">
        <w:trPr>
          <w:trHeight w:val="415"/>
        </w:trPr>
        <w:tc>
          <w:tcPr>
            <w:tcW w:w="7215" w:type="dxa"/>
            <w:shd w:val="clear" w:color="auto" w:fill="auto"/>
          </w:tcPr>
          <w:p w14:paraId="39535EB2"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«Проведены мероприятия в целях развития сферы молодежной политики на территории Архангельской области»</w:t>
            </w:r>
          </w:p>
        </w:tc>
        <w:tc>
          <w:tcPr>
            <w:tcW w:w="1276" w:type="dxa"/>
            <w:shd w:val="clear" w:color="auto" w:fill="auto"/>
          </w:tcPr>
          <w:p w14:paraId="4E64A16A"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20.12.2024</w:t>
            </w:r>
          </w:p>
        </w:tc>
        <w:tc>
          <w:tcPr>
            <w:tcW w:w="1134" w:type="dxa"/>
            <w:shd w:val="clear" w:color="auto" w:fill="auto"/>
          </w:tcPr>
          <w:p w14:paraId="059135AE"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26.12.2024</w:t>
            </w:r>
          </w:p>
        </w:tc>
      </w:tr>
      <w:tr w:rsidR="00FD7B0B" w:rsidRPr="00FD7B0B" w14:paraId="35908867" w14:textId="77777777" w:rsidTr="00983E9B">
        <w:trPr>
          <w:trHeight w:val="367"/>
        </w:trPr>
        <w:tc>
          <w:tcPr>
            <w:tcW w:w="9625" w:type="dxa"/>
            <w:gridSpan w:val="3"/>
          </w:tcPr>
          <w:p w14:paraId="571E041C" w14:textId="77777777" w:rsidR="00FA150E" w:rsidRPr="00FD7B0B" w:rsidRDefault="00FA150E" w:rsidP="00FA150E">
            <w:pPr>
              <w:widowControl w:val="0"/>
              <w:autoSpaceDE w:val="0"/>
              <w:autoSpaceDN w:val="0"/>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Организованы и проведены образовательные заезды для молодых деятелей культуры и искусств «Таврида» в составе кластера «Таврида»</w:t>
            </w:r>
          </w:p>
        </w:tc>
      </w:tr>
      <w:tr w:rsidR="00FD7B0B" w:rsidRPr="00FD7B0B" w14:paraId="2F0C3F7A" w14:textId="77777777" w:rsidTr="00983E9B">
        <w:trPr>
          <w:trHeight w:val="562"/>
        </w:trPr>
        <w:tc>
          <w:tcPr>
            <w:tcW w:w="7215" w:type="dxa"/>
            <w:shd w:val="clear" w:color="auto" w:fill="auto"/>
          </w:tcPr>
          <w:p w14:paraId="04CDB648"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«Предоставлен перечень участников в рамках проведения образовательных заездов для молодых деятелей культуры и искусств "Таврида" в составе арт-кластера "Таврида"»</w:t>
            </w:r>
          </w:p>
        </w:tc>
        <w:tc>
          <w:tcPr>
            <w:tcW w:w="1276" w:type="dxa"/>
            <w:shd w:val="clear" w:color="auto" w:fill="auto"/>
          </w:tcPr>
          <w:p w14:paraId="62D699FB"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17.05.2024</w:t>
            </w:r>
          </w:p>
        </w:tc>
        <w:tc>
          <w:tcPr>
            <w:tcW w:w="1134" w:type="dxa"/>
            <w:shd w:val="clear" w:color="auto" w:fill="auto"/>
          </w:tcPr>
          <w:p w14:paraId="5DDE2A5E"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07.06.2024</w:t>
            </w:r>
          </w:p>
        </w:tc>
      </w:tr>
      <w:tr w:rsidR="00FD7B0B" w:rsidRPr="00FD7B0B" w14:paraId="109D57AC" w14:textId="77777777" w:rsidTr="00852127">
        <w:trPr>
          <w:trHeight w:val="584"/>
        </w:trPr>
        <w:tc>
          <w:tcPr>
            <w:tcW w:w="7215" w:type="dxa"/>
            <w:shd w:val="clear" w:color="auto" w:fill="auto"/>
          </w:tcPr>
          <w:p w14:paraId="03EBF14F"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«Предоставлен перечень участников в рамках проведения образовательных заездов для молодых деятелей культуры и искусств "Таврида" в составе арт-кластера "Таврида"»</w:t>
            </w:r>
          </w:p>
        </w:tc>
        <w:tc>
          <w:tcPr>
            <w:tcW w:w="1276" w:type="dxa"/>
            <w:shd w:val="clear" w:color="auto" w:fill="auto"/>
          </w:tcPr>
          <w:p w14:paraId="0D9509D7"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15.07.2024</w:t>
            </w:r>
          </w:p>
        </w:tc>
        <w:tc>
          <w:tcPr>
            <w:tcW w:w="1134" w:type="dxa"/>
            <w:shd w:val="clear" w:color="auto" w:fill="auto"/>
          </w:tcPr>
          <w:p w14:paraId="29A7420B"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05.08.2024</w:t>
            </w:r>
          </w:p>
        </w:tc>
      </w:tr>
      <w:tr w:rsidR="00FD7B0B" w:rsidRPr="00FD7B0B" w14:paraId="742D2004" w14:textId="77777777" w:rsidTr="00983E9B">
        <w:trPr>
          <w:trHeight w:val="588"/>
        </w:trPr>
        <w:tc>
          <w:tcPr>
            <w:tcW w:w="7215" w:type="dxa"/>
            <w:shd w:val="clear" w:color="auto" w:fill="auto"/>
          </w:tcPr>
          <w:p w14:paraId="7F391362"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«Предоставлен перечень участников в рамках проведения образовательных заездов для молодых деятелей культуры и искусств "Таврида" в составе арт-кластера "Таврида"»</w:t>
            </w:r>
          </w:p>
        </w:tc>
        <w:tc>
          <w:tcPr>
            <w:tcW w:w="1276" w:type="dxa"/>
            <w:shd w:val="clear" w:color="auto" w:fill="auto"/>
          </w:tcPr>
          <w:p w14:paraId="4BA995C1"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16.09.2024</w:t>
            </w:r>
          </w:p>
        </w:tc>
        <w:tc>
          <w:tcPr>
            <w:tcW w:w="1134" w:type="dxa"/>
            <w:shd w:val="clear" w:color="auto" w:fill="auto"/>
          </w:tcPr>
          <w:p w14:paraId="43E2F065"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18.09.2024</w:t>
            </w:r>
          </w:p>
        </w:tc>
      </w:tr>
      <w:tr w:rsidR="00FA150E" w:rsidRPr="00FD7B0B" w14:paraId="567A6400" w14:textId="77777777" w:rsidTr="00983E9B">
        <w:trPr>
          <w:trHeight w:val="269"/>
        </w:trPr>
        <w:tc>
          <w:tcPr>
            <w:tcW w:w="7215" w:type="dxa"/>
            <w:shd w:val="clear" w:color="auto" w:fill="auto"/>
          </w:tcPr>
          <w:p w14:paraId="023224AE"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Контрольная точка «Отчет об итогах образовательных заездов для молодых деятелей культуры и искусств "Таврида" в составе арт-кластера "Таврида"»</w:t>
            </w:r>
          </w:p>
        </w:tc>
        <w:tc>
          <w:tcPr>
            <w:tcW w:w="1276" w:type="dxa"/>
            <w:shd w:val="clear" w:color="auto" w:fill="auto"/>
          </w:tcPr>
          <w:p w14:paraId="58B5D7FD"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20.12.2024</w:t>
            </w:r>
          </w:p>
        </w:tc>
        <w:tc>
          <w:tcPr>
            <w:tcW w:w="1134" w:type="dxa"/>
            <w:shd w:val="clear" w:color="auto" w:fill="auto"/>
          </w:tcPr>
          <w:p w14:paraId="532BE844" w14:textId="77777777" w:rsidR="00FA150E" w:rsidRPr="00FD7B0B" w:rsidRDefault="00FA150E" w:rsidP="00FA150E">
            <w:pPr>
              <w:widowControl w:val="0"/>
              <w:autoSpaceDE w:val="0"/>
              <w:autoSpaceDN w:val="0"/>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26.12.2024</w:t>
            </w:r>
          </w:p>
        </w:tc>
      </w:tr>
    </w:tbl>
    <w:p w14:paraId="305B3209" w14:textId="77777777" w:rsidR="00FA150E" w:rsidRPr="00FD7B0B" w:rsidRDefault="00FA150E" w:rsidP="00FA150E">
      <w:pPr>
        <w:spacing w:after="0" w:line="240" w:lineRule="auto"/>
        <w:contextualSpacing/>
        <w:jc w:val="both"/>
        <w:rPr>
          <w:rFonts w:ascii="Times New Roman" w:eastAsia="Times New Roman" w:hAnsi="Times New Roman"/>
          <w:b/>
          <w:sz w:val="28"/>
          <w:szCs w:val="28"/>
          <w:lang w:eastAsia="ru-RU"/>
        </w:rPr>
      </w:pPr>
    </w:p>
    <w:p w14:paraId="359B5B89" w14:textId="77777777" w:rsidR="00FA150E" w:rsidRPr="00FD7B0B" w:rsidRDefault="00FA150E" w:rsidP="00983E9B">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Так в отчетном 2024 году паспортом регионального проекта «Развитие системы поддержки молодежи («Молодежь России»)» утверждено мероприятие «Реализована программа комплексного развития молодежной политики в субъектах Российской Федерации «Регион для молодых» в рамках, которого одним из результатов является - завершение ремонта здания мультиформатного пространства «Создание» студенческих отрядов Архангельской области, для которого установлен срок реализации (контрольная точка) – 25.11.2024. Согласно Отчету о реализации регионального проекта указан фактический срок реализации - 20.12.2024.</w:t>
      </w:r>
    </w:p>
    <w:p w14:paraId="24136F90" w14:textId="77777777" w:rsidR="00FA150E" w:rsidRPr="00FD7B0B" w:rsidRDefault="00FA150E" w:rsidP="009B5712">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Вместе с тем, согласно информации, размещенной в единой информационной системе в сфере закупок ГАУ АО «ШТМО» на основании протокола от 26.12.2024 № 32414311919 заключен контракт от 16.01.2025 № 1-16-01 с ООО «Стройинновация» на сумму 20 080 861,12 руб. предметом, которого является «Выполнение работ по текущему ремонту в здании по адресу г. Архангельск, пр. Обводный канал, д. 7, корп. 3», с датой окончания исполнения договора 31.03.2025.</w:t>
      </w:r>
    </w:p>
    <w:p w14:paraId="18ABA428" w14:textId="77777777" w:rsidR="00FA150E" w:rsidRPr="00FD7B0B" w:rsidRDefault="00FA150E" w:rsidP="009B5712">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Кроме того, согласно форме № 0503779 неиспользованный остаток средств субсидии на иные цели на 01.01.2025 года у учреждения составил 15 271 676,31 руб. Согласно распоряжению агентства по делам молодежи Архангельской области от 16.01.2025 № 1-р остаток целевой субсидии разрешен к использованию в 2025 году на те же цели что и в 2024 финансовом году. С учетом чего, согласно информации, размещенной в единой информационной системе в сфере закупок учреждением в 1 квартале 2025 года заключен еще ряд контрактов предметов, которых также является выполнение работ по установке дверей, автоматической установки пожарной сигнализации, оконных проемов, подоконных досок из ПВХ, откосов из ПВХ, наличников из ПВХ.</w:t>
      </w:r>
    </w:p>
    <w:p w14:paraId="0BC558E4" w14:textId="240BFC34" w:rsidR="00FA150E" w:rsidRPr="00FD7B0B" w:rsidRDefault="00FA150E" w:rsidP="009B5712">
      <w:pPr>
        <w:spacing w:after="0" w:line="240" w:lineRule="auto"/>
        <w:ind w:firstLine="709"/>
        <w:contextualSpacing/>
        <w:jc w:val="both"/>
        <w:rPr>
          <w:rFonts w:ascii="Times New Roman" w:eastAsia="Times New Roman" w:hAnsi="Times New Roman"/>
          <w:b/>
          <w:sz w:val="28"/>
          <w:szCs w:val="28"/>
          <w:lang w:eastAsia="ru-RU"/>
        </w:rPr>
      </w:pPr>
      <w:r w:rsidRPr="00FD7B0B">
        <w:rPr>
          <w:rFonts w:ascii="Times New Roman" w:eastAsia="Times New Roman" w:hAnsi="Times New Roman"/>
          <w:sz w:val="28"/>
          <w:szCs w:val="28"/>
          <w:lang w:eastAsia="ru-RU"/>
        </w:rPr>
        <w:t>Таким образом, с учетом вышеизложенного контрольно-счетная палата отмечает, что по состоянию на 01.01.2025 нарушены сроки, установленные контрольной точкой для мероприятия «Реализована программа комплексного развития молодежной политики в субъектах Российской Федерации «Регион для молодых» в части завершения ремонта здания мультиформатного пространства «Создание» студенческих отрядов Архангельской области. Следует отметить, что информация о нарушении контрольной точки также не отражена в приложении № 1 к отчету о реализации в 2024 году государственной программы Архангельской области «Молодежь Поморья».</w:t>
      </w:r>
    </w:p>
    <w:p w14:paraId="2CEFEBCF" w14:textId="77777777" w:rsidR="00FA150E" w:rsidRPr="00FD7B0B" w:rsidRDefault="00FA150E" w:rsidP="00FA150E">
      <w:pPr>
        <w:spacing w:after="0" w:line="240" w:lineRule="auto"/>
        <w:contextualSpacing/>
        <w:jc w:val="center"/>
        <w:rPr>
          <w:rFonts w:ascii="Times New Roman" w:eastAsia="Times New Roman" w:hAnsi="Times New Roman"/>
          <w:b/>
          <w:sz w:val="28"/>
          <w:szCs w:val="28"/>
          <w:lang w:eastAsia="ru-RU"/>
        </w:rPr>
      </w:pPr>
    </w:p>
    <w:p w14:paraId="0B363AE5" w14:textId="77777777" w:rsidR="00FA150E" w:rsidRPr="00FD7B0B" w:rsidRDefault="00FA150E" w:rsidP="00FA150E">
      <w:pPr>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достижения целевых показателей по итогам 2024 года</w:t>
      </w:r>
    </w:p>
    <w:p w14:paraId="3A7E1CBD" w14:textId="3B22BADD" w:rsidR="00FA150E" w:rsidRPr="00FD7B0B" w:rsidRDefault="00FA150E" w:rsidP="0060654D">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Паспортом ГП № 29 в ред. 25.12.2024 на 2024 год утверждено 2 целевых показателя</w:t>
      </w:r>
      <w:r w:rsidR="0060654D" w:rsidRPr="00FD7B0B">
        <w:rPr>
          <w:rFonts w:ascii="Times New Roman" w:eastAsia="Times New Roman" w:hAnsi="Times New Roman"/>
          <w:sz w:val="28"/>
          <w:szCs w:val="28"/>
          <w:lang w:eastAsia="ru-RU"/>
        </w:rPr>
        <w:t>:</w:t>
      </w:r>
    </w:p>
    <w:p w14:paraId="13214552" w14:textId="79DF2EAA" w:rsidR="00FA150E" w:rsidRPr="00FD7B0B" w:rsidRDefault="00FA150E" w:rsidP="0060654D">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eastAsia="Times New Roman" w:hAnsi="Times New Roman"/>
          <w:sz w:val="28"/>
          <w:szCs w:val="28"/>
          <w:lang w:eastAsia="ru-RU"/>
        </w:rPr>
        <w:t xml:space="preserve">- </w:t>
      </w:r>
      <w:r w:rsidRPr="00FD7B0B">
        <w:rPr>
          <w:rFonts w:ascii="Times New Roman" w:hAnsi="Times New Roman"/>
          <w:sz w:val="28"/>
          <w:szCs w:val="28"/>
        </w:rPr>
        <w:t>Доля молодежи, удовлетворенной реализацией молодежной по</w:t>
      </w:r>
      <w:r w:rsidR="0060654D" w:rsidRPr="00FD7B0B">
        <w:rPr>
          <w:rFonts w:ascii="Times New Roman" w:hAnsi="Times New Roman"/>
          <w:sz w:val="28"/>
          <w:szCs w:val="28"/>
        </w:rPr>
        <w:t>литики в Архангельской области;</w:t>
      </w:r>
    </w:p>
    <w:p w14:paraId="7E6D1947" w14:textId="717BAE57" w:rsidR="00FA150E" w:rsidRPr="00FD7B0B" w:rsidRDefault="00FA150E" w:rsidP="0060654D">
      <w:pPr>
        <w:autoSpaceDE w:val="0"/>
        <w:autoSpaceDN w:val="0"/>
        <w:adjustRightInd w:val="0"/>
        <w:spacing w:after="0" w:line="240" w:lineRule="auto"/>
        <w:ind w:firstLine="709"/>
        <w:jc w:val="both"/>
        <w:rPr>
          <w:rFonts w:ascii="Times New Roman" w:hAnsi="Times New Roman"/>
          <w:sz w:val="28"/>
          <w:szCs w:val="28"/>
        </w:rPr>
      </w:pPr>
      <w:r w:rsidRPr="00FD7B0B">
        <w:rPr>
          <w:rFonts w:ascii="Times New Roman" w:hAnsi="Times New Roman"/>
          <w:sz w:val="28"/>
          <w:szCs w:val="28"/>
        </w:rPr>
        <w:t>- Увеличение доли граждан, занимающихся волонтерской (добровольческой) деятельностью или вовлеченных в деятельность волонтерских</w:t>
      </w:r>
      <w:r w:rsidR="0060654D" w:rsidRPr="00FD7B0B">
        <w:rPr>
          <w:rFonts w:ascii="Times New Roman" w:hAnsi="Times New Roman"/>
          <w:sz w:val="28"/>
          <w:szCs w:val="28"/>
        </w:rPr>
        <w:t xml:space="preserve"> (добровольческих) организаций.</w:t>
      </w:r>
    </w:p>
    <w:p w14:paraId="3A6FA55D" w14:textId="2F48BAB9" w:rsidR="00FA150E" w:rsidRPr="00FD7B0B" w:rsidRDefault="00FA150E" w:rsidP="0060654D">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Целевые показатели ГП № 29 в основном соответствуют целям и задачам, установленным </w:t>
      </w:r>
      <w:r w:rsidRPr="00FD7B0B">
        <w:rPr>
          <w:rFonts w:ascii="Times New Roman" w:hAnsi="Times New Roman"/>
          <w:sz w:val="28"/>
          <w:szCs w:val="28"/>
        </w:rPr>
        <w:t xml:space="preserve">Федеральным законом «О молодежной политике в Российской Федерации», распоряжением Правительства РФ от 29.11.2014 № 2403-р «Об утверждении Основ государственной молодежной политики Российской Федерации на период до 2025 года», </w:t>
      </w:r>
      <w:r w:rsidRPr="00FD7B0B">
        <w:rPr>
          <w:rFonts w:ascii="Times New Roman" w:eastAsia="Times New Roman" w:hAnsi="Times New Roman"/>
          <w:bCs/>
          <w:sz w:val="28"/>
          <w:szCs w:val="28"/>
          <w:lang w:eastAsia="ru-RU"/>
        </w:rPr>
        <w:t xml:space="preserve">указом Президента Российской Федерации от 07.05.2024 № 309 </w:t>
      </w:r>
      <w:r w:rsidRPr="00FD7B0B">
        <w:rPr>
          <w:rFonts w:ascii="Times New Roman" w:eastAsia="Times New Roman" w:hAnsi="Times New Roman"/>
          <w:sz w:val="28"/>
          <w:szCs w:val="28"/>
          <w:lang w:eastAsia="ru-RU"/>
        </w:rPr>
        <w:t>«О национальных целях развития Российской Федерации на период до 2030 года и на перспективу до 2036 года», а также «С</w:t>
      </w:r>
      <w:r w:rsidRPr="00FD7B0B">
        <w:rPr>
          <w:rFonts w:ascii="Times New Roman" w:hAnsi="Times New Roman"/>
          <w:sz w:val="28"/>
          <w:szCs w:val="28"/>
        </w:rPr>
        <w:t xml:space="preserve">тратегии развития военно-патриотического воспитания в Архангельской области до 2027 года», утвержденной постановлением Правительства Архангельской </w:t>
      </w:r>
      <w:r w:rsidR="0060654D" w:rsidRPr="00FD7B0B">
        <w:rPr>
          <w:rFonts w:ascii="Times New Roman" w:hAnsi="Times New Roman"/>
          <w:sz w:val="28"/>
          <w:szCs w:val="28"/>
        </w:rPr>
        <w:t>области от 17.08.2022 № 606-пп.</w:t>
      </w:r>
    </w:p>
    <w:p w14:paraId="6827C244" w14:textId="16A83EED" w:rsidR="00FA150E" w:rsidRPr="00FD7B0B" w:rsidRDefault="00FA150E" w:rsidP="0060654D">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Вместе с тем необходимо отметить, что Стратегия социально-экономического развития Архангельской области до 2035 года, утвержденная законом Архангельской области от 18.02.2019 № 57-5-ОЗ не содержит информации и направлений ее реализации в части достижения целевых показателей, связанных с развитием в сфере развития молодежной политики и патриотического воспит</w:t>
      </w:r>
      <w:r w:rsidR="0060654D" w:rsidRPr="00FD7B0B">
        <w:rPr>
          <w:rFonts w:ascii="Times New Roman" w:eastAsia="Times New Roman" w:hAnsi="Times New Roman"/>
          <w:sz w:val="28"/>
          <w:szCs w:val="28"/>
          <w:lang w:eastAsia="ru-RU"/>
        </w:rPr>
        <w:t>ания.</w:t>
      </w:r>
    </w:p>
    <w:p w14:paraId="5854909B" w14:textId="7E1CB345" w:rsidR="00FA150E" w:rsidRPr="00FD7B0B" w:rsidRDefault="00FA150E" w:rsidP="0060654D">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lastRenderedPageBreak/>
        <w:t>Контрольно-счетная палата неоднократно в своих заключениях (за 2021, 2022, 2023 годы) указывала о необходимости внесения соответствующих изменений в Стратегию социально-экономического развития Архангельской области до 2035 года и госпрограмму в части мероприятий в сфере развития молодежной политики и патриотического воспитания с целью взаимоувязки соответствующих целевых показателей, характеризующ</w:t>
      </w:r>
      <w:r w:rsidR="0060654D" w:rsidRPr="00FD7B0B">
        <w:rPr>
          <w:rFonts w:ascii="Times New Roman" w:eastAsia="Times New Roman" w:hAnsi="Times New Roman"/>
          <w:sz w:val="28"/>
          <w:szCs w:val="28"/>
          <w:lang w:eastAsia="ru-RU"/>
        </w:rPr>
        <w:t>их эффективность их реализации.</w:t>
      </w:r>
    </w:p>
    <w:p w14:paraId="3F3C6559" w14:textId="77777777" w:rsidR="00FA150E" w:rsidRPr="00FD7B0B" w:rsidRDefault="00FA150E" w:rsidP="00FA150E">
      <w:pPr>
        <w:spacing w:after="0" w:line="240" w:lineRule="auto"/>
        <w:ind w:firstLine="851"/>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течение отчетного года целевые показатели ГП № 29 не изменялись. </w:t>
      </w:r>
    </w:p>
    <w:p w14:paraId="0B08D569" w14:textId="1E91B3A3" w:rsidR="00FA150E" w:rsidRPr="00FD7B0B" w:rsidRDefault="00FA150E" w:rsidP="00FA150E">
      <w:pPr>
        <w:spacing w:after="0" w:line="240" w:lineRule="auto"/>
        <w:ind w:firstLine="851"/>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Плановые и фактические значения отдельных целевых показателей ГП №</w:t>
      </w:r>
      <w:r w:rsidR="004358AF" w:rsidRPr="00FD7B0B">
        <w:rPr>
          <w:rFonts w:ascii="Times New Roman" w:eastAsia="Times New Roman" w:hAnsi="Times New Roman"/>
          <w:sz w:val="28"/>
          <w:szCs w:val="28"/>
          <w:lang w:eastAsia="ru-RU"/>
        </w:rPr>
        <w:t> </w:t>
      </w:r>
      <w:r w:rsidRPr="00FD7B0B">
        <w:rPr>
          <w:rFonts w:ascii="Times New Roman" w:eastAsia="Times New Roman" w:hAnsi="Times New Roman"/>
          <w:sz w:val="28"/>
          <w:szCs w:val="28"/>
          <w:lang w:eastAsia="ru-RU"/>
        </w:rPr>
        <w:t xml:space="preserve">29 за ряд лет представлены в таблицах </w:t>
      </w:r>
      <w:r w:rsidR="004358AF" w:rsidRPr="00FD7B0B">
        <w:rPr>
          <w:rFonts w:ascii="Times New Roman" w:eastAsia="Times New Roman" w:hAnsi="Times New Roman"/>
          <w:sz w:val="28"/>
          <w:szCs w:val="28"/>
          <w:lang w:eastAsia="ru-RU"/>
        </w:rPr>
        <w:t>232</w:t>
      </w:r>
      <w:r w:rsidRPr="00FD7B0B">
        <w:rPr>
          <w:rFonts w:ascii="Times New Roman" w:eastAsia="Times New Roman" w:hAnsi="Times New Roman"/>
          <w:sz w:val="28"/>
          <w:szCs w:val="28"/>
          <w:lang w:eastAsia="ru-RU"/>
        </w:rPr>
        <w:t xml:space="preserve"> и </w:t>
      </w:r>
      <w:r w:rsidR="004358AF" w:rsidRPr="00FD7B0B">
        <w:rPr>
          <w:rFonts w:ascii="Times New Roman" w:eastAsia="Times New Roman" w:hAnsi="Times New Roman"/>
          <w:sz w:val="28"/>
          <w:szCs w:val="28"/>
          <w:lang w:eastAsia="ru-RU"/>
        </w:rPr>
        <w:t>233</w:t>
      </w:r>
      <w:r w:rsidRPr="00FD7B0B">
        <w:rPr>
          <w:rFonts w:ascii="Times New Roman" w:eastAsia="Times New Roman" w:hAnsi="Times New Roman"/>
          <w:sz w:val="28"/>
          <w:szCs w:val="28"/>
          <w:lang w:eastAsia="ru-RU"/>
        </w:rPr>
        <w:t>.</w:t>
      </w:r>
    </w:p>
    <w:p w14:paraId="6CEFDAF5" w14:textId="77777777" w:rsidR="00FA150E" w:rsidRPr="00FD7B0B" w:rsidRDefault="00FA150E" w:rsidP="00FA150E">
      <w:pPr>
        <w:spacing w:after="0" w:line="240" w:lineRule="auto"/>
        <w:ind w:firstLine="851"/>
        <w:contextualSpacing/>
        <w:jc w:val="both"/>
        <w:rPr>
          <w:rFonts w:ascii="Times New Roman" w:eastAsia="Times New Roman" w:hAnsi="Times New Roman"/>
          <w:sz w:val="28"/>
          <w:szCs w:val="28"/>
          <w:lang w:eastAsia="ru-RU"/>
        </w:rPr>
      </w:pPr>
    </w:p>
    <w:p w14:paraId="48AFE396" w14:textId="3DE1CBC1" w:rsidR="00FA150E" w:rsidRPr="00FD7B0B" w:rsidRDefault="00852127" w:rsidP="00FA150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232</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FA150E" w:rsidRPr="00FD7B0B">
        <w:rPr>
          <w:rFonts w:ascii="Times New Roman" w:hAnsi="Times New Roman"/>
          <w:b w:val="0"/>
          <w:sz w:val="24"/>
          <w:szCs w:val="24"/>
        </w:rPr>
        <w:t>Динамика значений отдельных целевых показате</w:t>
      </w:r>
      <w:r w:rsidR="004358AF" w:rsidRPr="00FD7B0B">
        <w:rPr>
          <w:rFonts w:ascii="Times New Roman" w:hAnsi="Times New Roman"/>
          <w:b w:val="0"/>
          <w:sz w:val="24"/>
          <w:szCs w:val="24"/>
        </w:rPr>
        <w:t>лей ГП № 29 за 2023 – 2024 годы</w:t>
      </w:r>
    </w:p>
    <w:tbl>
      <w:tblPr>
        <w:tblW w:w="9639"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103"/>
        <w:gridCol w:w="1843"/>
        <w:gridCol w:w="749"/>
        <w:gridCol w:w="668"/>
        <w:gridCol w:w="1276"/>
      </w:tblGrid>
      <w:tr w:rsidR="00FD7B0B" w:rsidRPr="00FD7B0B" w14:paraId="0A017B0B" w14:textId="77777777" w:rsidTr="00852127">
        <w:trPr>
          <w:trHeight w:val="135"/>
        </w:trPr>
        <w:tc>
          <w:tcPr>
            <w:tcW w:w="5103" w:type="dxa"/>
            <w:shd w:val="clear" w:color="000000" w:fill="FFFFFF"/>
            <w:vAlign w:val="center"/>
            <w:hideMark/>
          </w:tcPr>
          <w:p w14:paraId="1EBAD1A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Наименование целевого показателя, единица измерения</w:t>
            </w:r>
          </w:p>
        </w:tc>
        <w:tc>
          <w:tcPr>
            <w:tcW w:w="1843" w:type="dxa"/>
            <w:shd w:val="clear" w:color="000000" w:fill="FFFFFF"/>
            <w:vAlign w:val="center"/>
            <w:hideMark/>
          </w:tcPr>
          <w:p w14:paraId="0008C2B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Исполнитель</w:t>
            </w:r>
          </w:p>
        </w:tc>
        <w:tc>
          <w:tcPr>
            <w:tcW w:w="749" w:type="dxa"/>
            <w:shd w:val="clear" w:color="auto" w:fill="auto"/>
            <w:vAlign w:val="center"/>
            <w:hideMark/>
          </w:tcPr>
          <w:p w14:paraId="6B21B26D"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План</w:t>
            </w:r>
          </w:p>
        </w:tc>
        <w:tc>
          <w:tcPr>
            <w:tcW w:w="668" w:type="dxa"/>
            <w:shd w:val="clear" w:color="000000" w:fill="FFFFFF"/>
            <w:vAlign w:val="center"/>
            <w:hideMark/>
          </w:tcPr>
          <w:p w14:paraId="06C6ED4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Факт</w:t>
            </w:r>
          </w:p>
        </w:tc>
        <w:tc>
          <w:tcPr>
            <w:tcW w:w="1276" w:type="dxa"/>
            <w:shd w:val="clear" w:color="000000" w:fill="FFFFFF"/>
            <w:vAlign w:val="center"/>
            <w:hideMark/>
          </w:tcPr>
          <w:p w14:paraId="188A3AE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Исполнено, %</w:t>
            </w:r>
          </w:p>
        </w:tc>
      </w:tr>
      <w:tr w:rsidR="00FD7B0B" w:rsidRPr="00FD7B0B" w14:paraId="4BEE2E23" w14:textId="77777777" w:rsidTr="00852127">
        <w:trPr>
          <w:trHeight w:val="83"/>
        </w:trPr>
        <w:tc>
          <w:tcPr>
            <w:tcW w:w="5103" w:type="dxa"/>
            <w:shd w:val="clear" w:color="000000" w:fill="FFFFFF"/>
            <w:vAlign w:val="center"/>
            <w:hideMark/>
          </w:tcPr>
          <w:p w14:paraId="75DA1C66"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w:t>
            </w:r>
          </w:p>
        </w:tc>
        <w:tc>
          <w:tcPr>
            <w:tcW w:w="1843" w:type="dxa"/>
            <w:shd w:val="clear" w:color="000000" w:fill="FFFFFF"/>
            <w:vAlign w:val="center"/>
            <w:hideMark/>
          </w:tcPr>
          <w:p w14:paraId="4B80793A"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Б</w:t>
            </w:r>
          </w:p>
        </w:tc>
        <w:tc>
          <w:tcPr>
            <w:tcW w:w="749" w:type="dxa"/>
            <w:shd w:val="clear" w:color="auto" w:fill="auto"/>
            <w:vAlign w:val="center"/>
            <w:hideMark/>
          </w:tcPr>
          <w:p w14:paraId="1AB78FC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668" w:type="dxa"/>
            <w:shd w:val="clear" w:color="000000" w:fill="FFFFFF"/>
            <w:vAlign w:val="center"/>
            <w:hideMark/>
          </w:tcPr>
          <w:p w14:paraId="0F1443E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276" w:type="dxa"/>
            <w:shd w:val="clear" w:color="000000" w:fill="FFFFFF"/>
            <w:vAlign w:val="center"/>
            <w:hideMark/>
          </w:tcPr>
          <w:p w14:paraId="177DB0A3"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3=2/1*100</w:t>
            </w:r>
          </w:p>
        </w:tc>
      </w:tr>
      <w:tr w:rsidR="00FD7B0B" w:rsidRPr="00FD7B0B" w14:paraId="2E72763C" w14:textId="77777777" w:rsidTr="00852127">
        <w:trPr>
          <w:trHeight w:val="599"/>
        </w:trPr>
        <w:tc>
          <w:tcPr>
            <w:tcW w:w="5103" w:type="dxa"/>
            <w:shd w:val="clear" w:color="000000" w:fill="FFFFFF"/>
            <w:vAlign w:val="center"/>
            <w:hideMark/>
          </w:tcPr>
          <w:p w14:paraId="0B6CD527" w14:textId="77777777" w:rsidR="00FA150E" w:rsidRPr="00FD7B0B" w:rsidRDefault="00FA150E" w:rsidP="00FA150E">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 Доля молодежи, удовлетворенной реализацией молодежной политики в Архангельской области, ежегодно, %</w:t>
            </w:r>
          </w:p>
        </w:tc>
        <w:tc>
          <w:tcPr>
            <w:tcW w:w="1843" w:type="dxa"/>
            <w:shd w:val="clear" w:color="000000" w:fill="FFFFFF"/>
            <w:vAlign w:val="center"/>
            <w:hideMark/>
          </w:tcPr>
          <w:p w14:paraId="6939E3E0"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Агентство по делам молодежи Архангельской области</w:t>
            </w:r>
          </w:p>
        </w:tc>
        <w:tc>
          <w:tcPr>
            <w:tcW w:w="749" w:type="dxa"/>
            <w:shd w:val="clear" w:color="auto" w:fill="auto"/>
            <w:vAlign w:val="center"/>
            <w:hideMark/>
          </w:tcPr>
          <w:p w14:paraId="6CE7F6B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668" w:type="dxa"/>
            <w:shd w:val="clear" w:color="000000" w:fill="FFFFFF"/>
            <w:vAlign w:val="center"/>
            <w:hideMark/>
          </w:tcPr>
          <w:p w14:paraId="19F1C63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276" w:type="dxa"/>
            <w:shd w:val="clear" w:color="000000" w:fill="FFFFFF"/>
            <w:vAlign w:val="center"/>
            <w:hideMark/>
          </w:tcPr>
          <w:p w14:paraId="6B4E1B19"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22EB7204" w14:textId="77777777" w:rsidTr="00852127">
        <w:trPr>
          <w:trHeight w:val="122"/>
        </w:trPr>
        <w:tc>
          <w:tcPr>
            <w:tcW w:w="5103" w:type="dxa"/>
            <w:shd w:val="clear" w:color="000000" w:fill="FFFFFF"/>
            <w:vAlign w:val="center"/>
            <w:hideMark/>
          </w:tcPr>
          <w:p w14:paraId="782EA1DA" w14:textId="77777777" w:rsidR="00FA150E" w:rsidRPr="00FD7B0B" w:rsidRDefault="00FA150E" w:rsidP="00FA150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2023 год (предшествующий отчетному)</w:t>
            </w:r>
          </w:p>
        </w:tc>
        <w:tc>
          <w:tcPr>
            <w:tcW w:w="1843" w:type="dxa"/>
            <w:shd w:val="clear" w:color="000000" w:fill="FFFFFF"/>
            <w:vAlign w:val="center"/>
            <w:hideMark/>
          </w:tcPr>
          <w:p w14:paraId="3004220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749" w:type="dxa"/>
            <w:shd w:val="clear" w:color="auto" w:fill="auto"/>
            <w:vAlign w:val="center"/>
            <w:hideMark/>
          </w:tcPr>
          <w:p w14:paraId="299A4DD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45,5</w:t>
            </w:r>
          </w:p>
        </w:tc>
        <w:tc>
          <w:tcPr>
            <w:tcW w:w="668" w:type="dxa"/>
            <w:shd w:val="clear" w:color="000000" w:fill="FFFFFF"/>
            <w:vAlign w:val="center"/>
            <w:hideMark/>
          </w:tcPr>
          <w:p w14:paraId="1FAA29F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56,7</w:t>
            </w:r>
          </w:p>
        </w:tc>
        <w:tc>
          <w:tcPr>
            <w:tcW w:w="1276" w:type="dxa"/>
            <w:shd w:val="clear" w:color="000000" w:fill="FFFFFF"/>
            <w:vAlign w:val="center"/>
            <w:hideMark/>
          </w:tcPr>
          <w:p w14:paraId="5E19E823"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124,6</w:t>
            </w:r>
          </w:p>
        </w:tc>
      </w:tr>
      <w:tr w:rsidR="00FD7B0B" w:rsidRPr="00FD7B0B" w14:paraId="2AEBBA1A" w14:textId="77777777" w:rsidTr="00852127">
        <w:trPr>
          <w:trHeight w:val="69"/>
        </w:trPr>
        <w:tc>
          <w:tcPr>
            <w:tcW w:w="5103" w:type="dxa"/>
            <w:shd w:val="clear" w:color="000000" w:fill="FFFFFF"/>
            <w:vAlign w:val="center"/>
          </w:tcPr>
          <w:p w14:paraId="3D81BB20" w14:textId="77777777" w:rsidR="00FA150E" w:rsidRPr="00FD7B0B" w:rsidRDefault="00FA150E" w:rsidP="00FA150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2024 год (отчетный период)</w:t>
            </w:r>
          </w:p>
        </w:tc>
        <w:tc>
          <w:tcPr>
            <w:tcW w:w="1843" w:type="dxa"/>
            <w:shd w:val="clear" w:color="000000" w:fill="FFFFFF"/>
            <w:vAlign w:val="center"/>
          </w:tcPr>
          <w:p w14:paraId="34F492E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p>
        </w:tc>
        <w:tc>
          <w:tcPr>
            <w:tcW w:w="749" w:type="dxa"/>
            <w:shd w:val="clear" w:color="auto" w:fill="auto"/>
            <w:vAlign w:val="center"/>
          </w:tcPr>
          <w:p w14:paraId="25B40D9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47,0</w:t>
            </w:r>
          </w:p>
        </w:tc>
        <w:tc>
          <w:tcPr>
            <w:tcW w:w="668" w:type="dxa"/>
            <w:shd w:val="clear" w:color="000000" w:fill="FFFFFF"/>
            <w:vAlign w:val="center"/>
          </w:tcPr>
          <w:p w14:paraId="077B499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66,4</w:t>
            </w:r>
          </w:p>
        </w:tc>
        <w:tc>
          <w:tcPr>
            <w:tcW w:w="1276" w:type="dxa"/>
            <w:shd w:val="clear" w:color="000000" w:fill="FFFFFF"/>
            <w:vAlign w:val="center"/>
          </w:tcPr>
          <w:p w14:paraId="1FC385A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141,2</w:t>
            </w:r>
          </w:p>
        </w:tc>
      </w:tr>
      <w:tr w:rsidR="00FD7B0B" w:rsidRPr="00FD7B0B" w14:paraId="2C994169" w14:textId="77777777" w:rsidTr="00852127">
        <w:trPr>
          <w:trHeight w:val="284"/>
        </w:trPr>
        <w:tc>
          <w:tcPr>
            <w:tcW w:w="5103" w:type="dxa"/>
            <w:shd w:val="clear" w:color="000000" w:fill="FFFFFF"/>
            <w:vAlign w:val="center"/>
            <w:hideMark/>
          </w:tcPr>
          <w:p w14:paraId="304F4E23" w14:textId="77777777" w:rsidR="00FA150E" w:rsidRPr="00FD7B0B" w:rsidRDefault="00FA150E" w:rsidP="00852127">
            <w:pPr>
              <w:spacing w:after="0" w:line="240" w:lineRule="auto"/>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 Увеличение доли граждан, занимающихся волонтерской (добровольческой) деятельностью или вовлеченных в деятельность волонтерских (добровольческих) организаций, %</w:t>
            </w:r>
          </w:p>
        </w:tc>
        <w:tc>
          <w:tcPr>
            <w:tcW w:w="1843" w:type="dxa"/>
            <w:shd w:val="clear" w:color="000000" w:fill="FFFFFF"/>
            <w:vAlign w:val="center"/>
            <w:hideMark/>
          </w:tcPr>
          <w:p w14:paraId="6D75749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Агентство по делам молодежи Архангельской области</w:t>
            </w:r>
          </w:p>
        </w:tc>
        <w:tc>
          <w:tcPr>
            <w:tcW w:w="749" w:type="dxa"/>
            <w:shd w:val="clear" w:color="auto" w:fill="auto"/>
            <w:vAlign w:val="center"/>
            <w:hideMark/>
          </w:tcPr>
          <w:p w14:paraId="4E07E4C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668" w:type="dxa"/>
            <w:shd w:val="clear" w:color="000000" w:fill="FFFFFF"/>
            <w:vAlign w:val="center"/>
            <w:hideMark/>
          </w:tcPr>
          <w:p w14:paraId="1FE0B196"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1276" w:type="dxa"/>
            <w:shd w:val="clear" w:color="000000" w:fill="FFFFFF"/>
            <w:vAlign w:val="center"/>
            <w:hideMark/>
          </w:tcPr>
          <w:p w14:paraId="0A0994A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r>
      <w:tr w:rsidR="00FD7B0B" w:rsidRPr="00FD7B0B" w14:paraId="5FAA7C5F" w14:textId="77777777" w:rsidTr="00852127">
        <w:trPr>
          <w:trHeight w:val="36"/>
        </w:trPr>
        <w:tc>
          <w:tcPr>
            <w:tcW w:w="5103" w:type="dxa"/>
            <w:shd w:val="clear" w:color="000000" w:fill="FFFFFF"/>
            <w:vAlign w:val="center"/>
            <w:hideMark/>
          </w:tcPr>
          <w:p w14:paraId="0E6F1218" w14:textId="77777777" w:rsidR="00FA150E" w:rsidRPr="00FD7B0B" w:rsidRDefault="00FA150E" w:rsidP="00FA150E">
            <w:pPr>
              <w:spacing w:after="0" w:line="240" w:lineRule="auto"/>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2023 год (предшествующий отчетному)</w:t>
            </w:r>
          </w:p>
        </w:tc>
        <w:tc>
          <w:tcPr>
            <w:tcW w:w="1843" w:type="dxa"/>
            <w:shd w:val="clear" w:color="000000" w:fill="FFFFFF"/>
            <w:vAlign w:val="center"/>
            <w:hideMark/>
          </w:tcPr>
          <w:p w14:paraId="5615D7F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w:t>
            </w:r>
          </w:p>
        </w:tc>
        <w:tc>
          <w:tcPr>
            <w:tcW w:w="749" w:type="dxa"/>
            <w:shd w:val="clear" w:color="auto" w:fill="auto"/>
            <w:vAlign w:val="center"/>
          </w:tcPr>
          <w:p w14:paraId="1F0C0AB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668" w:type="dxa"/>
            <w:shd w:val="clear" w:color="000000" w:fill="FFFFFF"/>
            <w:vAlign w:val="center"/>
          </w:tcPr>
          <w:p w14:paraId="2C04918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1276" w:type="dxa"/>
            <w:shd w:val="clear" w:color="000000" w:fill="FFFFFF"/>
            <w:vAlign w:val="center"/>
          </w:tcPr>
          <w:p w14:paraId="464EFF7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r>
      <w:tr w:rsidR="00FD7B0B" w:rsidRPr="00FD7B0B" w14:paraId="7E69F37D" w14:textId="77777777" w:rsidTr="00852127">
        <w:trPr>
          <w:trHeight w:val="83"/>
        </w:trPr>
        <w:tc>
          <w:tcPr>
            <w:tcW w:w="5103" w:type="dxa"/>
            <w:shd w:val="clear" w:color="000000" w:fill="FFFFFF"/>
            <w:vAlign w:val="center"/>
            <w:hideMark/>
          </w:tcPr>
          <w:p w14:paraId="2A723F0D" w14:textId="77777777" w:rsidR="00FA150E" w:rsidRPr="00FD7B0B" w:rsidRDefault="00FA150E" w:rsidP="00FA150E">
            <w:pPr>
              <w:spacing w:after="0" w:line="240" w:lineRule="auto"/>
              <w:jc w:val="both"/>
              <w:rPr>
                <w:rFonts w:ascii="Times New Roman" w:eastAsia="Times New Roman" w:hAnsi="Times New Roman"/>
                <w:i/>
                <w:iCs/>
                <w:sz w:val="16"/>
                <w:szCs w:val="16"/>
                <w:lang w:eastAsia="ru-RU"/>
              </w:rPr>
            </w:pPr>
            <w:r w:rsidRPr="00FD7B0B">
              <w:rPr>
                <w:rFonts w:ascii="Times New Roman" w:eastAsia="Times New Roman" w:hAnsi="Times New Roman"/>
                <w:i/>
                <w:iCs/>
                <w:sz w:val="16"/>
                <w:szCs w:val="16"/>
                <w:lang w:eastAsia="ru-RU"/>
              </w:rPr>
              <w:t>2024 год (отчетный период)</w:t>
            </w:r>
          </w:p>
        </w:tc>
        <w:tc>
          <w:tcPr>
            <w:tcW w:w="1843" w:type="dxa"/>
            <w:shd w:val="clear" w:color="000000" w:fill="FFFFFF"/>
            <w:vAlign w:val="center"/>
            <w:hideMark/>
          </w:tcPr>
          <w:p w14:paraId="7BE996D5"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p>
        </w:tc>
        <w:tc>
          <w:tcPr>
            <w:tcW w:w="749" w:type="dxa"/>
            <w:shd w:val="clear" w:color="auto" w:fill="auto"/>
            <w:vAlign w:val="center"/>
            <w:hideMark/>
          </w:tcPr>
          <w:p w14:paraId="4B4C63A9"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30,0</w:t>
            </w:r>
          </w:p>
        </w:tc>
        <w:tc>
          <w:tcPr>
            <w:tcW w:w="668" w:type="dxa"/>
            <w:shd w:val="clear" w:color="000000" w:fill="FFFFFF"/>
            <w:vAlign w:val="center"/>
            <w:hideMark/>
          </w:tcPr>
          <w:p w14:paraId="4C98350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31,7</w:t>
            </w:r>
          </w:p>
        </w:tc>
        <w:tc>
          <w:tcPr>
            <w:tcW w:w="1276" w:type="dxa"/>
            <w:shd w:val="clear" w:color="000000" w:fill="FFFFFF"/>
            <w:vAlign w:val="center"/>
          </w:tcPr>
          <w:p w14:paraId="0636C68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105,6</w:t>
            </w:r>
          </w:p>
        </w:tc>
      </w:tr>
    </w:tbl>
    <w:p w14:paraId="41AEFE31" w14:textId="77777777" w:rsidR="00FA150E" w:rsidRPr="00FD7B0B" w:rsidRDefault="00FA150E" w:rsidP="00852127">
      <w:pPr>
        <w:spacing w:after="0" w:line="240" w:lineRule="auto"/>
        <w:ind w:firstLine="709"/>
        <w:contextualSpacing/>
        <w:jc w:val="both"/>
        <w:rPr>
          <w:rFonts w:ascii="Times New Roman" w:eastAsia="Times New Roman" w:hAnsi="Times New Roman"/>
          <w:sz w:val="28"/>
          <w:szCs w:val="28"/>
          <w:lang w:eastAsia="ru-RU"/>
        </w:rPr>
      </w:pPr>
    </w:p>
    <w:p w14:paraId="715A7A56" w14:textId="77777777" w:rsidR="00FA150E" w:rsidRPr="00FD7B0B" w:rsidRDefault="00FA150E" w:rsidP="00852127">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 итогам 2024 года плановое значение целевых показателей достигнуто.</w:t>
      </w:r>
    </w:p>
    <w:p w14:paraId="197374DB" w14:textId="42042AB6" w:rsidR="00FA150E" w:rsidRPr="00FD7B0B" w:rsidRDefault="00FA150E" w:rsidP="00852127">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В то же время перевыполнен целевой показатель</w:t>
      </w:r>
      <w:r w:rsidR="00013493" w:rsidRPr="00FD7B0B">
        <w:rPr>
          <w:rFonts w:ascii="Times New Roman" w:eastAsia="Times New Roman" w:hAnsi="Times New Roman"/>
          <w:sz w:val="28"/>
          <w:szCs w:val="28"/>
          <w:lang w:eastAsia="ru-RU"/>
        </w:rPr>
        <w:t xml:space="preserve"> «</w:t>
      </w:r>
      <w:r w:rsidRPr="00FD7B0B">
        <w:rPr>
          <w:rFonts w:ascii="Times New Roman" w:eastAsia="Times New Roman" w:hAnsi="Times New Roman"/>
          <w:sz w:val="28"/>
          <w:szCs w:val="28"/>
          <w:lang w:eastAsia="ru-RU"/>
        </w:rPr>
        <w:t>Доля молодежи, удовлетворенной реализацией молодежной политики в Архангельской области</w:t>
      </w:r>
      <w:r w:rsidR="00013493" w:rsidRPr="00FD7B0B">
        <w:rPr>
          <w:rFonts w:ascii="Times New Roman" w:eastAsia="Times New Roman" w:hAnsi="Times New Roman"/>
          <w:sz w:val="28"/>
          <w:szCs w:val="28"/>
          <w:lang w:eastAsia="ru-RU"/>
        </w:rPr>
        <w:t>»</w:t>
      </w:r>
      <w:r w:rsidRPr="00FD7B0B">
        <w:rPr>
          <w:rFonts w:ascii="Times New Roman" w:eastAsia="Times New Roman" w:hAnsi="Times New Roman"/>
          <w:sz w:val="28"/>
          <w:szCs w:val="28"/>
          <w:lang w:eastAsia="ru-RU"/>
        </w:rPr>
        <w:t xml:space="preserve"> по причине того, что в 2024 году увеличилось количество мероприятий и проектов для молодежи. Кроме того, на территории Архангельской области прошло несколько федеральных форумов и проектов что позволило привлечь малоактивную категорию молодежи. </w:t>
      </w:r>
    </w:p>
    <w:p w14:paraId="7D56B8D7" w14:textId="0B6F1161" w:rsidR="00FA150E" w:rsidRPr="00FD7B0B" w:rsidRDefault="00FA150E" w:rsidP="00852127">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Контрольно-счетная палата полагает необходимым отметить, что значительное перевыполнение/невыполнение целевых показателей свидетельствует, в том чис</w:t>
      </w:r>
      <w:r w:rsidR="00742E2D" w:rsidRPr="00FD7B0B">
        <w:rPr>
          <w:rFonts w:ascii="Times New Roman" w:eastAsia="Times New Roman" w:hAnsi="Times New Roman"/>
          <w:sz w:val="28"/>
          <w:szCs w:val="28"/>
          <w:lang w:eastAsia="ru-RU"/>
        </w:rPr>
        <w:t>ле о недостатках планирования.</w:t>
      </w:r>
    </w:p>
    <w:p w14:paraId="02FE14A8" w14:textId="77777777" w:rsidR="00FA150E" w:rsidRPr="00FD7B0B" w:rsidRDefault="00FA150E" w:rsidP="00852127">
      <w:pPr>
        <w:spacing w:after="0" w:line="240" w:lineRule="auto"/>
        <w:ind w:firstLine="709"/>
        <w:contextualSpacing/>
        <w:jc w:val="both"/>
        <w:rPr>
          <w:rFonts w:ascii="Times New Roman" w:eastAsia="Times New Roman" w:hAnsi="Times New Roman"/>
          <w:sz w:val="28"/>
          <w:szCs w:val="28"/>
          <w:lang w:eastAsia="ru-RU"/>
        </w:rPr>
      </w:pPr>
    </w:p>
    <w:p w14:paraId="686B30F1" w14:textId="1C93D913" w:rsidR="00FA150E" w:rsidRPr="00FD7B0B" w:rsidRDefault="004358AF" w:rsidP="00FA150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233</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w:t>
      </w:r>
      <w:r w:rsidR="00FA150E" w:rsidRPr="00FD7B0B">
        <w:rPr>
          <w:rFonts w:ascii="Times New Roman" w:hAnsi="Times New Roman"/>
          <w:b w:val="0"/>
          <w:sz w:val="24"/>
          <w:szCs w:val="24"/>
        </w:rPr>
        <w:t>Сведения о выполнении целевых показателей ГП № 29, а также о расходах на их выполнение за 2024 г</w:t>
      </w:r>
      <w:r w:rsidRPr="00FD7B0B">
        <w:rPr>
          <w:rFonts w:ascii="Times New Roman" w:hAnsi="Times New Roman"/>
          <w:b w:val="0"/>
          <w:sz w:val="24"/>
          <w:szCs w:val="24"/>
        </w:rPr>
        <w:t>од</w:t>
      </w:r>
    </w:p>
    <w:tbl>
      <w:tblPr>
        <w:tblW w:w="9640"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716"/>
        <w:gridCol w:w="709"/>
        <w:gridCol w:w="1134"/>
        <w:gridCol w:w="1046"/>
        <w:gridCol w:w="805"/>
        <w:gridCol w:w="2245"/>
        <w:gridCol w:w="851"/>
        <w:gridCol w:w="1134"/>
      </w:tblGrid>
      <w:tr w:rsidR="00FD7B0B" w:rsidRPr="00FD7B0B" w14:paraId="76992A19" w14:textId="77777777" w:rsidTr="00742E2D">
        <w:trPr>
          <w:trHeight w:val="571"/>
        </w:trPr>
        <w:tc>
          <w:tcPr>
            <w:tcW w:w="1716" w:type="dxa"/>
            <w:vMerge w:val="restart"/>
            <w:shd w:val="clear" w:color="auto" w:fill="auto"/>
            <w:vAlign w:val="center"/>
            <w:hideMark/>
          </w:tcPr>
          <w:p w14:paraId="73418B6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Подпрограмма</w:t>
            </w:r>
          </w:p>
        </w:tc>
        <w:tc>
          <w:tcPr>
            <w:tcW w:w="2889" w:type="dxa"/>
            <w:gridSpan w:val="3"/>
            <w:shd w:val="clear" w:color="auto" w:fill="auto"/>
            <w:vAlign w:val="center"/>
            <w:hideMark/>
          </w:tcPr>
          <w:p w14:paraId="348EF1CC"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Кол-во целевых показателей </w:t>
            </w:r>
          </w:p>
          <w:p w14:paraId="6ADEFC3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на 2024 год</w:t>
            </w:r>
          </w:p>
        </w:tc>
        <w:tc>
          <w:tcPr>
            <w:tcW w:w="3050" w:type="dxa"/>
            <w:gridSpan w:val="2"/>
            <w:shd w:val="clear" w:color="auto" w:fill="auto"/>
            <w:vAlign w:val="center"/>
            <w:hideMark/>
          </w:tcPr>
          <w:p w14:paraId="077FCE43"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Объем финансирования ГП № 29 на 31.12.2024 </w:t>
            </w:r>
          </w:p>
          <w:p w14:paraId="4D189E01"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xml:space="preserve">(в ред. от 25.12.2024) </w:t>
            </w:r>
          </w:p>
        </w:tc>
        <w:tc>
          <w:tcPr>
            <w:tcW w:w="1985" w:type="dxa"/>
            <w:gridSpan w:val="2"/>
            <w:shd w:val="clear" w:color="auto" w:fill="auto"/>
            <w:vAlign w:val="center"/>
            <w:hideMark/>
          </w:tcPr>
          <w:p w14:paraId="4472790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Исполнено согласно отчету о реализации госпрограммы</w:t>
            </w:r>
          </w:p>
        </w:tc>
      </w:tr>
      <w:tr w:rsidR="00FD7B0B" w:rsidRPr="00FD7B0B" w14:paraId="028C43A9" w14:textId="77777777" w:rsidTr="00742E2D">
        <w:trPr>
          <w:trHeight w:val="371"/>
        </w:trPr>
        <w:tc>
          <w:tcPr>
            <w:tcW w:w="1716" w:type="dxa"/>
            <w:vMerge/>
            <w:vAlign w:val="center"/>
            <w:hideMark/>
          </w:tcPr>
          <w:p w14:paraId="6CF10242" w14:textId="77777777" w:rsidR="00FA150E" w:rsidRPr="00FD7B0B" w:rsidRDefault="00FA150E" w:rsidP="00FA150E">
            <w:pPr>
              <w:spacing w:after="0" w:line="240" w:lineRule="auto"/>
              <w:rPr>
                <w:rFonts w:ascii="Times New Roman" w:eastAsia="Times New Roman" w:hAnsi="Times New Roman"/>
                <w:sz w:val="16"/>
                <w:szCs w:val="16"/>
                <w:lang w:eastAsia="ru-RU"/>
              </w:rPr>
            </w:pPr>
          </w:p>
        </w:tc>
        <w:tc>
          <w:tcPr>
            <w:tcW w:w="709" w:type="dxa"/>
            <w:shd w:val="clear" w:color="auto" w:fill="auto"/>
            <w:vAlign w:val="center"/>
            <w:hideMark/>
          </w:tcPr>
          <w:p w14:paraId="74F07D8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План</w:t>
            </w:r>
          </w:p>
        </w:tc>
        <w:tc>
          <w:tcPr>
            <w:tcW w:w="1134" w:type="dxa"/>
            <w:shd w:val="clear" w:color="auto" w:fill="auto"/>
            <w:vAlign w:val="center"/>
            <w:hideMark/>
          </w:tcPr>
          <w:p w14:paraId="490BD4D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Фактическое выполнение</w:t>
            </w:r>
          </w:p>
        </w:tc>
        <w:tc>
          <w:tcPr>
            <w:tcW w:w="1046" w:type="dxa"/>
            <w:shd w:val="clear" w:color="auto" w:fill="auto"/>
            <w:vAlign w:val="center"/>
            <w:hideMark/>
          </w:tcPr>
          <w:p w14:paraId="65F13C9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выполнения</w:t>
            </w:r>
          </w:p>
        </w:tc>
        <w:tc>
          <w:tcPr>
            <w:tcW w:w="805" w:type="dxa"/>
            <w:shd w:val="clear" w:color="auto" w:fill="auto"/>
            <w:vAlign w:val="center"/>
            <w:hideMark/>
          </w:tcPr>
          <w:p w14:paraId="72AEF3DA"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млн.руб.</w:t>
            </w:r>
          </w:p>
        </w:tc>
        <w:tc>
          <w:tcPr>
            <w:tcW w:w="2245" w:type="dxa"/>
            <w:shd w:val="clear" w:color="auto" w:fill="auto"/>
            <w:vAlign w:val="center"/>
            <w:hideMark/>
          </w:tcPr>
          <w:p w14:paraId="3CCDE17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изменение к показателю на 01.01.2024, %</w:t>
            </w:r>
          </w:p>
        </w:tc>
        <w:tc>
          <w:tcPr>
            <w:tcW w:w="851" w:type="dxa"/>
            <w:shd w:val="clear" w:color="auto" w:fill="auto"/>
            <w:vAlign w:val="center"/>
            <w:hideMark/>
          </w:tcPr>
          <w:p w14:paraId="414F620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млн.руб.</w:t>
            </w:r>
          </w:p>
        </w:tc>
        <w:tc>
          <w:tcPr>
            <w:tcW w:w="1134" w:type="dxa"/>
            <w:shd w:val="clear" w:color="auto" w:fill="auto"/>
            <w:vAlign w:val="center"/>
            <w:hideMark/>
          </w:tcPr>
          <w:p w14:paraId="1D70918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 выполнения</w:t>
            </w:r>
          </w:p>
        </w:tc>
      </w:tr>
      <w:tr w:rsidR="00FD7B0B" w:rsidRPr="00FD7B0B" w14:paraId="2CA8E6BB" w14:textId="77777777" w:rsidTr="00742E2D">
        <w:trPr>
          <w:trHeight w:val="135"/>
        </w:trPr>
        <w:tc>
          <w:tcPr>
            <w:tcW w:w="1716" w:type="dxa"/>
            <w:shd w:val="clear" w:color="auto" w:fill="auto"/>
            <w:vAlign w:val="center"/>
            <w:hideMark/>
          </w:tcPr>
          <w:p w14:paraId="5A0C6CC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А</w:t>
            </w:r>
          </w:p>
        </w:tc>
        <w:tc>
          <w:tcPr>
            <w:tcW w:w="709" w:type="dxa"/>
            <w:shd w:val="clear" w:color="auto" w:fill="auto"/>
            <w:vAlign w:val="center"/>
            <w:hideMark/>
          </w:tcPr>
          <w:p w14:paraId="29B60BF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w:t>
            </w:r>
          </w:p>
        </w:tc>
        <w:tc>
          <w:tcPr>
            <w:tcW w:w="1134" w:type="dxa"/>
            <w:shd w:val="clear" w:color="auto" w:fill="auto"/>
            <w:vAlign w:val="center"/>
            <w:hideMark/>
          </w:tcPr>
          <w:p w14:paraId="47F54B35"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046" w:type="dxa"/>
            <w:shd w:val="clear" w:color="auto" w:fill="auto"/>
            <w:vAlign w:val="center"/>
            <w:hideMark/>
          </w:tcPr>
          <w:p w14:paraId="2853199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3=2/1*100</w:t>
            </w:r>
          </w:p>
        </w:tc>
        <w:tc>
          <w:tcPr>
            <w:tcW w:w="805" w:type="dxa"/>
            <w:shd w:val="clear" w:color="auto" w:fill="auto"/>
            <w:vAlign w:val="center"/>
            <w:hideMark/>
          </w:tcPr>
          <w:p w14:paraId="170A119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4</w:t>
            </w:r>
          </w:p>
        </w:tc>
        <w:tc>
          <w:tcPr>
            <w:tcW w:w="2245" w:type="dxa"/>
            <w:shd w:val="clear" w:color="auto" w:fill="auto"/>
            <w:vAlign w:val="center"/>
            <w:hideMark/>
          </w:tcPr>
          <w:p w14:paraId="7852D115"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5</w:t>
            </w:r>
          </w:p>
        </w:tc>
        <w:tc>
          <w:tcPr>
            <w:tcW w:w="851" w:type="dxa"/>
            <w:shd w:val="clear" w:color="auto" w:fill="auto"/>
            <w:vAlign w:val="center"/>
            <w:hideMark/>
          </w:tcPr>
          <w:p w14:paraId="1C2C080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6</w:t>
            </w:r>
          </w:p>
        </w:tc>
        <w:tc>
          <w:tcPr>
            <w:tcW w:w="1134" w:type="dxa"/>
            <w:shd w:val="clear" w:color="auto" w:fill="auto"/>
            <w:vAlign w:val="center"/>
            <w:hideMark/>
          </w:tcPr>
          <w:p w14:paraId="603D59BF"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w:t>
            </w:r>
          </w:p>
        </w:tc>
      </w:tr>
      <w:tr w:rsidR="00FD7B0B" w:rsidRPr="00FD7B0B" w14:paraId="03FF5533" w14:textId="77777777" w:rsidTr="00742E2D">
        <w:trPr>
          <w:trHeight w:val="223"/>
        </w:trPr>
        <w:tc>
          <w:tcPr>
            <w:tcW w:w="1716" w:type="dxa"/>
            <w:shd w:val="clear" w:color="auto" w:fill="auto"/>
            <w:vAlign w:val="center"/>
            <w:hideMark/>
          </w:tcPr>
          <w:p w14:paraId="66A84E73" w14:textId="77777777" w:rsidR="00FA150E" w:rsidRPr="00FD7B0B" w:rsidRDefault="00FA150E" w:rsidP="00FA150E">
            <w:pPr>
              <w:spacing w:after="0" w:line="240" w:lineRule="auto"/>
              <w:jc w:val="both"/>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Госпрограмма № 29</w:t>
            </w:r>
          </w:p>
        </w:tc>
        <w:tc>
          <w:tcPr>
            <w:tcW w:w="709" w:type="dxa"/>
            <w:shd w:val="clear" w:color="auto" w:fill="auto"/>
            <w:vAlign w:val="center"/>
            <w:hideMark/>
          </w:tcPr>
          <w:p w14:paraId="61D68CA8"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134" w:type="dxa"/>
            <w:shd w:val="clear" w:color="auto" w:fill="auto"/>
            <w:vAlign w:val="center"/>
            <w:hideMark/>
          </w:tcPr>
          <w:p w14:paraId="7EDF0509"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046" w:type="dxa"/>
            <w:shd w:val="clear" w:color="auto" w:fill="auto"/>
            <w:vAlign w:val="center"/>
            <w:hideMark/>
          </w:tcPr>
          <w:p w14:paraId="4CD11BB6"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c>
          <w:tcPr>
            <w:tcW w:w="805" w:type="dxa"/>
            <w:shd w:val="clear" w:color="auto" w:fill="auto"/>
            <w:vAlign w:val="center"/>
            <w:hideMark/>
          </w:tcPr>
          <w:p w14:paraId="0D20EF4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2245" w:type="dxa"/>
            <w:shd w:val="clear" w:color="auto" w:fill="auto"/>
            <w:vAlign w:val="center"/>
            <w:hideMark/>
          </w:tcPr>
          <w:p w14:paraId="43877E29"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851" w:type="dxa"/>
            <w:shd w:val="clear" w:color="auto" w:fill="auto"/>
            <w:vAlign w:val="center"/>
            <w:hideMark/>
          </w:tcPr>
          <w:p w14:paraId="3FFFB3CD"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c>
          <w:tcPr>
            <w:tcW w:w="1134" w:type="dxa"/>
            <w:shd w:val="clear" w:color="auto" w:fill="auto"/>
            <w:vAlign w:val="center"/>
            <w:hideMark/>
          </w:tcPr>
          <w:p w14:paraId="4FA18F3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w:t>
            </w:r>
          </w:p>
        </w:tc>
      </w:tr>
      <w:tr w:rsidR="00FD7B0B" w:rsidRPr="00FD7B0B" w14:paraId="70F2ECF9" w14:textId="77777777" w:rsidTr="00742E2D">
        <w:trPr>
          <w:trHeight w:val="113"/>
        </w:trPr>
        <w:tc>
          <w:tcPr>
            <w:tcW w:w="1716" w:type="dxa"/>
            <w:shd w:val="clear" w:color="auto" w:fill="auto"/>
            <w:vAlign w:val="center"/>
            <w:hideMark/>
          </w:tcPr>
          <w:p w14:paraId="75742572" w14:textId="77777777" w:rsidR="00FA150E" w:rsidRPr="00FD7B0B" w:rsidRDefault="00FA150E" w:rsidP="00FA150E">
            <w:pPr>
              <w:spacing w:after="0" w:line="240" w:lineRule="auto"/>
              <w:jc w:val="both"/>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Итого</w:t>
            </w:r>
          </w:p>
        </w:tc>
        <w:tc>
          <w:tcPr>
            <w:tcW w:w="709" w:type="dxa"/>
            <w:shd w:val="clear" w:color="auto" w:fill="auto"/>
            <w:vAlign w:val="center"/>
            <w:hideMark/>
          </w:tcPr>
          <w:p w14:paraId="03CD6ECB"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134" w:type="dxa"/>
            <w:shd w:val="clear" w:color="auto" w:fill="auto"/>
            <w:noWrap/>
            <w:vAlign w:val="center"/>
            <w:hideMark/>
          </w:tcPr>
          <w:p w14:paraId="7B201644"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2</w:t>
            </w:r>
          </w:p>
        </w:tc>
        <w:tc>
          <w:tcPr>
            <w:tcW w:w="1046" w:type="dxa"/>
            <w:shd w:val="clear" w:color="auto" w:fill="auto"/>
            <w:vAlign w:val="center"/>
            <w:hideMark/>
          </w:tcPr>
          <w:p w14:paraId="19033B92"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100,0</w:t>
            </w:r>
          </w:p>
        </w:tc>
        <w:tc>
          <w:tcPr>
            <w:tcW w:w="805" w:type="dxa"/>
            <w:shd w:val="clear" w:color="auto" w:fill="auto"/>
            <w:noWrap/>
            <w:vAlign w:val="center"/>
            <w:hideMark/>
          </w:tcPr>
          <w:p w14:paraId="2C111619"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780,3</w:t>
            </w:r>
          </w:p>
        </w:tc>
        <w:tc>
          <w:tcPr>
            <w:tcW w:w="2245" w:type="dxa"/>
            <w:shd w:val="clear" w:color="auto" w:fill="auto"/>
            <w:noWrap/>
            <w:vAlign w:val="center"/>
            <w:hideMark/>
          </w:tcPr>
          <w:p w14:paraId="2689908E"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0</w:t>
            </w:r>
          </w:p>
        </w:tc>
        <w:tc>
          <w:tcPr>
            <w:tcW w:w="851" w:type="dxa"/>
            <w:shd w:val="clear" w:color="auto" w:fill="auto"/>
            <w:noWrap/>
            <w:vAlign w:val="center"/>
            <w:hideMark/>
          </w:tcPr>
          <w:p w14:paraId="067B586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797,4</w:t>
            </w:r>
          </w:p>
        </w:tc>
        <w:tc>
          <w:tcPr>
            <w:tcW w:w="1134" w:type="dxa"/>
            <w:shd w:val="clear" w:color="auto" w:fill="auto"/>
            <w:noWrap/>
            <w:vAlign w:val="center"/>
            <w:hideMark/>
          </w:tcPr>
          <w:p w14:paraId="44FB1F77" w14:textId="77777777" w:rsidR="00FA150E" w:rsidRPr="00FD7B0B" w:rsidRDefault="00FA150E" w:rsidP="00FA150E">
            <w:pPr>
              <w:spacing w:after="0" w:line="240" w:lineRule="auto"/>
              <w:jc w:val="center"/>
              <w:rPr>
                <w:rFonts w:ascii="Times New Roman" w:eastAsia="Times New Roman" w:hAnsi="Times New Roman"/>
                <w:sz w:val="16"/>
                <w:szCs w:val="16"/>
                <w:lang w:eastAsia="ru-RU"/>
              </w:rPr>
            </w:pPr>
            <w:r w:rsidRPr="00FD7B0B">
              <w:rPr>
                <w:rFonts w:ascii="Times New Roman" w:eastAsia="Times New Roman" w:hAnsi="Times New Roman"/>
                <w:sz w:val="16"/>
                <w:szCs w:val="16"/>
                <w:lang w:eastAsia="ru-RU"/>
              </w:rPr>
              <w:t>99,9</w:t>
            </w:r>
          </w:p>
        </w:tc>
      </w:tr>
    </w:tbl>
    <w:p w14:paraId="3279F702" w14:textId="77777777" w:rsidR="00FA150E" w:rsidRPr="00FD7B0B" w:rsidRDefault="00FA150E" w:rsidP="00742E2D">
      <w:pPr>
        <w:spacing w:after="0" w:line="240" w:lineRule="auto"/>
        <w:ind w:firstLine="709"/>
        <w:contextualSpacing/>
        <w:jc w:val="both"/>
        <w:rPr>
          <w:rFonts w:ascii="Times New Roman" w:eastAsia="Times New Roman" w:hAnsi="Times New Roman"/>
          <w:sz w:val="28"/>
          <w:szCs w:val="28"/>
          <w:lang w:eastAsia="ru-RU"/>
        </w:rPr>
      </w:pPr>
    </w:p>
    <w:p w14:paraId="0C05C698" w14:textId="77777777" w:rsidR="00FA150E" w:rsidRPr="00FD7B0B" w:rsidRDefault="00FA150E" w:rsidP="00742E2D">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Плановые значения на 2024 год представлены по 2 целевым показателям, фактически выполнено на 80 % и более 2 целевых показателей.</w:t>
      </w:r>
    </w:p>
    <w:p w14:paraId="54A077E7" w14:textId="77777777" w:rsidR="00FA150E" w:rsidRPr="00FD7B0B" w:rsidRDefault="00FA150E" w:rsidP="00742E2D">
      <w:pPr>
        <w:spacing w:after="0" w:line="240" w:lineRule="auto"/>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Уровень выполнения целевых показателей в целом по ГП № 29 составил 100 % при отсутствии изменения объемов финансирования госпрограммы. При этом исполнение за счет всех источников составило 99,9 %.</w:t>
      </w:r>
    </w:p>
    <w:p w14:paraId="4477F5D0" w14:textId="77777777" w:rsidR="00742E2D" w:rsidRPr="00FD7B0B" w:rsidRDefault="00742E2D" w:rsidP="00742E2D">
      <w:pPr>
        <w:spacing w:after="0" w:line="240" w:lineRule="auto"/>
        <w:ind w:firstLine="709"/>
        <w:jc w:val="both"/>
      </w:pPr>
    </w:p>
    <w:p w14:paraId="2B24CC16" w14:textId="77777777" w:rsidR="00FA150E" w:rsidRPr="00FD7B0B" w:rsidRDefault="00FA150E" w:rsidP="00742E2D">
      <w:pPr>
        <w:spacing w:after="0" w:line="240" w:lineRule="auto"/>
        <w:contextualSpacing/>
        <w:jc w:val="center"/>
        <w:rPr>
          <w:rFonts w:ascii="Times New Roman" w:eastAsia="Times New Roman" w:hAnsi="Times New Roman"/>
          <w:b/>
          <w:sz w:val="28"/>
          <w:szCs w:val="28"/>
          <w:lang w:eastAsia="ru-RU"/>
        </w:rPr>
      </w:pPr>
      <w:r w:rsidRPr="00FD7B0B">
        <w:rPr>
          <w:rFonts w:ascii="Times New Roman" w:eastAsia="Times New Roman" w:hAnsi="Times New Roman"/>
          <w:b/>
          <w:sz w:val="28"/>
          <w:szCs w:val="28"/>
          <w:lang w:eastAsia="ru-RU"/>
        </w:rPr>
        <w:t>Оценка эффективности реализации госпрограммы по итогам</w:t>
      </w:r>
      <w:r w:rsidRPr="00FD7B0B">
        <w:rPr>
          <w:rFonts w:ascii="Times New Roman" w:eastAsia="Times New Roman" w:hAnsi="Times New Roman"/>
          <w:b/>
          <w:i/>
          <w:sz w:val="28"/>
          <w:szCs w:val="28"/>
          <w:lang w:eastAsia="ru-RU"/>
        </w:rPr>
        <w:t xml:space="preserve"> </w:t>
      </w:r>
      <w:r w:rsidRPr="00FD7B0B">
        <w:rPr>
          <w:rFonts w:ascii="Times New Roman" w:eastAsia="Times New Roman" w:hAnsi="Times New Roman"/>
          <w:b/>
          <w:sz w:val="28"/>
          <w:szCs w:val="28"/>
          <w:lang w:eastAsia="ru-RU"/>
        </w:rPr>
        <w:t>2024 года</w:t>
      </w:r>
    </w:p>
    <w:p w14:paraId="3DB62270" w14:textId="77777777" w:rsidR="00FA150E" w:rsidRPr="00FD7B0B" w:rsidRDefault="00FA150E" w:rsidP="00FA150E">
      <w:pPr>
        <w:pStyle w:val="ad"/>
        <w:ind w:firstLine="709"/>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xml:space="preserve">В соответствии с </w:t>
      </w:r>
      <w:r w:rsidRPr="00FD7B0B">
        <w:rPr>
          <w:rFonts w:ascii="Times New Roman" w:hAnsi="Times New Roman"/>
          <w:sz w:val="28"/>
          <w:szCs w:val="28"/>
          <w:lang w:eastAsia="ru-RU"/>
        </w:rPr>
        <w:t xml:space="preserve">положением о порядке проведения оценки эффективности реализации государственных программ Архангельской области и критериях такой оценки, утвержденного постановлением Правительства Архангельской области от 28.08.2023 № 793-пп </w:t>
      </w:r>
      <w:r w:rsidRPr="00FD7B0B">
        <w:rPr>
          <w:rFonts w:ascii="Times New Roman" w:eastAsia="Times New Roman" w:hAnsi="Times New Roman"/>
          <w:sz w:val="28"/>
          <w:szCs w:val="28"/>
          <w:lang w:eastAsia="ru-RU"/>
        </w:rPr>
        <w:t>значение показателя эффективности реализации ГП № 29 по итогам 2024 года составил 94,1 баллов, что свидетельствует о высокой степени эффективности реализации госпрограммы.</w:t>
      </w:r>
    </w:p>
    <w:p w14:paraId="0F53F03E" w14:textId="77777777" w:rsidR="00FA150E" w:rsidRPr="00FD7B0B" w:rsidRDefault="00FA150E" w:rsidP="00E957D4">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Показатель оценки качества планирования и управления реализацией государственной программы по итогам отчетного года составил 74,5 баллов, что свидетельствует об удовлетворительном качестве.</w:t>
      </w:r>
    </w:p>
    <w:p w14:paraId="22342DED" w14:textId="77777777" w:rsidR="00FA150E" w:rsidRPr="00FD7B0B" w:rsidRDefault="00FA150E" w:rsidP="00E957D4">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Показатели обусловлены следующими факторами:</w:t>
      </w:r>
    </w:p>
    <w:p w14:paraId="46D2A7CD" w14:textId="77777777" w:rsidR="00FA150E" w:rsidRPr="00FD7B0B" w:rsidRDefault="00FA150E" w:rsidP="00E957D4">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несоблюдение сроков приведения госпрограммы в соответствие с областным законом об областном бюджете;</w:t>
      </w:r>
    </w:p>
    <w:p w14:paraId="1A7C40FC" w14:textId="77777777" w:rsidR="00FA150E" w:rsidRPr="00FD7B0B" w:rsidRDefault="00FA150E" w:rsidP="00E957D4">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отчетная информация первоначально не содержала полного объема сведений, что затруднило объективную оценку хода выполнения госпрограммы;</w:t>
      </w:r>
    </w:p>
    <w:p w14:paraId="2BD5D166" w14:textId="77777777" w:rsidR="00FA150E" w:rsidRPr="00FD7B0B" w:rsidRDefault="00FA150E" w:rsidP="00E957D4">
      <w:pPr>
        <w:spacing w:after="0" w:line="240" w:lineRule="auto"/>
        <w:ind w:firstLine="709"/>
        <w:contextualSpacing/>
        <w:jc w:val="both"/>
        <w:rPr>
          <w:rFonts w:ascii="Times New Roman" w:eastAsia="Times New Roman" w:hAnsi="Times New Roman"/>
          <w:sz w:val="28"/>
          <w:szCs w:val="28"/>
          <w:lang w:eastAsia="ru-RU"/>
        </w:rPr>
      </w:pPr>
      <w:r w:rsidRPr="00FD7B0B">
        <w:rPr>
          <w:rFonts w:ascii="Times New Roman" w:eastAsia="Times New Roman" w:hAnsi="Times New Roman"/>
          <w:sz w:val="28"/>
          <w:szCs w:val="28"/>
          <w:lang w:eastAsia="ru-RU"/>
        </w:rPr>
        <w:t>- неполное наличие актуальной информации о реализации госпрограммы на официальном сайте Правительства Архангельской области.</w:t>
      </w:r>
    </w:p>
    <w:p w14:paraId="3FA04497" w14:textId="7F357E2E" w:rsidR="00971EC6" w:rsidRPr="00FD7B0B" w:rsidRDefault="009B516C" w:rsidP="00971EC6">
      <w:pPr>
        <w:pStyle w:val="2"/>
        <w:spacing w:line="240" w:lineRule="auto"/>
        <w:jc w:val="center"/>
        <w:rPr>
          <w:rFonts w:ascii="Times New Roman" w:hAnsi="Times New Roman"/>
          <w:lang w:val="ru-RU"/>
        </w:rPr>
      </w:pPr>
      <w:bookmarkStart w:id="148" w:name="_3.5._Анализ_реализации_1"/>
      <w:bookmarkStart w:id="149" w:name="_Toc198819151"/>
      <w:bookmarkEnd w:id="148"/>
      <w:r w:rsidRPr="00FD7B0B">
        <w:rPr>
          <w:rFonts w:ascii="Times New Roman" w:hAnsi="Times New Roman"/>
          <w:lang w:val="ru-RU"/>
        </w:rPr>
        <w:t>4</w:t>
      </w:r>
      <w:r w:rsidR="00971EC6" w:rsidRPr="00FD7B0B">
        <w:rPr>
          <w:rFonts w:ascii="Times New Roman" w:hAnsi="Times New Roman"/>
          <w:lang w:val="ru-RU"/>
        </w:rPr>
        <w:t>.</w:t>
      </w:r>
      <w:r w:rsidR="00671A9D" w:rsidRPr="00FD7B0B">
        <w:rPr>
          <w:rFonts w:ascii="Times New Roman" w:hAnsi="Times New Roman"/>
          <w:lang w:val="ru-RU"/>
        </w:rPr>
        <w:t>4</w:t>
      </w:r>
      <w:r w:rsidR="00971EC6" w:rsidRPr="00FD7B0B">
        <w:rPr>
          <w:rFonts w:ascii="Times New Roman" w:hAnsi="Times New Roman"/>
          <w:lang w:val="ru-RU"/>
        </w:rPr>
        <w:t xml:space="preserve">. </w:t>
      </w:r>
      <w:r w:rsidR="00082A52" w:rsidRPr="00FD7B0B">
        <w:rPr>
          <w:rFonts w:ascii="Times New Roman" w:hAnsi="Times New Roman"/>
          <w:lang w:val="ru-RU"/>
        </w:rPr>
        <w:t>Расходы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w:t>
      </w:r>
      <w:bookmarkEnd w:id="149"/>
    </w:p>
    <w:p w14:paraId="535F0955" w14:textId="57EE3478" w:rsidR="00082A52" w:rsidRPr="00FD7B0B" w:rsidRDefault="00082A52" w:rsidP="00082A52">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Уточненной бюджетной росписью областного бюджета на 2024 год (на 31.12.2024) </w:t>
      </w:r>
      <w:r w:rsidR="00C51458" w:rsidRPr="00FD7B0B">
        <w:rPr>
          <w:rFonts w:ascii="Times New Roman" w:hAnsi="Times New Roman" w:cs="Times New Roman"/>
          <w:sz w:val="28"/>
          <w:szCs w:val="28"/>
        </w:rPr>
        <w:t>ассигнования</w:t>
      </w:r>
      <w:r w:rsidRPr="00FD7B0B">
        <w:rPr>
          <w:rFonts w:ascii="Times New Roman" w:hAnsi="Times New Roman" w:cs="Times New Roman"/>
          <w:sz w:val="28"/>
          <w:szCs w:val="28"/>
        </w:rPr>
        <w:t xml:space="preserve"> на осуществление капитальных вложений и другие бюджетные инвестиции (без учета взноса в уставные капиталы по элементам видов расходов 451 и 452), включая мероприятия в рамках концессионных соглашений, утверждены в общей сумме 13 475,4 млн.руб., что составляет 8,7 % от общей суммы </w:t>
      </w:r>
      <w:r w:rsidR="00C51458" w:rsidRPr="00FD7B0B">
        <w:rPr>
          <w:rFonts w:ascii="Times New Roman" w:hAnsi="Times New Roman" w:cs="Times New Roman"/>
          <w:sz w:val="28"/>
          <w:szCs w:val="28"/>
        </w:rPr>
        <w:t>бюджетных ассигнований</w:t>
      </w:r>
      <w:r w:rsidRPr="00FD7B0B">
        <w:rPr>
          <w:rFonts w:ascii="Times New Roman" w:hAnsi="Times New Roman" w:cs="Times New Roman"/>
          <w:sz w:val="28"/>
          <w:szCs w:val="28"/>
        </w:rPr>
        <w:t xml:space="preserve"> областного бюджета на указанный период.</w:t>
      </w:r>
    </w:p>
    <w:p w14:paraId="7FF5F531" w14:textId="772468C3" w:rsidR="00082A52" w:rsidRPr="00FD7B0B" w:rsidRDefault="00082A52" w:rsidP="00C51458">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Из обозначенной суммы расходы в рамках реализации мероприятий областной адресной инвестиционной программой (далее – ОАИП) на 2024 год утверждены в сумме 7 932,5 млн.руб., что составляет 58,9 % от общей суммы инвестиций из областного бюджета, а в рамках концессионных соглашений – 1 648,0 млн.руб. или 12,2 %.</w:t>
      </w:r>
    </w:p>
    <w:p w14:paraId="19CC478C" w14:textId="77777777" w:rsidR="00082A52" w:rsidRPr="00FD7B0B" w:rsidRDefault="00082A52" w:rsidP="00C51458">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Расходы областного бюджета за 2024 год по указанным выше инвестиционным направлениям составили 12 442,1 млн.руб. или 92,3 % к плану года, а их удельный вес в общей сумме расходов из областного бюджета составил 8,1 %, из них расходы в рамках ОАИП – 6 912,0 млн.руб. (87,1 % к плану года), в рамках заключенных концессионных соглашений – 1 648,0 млн.руб. (100 % к плану года).</w:t>
      </w:r>
    </w:p>
    <w:p w14:paraId="38C3E078" w14:textId="77777777" w:rsidR="00082A52" w:rsidRPr="00FD7B0B" w:rsidRDefault="00082A52" w:rsidP="00557A10">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В 2024 году наибольшие суммы из областного бюджета в виде бюджетных инвестиций направлены на жилищно-коммунальное хозяйство (48,3 %) и на образование (23,2 %), что в совокупности составило 71,5 % от общей суммы инвестиционных расходов.</w:t>
      </w:r>
    </w:p>
    <w:p w14:paraId="4D872B2B" w14:textId="4CB1E5BD" w:rsidR="00082A52" w:rsidRPr="00FD7B0B" w:rsidRDefault="00082A52" w:rsidP="00557A10">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lastRenderedPageBreak/>
        <w:t xml:space="preserve">В таблице </w:t>
      </w:r>
      <w:r w:rsidR="00CA2A49" w:rsidRPr="00FD7B0B">
        <w:rPr>
          <w:rFonts w:ascii="Times New Roman" w:hAnsi="Times New Roman" w:cs="Times New Roman"/>
          <w:sz w:val="28"/>
          <w:szCs w:val="28"/>
        </w:rPr>
        <w:t>234</w:t>
      </w:r>
      <w:r w:rsidRPr="00FD7B0B">
        <w:rPr>
          <w:rFonts w:ascii="Times New Roman" w:hAnsi="Times New Roman" w:cs="Times New Roman"/>
          <w:sz w:val="28"/>
          <w:szCs w:val="28"/>
        </w:rPr>
        <w:t xml:space="preserve"> представлены сведения о расходах областного бюджета по инвестиционным направлениям за 2024 год по подразделам бюджетной классификации РФ.</w:t>
      </w:r>
    </w:p>
    <w:p w14:paraId="558FE6B6" w14:textId="77777777" w:rsidR="00082A52" w:rsidRPr="00FD7B0B" w:rsidRDefault="00082A52" w:rsidP="00557A10">
      <w:pPr>
        <w:keepNext/>
        <w:spacing w:after="0" w:line="240" w:lineRule="auto"/>
        <w:rPr>
          <w:rFonts w:ascii="Times New Roman" w:eastAsia="Calibri" w:hAnsi="Times New Roman" w:cs="Times New Roman"/>
          <w:bCs/>
          <w:sz w:val="24"/>
          <w:szCs w:val="24"/>
        </w:rPr>
      </w:pPr>
    </w:p>
    <w:p w14:paraId="0C92C902" w14:textId="77777777" w:rsidR="00082A52" w:rsidRPr="00FD7B0B" w:rsidRDefault="00082A52" w:rsidP="00557A10">
      <w:pPr>
        <w:keepNext/>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234</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по подразделам бюджетной классификации РФ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за 2024 год, в млн.руб.</w:t>
      </w:r>
    </w:p>
    <w:tbl>
      <w:tblPr>
        <w:tblW w:w="9724" w:type="dxa"/>
        <w:tblLook w:val="04A0" w:firstRow="1" w:lastRow="0" w:firstColumn="1" w:lastColumn="0" w:noHBand="0" w:noVBand="1"/>
      </w:tblPr>
      <w:tblGrid>
        <w:gridCol w:w="6975"/>
        <w:gridCol w:w="1046"/>
        <w:gridCol w:w="992"/>
        <w:gridCol w:w="711"/>
      </w:tblGrid>
      <w:tr w:rsidR="00FD7B0B" w:rsidRPr="00FD7B0B" w14:paraId="1F2E19D4" w14:textId="77777777" w:rsidTr="00082A52">
        <w:trPr>
          <w:trHeight w:val="525"/>
          <w:tblHeader/>
        </w:trPr>
        <w:tc>
          <w:tcPr>
            <w:tcW w:w="697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63612FC" w14:textId="77777777" w:rsidR="00082A52" w:rsidRPr="00FD7B0B" w:rsidRDefault="00082A52" w:rsidP="00557A10">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1046" w:type="dxa"/>
            <w:tcBorders>
              <w:top w:val="double" w:sz="6" w:space="0" w:color="auto"/>
              <w:left w:val="nil"/>
              <w:bottom w:val="single" w:sz="4" w:space="0" w:color="auto"/>
              <w:right w:val="single" w:sz="4" w:space="0" w:color="auto"/>
            </w:tcBorders>
            <w:shd w:val="clear" w:color="auto" w:fill="auto"/>
            <w:vAlign w:val="center"/>
            <w:hideMark/>
          </w:tcPr>
          <w:p w14:paraId="138355C5" w14:textId="77777777" w:rsidR="00082A52" w:rsidRPr="00FD7B0B" w:rsidRDefault="00082A52" w:rsidP="00557A10">
            <w:pPr>
              <w:spacing w:after="0" w:line="240" w:lineRule="auto"/>
              <w:jc w:val="center"/>
              <w:rPr>
                <w:rFonts w:ascii="Times New Roman" w:hAnsi="Times New Roman" w:cs="Times New Roman"/>
              </w:rPr>
            </w:pPr>
            <w:r w:rsidRPr="00FD7B0B">
              <w:rPr>
                <w:rFonts w:ascii="Times New Roman" w:hAnsi="Times New Roman" w:cs="Times New Roman"/>
              </w:rPr>
              <w:t>Утвер-ждено</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307E22BC" w14:textId="77777777" w:rsidR="00082A52" w:rsidRPr="00FD7B0B" w:rsidRDefault="00082A52" w:rsidP="00557A10">
            <w:pPr>
              <w:spacing w:after="0" w:line="240" w:lineRule="auto"/>
              <w:jc w:val="center"/>
              <w:rPr>
                <w:rFonts w:ascii="Times New Roman" w:hAnsi="Times New Roman" w:cs="Times New Roman"/>
              </w:rPr>
            </w:pPr>
            <w:r w:rsidRPr="00FD7B0B">
              <w:rPr>
                <w:rFonts w:ascii="Times New Roman" w:hAnsi="Times New Roman" w:cs="Times New Roman"/>
              </w:rPr>
              <w:t>Испол-нено</w:t>
            </w:r>
          </w:p>
        </w:tc>
        <w:tc>
          <w:tcPr>
            <w:tcW w:w="709" w:type="dxa"/>
            <w:tcBorders>
              <w:top w:val="double" w:sz="6" w:space="0" w:color="auto"/>
              <w:left w:val="nil"/>
              <w:bottom w:val="single" w:sz="4" w:space="0" w:color="auto"/>
              <w:right w:val="double" w:sz="6" w:space="0" w:color="auto"/>
            </w:tcBorders>
            <w:shd w:val="clear" w:color="auto" w:fill="auto"/>
            <w:vAlign w:val="center"/>
            <w:hideMark/>
          </w:tcPr>
          <w:p w14:paraId="72075AAA" w14:textId="77777777" w:rsidR="00082A52" w:rsidRPr="00FD7B0B" w:rsidRDefault="00082A52" w:rsidP="00557A10">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108CE7C3"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46A1AD69"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Другие общегосударственные вопросы</w:t>
            </w:r>
          </w:p>
        </w:tc>
        <w:tc>
          <w:tcPr>
            <w:tcW w:w="1046" w:type="dxa"/>
            <w:tcBorders>
              <w:top w:val="nil"/>
              <w:left w:val="nil"/>
              <w:bottom w:val="single" w:sz="4" w:space="0" w:color="auto"/>
              <w:right w:val="single" w:sz="4" w:space="0" w:color="auto"/>
            </w:tcBorders>
            <w:shd w:val="clear" w:color="auto" w:fill="auto"/>
            <w:vAlign w:val="center"/>
            <w:hideMark/>
          </w:tcPr>
          <w:p w14:paraId="4386755A"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156,8 </w:t>
            </w:r>
          </w:p>
        </w:tc>
        <w:tc>
          <w:tcPr>
            <w:tcW w:w="992" w:type="dxa"/>
            <w:tcBorders>
              <w:top w:val="nil"/>
              <w:left w:val="nil"/>
              <w:bottom w:val="single" w:sz="4" w:space="0" w:color="auto"/>
              <w:right w:val="single" w:sz="4" w:space="0" w:color="auto"/>
            </w:tcBorders>
            <w:shd w:val="clear" w:color="auto" w:fill="auto"/>
            <w:vAlign w:val="center"/>
            <w:hideMark/>
          </w:tcPr>
          <w:p w14:paraId="1850E03B"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155,4 </w:t>
            </w:r>
          </w:p>
        </w:tc>
        <w:tc>
          <w:tcPr>
            <w:tcW w:w="709" w:type="dxa"/>
            <w:tcBorders>
              <w:top w:val="nil"/>
              <w:left w:val="nil"/>
              <w:bottom w:val="single" w:sz="4" w:space="0" w:color="auto"/>
              <w:right w:val="double" w:sz="6" w:space="0" w:color="auto"/>
            </w:tcBorders>
            <w:shd w:val="clear" w:color="auto" w:fill="auto"/>
            <w:vAlign w:val="center"/>
            <w:hideMark/>
          </w:tcPr>
          <w:p w14:paraId="71B6E570"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99,1 </w:t>
            </w:r>
          </w:p>
        </w:tc>
      </w:tr>
      <w:tr w:rsidR="00FD7B0B" w:rsidRPr="00FD7B0B" w14:paraId="0A505519"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08A3D0E0"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Защита населения и территории от чрезвычайных ситуаций природного и техногенного характера, пожарная безопасность</w:t>
            </w:r>
          </w:p>
        </w:tc>
        <w:tc>
          <w:tcPr>
            <w:tcW w:w="1046" w:type="dxa"/>
            <w:tcBorders>
              <w:top w:val="nil"/>
              <w:left w:val="nil"/>
              <w:bottom w:val="single" w:sz="4" w:space="0" w:color="auto"/>
              <w:right w:val="single" w:sz="4" w:space="0" w:color="auto"/>
            </w:tcBorders>
            <w:shd w:val="clear" w:color="auto" w:fill="auto"/>
            <w:vAlign w:val="center"/>
            <w:hideMark/>
          </w:tcPr>
          <w:p w14:paraId="0F90DB39"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7,8 </w:t>
            </w:r>
          </w:p>
        </w:tc>
        <w:tc>
          <w:tcPr>
            <w:tcW w:w="992" w:type="dxa"/>
            <w:tcBorders>
              <w:top w:val="nil"/>
              <w:left w:val="nil"/>
              <w:bottom w:val="single" w:sz="4" w:space="0" w:color="auto"/>
              <w:right w:val="single" w:sz="4" w:space="0" w:color="auto"/>
            </w:tcBorders>
            <w:shd w:val="clear" w:color="auto" w:fill="auto"/>
            <w:vAlign w:val="center"/>
            <w:hideMark/>
          </w:tcPr>
          <w:p w14:paraId="4336D5E0"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7,8 </w:t>
            </w:r>
          </w:p>
        </w:tc>
        <w:tc>
          <w:tcPr>
            <w:tcW w:w="709" w:type="dxa"/>
            <w:tcBorders>
              <w:top w:val="nil"/>
              <w:left w:val="nil"/>
              <w:bottom w:val="single" w:sz="4" w:space="0" w:color="auto"/>
              <w:right w:val="double" w:sz="6" w:space="0" w:color="auto"/>
            </w:tcBorders>
            <w:shd w:val="clear" w:color="auto" w:fill="auto"/>
            <w:vAlign w:val="center"/>
            <w:hideMark/>
          </w:tcPr>
          <w:p w14:paraId="29B7C6BF"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685ADE57"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46DD4D0A"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Общеэкономические вопросы</w:t>
            </w:r>
          </w:p>
        </w:tc>
        <w:tc>
          <w:tcPr>
            <w:tcW w:w="1046" w:type="dxa"/>
            <w:tcBorders>
              <w:top w:val="nil"/>
              <w:left w:val="nil"/>
              <w:bottom w:val="single" w:sz="4" w:space="0" w:color="auto"/>
              <w:right w:val="single" w:sz="4" w:space="0" w:color="auto"/>
            </w:tcBorders>
            <w:shd w:val="clear" w:color="auto" w:fill="auto"/>
            <w:vAlign w:val="center"/>
            <w:hideMark/>
          </w:tcPr>
          <w:p w14:paraId="32E151E0"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41,5 </w:t>
            </w:r>
          </w:p>
        </w:tc>
        <w:tc>
          <w:tcPr>
            <w:tcW w:w="992" w:type="dxa"/>
            <w:tcBorders>
              <w:top w:val="nil"/>
              <w:left w:val="nil"/>
              <w:bottom w:val="single" w:sz="4" w:space="0" w:color="auto"/>
              <w:right w:val="single" w:sz="4" w:space="0" w:color="auto"/>
            </w:tcBorders>
            <w:shd w:val="clear" w:color="auto" w:fill="auto"/>
            <w:vAlign w:val="center"/>
            <w:hideMark/>
          </w:tcPr>
          <w:p w14:paraId="090EBEAB"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41,5 </w:t>
            </w:r>
          </w:p>
        </w:tc>
        <w:tc>
          <w:tcPr>
            <w:tcW w:w="709" w:type="dxa"/>
            <w:tcBorders>
              <w:top w:val="nil"/>
              <w:left w:val="nil"/>
              <w:bottom w:val="single" w:sz="4" w:space="0" w:color="auto"/>
              <w:right w:val="double" w:sz="6" w:space="0" w:color="auto"/>
            </w:tcBorders>
            <w:shd w:val="clear" w:color="auto" w:fill="auto"/>
            <w:vAlign w:val="center"/>
            <w:hideMark/>
          </w:tcPr>
          <w:p w14:paraId="15B553C1"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1D3D1819"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01109789"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Лесное хозяйство</w:t>
            </w:r>
          </w:p>
        </w:tc>
        <w:tc>
          <w:tcPr>
            <w:tcW w:w="1046" w:type="dxa"/>
            <w:tcBorders>
              <w:top w:val="nil"/>
              <w:left w:val="nil"/>
              <w:bottom w:val="single" w:sz="4" w:space="0" w:color="auto"/>
              <w:right w:val="single" w:sz="4" w:space="0" w:color="auto"/>
            </w:tcBorders>
            <w:shd w:val="clear" w:color="auto" w:fill="auto"/>
            <w:vAlign w:val="center"/>
            <w:hideMark/>
          </w:tcPr>
          <w:p w14:paraId="749213C5"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110,6 </w:t>
            </w:r>
          </w:p>
        </w:tc>
        <w:tc>
          <w:tcPr>
            <w:tcW w:w="992" w:type="dxa"/>
            <w:tcBorders>
              <w:top w:val="nil"/>
              <w:left w:val="nil"/>
              <w:bottom w:val="single" w:sz="4" w:space="0" w:color="auto"/>
              <w:right w:val="single" w:sz="4" w:space="0" w:color="auto"/>
            </w:tcBorders>
            <w:shd w:val="clear" w:color="auto" w:fill="auto"/>
            <w:vAlign w:val="center"/>
            <w:hideMark/>
          </w:tcPr>
          <w:p w14:paraId="230D64D4"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110,6 </w:t>
            </w:r>
          </w:p>
        </w:tc>
        <w:tc>
          <w:tcPr>
            <w:tcW w:w="709" w:type="dxa"/>
            <w:tcBorders>
              <w:top w:val="nil"/>
              <w:left w:val="nil"/>
              <w:bottom w:val="single" w:sz="4" w:space="0" w:color="auto"/>
              <w:right w:val="double" w:sz="6" w:space="0" w:color="auto"/>
            </w:tcBorders>
            <w:shd w:val="clear" w:color="auto" w:fill="auto"/>
            <w:vAlign w:val="center"/>
            <w:hideMark/>
          </w:tcPr>
          <w:p w14:paraId="53E1EC8F"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3F2DA2A9"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4BD22B02"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Дорожное хозяйство (дорожные фонды)</w:t>
            </w:r>
          </w:p>
        </w:tc>
        <w:tc>
          <w:tcPr>
            <w:tcW w:w="1046" w:type="dxa"/>
            <w:tcBorders>
              <w:top w:val="nil"/>
              <w:left w:val="nil"/>
              <w:bottom w:val="single" w:sz="4" w:space="0" w:color="auto"/>
              <w:right w:val="single" w:sz="4" w:space="0" w:color="auto"/>
            </w:tcBorders>
            <w:shd w:val="clear" w:color="auto" w:fill="auto"/>
            <w:vAlign w:val="center"/>
            <w:hideMark/>
          </w:tcPr>
          <w:p w14:paraId="58C8C0D8"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925,0 </w:t>
            </w:r>
          </w:p>
        </w:tc>
        <w:tc>
          <w:tcPr>
            <w:tcW w:w="992" w:type="dxa"/>
            <w:tcBorders>
              <w:top w:val="nil"/>
              <w:left w:val="nil"/>
              <w:bottom w:val="single" w:sz="4" w:space="0" w:color="auto"/>
              <w:right w:val="single" w:sz="4" w:space="0" w:color="auto"/>
            </w:tcBorders>
            <w:shd w:val="clear" w:color="auto" w:fill="auto"/>
            <w:vAlign w:val="center"/>
            <w:hideMark/>
          </w:tcPr>
          <w:p w14:paraId="289B057F"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916,9 </w:t>
            </w:r>
          </w:p>
        </w:tc>
        <w:tc>
          <w:tcPr>
            <w:tcW w:w="709" w:type="dxa"/>
            <w:tcBorders>
              <w:top w:val="nil"/>
              <w:left w:val="nil"/>
              <w:bottom w:val="single" w:sz="4" w:space="0" w:color="auto"/>
              <w:right w:val="double" w:sz="6" w:space="0" w:color="auto"/>
            </w:tcBorders>
            <w:shd w:val="clear" w:color="auto" w:fill="auto"/>
            <w:vAlign w:val="center"/>
            <w:hideMark/>
          </w:tcPr>
          <w:p w14:paraId="5E2EA99C"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99,1 </w:t>
            </w:r>
          </w:p>
        </w:tc>
      </w:tr>
      <w:tr w:rsidR="00FD7B0B" w:rsidRPr="00FD7B0B" w14:paraId="6A8DCF5A"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54C5F0D4"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Связь и информатика</w:t>
            </w:r>
          </w:p>
        </w:tc>
        <w:tc>
          <w:tcPr>
            <w:tcW w:w="1046" w:type="dxa"/>
            <w:tcBorders>
              <w:top w:val="nil"/>
              <w:left w:val="nil"/>
              <w:bottom w:val="single" w:sz="4" w:space="0" w:color="auto"/>
              <w:right w:val="single" w:sz="4" w:space="0" w:color="auto"/>
            </w:tcBorders>
            <w:shd w:val="clear" w:color="auto" w:fill="auto"/>
            <w:vAlign w:val="center"/>
            <w:hideMark/>
          </w:tcPr>
          <w:p w14:paraId="48B4E123"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992" w:type="dxa"/>
            <w:tcBorders>
              <w:top w:val="nil"/>
              <w:left w:val="nil"/>
              <w:bottom w:val="single" w:sz="4" w:space="0" w:color="auto"/>
              <w:right w:val="single" w:sz="4" w:space="0" w:color="auto"/>
            </w:tcBorders>
            <w:shd w:val="clear" w:color="auto" w:fill="auto"/>
            <w:vAlign w:val="center"/>
            <w:hideMark/>
          </w:tcPr>
          <w:p w14:paraId="5E2DD9AC"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709" w:type="dxa"/>
            <w:tcBorders>
              <w:top w:val="nil"/>
              <w:left w:val="nil"/>
              <w:bottom w:val="single" w:sz="4" w:space="0" w:color="auto"/>
              <w:right w:val="double" w:sz="6" w:space="0" w:color="auto"/>
            </w:tcBorders>
            <w:shd w:val="clear" w:color="auto" w:fill="auto"/>
            <w:vAlign w:val="center"/>
            <w:hideMark/>
          </w:tcPr>
          <w:p w14:paraId="20049326"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100,0</w:t>
            </w:r>
          </w:p>
        </w:tc>
      </w:tr>
      <w:tr w:rsidR="00FD7B0B" w:rsidRPr="00FD7B0B" w14:paraId="5DF7AAD3"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5D589286"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Другие вопросы в области национальной экономики</w:t>
            </w:r>
          </w:p>
        </w:tc>
        <w:tc>
          <w:tcPr>
            <w:tcW w:w="1046" w:type="dxa"/>
            <w:tcBorders>
              <w:top w:val="nil"/>
              <w:left w:val="nil"/>
              <w:bottom w:val="single" w:sz="4" w:space="0" w:color="auto"/>
              <w:right w:val="single" w:sz="4" w:space="0" w:color="auto"/>
            </w:tcBorders>
            <w:shd w:val="clear" w:color="auto" w:fill="auto"/>
            <w:vAlign w:val="center"/>
            <w:hideMark/>
          </w:tcPr>
          <w:p w14:paraId="29FA0EED"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454,7 </w:t>
            </w:r>
          </w:p>
        </w:tc>
        <w:tc>
          <w:tcPr>
            <w:tcW w:w="992" w:type="dxa"/>
            <w:tcBorders>
              <w:top w:val="nil"/>
              <w:left w:val="nil"/>
              <w:bottom w:val="single" w:sz="4" w:space="0" w:color="auto"/>
              <w:right w:val="single" w:sz="4" w:space="0" w:color="auto"/>
            </w:tcBorders>
            <w:shd w:val="clear" w:color="auto" w:fill="auto"/>
            <w:vAlign w:val="center"/>
            <w:hideMark/>
          </w:tcPr>
          <w:p w14:paraId="791B5151"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454,7 </w:t>
            </w:r>
          </w:p>
        </w:tc>
        <w:tc>
          <w:tcPr>
            <w:tcW w:w="709" w:type="dxa"/>
            <w:tcBorders>
              <w:top w:val="nil"/>
              <w:left w:val="nil"/>
              <w:bottom w:val="single" w:sz="4" w:space="0" w:color="auto"/>
              <w:right w:val="double" w:sz="6" w:space="0" w:color="auto"/>
            </w:tcBorders>
            <w:shd w:val="clear" w:color="auto" w:fill="auto"/>
            <w:vAlign w:val="center"/>
            <w:hideMark/>
          </w:tcPr>
          <w:p w14:paraId="280B8B9C"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3566E9CE"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0161419D"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 xml:space="preserve"> - из них в рамках концессионного соглашения (кампус "Арктическая звезда")</w:t>
            </w:r>
          </w:p>
        </w:tc>
        <w:tc>
          <w:tcPr>
            <w:tcW w:w="1046" w:type="dxa"/>
            <w:tcBorders>
              <w:top w:val="nil"/>
              <w:left w:val="nil"/>
              <w:bottom w:val="single" w:sz="4" w:space="0" w:color="auto"/>
              <w:right w:val="single" w:sz="4" w:space="0" w:color="auto"/>
            </w:tcBorders>
            <w:shd w:val="clear" w:color="auto" w:fill="auto"/>
            <w:vAlign w:val="center"/>
            <w:hideMark/>
          </w:tcPr>
          <w:p w14:paraId="0B1ED92A"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450,0 </w:t>
            </w:r>
          </w:p>
        </w:tc>
        <w:tc>
          <w:tcPr>
            <w:tcW w:w="992" w:type="dxa"/>
            <w:tcBorders>
              <w:top w:val="nil"/>
              <w:left w:val="nil"/>
              <w:bottom w:val="single" w:sz="4" w:space="0" w:color="auto"/>
              <w:right w:val="single" w:sz="4" w:space="0" w:color="auto"/>
            </w:tcBorders>
            <w:shd w:val="clear" w:color="auto" w:fill="auto"/>
            <w:vAlign w:val="center"/>
            <w:hideMark/>
          </w:tcPr>
          <w:p w14:paraId="397DCB6B"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450,0 </w:t>
            </w:r>
          </w:p>
        </w:tc>
        <w:tc>
          <w:tcPr>
            <w:tcW w:w="709" w:type="dxa"/>
            <w:tcBorders>
              <w:top w:val="nil"/>
              <w:left w:val="nil"/>
              <w:bottom w:val="single" w:sz="4" w:space="0" w:color="auto"/>
              <w:right w:val="double" w:sz="6" w:space="0" w:color="auto"/>
            </w:tcBorders>
            <w:shd w:val="clear" w:color="auto" w:fill="auto"/>
            <w:vAlign w:val="center"/>
            <w:hideMark/>
          </w:tcPr>
          <w:p w14:paraId="29F19ED4"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44F1EEAD"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482465EB"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Жилищное хозяйство</w:t>
            </w:r>
          </w:p>
        </w:tc>
        <w:tc>
          <w:tcPr>
            <w:tcW w:w="1046" w:type="dxa"/>
            <w:tcBorders>
              <w:top w:val="nil"/>
              <w:left w:val="nil"/>
              <w:bottom w:val="single" w:sz="4" w:space="0" w:color="auto"/>
              <w:right w:val="single" w:sz="4" w:space="0" w:color="auto"/>
            </w:tcBorders>
            <w:shd w:val="clear" w:color="auto" w:fill="auto"/>
            <w:vAlign w:val="center"/>
            <w:hideMark/>
          </w:tcPr>
          <w:p w14:paraId="3766B94B"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3 729,8 </w:t>
            </w:r>
          </w:p>
        </w:tc>
        <w:tc>
          <w:tcPr>
            <w:tcW w:w="992" w:type="dxa"/>
            <w:tcBorders>
              <w:top w:val="nil"/>
              <w:left w:val="nil"/>
              <w:bottom w:val="single" w:sz="4" w:space="0" w:color="auto"/>
              <w:right w:val="single" w:sz="4" w:space="0" w:color="auto"/>
            </w:tcBorders>
            <w:shd w:val="clear" w:color="auto" w:fill="auto"/>
            <w:vAlign w:val="center"/>
            <w:hideMark/>
          </w:tcPr>
          <w:p w14:paraId="7ADF52AD"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3 716,2 </w:t>
            </w:r>
          </w:p>
        </w:tc>
        <w:tc>
          <w:tcPr>
            <w:tcW w:w="709" w:type="dxa"/>
            <w:tcBorders>
              <w:top w:val="nil"/>
              <w:left w:val="nil"/>
              <w:bottom w:val="single" w:sz="4" w:space="0" w:color="auto"/>
              <w:right w:val="double" w:sz="6" w:space="0" w:color="auto"/>
            </w:tcBorders>
            <w:shd w:val="clear" w:color="auto" w:fill="auto"/>
            <w:vAlign w:val="center"/>
            <w:hideMark/>
          </w:tcPr>
          <w:p w14:paraId="6473AE48"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99,6 </w:t>
            </w:r>
          </w:p>
        </w:tc>
      </w:tr>
      <w:tr w:rsidR="00FD7B0B" w:rsidRPr="00FD7B0B" w14:paraId="45EC2C42"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105E399E"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Коммунальное хозяйство</w:t>
            </w:r>
          </w:p>
        </w:tc>
        <w:tc>
          <w:tcPr>
            <w:tcW w:w="1046" w:type="dxa"/>
            <w:tcBorders>
              <w:top w:val="nil"/>
              <w:left w:val="nil"/>
              <w:bottom w:val="single" w:sz="4" w:space="0" w:color="auto"/>
              <w:right w:val="single" w:sz="4" w:space="0" w:color="auto"/>
            </w:tcBorders>
            <w:shd w:val="clear" w:color="auto" w:fill="auto"/>
            <w:vAlign w:val="center"/>
            <w:hideMark/>
          </w:tcPr>
          <w:p w14:paraId="09D522EA"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2 490,6 </w:t>
            </w:r>
          </w:p>
        </w:tc>
        <w:tc>
          <w:tcPr>
            <w:tcW w:w="992" w:type="dxa"/>
            <w:tcBorders>
              <w:top w:val="nil"/>
              <w:left w:val="nil"/>
              <w:bottom w:val="single" w:sz="4" w:space="0" w:color="auto"/>
              <w:right w:val="single" w:sz="4" w:space="0" w:color="auto"/>
            </w:tcBorders>
            <w:shd w:val="clear" w:color="auto" w:fill="auto"/>
            <w:vAlign w:val="center"/>
            <w:hideMark/>
          </w:tcPr>
          <w:p w14:paraId="50A92D8B"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1 497,7 </w:t>
            </w:r>
          </w:p>
        </w:tc>
        <w:tc>
          <w:tcPr>
            <w:tcW w:w="709" w:type="dxa"/>
            <w:tcBorders>
              <w:top w:val="nil"/>
              <w:left w:val="nil"/>
              <w:bottom w:val="single" w:sz="4" w:space="0" w:color="auto"/>
              <w:right w:val="double" w:sz="6" w:space="0" w:color="auto"/>
            </w:tcBorders>
            <w:shd w:val="clear" w:color="auto" w:fill="auto"/>
            <w:vAlign w:val="center"/>
            <w:hideMark/>
          </w:tcPr>
          <w:p w14:paraId="054512BA"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60,1 </w:t>
            </w:r>
          </w:p>
        </w:tc>
      </w:tr>
      <w:tr w:rsidR="00FD7B0B" w:rsidRPr="00FD7B0B" w14:paraId="3186B71F"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106AACC8"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Благоустройство</w:t>
            </w:r>
          </w:p>
        </w:tc>
        <w:tc>
          <w:tcPr>
            <w:tcW w:w="1046" w:type="dxa"/>
            <w:tcBorders>
              <w:top w:val="nil"/>
              <w:left w:val="nil"/>
              <w:bottom w:val="single" w:sz="4" w:space="0" w:color="auto"/>
              <w:right w:val="single" w:sz="4" w:space="0" w:color="auto"/>
            </w:tcBorders>
            <w:shd w:val="clear" w:color="auto" w:fill="auto"/>
            <w:vAlign w:val="center"/>
            <w:hideMark/>
          </w:tcPr>
          <w:p w14:paraId="67732F19"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301,5 </w:t>
            </w:r>
          </w:p>
        </w:tc>
        <w:tc>
          <w:tcPr>
            <w:tcW w:w="992" w:type="dxa"/>
            <w:tcBorders>
              <w:top w:val="nil"/>
              <w:left w:val="nil"/>
              <w:bottom w:val="single" w:sz="4" w:space="0" w:color="auto"/>
              <w:right w:val="single" w:sz="4" w:space="0" w:color="auto"/>
            </w:tcBorders>
            <w:shd w:val="clear" w:color="auto" w:fill="auto"/>
            <w:vAlign w:val="center"/>
            <w:hideMark/>
          </w:tcPr>
          <w:p w14:paraId="48E2C5FF"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301,5 </w:t>
            </w:r>
          </w:p>
        </w:tc>
        <w:tc>
          <w:tcPr>
            <w:tcW w:w="709" w:type="dxa"/>
            <w:tcBorders>
              <w:top w:val="nil"/>
              <w:left w:val="nil"/>
              <w:bottom w:val="single" w:sz="4" w:space="0" w:color="auto"/>
              <w:right w:val="double" w:sz="6" w:space="0" w:color="auto"/>
            </w:tcBorders>
            <w:shd w:val="clear" w:color="auto" w:fill="auto"/>
            <w:vAlign w:val="center"/>
            <w:hideMark/>
          </w:tcPr>
          <w:p w14:paraId="3ED2A167"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12E52D15"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182BFDC6"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Другие вопросы в области жилищно-коммунального хозяйства</w:t>
            </w:r>
          </w:p>
        </w:tc>
        <w:tc>
          <w:tcPr>
            <w:tcW w:w="1046" w:type="dxa"/>
            <w:tcBorders>
              <w:top w:val="nil"/>
              <w:left w:val="nil"/>
              <w:bottom w:val="single" w:sz="4" w:space="0" w:color="auto"/>
              <w:right w:val="single" w:sz="4" w:space="0" w:color="auto"/>
            </w:tcBorders>
            <w:shd w:val="clear" w:color="auto" w:fill="auto"/>
            <w:vAlign w:val="center"/>
            <w:hideMark/>
          </w:tcPr>
          <w:p w14:paraId="6AB362C7"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497,7 </w:t>
            </w:r>
          </w:p>
        </w:tc>
        <w:tc>
          <w:tcPr>
            <w:tcW w:w="992" w:type="dxa"/>
            <w:tcBorders>
              <w:top w:val="nil"/>
              <w:left w:val="nil"/>
              <w:bottom w:val="single" w:sz="4" w:space="0" w:color="auto"/>
              <w:right w:val="single" w:sz="4" w:space="0" w:color="auto"/>
            </w:tcBorders>
            <w:shd w:val="clear" w:color="auto" w:fill="auto"/>
            <w:vAlign w:val="center"/>
            <w:hideMark/>
          </w:tcPr>
          <w:p w14:paraId="7EE161ED"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497,7 </w:t>
            </w:r>
          </w:p>
        </w:tc>
        <w:tc>
          <w:tcPr>
            <w:tcW w:w="709" w:type="dxa"/>
            <w:tcBorders>
              <w:top w:val="nil"/>
              <w:left w:val="nil"/>
              <w:bottom w:val="single" w:sz="4" w:space="0" w:color="auto"/>
              <w:right w:val="double" w:sz="6" w:space="0" w:color="auto"/>
            </w:tcBorders>
            <w:shd w:val="clear" w:color="auto" w:fill="auto"/>
            <w:vAlign w:val="center"/>
            <w:hideMark/>
          </w:tcPr>
          <w:p w14:paraId="2776C80C"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4873B377"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7CFF455C"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Другие вопросы в области охраны окружающей среды</w:t>
            </w:r>
          </w:p>
        </w:tc>
        <w:tc>
          <w:tcPr>
            <w:tcW w:w="1046" w:type="dxa"/>
            <w:tcBorders>
              <w:top w:val="nil"/>
              <w:left w:val="nil"/>
              <w:bottom w:val="single" w:sz="4" w:space="0" w:color="auto"/>
              <w:right w:val="single" w:sz="4" w:space="0" w:color="auto"/>
            </w:tcBorders>
            <w:shd w:val="clear" w:color="auto" w:fill="auto"/>
            <w:vAlign w:val="center"/>
            <w:hideMark/>
          </w:tcPr>
          <w:p w14:paraId="6814C63E"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360,4 </w:t>
            </w:r>
          </w:p>
        </w:tc>
        <w:tc>
          <w:tcPr>
            <w:tcW w:w="992" w:type="dxa"/>
            <w:tcBorders>
              <w:top w:val="nil"/>
              <w:left w:val="nil"/>
              <w:bottom w:val="single" w:sz="4" w:space="0" w:color="auto"/>
              <w:right w:val="single" w:sz="4" w:space="0" w:color="auto"/>
            </w:tcBorders>
            <w:shd w:val="clear" w:color="auto" w:fill="auto"/>
            <w:vAlign w:val="center"/>
            <w:hideMark/>
          </w:tcPr>
          <w:p w14:paraId="0006210D"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360,4 </w:t>
            </w:r>
          </w:p>
        </w:tc>
        <w:tc>
          <w:tcPr>
            <w:tcW w:w="709" w:type="dxa"/>
            <w:tcBorders>
              <w:top w:val="nil"/>
              <w:left w:val="nil"/>
              <w:bottom w:val="single" w:sz="4" w:space="0" w:color="auto"/>
              <w:right w:val="double" w:sz="6" w:space="0" w:color="auto"/>
            </w:tcBorders>
            <w:shd w:val="clear" w:color="auto" w:fill="auto"/>
            <w:vAlign w:val="center"/>
            <w:hideMark/>
          </w:tcPr>
          <w:p w14:paraId="062EB21D"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1CC905EA"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19B8B4D1"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1046" w:type="dxa"/>
            <w:tcBorders>
              <w:top w:val="nil"/>
              <w:left w:val="nil"/>
              <w:bottom w:val="single" w:sz="4" w:space="0" w:color="auto"/>
              <w:right w:val="single" w:sz="4" w:space="0" w:color="auto"/>
            </w:tcBorders>
            <w:shd w:val="clear" w:color="auto" w:fill="auto"/>
            <w:vAlign w:val="center"/>
            <w:hideMark/>
          </w:tcPr>
          <w:p w14:paraId="5DFD7C5B"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337,0 </w:t>
            </w:r>
          </w:p>
        </w:tc>
        <w:tc>
          <w:tcPr>
            <w:tcW w:w="992" w:type="dxa"/>
            <w:tcBorders>
              <w:top w:val="nil"/>
              <w:left w:val="nil"/>
              <w:bottom w:val="single" w:sz="4" w:space="0" w:color="auto"/>
              <w:right w:val="single" w:sz="4" w:space="0" w:color="auto"/>
            </w:tcBorders>
            <w:shd w:val="clear" w:color="auto" w:fill="auto"/>
            <w:vAlign w:val="center"/>
            <w:hideMark/>
          </w:tcPr>
          <w:p w14:paraId="6098A55E"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337,0 </w:t>
            </w:r>
          </w:p>
        </w:tc>
        <w:tc>
          <w:tcPr>
            <w:tcW w:w="709" w:type="dxa"/>
            <w:tcBorders>
              <w:top w:val="nil"/>
              <w:left w:val="nil"/>
              <w:bottom w:val="single" w:sz="4" w:space="0" w:color="auto"/>
              <w:right w:val="double" w:sz="6" w:space="0" w:color="auto"/>
            </w:tcBorders>
            <w:shd w:val="clear" w:color="auto" w:fill="auto"/>
            <w:vAlign w:val="center"/>
            <w:hideMark/>
          </w:tcPr>
          <w:p w14:paraId="5B0D0015"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CF7110E"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66F4A524"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Общее образование</w:t>
            </w:r>
          </w:p>
        </w:tc>
        <w:tc>
          <w:tcPr>
            <w:tcW w:w="1046" w:type="dxa"/>
            <w:tcBorders>
              <w:top w:val="nil"/>
              <w:left w:val="nil"/>
              <w:bottom w:val="single" w:sz="4" w:space="0" w:color="auto"/>
              <w:right w:val="single" w:sz="4" w:space="0" w:color="auto"/>
            </w:tcBorders>
            <w:shd w:val="clear" w:color="auto" w:fill="auto"/>
            <w:vAlign w:val="center"/>
            <w:hideMark/>
          </w:tcPr>
          <w:p w14:paraId="52704CB0"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2 884,5 </w:t>
            </w:r>
          </w:p>
        </w:tc>
        <w:tc>
          <w:tcPr>
            <w:tcW w:w="992" w:type="dxa"/>
            <w:tcBorders>
              <w:top w:val="nil"/>
              <w:left w:val="nil"/>
              <w:bottom w:val="single" w:sz="4" w:space="0" w:color="auto"/>
              <w:right w:val="single" w:sz="4" w:space="0" w:color="auto"/>
            </w:tcBorders>
            <w:shd w:val="clear" w:color="auto" w:fill="auto"/>
            <w:vAlign w:val="center"/>
            <w:hideMark/>
          </w:tcPr>
          <w:p w14:paraId="393AEA62"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2 884,5 </w:t>
            </w:r>
          </w:p>
        </w:tc>
        <w:tc>
          <w:tcPr>
            <w:tcW w:w="709" w:type="dxa"/>
            <w:tcBorders>
              <w:top w:val="nil"/>
              <w:left w:val="nil"/>
              <w:bottom w:val="single" w:sz="4" w:space="0" w:color="auto"/>
              <w:right w:val="double" w:sz="6" w:space="0" w:color="auto"/>
            </w:tcBorders>
            <w:shd w:val="clear" w:color="auto" w:fill="auto"/>
            <w:vAlign w:val="center"/>
            <w:hideMark/>
          </w:tcPr>
          <w:p w14:paraId="243E8167"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749FB55D"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7D56083F"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1046" w:type="dxa"/>
            <w:tcBorders>
              <w:top w:val="nil"/>
              <w:left w:val="nil"/>
              <w:bottom w:val="single" w:sz="4" w:space="0" w:color="auto"/>
              <w:right w:val="single" w:sz="4" w:space="0" w:color="auto"/>
            </w:tcBorders>
            <w:shd w:val="clear" w:color="auto" w:fill="auto"/>
            <w:vAlign w:val="center"/>
            <w:hideMark/>
          </w:tcPr>
          <w:p w14:paraId="688741A2"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861,0 </w:t>
            </w:r>
          </w:p>
        </w:tc>
        <w:tc>
          <w:tcPr>
            <w:tcW w:w="992" w:type="dxa"/>
            <w:tcBorders>
              <w:top w:val="nil"/>
              <w:left w:val="nil"/>
              <w:bottom w:val="single" w:sz="4" w:space="0" w:color="auto"/>
              <w:right w:val="single" w:sz="4" w:space="0" w:color="auto"/>
            </w:tcBorders>
            <w:shd w:val="clear" w:color="auto" w:fill="auto"/>
            <w:vAlign w:val="center"/>
            <w:hideMark/>
          </w:tcPr>
          <w:p w14:paraId="27EDE1A8"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861,0 </w:t>
            </w:r>
          </w:p>
        </w:tc>
        <w:tc>
          <w:tcPr>
            <w:tcW w:w="709" w:type="dxa"/>
            <w:tcBorders>
              <w:top w:val="nil"/>
              <w:left w:val="nil"/>
              <w:bottom w:val="single" w:sz="4" w:space="0" w:color="auto"/>
              <w:right w:val="double" w:sz="6" w:space="0" w:color="auto"/>
            </w:tcBorders>
            <w:shd w:val="clear" w:color="auto" w:fill="auto"/>
            <w:vAlign w:val="center"/>
            <w:hideMark/>
          </w:tcPr>
          <w:p w14:paraId="6BF6C2E5"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76CBBEA9"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2DFD9976"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Культура</w:t>
            </w:r>
          </w:p>
        </w:tc>
        <w:tc>
          <w:tcPr>
            <w:tcW w:w="1046" w:type="dxa"/>
            <w:tcBorders>
              <w:top w:val="nil"/>
              <w:left w:val="nil"/>
              <w:bottom w:val="single" w:sz="4" w:space="0" w:color="auto"/>
              <w:right w:val="single" w:sz="4" w:space="0" w:color="auto"/>
            </w:tcBorders>
            <w:shd w:val="clear" w:color="auto" w:fill="auto"/>
            <w:vAlign w:val="center"/>
            <w:hideMark/>
          </w:tcPr>
          <w:p w14:paraId="74F51443"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151,9 </w:t>
            </w:r>
          </w:p>
        </w:tc>
        <w:tc>
          <w:tcPr>
            <w:tcW w:w="992" w:type="dxa"/>
            <w:tcBorders>
              <w:top w:val="nil"/>
              <w:left w:val="nil"/>
              <w:bottom w:val="single" w:sz="4" w:space="0" w:color="auto"/>
              <w:right w:val="single" w:sz="4" w:space="0" w:color="auto"/>
            </w:tcBorders>
            <w:shd w:val="clear" w:color="auto" w:fill="auto"/>
            <w:vAlign w:val="center"/>
            <w:hideMark/>
          </w:tcPr>
          <w:p w14:paraId="79174AB8"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151,9 </w:t>
            </w:r>
          </w:p>
        </w:tc>
        <w:tc>
          <w:tcPr>
            <w:tcW w:w="709" w:type="dxa"/>
            <w:tcBorders>
              <w:top w:val="nil"/>
              <w:left w:val="nil"/>
              <w:bottom w:val="single" w:sz="4" w:space="0" w:color="auto"/>
              <w:right w:val="double" w:sz="6" w:space="0" w:color="auto"/>
            </w:tcBorders>
            <w:shd w:val="clear" w:color="auto" w:fill="auto"/>
            <w:vAlign w:val="center"/>
            <w:hideMark/>
          </w:tcPr>
          <w:p w14:paraId="0D9A62C4"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5F2F303A"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015E41D9"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Стационарная медицинская помощь</w:t>
            </w:r>
          </w:p>
        </w:tc>
        <w:tc>
          <w:tcPr>
            <w:tcW w:w="1046" w:type="dxa"/>
            <w:tcBorders>
              <w:top w:val="nil"/>
              <w:left w:val="nil"/>
              <w:bottom w:val="single" w:sz="4" w:space="0" w:color="auto"/>
              <w:right w:val="single" w:sz="4" w:space="0" w:color="auto"/>
            </w:tcBorders>
            <w:shd w:val="clear" w:color="auto" w:fill="auto"/>
            <w:vAlign w:val="center"/>
            <w:hideMark/>
          </w:tcPr>
          <w:p w14:paraId="1810DD67"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535,5 </w:t>
            </w:r>
          </w:p>
        </w:tc>
        <w:tc>
          <w:tcPr>
            <w:tcW w:w="992" w:type="dxa"/>
            <w:tcBorders>
              <w:top w:val="nil"/>
              <w:left w:val="nil"/>
              <w:bottom w:val="single" w:sz="4" w:space="0" w:color="auto"/>
              <w:right w:val="single" w:sz="4" w:space="0" w:color="auto"/>
            </w:tcBorders>
            <w:shd w:val="clear" w:color="auto" w:fill="auto"/>
            <w:vAlign w:val="center"/>
            <w:hideMark/>
          </w:tcPr>
          <w:p w14:paraId="5A0A7B67"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526,8 </w:t>
            </w:r>
          </w:p>
        </w:tc>
        <w:tc>
          <w:tcPr>
            <w:tcW w:w="709" w:type="dxa"/>
            <w:tcBorders>
              <w:top w:val="nil"/>
              <w:left w:val="nil"/>
              <w:bottom w:val="single" w:sz="4" w:space="0" w:color="auto"/>
              <w:right w:val="double" w:sz="6" w:space="0" w:color="auto"/>
            </w:tcBorders>
            <w:shd w:val="clear" w:color="auto" w:fill="auto"/>
            <w:vAlign w:val="center"/>
            <w:hideMark/>
          </w:tcPr>
          <w:p w14:paraId="5F2D1298"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98,4 </w:t>
            </w:r>
          </w:p>
        </w:tc>
      </w:tr>
      <w:tr w:rsidR="00FD7B0B" w:rsidRPr="00FD7B0B" w14:paraId="3667DE70"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305A0733"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Амбулаторная помощь</w:t>
            </w:r>
          </w:p>
        </w:tc>
        <w:tc>
          <w:tcPr>
            <w:tcW w:w="1046" w:type="dxa"/>
            <w:tcBorders>
              <w:top w:val="nil"/>
              <w:left w:val="nil"/>
              <w:bottom w:val="single" w:sz="4" w:space="0" w:color="auto"/>
              <w:right w:val="single" w:sz="4" w:space="0" w:color="auto"/>
            </w:tcBorders>
            <w:shd w:val="clear" w:color="auto" w:fill="auto"/>
            <w:vAlign w:val="center"/>
            <w:hideMark/>
          </w:tcPr>
          <w:p w14:paraId="08D2F91C"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233,7 </w:t>
            </w:r>
          </w:p>
        </w:tc>
        <w:tc>
          <w:tcPr>
            <w:tcW w:w="992" w:type="dxa"/>
            <w:tcBorders>
              <w:top w:val="nil"/>
              <w:left w:val="nil"/>
              <w:bottom w:val="single" w:sz="4" w:space="0" w:color="auto"/>
              <w:right w:val="single" w:sz="4" w:space="0" w:color="auto"/>
            </w:tcBorders>
            <w:shd w:val="clear" w:color="auto" w:fill="auto"/>
            <w:vAlign w:val="center"/>
            <w:hideMark/>
          </w:tcPr>
          <w:p w14:paraId="20AB68E3"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225,0 </w:t>
            </w:r>
          </w:p>
        </w:tc>
        <w:tc>
          <w:tcPr>
            <w:tcW w:w="709" w:type="dxa"/>
            <w:tcBorders>
              <w:top w:val="nil"/>
              <w:left w:val="nil"/>
              <w:bottom w:val="single" w:sz="4" w:space="0" w:color="auto"/>
              <w:right w:val="double" w:sz="6" w:space="0" w:color="auto"/>
            </w:tcBorders>
            <w:shd w:val="clear" w:color="auto" w:fill="auto"/>
            <w:vAlign w:val="center"/>
            <w:hideMark/>
          </w:tcPr>
          <w:p w14:paraId="6AE38B67"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96,3 </w:t>
            </w:r>
          </w:p>
        </w:tc>
      </w:tr>
      <w:tr w:rsidR="00FD7B0B" w:rsidRPr="00FD7B0B" w14:paraId="0E3B05C9"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49CD3771"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Другие вопросы в области здравоохранения</w:t>
            </w:r>
          </w:p>
        </w:tc>
        <w:tc>
          <w:tcPr>
            <w:tcW w:w="1046" w:type="dxa"/>
            <w:tcBorders>
              <w:top w:val="nil"/>
              <w:left w:val="nil"/>
              <w:bottom w:val="single" w:sz="4" w:space="0" w:color="auto"/>
              <w:right w:val="single" w:sz="4" w:space="0" w:color="auto"/>
            </w:tcBorders>
            <w:shd w:val="clear" w:color="auto" w:fill="auto"/>
            <w:vAlign w:val="center"/>
            <w:hideMark/>
          </w:tcPr>
          <w:p w14:paraId="60D4D233"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4,5 </w:t>
            </w:r>
          </w:p>
        </w:tc>
        <w:tc>
          <w:tcPr>
            <w:tcW w:w="992" w:type="dxa"/>
            <w:tcBorders>
              <w:top w:val="nil"/>
              <w:left w:val="nil"/>
              <w:bottom w:val="single" w:sz="4" w:space="0" w:color="auto"/>
              <w:right w:val="single" w:sz="4" w:space="0" w:color="auto"/>
            </w:tcBorders>
            <w:shd w:val="clear" w:color="auto" w:fill="auto"/>
            <w:vAlign w:val="center"/>
            <w:hideMark/>
          </w:tcPr>
          <w:p w14:paraId="5F90DACC"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4,5 </w:t>
            </w:r>
          </w:p>
        </w:tc>
        <w:tc>
          <w:tcPr>
            <w:tcW w:w="709" w:type="dxa"/>
            <w:tcBorders>
              <w:top w:val="nil"/>
              <w:left w:val="nil"/>
              <w:bottom w:val="single" w:sz="4" w:space="0" w:color="auto"/>
              <w:right w:val="double" w:sz="6" w:space="0" w:color="auto"/>
            </w:tcBorders>
            <w:shd w:val="clear" w:color="auto" w:fill="auto"/>
            <w:vAlign w:val="center"/>
            <w:hideMark/>
          </w:tcPr>
          <w:p w14:paraId="5326B001"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3CB5CA33"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0959A752"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Охрана семьи и детства</w:t>
            </w:r>
          </w:p>
        </w:tc>
        <w:tc>
          <w:tcPr>
            <w:tcW w:w="1046" w:type="dxa"/>
            <w:tcBorders>
              <w:top w:val="nil"/>
              <w:left w:val="nil"/>
              <w:bottom w:val="single" w:sz="4" w:space="0" w:color="auto"/>
              <w:right w:val="single" w:sz="4" w:space="0" w:color="auto"/>
            </w:tcBorders>
            <w:shd w:val="clear" w:color="auto" w:fill="auto"/>
            <w:vAlign w:val="center"/>
            <w:hideMark/>
          </w:tcPr>
          <w:p w14:paraId="4F74AA36"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204,5 </w:t>
            </w:r>
          </w:p>
        </w:tc>
        <w:tc>
          <w:tcPr>
            <w:tcW w:w="992" w:type="dxa"/>
            <w:tcBorders>
              <w:top w:val="nil"/>
              <w:left w:val="nil"/>
              <w:bottom w:val="single" w:sz="4" w:space="0" w:color="auto"/>
              <w:right w:val="single" w:sz="4" w:space="0" w:color="auto"/>
            </w:tcBorders>
            <w:shd w:val="clear" w:color="auto" w:fill="auto"/>
            <w:vAlign w:val="center"/>
            <w:hideMark/>
          </w:tcPr>
          <w:p w14:paraId="49B2C703"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204,5 </w:t>
            </w:r>
          </w:p>
        </w:tc>
        <w:tc>
          <w:tcPr>
            <w:tcW w:w="709" w:type="dxa"/>
            <w:tcBorders>
              <w:top w:val="nil"/>
              <w:left w:val="nil"/>
              <w:bottom w:val="single" w:sz="4" w:space="0" w:color="auto"/>
              <w:right w:val="double" w:sz="6" w:space="0" w:color="auto"/>
            </w:tcBorders>
            <w:shd w:val="clear" w:color="auto" w:fill="auto"/>
            <w:vAlign w:val="center"/>
            <w:hideMark/>
          </w:tcPr>
          <w:p w14:paraId="6A899F6B"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9754DF0"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251AE9CF"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Массовый спорт</w:t>
            </w:r>
          </w:p>
        </w:tc>
        <w:tc>
          <w:tcPr>
            <w:tcW w:w="1046" w:type="dxa"/>
            <w:tcBorders>
              <w:top w:val="nil"/>
              <w:left w:val="nil"/>
              <w:bottom w:val="single" w:sz="4" w:space="0" w:color="auto"/>
              <w:right w:val="single" w:sz="4" w:space="0" w:color="auto"/>
            </w:tcBorders>
            <w:shd w:val="clear" w:color="auto" w:fill="auto"/>
            <w:vAlign w:val="center"/>
            <w:hideMark/>
          </w:tcPr>
          <w:p w14:paraId="14887787"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382,5 </w:t>
            </w:r>
          </w:p>
        </w:tc>
        <w:tc>
          <w:tcPr>
            <w:tcW w:w="992" w:type="dxa"/>
            <w:tcBorders>
              <w:top w:val="nil"/>
              <w:left w:val="nil"/>
              <w:bottom w:val="single" w:sz="4" w:space="0" w:color="auto"/>
              <w:right w:val="single" w:sz="4" w:space="0" w:color="auto"/>
            </w:tcBorders>
            <w:shd w:val="clear" w:color="auto" w:fill="auto"/>
            <w:vAlign w:val="center"/>
            <w:hideMark/>
          </w:tcPr>
          <w:p w14:paraId="525E3AE7"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382,5 </w:t>
            </w:r>
          </w:p>
        </w:tc>
        <w:tc>
          <w:tcPr>
            <w:tcW w:w="709" w:type="dxa"/>
            <w:tcBorders>
              <w:top w:val="nil"/>
              <w:left w:val="nil"/>
              <w:bottom w:val="single" w:sz="4" w:space="0" w:color="auto"/>
              <w:right w:val="double" w:sz="6" w:space="0" w:color="auto"/>
            </w:tcBorders>
            <w:shd w:val="clear" w:color="auto" w:fill="auto"/>
            <w:vAlign w:val="center"/>
            <w:hideMark/>
          </w:tcPr>
          <w:p w14:paraId="040686FD"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2E74C05E"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743BA23D"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Итого, из них:</w:t>
            </w:r>
          </w:p>
        </w:tc>
        <w:tc>
          <w:tcPr>
            <w:tcW w:w="1046" w:type="dxa"/>
            <w:tcBorders>
              <w:top w:val="nil"/>
              <w:left w:val="nil"/>
              <w:bottom w:val="single" w:sz="4" w:space="0" w:color="auto"/>
              <w:right w:val="single" w:sz="4" w:space="0" w:color="auto"/>
            </w:tcBorders>
            <w:shd w:val="clear" w:color="auto" w:fill="auto"/>
            <w:vAlign w:val="center"/>
            <w:hideMark/>
          </w:tcPr>
          <w:p w14:paraId="2ECBE4E3"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13 475,4 </w:t>
            </w:r>
          </w:p>
        </w:tc>
        <w:tc>
          <w:tcPr>
            <w:tcW w:w="992" w:type="dxa"/>
            <w:tcBorders>
              <w:top w:val="nil"/>
              <w:left w:val="nil"/>
              <w:bottom w:val="single" w:sz="4" w:space="0" w:color="auto"/>
              <w:right w:val="single" w:sz="4" w:space="0" w:color="auto"/>
            </w:tcBorders>
            <w:shd w:val="clear" w:color="auto" w:fill="auto"/>
            <w:vAlign w:val="center"/>
            <w:hideMark/>
          </w:tcPr>
          <w:p w14:paraId="5F18B380"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12 442,1 </w:t>
            </w:r>
          </w:p>
        </w:tc>
        <w:tc>
          <w:tcPr>
            <w:tcW w:w="709" w:type="dxa"/>
            <w:tcBorders>
              <w:top w:val="nil"/>
              <w:left w:val="nil"/>
              <w:bottom w:val="single" w:sz="4" w:space="0" w:color="auto"/>
              <w:right w:val="double" w:sz="6" w:space="0" w:color="auto"/>
            </w:tcBorders>
            <w:shd w:val="clear" w:color="auto" w:fill="auto"/>
            <w:vAlign w:val="center"/>
            <w:hideMark/>
          </w:tcPr>
          <w:p w14:paraId="51AB29F0"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92,3 </w:t>
            </w:r>
          </w:p>
        </w:tc>
      </w:tr>
      <w:tr w:rsidR="00FD7B0B" w:rsidRPr="00FD7B0B" w14:paraId="1BF7AE94"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5004AA5E"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 xml:space="preserve"> -  рамках концессионных соглашений</w:t>
            </w:r>
          </w:p>
        </w:tc>
        <w:tc>
          <w:tcPr>
            <w:tcW w:w="1046" w:type="dxa"/>
            <w:tcBorders>
              <w:top w:val="nil"/>
              <w:left w:val="nil"/>
              <w:bottom w:val="single" w:sz="4" w:space="0" w:color="auto"/>
              <w:right w:val="single" w:sz="4" w:space="0" w:color="auto"/>
            </w:tcBorders>
            <w:shd w:val="clear" w:color="auto" w:fill="auto"/>
            <w:vAlign w:val="center"/>
            <w:hideMark/>
          </w:tcPr>
          <w:p w14:paraId="5E08B848"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992" w:type="dxa"/>
            <w:tcBorders>
              <w:top w:val="nil"/>
              <w:left w:val="nil"/>
              <w:bottom w:val="single" w:sz="4" w:space="0" w:color="auto"/>
              <w:right w:val="single" w:sz="4" w:space="0" w:color="auto"/>
            </w:tcBorders>
            <w:shd w:val="clear" w:color="auto" w:fill="auto"/>
            <w:vAlign w:val="center"/>
            <w:hideMark/>
          </w:tcPr>
          <w:p w14:paraId="0F927DB9"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709" w:type="dxa"/>
            <w:tcBorders>
              <w:top w:val="nil"/>
              <w:left w:val="nil"/>
              <w:bottom w:val="single" w:sz="4" w:space="0" w:color="auto"/>
              <w:right w:val="double" w:sz="6" w:space="0" w:color="auto"/>
            </w:tcBorders>
            <w:shd w:val="clear" w:color="auto" w:fill="auto"/>
            <w:vAlign w:val="center"/>
            <w:hideMark/>
          </w:tcPr>
          <w:p w14:paraId="01EDD457"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5EA4C1CE"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07F11440"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 xml:space="preserve"> - в рамках ОАИП</w:t>
            </w:r>
          </w:p>
        </w:tc>
        <w:tc>
          <w:tcPr>
            <w:tcW w:w="1046" w:type="dxa"/>
            <w:tcBorders>
              <w:top w:val="nil"/>
              <w:left w:val="nil"/>
              <w:bottom w:val="single" w:sz="4" w:space="0" w:color="auto"/>
              <w:right w:val="single" w:sz="4" w:space="0" w:color="auto"/>
            </w:tcBorders>
            <w:shd w:val="clear" w:color="auto" w:fill="auto"/>
            <w:vAlign w:val="center"/>
            <w:hideMark/>
          </w:tcPr>
          <w:p w14:paraId="46A2935F"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7 932,5 </w:t>
            </w:r>
          </w:p>
        </w:tc>
        <w:tc>
          <w:tcPr>
            <w:tcW w:w="992" w:type="dxa"/>
            <w:tcBorders>
              <w:top w:val="nil"/>
              <w:left w:val="nil"/>
              <w:bottom w:val="single" w:sz="4" w:space="0" w:color="auto"/>
              <w:right w:val="single" w:sz="4" w:space="0" w:color="auto"/>
            </w:tcBorders>
            <w:shd w:val="clear" w:color="auto" w:fill="auto"/>
            <w:vAlign w:val="center"/>
            <w:hideMark/>
          </w:tcPr>
          <w:p w14:paraId="65FC7F39"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6 912,0 </w:t>
            </w:r>
          </w:p>
        </w:tc>
        <w:tc>
          <w:tcPr>
            <w:tcW w:w="709" w:type="dxa"/>
            <w:tcBorders>
              <w:top w:val="nil"/>
              <w:left w:val="nil"/>
              <w:bottom w:val="single" w:sz="4" w:space="0" w:color="auto"/>
              <w:right w:val="double" w:sz="6" w:space="0" w:color="auto"/>
            </w:tcBorders>
            <w:shd w:val="clear" w:color="auto" w:fill="auto"/>
            <w:vAlign w:val="center"/>
            <w:hideMark/>
          </w:tcPr>
          <w:p w14:paraId="22A99423"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87,1 </w:t>
            </w:r>
          </w:p>
        </w:tc>
      </w:tr>
      <w:tr w:rsidR="00FD7B0B" w:rsidRPr="00FD7B0B" w14:paraId="0DDD1EDF" w14:textId="77777777" w:rsidTr="00082A52">
        <w:trPr>
          <w:trHeight w:val="70"/>
        </w:trPr>
        <w:tc>
          <w:tcPr>
            <w:tcW w:w="6977" w:type="dxa"/>
            <w:tcBorders>
              <w:top w:val="nil"/>
              <w:left w:val="double" w:sz="6" w:space="0" w:color="auto"/>
              <w:bottom w:val="single" w:sz="4" w:space="0" w:color="auto"/>
              <w:right w:val="single" w:sz="4" w:space="0" w:color="auto"/>
            </w:tcBorders>
            <w:shd w:val="clear" w:color="auto" w:fill="auto"/>
            <w:vAlign w:val="center"/>
            <w:hideMark/>
          </w:tcPr>
          <w:p w14:paraId="71ABD36D"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 xml:space="preserve"> - переселение граждан из аварийного жил. фонда</w:t>
            </w:r>
          </w:p>
        </w:tc>
        <w:tc>
          <w:tcPr>
            <w:tcW w:w="1046" w:type="dxa"/>
            <w:tcBorders>
              <w:top w:val="nil"/>
              <w:left w:val="nil"/>
              <w:bottom w:val="single" w:sz="4" w:space="0" w:color="auto"/>
              <w:right w:val="single" w:sz="4" w:space="0" w:color="auto"/>
            </w:tcBorders>
            <w:shd w:val="clear" w:color="auto" w:fill="auto"/>
            <w:vAlign w:val="center"/>
            <w:hideMark/>
          </w:tcPr>
          <w:p w14:paraId="67DAE366"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2 920,6 </w:t>
            </w:r>
          </w:p>
        </w:tc>
        <w:tc>
          <w:tcPr>
            <w:tcW w:w="992" w:type="dxa"/>
            <w:tcBorders>
              <w:top w:val="nil"/>
              <w:left w:val="nil"/>
              <w:bottom w:val="single" w:sz="4" w:space="0" w:color="auto"/>
              <w:right w:val="single" w:sz="4" w:space="0" w:color="auto"/>
            </w:tcBorders>
            <w:shd w:val="clear" w:color="auto" w:fill="auto"/>
            <w:vAlign w:val="center"/>
            <w:hideMark/>
          </w:tcPr>
          <w:p w14:paraId="5352A1FC"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2 907,9 </w:t>
            </w:r>
          </w:p>
        </w:tc>
        <w:tc>
          <w:tcPr>
            <w:tcW w:w="709" w:type="dxa"/>
            <w:tcBorders>
              <w:top w:val="nil"/>
              <w:left w:val="nil"/>
              <w:bottom w:val="single" w:sz="4" w:space="0" w:color="auto"/>
              <w:right w:val="double" w:sz="6" w:space="0" w:color="auto"/>
            </w:tcBorders>
            <w:shd w:val="clear" w:color="auto" w:fill="auto"/>
            <w:vAlign w:val="center"/>
            <w:hideMark/>
          </w:tcPr>
          <w:p w14:paraId="241D29E6"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99,6 </w:t>
            </w:r>
          </w:p>
        </w:tc>
      </w:tr>
      <w:tr w:rsidR="00082A52" w:rsidRPr="00FD7B0B" w14:paraId="6597D5ED" w14:textId="77777777" w:rsidTr="00557A10">
        <w:trPr>
          <w:trHeight w:val="100"/>
        </w:trPr>
        <w:tc>
          <w:tcPr>
            <w:tcW w:w="6977" w:type="dxa"/>
            <w:tcBorders>
              <w:top w:val="nil"/>
              <w:left w:val="double" w:sz="6" w:space="0" w:color="auto"/>
              <w:bottom w:val="double" w:sz="6" w:space="0" w:color="auto"/>
              <w:right w:val="single" w:sz="4" w:space="0" w:color="auto"/>
            </w:tcBorders>
            <w:shd w:val="clear" w:color="auto" w:fill="auto"/>
            <w:vAlign w:val="center"/>
            <w:hideMark/>
          </w:tcPr>
          <w:p w14:paraId="76F5FAF8" w14:textId="77777777" w:rsidR="00082A52" w:rsidRPr="00FD7B0B" w:rsidRDefault="00082A52" w:rsidP="00557A10">
            <w:pPr>
              <w:spacing w:after="0" w:line="240" w:lineRule="auto"/>
              <w:rPr>
                <w:rFonts w:ascii="Times New Roman" w:hAnsi="Times New Roman" w:cs="Times New Roman"/>
              </w:rPr>
            </w:pPr>
            <w:r w:rsidRPr="00FD7B0B">
              <w:rPr>
                <w:rFonts w:ascii="Times New Roman" w:hAnsi="Times New Roman" w:cs="Times New Roman"/>
              </w:rPr>
              <w:t xml:space="preserve"> - прочие</w:t>
            </w:r>
          </w:p>
        </w:tc>
        <w:tc>
          <w:tcPr>
            <w:tcW w:w="1046" w:type="dxa"/>
            <w:tcBorders>
              <w:top w:val="nil"/>
              <w:left w:val="nil"/>
              <w:bottom w:val="double" w:sz="6" w:space="0" w:color="auto"/>
              <w:right w:val="single" w:sz="4" w:space="0" w:color="auto"/>
            </w:tcBorders>
            <w:shd w:val="clear" w:color="auto" w:fill="auto"/>
            <w:vAlign w:val="center"/>
            <w:hideMark/>
          </w:tcPr>
          <w:p w14:paraId="55A9F181"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974,3 </w:t>
            </w:r>
          </w:p>
        </w:tc>
        <w:tc>
          <w:tcPr>
            <w:tcW w:w="992" w:type="dxa"/>
            <w:tcBorders>
              <w:top w:val="nil"/>
              <w:left w:val="nil"/>
              <w:bottom w:val="double" w:sz="6" w:space="0" w:color="auto"/>
              <w:right w:val="single" w:sz="4" w:space="0" w:color="auto"/>
            </w:tcBorders>
            <w:shd w:val="clear" w:color="auto" w:fill="auto"/>
            <w:vAlign w:val="center"/>
            <w:hideMark/>
          </w:tcPr>
          <w:p w14:paraId="73A2D3FA"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974,3 </w:t>
            </w:r>
          </w:p>
        </w:tc>
        <w:tc>
          <w:tcPr>
            <w:tcW w:w="709" w:type="dxa"/>
            <w:tcBorders>
              <w:top w:val="nil"/>
              <w:left w:val="nil"/>
              <w:bottom w:val="double" w:sz="6" w:space="0" w:color="auto"/>
              <w:right w:val="double" w:sz="6" w:space="0" w:color="auto"/>
            </w:tcBorders>
            <w:shd w:val="clear" w:color="auto" w:fill="auto"/>
            <w:vAlign w:val="center"/>
            <w:hideMark/>
          </w:tcPr>
          <w:p w14:paraId="48AB1029" w14:textId="77777777" w:rsidR="00082A52" w:rsidRPr="00FD7B0B" w:rsidRDefault="00082A52" w:rsidP="00557A10">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bl>
    <w:p w14:paraId="0CF6C78F" w14:textId="77777777" w:rsidR="00082A52" w:rsidRPr="00FD7B0B" w:rsidRDefault="00082A52" w:rsidP="00BB7F3D">
      <w:pPr>
        <w:spacing w:after="0" w:line="240" w:lineRule="auto"/>
        <w:ind w:firstLine="709"/>
        <w:jc w:val="both"/>
        <w:rPr>
          <w:rFonts w:ascii="Times New Roman" w:hAnsi="Times New Roman" w:cs="Times New Roman"/>
          <w:sz w:val="28"/>
          <w:szCs w:val="28"/>
        </w:rPr>
      </w:pPr>
    </w:p>
    <w:p w14:paraId="72525FFC" w14:textId="77777777" w:rsidR="00082A52" w:rsidRPr="00FD7B0B" w:rsidRDefault="00082A52" w:rsidP="00BB7F3D">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Наиболее приоритетные расходы из областного бюджета за 2024 год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осуществлены на:</w:t>
      </w:r>
    </w:p>
    <w:p w14:paraId="5D3938BC"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жилищное хозяйство – 3 716,2 млн.руб. (99,6 % к плану года), что составляет 29,9 % от общей суммы инвестиционных расходов, их них в рамках реализации мероприятий по переселению граждан из аварийного жилищного фонда – 2 907,9 млн.руб. (99,6 % к плану года);</w:t>
      </w:r>
    </w:p>
    <w:p w14:paraId="77427D9A"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lastRenderedPageBreak/>
        <w:t>коммунальное хозяйство – 1 497,7 млн.руб. (60,1 % к плану года) или 12,0 % от общей суммы инвестиционных расходов, из них на модернизацию (строительство 20 ед.) котельных на твердом биотопливе за счет специального казначейского кредита – 1 008,3 млн.руб. (50,4 % к плану года);</w:t>
      </w:r>
    </w:p>
    <w:p w14:paraId="4CD98012"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общее образование – 2 884,5 млн.руб. (100,0 % к плану года), что составляет 23,2 % от общей суммы расходов в виде инвестиций, из них на создание новых мест в общеобразовательных организациях – 1 632,0 млн.руб. (по направлениям расходов 55200 и А5200) и в рамках концессионного соглашения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 – 861,0 млн.руб.</w:t>
      </w:r>
    </w:p>
    <w:p w14:paraId="4F130795" w14:textId="77777777" w:rsidR="00082A52" w:rsidRPr="00FD7B0B" w:rsidRDefault="00082A52" w:rsidP="008918C2">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На дорожное хозяйство (дорожные фонды) за отчетный период направлено 916,9 млн.руб. (99,1 % к плану года), что составило 7,4 % от общей суммы инвестиционных расходов, из них в рамках реализации мероприятий инфраструктурных проектов, источником финансового обеспечения которых являются бюджетные кредиты, предоставляемые из федерального бюджета – 746,2 млн.руб.</w:t>
      </w:r>
    </w:p>
    <w:p w14:paraId="2816BF30" w14:textId="7242E4F2" w:rsidR="00082A52" w:rsidRPr="00FD7B0B" w:rsidRDefault="00082A52" w:rsidP="008918C2">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Средства, направленные за отчетный период на осуществление капитальных вложений и другие бюджетные инвестиции (без учета взноса в уставные капиталы) в разрезе государственных программ Архангельской области </w:t>
      </w:r>
      <w:r w:rsidR="008918C2" w:rsidRPr="00FD7B0B">
        <w:rPr>
          <w:rFonts w:ascii="Times New Roman" w:hAnsi="Times New Roman" w:cs="Times New Roman"/>
          <w:sz w:val="28"/>
          <w:szCs w:val="28"/>
        </w:rPr>
        <w:t>представлены</w:t>
      </w:r>
      <w:r w:rsidRPr="00FD7B0B">
        <w:rPr>
          <w:rFonts w:ascii="Times New Roman" w:hAnsi="Times New Roman" w:cs="Times New Roman"/>
          <w:sz w:val="28"/>
          <w:szCs w:val="28"/>
        </w:rPr>
        <w:t xml:space="preserve"> в таблице </w:t>
      </w:r>
      <w:r w:rsidR="00CA2A49" w:rsidRPr="00FD7B0B">
        <w:rPr>
          <w:rFonts w:ascii="Times New Roman" w:hAnsi="Times New Roman" w:cs="Times New Roman"/>
          <w:sz w:val="28"/>
          <w:szCs w:val="28"/>
        </w:rPr>
        <w:t>235</w:t>
      </w:r>
      <w:r w:rsidRPr="00FD7B0B">
        <w:rPr>
          <w:rFonts w:ascii="Times New Roman" w:hAnsi="Times New Roman" w:cs="Times New Roman"/>
          <w:sz w:val="28"/>
          <w:szCs w:val="28"/>
        </w:rPr>
        <w:t>.</w:t>
      </w:r>
    </w:p>
    <w:p w14:paraId="0BB16909" w14:textId="77777777" w:rsidR="00082A52" w:rsidRPr="00FD7B0B" w:rsidRDefault="00082A52" w:rsidP="008918C2">
      <w:pPr>
        <w:keepNext/>
        <w:spacing w:after="0" w:line="240" w:lineRule="auto"/>
        <w:rPr>
          <w:rFonts w:ascii="Times New Roman" w:eastAsia="Calibri" w:hAnsi="Times New Roman" w:cs="Times New Roman"/>
          <w:bCs/>
          <w:sz w:val="24"/>
          <w:szCs w:val="24"/>
        </w:rPr>
      </w:pPr>
    </w:p>
    <w:p w14:paraId="30173485" w14:textId="77777777" w:rsidR="00082A52" w:rsidRPr="00FD7B0B" w:rsidRDefault="00082A52" w:rsidP="008918C2">
      <w:pPr>
        <w:keepNext/>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235</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по государственным программам Архангельской области за 2024 год, млн.руб.</w:t>
      </w:r>
    </w:p>
    <w:tbl>
      <w:tblPr>
        <w:tblW w:w="9575" w:type="dxa"/>
        <w:tblLook w:val="04A0" w:firstRow="1" w:lastRow="0" w:firstColumn="1" w:lastColumn="0" w:noHBand="0" w:noVBand="1"/>
      </w:tblPr>
      <w:tblGrid>
        <w:gridCol w:w="6640"/>
        <w:gridCol w:w="1097"/>
        <w:gridCol w:w="1100"/>
        <w:gridCol w:w="738"/>
      </w:tblGrid>
      <w:tr w:rsidR="00FD7B0B" w:rsidRPr="00FD7B0B" w14:paraId="30F6FDD5" w14:textId="77777777" w:rsidTr="00B1696F">
        <w:trPr>
          <w:trHeight w:val="35"/>
          <w:tblHeader/>
        </w:trPr>
        <w:tc>
          <w:tcPr>
            <w:tcW w:w="664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5469947" w14:textId="77777777" w:rsidR="00082A52" w:rsidRPr="00FD7B0B" w:rsidRDefault="00082A52" w:rsidP="008918C2">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1097" w:type="dxa"/>
            <w:tcBorders>
              <w:top w:val="double" w:sz="6" w:space="0" w:color="auto"/>
              <w:left w:val="nil"/>
              <w:bottom w:val="single" w:sz="4" w:space="0" w:color="auto"/>
              <w:right w:val="single" w:sz="4" w:space="0" w:color="auto"/>
            </w:tcBorders>
            <w:shd w:val="clear" w:color="auto" w:fill="auto"/>
            <w:vAlign w:val="center"/>
            <w:hideMark/>
          </w:tcPr>
          <w:p w14:paraId="0072ECCC" w14:textId="77777777" w:rsidR="00082A52" w:rsidRPr="00FD7B0B" w:rsidRDefault="00082A52" w:rsidP="008918C2">
            <w:pPr>
              <w:spacing w:after="0" w:line="240" w:lineRule="auto"/>
              <w:jc w:val="center"/>
              <w:rPr>
                <w:rFonts w:ascii="Times New Roman" w:hAnsi="Times New Roman" w:cs="Times New Roman"/>
              </w:rPr>
            </w:pPr>
            <w:r w:rsidRPr="00FD7B0B">
              <w:rPr>
                <w:rFonts w:ascii="Times New Roman" w:hAnsi="Times New Roman" w:cs="Times New Roman"/>
              </w:rPr>
              <w:t>Утвер-ждено</w:t>
            </w:r>
          </w:p>
        </w:tc>
        <w:tc>
          <w:tcPr>
            <w:tcW w:w="1100" w:type="dxa"/>
            <w:tcBorders>
              <w:top w:val="double" w:sz="6" w:space="0" w:color="auto"/>
              <w:left w:val="nil"/>
              <w:bottom w:val="single" w:sz="4" w:space="0" w:color="auto"/>
              <w:right w:val="single" w:sz="4" w:space="0" w:color="auto"/>
            </w:tcBorders>
            <w:shd w:val="clear" w:color="auto" w:fill="auto"/>
            <w:vAlign w:val="center"/>
            <w:hideMark/>
          </w:tcPr>
          <w:p w14:paraId="53F303D5" w14:textId="77777777" w:rsidR="00082A52" w:rsidRPr="00FD7B0B" w:rsidRDefault="00082A52" w:rsidP="008918C2">
            <w:pPr>
              <w:spacing w:after="0" w:line="240" w:lineRule="auto"/>
              <w:jc w:val="center"/>
              <w:rPr>
                <w:rFonts w:ascii="Times New Roman" w:hAnsi="Times New Roman" w:cs="Times New Roman"/>
              </w:rPr>
            </w:pPr>
            <w:r w:rsidRPr="00FD7B0B">
              <w:rPr>
                <w:rFonts w:ascii="Times New Roman" w:hAnsi="Times New Roman" w:cs="Times New Roman"/>
              </w:rPr>
              <w:t>Испол-нено</w:t>
            </w:r>
          </w:p>
        </w:tc>
        <w:tc>
          <w:tcPr>
            <w:tcW w:w="738" w:type="dxa"/>
            <w:tcBorders>
              <w:top w:val="double" w:sz="6" w:space="0" w:color="auto"/>
              <w:left w:val="nil"/>
              <w:bottom w:val="single" w:sz="4" w:space="0" w:color="auto"/>
              <w:right w:val="double" w:sz="6" w:space="0" w:color="auto"/>
            </w:tcBorders>
            <w:shd w:val="clear" w:color="auto" w:fill="auto"/>
            <w:vAlign w:val="center"/>
            <w:hideMark/>
          </w:tcPr>
          <w:p w14:paraId="2CE6E549" w14:textId="77777777" w:rsidR="00082A52" w:rsidRPr="00FD7B0B" w:rsidRDefault="00082A52" w:rsidP="008918C2">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1C50D917"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0E74A5D4"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"Развитие здравоохранения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2C0A7A80"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466,8 </w:t>
            </w:r>
          </w:p>
        </w:tc>
        <w:tc>
          <w:tcPr>
            <w:tcW w:w="1100" w:type="dxa"/>
            <w:tcBorders>
              <w:top w:val="nil"/>
              <w:left w:val="nil"/>
              <w:bottom w:val="single" w:sz="4" w:space="0" w:color="auto"/>
              <w:right w:val="single" w:sz="4" w:space="0" w:color="auto"/>
            </w:tcBorders>
            <w:shd w:val="clear" w:color="auto" w:fill="auto"/>
            <w:vAlign w:val="center"/>
            <w:hideMark/>
          </w:tcPr>
          <w:p w14:paraId="290A5B17"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449,4 </w:t>
            </w:r>
          </w:p>
        </w:tc>
        <w:tc>
          <w:tcPr>
            <w:tcW w:w="738" w:type="dxa"/>
            <w:tcBorders>
              <w:top w:val="nil"/>
              <w:left w:val="nil"/>
              <w:bottom w:val="single" w:sz="4" w:space="0" w:color="auto"/>
              <w:right w:val="double" w:sz="6" w:space="0" w:color="auto"/>
            </w:tcBorders>
            <w:shd w:val="clear" w:color="auto" w:fill="auto"/>
            <w:vAlign w:val="center"/>
            <w:hideMark/>
          </w:tcPr>
          <w:p w14:paraId="0D554BFD"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96,3 </w:t>
            </w:r>
          </w:p>
        </w:tc>
      </w:tr>
      <w:tr w:rsidR="00FD7B0B" w:rsidRPr="00FD7B0B" w14:paraId="72C730C5"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64A51953"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"Развитие образования и науки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2CC97A6B"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2 577,3 </w:t>
            </w:r>
          </w:p>
        </w:tc>
        <w:tc>
          <w:tcPr>
            <w:tcW w:w="1100" w:type="dxa"/>
            <w:tcBorders>
              <w:top w:val="nil"/>
              <w:left w:val="nil"/>
              <w:bottom w:val="single" w:sz="4" w:space="0" w:color="auto"/>
              <w:right w:val="single" w:sz="4" w:space="0" w:color="auto"/>
            </w:tcBorders>
            <w:shd w:val="clear" w:color="auto" w:fill="auto"/>
            <w:vAlign w:val="center"/>
            <w:hideMark/>
          </w:tcPr>
          <w:p w14:paraId="486A189D"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2 577,3 </w:t>
            </w:r>
          </w:p>
        </w:tc>
        <w:tc>
          <w:tcPr>
            <w:tcW w:w="738" w:type="dxa"/>
            <w:tcBorders>
              <w:top w:val="nil"/>
              <w:left w:val="nil"/>
              <w:bottom w:val="single" w:sz="4" w:space="0" w:color="auto"/>
              <w:right w:val="double" w:sz="6" w:space="0" w:color="auto"/>
            </w:tcBorders>
            <w:shd w:val="clear" w:color="auto" w:fill="auto"/>
            <w:vAlign w:val="center"/>
            <w:hideMark/>
          </w:tcPr>
          <w:p w14:paraId="293F0C4A"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2140AC60"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5EA6F71E"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1097" w:type="dxa"/>
            <w:tcBorders>
              <w:top w:val="nil"/>
              <w:left w:val="nil"/>
              <w:bottom w:val="single" w:sz="4" w:space="0" w:color="auto"/>
              <w:right w:val="single" w:sz="4" w:space="0" w:color="auto"/>
            </w:tcBorders>
            <w:shd w:val="clear" w:color="auto" w:fill="auto"/>
            <w:vAlign w:val="center"/>
            <w:hideMark/>
          </w:tcPr>
          <w:p w14:paraId="466315FC"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861,0 </w:t>
            </w:r>
          </w:p>
        </w:tc>
        <w:tc>
          <w:tcPr>
            <w:tcW w:w="1100" w:type="dxa"/>
            <w:tcBorders>
              <w:top w:val="nil"/>
              <w:left w:val="nil"/>
              <w:bottom w:val="single" w:sz="4" w:space="0" w:color="auto"/>
              <w:right w:val="single" w:sz="4" w:space="0" w:color="auto"/>
            </w:tcBorders>
            <w:shd w:val="clear" w:color="auto" w:fill="auto"/>
            <w:vAlign w:val="center"/>
            <w:hideMark/>
          </w:tcPr>
          <w:p w14:paraId="624F4773"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861,0 </w:t>
            </w:r>
          </w:p>
        </w:tc>
        <w:tc>
          <w:tcPr>
            <w:tcW w:w="738" w:type="dxa"/>
            <w:tcBorders>
              <w:top w:val="nil"/>
              <w:left w:val="nil"/>
              <w:bottom w:val="single" w:sz="4" w:space="0" w:color="auto"/>
              <w:right w:val="double" w:sz="6" w:space="0" w:color="auto"/>
            </w:tcBorders>
            <w:shd w:val="clear" w:color="auto" w:fill="auto"/>
            <w:vAlign w:val="center"/>
            <w:hideMark/>
          </w:tcPr>
          <w:p w14:paraId="1674FDFE"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65999438"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4921B411"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"Культура Русского Севера"</w:t>
            </w:r>
          </w:p>
        </w:tc>
        <w:tc>
          <w:tcPr>
            <w:tcW w:w="1097" w:type="dxa"/>
            <w:tcBorders>
              <w:top w:val="nil"/>
              <w:left w:val="nil"/>
              <w:bottom w:val="single" w:sz="4" w:space="0" w:color="auto"/>
              <w:right w:val="single" w:sz="4" w:space="0" w:color="auto"/>
            </w:tcBorders>
            <w:shd w:val="clear" w:color="auto" w:fill="auto"/>
            <w:vAlign w:val="center"/>
            <w:hideMark/>
          </w:tcPr>
          <w:p w14:paraId="2D05DE2C"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96,9 </w:t>
            </w:r>
          </w:p>
        </w:tc>
        <w:tc>
          <w:tcPr>
            <w:tcW w:w="1100" w:type="dxa"/>
            <w:tcBorders>
              <w:top w:val="nil"/>
              <w:left w:val="nil"/>
              <w:bottom w:val="single" w:sz="4" w:space="0" w:color="auto"/>
              <w:right w:val="single" w:sz="4" w:space="0" w:color="auto"/>
            </w:tcBorders>
            <w:shd w:val="clear" w:color="auto" w:fill="auto"/>
            <w:vAlign w:val="center"/>
            <w:hideMark/>
          </w:tcPr>
          <w:p w14:paraId="55290A56"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96,9 </w:t>
            </w:r>
          </w:p>
        </w:tc>
        <w:tc>
          <w:tcPr>
            <w:tcW w:w="738" w:type="dxa"/>
            <w:tcBorders>
              <w:top w:val="nil"/>
              <w:left w:val="nil"/>
              <w:bottom w:val="single" w:sz="4" w:space="0" w:color="auto"/>
              <w:right w:val="double" w:sz="6" w:space="0" w:color="auto"/>
            </w:tcBorders>
            <w:shd w:val="clear" w:color="auto" w:fill="auto"/>
            <w:vAlign w:val="center"/>
            <w:hideMark/>
          </w:tcPr>
          <w:p w14:paraId="227E629B"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7223A88E"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4FD82639"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"Обеспечение качественным, доступным жильем и объектами инженерной инфраструктуры населения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323F388B"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4 340,6 </w:t>
            </w:r>
          </w:p>
        </w:tc>
        <w:tc>
          <w:tcPr>
            <w:tcW w:w="1100" w:type="dxa"/>
            <w:tcBorders>
              <w:top w:val="nil"/>
              <w:left w:val="nil"/>
              <w:bottom w:val="single" w:sz="4" w:space="0" w:color="auto"/>
              <w:right w:val="single" w:sz="4" w:space="0" w:color="auto"/>
            </w:tcBorders>
            <w:shd w:val="clear" w:color="auto" w:fill="auto"/>
            <w:vAlign w:val="center"/>
            <w:hideMark/>
          </w:tcPr>
          <w:p w14:paraId="3E68EC30"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4 325,9 </w:t>
            </w:r>
          </w:p>
        </w:tc>
        <w:tc>
          <w:tcPr>
            <w:tcW w:w="738" w:type="dxa"/>
            <w:tcBorders>
              <w:top w:val="nil"/>
              <w:left w:val="nil"/>
              <w:bottom w:val="single" w:sz="4" w:space="0" w:color="auto"/>
              <w:right w:val="double" w:sz="6" w:space="0" w:color="auto"/>
            </w:tcBorders>
            <w:shd w:val="clear" w:color="auto" w:fill="auto"/>
            <w:vAlign w:val="center"/>
            <w:hideMark/>
          </w:tcPr>
          <w:p w14:paraId="5A39B00C"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99,7 </w:t>
            </w:r>
          </w:p>
        </w:tc>
      </w:tr>
      <w:tr w:rsidR="00FD7B0B" w:rsidRPr="00FD7B0B" w14:paraId="016FCE81"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5D063483"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"Содействие занятости населения Архангельской области, улучшение условий и охраны труда"</w:t>
            </w:r>
          </w:p>
        </w:tc>
        <w:tc>
          <w:tcPr>
            <w:tcW w:w="1097" w:type="dxa"/>
            <w:tcBorders>
              <w:top w:val="nil"/>
              <w:left w:val="nil"/>
              <w:bottom w:val="single" w:sz="4" w:space="0" w:color="auto"/>
              <w:right w:val="single" w:sz="4" w:space="0" w:color="auto"/>
            </w:tcBorders>
            <w:shd w:val="clear" w:color="auto" w:fill="auto"/>
            <w:vAlign w:val="center"/>
            <w:hideMark/>
          </w:tcPr>
          <w:p w14:paraId="52197934"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41,5 </w:t>
            </w:r>
          </w:p>
        </w:tc>
        <w:tc>
          <w:tcPr>
            <w:tcW w:w="1100" w:type="dxa"/>
            <w:tcBorders>
              <w:top w:val="nil"/>
              <w:left w:val="nil"/>
              <w:bottom w:val="single" w:sz="4" w:space="0" w:color="auto"/>
              <w:right w:val="single" w:sz="4" w:space="0" w:color="auto"/>
            </w:tcBorders>
            <w:shd w:val="clear" w:color="auto" w:fill="auto"/>
            <w:vAlign w:val="center"/>
            <w:hideMark/>
          </w:tcPr>
          <w:p w14:paraId="364BA425"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41,5 </w:t>
            </w:r>
          </w:p>
        </w:tc>
        <w:tc>
          <w:tcPr>
            <w:tcW w:w="738" w:type="dxa"/>
            <w:tcBorders>
              <w:top w:val="nil"/>
              <w:left w:val="nil"/>
              <w:bottom w:val="single" w:sz="4" w:space="0" w:color="auto"/>
              <w:right w:val="double" w:sz="6" w:space="0" w:color="auto"/>
            </w:tcBorders>
            <w:shd w:val="clear" w:color="auto" w:fill="auto"/>
            <w:vAlign w:val="center"/>
            <w:hideMark/>
          </w:tcPr>
          <w:p w14:paraId="0EE4FAA2"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1CACAC68"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3951E070"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151BFDA9"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4,7 </w:t>
            </w:r>
          </w:p>
        </w:tc>
        <w:tc>
          <w:tcPr>
            <w:tcW w:w="1100" w:type="dxa"/>
            <w:tcBorders>
              <w:top w:val="nil"/>
              <w:left w:val="nil"/>
              <w:bottom w:val="single" w:sz="4" w:space="0" w:color="auto"/>
              <w:right w:val="single" w:sz="4" w:space="0" w:color="auto"/>
            </w:tcBorders>
            <w:shd w:val="clear" w:color="auto" w:fill="auto"/>
            <w:vAlign w:val="center"/>
            <w:hideMark/>
          </w:tcPr>
          <w:p w14:paraId="6DDEFA95"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4,7 </w:t>
            </w:r>
          </w:p>
        </w:tc>
        <w:tc>
          <w:tcPr>
            <w:tcW w:w="738" w:type="dxa"/>
            <w:tcBorders>
              <w:top w:val="nil"/>
              <w:left w:val="nil"/>
              <w:bottom w:val="single" w:sz="4" w:space="0" w:color="auto"/>
              <w:right w:val="double" w:sz="6" w:space="0" w:color="auto"/>
            </w:tcBorders>
            <w:shd w:val="clear" w:color="auto" w:fill="auto"/>
            <w:vAlign w:val="center"/>
            <w:hideMark/>
          </w:tcPr>
          <w:p w14:paraId="1E401D31"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5ED465B"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275ECFD3"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"Защита населения и территорий Архангельской области от чрезвычайных ситуаций, обеспечение пожарной безопасности и безопасности на водных объектах"</w:t>
            </w:r>
          </w:p>
        </w:tc>
        <w:tc>
          <w:tcPr>
            <w:tcW w:w="1097" w:type="dxa"/>
            <w:tcBorders>
              <w:top w:val="nil"/>
              <w:left w:val="nil"/>
              <w:bottom w:val="single" w:sz="4" w:space="0" w:color="auto"/>
              <w:right w:val="single" w:sz="4" w:space="0" w:color="auto"/>
            </w:tcBorders>
            <w:shd w:val="clear" w:color="auto" w:fill="auto"/>
            <w:vAlign w:val="center"/>
            <w:hideMark/>
          </w:tcPr>
          <w:p w14:paraId="7B579469"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7,8 </w:t>
            </w:r>
          </w:p>
        </w:tc>
        <w:tc>
          <w:tcPr>
            <w:tcW w:w="1100" w:type="dxa"/>
            <w:tcBorders>
              <w:top w:val="nil"/>
              <w:left w:val="nil"/>
              <w:bottom w:val="single" w:sz="4" w:space="0" w:color="auto"/>
              <w:right w:val="single" w:sz="4" w:space="0" w:color="auto"/>
            </w:tcBorders>
            <w:shd w:val="clear" w:color="auto" w:fill="auto"/>
            <w:vAlign w:val="center"/>
            <w:hideMark/>
          </w:tcPr>
          <w:p w14:paraId="69E57A47"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7,8 </w:t>
            </w:r>
          </w:p>
        </w:tc>
        <w:tc>
          <w:tcPr>
            <w:tcW w:w="738" w:type="dxa"/>
            <w:tcBorders>
              <w:top w:val="nil"/>
              <w:left w:val="nil"/>
              <w:bottom w:val="single" w:sz="4" w:space="0" w:color="auto"/>
              <w:right w:val="double" w:sz="6" w:space="0" w:color="auto"/>
            </w:tcBorders>
            <w:shd w:val="clear" w:color="auto" w:fill="auto"/>
            <w:vAlign w:val="center"/>
            <w:hideMark/>
          </w:tcPr>
          <w:p w14:paraId="2390D2A2"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012F566"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AB0B8B1"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"Охрана окружающей среды, воспроизводство и использование природных ресурсов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68AA61DF"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360,4 </w:t>
            </w:r>
          </w:p>
        </w:tc>
        <w:tc>
          <w:tcPr>
            <w:tcW w:w="1100" w:type="dxa"/>
            <w:tcBorders>
              <w:top w:val="nil"/>
              <w:left w:val="nil"/>
              <w:bottom w:val="single" w:sz="4" w:space="0" w:color="auto"/>
              <w:right w:val="single" w:sz="4" w:space="0" w:color="auto"/>
            </w:tcBorders>
            <w:shd w:val="clear" w:color="auto" w:fill="auto"/>
            <w:vAlign w:val="center"/>
            <w:hideMark/>
          </w:tcPr>
          <w:p w14:paraId="6B79A6B7"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360,4 </w:t>
            </w:r>
          </w:p>
        </w:tc>
        <w:tc>
          <w:tcPr>
            <w:tcW w:w="738" w:type="dxa"/>
            <w:tcBorders>
              <w:top w:val="nil"/>
              <w:left w:val="nil"/>
              <w:bottom w:val="single" w:sz="4" w:space="0" w:color="auto"/>
              <w:right w:val="double" w:sz="6" w:space="0" w:color="auto"/>
            </w:tcBorders>
            <w:shd w:val="clear" w:color="auto" w:fill="auto"/>
            <w:vAlign w:val="center"/>
            <w:hideMark/>
          </w:tcPr>
          <w:p w14:paraId="34FD9A3D"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283F8822"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25CF85C"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lastRenderedPageBreak/>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1097" w:type="dxa"/>
            <w:tcBorders>
              <w:top w:val="nil"/>
              <w:left w:val="nil"/>
              <w:bottom w:val="single" w:sz="4" w:space="0" w:color="auto"/>
              <w:right w:val="single" w:sz="4" w:space="0" w:color="auto"/>
            </w:tcBorders>
            <w:shd w:val="clear" w:color="auto" w:fill="auto"/>
            <w:vAlign w:val="center"/>
            <w:hideMark/>
          </w:tcPr>
          <w:p w14:paraId="73B0C500"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337,0 </w:t>
            </w:r>
          </w:p>
        </w:tc>
        <w:tc>
          <w:tcPr>
            <w:tcW w:w="1100" w:type="dxa"/>
            <w:tcBorders>
              <w:top w:val="nil"/>
              <w:left w:val="nil"/>
              <w:bottom w:val="single" w:sz="4" w:space="0" w:color="auto"/>
              <w:right w:val="single" w:sz="4" w:space="0" w:color="auto"/>
            </w:tcBorders>
            <w:shd w:val="clear" w:color="auto" w:fill="auto"/>
            <w:vAlign w:val="center"/>
            <w:hideMark/>
          </w:tcPr>
          <w:p w14:paraId="5F8287E9"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337,0 </w:t>
            </w:r>
          </w:p>
        </w:tc>
        <w:tc>
          <w:tcPr>
            <w:tcW w:w="738" w:type="dxa"/>
            <w:tcBorders>
              <w:top w:val="nil"/>
              <w:left w:val="nil"/>
              <w:bottom w:val="single" w:sz="4" w:space="0" w:color="auto"/>
              <w:right w:val="double" w:sz="6" w:space="0" w:color="auto"/>
            </w:tcBorders>
            <w:shd w:val="clear" w:color="auto" w:fill="auto"/>
            <w:vAlign w:val="center"/>
            <w:hideMark/>
          </w:tcPr>
          <w:p w14:paraId="2DA4D9AD"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7F2205D"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2856425D"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"Развитие лесного комплекса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103CC49A"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110,6 </w:t>
            </w:r>
          </w:p>
        </w:tc>
        <w:tc>
          <w:tcPr>
            <w:tcW w:w="1100" w:type="dxa"/>
            <w:tcBorders>
              <w:top w:val="nil"/>
              <w:left w:val="nil"/>
              <w:bottom w:val="single" w:sz="4" w:space="0" w:color="auto"/>
              <w:right w:val="single" w:sz="4" w:space="0" w:color="auto"/>
            </w:tcBorders>
            <w:shd w:val="clear" w:color="auto" w:fill="auto"/>
            <w:vAlign w:val="center"/>
            <w:hideMark/>
          </w:tcPr>
          <w:p w14:paraId="064F011F"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110,6 </w:t>
            </w:r>
          </w:p>
        </w:tc>
        <w:tc>
          <w:tcPr>
            <w:tcW w:w="738" w:type="dxa"/>
            <w:tcBorders>
              <w:top w:val="nil"/>
              <w:left w:val="nil"/>
              <w:bottom w:val="single" w:sz="4" w:space="0" w:color="auto"/>
              <w:right w:val="double" w:sz="6" w:space="0" w:color="auto"/>
            </w:tcBorders>
            <w:shd w:val="clear" w:color="auto" w:fill="auto"/>
            <w:vAlign w:val="center"/>
            <w:hideMark/>
          </w:tcPr>
          <w:p w14:paraId="1FEAA614"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76EEE150"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6ED0541E"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"Совершенствование государственного управления и местного самоуправления, развитие институтов гражданского общества в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4937F5EA"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102,9 </w:t>
            </w:r>
          </w:p>
        </w:tc>
        <w:tc>
          <w:tcPr>
            <w:tcW w:w="1100" w:type="dxa"/>
            <w:tcBorders>
              <w:top w:val="nil"/>
              <w:left w:val="nil"/>
              <w:bottom w:val="single" w:sz="4" w:space="0" w:color="auto"/>
              <w:right w:val="single" w:sz="4" w:space="0" w:color="auto"/>
            </w:tcBorders>
            <w:shd w:val="clear" w:color="auto" w:fill="auto"/>
            <w:vAlign w:val="center"/>
            <w:hideMark/>
          </w:tcPr>
          <w:p w14:paraId="02E1E4F5"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101,6 </w:t>
            </w:r>
          </w:p>
        </w:tc>
        <w:tc>
          <w:tcPr>
            <w:tcW w:w="738" w:type="dxa"/>
            <w:tcBorders>
              <w:top w:val="nil"/>
              <w:left w:val="nil"/>
              <w:bottom w:val="single" w:sz="4" w:space="0" w:color="auto"/>
              <w:right w:val="double" w:sz="6" w:space="0" w:color="auto"/>
            </w:tcBorders>
            <w:shd w:val="clear" w:color="auto" w:fill="auto"/>
            <w:vAlign w:val="center"/>
            <w:hideMark/>
          </w:tcPr>
          <w:p w14:paraId="2F194167"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98,7 </w:t>
            </w:r>
          </w:p>
        </w:tc>
      </w:tr>
      <w:tr w:rsidR="00FD7B0B" w:rsidRPr="00FD7B0B" w14:paraId="784CEEC3"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4546A330"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"Развитие энергетики и жилищно-коммунального хозяйства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41EF3C48"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2 497,7 </w:t>
            </w:r>
          </w:p>
        </w:tc>
        <w:tc>
          <w:tcPr>
            <w:tcW w:w="1100" w:type="dxa"/>
            <w:tcBorders>
              <w:top w:val="nil"/>
              <w:left w:val="nil"/>
              <w:bottom w:val="single" w:sz="4" w:space="0" w:color="auto"/>
              <w:right w:val="single" w:sz="4" w:space="0" w:color="auto"/>
            </w:tcBorders>
            <w:shd w:val="clear" w:color="auto" w:fill="auto"/>
            <w:vAlign w:val="center"/>
            <w:hideMark/>
          </w:tcPr>
          <w:p w14:paraId="11E879D0"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1 505,9 </w:t>
            </w:r>
          </w:p>
        </w:tc>
        <w:tc>
          <w:tcPr>
            <w:tcW w:w="738" w:type="dxa"/>
            <w:tcBorders>
              <w:top w:val="nil"/>
              <w:left w:val="nil"/>
              <w:bottom w:val="single" w:sz="4" w:space="0" w:color="auto"/>
              <w:right w:val="double" w:sz="6" w:space="0" w:color="auto"/>
            </w:tcBorders>
            <w:shd w:val="clear" w:color="auto" w:fill="auto"/>
            <w:vAlign w:val="center"/>
            <w:hideMark/>
          </w:tcPr>
          <w:p w14:paraId="1E95EA5F"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60,3 </w:t>
            </w:r>
          </w:p>
        </w:tc>
      </w:tr>
      <w:tr w:rsidR="00FD7B0B" w:rsidRPr="00FD7B0B" w14:paraId="4F62DB74"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3A70AE25"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"Развитие транспортной системы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0FD58C4C"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784,2 </w:t>
            </w:r>
          </w:p>
        </w:tc>
        <w:tc>
          <w:tcPr>
            <w:tcW w:w="1100" w:type="dxa"/>
            <w:tcBorders>
              <w:top w:val="nil"/>
              <w:left w:val="nil"/>
              <w:bottom w:val="single" w:sz="4" w:space="0" w:color="auto"/>
              <w:right w:val="single" w:sz="4" w:space="0" w:color="auto"/>
            </w:tcBorders>
            <w:shd w:val="clear" w:color="auto" w:fill="auto"/>
            <w:vAlign w:val="center"/>
            <w:hideMark/>
          </w:tcPr>
          <w:p w14:paraId="0E7404B2"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777,0 </w:t>
            </w:r>
          </w:p>
        </w:tc>
        <w:tc>
          <w:tcPr>
            <w:tcW w:w="738" w:type="dxa"/>
            <w:tcBorders>
              <w:top w:val="nil"/>
              <w:left w:val="nil"/>
              <w:bottom w:val="single" w:sz="4" w:space="0" w:color="auto"/>
              <w:right w:val="double" w:sz="6" w:space="0" w:color="auto"/>
            </w:tcBorders>
            <w:shd w:val="clear" w:color="auto" w:fill="auto"/>
            <w:vAlign w:val="center"/>
            <w:hideMark/>
          </w:tcPr>
          <w:p w14:paraId="13E4E647"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99,1 </w:t>
            </w:r>
          </w:p>
        </w:tc>
      </w:tr>
      <w:tr w:rsidR="00FD7B0B" w:rsidRPr="00FD7B0B" w14:paraId="49DAA524"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1E89CAAF"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"Развитие инфраструктуры Соловецкого архипелага"</w:t>
            </w:r>
          </w:p>
        </w:tc>
        <w:tc>
          <w:tcPr>
            <w:tcW w:w="1097" w:type="dxa"/>
            <w:tcBorders>
              <w:top w:val="nil"/>
              <w:left w:val="nil"/>
              <w:bottom w:val="single" w:sz="4" w:space="0" w:color="auto"/>
              <w:right w:val="single" w:sz="4" w:space="0" w:color="auto"/>
            </w:tcBorders>
            <w:shd w:val="clear" w:color="auto" w:fill="auto"/>
            <w:vAlign w:val="center"/>
            <w:hideMark/>
          </w:tcPr>
          <w:p w14:paraId="27315160"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307,4 </w:t>
            </w:r>
          </w:p>
        </w:tc>
        <w:tc>
          <w:tcPr>
            <w:tcW w:w="1100" w:type="dxa"/>
            <w:tcBorders>
              <w:top w:val="nil"/>
              <w:left w:val="nil"/>
              <w:bottom w:val="single" w:sz="4" w:space="0" w:color="auto"/>
              <w:right w:val="single" w:sz="4" w:space="0" w:color="auto"/>
            </w:tcBorders>
            <w:shd w:val="clear" w:color="auto" w:fill="auto"/>
            <w:vAlign w:val="center"/>
            <w:hideMark/>
          </w:tcPr>
          <w:p w14:paraId="2A0B9363"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307,4 </w:t>
            </w:r>
          </w:p>
        </w:tc>
        <w:tc>
          <w:tcPr>
            <w:tcW w:w="738" w:type="dxa"/>
            <w:tcBorders>
              <w:top w:val="nil"/>
              <w:left w:val="nil"/>
              <w:bottom w:val="single" w:sz="4" w:space="0" w:color="auto"/>
              <w:right w:val="double" w:sz="6" w:space="0" w:color="auto"/>
            </w:tcBorders>
            <w:shd w:val="clear" w:color="auto" w:fill="auto"/>
            <w:vAlign w:val="center"/>
            <w:hideMark/>
          </w:tcPr>
          <w:p w14:paraId="192209B2"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30854756"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63FE27C0"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"Комплексное развитие сельских территорий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2847CA24"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839,0 </w:t>
            </w:r>
          </w:p>
        </w:tc>
        <w:tc>
          <w:tcPr>
            <w:tcW w:w="1100" w:type="dxa"/>
            <w:tcBorders>
              <w:top w:val="nil"/>
              <w:left w:val="nil"/>
              <w:bottom w:val="single" w:sz="4" w:space="0" w:color="auto"/>
              <w:right w:val="single" w:sz="4" w:space="0" w:color="auto"/>
            </w:tcBorders>
            <w:shd w:val="clear" w:color="auto" w:fill="auto"/>
            <w:vAlign w:val="center"/>
            <w:hideMark/>
          </w:tcPr>
          <w:p w14:paraId="6522954D"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839,0 </w:t>
            </w:r>
          </w:p>
        </w:tc>
        <w:tc>
          <w:tcPr>
            <w:tcW w:w="738" w:type="dxa"/>
            <w:tcBorders>
              <w:top w:val="nil"/>
              <w:left w:val="nil"/>
              <w:bottom w:val="single" w:sz="4" w:space="0" w:color="auto"/>
              <w:right w:val="double" w:sz="6" w:space="0" w:color="auto"/>
            </w:tcBorders>
            <w:shd w:val="clear" w:color="auto" w:fill="auto"/>
            <w:vAlign w:val="center"/>
            <w:hideMark/>
          </w:tcPr>
          <w:p w14:paraId="7AC69D16"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8B3E158"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040E68EA"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"Экономическое развитие и инвестиционная деятельность в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37DB951A"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799,5 </w:t>
            </w:r>
          </w:p>
        </w:tc>
        <w:tc>
          <w:tcPr>
            <w:tcW w:w="1100" w:type="dxa"/>
            <w:tcBorders>
              <w:top w:val="nil"/>
              <w:left w:val="nil"/>
              <w:bottom w:val="single" w:sz="4" w:space="0" w:color="auto"/>
              <w:right w:val="single" w:sz="4" w:space="0" w:color="auto"/>
            </w:tcBorders>
            <w:shd w:val="clear" w:color="auto" w:fill="auto"/>
            <w:vAlign w:val="center"/>
            <w:hideMark/>
          </w:tcPr>
          <w:p w14:paraId="7DF3D3D8"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798,6 </w:t>
            </w:r>
          </w:p>
        </w:tc>
        <w:tc>
          <w:tcPr>
            <w:tcW w:w="738" w:type="dxa"/>
            <w:tcBorders>
              <w:top w:val="nil"/>
              <w:left w:val="nil"/>
              <w:bottom w:val="single" w:sz="4" w:space="0" w:color="auto"/>
              <w:right w:val="double" w:sz="6" w:space="0" w:color="auto"/>
            </w:tcBorders>
            <w:shd w:val="clear" w:color="auto" w:fill="auto"/>
            <w:vAlign w:val="center"/>
            <w:hideMark/>
          </w:tcPr>
          <w:p w14:paraId="0E12F7AA"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99,9 </w:t>
            </w:r>
          </w:p>
        </w:tc>
      </w:tr>
      <w:tr w:rsidR="00FD7B0B" w:rsidRPr="00FD7B0B" w14:paraId="08C4630E"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7D8A35D"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 xml:space="preserve"> - из них в рамках концессионного соглашения (кампус "Арктическая звезда")</w:t>
            </w:r>
          </w:p>
        </w:tc>
        <w:tc>
          <w:tcPr>
            <w:tcW w:w="1097" w:type="dxa"/>
            <w:tcBorders>
              <w:top w:val="nil"/>
              <w:left w:val="nil"/>
              <w:bottom w:val="single" w:sz="4" w:space="0" w:color="auto"/>
              <w:right w:val="single" w:sz="4" w:space="0" w:color="auto"/>
            </w:tcBorders>
            <w:shd w:val="clear" w:color="auto" w:fill="auto"/>
            <w:vAlign w:val="center"/>
            <w:hideMark/>
          </w:tcPr>
          <w:p w14:paraId="4D00220B"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450,0 </w:t>
            </w:r>
          </w:p>
        </w:tc>
        <w:tc>
          <w:tcPr>
            <w:tcW w:w="1100" w:type="dxa"/>
            <w:tcBorders>
              <w:top w:val="nil"/>
              <w:left w:val="nil"/>
              <w:bottom w:val="single" w:sz="4" w:space="0" w:color="auto"/>
              <w:right w:val="single" w:sz="4" w:space="0" w:color="auto"/>
            </w:tcBorders>
            <w:shd w:val="clear" w:color="auto" w:fill="auto"/>
            <w:vAlign w:val="center"/>
            <w:hideMark/>
          </w:tcPr>
          <w:p w14:paraId="1926D232"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450,0 </w:t>
            </w:r>
          </w:p>
        </w:tc>
        <w:tc>
          <w:tcPr>
            <w:tcW w:w="738" w:type="dxa"/>
            <w:tcBorders>
              <w:top w:val="nil"/>
              <w:left w:val="nil"/>
              <w:bottom w:val="single" w:sz="4" w:space="0" w:color="auto"/>
              <w:right w:val="double" w:sz="6" w:space="0" w:color="auto"/>
            </w:tcBorders>
            <w:shd w:val="clear" w:color="auto" w:fill="auto"/>
            <w:vAlign w:val="center"/>
            <w:hideMark/>
          </w:tcPr>
          <w:p w14:paraId="015A859C"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FC5E5C5"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118B819"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"Цифровое развитие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5C5B7C45"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1100" w:type="dxa"/>
            <w:tcBorders>
              <w:top w:val="nil"/>
              <w:left w:val="nil"/>
              <w:bottom w:val="single" w:sz="4" w:space="0" w:color="auto"/>
              <w:right w:val="single" w:sz="4" w:space="0" w:color="auto"/>
            </w:tcBorders>
            <w:shd w:val="clear" w:color="auto" w:fill="auto"/>
            <w:vAlign w:val="center"/>
            <w:hideMark/>
          </w:tcPr>
          <w:p w14:paraId="3CBB5BED"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738" w:type="dxa"/>
            <w:tcBorders>
              <w:top w:val="nil"/>
              <w:left w:val="nil"/>
              <w:bottom w:val="single" w:sz="4" w:space="0" w:color="auto"/>
              <w:right w:val="double" w:sz="6" w:space="0" w:color="auto"/>
            </w:tcBorders>
            <w:shd w:val="clear" w:color="auto" w:fill="auto"/>
            <w:vAlign w:val="center"/>
            <w:hideMark/>
          </w:tcPr>
          <w:p w14:paraId="7AC26C69"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w:t>
            </w:r>
          </w:p>
        </w:tc>
      </w:tr>
      <w:tr w:rsidR="00FD7B0B" w:rsidRPr="00FD7B0B" w14:paraId="231241F9"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360C6027"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"Развитие физической культуры и спорта в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13D18ABE"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75,9 </w:t>
            </w:r>
          </w:p>
        </w:tc>
        <w:tc>
          <w:tcPr>
            <w:tcW w:w="1100" w:type="dxa"/>
            <w:tcBorders>
              <w:top w:val="nil"/>
              <w:left w:val="nil"/>
              <w:bottom w:val="single" w:sz="4" w:space="0" w:color="auto"/>
              <w:right w:val="single" w:sz="4" w:space="0" w:color="auto"/>
            </w:tcBorders>
            <w:shd w:val="clear" w:color="auto" w:fill="auto"/>
            <w:vAlign w:val="center"/>
            <w:hideMark/>
          </w:tcPr>
          <w:p w14:paraId="68C454F1"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75,9 </w:t>
            </w:r>
          </w:p>
        </w:tc>
        <w:tc>
          <w:tcPr>
            <w:tcW w:w="738" w:type="dxa"/>
            <w:tcBorders>
              <w:top w:val="nil"/>
              <w:left w:val="nil"/>
              <w:bottom w:val="single" w:sz="4" w:space="0" w:color="auto"/>
              <w:right w:val="double" w:sz="6" w:space="0" w:color="auto"/>
            </w:tcBorders>
            <w:shd w:val="clear" w:color="auto" w:fill="auto"/>
            <w:vAlign w:val="center"/>
            <w:hideMark/>
          </w:tcPr>
          <w:p w14:paraId="4EFB8B0D"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7D88354A"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0E79B58B"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ГП АО "Управление государственным имуществом и земельными ресурсами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6E363EEE"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45,9 </w:t>
            </w:r>
          </w:p>
        </w:tc>
        <w:tc>
          <w:tcPr>
            <w:tcW w:w="1100" w:type="dxa"/>
            <w:tcBorders>
              <w:top w:val="nil"/>
              <w:left w:val="nil"/>
              <w:bottom w:val="single" w:sz="4" w:space="0" w:color="auto"/>
              <w:right w:val="single" w:sz="4" w:space="0" w:color="auto"/>
            </w:tcBorders>
            <w:shd w:val="clear" w:color="auto" w:fill="auto"/>
            <w:vAlign w:val="center"/>
            <w:hideMark/>
          </w:tcPr>
          <w:p w14:paraId="32191B76"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45,9 </w:t>
            </w:r>
          </w:p>
        </w:tc>
        <w:tc>
          <w:tcPr>
            <w:tcW w:w="738" w:type="dxa"/>
            <w:tcBorders>
              <w:top w:val="nil"/>
              <w:left w:val="nil"/>
              <w:bottom w:val="single" w:sz="4" w:space="0" w:color="auto"/>
              <w:right w:val="double" w:sz="6" w:space="0" w:color="auto"/>
            </w:tcBorders>
            <w:shd w:val="clear" w:color="auto" w:fill="auto"/>
            <w:vAlign w:val="center"/>
            <w:hideMark/>
          </w:tcPr>
          <w:p w14:paraId="083F4008"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42443235"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6D715589"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Резервный фонд Правительства Архангельской области</w:t>
            </w:r>
          </w:p>
        </w:tc>
        <w:tc>
          <w:tcPr>
            <w:tcW w:w="1097" w:type="dxa"/>
            <w:tcBorders>
              <w:top w:val="nil"/>
              <w:left w:val="nil"/>
              <w:bottom w:val="single" w:sz="4" w:space="0" w:color="auto"/>
              <w:right w:val="single" w:sz="4" w:space="0" w:color="auto"/>
            </w:tcBorders>
            <w:shd w:val="clear" w:color="auto" w:fill="auto"/>
            <w:vAlign w:val="center"/>
            <w:hideMark/>
          </w:tcPr>
          <w:p w14:paraId="2FEB5A23"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14,2 </w:t>
            </w:r>
          </w:p>
        </w:tc>
        <w:tc>
          <w:tcPr>
            <w:tcW w:w="1100" w:type="dxa"/>
            <w:tcBorders>
              <w:top w:val="nil"/>
              <w:left w:val="nil"/>
              <w:bottom w:val="single" w:sz="4" w:space="0" w:color="auto"/>
              <w:right w:val="single" w:sz="4" w:space="0" w:color="auto"/>
            </w:tcBorders>
            <w:shd w:val="clear" w:color="auto" w:fill="auto"/>
            <w:vAlign w:val="center"/>
            <w:hideMark/>
          </w:tcPr>
          <w:p w14:paraId="72EDC3CF"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14,2 </w:t>
            </w:r>
          </w:p>
        </w:tc>
        <w:tc>
          <w:tcPr>
            <w:tcW w:w="738" w:type="dxa"/>
            <w:tcBorders>
              <w:top w:val="nil"/>
              <w:left w:val="nil"/>
              <w:bottom w:val="single" w:sz="4" w:space="0" w:color="auto"/>
              <w:right w:val="double" w:sz="6" w:space="0" w:color="auto"/>
            </w:tcBorders>
            <w:shd w:val="clear" w:color="auto" w:fill="auto"/>
            <w:vAlign w:val="center"/>
            <w:hideMark/>
          </w:tcPr>
          <w:p w14:paraId="267DC6E6"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4A70D1FA" w14:textId="77777777" w:rsidTr="00B1696F">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4D46EE20"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Итого</w:t>
            </w:r>
          </w:p>
        </w:tc>
        <w:tc>
          <w:tcPr>
            <w:tcW w:w="1097" w:type="dxa"/>
            <w:tcBorders>
              <w:top w:val="nil"/>
              <w:left w:val="nil"/>
              <w:bottom w:val="single" w:sz="4" w:space="0" w:color="auto"/>
              <w:right w:val="single" w:sz="4" w:space="0" w:color="auto"/>
            </w:tcBorders>
            <w:shd w:val="clear" w:color="auto" w:fill="auto"/>
            <w:vAlign w:val="center"/>
            <w:hideMark/>
          </w:tcPr>
          <w:p w14:paraId="352A176B"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13 475,4 </w:t>
            </w:r>
          </w:p>
        </w:tc>
        <w:tc>
          <w:tcPr>
            <w:tcW w:w="1100" w:type="dxa"/>
            <w:tcBorders>
              <w:top w:val="nil"/>
              <w:left w:val="nil"/>
              <w:bottom w:val="single" w:sz="4" w:space="0" w:color="auto"/>
              <w:right w:val="single" w:sz="4" w:space="0" w:color="auto"/>
            </w:tcBorders>
            <w:shd w:val="clear" w:color="auto" w:fill="auto"/>
            <w:vAlign w:val="center"/>
            <w:hideMark/>
          </w:tcPr>
          <w:p w14:paraId="2AD13CE3"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12 442,1 </w:t>
            </w:r>
          </w:p>
        </w:tc>
        <w:tc>
          <w:tcPr>
            <w:tcW w:w="738" w:type="dxa"/>
            <w:tcBorders>
              <w:top w:val="nil"/>
              <w:left w:val="nil"/>
              <w:bottom w:val="single" w:sz="4" w:space="0" w:color="auto"/>
              <w:right w:val="double" w:sz="6" w:space="0" w:color="auto"/>
            </w:tcBorders>
            <w:shd w:val="clear" w:color="auto" w:fill="auto"/>
            <w:vAlign w:val="center"/>
            <w:hideMark/>
          </w:tcPr>
          <w:p w14:paraId="3819A236"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92,3 </w:t>
            </w:r>
          </w:p>
        </w:tc>
      </w:tr>
      <w:tr w:rsidR="00082A52" w:rsidRPr="00FD7B0B" w14:paraId="3678F92F" w14:textId="77777777" w:rsidTr="00B1696F">
        <w:trPr>
          <w:trHeight w:val="70"/>
        </w:trPr>
        <w:tc>
          <w:tcPr>
            <w:tcW w:w="6640" w:type="dxa"/>
            <w:tcBorders>
              <w:top w:val="nil"/>
              <w:left w:val="double" w:sz="6" w:space="0" w:color="auto"/>
              <w:bottom w:val="double" w:sz="6" w:space="0" w:color="auto"/>
              <w:right w:val="single" w:sz="4" w:space="0" w:color="auto"/>
            </w:tcBorders>
            <w:shd w:val="clear" w:color="auto" w:fill="auto"/>
            <w:vAlign w:val="center"/>
            <w:hideMark/>
          </w:tcPr>
          <w:p w14:paraId="65342DEC" w14:textId="77777777" w:rsidR="00082A52" w:rsidRPr="00FD7B0B" w:rsidRDefault="00082A52" w:rsidP="008918C2">
            <w:pPr>
              <w:spacing w:after="0" w:line="240" w:lineRule="auto"/>
              <w:rPr>
                <w:rFonts w:ascii="Times New Roman" w:hAnsi="Times New Roman" w:cs="Times New Roman"/>
              </w:rPr>
            </w:pPr>
            <w:r w:rsidRPr="00FD7B0B">
              <w:rPr>
                <w:rFonts w:ascii="Times New Roman" w:hAnsi="Times New Roman" w:cs="Times New Roman"/>
              </w:rPr>
              <w:t xml:space="preserve"> -  из них рамках концессионных соглашений</w:t>
            </w:r>
          </w:p>
        </w:tc>
        <w:tc>
          <w:tcPr>
            <w:tcW w:w="1097" w:type="dxa"/>
            <w:tcBorders>
              <w:top w:val="nil"/>
              <w:left w:val="nil"/>
              <w:bottom w:val="double" w:sz="6" w:space="0" w:color="auto"/>
              <w:right w:val="single" w:sz="4" w:space="0" w:color="auto"/>
            </w:tcBorders>
            <w:shd w:val="clear" w:color="auto" w:fill="auto"/>
            <w:vAlign w:val="center"/>
            <w:hideMark/>
          </w:tcPr>
          <w:p w14:paraId="1DD2A93A"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1100" w:type="dxa"/>
            <w:tcBorders>
              <w:top w:val="nil"/>
              <w:left w:val="nil"/>
              <w:bottom w:val="double" w:sz="6" w:space="0" w:color="auto"/>
              <w:right w:val="single" w:sz="4" w:space="0" w:color="auto"/>
            </w:tcBorders>
            <w:shd w:val="clear" w:color="auto" w:fill="auto"/>
            <w:vAlign w:val="center"/>
            <w:hideMark/>
          </w:tcPr>
          <w:p w14:paraId="35B2DE87"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738" w:type="dxa"/>
            <w:tcBorders>
              <w:top w:val="nil"/>
              <w:left w:val="nil"/>
              <w:bottom w:val="double" w:sz="6" w:space="0" w:color="auto"/>
              <w:right w:val="double" w:sz="6" w:space="0" w:color="auto"/>
            </w:tcBorders>
            <w:shd w:val="clear" w:color="auto" w:fill="auto"/>
            <w:vAlign w:val="center"/>
            <w:hideMark/>
          </w:tcPr>
          <w:p w14:paraId="2A0FAD52" w14:textId="77777777" w:rsidR="00082A52" w:rsidRPr="00FD7B0B" w:rsidRDefault="00082A52" w:rsidP="00B1696F">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bl>
    <w:p w14:paraId="59FC441C" w14:textId="77777777" w:rsidR="00082A52" w:rsidRPr="00FD7B0B" w:rsidRDefault="00082A52" w:rsidP="00B1696F">
      <w:pPr>
        <w:spacing w:after="0" w:line="240" w:lineRule="auto"/>
        <w:rPr>
          <w:rFonts w:ascii="Times New Roman" w:hAnsi="Times New Roman" w:cs="Times New Roman"/>
        </w:rPr>
      </w:pPr>
    </w:p>
    <w:p w14:paraId="3DCDBD50" w14:textId="77777777" w:rsidR="00082A52" w:rsidRPr="00FD7B0B" w:rsidRDefault="00082A52" w:rsidP="00B1696F">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Основные расходы областного бюджета в виде бюджетных инвестиций за 2024 года осуществлены в рамках реализации государственных программ Архангельской области «Обеспечение качественным, доступным жильем и объектами инженерной инфраструктуры населения Архангельской области» (уд. вес 34,8 %) на сумму 4 325,9 млн.руб., «Развитие образования и науки Архангельской области» (уд. вес. 20,7 %) – 2 577,3 млн.руб. и «Развитие энергетики и жилищно-коммунального хозяйства Архангельской области» (уд. вес 12,1 %) – 1 505,9 млн.руб. В совокупности указанные расходы составляют 67,6 % от общей суммы бюджетных инвестиций за отчетный период.</w:t>
      </w:r>
    </w:p>
    <w:p w14:paraId="18E4896C" w14:textId="553729EA" w:rsidR="00082A52" w:rsidRPr="00FD7B0B" w:rsidRDefault="00082A52" w:rsidP="00B34895">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Отмечается низкий уровень инвестиционных расходов в рамках реализации государственной программы Архангельской области ««Развитие энергетики и жилищно-коммунального хозяйства Архангельской области» – 60,3 % к плану года, где расходы из областного бюджета на модернизацию (строительство) котельных на твердом биотопливе, источником финансового обеспечения которых является специальный казначейский кредит обеспечены на 50,4 %, что составило 1 008,3 млн.руб. и сведения по муниципальным образованиям приведена в таблице </w:t>
      </w:r>
      <w:r w:rsidR="00CA2A49" w:rsidRPr="00FD7B0B">
        <w:rPr>
          <w:rFonts w:ascii="Times New Roman" w:hAnsi="Times New Roman" w:cs="Times New Roman"/>
          <w:sz w:val="28"/>
          <w:szCs w:val="28"/>
        </w:rPr>
        <w:t>236</w:t>
      </w:r>
      <w:r w:rsidRPr="00FD7B0B">
        <w:rPr>
          <w:rFonts w:ascii="Times New Roman" w:hAnsi="Times New Roman" w:cs="Times New Roman"/>
          <w:sz w:val="28"/>
          <w:szCs w:val="28"/>
        </w:rPr>
        <w:t>.</w:t>
      </w:r>
    </w:p>
    <w:p w14:paraId="1FE68520" w14:textId="77777777" w:rsidR="00CA2A49" w:rsidRPr="00FD7B0B" w:rsidRDefault="00CA2A49" w:rsidP="00B34895">
      <w:pPr>
        <w:keepNext/>
        <w:spacing w:after="0" w:line="240" w:lineRule="auto"/>
        <w:rPr>
          <w:rFonts w:ascii="Times New Roman" w:eastAsia="Calibri" w:hAnsi="Times New Roman" w:cs="Times New Roman"/>
          <w:bCs/>
          <w:sz w:val="24"/>
          <w:szCs w:val="24"/>
        </w:rPr>
      </w:pPr>
    </w:p>
    <w:p w14:paraId="5B0B31C2" w14:textId="77777777" w:rsidR="00CA2A49" w:rsidRPr="00FD7B0B" w:rsidRDefault="00CA2A49" w:rsidP="00CA2A49">
      <w:pPr>
        <w:widowControl w:val="0"/>
        <w:spacing w:after="0" w:line="240" w:lineRule="auto"/>
        <w:rPr>
          <w:rFonts w:ascii="Times New Roman" w:eastAsia="Calibri" w:hAnsi="Times New Roman" w:cs="Times New Roman"/>
          <w:bCs/>
          <w:sz w:val="24"/>
          <w:szCs w:val="24"/>
        </w:rPr>
      </w:pPr>
    </w:p>
    <w:p w14:paraId="5780BF89" w14:textId="77777777" w:rsidR="00CA2A49" w:rsidRPr="00FD7B0B" w:rsidRDefault="00CA2A49" w:rsidP="00CA2A49">
      <w:pPr>
        <w:widowControl w:val="0"/>
        <w:spacing w:after="0" w:line="240" w:lineRule="auto"/>
        <w:rPr>
          <w:rFonts w:ascii="Times New Roman" w:eastAsia="Calibri" w:hAnsi="Times New Roman" w:cs="Times New Roman"/>
          <w:bCs/>
          <w:sz w:val="24"/>
          <w:szCs w:val="24"/>
        </w:rPr>
      </w:pPr>
    </w:p>
    <w:p w14:paraId="0140BF5E" w14:textId="77777777" w:rsidR="00CA2A49" w:rsidRPr="00FD7B0B" w:rsidRDefault="00CA2A49" w:rsidP="00CA2A49">
      <w:pPr>
        <w:widowControl w:val="0"/>
        <w:spacing w:after="0" w:line="240" w:lineRule="auto"/>
        <w:rPr>
          <w:rFonts w:ascii="Times New Roman" w:eastAsia="Calibri" w:hAnsi="Times New Roman" w:cs="Times New Roman"/>
          <w:bCs/>
          <w:sz w:val="24"/>
          <w:szCs w:val="24"/>
        </w:rPr>
      </w:pPr>
    </w:p>
    <w:p w14:paraId="2BFA2F66" w14:textId="77777777" w:rsidR="00CA2A49" w:rsidRPr="00FD7B0B" w:rsidRDefault="00CA2A49" w:rsidP="00CA2A49">
      <w:pPr>
        <w:widowControl w:val="0"/>
        <w:spacing w:after="0" w:line="240" w:lineRule="auto"/>
        <w:rPr>
          <w:rFonts w:ascii="Times New Roman" w:eastAsia="Calibri" w:hAnsi="Times New Roman" w:cs="Times New Roman"/>
          <w:bCs/>
          <w:sz w:val="24"/>
          <w:szCs w:val="24"/>
        </w:rPr>
      </w:pPr>
    </w:p>
    <w:p w14:paraId="37F92304" w14:textId="77777777" w:rsidR="00CA2A49" w:rsidRPr="00FD7B0B" w:rsidRDefault="00CA2A49" w:rsidP="00CA2A49">
      <w:pPr>
        <w:widowControl w:val="0"/>
        <w:spacing w:after="0" w:line="240" w:lineRule="auto"/>
        <w:rPr>
          <w:rFonts w:ascii="Times New Roman" w:eastAsia="Calibri" w:hAnsi="Times New Roman" w:cs="Times New Roman"/>
          <w:bCs/>
          <w:sz w:val="24"/>
          <w:szCs w:val="24"/>
        </w:rPr>
      </w:pPr>
    </w:p>
    <w:p w14:paraId="38F20C5C" w14:textId="77777777" w:rsidR="00082A52" w:rsidRPr="00FD7B0B" w:rsidRDefault="00082A52" w:rsidP="00CA2A49">
      <w:pPr>
        <w:widowControl w:val="0"/>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lastRenderedPageBreak/>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236</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из областного бюджета за 2024 год в виде иных межбюджетных трансфертов бюджетам муниципальных образований на модернизацию (строительство) котельных на твердом биотопливе, источником финансового обеспечения которых является специальный казначейский кредит, млн.руб.</w:t>
      </w:r>
    </w:p>
    <w:tbl>
      <w:tblPr>
        <w:tblW w:w="7726" w:type="dxa"/>
        <w:jc w:val="center"/>
        <w:tblLook w:val="04A0" w:firstRow="1" w:lastRow="0" w:firstColumn="1" w:lastColumn="0" w:noHBand="0" w:noVBand="1"/>
      </w:tblPr>
      <w:tblGrid>
        <w:gridCol w:w="2235"/>
        <w:gridCol w:w="1961"/>
        <w:gridCol w:w="1323"/>
        <w:gridCol w:w="1416"/>
        <w:gridCol w:w="791"/>
      </w:tblGrid>
      <w:tr w:rsidR="00FD7B0B" w:rsidRPr="00FD7B0B" w14:paraId="680F1D06" w14:textId="77777777" w:rsidTr="00082A52">
        <w:trPr>
          <w:trHeight w:val="35"/>
          <w:tblHeader/>
          <w:jc w:val="center"/>
        </w:trPr>
        <w:tc>
          <w:tcPr>
            <w:tcW w:w="223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8D0FCDD" w14:textId="77777777" w:rsidR="00082A52" w:rsidRPr="00FD7B0B" w:rsidRDefault="00082A52" w:rsidP="00B34895">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1961" w:type="dxa"/>
            <w:tcBorders>
              <w:top w:val="double" w:sz="6" w:space="0" w:color="auto"/>
              <w:left w:val="nil"/>
              <w:bottom w:val="single" w:sz="4" w:space="0" w:color="auto"/>
              <w:right w:val="single" w:sz="4" w:space="0" w:color="auto"/>
            </w:tcBorders>
            <w:shd w:val="clear" w:color="auto" w:fill="auto"/>
            <w:vAlign w:val="center"/>
            <w:hideMark/>
          </w:tcPr>
          <w:p w14:paraId="44818326" w14:textId="77777777" w:rsidR="00082A52" w:rsidRPr="00FD7B0B" w:rsidRDefault="00082A52" w:rsidP="00B34895">
            <w:pPr>
              <w:spacing w:after="0" w:line="240" w:lineRule="auto"/>
              <w:jc w:val="center"/>
              <w:rPr>
                <w:rFonts w:ascii="Times New Roman" w:hAnsi="Times New Roman" w:cs="Times New Roman"/>
              </w:rPr>
            </w:pPr>
            <w:r w:rsidRPr="00FD7B0B">
              <w:rPr>
                <w:rFonts w:ascii="Times New Roman" w:hAnsi="Times New Roman" w:cs="Times New Roman"/>
              </w:rPr>
              <w:t>Кол-во объектов</w:t>
            </w:r>
          </w:p>
        </w:tc>
        <w:tc>
          <w:tcPr>
            <w:tcW w:w="1323" w:type="dxa"/>
            <w:tcBorders>
              <w:top w:val="double" w:sz="6" w:space="0" w:color="auto"/>
              <w:left w:val="nil"/>
              <w:bottom w:val="single" w:sz="4" w:space="0" w:color="auto"/>
              <w:right w:val="single" w:sz="4" w:space="0" w:color="auto"/>
            </w:tcBorders>
            <w:shd w:val="clear" w:color="auto" w:fill="auto"/>
            <w:vAlign w:val="center"/>
            <w:hideMark/>
          </w:tcPr>
          <w:p w14:paraId="379132FB" w14:textId="77777777" w:rsidR="00082A52" w:rsidRPr="00FD7B0B" w:rsidRDefault="00082A52" w:rsidP="00B34895">
            <w:pPr>
              <w:spacing w:after="0" w:line="240" w:lineRule="auto"/>
              <w:jc w:val="center"/>
              <w:rPr>
                <w:rFonts w:ascii="Times New Roman" w:hAnsi="Times New Roman" w:cs="Times New Roman"/>
              </w:rPr>
            </w:pPr>
            <w:r w:rsidRPr="00FD7B0B">
              <w:rPr>
                <w:rFonts w:ascii="Times New Roman" w:hAnsi="Times New Roman" w:cs="Times New Roman"/>
              </w:rPr>
              <w:t>План года</w:t>
            </w:r>
          </w:p>
        </w:tc>
        <w:tc>
          <w:tcPr>
            <w:tcW w:w="1416" w:type="dxa"/>
            <w:tcBorders>
              <w:top w:val="double" w:sz="6" w:space="0" w:color="auto"/>
              <w:left w:val="nil"/>
              <w:bottom w:val="single" w:sz="4" w:space="0" w:color="auto"/>
              <w:right w:val="single" w:sz="4" w:space="0" w:color="auto"/>
            </w:tcBorders>
            <w:shd w:val="clear" w:color="auto" w:fill="auto"/>
            <w:vAlign w:val="center"/>
            <w:hideMark/>
          </w:tcPr>
          <w:p w14:paraId="585D896B" w14:textId="77777777" w:rsidR="00082A52" w:rsidRPr="00FD7B0B" w:rsidRDefault="00082A52" w:rsidP="00B34895">
            <w:pPr>
              <w:spacing w:after="0" w:line="240" w:lineRule="auto"/>
              <w:jc w:val="center"/>
              <w:rPr>
                <w:rFonts w:ascii="Times New Roman" w:hAnsi="Times New Roman" w:cs="Times New Roman"/>
              </w:rPr>
            </w:pPr>
            <w:r w:rsidRPr="00FD7B0B">
              <w:rPr>
                <w:rFonts w:ascii="Times New Roman" w:hAnsi="Times New Roman" w:cs="Times New Roman"/>
              </w:rPr>
              <w:t>Исполнено</w:t>
            </w:r>
          </w:p>
        </w:tc>
        <w:tc>
          <w:tcPr>
            <w:tcW w:w="791" w:type="dxa"/>
            <w:tcBorders>
              <w:top w:val="double" w:sz="6" w:space="0" w:color="auto"/>
              <w:left w:val="nil"/>
              <w:bottom w:val="single" w:sz="4" w:space="0" w:color="auto"/>
              <w:right w:val="double" w:sz="6" w:space="0" w:color="auto"/>
            </w:tcBorders>
            <w:shd w:val="clear" w:color="auto" w:fill="auto"/>
            <w:vAlign w:val="center"/>
            <w:hideMark/>
          </w:tcPr>
          <w:p w14:paraId="176DBD98" w14:textId="77777777" w:rsidR="00082A52" w:rsidRPr="00FD7B0B" w:rsidRDefault="00082A52" w:rsidP="00B34895">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29D7C0C6" w14:textId="77777777" w:rsidTr="00082A52">
        <w:trPr>
          <w:trHeight w:val="70"/>
          <w:jc w:val="center"/>
        </w:trPr>
        <w:tc>
          <w:tcPr>
            <w:tcW w:w="2235" w:type="dxa"/>
            <w:tcBorders>
              <w:top w:val="nil"/>
              <w:left w:val="double" w:sz="6" w:space="0" w:color="auto"/>
              <w:bottom w:val="single" w:sz="4" w:space="0" w:color="auto"/>
              <w:right w:val="single" w:sz="4" w:space="0" w:color="auto"/>
            </w:tcBorders>
            <w:shd w:val="clear" w:color="auto" w:fill="auto"/>
            <w:vAlign w:val="center"/>
            <w:hideMark/>
          </w:tcPr>
          <w:p w14:paraId="26D960D9" w14:textId="77777777" w:rsidR="00082A52" w:rsidRPr="00FD7B0B" w:rsidRDefault="00082A52" w:rsidP="00B34895">
            <w:pPr>
              <w:spacing w:after="0" w:line="240" w:lineRule="auto"/>
              <w:rPr>
                <w:rFonts w:ascii="Times New Roman" w:hAnsi="Times New Roman" w:cs="Times New Roman"/>
              </w:rPr>
            </w:pPr>
            <w:r w:rsidRPr="00FD7B0B">
              <w:rPr>
                <w:rFonts w:ascii="Times New Roman" w:hAnsi="Times New Roman" w:cs="Times New Roman"/>
              </w:rPr>
              <w:t>Город Архангельск</w:t>
            </w:r>
          </w:p>
        </w:tc>
        <w:tc>
          <w:tcPr>
            <w:tcW w:w="1961" w:type="dxa"/>
            <w:tcBorders>
              <w:top w:val="nil"/>
              <w:left w:val="nil"/>
              <w:bottom w:val="single" w:sz="4" w:space="0" w:color="auto"/>
              <w:right w:val="single" w:sz="4" w:space="0" w:color="auto"/>
            </w:tcBorders>
            <w:shd w:val="clear" w:color="auto" w:fill="auto"/>
            <w:vAlign w:val="center"/>
            <w:hideMark/>
          </w:tcPr>
          <w:p w14:paraId="7C652D5C"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2</w:t>
            </w:r>
          </w:p>
        </w:tc>
        <w:tc>
          <w:tcPr>
            <w:tcW w:w="1323" w:type="dxa"/>
            <w:tcBorders>
              <w:top w:val="nil"/>
              <w:left w:val="nil"/>
              <w:bottom w:val="single" w:sz="4" w:space="0" w:color="auto"/>
              <w:right w:val="single" w:sz="4" w:space="0" w:color="auto"/>
            </w:tcBorders>
            <w:shd w:val="clear" w:color="auto" w:fill="auto"/>
            <w:vAlign w:val="center"/>
            <w:hideMark/>
          </w:tcPr>
          <w:p w14:paraId="508A1C08"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769,5 </w:t>
            </w:r>
          </w:p>
        </w:tc>
        <w:tc>
          <w:tcPr>
            <w:tcW w:w="1416" w:type="dxa"/>
            <w:tcBorders>
              <w:top w:val="nil"/>
              <w:left w:val="nil"/>
              <w:bottom w:val="single" w:sz="4" w:space="0" w:color="auto"/>
              <w:right w:val="single" w:sz="4" w:space="0" w:color="auto"/>
            </w:tcBorders>
            <w:shd w:val="clear" w:color="auto" w:fill="auto"/>
            <w:vAlign w:val="center"/>
            <w:hideMark/>
          </w:tcPr>
          <w:p w14:paraId="5D623140"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380,4 </w:t>
            </w:r>
          </w:p>
        </w:tc>
        <w:tc>
          <w:tcPr>
            <w:tcW w:w="791" w:type="dxa"/>
            <w:tcBorders>
              <w:top w:val="nil"/>
              <w:left w:val="nil"/>
              <w:bottom w:val="single" w:sz="4" w:space="0" w:color="auto"/>
              <w:right w:val="double" w:sz="6" w:space="0" w:color="auto"/>
            </w:tcBorders>
            <w:shd w:val="clear" w:color="auto" w:fill="auto"/>
            <w:vAlign w:val="center"/>
            <w:hideMark/>
          </w:tcPr>
          <w:p w14:paraId="1B0855FE"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49,4 </w:t>
            </w:r>
          </w:p>
        </w:tc>
      </w:tr>
      <w:tr w:rsidR="00FD7B0B" w:rsidRPr="00FD7B0B" w14:paraId="5FCED8C3" w14:textId="77777777" w:rsidTr="00082A52">
        <w:trPr>
          <w:trHeight w:val="70"/>
          <w:jc w:val="center"/>
        </w:trPr>
        <w:tc>
          <w:tcPr>
            <w:tcW w:w="2235" w:type="dxa"/>
            <w:tcBorders>
              <w:top w:val="nil"/>
              <w:left w:val="double" w:sz="6" w:space="0" w:color="auto"/>
              <w:bottom w:val="single" w:sz="4" w:space="0" w:color="auto"/>
              <w:right w:val="single" w:sz="4" w:space="0" w:color="auto"/>
            </w:tcBorders>
            <w:shd w:val="clear" w:color="auto" w:fill="auto"/>
            <w:vAlign w:val="center"/>
            <w:hideMark/>
          </w:tcPr>
          <w:p w14:paraId="550B3B0E" w14:textId="77777777" w:rsidR="00082A52" w:rsidRPr="00FD7B0B" w:rsidRDefault="00082A52" w:rsidP="00B34895">
            <w:pPr>
              <w:spacing w:after="0" w:line="240" w:lineRule="auto"/>
              <w:rPr>
                <w:rFonts w:ascii="Times New Roman" w:hAnsi="Times New Roman" w:cs="Times New Roman"/>
              </w:rPr>
            </w:pPr>
            <w:r w:rsidRPr="00FD7B0B">
              <w:rPr>
                <w:rFonts w:ascii="Times New Roman" w:hAnsi="Times New Roman" w:cs="Times New Roman"/>
              </w:rPr>
              <w:t>Плесецкий округ</w:t>
            </w:r>
          </w:p>
        </w:tc>
        <w:tc>
          <w:tcPr>
            <w:tcW w:w="1961" w:type="dxa"/>
            <w:tcBorders>
              <w:top w:val="nil"/>
              <w:left w:val="nil"/>
              <w:bottom w:val="single" w:sz="4" w:space="0" w:color="auto"/>
              <w:right w:val="single" w:sz="4" w:space="0" w:color="auto"/>
            </w:tcBorders>
            <w:shd w:val="clear" w:color="auto" w:fill="auto"/>
            <w:vAlign w:val="center"/>
            <w:hideMark/>
          </w:tcPr>
          <w:p w14:paraId="2AE55ABC"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1</w:t>
            </w:r>
          </w:p>
        </w:tc>
        <w:tc>
          <w:tcPr>
            <w:tcW w:w="1323" w:type="dxa"/>
            <w:tcBorders>
              <w:top w:val="nil"/>
              <w:left w:val="nil"/>
              <w:bottom w:val="single" w:sz="4" w:space="0" w:color="auto"/>
              <w:right w:val="single" w:sz="4" w:space="0" w:color="auto"/>
            </w:tcBorders>
            <w:shd w:val="clear" w:color="auto" w:fill="auto"/>
            <w:vAlign w:val="center"/>
            <w:hideMark/>
          </w:tcPr>
          <w:p w14:paraId="3BD69F2F"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47,2 </w:t>
            </w:r>
          </w:p>
        </w:tc>
        <w:tc>
          <w:tcPr>
            <w:tcW w:w="1416" w:type="dxa"/>
            <w:tcBorders>
              <w:top w:val="nil"/>
              <w:left w:val="nil"/>
              <w:bottom w:val="single" w:sz="4" w:space="0" w:color="auto"/>
              <w:right w:val="single" w:sz="4" w:space="0" w:color="auto"/>
            </w:tcBorders>
            <w:shd w:val="clear" w:color="auto" w:fill="auto"/>
            <w:vAlign w:val="center"/>
            <w:hideMark/>
          </w:tcPr>
          <w:p w14:paraId="33A5B374"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24,0 </w:t>
            </w:r>
          </w:p>
        </w:tc>
        <w:tc>
          <w:tcPr>
            <w:tcW w:w="791" w:type="dxa"/>
            <w:tcBorders>
              <w:top w:val="nil"/>
              <w:left w:val="nil"/>
              <w:bottom w:val="single" w:sz="4" w:space="0" w:color="auto"/>
              <w:right w:val="double" w:sz="6" w:space="0" w:color="auto"/>
            </w:tcBorders>
            <w:shd w:val="clear" w:color="auto" w:fill="auto"/>
            <w:vAlign w:val="center"/>
            <w:hideMark/>
          </w:tcPr>
          <w:p w14:paraId="76E239C3"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50,9 </w:t>
            </w:r>
          </w:p>
        </w:tc>
      </w:tr>
      <w:tr w:rsidR="00FD7B0B" w:rsidRPr="00FD7B0B" w14:paraId="55894E5C" w14:textId="77777777" w:rsidTr="00082A52">
        <w:trPr>
          <w:trHeight w:val="70"/>
          <w:jc w:val="center"/>
        </w:trPr>
        <w:tc>
          <w:tcPr>
            <w:tcW w:w="2235" w:type="dxa"/>
            <w:tcBorders>
              <w:top w:val="nil"/>
              <w:left w:val="double" w:sz="6" w:space="0" w:color="auto"/>
              <w:bottom w:val="single" w:sz="4" w:space="0" w:color="auto"/>
              <w:right w:val="single" w:sz="4" w:space="0" w:color="auto"/>
            </w:tcBorders>
            <w:shd w:val="clear" w:color="auto" w:fill="auto"/>
            <w:vAlign w:val="center"/>
            <w:hideMark/>
          </w:tcPr>
          <w:p w14:paraId="1D5E9279" w14:textId="77777777" w:rsidR="00082A52" w:rsidRPr="00FD7B0B" w:rsidRDefault="00082A52" w:rsidP="00B34895">
            <w:pPr>
              <w:spacing w:after="0" w:line="240" w:lineRule="auto"/>
              <w:rPr>
                <w:rFonts w:ascii="Times New Roman" w:hAnsi="Times New Roman" w:cs="Times New Roman"/>
              </w:rPr>
            </w:pPr>
            <w:r w:rsidRPr="00FD7B0B">
              <w:rPr>
                <w:rFonts w:ascii="Times New Roman" w:hAnsi="Times New Roman" w:cs="Times New Roman"/>
              </w:rPr>
              <w:t>Приморский округ</w:t>
            </w:r>
          </w:p>
        </w:tc>
        <w:tc>
          <w:tcPr>
            <w:tcW w:w="1961" w:type="dxa"/>
            <w:tcBorders>
              <w:top w:val="nil"/>
              <w:left w:val="nil"/>
              <w:bottom w:val="single" w:sz="4" w:space="0" w:color="auto"/>
              <w:right w:val="single" w:sz="4" w:space="0" w:color="auto"/>
            </w:tcBorders>
            <w:shd w:val="clear" w:color="auto" w:fill="auto"/>
            <w:vAlign w:val="center"/>
            <w:hideMark/>
          </w:tcPr>
          <w:p w14:paraId="5025F96F"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3</w:t>
            </w:r>
          </w:p>
        </w:tc>
        <w:tc>
          <w:tcPr>
            <w:tcW w:w="1323" w:type="dxa"/>
            <w:tcBorders>
              <w:top w:val="nil"/>
              <w:left w:val="nil"/>
              <w:bottom w:val="single" w:sz="4" w:space="0" w:color="auto"/>
              <w:right w:val="single" w:sz="4" w:space="0" w:color="auto"/>
            </w:tcBorders>
            <w:shd w:val="clear" w:color="auto" w:fill="auto"/>
            <w:vAlign w:val="center"/>
            <w:hideMark/>
          </w:tcPr>
          <w:p w14:paraId="5BDEEA1E"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206,0 </w:t>
            </w:r>
          </w:p>
        </w:tc>
        <w:tc>
          <w:tcPr>
            <w:tcW w:w="1416" w:type="dxa"/>
            <w:tcBorders>
              <w:top w:val="nil"/>
              <w:left w:val="nil"/>
              <w:bottom w:val="single" w:sz="4" w:space="0" w:color="auto"/>
              <w:right w:val="single" w:sz="4" w:space="0" w:color="auto"/>
            </w:tcBorders>
            <w:shd w:val="clear" w:color="auto" w:fill="auto"/>
            <w:vAlign w:val="center"/>
            <w:hideMark/>
          </w:tcPr>
          <w:p w14:paraId="11C87617"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102,7 </w:t>
            </w:r>
          </w:p>
        </w:tc>
        <w:tc>
          <w:tcPr>
            <w:tcW w:w="791" w:type="dxa"/>
            <w:tcBorders>
              <w:top w:val="nil"/>
              <w:left w:val="nil"/>
              <w:bottom w:val="single" w:sz="4" w:space="0" w:color="auto"/>
              <w:right w:val="double" w:sz="6" w:space="0" w:color="auto"/>
            </w:tcBorders>
            <w:shd w:val="clear" w:color="auto" w:fill="auto"/>
            <w:vAlign w:val="center"/>
            <w:hideMark/>
          </w:tcPr>
          <w:p w14:paraId="52670721"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49,8 </w:t>
            </w:r>
          </w:p>
        </w:tc>
      </w:tr>
      <w:tr w:rsidR="00FD7B0B" w:rsidRPr="00FD7B0B" w14:paraId="54C3F192" w14:textId="77777777" w:rsidTr="00082A52">
        <w:trPr>
          <w:trHeight w:val="70"/>
          <w:jc w:val="center"/>
        </w:trPr>
        <w:tc>
          <w:tcPr>
            <w:tcW w:w="2235" w:type="dxa"/>
            <w:tcBorders>
              <w:top w:val="nil"/>
              <w:left w:val="double" w:sz="6" w:space="0" w:color="auto"/>
              <w:bottom w:val="single" w:sz="4" w:space="0" w:color="auto"/>
              <w:right w:val="single" w:sz="4" w:space="0" w:color="auto"/>
            </w:tcBorders>
            <w:shd w:val="clear" w:color="auto" w:fill="auto"/>
            <w:vAlign w:val="center"/>
            <w:hideMark/>
          </w:tcPr>
          <w:p w14:paraId="0F90034E" w14:textId="77777777" w:rsidR="00082A52" w:rsidRPr="00FD7B0B" w:rsidRDefault="00082A52" w:rsidP="00B34895">
            <w:pPr>
              <w:spacing w:after="0" w:line="240" w:lineRule="auto"/>
              <w:rPr>
                <w:rFonts w:ascii="Times New Roman" w:hAnsi="Times New Roman" w:cs="Times New Roman"/>
              </w:rPr>
            </w:pPr>
            <w:r w:rsidRPr="00FD7B0B">
              <w:rPr>
                <w:rFonts w:ascii="Times New Roman" w:hAnsi="Times New Roman" w:cs="Times New Roman"/>
              </w:rPr>
              <w:t>Устьянский округ</w:t>
            </w:r>
          </w:p>
        </w:tc>
        <w:tc>
          <w:tcPr>
            <w:tcW w:w="1961" w:type="dxa"/>
            <w:tcBorders>
              <w:top w:val="nil"/>
              <w:left w:val="nil"/>
              <w:bottom w:val="single" w:sz="4" w:space="0" w:color="auto"/>
              <w:right w:val="single" w:sz="4" w:space="0" w:color="auto"/>
            </w:tcBorders>
            <w:shd w:val="clear" w:color="auto" w:fill="auto"/>
            <w:vAlign w:val="center"/>
            <w:hideMark/>
          </w:tcPr>
          <w:p w14:paraId="22DB7FAF"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14</w:t>
            </w:r>
          </w:p>
        </w:tc>
        <w:tc>
          <w:tcPr>
            <w:tcW w:w="1323" w:type="dxa"/>
            <w:tcBorders>
              <w:top w:val="nil"/>
              <w:left w:val="nil"/>
              <w:bottom w:val="single" w:sz="4" w:space="0" w:color="auto"/>
              <w:right w:val="single" w:sz="4" w:space="0" w:color="auto"/>
            </w:tcBorders>
            <w:shd w:val="clear" w:color="auto" w:fill="auto"/>
            <w:vAlign w:val="center"/>
            <w:hideMark/>
          </w:tcPr>
          <w:p w14:paraId="59BE26D4"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977,3 </w:t>
            </w:r>
          </w:p>
        </w:tc>
        <w:tc>
          <w:tcPr>
            <w:tcW w:w="1416" w:type="dxa"/>
            <w:tcBorders>
              <w:top w:val="nil"/>
              <w:left w:val="nil"/>
              <w:bottom w:val="single" w:sz="4" w:space="0" w:color="auto"/>
              <w:right w:val="single" w:sz="4" w:space="0" w:color="auto"/>
            </w:tcBorders>
            <w:shd w:val="clear" w:color="auto" w:fill="auto"/>
            <w:vAlign w:val="center"/>
            <w:hideMark/>
          </w:tcPr>
          <w:p w14:paraId="6EE46D14"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501,2 </w:t>
            </w:r>
          </w:p>
        </w:tc>
        <w:tc>
          <w:tcPr>
            <w:tcW w:w="791" w:type="dxa"/>
            <w:tcBorders>
              <w:top w:val="nil"/>
              <w:left w:val="nil"/>
              <w:bottom w:val="single" w:sz="4" w:space="0" w:color="auto"/>
              <w:right w:val="double" w:sz="6" w:space="0" w:color="auto"/>
            </w:tcBorders>
            <w:shd w:val="clear" w:color="auto" w:fill="auto"/>
            <w:vAlign w:val="center"/>
            <w:hideMark/>
          </w:tcPr>
          <w:p w14:paraId="4C397ED8"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51,3 </w:t>
            </w:r>
          </w:p>
        </w:tc>
      </w:tr>
      <w:tr w:rsidR="00082A52" w:rsidRPr="00FD7B0B" w14:paraId="0C26C3E9" w14:textId="77777777" w:rsidTr="00082A52">
        <w:trPr>
          <w:trHeight w:val="70"/>
          <w:jc w:val="center"/>
        </w:trPr>
        <w:tc>
          <w:tcPr>
            <w:tcW w:w="2235" w:type="dxa"/>
            <w:tcBorders>
              <w:top w:val="nil"/>
              <w:left w:val="double" w:sz="6" w:space="0" w:color="auto"/>
              <w:bottom w:val="double" w:sz="6" w:space="0" w:color="auto"/>
              <w:right w:val="single" w:sz="4" w:space="0" w:color="auto"/>
            </w:tcBorders>
            <w:shd w:val="clear" w:color="auto" w:fill="auto"/>
            <w:vAlign w:val="center"/>
            <w:hideMark/>
          </w:tcPr>
          <w:p w14:paraId="7C17445A" w14:textId="77777777" w:rsidR="00082A52" w:rsidRPr="00FD7B0B" w:rsidRDefault="00082A52" w:rsidP="00B34895">
            <w:pPr>
              <w:spacing w:after="0" w:line="240" w:lineRule="auto"/>
              <w:rPr>
                <w:rFonts w:ascii="Times New Roman" w:hAnsi="Times New Roman" w:cs="Times New Roman"/>
              </w:rPr>
            </w:pPr>
            <w:r w:rsidRPr="00FD7B0B">
              <w:rPr>
                <w:rFonts w:ascii="Times New Roman" w:hAnsi="Times New Roman" w:cs="Times New Roman"/>
              </w:rPr>
              <w:t>Итого</w:t>
            </w:r>
          </w:p>
        </w:tc>
        <w:tc>
          <w:tcPr>
            <w:tcW w:w="1961" w:type="dxa"/>
            <w:tcBorders>
              <w:top w:val="nil"/>
              <w:left w:val="nil"/>
              <w:bottom w:val="double" w:sz="6" w:space="0" w:color="auto"/>
              <w:right w:val="single" w:sz="4" w:space="0" w:color="auto"/>
            </w:tcBorders>
            <w:shd w:val="clear" w:color="auto" w:fill="auto"/>
            <w:vAlign w:val="center"/>
            <w:hideMark/>
          </w:tcPr>
          <w:p w14:paraId="23A63A7E"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20</w:t>
            </w:r>
          </w:p>
        </w:tc>
        <w:tc>
          <w:tcPr>
            <w:tcW w:w="1323" w:type="dxa"/>
            <w:tcBorders>
              <w:top w:val="nil"/>
              <w:left w:val="nil"/>
              <w:bottom w:val="double" w:sz="6" w:space="0" w:color="auto"/>
              <w:right w:val="single" w:sz="4" w:space="0" w:color="auto"/>
            </w:tcBorders>
            <w:shd w:val="clear" w:color="auto" w:fill="auto"/>
            <w:vAlign w:val="center"/>
            <w:hideMark/>
          </w:tcPr>
          <w:p w14:paraId="3B1EA8C0"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2 000,0 </w:t>
            </w:r>
          </w:p>
        </w:tc>
        <w:tc>
          <w:tcPr>
            <w:tcW w:w="1416" w:type="dxa"/>
            <w:tcBorders>
              <w:top w:val="nil"/>
              <w:left w:val="nil"/>
              <w:bottom w:val="double" w:sz="6" w:space="0" w:color="auto"/>
              <w:right w:val="single" w:sz="4" w:space="0" w:color="auto"/>
            </w:tcBorders>
            <w:shd w:val="clear" w:color="auto" w:fill="auto"/>
            <w:vAlign w:val="center"/>
            <w:hideMark/>
          </w:tcPr>
          <w:p w14:paraId="223C9156"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1 008,3 </w:t>
            </w:r>
          </w:p>
        </w:tc>
        <w:tc>
          <w:tcPr>
            <w:tcW w:w="791" w:type="dxa"/>
            <w:tcBorders>
              <w:top w:val="nil"/>
              <w:left w:val="nil"/>
              <w:bottom w:val="double" w:sz="6" w:space="0" w:color="auto"/>
              <w:right w:val="double" w:sz="6" w:space="0" w:color="auto"/>
            </w:tcBorders>
            <w:shd w:val="clear" w:color="auto" w:fill="auto"/>
            <w:vAlign w:val="center"/>
            <w:hideMark/>
          </w:tcPr>
          <w:p w14:paraId="08A063F1" w14:textId="77777777" w:rsidR="00082A52" w:rsidRPr="00FD7B0B" w:rsidRDefault="00082A52" w:rsidP="00B34895">
            <w:pPr>
              <w:spacing w:after="0" w:line="240" w:lineRule="auto"/>
              <w:jc w:val="right"/>
              <w:rPr>
                <w:rFonts w:ascii="Times New Roman" w:hAnsi="Times New Roman" w:cs="Times New Roman"/>
              </w:rPr>
            </w:pPr>
            <w:r w:rsidRPr="00FD7B0B">
              <w:rPr>
                <w:rFonts w:ascii="Times New Roman" w:hAnsi="Times New Roman" w:cs="Times New Roman"/>
              </w:rPr>
              <w:t xml:space="preserve">50,4 </w:t>
            </w:r>
          </w:p>
        </w:tc>
      </w:tr>
    </w:tbl>
    <w:p w14:paraId="46366D54" w14:textId="77777777" w:rsidR="00082A52" w:rsidRPr="00FD7B0B" w:rsidRDefault="00082A52" w:rsidP="00B34895">
      <w:pPr>
        <w:spacing w:after="0" w:line="240" w:lineRule="auto"/>
        <w:ind w:firstLine="709"/>
        <w:jc w:val="both"/>
        <w:rPr>
          <w:rFonts w:ascii="Times New Roman" w:hAnsi="Times New Roman" w:cs="Times New Roman"/>
          <w:sz w:val="28"/>
          <w:szCs w:val="28"/>
        </w:rPr>
      </w:pPr>
    </w:p>
    <w:p w14:paraId="5B946095" w14:textId="56385807" w:rsidR="00082A52" w:rsidRPr="00FD7B0B" w:rsidRDefault="00082A52" w:rsidP="00B34895">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Перечисление средств областного бюджета в муниципальные бюджеты на строительство указанных котельных осуществлялось в пределах сумм, необходимых для оплаты денежных обязательств, чем объясняется исполнение данных расходов из областного бюджета в размере 50,4 % к плану года.</w:t>
      </w:r>
      <w:r w:rsidR="008F5604" w:rsidRPr="00FD7B0B">
        <w:rPr>
          <w:rFonts w:ascii="Times New Roman" w:hAnsi="Times New Roman" w:cs="Times New Roman"/>
          <w:sz w:val="28"/>
          <w:szCs w:val="28"/>
        </w:rPr>
        <w:t xml:space="preserve"> У</w:t>
      </w:r>
      <w:r w:rsidRPr="00FD7B0B">
        <w:rPr>
          <w:rFonts w:ascii="Times New Roman" w:hAnsi="Times New Roman" w:cs="Times New Roman"/>
          <w:sz w:val="28"/>
          <w:szCs w:val="28"/>
        </w:rPr>
        <w:t>казанные расходы осуществляются в рамках реализации ОАИП на 2024 год, согласно которой прогнозный срок окончания строительства данных котельных предусмотрен в 2024 году.</w:t>
      </w:r>
    </w:p>
    <w:p w14:paraId="664A281E" w14:textId="77777777" w:rsidR="00082A52" w:rsidRPr="00FD7B0B" w:rsidRDefault="00082A52" w:rsidP="008F5604">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Также отмечаем, что в областном бюджете на 2023 год, расходы на строительство указанных котельных (20 ед.) были предусмотрены в сумме 2 000,0 млн.руб., однако осуществлены не были.</w:t>
      </w:r>
    </w:p>
    <w:p w14:paraId="45F1E7A1" w14:textId="77777777" w:rsidR="00082A52" w:rsidRPr="00FD7B0B" w:rsidRDefault="00082A52" w:rsidP="002D389D">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Дополнительно отмечаем, что специальный казначейский кредит на финансовое обеспечение реализации мероприятий, одобренных президиумом (штабом) Правительственной комиссии по региональному развитию в Российской Федерации, на сумму 2 000,0 млн.руб. выделен Казначейством России для бюджета Архангельской области 30.11.2023 под 3 % годовых, сроком возврата с 2025 по 2038 годы (по 142,9 млн.руб. ежегодно). В 2024 году расходы на обслуживание данного кредита составили 60,0 млн.руб.</w:t>
      </w:r>
    </w:p>
    <w:p w14:paraId="6C4FF86E" w14:textId="49CAA64B" w:rsidR="00082A52" w:rsidRPr="00FD7B0B" w:rsidRDefault="00082A52" w:rsidP="002D389D">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Таким образом, на 01.01.202</w:t>
      </w:r>
      <w:r w:rsidR="00377A18" w:rsidRPr="00FD7B0B">
        <w:rPr>
          <w:rFonts w:ascii="Times New Roman" w:hAnsi="Times New Roman" w:cs="Times New Roman"/>
          <w:sz w:val="28"/>
          <w:szCs w:val="28"/>
        </w:rPr>
        <w:t>5</w:t>
      </w:r>
      <w:r w:rsidRPr="00FD7B0B">
        <w:rPr>
          <w:rFonts w:ascii="Times New Roman" w:hAnsi="Times New Roman" w:cs="Times New Roman"/>
          <w:sz w:val="28"/>
          <w:szCs w:val="28"/>
        </w:rPr>
        <w:t xml:space="preserve"> неиспользованных остаток указанного специального казначейского кредита составил 991,7 млн.руб. (991</w:t>
      </w:r>
      <w:r w:rsidR="002D389D" w:rsidRPr="00FD7B0B">
        <w:rPr>
          <w:rFonts w:ascii="Times New Roman" w:hAnsi="Times New Roman" w:cs="Times New Roman"/>
          <w:sz w:val="28"/>
          <w:szCs w:val="28"/>
        </w:rPr>
        <w:t> </w:t>
      </w:r>
      <w:r w:rsidRPr="00FD7B0B">
        <w:rPr>
          <w:rFonts w:ascii="Times New Roman" w:hAnsi="Times New Roman" w:cs="Times New Roman"/>
          <w:sz w:val="28"/>
          <w:szCs w:val="28"/>
        </w:rPr>
        <w:t>723</w:t>
      </w:r>
      <w:r w:rsidR="002D389D" w:rsidRPr="00FD7B0B">
        <w:rPr>
          <w:rFonts w:ascii="Times New Roman" w:hAnsi="Times New Roman" w:cs="Times New Roman"/>
          <w:sz w:val="28"/>
          <w:szCs w:val="28"/>
        </w:rPr>
        <w:t> </w:t>
      </w:r>
      <w:r w:rsidRPr="00FD7B0B">
        <w:rPr>
          <w:rFonts w:ascii="Times New Roman" w:hAnsi="Times New Roman" w:cs="Times New Roman"/>
          <w:sz w:val="28"/>
          <w:szCs w:val="28"/>
        </w:rPr>
        <w:t>971,24 руб.).</w:t>
      </w:r>
    </w:p>
    <w:p w14:paraId="52FA9835" w14:textId="58E584E8" w:rsidR="00082A52" w:rsidRPr="00FD7B0B" w:rsidRDefault="00082A52" w:rsidP="00377A18">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i/>
          <w:sz w:val="28"/>
          <w:szCs w:val="28"/>
        </w:rPr>
        <w:t>Справочно</w:t>
      </w:r>
      <w:r w:rsidRPr="00FD7B0B">
        <w:rPr>
          <w:rFonts w:ascii="Times New Roman" w:hAnsi="Times New Roman" w:cs="Times New Roman"/>
          <w:sz w:val="28"/>
          <w:szCs w:val="28"/>
        </w:rPr>
        <w:t xml:space="preserve">: областной адресной и инвестиционной программой на 2025 год расходы из областного бюджета за счет данного специального кредита на строительство указанных котельных предусмотрен в сумме 991,7 млн.руб. или в размере неиспользованного остатка на 01.01.2025. Срок сдачи </w:t>
      </w:r>
      <w:r w:rsidR="00377A18" w:rsidRPr="00FD7B0B">
        <w:rPr>
          <w:rFonts w:ascii="Times New Roman" w:hAnsi="Times New Roman" w:cs="Times New Roman"/>
          <w:sz w:val="28"/>
          <w:szCs w:val="28"/>
        </w:rPr>
        <w:t xml:space="preserve">– </w:t>
      </w:r>
      <w:r w:rsidRPr="00FD7B0B">
        <w:rPr>
          <w:rFonts w:ascii="Times New Roman" w:hAnsi="Times New Roman" w:cs="Times New Roman"/>
          <w:sz w:val="28"/>
          <w:szCs w:val="28"/>
        </w:rPr>
        <w:t>2025 год.</w:t>
      </w:r>
    </w:p>
    <w:p w14:paraId="72AE1A05" w14:textId="27FD4C42" w:rsidR="00082A52" w:rsidRPr="00FD7B0B" w:rsidRDefault="00082A52" w:rsidP="00377A18">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По элементам вида расходов бюджетной классификации РФ обозначенные выше инвестиционные расходы за 2024 год (без учета взноса в уставные капиталы) приведены в таблице </w:t>
      </w:r>
      <w:r w:rsidR="00CA2A49" w:rsidRPr="00FD7B0B">
        <w:rPr>
          <w:rFonts w:ascii="Times New Roman" w:hAnsi="Times New Roman" w:cs="Times New Roman"/>
          <w:sz w:val="28"/>
          <w:szCs w:val="28"/>
        </w:rPr>
        <w:t>237</w:t>
      </w:r>
      <w:r w:rsidRPr="00FD7B0B">
        <w:rPr>
          <w:rFonts w:ascii="Times New Roman" w:hAnsi="Times New Roman" w:cs="Times New Roman"/>
          <w:sz w:val="28"/>
          <w:szCs w:val="28"/>
        </w:rPr>
        <w:t>.</w:t>
      </w:r>
    </w:p>
    <w:p w14:paraId="1C2919D2" w14:textId="77777777" w:rsidR="00082A52" w:rsidRPr="00FD7B0B" w:rsidRDefault="00082A52" w:rsidP="00F446AE">
      <w:pPr>
        <w:keepNext/>
        <w:spacing w:after="0" w:line="240" w:lineRule="auto"/>
        <w:rPr>
          <w:rFonts w:ascii="Times New Roman" w:eastAsia="Calibri" w:hAnsi="Times New Roman" w:cs="Times New Roman"/>
          <w:bCs/>
          <w:sz w:val="24"/>
          <w:szCs w:val="24"/>
        </w:rPr>
      </w:pPr>
    </w:p>
    <w:p w14:paraId="6FD04542" w14:textId="77777777" w:rsidR="00082A52" w:rsidRPr="00FD7B0B" w:rsidRDefault="00082A52" w:rsidP="00F446AE">
      <w:pPr>
        <w:keepNext/>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237</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по элементам вида расходов бюджетной классификации РФ, выделяемые на осуществление капитальных вложений и другие бюджетные инвестиции, включая мероприятия в рамках концессионных соглашений за 2024 год, в млн.руб.</w:t>
      </w:r>
    </w:p>
    <w:tbl>
      <w:tblPr>
        <w:tblW w:w="9782" w:type="dxa"/>
        <w:tblLook w:val="04A0" w:firstRow="1" w:lastRow="0" w:firstColumn="1" w:lastColumn="0" w:noHBand="0" w:noVBand="1"/>
      </w:tblPr>
      <w:tblGrid>
        <w:gridCol w:w="6902"/>
        <w:gridCol w:w="1013"/>
        <w:gridCol w:w="1156"/>
        <w:gridCol w:w="711"/>
      </w:tblGrid>
      <w:tr w:rsidR="00FD7B0B" w:rsidRPr="00FD7B0B" w14:paraId="18802941" w14:textId="77777777" w:rsidTr="00F446AE">
        <w:trPr>
          <w:trHeight w:val="35"/>
          <w:tblHeader/>
        </w:trPr>
        <w:tc>
          <w:tcPr>
            <w:tcW w:w="6902"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3FDE91E" w14:textId="77777777" w:rsidR="00082A52" w:rsidRPr="00FD7B0B" w:rsidRDefault="00082A52" w:rsidP="00F446AE">
            <w:pPr>
              <w:spacing w:after="0" w:line="240" w:lineRule="auto"/>
              <w:jc w:val="center"/>
              <w:rPr>
                <w:rFonts w:ascii="Times New Roman" w:hAnsi="Times New Roman" w:cs="Times New Roman"/>
              </w:rPr>
            </w:pPr>
            <w:r w:rsidRPr="00FD7B0B">
              <w:rPr>
                <w:rFonts w:ascii="Times New Roman" w:hAnsi="Times New Roman" w:cs="Times New Roman"/>
              </w:rPr>
              <w:t>Код элемента вида расходов / наименование</w:t>
            </w:r>
          </w:p>
        </w:tc>
        <w:tc>
          <w:tcPr>
            <w:tcW w:w="1013" w:type="dxa"/>
            <w:tcBorders>
              <w:top w:val="double" w:sz="6" w:space="0" w:color="auto"/>
              <w:left w:val="nil"/>
              <w:bottom w:val="single" w:sz="4" w:space="0" w:color="auto"/>
              <w:right w:val="single" w:sz="4" w:space="0" w:color="auto"/>
            </w:tcBorders>
            <w:shd w:val="clear" w:color="auto" w:fill="auto"/>
            <w:vAlign w:val="center"/>
            <w:hideMark/>
          </w:tcPr>
          <w:p w14:paraId="5EE4EC5A" w14:textId="77777777" w:rsidR="00082A52" w:rsidRPr="00FD7B0B" w:rsidRDefault="00082A52" w:rsidP="00F446AE">
            <w:pPr>
              <w:spacing w:after="0" w:line="240" w:lineRule="auto"/>
              <w:jc w:val="center"/>
              <w:rPr>
                <w:rFonts w:ascii="Times New Roman" w:hAnsi="Times New Roman" w:cs="Times New Roman"/>
              </w:rPr>
            </w:pPr>
            <w:r w:rsidRPr="00FD7B0B">
              <w:rPr>
                <w:rFonts w:ascii="Times New Roman" w:hAnsi="Times New Roman" w:cs="Times New Roman"/>
              </w:rPr>
              <w:t>Утвер-ждено</w:t>
            </w:r>
          </w:p>
        </w:tc>
        <w:tc>
          <w:tcPr>
            <w:tcW w:w="1156" w:type="dxa"/>
            <w:tcBorders>
              <w:top w:val="double" w:sz="6" w:space="0" w:color="auto"/>
              <w:left w:val="nil"/>
              <w:bottom w:val="single" w:sz="4" w:space="0" w:color="auto"/>
              <w:right w:val="single" w:sz="4" w:space="0" w:color="auto"/>
            </w:tcBorders>
            <w:shd w:val="clear" w:color="auto" w:fill="auto"/>
            <w:vAlign w:val="center"/>
            <w:hideMark/>
          </w:tcPr>
          <w:p w14:paraId="0F4C2B57" w14:textId="77777777" w:rsidR="00082A52" w:rsidRPr="00FD7B0B" w:rsidRDefault="00082A52" w:rsidP="00F446AE">
            <w:pPr>
              <w:spacing w:after="0" w:line="240" w:lineRule="auto"/>
              <w:jc w:val="center"/>
              <w:rPr>
                <w:rFonts w:ascii="Times New Roman" w:hAnsi="Times New Roman" w:cs="Times New Roman"/>
              </w:rPr>
            </w:pPr>
            <w:r w:rsidRPr="00FD7B0B">
              <w:rPr>
                <w:rFonts w:ascii="Times New Roman" w:hAnsi="Times New Roman" w:cs="Times New Roman"/>
              </w:rPr>
              <w:t>Испол-нено</w:t>
            </w:r>
          </w:p>
        </w:tc>
        <w:tc>
          <w:tcPr>
            <w:tcW w:w="711" w:type="dxa"/>
            <w:tcBorders>
              <w:top w:val="double" w:sz="6" w:space="0" w:color="auto"/>
              <w:left w:val="nil"/>
              <w:bottom w:val="single" w:sz="4" w:space="0" w:color="auto"/>
              <w:right w:val="double" w:sz="6" w:space="0" w:color="auto"/>
            </w:tcBorders>
            <w:shd w:val="clear" w:color="auto" w:fill="auto"/>
            <w:vAlign w:val="center"/>
            <w:hideMark/>
          </w:tcPr>
          <w:p w14:paraId="782758A2" w14:textId="77777777" w:rsidR="00082A52" w:rsidRPr="00FD7B0B" w:rsidRDefault="00082A52" w:rsidP="00F446AE">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57AA8F31"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07BB5365"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412. Бюджетные инвестиции на приобретение объектов недвижимого имущества в государственную собственность</w:t>
            </w:r>
          </w:p>
        </w:tc>
        <w:tc>
          <w:tcPr>
            <w:tcW w:w="1013" w:type="dxa"/>
            <w:tcBorders>
              <w:top w:val="nil"/>
              <w:left w:val="nil"/>
              <w:bottom w:val="single" w:sz="4" w:space="0" w:color="auto"/>
              <w:right w:val="single" w:sz="4" w:space="0" w:color="auto"/>
            </w:tcBorders>
            <w:shd w:val="clear" w:color="auto" w:fill="auto"/>
            <w:vAlign w:val="center"/>
            <w:hideMark/>
          </w:tcPr>
          <w:p w14:paraId="387B06AF"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112,1 </w:t>
            </w:r>
          </w:p>
        </w:tc>
        <w:tc>
          <w:tcPr>
            <w:tcW w:w="1156" w:type="dxa"/>
            <w:tcBorders>
              <w:top w:val="nil"/>
              <w:left w:val="nil"/>
              <w:bottom w:val="single" w:sz="4" w:space="0" w:color="auto"/>
              <w:right w:val="single" w:sz="4" w:space="0" w:color="auto"/>
            </w:tcBorders>
            <w:shd w:val="clear" w:color="auto" w:fill="auto"/>
            <w:vAlign w:val="center"/>
            <w:hideMark/>
          </w:tcPr>
          <w:p w14:paraId="62BC3BDE"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112,1 </w:t>
            </w:r>
          </w:p>
        </w:tc>
        <w:tc>
          <w:tcPr>
            <w:tcW w:w="711" w:type="dxa"/>
            <w:tcBorders>
              <w:top w:val="nil"/>
              <w:left w:val="nil"/>
              <w:bottom w:val="single" w:sz="4" w:space="0" w:color="auto"/>
              <w:right w:val="double" w:sz="6" w:space="0" w:color="auto"/>
            </w:tcBorders>
            <w:shd w:val="clear" w:color="auto" w:fill="auto"/>
            <w:vAlign w:val="center"/>
            <w:hideMark/>
          </w:tcPr>
          <w:p w14:paraId="6A519ABF"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080944DF"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454423AA"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lastRenderedPageBreak/>
              <w:t>414. Бюджетные инвестиции в объекты капитального строительства государственной собственности</w:t>
            </w:r>
          </w:p>
        </w:tc>
        <w:tc>
          <w:tcPr>
            <w:tcW w:w="1013" w:type="dxa"/>
            <w:tcBorders>
              <w:top w:val="nil"/>
              <w:left w:val="nil"/>
              <w:bottom w:val="single" w:sz="4" w:space="0" w:color="auto"/>
              <w:right w:val="single" w:sz="4" w:space="0" w:color="auto"/>
            </w:tcBorders>
            <w:shd w:val="clear" w:color="auto" w:fill="auto"/>
            <w:vAlign w:val="center"/>
            <w:hideMark/>
          </w:tcPr>
          <w:p w14:paraId="62191AEE"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6 488,0 </w:t>
            </w:r>
          </w:p>
        </w:tc>
        <w:tc>
          <w:tcPr>
            <w:tcW w:w="1156" w:type="dxa"/>
            <w:tcBorders>
              <w:top w:val="nil"/>
              <w:left w:val="nil"/>
              <w:bottom w:val="single" w:sz="4" w:space="0" w:color="auto"/>
              <w:right w:val="single" w:sz="4" w:space="0" w:color="auto"/>
            </w:tcBorders>
            <w:shd w:val="clear" w:color="auto" w:fill="auto"/>
            <w:vAlign w:val="center"/>
            <w:hideMark/>
          </w:tcPr>
          <w:p w14:paraId="782B050F"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6 450,1 </w:t>
            </w:r>
          </w:p>
        </w:tc>
        <w:tc>
          <w:tcPr>
            <w:tcW w:w="711" w:type="dxa"/>
            <w:tcBorders>
              <w:top w:val="nil"/>
              <w:left w:val="nil"/>
              <w:bottom w:val="single" w:sz="4" w:space="0" w:color="auto"/>
              <w:right w:val="double" w:sz="6" w:space="0" w:color="auto"/>
            </w:tcBorders>
            <w:shd w:val="clear" w:color="auto" w:fill="auto"/>
            <w:vAlign w:val="center"/>
            <w:hideMark/>
          </w:tcPr>
          <w:p w14:paraId="256E002B"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99,4 </w:t>
            </w:r>
          </w:p>
        </w:tc>
      </w:tr>
      <w:tr w:rsidR="00FD7B0B" w:rsidRPr="00FD7B0B" w14:paraId="7E6E797A"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66A3CAEB"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461, 462. Субсидии на приобретение объектов недвижимого имущества в государственную собственность бюджетным и автономным учреждениям</w:t>
            </w:r>
          </w:p>
        </w:tc>
        <w:tc>
          <w:tcPr>
            <w:tcW w:w="1013" w:type="dxa"/>
            <w:tcBorders>
              <w:top w:val="nil"/>
              <w:left w:val="nil"/>
              <w:bottom w:val="single" w:sz="4" w:space="0" w:color="auto"/>
              <w:right w:val="single" w:sz="4" w:space="0" w:color="auto"/>
            </w:tcBorders>
            <w:shd w:val="clear" w:color="auto" w:fill="auto"/>
            <w:vAlign w:val="center"/>
            <w:hideMark/>
          </w:tcPr>
          <w:p w14:paraId="34AC8425"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45,3 </w:t>
            </w:r>
          </w:p>
        </w:tc>
        <w:tc>
          <w:tcPr>
            <w:tcW w:w="1156" w:type="dxa"/>
            <w:tcBorders>
              <w:top w:val="nil"/>
              <w:left w:val="nil"/>
              <w:bottom w:val="single" w:sz="4" w:space="0" w:color="auto"/>
              <w:right w:val="single" w:sz="4" w:space="0" w:color="auto"/>
            </w:tcBorders>
            <w:shd w:val="clear" w:color="auto" w:fill="auto"/>
            <w:vAlign w:val="center"/>
            <w:hideMark/>
          </w:tcPr>
          <w:p w14:paraId="5956530F"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44,3 </w:t>
            </w:r>
          </w:p>
        </w:tc>
        <w:tc>
          <w:tcPr>
            <w:tcW w:w="711" w:type="dxa"/>
            <w:tcBorders>
              <w:top w:val="nil"/>
              <w:left w:val="nil"/>
              <w:bottom w:val="single" w:sz="4" w:space="0" w:color="auto"/>
              <w:right w:val="double" w:sz="6" w:space="0" w:color="auto"/>
            </w:tcBorders>
            <w:shd w:val="clear" w:color="auto" w:fill="auto"/>
            <w:vAlign w:val="center"/>
            <w:hideMark/>
          </w:tcPr>
          <w:p w14:paraId="5FBD5B8F"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97,9 </w:t>
            </w:r>
          </w:p>
        </w:tc>
      </w:tr>
      <w:tr w:rsidR="00FD7B0B" w:rsidRPr="00FD7B0B" w14:paraId="1B1061CA"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6F37392D"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464, 465. Субсидии на осуществление капитальных вложений в объекты капитального строительства государственной собственности бюджетным и автономным учреждениям</w:t>
            </w:r>
          </w:p>
        </w:tc>
        <w:tc>
          <w:tcPr>
            <w:tcW w:w="1013" w:type="dxa"/>
            <w:tcBorders>
              <w:top w:val="nil"/>
              <w:left w:val="nil"/>
              <w:bottom w:val="single" w:sz="4" w:space="0" w:color="auto"/>
              <w:right w:val="single" w:sz="4" w:space="0" w:color="auto"/>
            </w:tcBorders>
            <w:shd w:val="clear" w:color="auto" w:fill="auto"/>
            <w:vAlign w:val="center"/>
            <w:hideMark/>
          </w:tcPr>
          <w:p w14:paraId="349956EE"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225,1 </w:t>
            </w:r>
          </w:p>
        </w:tc>
        <w:tc>
          <w:tcPr>
            <w:tcW w:w="1156" w:type="dxa"/>
            <w:tcBorders>
              <w:top w:val="nil"/>
              <w:left w:val="nil"/>
              <w:bottom w:val="single" w:sz="4" w:space="0" w:color="auto"/>
              <w:right w:val="single" w:sz="4" w:space="0" w:color="auto"/>
            </w:tcBorders>
            <w:shd w:val="clear" w:color="auto" w:fill="auto"/>
            <w:vAlign w:val="center"/>
            <w:hideMark/>
          </w:tcPr>
          <w:p w14:paraId="79A8AB5E"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225,1 </w:t>
            </w:r>
          </w:p>
        </w:tc>
        <w:tc>
          <w:tcPr>
            <w:tcW w:w="711" w:type="dxa"/>
            <w:tcBorders>
              <w:top w:val="nil"/>
              <w:left w:val="nil"/>
              <w:bottom w:val="single" w:sz="4" w:space="0" w:color="auto"/>
              <w:right w:val="double" w:sz="6" w:space="0" w:color="auto"/>
            </w:tcBorders>
            <w:shd w:val="clear" w:color="auto" w:fill="auto"/>
            <w:vAlign w:val="center"/>
            <w:hideMark/>
          </w:tcPr>
          <w:p w14:paraId="56C33D38"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2B812E41"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5E84510E"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522. Субсидии на софинансирование капитальных вложений в объекты муниципальной собственности</w:t>
            </w:r>
          </w:p>
        </w:tc>
        <w:tc>
          <w:tcPr>
            <w:tcW w:w="1013" w:type="dxa"/>
            <w:tcBorders>
              <w:top w:val="nil"/>
              <w:left w:val="nil"/>
              <w:bottom w:val="single" w:sz="4" w:space="0" w:color="auto"/>
              <w:right w:val="single" w:sz="4" w:space="0" w:color="auto"/>
            </w:tcBorders>
            <w:shd w:val="clear" w:color="auto" w:fill="auto"/>
            <w:vAlign w:val="center"/>
            <w:hideMark/>
          </w:tcPr>
          <w:p w14:paraId="15267BA7"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2 942,9 </w:t>
            </w:r>
          </w:p>
        </w:tc>
        <w:tc>
          <w:tcPr>
            <w:tcW w:w="1156" w:type="dxa"/>
            <w:tcBorders>
              <w:top w:val="nil"/>
              <w:left w:val="nil"/>
              <w:bottom w:val="single" w:sz="4" w:space="0" w:color="auto"/>
              <w:right w:val="single" w:sz="4" w:space="0" w:color="auto"/>
            </w:tcBorders>
            <w:shd w:val="clear" w:color="auto" w:fill="auto"/>
            <w:vAlign w:val="center"/>
            <w:hideMark/>
          </w:tcPr>
          <w:p w14:paraId="006268EC"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2 940,1 </w:t>
            </w:r>
          </w:p>
        </w:tc>
        <w:tc>
          <w:tcPr>
            <w:tcW w:w="711" w:type="dxa"/>
            <w:tcBorders>
              <w:top w:val="nil"/>
              <w:left w:val="nil"/>
              <w:bottom w:val="single" w:sz="4" w:space="0" w:color="auto"/>
              <w:right w:val="double" w:sz="6" w:space="0" w:color="auto"/>
            </w:tcBorders>
            <w:shd w:val="clear" w:color="auto" w:fill="auto"/>
            <w:vAlign w:val="center"/>
            <w:hideMark/>
          </w:tcPr>
          <w:p w14:paraId="5A5FE280"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99,9 </w:t>
            </w:r>
          </w:p>
        </w:tc>
      </w:tr>
      <w:tr w:rsidR="00FD7B0B" w:rsidRPr="00FD7B0B" w14:paraId="5767B885"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15D84F1B"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540. Иные межбюджетные трансферты</w:t>
            </w:r>
          </w:p>
        </w:tc>
        <w:tc>
          <w:tcPr>
            <w:tcW w:w="1013" w:type="dxa"/>
            <w:tcBorders>
              <w:top w:val="nil"/>
              <w:left w:val="nil"/>
              <w:bottom w:val="single" w:sz="4" w:space="0" w:color="auto"/>
              <w:right w:val="single" w:sz="4" w:space="0" w:color="auto"/>
            </w:tcBorders>
            <w:shd w:val="clear" w:color="auto" w:fill="auto"/>
            <w:vAlign w:val="center"/>
            <w:hideMark/>
          </w:tcPr>
          <w:p w14:paraId="265F69F8"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2 014,2 </w:t>
            </w:r>
          </w:p>
        </w:tc>
        <w:tc>
          <w:tcPr>
            <w:tcW w:w="1156" w:type="dxa"/>
            <w:tcBorders>
              <w:top w:val="nil"/>
              <w:left w:val="nil"/>
              <w:bottom w:val="single" w:sz="4" w:space="0" w:color="auto"/>
              <w:right w:val="single" w:sz="4" w:space="0" w:color="auto"/>
            </w:tcBorders>
            <w:shd w:val="clear" w:color="auto" w:fill="auto"/>
            <w:vAlign w:val="center"/>
            <w:hideMark/>
          </w:tcPr>
          <w:p w14:paraId="35711A8C"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1 022,5 </w:t>
            </w:r>
          </w:p>
        </w:tc>
        <w:tc>
          <w:tcPr>
            <w:tcW w:w="711" w:type="dxa"/>
            <w:tcBorders>
              <w:top w:val="nil"/>
              <w:left w:val="nil"/>
              <w:bottom w:val="single" w:sz="4" w:space="0" w:color="auto"/>
              <w:right w:val="double" w:sz="6" w:space="0" w:color="auto"/>
            </w:tcBorders>
            <w:shd w:val="clear" w:color="auto" w:fill="auto"/>
            <w:vAlign w:val="center"/>
            <w:hideMark/>
          </w:tcPr>
          <w:p w14:paraId="4F144353"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50,8 </w:t>
            </w:r>
          </w:p>
        </w:tc>
      </w:tr>
      <w:tr w:rsidR="00FD7B0B" w:rsidRPr="00FD7B0B" w14:paraId="1A9898C7"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411E9956"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в рамках концессионных соглашений</w:t>
            </w:r>
          </w:p>
        </w:tc>
        <w:tc>
          <w:tcPr>
            <w:tcW w:w="1013" w:type="dxa"/>
            <w:tcBorders>
              <w:top w:val="nil"/>
              <w:left w:val="nil"/>
              <w:bottom w:val="single" w:sz="4" w:space="0" w:color="auto"/>
              <w:right w:val="single" w:sz="4" w:space="0" w:color="auto"/>
            </w:tcBorders>
            <w:shd w:val="clear" w:color="auto" w:fill="auto"/>
            <w:vAlign w:val="center"/>
            <w:hideMark/>
          </w:tcPr>
          <w:p w14:paraId="4DED5BF9"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1156" w:type="dxa"/>
            <w:tcBorders>
              <w:top w:val="nil"/>
              <w:left w:val="nil"/>
              <w:bottom w:val="single" w:sz="4" w:space="0" w:color="auto"/>
              <w:right w:val="single" w:sz="4" w:space="0" w:color="auto"/>
            </w:tcBorders>
            <w:shd w:val="clear" w:color="auto" w:fill="auto"/>
            <w:vAlign w:val="center"/>
            <w:hideMark/>
          </w:tcPr>
          <w:p w14:paraId="25EE303B"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711" w:type="dxa"/>
            <w:tcBorders>
              <w:top w:val="nil"/>
              <w:left w:val="nil"/>
              <w:bottom w:val="single" w:sz="4" w:space="0" w:color="auto"/>
              <w:right w:val="double" w:sz="6" w:space="0" w:color="auto"/>
            </w:tcBorders>
            <w:shd w:val="clear" w:color="auto" w:fill="auto"/>
            <w:vAlign w:val="center"/>
            <w:hideMark/>
          </w:tcPr>
          <w:p w14:paraId="3DBD19EE"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2E4D6CE1"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6B29D18C"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Итого, из них:</w:t>
            </w:r>
          </w:p>
        </w:tc>
        <w:tc>
          <w:tcPr>
            <w:tcW w:w="1013" w:type="dxa"/>
            <w:tcBorders>
              <w:top w:val="nil"/>
              <w:left w:val="nil"/>
              <w:bottom w:val="single" w:sz="4" w:space="0" w:color="auto"/>
              <w:right w:val="single" w:sz="4" w:space="0" w:color="auto"/>
            </w:tcBorders>
            <w:shd w:val="clear" w:color="auto" w:fill="auto"/>
            <w:vAlign w:val="center"/>
            <w:hideMark/>
          </w:tcPr>
          <w:p w14:paraId="3E58DE19"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13 475,4 </w:t>
            </w:r>
          </w:p>
        </w:tc>
        <w:tc>
          <w:tcPr>
            <w:tcW w:w="1156" w:type="dxa"/>
            <w:tcBorders>
              <w:top w:val="nil"/>
              <w:left w:val="nil"/>
              <w:bottom w:val="single" w:sz="4" w:space="0" w:color="auto"/>
              <w:right w:val="single" w:sz="4" w:space="0" w:color="auto"/>
            </w:tcBorders>
            <w:shd w:val="clear" w:color="auto" w:fill="auto"/>
            <w:vAlign w:val="center"/>
            <w:hideMark/>
          </w:tcPr>
          <w:p w14:paraId="724D30D5"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12 442,1 </w:t>
            </w:r>
          </w:p>
        </w:tc>
        <w:tc>
          <w:tcPr>
            <w:tcW w:w="711" w:type="dxa"/>
            <w:tcBorders>
              <w:top w:val="nil"/>
              <w:left w:val="nil"/>
              <w:bottom w:val="single" w:sz="4" w:space="0" w:color="auto"/>
              <w:right w:val="double" w:sz="6" w:space="0" w:color="auto"/>
            </w:tcBorders>
            <w:shd w:val="clear" w:color="auto" w:fill="auto"/>
            <w:vAlign w:val="center"/>
            <w:hideMark/>
          </w:tcPr>
          <w:p w14:paraId="16574DB9"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92,3 </w:t>
            </w:r>
          </w:p>
        </w:tc>
      </w:tr>
      <w:tr w:rsidR="00FD7B0B" w:rsidRPr="00FD7B0B" w14:paraId="3243FCDF"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6B56AFD4"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 xml:space="preserve"> - в объекты государственной собственности</w:t>
            </w:r>
          </w:p>
        </w:tc>
        <w:tc>
          <w:tcPr>
            <w:tcW w:w="1013" w:type="dxa"/>
            <w:tcBorders>
              <w:top w:val="nil"/>
              <w:left w:val="nil"/>
              <w:bottom w:val="single" w:sz="4" w:space="0" w:color="auto"/>
              <w:right w:val="single" w:sz="4" w:space="0" w:color="auto"/>
            </w:tcBorders>
            <w:shd w:val="clear" w:color="auto" w:fill="auto"/>
            <w:vAlign w:val="center"/>
            <w:hideMark/>
          </w:tcPr>
          <w:p w14:paraId="77A44BC7"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6 870,4 </w:t>
            </w:r>
          </w:p>
        </w:tc>
        <w:tc>
          <w:tcPr>
            <w:tcW w:w="1156" w:type="dxa"/>
            <w:tcBorders>
              <w:top w:val="nil"/>
              <w:left w:val="nil"/>
              <w:bottom w:val="single" w:sz="4" w:space="0" w:color="auto"/>
              <w:right w:val="single" w:sz="4" w:space="0" w:color="auto"/>
            </w:tcBorders>
            <w:shd w:val="clear" w:color="auto" w:fill="auto"/>
            <w:vAlign w:val="center"/>
            <w:hideMark/>
          </w:tcPr>
          <w:p w14:paraId="74FC038E"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6 831,6 </w:t>
            </w:r>
          </w:p>
        </w:tc>
        <w:tc>
          <w:tcPr>
            <w:tcW w:w="711" w:type="dxa"/>
            <w:tcBorders>
              <w:top w:val="nil"/>
              <w:left w:val="nil"/>
              <w:bottom w:val="single" w:sz="4" w:space="0" w:color="auto"/>
              <w:right w:val="double" w:sz="6" w:space="0" w:color="auto"/>
            </w:tcBorders>
            <w:shd w:val="clear" w:color="auto" w:fill="auto"/>
            <w:vAlign w:val="center"/>
            <w:hideMark/>
          </w:tcPr>
          <w:p w14:paraId="03215EF1"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99,4 </w:t>
            </w:r>
          </w:p>
        </w:tc>
      </w:tr>
      <w:tr w:rsidR="00FD7B0B" w:rsidRPr="00FD7B0B" w14:paraId="5DAC2F37" w14:textId="77777777" w:rsidTr="00F446AE">
        <w:trPr>
          <w:trHeight w:val="70"/>
        </w:trPr>
        <w:tc>
          <w:tcPr>
            <w:tcW w:w="6902" w:type="dxa"/>
            <w:tcBorders>
              <w:top w:val="nil"/>
              <w:left w:val="double" w:sz="6" w:space="0" w:color="auto"/>
              <w:bottom w:val="single" w:sz="4" w:space="0" w:color="auto"/>
              <w:right w:val="single" w:sz="4" w:space="0" w:color="auto"/>
            </w:tcBorders>
            <w:shd w:val="clear" w:color="auto" w:fill="auto"/>
            <w:vAlign w:val="center"/>
            <w:hideMark/>
          </w:tcPr>
          <w:p w14:paraId="7548CF20"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 xml:space="preserve"> - инвестиции юридическим лицам по концессионным соглашениям</w:t>
            </w:r>
          </w:p>
        </w:tc>
        <w:tc>
          <w:tcPr>
            <w:tcW w:w="1013" w:type="dxa"/>
            <w:tcBorders>
              <w:top w:val="nil"/>
              <w:left w:val="nil"/>
              <w:bottom w:val="single" w:sz="4" w:space="0" w:color="auto"/>
              <w:right w:val="single" w:sz="4" w:space="0" w:color="auto"/>
            </w:tcBorders>
            <w:shd w:val="clear" w:color="auto" w:fill="auto"/>
            <w:vAlign w:val="center"/>
            <w:hideMark/>
          </w:tcPr>
          <w:p w14:paraId="053F06D9"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1156" w:type="dxa"/>
            <w:tcBorders>
              <w:top w:val="nil"/>
              <w:left w:val="nil"/>
              <w:bottom w:val="single" w:sz="4" w:space="0" w:color="auto"/>
              <w:right w:val="single" w:sz="4" w:space="0" w:color="auto"/>
            </w:tcBorders>
            <w:shd w:val="clear" w:color="auto" w:fill="auto"/>
            <w:vAlign w:val="center"/>
            <w:hideMark/>
          </w:tcPr>
          <w:p w14:paraId="5DF66EFF"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711" w:type="dxa"/>
            <w:tcBorders>
              <w:top w:val="nil"/>
              <w:left w:val="nil"/>
              <w:bottom w:val="single" w:sz="4" w:space="0" w:color="auto"/>
              <w:right w:val="double" w:sz="6" w:space="0" w:color="auto"/>
            </w:tcBorders>
            <w:shd w:val="clear" w:color="auto" w:fill="auto"/>
            <w:vAlign w:val="center"/>
            <w:hideMark/>
          </w:tcPr>
          <w:p w14:paraId="520D275E"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082A52" w:rsidRPr="00FD7B0B" w14:paraId="6A534DF7" w14:textId="77777777" w:rsidTr="00CF24EA">
        <w:trPr>
          <w:trHeight w:val="67"/>
        </w:trPr>
        <w:tc>
          <w:tcPr>
            <w:tcW w:w="6902" w:type="dxa"/>
            <w:tcBorders>
              <w:top w:val="nil"/>
              <w:left w:val="double" w:sz="6" w:space="0" w:color="auto"/>
              <w:bottom w:val="double" w:sz="6" w:space="0" w:color="auto"/>
              <w:right w:val="single" w:sz="4" w:space="0" w:color="auto"/>
            </w:tcBorders>
            <w:shd w:val="clear" w:color="auto" w:fill="auto"/>
            <w:vAlign w:val="center"/>
            <w:hideMark/>
          </w:tcPr>
          <w:p w14:paraId="319C4AAA" w14:textId="77777777" w:rsidR="00082A52" w:rsidRPr="00FD7B0B" w:rsidRDefault="00082A52" w:rsidP="00F446AE">
            <w:pPr>
              <w:spacing w:after="0" w:line="240" w:lineRule="auto"/>
              <w:rPr>
                <w:rFonts w:ascii="Times New Roman" w:hAnsi="Times New Roman" w:cs="Times New Roman"/>
              </w:rPr>
            </w:pPr>
            <w:r w:rsidRPr="00FD7B0B">
              <w:rPr>
                <w:rFonts w:ascii="Times New Roman" w:hAnsi="Times New Roman" w:cs="Times New Roman"/>
              </w:rPr>
              <w:t xml:space="preserve"> - в объекты муниципальной собственности</w:t>
            </w:r>
          </w:p>
        </w:tc>
        <w:tc>
          <w:tcPr>
            <w:tcW w:w="1013" w:type="dxa"/>
            <w:tcBorders>
              <w:top w:val="nil"/>
              <w:left w:val="nil"/>
              <w:bottom w:val="double" w:sz="6" w:space="0" w:color="auto"/>
              <w:right w:val="single" w:sz="4" w:space="0" w:color="auto"/>
            </w:tcBorders>
            <w:shd w:val="clear" w:color="auto" w:fill="auto"/>
            <w:vAlign w:val="center"/>
            <w:hideMark/>
          </w:tcPr>
          <w:p w14:paraId="53E934FF"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4 957,1 </w:t>
            </w:r>
          </w:p>
        </w:tc>
        <w:tc>
          <w:tcPr>
            <w:tcW w:w="1156" w:type="dxa"/>
            <w:tcBorders>
              <w:top w:val="nil"/>
              <w:left w:val="nil"/>
              <w:bottom w:val="double" w:sz="6" w:space="0" w:color="auto"/>
              <w:right w:val="single" w:sz="4" w:space="0" w:color="auto"/>
            </w:tcBorders>
            <w:shd w:val="clear" w:color="auto" w:fill="auto"/>
            <w:vAlign w:val="center"/>
            <w:hideMark/>
          </w:tcPr>
          <w:p w14:paraId="34A3014A"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3 962,6 </w:t>
            </w:r>
          </w:p>
        </w:tc>
        <w:tc>
          <w:tcPr>
            <w:tcW w:w="711" w:type="dxa"/>
            <w:tcBorders>
              <w:top w:val="nil"/>
              <w:left w:val="nil"/>
              <w:bottom w:val="double" w:sz="6" w:space="0" w:color="auto"/>
              <w:right w:val="double" w:sz="6" w:space="0" w:color="auto"/>
            </w:tcBorders>
            <w:shd w:val="clear" w:color="auto" w:fill="auto"/>
            <w:vAlign w:val="center"/>
            <w:hideMark/>
          </w:tcPr>
          <w:p w14:paraId="6C7547E0" w14:textId="77777777" w:rsidR="00082A52" w:rsidRPr="00FD7B0B" w:rsidRDefault="00082A52" w:rsidP="00F446AE">
            <w:pPr>
              <w:spacing w:after="0" w:line="240" w:lineRule="auto"/>
              <w:jc w:val="right"/>
              <w:rPr>
                <w:rFonts w:ascii="Times New Roman" w:hAnsi="Times New Roman" w:cs="Times New Roman"/>
              </w:rPr>
            </w:pPr>
            <w:r w:rsidRPr="00FD7B0B">
              <w:rPr>
                <w:rFonts w:ascii="Times New Roman" w:hAnsi="Times New Roman" w:cs="Times New Roman"/>
              </w:rPr>
              <w:t xml:space="preserve">79,9 </w:t>
            </w:r>
          </w:p>
        </w:tc>
      </w:tr>
    </w:tbl>
    <w:p w14:paraId="18E2E4A9" w14:textId="77777777" w:rsidR="00082A52" w:rsidRPr="00FD7B0B" w:rsidRDefault="00082A52" w:rsidP="00A673D2">
      <w:pPr>
        <w:spacing w:after="0" w:line="240" w:lineRule="auto"/>
        <w:ind w:firstLine="709"/>
        <w:jc w:val="both"/>
        <w:rPr>
          <w:rFonts w:ascii="Times New Roman" w:hAnsi="Times New Roman" w:cs="Times New Roman"/>
          <w:sz w:val="28"/>
          <w:szCs w:val="28"/>
        </w:rPr>
      </w:pPr>
    </w:p>
    <w:p w14:paraId="536AD866" w14:textId="2981FA6D" w:rsidR="00082A52" w:rsidRPr="00FD7B0B" w:rsidRDefault="00082A52" w:rsidP="00A673D2">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Наибольшие инвестиционные расходы областного бюджета за 2024 год направлены на проектирование, строительство и реконструкцию объектов государственной собственности (элемент вида расходов 414) в сумме 6 450,1 млн.руб. (99,4 % к плану года), что составило 51,8 % от общей суммы расходов и осуществлены органами государственной власти и подведомственными казенными учреждениями, из них:</w:t>
      </w:r>
    </w:p>
    <w:p w14:paraId="44FC92F4"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в рамках реализации мероприятий по переселению граждан из аварийного жилищного фонда – 2 714,0 млн.руб. (99,6 % к плану года);</w:t>
      </w:r>
    </w:p>
    <w:p w14:paraId="289E6293"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на создание новых мест в общеобразовательных организациях (направление расходов 55200 и А5200) – 1 632,0 млн.руб. (100,0 % к плану года).</w:t>
      </w:r>
    </w:p>
    <w:p w14:paraId="5F386343" w14:textId="77777777" w:rsidR="00082A52" w:rsidRPr="00FD7B0B" w:rsidRDefault="00082A52" w:rsidP="00AF77B7">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На объекты капитального строительства муниципальной собственности из областного бюджета за 2024 год в местные бюджеты направлено 3 962,6 млн.руб. или 79,9 % к плану года, из них наибольшие (более 150,0 млн.руб.):</w:t>
      </w:r>
    </w:p>
    <w:p w14:paraId="1144F495"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строительство начальной школы-детского сада на 580 мест, в т. ч. 180 мест – под детский сад по адресу: Архангельская области, Устьянский район, с. Березник – 219,5 млн.руб. (100,0 % к плану года);</w:t>
      </w:r>
    </w:p>
    <w:p w14:paraId="1D67B98B" w14:textId="595502FE" w:rsidR="00082A52" w:rsidRPr="00FD7B0B" w:rsidRDefault="00082A52" w:rsidP="0063072B">
      <w:pPr>
        <w:pStyle w:val="a8"/>
        <w:numPr>
          <w:ilvl w:val="0"/>
          <w:numId w:val="11"/>
        </w:numPr>
        <w:ind w:left="0" w:firstLine="709"/>
        <w:jc w:val="both"/>
        <w:rPr>
          <w:sz w:val="28"/>
          <w:szCs w:val="28"/>
        </w:rPr>
      </w:pPr>
      <w:r w:rsidRPr="00FD7B0B">
        <w:rPr>
          <w:sz w:val="28"/>
          <w:szCs w:val="28"/>
        </w:rPr>
        <w:t xml:space="preserve">строительство </w:t>
      </w:r>
      <w:r w:rsidR="00AF77B7" w:rsidRPr="00FD7B0B">
        <w:rPr>
          <w:sz w:val="28"/>
          <w:szCs w:val="28"/>
        </w:rPr>
        <w:t>п</w:t>
      </w:r>
      <w:r w:rsidRPr="00FD7B0B">
        <w:rPr>
          <w:sz w:val="28"/>
          <w:szCs w:val="28"/>
        </w:rPr>
        <w:t>лоскостного спортивного сооружения в с. Карпогоры Архангельской области, кадастровый квартал 29:14:050303 – 182,3 млн.руб. (100,0 %);</w:t>
      </w:r>
    </w:p>
    <w:p w14:paraId="2F45D2ED" w14:textId="23CA6A2B" w:rsidR="00082A52" w:rsidRPr="00FD7B0B" w:rsidRDefault="00082A52" w:rsidP="0063072B">
      <w:pPr>
        <w:pStyle w:val="a8"/>
        <w:numPr>
          <w:ilvl w:val="0"/>
          <w:numId w:val="11"/>
        </w:numPr>
        <w:ind w:left="0" w:firstLine="709"/>
        <w:jc w:val="both"/>
        <w:rPr>
          <w:sz w:val="28"/>
          <w:szCs w:val="28"/>
        </w:rPr>
      </w:pPr>
      <w:r w:rsidRPr="00FD7B0B">
        <w:rPr>
          <w:sz w:val="28"/>
          <w:szCs w:val="28"/>
        </w:rPr>
        <w:t>выплата возмещения собственникам за изымаемые жилые помещения, приобретение жилых помещений в целях дальнейшего предоставления их гражданам, переселяемым из многоквартирных домов, признанных аварийными до 01.01.20</w:t>
      </w:r>
      <w:r w:rsidR="005C3A90" w:rsidRPr="00FD7B0B">
        <w:rPr>
          <w:sz w:val="28"/>
          <w:szCs w:val="28"/>
        </w:rPr>
        <w:t>1</w:t>
      </w:r>
      <w:r w:rsidRPr="00FD7B0B">
        <w:rPr>
          <w:sz w:val="28"/>
          <w:szCs w:val="28"/>
        </w:rPr>
        <w:t>7 в связи с физическим износом и подлежащих сносу или реконструкции – 193,9 млн.руб. (99,0 %);</w:t>
      </w:r>
    </w:p>
    <w:p w14:paraId="24B9A83D"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на проектирование и строительство котельной по адресу: г. Архангельск, ул. Постышева – 241,0 млн.руб. (48,6 % к плану года);</w:t>
      </w:r>
    </w:p>
    <w:p w14:paraId="0177F359"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lastRenderedPageBreak/>
        <w:t>проектирование и строительство котельной по адресу: Устьянский район, п. Кизема, ул. Терешковой, д. 1а – 153,8 млн.руб. (52,0 % к плану года);</w:t>
      </w:r>
    </w:p>
    <w:p w14:paraId="71BF3FDF"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реконструкция пл. Профсоюзов в г. Архангельске – 301,5 млн.руб. (100,0 %);</w:t>
      </w:r>
    </w:p>
    <w:p w14:paraId="51024419" w14:textId="175383A5" w:rsidR="00082A52" w:rsidRPr="00FD7B0B" w:rsidRDefault="00082A52" w:rsidP="0063072B">
      <w:pPr>
        <w:pStyle w:val="a8"/>
        <w:numPr>
          <w:ilvl w:val="0"/>
          <w:numId w:val="11"/>
        </w:numPr>
        <w:ind w:left="0" w:firstLine="709"/>
        <w:jc w:val="both"/>
        <w:rPr>
          <w:sz w:val="28"/>
          <w:szCs w:val="28"/>
        </w:rPr>
      </w:pPr>
      <w:r w:rsidRPr="00FD7B0B">
        <w:rPr>
          <w:sz w:val="28"/>
          <w:szCs w:val="28"/>
        </w:rPr>
        <w:t>строительство, реконструкция, техническое перевооружение системы водоснабжения в д. Макаровская, д. Петариха, д. Корехино, д. Логиновская, д. Поповская, д. Бор Архангельская область, Няндомский район, сельское поселение «Мошинское» – 174,0 млн.руб. (100,0 %);</w:t>
      </w:r>
    </w:p>
    <w:p w14:paraId="5EFB62A6"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реконструкция системы водоснабжения Холмогорского района – 170,2 млн.руб. (100,0 %);</w:t>
      </w:r>
    </w:p>
    <w:p w14:paraId="6D0465E6" w14:textId="3C90A8EB" w:rsidR="00082A52" w:rsidRPr="00FD7B0B" w:rsidRDefault="00082A52" w:rsidP="0063072B">
      <w:pPr>
        <w:pStyle w:val="a8"/>
        <w:numPr>
          <w:ilvl w:val="0"/>
          <w:numId w:val="11"/>
        </w:numPr>
        <w:ind w:left="0" w:firstLine="709"/>
        <w:jc w:val="both"/>
        <w:rPr>
          <w:sz w:val="28"/>
          <w:szCs w:val="28"/>
        </w:rPr>
      </w:pPr>
      <w:r w:rsidRPr="00FD7B0B">
        <w:rPr>
          <w:sz w:val="28"/>
          <w:szCs w:val="28"/>
        </w:rPr>
        <w:t>строительство автодорог в рамках комплексной застройки квартала № 152 в г. Архангельске – 593,1 млн.руб. (100,0 %);</w:t>
      </w:r>
    </w:p>
    <w:p w14:paraId="5CC62276"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строительство автомобильной дороги по ул. Карпогорской от ул. Октябрят до просп. Московского в городе Архангельске – 153,1 млн.руб. (100,0 %).</w:t>
      </w:r>
    </w:p>
    <w:p w14:paraId="3824F716" w14:textId="6FBF9021" w:rsidR="00082A52" w:rsidRPr="00FD7B0B" w:rsidRDefault="00082A52" w:rsidP="00C15915">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По сравнению с инвестиционными расходами из областного бюджета за 2023 год, расходы отчетного периода </w:t>
      </w:r>
      <w:r w:rsidR="00C15915" w:rsidRPr="00FD7B0B">
        <w:rPr>
          <w:rFonts w:ascii="Times New Roman" w:hAnsi="Times New Roman" w:cs="Times New Roman"/>
          <w:sz w:val="28"/>
          <w:szCs w:val="28"/>
        </w:rPr>
        <w:t>сократились</w:t>
      </w:r>
      <w:r w:rsidRPr="00FD7B0B">
        <w:rPr>
          <w:rFonts w:ascii="Times New Roman" w:hAnsi="Times New Roman" w:cs="Times New Roman"/>
          <w:sz w:val="28"/>
          <w:szCs w:val="28"/>
        </w:rPr>
        <w:t xml:space="preserve"> на 30,0 % или на 5 340,9 млн.руб. (2023 г. – 17 783,0 млн.руб).</w:t>
      </w:r>
    </w:p>
    <w:p w14:paraId="7D27E83F" w14:textId="77777777" w:rsidR="00082A52" w:rsidRPr="00FD7B0B" w:rsidRDefault="00082A52" w:rsidP="00C15915">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За 2023 год доля инвестиционной составляющей в общей сумме расходов областного бюджета составляла 11,8 %, а за отчетный период, как указано выше – 8,1 %.</w:t>
      </w:r>
    </w:p>
    <w:p w14:paraId="7F05B03E" w14:textId="587FE723" w:rsidR="00082A52" w:rsidRPr="00FD7B0B" w:rsidRDefault="00C97D0B" w:rsidP="00C15915">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В</w:t>
      </w:r>
      <w:r w:rsidR="00082A52" w:rsidRPr="00FD7B0B">
        <w:rPr>
          <w:rFonts w:ascii="Times New Roman" w:hAnsi="Times New Roman" w:cs="Times New Roman"/>
          <w:sz w:val="28"/>
          <w:szCs w:val="28"/>
        </w:rPr>
        <w:t xml:space="preserve"> таблице </w:t>
      </w:r>
      <w:r w:rsidR="00CA2A49" w:rsidRPr="00FD7B0B">
        <w:rPr>
          <w:rFonts w:ascii="Times New Roman" w:hAnsi="Times New Roman" w:cs="Times New Roman"/>
          <w:sz w:val="28"/>
          <w:szCs w:val="28"/>
        </w:rPr>
        <w:t>238</w:t>
      </w:r>
      <w:r w:rsidR="00082A52" w:rsidRPr="00FD7B0B">
        <w:rPr>
          <w:rFonts w:ascii="Times New Roman" w:hAnsi="Times New Roman" w:cs="Times New Roman"/>
          <w:sz w:val="28"/>
          <w:szCs w:val="28"/>
        </w:rPr>
        <w:t xml:space="preserve"> представлены сведения о</w:t>
      </w:r>
      <w:r w:rsidR="000F43DC" w:rsidRPr="00FD7B0B">
        <w:rPr>
          <w:rFonts w:ascii="Times New Roman" w:hAnsi="Times New Roman" w:cs="Times New Roman"/>
          <w:sz w:val="28"/>
          <w:szCs w:val="28"/>
        </w:rPr>
        <w:t>б</w:t>
      </w:r>
      <w:r w:rsidR="00082A52" w:rsidRPr="00FD7B0B">
        <w:rPr>
          <w:rFonts w:ascii="Times New Roman" w:hAnsi="Times New Roman" w:cs="Times New Roman"/>
          <w:sz w:val="28"/>
          <w:szCs w:val="28"/>
        </w:rPr>
        <w:t xml:space="preserve"> инвестиционных расходах областного бюджета (без учета взноса в уставные капиталы), включая мероприятия в рамках концессионных соглашений за 2023 и 2024 годы.</w:t>
      </w:r>
    </w:p>
    <w:p w14:paraId="79019AE9" w14:textId="77777777" w:rsidR="00082A52" w:rsidRPr="00FD7B0B" w:rsidRDefault="00082A52" w:rsidP="000F43DC">
      <w:pPr>
        <w:keepNext/>
        <w:spacing w:after="0" w:line="240" w:lineRule="auto"/>
        <w:rPr>
          <w:rFonts w:ascii="Times New Roman" w:eastAsia="Calibri" w:hAnsi="Times New Roman" w:cs="Times New Roman"/>
          <w:bCs/>
          <w:sz w:val="24"/>
          <w:szCs w:val="24"/>
        </w:rPr>
      </w:pPr>
    </w:p>
    <w:p w14:paraId="4DA0CBD6" w14:textId="77777777" w:rsidR="00082A52" w:rsidRPr="00FD7B0B" w:rsidRDefault="00082A52" w:rsidP="000F43DC">
      <w:pPr>
        <w:keepNext/>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238</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по подразделам бюджетной классификации РФ на осуществление капитальных вложений (без учета взноса в уставные капиталы), включая мероприятия в рамках концессионных соглашений за 2023 и 2024 годы, млн.руб.</w:t>
      </w:r>
    </w:p>
    <w:tbl>
      <w:tblPr>
        <w:tblW w:w="9734" w:type="dxa"/>
        <w:tblLayout w:type="fixed"/>
        <w:tblLook w:val="04A0" w:firstRow="1" w:lastRow="0" w:firstColumn="1" w:lastColumn="0" w:noHBand="0" w:noVBand="1"/>
      </w:tblPr>
      <w:tblGrid>
        <w:gridCol w:w="5647"/>
        <w:gridCol w:w="1050"/>
        <w:gridCol w:w="1066"/>
        <w:gridCol w:w="1135"/>
        <w:gridCol w:w="836"/>
      </w:tblGrid>
      <w:tr w:rsidR="00FD7B0B" w:rsidRPr="00FD7B0B" w14:paraId="5F487223" w14:textId="77777777" w:rsidTr="00721A08">
        <w:trPr>
          <w:trHeight w:val="35"/>
          <w:tblHeader/>
        </w:trPr>
        <w:tc>
          <w:tcPr>
            <w:tcW w:w="564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CB8BFDD" w14:textId="77777777" w:rsidR="00082A52" w:rsidRPr="00FD7B0B" w:rsidRDefault="00082A52" w:rsidP="000F43DC">
            <w:pPr>
              <w:spacing w:after="0" w:line="240" w:lineRule="auto"/>
              <w:jc w:val="center"/>
              <w:rPr>
                <w:rFonts w:ascii="Times New Roman" w:hAnsi="Times New Roman" w:cs="Times New Roman"/>
              </w:rPr>
            </w:pPr>
            <w:r w:rsidRPr="00FD7B0B">
              <w:rPr>
                <w:rFonts w:ascii="Times New Roman" w:hAnsi="Times New Roman" w:cs="Times New Roman"/>
              </w:rPr>
              <w:t>Наименование</w:t>
            </w:r>
          </w:p>
        </w:tc>
        <w:tc>
          <w:tcPr>
            <w:tcW w:w="105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6A54312" w14:textId="77777777" w:rsidR="00082A52" w:rsidRPr="00FD7B0B" w:rsidRDefault="00082A52" w:rsidP="000F43DC">
            <w:pPr>
              <w:spacing w:after="0" w:line="240" w:lineRule="auto"/>
              <w:jc w:val="center"/>
              <w:rPr>
                <w:rFonts w:ascii="Times New Roman" w:hAnsi="Times New Roman" w:cs="Times New Roman"/>
              </w:rPr>
            </w:pPr>
            <w:r w:rsidRPr="00FD7B0B">
              <w:rPr>
                <w:rFonts w:ascii="Times New Roman" w:hAnsi="Times New Roman" w:cs="Times New Roman"/>
              </w:rPr>
              <w:t>2023 г.</w:t>
            </w:r>
          </w:p>
        </w:tc>
        <w:tc>
          <w:tcPr>
            <w:tcW w:w="106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D0AF5CF" w14:textId="77777777" w:rsidR="00082A52" w:rsidRPr="00FD7B0B" w:rsidRDefault="00082A52" w:rsidP="000F43DC">
            <w:pPr>
              <w:spacing w:after="0" w:line="240" w:lineRule="auto"/>
              <w:jc w:val="center"/>
              <w:rPr>
                <w:rFonts w:ascii="Times New Roman" w:hAnsi="Times New Roman" w:cs="Times New Roman"/>
              </w:rPr>
            </w:pPr>
            <w:r w:rsidRPr="00FD7B0B">
              <w:rPr>
                <w:rFonts w:ascii="Times New Roman" w:hAnsi="Times New Roman" w:cs="Times New Roman"/>
              </w:rPr>
              <w:t>2024 г.</w:t>
            </w:r>
          </w:p>
        </w:tc>
        <w:tc>
          <w:tcPr>
            <w:tcW w:w="1971" w:type="dxa"/>
            <w:gridSpan w:val="2"/>
            <w:tcBorders>
              <w:top w:val="double" w:sz="6" w:space="0" w:color="auto"/>
              <w:left w:val="nil"/>
              <w:bottom w:val="single" w:sz="4" w:space="0" w:color="auto"/>
              <w:right w:val="double" w:sz="6" w:space="0" w:color="000000"/>
            </w:tcBorders>
            <w:shd w:val="clear" w:color="auto" w:fill="auto"/>
            <w:vAlign w:val="center"/>
            <w:hideMark/>
          </w:tcPr>
          <w:p w14:paraId="3884F219" w14:textId="77777777" w:rsidR="00082A52" w:rsidRPr="00FD7B0B" w:rsidRDefault="00082A52" w:rsidP="000F43DC">
            <w:pPr>
              <w:spacing w:after="0" w:line="240" w:lineRule="auto"/>
              <w:jc w:val="center"/>
              <w:rPr>
                <w:rFonts w:ascii="Times New Roman" w:hAnsi="Times New Roman" w:cs="Times New Roman"/>
              </w:rPr>
            </w:pPr>
            <w:r w:rsidRPr="00FD7B0B">
              <w:rPr>
                <w:rFonts w:ascii="Times New Roman" w:hAnsi="Times New Roman" w:cs="Times New Roman"/>
              </w:rPr>
              <w:t>Изменения (+,-)</w:t>
            </w:r>
          </w:p>
        </w:tc>
      </w:tr>
      <w:tr w:rsidR="00FD7B0B" w:rsidRPr="00FD7B0B" w14:paraId="385108A9" w14:textId="77777777" w:rsidTr="00721A08">
        <w:trPr>
          <w:trHeight w:val="135"/>
          <w:tblHeader/>
        </w:trPr>
        <w:tc>
          <w:tcPr>
            <w:tcW w:w="5647" w:type="dxa"/>
            <w:vMerge/>
            <w:tcBorders>
              <w:top w:val="double" w:sz="6" w:space="0" w:color="auto"/>
              <w:left w:val="double" w:sz="6" w:space="0" w:color="auto"/>
              <w:bottom w:val="single" w:sz="4" w:space="0" w:color="auto"/>
              <w:right w:val="single" w:sz="4" w:space="0" w:color="auto"/>
            </w:tcBorders>
            <w:vAlign w:val="center"/>
            <w:hideMark/>
          </w:tcPr>
          <w:p w14:paraId="794F865F" w14:textId="77777777" w:rsidR="00082A52" w:rsidRPr="00FD7B0B" w:rsidRDefault="00082A52" w:rsidP="000F43DC">
            <w:pPr>
              <w:spacing w:after="0" w:line="240" w:lineRule="auto"/>
              <w:jc w:val="center"/>
              <w:rPr>
                <w:rFonts w:ascii="Times New Roman" w:hAnsi="Times New Roman" w:cs="Times New Roman"/>
              </w:rPr>
            </w:pPr>
          </w:p>
        </w:tc>
        <w:tc>
          <w:tcPr>
            <w:tcW w:w="1050" w:type="dxa"/>
            <w:vMerge/>
            <w:tcBorders>
              <w:top w:val="double" w:sz="6" w:space="0" w:color="auto"/>
              <w:left w:val="single" w:sz="4" w:space="0" w:color="auto"/>
              <w:bottom w:val="single" w:sz="4" w:space="0" w:color="auto"/>
              <w:right w:val="single" w:sz="4" w:space="0" w:color="auto"/>
            </w:tcBorders>
            <w:vAlign w:val="center"/>
            <w:hideMark/>
          </w:tcPr>
          <w:p w14:paraId="7AE2ECA9" w14:textId="77777777" w:rsidR="00082A52" w:rsidRPr="00FD7B0B" w:rsidRDefault="00082A52" w:rsidP="000F43DC">
            <w:pPr>
              <w:spacing w:after="0" w:line="240" w:lineRule="auto"/>
              <w:jc w:val="center"/>
              <w:rPr>
                <w:rFonts w:ascii="Times New Roman" w:hAnsi="Times New Roman" w:cs="Times New Roman"/>
              </w:rPr>
            </w:pPr>
          </w:p>
        </w:tc>
        <w:tc>
          <w:tcPr>
            <w:tcW w:w="1066" w:type="dxa"/>
            <w:vMerge/>
            <w:tcBorders>
              <w:top w:val="double" w:sz="6" w:space="0" w:color="auto"/>
              <w:left w:val="single" w:sz="4" w:space="0" w:color="auto"/>
              <w:bottom w:val="single" w:sz="4" w:space="0" w:color="auto"/>
              <w:right w:val="single" w:sz="4" w:space="0" w:color="auto"/>
            </w:tcBorders>
            <w:vAlign w:val="center"/>
            <w:hideMark/>
          </w:tcPr>
          <w:p w14:paraId="6E9DFCDD" w14:textId="77777777" w:rsidR="00082A52" w:rsidRPr="00FD7B0B" w:rsidRDefault="00082A52" w:rsidP="000F43DC">
            <w:pPr>
              <w:spacing w:after="0" w:line="240" w:lineRule="auto"/>
              <w:jc w:val="center"/>
              <w:rPr>
                <w:rFonts w:ascii="Times New Roman" w:hAnsi="Times New Roman" w:cs="Times New Roman"/>
              </w:rPr>
            </w:pPr>
          </w:p>
        </w:tc>
        <w:tc>
          <w:tcPr>
            <w:tcW w:w="1135" w:type="dxa"/>
            <w:tcBorders>
              <w:top w:val="nil"/>
              <w:left w:val="nil"/>
              <w:bottom w:val="single" w:sz="4" w:space="0" w:color="auto"/>
              <w:right w:val="single" w:sz="4" w:space="0" w:color="auto"/>
            </w:tcBorders>
            <w:shd w:val="clear" w:color="auto" w:fill="auto"/>
            <w:vAlign w:val="center"/>
            <w:hideMark/>
          </w:tcPr>
          <w:p w14:paraId="3DFA92A9" w14:textId="77777777" w:rsidR="00082A52" w:rsidRPr="00FD7B0B" w:rsidRDefault="00082A52" w:rsidP="000F43DC">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836" w:type="dxa"/>
            <w:tcBorders>
              <w:top w:val="nil"/>
              <w:left w:val="nil"/>
              <w:bottom w:val="single" w:sz="4" w:space="0" w:color="auto"/>
              <w:right w:val="double" w:sz="6" w:space="0" w:color="auto"/>
            </w:tcBorders>
            <w:shd w:val="clear" w:color="auto" w:fill="auto"/>
            <w:vAlign w:val="center"/>
            <w:hideMark/>
          </w:tcPr>
          <w:p w14:paraId="50D93848" w14:textId="77777777" w:rsidR="00082A52" w:rsidRPr="00FD7B0B" w:rsidRDefault="00082A52" w:rsidP="000F43DC">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58A8AE53"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17C60175"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Другие общегосударственные вопросы</w:t>
            </w:r>
          </w:p>
        </w:tc>
        <w:tc>
          <w:tcPr>
            <w:tcW w:w="1050" w:type="dxa"/>
            <w:tcBorders>
              <w:top w:val="nil"/>
              <w:left w:val="nil"/>
              <w:bottom w:val="single" w:sz="4" w:space="0" w:color="auto"/>
              <w:right w:val="single" w:sz="4" w:space="0" w:color="auto"/>
            </w:tcBorders>
            <w:shd w:val="clear" w:color="auto" w:fill="auto"/>
            <w:vAlign w:val="center"/>
            <w:hideMark/>
          </w:tcPr>
          <w:p w14:paraId="2232929D"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80,9 </w:t>
            </w:r>
          </w:p>
        </w:tc>
        <w:tc>
          <w:tcPr>
            <w:tcW w:w="1066" w:type="dxa"/>
            <w:tcBorders>
              <w:top w:val="nil"/>
              <w:left w:val="nil"/>
              <w:bottom w:val="single" w:sz="4" w:space="0" w:color="auto"/>
              <w:right w:val="single" w:sz="4" w:space="0" w:color="auto"/>
            </w:tcBorders>
            <w:shd w:val="clear" w:color="auto" w:fill="auto"/>
            <w:vAlign w:val="center"/>
            <w:hideMark/>
          </w:tcPr>
          <w:p w14:paraId="092F51D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155,4 </w:t>
            </w:r>
          </w:p>
        </w:tc>
        <w:tc>
          <w:tcPr>
            <w:tcW w:w="1135" w:type="dxa"/>
            <w:tcBorders>
              <w:top w:val="nil"/>
              <w:left w:val="nil"/>
              <w:bottom w:val="single" w:sz="4" w:space="0" w:color="auto"/>
              <w:right w:val="single" w:sz="4" w:space="0" w:color="auto"/>
            </w:tcBorders>
            <w:shd w:val="clear" w:color="auto" w:fill="auto"/>
            <w:vAlign w:val="center"/>
            <w:hideMark/>
          </w:tcPr>
          <w:p w14:paraId="7763D03D"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74,5 </w:t>
            </w:r>
          </w:p>
        </w:tc>
        <w:tc>
          <w:tcPr>
            <w:tcW w:w="836" w:type="dxa"/>
            <w:tcBorders>
              <w:top w:val="nil"/>
              <w:left w:val="nil"/>
              <w:bottom w:val="single" w:sz="4" w:space="0" w:color="auto"/>
              <w:right w:val="double" w:sz="6" w:space="0" w:color="auto"/>
            </w:tcBorders>
            <w:shd w:val="clear" w:color="auto" w:fill="auto"/>
            <w:vAlign w:val="center"/>
            <w:hideMark/>
          </w:tcPr>
          <w:p w14:paraId="4B38AF44"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92,1 </w:t>
            </w:r>
          </w:p>
        </w:tc>
      </w:tr>
      <w:tr w:rsidR="00FD7B0B" w:rsidRPr="00FD7B0B" w14:paraId="23AA7D6C"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5A349233"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Защита населения и территории от чрезвычайных ситуаций природного и техногенного характера, пожарная безопасность</w:t>
            </w:r>
          </w:p>
        </w:tc>
        <w:tc>
          <w:tcPr>
            <w:tcW w:w="1050" w:type="dxa"/>
            <w:tcBorders>
              <w:top w:val="nil"/>
              <w:left w:val="nil"/>
              <w:bottom w:val="single" w:sz="4" w:space="0" w:color="auto"/>
              <w:right w:val="single" w:sz="4" w:space="0" w:color="auto"/>
            </w:tcBorders>
            <w:shd w:val="clear" w:color="auto" w:fill="auto"/>
            <w:vAlign w:val="center"/>
            <w:hideMark/>
          </w:tcPr>
          <w:p w14:paraId="2DD98585"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20,1 </w:t>
            </w:r>
          </w:p>
        </w:tc>
        <w:tc>
          <w:tcPr>
            <w:tcW w:w="1066" w:type="dxa"/>
            <w:tcBorders>
              <w:top w:val="nil"/>
              <w:left w:val="nil"/>
              <w:bottom w:val="single" w:sz="4" w:space="0" w:color="auto"/>
              <w:right w:val="single" w:sz="4" w:space="0" w:color="auto"/>
            </w:tcBorders>
            <w:shd w:val="clear" w:color="auto" w:fill="auto"/>
            <w:vAlign w:val="center"/>
            <w:hideMark/>
          </w:tcPr>
          <w:p w14:paraId="0CE414BD"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7,8 </w:t>
            </w:r>
          </w:p>
        </w:tc>
        <w:tc>
          <w:tcPr>
            <w:tcW w:w="1135" w:type="dxa"/>
            <w:tcBorders>
              <w:top w:val="nil"/>
              <w:left w:val="nil"/>
              <w:bottom w:val="single" w:sz="4" w:space="0" w:color="auto"/>
              <w:right w:val="single" w:sz="4" w:space="0" w:color="auto"/>
            </w:tcBorders>
            <w:shd w:val="clear" w:color="auto" w:fill="auto"/>
            <w:vAlign w:val="center"/>
            <w:hideMark/>
          </w:tcPr>
          <w:p w14:paraId="24FC4CD6"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-12,3 </w:t>
            </w:r>
          </w:p>
        </w:tc>
        <w:tc>
          <w:tcPr>
            <w:tcW w:w="836" w:type="dxa"/>
            <w:tcBorders>
              <w:top w:val="nil"/>
              <w:left w:val="nil"/>
              <w:bottom w:val="single" w:sz="4" w:space="0" w:color="auto"/>
              <w:right w:val="double" w:sz="6" w:space="0" w:color="auto"/>
            </w:tcBorders>
            <w:shd w:val="clear" w:color="auto" w:fill="auto"/>
            <w:vAlign w:val="center"/>
            <w:hideMark/>
          </w:tcPr>
          <w:p w14:paraId="7E1C6DB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-61,1 </w:t>
            </w:r>
          </w:p>
        </w:tc>
      </w:tr>
      <w:tr w:rsidR="00FD7B0B" w:rsidRPr="00FD7B0B" w14:paraId="47E48024"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5E9A4DA8"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Общеэкономические вопросы</w:t>
            </w:r>
          </w:p>
        </w:tc>
        <w:tc>
          <w:tcPr>
            <w:tcW w:w="1050" w:type="dxa"/>
            <w:tcBorders>
              <w:top w:val="nil"/>
              <w:left w:val="nil"/>
              <w:bottom w:val="single" w:sz="4" w:space="0" w:color="auto"/>
              <w:right w:val="single" w:sz="4" w:space="0" w:color="auto"/>
            </w:tcBorders>
            <w:shd w:val="clear" w:color="auto" w:fill="auto"/>
            <w:vAlign w:val="center"/>
            <w:hideMark/>
          </w:tcPr>
          <w:p w14:paraId="60A2136D"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66" w:type="dxa"/>
            <w:tcBorders>
              <w:top w:val="nil"/>
              <w:left w:val="nil"/>
              <w:bottom w:val="single" w:sz="4" w:space="0" w:color="auto"/>
              <w:right w:val="single" w:sz="4" w:space="0" w:color="auto"/>
            </w:tcBorders>
            <w:shd w:val="clear" w:color="auto" w:fill="auto"/>
            <w:vAlign w:val="center"/>
            <w:hideMark/>
          </w:tcPr>
          <w:p w14:paraId="44D01DEE"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41,5 </w:t>
            </w:r>
          </w:p>
        </w:tc>
        <w:tc>
          <w:tcPr>
            <w:tcW w:w="1135" w:type="dxa"/>
            <w:tcBorders>
              <w:top w:val="nil"/>
              <w:left w:val="nil"/>
              <w:bottom w:val="single" w:sz="4" w:space="0" w:color="auto"/>
              <w:right w:val="single" w:sz="4" w:space="0" w:color="auto"/>
            </w:tcBorders>
            <w:shd w:val="clear" w:color="auto" w:fill="auto"/>
            <w:vAlign w:val="center"/>
            <w:hideMark/>
          </w:tcPr>
          <w:p w14:paraId="7F190B6C"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41,5 </w:t>
            </w:r>
          </w:p>
        </w:tc>
        <w:tc>
          <w:tcPr>
            <w:tcW w:w="836" w:type="dxa"/>
            <w:tcBorders>
              <w:top w:val="nil"/>
              <w:left w:val="nil"/>
              <w:bottom w:val="single" w:sz="4" w:space="0" w:color="auto"/>
              <w:right w:val="double" w:sz="6" w:space="0" w:color="auto"/>
            </w:tcBorders>
            <w:shd w:val="clear" w:color="auto" w:fill="auto"/>
            <w:vAlign w:val="center"/>
            <w:hideMark/>
          </w:tcPr>
          <w:p w14:paraId="7ED837E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5532ABF7"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2414B0FC"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Водное хозяйство</w:t>
            </w:r>
          </w:p>
        </w:tc>
        <w:tc>
          <w:tcPr>
            <w:tcW w:w="1050" w:type="dxa"/>
            <w:tcBorders>
              <w:top w:val="nil"/>
              <w:left w:val="nil"/>
              <w:bottom w:val="single" w:sz="4" w:space="0" w:color="auto"/>
              <w:right w:val="single" w:sz="4" w:space="0" w:color="auto"/>
            </w:tcBorders>
            <w:shd w:val="clear" w:color="auto" w:fill="auto"/>
            <w:vAlign w:val="center"/>
            <w:hideMark/>
          </w:tcPr>
          <w:p w14:paraId="48D66719"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1066" w:type="dxa"/>
            <w:tcBorders>
              <w:top w:val="nil"/>
              <w:left w:val="nil"/>
              <w:bottom w:val="single" w:sz="4" w:space="0" w:color="auto"/>
              <w:right w:val="single" w:sz="4" w:space="0" w:color="auto"/>
            </w:tcBorders>
            <w:shd w:val="clear" w:color="auto" w:fill="auto"/>
            <w:vAlign w:val="center"/>
            <w:hideMark/>
          </w:tcPr>
          <w:p w14:paraId="643E02B8"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5" w:type="dxa"/>
            <w:tcBorders>
              <w:top w:val="nil"/>
              <w:left w:val="nil"/>
              <w:bottom w:val="single" w:sz="4" w:space="0" w:color="auto"/>
              <w:right w:val="single" w:sz="4" w:space="0" w:color="auto"/>
            </w:tcBorders>
            <w:shd w:val="clear" w:color="auto" w:fill="auto"/>
            <w:vAlign w:val="center"/>
            <w:hideMark/>
          </w:tcPr>
          <w:p w14:paraId="39FB487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836" w:type="dxa"/>
            <w:tcBorders>
              <w:top w:val="nil"/>
              <w:left w:val="nil"/>
              <w:bottom w:val="single" w:sz="4" w:space="0" w:color="auto"/>
              <w:right w:val="double" w:sz="6" w:space="0" w:color="auto"/>
            </w:tcBorders>
            <w:shd w:val="clear" w:color="auto" w:fill="auto"/>
            <w:vAlign w:val="center"/>
            <w:hideMark/>
          </w:tcPr>
          <w:p w14:paraId="78183EE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5D21974D"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13FC0078"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Лесное хозяйство</w:t>
            </w:r>
          </w:p>
        </w:tc>
        <w:tc>
          <w:tcPr>
            <w:tcW w:w="1050" w:type="dxa"/>
            <w:tcBorders>
              <w:top w:val="nil"/>
              <w:left w:val="nil"/>
              <w:bottom w:val="single" w:sz="4" w:space="0" w:color="auto"/>
              <w:right w:val="single" w:sz="4" w:space="0" w:color="auto"/>
            </w:tcBorders>
            <w:shd w:val="clear" w:color="auto" w:fill="auto"/>
            <w:vAlign w:val="center"/>
            <w:hideMark/>
          </w:tcPr>
          <w:p w14:paraId="45AAB7FC"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0,5 </w:t>
            </w:r>
          </w:p>
        </w:tc>
        <w:tc>
          <w:tcPr>
            <w:tcW w:w="1066" w:type="dxa"/>
            <w:tcBorders>
              <w:top w:val="nil"/>
              <w:left w:val="nil"/>
              <w:bottom w:val="single" w:sz="4" w:space="0" w:color="auto"/>
              <w:right w:val="single" w:sz="4" w:space="0" w:color="auto"/>
            </w:tcBorders>
            <w:shd w:val="clear" w:color="auto" w:fill="auto"/>
            <w:vAlign w:val="center"/>
            <w:hideMark/>
          </w:tcPr>
          <w:p w14:paraId="416127D2"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110,6 </w:t>
            </w:r>
          </w:p>
        </w:tc>
        <w:tc>
          <w:tcPr>
            <w:tcW w:w="1135" w:type="dxa"/>
            <w:tcBorders>
              <w:top w:val="nil"/>
              <w:left w:val="nil"/>
              <w:bottom w:val="single" w:sz="4" w:space="0" w:color="auto"/>
              <w:right w:val="single" w:sz="4" w:space="0" w:color="auto"/>
            </w:tcBorders>
            <w:shd w:val="clear" w:color="auto" w:fill="auto"/>
            <w:vAlign w:val="center"/>
            <w:hideMark/>
          </w:tcPr>
          <w:p w14:paraId="474184FF"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110,1 </w:t>
            </w:r>
          </w:p>
        </w:tc>
        <w:tc>
          <w:tcPr>
            <w:tcW w:w="836" w:type="dxa"/>
            <w:tcBorders>
              <w:top w:val="nil"/>
              <w:left w:val="nil"/>
              <w:bottom w:val="single" w:sz="4" w:space="0" w:color="auto"/>
              <w:right w:val="double" w:sz="6" w:space="0" w:color="auto"/>
            </w:tcBorders>
            <w:shd w:val="clear" w:color="auto" w:fill="auto"/>
            <w:vAlign w:val="center"/>
            <w:hideMark/>
          </w:tcPr>
          <w:p w14:paraId="3797FF15"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в 209 раз</w:t>
            </w:r>
          </w:p>
        </w:tc>
      </w:tr>
      <w:tr w:rsidR="00FD7B0B" w:rsidRPr="00FD7B0B" w14:paraId="7D618EF2"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CB65A88"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Транспорт</w:t>
            </w:r>
          </w:p>
        </w:tc>
        <w:tc>
          <w:tcPr>
            <w:tcW w:w="1050" w:type="dxa"/>
            <w:tcBorders>
              <w:top w:val="nil"/>
              <w:left w:val="nil"/>
              <w:bottom w:val="single" w:sz="4" w:space="0" w:color="auto"/>
              <w:right w:val="single" w:sz="4" w:space="0" w:color="auto"/>
            </w:tcBorders>
            <w:shd w:val="clear" w:color="auto" w:fill="auto"/>
            <w:vAlign w:val="center"/>
            <w:hideMark/>
          </w:tcPr>
          <w:p w14:paraId="2ABC136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0,04 </w:t>
            </w:r>
          </w:p>
        </w:tc>
        <w:tc>
          <w:tcPr>
            <w:tcW w:w="1066" w:type="dxa"/>
            <w:tcBorders>
              <w:top w:val="nil"/>
              <w:left w:val="nil"/>
              <w:bottom w:val="single" w:sz="4" w:space="0" w:color="auto"/>
              <w:right w:val="single" w:sz="4" w:space="0" w:color="auto"/>
            </w:tcBorders>
            <w:shd w:val="clear" w:color="auto" w:fill="auto"/>
            <w:vAlign w:val="center"/>
            <w:hideMark/>
          </w:tcPr>
          <w:p w14:paraId="0C4079BC"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0,00 </w:t>
            </w:r>
          </w:p>
        </w:tc>
        <w:tc>
          <w:tcPr>
            <w:tcW w:w="1135" w:type="dxa"/>
            <w:tcBorders>
              <w:top w:val="nil"/>
              <w:left w:val="nil"/>
              <w:bottom w:val="single" w:sz="4" w:space="0" w:color="auto"/>
              <w:right w:val="single" w:sz="4" w:space="0" w:color="auto"/>
            </w:tcBorders>
            <w:shd w:val="clear" w:color="auto" w:fill="auto"/>
            <w:vAlign w:val="center"/>
            <w:hideMark/>
          </w:tcPr>
          <w:p w14:paraId="208AE0B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836" w:type="dxa"/>
            <w:tcBorders>
              <w:top w:val="nil"/>
              <w:left w:val="nil"/>
              <w:bottom w:val="single" w:sz="4" w:space="0" w:color="auto"/>
              <w:right w:val="double" w:sz="6" w:space="0" w:color="auto"/>
            </w:tcBorders>
            <w:shd w:val="clear" w:color="auto" w:fill="auto"/>
            <w:vAlign w:val="center"/>
            <w:hideMark/>
          </w:tcPr>
          <w:p w14:paraId="0ADA8D0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240B362C"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22B5E3B6"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Дорожное хозяйство (дорожные фонды)</w:t>
            </w:r>
          </w:p>
        </w:tc>
        <w:tc>
          <w:tcPr>
            <w:tcW w:w="1050" w:type="dxa"/>
            <w:tcBorders>
              <w:top w:val="nil"/>
              <w:left w:val="nil"/>
              <w:bottom w:val="single" w:sz="4" w:space="0" w:color="auto"/>
              <w:right w:val="single" w:sz="4" w:space="0" w:color="auto"/>
            </w:tcBorders>
            <w:shd w:val="clear" w:color="auto" w:fill="auto"/>
            <w:vAlign w:val="center"/>
            <w:hideMark/>
          </w:tcPr>
          <w:p w14:paraId="36ED7218"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3 356,9 </w:t>
            </w:r>
          </w:p>
        </w:tc>
        <w:tc>
          <w:tcPr>
            <w:tcW w:w="1066" w:type="dxa"/>
            <w:tcBorders>
              <w:top w:val="nil"/>
              <w:left w:val="nil"/>
              <w:bottom w:val="single" w:sz="4" w:space="0" w:color="auto"/>
              <w:right w:val="single" w:sz="4" w:space="0" w:color="auto"/>
            </w:tcBorders>
            <w:shd w:val="clear" w:color="auto" w:fill="auto"/>
            <w:vAlign w:val="center"/>
            <w:hideMark/>
          </w:tcPr>
          <w:p w14:paraId="4E3EC64E"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916,9 </w:t>
            </w:r>
          </w:p>
        </w:tc>
        <w:tc>
          <w:tcPr>
            <w:tcW w:w="1135" w:type="dxa"/>
            <w:tcBorders>
              <w:top w:val="nil"/>
              <w:left w:val="nil"/>
              <w:bottom w:val="single" w:sz="4" w:space="0" w:color="auto"/>
              <w:right w:val="single" w:sz="4" w:space="0" w:color="auto"/>
            </w:tcBorders>
            <w:shd w:val="clear" w:color="auto" w:fill="auto"/>
            <w:vAlign w:val="center"/>
            <w:hideMark/>
          </w:tcPr>
          <w:p w14:paraId="594A7208"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-2 439,9 </w:t>
            </w:r>
          </w:p>
        </w:tc>
        <w:tc>
          <w:tcPr>
            <w:tcW w:w="836" w:type="dxa"/>
            <w:tcBorders>
              <w:top w:val="nil"/>
              <w:left w:val="nil"/>
              <w:bottom w:val="single" w:sz="4" w:space="0" w:color="auto"/>
              <w:right w:val="double" w:sz="6" w:space="0" w:color="auto"/>
            </w:tcBorders>
            <w:shd w:val="clear" w:color="auto" w:fill="auto"/>
            <w:vAlign w:val="center"/>
            <w:hideMark/>
          </w:tcPr>
          <w:p w14:paraId="180572A1"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-72,7 </w:t>
            </w:r>
          </w:p>
        </w:tc>
      </w:tr>
      <w:tr w:rsidR="00FD7B0B" w:rsidRPr="00FD7B0B" w14:paraId="5829B54D" w14:textId="77777777" w:rsidTr="00721A08">
        <w:trPr>
          <w:trHeight w:val="255"/>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5D2A0BDA"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Связь и информатика</w:t>
            </w:r>
          </w:p>
        </w:tc>
        <w:tc>
          <w:tcPr>
            <w:tcW w:w="1050" w:type="dxa"/>
            <w:tcBorders>
              <w:top w:val="nil"/>
              <w:left w:val="nil"/>
              <w:bottom w:val="single" w:sz="4" w:space="0" w:color="auto"/>
              <w:right w:val="single" w:sz="4" w:space="0" w:color="auto"/>
            </w:tcBorders>
            <w:shd w:val="clear" w:color="auto" w:fill="auto"/>
            <w:vAlign w:val="center"/>
            <w:hideMark/>
          </w:tcPr>
          <w:p w14:paraId="31158A2E"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66" w:type="dxa"/>
            <w:tcBorders>
              <w:top w:val="nil"/>
              <w:left w:val="nil"/>
              <w:bottom w:val="single" w:sz="4" w:space="0" w:color="auto"/>
              <w:right w:val="single" w:sz="4" w:space="0" w:color="auto"/>
            </w:tcBorders>
            <w:shd w:val="clear" w:color="auto" w:fill="auto"/>
            <w:vAlign w:val="center"/>
            <w:hideMark/>
          </w:tcPr>
          <w:p w14:paraId="2262D457"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1135" w:type="dxa"/>
            <w:tcBorders>
              <w:top w:val="nil"/>
              <w:left w:val="nil"/>
              <w:bottom w:val="single" w:sz="4" w:space="0" w:color="auto"/>
              <w:right w:val="single" w:sz="4" w:space="0" w:color="auto"/>
            </w:tcBorders>
            <w:shd w:val="clear" w:color="auto" w:fill="auto"/>
            <w:vAlign w:val="center"/>
            <w:hideMark/>
          </w:tcPr>
          <w:p w14:paraId="4478C7F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2,1 </w:t>
            </w:r>
          </w:p>
        </w:tc>
        <w:tc>
          <w:tcPr>
            <w:tcW w:w="836" w:type="dxa"/>
            <w:tcBorders>
              <w:top w:val="nil"/>
              <w:left w:val="nil"/>
              <w:bottom w:val="single" w:sz="4" w:space="0" w:color="auto"/>
              <w:right w:val="double" w:sz="6" w:space="0" w:color="auto"/>
            </w:tcBorders>
            <w:shd w:val="clear" w:color="auto" w:fill="auto"/>
            <w:vAlign w:val="center"/>
            <w:hideMark/>
          </w:tcPr>
          <w:p w14:paraId="689C8867"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4D958008"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531D3BAA"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Другие вопросы в области национальной экономики</w:t>
            </w:r>
          </w:p>
        </w:tc>
        <w:tc>
          <w:tcPr>
            <w:tcW w:w="1050" w:type="dxa"/>
            <w:tcBorders>
              <w:top w:val="nil"/>
              <w:left w:val="nil"/>
              <w:bottom w:val="single" w:sz="4" w:space="0" w:color="auto"/>
              <w:right w:val="single" w:sz="4" w:space="0" w:color="auto"/>
            </w:tcBorders>
            <w:shd w:val="clear" w:color="auto" w:fill="auto"/>
            <w:vAlign w:val="center"/>
            <w:hideMark/>
          </w:tcPr>
          <w:p w14:paraId="2386C9C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57,2 </w:t>
            </w:r>
          </w:p>
        </w:tc>
        <w:tc>
          <w:tcPr>
            <w:tcW w:w="1066" w:type="dxa"/>
            <w:tcBorders>
              <w:top w:val="nil"/>
              <w:left w:val="nil"/>
              <w:bottom w:val="single" w:sz="4" w:space="0" w:color="auto"/>
              <w:right w:val="single" w:sz="4" w:space="0" w:color="auto"/>
            </w:tcBorders>
            <w:shd w:val="clear" w:color="auto" w:fill="auto"/>
            <w:vAlign w:val="center"/>
            <w:hideMark/>
          </w:tcPr>
          <w:p w14:paraId="04F82CD8"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454,7 </w:t>
            </w:r>
          </w:p>
        </w:tc>
        <w:tc>
          <w:tcPr>
            <w:tcW w:w="1135" w:type="dxa"/>
            <w:tcBorders>
              <w:top w:val="nil"/>
              <w:left w:val="nil"/>
              <w:bottom w:val="single" w:sz="4" w:space="0" w:color="auto"/>
              <w:right w:val="single" w:sz="4" w:space="0" w:color="auto"/>
            </w:tcBorders>
            <w:shd w:val="clear" w:color="auto" w:fill="auto"/>
            <w:vAlign w:val="center"/>
            <w:hideMark/>
          </w:tcPr>
          <w:p w14:paraId="3FDD0182"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397,4 </w:t>
            </w:r>
          </w:p>
        </w:tc>
        <w:tc>
          <w:tcPr>
            <w:tcW w:w="836" w:type="dxa"/>
            <w:tcBorders>
              <w:top w:val="nil"/>
              <w:left w:val="nil"/>
              <w:bottom w:val="single" w:sz="4" w:space="0" w:color="auto"/>
              <w:right w:val="double" w:sz="6" w:space="0" w:color="auto"/>
            </w:tcBorders>
            <w:shd w:val="clear" w:color="auto" w:fill="auto"/>
            <w:vAlign w:val="center"/>
            <w:hideMark/>
          </w:tcPr>
          <w:p w14:paraId="1C8FA40E"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в 7,9 раза</w:t>
            </w:r>
          </w:p>
        </w:tc>
      </w:tr>
      <w:tr w:rsidR="00FD7B0B" w:rsidRPr="00FD7B0B" w14:paraId="7A060761"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7B5D8FAA"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 xml:space="preserve"> - из них в рамках концессионного соглашения (кампус "Арктическая звезда")</w:t>
            </w:r>
          </w:p>
        </w:tc>
        <w:tc>
          <w:tcPr>
            <w:tcW w:w="1050" w:type="dxa"/>
            <w:tcBorders>
              <w:top w:val="nil"/>
              <w:left w:val="nil"/>
              <w:bottom w:val="single" w:sz="4" w:space="0" w:color="auto"/>
              <w:right w:val="single" w:sz="4" w:space="0" w:color="auto"/>
            </w:tcBorders>
            <w:shd w:val="clear" w:color="auto" w:fill="auto"/>
            <w:vAlign w:val="center"/>
            <w:hideMark/>
          </w:tcPr>
          <w:p w14:paraId="4F5D6804"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066" w:type="dxa"/>
            <w:tcBorders>
              <w:top w:val="nil"/>
              <w:left w:val="nil"/>
              <w:bottom w:val="single" w:sz="4" w:space="0" w:color="auto"/>
              <w:right w:val="single" w:sz="4" w:space="0" w:color="auto"/>
            </w:tcBorders>
            <w:shd w:val="clear" w:color="auto" w:fill="auto"/>
            <w:vAlign w:val="center"/>
            <w:hideMark/>
          </w:tcPr>
          <w:p w14:paraId="4D6C33A6"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450,0 </w:t>
            </w:r>
          </w:p>
        </w:tc>
        <w:tc>
          <w:tcPr>
            <w:tcW w:w="1135" w:type="dxa"/>
            <w:tcBorders>
              <w:top w:val="nil"/>
              <w:left w:val="nil"/>
              <w:bottom w:val="single" w:sz="4" w:space="0" w:color="auto"/>
              <w:right w:val="single" w:sz="4" w:space="0" w:color="auto"/>
            </w:tcBorders>
            <w:shd w:val="clear" w:color="auto" w:fill="auto"/>
            <w:vAlign w:val="center"/>
            <w:hideMark/>
          </w:tcPr>
          <w:p w14:paraId="4B064B1C"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450,0 </w:t>
            </w:r>
          </w:p>
        </w:tc>
        <w:tc>
          <w:tcPr>
            <w:tcW w:w="836" w:type="dxa"/>
            <w:tcBorders>
              <w:top w:val="nil"/>
              <w:left w:val="nil"/>
              <w:bottom w:val="single" w:sz="4" w:space="0" w:color="auto"/>
              <w:right w:val="double" w:sz="6" w:space="0" w:color="auto"/>
            </w:tcBorders>
            <w:shd w:val="clear" w:color="auto" w:fill="auto"/>
            <w:vAlign w:val="center"/>
            <w:hideMark/>
          </w:tcPr>
          <w:p w14:paraId="4B7C48E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w:t>
            </w:r>
          </w:p>
        </w:tc>
      </w:tr>
      <w:tr w:rsidR="00FD7B0B" w:rsidRPr="00FD7B0B" w14:paraId="33B22F2D"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5456144A"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Жилищное хозяйство</w:t>
            </w:r>
          </w:p>
        </w:tc>
        <w:tc>
          <w:tcPr>
            <w:tcW w:w="1050" w:type="dxa"/>
            <w:tcBorders>
              <w:top w:val="nil"/>
              <w:left w:val="nil"/>
              <w:bottom w:val="single" w:sz="4" w:space="0" w:color="auto"/>
              <w:right w:val="single" w:sz="4" w:space="0" w:color="auto"/>
            </w:tcBorders>
            <w:shd w:val="clear" w:color="auto" w:fill="auto"/>
            <w:vAlign w:val="center"/>
            <w:hideMark/>
          </w:tcPr>
          <w:p w14:paraId="0555450F"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8 955,4 </w:t>
            </w:r>
          </w:p>
        </w:tc>
        <w:tc>
          <w:tcPr>
            <w:tcW w:w="1066" w:type="dxa"/>
            <w:tcBorders>
              <w:top w:val="nil"/>
              <w:left w:val="nil"/>
              <w:bottom w:val="single" w:sz="4" w:space="0" w:color="auto"/>
              <w:right w:val="single" w:sz="4" w:space="0" w:color="auto"/>
            </w:tcBorders>
            <w:shd w:val="clear" w:color="auto" w:fill="auto"/>
            <w:vAlign w:val="center"/>
            <w:hideMark/>
          </w:tcPr>
          <w:p w14:paraId="334712B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3 716,2 </w:t>
            </w:r>
          </w:p>
        </w:tc>
        <w:tc>
          <w:tcPr>
            <w:tcW w:w="1135" w:type="dxa"/>
            <w:tcBorders>
              <w:top w:val="nil"/>
              <w:left w:val="nil"/>
              <w:bottom w:val="single" w:sz="4" w:space="0" w:color="auto"/>
              <w:right w:val="single" w:sz="4" w:space="0" w:color="auto"/>
            </w:tcBorders>
            <w:shd w:val="clear" w:color="auto" w:fill="auto"/>
            <w:vAlign w:val="center"/>
            <w:hideMark/>
          </w:tcPr>
          <w:p w14:paraId="48A4B34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-5 239,2 </w:t>
            </w:r>
          </w:p>
        </w:tc>
        <w:tc>
          <w:tcPr>
            <w:tcW w:w="836" w:type="dxa"/>
            <w:tcBorders>
              <w:top w:val="nil"/>
              <w:left w:val="nil"/>
              <w:bottom w:val="single" w:sz="4" w:space="0" w:color="auto"/>
              <w:right w:val="double" w:sz="6" w:space="0" w:color="auto"/>
            </w:tcBorders>
            <w:shd w:val="clear" w:color="auto" w:fill="auto"/>
            <w:vAlign w:val="center"/>
            <w:hideMark/>
          </w:tcPr>
          <w:p w14:paraId="717F176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-58,5 </w:t>
            </w:r>
          </w:p>
        </w:tc>
      </w:tr>
      <w:tr w:rsidR="00FD7B0B" w:rsidRPr="00FD7B0B" w14:paraId="249F53B4"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55C899F4"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Коммунальное хозяйство</w:t>
            </w:r>
          </w:p>
        </w:tc>
        <w:tc>
          <w:tcPr>
            <w:tcW w:w="1050" w:type="dxa"/>
            <w:tcBorders>
              <w:top w:val="nil"/>
              <w:left w:val="nil"/>
              <w:bottom w:val="single" w:sz="4" w:space="0" w:color="auto"/>
              <w:right w:val="single" w:sz="4" w:space="0" w:color="auto"/>
            </w:tcBorders>
            <w:shd w:val="clear" w:color="auto" w:fill="auto"/>
            <w:vAlign w:val="center"/>
            <w:hideMark/>
          </w:tcPr>
          <w:p w14:paraId="0BC6FFDC"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389,8 </w:t>
            </w:r>
          </w:p>
        </w:tc>
        <w:tc>
          <w:tcPr>
            <w:tcW w:w="1066" w:type="dxa"/>
            <w:tcBorders>
              <w:top w:val="nil"/>
              <w:left w:val="nil"/>
              <w:bottom w:val="single" w:sz="4" w:space="0" w:color="auto"/>
              <w:right w:val="single" w:sz="4" w:space="0" w:color="auto"/>
            </w:tcBorders>
            <w:shd w:val="clear" w:color="auto" w:fill="auto"/>
            <w:vAlign w:val="center"/>
            <w:hideMark/>
          </w:tcPr>
          <w:p w14:paraId="6C5242B5"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1 497,7 </w:t>
            </w:r>
          </w:p>
        </w:tc>
        <w:tc>
          <w:tcPr>
            <w:tcW w:w="1135" w:type="dxa"/>
            <w:tcBorders>
              <w:top w:val="nil"/>
              <w:left w:val="nil"/>
              <w:bottom w:val="single" w:sz="4" w:space="0" w:color="auto"/>
              <w:right w:val="single" w:sz="4" w:space="0" w:color="auto"/>
            </w:tcBorders>
            <w:shd w:val="clear" w:color="auto" w:fill="auto"/>
            <w:vAlign w:val="center"/>
            <w:hideMark/>
          </w:tcPr>
          <w:p w14:paraId="2AD604E7"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1 107,9 </w:t>
            </w:r>
          </w:p>
        </w:tc>
        <w:tc>
          <w:tcPr>
            <w:tcW w:w="836" w:type="dxa"/>
            <w:tcBorders>
              <w:top w:val="nil"/>
              <w:left w:val="nil"/>
              <w:bottom w:val="single" w:sz="4" w:space="0" w:color="auto"/>
              <w:right w:val="double" w:sz="6" w:space="0" w:color="auto"/>
            </w:tcBorders>
            <w:shd w:val="clear" w:color="auto" w:fill="auto"/>
            <w:vAlign w:val="center"/>
            <w:hideMark/>
          </w:tcPr>
          <w:p w14:paraId="6F86E22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в 3,8 раза</w:t>
            </w:r>
          </w:p>
        </w:tc>
      </w:tr>
      <w:tr w:rsidR="00FD7B0B" w:rsidRPr="00FD7B0B" w14:paraId="1EB871FA"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0F5AF058"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Благоустройство</w:t>
            </w:r>
          </w:p>
        </w:tc>
        <w:tc>
          <w:tcPr>
            <w:tcW w:w="1050" w:type="dxa"/>
            <w:tcBorders>
              <w:top w:val="nil"/>
              <w:left w:val="nil"/>
              <w:bottom w:val="single" w:sz="4" w:space="0" w:color="auto"/>
              <w:right w:val="single" w:sz="4" w:space="0" w:color="auto"/>
            </w:tcBorders>
            <w:shd w:val="clear" w:color="auto" w:fill="auto"/>
            <w:vAlign w:val="center"/>
            <w:hideMark/>
          </w:tcPr>
          <w:p w14:paraId="2EC30C2E"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507,3 </w:t>
            </w:r>
          </w:p>
        </w:tc>
        <w:tc>
          <w:tcPr>
            <w:tcW w:w="1066" w:type="dxa"/>
            <w:tcBorders>
              <w:top w:val="nil"/>
              <w:left w:val="nil"/>
              <w:bottom w:val="single" w:sz="4" w:space="0" w:color="auto"/>
              <w:right w:val="single" w:sz="4" w:space="0" w:color="auto"/>
            </w:tcBorders>
            <w:shd w:val="clear" w:color="auto" w:fill="auto"/>
            <w:vAlign w:val="center"/>
            <w:hideMark/>
          </w:tcPr>
          <w:p w14:paraId="0BB6FAA2"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301,5 </w:t>
            </w:r>
          </w:p>
        </w:tc>
        <w:tc>
          <w:tcPr>
            <w:tcW w:w="1135" w:type="dxa"/>
            <w:tcBorders>
              <w:top w:val="nil"/>
              <w:left w:val="nil"/>
              <w:bottom w:val="single" w:sz="4" w:space="0" w:color="auto"/>
              <w:right w:val="single" w:sz="4" w:space="0" w:color="auto"/>
            </w:tcBorders>
            <w:shd w:val="clear" w:color="auto" w:fill="auto"/>
            <w:vAlign w:val="center"/>
            <w:hideMark/>
          </w:tcPr>
          <w:p w14:paraId="05B9DBFE"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-205,8 </w:t>
            </w:r>
          </w:p>
        </w:tc>
        <w:tc>
          <w:tcPr>
            <w:tcW w:w="836" w:type="dxa"/>
            <w:tcBorders>
              <w:top w:val="nil"/>
              <w:left w:val="nil"/>
              <w:bottom w:val="single" w:sz="4" w:space="0" w:color="auto"/>
              <w:right w:val="double" w:sz="6" w:space="0" w:color="auto"/>
            </w:tcBorders>
            <w:shd w:val="clear" w:color="auto" w:fill="auto"/>
            <w:vAlign w:val="center"/>
            <w:hideMark/>
          </w:tcPr>
          <w:p w14:paraId="46394929"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-40,6 </w:t>
            </w:r>
          </w:p>
        </w:tc>
      </w:tr>
      <w:tr w:rsidR="00FD7B0B" w:rsidRPr="00FD7B0B" w14:paraId="655C80BD"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24F9539F"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lastRenderedPageBreak/>
              <w:t>Другие вопросы в области жилищно-коммунального хозяйства</w:t>
            </w:r>
          </w:p>
        </w:tc>
        <w:tc>
          <w:tcPr>
            <w:tcW w:w="1050" w:type="dxa"/>
            <w:tcBorders>
              <w:top w:val="nil"/>
              <w:left w:val="nil"/>
              <w:bottom w:val="single" w:sz="4" w:space="0" w:color="auto"/>
              <w:right w:val="single" w:sz="4" w:space="0" w:color="auto"/>
            </w:tcBorders>
            <w:shd w:val="clear" w:color="auto" w:fill="auto"/>
            <w:vAlign w:val="center"/>
            <w:hideMark/>
          </w:tcPr>
          <w:p w14:paraId="0C09BF66"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895,5 </w:t>
            </w:r>
          </w:p>
        </w:tc>
        <w:tc>
          <w:tcPr>
            <w:tcW w:w="1066" w:type="dxa"/>
            <w:tcBorders>
              <w:top w:val="nil"/>
              <w:left w:val="nil"/>
              <w:bottom w:val="single" w:sz="4" w:space="0" w:color="auto"/>
              <w:right w:val="single" w:sz="4" w:space="0" w:color="auto"/>
            </w:tcBorders>
            <w:shd w:val="clear" w:color="auto" w:fill="auto"/>
            <w:vAlign w:val="center"/>
            <w:hideMark/>
          </w:tcPr>
          <w:p w14:paraId="6D006E37"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497,7 </w:t>
            </w:r>
          </w:p>
        </w:tc>
        <w:tc>
          <w:tcPr>
            <w:tcW w:w="1135" w:type="dxa"/>
            <w:tcBorders>
              <w:top w:val="nil"/>
              <w:left w:val="nil"/>
              <w:bottom w:val="single" w:sz="4" w:space="0" w:color="auto"/>
              <w:right w:val="single" w:sz="4" w:space="0" w:color="auto"/>
            </w:tcBorders>
            <w:shd w:val="clear" w:color="auto" w:fill="auto"/>
            <w:vAlign w:val="center"/>
            <w:hideMark/>
          </w:tcPr>
          <w:p w14:paraId="44911CB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-397,9 </w:t>
            </w:r>
          </w:p>
        </w:tc>
        <w:tc>
          <w:tcPr>
            <w:tcW w:w="836" w:type="dxa"/>
            <w:tcBorders>
              <w:top w:val="nil"/>
              <w:left w:val="nil"/>
              <w:bottom w:val="single" w:sz="4" w:space="0" w:color="auto"/>
              <w:right w:val="double" w:sz="6" w:space="0" w:color="auto"/>
            </w:tcBorders>
            <w:shd w:val="clear" w:color="auto" w:fill="auto"/>
            <w:vAlign w:val="center"/>
            <w:hideMark/>
          </w:tcPr>
          <w:p w14:paraId="0E080961"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-44,4 </w:t>
            </w:r>
          </w:p>
        </w:tc>
      </w:tr>
      <w:tr w:rsidR="00FD7B0B" w:rsidRPr="00FD7B0B" w14:paraId="218C0B27"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28C3BCD6"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Другие вопросы в области охраны окружающей среды</w:t>
            </w:r>
          </w:p>
        </w:tc>
        <w:tc>
          <w:tcPr>
            <w:tcW w:w="1050" w:type="dxa"/>
            <w:tcBorders>
              <w:top w:val="nil"/>
              <w:left w:val="nil"/>
              <w:bottom w:val="single" w:sz="4" w:space="0" w:color="auto"/>
              <w:right w:val="single" w:sz="4" w:space="0" w:color="auto"/>
            </w:tcBorders>
            <w:shd w:val="clear" w:color="auto" w:fill="auto"/>
            <w:vAlign w:val="center"/>
            <w:hideMark/>
          </w:tcPr>
          <w:p w14:paraId="78301FF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585,3 </w:t>
            </w:r>
          </w:p>
        </w:tc>
        <w:tc>
          <w:tcPr>
            <w:tcW w:w="1066" w:type="dxa"/>
            <w:tcBorders>
              <w:top w:val="nil"/>
              <w:left w:val="nil"/>
              <w:bottom w:val="single" w:sz="4" w:space="0" w:color="auto"/>
              <w:right w:val="single" w:sz="4" w:space="0" w:color="auto"/>
            </w:tcBorders>
            <w:shd w:val="clear" w:color="auto" w:fill="auto"/>
            <w:vAlign w:val="center"/>
            <w:hideMark/>
          </w:tcPr>
          <w:p w14:paraId="6947A989"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360,4 </w:t>
            </w:r>
          </w:p>
        </w:tc>
        <w:tc>
          <w:tcPr>
            <w:tcW w:w="1135" w:type="dxa"/>
            <w:tcBorders>
              <w:top w:val="nil"/>
              <w:left w:val="nil"/>
              <w:bottom w:val="single" w:sz="4" w:space="0" w:color="auto"/>
              <w:right w:val="single" w:sz="4" w:space="0" w:color="auto"/>
            </w:tcBorders>
            <w:shd w:val="clear" w:color="auto" w:fill="auto"/>
            <w:vAlign w:val="center"/>
            <w:hideMark/>
          </w:tcPr>
          <w:p w14:paraId="7D3FE66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-224,9 </w:t>
            </w:r>
          </w:p>
        </w:tc>
        <w:tc>
          <w:tcPr>
            <w:tcW w:w="836" w:type="dxa"/>
            <w:tcBorders>
              <w:top w:val="nil"/>
              <w:left w:val="nil"/>
              <w:bottom w:val="single" w:sz="4" w:space="0" w:color="auto"/>
              <w:right w:val="double" w:sz="6" w:space="0" w:color="auto"/>
            </w:tcBorders>
            <w:shd w:val="clear" w:color="auto" w:fill="auto"/>
            <w:vAlign w:val="center"/>
            <w:hideMark/>
          </w:tcPr>
          <w:p w14:paraId="1775E98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-38,4 </w:t>
            </w:r>
          </w:p>
        </w:tc>
      </w:tr>
      <w:tr w:rsidR="00FD7B0B" w:rsidRPr="00FD7B0B" w14:paraId="42FC671F"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1494925D"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1050" w:type="dxa"/>
            <w:tcBorders>
              <w:top w:val="nil"/>
              <w:left w:val="nil"/>
              <w:bottom w:val="single" w:sz="4" w:space="0" w:color="auto"/>
              <w:right w:val="single" w:sz="4" w:space="0" w:color="auto"/>
            </w:tcBorders>
            <w:shd w:val="clear" w:color="auto" w:fill="auto"/>
            <w:vAlign w:val="center"/>
            <w:hideMark/>
          </w:tcPr>
          <w:p w14:paraId="22BFC04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530,7 </w:t>
            </w:r>
          </w:p>
        </w:tc>
        <w:tc>
          <w:tcPr>
            <w:tcW w:w="1066" w:type="dxa"/>
            <w:tcBorders>
              <w:top w:val="nil"/>
              <w:left w:val="nil"/>
              <w:bottom w:val="single" w:sz="4" w:space="0" w:color="auto"/>
              <w:right w:val="single" w:sz="4" w:space="0" w:color="auto"/>
            </w:tcBorders>
            <w:shd w:val="clear" w:color="auto" w:fill="auto"/>
            <w:vAlign w:val="center"/>
            <w:hideMark/>
          </w:tcPr>
          <w:p w14:paraId="3140D42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337,0 </w:t>
            </w:r>
          </w:p>
        </w:tc>
        <w:tc>
          <w:tcPr>
            <w:tcW w:w="1135" w:type="dxa"/>
            <w:tcBorders>
              <w:top w:val="nil"/>
              <w:left w:val="nil"/>
              <w:bottom w:val="single" w:sz="4" w:space="0" w:color="auto"/>
              <w:right w:val="single" w:sz="4" w:space="0" w:color="auto"/>
            </w:tcBorders>
            <w:shd w:val="clear" w:color="auto" w:fill="auto"/>
            <w:vAlign w:val="center"/>
            <w:hideMark/>
          </w:tcPr>
          <w:p w14:paraId="1F181DB6"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-193,7 </w:t>
            </w:r>
          </w:p>
        </w:tc>
        <w:tc>
          <w:tcPr>
            <w:tcW w:w="836" w:type="dxa"/>
            <w:tcBorders>
              <w:top w:val="nil"/>
              <w:left w:val="nil"/>
              <w:bottom w:val="single" w:sz="4" w:space="0" w:color="auto"/>
              <w:right w:val="double" w:sz="6" w:space="0" w:color="auto"/>
            </w:tcBorders>
            <w:shd w:val="clear" w:color="auto" w:fill="auto"/>
            <w:vAlign w:val="center"/>
            <w:hideMark/>
          </w:tcPr>
          <w:p w14:paraId="7B388968"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-36,5 </w:t>
            </w:r>
          </w:p>
        </w:tc>
      </w:tr>
      <w:tr w:rsidR="00FD7B0B" w:rsidRPr="00FD7B0B" w14:paraId="00D886CA" w14:textId="77777777" w:rsidTr="00721A08">
        <w:trPr>
          <w:trHeight w:val="255"/>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80CF257"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Общее образование</w:t>
            </w:r>
          </w:p>
        </w:tc>
        <w:tc>
          <w:tcPr>
            <w:tcW w:w="1050" w:type="dxa"/>
            <w:tcBorders>
              <w:top w:val="nil"/>
              <w:left w:val="nil"/>
              <w:bottom w:val="single" w:sz="4" w:space="0" w:color="auto"/>
              <w:right w:val="single" w:sz="4" w:space="0" w:color="auto"/>
            </w:tcBorders>
            <w:shd w:val="clear" w:color="auto" w:fill="auto"/>
            <w:vAlign w:val="center"/>
            <w:hideMark/>
          </w:tcPr>
          <w:p w14:paraId="53B9EAE4"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1 021,4 </w:t>
            </w:r>
          </w:p>
        </w:tc>
        <w:tc>
          <w:tcPr>
            <w:tcW w:w="1066" w:type="dxa"/>
            <w:tcBorders>
              <w:top w:val="nil"/>
              <w:left w:val="nil"/>
              <w:bottom w:val="single" w:sz="4" w:space="0" w:color="auto"/>
              <w:right w:val="single" w:sz="4" w:space="0" w:color="auto"/>
            </w:tcBorders>
            <w:shd w:val="clear" w:color="auto" w:fill="auto"/>
            <w:vAlign w:val="center"/>
            <w:hideMark/>
          </w:tcPr>
          <w:p w14:paraId="1E750D4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2 884,5 </w:t>
            </w:r>
          </w:p>
        </w:tc>
        <w:tc>
          <w:tcPr>
            <w:tcW w:w="1135" w:type="dxa"/>
            <w:tcBorders>
              <w:top w:val="nil"/>
              <w:left w:val="nil"/>
              <w:bottom w:val="single" w:sz="4" w:space="0" w:color="auto"/>
              <w:right w:val="single" w:sz="4" w:space="0" w:color="auto"/>
            </w:tcBorders>
            <w:shd w:val="clear" w:color="auto" w:fill="auto"/>
            <w:vAlign w:val="center"/>
            <w:hideMark/>
          </w:tcPr>
          <w:p w14:paraId="0B8A946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1 863,1 </w:t>
            </w:r>
          </w:p>
        </w:tc>
        <w:tc>
          <w:tcPr>
            <w:tcW w:w="836" w:type="dxa"/>
            <w:tcBorders>
              <w:top w:val="nil"/>
              <w:left w:val="nil"/>
              <w:bottom w:val="single" w:sz="4" w:space="0" w:color="auto"/>
              <w:right w:val="double" w:sz="6" w:space="0" w:color="auto"/>
            </w:tcBorders>
            <w:shd w:val="clear" w:color="auto" w:fill="auto"/>
            <w:vAlign w:val="center"/>
            <w:hideMark/>
          </w:tcPr>
          <w:p w14:paraId="5E6C6E8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182,4 </w:t>
            </w:r>
          </w:p>
        </w:tc>
      </w:tr>
      <w:tr w:rsidR="00FD7B0B" w:rsidRPr="00FD7B0B" w14:paraId="2AC4B428"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0DB795C7"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1050" w:type="dxa"/>
            <w:tcBorders>
              <w:top w:val="nil"/>
              <w:left w:val="nil"/>
              <w:bottom w:val="single" w:sz="4" w:space="0" w:color="auto"/>
              <w:right w:val="single" w:sz="4" w:space="0" w:color="auto"/>
            </w:tcBorders>
            <w:shd w:val="clear" w:color="auto" w:fill="auto"/>
            <w:vAlign w:val="center"/>
            <w:hideMark/>
          </w:tcPr>
          <w:p w14:paraId="56F9B515"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96,5 </w:t>
            </w:r>
          </w:p>
        </w:tc>
        <w:tc>
          <w:tcPr>
            <w:tcW w:w="1066" w:type="dxa"/>
            <w:tcBorders>
              <w:top w:val="nil"/>
              <w:left w:val="nil"/>
              <w:bottom w:val="single" w:sz="4" w:space="0" w:color="auto"/>
              <w:right w:val="single" w:sz="4" w:space="0" w:color="auto"/>
            </w:tcBorders>
            <w:shd w:val="clear" w:color="auto" w:fill="auto"/>
            <w:vAlign w:val="center"/>
            <w:hideMark/>
          </w:tcPr>
          <w:p w14:paraId="44A4B80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861,0 </w:t>
            </w:r>
          </w:p>
        </w:tc>
        <w:tc>
          <w:tcPr>
            <w:tcW w:w="1135" w:type="dxa"/>
            <w:tcBorders>
              <w:top w:val="nil"/>
              <w:left w:val="nil"/>
              <w:bottom w:val="single" w:sz="4" w:space="0" w:color="auto"/>
              <w:right w:val="single" w:sz="4" w:space="0" w:color="auto"/>
            </w:tcBorders>
            <w:shd w:val="clear" w:color="auto" w:fill="auto"/>
            <w:vAlign w:val="center"/>
            <w:hideMark/>
          </w:tcPr>
          <w:p w14:paraId="7E352BD9"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764,5 </w:t>
            </w:r>
          </w:p>
        </w:tc>
        <w:tc>
          <w:tcPr>
            <w:tcW w:w="836" w:type="dxa"/>
            <w:tcBorders>
              <w:top w:val="nil"/>
              <w:left w:val="nil"/>
              <w:bottom w:val="single" w:sz="4" w:space="0" w:color="auto"/>
              <w:right w:val="double" w:sz="6" w:space="0" w:color="auto"/>
            </w:tcBorders>
            <w:shd w:val="clear" w:color="auto" w:fill="auto"/>
            <w:vAlign w:val="center"/>
            <w:hideMark/>
          </w:tcPr>
          <w:p w14:paraId="58E02A54"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в 8,9 раза</w:t>
            </w:r>
          </w:p>
        </w:tc>
      </w:tr>
      <w:tr w:rsidR="00FD7B0B" w:rsidRPr="00FD7B0B" w14:paraId="612E46B5"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57401BA0"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Дополнительное образование детей</w:t>
            </w:r>
          </w:p>
        </w:tc>
        <w:tc>
          <w:tcPr>
            <w:tcW w:w="1050" w:type="dxa"/>
            <w:tcBorders>
              <w:top w:val="nil"/>
              <w:left w:val="nil"/>
              <w:bottom w:val="single" w:sz="4" w:space="0" w:color="auto"/>
              <w:right w:val="single" w:sz="4" w:space="0" w:color="auto"/>
            </w:tcBorders>
            <w:shd w:val="clear" w:color="auto" w:fill="auto"/>
            <w:vAlign w:val="center"/>
            <w:hideMark/>
          </w:tcPr>
          <w:p w14:paraId="5170B2B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20,0 </w:t>
            </w:r>
          </w:p>
        </w:tc>
        <w:tc>
          <w:tcPr>
            <w:tcW w:w="1066" w:type="dxa"/>
            <w:tcBorders>
              <w:top w:val="nil"/>
              <w:left w:val="nil"/>
              <w:bottom w:val="single" w:sz="4" w:space="0" w:color="auto"/>
              <w:right w:val="single" w:sz="4" w:space="0" w:color="auto"/>
            </w:tcBorders>
            <w:shd w:val="clear" w:color="auto" w:fill="auto"/>
            <w:vAlign w:val="center"/>
            <w:hideMark/>
          </w:tcPr>
          <w:p w14:paraId="6B84543E"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5" w:type="dxa"/>
            <w:tcBorders>
              <w:top w:val="nil"/>
              <w:left w:val="nil"/>
              <w:bottom w:val="single" w:sz="4" w:space="0" w:color="auto"/>
              <w:right w:val="single" w:sz="4" w:space="0" w:color="auto"/>
            </w:tcBorders>
            <w:shd w:val="clear" w:color="auto" w:fill="auto"/>
            <w:vAlign w:val="center"/>
            <w:hideMark/>
          </w:tcPr>
          <w:p w14:paraId="4EA0B8D9"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-20,0 </w:t>
            </w:r>
          </w:p>
        </w:tc>
        <w:tc>
          <w:tcPr>
            <w:tcW w:w="836" w:type="dxa"/>
            <w:tcBorders>
              <w:top w:val="nil"/>
              <w:left w:val="nil"/>
              <w:bottom w:val="single" w:sz="4" w:space="0" w:color="auto"/>
              <w:right w:val="double" w:sz="6" w:space="0" w:color="auto"/>
            </w:tcBorders>
            <w:shd w:val="clear" w:color="auto" w:fill="auto"/>
            <w:vAlign w:val="center"/>
            <w:hideMark/>
          </w:tcPr>
          <w:p w14:paraId="06E02D16"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75630719"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475B83EA"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Среднее профессиональное образование</w:t>
            </w:r>
          </w:p>
        </w:tc>
        <w:tc>
          <w:tcPr>
            <w:tcW w:w="1050" w:type="dxa"/>
            <w:tcBorders>
              <w:top w:val="nil"/>
              <w:left w:val="nil"/>
              <w:bottom w:val="single" w:sz="4" w:space="0" w:color="auto"/>
              <w:right w:val="single" w:sz="4" w:space="0" w:color="auto"/>
            </w:tcBorders>
            <w:shd w:val="clear" w:color="auto" w:fill="auto"/>
            <w:vAlign w:val="center"/>
            <w:hideMark/>
          </w:tcPr>
          <w:p w14:paraId="1CE09302"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4,2 </w:t>
            </w:r>
          </w:p>
        </w:tc>
        <w:tc>
          <w:tcPr>
            <w:tcW w:w="1066" w:type="dxa"/>
            <w:tcBorders>
              <w:top w:val="nil"/>
              <w:left w:val="nil"/>
              <w:bottom w:val="single" w:sz="4" w:space="0" w:color="auto"/>
              <w:right w:val="single" w:sz="4" w:space="0" w:color="auto"/>
            </w:tcBorders>
            <w:shd w:val="clear" w:color="auto" w:fill="auto"/>
            <w:vAlign w:val="center"/>
            <w:hideMark/>
          </w:tcPr>
          <w:p w14:paraId="6E7475E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5" w:type="dxa"/>
            <w:tcBorders>
              <w:top w:val="nil"/>
              <w:left w:val="nil"/>
              <w:bottom w:val="single" w:sz="4" w:space="0" w:color="auto"/>
              <w:right w:val="single" w:sz="4" w:space="0" w:color="auto"/>
            </w:tcBorders>
            <w:shd w:val="clear" w:color="auto" w:fill="auto"/>
            <w:vAlign w:val="center"/>
            <w:hideMark/>
          </w:tcPr>
          <w:p w14:paraId="04DB6E38"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-4,2 </w:t>
            </w:r>
          </w:p>
        </w:tc>
        <w:tc>
          <w:tcPr>
            <w:tcW w:w="836" w:type="dxa"/>
            <w:tcBorders>
              <w:top w:val="nil"/>
              <w:left w:val="nil"/>
              <w:bottom w:val="single" w:sz="4" w:space="0" w:color="auto"/>
              <w:right w:val="double" w:sz="6" w:space="0" w:color="auto"/>
            </w:tcBorders>
            <w:shd w:val="clear" w:color="auto" w:fill="auto"/>
            <w:vAlign w:val="center"/>
            <w:hideMark/>
          </w:tcPr>
          <w:p w14:paraId="71200B6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49992D7A"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73143467"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Культура</w:t>
            </w:r>
          </w:p>
        </w:tc>
        <w:tc>
          <w:tcPr>
            <w:tcW w:w="1050" w:type="dxa"/>
            <w:tcBorders>
              <w:top w:val="nil"/>
              <w:left w:val="nil"/>
              <w:bottom w:val="single" w:sz="4" w:space="0" w:color="auto"/>
              <w:right w:val="single" w:sz="4" w:space="0" w:color="auto"/>
            </w:tcBorders>
            <w:shd w:val="clear" w:color="auto" w:fill="auto"/>
            <w:vAlign w:val="center"/>
            <w:hideMark/>
          </w:tcPr>
          <w:p w14:paraId="692B4A07"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610,1 </w:t>
            </w:r>
          </w:p>
        </w:tc>
        <w:tc>
          <w:tcPr>
            <w:tcW w:w="1066" w:type="dxa"/>
            <w:tcBorders>
              <w:top w:val="nil"/>
              <w:left w:val="nil"/>
              <w:bottom w:val="single" w:sz="4" w:space="0" w:color="auto"/>
              <w:right w:val="single" w:sz="4" w:space="0" w:color="auto"/>
            </w:tcBorders>
            <w:shd w:val="clear" w:color="auto" w:fill="auto"/>
            <w:vAlign w:val="center"/>
            <w:hideMark/>
          </w:tcPr>
          <w:p w14:paraId="3CC3DD1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151,9 </w:t>
            </w:r>
          </w:p>
        </w:tc>
        <w:tc>
          <w:tcPr>
            <w:tcW w:w="1135" w:type="dxa"/>
            <w:tcBorders>
              <w:top w:val="nil"/>
              <w:left w:val="nil"/>
              <w:bottom w:val="single" w:sz="4" w:space="0" w:color="auto"/>
              <w:right w:val="single" w:sz="4" w:space="0" w:color="auto"/>
            </w:tcBorders>
            <w:shd w:val="clear" w:color="auto" w:fill="auto"/>
            <w:vAlign w:val="center"/>
            <w:hideMark/>
          </w:tcPr>
          <w:p w14:paraId="41048594"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-458,2 </w:t>
            </w:r>
          </w:p>
        </w:tc>
        <w:tc>
          <w:tcPr>
            <w:tcW w:w="836" w:type="dxa"/>
            <w:tcBorders>
              <w:top w:val="nil"/>
              <w:left w:val="nil"/>
              <w:bottom w:val="single" w:sz="4" w:space="0" w:color="auto"/>
              <w:right w:val="double" w:sz="6" w:space="0" w:color="auto"/>
            </w:tcBorders>
            <w:shd w:val="clear" w:color="auto" w:fill="auto"/>
            <w:vAlign w:val="center"/>
            <w:hideMark/>
          </w:tcPr>
          <w:p w14:paraId="658565A4"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-75,1 </w:t>
            </w:r>
          </w:p>
        </w:tc>
      </w:tr>
      <w:tr w:rsidR="00FD7B0B" w:rsidRPr="00FD7B0B" w14:paraId="795FCFBD"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1472868D"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Стационарная медицинская помощь</w:t>
            </w:r>
          </w:p>
        </w:tc>
        <w:tc>
          <w:tcPr>
            <w:tcW w:w="1050" w:type="dxa"/>
            <w:tcBorders>
              <w:top w:val="nil"/>
              <w:left w:val="nil"/>
              <w:bottom w:val="single" w:sz="4" w:space="0" w:color="auto"/>
              <w:right w:val="single" w:sz="4" w:space="0" w:color="auto"/>
            </w:tcBorders>
            <w:shd w:val="clear" w:color="auto" w:fill="auto"/>
            <w:vAlign w:val="center"/>
            <w:hideMark/>
          </w:tcPr>
          <w:p w14:paraId="08A091E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458,0 </w:t>
            </w:r>
          </w:p>
        </w:tc>
        <w:tc>
          <w:tcPr>
            <w:tcW w:w="1066" w:type="dxa"/>
            <w:tcBorders>
              <w:top w:val="nil"/>
              <w:left w:val="nil"/>
              <w:bottom w:val="single" w:sz="4" w:space="0" w:color="auto"/>
              <w:right w:val="single" w:sz="4" w:space="0" w:color="auto"/>
            </w:tcBorders>
            <w:shd w:val="clear" w:color="auto" w:fill="auto"/>
            <w:vAlign w:val="center"/>
            <w:hideMark/>
          </w:tcPr>
          <w:p w14:paraId="130A647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526,8 </w:t>
            </w:r>
          </w:p>
        </w:tc>
        <w:tc>
          <w:tcPr>
            <w:tcW w:w="1135" w:type="dxa"/>
            <w:tcBorders>
              <w:top w:val="nil"/>
              <w:left w:val="nil"/>
              <w:bottom w:val="single" w:sz="4" w:space="0" w:color="auto"/>
              <w:right w:val="single" w:sz="4" w:space="0" w:color="auto"/>
            </w:tcBorders>
            <w:shd w:val="clear" w:color="auto" w:fill="auto"/>
            <w:vAlign w:val="center"/>
            <w:hideMark/>
          </w:tcPr>
          <w:p w14:paraId="10BC4A3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68,9 </w:t>
            </w:r>
          </w:p>
        </w:tc>
        <w:tc>
          <w:tcPr>
            <w:tcW w:w="836" w:type="dxa"/>
            <w:tcBorders>
              <w:top w:val="nil"/>
              <w:left w:val="nil"/>
              <w:bottom w:val="single" w:sz="4" w:space="0" w:color="auto"/>
              <w:right w:val="double" w:sz="6" w:space="0" w:color="auto"/>
            </w:tcBorders>
            <w:shd w:val="clear" w:color="auto" w:fill="auto"/>
            <w:vAlign w:val="center"/>
            <w:hideMark/>
          </w:tcPr>
          <w:p w14:paraId="22783A4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15,0 </w:t>
            </w:r>
          </w:p>
        </w:tc>
      </w:tr>
      <w:tr w:rsidR="00FD7B0B" w:rsidRPr="00FD7B0B" w14:paraId="71758B12"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BB176BA"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Амбулаторная помощь</w:t>
            </w:r>
          </w:p>
        </w:tc>
        <w:tc>
          <w:tcPr>
            <w:tcW w:w="1050" w:type="dxa"/>
            <w:tcBorders>
              <w:top w:val="nil"/>
              <w:left w:val="nil"/>
              <w:bottom w:val="single" w:sz="4" w:space="0" w:color="auto"/>
              <w:right w:val="single" w:sz="4" w:space="0" w:color="auto"/>
            </w:tcBorders>
            <w:shd w:val="clear" w:color="auto" w:fill="auto"/>
            <w:vAlign w:val="center"/>
            <w:hideMark/>
          </w:tcPr>
          <w:p w14:paraId="12249B29"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102,4 </w:t>
            </w:r>
          </w:p>
        </w:tc>
        <w:tc>
          <w:tcPr>
            <w:tcW w:w="1066" w:type="dxa"/>
            <w:tcBorders>
              <w:top w:val="nil"/>
              <w:left w:val="nil"/>
              <w:bottom w:val="single" w:sz="4" w:space="0" w:color="auto"/>
              <w:right w:val="single" w:sz="4" w:space="0" w:color="auto"/>
            </w:tcBorders>
            <w:shd w:val="clear" w:color="auto" w:fill="auto"/>
            <w:vAlign w:val="center"/>
            <w:hideMark/>
          </w:tcPr>
          <w:p w14:paraId="2161226D"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225,0 </w:t>
            </w:r>
          </w:p>
        </w:tc>
        <w:tc>
          <w:tcPr>
            <w:tcW w:w="1135" w:type="dxa"/>
            <w:tcBorders>
              <w:top w:val="nil"/>
              <w:left w:val="nil"/>
              <w:bottom w:val="single" w:sz="4" w:space="0" w:color="auto"/>
              <w:right w:val="single" w:sz="4" w:space="0" w:color="auto"/>
            </w:tcBorders>
            <w:shd w:val="clear" w:color="auto" w:fill="auto"/>
            <w:vAlign w:val="center"/>
            <w:hideMark/>
          </w:tcPr>
          <w:p w14:paraId="267281B9"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122,5 </w:t>
            </w:r>
          </w:p>
        </w:tc>
        <w:tc>
          <w:tcPr>
            <w:tcW w:w="836" w:type="dxa"/>
            <w:tcBorders>
              <w:top w:val="nil"/>
              <w:left w:val="nil"/>
              <w:bottom w:val="single" w:sz="4" w:space="0" w:color="auto"/>
              <w:right w:val="double" w:sz="6" w:space="0" w:color="auto"/>
            </w:tcBorders>
            <w:shd w:val="clear" w:color="auto" w:fill="auto"/>
            <w:vAlign w:val="center"/>
            <w:hideMark/>
          </w:tcPr>
          <w:p w14:paraId="11E74CAF"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в 2,1 раза</w:t>
            </w:r>
          </w:p>
        </w:tc>
      </w:tr>
      <w:tr w:rsidR="00FD7B0B" w:rsidRPr="00FD7B0B" w14:paraId="513A160E"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456525E7"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Другие вопросы в области здравоохранения</w:t>
            </w:r>
          </w:p>
        </w:tc>
        <w:tc>
          <w:tcPr>
            <w:tcW w:w="1050" w:type="dxa"/>
            <w:tcBorders>
              <w:top w:val="nil"/>
              <w:left w:val="nil"/>
              <w:bottom w:val="single" w:sz="4" w:space="0" w:color="auto"/>
              <w:right w:val="single" w:sz="4" w:space="0" w:color="auto"/>
            </w:tcBorders>
            <w:shd w:val="clear" w:color="auto" w:fill="auto"/>
            <w:vAlign w:val="center"/>
            <w:hideMark/>
          </w:tcPr>
          <w:p w14:paraId="546BEC34"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4,1 </w:t>
            </w:r>
          </w:p>
        </w:tc>
        <w:tc>
          <w:tcPr>
            <w:tcW w:w="1066" w:type="dxa"/>
            <w:tcBorders>
              <w:top w:val="nil"/>
              <w:left w:val="nil"/>
              <w:bottom w:val="single" w:sz="4" w:space="0" w:color="auto"/>
              <w:right w:val="single" w:sz="4" w:space="0" w:color="auto"/>
            </w:tcBorders>
            <w:shd w:val="clear" w:color="auto" w:fill="auto"/>
            <w:vAlign w:val="center"/>
            <w:hideMark/>
          </w:tcPr>
          <w:p w14:paraId="4B51663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4,5 </w:t>
            </w:r>
          </w:p>
        </w:tc>
        <w:tc>
          <w:tcPr>
            <w:tcW w:w="1135" w:type="dxa"/>
            <w:tcBorders>
              <w:top w:val="nil"/>
              <w:left w:val="nil"/>
              <w:bottom w:val="single" w:sz="4" w:space="0" w:color="auto"/>
              <w:right w:val="single" w:sz="4" w:space="0" w:color="auto"/>
            </w:tcBorders>
            <w:shd w:val="clear" w:color="auto" w:fill="auto"/>
            <w:vAlign w:val="center"/>
            <w:hideMark/>
          </w:tcPr>
          <w:p w14:paraId="0CCA8E2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0,5 </w:t>
            </w:r>
          </w:p>
        </w:tc>
        <w:tc>
          <w:tcPr>
            <w:tcW w:w="836" w:type="dxa"/>
            <w:tcBorders>
              <w:top w:val="nil"/>
              <w:left w:val="nil"/>
              <w:bottom w:val="single" w:sz="4" w:space="0" w:color="auto"/>
              <w:right w:val="double" w:sz="6" w:space="0" w:color="auto"/>
            </w:tcBorders>
            <w:shd w:val="clear" w:color="auto" w:fill="auto"/>
            <w:vAlign w:val="center"/>
            <w:hideMark/>
          </w:tcPr>
          <w:p w14:paraId="51BCC0B7"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11,2 </w:t>
            </w:r>
          </w:p>
        </w:tc>
      </w:tr>
      <w:tr w:rsidR="00FD7B0B" w:rsidRPr="00FD7B0B" w14:paraId="573FE6B0"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3C6CEE4E"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Социальное обслуживание населения</w:t>
            </w:r>
          </w:p>
        </w:tc>
        <w:tc>
          <w:tcPr>
            <w:tcW w:w="1050" w:type="dxa"/>
            <w:tcBorders>
              <w:top w:val="nil"/>
              <w:left w:val="nil"/>
              <w:bottom w:val="single" w:sz="4" w:space="0" w:color="auto"/>
              <w:right w:val="single" w:sz="4" w:space="0" w:color="auto"/>
            </w:tcBorders>
            <w:shd w:val="clear" w:color="auto" w:fill="auto"/>
            <w:vAlign w:val="center"/>
            <w:hideMark/>
          </w:tcPr>
          <w:p w14:paraId="39FEEA4C"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1066" w:type="dxa"/>
            <w:tcBorders>
              <w:top w:val="nil"/>
              <w:left w:val="nil"/>
              <w:bottom w:val="single" w:sz="4" w:space="0" w:color="auto"/>
              <w:right w:val="single" w:sz="4" w:space="0" w:color="auto"/>
            </w:tcBorders>
            <w:shd w:val="clear" w:color="auto" w:fill="auto"/>
            <w:vAlign w:val="center"/>
            <w:hideMark/>
          </w:tcPr>
          <w:p w14:paraId="036F35C9"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0,0 </w:t>
            </w:r>
          </w:p>
        </w:tc>
        <w:tc>
          <w:tcPr>
            <w:tcW w:w="1135" w:type="dxa"/>
            <w:tcBorders>
              <w:top w:val="nil"/>
              <w:left w:val="nil"/>
              <w:bottom w:val="single" w:sz="4" w:space="0" w:color="auto"/>
              <w:right w:val="single" w:sz="4" w:space="0" w:color="auto"/>
            </w:tcBorders>
            <w:shd w:val="clear" w:color="auto" w:fill="auto"/>
            <w:vAlign w:val="center"/>
            <w:hideMark/>
          </w:tcPr>
          <w:p w14:paraId="5C6F2121"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-0,6 </w:t>
            </w:r>
          </w:p>
        </w:tc>
        <w:tc>
          <w:tcPr>
            <w:tcW w:w="836" w:type="dxa"/>
            <w:tcBorders>
              <w:top w:val="nil"/>
              <w:left w:val="nil"/>
              <w:bottom w:val="single" w:sz="4" w:space="0" w:color="auto"/>
              <w:right w:val="double" w:sz="6" w:space="0" w:color="auto"/>
            </w:tcBorders>
            <w:shd w:val="clear" w:color="auto" w:fill="auto"/>
            <w:vAlign w:val="center"/>
            <w:hideMark/>
          </w:tcPr>
          <w:p w14:paraId="2E56E946"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-100,0 </w:t>
            </w:r>
          </w:p>
        </w:tc>
      </w:tr>
      <w:tr w:rsidR="00FD7B0B" w:rsidRPr="00FD7B0B" w14:paraId="428E6E5F"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4981D9FC"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Охрана семьи и детства</w:t>
            </w:r>
          </w:p>
        </w:tc>
        <w:tc>
          <w:tcPr>
            <w:tcW w:w="1050" w:type="dxa"/>
            <w:tcBorders>
              <w:top w:val="nil"/>
              <w:left w:val="nil"/>
              <w:bottom w:val="single" w:sz="4" w:space="0" w:color="auto"/>
              <w:right w:val="single" w:sz="4" w:space="0" w:color="auto"/>
            </w:tcBorders>
            <w:shd w:val="clear" w:color="auto" w:fill="auto"/>
            <w:vAlign w:val="center"/>
            <w:hideMark/>
          </w:tcPr>
          <w:p w14:paraId="15946F8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310,9 </w:t>
            </w:r>
          </w:p>
        </w:tc>
        <w:tc>
          <w:tcPr>
            <w:tcW w:w="1066" w:type="dxa"/>
            <w:tcBorders>
              <w:top w:val="nil"/>
              <w:left w:val="nil"/>
              <w:bottom w:val="single" w:sz="4" w:space="0" w:color="auto"/>
              <w:right w:val="single" w:sz="4" w:space="0" w:color="auto"/>
            </w:tcBorders>
            <w:shd w:val="clear" w:color="auto" w:fill="auto"/>
            <w:vAlign w:val="center"/>
            <w:hideMark/>
          </w:tcPr>
          <w:p w14:paraId="7A87D68C"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204,5 </w:t>
            </w:r>
          </w:p>
        </w:tc>
        <w:tc>
          <w:tcPr>
            <w:tcW w:w="1135" w:type="dxa"/>
            <w:tcBorders>
              <w:top w:val="nil"/>
              <w:left w:val="nil"/>
              <w:bottom w:val="single" w:sz="4" w:space="0" w:color="auto"/>
              <w:right w:val="single" w:sz="4" w:space="0" w:color="auto"/>
            </w:tcBorders>
            <w:shd w:val="clear" w:color="auto" w:fill="auto"/>
            <w:vAlign w:val="center"/>
            <w:hideMark/>
          </w:tcPr>
          <w:p w14:paraId="483EBBC2"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-106,4 </w:t>
            </w:r>
          </w:p>
        </w:tc>
        <w:tc>
          <w:tcPr>
            <w:tcW w:w="836" w:type="dxa"/>
            <w:tcBorders>
              <w:top w:val="nil"/>
              <w:left w:val="nil"/>
              <w:bottom w:val="single" w:sz="4" w:space="0" w:color="auto"/>
              <w:right w:val="double" w:sz="6" w:space="0" w:color="auto"/>
            </w:tcBorders>
            <w:shd w:val="clear" w:color="auto" w:fill="auto"/>
            <w:vAlign w:val="center"/>
            <w:hideMark/>
          </w:tcPr>
          <w:p w14:paraId="29B5E7E8"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-34,2 </w:t>
            </w:r>
          </w:p>
        </w:tc>
      </w:tr>
      <w:tr w:rsidR="00FD7B0B" w:rsidRPr="00FD7B0B" w14:paraId="36990F06"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D2D0A1A"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Массовый спорт</w:t>
            </w:r>
          </w:p>
        </w:tc>
        <w:tc>
          <w:tcPr>
            <w:tcW w:w="1050" w:type="dxa"/>
            <w:tcBorders>
              <w:top w:val="nil"/>
              <w:left w:val="nil"/>
              <w:bottom w:val="single" w:sz="4" w:space="0" w:color="auto"/>
              <w:right w:val="single" w:sz="4" w:space="0" w:color="auto"/>
            </w:tcBorders>
            <w:shd w:val="clear" w:color="auto" w:fill="auto"/>
            <w:vAlign w:val="center"/>
            <w:hideMark/>
          </w:tcPr>
          <w:p w14:paraId="73E96E3E"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401,6 </w:t>
            </w:r>
          </w:p>
        </w:tc>
        <w:tc>
          <w:tcPr>
            <w:tcW w:w="1066" w:type="dxa"/>
            <w:tcBorders>
              <w:top w:val="nil"/>
              <w:left w:val="nil"/>
              <w:bottom w:val="single" w:sz="4" w:space="0" w:color="auto"/>
              <w:right w:val="single" w:sz="4" w:space="0" w:color="auto"/>
            </w:tcBorders>
            <w:shd w:val="clear" w:color="auto" w:fill="auto"/>
            <w:vAlign w:val="center"/>
            <w:hideMark/>
          </w:tcPr>
          <w:p w14:paraId="5D3748D1"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382,5 </w:t>
            </w:r>
          </w:p>
        </w:tc>
        <w:tc>
          <w:tcPr>
            <w:tcW w:w="1135" w:type="dxa"/>
            <w:tcBorders>
              <w:top w:val="nil"/>
              <w:left w:val="nil"/>
              <w:bottom w:val="single" w:sz="4" w:space="0" w:color="auto"/>
              <w:right w:val="single" w:sz="4" w:space="0" w:color="auto"/>
            </w:tcBorders>
            <w:shd w:val="clear" w:color="auto" w:fill="auto"/>
            <w:vAlign w:val="center"/>
            <w:hideMark/>
          </w:tcPr>
          <w:p w14:paraId="2CF1635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-19,1 </w:t>
            </w:r>
          </w:p>
        </w:tc>
        <w:tc>
          <w:tcPr>
            <w:tcW w:w="836" w:type="dxa"/>
            <w:tcBorders>
              <w:top w:val="nil"/>
              <w:left w:val="nil"/>
              <w:bottom w:val="single" w:sz="4" w:space="0" w:color="auto"/>
              <w:right w:val="double" w:sz="6" w:space="0" w:color="auto"/>
            </w:tcBorders>
            <w:shd w:val="clear" w:color="auto" w:fill="auto"/>
            <w:vAlign w:val="center"/>
            <w:hideMark/>
          </w:tcPr>
          <w:p w14:paraId="437D3CF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-4,8 </w:t>
            </w:r>
          </w:p>
        </w:tc>
      </w:tr>
      <w:tr w:rsidR="00FD7B0B" w:rsidRPr="00FD7B0B" w14:paraId="771C88A3"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28E2289B"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Итого, из них:</w:t>
            </w:r>
          </w:p>
        </w:tc>
        <w:tc>
          <w:tcPr>
            <w:tcW w:w="1050" w:type="dxa"/>
            <w:tcBorders>
              <w:top w:val="nil"/>
              <w:left w:val="nil"/>
              <w:bottom w:val="single" w:sz="4" w:space="0" w:color="auto"/>
              <w:right w:val="single" w:sz="4" w:space="0" w:color="auto"/>
            </w:tcBorders>
            <w:shd w:val="clear" w:color="auto" w:fill="auto"/>
            <w:vAlign w:val="center"/>
            <w:hideMark/>
          </w:tcPr>
          <w:p w14:paraId="073C8A78"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17 783,0 </w:t>
            </w:r>
          </w:p>
        </w:tc>
        <w:tc>
          <w:tcPr>
            <w:tcW w:w="1066" w:type="dxa"/>
            <w:tcBorders>
              <w:top w:val="nil"/>
              <w:left w:val="nil"/>
              <w:bottom w:val="single" w:sz="4" w:space="0" w:color="auto"/>
              <w:right w:val="single" w:sz="4" w:space="0" w:color="auto"/>
            </w:tcBorders>
            <w:shd w:val="clear" w:color="auto" w:fill="auto"/>
            <w:vAlign w:val="center"/>
            <w:hideMark/>
          </w:tcPr>
          <w:p w14:paraId="3898CE0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12 442,1 </w:t>
            </w:r>
          </w:p>
        </w:tc>
        <w:tc>
          <w:tcPr>
            <w:tcW w:w="1135" w:type="dxa"/>
            <w:tcBorders>
              <w:top w:val="nil"/>
              <w:left w:val="nil"/>
              <w:bottom w:val="single" w:sz="4" w:space="0" w:color="auto"/>
              <w:right w:val="single" w:sz="4" w:space="0" w:color="auto"/>
            </w:tcBorders>
            <w:shd w:val="clear" w:color="auto" w:fill="auto"/>
            <w:vAlign w:val="center"/>
            <w:hideMark/>
          </w:tcPr>
          <w:p w14:paraId="5923968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-5 343,0 </w:t>
            </w:r>
          </w:p>
        </w:tc>
        <w:tc>
          <w:tcPr>
            <w:tcW w:w="836" w:type="dxa"/>
            <w:tcBorders>
              <w:top w:val="nil"/>
              <w:left w:val="nil"/>
              <w:bottom w:val="single" w:sz="4" w:space="0" w:color="auto"/>
              <w:right w:val="double" w:sz="6" w:space="0" w:color="auto"/>
            </w:tcBorders>
            <w:shd w:val="clear" w:color="auto" w:fill="auto"/>
            <w:vAlign w:val="center"/>
            <w:hideMark/>
          </w:tcPr>
          <w:p w14:paraId="4552087D"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-30,0 </w:t>
            </w:r>
          </w:p>
        </w:tc>
      </w:tr>
      <w:tr w:rsidR="00FD7B0B" w:rsidRPr="00FD7B0B" w14:paraId="273309B6"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1CB2BE44"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 xml:space="preserve"> - в рамках концессионных соглашений</w:t>
            </w:r>
          </w:p>
        </w:tc>
        <w:tc>
          <w:tcPr>
            <w:tcW w:w="1050" w:type="dxa"/>
            <w:tcBorders>
              <w:top w:val="nil"/>
              <w:left w:val="nil"/>
              <w:bottom w:val="single" w:sz="4" w:space="0" w:color="auto"/>
              <w:right w:val="single" w:sz="4" w:space="0" w:color="auto"/>
            </w:tcBorders>
            <w:shd w:val="clear" w:color="auto" w:fill="auto"/>
            <w:vAlign w:val="center"/>
            <w:hideMark/>
          </w:tcPr>
          <w:p w14:paraId="103A03A8"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627,2 </w:t>
            </w:r>
          </w:p>
        </w:tc>
        <w:tc>
          <w:tcPr>
            <w:tcW w:w="1066" w:type="dxa"/>
            <w:tcBorders>
              <w:top w:val="nil"/>
              <w:left w:val="nil"/>
              <w:bottom w:val="single" w:sz="4" w:space="0" w:color="auto"/>
              <w:right w:val="single" w:sz="4" w:space="0" w:color="auto"/>
            </w:tcBorders>
            <w:shd w:val="clear" w:color="auto" w:fill="auto"/>
            <w:vAlign w:val="center"/>
            <w:hideMark/>
          </w:tcPr>
          <w:p w14:paraId="1CAB0C6A"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1135" w:type="dxa"/>
            <w:tcBorders>
              <w:top w:val="nil"/>
              <w:left w:val="nil"/>
              <w:bottom w:val="single" w:sz="4" w:space="0" w:color="auto"/>
              <w:right w:val="single" w:sz="4" w:space="0" w:color="auto"/>
            </w:tcBorders>
            <w:shd w:val="clear" w:color="auto" w:fill="auto"/>
            <w:vAlign w:val="center"/>
            <w:hideMark/>
          </w:tcPr>
          <w:p w14:paraId="690803D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1 020,8 </w:t>
            </w:r>
          </w:p>
        </w:tc>
        <w:tc>
          <w:tcPr>
            <w:tcW w:w="836" w:type="dxa"/>
            <w:tcBorders>
              <w:top w:val="nil"/>
              <w:left w:val="nil"/>
              <w:bottom w:val="single" w:sz="4" w:space="0" w:color="auto"/>
              <w:right w:val="double" w:sz="6" w:space="0" w:color="auto"/>
            </w:tcBorders>
            <w:shd w:val="clear" w:color="auto" w:fill="auto"/>
            <w:vAlign w:val="center"/>
            <w:hideMark/>
          </w:tcPr>
          <w:p w14:paraId="7387437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в 2,6 раза</w:t>
            </w:r>
          </w:p>
        </w:tc>
      </w:tr>
      <w:tr w:rsidR="00FD7B0B" w:rsidRPr="00FD7B0B" w14:paraId="4A2F1B1B"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C0865DA"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 xml:space="preserve"> - в рамках ОАИП</w:t>
            </w:r>
          </w:p>
        </w:tc>
        <w:tc>
          <w:tcPr>
            <w:tcW w:w="1050" w:type="dxa"/>
            <w:tcBorders>
              <w:top w:val="nil"/>
              <w:left w:val="nil"/>
              <w:bottom w:val="single" w:sz="4" w:space="0" w:color="auto"/>
              <w:right w:val="single" w:sz="4" w:space="0" w:color="auto"/>
            </w:tcBorders>
            <w:shd w:val="clear" w:color="auto" w:fill="auto"/>
            <w:vAlign w:val="center"/>
            <w:hideMark/>
          </w:tcPr>
          <w:p w14:paraId="19385B2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8 548,6 </w:t>
            </w:r>
          </w:p>
        </w:tc>
        <w:tc>
          <w:tcPr>
            <w:tcW w:w="1066" w:type="dxa"/>
            <w:tcBorders>
              <w:top w:val="nil"/>
              <w:left w:val="nil"/>
              <w:bottom w:val="single" w:sz="4" w:space="0" w:color="auto"/>
              <w:right w:val="single" w:sz="4" w:space="0" w:color="auto"/>
            </w:tcBorders>
            <w:shd w:val="clear" w:color="auto" w:fill="auto"/>
            <w:vAlign w:val="center"/>
            <w:hideMark/>
          </w:tcPr>
          <w:p w14:paraId="220CA914"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6 912,0 </w:t>
            </w:r>
          </w:p>
        </w:tc>
        <w:tc>
          <w:tcPr>
            <w:tcW w:w="1135" w:type="dxa"/>
            <w:tcBorders>
              <w:top w:val="nil"/>
              <w:left w:val="nil"/>
              <w:bottom w:val="single" w:sz="4" w:space="0" w:color="auto"/>
              <w:right w:val="single" w:sz="4" w:space="0" w:color="auto"/>
            </w:tcBorders>
            <w:shd w:val="clear" w:color="auto" w:fill="auto"/>
            <w:vAlign w:val="center"/>
            <w:hideMark/>
          </w:tcPr>
          <w:p w14:paraId="5ABF1E8F"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-1 636,6 </w:t>
            </w:r>
          </w:p>
        </w:tc>
        <w:tc>
          <w:tcPr>
            <w:tcW w:w="836" w:type="dxa"/>
            <w:tcBorders>
              <w:top w:val="nil"/>
              <w:left w:val="nil"/>
              <w:bottom w:val="single" w:sz="4" w:space="0" w:color="auto"/>
              <w:right w:val="double" w:sz="6" w:space="0" w:color="auto"/>
            </w:tcBorders>
            <w:shd w:val="clear" w:color="auto" w:fill="auto"/>
            <w:vAlign w:val="center"/>
            <w:hideMark/>
          </w:tcPr>
          <w:p w14:paraId="710439ED"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-19,1 </w:t>
            </w:r>
          </w:p>
        </w:tc>
      </w:tr>
      <w:tr w:rsidR="00FD7B0B" w:rsidRPr="00FD7B0B" w14:paraId="2854B285" w14:textId="77777777" w:rsidTr="00721A08">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0C2FA4C4"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 xml:space="preserve"> - переселение граждан из аварийного жил. фонда</w:t>
            </w:r>
          </w:p>
        </w:tc>
        <w:tc>
          <w:tcPr>
            <w:tcW w:w="1050" w:type="dxa"/>
            <w:tcBorders>
              <w:top w:val="nil"/>
              <w:left w:val="nil"/>
              <w:bottom w:val="single" w:sz="4" w:space="0" w:color="auto"/>
              <w:right w:val="single" w:sz="4" w:space="0" w:color="auto"/>
            </w:tcBorders>
            <w:shd w:val="clear" w:color="auto" w:fill="auto"/>
            <w:vAlign w:val="center"/>
            <w:hideMark/>
          </w:tcPr>
          <w:p w14:paraId="1AD0B165"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8 192,2 </w:t>
            </w:r>
          </w:p>
        </w:tc>
        <w:tc>
          <w:tcPr>
            <w:tcW w:w="1066" w:type="dxa"/>
            <w:tcBorders>
              <w:top w:val="nil"/>
              <w:left w:val="nil"/>
              <w:bottom w:val="single" w:sz="4" w:space="0" w:color="auto"/>
              <w:right w:val="single" w:sz="4" w:space="0" w:color="auto"/>
            </w:tcBorders>
            <w:shd w:val="clear" w:color="auto" w:fill="auto"/>
            <w:vAlign w:val="center"/>
            <w:hideMark/>
          </w:tcPr>
          <w:p w14:paraId="5332406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2 907,9 </w:t>
            </w:r>
          </w:p>
        </w:tc>
        <w:tc>
          <w:tcPr>
            <w:tcW w:w="1135" w:type="dxa"/>
            <w:tcBorders>
              <w:top w:val="nil"/>
              <w:left w:val="nil"/>
              <w:bottom w:val="single" w:sz="4" w:space="0" w:color="auto"/>
              <w:right w:val="single" w:sz="4" w:space="0" w:color="auto"/>
            </w:tcBorders>
            <w:shd w:val="clear" w:color="auto" w:fill="auto"/>
            <w:vAlign w:val="center"/>
            <w:hideMark/>
          </w:tcPr>
          <w:p w14:paraId="49DD07DB"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-5 284,3 </w:t>
            </w:r>
          </w:p>
        </w:tc>
        <w:tc>
          <w:tcPr>
            <w:tcW w:w="836" w:type="dxa"/>
            <w:tcBorders>
              <w:top w:val="nil"/>
              <w:left w:val="nil"/>
              <w:bottom w:val="single" w:sz="4" w:space="0" w:color="auto"/>
              <w:right w:val="double" w:sz="6" w:space="0" w:color="auto"/>
            </w:tcBorders>
            <w:shd w:val="clear" w:color="auto" w:fill="auto"/>
            <w:vAlign w:val="center"/>
            <w:hideMark/>
          </w:tcPr>
          <w:p w14:paraId="3F8339FF"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-64,5 </w:t>
            </w:r>
          </w:p>
        </w:tc>
      </w:tr>
      <w:tr w:rsidR="00082A52" w:rsidRPr="00FD7B0B" w14:paraId="296D8A29" w14:textId="77777777" w:rsidTr="00721A08">
        <w:trPr>
          <w:trHeight w:val="70"/>
        </w:trPr>
        <w:tc>
          <w:tcPr>
            <w:tcW w:w="5647" w:type="dxa"/>
            <w:tcBorders>
              <w:top w:val="nil"/>
              <w:left w:val="double" w:sz="6" w:space="0" w:color="auto"/>
              <w:bottom w:val="double" w:sz="6" w:space="0" w:color="auto"/>
              <w:right w:val="single" w:sz="4" w:space="0" w:color="auto"/>
            </w:tcBorders>
            <w:shd w:val="clear" w:color="auto" w:fill="auto"/>
            <w:vAlign w:val="center"/>
            <w:hideMark/>
          </w:tcPr>
          <w:p w14:paraId="54516BB6" w14:textId="77777777" w:rsidR="00082A52" w:rsidRPr="00FD7B0B" w:rsidRDefault="00082A52" w:rsidP="000F43DC">
            <w:pPr>
              <w:spacing w:after="0" w:line="240" w:lineRule="auto"/>
              <w:rPr>
                <w:rFonts w:ascii="Times New Roman" w:hAnsi="Times New Roman" w:cs="Times New Roman"/>
              </w:rPr>
            </w:pPr>
            <w:r w:rsidRPr="00FD7B0B">
              <w:rPr>
                <w:rFonts w:ascii="Times New Roman" w:hAnsi="Times New Roman" w:cs="Times New Roman"/>
              </w:rPr>
              <w:t xml:space="preserve"> - прочие</w:t>
            </w:r>
          </w:p>
        </w:tc>
        <w:tc>
          <w:tcPr>
            <w:tcW w:w="1050" w:type="dxa"/>
            <w:tcBorders>
              <w:top w:val="nil"/>
              <w:left w:val="nil"/>
              <w:bottom w:val="double" w:sz="6" w:space="0" w:color="auto"/>
              <w:right w:val="single" w:sz="4" w:space="0" w:color="auto"/>
            </w:tcBorders>
            <w:shd w:val="clear" w:color="auto" w:fill="auto"/>
            <w:vAlign w:val="center"/>
            <w:hideMark/>
          </w:tcPr>
          <w:p w14:paraId="529E0553"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415,0 </w:t>
            </w:r>
          </w:p>
        </w:tc>
        <w:tc>
          <w:tcPr>
            <w:tcW w:w="1066" w:type="dxa"/>
            <w:tcBorders>
              <w:top w:val="nil"/>
              <w:left w:val="nil"/>
              <w:bottom w:val="double" w:sz="6" w:space="0" w:color="auto"/>
              <w:right w:val="single" w:sz="4" w:space="0" w:color="auto"/>
            </w:tcBorders>
            <w:shd w:val="clear" w:color="auto" w:fill="auto"/>
            <w:vAlign w:val="center"/>
            <w:hideMark/>
          </w:tcPr>
          <w:p w14:paraId="133F23B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974,3 </w:t>
            </w:r>
          </w:p>
        </w:tc>
        <w:tc>
          <w:tcPr>
            <w:tcW w:w="1135" w:type="dxa"/>
            <w:tcBorders>
              <w:top w:val="nil"/>
              <w:left w:val="nil"/>
              <w:bottom w:val="double" w:sz="6" w:space="0" w:color="auto"/>
              <w:right w:val="single" w:sz="4" w:space="0" w:color="auto"/>
            </w:tcBorders>
            <w:shd w:val="clear" w:color="auto" w:fill="auto"/>
            <w:vAlign w:val="center"/>
            <w:hideMark/>
          </w:tcPr>
          <w:p w14:paraId="7848C4F1"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 xml:space="preserve">559,3 </w:t>
            </w:r>
          </w:p>
        </w:tc>
        <w:tc>
          <w:tcPr>
            <w:tcW w:w="836" w:type="dxa"/>
            <w:tcBorders>
              <w:top w:val="nil"/>
              <w:left w:val="nil"/>
              <w:bottom w:val="double" w:sz="6" w:space="0" w:color="auto"/>
              <w:right w:val="double" w:sz="6" w:space="0" w:color="auto"/>
            </w:tcBorders>
            <w:shd w:val="clear" w:color="auto" w:fill="auto"/>
            <w:vAlign w:val="center"/>
            <w:hideMark/>
          </w:tcPr>
          <w:p w14:paraId="1AB83FA0" w14:textId="77777777" w:rsidR="00082A52" w:rsidRPr="00FD7B0B" w:rsidRDefault="00082A52" w:rsidP="000F43DC">
            <w:pPr>
              <w:spacing w:after="0" w:line="240" w:lineRule="auto"/>
              <w:jc w:val="right"/>
              <w:rPr>
                <w:rFonts w:ascii="Times New Roman" w:hAnsi="Times New Roman" w:cs="Times New Roman"/>
              </w:rPr>
            </w:pPr>
            <w:r w:rsidRPr="00FD7B0B">
              <w:rPr>
                <w:rFonts w:ascii="Times New Roman" w:hAnsi="Times New Roman" w:cs="Times New Roman"/>
              </w:rPr>
              <w:t>в 2,3 раза</w:t>
            </w:r>
          </w:p>
        </w:tc>
      </w:tr>
    </w:tbl>
    <w:p w14:paraId="6A5A00BD" w14:textId="77777777" w:rsidR="00082A52" w:rsidRPr="00FD7B0B" w:rsidRDefault="00082A52" w:rsidP="00721A08">
      <w:pPr>
        <w:spacing w:after="0" w:line="240" w:lineRule="auto"/>
        <w:ind w:firstLine="709"/>
        <w:jc w:val="both"/>
        <w:rPr>
          <w:rFonts w:ascii="Times New Roman" w:hAnsi="Times New Roman" w:cs="Times New Roman"/>
          <w:sz w:val="28"/>
          <w:szCs w:val="28"/>
        </w:rPr>
      </w:pPr>
    </w:p>
    <w:p w14:paraId="3595F04F" w14:textId="5430CBC8" w:rsidR="00C97D0B" w:rsidRPr="00FD7B0B" w:rsidRDefault="00C97D0B" w:rsidP="00C97D0B">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Как и в 2023 году, в отчетном периоде приоритетными инвестиционными направлениями из областного бюджета являются расходы на жилищно-коммунальное хозяйство и образование, а также в сфере национальной экономики.</w:t>
      </w:r>
    </w:p>
    <w:p w14:paraId="5189FC03" w14:textId="77777777" w:rsidR="00C97D0B" w:rsidRPr="00FD7B0B" w:rsidRDefault="00C97D0B" w:rsidP="00721A08">
      <w:pPr>
        <w:spacing w:after="0" w:line="240" w:lineRule="auto"/>
        <w:ind w:firstLine="709"/>
        <w:jc w:val="both"/>
        <w:rPr>
          <w:rFonts w:ascii="Times New Roman" w:hAnsi="Times New Roman" w:cs="Times New Roman"/>
          <w:sz w:val="28"/>
          <w:szCs w:val="28"/>
        </w:rPr>
      </w:pPr>
    </w:p>
    <w:p w14:paraId="19DB3532" w14:textId="1BF90B01" w:rsidR="00082A52" w:rsidRPr="00FD7B0B" w:rsidRDefault="00082A52" w:rsidP="00721A08">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Как отражено выше, в рассматриваемых периодах – 2023 и 2024 годах, основная доля расходов в виде инвестиций из областного бюджета (без учета взноса в уставные капиталы) направлена на жилищно-коммунальное хозяйство, в т.ч. на жилищное хозяйство в 2023 году направлено 10 748,1 млн.руб., в 2024 году – 6 013,1 млн.руб., т.е. указанные расходы </w:t>
      </w:r>
      <w:r w:rsidR="00721A08" w:rsidRPr="00FD7B0B">
        <w:rPr>
          <w:rFonts w:ascii="Times New Roman" w:hAnsi="Times New Roman" w:cs="Times New Roman"/>
          <w:sz w:val="28"/>
          <w:szCs w:val="28"/>
        </w:rPr>
        <w:t>сократились</w:t>
      </w:r>
      <w:r w:rsidRPr="00FD7B0B">
        <w:rPr>
          <w:rFonts w:ascii="Times New Roman" w:hAnsi="Times New Roman" w:cs="Times New Roman"/>
          <w:sz w:val="28"/>
          <w:szCs w:val="28"/>
        </w:rPr>
        <w:t xml:space="preserve"> на 44,1 % (-4 735,0 млн.руб.), из них:</w:t>
      </w:r>
    </w:p>
    <w:p w14:paraId="09946D2C" w14:textId="410E5F5F" w:rsidR="00082A52" w:rsidRPr="00FD7B0B" w:rsidRDefault="00721A08" w:rsidP="0063072B">
      <w:pPr>
        <w:pStyle w:val="a8"/>
        <w:numPr>
          <w:ilvl w:val="0"/>
          <w:numId w:val="11"/>
        </w:numPr>
        <w:ind w:left="0" w:firstLine="709"/>
        <w:jc w:val="both"/>
        <w:rPr>
          <w:sz w:val="28"/>
          <w:szCs w:val="28"/>
        </w:rPr>
      </w:pPr>
      <w:r w:rsidRPr="00FD7B0B">
        <w:rPr>
          <w:sz w:val="28"/>
          <w:szCs w:val="28"/>
        </w:rPr>
        <w:t>на</w:t>
      </w:r>
      <w:r w:rsidR="00082A52" w:rsidRPr="00FD7B0B">
        <w:rPr>
          <w:sz w:val="28"/>
          <w:szCs w:val="28"/>
        </w:rPr>
        <w:t xml:space="preserve"> обеспечени</w:t>
      </w:r>
      <w:r w:rsidRPr="00FD7B0B">
        <w:rPr>
          <w:sz w:val="28"/>
          <w:szCs w:val="28"/>
        </w:rPr>
        <w:t>е</w:t>
      </w:r>
      <w:r w:rsidR="00082A52" w:rsidRPr="00FD7B0B">
        <w:rPr>
          <w:sz w:val="28"/>
          <w:szCs w:val="28"/>
        </w:rPr>
        <w:t xml:space="preserve"> мероприятий по переселению граждан из аварийного жилищного фонда расходы сократились на 64,5 % (-5 284,3 млн.руб.);</w:t>
      </w:r>
    </w:p>
    <w:p w14:paraId="1E2CF8B1" w14:textId="77777777" w:rsidR="00082A52" w:rsidRPr="00FD7B0B" w:rsidRDefault="00082A52" w:rsidP="0063072B">
      <w:pPr>
        <w:pStyle w:val="a8"/>
        <w:numPr>
          <w:ilvl w:val="0"/>
          <w:numId w:val="11"/>
        </w:numPr>
        <w:ind w:left="0" w:firstLine="709"/>
        <w:jc w:val="both"/>
        <w:rPr>
          <w:sz w:val="28"/>
          <w:szCs w:val="28"/>
        </w:rPr>
      </w:pPr>
      <w:r w:rsidRPr="00FD7B0B">
        <w:rPr>
          <w:sz w:val="28"/>
          <w:szCs w:val="28"/>
        </w:rPr>
        <w:t>на коммунальное хозяйство расходы увеличились в 3,8 раза или на 1 107,9 млн.руб., из них на модернизацию (строительство 20 ед.) котельных на твердом биотопливе за счет специального казначейского кредита – 1 008,3 млн.руб., которые в 2023 году не осуществлялись.</w:t>
      </w:r>
    </w:p>
    <w:p w14:paraId="3E4D719F" w14:textId="4258DFCF" w:rsidR="00082A52" w:rsidRPr="00FD7B0B" w:rsidRDefault="00082A52" w:rsidP="00523EDB">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На общее образование расходы увеличились в 2,8 раза или на 1 863,1 млн.руб., из них в рамках реализации концессионных соглашений расходы </w:t>
      </w:r>
      <w:r w:rsidR="00523EDB" w:rsidRPr="00FD7B0B">
        <w:rPr>
          <w:rFonts w:ascii="Times New Roman" w:hAnsi="Times New Roman" w:cs="Times New Roman"/>
          <w:sz w:val="28"/>
          <w:szCs w:val="28"/>
        </w:rPr>
        <w:lastRenderedPageBreak/>
        <w:t>увеличены</w:t>
      </w:r>
      <w:r w:rsidRPr="00FD7B0B">
        <w:rPr>
          <w:rFonts w:ascii="Times New Roman" w:hAnsi="Times New Roman" w:cs="Times New Roman"/>
          <w:sz w:val="28"/>
          <w:szCs w:val="28"/>
        </w:rPr>
        <w:t xml:space="preserve"> в 8,9 раза (+764,5 млн.руб.), а по строительству общеобразовательных учреждений, где заказчиком является ГКУ АО «ГУКС», расходы увеличились на 94,6 % или на 793,5 млн.руб. (2023 г. – 838,7 млн.руб., 2024 г. – 1 632,2 млн.руб.).</w:t>
      </w:r>
    </w:p>
    <w:p w14:paraId="3C0CBA00" w14:textId="63D25F34" w:rsidR="00082A52" w:rsidRPr="00FD7B0B" w:rsidRDefault="00082A52" w:rsidP="00523EDB">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В сфере дорожного хозяйства (дорожные фонды) инвестиционные расходы </w:t>
      </w:r>
      <w:r w:rsidR="00523EDB" w:rsidRPr="00FD7B0B">
        <w:rPr>
          <w:rFonts w:ascii="Times New Roman" w:hAnsi="Times New Roman" w:cs="Times New Roman"/>
          <w:sz w:val="28"/>
          <w:szCs w:val="28"/>
        </w:rPr>
        <w:t>сократились</w:t>
      </w:r>
      <w:r w:rsidRPr="00FD7B0B">
        <w:rPr>
          <w:rFonts w:ascii="Times New Roman" w:hAnsi="Times New Roman" w:cs="Times New Roman"/>
          <w:sz w:val="28"/>
          <w:szCs w:val="28"/>
        </w:rPr>
        <w:t xml:space="preserve"> на 72,7 % (-2 439,9 млн.руб.), из них за счет:</w:t>
      </w:r>
    </w:p>
    <w:p w14:paraId="4F4878A7" w14:textId="2798DCC5" w:rsidR="00082A52" w:rsidRPr="00FD7B0B" w:rsidRDefault="00082A52" w:rsidP="0063072B">
      <w:pPr>
        <w:pStyle w:val="a8"/>
        <w:numPr>
          <w:ilvl w:val="0"/>
          <w:numId w:val="11"/>
        </w:numPr>
        <w:ind w:left="0" w:firstLine="709"/>
        <w:jc w:val="both"/>
        <w:rPr>
          <w:sz w:val="28"/>
          <w:szCs w:val="28"/>
        </w:rPr>
      </w:pPr>
      <w:r w:rsidRPr="00FD7B0B">
        <w:rPr>
          <w:sz w:val="28"/>
          <w:szCs w:val="28"/>
        </w:rPr>
        <w:t xml:space="preserve">расходов на реализацию инфраструктурных проектов, источником финансового обеспечения которых являются бюджетные кредиты, предоставляемые из федерального бюджета, которые </w:t>
      </w:r>
      <w:r w:rsidR="00553DB8" w:rsidRPr="00FD7B0B">
        <w:rPr>
          <w:sz w:val="28"/>
          <w:szCs w:val="28"/>
        </w:rPr>
        <w:t>сократились</w:t>
      </w:r>
      <w:r w:rsidRPr="00FD7B0B">
        <w:rPr>
          <w:sz w:val="28"/>
          <w:szCs w:val="28"/>
        </w:rPr>
        <w:t xml:space="preserve"> на 58,7 % или на 1 060,1 млн.руб. (2023 г. – 1 806,3 млн.руб., 2024 г. – 746,2 млн.руб.);</w:t>
      </w:r>
    </w:p>
    <w:p w14:paraId="2A4972AA" w14:textId="139CFAEA" w:rsidR="00082A52" w:rsidRPr="00FD7B0B" w:rsidRDefault="00082A52" w:rsidP="0063072B">
      <w:pPr>
        <w:pStyle w:val="a8"/>
        <w:numPr>
          <w:ilvl w:val="0"/>
          <w:numId w:val="11"/>
        </w:numPr>
        <w:ind w:left="0" w:firstLine="709"/>
        <w:jc w:val="both"/>
        <w:rPr>
          <w:sz w:val="28"/>
          <w:szCs w:val="28"/>
        </w:rPr>
      </w:pPr>
      <w:r w:rsidRPr="00FD7B0B">
        <w:rPr>
          <w:sz w:val="28"/>
          <w:szCs w:val="28"/>
        </w:rPr>
        <w:t>расходов в рамках реализации регионального проекта «Региональная и местная дорожная сеть» – на 1 306,6 тыс.руб., которые осуществлялись в 2023 году. В 2024 году инвестиции в рамках реализации данного проекта не предусматривались.</w:t>
      </w:r>
    </w:p>
    <w:p w14:paraId="5EC0AEFC" w14:textId="1E334932" w:rsidR="00082A52" w:rsidRPr="00FD7B0B" w:rsidRDefault="00082A52" w:rsidP="002732ED">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 xml:space="preserve">По элементам вида расходов бюджетной классификации расходы на осуществление капитальных вложений и другие бюджетные инвестиции (без учета взноса в уставные капиталы) за 2023 – 2024 годы отражены в таблице </w:t>
      </w:r>
      <w:r w:rsidR="00CA2A49" w:rsidRPr="00FD7B0B">
        <w:rPr>
          <w:rFonts w:ascii="Times New Roman" w:hAnsi="Times New Roman" w:cs="Times New Roman"/>
          <w:sz w:val="28"/>
          <w:szCs w:val="28"/>
        </w:rPr>
        <w:t>239</w:t>
      </w:r>
      <w:r w:rsidRPr="00FD7B0B">
        <w:rPr>
          <w:rFonts w:ascii="Times New Roman" w:hAnsi="Times New Roman" w:cs="Times New Roman"/>
          <w:sz w:val="28"/>
          <w:szCs w:val="28"/>
        </w:rPr>
        <w:t>.</w:t>
      </w:r>
    </w:p>
    <w:p w14:paraId="2105E17A" w14:textId="77777777" w:rsidR="00082A52" w:rsidRPr="00FD7B0B" w:rsidRDefault="00082A52" w:rsidP="002732ED">
      <w:pPr>
        <w:keepNext/>
        <w:spacing w:after="0" w:line="240" w:lineRule="auto"/>
        <w:rPr>
          <w:rFonts w:ascii="Times New Roman" w:eastAsia="Calibri" w:hAnsi="Times New Roman" w:cs="Times New Roman"/>
          <w:bCs/>
          <w:sz w:val="24"/>
          <w:szCs w:val="24"/>
        </w:rPr>
      </w:pPr>
    </w:p>
    <w:p w14:paraId="79A7B652" w14:textId="77777777" w:rsidR="00082A52" w:rsidRPr="00FD7B0B" w:rsidRDefault="00082A52" w:rsidP="002732ED">
      <w:pPr>
        <w:keepNext/>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239</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по элементам вида расходов бюджетной классификации РФ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за 2023 и 2024 годы, млн.руб.</w:t>
      </w:r>
    </w:p>
    <w:tbl>
      <w:tblPr>
        <w:tblW w:w="9680" w:type="dxa"/>
        <w:tblLayout w:type="fixed"/>
        <w:tblLook w:val="04A0" w:firstRow="1" w:lastRow="0" w:firstColumn="1" w:lastColumn="0" w:noHBand="0" w:noVBand="1"/>
      </w:tblPr>
      <w:tblGrid>
        <w:gridCol w:w="5655"/>
        <w:gridCol w:w="1100"/>
        <w:gridCol w:w="1104"/>
        <w:gridCol w:w="1056"/>
        <w:gridCol w:w="765"/>
      </w:tblGrid>
      <w:tr w:rsidR="00FD7B0B" w:rsidRPr="00FD7B0B" w14:paraId="3E1D8A28" w14:textId="77777777" w:rsidTr="00257635">
        <w:trPr>
          <w:trHeight w:val="35"/>
          <w:tblHeader/>
        </w:trPr>
        <w:tc>
          <w:tcPr>
            <w:tcW w:w="5655"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320A600D" w14:textId="77777777" w:rsidR="00082A52" w:rsidRPr="00FD7B0B" w:rsidRDefault="00082A52" w:rsidP="002732ED">
            <w:pPr>
              <w:spacing w:after="0" w:line="240" w:lineRule="auto"/>
              <w:jc w:val="center"/>
              <w:rPr>
                <w:rFonts w:ascii="Times New Roman" w:hAnsi="Times New Roman" w:cs="Times New Roman"/>
              </w:rPr>
            </w:pPr>
            <w:r w:rsidRPr="00FD7B0B">
              <w:rPr>
                <w:rFonts w:ascii="Times New Roman" w:hAnsi="Times New Roman" w:cs="Times New Roman"/>
              </w:rPr>
              <w:t>Код элемента вида расходов / наименование</w:t>
            </w:r>
          </w:p>
        </w:tc>
        <w:tc>
          <w:tcPr>
            <w:tcW w:w="110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3139ABA" w14:textId="77777777" w:rsidR="00082A52" w:rsidRPr="00FD7B0B" w:rsidRDefault="00082A52" w:rsidP="002732ED">
            <w:pPr>
              <w:spacing w:after="0" w:line="240" w:lineRule="auto"/>
              <w:jc w:val="center"/>
              <w:rPr>
                <w:rFonts w:ascii="Times New Roman" w:hAnsi="Times New Roman" w:cs="Times New Roman"/>
              </w:rPr>
            </w:pPr>
            <w:r w:rsidRPr="00FD7B0B">
              <w:rPr>
                <w:rFonts w:ascii="Times New Roman" w:hAnsi="Times New Roman" w:cs="Times New Roman"/>
              </w:rPr>
              <w:t>2023 г.</w:t>
            </w:r>
          </w:p>
        </w:tc>
        <w:tc>
          <w:tcPr>
            <w:tcW w:w="1104"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3223C0C4" w14:textId="77777777" w:rsidR="00082A52" w:rsidRPr="00FD7B0B" w:rsidRDefault="00082A52" w:rsidP="002732ED">
            <w:pPr>
              <w:spacing w:after="0" w:line="240" w:lineRule="auto"/>
              <w:jc w:val="center"/>
              <w:rPr>
                <w:rFonts w:ascii="Times New Roman" w:hAnsi="Times New Roman" w:cs="Times New Roman"/>
              </w:rPr>
            </w:pPr>
            <w:r w:rsidRPr="00FD7B0B">
              <w:rPr>
                <w:rFonts w:ascii="Times New Roman" w:hAnsi="Times New Roman" w:cs="Times New Roman"/>
              </w:rPr>
              <w:t>2024 г.</w:t>
            </w:r>
          </w:p>
        </w:tc>
        <w:tc>
          <w:tcPr>
            <w:tcW w:w="1821" w:type="dxa"/>
            <w:gridSpan w:val="2"/>
            <w:tcBorders>
              <w:top w:val="double" w:sz="4" w:space="0" w:color="auto"/>
              <w:left w:val="nil"/>
              <w:bottom w:val="single" w:sz="4" w:space="0" w:color="auto"/>
              <w:right w:val="double" w:sz="4" w:space="0" w:color="auto"/>
            </w:tcBorders>
            <w:shd w:val="clear" w:color="auto" w:fill="auto"/>
            <w:vAlign w:val="center"/>
            <w:hideMark/>
          </w:tcPr>
          <w:p w14:paraId="20A6E7F6" w14:textId="77777777" w:rsidR="00082A52" w:rsidRPr="00FD7B0B" w:rsidRDefault="00082A52" w:rsidP="002732ED">
            <w:pPr>
              <w:spacing w:after="0" w:line="240" w:lineRule="auto"/>
              <w:jc w:val="center"/>
              <w:rPr>
                <w:rFonts w:ascii="Times New Roman" w:hAnsi="Times New Roman" w:cs="Times New Roman"/>
              </w:rPr>
            </w:pPr>
            <w:r w:rsidRPr="00FD7B0B">
              <w:rPr>
                <w:rFonts w:ascii="Times New Roman" w:hAnsi="Times New Roman" w:cs="Times New Roman"/>
              </w:rPr>
              <w:t>Изменения (+,-)</w:t>
            </w:r>
          </w:p>
        </w:tc>
      </w:tr>
      <w:tr w:rsidR="00FD7B0B" w:rsidRPr="00FD7B0B" w14:paraId="7D06FDD6" w14:textId="77777777" w:rsidTr="00257635">
        <w:trPr>
          <w:trHeight w:val="35"/>
          <w:tblHeader/>
        </w:trPr>
        <w:tc>
          <w:tcPr>
            <w:tcW w:w="5655" w:type="dxa"/>
            <w:vMerge/>
            <w:tcBorders>
              <w:top w:val="double" w:sz="6" w:space="0" w:color="auto"/>
              <w:left w:val="double" w:sz="4" w:space="0" w:color="auto"/>
              <w:bottom w:val="single" w:sz="4" w:space="0" w:color="auto"/>
              <w:right w:val="single" w:sz="4" w:space="0" w:color="auto"/>
            </w:tcBorders>
            <w:vAlign w:val="center"/>
            <w:hideMark/>
          </w:tcPr>
          <w:p w14:paraId="0E49E671" w14:textId="77777777" w:rsidR="00082A52" w:rsidRPr="00FD7B0B" w:rsidRDefault="00082A52" w:rsidP="002732ED">
            <w:pPr>
              <w:spacing w:after="0" w:line="240" w:lineRule="auto"/>
              <w:jc w:val="center"/>
              <w:rPr>
                <w:rFonts w:ascii="Times New Roman" w:hAnsi="Times New Roman" w:cs="Times New Roman"/>
              </w:rPr>
            </w:pPr>
          </w:p>
        </w:tc>
        <w:tc>
          <w:tcPr>
            <w:tcW w:w="1100" w:type="dxa"/>
            <w:vMerge/>
            <w:tcBorders>
              <w:top w:val="double" w:sz="6" w:space="0" w:color="auto"/>
              <w:left w:val="single" w:sz="4" w:space="0" w:color="auto"/>
              <w:bottom w:val="single" w:sz="4" w:space="0" w:color="auto"/>
              <w:right w:val="single" w:sz="4" w:space="0" w:color="auto"/>
            </w:tcBorders>
            <w:vAlign w:val="center"/>
            <w:hideMark/>
          </w:tcPr>
          <w:p w14:paraId="441A4296" w14:textId="77777777" w:rsidR="00082A52" w:rsidRPr="00FD7B0B" w:rsidRDefault="00082A52" w:rsidP="002732ED">
            <w:pPr>
              <w:spacing w:after="0" w:line="240" w:lineRule="auto"/>
              <w:jc w:val="center"/>
              <w:rPr>
                <w:rFonts w:ascii="Times New Roman" w:hAnsi="Times New Roman" w:cs="Times New Roman"/>
              </w:rPr>
            </w:pPr>
          </w:p>
        </w:tc>
        <w:tc>
          <w:tcPr>
            <w:tcW w:w="1104" w:type="dxa"/>
            <w:vMerge/>
            <w:tcBorders>
              <w:top w:val="double" w:sz="6" w:space="0" w:color="auto"/>
              <w:left w:val="single" w:sz="4" w:space="0" w:color="auto"/>
              <w:bottom w:val="single" w:sz="4" w:space="0" w:color="auto"/>
              <w:right w:val="single" w:sz="4" w:space="0" w:color="auto"/>
            </w:tcBorders>
            <w:vAlign w:val="center"/>
            <w:hideMark/>
          </w:tcPr>
          <w:p w14:paraId="3E793D8C" w14:textId="77777777" w:rsidR="00082A52" w:rsidRPr="00FD7B0B" w:rsidRDefault="00082A52" w:rsidP="002732ED">
            <w:pPr>
              <w:spacing w:after="0" w:line="240" w:lineRule="auto"/>
              <w:jc w:val="center"/>
              <w:rPr>
                <w:rFonts w:ascii="Times New Roman" w:hAnsi="Times New Roman" w:cs="Times New Roman"/>
              </w:rPr>
            </w:pPr>
          </w:p>
        </w:tc>
        <w:tc>
          <w:tcPr>
            <w:tcW w:w="1056" w:type="dxa"/>
            <w:tcBorders>
              <w:top w:val="nil"/>
              <w:left w:val="nil"/>
              <w:bottom w:val="single" w:sz="4" w:space="0" w:color="auto"/>
              <w:right w:val="single" w:sz="4" w:space="0" w:color="auto"/>
            </w:tcBorders>
            <w:shd w:val="clear" w:color="auto" w:fill="auto"/>
            <w:vAlign w:val="center"/>
            <w:hideMark/>
          </w:tcPr>
          <w:p w14:paraId="4C3B0185" w14:textId="77777777" w:rsidR="00082A52" w:rsidRPr="00FD7B0B" w:rsidRDefault="00082A52" w:rsidP="002732ED">
            <w:pPr>
              <w:spacing w:after="0" w:line="240" w:lineRule="auto"/>
              <w:jc w:val="center"/>
              <w:rPr>
                <w:rFonts w:ascii="Times New Roman" w:hAnsi="Times New Roman" w:cs="Times New Roman"/>
              </w:rPr>
            </w:pPr>
            <w:r w:rsidRPr="00FD7B0B">
              <w:rPr>
                <w:rFonts w:ascii="Times New Roman" w:hAnsi="Times New Roman" w:cs="Times New Roman"/>
              </w:rPr>
              <w:t>млн.руб.</w:t>
            </w:r>
          </w:p>
        </w:tc>
        <w:tc>
          <w:tcPr>
            <w:tcW w:w="765" w:type="dxa"/>
            <w:tcBorders>
              <w:top w:val="nil"/>
              <w:left w:val="nil"/>
              <w:bottom w:val="single" w:sz="4" w:space="0" w:color="auto"/>
              <w:right w:val="double" w:sz="4" w:space="0" w:color="auto"/>
            </w:tcBorders>
            <w:shd w:val="clear" w:color="auto" w:fill="auto"/>
            <w:vAlign w:val="center"/>
            <w:hideMark/>
          </w:tcPr>
          <w:p w14:paraId="0EB6271B" w14:textId="77777777" w:rsidR="00082A52" w:rsidRPr="00FD7B0B" w:rsidRDefault="00082A52" w:rsidP="002732ED">
            <w:pPr>
              <w:spacing w:after="0" w:line="240" w:lineRule="auto"/>
              <w:jc w:val="center"/>
              <w:rPr>
                <w:rFonts w:ascii="Times New Roman" w:hAnsi="Times New Roman" w:cs="Times New Roman"/>
              </w:rPr>
            </w:pPr>
            <w:r w:rsidRPr="00FD7B0B">
              <w:rPr>
                <w:rFonts w:ascii="Times New Roman" w:hAnsi="Times New Roman" w:cs="Times New Roman"/>
              </w:rPr>
              <w:t>%</w:t>
            </w:r>
          </w:p>
        </w:tc>
      </w:tr>
      <w:tr w:rsidR="00FD7B0B" w:rsidRPr="00FD7B0B" w14:paraId="6690F90E" w14:textId="77777777" w:rsidTr="00257635">
        <w:trPr>
          <w:trHeight w:val="70"/>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10450271"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412. Бюджетные инвестиции на приобретение объектов недвижимого имущества в государственную собственность</w:t>
            </w:r>
          </w:p>
        </w:tc>
        <w:tc>
          <w:tcPr>
            <w:tcW w:w="1100" w:type="dxa"/>
            <w:tcBorders>
              <w:top w:val="nil"/>
              <w:left w:val="nil"/>
              <w:bottom w:val="single" w:sz="4" w:space="0" w:color="auto"/>
              <w:right w:val="single" w:sz="4" w:space="0" w:color="auto"/>
            </w:tcBorders>
            <w:shd w:val="clear" w:color="auto" w:fill="auto"/>
            <w:vAlign w:val="center"/>
            <w:hideMark/>
          </w:tcPr>
          <w:p w14:paraId="427B5ABA"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121,0 </w:t>
            </w:r>
          </w:p>
        </w:tc>
        <w:tc>
          <w:tcPr>
            <w:tcW w:w="1104" w:type="dxa"/>
            <w:tcBorders>
              <w:top w:val="nil"/>
              <w:left w:val="nil"/>
              <w:bottom w:val="single" w:sz="4" w:space="0" w:color="auto"/>
              <w:right w:val="single" w:sz="4" w:space="0" w:color="auto"/>
            </w:tcBorders>
            <w:shd w:val="clear" w:color="auto" w:fill="auto"/>
            <w:vAlign w:val="center"/>
            <w:hideMark/>
          </w:tcPr>
          <w:p w14:paraId="11547BD2"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112,1 </w:t>
            </w:r>
          </w:p>
        </w:tc>
        <w:tc>
          <w:tcPr>
            <w:tcW w:w="1056" w:type="dxa"/>
            <w:tcBorders>
              <w:top w:val="nil"/>
              <w:left w:val="nil"/>
              <w:bottom w:val="single" w:sz="4" w:space="0" w:color="auto"/>
              <w:right w:val="single" w:sz="4" w:space="0" w:color="auto"/>
            </w:tcBorders>
            <w:shd w:val="clear" w:color="auto" w:fill="auto"/>
            <w:vAlign w:val="center"/>
            <w:hideMark/>
          </w:tcPr>
          <w:p w14:paraId="711EF07E"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-8,9 </w:t>
            </w:r>
          </w:p>
        </w:tc>
        <w:tc>
          <w:tcPr>
            <w:tcW w:w="765" w:type="dxa"/>
            <w:tcBorders>
              <w:top w:val="nil"/>
              <w:left w:val="nil"/>
              <w:bottom w:val="single" w:sz="4" w:space="0" w:color="auto"/>
              <w:right w:val="double" w:sz="4" w:space="0" w:color="auto"/>
            </w:tcBorders>
            <w:shd w:val="clear" w:color="auto" w:fill="auto"/>
            <w:vAlign w:val="center"/>
            <w:hideMark/>
          </w:tcPr>
          <w:p w14:paraId="4AFCFD5F"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-7,4 </w:t>
            </w:r>
          </w:p>
        </w:tc>
      </w:tr>
      <w:tr w:rsidR="00FD7B0B" w:rsidRPr="00FD7B0B" w14:paraId="001FD747" w14:textId="77777777" w:rsidTr="00257635">
        <w:trPr>
          <w:trHeight w:val="70"/>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62AF7C3B"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414. Бюджетные инвестиции в объекты капитального строительства государственной собственности</w:t>
            </w:r>
          </w:p>
        </w:tc>
        <w:tc>
          <w:tcPr>
            <w:tcW w:w="1100" w:type="dxa"/>
            <w:tcBorders>
              <w:top w:val="nil"/>
              <w:left w:val="nil"/>
              <w:bottom w:val="single" w:sz="4" w:space="0" w:color="auto"/>
              <w:right w:val="single" w:sz="4" w:space="0" w:color="auto"/>
            </w:tcBorders>
            <w:shd w:val="clear" w:color="auto" w:fill="auto"/>
            <w:vAlign w:val="center"/>
            <w:hideMark/>
          </w:tcPr>
          <w:p w14:paraId="013DBDBA"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9 793,9 </w:t>
            </w:r>
          </w:p>
        </w:tc>
        <w:tc>
          <w:tcPr>
            <w:tcW w:w="1104" w:type="dxa"/>
            <w:tcBorders>
              <w:top w:val="nil"/>
              <w:left w:val="nil"/>
              <w:bottom w:val="single" w:sz="4" w:space="0" w:color="auto"/>
              <w:right w:val="single" w:sz="4" w:space="0" w:color="auto"/>
            </w:tcBorders>
            <w:shd w:val="clear" w:color="auto" w:fill="auto"/>
            <w:vAlign w:val="center"/>
            <w:hideMark/>
          </w:tcPr>
          <w:p w14:paraId="38A43754"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6 450,1 </w:t>
            </w:r>
          </w:p>
        </w:tc>
        <w:tc>
          <w:tcPr>
            <w:tcW w:w="1056" w:type="dxa"/>
            <w:tcBorders>
              <w:top w:val="nil"/>
              <w:left w:val="nil"/>
              <w:bottom w:val="single" w:sz="4" w:space="0" w:color="auto"/>
              <w:right w:val="single" w:sz="4" w:space="0" w:color="auto"/>
            </w:tcBorders>
            <w:shd w:val="clear" w:color="auto" w:fill="auto"/>
            <w:vAlign w:val="center"/>
            <w:hideMark/>
          </w:tcPr>
          <w:p w14:paraId="0EEB522F"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-3 343,8 </w:t>
            </w:r>
          </w:p>
        </w:tc>
        <w:tc>
          <w:tcPr>
            <w:tcW w:w="765" w:type="dxa"/>
            <w:tcBorders>
              <w:top w:val="nil"/>
              <w:left w:val="nil"/>
              <w:bottom w:val="single" w:sz="4" w:space="0" w:color="auto"/>
              <w:right w:val="double" w:sz="4" w:space="0" w:color="auto"/>
            </w:tcBorders>
            <w:shd w:val="clear" w:color="auto" w:fill="auto"/>
            <w:vAlign w:val="center"/>
            <w:hideMark/>
          </w:tcPr>
          <w:p w14:paraId="74BC8AA5"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-34,1 </w:t>
            </w:r>
          </w:p>
        </w:tc>
      </w:tr>
      <w:tr w:rsidR="00FD7B0B" w:rsidRPr="00FD7B0B" w14:paraId="2513C467" w14:textId="77777777" w:rsidTr="00257635">
        <w:trPr>
          <w:trHeight w:val="70"/>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609271AB"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461, 462. Субсидии на приобретение объектов недвижимого имущества в государственную собственность бюджетным и автономным учреждениям</w:t>
            </w:r>
          </w:p>
        </w:tc>
        <w:tc>
          <w:tcPr>
            <w:tcW w:w="1100" w:type="dxa"/>
            <w:tcBorders>
              <w:top w:val="nil"/>
              <w:left w:val="nil"/>
              <w:bottom w:val="single" w:sz="4" w:space="0" w:color="auto"/>
              <w:right w:val="single" w:sz="4" w:space="0" w:color="auto"/>
            </w:tcBorders>
            <w:shd w:val="clear" w:color="auto" w:fill="auto"/>
            <w:vAlign w:val="center"/>
            <w:hideMark/>
          </w:tcPr>
          <w:p w14:paraId="6D1F93C6"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60,6 </w:t>
            </w:r>
          </w:p>
        </w:tc>
        <w:tc>
          <w:tcPr>
            <w:tcW w:w="1104" w:type="dxa"/>
            <w:tcBorders>
              <w:top w:val="nil"/>
              <w:left w:val="nil"/>
              <w:bottom w:val="single" w:sz="4" w:space="0" w:color="auto"/>
              <w:right w:val="single" w:sz="4" w:space="0" w:color="auto"/>
            </w:tcBorders>
            <w:shd w:val="clear" w:color="auto" w:fill="auto"/>
            <w:vAlign w:val="center"/>
            <w:hideMark/>
          </w:tcPr>
          <w:p w14:paraId="6F74F54F"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44,3 </w:t>
            </w:r>
          </w:p>
        </w:tc>
        <w:tc>
          <w:tcPr>
            <w:tcW w:w="1056" w:type="dxa"/>
            <w:tcBorders>
              <w:top w:val="nil"/>
              <w:left w:val="nil"/>
              <w:bottom w:val="single" w:sz="4" w:space="0" w:color="auto"/>
              <w:right w:val="single" w:sz="4" w:space="0" w:color="auto"/>
            </w:tcBorders>
            <w:shd w:val="clear" w:color="auto" w:fill="auto"/>
            <w:vAlign w:val="center"/>
            <w:hideMark/>
          </w:tcPr>
          <w:p w14:paraId="74F3C491"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-16,3 </w:t>
            </w:r>
          </w:p>
        </w:tc>
        <w:tc>
          <w:tcPr>
            <w:tcW w:w="765" w:type="dxa"/>
            <w:tcBorders>
              <w:top w:val="nil"/>
              <w:left w:val="nil"/>
              <w:bottom w:val="single" w:sz="4" w:space="0" w:color="auto"/>
              <w:right w:val="double" w:sz="4" w:space="0" w:color="auto"/>
            </w:tcBorders>
            <w:shd w:val="clear" w:color="auto" w:fill="auto"/>
            <w:vAlign w:val="center"/>
            <w:hideMark/>
          </w:tcPr>
          <w:p w14:paraId="46C8EC08"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-26,8 </w:t>
            </w:r>
          </w:p>
        </w:tc>
      </w:tr>
      <w:tr w:rsidR="00FD7B0B" w:rsidRPr="00FD7B0B" w14:paraId="38D54660" w14:textId="77777777" w:rsidTr="00257635">
        <w:trPr>
          <w:trHeight w:val="70"/>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02626090"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464, 465. Субсидии на осуществление капитальных вложений в объекты капитального строительства государственной собственности бюджетным и автономным учреждениям</w:t>
            </w:r>
          </w:p>
        </w:tc>
        <w:tc>
          <w:tcPr>
            <w:tcW w:w="1100" w:type="dxa"/>
            <w:tcBorders>
              <w:top w:val="nil"/>
              <w:left w:val="nil"/>
              <w:bottom w:val="single" w:sz="4" w:space="0" w:color="auto"/>
              <w:right w:val="single" w:sz="4" w:space="0" w:color="auto"/>
            </w:tcBorders>
            <w:shd w:val="clear" w:color="auto" w:fill="auto"/>
            <w:vAlign w:val="center"/>
            <w:hideMark/>
          </w:tcPr>
          <w:p w14:paraId="131F302F"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55,1 </w:t>
            </w:r>
          </w:p>
        </w:tc>
        <w:tc>
          <w:tcPr>
            <w:tcW w:w="1104" w:type="dxa"/>
            <w:tcBorders>
              <w:top w:val="nil"/>
              <w:left w:val="nil"/>
              <w:bottom w:val="single" w:sz="4" w:space="0" w:color="auto"/>
              <w:right w:val="single" w:sz="4" w:space="0" w:color="auto"/>
            </w:tcBorders>
            <w:shd w:val="clear" w:color="auto" w:fill="auto"/>
            <w:vAlign w:val="center"/>
            <w:hideMark/>
          </w:tcPr>
          <w:p w14:paraId="2E883393"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225,1 </w:t>
            </w:r>
          </w:p>
        </w:tc>
        <w:tc>
          <w:tcPr>
            <w:tcW w:w="1056" w:type="dxa"/>
            <w:tcBorders>
              <w:top w:val="nil"/>
              <w:left w:val="nil"/>
              <w:bottom w:val="single" w:sz="4" w:space="0" w:color="auto"/>
              <w:right w:val="single" w:sz="4" w:space="0" w:color="auto"/>
            </w:tcBorders>
            <w:shd w:val="clear" w:color="auto" w:fill="auto"/>
            <w:vAlign w:val="center"/>
            <w:hideMark/>
          </w:tcPr>
          <w:p w14:paraId="3A2F573C"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169,9 </w:t>
            </w:r>
          </w:p>
        </w:tc>
        <w:tc>
          <w:tcPr>
            <w:tcW w:w="765" w:type="dxa"/>
            <w:tcBorders>
              <w:top w:val="nil"/>
              <w:left w:val="nil"/>
              <w:bottom w:val="single" w:sz="4" w:space="0" w:color="auto"/>
              <w:right w:val="double" w:sz="4" w:space="0" w:color="auto"/>
            </w:tcBorders>
            <w:shd w:val="clear" w:color="auto" w:fill="auto"/>
            <w:vAlign w:val="center"/>
            <w:hideMark/>
          </w:tcPr>
          <w:p w14:paraId="4532618D"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в 4,1 раза</w:t>
            </w:r>
          </w:p>
        </w:tc>
      </w:tr>
      <w:tr w:rsidR="00FD7B0B" w:rsidRPr="00FD7B0B" w14:paraId="2B039F0D" w14:textId="77777777" w:rsidTr="00257635">
        <w:trPr>
          <w:trHeight w:val="70"/>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68F996C8"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522. Субсидии на софинансирование капитальных вложений в объекты муниципальной собственности</w:t>
            </w:r>
          </w:p>
        </w:tc>
        <w:tc>
          <w:tcPr>
            <w:tcW w:w="1100" w:type="dxa"/>
            <w:tcBorders>
              <w:top w:val="nil"/>
              <w:left w:val="nil"/>
              <w:bottom w:val="single" w:sz="4" w:space="0" w:color="auto"/>
              <w:right w:val="single" w:sz="4" w:space="0" w:color="auto"/>
            </w:tcBorders>
            <w:shd w:val="clear" w:color="auto" w:fill="auto"/>
            <w:vAlign w:val="center"/>
            <w:hideMark/>
          </w:tcPr>
          <w:p w14:paraId="4A1A628D"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5 232,8 </w:t>
            </w:r>
          </w:p>
        </w:tc>
        <w:tc>
          <w:tcPr>
            <w:tcW w:w="1104" w:type="dxa"/>
            <w:tcBorders>
              <w:top w:val="nil"/>
              <w:left w:val="nil"/>
              <w:bottom w:val="single" w:sz="4" w:space="0" w:color="auto"/>
              <w:right w:val="single" w:sz="4" w:space="0" w:color="auto"/>
            </w:tcBorders>
            <w:shd w:val="clear" w:color="auto" w:fill="auto"/>
            <w:vAlign w:val="center"/>
            <w:hideMark/>
          </w:tcPr>
          <w:p w14:paraId="7143AAA3"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2 940,1 </w:t>
            </w:r>
          </w:p>
        </w:tc>
        <w:tc>
          <w:tcPr>
            <w:tcW w:w="1056" w:type="dxa"/>
            <w:tcBorders>
              <w:top w:val="nil"/>
              <w:left w:val="nil"/>
              <w:bottom w:val="single" w:sz="4" w:space="0" w:color="auto"/>
              <w:right w:val="single" w:sz="4" w:space="0" w:color="auto"/>
            </w:tcBorders>
            <w:shd w:val="clear" w:color="auto" w:fill="auto"/>
            <w:vAlign w:val="center"/>
            <w:hideMark/>
          </w:tcPr>
          <w:p w14:paraId="4BF6333D"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-2 292,7 </w:t>
            </w:r>
          </w:p>
        </w:tc>
        <w:tc>
          <w:tcPr>
            <w:tcW w:w="765" w:type="dxa"/>
            <w:tcBorders>
              <w:top w:val="nil"/>
              <w:left w:val="nil"/>
              <w:bottom w:val="single" w:sz="4" w:space="0" w:color="auto"/>
              <w:right w:val="double" w:sz="4" w:space="0" w:color="auto"/>
            </w:tcBorders>
            <w:shd w:val="clear" w:color="auto" w:fill="auto"/>
            <w:vAlign w:val="center"/>
            <w:hideMark/>
          </w:tcPr>
          <w:p w14:paraId="3F188719"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-43,8 </w:t>
            </w:r>
          </w:p>
        </w:tc>
      </w:tr>
      <w:tr w:rsidR="00FD7B0B" w:rsidRPr="00FD7B0B" w14:paraId="4DB50041" w14:textId="77777777" w:rsidTr="00257635">
        <w:trPr>
          <w:trHeight w:val="70"/>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44F98ED0"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540. Иные межбюджетные трансферты</w:t>
            </w:r>
          </w:p>
        </w:tc>
        <w:tc>
          <w:tcPr>
            <w:tcW w:w="1100" w:type="dxa"/>
            <w:tcBorders>
              <w:top w:val="nil"/>
              <w:left w:val="nil"/>
              <w:bottom w:val="single" w:sz="4" w:space="0" w:color="auto"/>
              <w:right w:val="single" w:sz="4" w:space="0" w:color="auto"/>
            </w:tcBorders>
            <w:shd w:val="clear" w:color="auto" w:fill="auto"/>
            <w:vAlign w:val="center"/>
            <w:hideMark/>
          </w:tcPr>
          <w:p w14:paraId="34E89A47"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1 892,4 </w:t>
            </w:r>
          </w:p>
        </w:tc>
        <w:tc>
          <w:tcPr>
            <w:tcW w:w="1104" w:type="dxa"/>
            <w:tcBorders>
              <w:top w:val="nil"/>
              <w:left w:val="nil"/>
              <w:bottom w:val="single" w:sz="4" w:space="0" w:color="auto"/>
              <w:right w:val="single" w:sz="4" w:space="0" w:color="auto"/>
            </w:tcBorders>
            <w:shd w:val="clear" w:color="auto" w:fill="auto"/>
            <w:vAlign w:val="center"/>
            <w:hideMark/>
          </w:tcPr>
          <w:p w14:paraId="5A737207"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1 022,5 </w:t>
            </w:r>
          </w:p>
        </w:tc>
        <w:tc>
          <w:tcPr>
            <w:tcW w:w="1056" w:type="dxa"/>
            <w:tcBorders>
              <w:top w:val="nil"/>
              <w:left w:val="nil"/>
              <w:bottom w:val="single" w:sz="4" w:space="0" w:color="auto"/>
              <w:right w:val="single" w:sz="4" w:space="0" w:color="auto"/>
            </w:tcBorders>
            <w:shd w:val="clear" w:color="auto" w:fill="auto"/>
            <w:vAlign w:val="center"/>
            <w:hideMark/>
          </w:tcPr>
          <w:p w14:paraId="19EA6763"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-869,9 </w:t>
            </w:r>
          </w:p>
        </w:tc>
        <w:tc>
          <w:tcPr>
            <w:tcW w:w="765" w:type="dxa"/>
            <w:tcBorders>
              <w:top w:val="nil"/>
              <w:left w:val="nil"/>
              <w:bottom w:val="single" w:sz="4" w:space="0" w:color="auto"/>
              <w:right w:val="double" w:sz="4" w:space="0" w:color="auto"/>
            </w:tcBorders>
            <w:shd w:val="clear" w:color="auto" w:fill="auto"/>
            <w:vAlign w:val="center"/>
            <w:hideMark/>
          </w:tcPr>
          <w:p w14:paraId="508D0992"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-46,0 </w:t>
            </w:r>
          </w:p>
        </w:tc>
      </w:tr>
      <w:tr w:rsidR="00FD7B0B" w:rsidRPr="00FD7B0B" w14:paraId="63F9FFE1" w14:textId="77777777" w:rsidTr="00257635">
        <w:trPr>
          <w:trHeight w:val="70"/>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33D78BC4"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в рамках концессионных соглашений</w:t>
            </w:r>
          </w:p>
        </w:tc>
        <w:tc>
          <w:tcPr>
            <w:tcW w:w="1100" w:type="dxa"/>
            <w:tcBorders>
              <w:top w:val="nil"/>
              <w:left w:val="nil"/>
              <w:bottom w:val="single" w:sz="4" w:space="0" w:color="auto"/>
              <w:right w:val="single" w:sz="4" w:space="0" w:color="auto"/>
            </w:tcBorders>
            <w:shd w:val="clear" w:color="auto" w:fill="auto"/>
            <w:vAlign w:val="center"/>
            <w:hideMark/>
          </w:tcPr>
          <w:p w14:paraId="6F19A2FC"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627,2 </w:t>
            </w:r>
          </w:p>
        </w:tc>
        <w:tc>
          <w:tcPr>
            <w:tcW w:w="1104" w:type="dxa"/>
            <w:tcBorders>
              <w:top w:val="nil"/>
              <w:left w:val="nil"/>
              <w:bottom w:val="single" w:sz="4" w:space="0" w:color="auto"/>
              <w:right w:val="single" w:sz="4" w:space="0" w:color="auto"/>
            </w:tcBorders>
            <w:shd w:val="clear" w:color="auto" w:fill="auto"/>
            <w:vAlign w:val="center"/>
            <w:hideMark/>
          </w:tcPr>
          <w:p w14:paraId="458E9402"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1056" w:type="dxa"/>
            <w:tcBorders>
              <w:top w:val="nil"/>
              <w:left w:val="nil"/>
              <w:bottom w:val="single" w:sz="4" w:space="0" w:color="auto"/>
              <w:right w:val="single" w:sz="4" w:space="0" w:color="auto"/>
            </w:tcBorders>
            <w:shd w:val="clear" w:color="auto" w:fill="auto"/>
            <w:vAlign w:val="center"/>
            <w:hideMark/>
          </w:tcPr>
          <w:p w14:paraId="09D0F150"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1 020,8 </w:t>
            </w:r>
          </w:p>
        </w:tc>
        <w:tc>
          <w:tcPr>
            <w:tcW w:w="765" w:type="dxa"/>
            <w:tcBorders>
              <w:top w:val="nil"/>
              <w:left w:val="nil"/>
              <w:bottom w:val="single" w:sz="4" w:space="0" w:color="auto"/>
              <w:right w:val="double" w:sz="4" w:space="0" w:color="auto"/>
            </w:tcBorders>
            <w:shd w:val="clear" w:color="auto" w:fill="auto"/>
            <w:vAlign w:val="center"/>
            <w:hideMark/>
          </w:tcPr>
          <w:p w14:paraId="2FC642B6"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в 2,6 раза</w:t>
            </w:r>
          </w:p>
        </w:tc>
      </w:tr>
      <w:tr w:rsidR="00FD7B0B" w:rsidRPr="00FD7B0B" w14:paraId="0C6A6B6C" w14:textId="77777777" w:rsidTr="00257635">
        <w:trPr>
          <w:trHeight w:val="255"/>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08DA4AAF"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Итого, из них:</w:t>
            </w:r>
          </w:p>
        </w:tc>
        <w:tc>
          <w:tcPr>
            <w:tcW w:w="1100" w:type="dxa"/>
            <w:tcBorders>
              <w:top w:val="nil"/>
              <w:left w:val="nil"/>
              <w:bottom w:val="single" w:sz="4" w:space="0" w:color="auto"/>
              <w:right w:val="single" w:sz="4" w:space="0" w:color="auto"/>
            </w:tcBorders>
            <w:shd w:val="clear" w:color="auto" w:fill="auto"/>
            <w:vAlign w:val="center"/>
            <w:hideMark/>
          </w:tcPr>
          <w:p w14:paraId="396FDD49"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17 783,0 </w:t>
            </w:r>
          </w:p>
        </w:tc>
        <w:tc>
          <w:tcPr>
            <w:tcW w:w="1104" w:type="dxa"/>
            <w:tcBorders>
              <w:top w:val="nil"/>
              <w:left w:val="nil"/>
              <w:bottom w:val="single" w:sz="4" w:space="0" w:color="auto"/>
              <w:right w:val="single" w:sz="4" w:space="0" w:color="auto"/>
            </w:tcBorders>
            <w:shd w:val="clear" w:color="auto" w:fill="auto"/>
            <w:vAlign w:val="center"/>
            <w:hideMark/>
          </w:tcPr>
          <w:p w14:paraId="13891ED3"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12 442,1 </w:t>
            </w:r>
          </w:p>
        </w:tc>
        <w:tc>
          <w:tcPr>
            <w:tcW w:w="1056" w:type="dxa"/>
            <w:tcBorders>
              <w:top w:val="nil"/>
              <w:left w:val="nil"/>
              <w:bottom w:val="single" w:sz="4" w:space="0" w:color="auto"/>
              <w:right w:val="single" w:sz="4" w:space="0" w:color="auto"/>
            </w:tcBorders>
            <w:shd w:val="clear" w:color="auto" w:fill="auto"/>
            <w:vAlign w:val="center"/>
            <w:hideMark/>
          </w:tcPr>
          <w:p w14:paraId="0E704E4F"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-5 340,9 </w:t>
            </w:r>
          </w:p>
        </w:tc>
        <w:tc>
          <w:tcPr>
            <w:tcW w:w="765" w:type="dxa"/>
            <w:tcBorders>
              <w:top w:val="nil"/>
              <w:left w:val="nil"/>
              <w:bottom w:val="single" w:sz="4" w:space="0" w:color="auto"/>
              <w:right w:val="double" w:sz="4" w:space="0" w:color="auto"/>
            </w:tcBorders>
            <w:shd w:val="clear" w:color="auto" w:fill="auto"/>
            <w:vAlign w:val="center"/>
            <w:hideMark/>
          </w:tcPr>
          <w:p w14:paraId="0578F562"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-30,0 </w:t>
            </w:r>
          </w:p>
        </w:tc>
      </w:tr>
      <w:tr w:rsidR="00FD7B0B" w:rsidRPr="00FD7B0B" w14:paraId="5FDC9D55" w14:textId="77777777" w:rsidTr="00257635">
        <w:trPr>
          <w:trHeight w:val="70"/>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69A7D843"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 xml:space="preserve"> - в объекты государственной собственности</w:t>
            </w:r>
          </w:p>
        </w:tc>
        <w:tc>
          <w:tcPr>
            <w:tcW w:w="1100" w:type="dxa"/>
            <w:tcBorders>
              <w:top w:val="nil"/>
              <w:left w:val="nil"/>
              <w:bottom w:val="single" w:sz="4" w:space="0" w:color="auto"/>
              <w:right w:val="single" w:sz="4" w:space="0" w:color="auto"/>
            </w:tcBorders>
            <w:shd w:val="clear" w:color="auto" w:fill="auto"/>
            <w:vAlign w:val="center"/>
            <w:hideMark/>
          </w:tcPr>
          <w:p w14:paraId="67206DDC"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10 030,7 </w:t>
            </w:r>
          </w:p>
        </w:tc>
        <w:tc>
          <w:tcPr>
            <w:tcW w:w="1104" w:type="dxa"/>
            <w:tcBorders>
              <w:top w:val="nil"/>
              <w:left w:val="nil"/>
              <w:bottom w:val="single" w:sz="4" w:space="0" w:color="auto"/>
              <w:right w:val="single" w:sz="4" w:space="0" w:color="auto"/>
            </w:tcBorders>
            <w:shd w:val="clear" w:color="auto" w:fill="auto"/>
            <w:vAlign w:val="center"/>
            <w:hideMark/>
          </w:tcPr>
          <w:p w14:paraId="622383DC"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6 831,6 </w:t>
            </w:r>
          </w:p>
        </w:tc>
        <w:tc>
          <w:tcPr>
            <w:tcW w:w="1056" w:type="dxa"/>
            <w:tcBorders>
              <w:top w:val="nil"/>
              <w:left w:val="nil"/>
              <w:bottom w:val="single" w:sz="4" w:space="0" w:color="auto"/>
              <w:right w:val="single" w:sz="4" w:space="0" w:color="auto"/>
            </w:tcBorders>
            <w:shd w:val="clear" w:color="auto" w:fill="auto"/>
            <w:vAlign w:val="center"/>
            <w:hideMark/>
          </w:tcPr>
          <w:p w14:paraId="07868131"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-3 199,1 </w:t>
            </w:r>
          </w:p>
        </w:tc>
        <w:tc>
          <w:tcPr>
            <w:tcW w:w="765" w:type="dxa"/>
            <w:tcBorders>
              <w:top w:val="nil"/>
              <w:left w:val="nil"/>
              <w:bottom w:val="single" w:sz="4" w:space="0" w:color="auto"/>
              <w:right w:val="double" w:sz="4" w:space="0" w:color="auto"/>
            </w:tcBorders>
            <w:shd w:val="clear" w:color="auto" w:fill="auto"/>
            <w:vAlign w:val="center"/>
            <w:hideMark/>
          </w:tcPr>
          <w:p w14:paraId="4E16E85A"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-31,9 </w:t>
            </w:r>
          </w:p>
        </w:tc>
      </w:tr>
      <w:tr w:rsidR="00FD7B0B" w:rsidRPr="00FD7B0B" w14:paraId="2111B107" w14:textId="77777777" w:rsidTr="00257635">
        <w:trPr>
          <w:trHeight w:val="70"/>
        </w:trPr>
        <w:tc>
          <w:tcPr>
            <w:tcW w:w="5655" w:type="dxa"/>
            <w:tcBorders>
              <w:top w:val="nil"/>
              <w:left w:val="double" w:sz="4" w:space="0" w:color="auto"/>
              <w:bottom w:val="single" w:sz="4" w:space="0" w:color="auto"/>
              <w:right w:val="single" w:sz="4" w:space="0" w:color="auto"/>
            </w:tcBorders>
            <w:shd w:val="clear" w:color="auto" w:fill="auto"/>
            <w:vAlign w:val="center"/>
            <w:hideMark/>
          </w:tcPr>
          <w:p w14:paraId="2D8CC183"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 xml:space="preserve"> - инвестиции юридическим лицам, включая концессионные соглашения</w:t>
            </w:r>
          </w:p>
        </w:tc>
        <w:tc>
          <w:tcPr>
            <w:tcW w:w="1100" w:type="dxa"/>
            <w:tcBorders>
              <w:top w:val="nil"/>
              <w:left w:val="nil"/>
              <w:bottom w:val="single" w:sz="4" w:space="0" w:color="auto"/>
              <w:right w:val="single" w:sz="4" w:space="0" w:color="auto"/>
            </w:tcBorders>
            <w:shd w:val="clear" w:color="auto" w:fill="auto"/>
            <w:vAlign w:val="center"/>
            <w:hideMark/>
          </w:tcPr>
          <w:p w14:paraId="0BE88D31"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627,2 </w:t>
            </w:r>
          </w:p>
        </w:tc>
        <w:tc>
          <w:tcPr>
            <w:tcW w:w="1104" w:type="dxa"/>
            <w:tcBorders>
              <w:top w:val="nil"/>
              <w:left w:val="nil"/>
              <w:bottom w:val="single" w:sz="4" w:space="0" w:color="auto"/>
              <w:right w:val="single" w:sz="4" w:space="0" w:color="auto"/>
            </w:tcBorders>
            <w:shd w:val="clear" w:color="auto" w:fill="auto"/>
            <w:vAlign w:val="center"/>
            <w:hideMark/>
          </w:tcPr>
          <w:p w14:paraId="737D5907"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1 648,0 </w:t>
            </w:r>
          </w:p>
        </w:tc>
        <w:tc>
          <w:tcPr>
            <w:tcW w:w="1056" w:type="dxa"/>
            <w:tcBorders>
              <w:top w:val="nil"/>
              <w:left w:val="nil"/>
              <w:bottom w:val="single" w:sz="4" w:space="0" w:color="auto"/>
              <w:right w:val="single" w:sz="4" w:space="0" w:color="auto"/>
            </w:tcBorders>
            <w:shd w:val="clear" w:color="auto" w:fill="auto"/>
            <w:vAlign w:val="center"/>
            <w:hideMark/>
          </w:tcPr>
          <w:p w14:paraId="2ACD65A5"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1 020,8 </w:t>
            </w:r>
          </w:p>
        </w:tc>
        <w:tc>
          <w:tcPr>
            <w:tcW w:w="765" w:type="dxa"/>
            <w:tcBorders>
              <w:top w:val="nil"/>
              <w:left w:val="nil"/>
              <w:bottom w:val="single" w:sz="4" w:space="0" w:color="auto"/>
              <w:right w:val="double" w:sz="4" w:space="0" w:color="auto"/>
            </w:tcBorders>
            <w:shd w:val="clear" w:color="auto" w:fill="auto"/>
            <w:vAlign w:val="center"/>
            <w:hideMark/>
          </w:tcPr>
          <w:p w14:paraId="24C12769"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в 2,6 раза</w:t>
            </w:r>
          </w:p>
        </w:tc>
      </w:tr>
      <w:tr w:rsidR="00082A52" w:rsidRPr="00FD7B0B" w14:paraId="7E097FC5" w14:textId="77777777" w:rsidTr="00257635">
        <w:trPr>
          <w:trHeight w:val="70"/>
        </w:trPr>
        <w:tc>
          <w:tcPr>
            <w:tcW w:w="5655" w:type="dxa"/>
            <w:tcBorders>
              <w:top w:val="nil"/>
              <w:left w:val="double" w:sz="4" w:space="0" w:color="auto"/>
              <w:bottom w:val="double" w:sz="4" w:space="0" w:color="auto"/>
              <w:right w:val="single" w:sz="4" w:space="0" w:color="auto"/>
            </w:tcBorders>
            <w:shd w:val="clear" w:color="auto" w:fill="auto"/>
            <w:vAlign w:val="center"/>
            <w:hideMark/>
          </w:tcPr>
          <w:p w14:paraId="3EC110C4" w14:textId="77777777" w:rsidR="00082A52" w:rsidRPr="00FD7B0B" w:rsidRDefault="00082A52" w:rsidP="002732ED">
            <w:pPr>
              <w:spacing w:after="0" w:line="240" w:lineRule="auto"/>
              <w:rPr>
                <w:rFonts w:ascii="Times New Roman" w:hAnsi="Times New Roman" w:cs="Times New Roman"/>
              </w:rPr>
            </w:pPr>
            <w:r w:rsidRPr="00FD7B0B">
              <w:rPr>
                <w:rFonts w:ascii="Times New Roman" w:hAnsi="Times New Roman" w:cs="Times New Roman"/>
              </w:rPr>
              <w:t xml:space="preserve"> - в объекты муниципальной собственности</w:t>
            </w:r>
          </w:p>
        </w:tc>
        <w:tc>
          <w:tcPr>
            <w:tcW w:w="1100" w:type="dxa"/>
            <w:tcBorders>
              <w:top w:val="nil"/>
              <w:left w:val="nil"/>
              <w:bottom w:val="double" w:sz="4" w:space="0" w:color="auto"/>
              <w:right w:val="single" w:sz="4" w:space="0" w:color="auto"/>
            </w:tcBorders>
            <w:shd w:val="clear" w:color="auto" w:fill="auto"/>
            <w:vAlign w:val="center"/>
            <w:hideMark/>
          </w:tcPr>
          <w:p w14:paraId="0FAD0406"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7 125,2 </w:t>
            </w:r>
          </w:p>
        </w:tc>
        <w:tc>
          <w:tcPr>
            <w:tcW w:w="1104" w:type="dxa"/>
            <w:tcBorders>
              <w:top w:val="nil"/>
              <w:left w:val="nil"/>
              <w:bottom w:val="double" w:sz="4" w:space="0" w:color="auto"/>
              <w:right w:val="single" w:sz="4" w:space="0" w:color="auto"/>
            </w:tcBorders>
            <w:shd w:val="clear" w:color="auto" w:fill="auto"/>
            <w:vAlign w:val="center"/>
            <w:hideMark/>
          </w:tcPr>
          <w:p w14:paraId="7B802554"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3 962,6 </w:t>
            </w:r>
          </w:p>
        </w:tc>
        <w:tc>
          <w:tcPr>
            <w:tcW w:w="1056" w:type="dxa"/>
            <w:tcBorders>
              <w:top w:val="nil"/>
              <w:left w:val="nil"/>
              <w:bottom w:val="double" w:sz="4" w:space="0" w:color="auto"/>
              <w:right w:val="single" w:sz="4" w:space="0" w:color="auto"/>
            </w:tcBorders>
            <w:shd w:val="clear" w:color="auto" w:fill="auto"/>
            <w:vAlign w:val="center"/>
            <w:hideMark/>
          </w:tcPr>
          <w:p w14:paraId="7E250ED5"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-3 162,6 </w:t>
            </w:r>
          </w:p>
        </w:tc>
        <w:tc>
          <w:tcPr>
            <w:tcW w:w="765" w:type="dxa"/>
            <w:tcBorders>
              <w:top w:val="nil"/>
              <w:left w:val="nil"/>
              <w:bottom w:val="double" w:sz="4" w:space="0" w:color="auto"/>
              <w:right w:val="double" w:sz="4" w:space="0" w:color="auto"/>
            </w:tcBorders>
            <w:shd w:val="clear" w:color="auto" w:fill="auto"/>
            <w:vAlign w:val="center"/>
            <w:hideMark/>
          </w:tcPr>
          <w:p w14:paraId="6EB70361" w14:textId="77777777" w:rsidR="00082A52" w:rsidRPr="00FD7B0B" w:rsidRDefault="00082A52" w:rsidP="002732ED">
            <w:pPr>
              <w:spacing w:after="0" w:line="240" w:lineRule="auto"/>
              <w:jc w:val="right"/>
              <w:rPr>
                <w:rFonts w:ascii="Times New Roman" w:hAnsi="Times New Roman" w:cs="Times New Roman"/>
              </w:rPr>
            </w:pPr>
            <w:r w:rsidRPr="00FD7B0B">
              <w:rPr>
                <w:rFonts w:ascii="Times New Roman" w:hAnsi="Times New Roman" w:cs="Times New Roman"/>
              </w:rPr>
              <w:t xml:space="preserve">-44,4 </w:t>
            </w:r>
          </w:p>
        </w:tc>
      </w:tr>
    </w:tbl>
    <w:p w14:paraId="4D77992F" w14:textId="77777777" w:rsidR="00082A52" w:rsidRPr="00FD7B0B" w:rsidRDefault="00082A52" w:rsidP="005A1220">
      <w:pPr>
        <w:spacing w:after="0" w:line="240" w:lineRule="auto"/>
        <w:ind w:firstLine="709"/>
        <w:jc w:val="both"/>
        <w:rPr>
          <w:rFonts w:ascii="Times New Roman" w:hAnsi="Times New Roman" w:cs="Times New Roman"/>
          <w:sz w:val="28"/>
          <w:szCs w:val="28"/>
        </w:rPr>
      </w:pPr>
    </w:p>
    <w:p w14:paraId="003C7A38" w14:textId="5545B34F" w:rsidR="00082A52" w:rsidRPr="00FD7B0B" w:rsidRDefault="00082A52" w:rsidP="005A1220">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lastRenderedPageBreak/>
        <w:t>В отчетном периоде инвестиции юридическим лицам (без учета взнос</w:t>
      </w:r>
      <w:r w:rsidR="005A1220" w:rsidRPr="00FD7B0B">
        <w:rPr>
          <w:rFonts w:ascii="Times New Roman" w:hAnsi="Times New Roman" w:cs="Times New Roman"/>
          <w:sz w:val="28"/>
          <w:szCs w:val="28"/>
        </w:rPr>
        <w:t>ов</w:t>
      </w:r>
      <w:r w:rsidRPr="00FD7B0B">
        <w:rPr>
          <w:rFonts w:ascii="Times New Roman" w:hAnsi="Times New Roman" w:cs="Times New Roman"/>
          <w:sz w:val="28"/>
          <w:szCs w:val="28"/>
        </w:rPr>
        <w:t xml:space="preserve"> в уставные капиталы) увеличились в 2,6 раза или на 1 020,8 млн.руб., где в 8,9 раза (+764,5 млн.руб.) увеличились расходы в рамках концессионного соглашения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p>
    <w:p w14:paraId="2B29572A" w14:textId="77777777" w:rsidR="00082A52" w:rsidRPr="00FD7B0B" w:rsidRDefault="00082A52" w:rsidP="005A1220">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Также в 2024 году инвестиции в рамках концессионного соглашения в отношении финансирования, создания и эксплуатации студенческого кампуса мирового уровня «Арктическая звезда» составили 450,0 млн.руб. В 2023 году средства на данный проект были предусмотрены в областном бюджете в сумме 240,0 млн.руб., однако, не были перечислены.</w:t>
      </w:r>
    </w:p>
    <w:p w14:paraId="4E40233A" w14:textId="5211AE4C" w:rsidR="00FB240D" w:rsidRPr="00FD7B0B" w:rsidRDefault="00FB240D" w:rsidP="005A1220">
      <w:pPr>
        <w:spacing w:after="0" w:line="240" w:lineRule="auto"/>
        <w:ind w:firstLine="709"/>
        <w:jc w:val="both"/>
        <w:rPr>
          <w:rFonts w:ascii="Times New Roman" w:hAnsi="Times New Roman" w:cs="Times New Roman"/>
          <w:sz w:val="28"/>
          <w:szCs w:val="28"/>
        </w:rPr>
      </w:pPr>
      <w:r w:rsidRPr="00FD7B0B">
        <w:rPr>
          <w:rFonts w:ascii="Times New Roman" w:hAnsi="Times New Roman" w:cs="Times New Roman"/>
          <w:sz w:val="28"/>
          <w:szCs w:val="28"/>
        </w:rPr>
        <w:t>Более подробно расходы 2024 года на реализацию мероприятий ОАИП представлены ниже.</w:t>
      </w:r>
    </w:p>
    <w:p w14:paraId="7EB705C6" w14:textId="453690F7" w:rsidR="00FB240D" w:rsidRPr="00FD7B0B" w:rsidRDefault="009B516C" w:rsidP="00CD50D8">
      <w:pPr>
        <w:keepNext/>
        <w:spacing w:before="240" w:after="60" w:line="240" w:lineRule="auto"/>
        <w:jc w:val="center"/>
        <w:outlineLvl w:val="2"/>
        <w:rPr>
          <w:rFonts w:ascii="Times New Roman" w:eastAsia="Times New Roman" w:hAnsi="Times New Roman"/>
          <w:bCs/>
          <w:sz w:val="28"/>
          <w:szCs w:val="28"/>
          <w:u w:val="single"/>
          <w:lang w:eastAsia="ru-RU"/>
        </w:rPr>
      </w:pPr>
      <w:bookmarkStart w:id="150" w:name="_Toc198819152"/>
      <w:r w:rsidRPr="00FD7B0B">
        <w:rPr>
          <w:rFonts w:ascii="Times New Roman" w:eastAsia="Times New Roman" w:hAnsi="Times New Roman"/>
          <w:bCs/>
          <w:sz w:val="28"/>
          <w:szCs w:val="28"/>
          <w:u w:val="single"/>
          <w:lang w:eastAsia="ru-RU"/>
        </w:rPr>
        <w:t>4</w:t>
      </w:r>
      <w:r w:rsidR="00FB240D" w:rsidRPr="00FD7B0B">
        <w:rPr>
          <w:rFonts w:ascii="Times New Roman" w:eastAsia="Times New Roman" w:hAnsi="Times New Roman"/>
          <w:bCs/>
          <w:sz w:val="28"/>
          <w:szCs w:val="28"/>
          <w:u w:val="single"/>
          <w:lang w:eastAsia="ru-RU"/>
        </w:rPr>
        <w:t>.4.1. Реализация областной адресной инвестиционной программы</w:t>
      </w:r>
      <w:bookmarkEnd w:id="150"/>
    </w:p>
    <w:p w14:paraId="2FC4E13B" w14:textId="07F75F6A"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Постановлением Правительства Архангельской области от 06.10.2023 № 954-пп (ред. от 24.12.2024) на реализацию мероприятий областной адресной инвестиционной программы на 2024 год</w:t>
      </w:r>
      <w:r w:rsidR="001773BC" w:rsidRPr="00FD7B0B">
        <w:rPr>
          <w:rFonts w:ascii="Times New Roman" w:hAnsi="Times New Roman"/>
          <w:sz w:val="28"/>
          <w:szCs w:val="28"/>
        </w:rPr>
        <w:t xml:space="preserve"> </w:t>
      </w:r>
      <w:r w:rsidRPr="00FD7B0B">
        <w:rPr>
          <w:rFonts w:ascii="Times New Roman" w:hAnsi="Times New Roman"/>
          <w:sz w:val="28"/>
          <w:szCs w:val="28"/>
        </w:rPr>
        <w:t>предусмотрены средства бюджета в размере 7 932,5 млн.руб., в том числе средства ФБ – 3 120,4 млн.руб., средства ОБ (в т.ч. прочие целевые средства) – 4 812,1 млн.руб.</w:t>
      </w:r>
    </w:p>
    <w:p w14:paraId="2F015A45" w14:textId="4A381DAB"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Сведения об исполнении мероприятий, связанных с капитальными вложениями, по состоянию на 31.12.2024 в разрезе программ представлены в таблице </w:t>
      </w:r>
      <w:r w:rsidR="00CA2A49" w:rsidRPr="00FD7B0B">
        <w:rPr>
          <w:rFonts w:ascii="Times New Roman" w:hAnsi="Times New Roman"/>
          <w:sz w:val="28"/>
          <w:szCs w:val="28"/>
        </w:rPr>
        <w:t>240</w:t>
      </w:r>
      <w:r w:rsidRPr="00FD7B0B">
        <w:rPr>
          <w:rFonts w:ascii="Times New Roman" w:hAnsi="Times New Roman"/>
          <w:sz w:val="28"/>
          <w:szCs w:val="28"/>
        </w:rPr>
        <w:t xml:space="preserve"> по данным отчета об исполнении областного бюджета по реализации ОАИП за 2024 год (далее – Отчет ОАИП 2024).</w:t>
      </w:r>
    </w:p>
    <w:p w14:paraId="61F0C7A1" w14:textId="77777777" w:rsidR="00FB240D" w:rsidRPr="00FD7B0B" w:rsidRDefault="00FB240D" w:rsidP="00FB240D">
      <w:pPr>
        <w:pStyle w:val="aff0"/>
        <w:spacing w:after="0" w:line="240" w:lineRule="auto"/>
        <w:rPr>
          <w:rFonts w:ascii="Times New Roman" w:hAnsi="Times New Roman"/>
          <w:b w:val="0"/>
          <w:sz w:val="24"/>
          <w:szCs w:val="24"/>
        </w:rPr>
      </w:pPr>
    </w:p>
    <w:p w14:paraId="6D275F06" w14:textId="77777777" w:rsidR="00FB240D" w:rsidRPr="00FD7B0B" w:rsidRDefault="00FB240D" w:rsidP="00FB240D">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240</w:t>
      </w:r>
      <w:r w:rsidRPr="00FD7B0B">
        <w:rPr>
          <w:rFonts w:ascii="Times New Roman" w:hAnsi="Times New Roman"/>
          <w:b w:val="0"/>
          <w:sz w:val="24"/>
          <w:szCs w:val="24"/>
        </w:rPr>
        <w:fldChar w:fldCharType="end"/>
      </w:r>
      <w:r w:rsidRPr="00FD7B0B">
        <w:rPr>
          <w:rFonts w:ascii="Times New Roman" w:hAnsi="Times New Roman"/>
          <w:b w:val="0"/>
          <w:sz w:val="24"/>
          <w:szCs w:val="24"/>
        </w:rPr>
        <w:t>. Расходы областного бюджета за 2024 год на реализацию мероприятий, связанных с капитальными вложениями, млн.руб.</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754"/>
        <w:gridCol w:w="855"/>
        <w:gridCol w:w="1341"/>
        <w:gridCol w:w="1335"/>
        <w:gridCol w:w="1322"/>
      </w:tblGrid>
      <w:tr w:rsidR="00FD7B0B" w:rsidRPr="00FD7B0B" w14:paraId="210F59CC" w14:textId="77777777" w:rsidTr="00FB240D">
        <w:trPr>
          <w:trHeight w:val="300"/>
          <w:tblHeader/>
        </w:trPr>
        <w:tc>
          <w:tcPr>
            <w:tcW w:w="2474" w:type="pct"/>
            <w:vMerge w:val="restart"/>
            <w:shd w:val="clear" w:color="000000" w:fill="FFFFFF"/>
            <w:vAlign w:val="center"/>
            <w:hideMark/>
          </w:tcPr>
          <w:p w14:paraId="1A756CD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Государственная программа (резервный фонд)</w:t>
            </w:r>
          </w:p>
        </w:tc>
        <w:tc>
          <w:tcPr>
            <w:tcW w:w="445" w:type="pct"/>
            <w:vMerge w:val="restart"/>
            <w:shd w:val="clear" w:color="000000" w:fill="FFFFFF"/>
            <w:vAlign w:val="center"/>
            <w:hideMark/>
          </w:tcPr>
          <w:p w14:paraId="25DCE06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Бюджет</w:t>
            </w:r>
          </w:p>
        </w:tc>
        <w:tc>
          <w:tcPr>
            <w:tcW w:w="698" w:type="pct"/>
            <w:vMerge w:val="restart"/>
            <w:shd w:val="clear" w:color="000000" w:fill="FFFFFF"/>
            <w:vAlign w:val="center"/>
            <w:hideMark/>
          </w:tcPr>
          <w:p w14:paraId="25998BA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Уточненная СБР на 2024 год по состоянию на 31.12.2024</w:t>
            </w:r>
          </w:p>
        </w:tc>
        <w:tc>
          <w:tcPr>
            <w:tcW w:w="695" w:type="pct"/>
            <w:vMerge w:val="restart"/>
            <w:shd w:val="clear" w:color="000000" w:fill="FFFFFF"/>
            <w:vAlign w:val="center"/>
            <w:hideMark/>
          </w:tcPr>
          <w:p w14:paraId="0E8FADBC"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Исполнено по состоянию на 31.12.2024</w:t>
            </w:r>
          </w:p>
        </w:tc>
        <w:tc>
          <w:tcPr>
            <w:tcW w:w="688" w:type="pct"/>
            <w:vMerge w:val="restart"/>
            <w:shd w:val="clear" w:color="000000" w:fill="FFFFFF"/>
            <w:vAlign w:val="center"/>
            <w:hideMark/>
          </w:tcPr>
          <w:p w14:paraId="3908C8E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Исполнение на отчетную дату, %</w:t>
            </w:r>
          </w:p>
        </w:tc>
      </w:tr>
      <w:tr w:rsidR="00FD7B0B" w:rsidRPr="00FD7B0B" w14:paraId="5BD6AA1D" w14:textId="77777777" w:rsidTr="00FB240D">
        <w:trPr>
          <w:trHeight w:val="615"/>
        </w:trPr>
        <w:tc>
          <w:tcPr>
            <w:tcW w:w="2474" w:type="pct"/>
            <w:vMerge/>
            <w:vAlign w:val="center"/>
            <w:hideMark/>
          </w:tcPr>
          <w:p w14:paraId="64F4BCD3"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vMerge/>
            <w:vAlign w:val="center"/>
            <w:hideMark/>
          </w:tcPr>
          <w:p w14:paraId="1BFCE311"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698" w:type="pct"/>
            <w:vMerge/>
            <w:vAlign w:val="center"/>
            <w:hideMark/>
          </w:tcPr>
          <w:p w14:paraId="4F9FB2AE"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695" w:type="pct"/>
            <w:vMerge/>
            <w:vAlign w:val="center"/>
            <w:hideMark/>
          </w:tcPr>
          <w:p w14:paraId="3C969D32"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688" w:type="pct"/>
            <w:vMerge/>
            <w:vAlign w:val="center"/>
            <w:hideMark/>
          </w:tcPr>
          <w:p w14:paraId="791954C9" w14:textId="77777777" w:rsidR="00FB240D" w:rsidRPr="00FD7B0B" w:rsidRDefault="00FB240D" w:rsidP="00FB240D">
            <w:pPr>
              <w:spacing w:after="0" w:line="240" w:lineRule="auto"/>
              <w:rPr>
                <w:rFonts w:ascii="Times New Roman" w:eastAsia="Times New Roman" w:hAnsi="Times New Roman"/>
                <w:sz w:val="18"/>
                <w:szCs w:val="18"/>
                <w:lang w:eastAsia="ru-RU"/>
              </w:rPr>
            </w:pPr>
          </w:p>
        </w:tc>
      </w:tr>
      <w:tr w:rsidR="00FD7B0B" w:rsidRPr="00FD7B0B" w14:paraId="332603D2" w14:textId="77777777" w:rsidTr="00FB240D">
        <w:trPr>
          <w:trHeight w:val="220"/>
        </w:trPr>
        <w:tc>
          <w:tcPr>
            <w:tcW w:w="2474" w:type="pct"/>
            <w:vMerge w:val="restart"/>
            <w:shd w:val="clear" w:color="000000" w:fill="FFFFFF"/>
            <w:vAlign w:val="center"/>
            <w:hideMark/>
          </w:tcPr>
          <w:p w14:paraId="5549078E"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Развитие здравоохранения Архангельской области</w:t>
            </w:r>
          </w:p>
        </w:tc>
        <w:tc>
          <w:tcPr>
            <w:tcW w:w="445" w:type="pct"/>
            <w:shd w:val="clear" w:color="000000" w:fill="FFFFFF"/>
            <w:vAlign w:val="center"/>
            <w:hideMark/>
          </w:tcPr>
          <w:p w14:paraId="6DB3B770"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698" w:type="pct"/>
            <w:shd w:val="clear" w:color="000000" w:fill="FFFFFF"/>
            <w:vAlign w:val="center"/>
            <w:hideMark/>
          </w:tcPr>
          <w:p w14:paraId="22913043"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409,1</w:t>
            </w:r>
          </w:p>
        </w:tc>
        <w:tc>
          <w:tcPr>
            <w:tcW w:w="695" w:type="pct"/>
            <w:shd w:val="clear" w:color="000000" w:fill="FFFFFF"/>
            <w:vAlign w:val="center"/>
            <w:hideMark/>
          </w:tcPr>
          <w:p w14:paraId="36F53576"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392,3</w:t>
            </w:r>
          </w:p>
        </w:tc>
        <w:tc>
          <w:tcPr>
            <w:tcW w:w="688" w:type="pct"/>
            <w:shd w:val="clear" w:color="000000" w:fill="FFFFFF"/>
            <w:vAlign w:val="center"/>
            <w:hideMark/>
          </w:tcPr>
          <w:p w14:paraId="7810AF6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95,9</w:t>
            </w:r>
          </w:p>
        </w:tc>
      </w:tr>
      <w:tr w:rsidR="00FD7B0B" w:rsidRPr="00FD7B0B" w14:paraId="1A6A3773" w14:textId="77777777" w:rsidTr="00FB240D">
        <w:trPr>
          <w:trHeight w:val="138"/>
        </w:trPr>
        <w:tc>
          <w:tcPr>
            <w:tcW w:w="2474" w:type="pct"/>
            <w:vMerge/>
            <w:vAlign w:val="center"/>
            <w:hideMark/>
          </w:tcPr>
          <w:p w14:paraId="546D5D70"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02A67CD7"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480FEDD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57,7</w:t>
            </w:r>
          </w:p>
        </w:tc>
        <w:tc>
          <w:tcPr>
            <w:tcW w:w="695" w:type="pct"/>
            <w:shd w:val="clear" w:color="000000" w:fill="FFFFFF"/>
            <w:vAlign w:val="center"/>
            <w:hideMark/>
          </w:tcPr>
          <w:p w14:paraId="2624319E"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57,1</w:t>
            </w:r>
          </w:p>
        </w:tc>
        <w:tc>
          <w:tcPr>
            <w:tcW w:w="688" w:type="pct"/>
            <w:shd w:val="clear" w:color="000000" w:fill="FFFFFF"/>
            <w:vAlign w:val="center"/>
            <w:hideMark/>
          </w:tcPr>
          <w:p w14:paraId="55904314"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99,0</w:t>
            </w:r>
          </w:p>
        </w:tc>
      </w:tr>
      <w:tr w:rsidR="00FD7B0B" w:rsidRPr="00FD7B0B" w14:paraId="2A9249F7" w14:textId="77777777" w:rsidTr="00FB240D">
        <w:trPr>
          <w:trHeight w:val="197"/>
        </w:trPr>
        <w:tc>
          <w:tcPr>
            <w:tcW w:w="2474" w:type="pct"/>
            <w:vMerge/>
            <w:vAlign w:val="center"/>
            <w:hideMark/>
          </w:tcPr>
          <w:p w14:paraId="77DE00CE"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1AD1CA5C"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Итого</w:t>
            </w:r>
          </w:p>
        </w:tc>
        <w:tc>
          <w:tcPr>
            <w:tcW w:w="698" w:type="pct"/>
            <w:shd w:val="clear" w:color="000000" w:fill="FFFFFF"/>
            <w:vAlign w:val="center"/>
            <w:hideMark/>
          </w:tcPr>
          <w:p w14:paraId="7D4CF812"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466,8</w:t>
            </w:r>
          </w:p>
        </w:tc>
        <w:tc>
          <w:tcPr>
            <w:tcW w:w="695" w:type="pct"/>
            <w:shd w:val="clear" w:color="000000" w:fill="FFFFFF"/>
            <w:vAlign w:val="center"/>
            <w:hideMark/>
          </w:tcPr>
          <w:p w14:paraId="0CD5C3C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449,4</w:t>
            </w:r>
          </w:p>
        </w:tc>
        <w:tc>
          <w:tcPr>
            <w:tcW w:w="688" w:type="pct"/>
            <w:shd w:val="clear" w:color="000000" w:fill="FFFFFF"/>
            <w:vAlign w:val="center"/>
            <w:hideMark/>
          </w:tcPr>
          <w:p w14:paraId="7FC458DE"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96,3</w:t>
            </w:r>
          </w:p>
        </w:tc>
      </w:tr>
      <w:tr w:rsidR="00FD7B0B" w:rsidRPr="00FD7B0B" w14:paraId="2EC9FA61" w14:textId="77777777" w:rsidTr="00FB240D">
        <w:trPr>
          <w:trHeight w:val="70"/>
        </w:trPr>
        <w:tc>
          <w:tcPr>
            <w:tcW w:w="2474" w:type="pct"/>
            <w:vMerge w:val="restart"/>
            <w:shd w:val="clear" w:color="000000" w:fill="FFFFFF"/>
            <w:vAlign w:val="center"/>
            <w:hideMark/>
          </w:tcPr>
          <w:p w14:paraId="492C5262"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Развитие образования и науки Архангельской области</w:t>
            </w:r>
          </w:p>
        </w:tc>
        <w:tc>
          <w:tcPr>
            <w:tcW w:w="445" w:type="pct"/>
            <w:shd w:val="clear" w:color="000000" w:fill="FFFFFF"/>
            <w:vAlign w:val="center"/>
            <w:hideMark/>
          </w:tcPr>
          <w:p w14:paraId="446168A5"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698" w:type="pct"/>
            <w:shd w:val="clear" w:color="000000" w:fill="FFFFFF"/>
            <w:vAlign w:val="center"/>
            <w:hideMark/>
          </w:tcPr>
          <w:p w14:paraId="67F8631F"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895,0</w:t>
            </w:r>
          </w:p>
        </w:tc>
        <w:tc>
          <w:tcPr>
            <w:tcW w:w="695" w:type="pct"/>
            <w:shd w:val="clear" w:color="000000" w:fill="FFFFFF"/>
            <w:vAlign w:val="center"/>
            <w:hideMark/>
          </w:tcPr>
          <w:p w14:paraId="3EFF8CA8"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894,9</w:t>
            </w:r>
          </w:p>
        </w:tc>
        <w:tc>
          <w:tcPr>
            <w:tcW w:w="688" w:type="pct"/>
            <w:shd w:val="clear" w:color="000000" w:fill="FFFFFF"/>
            <w:vAlign w:val="center"/>
            <w:hideMark/>
          </w:tcPr>
          <w:p w14:paraId="6CC3CE30"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036AB1BD" w14:textId="77777777" w:rsidTr="00FB240D">
        <w:trPr>
          <w:trHeight w:val="191"/>
        </w:trPr>
        <w:tc>
          <w:tcPr>
            <w:tcW w:w="2474" w:type="pct"/>
            <w:vMerge/>
            <w:vAlign w:val="center"/>
            <w:hideMark/>
          </w:tcPr>
          <w:p w14:paraId="1597274B"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62CB29BB"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270CE1B2"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821,4</w:t>
            </w:r>
          </w:p>
        </w:tc>
        <w:tc>
          <w:tcPr>
            <w:tcW w:w="695" w:type="pct"/>
            <w:shd w:val="clear" w:color="000000" w:fill="FFFFFF"/>
            <w:vAlign w:val="center"/>
            <w:hideMark/>
          </w:tcPr>
          <w:p w14:paraId="343B3FAF"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821,4</w:t>
            </w:r>
          </w:p>
        </w:tc>
        <w:tc>
          <w:tcPr>
            <w:tcW w:w="688" w:type="pct"/>
            <w:shd w:val="clear" w:color="000000" w:fill="FFFFFF"/>
            <w:vAlign w:val="center"/>
            <w:hideMark/>
          </w:tcPr>
          <w:p w14:paraId="6006E421"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04A2089C" w14:textId="77777777" w:rsidTr="00FB240D">
        <w:trPr>
          <w:trHeight w:val="70"/>
        </w:trPr>
        <w:tc>
          <w:tcPr>
            <w:tcW w:w="2474" w:type="pct"/>
            <w:vMerge/>
            <w:vAlign w:val="center"/>
            <w:hideMark/>
          </w:tcPr>
          <w:p w14:paraId="2F315AC8"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13746A33"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Итого</w:t>
            </w:r>
          </w:p>
        </w:tc>
        <w:tc>
          <w:tcPr>
            <w:tcW w:w="698" w:type="pct"/>
            <w:shd w:val="clear" w:color="000000" w:fill="FFFFFF"/>
            <w:vAlign w:val="center"/>
            <w:hideMark/>
          </w:tcPr>
          <w:p w14:paraId="741ADB33"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1716,4</w:t>
            </w:r>
          </w:p>
        </w:tc>
        <w:tc>
          <w:tcPr>
            <w:tcW w:w="695" w:type="pct"/>
            <w:shd w:val="clear" w:color="000000" w:fill="FFFFFF"/>
            <w:vAlign w:val="center"/>
            <w:hideMark/>
          </w:tcPr>
          <w:p w14:paraId="455827F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1716,3</w:t>
            </w:r>
          </w:p>
        </w:tc>
        <w:tc>
          <w:tcPr>
            <w:tcW w:w="688" w:type="pct"/>
            <w:shd w:val="clear" w:color="000000" w:fill="FFFFFF"/>
            <w:vAlign w:val="center"/>
            <w:hideMark/>
          </w:tcPr>
          <w:p w14:paraId="6202130F"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3C52809E" w14:textId="77777777" w:rsidTr="00FB240D">
        <w:trPr>
          <w:trHeight w:val="327"/>
        </w:trPr>
        <w:tc>
          <w:tcPr>
            <w:tcW w:w="2474" w:type="pct"/>
            <w:shd w:val="clear" w:color="000000" w:fill="FFFFFF"/>
            <w:vAlign w:val="center"/>
            <w:hideMark/>
          </w:tcPr>
          <w:p w14:paraId="5730FA33"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Содействие занятости населения Архангельской области, улучшение условий и охраны труда</w:t>
            </w:r>
          </w:p>
        </w:tc>
        <w:tc>
          <w:tcPr>
            <w:tcW w:w="445" w:type="pct"/>
            <w:shd w:val="clear" w:color="000000" w:fill="FFFFFF"/>
            <w:vAlign w:val="center"/>
            <w:hideMark/>
          </w:tcPr>
          <w:p w14:paraId="0CFB52D8"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20A5D38E"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41,5</w:t>
            </w:r>
          </w:p>
        </w:tc>
        <w:tc>
          <w:tcPr>
            <w:tcW w:w="695" w:type="pct"/>
            <w:shd w:val="clear" w:color="000000" w:fill="FFFFFF"/>
            <w:vAlign w:val="center"/>
            <w:hideMark/>
          </w:tcPr>
          <w:p w14:paraId="14B1B313"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41,5</w:t>
            </w:r>
          </w:p>
        </w:tc>
        <w:tc>
          <w:tcPr>
            <w:tcW w:w="688" w:type="pct"/>
            <w:shd w:val="clear" w:color="000000" w:fill="FFFFFF"/>
            <w:vAlign w:val="center"/>
            <w:hideMark/>
          </w:tcPr>
          <w:p w14:paraId="002F9422"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2D107B71" w14:textId="77777777" w:rsidTr="00FB240D">
        <w:trPr>
          <w:trHeight w:val="597"/>
        </w:trPr>
        <w:tc>
          <w:tcPr>
            <w:tcW w:w="2474" w:type="pct"/>
            <w:shd w:val="clear" w:color="000000" w:fill="FFFFFF"/>
            <w:vAlign w:val="center"/>
            <w:hideMark/>
          </w:tcPr>
          <w:p w14:paraId="441D03F1"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Обеспечение качественным, доступным жильем и объектами инженерной инфраструктуры населения Архангельской области</w:t>
            </w:r>
          </w:p>
        </w:tc>
        <w:tc>
          <w:tcPr>
            <w:tcW w:w="445" w:type="pct"/>
            <w:shd w:val="clear" w:color="000000" w:fill="FFFFFF"/>
            <w:vAlign w:val="center"/>
            <w:hideMark/>
          </w:tcPr>
          <w:p w14:paraId="282D14E9"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6487F8BF"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498,2</w:t>
            </w:r>
          </w:p>
        </w:tc>
        <w:tc>
          <w:tcPr>
            <w:tcW w:w="695" w:type="pct"/>
            <w:shd w:val="clear" w:color="000000" w:fill="FFFFFF"/>
            <w:vAlign w:val="center"/>
            <w:hideMark/>
          </w:tcPr>
          <w:p w14:paraId="4F5EA9E0"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496,2</w:t>
            </w:r>
          </w:p>
        </w:tc>
        <w:tc>
          <w:tcPr>
            <w:tcW w:w="688" w:type="pct"/>
            <w:shd w:val="clear" w:color="000000" w:fill="FFFFFF"/>
            <w:vAlign w:val="center"/>
            <w:hideMark/>
          </w:tcPr>
          <w:p w14:paraId="7DA7E531"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99,6</w:t>
            </w:r>
          </w:p>
        </w:tc>
      </w:tr>
      <w:tr w:rsidR="00FD7B0B" w:rsidRPr="00FD7B0B" w14:paraId="0CFF839C" w14:textId="77777777" w:rsidTr="00FB240D">
        <w:trPr>
          <w:trHeight w:val="431"/>
        </w:trPr>
        <w:tc>
          <w:tcPr>
            <w:tcW w:w="2474" w:type="pct"/>
            <w:shd w:val="clear" w:color="000000" w:fill="FFFFFF"/>
            <w:vAlign w:val="center"/>
            <w:hideMark/>
          </w:tcPr>
          <w:p w14:paraId="6C5C7497"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Защита населения и территории Архангельской области от чрезвычайных ситуаций, обеспечение пожарной безопасности и безопасности на водных объектах</w:t>
            </w:r>
          </w:p>
        </w:tc>
        <w:tc>
          <w:tcPr>
            <w:tcW w:w="445" w:type="pct"/>
            <w:shd w:val="clear" w:color="000000" w:fill="FFFFFF"/>
            <w:vAlign w:val="center"/>
            <w:hideMark/>
          </w:tcPr>
          <w:p w14:paraId="31F1BD31"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21F3CFDA"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1,2</w:t>
            </w:r>
          </w:p>
        </w:tc>
        <w:tc>
          <w:tcPr>
            <w:tcW w:w="695" w:type="pct"/>
            <w:shd w:val="clear" w:color="000000" w:fill="FFFFFF"/>
            <w:vAlign w:val="center"/>
            <w:hideMark/>
          </w:tcPr>
          <w:p w14:paraId="2179A9E0"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1,2</w:t>
            </w:r>
          </w:p>
        </w:tc>
        <w:tc>
          <w:tcPr>
            <w:tcW w:w="688" w:type="pct"/>
            <w:shd w:val="clear" w:color="000000" w:fill="FFFFFF"/>
            <w:vAlign w:val="center"/>
            <w:hideMark/>
          </w:tcPr>
          <w:p w14:paraId="5376BB62"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446A724B" w14:textId="77777777" w:rsidTr="00FB240D">
        <w:trPr>
          <w:trHeight w:val="653"/>
        </w:trPr>
        <w:tc>
          <w:tcPr>
            <w:tcW w:w="2474" w:type="pct"/>
            <w:shd w:val="clear" w:color="000000" w:fill="FFFFFF"/>
            <w:vAlign w:val="center"/>
            <w:hideMark/>
          </w:tcPr>
          <w:p w14:paraId="4168A574"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Охрана окружающей среды, воспроизводство и использование природных ресурсов Архангельской области</w:t>
            </w:r>
          </w:p>
        </w:tc>
        <w:tc>
          <w:tcPr>
            <w:tcW w:w="445" w:type="pct"/>
            <w:shd w:val="clear" w:color="000000" w:fill="FFFFFF"/>
            <w:vAlign w:val="center"/>
            <w:hideMark/>
          </w:tcPr>
          <w:p w14:paraId="66A02C4E"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29D08C05"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23,4</w:t>
            </w:r>
          </w:p>
        </w:tc>
        <w:tc>
          <w:tcPr>
            <w:tcW w:w="695" w:type="pct"/>
            <w:shd w:val="clear" w:color="000000" w:fill="FFFFFF"/>
            <w:vAlign w:val="center"/>
            <w:hideMark/>
          </w:tcPr>
          <w:p w14:paraId="409873EF"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23,4</w:t>
            </w:r>
          </w:p>
        </w:tc>
        <w:tc>
          <w:tcPr>
            <w:tcW w:w="688" w:type="pct"/>
            <w:shd w:val="clear" w:color="000000" w:fill="FFFFFF"/>
            <w:vAlign w:val="center"/>
            <w:hideMark/>
          </w:tcPr>
          <w:p w14:paraId="33A462AE"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4041DDBB" w14:textId="77777777" w:rsidTr="00FB240D">
        <w:trPr>
          <w:trHeight w:val="106"/>
        </w:trPr>
        <w:tc>
          <w:tcPr>
            <w:tcW w:w="2474" w:type="pct"/>
            <w:shd w:val="clear" w:color="000000" w:fill="FFFFFF"/>
            <w:vAlign w:val="center"/>
            <w:hideMark/>
          </w:tcPr>
          <w:p w14:paraId="42AF9338"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Развитие лесного комплекса Архангельской области</w:t>
            </w:r>
          </w:p>
        </w:tc>
        <w:tc>
          <w:tcPr>
            <w:tcW w:w="445" w:type="pct"/>
            <w:shd w:val="clear" w:color="000000" w:fill="FFFFFF"/>
            <w:vAlign w:val="center"/>
            <w:hideMark/>
          </w:tcPr>
          <w:p w14:paraId="64AF9B5E"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3FE83EB0"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110,6</w:t>
            </w:r>
          </w:p>
        </w:tc>
        <w:tc>
          <w:tcPr>
            <w:tcW w:w="695" w:type="pct"/>
            <w:shd w:val="clear" w:color="000000" w:fill="FFFFFF"/>
            <w:vAlign w:val="center"/>
            <w:hideMark/>
          </w:tcPr>
          <w:p w14:paraId="4BB9C219"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110,6</w:t>
            </w:r>
          </w:p>
        </w:tc>
        <w:tc>
          <w:tcPr>
            <w:tcW w:w="688" w:type="pct"/>
            <w:shd w:val="clear" w:color="000000" w:fill="FFFFFF"/>
            <w:vAlign w:val="center"/>
            <w:hideMark/>
          </w:tcPr>
          <w:p w14:paraId="305822F5"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01D42A7A" w14:textId="77777777" w:rsidTr="00FB240D">
        <w:trPr>
          <w:trHeight w:val="546"/>
        </w:trPr>
        <w:tc>
          <w:tcPr>
            <w:tcW w:w="2474" w:type="pct"/>
            <w:shd w:val="clear" w:color="000000" w:fill="FFFFFF"/>
            <w:vAlign w:val="center"/>
            <w:hideMark/>
          </w:tcPr>
          <w:p w14:paraId="39E428C6"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Совершенствование государственного управления и местного самоуправления, развитие институтов гражданского общества в Архангельской области</w:t>
            </w:r>
          </w:p>
        </w:tc>
        <w:tc>
          <w:tcPr>
            <w:tcW w:w="445" w:type="pct"/>
            <w:shd w:val="clear" w:color="000000" w:fill="FFFFFF"/>
            <w:vAlign w:val="center"/>
            <w:hideMark/>
          </w:tcPr>
          <w:p w14:paraId="00FD059B"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05CCBE5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102,9</w:t>
            </w:r>
          </w:p>
        </w:tc>
        <w:tc>
          <w:tcPr>
            <w:tcW w:w="695" w:type="pct"/>
            <w:shd w:val="clear" w:color="000000" w:fill="FFFFFF"/>
            <w:vAlign w:val="center"/>
            <w:hideMark/>
          </w:tcPr>
          <w:p w14:paraId="1AAEB779"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101,6</w:t>
            </w:r>
          </w:p>
        </w:tc>
        <w:tc>
          <w:tcPr>
            <w:tcW w:w="688" w:type="pct"/>
            <w:shd w:val="clear" w:color="000000" w:fill="FFFFFF"/>
            <w:vAlign w:val="center"/>
            <w:hideMark/>
          </w:tcPr>
          <w:p w14:paraId="3BC14DD8"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98,7</w:t>
            </w:r>
          </w:p>
        </w:tc>
      </w:tr>
      <w:tr w:rsidR="00FD7B0B" w:rsidRPr="00FD7B0B" w14:paraId="2965B3BC" w14:textId="77777777" w:rsidTr="00FB240D">
        <w:trPr>
          <w:trHeight w:val="190"/>
        </w:trPr>
        <w:tc>
          <w:tcPr>
            <w:tcW w:w="2474" w:type="pct"/>
            <w:vMerge w:val="restart"/>
            <w:shd w:val="clear" w:color="000000" w:fill="FFFFFF"/>
            <w:vAlign w:val="center"/>
            <w:hideMark/>
          </w:tcPr>
          <w:p w14:paraId="436E2931"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Развитие энергетики и жилищно-коммунального хозяйства Архангельской области</w:t>
            </w:r>
          </w:p>
        </w:tc>
        <w:tc>
          <w:tcPr>
            <w:tcW w:w="445" w:type="pct"/>
            <w:shd w:val="clear" w:color="000000" w:fill="FFFFFF"/>
            <w:vAlign w:val="center"/>
            <w:hideMark/>
          </w:tcPr>
          <w:p w14:paraId="742F1058"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698" w:type="pct"/>
            <w:shd w:val="clear" w:color="000000" w:fill="FFFFFF"/>
            <w:vAlign w:val="center"/>
            <w:hideMark/>
          </w:tcPr>
          <w:p w14:paraId="4C93051E"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487,7</w:t>
            </w:r>
          </w:p>
        </w:tc>
        <w:tc>
          <w:tcPr>
            <w:tcW w:w="695" w:type="pct"/>
            <w:shd w:val="clear" w:color="000000" w:fill="FFFFFF"/>
            <w:vAlign w:val="center"/>
            <w:hideMark/>
          </w:tcPr>
          <w:p w14:paraId="3F382132"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487,7</w:t>
            </w:r>
          </w:p>
        </w:tc>
        <w:tc>
          <w:tcPr>
            <w:tcW w:w="688" w:type="pct"/>
            <w:shd w:val="clear" w:color="000000" w:fill="FFFFFF"/>
            <w:vAlign w:val="center"/>
            <w:hideMark/>
          </w:tcPr>
          <w:p w14:paraId="675E5813"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1FEB277D" w14:textId="77777777" w:rsidTr="00FB240D">
        <w:trPr>
          <w:trHeight w:val="180"/>
        </w:trPr>
        <w:tc>
          <w:tcPr>
            <w:tcW w:w="2474" w:type="pct"/>
            <w:vMerge/>
            <w:vAlign w:val="center"/>
            <w:hideMark/>
          </w:tcPr>
          <w:p w14:paraId="3DACFD2D"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307984EF"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40ED99A5"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2010,0</w:t>
            </w:r>
          </w:p>
        </w:tc>
        <w:tc>
          <w:tcPr>
            <w:tcW w:w="695" w:type="pct"/>
            <w:shd w:val="clear" w:color="000000" w:fill="FFFFFF"/>
            <w:vAlign w:val="center"/>
            <w:hideMark/>
          </w:tcPr>
          <w:p w14:paraId="762C1A1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1018,2</w:t>
            </w:r>
          </w:p>
        </w:tc>
        <w:tc>
          <w:tcPr>
            <w:tcW w:w="688" w:type="pct"/>
            <w:shd w:val="clear" w:color="000000" w:fill="FFFFFF"/>
            <w:vAlign w:val="center"/>
            <w:hideMark/>
          </w:tcPr>
          <w:p w14:paraId="14F1EBAE"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50,7</w:t>
            </w:r>
          </w:p>
        </w:tc>
      </w:tr>
      <w:tr w:rsidR="00FD7B0B" w:rsidRPr="00FD7B0B" w14:paraId="36CABA4A" w14:textId="77777777" w:rsidTr="00FB240D">
        <w:trPr>
          <w:trHeight w:val="141"/>
        </w:trPr>
        <w:tc>
          <w:tcPr>
            <w:tcW w:w="2474" w:type="pct"/>
            <w:vMerge/>
            <w:vAlign w:val="center"/>
            <w:hideMark/>
          </w:tcPr>
          <w:p w14:paraId="1B569F82"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6532016F"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Итого</w:t>
            </w:r>
          </w:p>
        </w:tc>
        <w:tc>
          <w:tcPr>
            <w:tcW w:w="698" w:type="pct"/>
            <w:shd w:val="clear" w:color="000000" w:fill="FFFFFF"/>
            <w:vAlign w:val="center"/>
            <w:hideMark/>
          </w:tcPr>
          <w:p w14:paraId="4A6DFCE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2497,7</w:t>
            </w:r>
          </w:p>
        </w:tc>
        <w:tc>
          <w:tcPr>
            <w:tcW w:w="695" w:type="pct"/>
            <w:shd w:val="clear" w:color="000000" w:fill="FFFFFF"/>
            <w:vAlign w:val="center"/>
            <w:hideMark/>
          </w:tcPr>
          <w:p w14:paraId="788C143D"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1505,9</w:t>
            </w:r>
          </w:p>
        </w:tc>
        <w:tc>
          <w:tcPr>
            <w:tcW w:w="688" w:type="pct"/>
            <w:shd w:val="clear" w:color="000000" w:fill="FFFFFF"/>
            <w:vAlign w:val="center"/>
            <w:hideMark/>
          </w:tcPr>
          <w:p w14:paraId="30F15EB3"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60,3</w:t>
            </w:r>
          </w:p>
        </w:tc>
      </w:tr>
      <w:tr w:rsidR="00FD7B0B" w:rsidRPr="00FD7B0B" w14:paraId="13B5CD44" w14:textId="77777777" w:rsidTr="00FB240D">
        <w:trPr>
          <w:trHeight w:val="681"/>
        </w:trPr>
        <w:tc>
          <w:tcPr>
            <w:tcW w:w="2474" w:type="pct"/>
            <w:shd w:val="clear" w:color="000000" w:fill="FFFFFF"/>
            <w:vAlign w:val="center"/>
            <w:hideMark/>
          </w:tcPr>
          <w:p w14:paraId="1A598ABE"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w:t>
            </w:r>
          </w:p>
        </w:tc>
        <w:tc>
          <w:tcPr>
            <w:tcW w:w="445" w:type="pct"/>
            <w:shd w:val="clear" w:color="000000" w:fill="FFFFFF"/>
            <w:vAlign w:val="center"/>
            <w:hideMark/>
          </w:tcPr>
          <w:p w14:paraId="782C570A"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5814076D"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4,7</w:t>
            </w:r>
          </w:p>
        </w:tc>
        <w:tc>
          <w:tcPr>
            <w:tcW w:w="695" w:type="pct"/>
            <w:shd w:val="clear" w:color="000000" w:fill="FFFFFF"/>
            <w:vAlign w:val="center"/>
            <w:hideMark/>
          </w:tcPr>
          <w:p w14:paraId="136DD6EA"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4,7</w:t>
            </w:r>
          </w:p>
        </w:tc>
        <w:tc>
          <w:tcPr>
            <w:tcW w:w="688" w:type="pct"/>
            <w:shd w:val="clear" w:color="000000" w:fill="FFFFFF"/>
            <w:vAlign w:val="center"/>
            <w:hideMark/>
          </w:tcPr>
          <w:p w14:paraId="77DA7B36"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7CE02CB3" w14:textId="77777777" w:rsidTr="00FB240D">
        <w:trPr>
          <w:trHeight w:val="126"/>
        </w:trPr>
        <w:tc>
          <w:tcPr>
            <w:tcW w:w="2474" w:type="pct"/>
            <w:vMerge w:val="restart"/>
            <w:shd w:val="clear" w:color="000000" w:fill="FFFFFF"/>
            <w:vAlign w:val="center"/>
            <w:hideMark/>
          </w:tcPr>
          <w:p w14:paraId="40906CEA"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Комплексное развитие сельских территорий Архангельской области</w:t>
            </w:r>
          </w:p>
        </w:tc>
        <w:tc>
          <w:tcPr>
            <w:tcW w:w="445" w:type="pct"/>
            <w:shd w:val="clear" w:color="000000" w:fill="FFFFFF"/>
            <w:vAlign w:val="center"/>
            <w:hideMark/>
          </w:tcPr>
          <w:p w14:paraId="7FAF2439"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698" w:type="pct"/>
            <w:shd w:val="clear" w:color="000000" w:fill="FFFFFF"/>
            <w:vAlign w:val="center"/>
            <w:hideMark/>
          </w:tcPr>
          <w:p w14:paraId="7D0D890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744,1</w:t>
            </w:r>
          </w:p>
        </w:tc>
        <w:tc>
          <w:tcPr>
            <w:tcW w:w="695" w:type="pct"/>
            <w:shd w:val="clear" w:color="000000" w:fill="FFFFFF"/>
            <w:vAlign w:val="center"/>
            <w:hideMark/>
          </w:tcPr>
          <w:p w14:paraId="0B4EC828"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744,1</w:t>
            </w:r>
          </w:p>
        </w:tc>
        <w:tc>
          <w:tcPr>
            <w:tcW w:w="688" w:type="pct"/>
            <w:shd w:val="clear" w:color="000000" w:fill="FFFFFF"/>
            <w:vAlign w:val="center"/>
            <w:hideMark/>
          </w:tcPr>
          <w:p w14:paraId="68616EAF"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3B3A73B7" w14:textId="77777777" w:rsidTr="00FB240D">
        <w:trPr>
          <w:trHeight w:val="110"/>
        </w:trPr>
        <w:tc>
          <w:tcPr>
            <w:tcW w:w="2474" w:type="pct"/>
            <w:vMerge/>
            <w:vAlign w:val="center"/>
            <w:hideMark/>
          </w:tcPr>
          <w:p w14:paraId="3F1FDC44"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445205AD"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19B0AA0C"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94,9</w:t>
            </w:r>
          </w:p>
        </w:tc>
        <w:tc>
          <w:tcPr>
            <w:tcW w:w="695" w:type="pct"/>
            <w:shd w:val="clear" w:color="000000" w:fill="FFFFFF"/>
            <w:vAlign w:val="center"/>
            <w:hideMark/>
          </w:tcPr>
          <w:p w14:paraId="29784CED"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94,9</w:t>
            </w:r>
          </w:p>
        </w:tc>
        <w:tc>
          <w:tcPr>
            <w:tcW w:w="688" w:type="pct"/>
            <w:shd w:val="clear" w:color="000000" w:fill="FFFFFF"/>
            <w:vAlign w:val="center"/>
            <w:hideMark/>
          </w:tcPr>
          <w:p w14:paraId="072BED4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5D53AD17" w14:textId="77777777" w:rsidTr="00FB240D">
        <w:trPr>
          <w:trHeight w:val="72"/>
        </w:trPr>
        <w:tc>
          <w:tcPr>
            <w:tcW w:w="2474" w:type="pct"/>
            <w:vMerge/>
            <w:vAlign w:val="center"/>
            <w:hideMark/>
          </w:tcPr>
          <w:p w14:paraId="4C7612CA"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68BBAB05"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Итого</w:t>
            </w:r>
          </w:p>
        </w:tc>
        <w:tc>
          <w:tcPr>
            <w:tcW w:w="698" w:type="pct"/>
            <w:shd w:val="clear" w:color="000000" w:fill="FFFFFF"/>
            <w:vAlign w:val="center"/>
            <w:hideMark/>
          </w:tcPr>
          <w:p w14:paraId="029CBE4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839</w:t>
            </w:r>
          </w:p>
        </w:tc>
        <w:tc>
          <w:tcPr>
            <w:tcW w:w="695" w:type="pct"/>
            <w:shd w:val="clear" w:color="000000" w:fill="FFFFFF"/>
            <w:vAlign w:val="center"/>
            <w:hideMark/>
          </w:tcPr>
          <w:p w14:paraId="523C6D01"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839</w:t>
            </w:r>
          </w:p>
        </w:tc>
        <w:tc>
          <w:tcPr>
            <w:tcW w:w="688" w:type="pct"/>
            <w:shd w:val="clear" w:color="000000" w:fill="FFFFFF"/>
            <w:vAlign w:val="center"/>
            <w:hideMark/>
          </w:tcPr>
          <w:p w14:paraId="732E9694"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787605C2" w14:textId="77777777" w:rsidTr="00585B20">
        <w:trPr>
          <w:trHeight w:val="354"/>
        </w:trPr>
        <w:tc>
          <w:tcPr>
            <w:tcW w:w="2474" w:type="pct"/>
            <w:shd w:val="clear" w:color="000000" w:fill="FFFFFF"/>
            <w:vAlign w:val="center"/>
            <w:hideMark/>
          </w:tcPr>
          <w:p w14:paraId="6E2438F9"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Развитие физической культуры и спорта в Архангельской области</w:t>
            </w:r>
          </w:p>
        </w:tc>
        <w:tc>
          <w:tcPr>
            <w:tcW w:w="445" w:type="pct"/>
            <w:shd w:val="clear" w:color="000000" w:fill="FFFFFF"/>
            <w:vAlign w:val="center"/>
            <w:hideMark/>
          </w:tcPr>
          <w:p w14:paraId="7EAA9EB1"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7296DE6A"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75,9</w:t>
            </w:r>
          </w:p>
        </w:tc>
        <w:tc>
          <w:tcPr>
            <w:tcW w:w="695" w:type="pct"/>
            <w:shd w:val="clear" w:color="000000" w:fill="FFFFFF"/>
            <w:vAlign w:val="center"/>
            <w:hideMark/>
          </w:tcPr>
          <w:p w14:paraId="20DF7AED"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75,9</w:t>
            </w:r>
          </w:p>
        </w:tc>
        <w:tc>
          <w:tcPr>
            <w:tcW w:w="688" w:type="pct"/>
            <w:shd w:val="clear" w:color="000000" w:fill="FFFFFF"/>
            <w:vAlign w:val="center"/>
            <w:hideMark/>
          </w:tcPr>
          <w:p w14:paraId="387B97A9"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162AA861" w14:textId="77777777" w:rsidTr="00FB240D">
        <w:trPr>
          <w:trHeight w:val="202"/>
        </w:trPr>
        <w:tc>
          <w:tcPr>
            <w:tcW w:w="2474" w:type="pct"/>
            <w:shd w:val="clear" w:color="000000" w:fill="FFFFFF"/>
            <w:vAlign w:val="center"/>
            <w:hideMark/>
          </w:tcPr>
          <w:p w14:paraId="62C7DBBC"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Культура Русского Севера</w:t>
            </w:r>
          </w:p>
        </w:tc>
        <w:tc>
          <w:tcPr>
            <w:tcW w:w="445" w:type="pct"/>
            <w:shd w:val="clear" w:color="000000" w:fill="FFFFFF"/>
            <w:vAlign w:val="center"/>
            <w:hideMark/>
          </w:tcPr>
          <w:p w14:paraId="2845A9AB"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138ACDF4"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96,9</w:t>
            </w:r>
          </w:p>
        </w:tc>
        <w:tc>
          <w:tcPr>
            <w:tcW w:w="695" w:type="pct"/>
            <w:shd w:val="clear" w:color="000000" w:fill="FFFFFF"/>
            <w:vAlign w:val="center"/>
            <w:hideMark/>
          </w:tcPr>
          <w:p w14:paraId="4F0BD265"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96,9</w:t>
            </w:r>
          </w:p>
        </w:tc>
        <w:tc>
          <w:tcPr>
            <w:tcW w:w="688" w:type="pct"/>
            <w:shd w:val="clear" w:color="000000" w:fill="FFFFFF"/>
            <w:vAlign w:val="center"/>
            <w:hideMark/>
          </w:tcPr>
          <w:p w14:paraId="139354D8"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77C74313" w14:textId="77777777" w:rsidTr="00585B20">
        <w:trPr>
          <w:trHeight w:val="202"/>
        </w:trPr>
        <w:tc>
          <w:tcPr>
            <w:tcW w:w="2474" w:type="pct"/>
            <w:shd w:val="clear" w:color="000000" w:fill="FFFFFF"/>
            <w:vAlign w:val="center"/>
            <w:hideMark/>
          </w:tcPr>
          <w:p w14:paraId="7D8A56C5"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Развитие транспортной системы Архангельской области</w:t>
            </w:r>
          </w:p>
        </w:tc>
        <w:tc>
          <w:tcPr>
            <w:tcW w:w="445" w:type="pct"/>
            <w:shd w:val="clear" w:color="000000" w:fill="FFFFFF"/>
            <w:vAlign w:val="center"/>
            <w:hideMark/>
          </w:tcPr>
          <w:p w14:paraId="3F2FB2FC"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23F24B49"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784,2</w:t>
            </w:r>
          </w:p>
        </w:tc>
        <w:tc>
          <w:tcPr>
            <w:tcW w:w="695" w:type="pct"/>
            <w:shd w:val="clear" w:color="000000" w:fill="FFFFFF"/>
            <w:vAlign w:val="center"/>
            <w:hideMark/>
          </w:tcPr>
          <w:p w14:paraId="213EEBEA"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777</w:t>
            </w:r>
          </w:p>
        </w:tc>
        <w:tc>
          <w:tcPr>
            <w:tcW w:w="688" w:type="pct"/>
            <w:shd w:val="clear" w:color="000000" w:fill="FFFFFF"/>
            <w:vAlign w:val="center"/>
            <w:hideMark/>
          </w:tcPr>
          <w:p w14:paraId="05ED32EC"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99,1</w:t>
            </w:r>
          </w:p>
        </w:tc>
      </w:tr>
      <w:tr w:rsidR="00FD7B0B" w:rsidRPr="00FD7B0B" w14:paraId="682242E3" w14:textId="77777777" w:rsidTr="00FB240D">
        <w:trPr>
          <w:trHeight w:val="126"/>
        </w:trPr>
        <w:tc>
          <w:tcPr>
            <w:tcW w:w="2474" w:type="pct"/>
            <w:vMerge w:val="restart"/>
            <w:shd w:val="clear" w:color="000000" w:fill="FFFFFF"/>
            <w:vAlign w:val="center"/>
            <w:hideMark/>
          </w:tcPr>
          <w:p w14:paraId="32652AB6"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Развитие инфраструктуры Соловецкого архипелага</w:t>
            </w:r>
          </w:p>
        </w:tc>
        <w:tc>
          <w:tcPr>
            <w:tcW w:w="445" w:type="pct"/>
            <w:shd w:val="clear" w:color="000000" w:fill="FFFFFF"/>
            <w:vAlign w:val="center"/>
            <w:hideMark/>
          </w:tcPr>
          <w:p w14:paraId="6E2456DD"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698" w:type="pct"/>
            <w:shd w:val="clear" w:color="000000" w:fill="FFFFFF"/>
            <w:vAlign w:val="center"/>
            <w:hideMark/>
          </w:tcPr>
          <w:p w14:paraId="032558D2"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270</w:t>
            </w:r>
          </w:p>
        </w:tc>
        <w:tc>
          <w:tcPr>
            <w:tcW w:w="695" w:type="pct"/>
            <w:shd w:val="clear" w:color="000000" w:fill="FFFFFF"/>
            <w:vAlign w:val="center"/>
            <w:hideMark/>
          </w:tcPr>
          <w:p w14:paraId="4ACD1F92"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270</w:t>
            </w:r>
          </w:p>
        </w:tc>
        <w:tc>
          <w:tcPr>
            <w:tcW w:w="688" w:type="pct"/>
            <w:shd w:val="clear" w:color="000000" w:fill="FFFFFF"/>
            <w:vAlign w:val="center"/>
            <w:hideMark/>
          </w:tcPr>
          <w:p w14:paraId="3A40EF1F"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7FEFCD80" w14:textId="77777777" w:rsidTr="00FB240D">
        <w:trPr>
          <w:trHeight w:val="200"/>
        </w:trPr>
        <w:tc>
          <w:tcPr>
            <w:tcW w:w="2474" w:type="pct"/>
            <w:vMerge/>
            <w:vAlign w:val="center"/>
            <w:hideMark/>
          </w:tcPr>
          <w:p w14:paraId="056CFB60"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40F43D7C"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74E78CF2"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37,4</w:t>
            </w:r>
          </w:p>
        </w:tc>
        <w:tc>
          <w:tcPr>
            <w:tcW w:w="695" w:type="pct"/>
            <w:shd w:val="clear" w:color="000000" w:fill="FFFFFF"/>
            <w:vAlign w:val="center"/>
            <w:hideMark/>
          </w:tcPr>
          <w:p w14:paraId="72170404"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37,4</w:t>
            </w:r>
          </w:p>
        </w:tc>
        <w:tc>
          <w:tcPr>
            <w:tcW w:w="688" w:type="pct"/>
            <w:shd w:val="clear" w:color="000000" w:fill="FFFFFF"/>
            <w:vAlign w:val="center"/>
            <w:hideMark/>
          </w:tcPr>
          <w:p w14:paraId="78020110"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1824838A" w14:textId="77777777" w:rsidTr="00FB240D">
        <w:trPr>
          <w:trHeight w:val="117"/>
        </w:trPr>
        <w:tc>
          <w:tcPr>
            <w:tcW w:w="2474" w:type="pct"/>
            <w:vMerge/>
            <w:vAlign w:val="center"/>
            <w:hideMark/>
          </w:tcPr>
          <w:p w14:paraId="2DABB019"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2E8F67A7"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Итого</w:t>
            </w:r>
          </w:p>
        </w:tc>
        <w:tc>
          <w:tcPr>
            <w:tcW w:w="698" w:type="pct"/>
            <w:shd w:val="clear" w:color="000000" w:fill="FFFFFF"/>
            <w:vAlign w:val="center"/>
            <w:hideMark/>
          </w:tcPr>
          <w:p w14:paraId="4E8850D4"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307,4</w:t>
            </w:r>
          </w:p>
        </w:tc>
        <w:tc>
          <w:tcPr>
            <w:tcW w:w="695" w:type="pct"/>
            <w:shd w:val="clear" w:color="000000" w:fill="FFFFFF"/>
            <w:vAlign w:val="center"/>
            <w:hideMark/>
          </w:tcPr>
          <w:p w14:paraId="5E91A2B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307,4</w:t>
            </w:r>
          </w:p>
        </w:tc>
        <w:tc>
          <w:tcPr>
            <w:tcW w:w="688" w:type="pct"/>
            <w:shd w:val="clear" w:color="000000" w:fill="FFFFFF"/>
            <w:vAlign w:val="center"/>
            <w:hideMark/>
          </w:tcPr>
          <w:p w14:paraId="141C2E2F"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378C18E8" w14:textId="77777777" w:rsidTr="00FB240D">
        <w:trPr>
          <w:trHeight w:val="192"/>
        </w:trPr>
        <w:tc>
          <w:tcPr>
            <w:tcW w:w="2474" w:type="pct"/>
            <w:vMerge w:val="restart"/>
            <w:shd w:val="clear" w:color="000000" w:fill="FFFFFF"/>
            <w:vAlign w:val="center"/>
            <w:hideMark/>
          </w:tcPr>
          <w:p w14:paraId="4BD6FD07"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Экономическое развитие и инвестиционная деятельность в Архангельской области</w:t>
            </w:r>
          </w:p>
        </w:tc>
        <w:tc>
          <w:tcPr>
            <w:tcW w:w="445" w:type="pct"/>
            <w:shd w:val="clear" w:color="000000" w:fill="FFFFFF"/>
            <w:vAlign w:val="center"/>
            <w:hideMark/>
          </w:tcPr>
          <w:p w14:paraId="11B5E2B7"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698" w:type="pct"/>
            <w:shd w:val="clear" w:color="000000" w:fill="FFFFFF"/>
            <w:vAlign w:val="center"/>
            <w:hideMark/>
          </w:tcPr>
          <w:p w14:paraId="09C752E9"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314,5</w:t>
            </w:r>
          </w:p>
        </w:tc>
        <w:tc>
          <w:tcPr>
            <w:tcW w:w="695" w:type="pct"/>
            <w:shd w:val="clear" w:color="000000" w:fill="FFFFFF"/>
            <w:vAlign w:val="center"/>
            <w:hideMark/>
          </w:tcPr>
          <w:p w14:paraId="3EC4729C"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313,8</w:t>
            </w:r>
          </w:p>
        </w:tc>
        <w:tc>
          <w:tcPr>
            <w:tcW w:w="688" w:type="pct"/>
            <w:shd w:val="clear" w:color="000000" w:fill="FFFFFF"/>
            <w:vAlign w:val="center"/>
            <w:hideMark/>
          </w:tcPr>
          <w:p w14:paraId="116DACD5"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99,8</w:t>
            </w:r>
          </w:p>
        </w:tc>
      </w:tr>
      <w:tr w:rsidR="00FD7B0B" w:rsidRPr="00FD7B0B" w14:paraId="428EC758" w14:textId="77777777" w:rsidTr="00FB240D">
        <w:trPr>
          <w:trHeight w:val="110"/>
        </w:trPr>
        <w:tc>
          <w:tcPr>
            <w:tcW w:w="2474" w:type="pct"/>
            <w:vMerge/>
            <w:vAlign w:val="center"/>
            <w:hideMark/>
          </w:tcPr>
          <w:p w14:paraId="14A45899"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7FE790AA"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71A5B49A"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34,9</w:t>
            </w:r>
          </w:p>
        </w:tc>
        <w:tc>
          <w:tcPr>
            <w:tcW w:w="695" w:type="pct"/>
            <w:shd w:val="clear" w:color="000000" w:fill="FFFFFF"/>
            <w:vAlign w:val="center"/>
            <w:hideMark/>
          </w:tcPr>
          <w:p w14:paraId="7D0E790B"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34,9</w:t>
            </w:r>
          </w:p>
        </w:tc>
        <w:tc>
          <w:tcPr>
            <w:tcW w:w="688" w:type="pct"/>
            <w:shd w:val="clear" w:color="000000" w:fill="FFFFFF"/>
            <w:vAlign w:val="center"/>
            <w:hideMark/>
          </w:tcPr>
          <w:p w14:paraId="2F469A00"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04CC6826" w14:textId="77777777" w:rsidTr="00FB240D">
        <w:trPr>
          <w:trHeight w:val="183"/>
        </w:trPr>
        <w:tc>
          <w:tcPr>
            <w:tcW w:w="2474" w:type="pct"/>
            <w:vMerge/>
            <w:vAlign w:val="center"/>
            <w:hideMark/>
          </w:tcPr>
          <w:p w14:paraId="7A825089"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445" w:type="pct"/>
            <w:shd w:val="clear" w:color="000000" w:fill="FFFFFF"/>
            <w:vAlign w:val="center"/>
            <w:hideMark/>
          </w:tcPr>
          <w:p w14:paraId="7458823D"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Итого</w:t>
            </w:r>
          </w:p>
        </w:tc>
        <w:tc>
          <w:tcPr>
            <w:tcW w:w="698" w:type="pct"/>
            <w:shd w:val="clear" w:color="000000" w:fill="FFFFFF"/>
            <w:vAlign w:val="center"/>
            <w:hideMark/>
          </w:tcPr>
          <w:p w14:paraId="028962B6"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349,4</w:t>
            </w:r>
          </w:p>
        </w:tc>
        <w:tc>
          <w:tcPr>
            <w:tcW w:w="695" w:type="pct"/>
            <w:shd w:val="clear" w:color="000000" w:fill="FFFFFF"/>
            <w:vAlign w:val="center"/>
            <w:hideMark/>
          </w:tcPr>
          <w:p w14:paraId="6B9CA007"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348,7</w:t>
            </w:r>
          </w:p>
        </w:tc>
        <w:tc>
          <w:tcPr>
            <w:tcW w:w="688" w:type="pct"/>
            <w:shd w:val="clear" w:color="000000" w:fill="FFFFFF"/>
            <w:vAlign w:val="center"/>
            <w:hideMark/>
          </w:tcPr>
          <w:p w14:paraId="72B42A6C"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99,8</w:t>
            </w:r>
          </w:p>
        </w:tc>
      </w:tr>
      <w:tr w:rsidR="00FD7B0B" w:rsidRPr="00FD7B0B" w14:paraId="07C4B5D5" w14:textId="77777777" w:rsidTr="00585B20">
        <w:trPr>
          <w:trHeight w:val="178"/>
        </w:trPr>
        <w:tc>
          <w:tcPr>
            <w:tcW w:w="2474" w:type="pct"/>
            <w:shd w:val="clear" w:color="000000" w:fill="FFFFFF"/>
            <w:vAlign w:val="center"/>
            <w:hideMark/>
          </w:tcPr>
          <w:p w14:paraId="30C43779"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Цифровое развитие Архангельской области</w:t>
            </w:r>
          </w:p>
        </w:tc>
        <w:tc>
          <w:tcPr>
            <w:tcW w:w="445" w:type="pct"/>
            <w:shd w:val="clear" w:color="000000" w:fill="FFFFFF"/>
            <w:vAlign w:val="center"/>
            <w:hideMark/>
          </w:tcPr>
          <w:p w14:paraId="7290E33D"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3B6A8389"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w:t>
            </w:r>
          </w:p>
        </w:tc>
        <w:tc>
          <w:tcPr>
            <w:tcW w:w="695" w:type="pct"/>
            <w:shd w:val="clear" w:color="000000" w:fill="FFFFFF"/>
            <w:vAlign w:val="center"/>
            <w:hideMark/>
          </w:tcPr>
          <w:p w14:paraId="0044F9A9"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w:t>
            </w:r>
          </w:p>
        </w:tc>
        <w:tc>
          <w:tcPr>
            <w:tcW w:w="688" w:type="pct"/>
            <w:shd w:val="clear" w:color="000000" w:fill="FFFFFF"/>
            <w:vAlign w:val="center"/>
            <w:hideMark/>
          </w:tcPr>
          <w:p w14:paraId="712A8888"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75E10A7B" w14:textId="77777777" w:rsidTr="00FB240D">
        <w:trPr>
          <w:trHeight w:val="146"/>
        </w:trPr>
        <w:tc>
          <w:tcPr>
            <w:tcW w:w="2474" w:type="pct"/>
            <w:shd w:val="clear" w:color="000000" w:fill="FFFFFF"/>
            <w:vAlign w:val="center"/>
            <w:hideMark/>
          </w:tcPr>
          <w:p w14:paraId="208067F3"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Резервный фонд Правительства Архангельской области</w:t>
            </w:r>
          </w:p>
        </w:tc>
        <w:tc>
          <w:tcPr>
            <w:tcW w:w="445" w:type="pct"/>
            <w:shd w:val="clear" w:color="000000" w:fill="FFFFFF"/>
            <w:vAlign w:val="center"/>
            <w:hideMark/>
          </w:tcPr>
          <w:p w14:paraId="79209843"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727E2B03"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14,2</w:t>
            </w:r>
          </w:p>
        </w:tc>
        <w:tc>
          <w:tcPr>
            <w:tcW w:w="695" w:type="pct"/>
            <w:shd w:val="clear" w:color="000000" w:fill="FFFFFF"/>
            <w:vAlign w:val="center"/>
            <w:hideMark/>
          </w:tcPr>
          <w:p w14:paraId="6D4508D9"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14,2</w:t>
            </w:r>
          </w:p>
        </w:tc>
        <w:tc>
          <w:tcPr>
            <w:tcW w:w="688" w:type="pct"/>
            <w:shd w:val="clear" w:color="000000" w:fill="FFFFFF"/>
            <w:vAlign w:val="center"/>
            <w:hideMark/>
          </w:tcPr>
          <w:p w14:paraId="0C71694B"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100,0</w:t>
            </w:r>
          </w:p>
        </w:tc>
      </w:tr>
      <w:tr w:rsidR="00FD7B0B" w:rsidRPr="00FD7B0B" w14:paraId="2768E025" w14:textId="77777777" w:rsidTr="00FB240D">
        <w:trPr>
          <w:trHeight w:val="124"/>
        </w:trPr>
        <w:tc>
          <w:tcPr>
            <w:tcW w:w="2474" w:type="pct"/>
            <w:shd w:val="clear" w:color="000000" w:fill="FFFFFF"/>
            <w:vAlign w:val="center"/>
            <w:hideMark/>
          </w:tcPr>
          <w:p w14:paraId="555BFF47" w14:textId="77777777" w:rsidR="00FB240D" w:rsidRPr="00FD7B0B" w:rsidRDefault="00FB240D" w:rsidP="00FB240D">
            <w:pPr>
              <w:spacing w:after="0" w:line="240" w:lineRule="auto"/>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Всего</w:t>
            </w:r>
          </w:p>
        </w:tc>
        <w:tc>
          <w:tcPr>
            <w:tcW w:w="445" w:type="pct"/>
            <w:shd w:val="clear" w:color="000000" w:fill="FFFFFF"/>
            <w:vAlign w:val="center"/>
            <w:hideMark/>
          </w:tcPr>
          <w:p w14:paraId="455D2487" w14:textId="2E607685" w:rsidR="00FB240D" w:rsidRPr="00FD7B0B" w:rsidRDefault="00FB240D" w:rsidP="00CD50D8">
            <w:pPr>
              <w:spacing w:after="0" w:line="240" w:lineRule="auto"/>
              <w:jc w:val="center"/>
              <w:rPr>
                <w:rFonts w:ascii="Times New Roman" w:eastAsia="Times New Roman" w:hAnsi="Times New Roman"/>
                <w:b/>
                <w:bCs/>
                <w:sz w:val="18"/>
                <w:szCs w:val="18"/>
                <w:lang w:eastAsia="ru-RU"/>
              </w:rPr>
            </w:pPr>
          </w:p>
        </w:tc>
        <w:tc>
          <w:tcPr>
            <w:tcW w:w="698" w:type="pct"/>
            <w:shd w:val="clear" w:color="000000" w:fill="FFFFFF"/>
            <w:vAlign w:val="center"/>
            <w:hideMark/>
          </w:tcPr>
          <w:p w14:paraId="214F31CD" w14:textId="77777777" w:rsidR="00FB240D" w:rsidRPr="00FD7B0B" w:rsidRDefault="00FB240D" w:rsidP="00FB240D">
            <w:pPr>
              <w:spacing w:after="0" w:line="240" w:lineRule="auto"/>
              <w:jc w:val="right"/>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7932,5</w:t>
            </w:r>
          </w:p>
        </w:tc>
        <w:tc>
          <w:tcPr>
            <w:tcW w:w="695" w:type="pct"/>
            <w:shd w:val="clear" w:color="000000" w:fill="FFFFFF"/>
            <w:vAlign w:val="center"/>
            <w:hideMark/>
          </w:tcPr>
          <w:p w14:paraId="76364861" w14:textId="77777777" w:rsidR="00FB240D" w:rsidRPr="00FD7B0B" w:rsidRDefault="00FB240D" w:rsidP="00FB240D">
            <w:pPr>
              <w:spacing w:after="0" w:line="240" w:lineRule="auto"/>
              <w:jc w:val="right"/>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6912</w:t>
            </w:r>
          </w:p>
        </w:tc>
        <w:tc>
          <w:tcPr>
            <w:tcW w:w="688" w:type="pct"/>
            <w:shd w:val="clear" w:color="000000" w:fill="FFFFFF"/>
            <w:vAlign w:val="center"/>
            <w:hideMark/>
          </w:tcPr>
          <w:p w14:paraId="1B83B950" w14:textId="77777777" w:rsidR="00FB240D" w:rsidRPr="00FD7B0B" w:rsidRDefault="00FB240D" w:rsidP="00FB240D">
            <w:pPr>
              <w:spacing w:after="0" w:line="240" w:lineRule="auto"/>
              <w:jc w:val="right"/>
              <w:rPr>
                <w:rFonts w:ascii="Times New Roman" w:eastAsia="Times New Roman" w:hAnsi="Times New Roman"/>
                <w:b/>
                <w:sz w:val="18"/>
                <w:szCs w:val="18"/>
                <w:lang w:eastAsia="ru-RU"/>
              </w:rPr>
            </w:pPr>
            <w:r w:rsidRPr="00FD7B0B">
              <w:rPr>
                <w:rFonts w:ascii="Times New Roman" w:hAnsi="Times New Roman"/>
                <w:sz w:val="18"/>
                <w:szCs w:val="18"/>
              </w:rPr>
              <w:t>87,1</w:t>
            </w:r>
          </w:p>
        </w:tc>
      </w:tr>
      <w:tr w:rsidR="00FD7B0B" w:rsidRPr="00FD7B0B" w14:paraId="5DB9D7CD" w14:textId="77777777" w:rsidTr="00FB240D">
        <w:trPr>
          <w:trHeight w:val="184"/>
        </w:trPr>
        <w:tc>
          <w:tcPr>
            <w:tcW w:w="2474" w:type="pct"/>
            <w:shd w:val="clear" w:color="000000" w:fill="FFFFFF"/>
            <w:vAlign w:val="center"/>
            <w:hideMark/>
          </w:tcPr>
          <w:p w14:paraId="7D6BBA1D"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 том числе:</w:t>
            </w:r>
          </w:p>
        </w:tc>
        <w:tc>
          <w:tcPr>
            <w:tcW w:w="445" w:type="pct"/>
            <w:shd w:val="clear" w:color="000000" w:fill="FFFFFF"/>
            <w:vAlign w:val="center"/>
            <w:hideMark/>
          </w:tcPr>
          <w:p w14:paraId="28CFE019"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698" w:type="pct"/>
            <w:shd w:val="clear" w:color="000000" w:fill="FFFFFF"/>
            <w:vAlign w:val="center"/>
            <w:hideMark/>
          </w:tcPr>
          <w:p w14:paraId="49D4F8C5"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3120,4</w:t>
            </w:r>
          </w:p>
        </w:tc>
        <w:tc>
          <w:tcPr>
            <w:tcW w:w="695" w:type="pct"/>
            <w:shd w:val="clear" w:color="000000" w:fill="FFFFFF"/>
            <w:vAlign w:val="center"/>
            <w:hideMark/>
          </w:tcPr>
          <w:p w14:paraId="0A5887AB"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3102,8</w:t>
            </w:r>
          </w:p>
        </w:tc>
        <w:tc>
          <w:tcPr>
            <w:tcW w:w="688" w:type="pct"/>
            <w:shd w:val="clear" w:color="000000" w:fill="FFFFFF"/>
            <w:vAlign w:val="center"/>
            <w:hideMark/>
          </w:tcPr>
          <w:p w14:paraId="01596665"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99,4</w:t>
            </w:r>
          </w:p>
        </w:tc>
      </w:tr>
      <w:tr w:rsidR="00FD7B0B" w:rsidRPr="00FD7B0B" w14:paraId="4C751E6A" w14:textId="77777777" w:rsidTr="00585B20">
        <w:trPr>
          <w:trHeight w:val="162"/>
        </w:trPr>
        <w:tc>
          <w:tcPr>
            <w:tcW w:w="2474" w:type="pct"/>
            <w:shd w:val="clear" w:color="000000" w:fill="FFFFFF"/>
            <w:vAlign w:val="center"/>
            <w:hideMark/>
          </w:tcPr>
          <w:p w14:paraId="3D98CCA2"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w:t>
            </w:r>
          </w:p>
        </w:tc>
        <w:tc>
          <w:tcPr>
            <w:tcW w:w="445" w:type="pct"/>
            <w:shd w:val="clear" w:color="000000" w:fill="FFFFFF"/>
            <w:vAlign w:val="center"/>
            <w:hideMark/>
          </w:tcPr>
          <w:p w14:paraId="29EF3D24" w14:textId="77777777" w:rsidR="00FB240D" w:rsidRPr="00FD7B0B" w:rsidRDefault="00FB240D" w:rsidP="00CD50D8">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698" w:type="pct"/>
            <w:shd w:val="clear" w:color="000000" w:fill="FFFFFF"/>
            <w:vAlign w:val="center"/>
            <w:hideMark/>
          </w:tcPr>
          <w:p w14:paraId="5A096332"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4812,1</w:t>
            </w:r>
          </w:p>
        </w:tc>
        <w:tc>
          <w:tcPr>
            <w:tcW w:w="695" w:type="pct"/>
            <w:shd w:val="clear" w:color="000000" w:fill="FFFFFF"/>
            <w:vAlign w:val="center"/>
            <w:hideMark/>
          </w:tcPr>
          <w:p w14:paraId="352F5C31"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3809,2</w:t>
            </w:r>
          </w:p>
        </w:tc>
        <w:tc>
          <w:tcPr>
            <w:tcW w:w="688" w:type="pct"/>
            <w:shd w:val="clear" w:color="000000" w:fill="FFFFFF"/>
            <w:vAlign w:val="center"/>
            <w:hideMark/>
          </w:tcPr>
          <w:p w14:paraId="74F09445" w14:textId="77777777" w:rsidR="00FB240D" w:rsidRPr="00FD7B0B" w:rsidRDefault="00FB240D" w:rsidP="00FB240D">
            <w:pPr>
              <w:spacing w:after="0" w:line="240" w:lineRule="auto"/>
              <w:jc w:val="right"/>
              <w:rPr>
                <w:rFonts w:ascii="Times New Roman" w:eastAsia="Times New Roman" w:hAnsi="Times New Roman"/>
                <w:sz w:val="18"/>
                <w:szCs w:val="18"/>
                <w:lang w:eastAsia="ru-RU"/>
              </w:rPr>
            </w:pPr>
            <w:r w:rsidRPr="00FD7B0B">
              <w:rPr>
                <w:rFonts w:ascii="Times New Roman" w:hAnsi="Times New Roman"/>
                <w:sz w:val="18"/>
                <w:szCs w:val="18"/>
              </w:rPr>
              <w:t>79,2</w:t>
            </w:r>
          </w:p>
        </w:tc>
      </w:tr>
    </w:tbl>
    <w:p w14:paraId="441CB262" w14:textId="77777777" w:rsidR="00FB240D" w:rsidRPr="00FD7B0B" w:rsidRDefault="00FB240D" w:rsidP="00FB240D">
      <w:pPr>
        <w:spacing w:after="0" w:line="240" w:lineRule="exact"/>
        <w:ind w:firstLine="709"/>
        <w:jc w:val="both"/>
        <w:rPr>
          <w:rFonts w:ascii="Times New Roman" w:hAnsi="Times New Roman"/>
          <w:sz w:val="28"/>
          <w:szCs w:val="28"/>
        </w:rPr>
      </w:pPr>
    </w:p>
    <w:p w14:paraId="0E7311A9" w14:textId="77777777" w:rsidR="005C3A90" w:rsidRPr="00FD7B0B" w:rsidRDefault="005C3A90" w:rsidP="005C3A90">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итогам 2024 года кассовое исполнение ОАИП составило 87,1 % от объема уточненной сводной бюджетной росписи на 2024 год. Отмечается низкое исполнение мероприятий в части капитальных вложений по ГП «</w:t>
      </w:r>
      <w:r w:rsidRPr="00FD7B0B">
        <w:rPr>
          <w:rFonts w:ascii="Times New Roman" w:eastAsia="Times New Roman" w:hAnsi="Times New Roman"/>
          <w:sz w:val="28"/>
          <w:szCs w:val="28"/>
          <w:lang w:eastAsia="ru-RU"/>
        </w:rPr>
        <w:t>Развитие энергетики и жилищно-коммунального хозяйства Архангельской области</w:t>
      </w:r>
      <w:r w:rsidRPr="00FD7B0B">
        <w:rPr>
          <w:rFonts w:ascii="Times New Roman" w:hAnsi="Times New Roman"/>
          <w:sz w:val="28"/>
          <w:szCs w:val="28"/>
        </w:rPr>
        <w:t>» - 60,3 %, что связано с невыполнением мероприятий по модернизации (строительству) котельных на твердом биотопливе.</w:t>
      </w:r>
    </w:p>
    <w:p w14:paraId="006F3E5C" w14:textId="18454AD6"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Исполнение показателей областного бюджета в части капитальных вложений за 2024 год в разрезе главных распорядителей бюджетных средств характеризуется следующим образом (таблица </w:t>
      </w:r>
      <w:r w:rsidR="00CA2A49" w:rsidRPr="00FD7B0B">
        <w:rPr>
          <w:rFonts w:ascii="Times New Roman" w:hAnsi="Times New Roman"/>
          <w:sz w:val="28"/>
          <w:szCs w:val="28"/>
        </w:rPr>
        <w:t>241</w:t>
      </w:r>
      <w:r w:rsidRPr="00FD7B0B">
        <w:rPr>
          <w:rFonts w:ascii="Times New Roman" w:hAnsi="Times New Roman"/>
          <w:sz w:val="28"/>
          <w:szCs w:val="28"/>
        </w:rPr>
        <w:t>):</w:t>
      </w:r>
    </w:p>
    <w:p w14:paraId="46B7FABB" w14:textId="77777777" w:rsidR="00FB240D" w:rsidRPr="00FD7B0B" w:rsidRDefault="00FB240D" w:rsidP="00FB240D">
      <w:pPr>
        <w:pStyle w:val="aff0"/>
        <w:spacing w:after="0" w:line="240" w:lineRule="auto"/>
        <w:rPr>
          <w:rFonts w:ascii="Times New Roman" w:hAnsi="Times New Roman"/>
          <w:b w:val="0"/>
          <w:sz w:val="24"/>
          <w:szCs w:val="24"/>
        </w:rPr>
      </w:pPr>
    </w:p>
    <w:p w14:paraId="1B1AB154" w14:textId="77777777" w:rsidR="00FB240D" w:rsidRPr="00FD7B0B" w:rsidRDefault="00FB240D" w:rsidP="00FB240D">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241</w:t>
      </w:r>
      <w:r w:rsidRPr="00FD7B0B">
        <w:rPr>
          <w:rFonts w:ascii="Times New Roman" w:hAnsi="Times New Roman"/>
          <w:b w:val="0"/>
          <w:sz w:val="24"/>
          <w:szCs w:val="24"/>
        </w:rPr>
        <w:fldChar w:fldCharType="end"/>
      </w:r>
      <w:r w:rsidRPr="00FD7B0B">
        <w:rPr>
          <w:rFonts w:ascii="Times New Roman" w:hAnsi="Times New Roman"/>
          <w:b w:val="0"/>
          <w:sz w:val="24"/>
          <w:szCs w:val="24"/>
        </w:rPr>
        <w:t>. Исполнение показателей областного бюджета по капитальным вложениям за 2024 год главными распорядителями бюджетных средств, млн.руб.</w:t>
      </w:r>
    </w:p>
    <w:tbl>
      <w:tblPr>
        <w:tblW w:w="5000" w:type="pct"/>
        <w:tblLook w:val="04A0" w:firstRow="1" w:lastRow="0" w:firstColumn="1" w:lastColumn="0" w:noHBand="0" w:noVBand="1"/>
      </w:tblPr>
      <w:tblGrid>
        <w:gridCol w:w="2591"/>
        <w:gridCol w:w="974"/>
        <w:gridCol w:w="742"/>
        <w:gridCol w:w="868"/>
        <w:gridCol w:w="911"/>
        <w:gridCol w:w="744"/>
        <w:gridCol w:w="728"/>
        <w:gridCol w:w="699"/>
        <w:gridCol w:w="722"/>
        <w:gridCol w:w="628"/>
      </w:tblGrid>
      <w:tr w:rsidR="00FD7B0B" w:rsidRPr="00FD7B0B" w14:paraId="6DEF1753" w14:textId="77777777" w:rsidTr="00AF7B0C">
        <w:trPr>
          <w:trHeight w:val="480"/>
          <w:tblHeader/>
        </w:trPr>
        <w:tc>
          <w:tcPr>
            <w:tcW w:w="1348" w:type="pct"/>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A1196D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ГРБС</w:t>
            </w:r>
          </w:p>
        </w:tc>
        <w:tc>
          <w:tcPr>
            <w:tcW w:w="1345" w:type="pct"/>
            <w:gridSpan w:val="3"/>
            <w:tcBorders>
              <w:top w:val="double" w:sz="4" w:space="0" w:color="auto"/>
              <w:left w:val="nil"/>
              <w:bottom w:val="single" w:sz="4" w:space="0" w:color="auto"/>
              <w:right w:val="single" w:sz="4" w:space="0" w:color="auto"/>
            </w:tcBorders>
            <w:shd w:val="clear" w:color="auto" w:fill="auto"/>
            <w:vAlign w:val="center"/>
            <w:hideMark/>
          </w:tcPr>
          <w:p w14:paraId="3FD4A034" w14:textId="6412C45D"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Уточненная СБР на 2024 год п</w:t>
            </w:r>
            <w:r w:rsidR="00AF7B0C" w:rsidRPr="00FD7B0B">
              <w:rPr>
                <w:rFonts w:ascii="Times New Roman" w:eastAsia="Times New Roman" w:hAnsi="Times New Roman"/>
                <w:sz w:val="18"/>
                <w:szCs w:val="18"/>
                <w:lang w:eastAsia="ru-RU"/>
              </w:rPr>
              <w:t>о состоянию на 31.12.2024, млн.</w:t>
            </w:r>
            <w:r w:rsidRPr="00FD7B0B">
              <w:rPr>
                <w:rFonts w:ascii="Times New Roman" w:eastAsia="Times New Roman" w:hAnsi="Times New Roman"/>
                <w:sz w:val="18"/>
                <w:szCs w:val="18"/>
                <w:lang w:eastAsia="ru-RU"/>
              </w:rPr>
              <w:t>руб.</w:t>
            </w:r>
          </w:p>
        </w:tc>
        <w:tc>
          <w:tcPr>
            <w:tcW w:w="1239" w:type="pct"/>
            <w:gridSpan w:val="3"/>
            <w:tcBorders>
              <w:top w:val="double" w:sz="4" w:space="0" w:color="auto"/>
              <w:left w:val="nil"/>
              <w:bottom w:val="single" w:sz="4" w:space="0" w:color="auto"/>
              <w:right w:val="single" w:sz="4" w:space="0" w:color="auto"/>
            </w:tcBorders>
            <w:shd w:val="clear" w:color="auto" w:fill="auto"/>
            <w:vAlign w:val="center"/>
            <w:hideMark/>
          </w:tcPr>
          <w:p w14:paraId="5B12CC8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Кассовое исполнение, млн.руб.</w:t>
            </w:r>
          </w:p>
        </w:tc>
        <w:tc>
          <w:tcPr>
            <w:tcW w:w="1068" w:type="pct"/>
            <w:gridSpan w:val="3"/>
            <w:tcBorders>
              <w:top w:val="double" w:sz="4" w:space="0" w:color="auto"/>
              <w:left w:val="nil"/>
              <w:bottom w:val="single" w:sz="4" w:space="0" w:color="auto"/>
              <w:right w:val="double" w:sz="4" w:space="0" w:color="auto"/>
            </w:tcBorders>
            <w:shd w:val="clear" w:color="auto" w:fill="auto"/>
            <w:vAlign w:val="center"/>
            <w:hideMark/>
          </w:tcPr>
          <w:p w14:paraId="7B3CFE2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Процент исполнения, %</w:t>
            </w:r>
          </w:p>
        </w:tc>
      </w:tr>
      <w:tr w:rsidR="00FD7B0B" w:rsidRPr="00FD7B0B" w14:paraId="6BEE5D21" w14:textId="77777777" w:rsidTr="00AF7B0C">
        <w:trPr>
          <w:trHeight w:val="118"/>
          <w:tblHeader/>
        </w:trPr>
        <w:tc>
          <w:tcPr>
            <w:tcW w:w="1348" w:type="pct"/>
            <w:vMerge/>
            <w:tcBorders>
              <w:top w:val="single" w:sz="4" w:space="0" w:color="auto"/>
              <w:left w:val="double" w:sz="4" w:space="0" w:color="auto"/>
              <w:bottom w:val="single" w:sz="4" w:space="0" w:color="auto"/>
              <w:right w:val="single" w:sz="4" w:space="0" w:color="auto"/>
            </w:tcBorders>
            <w:vAlign w:val="center"/>
            <w:hideMark/>
          </w:tcPr>
          <w:p w14:paraId="085EC06B"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360886B0"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всего</w:t>
            </w:r>
          </w:p>
        </w:tc>
        <w:tc>
          <w:tcPr>
            <w:tcW w:w="838" w:type="pct"/>
            <w:gridSpan w:val="2"/>
            <w:tcBorders>
              <w:top w:val="single" w:sz="4" w:space="0" w:color="auto"/>
              <w:left w:val="nil"/>
              <w:bottom w:val="single" w:sz="4" w:space="0" w:color="auto"/>
              <w:right w:val="single" w:sz="4" w:space="0" w:color="auto"/>
            </w:tcBorders>
            <w:shd w:val="clear" w:color="auto" w:fill="auto"/>
            <w:vAlign w:val="center"/>
            <w:hideMark/>
          </w:tcPr>
          <w:p w14:paraId="0023E229"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 том числе</w:t>
            </w:r>
          </w:p>
        </w:tc>
        <w:tc>
          <w:tcPr>
            <w:tcW w:w="474" w:type="pct"/>
            <w:vMerge w:val="restart"/>
            <w:tcBorders>
              <w:top w:val="nil"/>
              <w:left w:val="single" w:sz="4" w:space="0" w:color="auto"/>
              <w:bottom w:val="single" w:sz="4" w:space="0" w:color="auto"/>
              <w:right w:val="single" w:sz="4" w:space="0" w:color="auto"/>
            </w:tcBorders>
            <w:shd w:val="clear" w:color="auto" w:fill="auto"/>
            <w:vAlign w:val="center"/>
            <w:hideMark/>
          </w:tcPr>
          <w:p w14:paraId="7BA7F8A9"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всего</w:t>
            </w:r>
          </w:p>
        </w:tc>
        <w:tc>
          <w:tcPr>
            <w:tcW w:w="766" w:type="pct"/>
            <w:gridSpan w:val="2"/>
            <w:tcBorders>
              <w:top w:val="single" w:sz="4" w:space="0" w:color="auto"/>
              <w:left w:val="nil"/>
              <w:bottom w:val="single" w:sz="4" w:space="0" w:color="auto"/>
              <w:right w:val="single" w:sz="4" w:space="0" w:color="auto"/>
            </w:tcBorders>
            <w:shd w:val="clear" w:color="auto" w:fill="auto"/>
            <w:vAlign w:val="center"/>
            <w:hideMark/>
          </w:tcPr>
          <w:p w14:paraId="75FB6D5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 том числе</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14:paraId="499DC9A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всего</w:t>
            </w:r>
          </w:p>
        </w:tc>
        <w:tc>
          <w:tcPr>
            <w:tcW w:w="704" w:type="pct"/>
            <w:gridSpan w:val="2"/>
            <w:tcBorders>
              <w:top w:val="single" w:sz="4" w:space="0" w:color="auto"/>
              <w:left w:val="nil"/>
              <w:bottom w:val="single" w:sz="4" w:space="0" w:color="auto"/>
              <w:right w:val="double" w:sz="4" w:space="0" w:color="auto"/>
            </w:tcBorders>
            <w:shd w:val="clear" w:color="auto" w:fill="auto"/>
            <w:vAlign w:val="center"/>
            <w:hideMark/>
          </w:tcPr>
          <w:p w14:paraId="454E67B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 том числе</w:t>
            </w:r>
          </w:p>
        </w:tc>
      </w:tr>
      <w:tr w:rsidR="00FD7B0B" w:rsidRPr="00FD7B0B" w14:paraId="37A63D11" w14:textId="77777777" w:rsidTr="00AF7B0C">
        <w:trPr>
          <w:trHeight w:val="178"/>
          <w:tblHeader/>
        </w:trPr>
        <w:tc>
          <w:tcPr>
            <w:tcW w:w="1348" w:type="pct"/>
            <w:vMerge/>
            <w:tcBorders>
              <w:top w:val="single" w:sz="4" w:space="0" w:color="auto"/>
              <w:left w:val="double" w:sz="4" w:space="0" w:color="auto"/>
              <w:bottom w:val="single" w:sz="4" w:space="0" w:color="auto"/>
              <w:right w:val="single" w:sz="4" w:space="0" w:color="auto"/>
            </w:tcBorders>
            <w:vAlign w:val="center"/>
            <w:hideMark/>
          </w:tcPr>
          <w:p w14:paraId="32779FEB"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323EC7A0"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386" w:type="pct"/>
            <w:tcBorders>
              <w:top w:val="nil"/>
              <w:left w:val="nil"/>
              <w:bottom w:val="single" w:sz="4" w:space="0" w:color="auto"/>
              <w:right w:val="single" w:sz="4" w:space="0" w:color="auto"/>
            </w:tcBorders>
            <w:shd w:val="clear" w:color="auto" w:fill="auto"/>
            <w:vAlign w:val="center"/>
            <w:hideMark/>
          </w:tcPr>
          <w:p w14:paraId="2D7D030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452" w:type="pct"/>
            <w:tcBorders>
              <w:top w:val="nil"/>
              <w:left w:val="nil"/>
              <w:bottom w:val="single" w:sz="4" w:space="0" w:color="auto"/>
              <w:right w:val="single" w:sz="4" w:space="0" w:color="auto"/>
            </w:tcBorders>
            <w:shd w:val="clear" w:color="auto" w:fill="auto"/>
            <w:vAlign w:val="center"/>
            <w:hideMark/>
          </w:tcPr>
          <w:p w14:paraId="2FE98BA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474" w:type="pct"/>
            <w:vMerge/>
            <w:tcBorders>
              <w:top w:val="nil"/>
              <w:left w:val="single" w:sz="4" w:space="0" w:color="auto"/>
              <w:bottom w:val="single" w:sz="4" w:space="0" w:color="auto"/>
              <w:right w:val="single" w:sz="4" w:space="0" w:color="auto"/>
            </w:tcBorders>
            <w:vAlign w:val="center"/>
            <w:hideMark/>
          </w:tcPr>
          <w:p w14:paraId="2D9EEE97"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387" w:type="pct"/>
            <w:tcBorders>
              <w:top w:val="nil"/>
              <w:left w:val="nil"/>
              <w:bottom w:val="single" w:sz="4" w:space="0" w:color="auto"/>
              <w:right w:val="single" w:sz="4" w:space="0" w:color="auto"/>
            </w:tcBorders>
            <w:shd w:val="clear" w:color="auto" w:fill="auto"/>
            <w:vAlign w:val="center"/>
            <w:hideMark/>
          </w:tcPr>
          <w:p w14:paraId="4533F2C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378" w:type="pct"/>
            <w:tcBorders>
              <w:top w:val="nil"/>
              <w:left w:val="nil"/>
              <w:bottom w:val="single" w:sz="4" w:space="0" w:color="auto"/>
              <w:right w:val="single" w:sz="4" w:space="0" w:color="auto"/>
            </w:tcBorders>
            <w:shd w:val="clear" w:color="auto" w:fill="auto"/>
            <w:vAlign w:val="center"/>
            <w:hideMark/>
          </w:tcPr>
          <w:p w14:paraId="74F62AB6"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c>
          <w:tcPr>
            <w:tcW w:w="364" w:type="pct"/>
            <w:vMerge/>
            <w:tcBorders>
              <w:top w:val="nil"/>
              <w:left w:val="single" w:sz="4" w:space="0" w:color="auto"/>
              <w:bottom w:val="single" w:sz="4" w:space="0" w:color="auto"/>
              <w:right w:val="single" w:sz="4" w:space="0" w:color="auto"/>
            </w:tcBorders>
            <w:vAlign w:val="center"/>
            <w:hideMark/>
          </w:tcPr>
          <w:p w14:paraId="22D18793" w14:textId="77777777" w:rsidR="00FB240D" w:rsidRPr="00FD7B0B" w:rsidRDefault="00FB240D" w:rsidP="00FB240D">
            <w:pPr>
              <w:spacing w:after="0" w:line="240" w:lineRule="auto"/>
              <w:rPr>
                <w:rFonts w:ascii="Times New Roman" w:eastAsia="Times New Roman" w:hAnsi="Times New Roman"/>
                <w:sz w:val="18"/>
                <w:szCs w:val="18"/>
                <w:lang w:eastAsia="ru-RU"/>
              </w:rPr>
            </w:pPr>
          </w:p>
        </w:tc>
        <w:tc>
          <w:tcPr>
            <w:tcW w:w="376" w:type="pct"/>
            <w:tcBorders>
              <w:top w:val="nil"/>
              <w:left w:val="nil"/>
              <w:bottom w:val="single" w:sz="4" w:space="0" w:color="auto"/>
              <w:right w:val="single" w:sz="4" w:space="0" w:color="auto"/>
            </w:tcBorders>
            <w:shd w:val="clear" w:color="auto" w:fill="auto"/>
            <w:vAlign w:val="center"/>
            <w:hideMark/>
          </w:tcPr>
          <w:p w14:paraId="5B4AC4D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ФБ</w:t>
            </w:r>
          </w:p>
        </w:tc>
        <w:tc>
          <w:tcPr>
            <w:tcW w:w="328" w:type="pct"/>
            <w:tcBorders>
              <w:top w:val="nil"/>
              <w:left w:val="nil"/>
              <w:bottom w:val="single" w:sz="4" w:space="0" w:color="auto"/>
              <w:right w:val="double" w:sz="4" w:space="0" w:color="auto"/>
            </w:tcBorders>
            <w:shd w:val="clear" w:color="auto" w:fill="auto"/>
            <w:vAlign w:val="center"/>
            <w:hideMark/>
          </w:tcPr>
          <w:p w14:paraId="5E6DDC3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w:t>
            </w:r>
          </w:p>
        </w:tc>
      </w:tr>
      <w:tr w:rsidR="00FD7B0B" w:rsidRPr="00FD7B0B" w14:paraId="0E236AE6" w14:textId="77777777" w:rsidTr="00AF7B0C">
        <w:trPr>
          <w:trHeight w:val="150"/>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7F817E27"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Минстрой АО</w:t>
            </w:r>
          </w:p>
        </w:tc>
        <w:tc>
          <w:tcPr>
            <w:tcW w:w="507" w:type="pct"/>
            <w:tcBorders>
              <w:top w:val="nil"/>
              <w:left w:val="nil"/>
              <w:bottom w:val="single" w:sz="4" w:space="0" w:color="auto"/>
              <w:right w:val="single" w:sz="4" w:space="0" w:color="auto"/>
            </w:tcBorders>
            <w:shd w:val="clear" w:color="auto" w:fill="auto"/>
            <w:vAlign w:val="center"/>
            <w:hideMark/>
          </w:tcPr>
          <w:p w14:paraId="25D19B3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3753,9</w:t>
            </w:r>
          </w:p>
        </w:tc>
        <w:tc>
          <w:tcPr>
            <w:tcW w:w="386" w:type="pct"/>
            <w:tcBorders>
              <w:top w:val="nil"/>
              <w:left w:val="nil"/>
              <w:bottom w:val="single" w:sz="4" w:space="0" w:color="auto"/>
              <w:right w:val="single" w:sz="4" w:space="0" w:color="auto"/>
            </w:tcBorders>
            <w:shd w:val="clear" w:color="auto" w:fill="auto"/>
            <w:vAlign w:val="center"/>
            <w:hideMark/>
          </w:tcPr>
          <w:p w14:paraId="753CB9B0"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2013,3</w:t>
            </w:r>
          </w:p>
        </w:tc>
        <w:tc>
          <w:tcPr>
            <w:tcW w:w="452" w:type="pct"/>
            <w:tcBorders>
              <w:top w:val="nil"/>
              <w:left w:val="nil"/>
              <w:bottom w:val="single" w:sz="4" w:space="0" w:color="auto"/>
              <w:right w:val="single" w:sz="4" w:space="0" w:color="auto"/>
            </w:tcBorders>
            <w:shd w:val="clear" w:color="auto" w:fill="auto"/>
            <w:vAlign w:val="center"/>
            <w:hideMark/>
          </w:tcPr>
          <w:p w14:paraId="35AC88ED"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1740,6</w:t>
            </w:r>
          </w:p>
        </w:tc>
        <w:tc>
          <w:tcPr>
            <w:tcW w:w="474" w:type="pct"/>
            <w:tcBorders>
              <w:top w:val="nil"/>
              <w:left w:val="nil"/>
              <w:bottom w:val="single" w:sz="4" w:space="0" w:color="auto"/>
              <w:right w:val="single" w:sz="4" w:space="0" w:color="auto"/>
            </w:tcBorders>
            <w:shd w:val="clear" w:color="auto" w:fill="auto"/>
            <w:vAlign w:val="center"/>
            <w:hideMark/>
          </w:tcPr>
          <w:p w14:paraId="370DCCD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3735,3</w:t>
            </w:r>
          </w:p>
        </w:tc>
        <w:tc>
          <w:tcPr>
            <w:tcW w:w="387" w:type="pct"/>
            <w:tcBorders>
              <w:top w:val="nil"/>
              <w:left w:val="nil"/>
              <w:bottom w:val="single" w:sz="4" w:space="0" w:color="auto"/>
              <w:right w:val="single" w:sz="4" w:space="0" w:color="auto"/>
            </w:tcBorders>
            <w:shd w:val="clear" w:color="auto" w:fill="auto"/>
            <w:vAlign w:val="center"/>
            <w:hideMark/>
          </w:tcPr>
          <w:p w14:paraId="2777CDF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1996,4</w:t>
            </w:r>
          </w:p>
        </w:tc>
        <w:tc>
          <w:tcPr>
            <w:tcW w:w="378" w:type="pct"/>
            <w:tcBorders>
              <w:top w:val="nil"/>
              <w:left w:val="nil"/>
              <w:bottom w:val="single" w:sz="4" w:space="0" w:color="auto"/>
              <w:right w:val="single" w:sz="4" w:space="0" w:color="auto"/>
            </w:tcBorders>
            <w:shd w:val="clear" w:color="auto" w:fill="auto"/>
            <w:vAlign w:val="center"/>
            <w:hideMark/>
          </w:tcPr>
          <w:p w14:paraId="3A25344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1738,9</w:t>
            </w:r>
          </w:p>
        </w:tc>
        <w:tc>
          <w:tcPr>
            <w:tcW w:w="364" w:type="pct"/>
            <w:tcBorders>
              <w:top w:val="nil"/>
              <w:left w:val="nil"/>
              <w:bottom w:val="single" w:sz="4" w:space="0" w:color="auto"/>
              <w:right w:val="single" w:sz="4" w:space="0" w:color="auto"/>
            </w:tcBorders>
            <w:shd w:val="clear" w:color="auto" w:fill="auto"/>
            <w:vAlign w:val="center"/>
            <w:hideMark/>
          </w:tcPr>
          <w:p w14:paraId="40526BF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99,5</w:t>
            </w:r>
          </w:p>
        </w:tc>
        <w:tc>
          <w:tcPr>
            <w:tcW w:w="376" w:type="pct"/>
            <w:tcBorders>
              <w:top w:val="nil"/>
              <w:left w:val="nil"/>
              <w:bottom w:val="single" w:sz="4" w:space="0" w:color="auto"/>
              <w:right w:val="single" w:sz="4" w:space="0" w:color="auto"/>
            </w:tcBorders>
            <w:shd w:val="clear" w:color="auto" w:fill="auto"/>
            <w:vAlign w:val="center"/>
            <w:hideMark/>
          </w:tcPr>
          <w:p w14:paraId="3503DD9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99,2</w:t>
            </w:r>
          </w:p>
        </w:tc>
        <w:tc>
          <w:tcPr>
            <w:tcW w:w="328" w:type="pct"/>
            <w:tcBorders>
              <w:top w:val="nil"/>
              <w:left w:val="nil"/>
              <w:bottom w:val="single" w:sz="4" w:space="0" w:color="auto"/>
              <w:right w:val="double" w:sz="4" w:space="0" w:color="auto"/>
            </w:tcBorders>
            <w:shd w:val="clear" w:color="auto" w:fill="auto"/>
            <w:vAlign w:val="center"/>
            <w:hideMark/>
          </w:tcPr>
          <w:p w14:paraId="70587F9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99,9</w:t>
            </w:r>
          </w:p>
        </w:tc>
      </w:tr>
      <w:tr w:rsidR="00FD7B0B" w:rsidRPr="00FD7B0B" w14:paraId="31CBB049" w14:textId="77777777" w:rsidTr="00AF7B0C">
        <w:trPr>
          <w:trHeight w:val="209"/>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7FC89F17"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Минтранс АО</w:t>
            </w:r>
          </w:p>
        </w:tc>
        <w:tc>
          <w:tcPr>
            <w:tcW w:w="507" w:type="pct"/>
            <w:tcBorders>
              <w:top w:val="nil"/>
              <w:left w:val="nil"/>
              <w:bottom w:val="single" w:sz="4" w:space="0" w:color="auto"/>
              <w:right w:val="single" w:sz="4" w:space="0" w:color="auto"/>
            </w:tcBorders>
            <w:shd w:val="clear" w:color="auto" w:fill="auto"/>
            <w:vAlign w:val="center"/>
            <w:hideMark/>
          </w:tcPr>
          <w:p w14:paraId="4E8C35A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924,9</w:t>
            </w:r>
          </w:p>
        </w:tc>
        <w:tc>
          <w:tcPr>
            <w:tcW w:w="386" w:type="pct"/>
            <w:tcBorders>
              <w:top w:val="nil"/>
              <w:left w:val="nil"/>
              <w:bottom w:val="single" w:sz="4" w:space="0" w:color="auto"/>
              <w:right w:val="single" w:sz="4" w:space="0" w:color="auto"/>
            </w:tcBorders>
            <w:shd w:val="clear" w:color="auto" w:fill="auto"/>
            <w:vAlign w:val="center"/>
            <w:hideMark/>
          </w:tcPr>
          <w:p w14:paraId="73F2607D"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134,1</w:t>
            </w:r>
          </w:p>
        </w:tc>
        <w:tc>
          <w:tcPr>
            <w:tcW w:w="452" w:type="pct"/>
            <w:tcBorders>
              <w:top w:val="nil"/>
              <w:left w:val="nil"/>
              <w:bottom w:val="single" w:sz="4" w:space="0" w:color="auto"/>
              <w:right w:val="single" w:sz="4" w:space="0" w:color="auto"/>
            </w:tcBorders>
            <w:shd w:val="clear" w:color="auto" w:fill="auto"/>
            <w:vAlign w:val="center"/>
            <w:hideMark/>
          </w:tcPr>
          <w:p w14:paraId="346C970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790,8</w:t>
            </w:r>
          </w:p>
        </w:tc>
        <w:tc>
          <w:tcPr>
            <w:tcW w:w="474" w:type="pct"/>
            <w:tcBorders>
              <w:top w:val="nil"/>
              <w:left w:val="nil"/>
              <w:bottom w:val="single" w:sz="4" w:space="0" w:color="auto"/>
              <w:right w:val="single" w:sz="4" w:space="0" w:color="auto"/>
            </w:tcBorders>
            <w:shd w:val="clear" w:color="auto" w:fill="auto"/>
            <w:vAlign w:val="center"/>
            <w:hideMark/>
          </w:tcPr>
          <w:p w14:paraId="44EB4FB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916,9</w:t>
            </w:r>
          </w:p>
        </w:tc>
        <w:tc>
          <w:tcPr>
            <w:tcW w:w="387" w:type="pct"/>
            <w:tcBorders>
              <w:top w:val="nil"/>
              <w:left w:val="nil"/>
              <w:bottom w:val="single" w:sz="4" w:space="0" w:color="auto"/>
              <w:right w:val="single" w:sz="4" w:space="0" w:color="auto"/>
            </w:tcBorders>
            <w:shd w:val="clear" w:color="auto" w:fill="auto"/>
            <w:vAlign w:val="center"/>
            <w:hideMark/>
          </w:tcPr>
          <w:p w14:paraId="125F288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133,4</w:t>
            </w:r>
          </w:p>
        </w:tc>
        <w:tc>
          <w:tcPr>
            <w:tcW w:w="378" w:type="pct"/>
            <w:tcBorders>
              <w:top w:val="nil"/>
              <w:left w:val="nil"/>
              <w:bottom w:val="single" w:sz="4" w:space="0" w:color="auto"/>
              <w:right w:val="single" w:sz="4" w:space="0" w:color="auto"/>
            </w:tcBorders>
            <w:shd w:val="clear" w:color="auto" w:fill="auto"/>
            <w:vAlign w:val="center"/>
            <w:hideMark/>
          </w:tcPr>
          <w:p w14:paraId="67A3A51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783,5</w:t>
            </w:r>
          </w:p>
        </w:tc>
        <w:tc>
          <w:tcPr>
            <w:tcW w:w="364" w:type="pct"/>
            <w:tcBorders>
              <w:top w:val="nil"/>
              <w:left w:val="nil"/>
              <w:bottom w:val="single" w:sz="4" w:space="0" w:color="auto"/>
              <w:right w:val="single" w:sz="4" w:space="0" w:color="auto"/>
            </w:tcBorders>
            <w:shd w:val="clear" w:color="auto" w:fill="auto"/>
            <w:vAlign w:val="center"/>
            <w:hideMark/>
          </w:tcPr>
          <w:p w14:paraId="0C00D3C6"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99,1</w:t>
            </w:r>
          </w:p>
        </w:tc>
        <w:tc>
          <w:tcPr>
            <w:tcW w:w="376" w:type="pct"/>
            <w:tcBorders>
              <w:top w:val="nil"/>
              <w:left w:val="nil"/>
              <w:bottom w:val="single" w:sz="4" w:space="0" w:color="auto"/>
              <w:right w:val="single" w:sz="4" w:space="0" w:color="auto"/>
            </w:tcBorders>
            <w:shd w:val="clear" w:color="auto" w:fill="auto"/>
            <w:vAlign w:val="center"/>
            <w:hideMark/>
          </w:tcPr>
          <w:p w14:paraId="16C90ECD"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99,5</w:t>
            </w:r>
          </w:p>
        </w:tc>
        <w:tc>
          <w:tcPr>
            <w:tcW w:w="328" w:type="pct"/>
            <w:tcBorders>
              <w:top w:val="nil"/>
              <w:left w:val="nil"/>
              <w:bottom w:val="single" w:sz="4" w:space="0" w:color="auto"/>
              <w:right w:val="double" w:sz="4" w:space="0" w:color="auto"/>
            </w:tcBorders>
            <w:shd w:val="clear" w:color="auto" w:fill="auto"/>
            <w:vAlign w:val="center"/>
            <w:hideMark/>
          </w:tcPr>
          <w:p w14:paraId="3A4986F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99,1</w:t>
            </w:r>
          </w:p>
        </w:tc>
      </w:tr>
      <w:tr w:rsidR="00FD7B0B" w:rsidRPr="00FD7B0B" w14:paraId="2481C0B7" w14:textId="77777777" w:rsidTr="00AF7B0C">
        <w:trPr>
          <w:trHeight w:val="142"/>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6E36B257"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МинТЭК АО</w:t>
            </w:r>
          </w:p>
        </w:tc>
        <w:tc>
          <w:tcPr>
            <w:tcW w:w="507" w:type="pct"/>
            <w:tcBorders>
              <w:top w:val="nil"/>
              <w:left w:val="nil"/>
              <w:bottom w:val="single" w:sz="4" w:space="0" w:color="auto"/>
              <w:right w:val="single" w:sz="4" w:space="0" w:color="auto"/>
            </w:tcBorders>
            <w:shd w:val="clear" w:color="auto" w:fill="auto"/>
            <w:vAlign w:val="center"/>
            <w:hideMark/>
          </w:tcPr>
          <w:p w14:paraId="43649AE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2805,5</w:t>
            </w:r>
          </w:p>
        </w:tc>
        <w:tc>
          <w:tcPr>
            <w:tcW w:w="386" w:type="pct"/>
            <w:tcBorders>
              <w:top w:val="nil"/>
              <w:left w:val="nil"/>
              <w:bottom w:val="single" w:sz="4" w:space="0" w:color="auto"/>
              <w:right w:val="single" w:sz="4" w:space="0" w:color="auto"/>
            </w:tcBorders>
            <w:shd w:val="clear" w:color="auto" w:fill="auto"/>
            <w:vAlign w:val="center"/>
            <w:hideMark/>
          </w:tcPr>
          <w:p w14:paraId="059888E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759,1</w:t>
            </w:r>
          </w:p>
        </w:tc>
        <w:tc>
          <w:tcPr>
            <w:tcW w:w="452" w:type="pct"/>
            <w:tcBorders>
              <w:top w:val="nil"/>
              <w:left w:val="nil"/>
              <w:bottom w:val="single" w:sz="4" w:space="0" w:color="auto"/>
              <w:right w:val="single" w:sz="4" w:space="0" w:color="auto"/>
            </w:tcBorders>
            <w:shd w:val="clear" w:color="auto" w:fill="auto"/>
            <w:vAlign w:val="center"/>
            <w:hideMark/>
          </w:tcPr>
          <w:p w14:paraId="47C8199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2046,4</w:t>
            </w:r>
          </w:p>
        </w:tc>
        <w:tc>
          <w:tcPr>
            <w:tcW w:w="474" w:type="pct"/>
            <w:tcBorders>
              <w:top w:val="nil"/>
              <w:left w:val="nil"/>
              <w:bottom w:val="single" w:sz="4" w:space="0" w:color="auto"/>
              <w:right w:val="single" w:sz="4" w:space="0" w:color="auto"/>
            </w:tcBorders>
            <w:shd w:val="clear" w:color="auto" w:fill="auto"/>
            <w:vAlign w:val="center"/>
            <w:hideMark/>
          </w:tcPr>
          <w:p w14:paraId="6289DD3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1813,8</w:t>
            </w:r>
          </w:p>
        </w:tc>
        <w:tc>
          <w:tcPr>
            <w:tcW w:w="387" w:type="pct"/>
            <w:tcBorders>
              <w:top w:val="nil"/>
              <w:left w:val="nil"/>
              <w:bottom w:val="single" w:sz="4" w:space="0" w:color="auto"/>
              <w:right w:val="single" w:sz="4" w:space="0" w:color="auto"/>
            </w:tcBorders>
            <w:shd w:val="clear" w:color="auto" w:fill="auto"/>
            <w:vAlign w:val="center"/>
            <w:hideMark/>
          </w:tcPr>
          <w:p w14:paraId="5DF8656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759,1</w:t>
            </w:r>
          </w:p>
        </w:tc>
        <w:tc>
          <w:tcPr>
            <w:tcW w:w="378" w:type="pct"/>
            <w:tcBorders>
              <w:top w:val="nil"/>
              <w:left w:val="nil"/>
              <w:bottom w:val="single" w:sz="4" w:space="0" w:color="auto"/>
              <w:right w:val="single" w:sz="4" w:space="0" w:color="auto"/>
            </w:tcBorders>
            <w:shd w:val="clear" w:color="auto" w:fill="auto"/>
            <w:vAlign w:val="center"/>
            <w:hideMark/>
          </w:tcPr>
          <w:p w14:paraId="1D56821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1054,7</w:t>
            </w:r>
          </w:p>
        </w:tc>
        <w:tc>
          <w:tcPr>
            <w:tcW w:w="364" w:type="pct"/>
            <w:tcBorders>
              <w:top w:val="nil"/>
              <w:left w:val="nil"/>
              <w:bottom w:val="single" w:sz="4" w:space="0" w:color="auto"/>
              <w:right w:val="single" w:sz="4" w:space="0" w:color="auto"/>
            </w:tcBorders>
            <w:shd w:val="clear" w:color="auto" w:fill="auto"/>
            <w:vAlign w:val="center"/>
            <w:hideMark/>
          </w:tcPr>
          <w:p w14:paraId="1AC8D71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64,7</w:t>
            </w:r>
          </w:p>
        </w:tc>
        <w:tc>
          <w:tcPr>
            <w:tcW w:w="376" w:type="pct"/>
            <w:tcBorders>
              <w:top w:val="nil"/>
              <w:left w:val="nil"/>
              <w:bottom w:val="single" w:sz="4" w:space="0" w:color="auto"/>
              <w:right w:val="single" w:sz="4" w:space="0" w:color="auto"/>
            </w:tcBorders>
            <w:shd w:val="clear" w:color="auto" w:fill="auto"/>
            <w:vAlign w:val="center"/>
            <w:hideMark/>
          </w:tcPr>
          <w:p w14:paraId="25F04C1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c>
          <w:tcPr>
            <w:tcW w:w="328" w:type="pct"/>
            <w:tcBorders>
              <w:top w:val="nil"/>
              <w:left w:val="nil"/>
              <w:bottom w:val="single" w:sz="4" w:space="0" w:color="auto"/>
              <w:right w:val="double" w:sz="4" w:space="0" w:color="auto"/>
            </w:tcBorders>
            <w:shd w:val="clear" w:color="auto" w:fill="auto"/>
            <w:vAlign w:val="center"/>
            <w:hideMark/>
          </w:tcPr>
          <w:p w14:paraId="0EA329A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51,5</w:t>
            </w:r>
          </w:p>
        </w:tc>
      </w:tr>
      <w:tr w:rsidR="00FD7B0B" w:rsidRPr="00FD7B0B" w14:paraId="2FA150FE" w14:textId="77777777" w:rsidTr="00AF7B0C">
        <w:trPr>
          <w:trHeight w:val="60"/>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20CAE62D"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Минздрав АО</w:t>
            </w:r>
          </w:p>
        </w:tc>
        <w:tc>
          <w:tcPr>
            <w:tcW w:w="507" w:type="pct"/>
            <w:tcBorders>
              <w:top w:val="nil"/>
              <w:left w:val="nil"/>
              <w:bottom w:val="single" w:sz="4" w:space="0" w:color="auto"/>
              <w:right w:val="single" w:sz="4" w:space="0" w:color="auto"/>
            </w:tcBorders>
            <w:shd w:val="clear" w:color="auto" w:fill="auto"/>
            <w:vAlign w:val="center"/>
            <w:hideMark/>
          </w:tcPr>
          <w:p w14:paraId="22ED20F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244</w:t>
            </w:r>
          </w:p>
        </w:tc>
        <w:tc>
          <w:tcPr>
            <w:tcW w:w="386" w:type="pct"/>
            <w:tcBorders>
              <w:top w:val="nil"/>
              <w:left w:val="nil"/>
              <w:bottom w:val="single" w:sz="4" w:space="0" w:color="auto"/>
              <w:right w:val="single" w:sz="4" w:space="0" w:color="auto"/>
            </w:tcBorders>
            <w:shd w:val="clear" w:color="auto" w:fill="auto"/>
            <w:vAlign w:val="center"/>
            <w:hideMark/>
          </w:tcPr>
          <w:p w14:paraId="7E159A29"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190</w:t>
            </w:r>
          </w:p>
        </w:tc>
        <w:tc>
          <w:tcPr>
            <w:tcW w:w="452" w:type="pct"/>
            <w:tcBorders>
              <w:top w:val="nil"/>
              <w:left w:val="nil"/>
              <w:bottom w:val="single" w:sz="4" w:space="0" w:color="auto"/>
              <w:right w:val="single" w:sz="4" w:space="0" w:color="auto"/>
            </w:tcBorders>
            <w:shd w:val="clear" w:color="auto" w:fill="auto"/>
            <w:vAlign w:val="center"/>
            <w:hideMark/>
          </w:tcPr>
          <w:p w14:paraId="1DC8043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54</w:t>
            </w:r>
          </w:p>
        </w:tc>
        <w:tc>
          <w:tcPr>
            <w:tcW w:w="474" w:type="pct"/>
            <w:tcBorders>
              <w:top w:val="nil"/>
              <w:left w:val="nil"/>
              <w:bottom w:val="single" w:sz="4" w:space="0" w:color="auto"/>
              <w:right w:val="single" w:sz="4" w:space="0" w:color="auto"/>
            </w:tcBorders>
            <w:shd w:val="clear" w:color="auto" w:fill="auto"/>
            <w:vAlign w:val="center"/>
            <w:hideMark/>
          </w:tcPr>
          <w:p w14:paraId="1D568C6C"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243,1</w:t>
            </w:r>
          </w:p>
        </w:tc>
        <w:tc>
          <w:tcPr>
            <w:tcW w:w="387" w:type="pct"/>
            <w:tcBorders>
              <w:top w:val="nil"/>
              <w:left w:val="nil"/>
              <w:bottom w:val="single" w:sz="4" w:space="0" w:color="auto"/>
              <w:right w:val="single" w:sz="4" w:space="0" w:color="auto"/>
            </w:tcBorders>
            <w:shd w:val="clear" w:color="auto" w:fill="auto"/>
            <w:vAlign w:val="center"/>
            <w:hideMark/>
          </w:tcPr>
          <w:p w14:paraId="1C55C7E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190</w:t>
            </w:r>
          </w:p>
        </w:tc>
        <w:tc>
          <w:tcPr>
            <w:tcW w:w="378" w:type="pct"/>
            <w:tcBorders>
              <w:top w:val="nil"/>
              <w:left w:val="nil"/>
              <w:bottom w:val="single" w:sz="4" w:space="0" w:color="auto"/>
              <w:right w:val="single" w:sz="4" w:space="0" w:color="auto"/>
            </w:tcBorders>
            <w:shd w:val="clear" w:color="auto" w:fill="auto"/>
            <w:vAlign w:val="center"/>
            <w:hideMark/>
          </w:tcPr>
          <w:p w14:paraId="21E3ADE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53,1</w:t>
            </w:r>
          </w:p>
        </w:tc>
        <w:tc>
          <w:tcPr>
            <w:tcW w:w="364" w:type="pct"/>
            <w:tcBorders>
              <w:top w:val="nil"/>
              <w:left w:val="nil"/>
              <w:bottom w:val="single" w:sz="4" w:space="0" w:color="auto"/>
              <w:right w:val="single" w:sz="4" w:space="0" w:color="auto"/>
            </w:tcBorders>
            <w:shd w:val="clear" w:color="auto" w:fill="auto"/>
            <w:vAlign w:val="center"/>
            <w:hideMark/>
          </w:tcPr>
          <w:p w14:paraId="3692885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99,6</w:t>
            </w:r>
          </w:p>
        </w:tc>
        <w:tc>
          <w:tcPr>
            <w:tcW w:w="376" w:type="pct"/>
            <w:tcBorders>
              <w:top w:val="nil"/>
              <w:left w:val="nil"/>
              <w:bottom w:val="single" w:sz="4" w:space="0" w:color="auto"/>
              <w:right w:val="single" w:sz="4" w:space="0" w:color="auto"/>
            </w:tcBorders>
            <w:shd w:val="clear" w:color="auto" w:fill="auto"/>
            <w:vAlign w:val="center"/>
            <w:hideMark/>
          </w:tcPr>
          <w:p w14:paraId="2E84AE19"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c>
          <w:tcPr>
            <w:tcW w:w="328" w:type="pct"/>
            <w:tcBorders>
              <w:top w:val="nil"/>
              <w:left w:val="nil"/>
              <w:bottom w:val="single" w:sz="4" w:space="0" w:color="auto"/>
              <w:right w:val="double" w:sz="4" w:space="0" w:color="auto"/>
            </w:tcBorders>
            <w:shd w:val="clear" w:color="auto" w:fill="auto"/>
            <w:vAlign w:val="center"/>
            <w:hideMark/>
          </w:tcPr>
          <w:p w14:paraId="3317B5AC"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98,3</w:t>
            </w:r>
          </w:p>
        </w:tc>
      </w:tr>
      <w:tr w:rsidR="00FD7B0B" w:rsidRPr="00FD7B0B" w14:paraId="6EFA1E2E" w14:textId="77777777" w:rsidTr="00AF7B0C">
        <w:trPr>
          <w:trHeight w:val="120"/>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5AACDB04"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Минспорт АО</w:t>
            </w:r>
          </w:p>
        </w:tc>
        <w:tc>
          <w:tcPr>
            <w:tcW w:w="507" w:type="pct"/>
            <w:tcBorders>
              <w:top w:val="nil"/>
              <w:left w:val="nil"/>
              <w:bottom w:val="single" w:sz="4" w:space="0" w:color="auto"/>
              <w:right w:val="single" w:sz="4" w:space="0" w:color="auto"/>
            </w:tcBorders>
            <w:shd w:val="clear" w:color="auto" w:fill="auto"/>
            <w:vAlign w:val="center"/>
            <w:hideMark/>
          </w:tcPr>
          <w:p w14:paraId="345B11E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0,8</w:t>
            </w:r>
          </w:p>
        </w:tc>
        <w:tc>
          <w:tcPr>
            <w:tcW w:w="386" w:type="pct"/>
            <w:tcBorders>
              <w:top w:val="nil"/>
              <w:left w:val="nil"/>
              <w:bottom w:val="single" w:sz="4" w:space="0" w:color="auto"/>
              <w:right w:val="single" w:sz="4" w:space="0" w:color="auto"/>
            </w:tcBorders>
            <w:shd w:val="clear" w:color="auto" w:fill="auto"/>
            <w:vAlign w:val="center"/>
            <w:hideMark/>
          </w:tcPr>
          <w:p w14:paraId="24C9AE0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452" w:type="pct"/>
            <w:tcBorders>
              <w:top w:val="nil"/>
              <w:left w:val="nil"/>
              <w:bottom w:val="single" w:sz="4" w:space="0" w:color="auto"/>
              <w:right w:val="single" w:sz="4" w:space="0" w:color="auto"/>
            </w:tcBorders>
            <w:shd w:val="clear" w:color="auto" w:fill="auto"/>
            <w:vAlign w:val="center"/>
            <w:hideMark/>
          </w:tcPr>
          <w:p w14:paraId="6825C20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0,8</w:t>
            </w:r>
          </w:p>
        </w:tc>
        <w:tc>
          <w:tcPr>
            <w:tcW w:w="474" w:type="pct"/>
            <w:tcBorders>
              <w:top w:val="nil"/>
              <w:left w:val="nil"/>
              <w:bottom w:val="single" w:sz="4" w:space="0" w:color="auto"/>
              <w:right w:val="single" w:sz="4" w:space="0" w:color="auto"/>
            </w:tcBorders>
            <w:shd w:val="clear" w:color="auto" w:fill="auto"/>
            <w:vAlign w:val="center"/>
            <w:hideMark/>
          </w:tcPr>
          <w:p w14:paraId="0B91093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0,8</w:t>
            </w:r>
          </w:p>
        </w:tc>
        <w:tc>
          <w:tcPr>
            <w:tcW w:w="387" w:type="pct"/>
            <w:tcBorders>
              <w:top w:val="nil"/>
              <w:left w:val="nil"/>
              <w:bottom w:val="single" w:sz="4" w:space="0" w:color="auto"/>
              <w:right w:val="single" w:sz="4" w:space="0" w:color="auto"/>
            </w:tcBorders>
            <w:shd w:val="clear" w:color="auto" w:fill="auto"/>
            <w:vAlign w:val="center"/>
            <w:hideMark/>
          </w:tcPr>
          <w:p w14:paraId="561C57A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378" w:type="pct"/>
            <w:tcBorders>
              <w:top w:val="nil"/>
              <w:left w:val="nil"/>
              <w:bottom w:val="single" w:sz="4" w:space="0" w:color="auto"/>
              <w:right w:val="single" w:sz="4" w:space="0" w:color="auto"/>
            </w:tcBorders>
            <w:shd w:val="clear" w:color="auto" w:fill="auto"/>
            <w:vAlign w:val="center"/>
            <w:hideMark/>
          </w:tcPr>
          <w:p w14:paraId="185C84F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0,8</w:t>
            </w:r>
          </w:p>
        </w:tc>
        <w:tc>
          <w:tcPr>
            <w:tcW w:w="364" w:type="pct"/>
            <w:tcBorders>
              <w:top w:val="nil"/>
              <w:left w:val="nil"/>
              <w:bottom w:val="single" w:sz="4" w:space="0" w:color="auto"/>
              <w:right w:val="single" w:sz="4" w:space="0" w:color="auto"/>
            </w:tcBorders>
            <w:shd w:val="clear" w:color="auto" w:fill="auto"/>
            <w:vAlign w:val="center"/>
            <w:hideMark/>
          </w:tcPr>
          <w:p w14:paraId="306651B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c>
          <w:tcPr>
            <w:tcW w:w="376" w:type="pct"/>
            <w:tcBorders>
              <w:top w:val="nil"/>
              <w:left w:val="nil"/>
              <w:bottom w:val="single" w:sz="4" w:space="0" w:color="auto"/>
              <w:right w:val="single" w:sz="4" w:space="0" w:color="auto"/>
            </w:tcBorders>
            <w:shd w:val="clear" w:color="auto" w:fill="auto"/>
            <w:vAlign w:val="center"/>
            <w:hideMark/>
          </w:tcPr>
          <w:p w14:paraId="60590290"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w:t>
            </w:r>
          </w:p>
        </w:tc>
        <w:tc>
          <w:tcPr>
            <w:tcW w:w="328" w:type="pct"/>
            <w:tcBorders>
              <w:top w:val="nil"/>
              <w:left w:val="nil"/>
              <w:bottom w:val="single" w:sz="4" w:space="0" w:color="auto"/>
              <w:right w:val="double" w:sz="4" w:space="0" w:color="auto"/>
            </w:tcBorders>
            <w:shd w:val="clear" w:color="auto" w:fill="auto"/>
            <w:vAlign w:val="center"/>
            <w:hideMark/>
          </w:tcPr>
          <w:p w14:paraId="51C4338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r>
      <w:tr w:rsidR="00FD7B0B" w:rsidRPr="00FD7B0B" w14:paraId="1801ACD0" w14:textId="77777777" w:rsidTr="00AF7B0C">
        <w:trPr>
          <w:trHeight w:val="194"/>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0C64BDE1"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Минприроды АО</w:t>
            </w:r>
          </w:p>
        </w:tc>
        <w:tc>
          <w:tcPr>
            <w:tcW w:w="507" w:type="pct"/>
            <w:tcBorders>
              <w:top w:val="nil"/>
              <w:left w:val="nil"/>
              <w:bottom w:val="single" w:sz="4" w:space="0" w:color="auto"/>
              <w:right w:val="single" w:sz="4" w:space="0" w:color="auto"/>
            </w:tcBorders>
            <w:shd w:val="clear" w:color="auto" w:fill="auto"/>
            <w:vAlign w:val="center"/>
            <w:hideMark/>
          </w:tcPr>
          <w:p w14:paraId="0FD51B4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23,4</w:t>
            </w:r>
          </w:p>
        </w:tc>
        <w:tc>
          <w:tcPr>
            <w:tcW w:w="386" w:type="pct"/>
            <w:tcBorders>
              <w:top w:val="nil"/>
              <w:left w:val="nil"/>
              <w:bottom w:val="single" w:sz="4" w:space="0" w:color="auto"/>
              <w:right w:val="single" w:sz="4" w:space="0" w:color="auto"/>
            </w:tcBorders>
            <w:shd w:val="clear" w:color="auto" w:fill="auto"/>
            <w:vAlign w:val="center"/>
            <w:hideMark/>
          </w:tcPr>
          <w:p w14:paraId="7D83877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452" w:type="pct"/>
            <w:tcBorders>
              <w:top w:val="nil"/>
              <w:left w:val="nil"/>
              <w:bottom w:val="single" w:sz="4" w:space="0" w:color="auto"/>
              <w:right w:val="single" w:sz="4" w:space="0" w:color="auto"/>
            </w:tcBorders>
            <w:shd w:val="clear" w:color="auto" w:fill="auto"/>
            <w:vAlign w:val="center"/>
            <w:hideMark/>
          </w:tcPr>
          <w:p w14:paraId="39F1E8C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23,4</w:t>
            </w:r>
          </w:p>
        </w:tc>
        <w:tc>
          <w:tcPr>
            <w:tcW w:w="474" w:type="pct"/>
            <w:tcBorders>
              <w:top w:val="nil"/>
              <w:left w:val="nil"/>
              <w:bottom w:val="single" w:sz="4" w:space="0" w:color="auto"/>
              <w:right w:val="single" w:sz="4" w:space="0" w:color="auto"/>
            </w:tcBorders>
            <w:shd w:val="clear" w:color="auto" w:fill="auto"/>
            <w:vAlign w:val="center"/>
            <w:hideMark/>
          </w:tcPr>
          <w:p w14:paraId="107C0BD0"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23,4</w:t>
            </w:r>
          </w:p>
        </w:tc>
        <w:tc>
          <w:tcPr>
            <w:tcW w:w="387" w:type="pct"/>
            <w:tcBorders>
              <w:top w:val="nil"/>
              <w:left w:val="nil"/>
              <w:bottom w:val="single" w:sz="4" w:space="0" w:color="auto"/>
              <w:right w:val="single" w:sz="4" w:space="0" w:color="auto"/>
            </w:tcBorders>
            <w:shd w:val="clear" w:color="auto" w:fill="auto"/>
            <w:vAlign w:val="center"/>
            <w:hideMark/>
          </w:tcPr>
          <w:p w14:paraId="01DDE529"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378" w:type="pct"/>
            <w:tcBorders>
              <w:top w:val="nil"/>
              <w:left w:val="nil"/>
              <w:bottom w:val="single" w:sz="4" w:space="0" w:color="auto"/>
              <w:right w:val="single" w:sz="4" w:space="0" w:color="auto"/>
            </w:tcBorders>
            <w:shd w:val="clear" w:color="auto" w:fill="auto"/>
            <w:vAlign w:val="center"/>
            <w:hideMark/>
          </w:tcPr>
          <w:p w14:paraId="38AD0B0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23,4</w:t>
            </w:r>
          </w:p>
        </w:tc>
        <w:tc>
          <w:tcPr>
            <w:tcW w:w="364" w:type="pct"/>
            <w:tcBorders>
              <w:top w:val="nil"/>
              <w:left w:val="nil"/>
              <w:bottom w:val="single" w:sz="4" w:space="0" w:color="auto"/>
              <w:right w:val="single" w:sz="4" w:space="0" w:color="auto"/>
            </w:tcBorders>
            <w:shd w:val="clear" w:color="auto" w:fill="auto"/>
            <w:vAlign w:val="center"/>
            <w:hideMark/>
          </w:tcPr>
          <w:p w14:paraId="618C905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c>
          <w:tcPr>
            <w:tcW w:w="376" w:type="pct"/>
            <w:tcBorders>
              <w:top w:val="nil"/>
              <w:left w:val="nil"/>
              <w:bottom w:val="single" w:sz="4" w:space="0" w:color="auto"/>
              <w:right w:val="single" w:sz="4" w:space="0" w:color="auto"/>
            </w:tcBorders>
            <w:shd w:val="clear" w:color="auto" w:fill="auto"/>
            <w:vAlign w:val="center"/>
            <w:hideMark/>
          </w:tcPr>
          <w:p w14:paraId="688A3C0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w:t>
            </w:r>
          </w:p>
        </w:tc>
        <w:tc>
          <w:tcPr>
            <w:tcW w:w="328" w:type="pct"/>
            <w:tcBorders>
              <w:top w:val="nil"/>
              <w:left w:val="nil"/>
              <w:bottom w:val="single" w:sz="4" w:space="0" w:color="auto"/>
              <w:right w:val="double" w:sz="4" w:space="0" w:color="auto"/>
            </w:tcBorders>
            <w:shd w:val="clear" w:color="auto" w:fill="auto"/>
            <w:vAlign w:val="center"/>
            <w:hideMark/>
          </w:tcPr>
          <w:p w14:paraId="1A2EFF3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r>
      <w:tr w:rsidR="00FD7B0B" w:rsidRPr="00FD7B0B" w14:paraId="39162360" w14:textId="77777777" w:rsidTr="00AF7B0C">
        <w:trPr>
          <w:trHeight w:val="112"/>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134F5426"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Минтруд АО</w:t>
            </w:r>
          </w:p>
        </w:tc>
        <w:tc>
          <w:tcPr>
            <w:tcW w:w="507" w:type="pct"/>
            <w:tcBorders>
              <w:top w:val="nil"/>
              <w:left w:val="nil"/>
              <w:bottom w:val="single" w:sz="4" w:space="0" w:color="auto"/>
              <w:right w:val="single" w:sz="4" w:space="0" w:color="auto"/>
            </w:tcBorders>
            <w:shd w:val="clear" w:color="auto" w:fill="auto"/>
            <w:vAlign w:val="center"/>
            <w:hideMark/>
          </w:tcPr>
          <w:p w14:paraId="655BEC3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41,5</w:t>
            </w:r>
          </w:p>
        </w:tc>
        <w:tc>
          <w:tcPr>
            <w:tcW w:w="386" w:type="pct"/>
            <w:tcBorders>
              <w:top w:val="nil"/>
              <w:left w:val="nil"/>
              <w:bottom w:val="single" w:sz="4" w:space="0" w:color="auto"/>
              <w:right w:val="single" w:sz="4" w:space="0" w:color="auto"/>
            </w:tcBorders>
            <w:shd w:val="clear" w:color="auto" w:fill="auto"/>
            <w:vAlign w:val="center"/>
            <w:hideMark/>
          </w:tcPr>
          <w:p w14:paraId="12815BC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452" w:type="pct"/>
            <w:tcBorders>
              <w:top w:val="nil"/>
              <w:left w:val="nil"/>
              <w:bottom w:val="single" w:sz="4" w:space="0" w:color="auto"/>
              <w:right w:val="single" w:sz="4" w:space="0" w:color="auto"/>
            </w:tcBorders>
            <w:shd w:val="clear" w:color="auto" w:fill="auto"/>
            <w:vAlign w:val="center"/>
            <w:hideMark/>
          </w:tcPr>
          <w:p w14:paraId="07AB002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41,5</w:t>
            </w:r>
          </w:p>
        </w:tc>
        <w:tc>
          <w:tcPr>
            <w:tcW w:w="474" w:type="pct"/>
            <w:tcBorders>
              <w:top w:val="nil"/>
              <w:left w:val="nil"/>
              <w:bottom w:val="single" w:sz="4" w:space="0" w:color="auto"/>
              <w:right w:val="single" w:sz="4" w:space="0" w:color="auto"/>
            </w:tcBorders>
            <w:shd w:val="clear" w:color="auto" w:fill="auto"/>
            <w:vAlign w:val="center"/>
            <w:hideMark/>
          </w:tcPr>
          <w:p w14:paraId="463141E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41,5</w:t>
            </w:r>
          </w:p>
        </w:tc>
        <w:tc>
          <w:tcPr>
            <w:tcW w:w="387" w:type="pct"/>
            <w:tcBorders>
              <w:top w:val="nil"/>
              <w:left w:val="nil"/>
              <w:bottom w:val="single" w:sz="4" w:space="0" w:color="auto"/>
              <w:right w:val="single" w:sz="4" w:space="0" w:color="auto"/>
            </w:tcBorders>
            <w:shd w:val="clear" w:color="auto" w:fill="auto"/>
            <w:vAlign w:val="center"/>
            <w:hideMark/>
          </w:tcPr>
          <w:p w14:paraId="6ABA89D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378" w:type="pct"/>
            <w:tcBorders>
              <w:top w:val="nil"/>
              <w:left w:val="nil"/>
              <w:bottom w:val="single" w:sz="4" w:space="0" w:color="auto"/>
              <w:right w:val="single" w:sz="4" w:space="0" w:color="auto"/>
            </w:tcBorders>
            <w:shd w:val="clear" w:color="auto" w:fill="auto"/>
            <w:vAlign w:val="center"/>
            <w:hideMark/>
          </w:tcPr>
          <w:p w14:paraId="1147FE0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41,5</w:t>
            </w:r>
          </w:p>
        </w:tc>
        <w:tc>
          <w:tcPr>
            <w:tcW w:w="364" w:type="pct"/>
            <w:tcBorders>
              <w:top w:val="nil"/>
              <w:left w:val="nil"/>
              <w:bottom w:val="single" w:sz="4" w:space="0" w:color="auto"/>
              <w:right w:val="single" w:sz="4" w:space="0" w:color="auto"/>
            </w:tcBorders>
            <w:shd w:val="clear" w:color="auto" w:fill="auto"/>
            <w:vAlign w:val="center"/>
            <w:hideMark/>
          </w:tcPr>
          <w:p w14:paraId="11E8964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c>
          <w:tcPr>
            <w:tcW w:w="376" w:type="pct"/>
            <w:tcBorders>
              <w:top w:val="nil"/>
              <w:left w:val="nil"/>
              <w:bottom w:val="single" w:sz="4" w:space="0" w:color="auto"/>
              <w:right w:val="single" w:sz="4" w:space="0" w:color="auto"/>
            </w:tcBorders>
            <w:shd w:val="clear" w:color="auto" w:fill="auto"/>
            <w:vAlign w:val="center"/>
            <w:hideMark/>
          </w:tcPr>
          <w:p w14:paraId="22DAE05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w:t>
            </w:r>
          </w:p>
        </w:tc>
        <w:tc>
          <w:tcPr>
            <w:tcW w:w="328" w:type="pct"/>
            <w:tcBorders>
              <w:top w:val="nil"/>
              <w:left w:val="nil"/>
              <w:bottom w:val="single" w:sz="4" w:space="0" w:color="auto"/>
              <w:right w:val="double" w:sz="4" w:space="0" w:color="auto"/>
            </w:tcBorders>
            <w:shd w:val="clear" w:color="auto" w:fill="auto"/>
            <w:vAlign w:val="center"/>
            <w:hideMark/>
          </w:tcPr>
          <w:p w14:paraId="41DC3CD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r>
      <w:tr w:rsidR="00FD7B0B" w:rsidRPr="00FD7B0B" w14:paraId="5231899B" w14:textId="77777777" w:rsidTr="00AF7B0C">
        <w:trPr>
          <w:trHeight w:val="300"/>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2157E09C"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Администрация Губернатора и Правительства</w:t>
            </w:r>
          </w:p>
        </w:tc>
        <w:tc>
          <w:tcPr>
            <w:tcW w:w="507" w:type="pct"/>
            <w:tcBorders>
              <w:top w:val="nil"/>
              <w:left w:val="nil"/>
              <w:bottom w:val="single" w:sz="4" w:space="0" w:color="auto"/>
              <w:right w:val="single" w:sz="4" w:space="0" w:color="auto"/>
            </w:tcBorders>
            <w:shd w:val="clear" w:color="auto" w:fill="auto"/>
            <w:vAlign w:val="center"/>
            <w:hideMark/>
          </w:tcPr>
          <w:p w14:paraId="4350862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110,8</w:t>
            </w:r>
          </w:p>
        </w:tc>
        <w:tc>
          <w:tcPr>
            <w:tcW w:w="386" w:type="pct"/>
            <w:tcBorders>
              <w:top w:val="nil"/>
              <w:left w:val="nil"/>
              <w:bottom w:val="single" w:sz="4" w:space="0" w:color="auto"/>
              <w:right w:val="single" w:sz="4" w:space="0" w:color="auto"/>
            </w:tcBorders>
            <w:shd w:val="clear" w:color="auto" w:fill="auto"/>
            <w:vAlign w:val="center"/>
            <w:hideMark/>
          </w:tcPr>
          <w:p w14:paraId="0336887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452" w:type="pct"/>
            <w:tcBorders>
              <w:top w:val="nil"/>
              <w:left w:val="nil"/>
              <w:bottom w:val="single" w:sz="4" w:space="0" w:color="auto"/>
              <w:right w:val="single" w:sz="4" w:space="0" w:color="auto"/>
            </w:tcBorders>
            <w:shd w:val="clear" w:color="auto" w:fill="auto"/>
            <w:vAlign w:val="center"/>
            <w:hideMark/>
          </w:tcPr>
          <w:p w14:paraId="5E1D127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110,8</w:t>
            </w:r>
          </w:p>
        </w:tc>
        <w:tc>
          <w:tcPr>
            <w:tcW w:w="474" w:type="pct"/>
            <w:tcBorders>
              <w:top w:val="nil"/>
              <w:left w:val="nil"/>
              <w:bottom w:val="single" w:sz="4" w:space="0" w:color="auto"/>
              <w:right w:val="single" w:sz="4" w:space="0" w:color="auto"/>
            </w:tcBorders>
            <w:shd w:val="clear" w:color="auto" w:fill="auto"/>
            <w:vAlign w:val="center"/>
            <w:hideMark/>
          </w:tcPr>
          <w:p w14:paraId="1C5A610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109,5</w:t>
            </w:r>
          </w:p>
        </w:tc>
        <w:tc>
          <w:tcPr>
            <w:tcW w:w="387" w:type="pct"/>
            <w:tcBorders>
              <w:top w:val="nil"/>
              <w:left w:val="nil"/>
              <w:bottom w:val="single" w:sz="4" w:space="0" w:color="auto"/>
              <w:right w:val="single" w:sz="4" w:space="0" w:color="auto"/>
            </w:tcBorders>
            <w:shd w:val="clear" w:color="auto" w:fill="auto"/>
            <w:vAlign w:val="center"/>
            <w:hideMark/>
          </w:tcPr>
          <w:p w14:paraId="52486B4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378" w:type="pct"/>
            <w:tcBorders>
              <w:top w:val="nil"/>
              <w:left w:val="nil"/>
              <w:bottom w:val="single" w:sz="4" w:space="0" w:color="auto"/>
              <w:right w:val="single" w:sz="4" w:space="0" w:color="auto"/>
            </w:tcBorders>
            <w:shd w:val="clear" w:color="auto" w:fill="auto"/>
            <w:vAlign w:val="center"/>
            <w:hideMark/>
          </w:tcPr>
          <w:p w14:paraId="3F48960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109,5</w:t>
            </w:r>
          </w:p>
        </w:tc>
        <w:tc>
          <w:tcPr>
            <w:tcW w:w="364" w:type="pct"/>
            <w:tcBorders>
              <w:top w:val="nil"/>
              <w:left w:val="nil"/>
              <w:bottom w:val="single" w:sz="4" w:space="0" w:color="auto"/>
              <w:right w:val="single" w:sz="4" w:space="0" w:color="auto"/>
            </w:tcBorders>
            <w:shd w:val="clear" w:color="auto" w:fill="auto"/>
            <w:vAlign w:val="center"/>
            <w:hideMark/>
          </w:tcPr>
          <w:p w14:paraId="5EB0617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98,8</w:t>
            </w:r>
          </w:p>
        </w:tc>
        <w:tc>
          <w:tcPr>
            <w:tcW w:w="376" w:type="pct"/>
            <w:tcBorders>
              <w:top w:val="nil"/>
              <w:left w:val="nil"/>
              <w:bottom w:val="single" w:sz="4" w:space="0" w:color="auto"/>
              <w:right w:val="single" w:sz="4" w:space="0" w:color="auto"/>
            </w:tcBorders>
            <w:shd w:val="clear" w:color="auto" w:fill="auto"/>
            <w:vAlign w:val="center"/>
            <w:hideMark/>
          </w:tcPr>
          <w:p w14:paraId="2F97BA5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w:t>
            </w:r>
          </w:p>
        </w:tc>
        <w:tc>
          <w:tcPr>
            <w:tcW w:w="328" w:type="pct"/>
            <w:tcBorders>
              <w:top w:val="nil"/>
              <w:left w:val="nil"/>
              <w:bottom w:val="single" w:sz="4" w:space="0" w:color="auto"/>
              <w:right w:val="double" w:sz="4" w:space="0" w:color="auto"/>
            </w:tcBorders>
            <w:shd w:val="clear" w:color="auto" w:fill="auto"/>
            <w:vAlign w:val="center"/>
            <w:hideMark/>
          </w:tcPr>
          <w:p w14:paraId="6AD3961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98,8</w:t>
            </w:r>
          </w:p>
        </w:tc>
      </w:tr>
      <w:tr w:rsidR="00FD7B0B" w:rsidRPr="00FD7B0B" w14:paraId="6DF3AC18" w14:textId="77777777" w:rsidTr="00AF7B0C">
        <w:trPr>
          <w:trHeight w:val="177"/>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5178E164"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Минагропром АО</w:t>
            </w:r>
          </w:p>
        </w:tc>
        <w:tc>
          <w:tcPr>
            <w:tcW w:w="507" w:type="pct"/>
            <w:tcBorders>
              <w:top w:val="nil"/>
              <w:left w:val="nil"/>
              <w:bottom w:val="single" w:sz="4" w:space="0" w:color="auto"/>
              <w:right w:val="single" w:sz="4" w:space="0" w:color="auto"/>
            </w:tcBorders>
            <w:shd w:val="clear" w:color="auto" w:fill="auto"/>
            <w:vAlign w:val="center"/>
            <w:hideMark/>
          </w:tcPr>
          <w:p w14:paraId="256B8A4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24,4</w:t>
            </w:r>
          </w:p>
        </w:tc>
        <w:tc>
          <w:tcPr>
            <w:tcW w:w="386" w:type="pct"/>
            <w:tcBorders>
              <w:top w:val="nil"/>
              <w:left w:val="nil"/>
              <w:bottom w:val="single" w:sz="4" w:space="0" w:color="auto"/>
              <w:right w:val="single" w:sz="4" w:space="0" w:color="auto"/>
            </w:tcBorders>
            <w:shd w:val="clear" w:color="auto" w:fill="auto"/>
            <w:vAlign w:val="center"/>
            <w:hideMark/>
          </w:tcPr>
          <w:p w14:paraId="29A399A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23,9</w:t>
            </w:r>
          </w:p>
        </w:tc>
        <w:tc>
          <w:tcPr>
            <w:tcW w:w="452" w:type="pct"/>
            <w:tcBorders>
              <w:top w:val="nil"/>
              <w:left w:val="nil"/>
              <w:bottom w:val="single" w:sz="4" w:space="0" w:color="auto"/>
              <w:right w:val="single" w:sz="4" w:space="0" w:color="auto"/>
            </w:tcBorders>
            <w:shd w:val="clear" w:color="auto" w:fill="auto"/>
            <w:vAlign w:val="center"/>
            <w:hideMark/>
          </w:tcPr>
          <w:p w14:paraId="044B9FA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0,5</w:t>
            </w:r>
          </w:p>
        </w:tc>
        <w:tc>
          <w:tcPr>
            <w:tcW w:w="474" w:type="pct"/>
            <w:tcBorders>
              <w:top w:val="nil"/>
              <w:left w:val="nil"/>
              <w:bottom w:val="single" w:sz="4" w:space="0" w:color="auto"/>
              <w:right w:val="single" w:sz="4" w:space="0" w:color="auto"/>
            </w:tcBorders>
            <w:shd w:val="clear" w:color="auto" w:fill="auto"/>
            <w:vAlign w:val="center"/>
            <w:hideMark/>
          </w:tcPr>
          <w:p w14:paraId="64386B4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24,4</w:t>
            </w:r>
          </w:p>
        </w:tc>
        <w:tc>
          <w:tcPr>
            <w:tcW w:w="387" w:type="pct"/>
            <w:tcBorders>
              <w:top w:val="nil"/>
              <w:left w:val="nil"/>
              <w:bottom w:val="single" w:sz="4" w:space="0" w:color="auto"/>
              <w:right w:val="single" w:sz="4" w:space="0" w:color="auto"/>
            </w:tcBorders>
            <w:shd w:val="clear" w:color="auto" w:fill="auto"/>
            <w:vAlign w:val="center"/>
            <w:hideMark/>
          </w:tcPr>
          <w:p w14:paraId="6379A4E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23,9</w:t>
            </w:r>
          </w:p>
        </w:tc>
        <w:tc>
          <w:tcPr>
            <w:tcW w:w="378" w:type="pct"/>
            <w:tcBorders>
              <w:top w:val="nil"/>
              <w:left w:val="nil"/>
              <w:bottom w:val="single" w:sz="4" w:space="0" w:color="auto"/>
              <w:right w:val="single" w:sz="4" w:space="0" w:color="auto"/>
            </w:tcBorders>
            <w:shd w:val="clear" w:color="auto" w:fill="auto"/>
            <w:vAlign w:val="center"/>
            <w:hideMark/>
          </w:tcPr>
          <w:p w14:paraId="4CB7ADF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0,5</w:t>
            </w:r>
          </w:p>
        </w:tc>
        <w:tc>
          <w:tcPr>
            <w:tcW w:w="364" w:type="pct"/>
            <w:tcBorders>
              <w:top w:val="nil"/>
              <w:left w:val="nil"/>
              <w:bottom w:val="single" w:sz="4" w:space="0" w:color="auto"/>
              <w:right w:val="single" w:sz="4" w:space="0" w:color="auto"/>
            </w:tcBorders>
            <w:shd w:val="clear" w:color="auto" w:fill="auto"/>
            <w:vAlign w:val="center"/>
            <w:hideMark/>
          </w:tcPr>
          <w:p w14:paraId="3D99051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c>
          <w:tcPr>
            <w:tcW w:w="376" w:type="pct"/>
            <w:tcBorders>
              <w:top w:val="nil"/>
              <w:left w:val="nil"/>
              <w:bottom w:val="single" w:sz="4" w:space="0" w:color="auto"/>
              <w:right w:val="single" w:sz="4" w:space="0" w:color="auto"/>
            </w:tcBorders>
            <w:shd w:val="clear" w:color="auto" w:fill="auto"/>
            <w:vAlign w:val="center"/>
            <w:hideMark/>
          </w:tcPr>
          <w:p w14:paraId="32642316"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c>
          <w:tcPr>
            <w:tcW w:w="328" w:type="pct"/>
            <w:tcBorders>
              <w:top w:val="nil"/>
              <w:left w:val="nil"/>
              <w:bottom w:val="single" w:sz="4" w:space="0" w:color="auto"/>
              <w:right w:val="double" w:sz="4" w:space="0" w:color="auto"/>
            </w:tcBorders>
            <w:shd w:val="clear" w:color="auto" w:fill="auto"/>
            <w:vAlign w:val="center"/>
            <w:hideMark/>
          </w:tcPr>
          <w:p w14:paraId="46A2C88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r>
      <w:tr w:rsidR="00FD7B0B" w:rsidRPr="00FD7B0B" w14:paraId="3C0D518F" w14:textId="77777777" w:rsidTr="00AF7B0C">
        <w:trPr>
          <w:trHeight w:val="110"/>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381E18BE"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АГПСГЗ</w:t>
            </w:r>
          </w:p>
        </w:tc>
        <w:tc>
          <w:tcPr>
            <w:tcW w:w="507" w:type="pct"/>
            <w:tcBorders>
              <w:top w:val="nil"/>
              <w:left w:val="nil"/>
              <w:bottom w:val="single" w:sz="4" w:space="0" w:color="auto"/>
              <w:right w:val="single" w:sz="4" w:space="0" w:color="auto"/>
            </w:tcBorders>
            <w:shd w:val="clear" w:color="auto" w:fill="auto"/>
            <w:vAlign w:val="center"/>
            <w:hideMark/>
          </w:tcPr>
          <w:p w14:paraId="75A80CF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1,2</w:t>
            </w:r>
          </w:p>
        </w:tc>
        <w:tc>
          <w:tcPr>
            <w:tcW w:w="386" w:type="pct"/>
            <w:tcBorders>
              <w:top w:val="nil"/>
              <w:left w:val="nil"/>
              <w:bottom w:val="single" w:sz="4" w:space="0" w:color="auto"/>
              <w:right w:val="single" w:sz="4" w:space="0" w:color="auto"/>
            </w:tcBorders>
            <w:shd w:val="clear" w:color="auto" w:fill="auto"/>
            <w:vAlign w:val="center"/>
            <w:hideMark/>
          </w:tcPr>
          <w:p w14:paraId="4B060E56"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452" w:type="pct"/>
            <w:tcBorders>
              <w:top w:val="nil"/>
              <w:left w:val="nil"/>
              <w:bottom w:val="single" w:sz="4" w:space="0" w:color="auto"/>
              <w:right w:val="single" w:sz="4" w:space="0" w:color="auto"/>
            </w:tcBorders>
            <w:shd w:val="clear" w:color="auto" w:fill="auto"/>
            <w:vAlign w:val="center"/>
            <w:hideMark/>
          </w:tcPr>
          <w:p w14:paraId="4260D27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1,2</w:t>
            </w:r>
          </w:p>
        </w:tc>
        <w:tc>
          <w:tcPr>
            <w:tcW w:w="474" w:type="pct"/>
            <w:tcBorders>
              <w:top w:val="nil"/>
              <w:left w:val="nil"/>
              <w:bottom w:val="single" w:sz="4" w:space="0" w:color="auto"/>
              <w:right w:val="single" w:sz="4" w:space="0" w:color="auto"/>
            </w:tcBorders>
            <w:shd w:val="clear" w:color="auto" w:fill="auto"/>
            <w:vAlign w:val="center"/>
            <w:hideMark/>
          </w:tcPr>
          <w:p w14:paraId="17779F5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1,2</w:t>
            </w:r>
          </w:p>
        </w:tc>
        <w:tc>
          <w:tcPr>
            <w:tcW w:w="387" w:type="pct"/>
            <w:tcBorders>
              <w:top w:val="nil"/>
              <w:left w:val="nil"/>
              <w:bottom w:val="single" w:sz="4" w:space="0" w:color="auto"/>
              <w:right w:val="single" w:sz="4" w:space="0" w:color="auto"/>
            </w:tcBorders>
            <w:shd w:val="clear" w:color="auto" w:fill="auto"/>
            <w:vAlign w:val="center"/>
            <w:hideMark/>
          </w:tcPr>
          <w:p w14:paraId="63287A3C"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378" w:type="pct"/>
            <w:tcBorders>
              <w:top w:val="nil"/>
              <w:left w:val="nil"/>
              <w:bottom w:val="single" w:sz="4" w:space="0" w:color="auto"/>
              <w:right w:val="single" w:sz="4" w:space="0" w:color="auto"/>
            </w:tcBorders>
            <w:shd w:val="clear" w:color="auto" w:fill="auto"/>
            <w:vAlign w:val="center"/>
            <w:hideMark/>
          </w:tcPr>
          <w:p w14:paraId="22E6416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1,2</w:t>
            </w:r>
          </w:p>
        </w:tc>
        <w:tc>
          <w:tcPr>
            <w:tcW w:w="364" w:type="pct"/>
            <w:tcBorders>
              <w:top w:val="nil"/>
              <w:left w:val="nil"/>
              <w:bottom w:val="single" w:sz="4" w:space="0" w:color="auto"/>
              <w:right w:val="single" w:sz="4" w:space="0" w:color="auto"/>
            </w:tcBorders>
            <w:shd w:val="clear" w:color="auto" w:fill="auto"/>
            <w:vAlign w:val="center"/>
            <w:hideMark/>
          </w:tcPr>
          <w:p w14:paraId="76675AE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c>
          <w:tcPr>
            <w:tcW w:w="376" w:type="pct"/>
            <w:tcBorders>
              <w:top w:val="nil"/>
              <w:left w:val="nil"/>
              <w:bottom w:val="single" w:sz="4" w:space="0" w:color="auto"/>
              <w:right w:val="single" w:sz="4" w:space="0" w:color="auto"/>
            </w:tcBorders>
            <w:shd w:val="clear" w:color="auto" w:fill="auto"/>
            <w:vAlign w:val="center"/>
            <w:hideMark/>
          </w:tcPr>
          <w:p w14:paraId="7616B43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w:t>
            </w:r>
          </w:p>
        </w:tc>
        <w:tc>
          <w:tcPr>
            <w:tcW w:w="328" w:type="pct"/>
            <w:tcBorders>
              <w:top w:val="nil"/>
              <w:left w:val="nil"/>
              <w:bottom w:val="single" w:sz="4" w:space="0" w:color="auto"/>
              <w:right w:val="double" w:sz="4" w:space="0" w:color="auto"/>
            </w:tcBorders>
            <w:shd w:val="clear" w:color="auto" w:fill="auto"/>
            <w:vAlign w:val="center"/>
            <w:hideMark/>
          </w:tcPr>
          <w:p w14:paraId="600BB43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r>
      <w:tr w:rsidR="00FD7B0B" w:rsidRPr="00FD7B0B" w14:paraId="369072D9" w14:textId="77777777" w:rsidTr="00AF7B0C">
        <w:trPr>
          <w:trHeight w:val="183"/>
        </w:trPr>
        <w:tc>
          <w:tcPr>
            <w:tcW w:w="1348" w:type="pct"/>
            <w:tcBorders>
              <w:top w:val="nil"/>
              <w:left w:val="double" w:sz="4" w:space="0" w:color="auto"/>
              <w:bottom w:val="single" w:sz="4" w:space="0" w:color="auto"/>
              <w:right w:val="single" w:sz="4" w:space="0" w:color="auto"/>
            </w:tcBorders>
            <w:shd w:val="clear" w:color="auto" w:fill="auto"/>
            <w:vAlign w:val="center"/>
            <w:hideMark/>
          </w:tcPr>
          <w:p w14:paraId="65FEC1E6"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Минсвязи АО</w:t>
            </w:r>
          </w:p>
        </w:tc>
        <w:tc>
          <w:tcPr>
            <w:tcW w:w="507" w:type="pct"/>
            <w:tcBorders>
              <w:top w:val="nil"/>
              <w:left w:val="nil"/>
              <w:bottom w:val="single" w:sz="4" w:space="0" w:color="auto"/>
              <w:right w:val="single" w:sz="4" w:space="0" w:color="auto"/>
            </w:tcBorders>
            <w:shd w:val="clear" w:color="auto" w:fill="auto"/>
            <w:vAlign w:val="center"/>
            <w:hideMark/>
          </w:tcPr>
          <w:p w14:paraId="7961846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w:t>
            </w:r>
          </w:p>
        </w:tc>
        <w:tc>
          <w:tcPr>
            <w:tcW w:w="386" w:type="pct"/>
            <w:tcBorders>
              <w:top w:val="nil"/>
              <w:left w:val="nil"/>
              <w:bottom w:val="single" w:sz="4" w:space="0" w:color="auto"/>
              <w:right w:val="single" w:sz="4" w:space="0" w:color="auto"/>
            </w:tcBorders>
            <w:shd w:val="clear" w:color="auto" w:fill="auto"/>
            <w:vAlign w:val="center"/>
            <w:hideMark/>
          </w:tcPr>
          <w:p w14:paraId="2D22045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452" w:type="pct"/>
            <w:tcBorders>
              <w:top w:val="nil"/>
              <w:left w:val="nil"/>
              <w:bottom w:val="single" w:sz="4" w:space="0" w:color="auto"/>
              <w:right w:val="single" w:sz="4" w:space="0" w:color="auto"/>
            </w:tcBorders>
            <w:shd w:val="clear" w:color="auto" w:fill="auto"/>
            <w:vAlign w:val="center"/>
            <w:hideMark/>
          </w:tcPr>
          <w:p w14:paraId="0D0D670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w:t>
            </w:r>
          </w:p>
        </w:tc>
        <w:tc>
          <w:tcPr>
            <w:tcW w:w="474" w:type="pct"/>
            <w:tcBorders>
              <w:top w:val="nil"/>
              <w:left w:val="nil"/>
              <w:bottom w:val="single" w:sz="4" w:space="0" w:color="auto"/>
              <w:right w:val="single" w:sz="4" w:space="0" w:color="auto"/>
            </w:tcBorders>
            <w:shd w:val="clear" w:color="auto" w:fill="auto"/>
            <w:vAlign w:val="center"/>
            <w:hideMark/>
          </w:tcPr>
          <w:p w14:paraId="5636672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w:t>
            </w:r>
          </w:p>
        </w:tc>
        <w:tc>
          <w:tcPr>
            <w:tcW w:w="387" w:type="pct"/>
            <w:tcBorders>
              <w:top w:val="nil"/>
              <w:left w:val="nil"/>
              <w:bottom w:val="single" w:sz="4" w:space="0" w:color="auto"/>
              <w:right w:val="single" w:sz="4" w:space="0" w:color="auto"/>
            </w:tcBorders>
            <w:shd w:val="clear" w:color="auto" w:fill="auto"/>
            <w:vAlign w:val="center"/>
            <w:hideMark/>
          </w:tcPr>
          <w:p w14:paraId="002168A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0</w:t>
            </w:r>
          </w:p>
        </w:tc>
        <w:tc>
          <w:tcPr>
            <w:tcW w:w="378" w:type="pct"/>
            <w:tcBorders>
              <w:top w:val="nil"/>
              <w:left w:val="nil"/>
              <w:bottom w:val="single" w:sz="4" w:space="0" w:color="auto"/>
              <w:right w:val="single" w:sz="4" w:space="0" w:color="auto"/>
            </w:tcBorders>
            <w:shd w:val="clear" w:color="auto" w:fill="auto"/>
            <w:vAlign w:val="center"/>
            <w:hideMark/>
          </w:tcPr>
          <w:p w14:paraId="1CB82B0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2,1</w:t>
            </w:r>
          </w:p>
        </w:tc>
        <w:tc>
          <w:tcPr>
            <w:tcW w:w="364" w:type="pct"/>
            <w:tcBorders>
              <w:top w:val="nil"/>
              <w:left w:val="nil"/>
              <w:bottom w:val="single" w:sz="4" w:space="0" w:color="auto"/>
              <w:right w:val="single" w:sz="4" w:space="0" w:color="auto"/>
            </w:tcBorders>
            <w:shd w:val="clear" w:color="auto" w:fill="auto"/>
            <w:vAlign w:val="center"/>
            <w:hideMark/>
          </w:tcPr>
          <w:p w14:paraId="60568D8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c>
          <w:tcPr>
            <w:tcW w:w="376" w:type="pct"/>
            <w:tcBorders>
              <w:top w:val="nil"/>
              <w:left w:val="nil"/>
              <w:bottom w:val="single" w:sz="4" w:space="0" w:color="auto"/>
              <w:right w:val="single" w:sz="4" w:space="0" w:color="auto"/>
            </w:tcBorders>
            <w:shd w:val="clear" w:color="auto" w:fill="auto"/>
            <w:vAlign w:val="center"/>
            <w:hideMark/>
          </w:tcPr>
          <w:p w14:paraId="73800C7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w:t>
            </w:r>
          </w:p>
        </w:tc>
        <w:tc>
          <w:tcPr>
            <w:tcW w:w="328" w:type="pct"/>
            <w:tcBorders>
              <w:top w:val="nil"/>
              <w:left w:val="nil"/>
              <w:bottom w:val="single" w:sz="4" w:space="0" w:color="auto"/>
              <w:right w:val="double" w:sz="4" w:space="0" w:color="auto"/>
            </w:tcBorders>
            <w:shd w:val="clear" w:color="auto" w:fill="auto"/>
            <w:vAlign w:val="center"/>
            <w:hideMark/>
          </w:tcPr>
          <w:p w14:paraId="126B39A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100,0</w:t>
            </w:r>
          </w:p>
        </w:tc>
      </w:tr>
      <w:tr w:rsidR="00FB240D" w:rsidRPr="00FD7B0B" w14:paraId="61238881" w14:textId="77777777" w:rsidTr="00AF7B0C">
        <w:trPr>
          <w:trHeight w:val="62"/>
        </w:trPr>
        <w:tc>
          <w:tcPr>
            <w:tcW w:w="1348" w:type="pct"/>
            <w:tcBorders>
              <w:top w:val="nil"/>
              <w:left w:val="double" w:sz="4" w:space="0" w:color="auto"/>
              <w:bottom w:val="double" w:sz="4" w:space="0" w:color="auto"/>
              <w:right w:val="single" w:sz="4" w:space="0" w:color="auto"/>
            </w:tcBorders>
            <w:shd w:val="clear" w:color="auto" w:fill="auto"/>
            <w:vAlign w:val="center"/>
            <w:hideMark/>
          </w:tcPr>
          <w:p w14:paraId="5E92AFDE" w14:textId="77777777" w:rsidR="00FB240D" w:rsidRPr="00FD7B0B" w:rsidRDefault="00FB240D" w:rsidP="00FB240D">
            <w:pPr>
              <w:spacing w:after="0" w:line="240" w:lineRule="auto"/>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Итого</w:t>
            </w:r>
          </w:p>
        </w:tc>
        <w:tc>
          <w:tcPr>
            <w:tcW w:w="507" w:type="pct"/>
            <w:tcBorders>
              <w:top w:val="nil"/>
              <w:left w:val="nil"/>
              <w:bottom w:val="double" w:sz="4" w:space="0" w:color="auto"/>
              <w:right w:val="single" w:sz="4" w:space="0" w:color="auto"/>
            </w:tcBorders>
            <w:shd w:val="clear" w:color="auto" w:fill="auto"/>
            <w:vAlign w:val="center"/>
            <w:hideMark/>
          </w:tcPr>
          <w:p w14:paraId="3C71CAF7"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7932,5</w:t>
            </w:r>
          </w:p>
        </w:tc>
        <w:tc>
          <w:tcPr>
            <w:tcW w:w="386" w:type="pct"/>
            <w:tcBorders>
              <w:top w:val="nil"/>
              <w:left w:val="nil"/>
              <w:bottom w:val="double" w:sz="4" w:space="0" w:color="auto"/>
              <w:right w:val="single" w:sz="4" w:space="0" w:color="auto"/>
            </w:tcBorders>
            <w:shd w:val="clear" w:color="auto" w:fill="auto"/>
            <w:vAlign w:val="center"/>
            <w:hideMark/>
          </w:tcPr>
          <w:p w14:paraId="74842E1C"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3120,4</w:t>
            </w:r>
          </w:p>
        </w:tc>
        <w:tc>
          <w:tcPr>
            <w:tcW w:w="452" w:type="pct"/>
            <w:tcBorders>
              <w:top w:val="nil"/>
              <w:left w:val="nil"/>
              <w:bottom w:val="double" w:sz="4" w:space="0" w:color="auto"/>
              <w:right w:val="single" w:sz="4" w:space="0" w:color="auto"/>
            </w:tcBorders>
            <w:shd w:val="clear" w:color="auto" w:fill="auto"/>
            <w:vAlign w:val="center"/>
            <w:hideMark/>
          </w:tcPr>
          <w:p w14:paraId="0DE9D3D9"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4812,1</w:t>
            </w:r>
          </w:p>
        </w:tc>
        <w:tc>
          <w:tcPr>
            <w:tcW w:w="474" w:type="pct"/>
            <w:tcBorders>
              <w:top w:val="nil"/>
              <w:left w:val="nil"/>
              <w:bottom w:val="double" w:sz="4" w:space="0" w:color="auto"/>
              <w:right w:val="single" w:sz="4" w:space="0" w:color="auto"/>
            </w:tcBorders>
            <w:shd w:val="clear" w:color="auto" w:fill="auto"/>
            <w:vAlign w:val="center"/>
            <w:hideMark/>
          </w:tcPr>
          <w:p w14:paraId="5E70E00E"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6912</w:t>
            </w:r>
          </w:p>
        </w:tc>
        <w:tc>
          <w:tcPr>
            <w:tcW w:w="387" w:type="pct"/>
            <w:tcBorders>
              <w:top w:val="nil"/>
              <w:left w:val="nil"/>
              <w:bottom w:val="double" w:sz="4" w:space="0" w:color="auto"/>
              <w:right w:val="single" w:sz="4" w:space="0" w:color="auto"/>
            </w:tcBorders>
            <w:shd w:val="clear" w:color="auto" w:fill="auto"/>
            <w:vAlign w:val="center"/>
            <w:hideMark/>
          </w:tcPr>
          <w:p w14:paraId="2B506A14"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3102,8</w:t>
            </w:r>
          </w:p>
        </w:tc>
        <w:tc>
          <w:tcPr>
            <w:tcW w:w="378" w:type="pct"/>
            <w:tcBorders>
              <w:top w:val="nil"/>
              <w:left w:val="nil"/>
              <w:bottom w:val="double" w:sz="4" w:space="0" w:color="auto"/>
              <w:right w:val="single" w:sz="4" w:space="0" w:color="auto"/>
            </w:tcBorders>
            <w:shd w:val="clear" w:color="auto" w:fill="auto"/>
            <w:vAlign w:val="center"/>
            <w:hideMark/>
          </w:tcPr>
          <w:p w14:paraId="470257CF"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3809,2</w:t>
            </w:r>
          </w:p>
        </w:tc>
        <w:tc>
          <w:tcPr>
            <w:tcW w:w="364" w:type="pct"/>
            <w:tcBorders>
              <w:top w:val="nil"/>
              <w:left w:val="nil"/>
              <w:bottom w:val="double" w:sz="4" w:space="0" w:color="auto"/>
              <w:right w:val="single" w:sz="4" w:space="0" w:color="auto"/>
            </w:tcBorders>
            <w:shd w:val="clear" w:color="auto" w:fill="auto"/>
            <w:vAlign w:val="center"/>
            <w:hideMark/>
          </w:tcPr>
          <w:p w14:paraId="3FEF722C"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87,1</w:t>
            </w:r>
          </w:p>
        </w:tc>
        <w:tc>
          <w:tcPr>
            <w:tcW w:w="376" w:type="pct"/>
            <w:tcBorders>
              <w:top w:val="nil"/>
              <w:left w:val="nil"/>
              <w:bottom w:val="double" w:sz="4" w:space="0" w:color="auto"/>
              <w:right w:val="single" w:sz="4" w:space="0" w:color="auto"/>
            </w:tcBorders>
            <w:shd w:val="clear" w:color="auto" w:fill="auto"/>
            <w:vAlign w:val="center"/>
            <w:hideMark/>
          </w:tcPr>
          <w:p w14:paraId="5FFBD0E2"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99,4</w:t>
            </w:r>
          </w:p>
        </w:tc>
        <w:tc>
          <w:tcPr>
            <w:tcW w:w="328" w:type="pct"/>
            <w:tcBorders>
              <w:top w:val="nil"/>
              <w:left w:val="nil"/>
              <w:bottom w:val="double" w:sz="4" w:space="0" w:color="auto"/>
              <w:right w:val="double" w:sz="4" w:space="0" w:color="auto"/>
            </w:tcBorders>
            <w:shd w:val="clear" w:color="auto" w:fill="auto"/>
            <w:vAlign w:val="center"/>
            <w:hideMark/>
          </w:tcPr>
          <w:p w14:paraId="5A895234"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79,2</w:t>
            </w:r>
          </w:p>
        </w:tc>
      </w:tr>
    </w:tbl>
    <w:p w14:paraId="2B38A11E" w14:textId="77777777" w:rsidR="00FB240D" w:rsidRPr="00FD7B0B" w:rsidRDefault="00FB240D" w:rsidP="00AF7B0C">
      <w:pPr>
        <w:spacing w:after="0" w:line="240" w:lineRule="auto"/>
        <w:ind w:firstLine="709"/>
        <w:jc w:val="both"/>
        <w:rPr>
          <w:rFonts w:ascii="Times New Roman" w:hAnsi="Times New Roman"/>
          <w:sz w:val="28"/>
          <w:szCs w:val="28"/>
        </w:rPr>
      </w:pPr>
    </w:p>
    <w:p w14:paraId="3689D716" w14:textId="1336DADE"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lastRenderedPageBreak/>
        <w:t xml:space="preserve">Расходование запланированных средств на строительство объектов, входящих в ФП, характеризуется следующим образом (таблица </w:t>
      </w:r>
      <w:r w:rsidR="00CA2A49" w:rsidRPr="00FD7B0B">
        <w:rPr>
          <w:rFonts w:ascii="Times New Roman" w:hAnsi="Times New Roman"/>
          <w:sz w:val="28"/>
          <w:szCs w:val="28"/>
        </w:rPr>
        <w:t>242</w:t>
      </w:r>
      <w:r w:rsidRPr="00FD7B0B">
        <w:rPr>
          <w:rFonts w:ascii="Times New Roman" w:hAnsi="Times New Roman"/>
          <w:sz w:val="28"/>
          <w:szCs w:val="28"/>
        </w:rPr>
        <w:t>).</w:t>
      </w:r>
    </w:p>
    <w:p w14:paraId="6D55F872" w14:textId="77777777" w:rsidR="00AF7B0C" w:rsidRPr="00FD7B0B" w:rsidRDefault="00AF7B0C" w:rsidP="00FB240D">
      <w:pPr>
        <w:pStyle w:val="aff0"/>
        <w:keepNext/>
        <w:spacing w:after="0" w:line="240" w:lineRule="auto"/>
        <w:rPr>
          <w:rFonts w:ascii="Times New Roman" w:hAnsi="Times New Roman"/>
          <w:b w:val="0"/>
          <w:sz w:val="24"/>
          <w:szCs w:val="24"/>
        </w:rPr>
      </w:pPr>
    </w:p>
    <w:p w14:paraId="610D4301" w14:textId="77777777" w:rsidR="00FB240D" w:rsidRPr="00FD7B0B" w:rsidRDefault="00FB240D" w:rsidP="00FB240D">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242</w:t>
      </w:r>
      <w:r w:rsidRPr="00FD7B0B">
        <w:rPr>
          <w:rFonts w:ascii="Times New Roman" w:hAnsi="Times New Roman"/>
          <w:b w:val="0"/>
          <w:sz w:val="24"/>
          <w:szCs w:val="24"/>
        </w:rPr>
        <w:fldChar w:fldCharType="end"/>
      </w:r>
      <w:r w:rsidRPr="00FD7B0B">
        <w:rPr>
          <w:rFonts w:ascii="Times New Roman" w:hAnsi="Times New Roman"/>
          <w:b w:val="0"/>
          <w:sz w:val="24"/>
          <w:szCs w:val="24"/>
        </w:rPr>
        <w:t>. Исполнение показателей областного бюджета по капитальным вложениям за 2024 год в рамках федеральных проектов (в т.ч. не входящих в национальные проекты), млн.руб.</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188"/>
        <w:gridCol w:w="861"/>
        <w:gridCol w:w="874"/>
        <w:gridCol w:w="876"/>
        <w:gridCol w:w="874"/>
        <w:gridCol w:w="874"/>
        <w:gridCol w:w="876"/>
        <w:gridCol w:w="730"/>
        <w:gridCol w:w="728"/>
        <w:gridCol w:w="726"/>
      </w:tblGrid>
      <w:tr w:rsidR="00FD7B0B" w:rsidRPr="00FD7B0B" w14:paraId="4B98FA7C" w14:textId="77777777" w:rsidTr="00D85D50">
        <w:trPr>
          <w:trHeight w:val="300"/>
          <w:tblHeader/>
        </w:trPr>
        <w:tc>
          <w:tcPr>
            <w:tcW w:w="1138" w:type="pct"/>
            <w:vMerge w:val="restart"/>
            <w:tcBorders>
              <w:top w:val="double" w:sz="4" w:space="0" w:color="auto"/>
              <w:left w:val="double" w:sz="4" w:space="0" w:color="auto"/>
              <w:bottom w:val="single" w:sz="6" w:space="0" w:color="auto"/>
              <w:right w:val="single" w:sz="6" w:space="0" w:color="auto"/>
            </w:tcBorders>
            <w:vAlign w:val="center"/>
            <w:hideMark/>
          </w:tcPr>
          <w:p w14:paraId="54D0594D"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ГРБС</w:t>
            </w:r>
          </w:p>
        </w:tc>
        <w:tc>
          <w:tcPr>
            <w:tcW w:w="1359" w:type="pct"/>
            <w:gridSpan w:val="3"/>
            <w:tcBorders>
              <w:top w:val="double" w:sz="4" w:space="0" w:color="auto"/>
              <w:left w:val="single" w:sz="6" w:space="0" w:color="auto"/>
              <w:bottom w:val="single" w:sz="6" w:space="0" w:color="auto"/>
              <w:right w:val="single" w:sz="6" w:space="0" w:color="auto"/>
            </w:tcBorders>
            <w:vAlign w:val="center"/>
            <w:hideMark/>
          </w:tcPr>
          <w:p w14:paraId="57FEB3F1"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Бюджетные ассигнования, млн.руб.</w:t>
            </w:r>
          </w:p>
        </w:tc>
        <w:tc>
          <w:tcPr>
            <w:tcW w:w="1366" w:type="pct"/>
            <w:gridSpan w:val="3"/>
            <w:tcBorders>
              <w:top w:val="double" w:sz="4" w:space="0" w:color="auto"/>
              <w:left w:val="single" w:sz="6" w:space="0" w:color="auto"/>
              <w:bottom w:val="single" w:sz="6" w:space="0" w:color="auto"/>
              <w:right w:val="single" w:sz="6" w:space="0" w:color="auto"/>
            </w:tcBorders>
            <w:vAlign w:val="center"/>
            <w:hideMark/>
          </w:tcPr>
          <w:p w14:paraId="6149FDA4"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Кассовое исполнение, млн.руб.</w:t>
            </w:r>
          </w:p>
        </w:tc>
        <w:tc>
          <w:tcPr>
            <w:tcW w:w="1138" w:type="pct"/>
            <w:gridSpan w:val="3"/>
            <w:tcBorders>
              <w:top w:val="double" w:sz="4" w:space="0" w:color="auto"/>
              <w:left w:val="single" w:sz="6" w:space="0" w:color="auto"/>
              <w:bottom w:val="single" w:sz="6" w:space="0" w:color="auto"/>
              <w:right w:val="double" w:sz="4" w:space="0" w:color="auto"/>
            </w:tcBorders>
            <w:vAlign w:val="center"/>
            <w:hideMark/>
          </w:tcPr>
          <w:p w14:paraId="6E94554A"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Процент исполнения, %</w:t>
            </w:r>
          </w:p>
        </w:tc>
      </w:tr>
      <w:tr w:rsidR="00FD7B0B" w:rsidRPr="00FD7B0B" w14:paraId="518777F4" w14:textId="77777777" w:rsidTr="00D85D50">
        <w:trPr>
          <w:trHeight w:val="144"/>
          <w:tblHeader/>
        </w:trPr>
        <w:tc>
          <w:tcPr>
            <w:tcW w:w="1138" w:type="pct"/>
            <w:vMerge/>
            <w:tcBorders>
              <w:top w:val="double" w:sz="4" w:space="0" w:color="auto"/>
              <w:left w:val="double" w:sz="4" w:space="0" w:color="auto"/>
              <w:bottom w:val="single" w:sz="6" w:space="0" w:color="auto"/>
              <w:right w:val="single" w:sz="6" w:space="0" w:color="auto"/>
            </w:tcBorders>
            <w:vAlign w:val="center"/>
            <w:hideMark/>
          </w:tcPr>
          <w:p w14:paraId="46CE319A" w14:textId="77777777" w:rsidR="00FB240D" w:rsidRPr="00FD7B0B" w:rsidRDefault="00FB240D" w:rsidP="00FB240D">
            <w:pPr>
              <w:spacing w:after="0" w:line="240" w:lineRule="auto"/>
              <w:jc w:val="center"/>
              <w:rPr>
                <w:rFonts w:ascii="Times New Roman" w:hAnsi="Times New Roman"/>
                <w:sz w:val="18"/>
                <w:szCs w:val="18"/>
              </w:rPr>
            </w:pPr>
          </w:p>
        </w:tc>
        <w:tc>
          <w:tcPr>
            <w:tcW w:w="448" w:type="pct"/>
            <w:vMerge w:val="restart"/>
            <w:tcBorders>
              <w:top w:val="single" w:sz="6" w:space="0" w:color="auto"/>
              <w:left w:val="single" w:sz="6" w:space="0" w:color="auto"/>
              <w:bottom w:val="single" w:sz="6" w:space="0" w:color="auto"/>
              <w:right w:val="single" w:sz="6" w:space="0" w:color="auto"/>
            </w:tcBorders>
            <w:vAlign w:val="center"/>
            <w:hideMark/>
          </w:tcPr>
          <w:p w14:paraId="6F51B084"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всего</w:t>
            </w:r>
          </w:p>
        </w:tc>
        <w:tc>
          <w:tcPr>
            <w:tcW w:w="911" w:type="pct"/>
            <w:gridSpan w:val="2"/>
            <w:tcBorders>
              <w:top w:val="single" w:sz="6" w:space="0" w:color="auto"/>
              <w:left w:val="single" w:sz="6" w:space="0" w:color="auto"/>
              <w:bottom w:val="single" w:sz="6" w:space="0" w:color="auto"/>
              <w:right w:val="single" w:sz="6" w:space="0" w:color="auto"/>
            </w:tcBorders>
            <w:vAlign w:val="center"/>
            <w:hideMark/>
          </w:tcPr>
          <w:p w14:paraId="2BEDB469"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в том числе</w:t>
            </w:r>
          </w:p>
        </w:tc>
        <w:tc>
          <w:tcPr>
            <w:tcW w:w="455" w:type="pct"/>
            <w:vMerge w:val="restart"/>
            <w:tcBorders>
              <w:top w:val="single" w:sz="6" w:space="0" w:color="auto"/>
              <w:left w:val="single" w:sz="6" w:space="0" w:color="auto"/>
              <w:bottom w:val="single" w:sz="6" w:space="0" w:color="auto"/>
              <w:right w:val="single" w:sz="6" w:space="0" w:color="auto"/>
            </w:tcBorders>
            <w:vAlign w:val="center"/>
            <w:hideMark/>
          </w:tcPr>
          <w:p w14:paraId="592EEEBE"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всего</w:t>
            </w:r>
          </w:p>
        </w:tc>
        <w:tc>
          <w:tcPr>
            <w:tcW w:w="911" w:type="pct"/>
            <w:gridSpan w:val="2"/>
            <w:tcBorders>
              <w:top w:val="single" w:sz="6" w:space="0" w:color="auto"/>
              <w:left w:val="single" w:sz="6" w:space="0" w:color="auto"/>
              <w:bottom w:val="single" w:sz="6" w:space="0" w:color="auto"/>
              <w:right w:val="single" w:sz="6" w:space="0" w:color="auto"/>
            </w:tcBorders>
            <w:vAlign w:val="center"/>
            <w:hideMark/>
          </w:tcPr>
          <w:p w14:paraId="7889DD9D"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в том числе</w:t>
            </w:r>
          </w:p>
        </w:tc>
        <w:tc>
          <w:tcPr>
            <w:tcW w:w="380" w:type="pct"/>
            <w:vMerge w:val="restart"/>
            <w:tcBorders>
              <w:top w:val="single" w:sz="6" w:space="0" w:color="auto"/>
              <w:left w:val="single" w:sz="6" w:space="0" w:color="auto"/>
              <w:bottom w:val="single" w:sz="6" w:space="0" w:color="auto"/>
              <w:right w:val="single" w:sz="6" w:space="0" w:color="auto"/>
            </w:tcBorders>
            <w:vAlign w:val="center"/>
            <w:hideMark/>
          </w:tcPr>
          <w:p w14:paraId="5C07D422"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всего</w:t>
            </w:r>
          </w:p>
        </w:tc>
        <w:tc>
          <w:tcPr>
            <w:tcW w:w="758" w:type="pct"/>
            <w:gridSpan w:val="2"/>
            <w:tcBorders>
              <w:top w:val="single" w:sz="6" w:space="0" w:color="auto"/>
              <w:left w:val="single" w:sz="6" w:space="0" w:color="auto"/>
              <w:bottom w:val="single" w:sz="6" w:space="0" w:color="auto"/>
              <w:right w:val="double" w:sz="4" w:space="0" w:color="auto"/>
            </w:tcBorders>
            <w:vAlign w:val="center"/>
            <w:hideMark/>
          </w:tcPr>
          <w:p w14:paraId="3361FF2F"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в том числе</w:t>
            </w:r>
          </w:p>
        </w:tc>
      </w:tr>
      <w:tr w:rsidR="00FD7B0B" w:rsidRPr="00FD7B0B" w14:paraId="5A4F9DCC" w14:textId="77777777" w:rsidTr="00D85D50">
        <w:trPr>
          <w:trHeight w:val="217"/>
          <w:tblHeader/>
        </w:trPr>
        <w:tc>
          <w:tcPr>
            <w:tcW w:w="1138" w:type="pct"/>
            <w:vMerge/>
            <w:tcBorders>
              <w:top w:val="double" w:sz="4" w:space="0" w:color="auto"/>
              <w:left w:val="double" w:sz="4" w:space="0" w:color="auto"/>
              <w:bottom w:val="single" w:sz="4" w:space="0" w:color="auto"/>
              <w:right w:val="single" w:sz="6" w:space="0" w:color="auto"/>
            </w:tcBorders>
            <w:vAlign w:val="center"/>
            <w:hideMark/>
          </w:tcPr>
          <w:p w14:paraId="5511A93A" w14:textId="77777777" w:rsidR="00FB240D" w:rsidRPr="00FD7B0B" w:rsidRDefault="00FB240D" w:rsidP="00FB240D">
            <w:pPr>
              <w:spacing w:after="0" w:line="240" w:lineRule="auto"/>
              <w:jc w:val="center"/>
              <w:rPr>
                <w:rFonts w:ascii="Times New Roman" w:hAnsi="Times New Roman"/>
                <w:sz w:val="18"/>
                <w:szCs w:val="18"/>
              </w:rPr>
            </w:pPr>
          </w:p>
        </w:tc>
        <w:tc>
          <w:tcPr>
            <w:tcW w:w="448" w:type="pct"/>
            <w:vMerge/>
            <w:tcBorders>
              <w:top w:val="single" w:sz="6" w:space="0" w:color="auto"/>
              <w:left w:val="single" w:sz="6" w:space="0" w:color="auto"/>
              <w:bottom w:val="single" w:sz="4" w:space="0" w:color="auto"/>
              <w:right w:val="single" w:sz="6" w:space="0" w:color="auto"/>
            </w:tcBorders>
            <w:vAlign w:val="center"/>
            <w:hideMark/>
          </w:tcPr>
          <w:p w14:paraId="2195EAE4" w14:textId="77777777" w:rsidR="00FB240D" w:rsidRPr="00FD7B0B" w:rsidRDefault="00FB240D" w:rsidP="00FB240D">
            <w:pPr>
              <w:spacing w:after="0" w:line="240" w:lineRule="auto"/>
              <w:jc w:val="center"/>
              <w:rPr>
                <w:rFonts w:ascii="Times New Roman" w:hAnsi="Times New Roman"/>
                <w:sz w:val="18"/>
                <w:szCs w:val="18"/>
              </w:rPr>
            </w:pPr>
          </w:p>
        </w:tc>
        <w:tc>
          <w:tcPr>
            <w:tcW w:w="455" w:type="pct"/>
            <w:tcBorders>
              <w:top w:val="single" w:sz="6" w:space="0" w:color="auto"/>
              <w:left w:val="single" w:sz="6" w:space="0" w:color="auto"/>
              <w:bottom w:val="single" w:sz="4" w:space="0" w:color="auto"/>
              <w:right w:val="single" w:sz="6" w:space="0" w:color="auto"/>
            </w:tcBorders>
            <w:vAlign w:val="center"/>
            <w:hideMark/>
          </w:tcPr>
          <w:p w14:paraId="0F60F7F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ФБ</w:t>
            </w:r>
          </w:p>
        </w:tc>
        <w:tc>
          <w:tcPr>
            <w:tcW w:w="456" w:type="pct"/>
            <w:tcBorders>
              <w:top w:val="single" w:sz="6" w:space="0" w:color="auto"/>
              <w:left w:val="single" w:sz="6" w:space="0" w:color="auto"/>
              <w:bottom w:val="single" w:sz="4" w:space="0" w:color="auto"/>
              <w:right w:val="single" w:sz="6" w:space="0" w:color="auto"/>
            </w:tcBorders>
            <w:vAlign w:val="center"/>
            <w:hideMark/>
          </w:tcPr>
          <w:p w14:paraId="16163925"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ОБ</w:t>
            </w:r>
          </w:p>
        </w:tc>
        <w:tc>
          <w:tcPr>
            <w:tcW w:w="455" w:type="pct"/>
            <w:vMerge/>
            <w:tcBorders>
              <w:top w:val="single" w:sz="6" w:space="0" w:color="auto"/>
              <w:left w:val="single" w:sz="6" w:space="0" w:color="auto"/>
              <w:bottom w:val="single" w:sz="4" w:space="0" w:color="auto"/>
              <w:right w:val="single" w:sz="6" w:space="0" w:color="auto"/>
            </w:tcBorders>
            <w:vAlign w:val="center"/>
            <w:hideMark/>
          </w:tcPr>
          <w:p w14:paraId="6D9AF590" w14:textId="77777777" w:rsidR="00FB240D" w:rsidRPr="00FD7B0B" w:rsidRDefault="00FB240D" w:rsidP="00FB240D">
            <w:pPr>
              <w:spacing w:after="0" w:line="240" w:lineRule="auto"/>
              <w:jc w:val="center"/>
              <w:rPr>
                <w:rFonts w:ascii="Times New Roman" w:hAnsi="Times New Roman"/>
                <w:sz w:val="18"/>
                <w:szCs w:val="18"/>
              </w:rPr>
            </w:pPr>
          </w:p>
        </w:tc>
        <w:tc>
          <w:tcPr>
            <w:tcW w:w="455" w:type="pct"/>
            <w:tcBorders>
              <w:top w:val="single" w:sz="6" w:space="0" w:color="auto"/>
              <w:left w:val="single" w:sz="6" w:space="0" w:color="auto"/>
              <w:bottom w:val="single" w:sz="4" w:space="0" w:color="auto"/>
              <w:right w:val="single" w:sz="6" w:space="0" w:color="auto"/>
            </w:tcBorders>
            <w:vAlign w:val="center"/>
            <w:hideMark/>
          </w:tcPr>
          <w:p w14:paraId="6CCB8D32"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ФБ</w:t>
            </w:r>
          </w:p>
        </w:tc>
        <w:tc>
          <w:tcPr>
            <w:tcW w:w="456" w:type="pct"/>
            <w:tcBorders>
              <w:top w:val="single" w:sz="6" w:space="0" w:color="auto"/>
              <w:left w:val="single" w:sz="6" w:space="0" w:color="auto"/>
              <w:bottom w:val="single" w:sz="4" w:space="0" w:color="auto"/>
              <w:right w:val="single" w:sz="6" w:space="0" w:color="auto"/>
            </w:tcBorders>
            <w:vAlign w:val="center"/>
            <w:hideMark/>
          </w:tcPr>
          <w:p w14:paraId="57F4A8FB"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ОБ</w:t>
            </w:r>
          </w:p>
        </w:tc>
        <w:tc>
          <w:tcPr>
            <w:tcW w:w="380" w:type="pct"/>
            <w:vMerge/>
            <w:tcBorders>
              <w:top w:val="single" w:sz="6" w:space="0" w:color="auto"/>
              <w:left w:val="single" w:sz="6" w:space="0" w:color="auto"/>
              <w:bottom w:val="single" w:sz="4" w:space="0" w:color="auto"/>
              <w:right w:val="single" w:sz="6" w:space="0" w:color="auto"/>
            </w:tcBorders>
            <w:vAlign w:val="center"/>
            <w:hideMark/>
          </w:tcPr>
          <w:p w14:paraId="60037BB9" w14:textId="77777777" w:rsidR="00FB240D" w:rsidRPr="00FD7B0B" w:rsidRDefault="00FB240D" w:rsidP="00FB240D">
            <w:pPr>
              <w:spacing w:after="0" w:line="240" w:lineRule="auto"/>
              <w:jc w:val="center"/>
              <w:rPr>
                <w:rFonts w:ascii="Times New Roman" w:hAnsi="Times New Roman"/>
                <w:sz w:val="18"/>
                <w:szCs w:val="18"/>
              </w:rPr>
            </w:pPr>
          </w:p>
        </w:tc>
        <w:tc>
          <w:tcPr>
            <w:tcW w:w="379" w:type="pct"/>
            <w:tcBorders>
              <w:top w:val="single" w:sz="6" w:space="0" w:color="auto"/>
              <w:left w:val="single" w:sz="6" w:space="0" w:color="auto"/>
              <w:bottom w:val="single" w:sz="4" w:space="0" w:color="auto"/>
              <w:right w:val="single" w:sz="6" w:space="0" w:color="auto"/>
            </w:tcBorders>
            <w:vAlign w:val="center"/>
            <w:hideMark/>
          </w:tcPr>
          <w:p w14:paraId="00AE608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ФБ</w:t>
            </w:r>
          </w:p>
        </w:tc>
        <w:tc>
          <w:tcPr>
            <w:tcW w:w="379" w:type="pct"/>
            <w:tcBorders>
              <w:top w:val="single" w:sz="6" w:space="0" w:color="auto"/>
              <w:left w:val="single" w:sz="6" w:space="0" w:color="auto"/>
              <w:bottom w:val="single" w:sz="4" w:space="0" w:color="auto"/>
              <w:right w:val="double" w:sz="4" w:space="0" w:color="auto"/>
            </w:tcBorders>
            <w:vAlign w:val="center"/>
            <w:hideMark/>
          </w:tcPr>
          <w:p w14:paraId="3CBA8365"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ОБ</w:t>
            </w:r>
          </w:p>
        </w:tc>
      </w:tr>
      <w:tr w:rsidR="00FD7B0B" w:rsidRPr="00FD7B0B" w14:paraId="6A01924E" w14:textId="77777777" w:rsidTr="00FB240D">
        <w:trPr>
          <w:trHeight w:val="217"/>
          <w:tblHeader/>
        </w:trPr>
        <w:tc>
          <w:tcPr>
            <w:tcW w:w="5000" w:type="pct"/>
            <w:gridSpan w:val="10"/>
            <w:tcBorders>
              <w:top w:val="single" w:sz="4" w:space="0" w:color="auto"/>
              <w:left w:val="double" w:sz="4" w:space="0" w:color="auto"/>
              <w:bottom w:val="single" w:sz="6" w:space="0" w:color="auto"/>
              <w:right w:val="double" w:sz="4" w:space="0" w:color="auto"/>
            </w:tcBorders>
            <w:vAlign w:val="center"/>
          </w:tcPr>
          <w:p w14:paraId="3B6573D3"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 xml:space="preserve">ГП «Развитие здравоохранения Архангельской области» </w:t>
            </w:r>
          </w:p>
          <w:p w14:paraId="3E1941E4"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ФП «Модернизация первичного звена здравоохранения Российской Федерации» (</w:t>
            </w:r>
            <w:r w:rsidRPr="00FD7B0B">
              <w:rPr>
                <w:rFonts w:ascii="Times New Roman" w:hAnsi="Times New Roman"/>
                <w:sz w:val="18"/>
                <w:szCs w:val="18"/>
                <w:lang w:val="en-US"/>
              </w:rPr>
              <w:t>N</w:t>
            </w:r>
            <w:r w:rsidRPr="00FD7B0B">
              <w:rPr>
                <w:rFonts w:ascii="Times New Roman" w:hAnsi="Times New Roman"/>
                <w:sz w:val="18"/>
                <w:szCs w:val="18"/>
              </w:rPr>
              <w:t>9)</w:t>
            </w:r>
          </w:p>
        </w:tc>
      </w:tr>
      <w:tr w:rsidR="00FD7B0B" w:rsidRPr="00FD7B0B" w14:paraId="4F2480F3" w14:textId="77777777" w:rsidTr="00D85D50">
        <w:trPr>
          <w:trHeight w:hRule="exact" w:val="215"/>
        </w:trPr>
        <w:tc>
          <w:tcPr>
            <w:tcW w:w="1138" w:type="pct"/>
            <w:tcBorders>
              <w:top w:val="single" w:sz="6" w:space="0" w:color="auto"/>
              <w:left w:val="double" w:sz="4" w:space="0" w:color="auto"/>
              <w:bottom w:val="single" w:sz="6" w:space="0" w:color="auto"/>
              <w:right w:val="single" w:sz="6" w:space="0" w:color="auto"/>
            </w:tcBorders>
            <w:vAlign w:val="bottom"/>
            <w:hideMark/>
          </w:tcPr>
          <w:p w14:paraId="5956A94E"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Минстрой АО</w:t>
            </w:r>
          </w:p>
        </w:tc>
        <w:tc>
          <w:tcPr>
            <w:tcW w:w="448" w:type="pct"/>
            <w:tcBorders>
              <w:top w:val="single" w:sz="6" w:space="0" w:color="auto"/>
              <w:left w:val="single" w:sz="6" w:space="0" w:color="auto"/>
              <w:bottom w:val="single" w:sz="6" w:space="0" w:color="auto"/>
              <w:right w:val="single" w:sz="6" w:space="0" w:color="auto"/>
            </w:tcBorders>
            <w:vAlign w:val="center"/>
          </w:tcPr>
          <w:p w14:paraId="6CA9EF8C"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265,9</w:t>
            </w:r>
          </w:p>
        </w:tc>
        <w:tc>
          <w:tcPr>
            <w:tcW w:w="455" w:type="pct"/>
            <w:tcBorders>
              <w:top w:val="single" w:sz="6" w:space="0" w:color="auto"/>
              <w:left w:val="single" w:sz="6" w:space="0" w:color="auto"/>
              <w:bottom w:val="single" w:sz="6" w:space="0" w:color="auto"/>
              <w:right w:val="single" w:sz="6" w:space="0" w:color="auto"/>
            </w:tcBorders>
            <w:vAlign w:val="center"/>
          </w:tcPr>
          <w:p w14:paraId="4E57C25F"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219,1</w:t>
            </w:r>
          </w:p>
        </w:tc>
        <w:tc>
          <w:tcPr>
            <w:tcW w:w="456" w:type="pct"/>
            <w:tcBorders>
              <w:top w:val="single" w:sz="6" w:space="0" w:color="auto"/>
              <w:left w:val="single" w:sz="6" w:space="0" w:color="auto"/>
              <w:bottom w:val="single" w:sz="6" w:space="0" w:color="auto"/>
              <w:right w:val="single" w:sz="6" w:space="0" w:color="auto"/>
            </w:tcBorders>
            <w:vAlign w:val="center"/>
          </w:tcPr>
          <w:p w14:paraId="17C8A1BD"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46,8</w:t>
            </w:r>
          </w:p>
        </w:tc>
        <w:tc>
          <w:tcPr>
            <w:tcW w:w="455" w:type="pct"/>
            <w:tcBorders>
              <w:top w:val="single" w:sz="6" w:space="0" w:color="auto"/>
              <w:left w:val="single" w:sz="6" w:space="0" w:color="auto"/>
              <w:bottom w:val="single" w:sz="6" w:space="0" w:color="auto"/>
              <w:right w:val="single" w:sz="6" w:space="0" w:color="auto"/>
            </w:tcBorders>
            <w:vAlign w:val="center"/>
          </w:tcPr>
          <w:p w14:paraId="06F1805E"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248,6</w:t>
            </w:r>
          </w:p>
        </w:tc>
        <w:tc>
          <w:tcPr>
            <w:tcW w:w="455" w:type="pct"/>
            <w:tcBorders>
              <w:top w:val="single" w:sz="6" w:space="0" w:color="auto"/>
              <w:left w:val="single" w:sz="6" w:space="0" w:color="auto"/>
              <w:bottom w:val="single" w:sz="6" w:space="0" w:color="auto"/>
              <w:right w:val="single" w:sz="6" w:space="0" w:color="auto"/>
            </w:tcBorders>
            <w:vAlign w:val="center"/>
          </w:tcPr>
          <w:p w14:paraId="79D64C2B"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202,3</w:t>
            </w:r>
          </w:p>
        </w:tc>
        <w:tc>
          <w:tcPr>
            <w:tcW w:w="456" w:type="pct"/>
            <w:tcBorders>
              <w:top w:val="single" w:sz="6" w:space="0" w:color="auto"/>
              <w:left w:val="single" w:sz="6" w:space="0" w:color="auto"/>
              <w:bottom w:val="single" w:sz="6" w:space="0" w:color="auto"/>
              <w:right w:val="single" w:sz="6" w:space="0" w:color="auto"/>
            </w:tcBorders>
            <w:vAlign w:val="center"/>
          </w:tcPr>
          <w:p w14:paraId="2D350C67"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46,3</w:t>
            </w:r>
          </w:p>
        </w:tc>
        <w:tc>
          <w:tcPr>
            <w:tcW w:w="380" w:type="pct"/>
            <w:tcBorders>
              <w:top w:val="single" w:sz="6" w:space="0" w:color="auto"/>
              <w:left w:val="single" w:sz="6" w:space="0" w:color="auto"/>
              <w:bottom w:val="single" w:sz="6" w:space="0" w:color="auto"/>
              <w:right w:val="single" w:sz="6" w:space="0" w:color="auto"/>
            </w:tcBorders>
            <w:vAlign w:val="center"/>
          </w:tcPr>
          <w:p w14:paraId="67298BC8"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93,5</w:t>
            </w:r>
          </w:p>
        </w:tc>
        <w:tc>
          <w:tcPr>
            <w:tcW w:w="379" w:type="pct"/>
            <w:tcBorders>
              <w:top w:val="single" w:sz="6" w:space="0" w:color="auto"/>
              <w:left w:val="single" w:sz="6" w:space="0" w:color="auto"/>
              <w:bottom w:val="single" w:sz="6" w:space="0" w:color="auto"/>
              <w:right w:val="single" w:sz="6" w:space="0" w:color="auto"/>
            </w:tcBorders>
            <w:vAlign w:val="center"/>
          </w:tcPr>
          <w:p w14:paraId="3FE4529F"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92,3</w:t>
            </w:r>
          </w:p>
        </w:tc>
        <w:tc>
          <w:tcPr>
            <w:tcW w:w="379" w:type="pct"/>
            <w:tcBorders>
              <w:top w:val="single" w:sz="6" w:space="0" w:color="auto"/>
              <w:left w:val="single" w:sz="6" w:space="0" w:color="auto"/>
              <w:bottom w:val="single" w:sz="6" w:space="0" w:color="auto"/>
              <w:right w:val="double" w:sz="4" w:space="0" w:color="auto"/>
            </w:tcBorders>
            <w:vAlign w:val="center"/>
          </w:tcPr>
          <w:p w14:paraId="354264DF"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98,9</w:t>
            </w:r>
          </w:p>
        </w:tc>
      </w:tr>
      <w:tr w:rsidR="00FD7B0B" w:rsidRPr="00FD7B0B" w14:paraId="490B64A6" w14:textId="77777777" w:rsidTr="00D85D50">
        <w:trPr>
          <w:trHeight w:hRule="exact" w:val="215"/>
        </w:trPr>
        <w:tc>
          <w:tcPr>
            <w:tcW w:w="1138" w:type="pct"/>
            <w:tcBorders>
              <w:top w:val="single" w:sz="6" w:space="0" w:color="auto"/>
              <w:left w:val="double" w:sz="4" w:space="0" w:color="auto"/>
              <w:bottom w:val="single" w:sz="6" w:space="0" w:color="auto"/>
              <w:right w:val="single" w:sz="6" w:space="0" w:color="auto"/>
            </w:tcBorders>
            <w:vAlign w:val="bottom"/>
          </w:tcPr>
          <w:p w14:paraId="4673BE1F"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Минздрав АО</w:t>
            </w:r>
          </w:p>
        </w:tc>
        <w:tc>
          <w:tcPr>
            <w:tcW w:w="448" w:type="pct"/>
            <w:tcBorders>
              <w:top w:val="single" w:sz="6" w:space="0" w:color="auto"/>
              <w:left w:val="single" w:sz="6" w:space="0" w:color="auto"/>
              <w:bottom w:val="single" w:sz="6" w:space="0" w:color="auto"/>
              <w:right w:val="single" w:sz="6" w:space="0" w:color="auto"/>
            </w:tcBorders>
            <w:vAlign w:val="center"/>
          </w:tcPr>
          <w:p w14:paraId="61518EEA"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196,3</w:t>
            </w:r>
          </w:p>
        </w:tc>
        <w:tc>
          <w:tcPr>
            <w:tcW w:w="455" w:type="pct"/>
            <w:tcBorders>
              <w:top w:val="single" w:sz="6" w:space="0" w:color="auto"/>
              <w:left w:val="single" w:sz="6" w:space="0" w:color="auto"/>
              <w:bottom w:val="single" w:sz="6" w:space="0" w:color="auto"/>
              <w:right w:val="single" w:sz="6" w:space="0" w:color="auto"/>
            </w:tcBorders>
            <w:vAlign w:val="center"/>
          </w:tcPr>
          <w:p w14:paraId="10E4972E"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189,9</w:t>
            </w:r>
          </w:p>
        </w:tc>
        <w:tc>
          <w:tcPr>
            <w:tcW w:w="456" w:type="pct"/>
            <w:tcBorders>
              <w:top w:val="single" w:sz="6" w:space="0" w:color="auto"/>
              <w:left w:val="single" w:sz="6" w:space="0" w:color="auto"/>
              <w:bottom w:val="single" w:sz="6" w:space="0" w:color="auto"/>
              <w:right w:val="single" w:sz="6" w:space="0" w:color="auto"/>
            </w:tcBorders>
            <w:vAlign w:val="center"/>
          </w:tcPr>
          <w:p w14:paraId="2C886FF7"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6,4</w:t>
            </w:r>
          </w:p>
        </w:tc>
        <w:tc>
          <w:tcPr>
            <w:tcW w:w="455" w:type="pct"/>
            <w:tcBorders>
              <w:top w:val="single" w:sz="6" w:space="0" w:color="auto"/>
              <w:left w:val="single" w:sz="6" w:space="0" w:color="auto"/>
              <w:bottom w:val="single" w:sz="6" w:space="0" w:color="auto"/>
              <w:right w:val="single" w:sz="6" w:space="0" w:color="auto"/>
            </w:tcBorders>
            <w:vAlign w:val="center"/>
          </w:tcPr>
          <w:p w14:paraId="093C2FAD"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196,3</w:t>
            </w:r>
          </w:p>
        </w:tc>
        <w:tc>
          <w:tcPr>
            <w:tcW w:w="455" w:type="pct"/>
            <w:tcBorders>
              <w:top w:val="single" w:sz="6" w:space="0" w:color="auto"/>
              <w:left w:val="single" w:sz="6" w:space="0" w:color="auto"/>
              <w:bottom w:val="single" w:sz="6" w:space="0" w:color="auto"/>
              <w:right w:val="single" w:sz="6" w:space="0" w:color="auto"/>
            </w:tcBorders>
            <w:vAlign w:val="center"/>
          </w:tcPr>
          <w:p w14:paraId="64FDA443"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189,9</w:t>
            </w:r>
          </w:p>
        </w:tc>
        <w:tc>
          <w:tcPr>
            <w:tcW w:w="456" w:type="pct"/>
            <w:tcBorders>
              <w:top w:val="single" w:sz="6" w:space="0" w:color="auto"/>
              <w:left w:val="single" w:sz="6" w:space="0" w:color="auto"/>
              <w:bottom w:val="single" w:sz="6" w:space="0" w:color="auto"/>
              <w:right w:val="single" w:sz="6" w:space="0" w:color="auto"/>
            </w:tcBorders>
            <w:vAlign w:val="center"/>
          </w:tcPr>
          <w:p w14:paraId="719382D1"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6,4</w:t>
            </w:r>
          </w:p>
        </w:tc>
        <w:tc>
          <w:tcPr>
            <w:tcW w:w="380" w:type="pct"/>
            <w:tcBorders>
              <w:top w:val="single" w:sz="6" w:space="0" w:color="auto"/>
              <w:left w:val="single" w:sz="6" w:space="0" w:color="auto"/>
              <w:bottom w:val="single" w:sz="6" w:space="0" w:color="auto"/>
              <w:right w:val="single" w:sz="6" w:space="0" w:color="auto"/>
            </w:tcBorders>
            <w:vAlign w:val="center"/>
          </w:tcPr>
          <w:p w14:paraId="430E7C05"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center"/>
          </w:tcPr>
          <w:p w14:paraId="1DB89B78"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center"/>
          </w:tcPr>
          <w:p w14:paraId="4E31014A"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r>
      <w:tr w:rsidR="00FD7B0B" w:rsidRPr="00FD7B0B" w14:paraId="44D12643" w14:textId="77777777" w:rsidTr="00FB240D">
        <w:trPr>
          <w:trHeight w:hRule="exact" w:val="407"/>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55211C4E"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 xml:space="preserve">ГП «Развитие образования и науки Архангельской области» </w:t>
            </w:r>
          </w:p>
          <w:p w14:paraId="7247BAAB"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ФП «Современная школа» (Е1)</w:t>
            </w:r>
          </w:p>
        </w:tc>
      </w:tr>
      <w:tr w:rsidR="00FD7B0B" w:rsidRPr="00FD7B0B" w14:paraId="554E8736" w14:textId="77777777" w:rsidTr="00D85D50">
        <w:trPr>
          <w:trHeight w:hRule="exact" w:val="207"/>
        </w:trPr>
        <w:tc>
          <w:tcPr>
            <w:tcW w:w="1138" w:type="pct"/>
            <w:tcBorders>
              <w:top w:val="single" w:sz="6" w:space="0" w:color="auto"/>
              <w:left w:val="double" w:sz="4" w:space="0" w:color="auto"/>
              <w:bottom w:val="single" w:sz="6" w:space="0" w:color="auto"/>
              <w:right w:val="single" w:sz="6" w:space="0" w:color="auto"/>
            </w:tcBorders>
            <w:vAlign w:val="bottom"/>
            <w:hideMark/>
          </w:tcPr>
          <w:p w14:paraId="26B5A0CC"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Минстрой АО</w:t>
            </w:r>
          </w:p>
        </w:tc>
        <w:tc>
          <w:tcPr>
            <w:tcW w:w="448" w:type="pct"/>
            <w:tcBorders>
              <w:top w:val="single" w:sz="6" w:space="0" w:color="auto"/>
              <w:left w:val="single" w:sz="6" w:space="0" w:color="auto"/>
              <w:bottom w:val="single" w:sz="6" w:space="0" w:color="auto"/>
              <w:right w:val="single" w:sz="6" w:space="0" w:color="auto"/>
            </w:tcBorders>
            <w:vAlign w:val="bottom"/>
          </w:tcPr>
          <w:p w14:paraId="20E67E63"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1631,9</w:t>
            </w:r>
          </w:p>
        </w:tc>
        <w:tc>
          <w:tcPr>
            <w:tcW w:w="455" w:type="pct"/>
            <w:tcBorders>
              <w:top w:val="single" w:sz="6" w:space="0" w:color="auto"/>
              <w:left w:val="single" w:sz="6" w:space="0" w:color="auto"/>
              <w:bottom w:val="single" w:sz="6" w:space="0" w:color="auto"/>
              <w:right w:val="single" w:sz="6" w:space="0" w:color="auto"/>
            </w:tcBorders>
            <w:vAlign w:val="bottom"/>
          </w:tcPr>
          <w:p w14:paraId="458B725B"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894,9</w:t>
            </w:r>
          </w:p>
        </w:tc>
        <w:tc>
          <w:tcPr>
            <w:tcW w:w="456" w:type="pct"/>
            <w:tcBorders>
              <w:top w:val="single" w:sz="6" w:space="0" w:color="auto"/>
              <w:left w:val="single" w:sz="6" w:space="0" w:color="auto"/>
              <w:bottom w:val="single" w:sz="6" w:space="0" w:color="auto"/>
              <w:right w:val="single" w:sz="6" w:space="0" w:color="auto"/>
            </w:tcBorders>
            <w:vAlign w:val="bottom"/>
          </w:tcPr>
          <w:p w14:paraId="11AEF776"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737,0</w:t>
            </w:r>
          </w:p>
        </w:tc>
        <w:tc>
          <w:tcPr>
            <w:tcW w:w="455" w:type="pct"/>
            <w:tcBorders>
              <w:top w:val="single" w:sz="6" w:space="0" w:color="auto"/>
              <w:left w:val="single" w:sz="6" w:space="0" w:color="auto"/>
              <w:bottom w:val="single" w:sz="6" w:space="0" w:color="auto"/>
              <w:right w:val="single" w:sz="6" w:space="0" w:color="auto"/>
            </w:tcBorders>
            <w:vAlign w:val="bottom"/>
          </w:tcPr>
          <w:p w14:paraId="00581AA6"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1631,9</w:t>
            </w:r>
          </w:p>
        </w:tc>
        <w:tc>
          <w:tcPr>
            <w:tcW w:w="455" w:type="pct"/>
            <w:tcBorders>
              <w:top w:val="single" w:sz="6" w:space="0" w:color="auto"/>
              <w:left w:val="single" w:sz="6" w:space="0" w:color="auto"/>
              <w:bottom w:val="single" w:sz="6" w:space="0" w:color="auto"/>
              <w:right w:val="single" w:sz="6" w:space="0" w:color="auto"/>
            </w:tcBorders>
            <w:vAlign w:val="bottom"/>
          </w:tcPr>
          <w:p w14:paraId="4F030F4C"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894,9</w:t>
            </w:r>
          </w:p>
        </w:tc>
        <w:tc>
          <w:tcPr>
            <w:tcW w:w="456" w:type="pct"/>
            <w:tcBorders>
              <w:top w:val="single" w:sz="6" w:space="0" w:color="auto"/>
              <w:left w:val="single" w:sz="6" w:space="0" w:color="auto"/>
              <w:bottom w:val="single" w:sz="6" w:space="0" w:color="auto"/>
              <w:right w:val="single" w:sz="6" w:space="0" w:color="auto"/>
            </w:tcBorders>
            <w:vAlign w:val="bottom"/>
          </w:tcPr>
          <w:p w14:paraId="436EAAE8"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737,0</w:t>
            </w:r>
          </w:p>
        </w:tc>
        <w:tc>
          <w:tcPr>
            <w:tcW w:w="380" w:type="pct"/>
            <w:tcBorders>
              <w:top w:val="single" w:sz="6" w:space="0" w:color="auto"/>
              <w:left w:val="single" w:sz="6" w:space="0" w:color="auto"/>
              <w:bottom w:val="single" w:sz="6" w:space="0" w:color="auto"/>
              <w:right w:val="single" w:sz="6" w:space="0" w:color="auto"/>
            </w:tcBorders>
            <w:vAlign w:val="center"/>
          </w:tcPr>
          <w:p w14:paraId="079F5569"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center"/>
          </w:tcPr>
          <w:p w14:paraId="069C496E"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center"/>
          </w:tcPr>
          <w:p w14:paraId="34B9C1DA"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r>
      <w:tr w:rsidR="00FD7B0B" w:rsidRPr="00FD7B0B" w14:paraId="4C00452F" w14:textId="77777777" w:rsidTr="00FB240D">
        <w:trPr>
          <w:trHeight w:hRule="exact" w:val="478"/>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40A5F33E"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ГП «Комплексное развитие сельских территорий Архангельской области»</w:t>
            </w:r>
          </w:p>
          <w:p w14:paraId="39715615"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ФП «Современный облик сельских территорий» (не входит в нац. проект)</w:t>
            </w:r>
          </w:p>
        </w:tc>
      </w:tr>
      <w:tr w:rsidR="00FD7B0B" w:rsidRPr="00FD7B0B" w14:paraId="66D1955F" w14:textId="77777777" w:rsidTr="00D85D50">
        <w:trPr>
          <w:trHeight w:hRule="exact" w:val="230"/>
        </w:trPr>
        <w:tc>
          <w:tcPr>
            <w:tcW w:w="1138" w:type="pct"/>
            <w:tcBorders>
              <w:top w:val="single" w:sz="6" w:space="0" w:color="auto"/>
              <w:left w:val="double" w:sz="4" w:space="0" w:color="auto"/>
              <w:bottom w:val="single" w:sz="6" w:space="0" w:color="auto"/>
              <w:right w:val="single" w:sz="6" w:space="0" w:color="auto"/>
            </w:tcBorders>
            <w:vAlign w:val="bottom"/>
            <w:hideMark/>
          </w:tcPr>
          <w:p w14:paraId="416B08F2"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Минстрой АО</w:t>
            </w:r>
          </w:p>
        </w:tc>
        <w:tc>
          <w:tcPr>
            <w:tcW w:w="448" w:type="pct"/>
            <w:tcBorders>
              <w:top w:val="single" w:sz="6" w:space="0" w:color="auto"/>
              <w:left w:val="single" w:sz="6" w:space="0" w:color="auto"/>
              <w:bottom w:val="single" w:sz="6" w:space="0" w:color="auto"/>
              <w:right w:val="single" w:sz="6" w:space="0" w:color="auto"/>
            </w:tcBorders>
            <w:vAlign w:val="bottom"/>
          </w:tcPr>
          <w:p w14:paraId="424302D5"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721,8</w:t>
            </w:r>
          </w:p>
        </w:tc>
        <w:tc>
          <w:tcPr>
            <w:tcW w:w="455" w:type="pct"/>
            <w:tcBorders>
              <w:top w:val="single" w:sz="6" w:space="0" w:color="auto"/>
              <w:left w:val="single" w:sz="6" w:space="0" w:color="auto"/>
              <w:bottom w:val="single" w:sz="6" w:space="0" w:color="auto"/>
              <w:right w:val="single" w:sz="6" w:space="0" w:color="auto"/>
            </w:tcBorders>
            <w:vAlign w:val="bottom"/>
          </w:tcPr>
          <w:p w14:paraId="1FD073D5" w14:textId="77777777" w:rsidR="00FB240D" w:rsidRPr="00FD7B0B" w:rsidRDefault="00FB240D" w:rsidP="00FB240D">
            <w:pPr>
              <w:jc w:val="right"/>
              <w:rPr>
                <w:rFonts w:ascii="Times New Roman" w:hAnsi="Times New Roman"/>
                <w:sz w:val="18"/>
                <w:szCs w:val="18"/>
              </w:rPr>
            </w:pPr>
            <w:r w:rsidRPr="00FD7B0B">
              <w:rPr>
                <w:rFonts w:ascii="Times New Roman" w:hAnsi="Times New Roman"/>
                <w:sz w:val="18"/>
                <w:szCs w:val="18"/>
              </w:rPr>
              <w:t>629,2</w:t>
            </w:r>
          </w:p>
        </w:tc>
        <w:tc>
          <w:tcPr>
            <w:tcW w:w="456" w:type="pct"/>
            <w:tcBorders>
              <w:top w:val="single" w:sz="6" w:space="0" w:color="auto"/>
              <w:left w:val="single" w:sz="6" w:space="0" w:color="auto"/>
              <w:bottom w:val="single" w:sz="6" w:space="0" w:color="auto"/>
              <w:right w:val="single" w:sz="6" w:space="0" w:color="auto"/>
            </w:tcBorders>
            <w:vAlign w:val="bottom"/>
          </w:tcPr>
          <w:p w14:paraId="1AF86CAD" w14:textId="77777777" w:rsidR="00FB240D" w:rsidRPr="00FD7B0B" w:rsidRDefault="00FB240D" w:rsidP="00FB240D">
            <w:pPr>
              <w:jc w:val="right"/>
              <w:rPr>
                <w:rFonts w:ascii="Times New Roman" w:hAnsi="Times New Roman"/>
                <w:sz w:val="18"/>
                <w:szCs w:val="18"/>
              </w:rPr>
            </w:pPr>
            <w:r w:rsidRPr="00FD7B0B">
              <w:rPr>
                <w:rFonts w:ascii="Times New Roman" w:hAnsi="Times New Roman"/>
                <w:sz w:val="18"/>
                <w:szCs w:val="18"/>
              </w:rPr>
              <w:t>92,6</w:t>
            </w:r>
          </w:p>
        </w:tc>
        <w:tc>
          <w:tcPr>
            <w:tcW w:w="455" w:type="pct"/>
            <w:tcBorders>
              <w:top w:val="single" w:sz="6" w:space="0" w:color="auto"/>
              <w:left w:val="single" w:sz="6" w:space="0" w:color="auto"/>
              <w:bottom w:val="single" w:sz="6" w:space="0" w:color="auto"/>
              <w:right w:val="single" w:sz="6" w:space="0" w:color="auto"/>
            </w:tcBorders>
            <w:vAlign w:val="bottom"/>
          </w:tcPr>
          <w:p w14:paraId="476DE876" w14:textId="77777777" w:rsidR="00FB240D" w:rsidRPr="00FD7B0B" w:rsidRDefault="00FB240D" w:rsidP="00FB240D">
            <w:pPr>
              <w:jc w:val="right"/>
              <w:rPr>
                <w:rFonts w:ascii="Times New Roman" w:hAnsi="Times New Roman"/>
                <w:sz w:val="18"/>
                <w:szCs w:val="18"/>
              </w:rPr>
            </w:pPr>
            <w:r w:rsidRPr="00FD7B0B">
              <w:rPr>
                <w:rFonts w:ascii="Times New Roman" w:hAnsi="Times New Roman"/>
                <w:sz w:val="18"/>
                <w:szCs w:val="18"/>
              </w:rPr>
              <w:t>721,8</w:t>
            </w:r>
          </w:p>
        </w:tc>
        <w:tc>
          <w:tcPr>
            <w:tcW w:w="455" w:type="pct"/>
            <w:tcBorders>
              <w:top w:val="single" w:sz="6" w:space="0" w:color="auto"/>
              <w:left w:val="single" w:sz="6" w:space="0" w:color="auto"/>
              <w:bottom w:val="single" w:sz="6" w:space="0" w:color="auto"/>
              <w:right w:val="single" w:sz="6" w:space="0" w:color="auto"/>
            </w:tcBorders>
            <w:vAlign w:val="bottom"/>
          </w:tcPr>
          <w:p w14:paraId="5E7BD8DF" w14:textId="77777777" w:rsidR="00FB240D" w:rsidRPr="00FD7B0B" w:rsidRDefault="00FB240D" w:rsidP="00FB240D">
            <w:pPr>
              <w:jc w:val="right"/>
              <w:rPr>
                <w:rFonts w:ascii="Times New Roman" w:hAnsi="Times New Roman"/>
                <w:sz w:val="18"/>
                <w:szCs w:val="18"/>
              </w:rPr>
            </w:pPr>
            <w:r w:rsidRPr="00FD7B0B">
              <w:rPr>
                <w:rFonts w:ascii="Times New Roman" w:hAnsi="Times New Roman"/>
                <w:sz w:val="18"/>
                <w:szCs w:val="18"/>
              </w:rPr>
              <w:t>629,2</w:t>
            </w:r>
          </w:p>
        </w:tc>
        <w:tc>
          <w:tcPr>
            <w:tcW w:w="456" w:type="pct"/>
            <w:tcBorders>
              <w:top w:val="single" w:sz="6" w:space="0" w:color="auto"/>
              <w:left w:val="single" w:sz="6" w:space="0" w:color="auto"/>
              <w:bottom w:val="single" w:sz="6" w:space="0" w:color="auto"/>
              <w:right w:val="single" w:sz="6" w:space="0" w:color="auto"/>
            </w:tcBorders>
            <w:vAlign w:val="bottom"/>
          </w:tcPr>
          <w:p w14:paraId="503BD354" w14:textId="77777777" w:rsidR="00FB240D" w:rsidRPr="00FD7B0B" w:rsidRDefault="00FB240D" w:rsidP="00FB240D">
            <w:pPr>
              <w:jc w:val="right"/>
              <w:rPr>
                <w:rFonts w:ascii="Times New Roman" w:hAnsi="Times New Roman"/>
                <w:sz w:val="18"/>
                <w:szCs w:val="18"/>
              </w:rPr>
            </w:pPr>
            <w:r w:rsidRPr="00FD7B0B">
              <w:rPr>
                <w:rFonts w:ascii="Times New Roman" w:hAnsi="Times New Roman"/>
                <w:sz w:val="18"/>
                <w:szCs w:val="18"/>
              </w:rPr>
              <w:t>92,6</w:t>
            </w:r>
          </w:p>
        </w:tc>
        <w:tc>
          <w:tcPr>
            <w:tcW w:w="380" w:type="pct"/>
            <w:tcBorders>
              <w:top w:val="single" w:sz="6" w:space="0" w:color="auto"/>
              <w:left w:val="single" w:sz="6" w:space="0" w:color="auto"/>
              <w:bottom w:val="single" w:sz="6" w:space="0" w:color="auto"/>
              <w:right w:val="single" w:sz="6" w:space="0" w:color="auto"/>
            </w:tcBorders>
            <w:vAlign w:val="bottom"/>
          </w:tcPr>
          <w:p w14:paraId="22272212" w14:textId="77777777" w:rsidR="00FB240D" w:rsidRPr="00FD7B0B" w:rsidRDefault="00FB240D" w:rsidP="00FB240D">
            <w:pPr>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5252DD3C" w14:textId="77777777" w:rsidR="00FB240D" w:rsidRPr="00FD7B0B" w:rsidRDefault="00FB240D" w:rsidP="00FB240D">
            <w:pPr>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4FFE38B0" w14:textId="77777777" w:rsidR="00FB240D" w:rsidRPr="00FD7B0B" w:rsidRDefault="00FB240D" w:rsidP="00FB240D">
            <w:pPr>
              <w:jc w:val="right"/>
              <w:rPr>
                <w:rFonts w:ascii="Times New Roman" w:hAnsi="Times New Roman"/>
                <w:sz w:val="18"/>
                <w:szCs w:val="18"/>
              </w:rPr>
            </w:pPr>
            <w:r w:rsidRPr="00FD7B0B">
              <w:rPr>
                <w:rFonts w:ascii="Times New Roman" w:hAnsi="Times New Roman"/>
                <w:sz w:val="18"/>
                <w:szCs w:val="18"/>
              </w:rPr>
              <w:t>100,0</w:t>
            </w:r>
          </w:p>
        </w:tc>
      </w:tr>
      <w:tr w:rsidR="00FD7B0B" w:rsidRPr="00FD7B0B" w14:paraId="23DC99BF" w14:textId="77777777" w:rsidTr="00D85D50">
        <w:trPr>
          <w:trHeight w:hRule="exact" w:val="622"/>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115C4AC3"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ГП «Комплексное развитие сельских территорий Архангельской области»</w:t>
            </w:r>
          </w:p>
          <w:p w14:paraId="1CACC7E0"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ФП «Развитие жилищного строительства на сельских территориях и повышение уровня благоустройства домовладений» (не входит в нац. проект)</w:t>
            </w:r>
          </w:p>
          <w:p w14:paraId="2B7C9639" w14:textId="77777777" w:rsidR="00FB240D" w:rsidRPr="00FD7B0B" w:rsidRDefault="00FB240D" w:rsidP="00FB240D">
            <w:pPr>
              <w:spacing w:after="0" w:line="240" w:lineRule="auto"/>
              <w:jc w:val="center"/>
              <w:rPr>
                <w:rFonts w:ascii="Times New Roman" w:hAnsi="Times New Roman"/>
                <w:sz w:val="18"/>
                <w:szCs w:val="18"/>
              </w:rPr>
            </w:pPr>
          </w:p>
          <w:p w14:paraId="659BC4DF" w14:textId="77777777" w:rsidR="00FB240D" w:rsidRPr="00FD7B0B" w:rsidRDefault="00FB240D" w:rsidP="00FB240D">
            <w:pPr>
              <w:spacing w:after="0" w:line="240" w:lineRule="auto"/>
              <w:jc w:val="right"/>
              <w:rPr>
                <w:rFonts w:ascii="Times New Roman" w:hAnsi="Times New Roman"/>
                <w:sz w:val="18"/>
                <w:szCs w:val="18"/>
              </w:rPr>
            </w:pPr>
          </w:p>
        </w:tc>
      </w:tr>
      <w:tr w:rsidR="00FD7B0B" w:rsidRPr="00FD7B0B" w14:paraId="2FB14E1F" w14:textId="77777777" w:rsidTr="00D85D50">
        <w:trPr>
          <w:trHeight w:hRule="exact" w:val="255"/>
        </w:trPr>
        <w:tc>
          <w:tcPr>
            <w:tcW w:w="1138" w:type="pct"/>
            <w:tcBorders>
              <w:top w:val="single" w:sz="6" w:space="0" w:color="auto"/>
              <w:left w:val="double" w:sz="4" w:space="0" w:color="auto"/>
              <w:bottom w:val="single" w:sz="6" w:space="0" w:color="auto"/>
              <w:right w:val="single" w:sz="6" w:space="0" w:color="auto"/>
            </w:tcBorders>
            <w:vAlign w:val="bottom"/>
          </w:tcPr>
          <w:p w14:paraId="6102FC17"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Минагропром АО</w:t>
            </w:r>
          </w:p>
        </w:tc>
        <w:tc>
          <w:tcPr>
            <w:tcW w:w="448" w:type="pct"/>
            <w:tcBorders>
              <w:top w:val="single" w:sz="6" w:space="0" w:color="auto"/>
              <w:left w:val="single" w:sz="6" w:space="0" w:color="auto"/>
              <w:bottom w:val="single" w:sz="6" w:space="0" w:color="auto"/>
              <w:right w:val="single" w:sz="6" w:space="0" w:color="auto"/>
            </w:tcBorders>
            <w:vAlign w:val="bottom"/>
          </w:tcPr>
          <w:p w14:paraId="4A8DF80A"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24,4</w:t>
            </w:r>
          </w:p>
        </w:tc>
        <w:tc>
          <w:tcPr>
            <w:tcW w:w="455" w:type="pct"/>
            <w:tcBorders>
              <w:top w:val="single" w:sz="6" w:space="0" w:color="auto"/>
              <w:left w:val="single" w:sz="6" w:space="0" w:color="auto"/>
              <w:bottom w:val="single" w:sz="6" w:space="0" w:color="auto"/>
              <w:right w:val="single" w:sz="6" w:space="0" w:color="auto"/>
            </w:tcBorders>
            <w:vAlign w:val="bottom"/>
          </w:tcPr>
          <w:p w14:paraId="437170DF"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23,9</w:t>
            </w:r>
          </w:p>
        </w:tc>
        <w:tc>
          <w:tcPr>
            <w:tcW w:w="456" w:type="pct"/>
            <w:tcBorders>
              <w:top w:val="single" w:sz="6" w:space="0" w:color="auto"/>
              <w:left w:val="single" w:sz="6" w:space="0" w:color="auto"/>
              <w:bottom w:val="single" w:sz="6" w:space="0" w:color="auto"/>
              <w:right w:val="single" w:sz="6" w:space="0" w:color="auto"/>
            </w:tcBorders>
            <w:vAlign w:val="bottom"/>
          </w:tcPr>
          <w:p w14:paraId="720401A9"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0,5</w:t>
            </w:r>
          </w:p>
        </w:tc>
        <w:tc>
          <w:tcPr>
            <w:tcW w:w="455" w:type="pct"/>
            <w:tcBorders>
              <w:top w:val="single" w:sz="6" w:space="0" w:color="auto"/>
              <w:left w:val="single" w:sz="6" w:space="0" w:color="auto"/>
              <w:bottom w:val="single" w:sz="6" w:space="0" w:color="auto"/>
              <w:right w:val="single" w:sz="6" w:space="0" w:color="auto"/>
            </w:tcBorders>
            <w:vAlign w:val="bottom"/>
          </w:tcPr>
          <w:p w14:paraId="1EC0AAC1"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24,4</w:t>
            </w:r>
          </w:p>
        </w:tc>
        <w:tc>
          <w:tcPr>
            <w:tcW w:w="455" w:type="pct"/>
            <w:tcBorders>
              <w:top w:val="single" w:sz="6" w:space="0" w:color="auto"/>
              <w:left w:val="single" w:sz="6" w:space="0" w:color="auto"/>
              <w:bottom w:val="single" w:sz="6" w:space="0" w:color="auto"/>
              <w:right w:val="single" w:sz="6" w:space="0" w:color="auto"/>
            </w:tcBorders>
            <w:vAlign w:val="bottom"/>
          </w:tcPr>
          <w:p w14:paraId="6063796A"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23,9</w:t>
            </w:r>
          </w:p>
        </w:tc>
        <w:tc>
          <w:tcPr>
            <w:tcW w:w="456" w:type="pct"/>
            <w:tcBorders>
              <w:top w:val="single" w:sz="6" w:space="0" w:color="auto"/>
              <w:left w:val="single" w:sz="6" w:space="0" w:color="auto"/>
              <w:bottom w:val="single" w:sz="6" w:space="0" w:color="auto"/>
              <w:right w:val="single" w:sz="6" w:space="0" w:color="auto"/>
            </w:tcBorders>
            <w:vAlign w:val="bottom"/>
          </w:tcPr>
          <w:p w14:paraId="6335C666"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0,5</w:t>
            </w:r>
          </w:p>
        </w:tc>
        <w:tc>
          <w:tcPr>
            <w:tcW w:w="380" w:type="pct"/>
            <w:tcBorders>
              <w:top w:val="single" w:sz="6" w:space="0" w:color="auto"/>
              <w:left w:val="single" w:sz="6" w:space="0" w:color="auto"/>
              <w:bottom w:val="single" w:sz="6" w:space="0" w:color="auto"/>
              <w:right w:val="single" w:sz="6" w:space="0" w:color="auto"/>
            </w:tcBorders>
            <w:vAlign w:val="bottom"/>
          </w:tcPr>
          <w:p w14:paraId="210930AA"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789CBC07"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2FE64351"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r>
      <w:tr w:rsidR="00FD7B0B" w:rsidRPr="00FD7B0B" w14:paraId="6413504D" w14:textId="77777777" w:rsidTr="00FB240D">
        <w:trPr>
          <w:trHeight w:hRule="exact" w:val="418"/>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400ED0FB"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ГП «Комплексное развитие сельских территорий Архангельской области»</w:t>
            </w:r>
          </w:p>
          <w:p w14:paraId="1373FF3C" w14:textId="77777777" w:rsidR="00FB240D" w:rsidRPr="00FD7B0B" w:rsidRDefault="00FB240D" w:rsidP="00FB240D">
            <w:pPr>
              <w:spacing w:after="0" w:line="240" w:lineRule="auto"/>
              <w:jc w:val="center"/>
              <w:rPr>
                <w:rFonts w:ascii="Times New Roman" w:hAnsi="Times New Roman"/>
                <w:sz w:val="18"/>
                <w:szCs w:val="20"/>
              </w:rPr>
            </w:pPr>
            <w:r w:rsidRPr="00FD7B0B">
              <w:rPr>
                <w:rFonts w:ascii="Times New Roman" w:hAnsi="Times New Roman"/>
                <w:sz w:val="18"/>
                <w:szCs w:val="18"/>
              </w:rPr>
              <w:t>ФП «Развитие транспортной инфраструктуры на сельских территориях» (не входит в нац. проект)</w:t>
            </w:r>
          </w:p>
        </w:tc>
      </w:tr>
      <w:tr w:rsidR="00FD7B0B" w:rsidRPr="00FD7B0B" w14:paraId="319F80DF" w14:textId="77777777" w:rsidTr="00D85D50">
        <w:trPr>
          <w:trHeight w:hRule="exact" w:val="255"/>
        </w:trPr>
        <w:tc>
          <w:tcPr>
            <w:tcW w:w="1138" w:type="pct"/>
            <w:tcBorders>
              <w:top w:val="single" w:sz="6" w:space="0" w:color="auto"/>
              <w:left w:val="double" w:sz="4" w:space="0" w:color="auto"/>
              <w:bottom w:val="single" w:sz="6" w:space="0" w:color="auto"/>
              <w:right w:val="single" w:sz="6" w:space="0" w:color="auto"/>
            </w:tcBorders>
            <w:vAlign w:val="bottom"/>
          </w:tcPr>
          <w:p w14:paraId="53FC79F4"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Минтранс АО</w:t>
            </w:r>
          </w:p>
        </w:tc>
        <w:tc>
          <w:tcPr>
            <w:tcW w:w="448" w:type="pct"/>
            <w:tcBorders>
              <w:top w:val="single" w:sz="6" w:space="0" w:color="auto"/>
              <w:left w:val="single" w:sz="6" w:space="0" w:color="auto"/>
              <w:bottom w:val="single" w:sz="6" w:space="0" w:color="auto"/>
              <w:right w:val="single" w:sz="6" w:space="0" w:color="auto"/>
            </w:tcBorders>
            <w:vAlign w:val="bottom"/>
          </w:tcPr>
          <w:p w14:paraId="17DF79A2"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92,8</w:t>
            </w:r>
          </w:p>
        </w:tc>
        <w:tc>
          <w:tcPr>
            <w:tcW w:w="455" w:type="pct"/>
            <w:tcBorders>
              <w:top w:val="single" w:sz="6" w:space="0" w:color="auto"/>
              <w:left w:val="single" w:sz="6" w:space="0" w:color="auto"/>
              <w:bottom w:val="single" w:sz="6" w:space="0" w:color="auto"/>
              <w:right w:val="single" w:sz="6" w:space="0" w:color="auto"/>
            </w:tcBorders>
            <w:vAlign w:val="bottom"/>
          </w:tcPr>
          <w:p w14:paraId="7349F638"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90,9</w:t>
            </w:r>
          </w:p>
        </w:tc>
        <w:tc>
          <w:tcPr>
            <w:tcW w:w="456" w:type="pct"/>
            <w:tcBorders>
              <w:top w:val="single" w:sz="6" w:space="0" w:color="auto"/>
              <w:left w:val="single" w:sz="6" w:space="0" w:color="auto"/>
              <w:bottom w:val="single" w:sz="6" w:space="0" w:color="auto"/>
              <w:right w:val="single" w:sz="6" w:space="0" w:color="auto"/>
            </w:tcBorders>
            <w:vAlign w:val="bottom"/>
          </w:tcPr>
          <w:p w14:paraId="7777AF49"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1,9</w:t>
            </w:r>
          </w:p>
        </w:tc>
        <w:tc>
          <w:tcPr>
            <w:tcW w:w="455" w:type="pct"/>
            <w:tcBorders>
              <w:top w:val="single" w:sz="6" w:space="0" w:color="auto"/>
              <w:left w:val="single" w:sz="6" w:space="0" w:color="auto"/>
              <w:bottom w:val="single" w:sz="6" w:space="0" w:color="auto"/>
              <w:right w:val="single" w:sz="6" w:space="0" w:color="auto"/>
            </w:tcBorders>
            <w:vAlign w:val="bottom"/>
          </w:tcPr>
          <w:p w14:paraId="458C87EB"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92,8</w:t>
            </w:r>
          </w:p>
        </w:tc>
        <w:tc>
          <w:tcPr>
            <w:tcW w:w="455" w:type="pct"/>
            <w:tcBorders>
              <w:top w:val="single" w:sz="6" w:space="0" w:color="auto"/>
              <w:left w:val="single" w:sz="6" w:space="0" w:color="auto"/>
              <w:bottom w:val="single" w:sz="6" w:space="0" w:color="auto"/>
              <w:right w:val="single" w:sz="6" w:space="0" w:color="auto"/>
            </w:tcBorders>
            <w:vAlign w:val="bottom"/>
          </w:tcPr>
          <w:p w14:paraId="3B471AB6"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90,9</w:t>
            </w:r>
          </w:p>
        </w:tc>
        <w:tc>
          <w:tcPr>
            <w:tcW w:w="456" w:type="pct"/>
            <w:tcBorders>
              <w:top w:val="single" w:sz="6" w:space="0" w:color="auto"/>
              <w:left w:val="single" w:sz="6" w:space="0" w:color="auto"/>
              <w:bottom w:val="single" w:sz="6" w:space="0" w:color="auto"/>
              <w:right w:val="single" w:sz="6" w:space="0" w:color="auto"/>
            </w:tcBorders>
            <w:vAlign w:val="bottom"/>
          </w:tcPr>
          <w:p w14:paraId="31D897E0"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1,9</w:t>
            </w:r>
          </w:p>
        </w:tc>
        <w:tc>
          <w:tcPr>
            <w:tcW w:w="380" w:type="pct"/>
            <w:tcBorders>
              <w:top w:val="single" w:sz="6" w:space="0" w:color="auto"/>
              <w:left w:val="single" w:sz="6" w:space="0" w:color="auto"/>
              <w:bottom w:val="single" w:sz="6" w:space="0" w:color="auto"/>
              <w:right w:val="single" w:sz="6" w:space="0" w:color="auto"/>
            </w:tcBorders>
            <w:vAlign w:val="bottom"/>
          </w:tcPr>
          <w:p w14:paraId="5D474B75"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bottom"/>
          </w:tcPr>
          <w:p w14:paraId="1326B49A"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bottom"/>
          </w:tcPr>
          <w:p w14:paraId="4EEB3D67"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r>
      <w:tr w:rsidR="00FD7B0B" w:rsidRPr="00FD7B0B" w14:paraId="27151E6E" w14:textId="77777777" w:rsidTr="00FB240D">
        <w:trPr>
          <w:trHeight w:hRule="exact" w:val="446"/>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4F1FA66E"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 xml:space="preserve">ГП «Развитие энергетики и жилищно-коммунального хозяйства Архангельской области» </w:t>
            </w:r>
          </w:p>
          <w:p w14:paraId="0C40A560"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ФП «Чистая вода» (</w:t>
            </w:r>
            <w:r w:rsidRPr="00FD7B0B">
              <w:rPr>
                <w:rFonts w:ascii="Times New Roman" w:hAnsi="Times New Roman"/>
                <w:sz w:val="18"/>
                <w:szCs w:val="18"/>
                <w:lang w:val="en-US"/>
              </w:rPr>
              <w:t>F</w:t>
            </w:r>
            <w:r w:rsidRPr="00FD7B0B">
              <w:rPr>
                <w:rFonts w:ascii="Times New Roman" w:hAnsi="Times New Roman"/>
                <w:sz w:val="18"/>
                <w:szCs w:val="18"/>
              </w:rPr>
              <w:t>5)</w:t>
            </w:r>
          </w:p>
        </w:tc>
      </w:tr>
      <w:tr w:rsidR="00FD7B0B" w:rsidRPr="00FD7B0B" w14:paraId="62164A89" w14:textId="77777777" w:rsidTr="00D85D50">
        <w:trPr>
          <w:trHeight w:val="117"/>
        </w:trPr>
        <w:tc>
          <w:tcPr>
            <w:tcW w:w="1138" w:type="pct"/>
            <w:tcBorders>
              <w:top w:val="single" w:sz="6" w:space="0" w:color="auto"/>
              <w:left w:val="double" w:sz="4" w:space="0" w:color="auto"/>
              <w:bottom w:val="single" w:sz="6" w:space="0" w:color="auto"/>
              <w:right w:val="single" w:sz="6" w:space="0" w:color="auto"/>
            </w:tcBorders>
            <w:vAlign w:val="bottom"/>
            <w:hideMark/>
          </w:tcPr>
          <w:p w14:paraId="703D3188"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МинТЭК АО</w:t>
            </w:r>
          </w:p>
        </w:tc>
        <w:tc>
          <w:tcPr>
            <w:tcW w:w="448" w:type="pct"/>
            <w:tcBorders>
              <w:top w:val="single" w:sz="6" w:space="0" w:color="auto"/>
              <w:left w:val="single" w:sz="6" w:space="0" w:color="auto"/>
              <w:bottom w:val="single" w:sz="6" w:space="0" w:color="auto"/>
              <w:right w:val="single" w:sz="6" w:space="0" w:color="auto"/>
            </w:tcBorders>
            <w:vAlign w:val="bottom"/>
          </w:tcPr>
          <w:p w14:paraId="76A22ADC"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497,7</w:t>
            </w:r>
          </w:p>
        </w:tc>
        <w:tc>
          <w:tcPr>
            <w:tcW w:w="455" w:type="pct"/>
            <w:tcBorders>
              <w:top w:val="single" w:sz="6" w:space="0" w:color="auto"/>
              <w:left w:val="single" w:sz="6" w:space="0" w:color="auto"/>
              <w:bottom w:val="single" w:sz="6" w:space="0" w:color="auto"/>
              <w:right w:val="single" w:sz="6" w:space="0" w:color="auto"/>
            </w:tcBorders>
            <w:vAlign w:val="bottom"/>
          </w:tcPr>
          <w:p w14:paraId="46532EE3"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487,7</w:t>
            </w:r>
          </w:p>
        </w:tc>
        <w:tc>
          <w:tcPr>
            <w:tcW w:w="456" w:type="pct"/>
            <w:tcBorders>
              <w:top w:val="single" w:sz="6" w:space="0" w:color="auto"/>
              <w:left w:val="single" w:sz="6" w:space="0" w:color="auto"/>
              <w:bottom w:val="single" w:sz="6" w:space="0" w:color="auto"/>
              <w:right w:val="single" w:sz="6" w:space="0" w:color="auto"/>
            </w:tcBorders>
            <w:vAlign w:val="bottom"/>
          </w:tcPr>
          <w:p w14:paraId="003A82C6"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w:t>
            </w:r>
          </w:p>
        </w:tc>
        <w:tc>
          <w:tcPr>
            <w:tcW w:w="455" w:type="pct"/>
            <w:tcBorders>
              <w:top w:val="single" w:sz="6" w:space="0" w:color="auto"/>
              <w:left w:val="single" w:sz="6" w:space="0" w:color="auto"/>
              <w:bottom w:val="single" w:sz="6" w:space="0" w:color="auto"/>
              <w:right w:val="single" w:sz="6" w:space="0" w:color="auto"/>
            </w:tcBorders>
            <w:vAlign w:val="bottom"/>
          </w:tcPr>
          <w:p w14:paraId="5FB7A445"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497,7</w:t>
            </w:r>
          </w:p>
        </w:tc>
        <w:tc>
          <w:tcPr>
            <w:tcW w:w="455" w:type="pct"/>
            <w:tcBorders>
              <w:top w:val="single" w:sz="6" w:space="0" w:color="auto"/>
              <w:left w:val="single" w:sz="6" w:space="0" w:color="auto"/>
              <w:bottom w:val="single" w:sz="6" w:space="0" w:color="auto"/>
              <w:right w:val="single" w:sz="6" w:space="0" w:color="auto"/>
            </w:tcBorders>
            <w:vAlign w:val="bottom"/>
          </w:tcPr>
          <w:p w14:paraId="2325C9B4"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487,7</w:t>
            </w:r>
          </w:p>
        </w:tc>
        <w:tc>
          <w:tcPr>
            <w:tcW w:w="456" w:type="pct"/>
            <w:tcBorders>
              <w:top w:val="single" w:sz="6" w:space="0" w:color="auto"/>
              <w:left w:val="single" w:sz="6" w:space="0" w:color="auto"/>
              <w:bottom w:val="single" w:sz="6" w:space="0" w:color="auto"/>
              <w:right w:val="single" w:sz="6" w:space="0" w:color="auto"/>
            </w:tcBorders>
            <w:vAlign w:val="bottom"/>
          </w:tcPr>
          <w:p w14:paraId="7BB7D00F"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w:t>
            </w:r>
          </w:p>
        </w:tc>
        <w:tc>
          <w:tcPr>
            <w:tcW w:w="380" w:type="pct"/>
            <w:tcBorders>
              <w:top w:val="single" w:sz="6" w:space="0" w:color="auto"/>
              <w:left w:val="single" w:sz="6" w:space="0" w:color="auto"/>
              <w:bottom w:val="single" w:sz="6" w:space="0" w:color="auto"/>
              <w:right w:val="single" w:sz="6" w:space="0" w:color="auto"/>
            </w:tcBorders>
            <w:vAlign w:val="center"/>
          </w:tcPr>
          <w:p w14:paraId="55B5CF33"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center"/>
          </w:tcPr>
          <w:p w14:paraId="3ADACC31"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center"/>
          </w:tcPr>
          <w:p w14:paraId="76D84685"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r>
      <w:tr w:rsidR="00FD7B0B" w:rsidRPr="00FD7B0B" w14:paraId="0D3F2B6E" w14:textId="77777777" w:rsidTr="00FB240D">
        <w:trPr>
          <w:trHeight w:val="117"/>
        </w:trPr>
        <w:tc>
          <w:tcPr>
            <w:tcW w:w="5000" w:type="pct"/>
            <w:gridSpan w:val="10"/>
            <w:tcBorders>
              <w:top w:val="single" w:sz="6" w:space="0" w:color="auto"/>
              <w:left w:val="double" w:sz="4" w:space="0" w:color="auto"/>
              <w:bottom w:val="single" w:sz="6" w:space="0" w:color="auto"/>
              <w:right w:val="double" w:sz="4" w:space="0" w:color="auto"/>
            </w:tcBorders>
            <w:vAlign w:val="bottom"/>
          </w:tcPr>
          <w:p w14:paraId="0C364B1B"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ГП «Экономическое развитие и инвестиционная деятельность в Архангельской области»</w:t>
            </w:r>
          </w:p>
          <w:p w14:paraId="19EBFC6A"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ФП «Государственная поддержка реализации на территории Арктической зоны Российской Федерации инвестиционных проектов»</w:t>
            </w:r>
          </w:p>
        </w:tc>
      </w:tr>
      <w:tr w:rsidR="00FD7B0B" w:rsidRPr="00FD7B0B" w14:paraId="654636BF" w14:textId="77777777" w:rsidTr="00D85D50">
        <w:trPr>
          <w:trHeight w:val="117"/>
        </w:trPr>
        <w:tc>
          <w:tcPr>
            <w:tcW w:w="1138" w:type="pct"/>
            <w:tcBorders>
              <w:top w:val="single" w:sz="6" w:space="0" w:color="auto"/>
              <w:left w:val="double" w:sz="4" w:space="0" w:color="auto"/>
              <w:bottom w:val="single" w:sz="6" w:space="0" w:color="auto"/>
              <w:right w:val="single" w:sz="6" w:space="0" w:color="auto"/>
            </w:tcBorders>
            <w:vAlign w:val="bottom"/>
          </w:tcPr>
          <w:p w14:paraId="4B71C1EC"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МинТЭК АО</w:t>
            </w:r>
          </w:p>
        </w:tc>
        <w:tc>
          <w:tcPr>
            <w:tcW w:w="448" w:type="pct"/>
            <w:tcBorders>
              <w:top w:val="single" w:sz="6" w:space="0" w:color="auto"/>
              <w:left w:val="single" w:sz="6" w:space="0" w:color="auto"/>
              <w:bottom w:val="single" w:sz="6" w:space="0" w:color="auto"/>
              <w:right w:val="single" w:sz="6" w:space="0" w:color="auto"/>
            </w:tcBorders>
            <w:vAlign w:val="bottom"/>
          </w:tcPr>
          <w:p w14:paraId="662965F4"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301,5</w:t>
            </w:r>
          </w:p>
        </w:tc>
        <w:tc>
          <w:tcPr>
            <w:tcW w:w="455" w:type="pct"/>
            <w:tcBorders>
              <w:top w:val="single" w:sz="6" w:space="0" w:color="auto"/>
              <w:left w:val="single" w:sz="6" w:space="0" w:color="auto"/>
              <w:bottom w:val="single" w:sz="6" w:space="0" w:color="auto"/>
              <w:right w:val="single" w:sz="6" w:space="0" w:color="auto"/>
            </w:tcBorders>
            <w:vAlign w:val="bottom"/>
          </w:tcPr>
          <w:p w14:paraId="5D393F12"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271,4</w:t>
            </w:r>
          </w:p>
        </w:tc>
        <w:tc>
          <w:tcPr>
            <w:tcW w:w="456" w:type="pct"/>
            <w:tcBorders>
              <w:top w:val="single" w:sz="6" w:space="0" w:color="auto"/>
              <w:left w:val="single" w:sz="6" w:space="0" w:color="auto"/>
              <w:bottom w:val="single" w:sz="6" w:space="0" w:color="auto"/>
              <w:right w:val="single" w:sz="6" w:space="0" w:color="auto"/>
            </w:tcBorders>
            <w:vAlign w:val="bottom"/>
          </w:tcPr>
          <w:p w14:paraId="783571EC"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30,1</w:t>
            </w:r>
          </w:p>
        </w:tc>
        <w:tc>
          <w:tcPr>
            <w:tcW w:w="455" w:type="pct"/>
            <w:tcBorders>
              <w:top w:val="single" w:sz="6" w:space="0" w:color="auto"/>
              <w:left w:val="single" w:sz="6" w:space="0" w:color="auto"/>
              <w:bottom w:val="single" w:sz="6" w:space="0" w:color="auto"/>
              <w:right w:val="single" w:sz="6" w:space="0" w:color="auto"/>
            </w:tcBorders>
            <w:vAlign w:val="bottom"/>
          </w:tcPr>
          <w:p w14:paraId="35606984"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301,5</w:t>
            </w:r>
          </w:p>
        </w:tc>
        <w:tc>
          <w:tcPr>
            <w:tcW w:w="455" w:type="pct"/>
            <w:tcBorders>
              <w:top w:val="single" w:sz="6" w:space="0" w:color="auto"/>
              <w:left w:val="single" w:sz="6" w:space="0" w:color="auto"/>
              <w:bottom w:val="single" w:sz="6" w:space="0" w:color="auto"/>
              <w:right w:val="single" w:sz="6" w:space="0" w:color="auto"/>
            </w:tcBorders>
            <w:vAlign w:val="bottom"/>
          </w:tcPr>
          <w:p w14:paraId="4EBCAD51"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271,4</w:t>
            </w:r>
          </w:p>
        </w:tc>
        <w:tc>
          <w:tcPr>
            <w:tcW w:w="456" w:type="pct"/>
            <w:tcBorders>
              <w:top w:val="single" w:sz="6" w:space="0" w:color="auto"/>
              <w:left w:val="single" w:sz="6" w:space="0" w:color="auto"/>
              <w:bottom w:val="single" w:sz="6" w:space="0" w:color="auto"/>
              <w:right w:val="single" w:sz="6" w:space="0" w:color="auto"/>
            </w:tcBorders>
            <w:vAlign w:val="bottom"/>
          </w:tcPr>
          <w:p w14:paraId="3751D764"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30,1</w:t>
            </w:r>
          </w:p>
        </w:tc>
        <w:tc>
          <w:tcPr>
            <w:tcW w:w="380" w:type="pct"/>
            <w:tcBorders>
              <w:top w:val="single" w:sz="6" w:space="0" w:color="auto"/>
              <w:left w:val="single" w:sz="6" w:space="0" w:color="auto"/>
              <w:bottom w:val="single" w:sz="6" w:space="0" w:color="auto"/>
              <w:right w:val="single" w:sz="6" w:space="0" w:color="auto"/>
            </w:tcBorders>
            <w:vAlign w:val="center"/>
          </w:tcPr>
          <w:p w14:paraId="59C0DE6F"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single" w:sz="6" w:space="0" w:color="auto"/>
            </w:tcBorders>
            <w:vAlign w:val="center"/>
          </w:tcPr>
          <w:p w14:paraId="572230A0"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c>
          <w:tcPr>
            <w:tcW w:w="379" w:type="pct"/>
            <w:tcBorders>
              <w:top w:val="single" w:sz="6" w:space="0" w:color="auto"/>
              <w:left w:val="single" w:sz="6" w:space="0" w:color="auto"/>
              <w:bottom w:val="single" w:sz="6" w:space="0" w:color="auto"/>
              <w:right w:val="double" w:sz="4" w:space="0" w:color="auto"/>
            </w:tcBorders>
            <w:vAlign w:val="center"/>
          </w:tcPr>
          <w:p w14:paraId="55B03DF8"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100,0</w:t>
            </w:r>
          </w:p>
        </w:tc>
      </w:tr>
      <w:tr w:rsidR="00FD7B0B" w:rsidRPr="00FD7B0B" w14:paraId="41BC95E2" w14:textId="77777777" w:rsidTr="00D85D50">
        <w:trPr>
          <w:trHeight w:val="117"/>
        </w:trPr>
        <w:tc>
          <w:tcPr>
            <w:tcW w:w="1138" w:type="pct"/>
            <w:tcBorders>
              <w:top w:val="single" w:sz="6" w:space="0" w:color="auto"/>
              <w:left w:val="double" w:sz="4" w:space="0" w:color="auto"/>
              <w:bottom w:val="single" w:sz="6" w:space="0" w:color="auto"/>
              <w:right w:val="single" w:sz="6" w:space="0" w:color="auto"/>
            </w:tcBorders>
            <w:vAlign w:val="bottom"/>
          </w:tcPr>
          <w:p w14:paraId="51AF2D8E"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Минтранс АО</w:t>
            </w:r>
          </w:p>
        </w:tc>
        <w:tc>
          <w:tcPr>
            <w:tcW w:w="448" w:type="pct"/>
            <w:tcBorders>
              <w:top w:val="single" w:sz="6" w:space="0" w:color="auto"/>
              <w:left w:val="single" w:sz="6" w:space="0" w:color="auto"/>
              <w:bottom w:val="single" w:sz="6" w:space="0" w:color="auto"/>
              <w:right w:val="single" w:sz="6" w:space="0" w:color="auto"/>
            </w:tcBorders>
            <w:vAlign w:val="bottom"/>
          </w:tcPr>
          <w:p w14:paraId="48737734"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47,9</w:t>
            </w:r>
          </w:p>
        </w:tc>
        <w:tc>
          <w:tcPr>
            <w:tcW w:w="455" w:type="pct"/>
            <w:tcBorders>
              <w:top w:val="single" w:sz="6" w:space="0" w:color="auto"/>
              <w:left w:val="single" w:sz="6" w:space="0" w:color="auto"/>
              <w:bottom w:val="single" w:sz="6" w:space="0" w:color="auto"/>
              <w:right w:val="single" w:sz="6" w:space="0" w:color="auto"/>
            </w:tcBorders>
            <w:vAlign w:val="bottom"/>
          </w:tcPr>
          <w:p w14:paraId="10B0DED5"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43,1</w:t>
            </w:r>
          </w:p>
        </w:tc>
        <w:tc>
          <w:tcPr>
            <w:tcW w:w="456" w:type="pct"/>
            <w:tcBorders>
              <w:top w:val="single" w:sz="6" w:space="0" w:color="auto"/>
              <w:left w:val="single" w:sz="6" w:space="0" w:color="auto"/>
              <w:bottom w:val="single" w:sz="6" w:space="0" w:color="auto"/>
              <w:right w:val="single" w:sz="6" w:space="0" w:color="auto"/>
            </w:tcBorders>
            <w:vAlign w:val="bottom"/>
          </w:tcPr>
          <w:p w14:paraId="6C615C28"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4,8</w:t>
            </w:r>
          </w:p>
        </w:tc>
        <w:tc>
          <w:tcPr>
            <w:tcW w:w="455" w:type="pct"/>
            <w:tcBorders>
              <w:top w:val="single" w:sz="6" w:space="0" w:color="auto"/>
              <w:left w:val="single" w:sz="6" w:space="0" w:color="auto"/>
              <w:bottom w:val="single" w:sz="6" w:space="0" w:color="auto"/>
              <w:right w:val="single" w:sz="6" w:space="0" w:color="auto"/>
            </w:tcBorders>
            <w:vAlign w:val="bottom"/>
          </w:tcPr>
          <w:p w14:paraId="6E194F02"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47,1</w:t>
            </w:r>
          </w:p>
        </w:tc>
        <w:tc>
          <w:tcPr>
            <w:tcW w:w="455" w:type="pct"/>
            <w:tcBorders>
              <w:top w:val="single" w:sz="6" w:space="0" w:color="auto"/>
              <w:left w:val="single" w:sz="6" w:space="0" w:color="auto"/>
              <w:bottom w:val="single" w:sz="6" w:space="0" w:color="auto"/>
              <w:right w:val="single" w:sz="6" w:space="0" w:color="auto"/>
            </w:tcBorders>
            <w:vAlign w:val="bottom"/>
          </w:tcPr>
          <w:p w14:paraId="5BF8EFE5"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42,4</w:t>
            </w:r>
          </w:p>
        </w:tc>
        <w:tc>
          <w:tcPr>
            <w:tcW w:w="456" w:type="pct"/>
            <w:tcBorders>
              <w:top w:val="single" w:sz="6" w:space="0" w:color="auto"/>
              <w:left w:val="single" w:sz="6" w:space="0" w:color="auto"/>
              <w:bottom w:val="single" w:sz="6" w:space="0" w:color="auto"/>
              <w:right w:val="single" w:sz="6" w:space="0" w:color="auto"/>
            </w:tcBorders>
            <w:vAlign w:val="bottom"/>
          </w:tcPr>
          <w:p w14:paraId="7817FAE1"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4,7</w:t>
            </w:r>
          </w:p>
        </w:tc>
        <w:tc>
          <w:tcPr>
            <w:tcW w:w="380" w:type="pct"/>
            <w:tcBorders>
              <w:top w:val="single" w:sz="6" w:space="0" w:color="auto"/>
              <w:left w:val="single" w:sz="6" w:space="0" w:color="auto"/>
              <w:bottom w:val="single" w:sz="6" w:space="0" w:color="auto"/>
              <w:right w:val="single" w:sz="6" w:space="0" w:color="auto"/>
            </w:tcBorders>
            <w:vAlign w:val="bottom"/>
          </w:tcPr>
          <w:p w14:paraId="4B009002"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98,3</w:t>
            </w:r>
          </w:p>
        </w:tc>
        <w:tc>
          <w:tcPr>
            <w:tcW w:w="379" w:type="pct"/>
            <w:tcBorders>
              <w:top w:val="single" w:sz="6" w:space="0" w:color="auto"/>
              <w:left w:val="single" w:sz="6" w:space="0" w:color="auto"/>
              <w:bottom w:val="single" w:sz="6" w:space="0" w:color="auto"/>
              <w:right w:val="single" w:sz="6" w:space="0" w:color="auto"/>
            </w:tcBorders>
            <w:vAlign w:val="bottom"/>
          </w:tcPr>
          <w:p w14:paraId="6FA189BF"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98,3</w:t>
            </w:r>
          </w:p>
        </w:tc>
        <w:tc>
          <w:tcPr>
            <w:tcW w:w="379" w:type="pct"/>
            <w:tcBorders>
              <w:top w:val="single" w:sz="6" w:space="0" w:color="auto"/>
              <w:left w:val="single" w:sz="6" w:space="0" w:color="auto"/>
              <w:bottom w:val="single" w:sz="6" w:space="0" w:color="auto"/>
              <w:right w:val="double" w:sz="4" w:space="0" w:color="auto"/>
            </w:tcBorders>
            <w:vAlign w:val="bottom"/>
          </w:tcPr>
          <w:p w14:paraId="232E493E" w14:textId="77777777" w:rsidR="00FB240D" w:rsidRPr="00FD7B0B" w:rsidRDefault="00FB240D" w:rsidP="00FB240D">
            <w:pPr>
              <w:spacing w:after="0" w:line="240" w:lineRule="auto"/>
              <w:jc w:val="right"/>
              <w:rPr>
                <w:rFonts w:ascii="Times New Roman" w:hAnsi="Times New Roman"/>
                <w:sz w:val="18"/>
                <w:szCs w:val="18"/>
              </w:rPr>
            </w:pPr>
            <w:r w:rsidRPr="00FD7B0B">
              <w:rPr>
                <w:rFonts w:ascii="Times New Roman" w:hAnsi="Times New Roman"/>
                <w:sz w:val="18"/>
                <w:szCs w:val="18"/>
              </w:rPr>
              <w:t>97,9</w:t>
            </w:r>
          </w:p>
        </w:tc>
      </w:tr>
      <w:tr w:rsidR="00FB240D" w:rsidRPr="00FD7B0B" w14:paraId="5107044D" w14:textId="77777777" w:rsidTr="00D85D50">
        <w:trPr>
          <w:trHeight w:hRule="exact" w:val="235"/>
        </w:trPr>
        <w:tc>
          <w:tcPr>
            <w:tcW w:w="1138" w:type="pct"/>
            <w:tcBorders>
              <w:top w:val="single" w:sz="6" w:space="0" w:color="auto"/>
              <w:left w:val="double" w:sz="4" w:space="0" w:color="auto"/>
              <w:bottom w:val="double" w:sz="4" w:space="0" w:color="auto"/>
              <w:right w:val="single" w:sz="6" w:space="0" w:color="auto"/>
            </w:tcBorders>
            <w:vAlign w:val="bottom"/>
            <w:hideMark/>
          </w:tcPr>
          <w:p w14:paraId="7ACEC814" w14:textId="77777777" w:rsidR="00FB240D" w:rsidRPr="00FD7B0B" w:rsidRDefault="00FB240D" w:rsidP="00FB240D">
            <w:pPr>
              <w:spacing w:after="0" w:line="240" w:lineRule="auto"/>
              <w:rPr>
                <w:rFonts w:ascii="Times New Roman" w:hAnsi="Times New Roman"/>
                <w:b/>
                <w:bCs/>
                <w:sz w:val="18"/>
                <w:szCs w:val="18"/>
              </w:rPr>
            </w:pPr>
            <w:r w:rsidRPr="00FD7B0B">
              <w:rPr>
                <w:rFonts w:ascii="Times New Roman" w:hAnsi="Times New Roman"/>
                <w:b/>
                <w:bCs/>
                <w:sz w:val="18"/>
                <w:szCs w:val="18"/>
              </w:rPr>
              <w:t>Итого</w:t>
            </w:r>
          </w:p>
        </w:tc>
        <w:tc>
          <w:tcPr>
            <w:tcW w:w="448" w:type="pct"/>
            <w:tcBorders>
              <w:top w:val="single" w:sz="6" w:space="0" w:color="auto"/>
              <w:left w:val="single" w:sz="6" w:space="0" w:color="auto"/>
              <w:bottom w:val="double" w:sz="4" w:space="0" w:color="auto"/>
              <w:right w:val="single" w:sz="6" w:space="0" w:color="auto"/>
            </w:tcBorders>
            <w:vAlign w:val="bottom"/>
          </w:tcPr>
          <w:p w14:paraId="69DEA452" w14:textId="77777777" w:rsidR="00FB240D" w:rsidRPr="00FD7B0B" w:rsidRDefault="00FB240D" w:rsidP="00FB240D">
            <w:pPr>
              <w:spacing w:after="0" w:line="240" w:lineRule="auto"/>
              <w:jc w:val="right"/>
              <w:rPr>
                <w:rFonts w:ascii="Times New Roman" w:hAnsi="Times New Roman"/>
                <w:b/>
                <w:sz w:val="18"/>
                <w:szCs w:val="18"/>
              </w:rPr>
            </w:pPr>
            <w:r w:rsidRPr="00FD7B0B">
              <w:rPr>
                <w:rFonts w:ascii="Times New Roman" w:hAnsi="Times New Roman"/>
                <w:b/>
                <w:sz w:val="18"/>
                <w:szCs w:val="18"/>
              </w:rPr>
              <w:t>3780,2</w:t>
            </w:r>
          </w:p>
        </w:tc>
        <w:tc>
          <w:tcPr>
            <w:tcW w:w="455" w:type="pct"/>
            <w:tcBorders>
              <w:top w:val="single" w:sz="6" w:space="0" w:color="auto"/>
              <w:left w:val="single" w:sz="6" w:space="0" w:color="auto"/>
              <w:bottom w:val="double" w:sz="4" w:space="0" w:color="auto"/>
              <w:right w:val="single" w:sz="6" w:space="0" w:color="auto"/>
            </w:tcBorders>
            <w:vAlign w:val="bottom"/>
          </w:tcPr>
          <w:p w14:paraId="1D52BDC6" w14:textId="77777777" w:rsidR="00FB240D" w:rsidRPr="00FD7B0B" w:rsidRDefault="00FB240D" w:rsidP="00FB240D">
            <w:pPr>
              <w:spacing w:after="0" w:line="240" w:lineRule="auto"/>
              <w:jc w:val="right"/>
              <w:rPr>
                <w:rFonts w:ascii="Times New Roman" w:hAnsi="Times New Roman"/>
                <w:b/>
                <w:sz w:val="18"/>
                <w:szCs w:val="18"/>
              </w:rPr>
            </w:pPr>
            <w:r w:rsidRPr="00FD7B0B">
              <w:rPr>
                <w:rFonts w:ascii="Times New Roman" w:hAnsi="Times New Roman"/>
                <w:b/>
                <w:sz w:val="18"/>
                <w:szCs w:val="18"/>
              </w:rPr>
              <w:t>2850,1</w:t>
            </w:r>
          </w:p>
        </w:tc>
        <w:tc>
          <w:tcPr>
            <w:tcW w:w="456" w:type="pct"/>
            <w:tcBorders>
              <w:top w:val="single" w:sz="6" w:space="0" w:color="auto"/>
              <w:left w:val="single" w:sz="6" w:space="0" w:color="auto"/>
              <w:bottom w:val="double" w:sz="4" w:space="0" w:color="auto"/>
              <w:right w:val="single" w:sz="6" w:space="0" w:color="auto"/>
            </w:tcBorders>
            <w:vAlign w:val="bottom"/>
          </w:tcPr>
          <w:p w14:paraId="0A47228F" w14:textId="77777777" w:rsidR="00FB240D" w:rsidRPr="00FD7B0B" w:rsidRDefault="00FB240D" w:rsidP="00FB240D">
            <w:pPr>
              <w:spacing w:after="0" w:line="240" w:lineRule="auto"/>
              <w:jc w:val="right"/>
              <w:rPr>
                <w:rFonts w:ascii="Times New Roman" w:hAnsi="Times New Roman"/>
                <w:b/>
                <w:sz w:val="18"/>
                <w:szCs w:val="18"/>
              </w:rPr>
            </w:pPr>
            <w:r w:rsidRPr="00FD7B0B">
              <w:rPr>
                <w:rFonts w:ascii="Times New Roman" w:hAnsi="Times New Roman"/>
                <w:b/>
                <w:sz w:val="18"/>
                <w:szCs w:val="18"/>
              </w:rPr>
              <w:t>930,1</w:t>
            </w:r>
          </w:p>
        </w:tc>
        <w:tc>
          <w:tcPr>
            <w:tcW w:w="455" w:type="pct"/>
            <w:tcBorders>
              <w:top w:val="single" w:sz="6" w:space="0" w:color="auto"/>
              <w:left w:val="single" w:sz="6" w:space="0" w:color="auto"/>
              <w:bottom w:val="double" w:sz="4" w:space="0" w:color="auto"/>
              <w:right w:val="single" w:sz="6" w:space="0" w:color="auto"/>
            </w:tcBorders>
            <w:vAlign w:val="bottom"/>
          </w:tcPr>
          <w:p w14:paraId="66058251" w14:textId="77777777" w:rsidR="00FB240D" w:rsidRPr="00FD7B0B" w:rsidRDefault="00FB240D" w:rsidP="00FB240D">
            <w:pPr>
              <w:spacing w:after="0" w:line="240" w:lineRule="auto"/>
              <w:jc w:val="right"/>
              <w:rPr>
                <w:rFonts w:ascii="Times New Roman" w:hAnsi="Times New Roman"/>
                <w:b/>
                <w:sz w:val="18"/>
                <w:szCs w:val="18"/>
              </w:rPr>
            </w:pPr>
            <w:r w:rsidRPr="00FD7B0B">
              <w:rPr>
                <w:rFonts w:ascii="Times New Roman" w:hAnsi="Times New Roman"/>
                <w:b/>
                <w:sz w:val="18"/>
                <w:szCs w:val="18"/>
              </w:rPr>
              <w:t>3762,1</w:t>
            </w:r>
          </w:p>
        </w:tc>
        <w:tc>
          <w:tcPr>
            <w:tcW w:w="455" w:type="pct"/>
            <w:tcBorders>
              <w:top w:val="single" w:sz="6" w:space="0" w:color="auto"/>
              <w:left w:val="single" w:sz="6" w:space="0" w:color="auto"/>
              <w:bottom w:val="double" w:sz="4" w:space="0" w:color="auto"/>
              <w:right w:val="single" w:sz="6" w:space="0" w:color="auto"/>
            </w:tcBorders>
            <w:vAlign w:val="bottom"/>
          </w:tcPr>
          <w:p w14:paraId="7C654A5E" w14:textId="77777777" w:rsidR="00FB240D" w:rsidRPr="00FD7B0B" w:rsidRDefault="00FB240D" w:rsidP="00FB240D">
            <w:pPr>
              <w:spacing w:after="0" w:line="240" w:lineRule="auto"/>
              <w:jc w:val="right"/>
              <w:rPr>
                <w:rFonts w:ascii="Times New Roman" w:hAnsi="Times New Roman"/>
                <w:b/>
                <w:sz w:val="18"/>
                <w:szCs w:val="18"/>
              </w:rPr>
            </w:pPr>
            <w:r w:rsidRPr="00FD7B0B">
              <w:rPr>
                <w:rFonts w:ascii="Times New Roman" w:hAnsi="Times New Roman"/>
                <w:b/>
                <w:sz w:val="18"/>
                <w:szCs w:val="18"/>
              </w:rPr>
              <w:t>2832,6</w:t>
            </w:r>
          </w:p>
        </w:tc>
        <w:tc>
          <w:tcPr>
            <w:tcW w:w="456" w:type="pct"/>
            <w:tcBorders>
              <w:top w:val="single" w:sz="6" w:space="0" w:color="auto"/>
              <w:left w:val="single" w:sz="6" w:space="0" w:color="auto"/>
              <w:bottom w:val="double" w:sz="4" w:space="0" w:color="auto"/>
              <w:right w:val="single" w:sz="6" w:space="0" w:color="auto"/>
            </w:tcBorders>
            <w:vAlign w:val="bottom"/>
          </w:tcPr>
          <w:p w14:paraId="54E2FC65" w14:textId="77777777" w:rsidR="00FB240D" w:rsidRPr="00FD7B0B" w:rsidRDefault="00FB240D" w:rsidP="00FB240D">
            <w:pPr>
              <w:spacing w:after="0" w:line="240" w:lineRule="auto"/>
              <w:jc w:val="right"/>
              <w:rPr>
                <w:rFonts w:ascii="Times New Roman" w:hAnsi="Times New Roman"/>
                <w:b/>
                <w:sz w:val="18"/>
                <w:szCs w:val="18"/>
              </w:rPr>
            </w:pPr>
            <w:r w:rsidRPr="00FD7B0B">
              <w:rPr>
                <w:rFonts w:ascii="Times New Roman" w:hAnsi="Times New Roman"/>
                <w:b/>
                <w:sz w:val="18"/>
                <w:szCs w:val="18"/>
              </w:rPr>
              <w:t>929,5</w:t>
            </w:r>
          </w:p>
        </w:tc>
        <w:tc>
          <w:tcPr>
            <w:tcW w:w="380" w:type="pct"/>
            <w:tcBorders>
              <w:top w:val="single" w:sz="6" w:space="0" w:color="auto"/>
              <w:left w:val="single" w:sz="6" w:space="0" w:color="auto"/>
              <w:bottom w:val="double" w:sz="4" w:space="0" w:color="auto"/>
              <w:right w:val="single" w:sz="6" w:space="0" w:color="auto"/>
            </w:tcBorders>
            <w:vAlign w:val="bottom"/>
          </w:tcPr>
          <w:p w14:paraId="22F99F76" w14:textId="77777777" w:rsidR="00FB240D" w:rsidRPr="00FD7B0B" w:rsidRDefault="00FB240D" w:rsidP="00FB240D">
            <w:pPr>
              <w:spacing w:after="0" w:line="240" w:lineRule="auto"/>
              <w:jc w:val="right"/>
              <w:rPr>
                <w:rFonts w:ascii="Times New Roman" w:hAnsi="Times New Roman"/>
                <w:b/>
                <w:sz w:val="18"/>
                <w:szCs w:val="18"/>
              </w:rPr>
            </w:pPr>
            <w:r w:rsidRPr="00FD7B0B">
              <w:rPr>
                <w:rFonts w:ascii="Times New Roman" w:hAnsi="Times New Roman"/>
                <w:b/>
                <w:sz w:val="18"/>
                <w:szCs w:val="18"/>
              </w:rPr>
              <w:t>99,5</w:t>
            </w:r>
          </w:p>
        </w:tc>
        <w:tc>
          <w:tcPr>
            <w:tcW w:w="379" w:type="pct"/>
            <w:tcBorders>
              <w:top w:val="single" w:sz="6" w:space="0" w:color="auto"/>
              <w:left w:val="single" w:sz="6" w:space="0" w:color="auto"/>
              <w:bottom w:val="double" w:sz="4" w:space="0" w:color="auto"/>
              <w:right w:val="single" w:sz="6" w:space="0" w:color="auto"/>
            </w:tcBorders>
            <w:vAlign w:val="bottom"/>
          </w:tcPr>
          <w:p w14:paraId="5D673381" w14:textId="77777777" w:rsidR="00FB240D" w:rsidRPr="00FD7B0B" w:rsidRDefault="00FB240D" w:rsidP="00FB240D">
            <w:pPr>
              <w:spacing w:after="0" w:line="240" w:lineRule="auto"/>
              <w:jc w:val="right"/>
              <w:rPr>
                <w:rFonts w:ascii="Times New Roman" w:hAnsi="Times New Roman"/>
                <w:b/>
                <w:sz w:val="18"/>
                <w:szCs w:val="18"/>
              </w:rPr>
            </w:pPr>
            <w:r w:rsidRPr="00FD7B0B">
              <w:rPr>
                <w:rFonts w:ascii="Times New Roman" w:hAnsi="Times New Roman"/>
                <w:b/>
                <w:sz w:val="18"/>
                <w:szCs w:val="18"/>
              </w:rPr>
              <w:t>99,4</w:t>
            </w:r>
          </w:p>
        </w:tc>
        <w:tc>
          <w:tcPr>
            <w:tcW w:w="379" w:type="pct"/>
            <w:tcBorders>
              <w:top w:val="single" w:sz="6" w:space="0" w:color="auto"/>
              <w:left w:val="single" w:sz="6" w:space="0" w:color="auto"/>
              <w:bottom w:val="double" w:sz="4" w:space="0" w:color="auto"/>
              <w:right w:val="double" w:sz="4" w:space="0" w:color="auto"/>
            </w:tcBorders>
            <w:vAlign w:val="bottom"/>
          </w:tcPr>
          <w:p w14:paraId="5B2FBA32" w14:textId="77777777" w:rsidR="00FB240D" w:rsidRPr="00FD7B0B" w:rsidRDefault="00FB240D" w:rsidP="00FB240D">
            <w:pPr>
              <w:spacing w:after="0" w:line="240" w:lineRule="auto"/>
              <w:jc w:val="right"/>
              <w:rPr>
                <w:rFonts w:ascii="Times New Roman" w:hAnsi="Times New Roman"/>
                <w:b/>
                <w:sz w:val="18"/>
                <w:szCs w:val="18"/>
              </w:rPr>
            </w:pPr>
            <w:r w:rsidRPr="00FD7B0B">
              <w:rPr>
                <w:rFonts w:ascii="Times New Roman" w:hAnsi="Times New Roman"/>
                <w:b/>
                <w:sz w:val="18"/>
                <w:szCs w:val="18"/>
              </w:rPr>
              <w:t>99,9</w:t>
            </w:r>
          </w:p>
        </w:tc>
      </w:tr>
    </w:tbl>
    <w:p w14:paraId="153CECA5" w14:textId="77777777" w:rsidR="00FB240D" w:rsidRPr="00FD7B0B" w:rsidRDefault="00FB240D" w:rsidP="00FB240D">
      <w:pPr>
        <w:spacing w:after="0" w:line="240" w:lineRule="auto"/>
        <w:ind w:firstLine="709"/>
        <w:jc w:val="both"/>
        <w:rPr>
          <w:rFonts w:ascii="Times New Roman" w:hAnsi="Times New Roman"/>
          <w:sz w:val="28"/>
          <w:szCs w:val="28"/>
        </w:rPr>
      </w:pPr>
    </w:p>
    <w:p w14:paraId="5D4F3448" w14:textId="0651B209"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В ОАИП на 2024 год предусмотрена реализация 97 мероприятий, в том числе в рамках федеральных проектов (далее – ФП) - 32 (таблица </w:t>
      </w:r>
      <w:r w:rsidR="00CA2A49" w:rsidRPr="00FD7B0B">
        <w:rPr>
          <w:rFonts w:ascii="Times New Roman" w:hAnsi="Times New Roman"/>
          <w:sz w:val="28"/>
          <w:szCs w:val="28"/>
        </w:rPr>
        <w:t>243</w:t>
      </w:r>
      <w:r w:rsidRPr="00FD7B0B">
        <w:rPr>
          <w:rFonts w:ascii="Times New Roman" w:hAnsi="Times New Roman"/>
          <w:sz w:val="28"/>
          <w:szCs w:val="28"/>
        </w:rPr>
        <w:t>).</w:t>
      </w:r>
    </w:p>
    <w:p w14:paraId="42958CCA" w14:textId="77777777" w:rsidR="00FB240D" w:rsidRPr="00FD7B0B" w:rsidRDefault="00FB240D" w:rsidP="00FB240D">
      <w:pPr>
        <w:pStyle w:val="aff0"/>
        <w:keepNext/>
        <w:spacing w:after="0" w:line="240" w:lineRule="auto"/>
        <w:rPr>
          <w:rFonts w:ascii="Times New Roman" w:hAnsi="Times New Roman"/>
          <w:b w:val="0"/>
          <w:sz w:val="22"/>
          <w:szCs w:val="24"/>
        </w:rPr>
      </w:pPr>
    </w:p>
    <w:p w14:paraId="7E470B07" w14:textId="77777777" w:rsidR="00FB240D" w:rsidRPr="00FD7B0B" w:rsidRDefault="00FB240D" w:rsidP="00FB240D">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243</w:t>
      </w:r>
      <w:r w:rsidRPr="00FD7B0B">
        <w:rPr>
          <w:rFonts w:ascii="Times New Roman" w:hAnsi="Times New Roman"/>
          <w:b w:val="0"/>
          <w:sz w:val="24"/>
          <w:szCs w:val="24"/>
        </w:rPr>
        <w:fldChar w:fldCharType="end"/>
      </w:r>
      <w:r w:rsidRPr="00FD7B0B">
        <w:rPr>
          <w:rFonts w:ascii="Times New Roman" w:hAnsi="Times New Roman"/>
          <w:b w:val="0"/>
          <w:sz w:val="24"/>
          <w:szCs w:val="24"/>
        </w:rPr>
        <w:t>. Количество мероприятий, включенных в ОАИП на 2024 год, в том числе в рамках федеральных проектов</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184"/>
        <w:gridCol w:w="999"/>
        <w:gridCol w:w="1403"/>
        <w:gridCol w:w="1147"/>
        <w:gridCol w:w="1207"/>
        <w:gridCol w:w="1403"/>
        <w:gridCol w:w="1264"/>
      </w:tblGrid>
      <w:tr w:rsidR="00FD7B0B" w:rsidRPr="00FD7B0B" w14:paraId="07D343FC" w14:textId="77777777" w:rsidTr="00D85D50">
        <w:trPr>
          <w:trHeight w:val="217"/>
          <w:tblHeader/>
        </w:trPr>
        <w:tc>
          <w:tcPr>
            <w:tcW w:w="1137" w:type="pct"/>
            <w:vMerge w:val="restart"/>
            <w:vAlign w:val="center"/>
            <w:hideMark/>
          </w:tcPr>
          <w:p w14:paraId="067F101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ГРБС</w:t>
            </w:r>
          </w:p>
        </w:tc>
        <w:tc>
          <w:tcPr>
            <w:tcW w:w="1847" w:type="pct"/>
            <w:gridSpan w:val="3"/>
            <w:hideMark/>
          </w:tcPr>
          <w:p w14:paraId="539928A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Общее количество, всего</w:t>
            </w:r>
          </w:p>
        </w:tc>
        <w:tc>
          <w:tcPr>
            <w:tcW w:w="2016" w:type="pct"/>
            <w:gridSpan w:val="3"/>
            <w:hideMark/>
          </w:tcPr>
          <w:p w14:paraId="35B8A65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 том числе в рамках ФП</w:t>
            </w:r>
          </w:p>
        </w:tc>
      </w:tr>
      <w:tr w:rsidR="00FD7B0B" w:rsidRPr="00FD7B0B" w14:paraId="0268F685" w14:textId="77777777" w:rsidTr="00D85D50">
        <w:trPr>
          <w:trHeight w:val="217"/>
          <w:tblHeader/>
        </w:trPr>
        <w:tc>
          <w:tcPr>
            <w:tcW w:w="1137" w:type="pct"/>
            <w:vMerge/>
            <w:vAlign w:val="center"/>
          </w:tcPr>
          <w:p w14:paraId="4EE3DA3C"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520" w:type="pct"/>
          </w:tcPr>
          <w:p w14:paraId="163818C6"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включено в ОАИП</w:t>
            </w:r>
          </w:p>
        </w:tc>
        <w:tc>
          <w:tcPr>
            <w:tcW w:w="730" w:type="pct"/>
          </w:tcPr>
          <w:p w14:paraId="011B29C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планировалось к завершению в 2024 году </w:t>
            </w:r>
          </w:p>
        </w:tc>
        <w:tc>
          <w:tcPr>
            <w:tcW w:w="597" w:type="pct"/>
          </w:tcPr>
          <w:p w14:paraId="0A1E02C6"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фактически завершено в 2024 году</w:t>
            </w:r>
          </w:p>
        </w:tc>
        <w:tc>
          <w:tcPr>
            <w:tcW w:w="628" w:type="pct"/>
          </w:tcPr>
          <w:p w14:paraId="3C5D0CB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включено в ОАИП</w:t>
            </w:r>
          </w:p>
        </w:tc>
        <w:tc>
          <w:tcPr>
            <w:tcW w:w="730" w:type="pct"/>
          </w:tcPr>
          <w:p w14:paraId="58BEBDC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планировалось к завершению в 2024 году </w:t>
            </w:r>
          </w:p>
        </w:tc>
        <w:tc>
          <w:tcPr>
            <w:tcW w:w="658" w:type="pct"/>
          </w:tcPr>
          <w:p w14:paraId="28849C3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фактически завершено в 2024 году</w:t>
            </w:r>
          </w:p>
        </w:tc>
      </w:tr>
      <w:tr w:rsidR="00FD7B0B" w:rsidRPr="00FD7B0B" w14:paraId="48B96A20" w14:textId="77777777" w:rsidTr="00D85D50">
        <w:trPr>
          <w:trHeight w:hRule="exact" w:val="255"/>
        </w:trPr>
        <w:tc>
          <w:tcPr>
            <w:tcW w:w="1137" w:type="pct"/>
            <w:vAlign w:val="bottom"/>
            <w:hideMark/>
          </w:tcPr>
          <w:p w14:paraId="0FC60351"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Минстрой АО</w:t>
            </w:r>
          </w:p>
        </w:tc>
        <w:tc>
          <w:tcPr>
            <w:tcW w:w="520" w:type="pct"/>
            <w:vAlign w:val="bottom"/>
          </w:tcPr>
          <w:p w14:paraId="3A79FA5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31</w:t>
            </w:r>
          </w:p>
        </w:tc>
        <w:tc>
          <w:tcPr>
            <w:tcW w:w="730" w:type="pct"/>
            <w:vAlign w:val="bottom"/>
          </w:tcPr>
          <w:p w14:paraId="7485CA1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20</w:t>
            </w:r>
          </w:p>
        </w:tc>
        <w:tc>
          <w:tcPr>
            <w:tcW w:w="597" w:type="pct"/>
            <w:vAlign w:val="bottom"/>
          </w:tcPr>
          <w:p w14:paraId="4BA8046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8</w:t>
            </w:r>
          </w:p>
        </w:tc>
        <w:tc>
          <w:tcPr>
            <w:tcW w:w="628" w:type="pct"/>
            <w:vAlign w:val="bottom"/>
          </w:tcPr>
          <w:p w14:paraId="07BD575C"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17</w:t>
            </w:r>
          </w:p>
        </w:tc>
        <w:tc>
          <w:tcPr>
            <w:tcW w:w="730" w:type="pct"/>
            <w:vAlign w:val="bottom"/>
          </w:tcPr>
          <w:p w14:paraId="05CD0E89"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11</w:t>
            </w:r>
          </w:p>
        </w:tc>
        <w:tc>
          <w:tcPr>
            <w:tcW w:w="658" w:type="pct"/>
            <w:vAlign w:val="bottom"/>
          </w:tcPr>
          <w:p w14:paraId="26B3546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4</w:t>
            </w:r>
          </w:p>
        </w:tc>
      </w:tr>
      <w:tr w:rsidR="00FD7B0B" w:rsidRPr="00FD7B0B" w14:paraId="50355E4B" w14:textId="77777777" w:rsidTr="00D85D50">
        <w:trPr>
          <w:trHeight w:hRule="exact" w:val="255"/>
        </w:trPr>
        <w:tc>
          <w:tcPr>
            <w:tcW w:w="1137" w:type="pct"/>
            <w:vAlign w:val="bottom"/>
            <w:hideMark/>
          </w:tcPr>
          <w:p w14:paraId="0C2939C0"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Минтранс АО</w:t>
            </w:r>
          </w:p>
        </w:tc>
        <w:tc>
          <w:tcPr>
            <w:tcW w:w="520" w:type="pct"/>
            <w:vAlign w:val="bottom"/>
          </w:tcPr>
          <w:p w14:paraId="24993259"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8</w:t>
            </w:r>
          </w:p>
        </w:tc>
        <w:tc>
          <w:tcPr>
            <w:tcW w:w="730" w:type="pct"/>
            <w:vAlign w:val="bottom"/>
          </w:tcPr>
          <w:p w14:paraId="242D51A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7</w:t>
            </w:r>
          </w:p>
        </w:tc>
        <w:tc>
          <w:tcPr>
            <w:tcW w:w="597" w:type="pct"/>
            <w:vAlign w:val="bottom"/>
          </w:tcPr>
          <w:p w14:paraId="79A16A65"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6</w:t>
            </w:r>
          </w:p>
        </w:tc>
        <w:tc>
          <w:tcPr>
            <w:tcW w:w="628" w:type="pct"/>
            <w:vAlign w:val="bottom"/>
          </w:tcPr>
          <w:p w14:paraId="407BADE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4</w:t>
            </w:r>
          </w:p>
        </w:tc>
        <w:tc>
          <w:tcPr>
            <w:tcW w:w="730" w:type="pct"/>
            <w:vAlign w:val="bottom"/>
          </w:tcPr>
          <w:p w14:paraId="63CAA76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4</w:t>
            </w:r>
          </w:p>
        </w:tc>
        <w:tc>
          <w:tcPr>
            <w:tcW w:w="658" w:type="pct"/>
            <w:vAlign w:val="bottom"/>
          </w:tcPr>
          <w:p w14:paraId="7085986C"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4</w:t>
            </w:r>
          </w:p>
        </w:tc>
      </w:tr>
      <w:tr w:rsidR="00FD7B0B" w:rsidRPr="00FD7B0B" w14:paraId="2A3A1BDC" w14:textId="77777777" w:rsidTr="00D85D50">
        <w:trPr>
          <w:trHeight w:hRule="exact" w:val="255"/>
        </w:trPr>
        <w:tc>
          <w:tcPr>
            <w:tcW w:w="1137" w:type="pct"/>
            <w:vAlign w:val="bottom"/>
            <w:hideMark/>
          </w:tcPr>
          <w:p w14:paraId="2A6F5537" w14:textId="3E4B6A97" w:rsidR="00FB240D" w:rsidRPr="00FD7B0B" w:rsidRDefault="00FB240D" w:rsidP="00C94CCA">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w:t>
            </w:r>
            <w:r w:rsidR="00C94CCA" w:rsidRPr="00FD7B0B">
              <w:rPr>
                <w:rFonts w:ascii="Times New Roman" w:eastAsia="Times New Roman" w:hAnsi="Times New Roman"/>
                <w:sz w:val="18"/>
                <w:szCs w:val="18"/>
                <w:lang w:eastAsia="ru-RU"/>
              </w:rPr>
              <w:t>Т</w:t>
            </w:r>
            <w:r w:rsidRPr="00FD7B0B">
              <w:rPr>
                <w:rFonts w:ascii="Times New Roman" w:eastAsia="Times New Roman" w:hAnsi="Times New Roman"/>
                <w:sz w:val="18"/>
                <w:szCs w:val="18"/>
                <w:lang w:eastAsia="ru-RU"/>
              </w:rPr>
              <w:t>эк АО</w:t>
            </w:r>
          </w:p>
        </w:tc>
        <w:tc>
          <w:tcPr>
            <w:tcW w:w="520" w:type="pct"/>
            <w:vAlign w:val="bottom"/>
          </w:tcPr>
          <w:p w14:paraId="0C24DD06"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30</w:t>
            </w:r>
          </w:p>
        </w:tc>
        <w:tc>
          <w:tcPr>
            <w:tcW w:w="730" w:type="pct"/>
            <w:vAlign w:val="bottom"/>
          </w:tcPr>
          <w:p w14:paraId="7D3FF1F0"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29</w:t>
            </w:r>
          </w:p>
        </w:tc>
        <w:tc>
          <w:tcPr>
            <w:tcW w:w="597" w:type="pct"/>
            <w:vAlign w:val="bottom"/>
          </w:tcPr>
          <w:p w14:paraId="19317E5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6</w:t>
            </w:r>
          </w:p>
        </w:tc>
        <w:tc>
          <w:tcPr>
            <w:tcW w:w="628" w:type="pct"/>
            <w:vAlign w:val="bottom"/>
          </w:tcPr>
          <w:p w14:paraId="1AC7ECA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9</w:t>
            </w:r>
          </w:p>
        </w:tc>
        <w:tc>
          <w:tcPr>
            <w:tcW w:w="730" w:type="pct"/>
            <w:vAlign w:val="bottom"/>
          </w:tcPr>
          <w:p w14:paraId="02CD91F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8</w:t>
            </w:r>
          </w:p>
        </w:tc>
        <w:tc>
          <w:tcPr>
            <w:tcW w:w="658" w:type="pct"/>
            <w:vAlign w:val="bottom"/>
          </w:tcPr>
          <w:p w14:paraId="236664E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5</w:t>
            </w:r>
          </w:p>
        </w:tc>
      </w:tr>
      <w:tr w:rsidR="00FD7B0B" w:rsidRPr="00FD7B0B" w14:paraId="547C6EA6" w14:textId="77777777" w:rsidTr="00D85D50">
        <w:trPr>
          <w:trHeight w:hRule="exact" w:val="255"/>
        </w:trPr>
        <w:tc>
          <w:tcPr>
            <w:tcW w:w="1137" w:type="pct"/>
            <w:vAlign w:val="bottom"/>
          </w:tcPr>
          <w:p w14:paraId="124B8FE8"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Минздрав АО</w:t>
            </w:r>
          </w:p>
        </w:tc>
        <w:tc>
          <w:tcPr>
            <w:tcW w:w="520" w:type="pct"/>
            <w:vAlign w:val="bottom"/>
          </w:tcPr>
          <w:p w14:paraId="77DC679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16</w:t>
            </w:r>
          </w:p>
        </w:tc>
        <w:tc>
          <w:tcPr>
            <w:tcW w:w="730" w:type="pct"/>
            <w:vAlign w:val="bottom"/>
          </w:tcPr>
          <w:p w14:paraId="5D7FAB9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15</w:t>
            </w:r>
          </w:p>
        </w:tc>
        <w:tc>
          <w:tcPr>
            <w:tcW w:w="597" w:type="pct"/>
            <w:vAlign w:val="bottom"/>
          </w:tcPr>
          <w:p w14:paraId="05E639C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15</w:t>
            </w:r>
          </w:p>
        </w:tc>
        <w:tc>
          <w:tcPr>
            <w:tcW w:w="628" w:type="pct"/>
            <w:vAlign w:val="bottom"/>
          </w:tcPr>
          <w:p w14:paraId="6C43B8D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w:t>
            </w:r>
          </w:p>
        </w:tc>
        <w:tc>
          <w:tcPr>
            <w:tcW w:w="730" w:type="pct"/>
            <w:vAlign w:val="bottom"/>
          </w:tcPr>
          <w:p w14:paraId="7D182F9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658" w:type="pct"/>
            <w:vAlign w:val="bottom"/>
          </w:tcPr>
          <w:p w14:paraId="23E6489D"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r>
      <w:tr w:rsidR="00FD7B0B" w:rsidRPr="00FD7B0B" w14:paraId="0ABA8C02" w14:textId="77777777" w:rsidTr="00D85D50">
        <w:trPr>
          <w:trHeight w:hRule="exact" w:val="255"/>
        </w:trPr>
        <w:tc>
          <w:tcPr>
            <w:tcW w:w="1137" w:type="pct"/>
            <w:vAlign w:val="bottom"/>
            <w:hideMark/>
          </w:tcPr>
          <w:p w14:paraId="44ADB850"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Минспорт АО</w:t>
            </w:r>
          </w:p>
        </w:tc>
        <w:tc>
          <w:tcPr>
            <w:tcW w:w="520" w:type="pct"/>
          </w:tcPr>
          <w:p w14:paraId="57849F0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730" w:type="pct"/>
          </w:tcPr>
          <w:p w14:paraId="15D5410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597" w:type="pct"/>
          </w:tcPr>
          <w:p w14:paraId="312BBA6D"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628" w:type="pct"/>
          </w:tcPr>
          <w:p w14:paraId="759BB31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730" w:type="pct"/>
          </w:tcPr>
          <w:p w14:paraId="7133B00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658" w:type="pct"/>
          </w:tcPr>
          <w:p w14:paraId="66F61CC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r>
      <w:tr w:rsidR="00FD7B0B" w:rsidRPr="00FD7B0B" w14:paraId="650B5F36" w14:textId="77777777" w:rsidTr="00D85D50">
        <w:trPr>
          <w:trHeight w:hRule="exact" w:val="255"/>
        </w:trPr>
        <w:tc>
          <w:tcPr>
            <w:tcW w:w="1137" w:type="pct"/>
            <w:vAlign w:val="bottom"/>
            <w:hideMark/>
          </w:tcPr>
          <w:p w14:paraId="3199E56B"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Минприроды АО</w:t>
            </w:r>
          </w:p>
        </w:tc>
        <w:tc>
          <w:tcPr>
            <w:tcW w:w="520" w:type="pct"/>
            <w:vAlign w:val="bottom"/>
          </w:tcPr>
          <w:p w14:paraId="780318A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w:t>
            </w:r>
          </w:p>
        </w:tc>
        <w:tc>
          <w:tcPr>
            <w:tcW w:w="730" w:type="pct"/>
            <w:vAlign w:val="bottom"/>
          </w:tcPr>
          <w:p w14:paraId="29D5B64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w:t>
            </w:r>
          </w:p>
        </w:tc>
        <w:tc>
          <w:tcPr>
            <w:tcW w:w="597" w:type="pct"/>
            <w:vAlign w:val="bottom"/>
          </w:tcPr>
          <w:p w14:paraId="06BDB18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628" w:type="pct"/>
          </w:tcPr>
          <w:p w14:paraId="36517B8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730" w:type="pct"/>
          </w:tcPr>
          <w:p w14:paraId="6EFD26A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658" w:type="pct"/>
          </w:tcPr>
          <w:p w14:paraId="00C01C5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r>
      <w:tr w:rsidR="00FD7B0B" w:rsidRPr="00FD7B0B" w14:paraId="4544C18A" w14:textId="77777777" w:rsidTr="00D85D50">
        <w:trPr>
          <w:trHeight w:hRule="exact" w:val="255"/>
        </w:trPr>
        <w:tc>
          <w:tcPr>
            <w:tcW w:w="1137" w:type="pct"/>
            <w:vAlign w:val="bottom"/>
            <w:hideMark/>
          </w:tcPr>
          <w:p w14:paraId="00508A44"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Минтруд АО</w:t>
            </w:r>
          </w:p>
        </w:tc>
        <w:tc>
          <w:tcPr>
            <w:tcW w:w="520" w:type="pct"/>
          </w:tcPr>
          <w:p w14:paraId="2CD5040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730" w:type="pct"/>
          </w:tcPr>
          <w:p w14:paraId="0307882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597" w:type="pct"/>
          </w:tcPr>
          <w:p w14:paraId="52FE6C8C"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628" w:type="pct"/>
          </w:tcPr>
          <w:p w14:paraId="05971BC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730" w:type="pct"/>
          </w:tcPr>
          <w:p w14:paraId="1111F89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658" w:type="pct"/>
          </w:tcPr>
          <w:p w14:paraId="7979808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r>
      <w:tr w:rsidR="00FD7B0B" w:rsidRPr="00FD7B0B" w14:paraId="7EC6B2B0" w14:textId="77777777" w:rsidTr="00C94CCA">
        <w:trPr>
          <w:trHeight w:hRule="exact" w:val="423"/>
        </w:trPr>
        <w:tc>
          <w:tcPr>
            <w:tcW w:w="1137" w:type="pct"/>
            <w:vAlign w:val="bottom"/>
            <w:hideMark/>
          </w:tcPr>
          <w:p w14:paraId="79C1A6C4" w14:textId="124CF6EF" w:rsidR="00FB240D" w:rsidRPr="00FD7B0B" w:rsidRDefault="00FB240D" w:rsidP="003D51A3">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 xml:space="preserve">Администрация </w:t>
            </w:r>
            <w:r w:rsidR="003D51A3" w:rsidRPr="00FD7B0B">
              <w:rPr>
                <w:rFonts w:ascii="Times New Roman" w:eastAsia="Times New Roman" w:hAnsi="Times New Roman"/>
                <w:sz w:val="18"/>
                <w:szCs w:val="18"/>
                <w:lang w:eastAsia="ru-RU"/>
              </w:rPr>
              <w:t>Г</w:t>
            </w:r>
            <w:r w:rsidRPr="00FD7B0B">
              <w:rPr>
                <w:rFonts w:ascii="Times New Roman" w:eastAsia="Times New Roman" w:hAnsi="Times New Roman"/>
                <w:sz w:val="18"/>
                <w:szCs w:val="18"/>
                <w:lang w:eastAsia="ru-RU"/>
              </w:rPr>
              <w:t>убернатора</w:t>
            </w:r>
          </w:p>
        </w:tc>
        <w:tc>
          <w:tcPr>
            <w:tcW w:w="520" w:type="pct"/>
          </w:tcPr>
          <w:p w14:paraId="1527B30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w:t>
            </w:r>
          </w:p>
        </w:tc>
        <w:tc>
          <w:tcPr>
            <w:tcW w:w="730" w:type="pct"/>
          </w:tcPr>
          <w:p w14:paraId="2F0BD6E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5</w:t>
            </w:r>
          </w:p>
        </w:tc>
        <w:tc>
          <w:tcPr>
            <w:tcW w:w="597" w:type="pct"/>
          </w:tcPr>
          <w:p w14:paraId="7440411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4</w:t>
            </w:r>
          </w:p>
        </w:tc>
        <w:tc>
          <w:tcPr>
            <w:tcW w:w="628" w:type="pct"/>
          </w:tcPr>
          <w:p w14:paraId="600D319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730" w:type="pct"/>
          </w:tcPr>
          <w:p w14:paraId="753571C2"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658" w:type="pct"/>
          </w:tcPr>
          <w:p w14:paraId="1E5A06E1"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r>
      <w:tr w:rsidR="00FD7B0B" w:rsidRPr="00FD7B0B" w14:paraId="78E13B95" w14:textId="77777777" w:rsidTr="00D85D50">
        <w:trPr>
          <w:trHeight w:hRule="exact" w:val="255"/>
        </w:trPr>
        <w:tc>
          <w:tcPr>
            <w:tcW w:w="1137" w:type="pct"/>
            <w:vAlign w:val="bottom"/>
          </w:tcPr>
          <w:p w14:paraId="27C1F8AF"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Минагропром АО</w:t>
            </w:r>
          </w:p>
        </w:tc>
        <w:tc>
          <w:tcPr>
            <w:tcW w:w="520" w:type="pct"/>
            <w:vAlign w:val="bottom"/>
          </w:tcPr>
          <w:p w14:paraId="576E170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w:t>
            </w:r>
          </w:p>
        </w:tc>
        <w:tc>
          <w:tcPr>
            <w:tcW w:w="730" w:type="pct"/>
            <w:vAlign w:val="bottom"/>
          </w:tcPr>
          <w:p w14:paraId="3576765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w:t>
            </w:r>
          </w:p>
        </w:tc>
        <w:tc>
          <w:tcPr>
            <w:tcW w:w="597" w:type="pct"/>
            <w:vAlign w:val="bottom"/>
          </w:tcPr>
          <w:p w14:paraId="1CA762D8"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w:t>
            </w:r>
          </w:p>
        </w:tc>
        <w:tc>
          <w:tcPr>
            <w:tcW w:w="628" w:type="pct"/>
            <w:vAlign w:val="bottom"/>
          </w:tcPr>
          <w:p w14:paraId="5C87AD8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w:t>
            </w:r>
          </w:p>
        </w:tc>
        <w:tc>
          <w:tcPr>
            <w:tcW w:w="730" w:type="pct"/>
            <w:vAlign w:val="bottom"/>
          </w:tcPr>
          <w:p w14:paraId="5C1891DE"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w:t>
            </w:r>
          </w:p>
        </w:tc>
        <w:tc>
          <w:tcPr>
            <w:tcW w:w="658" w:type="pct"/>
            <w:vAlign w:val="bottom"/>
          </w:tcPr>
          <w:p w14:paraId="35A0E796"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1</w:t>
            </w:r>
          </w:p>
        </w:tc>
      </w:tr>
      <w:tr w:rsidR="00FD7B0B" w:rsidRPr="00FD7B0B" w14:paraId="56F1B1E5" w14:textId="77777777" w:rsidTr="00D85D50">
        <w:trPr>
          <w:trHeight w:hRule="exact" w:val="255"/>
        </w:trPr>
        <w:tc>
          <w:tcPr>
            <w:tcW w:w="1137" w:type="pct"/>
            <w:vAlign w:val="bottom"/>
            <w:hideMark/>
          </w:tcPr>
          <w:p w14:paraId="73B7B804"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Агентство ГПС и ГЗ АО</w:t>
            </w:r>
          </w:p>
        </w:tc>
        <w:tc>
          <w:tcPr>
            <w:tcW w:w="520" w:type="pct"/>
            <w:vAlign w:val="bottom"/>
          </w:tcPr>
          <w:p w14:paraId="6A1B591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2</w:t>
            </w:r>
          </w:p>
        </w:tc>
        <w:tc>
          <w:tcPr>
            <w:tcW w:w="730" w:type="pct"/>
            <w:vAlign w:val="bottom"/>
          </w:tcPr>
          <w:p w14:paraId="36353633"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2</w:t>
            </w:r>
          </w:p>
        </w:tc>
        <w:tc>
          <w:tcPr>
            <w:tcW w:w="597" w:type="pct"/>
            <w:vAlign w:val="bottom"/>
          </w:tcPr>
          <w:p w14:paraId="326D058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hAnsi="Times New Roman"/>
                <w:sz w:val="18"/>
                <w:szCs w:val="18"/>
              </w:rPr>
              <w:t>2</w:t>
            </w:r>
          </w:p>
        </w:tc>
        <w:tc>
          <w:tcPr>
            <w:tcW w:w="628" w:type="pct"/>
          </w:tcPr>
          <w:p w14:paraId="1B795B44"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730" w:type="pct"/>
          </w:tcPr>
          <w:p w14:paraId="19AF100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658" w:type="pct"/>
          </w:tcPr>
          <w:p w14:paraId="6C06AB97"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r>
      <w:tr w:rsidR="00FD7B0B" w:rsidRPr="00FD7B0B" w14:paraId="342851CE" w14:textId="77777777" w:rsidTr="00D85D50">
        <w:trPr>
          <w:trHeight w:hRule="exact" w:val="255"/>
        </w:trPr>
        <w:tc>
          <w:tcPr>
            <w:tcW w:w="1137" w:type="pct"/>
            <w:vAlign w:val="bottom"/>
          </w:tcPr>
          <w:p w14:paraId="114289B7" w14:textId="77777777" w:rsidR="00FB240D" w:rsidRPr="00FD7B0B" w:rsidRDefault="00FB240D" w:rsidP="00FB240D">
            <w:pPr>
              <w:spacing w:after="0" w:line="240" w:lineRule="auto"/>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Минсвязи АО</w:t>
            </w:r>
          </w:p>
        </w:tc>
        <w:tc>
          <w:tcPr>
            <w:tcW w:w="520" w:type="pct"/>
          </w:tcPr>
          <w:p w14:paraId="40A9FE0F"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730" w:type="pct"/>
          </w:tcPr>
          <w:p w14:paraId="5484515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597" w:type="pct"/>
          </w:tcPr>
          <w:p w14:paraId="7331C39B"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r w:rsidRPr="00FD7B0B">
              <w:rPr>
                <w:rFonts w:ascii="Times New Roman" w:eastAsia="Times New Roman" w:hAnsi="Times New Roman"/>
                <w:sz w:val="18"/>
                <w:szCs w:val="18"/>
                <w:lang w:eastAsia="ru-RU"/>
              </w:rPr>
              <w:t>1</w:t>
            </w:r>
          </w:p>
        </w:tc>
        <w:tc>
          <w:tcPr>
            <w:tcW w:w="628" w:type="pct"/>
          </w:tcPr>
          <w:p w14:paraId="572A1050"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730" w:type="pct"/>
          </w:tcPr>
          <w:p w14:paraId="03C0A269"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c>
          <w:tcPr>
            <w:tcW w:w="658" w:type="pct"/>
          </w:tcPr>
          <w:p w14:paraId="1023455A" w14:textId="77777777" w:rsidR="00FB240D" w:rsidRPr="00FD7B0B" w:rsidRDefault="00FB240D" w:rsidP="00FB240D">
            <w:pPr>
              <w:spacing w:after="0" w:line="240" w:lineRule="auto"/>
              <w:jc w:val="center"/>
              <w:rPr>
                <w:rFonts w:ascii="Times New Roman" w:eastAsia="Times New Roman" w:hAnsi="Times New Roman"/>
                <w:sz w:val="18"/>
                <w:szCs w:val="18"/>
                <w:lang w:eastAsia="ru-RU"/>
              </w:rPr>
            </w:pPr>
          </w:p>
        </w:tc>
      </w:tr>
      <w:tr w:rsidR="00FB240D" w:rsidRPr="00FD7B0B" w14:paraId="524FD665" w14:textId="77777777" w:rsidTr="00D85D50">
        <w:trPr>
          <w:trHeight w:hRule="exact" w:val="255"/>
        </w:trPr>
        <w:tc>
          <w:tcPr>
            <w:tcW w:w="1137" w:type="pct"/>
            <w:vAlign w:val="bottom"/>
            <w:hideMark/>
          </w:tcPr>
          <w:p w14:paraId="09D729F3" w14:textId="77777777" w:rsidR="00FB240D" w:rsidRPr="00FD7B0B" w:rsidRDefault="00FB240D" w:rsidP="00FB240D">
            <w:pPr>
              <w:spacing w:after="0" w:line="240" w:lineRule="auto"/>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Итого</w:t>
            </w:r>
          </w:p>
        </w:tc>
        <w:tc>
          <w:tcPr>
            <w:tcW w:w="520" w:type="pct"/>
          </w:tcPr>
          <w:p w14:paraId="1E710826"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97</w:t>
            </w:r>
          </w:p>
        </w:tc>
        <w:tc>
          <w:tcPr>
            <w:tcW w:w="730" w:type="pct"/>
          </w:tcPr>
          <w:p w14:paraId="71526E79"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83</w:t>
            </w:r>
          </w:p>
        </w:tc>
        <w:tc>
          <w:tcPr>
            <w:tcW w:w="597" w:type="pct"/>
          </w:tcPr>
          <w:p w14:paraId="0264FB8A"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45</w:t>
            </w:r>
          </w:p>
        </w:tc>
        <w:tc>
          <w:tcPr>
            <w:tcW w:w="628" w:type="pct"/>
          </w:tcPr>
          <w:p w14:paraId="7712A00A"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32</w:t>
            </w:r>
          </w:p>
        </w:tc>
        <w:tc>
          <w:tcPr>
            <w:tcW w:w="730" w:type="pct"/>
          </w:tcPr>
          <w:p w14:paraId="2092A7B5"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24</w:t>
            </w:r>
          </w:p>
        </w:tc>
        <w:tc>
          <w:tcPr>
            <w:tcW w:w="658" w:type="pct"/>
          </w:tcPr>
          <w:p w14:paraId="35388FEA"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r w:rsidRPr="00FD7B0B">
              <w:rPr>
                <w:rFonts w:ascii="Times New Roman" w:eastAsia="Times New Roman" w:hAnsi="Times New Roman"/>
                <w:b/>
                <w:bCs/>
                <w:sz w:val="18"/>
                <w:szCs w:val="18"/>
                <w:lang w:eastAsia="ru-RU"/>
              </w:rPr>
              <w:t>14</w:t>
            </w:r>
          </w:p>
          <w:p w14:paraId="55F5D095" w14:textId="77777777" w:rsidR="00FB240D" w:rsidRPr="00FD7B0B" w:rsidRDefault="00FB240D" w:rsidP="00FB240D">
            <w:pPr>
              <w:spacing w:after="0" w:line="240" w:lineRule="auto"/>
              <w:jc w:val="center"/>
              <w:rPr>
                <w:rFonts w:ascii="Times New Roman" w:eastAsia="Times New Roman" w:hAnsi="Times New Roman"/>
                <w:b/>
                <w:bCs/>
                <w:sz w:val="18"/>
                <w:szCs w:val="18"/>
                <w:lang w:eastAsia="ru-RU"/>
              </w:rPr>
            </w:pPr>
          </w:p>
        </w:tc>
      </w:tr>
    </w:tbl>
    <w:p w14:paraId="5BE0BA9B" w14:textId="77777777" w:rsidR="00FB240D" w:rsidRPr="00FD7B0B" w:rsidRDefault="00FB240D" w:rsidP="00FB240D">
      <w:pPr>
        <w:spacing w:after="0" w:line="240" w:lineRule="auto"/>
        <w:ind w:firstLine="709"/>
        <w:jc w:val="both"/>
        <w:rPr>
          <w:rFonts w:ascii="Times New Roman" w:hAnsi="Times New Roman"/>
          <w:sz w:val="28"/>
          <w:szCs w:val="28"/>
        </w:rPr>
      </w:pPr>
    </w:p>
    <w:p w14:paraId="1AA407EC" w14:textId="77777777" w:rsidR="005C3A90" w:rsidRPr="00FD7B0B" w:rsidRDefault="005C3A90" w:rsidP="005C3A90">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Таким образом, из 83 мероприятий ОАИП на 2024, завершение которых запланировано на текущий год, фактически завершены только 45 мероприятия (54,2 % от запланированного количества). Поскольку кассовое исполнение ОАИП на 2024 год составило 87,3 % от УСБР, то, соответственно, такой значительный процент исполнения ОАИП связан, в основном, с выплатой подрядчикам авансовых платежей. Аналогично, в части исполнения мероприятий, входящих в ФП: 14 завершенных мероприятий (58,3 %) при плане 24 мероприятия.</w:t>
      </w:r>
    </w:p>
    <w:p w14:paraId="24BBD38C" w14:textId="77777777" w:rsidR="00FB240D" w:rsidRPr="00FD7B0B" w:rsidRDefault="00FB240D" w:rsidP="00FB240D">
      <w:pPr>
        <w:spacing w:after="0" w:line="240" w:lineRule="auto"/>
        <w:ind w:firstLine="709"/>
        <w:jc w:val="both"/>
        <w:rPr>
          <w:rFonts w:ascii="Times New Roman" w:hAnsi="Times New Roman"/>
          <w:sz w:val="28"/>
          <w:szCs w:val="28"/>
        </w:rPr>
      </w:pPr>
    </w:p>
    <w:p w14:paraId="54AF7075"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Анализ расходов областного бюджета, связанных с капитальными вложениями в разрезе ГП, показал следующее.</w:t>
      </w:r>
    </w:p>
    <w:p w14:paraId="697A2719" w14:textId="77777777" w:rsidR="00FB240D" w:rsidRPr="00FD7B0B" w:rsidRDefault="00FB240D" w:rsidP="00FB240D">
      <w:pPr>
        <w:spacing w:after="0" w:line="240" w:lineRule="auto"/>
        <w:ind w:firstLine="709"/>
        <w:jc w:val="both"/>
        <w:rPr>
          <w:rFonts w:ascii="Times New Roman" w:hAnsi="Times New Roman"/>
          <w:sz w:val="28"/>
          <w:szCs w:val="28"/>
        </w:rPr>
      </w:pPr>
    </w:p>
    <w:p w14:paraId="0E3AC7D2" w14:textId="77777777" w:rsidR="00FB240D" w:rsidRPr="00FD7B0B" w:rsidRDefault="00FB240D" w:rsidP="00FB240D">
      <w:pPr>
        <w:spacing w:after="0" w:line="240" w:lineRule="auto"/>
        <w:rPr>
          <w:rFonts w:ascii="Times New Roman" w:hAnsi="Times New Roman"/>
          <w:sz w:val="28"/>
          <w:szCs w:val="28"/>
          <w:u w:val="single"/>
        </w:rPr>
      </w:pPr>
      <w:r w:rsidRPr="00FD7B0B">
        <w:rPr>
          <w:rFonts w:ascii="Times New Roman" w:hAnsi="Times New Roman"/>
          <w:sz w:val="28"/>
          <w:szCs w:val="28"/>
          <w:u w:val="single"/>
        </w:rPr>
        <w:t>1. ГП «Развитие здравоохранения в Архангельской области»</w:t>
      </w:r>
    </w:p>
    <w:p w14:paraId="00107FAF"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1.1. Госконтракт от 22.11.2021 № 0124200000621006212, заключенный с ООО «Белый Дом» по строительству объекта «</w:t>
      </w:r>
      <w:r w:rsidRPr="00FD7B0B">
        <w:rPr>
          <w:rFonts w:ascii="Times New Roman" w:hAnsi="Times New Roman"/>
          <w:sz w:val="28"/>
          <w:szCs w:val="28"/>
          <w:u w:val="single"/>
        </w:rPr>
        <w:t>Поликлиника для детского населения в г. Котлас</w:t>
      </w:r>
      <w:r w:rsidRPr="00FD7B0B">
        <w:rPr>
          <w:rFonts w:ascii="Times New Roman" w:hAnsi="Times New Roman"/>
          <w:sz w:val="28"/>
          <w:szCs w:val="28"/>
        </w:rPr>
        <w:t>», на основании решения заказчика (ГКУ АО «ГУКС») от 22.07.2024 расторгнут в одностороннем порядке по причине нарушения Подрядчиком сроков выполнения работ и несоблюдения требований к качеству работ и материалов.</w:t>
      </w:r>
    </w:p>
    <w:p w14:paraId="13FF1F7D"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Согласно данным ЕИС в сфере закупок к моменту расторжения контракта стоимость выполненных работ составила 812,6 млн.руб. (93,4 % от цены контракта), оплата проведена в сумме 851,4 млн.руб. По состоянию на 17.04.2025 подрядчик не перечислил заказчику неотработанный аванс в сумме 38,8 млн.руб.</w:t>
      </w:r>
    </w:p>
    <w:p w14:paraId="3D67B9C1" w14:textId="1CDC65AD"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целях завершения строительства объекта Заказчиком заключен госконтракт от 24.12.2024 № 0124200000624008660 с ООО «Стройпрог</w:t>
      </w:r>
      <w:r w:rsidR="00C94CCA" w:rsidRPr="00FD7B0B">
        <w:rPr>
          <w:rFonts w:ascii="Times New Roman" w:hAnsi="Times New Roman"/>
          <w:sz w:val="28"/>
          <w:szCs w:val="28"/>
        </w:rPr>
        <w:t>ресс», цена контракта 99,2 млн.</w:t>
      </w:r>
      <w:r w:rsidRPr="00FD7B0B">
        <w:rPr>
          <w:rFonts w:ascii="Times New Roman" w:hAnsi="Times New Roman"/>
          <w:sz w:val="28"/>
          <w:szCs w:val="28"/>
        </w:rPr>
        <w:t>руб., срок</w:t>
      </w:r>
      <w:r w:rsidR="00D85D50" w:rsidRPr="00FD7B0B">
        <w:rPr>
          <w:rFonts w:ascii="Times New Roman" w:hAnsi="Times New Roman"/>
          <w:sz w:val="28"/>
          <w:szCs w:val="28"/>
        </w:rPr>
        <w:t xml:space="preserve"> завершения работ – 30.09.2025.</w:t>
      </w:r>
    </w:p>
    <w:p w14:paraId="4F4E0336"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Сметой контракта на завершение строительства предусмотрены демонтажные работы общей стоимостью более 4 млн руб.</w:t>
      </w:r>
    </w:p>
    <w:p w14:paraId="7EDE1E08" w14:textId="2584848E"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По состоянию на 21.04.2025 подрядчиком предъявлены работы на 2,7 </w:t>
      </w:r>
      <w:r w:rsidR="000560EB" w:rsidRPr="00FD7B0B">
        <w:rPr>
          <w:rFonts w:ascii="Times New Roman" w:hAnsi="Times New Roman"/>
          <w:sz w:val="28"/>
          <w:szCs w:val="28"/>
        </w:rPr>
        <w:t>млн.руб.</w:t>
      </w:r>
      <w:r w:rsidRPr="00FD7B0B">
        <w:rPr>
          <w:rFonts w:ascii="Times New Roman" w:hAnsi="Times New Roman"/>
          <w:sz w:val="28"/>
          <w:szCs w:val="28"/>
        </w:rPr>
        <w:t xml:space="preserve">, включающие в себя демонтаж отделки стен и откосов, облицовки потолка, наличников, радиаторов, электросчетчиков, смена розеток, выключателей, светильников. </w:t>
      </w:r>
    </w:p>
    <w:p w14:paraId="2A331CEE" w14:textId="2870A0EF"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Таким образом, бюджет области понесет дополнительные затраты, связанные с демонтажными работами в связи с некачественным выполнением работ первым подрядчиком (ООО «Белый дом») в размере минимум </w:t>
      </w:r>
      <w:r w:rsidR="00D85D50" w:rsidRPr="00FD7B0B">
        <w:rPr>
          <w:rFonts w:ascii="Times New Roman" w:hAnsi="Times New Roman"/>
          <w:sz w:val="28"/>
          <w:szCs w:val="28"/>
        </w:rPr>
        <w:t>4,0 млн.руб</w:t>
      </w:r>
    </w:p>
    <w:p w14:paraId="05E9B267"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1.2. Госконтракт от 08.08.2022 № 0124200000622003924, заключенный с АО «Авиапромстрой» на </w:t>
      </w:r>
      <w:r w:rsidRPr="00FD7B0B">
        <w:rPr>
          <w:rFonts w:ascii="Times New Roman" w:hAnsi="Times New Roman"/>
          <w:sz w:val="28"/>
          <w:szCs w:val="28"/>
          <w:u w:val="single"/>
        </w:rPr>
        <w:t>строительство врачебной амбулатории в с. Сура</w:t>
      </w:r>
      <w:r w:rsidRPr="00FD7B0B">
        <w:rPr>
          <w:rFonts w:ascii="Times New Roman" w:hAnsi="Times New Roman"/>
          <w:sz w:val="28"/>
          <w:szCs w:val="28"/>
        </w:rPr>
        <w:t>, Пинежского района Архангельской области, на основании решения заказчика (ГКУ АО «ГУКС») от 20.06.2024 расторгнут в одностороннем порядке по причине нарушения сроков выполнения работ. Согласно данным ЕИС в сфере закупок к моменту расторжения контракта стоимость выполненных работ составила 34,8 млн.руб. (93,4 % от цены контракта), оплата проведена в сумме 47,1 млн.руб. По состоянию на 17.04.2025 подрядчик не перечислил заказчику неотработанный аванс в сумме 12,3 млн.руб.</w:t>
      </w:r>
    </w:p>
    <w:p w14:paraId="716DC805"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lastRenderedPageBreak/>
        <w:t>Решением Арбитражного суда г. Москвы от 07.06.2024 АО «Авиапромстрой» (ИНН 7708728600 ОГРН 1107746834140) признано банкротом, срок конкурсного производства продлен до 09.06.2025.</w:t>
      </w:r>
    </w:p>
    <w:p w14:paraId="1B9F6746" w14:textId="0FD4BC6D"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Для выполнения работ по корректировке проектной документации, окончанию работ по строительству данного объекта заключен госконтракт от 12.11.2024 № 0124200000624007084 с ООО «РК-инвест», цена контракта 40,8 млн руб., срок ввода объ</w:t>
      </w:r>
      <w:r w:rsidR="00A97794" w:rsidRPr="00FD7B0B">
        <w:rPr>
          <w:rFonts w:ascii="Times New Roman" w:hAnsi="Times New Roman"/>
          <w:sz w:val="28"/>
          <w:szCs w:val="28"/>
        </w:rPr>
        <w:t>екта в эксплуатацию 26.09.2025.</w:t>
      </w:r>
    </w:p>
    <w:p w14:paraId="4D499ADB" w14:textId="77777777" w:rsidR="00FB240D" w:rsidRPr="00FD7B0B" w:rsidRDefault="00FB240D" w:rsidP="00FB240D">
      <w:pPr>
        <w:spacing w:after="0" w:line="240" w:lineRule="auto"/>
        <w:ind w:firstLine="709"/>
        <w:jc w:val="both"/>
        <w:rPr>
          <w:rFonts w:ascii="Times New Roman" w:hAnsi="Times New Roman"/>
          <w:snapToGrid w:val="0"/>
          <w:sz w:val="28"/>
          <w:szCs w:val="28"/>
        </w:rPr>
      </w:pPr>
      <w:r w:rsidRPr="00FD7B0B">
        <w:rPr>
          <w:rFonts w:ascii="Times New Roman" w:hAnsi="Times New Roman"/>
          <w:sz w:val="28"/>
          <w:szCs w:val="28"/>
        </w:rPr>
        <w:t xml:space="preserve">Исполнение контракта предусмотрено двумя этапами: проектирование – </w:t>
      </w:r>
      <w:r w:rsidRPr="00FD7B0B">
        <w:rPr>
          <w:rFonts w:ascii="Times New Roman" w:hAnsi="Times New Roman"/>
          <w:snapToGrid w:val="0"/>
          <w:sz w:val="28"/>
          <w:szCs w:val="28"/>
        </w:rPr>
        <w:t xml:space="preserve">не позднее </w:t>
      </w:r>
      <w:r w:rsidRPr="00FD7B0B">
        <w:rPr>
          <w:rFonts w:ascii="Times New Roman" w:hAnsi="Times New Roman"/>
          <w:bCs/>
          <w:snapToGrid w:val="0"/>
          <w:sz w:val="28"/>
          <w:szCs w:val="28"/>
        </w:rPr>
        <w:t>27.02.2025</w:t>
      </w:r>
      <w:r w:rsidRPr="00FD7B0B">
        <w:rPr>
          <w:rFonts w:ascii="Times New Roman" w:hAnsi="Times New Roman"/>
          <w:snapToGrid w:val="0"/>
          <w:sz w:val="28"/>
          <w:szCs w:val="28"/>
        </w:rPr>
        <w:t xml:space="preserve">; завершение строительства – не позднее </w:t>
      </w:r>
      <w:r w:rsidRPr="00FD7B0B">
        <w:rPr>
          <w:rFonts w:ascii="Times New Roman" w:hAnsi="Times New Roman"/>
          <w:bCs/>
          <w:snapToGrid w:val="0"/>
          <w:sz w:val="28"/>
          <w:szCs w:val="28"/>
        </w:rPr>
        <w:t>26.09.2025</w:t>
      </w:r>
      <w:r w:rsidRPr="00FD7B0B">
        <w:rPr>
          <w:rFonts w:ascii="Times New Roman" w:hAnsi="Times New Roman"/>
          <w:snapToGrid w:val="0"/>
          <w:sz w:val="28"/>
          <w:szCs w:val="28"/>
        </w:rPr>
        <w:t>.</w:t>
      </w:r>
    </w:p>
    <w:p w14:paraId="1BC6A6C4" w14:textId="034CFC85"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Дополнительным соглашением от 18.12.2024 № 3 первоначальный размер аванса (30</w:t>
      </w:r>
      <w:r w:rsidR="00A97794" w:rsidRPr="00FD7B0B">
        <w:rPr>
          <w:rFonts w:ascii="Times New Roman" w:hAnsi="Times New Roman"/>
          <w:sz w:val="28"/>
          <w:szCs w:val="28"/>
        </w:rPr>
        <w:t xml:space="preserve"> </w:t>
      </w:r>
      <w:r w:rsidRPr="00FD7B0B">
        <w:rPr>
          <w:rFonts w:ascii="Times New Roman" w:hAnsi="Times New Roman"/>
          <w:sz w:val="28"/>
          <w:szCs w:val="28"/>
        </w:rPr>
        <w:t>%) увеличен до 50</w:t>
      </w:r>
      <w:r w:rsidR="00A97794" w:rsidRPr="00FD7B0B">
        <w:rPr>
          <w:rFonts w:ascii="Times New Roman" w:hAnsi="Times New Roman"/>
          <w:sz w:val="28"/>
          <w:szCs w:val="28"/>
        </w:rPr>
        <w:t xml:space="preserve"> </w:t>
      </w:r>
      <w:r w:rsidRPr="00FD7B0B">
        <w:rPr>
          <w:rFonts w:ascii="Times New Roman" w:hAnsi="Times New Roman"/>
          <w:sz w:val="28"/>
          <w:szCs w:val="28"/>
        </w:rPr>
        <w:t>% (в части работ 2 этапа).</w:t>
      </w:r>
    </w:p>
    <w:p w14:paraId="2EF87390" w14:textId="4C399BAB"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По состоянию на 17.04.2025 подрядчику перечислен аванс в размере 20,3 </w:t>
      </w:r>
      <w:r w:rsidR="000560EB" w:rsidRPr="00FD7B0B">
        <w:rPr>
          <w:rFonts w:ascii="Times New Roman" w:hAnsi="Times New Roman"/>
          <w:sz w:val="28"/>
          <w:szCs w:val="28"/>
        </w:rPr>
        <w:t>млн.руб.</w:t>
      </w:r>
      <w:r w:rsidRPr="00FD7B0B">
        <w:rPr>
          <w:rFonts w:ascii="Times New Roman" w:hAnsi="Times New Roman"/>
          <w:sz w:val="28"/>
          <w:szCs w:val="28"/>
        </w:rPr>
        <w:t>, однако положительное заключение госэкспертизы не получено, просрочка исполнения 1 этапа составляет 49 дней.</w:t>
      </w:r>
    </w:p>
    <w:p w14:paraId="0C76244C" w14:textId="77777777" w:rsidR="00FB240D" w:rsidRPr="00FD7B0B" w:rsidRDefault="00FB240D" w:rsidP="00FB240D">
      <w:pPr>
        <w:spacing w:after="0" w:line="240" w:lineRule="auto"/>
        <w:ind w:firstLine="709"/>
        <w:jc w:val="both"/>
        <w:rPr>
          <w:rFonts w:ascii="Times New Roman" w:hAnsi="Times New Roman"/>
          <w:bCs/>
          <w:sz w:val="28"/>
          <w:szCs w:val="28"/>
        </w:rPr>
      </w:pPr>
      <w:r w:rsidRPr="00FD7B0B">
        <w:rPr>
          <w:rFonts w:ascii="Times New Roman" w:hAnsi="Times New Roman"/>
          <w:sz w:val="28"/>
          <w:szCs w:val="28"/>
        </w:rPr>
        <w:t xml:space="preserve">1.3. Госконтракт от 09.12.2024 № </w:t>
      </w:r>
      <w:r w:rsidRPr="00FD7B0B">
        <w:rPr>
          <w:rFonts w:ascii="Times New Roman" w:hAnsi="Times New Roman"/>
          <w:bCs/>
          <w:sz w:val="28"/>
          <w:szCs w:val="28"/>
        </w:rPr>
        <w:t xml:space="preserve">0124200000624007405 на </w:t>
      </w:r>
      <w:r w:rsidRPr="00FD7B0B">
        <w:rPr>
          <w:rFonts w:ascii="Times New Roman" w:hAnsi="Times New Roman"/>
          <w:sz w:val="28"/>
          <w:szCs w:val="28"/>
        </w:rPr>
        <w:t>выполнение работ по проектированию, строительству и вводу в эксплуатацию объекта капитального строительства «</w:t>
      </w:r>
      <w:r w:rsidRPr="00FD7B0B">
        <w:rPr>
          <w:rFonts w:ascii="Times New Roman" w:hAnsi="Times New Roman"/>
          <w:noProof/>
          <w:sz w:val="28"/>
          <w:szCs w:val="28"/>
          <w:u w:val="single"/>
        </w:rPr>
        <w:t>Круглосуточный стационар в с. Карпогоры Пинежского района Архангельской области</w:t>
      </w:r>
      <w:r w:rsidRPr="00FD7B0B">
        <w:rPr>
          <w:rFonts w:ascii="Times New Roman" w:hAnsi="Times New Roman"/>
          <w:sz w:val="28"/>
          <w:szCs w:val="28"/>
        </w:rPr>
        <w:t>»</w:t>
      </w:r>
      <w:r w:rsidRPr="00FD7B0B">
        <w:rPr>
          <w:rFonts w:ascii="Times New Roman" w:hAnsi="Times New Roman"/>
          <w:bCs/>
          <w:sz w:val="28"/>
          <w:szCs w:val="28"/>
        </w:rPr>
        <w:t xml:space="preserve"> заключен между ГКУ АО «ГУКС» и ООО «Стройпрогресс».</w:t>
      </w:r>
    </w:p>
    <w:p w14:paraId="2B5B27F1" w14:textId="6D165D10" w:rsidR="00FB240D" w:rsidRPr="00FD7B0B" w:rsidRDefault="00730EE5" w:rsidP="00FB240D">
      <w:pPr>
        <w:spacing w:after="0" w:line="240" w:lineRule="auto"/>
        <w:ind w:firstLine="709"/>
        <w:jc w:val="both"/>
        <w:rPr>
          <w:rFonts w:ascii="Times New Roman" w:hAnsi="Times New Roman"/>
          <w:sz w:val="28"/>
          <w:szCs w:val="28"/>
        </w:rPr>
      </w:pPr>
      <w:r w:rsidRPr="00FD7B0B">
        <w:rPr>
          <w:rFonts w:ascii="Times New Roman" w:hAnsi="Times New Roman"/>
          <w:bCs/>
          <w:sz w:val="28"/>
          <w:szCs w:val="28"/>
        </w:rPr>
        <w:t>Цена контракта 210,9 млн.</w:t>
      </w:r>
      <w:r w:rsidR="00FB240D" w:rsidRPr="00FD7B0B">
        <w:rPr>
          <w:rFonts w:ascii="Times New Roman" w:hAnsi="Times New Roman"/>
          <w:bCs/>
          <w:sz w:val="28"/>
          <w:szCs w:val="28"/>
        </w:rPr>
        <w:t>руб., срок окончания работ по проектированию – 30.09.2025, по строительству – 03.11.2026.</w:t>
      </w:r>
    </w:p>
    <w:p w14:paraId="63180218" w14:textId="1BBD52DF"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Дополнительным соглашением от 19.12.2024 № 3 первоначальный размер аванса (30</w:t>
      </w:r>
      <w:r w:rsidR="00730EE5" w:rsidRPr="00FD7B0B">
        <w:rPr>
          <w:rFonts w:ascii="Times New Roman" w:hAnsi="Times New Roman"/>
          <w:sz w:val="28"/>
          <w:szCs w:val="28"/>
        </w:rPr>
        <w:t xml:space="preserve"> </w:t>
      </w:r>
      <w:r w:rsidRPr="00FD7B0B">
        <w:rPr>
          <w:rFonts w:ascii="Times New Roman" w:hAnsi="Times New Roman"/>
          <w:sz w:val="28"/>
          <w:szCs w:val="28"/>
        </w:rPr>
        <w:t>%) увеличен до 50</w:t>
      </w:r>
      <w:r w:rsidR="00730EE5" w:rsidRPr="00FD7B0B">
        <w:rPr>
          <w:rFonts w:ascii="Times New Roman" w:hAnsi="Times New Roman"/>
          <w:sz w:val="28"/>
          <w:szCs w:val="28"/>
        </w:rPr>
        <w:t xml:space="preserve"> </w:t>
      </w:r>
      <w:r w:rsidRPr="00FD7B0B">
        <w:rPr>
          <w:rFonts w:ascii="Times New Roman" w:hAnsi="Times New Roman"/>
          <w:sz w:val="28"/>
          <w:szCs w:val="28"/>
        </w:rPr>
        <w:t>% (в части работ 2 этапа).</w:t>
      </w:r>
    </w:p>
    <w:p w14:paraId="2B153FBE" w14:textId="103BA14C"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состоянию на 21.04.2025 подрядч</w:t>
      </w:r>
      <w:r w:rsidR="00730EE5" w:rsidRPr="00FD7B0B">
        <w:rPr>
          <w:rFonts w:ascii="Times New Roman" w:hAnsi="Times New Roman"/>
          <w:sz w:val="28"/>
          <w:szCs w:val="28"/>
        </w:rPr>
        <w:t>ику перечислен аванс 103,8 млн.</w:t>
      </w:r>
      <w:r w:rsidRPr="00FD7B0B">
        <w:rPr>
          <w:rFonts w:ascii="Times New Roman" w:hAnsi="Times New Roman"/>
          <w:sz w:val="28"/>
          <w:szCs w:val="28"/>
        </w:rPr>
        <w:t>руб., работы к оплате не предъявлялись.</w:t>
      </w:r>
    </w:p>
    <w:p w14:paraId="693B1A83" w14:textId="77777777" w:rsidR="00FB240D" w:rsidRPr="00FD7B0B" w:rsidRDefault="00FB240D" w:rsidP="00FB240D">
      <w:pPr>
        <w:spacing w:after="0" w:line="240" w:lineRule="auto"/>
        <w:ind w:firstLine="709"/>
        <w:jc w:val="both"/>
        <w:rPr>
          <w:rFonts w:ascii="Times New Roman" w:hAnsi="Times New Roman"/>
          <w:bCs/>
          <w:sz w:val="28"/>
          <w:szCs w:val="28"/>
        </w:rPr>
      </w:pPr>
      <w:r w:rsidRPr="00FD7B0B">
        <w:rPr>
          <w:rFonts w:ascii="Times New Roman" w:hAnsi="Times New Roman"/>
          <w:sz w:val="28"/>
          <w:szCs w:val="28"/>
        </w:rPr>
        <w:t>1.4. Госконтракт от 28.05.2024 № 0124200000624002986 на выполнение работ по проектированию, строительству и вводу в эксплуатацию объекта капитального строительства «Поликлиника ГБУЗ АО «</w:t>
      </w:r>
      <w:r w:rsidRPr="00FD7B0B">
        <w:rPr>
          <w:rFonts w:ascii="Times New Roman" w:hAnsi="Times New Roman"/>
          <w:sz w:val="28"/>
          <w:szCs w:val="28"/>
          <w:u w:val="single"/>
        </w:rPr>
        <w:t>Мирнинская центральная городская больница» по адресу: Архангельская область, г. Мирный, ул. Гагарина, 11а</w:t>
      </w:r>
      <w:r w:rsidRPr="00FD7B0B">
        <w:rPr>
          <w:rFonts w:ascii="Times New Roman" w:hAnsi="Times New Roman"/>
          <w:sz w:val="28"/>
          <w:szCs w:val="28"/>
        </w:rPr>
        <w:t xml:space="preserve">» </w:t>
      </w:r>
      <w:r w:rsidRPr="00FD7B0B">
        <w:rPr>
          <w:rFonts w:ascii="Times New Roman" w:hAnsi="Times New Roman"/>
          <w:bCs/>
          <w:sz w:val="28"/>
          <w:szCs w:val="28"/>
        </w:rPr>
        <w:t>заключен между ГКУ АО «ГУКС» и ООО «Стройпрогресс».</w:t>
      </w:r>
    </w:p>
    <w:p w14:paraId="1B75002A" w14:textId="3460D051" w:rsidR="00FB240D" w:rsidRPr="00FD7B0B" w:rsidRDefault="00FB240D" w:rsidP="00FB240D">
      <w:pPr>
        <w:spacing w:after="0" w:line="240" w:lineRule="auto"/>
        <w:ind w:firstLine="709"/>
        <w:jc w:val="both"/>
        <w:rPr>
          <w:rFonts w:ascii="Times New Roman" w:hAnsi="Times New Roman"/>
          <w:bCs/>
          <w:sz w:val="28"/>
          <w:szCs w:val="28"/>
        </w:rPr>
      </w:pPr>
      <w:r w:rsidRPr="00FD7B0B">
        <w:rPr>
          <w:rFonts w:ascii="Times New Roman" w:hAnsi="Times New Roman"/>
          <w:bCs/>
          <w:sz w:val="28"/>
          <w:szCs w:val="28"/>
        </w:rPr>
        <w:t xml:space="preserve">Цена контракта 233,9 </w:t>
      </w:r>
      <w:r w:rsidR="000560EB" w:rsidRPr="00FD7B0B">
        <w:rPr>
          <w:rFonts w:ascii="Times New Roman" w:hAnsi="Times New Roman"/>
          <w:bCs/>
          <w:sz w:val="28"/>
          <w:szCs w:val="28"/>
        </w:rPr>
        <w:t>млн.руб.</w:t>
      </w:r>
      <w:r w:rsidRPr="00FD7B0B">
        <w:rPr>
          <w:rFonts w:ascii="Times New Roman" w:hAnsi="Times New Roman"/>
          <w:bCs/>
          <w:sz w:val="28"/>
          <w:szCs w:val="28"/>
        </w:rPr>
        <w:t>, срок окончания работ по проектированию – 25.12.2024, по строительству – 01.11.2025.</w:t>
      </w:r>
    </w:p>
    <w:p w14:paraId="7294064C" w14:textId="4E174E5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Дополнительным соглашением от 04.12.2024 № 9 первоначальный размер аванса (5</w:t>
      </w:r>
      <w:r w:rsidR="00144093" w:rsidRPr="00FD7B0B">
        <w:rPr>
          <w:rFonts w:ascii="Times New Roman" w:hAnsi="Times New Roman"/>
          <w:sz w:val="28"/>
          <w:szCs w:val="28"/>
        </w:rPr>
        <w:t xml:space="preserve"> </w:t>
      </w:r>
      <w:r w:rsidRPr="00FD7B0B">
        <w:rPr>
          <w:rFonts w:ascii="Times New Roman" w:hAnsi="Times New Roman"/>
          <w:sz w:val="28"/>
          <w:szCs w:val="28"/>
        </w:rPr>
        <w:t>%) увеличен до 50</w:t>
      </w:r>
      <w:r w:rsidR="00144093" w:rsidRPr="00FD7B0B">
        <w:rPr>
          <w:rFonts w:ascii="Times New Roman" w:hAnsi="Times New Roman"/>
          <w:sz w:val="28"/>
          <w:szCs w:val="28"/>
        </w:rPr>
        <w:t xml:space="preserve"> </w:t>
      </w:r>
      <w:r w:rsidRPr="00FD7B0B">
        <w:rPr>
          <w:rFonts w:ascii="Times New Roman" w:hAnsi="Times New Roman"/>
          <w:sz w:val="28"/>
          <w:szCs w:val="28"/>
        </w:rPr>
        <w:t>% (в части работ 2 этапа).</w:t>
      </w:r>
    </w:p>
    <w:p w14:paraId="33C296E8" w14:textId="024A79E4"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состоянию на 21.04.2025 подрядч</w:t>
      </w:r>
      <w:r w:rsidR="00144093" w:rsidRPr="00FD7B0B">
        <w:rPr>
          <w:rFonts w:ascii="Times New Roman" w:hAnsi="Times New Roman"/>
          <w:sz w:val="28"/>
          <w:szCs w:val="28"/>
        </w:rPr>
        <w:t>ику перечислен аванс 113,5 млн.</w:t>
      </w:r>
      <w:r w:rsidRPr="00FD7B0B">
        <w:rPr>
          <w:rFonts w:ascii="Times New Roman" w:hAnsi="Times New Roman"/>
          <w:sz w:val="28"/>
          <w:szCs w:val="28"/>
        </w:rPr>
        <w:t>руб., работы к оплате не предъявлялись.</w:t>
      </w:r>
    </w:p>
    <w:p w14:paraId="4B242184"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Фактически, положительное заключение госэкспертизы получено 04.02.2025, тем самым просрочка исполнения 1 этапа составила 41 день.</w:t>
      </w:r>
    </w:p>
    <w:p w14:paraId="4426999F"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Разрешение на строительство объекта получено 05.02.2025.</w:t>
      </w:r>
    </w:p>
    <w:p w14:paraId="17E04C58"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нарушение п. 1.1, п. 1.2 ст. 52 ГрК РФ, несмотря на отсутствие проектной документации, получившей положительнее заключение госэкспертизы, разрешения на строительство, фактически строительство объекта начато до 05.02.2025.</w:t>
      </w:r>
    </w:p>
    <w:p w14:paraId="12DD8ECF" w14:textId="4E35724B"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1.5. Контракт от 28.06.2024 № 134/24 на выполнение работ по проектированию, строительству и вводу в эксплуатацию объекта </w:t>
      </w:r>
      <w:r w:rsidRPr="00FD7B0B">
        <w:rPr>
          <w:rFonts w:ascii="Times New Roman" w:hAnsi="Times New Roman"/>
          <w:sz w:val="28"/>
          <w:szCs w:val="28"/>
        </w:rPr>
        <w:lastRenderedPageBreak/>
        <w:t>«</w:t>
      </w:r>
      <w:r w:rsidRPr="00FD7B0B">
        <w:rPr>
          <w:rFonts w:ascii="Times New Roman" w:hAnsi="Times New Roman"/>
          <w:sz w:val="28"/>
          <w:szCs w:val="28"/>
          <w:u w:val="single"/>
        </w:rPr>
        <w:t>Реконструкция главного корпуса ГБУЗ АО «Вельская ЦРБ» по адресу: Архангельская область, г. Вельск, ул.</w:t>
      </w:r>
      <w:r w:rsidR="00C94CCA" w:rsidRPr="00FD7B0B">
        <w:rPr>
          <w:rFonts w:ascii="Times New Roman" w:hAnsi="Times New Roman"/>
          <w:sz w:val="28"/>
          <w:szCs w:val="28"/>
          <w:u w:val="single"/>
        </w:rPr>
        <w:t xml:space="preserve"> </w:t>
      </w:r>
      <w:r w:rsidRPr="00FD7B0B">
        <w:rPr>
          <w:rFonts w:ascii="Times New Roman" w:hAnsi="Times New Roman"/>
          <w:sz w:val="28"/>
          <w:szCs w:val="28"/>
          <w:u w:val="single"/>
        </w:rPr>
        <w:t xml:space="preserve">Конева, д. 28а «Поликлиника» </w:t>
      </w:r>
      <w:r w:rsidRPr="00FD7B0B">
        <w:rPr>
          <w:rFonts w:ascii="Times New Roman" w:hAnsi="Times New Roman"/>
          <w:sz w:val="28"/>
          <w:szCs w:val="28"/>
        </w:rPr>
        <w:t>заключен между ГБУЗ АО «Вельская ЦРБ» и ООО «ТМ-строй».</w:t>
      </w:r>
    </w:p>
    <w:p w14:paraId="58BC4F93" w14:textId="7FD29E25" w:rsidR="00FB240D" w:rsidRPr="00FD7B0B" w:rsidRDefault="00144093"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Цена контракта 357,0 млн.</w:t>
      </w:r>
      <w:r w:rsidR="00FB240D" w:rsidRPr="00FD7B0B">
        <w:rPr>
          <w:rFonts w:ascii="Times New Roman" w:hAnsi="Times New Roman"/>
          <w:sz w:val="28"/>
          <w:szCs w:val="28"/>
        </w:rPr>
        <w:t>руб., срок окончания работ по проектированию – не позднее 25.12.2024, по строительству – не позднее 01.11.2025.</w:t>
      </w:r>
    </w:p>
    <w:p w14:paraId="4B4592F8" w14:textId="6EDCA2F2"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По состоянию на 21.04.2025 подрядчику перечислен аванс в размере 107,1 </w:t>
      </w:r>
      <w:r w:rsidR="000560EB" w:rsidRPr="00FD7B0B">
        <w:rPr>
          <w:rFonts w:ascii="Times New Roman" w:hAnsi="Times New Roman"/>
          <w:sz w:val="28"/>
          <w:szCs w:val="28"/>
        </w:rPr>
        <w:t>млн.руб.</w:t>
      </w:r>
      <w:r w:rsidRPr="00FD7B0B">
        <w:rPr>
          <w:rFonts w:ascii="Times New Roman" w:hAnsi="Times New Roman"/>
          <w:sz w:val="28"/>
          <w:szCs w:val="28"/>
        </w:rPr>
        <w:t xml:space="preserve"> (30</w:t>
      </w:r>
      <w:r w:rsidR="00144093" w:rsidRPr="00FD7B0B">
        <w:rPr>
          <w:rFonts w:ascii="Times New Roman" w:hAnsi="Times New Roman"/>
          <w:sz w:val="28"/>
          <w:szCs w:val="28"/>
        </w:rPr>
        <w:t xml:space="preserve"> </w:t>
      </w:r>
      <w:r w:rsidRPr="00FD7B0B">
        <w:rPr>
          <w:rFonts w:ascii="Times New Roman" w:hAnsi="Times New Roman"/>
          <w:sz w:val="28"/>
          <w:szCs w:val="28"/>
        </w:rPr>
        <w:t>%), проектирование объекта не завершено, положительное заключение госэкспертизы не получено, просрочка составила 117 дней.</w:t>
      </w:r>
    </w:p>
    <w:p w14:paraId="47240265" w14:textId="55182491"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нарушение п. 1.1, п. 1.2 ст. 52 ГрК РФ, несмотря на отсутствие проектной документации, получившей положительнее заключение госэкспертизы, разрешения на строительство, фактически реконструкция объекта осуществляется. По данным интернет-газеты «Вельские дни» (</w:t>
      </w:r>
      <w:hyperlink r:id="rId53" w:history="1">
        <w:r w:rsidRPr="00FD7B0B">
          <w:rPr>
            <w:rStyle w:val="afb"/>
            <w:rFonts w:ascii="Times New Roman" w:hAnsi="Times New Roman"/>
            <w:color w:val="auto"/>
            <w:sz w:val="28"/>
            <w:szCs w:val="28"/>
          </w:rPr>
          <w:t>https://velskie-dni.ru/?module=news&amp;action=view&amp;id=7129</w:t>
        </w:r>
      </w:hyperlink>
      <w:r w:rsidRPr="00FD7B0B">
        <w:rPr>
          <w:rFonts w:ascii="Times New Roman" w:hAnsi="Times New Roman"/>
          <w:sz w:val="28"/>
          <w:szCs w:val="28"/>
        </w:rPr>
        <w:t>) 20.01.2025 в рамках проекта по реконструкции главного корпуса ГБУЗ АО «Вельская ЦРБ» началис</w:t>
      </w:r>
      <w:r w:rsidR="00144093" w:rsidRPr="00FD7B0B">
        <w:rPr>
          <w:rFonts w:ascii="Times New Roman" w:hAnsi="Times New Roman"/>
          <w:sz w:val="28"/>
          <w:szCs w:val="28"/>
        </w:rPr>
        <w:t>ь динамические испытания свай.</w:t>
      </w:r>
    </w:p>
    <w:p w14:paraId="1592524C" w14:textId="77777777" w:rsidR="00FB38D9" w:rsidRPr="00FD7B0B" w:rsidRDefault="00FB38D9" w:rsidP="00FB38D9">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Таким образом, кассовое исполнение по ГП в размере 96,3 % по итогам 2024 года связано с «освоением» бюджетных средств в результате значительного повышения размера авансовых платежей в декабре 2024 года и перечисления авансов в адрес подрядчиков, в том числе и в условиях непредъявления подрядчиками выполненных работ. Фактически, по 5 из 10 мероприятий ГП, включенным в ОАИП на 2024 год, допущены просрочки исполнения контрактов.</w:t>
      </w:r>
    </w:p>
    <w:p w14:paraId="09623D5E" w14:textId="77777777" w:rsidR="00FB240D" w:rsidRPr="00FD7B0B" w:rsidRDefault="00FB240D" w:rsidP="00FB240D">
      <w:pPr>
        <w:spacing w:after="0" w:line="240" w:lineRule="auto"/>
        <w:ind w:firstLine="709"/>
        <w:jc w:val="both"/>
        <w:rPr>
          <w:rFonts w:ascii="Times New Roman" w:hAnsi="Times New Roman"/>
          <w:sz w:val="28"/>
          <w:szCs w:val="28"/>
        </w:rPr>
      </w:pPr>
    </w:p>
    <w:p w14:paraId="18D8FA0B" w14:textId="77777777" w:rsidR="00FB240D" w:rsidRPr="00FD7B0B" w:rsidRDefault="00FB240D" w:rsidP="00FB240D">
      <w:pPr>
        <w:spacing w:after="0" w:line="240" w:lineRule="auto"/>
        <w:rPr>
          <w:rFonts w:ascii="Times New Roman" w:hAnsi="Times New Roman"/>
          <w:sz w:val="28"/>
          <w:szCs w:val="28"/>
          <w:u w:val="single"/>
        </w:rPr>
      </w:pPr>
      <w:r w:rsidRPr="00FD7B0B">
        <w:rPr>
          <w:rFonts w:ascii="Times New Roman" w:hAnsi="Times New Roman"/>
          <w:sz w:val="28"/>
          <w:szCs w:val="28"/>
          <w:u w:val="single"/>
        </w:rPr>
        <w:t>2. ГП «Развитие образования и науки Архангельской области»</w:t>
      </w:r>
    </w:p>
    <w:p w14:paraId="56FD48FE"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2.1. Госконтракт от 05.05.2022 № 0124200000622001633, заключенный с АО «Авиапромстрой» по объекту «</w:t>
      </w:r>
      <w:r w:rsidRPr="00FD7B0B">
        <w:rPr>
          <w:rFonts w:ascii="Times New Roman" w:hAnsi="Times New Roman"/>
          <w:sz w:val="28"/>
          <w:szCs w:val="28"/>
          <w:u w:val="single"/>
        </w:rPr>
        <w:t>Строительство средней общеобразовательной школы на 240 мест в поселке Оксовский Плесецкого района Архангельской области</w:t>
      </w:r>
      <w:r w:rsidRPr="00FD7B0B">
        <w:rPr>
          <w:rFonts w:ascii="Times New Roman" w:hAnsi="Times New Roman"/>
          <w:sz w:val="28"/>
          <w:szCs w:val="28"/>
        </w:rPr>
        <w:t>», на основании решения заказчика (Управление муниципального имущества Администрации Плесецкого МО АО) от 22.09.2023 расторгнут в одностороннем порядке. Согласно данным ЕИС в сфере закупок к моменту расторжения контракта стоимость выполненных работ составила 26,7 млн.руб. (6,2 % от цены контракта), оплата проведена в сумме 140,4 млн.руб. Требование о возврате неотработанного аванса в сумме 113,7 млн.руб. направлено подрядчику, однако, по состоянию на 17.04.2025 АО «Авиапромстрой» денежные средства не возвратило.</w:t>
      </w:r>
    </w:p>
    <w:p w14:paraId="4DE61FAD"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Решением Арбитражного суда г. Москвы АО «Авиапромстрой» (ИНН 7708728600 ОГРН 1107746834140) признано банкротом, в отношении него открыто конкурсное производство сроком до 09.06.2025.</w:t>
      </w:r>
    </w:p>
    <w:p w14:paraId="1059FCCD"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Следует отметить, что при заключении рассматриваемого контракта заказчик, воспользовавшись правом, предоставленным ч. 64.1 ст. 112 Закона № 44-ФЗ, не установил требование обеспечения исполнения контракта.</w:t>
      </w:r>
    </w:p>
    <w:p w14:paraId="67440CDA"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В целях завершения строительства школы заказчиком заключен контракт от 22.12.2023 № 2/2023 с ООО «Строй Центр», в рамках которого подрядчик провел обследование ранее выполненных строительно-монтажных работ.  По результатам технического отчета заказчиком принято решение о полном </w:t>
      </w:r>
      <w:r w:rsidRPr="00FD7B0B">
        <w:rPr>
          <w:rFonts w:ascii="Times New Roman" w:hAnsi="Times New Roman"/>
          <w:sz w:val="28"/>
          <w:szCs w:val="28"/>
        </w:rPr>
        <w:lastRenderedPageBreak/>
        <w:t>демонтаже всех (включая гараж) смонтированных конструкций объекта незавершенного строительства площадью 7415,9 м</w:t>
      </w:r>
      <w:r w:rsidRPr="00FD7B0B">
        <w:rPr>
          <w:rFonts w:ascii="Times New Roman" w:hAnsi="Times New Roman"/>
          <w:sz w:val="28"/>
          <w:szCs w:val="28"/>
          <w:vertAlign w:val="superscript"/>
        </w:rPr>
        <w:t>2</w:t>
      </w:r>
      <w:r w:rsidRPr="00FD7B0B">
        <w:rPr>
          <w:rFonts w:ascii="Times New Roman" w:hAnsi="Times New Roman"/>
          <w:sz w:val="28"/>
          <w:szCs w:val="28"/>
        </w:rPr>
        <w:t>.</w:t>
      </w:r>
    </w:p>
    <w:p w14:paraId="38ADF2DE" w14:textId="6F567549"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Исходя из представленной сметной документации к контракту от 22.12.2023 № 2/2023, общая стоимость демонтажных работ составила 63,3 млн.руб., при этом демонтажу подлежит весь объем работы, выполненной первым подрядчиком.</w:t>
      </w:r>
    </w:p>
    <w:p w14:paraId="044B092A" w14:textId="06D55852"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Таким образом, помимо невозвращенного подрядчиком аванса бюджету области причинен ущерб в виде результата работ, не имеющего потребительской ценности и требующего дополнительных затрат на его демонтаж на общую сумму </w:t>
      </w:r>
      <w:r w:rsidR="00AC0F5C" w:rsidRPr="00FD7B0B">
        <w:rPr>
          <w:rFonts w:ascii="Times New Roman" w:hAnsi="Times New Roman"/>
          <w:sz w:val="28"/>
          <w:szCs w:val="28"/>
        </w:rPr>
        <w:t xml:space="preserve">90,0 </w:t>
      </w:r>
      <w:r w:rsidR="006C4F2C" w:rsidRPr="00FD7B0B">
        <w:rPr>
          <w:rFonts w:ascii="Times New Roman" w:hAnsi="Times New Roman"/>
          <w:sz w:val="28"/>
          <w:szCs w:val="28"/>
        </w:rPr>
        <w:t>млн</w:t>
      </w:r>
      <w:r w:rsidR="00AC0F5C" w:rsidRPr="00FD7B0B">
        <w:rPr>
          <w:rFonts w:ascii="Times New Roman" w:hAnsi="Times New Roman"/>
          <w:sz w:val="28"/>
          <w:szCs w:val="28"/>
        </w:rPr>
        <w:t>.</w:t>
      </w:r>
      <w:r w:rsidRPr="00FD7B0B">
        <w:rPr>
          <w:rFonts w:ascii="Times New Roman" w:hAnsi="Times New Roman"/>
          <w:sz w:val="28"/>
          <w:szCs w:val="28"/>
        </w:rPr>
        <w:t xml:space="preserve">руб. А в целом при строительстве данного объекта бюджету области причинен ущерб в сумме </w:t>
      </w:r>
      <w:r w:rsidR="00AC0F5C" w:rsidRPr="00FD7B0B">
        <w:rPr>
          <w:rFonts w:ascii="Times New Roman" w:hAnsi="Times New Roman"/>
          <w:sz w:val="28"/>
          <w:szCs w:val="28"/>
        </w:rPr>
        <w:t xml:space="preserve">203,7 </w:t>
      </w:r>
      <w:r w:rsidR="006C4F2C" w:rsidRPr="00FD7B0B">
        <w:rPr>
          <w:rFonts w:ascii="Times New Roman" w:hAnsi="Times New Roman"/>
          <w:sz w:val="28"/>
          <w:szCs w:val="28"/>
        </w:rPr>
        <w:t>млн</w:t>
      </w:r>
      <w:r w:rsidR="00AC0F5C" w:rsidRPr="00FD7B0B">
        <w:rPr>
          <w:rFonts w:ascii="Times New Roman" w:hAnsi="Times New Roman"/>
          <w:sz w:val="28"/>
          <w:szCs w:val="28"/>
        </w:rPr>
        <w:t>.руб.</w:t>
      </w:r>
    </w:p>
    <w:p w14:paraId="4DAB53EB" w14:textId="77777777" w:rsidR="00FB240D" w:rsidRPr="00FD7B0B" w:rsidRDefault="00FB240D" w:rsidP="00FB240D">
      <w:pPr>
        <w:spacing w:after="0" w:line="240" w:lineRule="auto"/>
        <w:ind w:firstLine="709"/>
        <w:jc w:val="both"/>
        <w:rPr>
          <w:rFonts w:ascii="Times New Roman" w:hAnsi="Times New Roman"/>
          <w:sz w:val="28"/>
          <w:szCs w:val="28"/>
        </w:rPr>
      </w:pPr>
    </w:p>
    <w:p w14:paraId="40BF3909"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2.2. Из пяти школ на 320 мест, строительство которых в 2024 году осуществлялось за счет средств ФП «Современная школа» и предполагалось завершить в 2024 году, фактически в текущем году завершено строительство только одного объекта («Школа на 320 мест в пос. Катунино Приморского района»).</w:t>
      </w:r>
    </w:p>
    <w:p w14:paraId="02FBDFDF" w14:textId="5575078F"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По остальным четырем школам выполнение обязательств сторонами контрактов по состоянию на 21.04.2025, согласно данным ЕИС в сфере закупок, характеризуется следующим образом (таблица </w:t>
      </w:r>
      <w:r w:rsidR="003D51A3" w:rsidRPr="00FD7B0B">
        <w:rPr>
          <w:rFonts w:ascii="Times New Roman" w:hAnsi="Times New Roman"/>
          <w:sz w:val="28"/>
          <w:szCs w:val="28"/>
        </w:rPr>
        <w:t>244</w:t>
      </w:r>
      <w:r w:rsidRPr="00FD7B0B">
        <w:rPr>
          <w:rFonts w:ascii="Times New Roman" w:hAnsi="Times New Roman"/>
          <w:sz w:val="28"/>
          <w:szCs w:val="28"/>
        </w:rPr>
        <w:t>).</w:t>
      </w:r>
    </w:p>
    <w:p w14:paraId="13C81A13" w14:textId="77777777" w:rsidR="00FB240D" w:rsidRPr="00FD7B0B" w:rsidRDefault="00FB240D" w:rsidP="00FB240D">
      <w:pPr>
        <w:spacing w:after="0" w:line="240" w:lineRule="auto"/>
        <w:ind w:firstLine="709"/>
        <w:jc w:val="both"/>
        <w:rPr>
          <w:rFonts w:ascii="Times New Roman" w:hAnsi="Times New Roman"/>
          <w:sz w:val="24"/>
          <w:szCs w:val="24"/>
        </w:rPr>
      </w:pPr>
    </w:p>
    <w:p w14:paraId="7E9CF6E2" w14:textId="2D7CEFBB" w:rsidR="00FB240D" w:rsidRPr="00FD7B0B" w:rsidRDefault="00FB240D" w:rsidP="00FB240D">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244</w:t>
      </w:r>
      <w:r w:rsidRPr="00FD7B0B">
        <w:rPr>
          <w:rFonts w:ascii="Times New Roman" w:hAnsi="Times New Roman"/>
          <w:b w:val="0"/>
          <w:sz w:val="24"/>
          <w:szCs w:val="24"/>
        </w:rPr>
        <w:fldChar w:fldCharType="end"/>
      </w:r>
      <w:r w:rsidRPr="00FD7B0B">
        <w:rPr>
          <w:rFonts w:ascii="Times New Roman" w:hAnsi="Times New Roman"/>
          <w:b w:val="0"/>
          <w:sz w:val="24"/>
          <w:szCs w:val="24"/>
        </w:rPr>
        <w:t>. Информация о ходе проектирования и строительства школ по состоянию на 21.04</w:t>
      </w:r>
      <w:r w:rsidR="00AC0F5C" w:rsidRPr="00FD7B0B">
        <w:rPr>
          <w:rFonts w:ascii="Times New Roman" w:hAnsi="Times New Roman"/>
          <w:b w:val="0"/>
          <w:sz w:val="24"/>
          <w:szCs w:val="24"/>
        </w:rPr>
        <w:t>.2025 (заказчик – ГКУ АО «ГУКС»</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929"/>
        <w:gridCol w:w="1093"/>
        <w:gridCol w:w="1253"/>
        <w:gridCol w:w="899"/>
        <w:gridCol w:w="1180"/>
        <w:gridCol w:w="978"/>
        <w:gridCol w:w="1074"/>
        <w:gridCol w:w="1201"/>
      </w:tblGrid>
      <w:tr w:rsidR="00FD7B0B" w:rsidRPr="00FD7B0B" w14:paraId="2EB8F332" w14:textId="77777777" w:rsidTr="00FB240D">
        <w:trPr>
          <w:trHeight w:val="300"/>
          <w:tblHeader/>
        </w:trPr>
        <w:tc>
          <w:tcPr>
            <w:tcW w:w="1004" w:type="pct"/>
            <w:vMerge w:val="restart"/>
          </w:tcPr>
          <w:p w14:paraId="66B844D8"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Объект капитального строительства</w:t>
            </w:r>
          </w:p>
        </w:tc>
        <w:tc>
          <w:tcPr>
            <w:tcW w:w="569" w:type="pct"/>
            <w:vMerge w:val="restart"/>
          </w:tcPr>
          <w:p w14:paraId="4635FF57"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Дата, номер контракта</w:t>
            </w:r>
          </w:p>
        </w:tc>
        <w:tc>
          <w:tcPr>
            <w:tcW w:w="652" w:type="pct"/>
            <w:vMerge w:val="restart"/>
          </w:tcPr>
          <w:p w14:paraId="20918386"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Подрядчик</w:t>
            </w:r>
          </w:p>
        </w:tc>
        <w:tc>
          <w:tcPr>
            <w:tcW w:w="468" w:type="pct"/>
            <w:vMerge w:val="restart"/>
          </w:tcPr>
          <w:p w14:paraId="096F7A22" w14:textId="53B5B31B" w:rsidR="00FB240D" w:rsidRPr="00FD7B0B" w:rsidRDefault="00AC0F5C" w:rsidP="00FB240D">
            <w:pPr>
              <w:spacing w:after="0" w:line="240" w:lineRule="auto"/>
              <w:jc w:val="center"/>
              <w:rPr>
                <w:rFonts w:ascii="Times New Roman" w:hAnsi="Times New Roman"/>
                <w:sz w:val="18"/>
                <w:szCs w:val="18"/>
              </w:rPr>
            </w:pPr>
            <w:r w:rsidRPr="00FD7B0B">
              <w:rPr>
                <w:rFonts w:ascii="Times New Roman" w:hAnsi="Times New Roman"/>
                <w:sz w:val="18"/>
                <w:szCs w:val="18"/>
              </w:rPr>
              <w:t>Цена контра-кта, млн.р</w:t>
            </w:r>
            <w:r w:rsidR="00FB240D" w:rsidRPr="00FD7B0B">
              <w:rPr>
                <w:rFonts w:ascii="Times New Roman" w:hAnsi="Times New Roman"/>
                <w:sz w:val="18"/>
                <w:szCs w:val="18"/>
              </w:rPr>
              <w:t>уб.</w:t>
            </w:r>
          </w:p>
        </w:tc>
        <w:tc>
          <w:tcPr>
            <w:tcW w:w="614" w:type="pct"/>
            <w:vMerge w:val="restart"/>
          </w:tcPr>
          <w:p w14:paraId="14AD24A6"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Перечис-лено подрядчи-ку, млн.руб.</w:t>
            </w:r>
          </w:p>
        </w:tc>
        <w:tc>
          <w:tcPr>
            <w:tcW w:w="509" w:type="pct"/>
            <w:vMerge w:val="restart"/>
          </w:tcPr>
          <w:p w14:paraId="5163B3EB" w14:textId="60E32DC6" w:rsidR="00FB240D" w:rsidRPr="00FD7B0B" w:rsidRDefault="00AC0F5C" w:rsidP="00FB240D">
            <w:pPr>
              <w:spacing w:after="0" w:line="240" w:lineRule="auto"/>
              <w:jc w:val="center"/>
              <w:rPr>
                <w:rFonts w:ascii="Times New Roman" w:hAnsi="Times New Roman"/>
                <w:sz w:val="18"/>
                <w:szCs w:val="18"/>
              </w:rPr>
            </w:pPr>
            <w:r w:rsidRPr="00FD7B0B">
              <w:rPr>
                <w:rFonts w:ascii="Times New Roman" w:hAnsi="Times New Roman"/>
                <w:sz w:val="18"/>
                <w:szCs w:val="18"/>
              </w:rPr>
              <w:t>Выпол-нено работ, млн.</w:t>
            </w:r>
            <w:r w:rsidR="00FB240D" w:rsidRPr="00FD7B0B">
              <w:rPr>
                <w:rFonts w:ascii="Times New Roman" w:hAnsi="Times New Roman"/>
                <w:sz w:val="18"/>
                <w:szCs w:val="18"/>
              </w:rPr>
              <w:t>руб.</w:t>
            </w:r>
          </w:p>
        </w:tc>
        <w:tc>
          <w:tcPr>
            <w:tcW w:w="1184" w:type="pct"/>
            <w:gridSpan w:val="2"/>
          </w:tcPr>
          <w:p w14:paraId="78FA2060"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Сроки выполнения этапов работ</w:t>
            </w:r>
          </w:p>
        </w:tc>
      </w:tr>
      <w:tr w:rsidR="00FD7B0B" w:rsidRPr="00FD7B0B" w14:paraId="728360BA" w14:textId="77777777" w:rsidTr="00FB240D">
        <w:trPr>
          <w:trHeight w:val="300"/>
          <w:tblHeader/>
        </w:trPr>
        <w:tc>
          <w:tcPr>
            <w:tcW w:w="1004" w:type="pct"/>
            <w:vMerge/>
          </w:tcPr>
          <w:p w14:paraId="0856836F" w14:textId="77777777" w:rsidR="00FB240D" w:rsidRPr="00FD7B0B" w:rsidRDefault="00FB240D" w:rsidP="00FB240D">
            <w:pPr>
              <w:spacing w:after="0" w:line="240" w:lineRule="auto"/>
              <w:jc w:val="center"/>
              <w:rPr>
                <w:rFonts w:ascii="Times New Roman" w:hAnsi="Times New Roman"/>
                <w:sz w:val="18"/>
                <w:szCs w:val="18"/>
              </w:rPr>
            </w:pPr>
          </w:p>
        </w:tc>
        <w:tc>
          <w:tcPr>
            <w:tcW w:w="569" w:type="pct"/>
            <w:vMerge/>
          </w:tcPr>
          <w:p w14:paraId="79FCEAA0" w14:textId="77777777" w:rsidR="00FB240D" w:rsidRPr="00FD7B0B" w:rsidRDefault="00FB240D" w:rsidP="00FB240D">
            <w:pPr>
              <w:spacing w:after="0" w:line="240" w:lineRule="auto"/>
              <w:jc w:val="center"/>
              <w:rPr>
                <w:rFonts w:ascii="Times New Roman" w:hAnsi="Times New Roman"/>
                <w:sz w:val="18"/>
                <w:szCs w:val="18"/>
              </w:rPr>
            </w:pPr>
          </w:p>
        </w:tc>
        <w:tc>
          <w:tcPr>
            <w:tcW w:w="652" w:type="pct"/>
            <w:vMerge/>
          </w:tcPr>
          <w:p w14:paraId="76C1E9E4" w14:textId="77777777" w:rsidR="00FB240D" w:rsidRPr="00FD7B0B" w:rsidRDefault="00FB240D" w:rsidP="00FB240D">
            <w:pPr>
              <w:spacing w:after="0" w:line="240" w:lineRule="auto"/>
              <w:jc w:val="center"/>
              <w:rPr>
                <w:rFonts w:ascii="Times New Roman" w:hAnsi="Times New Roman"/>
                <w:sz w:val="18"/>
                <w:szCs w:val="18"/>
              </w:rPr>
            </w:pPr>
          </w:p>
        </w:tc>
        <w:tc>
          <w:tcPr>
            <w:tcW w:w="468" w:type="pct"/>
            <w:vMerge/>
          </w:tcPr>
          <w:p w14:paraId="0836D415" w14:textId="77777777" w:rsidR="00FB240D" w:rsidRPr="00FD7B0B" w:rsidRDefault="00FB240D" w:rsidP="00FB240D">
            <w:pPr>
              <w:spacing w:after="0" w:line="240" w:lineRule="auto"/>
              <w:jc w:val="center"/>
              <w:rPr>
                <w:rFonts w:ascii="Times New Roman" w:hAnsi="Times New Roman"/>
                <w:sz w:val="18"/>
                <w:szCs w:val="18"/>
              </w:rPr>
            </w:pPr>
          </w:p>
        </w:tc>
        <w:tc>
          <w:tcPr>
            <w:tcW w:w="614" w:type="pct"/>
            <w:vMerge/>
          </w:tcPr>
          <w:p w14:paraId="3A72CDAC" w14:textId="77777777" w:rsidR="00FB240D" w:rsidRPr="00FD7B0B" w:rsidRDefault="00FB240D" w:rsidP="00FB240D">
            <w:pPr>
              <w:spacing w:after="0" w:line="240" w:lineRule="auto"/>
              <w:jc w:val="center"/>
              <w:rPr>
                <w:rFonts w:ascii="Times New Roman" w:hAnsi="Times New Roman"/>
                <w:sz w:val="18"/>
                <w:szCs w:val="18"/>
              </w:rPr>
            </w:pPr>
          </w:p>
        </w:tc>
        <w:tc>
          <w:tcPr>
            <w:tcW w:w="509" w:type="pct"/>
            <w:vMerge/>
          </w:tcPr>
          <w:p w14:paraId="6149011F" w14:textId="77777777" w:rsidR="00FB240D" w:rsidRPr="00FD7B0B" w:rsidRDefault="00FB240D" w:rsidP="00FB240D">
            <w:pPr>
              <w:spacing w:after="0" w:line="240" w:lineRule="auto"/>
              <w:jc w:val="center"/>
              <w:rPr>
                <w:rFonts w:ascii="Times New Roman" w:hAnsi="Times New Roman"/>
                <w:sz w:val="18"/>
                <w:szCs w:val="18"/>
              </w:rPr>
            </w:pPr>
          </w:p>
        </w:tc>
        <w:tc>
          <w:tcPr>
            <w:tcW w:w="559" w:type="pct"/>
          </w:tcPr>
          <w:p w14:paraId="48BCE099"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lang w:val="en-US"/>
              </w:rPr>
              <w:t>I</w:t>
            </w:r>
            <w:r w:rsidRPr="00FD7B0B">
              <w:rPr>
                <w:rFonts w:ascii="Times New Roman" w:hAnsi="Times New Roman"/>
                <w:sz w:val="18"/>
                <w:szCs w:val="18"/>
              </w:rPr>
              <w:t xml:space="preserve"> этап - проект</w:t>
            </w:r>
          </w:p>
        </w:tc>
        <w:tc>
          <w:tcPr>
            <w:tcW w:w="625" w:type="pct"/>
          </w:tcPr>
          <w:p w14:paraId="11011B5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lang w:val="en-US"/>
              </w:rPr>
              <w:t>II</w:t>
            </w:r>
            <w:r w:rsidRPr="00FD7B0B">
              <w:rPr>
                <w:rFonts w:ascii="Times New Roman" w:hAnsi="Times New Roman"/>
                <w:sz w:val="18"/>
                <w:szCs w:val="18"/>
              </w:rPr>
              <w:t xml:space="preserve"> этап – строитель-ство и ввод в эксплуа-тацию</w:t>
            </w:r>
          </w:p>
        </w:tc>
      </w:tr>
      <w:tr w:rsidR="00FD7B0B" w:rsidRPr="00FD7B0B" w14:paraId="635D0025" w14:textId="77777777" w:rsidTr="00FB240D">
        <w:trPr>
          <w:trHeight w:val="144"/>
        </w:trPr>
        <w:tc>
          <w:tcPr>
            <w:tcW w:w="1004" w:type="pct"/>
          </w:tcPr>
          <w:p w14:paraId="3522A446"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Школа на 320 мест в дер. Горка-Муравьевская Вельского района</w:t>
            </w:r>
          </w:p>
        </w:tc>
        <w:tc>
          <w:tcPr>
            <w:tcW w:w="569" w:type="pct"/>
          </w:tcPr>
          <w:p w14:paraId="0D04F011"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16.01.2023</w:t>
            </w:r>
          </w:p>
        </w:tc>
        <w:tc>
          <w:tcPr>
            <w:tcW w:w="652" w:type="pct"/>
          </w:tcPr>
          <w:p w14:paraId="117A7F77"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«АСК»</w:t>
            </w:r>
          </w:p>
        </w:tc>
        <w:tc>
          <w:tcPr>
            <w:tcW w:w="468" w:type="pct"/>
          </w:tcPr>
          <w:p w14:paraId="2378B00E"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630,2</w:t>
            </w:r>
          </w:p>
        </w:tc>
        <w:tc>
          <w:tcPr>
            <w:tcW w:w="614" w:type="pct"/>
          </w:tcPr>
          <w:p w14:paraId="6806C8E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393,7</w:t>
            </w:r>
          </w:p>
        </w:tc>
        <w:tc>
          <w:tcPr>
            <w:tcW w:w="509" w:type="pct"/>
          </w:tcPr>
          <w:p w14:paraId="6756FCA5"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161,9</w:t>
            </w:r>
          </w:p>
        </w:tc>
        <w:tc>
          <w:tcPr>
            <w:tcW w:w="559" w:type="pct"/>
          </w:tcPr>
          <w:p w14:paraId="0F2729E6"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30.08.2023</w:t>
            </w:r>
          </w:p>
        </w:tc>
        <w:tc>
          <w:tcPr>
            <w:tcW w:w="625" w:type="pct"/>
          </w:tcPr>
          <w:p w14:paraId="6C7F1BDE"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01.10.2026</w:t>
            </w:r>
          </w:p>
        </w:tc>
      </w:tr>
      <w:tr w:rsidR="00FD7B0B" w:rsidRPr="00FD7B0B" w14:paraId="3A0BA15E" w14:textId="77777777" w:rsidTr="00FB240D">
        <w:trPr>
          <w:trHeight w:val="217"/>
        </w:trPr>
        <w:tc>
          <w:tcPr>
            <w:tcW w:w="1004" w:type="pct"/>
          </w:tcPr>
          <w:p w14:paraId="01DB65E2"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Школа на 320 мест в г. Няндома Няндомского района</w:t>
            </w:r>
          </w:p>
        </w:tc>
        <w:tc>
          <w:tcPr>
            <w:tcW w:w="569" w:type="pct"/>
          </w:tcPr>
          <w:p w14:paraId="58E04BCB"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28.03.2023</w:t>
            </w:r>
          </w:p>
        </w:tc>
        <w:tc>
          <w:tcPr>
            <w:tcW w:w="652" w:type="pct"/>
          </w:tcPr>
          <w:p w14:paraId="2FC88989"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АО «Пром-Мотнаж-Строй»</w:t>
            </w:r>
          </w:p>
        </w:tc>
        <w:tc>
          <w:tcPr>
            <w:tcW w:w="468" w:type="pct"/>
          </w:tcPr>
          <w:p w14:paraId="3B510EA2"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1070,7</w:t>
            </w:r>
          </w:p>
        </w:tc>
        <w:tc>
          <w:tcPr>
            <w:tcW w:w="614" w:type="pct"/>
          </w:tcPr>
          <w:p w14:paraId="2FAB29BB"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501,8</w:t>
            </w:r>
          </w:p>
        </w:tc>
        <w:tc>
          <w:tcPr>
            <w:tcW w:w="509" w:type="pct"/>
          </w:tcPr>
          <w:p w14:paraId="546CAC58"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440,8</w:t>
            </w:r>
          </w:p>
        </w:tc>
        <w:tc>
          <w:tcPr>
            <w:tcW w:w="559" w:type="pct"/>
          </w:tcPr>
          <w:p w14:paraId="681C9BC2"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30.07.2023</w:t>
            </w:r>
          </w:p>
        </w:tc>
        <w:tc>
          <w:tcPr>
            <w:tcW w:w="625" w:type="pct"/>
          </w:tcPr>
          <w:p w14:paraId="2C9061FB"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01.10.2026</w:t>
            </w:r>
          </w:p>
        </w:tc>
      </w:tr>
      <w:tr w:rsidR="00FD7B0B" w:rsidRPr="00FD7B0B" w14:paraId="2EB3C91A" w14:textId="77777777" w:rsidTr="002A5F13">
        <w:trPr>
          <w:trHeight w:hRule="exact" w:val="410"/>
        </w:trPr>
        <w:tc>
          <w:tcPr>
            <w:tcW w:w="1004" w:type="pct"/>
          </w:tcPr>
          <w:p w14:paraId="6B3A5C0D"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Школа на 320 мест в г. Каргополе</w:t>
            </w:r>
          </w:p>
        </w:tc>
        <w:tc>
          <w:tcPr>
            <w:tcW w:w="569" w:type="pct"/>
          </w:tcPr>
          <w:p w14:paraId="38EA54CF"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27.01.2023</w:t>
            </w:r>
          </w:p>
        </w:tc>
        <w:tc>
          <w:tcPr>
            <w:tcW w:w="652" w:type="pct"/>
          </w:tcPr>
          <w:p w14:paraId="10C46D3B"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«РК-инвест»</w:t>
            </w:r>
          </w:p>
        </w:tc>
        <w:tc>
          <w:tcPr>
            <w:tcW w:w="468" w:type="pct"/>
          </w:tcPr>
          <w:p w14:paraId="5A9F36B7"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752,9</w:t>
            </w:r>
          </w:p>
        </w:tc>
        <w:tc>
          <w:tcPr>
            <w:tcW w:w="614" w:type="pct"/>
          </w:tcPr>
          <w:p w14:paraId="2902F2DB"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438,7</w:t>
            </w:r>
          </w:p>
        </w:tc>
        <w:tc>
          <w:tcPr>
            <w:tcW w:w="509" w:type="pct"/>
          </w:tcPr>
          <w:p w14:paraId="712B965E"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217,2</w:t>
            </w:r>
          </w:p>
        </w:tc>
        <w:tc>
          <w:tcPr>
            <w:tcW w:w="559" w:type="pct"/>
          </w:tcPr>
          <w:p w14:paraId="30349A0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30.08.2023</w:t>
            </w:r>
          </w:p>
        </w:tc>
        <w:tc>
          <w:tcPr>
            <w:tcW w:w="625" w:type="pct"/>
          </w:tcPr>
          <w:p w14:paraId="6D06889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01.10.2026</w:t>
            </w:r>
          </w:p>
        </w:tc>
      </w:tr>
      <w:tr w:rsidR="00FD7B0B" w:rsidRPr="00FD7B0B" w14:paraId="5DA66EDA" w14:textId="77777777" w:rsidTr="00FB240D">
        <w:trPr>
          <w:trHeight w:hRule="exact" w:val="614"/>
        </w:trPr>
        <w:tc>
          <w:tcPr>
            <w:tcW w:w="1004" w:type="pct"/>
          </w:tcPr>
          <w:p w14:paraId="4236AACF"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Школа на 320 мест в п. Коноша Коношского района</w:t>
            </w:r>
          </w:p>
        </w:tc>
        <w:tc>
          <w:tcPr>
            <w:tcW w:w="569" w:type="pct"/>
          </w:tcPr>
          <w:p w14:paraId="4643A229"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30.01.2023</w:t>
            </w:r>
          </w:p>
        </w:tc>
        <w:tc>
          <w:tcPr>
            <w:tcW w:w="652" w:type="pct"/>
          </w:tcPr>
          <w:p w14:paraId="2BB0EC5E"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«РК-инвест»</w:t>
            </w:r>
          </w:p>
        </w:tc>
        <w:tc>
          <w:tcPr>
            <w:tcW w:w="468" w:type="pct"/>
          </w:tcPr>
          <w:p w14:paraId="3D689416"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834,8</w:t>
            </w:r>
          </w:p>
        </w:tc>
        <w:tc>
          <w:tcPr>
            <w:tcW w:w="614" w:type="pct"/>
          </w:tcPr>
          <w:p w14:paraId="7005E3D6"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413,7</w:t>
            </w:r>
          </w:p>
        </w:tc>
        <w:tc>
          <w:tcPr>
            <w:tcW w:w="509" w:type="pct"/>
          </w:tcPr>
          <w:p w14:paraId="2D026C66"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0,0</w:t>
            </w:r>
          </w:p>
        </w:tc>
        <w:tc>
          <w:tcPr>
            <w:tcW w:w="559" w:type="pct"/>
          </w:tcPr>
          <w:p w14:paraId="51054F02"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30.08.2023</w:t>
            </w:r>
          </w:p>
        </w:tc>
        <w:tc>
          <w:tcPr>
            <w:tcW w:w="625" w:type="pct"/>
          </w:tcPr>
          <w:p w14:paraId="53B4E448"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01.10.2026</w:t>
            </w:r>
          </w:p>
        </w:tc>
      </w:tr>
      <w:tr w:rsidR="00FB240D" w:rsidRPr="00FD7B0B" w14:paraId="0FBAB129" w14:textId="77777777" w:rsidTr="002A5F13">
        <w:trPr>
          <w:trHeight w:hRule="exact" w:val="241"/>
        </w:trPr>
        <w:tc>
          <w:tcPr>
            <w:tcW w:w="1004" w:type="pct"/>
          </w:tcPr>
          <w:p w14:paraId="54F79316"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Итого</w:t>
            </w:r>
          </w:p>
        </w:tc>
        <w:tc>
          <w:tcPr>
            <w:tcW w:w="569" w:type="pct"/>
          </w:tcPr>
          <w:p w14:paraId="38D2906E"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w:t>
            </w:r>
          </w:p>
        </w:tc>
        <w:tc>
          <w:tcPr>
            <w:tcW w:w="652" w:type="pct"/>
          </w:tcPr>
          <w:p w14:paraId="00FB92D9"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w:t>
            </w:r>
          </w:p>
        </w:tc>
        <w:tc>
          <w:tcPr>
            <w:tcW w:w="468" w:type="pct"/>
          </w:tcPr>
          <w:p w14:paraId="4E3D3BDD"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3 288,6</w:t>
            </w:r>
          </w:p>
        </w:tc>
        <w:tc>
          <w:tcPr>
            <w:tcW w:w="614" w:type="pct"/>
          </w:tcPr>
          <w:p w14:paraId="1E2E6D7F"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1 747,9</w:t>
            </w:r>
          </w:p>
        </w:tc>
        <w:tc>
          <w:tcPr>
            <w:tcW w:w="509" w:type="pct"/>
          </w:tcPr>
          <w:p w14:paraId="762B68C4"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819,9</w:t>
            </w:r>
          </w:p>
        </w:tc>
        <w:tc>
          <w:tcPr>
            <w:tcW w:w="559" w:type="pct"/>
          </w:tcPr>
          <w:p w14:paraId="7A5F19EA"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w:t>
            </w:r>
          </w:p>
        </w:tc>
        <w:tc>
          <w:tcPr>
            <w:tcW w:w="625" w:type="pct"/>
          </w:tcPr>
          <w:p w14:paraId="2D7229CF"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w:t>
            </w:r>
          </w:p>
        </w:tc>
      </w:tr>
    </w:tbl>
    <w:p w14:paraId="082B25E6" w14:textId="77777777" w:rsidR="00FB240D" w:rsidRPr="00FD7B0B" w:rsidRDefault="00FB240D" w:rsidP="00FB240D">
      <w:pPr>
        <w:spacing w:after="0" w:line="240" w:lineRule="auto"/>
        <w:ind w:firstLine="709"/>
        <w:jc w:val="both"/>
        <w:rPr>
          <w:rFonts w:ascii="Times New Roman" w:hAnsi="Times New Roman"/>
          <w:sz w:val="28"/>
          <w:szCs w:val="28"/>
        </w:rPr>
      </w:pPr>
    </w:p>
    <w:p w14:paraId="7A599E46" w14:textId="77777777" w:rsidR="00FB240D" w:rsidRPr="00FD7B0B" w:rsidRDefault="00FB240D" w:rsidP="00FB240D">
      <w:pPr>
        <w:autoSpaceDE w:val="0"/>
        <w:autoSpaceDN w:val="0"/>
        <w:adjustRightInd w:val="0"/>
        <w:spacing w:after="0" w:line="240" w:lineRule="auto"/>
        <w:ind w:firstLine="709"/>
        <w:jc w:val="both"/>
        <w:rPr>
          <w:rFonts w:ascii="Times New Roman" w:hAnsi="Times New Roman"/>
          <w:bCs/>
          <w:sz w:val="28"/>
          <w:szCs w:val="28"/>
        </w:rPr>
      </w:pPr>
      <w:r w:rsidRPr="00FD7B0B">
        <w:rPr>
          <w:rFonts w:ascii="Times New Roman" w:hAnsi="Times New Roman"/>
          <w:sz w:val="28"/>
          <w:szCs w:val="28"/>
        </w:rPr>
        <w:t xml:space="preserve">По всем 4 контрактам </w:t>
      </w:r>
      <w:r w:rsidRPr="00FD7B0B">
        <w:rPr>
          <w:rFonts w:ascii="Times New Roman" w:hAnsi="Times New Roman"/>
          <w:bCs/>
          <w:sz w:val="28"/>
          <w:szCs w:val="28"/>
        </w:rPr>
        <w:t>расчеты осуществляются в форме казначейского сопровождения, обеспечение исполнения обязательств по ним не установлено.</w:t>
      </w:r>
    </w:p>
    <w:p w14:paraId="5B19ECB2" w14:textId="48860B71" w:rsidR="00FB240D" w:rsidRPr="00FD7B0B" w:rsidRDefault="00FB240D" w:rsidP="00FB240D">
      <w:pPr>
        <w:autoSpaceDE w:val="0"/>
        <w:autoSpaceDN w:val="0"/>
        <w:adjustRightInd w:val="0"/>
        <w:spacing w:after="0" w:line="240" w:lineRule="auto"/>
        <w:ind w:firstLine="709"/>
        <w:jc w:val="both"/>
        <w:rPr>
          <w:rFonts w:ascii="Times New Roman" w:hAnsi="Times New Roman"/>
          <w:bCs/>
          <w:sz w:val="28"/>
          <w:szCs w:val="28"/>
        </w:rPr>
      </w:pPr>
      <w:r w:rsidRPr="00FD7B0B">
        <w:rPr>
          <w:rFonts w:ascii="Times New Roman" w:hAnsi="Times New Roman"/>
          <w:bCs/>
          <w:sz w:val="28"/>
          <w:szCs w:val="28"/>
        </w:rPr>
        <w:t>По всем 4 контрактам изначальный срок окончания строительства (30.12.2024) перенесен на 01.10.2026, т.е. ввод объектов в эксплуатацию откладывается на 21 месяц.</w:t>
      </w:r>
    </w:p>
    <w:p w14:paraId="0C9A5FE1" w14:textId="468ED0A4" w:rsidR="00FB240D" w:rsidRPr="00FD7B0B" w:rsidRDefault="00FB240D" w:rsidP="00FB240D">
      <w:pPr>
        <w:autoSpaceDE w:val="0"/>
        <w:autoSpaceDN w:val="0"/>
        <w:adjustRightInd w:val="0"/>
        <w:spacing w:after="0" w:line="240" w:lineRule="auto"/>
        <w:ind w:firstLine="709"/>
        <w:jc w:val="both"/>
        <w:rPr>
          <w:rFonts w:ascii="Times New Roman" w:hAnsi="Times New Roman"/>
          <w:bCs/>
          <w:sz w:val="28"/>
          <w:szCs w:val="28"/>
        </w:rPr>
      </w:pPr>
      <w:r w:rsidRPr="00FD7B0B">
        <w:rPr>
          <w:rFonts w:ascii="Times New Roman" w:hAnsi="Times New Roman"/>
          <w:bCs/>
          <w:sz w:val="28"/>
          <w:szCs w:val="28"/>
        </w:rPr>
        <w:t xml:space="preserve">Также в ходе строительства школ в г. Няндома, г. Каргополь и пос. Катунино стоимость их строительства возросла на 178,2 </w:t>
      </w:r>
      <w:r w:rsidR="000560EB" w:rsidRPr="00FD7B0B">
        <w:rPr>
          <w:rFonts w:ascii="Times New Roman" w:hAnsi="Times New Roman"/>
          <w:bCs/>
          <w:sz w:val="28"/>
          <w:szCs w:val="28"/>
        </w:rPr>
        <w:t>млн.руб.</w:t>
      </w:r>
      <w:r w:rsidRPr="00FD7B0B">
        <w:rPr>
          <w:rFonts w:ascii="Times New Roman" w:hAnsi="Times New Roman"/>
          <w:bCs/>
          <w:sz w:val="28"/>
          <w:szCs w:val="28"/>
        </w:rPr>
        <w:t xml:space="preserve"> (16,6</w:t>
      </w:r>
      <w:r w:rsidR="002A5F13" w:rsidRPr="00FD7B0B">
        <w:rPr>
          <w:rFonts w:ascii="Times New Roman" w:hAnsi="Times New Roman"/>
          <w:bCs/>
          <w:sz w:val="28"/>
          <w:szCs w:val="28"/>
        </w:rPr>
        <w:t xml:space="preserve"> </w:t>
      </w:r>
      <w:r w:rsidRPr="00FD7B0B">
        <w:rPr>
          <w:rFonts w:ascii="Times New Roman" w:hAnsi="Times New Roman"/>
          <w:bCs/>
          <w:sz w:val="28"/>
          <w:szCs w:val="28"/>
        </w:rPr>
        <w:t>%), 158,0 млн.руб. (21,0</w:t>
      </w:r>
      <w:r w:rsidR="002A5F13" w:rsidRPr="00FD7B0B">
        <w:rPr>
          <w:rFonts w:ascii="Times New Roman" w:hAnsi="Times New Roman"/>
          <w:bCs/>
          <w:sz w:val="28"/>
          <w:szCs w:val="28"/>
        </w:rPr>
        <w:t xml:space="preserve"> </w:t>
      </w:r>
      <w:r w:rsidRPr="00FD7B0B">
        <w:rPr>
          <w:rFonts w:ascii="Times New Roman" w:hAnsi="Times New Roman"/>
          <w:bCs/>
          <w:sz w:val="28"/>
          <w:szCs w:val="28"/>
        </w:rPr>
        <w:t xml:space="preserve">%) и 126,8 </w:t>
      </w:r>
      <w:r w:rsidR="000560EB" w:rsidRPr="00FD7B0B">
        <w:rPr>
          <w:rFonts w:ascii="Times New Roman" w:hAnsi="Times New Roman"/>
          <w:bCs/>
          <w:sz w:val="28"/>
          <w:szCs w:val="28"/>
        </w:rPr>
        <w:t>млн.руб.</w:t>
      </w:r>
      <w:r w:rsidRPr="00FD7B0B">
        <w:rPr>
          <w:rFonts w:ascii="Times New Roman" w:hAnsi="Times New Roman"/>
          <w:bCs/>
          <w:sz w:val="28"/>
          <w:szCs w:val="28"/>
        </w:rPr>
        <w:t xml:space="preserve"> (18,9</w:t>
      </w:r>
      <w:r w:rsidR="002A5F13" w:rsidRPr="00FD7B0B">
        <w:rPr>
          <w:rFonts w:ascii="Times New Roman" w:hAnsi="Times New Roman"/>
          <w:bCs/>
          <w:sz w:val="28"/>
          <w:szCs w:val="28"/>
        </w:rPr>
        <w:t xml:space="preserve"> </w:t>
      </w:r>
      <w:r w:rsidRPr="00FD7B0B">
        <w:rPr>
          <w:rFonts w:ascii="Times New Roman" w:hAnsi="Times New Roman"/>
          <w:bCs/>
          <w:sz w:val="28"/>
          <w:szCs w:val="28"/>
        </w:rPr>
        <w:t>%), соответственно.</w:t>
      </w:r>
    </w:p>
    <w:p w14:paraId="195CEDD8" w14:textId="77777777" w:rsidR="00FB240D" w:rsidRPr="00FD7B0B" w:rsidRDefault="00FB240D" w:rsidP="00FB240D">
      <w:pPr>
        <w:spacing w:after="0" w:line="240" w:lineRule="auto"/>
        <w:ind w:firstLine="709"/>
        <w:jc w:val="both"/>
        <w:rPr>
          <w:rFonts w:ascii="Times New Roman" w:hAnsi="Times New Roman"/>
          <w:sz w:val="28"/>
          <w:szCs w:val="28"/>
        </w:rPr>
      </w:pPr>
    </w:p>
    <w:p w14:paraId="1D1D264D" w14:textId="77777777" w:rsidR="00FB240D" w:rsidRPr="00FD7B0B" w:rsidRDefault="00FB240D" w:rsidP="00FB240D">
      <w:pPr>
        <w:spacing w:after="0" w:line="240" w:lineRule="auto"/>
        <w:rPr>
          <w:rFonts w:ascii="Times New Roman" w:hAnsi="Times New Roman"/>
          <w:sz w:val="28"/>
          <w:szCs w:val="28"/>
          <w:u w:val="single"/>
        </w:rPr>
      </w:pPr>
      <w:r w:rsidRPr="00FD7B0B">
        <w:rPr>
          <w:rFonts w:ascii="Times New Roman" w:hAnsi="Times New Roman"/>
          <w:sz w:val="28"/>
          <w:szCs w:val="28"/>
          <w:u w:val="single"/>
        </w:rPr>
        <w:t>3. ГП «Культура Русского Севера»</w:t>
      </w:r>
    </w:p>
    <w:p w14:paraId="02531F9C" w14:textId="736E75EB"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3.1. Администрацией Пинежского МО заключен мун.</w:t>
      </w:r>
      <w:r w:rsidR="00C94CCA" w:rsidRPr="00FD7B0B">
        <w:rPr>
          <w:rFonts w:ascii="Times New Roman" w:hAnsi="Times New Roman"/>
          <w:sz w:val="28"/>
          <w:szCs w:val="28"/>
        </w:rPr>
        <w:t xml:space="preserve"> </w:t>
      </w:r>
      <w:r w:rsidRPr="00FD7B0B">
        <w:rPr>
          <w:rFonts w:ascii="Times New Roman" w:hAnsi="Times New Roman"/>
          <w:sz w:val="28"/>
          <w:szCs w:val="28"/>
        </w:rPr>
        <w:t xml:space="preserve">контракт от 20.03.2023 № 0124200000623000529-ОК-5 с ООО «Белый дом» на выполнение работ по проектированию, </w:t>
      </w:r>
      <w:r w:rsidRPr="00FD7B0B">
        <w:rPr>
          <w:rFonts w:ascii="Times New Roman" w:hAnsi="Times New Roman"/>
          <w:sz w:val="28"/>
          <w:szCs w:val="28"/>
          <w:u w:val="single"/>
        </w:rPr>
        <w:t xml:space="preserve">строительству и вводу в эксплуатацию объекта </w:t>
      </w:r>
      <w:r w:rsidRPr="00FD7B0B">
        <w:rPr>
          <w:rFonts w:ascii="Times New Roman" w:hAnsi="Times New Roman"/>
          <w:snapToGrid w:val="0"/>
          <w:sz w:val="28"/>
          <w:szCs w:val="28"/>
          <w:u w:val="single"/>
        </w:rPr>
        <w:t>«Культурно-досуговый центр в пос. Пинега Архангельской области</w:t>
      </w:r>
      <w:r w:rsidRPr="00FD7B0B">
        <w:rPr>
          <w:rFonts w:ascii="Times New Roman" w:hAnsi="Times New Roman"/>
          <w:snapToGrid w:val="0"/>
          <w:sz w:val="28"/>
          <w:szCs w:val="28"/>
        </w:rPr>
        <w:t>»</w:t>
      </w:r>
      <w:r w:rsidRPr="00FD7B0B">
        <w:rPr>
          <w:rFonts w:ascii="Times New Roman" w:hAnsi="Times New Roman"/>
          <w:sz w:val="28"/>
          <w:szCs w:val="28"/>
        </w:rPr>
        <w:t>.</w:t>
      </w:r>
    </w:p>
    <w:p w14:paraId="49F049A9"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Работы выполняются в 2 этапа: проектирование – до 30.07.2023, завершение строительства и ввод объекта в эксплуатацию – до 30.09.2025.</w:t>
      </w:r>
    </w:p>
    <w:p w14:paraId="2246B5C2" w14:textId="3F36D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Цена контракта – 244,6 млн.руб. Первоначальными условиями контракта предусмотрен аванс в размере 15</w:t>
      </w:r>
      <w:r w:rsidR="0056515D" w:rsidRPr="00FD7B0B">
        <w:rPr>
          <w:rFonts w:ascii="Times New Roman" w:hAnsi="Times New Roman"/>
          <w:sz w:val="28"/>
          <w:szCs w:val="28"/>
        </w:rPr>
        <w:t xml:space="preserve"> </w:t>
      </w:r>
      <w:r w:rsidRPr="00FD7B0B">
        <w:rPr>
          <w:rFonts w:ascii="Times New Roman" w:hAnsi="Times New Roman"/>
          <w:sz w:val="28"/>
          <w:szCs w:val="28"/>
        </w:rPr>
        <w:t>% цены контракта. Допсоглашением от 20.08.2024 установлены новые условия авансирования: 15</w:t>
      </w:r>
      <w:r w:rsidR="0056515D" w:rsidRPr="00FD7B0B">
        <w:rPr>
          <w:rFonts w:ascii="Times New Roman" w:hAnsi="Times New Roman"/>
          <w:sz w:val="28"/>
          <w:szCs w:val="28"/>
        </w:rPr>
        <w:t xml:space="preserve"> </w:t>
      </w:r>
      <w:r w:rsidRPr="00FD7B0B">
        <w:rPr>
          <w:rFonts w:ascii="Times New Roman" w:hAnsi="Times New Roman"/>
          <w:sz w:val="28"/>
          <w:szCs w:val="28"/>
        </w:rPr>
        <w:t>% от стоимости работ по проектированию, 70</w:t>
      </w:r>
      <w:r w:rsidR="0056515D" w:rsidRPr="00FD7B0B">
        <w:rPr>
          <w:rFonts w:ascii="Times New Roman" w:hAnsi="Times New Roman"/>
          <w:sz w:val="28"/>
          <w:szCs w:val="28"/>
        </w:rPr>
        <w:t xml:space="preserve"> </w:t>
      </w:r>
      <w:r w:rsidRPr="00FD7B0B">
        <w:rPr>
          <w:rFonts w:ascii="Times New Roman" w:hAnsi="Times New Roman"/>
          <w:sz w:val="28"/>
          <w:szCs w:val="28"/>
        </w:rPr>
        <w:t>% от стоимости работ по строительству.</w:t>
      </w:r>
    </w:p>
    <w:p w14:paraId="0DB7AA66"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Следует отметить, что заказчиком установлен крайне незначительный размер обеспечения исполнения контракта, составляющий всего 1 % от НМЦК или 2,4 млн.руб., что при срыве строительства по вине подрядчика не восстановит нарушенные права заказчика и бюджета Архангельской области.</w:t>
      </w:r>
    </w:p>
    <w:p w14:paraId="5A10B324" w14:textId="088C0226"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состоянию на 21.04.2025 подрядчику перечислен аванс в размере 36,7 млн.руб. Согласно данным ГИС ЕГРЗ положительное заключение гос. экспертизы по технической части проекта получено 26.01.2024, а достоверности определения сметной стоимости – 04.02.2025, соответственно, допущена просро</w:t>
      </w:r>
      <w:r w:rsidR="0056515D" w:rsidRPr="00FD7B0B">
        <w:rPr>
          <w:rFonts w:ascii="Times New Roman" w:hAnsi="Times New Roman"/>
          <w:sz w:val="28"/>
          <w:szCs w:val="28"/>
        </w:rPr>
        <w:t>чка исполнения 1 этапа 553 дня.</w:t>
      </w:r>
    </w:p>
    <w:p w14:paraId="4DB54CBC"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данным ЕИС в сфере закупок по состоянию на 21.04.2025 подрядчик не предъявлял к оплате выполненные им работы.</w:t>
      </w:r>
    </w:p>
    <w:p w14:paraId="3F4DAE46" w14:textId="77777777" w:rsidR="00FB240D" w:rsidRPr="00FD7B0B" w:rsidRDefault="00FB240D" w:rsidP="00FB240D">
      <w:pPr>
        <w:spacing w:after="0" w:line="240" w:lineRule="auto"/>
        <w:ind w:firstLine="709"/>
        <w:jc w:val="both"/>
        <w:rPr>
          <w:rFonts w:ascii="Times New Roman" w:hAnsi="Times New Roman"/>
          <w:sz w:val="28"/>
          <w:szCs w:val="28"/>
          <w:u w:val="single"/>
        </w:rPr>
      </w:pPr>
      <w:r w:rsidRPr="00FD7B0B">
        <w:rPr>
          <w:rFonts w:ascii="Times New Roman" w:hAnsi="Times New Roman"/>
          <w:sz w:val="28"/>
          <w:szCs w:val="28"/>
        </w:rPr>
        <w:t xml:space="preserve">3.2. Управление муниципального имущества администрации Плесецкого МО заключен контракт от 19.06.2023 № 0124200000623003201 с ООО «СК «Белое море» на выполнение работ по проектированию, строительству и вводу в эксплуатацию объекта капитального строительства </w:t>
      </w:r>
      <w:r w:rsidRPr="00FD7B0B">
        <w:rPr>
          <w:rFonts w:ascii="Times New Roman" w:hAnsi="Times New Roman"/>
          <w:sz w:val="28"/>
          <w:szCs w:val="28"/>
          <w:u w:val="single"/>
        </w:rPr>
        <w:t>«Дом культуры в р.п. Обозерский, Плесецкий район, Архангельская область».</w:t>
      </w:r>
    </w:p>
    <w:p w14:paraId="22239570" w14:textId="4EC142A4"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Цена контракта пер</w:t>
      </w:r>
      <w:r w:rsidR="0056515D" w:rsidRPr="00FD7B0B">
        <w:rPr>
          <w:rFonts w:ascii="Times New Roman" w:hAnsi="Times New Roman"/>
          <w:sz w:val="28"/>
          <w:szCs w:val="28"/>
        </w:rPr>
        <w:t>воначально составляла 91,3 млн.</w:t>
      </w:r>
      <w:r w:rsidRPr="00FD7B0B">
        <w:rPr>
          <w:rFonts w:ascii="Times New Roman" w:hAnsi="Times New Roman"/>
          <w:sz w:val="28"/>
          <w:szCs w:val="28"/>
        </w:rPr>
        <w:t>руб., аванс – 30</w:t>
      </w:r>
      <w:r w:rsidR="0056515D" w:rsidRPr="00FD7B0B">
        <w:rPr>
          <w:rFonts w:ascii="Times New Roman" w:hAnsi="Times New Roman"/>
          <w:sz w:val="28"/>
          <w:szCs w:val="28"/>
        </w:rPr>
        <w:t xml:space="preserve"> </w:t>
      </w:r>
      <w:r w:rsidRPr="00FD7B0B">
        <w:rPr>
          <w:rFonts w:ascii="Times New Roman" w:hAnsi="Times New Roman"/>
          <w:sz w:val="28"/>
          <w:szCs w:val="28"/>
        </w:rPr>
        <w:t>% и срок ввода объекта в эксплу</w:t>
      </w:r>
      <w:r w:rsidR="0056515D" w:rsidRPr="00FD7B0B">
        <w:rPr>
          <w:rFonts w:ascii="Times New Roman" w:hAnsi="Times New Roman"/>
          <w:sz w:val="28"/>
          <w:szCs w:val="28"/>
        </w:rPr>
        <w:t>атацию – не позднее 31.12.2024.</w:t>
      </w:r>
    </w:p>
    <w:p w14:paraId="4A28B3A4" w14:textId="475D256A"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ходе исполнения контракта его цена возросла до 112,9 млн.руб. (темп прироста 23,7</w:t>
      </w:r>
      <w:r w:rsidR="0056515D" w:rsidRPr="00FD7B0B">
        <w:rPr>
          <w:rFonts w:ascii="Times New Roman" w:hAnsi="Times New Roman"/>
          <w:sz w:val="28"/>
          <w:szCs w:val="28"/>
        </w:rPr>
        <w:t xml:space="preserve"> </w:t>
      </w:r>
      <w:r w:rsidRPr="00FD7B0B">
        <w:rPr>
          <w:rFonts w:ascii="Times New Roman" w:hAnsi="Times New Roman"/>
          <w:sz w:val="28"/>
          <w:szCs w:val="28"/>
        </w:rPr>
        <w:t>%), размер аванса по 2 этапу вырос до 70</w:t>
      </w:r>
      <w:r w:rsidR="0056515D" w:rsidRPr="00FD7B0B">
        <w:rPr>
          <w:rFonts w:ascii="Times New Roman" w:hAnsi="Times New Roman"/>
          <w:sz w:val="28"/>
          <w:szCs w:val="28"/>
        </w:rPr>
        <w:t xml:space="preserve"> </w:t>
      </w:r>
      <w:r w:rsidRPr="00FD7B0B">
        <w:rPr>
          <w:rFonts w:ascii="Times New Roman" w:hAnsi="Times New Roman"/>
          <w:sz w:val="28"/>
          <w:szCs w:val="28"/>
        </w:rPr>
        <w:t>%, а срок ввода объекта в эксплуатацию перенесен на 30.06.2025.</w:t>
      </w:r>
    </w:p>
    <w:p w14:paraId="16807F22"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Как и по иным объектам ОАИП размер авансовых платежей по данному контракту увеличен в декабре 2024 года, при этом к моменту увеличения аванса подрядчик не предъявлял к оплате выполненные работы.</w:t>
      </w:r>
    </w:p>
    <w:p w14:paraId="5A9A0C0C" w14:textId="5BF4AFA2"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данным ЕИС в сфере закупок по состоянию на 21.04.2025, т.е. за 2 месяца до ввода объекта в эксплуатацию, подрядчиком предъявлено выпол</w:t>
      </w:r>
      <w:r w:rsidR="00FE4431" w:rsidRPr="00FD7B0B">
        <w:rPr>
          <w:rFonts w:ascii="Times New Roman" w:hAnsi="Times New Roman"/>
          <w:sz w:val="28"/>
          <w:szCs w:val="28"/>
        </w:rPr>
        <w:t>ненных работ на сумму 45,1 млн.</w:t>
      </w:r>
      <w:r w:rsidRPr="00FD7B0B">
        <w:rPr>
          <w:rFonts w:ascii="Times New Roman" w:hAnsi="Times New Roman"/>
          <w:sz w:val="28"/>
          <w:szCs w:val="28"/>
        </w:rPr>
        <w:t>руб. (или 40,0</w:t>
      </w:r>
      <w:r w:rsidR="00FE4431" w:rsidRPr="00FD7B0B">
        <w:rPr>
          <w:rFonts w:ascii="Times New Roman" w:hAnsi="Times New Roman"/>
          <w:sz w:val="28"/>
          <w:szCs w:val="28"/>
        </w:rPr>
        <w:t xml:space="preserve"> </w:t>
      </w:r>
      <w:r w:rsidRPr="00FD7B0B">
        <w:rPr>
          <w:rFonts w:ascii="Times New Roman" w:hAnsi="Times New Roman"/>
          <w:sz w:val="28"/>
          <w:szCs w:val="28"/>
        </w:rPr>
        <w:t>% от цены контракта), а размер неотработанного аванса – 56,2 млн.руб.</w:t>
      </w:r>
    </w:p>
    <w:p w14:paraId="62CD1A40" w14:textId="77777777" w:rsidR="00FB240D" w:rsidRPr="00FD7B0B" w:rsidRDefault="00FB240D" w:rsidP="00FB240D">
      <w:pPr>
        <w:spacing w:after="0" w:line="240" w:lineRule="auto"/>
        <w:ind w:firstLine="709"/>
        <w:jc w:val="both"/>
        <w:rPr>
          <w:rFonts w:ascii="Times New Roman" w:hAnsi="Times New Roman"/>
          <w:sz w:val="28"/>
          <w:szCs w:val="28"/>
        </w:rPr>
      </w:pPr>
    </w:p>
    <w:p w14:paraId="7174E6AF" w14:textId="77777777" w:rsidR="00FB240D" w:rsidRPr="00FD7B0B" w:rsidRDefault="00FB240D" w:rsidP="00FB240D">
      <w:pPr>
        <w:spacing w:after="0" w:line="240" w:lineRule="auto"/>
        <w:rPr>
          <w:rFonts w:ascii="Times New Roman" w:hAnsi="Times New Roman"/>
          <w:sz w:val="28"/>
          <w:szCs w:val="28"/>
          <w:u w:val="single"/>
        </w:rPr>
      </w:pPr>
      <w:r w:rsidRPr="00FD7B0B">
        <w:rPr>
          <w:rFonts w:ascii="Times New Roman" w:hAnsi="Times New Roman"/>
          <w:sz w:val="28"/>
          <w:szCs w:val="28"/>
          <w:u w:val="single"/>
        </w:rPr>
        <w:t>4. ГП «Комплексное развитие сельских территорий»</w:t>
      </w:r>
    </w:p>
    <w:p w14:paraId="2CC2B4D2"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4.1. По объекту «</w:t>
      </w:r>
      <w:r w:rsidRPr="00FD7B0B">
        <w:rPr>
          <w:rFonts w:ascii="Times New Roman" w:hAnsi="Times New Roman"/>
          <w:sz w:val="28"/>
          <w:szCs w:val="28"/>
          <w:u w:val="single"/>
        </w:rPr>
        <w:t>Строительство начальной школы-детского сада на 580 мест, в т.ч. 180 мест - под детский сад» по адресу: Архангельская область, Устьянский район, с. Березник»</w:t>
      </w:r>
      <w:r w:rsidRPr="00FD7B0B">
        <w:rPr>
          <w:rFonts w:ascii="Times New Roman" w:hAnsi="Times New Roman"/>
          <w:sz w:val="28"/>
          <w:szCs w:val="28"/>
        </w:rPr>
        <w:t xml:space="preserve"> 22.04.2024 между администрацией Устьянского </w:t>
      </w:r>
      <w:r w:rsidRPr="00FD7B0B">
        <w:rPr>
          <w:rFonts w:ascii="Times New Roman" w:hAnsi="Times New Roman"/>
          <w:sz w:val="28"/>
          <w:szCs w:val="28"/>
        </w:rPr>
        <w:lastRenderedPageBreak/>
        <w:t>МО и ООО «Арктическая строительная компания» заключен муниципальный контракт № 2024/31.</w:t>
      </w:r>
    </w:p>
    <w:p w14:paraId="449FAFD6"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Цена контракта – 1 954,5 млн.руб.</w:t>
      </w:r>
    </w:p>
    <w:p w14:paraId="3D296C86" w14:textId="665500B5"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Первоначально предполагалось выполнение работ в 2 этапа: проектирование – до 20.12.2024, завершение строительства и ввод объекта </w:t>
      </w:r>
      <w:r w:rsidR="00FE4431" w:rsidRPr="00FD7B0B">
        <w:rPr>
          <w:rFonts w:ascii="Times New Roman" w:hAnsi="Times New Roman"/>
          <w:sz w:val="28"/>
          <w:szCs w:val="28"/>
        </w:rPr>
        <w:t>в эксплуатацию – до 30.12.2026.</w:t>
      </w:r>
    </w:p>
    <w:p w14:paraId="79352AF7" w14:textId="66091A42"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состоянию на 31.12.2024 положительного заключения госэкспертизы не получено, более того 31.03.2025 выдано отрицательное заключение. И допсоглашением от 04.02.2025 № 6 из условий контракта исключена этапность его исполнения.</w:t>
      </w:r>
    </w:p>
    <w:p w14:paraId="07BE4137" w14:textId="1D07B31B"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Изначальный размер аванса составлял 1 % от цены контракта. Однако, спустя 3 месяца (19.07.2024) заключено допсоглашение об увеличении размера аванса до 24,99 % цены контракта. По состоянию на 21.04.2025 подрядчику перечислен аванс на сумму 219,6 млн.руб., выполненные раб</w:t>
      </w:r>
      <w:r w:rsidR="00FE4431" w:rsidRPr="00FD7B0B">
        <w:rPr>
          <w:rFonts w:ascii="Times New Roman" w:hAnsi="Times New Roman"/>
          <w:sz w:val="28"/>
          <w:szCs w:val="28"/>
        </w:rPr>
        <w:t>оты подрядчиком не предъявлены.</w:t>
      </w:r>
    </w:p>
    <w:p w14:paraId="28D89BA5" w14:textId="130308AD"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4.2. По объекту «</w:t>
      </w:r>
      <w:r w:rsidRPr="00FD7B0B">
        <w:rPr>
          <w:rFonts w:ascii="Times New Roman" w:hAnsi="Times New Roman"/>
          <w:sz w:val="28"/>
          <w:szCs w:val="28"/>
          <w:u w:val="single"/>
        </w:rPr>
        <w:t>Интернат для учащихся на 200 мест в с. Березник Устьянского района МО «Березницкое» Архангельской области</w:t>
      </w:r>
      <w:r w:rsidRPr="00FD7B0B">
        <w:rPr>
          <w:rFonts w:ascii="Times New Roman" w:hAnsi="Times New Roman"/>
          <w:sz w:val="28"/>
          <w:szCs w:val="28"/>
        </w:rPr>
        <w:t>» 05.04.2024 также заключен муниципальный контракт № 2024/26 между администрацией Устьянского МО и ООО «Аркт</w:t>
      </w:r>
      <w:r w:rsidR="00FE4431" w:rsidRPr="00FD7B0B">
        <w:rPr>
          <w:rFonts w:ascii="Times New Roman" w:hAnsi="Times New Roman"/>
          <w:sz w:val="28"/>
          <w:szCs w:val="28"/>
        </w:rPr>
        <w:t>ическая строительная компания».</w:t>
      </w:r>
    </w:p>
    <w:p w14:paraId="18D7D96B"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Цена контракта – 549,7 млн.руб.</w:t>
      </w:r>
    </w:p>
    <w:p w14:paraId="2BBC947F"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Первоначально предполагалось выполнение работ в 2 этапа: проектирование – до 20.12.2024, завершение строительства и ввод объекта в эксплуатацию – до 30.12.2026.</w:t>
      </w:r>
    </w:p>
    <w:p w14:paraId="7C998F92"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Допсоглашением от 31.01.2025 № 8 из условий контракта исключена этапность его исполнения.</w:t>
      </w:r>
    </w:p>
    <w:p w14:paraId="2A25C02A" w14:textId="4B6ED32C"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Изначальный размер аванса также составлял 1 % от цены контракта. Однако, 19.07.2024 заключено допсоглашение об увеличении размера аванса до 29,99 % цены контракта. По состоянию на 21.04.2025 подрядчику перечислен аванс на сумму 87,7 млн.руб., выполненные раб</w:t>
      </w:r>
      <w:r w:rsidR="00FE4431" w:rsidRPr="00FD7B0B">
        <w:rPr>
          <w:rFonts w:ascii="Times New Roman" w:hAnsi="Times New Roman"/>
          <w:sz w:val="28"/>
          <w:szCs w:val="28"/>
        </w:rPr>
        <w:t>оты подрядчиком не предъявлены.</w:t>
      </w:r>
    </w:p>
    <w:p w14:paraId="0549C2EF"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4.3. Администрацией Пинежского МО заключен контракт от 31.03.2024 № 0124200000624001405-ЭА-7 с ООО «Сполохи-монтаж» на выполнение работ по строительству объекта капитального строительства «</w:t>
      </w:r>
      <w:r w:rsidRPr="00FD7B0B">
        <w:rPr>
          <w:rFonts w:ascii="Times New Roman" w:hAnsi="Times New Roman"/>
          <w:sz w:val="28"/>
          <w:szCs w:val="28"/>
          <w:u w:val="single"/>
        </w:rPr>
        <w:t>Плоскостное спортивное сооружение в с. Карпогоры Архангельской области</w:t>
      </w:r>
      <w:r w:rsidRPr="00FD7B0B">
        <w:rPr>
          <w:rFonts w:ascii="Times New Roman" w:hAnsi="Times New Roman"/>
          <w:sz w:val="28"/>
          <w:szCs w:val="28"/>
        </w:rPr>
        <w:t>».</w:t>
      </w:r>
    </w:p>
    <w:p w14:paraId="79C7FCB9" w14:textId="18D91D11" w:rsidR="00FB240D" w:rsidRPr="00FD7B0B" w:rsidRDefault="00FE4431"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Цена контракта 181,4 млн.</w:t>
      </w:r>
      <w:r w:rsidR="00FB240D" w:rsidRPr="00FD7B0B">
        <w:rPr>
          <w:rFonts w:ascii="Times New Roman" w:hAnsi="Times New Roman"/>
          <w:sz w:val="28"/>
          <w:szCs w:val="28"/>
        </w:rPr>
        <w:t>руб., размер аванс изначально составлял 30</w:t>
      </w:r>
      <w:r w:rsidRPr="00FD7B0B">
        <w:rPr>
          <w:rFonts w:ascii="Times New Roman" w:hAnsi="Times New Roman"/>
          <w:sz w:val="28"/>
          <w:szCs w:val="28"/>
        </w:rPr>
        <w:t xml:space="preserve"> </w:t>
      </w:r>
      <w:r w:rsidR="00FB240D" w:rsidRPr="00FD7B0B">
        <w:rPr>
          <w:rFonts w:ascii="Times New Roman" w:hAnsi="Times New Roman"/>
          <w:sz w:val="28"/>
          <w:szCs w:val="28"/>
        </w:rPr>
        <w:t xml:space="preserve">%, первоначальный срок окончания работ – не позднее 10.11.2024. </w:t>
      </w:r>
    </w:p>
    <w:p w14:paraId="0837445D" w14:textId="46FCF02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ходе исполнения контракт допсоглашением от 23.09.2024 размер аванса увеличен до 50</w:t>
      </w:r>
      <w:r w:rsidR="00FE4431" w:rsidRPr="00FD7B0B">
        <w:rPr>
          <w:rFonts w:ascii="Times New Roman" w:hAnsi="Times New Roman"/>
          <w:sz w:val="28"/>
          <w:szCs w:val="28"/>
        </w:rPr>
        <w:t xml:space="preserve"> </w:t>
      </w:r>
      <w:r w:rsidRPr="00FD7B0B">
        <w:rPr>
          <w:rFonts w:ascii="Times New Roman" w:hAnsi="Times New Roman"/>
          <w:sz w:val="28"/>
          <w:szCs w:val="28"/>
        </w:rPr>
        <w:t xml:space="preserve">%. При этом, на дату таких изменений подрядчик фактически не предъявлял к оплате выполненные работы. </w:t>
      </w:r>
      <w:r w:rsidR="008C1F28" w:rsidRPr="00FD7B0B">
        <w:rPr>
          <w:rFonts w:ascii="Times New Roman" w:hAnsi="Times New Roman"/>
          <w:sz w:val="28"/>
          <w:szCs w:val="28"/>
        </w:rPr>
        <w:t>Д</w:t>
      </w:r>
      <w:r w:rsidRPr="00FD7B0B">
        <w:rPr>
          <w:rFonts w:ascii="Times New Roman" w:hAnsi="Times New Roman"/>
          <w:sz w:val="28"/>
          <w:szCs w:val="28"/>
        </w:rPr>
        <w:t>опсоглашением от 29.10.2024 срок окончания работ перенесен на 20.12.2024.</w:t>
      </w:r>
    </w:p>
    <w:p w14:paraId="4B4660B4" w14:textId="1546A134"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Стоит обратить внимание</w:t>
      </w:r>
      <w:r w:rsidR="008C1F28" w:rsidRPr="00FD7B0B">
        <w:rPr>
          <w:rFonts w:ascii="Times New Roman" w:hAnsi="Times New Roman"/>
          <w:sz w:val="28"/>
          <w:szCs w:val="28"/>
        </w:rPr>
        <w:t>,</w:t>
      </w:r>
      <w:r w:rsidRPr="00FD7B0B">
        <w:rPr>
          <w:rFonts w:ascii="Times New Roman" w:hAnsi="Times New Roman"/>
          <w:sz w:val="28"/>
          <w:szCs w:val="28"/>
        </w:rPr>
        <w:t xml:space="preserve"> что в ходе исполнения контракта осуществлена замена заказчика: на основании допсогашения от 28.11.2024 заказчиком по объекту становится МБОУ «Карпогорская средняя школа № 118». Таким образом, при наличии профильного отдела в администрации Пинежского МО (отдел архитектуры и строительства) функции заказчика переданы в </w:t>
      </w:r>
      <w:r w:rsidRPr="00FD7B0B">
        <w:rPr>
          <w:rFonts w:ascii="Times New Roman" w:hAnsi="Times New Roman"/>
          <w:sz w:val="28"/>
          <w:szCs w:val="28"/>
        </w:rPr>
        <w:lastRenderedPageBreak/>
        <w:t>образовательное учреждение, которое в отсутствие квалифицированных кадров принимает на себя обязанность по организации строительства, но лишено возможности качественно осуществлять приемку выполненных работ. Кроме того, необходимость организации строительства фактически отвлекает администрацию образовательного учреждения от организации учебного процесса.</w:t>
      </w:r>
    </w:p>
    <w:p w14:paraId="65F8A6B7"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данным ЕИС в сфере закупок по состоянию на 21.04.2025, т.е. спустя 4 месяца после установленного срока окончания строительства, подрядчиком не предъявляются к оплате выполненные работы, а размер неотработанного аванса составляет 92,0 млн.руб.</w:t>
      </w:r>
    </w:p>
    <w:p w14:paraId="0F20A5B5" w14:textId="7799C774"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Таким образом, кассовое исполнение по ГП в размере 100,0</w:t>
      </w:r>
      <w:r w:rsidR="008C1F28" w:rsidRPr="00FD7B0B">
        <w:rPr>
          <w:rFonts w:ascii="Times New Roman" w:hAnsi="Times New Roman"/>
          <w:sz w:val="28"/>
          <w:szCs w:val="28"/>
        </w:rPr>
        <w:t xml:space="preserve"> </w:t>
      </w:r>
      <w:r w:rsidRPr="00FD7B0B">
        <w:rPr>
          <w:rFonts w:ascii="Times New Roman" w:hAnsi="Times New Roman"/>
          <w:sz w:val="28"/>
          <w:szCs w:val="28"/>
        </w:rPr>
        <w:t xml:space="preserve">% по итогам 2024 года связано с «освоением» бюджетных средств в результате повышения размера авансовых платежей и перечисления авансов в адрес подрядчиков, в то числе и в условиях не предъявления </w:t>
      </w:r>
      <w:r w:rsidR="008C1F28" w:rsidRPr="00FD7B0B">
        <w:rPr>
          <w:rFonts w:ascii="Times New Roman" w:hAnsi="Times New Roman"/>
          <w:sz w:val="28"/>
          <w:szCs w:val="28"/>
        </w:rPr>
        <w:t>подрядчиками выполненных работ.</w:t>
      </w:r>
    </w:p>
    <w:p w14:paraId="7281C174" w14:textId="5EF36AC0"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Согласно информации, запрошенной в инспекции государственного строительного надзора АО (далее – Инспекция), с марта 2025 года строительство объекта разделено на 2 этапа, при этом 1 этап «Вспомогательное здание» не включает в себя работы по устройству пола в данном здании (стяжку</w:t>
      </w:r>
      <w:r w:rsidR="008C1F28" w:rsidRPr="00FD7B0B">
        <w:rPr>
          <w:rFonts w:ascii="Times New Roman" w:hAnsi="Times New Roman"/>
          <w:sz w:val="28"/>
          <w:szCs w:val="28"/>
        </w:rPr>
        <w:t xml:space="preserve"> пола, керамогранит, линолеум).</w:t>
      </w:r>
    </w:p>
    <w:p w14:paraId="76E781E3"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Несмотря на то, что подрядчик не предъявлял к оплате выполненные на объекте работы, 31.03.2025 Инспекцией выдано заключение о соответствие построенного объекта указанным в п. 1 ч. 5 ст. 49 ГрК РФ требованиям проектной документации (далее – ЗОС) по 1 этапу строительства объекта.</w:t>
      </w:r>
    </w:p>
    <w:p w14:paraId="2A6EE052" w14:textId="0B6B7023"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соответствии с Положением о составе разделов проектной документации и требованиях к их содержанию, утвержденным постановле</w:t>
      </w:r>
      <w:r w:rsidR="000B7D93" w:rsidRPr="00FD7B0B">
        <w:rPr>
          <w:rFonts w:ascii="Times New Roman" w:hAnsi="Times New Roman"/>
          <w:sz w:val="28"/>
          <w:szCs w:val="28"/>
        </w:rPr>
        <w:t>нием Правительства РФ от 16.02.</w:t>
      </w:r>
      <w:r w:rsidRPr="00FD7B0B">
        <w:rPr>
          <w:rFonts w:ascii="Times New Roman" w:hAnsi="Times New Roman"/>
          <w:sz w:val="28"/>
          <w:szCs w:val="28"/>
        </w:rPr>
        <w:t xml:space="preserve">2008 № 87, под этапом строительства понимается строительство объекта капитального строительства, если такой объект может быть введен в эксплуатацию и </w:t>
      </w:r>
      <w:r w:rsidRPr="00FD7B0B">
        <w:rPr>
          <w:rFonts w:ascii="Times New Roman" w:hAnsi="Times New Roman"/>
          <w:sz w:val="28"/>
          <w:szCs w:val="28"/>
          <w:u w:val="single"/>
        </w:rPr>
        <w:t>эксплуатироваться</w:t>
      </w:r>
      <w:r w:rsidRPr="00FD7B0B">
        <w:rPr>
          <w:rFonts w:ascii="Times New Roman" w:hAnsi="Times New Roman"/>
          <w:sz w:val="28"/>
          <w:szCs w:val="28"/>
        </w:rPr>
        <w:t xml:space="preserve"> автономно (т.е. независимо от строительства иных ОКС).</w:t>
      </w:r>
    </w:p>
    <w:p w14:paraId="7AA07131"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КСП АО полагает, что выдача ЗОС в данном случае преждевременна, поскольку фактически вспомогательное здание не может эксплуатироваться должным образом и в полном объеме в отсутствие устроенного пола.</w:t>
      </w:r>
    </w:p>
    <w:p w14:paraId="782368F9" w14:textId="77777777" w:rsidR="00FB240D" w:rsidRPr="00FD7B0B" w:rsidRDefault="00FB240D" w:rsidP="00FB240D">
      <w:pPr>
        <w:spacing w:after="0" w:line="240" w:lineRule="auto"/>
        <w:rPr>
          <w:rFonts w:ascii="Times New Roman" w:hAnsi="Times New Roman"/>
          <w:sz w:val="28"/>
          <w:szCs w:val="28"/>
          <w:u w:val="single"/>
        </w:rPr>
      </w:pPr>
    </w:p>
    <w:p w14:paraId="017F022F" w14:textId="77777777" w:rsidR="00FB240D" w:rsidRPr="00FD7B0B" w:rsidRDefault="00FB240D" w:rsidP="00FB240D">
      <w:pPr>
        <w:spacing w:after="0" w:line="240" w:lineRule="auto"/>
        <w:rPr>
          <w:rFonts w:ascii="Times New Roman" w:hAnsi="Times New Roman"/>
          <w:sz w:val="28"/>
          <w:szCs w:val="28"/>
          <w:u w:val="single"/>
        </w:rPr>
      </w:pPr>
      <w:r w:rsidRPr="00FD7B0B">
        <w:rPr>
          <w:rFonts w:ascii="Times New Roman" w:hAnsi="Times New Roman"/>
          <w:sz w:val="28"/>
          <w:szCs w:val="28"/>
          <w:u w:val="single"/>
        </w:rPr>
        <w:t>5. ГП АО «Развитие энергетики и жилищно-коммунального хозяйства Архангельской области»</w:t>
      </w:r>
    </w:p>
    <w:p w14:paraId="008383F1" w14:textId="7095F1F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5.1. В рамках ФП «Чистая вода» администрацией Котласского МО муниципальный контракт от 22.04.2022 № 0124300009622000007 на выполнение работ по </w:t>
      </w:r>
      <w:r w:rsidRPr="00FD7B0B">
        <w:rPr>
          <w:rFonts w:ascii="Times New Roman" w:hAnsi="Times New Roman"/>
          <w:sz w:val="28"/>
          <w:szCs w:val="28"/>
          <w:u w:val="single"/>
        </w:rPr>
        <w:t>строительству водоочистных сооружений и водонасосной станции, реконструкции сетей водоснабжения, пос.</w:t>
      </w:r>
      <w:r w:rsidR="00352655" w:rsidRPr="00FD7B0B">
        <w:rPr>
          <w:rFonts w:ascii="Times New Roman" w:hAnsi="Times New Roman"/>
          <w:sz w:val="28"/>
          <w:szCs w:val="28"/>
          <w:u w:val="single"/>
        </w:rPr>
        <w:t xml:space="preserve"> </w:t>
      </w:r>
      <w:r w:rsidRPr="00FD7B0B">
        <w:rPr>
          <w:rFonts w:ascii="Times New Roman" w:hAnsi="Times New Roman"/>
          <w:sz w:val="28"/>
          <w:szCs w:val="28"/>
          <w:u w:val="single"/>
        </w:rPr>
        <w:t>Шипицыно (1 этап)</w:t>
      </w:r>
      <w:r w:rsidRPr="00FD7B0B">
        <w:rPr>
          <w:rFonts w:ascii="Times New Roman" w:hAnsi="Times New Roman"/>
          <w:sz w:val="28"/>
          <w:szCs w:val="28"/>
        </w:rPr>
        <w:t xml:space="preserve"> заключен между управлением имущественно-хозяйственного комплекса </w:t>
      </w:r>
      <w:r w:rsidR="006C4F2C" w:rsidRPr="00FD7B0B">
        <w:rPr>
          <w:rFonts w:ascii="Times New Roman" w:hAnsi="Times New Roman"/>
          <w:sz w:val="28"/>
          <w:szCs w:val="28"/>
        </w:rPr>
        <w:t xml:space="preserve">администрации Котласского муниципального округа </w:t>
      </w:r>
      <w:r w:rsidRPr="00FD7B0B">
        <w:rPr>
          <w:rFonts w:ascii="Times New Roman" w:hAnsi="Times New Roman"/>
          <w:sz w:val="28"/>
          <w:szCs w:val="28"/>
        </w:rPr>
        <w:t>и АО «Производственно-промышленный дом».</w:t>
      </w:r>
    </w:p>
    <w:p w14:paraId="5069773D" w14:textId="59BAEAC8" w:rsidR="00FB240D" w:rsidRPr="00FD7B0B" w:rsidRDefault="000B7D93"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Цена контракта – 194,8 млн.руб.</w:t>
      </w:r>
    </w:p>
    <w:p w14:paraId="79103775"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Первоначальный срок окончания работ – 30.10.2023, допсоглашением от 10.09.2024 он продлен до 25.11.2024.</w:t>
      </w:r>
    </w:p>
    <w:p w14:paraId="7E2C825B" w14:textId="5DA2DAB4"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lastRenderedPageBreak/>
        <w:t>Первоначальной редакцией контракта предусмотрен аванс в размере 1</w:t>
      </w:r>
      <w:r w:rsidR="000B7D93" w:rsidRPr="00FD7B0B">
        <w:rPr>
          <w:rFonts w:ascii="Times New Roman" w:hAnsi="Times New Roman"/>
          <w:sz w:val="28"/>
          <w:szCs w:val="28"/>
        </w:rPr>
        <w:t xml:space="preserve"> </w:t>
      </w:r>
      <w:r w:rsidRPr="00FD7B0B">
        <w:rPr>
          <w:rFonts w:ascii="Times New Roman" w:hAnsi="Times New Roman"/>
          <w:sz w:val="28"/>
          <w:szCs w:val="28"/>
        </w:rPr>
        <w:t>% цены контракта. Допсоглашением от 18.07.2023 при полном отсутствии предъявленных к оплате работ, что свидетельствует о наличии рисков их невыполнения, размер аванса увеличен до 50</w:t>
      </w:r>
      <w:r w:rsidR="000B7D93" w:rsidRPr="00FD7B0B">
        <w:rPr>
          <w:rFonts w:ascii="Times New Roman" w:hAnsi="Times New Roman"/>
          <w:sz w:val="28"/>
          <w:szCs w:val="28"/>
        </w:rPr>
        <w:t xml:space="preserve"> </w:t>
      </w:r>
      <w:r w:rsidRPr="00FD7B0B">
        <w:rPr>
          <w:rFonts w:ascii="Times New Roman" w:hAnsi="Times New Roman"/>
          <w:sz w:val="28"/>
          <w:szCs w:val="28"/>
        </w:rPr>
        <w:t>%.</w:t>
      </w:r>
    </w:p>
    <w:p w14:paraId="0C91CAD5"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Согласно данным ЕИС в сфере закупок по состоянию на 21.04.2025 стоимость выполненных работ составила 115,9 млн.руб. (59,5 % от цены контракта), оплата проведена в сумме 194,8 млн.руб. </w:t>
      </w:r>
    </w:p>
    <w:p w14:paraId="501F04E6" w14:textId="219CD18A"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Условиями контракта предусмотрено обеспечение исполнения контракта в размере 1</w:t>
      </w:r>
      <w:r w:rsidR="00100962" w:rsidRPr="00FD7B0B">
        <w:rPr>
          <w:rFonts w:ascii="Times New Roman" w:hAnsi="Times New Roman"/>
          <w:sz w:val="28"/>
          <w:szCs w:val="28"/>
        </w:rPr>
        <w:t xml:space="preserve"> </w:t>
      </w:r>
      <w:r w:rsidRPr="00FD7B0B">
        <w:rPr>
          <w:rFonts w:ascii="Times New Roman" w:hAnsi="Times New Roman"/>
          <w:sz w:val="28"/>
          <w:szCs w:val="28"/>
        </w:rPr>
        <w:t>% первонач</w:t>
      </w:r>
      <w:r w:rsidR="00100962" w:rsidRPr="00FD7B0B">
        <w:rPr>
          <w:rFonts w:ascii="Times New Roman" w:hAnsi="Times New Roman"/>
          <w:sz w:val="28"/>
          <w:szCs w:val="28"/>
        </w:rPr>
        <w:t>альной цены контракта (1,5 млн.</w:t>
      </w:r>
      <w:r w:rsidRPr="00FD7B0B">
        <w:rPr>
          <w:rFonts w:ascii="Times New Roman" w:hAnsi="Times New Roman"/>
          <w:sz w:val="28"/>
          <w:szCs w:val="28"/>
        </w:rPr>
        <w:t>руб.). При увеличении размера аванса обеспечение исполнения контракта не изменилось, в результате обеспечение исполнения контракта несоизмеримо меньше выплаченного подрядчику аванса.</w:t>
      </w:r>
    </w:p>
    <w:p w14:paraId="510BDC3F"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5.2. Также в рамках ФП «Чистая вода» не закончены строительством в объекты «Строительство, реконструкция, техническое перевооружение системы водоснабжения в д. Макаровская, д. Петариха, д. Корехино, д. Логиновская, д. Поповская, д. Бор Архангельская область, Няндомский район, сельское поселение «Мошинское» и «Реконструкция системы водоснабжения с вводом в эксплуатацию новой скважины, строительство и подключение блочно-модульной станции очистки воды в пос. Ерцево», окончание строительства которых запланировано в 2024 году.</w:t>
      </w:r>
    </w:p>
    <w:p w14:paraId="4F0D3DEB" w14:textId="06CCC508"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5.3. Выполнение мероприятий ОАИП, связанных с проектированием и строительством 20 котельных в рамках данной ГП (ГРБС – минТЭК АО), на уровне 50,4</w:t>
      </w:r>
      <w:r w:rsidR="00FA6D88" w:rsidRPr="00FD7B0B">
        <w:rPr>
          <w:rFonts w:ascii="Times New Roman" w:hAnsi="Times New Roman"/>
          <w:sz w:val="28"/>
          <w:szCs w:val="28"/>
        </w:rPr>
        <w:t xml:space="preserve"> </w:t>
      </w:r>
      <w:r w:rsidRPr="00FD7B0B">
        <w:rPr>
          <w:rFonts w:ascii="Times New Roman" w:hAnsi="Times New Roman"/>
          <w:sz w:val="28"/>
          <w:szCs w:val="28"/>
        </w:rPr>
        <w:t>% от объема утвержденных бюджетных ассигнований вызвано исключительно перечислением авансовых платежей подрядчикам, с которыми заключены контракты на проектирование и строительство котельных в г. Архангельске, Приморском районе, Плесецком и Устьянском округах (таблица</w:t>
      </w:r>
      <w:r w:rsidR="003D51A3" w:rsidRPr="00FD7B0B">
        <w:rPr>
          <w:rFonts w:ascii="Times New Roman" w:hAnsi="Times New Roman"/>
          <w:sz w:val="28"/>
          <w:szCs w:val="28"/>
        </w:rPr>
        <w:t> 245</w:t>
      </w:r>
      <w:r w:rsidRPr="00FD7B0B">
        <w:rPr>
          <w:rFonts w:ascii="Times New Roman" w:hAnsi="Times New Roman"/>
          <w:sz w:val="28"/>
          <w:szCs w:val="28"/>
        </w:rPr>
        <w:t>).</w:t>
      </w:r>
    </w:p>
    <w:p w14:paraId="4A0D42D4" w14:textId="77777777" w:rsidR="00FB240D" w:rsidRPr="00FD7B0B" w:rsidRDefault="00FB240D" w:rsidP="00FB240D">
      <w:pPr>
        <w:pStyle w:val="aff0"/>
        <w:keepNext/>
        <w:spacing w:after="0" w:line="240" w:lineRule="auto"/>
        <w:rPr>
          <w:sz w:val="24"/>
          <w:szCs w:val="24"/>
        </w:rPr>
      </w:pPr>
    </w:p>
    <w:p w14:paraId="79C98C6A" w14:textId="77777777" w:rsidR="00FB240D" w:rsidRPr="00FD7B0B" w:rsidRDefault="00FB240D" w:rsidP="00FB240D">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245</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Информация по авансированию подрядчиков по контрактам, связанным с проектированием и строительством котельных, по состоянию на 31.12.2024, млн.руб. </w:t>
      </w:r>
    </w:p>
    <w:p w14:paraId="441CB0B3" w14:textId="77777777" w:rsidR="00FB240D" w:rsidRPr="00FD7B0B" w:rsidRDefault="00FB240D" w:rsidP="00FB240D">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(по данным ЕИС в сфере закупок)</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372"/>
        <w:gridCol w:w="1244"/>
        <w:gridCol w:w="1459"/>
        <w:gridCol w:w="1068"/>
        <w:gridCol w:w="932"/>
        <w:gridCol w:w="1410"/>
        <w:gridCol w:w="1122"/>
      </w:tblGrid>
      <w:tr w:rsidR="00FD7B0B" w:rsidRPr="00FD7B0B" w14:paraId="10782870" w14:textId="77777777" w:rsidTr="00100962">
        <w:trPr>
          <w:trHeight w:val="300"/>
          <w:tblHeader/>
        </w:trPr>
        <w:tc>
          <w:tcPr>
            <w:tcW w:w="1234" w:type="pct"/>
          </w:tcPr>
          <w:p w14:paraId="1BB395FA"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Объект капитального строительства</w:t>
            </w:r>
          </w:p>
        </w:tc>
        <w:tc>
          <w:tcPr>
            <w:tcW w:w="647" w:type="pct"/>
          </w:tcPr>
          <w:p w14:paraId="538D4E38"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Дата, номер контракта</w:t>
            </w:r>
          </w:p>
        </w:tc>
        <w:tc>
          <w:tcPr>
            <w:tcW w:w="759" w:type="pct"/>
          </w:tcPr>
          <w:p w14:paraId="6EFE8F3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Заказчик</w:t>
            </w:r>
          </w:p>
        </w:tc>
        <w:tc>
          <w:tcPr>
            <w:tcW w:w="556" w:type="pct"/>
          </w:tcPr>
          <w:p w14:paraId="36C9E948"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Подряд-чик</w:t>
            </w:r>
          </w:p>
        </w:tc>
        <w:tc>
          <w:tcPr>
            <w:tcW w:w="485" w:type="pct"/>
          </w:tcPr>
          <w:p w14:paraId="7B074BFD"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Цена контрак-та, млн.руб.</w:t>
            </w:r>
          </w:p>
        </w:tc>
        <w:tc>
          <w:tcPr>
            <w:tcW w:w="734" w:type="pct"/>
          </w:tcPr>
          <w:p w14:paraId="61FB2B22"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Аванс, перечислен-ный подрядчику, млн.руб.</w:t>
            </w:r>
          </w:p>
        </w:tc>
        <w:tc>
          <w:tcPr>
            <w:tcW w:w="584" w:type="pct"/>
          </w:tcPr>
          <w:p w14:paraId="7BB2ABDD" w14:textId="0A2D73B6"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 xml:space="preserve">Размер обеспечен-ия исполнен-ия контракта, </w:t>
            </w:r>
            <w:r w:rsidR="000560EB" w:rsidRPr="00FD7B0B">
              <w:rPr>
                <w:rFonts w:ascii="Times New Roman" w:hAnsi="Times New Roman"/>
                <w:sz w:val="18"/>
                <w:szCs w:val="18"/>
              </w:rPr>
              <w:t>млн.руб.</w:t>
            </w:r>
          </w:p>
        </w:tc>
      </w:tr>
      <w:tr w:rsidR="00FD7B0B" w:rsidRPr="00FD7B0B" w14:paraId="29F38A82" w14:textId="77777777" w:rsidTr="00100962">
        <w:trPr>
          <w:trHeight w:val="144"/>
        </w:trPr>
        <w:tc>
          <w:tcPr>
            <w:tcW w:w="1234" w:type="pct"/>
          </w:tcPr>
          <w:p w14:paraId="6CB3FA92"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Проектирование и строительство котельной по адресу: г. Архангельск, ул. Постышева</w:t>
            </w:r>
          </w:p>
        </w:tc>
        <w:tc>
          <w:tcPr>
            <w:tcW w:w="647" w:type="pct"/>
          </w:tcPr>
          <w:p w14:paraId="4FA0A17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 xml:space="preserve">04.04.2024 № 24001022 </w:t>
            </w:r>
          </w:p>
        </w:tc>
        <w:tc>
          <w:tcPr>
            <w:tcW w:w="759" w:type="pct"/>
          </w:tcPr>
          <w:p w14:paraId="605FE1FE"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ДТС Администрации ГО «Город Архангельск»</w:t>
            </w:r>
          </w:p>
        </w:tc>
        <w:tc>
          <w:tcPr>
            <w:tcW w:w="556" w:type="pct"/>
          </w:tcPr>
          <w:p w14:paraId="596DC635"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«Регион-лес»</w:t>
            </w:r>
          </w:p>
        </w:tc>
        <w:tc>
          <w:tcPr>
            <w:tcW w:w="485" w:type="pct"/>
          </w:tcPr>
          <w:p w14:paraId="6359BF89"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486,8</w:t>
            </w:r>
          </w:p>
        </w:tc>
        <w:tc>
          <w:tcPr>
            <w:tcW w:w="734" w:type="pct"/>
          </w:tcPr>
          <w:p w14:paraId="0515D446" w14:textId="77777777" w:rsidR="00FB240D" w:rsidRPr="00FD7B0B" w:rsidRDefault="00FB240D" w:rsidP="00FB240D">
            <w:pPr>
              <w:spacing w:after="0" w:line="240" w:lineRule="auto"/>
              <w:jc w:val="center"/>
              <w:rPr>
                <w:rFonts w:ascii="Times New Roman" w:hAnsi="Times New Roman"/>
                <w:sz w:val="18"/>
                <w:szCs w:val="18"/>
                <w:lang w:val="en-US"/>
              </w:rPr>
            </w:pPr>
            <w:r w:rsidRPr="00FD7B0B">
              <w:rPr>
                <w:rFonts w:ascii="Times New Roman" w:hAnsi="Times New Roman"/>
                <w:sz w:val="18"/>
                <w:szCs w:val="18"/>
                <w:lang w:val="en-US"/>
              </w:rPr>
              <w:t>232</w:t>
            </w:r>
            <w:r w:rsidRPr="00FD7B0B">
              <w:rPr>
                <w:rFonts w:ascii="Times New Roman" w:hAnsi="Times New Roman"/>
                <w:sz w:val="18"/>
                <w:szCs w:val="18"/>
              </w:rPr>
              <w:t>,</w:t>
            </w:r>
            <w:r w:rsidRPr="00FD7B0B">
              <w:rPr>
                <w:rFonts w:ascii="Times New Roman" w:hAnsi="Times New Roman"/>
                <w:sz w:val="18"/>
                <w:szCs w:val="18"/>
                <w:lang w:val="en-US"/>
              </w:rPr>
              <w:t>3</w:t>
            </w:r>
          </w:p>
        </w:tc>
        <w:tc>
          <w:tcPr>
            <w:tcW w:w="584" w:type="pct"/>
          </w:tcPr>
          <w:p w14:paraId="317D2B51"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24,3</w:t>
            </w:r>
          </w:p>
        </w:tc>
      </w:tr>
      <w:tr w:rsidR="00FD7B0B" w:rsidRPr="00FD7B0B" w14:paraId="63CE486D" w14:textId="77777777" w:rsidTr="00100962">
        <w:trPr>
          <w:trHeight w:val="217"/>
        </w:trPr>
        <w:tc>
          <w:tcPr>
            <w:tcW w:w="1234" w:type="pct"/>
          </w:tcPr>
          <w:p w14:paraId="7F156D06"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Проектирование и строительство котельной по адресу: г. Архангельск, ул. Лермонтова, д. 23, стр. 24</w:t>
            </w:r>
          </w:p>
        </w:tc>
        <w:tc>
          <w:tcPr>
            <w:tcW w:w="647" w:type="pct"/>
          </w:tcPr>
          <w:p w14:paraId="74046A2D" w14:textId="77777777" w:rsidR="00FB240D" w:rsidRPr="00FD7B0B" w:rsidRDefault="00FB240D" w:rsidP="00FB240D">
            <w:pPr>
              <w:spacing w:after="0" w:line="240" w:lineRule="auto"/>
              <w:ind w:firstLine="426"/>
              <w:jc w:val="center"/>
              <w:rPr>
                <w:rFonts w:ascii="Times New Roman" w:hAnsi="Times New Roman"/>
                <w:sz w:val="18"/>
                <w:szCs w:val="18"/>
              </w:rPr>
            </w:pPr>
          </w:p>
          <w:p w14:paraId="686A28DF" w14:textId="77777777" w:rsidR="00FB240D" w:rsidRPr="00FD7B0B" w:rsidRDefault="00FB240D" w:rsidP="00FB240D">
            <w:pPr>
              <w:spacing w:after="0" w:line="240" w:lineRule="auto"/>
              <w:ind w:firstLine="17"/>
              <w:jc w:val="center"/>
              <w:rPr>
                <w:rFonts w:ascii="Times New Roman" w:hAnsi="Times New Roman"/>
                <w:sz w:val="18"/>
                <w:szCs w:val="18"/>
              </w:rPr>
            </w:pPr>
            <w:r w:rsidRPr="00FD7B0B">
              <w:rPr>
                <w:rFonts w:ascii="Times New Roman" w:hAnsi="Times New Roman"/>
                <w:sz w:val="18"/>
                <w:szCs w:val="18"/>
              </w:rPr>
              <w:t>09.04.2024 № 24001112</w:t>
            </w:r>
          </w:p>
          <w:p w14:paraId="4BAEDBD6" w14:textId="77777777" w:rsidR="00FB240D" w:rsidRPr="00FD7B0B" w:rsidRDefault="00FB240D" w:rsidP="00FB240D">
            <w:pPr>
              <w:spacing w:after="0" w:line="240" w:lineRule="auto"/>
              <w:rPr>
                <w:rFonts w:ascii="Times New Roman" w:hAnsi="Times New Roman"/>
                <w:sz w:val="18"/>
                <w:szCs w:val="18"/>
              </w:rPr>
            </w:pPr>
          </w:p>
        </w:tc>
        <w:tc>
          <w:tcPr>
            <w:tcW w:w="759" w:type="pct"/>
          </w:tcPr>
          <w:p w14:paraId="0E347F01"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ДТС Администрации ГО «Город Архангельск»</w:t>
            </w:r>
          </w:p>
        </w:tc>
        <w:tc>
          <w:tcPr>
            <w:tcW w:w="556" w:type="pct"/>
          </w:tcPr>
          <w:p w14:paraId="0EF9102D"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«Сполохи-монтаж»</w:t>
            </w:r>
          </w:p>
        </w:tc>
        <w:tc>
          <w:tcPr>
            <w:tcW w:w="485" w:type="pct"/>
          </w:tcPr>
          <w:p w14:paraId="03EE346A"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268,7</w:t>
            </w:r>
          </w:p>
        </w:tc>
        <w:tc>
          <w:tcPr>
            <w:tcW w:w="734" w:type="pct"/>
          </w:tcPr>
          <w:p w14:paraId="645D8479"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134,4</w:t>
            </w:r>
          </w:p>
        </w:tc>
        <w:tc>
          <w:tcPr>
            <w:tcW w:w="584" w:type="pct"/>
          </w:tcPr>
          <w:p w14:paraId="72AFF81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13,4</w:t>
            </w:r>
          </w:p>
        </w:tc>
      </w:tr>
      <w:tr w:rsidR="00FD7B0B" w:rsidRPr="00FD7B0B" w14:paraId="7CCF4ADE" w14:textId="77777777" w:rsidTr="00100962">
        <w:trPr>
          <w:trHeight w:hRule="exact" w:val="877"/>
        </w:trPr>
        <w:tc>
          <w:tcPr>
            <w:tcW w:w="1234" w:type="pct"/>
          </w:tcPr>
          <w:p w14:paraId="7BBD59FB" w14:textId="77777777" w:rsidR="00FB240D" w:rsidRPr="00FD7B0B" w:rsidRDefault="00FB240D" w:rsidP="00FB240D">
            <w:pPr>
              <w:spacing w:after="0" w:line="240" w:lineRule="auto"/>
              <w:rPr>
                <w:rFonts w:ascii="Times New Roman" w:hAnsi="Times New Roman"/>
                <w:bCs/>
                <w:sz w:val="18"/>
                <w:szCs w:val="18"/>
              </w:rPr>
            </w:pPr>
            <w:r w:rsidRPr="00FD7B0B">
              <w:rPr>
                <w:rFonts w:ascii="Times New Roman" w:hAnsi="Times New Roman"/>
                <w:sz w:val="18"/>
                <w:szCs w:val="18"/>
              </w:rPr>
              <w:t>Проектирование и строительство котельной по адресу: Плесецкий район, п. Строитель</w:t>
            </w:r>
          </w:p>
        </w:tc>
        <w:tc>
          <w:tcPr>
            <w:tcW w:w="647" w:type="pct"/>
          </w:tcPr>
          <w:p w14:paraId="2A31F0F7"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08.04.2024 № 23</w:t>
            </w:r>
          </w:p>
        </w:tc>
        <w:tc>
          <w:tcPr>
            <w:tcW w:w="759" w:type="pct"/>
          </w:tcPr>
          <w:p w14:paraId="58F5F418"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Администрация Плесецкого МО</w:t>
            </w:r>
          </w:p>
        </w:tc>
        <w:tc>
          <w:tcPr>
            <w:tcW w:w="556" w:type="pct"/>
          </w:tcPr>
          <w:p w14:paraId="6EA217AE"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sz w:val="18"/>
                <w:szCs w:val="18"/>
              </w:rPr>
              <w:t>ООО «Сполохи-монтаж»</w:t>
            </w:r>
          </w:p>
        </w:tc>
        <w:tc>
          <w:tcPr>
            <w:tcW w:w="485" w:type="pct"/>
          </w:tcPr>
          <w:p w14:paraId="5B735BAE"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46,0</w:t>
            </w:r>
          </w:p>
        </w:tc>
        <w:tc>
          <w:tcPr>
            <w:tcW w:w="734" w:type="pct"/>
          </w:tcPr>
          <w:p w14:paraId="73910A95"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23,0</w:t>
            </w:r>
          </w:p>
        </w:tc>
        <w:tc>
          <w:tcPr>
            <w:tcW w:w="584" w:type="pct"/>
          </w:tcPr>
          <w:p w14:paraId="1E4FF74F"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w:t>
            </w:r>
          </w:p>
        </w:tc>
      </w:tr>
      <w:tr w:rsidR="00FD7B0B" w:rsidRPr="00FD7B0B" w14:paraId="0025F6AC" w14:textId="77777777" w:rsidTr="00100962">
        <w:trPr>
          <w:trHeight w:hRule="exact" w:val="871"/>
        </w:trPr>
        <w:tc>
          <w:tcPr>
            <w:tcW w:w="1234" w:type="pct"/>
          </w:tcPr>
          <w:p w14:paraId="37781731"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lastRenderedPageBreak/>
              <w:t>Проектирование и строительство 3 котельных в Приморском районе</w:t>
            </w:r>
          </w:p>
        </w:tc>
        <w:tc>
          <w:tcPr>
            <w:tcW w:w="647" w:type="pct"/>
          </w:tcPr>
          <w:p w14:paraId="151E860D"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15.05.2024 № 0124200000624000951</w:t>
            </w:r>
          </w:p>
        </w:tc>
        <w:tc>
          <w:tcPr>
            <w:tcW w:w="759" w:type="pct"/>
          </w:tcPr>
          <w:p w14:paraId="4F094CA1"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МКУ «Управление по капитальному строительству»</w:t>
            </w:r>
          </w:p>
        </w:tc>
        <w:tc>
          <w:tcPr>
            <w:tcW w:w="556" w:type="pct"/>
          </w:tcPr>
          <w:p w14:paraId="32CDA743"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«Регион-лес»</w:t>
            </w:r>
          </w:p>
        </w:tc>
        <w:tc>
          <w:tcPr>
            <w:tcW w:w="485" w:type="pct"/>
          </w:tcPr>
          <w:p w14:paraId="169688F6"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204,5</w:t>
            </w:r>
          </w:p>
        </w:tc>
        <w:tc>
          <w:tcPr>
            <w:tcW w:w="734" w:type="pct"/>
          </w:tcPr>
          <w:p w14:paraId="2811141E"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101,2</w:t>
            </w:r>
          </w:p>
        </w:tc>
        <w:tc>
          <w:tcPr>
            <w:tcW w:w="584" w:type="pct"/>
          </w:tcPr>
          <w:p w14:paraId="323D9911"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w:t>
            </w:r>
          </w:p>
        </w:tc>
      </w:tr>
      <w:tr w:rsidR="00FD7B0B" w:rsidRPr="00FD7B0B" w14:paraId="19C31FB5" w14:textId="77777777" w:rsidTr="00100962">
        <w:trPr>
          <w:trHeight w:hRule="exact" w:val="856"/>
        </w:trPr>
        <w:tc>
          <w:tcPr>
            <w:tcW w:w="1234" w:type="pct"/>
          </w:tcPr>
          <w:p w14:paraId="4B74E1A0"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Проектирование и строительство 14 котельных в Устьянском округе</w:t>
            </w:r>
          </w:p>
        </w:tc>
        <w:tc>
          <w:tcPr>
            <w:tcW w:w="647" w:type="pct"/>
          </w:tcPr>
          <w:p w14:paraId="5E00995B"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25.04.2024 № 2024/414</w:t>
            </w:r>
          </w:p>
        </w:tc>
        <w:tc>
          <w:tcPr>
            <w:tcW w:w="759" w:type="pct"/>
          </w:tcPr>
          <w:p w14:paraId="5808254E" w14:textId="43707CDA"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Администрация Устьянского мун.</w:t>
            </w:r>
            <w:r w:rsidR="00352655" w:rsidRPr="00FD7B0B">
              <w:rPr>
                <w:rFonts w:ascii="Times New Roman" w:hAnsi="Times New Roman"/>
                <w:bCs/>
                <w:sz w:val="18"/>
                <w:szCs w:val="18"/>
              </w:rPr>
              <w:t xml:space="preserve"> </w:t>
            </w:r>
            <w:r w:rsidRPr="00FD7B0B">
              <w:rPr>
                <w:rFonts w:ascii="Times New Roman" w:hAnsi="Times New Roman"/>
                <w:bCs/>
                <w:sz w:val="18"/>
                <w:szCs w:val="18"/>
              </w:rPr>
              <w:t>округа</w:t>
            </w:r>
          </w:p>
        </w:tc>
        <w:tc>
          <w:tcPr>
            <w:tcW w:w="556" w:type="pct"/>
          </w:tcPr>
          <w:p w14:paraId="4B8BF4BB"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«УСК»</w:t>
            </w:r>
          </w:p>
        </w:tc>
        <w:tc>
          <w:tcPr>
            <w:tcW w:w="485" w:type="pct"/>
          </w:tcPr>
          <w:p w14:paraId="53388A24"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943,8</w:t>
            </w:r>
          </w:p>
        </w:tc>
        <w:tc>
          <w:tcPr>
            <w:tcW w:w="734" w:type="pct"/>
          </w:tcPr>
          <w:p w14:paraId="3B18699C"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471,9</w:t>
            </w:r>
          </w:p>
        </w:tc>
        <w:tc>
          <w:tcPr>
            <w:tcW w:w="584" w:type="pct"/>
          </w:tcPr>
          <w:p w14:paraId="32985A0B"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9,4</w:t>
            </w:r>
          </w:p>
        </w:tc>
      </w:tr>
      <w:tr w:rsidR="00FB240D" w:rsidRPr="00FD7B0B" w14:paraId="51D4B3D7" w14:textId="77777777" w:rsidTr="00100962">
        <w:trPr>
          <w:trHeight w:hRule="exact" w:val="231"/>
        </w:trPr>
        <w:tc>
          <w:tcPr>
            <w:tcW w:w="1234" w:type="pct"/>
          </w:tcPr>
          <w:p w14:paraId="6DA40FB5"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Итого</w:t>
            </w:r>
          </w:p>
        </w:tc>
        <w:tc>
          <w:tcPr>
            <w:tcW w:w="647" w:type="pct"/>
          </w:tcPr>
          <w:p w14:paraId="49FB925B" w14:textId="77777777" w:rsidR="00FB240D" w:rsidRPr="00FD7B0B" w:rsidRDefault="00FB240D" w:rsidP="00FB240D">
            <w:pPr>
              <w:spacing w:after="0" w:line="240" w:lineRule="auto"/>
              <w:jc w:val="center"/>
              <w:rPr>
                <w:rFonts w:ascii="Times New Roman" w:hAnsi="Times New Roman"/>
                <w:bCs/>
                <w:sz w:val="18"/>
                <w:szCs w:val="18"/>
              </w:rPr>
            </w:pPr>
          </w:p>
        </w:tc>
        <w:tc>
          <w:tcPr>
            <w:tcW w:w="759" w:type="pct"/>
          </w:tcPr>
          <w:p w14:paraId="532A93C9" w14:textId="77777777" w:rsidR="00FB240D" w:rsidRPr="00FD7B0B" w:rsidRDefault="00FB240D" w:rsidP="00FB240D">
            <w:pPr>
              <w:spacing w:after="0" w:line="240" w:lineRule="auto"/>
              <w:jc w:val="center"/>
              <w:rPr>
                <w:rFonts w:ascii="Times New Roman" w:hAnsi="Times New Roman"/>
                <w:bCs/>
                <w:sz w:val="18"/>
                <w:szCs w:val="18"/>
              </w:rPr>
            </w:pPr>
          </w:p>
        </w:tc>
        <w:tc>
          <w:tcPr>
            <w:tcW w:w="556" w:type="pct"/>
          </w:tcPr>
          <w:p w14:paraId="237460FC" w14:textId="77777777" w:rsidR="00FB240D" w:rsidRPr="00FD7B0B" w:rsidRDefault="00FB240D" w:rsidP="00FB240D">
            <w:pPr>
              <w:spacing w:after="0" w:line="240" w:lineRule="auto"/>
              <w:jc w:val="center"/>
              <w:rPr>
                <w:rFonts w:ascii="Times New Roman" w:hAnsi="Times New Roman"/>
                <w:sz w:val="18"/>
                <w:szCs w:val="18"/>
              </w:rPr>
            </w:pPr>
          </w:p>
        </w:tc>
        <w:tc>
          <w:tcPr>
            <w:tcW w:w="485" w:type="pct"/>
          </w:tcPr>
          <w:p w14:paraId="42B96AA7"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1949,8</w:t>
            </w:r>
          </w:p>
        </w:tc>
        <w:tc>
          <w:tcPr>
            <w:tcW w:w="734" w:type="pct"/>
          </w:tcPr>
          <w:p w14:paraId="5E3D70F7"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962,8</w:t>
            </w:r>
          </w:p>
        </w:tc>
        <w:tc>
          <w:tcPr>
            <w:tcW w:w="584" w:type="pct"/>
          </w:tcPr>
          <w:p w14:paraId="7623ADEF"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47,1</w:t>
            </w:r>
          </w:p>
        </w:tc>
      </w:tr>
    </w:tbl>
    <w:p w14:paraId="68042F6C" w14:textId="77777777" w:rsidR="00FB240D" w:rsidRPr="00FD7B0B" w:rsidRDefault="00FB240D" w:rsidP="00FB240D">
      <w:pPr>
        <w:spacing w:after="0" w:line="240" w:lineRule="exact"/>
        <w:ind w:firstLine="709"/>
        <w:jc w:val="both"/>
        <w:rPr>
          <w:rFonts w:ascii="Times New Roman" w:hAnsi="Times New Roman"/>
          <w:sz w:val="28"/>
          <w:szCs w:val="28"/>
        </w:rPr>
      </w:pPr>
    </w:p>
    <w:p w14:paraId="039C26CB"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При этом, по условиям проектов контрактов (заказчик Департамент транспорта, строительства и городской инфраструктуры администрации ГО «Город Архангельск») в составе извещений о проведении открытого конкурса, с которыми имели возможность ознакомится потенциальные подрядчики с целью определения своих финансовых возможностей для строительства указанных объектов, авансирование не предусмотрено. Впоследствии, спустя непродолжительное время после заключения муниципальных контрактов, условия об авансировании внесены в контракт:</w:t>
      </w:r>
    </w:p>
    <w:p w14:paraId="1888E415" w14:textId="37982E7B" w:rsidR="00FB240D" w:rsidRPr="00FD7B0B" w:rsidRDefault="00FB240D" w:rsidP="00FB240D">
      <w:pPr>
        <w:pStyle w:val="a8"/>
        <w:numPr>
          <w:ilvl w:val="0"/>
          <w:numId w:val="15"/>
        </w:numPr>
        <w:ind w:left="0" w:firstLine="709"/>
        <w:jc w:val="both"/>
        <w:rPr>
          <w:sz w:val="28"/>
          <w:szCs w:val="28"/>
        </w:rPr>
      </w:pPr>
      <w:r w:rsidRPr="00FD7B0B">
        <w:rPr>
          <w:sz w:val="28"/>
          <w:szCs w:val="28"/>
        </w:rPr>
        <w:t>контракт от 04.04.2024 № 24001022 – на основании доп. соглашения от 24.04.2024 (т.е. спустя 20 дней после заключения контракта) предус</w:t>
      </w:r>
      <w:r w:rsidR="00FA6D88" w:rsidRPr="00FD7B0B">
        <w:rPr>
          <w:sz w:val="28"/>
          <w:szCs w:val="28"/>
        </w:rPr>
        <w:t>мотрен аванс в сумме 108,7 млн.</w:t>
      </w:r>
      <w:r w:rsidRPr="00FD7B0B">
        <w:rPr>
          <w:sz w:val="28"/>
          <w:szCs w:val="28"/>
        </w:rPr>
        <w:t>руб., доп. соглашением от 07.06.20</w:t>
      </w:r>
      <w:r w:rsidR="00FA6D88" w:rsidRPr="00FD7B0B">
        <w:rPr>
          <w:sz w:val="28"/>
          <w:szCs w:val="28"/>
        </w:rPr>
        <w:t>24 аванс увеличен до 143,8 млн.</w:t>
      </w:r>
      <w:r w:rsidRPr="00FD7B0B">
        <w:rPr>
          <w:sz w:val="28"/>
          <w:szCs w:val="28"/>
        </w:rPr>
        <w:t>руб., доп. соглашением от 27.08.2024 - до 208,4 млн.руб., допсоглашение</w:t>
      </w:r>
      <w:r w:rsidR="00FA6D88" w:rsidRPr="00FD7B0B">
        <w:rPr>
          <w:sz w:val="28"/>
          <w:szCs w:val="28"/>
        </w:rPr>
        <w:t>м от 25.10.2024 - до 232,3 млн.</w:t>
      </w:r>
      <w:r w:rsidRPr="00FD7B0B">
        <w:rPr>
          <w:sz w:val="28"/>
          <w:szCs w:val="28"/>
        </w:rPr>
        <w:t>руб.;</w:t>
      </w:r>
    </w:p>
    <w:p w14:paraId="56A2C528" w14:textId="429C7D37" w:rsidR="00FB240D" w:rsidRPr="00FD7B0B" w:rsidRDefault="00FB240D" w:rsidP="00FB240D">
      <w:pPr>
        <w:pStyle w:val="a8"/>
        <w:numPr>
          <w:ilvl w:val="0"/>
          <w:numId w:val="15"/>
        </w:numPr>
        <w:ind w:left="0" w:firstLine="709"/>
        <w:jc w:val="both"/>
        <w:rPr>
          <w:sz w:val="28"/>
          <w:szCs w:val="28"/>
        </w:rPr>
      </w:pPr>
      <w:r w:rsidRPr="00FD7B0B">
        <w:rPr>
          <w:sz w:val="28"/>
          <w:szCs w:val="28"/>
        </w:rPr>
        <w:t xml:space="preserve">контракт от 09.04.2024 № 24001112 – на основании доп. соглашения от 23.04.2024 (т.е. спустя 14 дней после заключения контракта) предусмотрен аванс в сумме 134,4 </w:t>
      </w:r>
      <w:r w:rsidR="000560EB" w:rsidRPr="00FD7B0B">
        <w:rPr>
          <w:sz w:val="28"/>
          <w:szCs w:val="28"/>
        </w:rPr>
        <w:t>млн.руб.</w:t>
      </w:r>
      <w:r w:rsidRPr="00FD7B0B">
        <w:rPr>
          <w:sz w:val="28"/>
          <w:szCs w:val="28"/>
        </w:rPr>
        <w:t xml:space="preserve"> (50 % от цены контракта).</w:t>
      </w:r>
    </w:p>
    <w:p w14:paraId="3D726CF8" w14:textId="643BEC50"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Также следует отметить увеличение размера авансовых платежей (с 1% до 50</w:t>
      </w:r>
      <w:r w:rsidR="00FA6D88" w:rsidRPr="00FD7B0B">
        <w:rPr>
          <w:rFonts w:ascii="Times New Roman" w:hAnsi="Times New Roman"/>
          <w:sz w:val="28"/>
          <w:szCs w:val="28"/>
        </w:rPr>
        <w:t xml:space="preserve"> </w:t>
      </w:r>
      <w:r w:rsidRPr="00FD7B0B">
        <w:rPr>
          <w:rFonts w:ascii="Times New Roman" w:hAnsi="Times New Roman"/>
          <w:sz w:val="28"/>
          <w:szCs w:val="28"/>
        </w:rPr>
        <w:t>%) и по муниципальному контракту, заключенному с ООО «УСК».</w:t>
      </w:r>
    </w:p>
    <w:p w14:paraId="69CB2CF9" w14:textId="2AFBCEA8"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Размеры авансовых платежей по контрактам, заключенным на строительство котельной в п. Строитель Плесецкого района и котельных в Приморском районе также увеличены с 30</w:t>
      </w:r>
      <w:r w:rsidR="00FA6D88" w:rsidRPr="00FD7B0B">
        <w:rPr>
          <w:rFonts w:ascii="Times New Roman" w:hAnsi="Times New Roman"/>
          <w:sz w:val="28"/>
          <w:szCs w:val="28"/>
        </w:rPr>
        <w:t xml:space="preserve"> </w:t>
      </w:r>
      <w:r w:rsidRPr="00FD7B0B">
        <w:rPr>
          <w:rFonts w:ascii="Times New Roman" w:hAnsi="Times New Roman"/>
          <w:sz w:val="28"/>
          <w:szCs w:val="28"/>
        </w:rPr>
        <w:t>% до 50</w:t>
      </w:r>
      <w:r w:rsidR="00FA6D88" w:rsidRPr="00FD7B0B">
        <w:rPr>
          <w:rFonts w:ascii="Times New Roman" w:hAnsi="Times New Roman"/>
          <w:sz w:val="28"/>
          <w:szCs w:val="28"/>
        </w:rPr>
        <w:t xml:space="preserve"> </w:t>
      </w:r>
      <w:r w:rsidRPr="00FD7B0B">
        <w:rPr>
          <w:rFonts w:ascii="Times New Roman" w:hAnsi="Times New Roman"/>
          <w:sz w:val="28"/>
          <w:szCs w:val="28"/>
        </w:rPr>
        <w:t>%.</w:t>
      </w:r>
    </w:p>
    <w:p w14:paraId="32894637"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КСП АО обращает внимание на то, что обеспечение исполнения контрактов заказчиками либо не устанавливается, либо устанавливается, но в минимальном размере. При этом, в дальнейшем при установлении аванса и увеличении его размеров обеспечение исполнения контракта не корректируется, в результате обеспечение исполнения контракта несоизмеримо меньше выплаченного подрядчику аванса, что ставит стороны контрактов в неравноценное положение, лишая заказчиков одного из наиболее действенных способов возврата неотработанных авансов при срыве сроков строительства по вине подрядчиков.</w:t>
      </w:r>
    </w:p>
    <w:p w14:paraId="57578C30" w14:textId="1D569E1A"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Условиями контрактов на проектирование и строительство котельных предусмотрено двухэтапное выполнение работ (таблица </w:t>
      </w:r>
      <w:r w:rsidR="00FA35E7" w:rsidRPr="00FD7B0B">
        <w:rPr>
          <w:rFonts w:ascii="Times New Roman" w:hAnsi="Times New Roman"/>
          <w:sz w:val="28"/>
          <w:szCs w:val="28"/>
        </w:rPr>
        <w:t>246</w:t>
      </w:r>
      <w:r w:rsidRPr="00FD7B0B">
        <w:rPr>
          <w:rFonts w:ascii="Times New Roman" w:hAnsi="Times New Roman"/>
          <w:sz w:val="28"/>
          <w:szCs w:val="28"/>
        </w:rPr>
        <w:t>).</w:t>
      </w:r>
    </w:p>
    <w:p w14:paraId="54A9EFF8" w14:textId="77777777" w:rsidR="00FB240D" w:rsidRPr="00FD7B0B" w:rsidRDefault="00FB240D" w:rsidP="00FB240D">
      <w:pPr>
        <w:spacing w:after="0" w:line="240" w:lineRule="auto"/>
        <w:ind w:firstLine="709"/>
        <w:jc w:val="both"/>
        <w:rPr>
          <w:rFonts w:ascii="Times New Roman" w:hAnsi="Times New Roman"/>
          <w:sz w:val="28"/>
          <w:szCs w:val="28"/>
          <w:highlight w:val="cyan"/>
        </w:rPr>
      </w:pPr>
    </w:p>
    <w:p w14:paraId="1667D177" w14:textId="77777777" w:rsidR="00FB240D" w:rsidRPr="00FD7B0B" w:rsidRDefault="00FB240D" w:rsidP="00FB240D">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246</w:t>
      </w:r>
      <w:r w:rsidRPr="00FD7B0B">
        <w:rPr>
          <w:rFonts w:ascii="Times New Roman" w:hAnsi="Times New Roman"/>
          <w:b w:val="0"/>
          <w:sz w:val="24"/>
          <w:szCs w:val="24"/>
        </w:rPr>
        <w:fldChar w:fldCharType="end"/>
      </w:r>
      <w:r w:rsidRPr="00FD7B0B">
        <w:rPr>
          <w:rFonts w:ascii="Times New Roman" w:hAnsi="Times New Roman"/>
          <w:b w:val="0"/>
          <w:sz w:val="24"/>
          <w:szCs w:val="24"/>
        </w:rPr>
        <w:t>. Информация о контрактных сроках окончания работ по проектированию и строительству котельных</w:t>
      </w:r>
    </w:p>
    <w:tbl>
      <w:tblPr>
        <w:tblW w:w="4995"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679"/>
        <w:gridCol w:w="1969"/>
        <w:gridCol w:w="1491"/>
        <w:gridCol w:w="1088"/>
        <w:gridCol w:w="1026"/>
        <w:gridCol w:w="1344"/>
      </w:tblGrid>
      <w:tr w:rsidR="00FD7B0B" w:rsidRPr="00FD7B0B" w14:paraId="3FD96A4F" w14:textId="77777777" w:rsidTr="00C02008">
        <w:trPr>
          <w:trHeight w:val="300"/>
          <w:tblHeader/>
        </w:trPr>
        <w:tc>
          <w:tcPr>
            <w:tcW w:w="1396" w:type="pct"/>
            <w:vMerge w:val="restart"/>
          </w:tcPr>
          <w:p w14:paraId="27DB89F0"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Объект капитального строительства</w:t>
            </w:r>
          </w:p>
        </w:tc>
        <w:tc>
          <w:tcPr>
            <w:tcW w:w="1026" w:type="pct"/>
            <w:vMerge w:val="restart"/>
          </w:tcPr>
          <w:p w14:paraId="2C478F82"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Дата, номер контракта</w:t>
            </w:r>
          </w:p>
        </w:tc>
        <w:tc>
          <w:tcPr>
            <w:tcW w:w="777" w:type="pct"/>
            <w:vMerge w:val="restart"/>
          </w:tcPr>
          <w:p w14:paraId="50594777"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Заказчик</w:t>
            </w:r>
          </w:p>
        </w:tc>
        <w:tc>
          <w:tcPr>
            <w:tcW w:w="567" w:type="pct"/>
            <w:vMerge w:val="restart"/>
          </w:tcPr>
          <w:p w14:paraId="0C1786E3"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Подрядчик</w:t>
            </w:r>
          </w:p>
        </w:tc>
        <w:tc>
          <w:tcPr>
            <w:tcW w:w="1234" w:type="pct"/>
            <w:gridSpan w:val="2"/>
          </w:tcPr>
          <w:p w14:paraId="7D9E6018"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Сроки окончания работ по этапам (в т.ч. по условиям допсоглашений)</w:t>
            </w:r>
          </w:p>
        </w:tc>
      </w:tr>
      <w:tr w:rsidR="00FD7B0B" w:rsidRPr="00FD7B0B" w14:paraId="482734C3" w14:textId="77777777" w:rsidTr="00C02008">
        <w:trPr>
          <w:trHeight w:val="300"/>
          <w:tblHeader/>
        </w:trPr>
        <w:tc>
          <w:tcPr>
            <w:tcW w:w="1396" w:type="pct"/>
            <w:vMerge/>
          </w:tcPr>
          <w:p w14:paraId="12D040A1" w14:textId="77777777" w:rsidR="00FB240D" w:rsidRPr="00FD7B0B" w:rsidRDefault="00FB240D" w:rsidP="00FB240D">
            <w:pPr>
              <w:spacing w:after="0" w:line="240" w:lineRule="auto"/>
              <w:jc w:val="center"/>
              <w:rPr>
                <w:rFonts w:ascii="Times New Roman" w:hAnsi="Times New Roman"/>
                <w:sz w:val="18"/>
                <w:szCs w:val="18"/>
              </w:rPr>
            </w:pPr>
          </w:p>
        </w:tc>
        <w:tc>
          <w:tcPr>
            <w:tcW w:w="1026" w:type="pct"/>
            <w:vMerge/>
          </w:tcPr>
          <w:p w14:paraId="5A4C117D" w14:textId="77777777" w:rsidR="00FB240D" w:rsidRPr="00FD7B0B" w:rsidRDefault="00FB240D" w:rsidP="00FB240D">
            <w:pPr>
              <w:spacing w:after="0" w:line="240" w:lineRule="auto"/>
              <w:jc w:val="center"/>
              <w:rPr>
                <w:rFonts w:ascii="Times New Roman" w:hAnsi="Times New Roman"/>
                <w:sz w:val="18"/>
                <w:szCs w:val="18"/>
              </w:rPr>
            </w:pPr>
          </w:p>
        </w:tc>
        <w:tc>
          <w:tcPr>
            <w:tcW w:w="777" w:type="pct"/>
            <w:vMerge/>
          </w:tcPr>
          <w:p w14:paraId="3347E0AC" w14:textId="77777777" w:rsidR="00FB240D" w:rsidRPr="00FD7B0B" w:rsidRDefault="00FB240D" w:rsidP="00FB240D">
            <w:pPr>
              <w:spacing w:after="0" w:line="240" w:lineRule="auto"/>
              <w:jc w:val="center"/>
              <w:rPr>
                <w:rFonts w:ascii="Times New Roman" w:hAnsi="Times New Roman"/>
                <w:sz w:val="18"/>
                <w:szCs w:val="18"/>
              </w:rPr>
            </w:pPr>
          </w:p>
        </w:tc>
        <w:tc>
          <w:tcPr>
            <w:tcW w:w="567" w:type="pct"/>
            <w:vMerge/>
          </w:tcPr>
          <w:p w14:paraId="6782EE6A" w14:textId="77777777" w:rsidR="00FB240D" w:rsidRPr="00FD7B0B" w:rsidRDefault="00FB240D" w:rsidP="00FB240D">
            <w:pPr>
              <w:spacing w:after="0" w:line="240" w:lineRule="auto"/>
              <w:jc w:val="center"/>
              <w:rPr>
                <w:rFonts w:ascii="Times New Roman" w:hAnsi="Times New Roman"/>
                <w:sz w:val="18"/>
                <w:szCs w:val="18"/>
              </w:rPr>
            </w:pPr>
          </w:p>
        </w:tc>
        <w:tc>
          <w:tcPr>
            <w:tcW w:w="534" w:type="pct"/>
          </w:tcPr>
          <w:p w14:paraId="250140B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1 этап - проект</w:t>
            </w:r>
          </w:p>
        </w:tc>
        <w:tc>
          <w:tcPr>
            <w:tcW w:w="700" w:type="pct"/>
          </w:tcPr>
          <w:p w14:paraId="3C1D392D"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2 этап - строительство</w:t>
            </w:r>
          </w:p>
        </w:tc>
      </w:tr>
      <w:tr w:rsidR="00FD7B0B" w:rsidRPr="00FD7B0B" w14:paraId="17490D65" w14:textId="77777777" w:rsidTr="00C02008">
        <w:trPr>
          <w:trHeight w:val="144"/>
        </w:trPr>
        <w:tc>
          <w:tcPr>
            <w:tcW w:w="1396" w:type="pct"/>
          </w:tcPr>
          <w:p w14:paraId="231FE646"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Проектирование и строительство котельной по адресу: г. Архангельск, ул. Постышева</w:t>
            </w:r>
          </w:p>
        </w:tc>
        <w:tc>
          <w:tcPr>
            <w:tcW w:w="1026" w:type="pct"/>
          </w:tcPr>
          <w:p w14:paraId="19D1BF35"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 xml:space="preserve">04.04.2024 № 24001022 </w:t>
            </w:r>
          </w:p>
        </w:tc>
        <w:tc>
          <w:tcPr>
            <w:tcW w:w="777" w:type="pct"/>
          </w:tcPr>
          <w:p w14:paraId="1EA11B70"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ДТС Администрации ГО «Город Архангельск»</w:t>
            </w:r>
          </w:p>
        </w:tc>
        <w:tc>
          <w:tcPr>
            <w:tcW w:w="567" w:type="pct"/>
          </w:tcPr>
          <w:p w14:paraId="25A66098"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«Регион-лес»</w:t>
            </w:r>
          </w:p>
        </w:tc>
        <w:tc>
          <w:tcPr>
            <w:tcW w:w="534" w:type="pct"/>
            <w:vAlign w:val="center"/>
          </w:tcPr>
          <w:p w14:paraId="7AD476F0"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01.07.2024</w:t>
            </w:r>
          </w:p>
        </w:tc>
        <w:tc>
          <w:tcPr>
            <w:tcW w:w="700" w:type="pct"/>
            <w:vAlign w:val="center"/>
          </w:tcPr>
          <w:p w14:paraId="43E3DF95"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29.07.2025</w:t>
            </w:r>
          </w:p>
          <w:p w14:paraId="18051D7D"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 xml:space="preserve">(срок перенесен с 31.12.2024) </w:t>
            </w:r>
          </w:p>
        </w:tc>
      </w:tr>
      <w:tr w:rsidR="00FD7B0B" w:rsidRPr="00FD7B0B" w14:paraId="7E607D3B" w14:textId="77777777" w:rsidTr="00C02008">
        <w:trPr>
          <w:trHeight w:val="217"/>
        </w:trPr>
        <w:tc>
          <w:tcPr>
            <w:tcW w:w="1396" w:type="pct"/>
          </w:tcPr>
          <w:p w14:paraId="68938C05"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Проектирование и строительство котельной по адресу: г. Архангельск, ул. Лермонтова, д. 23, стр. 24</w:t>
            </w:r>
          </w:p>
        </w:tc>
        <w:tc>
          <w:tcPr>
            <w:tcW w:w="1026" w:type="pct"/>
          </w:tcPr>
          <w:p w14:paraId="7F6F7BB9" w14:textId="77777777" w:rsidR="00FB240D" w:rsidRPr="00FD7B0B" w:rsidRDefault="00FB240D" w:rsidP="00FB240D">
            <w:pPr>
              <w:spacing w:after="0" w:line="240" w:lineRule="auto"/>
              <w:ind w:firstLine="426"/>
              <w:jc w:val="center"/>
              <w:rPr>
                <w:rFonts w:ascii="Times New Roman" w:hAnsi="Times New Roman"/>
                <w:sz w:val="18"/>
                <w:szCs w:val="18"/>
              </w:rPr>
            </w:pPr>
          </w:p>
          <w:p w14:paraId="72EA553A" w14:textId="77777777" w:rsidR="00FB240D" w:rsidRPr="00FD7B0B" w:rsidRDefault="00FB240D" w:rsidP="00FB240D">
            <w:pPr>
              <w:spacing w:after="0" w:line="240" w:lineRule="auto"/>
              <w:ind w:firstLine="17"/>
              <w:jc w:val="center"/>
              <w:rPr>
                <w:rFonts w:ascii="Times New Roman" w:hAnsi="Times New Roman"/>
                <w:sz w:val="18"/>
                <w:szCs w:val="18"/>
              </w:rPr>
            </w:pPr>
            <w:r w:rsidRPr="00FD7B0B">
              <w:rPr>
                <w:rFonts w:ascii="Times New Roman" w:hAnsi="Times New Roman"/>
                <w:sz w:val="18"/>
                <w:szCs w:val="18"/>
              </w:rPr>
              <w:t>09.04.2024 № 24001112</w:t>
            </w:r>
          </w:p>
          <w:p w14:paraId="22D47700" w14:textId="77777777" w:rsidR="00FB240D" w:rsidRPr="00FD7B0B" w:rsidRDefault="00FB240D" w:rsidP="00FB240D">
            <w:pPr>
              <w:spacing w:after="0" w:line="240" w:lineRule="auto"/>
              <w:rPr>
                <w:rFonts w:ascii="Times New Roman" w:hAnsi="Times New Roman"/>
                <w:sz w:val="18"/>
                <w:szCs w:val="18"/>
              </w:rPr>
            </w:pPr>
          </w:p>
        </w:tc>
        <w:tc>
          <w:tcPr>
            <w:tcW w:w="777" w:type="pct"/>
          </w:tcPr>
          <w:p w14:paraId="4BE60840"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ДТС Администрации ГО «Город Архангельск»</w:t>
            </w:r>
          </w:p>
        </w:tc>
        <w:tc>
          <w:tcPr>
            <w:tcW w:w="567" w:type="pct"/>
          </w:tcPr>
          <w:p w14:paraId="52D76381"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«Сполохи-монтаж»</w:t>
            </w:r>
          </w:p>
        </w:tc>
        <w:tc>
          <w:tcPr>
            <w:tcW w:w="534" w:type="pct"/>
            <w:vAlign w:val="center"/>
          </w:tcPr>
          <w:p w14:paraId="2C11270D"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12.08.2024</w:t>
            </w:r>
          </w:p>
        </w:tc>
        <w:tc>
          <w:tcPr>
            <w:tcW w:w="700" w:type="pct"/>
            <w:vAlign w:val="center"/>
          </w:tcPr>
          <w:p w14:paraId="2913F9BC"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23.07.2025 (срок перенесен с 31.12.2024)</w:t>
            </w:r>
          </w:p>
        </w:tc>
      </w:tr>
      <w:tr w:rsidR="00FD7B0B" w:rsidRPr="00FD7B0B" w14:paraId="70DD83EF" w14:textId="77777777" w:rsidTr="00C02008">
        <w:trPr>
          <w:trHeight w:hRule="exact" w:val="820"/>
        </w:trPr>
        <w:tc>
          <w:tcPr>
            <w:tcW w:w="1396" w:type="pct"/>
          </w:tcPr>
          <w:p w14:paraId="56B13BC4" w14:textId="77777777" w:rsidR="00FB240D" w:rsidRPr="00FD7B0B" w:rsidRDefault="00FB240D" w:rsidP="00FB240D">
            <w:pPr>
              <w:spacing w:after="0" w:line="240" w:lineRule="auto"/>
              <w:rPr>
                <w:rFonts w:ascii="Times New Roman" w:hAnsi="Times New Roman"/>
                <w:bCs/>
                <w:sz w:val="18"/>
                <w:szCs w:val="18"/>
              </w:rPr>
            </w:pPr>
            <w:r w:rsidRPr="00FD7B0B">
              <w:rPr>
                <w:rFonts w:ascii="Times New Roman" w:hAnsi="Times New Roman"/>
                <w:sz w:val="18"/>
                <w:szCs w:val="18"/>
              </w:rPr>
              <w:t>Проектирование и строительство котельной по адресу: Плесецкий район, п. Строитель</w:t>
            </w:r>
          </w:p>
        </w:tc>
        <w:tc>
          <w:tcPr>
            <w:tcW w:w="1026" w:type="pct"/>
          </w:tcPr>
          <w:p w14:paraId="684EA771"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08.04.2024 № 23</w:t>
            </w:r>
          </w:p>
        </w:tc>
        <w:tc>
          <w:tcPr>
            <w:tcW w:w="777" w:type="pct"/>
          </w:tcPr>
          <w:p w14:paraId="2C7A80B4"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Администрация Плесецкого МО</w:t>
            </w:r>
          </w:p>
        </w:tc>
        <w:tc>
          <w:tcPr>
            <w:tcW w:w="567" w:type="pct"/>
          </w:tcPr>
          <w:p w14:paraId="72A84D62"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sz w:val="18"/>
                <w:szCs w:val="18"/>
              </w:rPr>
              <w:t>ООО «Сполохи-монтаж»</w:t>
            </w:r>
          </w:p>
        </w:tc>
        <w:tc>
          <w:tcPr>
            <w:tcW w:w="534" w:type="pct"/>
            <w:vAlign w:val="center"/>
          </w:tcPr>
          <w:p w14:paraId="3DAD9A31"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30.05.2024</w:t>
            </w:r>
          </w:p>
        </w:tc>
        <w:tc>
          <w:tcPr>
            <w:tcW w:w="700" w:type="pct"/>
            <w:vAlign w:val="center"/>
          </w:tcPr>
          <w:p w14:paraId="480131BA"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24.12.2024</w:t>
            </w:r>
          </w:p>
        </w:tc>
      </w:tr>
      <w:tr w:rsidR="00FD7B0B" w:rsidRPr="00FD7B0B" w14:paraId="20186AD6" w14:textId="77777777" w:rsidTr="00C02008">
        <w:trPr>
          <w:trHeight w:hRule="exact" w:val="871"/>
        </w:trPr>
        <w:tc>
          <w:tcPr>
            <w:tcW w:w="1396" w:type="pct"/>
          </w:tcPr>
          <w:p w14:paraId="7D1B6015"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Проектирование и строительство 3 котельных в Приморском районе</w:t>
            </w:r>
          </w:p>
        </w:tc>
        <w:tc>
          <w:tcPr>
            <w:tcW w:w="1026" w:type="pct"/>
          </w:tcPr>
          <w:p w14:paraId="1E41F400"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15.05.2024 № 0124200000624000951</w:t>
            </w:r>
          </w:p>
        </w:tc>
        <w:tc>
          <w:tcPr>
            <w:tcW w:w="777" w:type="pct"/>
          </w:tcPr>
          <w:p w14:paraId="633A6CE7"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МКУ «Управление по капитальному строительству»</w:t>
            </w:r>
          </w:p>
        </w:tc>
        <w:tc>
          <w:tcPr>
            <w:tcW w:w="567" w:type="pct"/>
          </w:tcPr>
          <w:p w14:paraId="5370D001"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«Регион-лес»</w:t>
            </w:r>
          </w:p>
        </w:tc>
        <w:tc>
          <w:tcPr>
            <w:tcW w:w="534" w:type="pct"/>
            <w:vAlign w:val="center"/>
          </w:tcPr>
          <w:p w14:paraId="29E89A65"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30.06.2024</w:t>
            </w:r>
          </w:p>
        </w:tc>
        <w:tc>
          <w:tcPr>
            <w:tcW w:w="700" w:type="pct"/>
            <w:vAlign w:val="center"/>
          </w:tcPr>
          <w:p w14:paraId="5B77DAF9"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01.12.2024</w:t>
            </w:r>
          </w:p>
        </w:tc>
      </w:tr>
      <w:tr w:rsidR="00FB240D" w:rsidRPr="00FD7B0B" w14:paraId="3AEA9EDF" w14:textId="77777777" w:rsidTr="00C02008">
        <w:trPr>
          <w:trHeight w:hRule="exact" w:val="675"/>
        </w:trPr>
        <w:tc>
          <w:tcPr>
            <w:tcW w:w="1396" w:type="pct"/>
          </w:tcPr>
          <w:p w14:paraId="63C74831" w14:textId="77777777" w:rsidR="00FB240D" w:rsidRPr="00FD7B0B" w:rsidRDefault="00FB240D" w:rsidP="00FB240D">
            <w:pPr>
              <w:spacing w:after="0" w:line="240" w:lineRule="auto"/>
              <w:rPr>
                <w:rFonts w:ascii="Times New Roman" w:hAnsi="Times New Roman"/>
                <w:sz w:val="18"/>
                <w:szCs w:val="18"/>
              </w:rPr>
            </w:pPr>
            <w:r w:rsidRPr="00FD7B0B">
              <w:rPr>
                <w:rFonts w:ascii="Times New Roman" w:hAnsi="Times New Roman"/>
                <w:sz w:val="18"/>
                <w:szCs w:val="18"/>
              </w:rPr>
              <w:t>Проектирование и строительство 14 котельных в Устьянском округе</w:t>
            </w:r>
          </w:p>
        </w:tc>
        <w:tc>
          <w:tcPr>
            <w:tcW w:w="1026" w:type="pct"/>
          </w:tcPr>
          <w:p w14:paraId="6F295F55"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25.04.2024 № 2024/414</w:t>
            </w:r>
          </w:p>
        </w:tc>
        <w:tc>
          <w:tcPr>
            <w:tcW w:w="777" w:type="pct"/>
          </w:tcPr>
          <w:p w14:paraId="213B306C" w14:textId="4D72953B"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Администрация Устьянского мун.</w:t>
            </w:r>
            <w:r w:rsidR="00352655" w:rsidRPr="00FD7B0B">
              <w:rPr>
                <w:rFonts w:ascii="Times New Roman" w:hAnsi="Times New Roman"/>
                <w:bCs/>
                <w:sz w:val="18"/>
                <w:szCs w:val="18"/>
              </w:rPr>
              <w:t xml:space="preserve"> </w:t>
            </w:r>
            <w:r w:rsidRPr="00FD7B0B">
              <w:rPr>
                <w:rFonts w:ascii="Times New Roman" w:hAnsi="Times New Roman"/>
                <w:bCs/>
                <w:sz w:val="18"/>
                <w:szCs w:val="18"/>
              </w:rPr>
              <w:t>округа</w:t>
            </w:r>
          </w:p>
        </w:tc>
        <w:tc>
          <w:tcPr>
            <w:tcW w:w="567" w:type="pct"/>
          </w:tcPr>
          <w:p w14:paraId="76BD727A" w14:textId="77777777" w:rsidR="00FB240D" w:rsidRPr="00FD7B0B" w:rsidRDefault="00FB240D" w:rsidP="00FB240D">
            <w:pPr>
              <w:spacing w:after="0" w:line="240" w:lineRule="auto"/>
              <w:jc w:val="center"/>
              <w:rPr>
                <w:rFonts w:ascii="Times New Roman" w:hAnsi="Times New Roman"/>
                <w:sz w:val="18"/>
                <w:szCs w:val="18"/>
              </w:rPr>
            </w:pPr>
            <w:r w:rsidRPr="00FD7B0B">
              <w:rPr>
                <w:rFonts w:ascii="Times New Roman" w:hAnsi="Times New Roman"/>
                <w:sz w:val="18"/>
                <w:szCs w:val="18"/>
              </w:rPr>
              <w:t>ООО «УСК»</w:t>
            </w:r>
          </w:p>
        </w:tc>
        <w:tc>
          <w:tcPr>
            <w:tcW w:w="534" w:type="pct"/>
            <w:vAlign w:val="center"/>
          </w:tcPr>
          <w:p w14:paraId="5CDDAAF4"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31.08.2024</w:t>
            </w:r>
          </w:p>
        </w:tc>
        <w:tc>
          <w:tcPr>
            <w:tcW w:w="700" w:type="pct"/>
            <w:vAlign w:val="center"/>
          </w:tcPr>
          <w:p w14:paraId="3EF43D90" w14:textId="77777777" w:rsidR="00FB240D" w:rsidRPr="00FD7B0B" w:rsidRDefault="00FB240D" w:rsidP="00FB240D">
            <w:pPr>
              <w:spacing w:after="0" w:line="240" w:lineRule="auto"/>
              <w:jc w:val="center"/>
              <w:rPr>
                <w:rFonts w:ascii="Times New Roman" w:hAnsi="Times New Roman"/>
                <w:bCs/>
                <w:sz w:val="18"/>
                <w:szCs w:val="18"/>
              </w:rPr>
            </w:pPr>
            <w:r w:rsidRPr="00FD7B0B">
              <w:rPr>
                <w:rFonts w:ascii="Times New Roman" w:hAnsi="Times New Roman"/>
                <w:bCs/>
                <w:sz w:val="18"/>
                <w:szCs w:val="18"/>
              </w:rPr>
              <w:t>30.12.2024</w:t>
            </w:r>
          </w:p>
        </w:tc>
      </w:tr>
    </w:tbl>
    <w:p w14:paraId="55DD9785" w14:textId="77777777" w:rsidR="00FB240D" w:rsidRPr="00FD7B0B" w:rsidRDefault="00FB240D" w:rsidP="00FB240D">
      <w:pPr>
        <w:spacing w:after="0" w:line="240" w:lineRule="auto"/>
        <w:ind w:firstLine="709"/>
        <w:jc w:val="both"/>
        <w:rPr>
          <w:rFonts w:ascii="Times New Roman" w:hAnsi="Times New Roman"/>
          <w:sz w:val="28"/>
          <w:szCs w:val="28"/>
        </w:rPr>
      </w:pPr>
    </w:p>
    <w:p w14:paraId="310AA03C"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данным ГИС ЕГРЗ по состоянию на 21.04.2025 получены положительные заключения госэкспертизы технической части проекта по котельным в г. Архангельске, п. Строитель и д. Дубровская Устьянского района. По остальным объектам заключения госэкспертизы не получены.</w:t>
      </w:r>
    </w:p>
    <w:p w14:paraId="7FB1EC3E" w14:textId="7AE585D5"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Положительные заключения достоверности определения сметной стоимости строительства не получе</w:t>
      </w:r>
      <w:r w:rsidR="00FC6C0F" w:rsidRPr="00FD7B0B">
        <w:rPr>
          <w:rFonts w:ascii="Times New Roman" w:hAnsi="Times New Roman"/>
          <w:sz w:val="28"/>
          <w:szCs w:val="28"/>
        </w:rPr>
        <w:t>ны ни по одному из объектов.</w:t>
      </w:r>
    </w:p>
    <w:p w14:paraId="67C10D8B" w14:textId="51C59CF3"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Согласно данным ЕИС в сфере закупок по состоянию на 21.04.2025 ни по одному из указанных в таблице 7 контрактов подрядчиками не предъявляются к оплате выполненные работы. При этом, работы по строительству котельных в г.</w:t>
      </w:r>
      <w:r w:rsidR="00FC6C0F" w:rsidRPr="00FD7B0B">
        <w:rPr>
          <w:rFonts w:ascii="Times New Roman" w:hAnsi="Times New Roman"/>
          <w:sz w:val="28"/>
          <w:szCs w:val="28"/>
        </w:rPr>
        <w:t> </w:t>
      </w:r>
      <w:r w:rsidRPr="00FD7B0B">
        <w:rPr>
          <w:rFonts w:ascii="Times New Roman" w:hAnsi="Times New Roman"/>
          <w:sz w:val="28"/>
          <w:szCs w:val="28"/>
        </w:rPr>
        <w:t>Архангельске, как это следует из информации, представленной заказчиком, фактически осуществляются.</w:t>
      </w:r>
    </w:p>
    <w:p w14:paraId="7431739F" w14:textId="77777777" w:rsidR="00FB240D" w:rsidRPr="00FD7B0B" w:rsidRDefault="00FB240D" w:rsidP="00FB240D">
      <w:pPr>
        <w:spacing w:after="0" w:line="240" w:lineRule="auto"/>
        <w:ind w:firstLine="709"/>
        <w:jc w:val="both"/>
        <w:rPr>
          <w:rFonts w:ascii="Times New Roman" w:hAnsi="Times New Roman"/>
          <w:sz w:val="28"/>
          <w:szCs w:val="28"/>
        </w:rPr>
      </w:pPr>
    </w:p>
    <w:p w14:paraId="282D8AB5" w14:textId="77777777" w:rsidR="00FB240D" w:rsidRPr="00FD7B0B" w:rsidRDefault="00FB240D" w:rsidP="00FB240D">
      <w:pPr>
        <w:spacing w:after="0" w:line="240" w:lineRule="auto"/>
        <w:rPr>
          <w:rFonts w:ascii="Times New Roman" w:hAnsi="Times New Roman"/>
          <w:sz w:val="28"/>
          <w:szCs w:val="28"/>
          <w:u w:val="single"/>
        </w:rPr>
      </w:pPr>
      <w:r w:rsidRPr="00FD7B0B">
        <w:rPr>
          <w:rFonts w:ascii="Times New Roman" w:hAnsi="Times New Roman"/>
          <w:sz w:val="28"/>
          <w:szCs w:val="28"/>
          <w:u w:val="single"/>
        </w:rPr>
        <w:t>6. ГП АО «Экономическое развитие и инвестиционная деятельность в Архангельской области»</w:t>
      </w:r>
    </w:p>
    <w:p w14:paraId="762F039D" w14:textId="3FD3D0B3"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Департаментом городского хозяйства администрации ГО «Город Архангельск» на основании ФЗ от 08.03.2022 № 46-ФЗ «О внесении изменений в отдельные законодательные акты Российской Федерации», постановления Правительства АО от 05.04.2022 № 204-пп «Об утверждении Порядка принятия решений и подготовки проектов распоряжений Правительства Архангельской области об осуществлении в 2022 и 2023 годах закупок товаров, работ, услуг у единственного поставщика (подрядчика, исполнителя) в целях обеспечения государственных нужд Архангельской области и муниципальных нужд муниципальных образований Архангельской области и порядка их осуществления», распоряжения Правительства АО от 29.06.2023 № 523-рп заключен мун.</w:t>
      </w:r>
      <w:r w:rsidR="00352655" w:rsidRPr="00FD7B0B">
        <w:rPr>
          <w:rFonts w:ascii="Times New Roman" w:hAnsi="Times New Roman"/>
          <w:sz w:val="28"/>
          <w:szCs w:val="28"/>
        </w:rPr>
        <w:t xml:space="preserve"> </w:t>
      </w:r>
      <w:r w:rsidRPr="00FD7B0B">
        <w:rPr>
          <w:rFonts w:ascii="Times New Roman" w:hAnsi="Times New Roman"/>
          <w:sz w:val="28"/>
          <w:szCs w:val="28"/>
        </w:rPr>
        <w:t>контракт от 29.06.2023 № 26-ГС/23 с единственным подрядчиком – ООО «Аркт</w:t>
      </w:r>
      <w:r w:rsidR="008B2C4B" w:rsidRPr="00FD7B0B">
        <w:rPr>
          <w:rFonts w:ascii="Times New Roman" w:hAnsi="Times New Roman"/>
          <w:sz w:val="28"/>
          <w:szCs w:val="28"/>
        </w:rPr>
        <w:t>ическая строительная компания».</w:t>
      </w:r>
    </w:p>
    <w:p w14:paraId="04AA9147"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lastRenderedPageBreak/>
        <w:t>Предметом контракта является выполнение работ по реконструкции пл. Профсоюзов в г. Архангельске. Срок окончания работ – не позднее 01.11.2026 года.</w:t>
      </w:r>
    </w:p>
    <w:p w14:paraId="1E94125C" w14:textId="60BD0450"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Первоначальная цена ко</w:t>
      </w:r>
      <w:r w:rsidR="008B2C4B" w:rsidRPr="00FD7B0B">
        <w:rPr>
          <w:rFonts w:ascii="Times New Roman" w:hAnsi="Times New Roman"/>
          <w:sz w:val="28"/>
          <w:szCs w:val="28"/>
        </w:rPr>
        <w:t>нтракта составляла 1 332,2 млн.</w:t>
      </w:r>
      <w:r w:rsidRPr="00FD7B0B">
        <w:rPr>
          <w:rFonts w:ascii="Times New Roman" w:hAnsi="Times New Roman"/>
          <w:sz w:val="28"/>
          <w:szCs w:val="28"/>
        </w:rPr>
        <w:t>руб., допсоглашением от 24.12.2024 № 8</w:t>
      </w:r>
      <w:r w:rsidR="008B2C4B" w:rsidRPr="00FD7B0B">
        <w:rPr>
          <w:rFonts w:ascii="Times New Roman" w:hAnsi="Times New Roman"/>
          <w:sz w:val="28"/>
          <w:szCs w:val="28"/>
        </w:rPr>
        <w:t xml:space="preserve"> цена увеличена до 1 786,2 млн.</w:t>
      </w:r>
      <w:r w:rsidRPr="00FD7B0B">
        <w:rPr>
          <w:rFonts w:ascii="Times New Roman" w:hAnsi="Times New Roman"/>
          <w:sz w:val="28"/>
          <w:szCs w:val="28"/>
        </w:rPr>
        <w:t>руб. (темп прироста 34,1</w:t>
      </w:r>
      <w:r w:rsidR="008B2C4B" w:rsidRPr="00FD7B0B">
        <w:rPr>
          <w:rFonts w:ascii="Times New Roman" w:hAnsi="Times New Roman"/>
          <w:sz w:val="28"/>
          <w:szCs w:val="28"/>
        </w:rPr>
        <w:t xml:space="preserve"> </w:t>
      </w:r>
      <w:r w:rsidRPr="00FD7B0B">
        <w:rPr>
          <w:rFonts w:ascii="Times New Roman" w:hAnsi="Times New Roman"/>
          <w:sz w:val="28"/>
          <w:szCs w:val="28"/>
        </w:rPr>
        <w:t>%).</w:t>
      </w:r>
    </w:p>
    <w:p w14:paraId="3191046D" w14:textId="4A55CFB4"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Условиями контракта предусмотрен аванс в сумме 507,3 </w:t>
      </w:r>
      <w:r w:rsidR="000560EB" w:rsidRPr="00FD7B0B">
        <w:rPr>
          <w:rFonts w:ascii="Times New Roman" w:hAnsi="Times New Roman"/>
          <w:sz w:val="28"/>
          <w:szCs w:val="28"/>
        </w:rPr>
        <w:t>млн.руб.</w:t>
      </w:r>
      <w:r w:rsidRPr="00FD7B0B">
        <w:rPr>
          <w:rFonts w:ascii="Times New Roman" w:hAnsi="Times New Roman"/>
          <w:sz w:val="28"/>
          <w:szCs w:val="28"/>
        </w:rPr>
        <w:t xml:space="preserve">, который перечислен подрядчику в полном объеме. В последствии в декабре 2024 года размер аванса увеличен до 802,4 </w:t>
      </w:r>
      <w:r w:rsidR="000560EB" w:rsidRPr="00FD7B0B">
        <w:rPr>
          <w:rFonts w:ascii="Times New Roman" w:hAnsi="Times New Roman"/>
          <w:sz w:val="28"/>
          <w:szCs w:val="28"/>
        </w:rPr>
        <w:t>млн.руб.</w:t>
      </w:r>
      <w:r w:rsidRPr="00FD7B0B">
        <w:rPr>
          <w:rFonts w:ascii="Times New Roman" w:hAnsi="Times New Roman"/>
          <w:sz w:val="28"/>
          <w:szCs w:val="28"/>
        </w:rPr>
        <w:t xml:space="preserve">  Авансовые платежи перечислены подрядчику в полном объеме. По состоянию на 21.04.2025 подрядчик не предъявлял к оплате выполненные работы.</w:t>
      </w:r>
    </w:p>
    <w:p w14:paraId="23639B7F"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Также следует отметить, что условиями контракта обеспечение исполнения обязательств не предусмотрено.</w:t>
      </w:r>
    </w:p>
    <w:p w14:paraId="3F511F11" w14:textId="4BDC985C"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Кроме того, Заказчиком 25.03.2024 заключен контракт № 1-ПФ/24 с ООО «АРКТИКТРАНСПРОЕКТ» на выполнение работ по корректировке проектно-сметной документации на реконструкцию пл. Профсоюзов в г. Архангельске, срок окончания работ – до 01.07.2024, </w:t>
      </w:r>
      <w:r w:rsidR="008B2C4B" w:rsidRPr="00FD7B0B">
        <w:rPr>
          <w:rFonts w:ascii="Times New Roman" w:hAnsi="Times New Roman"/>
          <w:sz w:val="28"/>
          <w:szCs w:val="28"/>
        </w:rPr>
        <w:t>цена контракта – 11,7 млн.руб.</w:t>
      </w:r>
    </w:p>
    <w:p w14:paraId="2621B767"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Результат работ по корректировке ПСД передан заказчику только 25.12.2024, просрочка составила 177 дней.</w:t>
      </w:r>
    </w:p>
    <w:p w14:paraId="7685B74B" w14:textId="77777777" w:rsidR="00FB240D" w:rsidRPr="00FD7B0B" w:rsidRDefault="00FB240D" w:rsidP="00FB240D">
      <w:pPr>
        <w:spacing w:after="0" w:line="240" w:lineRule="auto"/>
        <w:ind w:firstLine="709"/>
        <w:jc w:val="both"/>
      </w:pPr>
    </w:p>
    <w:p w14:paraId="02D5A007" w14:textId="77777777" w:rsidR="00FB240D" w:rsidRPr="00FD7B0B" w:rsidRDefault="00FB240D" w:rsidP="00FB240D">
      <w:pPr>
        <w:spacing w:after="0" w:line="240" w:lineRule="auto"/>
        <w:rPr>
          <w:rFonts w:ascii="Times New Roman" w:hAnsi="Times New Roman"/>
          <w:sz w:val="28"/>
          <w:szCs w:val="28"/>
          <w:u w:val="single"/>
        </w:rPr>
      </w:pPr>
      <w:r w:rsidRPr="00FD7B0B">
        <w:rPr>
          <w:rFonts w:ascii="Times New Roman" w:hAnsi="Times New Roman"/>
          <w:sz w:val="28"/>
          <w:szCs w:val="28"/>
          <w:u w:val="single"/>
        </w:rPr>
        <w:t>7. ГП АО «Развитие транспортной системы Архангельской области»</w:t>
      </w:r>
    </w:p>
    <w:p w14:paraId="5868CFAF"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объекту «Проектирование и строительство автомобильной дороги по ул. Карпогорской от ул. Октябрят до просп. Московского в городе Архангельск» заключен муниципальный контракт от 24.07.2023 № 23004401 между департаментом транспорта, строительства и городской инфраструктуры администрации ГО «Город Архангельск» и ООО «Севзапдорстрой».</w:t>
      </w:r>
    </w:p>
    <w:p w14:paraId="47F44DAF" w14:textId="22CBA691"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Изначально цена контракта составляла 855,4 млн</w:t>
      </w:r>
      <w:r w:rsidR="008B2C4B" w:rsidRPr="00FD7B0B">
        <w:rPr>
          <w:rFonts w:ascii="Times New Roman" w:hAnsi="Times New Roman"/>
          <w:sz w:val="28"/>
          <w:szCs w:val="28"/>
        </w:rPr>
        <w:t>.</w:t>
      </w:r>
      <w:r w:rsidRPr="00FD7B0B">
        <w:rPr>
          <w:rFonts w:ascii="Times New Roman" w:hAnsi="Times New Roman"/>
          <w:sz w:val="28"/>
          <w:szCs w:val="28"/>
        </w:rPr>
        <w:t xml:space="preserve">руб., допсоглашением от 25.03.2025 № </w:t>
      </w:r>
      <w:r w:rsidR="008B2C4B" w:rsidRPr="00FD7B0B">
        <w:rPr>
          <w:rFonts w:ascii="Times New Roman" w:hAnsi="Times New Roman"/>
          <w:sz w:val="28"/>
          <w:szCs w:val="28"/>
        </w:rPr>
        <w:t>10 цена увеличена до 873,8 млн.</w:t>
      </w:r>
      <w:r w:rsidRPr="00FD7B0B">
        <w:rPr>
          <w:rFonts w:ascii="Times New Roman" w:hAnsi="Times New Roman"/>
          <w:sz w:val="28"/>
          <w:szCs w:val="28"/>
        </w:rPr>
        <w:t>руб.</w:t>
      </w:r>
    </w:p>
    <w:p w14:paraId="02550CA4" w14:textId="18B231F6"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условиям доп. соглашений к контракту размер аванса увеличен с 20 до</w:t>
      </w:r>
      <w:r w:rsidR="008B2C4B" w:rsidRPr="00FD7B0B">
        <w:rPr>
          <w:rFonts w:ascii="Times New Roman" w:hAnsi="Times New Roman"/>
          <w:sz w:val="28"/>
          <w:szCs w:val="28"/>
        </w:rPr>
        <w:t xml:space="preserve"> 50 % (т.е. до 410,1 млн.руб.).</w:t>
      </w:r>
    </w:p>
    <w:p w14:paraId="13D2AFCB"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Выполнение работ предусмотрено в 2 этапа: проектирование – до 15.12.2023, строительство и ввод объекта в эксплуатацию – до 15.11.2025.</w:t>
      </w:r>
    </w:p>
    <w:p w14:paraId="14AECBC7"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Согласно данным ЕИС в сфере закупок по состоянию на 21.04.2025 подрядчику выплачен аванс в сумме 191,1 млн.руб., однако им нарушены сроки окончания работ по 1 этапу и по состоянию на указанную дату проектирование строительства не завершено, просрочка составляет 493 дня, работы по строительству объекта заказчику не предъявляются.</w:t>
      </w:r>
    </w:p>
    <w:p w14:paraId="095715A5" w14:textId="77777777" w:rsidR="00FB240D" w:rsidRPr="00FD7B0B" w:rsidRDefault="00FB240D" w:rsidP="00FB240D">
      <w:pPr>
        <w:spacing w:after="0" w:line="240" w:lineRule="auto"/>
        <w:ind w:firstLine="709"/>
        <w:jc w:val="both"/>
        <w:rPr>
          <w:rFonts w:ascii="Times New Roman" w:hAnsi="Times New Roman"/>
          <w:sz w:val="28"/>
          <w:szCs w:val="28"/>
          <w:u w:val="single"/>
        </w:rPr>
      </w:pPr>
    </w:p>
    <w:p w14:paraId="40EBB19B" w14:textId="77777777" w:rsidR="00C02008" w:rsidRPr="00FD7B0B" w:rsidRDefault="00C02008" w:rsidP="00C02008">
      <w:pPr>
        <w:spacing w:after="0" w:line="240" w:lineRule="auto"/>
        <w:ind w:firstLine="709"/>
        <w:jc w:val="both"/>
        <w:rPr>
          <w:rFonts w:ascii="Times New Roman" w:hAnsi="Times New Roman"/>
          <w:b/>
          <w:sz w:val="28"/>
          <w:szCs w:val="28"/>
        </w:rPr>
      </w:pPr>
      <w:r w:rsidRPr="00FD7B0B">
        <w:rPr>
          <w:rFonts w:ascii="Times New Roman" w:hAnsi="Times New Roman"/>
          <w:b/>
          <w:sz w:val="28"/>
          <w:szCs w:val="28"/>
        </w:rPr>
        <w:t>Анализ исполнения ОАИП за 2024 год показал следующее.</w:t>
      </w:r>
    </w:p>
    <w:p w14:paraId="510BCD4F"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1. Показатели исполнения по мероприятиям ОАИП связаны с выплатой авансов подрядным организациям, размеры аванса достигают 50 - 70 %. Фактически, показатели отчета об исполнении ОАИП завязаны на кассовое исполнение бюджета и не свидетельствуют об объемах работ, выполненных подрядчиками.</w:t>
      </w:r>
    </w:p>
    <w:p w14:paraId="4CD0353A"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lastRenderedPageBreak/>
        <w:t>2. КСП АО неоднократно обращала внимание на то, что существует и продолжает развиваться негативная практика перечисления авансовых платежей, существенно превышающих потенциально необходимые суммы с учетом объемов фактически выполненных работ и перспектив хода строительства. Несмотря на то, что подрядчики допускают просрочки исполнения контрактов, свидетельствующие о наличии рисков их неисполнения, заказчики, в дополнение к ранее перечисленным авансам, продолжают перечислять подрядчикам авансовые платежи.</w:t>
      </w:r>
    </w:p>
    <w:p w14:paraId="6A96D0A1"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Действия заказчиков, связанные с увеличением размеров авансовых платежей при неизменном размере обеспечения исполнения контрактов, как действенного инструмента восстановления интересов заказчика, создают прямую угрозу возникновения ущерба бюджету Архангельской области.</w:t>
      </w:r>
    </w:p>
    <w:p w14:paraId="36CE932B"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Также следует отметить, что ряд заказчиков не устанавливают в контрактах условия, связанные с обеспечением их исполнения, что в дальнейшем лишает возможности обратить взыскание по начисленным пеням (штрафам) и неотработанным суммам авансовых платежей на предоставленные в обеспечение денежные средства либо к банку-гаранту.</w:t>
      </w:r>
    </w:p>
    <w:p w14:paraId="2DF0BAEE"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результате принятия заказчиками не взвешенных всесторонним образом решений по перечислению подрядчикам авансовых платежей в размерах, соответствующих половине стоимости контракта, возникают предпосылки к образованию значительных объемов просроченной дебиторской задолженности, по сути, имеющей все предпосылки перейти в разряд невозвратной, что идет в разрез интересам бюджета.</w:t>
      </w:r>
    </w:p>
    <w:p w14:paraId="073FFBEE" w14:textId="0C09A26F"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 по состоянию на 21.04.2025 не возвращен в бюджет неотработанный подрядчиками аванс в размере 403,8 млн руб. по следующим объектам (таблица</w:t>
      </w:r>
      <w:r w:rsidR="00FA35E7" w:rsidRPr="00FD7B0B">
        <w:rPr>
          <w:rFonts w:ascii="Times New Roman" w:hAnsi="Times New Roman"/>
          <w:sz w:val="28"/>
          <w:szCs w:val="28"/>
        </w:rPr>
        <w:t> 247</w:t>
      </w:r>
      <w:r w:rsidRPr="00FD7B0B">
        <w:rPr>
          <w:rFonts w:ascii="Times New Roman" w:hAnsi="Times New Roman"/>
          <w:sz w:val="28"/>
          <w:szCs w:val="28"/>
        </w:rPr>
        <w:t>):</w:t>
      </w:r>
    </w:p>
    <w:p w14:paraId="3CB0872B" w14:textId="77777777" w:rsidR="00FB240D" w:rsidRPr="00FD7B0B" w:rsidRDefault="00FB240D" w:rsidP="00FB240D">
      <w:pPr>
        <w:spacing w:after="0" w:line="240" w:lineRule="auto"/>
        <w:ind w:firstLine="709"/>
        <w:jc w:val="both"/>
        <w:rPr>
          <w:rFonts w:ascii="Times New Roman" w:hAnsi="Times New Roman"/>
          <w:sz w:val="24"/>
          <w:szCs w:val="24"/>
        </w:rPr>
      </w:pPr>
    </w:p>
    <w:p w14:paraId="5B3E4ED1" w14:textId="6A9E24D5" w:rsidR="00FB240D" w:rsidRPr="00FD7B0B" w:rsidRDefault="00FB240D" w:rsidP="00FB240D">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247</w:t>
      </w:r>
      <w:r w:rsidRPr="00FD7B0B">
        <w:rPr>
          <w:rFonts w:ascii="Times New Roman" w:hAnsi="Times New Roman"/>
          <w:b w:val="0"/>
          <w:sz w:val="24"/>
          <w:szCs w:val="24"/>
        </w:rPr>
        <w:fldChar w:fldCharType="end"/>
      </w:r>
      <w:r w:rsidRPr="00FD7B0B">
        <w:rPr>
          <w:rFonts w:ascii="Times New Roman" w:hAnsi="Times New Roman"/>
          <w:b w:val="0"/>
          <w:sz w:val="24"/>
          <w:szCs w:val="24"/>
        </w:rPr>
        <w:t>. Информация о размерах сумм неотработанных подрядчиками авансов по контрактам, расторгнутым в 2023</w:t>
      </w:r>
      <w:r w:rsidR="00FA35E7" w:rsidRPr="00FD7B0B">
        <w:rPr>
          <w:rFonts w:ascii="Times New Roman" w:hAnsi="Times New Roman"/>
          <w:b w:val="0"/>
          <w:sz w:val="24"/>
          <w:szCs w:val="24"/>
        </w:rPr>
        <w:t xml:space="preserve"> – </w:t>
      </w:r>
      <w:r w:rsidRPr="00FD7B0B">
        <w:rPr>
          <w:rFonts w:ascii="Times New Roman" w:hAnsi="Times New Roman"/>
          <w:b w:val="0"/>
          <w:sz w:val="24"/>
          <w:szCs w:val="24"/>
        </w:rPr>
        <w:t>2024 годах</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939"/>
        <w:gridCol w:w="1919"/>
        <w:gridCol w:w="1116"/>
        <w:gridCol w:w="1350"/>
        <w:gridCol w:w="1283"/>
      </w:tblGrid>
      <w:tr w:rsidR="00FD7B0B" w:rsidRPr="00FD7B0B" w14:paraId="59023505" w14:textId="77777777" w:rsidTr="00A85FB6">
        <w:trPr>
          <w:tblHeader/>
        </w:trPr>
        <w:tc>
          <w:tcPr>
            <w:tcW w:w="2053" w:type="pct"/>
            <w:tcBorders>
              <w:top w:val="double" w:sz="4" w:space="0" w:color="auto"/>
              <w:left w:val="double" w:sz="4" w:space="0" w:color="auto"/>
              <w:bottom w:val="single" w:sz="4" w:space="0" w:color="auto"/>
              <w:right w:val="single" w:sz="4" w:space="0" w:color="auto"/>
            </w:tcBorders>
            <w:hideMark/>
          </w:tcPr>
          <w:p w14:paraId="00628BBC" w14:textId="77777777" w:rsidR="00FB240D" w:rsidRPr="00FD7B0B" w:rsidRDefault="00FB240D" w:rsidP="006B7DB2">
            <w:pPr>
              <w:jc w:val="center"/>
              <w:rPr>
                <w:rFonts w:ascii="Times New Roman" w:hAnsi="Times New Roman"/>
              </w:rPr>
            </w:pPr>
            <w:r w:rsidRPr="00FD7B0B">
              <w:rPr>
                <w:rFonts w:ascii="Times New Roman" w:hAnsi="Times New Roman"/>
              </w:rPr>
              <w:t>Объект</w:t>
            </w:r>
          </w:p>
        </w:tc>
        <w:tc>
          <w:tcPr>
            <w:tcW w:w="1002" w:type="pct"/>
            <w:tcBorders>
              <w:top w:val="double" w:sz="4" w:space="0" w:color="auto"/>
              <w:left w:val="single" w:sz="4" w:space="0" w:color="auto"/>
              <w:bottom w:val="single" w:sz="4" w:space="0" w:color="auto"/>
              <w:right w:val="single" w:sz="4" w:space="0" w:color="auto"/>
            </w:tcBorders>
            <w:hideMark/>
          </w:tcPr>
          <w:p w14:paraId="5F975CAC" w14:textId="77777777" w:rsidR="00FB240D" w:rsidRPr="00FD7B0B" w:rsidRDefault="00FB240D" w:rsidP="006B7DB2">
            <w:pPr>
              <w:jc w:val="center"/>
              <w:rPr>
                <w:rFonts w:ascii="Times New Roman" w:hAnsi="Times New Roman"/>
              </w:rPr>
            </w:pPr>
            <w:r w:rsidRPr="00FD7B0B">
              <w:rPr>
                <w:rFonts w:ascii="Times New Roman" w:hAnsi="Times New Roman"/>
              </w:rPr>
              <w:t>Подрядчик</w:t>
            </w:r>
          </w:p>
        </w:tc>
        <w:tc>
          <w:tcPr>
            <w:tcW w:w="577" w:type="pct"/>
            <w:tcBorders>
              <w:top w:val="double" w:sz="4" w:space="0" w:color="auto"/>
              <w:left w:val="single" w:sz="4" w:space="0" w:color="auto"/>
              <w:bottom w:val="single" w:sz="4" w:space="0" w:color="auto"/>
              <w:right w:val="single" w:sz="4" w:space="0" w:color="auto"/>
            </w:tcBorders>
            <w:hideMark/>
          </w:tcPr>
          <w:p w14:paraId="4CCB2739" w14:textId="77777777" w:rsidR="00FB240D" w:rsidRPr="00FD7B0B" w:rsidRDefault="00FB240D" w:rsidP="006B7DB2">
            <w:pPr>
              <w:jc w:val="center"/>
              <w:rPr>
                <w:rFonts w:ascii="Times New Roman" w:hAnsi="Times New Roman"/>
              </w:rPr>
            </w:pPr>
            <w:r w:rsidRPr="00FD7B0B">
              <w:rPr>
                <w:rFonts w:ascii="Times New Roman" w:hAnsi="Times New Roman"/>
              </w:rPr>
              <w:t>Дата расторже-ния контракта</w:t>
            </w:r>
          </w:p>
        </w:tc>
        <w:tc>
          <w:tcPr>
            <w:tcW w:w="697" w:type="pct"/>
            <w:tcBorders>
              <w:top w:val="double" w:sz="4" w:space="0" w:color="auto"/>
              <w:left w:val="single" w:sz="4" w:space="0" w:color="auto"/>
              <w:bottom w:val="single" w:sz="4" w:space="0" w:color="auto"/>
              <w:right w:val="single" w:sz="4" w:space="0" w:color="auto"/>
            </w:tcBorders>
            <w:hideMark/>
          </w:tcPr>
          <w:p w14:paraId="28AC9DC9" w14:textId="01AD9D55" w:rsidR="00FB240D" w:rsidRPr="00FD7B0B" w:rsidRDefault="00FB240D" w:rsidP="00A85FB6">
            <w:pPr>
              <w:jc w:val="center"/>
              <w:rPr>
                <w:rFonts w:ascii="Times New Roman" w:hAnsi="Times New Roman"/>
              </w:rPr>
            </w:pPr>
            <w:r w:rsidRPr="00FD7B0B">
              <w:rPr>
                <w:rFonts w:ascii="Times New Roman" w:hAnsi="Times New Roman"/>
              </w:rPr>
              <w:t>Сумма неотработан-ного подрядчиком аванса, млн.руб.</w:t>
            </w:r>
          </w:p>
        </w:tc>
        <w:tc>
          <w:tcPr>
            <w:tcW w:w="672" w:type="pct"/>
            <w:tcBorders>
              <w:top w:val="double" w:sz="4" w:space="0" w:color="auto"/>
              <w:left w:val="single" w:sz="4" w:space="0" w:color="auto"/>
              <w:bottom w:val="single" w:sz="4" w:space="0" w:color="auto"/>
              <w:right w:val="double" w:sz="4" w:space="0" w:color="auto"/>
            </w:tcBorders>
            <w:hideMark/>
          </w:tcPr>
          <w:p w14:paraId="012DE6F7" w14:textId="77777777" w:rsidR="00FB240D" w:rsidRPr="00FD7B0B" w:rsidRDefault="00FB240D" w:rsidP="006B7DB2">
            <w:pPr>
              <w:jc w:val="center"/>
              <w:rPr>
                <w:rFonts w:ascii="Times New Roman" w:hAnsi="Times New Roman"/>
              </w:rPr>
            </w:pPr>
            <w:r w:rsidRPr="00FD7B0B">
              <w:rPr>
                <w:rFonts w:ascii="Times New Roman" w:hAnsi="Times New Roman"/>
              </w:rPr>
              <w:t>Примечание</w:t>
            </w:r>
          </w:p>
        </w:tc>
      </w:tr>
      <w:tr w:rsidR="00FD7B0B" w:rsidRPr="00FD7B0B" w14:paraId="026E7085" w14:textId="77777777" w:rsidTr="00A85FB6">
        <w:tc>
          <w:tcPr>
            <w:tcW w:w="2053" w:type="pct"/>
            <w:tcBorders>
              <w:top w:val="single" w:sz="4" w:space="0" w:color="auto"/>
              <w:left w:val="double" w:sz="4" w:space="0" w:color="auto"/>
              <w:bottom w:val="single" w:sz="4" w:space="0" w:color="auto"/>
              <w:right w:val="single" w:sz="4" w:space="0" w:color="auto"/>
            </w:tcBorders>
            <w:hideMark/>
          </w:tcPr>
          <w:p w14:paraId="44B8EFDD" w14:textId="77777777" w:rsidR="00FB240D" w:rsidRPr="00FD7B0B" w:rsidRDefault="00FB240D" w:rsidP="006B7DB2">
            <w:pPr>
              <w:rPr>
                <w:rFonts w:ascii="Times New Roman" w:hAnsi="Times New Roman"/>
              </w:rPr>
            </w:pPr>
            <w:r w:rsidRPr="00FD7B0B">
              <w:rPr>
                <w:rFonts w:ascii="Times New Roman" w:hAnsi="Times New Roman"/>
              </w:rPr>
              <w:t>Строительство средней общеобразовательной школы на 240 мест в поселке Оксовский Плесецкого района Архангельской области</w:t>
            </w:r>
          </w:p>
        </w:tc>
        <w:tc>
          <w:tcPr>
            <w:tcW w:w="1002" w:type="pct"/>
            <w:tcBorders>
              <w:top w:val="single" w:sz="4" w:space="0" w:color="auto"/>
              <w:left w:val="single" w:sz="4" w:space="0" w:color="auto"/>
              <w:bottom w:val="single" w:sz="4" w:space="0" w:color="auto"/>
              <w:right w:val="single" w:sz="4" w:space="0" w:color="auto"/>
            </w:tcBorders>
            <w:hideMark/>
          </w:tcPr>
          <w:p w14:paraId="05D6B792" w14:textId="77777777" w:rsidR="00FB240D" w:rsidRPr="00FD7B0B" w:rsidRDefault="00FB240D" w:rsidP="00FB240D">
            <w:pPr>
              <w:jc w:val="both"/>
              <w:rPr>
                <w:rFonts w:ascii="Times New Roman" w:hAnsi="Times New Roman"/>
              </w:rPr>
            </w:pPr>
            <w:r w:rsidRPr="00FD7B0B">
              <w:rPr>
                <w:rStyle w:val="sectioninfo"/>
                <w:rFonts w:ascii="Times New Roman" w:hAnsi="Times New Roman"/>
              </w:rPr>
              <w:t>АО «Авиапромстрой»</w:t>
            </w:r>
          </w:p>
        </w:tc>
        <w:tc>
          <w:tcPr>
            <w:tcW w:w="577" w:type="pct"/>
            <w:tcBorders>
              <w:top w:val="single" w:sz="4" w:space="0" w:color="auto"/>
              <w:left w:val="single" w:sz="4" w:space="0" w:color="auto"/>
              <w:bottom w:val="single" w:sz="4" w:space="0" w:color="auto"/>
              <w:right w:val="single" w:sz="4" w:space="0" w:color="auto"/>
            </w:tcBorders>
            <w:hideMark/>
          </w:tcPr>
          <w:p w14:paraId="194D1E0E" w14:textId="77777777" w:rsidR="00FB240D" w:rsidRPr="00FD7B0B" w:rsidRDefault="00FB240D" w:rsidP="00FB240D">
            <w:pPr>
              <w:jc w:val="center"/>
              <w:rPr>
                <w:rFonts w:ascii="Times New Roman" w:hAnsi="Times New Roman"/>
              </w:rPr>
            </w:pPr>
            <w:r w:rsidRPr="00FD7B0B">
              <w:rPr>
                <w:rStyle w:val="sectioninfo"/>
                <w:rFonts w:ascii="Times New Roman" w:hAnsi="Times New Roman"/>
              </w:rPr>
              <w:t>03.10.2023</w:t>
            </w:r>
          </w:p>
        </w:tc>
        <w:tc>
          <w:tcPr>
            <w:tcW w:w="697" w:type="pct"/>
            <w:tcBorders>
              <w:top w:val="single" w:sz="4" w:space="0" w:color="auto"/>
              <w:left w:val="single" w:sz="4" w:space="0" w:color="auto"/>
              <w:bottom w:val="single" w:sz="4" w:space="0" w:color="auto"/>
              <w:right w:val="single" w:sz="4" w:space="0" w:color="auto"/>
            </w:tcBorders>
            <w:hideMark/>
          </w:tcPr>
          <w:p w14:paraId="3E86B389" w14:textId="77777777" w:rsidR="00FB240D" w:rsidRPr="00FD7B0B" w:rsidRDefault="00FB240D" w:rsidP="00FB240D">
            <w:pPr>
              <w:jc w:val="center"/>
              <w:rPr>
                <w:rFonts w:ascii="Times New Roman" w:hAnsi="Times New Roman"/>
              </w:rPr>
            </w:pPr>
            <w:r w:rsidRPr="00FD7B0B">
              <w:rPr>
                <w:rFonts w:ascii="Times New Roman" w:hAnsi="Times New Roman"/>
              </w:rPr>
              <w:t>113,7</w:t>
            </w:r>
          </w:p>
        </w:tc>
        <w:tc>
          <w:tcPr>
            <w:tcW w:w="672" w:type="pct"/>
            <w:tcBorders>
              <w:top w:val="single" w:sz="4" w:space="0" w:color="auto"/>
              <w:left w:val="single" w:sz="4" w:space="0" w:color="auto"/>
              <w:bottom w:val="single" w:sz="4" w:space="0" w:color="auto"/>
              <w:right w:val="double" w:sz="4" w:space="0" w:color="auto"/>
            </w:tcBorders>
            <w:hideMark/>
          </w:tcPr>
          <w:p w14:paraId="50A26E4D" w14:textId="77777777" w:rsidR="00FB240D" w:rsidRPr="00FD7B0B" w:rsidRDefault="00FB240D" w:rsidP="00FB240D">
            <w:pPr>
              <w:jc w:val="both"/>
              <w:rPr>
                <w:rFonts w:ascii="Times New Roman" w:hAnsi="Times New Roman"/>
              </w:rPr>
            </w:pPr>
            <w:r w:rsidRPr="00FD7B0B">
              <w:rPr>
                <w:rFonts w:ascii="Times New Roman" w:hAnsi="Times New Roman"/>
              </w:rPr>
              <w:t>подрядчик в процедуре банкротства</w:t>
            </w:r>
          </w:p>
        </w:tc>
      </w:tr>
      <w:tr w:rsidR="00FD7B0B" w:rsidRPr="00FD7B0B" w14:paraId="1CB66A9D" w14:textId="77777777" w:rsidTr="00A85FB6">
        <w:tc>
          <w:tcPr>
            <w:tcW w:w="2053" w:type="pct"/>
            <w:tcBorders>
              <w:top w:val="single" w:sz="4" w:space="0" w:color="auto"/>
              <w:left w:val="double" w:sz="4" w:space="0" w:color="auto"/>
              <w:bottom w:val="single" w:sz="4" w:space="0" w:color="auto"/>
              <w:right w:val="single" w:sz="4" w:space="0" w:color="auto"/>
            </w:tcBorders>
            <w:hideMark/>
          </w:tcPr>
          <w:p w14:paraId="61DF4B0C" w14:textId="77777777" w:rsidR="00FB240D" w:rsidRPr="00FD7B0B" w:rsidRDefault="00FB240D" w:rsidP="006B7DB2">
            <w:pPr>
              <w:rPr>
                <w:rFonts w:ascii="Times New Roman" w:hAnsi="Times New Roman"/>
              </w:rPr>
            </w:pPr>
            <w:r w:rsidRPr="00FD7B0B">
              <w:rPr>
                <w:rFonts w:ascii="Times New Roman" w:hAnsi="Times New Roman"/>
              </w:rPr>
              <w:t>Строительство школы на 90 учащихся в с. Долгощелье Мезенского района Архангельской области</w:t>
            </w:r>
          </w:p>
        </w:tc>
        <w:tc>
          <w:tcPr>
            <w:tcW w:w="1002" w:type="pct"/>
            <w:tcBorders>
              <w:top w:val="single" w:sz="4" w:space="0" w:color="auto"/>
              <w:left w:val="single" w:sz="4" w:space="0" w:color="auto"/>
              <w:bottom w:val="single" w:sz="4" w:space="0" w:color="auto"/>
              <w:right w:val="single" w:sz="4" w:space="0" w:color="auto"/>
            </w:tcBorders>
            <w:hideMark/>
          </w:tcPr>
          <w:p w14:paraId="4E4EF60F" w14:textId="77777777" w:rsidR="00FB240D" w:rsidRPr="00FD7B0B" w:rsidRDefault="00FB240D" w:rsidP="00FB240D">
            <w:pPr>
              <w:jc w:val="both"/>
              <w:rPr>
                <w:rFonts w:ascii="Times New Roman" w:hAnsi="Times New Roman"/>
              </w:rPr>
            </w:pPr>
            <w:r w:rsidRPr="00FD7B0B">
              <w:rPr>
                <w:rFonts w:ascii="Times New Roman" w:hAnsi="Times New Roman"/>
              </w:rPr>
              <w:t>ООО «Строительно-трастовая компания «Северград»)</w:t>
            </w:r>
          </w:p>
        </w:tc>
        <w:tc>
          <w:tcPr>
            <w:tcW w:w="577" w:type="pct"/>
            <w:tcBorders>
              <w:top w:val="single" w:sz="4" w:space="0" w:color="auto"/>
              <w:left w:val="single" w:sz="4" w:space="0" w:color="auto"/>
              <w:bottom w:val="single" w:sz="4" w:space="0" w:color="auto"/>
              <w:right w:val="single" w:sz="4" w:space="0" w:color="auto"/>
            </w:tcBorders>
            <w:hideMark/>
          </w:tcPr>
          <w:p w14:paraId="4642811B" w14:textId="77777777" w:rsidR="00FB240D" w:rsidRPr="00FD7B0B" w:rsidRDefault="00FB240D" w:rsidP="00FB240D">
            <w:pPr>
              <w:jc w:val="center"/>
              <w:rPr>
                <w:rFonts w:ascii="Times New Roman" w:hAnsi="Times New Roman"/>
              </w:rPr>
            </w:pPr>
            <w:r w:rsidRPr="00FD7B0B">
              <w:rPr>
                <w:rStyle w:val="sectioninfo"/>
                <w:rFonts w:ascii="Times New Roman" w:hAnsi="Times New Roman"/>
              </w:rPr>
              <w:t>20.02.2024</w:t>
            </w:r>
          </w:p>
        </w:tc>
        <w:tc>
          <w:tcPr>
            <w:tcW w:w="697" w:type="pct"/>
            <w:tcBorders>
              <w:top w:val="single" w:sz="4" w:space="0" w:color="auto"/>
              <w:left w:val="single" w:sz="4" w:space="0" w:color="auto"/>
              <w:bottom w:val="single" w:sz="4" w:space="0" w:color="auto"/>
              <w:right w:val="single" w:sz="4" w:space="0" w:color="auto"/>
            </w:tcBorders>
            <w:hideMark/>
          </w:tcPr>
          <w:p w14:paraId="005FB29E" w14:textId="77777777" w:rsidR="00FB240D" w:rsidRPr="00FD7B0B" w:rsidRDefault="00FB240D" w:rsidP="00FB240D">
            <w:pPr>
              <w:jc w:val="center"/>
              <w:rPr>
                <w:rFonts w:ascii="Times New Roman" w:hAnsi="Times New Roman"/>
              </w:rPr>
            </w:pPr>
            <w:r w:rsidRPr="00FD7B0B">
              <w:rPr>
                <w:rFonts w:ascii="Times New Roman" w:hAnsi="Times New Roman"/>
              </w:rPr>
              <w:t>153,1</w:t>
            </w:r>
          </w:p>
        </w:tc>
        <w:tc>
          <w:tcPr>
            <w:tcW w:w="672" w:type="pct"/>
            <w:tcBorders>
              <w:top w:val="single" w:sz="4" w:space="0" w:color="auto"/>
              <w:left w:val="single" w:sz="4" w:space="0" w:color="auto"/>
              <w:bottom w:val="single" w:sz="4" w:space="0" w:color="auto"/>
              <w:right w:val="double" w:sz="4" w:space="0" w:color="auto"/>
            </w:tcBorders>
          </w:tcPr>
          <w:p w14:paraId="725407A6" w14:textId="77777777" w:rsidR="00FB240D" w:rsidRPr="00FD7B0B" w:rsidRDefault="00FB240D" w:rsidP="00FB240D">
            <w:pPr>
              <w:jc w:val="both"/>
              <w:rPr>
                <w:rFonts w:ascii="Times New Roman" w:hAnsi="Times New Roman"/>
              </w:rPr>
            </w:pPr>
          </w:p>
        </w:tc>
      </w:tr>
      <w:tr w:rsidR="00FD7B0B" w:rsidRPr="00FD7B0B" w14:paraId="73A69707" w14:textId="77777777" w:rsidTr="00A85FB6">
        <w:tc>
          <w:tcPr>
            <w:tcW w:w="2053" w:type="pct"/>
            <w:tcBorders>
              <w:top w:val="single" w:sz="4" w:space="0" w:color="auto"/>
              <w:left w:val="double" w:sz="4" w:space="0" w:color="auto"/>
              <w:bottom w:val="single" w:sz="4" w:space="0" w:color="auto"/>
              <w:right w:val="single" w:sz="4" w:space="0" w:color="auto"/>
            </w:tcBorders>
            <w:hideMark/>
          </w:tcPr>
          <w:p w14:paraId="1D24BBEA" w14:textId="58EFA25C" w:rsidR="00FB240D" w:rsidRPr="00FD7B0B" w:rsidRDefault="00FB240D" w:rsidP="00C02008">
            <w:pPr>
              <w:rPr>
                <w:rFonts w:ascii="Times New Roman" w:hAnsi="Times New Roman"/>
              </w:rPr>
            </w:pPr>
            <w:r w:rsidRPr="00FD7B0B">
              <w:rPr>
                <w:rFonts w:ascii="Times New Roman" w:hAnsi="Times New Roman"/>
              </w:rPr>
              <w:t>Фельдшерско-акушерский пункт в с. Койда Мезенского района</w:t>
            </w:r>
          </w:p>
        </w:tc>
        <w:tc>
          <w:tcPr>
            <w:tcW w:w="1002" w:type="pct"/>
            <w:tcBorders>
              <w:top w:val="single" w:sz="4" w:space="0" w:color="auto"/>
              <w:left w:val="single" w:sz="4" w:space="0" w:color="auto"/>
              <w:bottom w:val="single" w:sz="4" w:space="0" w:color="auto"/>
              <w:right w:val="single" w:sz="4" w:space="0" w:color="auto"/>
            </w:tcBorders>
            <w:hideMark/>
          </w:tcPr>
          <w:p w14:paraId="2549C04C" w14:textId="77777777" w:rsidR="00FB240D" w:rsidRPr="00FD7B0B" w:rsidRDefault="00FB240D" w:rsidP="00FB240D">
            <w:pPr>
              <w:jc w:val="both"/>
              <w:rPr>
                <w:rFonts w:ascii="Times New Roman" w:hAnsi="Times New Roman"/>
              </w:rPr>
            </w:pPr>
            <w:r w:rsidRPr="00FD7B0B">
              <w:rPr>
                <w:rFonts w:ascii="Times New Roman" w:hAnsi="Times New Roman"/>
              </w:rPr>
              <w:t>ООО «Юпитер»</w:t>
            </w:r>
          </w:p>
        </w:tc>
        <w:tc>
          <w:tcPr>
            <w:tcW w:w="577" w:type="pct"/>
            <w:tcBorders>
              <w:top w:val="single" w:sz="4" w:space="0" w:color="auto"/>
              <w:left w:val="single" w:sz="4" w:space="0" w:color="auto"/>
              <w:bottom w:val="single" w:sz="4" w:space="0" w:color="auto"/>
              <w:right w:val="single" w:sz="4" w:space="0" w:color="auto"/>
            </w:tcBorders>
            <w:hideMark/>
          </w:tcPr>
          <w:p w14:paraId="1962F79B" w14:textId="77777777" w:rsidR="00FB240D" w:rsidRPr="00FD7B0B" w:rsidRDefault="00FB240D" w:rsidP="00FB240D">
            <w:pPr>
              <w:jc w:val="center"/>
              <w:rPr>
                <w:rStyle w:val="sectioninfo"/>
                <w:rFonts w:ascii="Times New Roman" w:hAnsi="Times New Roman"/>
              </w:rPr>
            </w:pPr>
            <w:r w:rsidRPr="00FD7B0B">
              <w:rPr>
                <w:rStyle w:val="sectioninfo"/>
                <w:rFonts w:ascii="Times New Roman" w:hAnsi="Times New Roman"/>
              </w:rPr>
              <w:t>20.03.2023</w:t>
            </w:r>
          </w:p>
        </w:tc>
        <w:tc>
          <w:tcPr>
            <w:tcW w:w="697" w:type="pct"/>
            <w:tcBorders>
              <w:top w:val="single" w:sz="4" w:space="0" w:color="auto"/>
              <w:left w:val="single" w:sz="4" w:space="0" w:color="auto"/>
              <w:bottom w:val="single" w:sz="4" w:space="0" w:color="auto"/>
              <w:right w:val="single" w:sz="4" w:space="0" w:color="auto"/>
            </w:tcBorders>
            <w:hideMark/>
          </w:tcPr>
          <w:p w14:paraId="04C1C08A" w14:textId="77777777" w:rsidR="00FB240D" w:rsidRPr="00FD7B0B" w:rsidRDefault="00FB240D" w:rsidP="00FB240D">
            <w:pPr>
              <w:jc w:val="center"/>
              <w:rPr>
                <w:rFonts w:ascii="Times New Roman" w:hAnsi="Times New Roman"/>
              </w:rPr>
            </w:pPr>
            <w:r w:rsidRPr="00FD7B0B">
              <w:rPr>
                <w:rFonts w:ascii="Times New Roman" w:hAnsi="Times New Roman"/>
              </w:rPr>
              <w:t>29,2</w:t>
            </w:r>
          </w:p>
        </w:tc>
        <w:tc>
          <w:tcPr>
            <w:tcW w:w="672" w:type="pct"/>
            <w:tcBorders>
              <w:top w:val="single" w:sz="4" w:space="0" w:color="auto"/>
              <w:left w:val="single" w:sz="4" w:space="0" w:color="auto"/>
              <w:bottom w:val="single" w:sz="4" w:space="0" w:color="auto"/>
              <w:right w:val="double" w:sz="4" w:space="0" w:color="auto"/>
            </w:tcBorders>
          </w:tcPr>
          <w:p w14:paraId="18042FB3" w14:textId="77777777" w:rsidR="00FB240D" w:rsidRPr="00FD7B0B" w:rsidRDefault="00FB240D" w:rsidP="00FB240D">
            <w:pPr>
              <w:jc w:val="both"/>
              <w:rPr>
                <w:rFonts w:ascii="Times New Roman" w:hAnsi="Times New Roman"/>
              </w:rPr>
            </w:pPr>
          </w:p>
        </w:tc>
      </w:tr>
      <w:tr w:rsidR="00FD7B0B" w:rsidRPr="00FD7B0B" w14:paraId="08C9E81E" w14:textId="77777777" w:rsidTr="00A85FB6">
        <w:tc>
          <w:tcPr>
            <w:tcW w:w="2053" w:type="pct"/>
            <w:tcBorders>
              <w:top w:val="single" w:sz="4" w:space="0" w:color="auto"/>
              <w:left w:val="double" w:sz="4" w:space="0" w:color="auto"/>
              <w:bottom w:val="single" w:sz="4" w:space="0" w:color="auto"/>
              <w:right w:val="single" w:sz="4" w:space="0" w:color="auto"/>
            </w:tcBorders>
            <w:hideMark/>
          </w:tcPr>
          <w:p w14:paraId="58FCDFCD" w14:textId="77777777" w:rsidR="00FB240D" w:rsidRPr="00FD7B0B" w:rsidRDefault="00FB240D" w:rsidP="006B7DB2">
            <w:pPr>
              <w:rPr>
                <w:rFonts w:ascii="Times New Roman" w:hAnsi="Times New Roman"/>
              </w:rPr>
            </w:pPr>
            <w:r w:rsidRPr="00FD7B0B">
              <w:rPr>
                <w:rFonts w:ascii="Times New Roman" w:hAnsi="Times New Roman"/>
              </w:rPr>
              <w:t>Здание участковой больницы на 40 посещений и стационаром на 10 коек в поселке Соловецкий</w:t>
            </w:r>
          </w:p>
        </w:tc>
        <w:tc>
          <w:tcPr>
            <w:tcW w:w="1002" w:type="pct"/>
            <w:tcBorders>
              <w:top w:val="single" w:sz="4" w:space="0" w:color="auto"/>
              <w:left w:val="single" w:sz="4" w:space="0" w:color="auto"/>
              <w:bottom w:val="single" w:sz="4" w:space="0" w:color="auto"/>
              <w:right w:val="single" w:sz="4" w:space="0" w:color="auto"/>
            </w:tcBorders>
            <w:hideMark/>
          </w:tcPr>
          <w:p w14:paraId="7822A9D7" w14:textId="77777777" w:rsidR="00FB240D" w:rsidRPr="00FD7B0B" w:rsidRDefault="00FB240D" w:rsidP="00FB240D">
            <w:pPr>
              <w:jc w:val="both"/>
              <w:rPr>
                <w:rFonts w:ascii="Times New Roman" w:hAnsi="Times New Roman"/>
              </w:rPr>
            </w:pPr>
            <w:r w:rsidRPr="00FD7B0B">
              <w:rPr>
                <w:rFonts w:ascii="Times New Roman" w:hAnsi="Times New Roman"/>
              </w:rPr>
              <w:t>ООО «Белый дом»</w:t>
            </w:r>
          </w:p>
        </w:tc>
        <w:tc>
          <w:tcPr>
            <w:tcW w:w="577" w:type="pct"/>
            <w:tcBorders>
              <w:top w:val="single" w:sz="4" w:space="0" w:color="auto"/>
              <w:left w:val="single" w:sz="4" w:space="0" w:color="auto"/>
              <w:bottom w:val="single" w:sz="4" w:space="0" w:color="auto"/>
              <w:right w:val="single" w:sz="4" w:space="0" w:color="auto"/>
            </w:tcBorders>
            <w:hideMark/>
          </w:tcPr>
          <w:p w14:paraId="64DA8C4C" w14:textId="77777777" w:rsidR="00FB240D" w:rsidRPr="00FD7B0B" w:rsidRDefault="00FB240D" w:rsidP="00FB240D">
            <w:pPr>
              <w:jc w:val="center"/>
              <w:rPr>
                <w:rFonts w:ascii="Times New Roman" w:hAnsi="Times New Roman"/>
              </w:rPr>
            </w:pPr>
            <w:r w:rsidRPr="00FD7B0B">
              <w:rPr>
                <w:rFonts w:ascii="Times New Roman" w:hAnsi="Times New Roman"/>
              </w:rPr>
              <w:t>19.09.2023</w:t>
            </w:r>
          </w:p>
        </w:tc>
        <w:tc>
          <w:tcPr>
            <w:tcW w:w="697" w:type="pct"/>
            <w:tcBorders>
              <w:top w:val="single" w:sz="4" w:space="0" w:color="auto"/>
              <w:left w:val="single" w:sz="4" w:space="0" w:color="auto"/>
              <w:bottom w:val="single" w:sz="4" w:space="0" w:color="auto"/>
              <w:right w:val="single" w:sz="4" w:space="0" w:color="auto"/>
            </w:tcBorders>
            <w:hideMark/>
          </w:tcPr>
          <w:p w14:paraId="2F452EBB" w14:textId="77777777" w:rsidR="00FB240D" w:rsidRPr="00FD7B0B" w:rsidRDefault="00FB240D" w:rsidP="00FB240D">
            <w:pPr>
              <w:jc w:val="center"/>
              <w:rPr>
                <w:rFonts w:ascii="Times New Roman" w:hAnsi="Times New Roman"/>
              </w:rPr>
            </w:pPr>
            <w:r w:rsidRPr="00FD7B0B">
              <w:rPr>
                <w:rFonts w:ascii="Times New Roman" w:hAnsi="Times New Roman"/>
              </w:rPr>
              <w:t>56,7</w:t>
            </w:r>
          </w:p>
        </w:tc>
        <w:tc>
          <w:tcPr>
            <w:tcW w:w="672" w:type="pct"/>
            <w:tcBorders>
              <w:top w:val="single" w:sz="4" w:space="0" w:color="auto"/>
              <w:left w:val="single" w:sz="4" w:space="0" w:color="auto"/>
              <w:bottom w:val="single" w:sz="4" w:space="0" w:color="auto"/>
              <w:right w:val="double" w:sz="4" w:space="0" w:color="auto"/>
            </w:tcBorders>
          </w:tcPr>
          <w:p w14:paraId="0C1E7DB9" w14:textId="77777777" w:rsidR="00FB240D" w:rsidRPr="00FD7B0B" w:rsidRDefault="00FB240D" w:rsidP="00FB240D">
            <w:pPr>
              <w:jc w:val="both"/>
              <w:rPr>
                <w:rFonts w:ascii="Times New Roman" w:hAnsi="Times New Roman"/>
              </w:rPr>
            </w:pPr>
          </w:p>
        </w:tc>
      </w:tr>
      <w:tr w:rsidR="00FD7B0B" w:rsidRPr="00FD7B0B" w14:paraId="4302BC55" w14:textId="77777777" w:rsidTr="00A85FB6">
        <w:tc>
          <w:tcPr>
            <w:tcW w:w="2053" w:type="pct"/>
            <w:tcBorders>
              <w:top w:val="single" w:sz="4" w:space="0" w:color="auto"/>
              <w:left w:val="double" w:sz="4" w:space="0" w:color="auto"/>
              <w:bottom w:val="single" w:sz="4" w:space="0" w:color="auto"/>
              <w:right w:val="single" w:sz="4" w:space="0" w:color="auto"/>
            </w:tcBorders>
          </w:tcPr>
          <w:p w14:paraId="44DA8C6F" w14:textId="77777777" w:rsidR="00FB240D" w:rsidRPr="00FD7B0B" w:rsidRDefault="00FB240D" w:rsidP="006B7DB2">
            <w:pPr>
              <w:rPr>
                <w:rFonts w:ascii="Times New Roman" w:hAnsi="Times New Roman"/>
              </w:rPr>
            </w:pPr>
            <w:r w:rsidRPr="00FD7B0B">
              <w:rPr>
                <w:rFonts w:ascii="Times New Roman" w:hAnsi="Times New Roman"/>
              </w:rPr>
              <w:t>Поликлиника для детского населения в г. Котлас</w:t>
            </w:r>
          </w:p>
        </w:tc>
        <w:tc>
          <w:tcPr>
            <w:tcW w:w="1002" w:type="pct"/>
            <w:tcBorders>
              <w:top w:val="single" w:sz="4" w:space="0" w:color="auto"/>
              <w:left w:val="single" w:sz="4" w:space="0" w:color="auto"/>
              <w:bottom w:val="single" w:sz="4" w:space="0" w:color="auto"/>
              <w:right w:val="single" w:sz="4" w:space="0" w:color="auto"/>
            </w:tcBorders>
          </w:tcPr>
          <w:p w14:paraId="0F4A4762" w14:textId="77777777" w:rsidR="00FB240D" w:rsidRPr="00FD7B0B" w:rsidRDefault="00FB240D" w:rsidP="00FB240D">
            <w:pPr>
              <w:jc w:val="both"/>
              <w:rPr>
                <w:rFonts w:ascii="Times New Roman" w:hAnsi="Times New Roman"/>
              </w:rPr>
            </w:pPr>
            <w:r w:rsidRPr="00FD7B0B">
              <w:rPr>
                <w:rFonts w:ascii="Times New Roman" w:hAnsi="Times New Roman"/>
              </w:rPr>
              <w:t>ООО «Белый дом»</w:t>
            </w:r>
          </w:p>
        </w:tc>
        <w:tc>
          <w:tcPr>
            <w:tcW w:w="577" w:type="pct"/>
            <w:tcBorders>
              <w:top w:val="single" w:sz="4" w:space="0" w:color="auto"/>
              <w:left w:val="single" w:sz="4" w:space="0" w:color="auto"/>
              <w:bottom w:val="single" w:sz="4" w:space="0" w:color="auto"/>
              <w:right w:val="single" w:sz="4" w:space="0" w:color="auto"/>
            </w:tcBorders>
          </w:tcPr>
          <w:p w14:paraId="2FA131E6" w14:textId="77777777" w:rsidR="00FB240D" w:rsidRPr="00FD7B0B" w:rsidRDefault="00FB240D" w:rsidP="00FB240D">
            <w:pPr>
              <w:jc w:val="center"/>
              <w:rPr>
                <w:rFonts w:ascii="Times New Roman" w:hAnsi="Times New Roman"/>
              </w:rPr>
            </w:pPr>
            <w:r w:rsidRPr="00FD7B0B">
              <w:rPr>
                <w:rFonts w:ascii="Times New Roman" w:hAnsi="Times New Roman"/>
              </w:rPr>
              <w:t>22.07.2024</w:t>
            </w:r>
          </w:p>
        </w:tc>
        <w:tc>
          <w:tcPr>
            <w:tcW w:w="697" w:type="pct"/>
            <w:tcBorders>
              <w:top w:val="single" w:sz="4" w:space="0" w:color="auto"/>
              <w:left w:val="single" w:sz="4" w:space="0" w:color="auto"/>
              <w:bottom w:val="single" w:sz="4" w:space="0" w:color="auto"/>
              <w:right w:val="single" w:sz="4" w:space="0" w:color="auto"/>
            </w:tcBorders>
          </w:tcPr>
          <w:p w14:paraId="56042057" w14:textId="77777777" w:rsidR="00FB240D" w:rsidRPr="00FD7B0B" w:rsidRDefault="00FB240D" w:rsidP="00FB240D">
            <w:pPr>
              <w:jc w:val="center"/>
              <w:rPr>
                <w:rFonts w:ascii="Times New Roman" w:hAnsi="Times New Roman"/>
              </w:rPr>
            </w:pPr>
            <w:r w:rsidRPr="00FD7B0B">
              <w:rPr>
                <w:rFonts w:ascii="Times New Roman" w:hAnsi="Times New Roman"/>
              </w:rPr>
              <w:t>38,8</w:t>
            </w:r>
          </w:p>
        </w:tc>
        <w:tc>
          <w:tcPr>
            <w:tcW w:w="672" w:type="pct"/>
            <w:tcBorders>
              <w:top w:val="single" w:sz="4" w:space="0" w:color="auto"/>
              <w:left w:val="single" w:sz="4" w:space="0" w:color="auto"/>
              <w:bottom w:val="single" w:sz="4" w:space="0" w:color="auto"/>
              <w:right w:val="double" w:sz="4" w:space="0" w:color="auto"/>
            </w:tcBorders>
          </w:tcPr>
          <w:p w14:paraId="775996FF" w14:textId="77777777" w:rsidR="00FB240D" w:rsidRPr="00FD7B0B" w:rsidRDefault="00FB240D" w:rsidP="00FB240D">
            <w:pPr>
              <w:jc w:val="both"/>
              <w:rPr>
                <w:rFonts w:ascii="Times New Roman" w:hAnsi="Times New Roman"/>
              </w:rPr>
            </w:pPr>
          </w:p>
        </w:tc>
      </w:tr>
      <w:tr w:rsidR="00FD7B0B" w:rsidRPr="00FD7B0B" w14:paraId="0E39B399" w14:textId="77777777" w:rsidTr="00A85FB6">
        <w:tc>
          <w:tcPr>
            <w:tcW w:w="2053" w:type="pct"/>
            <w:tcBorders>
              <w:top w:val="single" w:sz="4" w:space="0" w:color="auto"/>
              <w:left w:val="double" w:sz="4" w:space="0" w:color="auto"/>
              <w:bottom w:val="single" w:sz="4" w:space="0" w:color="auto"/>
              <w:right w:val="single" w:sz="4" w:space="0" w:color="auto"/>
            </w:tcBorders>
          </w:tcPr>
          <w:p w14:paraId="5AFFE0EB" w14:textId="77777777" w:rsidR="00FB240D" w:rsidRPr="00FD7B0B" w:rsidRDefault="00FB240D" w:rsidP="006B7DB2">
            <w:pPr>
              <w:rPr>
                <w:rFonts w:ascii="Times New Roman" w:hAnsi="Times New Roman"/>
              </w:rPr>
            </w:pPr>
            <w:r w:rsidRPr="00FD7B0B">
              <w:rPr>
                <w:rFonts w:ascii="Times New Roman" w:hAnsi="Times New Roman"/>
              </w:rPr>
              <w:lastRenderedPageBreak/>
              <w:t>Врачебная амбулатория в с. Сура, Пинежского района</w:t>
            </w:r>
          </w:p>
        </w:tc>
        <w:tc>
          <w:tcPr>
            <w:tcW w:w="1002" w:type="pct"/>
            <w:tcBorders>
              <w:top w:val="single" w:sz="4" w:space="0" w:color="auto"/>
              <w:left w:val="single" w:sz="4" w:space="0" w:color="auto"/>
              <w:bottom w:val="single" w:sz="4" w:space="0" w:color="auto"/>
              <w:right w:val="single" w:sz="4" w:space="0" w:color="auto"/>
            </w:tcBorders>
          </w:tcPr>
          <w:p w14:paraId="2564819F" w14:textId="77777777" w:rsidR="00FB240D" w:rsidRPr="00FD7B0B" w:rsidRDefault="00FB240D" w:rsidP="00FB240D">
            <w:pPr>
              <w:jc w:val="both"/>
              <w:rPr>
                <w:rFonts w:ascii="Times New Roman" w:hAnsi="Times New Roman"/>
              </w:rPr>
            </w:pPr>
            <w:r w:rsidRPr="00FD7B0B">
              <w:rPr>
                <w:rFonts w:ascii="Times New Roman" w:hAnsi="Times New Roman"/>
              </w:rPr>
              <w:t>АО «Авиапромстрой»</w:t>
            </w:r>
          </w:p>
        </w:tc>
        <w:tc>
          <w:tcPr>
            <w:tcW w:w="577" w:type="pct"/>
            <w:tcBorders>
              <w:top w:val="single" w:sz="4" w:space="0" w:color="auto"/>
              <w:left w:val="single" w:sz="4" w:space="0" w:color="auto"/>
              <w:bottom w:val="single" w:sz="4" w:space="0" w:color="auto"/>
              <w:right w:val="single" w:sz="4" w:space="0" w:color="auto"/>
            </w:tcBorders>
          </w:tcPr>
          <w:p w14:paraId="1BCD79F8" w14:textId="77777777" w:rsidR="00FB240D" w:rsidRPr="00FD7B0B" w:rsidRDefault="00FB240D" w:rsidP="00FB240D">
            <w:pPr>
              <w:jc w:val="both"/>
              <w:rPr>
                <w:rFonts w:ascii="Times New Roman" w:hAnsi="Times New Roman"/>
              </w:rPr>
            </w:pPr>
            <w:r w:rsidRPr="00FD7B0B">
              <w:rPr>
                <w:rFonts w:ascii="Times New Roman" w:hAnsi="Times New Roman"/>
              </w:rPr>
              <w:t>20.06.2024</w:t>
            </w:r>
          </w:p>
        </w:tc>
        <w:tc>
          <w:tcPr>
            <w:tcW w:w="697" w:type="pct"/>
            <w:tcBorders>
              <w:top w:val="single" w:sz="4" w:space="0" w:color="auto"/>
              <w:left w:val="single" w:sz="4" w:space="0" w:color="auto"/>
              <w:bottom w:val="single" w:sz="4" w:space="0" w:color="auto"/>
              <w:right w:val="single" w:sz="4" w:space="0" w:color="auto"/>
            </w:tcBorders>
          </w:tcPr>
          <w:p w14:paraId="34CCE454" w14:textId="77777777" w:rsidR="00FB240D" w:rsidRPr="00FD7B0B" w:rsidRDefault="00FB240D" w:rsidP="00FB240D">
            <w:pPr>
              <w:jc w:val="center"/>
              <w:rPr>
                <w:rFonts w:ascii="Times New Roman" w:hAnsi="Times New Roman"/>
              </w:rPr>
            </w:pPr>
            <w:r w:rsidRPr="00FD7B0B">
              <w:rPr>
                <w:rFonts w:ascii="Times New Roman" w:hAnsi="Times New Roman"/>
              </w:rPr>
              <w:t>12,3</w:t>
            </w:r>
          </w:p>
        </w:tc>
        <w:tc>
          <w:tcPr>
            <w:tcW w:w="672" w:type="pct"/>
            <w:tcBorders>
              <w:top w:val="single" w:sz="4" w:space="0" w:color="auto"/>
              <w:left w:val="single" w:sz="4" w:space="0" w:color="auto"/>
              <w:bottom w:val="single" w:sz="4" w:space="0" w:color="auto"/>
              <w:right w:val="double" w:sz="4" w:space="0" w:color="auto"/>
            </w:tcBorders>
          </w:tcPr>
          <w:p w14:paraId="33603E10" w14:textId="77777777" w:rsidR="00FB240D" w:rsidRPr="00FD7B0B" w:rsidRDefault="00FB240D" w:rsidP="00FB240D">
            <w:pPr>
              <w:jc w:val="both"/>
              <w:rPr>
                <w:rFonts w:ascii="Times New Roman" w:hAnsi="Times New Roman"/>
              </w:rPr>
            </w:pPr>
            <w:r w:rsidRPr="00FD7B0B">
              <w:rPr>
                <w:rFonts w:ascii="Times New Roman" w:hAnsi="Times New Roman"/>
              </w:rPr>
              <w:t>подрядчик в процедуре банкротства</w:t>
            </w:r>
          </w:p>
        </w:tc>
      </w:tr>
      <w:tr w:rsidR="00FB240D" w:rsidRPr="00FD7B0B" w14:paraId="65492067" w14:textId="77777777" w:rsidTr="00A85FB6">
        <w:tc>
          <w:tcPr>
            <w:tcW w:w="2053" w:type="pct"/>
            <w:tcBorders>
              <w:top w:val="single" w:sz="4" w:space="0" w:color="auto"/>
              <w:left w:val="double" w:sz="4" w:space="0" w:color="auto"/>
              <w:bottom w:val="double" w:sz="4" w:space="0" w:color="auto"/>
              <w:right w:val="single" w:sz="4" w:space="0" w:color="auto"/>
            </w:tcBorders>
            <w:hideMark/>
          </w:tcPr>
          <w:p w14:paraId="56ABA882" w14:textId="77777777" w:rsidR="00FB240D" w:rsidRPr="00FD7B0B" w:rsidRDefault="00FB240D" w:rsidP="006B7DB2">
            <w:pPr>
              <w:rPr>
                <w:rFonts w:ascii="Times New Roman" w:hAnsi="Times New Roman"/>
              </w:rPr>
            </w:pPr>
            <w:r w:rsidRPr="00FD7B0B">
              <w:rPr>
                <w:rFonts w:ascii="Times New Roman" w:hAnsi="Times New Roman"/>
              </w:rPr>
              <w:t>Итого</w:t>
            </w:r>
          </w:p>
        </w:tc>
        <w:tc>
          <w:tcPr>
            <w:tcW w:w="1002" w:type="pct"/>
            <w:tcBorders>
              <w:top w:val="single" w:sz="4" w:space="0" w:color="auto"/>
              <w:left w:val="single" w:sz="4" w:space="0" w:color="auto"/>
              <w:bottom w:val="double" w:sz="4" w:space="0" w:color="auto"/>
              <w:right w:val="single" w:sz="4" w:space="0" w:color="auto"/>
            </w:tcBorders>
            <w:hideMark/>
          </w:tcPr>
          <w:p w14:paraId="126C5859" w14:textId="77777777" w:rsidR="00FB240D" w:rsidRPr="00FD7B0B" w:rsidRDefault="00FB240D" w:rsidP="00FB240D">
            <w:pPr>
              <w:jc w:val="center"/>
              <w:rPr>
                <w:rFonts w:ascii="Times New Roman" w:hAnsi="Times New Roman"/>
              </w:rPr>
            </w:pPr>
            <w:r w:rsidRPr="00FD7B0B">
              <w:rPr>
                <w:rFonts w:ascii="Times New Roman" w:hAnsi="Times New Roman"/>
              </w:rPr>
              <w:t>-</w:t>
            </w:r>
          </w:p>
        </w:tc>
        <w:tc>
          <w:tcPr>
            <w:tcW w:w="577" w:type="pct"/>
            <w:tcBorders>
              <w:top w:val="single" w:sz="4" w:space="0" w:color="auto"/>
              <w:left w:val="single" w:sz="4" w:space="0" w:color="auto"/>
              <w:bottom w:val="double" w:sz="4" w:space="0" w:color="auto"/>
              <w:right w:val="single" w:sz="4" w:space="0" w:color="auto"/>
            </w:tcBorders>
            <w:hideMark/>
          </w:tcPr>
          <w:p w14:paraId="61860EFE" w14:textId="77777777" w:rsidR="00FB240D" w:rsidRPr="00FD7B0B" w:rsidRDefault="00FB240D" w:rsidP="00FB240D">
            <w:pPr>
              <w:jc w:val="center"/>
              <w:rPr>
                <w:rFonts w:ascii="Times New Roman" w:hAnsi="Times New Roman"/>
              </w:rPr>
            </w:pPr>
            <w:r w:rsidRPr="00FD7B0B">
              <w:rPr>
                <w:rFonts w:ascii="Times New Roman" w:hAnsi="Times New Roman"/>
              </w:rPr>
              <w:t>-</w:t>
            </w:r>
          </w:p>
        </w:tc>
        <w:tc>
          <w:tcPr>
            <w:tcW w:w="697" w:type="pct"/>
            <w:tcBorders>
              <w:top w:val="single" w:sz="4" w:space="0" w:color="auto"/>
              <w:left w:val="single" w:sz="4" w:space="0" w:color="auto"/>
              <w:bottom w:val="double" w:sz="4" w:space="0" w:color="auto"/>
              <w:right w:val="single" w:sz="4" w:space="0" w:color="auto"/>
            </w:tcBorders>
            <w:hideMark/>
          </w:tcPr>
          <w:p w14:paraId="6EFA1D1B" w14:textId="77777777" w:rsidR="00FB240D" w:rsidRPr="00FD7B0B" w:rsidRDefault="00FB240D" w:rsidP="00FB240D">
            <w:pPr>
              <w:jc w:val="center"/>
              <w:rPr>
                <w:rFonts w:ascii="Times New Roman" w:hAnsi="Times New Roman"/>
              </w:rPr>
            </w:pPr>
            <w:r w:rsidRPr="00FD7B0B">
              <w:rPr>
                <w:rFonts w:ascii="Times New Roman" w:hAnsi="Times New Roman"/>
              </w:rPr>
              <w:t>403,8</w:t>
            </w:r>
          </w:p>
        </w:tc>
        <w:tc>
          <w:tcPr>
            <w:tcW w:w="672" w:type="pct"/>
            <w:tcBorders>
              <w:top w:val="single" w:sz="4" w:space="0" w:color="auto"/>
              <w:left w:val="single" w:sz="4" w:space="0" w:color="auto"/>
              <w:bottom w:val="double" w:sz="4" w:space="0" w:color="auto"/>
              <w:right w:val="double" w:sz="4" w:space="0" w:color="auto"/>
            </w:tcBorders>
            <w:hideMark/>
          </w:tcPr>
          <w:p w14:paraId="0C3B9829" w14:textId="77777777" w:rsidR="00FB240D" w:rsidRPr="00FD7B0B" w:rsidRDefault="00FB240D" w:rsidP="00FB240D">
            <w:pPr>
              <w:jc w:val="center"/>
              <w:rPr>
                <w:rFonts w:ascii="Times New Roman" w:hAnsi="Times New Roman"/>
              </w:rPr>
            </w:pPr>
            <w:r w:rsidRPr="00FD7B0B">
              <w:rPr>
                <w:rFonts w:ascii="Times New Roman" w:hAnsi="Times New Roman"/>
              </w:rPr>
              <w:t>-</w:t>
            </w:r>
          </w:p>
        </w:tc>
      </w:tr>
    </w:tbl>
    <w:p w14:paraId="416D0282" w14:textId="77777777" w:rsidR="00FB240D" w:rsidRPr="00FD7B0B" w:rsidRDefault="00FB240D" w:rsidP="00FB240D">
      <w:pPr>
        <w:spacing w:after="0" w:line="240" w:lineRule="auto"/>
        <w:ind w:firstLine="709"/>
        <w:jc w:val="both"/>
        <w:rPr>
          <w:rFonts w:ascii="Times New Roman" w:hAnsi="Times New Roman"/>
          <w:sz w:val="28"/>
          <w:szCs w:val="28"/>
        </w:rPr>
      </w:pPr>
    </w:p>
    <w:p w14:paraId="0E060F12" w14:textId="0E0907A9"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3. Анализ исполнения контрактов по объектам, включенным в ОАИП на 2024 год показал, что подрядчики систематически не предъявляют к оплате </w:t>
      </w:r>
      <w:r w:rsidR="00A85FB6" w:rsidRPr="00FD7B0B">
        <w:rPr>
          <w:rFonts w:ascii="Times New Roman" w:hAnsi="Times New Roman"/>
          <w:sz w:val="28"/>
          <w:szCs w:val="28"/>
        </w:rPr>
        <w:t>выполненные на объектах работы.</w:t>
      </w:r>
    </w:p>
    <w:p w14:paraId="197CD0DA"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 например, фактически осуществляется строительство следующих объектов: «Школа на 320 мест в п. Коноша Коношского района», котельные на территории г. Архангельска и Приморского района. По всем этим объектам подрядчикам перечислены авансы, составляющие 50 % цены контрактов.</w:t>
      </w:r>
    </w:p>
    <w:p w14:paraId="6464EE38"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По технической части проектной документации таких объектов получены положительные заключения госэкспертизы, что позволяет получить разрешение на строительство и выполнять строительные работы. А госэкспертиза в части проверки достоверности определения сметной стоимости строительства на момент подготовки настоящего заключения не получена.</w:t>
      </w:r>
    </w:p>
    <w:p w14:paraId="0F13CEEF" w14:textId="06EFD4FF"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При значительных объемах полученных авансовых платежей подрядчики имеют достаточный объем оборотных средств для осуществления строительства без своевременного и систематического предъявле</w:t>
      </w:r>
      <w:r w:rsidR="00A85FB6" w:rsidRPr="00FD7B0B">
        <w:rPr>
          <w:rFonts w:ascii="Times New Roman" w:hAnsi="Times New Roman"/>
          <w:sz w:val="28"/>
          <w:szCs w:val="28"/>
        </w:rPr>
        <w:t>ния выполненных работ к оплате.</w:t>
      </w:r>
    </w:p>
    <w:p w14:paraId="05F67295" w14:textId="5089B9CC" w:rsidR="00FB240D" w:rsidRPr="00FD7B0B" w:rsidRDefault="00FB240D" w:rsidP="00FB240D">
      <w:pPr>
        <w:spacing w:after="0" w:line="240" w:lineRule="auto"/>
        <w:ind w:firstLine="709"/>
        <w:jc w:val="both"/>
        <w:rPr>
          <w:rFonts w:ascii="Times New Roman" w:hAnsi="Times New Roman"/>
          <w:i/>
          <w:sz w:val="28"/>
          <w:szCs w:val="28"/>
        </w:rPr>
      </w:pPr>
      <w:r w:rsidRPr="00FD7B0B">
        <w:rPr>
          <w:rFonts w:ascii="Times New Roman" w:hAnsi="Times New Roman"/>
          <w:sz w:val="28"/>
          <w:szCs w:val="28"/>
        </w:rPr>
        <w:t xml:space="preserve">Согласно пункту 20(1) Положения об организации и проведении государственной экспертизы проектной документации и результатов инженерных изысканий, утвержденным постановлением Правительства </w:t>
      </w:r>
      <w:r w:rsidR="00A85FB6" w:rsidRPr="00FD7B0B">
        <w:rPr>
          <w:rFonts w:ascii="Times New Roman" w:hAnsi="Times New Roman"/>
          <w:sz w:val="28"/>
          <w:szCs w:val="28"/>
        </w:rPr>
        <w:t>РФ</w:t>
      </w:r>
      <w:r w:rsidRPr="00FD7B0B">
        <w:rPr>
          <w:rFonts w:ascii="Times New Roman" w:hAnsi="Times New Roman"/>
          <w:sz w:val="28"/>
          <w:szCs w:val="28"/>
        </w:rPr>
        <w:t xml:space="preserve"> от 05.03.2007 № 145, в случае если после определения сметной стоимости строительства сметные нормативы, федеральные единичные расценки, в том числе их отдельные составляющие, к сметным нормам, информация о которых включена в федеральный реестр сметных нормативов, и (или) сметные цены строительных ресурсов, с учетом которых были осуществлены расчеты сметной стоимости, изменились, </w:t>
      </w:r>
      <w:r w:rsidRPr="00FD7B0B">
        <w:rPr>
          <w:rFonts w:ascii="Times New Roman" w:hAnsi="Times New Roman"/>
          <w:i/>
          <w:sz w:val="28"/>
          <w:szCs w:val="28"/>
        </w:rPr>
        <w:t xml:space="preserve">представление сметы для проведения проверки достоверности определения сметной стоимости осуществляется после корректировки сметы </w:t>
      </w:r>
      <w:r w:rsidRPr="00FD7B0B">
        <w:rPr>
          <w:rFonts w:ascii="Times New Roman" w:hAnsi="Times New Roman"/>
          <w:b/>
          <w:i/>
          <w:sz w:val="28"/>
          <w:szCs w:val="28"/>
        </w:rPr>
        <w:t>с учетом цен, сложившихся</w:t>
      </w:r>
      <w:r w:rsidRPr="00FD7B0B">
        <w:rPr>
          <w:rFonts w:ascii="Times New Roman" w:hAnsi="Times New Roman"/>
          <w:i/>
          <w:sz w:val="28"/>
          <w:szCs w:val="28"/>
        </w:rPr>
        <w:t xml:space="preserve"> </w:t>
      </w:r>
      <w:r w:rsidRPr="00FD7B0B">
        <w:rPr>
          <w:rFonts w:ascii="Times New Roman" w:hAnsi="Times New Roman"/>
          <w:b/>
          <w:i/>
          <w:sz w:val="28"/>
          <w:szCs w:val="28"/>
        </w:rPr>
        <w:t>на дату ее представления застройщику (техническому заказчику).</w:t>
      </w:r>
    </w:p>
    <w:p w14:paraId="5A9663BE"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Соответственно, чем позже застройщику (техническому заказчику) будет представлена сметная документация, тем в более высоком уровне цен (с учетом инфляционных процессов) может быть сформирована такая сметная документация.</w:t>
      </w:r>
    </w:p>
    <w:p w14:paraId="567D50E8" w14:textId="1F1E16CB"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В результате, затягивая сроки представления в госэкспертизу сметы для проведения проверки достоверности определения сметной стоимости, подрядчики, используя перечисленные им авансовые платежи, имеют возможность выполнять строительные работы, применять строительные </w:t>
      </w:r>
      <w:r w:rsidRPr="00FD7B0B">
        <w:rPr>
          <w:rFonts w:ascii="Times New Roman" w:hAnsi="Times New Roman"/>
          <w:sz w:val="28"/>
          <w:szCs w:val="28"/>
        </w:rPr>
        <w:lastRenderedPageBreak/>
        <w:t>материалы  по ценам, сложившимся на строительном рынке, например в 2023</w:t>
      </w:r>
      <w:r w:rsidR="00A758BB" w:rsidRPr="00FD7B0B">
        <w:rPr>
          <w:rFonts w:ascii="Times New Roman" w:hAnsi="Times New Roman"/>
          <w:sz w:val="28"/>
          <w:szCs w:val="28"/>
        </w:rPr>
        <w:t xml:space="preserve"> – </w:t>
      </w:r>
      <w:r w:rsidRPr="00FD7B0B">
        <w:rPr>
          <w:rFonts w:ascii="Times New Roman" w:hAnsi="Times New Roman"/>
          <w:sz w:val="28"/>
          <w:szCs w:val="28"/>
        </w:rPr>
        <w:t xml:space="preserve">2024 годах, а стоимость таких </w:t>
      </w:r>
      <w:r w:rsidRPr="00FD7B0B">
        <w:rPr>
          <w:rFonts w:ascii="Times New Roman" w:hAnsi="Times New Roman"/>
          <w:b/>
          <w:i/>
          <w:sz w:val="28"/>
          <w:szCs w:val="28"/>
        </w:rPr>
        <w:t>уже фактически выполненных работ</w:t>
      </w:r>
      <w:r w:rsidRPr="00FD7B0B">
        <w:rPr>
          <w:rFonts w:ascii="Times New Roman" w:hAnsi="Times New Roman"/>
          <w:sz w:val="28"/>
          <w:szCs w:val="28"/>
        </w:rPr>
        <w:t xml:space="preserve"> определять впоследствии в уровне цен, сложившихся на дату представления сметы в го</w:t>
      </w:r>
      <w:r w:rsidR="00A758BB" w:rsidRPr="00FD7B0B">
        <w:rPr>
          <w:rFonts w:ascii="Times New Roman" w:hAnsi="Times New Roman"/>
          <w:sz w:val="28"/>
          <w:szCs w:val="28"/>
        </w:rPr>
        <w:t>сэкспертизу, т.е. в 2025 году.</w:t>
      </w:r>
    </w:p>
    <w:p w14:paraId="2095A8CD" w14:textId="2AE0BB1A"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К примеру, работы по строительству школ на 320 мест в г. Няндома, г. Каргополь фактически начаты в конце 2023 - начале 2024 года, а сметы, получившие положительное заключение госэкспертизы, сформированы в ценах 2 кв. 2024, 4 кв. 2024, соответственно. В результате, стоимость контрактов на строительст</w:t>
      </w:r>
      <w:r w:rsidR="00A758BB" w:rsidRPr="00FD7B0B">
        <w:rPr>
          <w:rFonts w:ascii="Times New Roman" w:hAnsi="Times New Roman"/>
          <w:sz w:val="28"/>
          <w:szCs w:val="28"/>
        </w:rPr>
        <w:t>во школ увеличена на 178,2 млн.</w:t>
      </w:r>
      <w:r w:rsidRPr="00FD7B0B">
        <w:rPr>
          <w:rFonts w:ascii="Times New Roman" w:hAnsi="Times New Roman"/>
          <w:sz w:val="28"/>
          <w:szCs w:val="28"/>
        </w:rPr>
        <w:t>руб. и</w:t>
      </w:r>
      <w:r w:rsidR="00A758BB" w:rsidRPr="00FD7B0B">
        <w:rPr>
          <w:rFonts w:ascii="Times New Roman" w:hAnsi="Times New Roman"/>
          <w:sz w:val="28"/>
          <w:szCs w:val="28"/>
        </w:rPr>
        <w:t xml:space="preserve"> 158 млн.руб., соответственно.</w:t>
      </w:r>
    </w:p>
    <w:p w14:paraId="2879961E" w14:textId="03937485"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Подрядчики начали предъявлять работы к оплате в конце 2024 года по сметам контракта, стоимость которых сформирована в ценах </w:t>
      </w:r>
      <w:r w:rsidRPr="00FD7B0B">
        <w:rPr>
          <w:rFonts w:ascii="Times New Roman" w:hAnsi="Times New Roman"/>
          <w:sz w:val="28"/>
          <w:szCs w:val="28"/>
          <w:u w:val="single"/>
        </w:rPr>
        <w:t xml:space="preserve">более позднего периода, чем периоды фактического начала строительства школ. </w:t>
      </w:r>
      <w:r w:rsidRPr="00FD7B0B">
        <w:rPr>
          <w:rFonts w:ascii="Times New Roman" w:hAnsi="Times New Roman"/>
          <w:sz w:val="28"/>
          <w:szCs w:val="28"/>
        </w:rPr>
        <w:t xml:space="preserve">Соответственно, затраты, </w:t>
      </w:r>
      <w:r w:rsidRPr="00FD7B0B">
        <w:rPr>
          <w:rFonts w:ascii="Times New Roman" w:hAnsi="Times New Roman"/>
          <w:sz w:val="28"/>
          <w:szCs w:val="28"/>
          <w:u w:val="single"/>
        </w:rPr>
        <w:t>фактически</w:t>
      </w:r>
      <w:r w:rsidRPr="00FD7B0B">
        <w:rPr>
          <w:rFonts w:ascii="Times New Roman" w:hAnsi="Times New Roman"/>
          <w:sz w:val="28"/>
          <w:szCs w:val="28"/>
        </w:rPr>
        <w:t xml:space="preserve"> понесенные подрядчиками в конце 2023 года – начале 2024 года при строительстве школ, меньше, чем затраты, предъявленные заказчику намного позднее</w:t>
      </w:r>
      <w:r w:rsidR="00A758BB" w:rsidRPr="00FD7B0B">
        <w:rPr>
          <w:rFonts w:ascii="Times New Roman" w:hAnsi="Times New Roman"/>
          <w:sz w:val="28"/>
          <w:szCs w:val="28"/>
        </w:rPr>
        <w:t xml:space="preserve"> (в ценах 2 и 4 кв. 2024 года).</w:t>
      </w:r>
    </w:p>
    <w:p w14:paraId="5B80C7FA" w14:textId="5497A324"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Таким образом, за счет аванса, т.е. без какого-либо привлечения заемных средств, подрядчики имеют возможность не предъявлять своевременно к оплате выполненные работы, а затягивая получение положительных заключений достоверности определения сметной стоимости – завышать стоимость строительных работ, фактически выполненных</w:t>
      </w:r>
      <w:r w:rsidR="002E07CE" w:rsidRPr="00FD7B0B">
        <w:rPr>
          <w:rFonts w:ascii="Times New Roman" w:hAnsi="Times New Roman"/>
          <w:sz w:val="28"/>
          <w:szCs w:val="28"/>
        </w:rPr>
        <w:t xml:space="preserve"> до получения таких заключений.</w:t>
      </w:r>
    </w:p>
    <w:p w14:paraId="585A33CE" w14:textId="21EEC419"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4. Результаты проведенных контрольных мероприятий позволяют говорить о низком уровне про</w:t>
      </w:r>
      <w:r w:rsidR="002E07CE" w:rsidRPr="00FD7B0B">
        <w:rPr>
          <w:rFonts w:ascii="Times New Roman" w:hAnsi="Times New Roman"/>
          <w:sz w:val="28"/>
          <w:szCs w:val="28"/>
        </w:rPr>
        <w:t>ектной и сметной документации.</w:t>
      </w:r>
    </w:p>
    <w:p w14:paraId="17825D59" w14:textId="36FF74AB"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 при строительстве одного из детских садов области при определении объема и стоимости работ по теплоизоляции магистральных трубопроводов фактически более чем в 16 раз (!!!) завышен объем работ и, соответственно, количество требуемого материала. На запрос КСП АО о необходимости обоснования позиции проектной организации, получен ответ, который дословно звучит следующим образом: «</w:t>
      </w:r>
      <w:r w:rsidRPr="00FD7B0B">
        <w:rPr>
          <w:rFonts w:ascii="Times New Roman" w:hAnsi="Times New Roman"/>
          <w:i/>
          <w:sz w:val="28"/>
          <w:szCs w:val="28"/>
        </w:rPr>
        <w:t>Объем изоляции в спецификации был указан с большим запасом</w:t>
      </w:r>
      <w:r w:rsidRPr="00FD7B0B">
        <w:rPr>
          <w:rFonts w:ascii="Times New Roman" w:hAnsi="Times New Roman"/>
          <w:sz w:val="28"/>
          <w:szCs w:val="28"/>
        </w:rPr>
        <w:t>». С учетом низкого качества строительного контроля со стороны заказчика, подрядчику в данном случае необоснов</w:t>
      </w:r>
      <w:r w:rsidR="00A74D57" w:rsidRPr="00FD7B0B">
        <w:rPr>
          <w:rFonts w:ascii="Times New Roman" w:hAnsi="Times New Roman"/>
          <w:sz w:val="28"/>
          <w:szCs w:val="28"/>
        </w:rPr>
        <w:t>анно перечислено более 1,0 млн.</w:t>
      </w:r>
      <w:r w:rsidRPr="00FD7B0B">
        <w:rPr>
          <w:rFonts w:ascii="Times New Roman" w:hAnsi="Times New Roman"/>
          <w:sz w:val="28"/>
          <w:szCs w:val="28"/>
        </w:rPr>
        <w:t>руб. за работы, которые он фактически и не выполнял.</w:t>
      </w:r>
    </w:p>
    <w:p w14:paraId="7F43EE4E" w14:textId="196E68E6"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Также в первичной проектной документации по строительству одной из школ АО не разработаны проектные решения по устройству дренажной канализации, в результате подвальные помещения подверглись подтоплению. В ходе строительства объекта разработаны проектные решения по устройству дренажной системы водоотведения, но фактически объект сдан в эксплуатацию с частично подтопленным подвалом. В настоящее время подвальные помещения подвержены подтоплению (источник образования воды в повальных помещениях не определен), что негативно сказываетс</w:t>
      </w:r>
      <w:r w:rsidR="00A74D57" w:rsidRPr="00FD7B0B">
        <w:rPr>
          <w:rFonts w:ascii="Times New Roman" w:hAnsi="Times New Roman"/>
          <w:sz w:val="28"/>
          <w:szCs w:val="28"/>
        </w:rPr>
        <w:t>я на эксплуатации здания школы.</w:t>
      </w:r>
    </w:p>
    <w:p w14:paraId="3F1AB25A"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5. Необходимо отметить и тот факт, что ввод объекта в эксплуатацию и полная оплата работ, далеко не всегда гарантирует возможность использовать объект капитального строительства в полном объеме по его назначению.</w:t>
      </w:r>
    </w:p>
    <w:p w14:paraId="7E38EC00" w14:textId="08D5BDF1"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5.1. Например, автомобильная дорога по проспекту Мира на участке от ул. Ушинского до объездной автомобильной дороги «Котлас-Коряжма, км 0 - км 41» </w:t>
      </w:r>
      <w:r w:rsidR="00941AD5" w:rsidRPr="00FD7B0B">
        <w:rPr>
          <w:rFonts w:ascii="Times New Roman" w:hAnsi="Times New Roman"/>
          <w:sz w:val="28"/>
          <w:szCs w:val="28"/>
        </w:rPr>
        <w:lastRenderedPageBreak/>
        <w:t>стоимостью 112,7 млн.</w:t>
      </w:r>
      <w:r w:rsidRPr="00FD7B0B">
        <w:rPr>
          <w:rFonts w:ascii="Times New Roman" w:hAnsi="Times New Roman"/>
          <w:sz w:val="28"/>
          <w:szCs w:val="28"/>
        </w:rPr>
        <w:t xml:space="preserve">руб., построенная в 2022 году, весной 2025 года имеет следующий вид (фотография </w:t>
      </w:r>
      <w:hyperlink r:id="rId54" w:history="1">
        <w:r w:rsidRPr="00FD7B0B">
          <w:rPr>
            <w:rStyle w:val="afb"/>
            <w:rFonts w:ascii="Times New Roman" w:hAnsi="Times New Roman"/>
            <w:color w:val="auto"/>
            <w:sz w:val="28"/>
            <w:szCs w:val="28"/>
          </w:rPr>
          <w:t>https://vk.com/wall173905120_426635</w:t>
        </w:r>
      </w:hyperlink>
      <w:r w:rsidRPr="00FD7B0B">
        <w:rPr>
          <w:rFonts w:ascii="Times New Roman" w:hAnsi="Times New Roman"/>
          <w:sz w:val="28"/>
          <w:szCs w:val="28"/>
        </w:rPr>
        <w:t>).</w:t>
      </w:r>
    </w:p>
    <w:p w14:paraId="68C2BCE0" w14:textId="77777777" w:rsidR="00FB240D" w:rsidRPr="00FD7B0B" w:rsidRDefault="00FB240D" w:rsidP="00FB240D">
      <w:pPr>
        <w:spacing w:after="0" w:line="240" w:lineRule="auto"/>
        <w:ind w:firstLine="709"/>
        <w:jc w:val="both"/>
        <w:rPr>
          <w:rFonts w:ascii="Times New Roman" w:hAnsi="Times New Roman"/>
          <w:sz w:val="28"/>
          <w:szCs w:val="28"/>
        </w:rPr>
      </w:pPr>
    </w:p>
    <w:p w14:paraId="11D4C767" w14:textId="77777777" w:rsidR="00FB240D" w:rsidRPr="00FD7B0B" w:rsidRDefault="00FB240D" w:rsidP="00941AD5">
      <w:pPr>
        <w:spacing w:after="0" w:line="240" w:lineRule="auto"/>
        <w:ind w:firstLine="709"/>
        <w:jc w:val="center"/>
        <w:rPr>
          <w:rFonts w:ascii="Times New Roman" w:hAnsi="Times New Roman"/>
          <w:sz w:val="28"/>
          <w:szCs w:val="28"/>
        </w:rPr>
      </w:pPr>
      <w:r w:rsidRPr="00FD7B0B">
        <w:rPr>
          <w:noProof/>
          <w:lang w:eastAsia="ru-RU"/>
        </w:rPr>
        <w:drawing>
          <wp:inline distT="0" distB="0" distL="0" distR="0" wp14:anchorId="1C66359A" wp14:editId="182320A0">
            <wp:extent cx="4572000" cy="4229100"/>
            <wp:effectExtent l="0" t="0" r="0" b="0"/>
            <wp:docPr id="18" name="Рисунок 18" descr="d:\nester\Downloads\1745413915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nester\Downloads\1745413915080.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4229100"/>
                    </a:xfrm>
                    <a:prstGeom prst="rect">
                      <a:avLst/>
                    </a:prstGeom>
                    <a:noFill/>
                    <a:ln>
                      <a:noFill/>
                    </a:ln>
                  </pic:spPr>
                </pic:pic>
              </a:graphicData>
            </a:graphic>
          </wp:inline>
        </w:drawing>
      </w:r>
    </w:p>
    <w:p w14:paraId="2AF26EB8" w14:textId="77777777" w:rsidR="00FB240D" w:rsidRPr="00FD7B0B" w:rsidRDefault="00FB240D" w:rsidP="00FB240D">
      <w:pPr>
        <w:spacing w:after="0" w:line="240" w:lineRule="auto"/>
        <w:ind w:firstLine="709"/>
        <w:jc w:val="both"/>
        <w:rPr>
          <w:noProof/>
          <w:lang w:eastAsia="ru-RU"/>
        </w:rPr>
      </w:pPr>
    </w:p>
    <w:p w14:paraId="318E5A71"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noProof/>
          <w:sz w:val="28"/>
          <w:szCs w:val="28"/>
          <w:lang w:eastAsia="ru-RU"/>
        </w:rPr>
        <w:t xml:space="preserve">По информации, полученной от Управления капитального строительства и архитектуры </w:t>
      </w:r>
      <w:r w:rsidRPr="00FD7B0B">
        <w:rPr>
          <w:rFonts w:ascii="Times New Roman" w:hAnsi="Times New Roman"/>
          <w:sz w:val="28"/>
          <w:szCs w:val="28"/>
        </w:rPr>
        <w:t>администрации ГО АО «Котлас» в настоящее время, т.е. спустя 3 года, составлен план-график ввода объекта в эксплуатацию, предполагаемый срок – июнь 2025 года.</w:t>
      </w:r>
    </w:p>
    <w:p w14:paraId="3D307379" w14:textId="3BFA3BD1"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5.2. В 2023 году завершено строительство лечебно-диагностического корпуса ГБУЗ Архангельской области «Архангельская областная детская клиническая больница им. П.Г.</w:t>
      </w:r>
      <w:r w:rsidR="00352655" w:rsidRPr="00FD7B0B">
        <w:rPr>
          <w:rFonts w:ascii="Times New Roman" w:hAnsi="Times New Roman"/>
          <w:sz w:val="28"/>
          <w:szCs w:val="28"/>
        </w:rPr>
        <w:t xml:space="preserve"> </w:t>
      </w:r>
      <w:r w:rsidRPr="00FD7B0B">
        <w:rPr>
          <w:rFonts w:ascii="Times New Roman" w:hAnsi="Times New Roman"/>
          <w:sz w:val="28"/>
          <w:szCs w:val="28"/>
        </w:rPr>
        <w:t>Выжлецова».</w:t>
      </w:r>
    </w:p>
    <w:p w14:paraId="06CABB4F" w14:textId="7B5242E4" w:rsidR="00FB240D" w:rsidRPr="00FD7B0B" w:rsidRDefault="00FB240D" w:rsidP="00FB240D">
      <w:pPr>
        <w:spacing w:after="0" w:line="240" w:lineRule="auto"/>
        <w:ind w:firstLine="709"/>
        <w:jc w:val="both"/>
        <w:rPr>
          <w:rFonts w:ascii="Times New Roman" w:hAnsi="Times New Roman"/>
          <w:sz w:val="28"/>
          <w:szCs w:val="28"/>
          <w:lang w:eastAsia="ru-RU" w:bidi="ru-RU"/>
        </w:rPr>
      </w:pPr>
      <w:r w:rsidRPr="00FD7B0B">
        <w:rPr>
          <w:rFonts w:ascii="Times New Roman" w:hAnsi="Times New Roman"/>
          <w:sz w:val="28"/>
          <w:szCs w:val="28"/>
        </w:rPr>
        <w:t>При строительстве данного объекта смонтировано, в т.ч. и медицинское оборудование (</w:t>
      </w:r>
      <w:r w:rsidRPr="00FD7B0B">
        <w:rPr>
          <w:rFonts w:ascii="Times New Roman" w:hAnsi="Times New Roman"/>
          <w:sz w:val="28"/>
          <w:szCs w:val="28"/>
          <w:lang w:eastAsia="ru-RU" w:bidi="ru-RU"/>
        </w:rPr>
        <w:t>светильник хирургический, консоль для распределения медицинских газов и электропитания, система централизованного управления приборами интегрирован</w:t>
      </w:r>
      <w:r w:rsidRPr="00FD7B0B">
        <w:rPr>
          <w:rFonts w:ascii="Times New Roman" w:hAnsi="Times New Roman"/>
          <w:sz w:val="28"/>
          <w:szCs w:val="28"/>
          <w:lang w:eastAsia="ru-RU" w:bidi="ru-RU"/>
        </w:rPr>
        <w:softHyphen/>
        <w:t>ной операционной, осуществления телекоммуникации, о</w:t>
      </w:r>
      <w:r w:rsidR="00941AD5" w:rsidRPr="00FD7B0B">
        <w:rPr>
          <w:rFonts w:ascii="Times New Roman" w:hAnsi="Times New Roman"/>
          <w:sz w:val="28"/>
          <w:szCs w:val="28"/>
          <w:lang w:eastAsia="ru-RU" w:bidi="ru-RU"/>
        </w:rPr>
        <w:t>бмена и сохранения информации).</w:t>
      </w:r>
    </w:p>
    <w:p w14:paraId="2A806AB7" w14:textId="1564FCDA" w:rsidR="00FB240D" w:rsidRPr="00FD7B0B" w:rsidRDefault="00FB240D" w:rsidP="00FB240D">
      <w:pPr>
        <w:spacing w:after="0" w:line="240" w:lineRule="auto"/>
        <w:ind w:firstLine="709"/>
        <w:jc w:val="both"/>
        <w:rPr>
          <w:rFonts w:ascii="Times New Roman" w:hAnsi="Times New Roman"/>
          <w:sz w:val="28"/>
          <w:szCs w:val="28"/>
          <w:lang w:eastAsia="ru-RU" w:bidi="ru-RU"/>
        </w:rPr>
      </w:pPr>
      <w:r w:rsidRPr="00FD7B0B">
        <w:rPr>
          <w:rFonts w:ascii="Times New Roman" w:hAnsi="Times New Roman"/>
          <w:sz w:val="28"/>
          <w:szCs w:val="28"/>
          <w:lang w:eastAsia="ru-RU" w:bidi="ru-RU"/>
        </w:rPr>
        <w:t>В 2024 году поставщик данного оборудования (ООО «ОМК») известил заказчика (ГКУ АО «ГУКС») о том, что данное оборудова</w:t>
      </w:r>
      <w:r w:rsidR="00941AD5" w:rsidRPr="00FD7B0B">
        <w:rPr>
          <w:rFonts w:ascii="Times New Roman" w:hAnsi="Times New Roman"/>
          <w:sz w:val="28"/>
          <w:szCs w:val="28"/>
          <w:lang w:eastAsia="ru-RU" w:bidi="ru-RU"/>
        </w:rPr>
        <w:t>ние общей стоимостью 269,4 млн.</w:t>
      </w:r>
      <w:r w:rsidRPr="00FD7B0B">
        <w:rPr>
          <w:rFonts w:ascii="Times New Roman" w:hAnsi="Times New Roman"/>
          <w:sz w:val="28"/>
          <w:szCs w:val="28"/>
          <w:lang w:eastAsia="ru-RU" w:bidi="ru-RU"/>
        </w:rPr>
        <w:t>руб. является объектом залога (в реестре залогов (</w:t>
      </w:r>
      <w:hyperlink r:id="rId56" w:history="1">
        <w:r w:rsidRPr="00FD7B0B">
          <w:rPr>
            <w:rStyle w:val="afb"/>
            <w:rFonts w:ascii="Times New Roman" w:hAnsi="Times New Roman"/>
            <w:color w:val="auto"/>
            <w:sz w:val="28"/>
            <w:szCs w:val="28"/>
            <w:lang w:eastAsia="ru-RU" w:bidi="ru-RU"/>
          </w:rPr>
          <w:t>https://www.reestr-zalogov.ru</w:t>
        </w:r>
      </w:hyperlink>
      <w:r w:rsidRPr="00FD7B0B">
        <w:rPr>
          <w:rFonts w:ascii="Times New Roman" w:hAnsi="Times New Roman"/>
          <w:sz w:val="28"/>
          <w:szCs w:val="28"/>
          <w:lang w:eastAsia="ru-RU" w:bidi="ru-RU"/>
        </w:rPr>
        <w:t xml:space="preserve">) залог оборудования зарегистрирован 19.04.2024, залогодержателем является ООО «Оптовая медицинская компания»), поскольку поставщик не получил оплату от субподрядной организации – ООО «Сириус». При этом, в адрес генерального подрядчика АО «ПРОМСТРОЙСЕРВИС» денежные </w:t>
      </w:r>
      <w:r w:rsidRPr="00FD7B0B">
        <w:rPr>
          <w:rFonts w:ascii="Times New Roman" w:hAnsi="Times New Roman"/>
          <w:sz w:val="28"/>
          <w:szCs w:val="28"/>
          <w:lang w:eastAsia="ru-RU" w:bidi="ru-RU"/>
        </w:rPr>
        <w:lastRenderedPageBreak/>
        <w:t>средства перечислены в объеме, который соответствует цене контракта. Соответственно, данное об</w:t>
      </w:r>
      <w:r w:rsidR="00941AD5" w:rsidRPr="00FD7B0B">
        <w:rPr>
          <w:rFonts w:ascii="Times New Roman" w:hAnsi="Times New Roman"/>
          <w:sz w:val="28"/>
          <w:szCs w:val="28"/>
          <w:lang w:eastAsia="ru-RU" w:bidi="ru-RU"/>
        </w:rPr>
        <w:t>орудование заказчиком оплачено.</w:t>
      </w:r>
    </w:p>
    <w:p w14:paraId="1B8ABDFB" w14:textId="77777777" w:rsidR="00FB240D" w:rsidRPr="00FD7B0B" w:rsidRDefault="00FB240D" w:rsidP="00FB240D">
      <w:pPr>
        <w:spacing w:after="0" w:line="240" w:lineRule="auto"/>
        <w:ind w:firstLine="709"/>
        <w:jc w:val="both"/>
        <w:rPr>
          <w:rFonts w:ascii="Times New Roman" w:hAnsi="Times New Roman"/>
          <w:sz w:val="28"/>
          <w:szCs w:val="28"/>
          <w:lang w:eastAsia="ru-RU" w:bidi="ru-RU"/>
        </w:rPr>
      </w:pPr>
      <w:r w:rsidRPr="00FD7B0B">
        <w:rPr>
          <w:rFonts w:ascii="Times New Roman" w:hAnsi="Times New Roman"/>
          <w:sz w:val="28"/>
          <w:szCs w:val="28"/>
          <w:lang w:eastAsia="ru-RU" w:bidi="ru-RU"/>
        </w:rPr>
        <w:t>В настоящее время имеется судебное решение, в котором истцу (ООО «ОМК») отказано в принятии обеспечительных мер в виде установления запрета ГКУ АО «ГУКС» и иным лицам осуществлять пользование оборудованием.  Однако, отказ в их применении не лишает заявителя права повторно обратиться с аналогичным ходатайством при появлении новых обстоятельств, обосновывающих необходимость таких мер.</w:t>
      </w:r>
    </w:p>
    <w:p w14:paraId="08E94A59" w14:textId="381D9E7D" w:rsidR="00FB240D" w:rsidRPr="00FD7B0B" w:rsidRDefault="00FB240D" w:rsidP="00FB240D">
      <w:pPr>
        <w:spacing w:after="0" w:line="240" w:lineRule="auto"/>
        <w:ind w:firstLine="709"/>
        <w:jc w:val="both"/>
        <w:rPr>
          <w:rFonts w:ascii="Times New Roman" w:hAnsi="Times New Roman"/>
          <w:sz w:val="28"/>
          <w:szCs w:val="28"/>
          <w:lang w:eastAsia="ru-RU" w:bidi="ru-RU"/>
        </w:rPr>
      </w:pPr>
      <w:r w:rsidRPr="00FD7B0B">
        <w:rPr>
          <w:rFonts w:ascii="Times New Roman" w:hAnsi="Times New Roman"/>
          <w:sz w:val="28"/>
          <w:szCs w:val="28"/>
          <w:lang w:eastAsia="ru-RU" w:bidi="ru-RU"/>
        </w:rPr>
        <w:t>6. Необходимо обратить внимание и на тот факт, что строительные работы иногда осуществляются с нарушением строительных норм и правил. При этом, ни заказчик, ни строительный контроль, ни инспекция государственного строительного контроля не пресекали выполнение т</w:t>
      </w:r>
      <w:r w:rsidR="00D936B8" w:rsidRPr="00FD7B0B">
        <w:rPr>
          <w:rFonts w:ascii="Times New Roman" w:hAnsi="Times New Roman"/>
          <w:sz w:val="28"/>
          <w:szCs w:val="28"/>
          <w:lang w:eastAsia="ru-RU" w:bidi="ru-RU"/>
        </w:rPr>
        <w:t>аких работ.</w:t>
      </w:r>
    </w:p>
    <w:p w14:paraId="78D5F937" w14:textId="1733CCFB" w:rsidR="00FB240D" w:rsidRPr="00FD7B0B" w:rsidRDefault="00FB240D" w:rsidP="00FB240D">
      <w:pPr>
        <w:spacing w:after="0" w:line="240" w:lineRule="auto"/>
        <w:ind w:firstLine="709"/>
        <w:jc w:val="both"/>
        <w:rPr>
          <w:rFonts w:ascii="Times New Roman" w:hAnsi="Times New Roman"/>
          <w:sz w:val="28"/>
          <w:szCs w:val="28"/>
          <w:lang w:eastAsia="ru-RU" w:bidi="ru-RU"/>
        </w:rPr>
      </w:pPr>
      <w:r w:rsidRPr="00FD7B0B">
        <w:rPr>
          <w:rFonts w:ascii="Times New Roman" w:hAnsi="Times New Roman"/>
          <w:sz w:val="28"/>
          <w:szCs w:val="28"/>
          <w:lang w:eastAsia="ru-RU" w:bidi="ru-RU"/>
        </w:rPr>
        <w:t xml:space="preserve"> В результате, в целях дальнейшего строительства объектов заказчики несут дополнительные расходы, связанные с демонтажем ранее построенных конструкций. Так, только в результате настоящего ЭАМ установлено, что такие затраты могут составить минимум </w:t>
      </w:r>
      <w:r w:rsidR="00F55319" w:rsidRPr="00FD7B0B">
        <w:rPr>
          <w:rFonts w:ascii="Times New Roman" w:hAnsi="Times New Roman"/>
          <w:sz w:val="28"/>
          <w:szCs w:val="28"/>
          <w:lang w:eastAsia="ru-RU" w:bidi="ru-RU"/>
        </w:rPr>
        <w:t>67,3 млн.</w:t>
      </w:r>
      <w:r w:rsidRPr="00FD7B0B">
        <w:rPr>
          <w:rFonts w:ascii="Times New Roman" w:hAnsi="Times New Roman"/>
          <w:sz w:val="28"/>
          <w:szCs w:val="28"/>
          <w:lang w:eastAsia="ru-RU" w:bidi="ru-RU"/>
        </w:rPr>
        <w:t>руб.</w:t>
      </w:r>
    </w:p>
    <w:p w14:paraId="43C6BEB9" w14:textId="2096BE69" w:rsidR="00FB240D" w:rsidRPr="00FD7B0B" w:rsidRDefault="00FB240D" w:rsidP="00FB240D">
      <w:pPr>
        <w:spacing w:after="0" w:line="240" w:lineRule="auto"/>
        <w:ind w:firstLine="709"/>
        <w:jc w:val="both"/>
        <w:rPr>
          <w:rFonts w:ascii="Times New Roman" w:hAnsi="Times New Roman"/>
          <w:sz w:val="28"/>
          <w:szCs w:val="28"/>
          <w:lang w:eastAsia="ru-RU" w:bidi="ru-RU"/>
        </w:rPr>
      </w:pPr>
      <w:r w:rsidRPr="00FD7B0B">
        <w:rPr>
          <w:rFonts w:ascii="Times New Roman" w:hAnsi="Times New Roman"/>
          <w:sz w:val="28"/>
          <w:szCs w:val="28"/>
          <w:lang w:eastAsia="ru-RU" w:bidi="ru-RU"/>
        </w:rPr>
        <w:t>Более того, подрядчикам оплачивались работы, выполненные с нарушением строительных норм и правил и результат от которых в последствии демонтирован, и в итоге бюджету области фактически причинен ущерб, связанный с оплатой работ, результат от кот</w:t>
      </w:r>
      <w:r w:rsidR="00F55319" w:rsidRPr="00FD7B0B">
        <w:rPr>
          <w:rFonts w:ascii="Times New Roman" w:hAnsi="Times New Roman"/>
          <w:sz w:val="28"/>
          <w:szCs w:val="28"/>
          <w:lang w:eastAsia="ru-RU" w:bidi="ru-RU"/>
        </w:rPr>
        <w:t>орых не подлежит использованию.</w:t>
      </w:r>
    </w:p>
    <w:p w14:paraId="3A8F8FE8" w14:textId="35B7184F" w:rsidR="00FB240D" w:rsidRPr="00FD7B0B" w:rsidRDefault="00FB240D" w:rsidP="00FB240D">
      <w:pPr>
        <w:spacing w:after="0" w:line="240" w:lineRule="auto"/>
        <w:ind w:firstLine="709"/>
        <w:jc w:val="both"/>
        <w:rPr>
          <w:rFonts w:ascii="Times New Roman" w:hAnsi="Times New Roman"/>
          <w:sz w:val="28"/>
          <w:szCs w:val="28"/>
          <w:lang w:eastAsia="ru-RU" w:bidi="ru-RU"/>
        </w:rPr>
      </w:pPr>
      <w:r w:rsidRPr="00FD7B0B">
        <w:rPr>
          <w:rFonts w:ascii="Times New Roman" w:hAnsi="Times New Roman"/>
          <w:sz w:val="28"/>
          <w:szCs w:val="28"/>
          <w:lang w:eastAsia="ru-RU" w:bidi="ru-RU"/>
        </w:rPr>
        <w:t xml:space="preserve">Так, при строительстве </w:t>
      </w:r>
      <w:r w:rsidRPr="00FD7B0B">
        <w:rPr>
          <w:rFonts w:ascii="Times New Roman" w:hAnsi="Times New Roman"/>
          <w:sz w:val="28"/>
          <w:szCs w:val="28"/>
        </w:rPr>
        <w:t xml:space="preserve">средней общеобразовательной школы на 240 мест в поселке Оксовский Плесецкого района совокупный ущерб бюджету АО составил </w:t>
      </w:r>
      <w:r w:rsidR="00F55319" w:rsidRPr="00FD7B0B">
        <w:rPr>
          <w:rFonts w:ascii="Times New Roman" w:hAnsi="Times New Roman"/>
          <w:sz w:val="28"/>
          <w:szCs w:val="28"/>
        </w:rPr>
        <w:t>203,7 млн.</w:t>
      </w:r>
      <w:r w:rsidRPr="00FD7B0B">
        <w:rPr>
          <w:rFonts w:ascii="Times New Roman" w:hAnsi="Times New Roman"/>
          <w:sz w:val="28"/>
          <w:szCs w:val="28"/>
        </w:rPr>
        <w:t>руб., в т.ч. оплата предъявленных и некачественно выполненны</w:t>
      </w:r>
      <w:r w:rsidR="00F55319" w:rsidRPr="00FD7B0B">
        <w:rPr>
          <w:rFonts w:ascii="Times New Roman" w:hAnsi="Times New Roman"/>
          <w:sz w:val="28"/>
          <w:szCs w:val="28"/>
        </w:rPr>
        <w:t>х работ – 26,7 млн.</w:t>
      </w:r>
      <w:r w:rsidRPr="00FD7B0B">
        <w:rPr>
          <w:rFonts w:ascii="Times New Roman" w:hAnsi="Times New Roman"/>
          <w:sz w:val="28"/>
          <w:szCs w:val="28"/>
        </w:rPr>
        <w:t>руб., неотработанный и невозвращенный</w:t>
      </w:r>
      <w:r w:rsidR="00F55319" w:rsidRPr="00FD7B0B">
        <w:rPr>
          <w:rFonts w:ascii="Times New Roman" w:hAnsi="Times New Roman"/>
          <w:sz w:val="28"/>
          <w:szCs w:val="28"/>
        </w:rPr>
        <w:t xml:space="preserve"> подрядчиком аванс – 113,7 млн.</w:t>
      </w:r>
      <w:r w:rsidRPr="00FD7B0B">
        <w:rPr>
          <w:rFonts w:ascii="Times New Roman" w:hAnsi="Times New Roman"/>
          <w:sz w:val="28"/>
          <w:szCs w:val="28"/>
        </w:rPr>
        <w:t>руб. и затраты на полный демонтаж – 63,3 млн.руб.</w:t>
      </w:r>
    </w:p>
    <w:p w14:paraId="32F71CA3"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lang w:eastAsia="ru-RU" w:bidi="ru-RU"/>
        </w:rPr>
        <w:t xml:space="preserve">7. </w:t>
      </w:r>
      <w:r w:rsidRPr="00FD7B0B">
        <w:rPr>
          <w:rFonts w:ascii="Times New Roman" w:hAnsi="Times New Roman"/>
          <w:sz w:val="28"/>
          <w:szCs w:val="28"/>
        </w:rPr>
        <w:t>Часть объектов, строительство которых осуществлялось в рамках ОАИП более ранних годов, фактически не окончено строительством:</w:t>
      </w:r>
    </w:p>
    <w:p w14:paraId="4D126019"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 муниципальный контракт от 24.06.2019 № 0124200000619002074 на строительство </w:t>
      </w:r>
      <w:r w:rsidRPr="00FD7B0B">
        <w:rPr>
          <w:rFonts w:ascii="Times New Roman" w:hAnsi="Times New Roman"/>
          <w:sz w:val="28"/>
          <w:szCs w:val="28"/>
          <w:u w:val="single"/>
        </w:rPr>
        <w:t>школы на 90 учащихся в с. Долгощелье Мезенского района Архангельской области</w:t>
      </w:r>
      <w:r w:rsidRPr="00FD7B0B">
        <w:rPr>
          <w:rFonts w:ascii="Times New Roman" w:hAnsi="Times New Roman"/>
          <w:sz w:val="28"/>
          <w:szCs w:val="28"/>
        </w:rPr>
        <w:t xml:space="preserve"> заключен между администрацией МО «Мезенский район» (Заказчик) и ООО «Строительно-трастовая компания «Северград» (Подрядчик). Первоначальные условия контракта предполагали окончание строительства объекта 30.11.2020, цену контракта в размере 195,2 млн.руб., отсутствие авансирования и обеспечение исполнения контракта в размере 19,6 млн.руб. (10 % от НМЦК).</w:t>
      </w:r>
    </w:p>
    <w:p w14:paraId="54FD727A"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ходе исполнения контракта, путем заключения дополнительных соглашений, цена контракта увеличена на 162,5 млн.руб. (прирост более 83 % к уровню первоначальной цены) и составила 357,6 млн.руб., авансирование предусмотрено в размере 70 % от цены контракта, а размер обеспечения исполнения контракта остался неизменным.</w:t>
      </w:r>
    </w:p>
    <w:p w14:paraId="1A1D9288"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Согласно данным ЕИС в сфере закупок по состоянию на 21.04.2025 подрядчиком предъявлено работ на сумму 165,9 млн.руб. (или 46,4 % от цены контракта), при этом последний акт о приемке выполненных работ по данному объекту датирован 26.07.2023.</w:t>
      </w:r>
    </w:p>
    <w:p w14:paraId="7B8B2792"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lastRenderedPageBreak/>
        <w:t>Заказчиком осуществлена оплата выполненных работ и авансирование в сумме 319,0 млн.руб. Соответственно, по состоянию на 21.04.2025 размер неотработанного аванса составляет 153,1 млн.руб.</w:t>
      </w:r>
    </w:p>
    <w:p w14:paraId="247A06C6"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Контракт расторгнут в одностороннем порядке по решению заказчика с 20.02.2024. Заказчиком подано исковое заявление в АС АО о взыскании суммы неотработанного аванса. Определением АС АО от 12.03.2025 назначена повторная судебно-строительная экспертиза сроком проведения до 01.10.2025.</w:t>
      </w:r>
    </w:p>
    <w:p w14:paraId="7862A1C8"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Определением АС АО от 13.02.2025 приняты обеспечительные меры, а именно наложен запрет заказчику, новому подрядчику (ООО СЗ «Берег») и ООО «СТК «Северград» на проведение работ по демонтажу результатов ранее выполненных строительно-монтажных работ до окончания проведения судебно-строительной экспертизы.</w:t>
      </w:r>
    </w:p>
    <w:p w14:paraId="7AE57D46" w14:textId="77777777"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Соответственно, дата ввода объекта в эксплуатацию переносится на неопределенный срок.</w:t>
      </w:r>
    </w:p>
    <w:p w14:paraId="5103DDF1" w14:textId="58B2AC0E" w:rsidR="00FB240D" w:rsidRPr="00FD7B0B" w:rsidRDefault="00FB240D" w:rsidP="00FB240D">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 по объекту </w:t>
      </w:r>
      <w:r w:rsidRPr="00FD7B0B">
        <w:rPr>
          <w:rFonts w:ascii="Times New Roman" w:hAnsi="Times New Roman"/>
          <w:sz w:val="28"/>
          <w:szCs w:val="28"/>
          <w:u w:val="single"/>
        </w:rPr>
        <w:t>«Укрепление правого берега реки Северная Двина в Соломбальском территориальном округе г. Архангельска на участке от ул. Маяковского до ул. Кедрова»</w:t>
      </w:r>
      <w:r w:rsidRPr="00FD7B0B">
        <w:rPr>
          <w:rFonts w:ascii="Times New Roman" w:hAnsi="Times New Roman"/>
          <w:sz w:val="28"/>
          <w:szCs w:val="28"/>
        </w:rPr>
        <w:t xml:space="preserve"> контракт расторгнут 25.09.2018 по причине нарушения сроков выполнения работ, а неотработ</w:t>
      </w:r>
      <w:r w:rsidR="00883BB9" w:rsidRPr="00FD7B0B">
        <w:rPr>
          <w:rFonts w:ascii="Times New Roman" w:hAnsi="Times New Roman"/>
          <w:sz w:val="28"/>
          <w:szCs w:val="28"/>
        </w:rPr>
        <w:t>анный аванс в размере 39,2 млн.</w:t>
      </w:r>
      <w:r w:rsidRPr="00FD7B0B">
        <w:rPr>
          <w:rFonts w:ascii="Times New Roman" w:hAnsi="Times New Roman"/>
          <w:sz w:val="28"/>
          <w:szCs w:val="28"/>
        </w:rPr>
        <w:t>руб. в бюджет не возвращен. Окончание строительства объекта отложено на неопределенный срок, принято решение о консервации объекта.</w:t>
      </w:r>
    </w:p>
    <w:p w14:paraId="3C364B19" w14:textId="74519EE8" w:rsidR="00971EC6" w:rsidRPr="00FD7B0B" w:rsidRDefault="009B516C" w:rsidP="00971EC6">
      <w:pPr>
        <w:pStyle w:val="2"/>
        <w:spacing w:line="240" w:lineRule="auto"/>
        <w:jc w:val="center"/>
        <w:rPr>
          <w:rFonts w:ascii="Times New Roman" w:hAnsi="Times New Roman"/>
          <w:lang w:val="ru-RU"/>
        </w:rPr>
      </w:pPr>
      <w:bookmarkStart w:id="151" w:name="_Toc198819153"/>
      <w:r w:rsidRPr="00FD7B0B">
        <w:rPr>
          <w:rFonts w:ascii="Times New Roman" w:hAnsi="Times New Roman"/>
          <w:lang w:val="ru-RU"/>
        </w:rPr>
        <w:t>4</w:t>
      </w:r>
      <w:r w:rsidR="00971EC6" w:rsidRPr="00FD7B0B">
        <w:rPr>
          <w:rFonts w:ascii="Times New Roman" w:hAnsi="Times New Roman"/>
          <w:lang w:val="ru-RU"/>
        </w:rPr>
        <w:t>.</w:t>
      </w:r>
      <w:r w:rsidR="00AE71F4" w:rsidRPr="00FD7B0B">
        <w:rPr>
          <w:rFonts w:ascii="Times New Roman" w:hAnsi="Times New Roman"/>
          <w:lang w:val="ru-RU"/>
        </w:rPr>
        <w:t>5</w:t>
      </w:r>
      <w:r w:rsidR="00971EC6" w:rsidRPr="00FD7B0B">
        <w:rPr>
          <w:rFonts w:ascii="Times New Roman" w:hAnsi="Times New Roman"/>
          <w:lang w:val="ru-RU"/>
        </w:rPr>
        <w:t>. Дорожный фонд Архангельской области</w:t>
      </w:r>
      <w:bookmarkEnd w:id="151"/>
      <w:r w:rsidR="00971EC6" w:rsidRPr="00FD7B0B">
        <w:rPr>
          <w:rFonts w:ascii="Times New Roman" w:hAnsi="Times New Roman"/>
          <w:lang w:val="ru-RU"/>
        </w:rPr>
        <w:t xml:space="preserve"> </w:t>
      </w:r>
    </w:p>
    <w:p w14:paraId="0131AFA0" w14:textId="5935E3FE" w:rsidR="00CD5B8C" w:rsidRPr="00FD7B0B" w:rsidRDefault="00CD5B8C" w:rsidP="00CD5B8C">
      <w:pPr>
        <w:spacing w:after="0" w:line="240" w:lineRule="auto"/>
        <w:ind w:firstLine="709"/>
        <w:jc w:val="both"/>
        <w:rPr>
          <w:rFonts w:ascii="Times New Roman" w:hAnsi="Times New Roman"/>
          <w:sz w:val="28"/>
          <w:szCs w:val="28"/>
        </w:rPr>
      </w:pPr>
      <w:bookmarkStart w:id="152" w:name="_Toc26445483"/>
      <w:r w:rsidRPr="00FD7B0B">
        <w:rPr>
          <w:rFonts w:ascii="Times New Roman" w:hAnsi="Times New Roman"/>
          <w:sz w:val="28"/>
          <w:szCs w:val="28"/>
        </w:rPr>
        <w:t xml:space="preserve">Согласно п. 1 ст. 8 Закона «Об областном бюджете» за 2024 год (в ред. от 23.12.2024) общий объем дорожного фонда Архангельской области (далее – ДФ АО) на 2024 год утвержден в сумме 12 177,4 </w:t>
      </w:r>
      <w:r w:rsidRPr="00FD7B0B">
        <w:rPr>
          <w:rFonts w:ascii="Times New Roman" w:hAnsi="Times New Roman" w:cs="Times New Roman"/>
          <w:sz w:val="28"/>
          <w:szCs w:val="28"/>
        </w:rPr>
        <w:t xml:space="preserve">млн руб. или </w:t>
      </w:r>
      <w:r w:rsidRPr="00FD7B0B">
        <w:rPr>
          <w:rFonts w:ascii="Times New Roman" w:hAnsi="Times New Roman"/>
          <w:sz w:val="28"/>
          <w:szCs w:val="28"/>
        </w:rPr>
        <w:t>уменьшен на 46,6 млн.руб. или на 0,4 % по сравнению с показателем первоначальной редакции Закона «Об областном бюджете».</w:t>
      </w:r>
    </w:p>
    <w:p w14:paraId="6A2B2E04" w14:textId="77777777" w:rsidR="00CD5B8C" w:rsidRPr="00FD7B0B" w:rsidRDefault="00CD5B8C" w:rsidP="00CD5B8C">
      <w:pPr>
        <w:spacing w:after="0" w:line="240" w:lineRule="auto"/>
        <w:ind w:firstLine="709"/>
        <w:jc w:val="both"/>
        <w:rPr>
          <w:rFonts w:ascii="Times New Roman" w:hAnsi="Times New Roman"/>
          <w:sz w:val="28"/>
          <w:szCs w:val="28"/>
        </w:rPr>
      </w:pPr>
      <w:r w:rsidRPr="00FD7B0B">
        <w:rPr>
          <w:rFonts w:ascii="Times New Roman" w:hAnsi="Times New Roman"/>
          <w:sz w:val="28"/>
          <w:szCs w:val="28"/>
        </w:rPr>
        <w:t>Источники ДФ АО исполнены на 104,5 % от уточненных плановых значений, в том числе исполнение за счет собственных источников выполнено на 105,6%. Необходимо отметить, что по двум источникам ДФ АО в 2024 году не выполнены плановые значения:</w:t>
      </w:r>
    </w:p>
    <w:p w14:paraId="159145B2" w14:textId="51A9459B" w:rsidR="00CD5B8C" w:rsidRPr="00FD7B0B" w:rsidRDefault="00CD5B8C" w:rsidP="007143A9">
      <w:pPr>
        <w:spacing w:after="0" w:line="240" w:lineRule="auto"/>
        <w:ind w:firstLine="709"/>
        <w:jc w:val="both"/>
        <w:rPr>
          <w:rFonts w:ascii="Times New Roman" w:hAnsi="Times New Roman"/>
          <w:sz w:val="28"/>
          <w:szCs w:val="28"/>
        </w:rPr>
      </w:pPr>
      <w:r w:rsidRPr="00FD7B0B">
        <w:rPr>
          <w:rFonts w:ascii="Times New Roman" w:hAnsi="Times New Roman"/>
          <w:sz w:val="28"/>
          <w:szCs w:val="28"/>
        </w:rPr>
        <w:t>- безвозмездные поступления от физических и юридических лиц исполнение 67,2</w:t>
      </w:r>
      <w:r w:rsidR="007143A9" w:rsidRPr="00FD7B0B">
        <w:rPr>
          <w:rFonts w:ascii="Times New Roman" w:hAnsi="Times New Roman"/>
          <w:sz w:val="28"/>
          <w:szCs w:val="28"/>
        </w:rPr>
        <w:t xml:space="preserve"> </w:t>
      </w:r>
      <w:r w:rsidRPr="00FD7B0B">
        <w:rPr>
          <w:rFonts w:ascii="Times New Roman" w:hAnsi="Times New Roman"/>
          <w:sz w:val="28"/>
          <w:szCs w:val="28"/>
        </w:rPr>
        <w:t>%,</w:t>
      </w:r>
    </w:p>
    <w:p w14:paraId="012B6E5F" w14:textId="65E0199B" w:rsidR="00CD5B8C" w:rsidRPr="00FD7B0B" w:rsidRDefault="00CD5B8C" w:rsidP="007143A9">
      <w:pPr>
        <w:spacing w:after="0" w:line="240" w:lineRule="auto"/>
        <w:ind w:firstLine="709"/>
        <w:jc w:val="both"/>
        <w:rPr>
          <w:rFonts w:ascii="Times New Roman" w:hAnsi="Times New Roman"/>
          <w:sz w:val="28"/>
          <w:szCs w:val="28"/>
        </w:rPr>
      </w:pPr>
      <w:r w:rsidRPr="00FD7B0B">
        <w:rPr>
          <w:rFonts w:ascii="Times New Roman" w:hAnsi="Times New Roman"/>
          <w:sz w:val="28"/>
          <w:szCs w:val="28"/>
        </w:rPr>
        <w:t>- доходы от штрафов за нарушение законодательства РФ о безопасности дорожного движения исполнение 89,9</w:t>
      </w:r>
      <w:r w:rsidR="007143A9" w:rsidRPr="00FD7B0B">
        <w:rPr>
          <w:rFonts w:ascii="Times New Roman" w:hAnsi="Times New Roman"/>
          <w:sz w:val="28"/>
          <w:szCs w:val="28"/>
        </w:rPr>
        <w:t xml:space="preserve"> </w:t>
      </w:r>
      <w:r w:rsidRPr="00FD7B0B">
        <w:rPr>
          <w:rFonts w:ascii="Times New Roman" w:hAnsi="Times New Roman"/>
          <w:sz w:val="28"/>
          <w:szCs w:val="28"/>
        </w:rPr>
        <w:t>%.</w:t>
      </w:r>
    </w:p>
    <w:p w14:paraId="40529A7C" w14:textId="77777777" w:rsidR="00CD5B8C" w:rsidRPr="00FD7B0B" w:rsidRDefault="00CD5B8C" w:rsidP="00877A59">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структуре доходов Дорожного фонда за 2024 год наибольшая доля приходиться на:</w:t>
      </w:r>
    </w:p>
    <w:p w14:paraId="3BFD6B4D" w14:textId="6CD545E7" w:rsidR="00CD5B8C" w:rsidRPr="00FD7B0B" w:rsidRDefault="00CD5B8C" w:rsidP="00877A59">
      <w:pPr>
        <w:spacing w:after="0" w:line="240" w:lineRule="auto"/>
        <w:ind w:firstLine="709"/>
        <w:jc w:val="both"/>
        <w:rPr>
          <w:rFonts w:ascii="Times New Roman" w:hAnsi="Times New Roman"/>
          <w:sz w:val="28"/>
          <w:szCs w:val="28"/>
        </w:rPr>
      </w:pPr>
      <w:r w:rsidRPr="00FD7B0B">
        <w:rPr>
          <w:rFonts w:ascii="Times New Roman" w:hAnsi="Times New Roman"/>
          <w:sz w:val="28"/>
          <w:szCs w:val="28"/>
        </w:rPr>
        <w:t>- доходы от уплаты акцизов на нефтепродукты – 68,0</w:t>
      </w:r>
      <w:r w:rsidR="00877A59" w:rsidRPr="00FD7B0B">
        <w:rPr>
          <w:rFonts w:ascii="Times New Roman" w:hAnsi="Times New Roman"/>
          <w:sz w:val="28"/>
          <w:szCs w:val="28"/>
        </w:rPr>
        <w:t xml:space="preserve"> </w:t>
      </w:r>
      <w:r w:rsidRPr="00FD7B0B">
        <w:rPr>
          <w:rFonts w:ascii="Times New Roman" w:hAnsi="Times New Roman"/>
          <w:sz w:val="28"/>
          <w:szCs w:val="28"/>
        </w:rPr>
        <w:t>%,</w:t>
      </w:r>
    </w:p>
    <w:p w14:paraId="040A442A" w14:textId="4CE7A7A1" w:rsidR="00CD5B8C" w:rsidRPr="00FD7B0B" w:rsidRDefault="00CD5B8C" w:rsidP="00877A59">
      <w:pPr>
        <w:spacing w:after="0" w:line="240" w:lineRule="auto"/>
        <w:ind w:firstLine="709"/>
        <w:jc w:val="both"/>
        <w:rPr>
          <w:rFonts w:ascii="Times New Roman" w:hAnsi="Times New Roman"/>
          <w:sz w:val="28"/>
          <w:szCs w:val="28"/>
        </w:rPr>
      </w:pPr>
      <w:r w:rsidRPr="00FD7B0B">
        <w:rPr>
          <w:rFonts w:ascii="Times New Roman" w:hAnsi="Times New Roman"/>
          <w:sz w:val="28"/>
          <w:szCs w:val="28"/>
        </w:rPr>
        <w:t>- межбюджетные трансферты из федерального бюджета – 18,4</w:t>
      </w:r>
      <w:r w:rsidR="00877A59" w:rsidRPr="00FD7B0B">
        <w:rPr>
          <w:rFonts w:ascii="Times New Roman" w:hAnsi="Times New Roman"/>
          <w:sz w:val="28"/>
          <w:szCs w:val="28"/>
        </w:rPr>
        <w:t xml:space="preserve"> </w:t>
      </w:r>
      <w:r w:rsidRPr="00FD7B0B">
        <w:rPr>
          <w:rFonts w:ascii="Times New Roman" w:hAnsi="Times New Roman"/>
          <w:sz w:val="28"/>
          <w:szCs w:val="28"/>
        </w:rPr>
        <w:t>%.</w:t>
      </w:r>
    </w:p>
    <w:p w14:paraId="18E5B4E9" w14:textId="4BD031A7" w:rsidR="00CD5B8C" w:rsidRPr="00FD7B0B" w:rsidRDefault="00CD5B8C" w:rsidP="00877A59">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Сопоставление расходов Дорожного фонда АО за 2020 </w:t>
      </w:r>
      <w:r w:rsidR="00424B5A" w:rsidRPr="00FD7B0B">
        <w:rPr>
          <w:rFonts w:ascii="Times New Roman" w:hAnsi="Times New Roman"/>
          <w:sz w:val="28"/>
          <w:szCs w:val="28"/>
        </w:rPr>
        <w:t xml:space="preserve">– </w:t>
      </w:r>
      <w:r w:rsidRPr="00FD7B0B">
        <w:rPr>
          <w:rFonts w:ascii="Times New Roman" w:hAnsi="Times New Roman"/>
          <w:sz w:val="28"/>
          <w:szCs w:val="28"/>
        </w:rPr>
        <w:t>2024 годы представлено на ри</w:t>
      </w:r>
      <w:r w:rsidR="00877A59" w:rsidRPr="00FD7B0B">
        <w:rPr>
          <w:rFonts w:ascii="Times New Roman" w:hAnsi="Times New Roman"/>
          <w:sz w:val="28"/>
          <w:szCs w:val="28"/>
        </w:rPr>
        <w:t xml:space="preserve">сунке </w:t>
      </w:r>
      <w:r w:rsidR="00424B5A" w:rsidRPr="00FD7B0B">
        <w:rPr>
          <w:rFonts w:ascii="Times New Roman" w:hAnsi="Times New Roman"/>
          <w:sz w:val="28"/>
          <w:szCs w:val="28"/>
        </w:rPr>
        <w:t>37</w:t>
      </w:r>
      <w:r w:rsidRPr="00FD7B0B">
        <w:rPr>
          <w:rFonts w:ascii="Times New Roman" w:hAnsi="Times New Roman"/>
          <w:sz w:val="28"/>
          <w:szCs w:val="28"/>
        </w:rPr>
        <w:t>.</w:t>
      </w:r>
    </w:p>
    <w:p w14:paraId="6E382B38" w14:textId="5A87F3C9" w:rsidR="00FA35E7" w:rsidRPr="00FD7B0B" w:rsidRDefault="00424B5A" w:rsidP="00424B5A">
      <w:pPr>
        <w:spacing w:after="0" w:line="240" w:lineRule="auto"/>
        <w:jc w:val="center"/>
        <w:rPr>
          <w:rFonts w:ascii="Times New Roman" w:hAnsi="Times New Roman"/>
          <w:sz w:val="28"/>
          <w:szCs w:val="28"/>
        </w:rPr>
      </w:pPr>
      <w:r w:rsidRPr="00FD7B0B">
        <w:rPr>
          <w:rFonts w:ascii="Times New Roman" w:hAnsi="Times New Roman"/>
          <w:noProof/>
          <w:sz w:val="28"/>
          <w:szCs w:val="28"/>
          <w:lang w:eastAsia="ru-RU"/>
        </w:rPr>
        <w:lastRenderedPageBreak/>
        <w:drawing>
          <wp:inline distT="0" distB="0" distL="0" distR="0" wp14:anchorId="0C814BBD" wp14:editId="658FD915">
            <wp:extent cx="5779770" cy="22313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79770" cy="2231390"/>
                    </a:xfrm>
                    <a:prstGeom prst="rect">
                      <a:avLst/>
                    </a:prstGeom>
                    <a:noFill/>
                  </pic:spPr>
                </pic:pic>
              </a:graphicData>
            </a:graphic>
          </wp:inline>
        </w:drawing>
      </w:r>
    </w:p>
    <w:p w14:paraId="7B60AD4F" w14:textId="092D28DE" w:rsidR="00CD5B8C" w:rsidRPr="00FD7B0B" w:rsidRDefault="00CD5B8C" w:rsidP="00F14E6B">
      <w:pPr>
        <w:spacing w:after="0" w:line="240" w:lineRule="auto"/>
        <w:rPr>
          <w:rFonts w:ascii="Times New Roman" w:hAnsi="Times New Roman" w:cs="Times New Roman"/>
          <w:sz w:val="24"/>
          <w:szCs w:val="24"/>
        </w:rPr>
      </w:pPr>
      <w:r w:rsidRPr="00FD7B0B">
        <w:rPr>
          <w:rFonts w:ascii="Times New Roman" w:hAnsi="Times New Roman" w:cs="Times New Roman"/>
          <w:sz w:val="24"/>
          <w:szCs w:val="24"/>
        </w:rPr>
        <w:t xml:space="preserve">Рисунок </w:t>
      </w:r>
      <w:r w:rsidRPr="00FD7B0B">
        <w:rPr>
          <w:rFonts w:ascii="Times New Roman" w:hAnsi="Times New Roman" w:cs="Times New Roman"/>
          <w:sz w:val="24"/>
          <w:szCs w:val="24"/>
        </w:rPr>
        <w:fldChar w:fldCharType="begin"/>
      </w:r>
      <w:r w:rsidRPr="00FD7B0B">
        <w:rPr>
          <w:rFonts w:ascii="Times New Roman" w:hAnsi="Times New Roman" w:cs="Times New Roman"/>
          <w:sz w:val="24"/>
          <w:szCs w:val="24"/>
        </w:rPr>
        <w:instrText xml:space="preserve"> SEQ Рисунок \* ARABIC </w:instrText>
      </w:r>
      <w:r w:rsidRPr="00FD7B0B">
        <w:rPr>
          <w:rFonts w:ascii="Times New Roman" w:hAnsi="Times New Roman" w:cs="Times New Roman"/>
          <w:sz w:val="24"/>
          <w:szCs w:val="24"/>
        </w:rPr>
        <w:fldChar w:fldCharType="separate"/>
      </w:r>
      <w:r w:rsidR="002959CD" w:rsidRPr="00FD7B0B">
        <w:rPr>
          <w:rFonts w:ascii="Times New Roman" w:hAnsi="Times New Roman" w:cs="Times New Roman"/>
          <w:noProof/>
          <w:sz w:val="24"/>
          <w:szCs w:val="24"/>
        </w:rPr>
        <w:t>37</w:t>
      </w:r>
      <w:r w:rsidRPr="00FD7B0B">
        <w:rPr>
          <w:rFonts w:ascii="Times New Roman" w:hAnsi="Times New Roman" w:cs="Times New Roman"/>
          <w:sz w:val="24"/>
          <w:szCs w:val="24"/>
        </w:rPr>
        <w:fldChar w:fldCharType="end"/>
      </w:r>
      <w:r w:rsidRPr="00FD7B0B">
        <w:rPr>
          <w:rFonts w:ascii="Times New Roman" w:hAnsi="Times New Roman" w:cs="Times New Roman"/>
          <w:sz w:val="24"/>
          <w:szCs w:val="24"/>
        </w:rPr>
        <w:t>. Сопоставление расходов ДФ АО за 2020</w:t>
      </w:r>
      <w:r w:rsidR="00F14E6B" w:rsidRPr="00FD7B0B">
        <w:rPr>
          <w:rFonts w:ascii="Times New Roman" w:hAnsi="Times New Roman" w:cs="Times New Roman"/>
          <w:sz w:val="24"/>
          <w:szCs w:val="24"/>
        </w:rPr>
        <w:t xml:space="preserve"> – </w:t>
      </w:r>
      <w:r w:rsidRPr="00FD7B0B">
        <w:rPr>
          <w:rFonts w:ascii="Times New Roman" w:hAnsi="Times New Roman" w:cs="Times New Roman"/>
          <w:sz w:val="24"/>
          <w:szCs w:val="24"/>
        </w:rPr>
        <w:t>2024 годы, млн руб.</w:t>
      </w:r>
    </w:p>
    <w:p w14:paraId="1BE5971C" w14:textId="30B55EAF" w:rsidR="00F14E6B" w:rsidRPr="00FD7B0B" w:rsidRDefault="00F14E6B" w:rsidP="00F14E6B">
      <w:pPr>
        <w:spacing w:after="0" w:line="240" w:lineRule="auto"/>
        <w:ind w:firstLine="709"/>
        <w:jc w:val="both"/>
        <w:rPr>
          <w:rFonts w:ascii="Times New Roman" w:hAnsi="Times New Roman"/>
          <w:sz w:val="28"/>
          <w:szCs w:val="28"/>
        </w:rPr>
      </w:pPr>
    </w:p>
    <w:p w14:paraId="46E5AF27" w14:textId="38FE270E" w:rsidR="00CD5B8C" w:rsidRPr="00FD7B0B" w:rsidRDefault="00CD5B8C" w:rsidP="00F14E6B">
      <w:pPr>
        <w:spacing w:after="0" w:line="240" w:lineRule="auto"/>
        <w:ind w:firstLine="709"/>
        <w:jc w:val="both"/>
        <w:rPr>
          <w:rFonts w:ascii="Times New Roman" w:hAnsi="Times New Roman"/>
          <w:sz w:val="28"/>
          <w:szCs w:val="28"/>
        </w:rPr>
      </w:pPr>
      <w:r w:rsidRPr="00FD7B0B">
        <w:rPr>
          <w:rFonts w:ascii="Times New Roman" w:hAnsi="Times New Roman"/>
          <w:sz w:val="28"/>
          <w:szCs w:val="28"/>
        </w:rPr>
        <w:t>Исполнение расходов ДФ АО за 2024 год составляет 12 335,1 млн руб. или 97,5 % от уточненной сводной бюджетной росписи, по отношению к аналогичным расходам 2023 года снижение на 30,3</w:t>
      </w:r>
      <w:r w:rsidR="00F14E6B" w:rsidRPr="00FD7B0B">
        <w:rPr>
          <w:rFonts w:ascii="Times New Roman" w:hAnsi="Times New Roman"/>
          <w:sz w:val="28"/>
          <w:szCs w:val="28"/>
        </w:rPr>
        <w:t xml:space="preserve"> </w:t>
      </w:r>
      <w:r w:rsidRPr="00FD7B0B">
        <w:rPr>
          <w:rFonts w:ascii="Times New Roman" w:hAnsi="Times New Roman"/>
          <w:sz w:val="28"/>
          <w:szCs w:val="28"/>
        </w:rPr>
        <w:t>%.</w:t>
      </w:r>
    </w:p>
    <w:p w14:paraId="45AC7E4F" w14:textId="42AB7F7A" w:rsidR="00F14E6B" w:rsidRPr="00FD7B0B" w:rsidRDefault="00CD5B8C" w:rsidP="00A51A52">
      <w:pPr>
        <w:spacing w:after="0" w:line="240" w:lineRule="auto"/>
        <w:ind w:firstLine="709"/>
        <w:jc w:val="both"/>
        <w:rPr>
          <w:rFonts w:ascii="Times New Roman" w:hAnsi="Times New Roman"/>
          <w:sz w:val="28"/>
          <w:szCs w:val="28"/>
        </w:rPr>
      </w:pPr>
      <w:r w:rsidRPr="00FD7B0B">
        <w:rPr>
          <w:rFonts w:ascii="Times New Roman" w:hAnsi="Times New Roman"/>
          <w:sz w:val="28"/>
          <w:szCs w:val="28"/>
        </w:rPr>
        <w:t>Реализация ДФ АО в 2024 году осуществлялась за счет трех государственных программ и непрограммных расходов, из которых доля расходов, направленных на реализацию мероприятий ГП № 19 составила 97,9</w:t>
      </w:r>
      <w:r w:rsidR="00F14E6B" w:rsidRPr="00FD7B0B">
        <w:rPr>
          <w:rFonts w:ascii="Times New Roman" w:hAnsi="Times New Roman"/>
          <w:sz w:val="28"/>
          <w:szCs w:val="28"/>
        </w:rPr>
        <w:t xml:space="preserve"> </w:t>
      </w:r>
      <w:r w:rsidR="00A51A52" w:rsidRPr="00FD7B0B">
        <w:rPr>
          <w:rFonts w:ascii="Times New Roman" w:hAnsi="Times New Roman"/>
          <w:sz w:val="28"/>
          <w:szCs w:val="28"/>
        </w:rPr>
        <w:t>%.</w:t>
      </w:r>
    </w:p>
    <w:p w14:paraId="4502C1CD" w14:textId="229E83FC" w:rsidR="00CD5B8C" w:rsidRPr="00FD7B0B" w:rsidRDefault="00CD5B8C" w:rsidP="00F14E6B">
      <w:pPr>
        <w:spacing w:after="0" w:line="240" w:lineRule="auto"/>
        <w:ind w:firstLine="709"/>
        <w:jc w:val="both"/>
        <w:rPr>
          <w:rFonts w:ascii="Times New Roman" w:hAnsi="Times New Roman"/>
          <w:sz w:val="28"/>
          <w:szCs w:val="28"/>
        </w:rPr>
      </w:pPr>
      <w:r w:rsidRPr="00FD7B0B">
        <w:rPr>
          <w:rFonts w:ascii="Times New Roman" w:hAnsi="Times New Roman"/>
          <w:sz w:val="28"/>
          <w:szCs w:val="28"/>
        </w:rPr>
        <w:t>В составе документов к Отчету об исполнении областного бюджета за 2024 год приложение о выполнении мероприятий, определенных п. 2 ст. 8 Закона «Об областном бюд</w:t>
      </w:r>
      <w:r w:rsidR="00F14E6B" w:rsidRPr="00FD7B0B">
        <w:rPr>
          <w:rFonts w:ascii="Times New Roman" w:hAnsi="Times New Roman"/>
          <w:sz w:val="28"/>
          <w:szCs w:val="28"/>
        </w:rPr>
        <w:t>жете» в 2024 году, отсутствует.</w:t>
      </w:r>
    </w:p>
    <w:p w14:paraId="15D1AC2B" w14:textId="211B835F" w:rsidR="00CD5B8C" w:rsidRPr="00FD7B0B" w:rsidRDefault="00CD5B8C" w:rsidP="00367DFA">
      <w:pPr>
        <w:spacing w:after="0" w:line="240" w:lineRule="auto"/>
        <w:ind w:firstLine="709"/>
        <w:jc w:val="both"/>
        <w:rPr>
          <w:rFonts w:ascii="Times New Roman" w:hAnsi="Times New Roman"/>
          <w:sz w:val="28"/>
          <w:szCs w:val="28"/>
        </w:rPr>
      </w:pPr>
      <w:r w:rsidRPr="00FD7B0B">
        <w:rPr>
          <w:rFonts w:ascii="Times New Roman" w:hAnsi="Times New Roman"/>
          <w:sz w:val="28"/>
          <w:szCs w:val="28"/>
        </w:rPr>
        <w:t xml:space="preserve">Условия, установленные в абзаце первом пункта 2 статьи 8 </w:t>
      </w:r>
      <w:r w:rsidR="002A3CFF" w:rsidRPr="00FD7B0B">
        <w:rPr>
          <w:rFonts w:ascii="Times New Roman" w:hAnsi="Times New Roman"/>
          <w:sz w:val="28"/>
          <w:szCs w:val="28"/>
        </w:rPr>
        <w:t>Закона «Об областном бюджете»</w:t>
      </w:r>
      <w:r w:rsidRPr="00FD7B0B">
        <w:rPr>
          <w:rFonts w:ascii="Times New Roman" w:hAnsi="Times New Roman"/>
          <w:sz w:val="28"/>
          <w:szCs w:val="28"/>
        </w:rPr>
        <w:t>, направить не менее 5 процентов объема бюджетных ассигнований дорожного фонда Архангельской области, формируемого за счет доходов областного бюджета от акцизов на автомобильный бензин, прямогонный бензин, дизельное топливо, моторные масла для дизельных и (или) карбюраторных (инжекторных) двигателей, производимые на территории Российской Федерации, а также трансп</w:t>
      </w:r>
      <w:r w:rsidR="00367DFA" w:rsidRPr="00FD7B0B">
        <w:rPr>
          <w:rFonts w:ascii="Times New Roman" w:hAnsi="Times New Roman"/>
          <w:sz w:val="28"/>
          <w:szCs w:val="28"/>
        </w:rPr>
        <w:t>ортного налога, выполнены.</w:t>
      </w:r>
    </w:p>
    <w:p w14:paraId="27C6A72B" w14:textId="70C5AD30" w:rsidR="00CD5B8C" w:rsidRPr="00FD7B0B" w:rsidRDefault="00CD5B8C" w:rsidP="00CD5B8C">
      <w:pPr>
        <w:spacing w:after="0" w:line="240" w:lineRule="auto"/>
        <w:ind w:firstLine="708"/>
        <w:jc w:val="both"/>
        <w:rPr>
          <w:rFonts w:ascii="Times New Roman" w:hAnsi="Times New Roman" w:cs="Times New Roman"/>
          <w:sz w:val="28"/>
          <w:szCs w:val="28"/>
        </w:rPr>
      </w:pPr>
      <w:r w:rsidRPr="00FD7B0B">
        <w:rPr>
          <w:rFonts w:ascii="Times New Roman" w:hAnsi="Times New Roman" w:cs="Times New Roman"/>
          <w:sz w:val="28"/>
          <w:szCs w:val="28"/>
        </w:rPr>
        <w:t>Фактическое исполнение мероприятий,</w:t>
      </w:r>
      <w:r w:rsidRPr="00FD7B0B">
        <w:t xml:space="preserve"> </w:t>
      </w:r>
      <w:r w:rsidRPr="00FD7B0B">
        <w:rPr>
          <w:rFonts w:ascii="Times New Roman" w:hAnsi="Times New Roman" w:cs="Times New Roman"/>
          <w:sz w:val="28"/>
          <w:szCs w:val="28"/>
        </w:rPr>
        <w:t>определенных п. 2 ст. 8 Закона «Об областном бюджете», в 2024 году составляет 1 138,3 млн</w:t>
      </w:r>
      <w:r w:rsidR="002A3CFF" w:rsidRPr="00FD7B0B">
        <w:rPr>
          <w:rFonts w:ascii="Times New Roman" w:hAnsi="Times New Roman" w:cs="Times New Roman"/>
          <w:sz w:val="28"/>
          <w:szCs w:val="28"/>
        </w:rPr>
        <w:t>.</w:t>
      </w:r>
      <w:r w:rsidRPr="00FD7B0B">
        <w:rPr>
          <w:rFonts w:ascii="Times New Roman" w:hAnsi="Times New Roman" w:cs="Times New Roman"/>
          <w:sz w:val="28"/>
          <w:szCs w:val="28"/>
        </w:rPr>
        <w:t>руб. или 11,9</w:t>
      </w:r>
      <w:r w:rsidR="002A3CFF" w:rsidRPr="00FD7B0B">
        <w:rPr>
          <w:rFonts w:ascii="Times New Roman" w:hAnsi="Times New Roman" w:cs="Times New Roman"/>
          <w:sz w:val="28"/>
          <w:szCs w:val="28"/>
        </w:rPr>
        <w:t xml:space="preserve"> </w:t>
      </w:r>
      <w:r w:rsidRPr="00FD7B0B">
        <w:rPr>
          <w:rFonts w:ascii="Times New Roman" w:hAnsi="Times New Roman" w:cs="Times New Roman"/>
          <w:sz w:val="28"/>
          <w:szCs w:val="28"/>
        </w:rPr>
        <w:t>% к плану.</w:t>
      </w:r>
    </w:p>
    <w:p w14:paraId="28A4EE58" w14:textId="016800F5" w:rsidR="00971EC6" w:rsidRPr="00FD7B0B" w:rsidRDefault="009B516C" w:rsidP="00971EC6">
      <w:pPr>
        <w:pStyle w:val="2"/>
        <w:spacing w:line="240" w:lineRule="auto"/>
        <w:jc w:val="center"/>
        <w:rPr>
          <w:rFonts w:ascii="Times New Roman" w:hAnsi="Times New Roman"/>
          <w:lang w:val="ru-RU"/>
        </w:rPr>
      </w:pPr>
      <w:bookmarkStart w:id="153" w:name="_Toc198819154"/>
      <w:r w:rsidRPr="00FD7B0B">
        <w:rPr>
          <w:rFonts w:ascii="Times New Roman" w:hAnsi="Times New Roman"/>
          <w:lang w:val="ru-RU"/>
        </w:rPr>
        <w:t>4</w:t>
      </w:r>
      <w:r w:rsidR="00971EC6" w:rsidRPr="00FD7B0B">
        <w:rPr>
          <w:rFonts w:ascii="Times New Roman" w:hAnsi="Times New Roman"/>
          <w:lang w:val="ru-RU"/>
        </w:rPr>
        <w:t>.</w:t>
      </w:r>
      <w:r w:rsidR="00C74867" w:rsidRPr="00FD7B0B">
        <w:rPr>
          <w:rFonts w:ascii="Times New Roman" w:hAnsi="Times New Roman"/>
          <w:lang w:val="ru-RU"/>
        </w:rPr>
        <w:t>6</w:t>
      </w:r>
      <w:r w:rsidR="00971EC6" w:rsidRPr="00FD7B0B">
        <w:rPr>
          <w:rFonts w:ascii="Times New Roman" w:hAnsi="Times New Roman"/>
          <w:lang w:val="ru-RU"/>
        </w:rPr>
        <w:t>. Реализация национальных проектов в 202</w:t>
      </w:r>
      <w:r w:rsidR="00684949" w:rsidRPr="00FD7B0B">
        <w:rPr>
          <w:rFonts w:ascii="Times New Roman" w:hAnsi="Times New Roman"/>
          <w:lang w:val="ru-RU"/>
        </w:rPr>
        <w:t>4</w:t>
      </w:r>
      <w:r w:rsidR="00971EC6" w:rsidRPr="00FD7B0B">
        <w:rPr>
          <w:rFonts w:ascii="Times New Roman" w:hAnsi="Times New Roman"/>
          <w:lang w:val="ru-RU"/>
        </w:rPr>
        <w:t xml:space="preserve"> год</w:t>
      </w:r>
      <w:bookmarkEnd w:id="152"/>
      <w:r w:rsidR="00971EC6" w:rsidRPr="00FD7B0B">
        <w:rPr>
          <w:rFonts w:ascii="Times New Roman" w:hAnsi="Times New Roman"/>
          <w:lang w:val="ru-RU"/>
        </w:rPr>
        <w:t>у</w:t>
      </w:r>
      <w:bookmarkEnd w:id="153"/>
    </w:p>
    <w:p w14:paraId="390ED671" w14:textId="23ED6444" w:rsidR="00D97B4C" w:rsidRPr="00FD7B0B" w:rsidRDefault="00D97B4C" w:rsidP="00D97B4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Согласно сводной бюджетной росписи в редакции на 31.12.2024 в областном бюджете на 2024 год предусмотрены ассигнования на реализацию мероприятий 36 региональных проектов (далее – РП АО) в составе 13 национальных проектов РФ (далее – НП РФ), расходы на которые утверждены в рамках реализации 15 государственных программ Архангельской области.</w:t>
      </w:r>
    </w:p>
    <w:p w14:paraId="0945761C" w14:textId="77777777" w:rsidR="00D97B4C" w:rsidRPr="00FD7B0B" w:rsidRDefault="00D97B4C" w:rsidP="00D97B4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Сводной бюджетной росписью областного бюджета на 2024 год, действующей на 31.12.2024, расходы на реализацию национальных проектов РФ в областном бюджете утверждены в общей сумме 19 637,8 млн.руб. Удельный вес расходов на реализацию НП РФ в общей сумме расходов областного бюджета, утвержденных на 2024 год, составляет 12,7 %.</w:t>
      </w:r>
    </w:p>
    <w:p w14:paraId="48D0C778" w14:textId="77777777" w:rsidR="00D97B4C" w:rsidRPr="00FD7B0B" w:rsidRDefault="00D97B4C" w:rsidP="00D97B4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Согласно отчету об исполнении бюджета (ф. 0503117-НП) за 2024 год, общая сумма расходов бюджета на реализацию НП РФ составила 19 470,3 </w:t>
      </w:r>
      <w:r w:rsidRPr="00FD7B0B">
        <w:rPr>
          <w:rFonts w:ascii="Times New Roman" w:eastAsia="Calibri" w:hAnsi="Times New Roman" w:cs="Times New Roman"/>
          <w:sz w:val="28"/>
          <w:szCs w:val="28"/>
        </w:rPr>
        <w:lastRenderedPageBreak/>
        <w:t>млн.руб. или 99,1 % к показателям сводной бюджетной росписи на 31.12.2024 и их удельный вес в общей сумме расходов областного бюджета за отчетный период составил 12,7 %.</w:t>
      </w:r>
    </w:p>
    <w:p w14:paraId="0C812262" w14:textId="77777777" w:rsidR="00D97B4C" w:rsidRPr="00FD7B0B" w:rsidRDefault="00D97B4C" w:rsidP="002B718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Не осуществлены расходы на сумму 167,5 млн.руб., из которых 50,5 млн.руб. на реализацию НП «Жилье и городская среда», а 53,7 млн.руб. – НП «Безопасные качественные дороги».</w:t>
      </w:r>
    </w:p>
    <w:p w14:paraId="5110D0A2" w14:textId="2BD75CD1" w:rsidR="00D97B4C" w:rsidRPr="00FD7B0B" w:rsidRDefault="00D97B4C" w:rsidP="002B718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Ежемесячные расходы областного бюджета за 2024 год, направленные на реализацию НП РФ представлен на рисунках </w:t>
      </w:r>
      <w:r w:rsidR="00424B5A" w:rsidRPr="00FD7B0B">
        <w:rPr>
          <w:rFonts w:ascii="Times New Roman" w:eastAsia="Calibri" w:hAnsi="Times New Roman" w:cs="Times New Roman"/>
          <w:sz w:val="28"/>
          <w:szCs w:val="28"/>
        </w:rPr>
        <w:t>38</w:t>
      </w:r>
      <w:r w:rsidRPr="00FD7B0B">
        <w:rPr>
          <w:rFonts w:ascii="Times New Roman" w:eastAsia="Calibri" w:hAnsi="Times New Roman" w:cs="Times New Roman"/>
          <w:sz w:val="28"/>
          <w:szCs w:val="28"/>
        </w:rPr>
        <w:t xml:space="preserve"> и </w:t>
      </w:r>
      <w:r w:rsidR="00424B5A" w:rsidRPr="00FD7B0B">
        <w:rPr>
          <w:rFonts w:ascii="Times New Roman" w:eastAsia="Calibri" w:hAnsi="Times New Roman" w:cs="Times New Roman"/>
          <w:sz w:val="28"/>
          <w:szCs w:val="28"/>
        </w:rPr>
        <w:t>39.</w:t>
      </w:r>
    </w:p>
    <w:p w14:paraId="0D20B830" w14:textId="77777777" w:rsidR="00D97B4C" w:rsidRPr="00FD7B0B" w:rsidRDefault="00D97B4C" w:rsidP="002B718C">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noProof/>
          <w:sz w:val="24"/>
          <w:szCs w:val="24"/>
          <w:lang w:eastAsia="ru-RU"/>
        </w:rPr>
        <w:drawing>
          <wp:inline distT="0" distB="0" distL="0" distR="0" wp14:anchorId="0DA603A6" wp14:editId="34E6C1DC">
            <wp:extent cx="6217275" cy="2339975"/>
            <wp:effectExtent l="0" t="0" r="0" b="317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235480" cy="2346827"/>
                    </a:xfrm>
                    <a:prstGeom prst="rect">
                      <a:avLst/>
                    </a:prstGeom>
                    <a:noFill/>
                  </pic:spPr>
                </pic:pic>
              </a:graphicData>
            </a:graphic>
          </wp:inline>
        </w:drawing>
      </w:r>
    </w:p>
    <w:p w14:paraId="3B46BB0A" w14:textId="77777777" w:rsidR="00D97B4C" w:rsidRPr="00FD7B0B" w:rsidRDefault="00D97B4C" w:rsidP="002B718C">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Рисунок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Рисунок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38</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за 2024 год на реализацию национальных проектов (нарастающим итогом), млн.руб.</w:t>
      </w:r>
    </w:p>
    <w:p w14:paraId="238251EA" w14:textId="77777777" w:rsidR="00D97B4C" w:rsidRPr="00FD7B0B" w:rsidRDefault="00D97B4C" w:rsidP="002B718C">
      <w:pPr>
        <w:spacing w:after="0" w:line="240" w:lineRule="auto"/>
        <w:rPr>
          <w:rFonts w:ascii="Times New Roman" w:eastAsia="Calibri" w:hAnsi="Times New Roman" w:cs="Times New Roman"/>
          <w:bCs/>
          <w:sz w:val="24"/>
          <w:szCs w:val="24"/>
        </w:rPr>
      </w:pPr>
    </w:p>
    <w:p w14:paraId="598D4B55" w14:textId="77777777" w:rsidR="00D97B4C" w:rsidRPr="00FD7B0B" w:rsidRDefault="00D97B4C" w:rsidP="002B718C">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noProof/>
          <w:sz w:val="24"/>
          <w:szCs w:val="24"/>
          <w:lang w:eastAsia="ru-RU"/>
        </w:rPr>
        <w:drawing>
          <wp:inline distT="0" distB="0" distL="0" distR="0" wp14:anchorId="13A7E480" wp14:editId="2AF5B23B">
            <wp:extent cx="6136279" cy="179959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41978" cy="1801261"/>
                    </a:xfrm>
                    <a:prstGeom prst="rect">
                      <a:avLst/>
                    </a:prstGeom>
                    <a:noFill/>
                  </pic:spPr>
                </pic:pic>
              </a:graphicData>
            </a:graphic>
          </wp:inline>
        </w:drawing>
      </w:r>
    </w:p>
    <w:p w14:paraId="1C8FE71B" w14:textId="77777777" w:rsidR="00D97B4C" w:rsidRPr="00FD7B0B" w:rsidRDefault="00D97B4C" w:rsidP="002B718C">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Рисунок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Рисунок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39</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Ежемесячные расходы областного бюджета на реализацию национальных проектов за 2024 год (без нарастающего итога), млн.руб.</w:t>
      </w:r>
    </w:p>
    <w:p w14:paraId="6FA428F9" w14:textId="77777777" w:rsidR="00D97B4C" w:rsidRPr="00FD7B0B" w:rsidRDefault="00D97B4C" w:rsidP="002B718C">
      <w:pPr>
        <w:spacing w:after="0" w:line="240" w:lineRule="auto"/>
        <w:ind w:firstLine="709"/>
        <w:jc w:val="both"/>
        <w:rPr>
          <w:rFonts w:ascii="Times New Roman" w:eastAsia="Calibri" w:hAnsi="Times New Roman" w:cs="Times New Roman"/>
          <w:sz w:val="28"/>
          <w:szCs w:val="28"/>
        </w:rPr>
      </w:pPr>
    </w:p>
    <w:p w14:paraId="07C4D73D" w14:textId="7562BA17" w:rsidR="00D97B4C" w:rsidRPr="00FD7B0B" w:rsidRDefault="00D97B4C" w:rsidP="002B718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ноябре 2024 года по отношению к октябрю расходы из областного бюджета на НП РФ </w:t>
      </w:r>
      <w:r w:rsidR="002B718C" w:rsidRPr="00FD7B0B">
        <w:rPr>
          <w:rFonts w:ascii="Times New Roman" w:eastAsia="Calibri" w:hAnsi="Times New Roman" w:cs="Times New Roman"/>
          <w:sz w:val="28"/>
          <w:szCs w:val="28"/>
        </w:rPr>
        <w:t>сократились</w:t>
      </w:r>
      <w:r w:rsidRPr="00FD7B0B">
        <w:rPr>
          <w:rFonts w:ascii="Times New Roman" w:eastAsia="Calibri" w:hAnsi="Times New Roman" w:cs="Times New Roman"/>
          <w:sz w:val="28"/>
          <w:szCs w:val="28"/>
        </w:rPr>
        <w:t xml:space="preserve"> на 1 475,3 млн.руб. (-76,6 %), из них на реализацию НП «Безопасные качественные дороги» – на 1 020,8 млн.руб. </w:t>
      </w:r>
      <w:r w:rsidRPr="00FD7B0B">
        <w:rPr>
          <w:rFonts w:ascii="Times New Roman" w:eastAsia="Calibri" w:hAnsi="Times New Roman" w:cs="Times New Roman"/>
          <w:sz w:val="28"/>
          <w:szCs w:val="28"/>
        </w:rPr>
        <w:br/>
        <w:t>(-77,8 %).</w:t>
      </w:r>
    </w:p>
    <w:p w14:paraId="2581FF87" w14:textId="77777777" w:rsidR="00D97B4C" w:rsidRPr="00FD7B0B" w:rsidRDefault="00D97B4C" w:rsidP="008733B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декабре 2024 года по отношению к ноябрю расходы на реализацию НП РФ увеличились на 2 736,1 млн.руб. (в 7,1 раза %), из них на реализацию:</w:t>
      </w:r>
    </w:p>
    <w:p w14:paraId="073492A5" w14:textId="77777777" w:rsidR="00D97B4C" w:rsidRPr="00FD7B0B" w:rsidRDefault="00D97B4C" w:rsidP="008733B4">
      <w:pPr>
        <w:pStyle w:val="a8"/>
        <w:numPr>
          <w:ilvl w:val="0"/>
          <w:numId w:val="11"/>
        </w:numPr>
        <w:ind w:left="0" w:firstLine="709"/>
        <w:jc w:val="both"/>
        <w:rPr>
          <w:sz w:val="28"/>
          <w:szCs w:val="28"/>
        </w:rPr>
      </w:pPr>
      <w:r w:rsidRPr="00FD7B0B">
        <w:rPr>
          <w:sz w:val="28"/>
          <w:szCs w:val="28"/>
        </w:rPr>
        <w:t>НП «Безопасные качественные дороги» – на 793,3 млн.руб.;</w:t>
      </w:r>
    </w:p>
    <w:p w14:paraId="06EA8B0D" w14:textId="77777777" w:rsidR="00D97B4C" w:rsidRPr="00FD7B0B" w:rsidRDefault="00D97B4C" w:rsidP="008733B4">
      <w:pPr>
        <w:pStyle w:val="a8"/>
        <w:numPr>
          <w:ilvl w:val="0"/>
          <w:numId w:val="11"/>
        </w:numPr>
        <w:ind w:left="0" w:firstLine="709"/>
        <w:jc w:val="both"/>
        <w:rPr>
          <w:sz w:val="28"/>
          <w:szCs w:val="28"/>
        </w:rPr>
      </w:pPr>
      <w:r w:rsidRPr="00FD7B0B">
        <w:rPr>
          <w:sz w:val="28"/>
          <w:szCs w:val="28"/>
        </w:rPr>
        <w:t>НП «Жилье и городская среда» – на 569,6 млн.руб.;</w:t>
      </w:r>
    </w:p>
    <w:p w14:paraId="6EE533A8" w14:textId="77777777" w:rsidR="00D97B4C" w:rsidRPr="00FD7B0B" w:rsidRDefault="00D97B4C" w:rsidP="008733B4">
      <w:pPr>
        <w:pStyle w:val="a8"/>
        <w:numPr>
          <w:ilvl w:val="0"/>
          <w:numId w:val="11"/>
        </w:numPr>
        <w:ind w:left="0" w:firstLine="709"/>
        <w:jc w:val="both"/>
        <w:rPr>
          <w:sz w:val="28"/>
          <w:szCs w:val="28"/>
        </w:rPr>
      </w:pPr>
      <w:r w:rsidRPr="00FD7B0B">
        <w:rPr>
          <w:sz w:val="28"/>
          <w:szCs w:val="28"/>
        </w:rPr>
        <w:t>НП «Здравоохранение» – на 634,6 млн.руб.</w:t>
      </w:r>
    </w:p>
    <w:p w14:paraId="69FBAE3D" w14:textId="7BAB54E8" w:rsidR="00D97B4C" w:rsidRPr="00FD7B0B" w:rsidRDefault="00D97B4C" w:rsidP="008733B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Сведения о расходах из областного бюджета за 2024 год в разрезе НП РФ представлена в таблице </w:t>
      </w:r>
      <w:r w:rsidR="00424B5A" w:rsidRPr="00FD7B0B">
        <w:rPr>
          <w:rFonts w:ascii="Times New Roman" w:eastAsia="Calibri" w:hAnsi="Times New Roman" w:cs="Times New Roman"/>
          <w:sz w:val="28"/>
          <w:szCs w:val="28"/>
        </w:rPr>
        <w:t>248</w:t>
      </w:r>
      <w:r w:rsidR="008733B4" w:rsidRPr="00FD7B0B">
        <w:rPr>
          <w:rFonts w:ascii="Times New Roman" w:eastAsia="Calibri" w:hAnsi="Times New Roman" w:cs="Times New Roman"/>
          <w:sz w:val="28"/>
          <w:szCs w:val="28"/>
        </w:rPr>
        <w:t>.</w:t>
      </w:r>
    </w:p>
    <w:p w14:paraId="77583DE3" w14:textId="77777777" w:rsidR="00D97B4C" w:rsidRPr="00FD7B0B" w:rsidRDefault="00D97B4C" w:rsidP="008733B4">
      <w:pPr>
        <w:spacing w:after="0" w:line="240" w:lineRule="auto"/>
        <w:rPr>
          <w:rFonts w:ascii="Times New Roman" w:eastAsia="Calibri" w:hAnsi="Times New Roman" w:cs="Times New Roman"/>
          <w:bCs/>
          <w:sz w:val="24"/>
          <w:szCs w:val="24"/>
        </w:rPr>
      </w:pPr>
    </w:p>
    <w:p w14:paraId="0F4B249B" w14:textId="77777777" w:rsidR="00D97B4C" w:rsidRPr="00FD7B0B" w:rsidRDefault="00D97B4C" w:rsidP="008733B4">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248</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за 2024 год, направленные на реализацию национальных проектов РФ, млн.руб.</w:t>
      </w:r>
    </w:p>
    <w:tbl>
      <w:tblPr>
        <w:tblW w:w="9616" w:type="dxa"/>
        <w:tblLayout w:type="fixed"/>
        <w:tblLook w:val="04A0" w:firstRow="1" w:lastRow="0" w:firstColumn="1" w:lastColumn="0" w:noHBand="0" w:noVBand="1"/>
      </w:tblPr>
      <w:tblGrid>
        <w:gridCol w:w="6356"/>
        <w:gridCol w:w="1134"/>
        <w:gridCol w:w="1134"/>
        <w:gridCol w:w="992"/>
      </w:tblGrid>
      <w:tr w:rsidR="00FD7B0B" w:rsidRPr="00FD7B0B" w14:paraId="05A4DF60" w14:textId="77777777" w:rsidTr="008733B4">
        <w:trPr>
          <w:trHeight w:val="525"/>
        </w:trPr>
        <w:tc>
          <w:tcPr>
            <w:tcW w:w="635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0C7FA97" w14:textId="77777777" w:rsidR="00D97B4C" w:rsidRPr="00FD7B0B" w:rsidRDefault="00D97B4C" w:rsidP="008733B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 национального проекта</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22E55A1C" w14:textId="77777777" w:rsidR="00D97B4C" w:rsidRPr="00FD7B0B" w:rsidRDefault="00D97B4C" w:rsidP="008733B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Утвер-ждено</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53BEA330" w14:textId="77777777" w:rsidR="00D97B4C" w:rsidRPr="00FD7B0B" w:rsidRDefault="00D97B4C" w:rsidP="008733B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Испол-нено</w:t>
            </w:r>
          </w:p>
        </w:tc>
        <w:tc>
          <w:tcPr>
            <w:tcW w:w="992" w:type="dxa"/>
            <w:tcBorders>
              <w:top w:val="double" w:sz="6" w:space="0" w:color="auto"/>
              <w:left w:val="nil"/>
              <w:bottom w:val="single" w:sz="4" w:space="0" w:color="auto"/>
              <w:right w:val="double" w:sz="6" w:space="0" w:color="auto"/>
            </w:tcBorders>
            <w:shd w:val="clear" w:color="auto" w:fill="auto"/>
            <w:vAlign w:val="center"/>
            <w:hideMark/>
          </w:tcPr>
          <w:p w14:paraId="5387390F" w14:textId="77777777" w:rsidR="00D97B4C" w:rsidRPr="00FD7B0B" w:rsidRDefault="00D97B4C" w:rsidP="008733B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19CCF530"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211A2112"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"Демография"</w:t>
            </w:r>
          </w:p>
        </w:tc>
        <w:tc>
          <w:tcPr>
            <w:tcW w:w="1134" w:type="dxa"/>
            <w:tcBorders>
              <w:top w:val="nil"/>
              <w:left w:val="nil"/>
              <w:bottom w:val="single" w:sz="4" w:space="0" w:color="auto"/>
              <w:right w:val="single" w:sz="4" w:space="0" w:color="auto"/>
            </w:tcBorders>
            <w:shd w:val="clear" w:color="auto" w:fill="auto"/>
            <w:vAlign w:val="center"/>
            <w:hideMark/>
          </w:tcPr>
          <w:p w14:paraId="0273760D"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1 424,8 </w:t>
            </w:r>
          </w:p>
        </w:tc>
        <w:tc>
          <w:tcPr>
            <w:tcW w:w="1134" w:type="dxa"/>
            <w:tcBorders>
              <w:top w:val="nil"/>
              <w:left w:val="nil"/>
              <w:bottom w:val="single" w:sz="4" w:space="0" w:color="auto"/>
              <w:right w:val="single" w:sz="4" w:space="0" w:color="auto"/>
            </w:tcBorders>
            <w:shd w:val="clear" w:color="auto" w:fill="auto"/>
            <w:vAlign w:val="center"/>
            <w:hideMark/>
          </w:tcPr>
          <w:p w14:paraId="22848147"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1 374,3 </w:t>
            </w:r>
          </w:p>
        </w:tc>
        <w:tc>
          <w:tcPr>
            <w:tcW w:w="992" w:type="dxa"/>
            <w:tcBorders>
              <w:top w:val="nil"/>
              <w:left w:val="nil"/>
              <w:bottom w:val="single" w:sz="4" w:space="0" w:color="auto"/>
              <w:right w:val="double" w:sz="6" w:space="0" w:color="auto"/>
            </w:tcBorders>
            <w:shd w:val="clear" w:color="auto" w:fill="auto"/>
            <w:vAlign w:val="center"/>
            <w:hideMark/>
          </w:tcPr>
          <w:p w14:paraId="50604F3F"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96,5 </w:t>
            </w:r>
          </w:p>
        </w:tc>
      </w:tr>
      <w:tr w:rsidR="00FD7B0B" w:rsidRPr="00FD7B0B" w14:paraId="3B59A6DE" w14:textId="77777777" w:rsidTr="008733B4">
        <w:trPr>
          <w:trHeight w:val="51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66E6E8FC"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"Малое и среднее предпринимательство и поддержка индивидуальной предпринимательской инициативы"</w:t>
            </w:r>
          </w:p>
        </w:tc>
        <w:tc>
          <w:tcPr>
            <w:tcW w:w="1134" w:type="dxa"/>
            <w:tcBorders>
              <w:top w:val="nil"/>
              <w:left w:val="nil"/>
              <w:bottom w:val="single" w:sz="4" w:space="0" w:color="auto"/>
              <w:right w:val="single" w:sz="4" w:space="0" w:color="auto"/>
            </w:tcBorders>
            <w:shd w:val="clear" w:color="auto" w:fill="auto"/>
            <w:vAlign w:val="center"/>
            <w:hideMark/>
          </w:tcPr>
          <w:p w14:paraId="4384EE61"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131,6 </w:t>
            </w:r>
          </w:p>
        </w:tc>
        <w:tc>
          <w:tcPr>
            <w:tcW w:w="1134" w:type="dxa"/>
            <w:tcBorders>
              <w:top w:val="nil"/>
              <w:left w:val="nil"/>
              <w:bottom w:val="single" w:sz="4" w:space="0" w:color="auto"/>
              <w:right w:val="single" w:sz="4" w:space="0" w:color="auto"/>
            </w:tcBorders>
            <w:shd w:val="clear" w:color="auto" w:fill="auto"/>
            <w:vAlign w:val="center"/>
            <w:hideMark/>
          </w:tcPr>
          <w:p w14:paraId="5DB9C91E"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131,6 </w:t>
            </w:r>
          </w:p>
        </w:tc>
        <w:tc>
          <w:tcPr>
            <w:tcW w:w="992" w:type="dxa"/>
            <w:tcBorders>
              <w:top w:val="nil"/>
              <w:left w:val="nil"/>
              <w:bottom w:val="single" w:sz="4" w:space="0" w:color="auto"/>
              <w:right w:val="double" w:sz="6" w:space="0" w:color="auto"/>
            </w:tcBorders>
            <w:shd w:val="clear" w:color="auto" w:fill="auto"/>
            <w:vAlign w:val="center"/>
            <w:hideMark/>
          </w:tcPr>
          <w:p w14:paraId="3B65617C"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0AB0FB15"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79635DCC"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"Туризм и индустрия гостеприимства"</w:t>
            </w:r>
          </w:p>
        </w:tc>
        <w:tc>
          <w:tcPr>
            <w:tcW w:w="1134" w:type="dxa"/>
            <w:tcBorders>
              <w:top w:val="nil"/>
              <w:left w:val="nil"/>
              <w:bottom w:val="single" w:sz="4" w:space="0" w:color="auto"/>
              <w:right w:val="single" w:sz="4" w:space="0" w:color="auto"/>
            </w:tcBorders>
            <w:shd w:val="clear" w:color="auto" w:fill="auto"/>
            <w:vAlign w:val="center"/>
            <w:hideMark/>
          </w:tcPr>
          <w:p w14:paraId="7412626D"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53,2 </w:t>
            </w:r>
          </w:p>
        </w:tc>
        <w:tc>
          <w:tcPr>
            <w:tcW w:w="1134" w:type="dxa"/>
            <w:tcBorders>
              <w:top w:val="nil"/>
              <w:left w:val="nil"/>
              <w:bottom w:val="single" w:sz="4" w:space="0" w:color="auto"/>
              <w:right w:val="single" w:sz="4" w:space="0" w:color="auto"/>
            </w:tcBorders>
            <w:shd w:val="clear" w:color="auto" w:fill="auto"/>
            <w:vAlign w:val="center"/>
            <w:hideMark/>
          </w:tcPr>
          <w:p w14:paraId="0056F19A"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53,1 </w:t>
            </w:r>
          </w:p>
        </w:tc>
        <w:tc>
          <w:tcPr>
            <w:tcW w:w="992" w:type="dxa"/>
            <w:tcBorders>
              <w:top w:val="nil"/>
              <w:left w:val="nil"/>
              <w:bottom w:val="single" w:sz="4" w:space="0" w:color="auto"/>
              <w:right w:val="double" w:sz="6" w:space="0" w:color="auto"/>
            </w:tcBorders>
            <w:shd w:val="clear" w:color="auto" w:fill="auto"/>
            <w:vAlign w:val="center"/>
            <w:hideMark/>
          </w:tcPr>
          <w:p w14:paraId="227F5A1E"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99,9 </w:t>
            </w:r>
          </w:p>
        </w:tc>
      </w:tr>
      <w:tr w:rsidR="00FD7B0B" w:rsidRPr="00FD7B0B" w14:paraId="6DC09960"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429D0FBF"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"Экология"</w:t>
            </w:r>
          </w:p>
        </w:tc>
        <w:tc>
          <w:tcPr>
            <w:tcW w:w="1134" w:type="dxa"/>
            <w:tcBorders>
              <w:top w:val="nil"/>
              <w:left w:val="nil"/>
              <w:bottom w:val="single" w:sz="4" w:space="0" w:color="auto"/>
              <w:right w:val="single" w:sz="4" w:space="0" w:color="auto"/>
            </w:tcBorders>
            <w:shd w:val="clear" w:color="auto" w:fill="auto"/>
            <w:vAlign w:val="center"/>
            <w:hideMark/>
          </w:tcPr>
          <w:p w14:paraId="1E71F84B"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804,8 </w:t>
            </w:r>
          </w:p>
        </w:tc>
        <w:tc>
          <w:tcPr>
            <w:tcW w:w="1134" w:type="dxa"/>
            <w:tcBorders>
              <w:top w:val="nil"/>
              <w:left w:val="nil"/>
              <w:bottom w:val="single" w:sz="4" w:space="0" w:color="auto"/>
              <w:right w:val="single" w:sz="4" w:space="0" w:color="auto"/>
            </w:tcBorders>
            <w:shd w:val="clear" w:color="auto" w:fill="auto"/>
            <w:vAlign w:val="center"/>
            <w:hideMark/>
          </w:tcPr>
          <w:p w14:paraId="154F09EC"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804,8 </w:t>
            </w:r>
          </w:p>
        </w:tc>
        <w:tc>
          <w:tcPr>
            <w:tcW w:w="992" w:type="dxa"/>
            <w:tcBorders>
              <w:top w:val="nil"/>
              <w:left w:val="nil"/>
              <w:bottom w:val="single" w:sz="4" w:space="0" w:color="auto"/>
              <w:right w:val="double" w:sz="6" w:space="0" w:color="auto"/>
            </w:tcBorders>
            <w:shd w:val="clear" w:color="auto" w:fill="auto"/>
            <w:vAlign w:val="center"/>
            <w:hideMark/>
          </w:tcPr>
          <w:p w14:paraId="143C70D0"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2B97CA5A"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10C8F276"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"Безопасные качественные дороги"</w:t>
            </w:r>
          </w:p>
        </w:tc>
        <w:tc>
          <w:tcPr>
            <w:tcW w:w="1134" w:type="dxa"/>
            <w:tcBorders>
              <w:top w:val="nil"/>
              <w:left w:val="nil"/>
              <w:bottom w:val="single" w:sz="4" w:space="0" w:color="auto"/>
              <w:right w:val="single" w:sz="4" w:space="0" w:color="auto"/>
            </w:tcBorders>
            <w:shd w:val="clear" w:color="auto" w:fill="auto"/>
            <w:vAlign w:val="center"/>
            <w:hideMark/>
          </w:tcPr>
          <w:p w14:paraId="080A52A4"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7 277,9 </w:t>
            </w:r>
          </w:p>
        </w:tc>
        <w:tc>
          <w:tcPr>
            <w:tcW w:w="1134" w:type="dxa"/>
            <w:tcBorders>
              <w:top w:val="nil"/>
              <w:left w:val="nil"/>
              <w:bottom w:val="single" w:sz="4" w:space="0" w:color="auto"/>
              <w:right w:val="single" w:sz="4" w:space="0" w:color="auto"/>
            </w:tcBorders>
            <w:shd w:val="clear" w:color="auto" w:fill="auto"/>
            <w:vAlign w:val="center"/>
            <w:hideMark/>
          </w:tcPr>
          <w:p w14:paraId="0F1112C8"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7 224,2 </w:t>
            </w:r>
          </w:p>
        </w:tc>
        <w:tc>
          <w:tcPr>
            <w:tcW w:w="992" w:type="dxa"/>
            <w:tcBorders>
              <w:top w:val="nil"/>
              <w:left w:val="nil"/>
              <w:bottom w:val="single" w:sz="4" w:space="0" w:color="auto"/>
              <w:right w:val="double" w:sz="6" w:space="0" w:color="auto"/>
            </w:tcBorders>
            <w:shd w:val="clear" w:color="auto" w:fill="auto"/>
            <w:vAlign w:val="center"/>
            <w:hideMark/>
          </w:tcPr>
          <w:p w14:paraId="1D0A34C9"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99,3 </w:t>
            </w:r>
          </w:p>
        </w:tc>
      </w:tr>
      <w:tr w:rsidR="00FD7B0B" w:rsidRPr="00FD7B0B" w14:paraId="3A8F42B8"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793AB589"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"Наука и университеты"</w:t>
            </w:r>
          </w:p>
        </w:tc>
        <w:tc>
          <w:tcPr>
            <w:tcW w:w="1134" w:type="dxa"/>
            <w:tcBorders>
              <w:top w:val="nil"/>
              <w:left w:val="nil"/>
              <w:bottom w:val="single" w:sz="4" w:space="0" w:color="auto"/>
              <w:right w:val="single" w:sz="4" w:space="0" w:color="auto"/>
            </w:tcBorders>
            <w:shd w:val="clear" w:color="auto" w:fill="auto"/>
            <w:vAlign w:val="center"/>
            <w:hideMark/>
          </w:tcPr>
          <w:p w14:paraId="5C53369D"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450,0 </w:t>
            </w:r>
          </w:p>
        </w:tc>
        <w:tc>
          <w:tcPr>
            <w:tcW w:w="1134" w:type="dxa"/>
            <w:tcBorders>
              <w:top w:val="nil"/>
              <w:left w:val="nil"/>
              <w:bottom w:val="single" w:sz="4" w:space="0" w:color="auto"/>
              <w:right w:val="single" w:sz="4" w:space="0" w:color="auto"/>
            </w:tcBorders>
            <w:shd w:val="clear" w:color="auto" w:fill="auto"/>
            <w:vAlign w:val="center"/>
            <w:hideMark/>
          </w:tcPr>
          <w:p w14:paraId="7F6309F6"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450,0 </w:t>
            </w:r>
          </w:p>
        </w:tc>
        <w:tc>
          <w:tcPr>
            <w:tcW w:w="992" w:type="dxa"/>
            <w:tcBorders>
              <w:top w:val="nil"/>
              <w:left w:val="nil"/>
              <w:bottom w:val="single" w:sz="4" w:space="0" w:color="auto"/>
              <w:right w:val="double" w:sz="6" w:space="0" w:color="auto"/>
            </w:tcBorders>
            <w:shd w:val="clear" w:color="auto" w:fill="auto"/>
            <w:vAlign w:val="center"/>
            <w:hideMark/>
          </w:tcPr>
          <w:p w14:paraId="158215E9"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1F92B44A"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24FF53BA"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"Международная кооперация и экспорт"</w:t>
            </w:r>
          </w:p>
        </w:tc>
        <w:tc>
          <w:tcPr>
            <w:tcW w:w="1134" w:type="dxa"/>
            <w:tcBorders>
              <w:top w:val="nil"/>
              <w:left w:val="nil"/>
              <w:bottom w:val="single" w:sz="4" w:space="0" w:color="auto"/>
              <w:right w:val="single" w:sz="4" w:space="0" w:color="auto"/>
            </w:tcBorders>
            <w:shd w:val="clear" w:color="auto" w:fill="auto"/>
            <w:vAlign w:val="center"/>
            <w:hideMark/>
          </w:tcPr>
          <w:p w14:paraId="723BD9F6"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 </w:t>
            </w:r>
          </w:p>
        </w:tc>
        <w:tc>
          <w:tcPr>
            <w:tcW w:w="1134" w:type="dxa"/>
            <w:tcBorders>
              <w:top w:val="nil"/>
              <w:left w:val="nil"/>
              <w:bottom w:val="single" w:sz="4" w:space="0" w:color="auto"/>
              <w:right w:val="single" w:sz="4" w:space="0" w:color="auto"/>
            </w:tcBorders>
            <w:shd w:val="clear" w:color="auto" w:fill="auto"/>
            <w:vAlign w:val="center"/>
            <w:hideMark/>
          </w:tcPr>
          <w:p w14:paraId="7D25B8EF"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 </w:t>
            </w:r>
          </w:p>
        </w:tc>
        <w:tc>
          <w:tcPr>
            <w:tcW w:w="992" w:type="dxa"/>
            <w:tcBorders>
              <w:top w:val="nil"/>
              <w:left w:val="nil"/>
              <w:bottom w:val="single" w:sz="4" w:space="0" w:color="auto"/>
              <w:right w:val="double" w:sz="6" w:space="0" w:color="auto"/>
            </w:tcBorders>
            <w:shd w:val="clear" w:color="auto" w:fill="auto"/>
            <w:vAlign w:val="center"/>
            <w:hideMark/>
          </w:tcPr>
          <w:p w14:paraId="2B34B1B8"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1FBD8EC1"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A1B498E"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"Жилье и городская среда"</w:t>
            </w:r>
          </w:p>
        </w:tc>
        <w:tc>
          <w:tcPr>
            <w:tcW w:w="1134" w:type="dxa"/>
            <w:tcBorders>
              <w:top w:val="nil"/>
              <w:left w:val="nil"/>
              <w:bottom w:val="single" w:sz="4" w:space="0" w:color="auto"/>
              <w:right w:val="single" w:sz="4" w:space="0" w:color="auto"/>
            </w:tcBorders>
            <w:shd w:val="clear" w:color="auto" w:fill="auto"/>
            <w:vAlign w:val="center"/>
            <w:hideMark/>
          </w:tcPr>
          <w:p w14:paraId="63E1C226"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4 051,5 </w:t>
            </w:r>
          </w:p>
        </w:tc>
        <w:tc>
          <w:tcPr>
            <w:tcW w:w="1134" w:type="dxa"/>
            <w:tcBorders>
              <w:top w:val="nil"/>
              <w:left w:val="nil"/>
              <w:bottom w:val="single" w:sz="4" w:space="0" w:color="auto"/>
              <w:right w:val="single" w:sz="4" w:space="0" w:color="auto"/>
            </w:tcBorders>
            <w:shd w:val="clear" w:color="auto" w:fill="auto"/>
            <w:vAlign w:val="center"/>
            <w:hideMark/>
          </w:tcPr>
          <w:p w14:paraId="66E2056B"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4 038,8 </w:t>
            </w:r>
          </w:p>
        </w:tc>
        <w:tc>
          <w:tcPr>
            <w:tcW w:w="992" w:type="dxa"/>
            <w:tcBorders>
              <w:top w:val="nil"/>
              <w:left w:val="nil"/>
              <w:bottom w:val="single" w:sz="4" w:space="0" w:color="auto"/>
              <w:right w:val="double" w:sz="6" w:space="0" w:color="auto"/>
            </w:tcBorders>
            <w:shd w:val="clear" w:color="auto" w:fill="auto"/>
            <w:vAlign w:val="center"/>
            <w:hideMark/>
          </w:tcPr>
          <w:p w14:paraId="07F6BD01"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99,7 </w:t>
            </w:r>
          </w:p>
        </w:tc>
      </w:tr>
      <w:tr w:rsidR="00FD7B0B" w:rsidRPr="00FD7B0B" w14:paraId="688C681D"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461A4F37"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"Образование"</w:t>
            </w:r>
          </w:p>
        </w:tc>
        <w:tc>
          <w:tcPr>
            <w:tcW w:w="1134" w:type="dxa"/>
            <w:tcBorders>
              <w:top w:val="nil"/>
              <w:left w:val="nil"/>
              <w:bottom w:val="single" w:sz="4" w:space="0" w:color="auto"/>
              <w:right w:val="single" w:sz="4" w:space="0" w:color="auto"/>
            </w:tcBorders>
            <w:shd w:val="clear" w:color="auto" w:fill="auto"/>
            <w:vAlign w:val="center"/>
            <w:hideMark/>
          </w:tcPr>
          <w:p w14:paraId="7A5DC74B"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3 081,6 </w:t>
            </w:r>
          </w:p>
        </w:tc>
        <w:tc>
          <w:tcPr>
            <w:tcW w:w="1134" w:type="dxa"/>
            <w:tcBorders>
              <w:top w:val="nil"/>
              <w:left w:val="nil"/>
              <w:bottom w:val="single" w:sz="4" w:space="0" w:color="auto"/>
              <w:right w:val="single" w:sz="4" w:space="0" w:color="auto"/>
            </w:tcBorders>
            <w:shd w:val="clear" w:color="auto" w:fill="auto"/>
            <w:vAlign w:val="center"/>
            <w:hideMark/>
          </w:tcPr>
          <w:p w14:paraId="7AB39209"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3 081,2 </w:t>
            </w:r>
          </w:p>
        </w:tc>
        <w:tc>
          <w:tcPr>
            <w:tcW w:w="992" w:type="dxa"/>
            <w:tcBorders>
              <w:top w:val="nil"/>
              <w:left w:val="nil"/>
              <w:bottom w:val="single" w:sz="4" w:space="0" w:color="auto"/>
              <w:right w:val="double" w:sz="6" w:space="0" w:color="auto"/>
            </w:tcBorders>
            <w:shd w:val="clear" w:color="auto" w:fill="auto"/>
            <w:vAlign w:val="center"/>
            <w:hideMark/>
          </w:tcPr>
          <w:p w14:paraId="55F664F8"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2FDDBEF3"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6D83218F"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"Культура"</w:t>
            </w:r>
          </w:p>
        </w:tc>
        <w:tc>
          <w:tcPr>
            <w:tcW w:w="1134" w:type="dxa"/>
            <w:tcBorders>
              <w:top w:val="nil"/>
              <w:left w:val="nil"/>
              <w:bottom w:val="single" w:sz="4" w:space="0" w:color="auto"/>
              <w:right w:val="single" w:sz="4" w:space="0" w:color="auto"/>
            </w:tcBorders>
            <w:shd w:val="clear" w:color="auto" w:fill="auto"/>
            <w:vAlign w:val="center"/>
            <w:hideMark/>
          </w:tcPr>
          <w:p w14:paraId="5AAB62E8"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407,3 </w:t>
            </w:r>
          </w:p>
        </w:tc>
        <w:tc>
          <w:tcPr>
            <w:tcW w:w="1134" w:type="dxa"/>
            <w:tcBorders>
              <w:top w:val="nil"/>
              <w:left w:val="nil"/>
              <w:bottom w:val="single" w:sz="4" w:space="0" w:color="auto"/>
              <w:right w:val="single" w:sz="4" w:space="0" w:color="auto"/>
            </w:tcBorders>
            <w:shd w:val="clear" w:color="auto" w:fill="auto"/>
            <w:vAlign w:val="center"/>
            <w:hideMark/>
          </w:tcPr>
          <w:p w14:paraId="7BFE5723"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407,3 </w:t>
            </w:r>
          </w:p>
        </w:tc>
        <w:tc>
          <w:tcPr>
            <w:tcW w:w="992" w:type="dxa"/>
            <w:tcBorders>
              <w:top w:val="nil"/>
              <w:left w:val="nil"/>
              <w:bottom w:val="single" w:sz="4" w:space="0" w:color="auto"/>
              <w:right w:val="double" w:sz="6" w:space="0" w:color="auto"/>
            </w:tcBorders>
            <w:shd w:val="clear" w:color="auto" w:fill="auto"/>
            <w:vAlign w:val="center"/>
            <w:hideMark/>
          </w:tcPr>
          <w:p w14:paraId="6761D964"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62F5FF30"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68F34026"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"Производительность труда"</w:t>
            </w:r>
          </w:p>
        </w:tc>
        <w:tc>
          <w:tcPr>
            <w:tcW w:w="1134" w:type="dxa"/>
            <w:tcBorders>
              <w:top w:val="nil"/>
              <w:left w:val="nil"/>
              <w:bottom w:val="single" w:sz="4" w:space="0" w:color="auto"/>
              <w:right w:val="single" w:sz="4" w:space="0" w:color="auto"/>
            </w:tcBorders>
            <w:shd w:val="clear" w:color="auto" w:fill="auto"/>
            <w:vAlign w:val="center"/>
            <w:hideMark/>
          </w:tcPr>
          <w:p w14:paraId="56F0E3C5"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9,1 </w:t>
            </w:r>
          </w:p>
        </w:tc>
        <w:tc>
          <w:tcPr>
            <w:tcW w:w="1134" w:type="dxa"/>
            <w:tcBorders>
              <w:top w:val="nil"/>
              <w:left w:val="nil"/>
              <w:bottom w:val="single" w:sz="4" w:space="0" w:color="auto"/>
              <w:right w:val="single" w:sz="4" w:space="0" w:color="auto"/>
            </w:tcBorders>
            <w:shd w:val="clear" w:color="auto" w:fill="auto"/>
            <w:vAlign w:val="center"/>
            <w:hideMark/>
          </w:tcPr>
          <w:p w14:paraId="725EE0F8"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9,1 </w:t>
            </w:r>
          </w:p>
        </w:tc>
        <w:tc>
          <w:tcPr>
            <w:tcW w:w="992" w:type="dxa"/>
            <w:tcBorders>
              <w:top w:val="nil"/>
              <w:left w:val="nil"/>
              <w:bottom w:val="single" w:sz="4" w:space="0" w:color="auto"/>
              <w:right w:val="double" w:sz="6" w:space="0" w:color="auto"/>
            </w:tcBorders>
            <w:shd w:val="clear" w:color="auto" w:fill="auto"/>
            <w:vAlign w:val="center"/>
            <w:hideMark/>
          </w:tcPr>
          <w:p w14:paraId="3CE97338"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7BEA5D13"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124BB818" w14:textId="77777777"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"Здравоохранение"</w:t>
            </w:r>
          </w:p>
        </w:tc>
        <w:tc>
          <w:tcPr>
            <w:tcW w:w="1134" w:type="dxa"/>
            <w:tcBorders>
              <w:top w:val="nil"/>
              <w:left w:val="nil"/>
              <w:bottom w:val="single" w:sz="4" w:space="0" w:color="auto"/>
              <w:right w:val="single" w:sz="4" w:space="0" w:color="auto"/>
            </w:tcBorders>
            <w:shd w:val="clear" w:color="auto" w:fill="auto"/>
            <w:vAlign w:val="center"/>
            <w:hideMark/>
          </w:tcPr>
          <w:p w14:paraId="7DE23A85"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1 628,8 </w:t>
            </w:r>
          </w:p>
        </w:tc>
        <w:tc>
          <w:tcPr>
            <w:tcW w:w="1134" w:type="dxa"/>
            <w:tcBorders>
              <w:top w:val="nil"/>
              <w:left w:val="nil"/>
              <w:bottom w:val="single" w:sz="4" w:space="0" w:color="auto"/>
              <w:right w:val="single" w:sz="4" w:space="0" w:color="auto"/>
            </w:tcBorders>
            <w:shd w:val="clear" w:color="auto" w:fill="auto"/>
            <w:vAlign w:val="center"/>
            <w:hideMark/>
          </w:tcPr>
          <w:p w14:paraId="6AEBFD4B"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1 608,6 </w:t>
            </w:r>
          </w:p>
        </w:tc>
        <w:tc>
          <w:tcPr>
            <w:tcW w:w="992" w:type="dxa"/>
            <w:tcBorders>
              <w:top w:val="nil"/>
              <w:left w:val="nil"/>
              <w:bottom w:val="single" w:sz="4" w:space="0" w:color="auto"/>
              <w:right w:val="double" w:sz="6" w:space="0" w:color="auto"/>
            </w:tcBorders>
            <w:shd w:val="clear" w:color="auto" w:fill="auto"/>
            <w:vAlign w:val="center"/>
            <w:hideMark/>
          </w:tcPr>
          <w:p w14:paraId="7A61258C"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98,8 </w:t>
            </w:r>
          </w:p>
        </w:tc>
      </w:tr>
      <w:tr w:rsidR="00FD7B0B" w:rsidRPr="00FD7B0B" w14:paraId="39AC61D8" w14:textId="77777777" w:rsidTr="008733B4">
        <w:trPr>
          <w:trHeight w:val="255"/>
        </w:trPr>
        <w:tc>
          <w:tcPr>
            <w:tcW w:w="6356" w:type="dxa"/>
            <w:tcBorders>
              <w:top w:val="nil"/>
              <w:left w:val="double" w:sz="6" w:space="0" w:color="auto"/>
              <w:bottom w:val="single" w:sz="4" w:space="0" w:color="auto"/>
              <w:right w:val="single" w:sz="4" w:space="0" w:color="auto"/>
            </w:tcBorders>
            <w:shd w:val="clear" w:color="auto" w:fill="auto"/>
            <w:noWrap/>
            <w:vAlign w:val="bottom"/>
            <w:hideMark/>
          </w:tcPr>
          <w:p w14:paraId="69018D6C" w14:textId="640672B5" w:rsidR="00D97B4C" w:rsidRPr="00FD7B0B" w:rsidRDefault="00D97B4C" w:rsidP="008733B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w:t>
            </w:r>
            <w:r w:rsidR="00352655" w:rsidRPr="00FD7B0B">
              <w:rPr>
                <w:rFonts w:ascii="Times New Roman" w:eastAsia="Times New Roman" w:hAnsi="Times New Roman" w:cs="Times New Roman"/>
                <w:sz w:val="21"/>
                <w:szCs w:val="21"/>
                <w:lang w:eastAsia="ru-RU"/>
              </w:rPr>
              <w:t xml:space="preserve"> </w:t>
            </w:r>
            <w:r w:rsidRPr="00FD7B0B">
              <w:rPr>
                <w:rFonts w:ascii="Times New Roman" w:eastAsia="Times New Roman" w:hAnsi="Times New Roman" w:cs="Times New Roman"/>
                <w:sz w:val="21"/>
                <w:szCs w:val="21"/>
                <w:lang w:eastAsia="ru-RU"/>
              </w:rPr>
              <w:t>"Беспилотные авиационные системы"</w:t>
            </w:r>
          </w:p>
        </w:tc>
        <w:tc>
          <w:tcPr>
            <w:tcW w:w="1134" w:type="dxa"/>
            <w:tcBorders>
              <w:top w:val="nil"/>
              <w:left w:val="nil"/>
              <w:bottom w:val="single" w:sz="4" w:space="0" w:color="auto"/>
              <w:right w:val="single" w:sz="4" w:space="0" w:color="auto"/>
            </w:tcBorders>
            <w:shd w:val="clear" w:color="auto" w:fill="auto"/>
            <w:noWrap/>
            <w:vAlign w:val="bottom"/>
            <w:hideMark/>
          </w:tcPr>
          <w:p w14:paraId="7B9B5B3F"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308,1 </w:t>
            </w:r>
          </w:p>
        </w:tc>
        <w:tc>
          <w:tcPr>
            <w:tcW w:w="1134" w:type="dxa"/>
            <w:tcBorders>
              <w:top w:val="nil"/>
              <w:left w:val="nil"/>
              <w:bottom w:val="single" w:sz="4" w:space="0" w:color="auto"/>
              <w:right w:val="single" w:sz="4" w:space="0" w:color="auto"/>
            </w:tcBorders>
            <w:shd w:val="clear" w:color="auto" w:fill="auto"/>
            <w:vAlign w:val="center"/>
            <w:hideMark/>
          </w:tcPr>
          <w:p w14:paraId="12087920"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278,1 </w:t>
            </w:r>
          </w:p>
        </w:tc>
        <w:tc>
          <w:tcPr>
            <w:tcW w:w="992" w:type="dxa"/>
            <w:tcBorders>
              <w:top w:val="nil"/>
              <w:left w:val="nil"/>
              <w:bottom w:val="single" w:sz="4" w:space="0" w:color="auto"/>
              <w:right w:val="double" w:sz="6" w:space="0" w:color="auto"/>
            </w:tcBorders>
            <w:shd w:val="clear" w:color="auto" w:fill="auto"/>
            <w:vAlign w:val="center"/>
            <w:hideMark/>
          </w:tcPr>
          <w:p w14:paraId="6A1B7034" w14:textId="77777777" w:rsidR="00D97B4C" w:rsidRPr="00FD7B0B" w:rsidRDefault="00D97B4C" w:rsidP="008733B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90,3 </w:t>
            </w:r>
          </w:p>
        </w:tc>
      </w:tr>
      <w:tr w:rsidR="00D97B4C" w:rsidRPr="00FD7B0B" w14:paraId="602176E7" w14:textId="77777777" w:rsidTr="008733B4">
        <w:trPr>
          <w:trHeight w:val="94"/>
        </w:trPr>
        <w:tc>
          <w:tcPr>
            <w:tcW w:w="6356" w:type="dxa"/>
            <w:tcBorders>
              <w:top w:val="nil"/>
              <w:left w:val="double" w:sz="6" w:space="0" w:color="auto"/>
              <w:bottom w:val="double" w:sz="6" w:space="0" w:color="auto"/>
              <w:right w:val="single" w:sz="4" w:space="0" w:color="auto"/>
            </w:tcBorders>
            <w:shd w:val="clear" w:color="auto" w:fill="auto"/>
            <w:noWrap/>
            <w:vAlign w:val="bottom"/>
            <w:hideMark/>
          </w:tcPr>
          <w:p w14:paraId="253264FA" w14:textId="77777777" w:rsidR="00D97B4C" w:rsidRPr="00FD7B0B" w:rsidRDefault="00D97B4C" w:rsidP="008733B4">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Итого</w:t>
            </w:r>
          </w:p>
        </w:tc>
        <w:tc>
          <w:tcPr>
            <w:tcW w:w="1134" w:type="dxa"/>
            <w:tcBorders>
              <w:top w:val="nil"/>
              <w:left w:val="nil"/>
              <w:bottom w:val="double" w:sz="6" w:space="0" w:color="auto"/>
              <w:right w:val="single" w:sz="4" w:space="0" w:color="auto"/>
            </w:tcBorders>
            <w:shd w:val="clear" w:color="auto" w:fill="auto"/>
            <w:noWrap/>
            <w:vAlign w:val="bottom"/>
            <w:hideMark/>
          </w:tcPr>
          <w:p w14:paraId="19588591" w14:textId="77777777" w:rsidR="00D97B4C" w:rsidRPr="00FD7B0B" w:rsidRDefault="00D97B4C" w:rsidP="008733B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19 637,8 </w:t>
            </w:r>
          </w:p>
        </w:tc>
        <w:tc>
          <w:tcPr>
            <w:tcW w:w="1134" w:type="dxa"/>
            <w:tcBorders>
              <w:top w:val="nil"/>
              <w:left w:val="nil"/>
              <w:bottom w:val="double" w:sz="6" w:space="0" w:color="auto"/>
              <w:right w:val="single" w:sz="4" w:space="0" w:color="auto"/>
            </w:tcBorders>
            <w:shd w:val="clear" w:color="auto" w:fill="auto"/>
            <w:noWrap/>
            <w:vAlign w:val="bottom"/>
            <w:hideMark/>
          </w:tcPr>
          <w:p w14:paraId="7408CEBC" w14:textId="77777777" w:rsidR="00D97B4C" w:rsidRPr="00FD7B0B" w:rsidRDefault="00D97B4C" w:rsidP="008733B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19 470,3 </w:t>
            </w:r>
          </w:p>
        </w:tc>
        <w:tc>
          <w:tcPr>
            <w:tcW w:w="992" w:type="dxa"/>
            <w:tcBorders>
              <w:top w:val="nil"/>
              <w:left w:val="nil"/>
              <w:bottom w:val="double" w:sz="6" w:space="0" w:color="auto"/>
              <w:right w:val="double" w:sz="6" w:space="0" w:color="auto"/>
            </w:tcBorders>
            <w:shd w:val="clear" w:color="auto" w:fill="auto"/>
            <w:vAlign w:val="center"/>
            <w:hideMark/>
          </w:tcPr>
          <w:p w14:paraId="10EFF1F1" w14:textId="77777777" w:rsidR="00D97B4C" w:rsidRPr="00FD7B0B" w:rsidRDefault="00D97B4C" w:rsidP="008733B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99,1 </w:t>
            </w:r>
          </w:p>
        </w:tc>
      </w:tr>
    </w:tbl>
    <w:p w14:paraId="0D6111CB" w14:textId="77777777" w:rsidR="00D97B4C" w:rsidRPr="00FD7B0B" w:rsidRDefault="00D97B4C" w:rsidP="008733B4">
      <w:pPr>
        <w:spacing w:after="0" w:line="240" w:lineRule="auto"/>
        <w:ind w:firstLine="709"/>
        <w:jc w:val="both"/>
        <w:rPr>
          <w:rFonts w:ascii="Times New Roman" w:eastAsia="Calibri" w:hAnsi="Times New Roman" w:cs="Times New Roman"/>
          <w:sz w:val="28"/>
          <w:szCs w:val="28"/>
        </w:rPr>
      </w:pPr>
    </w:p>
    <w:p w14:paraId="5FF45450" w14:textId="2619DF40" w:rsidR="00D97B4C" w:rsidRPr="00FD7B0B" w:rsidRDefault="00D97B4C" w:rsidP="008733B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Из 13 национальных проектов РФ, предусмотренных к финансированию из областного бюджета в 2024 году, в полном объеме осуществлены расх</w:t>
      </w:r>
      <w:r w:rsidR="008733B4" w:rsidRPr="00FD7B0B">
        <w:rPr>
          <w:rFonts w:ascii="Times New Roman" w:eastAsia="Calibri" w:hAnsi="Times New Roman" w:cs="Times New Roman"/>
          <w:sz w:val="28"/>
          <w:szCs w:val="28"/>
        </w:rPr>
        <w:t>оды по 7 национальным проектам.</w:t>
      </w:r>
    </w:p>
    <w:p w14:paraId="0AECB8DD" w14:textId="77777777" w:rsidR="00F807EA" w:rsidRPr="00FD7B0B" w:rsidRDefault="00F807EA" w:rsidP="00F807E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НП «Демография» расходы осуществлены ниже среднего уровня (средний уровень – 99,1 %) и обеспечены на 96,5 %, из них по региональному проекту «Содействие занятости» – 85,9 % на сумму 303,4 млн.руб., не обеспечены расходы на сумму 50,0 млн.руб.: в указанной сумме не осуществлены расходы на повышение эффективности службы занятости (исполнено 291,9 млн.руб. или 85,4 % к плану года), в связи с нарушением подрядными организациями сроков исполнения и иных условий контрактов, не повлекшее судебные процедуры.</w:t>
      </w:r>
    </w:p>
    <w:p w14:paraId="367CB0A8" w14:textId="77777777" w:rsidR="00F807EA" w:rsidRPr="00FD7B0B" w:rsidRDefault="00F807EA" w:rsidP="00F807E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НП «Здравоохранение» расходы обеспечены на 98,8 %, не исполнено – 20,2 млн.руб., из них по региональному проекту «Модернизация первичного звена здравоохранения Российской Федерации» – 98,2 % (не исполнено – 19,8 млн.руб.), из них расходы:</w:t>
      </w:r>
    </w:p>
    <w:p w14:paraId="6891E39D" w14:textId="77777777" w:rsidR="00F807EA" w:rsidRPr="00FD7B0B" w:rsidRDefault="00F807EA" w:rsidP="00F807EA">
      <w:pPr>
        <w:pStyle w:val="a8"/>
        <w:numPr>
          <w:ilvl w:val="0"/>
          <w:numId w:val="11"/>
        </w:numPr>
        <w:ind w:left="0" w:firstLine="709"/>
        <w:jc w:val="both"/>
        <w:rPr>
          <w:sz w:val="28"/>
          <w:szCs w:val="28"/>
        </w:rPr>
      </w:pPr>
      <w:r w:rsidRPr="00FD7B0B">
        <w:rPr>
          <w:sz w:val="28"/>
          <w:szCs w:val="28"/>
        </w:rPr>
        <w:t>на бюджетные инвестиции на строительство медицинских организаций («Круглосуточный стационар в с. Карпогоры Пинежского района. Проектирование и строительство» и «Проектирование и строительство врачебной амбулатории в с. Сура, Пинежского района») исполнены на 93,5 % (не исполнено – 17,4 млн.руб.), что согласно пояснительной записке минстроя АО обусловлено оплатой по факту выполнения работ;</w:t>
      </w:r>
    </w:p>
    <w:p w14:paraId="3FD5DBEC" w14:textId="77777777" w:rsidR="00F807EA" w:rsidRPr="00FD7B0B" w:rsidRDefault="00F807EA" w:rsidP="00F807EA">
      <w:pPr>
        <w:pStyle w:val="a8"/>
        <w:numPr>
          <w:ilvl w:val="0"/>
          <w:numId w:val="11"/>
        </w:numPr>
        <w:ind w:left="0" w:firstLine="709"/>
        <w:jc w:val="both"/>
        <w:rPr>
          <w:sz w:val="28"/>
          <w:szCs w:val="28"/>
        </w:rPr>
      </w:pPr>
      <w:r w:rsidRPr="00FD7B0B">
        <w:rPr>
          <w:sz w:val="28"/>
          <w:szCs w:val="28"/>
        </w:rPr>
        <w:t>субсидии медицинским организациям на дооснащение и переоснащение оборудованием для оказания медицинской помощи (сверх соглашения с федеральным органом государственной власти) исполнены лишь на 6,7 % (исполнено – 0,2 млн.руб., план года – 2,6 млн.руб., не исполнено – 2,4 млн.руб.), что согласно пояснительной записке минздрава АО обусловлено экономией при проведении конкурсных процедур.</w:t>
      </w:r>
    </w:p>
    <w:p w14:paraId="0A62B711" w14:textId="77777777" w:rsidR="00F807EA" w:rsidRPr="00FD7B0B" w:rsidRDefault="00F807EA" w:rsidP="00F807E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По НП «Беспилотные авиационные системы» расходы обеспечены на 90,3 %, не исполнено – 30,0 млн.руб. и в указанной сумме по региональному проекту «Стимулирование спроса на отечественные беспилотные авиационные системы», где исполнение обеспечено на 90,3 %, в т.ч. закупки в целях приобретения беспилотных авиационных систем органами исполнительной власти субъектов РФ в области лесных отношений исполнены лишь на 50,0 % (не исполнено – 30,0 млн.руб.), т.к. оплата осуществляется «по факту».</w:t>
      </w:r>
    </w:p>
    <w:p w14:paraId="7AFDBA5C" w14:textId="4A05DF81" w:rsidR="00D97B4C" w:rsidRPr="00FD7B0B" w:rsidRDefault="00D97B4C" w:rsidP="0076596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Сведения о расходах областного бюджета на реализацию национальных проектов в разрезе программ представлены в таблице </w:t>
      </w:r>
      <w:r w:rsidR="00424B5A" w:rsidRPr="00FD7B0B">
        <w:rPr>
          <w:rFonts w:ascii="Times New Roman" w:eastAsia="Calibri" w:hAnsi="Times New Roman" w:cs="Times New Roman"/>
          <w:sz w:val="28"/>
          <w:szCs w:val="28"/>
        </w:rPr>
        <w:t>249</w:t>
      </w:r>
      <w:r w:rsidRPr="00FD7B0B">
        <w:rPr>
          <w:rFonts w:ascii="Times New Roman" w:eastAsia="Calibri" w:hAnsi="Times New Roman" w:cs="Times New Roman"/>
          <w:sz w:val="28"/>
          <w:szCs w:val="28"/>
        </w:rPr>
        <w:t>.</w:t>
      </w:r>
    </w:p>
    <w:p w14:paraId="72E362D1" w14:textId="77777777" w:rsidR="00D97B4C" w:rsidRPr="00FD7B0B" w:rsidRDefault="00D97B4C" w:rsidP="0076596C">
      <w:pPr>
        <w:spacing w:after="0" w:line="240" w:lineRule="auto"/>
        <w:rPr>
          <w:rFonts w:ascii="Times New Roman" w:eastAsia="Calibri" w:hAnsi="Times New Roman" w:cs="Times New Roman"/>
          <w:bCs/>
          <w:sz w:val="24"/>
          <w:szCs w:val="24"/>
        </w:rPr>
      </w:pPr>
    </w:p>
    <w:p w14:paraId="1852CE76" w14:textId="0FEE2564" w:rsidR="00D97B4C" w:rsidRPr="00FD7B0B" w:rsidRDefault="00D97B4C" w:rsidP="0076596C">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249</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на реализацию национальных проектов РФ за 2024 год в разрезе программ Архангельской области, млн.руб.</w:t>
      </w:r>
    </w:p>
    <w:tbl>
      <w:tblPr>
        <w:tblW w:w="9582" w:type="dxa"/>
        <w:tblLook w:val="04A0" w:firstRow="1" w:lastRow="0" w:firstColumn="1" w:lastColumn="0" w:noHBand="0" w:noVBand="1"/>
      </w:tblPr>
      <w:tblGrid>
        <w:gridCol w:w="6923"/>
        <w:gridCol w:w="992"/>
        <w:gridCol w:w="958"/>
        <w:gridCol w:w="709"/>
      </w:tblGrid>
      <w:tr w:rsidR="00FD7B0B" w:rsidRPr="00FD7B0B" w14:paraId="2F6823FA" w14:textId="77777777" w:rsidTr="00A10E11">
        <w:trPr>
          <w:trHeight w:val="35"/>
          <w:tblHeader/>
        </w:trPr>
        <w:tc>
          <w:tcPr>
            <w:tcW w:w="6923"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BC732F3" w14:textId="77777777" w:rsidR="00D97B4C" w:rsidRPr="00FD7B0B" w:rsidRDefault="00D97B4C" w:rsidP="00A10E11">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 гос. программы</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63FA62F3" w14:textId="77777777" w:rsidR="00D97B4C" w:rsidRPr="00FD7B0B" w:rsidRDefault="00D97B4C" w:rsidP="00A10E11">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Утвер-ждено</w:t>
            </w:r>
          </w:p>
        </w:tc>
        <w:tc>
          <w:tcPr>
            <w:tcW w:w="958" w:type="dxa"/>
            <w:tcBorders>
              <w:top w:val="double" w:sz="6" w:space="0" w:color="auto"/>
              <w:left w:val="nil"/>
              <w:bottom w:val="single" w:sz="4" w:space="0" w:color="auto"/>
              <w:right w:val="single" w:sz="4" w:space="0" w:color="auto"/>
            </w:tcBorders>
            <w:shd w:val="clear" w:color="auto" w:fill="auto"/>
            <w:vAlign w:val="center"/>
            <w:hideMark/>
          </w:tcPr>
          <w:p w14:paraId="17B2F9D8" w14:textId="77777777" w:rsidR="00D97B4C" w:rsidRPr="00FD7B0B" w:rsidRDefault="00D97B4C" w:rsidP="00A10E11">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Испол-нено</w:t>
            </w:r>
          </w:p>
        </w:tc>
        <w:tc>
          <w:tcPr>
            <w:tcW w:w="709" w:type="dxa"/>
            <w:tcBorders>
              <w:top w:val="double" w:sz="6" w:space="0" w:color="auto"/>
              <w:left w:val="nil"/>
              <w:bottom w:val="single" w:sz="4" w:space="0" w:color="auto"/>
              <w:right w:val="double" w:sz="6" w:space="0" w:color="auto"/>
            </w:tcBorders>
            <w:shd w:val="clear" w:color="auto" w:fill="auto"/>
            <w:vAlign w:val="center"/>
            <w:hideMark/>
          </w:tcPr>
          <w:p w14:paraId="482786B8" w14:textId="77777777" w:rsidR="00D97B4C" w:rsidRPr="00FD7B0B" w:rsidRDefault="00D97B4C" w:rsidP="00A10E11">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57CF956A"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4938ED36"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Развитие здравоохранения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7F0FDB8"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1 628,8 </w:t>
            </w:r>
          </w:p>
        </w:tc>
        <w:tc>
          <w:tcPr>
            <w:tcW w:w="958" w:type="dxa"/>
            <w:tcBorders>
              <w:top w:val="nil"/>
              <w:left w:val="nil"/>
              <w:bottom w:val="single" w:sz="4" w:space="0" w:color="auto"/>
              <w:right w:val="single" w:sz="4" w:space="0" w:color="auto"/>
            </w:tcBorders>
            <w:shd w:val="clear" w:color="auto" w:fill="auto"/>
            <w:vAlign w:val="center"/>
            <w:hideMark/>
          </w:tcPr>
          <w:p w14:paraId="63425229"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1 608,6 </w:t>
            </w:r>
          </w:p>
        </w:tc>
        <w:tc>
          <w:tcPr>
            <w:tcW w:w="709" w:type="dxa"/>
            <w:tcBorders>
              <w:top w:val="nil"/>
              <w:left w:val="nil"/>
              <w:bottom w:val="single" w:sz="4" w:space="0" w:color="auto"/>
              <w:right w:val="double" w:sz="6" w:space="0" w:color="auto"/>
            </w:tcBorders>
            <w:shd w:val="clear" w:color="auto" w:fill="auto"/>
            <w:vAlign w:val="center"/>
            <w:hideMark/>
          </w:tcPr>
          <w:p w14:paraId="0256D254"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98,8 </w:t>
            </w:r>
          </w:p>
        </w:tc>
      </w:tr>
      <w:tr w:rsidR="00FD7B0B" w:rsidRPr="00FD7B0B" w14:paraId="01F5A4A1"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51A3E67D"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Развитие образования и науки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17CE383B"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2 834,5 </w:t>
            </w:r>
          </w:p>
        </w:tc>
        <w:tc>
          <w:tcPr>
            <w:tcW w:w="958" w:type="dxa"/>
            <w:tcBorders>
              <w:top w:val="nil"/>
              <w:left w:val="nil"/>
              <w:bottom w:val="single" w:sz="4" w:space="0" w:color="auto"/>
              <w:right w:val="single" w:sz="4" w:space="0" w:color="auto"/>
            </w:tcBorders>
            <w:shd w:val="clear" w:color="auto" w:fill="auto"/>
            <w:vAlign w:val="center"/>
            <w:hideMark/>
          </w:tcPr>
          <w:p w14:paraId="5D4FFBB6"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2 834,5 </w:t>
            </w:r>
          </w:p>
        </w:tc>
        <w:tc>
          <w:tcPr>
            <w:tcW w:w="709" w:type="dxa"/>
            <w:tcBorders>
              <w:top w:val="nil"/>
              <w:left w:val="nil"/>
              <w:bottom w:val="single" w:sz="4" w:space="0" w:color="auto"/>
              <w:right w:val="double" w:sz="6" w:space="0" w:color="auto"/>
            </w:tcBorders>
            <w:shd w:val="clear" w:color="auto" w:fill="auto"/>
            <w:vAlign w:val="center"/>
            <w:hideMark/>
          </w:tcPr>
          <w:p w14:paraId="60784B82"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39B94380"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47B96544"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Социальная поддержка граждан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E6EC510"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1 046,3 </w:t>
            </w:r>
          </w:p>
        </w:tc>
        <w:tc>
          <w:tcPr>
            <w:tcW w:w="958" w:type="dxa"/>
            <w:tcBorders>
              <w:top w:val="nil"/>
              <w:left w:val="nil"/>
              <w:bottom w:val="single" w:sz="4" w:space="0" w:color="auto"/>
              <w:right w:val="single" w:sz="4" w:space="0" w:color="auto"/>
            </w:tcBorders>
            <w:shd w:val="clear" w:color="auto" w:fill="auto"/>
            <w:vAlign w:val="center"/>
            <w:hideMark/>
          </w:tcPr>
          <w:p w14:paraId="6A8ABBBF"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1 045,8 </w:t>
            </w:r>
          </w:p>
        </w:tc>
        <w:tc>
          <w:tcPr>
            <w:tcW w:w="709" w:type="dxa"/>
            <w:tcBorders>
              <w:top w:val="nil"/>
              <w:left w:val="nil"/>
              <w:bottom w:val="single" w:sz="4" w:space="0" w:color="auto"/>
              <w:right w:val="double" w:sz="6" w:space="0" w:color="auto"/>
            </w:tcBorders>
            <w:shd w:val="clear" w:color="auto" w:fill="auto"/>
            <w:vAlign w:val="center"/>
            <w:hideMark/>
          </w:tcPr>
          <w:p w14:paraId="67516C6B"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32215E8F"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135F5E4B"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Культура Русского Севера</w:t>
            </w:r>
          </w:p>
        </w:tc>
        <w:tc>
          <w:tcPr>
            <w:tcW w:w="992" w:type="dxa"/>
            <w:tcBorders>
              <w:top w:val="nil"/>
              <w:left w:val="nil"/>
              <w:bottom w:val="single" w:sz="4" w:space="0" w:color="auto"/>
              <w:right w:val="single" w:sz="4" w:space="0" w:color="auto"/>
            </w:tcBorders>
            <w:shd w:val="clear" w:color="auto" w:fill="auto"/>
            <w:vAlign w:val="center"/>
            <w:hideMark/>
          </w:tcPr>
          <w:p w14:paraId="4CB12016"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460,5 </w:t>
            </w:r>
          </w:p>
        </w:tc>
        <w:tc>
          <w:tcPr>
            <w:tcW w:w="958" w:type="dxa"/>
            <w:tcBorders>
              <w:top w:val="nil"/>
              <w:left w:val="nil"/>
              <w:bottom w:val="single" w:sz="4" w:space="0" w:color="auto"/>
              <w:right w:val="single" w:sz="4" w:space="0" w:color="auto"/>
            </w:tcBorders>
            <w:shd w:val="clear" w:color="auto" w:fill="auto"/>
            <w:vAlign w:val="center"/>
            <w:hideMark/>
          </w:tcPr>
          <w:p w14:paraId="4228D8B7"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460,4 </w:t>
            </w:r>
          </w:p>
        </w:tc>
        <w:tc>
          <w:tcPr>
            <w:tcW w:w="709" w:type="dxa"/>
            <w:tcBorders>
              <w:top w:val="nil"/>
              <w:left w:val="nil"/>
              <w:bottom w:val="single" w:sz="4" w:space="0" w:color="auto"/>
              <w:right w:val="double" w:sz="6" w:space="0" w:color="auto"/>
            </w:tcBorders>
            <w:shd w:val="clear" w:color="auto" w:fill="auto"/>
            <w:vAlign w:val="center"/>
            <w:hideMark/>
          </w:tcPr>
          <w:p w14:paraId="340EAD76"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47435B80"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453573DC"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 </w:t>
            </w:r>
          </w:p>
        </w:tc>
        <w:tc>
          <w:tcPr>
            <w:tcW w:w="992" w:type="dxa"/>
            <w:tcBorders>
              <w:top w:val="nil"/>
              <w:left w:val="nil"/>
              <w:bottom w:val="single" w:sz="4" w:space="0" w:color="auto"/>
              <w:right w:val="single" w:sz="4" w:space="0" w:color="auto"/>
            </w:tcBorders>
            <w:shd w:val="clear" w:color="auto" w:fill="auto"/>
            <w:vAlign w:val="center"/>
            <w:hideMark/>
          </w:tcPr>
          <w:p w14:paraId="2EAA8595"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 </w:t>
            </w:r>
          </w:p>
        </w:tc>
        <w:tc>
          <w:tcPr>
            <w:tcW w:w="958" w:type="dxa"/>
            <w:tcBorders>
              <w:top w:val="nil"/>
              <w:left w:val="nil"/>
              <w:bottom w:val="single" w:sz="4" w:space="0" w:color="auto"/>
              <w:right w:val="single" w:sz="4" w:space="0" w:color="auto"/>
            </w:tcBorders>
            <w:shd w:val="clear" w:color="auto" w:fill="auto"/>
            <w:vAlign w:val="center"/>
            <w:hideMark/>
          </w:tcPr>
          <w:p w14:paraId="5ED3639E"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 </w:t>
            </w:r>
          </w:p>
        </w:tc>
        <w:tc>
          <w:tcPr>
            <w:tcW w:w="709" w:type="dxa"/>
            <w:tcBorders>
              <w:top w:val="nil"/>
              <w:left w:val="nil"/>
              <w:bottom w:val="single" w:sz="4" w:space="0" w:color="auto"/>
              <w:right w:val="double" w:sz="6" w:space="0" w:color="auto"/>
            </w:tcBorders>
            <w:shd w:val="clear" w:color="auto" w:fill="auto"/>
            <w:vAlign w:val="center"/>
            <w:hideMark/>
          </w:tcPr>
          <w:p w14:paraId="6EA190F8"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70AB6699"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7E1A1C6E"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Обеспечение качественным, доступным жильем и объектами инженерной инфраструктуры населения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4AC1AD7C"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3 000,4 </w:t>
            </w:r>
          </w:p>
        </w:tc>
        <w:tc>
          <w:tcPr>
            <w:tcW w:w="958" w:type="dxa"/>
            <w:tcBorders>
              <w:top w:val="nil"/>
              <w:left w:val="nil"/>
              <w:bottom w:val="single" w:sz="4" w:space="0" w:color="auto"/>
              <w:right w:val="single" w:sz="4" w:space="0" w:color="auto"/>
            </w:tcBorders>
            <w:shd w:val="clear" w:color="auto" w:fill="auto"/>
            <w:vAlign w:val="center"/>
            <w:hideMark/>
          </w:tcPr>
          <w:p w14:paraId="03293BE7"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2 987,7 </w:t>
            </w:r>
          </w:p>
        </w:tc>
        <w:tc>
          <w:tcPr>
            <w:tcW w:w="709" w:type="dxa"/>
            <w:tcBorders>
              <w:top w:val="nil"/>
              <w:left w:val="nil"/>
              <w:bottom w:val="single" w:sz="4" w:space="0" w:color="auto"/>
              <w:right w:val="double" w:sz="6" w:space="0" w:color="auto"/>
            </w:tcBorders>
            <w:shd w:val="clear" w:color="auto" w:fill="auto"/>
            <w:vAlign w:val="center"/>
            <w:hideMark/>
          </w:tcPr>
          <w:p w14:paraId="5FEBB5D4"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99,6 </w:t>
            </w:r>
          </w:p>
        </w:tc>
      </w:tr>
      <w:tr w:rsidR="00FD7B0B" w:rsidRPr="00FD7B0B" w14:paraId="20AB0CB5"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7A8BF197"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Содействие занятости населения Архангельской области, улучшение условий и охраны труда</w:t>
            </w:r>
          </w:p>
        </w:tc>
        <w:tc>
          <w:tcPr>
            <w:tcW w:w="992" w:type="dxa"/>
            <w:tcBorders>
              <w:top w:val="nil"/>
              <w:left w:val="nil"/>
              <w:bottom w:val="single" w:sz="4" w:space="0" w:color="auto"/>
              <w:right w:val="single" w:sz="4" w:space="0" w:color="auto"/>
            </w:tcBorders>
            <w:shd w:val="clear" w:color="auto" w:fill="auto"/>
            <w:vAlign w:val="center"/>
            <w:hideMark/>
          </w:tcPr>
          <w:p w14:paraId="65C0315A"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353,3 </w:t>
            </w:r>
          </w:p>
        </w:tc>
        <w:tc>
          <w:tcPr>
            <w:tcW w:w="958" w:type="dxa"/>
            <w:tcBorders>
              <w:top w:val="nil"/>
              <w:left w:val="nil"/>
              <w:bottom w:val="single" w:sz="4" w:space="0" w:color="auto"/>
              <w:right w:val="single" w:sz="4" w:space="0" w:color="auto"/>
            </w:tcBorders>
            <w:shd w:val="clear" w:color="auto" w:fill="auto"/>
            <w:vAlign w:val="center"/>
            <w:hideMark/>
          </w:tcPr>
          <w:p w14:paraId="19324182"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303,4 </w:t>
            </w:r>
          </w:p>
        </w:tc>
        <w:tc>
          <w:tcPr>
            <w:tcW w:w="709" w:type="dxa"/>
            <w:tcBorders>
              <w:top w:val="nil"/>
              <w:left w:val="nil"/>
              <w:bottom w:val="single" w:sz="4" w:space="0" w:color="auto"/>
              <w:right w:val="double" w:sz="6" w:space="0" w:color="auto"/>
            </w:tcBorders>
            <w:shd w:val="clear" w:color="auto" w:fill="auto"/>
            <w:vAlign w:val="center"/>
            <w:hideMark/>
          </w:tcPr>
          <w:p w14:paraId="3807DCB6"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85,9 </w:t>
            </w:r>
          </w:p>
        </w:tc>
      </w:tr>
      <w:tr w:rsidR="00FD7B0B" w:rsidRPr="00FD7B0B" w14:paraId="62028FE2"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5D134662"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Охрана окружающей среды, воспроизводство и использование природных ресурсов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477FF425"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733,9 </w:t>
            </w:r>
          </w:p>
        </w:tc>
        <w:tc>
          <w:tcPr>
            <w:tcW w:w="958" w:type="dxa"/>
            <w:tcBorders>
              <w:top w:val="nil"/>
              <w:left w:val="nil"/>
              <w:bottom w:val="single" w:sz="4" w:space="0" w:color="auto"/>
              <w:right w:val="single" w:sz="4" w:space="0" w:color="auto"/>
            </w:tcBorders>
            <w:shd w:val="clear" w:color="auto" w:fill="auto"/>
            <w:vAlign w:val="center"/>
            <w:hideMark/>
          </w:tcPr>
          <w:p w14:paraId="12C6016B"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733,9 </w:t>
            </w:r>
          </w:p>
        </w:tc>
        <w:tc>
          <w:tcPr>
            <w:tcW w:w="709" w:type="dxa"/>
            <w:tcBorders>
              <w:top w:val="nil"/>
              <w:left w:val="nil"/>
              <w:bottom w:val="single" w:sz="4" w:space="0" w:color="auto"/>
              <w:right w:val="double" w:sz="6" w:space="0" w:color="auto"/>
            </w:tcBorders>
            <w:shd w:val="clear" w:color="auto" w:fill="auto"/>
            <w:vAlign w:val="center"/>
            <w:hideMark/>
          </w:tcPr>
          <w:p w14:paraId="51310E68"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63A11B41"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1756C4B8"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Формирование современной городской среды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76C584BB"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553,4 </w:t>
            </w:r>
          </w:p>
        </w:tc>
        <w:tc>
          <w:tcPr>
            <w:tcW w:w="958" w:type="dxa"/>
            <w:tcBorders>
              <w:top w:val="nil"/>
              <w:left w:val="nil"/>
              <w:bottom w:val="single" w:sz="4" w:space="0" w:color="auto"/>
              <w:right w:val="single" w:sz="4" w:space="0" w:color="auto"/>
            </w:tcBorders>
            <w:shd w:val="clear" w:color="auto" w:fill="auto"/>
            <w:vAlign w:val="center"/>
            <w:hideMark/>
          </w:tcPr>
          <w:p w14:paraId="1281FB7D"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553,4 </w:t>
            </w:r>
          </w:p>
        </w:tc>
        <w:tc>
          <w:tcPr>
            <w:tcW w:w="709" w:type="dxa"/>
            <w:tcBorders>
              <w:top w:val="nil"/>
              <w:left w:val="nil"/>
              <w:bottom w:val="single" w:sz="4" w:space="0" w:color="auto"/>
              <w:right w:val="double" w:sz="6" w:space="0" w:color="auto"/>
            </w:tcBorders>
            <w:shd w:val="clear" w:color="auto" w:fill="auto"/>
            <w:vAlign w:val="center"/>
            <w:hideMark/>
          </w:tcPr>
          <w:p w14:paraId="1F99A023"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6979680C"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369F83D3"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Развитие лесного комплекса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0910F1E"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71,0 </w:t>
            </w:r>
          </w:p>
        </w:tc>
        <w:tc>
          <w:tcPr>
            <w:tcW w:w="958" w:type="dxa"/>
            <w:tcBorders>
              <w:top w:val="nil"/>
              <w:left w:val="nil"/>
              <w:bottom w:val="single" w:sz="4" w:space="0" w:color="auto"/>
              <w:right w:val="single" w:sz="4" w:space="0" w:color="auto"/>
            </w:tcBorders>
            <w:shd w:val="clear" w:color="auto" w:fill="auto"/>
            <w:vAlign w:val="center"/>
            <w:hideMark/>
          </w:tcPr>
          <w:p w14:paraId="77FDC717"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71,0 </w:t>
            </w:r>
          </w:p>
        </w:tc>
        <w:tc>
          <w:tcPr>
            <w:tcW w:w="709" w:type="dxa"/>
            <w:tcBorders>
              <w:top w:val="nil"/>
              <w:left w:val="nil"/>
              <w:bottom w:val="single" w:sz="4" w:space="0" w:color="auto"/>
              <w:right w:val="double" w:sz="6" w:space="0" w:color="auto"/>
            </w:tcBorders>
            <w:shd w:val="clear" w:color="auto" w:fill="auto"/>
            <w:vAlign w:val="center"/>
            <w:hideMark/>
          </w:tcPr>
          <w:p w14:paraId="5DCBAB59"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679BBF91"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719971B8"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Развитие энергетики и жилищно-коммунального хозяйства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6AC861F"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497,7 </w:t>
            </w:r>
          </w:p>
        </w:tc>
        <w:tc>
          <w:tcPr>
            <w:tcW w:w="958" w:type="dxa"/>
            <w:tcBorders>
              <w:top w:val="nil"/>
              <w:left w:val="nil"/>
              <w:bottom w:val="single" w:sz="4" w:space="0" w:color="auto"/>
              <w:right w:val="single" w:sz="4" w:space="0" w:color="auto"/>
            </w:tcBorders>
            <w:shd w:val="clear" w:color="auto" w:fill="auto"/>
            <w:vAlign w:val="center"/>
            <w:hideMark/>
          </w:tcPr>
          <w:p w14:paraId="43A22ADA"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497,7 </w:t>
            </w:r>
          </w:p>
        </w:tc>
        <w:tc>
          <w:tcPr>
            <w:tcW w:w="709" w:type="dxa"/>
            <w:tcBorders>
              <w:top w:val="nil"/>
              <w:left w:val="nil"/>
              <w:bottom w:val="single" w:sz="4" w:space="0" w:color="auto"/>
              <w:right w:val="double" w:sz="6" w:space="0" w:color="auto"/>
            </w:tcBorders>
            <w:shd w:val="clear" w:color="auto" w:fill="auto"/>
            <w:vAlign w:val="center"/>
            <w:hideMark/>
          </w:tcPr>
          <w:p w14:paraId="3F52D3FF"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5D52A2D8"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5D110706"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Развитие транспортной системы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714759DA"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7 277,9 </w:t>
            </w:r>
          </w:p>
        </w:tc>
        <w:tc>
          <w:tcPr>
            <w:tcW w:w="958" w:type="dxa"/>
            <w:tcBorders>
              <w:top w:val="nil"/>
              <w:left w:val="nil"/>
              <w:bottom w:val="single" w:sz="4" w:space="0" w:color="auto"/>
              <w:right w:val="single" w:sz="4" w:space="0" w:color="auto"/>
            </w:tcBorders>
            <w:shd w:val="clear" w:color="auto" w:fill="auto"/>
            <w:vAlign w:val="center"/>
            <w:hideMark/>
          </w:tcPr>
          <w:p w14:paraId="594EF6E1"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7 224,2 </w:t>
            </w:r>
          </w:p>
        </w:tc>
        <w:tc>
          <w:tcPr>
            <w:tcW w:w="709" w:type="dxa"/>
            <w:tcBorders>
              <w:top w:val="nil"/>
              <w:left w:val="nil"/>
              <w:bottom w:val="single" w:sz="4" w:space="0" w:color="auto"/>
              <w:right w:val="double" w:sz="6" w:space="0" w:color="auto"/>
            </w:tcBorders>
            <w:shd w:val="clear" w:color="auto" w:fill="auto"/>
            <w:vAlign w:val="center"/>
            <w:hideMark/>
          </w:tcPr>
          <w:p w14:paraId="45620B27"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99,3 </w:t>
            </w:r>
          </w:p>
        </w:tc>
      </w:tr>
      <w:tr w:rsidR="00FD7B0B" w:rsidRPr="00FD7B0B" w14:paraId="5AC3E68A"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463E23D7"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Развитие инфраструктуры Соловецкого архипелага</w:t>
            </w:r>
          </w:p>
        </w:tc>
        <w:tc>
          <w:tcPr>
            <w:tcW w:w="992" w:type="dxa"/>
            <w:tcBorders>
              <w:top w:val="nil"/>
              <w:left w:val="nil"/>
              <w:bottom w:val="single" w:sz="4" w:space="0" w:color="auto"/>
              <w:right w:val="single" w:sz="4" w:space="0" w:color="auto"/>
            </w:tcBorders>
            <w:shd w:val="clear" w:color="auto" w:fill="auto"/>
            <w:vAlign w:val="center"/>
            <w:hideMark/>
          </w:tcPr>
          <w:p w14:paraId="58F1D41C"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0,0 </w:t>
            </w:r>
          </w:p>
        </w:tc>
        <w:tc>
          <w:tcPr>
            <w:tcW w:w="958" w:type="dxa"/>
            <w:tcBorders>
              <w:top w:val="nil"/>
              <w:left w:val="nil"/>
              <w:bottom w:val="single" w:sz="4" w:space="0" w:color="auto"/>
              <w:right w:val="single" w:sz="4" w:space="0" w:color="auto"/>
            </w:tcBorders>
            <w:shd w:val="clear" w:color="auto" w:fill="auto"/>
            <w:vAlign w:val="center"/>
            <w:hideMark/>
          </w:tcPr>
          <w:p w14:paraId="50630A51"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0,0 </w:t>
            </w:r>
          </w:p>
        </w:tc>
        <w:tc>
          <w:tcPr>
            <w:tcW w:w="709" w:type="dxa"/>
            <w:tcBorders>
              <w:top w:val="nil"/>
              <w:left w:val="nil"/>
              <w:bottom w:val="single" w:sz="4" w:space="0" w:color="auto"/>
              <w:right w:val="double" w:sz="6" w:space="0" w:color="auto"/>
            </w:tcBorders>
            <w:shd w:val="clear" w:color="auto" w:fill="auto"/>
            <w:vAlign w:val="center"/>
            <w:hideMark/>
          </w:tcPr>
          <w:p w14:paraId="028F9E98"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w:t>
            </w:r>
          </w:p>
        </w:tc>
      </w:tr>
      <w:tr w:rsidR="00FD7B0B" w:rsidRPr="00FD7B0B" w14:paraId="2C61229E"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8701441"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Экономическое развитие и инвестиционная деятельность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6EC5BD1B"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898,8 </w:t>
            </w:r>
          </w:p>
        </w:tc>
        <w:tc>
          <w:tcPr>
            <w:tcW w:w="958" w:type="dxa"/>
            <w:tcBorders>
              <w:top w:val="nil"/>
              <w:left w:val="nil"/>
              <w:bottom w:val="single" w:sz="4" w:space="0" w:color="auto"/>
              <w:right w:val="single" w:sz="4" w:space="0" w:color="auto"/>
            </w:tcBorders>
            <w:shd w:val="clear" w:color="auto" w:fill="auto"/>
            <w:vAlign w:val="center"/>
            <w:hideMark/>
          </w:tcPr>
          <w:p w14:paraId="32F49731"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868,7 </w:t>
            </w:r>
          </w:p>
        </w:tc>
        <w:tc>
          <w:tcPr>
            <w:tcW w:w="709" w:type="dxa"/>
            <w:tcBorders>
              <w:top w:val="nil"/>
              <w:left w:val="nil"/>
              <w:bottom w:val="single" w:sz="4" w:space="0" w:color="auto"/>
              <w:right w:val="double" w:sz="6" w:space="0" w:color="auto"/>
            </w:tcBorders>
            <w:shd w:val="clear" w:color="auto" w:fill="auto"/>
            <w:vAlign w:val="center"/>
            <w:hideMark/>
          </w:tcPr>
          <w:p w14:paraId="6C58F94E"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96,7 </w:t>
            </w:r>
          </w:p>
        </w:tc>
      </w:tr>
      <w:tr w:rsidR="00FD7B0B" w:rsidRPr="00FD7B0B" w14:paraId="5114DC69"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579D5DA"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Цифровое развитие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4E0DC67D"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0,0 </w:t>
            </w:r>
          </w:p>
        </w:tc>
        <w:tc>
          <w:tcPr>
            <w:tcW w:w="958" w:type="dxa"/>
            <w:tcBorders>
              <w:top w:val="nil"/>
              <w:left w:val="nil"/>
              <w:bottom w:val="single" w:sz="4" w:space="0" w:color="auto"/>
              <w:right w:val="single" w:sz="4" w:space="0" w:color="auto"/>
            </w:tcBorders>
            <w:shd w:val="clear" w:color="auto" w:fill="auto"/>
            <w:vAlign w:val="center"/>
            <w:hideMark/>
          </w:tcPr>
          <w:p w14:paraId="01848F64"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0,0 </w:t>
            </w:r>
          </w:p>
        </w:tc>
        <w:tc>
          <w:tcPr>
            <w:tcW w:w="709" w:type="dxa"/>
            <w:tcBorders>
              <w:top w:val="nil"/>
              <w:left w:val="nil"/>
              <w:bottom w:val="single" w:sz="4" w:space="0" w:color="auto"/>
              <w:right w:val="double" w:sz="6" w:space="0" w:color="auto"/>
            </w:tcBorders>
            <w:shd w:val="clear" w:color="auto" w:fill="auto"/>
            <w:vAlign w:val="center"/>
            <w:hideMark/>
          </w:tcPr>
          <w:p w14:paraId="557DAAF8"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w:t>
            </w:r>
          </w:p>
        </w:tc>
      </w:tr>
      <w:tr w:rsidR="00FD7B0B" w:rsidRPr="00FD7B0B" w14:paraId="345BD6A8"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858982A"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Развитие физической культуры и спорта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69D24BF0"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25,1 </w:t>
            </w:r>
          </w:p>
        </w:tc>
        <w:tc>
          <w:tcPr>
            <w:tcW w:w="958" w:type="dxa"/>
            <w:tcBorders>
              <w:top w:val="nil"/>
              <w:left w:val="nil"/>
              <w:bottom w:val="single" w:sz="4" w:space="0" w:color="auto"/>
              <w:right w:val="single" w:sz="4" w:space="0" w:color="auto"/>
            </w:tcBorders>
            <w:shd w:val="clear" w:color="auto" w:fill="auto"/>
            <w:vAlign w:val="center"/>
            <w:hideMark/>
          </w:tcPr>
          <w:p w14:paraId="43B8175F"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25,1 </w:t>
            </w:r>
          </w:p>
        </w:tc>
        <w:tc>
          <w:tcPr>
            <w:tcW w:w="709" w:type="dxa"/>
            <w:tcBorders>
              <w:top w:val="nil"/>
              <w:left w:val="nil"/>
              <w:bottom w:val="single" w:sz="4" w:space="0" w:color="auto"/>
              <w:right w:val="double" w:sz="6" w:space="0" w:color="auto"/>
            </w:tcBorders>
            <w:shd w:val="clear" w:color="auto" w:fill="auto"/>
            <w:vAlign w:val="center"/>
            <w:hideMark/>
          </w:tcPr>
          <w:p w14:paraId="0865618B"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137BD972" w14:textId="77777777" w:rsidTr="00A10E11">
        <w:trPr>
          <w:trHeight w:val="70"/>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4246B79C"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Молодежь Поморья</w:t>
            </w:r>
          </w:p>
        </w:tc>
        <w:tc>
          <w:tcPr>
            <w:tcW w:w="992" w:type="dxa"/>
            <w:tcBorders>
              <w:top w:val="nil"/>
              <w:left w:val="nil"/>
              <w:bottom w:val="single" w:sz="4" w:space="0" w:color="auto"/>
              <w:right w:val="single" w:sz="4" w:space="0" w:color="auto"/>
            </w:tcBorders>
            <w:shd w:val="clear" w:color="auto" w:fill="auto"/>
            <w:vAlign w:val="center"/>
            <w:hideMark/>
          </w:tcPr>
          <w:p w14:paraId="2DFEA793"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247,1 </w:t>
            </w:r>
          </w:p>
        </w:tc>
        <w:tc>
          <w:tcPr>
            <w:tcW w:w="958" w:type="dxa"/>
            <w:tcBorders>
              <w:top w:val="nil"/>
              <w:left w:val="nil"/>
              <w:bottom w:val="single" w:sz="4" w:space="0" w:color="auto"/>
              <w:right w:val="single" w:sz="4" w:space="0" w:color="auto"/>
            </w:tcBorders>
            <w:shd w:val="clear" w:color="auto" w:fill="auto"/>
            <w:vAlign w:val="center"/>
            <w:hideMark/>
          </w:tcPr>
          <w:p w14:paraId="1D6F8C52"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246,7 </w:t>
            </w:r>
          </w:p>
        </w:tc>
        <w:tc>
          <w:tcPr>
            <w:tcW w:w="709" w:type="dxa"/>
            <w:tcBorders>
              <w:top w:val="nil"/>
              <w:left w:val="nil"/>
              <w:bottom w:val="single" w:sz="4" w:space="0" w:color="auto"/>
              <w:right w:val="double" w:sz="6" w:space="0" w:color="auto"/>
            </w:tcBorders>
            <w:shd w:val="clear" w:color="auto" w:fill="auto"/>
            <w:vAlign w:val="center"/>
            <w:hideMark/>
          </w:tcPr>
          <w:p w14:paraId="5B66D811"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99,9 </w:t>
            </w:r>
          </w:p>
        </w:tc>
      </w:tr>
      <w:tr w:rsidR="00D97B4C" w:rsidRPr="00FD7B0B" w14:paraId="086D7D6B" w14:textId="77777777" w:rsidTr="00A10E11">
        <w:trPr>
          <w:trHeight w:val="70"/>
        </w:trPr>
        <w:tc>
          <w:tcPr>
            <w:tcW w:w="6923" w:type="dxa"/>
            <w:tcBorders>
              <w:top w:val="nil"/>
              <w:left w:val="double" w:sz="6" w:space="0" w:color="auto"/>
              <w:bottom w:val="double" w:sz="6" w:space="0" w:color="auto"/>
              <w:right w:val="single" w:sz="4" w:space="0" w:color="auto"/>
            </w:tcBorders>
            <w:shd w:val="clear" w:color="auto" w:fill="auto"/>
            <w:vAlign w:val="center"/>
            <w:hideMark/>
          </w:tcPr>
          <w:p w14:paraId="1151B904" w14:textId="77777777" w:rsidR="00D97B4C" w:rsidRPr="00FD7B0B" w:rsidRDefault="00D97B4C" w:rsidP="00A10E11">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Итого</w:t>
            </w:r>
          </w:p>
        </w:tc>
        <w:tc>
          <w:tcPr>
            <w:tcW w:w="992" w:type="dxa"/>
            <w:tcBorders>
              <w:top w:val="nil"/>
              <w:left w:val="nil"/>
              <w:bottom w:val="double" w:sz="6" w:space="0" w:color="auto"/>
              <w:right w:val="single" w:sz="4" w:space="0" w:color="auto"/>
            </w:tcBorders>
            <w:shd w:val="clear" w:color="auto" w:fill="auto"/>
            <w:vAlign w:val="center"/>
            <w:hideMark/>
          </w:tcPr>
          <w:p w14:paraId="073396B0" w14:textId="77777777" w:rsidR="00D97B4C" w:rsidRPr="00FD7B0B" w:rsidRDefault="00D97B4C" w:rsidP="00A10E11">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19 637,8 </w:t>
            </w:r>
          </w:p>
        </w:tc>
        <w:tc>
          <w:tcPr>
            <w:tcW w:w="958" w:type="dxa"/>
            <w:tcBorders>
              <w:top w:val="nil"/>
              <w:left w:val="nil"/>
              <w:bottom w:val="double" w:sz="6" w:space="0" w:color="auto"/>
              <w:right w:val="single" w:sz="4" w:space="0" w:color="auto"/>
            </w:tcBorders>
            <w:shd w:val="clear" w:color="auto" w:fill="auto"/>
            <w:vAlign w:val="center"/>
            <w:hideMark/>
          </w:tcPr>
          <w:p w14:paraId="6128954F" w14:textId="77777777" w:rsidR="00D97B4C" w:rsidRPr="00FD7B0B" w:rsidRDefault="00D97B4C" w:rsidP="00A10E11">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19 470,3 </w:t>
            </w:r>
          </w:p>
        </w:tc>
        <w:tc>
          <w:tcPr>
            <w:tcW w:w="709" w:type="dxa"/>
            <w:tcBorders>
              <w:top w:val="nil"/>
              <w:left w:val="nil"/>
              <w:bottom w:val="double" w:sz="6" w:space="0" w:color="auto"/>
              <w:right w:val="double" w:sz="6" w:space="0" w:color="auto"/>
            </w:tcBorders>
            <w:shd w:val="clear" w:color="auto" w:fill="auto"/>
            <w:vAlign w:val="center"/>
            <w:hideMark/>
          </w:tcPr>
          <w:p w14:paraId="6CF4DA74" w14:textId="77777777" w:rsidR="00D97B4C" w:rsidRPr="00FD7B0B" w:rsidRDefault="00D97B4C" w:rsidP="00A10E11">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99,1 </w:t>
            </w:r>
          </w:p>
        </w:tc>
      </w:tr>
    </w:tbl>
    <w:p w14:paraId="6B712D49" w14:textId="77777777" w:rsidR="00D97B4C" w:rsidRPr="00FD7B0B" w:rsidRDefault="00D97B4C" w:rsidP="00A10E11">
      <w:pPr>
        <w:spacing w:after="0" w:line="240" w:lineRule="auto"/>
        <w:ind w:firstLine="709"/>
        <w:jc w:val="both"/>
        <w:rPr>
          <w:rFonts w:ascii="Times New Roman" w:eastAsia="Calibri" w:hAnsi="Times New Roman" w:cs="Times New Roman"/>
          <w:sz w:val="28"/>
          <w:szCs w:val="28"/>
        </w:rPr>
      </w:pPr>
    </w:p>
    <w:p w14:paraId="6FE34B4B" w14:textId="2A218B6F" w:rsidR="00D97B4C" w:rsidRPr="00FD7B0B" w:rsidRDefault="00D97B4C" w:rsidP="00A10E1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Наименьший уровень исполнения (ниже 95,0 %) зафиксирован по государственной программе Архангельской области «Содействие занятости населения Архангельской области, улучшение условий и охраны труда» – 85,9 % (не исполнено – 50,0 млн.руб.) по реализации регионального проекта «Повышение эффективности службы занятости»</w:t>
      </w:r>
      <w:r w:rsidR="00A10E11" w:rsidRPr="00FD7B0B">
        <w:rPr>
          <w:rFonts w:ascii="Times New Roman" w:eastAsia="Calibri" w:hAnsi="Times New Roman" w:cs="Times New Roman"/>
          <w:sz w:val="28"/>
          <w:szCs w:val="28"/>
        </w:rPr>
        <w:t>. Причины отражены выше.</w:t>
      </w:r>
    </w:p>
    <w:p w14:paraId="7DCC6D29" w14:textId="3EB56383" w:rsidR="00D97B4C" w:rsidRPr="00FD7B0B" w:rsidRDefault="00D97B4C" w:rsidP="00A10E1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разрезе видов расходов бюджетной классификации РФ, произведенные в 2024 году расходы областного бюджета на реализацию НП РФ представлены в таблице </w:t>
      </w:r>
      <w:r w:rsidR="00424B5A" w:rsidRPr="00FD7B0B">
        <w:rPr>
          <w:rFonts w:ascii="Times New Roman" w:eastAsia="Calibri" w:hAnsi="Times New Roman" w:cs="Times New Roman"/>
          <w:sz w:val="28"/>
          <w:szCs w:val="28"/>
        </w:rPr>
        <w:t>250</w:t>
      </w:r>
      <w:r w:rsidRPr="00FD7B0B">
        <w:rPr>
          <w:rFonts w:ascii="Times New Roman" w:eastAsia="Calibri" w:hAnsi="Times New Roman" w:cs="Times New Roman"/>
          <w:sz w:val="28"/>
          <w:szCs w:val="28"/>
        </w:rPr>
        <w:t xml:space="preserve"> и в приложении № </w:t>
      </w:r>
      <w:r w:rsidR="00424B5A" w:rsidRPr="00FD7B0B">
        <w:rPr>
          <w:rFonts w:ascii="Times New Roman" w:eastAsia="Calibri" w:hAnsi="Times New Roman" w:cs="Times New Roman"/>
          <w:sz w:val="28"/>
          <w:szCs w:val="28"/>
        </w:rPr>
        <w:t>5</w:t>
      </w:r>
      <w:r w:rsidRPr="00FD7B0B">
        <w:rPr>
          <w:rFonts w:ascii="Times New Roman" w:eastAsia="Calibri" w:hAnsi="Times New Roman" w:cs="Times New Roman"/>
          <w:sz w:val="28"/>
          <w:szCs w:val="28"/>
        </w:rPr>
        <w:t xml:space="preserve"> к настоящему заключению.</w:t>
      </w:r>
    </w:p>
    <w:p w14:paraId="2684B3E9" w14:textId="77777777" w:rsidR="00D97B4C" w:rsidRPr="00FD7B0B" w:rsidRDefault="00D97B4C" w:rsidP="00A10E11">
      <w:pPr>
        <w:spacing w:after="0" w:line="240" w:lineRule="auto"/>
        <w:rPr>
          <w:rFonts w:ascii="Times New Roman" w:eastAsia="Calibri" w:hAnsi="Times New Roman" w:cs="Times New Roman"/>
          <w:bCs/>
          <w:sz w:val="24"/>
          <w:szCs w:val="24"/>
        </w:rPr>
      </w:pPr>
    </w:p>
    <w:p w14:paraId="4FB76BC2" w14:textId="77777777" w:rsidR="00424B5A" w:rsidRPr="00FD7B0B" w:rsidRDefault="00424B5A" w:rsidP="00A10E11">
      <w:pPr>
        <w:spacing w:after="0" w:line="240" w:lineRule="auto"/>
        <w:rPr>
          <w:rFonts w:ascii="Times New Roman" w:eastAsia="Calibri" w:hAnsi="Times New Roman" w:cs="Times New Roman"/>
          <w:bCs/>
          <w:sz w:val="24"/>
          <w:szCs w:val="24"/>
        </w:rPr>
      </w:pPr>
    </w:p>
    <w:p w14:paraId="4BF6A86B" w14:textId="0E6B7720" w:rsidR="00D97B4C" w:rsidRPr="00FD7B0B" w:rsidRDefault="00D97B4C" w:rsidP="00A10E11">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lastRenderedPageBreak/>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250</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на реализацию национальных проектов РФ за 2024 год, по группам и отдельным подгруппам вида расходов бюджетной классификации РФ, млн.руб.</w:t>
      </w:r>
    </w:p>
    <w:tbl>
      <w:tblPr>
        <w:tblW w:w="9536" w:type="dxa"/>
        <w:tblLook w:val="04A0" w:firstRow="1" w:lastRow="0" w:firstColumn="1" w:lastColumn="0" w:noHBand="0" w:noVBand="1"/>
      </w:tblPr>
      <w:tblGrid>
        <w:gridCol w:w="6781"/>
        <w:gridCol w:w="1004"/>
        <w:gridCol w:w="957"/>
        <w:gridCol w:w="794"/>
      </w:tblGrid>
      <w:tr w:rsidR="00FD7B0B" w:rsidRPr="00FD7B0B" w14:paraId="5D9B1696" w14:textId="77777777" w:rsidTr="00A10E11">
        <w:trPr>
          <w:trHeight w:val="35"/>
          <w:tblHeader/>
        </w:trPr>
        <w:tc>
          <w:tcPr>
            <w:tcW w:w="6781"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50A7E23E" w14:textId="77777777" w:rsidR="00D97B4C" w:rsidRPr="00FD7B0B" w:rsidRDefault="00D97B4C" w:rsidP="00A10E11">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w:t>
            </w:r>
          </w:p>
        </w:tc>
        <w:tc>
          <w:tcPr>
            <w:tcW w:w="1004" w:type="dxa"/>
            <w:tcBorders>
              <w:top w:val="double" w:sz="6" w:space="0" w:color="auto"/>
              <w:left w:val="single" w:sz="4" w:space="0" w:color="auto"/>
              <w:bottom w:val="single" w:sz="4" w:space="0" w:color="auto"/>
              <w:right w:val="single" w:sz="4" w:space="0" w:color="auto"/>
            </w:tcBorders>
            <w:shd w:val="clear" w:color="auto" w:fill="auto"/>
            <w:vAlign w:val="center"/>
            <w:hideMark/>
          </w:tcPr>
          <w:p w14:paraId="539F4867" w14:textId="77777777" w:rsidR="00D97B4C" w:rsidRPr="00FD7B0B" w:rsidRDefault="00D97B4C" w:rsidP="00A10E11">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Утвер-ждено</w:t>
            </w:r>
          </w:p>
        </w:tc>
        <w:tc>
          <w:tcPr>
            <w:tcW w:w="957" w:type="dxa"/>
            <w:tcBorders>
              <w:top w:val="double" w:sz="6" w:space="0" w:color="auto"/>
              <w:left w:val="nil"/>
              <w:bottom w:val="single" w:sz="4" w:space="0" w:color="auto"/>
              <w:right w:val="single" w:sz="4" w:space="0" w:color="auto"/>
            </w:tcBorders>
            <w:shd w:val="clear" w:color="auto" w:fill="auto"/>
            <w:vAlign w:val="center"/>
            <w:hideMark/>
          </w:tcPr>
          <w:p w14:paraId="20A97621" w14:textId="77777777" w:rsidR="00D97B4C" w:rsidRPr="00FD7B0B" w:rsidRDefault="00D97B4C" w:rsidP="00A10E11">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Испол-нено</w:t>
            </w:r>
          </w:p>
        </w:tc>
        <w:tc>
          <w:tcPr>
            <w:tcW w:w="794" w:type="dxa"/>
            <w:tcBorders>
              <w:top w:val="double" w:sz="6" w:space="0" w:color="auto"/>
              <w:left w:val="nil"/>
              <w:bottom w:val="single" w:sz="4" w:space="0" w:color="auto"/>
              <w:right w:val="double" w:sz="6" w:space="0" w:color="auto"/>
            </w:tcBorders>
            <w:shd w:val="clear" w:color="auto" w:fill="auto"/>
            <w:vAlign w:val="center"/>
            <w:hideMark/>
          </w:tcPr>
          <w:p w14:paraId="20259A3F" w14:textId="77777777" w:rsidR="00D97B4C" w:rsidRPr="00FD7B0B" w:rsidRDefault="00D97B4C" w:rsidP="00A10E11">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13C4BDD3" w14:textId="77777777" w:rsidTr="00A10E11">
        <w:trPr>
          <w:trHeight w:val="70"/>
        </w:trPr>
        <w:tc>
          <w:tcPr>
            <w:tcW w:w="6781" w:type="dxa"/>
            <w:tcBorders>
              <w:top w:val="nil"/>
              <w:left w:val="double" w:sz="6" w:space="0" w:color="auto"/>
              <w:bottom w:val="single" w:sz="4" w:space="0" w:color="auto"/>
              <w:right w:val="single" w:sz="4" w:space="0" w:color="auto"/>
            </w:tcBorders>
            <w:shd w:val="clear" w:color="auto" w:fill="auto"/>
            <w:noWrap/>
            <w:vAlign w:val="center"/>
            <w:hideMark/>
          </w:tcPr>
          <w:p w14:paraId="21BE5F12"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Контрактуемые расходы бюджета (ВР 240, 323, 410)</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1F520291"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11 992,0 </w:t>
            </w:r>
          </w:p>
        </w:tc>
        <w:tc>
          <w:tcPr>
            <w:tcW w:w="957" w:type="dxa"/>
            <w:tcBorders>
              <w:top w:val="nil"/>
              <w:left w:val="nil"/>
              <w:bottom w:val="single" w:sz="4" w:space="0" w:color="auto"/>
              <w:right w:val="single" w:sz="4" w:space="0" w:color="auto"/>
            </w:tcBorders>
            <w:shd w:val="clear" w:color="auto" w:fill="auto"/>
            <w:noWrap/>
            <w:vAlign w:val="center"/>
            <w:hideMark/>
          </w:tcPr>
          <w:p w14:paraId="28394407"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11 841,8 </w:t>
            </w:r>
          </w:p>
        </w:tc>
        <w:tc>
          <w:tcPr>
            <w:tcW w:w="794" w:type="dxa"/>
            <w:tcBorders>
              <w:top w:val="nil"/>
              <w:left w:val="nil"/>
              <w:bottom w:val="single" w:sz="4" w:space="0" w:color="auto"/>
              <w:right w:val="double" w:sz="6" w:space="0" w:color="auto"/>
            </w:tcBorders>
            <w:shd w:val="clear" w:color="auto" w:fill="auto"/>
            <w:noWrap/>
            <w:vAlign w:val="center"/>
            <w:hideMark/>
          </w:tcPr>
          <w:p w14:paraId="37F381BB"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98,7</w:t>
            </w:r>
          </w:p>
        </w:tc>
      </w:tr>
      <w:tr w:rsidR="00FD7B0B" w:rsidRPr="00FD7B0B" w14:paraId="1D92330B" w14:textId="77777777" w:rsidTr="00A10E11">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7DB307CA" w14:textId="77777777" w:rsidR="00D97B4C" w:rsidRPr="00FD7B0B" w:rsidRDefault="00D97B4C" w:rsidP="00A10E11">
            <w:pPr>
              <w:spacing w:after="0" w:line="240" w:lineRule="auto"/>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 - из них капитальные вложения в объекты государственной собственности (ВР 410)</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583EBCCE" w14:textId="77777777" w:rsidR="00D97B4C" w:rsidRPr="00FD7B0B" w:rsidRDefault="00D97B4C" w:rsidP="00A10E11">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4 548,4 </w:t>
            </w:r>
          </w:p>
        </w:tc>
        <w:tc>
          <w:tcPr>
            <w:tcW w:w="957" w:type="dxa"/>
            <w:tcBorders>
              <w:top w:val="nil"/>
              <w:left w:val="nil"/>
              <w:bottom w:val="single" w:sz="4" w:space="0" w:color="auto"/>
              <w:right w:val="single" w:sz="4" w:space="0" w:color="auto"/>
            </w:tcBorders>
            <w:shd w:val="clear" w:color="auto" w:fill="auto"/>
            <w:noWrap/>
            <w:vAlign w:val="center"/>
            <w:hideMark/>
          </w:tcPr>
          <w:p w14:paraId="79DDFE61" w14:textId="77777777" w:rsidR="00D97B4C" w:rsidRPr="00FD7B0B" w:rsidRDefault="00D97B4C" w:rsidP="00A10E11">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4 520,2 </w:t>
            </w:r>
          </w:p>
        </w:tc>
        <w:tc>
          <w:tcPr>
            <w:tcW w:w="794" w:type="dxa"/>
            <w:tcBorders>
              <w:top w:val="nil"/>
              <w:left w:val="nil"/>
              <w:bottom w:val="single" w:sz="4" w:space="0" w:color="auto"/>
              <w:right w:val="double" w:sz="6" w:space="0" w:color="auto"/>
            </w:tcBorders>
            <w:shd w:val="clear" w:color="auto" w:fill="auto"/>
            <w:noWrap/>
            <w:vAlign w:val="center"/>
            <w:hideMark/>
          </w:tcPr>
          <w:p w14:paraId="5474BD62" w14:textId="77777777" w:rsidR="00D97B4C" w:rsidRPr="00FD7B0B" w:rsidRDefault="00D97B4C" w:rsidP="00A10E11">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99,4</w:t>
            </w:r>
          </w:p>
        </w:tc>
      </w:tr>
      <w:tr w:rsidR="00FD7B0B" w:rsidRPr="00FD7B0B" w14:paraId="57BFBADE" w14:textId="77777777" w:rsidTr="00A10E11">
        <w:trPr>
          <w:trHeight w:val="70"/>
        </w:trPr>
        <w:tc>
          <w:tcPr>
            <w:tcW w:w="6781" w:type="dxa"/>
            <w:tcBorders>
              <w:top w:val="nil"/>
              <w:left w:val="double" w:sz="6" w:space="0" w:color="auto"/>
              <w:bottom w:val="single" w:sz="4" w:space="0" w:color="auto"/>
              <w:right w:val="single" w:sz="4" w:space="0" w:color="auto"/>
            </w:tcBorders>
            <w:shd w:val="clear" w:color="auto" w:fill="auto"/>
            <w:noWrap/>
            <w:vAlign w:val="center"/>
            <w:hideMark/>
          </w:tcPr>
          <w:p w14:paraId="0CBCE9B1"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Межбюджетные трансферты (ВР 500)</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465DE3B9"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2 444,4 </w:t>
            </w:r>
          </w:p>
        </w:tc>
        <w:tc>
          <w:tcPr>
            <w:tcW w:w="957" w:type="dxa"/>
            <w:tcBorders>
              <w:top w:val="nil"/>
              <w:left w:val="nil"/>
              <w:bottom w:val="single" w:sz="4" w:space="0" w:color="auto"/>
              <w:right w:val="single" w:sz="4" w:space="0" w:color="auto"/>
            </w:tcBorders>
            <w:shd w:val="clear" w:color="auto" w:fill="auto"/>
            <w:noWrap/>
            <w:vAlign w:val="center"/>
            <w:hideMark/>
          </w:tcPr>
          <w:p w14:paraId="1AF6016F"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2 430,4 </w:t>
            </w:r>
          </w:p>
        </w:tc>
        <w:tc>
          <w:tcPr>
            <w:tcW w:w="794" w:type="dxa"/>
            <w:tcBorders>
              <w:top w:val="nil"/>
              <w:left w:val="nil"/>
              <w:bottom w:val="single" w:sz="4" w:space="0" w:color="auto"/>
              <w:right w:val="double" w:sz="6" w:space="0" w:color="auto"/>
            </w:tcBorders>
            <w:shd w:val="clear" w:color="auto" w:fill="auto"/>
            <w:noWrap/>
            <w:vAlign w:val="center"/>
            <w:hideMark/>
          </w:tcPr>
          <w:p w14:paraId="6AA1AEE7"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99,4</w:t>
            </w:r>
          </w:p>
        </w:tc>
      </w:tr>
      <w:tr w:rsidR="00FD7B0B" w:rsidRPr="00FD7B0B" w14:paraId="372E063C" w14:textId="77777777" w:rsidTr="00A10E11">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7170C684" w14:textId="77777777" w:rsidR="00D97B4C" w:rsidRPr="00FD7B0B" w:rsidRDefault="00D97B4C" w:rsidP="00A10E11">
            <w:pPr>
              <w:spacing w:after="0" w:line="240" w:lineRule="auto"/>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 - из них субсидии на софинансирование капитальных вложений в объекты муниципальной собственности (ВР 522)</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0E7C9710" w14:textId="77777777" w:rsidR="00D97B4C" w:rsidRPr="00FD7B0B" w:rsidRDefault="00D97B4C" w:rsidP="00A10E11">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693,4 </w:t>
            </w:r>
          </w:p>
        </w:tc>
        <w:tc>
          <w:tcPr>
            <w:tcW w:w="957" w:type="dxa"/>
            <w:tcBorders>
              <w:top w:val="nil"/>
              <w:left w:val="nil"/>
              <w:bottom w:val="single" w:sz="4" w:space="0" w:color="auto"/>
              <w:right w:val="single" w:sz="4" w:space="0" w:color="auto"/>
            </w:tcBorders>
            <w:shd w:val="clear" w:color="auto" w:fill="auto"/>
            <w:noWrap/>
            <w:vAlign w:val="center"/>
            <w:hideMark/>
          </w:tcPr>
          <w:p w14:paraId="5CBC03DF" w14:textId="77777777" w:rsidR="00D97B4C" w:rsidRPr="00FD7B0B" w:rsidRDefault="00D97B4C" w:rsidP="00A10E11">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691,5 </w:t>
            </w:r>
          </w:p>
        </w:tc>
        <w:tc>
          <w:tcPr>
            <w:tcW w:w="794" w:type="dxa"/>
            <w:tcBorders>
              <w:top w:val="nil"/>
              <w:left w:val="nil"/>
              <w:bottom w:val="single" w:sz="4" w:space="0" w:color="auto"/>
              <w:right w:val="double" w:sz="6" w:space="0" w:color="auto"/>
            </w:tcBorders>
            <w:shd w:val="clear" w:color="auto" w:fill="auto"/>
            <w:noWrap/>
            <w:vAlign w:val="center"/>
            <w:hideMark/>
          </w:tcPr>
          <w:p w14:paraId="33ED71A8" w14:textId="77777777" w:rsidR="00D97B4C" w:rsidRPr="00FD7B0B" w:rsidRDefault="00D97B4C" w:rsidP="00A10E11">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99,7</w:t>
            </w:r>
          </w:p>
        </w:tc>
      </w:tr>
      <w:tr w:rsidR="00FD7B0B" w:rsidRPr="00FD7B0B" w14:paraId="5FC3D73E" w14:textId="77777777" w:rsidTr="00A10E11">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7BB1FB38"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Субсидии бюджетным, автономным учреждениям и НКО (ВР 600)</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75FF81DC"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2 617,1 </w:t>
            </w:r>
          </w:p>
        </w:tc>
        <w:tc>
          <w:tcPr>
            <w:tcW w:w="957" w:type="dxa"/>
            <w:tcBorders>
              <w:top w:val="nil"/>
              <w:left w:val="nil"/>
              <w:bottom w:val="single" w:sz="4" w:space="0" w:color="auto"/>
              <w:right w:val="single" w:sz="4" w:space="0" w:color="auto"/>
            </w:tcBorders>
            <w:shd w:val="clear" w:color="auto" w:fill="auto"/>
            <w:noWrap/>
            <w:vAlign w:val="center"/>
            <w:hideMark/>
          </w:tcPr>
          <w:p w14:paraId="6625D220"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2 614,0 </w:t>
            </w:r>
          </w:p>
        </w:tc>
        <w:tc>
          <w:tcPr>
            <w:tcW w:w="794" w:type="dxa"/>
            <w:tcBorders>
              <w:top w:val="nil"/>
              <w:left w:val="nil"/>
              <w:bottom w:val="single" w:sz="4" w:space="0" w:color="auto"/>
              <w:right w:val="double" w:sz="6" w:space="0" w:color="auto"/>
            </w:tcBorders>
            <w:shd w:val="clear" w:color="auto" w:fill="auto"/>
            <w:noWrap/>
            <w:vAlign w:val="center"/>
            <w:hideMark/>
          </w:tcPr>
          <w:p w14:paraId="53FB038B"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99,9</w:t>
            </w:r>
          </w:p>
        </w:tc>
      </w:tr>
      <w:tr w:rsidR="00FD7B0B" w:rsidRPr="00FD7B0B" w14:paraId="58742421" w14:textId="77777777" w:rsidTr="00A10E11">
        <w:trPr>
          <w:trHeight w:val="70"/>
        </w:trPr>
        <w:tc>
          <w:tcPr>
            <w:tcW w:w="6781" w:type="dxa"/>
            <w:tcBorders>
              <w:top w:val="nil"/>
              <w:left w:val="double" w:sz="6" w:space="0" w:color="auto"/>
              <w:bottom w:val="single" w:sz="4" w:space="0" w:color="auto"/>
              <w:right w:val="single" w:sz="4" w:space="0" w:color="auto"/>
            </w:tcBorders>
            <w:shd w:val="clear" w:color="auto" w:fill="auto"/>
            <w:vAlign w:val="center"/>
          </w:tcPr>
          <w:p w14:paraId="77254701" w14:textId="77777777" w:rsidR="00D97B4C" w:rsidRPr="00FD7B0B" w:rsidRDefault="00D97B4C" w:rsidP="00A10E11">
            <w:pPr>
              <w:spacing w:after="0" w:line="240" w:lineRule="auto"/>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из них субсидии бюджетным и автономным учреждениям на иные цели (ВР 612, 622)</w:t>
            </w:r>
          </w:p>
        </w:tc>
        <w:tc>
          <w:tcPr>
            <w:tcW w:w="1004" w:type="dxa"/>
            <w:tcBorders>
              <w:top w:val="nil"/>
              <w:left w:val="single" w:sz="4" w:space="0" w:color="auto"/>
              <w:bottom w:val="single" w:sz="4" w:space="0" w:color="auto"/>
              <w:right w:val="single" w:sz="4" w:space="0" w:color="auto"/>
            </w:tcBorders>
            <w:shd w:val="clear" w:color="auto" w:fill="auto"/>
            <w:noWrap/>
            <w:vAlign w:val="center"/>
          </w:tcPr>
          <w:p w14:paraId="6C21D743" w14:textId="77777777" w:rsidR="00D97B4C" w:rsidRPr="00FD7B0B" w:rsidRDefault="00D97B4C" w:rsidP="00A10E11">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2 107,3</w:t>
            </w:r>
          </w:p>
        </w:tc>
        <w:tc>
          <w:tcPr>
            <w:tcW w:w="957" w:type="dxa"/>
            <w:tcBorders>
              <w:top w:val="nil"/>
              <w:left w:val="nil"/>
              <w:bottom w:val="single" w:sz="4" w:space="0" w:color="auto"/>
              <w:right w:val="single" w:sz="4" w:space="0" w:color="auto"/>
            </w:tcBorders>
            <w:shd w:val="clear" w:color="auto" w:fill="auto"/>
            <w:noWrap/>
            <w:vAlign w:val="center"/>
          </w:tcPr>
          <w:p w14:paraId="694C26BD" w14:textId="77777777" w:rsidR="00D97B4C" w:rsidRPr="00FD7B0B" w:rsidRDefault="00D97B4C" w:rsidP="00A10E11">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2 104,2</w:t>
            </w:r>
          </w:p>
        </w:tc>
        <w:tc>
          <w:tcPr>
            <w:tcW w:w="794" w:type="dxa"/>
            <w:tcBorders>
              <w:top w:val="nil"/>
              <w:left w:val="nil"/>
              <w:bottom w:val="single" w:sz="4" w:space="0" w:color="auto"/>
              <w:right w:val="double" w:sz="6" w:space="0" w:color="auto"/>
            </w:tcBorders>
            <w:shd w:val="clear" w:color="auto" w:fill="auto"/>
            <w:noWrap/>
            <w:vAlign w:val="center"/>
          </w:tcPr>
          <w:p w14:paraId="2977152D" w14:textId="77777777" w:rsidR="00D97B4C" w:rsidRPr="00FD7B0B" w:rsidRDefault="00D97B4C" w:rsidP="00A10E11">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99,9</w:t>
            </w:r>
          </w:p>
        </w:tc>
      </w:tr>
      <w:tr w:rsidR="00FD7B0B" w:rsidRPr="00FD7B0B" w14:paraId="3154B5BC" w14:textId="77777777" w:rsidTr="00A10E11">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7A9AFC72"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Социальное обеспечение и иные выплаты населению (ВР 313, 321)</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26D3A849"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929,2460 </w:t>
            </w:r>
          </w:p>
        </w:tc>
        <w:tc>
          <w:tcPr>
            <w:tcW w:w="957" w:type="dxa"/>
            <w:tcBorders>
              <w:top w:val="nil"/>
              <w:left w:val="nil"/>
              <w:bottom w:val="single" w:sz="4" w:space="0" w:color="auto"/>
              <w:right w:val="single" w:sz="4" w:space="0" w:color="auto"/>
            </w:tcBorders>
            <w:shd w:val="clear" w:color="auto" w:fill="auto"/>
            <w:noWrap/>
            <w:vAlign w:val="center"/>
            <w:hideMark/>
          </w:tcPr>
          <w:p w14:paraId="20EBD090"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929,1 </w:t>
            </w:r>
          </w:p>
        </w:tc>
        <w:tc>
          <w:tcPr>
            <w:tcW w:w="794" w:type="dxa"/>
            <w:tcBorders>
              <w:top w:val="nil"/>
              <w:left w:val="nil"/>
              <w:bottom w:val="single" w:sz="4" w:space="0" w:color="auto"/>
              <w:right w:val="double" w:sz="6" w:space="0" w:color="auto"/>
            </w:tcBorders>
            <w:shd w:val="clear" w:color="auto" w:fill="auto"/>
            <w:noWrap/>
            <w:vAlign w:val="center"/>
            <w:hideMark/>
          </w:tcPr>
          <w:p w14:paraId="11ACE833"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100,0</w:t>
            </w:r>
          </w:p>
        </w:tc>
      </w:tr>
      <w:tr w:rsidR="00FD7B0B" w:rsidRPr="00FD7B0B" w14:paraId="33BA9CCD" w14:textId="77777777" w:rsidTr="00A10E11">
        <w:trPr>
          <w:trHeight w:val="70"/>
        </w:trPr>
        <w:tc>
          <w:tcPr>
            <w:tcW w:w="6781" w:type="dxa"/>
            <w:tcBorders>
              <w:top w:val="nil"/>
              <w:left w:val="double" w:sz="6" w:space="0" w:color="auto"/>
              <w:bottom w:val="single" w:sz="4" w:space="0" w:color="auto"/>
              <w:right w:val="single" w:sz="4" w:space="0" w:color="auto"/>
            </w:tcBorders>
            <w:shd w:val="clear" w:color="auto" w:fill="auto"/>
            <w:noWrap/>
            <w:vAlign w:val="center"/>
            <w:hideMark/>
          </w:tcPr>
          <w:p w14:paraId="19CCB289" w14:textId="77777777" w:rsidR="00D97B4C" w:rsidRPr="00FD7B0B" w:rsidRDefault="00D97B4C" w:rsidP="00A10E11">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Другие бюджетные ассигнования (ВР 800, 452)</w:t>
            </w:r>
          </w:p>
        </w:tc>
        <w:tc>
          <w:tcPr>
            <w:tcW w:w="1004" w:type="dxa"/>
            <w:tcBorders>
              <w:top w:val="nil"/>
              <w:left w:val="single" w:sz="4" w:space="0" w:color="auto"/>
              <w:bottom w:val="single" w:sz="4" w:space="0" w:color="auto"/>
              <w:right w:val="single" w:sz="4" w:space="0" w:color="auto"/>
            </w:tcBorders>
            <w:shd w:val="clear" w:color="auto" w:fill="auto"/>
            <w:noWrap/>
            <w:vAlign w:val="center"/>
            <w:hideMark/>
          </w:tcPr>
          <w:p w14:paraId="5CE9DEF3"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1 655,1 </w:t>
            </w:r>
          </w:p>
        </w:tc>
        <w:tc>
          <w:tcPr>
            <w:tcW w:w="957" w:type="dxa"/>
            <w:tcBorders>
              <w:top w:val="nil"/>
              <w:left w:val="nil"/>
              <w:bottom w:val="single" w:sz="4" w:space="0" w:color="auto"/>
              <w:right w:val="single" w:sz="4" w:space="0" w:color="auto"/>
            </w:tcBorders>
            <w:shd w:val="clear" w:color="auto" w:fill="auto"/>
            <w:noWrap/>
            <w:vAlign w:val="center"/>
            <w:hideMark/>
          </w:tcPr>
          <w:p w14:paraId="131AFE6D"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1 655,1 </w:t>
            </w:r>
          </w:p>
        </w:tc>
        <w:tc>
          <w:tcPr>
            <w:tcW w:w="794" w:type="dxa"/>
            <w:tcBorders>
              <w:top w:val="nil"/>
              <w:left w:val="nil"/>
              <w:bottom w:val="single" w:sz="4" w:space="0" w:color="auto"/>
              <w:right w:val="double" w:sz="6" w:space="0" w:color="auto"/>
            </w:tcBorders>
            <w:shd w:val="clear" w:color="auto" w:fill="auto"/>
            <w:noWrap/>
            <w:vAlign w:val="center"/>
            <w:hideMark/>
          </w:tcPr>
          <w:p w14:paraId="0D9F4F87" w14:textId="77777777" w:rsidR="00D97B4C" w:rsidRPr="00FD7B0B" w:rsidRDefault="00D97B4C" w:rsidP="00A10E11">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100,0</w:t>
            </w:r>
          </w:p>
        </w:tc>
      </w:tr>
      <w:tr w:rsidR="00D97B4C" w:rsidRPr="00FD7B0B" w14:paraId="0BFCB208" w14:textId="77777777" w:rsidTr="00A10E11">
        <w:trPr>
          <w:trHeight w:val="70"/>
        </w:trPr>
        <w:tc>
          <w:tcPr>
            <w:tcW w:w="6781" w:type="dxa"/>
            <w:tcBorders>
              <w:top w:val="nil"/>
              <w:left w:val="double" w:sz="6" w:space="0" w:color="auto"/>
              <w:bottom w:val="double" w:sz="6" w:space="0" w:color="auto"/>
              <w:right w:val="single" w:sz="4" w:space="0" w:color="auto"/>
            </w:tcBorders>
            <w:shd w:val="clear" w:color="auto" w:fill="auto"/>
            <w:noWrap/>
            <w:vAlign w:val="center"/>
            <w:hideMark/>
          </w:tcPr>
          <w:p w14:paraId="191E2523" w14:textId="77777777" w:rsidR="00D97B4C" w:rsidRPr="00FD7B0B" w:rsidRDefault="00D97B4C" w:rsidP="00A10E11">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Итого</w:t>
            </w:r>
          </w:p>
        </w:tc>
        <w:tc>
          <w:tcPr>
            <w:tcW w:w="1004" w:type="dxa"/>
            <w:tcBorders>
              <w:top w:val="nil"/>
              <w:left w:val="single" w:sz="4" w:space="0" w:color="auto"/>
              <w:bottom w:val="double" w:sz="6" w:space="0" w:color="auto"/>
              <w:right w:val="single" w:sz="4" w:space="0" w:color="auto"/>
            </w:tcBorders>
            <w:shd w:val="clear" w:color="auto" w:fill="auto"/>
            <w:noWrap/>
            <w:vAlign w:val="center"/>
            <w:hideMark/>
          </w:tcPr>
          <w:p w14:paraId="34838030" w14:textId="77777777" w:rsidR="00D97B4C" w:rsidRPr="00FD7B0B" w:rsidRDefault="00D97B4C" w:rsidP="00A10E11">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19 637,8 </w:t>
            </w:r>
          </w:p>
        </w:tc>
        <w:tc>
          <w:tcPr>
            <w:tcW w:w="957" w:type="dxa"/>
            <w:tcBorders>
              <w:top w:val="nil"/>
              <w:left w:val="nil"/>
              <w:bottom w:val="double" w:sz="6" w:space="0" w:color="auto"/>
              <w:right w:val="single" w:sz="4" w:space="0" w:color="auto"/>
            </w:tcBorders>
            <w:shd w:val="clear" w:color="auto" w:fill="auto"/>
            <w:noWrap/>
            <w:vAlign w:val="center"/>
            <w:hideMark/>
          </w:tcPr>
          <w:p w14:paraId="33D98E6D" w14:textId="77777777" w:rsidR="00D97B4C" w:rsidRPr="00FD7B0B" w:rsidRDefault="00D97B4C" w:rsidP="00A10E11">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19 470,3 </w:t>
            </w:r>
          </w:p>
        </w:tc>
        <w:tc>
          <w:tcPr>
            <w:tcW w:w="794" w:type="dxa"/>
            <w:tcBorders>
              <w:top w:val="nil"/>
              <w:left w:val="nil"/>
              <w:bottom w:val="double" w:sz="6" w:space="0" w:color="auto"/>
              <w:right w:val="double" w:sz="6" w:space="0" w:color="auto"/>
            </w:tcBorders>
            <w:shd w:val="clear" w:color="auto" w:fill="auto"/>
            <w:noWrap/>
            <w:vAlign w:val="center"/>
            <w:hideMark/>
          </w:tcPr>
          <w:p w14:paraId="3C39AF09" w14:textId="77777777" w:rsidR="00D97B4C" w:rsidRPr="00FD7B0B" w:rsidRDefault="00D97B4C" w:rsidP="00A10E11">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99,1</w:t>
            </w:r>
          </w:p>
        </w:tc>
      </w:tr>
    </w:tbl>
    <w:p w14:paraId="78469480" w14:textId="77777777" w:rsidR="00D97B4C" w:rsidRPr="00FD7B0B" w:rsidRDefault="00D97B4C" w:rsidP="007F13CC">
      <w:pPr>
        <w:spacing w:after="0" w:line="240" w:lineRule="auto"/>
        <w:ind w:firstLine="709"/>
        <w:jc w:val="both"/>
        <w:rPr>
          <w:rFonts w:ascii="Times New Roman" w:eastAsia="Calibri" w:hAnsi="Times New Roman" w:cs="Times New Roman"/>
          <w:sz w:val="28"/>
          <w:szCs w:val="28"/>
        </w:rPr>
      </w:pPr>
    </w:p>
    <w:p w14:paraId="46BBEA29" w14:textId="77777777" w:rsidR="00D97B4C" w:rsidRPr="00FD7B0B" w:rsidRDefault="00D97B4C" w:rsidP="007F13C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Основной объем расходов бюджета в отчетном году произведен на оплату контрактуемых расходов в сумме 11 841,8 млн.руб., из которых 4 520,2 млн.руб. направлено в виде бюджетных инвестиций в объекты капитального строительства, а закупки товаров работ и услуг – 7 224,0 млн.руб. Удельный вес контрактуемых расходов в общей сумме расходов по реализации НП РФ за 2024 год составил 60,8 %.</w:t>
      </w:r>
    </w:p>
    <w:p w14:paraId="321303E2" w14:textId="38946445" w:rsidR="00D97B4C" w:rsidRPr="00FD7B0B" w:rsidRDefault="00D97B4C" w:rsidP="007F13C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Предоставление межбюджетных трансфертов бюджетам муниципальных образований в сумме 2 430,4 млн.руб., из которых 691,5 млн.руб. направлено на предоставление субсидий для софинансирования капитальных вложений в объек</w:t>
      </w:r>
      <w:r w:rsidR="007F13CC" w:rsidRPr="00FD7B0B">
        <w:rPr>
          <w:rFonts w:ascii="Times New Roman" w:eastAsia="Calibri" w:hAnsi="Times New Roman" w:cs="Times New Roman"/>
          <w:sz w:val="28"/>
          <w:szCs w:val="28"/>
        </w:rPr>
        <w:t>ты муниципальной собственности.</w:t>
      </w:r>
    </w:p>
    <w:p w14:paraId="1E88B88A" w14:textId="77777777" w:rsidR="00D97B4C" w:rsidRPr="00FD7B0B" w:rsidRDefault="00D97B4C" w:rsidP="009150D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Субсидии бюджетным, автономным учреждениям и НКО составили 2 614,0 млн.руб., из них целевые субсидии областным учреждениям – 2 104,2 млн.руб.</w:t>
      </w:r>
    </w:p>
    <w:p w14:paraId="7E1C4BE3" w14:textId="77777777" w:rsidR="00D97B4C" w:rsidRPr="00FD7B0B" w:rsidRDefault="00D97B4C" w:rsidP="009150D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совокупности указанные выше расходы составляют 86,7 % расходов на реализацию национальных проектов за 2024 год.</w:t>
      </w:r>
    </w:p>
    <w:p w14:paraId="23E44001" w14:textId="77777777" w:rsidR="00D97B4C" w:rsidRPr="00FD7B0B" w:rsidRDefault="00D97B4C" w:rsidP="00E00747">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Сумма неиспользованных бюджетных ассигнований в части контрактуемых расходов за 2024 год составила 150,2 млн.руб. что составляет 89,7 % от общей суммы неиспользованных ассигнований на реализацию национальных проектов РФ. Из указанной суммы не исполнено 122,0 млн.руб. по осуществлению закупок товаров, работ и услуг:</w:t>
      </w:r>
    </w:p>
    <w:p w14:paraId="06783CE9" w14:textId="77777777" w:rsidR="00D97B4C" w:rsidRPr="00FD7B0B" w:rsidRDefault="00D97B4C" w:rsidP="00E00747">
      <w:pPr>
        <w:pStyle w:val="a8"/>
        <w:numPr>
          <w:ilvl w:val="0"/>
          <w:numId w:val="11"/>
        </w:numPr>
        <w:ind w:left="0" w:firstLine="709"/>
        <w:jc w:val="both"/>
        <w:rPr>
          <w:sz w:val="28"/>
          <w:szCs w:val="28"/>
        </w:rPr>
      </w:pPr>
      <w:r w:rsidRPr="00FD7B0B">
        <w:rPr>
          <w:sz w:val="28"/>
          <w:szCs w:val="28"/>
        </w:rPr>
        <w:t>50,0 млн.руб. –региональный проект «Содействие занятости» в рамках НП «Демография»;</w:t>
      </w:r>
    </w:p>
    <w:p w14:paraId="4DC56241" w14:textId="77777777" w:rsidR="00D97B4C" w:rsidRPr="00FD7B0B" w:rsidRDefault="00D97B4C" w:rsidP="00E00747">
      <w:pPr>
        <w:pStyle w:val="a8"/>
        <w:numPr>
          <w:ilvl w:val="0"/>
          <w:numId w:val="11"/>
        </w:numPr>
        <w:ind w:left="0" w:firstLine="709"/>
        <w:jc w:val="both"/>
        <w:rPr>
          <w:sz w:val="28"/>
          <w:szCs w:val="28"/>
        </w:rPr>
      </w:pPr>
      <w:r w:rsidRPr="00FD7B0B">
        <w:rPr>
          <w:sz w:val="28"/>
          <w:szCs w:val="28"/>
        </w:rPr>
        <w:t>42,0 млн.руб. – региональный проект «Региональная и местная дорожная сеть» в рамках НП «Безопасные и качественные автомобильные дороги»;</w:t>
      </w:r>
    </w:p>
    <w:p w14:paraId="28572684" w14:textId="77777777" w:rsidR="00D97B4C" w:rsidRPr="00FD7B0B" w:rsidRDefault="00D97B4C" w:rsidP="00E00747">
      <w:pPr>
        <w:pStyle w:val="a8"/>
        <w:numPr>
          <w:ilvl w:val="0"/>
          <w:numId w:val="11"/>
        </w:numPr>
        <w:ind w:left="0" w:firstLine="709"/>
        <w:jc w:val="both"/>
        <w:rPr>
          <w:sz w:val="28"/>
          <w:szCs w:val="28"/>
        </w:rPr>
      </w:pPr>
      <w:r w:rsidRPr="00FD7B0B">
        <w:rPr>
          <w:sz w:val="28"/>
          <w:szCs w:val="28"/>
        </w:rPr>
        <w:t>30,0 млн.руб. – региональный проект «Стимулирование спроса на отечественные беспилотные авиационные системы» в рамках НП «Беспилотные авиационные системы».</w:t>
      </w:r>
    </w:p>
    <w:p w14:paraId="326D53B2" w14:textId="6A27AE6D" w:rsidR="00D97B4C" w:rsidRPr="00FD7B0B" w:rsidRDefault="00D97B4C" w:rsidP="00E00747">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По бюджетным инвестициям неисполненные </w:t>
      </w:r>
      <w:r w:rsidR="00E00747" w:rsidRPr="00FD7B0B">
        <w:rPr>
          <w:rFonts w:ascii="Times New Roman" w:eastAsia="Calibri" w:hAnsi="Times New Roman" w:cs="Times New Roman"/>
          <w:sz w:val="28"/>
          <w:szCs w:val="28"/>
        </w:rPr>
        <w:t>ассигнования</w:t>
      </w:r>
      <w:r w:rsidRPr="00FD7B0B">
        <w:rPr>
          <w:rFonts w:ascii="Times New Roman" w:eastAsia="Calibri" w:hAnsi="Times New Roman" w:cs="Times New Roman"/>
          <w:sz w:val="28"/>
          <w:szCs w:val="28"/>
        </w:rPr>
        <w:t xml:space="preserve"> составили 28,2 млн.руб., из них:</w:t>
      </w:r>
    </w:p>
    <w:p w14:paraId="2730A0EB" w14:textId="77777777" w:rsidR="00D97B4C" w:rsidRPr="00FD7B0B" w:rsidRDefault="00D97B4C" w:rsidP="00E00747">
      <w:pPr>
        <w:pStyle w:val="a8"/>
        <w:numPr>
          <w:ilvl w:val="0"/>
          <w:numId w:val="11"/>
        </w:numPr>
        <w:ind w:left="0" w:firstLine="709"/>
        <w:jc w:val="both"/>
        <w:rPr>
          <w:sz w:val="28"/>
          <w:szCs w:val="28"/>
        </w:rPr>
      </w:pPr>
      <w:r w:rsidRPr="00FD7B0B">
        <w:rPr>
          <w:sz w:val="28"/>
          <w:szCs w:val="28"/>
        </w:rPr>
        <w:lastRenderedPageBreak/>
        <w:t>10,8 млн.руб. – региональный проект «Обеспечение устойчивого сокращения непригодного для проживания жилищного фонда» в рамках НП «Жилье и городская среда»;</w:t>
      </w:r>
    </w:p>
    <w:p w14:paraId="0F9A1544" w14:textId="77777777" w:rsidR="00D97B4C" w:rsidRPr="00FD7B0B" w:rsidRDefault="00D97B4C" w:rsidP="00E00747">
      <w:pPr>
        <w:pStyle w:val="a8"/>
        <w:numPr>
          <w:ilvl w:val="0"/>
          <w:numId w:val="11"/>
        </w:numPr>
        <w:ind w:left="0" w:firstLine="709"/>
        <w:jc w:val="both"/>
        <w:rPr>
          <w:sz w:val="28"/>
          <w:szCs w:val="28"/>
        </w:rPr>
      </w:pPr>
      <w:r w:rsidRPr="00FD7B0B">
        <w:rPr>
          <w:sz w:val="28"/>
          <w:szCs w:val="28"/>
        </w:rPr>
        <w:t>17,4 млн.руб. – региональный проект «Модернизация первичного звена здравоохранения Российской Федерации» в рамках НП «Здравоохранение».</w:t>
      </w:r>
    </w:p>
    <w:p w14:paraId="36F3AFE5" w14:textId="3DAC7673" w:rsidR="00D97B4C" w:rsidRPr="00FD7B0B" w:rsidRDefault="00D97B4C" w:rsidP="00333E3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Неисполненные расходы по межбюджетным трансфертам за 2024 год составили 14,0 млн.руб., что составляет 8,</w:t>
      </w:r>
      <w:r w:rsidR="00333E3A" w:rsidRPr="00FD7B0B">
        <w:rPr>
          <w:rFonts w:ascii="Times New Roman" w:eastAsia="Calibri" w:hAnsi="Times New Roman" w:cs="Times New Roman"/>
          <w:sz w:val="28"/>
          <w:szCs w:val="28"/>
        </w:rPr>
        <w:t>4</w:t>
      </w:r>
      <w:r w:rsidRPr="00FD7B0B">
        <w:rPr>
          <w:rFonts w:ascii="Times New Roman" w:eastAsia="Calibri" w:hAnsi="Times New Roman" w:cs="Times New Roman"/>
          <w:sz w:val="28"/>
          <w:szCs w:val="28"/>
        </w:rPr>
        <w:t> % от общей суммы неиспользованных ассигнований на реализацию национальных проектов РФ, из них по реализации регионального проекта «Региональная и местная дорожная сеть» в рамках НП «Безопасные и качественные автомобильные дороги» – 8,8 млн.руб.</w:t>
      </w:r>
      <w:r w:rsidR="00AD0994" w:rsidRPr="00FD7B0B">
        <w:rPr>
          <w:rFonts w:ascii="Times New Roman" w:eastAsia="Calibri" w:hAnsi="Times New Roman" w:cs="Times New Roman"/>
          <w:sz w:val="28"/>
          <w:szCs w:val="28"/>
        </w:rPr>
        <w:t xml:space="preserve"> и</w:t>
      </w:r>
      <w:r w:rsidRPr="00FD7B0B">
        <w:rPr>
          <w:rFonts w:ascii="Times New Roman" w:eastAsia="Calibri" w:hAnsi="Times New Roman" w:cs="Times New Roman"/>
          <w:sz w:val="28"/>
          <w:szCs w:val="28"/>
        </w:rPr>
        <w:t xml:space="preserve"> в указанной сумме по иным межбюджетным трансфертам.</w:t>
      </w:r>
    </w:p>
    <w:p w14:paraId="3DAFBCE8" w14:textId="2D993E1B" w:rsidR="00D97B4C" w:rsidRPr="00FD7B0B" w:rsidRDefault="00D97B4C" w:rsidP="00C7239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Субсидии бюджетным, автономным учреждениям и иным некоммерческим организациям, с учетом субсидий на осуществление капитальных вложений, за 2023 год составили 2 614,0 млн.руб. (9</w:t>
      </w:r>
      <w:r w:rsidR="00AA34EB" w:rsidRPr="00FD7B0B">
        <w:rPr>
          <w:rFonts w:ascii="Times New Roman" w:eastAsia="Calibri" w:hAnsi="Times New Roman" w:cs="Times New Roman"/>
          <w:sz w:val="28"/>
          <w:szCs w:val="28"/>
        </w:rPr>
        <w:t>9,9 % к плану года).</w:t>
      </w:r>
    </w:p>
    <w:p w14:paraId="53D70CC5" w14:textId="094A85B5" w:rsidR="00D97B4C" w:rsidRPr="00FD7B0B" w:rsidRDefault="00D97B4C" w:rsidP="004E0F4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2024 году расходы из областного бюджета на реализацию мероприятий, предусмотренных национальными проектами РФ, осуществлялись 16 главными распорядителями средств из 32. Сведения об их расходах представлены в таблице </w:t>
      </w:r>
      <w:r w:rsidR="00424B5A" w:rsidRPr="00FD7B0B">
        <w:rPr>
          <w:rFonts w:ascii="Times New Roman" w:eastAsia="Calibri" w:hAnsi="Times New Roman" w:cs="Times New Roman"/>
          <w:sz w:val="28"/>
          <w:szCs w:val="28"/>
        </w:rPr>
        <w:t>251</w:t>
      </w:r>
      <w:r w:rsidRPr="00FD7B0B">
        <w:rPr>
          <w:rFonts w:ascii="Times New Roman" w:eastAsia="Calibri" w:hAnsi="Times New Roman" w:cs="Times New Roman"/>
          <w:sz w:val="28"/>
          <w:szCs w:val="28"/>
        </w:rPr>
        <w:t>.</w:t>
      </w:r>
    </w:p>
    <w:p w14:paraId="7C11B6AE" w14:textId="77777777" w:rsidR="00D97B4C" w:rsidRPr="00FD7B0B" w:rsidRDefault="00D97B4C" w:rsidP="004E0F40">
      <w:pPr>
        <w:spacing w:after="0" w:line="240" w:lineRule="auto"/>
        <w:rPr>
          <w:rFonts w:ascii="Times New Roman" w:eastAsia="Calibri" w:hAnsi="Times New Roman" w:cs="Times New Roman"/>
          <w:bCs/>
          <w:sz w:val="24"/>
          <w:szCs w:val="24"/>
        </w:rPr>
      </w:pPr>
    </w:p>
    <w:p w14:paraId="4E9A3E9A" w14:textId="77777777" w:rsidR="00D97B4C" w:rsidRPr="00FD7B0B" w:rsidRDefault="00D97B4C" w:rsidP="004E0F40">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251</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за 2024 год на реализацию национальных проектов РФ, в разрезе главных распорядителей бюджетных средств, млн.руб.</w:t>
      </w:r>
    </w:p>
    <w:tbl>
      <w:tblPr>
        <w:tblW w:w="9591" w:type="dxa"/>
        <w:tblLook w:val="04A0" w:firstRow="1" w:lastRow="0" w:firstColumn="1" w:lastColumn="0" w:noHBand="0" w:noVBand="1"/>
      </w:tblPr>
      <w:tblGrid>
        <w:gridCol w:w="6781"/>
        <w:gridCol w:w="992"/>
        <w:gridCol w:w="972"/>
        <w:gridCol w:w="846"/>
      </w:tblGrid>
      <w:tr w:rsidR="00FD7B0B" w:rsidRPr="00FD7B0B" w14:paraId="2B60630B" w14:textId="77777777" w:rsidTr="004E0F40">
        <w:trPr>
          <w:trHeight w:val="35"/>
          <w:tblHeader/>
        </w:trPr>
        <w:tc>
          <w:tcPr>
            <w:tcW w:w="678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E606A7F" w14:textId="77777777" w:rsidR="00D97B4C" w:rsidRPr="00FD7B0B" w:rsidRDefault="00D97B4C" w:rsidP="004E0F40">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 ГРБС</w:t>
            </w:r>
          </w:p>
        </w:tc>
        <w:tc>
          <w:tcPr>
            <w:tcW w:w="992" w:type="dxa"/>
            <w:tcBorders>
              <w:top w:val="double" w:sz="6" w:space="0" w:color="auto"/>
              <w:left w:val="single" w:sz="4" w:space="0" w:color="auto"/>
              <w:bottom w:val="single" w:sz="4" w:space="0" w:color="auto"/>
              <w:right w:val="single" w:sz="4" w:space="0" w:color="auto"/>
            </w:tcBorders>
            <w:shd w:val="clear" w:color="auto" w:fill="auto"/>
            <w:vAlign w:val="center"/>
            <w:hideMark/>
          </w:tcPr>
          <w:p w14:paraId="23E247BB" w14:textId="77777777" w:rsidR="00D97B4C" w:rsidRPr="00FD7B0B" w:rsidRDefault="00D97B4C" w:rsidP="004E0F40">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Утвер-ждено</w:t>
            </w:r>
          </w:p>
        </w:tc>
        <w:tc>
          <w:tcPr>
            <w:tcW w:w="972" w:type="dxa"/>
            <w:tcBorders>
              <w:top w:val="double" w:sz="6" w:space="0" w:color="auto"/>
              <w:left w:val="nil"/>
              <w:bottom w:val="single" w:sz="4" w:space="0" w:color="auto"/>
              <w:right w:val="single" w:sz="4" w:space="0" w:color="auto"/>
            </w:tcBorders>
            <w:shd w:val="clear" w:color="auto" w:fill="auto"/>
            <w:vAlign w:val="center"/>
            <w:hideMark/>
          </w:tcPr>
          <w:p w14:paraId="3AE69040" w14:textId="77777777" w:rsidR="00D97B4C" w:rsidRPr="00FD7B0B" w:rsidRDefault="00D97B4C" w:rsidP="004E0F40">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Испол-нено</w:t>
            </w:r>
          </w:p>
        </w:tc>
        <w:tc>
          <w:tcPr>
            <w:tcW w:w="846" w:type="dxa"/>
            <w:tcBorders>
              <w:top w:val="double" w:sz="6" w:space="0" w:color="auto"/>
              <w:left w:val="nil"/>
              <w:bottom w:val="single" w:sz="4" w:space="0" w:color="auto"/>
              <w:right w:val="double" w:sz="6" w:space="0" w:color="auto"/>
            </w:tcBorders>
            <w:shd w:val="clear" w:color="auto" w:fill="auto"/>
            <w:vAlign w:val="center"/>
            <w:hideMark/>
          </w:tcPr>
          <w:p w14:paraId="3A38AD62" w14:textId="77777777" w:rsidR="00D97B4C" w:rsidRPr="00FD7B0B" w:rsidRDefault="00D97B4C" w:rsidP="004E0F40">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2AE22ADF"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2BC459B1"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строительства и архитектуры</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6B193B9"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4 548,4 </w:t>
            </w:r>
          </w:p>
        </w:tc>
        <w:tc>
          <w:tcPr>
            <w:tcW w:w="972" w:type="dxa"/>
            <w:tcBorders>
              <w:top w:val="nil"/>
              <w:left w:val="nil"/>
              <w:bottom w:val="single" w:sz="4" w:space="0" w:color="auto"/>
              <w:right w:val="single" w:sz="4" w:space="0" w:color="auto"/>
            </w:tcBorders>
            <w:shd w:val="clear" w:color="auto" w:fill="auto"/>
            <w:vAlign w:val="center"/>
            <w:hideMark/>
          </w:tcPr>
          <w:p w14:paraId="057CF16F"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4 520,2 </w:t>
            </w:r>
          </w:p>
        </w:tc>
        <w:tc>
          <w:tcPr>
            <w:tcW w:w="846" w:type="dxa"/>
            <w:tcBorders>
              <w:top w:val="nil"/>
              <w:left w:val="nil"/>
              <w:bottom w:val="single" w:sz="4" w:space="0" w:color="auto"/>
              <w:right w:val="double" w:sz="6" w:space="0" w:color="auto"/>
            </w:tcBorders>
            <w:shd w:val="clear" w:color="auto" w:fill="auto"/>
            <w:vAlign w:val="center"/>
            <w:hideMark/>
          </w:tcPr>
          <w:p w14:paraId="2546DEE8"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99,4 </w:t>
            </w:r>
          </w:p>
        </w:tc>
      </w:tr>
      <w:tr w:rsidR="00FD7B0B" w:rsidRPr="00FD7B0B" w14:paraId="184FB63C"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41937684"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топливно-энергетического комплекса и жилищно-коммунального хозяйства</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136870F"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1 401,1 </w:t>
            </w:r>
          </w:p>
        </w:tc>
        <w:tc>
          <w:tcPr>
            <w:tcW w:w="972" w:type="dxa"/>
            <w:tcBorders>
              <w:top w:val="nil"/>
              <w:left w:val="nil"/>
              <w:bottom w:val="single" w:sz="4" w:space="0" w:color="auto"/>
              <w:right w:val="single" w:sz="4" w:space="0" w:color="auto"/>
            </w:tcBorders>
            <w:shd w:val="clear" w:color="auto" w:fill="auto"/>
            <w:vAlign w:val="center"/>
            <w:hideMark/>
          </w:tcPr>
          <w:p w14:paraId="33E833E0"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1 399,1 </w:t>
            </w:r>
          </w:p>
        </w:tc>
        <w:tc>
          <w:tcPr>
            <w:tcW w:w="846" w:type="dxa"/>
            <w:tcBorders>
              <w:top w:val="nil"/>
              <w:left w:val="nil"/>
              <w:bottom w:val="single" w:sz="4" w:space="0" w:color="auto"/>
              <w:right w:val="double" w:sz="6" w:space="0" w:color="auto"/>
            </w:tcBorders>
            <w:shd w:val="clear" w:color="auto" w:fill="auto"/>
            <w:vAlign w:val="center"/>
            <w:hideMark/>
          </w:tcPr>
          <w:p w14:paraId="6E1AE1A7"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99,9 </w:t>
            </w:r>
          </w:p>
        </w:tc>
      </w:tr>
      <w:tr w:rsidR="00FD7B0B" w:rsidRPr="00FD7B0B" w14:paraId="418B54DA"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450EEB4C"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природных ресурсов и лесопромышленного комплекса</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86591BB"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864,8 </w:t>
            </w:r>
          </w:p>
        </w:tc>
        <w:tc>
          <w:tcPr>
            <w:tcW w:w="972" w:type="dxa"/>
            <w:tcBorders>
              <w:top w:val="nil"/>
              <w:left w:val="nil"/>
              <w:bottom w:val="single" w:sz="4" w:space="0" w:color="auto"/>
              <w:right w:val="single" w:sz="4" w:space="0" w:color="auto"/>
            </w:tcBorders>
            <w:shd w:val="clear" w:color="auto" w:fill="auto"/>
            <w:vAlign w:val="center"/>
            <w:hideMark/>
          </w:tcPr>
          <w:p w14:paraId="1B94ABF2"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834,8 </w:t>
            </w:r>
          </w:p>
        </w:tc>
        <w:tc>
          <w:tcPr>
            <w:tcW w:w="846" w:type="dxa"/>
            <w:tcBorders>
              <w:top w:val="nil"/>
              <w:left w:val="nil"/>
              <w:bottom w:val="single" w:sz="4" w:space="0" w:color="auto"/>
              <w:right w:val="double" w:sz="6" w:space="0" w:color="auto"/>
            </w:tcBorders>
            <w:shd w:val="clear" w:color="auto" w:fill="auto"/>
            <w:vAlign w:val="center"/>
            <w:hideMark/>
          </w:tcPr>
          <w:p w14:paraId="319523CE"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96,5 </w:t>
            </w:r>
          </w:p>
        </w:tc>
      </w:tr>
      <w:tr w:rsidR="00FD7B0B" w:rsidRPr="00FD7B0B" w14:paraId="0709D3AA"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1942FFD2"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здравоохранения</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A5CDFD9"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1 387,7 </w:t>
            </w:r>
          </w:p>
        </w:tc>
        <w:tc>
          <w:tcPr>
            <w:tcW w:w="972" w:type="dxa"/>
            <w:tcBorders>
              <w:top w:val="nil"/>
              <w:left w:val="nil"/>
              <w:bottom w:val="single" w:sz="4" w:space="0" w:color="auto"/>
              <w:right w:val="single" w:sz="4" w:space="0" w:color="auto"/>
            </w:tcBorders>
            <w:shd w:val="clear" w:color="auto" w:fill="auto"/>
            <w:vAlign w:val="center"/>
            <w:hideMark/>
          </w:tcPr>
          <w:p w14:paraId="18046964"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1 384,9 </w:t>
            </w:r>
          </w:p>
        </w:tc>
        <w:tc>
          <w:tcPr>
            <w:tcW w:w="846" w:type="dxa"/>
            <w:tcBorders>
              <w:top w:val="nil"/>
              <w:left w:val="nil"/>
              <w:bottom w:val="single" w:sz="4" w:space="0" w:color="auto"/>
              <w:right w:val="double" w:sz="6" w:space="0" w:color="auto"/>
            </w:tcBorders>
            <w:shd w:val="clear" w:color="auto" w:fill="auto"/>
            <w:vAlign w:val="center"/>
            <w:hideMark/>
          </w:tcPr>
          <w:p w14:paraId="7C4BE7D5"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99,8 </w:t>
            </w:r>
          </w:p>
        </w:tc>
      </w:tr>
      <w:tr w:rsidR="00FD7B0B" w:rsidRPr="00FD7B0B" w14:paraId="41BED799"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1F09C8D9"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культуры</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56AE720"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460,5 </w:t>
            </w:r>
          </w:p>
        </w:tc>
        <w:tc>
          <w:tcPr>
            <w:tcW w:w="972" w:type="dxa"/>
            <w:tcBorders>
              <w:top w:val="nil"/>
              <w:left w:val="nil"/>
              <w:bottom w:val="single" w:sz="4" w:space="0" w:color="auto"/>
              <w:right w:val="single" w:sz="4" w:space="0" w:color="auto"/>
            </w:tcBorders>
            <w:shd w:val="clear" w:color="auto" w:fill="auto"/>
            <w:vAlign w:val="center"/>
            <w:hideMark/>
          </w:tcPr>
          <w:p w14:paraId="01319C9B"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460,4 </w:t>
            </w:r>
          </w:p>
        </w:tc>
        <w:tc>
          <w:tcPr>
            <w:tcW w:w="846" w:type="dxa"/>
            <w:tcBorders>
              <w:top w:val="nil"/>
              <w:left w:val="nil"/>
              <w:bottom w:val="single" w:sz="4" w:space="0" w:color="auto"/>
              <w:right w:val="double" w:sz="6" w:space="0" w:color="auto"/>
            </w:tcBorders>
            <w:shd w:val="clear" w:color="auto" w:fill="auto"/>
            <w:vAlign w:val="center"/>
            <w:hideMark/>
          </w:tcPr>
          <w:p w14:paraId="6751A1F3"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7F21E52A"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5161D23C"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связи и информационных технологий</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0CB36D8"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89,6 </w:t>
            </w:r>
          </w:p>
        </w:tc>
        <w:tc>
          <w:tcPr>
            <w:tcW w:w="972" w:type="dxa"/>
            <w:tcBorders>
              <w:top w:val="nil"/>
              <w:left w:val="nil"/>
              <w:bottom w:val="single" w:sz="4" w:space="0" w:color="auto"/>
              <w:right w:val="single" w:sz="4" w:space="0" w:color="auto"/>
            </w:tcBorders>
            <w:shd w:val="clear" w:color="auto" w:fill="auto"/>
            <w:vAlign w:val="center"/>
            <w:hideMark/>
          </w:tcPr>
          <w:p w14:paraId="7F03B749"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89,6 </w:t>
            </w:r>
          </w:p>
        </w:tc>
        <w:tc>
          <w:tcPr>
            <w:tcW w:w="846" w:type="dxa"/>
            <w:tcBorders>
              <w:top w:val="nil"/>
              <w:left w:val="nil"/>
              <w:bottom w:val="single" w:sz="4" w:space="0" w:color="auto"/>
              <w:right w:val="double" w:sz="6" w:space="0" w:color="auto"/>
            </w:tcBorders>
            <w:shd w:val="clear" w:color="auto" w:fill="auto"/>
            <w:vAlign w:val="center"/>
            <w:hideMark/>
          </w:tcPr>
          <w:p w14:paraId="4C9B5BE9"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6627DCDE"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52616F32"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образования и науки</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EF3C393"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1 556,6 </w:t>
            </w:r>
          </w:p>
        </w:tc>
        <w:tc>
          <w:tcPr>
            <w:tcW w:w="972" w:type="dxa"/>
            <w:tcBorders>
              <w:top w:val="nil"/>
              <w:left w:val="nil"/>
              <w:bottom w:val="single" w:sz="4" w:space="0" w:color="auto"/>
              <w:right w:val="single" w:sz="4" w:space="0" w:color="auto"/>
            </w:tcBorders>
            <w:shd w:val="clear" w:color="auto" w:fill="auto"/>
            <w:vAlign w:val="center"/>
            <w:hideMark/>
          </w:tcPr>
          <w:p w14:paraId="68A2EC9D"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1 555,9 </w:t>
            </w:r>
          </w:p>
        </w:tc>
        <w:tc>
          <w:tcPr>
            <w:tcW w:w="846" w:type="dxa"/>
            <w:tcBorders>
              <w:top w:val="nil"/>
              <w:left w:val="nil"/>
              <w:bottom w:val="single" w:sz="4" w:space="0" w:color="auto"/>
              <w:right w:val="double" w:sz="6" w:space="0" w:color="auto"/>
            </w:tcBorders>
            <w:shd w:val="clear" w:color="auto" w:fill="auto"/>
            <w:vAlign w:val="center"/>
            <w:hideMark/>
          </w:tcPr>
          <w:p w14:paraId="4D5C39F2"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1D1B1634"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22511654"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агропромышленного комплекса и торговли</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BD25AA7"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7,1 </w:t>
            </w:r>
          </w:p>
        </w:tc>
        <w:tc>
          <w:tcPr>
            <w:tcW w:w="972" w:type="dxa"/>
            <w:tcBorders>
              <w:top w:val="nil"/>
              <w:left w:val="nil"/>
              <w:bottom w:val="single" w:sz="4" w:space="0" w:color="auto"/>
              <w:right w:val="single" w:sz="4" w:space="0" w:color="auto"/>
            </w:tcBorders>
            <w:shd w:val="clear" w:color="auto" w:fill="auto"/>
            <w:vAlign w:val="center"/>
            <w:hideMark/>
          </w:tcPr>
          <w:p w14:paraId="6FEC6CBE"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7,1 </w:t>
            </w:r>
          </w:p>
        </w:tc>
        <w:tc>
          <w:tcPr>
            <w:tcW w:w="846" w:type="dxa"/>
            <w:tcBorders>
              <w:top w:val="nil"/>
              <w:left w:val="nil"/>
              <w:bottom w:val="single" w:sz="4" w:space="0" w:color="auto"/>
              <w:right w:val="double" w:sz="6" w:space="0" w:color="auto"/>
            </w:tcBorders>
            <w:shd w:val="clear" w:color="auto" w:fill="auto"/>
            <w:vAlign w:val="center"/>
            <w:hideMark/>
          </w:tcPr>
          <w:p w14:paraId="5C149814"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667E64A3"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332F81B0"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транспорта</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408F0AA3"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7 141,9 </w:t>
            </w:r>
          </w:p>
        </w:tc>
        <w:tc>
          <w:tcPr>
            <w:tcW w:w="972" w:type="dxa"/>
            <w:tcBorders>
              <w:top w:val="nil"/>
              <w:left w:val="nil"/>
              <w:bottom w:val="single" w:sz="4" w:space="0" w:color="auto"/>
              <w:right w:val="single" w:sz="4" w:space="0" w:color="auto"/>
            </w:tcBorders>
            <w:shd w:val="clear" w:color="auto" w:fill="auto"/>
            <w:vAlign w:val="center"/>
            <w:hideMark/>
          </w:tcPr>
          <w:p w14:paraId="4A97F6EA"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7 088,6 </w:t>
            </w:r>
          </w:p>
        </w:tc>
        <w:tc>
          <w:tcPr>
            <w:tcW w:w="846" w:type="dxa"/>
            <w:tcBorders>
              <w:top w:val="nil"/>
              <w:left w:val="nil"/>
              <w:bottom w:val="single" w:sz="4" w:space="0" w:color="auto"/>
              <w:right w:val="double" w:sz="6" w:space="0" w:color="auto"/>
            </w:tcBorders>
            <w:shd w:val="clear" w:color="auto" w:fill="auto"/>
            <w:vAlign w:val="center"/>
            <w:hideMark/>
          </w:tcPr>
          <w:p w14:paraId="42E857D5"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99,3 </w:t>
            </w:r>
          </w:p>
        </w:tc>
      </w:tr>
      <w:tr w:rsidR="00FD7B0B" w:rsidRPr="00FD7B0B" w14:paraId="5CA59454"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19E7AE63"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экономического развития и промышленности</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819D864"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533,2 </w:t>
            </w:r>
          </w:p>
        </w:tc>
        <w:tc>
          <w:tcPr>
            <w:tcW w:w="972" w:type="dxa"/>
            <w:tcBorders>
              <w:top w:val="nil"/>
              <w:left w:val="nil"/>
              <w:bottom w:val="single" w:sz="4" w:space="0" w:color="auto"/>
              <w:right w:val="single" w:sz="4" w:space="0" w:color="auto"/>
            </w:tcBorders>
            <w:shd w:val="clear" w:color="auto" w:fill="auto"/>
            <w:vAlign w:val="center"/>
            <w:hideMark/>
          </w:tcPr>
          <w:p w14:paraId="428F58A8"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533,2 </w:t>
            </w:r>
          </w:p>
        </w:tc>
        <w:tc>
          <w:tcPr>
            <w:tcW w:w="846" w:type="dxa"/>
            <w:tcBorders>
              <w:top w:val="nil"/>
              <w:left w:val="nil"/>
              <w:bottom w:val="single" w:sz="4" w:space="0" w:color="auto"/>
              <w:right w:val="double" w:sz="6" w:space="0" w:color="auto"/>
            </w:tcBorders>
            <w:shd w:val="clear" w:color="auto" w:fill="auto"/>
            <w:vAlign w:val="center"/>
            <w:hideMark/>
          </w:tcPr>
          <w:p w14:paraId="10490731"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0DE36D2C"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573836D4"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труда, занятости и социального развития</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C3477"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1 399,4 </w:t>
            </w:r>
          </w:p>
        </w:tc>
        <w:tc>
          <w:tcPr>
            <w:tcW w:w="972" w:type="dxa"/>
            <w:tcBorders>
              <w:top w:val="nil"/>
              <w:left w:val="nil"/>
              <w:bottom w:val="single" w:sz="4" w:space="0" w:color="auto"/>
              <w:right w:val="single" w:sz="4" w:space="0" w:color="auto"/>
            </w:tcBorders>
            <w:shd w:val="clear" w:color="auto" w:fill="auto"/>
            <w:vAlign w:val="center"/>
            <w:hideMark/>
          </w:tcPr>
          <w:p w14:paraId="5D957DB7"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1 348,9 </w:t>
            </w:r>
          </w:p>
        </w:tc>
        <w:tc>
          <w:tcPr>
            <w:tcW w:w="846" w:type="dxa"/>
            <w:tcBorders>
              <w:top w:val="nil"/>
              <w:left w:val="nil"/>
              <w:bottom w:val="single" w:sz="4" w:space="0" w:color="auto"/>
              <w:right w:val="double" w:sz="6" w:space="0" w:color="auto"/>
            </w:tcBorders>
            <w:shd w:val="clear" w:color="auto" w:fill="auto"/>
            <w:vAlign w:val="center"/>
            <w:hideMark/>
          </w:tcPr>
          <w:p w14:paraId="4B04B012"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96,4 </w:t>
            </w:r>
          </w:p>
        </w:tc>
      </w:tr>
      <w:tr w:rsidR="00FD7B0B" w:rsidRPr="00FD7B0B" w14:paraId="0A2728AC"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8DFE129"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имущественных отношений</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FCDDA3A"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50,4 </w:t>
            </w:r>
          </w:p>
        </w:tc>
        <w:tc>
          <w:tcPr>
            <w:tcW w:w="972" w:type="dxa"/>
            <w:tcBorders>
              <w:top w:val="nil"/>
              <w:left w:val="nil"/>
              <w:bottom w:val="single" w:sz="4" w:space="0" w:color="auto"/>
              <w:right w:val="single" w:sz="4" w:space="0" w:color="auto"/>
            </w:tcBorders>
            <w:shd w:val="clear" w:color="auto" w:fill="auto"/>
            <w:vAlign w:val="center"/>
            <w:hideMark/>
          </w:tcPr>
          <w:p w14:paraId="4739D855"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50,4 </w:t>
            </w:r>
          </w:p>
        </w:tc>
        <w:tc>
          <w:tcPr>
            <w:tcW w:w="846" w:type="dxa"/>
            <w:tcBorders>
              <w:top w:val="nil"/>
              <w:left w:val="nil"/>
              <w:bottom w:val="single" w:sz="4" w:space="0" w:color="auto"/>
              <w:right w:val="double" w:sz="6" w:space="0" w:color="auto"/>
            </w:tcBorders>
            <w:shd w:val="clear" w:color="auto" w:fill="auto"/>
            <w:vAlign w:val="center"/>
            <w:hideMark/>
          </w:tcPr>
          <w:p w14:paraId="112D1910"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13F68D88"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1B500842"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Агентство по делам молодежи</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859812C"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152,7 </w:t>
            </w:r>
          </w:p>
        </w:tc>
        <w:tc>
          <w:tcPr>
            <w:tcW w:w="972" w:type="dxa"/>
            <w:tcBorders>
              <w:top w:val="nil"/>
              <w:left w:val="nil"/>
              <w:bottom w:val="single" w:sz="4" w:space="0" w:color="auto"/>
              <w:right w:val="single" w:sz="4" w:space="0" w:color="auto"/>
            </w:tcBorders>
            <w:shd w:val="clear" w:color="auto" w:fill="auto"/>
            <w:vAlign w:val="center"/>
            <w:hideMark/>
          </w:tcPr>
          <w:p w14:paraId="4CBD73D6"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152,7 </w:t>
            </w:r>
          </w:p>
        </w:tc>
        <w:tc>
          <w:tcPr>
            <w:tcW w:w="846" w:type="dxa"/>
            <w:tcBorders>
              <w:top w:val="nil"/>
              <w:left w:val="nil"/>
              <w:bottom w:val="single" w:sz="4" w:space="0" w:color="auto"/>
              <w:right w:val="double" w:sz="6" w:space="0" w:color="auto"/>
            </w:tcBorders>
            <w:shd w:val="clear" w:color="auto" w:fill="auto"/>
            <w:vAlign w:val="center"/>
            <w:hideMark/>
          </w:tcPr>
          <w:p w14:paraId="1B11C671"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0BD0DB9F"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74A061E3"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Министерство спорта</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47D8263E"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25,1 </w:t>
            </w:r>
          </w:p>
        </w:tc>
        <w:tc>
          <w:tcPr>
            <w:tcW w:w="972" w:type="dxa"/>
            <w:tcBorders>
              <w:top w:val="nil"/>
              <w:left w:val="nil"/>
              <w:bottom w:val="single" w:sz="4" w:space="0" w:color="auto"/>
              <w:right w:val="single" w:sz="4" w:space="0" w:color="auto"/>
            </w:tcBorders>
            <w:shd w:val="clear" w:color="auto" w:fill="auto"/>
            <w:vAlign w:val="center"/>
            <w:hideMark/>
          </w:tcPr>
          <w:p w14:paraId="4A3FFE33"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25,1 </w:t>
            </w:r>
          </w:p>
        </w:tc>
        <w:tc>
          <w:tcPr>
            <w:tcW w:w="846" w:type="dxa"/>
            <w:tcBorders>
              <w:top w:val="nil"/>
              <w:left w:val="nil"/>
              <w:bottom w:val="single" w:sz="4" w:space="0" w:color="auto"/>
              <w:right w:val="double" w:sz="6" w:space="0" w:color="auto"/>
            </w:tcBorders>
            <w:shd w:val="clear" w:color="auto" w:fill="auto"/>
            <w:vAlign w:val="center"/>
            <w:hideMark/>
          </w:tcPr>
          <w:p w14:paraId="1407D707"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14267BE3" w14:textId="77777777" w:rsidTr="004E0F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6861F74"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Администрация Губернатора и Правительства Архангельской области</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427183ED"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10,1 </w:t>
            </w:r>
          </w:p>
        </w:tc>
        <w:tc>
          <w:tcPr>
            <w:tcW w:w="972" w:type="dxa"/>
            <w:tcBorders>
              <w:top w:val="nil"/>
              <w:left w:val="nil"/>
              <w:bottom w:val="single" w:sz="4" w:space="0" w:color="auto"/>
              <w:right w:val="single" w:sz="4" w:space="0" w:color="auto"/>
            </w:tcBorders>
            <w:shd w:val="clear" w:color="auto" w:fill="auto"/>
            <w:vAlign w:val="center"/>
            <w:hideMark/>
          </w:tcPr>
          <w:p w14:paraId="17DEEC53"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10,1 </w:t>
            </w:r>
          </w:p>
        </w:tc>
        <w:tc>
          <w:tcPr>
            <w:tcW w:w="846" w:type="dxa"/>
            <w:tcBorders>
              <w:top w:val="nil"/>
              <w:left w:val="nil"/>
              <w:bottom w:val="single" w:sz="4" w:space="0" w:color="auto"/>
              <w:right w:val="double" w:sz="6" w:space="0" w:color="auto"/>
            </w:tcBorders>
            <w:shd w:val="clear" w:color="auto" w:fill="auto"/>
            <w:vAlign w:val="center"/>
            <w:hideMark/>
          </w:tcPr>
          <w:p w14:paraId="5E1CDBBB"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4CC886CF" w14:textId="77777777" w:rsidTr="004E0F40">
        <w:trPr>
          <w:trHeight w:val="70"/>
        </w:trPr>
        <w:tc>
          <w:tcPr>
            <w:tcW w:w="6781" w:type="dxa"/>
            <w:tcBorders>
              <w:top w:val="nil"/>
              <w:left w:val="double" w:sz="6" w:space="0" w:color="auto"/>
              <w:bottom w:val="nil"/>
              <w:right w:val="single" w:sz="4" w:space="0" w:color="auto"/>
            </w:tcBorders>
            <w:shd w:val="clear" w:color="auto" w:fill="auto"/>
            <w:vAlign w:val="center"/>
            <w:hideMark/>
          </w:tcPr>
          <w:p w14:paraId="236B7CF9" w14:textId="77777777" w:rsidR="00D97B4C" w:rsidRPr="00FD7B0B" w:rsidRDefault="00D97B4C" w:rsidP="004E0F40">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Инспекция по ветеринарному надзору Архангельской области</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DA61733"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 </w:t>
            </w:r>
          </w:p>
        </w:tc>
        <w:tc>
          <w:tcPr>
            <w:tcW w:w="972" w:type="dxa"/>
            <w:tcBorders>
              <w:top w:val="nil"/>
              <w:left w:val="nil"/>
              <w:bottom w:val="single" w:sz="4" w:space="0" w:color="auto"/>
              <w:right w:val="single" w:sz="4" w:space="0" w:color="auto"/>
            </w:tcBorders>
            <w:shd w:val="clear" w:color="auto" w:fill="auto"/>
            <w:vAlign w:val="center"/>
            <w:hideMark/>
          </w:tcPr>
          <w:p w14:paraId="17D4E8F4"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 </w:t>
            </w:r>
          </w:p>
        </w:tc>
        <w:tc>
          <w:tcPr>
            <w:tcW w:w="846" w:type="dxa"/>
            <w:tcBorders>
              <w:top w:val="nil"/>
              <w:left w:val="nil"/>
              <w:bottom w:val="single" w:sz="4" w:space="0" w:color="auto"/>
              <w:right w:val="double" w:sz="6" w:space="0" w:color="auto"/>
            </w:tcBorders>
            <w:shd w:val="clear" w:color="auto" w:fill="auto"/>
            <w:vAlign w:val="center"/>
            <w:hideMark/>
          </w:tcPr>
          <w:p w14:paraId="5DF9A1FE" w14:textId="77777777" w:rsidR="00D97B4C" w:rsidRPr="00FD7B0B" w:rsidRDefault="00D97B4C" w:rsidP="004E0F40">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D97B4C" w:rsidRPr="00FD7B0B" w14:paraId="324B4447" w14:textId="77777777" w:rsidTr="004E0F40">
        <w:trPr>
          <w:trHeight w:val="70"/>
        </w:trPr>
        <w:tc>
          <w:tcPr>
            <w:tcW w:w="6781"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43E87E81" w14:textId="77777777" w:rsidR="00D97B4C" w:rsidRPr="00FD7B0B" w:rsidRDefault="00D97B4C" w:rsidP="004E0F40">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Итого</w:t>
            </w:r>
          </w:p>
        </w:tc>
        <w:tc>
          <w:tcPr>
            <w:tcW w:w="992" w:type="dxa"/>
            <w:tcBorders>
              <w:top w:val="nil"/>
              <w:left w:val="single" w:sz="4" w:space="0" w:color="auto"/>
              <w:bottom w:val="double" w:sz="6" w:space="0" w:color="auto"/>
              <w:right w:val="single" w:sz="4" w:space="0" w:color="auto"/>
            </w:tcBorders>
            <w:shd w:val="clear" w:color="auto" w:fill="auto"/>
            <w:vAlign w:val="center"/>
            <w:hideMark/>
          </w:tcPr>
          <w:p w14:paraId="4949E365" w14:textId="77777777" w:rsidR="00D97B4C" w:rsidRPr="00FD7B0B" w:rsidRDefault="00D97B4C" w:rsidP="004E0F40">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19 637,8 </w:t>
            </w:r>
          </w:p>
        </w:tc>
        <w:tc>
          <w:tcPr>
            <w:tcW w:w="972" w:type="dxa"/>
            <w:tcBorders>
              <w:top w:val="nil"/>
              <w:left w:val="nil"/>
              <w:bottom w:val="double" w:sz="6" w:space="0" w:color="auto"/>
              <w:right w:val="single" w:sz="4" w:space="0" w:color="auto"/>
            </w:tcBorders>
            <w:shd w:val="clear" w:color="auto" w:fill="auto"/>
            <w:vAlign w:val="center"/>
            <w:hideMark/>
          </w:tcPr>
          <w:p w14:paraId="32A56CF0" w14:textId="77777777" w:rsidR="00D97B4C" w:rsidRPr="00FD7B0B" w:rsidRDefault="00D97B4C" w:rsidP="004E0F40">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19 470,3 </w:t>
            </w:r>
          </w:p>
        </w:tc>
        <w:tc>
          <w:tcPr>
            <w:tcW w:w="846" w:type="dxa"/>
            <w:tcBorders>
              <w:top w:val="nil"/>
              <w:left w:val="nil"/>
              <w:bottom w:val="double" w:sz="6" w:space="0" w:color="auto"/>
              <w:right w:val="double" w:sz="6" w:space="0" w:color="auto"/>
            </w:tcBorders>
            <w:shd w:val="clear" w:color="auto" w:fill="auto"/>
            <w:vAlign w:val="center"/>
            <w:hideMark/>
          </w:tcPr>
          <w:p w14:paraId="0F510576" w14:textId="77777777" w:rsidR="00D97B4C" w:rsidRPr="00FD7B0B" w:rsidRDefault="00D97B4C" w:rsidP="004E0F40">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99,1 </w:t>
            </w:r>
          </w:p>
        </w:tc>
      </w:tr>
    </w:tbl>
    <w:p w14:paraId="0C872B6B" w14:textId="77777777" w:rsidR="00D97B4C" w:rsidRPr="00FD7B0B" w:rsidRDefault="00D97B4C" w:rsidP="004E0F40">
      <w:pPr>
        <w:spacing w:after="0" w:line="240" w:lineRule="auto"/>
        <w:ind w:firstLine="709"/>
        <w:jc w:val="both"/>
        <w:rPr>
          <w:rFonts w:ascii="Times New Roman" w:eastAsia="Calibri" w:hAnsi="Times New Roman" w:cs="Times New Roman"/>
          <w:sz w:val="28"/>
          <w:szCs w:val="28"/>
        </w:rPr>
      </w:pPr>
    </w:p>
    <w:p w14:paraId="38995042" w14:textId="77777777" w:rsidR="00D97B4C" w:rsidRPr="00FD7B0B" w:rsidRDefault="00D97B4C" w:rsidP="004E0F4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Основные расходы в отчетном периоде произведены:</w:t>
      </w:r>
    </w:p>
    <w:p w14:paraId="6CA8CA24" w14:textId="5A21D6BA" w:rsidR="00D97B4C" w:rsidRPr="00FD7B0B" w:rsidRDefault="00D97B4C" w:rsidP="004E0F4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1. Министерством строительства и архитектуры Архангельской области в сумме 4 520,2 млн.руб. и обеспечены на 99,4 % к плану года, которые в полном объеме направлены на осуществление капитальных вложений в объекты государственной собственности Архангельской области. Неисполненная сумма </w:t>
      </w:r>
      <w:r w:rsidRPr="00FD7B0B">
        <w:rPr>
          <w:rFonts w:ascii="Times New Roman" w:eastAsia="Calibri" w:hAnsi="Times New Roman" w:cs="Times New Roman"/>
          <w:sz w:val="28"/>
          <w:szCs w:val="28"/>
        </w:rPr>
        <w:lastRenderedPageBreak/>
        <w:t>составила 28,2 млн.руб., из неё по РП «Обеспечение устойчивого сокращения непригодного для проживания жилищного фонда» – 10,8 млн.руб.</w:t>
      </w:r>
      <w:r w:rsidR="00642780"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 xml:space="preserve"> по РП «Модернизация первичного звена здравоохранения Россий</w:t>
      </w:r>
      <w:r w:rsidR="00642780" w:rsidRPr="00FD7B0B">
        <w:rPr>
          <w:rFonts w:ascii="Times New Roman" w:eastAsia="Calibri" w:hAnsi="Times New Roman" w:cs="Times New Roman"/>
          <w:sz w:val="28"/>
          <w:szCs w:val="28"/>
        </w:rPr>
        <w:t>ской Федерации» – 17,4 млн.руб.</w:t>
      </w:r>
    </w:p>
    <w:p w14:paraId="225FC2F0" w14:textId="4D5F526F" w:rsidR="00D97B4C" w:rsidRPr="00FD7B0B" w:rsidRDefault="00D97B4C" w:rsidP="0064278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2. Министерством ТЭК и ЖКХ Архангельской области – 1 399,1 млн.руб. (исполнено на 99,9 %), в т.ч. в указанной сумме средства перечислены местным бюджетам, из них субсидии на софинансирование капитальных вложений в объекты государственной муниципальной собственности – 691,5 млн.руб. (99,7 %), субвенции – 154,2 млн.руб. (100,0 %), консолидированные субсидии – 466,3 млн.руб. (100,0 %). Сумма неисполненных назначений года составила 1,9 млн.руб.</w:t>
      </w:r>
      <w:r w:rsidR="00642780" w:rsidRPr="00FD7B0B">
        <w:rPr>
          <w:rFonts w:ascii="Times New Roman" w:eastAsia="Calibri" w:hAnsi="Times New Roman" w:cs="Times New Roman"/>
          <w:sz w:val="28"/>
          <w:szCs w:val="28"/>
        </w:rPr>
        <w:t xml:space="preserve"> и</w:t>
      </w:r>
      <w:r w:rsidRPr="00FD7B0B">
        <w:rPr>
          <w:rFonts w:ascii="Times New Roman" w:eastAsia="Calibri" w:hAnsi="Times New Roman" w:cs="Times New Roman"/>
          <w:sz w:val="28"/>
          <w:szCs w:val="28"/>
        </w:rPr>
        <w:t xml:space="preserve"> в указанно</w:t>
      </w:r>
      <w:r w:rsidR="00642780" w:rsidRPr="00FD7B0B">
        <w:rPr>
          <w:rFonts w:ascii="Times New Roman" w:eastAsia="Calibri" w:hAnsi="Times New Roman" w:cs="Times New Roman"/>
          <w:sz w:val="28"/>
          <w:szCs w:val="28"/>
        </w:rPr>
        <w:t>й</w:t>
      </w:r>
      <w:r w:rsidRPr="00FD7B0B">
        <w:rPr>
          <w:rFonts w:ascii="Times New Roman" w:eastAsia="Calibri" w:hAnsi="Times New Roman" w:cs="Times New Roman"/>
          <w:sz w:val="28"/>
          <w:szCs w:val="28"/>
        </w:rPr>
        <w:t xml:space="preserve"> </w:t>
      </w:r>
      <w:r w:rsidR="00642780" w:rsidRPr="00FD7B0B">
        <w:rPr>
          <w:rFonts w:ascii="Times New Roman" w:eastAsia="Calibri" w:hAnsi="Times New Roman" w:cs="Times New Roman"/>
          <w:sz w:val="28"/>
          <w:szCs w:val="28"/>
        </w:rPr>
        <w:t>сумме</w:t>
      </w:r>
      <w:r w:rsidRPr="00FD7B0B">
        <w:rPr>
          <w:rFonts w:ascii="Times New Roman" w:eastAsia="Calibri" w:hAnsi="Times New Roman" w:cs="Times New Roman"/>
          <w:sz w:val="28"/>
          <w:szCs w:val="28"/>
        </w:rPr>
        <w:t xml:space="preserve"> по </w:t>
      </w:r>
      <w:r w:rsidR="00642780" w:rsidRPr="00FD7B0B">
        <w:rPr>
          <w:rFonts w:ascii="Times New Roman" w:eastAsia="Calibri" w:hAnsi="Times New Roman" w:cs="Times New Roman"/>
          <w:sz w:val="28"/>
          <w:szCs w:val="28"/>
        </w:rPr>
        <w:t>РП</w:t>
      </w:r>
      <w:r w:rsidRPr="00FD7B0B">
        <w:rPr>
          <w:rFonts w:ascii="Times New Roman" w:eastAsia="Calibri" w:hAnsi="Times New Roman" w:cs="Times New Roman"/>
          <w:sz w:val="28"/>
          <w:szCs w:val="28"/>
        </w:rPr>
        <w:t xml:space="preserve"> «Обеспечение устойчивого сокращения непригодного для проживания жилищного фонда» на</w:t>
      </w:r>
      <w:r w:rsidR="00642780" w:rsidRPr="00FD7B0B">
        <w:rPr>
          <w:rFonts w:ascii="Times New Roman" w:eastAsia="Calibri" w:hAnsi="Times New Roman" w:cs="Times New Roman"/>
          <w:sz w:val="28"/>
          <w:szCs w:val="28"/>
        </w:rPr>
        <w:t xml:space="preserve"> предоставление субсидий на</w:t>
      </w:r>
      <w:r w:rsidRPr="00FD7B0B">
        <w:rPr>
          <w:rFonts w:ascii="Times New Roman" w:eastAsia="Calibri" w:hAnsi="Times New Roman" w:cs="Times New Roman"/>
          <w:sz w:val="28"/>
          <w:szCs w:val="28"/>
        </w:rPr>
        <w:t xml:space="preserve"> осу</w:t>
      </w:r>
      <w:r w:rsidR="00642780" w:rsidRPr="00FD7B0B">
        <w:rPr>
          <w:rFonts w:ascii="Times New Roman" w:eastAsia="Calibri" w:hAnsi="Times New Roman" w:cs="Times New Roman"/>
          <w:sz w:val="28"/>
          <w:szCs w:val="28"/>
        </w:rPr>
        <w:t>ществление капитальных вложений.</w:t>
      </w:r>
    </w:p>
    <w:p w14:paraId="4EC62E67" w14:textId="5DC6F865" w:rsidR="00D97B4C" w:rsidRPr="00FD7B0B" w:rsidRDefault="00D97B4C" w:rsidP="003C77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3. Министерством здравоохранения Архангельской области – 1 384,9 млн.руб. или 99,8 % к плану года, из них субсидии (на иные цели и на цели осуществления капитальных вложений) – 1 116,4 млн.руб. (99,8 %), субсидии на выполнение государственного задания – 170,6 млн.руб. (100,0 %). Сумма неисполненных ассигнований составила 2,8 млн.руб., в т.ч. в указанном показателе по субсидиям на иные цели, из них в рамках реализации РП «Модернизация первичного звена здравоохранения Росси</w:t>
      </w:r>
      <w:r w:rsidR="003C776F" w:rsidRPr="00FD7B0B">
        <w:rPr>
          <w:rFonts w:ascii="Times New Roman" w:eastAsia="Calibri" w:hAnsi="Times New Roman" w:cs="Times New Roman"/>
          <w:sz w:val="28"/>
          <w:szCs w:val="28"/>
        </w:rPr>
        <w:t>йской Федерации» – 2,4 млн.руб.</w:t>
      </w:r>
    </w:p>
    <w:p w14:paraId="23EF0E9F" w14:textId="64A1F1B8" w:rsidR="00D97B4C" w:rsidRPr="00FD7B0B" w:rsidRDefault="00D97B4C" w:rsidP="003C77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4. Министерством образования и науки Архангельской области – 1 555,9 млн.руб. (100,0 % к плану года), из них контрактуемые расходы – 536,3 млн.руб., межбюджетные трансферты местным бюджетам – 147,5 млн.руб. и грант в форме субсидии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w:t>
      </w:r>
      <w:r w:rsidR="003C776F" w:rsidRPr="00FD7B0B">
        <w:rPr>
          <w:rFonts w:ascii="Times New Roman" w:eastAsia="Calibri" w:hAnsi="Times New Roman" w:cs="Times New Roman"/>
          <w:sz w:val="28"/>
          <w:szCs w:val="28"/>
        </w:rPr>
        <w:t xml:space="preserve"> Архангельска» – 861,0 млн.руб.</w:t>
      </w:r>
    </w:p>
    <w:p w14:paraId="25109E23" w14:textId="2E1FDA43" w:rsidR="00D97B4C" w:rsidRPr="00FD7B0B" w:rsidRDefault="00D97B4C" w:rsidP="003C776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5. Министерством транспорта Архангельской области – 7 088,6 млн.руб. (исполнено на 99,3 %), из которых контрактуемые расходы составили – 6 349,9 млн.руб. (99,3 %), которые направлены на приведение в нормативное состояние автомобильных дорог и искусственных дорожных сооружений, где расходы на капитальный ремонт автомобильных дорог </w:t>
      </w:r>
      <w:r w:rsidR="00CC7858" w:rsidRPr="00FD7B0B">
        <w:rPr>
          <w:rFonts w:ascii="Times New Roman" w:eastAsia="Calibri" w:hAnsi="Times New Roman" w:cs="Times New Roman"/>
          <w:sz w:val="28"/>
          <w:szCs w:val="28"/>
        </w:rPr>
        <w:t xml:space="preserve">произведены в сумме </w:t>
      </w:r>
      <w:r w:rsidRPr="00FD7B0B">
        <w:rPr>
          <w:rFonts w:ascii="Times New Roman" w:eastAsia="Calibri" w:hAnsi="Times New Roman" w:cs="Times New Roman"/>
          <w:sz w:val="28"/>
          <w:szCs w:val="28"/>
        </w:rPr>
        <w:t>3 052,7 млн.руб. (100,0 %). Сумма неисполненных назначений составила 42,0 млн.руб. по расходам на финансовое обеспечение дорожной деятельности в рамках реализации РП «Региональная и местная дорожная сеть», входящего в состав НП РФ «</w:t>
      </w:r>
      <w:r w:rsidR="00CC7858" w:rsidRPr="00FD7B0B">
        <w:rPr>
          <w:rFonts w:ascii="Times New Roman" w:eastAsia="Calibri" w:hAnsi="Times New Roman" w:cs="Times New Roman"/>
          <w:sz w:val="28"/>
          <w:szCs w:val="28"/>
        </w:rPr>
        <w:t>Безопасные качественные дороги».</w:t>
      </w:r>
    </w:p>
    <w:p w14:paraId="098F7D49" w14:textId="01B32C9D" w:rsidR="00D97B4C" w:rsidRPr="00FD7B0B" w:rsidRDefault="00D97B4C" w:rsidP="00CC785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Межбюджетные трансферты муниципальным образованиям Архангельской области перечислены в сумме 738,7 млн.руб. (98,5 % к плану года), и сумма неисполненных назначений составила 11,3 млн.руб., из них </w:t>
      </w:r>
      <w:r w:rsidR="00CC7858" w:rsidRPr="00FD7B0B">
        <w:rPr>
          <w:rFonts w:ascii="Times New Roman" w:eastAsia="Calibri" w:hAnsi="Times New Roman" w:cs="Times New Roman"/>
          <w:sz w:val="28"/>
          <w:szCs w:val="28"/>
        </w:rPr>
        <w:t>на</w:t>
      </w:r>
      <w:r w:rsidRPr="00FD7B0B">
        <w:rPr>
          <w:rFonts w:ascii="Times New Roman" w:eastAsia="Calibri" w:hAnsi="Times New Roman" w:cs="Times New Roman"/>
          <w:sz w:val="28"/>
          <w:szCs w:val="28"/>
        </w:rPr>
        <w:t xml:space="preserve"> финансово</w:t>
      </w:r>
      <w:r w:rsidR="00CC7858" w:rsidRPr="00FD7B0B">
        <w:rPr>
          <w:rFonts w:ascii="Times New Roman" w:eastAsia="Calibri" w:hAnsi="Times New Roman" w:cs="Times New Roman"/>
          <w:sz w:val="28"/>
          <w:szCs w:val="28"/>
        </w:rPr>
        <w:t>е</w:t>
      </w:r>
      <w:r w:rsidRPr="00FD7B0B">
        <w:rPr>
          <w:rFonts w:ascii="Times New Roman" w:eastAsia="Calibri" w:hAnsi="Times New Roman" w:cs="Times New Roman"/>
          <w:sz w:val="28"/>
          <w:szCs w:val="28"/>
        </w:rPr>
        <w:t xml:space="preserve"> обеспечени</w:t>
      </w:r>
      <w:r w:rsidR="00CC7858" w:rsidRPr="00FD7B0B">
        <w:rPr>
          <w:rFonts w:ascii="Times New Roman" w:eastAsia="Calibri" w:hAnsi="Times New Roman" w:cs="Times New Roman"/>
          <w:sz w:val="28"/>
          <w:szCs w:val="28"/>
        </w:rPr>
        <w:t>е</w:t>
      </w:r>
      <w:r w:rsidRPr="00FD7B0B">
        <w:rPr>
          <w:rFonts w:ascii="Times New Roman" w:eastAsia="Calibri" w:hAnsi="Times New Roman" w:cs="Times New Roman"/>
          <w:sz w:val="28"/>
          <w:szCs w:val="28"/>
        </w:rPr>
        <w:t xml:space="preserve"> дорожной деятельности в рамках реализации РП «Региональная и местная дорожная сеть» – 8,8 млн.руб. и 2,5 млн.руб. – на модернизацию нерегулируемых пешеходных переходов, светофорных объектов </w:t>
      </w:r>
      <w:r w:rsidRPr="00FD7B0B">
        <w:rPr>
          <w:rFonts w:ascii="Times New Roman" w:eastAsia="Calibri" w:hAnsi="Times New Roman" w:cs="Times New Roman"/>
          <w:sz w:val="28"/>
          <w:szCs w:val="28"/>
        </w:rPr>
        <w:lastRenderedPageBreak/>
        <w:t>и установку светофорных объектов, пешеходных ограждений на автомобильных дорогах общего пользования местного значения.</w:t>
      </w:r>
    </w:p>
    <w:p w14:paraId="60C60174" w14:textId="7BC7454A" w:rsidR="00D97B4C" w:rsidRPr="00FD7B0B" w:rsidRDefault="00D97B4C" w:rsidP="005B73D2">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6. Министерством труда, занятости и социального развития Архангельской области – 1 348,9 млн.руб. (исполнено на 96,4 %), из них </w:t>
      </w:r>
      <w:r w:rsidR="005B73D2" w:rsidRPr="00FD7B0B">
        <w:rPr>
          <w:rFonts w:ascii="Times New Roman" w:eastAsia="Calibri" w:hAnsi="Times New Roman" w:cs="Times New Roman"/>
          <w:sz w:val="28"/>
          <w:szCs w:val="28"/>
        </w:rPr>
        <w:t xml:space="preserve">расходы на </w:t>
      </w:r>
      <w:r w:rsidRPr="00FD7B0B">
        <w:rPr>
          <w:rFonts w:ascii="Times New Roman" w:eastAsia="Calibri" w:hAnsi="Times New Roman" w:cs="Times New Roman"/>
          <w:sz w:val="28"/>
          <w:szCs w:val="28"/>
        </w:rPr>
        <w:t>социальное обеспечение и иные выплаты населению составили 906,1 млн.руб. (100,0 %). Контрактуемые расходы в виде закупок товаров, работ и услуг составили 298,8 млн.руб. (85,7 %), и сумма неисполненных назначений года составила 50,0 млн.руб., в большей части по реализации РП АО «Содействие занятости» по мероприятиям, связанным с повышением эффективности службы занятости, в связи с нарушением подрядными организациями сроков испол</w:t>
      </w:r>
      <w:r w:rsidR="005B73D2" w:rsidRPr="00FD7B0B">
        <w:rPr>
          <w:rFonts w:ascii="Times New Roman" w:eastAsia="Calibri" w:hAnsi="Times New Roman" w:cs="Times New Roman"/>
          <w:sz w:val="28"/>
          <w:szCs w:val="28"/>
        </w:rPr>
        <w:t>нения и иных условий контрактов</w:t>
      </w:r>
      <w:r w:rsidRPr="00FD7B0B">
        <w:rPr>
          <w:rFonts w:ascii="Times New Roman" w:eastAsia="Calibri" w:hAnsi="Times New Roman" w:cs="Times New Roman"/>
          <w:sz w:val="28"/>
          <w:szCs w:val="28"/>
        </w:rPr>
        <w:t>.</w:t>
      </w:r>
    </w:p>
    <w:p w14:paraId="2732B83A" w14:textId="77777777" w:rsidR="00D97B4C" w:rsidRPr="00FD7B0B" w:rsidRDefault="00D97B4C" w:rsidP="005B73D2">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результате, в 2024 году указанными главными распорядителями осуществлено 88.8 % всех расходов из областного бюджета, направленных на реализацию национальных проектов РФ.</w:t>
      </w:r>
    </w:p>
    <w:p w14:paraId="5FD250ED" w14:textId="77777777" w:rsidR="00D97B4C" w:rsidRPr="00FD7B0B" w:rsidRDefault="00D97B4C" w:rsidP="00E80ED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Наиболее низкий уровень расходов на реализацию НП РФ в 2024 году осуществлен (меньше 99,1 %):</w:t>
      </w:r>
    </w:p>
    <w:p w14:paraId="2277755B" w14:textId="77777777" w:rsidR="00D97B4C" w:rsidRPr="00FD7B0B" w:rsidRDefault="00D97B4C" w:rsidP="00E80ED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А) Министерством природных ресурсов и лесопромышленного комплекса – 96,5 %. Не исполнено 30,0 млн.руб. по закупкам в рамках реализации РП АО «Стимулирование спроса на отечественные беспилотные авиационные системы» т.к. оплата осуществляется «по факту»;</w:t>
      </w:r>
    </w:p>
    <w:p w14:paraId="5BDDF50E" w14:textId="77777777" w:rsidR="00D97B4C" w:rsidRPr="00FD7B0B" w:rsidRDefault="00D97B4C" w:rsidP="00E80ED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Б) Министерство труда, занятости и социального развития – 96,4 %, где не исполнено 50,5 млн.руб. и основные причины отражены выше.</w:t>
      </w:r>
    </w:p>
    <w:p w14:paraId="6D0F017C" w14:textId="52A5C73E" w:rsidR="00D97B4C" w:rsidRPr="00FD7B0B" w:rsidRDefault="00D97B4C" w:rsidP="00E80ED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разрезе направлений расходов, наибольшие расходы областного бюджета за 2024 год (свыше </w:t>
      </w:r>
      <w:r w:rsidR="00D34F50" w:rsidRPr="00FD7B0B">
        <w:rPr>
          <w:rFonts w:ascii="Times New Roman" w:eastAsia="Calibri" w:hAnsi="Times New Roman" w:cs="Times New Roman"/>
          <w:sz w:val="28"/>
          <w:szCs w:val="28"/>
        </w:rPr>
        <w:t>4</w:t>
      </w:r>
      <w:r w:rsidRPr="00FD7B0B">
        <w:rPr>
          <w:rFonts w:ascii="Times New Roman" w:eastAsia="Calibri" w:hAnsi="Times New Roman" w:cs="Times New Roman"/>
          <w:sz w:val="28"/>
          <w:szCs w:val="28"/>
        </w:rPr>
        <w:t xml:space="preserve">00 млн.руб.) направлены на цели, отраженные в таблице </w:t>
      </w:r>
      <w:r w:rsidR="00424B5A" w:rsidRPr="00FD7B0B">
        <w:rPr>
          <w:rFonts w:ascii="Times New Roman" w:eastAsia="Calibri" w:hAnsi="Times New Roman" w:cs="Times New Roman"/>
          <w:sz w:val="28"/>
          <w:szCs w:val="28"/>
        </w:rPr>
        <w:t>252</w:t>
      </w:r>
      <w:r w:rsidRPr="00FD7B0B">
        <w:rPr>
          <w:rFonts w:ascii="Times New Roman" w:eastAsia="Calibri" w:hAnsi="Times New Roman" w:cs="Times New Roman"/>
          <w:sz w:val="28"/>
          <w:szCs w:val="28"/>
        </w:rPr>
        <w:t>.</w:t>
      </w:r>
    </w:p>
    <w:p w14:paraId="73B8E55C" w14:textId="77777777" w:rsidR="00D97B4C" w:rsidRPr="00FD7B0B" w:rsidRDefault="00D97B4C" w:rsidP="00E80EDE">
      <w:pPr>
        <w:spacing w:after="0" w:line="240" w:lineRule="auto"/>
        <w:rPr>
          <w:rFonts w:ascii="Times New Roman" w:eastAsia="Calibri" w:hAnsi="Times New Roman" w:cs="Times New Roman"/>
          <w:bCs/>
          <w:sz w:val="24"/>
          <w:szCs w:val="24"/>
        </w:rPr>
      </w:pPr>
    </w:p>
    <w:p w14:paraId="1743E93E" w14:textId="77777777" w:rsidR="00D97B4C" w:rsidRPr="00FD7B0B" w:rsidRDefault="00D97B4C" w:rsidP="00E80EDE">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252</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Наибольшие суммы расходов областного бюджета за 2024 год, направленные на реализацию национальных проектов, в разрезе направлений расходов бюджетной классификации РФ, млн.руб.</w:t>
      </w:r>
    </w:p>
    <w:tbl>
      <w:tblPr>
        <w:tblW w:w="9992" w:type="dxa"/>
        <w:tblInd w:w="-307" w:type="dxa"/>
        <w:tblLook w:val="04A0" w:firstRow="1" w:lastRow="0" w:firstColumn="1" w:lastColumn="0" w:noHBand="0" w:noVBand="1"/>
      </w:tblPr>
      <w:tblGrid>
        <w:gridCol w:w="7230"/>
        <w:gridCol w:w="992"/>
        <w:gridCol w:w="954"/>
        <w:gridCol w:w="816"/>
      </w:tblGrid>
      <w:tr w:rsidR="00FD7B0B" w:rsidRPr="00FD7B0B" w14:paraId="360F9013" w14:textId="77777777" w:rsidTr="00E80EDE">
        <w:trPr>
          <w:trHeight w:val="35"/>
          <w:tblHeader/>
        </w:trPr>
        <w:tc>
          <w:tcPr>
            <w:tcW w:w="723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357BBE1" w14:textId="77777777" w:rsidR="00D97B4C" w:rsidRPr="00FD7B0B" w:rsidRDefault="00D97B4C" w:rsidP="00E80EDE">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77CF5DBC" w14:textId="77777777" w:rsidR="00D97B4C" w:rsidRPr="00FD7B0B" w:rsidRDefault="00D97B4C" w:rsidP="00E80EDE">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Утвер-ждено</w:t>
            </w:r>
          </w:p>
        </w:tc>
        <w:tc>
          <w:tcPr>
            <w:tcW w:w="954" w:type="dxa"/>
            <w:tcBorders>
              <w:top w:val="double" w:sz="6" w:space="0" w:color="auto"/>
              <w:left w:val="nil"/>
              <w:bottom w:val="single" w:sz="4" w:space="0" w:color="auto"/>
              <w:right w:val="single" w:sz="4" w:space="0" w:color="auto"/>
            </w:tcBorders>
            <w:shd w:val="clear" w:color="auto" w:fill="auto"/>
            <w:vAlign w:val="center"/>
            <w:hideMark/>
          </w:tcPr>
          <w:p w14:paraId="694BDB92" w14:textId="77777777" w:rsidR="00D97B4C" w:rsidRPr="00FD7B0B" w:rsidRDefault="00D97B4C" w:rsidP="00E80EDE">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Испол-нено</w:t>
            </w:r>
          </w:p>
        </w:tc>
        <w:tc>
          <w:tcPr>
            <w:tcW w:w="816" w:type="dxa"/>
            <w:tcBorders>
              <w:top w:val="double" w:sz="6" w:space="0" w:color="auto"/>
              <w:left w:val="nil"/>
              <w:bottom w:val="single" w:sz="4" w:space="0" w:color="auto"/>
              <w:right w:val="double" w:sz="6" w:space="0" w:color="auto"/>
            </w:tcBorders>
            <w:shd w:val="clear" w:color="auto" w:fill="auto"/>
            <w:vAlign w:val="center"/>
            <w:hideMark/>
          </w:tcPr>
          <w:p w14:paraId="1E336DFF" w14:textId="77777777" w:rsidR="00D97B4C" w:rsidRPr="00FD7B0B" w:rsidRDefault="00D97B4C" w:rsidP="00E80EDE">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35D2D9AB" w14:textId="77777777" w:rsidTr="00E80EDE">
        <w:trPr>
          <w:trHeight w:val="255"/>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0E170AD6" w14:textId="40133B10" w:rsidR="00D97B4C" w:rsidRPr="00FD7B0B" w:rsidRDefault="00D97B4C" w:rsidP="00D34F50">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Всего расходы на НП РФ, из них (более </w:t>
            </w:r>
            <w:r w:rsidR="00D34F50" w:rsidRPr="00FD7B0B">
              <w:rPr>
                <w:rFonts w:ascii="Times New Roman" w:eastAsia="Times New Roman" w:hAnsi="Times New Roman" w:cs="Times New Roman"/>
                <w:b/>
                <w:bCs/>
                <w:sz w:val="21"/>
                <w:szCs w:val="21"/>
                <w:lang w:eastAsia="ru-RU"/>
              </w:rPr>
              <w:t>4</w:t>
            </w:r>
            <w:r w:rsidRPr="00FD7B0B">
              <w:rPr>
                <w:rFonts w:ascii="Times New Roman" w:eastAsia="Times New Roman" w:hAnsi="Times New Roman" w:cs="Times New Roman"/>
                <w:b/>
                <w:bCs/>
                <w:sz w:val="21"/>
                <w:szCs w:val="21"/>
                <w:lang w:eastAsia="ru-RU"/>
              </w:rPr>
              <w:t>00,0 млн.руб.):</w:t>
            </w:r>
          </w:p>
        </w:tc>
        <w:tc>
          <w:tcPr>
            <w:tcW w:w="992" w:type="dxa"/>
            <w:tcBorders>
              <w:top w:val="nil"/>
              <w:left w:val="nil"/>
              <w:bottom w:val="single" w:sz="4" w:space="0" w:color="auto"/>
              <w:right w:val="single" w:sz="4" w:space="0" w:color="auto"/>
            </w:tcBorders>
            <w:shd w:val="clear" w:color="auto" w:fill="auto"/>
            <w:vAlign w:val="center"/>
            <w:hideMark/>
          </w:tcPr>
          <w:p w14:paraId="250776BB" w14:textId="77777777" w:rsidR="00D97B4C" w:rsidRPr="00FD7B0B" w:rsidRDefault="00D97B4C" w:rsidP="00E80EDE">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19 637,8 </w:t>
            </w:r>
          </w:p>
        </w:tc>
        <w:tc>
          <w:tcPr>
            <w:tcW w:w="954" w:type="dxa"/>
            <w:tcBorders>
              <w:top w:val="nil"/>
              <w:left w:val="nil"/>
              <w:bottom w:val="single" w:sz="4" w:space="0" w:color="auto"/>
              <w:right w:val="single" w:sz="4" w:space="0" w:color="auto"/>
            </w:tcBorders>
            <w:shd w:val="clear" w:color="auto" w:fill="auto"/>
            <w:vAlign w:val="center"/>
            <w:hideMark/>
          </w:tcPr>
          <w:p w14:paraId="2A62A63F" w14:textId="77777777" w:rsidR="00D97B4C" w:rsidRPr="00FD7B0B" w:rsidRDefault="00D97B4C" w:rsidP="00E80EDE">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19 470,3 </w:t>
            </w:r>
          </w:p>
        </w:tc>
        <w:tc>
          <w:tcPr>
            <w:tcW w:w="816" w:type="dxa"/>
            <w:tcBorders>
              <w:top w:val="nil"/>
              <w:left w:val="nil"/>
              <w:bottom w:val="single" w:sz="4" w:space="0" w:color="auto"/>
              <w:right w:val="double" w:sz="6" w:space="0" w:color="auto"/>
            </w:tcBorders>
            <w:shd w:val="clear" w:color="auto" w:fill="auto"/>
            <w:vAlign w:val="center"/>
            <w:hideMark/>
          </w:tcPr>
          <w:p w14:paraId="25908F36" w14:textId="77777777" w:rsidR="00D97B4C" w:rsidRPr="00FD7B0B" w:rsidRDefault="00D97B4C" w:rsidP="00E80EDE">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99,1 </w:t>
            </w:r>
          </w:p>
        </w:tc>
      </w:tr>
      <w:tr w:rsidR="00FD7B0B" w:rsidRPr="00FD7B0B" w14:paraId="20B86A05"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69BA0B85"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Строительство и реконструкция (модернизация) объектов питьевого водоснабжения (субсидии…на софинансирование капитальных вложений в объекты муниципальной собственности)</w:t>
            </w:r>
          </w:p>
        </w:tc>
        <w:tc>
          <w:tcPr>
            <w:tcW w:w="992" w:type="dxa"/>
            <w:tcBorders>
              <w:top w:val="nil"/>
              <w:left w:val="nil"/>
              <w:bottom w:val="single" w:sz="4" w:space="0" w:color="auto"/>
              <w:right w:val="single" w:sz="4" w:space="0" w:color="auto"/>
            </w:tcBorders>
            <w:shd w:val="clear" w:color="auto" w:fill="auto"/>
            <w:vAlign w:val="center"/>
            <w:hideMark/>
          </w:tcPr>
          <w:p w14:paraId="2158E8A7"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497,7 </w:t>
            </w:r>
          </w:p>
        </w:tc>
        <w:tc>
          <w:tcPr>
            <w:tcW w:w="954" w:type="dxa"/>
            <w:tcBorders>
              <w:top w:val="nil"/>
              <w:left w:val="nil"/>
              <w:bottom w:val="single" w:sz="4" w:space="0" w:color="auto"/>
              <w:right w:val="single" w:sz="4" w:space="0" w:color="auto"/>
            </w:tcBorders>
            <w:shd w:val="clear" w:color="auto" w:fill="auto"/>
            <w:vAlign w:val="center"/>
            <w:hideMark/>
          </w:tcPr>
          <w:p w14:paraId="6AE20164"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497,7 </w:t>
            </w:r>
          </w:p>
        </w:tc>
        <w:tc>
          <w:tcPr>
            <w:tcW w:w="816" w:type="dxa"/>
            <w:tcBorders>
              <w:top w:val="nil"/>
              <w:left w:val="nil"/>
              <w:bottom w:val="single" w:sz="4" w:space="0" w:color="auto"/>
              <w:right w:val="double" w:sz="6" w:space="0" w:color="auto"/>
            </w:tcBorders>
            <w:shd w:val="clear" w:color="auto" w:fill="auto"/>
            <w:vAlign w:val="center"/>
            <w:hideMark/>
          </w:tcPr>
          <w:p w14:paraId="7B5C5867"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74A7DB93"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5DC80C5E" w14:textId="5E251409" w:rsidR="00D97B4C" w:rsidRPr="00FD7B0B" w:rsidRDefault="00D97B4C" w:rsidP="00EE6F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Создание новых мест в общеобразовательных организациях в связи с ростом числа обучающихся, вызванным демографическим фактором (субсидия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w:t>
            </w:r>
            <w:r w:rsidR="00EE6F4B" w:rsidRPr="00FD7B0B">
              <w:rPr>
                <w:rFonts w:ascii="Times New Roman" w:eastAsia="Times New Roman" w:hAnsi="Times New Roman" w:cs="Times New Roman"/>
                <w:sz w:val="21"/>
                <w:szCs w:val="21"/>
                <w:lang w:eastAsia="ru-RU"/>
              </w:rPr>
              <w:t>т</w:t>
            </w:r>
            <w:r w:rsidRPr="00FD7B0B">
              <w:rPr>
                <w:rFonts w:ascii="Times New Roman" w:eastAsia="Times New Roman" w:hAnsi="Times New Roman" w:cs="Times New Roman"/>
                <w:sz w:val="21"/>
                <w:szCs w:val="21"/>
                <w:lang w:eastAsia="ru-RU"/>
              </w:rPr>
              <w:t>ер. округе Майская горка г. Архангельска")</w:t>
            </w:r>
          </w:p>
        </w:tc>
        <w:tc>
          <w:tcPr>
            <w:tcW w:w="992" w:type="dxa"/>
            <w:tcBorders>
              <w:top w:val="nil"/>
              <w:left w:val="nil"/>
              <w:bottom w:val="single" w:sz="4" w:space="0" w:color="auto"/>
              <w:right w:val="single" w:sz="4" w:space="0" w:color="auto"/>
            </w:tcBorders>
            <w:shd w:val="clear" w:color="auto" w:fill="auto"/>
            <w:vAlign w:val="center"/>
            <w:hideMark/>
          </w:tcPr>
          <w:p w14:paraId="5E8F6816"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861,0 </w:t>
            </w:r>
          </w:p>
        </w:tc>
        <w:tc>
          <w:tcPr>
            <w:tcW w:w="954" w:type="dxa"/>
            <w:tcBorders>
              <w:top w:val="nil"/>
              <w:left w:val="nil"/>
              <w:bottom w:val="single" w:sz="4" w:space="0" w:color="auto"/>
              <w:right w:val="single" w:sz="4" w:space="0" w:color="auto"/>
            </w:tcBorders>
            <w:shd w:val="clear" w:color="auto" w:fill="auto"/>
            <w:vAlign w:val="center"/>
            <w:hideMark/>
          </w:tcPr>
          <w:p w14:paraId="3E98EA16"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861,0 </w:t>
            </w:r>
          </w:p>
        </w:tc>
        <w:tc>
          <w:tcPr>
            <w:tcW w:w="816" w:type="dxa"/>
            <w:tcBorders>
              <w:top w:val="nil"/>
              <w:left w:val="nil"/>
              <w:bottom w:val="single" w:sz="4" w:space="0" w:color="auto"/>
              <w:right w:val="double" w:sz="6" w:space="0" w:color="auto"/>
            </w:tcBorders>
            <w:shd w:val="clear" w:color="auto" w:fill="auto"/>
            <w:vAlign w:val="center"/>
            <w:hideMark/>
          </w:tcPr>
          <w:p w14:paraId="0B591C85"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28F828D3"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1A0DDC3B"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Реализация региональных проектов модернизации первичного звена здравоохранения (новое строительство (реконструкция) объектов медицинских организаций)</w:t>
            </w:r>
          </w:p>
        </w:tc>
        <w:tc>
          <w:tcPr>
            <w:tcW w:w="992" w:type="dxa"/>
            <w:tcBorders>
              <w:top w:val="nil"/>
              <w:left w:val="nil"/>
              <w:bottom w:val="single" w:sz="4" w:space="0" w:color="auto"/>
              <w:right w:val="single" w:sz="4" w:space="0" w:color="auto"/>
            </w:tcBorders>
            <w:shd w:val="clear" w:color="auto" w:fill="auto"/>
            <w:vAlign w:val="center"/>
            <w:hideMark/>
          </w:tcPr>
          <w:p w14:paraId="20C683B9"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458,6 </w:t>
            </w:r>
          </w:p>
        </w:tc>
        <w:tc>
          <w:tcPr>
            <w:tcW w:w="954" w:type="dxa"/>
            <w:tcBorders>
              <w:top w:val="nil"/>
              <w:left w:val="nil"/>
              <w:bottom w:val="single" w:sz="4" w:space="0" w:color="auto"/>
              <w:right w:val="single" w:sz="4" w:space="0" w:color="auto"/>
            </w:tcBorders>
            <w:shd w:val="clear" w:color="auto" w:fill="auto"/>
            <w:vAlign w:val="center"/>
            <w:hideMark/>
          </w:tcPr>
          <w:p w14:paraId="7AB82433"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441,2 </w:t>
            </w:r>
          </w:p>
        </w:tc>
        <w:tc>
          <w:tcPr>
            <w:tcW w:w="816" w:type="dxa"/>
            <w:tcBorders>
              <w:top w:val="nil"/>
              <w:left w:val="nil"/>
              <w:bottom w:val="single" w:sz="4" w:space="0" w:color="auto"/>
              <w:right w:val="double" w:sz="6" w:space="0" w:color="auto"/>
            </w:tcBorders>
            <w:shd w:val="clear" w:color="auto" w:fill="auto"/>
            <w:vAlign w:val="center"/>
            <w:hideMark/>
          </w:tcPr>
          <w:p w14:paraId="0551AA1F"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96,2 </w:t>
            </w:r>
          </w:p>
        </w:tc>
      </w:tr>
      <w:tr w:rsidR="00FD7B0B" w:rsidRPr="00FD7B0B" w14:paraId="533EA463"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5342FE05"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Финансовое обеспечение дорожной деятельности в рамках реализации национального проекта "Безопасные качественные дороги" (приведение в нормативное состояние региональных автомобильных дорог и искусственных дорожных сооружений, осуществляемое ГКУ АО "Дорожное агентство "Архангельскавтодор")</w:t>
            </w:r>
          </w:p>
        </w:tc>
        <w:tc>
          <w:tcPr>
            <w:tcW w:w="992" w:type="dxa"/>
            <w:tcBorders>
              <w:top w:val="nil"/>
              <w:left w:val="nil"/>
              <w:bottom w:val="single" w:sz="4" w:space="0" w:color="auto"/>
              <w:right w:val="single" w:sz="4" w:space="0" w:color="auto"/>
            </w:tcBorders>
            <w:shd w:val="clear" w:color="auto" w:fill="auto"/>
            <w:vAlign w:val="center"/>
            <w:hideMark/>
          </w:tcPr>
          <w:p w14:paraId="4C17D7B6"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4 169,9 </w:t>
            </w:r>
          </w:p>
        </w:tc>
        <w:tc>
          <w:tcPr>
            <w:tcW w:w="954" w:type="dxa"/>
            <w:tcBorders>
              <w:top w:val="nil"/>
              <w:left w:val="nil"/>
              <w:bottom w:val="single" w:sz="4" w:space="0" w:color="auto"/>
              <w:right w:val="single" w:sz="4" w:space="0" w:color="auto"/>
            </w:tcBorders>
            <w:shd w:val="clear" w:color="auto" w:fill="auto"/>
            <w:vAlign w:val="center"/>
            <w:hideMark/>
          </w:tcPr>
          <w:p w14:paraId="49BB4F69"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4 127,9 </w:t>
            </w:r>
          </w:p>
        </w:tc>
        <w:tc>
          <w:tcPr>
            <w:tcW w:w="816" w:type="dxa"/>
            <w:tcBorders>
              <w:top w:val="nil"/>
              <w:left w:val="nil"/>
              <w:bottom w:val="single" w:sz="4" w:space="0" w:color="auto"/>
              <w:right w:val="double" w:sz="6" w:space="0" w:color="auto"/>
            </w:tcBorders>
            <w:shd w:val="clear" w:color="auto" w:fill="auto"/>
            <w:vAlign w:val="center"/>
            <w:hideMark/>
          </w:tcPr>
          <w:p w14:paraId="31E2575F"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99,0 </w:t>
            </w:r>
          </w:p>
        </w:tc>
      </w:tr>
      <w:tr w:rsidR="00FD7B0B" w:rsidRPr="00FD7B0B" w14:paraId="70B50682"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253551BE"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lastRenderedPageBreak/>
              <w:t>Финансовое обеспечение дорожной деятельности в рамках реализации национального проекта "Безопасные качественные дороги" (иные межбюджетные трансферты местным бюджетам, включенных в Архангельскую агломерацию (сверх соглашения с федеральным органом государственной власти))</w:t>
            </w:r>
          </w:p>
        </w:tc>
        <w:tc>
          <w:tcPr>
            <w:tcW w:w="992" w:type="dxa"/>
            <w:tcBorders>
              <w:top w:val="nil"/>
              <w:left w:val="nil"/>
              <w:bottom w:val="single" w:sz="4" w:space="0" w:color="auto"/>
              <w:right w:val="single" w:sz="4" w:space="0" w:color="auto"/>
            </w:tcBorders>
            <w:shd w:val="clear" w:color="auto" w:fill="auto"/>
            <w:vAlign w:val="center"/>
            <w:hideMark/>
          </w:tcPr>
          <w:p w14:paraId="098DAF75"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710,0 </w:t>
            </w:r>
          </w:p>
        </w:tc>
        <w:tc>
          <w:tcPr>
            <w:tcW w:w="954" w:type="dxa"/>
            <w:tcBorders>
              <w:top w:val="nil"/>
              <w:left w:val="nil"/>
              <w:bottom w:val="single" w:sz="4" w:space="0" w:color="auto"/>
              <w:right w:val="single" w:sz="4" w:space="0" w:color="auto"/>
            </w:tcBorders>
            <w:shd w:val="clear" w:color="auto" w:fill="auto"/>
            <w:vAlign w:val="center"/>
            <w:hideMark/>
          </w:tcPr>
          <w:p w14:paraId="1B90CF48"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701,2 </w:t>
            </w:r>
          </w:p>
        </w:tc>
        <w:tc>
          <w:tcPr>
            <w:tcW w:w="816" w:type="dxa"/>
            <w:tcBorders>
              <w:top w:val="nil"/>
              <w:left w:val="nil"/>
              <w:bottom w:val="single" w:sz="4" w:space="0" w:color="auto"/>
              <w:right w:val="double" w:sz="6" w:space="0" w:color="auto"/>
            </w:tcBorders>
            <w:shd w:val="clear" w:color="auto" w:fill="auto"/>
            <w:vAlign w:val="center"/>
            <w:hideMark/>
          </w:tcPr>
          <w:p w14:paraId="1D6CC457"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98,8 </w:t>
            </w:r>
          </w:p>
        </w:tc>
      </w:tr>
      <w:tr w:rsidR="00FD7B0B" w:rsidRPr="00FD7B0B" w14:paraId="17B5BA95"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6BC79F50"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Приведение в нормативное состояние автомобильных дорог и искусственных дорожных сооружений</w:t>
            </w:r>
          </w:p>
        </w:tc>
        <w:tc>
          <w:tcPr>
            <w:tcW w:w="992" w:type="dxa"/>
            <w:tcBorders>
              <w:top w:val="nil"/>
              <w:left w:val="nil"/>
              <w:bottom w:val="single" w:sz="4" w:space="0" w:color="auto"/>
              <w:right w:val="single" w:sz="4" w:space="0" w:color="auto"/>
            </w:tcBorders>
            <w:shd w:val="clear" w:color="auto" w:fill="auto"/>
            <w:vAlign w:val="center"/>
            <w:hideMark/>
          </w:tcPr>
          <w:p w14:paraId="6437A417"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2 018,0 </w:t>
            </w:r>
          </w:p>
        </w:tc>
        <w:tc>
          <w:tcPr>
            <w:tcW w:w="954" w:type="dxa"/>
            <w:tcBorders>
              <w:top w:val="nil"/>
              <w:left w:val="nil"/>
              <w:bottom w:val="single" w:sz="4" w:space="0" w:color="auto"/>
              <w:right w:val="single" w:sz="4" w:space="0" w:color="auto"/>
            </w:tcBorders>
            <w:shd w:val="clear" w:color="auto" w:fill="auto"/>
            <w:vAlign w:val="center"/>
            <w:hideMark/>
          </w:tcPr>
          <w:p w14:paraId="459EF314"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2 018,0 </w:t>
            </w:r>
          </w:p>
        </w:tc>
        <w:tc>
          <w:tcPr>
            <w:tcW w:w="816" w:type="dxa"/>
            <w:tcBorders>
              <w:top w:val="nil"/>
              <w:left w:val="nil"/>
              <w:bottom w:val="single" w:sz="4" w:space="0" w:color="auto"/>
              <w:right w:val="double" w:sz="6" w:space="0" w:color="auto"/>
            </w:tcBorders>
            <w:shd w:val="clear" w:color="auto" w:fill="auto"/>
            <w:vAlign w:val="center"/>
            <w:hideMark/>
          </w:tcPr>
          <w:p w14:paraId="7DE00F3E"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1C370F80"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31C39FC0"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Создание новых мест в общеобразовательных организациях</w:t>
            </w:r>
          </w:p>
        </w:tc>
        <w:tc>
          <w:tcPr>
            <w:tcW w:w="992" w:type="dxa"/>
            <w:tcBorders>
              <w:top w:val="nil"/>
              <w:left w:val="nil"/>
              <w:bottom w:val="single" w:sz="4" w:space="0" w:color="auto"/>
              <w:right w:val="single" w:sz="4" w:space="0" w:color="auto"/>
            </w:tcBorders>
            <w:shd w:val="clear" w:color="auto" w:fill="auto"/>
            <w:vAlign w:val="center"/>
            <w:hideMark/>
          </w:tcPr>
          <w:p w14:paraId="38D45660"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994,4 </w:t>
            </w:r>
          </w:p>
        </w:tc>
        <w:tc>
          <w:tcPr>
            <w:tcW w:w="954" w:type="dxa"/>
            <w:tcBorders>
              <w:top w:val="nil"/>
              <w:left w:val="nil"/>
              <w:bottom w:val="single" w:sz="4" w:space="0" w:color="auto"/>
              <w:right w:val="single" w:sz="4" w:space="0" w:color="auto"/>
            </w:tcBorders>
            <w:shd w:val="clear" w:color="auto" w:fill="auto"/>
            <w:vAlign w:val="center"/>
            <w:hideMark/>
          </w:tcPr>
          <w:p w14:paraId="4502819C"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994,4 </w:t>
            </w:r>
          </w:p>
        </w:tc>
        <w:tc>
          <w:tcPr>
            <w:tcW w:w="816" w:type="dxa"/>
            <w:tcBorders>
              <w:top w:val="nil"/>
              <w:left w:val="nil"/>
              <w:bottom w:val="single" w:sz="4" w:space="0" w:color="auto"/>
              <w:right w:val="double" w:sz="6" w:space="0" w:color="auto"/>
            </w:tcBorders>
            <w:shd w:val="clear" w:color="auto" w:fill="auto"/>
            <w:vAlign w:val="center"/>
            <w:hideMark/>
          </w:tcPr>
          <w:p w14:paraId="0C330442"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6B24DC6A"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075A6BD5"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Создание новых мест в общеобразовательных организациях (сверх соглашения с федеральным органом государственной власти)</w:t>
            </w:r>
          </w:p>
        </w:tc>
        <w:tc>
          <w:tcPr>
            <w:tcW w:w="992" w:type="dxa"/>
            <w:tcBorders>
              <w:top w:val="nil"/>
              <w:left w:val="nil"/>
              <w:bottom w:val="single" w:sz="4" w:space="0" w:color="auto"/>
              <w:right w:val="single" w:sz="4" w:space="0" w:color="auto"/>
            </w:tcBorders>
            <w:shd w:val="clear" w:color="auto" w:fill="auto"/>
            <w:vAlign w:val="center"/>
            <w:hideMark/>
          </w:tcPr>
          <w:p w14:paraId="32E7850D"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637,5 </w:t>
            </w:r>
          </w:p>
        </w:tc>
        <w:tc>
          <w:tcPr>
            <w:tcW w:w="954" w:type="dxa"/>
            <w:tcBorders>
              <w:top w:val="nil"/>
              <w:left w:val="nil"/>
              <w:bottom w:val="single" w:sz="4" w:space="0" w:color="auto"/>
              <w:right w:val="single" w:sz="4" w:space="0" w:color="auto"/>
            </w:tcBorders>
            <w:shd w:val="clear" w:color="auto" w:fill="auto"/>
            <w:vAlign w:val="center"/>
            <w:hideMark/>
          </w:tcPr>
          <w:p w14:paraId="76E7FFD0"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637,5 </w:t>
            </w:r>
          </w:p>
        </w:tc>
        <w:tc>
          <w:tcPr>
            <w:tcW w:w="816" w:type="dxa"/>
            <w:tcBorders>
              <w:top w:val="nil"/>
              <w:left w:val="nil"/>
              <w:bottom w:val="single" w:sz="4" w:space="0" w:color="auto"/>
              <w:right w:val="double" w:sz="6" w:space="0" w:color="auto"/>
            </w:tcBorders>
            <w:shd w:val="clear" w:color="auto" w:fill="auto"/>
            <w:vAlign w:val="center"/>
            <w:hideMark/>
          </w:tcPr>
          <w:p w14:paraId="3D4DC254"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r w:rsidR="00FD7B0B" w:rsidRPr="00FD7B0B" w14:paraId="775909D2"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0028CECA"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Обеспечение мероприятий по переселению граждан из аварийного жилищного фонда за счет средств, поступивших от ППК "Фонд развития территорий"</w:t>
            </w:r>
          </w:p>
        </w:tc>
        <w:tc>
          <w:tcPr>
            <w:tcW w:w="992" w:type="dxa"/>
            <w:tcBorders>
              <w:top w:val="nil"/>
              <w:left w:val="nil"/>
              <w:bottom w:val="single" w:sz="4" w:space="0" w:color="auto"/>
              <w:right w:val="single" w:sz="4" w:space="0" w:color="auto"/>
            </w:tcBorders>
            <w:shd w:val="clear" w:color="auto" w:fill="auto"/>
            <w:vAlign w:val="center"/>
            <w:hideMark/>
          </w:tcPr>
          <w:p w14:paraId="3891CDA9"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2 483,5 </w:t>
            </w:r>
          </w:p>
        </w:tc>
        <w:tc>
          <w:tcPr>
            <w:tcW w:w="954" w:type="dxa"/>
            <w:tcBorders>
              <w:top w:val="nil"/>
              <w:left w:val="nil"/>
              <w:bottom w:val="single" w:sz="4" w:space="0" w:color="auto"/>
              <w:right w:val="single" w:sz="4" w:space="0" w:color="auto"/>
            </w:tcBorders>
            <w:shd w:val="clear" w:color="auto" w:fill="auto"/>
            <w:vAlign w:val="center"/>
            <w:hideMark/>
          </w:tcPr>
          <w:p w14:paraId="4C8BA1AA"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2 481,6 </w:t>
            </w:r>
          </w:p>
        </w:tc>
        <w:tc>
          <w:tcPr>
            <w:tcW w:w="816" w:type="dxa"/>
            <w:tcBorders>
              <w:top w:val="nil"/>
              <w:left w:val="nil"/>
              <w:bottom w:val="single" w:sz="4" w:space="0" w:color="auto"/>
              <w:right w:val="double" w:sz="6" w:space="0" w:color="auto"/>
            </w:tcBorders>
            <w:shd w:val="clear" w:color="auto" w:fill="auto"/>
            <w:vAlign w:val="center"/>
            <w:hideMark/>
          </w:tcPr>
          <w:p w14:paraId="23C5D3BF"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99,9 </w:t>
            </w:r>
          </w:p>
        </w:tc>
      </w:tr>
      <w:tr w:rsidR="00FD7B0B" w:rsidRPr="00FD7B0B" w14:paraId="63D18DE0" w14:textId="77777777" w:rsidTr="00E80EDE">
        <w:trPr>
          <w:trHeight w:val="70"/>
        </w:trPr>
        <w:tc>
          <w:tcPr>
            <w:tcW w:w="7230" w:type="dxa"/>
            <w:tcBorders>
              <w:top w:val="nil"/>
              <w:left w:val="double" w:sz="6" w:space="0" w:color="auto"/>
              <w:bottom w:val="single" w:sz="4" w:space="0" w:color="auto"/>
              <w:right w:val="single" w:sz="4" w:space="0" w:color="auto"/>
            </w:tcBorders>
            <w:shd w:val="clear" w:color="auto" w:fill="auto"/>
            <w:vAlign w:val="center"/>
            <w:hideMark/>
          </w:tcPr>
          <w:p w14:paraId="2DDAA969"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Обеспечение мероприятий по переселению граждан из аварийного жилищного фонда за счет средств бюджетов субъектов РФ</w:t>
            </w:r>
          </w:p>
        </w:tc>
        <w:tc>
          <w:tcPr>
            <w:tcW w:w="992" w:type="dxa"/>
            <w:tcBorders>
              <w:top w:val="nil"/>
              <w:left w:val="nil"/>
              <w:bottom w:val="single" w:sz="4" w:space="0" w:color="auto"/>
              <w:right w:val="single" w:sz="4" w:space="0" w:color="auto"/>
            </w:tcBorders>
            <w:shd w:val="clear" w:color="auto" w:fill="auto"/>
            <w:vAlign w:val="center"/>
            <w:hideMark/>
          </w:tcPr>
          <w:p w14:paraId="38A1FF2E"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517,0 </w:t>
            </w:r>
          </w:p>
        </w:tc>
        <w:tc>
          <w:tcPr>
            <w:tcW w:w="954" w:type="dxa"/>
            <w:tcBorders>
              <w:top w:val="nil"/>
              <w:left w:val="nil"/>
              <w:bottom w:val="single" w:sz="4" w:space="0" w:color="auto"/>
              <w:right w:val="single" w:sz="4" w:space="0" w:color="auto"/>
            </w:tcBorders>
            <w:shd w:val="clear" w:color="auto" w:fill="auto"/>
            <w:vAlign w:val="center"/>
            <w:hideMark/>
          </w:tcPr>
          <w:p w14:paraId="39C75FFA"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506,1 </w:t>
            </w:r>
          </w:p>
        </w:tc>
        <w:tc>
          <w:tcPr>
            <w:tcW w:w="816" w:type="dxa"/>
            <w:tcBorders>
              <w:top w:val="nil"/>
              <w:left w:val="nil"/>
              <w:bottom w:val="single" w:sz="4" w:space="0" w:color="auto"/>
              <w:right w:val="double" w:sz="6" w:space="0" w:color="auto"/>
            </w:tcBorders>
            <w:shd w:val="clear" w:color="auto" w:fill="auto"/>
            <w:vAlign w:val="center"/>
            <w:hideMark/>
          </w:tcPr>
          <w:p w14:paraId="30B9D29D"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97,9 </w:t>
            </w:r>
          </w:p>
        </w:tc>
      </w:tr>
      <w:tr w:rsidR="00FD7B0B" w:rsidRPr="00FD7B0B" w14:paraId="4F96AB29" w14:textId="77777777" w:rsidTr="00D34F50">
        <w:trPr>
          <w:trHeight w:val="651"/>
        </w:trPr>
        <w:tc>
          <w:tcPr>
            <w:tcW w:w="7230" w:type="dxa"/>
            <w:tcBorders>
              <w:top w:val="nil"/>
              <w:left w:val="double" w:sz="6" w:space="0" w:color="auto"/>
              <w:bottom w:val="double" w:sz="6" w:space="0" w:color="auto"/>
              <w:right w:val="single" w:sz="4" w:space="0" w:color="auto"/>
            </w:tcBorders>
            <w:shd w:val="clear" w:color="auto" w:fill="auto"/>
            <w:vAlign w:val="center"/>
            <w:hideMark/>
          </w:tcPr>
          <w:p w14:paraId="02C29C7F" w14:textId="77777777" w:rsidR="00D97B4C" w:rsidRPr="00FD7B0B" w:rsidRDefault="00D97B4C" w:rsidP="00E80EDE">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992" w:type="dxa"/>
            <w:tcBorders>
              <w:top w:val="nil"/>
              <w:left w:val="nil"/>
              <w:bottom w:val="double" w:sz="6" w:space="0" w:color="auto"/>
              <w:right w:val="single" w:sz="4" w:space="0" w:color="auto"/>
            </w:tcBorders>
            <w:shd w:val="clear" w:color="auto" w:fill="auto"/>
            <w:vAlign w:val="center"/>
            <w:hideMark/>
          </w:tcPr>
          <w:p w14:paraId="7EFA6B0E"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450,0 </w:t>
            </w:r>
          </w:p>
        </w:tc>
        <w:tc>
          <w:tcPr>
            <w:tcW w:w="954" w:type="dxa"/>
            <w:tcBorders>
              <w:top w:val="nil"/>
              <w:left w:val="nil"/>
              <w:bottom w:val="double" w:sz="6" w:space="0" w:color="auto"/>
              <w:right w:val="single" w:sz="4" w:space="0" w:color="auto"/>
            </w:tcBorders>
            <w:shd w:val="clear" w:color="auto" w:fill="auto"/>
            <w:vAlign w:val="center"/>
            <w:hideMark/>
          </w:tcPr>
          <w:p w14:paraId="67E9FDC2"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450,0 </w:t>
            </w:r>
          </w:p>
        </w:tc>
        <w:tc>
          <w:tcPr>
            <w:tcW w:w="816" w:type="dxa"/>
            <w:tcBorders>
              <w:top w:val="nil"/>
              <w:left w:val="nil"/>
              <w:bottom w:val="double" w:sz="6" w:space="0" w:color="auto"/>
              <w:right w:val="double" w:sz="6" w:space="0" w:color="auto"/>
            </w:tcBorders>
            <w:shd w:val="clear" w:color="auto" w:fill="auto"/>
            <w:vAlign w:val="center"/>
            <w:hideMark/>
          </w:tcPr>
          <w:p w14:paraId="16B8EE32" w14:textId="77777777" w:rsidR="00D97B4C" w:rsidRPr="00FD7B0B" w:rsidRDefault="00D97B4C" w:rsidP="00E80EDE">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100,0 </w:t>
            </w:r>
          </w:p>
        </w:tc>
      </w:tr>
    </w:tbl>
    <w:p w14:paraId="62312A2B" w14:textId="77777777" w:rsidR="00D97B4C" w:rsidRPr="00FD7B0B" w:rsidRDefault="00D97B4C" w:rsidP="00D0584B">
      <w:pPr>
        <w:spacing w:after="0" w:line="240" w:lineRule="auto"/>
        <w:ind w:firstLine="709"/>
        <w:jc w:val="both"/>
        <w:rPr>
          <w:rFonts w:ascii="Times New Roman" w:eastAsia="Calibri" w:hAnsi="Times New Roman" w:cs="Times New Roman"/>
          <w:sz w:val="28"/>
          <w:szCs w:val="28"/>
        </w:rPr>
      </w:pPr>
    </w:p>
    <w:p w14:paraId="132BB181" w14:textId="77777777" w:rsidR="00D97B4C" w:rsidRPr="00FD7B0B" w:rsidRDefault="00D97B4C" w:rsidP="00D0584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совокупности указанные выше расходы за 2024 год составили 14 802,7 млн.руб. или 76,0 % всех расходов областного бюджета на реализацию национальных проектов.</w:t>
      </w:r>
    </w:p>
    <w:p w14:paraId="0E455B56" w14:textId="4A726E13" w:rsidR="00D97B4C" w:rsidRPr="00FD7B0B" w:rsidRDefault="00D97B4C" w:rsidP="00D0584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По сравнению с расходами 2023 года, направленными на реализацию национальных проектов РФ. расходы отчетного периода снизились на 7 598,9 млн.руб. или на 28,1 %, что отражено в таблице </w:t>
      </w:r>
      <w:r w:rsidR="00424B5A" w:rsidRPr="00FD7B0B">
        <w:rPr>
          <w:rFonts w:ascii="Times New Roman" w:eastAsia="Calibri" w:hAnsi="Times New Roman" w:cs="Times New Roman"/>
          <w:sz w:val="28"/>
          <w:szCs w:val="28"/>
        </w:rPr>
        <w:t>253</w:t>
      </w:r>
      <w:r w:rsidRPr="00FD7B0B">
        <w:rPr>
          <w:rFonts w:ascii="Times New Roman" w:eastAsia="Calibri" w:hAnsi="Times New Roman" w:cs="Times New Roman"/>
          <w:sz w:val="28"/>
          <w:szCs w:val="28"/>
        </w:rPr>
        <w:t>.</w:t>
      </w:r>
    </w:p>
    <w:p w14:paraId="15CDB1EF" w14:textId="77777777" w:rsidR="00D97B4C" w:rsidRPr="00FD7B0B" w:rsidRDefault="00D97B4C" w:rsidP="00D0584B">
      <w:pPr>
        <w:spacing w:after="0" w:line="240" w:lineRule="auto"/>
        <w:rPr>
          <w:rFonts w:ascii="Times New Roman" w:eastAsia="Calibri" w:hAnsi="Times New Roman" w:cs="Times New Roman"/>
          <w:bCs/>
          <w:sz w:val="24"/>
          <w:szCs w:val="24"/>
        </w:rPr>
      </w:pPr>
    </w:p>
    <w:p w14:paraId="0F2FE070" w14:textId="77777777" w:rsidR="00D97B4C" w:rsidRPr="00FD7B0B" w:rsidRDefault="00D97B4C" w:rsidP="00D0584B">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253</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из областного бюджета, направленные на реализацию национальных проектов РФ за 2023 – 2024 годы, млн.руб.</w:t>
      </w:r>
    </w:p>
    <w:tbl>
      <w:tblPr>
        <w:tblW w:w="9539" w:type="dxa"/>
        <w:tblLook w:val="04A0" w:firstRow="1" w:lastRow="0" w:firstColumn="1" w:lastColumn="0" w:noHBand="0" w:noVBand="1"/>
      </w:tblPr>
      <w:tblGrid>
        <w:gridCol w:w="5647"/>
        <w:gridCol w:w="992"/>
        <w:gridCol w:w="993"/>
        <w:gridCol w:w="1091"/>
        <w:gridCol w:w="816"/>
      </w:tblGrid>
      <w:tr w:rsidR="00FD7B0B" w:rsidRPr="00FD7B0B" w14:paraId="7A5C1063" w14:textId="77777777" w:rsidTr="00B81C85">
        <w:trPr>
          <w:trHeight w:val="35"/>
          <w:tblHeader/>
        </w:trPr>
        <w:tc>
          <w:tcPr>
            <w:tcW w:w="5647" w:type="dxa"/>
            <w:vMerge w:val="restart"/>
            <w:tcBorders>
              <w:top w:val="double" w:sz="6" w:space="0" w:color="auto"/>
              <w:left w:val="double" w:sz="6" w:space="0" w:color="auto"/>
              <w:bottom w:val="single" w:sz="4" w:space="0" w:color="000000"/>
              <w:right w:val="single" w:sz="4" w:space="0" w:color="auto"/>
            </w:tcBorders>
            <w:shd w:val="clear" w:color="auto" w:fill="auto"/>
            <w:vAlign w:val="center"/>
            <w:hideMark/>
          </w:tcPr>
          <w:p w14:paraId="3AC1EE85" w14:textId="77777777" w:rsidR="00D97B4C" w:rsidRPr="00FD7B0B" w:rsidRDefault="00D97B4C" w:rsidP="00D0584B">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w:t>
            </w:r>
          </w:p>
        </w:tc>
        <w:tc>
          <w:tcPr>
            <w:tcW w:w="992"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3CE8493F" w14:textId="77777777" w:rsidR="00D97B4C" w:rsidRPr="00FD7B0B" w:rsidRDefault="00D97B4C" w:rsidP="00D0584B">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2023 год</w:t>
            </w:r>
          </w:p>
        </w:tc>
        <w:tc>
          <w:tcPr>
            <w:tcW w:w="993"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364EC310" w14:textId="77777777" w:rsidR="00D97B4C" w:rsidRPr="00FD7B0B" w:rsidRDefault="00D97B4C" w:rsidP="00D0584B">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2024 год</w:t>
            </w:r>
          </w:p>
        </w:tc>
        <w:tc>
          <w:tcPr>
            <w:tcW w:w="1907" w:type="dxa"/>
            <w:gridSpan w:val="2"/>
            <w:tcBorders>
              <w:top w:val="double" w:sz="6" w:space="0" w:color="auto"/>
              <w:left w:val="nil"/>
              <w:bottom w:val="single" w:sz="4" w:space="0" w:color="auto"/>
              <w:right w:val="double" w:sz="6" w:space="0" w:color="000000"/>
            </w:tcBorders>
            <w:shd w:val="clear" w:color="auto" w:fill="auto"/>
            <w:vAlign w:val="center"/>
            <w:hideMark/>
          </w:tcPr>
          <w:p w14:paraId="069E1A1A" w14:textId="77777777" w:rsidR="00D97B4C" w:rsidRPr="00FD7B0B" w:rsidRDefault="00D97B4C" w:rsidP="00D0584B">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Изменения (+,-)</w:t>
            </w:r>
          </w:p>
        </w:tc>
      </w:tr>
      <w:tr w:rsidR="00FD7B0B" w:rsidRPr="00FD7B0B" w14:paraId="43D77BF0" w14:textId="77777777" w:rsidTr="00B81C85">
        <w:trPr>
          <w:trHeight w:val="35"/>
          <w:tblHeader/>
        </w:trPr>
        <w:tc>
          <w:tcPr>
            <w:tcW w:w="5647" w:type="dxa"/>
            <w:vMerge/>
            <w:tcBorders>
              <w:top w:val="double" w:sz="6" w:space="0" w:color="auto"/>
              <w:left w:val="double" w:sz="6" w:space="0" w:color="auto"/>
              <w:bottom w:val="single" w:sz="4" w:space="0" w:color="000000"/>
              <w:right w:val="single" w:sz="4" w:space="0" w:color="auto"/>
            </w:tcBorders>
            <w:vAlign w:val="center"/>
            <w:hideMark/>
          </w:tcPr>
          <w:p w14:paraId="38EDA7F7" w14:textId="77777777" w:rsidR="00D97B4C" w:rsidRPr="00FD7B0B" w:rsidRDefault="00D97B4C" w:rsidP="00D0584B">
            <w:pPr>
              <w:spacing w:after="0" w:line="240" w:lineRule="auto"/>
              <w:rPr>
                <w:rFonts w:ascii="Times New Roman" w:eastAsia="Times New Roman" w:hAnsi="Times New Roman" w:cs="Times New Roman"/>
                <w:b/>
                <w:bCs/>
                <w:sz w:val="21"/>
                <w:szCs w:val="21"/>
                <w:lang w:eastAsia="ru-RU"/>
              </w:rPr>
            </w:pPr>
          </w:p>
        </w:tc>
        <w:tc>
          <w:tcPr>
            <w:tcW w:w="992" w:type="dxa"/>
            <w:vMerge/>
            <w:tcBorders>
              <w:top w:val="double" w:sz="6" w:space="0" w:color="auto"/>
              <w:left w:val="single" w:sz="4" w:space="0" w:color="auto"/>
              <w:bottom w:val="single" w:sz="4" w:space="0" w:color="000000"/>
              <w:right w:val="single" w:sz="4" w:space="0" w:color="auto"/>
            </w:tcBorders>
            <w:vAlign w:val="center"/>
            <w:hideMark/>
          </w:tcPr>
          <w:p w14:paraId="10518E44" w14:textId="77777777" w:rsidR="00D97B4C" w:rsidRPr="00FD7B0B" w:rsidRDefault="00D97B4C" w:rsidP="00D0584B">
            <w:pPr>
              <w:spacing w:after="0" w:line="240" w:lineRule="auto"/>
              <w:rPr>
                <w:rFonts w:ascii="Times New Roman" w:eastAsia="Times New Roman" w:hAnsi="Times New Roman" w:cs="Times New Roman"/>
                <w:b/>
                <w:bCs/>
                <w:sz w:val="21"/>
                <w:szCs w:val="21"/>
                <w:lang w:eastAsia="ru-RU"/>
              </w:rPr>
            </w:pPr>
          </w:p>
        </w:tc>
        <w:tc>
          <w:tcPr>
            <w:tcW w:w="993" w:type="dxa"/>
            <w:vMerge/>
            <w:tcBorders>
              <w:top w:val="double" w:sz="6" w:space="0" w:color="auto"/>
              <w:left w:val="single" w:sz="4" w:space="0" w:color="auto"/>
              <w:bottom w:val="single" w:sz="4" w:space="0" w:color="000000"/>
              <w:right w:val="single" w:sz="4" w:space="0" w:color="auto"/>
            </w:tcBorders>
            <w:vAlign w:val="center"/>
            <w:hideMark/>
          </w:tcPr>
          <w:p w14:paraId="23CB90E2" w14:textId="77777777" w:rsidR="00D97B4C" w:rsidRPr="00FD7B0B" w:rsidRDefault="00D97B4C" w:rsidP="00D0584B">
            <w:pPr>
              <w:spacing w:after="0" w:line="240" w:lineRule="auto"/>
              <w:rPr>
                <w:rFonts w:ascii="Times New Roman" w:eastAsia="Times New Roman" w:hAnsi="Times New Roman" w:cs="Times New Roman"/>
                <w:b/>
                <w:bCs/>
                <w:sz w:val="21"/>
                <w:szCs w:val="21"/>
                <w:lang w:eastAsia="ru-RU"/>
              </w:rPr>
            </w:pPr>
          </w:p>
        </w:tc>
        <w:tc>
          <w:tcPr>
            <w:tcW w:w="1091" w:type="dxa"/>
            <w:tcBorders>
              <w:top w:val="nil"/>
              <w:left w:val="nil"/>
              <w:bottom w:val="single" w:sz="4" w:space="0" w:color="auto"/>
              <w:right w:val="nil"/>
            </w:tcBorders>
            <w:shd w:val="clear" w:color="auto" w:fill="auto"/>
            <w:vAlign w:val="center"/>
            <w:hideMark/>
          </w:tcPr>
          <w:p w14:paraId="53820132" w14:textId="77777777" w:rsidR="00D97B4C" w:rsidRPr="00FD7B0B" w:rsidRDefault="00D97B4C" w:rsidP="00D0584B">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млн.руб.</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3D74C5DD" w14:textId="1A9165FE" w:rsidR="00D97B4C" w:rsidRPr="00FD7B0B" w:rsidRDefault="00D97B4C" w:rsidP="00D0584B">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0AA55131"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3CBA790F"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"Демография"</w:t>
            </w:r>
          </w:p>
        </w:tc>
        <w:tc>
          <w:tcPr>
            <w:tcW w:w="992" w:type="dxa"/>
            <w:tcBorders>
              <w:top w:val="nil"/>
              <w:left w:val="nil"/>
              <w:bottom w:val="single" w:sz="4" w:space="0" w:color="auto"/>
              <w:right w:val="single" w:sz="4" w:space="0" w:color="auto"/>
            </w:tcBorders>
            <w:shd w:val="clear" w:color="auto" w:fill="auto"/>
            <w:vAlign w:val="center"/>
            <w:hideMark/>
          </w:tcPr>
          <w:p w14:paraId="58C30A3E"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1 338,9 </w:t>
            </w:r>
          </w:p>
        </w:tc>
        <w:tc>
          <w:tcPr>
            <w:tcW w:w="993" w:type="dxa"/>
            <w:tcBorders>
              <w:top w:val="nil"/>
              <w:left w:val="nil"/>
              <w:bottom w:val="single" w:sz="4" w:space="0" w:color="auto"/>
              <w:right w:val="single" w:sz="4" w:space="0" w:color="auto"/>
            </w:tcBorders>
            <w:shd w:val="clear" w:color="auto" w:fill="auto"/>
            <w:vAlign w:val="center"/>
            <w:hideMark/>
          </w:tcPr>
          <w:p w14:paraId="4D6CC58A"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1 374,3 </w:t>
            </w:r>
          </w:p>
        </w:tc>
        <w:tc>
          <w:tcPr>
            <w:tcW w:w="1091" w:type="dxa"/>
            <w:tcBorders>
              <w:top w:val="nil"/>
              <w:left w:val="nil"/>
              <w:bottom w:val="single" w:sz="4" w:space="0" w:color="auto"/>
              <w:right w:val="nil"/>
            </w:tcBorders>
            <w:shd w:val="clear" w:color="auto" w:fill="auto"/>
            <w:vAlign w:val="center"/>
            <w:hideMark/>
          </w:tcPr>
          <w:p w14:paraId="60E310E1"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35,4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020B681A"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2,6 </w:t>
            </w:r>
          </w:p>
        </w:tc>
      </w:tr>
      <w:tr w:rsidR="00FD7B0B" w:rsidRPr="00FD7B0B" w14:paraId="66979F59"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03286A92"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"Малое и среднее предпринимательство и поддержка индивидуальной предпринимательской инициативы"</w:t>
            </w:r>
          </w:p>
        </w:tc>
        <w:tc>
          <w:tcPr>
            <w:tcW w:w="992" w:type="dxa"/>
            <w:tcBorders>
              <w:top w:val="nil"/>
              <w:left w:val="nil"/>
              <w:bottom w:val="single" w:sz="4" w:space="0" w:color="auto"/>
              <w:right w:val="single" w:sz="4" w:space="0" w:color="auto"/>
            </w:tcBorders>
            <w:shd w:val="clear" w:color="auto" w:fill="auto"/>
            <w:vAlign w:val="center"/>
            <w:hideMark/>
          </w:tcPr>
          <w:p w14:paraId="408D1C20"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313,4 </w:t>
            </w:r>
          </w:p>
        </w:tc>
        <w:tc>
          <w:tcPr>
            <w:tcW w:w="993" w:type="dxa"/>
            <w:tcBorders>
              <w:top w:val="nil"/>
              <w:left w:val="nil"/>
              <w:bottom w:val="single" w:sz="4" w:space="0" w:color="auto"/>
              <w:right w:val="single" w:sz="4" w:space="0" w:color="auto"/>
            </w:tcBorders>
            <w:shd w:val="clear" w:color="auto" w:fill="auto"/>
            <w:vAlign w:val="center"/>
            <w:hideMark/>
          </w:tcPr>
          <w:p w14:paraId="007CD1F3"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131,6 </w:t>
            </w:r>
          </w:p>
        </w:tc>
        <w:tc>
          <w:tcPr>
            <w:tcW w:w="1091" w:type="dxa"/>
            <w:tcBorders>
              <w:top w:val="nil"/>
              <w:left w:val="nil"/>
              <w:bottom w:val="single" w:sz="4" w:space="0" w:color="auto"/>
              <w:right w:val="nil"/>
            </w:tcBorders>
            <w:shd w:val="clear" w:color="auto" w:fill="auto"/>
            <w:vAlign w:val="center"/>
            <w:hideMark/>
          </w:tcPr>
          <w:p w14:paraId="4F8EFE17"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-181,8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3BB695A5"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-58,0 </w:t>
            </w:r>
          </w:p>
        </w:tc>
      </w:tr>
      <w:tr w:rsidR="00FD7B0B" w:rsidRPr="00FD7B0B" w14:paraId="1ACC5763"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1C91350"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"Туризм и индустрия гостеприимства"</w:t>
            </w:r>
          </w:p>
        </w:tc>
        <w:tc>
          <w:tcPr>
            <w:tcW w:w="992" w:type="dxa"/>
            <w:tcBorders>
              <w:top w:val="nil"/>
              <w:left w:val="nil"/>
              <w:bottom w:val="single" w:sz="4" w:space="0" w:color="auto"/>
              <w:right w:val="single" w:sz="4" w:space="0" w:color="auto"/>
            </w:tcBorders>
            <w:shd w:val="clear" w:color="auto" w:fill="auto"/>
            <w:vAlign w:val="center"/>
            <w:hideMark/>
          </w:tcPr>
          <w:p w14:paraId="79F6D92C"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91,3 </w:t>
            </w:r>
          </w:p>
        </w:tc>
        <w:tc>
          <w:tcPr>
            <w:tcW w:w="993" w:type="dxa"/>
            <w:tcBorders>
              <w:top w:val="nil"/>
              <w:left w:val="nil"/>
              <w:bottom w:val="single" w:sz="4" w:space="0" w:color="auto"/>
              <w:right w:val="single" w:sz="4" w:space="0" w:color="auto"/>
            </w:tcBorders>
            <w:shd w:val="clear" w:color="auto" w:fill="auto"/>
            <w:vAlign w:val="center"/>
            <w:hideMark/>
          </w:tcPr>
          <w:p w14:paraId="0DF66985"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53,1 </w:t>
            </w:r>
          </w:p>
        </w:tc>
        <w:tc>
          <w:tcPr>
            <w:tcW w:w="1091" w:type="dxa"/>
            <w:tcBorders>
              <w:top w:val="nil"/>
              <w:left w:val="nil"/>
              <w:bottom w:val="single" w:sz="4" w:space="0" w:color="auto"/>
              <w:right w:val="nil"/>
            </w:tcBorders>
            <w:shd w:val="clear" w:color="auto" w:fill="auto"/>
            <w:vAlign w:val="center"/>
            <w:hideMark/>
          </w:tcPr>
          <w:p w14:paraId="413AC299"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-38,2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064832AA"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-41,8 </w:t>
            </w:r>
          </w:p>
        </w:tc>
      </w:tr>
      <w:tr w:rsidR="00FD7B0B" w:rsidRPr="00FD7B0B" w14:paraId="68FDCD69"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2C412A36"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"Экология"</w:t>
            </w:r>
          </w:p>
        </w:tc>
        <w:tc>
          <w:tcPr>
            <w:tcW w:w="992" w:type="dxa"/>
            <w:tcBorders>
              <w:top w:val="nil"/>
              <w:left w:val="nil"/>
              <w:bottom w:val="single" w:sz="4" w:space="0" w:color="auto"/>
              <w:right w:val="single" w:sz="4" w:space="0" w:color="auto"/>
            </w:tcBorders>
            <w:shd w:val="clear" w:color="auto" w:fill="auto"/>
            <w:vAlign w:val="center"/>
            <w:hideMark/>
          </w:tcPr>
          <w:p w14:paraId="5AFD2AC3"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1 520,0 </w:t>
            </w:r>
          </w:p>
        </w:tc>
        <w:tc>
          <w:tcPr>
            <w:tcW w:w="993" w:type="dxa"/>
            <w:tcBorders>
              <w:top w:val="nil"/>
              <w:left w:val="nil"/>
              <w:bottom w:val="single" w:sz="4" w:space="0" w:color="auto"/>
              <w:right w:val="single" w:sz="4" w:space="0" w:color="auto"/>
            </w:tcBorders>
            <w:shd w:val="clear" w:color="auto" w:fill="auto"/>
            <w:vAlign w:val="center"/>
            <w:hideMark/>
          </w:tcPr>
          <w:p w14:paraId="3D5E702E"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804,8 </w:t>
            </w:r>
          </w:p>
        </w:tc>
        <w:tc>
          <w:tcPr>
            <w:tcW w:w="1091" w:type="dxa"/>
            <w:tcBorders>
              <w:top w:val="nil"/>
              <w:left w:val="nil"/>
              <w:bottom w:val="single" w:sz="4" w:space="0" w:color="auto"/>
              <w:right w:val="nil"/>
            </w:tcBorders>
            <w:shd w:val="clear" w:color="auto" w:fill="auto"/>
            <w:vAlign w:val="center"/>
            <w:hideMark/>
          </w:tcPr>
          <w:p w14:paraId="6B02596B"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-715,2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542D4D5D"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-47,0 </w:t>
            </w:r>
          </w:p>
        </w:tc>
      </w:tr>
      <w:tr w:rsidR="00FD7B0B" w:rsidRPr="00FD7B0B" w14:paraId="651BDA34"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BBE332C"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"Безопасные качественные автомобильные дороги"</w:t>
            </w:r>
          </w:p>
        </w:tc>
        <w:tc>
          <w:tcPr>
            <w:tcW w:w="992" w:type="dxa"/>
            <w:tcBorders>
              <w:top w:val="nil"/>
              <w:left w:val="nil"/>
              <w:bottom w:val="single" w:sz="4" w:space="0" w:color="auto"/>
              <w:right w:val="single" w:sz="4" w:space="0" w:color="auto"/>
            </w:tcBorders>
            <w:shd w:val="clear" w:color="auto" w:fill="auto"/>
            <w:vAlign w:val="center"/>
            <w:hideMark/>
          </w:tcPr>
          <w:p w14:paraId="7ABE0CC0"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9 982,2 </w:t>
            </w:r>
          </w:p>
        </w:tc>
        <w:tc>
          <w:tcPr>
            <w:tcW w:w="993" w:type="dxa"/>
            <w:tcBorders>
              <w:top w:val="nil"/>
              <w:left w:val="nil"/>
              <w:bottom w:val="single" w:sz="4" w:space="0" w:color="auto"/>
              <w:right w:val="single" w:sz="4" w:space="0" w:color="auto"/>
            </w:tcBorders>
            <w:shd w:val="clear" w:color="auto" w:fill="auto"/>
            <w:vAlign w:val="center"/>
            <w:hideMark/>
          </w:tcPr>
          <w:p w14:paraId="67FC25FF"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7 224,2 </w:t>
            </w:r>
          </w:p>
        </w:tc>
        <w:tc>
          <w:tcPr>
            <w:tcW w:w="1091" w:type="dxa"/>
            <w:tcBorders>
              <w:top w:val="nil"/>
              <w:left w:val="nil"/>
              <w:bottom w:val="single" w:sz="4" w:space="0" w:color="auto"/>
              <w:right w:val="nil"/>
            </w:tcBorders>
            <w:shd w:val="clear" w:color="auto" w:fill="auto"/>
            <w:vAlign w:val="center"/>
            <w:hideMark/>
          </w:tcPr>
          <w:p w14:paraId="4F4A9867"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-2 758,0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7BC58F6A"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-27,6 </w:t>
            </w:r>
          </w:p>
        </w:tc>
      </w:tr>
      <w:tr w:rsidR="00FD7B0B" w:rsidRPr="00FD7B0B" w14:paraId="609E7357"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788EF11A"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"Наука и университеты"</w:t>
            </w:r>
          </w:p>
        </w:tc>
        <w:tc>
          <w:tcPr>
            <w:tcW w:w="992" w:type="dxa"/>
            <w:tcBorders>
              <w:top w:val="nil"/>
              <w:left w:val="nil"/>
              <w:bottom w:val="single" w:sz="4" w:space="0" w:color="auto"/>
              <w:right w:val="single" w:sz="4" w:space="0" w:color="auto"/>
            </w:tcBorders>
            <w:shd w:val="clear" w:color="auto" w:fill="auto"/>
            <w:vAlign w:val="center"/>
            <w:hideMark/>
          </w:tcPr>
          <w:p w14:paraId="1EC46816"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0,0 </w:t>
            </w:r>
          </w:p>
        </w:tc>
        <w:tc>
          <w:tcPr>
            <w:tcW w:w="993" w:type="dxa"/>
            <w:tcBorders>
              <w:top w:val="nil"/>
              <w:left w:val="nil"/>
              <w:bottom w:val="single" w:sz="4" w:space="0" w:color="auto"/>
              <w:right w:val="single" w:sz="4" w:space="0" w:color="auto"/>
            </w:tcBorders>
            <w:shd w:val="clear" w:color="auto" w:fill="auto"/>
            <w:vAlign w:val="center"/>
            <w:hideMark/>
          </w:tcPr>
          <w:p w14:paraId="6FD9CE5C"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450,0 </w:t>
            </w:r>
          </w:p>
        </w:tc>
        <w:tc>
          <w:tcPr>
            <w:tcW w:w="1091" w:type="dxa"/>
            <w:tcBorders>
              <w:top w:val="nil"/>
              <w:left w:val="nil"/>
              <w:bottom w:val="single" w:sz="4" w:space="0" w:color="auto"/>
              <w:right w:val="nil"/>
            </w:tcBorders>
            <w:shd w:val="clear" w:color="auto" w:fill="auto"/>
            <w:vAlign w:val="center"/>
            <w:hideMark/>
          </w:tcPr>
          <w:p w14:paraId="11CE8C5F"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450,0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3BEBD02F" w14:textId="77777777" w:rsidR="00D97B4C" w:rsidRPr="00FD7B0B" w:rsidRDefault="00D97B4C" w:rsidP="00D0584B">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w:t>
            </w:r>
          </w:p>
        </w:tc>
      </w:tr>
      <w:tr w:rsidR="00FD7B0B" w:rsidRPr="00FD7B0B" w14:paraId="656F39BE"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39BBA965"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"Международная кооперация и экспорт"</w:t>
            </w:r>
          </w:p>
        </w:tc>
        <w:tc>
          <w:tcPr>
            <w:tcW w:w="992" w:type="dxa"/>
            <w:tcBorders>
              <w:top w:val="nil"/>
              <w:left w:val="nil"/>
              <w:bottom w:val="single" w:sz="4" w:space="0" w:color="auto"/>
              <w:right w:val="single" w:sz="4" w:space="0" w:color="auto"/>
            </w:tcBorders>
            <w:shd w:val="clear" w:color="auto" w:fill="auto"/>
            <w:vAlign w:val="center"/>
            <w:hideMark/>
          </w:tcPr>
          <w:p w14:paraId="6F5E6AE5"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0,0 </w:t>
            </w:r>
          </w:p>
        </w:tc>
        <w:tc>
          <w:tcPr>
            <w:tcW w:w="993" w:type="dxa"/>
            <w:tcBorders>
              <w:top w:val="nil"/>
              <w:left w:val="nil"/>
              <w:bottom w:val="single" w:sz="4" w:space="0" w:color="auto"/>
              <w:right w:val="single" w:sz="4" w:space="0" w:color="auto"/>
            </w:tcBorders>
            <w:shd w:val="clear" w:color="auto" w:fill="auto"/>
            <w:vAlign w:val="center"/>
            <w:hideMark/>
          </w:tcPr>
          <w:p w14:paraId="1437BFEA"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 </w:t>
            </w:r>
          </w:p>
        </w:tc>
        <w:tc>
          <w:tcPr>
            <w:tcW w:w="1091" w:type="dxa"/>
            <w:tcBorders>
              <w:top w:val="nil"/>
              <w:left w:val="nil"/>
              <w:bottom w:val="single" w:sz="4" w:space="0" w:color="auto"/>
              <w:right w:val="nil"/>
            </w:tcBorders>
            <w:shd w:val="clear" w:color="auto" w:fill="auto"/>
            <w:vAlign w:val="center"/>
            <w:hideMark/>
          </w:tcPr>
          <w:p w14:paraId="39CA3D10"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1E956C7A" w14:textId="77777777" w:rsidR="00D97B4C" w:rsidRPr="00FD7B0B" w:rsidRDefault="00D97B4C" w:rsidP="00D0584B">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w:t>
            </w:r>
          </w:p>
        </w:tc>
      </w:tr>
      <w:tr w:rsidR="00FD7B0B" w:rsidRPr="00FD7B0B" w14:paraId="01690F64"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77071B6A"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"Жилье и городская среда"</w:t>
            </w:r>
          </w:p>
        </w:tc>
        <w:tc>
          <w:tcPr>
            <w:tcW w:w="992" w:type="dxa"/>
            <w:tcBorders>
              <w:top w:val="nil"/>
              <w:left w:val="nil"/>
              <w:bottom w:val="single" w:sz="4" w:space="0" w:color="auto"/>
              <w:right w:val="single" w:sz="4" w:space="0" w:color="auto"/>
            </w:tcBorders>
            <w:shd w:val="clear" w:color="auto" w:fill="auto"/>
            <w:vAlign w:val="center"/>
            <w:hideMark/>
          </w:tcPr>
          <w:p w14:paraId="66B3B933"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10 295,7 </w:t>
            </w:r>
          </w:p>
        </w:tc>
        <w:tc>
          <w:tcPr>
            <w:tcW w:w="993" w:type="dxa"/>
            <w:tcBorders>
              <w:top w:val="nil"/>
              <w:left w:val="nil"/>
              <w:bottom w:val="single" w:sz="4" w:space="0" w:color="auto"/>
              <w:right w:val="single" w:sz="4" w:space="0" w:color="auto"/>
            </w:tcBorders>
            <w:shd w:val="clear" w:color="auto" w:fill="auto"/>
            <w:vAlign w:val="center"/>
            <w:hideMark/>
          </w:tcPr>
          <w:p w14:paraId="17D4D7EF"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4 038,8 </w:t>
            </w:r>
          </w:p>
        </w:tc>
        <w:tc>
          <w:tcPr>
            <w:tcW w:w="1091" w:type="dxa"/>
            <w:tcBorders>
              <w:top w:val="nil"/>
              <w:left w:val="nil"/>
              <w:bottom w:val="single" w:sz="4" w:space="0" w:color="auto"/>
              <w:right w:val="nil"/>
            </w:tcBorders>
            <w:shd w:val="clear" w:color="auto" w:fill="auto"/>
            <w:vAlign w:val="center"/>
            <w:hideMark/>
          </w:tcPr>
          <w:p w14:paraId="5B6CAFB5"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-6 256,8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739DA252"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-60,8 </w:t>
            </w:r>
          </w:p>
        </w:tc>
      </w:tr>
      <w:tr w:rsidR="00FD7B0B" w:rsidRPr="00FD7B0B" w14:paraId="752A4460"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36801C83"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"Образование"</w:t>
            </w:r>
          </w:p>
        </w:tc>
        <w:tc>
          <w:tcPr>
            <w:tcW w:w="992" w:type="dxa"/>
            <w:tcBorders>
              <w:top w:val="nil"/>
              <w:left w:val="nil"/>
              <w:bottom w:val="single" w:sz="4" w:space="0" w:color="auto"/>
              <w:right w:val="single" w:sz="4" w:space="0" w:color="auto"/>
            </w:tcBorders>
            <w:shd w:val="clear" w:color="auto" w:fill="auto"/>
            <w:vAlign w:val="center"/>
            <w:hideMark/>
          </w:tcPr>
          <w:p w14:paraId="6BD2955F"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1 199,9 </w:t>
            </w:r>
          </w:p>
        </w:tc>
        <w:tc>
          <w:tcPr>
            <w:tcW w:w="993" w:type="dxa"/>
            <w:tcBorders>
              <w:top w:val="nil"/>
              <w:left w:val="nil"/>
              <w:bottom w:val="single" w:sz="4" w:space="0" w:color="auto"/>
              <w:right w:val="single" w:sz="4" w:space="0" w:color="auto"/>
            </w:tcBorders>
            <w:shd w:val="clear" w:color="auto" w:fill="auto"/>
            <w:vAlign w:val="center"/>
            <w:hideMark/>
          </w:tcPr>
          <w:p w14:paraId="08B94345"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3 081,2 </w:t>
            </w:r>
          </w:p>
        </w:tc>
        <w:tc>
          <w:tcPr>
            <w:tcW w:w="1091" w:type="dxa"/>
            <w:tcBorders>
              <w:top w:val="nil"/>
              <w:left w:val="nil"/>
              <w:bottom w:val="single" w:sz="4" w:space="0" w:color="auto"/>
              <w:right w:val="nil"/>
            </w:tcBorders>
            <w:shd w:val="clear" w:color="auto" w:fill="auto"/>
            <w:vAlign w:val="center"/>
            <w:hideMark/>
          </w:tcPr>
          <w:p w14:paraId="465654F4"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1 881,3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7905F8E4" w14:textId="77777777" w:rsidR="00D97B4C" w:rsidRPr="00FD7B0B" w:rsidRDefault="00D97B4C" w:rsidP="00D0584B">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в 2,6 раза</w:t>
            </w:r>
          </w:p>
        </w:tc>
      </w:tr>
      <w:tr w:rsidR="00FD7B0B" w:rsidRPr="00FD7B0B" w14:paraId="0EA44B0D"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718E1953"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"Культура"</w:t>
            </w:r>
          </w:p>
        </w:tc>
        <w:tc>
          <w:tcPr>
            <w:tcW w:w="992" w:type="dxa"/>
            <w:tcBorders>
              <w:top w:val="nil"/>
              <w:left w:val="nil"/>
              <w:bottom w:val="single" w:sz="4" w:space="0" w:color="auto"/>
              <w:right w:val="single" w:sz="4" w:space="0" w:color="auto"/>
            </w:tcBorders>
            <w:shd w:val="clear" w:color="auto" w:fill="auto"/>
            <w:vAlign w:val="center"/>
            <w:hideMark/>
          </w:tcPr>
          <w:p w14:paraId="736E6821"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794,9 </w:t>
            </w:r>
          </w:p>
        </w:tc>
        <w:tc>
          <w:tcPr>
            <w:tcW w:w="993" w:type="dxa"/>
            <w:tcBorders>
              <w:top w:val="nil"/>
              <w:left w:val="nil"/>
              <w:bottom w:val="single" w:sz="4" w:space="0" w:color="auto"/>
              <w:right w:val="single" w:sz="4" w:space="0" w:color="auto"/>
            </w:tcBorders>
            <w:shd w:val="clear" w:color="auto" w:fill="auto"/>
            <w:vAlign w:val="center"/>
            <w:hideMark/>
          </w:tcPr>
          <w:p w14:paraId="6D9DB83D"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407,3 </w:t>
            </w:r>
          </w:p>
        </w:tc>
        <w:tc>
          <w:tcPr>
            <w:tcW w:w="1091" w:type="dxa"/>
            <w:tcBorders>
              <w:top w:val="nil"/>
              <w:left w:val="nil"/>
              <w:bottom w:val="single" w:sz="4" w:space="0" w:color="auto"/>
              <w:right w:val="nil"/>
            </w:tcBorders>
            <w:shd w:val="clear" w:color="auto" w:fill="auto"/>
            <w:vAlign w:val="center"/>
            <w:hideMark/>
          </w:tcPr>
          <w:p w14:paraId="56B1FEE9"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-387,6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058D0924"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-48,8 </w:t>
            </w:r>
          </w:p>
        </w:tc>
      </w:tr>
      <w:tr w:rsidR="00FD7B0B" w:rsidRPr="00FD7B0B" w14:paraId="27A424F7"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4FDFE233"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"Производительность труда"</w:t>
            </w:r>
          </w:p>
        </w:tc>
        <w:tc>
          <w:tcPr>
            <w:tcW w:w="992" w:type="dxa"/>
            <w:tcBorders>
              <w:top w:val="nil"/>
              <w:left w:val="nil"/>
              <w:bottom w:val="single" w:sz="4" w:space="0" w:color="auto"/>
              <w:right w:val="single" w:sz="4" w:space="0" w:color="auto"/>
            </w:tcBorders>
            <w:shd w:val="clear" w:color="auto" w:fill="auto"/>
            <w:vAlign w:val="center"/>
            <w:hideMark/>
          </w:tcPr>
          <w:p w14:paraId="5AF5AC5F"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16,0 </w:t>
            </w:r>
          </w:p>
        </w:tc>
        <w:tc>
          <w:tcPr>
            <w:tcW w:w="993" w:type="dxa"/>
            <w:tcBorders>
              <w:top w:val="nil"/>
              <w:left w:val="nil"/>
              <w:bottom w:val="single" w:sz="4" w:space="0" w:color="auto"/>
              <w:right w:val="single" w:sz="4" w:space="0" w:color="auto"/>
            </w:tcBorders>
            <w:shd w:val="clear" w:color="auto" w:fill="auto"/>
            <w:vAlign w:val="center"/>
            <w:hideMark/>
          </w:tcPr>
          <w:p w14:paraId="1DE29D4B"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9,1 </w:t>
            </w:r>
          </w:p>
        </w:tc>
        <w:tc>
          <w:tcPr>
            <w:tcW w:w="1091" w:type="dxa"/>
            <w:tcBorders>
              <w:top w:val="nil"/>
              <w:left w:val="nil"/>
              <w:bottom w:val="single" w:sz="4" w:space="0" w:color="auto"/>
              <w:right w:val="nil"/>
            </w:tcBorders>
            <w:shd w:val="clear" w:color="auto" w:fill="auto"/>
            <w:vAlign w:val="center"/>
            <w:hideMark/>
          </w:tcPr>
          <w:p w14:paraId="19B9057D"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-6,9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6A144B93"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-43,2 </w:t>
            </w:r>
          </w:p>
        </w:tc>
      </w:tr>
      <w:tr w:rsidR="00FD7B0B" w:rsidRPr="00FD7B0B" w14:paraId="575DD808"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5F2AD40C"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"Здравоохранение"</w:t>
            </w:r>
          </w:p>
        </w:tc>
        <w:tc>
          <w:tcPr>
            <w:tcW w:w="992" w:type="dxa"/>
            <w:tcBorders>
              <w:top w:val="nil"/>
              <w:left w:val="nil"/>
              <w:bottom w:val="single" w:sz="4" w:space="0" w:color="auto"/>
              <w:right w:val="single" w:sz="4" w:space="0" w:color="auto"/>
            </w:tcBorders>
            <w:shd w:val="clear" w:color="auto" w:fill="auto"/>
            <w:vAlign w:val="center"/>
            <w:hideMark/>
          </w:tcPr>
          <w:p w14:paraId="0915B2AB"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1 517,0 </w:t>
            </w:r>
          </w:p>
        </w:tc>
        <w:tc>
          <w:tcPr>
            <w:tcW w:w="993" w:type="dxa"/>
            <w:tcBorders>
              <w:top w:val="nil"/>
              <w:left w:val="nil"/>
              <w:bottom w:val="single" w:sz="4" w:space="0" w:color="auto"/>
              <w:right w:val="single" w:sz="4" w:space="0" w:color="auto"/>
            </w:tcBorders>
            <w:shd w:val="clear" w:color="auto" w:fill="auto"/>
            <w:vAlign w:val="center"/>
            <w:hideMark/>
          </w:tcPr>
          <w:p w14:paraId="20740996"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1 608,6 </w:t>
            </w:r>
          </w:p>
        </w:tc>
        <w:tc>
          <w:tcPr>
            <w:tcW w:w="1091" w:type="dxa"/>
            <w:tcBorders>
              <w:top w:val="nil"/>
              <w:left w:val="nil"/>
              <w:bottom w:val="single" w:sz="4" w:space="0" w:color="auto"/>
              <w:right w:val="nil"/>
            </w:tcBorders>
            <w:shd w:val="clear" w:color="auto" w:fill="auto"/>
            <w:vAlign w:val="center"/>
            <w:hideMark/>
          </w:tcPr>
          <w:p w14:paraId="1EA09390"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91,7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1149CD83"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6,0 </w:t>
            </w:r>
          </w:p>
        </w:tc>
      </w:tr>
      <w:tr w:rsidR="00FD7B0B" w:rsidRPr="00FD7B0B" w14:paraId="7806CC72" w14:textId="77777777" w:rsidTr="00B81C85">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463582A6" w14:textId="77777777" w:rsidR="00D97B4C" w:rsidRPr="00FD7B0B" w:rsidRDefault="00D97B4C" w:rsidP="00D0584B">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НП "Беспилотные авиационные системы"</w:t>
            </w:r>
          </w:p>
        </w:tc>
        <w:tc>
          <w:tcPr>
            <w:tcW w:w="992" w:type="dxa"/>
            <w:tcBorders>
              <w:top w:val="nil"/>
              <w:left w:val="nil"/>
              <w:bottom w:val="single" w:sz="4" w:space="0" w:color="auto"/>
              <w:right w:val="single" w:sz="4" w:space="0" w:color="auto"/>
            </w:tcBorders>
            <w:shd w:val="clear" w:color="auto" w:fill="auto"/>
            <w:vAlign w:val="center"/>
            <w:hideMark/>
          </w:tcPr>
          <w:p w14:paraId="0DE1E8AF"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0,0 </w:t>
            </w:r>
          </w:p>
        </w:tc>
        <w:tc>
          <w:tcPr>
            <w:tcW w:w="993" w:type="dxa"/>
            <w:tcBorders>
              <w:top w:val="nil"/>
              <w:left w:val="nil"/>
              <w:bottom w:val="single" w:sz="4" w:space="0" w:color="auto"/>
              <w:right w:val="single" w:sz="4" w:space="0" w:color="auto"/>
            </w:tcBorders>
            <w:shd w:val="clear" w:color="auto" w:fill="auto"/>
            <w:vAlign w:val="center"/>
            <w:hideMark/>
          </w:tcPr>
          <w:p w14:paraId="2EA834E7"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278,1 </w:t>
            </w:r>
          </w:p>
        </w:tc>
        <w:tc>
          <w:tcPr>
            <w:tcW w:w="1091" w:type="dxa"/>
            <w:tcBorders>
              <w:top w:val="nil"/>
              <w:left w:val="nil"/>
              <w:bottom w:val="single" w:sz="4" w:space="0" w:color="auto"/>
              <w:right w:val="nil"/>
            </w:tcBorders>
            <w:shd w:val="clear" w:color="auto" w:fill="auto"/>
            <w:vAlign w:val="center"/>
            <w:hideMark/>
          </w:tcPr>
          <w:p w14:paraId="060245A8" w14:textId="77777777" w:rsidR="00D97B4C" w:rsidRPr="00FD7B0B" w:rsidRDefault="00D97B4C" w:rsidP="00D0584B">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278,1 </w:t>
            </w:r>
          </w:p>
        </w:tc>
        <w:tc>
          <w:tcPr>
            <w:tcW w:w="816" w:type="dxa"/>
            <w:tcBorders>
              <w:top w:val="nil"/>
              <w:left w:val="single" w:sz="4" w:space="0" w:color="auto"/>
              <w:bottom w:val="single" w:sz="4" w:space="0" w:color="auto"/>
              <w:right w:val="double" w:sz="6" w:space="0" w:color="auto"/>
            </w:tcBorders>
            <w:shd w:val="clear" w:color="auto" w:fill="auto"/>
            <w:vAlign w:val="center"/>
            <w:hideMark/>
          </w:tcPr>
          <w:p w14:paraId="2036F94D" w14:textId="77777777" w:rsidR="00D97B4C" w:rsidRPr="00FD7B0B" w:rsidRDefault="00D97B4C" w:rsidP="00D0584B">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w:t>
            </w:r>
          </w:p>
        </w:tc>
      </w:tr>
      <w:tr w:rsidR="00D97B4C" w:rsidRPr="00FD7B0B" w14:paraId="0AF83272" w14:textId="77777777" w:rsidTr="00B81C85">
        <w:trPr>
          <w:trHeight w:val="70"/>
        </w:trPr>
        <w:tc>
          <w:tcPr>
            <w:tcW w:w="5647" w:type="dxa"/>
            <w:tcBorders>
              <w:top w:val="nil"/>
              <w:left w:val="double" w:sz="6" w:space="0" w:color="auto"/>
              <w:bottom w:val="double" w:sz="6" w:space="0" w:color="auto"/>
              <w:right w:val="single" w:sz="4" w:space="0" w:color="auto"/>
            </w:tcBorders>
            <w:shd w:val="clear" w:color="auto" w:fill="auto"/>
            <w:vAlign w:val="center"/>
            <w:hideMark/>
          </w:tcPr>
          <w:p w14:paraId="37DE2A93" w14:textId="77777777" w:rsidR="00D97B4C" w:rsidRPr="00FD7B0B" w:rsidRDefault="00D97B4C" w:rsidP="00D0584B">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Итого</w:t>
            </w:r>
          </w:p>
        </w:tc>
        <w:tc>
          <w:tcPr>
            <w:tcW w:w="992" w:type="dxa"/>
            <w:tcBorders>
              <w:top w:val="nil"/>
              <w:left w:val="nil"/>
              <w:bottom w:val="double" w:sz="6" w:space="0" w:color="auto"/>
              <w:right w:val="single" w:sz="4" w:space="0" w:color="auto"/>
            </w:tcBorders>
            <w:shd w:val="clear" w:color="auto" w:fill="auto"/>
            <w:vAlign w:val="center"/>
            <w:hideMark/>
          </w:tcPr>
          <w:p w14:paraId="6114184D" w14:textId="77777777" w:rsidR="00D97B4C" w:rsidRPr="00FD7B0B" w:rsidRDefault="00D97B4C" w:rsidP="00D0584B">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27 069,2 </w:t>
            </w:r>
          </w:p>
        </w:tc>
        <w:tc>
          <w:tcPr>
            <w:tcW w:w="993" w:type="dxa"/>
            <w:tcBorders>
              <w:top w:val="nil"/>
              <w:left w:val="nil"/>
              <w:bottom w:val="double" w:sz="6" w:space="0" w:color="auto"/>
              <w:right w:val="single" w:sz="4" w:space="0" w:color="auto"/>
            </w:tcBorders>
            <w:shd w:val="clear" w:color="auto" w:fill="auto"/>
            <w:vAlign w:val="center"/>
            <w:hideMark/>
          </w:tcPr>
          <w:p w14:paraId="5AF52613" w14:textId="77777777" w:rsidR="00D97B4C" w:rsidRPr="00FD7B0B" w:rsidRDefault="00D97B4C" w:rsidP="00D0584B">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19 470,3 </w:t>
            </w:r>
          </w:p>
        </w:tc>
        <w:tc>
          <w:tcPr>
            <w:tcW w:w="1091" w:type="dxa"/>
            <w:tcBorders>
              <w:top w:val="nil"/>
              <w:left w:val="nil"/>
              <w:bottom w:val="double" w:sz="6" w:space="0" w:color="auto"/>
              <w:right w:val="single" w:sz="4" w:space="0" w:color="auto"/>
            </w:tcBorders>
            <w:shd w:val="clear" w:color="auto" w:fill="auto"/>
            <w:vAlign w:val="center"/>
            <w:hideMark/>
          </w:tcPr>
          <w:p w14:paraId="09C29A85" w14:textId="77777777" w:rsidR="00D97B4C" w:rsidRPr="00FD7B0B" w:rsidRDefault="00D97B4C" w:rsidP="00D0584B">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-7 598,9 </w:t>
            </w:r>
          </w:p>
        </w:tc>
        <w:tc>
          <w:tcPr>
            <w:tcW w:w="816" w:type="dxa"/>
            <w:tcBorders>
              <w:top w:val="nil"/>
              <w:left w:val="nil"/>
              <w:bottom w:val="double" w:sz="6" w:space="0" w:color="auto"/>
              <w:right w:val="double" w:sz="6" w:space="0" w:color="auto"/>
            </w:tcBorders>
            <w:shd w:val="clear" w:color="auto" w:fill="auto"/>
            <w:vAlign w:val="center"/>
            <w:hideMark/>
          </w:tcPr>
          <w:p w14:paraId="09AE9E36" w14:textId="77777777" w:rsidR="00D97B4C" w:rsidRPr="00FD7B0B" w:rsidRDefault="00D97B4C" w:rsidP="00D0584B">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-28,1 </w:t>
            </w:r>
          </w:p>
        </w:tc>
      </w:tr>
    </w:tbl>
    <w:p w14:paraId="6EB3F50F" w14:textId="77777777" w:rsidR="00D97B4C" w:rsidRPr="00FD7B0B" w:rsidRDefault="00D97B4C" w:rsidP="00B81C85">
      <w:pPr>
        <w:spacing w:after="0" w:line="240" w:lineRule="auto"/>
        <w:ind w:firstLine="709"/>
        <w:jc w:val="both"/>
        <w:rPr>
          <w:rFonts w:ascii="Times New Roman" w:eastAsia="Calibri" w:hAnsi="Times New Roman" w:cs="Times New Roman"/>
          <w:sz w:val="28"/>
          <w:szCs w:val="28"/>
        </w:rPr>
      </w:pPr>
    </w:p>
    <w:p w14:paraId="08CD42C1" w14:textId="77777777" w:rsidR="00D97B4C" w:rsidRPr="00FD7B0B" w:rsidRDefault="00D97B4C" w:rsidP="00B81C8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Снижение расходов в 2024 году в большей части обусловлено финансированием из федерального бюджета и от ППК «Фонд развития территорий».</w:t>
      </w:r>
    </w:p>
    <w:p w14:paraId="458694CB" w14:textId="4C2D2CBD" w:rsidR="00D97B4C" w:rsidRPr="00FD7B0B" w:rsidRDefault="00D97B4C" w:rsidP="00060F6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 xml:space="preserve">Наибольшее снижение расходов в отчетном периоде обусловлено расходами на НП «Безопасные качественные автомобильные дороги» – на 27,6 % (- 2 758,0 млн.руб.), НП «Жилье и городская среда» – на 60,8 % (-6 256,8 млн.руб.), </w:t>
      </w:r>
      <w:r w:rsidR="00060F66" w:rsidRPr="00FD7B0B">
        <w:rPr>
          <w:rFonts w:ascii="Times New Roman" w:eastAsia="Calibri" w:hAnsi="Times New Roman" w:cs="Times New Roman"/>
          <w:sz w:val="28"/>
          <w:szCs w:val="28"/>
        </w:rPr>
        <w:t>при этом увеличены расходы</w:t>
      </w:r>
      <w:r w:rsidRPr="00FD7B0B">
        <w:rPr>
          <w:rFonts w:ascii="Times New Roman" w:eastAsia="Calibri" w:hAnsi="Times New Roman" w:cs="Times New Roman"/>
          <w:sz w:val="28"/>
          <w:szCs w:val="28"/>
        </w:rPr>
        <w:t xml:space="preserve"> на НП «Образование» – в 2,6 раза (+1 881,3 млн.руб.).</w:t>
      </w:r>
    </w:p>
    <w:p w14:paraId="57070FCE" w14:textId="77777777" w:rsidR="00D97B4C" w:rsidRPr="00FD7B0B" w:rsidRDefault="00D97B4C" w:rsidP="00060F6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Также в отчетном периоде осуществлялись расходы на реализацию НП «Наука и университеты» (450,0 млн.руб.), НП «Международная кооперация и экспорт» (9,2 млн.руб.) и НП «Беспилотные авиационные системы» (278,1 млн.руб.), которые в 2023 году не производились.</w:t>
      </w:r>
    </w:p>
    <w:p w14:paraId="44F6266E" w14:textId="41CE15D7" w:rsidR="00D97B4C" w:rsidRPr="00FD7B0B" w:rsidRDefault="00D97B4C" w:rsidP="00060F6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424B5A" w:rsidRPr="00FD7B0B">
        <w:rPr>
          <w:rFonts w:ascii="Times New Roman" w:eastAsia="Calibri" w:hAnsi="Times New Roman" w:cs="Times New Roman"/>
          <w:sz w:val="28"/>
          <w:szCs w:val="28"/>
        </w:rPr>
        <w:t>254</w:t>
      </w:r>
      <w:r w:rsidRPr="00FD7B0B">
        <w:rPr>
          <w:rFonts w:ascii="Times New Roman" w:eastAsia="Calibri" w:hAnsi="Times New Roman" w:cs="Times New Roman"/>
          <w:sz w:val="28"/>
          <w:szCs w:val="28"/>
        </w:rPr>
        <w:t xml:space="preserve"> представлена информация о расходах из областного бюджета на реализацию НП РФ «Безопасные качественные автомобильные дороги» за 2023 – 2024 годы.</w:t>
      </w:r>
    </w:p>
    <w:p w14:paraId="322D2693" w14:textId="77777777" w:rsidR="00D97B4C" w:rsidRPr="00FD7B0B" w:rsidRDefault="00D97B4C" w:rsidP="00060F66">
      <w:pPr>
        <w:spacing w:after="0" w:line="240" w:lineRule="auto"/>
        <w:rPr>
          <w:rFonts w:ascii="Times New Roman" w:eastAsia="Calibri" w:hAnsi="Times New Roman" w:cs="Times New Roman"/>
          <w:bCs/>
          <w:sz w:val="24"/>
          <w:szCs w:val="24"/>
        </w:rPr>
      </w:pPr>
    </w:p>
    <w:p w14:paraId="092D9C5D" w14:textId="218D585F" w:rsidR="00D97B4C" w:rsidRPr="00FD7B0B" w:rsidRDefault="00D97B4C" w:rsidP="00060F66">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254</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направленные на реализацию национального проекта РФ «Безопасные качественные автомобильные дороги» за 2023 – 2024 годы, млн.руб.</w:t>
      </w:r>
    </w:p>
    <w:tbl>
      <w:tblPr>
        <w:tblW w:w="9616" w:type="dxa"/>
        <w:tblLayout w:type="fixed"/>
        <w:tblLook w:val="04A0" w:firstRow="1" w:lastRow="0" w:firstColumn="1" w:lastColumn="0" w:noHBand="0" w:noVBand="1"/>
      </w:tblPr>
      <w:tblGrid>
        <w:gridCol w:w="5931"/>
        <w:gridCol w:w="890"/>
        <w:gridCol w:w="957"/>
        <w:gridCol w:w="1030"/>
        <w:gridCol w:w="808"/>
      </w:tblGrid>
      <w:tr w:rsidR="00FD7B0B" w:rsidRPr="00FD7B0B" w14:paraId="7ED2DCFA" w14:textId="77777777" w:rsidTr="00E8466B">
        <w:trPr>
          <w:trHeight w:val="35"/>
          <w:tblHeader/>
        </w:trPr>
        <w:tc>
          <w:tcPr>
            <w:tcW w:w="593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5D44FC9" w14:textId="77777777" w:rsidR="00D97B4C" w:rsidRPr="00FD7B0B" w:rsidRDefault="00D97B4C" w:rsidP="00060F66">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w:t>
            </w:r>
          </w:p>
        </w:tc>
        <w:tc>
          <w:tcPr>
            <w:tcW w:w="89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D05AE1C" w14:textId="77777777" w:rsidR="00D97B4C" w:rsidRPr="00FD7B0B" w:rsidRDefault="00D97B4C" w:rsidP="00060F66">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2023 год</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DF524B7" w14:textId="77777777" w:rsidR="00D97B4C" w:rsidRPr="00FD7B0B" w:rsidRDefault="00D97B4C" w:rsidP="00060F66">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2024 год</w:t>
            </w:r>
          </w:p>
        </w:tc>
        <w:tc>
          <w:tcPr>
            <w:tcW w:w="1838" w:type="dxa"/>
            <w:gridSpan w:val="2"/>
            <w:tcBorders>
              <w:top w:val="double" w:sz="6" w:space="0" w:color="auto"/>
              <w:left w:val="nil"/>
              <w:bottom w:val="single" w:sz="4" w:space="0" w:color="auto"/>
              <w:right w:val="double" w:sz="6" w:space="0" w:color="000000"/>
            </w:tcBorders>
            <w:shd w:val="clear" w:color="auto" w:fill="auto"/>
            <w:vAlign w:val="center"/>
            <w:hideMark/>
          </w:tcPr>
          <w:p w14:paraId="508E5154" w14:textId="77777777" w:rsidR="00D97B4C" w:rsidRPr="00FD7B0B" w:rsidRDefault="00D97B4C" w:rsidP="00060F66">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Изменения (+,-)</w:t>
            </w:r>
          </w:p>
        </w:tc>
      </w:tr>
      <w:tr w:rsidR="00FD7B0B" w:rsidRPr="00FD7B0B" w14:paraId="0910FCEF" w14:textId="77777777" w:rsidTr="00E8466B">
        <w:trPr>
          <w:trHeight w:val="35"/>
          <w:tblHeader/>
        </w:trPr>
        <w:tc>
          <w:tcPr>
            <w:tcW w:w="5931" w:type="dxa"/>
            <w:vMerge/>
            <w:tcBorders>
              <w:top w:val="double" w:sz="6" w:space="0" w:color="auto"/>
              <w:left w:val="double" w:sz="6" w:space="0" w:color="auto"/>
              <w:bottom w:val="single" w:sz="4" w:space="0" w:color="auto"/>
              <w:right w:val="single" w:sz="4" w:space="0" w:color="auto"/>
            </w:tcBorders>
            <w:vAlign w:val="center"/>
            <w:hideMark/>
          </w:tcPr>
          <w:p w14:paraId="7A745E60" w14:textId="77777777" w:rsidR="00D97B4C" w:rsidRPr="00FD7B0B" w:rsidRDefault="00D97B4C" w:rsidP="00060F66">
            <w:pPr>
              <w:spacing w:after="0" w:line="240" w:lineRule="auto"/>
              <w:rPr>
                <w:rFonts w:ascii="Times New Roman" w:eastAsia="Times New Roman" w:hAnsi="Times New Roman" w:cs="Times New Roman"/>
                <w:b/>
                <w:bCs/>
                <w:sz w:val="21"/>
                <w:szCs w:val="21"/>
                <w:lang w:eastAsia="ru-RU"/>
              </w:rPr>
            </w:pPr>
          </w:p>
        </w:tc>
        <w:tc>
          <w:tcPr>
            <w:tcW w:w="890" w:type="dxa"/>
            <w:vMerge/>
            <w:tcBorders>
              <w:top w:val="double" w:sz="6" w:space="0" w:color="auto"/>
              <w:left w:val="single" w:sz="4" w:space="0" w:color="auto"/>
              <w:bottom w:val="single" w:sz="4" w:space="0" w:color="auto"/>
              <w:right w:val="single" w:sz="4" w:space="0" w:color="auto"/>
            </w:tcBorders>
            <w:vAlign w:val="center"/>
            <w:hideMark/>
          </w:tcPr>
          <w:p w14:paraId="5D5576F1" w14:textId="77777777" w:rsidR="00D97B4C" w:rsidRPr="00FD7B0B" w:rsidRDefault="00D97B4C" w:rsidP="00060F66">
            <w:pPr>
              <w:spacing w:after="0" w:line="240" w:lineRule="auto"/>
              <w:rPr>
                <w:rFonts w:ascii="Times New Roman" w:eastAsia="Times New Roman" w:hAnsi="Times New Roman" w:cs="Times New Roman"/>
                <w:b/>
                <w:bCs/>
                <w:sz w:val="21"/>
                <w:szCs w:val="21"/>
                <w:lang w:eastAsia="ru-RU"/>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32C0F54F" w14:textId="77777777" w:rsidR="00D97B4C" w:rsidRPr="00FD7B0B" w:rsidRDefault="00D97B4C" w:rsidP="00060F66">
            <w:pPr>
              <w:spacing w:after="0" w:line="240" w:lineRule="auto"/>
              <w:rPr>
                <w:rFonts w:ascii="Times New Roman" w:eastAsia="Times New Roman" w:hAnsi="Times New Roman" w:cs="Times New Roman"/>
                <w:b/>
                <w:bCs/>
                <w:sz w:val="21"/>
                <w:szCs w:val="21"/>
                <w:lang w:eastAsia="ru-RU"/>
              </w:rPr>
            </w:pPr>
          </w:p>
        </w:tc>
        <w:tc>
          <w:tcPr>
            <w:tcW w:w="1030" w:type="dxa"/>
            <w:tcBorders>
              <w:top w:val="nil"/>
              <w:left w:val="nil"/>
              <w:bottom w:val="single" w:sz="4" w:space="0" w:color="auto"/>
              <w:right w:val="single" w:sz="4" w:space="0" w:color="auto"/>
            </w:tcBorders>
            <w:shd w:val="clear" w:color="auto" w:fill="auto"/>
            <w:vAlign w:val="center"/>
            <w:hideMark/>
          </w:tcPr>
          <w:p w14:paraId="2F8FB7E9" w14:textId="77777777" w:rsidR="00D97B4C" w:rsidRPr="00FD7B0B" w:rsidRDefault="00D97B4C" w:rsidP="00060F66">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млн.руб.</w:t>
            </w:r>
          </w:p>
        </w:tc>
        <w:tc>
          <w:tcPr>
            <w:tcW w:w="808" w:type="dxa"/>
            <w:tcBorders>
              <w:top w:val="nil"/>
              <w:left w:val="nil"/>
              <w:bottom w:val="single" w:sz="4" w:space="0" w:color="auto"/>
              <w:right w:val="double" w:sz="6" w:space="0" w:color="auto"/>
            </w:tcBorders>
            <w:shd w:val="clear" w:color="auto" w:fill="auto"/>
            <w:vAlign w:val="center"/>
            <w:hideMark/>
          </w:tcPr>
          <w:p w14:paraId="378F21D0" w14:textId="00FDEFA2" w:rsidR="00D97B4C" w:rsidRPr="00FD7B0B" w:rsidRDefault="00D97B4C" w:rsidP="00060F66">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1B082908" w14:textId="77777777" w:rsidTr="00E8466B">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6BC42487" w14:textId="77777777" w:rsidR="00D97B4C" w:rsidRPr="00FD7B0B" w:rsidRDefault="00D97B4C" w:rsidP="00060F66">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НП "Безопасные качественные автомобильные дороги", в т.ч.:</w:t>
            </w:r>
          </w:p>
        </w:tc>
        <w:tc>
          <w:tcPr>
            <w:tcW w:w="890" w:type="dxa"/>
            <w:tcBorders>
              <w:top w:val="nil"/>
              <w:left w:val="nil"/>
              <w:bottom w:val="single" w:sz="4" w:space="0" w:color="auto"/>
              <w:right w:val="single" w:sz="4" w:space="0" w:color="auto"/>
            </w:tcBorders>
            <w:shd w:val="clear" w:color="auto" w:fill="auto"/>
            <w:vAlign w:val="center"/>
            <w:hideMark/>
          </w:tcPr>
          <w:p w14:paraId="5EBA48BA" w14:textId="77777777" w:rsidR="00D97B4C" w:rsidRPr="00FD7B0B" w:rsidRDefault="00D97B4C" w:rsidP="00060F66">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9 982,2 </w:t>
            </w:r>
          </w:p>
        </w:tc>
        <w:tc>
          <w:tcPr>
            <w:tcW w:w="957" w:type="dxa"/>
            <w:tcBorders>
              <w:top w:val="nil"/>
              <w:left w:val="nil"/>
              <w:bottom w:val="single" w:sz="4" w:space="0" w:color="auto"/>
              <w:right w:val="single" w:sz="4" w:space="0" w:color="auto"/>
            </w:tcBorders>
            <w:shd w:val="clear" w:color="auto" w:fill="auto"/>
            <w:vAlign w:val="center"/>
            <w:hideMark/>
          </w:tcPr>
          <w:p w14:paraId="2B84E0D0" w14:textId="77777777" w:rsidR="00D97B4C" w:rsidRPr="00FD7B0B" w:rsidRDefault="00D97B4C" w:rsidP="00060F66">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7 224,2 </w:t>
            </w:r>
          </w:p>
        </w:tc>
        <w:tc>
          <w:tcPr>
            <w:tcW w:w="1030" w:type="dxa"/>
            <w:tcBorders>
              <w:top w:val="nil"/>
              <w:left w:val="nil"/>
              <w:bottom w:val="single" w:sz="4" w:space="0" w:color="auto"/>
              <w:right w:val="single" w:sz="4" w:space="0" w:color="auto"/>
            </w:tcBorders>
            <w:shd w:val="clear" w:color="auto" w:fill="auto"/>
            <w:vAlign w:val="center"/>
            <w:hideMark/>
          </w:tcPr>
          <w:p w14:paraId="23B14BDA" w14:textId="77777777" w:rsidR="00D97B4C" w:rsidRPr="00FD7B0B" w:rsidRDefault="00D97B4C" w:rsidP="00060F66">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-2 758,0 </w:t>
            </w:r>
          </w:p>
        </w:tc>
        <w:tc>
          <w:tcPr>
            <w:tcW w:w="808" w:type="dxa"/>
            <w:tcBorders>
              <w:top w:val="nil"/>
              <w:left w:val="nil"/>
              <w:bottom w:val="single" w:sz="4" w:space="0" w:color="auto"/>
              <w:right w:val="double" w:sz="6" w:space="0" w:color="auto"/>
            </w:tcBorders>
            <w:shd w:val="clear" w:color="auto" w:fill="auto"/>
            <w:vAlign w:val="center"/>
            <w:hideMark/>
          </w:tcPr>
          <w:p w14:paraId="63B7BE30" w14:textId="77777777" w:rsidR="00D97B4C" w:rsidRPr="00FD7B0B" w:rsidRDefault="00D97B4C" w:rsidP="00060F66">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-27,6 </w:t>
            </w:r>
          </w:p>
        </w:tc>
      </w:tr>
      <w:tr w:rsidR="00FD7B0B" w:rsidRPr="00FD7B0B" w14:paraId="543B5924" w14:textId="77777777" w:rsidTr="00E8466B">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231AD978" w14:textId="77777777" w:rsidR="00D97B4C" w:rsidRPr="00FD7B0B" w:rsidRDefault="00D97B4C" w:rsidP="00060F66">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Региональный проект "Региональная и местная дорожная сеть", из них:</w:t>
            </w:r>
          </w:p>
        </w:tc>
        <w:tc>
          <w:tcPr>
            <w:tcW w:w="890" w:type="dxa"/>
            <w:tcBorders>
              <w:top w:val="nil"/>
              <w:left w:val="nil"/>
              <w:bottom w:val="single" w:sz="4" w:space="0" w:color="auto"/>
              <w:right w:val="single" w:sz="4" w:space="0" w:color="auto"/>
            </w:tcBorders>
            <w:shd w:val="clear" w:color="auto" w:fill="auto"/>
            <w:vAlign w:val="center"/>
            <w:hideMark/>
          </w:tcPr>
          <w:p w14:paraId="5815A7F6"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9 813,2 </w:t>
            </w:r>
          </w:p>
        </w:tc>
        <w:tc>
          <w:tcPr>
            <w:tcW w:w="957" w:type="dxa"/>
            <w:tcBorders>
              <w:top w:val="nil"/>
              <w:left w:val="nil"/>
              <w:bottom w:val="single" w:sz="4" w:space="0" w:color="auto"/>
              <w:right w:val="single" w:sz="4" w:space="0" w:color="auto"/>
            </w:tcBorders>
            <w:shd w:val="clear" w:color="auto" w:fill="auto"/>
            <w:vAlign w:val="center"/>
            <w:hideMark/>
          </w:tcPr>
          <w:p w14:paraId="51D95A43"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7 051,1 </w:t>
            </w:r>
          </w:p>
        </w:tc>
        <w:tc>
          <w:tcPr>
            <w:tcW w:w="1030" w:type="dxa"/>
            <w:tcBorders>
              <w:top w:val="nil"/>
              <w:left w:val="nil"/>
              <w:bottom w:val="single" w:sz="4" w:space="0" w:color="auto"/>
              <w:right w:val="single" w:sz="4" w:space="0" w:color="auto"/>
            </w:tcBorders>
            <w:shd w:val="clear" w:color="auto" w:fill="auto"/>
            <w:vAlign w:val="center"/>
            <w:hideMark/>
          </w:tcPr>
          <w:p w14:paraId="1A68AAA3"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-2 762,1 </w:t>
            </w:r>
          </w:p>
        </w:tc>
        <w:tc>
          <w:tcPr>
            <w:tcW w:w="808" w:type="dxa"/>
            <w:tcBorders>
              <w:top w:val="nil"/>
              <w:left w:val="nil"/>
              <w:bottom w:val="single" w:sz="4" w:space="0" w:color="auto"/>
              <w:right w:val="double" w:sz="6" w:space="0" w:color="auto"/>
            </w:tcBorders>
            <w:shd w:val="clear" w:color="auto" w:fill="auto"/>
            <w:vAlign w:val="center"/>
            <w:hideMark/>
          </w:tcPr>
          <w:p w14:paraId="3C66F114"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-28,1 </w:t>
            </w:r>
          </w:p>
        </w:tc>
      </w:tr>
      <w:tr w:rsidR="00FD7B0B" w:rsidRPr="00FD7B0B" w14:paraId="0F098E76" w14:textId="77777777" w:rsidTr="00E8466B">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03D7A1DC" w14:textId="77777777" w:rsidR="00D97B4C" w:rsidRPr="00FD7B0B" w:rsidRDefault="00D97B4C" w:rsidP="00060F66">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финансовое обеспечение дорожной деятельности в рамках реализации НП "Безопасные и качественные автомобильные дороги"</w:t>
            </w:r>
          </w:p>
        </w:tc>
        <w:tc>
          <w:tcPr>
            <w:tcW w:w="890" w:type="dxa"/>
            <w:tcBorders>
              <w:top w:val="nil"/>
              <w:left w:val="nil"/>
              <w:bottom w:val="single" w:sz="4" w:space="0" w:color="auto"/>
              <w:right w:val="single" w:sz="4" w:space="0" w:color="auto"/>
            </w:tcBorders>
            <w:shd w:val="clear" w:color="auto" w:fill="auto"/>
            <w:vAlign w:val="center"/>
            <w:hideMark/>
          </w:tcPr>
          <w:p w14:paraId="026917FE"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1 984,9 </w:t>
            </w:r>
          </w:p>
        </w:tc>
        <w:tc>
          <w:tcPr>
            <w:tcW w:w="957" w:type="dxa"/>
            <w:tcBorders>
              <w:top w:val="nil"/>
              <w:left w:val="nil"/>
              <w:bottom w:val="single" w:sz="4" w:space="0" w:color="auto"/>
              <w:right w:val="single" w:sz="4" w:space="0" w:color="auto"/>
            </w:tcBorders>
            <w:shd w:val="clear" w:color="auto" w:fill="auto"/>
            <w:vAlign w:val="center"/>
            <w:hideMark/>
          </w:tcPr>
          <w:p w14:paraId="14CA1F0D"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4 829,0 </w:t>
            </w:r>
          </w:p>
        </w:tc>
        <w:tc>
          <w:tcPr>
            <w:tcW w:w="1030" w:type="dxa"/>
            <w:tcBorders>
              <w:top w:val="nil"/>
              <w:left w:val="nil"/>
              <w:bottom w:val="single" w:sz="4" w:space="0" w:color="auto"/>
              <w:right w:val="single" w:sz="4" w:space="0" w:color="auto"/>
            </w:tcBorders>
            <w:shd w:val="clear" w:color="auto" w:fill="auto"/>
            <w:vAlign w:val="center"/>
            <w:hideMark/>
          </w:tcPr>
          <w:p w14:paraId="2915FCE9"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2 844,1 </w:t>
            </w:r>
          </w:p>
        </w:tc>
        <w:tc>
          <w:tcPr>
            <w:tcW w:w="808" w:type="dxa"/>
            <w:tcBorders>
              <w:top w:val="nil"/>
              <w:left w:val="nil"/>
              <w:bottom w:val="single" w:sz="4" w:space="0" w:color="auto"/>
              <w:right w:val="double" w:sz="6" w:space="0" w:color="auto"/>
            </w:tcBorders>
            <w:shd w:val="clear" w:color="auto" w:fill="auto"/>
            <w:vAlign w:val="center"/>
            <w:hideMark/>
          </w:tcPr>
          <w:p w14:paraId="4B943030"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143,3 </w:t>
            </w:r>
          </w:p>
        </w:tc>
      </w:tr>
      <w:tr w:rsidR="00FD7B0B" w:rsidRPr="00FD7B0B" w14:paraId="0FD939ED" w14:textId="77777777" w:rsidTr="00E8466B">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7CAB035B" w14:textId="77777777" w:rsidR="00D97B4C" w:rsidRPr="00FD7B0B" w:rsidRDefault="00D97B4C" w:rsidP="00060F66">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приведение в нормативное состояние автомобильных дорог и искусственных дорожных сооружений, включая средства бюджетных кредитов из федерального бюджета в целях опережающего финансового обеспечения расходных обязательств субъектов РФ и средства резервного фонда Правительства РФ</w:t>
            </w:r>
          </w:p>
        </w:tc>
        <w:tc>
          <w:tcPr>
            <w:tcW w:w="890" w:type="dxa"/>
            <w:tcBorders>
              <w:top w:val="nil"/>
              <w:left w:val="nil"/>
              <w:bottom w:val="single" w:sz="4" w:space="0" w:color="auto"/>
              <w:right w:val="single" w:sz="4" w:space="0" w:color="auto"/>
            </w:tcBorders>
            <w:shd w:val="clear" w:color="auto" w:fill="auto"/>
            <w:vAlign w:val="center"/>
            <w:hideMark/>
          </w:tcPr>
          <w:p w14:paraId="47ACA6A1"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5 576,2 </w:t>
            </w:r>
          </w:p>
        </w:tc>
        <w:tc>
          <w:tcPr>
            <w:tcW w:w="957" w:type="dxa"/>
            <w:tcBorders>
              <w:top w:val="nil"/>
              <w:left w:val="nil"/>
              <w:bottom w:val="single" w:sz="4" w:space="0" w:color="auto"/>
              <w:right w:val="single" w:sz="4" w:space="0" w:color="auto"/>
            </w:tcBorders>
            <w:shd w:val="clear" w:color="auto" w:fill="auto"/>
            <w:vAlign w:val="center"/>
            <w:hideMark/>
          </w:tcPr>
          <w:p w14:paraId="45814FF8"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2 222,1 </w:t>
            </w:r>
          </w:p>
        </w:tc>
        <w:tc>
          <w:tcPr>
            <w:tcW w:w="1030" w:type="dxa"/>
            <w:tcBorders>
              <w:top w:val="nil"/>
              <w:left w:val="nil"/>
              <w:bottom w:val="single" w:sz="4" w:space="0" w:color="auto"/>
              <w:right w:val="single" w:sz="4" w:space="0" w:color="auto"/>
            </w:tcBorders>
            <w:shd w:val="clear" w:color="auto" w:fill="auto"/>
            <w:vAlign w:val="center"/>
            <w:hideMark/>
          </w:tcPr>
          <w:p w14:paraId="0CE5C300"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-3 354,2 </w:t>
            </w:r>
          </w:p>
        </w:tc>
        <w:tc>
          <w:tcPr>
            <w:tcW w:w="808" w:type="dxa"/>
            <w:tcBorders>
              <w:top w:val="nil"/>
              <w:left w:val="nil"/>
              <w:bottom w:val="single" w:sz="4" w:space="0" w:color="auto"/>
              <w:right w:val="double" w:sz="6" w:space="0" w:color="auto"/>
            </w:tcBorders>
            <w:shd w:val="clear" w:color="auto" w:fill="auto"/>
            <w:vAlign w:val="center"/>
            <w:hideMark/>
          </w:tcPr>
          <w:p w14:paraId="65768BAC"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-60,2 </w:t>
            </w:r>
          </w:p>
        </w:tc>
      </w:tr>
      <w:tr w:rsidR="00FD7B0B" w:rsidRPr="00FD7B0B" w14:paraId="27A6683A" w14:textId="77777777" w:rsidTr="00E8466B">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1B8FF6EB" w14:textId="77777777" w:rsidR="00D97B4C" w:rsidRPr="00FD7B0B" w:rsidRDefault="00D97B4C" w:rsidP="00060F66">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развитие инфраструктуры дорожного хозяйства, включая средства резервного фонда Правительства РФ</w:t>
            </w:r>
          </w:p>
        </w:tc>
        <w:tc>
          <w:tcPr>
            <w:tcW w:w="890" w:type="dxa"/>
            <w:tcBorders>
              <w:top w:val="nil"/>
              <w:left w:val="nil"/>
              <w:bottom w:val="single" w:sz="4" w:space="0" w:color="auto"/>
              <w:right w:val="single" w:sz="4" w:space="0" w:color="auto"/>
            </w:tcBorders>
            <w:shd w:val="clear" w:color="auto" w:fill="auto"/>
            <w:vAlign w:val="center"/>
            <w:hideMark/>
          </w:tcPr>
          <w:p w14:paraId="7D004339"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1 306,6 </w:t>
            </w:r>
          </w:p>
        </w:tc>
        <w:tc>
          <w:tcPr>
            <w:tcW w:w="957" w:type="dxa"/>
            <w:tcBorders>
              <w:top w:val="nil"/>
              <w:left w:val="nil"/>
              <w:bottom w:val="single" w:sz="4" w:space="0" w:color="auto"/>
              <w:right w:val="single" w:sz="4" w:space="0" w:color="auto"/>
            </w:tcBorders>
            <w:shd w:val="clear" w:color="auto" w:fill="auto"/>
            <w:vAlign w:val="center"/>
            <w:hideMark/>
          </w:tcPr>
          <w:p w14:paraId="0E1FE835"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791BEE86"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-1 306,6 </w:t>
            </w:r>
          </w:p>
        </w:tc>
        <w:tc>
          <w:tcPr>
            <w:tcW w:w="808" w:type="dxa"/>
            <w:tcBorders>
              <w:top w:val="nil"/>
              <w:left w:val="nil"/>
              <w:bottom w:val="single" w:sz="4" w:space="0" w:color="auto"/>
              <w:right w:val="double" w:sz="6" w:space="0" w:color="auto"/>
            </w:tcBorders>
            <w:shd w:val="clear" w:color="auto" w:fill="auto"/>
            <w:vAlign w:val="center"/>
            <w:hideMark/>
          </w:tcPr>
          <w:p w14:paraId="3F9A9081"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-100,0 </w:t>
            </w:r>
          </w:p>
        </w:tc>
      </w:tr>
      <w:tr w:rsidR="00FD7B0B" w:rsidRPr="00FD7B0B" w14:paraId="593A797C" w14:textId="77777777" w:rsidTr="00E8466B">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35F937DC" w14:textId="77777777" w:rsidR="00D97B4C" w:rsidRPr="00FD7B0B" w:rsidRDefault="00D97B4C" w:rsidP="00060F66">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капитальный ремонт, ремонт и содержание региональных автомобильных дорог</w:t>
            </w:r>
          </w:p>
        </w:tc>
        <w:tc>
          <w:tcPr>
            <w:tcW w:w="890" w:type="dxa"/>
            <w:tcBorders>
              <w:top w:val="nil"/>
              <w:left w:val="nil"/>
              <w:bottom w:val="single" w:sz="4" w:space="0" w:color="auto"/>
              <w:right w:val="single" w:sz="4" w:space="0" w:color="auto"/>
            </w:tcBorders>
            <w:shd w:val="clear" w:color="auto" w:fill="auto"/>
            <w:vAlign w:val="center"/>
            <w:hideMark/>
          </w:tcPr>
          <w:p w14:paraId="34E0D501"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620,6 </w:t>
            </w:r>
          </w:p>
        </w:tc>
        <w:tc>
          <w:tcPr>
            <w:tcW w:w="957" w:type="dxa"/>
            <w:tcBorders>
              <w:top w:val="nil"/>
              <w:left w:val="nil"/>
              <w:bottom w:val="single" w:sz="4" w:space="0" w:color="auto"/>
              <w:right w:val="single" w:sz="4" w:space="0" w:color="auto"/>
            </w:tcBorders>
            <w:shd w:val="clear" w:color="auto" w:fill="auto"/>
            <w:vAlign w:val="center"/>
            <w:hideMark/>
          </w:tcPr>
          <w:p w14:paraId="3058584A"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483FC8F4"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-620,6 </w:t>
            </w:r>
          </w:p>
        </w:tc>
        <w:tc>
          <w:tcPr>
            <w:tcW w:w="808" w:type="dxa"/>
            <w:tcBorders>
              <w:top w:val="nil"/>
              <w:left w:val="nil"/>
              <w:bottom w:val="single" w:sz="4" w:space="0" w:color="auto"/>
              <w:right w:val="double" w:sz="6" w:space="0" w:color="auto"/>
            </w:tcBorders>
            <w:shd w:val="clear" w:color="auto" w:fill="auto"/>
            <w:vAlign w:val="center"/>
            <w:hideMark/>
          </w:tcPr>
          <w:p w14:paraId="520D09B6"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-100,0 </w:t>
            </w:r>
          </w:p>
        </w:tc>
      </w:tr>
      <w:tr w:rsidR="00FD7B0B" w:rsidRPr="00FD7B0B" w14:paraId="400F7E5D" w14:textId="77777777" w:rsidTr="00E8466B">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3353793E" w14:textId="77777777" w:rsidR="00D97B4C" w:rsidRPr="00FD7B0B" w:rsidRDefault="00D97B4C" w:rsidP="00060F66">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Региональный проект "Общесистемные меры развития дорожного хозяйства", из них:</w:t>
            </w:r>
          </w:p>
        </w:tc>
        <w:tc>
          <w:tcPr>
            <w:tcW w:w="890" w:type="dxa"/>
            <w:tcBorders>
              <w:top w:val="nil"/>
              <w:left w:val="nil"/>
              <w:bottom w:val="single" w:sz="4" w:space="0" w:color="auto"/>
              <w:right w:val="single" w:sz="4" w:space="0" w:color="auto"/>
            </w:tcBorders>
            <w:shd w:val="clear" w:color="auto" w:fill="auto"/>
            <w:vAlign w:val="center"/>
            <w:hideMark/>
          </w:tcPr>
          <w:p w14:paraId="245F0848"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80,5 </w:t>
            </w:r>
          </w:p>
        </w:tc>
        <w:tc>
          <w:tcPr>
            <w:tcW w:w="957" w:type="dxa"/>
            <w:tcBorders>
              <w:top w:val="nil"/>
              <w:left w:val="nil"/>
              <w:bottom w:val="single" w:sz="4" w:space="0" w:color="auto"/>
              <w:right w:val="single" w:sz="4" w:space="0" w:color="auto"/>
            </w:tcBorders>
            <w:shd w:val="clear" w:color="auto" w:fill="auto"/>
            <w:vAlign w:val="center"/>
            <w:hideMark/>
          </w:tcPr>
          <w:p w14:paraId="6CCD73F1"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89,6 </w:t>
            </w:r>
          </w:p>
        </w:tc>
        <w:tc>
          <w:tcPr>
            <w:tcW w:w="1030" w:type="dxa"/>
            <w:tcBorders>
              <w:top w:val="nil"/>
              <w:left w:val="nil"/>
              <w:bottom w:val="single" w:sz="4" w:space="0" w:color="auto"/>
              <w:right w:val="single" w:sz="4" w:space="0" w:color="auto"/>
            </w:tcBorders>
            <w:shd w:val="clear" w:color="auto" w:fill="auto"/>
            <w:vAlign w:val="center"/>
            <w:hideMark/>
          </w:tcPr>
          <w:p w14:paraId="20E5D0D3"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9,1 </w:t>
            </w:r>
          </w:p>
        </w:tc>
        <w:tc>
          <w:tcPr>
            <w:tcW w:w="808" w:type="dxa"/>
            <w:tcBorders>
              <w:top w:val="nil"/>
              <w:left w:val="nil"/>
              <w:bottom w:val="single" w:sz="4" w:space="0" w:color="auto"/>
              <w:right w:val="double" w:sz="6" w:space="0" w:color="auto"/>
            </w:tcBorders>
            <w:shd w:val="clear" w:color="auto" w:fill="auto"/>
            <w:vAlign w:val="center"/>
            <w:hideMark/>
          </w:tcPr>
          <w:p w14:paraId="2B88F443"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11,3 </w:t>
            </w:r>
          </w:p>
        </w:tc>
      </w:tr>
      <w:tr w:rsidR="00FD7B0B" w:rsidRPr="00FD7B0B" w14:paraId="78446080" w14:textId="77777777" w:rsidTr="00E8466B">
        <w:trPr>
          <w:trHeight w:val="401"/>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2D6F8F53" w14:textId="77777777" w:rsidR="00D97B4C" w:rsidRPr="00FD7B0B" w:rsidRDefault="00D97B4C" w:rsidP="00060F66">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внедрение интеллектуальных транспортных систем, предусматривающих автоматизацию процессов управления дорожным движением в городских агломерациях, включающих города с населением свыше 300 тысяч человек</w:t>
            </w:r>
          </w:p>
        </w:tc>
        <w:tc>
          <w:tcPr>
            <w:tcW w:w="890" w:type="dxa"/>
            <w:tcBorders>
              <w:top w:val="nil"/>
              <w:left w:val="nil"/>
              <w:bottom w:val="single" w:sz="4" w:space="0" w:color="auto"/>
              <w:right w:val="single" w:sz="4" w:space="0" w:color="auto"/>
            </w:tcBorders>
            <w:shd w:val="clear" w:color="auto" w:fill="auto"/>
            <w:vAlign w:val="center"/>
            <w:hideMark/>
          </w:tcPr>
          <w:p w14:paraId="2BDA3F51"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80,5 </w:t>
            </w:r>
          </w:p>
        </w:tc>
        <w:tc>
          <w:tcPr>
            <w:tcW w:w="957" w:type="dxa"/>
            <w:tcBorders>
              <w:top w:val="nil"/>
              <w:left w:val="nil"/>
              <w:bottom w:val="single" w:sz="4" w:space="0" w:color="auto"/>
              <w:right w:val="single" w:sz="4" w:space="0" w:color="auto"/>
            </w:tcBorders>
            <w:shd w:val="clear" w:color="auto" w:fill="auto"/>
            <w:vAlign w:val="center"/>
            <w:hideMark/>
          </w:tcPr>
          <w:p w14:paraId="6EBBC9EF"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89,6 </w:t>
            </w:r>
          </w:p>
        </w:tc>
        <w:tc>
          <w:tcPr>
            <w:tcW w:w="1030" w:type="dxa"/>
            <w:tcBorders>
              <w:top w:val="nil"/>
              <w:left w:val="nil"/>
              <w:bottom w:val="single" w:sz="4" w:space="0" w:color="auto"/>
              <w:right w:val="single" w:sz="4" w:space="0" w:color="auto"/>
            </w:tcBorders>
            <w:shd w:val="clear" w:color="auto" w:fill="auto"/>
            <w:vAlign w:val="center"/>
            <w:hideMark/>
          </w:tcPr>
          <w:p w14:paraId="353EC8EA"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9,1 </w:t>
            </w:r>
          </w:p>
        </w:tc>
        <w:tc>
          <w:tcPr>
            <w:tcW w:w="808" w:type="dxa"/>
            <w:tcBorders>
              <w:top w:val="nil"/>
              <w:left w:val="nil"/>
              <w:bottom w:val="single" w:sz="4" w:space="0" w:color="auto"/>
              <w:right w:val="double" w:sz="6" w:space="0" w:color="auto"/>
            </w:tcBorders>
            <w:shd w:val="clear" w:color="auto" w:fill="auto"/>
            <w:vAlign w:val="center"/>
            <w:hideMark/>
          </w:tcPr>
          <w:p w14:paraId="44AE92D9"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11,3 </w:t>
            </w:r>
          </w:p>
        </w:tc>
      </w:tr>
      <w:tr w:rsidR="00FD7B0B" w:rsidRPr="00FD7B0B" w14:paraId="130057DB" w14:textId="77777777" w:rsidTr="00E8466B">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72370E40" w14:textId="77777777" w:rsidR="00D97B4C" w:rsidRPr="00FD7B0B" w:rsidRDefault="00D97B4C" w:rsidP="00060F66">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Федеральный проект "Безопасность дорожного движения", из них:</w:t>
            </w:r>
          </w:p>
        </w:tc>
        <w:tc>
          <w:tcPr>
            <w:tcW w:w="890" w:type="dxa"/>
            <w:tcBorders>
              <w:top w:val="nil"/>
              <w:left w:val="nil"/>
              <w:bottom w:val="single" w:sz="4" w:space="0" w:color="auto"/>
              <w:right w:val="single" w:sz="4" w:space="0" w:color="auto"/>
            </w:tcBorders>
            <w:shd w:val="clear" w:color="auto" w:fill="auto"/>
            <w:vAlign w:val="center"/>
            <w:hideMark/>
          </w:tcPr>
          <w:p w14:paraId="452AA1EA"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88,6 </w:t>
            </w:r>
          </w:p>
        </w:tc>
        <w:tc>
          <w:tcPr>
            <w:tcW w:w="957" w:type="dxa"/>
            <w:tcBorders>
              <w:top w:val="nil"/>
              <w:left w:val="nil"/>
              <w:bottom w:val="single" w:sz="4" w:space="0" w:color="auto"/>
              <w:right w:val="single" w:sz="4" w:space="0" w:color="auto"/>
            </w:tcBorders>
            <w:shd w:val="clear" w:color="auto" w:fill="auto"/>
            <w:vAlign w:val="center"/>
            <w:hideMark/>
          </w:tcPr>
          <w:p w14:paraId="0F9260CF"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83,5 </w:t>
            </w:r>
          </w:p>
        </w:tc>
        <w:tc>
          <w:tcPr>
            <w:tcW w:w="1030" w:type="dxa"/>
            <w:tcBorders>
              <w:top w:val="nil"/>
              <w:left w:val="nil"/>
              <w:bottom w:val="single" w:sz="4" w:space="0" w:color="auto"/>
              <w:right w:val="single" w:sz="4" w:space="0" w:color="auto"/>
            </w:tcBorders>
            <w:shd w:val="clear" w:color="auto" w:fill="auto"/>
            <w:vAlign w:val="center"/>
            <w:hideMark/>
          </w:tcPr>
          <w:p w14:paraId="7D988DA8"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-5,0 </w:t>
            </w:r>
          </w:p>
        </w:tc>
        <w:tc>
          <w:tcPr>
            <w:tcW w:w="808" w:type="dxa"/>
            <w:tcBorders>
              <w:top w:val="nil"/>
              <w:left w:val="nil"/>
              <w:bottom w:val="single" w:sz="4" w:space="0" w:color="auto"/>
              <w:right w:val="double" w:sz="6" w:space="0" w:color="auto"/>
            </w:tcBorders>
            <w:shd w:val="clear" w:color="auto" w:fill="auto"/>
            <w:vAlign w:val="center"/>
            <w:hideMark/>
          </w:tcPr>
          <w:p w14:paraId="607F6987" w14:textId="77777777" w:rsidR="00D97B4C" w:rsidRPr="00FD7B0B" w:rsidRDefault="00D97B4C" w:rsidP="00060F66">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-5,7 </w:t>
            </w:r>
          </w:p>
        </w:tc>
      </w:tr>
      <w:tr w:rsidR="00D97B4C" w:rsidRPr="00FD7B0B" w14:paraId="30B68D40" w14:textId="77777777" w:rsidTr="00E8466B">
        <w:trPr>
          <w:trHeight w:val="480"/>
        </w:trPr>
        <w:tc>
          <w:tcPr>
            <w:tcW w:w="5931" w:type="dxa"/>
            <w:tcBorders>
              <w:top w:val="nil"/>
              <w:left w:val="double" w:sz="6" w:space="0" w:color="auto"/>
              <w:bottom w:val="double" w:sz="6" w:space="0" w:color="auto"/>
              <w:right w:val="single" w:sz="4" w:space="0" w:color="auto"/>
            </w:tcBorders>
            <w:shd w:val="clear" w:color="auto" w:fill="auto"/>
            <w:vAlign w:val="center"/>
            <w:hideMark/>
          </w:tcPr>
          <w:p w14:paraId="0F37310C" w14:textId="77777777" w:rsidR="00D97B4C" w:rsidRPr="00FD7B0B" w:rsidRDefault="00D97B4C" w:rsidP="00060F66">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оснащение государственных медицинских организаций автомобилями скорой медицинской помощи класса "В" и "С" для оказания скорой медицинской помощи пациентам, пострадавшим при дорожно-транспортных происшествиях</w:t>
            </w:r>
          </w:p>
        </w:tc>
        <w:tc>
          <w:tcPr>
            <w:tcW w:w="890" w:type="dxa"/>
            <w:tcBorders>
              <w:top w:val="nil"/>
              <w:left w:val="nil"/>
              <w:bottom w:val="double" w:sz="6" w:space="0" w:color="auto"/>
              <w:right w:val="single" w:sz="4" w:space="0" w:color="auto"/>
            </w:tcBorders>
            <w:shd w:val="clear" w:color="auto" w:fill="auto"/>
            <w:vAlign w:val="center"/>
            <w:hideMark/>
          </w:tcPr>
          <w:p w14:paraId="53614D95"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30,0 </w:t>
            </w:r>
          </w:p>
        </w:tc>
        <w:tc>
          <w:tcPr>
            <w:tcW w:w="957" w:type="dxa"/>
            <w:tcBorders>
              <w:top w:val="nil"/>
              <w:left w:val="nil"/>
              <w:bottom w:val="double" w:sz="6" w:space="0" w:color="auto"/>
              <w:right w:val="single" w:sz="4" w:space="0" w:color="auto"/>
            </w:tcBorders>
            <w:shd w:val="clear" w:color="auto" w:fill="auto"/>
            <w:vAlign w:val="center"/>
            <w:hideMark/>
          </w:tcPr>
          <w:p w14:paraId="56EA3E1F"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24,7 </w:t>
            </w:r>
          </w:p>
        </w:tc>
        <w:tc>
          <w:tcPr>
            <w:tcW w:w="1030" w:type="dxa"/>
            <w:tcBorders>
              <w:top w:val="nil"/>
              <w:left w:val="nil"/>
              <w:bottom w:val="double" w:sz="6" w:space="0" w:color="auto"/>
              <w:right w:val="single" w:sz="4" w:space="0" w:color="auto"/>
            </w:tcBorders>
            <w:shd w:val="clear" w:color="auto" w:fill="auto"/>
            <w:vAlign w:val="center"/>
            <w:hideMark/>
          </w:tcPr>
          <w:p w14:paraId="735E01CD"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-5,3 </w:t>
            </w:r>
          </w:p>
        </w:tc>
        <w:tc>
          <w:tcPr>
            <w:tcW w:w="808" w:type="dxa"/>
            <w:tcBorders>
              <w:top w:val="nil"/>
              <w:left w:val="nil"/>
              <w:bottom w:val="double" w:sz="6" w:space="0" w:color="auto"/>
              <w:right w:val="double" w:sz="6" w:space="0" w:color="auto"/>
            </w:tcBorders>
            <w:shd w:val="clear" w:color="auto" w:fill="auto"/>
            <w:vAlign w:val="center"/>
            <w:hideMark/>
          </w:tcPr>
          <w:p w14:paraId="78780DCE" w14:textId="77777777" w:rsidR="00D97B4C" w:rsidRPr="00FD7B0B" w:rsidRDefault="00D97B4C" w:rsidP="00060F66">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-17,8 </w:t>
            </w:r>
          </w:p>
        </w:tc>
      </w:tr>
    </w:tbl>
    <w:p w14:paraId="66559C00" w14:textId="77777777" w:rsidR="00D97B4C" w:rsidRPr="00FD7B0B" w:rsidRDefault="00D97B4C" w:rsidP="00E8466B">
      <w:pPr>
        <w:spacing w:after="0" w:line="240" w:lineRule="auto"/>
        <w:ind w:firstLine="709"/>
        <w:jc w:val="both"/>
        <w:rPr>
          <w:rFonts w:ascii="Times New Roman" w:eastAsia="Calibri" w:hAnsi="Times New Roman" w:cs="Times New Roman"/>
          <w:sz w:val="28"/>
          <w:szCs w:val="28"/>
        </w:rPr>
      </w:pPr>
    </w:p>
    <w:p w14:paraId="7D4E9E56" w14:textId="4621D7F5" w:rsidR="00D97B4C" w:rsidRPr="00FD7B0B" w:rsidRDefault="00D97B4C" w:rsidP="00E8466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Основное снижение расходов на реализацию НП РФ «Безопасные качественные автомобильные дороги» в 2024 году связано с реализацией РП АО «Региональная и местная дорожная сеть» – на 28,1 % (-2 762,1 млн.руб.), из них расходы на приведение в нормативное состояние автомобильных дорог и </w:t>
      </w:r>
      <w:r w:rsidRPr="00FD7B0B">
        <w:rPr>
          <w:rFonts w:ascii="Times New Roman" w:eastAsia="Calibri" w:hAnsi="Times New Roman" w:cs="Times New Roman"/>
          <w:sz w:val="28"/>
          <w:szCs w:val="28"/>
        </w:rPr>
        <w:lastRenderedPageBreak/>
        <w:t xml:space="preserve">искусственных дорожных сооружений, включая средства бюджетных кредитов из федерального бюджета в целях опережающего финансового обеспечения расходных обязательств субъектов РФ и средства резервного фонда Правительства РФ – </w:t>
      </w:r>
      <w:r w:rsidR="00E8466B" w:rsidRPr="00FD7B0B">
        <w:rPr>
          <w:rFonts w:ascii="Times New Roman" w:eastAsia="Calibri" w:hAnsi="Times New Roman" w:cs="Times New Roman"/>
          <w:sz w:val="28"/>
          <w:szCs w:val="28"/>
        </w:rPr>
        <w:t>сократились</w:t>
      </w:r>
      <w:r w:rsidRPr="00FD7B0B">
        <w:rPr>
          <w:rFonts w:ascii="Times New Roman" w:eastAsia="Calibri" w:hAnsi="Times New Roman" w:cs="Times New Roman"/>
          <w:sz w:val="28"/>
          <w:szCs w:val="28"/>
        </w:rPr>
        <w:t xml:space="preserve"> на 60,2 % (-3 354,2 млн.руб.), из них за счет средств бюджетных кредитов – на 2 607,0 млн.руб., т.к. данные расходы осуществляюсь только в 2023 году.</w:t>
      </w:r>
    </w:p>
    <w:p w14:paraId="4C1D507D" w14:textId="4400216F" w:rsidR="00D97B4C" w:rsidRPr="00FD7B0B" w:rsidRDefault="00D97B4C" w:rsidP="00E8466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B21118" w:rsidRPr="00FD7B0B">
        <w:rPr>
          <w:rFonts w:ascii="Times New Roman" w:eastAsia="Calibri" w:hAnsi="Times New Roman" w:cs="Times New Roman"/>
          <w:sz w:val="28"/>
          <w:szCs w:val="28"/>
        </w:rPr>
        <w:t>255</w:t>
      </w:r>
      <w:r w:rsidRPr="00FD7B0B">
        <w:rPr>
          <w:rFonts w:ascii="Times New Roman" w:eastAsia="Calibri" w:hAnsi="Times New Roman" w:cs="Times New Roman"/>
          <w:sz w:val="28"/>
          <w:szCs w:val="28"/>
        </w:rPr>
        <w:t xml:space="preserve"> представлена информация о расходах областного бюджета на реализацию НП РФ «Жилье и городская среда» за 2023 – 2024 годы.</w:t>
      </w:r>
    </w:p>
    <w:p w14:paraId="1BA5A002" w14:textId="77777777" w:rsidR="00D97B4C" w:rsidRPr="00FD7B0B" w:rsidRDefault="00D97B4C" w:rsidP="00E8466B">
      <w:pPr>
        <w:spacing w:after="0" w:line="240" w:lineRule="auto"/>
        <w:rPr>
          <w:rFonts w:ascii="Times New Roman" w:eastAsia="Calibri" w:hAnsi="Times New Roman" w:cs="Times New Roman"/>
          <w:bCs/>
          <w:sz w:val="24"/>
          <w:szCs w:val="24"/>
        </w:rPr>
      </w:pPr>
    </w:p>
    <w:p w14:paraId="3BF822FA" w14:textId="09222018" w:rsidR="00D97B4C" w:rsidRPr="00FD7B0B" w:rsidRDefault="00D97B4C" w:rsidP="00E8466B">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255</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направленные на реализацию национального проекта РФ «Жилье и городская среда» за 2023 – 2024 годы, млн.руб.</w:t>
      </w:r>
    </w:p>
    <w:tbl>
      <w:tblPr>
        <w:tblW w:w="9616" w:type="dxa"/>
        <w:tblLayout w:type="fixed"/>
        <w:tblLook w:val="04A0" w:firstRow="1" w:lastRow="0" w:firstColumn="1" w:lastColumn="0" w:noHBand="0" w:noVBand="1"/>
      </w:tblPr>
      <w:tblGrid>
        <w:gridCol w:w="5931"/>
        <w:gridCol w:w="980"/>
        <w:gridCol w:w="899"/>
        <w:gridCol w:w="1030"/>
        <w:gridCol w:w="776"/>
      </w:tblGrid>
      <w:tr w:rsidR="00FD7B0B" w:rsidRPr="00FD7B0B" w14:paraId="27D7A0AF" w14:textId="77777777" w:rsidTr="004949F4">
        <w:trPr>
          <w:trHeight w:val="35"/>
          <w:tblHeader/>
        </w:trPr>
        <w:tc>
          <w:tcPr>
            <w:tcW w:w="593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96297C7" w14:textId="77777777" w:rsidR="00D97B4C" w:rsidRPr="00FD7B0B" w:rsidRDefault="00D97B4C" w:rsidP="004949F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w:t>
            </w:r>
          </w:p>
        </w:tc>
        <w:tc>
          <w:tcPr>
            <w:tcW w:w="98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66587A9" w14:textId="77777777" w:rsidR="00D97B4C" w:rsidRPr="00FD7B0B" w:rsidRDefault="00D97B4C" w:rsidP="004949F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2023 год</w:t>
            </w:r>
          </w:p>
        </w:tc>
        <w:tc>
          <w:tcPr>
            <w:tcW w:w="89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012141E" w14:textId="77777777" w:rsidR="00D97B4C" w:rsidRPr="00FD7B0B" w:rsidRDefault="00D97B4C" w:rsidP="004949F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2024 год</w:t>
            </w:r>
          </w:p>
        </w:tc>
        <w:tc>
          <w:tcPr>
            <w:tcW w:w="1806" w:type="dxa"/>
            <w:gridSpan w:val="2"/>
            <w:tcBorders>
              <w:top w:val="double" w:sz="6" w:space="0" w:color="auto"/>
              <w:left w:val="nil"/>
              <w:bottom w:val="single" w:sz="4" w:space="0" w:color="auto"/>
              <w:right w:val="double" w:sz="6" w:space="0" w:color="000000"/>
            </w:tcBorders>
            <w:shd w:val="clear" w:color="auto" w:fill="auto"/>
            <w:vAlign w:val="center"/>
            <w:hideMark/>
          </w:tcPr>
          <w:p w14:paraId="609AA5CD" w14:textId="77777777" w:rsidR="00D97B4C" w:rsidRPr="00FD7B0B" w:rsidRDefault="00D97B4C" w:rsidP="004949F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Изменения (+,-)</w:t>
            </w:r>
          </w:p>
        </w:tc>
      </w:tr>
      <w:tr w:rsidR="00FD7B0B" w:rsidRPr="00FD7B0B" w14:paraId="1AE6179C" w14:textId="77777777" w:rsidTr="004949F4">
        <w:trPr>
          <w:trHeight w:val="35"/>
          <w:tblHeader/>
        </w:trPr>
        <w:tc>
          <w:tcPr>
            <w:tcW w:w="5931" w:type="dxa"/>
            <w:vMerge/>
            <w:tcBorders>
              <w:top w:val="double" w:sz="6" w:space="0" w:color="auto"/>
              <w:left w:val="double" w:sz="6" w:space="0" w:color="auto"/>
              <w:bottom w:val="single" w:sz="4" w:space="0" w:color="auto"/>
              <w:right w:val="single" w:sz="4" w:space="0" w:color="auto"/>
            </w:tcBorders>
            <w:vAlign w:val="center"/>
            <w:hideMark/>
          </w:tcPr>
          <w:p w14:paraId="163C330B" w14:textId="77777777" w:rsidR="00D97B4C" w:rsidRPr="00FD7B0B" w:rsidRDefault="00D97B4C" w:rsidP="004949F4">
            <w:pPr>
              <w:spacing w:after="0" w:line="240" w:lineRule="auto"/>
              <w:rPr>
                <w:rFonts w:ascii="Times New Roman" w:eastAsia="Times New Roman" w:hAnsi="Times New Roman" w:cs="Times New Roman"/>
                <w:b/>
                <w:bCs/>
                <w:sz w:val="21"/>
                <w:szCs w:val="21"/>
                <w:lang w:eastAsia="ru-RU"/>
              </w:rPr>
            </w:pPr>
          </w:p>
        </w:tc>
        <w:tc>
          <w:tcPr>
            <w:tcW w:w="980" w:type="dxa"/>
            <w:vMerge/>
            <w:tcBorders>
              <w:top w:val="double" w:sz="6" w:space="0" w:color="auto"/>
              <w:left w:val="single" w:sz="4" w:space="0" w:color="auto"/>
              <w:bottom w:val="single" w:sz="4" w:space="0" w:color="auto"/>
              <w:right w:val="single" w:sz="4" w:space="0" w:color="auto"/>
            </w:tcBorders>
            <w:vAlign w:val="center"/>
            <w:hideMark/>
          </w:tcPr>
          <w:p w14:paraId="1E7EDBD4" w14:textId="77777777" w:rsidR="00D97B4C" w:rsidRPr="00FD7B0B" w:rsidRDefault="00D97B4C" w:rsidP="004949F4">
            <w:pPr>
              <w:spacing w:after="0" w:line="240" w:lineRule="auto"/>
              <w:rPr>
                <w:rFonts w:ascii="Times New Roman" w:eastAsia="Times New Roman" w:hAnsi="Times New Roman" w:cs="Times New Roman"/>
                <w:b/>
                <w:bCs/>
                <w:sz w:val="21"/>
                <w:szCs w:val="21"/>
                <w:lang w:eastAsia="ru-RU"/>
              </w:rPr>
            </w:pPr>
          </w:p>
        </w:tc>
        <w:tc>
          <w:tcPr>
            <w:tcW w:w="899" w:type="dxa"/>
            <w:vMerge/>
            <w:tcBorders>
              <w:top w:val="double" w:sz="6" w:space="0" w:color="auto"/>
              <w:left w:val="single" w:sz="4" w:space="0" w:color="auto"/>
              <w:bottom w:val="single" w:sz="4" w:space="0" w:color="auto"/>
              <w:right w:val="single" w:sz="4" w:space="0" w:color="auto"/>
            </w:tcBorders>
            <w:vAlign w:val="center"/>
            <w:hideMark/>
          </w:tcPr>
          <w:p w14:paraId="03C41BA7" w14:textId="77777777" w:rsidR="00D97B4C" w:rsidRPr="00FD7B0B" w:rsidRDefault="00D97B4C" w:rsidP="004949F4">
            <w:pPr>
              <w:spacing w:after="0" w:line="240" w:lineRule="auto"/>
              <w:rPr>
                <w:rFonts w:ascii="Times New Roman" w:eastAsia="Times New Roman" w:hAnsi="Times New Roman" w:cs="Times New Roman"/>
                <w:b/>
                <w:bCs/>
                <w:sz w:val="21"/>
                <w:szCs w:val="21"/>
                <w:lang w:eastAsia="ru-RU"/>
              </w:rPr>
            </w:pPr>
          </w:p>
        </w:tc>
        <w:tc>
          <w:tcPr>
            <w:tcW w:w="1030" w:type="dxa"/>
            <w:tcBorders>
              <w:top w:val="nil"/>
              <w:left w:val="nil"/>
              <w:bottom w:val="single" w:sz="4" w:space="0" w:color="auto"/>
              <w:right w:val="single" w:sz="4" w:space="0" w:color="auto"/>
            </w:tcBorders>
            <w:shd w:val="clear" w:color="auto" w:fill="auto"/>
            <w:vAlign w:val="center"/>
            <w:hideMark/>
          </w:tcPr>
          <w:p w14:paraId="15657BA9" w14:textId="77777777" w:rsidR="00D97B4C" w:rsidRPr="00FD7B0B" w:rsidRDefault="00D97B4C" w:rsidP="004949F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млн.руб.</w:t>
            </w:r>
          </w:p>
        </w:tc>
        <w:tc>
          <w:tcPr>
            <w:tcW w:w="776" w:type="dxa"/>
            <w:tcBorders>
              <w:top w:val="nil"/>
              <w:left w:val="nil"/>
              <w:bottom w:val="single" w:sz="4" w:space="0" w:color="auto"/>
              <w:right w:val="double" w:sz="6" w:space="0" w:color="auto"/>
            </w:tcBorders>
            <w:shd w:val="clear" w:color="auto" w:fill="auto"/>
            <w:vAlign w:val="center"/>
            <w:hideMark/>
          </w:tcPr>
          <w:p w14:paraId="7145B964" w14:textId="1DFF4D79" w:rsidR="00D97B4C" w:rsidRPr="00FD7B0B" w:rsidRDefault="00D97B4C" w:rsidP="004949F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4CD55608" w14:textId="77777777" w:rsidTr="004949F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08246CE7" w14:textId="77777777" w:rsidR="00D97B4C" w:rsidRPr="00FD7B0B" w:rsidRDefault="00D97B4C" w:rsidP="004949F4">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НП "Жилье и городская среда", в т.ч.:</w:t>
            </w:r>
          </w:p>
        </w:tc>
        <w:tc>
          <w:tcPr>
            <w:tcW w:w="980" w:type="dxa"/>
            <w:tcBorders>
              <w:top w:val="nil"/>
              <w:left w:val="nil"/>
              <w:bottom w:val="single" w:sz="4" w:space="0" w:color="auto"/>
              <w:right w:val="single" w:sz="4" w:space="0" w:color="auto"/>
            </w:tcBorders>
            <w:shd w:val="clear" w:color="auto" w:fill="auto"/>
            <w:vAlign w:val="center"/>
            <w:hideMark/>
          </w:tcPr>
          <w:p w14:paraId="78729A5A" w14:textId="77777777" w:rsidR="00D97B4C" w:rsidRPr="00FD7B0B" w:rsidRDefault="00D97B4C" w:rsidP="004949F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10 295,7 </w:t>
            </w:r>
          </w:p>
        </w:tc>
        <w:tc>
          <w:tcPr>
            <w:tcW w:w="899" w:type="dxa"/>
            <w:tcBorders>
              <w:top w:val="nil"/>
              <w:left w:val="nil"/>
              <w:bottom w:val="single" w:sz="4" w:space="0" w:color="auto"/>
              <w:right w:val="single" w:sz="4" w:space="0" w:color="auto"/>
            </w:tcBorders>
            <w:shd w:val="clear" w:color="auto" w:fill="auto"/>
            <w:vAlign w:val="center"/>
            <w:hideMark/>
          </w:tcPr>
          <w:p w14:paraId="5F9876FD" w14:textId="77777777" w:rsidR="00D97B4C" w:rsidRPr="00FD7B0B" w:rsidRDefault="00D97B4C" w:rsidP="004949F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4 038,8 </w:t>
            </w:r>
          </w:p>
        </w:tc>
        <w:tc>
          <w:tcPr>
            <w:tcW w:w="1030" w:type="dxa"/>
            <w:tcBorders>
              <w:top w:val="nil"/>
              <w:left w:val="nil"/>
              <w:bottom w:val="single" w:sz="4" w:space="0" w:color="auto"/>
              <w:right w:val="single" w:sz="4" w:space="0" w:color="auto"/>
            </w:tcBorders>
            <w:shd w:val="clear" w:color="auto" w:fill="auto"/>
            <w:vAlign w:val="center"/>
            <w:hideMark/>
          </w:tcPr>
          <w:p w14:paraId="7719B155" w14:textId="77777777" w:rsidR="00D97B4C" w:rsidRPr="00FD7B0B" w:rsidRDefault="00D97B4C" w:rsidP="004949F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-6 256,8 </w:t>
            </w:r>
          </w:p>
        </w:tc>
        <w:tc>
          <w:tcPr>
            <w:tcW w:w="776" w:type="dxa"/>
            <w:tcBorders>
              <w:top w:val="nil"/>
              <w:left w:val="nil"/>
              <w:bottom w:val="single" w:sz="4" w:space="0" w:color="auto"/>
              <w:right w:val="double" w:sz="6" w:space="0" w:color="auto"/>
            </w:tcBorders>
            <w:shd w:val="clear" w:color="auto" w:fill="auto"/>
            <w:vAlign w:val="center"/>
            <w:hideMark/>
          </w:tcPr>
          <w:p w14:paraId="2FB4F986" w14:textId="77777777" w:rsidR="00D97B4C" w:rsidRPr="00FD7B0B" w:rsidRDefault="00D97B4C" w:rsidP="004949F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-60,8 </w:t>
            </w:r>
          </w:p>
        </w:tc>
      </w:tr>
      <w:tr w:rsidR="00FD7B0B" w:rsidRPr="00FD7B0B" w14:paraId="330A944E" w14:textId="77777777" w:rsidTr="004949F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2F524E45" w14:textId="77777777" w:rsidR="00D97B4C" w:rsidRPr="00FD7B0B" w:rsidRDefault="00D97B4C" w:rsidP="004949F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РП "Формирование комфортной городской среды", из них:</w:t>
            </w:r>
          </w:p>
        </w:tc>
        <w:tc>
          <w:tcPr>
            <w:tcW w:w="980" w:type="dxa"/>
            <w:tcBorders>
              <w:top w:val="nil"/>
              <w:left w:val="nil"/>
              <w:bottom w:val="single" w:sz="4" w:space="0" w:color="auto"/>
              <w:right w:val="single" w:sz="4" w:space="0" w:color="auto"/>
            </w:tcBorders>
            <w:shd w:val="clear" w:color="auto" w:fill="auto"/>
            <w:vAlign w:val="center"/>
            <w:hideMark/>
          </w:tcPr>
          <w:p w14:paraId="03916CFC"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547,0 </w:t>
            </w:r>
          </w:p>
        </w:tc>
        <w:tc>
          <w:tcPr>
            <w:tcW w:w="899" w:type="dxa"/>
            <w:tcBorders>
              <w:top w:val="nil"/>
              <w:left w:val="nil"/>
              <w:bottom w:val="single" w:sz="4" w:space="0" w:color="auto"/>
              <w:right w:val="single" w:sz="4" w:space="0" w:color="auto"/>
            </w:tcBorders>
            <w:shd w:val="clear" w:color="auto" w:fill="auto"/>
            <w:vAlign w:val="center"/>
            <w:hideMark/>
          </w:tcPr>
          <w:p w14:paraId="7D0EB0B2"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553,4 </w:t>
            </w:r>
          </w:p>
        </w:tc>
        <w:tc>
          <w:tcPr>
            <w:tcW w:w="1030" w:type="dxa"/>
            <w:tcBorders>
              <w:top w:val="nil"/>
              <w:left w:val="nil"/>
              <w:bottom w:val="single" w:sz="4" w:space="0" w:color="auto"/>
              <w:right w:val="single" w:sz="4" w:space="0" w:color="auto"/>
            </w:tcBorders>
            <w:shd w:val="clear" w:color="auto" w:fill="auto"/>
            <w:vAlign w:val="center"/>
            <w:hideMark/>
          </w:tcPr>
          <w:p w14:paraId="379DA2DD"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6,4 </w:t>
            </w:r>
          </w:p>
        </w:tc>
        <w:tc>
          <w:tcPr>
            <w:tcW w:w="776" w:type="dxa"/>
            <w:tcBorders>
              <w:top w:val="nil"/>
              <w:left w:val="nil"/>
              <w:bottom w:val="single" w:sz="4" w:space="0" w:color="auto"/>
              <w:right w:val="double" w:sz="6" w:space="0" w:color="auto"/>
            </w:tcBorders>
            <w:shd w:val="clear" w:color="auto" w:fill="auto"/>
            <w:vAlign w:val="center"/>
            <w:hideMark/>
          </w:tcPr>
          <w:p w14:paraId="357DB80D"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1,2 </w:t>
            </w:r>
          </w:p>
        </w:tc>
      </w:tr>
      <w:tr w:rsidR="00FD7B0B" w:rsidRPr="00FD7B0B" w14:paraId="37CB38CB" w14:textId="77777777" w:rsidTr="004949F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37E8360D" w14:textId="77777777" w:rsidR="00D97B4C" w:rsidRPr="00FD7B0B" w:rsidRDefault="00D97B4C" w:rsidP="004949F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включая средства резервного фонда Правительства РФ</w:t>
            </w:r>
          </w:p>
        </w:tc>
        <w:tc>
          <w:tcPr>
            <w:tcW w:w="980" w:type="dxa"/>
            <w:tcBorders>
              <w:top w:val="nil"/>
              <w:left w:val="nil"/>
              <w:bottom w:val="single" w:sz="4" w:space="0" w:color="auto"/>
              <w:right w:val="single" w:sz="4" w:space="0" w:color="auto"/>
            </w:tcBorders>
            <w:shd w:val="clear" w:color="auto" w:fill="auto"/>
            <w:vAlign w:val="center"/>
            <w:hideMark/>
          </w:tcPr>
          <w:p w14:paraId="626E4FA9"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235,8 </w:t>
            </w:r>
          </w:p>
        </w:tc>
        <w:tc>
          <w:tcPr>
            <w:tcW w:w="899" w:type="dxa"/>
            <w:tcBorders>
              <w:top w:val="nil"/>
              <w:left w:val="nil"/>
              <w:bottom w:val="single" w:sz="4" w:space="0" w:color="auto"/>
              <w:right w:val="single" w:sz="4" w:space="0" w:color="auto"/>
            </w:tcBorders>
            <w:shd w:val="clear" w:color="auto" w:fill="auto"/>
            <w:vAlign w:val="center"/>
            <w:hideMark/>
          </w:tcPr>
          <w:p w14:paraId="3CF2F66A"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293,2 </w:t>
            </w:r>
          </w:p>
        </w:tc>
        <w:tc>
          <w:tcPr>
            <w:tcW w:w="1030" w:type="dxa"/>
            <w:tcBorders>
              <w:top w:val="nil"/>
              <w:left w:val="nil"/>
              <w:bottom w:val="single" w:sz="4" w:space="0" w:color="auto"/>
              <w:right w:val="single" w:sz="4" w:space="0" w:color="auto"/>
            </w:tcBorders>
            <w:shd w:val="clear" w:color="auto" w:fill="auto"/>
            <w:vAlign w:val="center"/>
            <w:hideMark/>
          </w:tcPr>
          <w:p w14:paraId="4FE40930"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57,4 </w:t>
            </w:r>
          </w:p>
        </w:tc>
        <w:tc>
          <w:tcPr>
            <w:tcW w:w="776" w:type="dxa"/>
            <w:tcBorders>
              <w:top w:val="nil"/>
              <w:left w:val="nil"/>
              <w:bottom w:val="single" w:sz="4" w:space="0" w:color="auto"/>
              <w:right w:val="double" w:sz="6" w:space="0" w:color="auto"/>
            </w:tcBorders>
            <w:shd w:val="clear" w:color="auto" w:fill="auto"/>
            <w:vAlign w:val="center"/>
            <w:hideMark/>
          </w:tcPr>
          <w:p w14:paraId="7A41579E"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24,3 </w:t>
            </w:r>
          </w:p>
        </w:tc>
      </w:tr>
      <w:tr w:rsidR="00FD7B0B" w:rsidRPr="00FD7B0B" w14:paraId="4B0456FE" w14:textId="77777777" w:rsidTr="004949F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0A4E88E9" w14:textId="77777777" w:rsidR="00D97B4C" w:rsidRPr="00FD7B0B" w:rsidRDefault="00D97B4C" w:rsidP="004949F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реализация муниципальных программ формирования современной городской среды </w:t>
            </w:r>
          </w:p>
        </w:tc>
        <w:tc>
          <w:tcPr>
            <w:tcW w:w="980" w:type="dxa"/>
            <w:tcBorders>
              <w:top w:val="nil"/>
              <w:left w:val="nil"/>
              <w:bottom w:val="single" w:sz="4" w:space="0" w:color="auto"/>
              <w:right w:val="single" w:sz="4" w:space="0" w:color="auto"/>
            </w:tcBorders>
            <w:shd w:val="clear" w:color="auto" w:fill="auto"/>
            <w:vAlign w:val="center"/>
            <w:hideMark/>
          </w:tcPr>
          <w:p w14:paraId="01E6F8DD"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311,2 </w:t>
            </w:r>
          </w:p>
        </w:tc>
        <w:tc>
          <w:tcPr>
            <w:tcW w:w="899" w:type="dxa"/>
            <w:tcBorders>
              <w:top w:val="nil"/>
              <w:left w:val="nil"/>
              <w:bottom w:val="single" w:sz="4" w:space="0" w:color="auto"/>
              <w:right w:val="single" w:sz="4" w:space="0" w:color="auto"/>
            </w:tcBorders>
            <w:shd w:val="clear" w:color="auto" w:fill="auto"/>
            <w:vAlign w:val="center"/>
            <w:hideMark/>
          </w:tcPr>
          <w:p w14:paraId="14E5DBD4"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260,2 </w:t>
            </w:r>
          </w:p>
        </w:tc>
        <w:tc>
          <w:tcPr>
            <w:tcW w:w="1030" w:type="dxa"/>
            <w:tcBorders>
              <w:top w:val="nil"/>
              <w:left w:val="nil"/>
              <w:bottom w:val="single" w:sz="4" w:space="0" w:color="auto"/>
              <w:right w:val="single" w:sz="4" w:space="0" w:color="auto"/>
            </w:tcBorders>
            <w:shd w:val="clear" w:color="auto" w:fill="auto"/>
            <w:vAlign w:val="center"/>
            <w:hideMark/>
          </w:tcPr>
          <w:p w14:paraId="512F0791"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-50,9 </w:t>
            </w:r>
          </w:p>
        </w:tc>
        <w:tc>
          <w:tcPr>
            <w:tcW w:w="776" w:type="dxa"/>
            <w:tcBorders>
              <w:top w:val="nil"/>
              <w:left w:val="nil"/>
              <w:bottom w:val="single" w:sz="4" w:space="0" w:color="auto"/>
              <w:right w:val="double" w:sz="6" w:space="0" w:color="auto"/>
            </w:tcBorders>
            <w:shd w:val="clear" w:color="auto" w:fill="auto"/>
            <w:vAlign w:val="center"/>
            <w:hideMark/>
          </w:tcPr>
          <w:p w14:paraId="14423552"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-16,4 </w:t>
            </w:r>
          </w:p>
        </w:tc>
      </w:tr>
      <w:tr w:rsidR="00FD7B0B" w:rsidRPr="00FD7B0B" w14:paraId="0BFD5922" w14:textId="77777777" w:rsidTr="004949F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008A1DB4" w14:textId="77777777" w:rsidR="00D97B4C" w:rsidRPr="00FD7B0B" w:rsidRDefault="00D97B4C" w:rsidP="004949F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РП "Обеспечение устойчивого сокращения непригодного для проживания жилищного фонда", из них:</w:t>
            </w:r>
          </w:p>
        </w:tc>
        <w:tc>
          <w:tcPr>
            <w:tcW w:w="980" w:type="dxa"/>
            <w:tcBorders>
              <w:top w:val="nil"/>
              <w:left w:val="nil"/>
              <w:bottom w:val="single" w:sz="4" w:space="0" w:color="auto"/>
              <w:right w:val="single" w:sz="4" w:space="0" w:color="auto"/>
            </w:tcBorders>
            <w:shd w:val="clear" w:color="auto" w:fill="auto"/>
            <w:vAlign w:val="center"/>
            <w:hideMark/>
          </w:tcPr>
          <w:p w14:paraId="4DA2242F"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8 853,1 </w:t>
            </w:r>
          </w:p>
        </w:tc>
        <w:tc>
          <w:tcPr>
            <w:tcW w:w="899" w:type="dxa"/>
            <w:tcBorders>
              <w:top w:val="nil"/>
              <w:left w:val="nil"/>
              <w:bottom w:val="single" w:sz="4" w:space="0" w:color="auto"/>
              <w:right w:val="single" w:sz="4" w:space="0" w:color="auto"/>
            </w:tcBorders>
            <w:shd w:val="clear" w:color="auto" w:fill="auto"/>
            <w:vAlign w:val="center"/>
            <w:hideMark/>
          </w:tcPr>
          <w:p w14:paraId="6052F5D7"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2 987,7 </w:t>
            </w:r>
          </w:p>
        </w:tc>
        <w:tc>
          <w:tcPr>
            <w:tcW w:w="1030" w:type="dxa"/>
            <w:tcBorders>
              <w:top w:val="nil"/>
              <w:left w:val="nil"/>
              <w:bottom w:val="single" w:sz="4" w:space="0" w:color="auto"/>
              <w:right w:val="single" w:sz="4" w:space="0" w:color="auto"/>
            </w:tcBorders>
            <w:shd w:val="clear" w:color="auto" w:fill="auto"/>
            <w:vAlign w:val="center"/>
            <w:hideMark/>
          </w:tcPr>
          <w:p w14:paraId="69AE2B72"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-5 865,4 </w:t>
            </w:r>
          </w:p>
        </w:tc>
        <w:tc>
          <w:tcPr>
            <w:tcW w:w="776" w:type="dxa"/>
            <w:tcBorders>
              <w:top w:val="nil"/>
              <w:left w:val="nil"/>
              <w:bottom w:val="single" w:sz="4" w:space="0" w:color="auto"/>
              <w:right w:val="double" w:sz="6" w:space="0" w:color="auto"/>
            </w:tcBorders>
            <w:shd w:val="clear" w:color="auto" w:fill="auto"/>
            <w:vAlign w:val="center"/>
            <w:hideMark/>
          </w:tcPr>
          <w:p w14:paraId="59C5954C"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-66,3 </w:t>
            </w:r>
          </w:p>
        </w:tc>
      </w:tr>
      <w:tr w:rsidR="00FD7B0B" w:rsidRPr="00FD7B0B" w14:paraId="3592D067" w14:textId="77777777" w:rsidTr="004949F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11511CA2" w14:textId="77777777" w:rsidR="00D97B4C" w:rsidRPr="00FD7B0B" w:rsidRDefault="00D97B4C" w:rsidP="004949F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за счет средств, поступивших от ППК "Фонд развития территорий"</w:t>
            </w:r>
          </w:p>
        </w:tc>
        <w:tc>
          <w:tcPr>
            <w:tcW w:w="980" w:type="dxa"/>
            <w:tcBorders>
              <w:top w:val="nil"/>
              <w:left w:val="nil"/>
              <w:bottom w:val="single" w:sz="4" w:space="0" w:color="auto"/>
              <w:right w:val="single" w:sz="4" w:space="0" w:color="auto"/>
            </w:tcBorders>
            <w:shd w:val="clear" w:color="auto" w:fill="auto"/>
            <w:vAlign w:val="center"/>
            <w:hideMark/>
          </w:tcPr>
          <w:p w14:paraId="6FC43DED"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8 592,9 </w:t>
            </w:r>
          </w:p>
        </w:tc>
        <w:tc>
          <w:tcPr>
            <w:tcW w:w="899" w:type="dxa"/>
            <w:tcBorders>
              <w:top w:val="nil"/>
              <w:left w:val="nil"/>
              <w:bottom w:val="single" w:sz="4" w:space="0" w:color="auto"/>
              <w:right w:val="single" w:sz="4" w:space="0" w:color="auto"/>
            </w:tcBorders>
            <w:shd w:val="clear" w:color="auto" w:fill="auto"/>
            <w:vAlign w:val="center"/>
            <w:hideMark/>
          </w:tcPr>
          <w:p w14:paraId="5688AD73"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2 481,6 </w:t>
            </w:r>
          </w:p>
        </w:tc>
        <w:tc>
          <w:tcPr>
            <w:tcW w:w="1030" w:type="dxa"/>
            <w:tcBorders>
              <w:top w:val="nil"/>
              <w:left w:val="nil"/>
              <w:bottom w:val="single" w:sz="4" w:space="0" w:color="auto"/>
              <w:right w:val="single" w:sz="4" w:space="0" w:color="auto"/>
            </w:tcBorders>
            <w:shd w:val="clear" w:color="auto" w:fill="auto"/>
            <w:vAlign w:val="center"/>
            <w:hideMark/>
          </w:tcPr>
          <w:p w14:paraId="5472F476"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-6 111,3 </w:t>
            </w:r>
          </w:p>
        </w:tc>
        <w:tc>
          <w:tcPr>
            <w:tcW w:w="776" w:type="dxa"/>
            <w:tcBorders>
              <w:top w:val="nil"/>
              <w:left w:val="nil"/>
              <w:bottom w:val="single" w:sz="4" w:space="0" w:color="auto"/>
              <w:right w:val="double" w:sz="6" w:space="0" w:color="auto"/>
            </w:tcBorders>
            <w:shd w:val="clear" w:color="auto" w:fill="auto"/>
            <w:vAlign w:val="center"/>
            <w:hideMark/>
          </w:tcPr>
          <w:p w14:paraId="59192AFB"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-71,1 </w:t>
            </w:r>
          </w:p>
        </w:tc>
      </w:tr>
      <w:tr w:rsidR="00FD7B0B" w:rsidRPr="00FD7B0B" w14:paraId="06E42A07" w14:textId="77777777" w:rsidTr="004949F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5C51C480" w14:textId="77777777" w:rsidR="00D97B4C" w:rsidRPr="00FD7B0B" w:rsidRDefault="00D97B4C" w:rsidP="004949F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за счет областного бюджета</w:t>
            </w:r>
          </w:p>
        </w:tc>
        <w:tc>
          <w:tcPr>
            <w:tcW w:w="980" w:type="dxa"/>
            <w:tcBorders>
              <w:top w:val="nil"/>
              <w:left w:val="nil"/>
              <w:bottom w:val="single" w:sz="4" w:space="0" w:color="auto"/>
              <w:right w:val="single" w:sz="4" w:space="0" w:color="auto"/>
            </w:tcBorders>
            <w:shd w:val="clear" w:color="auto" w:fill="auto"/>
            <w:vAlign w:val="center"/>
            <w:hideMark/>
          </w:tcPr>
          <w:p w14:paraId="47EC4E79"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260,2 </w:t>
            </w:r>
          </w:p>
        </w:tc>
        <w:tc>
          <w:tcPr>
            <w:tcW w:w="899" w:type="dxa"/>
            <w:tcBorders>
              <w:top w:val="nil"/>
              <w:left w:val="nil"/>
              <w:bottom w:val="single" w:sz="4" w:space="0" w:color="auto"/>
              <w:right w:val="single" w:sz="4" w:space="0" w:color="auto"/>
            </w:tcBorders>
            <w:shd w:val="clear" w:color="auto" w:fill="auto"/>
            <w:vAlign w:val="center"/>
            <w:hideMark/>
          </w:tcPr>
          <w:p w14:paraId="4F8B47FB"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506,1 </w:t>
            </w:r>
          </w:p>
        </w:tc>
        <w:tc>
          <w:tcPr>
            <w:tcW w:w="1030" w:type="dxa"/>
            <w:tcBorders>
              <w:top w:val="nil"/>
              <w:left w:val="nil"/>
              <w:bottom w:val="single" w:sz="4" w:space="0" w:color="auto"/>
              <w:right w:val="single" w:sz="4" w:space="0" w:color="auto"/>
            </w:tcBorders>
            <w:shd w:val="clear" w:color="auto" w:fill="auto"/>
            <w:vAlign w:val="center"/>
            <w:hideMark/>
          </w:tcPr>
          <w:p w14:paraId="2D5541B9"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245,9 </w:t>
            </w:r>
          </w:p>
        </w:tc>
        <w:tc>
          <w:tcPr>
            <w:tcW w:w="776" w:type="dxa"/>
            <w:tcBorders>
              <w:top w:val="nil"/>
              <w:left w:val="nil"/>
              <w:bottom w:val="single" w:sz="4" w:space="0" w:color="auto"/>
              <w:right w:val="double" w:sz="6" w:space="0" w:color="auto"/>
            </w:tcBorders>
            <w:shd w:val="clear" w:color="auto" w:fill="auto"/>
            <w:vAlign w:val="center"/>
            <w:hideMark/>
          </w:tcPr>
          <w:p w14:paraId="3AC7325F"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94,5 </w:t>
            </w:r>
          </w:p>
        </w:tc>
      </w:tr>
      <w:tr w:rsidR="00FD7B0B" w:rsidRPr="00FD7B0B" w14:paraId="304D1336" w14:textId="77777777" w:rsidTr="004949F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7A2CF4E7" w14:textId="77777777" w:rsidR="00D97B4C" w:rsidRPr="00FD7B0B" w:rsidRDefault="00D97B4C" w:rsidP="004949F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РП "Чистая вода", из них:</w:t>
            </w:r>
          </w:p>
        </w:tc>
        <w:tc>
          <w:tcPr>
            <w:tcW w:w="980" w:type="dxa"/>
            <w:tcBorders>
              <w:top w:val="nil"/>
              <w:left w:val="nil"/>
              <w:bottom w:val="single" w:sz="4" w:space="0" w:color="auto"/>
              <w:right w:val="single" w:sz="4" w:space="0" w:color="auto"/>
            </w:tcBorders>
            <w:shd w:val="clear" w:color="auto" w:fill="auto"/>
            <w:vAlign w:val="center"/>
            <w:hideMark/>
          </w:tcPr>
          <w:p w14:paraId="29BC421F"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895,5 </w:t>
            </w:r>
          </w:p>
        </w:tc>
        <w:tc>
          <w:tcPr>
            <w:tcW w:w="899" w:type="dxa"/>
            <w:tcBorders>
              <w:top w:val="nil"/>
              <w:left w:val="nil"/>
              <w:bottom w:val="single" w:sz="4" w:space="0" w:color="auto"/>
              <w:right w:val="single" w:sz="4" w:space="0" w:color="auto"/>
            </w:tcBorders>
            <w:shd w:val="clear" w:color="auto" w:fill="auto"/>
            <w:vAlign w:val="center"/>
            <w:hideMark/>
          </w:tcPr>
          <w:p w14:paraId="36417102"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497,7 </w:t>
            </w:r>
          </w:p>
        </w:tc>
        <w:tc>
          <w:tcPr>
            <w:tcW w:w="1030" w:type="dxa"/>
            <w:tcBorders>
              <w:top w:val="nil"/>
              <w:left w:val="nil"/>
              <w:bottom w:val="single" w:sz="4" w:space="0" w:color="auto"/>
              <w:right w:val="single" w:sz="4" w:space="0" w:color="auto"/>
            </w:tcBorders>
            <w:shd w:val="clear" w:color="auto" w:fill="auto"/>
            <w:vAlign w:val="center"/>
            <w:hideMark/>
          </w:tcPr>
          <w:p w14:paraId="07993A17"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-397,9 </w:t>
            </w:r>
          </w:p>
        </w:tc>
        <w:tc>
          <w:tcPr>
            <w:tcW w:w="776" w:type="dxa"/>
            <w:tcBorders>
              <w:top w:val="nil"/>
              <w:left w:val="nil"/>
              <w:bottom w:val="single" w:sz="4" w:space="0" w:color="auto"/>
              <w:right w:val="double" w:sz="6" w:space="0" w:color="auto"/>
            </w:tcBorders>
            <w:shd w:val="clear" w:color="auto" w:fill="auto"/>
            <w:vAlign w:val="center"/>
            <w:hideMark/>
          </w:tcPr>
          <w:p w14:paraId="1C562819" w14:textId="77777777" w:rsidR="00D97B4C" w:rsidRPr="00FD7B0B" w:rsidRDefault="00D97B4C" w:rsidP="004949F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-44,4 </w:t>
            </w:r>
          </w:p>
        </w:tc>
      </w:tr>
      <w:tr w:rsidR="00D97B4C" w:rsidRPr="00FD7B0B" w14:paraId="3CE1A307" w14:textId="77777777" w:rsidTr="004949F4">
        <w:trPr>
          <w:trHeight w:val="70"/>
        </w:trPr>
        <w:tc>
          <w:tcPr>
            <w:tcW w:w="5931" w:type="dxa"/>
            <w:tcBorders>
              <w:top w:val="nil"/>
              <w:left w:val="double" w:sz="6" w:space="0" w:color="auto"/>
              <w:bottom w:val="double" w:sz="6" w:space="0" w:color="auto"/>
              <w:right w:val="single" w:sz="4" w:space="0" w:color="auto"/>
            </w:tcBorders>
            <w:shd w:val="clear" w:color="auto" w:fill="auto"/>
            <w:vAlign w:val="center"/>
            <w:hideMark/>
          </w:tcPr>
          <w:p w14:paraId="17E6C713" w14:textId="77777777" w:rsidR="00D97B4C" w:rsidRPr="00FD7B0B" w:rsidRDefault="00D97B4C" w:rsidP="004949F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строительство и реконструкция (модернизация) объектов питьевого водоснабжения</w:t>
            </w:r>
          </w:p>
        </w:tc>
        <w:tc>
          <w:tcPr>
            <w:tcW w:w="980" w:type="dxa"/>
            <w:tcBorders>
              <w:top w:val="nil"/>
              <w:left w:val="nil"/>
              <w:bottom w:val="double" w:sz="6" w:space="0" w:color="auto"/>
              <w:right w:val="single" w:sz="4" w:space="0" w:color="auto"/>
            </w:tcBorders>
            <w:shd w:val="clear" w:color="auto" w:fill="auto"/>
            <w:vAlign w:val="center"/>
            <w:hideMark/>
          </w:tcPr>
          <w:p w14:paraId="0B6FF02F"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895,5 </w:t>
            </w:r>
          </w:p>
        </w:tc>
        <w:tc>
          <w:tcPr>
            <w:tcW w:w="899" w:type="dxa"/>
            <w:tcBorders>
              <w:top w:val="nil"/>
              <w:left w:val="nil"/>
              <w:bottom w:val="double" w:sz="6" w:space="0" w:color="auto"/>
              <w:right w:val="single" w:sz="4" w:space="0" w:color="auto"/>
            </w:tcBorders>
            <w:shd w:val="clear" w:color="auto" w:fill="auto"/>
            <w:vAlign w:val="center"/>
            <w:hideMark/>
          </w:tcPr>
          <w:p w14:paraId="605DEB1A"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497,7 </w:t>
            </w:r>
          </w:p>
        </w:tc>
        <w:tc>
          <w:tcPr>
            <w:tcW w:w="1030" w:type="dxa"/>
            <w:tcBorders>
              <w:top w:val="nil"/>
              <w:left w:val="nil"/>
              <w:bottom w:val="double" w:sz="6" w:space="0" w:color="auto"/>
              <w:right w:val="single" w:sz="4" w:space="0" w:color="auto"/>
            </w:tcBorders>
            <w:shd w:val="clear" w:color="auto" w:fill="auto"/>
            <w:vAlign w:val="center"/>
            <w:hideMark/>
          </w:tcPr>
          <w:p w14:paraId="0E112ED9"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-397,9 </w:t>
            </w:r>
          </w:p>
        </w:tc>
        <w:tc>
          <w:tcPr>
            <w:tcW w:w="776" w:type="dxa"/>
            <w:tcBorders>
              <w:top w:val="nil"/>
              <w:left w:val="nil"/>
              <w:bottom w:val="double" w:sz="6" w:space="0" w:color="auto"/>
              <w:right w:val="double" w:sz="6" w:space="0" w:color="auto"/>
            </w:tcBorders>
            <w:shd w:val="clear" w:color="auto" w:fill="auto"/>
            <w:vAlign w:val="center"/>
            <w:hideMark/>
          </w:tcPr>
          <w:p w14:paraId="443EEB9C" w14:textId="77777777" w:rsidR="00D97B4C" w:rsidRPr="00FD7B0B" w:rsidRDefault="00D97B4C" w:rsidP="004949F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-44,4 </w:t>
            </w:r>
          </w:p>
        </w:tc>
      </w:tr>
    </w:tbl>
    <w:p w14:paraId="373817D7" w14:textId="77777777" w:rsidR="00D97B4C" w:rsidRPr="00FD7B0B" w:rsidRDefault="00D97B4C" w:rsidP="008F0306">
      <w:pPr>
        <w:spacing w:after="0" w:line="240" w:lineRule="auto"/>
        <w:ind w:firstLine="709"/>
        <w:jc w:val="both"/>
        <w:rPr>
          <w:rFonts w:ascii="Times New Roman" w:eastAsia="Calibri" w:hAnsi="Times New Roman" w:cs="Times New Roman"/>
          <w:sz w:val="28"/>
          <w:szCs w:val="28"/>
        </w:rPr>
      </w:pPr>
    </w:p>
    <w:p w14:paraId="7DF753D7" w14:textId="359AF9AC" w:rsidR="00D97B4C" w:rsidRPr="00FD7B0B" w:rsidRDefault="00D97B4C" w:rsidP="008F030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Основное снижение расходов из областного бюджета в 2024 году по сравнению с 2023 годом наблюдается про реализации РП «Обеспечение устойчивого сокращения непригодного для проживания жилищного фонда», где расходы уменьшились на 5 865,4 млн.руб. (-66,3 %), из них за счет средств, поступивших из ППК «Фонд развития территорий» – на 6 111,3 млн.руб. </w:t>
      </w:r>
      <w:r w:rsidRPr="00FD7B0B">
        <w:rPr>
          <w:rFonts w:ascii="Times New Roman" w:eastAsia="Calibri" w:hAnsi="Times New Roman" w:cs="Times New Roman"/>
          <w:sz w:val="28"/>
          <w:szCs w:val="28"/>
        </w:rPr>
        <w:br/>
        <w:t>(-71,1 %).</w:t>
      </w:r>
    </w:p>
    <w:p w14:paraId="14585CEA" w14:textId="24881ACC" w:rsidR="00D97B4C" w:rsidRPr="00FD7B0B" w:rsidRDefault="00D97B4C" w:rsidP="00A54F1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B21118" w:rsidRPr="00FD7B0B">
        <w:rPr>
          <w:rFonts w:ascii="Times New Roman" w:eastAsia="Calibri" w:hAnsi="Times New Roman" w:cs="Times New Roman"/>
          <w:sz w:val="28"/>
          <w:szCs w:val="28"/>
        </w:rPr>
        <w:t>256</w:t>
      </w:r>
      <w:r w:rsidRPr="00FD7B0B">
        <w:rPr>
          <w:rFonts w:ascii="Times New Roman" w:eastAsia="Calibri" w:hAnsi="Times New Roman" w:cs="Times New Roman"/>
          <w:sz w:val="28"/>
          <w:szCs w:val="28"/>
        </w:rPr>
        <w:t xml:space="preserve"> представлена информация о расходах областного бюджета на реализацию НП РФ «Образование» за 2024 – 2023 годы.</w:t>
      </w:r>
    </w:p>
    <w:p w14:paraId="1CF12F96" w14:textId="77777777" w:rsidR="00D97B4C" w:rsidRPr="00FD7B0B" w:rsidRDefault="00D97B4C" w:rsidP="00A54F14">
      <w:pPr>
        <w:spacing w:after="0" w:line="240" w:lineRule="auto"/>
        <w:rPr>
          <w:rFonts w:ascii="Times New Roman" w:eastAsia="Calibri" w:hAnsi="Times New Roman" w:cs="Times New Roman"/>
          <w:bCs/>
          <w:sz w:val="24"/>
          <w:szCs w:val="24"/>
        </w:rPr>
      </w:pPr>
    </w:p>
    <w:p w14:paraId="6BBB5845" w14:textId="77777777" w:rsidR="00D97B4C" w:rsidRPr="00FD7B0B" w:rsidRDefault="00D97B4C" w:rsidP="00A54F14">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256</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из областного бюджета, направленные на реализацию национального проекта РФ «Образование» за 2023 – 2024 годы, млн.руб.</w:t>
      </w:r>
    </w:p>
    <w:tbl>
      <w:tblPr>
        <w:tblW w:w="10031" w:type="dxa"/>
        <w:tblInd w:w="-307" w:type="dxa"/>
        <w:tblLook w:val="04A0" w:firstRow="1" w:lastRow="0" w:firstColumn="1" w:lastColumn="0" w:noHBand="0" w:noVBand="1"/>
      </w:tblPr>
      <w:tblGrid>
        <w:gridCol w:w="6310"/>
        <w:gridCol w:w="992"/>
        <w:gridCol w:w="902"/>
        <w:gridCol w:w="1030"/>
        <w:gridCol w:w="797"/>
      </w:tblGrid>
      <w:tr w:rsidR="00FD7B0B" w:rsidRPr="00FD7B0B" w14:paraId="3584D2B5" w14:textId="77777777" w:rsidTr="00A54F14">
        <w:trPr>
          <w:trHeight w:val="28"/>
          <w:tblHeader/>
        </w:trPr>
        <w:tc>
          <w:tcPr>
            <w:tcW w:w="631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D36338C" w14:textId="77777777" w:rsidR="00D97B4C" w:rsidRPr="00FD7B0B" w:rsidRDefault="00D97B4C" w:rsidP="00A54F1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3644BA9" w14:textId="77777777" w:rsidR="00D97B4C" w:rsidRPr="00FD7B0B" w:rsidRDefault="00D97B4C" w:rsidP="00A54F1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2023 год</w:t>
            </w:r>
          </w:p>
        </w:tc>
        <w:tc>
          <w:tcPr>
            <w:tcW w:w="90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9B78F5F" w14:textId="77777777" w:rsidR="00D97B4C" w:rsidRPr="00FD7B0B" w:rsidRDefault="00D97B4C" w:rsidP="00A54F1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2024 год</w:t>
            </w:r>
          </w:p>
        </w:tc>
        <w:tc>
          <w:tcPr>
            <w:tcW w:w="1827" w:type="dxa"/>
            <w:gridSpan w:val="2"/>
            <w:tcBorders>
              <w:top w:val="double" w:sz="6" w:space="0" w:color="auto"/>
              <w:left w:val="nil"/>
              <w:bottom w:val="single" w:sz="4" w:space="0" w:color="auto"/>
              <w:right w:val="double" w:sz="6" w:space="0" w:color="000000"/>
            </w:tcBorders>
            <w:shd w:val="clear" w:color="auto" w:fill="auto"/>
            <w:vAlign w:val="center"/>
            <w:hideMark/>
          </w:tcPr>
          <w:p w14:paraId="42042ED1" w14:textId="77777777" w:rsidR="00D97B4C" w:rsidRPr="00FD7B0B" w:rsidRDefault="00D97B4C" w:rsidP="00A54F1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Изменения (+,-)</w:t>
            </w:r>
          </w:p>
        </w:tc>
      </w:tr>
      <w:tr w:rsidR="00FD7B0B" w:rsidRPr="00FD7B0B" w14:paraId="34C57557" w14:textId="77777777" w:rsidTr="00A54F14">
        <w:trPr>
          <w:trHeight w:val="33"/>
          <w:tblHeader/>
        </w:trPr>
        <w:tc>
          <w:tcPr>
            <w:tcW w:w="6310" w:type="dxa"/>
            <w:vMerge/>
            <w:tcBorders>
              <w:top w:val="double" w:sz="6" w:space="0" w:color="auto"/>
              <w:left w:val="double" w:sz="6" w:space="0" w:color="auto"/>
              <w:bottom w:val="single" w:sz="4" w:space="0" w:color="auto"/>
              <w:right w:val="single" w:sz="4" w:space="0" w:color="auto"/>
            </w:tcBorders>
            <w:vAlign w:val="center"/>
            <w:hideMark/>
          </w:tcPr>
          <w:p w14:paraId="439427DF" w14:textId="77777777" w:rsidR="00D97B4C" w:rsidRPr="00FD7B0B" w:rsidRDefault="00D97B4C" w:rsidP="00A54F14">
            <w:pPr>
              <w:spacing w:after="0" w:line="240" w:lineRule="auto"/>
              <w:rPr>
                <w:rFonts w:ascii="Times New Roman" w:eastAsia="Times New Roman" w:hAnsi="Times New Roman" w:cs="Times New Roman"/>
                <w:b/>
                <w:bCs/>
                <w:sz w:val="21"/>
                <w:szCs w:val="21"/>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25CA5FBE" w14:textId="77777777" w:rsidR="00D97B4C" w:rsidRPr="00FD7B0B" w:rsidRDefault="00D97B4C" w:rsidP="00A54F14">
            <w:pPr>
              <w:spacing w:after="0" w:line="240" w:lineRule="auto"/>
              <w:rPr>
                <w:rFonts w:ascii="Times New Roman" w:eastAsia="Times New Roman" w:hAnsi="Times New Roman" w:cs="Times New Roman"/>
                <w:b/>
                <w:bCs/>
                <w:sz w:val="21"/>
                <w:szCs w:val="21"/>
                <w:lang w:eastAsia="ru-RU"/>
              </w:rPr>
            </w:pPr>
          </w:p>
        </w:tc>
        <w:tc>
          <w:tcPr>
            <w:tcW w:w="902" w:type="dxa"/>
            <w:vMerge/>
            <w:tcBorders>
              <w:top w:val="double" w:sz="6" w:space="0" w:color="auto"/>
              <w:left w:val="single" w:sz="4" w:space="0" w:color="auto"/>
              <w:bottom w:val="single" w:sz="4" w:space="0" w:color="auto"/>
              <w:right w:val="single" w:sz="4" w:space="0" w:color="auto"/>
            </w:tcBorders>
            <w:vAlign w:val="center"/>
            <w:hideMark/>
          </w:tcPr>
          <w:p w14:paraId="5FC7CBAC" w14:textId="77777777" w:rsidR="00D97B4C" w:rsidRPr="00FD7B0B" w:rsidRDefault="00D97B4C" w:rsidP="00A54F14">
            <w:pPr>
              <w:spacing w:after="0" w:line="240" w:lineRule="auto"/>
              <w:rPr>
                <w:rFonts w:ascii="Times New Roman" w:eastAsia="Times New Roman" w:hAnsi="Times New Roman" w:cs="Times New Roman"/>
                <w:b/>
                <w:bCs/>
                <w:sz w:val="21"/>
                <w:szCs w:val="21"/>
                <w:lang w:eastAsia="ru-RU"/>
              </w:rPr>
            </w:pPr>
          </w:p>
        </w:tc>
        <w:tc>
          <w:tcPr>
            <w:tcW w:w="1030" w:type="dxa"/>
            <w:tcBorders>
              <w:top w:val="nil"/>
              <w:left w:val="nil"/>
              <w:bottom w:val="single" w:sz="4" w:space="0" w:color="auto"/>
              <w:right w:val="single" w:sz="4" w:space="0" w:color="auto"/>
            </w:tcBorders>
            <w:shd w:val="clear" w:color="auto" w:fill="auto"/>
            <w:vAlign w:val="center"/>
            <w:hideMark/>
          </w:tcPr>
          <w:p w14:paraId="0EDD628C" w14:textId="77777777" w:rsidR="00D97B4C" w:rsidRPr="00FD7B0B" w:rsidRDefault="00D97B4C" w:rsidP="00A54F1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млн.руб.</w:t>
            </w:r>
          </w:p>
        </w:tc>
        <w:tc>
          <w:tcPr>
            <w:tcW w:w="797" w:type="dxa"/>
            <w:tcBorders>
              <w:top w:val="nil"/>
              <w:left w:val="nil"/>
              <w:bottom w:val="single" w:sz="4" w:space="0" w:color="auto"/>
              <w:right w:val="double" w:sz="6" w:space="0" w:color="auto"/>
            </w:tcBorders>
            <w:shd w:val="clear" w:color="auto" w:fill="auto"/>
            <w:vAlign w:val="center"/>
            <w:hideMark/>
          </w:tcPr>
          <w:p w14:paraId="5E1A5F43" w14:textId="30C25BBB" w:rsidR="00D97B4C" w:rsidRPr="00FD7B0B" w:rsidRDefault="00D97B4C" w:rsidP="00A54F1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582758EE"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163368F1" w14:textId="77777777" w:rsidR="00D97B4C" w:rsidRPr="00FD7B0B" w:rsidRDefault="00D97B4C" w:rsidP="00A54F14">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НП "Образование", в т.ч.:</w:t>
            </w:r>
          </w:p>
        </w:tc>
        <w:tc>
          <w:tcPr>
            <w:tcW w:w="992" w:type="dxa"/>
            <w:tcBorders>
              <w:top w:val="nil"/>
              <w:left w:val="nil"/>
              <w:bottom w:val="single" w:sz="4" w:space="0" w:color="auto"/>
              <w:right w:val="single" w:sz="4" w:space="0" w:color="auto"/>
            </w:tcBorders>
            <w:shd w:val="clear" w:color="auto" w:fill="auto"/>
            <w:vAlign w:val="center"/>
            <w:hideMark/>
          </w:tcPr>
          <w:p w14:paraId="4D4DB353" w14:textId="77777777" w:rsidR="00D97B4C" w:rsidRPr="00FD7B0B" w:rsidRDefault="00D97B4C" w:rsidP="00A54F1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1 199,9 </w:t>
            </w:r>
          </w:p>
        </w:tc>
        <w:tc>
          <w:tcPr>
            <w:tcW w:w="902" w:type="dxa"/>
            <w:tcBorders>
              <w:top w:val="nil"/>
              <w:left w:val="nil"/>
              <w:bottom w:val="single" w:sz="4" w:space="0" w:color="auto"/>
              <w:right w:val="single" w:sz="4" w:space="0" w:color="auto"/>
            </w:tcBorders>
            <w:shd w:val="clear" w:color="auto" w:fill="auto"/>
            <w:vAlign w:val="center"/>
            <w:hideMark/>
          </w:tcPr>
          <w:p w14:paraId="38E565D2" w14:textId="77777777" w:rsidR="00D97B4C" w:rsidRPr="00FD7B0B" w:rsidRDefault="00D97B4C" w:rsidP="00A54F1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3 081,2 </w:t>
            </w:r>
          </w:p>
        </w:tc>
        <w:tc>
          <w:tcPr>
            <w:tcW w:w="1030" w:type="dxa"/>
            <w:tcBorders>
              <w:top w:val="nil"/>
              <w:left w:val="nil"/>
              <w:bottom w:val="single" w:sz="4" w:space="0" w:color="auto"/>
              <w:right w:val="single" w:sz="4" w:space="0" w:color="auto"/>
            </w:tcBorders>
            <w:shd w:val="clear" w:color="auto" w:fill="auto"/>
            <w:vAlign w:val="center"/>
            <w:hideMark/>
          </w:tcPr>
          <w:p w14:paraId="53800DFE" w14:textId="77777777" w:rsidR="00D97B4C" w:rsidRPr="00FD7B0B" w:rsidRDefault="00D97B4C" w:rsidP="00A54F14">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1 881,3 </w:t>
            </w:r>
          </w:p>
        </w:tc>
        <w:tc>
          <w:tcPr>
            <w:tcW w:w="797" w:type="dxa"/>
            <w:tcBorders>
              <w:top w:val="nil"/>
              <w:left w:val="nil"/>
              <w:bottom w:val="single" w:sz="4" w:space="0" w:color="auto"/>
              <w:right w:val="double" w:sz="6" w:space="0" w:color="auto"/>
            </w:tcBorders>
            <w:shd w:val="clear" w:color="auto" w:fill="auto"/>
            <w:vAlign w:val="center"/>
            <w:hideMark/>
          </w:tcPr>
          <w:p w14:paraId="72A5A7E8" w14:textId="77777777" w:rsidR="00D97B4C" w:rsidRPr="00FD7B0B" w:rsidRDefault="00D97B4C" w:rsidP="00A54F14">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в 2,6 раза</w:t>
            </w:r>
          </w:p>
        </w:tc>
      </w:tr>
      <w:tr w:rsidR="00FD7B0B" w:rsidRPr="00FD7B0B" w14:paraId="6DACE327"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788B80CB" w14:textId="77777777" w:rsidR="00D97B4C" w:rsidRPr="00FD7B0B" w:rsidRDefault="00D97B4C" w:rsidP="00A54F1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Региональный проект "Современная школа", из них:</w:t>
            </w:r>
          </w:p>
        </w:tc>
        <w:tc>
          <w:tcPr>
            <w:tcW w:w="992" w:type="dxa"/>
            <w:tcBorders>
              <w:top w:val="nil"/>
              <w:left w:val="nil"/>
              <w:bottom w:val="single" w:sz="4" w:space="0" w:color="auto"/>
              <w:right w:val="single" w:sz="4" w:space="0" w:color="auto"/>
            </w:tcBorders>
            <w:shd w:val="clear" w:color="auto" w:fill="auto"/>
            <w:vAlign w:val="center"/>
            <w:hideMark/>
          </w:tcPr>
          <w:p w14:paraId="1AD8DFE3"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974,5 </w:t>
            </w:r>
          </w:p>
        </w:tc>
        <w:tc>
          <w:tcPr>
            <w:tcW w:w="902" w:type="dxa"/>
            <w:tcBorders>
              <w:top w:val="nil"/>
              <w:left w:val="nil"/>
              <w:bottom w:val="single" w:sz="4" w:space="0" w:color="auto"/>
              <w:right w:val="single" w:sz="4" w:space="0" w:color="auto"/>
            </w:tcBorders>
            <w:shd w:val="clear" w:color="auto" w:fill="auto"/>
            <w:vAlign w:val="center"/>
            <w:hideMark/>
          </w:tcPr>
          <w:p w14:paraId="0D11CFED"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2 626,2 </w:t>
            </w:r>
          </w:p>
        </w:tc>
        <w:tc>
          <w:tcPr>
            <w:tcW w:w="1030" w:type="dxa"/>
            <w:tcBorders>
              <w:top w:val="nil"/>
              <w:left w:val="nil"/>
              <w:bottom w:val="single" w:sz="4" w:space="0" w:color="auto"/>
              <w:right w:val="single" w:sz="4" w:space="0" w:color="auto"/>
            </w:tcBorders>
            <w:shd w:val="clear" w:color="auto" w:fill="auto"/>
            <w:vAlign w:val="center"/>
            <w:hideMark/>
          </w:tcPr>
          <w:p w14:paraId="7F625D02"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1 651,8 </w:t>
            </w:r>
          </w:p>
        </w:tc>
        <w:tc>
          <w:tcPr>
            <w:tcW w:w="797" w:type="dxa"/>
            <w:tcBorders>
              <w:top w:val="nil"/>
              <w:left w:val="nil"/>
              <w:bottom w:val="single" w:sz="4" w:space="0" w:color="auto"/>
              <w:right w:val="double" w:sz="6" w:space="0" w:color="auto"/>
            </w:tcBorders>
            <w:shd w:val="clear" w:color="auto" w:fill="auto"/>
            <w:vAlign w:val="center"/>
            <w:hideMark/>
          </w:tcPr>
          <w:p w14:paraId="7B97127B" w14:textId="77777777" w:rsidR="00D97B4C" w:rsidRPr="00FD7B0B" w:rsidRDefault="00D97B4C" w:rsidP="00A54F14">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в 2,7 раза</w:t>
            </w:r>
          </w:p>
        </w:tc>
      </w:tr>
      <w:tr w:rsidR="00FD7B0B" w:rsidRPr="00FD7B0B" w14:paraId="7F6433E5" w14:textId="77777777" w:rsidTr="00D97B4C">
        <w:trPr>
          <w:trHeight w:val="711"/>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1C9353B8"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создание новых мест в общеобразовательных организациях в связи с ростом числа обучающихся, вызванным демографическим фактором (субсидия юридическому лицу, заключившему концессионное соглашение в отношении финансирования, </w:t>
            </w:r>
            <w:r w:rsidRPr="00FD7B0B">
              <w:rPr>
                <w:rFonts w:ascii="Times New Roman" w:eastAsia="Times New Roman" w:hAnsi="Times New Roman" w:cs="Times New Roman"/>
                <w:i/>
                <w:iCs/>
                <w:sz w:val="21"/>
                <w:szCs w:val="21"/>
                <w:lang w:eastAsia="ru-RU"/>
              </w:rPr>
              <w:lastRenderedPageBreak/>
              <w:t>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p>
        </w:tc>
        <w:tc>
          <w:tcPr>
            <w:tcW w:w="992" w:type="dxa"/>
            <w:tcBorders>
              <w:top w:val="nil"/>
              <w:left w:val="nil"/>
              <w:bottom w:val="single" w:sz="4" w:space="0" w:color="auto"/>
              <w:right w:val="single" w:sz="4" w:space="0" w:color="auto"/>
            </w:tcBorders>
            <w:shd w:val="clear" w:color="auto" w:fill="auto"/>
            <w:vAlign w:val="center"/>
            <w:hideMark/>
          </w:tcPr>
          <w:p w14:paraId="5AFF79C2"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lastRenderedPageBreak/>
              <w:t xml:space="preserve">96,5 </w:t>
            </w:r>
          </w:p>
        </w:tc>
        <w:tc>
          <w:tcPr>
            <w:tcW w:w="902" w:type="dxa"/>
            <w:tcBorders>
              <w:top w:val="nil"/>
              <w:left w:val="nil"/>
              <w:bottom w:val="single" w:sz="4" w:space="0" w:color="auto"/>
              <w:right w:val="single" w:sz="4" w:space="0" w:color="auto"/>
            </w:tcBorders>
            <w:shd w:val="clear" w:color="auto" w:fill="auto"/>
            <w:vAlign w:val="center"/>
            <w:hideMark/>
          </w:tcPr>
          <w:p w14:paraId="15EEDEFF"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861,0 </w:t>
            </w:r>
          </w:p>
        </w:tc>
        <w:tc>
          <w:tcPr>
            <w:tcW w:w="1030" w:type="dxa"/>
            <w:tcBorders>
              <w:top w:val="nil"/>
              <w:left w:val="nil"/>
              <w:bottom w:val="single" w:sz="4" w:space="0" w:color="auto"/>
              <w:right w:val="single" w:sz="4" w:space="0" w:color="auto"/>
            </w:tcBorders>
            <w:shd w:val="clear" w:color="auto" w:fill="auto"/>
            <w:vAlign w:val="center"/>
            <w:hideMark/>
          </w:tcPr>
          <w:p w14:paraId="07ED961C"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764,5 </w:t>
            </w:r>
          </w:p>
        </w:tc>
        <w:tc>
          <w:tcPr>
            <w:tcW w:w="797" w:type="dxa"/>
            <w:tcBorders>
              <w:top w:val="nil"/>
              <w:left w:val="nil"/>
              <w:bottom w:val="single" w:sz="4" w:space="0" w:color="auto"/>
              <w:right w:val="double" w:sz="6" w:space="0" w:color="auto"/>
            </w:tcBorders>
            <w:shd w:val="clear" w:color="auto" w:fill="auto"/>
            <w:vAlign w:val="center"/>
            <w:hideMark/>
          </w:tcPr>
          <w:p w14:paraId="40A46FDC" w14:textId="77777777" w:rsidR="00D97B4C" w:rsidRPr="00FD7B0B" w:rsidRDefault="00D97B4C" w:rsidP="00A54F14">
            <w:pPr>
              <w:spacing w:after="0" w:line="240" w:lineRule="auto"/>
              <w:jc w:val="center"/>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в 8,9 раза</w:t>
            </w:r>
          </w:p>
        </w:tc>
      </w:tr>
      <w:tr w:rsidR="00FD7B0B" w:rsidRPr="00FD7B0B" w14:paraId="1627AE7E"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4227C463"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создание новых мест в общеобразовательных организациях</w:t>
            </w:r>
          </w:p>
        </w:tc>
        <w:tc>
          <w:tcPr>
            <w:tcW w:w="992" w:type="dxa"/>
            <w:tcBorders>
              <w:top w:val="nil"/>
              <w:left w:val="nil"/>
              <w:bottom w:val="single" w:sz="4" w:space="0" w:color="auto"/>
              <w:right w:val="single" w:sz="4" w:space="0" w:color="auto"/>
            </w:tcBorders>
            <w:shd w:val="clear" w:color="auto" w:fill="auto"/>
            <w:vAlign w:val="center"/>
            <w:hideMark/>
          </w:tcPr>
          <w:p w14:paraId="0AA5EEE6"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747,8 </w:t>
            </w:r>
          </w:p>
        </w:tc>
        <w:tc>
          <w:tcPr>
            <w:tcW w:w="902" w:type="dxa"/>
            <w:tcBorders>
              <w:top w:val="nil"/>
              <w:left w:val="nil"/>
              <w:bottom w:val="single" w:sz="4" w:space="0" w:color="auto"/>
              <w:right w:val="single" w:sz="4" w:space="0" w:color="auto"/>
            </w:tcBorders>
            <w:shd w:val="clear" w:color="auto" w:fill="auto"/>
            <w:vAlign w:val="center"/>
            <w:hideMark/>
          </w:tcPr>
          <w:p w14:paraId="1ACA945F"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1 632,0 </w:t>
            </w:r>
          </w:p>
        </w:tc>
        <w:tc>
          <w:tcPr>
            <w:tcW w:w="1030" w:type="dxa"/>
            <w:tcBorders>
              <w:top w:val="nil"/>
              <w:left w:val="nil"/>
              <w:bottom w:val="single" w:sz="4" w:space="0" w:color="auto"/>
              <w:right w:val="single" w:sz="4" w:space="0" w:color="auto"/>
            </w:tcBorders>
            <w:shd w:val="clear" w:color="auto" w:fill="auto"/>
            <w:vAlign w:val="center"/>
            <w:hideMark/>
          </w:tcPr>
          <w:p w14:paraId="68AAB76F"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884,2 </w:t>
            </w:r>
          </w:p>
        </w:tc>
        <w:tc>
          <w:tcPr>
            <w:tcW w:w="797" w:type="dxa"/>
            <w:tcBorders>
              <w:top w:val="nil"/>
              <w:left w:val="nil"/>
              <w:bottom w:val="single" w:sz="4" w:space="0" w:color="auto"/>
              <w:right w:val="double" w:sz="6" w:space="0" w:color="auto"/>
            </w:tcBorders>
            <w:shd w:val="clear" w:color="auto" w:fill="auto"/>
            <w:vAlign w:val="center"/>
            <w:hideMark/>
          </w:tcPr>
          <w:p w14:paraId="784BFCA1"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в 2,2 раза</w:t>
            </w:r>
          </w:p>
        </w:tc>
      </w:tr>
      <w:tr w:rsidR="00FD7B0B" w:rsidRPr="00FD7B0B" w14:paraId="21B217CA" w14:textId="77777777" w:rsidTr="00D97B4C">
        <w:trPr>
          <w:trHeight w:val="20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1F88ED3D"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оснащение (обновление материально-технической базы) оборудованием, средствами обучения и воспитания общеобразовательных организаций, в том числе осуществляющих образовательную деятельность по адаптированным основным общеобразовательным программам</w:t>
            </w:r>
          </w:p>
        </w:tc>
        <w:tc>
          <w:tcPr>
            <w:tcW w:w="992" w:type="dxa"/>
            <w:tcBorders>
              <w:top w:val="nil"/>
              <w:left w:val="nil"/>
              <w:bottom w:val="single" w:sz="4" w:space="0" w:color="auto"/>
              <w:right w:val="single" w:sz="4" w:space="0" w:color="auto"/>
            </w:tcBorders>
            <w:shd w:val="clear" w:color="auto" w:fill="auto"/>
            <w:vAlign w:val="center"/>
            <w:hideMark/>
          </w:tcPr>
          <w:p w14:paraId="6301EFCF"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90,9 </w:t>
            </w:r>
          </w:p>
        </w:tc>
        <w:tc>
          <w:tcPr>
            <w:tcW w:w="902" w:type="dxa"/>
            <w:tcBorders>
              <w:top w:val="nil"/>
              <w:left w:val="nil"/>
              <w:bottom w:val="single" w:sz="4" w:space="0" w:color="auto"/>
              <w:right w:val="single" w:sz="4" w:space="0" w:color="auto"/>
            </w:tcBorders>
            <w:shd w:val="clear" w:color="auto" w:fill="auto"/>
            <w:vAlign w:val="center"/>
            <w:hideMark/>
          </w:tcPr>
          <w:p w14:paraId="5C59D04F"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108,7 </w:t>
            </w:r>
          </w:p>
        </w:tc>
        <w:tc>
          <w:tcPr>
            <w:tcW w:w="1030" w:type="dxa"/>
            <w:tcBorders>
              <w:top w:val="nil"/>
              <w:left w:val="nil"/>
              <w:bottom w:val="single" w:sz="4" w:space="0" w:color="auto"/>
              <w:right w:val="single" w:sz="4" w:space="0" w:color="auto"/>
            </w:tcBorders>
            <w:shd w:val="clear" w:color="auto" w:fill="auto"/>
            <w:vAlign w:val="center"/>
            <w:hideMark/>
          </w:tcPr>
          <w:p w14:paraId="7C99470E"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17,8 </w:t>
            </w:r>
          </w:p>
        </w:tc>
        <w:tc>
          <w:tcPr>
            <w:tcW w:w="797" w:type="dxa"/>
            <w:tcBorders>
              <w:top w:val="nil"/>
              <w:left w:val="nil"/>
              <w:bottom w:val="single" w:sz="4" w:space="0" w:color="auto"/>
              <w:right w:val="double" w:sz="6" w:space="0" w:color="auto"/>
            </w:tcBorders>
            <w:shd w:val="clear" w:color="auto" w:fill="auto"/>
            <w:vAlign w:val="center"/>
            <w:hideMark/>
          </w:tcPr>
          <w:p w14:paraId="1F47D48E"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19,6 </w:t>
            </w:r>
          </w:p>
        </w:tc>
      </w:tr>
      <w:tr w:rsidR="00FD7B0B" w:rsidRPr="00FD7B0B" w14:paraId="419E1D07"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6C0D92BF" w14:textId="77777777" w:rsidR="00D97B4C" w:rsidRPr="00FD7B0B" w:rsidRDefault="00D97B4C" w:rsidP="00A54F1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Региональный проект "Успех каждого ребенка", из них:</w:t>
            </w:r>
          </w:p>
        </w:tc>
        <w:tc>
          <w:tcPr>
            <w:tcW w:w="992" w:type="dxa"/>
            <w:tcBorders>
              <w:top w:val="nil"/>
              <w:left w:val="nil"/>
              <w:bottom w:val="single" w:sz="4" w:space="0" w:color="auto"/>
              <w:right w:val="single" w:sz="4" w:space="0" w:color="auto"/>
            </w:tcBorders>
            <w:shd w:val="clear" w:color="auto" w:fill="auto"/>
            <w:vAlign w:val="center"/>
            <w:hideMark/>
          </w:tcPr>
          <w:p w14:paraId="5FC39582"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50,9 </w:t>
            </w:r>
          </w:p>
        </w:tc>
        <w:tc>
          <w:tcPr>
            <w:tcW w:w="902" w:type="dxa"/>
            <w:tcBorders>
              <w:top w:val="nil"/>
              <w:left w:val="nil"/>
              <w:bottom w:val="single" w:sz="4" w:space="0" w:color="auto"/>
              <w:right w:val="single" w:sz="4" w:space="0" w:color="auto"/>
            </w:tcBorders>
            <w:shd w:val="clear" w:color="auto" w:fill="auto"/>
            <w:vAlign w:val="center"/>
            <w:hideMark/>
          </w:tcPr>
          <w:p w14:paraId="6D4B7A42"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42,1 </w:t>
            </w:r>
          </w:p>
        </w:tc>
        <w:tc>
          <w:tcPr>
            <w:tcW w:w="1030" w:type="dxa"/>
            <w:tcBorders>
              <w:top w:val="nil"/>
              <w:left w:val="nil"/>
              <w:bottom w:val="single" w:sz="4" w:space="0" w:color="auto"/>
              <w:right w:val="single" w:sz="4" w:space="0" w:color="auto"/>
            </w:tcBorders>
            <w:shd w:val="clear" w:color="auto" w:fill="auto"/>
            <w:vAlign w:val="center"/>
            <w:hideMark/>
          </w:tcPr>
          <w:p w14:paraId="039E349C"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-8,8 </w:t>
            </w:r>
          </w:p>
        </w:tc>
        <w:tc>
          <w:tcPr>
            <w:tcW w:w="797" w:type="dxa"/>
            <w:tcBorders>
              <w:top w:val="nil"/>
              <w:left w:val="nil"/>
              <w:bottom w:val="single" w:sz="4" w:space="0" w:color="auto"/>
              <w:right w:val="double" w:sz="6" w:space="0" w:color="auto"/>
            </w:tcBorders>
            <w:shd w:val="clear" w:color="auto" w:fill="auto"/>
            <w:vAlign w:val="center"/>
            <w:hideMark/>
          </w:tcPr>
          <w:p w14:paraId="6754F73F"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-17,3 </w:t>
            </w:r>
          </w:p>
        </w:tc>
      </w:tr>
      <w:tr w:rsidR="00FD7B0B" w:rsidRPr="00FD7B0B" w14:paraId="30C02772"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69CC7A05"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обновление материально-технической базы для организации учебно-исследовательской, научно-практической, творческой деятельности, занятий физической культурой и спортом в образовательных организациях</w:t>
            </w:r>
          </w:p>
        </w:tc>
        <w:tc>
          <w:tcPr>
            <w:tcW w:w="992" w:type="dxa"/>
            <w:tcBorders>
              <w:top w:val="nil"/>
              <w:left w:val="nil"/>
              <w:bottom w:val="single" w:sz="4" w:space="0" w:color="auto"/>
              <w:right w:val="single" w:sz="4" w:space="0" w:color="auto"/>
            </w:tcBorders>
            <w:shd w:val="clear" w:color="auto" w:fill="auto"/>
            <w:vAlign w:val="center"/>
            <w:hideMark/>
          </w:tcPr>
          <w:p w14:paraId="647201E8"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50,9 </w:t>
            </w:r>
          </w:p>
        </w:tc>
        <w:tc>
          <w:tcPr>
            <w:tcW w:w="902" w:type="dxa"/>
            <w:tcBorders>
              <w:top w:val="nil"/>
              <w:left w:val="nil"/>
              <w:bottom w:val="single" w:sz="4" w:space="0" w:color="auto"/>
              <w:right w:val="single" w:sz="4" w:space="0" w:color="auto"/>
            </w:tcBorders>
            <w:shd w:val="clear" w:color="auto" w:fill="auto"/>
            <w:vAlign w:val="center"/>
            <w:hideMark/>
          </w:tcPr>
          <w:p w14:paraId="04C0174C"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13,9 </w:t>
            </w:r>
          </w:p>
        </w:tc>
        <w:tc>
          <w:tcPr>
            <w:tcW w:w="1030" w:type="dxa"/>
            <w:tcBorders>
              <w:top w:val="nil"/>
              <w:left w:val="nil"/>
              <w:bottom w:val="single" w:sz="4" w:space="0" w:color="auto"/>
              <w:right w:val="single" w:sz="4" w:space="0" w:color="auto"/>
            </w:tcBorders>
            <w:shd w:val="clear" w:color="auto" w:fill="auto"/>
            <w:vAlign w:val="center"/>
            <w:hideMark/>
          </w:tcPr>
          <w:p w14:paraId="584A754E"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-37,0 </w:t>
            </w:r>
          </w:p>
        </w:tc>
        <w:tc>
          <w:tcPr>
            <w:tcW w:w="797" w:type="dxa"/>
            <w:tcBorders>
              <w:top w:val="nil"/>
              <w:left w:val="nil"/>
              <w:bottom w:val="single" w:sz="4" w:space="0" w:color="auto"/>
              <w:right w:val="double" w:sz="6" w:space="0" w:color="auto"/>
            </w:tcBorders>
            <w:shd w:val="clear" w:color="auto" w:fill="auto"/>
            <w:vAlign w:val="center"/>
            <w:hideMark/>
          </w:tcPr>
          <w:p w14:paraId="3B83221B"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-72,7 </w:t>
            </w:r>
          </w:p>
        </w:tc>
      </w:tr>
      <w:tr w:rsidR="00FD7B0B" w:rsidRPr="00FD7B0B" w14:paraId="305FAD91" w14:textId="77777777" w:rsidTr="00D97B4C">
        <w:trPr>
          <w:trHeight w:val="365"/>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56B61EBF"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оснащение (обновление материально-технической базы) оборудованием, средствами обучения и воспитания образовательных организаций различных типов для реализации дополнительных общеразвивающих программ, для создания информационных систем в образовательных организациях</w:t>
            </w:r>
          </w:p>
        </w:tc>
        <w:tc>
          <w:tcPr>
            <w:tcW w:w="992" w:type="dxa"/>
            <w:tcBorders>
              <w:top w:val="nil"/>
              <w:left w:val="nil"/>
              <w:bottom w:val="single" w:sz="4" w:space="0" w:color="auto"/>
              <w:right w:val="single" w:sz="4" w:space="0" w:color="auto"/>
            </w:tcBorders>
            <w:shd w:val="clear" w:color="auto" w:fill="auto"/>
            <w:vAlign w:val="center"/>
            <w:hideMark/>
          </w:tcPr>
          <w:p w14:paraId="23C67987"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0,0 </w:t>
            </w:r>
          </w:p>
        </w:tc>
        <w:tc>
          <w:tcPr>
            <w:tcW w:w="902" w:type="dxa"/>
            <w:tcBorders>
              <w:top w:val="nil"/>
              <w:left w:val="nil"/>
              <w:bottom w:val="single" w:sz="4" w:space="0" w:color="auto"/>
              <w:right w:val="single" w:sz="4" w:space="0" w:color="auto"/>
            </w:tcBorders>
            <w:shd w:val="clear" w:color="auto" w:fill="auto"/>
            <w:vAlign w:val="center"/>
            <w:hideMark/>
          </w:tcPr>
          <w:p w14:paraId="1030F85A"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28,2 </w:t>
            </w:r>
          </w:p>
        </w:tc>
        <w:tc>
          <w:tcPr>
            <w:tcW w:w="1030" w:type="dxa"/>
            <w:tcBorders>
              <w:top w:val="nil"/>
              <w:left w:val="nil"/>
              <w:bottom w:val="single" w:sz="4" w:space="0" w:color="auto"/>
              <w:right w:val="single" w:sz="4" w:space="0" w:color="auto"/>
            </w:tcBorders>
            <w:shd w:val="clear" w:color="auto" w:fill="auto"/>
            <w:vAlign w:val="center"/>
            <w:hideMark/>
          </w:tcPr>
          <w:p w14:paraId="41B45309"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28,2 </w:t>
            </w:r>
          </w:p>
        </w:tc>
        <w:tc>
          <w:tcPr>
            <w:tcW w:w="797" w:type="dxa"/>
            <w:tcBorders>
              <w:top w:val="nil"/>
              <w:left w:val="nil"/>
              <w:bottom w:val="single" w:sz="4" w:space="0" w:color="auto"/>
              <w:right w:val="double" w:sz="6" w:space="0" w:color="auto"/>
            </w:tcBorders>
            <w:shd w:val="clear" w:color="auto" w:fill="auto"/>
            <w:vAlign w:val="center"/>
            <w:hideMark/>
          </w:tcPr>
          <w:p w14:paraId="3DE25EE8"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w:t>
            </w:r>
          </w:p>
        </w:tc>
      </w:tr>
      <w:tr w:rsidR="00FD7B0B" w:rsidRPr="00FD7B0B" w14:paraId="153B70C9"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619271DC" w14:textId="77777777" w:rsidR="00D97B4C" w:rsidRPr="00FD7B0B" w:rsidRDefault="00D97B4C" w:rsidP="00A54F1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Региональный проект "Цифровая образовательная среда", из них:</w:t>
            </w:r>
          </w:p>
        </w:tc>
        <w:tc>
          <w:tcPr>
            <w:tcW w:w="992" w:type="dxa"/>
            <w:tcBorders>
              <w:top w:val="nil"/>
              <w:left w:val="nil"/>
              <w:bottom w:val="single" w:sz="4" w:space="0" w:color="auto"/>
              <w:right w:val="single" w:sz="4" w:space="0" w:color="auto"/>
            </w:tcBorders>
            <w:shd w:val="clear" w:color="auto" w:fill="auto"/>
            <w:vAlign w:val="center"/>
            <w:hideMark/>
          </w:tcPr>
          <w:p w14:paraId="4A26EB20"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124,2 </w:t>
            </w:r>
          </w:p>
        </w:tc>
        <w:tc>
          <w:tcPr>
            <w:tcW w:w="902" w:type="dxa"/>
            <w:tcBorders>
              <w:top w:val="nil"/>
              <w:left w:val="nil"/>
              <w:bottom w:val="single" w:sz="4" w:space="0" w:color="auto"/>
              <w:right w:val="single" w:sz="4" w:space="0" w:color="auto"/>
            </w:tcBorders>
            <w:shd w:val="clear" w:color="auto" w:fill="auto"/>
            <w:vAlign w:val="center"/>
            <w:hideMark/>
          </w:tcPr>
          <w:p w14:paraId="5216FB2C"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156,5 </w:t>
            </w:r>
          </w:p>
        </w:tc>
        <w:tc>
          <w:tcPr>
            <w:tcW w:w="1030" w:type="dxa"/>
            <w:tcBorders>
              <w:top w:val="nil"/>
              <w:left w:val="nil"/>
              <w:bottom w:val="single" w:sz="4" w:space="0" w:color="auto"/>
              <w:right w:val="single" w:sz="4" w:space="0" w:color="auto"/>
            </w:tcBorders>
            <w:shd w:val="clear" w:color="auto" w:fill="auto"/>
            <w:vAlign w:val="center"/>
            <w:hideMark/>
          </w:tcPr>
          <w:p w14:paraId="56AEAAF0"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32,3 </w:t>
            </w:r>
          </w:p>
        </w:tc>
        <w:tc>
          <w:tcPr>
            <w:tcW w:w="797" w:type="dxa"/>
            <w:tcBorders>
              <w:top w:val="nil"/>
              <w:left w:val="nil"/>
              <w:bottom w:val="single" w:sz="4" w:space="0" w:color="auto"/>
              <w:right w:val="double" w:sz="6" w:space="0" w:color="auto"/>
            </w:tcBorders>
            <w:shd w:val="clear" w:color="auto" w:fill="auto"/>
            <w:vAlign w:val="center"/>
            <w:hideMark/>
          </w:tcPr>
          <w:p w14:paraId="05E09EDE"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26,0 </w:t>
            </w:r>
          </w:p>
        </w:tc>
      </w:tr>
      <w:tr w:rsidR="00FD7B0B" w:rsidRPr="00FD7B0B" w14:paraId="07316998"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24628319"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обновление материально-технической базы образовательных организаций для внедрения цифровой образовательной среды и развития цифровых навыков обучающихся</w:t>
            </w:r>
          </w:p>
        </w:tc>
        <w:tc>
          <w:tcPr>
            <w:tcW w:w="992" w:type="dxa"/>
            <w:tcBorders>
              <w:top w:val="nil"/>
              <w:left w:val="nil"/>
              <w:bottom w:val="single" w:sz="4" w:space="0" w:color="auto"/>
              <w:right w:val="single" w:sz="4" w:space="0" w:color="auto"/>
            </w:tcBorders>
            <w:shd w:val="clear" w:color="auto" w:fill="auto"/>
            <w:vAlign w:val="center"/>
            <w:hideMark/>
          </w:tcPr>
          <w:p w14:paraId="724C12C5"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124,2 </w:t>
            </w:r>
          </w:p>
        </w:tc>
        <w:tc>
          <w:tcPr>
            <w:tcW w:w="902" w:type="dxa"/>
            <w:tcBorders>
              <w:top w:val="nil"/>
              <w:left w:val="nil"/>
              <w:bottom w:val="single" w:sz="4" w:space="0" w:color="auto"/>
              <w:right w:val="single" w:sz="4" w:space="0" w:color="auto"/>
            </w:tcBorders>
            <w:shd w:val="clear" w:color="auto" w:fill="auto"/>
            <w:vAlign w:val="center"/>
            <w:hideMark/>
          </w:tcPr>
          <w:p w14:paraId="6B7914B6"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156,5 </w:t>
            </w:r>
          </w:p>
        </w:tc>
        <w:tc>
          <w:tcPr>
            <w:tcW w:w="1030" w:type="dxa"/>
            <w:tcBorders>
              <w:top w:val="nil"/>
              <w:left w:val="nil"/>
              <w:bottom w:val="single" w:sz="4" w:space="0" w:color="auto"/>
              <w:right w:val="single" w:sz="4" w:space="0" w:color="auto"/>
            </w:tcBorders>
            <w:shd w:val="clear" w:color="auto" w:fill="auto"/>
            <w:vAlign w:val="center"/>
            <w:hideMark/>
          </w:tcPr>
          <w:p w14:paraId="1F1C81C8"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32,3 </w:t>
            </w:r>
          </w:p>
        </w:tc>
        <w:tc>
          <w:tcPr>
            <w:tcW w:w="797" w:type="dxa"/>
            <w:tcBorders>
              <w:top w:val="nil"/>
              <w:left w:val="nil"/>
              <w:bottom w:val="single" w:sz="4" w:space="0" w:color="auto"/>
              <w:right w:val="double" w:sz="6" w:space="0" w:color="auto"/>
            </w:tcBorders>
            <w:shd w:val="clear" w:color="auto" w:fill="auto"/>
            <w:vAlign w:val="center"/>
            <w:hideMark/>
          </w:tcPr>
          <w:p w14:paraId="23AB8C48"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26,0 </w:t>
            </w:r>
          </w:p>
        </w:tc>
      </w:tr>
      <w:tr w:rsidR="00FD7B0B" w:rsidRPr="00FD7B0B" w14:paraId="09E649F8"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0DACB1FB" w14:textId="77777777" w:rsidR="00D97B4C" w:rsidRPr="00FD7B0B" w:rsidRDefault="00D97B4C" w:rsidP="00A54F1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Региональный проект "Социальная активность", из них:</w:t>
            </w:r>
          </w:p>
        </w:tc>
        <w:tc>
          <w:tcPr>
            <w:tcW w:w="992" w:type="dxa"/>
            <w:tcBorders>
              <w:top w:val="nil"/>
              <w:left w:val="nil"/>
              <w:bottom w:val="single" w:sz="4" w:space="0" w:color="auto"/>
              <w:right w:val="single" w:sz="4" w:space="0" w:color="auto"/>
            </w:tcBorders>
            <w:shd w:val="clear" w:color="auto" w:fill="auto"/>
            <w:vAlign w:val="center"/>
            <w:hideMark/>
          </w:tcPr>
          <w:p w14:paraId="3534A1C8"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9,6 </w:t>
            </w:r>
          </w:p>
        </w:tc>
        <w:tc>
          <w:tcPr>
            <w:tcW w:w="902" w:type="dxa"/>
            <w:tcBorders>
              <w:top w:val="nil"/>
              <w:left w:val="nil"/>
              <w:bottom w:val="single" w:sz="4" w:space="0" w:color="auto"/>
              <w:right w:val="single" w:sz="4" w:space="0" w:color="auto"/>
            </w:tcBorders>
            <w:shd w:val="clear" w:color="auto" w:fill="auto"/>
            <w:vAlign w:val="center"/>
            <w:hideMark/>
          </w:tcPr>
          <w:p w14:paraId="3F2F46F4"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9,6 </w:t>
            </w:r>
          </w:p>
        </w:tc>
        <w:tc>
          <w:tcPr>
            <w:tcW w:w="1030" w:type="dxa"/>
            <w:tcBorders>
              <w:top w:val="nil"/>
              <w:left w:val="nil"/>
              <w:bottom w:val="single" w:sz="4" w:space="0" w:color="auto"/>
              <w:right w:val="single" w:sz="4" w:space="0" w:color="auto"/>
            </w:tcBorders>
            <w:shd w:val="clear" w:color="auto" w:fill="auto"/>
            <w:vAlign w:val="center"/>
            <w:hideMark/>
          </w:tcPr>
          <w:p w14:paraId="13C1DB8E"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-0,0 </w:t>
            </w:r>
          </w:p>
        </w:tc>
        <w:tc>
          <w:tcPr>
            <w:tcW w:w="797" w:type="dxa"/>
            <w:tcBorders>
              <w:top w:val="nil"/>
              <w:left w:val="nil"/>
              <w:bottom w:val="single" w:sz="4" w:space="0" w:color="auto"/>
              <w:right w:val="double" w:sz="6" w:space="0" w:color="auto"/>
            </w:tcBorders>
            <w:shd w:val="clear" w:color="auto" w:fill="auto"/>
            <w:vAlign w:val="center"/>
            <w:hideMark/>
          </w:tcPr>
          <w:p w14:paraId="0F10930E"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-0,2 </w:t>
            </w:r>
          </w:p>
        </w:tc>
      </w:tr>
      <w:tr w:rsidR="00FD7B0B" w:rsidRPr="00FD7B0B" w14:paraId="78453F3B"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62B06650"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проведение Всероссийского конкурса лучших региональных практик поддержки волонтерства "Регион добрых дел"</w:t>
            </w:r>
          </w:p>
        </w:tc>
        <w:tc>
          <w:tcPr>
            <w:tcW w:w="992" w:type="dxa"/>
            <w:tcBorders>
              <w:top w:val="nil"/>
              <w:left w:val="nil"/>
              <w:bottom w:val="single" w:sz="4" w:space="0" w:color="auto"/>
              <w:right w:val="single" w:sz="4" w:space="0" w:color="auto"/>
            </w:tcBorders>
            <w:shd w:val="clear" w:color="auto" w:fill="auto"/>
            <w:vAlign w:val="center"/>
            <w:hideMark/>
          </w:tcPr>
          <w:p w14:paraId="2452063F"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9,6 </w:t>
            </w:r>
          </w:p>
        </w:tc>
        <w:tc>
          <w:tcPr>
            <w:tcW w:w="902" w:type="dxa"/>
            <w:tcBorders>
              <w:top w:val="nil"/>
              <w:left w:val="nil"/>
              <w:bottom w:val="single" w:sz="4" w:space="0" w:color="auto"/>
              <w:right w:val="single" w:sz="4" w:space="0" w:color="auto"/>
            </w:tcBorders>
            <w:shd w:val="clear" w:color="auto" w:fill="auto"/>
            <w:vAlign w:val="center"/>
            <w:hideMark/>
          </w:tcPr>
          <w:p w14:paraId="79C66A09"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9,6 </w:t>
            </w:r>
          </w:p>
        </w:tc>
        <w:tc>
          <w:tcPr>
            <w:tcW w:w="1030" w:type="dxa"/>
            <w:tcBorders>
              <w:top w:val="nil"/>
              <w:left w:val="nil"/>
              <w:bottom w:val="single" w:sz="4" w:space="0" w:color="auto"/>
              <w:right w:val="single" w:sz="4" w:space="0" w:color="auto"/>
            </w:tcBorders>
            <w:shd w:val="clear" w:color="auto" w:fill="auto"/>
            <w:vAlign w:val="center"/>
            <w:hideMark/>
          </w:tcPr>
          <w:p w14:paraId="4BDEE297"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-0,0 </w:t>
            </w:r>
          </w:p>
        </w:tc>
        <w:tc>
          <w:tcPr>
            <w:tcW w:w="797" w:type="dxa"/>
            <w:tcBorders>
              <w:top w:val="nil"/>
              <w:left w:val="nil"/>
              <w:bottom w:val="single" w:sz="4" w:space="0" w:color="auto"/>
              <w:right w:val="double" w:sz="6" w:space="0" w:color="auto"/>
            </w:tcBorders>
            <w:shd w:val="clear" w:color="auto" w:fill="auto"/>
            <w:vAlign w:val="center"/>
            <w:hideMark/>
          </w:tcPr>
          <w:p w14:paraId="40A7967E"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-0,2 </w:t>
            </w:r>
          </w:p>
        </w:tc>
      </w:tr>
      <w:tr w:rsidR="00FD7B0B" w:rsidRPr="00FD7B0B" w14:paraId="49AB5B88" w14:textId="77777777" w:rsidTr="0038077E">
        <w:trPr>
          <w:trHeight w:val="409"/>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1397A403" w14:textId="77777777" w:rsidR="00D97B4C" w:rsidRPr="00FD7B0B" w:rsidRDefault="00D97B4C" w:rsidP="00A54F1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Региональный проект "Патриотическое воспитание граждан Российской Федерации", из них:</w:t>
            </w:r>
          </w:p>
        </w:tc>
        <w:tc>
          <w:tcPr>
            <w:tcW w:w="992" w:type="dxa"/>
            <w:tcBorders>
              <w:top w:val="nil"/>
              <w:left w:val="nil"/>
              <w:bottom w:val="single" w:sz="4" w:space="0" w:color="auto"/>
              <w:right w:val="single" w:sz="4" w:space="0" w:color="auto"/>
            </w:tcBorders>
            <w:shd w:val="clear" w:color="auto" w:fill="auto"/>
            <w:vAlign w:val="center"/>
            <w:hideMark/>
          </w:tcPr>
          <w:p w14:paraId="3B7BB805"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40,7 </w:t>
            </w:r>
          </w:p>
        </w:tc>
        <w:tc>
          <w:tcPr>
            <w:tcW w:w="902" w:type="dxa"/>
            <w:tcBorders>
              <w:top w:val="nil"/>
              <w:left w:val="nil"/>
              <w:bottom w:val="single" w:sz="4" w:space="0" w:color="auto"/>
              <w:right w:val="single" w:sz="4" w:space="0" w:color="auto"/>
            </w:tcBorders>
            <w:shd w:val="clear" w:color="auto" w:fill="auto"/>
            <w:vAlign w:val="center"/>
            <w:hideMark/>
          </w:tcPr>
          <w:p w14:paraId="144F62BF"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105,5 </w:t>
            </w:r>
          </w:p>
        </w:tc>
        <w:tc>
          <w:tcPr>
            <w:tcW w:w="1030" w:type="dxa"/>
            <w:tcBorders>
              <w:top w:val="nil"/>
              <w:left w:val="nil"/>
              <w:bottom w:val="single" w:sz="4" w:space="0" w:color="auto"/>
              <w:right w:val="single" w:sz="4" w:space="0" w:color="auto"/>
            </w:tcBorders>
            <w:shd w:val="clear" w:color="auto" w:fill="auto"/>
            <w:vAlign w:val="center"/>
            <w:hideMark/>
          </w:tcPr>
          <w:p w14:paraId="448C0570"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64,8 </w:t>
            </w:r>
          </w:p>
        </w:tc>
        <w:tc>
          <w:tcPr>
            <w:tcW w:w="797" w:type="dxa"/>
            <w:tcBorders>
              <w:top w:val="nil"/>
              <w:left w:val="nil"/>
              <w:bottom w:val="single" w:sz="4" w:space="0" w:color="auto"/>
              <w:right w:val="double" w:sz="6" w:space="0" w:color="auto"/>
            </w:tcBorders>
            <w:shd w:val="clear" w:color="auto" w:fill="auto"/>
            <w:vAlign w:val="center"/>
            <w:hideMark/>
          </w:tcPr>
          <w:p w14:paraId="4AB9818A" w14:textId="77777777" w:rsidR="00D97B4C" w:rsidRPr="00FD7B0B" w:rsidRDefault="00D97B4C" w:rsidP="00A54F14">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в 2,6 раза</w:t>
            </w:r>
          </w:p>
        </w:tc>
      </w:tr>
      <w:tr w:rsidR="00FD7B0B" w:rsidRPr="00FD7B0B" w14:paraId="6CC3810B"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4DE3466C"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992" w:type="dxa"/>
            <w:tcBorders>
              <w:top w:val="nil"/>
              <w:left w:val="nil"/>
              <w:bottom w:val="single" w:sz="4" w:space="0" w:color="auto"/>
              <w:right w:val="single" w:sz="4" w:space="0" w:color="auto"/>
            </w:tcBorders>
            <w:shd w:val="clear" w:color="auto" w:fill="auto"/>
            <w:vAlign w:val="center"/>
            <w:hideMark/>
          </w:tcPr>
          <w:p w14:paraId="23118B28"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23,1 </w:t>
            </w:r>
          </w:p>
        </w:tc>
        <w:tc>
          <w:tcPr>
            <w:tcW w:w="902" w:type="dxa"/>
            <w:tcBorders>
              <w:top w:val="nil"/>
              <w:left w:val="nil"/>
              <w:bottom w:val="single" w:sz="4" w:space="0" w:color="auto"/>
              <w:right w:val="single" w:sz="4" w:space="0" w:color="auto"/>
            </w:tcBorders>
            <w:shd w:val="clear" w:color="auto" w:fill="auto"/>
            <w:vAlign w:val="center"/>
            <w:hideMark/>
          </w:tcPr>
          <w:p w14:paraId="731442E9"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105,5 </w:t>
            </w:r>
          </w:p>
        </w:tc>
        <w:tc>
          <w:tcPr>
            <w:tcW w:w="1030" w:type="dxa"/>
            <w:tcBorders>
              <w:top w:val="nil"/>
              <w:left w:val="nil"/>
              <w:bottom w:val="single" w:sz="4" w:space="0" w:color="auto"/>
              <w:right w:val="single" w:sz="4" w:space="0" w:color="auto"/>
            </w:tcBorders>
            <w:shd w:val="clear" w:color="auto" w:fill="auto"/>
            <w:vAlign w:val="center"/>
            <w:hideMark/>
          </w:tcPr>
          <w:p w14:paraId="6B57EC7D"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82,3 </w:t>
            </w:r>
          </w:p>
        </w:tc>
        <w:tc>
          <w:tcPr>
            <w:tcW w:w="797" w:type="dxa"/>
            <w:tcBorders>
              <w:top w:val="nil"/>
              <w:left w:val="nil"/>
              <w:bottom w:val="single" w:sz="4" w:space="0" w:color="auto"/>
              <w:right w:val="double" w:sz="6" w:space="0" w:color="auto"/>
            </w:tcBorders>
            <w:shd w:val="clear" w:color="auto" w:fill="auto"/>
            <w:vAlign w:val="center"/>
            <w:hideMark/>
          </w:tcPr>
          <w:p w14:paraId="27185D64" w14:textId="77777777" w:rsidR="00D97B4C" w:rsidRPr="00FD7B0B" w:rsidRDefault="00D97B4C" w:rsidP="00A54F14">
            <w:pPr>
              <w:spacing w:after="0" w:line="240" w:lineRule="auto"/>
              <w:jc w:val="center"/>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в 4,6 раза</w:t>
            </w:r>
          </w:p>
        </w:tc>
      </w:tr>
      <w:tr w:rsidR="00FD7B0B" w:rsidRPr="00FD7B0B" w14:paraId="6B01C55A"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233A7A49" w14:textId="77777777" w:rsidR="00D97B4C" w:rsidRPr="00FD7B0B" w:rsidRDefault="00D97B4C" w:rsidP="00A54F14">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обеспечение оснащения государственных и муниципальных общеобразовательных организаций, в том числе структурных подразделений указанных организаций, государственными символами Российской Федерации</w:t>
            </w:r>
          </w:p>
        </w:tc>
        <w:tc>
          <w:tcPr>
            <w:tcW w:w="992" w:type="dxa"/>
            <w:tcBorders>
              <w:top w:val="nil"/>
              <w:left w:val="nil"/>
              <w:bottom w:val="single" w:sz="4" w:space="0" w:color="auto"/>
              <w:right w:val="single" w:sz="4" w:space="0" w:color="auto"/>
            </w:tcBorders>
            <w:shd w:val="clear" w:color="auto" w:fill="auto"/>
            <w:vAlign w:val="center"/>
            <w:hideMark/>
          </w:tcPr>
          <w:p w14:paraId="1571FC98"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17,6 </w:t>
            </w:r>
          </w:p>
        </w:tc>
        <w:tc>
          <w:tcPr>
            <w:tcW w:w="902" w:type="dxa"/>
            <w:tcBorders>
              <w:top w:val="nil"/>
              <w:left w:val="nil"/>
              <w:bottom w:val="single" w:sz="4" w:space="0" w:color="auto"/>
              <w:right w:val="single" w:sz="4" w:space="0" w:color="auto"/>
            </w:tcBorders>
            <w:shd w:val="clear" w:color="auto" w:fill="auto"/>
            <w:vAlign w:val="center"/>
            <w:hideMark/>
          </w:tcPr>
          <w:p w14:paraId="50F3FDED"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3B615B78"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-17,6 </w:t>
            </w:r>
          </w:p>
        </w:tc>
        <w:tc>
          <w:tcPr>
            <w:tcW w:w="797" w:type="dxa"/>
            <w:tcBorders>
              <w:top w:val="nil"/>
              <w:left w:val="nil"/>
              <w:bottom w:val="single" w:sz="4" w:space="0" w:color="auto"/>
              <w:right w:val="double" w:sz="6" w:space="0" w:color="auto"/>
            </w:tcBorders>
            <w:shd w:val="clear" w:color="auto" w:fill="auto"/>
            <w:vAlign w:val="center"/>
            <w:hideMark/>
          </w:tcPr>
          <w:p w14:paraId="20FED36D" w14:textId="77777777" w:rsidR="00D97B4C" w:rsidRPr="00FD7B0B" w:rsidRDefault="00D97B4C" w:rsidP="00A54F14">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-100,0 </w:t>
            </w:r>
          </w:p>
        </w:tc>
      </w:tr>
      <w:tr w:rsidR="00FD7B0B" w:rsidRPr="00FD7B0B" w14:paraId="34356494" w14:textId="77777777" w:rsidTr="00D97B4C">
        <w:trPr>
          <w:trHeight w:val="70"/>
        </w:trPr>
        <w:tc>
          <w:tcPr>
            <w:tcW w:w="6310" w:type="dxa"/>
            <w:tcBorders>
              <w:top w:val="nil"/>
              <w:left w:val="double" w:sz="6" w:space="0" w:color="auto"/>
              <w:bottom w:val="single" w:sz="4" w:space="0" w:color="auto"/>
              <w:right w:val="single" w:sz="4" w:space="0" w:color="auto"/>
            </w:tcBorders>
            <w:shd w:val="clear" w:color="auto" w:fill="auto"/>
            <w:vAlign w:val="center"/>
            <w:hideMark/>
          </w:tcPr>
          <w:p w14:paraId="3DFCF5D9" w14:textId="77777777" w:rsidR="00D97B4C" w:rsidRPr="00FD7B0B" w:rsidRDefault="00D97B4C" w:rsidP="00A54F1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Региональный проект "Развитие системы поддержки молодежи ("Молодежь России")", из них:</w:t>
            </w:r>
          </w:p>
        </w:tc>
        <w:tc>
          <w:tcPr>
            <w:tcW w:w="992" w:type="dxa"/>
            <w:tcBorders>
              <w:top w:val="nil"/>
              <w:left w:val="nil"/>
              <w:bottom w:val="single" w:sz="4" w:space="0" w:color="auto"/>
              <w:right w:val="single" w:sz="4" w:space="0" w:color="auto"/>
            </w:tcBorders>
            <w:shd w:val="clear" w:color="auto" w:fill="auto"/>
            <w:vAlign w:val="center"/>
            <w:hideMark/>
          </w:tcPr>
          <w:p w14:paraId="2C704BE4"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0,0 </w:t>
            </w:r>
          </w:p>
        </w:tc>
        <w:tc>
          <w:tcPr>
            <w:tcW w:w="902" w:type="dxa"/>
            <w:tcBorders>
              <w:top w:val="nil"/>
              <w:left w:val="nil"/>
              <w:bottom w:val="single" w:sz="4" w:space="0" w:color="auto"/>
              <w:right w:val="single" w:sz="4" w:space="0" w:color="auto"/>
            </w:tcBorders>
            <w:shd w:val="clear" w:color="auto" w:fill="auto"/>
            <w:vAlign w:val="center"/>
            <w:hideMark/>
          </w:tcPr>
          <w:p w14:paraId="6B1C3D4C"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141,3 </w:t>
            </w:r>
          </w:p>
        </w:tc>
        <w:tc>
          <w:tcPr>
            <w:tcW w:w="1030" w:type="dxa"/>
            <w:tcBorders>
              <w:top w:val="nil"/>
              <w:left w:val="nil"/>
              <w:bottom w:val="single" w:sz="4" w:space="0" w:color="auto"/>
              <w:right w:val="single" w:sz="4" w:space="0" w:color="auto"/>
            </w:tcBorders>
            <w:shd w:val="clear" w:color="auto" w:fill="auto"/>
            <w:vAlign w:val="center"/>
            <w:hideMark/>
          </w:tcPr>
          <w:p w14:paraId="356873C9" w14:textId="77777777" w:rsidR="00D97B4C" w:rsidRPr="00FD7B0B" w:rsidRDefault="00D97B4C" w:rsidP="00A54F14">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141,3 </w:t>
            </w:r>
          </w:p>
        </w:tc>
        <w:tc>
          <w:tcPr>
            <w:tcW w:w="797" w:type="dxa"/>
            <w:tcBorders>
              <w:top w:val="nil"/>
              <w:left w:val="nil"/>
              <w:bottom w:val="single" w:sz="4" w:space="0" w:color="auto"/>
              <w:right w:val="double" w:sz="6" w:space="0" w:color="auto"/>
            </w:tcBorders>
            <w:shd w:val="clear" w:color="auto" w:fill="auto"/>
            <w:vAlign w:val="center"/>
            <w:hideMark/>
          </w:tcPr>
          <w:p w14:paraId="032EC482" w14:textId="77777777" w:rsidR="00D97B4C" w:rsidRPr="00FD7B0B" w:rsidRDefault="00D97B4C" w:rsidP="00A54F14">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w:t>
            </w:r>
          </w:p>
        </w:tc>
      </w:tr>
      <w:tr w:rsidR="00FD7B0B" w:rsidRPr="00FD7B0B" w14:paraId="57F5462B" w14:textId="77777777" w:rsidTr="00D97B4C">
        <w:trPr>
          <w:trHeight w:val="70"/>
        </w:trPr>
        <w:tc>
          <w:tcPr>
            <w:tcW w:w="6310" w:type="dxa"/>
            <w:tcBorders>
              <w:top w:val="nil"/>
              <w:left w:val="double" w:sz="6" w:space="0" w:color="auto"/>
              <w:bottom w:val="double" w:sz="6" w:space="0" w:color="auto"/>
              <w:right w:val="single" w:sz="4" w:space="0" w:color="auto"/>
            </w:tcBorders>
            <w:shd w:val="clear" w:color="auto" w:fill="auto"/>
            <w:vAlign w:val="center"/>
            <w:hideMark/>
          </w:tcPr>
          <w:p w14:paraId="7F6041D4" w14:textId="77777777" w:rsidR="00D97B4C" w:rsidRPr="00FD7B0B" w:rsidRDefault="00D97B4C" w:rsidP="00A54F14">
            <w:pPr>
              <w:spacing w:after="0" w:line="240" w:lineRule="auto"/>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 - реализация программы комплексного развития молодежной политики в регионах Российской Федерации "Регион для молодых" </w:t>
            </w:r>
          </w:p>
        </w:tc>
        <w:tc>
          <w:tcPr>
            <w:tcW w:w="992" w:type="dxa"/>
            <w:tcBorders>
              <w:top w:val="nil"/>
              <w:left w:val="nil"/>
              <w:bottom w:val="double" w:sz="6" w:space="0" w:color="auto"/>
              <w:right w:val="single" w:sz="4" w:space="0" w:color="auto"/>
            </w:tcBorders>
            <w:shd w:val="clear" w:color="auto" w:fill="auto"/>
            <w:vAlign w:val="center"/>
            <w:hideMark/>
          </w:tcPr>
          <w:p w14:paraId="2ACA5E79" w14:textId="77777777" w:rsidR="00D97B4C" w:rsidRPr="00FD7B0B" w:rsidRDefault="00D97B4C" w:rsidP="00A54F14">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0,0 </w:t>
            </w:r>
          </w:p>
        </w:tc>
        <w:tc>
          <w:tcPr>
            <w:tcW w:w="902" w:type="dxa"/>
            <w:tcBorders>
              <w:top w:val="nil"/>
              <w:left w:val="nil"/>
              <w:bottom w:val="double" w:sz="6" w:space="0" w:color="auto"/>
              <w:right w:val="single" w:sz="4" w:space="0" w:color="auto"/>
            </w:tcBorders>
            <w:shd w:val="clear" w:color="auto" w:fill="auto"/>
            <w:vAlign w:val="center"/>
            <w:hideMark/>
          </w:tcPr>
          <w:p w14:paraId="3097168F" w14:textId="77777777" w:rsidR="00D97B4C" w:rsidRPr="00FD7B0B" w:rsidRDefault="00D97B4C" w:rsidP="00A54F14">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141,3 </w:t>
            </w:r>
          </w:p>
        </w:tc>
        <w:tc>
          <w:tcPr>
            <w:tcW w:w="1030" w:type="dxa"/>
            <w:tcBorders>
              <w:top w:val="nil"/>
              <w:left w:val="nil"/>
              <w:bottom w:val="double" w:sz="6" w:space="0" w:color="auto"/>
              <w:right w:val="single" w:sz="4" w:space="0" w:color="auto"/>
            </w:tcBorders>
            <w:shd w:val="clear" w:color="auto" w:fill="auto"/>
            <w:vAlign w:val="center"/>
            <w:hideMark/>
          </w:tcPr>
          <w:p w14:paraId="2F49342E" w14:textId="77777777" w:rsidR="00D97B4C" w:rsidRPr="00FD7B0B" w:rsidRDefault="00D97B4C" w:rsidP="00A54F14">
            <w:pPr>
              <w:spacing w:after="0" w:line="240" w:lineRule="auto"/>
              <w:jc w:val="right"/>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 xml:space="preserve">141,3 </w:t>
            </w:r>
          </w:p>
        </w:tc>
        <w:tc>
          <w:tcPr>
            <w:tcW w:w="797" w:type="dxa"/>
            <w:tcBorders>
              <w:top w:val="nil"/>
              <w:left w:val="nil"/>
              <w:bottom w:val="double" w:sz="6" w:space="0" w:color="auto"/>
              <w:right w:val="double" w:sz="6" w:space="0" w:color="auto"/>
            </w:tcBorders>
            <w:shd w:val="clear" w:color="auto" w:fill="auto"/>
            <w:vAlign w:val="center"/>
            <w:hideMark/>
          </w:tcPr>
          <w:p w14:paraId="2663A673" w14:textId="77777777" w:rsidR="00D97B4C" w:rsidRPr="00FD7B0B" w:rsidRDefault="00D97B4C" w:rsidP="00A54F14">
            <w:pPr>
              <w:spacing w:after="0" w:line="240" w:lineRule="auto"/>
              <w:rPr>
                <w:rFonts w:ascii="Times New Roman" w:eastAsia="Times New Roman" w:hAnsi="Times New Roman" w:cs="Times New Roman"/>
                <w:i/>
                <w:sz w:val="21"/>
                <w:szCs w:val="21"/>
                <w:lang w:eastAsia="ru-RU"/>
              </w:rPr>
            </w:pPr>
            <w:r w:rsidRPr="00FD7B0B">
              <w:rPr>
                <w:rFonts w:ascii="Times New Roman" w:eastAsia="Times New Roman" w:hAnsi="Times New Roman" w:cs="Times New Roman"/>
                <w:i/>
                <w:sz w:val="21"/>
                <w:szCs w:val="21"/>
                <w:lang w:eastAsia="ru-RU"/>
              </w:rPr>
              <w:t>-</w:t>
            </w:r>
          </w:p>
        </w:tc>
      </w:tr>
    </w:tbl>
    <w:p w14:paraId="7791C8E4" w14:textId="77777777" w:rsidR="00D97B4C" w:rsidRPr="00FD7B0B" w:rsidRDefault="00D97B4C" w:rsidP="00A54F14">
      <w:pPr>
        <w:spacing w:after="0" w:line="240" w:lineRule="auto"/>
        <w:ind w:firstLine="709"/>
        <w:jc w:val="both"/>
        <w:rPr>
          <w:rFonts w:ascii="Times New Roman" w:eastAsia="Calibri" w:hAnsi="Times New Roman" w:cs="Times New Roman"/>
          <w:sz w:val="28"/>
          <w:szCs w:val="28"/>
        </w:rPr>
      </w:pPr>
    </w:p>
    <w:p w14:paraId="2ED4DAE6" w14:textId="77777777" w:rsidR="00D97B4C" w:rsidRPr="00FD7B0B" w:rsidRDefault="00D97B4C" w:rsidP="00A54F1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Основной рост расходов на реализацию НП «Образование» обусловлен ростом расходов на РП АО «Современная школа» – в 2,7 раза (+1 651,8 млн.руб.) связанные со строительством общеобразовательных организаций из них:</w:t>
      </w:r>
    </w:p>
    <w:p w14:paraId="36DE7E00" w14:textId="77777777" w:rsidR="00D97B4C" w:rsidRPr="00FD7B0B" w:rsidRDefault="00D97B4C" w:rsidP="00D30102">
      <w:pPr>
        <w:pStyle w:val="a8"/>
        <w:numPr>
          <w:ilvl w:val="0"/>
          <w:numId w:val="11"/>
        </w:numPr>
        <w:ind w:left="0" w:firstLine="709"/>
        <w:jc w:val="both"/>
        <w:rPr>
          <w:sz w:val="28"/>
          <w:szCs w:val="28"/>
        </w:rPr>
      </w:pPr>
      <w:r w:rsidRPr="00FD7B0B">
        <w:rPr>
          <w:sz w:val="28"/>
          <w:szCs w:val="28"/>
        </w:rPr>
        <w:t>в рамках концессионного соглашения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 – в 8,9 раза (+764,5 млн.руб.);</w:t>
      </w:r>
    </w:p>
    <w:p w14:paraId="109494AE" w14:textId="77777777" w:rsidR="00D97B4C" w:rsidRPr="00FD7B0B" w:rsidRDefault="00D97B4C" w:rsidP="00AE58CF">
      <w:pPr>
        <w:pStyle w:val="a8"/>
        <w:numPr>
          <w:ilvl w:val="0"/>
          <w:numId w:val="11"/>
        </w:numPr>
        <w:ind w:left="0" w:firstLine="709"/>
        <w:jc w:val="both"/>
        <w:rPr>
          <w:sz w:val="28"/>
          <w:szCs w:val="28"/>
        </w:rPr>
      </w:pPr>
      <w:r w:rsidRPr="00FD7B0B">
        <w:rPr>
          <w:sz w:val="28"/>
          <w:szCs w:val="28"/>
        </w:rPr>
        <w:lastRenderedPageBreak/>
        <w:t>в рамках областной адресной инвестиционной программы, где заказчиком объектов выступаем ГКУ «Главное управление капитального строительства» – в 2,2 раза (+884,2 млн.руб.).</w:t>
      </w:r>
    </w:p>
    <w:p w14:paraId="2F18800C" w14:textId="77777777" w:rsidR="00D97B4C" w:rsidRPr="00FD7B0B" w:rsidRDefault="00D97B4C" w:rsidP="00AE58C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Также, с 2024 года осуществляются расходы на реализацию РП АО «Развитие системы поддержки молодежи («Молодежь России»)», которые составили 141,3 млн.руб.</w:t>
      </w:r>
    </w:p>
    <w:p w14:paraId="59F525F9" w14:textId="7E479028" w:rsidR="00D97B4C" w:rsidRPr="00FD7B0B" w:rsidRDefault="00D97B4C" w:rsidP="00AE58C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разрезе видов расходов бюджетной классификации РФ произведенные за 2023 – 2024 годы расходы областного бюджета на реализацию НП РФ представлены в таблице </w:t>
      </w:r>
      <w:r w:rsidR="00B21118" w:rsidRPr="00FD7B0B">
        <w:rPr>
          <w:rFonts w:ascii="Times New Roman" w:eastAsia="Calibri" w:hAnsi="Times New Roman" w:cs="Times New Roman"/>
          <w:sz w:val="28"/>
          <w:szCs w:val="28"/>
        </w:rPr>
        <w:t>257</w:t>
      </w:r>
      <w:r w:rsidRPr="00FD7B0B">
        <w:rPr>
          <w:rFonts w:ascii="Times New Roman" w:eastAsia="Calibri" w:hAnsi="Times New Roman" w:cs="Times New Roman"/>
          <w:sz w:val="28"/>
          <w:szCs w:val="28"/>
        </w:rPr>
        <w:t>.</w:t>
      </w:r>
    </w:p>
    <w:p w14:paraId="2CBEA497" w14:textId="77777777" w:rsidR="00D97B4C" w:rsidRPr="00FD7B0B" w:rsidRDefault="00D97B4C" w:rsidP="0021612A">
      <w:pPr>
        <w:spacing w:after="0" w:line="240" w:lineRule="auto"/>
        <w:rPr>
          <w:rFonts w:ascii="Times New Roman" w:eastAsia="Calibri" w:hAnsi="Times New Roman" w:cs="Times New Roman"/>
          <w:bCs/>
          <w:sz w:val="24"/>
          <w:szCs w:val="24"/>
        </w:rPr>
      </w:pPr>
    </w:p>
    <w:p w14:paraId="28BCF43F" w14:textId="02000B35" w:rsidR="00D97B4C" w:rsidRPr="00FD7B0B" w:rsidRDefault="00D97B4C" w:rsidP="0021612A">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257</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областного бюджета на реализацию национальных проектов РФ за 2023 – 2024 годы, по группам и отдельным подгруппам вида расходов бюджетной классификации РФ, млн.руб.</w:t>
      </w:r>
    </w:p>
    <w:tbl>
      <w:tblPr>
        <w:tblW w:w="9582" w:type="dxa"/>
        <w:tblLook w:val="04A0" w:firstRow="1" w:lastRow="0" w:firstColumn="1" w:lastColumn="0" w:noHBand="0" w:noVBand="1"/>
      </w:tblPr>
      <w:tblGrid>
        <w:gridCol w:w="5789"/>
        <w:gridCol w:w="957"/>
        <w:gridCol w:w="960"/>
        <w:gridCol w:w="1030"/>
        <w:gridCol w:w="846"/>
      </w:tblGrid>
      <w:tr w:rsidR="00FD7B0B" w:rsidRPr="00FD7B0B" w14:paraId="452705D2" w14:textId="77777777" w:rsidTr="0021612A">
        <w:trPr>
          <w:trHeight w:val="122"/>
          <w:tblHeader/>
        </w:trPr>
        <w:tc>
          <w:tcPr>
            <w:tcW w:w="578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3F2E1FC" w14:textId="77777777" w:rsidR="00D97B4C" w:rsidRPr="00FD7B0B" w:rsidRDefault="00D97B4C" w:rsidP="0021612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7D47D3A" w14:textId="77777777" w:rsidR="00D97B4C" w:rsidRPr="00FD7B0B" w:rsidRDefault="00D97B4C" w:rsidP="0021612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2023 год</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DD4FD80" w14:textId="77777777" w:rsidR="00D97B4C" w:rsidRPr="00FD7B0B" w:rsidRDefault="00D97B4C" w:rsidP="0021612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2024 год</w:t>
            </w:r>
          </w:p>
        </w:tc>
        <w:tc>
          <w:tcPr>
            <w:tcW w:w="1876" w:type="dxa"/>
            <w:gridSpan w:val="2"/>
            <w:tcBorders>
              <w:top w:val="double" w:sz="6" w:space="0" w:color="auto"/>
              <w:left w:val="nil"/>
              <w:bottom w:val="single" w:sz="4" w:space="0" w:color="auto"/>
              <w:right w:val="double" w:sz="6" w:space="0" w:color="000000"/>
            </w:tcBorders>
            <w:shd w:val="clear" w:color="auto" w:fill="auto"/>
            <w:vAlign w:val="center"/>
            <w:hideMark/>
          </w:tcPr>
          <w:p w14:paraId="2F0DF2C4" w14:textId="77777777" w:rsidR="00D97B4C" w:rsidRPr="00FD7B0B" w:rsidRDefault="00D97B4C" w:rsidP="0021612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Изменение (+/-)</w:t>
            </w:r>
          </w:p>
        </w:tc>
      </w:tr>
      <w:tr w:rsidR="00FD7B0B" w:rsidRPr="00FD7B0B" w14:paraId="3038A815" w14:textId="77777777" w:rsidTr="0021612A">
        <w:trPr>
          <w:trHeight w:val="97"/>
          <w:tblHeader/>
        </w:trPr>
        <w:tc>
          <w:tcPr>
            <w:tcW w:w="5789" w:type="dxa"/>
            <w:vMerge/>
            <w:tcBorders>
              <w:top w:val="double" w:sz="6" w:space="0" w:color="auto"/>
              <w:left w:val="double" w:sz="6" w:space="0" w:color="auto"/>
              <w:bottom w:val="single" w:sz="4" w:space="0" w:color="auto"/>
              <w:right w:val="single" w:sz="4" w:space="0" w:color="auto"/>
            </w:tcBorders>
            <w:vAlign w:val="center"/>
            <w:hideMark/>
          </w:tcPr>
          <w:p w14:paraId="0517211C" w14:textId="77777777" w:rsidR="00D97B4C" w:rsidRPr="00FD7B0B" w:rsidRDefault="00D97B4C" w:rsidP="0021612A">
            <w:pPr>
              <w:spacing w:after="0" w:line="240" w:lineRule="auto"/>
              <w:rPr>
                <w:rFonts w:ascii="Times New Roman" w:eastAsia="Times New Roman" w:hAnsi="Times New Roman" w:cs="Times New Roman"/>
                <w:b/>
                <w:bCs/>
                <w:sz w:val="21"/>
                <w:szCs w:val="21"/>
                <w:lang w:eastAsia="ru-RU"/>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635DDE26" w14:textId="77777777" w:rsidR="00D97B4C" w:rsidRPr="00FD7B0B" w:rsidRDefault="00D97B4C" w:rsidP="0021612A">
            <w:pPr>
              <w:spacing w:after="0" w:line="240" w:lineRule="auto"/>
              <w:rPr>
                <w:rFonts w:ascii="Times New Roman" w:eastAsia="Times New Roman" w:hAnsi="Times New Roman" w:cs="Times New Roman"/>
                <w:b/>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232053BD" w14:textId="77777777" w:rsidR="00D97B4C" w:rsidRPr="00FD7B0B" w:rsidRDefault="00D97B4C" w:rsidP="0021612A">
            <w:pPr>
              <w:spacing w:after="0" w:line="240" w:lineRule="auto"/>
              <w:rPr>
                <w:rFonts w:ascii="Times New Roman" w:eastAsia="Times New Roman" w:hAnsi="Times New Roman" w:cs="Times New Roman"/>
                <w:b/>
                <w:bCs/>
                <w:sz w:val="21"/>
                <w:szCs w:val="21"/>
                <w:lang w:eastAsia="ru-RU"/>
              </w:rPr>
            </w:pPr>
          </w:p>
        </w:tc>
        <w:tc>
          <w:tcPr>
            <w:tcW w:w="1030" w:type="dxa"/>
            <w:tcBorders>
              <w:top w:val="nil"/>
              <w:left w:val="nil"/>
              <w:bottom w:val="single" w:sz="4" w:space="0" w:color="auto"/>
              <w:right w:val="single" w:sz="4" w:space="0" w:color="auto"/>
            </w:tcBorders>
            <w:shd w:val="clear" w:color="auto" w:fill="auto"/>
            <w:vAlign w:val="center"/>
            <w:hideMark/>
          </w:tcPr>
          <w:p w14:paraId="2A393DC6" w14:textId="77777777" w:rsidR="00D97B4C" w:rsidRPr="00FD7B0B" w:rsidRDefault="00D97B4C" w:rsidP="0021612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млн.руб.</w:t>
            </w:r>
          </w:p>
        </w:tc>
        <w:tc>
          <w:tcPr>
            <w:tcW w:w="846" w:type="dxa"/>
            <w:tcBorders>
              <w:top w:val="nil"/>
              <w:left w:val="nil"/>
              <w:bottom w:val="single" w:sz="4" w:space="0" w:color="auto"/>
              <w:right w:val="double" w:sz="6" w:space="0" w:color="auto"/>
            </w:tcBorders>
            <w:shd w:val="clear" w:color="auto" w:fill="auto"/>
            <w:vAlign w:val="center"/>
            <w:hideMark/>
          </w:tcPr>
          <w:p w14:paraId="71038CAC" w14:textId="77777777" w:rsidR="00D97B4C" w:rsidRPr="00FD7B0B" w:rsidRDefault="00D97B4C" w:rsidP="0021612A">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11363977"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8950260" w14:textId="77777777" w:rsidR="00D97B4C" w:rsidRPr="00FD7B0B" w:rsidRDefault="00D97B4C" w:rsidP="0021612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Контрактуемые расходы бюджета (ВР 240, 323, 410), из них:</w:t>
            </w:r>
          </w:p>
        </w:tc>
        <w:tc>
          <w:tcPr>
            <w:tcW w:w="957" w:type="dxa"/>
            <w:tcBorders>
              <w:top w:val="nil"/>
              <w:left w:val="nil"/>
              <w:bottom w:val="single" w:sz="4" w:space="0" w:color="auto"/>
              <w:right w:val="single" w:sz="4" w:space="0" w:color="auto"/>
            </w:tcBorders>
            <w:shd w:val="clear" w:color="auto" w:fill="auto"/>
            <w:noWrap/>
            <w:vAlign w:val="center"/>
            <w:hideMark/>
          </w:tcPr>
          <w:p w14:paraId="5788E10F"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16 240,5 </w:t>
            </w:r>
          </w:p>
        </w:tc>
        <w:tc>
          <w:tcPr>
            <w:tcW w:w="960" w:type="dxa"/>
            <w:tcBorders>
              <w:top w:val="nil"/>
              <w:left w:val="nil"/>
              <w:bottom w:val="single" w:sz="4" w:space="0" w:color="auto"/>
              <w:right w:val="single" w:sz="4" w:space="0" w:color="auto"/>
            </w:tcBorders>
            <w:shd w:val="clear" w:color="auto" w:fill="auto"/>
            <w:noWrap/>
            <w:vAlign w:val="center"/>
            <w:hideMark/>
          </w:tcPr>
          <w:p w14:paraId="392EE187"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11 841,8 </w:t>
            </w:r>
          </w:p>
        </w:tc>
        <w:tc>
          <w:tcPr>
            <w:tcW w:w="1030" w:type="dxa"/>
            <w:tcBorders>
              <w:top w:val="nil"/>
              <w:left w:val="nil"/>
              <w:bottom w:val="single" w:sz="4" w:space="0" w:color="auto"/>
              <w:right w:val="single" w:sz="4" w:space="0" w:color="auto"/>
            </w:tcBorders>
            <w:shd w:val="clear" w:color="auto" w:fill="auto"/>
            <w:noWrap/>
            <w:vAlign w:val="center"/>
            <w:hideMark/>
          </w:tcPr>
          <w:p w14:paraId="568ED328"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-4 398,6 </w:t>
            </w:r>
          </w:p>
        </w:tc>
        <w:tc>
          <w:tcPr>
            <w:tcW w:w="846" w:type="dxa"/>
            <w:tcBorders>
              <w:top w:val="nil"/>
              <w:left w:val="nil"/>
              <w:bottom w:val="single" w:sz="4" w:space="0" w:color="auto"/>
              <w:right w:val="double" w:sz="6" w:space="0" w:color="auto"/>
            </w:tcBorders>
            <w:shd w:val="clear" w:color="auto" w:fill="auto"/>
            <w:noWrap/>
            <w:vAlign w:val="center"/>
            <w:hideMark/>
          </w:tcPr>
          <w:p w14:paraId="40477A93"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-27,1 </w:t>
            </w:r>
          </w:p>
        </w:tc>
      </w:tr>
      <w:tr w:rsidR="00FD7B0B" w:rsidRPr="00FD7B0B" w14:paraId="52B0B632"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8473876"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бюджетные инвестиции (ВР 410)</w:t>
            </w:r>
          </w:p>
        </w:tc>
        <w:tc>
          <w:tcPr>
            <w:tcW w:w="957" w:type="dxa"/>
            <w:tcBorders>
              <w:top w:val="nil"/>
              <w:left w:val="nil"/>
              <w:bottom w:val="single" w:sz="4" w:space="0" w:color="auto"/>
              <w:right w:val="single" w:sz="4" w:space="0" w:color="auto"/>
            </w:tcBorders>
            <w:shd w:val="clear" w:color="auto" w:fill="auto"/>
            <w:noWrap/>
            <w:vAlign w:val="center"/>
            <w:hideMark/>
          </w:tcPr>
          <w:p w14:paraId="0F4DE37B"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8 410,3 </w:t>
            </w:r>
          </w:p>
        </w:tc>
        <w:tc>
          <w:tcPr>
            <w:tcW w:w="960" w:type="dxa"/>
            <w:tcBorders>
              <w:top w:val="nil"/>
              <w:left w:val="nil"/>
              <w:bottom w:val="single" w:sz="4" w:space="0" w:color="auto"/>
              <w:right w:val="single" w:sz="4" w:space="0" w:color="auto"/>
            </w:tcBorders>
            <w:shd w:val="clear" w:color="auto" w:fill="auto"/>
            <w:noWrap/>
            <w:vAlign w:val="center"/>
            <w:hideMark/>
          </w:tcPr>
          <w:p w14:paraId="3A1CACA4"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4 520,2 </w:t>
            </w:r>
          </w:p>
        </w:tc>
        <w:tc>
          <w:tcPr>
            <w:tcW w:w="1030" w:type="dxa"/>
            <w:tcBorders>
              <w:top w:val="nil"/>
              <w:left w:val="nil"/>
              <w:bottom w:val="single" w:sz="4" w:space="0" w:color="auto"/>
              <w:right w:val="single" w:sz="4" w:space="0" w:color="auto"/>
            </w:tcBorders>
            <w:shd w:val="clear" w:color="auto" w:fill="auto"/>
            <w:noWrap/>
            <w:vAlign w:val="center"/>
            <w:hideMark/>
          </w:tcPr>
          <w:p w14:paraId="7917E9F0"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-3 890,0 </w:t>
            </w:r>
          </w:p>
        </w:tc>
        <w:tc>
          <w:tcPr>
            <w:tcW w:w="846" w:type="dxa"/>
            <w:tcBorders>
              <w:top w:val="nil"/>
              <w:left w:val="nil"/>
              <w:bottom w:val="single" w:sz="4" w:space="0" w:color="auto"/>
              <w:right w:val="double" w:sz="6" w:space="0" w:color="auto"/>
            </w:tcBorders>
            <w:shd w:val="clear" w:color="auto" w:fill="auto"/>
            <w:noWrap/>
            <w:vAlign w:val="center"/>
            <w:hideMark/>
          </w:tcPr>
          <w:p w14:paraId="25769EA4"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-46,3 </w:t>
            </w:r>
          </w:p>
        </w:tc>
      </w:tr>
      <w:tr w:rsidR="00FD7B0B" w:rsidRPr="00FD7B0B" w14:paraId="03D8E176"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04A73FA"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закупки в целях капитального ремонта государственного имущества (ВР 243)</w:t>
            </w:r>
          </w:p>
        </w:tc>
        <w:tc>
          <w:tcPr>
            <w:tcW w:w="957" w:type="dxa"/>
            <w:tcBorders>
              <w:top w:val="nil"/>
              <w:left w:val="nil"/>
              <w:bottom w:val="single" w:sz="4" w:space="0" w:color="auto"/>
              <w:right w:val="single" w:sz="4" w:space="0" w:color="auto"/>
            </w:tcBorders>
            <w:shd w:val="clear" w:color="auto" w:fill="auto"/>
            <w:noWrap/>
            <w:vAlign w:val="center"/>
            <w:hideMark/>
          </w:tcPr>
          <w:p w14:paraId="23503987"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2 032,9 </w:t>
            </w:r>
          </w:p>
        </w:tc>
        <w:tc>
          <w:tcPr>
            <w:tcW w:w="960" w:type="dxa"/>
            <w:tcBorders>
              <w:top w:val="nil"/>
              <w:left w:val="nil"/>
              <w:bottom w:val="single" w:sz="4" w:space="0" w:color="auto"/>
              <w:right w:val="single" w:sz="4" w:space="0" w:color="auto"/>
            </w:tcBorders>
            <w:shd w:val="clear" w:color="auto" w:fill="auto"/>
            <w:noWrap/>
            <w:vAlign w:val="center"/>
            <w:hideMark/>
          </w:tcPr>
          <w:p w14:paraId="57BBC59C"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3 052,7 </w:t>
            </w:r>
          </w:p>
        </w:tc>
        <w:tc>
          <w:tcPr>
            <w:tcW w:w="1030" w:type="dxa"/>
            <w:tcBorders>
              <w:top w:val="nil"/>
              <w:left w:val="nil"/>
              <w:bottom w:val="single" w:sz="4" w:space="0" w:color="auto"/>
              <w:right w:val="single" w:sz="4" w:space="0" w:color="auto"/>
            </w:tcBorders>
            <w:shd w:val="clear" w:color="auto" w:fill="auto"/>
            <w:noWrap/>
            <w:vAlign w:val="center"/>
            <w:hideMark/>
          </w:tcPr>
          <w:p w14:paraId="5998DC25"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1 019,8 </w:t>
            </w:r>
          </w:p>
        </w:tc>
        <w:tc>
          <w:tcPr>
            <w:tcW w:w="846" w:type="dxa"/>
            <w:tcBorders>
              <w:top w:val="nil"/>
              <w:left w:val="nil"/>
              <w:bottom w:val="single" w:sz="4" w:space="0" w:color="auto"/>
              <w:right w:val="double" w:sz="6" w:space="0" w:color="auto"/>
            </w:tcBorders>
            <w:shd w:val="clear" w:color="auto" w:fill="auto"/>
            <w:noWrap/>
            <w:vAlign w:val="center"/>
            <w:hideMark/>
          </w:tcPr>
          <w:p w14:paraId="5842558D"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50,2 </w:t>
            </w:r>
          </w:p>
        </w:tc>
      </w:tr>
      <w:tr w:rsidR="00FD7B0B" w:rsidRPr="00FD7B0B" w14:paraId="70F39113"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24E1A2D"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прочая закупка товаров, работ и услуг (ВР 244)</w:t>
            </w:r>
          </w:p>
        </w:tc>
        <w:tc>
          <w:tcPr>
            <w:tcW w:w="957" w:type="dxa"/>
            <w:tcBorders>
              <w:top w:val="nil"/>
              <w:left w:val="nil"/>
              <w:bottom w:val="single" w:sz="4" w:space="0" w:color="auto"/>
              <w:right w:val="single" w:sz="4" w:space="0" w:color="auto"/>
            </w:tcBorders>
            <w:shd w:val="clear" w:color="auto" w:fill="auto"/>
            <w:noWrap/>
            <w:vAlign w:val="center"/>
            <w:hideMark/>
          </w:tcPr>
          <w:p w14:paraId="794EED90"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5 702,3 </w:t>
            </w:r>
          </w:p>
        </w:tc>
        <w:tc>
          <w:tcPr>
            <w:tcW w:w="960" w:type="dxa"/>
            <w:tcBorders>
              <w:top w:val="nil"/>
              <w:left w:val="nil"/>
              <w:bottom w:val="single" w:sz="4" w:space="0" w:color="auto"/>
              <w:right w:val="single" w:sz="4" w:space="0" w:color="auto"/>
            </w:tcBorders>
            <w:shd w:val="clear" w:color="auto" w:fill="auto"/>
            <w:noWrap/>
            <w:vAlign w:val="center"/>
            <w:hideMark/>
          </w:tcPr>
          <w:p w14:paraId="63FC9683"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4 171,3 </w:t>
            </w:r>
          </w:p>
        </w:tc>
        <w:tc>
          <w:tcPr>
            <w:tcW w:w="1030" w:type="dxa"/>
            <w:tcBorders>
              <w:top w:val="nil"/>
              <w:left w:val="nil"/>
              <w:bottom w:val="single" w:sz="4" w:space="0" w:color="auto"/>
              <w:right w:val="single" w:sz="4" w:space="0" w:color="auto"/>
            </w:tcBorders>
            <w:shd w:val="clear" w:color="auto" w:fill="auto"/>
            <w:noWrap/>
            <w:vAlign w:val="center"/>
            <w:hideMark/>
          </w:tcPr>
          <w:p w14:paraId="6C26FA53"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-1 531,1 </w:t>
            </w:r>
          </w:p>
        </w:tc>
        <w:tc>
          <w:tcPr>
            <w:tcW w:w="846" w:type="dxa"/>
            <w:tcBorders>
              <w:top w:val="nil"/>
              <w:left w:val="nil"/>
              <w:bottom w:val="single" w:sz="4" w:space="0" w:color="auto"/>
              <w:right w:val="double" w:sz="6" w:space="0" w:color="auto"/>
            </w:tcBorders>
            <w:shd w:val="clear" w:color="auto" w:fill="auto"/>
            <w:noWrap/>
            <w:vAlign w:val="center"/>
            <w:hideMark/>
          </w:tcPr>
          <w:p w14:paraId="2E5E4115"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-26,8 </w:t>
            </w:r>
          </w:p>
        </w:tc>
      </w:tr>
      <w:tr w:rsidR="00FD7B0B" w:rsidRPr="00FD7B0B" w14:paraId="62961AE0"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4B118CEC" w14:textId="77777777" w:rsidR="00D97B4C" w:rsidRPr="00FD7B0B" w:rsidRDefault="00D97B4C" w:rsidP="0021612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Межбюджетные трансферты (ВР 500), из них:</w:t>
            </w:r>
          </w:p>
        </w:tc>
        <w:tc>
          <w:tcPr>
            <w:tcW w:w="957" w:type="dxa"/>
            <w:tcBorders>
              <w:top w:val="nil"/>
              <w:left w:val="nil"/>
              <w:bottom w:val="single" w:sz="4" w:space="0" w:color="auto"/>
              <w:right w:val="single" w:sz="4" w:space="0" w:color="auto"/>
            </w:tcBorders>
            <w:shd w:val="clear" w:color="auto" w:fill="auto"/>
            <w:noWrap/>
            <w:vAlign w:val="center"/>
            <w:hideMark/>
          </w:tcPr>
          <w:p w14:paraId="7B581FDC"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5 875,2 </w:t>
            </w:r>
          </w:p>
        </w:tc>
        <w:tc>
          <w:tcPr>
            <w:tcW w:w="960" w:type="dxa"/>
            <w:tcBorders>
              <w:top w:val="nil"/>
              <w:left w:val="nil"/>
              <w:bottom w:val="single" w:sz="4" w:space="0" w:color="auto"/>
              <w:right w:val="single" w:sz="4" w:space="0" w:color="auto"/>
            </w:tcBorders>
            <w:shd w:val="clear" w:color="auto" w:fill="auto"/>
            <w:noWrap/>
            <w:vAlign w:val="center"/>
            <w:hideMark/>
          </w:tcPr>
          <w:p w14:paraId="7ECB2ADC"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2 430,4 </w:t>
            </w:r>
          </w:p>
        </w:tc>
        <w:tc>
          <w:tcPr>
            <w:tcW w:w="1030" w:type="dxa"/>
            <w:tcBorders>
              <w:top w:val="nil"/>
              <w:left w:val="nil"/>
              <w:bottom w:val="single" w:sz="4" w:space="0" w:color="auto"/>
              <w:right w:val="single" w:sz="4" w:space="0" w:color="auto"/>
            </w:tcBorders>
            <w:shd w:val="clear" w:color="auto" w:fill="auto"/>
            <w:noWrap/>
            <w:vAlign w:val="center"/>
            <w:hideMark/>
          </w:tcPr>
          <w:p w14:paraId="53384882"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-3 444,7 </w:t>
            </w:r>
          </w:p>
        </w:tc>
        <w:tc>
          <w:tcPr>
            <w:tcW w:w="846" w:type="dxa"/>
            <w:tcBorders>
              <w:top w:val="nil"/>
              <w:left w:val="nil"/>
              <w:bottom w:val="single" w:sz="4" w:space="0" w:color="auto"/>
              <w:right w:val="double" w:sz="6" w:space="0" w:color="auto"/>
            </w:tcBorders>
            <w:shd w:val="clear" w:color="auto" w:fill="auto"/>
            <w:noWrap/>
            <w:vAlign w:val="center"/>
            <w:hideMark/>
          </w:tcPr>
          <w:p w14:paraId="3142968B"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-58,6 </w:t>
            </w:r>
          </w:p>
        </w:tc>
      </w:tr>
      <w:tr w:rsidR="00FD7B0B" w:rsidRPr="00FD7B0B" w14:paraId="5D0794D7"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391EF0C"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субсидии, за исключением субсидий на софинансирование капитальных вложений в объекты государственной (муниципальной) собственности (ВР 521)</w:t>
            </w:r>
          </w:p>
        </w:tc>
        <w:tc>
          <w:tcPr>
            <w:tcW w:w="957" w:type="dxa"/>
            <w:tcBorders>
              <w:top w:val="nil"/>
              <w:left w:val="nil"/>
              <w:bottom w:val="single" w:sz="4" w:space="0" w:color="auto"/>
              <w:right w:val="single" w:sz="4" w:space="0" w:color="auto"/>
            </w:tcBorders>
            <w:shd w:val="clear" w:color="auto" w:fill="auto"/>
            <w:noWrap/>
            <w:vAlign w:val="center"/>
            <w:hideMark/>
          </w:tcPr>
          <w:p w14:paraId="008C79E0"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122,6 </w:t>
            </w:r>
          </w:p>
        </w:tc>
        <w:tc>
          <w:tcPr>
            <w:tcW w:w="960" w:type="dxa"/>
            <w:tcBorders>
              <w:top w:val="nil"/>
              <w:left w:val="nil"/>
              <w:bottom w:val="single" w:sz="4" w:space="0" w:color="auto"/>
              <w:right w:val="single" w:sz="4" w:space="0" w:color="auto"/>
            </w:tcBorders>
            <w:shd w:val="clear" w:color="auto" w:fill="auto"/>
            <w:noWrap/>
            <w:vAlign w:val="center"/>
            <w:hideMark/>
          </w:tcPr>
          <w:p w14:paraId="282C4A09"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131,3 </w:t>
            </w:r>
          </w:p>
        </w:tc>
        <w:tc>
          <w:tcPr>
            <w:tcW w:w="1030" w:type="dxa"/>
            <w:tcBorders>
              <w:top w:val="nil"/>
              <w:left w:val="nil"/>
              <w:bottom w:val="single" w:sz="4" w:space="0" w:color="auto"/>
              <w:right w:val="single" w:sz="4" w:space="0" w:color="auto"/>
            </w:tcBorders>
            <w:shd w:val="clear" w:color="auto" w:fill="auto"/>
            <w:noWrap/>
            <w:vAlign w:val="center"/>
            <w:hideMark/>
          </w:tcPr>
          <w:p w14:paraId="462115EF"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8,7 </w:t>
            </w:r>
          </w:p>
        </w:tc>
        <w:tc>
          <w:tcPr>
            <w:tcW w:w="846" w:type="dxa"/>
            <w:tcBorders>
              <w:top w:val="nil"/>
              <w:left w:val="nil"/>
              <w:bottom w:val="single" w:sz="4" w:space="0" w:color="auto"/>
              <w:right w:val="double" w:sz="6" w:space="0" w:color="auto"/>
            </w:tcBorders>
            <w:shd w:val="clear" w:color="auto" w:fill="auto"/>
            <w:noWrap/>
            <w:vAlign w:val="center"/>
            <w:hideMark/>
          </w:tcPr>
          <w:p w14:paraId="7E534EEB"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7,1 </w:t>
            </w:r>
          </w:p>
        </w:tc>
      </w:tr>
      <w:tr w:rsidR="00FD7B0B" w:rsidRPr="00FD7B0B" w14:paraId="38D31A96"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6E5E589"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субсидии на софинансирование капитальных вложений в объекты муниципальной собственности (ВР 522)</w:t>
            </w:r>
          </w:p>
        </w:tc>
        <w:tc>
          <w:tcPr>
            <w:tcW w:w="957" w:type="dxa"/>
            <w:tcBorders>
              <w:top w:val="nil"/>
              <w:left w:val="nil"/>
              <w:bottom w:val="single" w:sz="4" w:space="0" w:color="auto"/>
              <w:right w:val="single" w:sz="4" w:space="0" w:color="auto"/>
            </w:tcBorders>
            <w:shd w:val="clear" w:color="auto" w:fill="auto"/>
            <w:noWrap/>
            <w:vAlign w:val="center"/>
            <w:hideMark/>
          </w:tcPr>
          <w:p w14:paraId="3CA35BB0"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2 040,8 </w:t>
            </w:r>
          </w:p>
        </w:tc>
        <w:tc>
          <w:tcPr>
            <w:tcW w:w="960" w:type="dxa"/>
            <w:tcBorders>
              <w:top w:val="nil"/>
              <w:left w:val="nil"/>
              <w:bottom w:val="single" w:sz="4" w:space="0" w:color="auto"/>
              <w:right w:val="single" w:sz="4" w:space="0" w:color="auto"/>
            </w:tcBorders>
            <w:shd w:val="clear" w:color="auto" w:fill="auto"/>
            <w:noWrap/>
            <w:vAlign w:val="center"/>
            <w:hideMark/>
          </w:tcPr>
          <w:p w14:paraId="62013B23"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691,5 </w:t>
            </w:r>
          </w:p>
        </w:tc>
        <w:tc>
          <w:tcPr>
            <w:tcW w:w="1030" w:type="dxa"/>
            <w:tcBorders>
              <w:top w:val="nil"/>
              <w:left w:val="nil"/>
              <w:bottom w:val="single" w:sz="4" w:space="0" w:color="auto"/>
              <w:right w:val="single" w:sz="4" w:space="0" w:color="auto"/>
            </w:tcBorders>
            <w:shd w:val="clear" w:color="auto" w:fill="auto"/>
            <w:noWrap/>
            <w:vAlign w:val="center"/>
            <w:hideMark/>
          </w:tcPr>
          <w:p w14:paraId="6446A380"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-1 349,2 </w:t>
            </w:r>
          </w:p>
        </w:tc>
        <w:tc>
          <w:tcPr>
            <w:tcW w:w="846" w:type="dxa"/>
            <w:tcBorders>
              <w:top w:val="nil"/>
              <w:left w:val="nil"/>
              <w:bottom w:val="single" w:sz="4" w:space="0" w:color="auto"/>
              <w:right w:val="double" w:sz="6" w:space="0" w:color="auto"/>
            </w:tcBorders>
            <w:shd w:val="clear" w:color="auto" w:fill="auto"/>
            <w:noWrap/>
            <w:vAlign w:val="center"/>
            <w:hideMark/>
          </w:tcPr>
          <w:p w14:paraId="04FB5406"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-66,1 </w:t>
            </w:r>
          </w:p>
        </w:tc>
      </w:tr>
      <w:tr w:rsidR="00FD7B0B" w:rsidRPr="00FD7B0B" w14:paraId="527EA751"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15AFAD02"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консолидированные субсидии (ВР 523)</w:t>
            </w:r>
          </w:p>
        </w:tc>
        <w:tc>
          <w:tcPr>
            <w:tcW w:w="957" w:type="dxa"/>
            <w:tcBorders>
              <w:top w:val="nil"/>
              <w:left w:val="nil"/>
              <w:bottom w:val="single" w:sz="4" w:space="0" w:color="auto"/>
              <w:right w:val="single" w:sz="4" w:space="0" w:color="auto"/>
            </w:tcBorders>
            <w:shd w:val="clear" w:color="auto" w:fill="auto"/>
            <w:noWrap/>
            <w:vAlign w:val="center"/>
            <w:hideMark/>
          </w:tcPr>
          <w:p w14:paraId="0F8CE844"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379,6 </w:t>
            </w:r>
          </w:p>
        </w:tc>
        <w:tc>
          <w:tcPr>
            <w:tcW w:w="960" w:type="dxa"/>
            <w:tcBorders>
              <w:top w:val="nil"/>
              <w:left w:val="nil"/>
              <w:bottom w:val="single" w:sz="4" w:space="0" w:color="auto"/>
              <w:right w:val="single" w:sz="4" w:space="0" w:color="auto"/>
            </w:tcBorders>
            <w:shd w:val="clear" w:color="auto" w:fill="auto"/>
            <w:noWrap/>
            <w:vAlign w:val="center"/>
            <w:hideMark/>
          </w:tcPr>
          <w:p w14:paraId="2BB73792"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526,4 </w:t>
            </w:r>
          </w:p>
        </w:tc>
        <w:tc>
          <w:tcPr>
            <w:tcW w:w="1030" w:type="dxa"/>
            <w:tcBorders>
              <w:top w:val="nil"/>
              <w:left w:val="nil"/>
              <w:bottom w:val="single" w:sz="4" w:space="0" w:color="auto"/>
              <w:right w:val="single" w:sz="4" w:space="0" w:color="auto"/>
            </w:tcBorders>
            <w:shd w:val="clear" w:color="auto" w:fill="auto"/>
            <w:noWrap/>
            <w:vAlign w:val="center"/>
            <w:hideMark/>
          </w:tcPr>
          <w:p w14:paraId="2EDB9EBA"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146,8 </w:t>
            </w:r>
          </w:p>
        </w:tc>
        <w:tc>
          <w:tcPr>
            <w:tcW w:w="846" w:type="dxa"/>
            <w:tcBorders>
              <w:top w:val="nil"/>
              <w:left w:val="nil"/>
              <w:bottom w:val="single" w:sz="4" w:space="0" w:color="auto"/>
              <w:right w:val="double" w:sz="6" w:space="0" w:color="auto"/>
            </w:tcBorders>
            <w:shd w:val="clear" w:color="auto" w:fill="auto"/>
            <w:noWrap/>
            <w:vAlign w:val="center"/>
            <w:hideMark/>
          </w:tcPr>
          <w:p w14:paraId="3A65125F"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38,7 </w:t>
            </w:r>
          </w:p>
        </w:tc>
      </w:tr>
      <w:tr w:rsidR="00FD7B0B" w:rsidRPr="00FD7B0B" w14:paraId="59C59F79"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FE5C257"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субвенции (ВР 530)</w:t>
            </w:r>
          </w:p>
        </w:tc>
        <w:tc>
          <w:tcPr>
            <w:tcW w:w="957" w:type="dxa"/>
            <w:tcBorders>
              <w:top w:val="nil"/>
              <w:left w:val="nil"/>
              <w:bottom w:val="single" w:sz="4" w:space="0" w:color="auto"/>
              <w:right w:val="single" w:sz="4" w:space="0" w:color="auto"/>
            </w:tcBorders>
            <w:shd w:val="clear" w:color="auto" w:fill="auto"/>
            <w:noWrap/>
            <w:vAlign w:val="center"/>
            <w:hideMark/>
          </w:tcPr>
          <w:p w14:paraId="0C5D5D5F"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660,9 </w:t>
            </w:r>
          </w:p>
        </w:tc>
        <w:tc>
          <w:tcPr>
            <w:tcW w:w="960" w:type="dxa"/>
            <w:tcBorders>
              <w:top w:val="nil"/>
              <w:left w:val="nil"/>
              <w:bottom w:val="single" w:sz="4" w:space="0" w:color="auto"/>
              <w:right w:val="single" w:sz="4" w:space="0" w:color="auto"/>
            </w:tcBorders>
            <w:shd w:val="clear" w:color="auto" w:fill="auto"/>
            <w:noWrap/>
            <w:vAlign w:val="center"/>
            <w:hideMark/>
          </w:tcPr>
          <w:p w14:paraId="74D3D036"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154,2 </w:t>
            </w:r>
          </w:p>
        </w:tc>
        <w:tc>
          <w:tcPr>
            <w:tcW w:w="1030" w:type="dxa"/>
            <w:tcBorders>
              <w:top w:val="nil"/>
              <w:left w:val="nil"/>
              <w:bottom w:val="single" w:sz="4" w:space="0" w:color="auto"/>
              <w:right w:val="single" w:sz="4" w:space="0" w:color="auto"/>
            </w:tcBorders>
            <w:shd w:val="clear" w:color="auto" w:fill="auto"/>
            <w:noWrap/>
            <w:vAlign w:val="center"/>
            <w:hideMark/>
          </w:tcPr>
          <w:p w14:paraId="7CE7AB7D"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-506,7 </w:t>
            </w:r>
          </w:p>
        </w:tc>
        <w:tc>
          <w:tcPr>
            <w:tcW w:w="846" w:type="dxa"/>
            <w:tcBorders>
              <w:top w:val="nil"/>
              <w:left w:val="nil"/>
              <w:bottom w:val="single" w:sz="4" w:space="0" w:color="auto"/>
              <w:right w:val="double" w:sz="6" w:space="0" w:color="auto"/>
            </w:tcBorders>
            <w:shd w:val="clear" w:color="auto" w:fill="auto"/>
            <w:noWrap/>
            <w:vAlign w:val="center"/>
            <w:hideMark/>
          </w:tcPr>
          <w:p w14:paraId="5EAACE9F"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-76,7 </w:t>
            </w:r>
          </w:p>
        </w:tc>
      </w:tr>
      <w:tr w:rsidR="00FD7B0B" w:rsidRPr="00FD7B0B" w14:paraId="5C333BBE"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D83CC83"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иные межбюджетные трансферты (ВР 540)</w:t>
            </w:r>
          </w:p>
        </w:tc>
        <w:tc>
          <w:tcPr>
            <w:tcW w:w="957" w:type="dxa"/>
            <w:tcBorders>
              <w:top w:val="nil"/>
              <w:left w:val="nil"/>
              <w:bottom w:val="single" w:sz="4" w:space="0" w:color="auto"/>
              <w:right w:val="single" w:sz="4" w:space="0" w:color="auto"/>
            </w:tcBorders>
            <w:shd w:val="clear" w:color="auto" w:fill="auto"/>
            <w:noWrap/>
            <w:vAlign w:val="center"/>
            <w:hideMark/>
          </w:tcPr>
          <w:p w14:paraId="1449721E"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2 671,3 </w:t>
            </w:r>
          </w:p>
        </w:tc>
        <w:tc>
          <w:tcPr>
            <w:tcW w:w="960" w:type="dxa"/>
            <w:tcBorders>
              <w:top w:val="nil"/>
              <w:left w:val="nil"/>
              <w:bottom w:val="single" w:sz="4" w:space="0" w:color="auto"/>
              <w:right w:val="single" w:sz="4" w:space="0" w:color="auto"/>
            </w:tcBorders>
            <w:shd w:val="clear" w:color="auto" w:fill="auto"/>
            <w:noWrap/>
            <w:vAlign w:val="center"/>
            <w:hideMark/>
          </w:tcPr>
          <w:p w14:paraId="60ABA909"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927,0 </w:t>
            </w:r>
          </w:p>
        </w:tc>
        <w:tc>
          <w:tcPr>
            <w:tcW w:w="1030" w:type="dxa"/>
            <w:tcBorders>
              <w:top w:val="nil"/>
              <w:left w:val="nil"/>
              <w:bottom w:val="single" w:sz="4" w:space="0" w:color="auto"/>
              <w:right w:val="single" w:sz="4" w:space="0" w:color="auto"/>
            </w:tcBorders>
            <w:shd w:val="clear" w:color="auto" w:fill="auto"/>
            <w:noWrap/>
            <w:vAlign w:val="center"/>
            <w:hideMark/>
          </w:tcPr>
          <w:p w14:paraId="3480AAB1"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-1 744,3 </w:t>
            </w:r>
          </w:p>
        </w:tc>
        <w:tc>
          <w:tcPr>
            <w:tcW w:w="846" w:type="dxa"/>
            <w:tcBorders>
              <w:top w:val="nil"/>
              <w:left w:val="nil"/>
              <w:bottom w:val="single" w:sz="4" w:space="0" w:color="auto"/>
              <w:right w:val="double" w:sz="6" w:space="0" w:color="auto"/>
            </w:tcBorders>
            <w:shd w:val="clear" w:color="auto" w:fill="auto"/>
            <w:noWrap/>
            <w:vAlign w:val="center"/>
            <w:hideMark/>
          </w:tcPr>
          <w:p w14:paraId="47211BC5"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-65,3 </w:t>
            </w:r>
          </w:p>
        </w:tc>
      </w:tr>
      <w:tr w:rsidR="00FD7B0B" w:rsidRPr="00FD7B0B" w14:paraId="52FCABE5"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487C66F" w14:textId="77777777" w:rsidR="00D97B4C" w:rsidRPr="00FD7B0B" w:rsidRDefault="00D97B4C" w:rsidP="0021612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Субсидии бюджетным, автономным учреждениям и НКО (ВР 600, 460), из них:</w:t>
            </w:r>
          </w:p>
        </w:tc>
        <w:tc>
          <w:tcPr>
            <w:tcW w:w="957" w:type="dxa"/>
            <w:tcBorders>
              <w:top w:val="nil"/>
              <w:left w:val="nil"/>
              <w:bottom w:val="single" w:sz="4" w:space="0" w:color="auto"/>
              <w:right w:val="single" w:sz="4" w:space="0" w:color="auto"/>
            </w:tcBorders>
            <w:shd w:val="clear" w:color="auto" w:fill="auto"/>
            <w:noWrap/>
            <w:vAlign w:val="center"/>
            <w:hideMark/>
          </w:tcPr>
          <w:p w14:paraId="57D46511"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2 769,0 </w:t>
            </w:r>
          </w:p>
        </w:tc>
        <w:tc>
          <w:tcPr>
            <w:tcW w:w="960" w:type="dxa"/>
            <w:tcBorders>
              <w:top w:val="nil"/>
              <w:left w:val="nil"/>
              <w:bottom w:val="single" w:sz="4" w:space="0" w:color="auto"/>
              <w:right w:val="single" w:sz="4" w:space="0" w:color="auto"/>
            </w:tcBorders>
            <w:shd w:val="clear" w:color="auto" w:fill="auto"/>
            <w:noWrap/>
            <w:vAlign w:val="center"/>
            <w:hideMark/>
          </w:tcPr>
          <w:p w14:paraId="0A3627BA"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2 614,0 </w:t>
            </w:r>
          </w:p>
        </w:tc>
        <w:tc>
          <w:tcPr>
            <w:tcW w:w="1030" w:type="dxa"/>
            <w:tcBorders>
              <w:top w:val="nil"/>
              <w:left w:val="nil"/>
              <w:bottom w:val="single" w:sz="4" w:space="0" w:color="auto"/>
              <w:right w:val="single" w:sz="4" w:space="0" w:color="auto"/>
            </w:tcBorders>
            <w:shd w:val="clear" w:color="auto" w:fill="auto"/>
            <w:noWrap/>
            <w:vAlign w:val="center"/>
            <w:hideMark/>
          </w:tcPr>
          <w:p w14:paraId="5A9EC949"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-155,1 </w:t>
            </w:r>
          </w:p>
        </w:tc>
        <w:tc>
          <w:tcPr>
            <w:tcW w:w="846" w:type="dxa"/>
            <w:tcBorders>
              <w:top w:val="nil"/>
              <w:left w:val="nil"/>
              <w:bottom w:val="single" w:sz="4" w:space="0" w:color="auto"/>
              <w:right w:val="double" w:sz="6" w:space="0" w:color="auto"/>
            </w:tcBorders>
            <w:shd w:val="clear" w:color="auto" w:fill="auto"/>
            <w:noWrap/>
            <w:vAlign w:val="center"/>
            <w:hideMark/>
          </w:tcPr>
          <w:p w14:paraId="189CD0A3"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-5,6 </w:t>
            </w:r>
          </w:p>
        </w:tc>
      </w:tr>
      <w:tr w:rsidR="00FD7B0B" w:rsidRPr="00FD7B0B" w14:paraId="28D7EF85"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425B5040"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субсидии государственным бюджетным и автономным учреждениям, с учетом грантов (ВР 610, 620)</w:t>
            </w:r>
          </w:p>
        </w:tc>
        <w:tc>
          <w:tcPr>
            <w:tcW w:w="957" w:type="dxa"/>
            <w:tcBorders>
              <w:top w:val="nil"/>
              <w:left w:val="nil"/>
              <w:bottom w:val="single" w:sz="4" w:space="0" w:color="auto"/>
              <w:right w:val="single" w:sz="4" w:space="0" w:color="auto"/>
            </w:tcBorders>
            <w:shd w:val="clear" w:color="auto" w:fill="auto"/>
            <w:noWrap/>
            <w:vAlign w:val="center"/>
            <w:hideMark/>
          </w:tcPr>
          <w:p w14:paraId="44227BD8"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2 637,2 </w:t>
            </w:r>
          </w:p>
        </w:tc>
        <w:tc>
          <w:tcPr>
            <w:tcW w:w="960" w:type="dxa"/>
            <w:tcBorders>
              <w:top w:val="nil"/>
              <w:left w:val="nil"/>
              <w:bottom w:val="single" w:sz="4" w:space="0" w:color="auto"/>
              <w:right w:val="single" w:sz="4" w:space="0" w:color="auto"/>
            </w:tcBorders>
            <w:shd w:val="clear" w:color="auto" w:fill="auto"/>
            <w:noWrap/>
            <w:vAlign w:val="center"/>
            <w:hideMark/>
          </w:tcPr>
          <w:p w14:paraId="79F5EA14"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2 328,8 </w:t>
            </w:r>
          </w:p>
        </w:tc>
        <w:tc>
          <w:tcPr>
            <w:tcW w:w="1030" w:type="dxa"/>
            <w:tcBorders>
              <w:top w:val="nil"/>
              <w:left w:val="nil"/>
              <w:bottom w:val="single" w:sz="4" w:space="0" w:color="auto"/>
              <w:right w:val="single" w:sz="4" w:space="0" w:color="auto"/>
            </w:tcBorders>
            <w:shd w:val="clear" w:color="auto" w:fill="auto"/>
            <w:noWrap/>
            <w:vAlign w:val="center"/>
            <w:hideMark/>
          </w:tcPr>
          <w:p w14:paraId="6A21EE95"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-308,4 </w:t>
            </w:r>
          </w:p>
        </w:tc>
        <w:tc>
          <w:tcPr>
            <w:tcW w:w="846" w:type="dxa"/>
            <w:tcBorders>
              <w:top w:val="nil"/>
              <w:left w:val="nil"/>
              <w:bottom w:val="single" w:sz="4" w:space="0" w:color="auto"/>
              <w:right w:val="double" w:sz="6" w:space="0" w:color="auto"/>
            </w:tcBorders>
            <w:shd w:val="clear" w:color="auto" w:fill="auto"/>
            <w:noWrap/>
            <w:vAlign w:val="center"/>
            <w:hideMark/>
          </w:tcPr>
          <w:p w14:paraId="32CACAEF"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-11,7 </w:t>
            </w:r>
          </w:p>
        </w:tc>
      </w:tr>
      <w:tr w:rsidR="00FD7B0B" w:rsidRPr="00FD7B0B" w14:paraId="390068C4"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F0C79BC"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субсидии некоммерческим организациям (за исключением государственных (муниципальных) учреждений, государственных корпораций (компаний), публично-правовых компаний) (ВР 630)</w:t>
            </w:r>
          </w:p>
        </w:tc>
        <w:tc>
          <w:tcPr>
            <w:tcW w:w="957" w:type="dxa"/>
            <w:tcBorders>
              <w:top w:val="nil"/>
              <w:left w:val="nil"/>
              <w:bottom w:val="single" w:sz="4" w:space="0" w:color="auto"/>
              <w:right w:val="single" w:sz="4" w:space="0" w:color="auto"/>
            </w:tcBorders>
            <w:shd w:val="clear" w:color="auto" w:fill="auto"/>
            <w:noWrap/>
            <w:vAlign w:val="center"/>
            <w:hideMark/>
          </w:tcPr>
          <w:p w14:paraId="1CA718E3"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131,8 </w:t>
            </w:r>
          </w:p>
        </w:tc>
        <w:tc>
          <w:tcPr>
            <w:tcW w:w="960" w:type="dxa"/>
            <w:tcBorders>
              <w:top w:val="nil"/>
              <w:left w:val="nil"/>
              <w:bottom w:val="single" w:sz="4" w:space="0" w:color="auto"/>
              <w:right w:val="single" w:sz="4" w:space="0" w:color="auto"/>
            </w:tcBorders>
            <w:shd w:val="clear" w:color="auto" w:fill="auto"/>
            <w:noWrap/>
            <w:vAlign w:val="center"/>
            <w:hideMark/>
          </w:tcPr>
          <w:p w14:paraId="51726C0B"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88,9 </w:t>
            </w:r>
          </w:p>
        </w:tc>
        <w:tc>
          <w:tcPr>
            <w:tcW w:w="1030" w:type="dxa"/>
            <w:tcBorders>
              <w:top w:val="nil"/>
              <w:left w:val="nil"/>
              <w:bottom w:val="single" w:sz="4" w:space="0" w:color="auto"/>
              <w:right w:val="single" w:sz="4" w:space="0" w:color="auto"/>
            </w:tcBorders>
            <w:shd w:val="clear" w:color="auto" w:fill="auto"/>
            <w:noWrap/>
            <w:vAlign w:val="center"/>
            <w:hideMark/>
          </w:tcPr>
          <w:p w14:paraId="2DA7C8F3"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-43,0 </w:t>
            </w:r>
          </w:p>
        </w:tc>
        <w:tc>
          <w:tcPr>
            <w:tcW w:w="846" w:type="dxa"/>
            <w:tcBorders>
              <w:top w:val="nil"/>
              <w:left w:val="nil"/>
              <w:bottom w:val="single" w:sz="4" w:space="0" w:color="auto"/>
              <w:right w:val="double" w:sz="6" w:space="0" w:color="auto"/>
            </w:tcBorders>
            <w:shd w:val="clear" w:color="auto" w:fill="auto"/>
            <w:noWrap/>
            <w:vAlign w:val="center"/>
            <w:hideMark/>
          </w:tcPr>
          <w:p w14:paraId="18D4DBC9"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-32,6 </w:t>
            </w:r>
          </w:p>
        </w:tc>
      </w:tr>
      <w:tr w:rsidR="00FD7B0B" w:rsidRPr="00FD7B0B" w14:paraId="09EB8CA2"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FBFEA43"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субсидии на осуществление капитальных вложений в объекты капитального строительства государственной (муниципальной) собственности бюджетным учреждениям (ВР 464)</w:t>
            </w:r>
          </w:p>
        </w:tc>
        <w:tc>
          <w:tcPr>
            <w:tcW w:w="957" w:type="dxa"/>
            <w:tcBorders>
              <w:top w:val="nil"/>
              <w:left w:val="nil"/>
              <w:bottom w:val="single" w:sz="4" w:space="0" w:color="auto"/>
              <w:right w:val="single" w:sz="4" w:space="0" w:color="auto"/>
            </w:tcBorders>
            <w:shd w:val="clear" w:color="auto" w:fill="auto"/>
            <w:noWrap/>
            <w:vAlign w:val="center"/>
            <w:hideMark/>
          </w:tcPr>
          <w:p w14:paraId="608AFBFB"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0,0 </w:t>
            </w:r>
          </w:p>
        </w:tc>
        <w:tc>
          <w:tcPr>
            <w:tcW w:w="960" w:type="dxa"/>
            <w:tcBorders>
              <w:top w:val="nil"/>
              <w:left w:val="nil"/>
              <w:bottom w:val="single" w:sz="4" w:space="0" w:color="auto"/>
              <w:right w:val="single" w:sz="4" w:space="0" w:color="auto"/>
            </w:tcBorders>
            <w:shd w:val="clear" w:color="auto" w:fill="auto"/>
            <w:noWrap/>
            <w:vAlign w:val="center"/>
            <w:hideMark/>
          </w:tcPr>
          <w:p w14:paraId="4EF1BEC0"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196,3 </w:t>
            </w:r>
          </w:p>
        </w:tc>
        <w:tc>
          <w:tcPr>
            <w:tcW w:w="1030" w:type="dxa"/>
            <w:tcBorders>
              <w:top w:val="nil"/>
              <w:left w:val="nil"/>
              <w:bottom w:val="single" w:sz="4" w:space="0" w:color="auto"/>
              <w:right w:val="single" w:sz="4" w:space="0" w:color="auto"/>
            </w:tcBorders>
            <w:shd w:val="clear" w:color="auto" w:fill="auto"/>
            <w:noWrap/>
            <w:vAlign w:val="center"/>
            <w:hideMark/>
          </w:tcPr>
          <w:p w14:paraId="2B2F9B2D"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196,3 </w:t>
            </w:r>
          </w:p>
        </w:tc>
        <w:tc>
          <w:tcPr>
            <w:tcW w:w="846" w:type="dxa"/>
            <w:tcBorders>
              <w:top w:val="nil"/>
              <w:left w:val="nil"/>
              <w:bottom w:val="single" w:sz="4" w:space="0" w:color="auto"/>
              <w:right w:val="double" w:sz="6" w:space="0" w:color="auto"/>
            </w:tcBorders>
            <w:shd w:val="clear" w:color="auto" w:fill="auto"/>
            <w:noWrap/>
            <w:vAlign w:val="center"/>
            <w:hideMark/>
          </w:tcPr>
          <w:p w14:paraId="5C60D581" w14:textId="77777777" w:rsidR="00D97B4C" w:rsidRPr="00FD7B0B" w:rsidRDefault="00D97B4C" w:rsidP="0021612A">
            <w:pPr>
              <w:spacing w:after="0" w:line="240" w:lineRule="auto"/>
              <w:jc w:val="center"/>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w:t>
            </w:r>
          </w:p>
        </w:tc>
      </w:tr>
      <w:tr w:rsidR="00FD7B0B" w:rsidRPr="00FD7B0B" w14:paraId="6AC78A7D"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2C7EE35E" w14:textId="77777777" w:rsidR="00D97B4C" w:rsidRPr="00FD7B0B" w:rsidRDefault="00D97B4C" w:rsidP="0021612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Социальное обеспечение и иные выплаты населению (ВР 313, 321), из них:</w:t>
            </w:r>
          </w:p>
        </w:tc>
        <w:tc>
          <w:tcPr>
            <w:tcW w:w="957" w:type="dxa"/>
            <w:tcBorders>
              <w:top w:val="nil"/>
              <w:left w:val="nil"/>
              <w:bottom w:val="single" w:sz="4" w:space="0" w:color="auto"/>
              <w:right w:val="single" w:sz="4" w:space="0" w:color="auto"/>
            </w:tcBorders>
            <w:shd w:val="clear" w:color="auto" w:fill="auto"/>
            <w:noWrap/>
            <w:vAlign w:val="center"/>
            <w:hideMark/>
          </w:tcPr>
          <w:p w14:paraId="1AE54FB0"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1 209,3 </w:t>
            </w:r>
          </w:p>
        </w:tc>
        <w:tc>
          <w:tcPr>
            <w:tcW w:w="960" w:type="dxa"/>
            <w:tcBorders>
              <w:top w:val="nil"/>
              <w:left w:val="nil"/>
              <w:bottom w:val="single" w:sz="4" w:space="0" w:color="auto"/>
              <w:right w:val="single" w:sz="4" w:space="0" w:color="auto"/>
            </w:tcBorders>
            <w:shd w:val="clear" w:color="auto" w:fill="auto"/>
            <w:noWrap/>
            <w:vAlign w:val="center"/>
            <w:hideMark/>
          </w:tcPr>
          <w:p w14:paraId="6A2ED1CD"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929,1 </w:t>
            </w:r>
          </w:p>
        </w:tc>
        <w:tc>
          <w:tcPr>
            <w:tcW w:w="1030" w:type="dxa"/>
            <w:tcBorders>
              <w:top w:val="nil"/>
              <w:left w:val="nil"/>
              <w:bottom w:val="single" w:sz="4" w:space="0" w:color="auto"/>
              <w:right w:val="single" w:sz="4" w:space="0" w:color="auto"/>
            </w:tcBorders>
            <w:shd w:val="clear" w:color="auto" w:fill="auto"/>
            <w:noWrap/>
            <w:vAlign w:val="center"/>
            <w:hideMark/>
          </w:tcPr>
          <w:p w14:paraId="21338E86"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-280,2 </w:t>
            </w:r>
          </w:p>
        </w:tc>
        <w:tc>
          <w:tcPr>
            <w:tcW w:w="846" w:type="dxa"/>
            <w:tcBorders>
              <w:top w:val="nil"/>
              <w:left w:val="nil"/>
              <w:bottom w:val="single" w:sz="4" w:space="0" w:color="auto"/>
              <w:right w:val="double" w:sz="6" w:space="0" w:color="auto"/>
            </w:tcBorders>
            <w:shd w:val="clear" w:color="auto" w:fill="auto"/>
            <w:noWrap/>
            <w:vAlign w:val="center"/>
            <w:hideMark/>
          </w:tcPr>
          <w:p w14:paraId="51EF777B"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-23,2 </w:t>
            </w:r>
          </w:p>
        </w:tc>
      </w:tr>
      <w:tr w:rsidR="00FD7B0B" w:rsidRPr="00FD7B0B" w14:paraId="0DF46612"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418D154"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пособия, компенсации, меры социальной поддержки по публичным нормативным обязательствам (ВР 313)</w:t>
            </w:r>
          </w:p>
        </w:tc>
        <w:tc>
          <w:tcPr>
            <w:tcW w:w="957" w:type="dxa"/>
            <w:tcBorders>
              <w:top w:val="nil"/>
              <w:left w:val="nil"/>
              <w:bottom w:val="single" w:sz="4" w:space="0" w:color="auto"/>
              <w:right w:val="single" w:sz="4" w:space="0" w:color="auto"/>
            </w:tcBorders>
            <w:shd w:val="clear" w:color="auto" w:fill="auto"/>
            <w:noWrap/>
            <w:vAlign w:val="center"/>
            <w:hideMark/>
          </w:tcPr>
          <w:p w14:paraId="472336FE"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1 079,4 </w:t>
            </w:r>
          </w:p>
        </w:tc>
        <w:tc>
          <w:tcPr>
            <w:tcW w:w="960" w:type="dxa"/>
            <w:tcBorders>
              <w:top w:val="nil"/>
              <w:left w:val="nil"/>
              <w:bottom w:val="single" w:sz="4" w:space="0" w:color="auto"/>
              <w:right w:val="single" w:sz="4" w:space="0" w:color="auto"/>
            </w:tcBorders>
            <w:shd w:val="clear" w:color="auto" w:fill="auto"/>
            <w:noWrap/>
            <w:vAlign w:val="center"/>
            <w:hideMark/>
          </w:tcPr>
          <w:p w14:paraId="2D017FF2"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762,6 </w:t>
            </w:r>
          </w:p>
        </w:tc>
        <w:tc>
          <w:tcPr>
            <w:tcW w:w="1030" w:type="dxa"/>
            <w:tcBorders>
              <w:top w:val="nil"/>
              <w:left w:val="nil"/>
              <w:bottom w:val="single" w:sz="4" w:space="0" w:color="auto"/>
              <w:right w:val="single" w:sz="4" w:space="0" w:color="auto"/>
            </w:tcBorders>
            <w:shd w:val="clear" w:color="auto" w:fill="auto"/>
            <w:noWrap/>
            <w:vAlign w:val="center"/>
            <w:hideMark/>
          </w:tcPr>
          <w:p w14:paraId="2D96404E"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-316,8 </w:t>
            </w:r>
          </w:p>
        </w:tc>
        <w:tc>
          <w:tcPr>
            <w:tcW w:w="846" w:type="dxa"/>
            <w:tcBorders>
              <w:top w:val="nil"/>
              <w:left w:val="nil"/>
              <w:bottom w:val="single" w:sz="4" w:space="0" w:color="auto"/>
              <w:right w:val="double" w:sz="6" w:space="0" w:color="auto"/>
            </w:tcBorders>
            <w:shd w:val="clear" w:color="auto" w:fill="auto"/>
            <w:noWrap/>
            <w:vAlign w:val="center"/>
            <w:hideMark/>
          </w:tcPr>
          <w:p w14:paraId="782DBE8F"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-29,3 </w:t>
            </w:r>
          </w:p>
        </w:tc>
      </w:tr>
      <w:tr w:rsidR="00FD7B0B" w:rsidRPr="00FD7B0B" w14:paraId="7F16D653"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73FC663A"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пособия, компенсации и иные социальные выплаты гражданам, кроме публичных нормативных обязательств (ВР 321)</w:t>
            </w:r>
          </w:p>
        </w:tc>
        <w:tc>
          <w:tcPr>
            <w:tcW w:w="957" w:type="dxa"/>
            <w:tcBorders>
              <w:top w:val="nil"/>
              <w:left w:val="nil"/>
              <w:bottom w:val="single" w:sz="4" w:space="0" w:color="auto"/>
              <w:right w:val="single" w:sz="4" w:space="0" w:color="auto"/>
            </w:tcBorders>
            <w:shd w:val="clear" w:color="auto" w:fill="auto"/>
            <w:noWrap/>
            <w:vAlign w:val="center"/>
            <w:hideMark/>
          </w:tcPr>
          <w:p w14:paraId="34EAA6EC"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129,9 </w:t>
            </w:r>
          </w:p>
        </w:tc>
        <w:tc>
          <w:tcPr>
            <w:tcW w:w="960" w:type="dxa"/>
            <w:tcBorders>
              <w:top w:val="nil"/>
              <w:left w:val="nil"/>
              <w:bottom w:val="single" w:sz="4" w:space="0" w:color="auto"/>
              <w:right w:val="single" w:sz="4" w:space="0" w:color="auto"/>
            </w:tcBorders>
            <w:shd w:val="clear" w:color="auto" w:fill="auto"/>
            <w:noWrap/>
            <w:vAlign w:val="center"/>
            <w:hideMark/>
          </w:tcPr>
          <w:p w14:paraId="29127C49"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166,5 </w:t>
            </w:r>
          </w:p>
        </w:tc>
        <w:tc>
          <w:tcPr>
            <w:tcW w:w="1030" w:type="dxa"/>
            <w:tcBorders>
              <w:top w:val="nil"/>
              <w:left w:val="nil"/>
              <w:bottom w:val="single" w:sz="4" w:space="0" w:color="auto"/>
              <w:right w:val="single" w:sz="4" w:space="0" w:color="auto"/>
            </w:tcBorders>
            <w:shd w:val="clear" w:color="auto" w:fill="auto"/>
            <w:noWrap/>
            <w:vAlign w:val="center"/>
            <w:hideMark/>
          </w:tcPr>
          <w:p w14:paraId="4536BA1C"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36,6 </w:t>
            </w:r>
          </w:p>
        </w:tc>
        <w:tc>
          <w:tcPr>
            <w:tcW w:w="846" w:type="dxa"/>
            <w:tcBorders>
              <w:top w:val="nil"/>
              <w:left w:val="nil"/>
              <w:bottom w:val="single" w:sz="4" w:space="0" w:color="auto"/>
              <w:right w:val="double" w:sz="6" w:space="0" w:color="auto"/>
            </w:tcBorders>
            <w:shd w:val="clear" w:color="auto" w:fill="auto"/>
            <w:noWrap/>
            <w:vAlign w:val="center"/>
            <w:hideMark/>
          </w:tcPr>
          <w:p w14:paraId="5F8EA9D9"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28,2 </w:t>
            </w:r>
          </w:p>
        </w:tc>
      </w:tr>
      <w:tr w:rsidR="00FD7B0B" w:rsidRPr="00FD7B0B" w14:paraId="0A33A1E0" w14:textId="77777777" w:rsidTr="0021612A">
        <w:trPr>
          <w:trHeight w:val="70"/>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2A292EF5" w14:textId="77777777" w:rsidR="00D97B4C" w:rsidRPr="00FD7B0B" w:rsidRDefault="00D97B4C" w:rsidP="0021612A">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Прочие бюджетные ассигнования (ВР 800, 452), из них:</w:t>
            </w:r>
          </w:p>
        </w:tc>
        <w:tc>
          <w:tcPr>
            <w:tcW w:w="957" w:type="dxa"/>
            <w:tcBorders>
              <w:top w:val="nil"/>
              <w:left w:val="nil"/>
              <w:bottom w:val="single" w:sz="4" w:space="0" w:color="auto"/>
              <w:right w:val="single" w:sz="4" w:space="0" w:color="auto"/>
            </w:tcBorders>
            <w:shd w:val="clear" w:color="auto" w:fill="auto"/>
            <w:noWrap/>
            <w:vAlign w:val="center"/>
            <w:hideMark/>
          </w:tcPr>
          <w:p w14:paraId="08FB29C6"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975,3 </w:t>
            </w:r>
          </w:p>
        </w:tc>
        <w:tc>
          <w:tcPr>
            <w:tcW w:w="960" w:type="dxa"/>
            <w:tcBorders>
              <w:top w:val="nil"/>
              <w:left w:val="nil"/>
              <w:bottom w:val="single" w:sz="4" w:space="0" w:color="auto"/>
              <w:right w:val="single" w:sz="4" w:space="0" w:color="auto"/>
            </w:tcBorders>
            <w:shd w:val="clear" w:color="auto" w:fill="auto"/>
            <w:noWrap/>
            <w:vAlign w:val="center"/>
            <w:hideMark/>
          </w:tcPr>
          <w:p w14:paraId="267E5052"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1 655,1 </w:t>
            </w:r>
          </w:p>
        </w:tc>
        <w:tc>
          <w:tcPr>
            <w:tcW w:w="1030" w:type="dxa"/>
            <w:tcBorders>
              <w:top w:val="nil"/>
              <w:left w:val="nil"/>
              <w:bottom w:val="single" w:sz="4" w:space="0" w:color="auto"/>
              <w:right w:val="single" w:sz="4" w:space="0" w:color="auto"/>
            </w:tcBorders>
            <w:shd w:val="clear" w:color="auto" w:fill="auto"/>
            <w:noWrap/>
            <w:vAlign w:val="center"/>
            <w:hideMark/>
          </w:tcPr>
          <w:p w14:paraId="56DC26E4"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679,8 </w:t>
            </w:r>
          </w:p>
        </w:tc>
        <w:tc>
          <w:tcPr>
            <w:tcW w:w="846" w:type="dxa"/>
            <w:tcBorders>
              <w:top w:val="nil"/>
              <w:left w:val="nil"/>
              <w:bottom w:val="single" w:sz="4" w:space="0" w:color="auto"/>
              <w:right w:val="double" w:sz="6" w:space="0" w:color="auto"/>
            </w:tcBorders>
            <w:shd w:val="clear" w:color="auto" w:fill="auto"/>
            <w:noWrap/>
            <w:vAlign w:val="center"/>
            <w:hideMark/>
          </w:tcPr>
          <w:p w14:paraId="56CCCF25" w14:textId="77777777" w:rsidR="00D97B4C" w:rsidRPr="00FD7B0B" w:rsidRDefault="00D97B4C" w:rsidP="0021612A">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69,7 </w:t>
            </w:r>
          </w:p>
        </w:tc>
      </w:tr>
      <w:tr w:rsidR="00FD7B0B" w:rsidRPr="00FD7B0B" w14:paraId="21ABCB54" w14:textId="77777777" w:rsidTr="0021612A">
        <w:trPr>
          <w:trHeight w:val="70"/>
        </w:trPr>
        <w:tc>
          <w:tcPr>
            <w:tcW w:w="5789" w:type="dxa"/>
            <w:tcBorders>
              <w:top w:val="nil"/>
              <w:left w:val="double" w:sz="6" w:space="0" w:color="auto"/>
              <w:bottom w:val="nil"/>
              <w:right w:val="single" w:sz="4" w:space="0" w:color="auto"/>
            </w:tcBorders>
            <w:shd w:val="clear" w:color="auto" w:fill="auto"/>
            <w:vAlign w:val="center"/>
            <w:hideMark/>
          </w:tcPr>
          <w:p w14:paraId="79D5C345"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субсидии (гранты в форме субсидий) на финансовое обеспечение затрат в связи с производством (реализацией товаров), выполнением работ, оказанием услуг (ВР 812, 813)</w:t>
            </w:r>
          </w:p>
        </w:tc>
        <w:tc>
          <w:tcPr>
            <w:tcW w:w="957" w:type="dxa"/>
            <w:tcBorders>
              <w:top w:val="nil"/>
              <w:left w:val="nil"/>
              <w:bottom w:val="nil"/>
              <w:right w:val="single" w:sz="4" w:space="0" w:color="auto"/>
            </w:tcBorders>
            <w:shd w:val="clear" w:color="auto" w:fill="auto"/>
            <w:noWrap/>
            <w:vAlign w:val="center"/>
            <w:hideMark/>
          </w:tcPr>
          <w:p w14:paraId="18B1376A"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791,3 </w:t>
            </w:r>
          </w:p>
        </w:tc>
        <w:tc>
          <w:tcPr>
            <w:tcW w:w="960" w:type="dxa"/>
            <w:tcBorders>
              <w:top w:val="nil"/>
              <w:left w:val="nil"/>
              <w:bottom w:val="nil"/>
              <w:right w:val="single" w:sz="4" w:space="0" w:color="auto"/>
            </w:tcBorders>
            <w:shd w:val="clear" w:color="auto" w:fill="auto"/>
            <w:noWrap/>
            <w:vAlign w:val="center"/>
            <w:hideMark/>
          </w:tcPr>
          <w:p w14:paraId="61A78F09"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1 604,6 </w:t>
            </w:r>
          </w:p>
        </w:tc>
        <w:tc>
          <w:tcPr>
            <w:tcW w:w="1030" w:type="dxa"/>
            <w:tcBorders>
              <w:top w:val="nil"/>
              <w:left w:val="nil"/>
              <w:bottom w:val="nil"/>
              <w:right w:val="single" w:sz="4" w:space="0" w:color="auto"/>
            </w:tcBorders>
            <w:shd w:val="clear" w:color="auto" w:fill="auto"/>
            <w:noWrap/>
            <w:vAlign w:val="center"/>
            <w:hideMark/>
          </w:tcPr>
          <w:p w14:paraId="74272894"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813,3 </w:t>
            </w:r>
          </w:p>
        </w:tc>
        <w:tc>
          <w:tcPr>
            <w:tcW w:w="846" w:type="dxa"/>
            <w:tcBorders>
              <w:top w:val="nil"/>
              <w:left w:val="nil"/>
              <w:bottom w:val="nil"/>
              <w:right w:val="double" w:sz="6" w:space="0" w:color="auto"/>
            </w:tcBorders>
            <w:shd w:val="clear" w:color="auto" w:fill="auto"/>
            <w:noWrap/>
            <w:vAlign w:val="center"/>
            <w:hideMark/>
          </w:tcPr>
          <w:p w14:paraId="1D4CAD94"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102,8 </w:t>
            </w:r>
          </w:p>
        </w:tc>
      </w:tr>
      <w:tr w:rsidR="00FD7B0B" w:rsidRPr="00FD7B0B" w14:paraId="459BC6FB" w14:textId="77777777" w:rsidTr="0021612A">
        <w:trPr>
          <w:trHeight w:val="70"/>
        </w:trPr>
        <w:tc>
          <w:tcPr>
            <w:tcW w:w="5789" w:type="dxa"/>
            <w:tcBorders>
              <w:top w:val="single" w:sz="4" w:space="0" w:color="auto"/>
              <w:left w:val="double" w:sz="6" w:space="0" w:color="auto"/>
              <w:bottom w:val="nil"/>
              <w:right w:val="single" w:sz="4" w:space="0" w:color="auto"/>
            </w:tcBorders>
            <w:shd w:val="clear" w:color="auto" w:fill="auto"/>
            <w:vAlign w:val="center"/>
            <w:hideMark/>
          </w:tcPr>
          <w:p w14:paraId="56A410B5" w14:textId="77777777" w:rsidR="00D97B4C" w:rsidRPr="00FD7B0B" w:rsidRDefault="00D97B4C" w:rsidP="0021612A">
            <w:pPr>
              <w:spacing w:after="0" w:line="240" w:lineRule="auto"/>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 - бюджетные инвестиции иным юридическим лицам, за исключением бюджетных инвестиций в объекты капитального строительства (ВР 452)</w:t>
            </w:r>
          </w:p>
        </w:tc>
        <w:tc>
          <w:tcPr>
            <w:tcW w:w="957" w:type="dxa"/>
            <w:tcBorders>
              <w:top w:val="single" w:sz="4" w:space="0" w:color="auto"/>
              <w:left w:val="nil"/>
              <w:bottom w:val="nil"/>
              <w:right w:val="single" w:sz="4" w:space="0" w:color="auto"/>
            </w:tcBorders>
            <w:shd w:val="clear" w:color="auto" w:fill="auto"/>
            <w:noWrap/>
            <w:vAlign w:val="center"/>
            <w:hideMark/>
          </w:tcPr>
          <w:p w14:paraId="6F21DC9F"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178,8 </w:t>
            </w:r>
          </w:p>
        </w:tc>
        <w:tc>
          <w:tcPr>
            <w:tcW w:w="960" w:type="dxa"/>
            <w:tcBorders>
              <w:top w:val="single" w:sz="4" w:space="0" w:color="auto"/>
              <w:left w:val="nil"/>
              <w:bottom w:val="nil"/>
              <w:right w:val="single" w:sz="4" w:space="0" w:color="auto"/>
            </w:tcBorders>
            <w:shd w:val="clear" w:color="auto" w:fill="auto"/>
            <w:noWrap/>
            <w:vAlign w:val="center"/>
            <w:hideMark/>
          </w:tcPr>
          <w:p w14:paraId="0119BD0C"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50,4 </w:t>
            </w:r>
          </w:p>
        </w:tc>
        <w:tc>
          <w:tcPr>
            <w:tcW w:w="1030" w:type="dxa"/>
            <w:tcBorders>
              <w:top w:val="single" w:sz="4" w:space="0" w:color="auto"/>
              <w:left w:val="nil"/>
              <w:bottom w:val="nil"/>
              <w:right w:val="single" w:sz="4" w:space="0" w:color="auto"/>
            </w:tcBorders>
            <w:shd w:val="clear" w:color="auto" w:fill="auto"/>
            <w:noWrap/>
            <w:vAlign w:val="center"/>
            <w:hideMark/>
          </w:tcPr>
          <w:p w14:paraId="53761D72"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-128,4 </w:t>
            </w:r>
          </w:p>
        </w:tc>
        <w:tc>
          <w:tcPr>
            <w:tcW w:w="846" w:type="dxa"/>
            <w:tcBorders>
              <w:top w:val="single" w:sz="4" w:space="0" w:color="auto"/>
              <w:left w:val="nil"/>
              <w:bottom w:val="nil"/>
              <w:right w:val="double" w:sz="6" w:space="0" w:color="auto"/>
            </w:tcBorders>
            <w:shd w:val="clear" w:color="auto" w:fill="auto"/>
            <w:noWrap/>
            <w:vAlign w:val="center"/>
            <w:hideMark/>
          </w:tcPr>
          <w:p w14:paraId="75547F12" w14:textId="77777777" w:rsidR="00D97B4C" w:rsidRPr="00FD7B0B" w:rsidRDefault="00D97B4C" w:rsidP="0021612A">
            <w:pPr>
              <w:spacing w:after="0" w:line="240" w:lineRule="auto"/>
              <w:jc w:val="right"/>
              <w:rPr>
                <w:rFonts w:ascii="Times New Roman" w:eastAsia="Times New Roman" w:hAnsi="Times New Roman" w:cs="Times New Roman"/>
                <w:i/>
                <w:iCs/>
                <w:sz w:val="21"/>
                <w:szCs w:val="21"/>
                <w:lang w:eastAsia="ru-RU"/>
              </w:rPr>
            </w:pPr>
            <w:r w:rsidRPr="00FD7B0B">
              <w:rPr>
                <w:rFonts w:ascii="Times New Roman" w:eastAsia="Times New Roman" w:hAnsi="Times New Roman" w:cs="Times New Roman"/>
                <w:i/>
                <w:iCs/>
                <w:sz w:val="21"/>
                <w:szCs w:val="21"/>
                <w:lang w:eastAsia="ru-RU"/>
              </w:rPr>
              <w:t xml:space="preserve">-71,8 </w:t>
            </w:r>
          </w:p>
        </w:tc>
      </w:tr>
      <w:tr w:rsidR="00D97B4C" w:rsidRPr="00FD7B0B" w14:paraId="633FEF42" w14:textId="77777777" w:rsidTr="0021612A">
        <w:trPr>
          <w:trHeight w:val="70"/>
        </w:trPr>
        <w:tc>
          <w:tcPr>
            <w:tcW w:w="5789"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042D6554" w14:textId="77777777" w:rsidR="00D97B4C" w:rsidRPr="00FD7B0B" w:rsidRDefault="00D97B4C" w:rsidP="0021612A">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lastRenderedPageBreak/>
              <w:t>Итого</w:t>
            </w:r>
          </w:p>
        </w:tc>
        <w:tc>
          <w:tcPr>
            <w:tcW w:w="957" w:type="dxa"/>
            <w:tcBorders>
              <w:top w:val="single" w:sz="4" w:space="0" w:color="auto"/>
              <w:left w:val="nil"/>
              <w:bottom w:val="double" w:sz="6" w:space="0" w:color="auto"/>
              <w:right w:val="single" w:sz="4" w:space="0" w:color="auto"/>
            </w:tcBorders>
            <w:shd w:val="clear" w:color="auto" w:fill="auto"/>
            <w:noWrap/>
            <w:vAlign w:val="center"/>
            <w:hideMark/>
          </w:tcPr>
          <w:p w14:paraId="5C94E855" w14:textId="77777777" w:rsidR="00D97B4C" w:rsidRPr="00FD7B0B" w:rsidRDefault="00D97B4C" w:rsidP="0021612A">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27 069,2 </w:t>
            </w:r>
          </w:p>
        </w:tc>
        <w:tc>
          <w:tcPr>
            <w:tcW w:w="960" w:type="dxa"/>
            <w:tcBorders>
              <w:top w:val="single" w:sz="4" w:space="0" w:color="auto"/>
              <w:left w:val="nil"/>
              <w:bottom w:val="double" w:sz="6" w:space="0" w:color="auto"/>
              <w:right w:val="single" w:sz="4" w:space="0" w:color="auto"/>
            </w:tcBorders>
            <w:shd w:val="clear" w:color="auto" w:fill="auto"/>
            <w:noWrap/>
            <w:vAlign w:val="center"/>
            <w:hideMark/>
          </w:tcPr>
          <w:p w14:paraId="57A1F425" w14:textId="77777777" w:rsidR="00D97B4C" w:rsidRPr="00FD7B0B" w:rsidRDefault="00D97B4C" w:rsidP="0021612A">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19 470,3 </w:t>
            </w:r>
          </w:p>
        </w:tc>
        <w:tc>
          <w:tcPr>
            <w:tcW w:w="1030" w:type="dxa"/>
            <w:tcBorders>
              <w:top w:val="single" w:sz="4" w:space="0" w:color="auto"/>
              <w:left w:val="nil"/>
              <w:bottom w:val="double" w:sz="6" w:space="0" w:color="auto"/>
              <w:right w:val="single" w:sz="4" w:space="0" w:color="auto"/>
            </w:tcBorders>
            <w:shd w:val="clear" w:color="auto" w:fill="auto"/>
            <w:noWrap/>
            <w:vAlign w:val="center"/>
            <w:hideMark/>
          </w:tcPr>
          <w:p w14:paraId="7B202586" w14:textId="77777777" w:rsidR="00D97B4C" w:rsidRPr="00FD7B0B" w:rsidRDefault="00D97B4C" w:rsidP="0021612A">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-7 598,9 </w:t>
            </w:r>
          </w:p>
        </w:tc>
        <w:tc>
          <w:tcPr>
            <w:tcW w:w="846" w:type="dxa"/>
            <w:tcBorders>
              <w:top w:val="single" w:sz="4" w:space="0" w:color="auto"/>
              <w:left w:val="nil"/>
              <w:bottom w:val="double" w:sz="6" w:space="0" w:color="auto"/>
              <w:right w:val="double" w:sz="6" w:space="0" w:color="auto"/>
            </w:tcBorders>
            <w:shd w:val="clear" w:color="auto" w:fill="auto"/>
            <w:noWrap/>
            <w:vAlign w:val="center"/>
            <w:hideMark/>
          </w:tcPr>
          <w:p w14:paraId="1B4C9013" w14:textId="77777777" w:rsidR="00D97B4C" w:rsidRPr="00FD7B0B" w:rsidRDefault="00D97B4C" w:rsidP="0021612A">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-28,1 </w:t>
            </w:r>
          </w:p>
        </w:tc>
      </w:tr>
    </w:tbl>
    <w:p w14:paraId="26CAA652" w14:textId="77777777" w:rsidR="00D97B4C" w:rsidRPr="00FD7B0B" w:rsidRDefault="00D97B4C" w:rsidP="0021612A">
      <w:pPr>
        <w:spacing w:after="0" w:line="240" w:lineRule="auto"/>
        <w:ind w:firstLine="709"/>
        <w:jc w:val="both"/>
        <w:rPr>
          <w:rFonts w:ascii="Times New Roman" w:eastAsia="Calibri" w:hAnsi="Times New Roman" w:cs="Times New Roman"/>
          <w:sz w:val="28"/>
          <w:szCs w:val="28"/>
        </w:rPr>
      </w:pPr>
    </w:p>
    <w:p w14:paraId="475B6E7B" w14:textId="77777777" w:rsidR="00D97B4C" w:rsidRPr="00FD7B0B" w:rsidRDefault="00D97B4C" w:rsidP="0021612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Основное снижение расходов по реализации национальных проектов РФ в 2024 году наблюдается по контрактуемым расходам – на 27,1 % (-4 398,6 млн.руб.) и по межбюджетным трансфертам – на 58,6 % (-3 444,7 млн.руб.).</w:t>
      </w:r>
    </w:p>
    <w:p w14:paraId="19AA4498" w14:textId="52CB6510" w:rsidR="00D97B4C" w:rsidRPr="00FD7B0B" w:rsidRDefault="00D97B4C" w:rsidP="00F75C3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составе контрактуемых расходов, направляемых на реализацию приоритетных национальных проектов, основное снижение расходов в 2024 году наблюдается по на прочим закупкам товаров, работ и услуг (элемент вида расходов 244) – на 26,8 (-1 531,1 млн.руб.), из них расходы на приведение в нормативное состояние автомобильных дорог и искусственных дорожных сооружений, включая средства бюджетных кредитов из федерального бюджета в целях опережающего финансового обеспечения расходных обязательств субъектов снизились на 37,2 % (-1 953,0 млн.руб.) и составили 3 297,2 млн.руб. (в 2023 году – 5 250,2 млн.руб.), из них за счет средств бюджетного кредита</w:t>
      </w:r>
      <w:r w:rsidR="00F75C3C" w:rsidRPr="00FD7B0B">
        <w:rPr>
          <w:rFonts w:ascii="Times New Roman" w:eastAsia="Calibri" w:hAnsi="Times New Roman" w:cs="Times New Roman"/>
          <w:sz w:val="28"/>
          <w:szCs w:val="28"/>
        </w:rPr>
        <w:t xml:space="preserve"> из</w:t>
      </w:r>
      <w:r w:rsidRPr="00FD7B0B">
        <w:rPr>
          <w:rFonts w:ascii="Times New Roman" w:eastAsia="Calibri" w:hAnsi="Times New Roman" w:cs="Times New Roman"/>
          <w:sz w:val="28"/>
          <w:szCs w:val="28"/>
        </w:rPr>
        <w:t xml:space="preserve"> федерального бюджета в целях опережающего финансового обеспечения расходных обязательств субъектов РФ – на 1 551,0 млн.руб., т.к. в 2024 году аналогичны</w:t>
      </w:r>
      <w:r w:rsidR="00F75C3C" w:rsidRPr="00FD7B0B">
        <w:rPr>
          <w:rFonts w:ascii="Times New Roman" w:eastAsia="Calibri" w:hAnsi="Times New Roman" w:cs="Times New Roman"/>
          <w:sz w:val="28"/>
          <w:szCs w:val="28"/>
        </w:rPr>
        <w:t>е</w:t>
      </w:r>
      <w:r w:rsidRPr="00FD7B0B">
        <w:rPr>
          <w:rFonts w:ascii="Times New Roman" w:eastAsia="Calibri" w:hAnsi="Times New Roman" w:cs="Times New Roman"/>
          <w:sz w:val="28"/>
          <w:szCs w:val="28"/>
        </w:rPr>
        <w:t xml:space="preserve"> расход</w:t>
      </w:r>
      <w:r w:rsidR="00F75C3C" w:rsidRPr="00FD7B0B">
        <w:rPr>
          <w:rFonts w:ascii="Times New Roman" w:eastAsia="Calibri" w:hAnsi="Times New Roman" w:cs="Times New Roman"/>
          <w:sz w:val="28"/>
          <w:szCs w:val="28"/>
        </w:rPr>
        <w:t>ы</w:t>
      </w:r>
      <w:r w:rsidRPr="00FD7B0B">
        <w:rPr>
          <w:rFonts w:ascii="Times New Roman" w:eastAsia="Calibri" w:hAnsi="Times New Roman" w:cs="Times New Roman"/>
          <w:sz w:val="28"/>
          <w:szCs w:val="28"/>
        </w:rPr>
        <w:t xml:space="preserve"> за счет данного источника </w:t>
      </w:r>
      <w:r w:rsidR="00F75C3C" w:rsidRPr="00FD7B0B">
        <w:rPr>
          <w:rFonts w:ascii="Times New Roman" w:eastAsia="Calibri" w:hAnsi="Times New Roman" w:cs="Times New Roman"/>
          <w:sz w:val="28"/>
          <w:szCs w:val="28"/>
        </w:rPr>
        <w:t>отсутствуют</w:t>
      </w:r>
      <w:r w:rsidRPr="00FD7B0B">
        <w:rPr>
          <w:rFonts w:ascii="Times New Roman" w:eastAsia="Calibri" w:hAnsi="Times New Roman" w:cs="Times New Roman"/>
          <w:sz w:val="28"/>
          <w:szCs w:val="28"/>
        </w:rPr>
        <w:t>.</w:t>
      </w:r>
    </w:p>
    <w:p w14:paraId="341641E1" w14:textId="2CC9AED0" w:rsidR="00D97B4C" w:rsidRPr="00FD7B0B" w:rsidRDefault="00D97B4C" w:rsidP="00F75C3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то же время, расходы на осуществление капитального ремонта (элемент вида расходов 24</w:t>
      </w:r>
      <w:r w:rsidR="002C0F65" w:rsidRPr="00FD7B0B">
        <w:rPr>
          <w:rFonts w:ascii="Times New Roman" w:eastAsia="Calibri" w:hAnsi="Times New Roman" w:cs="Times New Roman"/>
          <w:sz w:val="28"/>
          <w:szCs w:val="28"/>
        </w:rPr>
        <w:t>3</w:t>
      </w:r>
      <w:r w:rsidRPr="00FD7B0B">
        <w:rPr>
          <w:rFonts w:ascii="Times New Roman" w:eastAsia="Calibri" w:hAnsi="Times New Roman" w:cs="Times New Roman"/>
          <w:sz w:val="28"/>
          <w:szCs w:val="28"/>
        </w:rPr>
        <w:t>) в 2024 году увеличились на 50,2 % (+1 019,8 млн.руб.), из них расходы на приведение в нормативное состояние автомобильных дорог и искусственных дорожных сооружений, включая средства бюджетных кредитов из федерального бюджета – на 88,9 % (+1 437,0 млн.руб.), которые составили 3 052,7 млн.руб. (2023 год – 1 615,7 млн.руб.).</w:t>
      </w:r>
    </w:p>
    <w:p w14:paraId="54EA133A" w14:textId="77777777" w:rsidR="00D97B4C" w:rsidRPr="00FD7B0B" w:rsidRDefault="00D97B4C" w:rsidP="002C0F6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Наибольшее снижение в составе контрактуемых расходов в 2024 году наблюдается по бюджетным инвестициям – на 46,3 % (-3 890,0 млн.руб.) из них:</w:t>
      </w:r>
    </w:p>
    <w:p w14:paraId="32F084A4" w14:textId="77777777" w:rsidR="00D97B4C" w:rsidRPr="00FD7B0B" w:rsidRDefault="00D97B4C" w:rsidP="00FC324A">
      <w:pPr>
        <w:pStyle w:val="a8"/>
        <w:numPr>
          <w:ilvl w:val="0"/>
          <w:numId w:val="11"/>
        </w:numPr>
        <w:ind w:left="0" w:firstLine="709"/>
        <w:jc w:val="both"/>
        <w:rPr>
          <w:sz w:val="28"/>
          <w:szCs w:val="28"/>
        </w:rPr>
      </w:pPr>
      <w:r w:rsidRPr="00FD7B0B">
        <w:rPr>
          <w:sz w:val="28"/>
          <w:szCs w:val="28"/>
        </w:rPr>
        <w:t xml:space="preserve">по РП АО «Обеспечение устойчивого сокращения непригодного для проживания жилищного фонда» – снизились на 62,4 % </w:t>
      </w:r>
      <w:r w:rsidRPr="00FD7B0B">
        <w:rPr>
          <w:sz w:val="28"/>
          <w:szCs w:val="28"/>
        </w:rPr>
        <w:br/>
        <w:t>(-4 466,5 млн.руб.);</w:t>
      </w:r>
    </w:p>
    <w:p w14:paraId="501D68FC" w14:textId="77777777" w:rsidR="00D97B4C" w:rsidRPr="00FD7B0B" w:rsidRDefault="00D97B4C" w:rsidP="00FC324A">
      <w:pPr>
        <w:pStyle w:val="a8"/>
        <w:numPr>
          <w:ilvl w:val="0"/>
          <w:numId w:val="11"/>
        </w:numPr>
        <w:ind w:left="0" w:firstLine="709"/>
        <w:jc w:val="both"/>
        <w:rPr>
          <w:sz w:val="28"/>
          <w:szCs w:val="28"/>
        </w:rPr>
      </w:pPr>
      <w:r w:rsidRPr="00FD7B0B">
        <w:rPr>
          <w:sz w:val="28"/>
          <w:szCs w:val="28"/>
        </w:rPr>
        <w:t>по РП АО «Модернизация первичного звена здравоохранения Российской Федерации» – снизились на 55,3 % (-307,1 млн.руб.);</w:t>
      </w:r>
    </w:p>
    <w:p w14:paraId="13516A7C" w14:textId="77777777" w:rsidR="00D97B4C" w:rsidRPr="00FD7B0B" w:rsidRDefault="00D97B4C" w:rsidP="00FC324A">
      <w:pPr>
        <w:pStyle w:val="a8"/>
        <w:numPr>
          <w:ilvl w:val="0"/>
          <w:numId w:val="11"/>
        </w:numPr>
        <w:ind w:left="0" w:firstLine="709"/>
        <w:jc w:val="both"/>
        <w:rPr>
          <w:sz w:val="28"/>
          <w:szCs w:val="28"/>
        </w:rPr>
      </w:pPr>
      <w:r w:rsidRPr="00FD7B0B">
        <w:rPr>
          <w:sz w:val="28"/>
          <w:szCs w:val="28"/>
        </w:rPr>
        <w:t>по РП АО «Современная школа» – увеличились в 2,2 раза (+884,2 млн.руб.).</w:t>
      </w:r>
    </w:p>
    <w:p w14:paraId="356ECFD8" w14:textId="23910F99" w:rsidR="00D97B4C" w:rsidRPr="00FD7B0B" w:rsidRDefault="00D97B4C" w:rsidP="00FC324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По межбюджетным трансфертам местным бюджетам расходы по реализации национальных проектов в 2024 году </w:t>
      </w:r>
      <w:r w:rsidR="00FC324A" w:rsidRPr="00FD7B0B">
        <w:rPr>
          <w:rFonts w:ascii="Times New Roman" w:eastAsia="Calibri" w:hAnsi="Times New Roman" w:cs="Times New Roman"/>
          <w:sz w:val="28"/>
          <w:szCs w:val="28"/>
        </w:rPr>
        <w:t>сократились</w:t>
      </w:r>
      <w:r w:rsidRPr="00FD7B0B">
        <w:rPr>
          <w:rFonts w:ascii="Times New Roman" w:eastAsia="Calibri" w:hAnsi="Times New Roman" w:cs="Times New Roman"/>
          <w:sz w:val="28"/>
          <w:szCs w:val="28"/>
        </w:rPr>
        <w:t xml:space="preserve"> на 58,6 % (-3 444,7 млн.руб.), из них:</w:t>
      </w:r>
    </w:p>
    <w:p w14:paraId="77285F2B" w14:textId="05ADCAAB" w:rsidR="00D97B4C" w:rsidRPr="00FD7B0B" w:rsidRDefault="00D97B4C" w:rsidP="00FC324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а) субсидии на софинансирование капитальных вложений в объекты муниципальной собственности (элемент вида расходов 522) </w:t>
      </w:r>
      <w:r w:rsidR="00FC324A" w:rsidRPr="00FD7B0B">
        <w:rPr>
          <w:rFonts w:ascii="Times New Roman" w:eastAsia="Calibri" w:hAnsi="Times New Roman" w:cs="Times New Roman"/>
          <w:sz w:val="28"/>
          <w:szCs w:val="28"/>
        </w:rPr>
        <w:t>сократились</w:t>
      </w:r>
      <w:r w:rsidRPr="00FD7B0B">
        <w:rPr>
          <w:rFonts w:ascii="Times New Roman" w:eastAsia="Calibri" w:hAnsi="Times New Roman" w:cs="Times New Roman"/>
          <w:sz w:val="28"/>
          <w:szCs w:val="28"/>
        </w:rPr>
        <w:t xml:space="preserve"> на 66,1 % (-1 349,2 млн.руб.), из них:</w:t>
      </w:r>
    </w:p>
    <w:p w14:paraId="62D7DC52" w14:textId="7E35E4BD" w:rsidR="00D97B4C" w:rsidRPr="00FD7B0B" w:rsidRDefault="00D97B4C" w:rsidP="00C0559B">
      <w:pPr>
        <w:pStyle w:val="a0"/>
        <w:numPr>
          <w:ilvl w:val="0"/>
          <w:numId w:val="26"/>
        </w:numPr>
        <w:ind w:left="0" w:firstLine="709"/>
      </w:pPr>
      <w:r w:rsidRPr="00FD7B0B">
        <w:t xml:space="preserve">по РП </w:t>
      </w:r>
      <w:r w:rsidR="000442B4" w:rsidRPr="00FD7B0B">
        <w:t>«</w:t>
      </w:r>
      <w:r w:rsidRPr="00FD7B0B">
        <w:t>Обеспечение устойчивого сокращения непригодного для проживания жилищного фонда» – на 82,1 % (-892,1 млн.руб., 2023 год – 1 086,0 млн.руб., 2024 год – 193,9 млн.руб.), из них за счет средств ППК «Фонд развития территорий» – на 82,1 % (-874,7 млн.руб.);</w:t>
      </w:r>
    </w:p>
    <w:p w14:paraId="0E2C1E9E" w14:textId="586CE626" w:rsidR="00D97B4C" w:rsidRPr="00FD7B0B" w:rsidRDefault="00D97B4C" w:rsidP="00C0559B">
      <w:pPr>
        <w:pStyle w:val="a0"/>
        <w:numPr>
          <w:ilvl w:val="0"/>
          <w:numId w:val="26"/>
        </w:numPr>
        <w:ind w:left="0" w:firstLine="709"/>
      </w:pPr>
      <w:r w:rsidRPr="00FD7B0B">
        <w:lastRenderedPageBreak/>
        <w:t>по РП «Чистая вода» – на 44,4 % (-397,9 млн.руб.) и за 2024 год составили 497,7 млн.руб. (профинансировано на 8 объектов ОАИП), а за 2023 год – 895,5 млн.руб. (профинансировано 12 объектов ОАИП);</w:t>
      </w:r>
    </w:p>
    <w:p w14:paraId="4D9F4B4B" w14:textId="6224E859" w:rsidR="00D97B4C" w:rsidRPr="00FD7B0B" w:rsidRDefault="00D97B4C" w:rsidP="000442B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б) иные межбюджетные трансферты (вид расходов 540) </w:t>
      </w:r>
      <w:r w:rsidR="00B21DE8" w:rsidRPr="00FD7B0B">
        <w:rPr>
          <w:rFonts w:ascii="Times New Roman" w:eastAsia="Calibri" w:hAnsi="Times New Roman" w:cs="Times New Roman"/>
          <w:sz w:val="28"/>
          <w:szCs w:val="28"/>
        </w:rPr>
        <w:t>сократились</w:t>
      </w:r>
      <w:r w:rsidRPr="00FD7B0B">
        <w:rPr>
          <w:rFonts w:ascii="Times New Roman" w:eastAsia="Calibri" w:hAnsi="Times New Roman" w:cs="Times New Roman"/>
          <w:sz w:val="28"/>
          <w:szCs w:val="28"/>
        </w:rPr>
        <w:t xml:space="preserve"> на 65,3 % (-1 744,3 млн.руб.), из них по РП «Региональная и местная дорожная сеть» – на 69,9 % (-1 625,6 млн.руб.), из них в 2023 году осуществлялось финансирование объекта «Реконструкция моста через Никольское устье Северной Двины в г. Северодвинске» в сумме 1 306,6 млн.руб. и проектирование, капитальный ремонт и ремонт искусственных сооружений на автомобильных дорогах общего пользования местного значения – 324,9 млн.руб., которы</w:t>
      </w:r>
      <w:r w:rsidR="00B21DE8" w:rsidRPr="00FD7B0B">
        <w:rPr>
          <w:rFonts w:ascii="Times New Roman" w:eastAsia="Calibri" w:hAnsi="Times New Roman" w:cs="Times New Roman"/>
          <w:sz w:val="28"/>
          <w:szCs w:val="28"/>
        </w:rPr>
        <w:t>е</w:t>
      </w:r>
      <w:r w:rsidRPr="00FD7B0B">
        <w:rPr>
          <w:rFonts w:ascii="Times New Roman" w:eastAsia="Calibri" w:hAnsi="Times New Roman" w:cs="Times New Roman"/>
          <w:sz w:val="28"/>
          <w:szCs w:val="28"/>
        </w:rPr>
        <w:t xml:space="preserve"> в отчетном периоде </w:t>
      </w:r>
      <w:r w:rsidR="00B21DE8" w:rsidRPr="00FD7B0B">
        <w:rPr>
          <w:rFonts w:ascii="Times New Roman" w:eastAsia="Calibri" w:hAnsi="Times New Roman" w:cs="Times New Roman"/>
          <w:sz w:val="28"/>
          <w:szCs w:val="28"/>
        </w:rPr>
        <w:t>отсутствуют</w:t>
      </w:r>
      <w:r w:rsidRPr="00FD7B0B">
        <w:rPr>
          <w:rFonts w:ascii="Times New Roman" w:eastAsia="Calibri" w:hAnsi="Times New Roman" w:cs="Times New Roman"/>
          <w:sz w:val="28"/>
          <w:szCs w:val="28"/>
        </w:rPr>
        <w:t>;</w:t>
      </w:r>
    </w:p>
    <w:p w14:paraId="7318696A" w14:textId="4B5DD4B0" w:rsidR="00D97B4C" w:rsidRPr="00FD7B0B" w:rsidRDefault="00D97B4C" w:rsidP="00B21DE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субвенции местным бюджетам снизились на 76,7 % (-506,7 млн.руб.) и составили 154,2 млн.руб. (2023 год – 660,9 млн.руб.), в т.ч. в указанной сумме </w:t>
      </w:r>
      <w:r w:rsidR="000A72FD" w:rsidRPr="00FD7B0B">
        <w:rPr>
          <w:rFonts w:ascii="Times New Roman" w:eastAsia="Calibri" w:hAnsi="Times New Roman" w:cs="Times New Roman"/>
          <w:sz w:val="28"/>
          <w:szCs w:val="28"/>
        </w:rPr>
        <w:t>на</w:t>
      </w:r>
      <w:r w:rsidRPr="00FD7B0B">
        <w:rPr>
          <w:rFonts w:ascii="Times New Roman" w:eastAsia="Calibri" w:hAnsi="Times New Roman" w:cs="Times New Roman"/>
          <w:sz w:val="28"/>
          <w:szCs w:val="28"/>
        </w:rPr>
        <w:t xml:space="preserve"> реализаци</w:t>
      </w:r>
      <w:r w:rsidR="000A72FD" w:rsidRPr="00FD7B0B">
        <w:rPr>
          <w:rFonts w:ascii="Times New Roman" w:eastAsia="Calibri" w:hAnsi="Times New Roman" w:cs="Times New Roman"/>
          <w:sz w:val="28"/>
          <w:szCs w:val="28"/>
        </w:rPr>
        <w:t>ю</w:t>
      </w:r>
      <w:r w:rsidRPr="00FD7B0B">
        <w:rPr>
          <w:rFonts w:ascii="Times New Roman" w:eastAsia="Calibri" w:hAnsi="Times New Roman" w:cs="Times New Roman"/>
          <w:sz w:val="28"/>
          <w:szCs w:val="28"/>
        </w:rPr>
        <w:t xml:space="preserve"> РП «Обеспечение устойчивого сокращения непригодного для проживания жилищного фонда», из них за счет средств ППК «Фонд развития территорий» – на 76,7 % (-496,6 млн.руб.), которые составили 151,1 млн.руб. (2023 год – 647,7 млн.руб.).</w:t>
      </w:r>
    </w:p>
    <w:p w14:paraId="0A90FA4D" w14:textId="3738A1B0" w:rsidR="00D97B4C" w:rsidRPr="00FD7B0B" w:rsidRDefault="00D97B4C" w:rsidP="000A72FD">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Прочие бюджетные ассигнования (виды расходов 800 и 452) за 2024 год увеличились на 69,7 % (+679,8 млн.руб.), из них субсидии (гранты в форме субсидий) на финансовое обеспечение затрат в связи с производством (реализацией товаров), выполнением работ, оказанием услуг (элементы видов расходов 812, 813) – в 2,0 раза (+813,3 млн.руб.), где расходы за 2024 год в рамках концессионных соглашений – в 2,5 раза (+961,6 млн.руб.), который за отчетный период составили 1 588,7 млн.руб. и их расходы приведены в таблице </w:t>
      </w:r>
      <w:r w:rsidR="00B21118" w:rsidRPr="00FD7B0B">
        <w:rPr>
          <w:rFonts w:ascii="Times New Roman" w:eastAsia="Calibri" w:hAnsi="Times New Roman" w:cs="Times New Roman"/>
          <w:sz w:val="28"/>
          <w:szCs w:val="28"/>
        </w:rPr>
        <w:t>258</w:t>
      </w:r>
      <w:r w:rsidRPr="00FD7B0B">
        <w:rPr>
          <w:rFonts w:ascii="Times New Roman" w:eastAsia="Calibri" w:hAnsi="Times New Roman" w:cs="Times New Roman"/>
          <w:sz w:val="28"/>
          <w:szCs w:val="28"/>
        </w:rPr>
        <w:t>.</w:t>
      </w:r>
    </w:p>
    <w:p w14:paraId="76DF19EF" w14:textId="77777777" w:rsidR="00D97B4C" w:rsidRPr="00FD7B0B" w:rsidRDefault="00D97B4C" w:rsidP="000A72FD">
      <w:pPr>
        <w:spacing w:after="0" w:line="240" w:lineRule="auto"/>
        <w:rPr>
          <w:rFonts w:ascii="Times New Roman" w:eastAsia="Calibri" w:hAnsi="Times New Roman" w:cs="Times New Roman"/>
          <w:bCs/>
          <w:sz w:val="24"/>
          <w:szCs w:val="24"/>
        </w:rPr>
      </w:pPr>
    </w:p>
    <w:p w14:paraId="67F2EE57" w14:textId="77777777" w:rsidR="00D97B4C" w:rsidRPr="00FD7B0B" w:rsidRDefault="00D97B4C" w:rsidP="000A72FD">
      <w:pPr>
        <w:spacing w:after="0" w:line="240" w:lineRule="auto"/>
        <w:rPr>
          <w:rFonts w:ascii="Times New Roman" w:eastAsia="Calibri" w:hAnsi="Times New Roman" w:cs="Times New Roman"/>
          <w:bCs/>
          <w:sz w:val="24"/>
          <w:szCs w:val="24"/>
        </w:rPr>
      </w:pPr>
      <w:r w:rsidRPr="00FD7B0B">
        <w:rPr>
          <w:rFonts w:ascii="Times New Roman" w:eastAsia="Calibri" w:hAnsi="Times New Roman" w:cs="Times New Roman"/>
          <w:bCs/>
          <w:sz w:val="24"/>
          <w:szCs w:val="24"/>
        </w:rPr>
        <w:t xml:space="preserve">Таблица </w:t>
      </w:r>
      <w:r w:rsidRPr="00FD7B0B">
        <w:rPr>
          <w:rFonts w:ascii="Times New Roman" w:eastAsia="Calibri" w:hAnsi="Times New Roman" w:cs="Times New Roman"/>
          <w:bCs/>
          <w:sz w:val="24"/>
          <w:szCs w:val="24"/>
        </w:rPr>
        <w:fldChar w:fldCharType="begin"/>
      </w:r>
      <w:r w:rsidRPr="00FD7B0B">
        <w:rPr>
          <w:rFonts w:ascii="Times New Roman" w:eastAsia="Calibri" w:hAnsi="Times New Roman" w:cs="Times New Roman"/>
          <w:bCs/>
          <w:sz w:val="24"/>
          <w:szCs w:val="24"/>
        </w:rPr>
        <w:instrText xml:space="preserve"> SEQ Таблица \* ARABIC </w:instrText>
      </w:r>
      <w:r w:rsidRPr="00FD7B0B">
        <w:rPr>
          <w:rFonts w:ascii="Times New Roman" w:eastAsia="Calibri" w:hAnsi="Times New Roman" w:cs="Times New Roman"/>
          <w:bCs/>
          <w:sz w:val="24"/>
          <w:szCs w:val="24"/>
        </w:rPr>
        <w:fldChar w:fldCharType="separate"/>
      </w:r>
      <w:r w:rsidR="002959CD" w:rsidRPr="00FD7B0B">
        <w:rPr>
          <w:rFonts w:ascii="Times New Roman" w:eastAsia="Calibri" w:hAnsi="Times New Roman" w:cs="Times New Roman"/>
          <w:bCs/>
          <w:noProof/>
          <w:sz w:val="24"/>
          <w:szCs w:val="24"/>
        </w:rPr>
        <w:t>258</w:t>
      </w:r>
      <w:r w:rsidRPr="00FD7B0B">
        <w:rPr>
          <w:rFonts w:ascii="Times New Roman" w:eastAsia="Calibri" w:hAnsi="Times New Roman" w:cs="Times New Roman"/>
          <w:bCs/>
          <w:sz w:val="24"/>
          <w:szCs w:val="24"/>
        </w:rPr>
        <w:fldChar w:fldCharType="end"/>
      </w:r>
      <w:r w:rsidRPr="00FD7B0B">
        <w:rPr>
          <w:rFonts w:ascii="Times New Roman" w:eastAsia="Calibri" w:hAnsi="Times New Roman" w:cs="Times New Roman"/>
          <w:bCs/>
          <w:sz w:val="24"/>
          <w:szCs w:val="24"/>
        </w:rPr>
        <w:t>. Расходы из областного бюджета, направленные на реализацию национальных проектов в рамках заключенных концессионных соглашений за 2023 – 2024 годы по элементу вида расходов 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млн.руб.</w:t>
      </w:r>
    </w:p>
    <w:tbl>
      <w:tblPr>
        <w:tblW w:w="9624" w:type="dxa"/>
        <w:tblLayout w:type="fixed"/>
        <w:tblLook w:val="04A0" w:firstRow="1" w:lastRow="0" w:firstColumn="1" w:lastColumn="0" w:noHBand="0" w:noVBand="1"/>
      </w:tblPr>
      <w:tblGrid>
        <w:gridCol w:w="6147"/>
        <w:gridCol w:w="851"/>
        <w:gridCol w:w="850"/>
        <w:gridCol w:w="1030"/>
        <w:gridCol w:w="746"/>
      </w:tblGrid>
      <w:tr w:rsidR="00FD7B0B" w:rsidRPr="00FD7B0B" w14:paraId="680F929E" w14:textId="77777777" w:rsidTr="000A72FD">
        <w:trPr>
          <w:trHeight w:val="285"/>
          <w:tblHeader/>
        </w:trPr>
        <w:tc>
          <w:tcPr>
            <w:tcW w:w="6147"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DAE7E02" w14:textId="77777777" w:rsidR="00D97B4C" w:rsidRPr="00FD7B0B" w:rsidRDefault="00D97B4C" w:rsidP="000A72FD">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Наименование</w:t>
            </w:r>
          </w:p>
        </w:tc>
        <w:tc>
          <w:tcPr>
            <w:tcW w:w="851"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A24FCF9" w14:textId="77777777" w:rsidR="00D97B4C" w:rsidRPr="00FD7B0B" w:rsidRDefault="00D97B4C" w:rsidP="000A72FD">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2023 год</w:t>
            </w:r>
          </w:p>
        </w:tc>
        <w:tc>
          <w:tcPr>
            <w:tcW w:w="85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809CC2D" w14:textId="77777777" w:rsidR="00D97B4C" w:rsidRPr="00FD7B0B" w:rsidRDefault="00D97B4C" w:rsidP="000A72FD">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2024 год</w:t>
            </w:r>
          </w:p>
        </w:tc>
        <w:tc>
          <w:tcPr>
            <w:tcW w:w="1776" w:type="dxa"/>
            <w:gridSpan w:val="2"/>
            <w:tcBorders>
              <w:top w:val="double" w:sz="4" w:space="0" w:color="auto"/>
              <w:left w:val="nil"/>
              <w:bottom w:val="single" w:sz="4" w:space="0" w:color="auto"/>
              <w:right w:val="double" w:sz="4" w:space="0" w:color="auto"/>
            </w:tcBorders>
            <w:shd w:val="clear" w:color="auto" w:fill="auto"/>
            <w:vAlign w:val="center"/>
            <w:hideMark/>
          </w:tcPr>
          <w:p w14:paraId="0AEAAD86" w14:textId="77777777" w:rsidR="00D97B4C" w:rsidRPr="00FD7B0B" w:rsidRDefault="00D97B4C" w:rsidP="000A72FD">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Изменение (+/-)</w:t>
            </w:r>
          </w:p>
        </w:tc>
      </w:tr>
      <w:tr w:rsidR="00FD7B0B" w:rsidRPr="00FD7B0B" w14:paraId="5C58A730" w14:textId="77777777" w:rsidTr="000A72FD">
        <w:trPr>
          <w:trHeight w:val="117"/>
          <w:tblHeader/>
        </w:trPr>
        <w:tc>
          <w:tcPr>
            <w:tcW w:w="6147" w:type="dxa"/>
            <w:vMerge/>
            <w:tcBorders>
              <w:top w:val="double" w:sz="6" w:space="0" w:color="auto"/>
              <w:left w:val="double" w:sz="4" w:space="0" w:color="auto"/>
              <w:bottom w:val="single" w:sz="4" w:space="0" w:color="auto"/>
              <w:right w:val="single" w:sz="4" w:space="0" w:color="auto"/>
            </w:tcBorders>
            <w:vAlign w:val="center"/>
            <w:hideMark/>
          </w:tcPr>
          <w:p w14:paraId="3878A64B" w14:textId="77777777" w:rsidR="00D97B4C" w:rsidRPr="00FD7B0B" w:rsidRDefault="00D97B4C" w:rsidP="000A72FD">
            <w:pPr>
              <w:spacing w:after="0" w:line="240" w:lineRule="auto"/>
              <w:rPr>
                <w:rFonts w:ascii="Times New Roman" w:eastAsia="Times New Roman" w:hAnsi="Times New Roman" w:cs="Times New Roman"/>
                <w:b/>
                <w:bCs/>
                <w:sz w:val="21"/>
                <w:szCs w:val="21"/>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07905E7F" w14:textId="77777777" w:rsidR="00D97B4C" w:rsidRPr="00FD7B0B" w:rsidRDefault="00D97B4C" w:rsidP="000A72FD">
            <w:pPr>
              <w:spacing w:after="0" w:line="240" w:lineRule="auto"/>
              <w:rPr>
                <w:rFonts w:ascii="Times New Roman" w:eastAsia="Times New Roman" w:hAnsi="Times New Roman" w:cs="Times New Roman"/>
                <w:b/>
                <w:bCs/>
                <w:sz w:val="21"/>
                <w:szCs w:val="21"/>
                <w:lang w:eastAsia="ru-RU"/>
              </w:rPr>
            </w:pPr>
          </w:p>
        </w:tc>
        <w:tc>
          <w:tcPr>
            <w:tcW w:w="850" w:type="dxa"/>
            <w:vMerge/>
            <w:tcBorders>
              <w:top w:val="double" w:sz="6" w:space="0" w:color="auto"/>
              <w:left w:val="single" w:sz="4" w:space="0" w:color="auto"/>
              <w:bottom w:val="single" w:sz="4" w:space="0" w:color="auto"/>
              <w:right w:val="single" w:sz="4" w:space="0" w:color="auto"/>
            </w:tcBorders>
            <w:vAlign w:val="center"/>
            <w:hideMark/>
          </w:tcPr>
          <w:p w14:paraId="4885DA0B" w14:textId="77777777" w:rsidR="00D97B4C" w:rsidRPr="00FD7B0B" w:rsidRDefault="00D97B4C" w:rsidP="000A72FD">
            <w:pPr>
              <w:spacing w:after="0" w:line="240" w:lineRule="auto"/>
              <w:rPr>
                <w:rFonts w:ascii="Times New Roman" w:eastAsia="Times New Roman" w:hAnsi="Times New Roman" w:cs="Times New Roman"/>
                <w:b/>
                <w:bCs/>
                <w:sz w:val="21"/>
                <w:szCs w:val="21"/>
                <w:lang w:eastAsia="ru-RU"/>
              </w:rPr>
            </w:pPr>
          </w:p>
        </w:tc>
        <w:tc>
          <w:tcPr>
            <w:tcW w:w="1030" w:type="dxa"/>
            <w:tcBorders>
              <w:top w:val="nil"/>
              <w:left w:val="nil"/>
              <w:bottom w:val="single" w:sz="4" w:space="0" w:color="auto"/>
              <w:right w:val="single" w:sz="4" w:space="0" w:color="auto"/>
            </w:tcBorders>
            <w:shd w:val="clear" w:color="auto" w:fill="auto"/>
            <w:vAlign w:val="center"/>
            <w:hideMark/>
          </w:tcPr>
          <w:p w14:paraId="520AC2C5" w14:textId="77777777" w:rsidR="00D97B4C" w:rsidRPr="00FD7B0B" w:rsidRDefault="00D97B4C" w:rsidP="000A72FD">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млн.руб.</w:t>
            </w:r>
          </w:p>
        </w:tc>
        <w:tc>
          <w:tcPr>
            <w:tcW w:w="746" w:type="dxa"/>
            <w:tcBorders>
              <w:top w:val="nil"/>
              <w:left w:val="nil"/>
              <w:bottom w:val="single" w:sz="4" w:space="0" w:color="auto"/>
              <w:right w:val="double" w:sz="4" w:space="0" w:color="auto"/>
            </w:tcBorders>
            <w:shd w:val="clear" w:color="auto" w:fill="auto"/>
            <w:vAlign w:val="center"/>
            <w:hideMark/>
          </w:tcPr>
          <w:p w14:paraId="01DED331" w14:textId="77777777" w:rsidR="00D97B4C" w:rsidRPr="00FD7B0B" w:rsidRDefault="00D97B4C" w:rsidP="000A72FD">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w:t>
            </w:r>
          </w:p>
        </w:tc>
      </w:tr>
      <w:tr w:rsidR="00FD7B0B" w:rsidRPr="00FD7B0B" w14:paraId="2D62BA7E" w14:textId="77777777" w:rsidTr="000A72FD">
        <w:trPr>
          <w:trHeight w:val="70"/>
        </w:trPr>
        <w:tc>
          <w:tcPr>
            <w:tcW w:w="6147" w:type="dxa"/>
            <w:tcBorders>
              <w:top w:val="nil"/>
              <w:left w:val="double" w:sz="4" w:space="0" w:color="auto"/>
              <w:bottom w:val="single" w:sz="4" w:space="0" w:color="auto"/>
              <w:right w:val="single" w:sz="4" w:space="0" w:color="auto"/>
            </w:tcBorders>
            <w:shd w:val="clear" w:color="auto" w:fill="auto"/>
            <w:vAlign w:val="center"/>
            <w:hideMark/>
          </w:tcPr>
          <w:p w14:paraId="5012B29B" w14:textId="77777777" w:rsidR="00D97B4C" w:rsidRPr="00FD7B0B" w:rsidRDefault="00D97B4C" w:rsidP="000A72FD">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Обеспечение сокращения количества твердых коммунальных отходов, направленных на захоронение в субъектах РФ (субсидия юридическому лицу в соответствии с концессионным соглашением на создание объекта "Комплекс обработки и утилизации твердых коммунальных отходов мощностью 70 000 тонн в год, расположенный по адресу: Котласский район, МО "Черемушское")</w:t>
            </w:r>
          </w:p>
        </w:tc>
        <w:tc>
          <w:tcPr>
            <w:tcW w:w="851" w:type="dxa"/>
            <w:tcBorders>
              <w:top w:val="nil"/>
              <w:left w:val="nil"/>
              <w:bottom w:val="single" w:sz="4" w:space="0" w:color="auto"/>
              <w:right w:val="single" w:sz="4" w:space="0" w:color="auto"/>
            </w:tcBorders>
            <w:shd w:val="clear" w:color="auto" w:fill="auto"/>
            <w:vAlign w:val="center"/>
            <w:hideMark/>
          </w:tcPr>
          <w:p w14:paraId="785AD0CD"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530,7 </w:t>
            </w:r>
          </w:p>
        </w:tc>
        <w:tc>
          <w:tcPr>
            <w:tcW w:w="850" w:type="dxa"/>
            <w:tcBorders>
              <w:top w:val="nil"/>
              <w:left w:val="nil"/>
              <w:bottom w:val="single" w:sz="4" w:space="0" w:color="auto"/>
              <w:right w:val="single" w:sz="4" w:space="0" w:color="auto"/>
            </w:tcBorders>
            <w:shd w:val="clear" w:color="auto" w:fill="auto"/>
            <w:vAlign w:val="center"/>
            <w:hideMark/>
          </w:tcPr>
          <w:p w14:paraId="4F094946"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277,8 </w:t>
            </w:r>
          </w:p>
        </w:tc>
        <w:tc>
          <w:tcPr>
            <w:tcW w:w="1030" w:type="dxa"/>
            <w:tcBorders>
              <w:top w:val="nil"/>
              <w:left w:val="nil"/>
              <w:bottom w:val="single" w:sz="4" w:space="0" w:color="auto"/>
              <w:right w:val="single" w:sz="4" w:space="0" w:color="auto"/>
            </w:tcBorders>
            <w:shd w:val="clear" w:color="auto" w:fill="auto"/>
            <w:vAlign w:val="center"/>
            <w:hideMark/>
          </w:tcPr>
          <w:p w14:paraId="324CE590"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-252,9 </w:t>
            </w:r>
          </w:p>
        </w:tc>
        <w:tc>
          <w:tcPr>
            <w:tcW w:w="746" w:type="dxa"/>
            <w:tcBorders>
              <w:top w:val="nil"/>
              <w:left w:val="nil"/>
              <w:bottom w:val="single" w:sz="4" w:space="0" w:color="auto"/>
              <w:right w:val="double" w:sz="4" w:space="0" w:color="auto"/>
            </w:tcBorders>
            <w:shd w:val="clear" w:color="auto" w:fill="auto"/>
            <w:vAlign w:val="center"/>
            <w:hideMark/>
          </w:tcPr>
          <w:p w14:paraId="4B0F84B4"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-47,7 </w:t>
            </w:r>
          </w:p>
        </w:tc>
      </w:tr>
      <w:tr w:rsidR="00FD7B0B" w:rsidRPr="00FD7B0B" w14:paraId="02C4A689" w14:textId="77777777" w:rsidTr="000A72FD">
        <w:trPr>
          <w:trHeight w:val="70"/>
        </w:trPr>
        <w:tc>
          <w:tcPr>
            <w:tcW w:w="6147" w:type="dxa"/>
            <w:tcBorders>
              <w:top w:val="nil"/>
              <w:left w:val="double" w:sz="4" w:space="0" w:color="auto"/>
              <w:bottom w:val="single" w:sz="4" w:space="0" w:color="auto"/>
              <w:right w:val="single" w:sz="4" w:space="0" w:color="auto"/>
            </w:tcBorders>
            <w:shd w:val="clear" w:color="auto" w:fill="auto"/>
            <w:vAlign w:val="center"/>
            <w:hideMark/>
          </w:tcPr>
          <w:p w14:paraId="3F994A17" w14:textId="77777777" w:rsidR="00D97B4C" w:rsidRPr="00FD7B0B" w:rsidRDefault="00D97B4C" w:rsidP="000A72FD">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Создание новых мест в общеобразовательных организациях в связи с ростом числа обучающихся, вызванным демографическим фактором (субсидия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p>
        </w:tc>
        <w:tc>
          <w:tcPr>
            <w:tcW w:w="851" w:type="dxa"/>
            <w:tcBorders>
              <w:top w:val="nil"/>
              <w:left w:val="nil"/>
              <w:bottom w:val="single" w:sz="4" w:space="0" w:color="auto"/>
              <w:right w:val="single" w:sz="4" w:space="0" w:color="auto"/>
            </w:tcBorders>
            <w:shd w:val="clear" w:color="auto" w:fill="auto"/>
            <w:vAlign w:val="center"/>
            <w:hideMark/>
          </w:tcPr>
          <w:p w14:paraId="76BC37C8"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96,5 </w:t>
            </w:r>
          </w:p>
        </w:tc>
        <w:tc>
          <w:tcPr>
            <w:tcW w:w="850" w:type="dxa"/>
            <w:tcBorders>
              <w:top w:val="nil"/>
              <w:left w:val="nil"/>
              <w:bottom w:val="single" w:sz="4" w:space="0" w:color="auto"/>
              <w:right w:val="single" w:sz="4" w:space="0" w:color="auto"/>
            </w:tcBorders>
            <w:shd w:val="clear" w:color="auto" w:fill="auto"/>
            <w:vAlign w:val="center"/>
            <w:hideMark/>
          </w:tcPr>
          <w:p w14:paraId="2DB4F549"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861,0 </w:t>
            </w:r>
          </w:p>
        </w:tc>
        <w:tc>
          <w:tcPr>
            <w:tcW w:w="1030" w:type="dxa"/>
            <w:tcBorders>
              <w:top w:val="nil"/>
              <w:left w:val="nil"/>
              <w:bottom w:val="single" w:sz="4" w:space="0" w:color="auto"/>
              <w:right w:val="single" w:sz="4" w:space="0" w:color="auto"/>
            </w:tcBorders>
            <w:shd w:val="clear" w:color="auto" w:fill="auto"/>
            <w:vAlign w:val="center"/>
            <w:hideMark/>
          </w:tcPr>
          <w:p w14:paraId="1232AE4A"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764,5 </w:t>
            </w:r>
          </w:p>
        </w:tc>
        <w:tc>
          <w:tcPr>
            <w:tcW w:w="746" w:type="dxa"/>
            <w:tcBorders>
              <w:top w:val="nil"/>
              <w:left w:val="nil"/>
              <w:bottom w:val="single" w:sz="4" w:space="0" w:color="auto"/>
              <w:right w:val="double" w:sz="4" w:space="0" w:color="auto"/>
            </w:tcBorders>
            <w:shd w:val="clear" w:color="auto" w:fill="auto"/>
            <w:vAlign w:val="center"/>
            <w:hideMark/>
          </w:tcPr>
          <w:p w14:paraId="3D550C46" w14:textId="77777777" w:rsidR="00D97B4C" w:rsidRPr="00FD7B0B" w:rsidRDefault="00D97B4C" w:rsidP="000A72FD">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в 8,9 раза</w:t>
            </w:r>
          </w:p>
        </w:tc>
      </w:tr>
      <w:tr w:rsidR="00FD7B0B" w:rsidRPr="00FD7B0B" w14:paraId="1A462DFA" w14:textId="77777777" w:rsidTr="000A72FD">
        <w:trPr>
          <w:trHeight w:val="70"/>
        </w:trPr>
        <w:tc>
          <w:tcPr>
            <w:tcW w:w="6147" w:type="dxa"/>
            <w:tcBorders>
              <w:top w:val="nil"/>
              <w:left w:val="double" w:sz="4" w:space="0" w:color="auto"/>
              <w:bottom w:val="single" w:sz="4" w:space="0" w:color="auto"/>
              <w:right w:val="single" w:sz="4" w:space="0" w:color="auto"/>
            </w:tcBorders>
            <w:shd w:val="clear" w:color="auto" w:fill="auto"/>
            <w:vAlign w:val="center"/>
            <w:hideMark/>
          </w:tcPr>
          <w:p w14:paraId="4D3585B9" w14:textId="77777777" w:rsidR="00D97B4C" w:rsidRPr="00FD7B0B" w:rsidRDefault="00D97B4C" w:rsidP="000A72FD">
            <w:pPr>
              <w:spacing w:after="0" w:line="240" w:lineRule="auto"/>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Субсидия юридическому лицу, заключившему концессионное соглашение в отношении финансирования, создания и </w:t>
            </w:r>
            <w:r w:rsidRPr="00FD7B0B">
              <w:rPr>
                <w:rFonts w:ascii="Times New Roman" w:eastAsia="Times New Roman" w:hAnsi="Times New Roman" w:cs="Times New Roman"/>
                <w:sz w:val="21"/>
                <w:szCs w:val="21"/>
                <w:lang w:eastAsia="ru-RU"/>
              </w:rPr>
              <w:lastRenderedPageBreak/>
              <w:t>эксплуатации студенческого кампуса мирового уровня "Арктическая звезда"</w:t>
            </w:r>
          </w:p>
        </w:tc>
        <w:tc>
          <w:tcPr>
            <w:tcW w:w="851" w:type="dxa"/>
            <w:tcBorders>
              <w:top w:val="nil"/>
              <w:left w:val="nil"/>
              <w:bottom w:val="single" w:sz="4" w:space="0" w:color="auto"/>
              <w:right w:val="single" w:sz="4" w:space="0" w:color="auto"/>
            </w:tcBorders>
            <w:shd w:val="clear" w:color="auto" w:fill="auto"/>
            <w:vAlign w:val="center"/>
            <w:hideMark/>
          </w:tcPr>
          <w:p w14:paraId="1957EDA4"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lastRenderedPageBreak/>
              <w:t xml:space="preserve">0,0 </w:t>
            </w:r>
          </w:p>
        </w:tc>
        <w:tc>
          <w:tcPr>
            <w:tcW w:w="850" w:type="dxa"/>
            <w:tcBorders>
              <w:top w:val="nil"/>
              <w:left w:val="nil"/>
              <w:bottom w:val="single" w:sz="4" w:space="0" w:color="auto"/>
              <w:right w:val="single" w:sz="4" w:space="0" w:color="auto"/>
            </w:tcBorders>
            <w:shd w:val="clear" w:color="auto" w:fill="auto"/>
            <w:vAlign w:val="center"/>
            <w:hideMark/>
          </w:tcPr>
          <w:p w14:paraId="5D44787B"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450,0 </w:t>
            </w:r>
          </w:p>
        </w:tc>
        <w:tc>
          <w:tcPr>
            <w:tcW w:w="1030" w:type="dxa"/>
            <w:tcBorders>
              <w:top w:val="nil"/>
              <w:left w:val="nil"/>
              <w:bottom w:val="single" w:sz="4" w:space="0" w:color="auto"/>
              <w:right w:val="single" w:sz="4" w:space="0" w:color="auto"/>
            </w:tcBorders>
            <w:shd w:val="clear" w:color="auto" w:fill="auto"/>
            <w:vAlign w:val="center"/>
            <w:hideMark/>
          </w:tcPr>
          <w:p w14:paraId="26CEE099" w14:textId="77777777" w:rsidR="00D97B4C" w:rsidRPr="00FD7B0B" w:rsidRDefault="00D97B4C" w:rsidP="000A72FD">
            <w:pPr>
              <w:spacing w:after="0" w:line="240" w:lineRule="auto"/>
              <w:jc w:val="right"/>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 xml:space="preserve">450,0 </w:t>
            </w:r>
          </w:p>
        </w:tc>
        <w:tc>
          <w:tcPr>
            <w:tcW w:w="746" w:type="dxa"/>
            <w:tcBorders>
              <w:top w:val="nil"/>
              <w:left w:val="nil"/>
              <w:bottom w:val="single" w:sz="4" w:space="0" w:color="auto"/>
              <w:right w:val="double" w:sz="4" w:space="0" w:color="auto"/>
            </w:tcBorders>
            <w:shd w:val="clear" w:color="auto" w:fill="auto"/>
            <w:vAlign w:val="center"/>
            <w:hideMark/>
          </w:tcPr>
          <w:p w14:paraId="698B2638" w14:textId="77777777" w:rsidR="00D97B4C" w:rsidRPr="00FD7B0B" w:rsidRDefault="00D97B4C" w:rsidP="000A72FD">
            <w:pPr>
              <w:spacing w:after="0" w:line="240" w:lineRule="auto"/>
              <w:jc w:val="center"/>
              <w:rPr>
                <w:rFonts w:ascii="Times New Roman" w:eastAsia="Times New Roman" w:hAnsi="Times New Roman" w:cs="Times New Roman"/>
                <w:sz w:val="21"/>
                <w:szCs w:val="21"/>
                <w:lang w:eastAsia="ru-RU"/>
              </w:rPr>
            </w:pPr>
            <w:r w:rsidRPr="00FD7B0B">
              <w:rPr>
                <w:rFonts w:ascii="Times New Roman" w:eastAsia="Times New Roman" w:hAnsi="Times New Roman" w:cs="Times New Roman"/>
                <w:sz w:val="21"/>
                <w:szCs w:val="21"/>
                <w:lang w:eastAsia="ru-RU"/>
              </w:rPr>
              <w:t>–</w:t>
            </w:r>
          </w:p>
        </w:tc>
      </w:tr>
      <w:tr w:rsidR="00D97B4C" w:rsidRPr="00FD7B0B" w14:paraId="32D0588A" w14:textId="77777777" w:rsidTr="000A72FD">
        <w:trPr>
          <w:trHeight w:val="70"/>
        </w:trPr>
        <w:tc>
          <w:tcPr>
            <w:tcW w:w="6147" w:type="dxa"/>
            <w:tcBorders>
              <w:top w:val="nil"/>
              <w:left w:val="double" w:sz="4" w:space="0" w:color="auto"/>
              <w:bottom w:val="double" w:sz="4" w:space="0" w:color="auto"/>
              <w:right w:val="single" w:sz="4" w:space="0" w:color="auto"/>
            </w:tcBorders>
            <w:shd w:val="clear" w:color="auto" w:fill="auto"/>
            <w:vAlign w:val="center"/>
            <w:hideMark/>
          </w:tcPr>
          <w:p w14:paraId="115E9E6C" w14:textId="77777777" w:rsidR="00D97B4C" w:rsidRPr="00FD7B0B" w:rsidRDefault="00D97B4C" w:rsidP="000A72FD">
            <w:pPr>
              <w:spacing w:after="0" w:line="240" w:lineRule="auto"/>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Итого</w:t>
            </w:r>
          </w:p>
        </w:tc>
        <w:tc>
          <w:tcPr>
            <w:tcW w:w="851" w:type="dxa"/>
            <w:tcBorders>
              <w:top w:val="nil"/>
              <w:left w:val="nil"/>
              <w:bottom w:val="double" w:sz="4" w:space="0" w:color="auto"/>
              <w:right w:val="single" w:sz="4" w:space="0" w:color="auto"/>
            </w:tcBorders>
            <w:shd w:val="clear" w:color="auto" w:fill="auto"/>
            <w:vAlign w:val="center"/>
            <w:hideMark/>
          </w:tcPr>
          <w:p w14:paraId="75F05D76" w14:textId="77777777" w:rsidR="00D97B4C" w:rsidRPr="00FD7B0B" w:rsidRDefault="00D97B4C" w:rsidP="000A72FD">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627,2 </w:t>
            </w:r>
          </w:p>
        </w:tc>
        <w:tc>
          <w:tcPr>
            <w:tcW w:w="850" w:type="dxa"/>
            <w:tcBorders>
              <w:top w:val="nil"/>
              <w:left w:val="nil"/>
              <w:bottom w:val="double" w:sz="4" w:space="0" w:color="auto"/>
              <w:right w:val="single" w:sz="4" w:space="0" w:color="auto"/>
            </w:tcBorders>
            <w:shd w:val="clear" w:color="auto" w:fill="auto"/>
            <w:vAlign w:val="center"/>
            <w:hideMark/>
          </w:tcPr>
          <w:p w14:paraId="213E7BF8" w14:textId="77777777" w:rsidR="00D97B4C" w:rsidRPr="00FD7B0B" w:rsidRDefault="00D97B4C" w:rsidP="000A72FD">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1 588,7 </w:t>
            </w:r>
          </w:p>
        </w:tc>
        <w:tc>
          <w:tcPr>
            <w:tcW w:w="1030" w:type="dxa"/>
            <w:tcBorders>
              <w:top w:val="nil"/>
              <w:left w:val="nil"/>
              <w:bottom w:val="double" w:sz="4" w:space="0" w:color="auto"/>
              <w:right w:val="single" w:sz="4" w:space="0" w:color="auto"/>
            </w:tcBorders>
            <w:shd w:val="clear" w:color="auto" w:fill="auto"/>
            <w:vAlign w:val="center"/>
            <w:hideMark/>
          </w:tcPr>
          <w:p w14:paraId="7526958F" w14:textId="77777777" w:rsidR="00D97B4C" w:rsidRPr="00FD7B0B" w:rsidRDefault="00D97B4C" w:rsidP="000A72FD">
            <w:pPr>
              <w:spacing w:after="0" w:line="240" w:lineRule="auto"/>
              <w:jc w:val="right"/>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 xml:space="preserve">961,6 </w:t>
            </w:r>
          </w:p>
        </w:tc>
        <w:tc>
          <w:tcPr>
            <w:tcW w:w="746" w:type="dxa"/>
            <w:tcBorders>
              <w:top w:val="nil"/>
              <w:left w:val="nil"/>
              <w:bottom w:val="double" w:sz="4" w:space="0" w:color="auto"/>
              <w:right w:val="double" w:sz="4" w:space="0" w:color="auto"/>
            </w:tcBorders>
            <w:shd w:val="clear" w:color="auto" w:fill="auto"/>
            <w:vAlign w:val="center"/>
            <w:hideMark/>
          </w:tcPr>
          <w:p w14:paraId="64447F31" w14:textId="77777777" w:rsidR="00D97B4C" w:rsidRPr="00FD7B0B" w:rsidRDefault="00D97B4C" w:rsidP="000A72FD">
            <w:pPr>
              <w:spacing w:after="0" w:line="240" w:lineRule="auto"/>
              <w:jc w:val="center"/>
              <w:rPr>
                <w:rFonts w:ascii="Times New Roman" w:eastAsia="Times New Roman" w:hAnsi="Times New Roman" w:cs="Times New Roman"/>
                <w:b/>
                <w:bCs/>
                <w:sz w:val="21"/>
                <w:szCs w:val="21"/>
                <w:lang w:eastAsia="ru-RU"/>
              </w:rPr>
            </w:pPr>
            <w:r w:rsidRPr="00FD7B0B">
              <w:rPr>
                <w:rFonts w:ascii="Times New Roman" w:eastAsia="Times New Roman" w:hAnsi="Times New Roman" w:cs="Times New Roman"/>
                <w:b/>
                <w:bCs/>
                <w:sz w:val="21"/>
                <w:szCs w:val="21"/>
                <w:lang w:eastAsia="ru-RU"/>
              </w:rPr>
              <w:t>в 2,5 раза</w:t>
            </w:r>
          </w:p>
        </w:tc>
      </w:tr>
    </w:tbl>
    <w:p w14:paraId="7DE16286" w14:textId="77777777" w:rsidR="00D97B4C" w:rsidRPr="00FD7B0B" w:rsidRDefault="00D97B4C" w:rsidP="000A72FD">
      <w:pPr>
        <w:spacing w:after="0" w:line="240" w:lineRule="auto"/>
        <w:ind w:firstLine="709"/>
        <w:jc w:val="both"/>
        <w:rPr>
          <w:rFonts w:ascii="Times New Roman" w:eastAsia="Calibri" w:hAnsi="Times New Roman" w:cs="Times New Roman"/>
          <w:sz w:val="28"/>
          <w:szCs w:val="28"/>
        </w:rPr>
      </w:pPr>
    </w:p>
    <w:p w14:paraId="4A8D97F4" w14:textId="5593BE14" w:rsidR="00D97B4C" w:rsidRPr="00FD7B0B" w:rsidRDefault="00D97B4C" w:rsidP="000A72FD">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итогам реализации ряда региональных проектов за отчетный период ответственными исполнителями имеются риски недостижения показателей или результатов реализации региональных проектов. Более подробная информация представлена в приложении № </w:t>
      </w:r>
      <w:r w:rsidR="00BA7410" w:rsidRPr="00FD7B0B">
        <w:rPr>
          <w:rFonts w:ascii="Times New Roman" w:eastAsia="Calibri" w:hAnsi="Times New Roman" w:cs="Times New Roman"/>
          <w:sz w:val="28"/>
          <w:szCs w:val="28"/>
        </w:rPr>
        <w:t>6</w:t>
      </w:r>
      <w:r w:rsidRPr="00FD7B0B">
        <w:rPr>
          <w:rFonts w:ascii="Times New Roman" w:eastAsia="Calibri" w:hAnsi="Times New Roman" w:cs="Times New Roman"/>
          <w:sz w:val="28"/>
          <w:szCs w:val="28"/>
        </w:rPr>
        <w:t xml:space="preserve"> к настоящему заключению.</w:t>
      </w:r>
    </w:p>
    <w:p w14:paraId="350B4D6C" w14:textId="08A2A453" w:rsidR="00D97B4C" w:rsidRPr="00FD7B0B" w:rsidRDefault="00D97B4C" w:rsidP="00FB43AD">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части мер, принимаемых исполнительными органами государственной власти по минимизации и исключению рисков в том числе по региональному проекту «Экспорт продукции АПК»: принятые меры в виде корректировки показателя проекта, сроком исполнения 27.12.2024, который так и не был изменен. При этом причиной риска </w:t>
      </w:r>
      <w:r w:rsidR="001C5EBD" w:rsidRPr="00FD7B0B">
        <w:rPr>
          <w:rFonts w:ascii="Times New Roman" w:eastAsia="Calibri" w:hAnsi="Times New Roman" w:cs="Times New Roman"/>
          <w:sz w:val="28"/>
          <w:szCs w:val="28"/>
        </w:rPr>
        <w:t xml:space="preserve">обозначено </w:t>
      </w:r>
      <w:r w:rsidRPr="00FD7B0B">
        <w:rPr>
          <w:rFonts w:ascii="Times New Roman" w:eastAsia="Calibri" w:hAnsi="Times New Roman" w:cs="Times New Roman"/>
          <w:sz w:val="28"/>
          <w:szCs w:val="28"/>
        </w:rPr>
        <w:t xml:space="preserve">геополитическое и санкционное давление на развитие </w:t>
      </w:r>
      <w:r w:rsidR="001C5EBD" w:rsidRPr="00FD7B0B">
        <w:rPr>
          <w:rFonts w:ascii="Times New Roman" w:eastAsia="Calibri" w:hAnsi="Times New Roman" w:cs="Times New Roman"/>
          <w:sz w:val="28"/>
          <w:szCs w:val="28"/>
        </w:rPr>
        <w:t>р</w:t>
      </w:r>
      <w:r w:rsidRPr="00FD7B0B">
        <w:rPr>
          <w:rFonts w:ascii="Times New Roman" w:eastAsia="Calibri" w:hAnsi="Times New Roman" w:cs="Times New Roman"/>
          <w:sz w:val="28"/>
          <w:szCs w:val="28"/>
        </w:rPr>
        <w:t>оссийской экономики.</w:t>
      </w:r>
    </w:p>
    <w:p w14:paraId="2330DFA9" w14:textId="3A23A7BC" w:rsidR="00971EC6" w:rsidRPr="00FD7B0B" w:rsidRDefault="001A0F3A" w:rsidP="00971EC6">
      <w:pPr>
        <w:pStyle w:val="10"/>
        <w:keepNext/>
        <w:keepLines/>
        <w:autoSpaceDE/>
        <w:autoSpaceDN/>
        <w:adjustRightInd/>
        <w:spacing w:before="240" w:after="120"/>
        <w:rPr>
          <w:rFonts w:ascii="Times New Roman" w:hAnsi="Times New Roman"/>
          <w:color w:val="auto"/>
          <w:sz w:val="28"/>
          <w:szCs w:val="28"/>
          <w:lang w:val="ru-RU" w:eastAsia="en-US"/>
        </w:rPr>
      </w:pPr>
      <w:bookmarkStart w:id="154" w:name="_5._Состояние_государственного_1"/>
      <w:bookmarkStart w:id="155" w:name="_Toc198819155"/>
      <w:bookmarkEnd w:id="154"/>
      <w:r w:rsidRPr="00FD7B0B">
        <w:rPr>
          <w:rFonts w:ascii="Times New Roman" w:hAnsi="Times New Roman"/>
          <w:color w:val="auto"/>
          <w:sz w:val="28"/>
          <w:szCs w:val="28"/>
          <w:lang w:val="ru-RU" w:eastAsia="en-US"/>
        </w:rPr>
        <w:t>5</w:t>
      </w:r>
      <w:r w:rsidR="00971EC6" w:rsidRPr="00FD7B0B">
        <w:rPr>
          <w:rFonts w:ascii="Times New Roman" w:hAnsi="Times New Roman"/>
          <w:color w:val="auto"/>
          <w:sz w:val="28"/>
          <w:szCs w:val="28"/>
          <w:lang w:val="ru-RU" w:eastAsia="en-US"/>
        </w:rPr>
        <w:t>. Состояние государственного внутреннего долга Архангельской области</w:t>
      </w:r>
      <w:bookmarkEnd w:id="155"/>
    </w:p>
    <w:p w14:paraId="6F72404D" w14:textId="77777777" w:rsidR="003F7B31" w:rsidRPr="00FD7B0B" w:rsidRDefault="003F7B31" w:rsidP="003F7B31">
      <w:pPr>
        <w:spacing w:after="0" w:line="240" w:lineRule="auto"/>
        <w:ind w:firstLine="709"/>
        <w:jc w:val="both"/>
        <w:rPr>
          <w:rFonts w:ascii="Times New Roman" w:eastAsia="Calibri" w:hAnsi="Times New Roman" w:cs="Times New Roman"/>
          <w:sz w:val="28"/>
          <w:szCs w:val="28"/>
        </w:rPr>
      </w:pPr>
      <w:bookmarkStart w:id="156" w:name="_Toc9262599"/>
      <w:r w:rsidRPr="00FD7B0B">
        <w:rPr>
          <w:rFonts w:ascii="Times New Roman" w:eastAsia="Calibri" w:hAnsi="Times New Roman" w:cs="Times New Roman"/>
          <w:sz w:val="28"/>
          <w:szCs w:val="28"/>
        </w:rPr>
        <w:t>Согласно представленному отчету и показателям государственной долговой книги, внутренние долговые обязательства Архангельской области по состоянию на 01.01.2025 сложились в сумме 86 826,9 млн.руб., которые за отчетный период увеличились на 19 178,9 млн.руб. или на 28,4 %, в т.ч.:</w:t>
      </w:r>
    </w:p>
    <w:p w14:paraId="211D8E3C" w14:textId="1BB98ADA" w:rsidR="002F7314" w:rsidRPr="00FD7B0B" w:rsidRDefault="007366FD" w:rsidP="002F7314">
      <w:pPr>
        <w:pStyle w:val="1"/>
        <w:ind w:left="0" w:firstLine="709"/>
      </w:pPr>
      <w:r w:rsidRPr="00FD7B0B">
        <w:t xml:space="preserve">обязательства по </w:t>
      </w:r>
      <w:r w:rsidR="002F7314" w:rsidRPr="00FD7B0B">
        <w:t>бюджетны</w:t>
      </w:r>
      <w:r w:rsidRPr="00FD7B0B">
        <w:t>м</w:t>
      </w:r>
      <w:r w:rsidR="002F7314" w:rsidRPr="00FD7B0B">
        <w:t xml:space="preserve"> кредит</w:t>
      </w:r>
      <w:r w:rsidRPr="00FD7B0B">
        <w:t>ам</w:t>
      </w:r>
      <w:r w:rsidR="002F7314" w:rsidRPr="00FD7B0B">
        <w:t xml:space="preserve"> сократились на 2 563,0 млн.руб. (-5,7 %);</w:t>
      </w:r>
    </w:p>
    <w:p w14:paraId="05E64C72" w14:textId="781421FE" w:rsidR="002F7314" w:rsidRPr="00FD7B0B" w:rsidRDefault="00106BA8" w:rsidP="002F7314">
      <w:pPr>
        <w:pStyle w:val="1"/>
        <w:ind w:left="0" w:firstLine="709"/>
      </w:pPr>
      <w:r w:rsidRPr="00FD7B0B">
        <w:t xml:space="preserve">обязательства в виде </w:t>
      </w:r>
      <w:r w:rsidR="002F7314" w:rsidRPr="00FD7B0B">
        <w:t>кредит</w:t>
      </w:r>
      <w:r w:rsidRPr="00FD7B0B">
        <w:t>ов</w:t>
      </w:r>
      <w:r w:rsidR="002F7314" w:rsidRPr="00FD7B0B">
        <w:t xml:space="preserve"> кредитных организаций (далее – коммерческие кредиты) увеличились на </w:t>
      </w:r>
      <w:r w:rsidR="002F7314" w:rsidRPr="00FD7B0B">
        <w:rPr>
          <w:rFonts w:eastAsia="Times New Roman"/>
        </w:rPr>
        <w:t xml:space="preserve">21 741,9 </w:t>
      </w:r>
      <w:r w:rsidR="002F7314" w:rsidRPr="00FD7B0B">
        <w:t>млн.руб. (+94,5 %).</w:t>
      </w:r>
    </w:p>
    <w:p w14:paraId="6F0F712D" w14:textId="77777777" w:rsidR="002F7314" w:rsidRPr="00FD7B0B" w:rsidRDefault="002F7314" w:rsidP="00106BA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Как на 01.01.2024, так и на 01.01.2025 обязательства по государственным гарантиям отсутствую. В течение 2024 года государственные гарантии не предоставлялись и ценные бумаги не размещались.</w:t>
      </w:r>
    </w:p>
    <w:p w14:paraId="3E75BB4A" w14:textId="52B22D77" w:rsidR="002F7314" w:rsidRPr="00FD7B0B" w:rsidRDefault="002F7314" w:rsidP="00106BA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Долговые обязательства Архангельской области по состоянию на 01.01.2025 находятся в пределах ограничений, установленных пп. «а» п. 1 ст. 10 закона «Об областном бюджете на 2024 год…» (верхний предел на 01.01.2025 – 87 826,9 млн.руб.) и п. 4 ст. 107 БК РФ, согласно которому объем государственного долга субъекта РФ не должен превышать </w:t>
      </w:r>
      <w:r w:rsidR="002E215B" w:rsidRPr="00FD7B0B">
        <w:rPr>
          <w:rFonts w:ascii="Times New Roman" w:eastAsia="Calibri" w:hAnsi="Times New Roman" w:cs="Times New Roman"/>
          <w:sz w:val="28"/>
          <w:szCs w:val="28"/>
        </w:rPr>
        <w:t xml:space="preserve">общий </w:t>
      </w:r>
      <w:r w:rsidRPr="00FD7B0B">
        <w:rPr>
          <w:rFonts w:ascii="Times New Roman" w:eastAsia="Calibri" w:hAnsi="Times New Roman" w:cs="Times New Roman"/>
          <w:sz w:val="28"/>
          <w:szCs w:val="28"/>
        </w:rPr>
        <w:t>объем доходов без у</w:t>
      </w:r>
      <w:r w:rsidR="00106BA8" w:rsidRPr="00FD7B0B">
        <w:rPr>
          <w:rFonts w:ascii="Times New Roman" w:eastAsia="Calibri" w:hAnsi="Times New Roman" w:cs="Times New Roman"/>
          <w:sz w:val="28"/>
          <w:szCs w:val="28"/>
        </w:rPr>
        <w:t>чета безвозмездных поступлений.</w:t>
      </w:r>
    </w:p>
    <w:p w14:paraId="459EEE1C" w14:textId="275994D5" w:rsidR="002F7314" w:rsidRPr="00FD7B0B" w:rsidRDefault="002F7314" w:rsidP="002E215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Согласно отчету об исполнении областного бюджета за 2024 год, по состоянию на 01.01.2025 уровень государственных долговых обязательств по отношению </w:t>
      </w:r>
      <w:r w:rsidR="00453F4F" w:rsidRPr="00FD7B0B">
        <w:rPr>
          <w:rFonts w:ascii="Times New Roman" w:eastAsia="Calibri" w:hAnsi="Times New Roman" w:cs="Times New Roman"/>
          <w:sz w:val="28"/>
          <w:szCs w:val="28"/>
        </w:rPr>
        <w:t xml:space="preserve">к </w:t>
      </w:r>
      <w:r w:rsidRPr="00FD7B0B">
        <w:rPr>
          <w:rFonts w:ascii="Times New Roman" w:eastAsia="Calibri" w:hAnsi="Times New Roman" w:cs="Times New Roman"/>
          <w:sz w:val="28"/>
          <w:szCs w:val="28"/>
        </w:rPr>
        <w:t>поступившим налоговым и неналоговым доходам, составляет 88,9</w:t>
      </w:r>
      <w:r w:rsidR="00F23128" w:rsidRPr="00FD7B0B">
        <w:rPr>
          <w:rFonts w:ascii="Times New Roman" w:eastAsia="Calibri" w:hAnsi="Times New Roman" w:cs="Times New Roman"/>
          <w:sz w:val="28"/>
          <w:szCs w:val="28"/>
        </w:rPr>
        <w:t> </w:t>
      </w:r>
      <w:r w:rsidRPr="00FD7B0B">
        <w:rPr>
          <w:rFonts w:ascii="Times New Roman" w:eastAsia="Calibri" w:hAnsi="Times New Roman" w:cs="Times New Roman"/>
          <w:sz w:val="28"/>
          <w:szCs w:val="28"/>
        </w:rPr>
        <w:t>%. По отношению к соответствующему показателю на 01.01.2024 увеличение составило 11,7 процентных пункта (на 01.01.2024 – 77,2 %). Уровень государственных долговых обязательств в виде коммерческих кредитов по отношению к поступившему объему налоговых и неналоговых доходов на 01.01.2025 составил 45,8 %.</w:t>
      </w:r>
    </w:p>
    <w:p w14:paraId="608F03F0" w14:textId="126F7F05" w:rsidR="00AD21E0" w:rsidRPr="00FD7B0B" w:rsidRDefault="00AD21E0" w:rsidP="00AD21E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С учетом допустимых возможных превышений</w:t>
      </w:r>
      <w:r w:rsidRPr="00FD7B0B">
        <w:rPr>
          <w:rFonts w:ascii="Times New Roman" w:eastAsia="Calibri" w:hAnsi="Times New Roman" w:cs="Times New Roman"/>
          <w:sz w:val="28"/>
          <w:szCs w:val="28"/>
          <w:vertAlign w:val="superscript"/>
        </w:rPr>
        <w:footnoteReference w:id="32"/>
      </w:r>
      <w:r w:rsidRPr="00FD7B0B">
        <w:rPr>
          <w:rFonts w:ascii="Times New Roman" w:eastAsia="Calibri" w:hAnsi="Times New Roman" w:cs="Times New Roman"/>
          <w:sz w:val="28"/>
          <w:szCs w:val="28"/>
        </w:rPr>
        <w:t xml:space="preserve"> государственного долга в сумме 13 233,1 млн.руб. уровень государственных долговых обязательств по отношению к налоговым и неналоговым доходам составил 75,4 %, что свидетельствует о невыполнении на отчетную дату условия соглашений о реструктуризации бюджетных кредитов бюджету Архангельской области из федерального бюджета (не более 56 % налоговых и неналоговых доходов) и может повлеч</w:t>
      </w:r>
      <w:r w:rsidR="002D30B8" w:rsidRPr="00FD7B0B">
        <w:rPr>
          <w:rFonts w:ascii="Times New Roman" w:eastAsia="Calibri" w:hAnsi="Times New Roman" w:cs="Times New Roman"/>
          <w:sz w:val="28"/>
          <w:szCs w:val="28"/>
        </w:rPr>
        <w:t>ь</w:t>
      </w:r>
      <w:r w:rsidRPr="00FD7B0B">
        <w:rPr>
          <w:rFonts w:ascii="Times New Roman" w:eastAsia="Calibri" w:hAnsi="Times New Roman" w:cs="Times New Roman"/>
          <w:sz w:val="28"/>
          <w:szCs w:val="28"/>
        </w:rPr>
        <w:t xml:space="preserve"> за собой досрочное погашение не более 5 % общего объема реструктурированной задолженности по бюджетным кредитам (не более 577,5 млн.руб.).</w:t>
      </w:r>
    </w:p>
    <w:p w14:paraId="07943524" w14:textId="44CCBB0A" w:rsidR="002F7314" w:rsidRPr="00FD7B0B" w:rsidRDefault="002F7314" w:rsidP="00B1567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Ежеквартальная информация о структуре и изменении государственного долга Архангельской области за 2024 год представлена на рисунк</w:t>
      </w:r>
      <w:r w:rsidR="00BA7410" w:rsidRPr="00FD7B0B">
        <w:rPr>
          <w:rFonts w:ascii="Times New Roman" w:eastAsia="Calibri" w:hAnsi="Times New Roman" w:cs="Times New Roman"/>
          <w:sz w:val="28"/>
          <w:szCs w:val="28"/>
        </w:rPr>
        <w:t>е</w:t>
      </w:r>
      <w:r w:rsidRPr="00FD7B0B">
        <w:rPr>
          <w:rFonts w:ascii="Times New Roman" w:eastAsia="Calibri" w:hAnsi="Times New Roman" w:cs="Times New Roman"/>
          <w:sz w:val="28"/>
          <w:szCs w:val="28"/>
        </w:rPr>
        <w:t xml:space="preserve"> </w:t>
      </w:r>
      <w:r w:rsidR="00BA7410" w:rsidRPr="00FD7B0B">
        <w:rPr>
          <w:rFonts w:ascii="Times New Roman" w:eastAsia="Calibri" w:hAnsi="Times New Roman" w:cs="Times New Roman"/>
          <w:sz w:val="28"/>
          <w:szCs w:val="28"/>
        </w:rPr>
        <w:t>40.</w:t>
      </w:r>
    </w:p>
    <w:p w14:paraId="5BC74938" w14:textId="77777777" w:rsidR="002F7314" w:rsidRPr="00FD7B0B" w:rsidRDefault="002F7314" w:rsidP="009E017C">
      <w:pPr>
        <w:keepNext/>
        <w:spacing w:after="0" w:line="240" w:lineRule="auto"/>
        <w:jc w:val="both"/>
      </w:pPr>
      <w:r w:rsidRPr="00FD7B0B">
        <w:rPr>
          <w:noProof/>
          <w:lang w:eastAsia="ru-RU"/>
        </w:rPr>
        <w:drawing>
          <wp:inline distT="0" distB="0" distL="0" distR="0" wp14:anchorId="7093FB42" wp14:editId="781AF80D">
            <wp:extent cx="6172200" cy="17995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73610" cy="1800001"/>
                    </a:xfrm>
                    <a:prstGeom prst="rect">
                      <a:avLst/>
                    </a:prstGeom>
                    <a:noFill/>
                  </pic:spPr>
                </pic:pic>
              </a:graphicData>
            </a:graphic>
          </wp:inline>
        </w:drawing>
      </w:r>
    </w:p>
    <w:p w14:paraId="0750CA74" w14:textId="77777777" w:rsidR="002F7314" w:rsidRPr="00FD7B0B" w:rsidRDefault="002F7314" w:rsidP="009E017C">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noProof/>
          <w:sz w:val="24"/>
          <w:szCs w:val="24"/>
        </w:rPr>
        <w:fldChar w:fldCharType="begin"/>
      </w:r>
      <w:r w:rsidRPr="00FD7B0B">
        <w:rPr>
          <w:rFonts w:ascii="Times New Roman" w:hAnsi="Times New Roman"/>
          <w:b w:val="0"/>
          <w:noProof/>
          <w:sz w:val="24"/>
          <w:szCs w:val="24"/>
        </w:rPr>
        <w:instrText xml:space="preserve"> SEQ Рисунок \* ARABIC </w:instrText>
      </w:r>
      <w:r w:rsidRPr="00FD7B0B">
        <w:rPr>
          <w:rFonts w:ascii="Times New Roman" w:hAnsi="Times New Roman"/>
          <w:b w:val="0"/>
          <w:noProof/>
          <w:sz w:val="24"/>
          <w:szCs w:val="24"/>
        </w:rPr>
        <w:fldChar w:fldCharType="separate"/>
      </w:r>
      <w:r w:rsidR="002959CD" w:rsidRPr="00FD7B0B">
        <w:rPr>
          <w:rFonts w:ascii="Times New Roman" w:hAnsi="Times New Roman"/>
          <w:b w:val="0"/>
          <w:noProof/>
          <w:sz w:val="24"/>
          <w:szCs w:val="24"/>
        </w:rPr>
        <w:t>40</w:t>
      </w:r>
      <w:r w:rsidRPr="00FD7B0B">
        <w:rPr>
          <w:rFonts w:ascii="Times New Roman" w:hAnsi="Times New Roman"/>
          <w:b w:val="0"/>
          <w:noProof/>
          <w:sz w:val="24"/>
          <w:szCs w:val="24"/>
        </w:rPr>
        <w:fldChar w:fldCharType="end"/>
      </w:r>
      <w:r w:rsidRPr="00FD7B0B">
        <w:rPr>
          <w:rFonts w:ascii="Times New Roman" w:hAnsi="Times New Roman"/>
          <w:b w:val="0"/>
          <w:sz w:val="24"/>
          <w:szCs w:val="24"/>
        </w:rPr>
        <w:t>. Ежеквартальная структура государственного долга Архангельской области за 2024 год, млн.руб.</w:t>
      </w:r>
    </w:p>
    <w:p w14:paraId="41738734" w14:textId="77777777" w:rsidR="002F7314" w:rsidRPr="00FD7B0B" w:rsidRDefault="002F7314" w:rsidP="009E017C">
      <w:pPr>
        <w:spacing w:after="0" w:line="240" w:lineRule="auto"/>
        <w:jc w:val="both"/>
      </w:pPr>
    </w:p>
    <w:p w14:paraId="7A288570" w14:textId="77777777" w:rsidR="002F7314" w:rsidRPr="00FD7B0B" w:rsidRDefault="002F7314" w:rsidP="0062045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Изменения государственного долга Архангельской области за 2024 год характеризуются следующими показателями:</w:t>
      </w:r>
    </w:p>
    <w:p w14:paraId="7F9416D1" w14:textId="692CFF71" w:rsidR="002F7314" w:rsidRPr="00FD7B0B" w:rsidRDefault="002F7314" w:rsidP="0063072B">
      <w:pPr>
        <w:pStyle w:val="a8"/>
        <w:numPr>
          <w:ilvl w:val="0"/>
          <w:numId w:val="9"/>
        </w:numPr>
        <w:ind w:left="0" w:firstLine="709"/>
        <w:jc w:val="both"/>
        <w:rPr>
          <w:sz w:val="28"/>
          <w:szCs w:val="28"/>
        </w:rPr>
      </w:pPr>
      <w:r w:rsidRPr="00FD7B0B">
        <w:rPr>
          <w:sz w:val="28"/>
          <w:szCs w:val="28"/>
        </w:rPr>
        <w:t xml:space="preserve">в I квартале </w:t>
      </w:r>
      <w:r w:rsidR="00525A87" w:rsidRPr="00FD7B0B">
        <w:rPr>
          <w:sz w:val="28"/>
          <w:szCs w:val="28"/>
        </w:rPr>
        <w:t>при</w:t>
      </w:r>
      <w:r w:rsidRPr="00FD7B0B">
        <w:rPr>
          <w:sz w:val="28"/>
          <w:szCs w:val="28"/>
        </w:rPr>
        <w:t>рост долговых обязательств составил 3 763,4 млн.руб. или на 5,6</w:t>
      </w:r>
      <w:r w:rsidR="00525A87" w:rsidRPr="00FD7B0B">
        <w:rPr>
          <w:sz w:val="28"/>
          <w:szCs w:val="28"/>
        </w:rPr>
        <w:t xml:space="preserve"> </w:t>
      </w:r>
      <w:r w:rsidRPr="00FD7B0B">
        <w:rPr>
          <w:sz w:val="28"/>
          <w:szCs w:val="28"/>
        </w:rPr>
        <w:t>% к уровню на 01.01.2024, в т.ч. за счет увеличения доли бюджетных кредитов на 7 263,2 млн.руб. (+16,3 %) и снижения доли коммерческих кредитов на 3 499,9 млн.руб. (-15,2 %);</w:t>
      </w:r>
    </w:p>
    <w:p w14:paraId="6F3C4530" w14:textId="5ACAF409" w:rsidR="002F7314" w:rsidRPr="00FD7B0B" w:rsidRDefault="002F7314" w:rsidP="0063072B">
      <w:pPr>
        <w:pStyle w:val="a8"/>
        <w:numPr>
          <w:ilvl w:val="0"/>
          <w:numId w:val="9"/>
        </w:numPr>
        <w:ind w:left="0" w:firstLine="709"/>
        <w:jc w:val="both"/>
        <w:rPr>
          <w:sz w:val="28"/>
          <w:szCs w:val="28"/>
        </w:rPr>
      </w:pPr>
      <w:r w:rsidRPr="00FD7B0B">
        <w:rPr>
          <w:sz w:val="28"/>
          <w:szCs w:val="28"/>
        </w:rPr>
        <w:t xml:space="preserve">за II квартал относительно показателя на 01.04.2024 прирост государственных долговых обязательств составил 5 069,4 млн.руб. (+7,1 %), в т.ч. </w:t>
      </w:r>
      <w:r w:rsidR="00272595" w:rsidRPr="00FD7B0B">
        <w:rPr>
          <w:sz w:val="28"/>
          <w:szCs w:val="28"/>
        </w:rPr>
        <w:t>объем</w:t>
      </w:r>
      <w:r w:rsidRPr="00FD7B0B">
        <w:rPr>
          <w:sz w:val="28"/>
          <w:szCs w:val="28"/>
        </w:rPr>
        <w:t xml:space="preserve"> коммерческих кредитов </w:t>
      </w:r>
      <w:r w:rsidR="00272595" w:rsidRPr="00FD7B0B">
        <w:rPr>
          <w:sz w:val="28"/>
          <w:szCs w:val="28"/>
        </w:rPr>
        <w:t xml:space="preserve">увеличился </w:t>
      </w:r>
      <w:r w:rsidRPr="00FD7B0B">
        <w:rPr>
          <w:sz w:val="28"/>
          <w:szCs w:val="28"/>
        </w:rPr>
        <w:t>на 8 300,0 млн.руб. (+42,6 %), а бюджетных – сократился на 3 230,6 млн.руб. (-6,2 %);</w:t>
      </w:r>
    </w:p>
    <w:p w14:paraId="7637269D" w14:textId="11005A55" w:rsidR="002F7314" w:rsidRPr="00FD7B0B" w:rsidRDefault="002F7314" w:rsidP="0063072B">
      <w:pPr>
        <w:pStyle w:val="a8"/>
        <w:numPr>
          <w:ilvl w:val="0"/>
          <w:numId w:val="9"/>
        </w:numPr>
        <w:ind w:left="0" w:firstLine="709"/>
        <w:jc w:val="both"/>
        <w:rPr>
          <w:sz w:val="28"/>
          <w:szCs w:val="28"/>
        </w:rPr>
      </w:pPr>
      <w:r w:rsidRPr="00FD7B0B">
        <w:rPr>
          <w:sz w:val="28"/>
          <w:szCs w:val="28"/>
        </w:rPr>
        <w:t xml:space="preserve">за III квартал относительно показателя на 01.07.2024 прирост составил 5 040,0 млн.руб. (+6,6 %), где </w:t>
      </w:r>
      <w:r w:rsidR="00272595" w:rsidRPr="00FD7B0B">
        <w:rPr>
          <w:sz w:val="28"/>
          <w:szCs w:val="28"/>
        </w:rPr>
        <w:t>объем</w:t>
      </w:r>
      <w:r w:rsidRPr="00FD7B0B">
        <w:rPr>
          <w:sz w:val="28"/>
          <w:szCs w:val="28"/>
        </w:rPr>
        <w:t xml:space="preserve"> коммерческих кредитов </w:t>
      </w:r>
      <w:r w:rsidR="00272595" w:rsidRPr="00FD7B0B">
        <w:rPr>
          <w:sz w:val="28"/>
          <w:szCs w:val="28"/>
        </w:rPr>
        <w:t>увеличился</w:t>
      </w:r>
      <w:r w:rsidRPr="00FD7B0B">
        <w:rPr>
          <w:sz w:val="28"/>
          <w:szCs w:val="28"/>
        </w:rPr>
        <w:t xml:space="preserve"> на 2 800,0 млн.руб. (+10,1 %), в доля бюджетных кредитов – на 2 240,0 млн.руб. (+4,6 %);</w:t>
      </w:r>
    </w:p>
    <w:p w14:paraId="3CD14FB1" w14:textId="77777777" w:rsidR="002F7314" w:rsidRPr="00FD7B0B" w:rsidRDefault="002F7314" w:rsidP="0063072B">
      <w:pPr>
        <w:pStyle w:val="a8"/>
        <w:numPr>
          <w:ilvl w:val="0"/>
          <w:numId w:val="9"/>
        </w:numPr>
        <w:ind w:left="0" w:firstLine="709"/>
        <w:jc w:val="both"/>
        <w:rPr>
          <w:sz w:val="28"/>
          <w:szCs w:val="28"/>
        </w:rPr>
      </w:pPr>
      <w:r w:rsidRPr="00FD7B0B">
        <w:rPr>
          <w:sz w:val="28"/>
          <w:szCs w:val="28"/>
        </w:rPr>
        <w:t>за IV квартал, относительно показателя на 01.10.2024, прирост составил 5 306,2 млн.руб. (+6,5 %), в т.ч. коммерческие кредиты увеличилась на 14 141,7 тыс.руб. (+46,2 %), а бюджетные кредиты сократились на 8 835,6 тыс.руб. (-17,4 %).</w:t>
      </w:r>
    </w:p>
    <w:p w14:paraId="44EB207A" w14:textId="77777777" w:rsidR="002F7314" w:rsidRPr="00FD7B0B" w:rsidRDefault="002F7314" w:rsidP="003730E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Исходя из вышеизложенного, в 2024 году наблюдается ежеквартальный рост государственных долговых обязательств Архангельской области.</w:t>
      </w:r>
    </w:p>
    <w:p w14:paraId="0B49C6BC" w14:textId="5D04F796" w:rsidR="002F7314" w:rsidRPr="00FD7B0B" w:rsidRDefault="002F7314" w:rsidP="0015676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Состав и структура государственного внутреннего долга Архангельской области и их изменение за 2024 год представлены в таблице </w:t>
      </w:r>
      <w:r w:rsidR="00BA7410" w:rsidRPr="00FD7B0B">
        <w:rPr>
          <w:rFonts w:ascii="Times New Roman" w:eastAsia="Calibri" w:hAnsi="Times New Roman" w:cs="Times New Roman"/>
          <w:sz w:val="28"/>
          <w:szCs w:val="28"/>
        </w:rPr>
        <w:t>259</w:t>
      </w:r>
      <w:r w:rsidR="0038077E" w:rsidRPr="00FD7B0B">
        <w:rPr>
          <w:rFonts w:ascii="Times New Roman" w:eastAsia="Calibri" w:hAnsi="Times New Roman" w:cs="Times New Roman"/>
          <w:sz w:val="28"/>
          <w:szCs w:val="28"/>
        </w:rPr>
        <w:t>.</w:t>
      </w:r>
    </w:p>
    <w:p w14:paraId="2859C8AE" w14:textId="77777777" w:rsidR="002F7314" w:rsidRPr="00FD7B0B" w:rsidRDefault="002F7314" w:rsidP="001F7125">
      <w:pPr>
        <w:pStyle w:val="aff0"/>
        <w:spacing w:after="0" w:line="240" w:lineRule="auto"/>
        <w:rPr>
          <w:rFonts w:ascii="Times New Roman" w:hAnsi="Times New Roman"/>
          <w:b w:val="0"/>
          <w:sz w:val="24"/>
          <w:szCs w:val="24"/>
        </w:rPr>
      </w:pPr>
    </w:p>
    <w:p w14:paraId="17747F66" w14:textId="77777777" w:rsidR="002F7314" w:rsidRPr="00FD7B0B" w:rsidRDefault="002F7314" w:rsidP="001F7125">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259</w:t>
      </w:r>
      <w:r w:rsidRPr="00FD7B0B">
        <w:rPr>
          <w:rFonts w:ascii="Times New Roman" w:hAnsi="Times New Roman"/>
          <w:b w:val="0"/>
          <w:sz w:val="24"/>
          <w:szCs w:val="24"/>
        </w:rPr>
        <w:fldChar w:fldCharType="end"/>
      </w:r>
      <w:r w:rsidRPr="00FD7B0B">
        <w:rPr>
          <w:rFonts w:ascii="Times New Roman" w:hAnsi="Times New Roman"/>
          <w:b w:val="0"/>
          <w:sz w:val="24"/>
          <w:szCs w:val="24"/>
        </w:rPr>
        <w:t>. Государственный внутренний долг Архангельской области, млн.руб.</w:t>
      </w:r>
    </w:p>
    <w:tbl>
      <w:tblPr>
        <w:tblW w:w="9660" w:type="dxa"/>
        <w:tblLook w:val="04A0" w:firstRow="1" w:lastRow="0" w:firstColumn="1" w:lastColumn="0" w:noHBand="0" w:noVBand="1"/>
      </w:tblPr>
      <w:tblGrid>
        <w:gridCol w:w="3617"/>
        <w:gridCol w:w="1025"/>
        <w:gridCol w:w="996"/>
        <w:gridCol w:w="1099"/>
        <w:gridCol w:w="898"/>
        <w:gridCol w:w="1025"/>
        <w:gridCol w:w="1000"/>
      </w:tblGrid>
      <w:tr w:rsidR="00FD7B0B" w:rsidRPr="00FD7B0B" w14:paraId="1223F615" w14:textId="77777777" w:rsidTr="00E0458D">
        <w:trPr>
          <w:trHeight w:val="35"/>
          <w:tblHeader/>
        </w:trPr>
        <w:tc>
          <w:tcPr>
            <w:tcW w:w="361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B482AC4"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Показатель</w:t>
            </w:r>
          </w:p>
        </w:tc>
        <w:tc>
          <w:tcPr>
            <w:tcW w:w="2021" w:type="dxa"/>
            <w:gridSpan w:val="2"/>
            <w:tcBorders>
              <w:top w:val="double" w:sz="6" w:space="0" w:color="auto"/>
              <w:left w:val="nil"/>
              <w:bottom w:val="single" w:sz="4" w:space="0" w:color="auto"/>
              <w:right w:val="single" w:sz="4" w:space="0" w:color="auto"/>
            </w:tcBorders>
            <w:shd w:val="clear" w:color="auto" w:fill="auto"/>
            <w:vAlign w:val="center"/>
            <w:hideMark/>
          </w:tcPr>
          <w:p w14:paraId="4A9DA2AE"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На 01.01.2024</w:t>
            </w:r>
          </w:p>
        </w:tc>
        <w:tc>
          <w:tcPr>
            <w:tcW w:w="1997" w:type="dxa"/>
            <w:gridSpan w:val="2"/>
            <w:tcBorders>
              <w:top w:val="double" w:sz="6" w:space="0" w:color="auto"/>
              <w:left w:val="nil"/>
              <w:bottom w:val="single" w:sz="4" w:space="0" w:color="auto"/>
              <w:right w:val="single" w:sz="4" w:space="0" w:color="auto"/>
            </w:tcBorders>
            <w:shd w:val="clear" w:color="auto" w:fill="auto"/>
            <w:vAlign w:val="center"/>
            <w:hideMark/>
          </w:tcPr>
          <w:p w14:paraId="1C76C242"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На 01.01.2025</w:t>
            </w:r>
          </w:p>
        </w:tc>
        <w:tc>
          <w:tcPr>
            <w:tcW w:w="2025" w:type="dxa"/>
            <w:gridSpan w:val="2"/>
            <w:tcBorders>
              <w:top w:val="double" w:sz="6" w:space="0" w:color="auto"/>
              <w:left w:val="nil"/>
              <w:bottom w:val="single" w:sz="4" w:space="0" w:color="auto"/>
              <w:right w:val="double" w:sz="6" w:space="0" w:color="000000"/>
            </w:tcBorders>
            <w:shd w:val="clear" w:color="auto" w:fill="auto"/>
            <w:vAlign w:val="center"/>
            <w:hideMark/>
          </w:tcPr>
          <w:p w14:paraId="130717AD"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Изменение (+/-)</w:t>
            </w:r>
          </w:p>
        </w:tc>
      </w:tr>
      <w:tr w:rsidR="00FD7B0B" w:rsidRPr="00FD7B0B" w14:paraId="67C0BFDE" w14:textId="77777777" w:rsidTr="00E0458D">
        <w:trPr>
          <w:trHeight w:val="442"/>
          <w:tblHeader/>
        </w:trPr>
        <w:tc>
          <w:tcPr>
            <w:tcW w:w="3617" w:type="dxa"/>
            <w:vMerge/>
            <w:tcBorders>
              <w:top w:val="double" w:sz="6" w:space="0" w:color="auto"/>
              <w:left w:val="double" w:sz="6" w:space="0" w:color="auto"/>
              <w:bottom w:val="single" w:sz="4" w:space="0" w:color="auto"/>
              <w:right w:val="single" w:sz="4" w:space="0" w:color="auto"/>
            </w:tcBorders>
            <w:vAlign w:val="center"/>
            <w:hideMark/>
          </w:tcPr>
          <w:p w14:paraId="08A439E1" w14:textId="77777777" w:rsidR="002F7314" w:rsidRPr="00FD7B0B" w:rsidRDefault="002F7314" w:rsidP="00E0458D">
            <w:pPr>
              <w:spacing w:after="0" w:line="240" w:lineRule="auto"/>
              <w:rPr>
                <w:rFonts w:ascii="Times New Roman" w:eastAsia="Times New Roman" w:hAnsi="Times New Roman" w:cs="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1F4D33B3"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млн.руб.</w:t>
            </w:r>
          </w:p>
        </w:tc>
        <w:tc>
          <w:tcPr>
            <w:tcW w:w="996" w:type="dxa"/>
            <w:tcBorders>
              <w:top w:val="nil"/>
              <w:left w:val="nil"/>
              <w:bottom w:val="single" w:sz="4" w:space="0" w:color="auto"/>
              <w:right w:val="single" w:sz="4" w:space="0" w:color="auto"/>
            </w:tcBorders>
            <w:shd w:val="clear" w:color="auto" w:fill="auto"/>
            <w:vAlign w:val="center"/>
            <w:hideMark/>
          </w:tcPr>
          <w:p w14:paraId="6FC50E06"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уд. вес (%)</w:t>
            </w:r>
          </w:p>
        </w:tc>
        <w:tc>
          <w:tcPr>
            <w:tcW w:w="1099" w:type="dxa"/>
            <w:tcBorders>
              <w:top w:val="nil"/>
              <w:left w:val="nil"/>
              <w:bottom w:val="single" w:sz="4" w:space="0" w:color="auto"/>
              <w:right w:val="single" w:sz="4" w:space="0" w:color="auto"/>
            </w:tcBorders>
            <w:shd w:val="clear" w:color="auto" w:fill="auto"/>
            <w:vAlign w:val="center"/>
            <w:hideMark/>
          </w:tcPr>
          <w:p w14:paraId="75B7FEA0"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млн.руб.</w:t>
            </w:r>
          </w:p>
        </w:tc>
        <w:tc>
          <w:tcPr>
            <w:tcW w:w="898" w:type="dxa"/>
            <w:tcBorders>
              <w:top w:val="nil"/>
              <w:left w:val="nil"/>
              <w:bottom w:val="single" w:sz="4" w:space="0" w:color="auto"/>
              <w:right w:val="single" w:sz="4" w:space="0" w:color="auto"/>
            </w:tcBorders>
            <w:shd w:val="clear" w:color="auto" w:fill="auto"/>
            <w:vAlign w:val="center"/>
            <w:hideMark/>
          </w:tcPr>
          <w:p w14:paraId="2EB04978"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уд. вес (%)</w:t>
            </w:r>
          </w:p>
        </w:tc>
        <w:tc>
          <w:tcPr>
            <w:tcW w:w="1025" w:type="dxa"/>
            <w:tcBorders>
              <w:top w:val="nil"/>
              <w:left w:val="nil"/>
              <w:bottom w:val="single" w:sz="4" w:space="0" w:color="auto"/>
              <w:right w:val="single" w:sz="4" w:space="0" w:color="auto"/>
            </w:tcBorders>
            <w:shd w:val="clear" w:color="auto" w:fill="auto"/>
            <w:vAlign w:val="center"/>
            <w:hideMark/>
          </w:tcPr>
          <w:p w14:paraId="3BFF587C"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млн.руб.</w:t>
            </w:r>
          </w:p>
        </w:tc>
        <w:tc>
          <w:tcPr>
            <w:tcW w:w="1000" w:type="dxa"/>
            <w:tcBorders>
              <w:top w:val="nil"/>
              <w:left w:val="nil"/>
              <w:bottom w:val="single" w:sz="4" w:space="0" w:color="auto"/>
              <w:right w:val="double" w:sz="6" w:space="0" w:color="auto"/>
            </w:tcBorders>
            <w:shd w:val="clear" w:color="auto" w:fill="auto"/>
            <w:vAlign w:val="center"/>
            <w:hideMark/>
          </w:tcPr>
          <w:p w14:paraId="4DF2695C" w14:textId="77777777" w:rsidR="002F7314" w:rsidRPr="00FD7B0B" w:rsidRDefault="002F7314" w:rsidP="00E0458D">
            <w:pPr>
              <w:spacing w:after="0" w:line="240" w:lineRule="auto"/>
              <w:jc w:val="center"/>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проц. пунктов</w:t>
            </w:r>
          </w:p>
        </w:tc>
      </w:tr>
      <w:tr w:rsidR="00FD7B0B" w:rsidRPr="00FD7B0B" w14:paraId="477768DB" w14:textId="77777777" w:rsidTr="00E0458D">
        <w:trPr>
          <w:trHeight w:val="70"/>
        </w:trPr>
        <w:tc>
          <w:tcPr>
            <w:tcW w:w="3617" w:type="dxa"/>
            <w:tcBorders>
              <w:top w:val="nil"/>
              <w:left w:val="double" w:sz="6" w:space="0" w:color="auto"/>
              <w:bottom w:val="single" w:sz="4" w:space="0" w:color="auto"/>
              <w:right w:val="single" w:sz="4" w:space="0" w:color="auto"/>
            </w:tcBorders>
            <w:shd w:val="clear" w:color="auto" w:fill="auto"/>
            <w:vAlign w:val="center"/>
            <w:hideMark/>
          </w:tcPr>
          <w:p w14:paraId="688D927E" w14:textId="77777777" w:rsidR="002F7314" w:rsidRPr="00FD7B0B" w:rsidRDefault="002F7314" w:rsidP="00E0458D">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Бюджетные кредиты</w:t>
            </w:r>
          </w:p>
        </w:tc>
        <w:tc>
          <w:tcPr>
            <w:tcW w:w="1025" w:type="dxa"/>
            <w:tcBorders>
              <w:top w:val="nil"/>
              <w:left w:val="nil"/>
              <w:bottom w:val="single" w:sz="4" w:space="0" w:color="auto"/>
              <w:right w:val="single" w:sz="4" w:space="0" w:color="auto"/>
            </w:tcBorders>
            <w:shd w:val="clear" w:color="auto" w:fill="auto"/>
            <w:vAlign w:val="center"/>
            <w:hideMark/>
          </w:tcPr>
          <w:p w14:paraId="1A39ECBA"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44 648,2 </w:t>
            </w:r>
          </w:p>
        </w:tc>
        <w:tc>
          <w:tcPr>
            <w:tcW w:w="996" w:type="dxa"/>
            <w:tcBorders>
              <w:top w:val="nil"/>
              <w:left w:val="nil"/>
              <w:bottom w:val="single" w:sz="4" w:space="0" w:color="auto"/>
              <w:right w:val="single" w:sz="4" w:space="0" w:color="auto"/>
            </w:tcBorders>
            <w:shd w:val="clear" w:color="auto" w:fill="auto"/>
            <w:vAlign w:val="center"/>
            <w:hideMark/>
          </w:tcPr>
          <w:p w14:paraId="3B3B6633"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66,0 </w:t>
            </w:r>
          </w:p>
        </w:tc>
        <w:tc>
          <w:tcPr>
            <w:tcW w:w="1099" w:type="dxa"/>
            <w:tcBorders>
              <w:top w:val="nil"/>
              <w:left w:val="nil"/>
              <w:bottom w:val="single" w:sz="4" w:space="0" w:color="auto"/>
              <w:right w:val="single" w:sz="4" w:space="0" w:color="auto"/>
            </w:tcBorders>
            <w:shd w:val="clear" w:color="auto" w:fill="auto"/>
            <w:vAlign w:val="center"/>
            <w:hideMark/>
          </w:tcPr>
          <w:p w14:paraId="70CC8911"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42 085,2 </w:t>
            </w:r>
          </w:p>
        </w:tc>
        <w:tc>
          <w:tcPr>
            <w:tcW w:w="898" w:type="dxa"/>
            <w:tcBorders>
              <w:top w:val="nil"/>
              <w:left w:val="nil"/>
              <w:bottom w:val="single" w:sz="4" w:space="0" w:color="auto"/>
              <w:right w:val="single" w:sz="4" w:space="0" w:color="auto"/>
            </w:tcBorders>
            <w:shd w:val="clear" w:color="auto" w:fill="auto"/>
            <w:vAlign w:val="center"/>
            <w:hideMark/>
          </w:tcPr>
          <w:p w14:paraId="71B34982"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48,5 </w:t>
            </w:r>
          </w:p>
        </w:tc>
        <w:tc>
          <w:tcPr>
            <w:tcW w:w="1025" w:type="dxa"/>
            <w:tcBorders>
              <w:top w:val="nil"/>
              <w:left w:val="nil"/>
              <w:bottom w:val="single" w:sz="4" w:space="0" w:color="auto"/>
              <w:right w:val="single" w:sz="4" w:space="0" w:color="auto"/>
            </w:tcBorders>
            <w:shd w:val="clear" w:color="auto" w:fill="auto"/>
            <w:vAlign w:val="center"/>
            <w:hideMark/>
          </w:tcPr>
          <w:p w14:paraId="0617F5A5"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-2 563,0 </w:t>
            </w:r>
          </w:p>
        </w:tc>
        <w:tc>
          <w:tcPr>
            <w:tcW w:w="1000" w:type="dxa"/>
            <w:tcBorders>
              <w:top w:val="nil"/>
              <w:left w:val="nil"/>
              <w:bottom w:val="single" w:sz="4" w:space="0" w:color="auto"/>
              <w:right w:val="double" w:sz="6" w:space="0" w:color="auto"/>
            </w:tcBorders>
            <w:shd w:val="clear" w:color="auto" w:fill="auto"/>
            <w:vAlign w:val="center"/>
            <w:hideMark/>
          </w:tcPr>
          <w:p w14:paraId="60376054"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-17,5 </w:t>
            </w:r>
          </w:p>
        </w:tc>
      </w:tr>
      <w:tr w:rsidR="00FD7B0B" w:rsidRPr="00FD7B0B" w14:paraId="1F2D9D8C" w14:textId="77777777" w:rsidTr="00E0458D">
        <w:trPr>
          <w:trHeight w:val="70"/>
        </w:trPr>
        <w:tc>
          <w:tcPr>
            <w:tcW w:w="3617" w:type="dxa"/>
            <w:tcBorders>
              <w:top w:val="nil"/>
              <w:left w:val="double" w:sz="6" w:space="0" w:color="auto"/>
              <w:bottom w:val="single" w:sz="4" w:space="0" w:color="auto"/>
              <w:right w:val="single" w:sz="4" w:space="0" w:color="auto"/>
            </w:tcBorders>
            <w:shd w:val="clear" w:color="auto" w:fill="auto"/>
            <w:vAlign w:val="center"/>
            <w:hideMark/>
          </w:tcPr>
          <w:p w14:paraId="4AFE7A71" w14:textId="77777777" w:rsidR="002F7314" w:rsidRPr="00FD7B0B" w:rsidRDefault="002F7314" w:rsidP="00E0458D">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Кредиты кредитных организаций</w:t>
            </w:r>
          </w:p>
        </w:tc>
        <w:tc>
          <w:tcPr>
            <w:tcW w:w="1025" w:type="dxa"/>
            <w:tcBorders>
              <w:top w:val="nil"/>
              <w:left w:val="nil"/>
              <w:bottom w:val="single" w:sz="4" w:space="0" w:color="auto"/>
              <w:right w:val="single" w:sz="4" w:space="0" w:color="auto"/>
            </w:tcBorders>
            <w:shd w:val="clear" w:color="auto" w:fill="auto"/>
            <w:vAlign w:val="center"/>
            <w:hideMark/>
          </w:tcPr>
          <w:p w14:paraId="1FAC1592"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22 999,9 </w:t>
            </w:r>
          </w:p>
        </w:tc>
        <w:tc>
          <w:tcPr>
            <w:tcW w:w="996" w:type="dxa"/>
            <w:tcBorders>
              <w:top w:val="nil"/>
              <w:left w:val="nil"/>
              <w:bottom w:val="single" w:sz="4" w:space="0" w:color="auto"/>
              <w:right w:val="single" w:sz="4" w:space="0" w:color="auto"/>
            </w:tcBorders>
            <w:shd w:val="clear" w:color="auto" w:fill="auto"/>
            <w:vAlign w:val="center"/>
            <w:hideMark/>
          </w:tcPr>
          <w:p w14:paraId="27C457AF"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34,0 </w:t>
            </w:r>
          </w:p>
        </w:tc>
        <w:tc>
          <w:tcPr>
            <w:tcW w:w="1099" w:type="dxa"/>
            <w:tcBorders>
              <w:top w:val="nil"/>
              <w:left w:val="nil"/>
              <w:bottom w:val="single" w:sz="4" w:space="0" w:color="auto"/>
              <w:right w:val="single" w:sz="4" w:space="0" w:color="auto"/>
            </w:tcBorders>
            <w:shd w:val="clear" w:color="auto" w:fill="auto"/>
            <w:vAlign w:val="center"/>
            <w:hideMark/>
          </w:tcPr>
          <w:p w14:paraId="32649FA7"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44 741,7 </w:t>
            </w:r>
          </w:p>
        </w:tc>
        <w:tc>
          <w:tcPr>
            <w:tcW w:w="898" w:type="dxa"/>
            <w:tcBorders>
              <w:top w:val="nil"/>
              <w:left w:val="nil"/>
              <w:bottom w:val="single" w:sz="4" w:space="0" w:color="auto"/>
              <w:right w:val="single" w:sz="4" w:space="0" w:color="auto"/>
            </w:tcBorders>
            <w:shd w:val="clear" w:color="auto" w:fill="auto"/>
            <w:vAlign w:val="center"/>
            <w:hideMark/>
          </w:tcPr>
          <w:p w14:paraId="594DA3A8"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51,5 </w:t>
            </w:r>
          </w:p>
        </w:tc>
        <w:tc>
          <w:tcPr>
            <w:tcW w:w="1025" w:type="dxa"/>
            <w:tcBorders>
              <w:top w:val="nil"/>
              <w:left w:val="nil"/>
              <w:bottom w:val="single" w:sz="4" w:space="0" w:color="auto"/>
              <w:right w:val="single" w:sz="4" w:space="0" w:color="auto"/>
            </w:tcBorders>
            <w:shd w:val="clear" w:color="auto" w:fill="auto"/>
            <w:vAlign w:val="center"/>
            <w:hideMark/>
          </w:tcPr>
          <w:p w14:paraId="128C43A5"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21 741,9 </w:t>
            </w:r>
          </w:p>
        </w:tc>
        <w:tc>
          <w:tcPr>
            <w:tcW w:w="1000" w:type="dxa"/>
            <w:tcBorders>
              <w:top w:val="nil"/>
              <w:left w:val="nil"/>
              <w:bottom w:val="single" w:sz="4" w:space="0" w:color="auto"/>
              <w:right w:val="double" w:sz="6" w:space="0" w:color="auto"/>
            </w:tcBorders>
            <w:shd w:val="clear" w:color="auto" w:fill="auto"/>
            <w:vAlign w:val="center"/>
            <w:hideMark/>
          </w:tcPr>
          <w:p w14:paraId="2A0BBBBA" w14:textId="77777777" w:rsidR="002F7314" w:rsidRPr="00FD7B0B" w:rsidRDefault="002F7314" w:rsidP="00E0458D">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17,5 </w:t>
            </w:r>
          </w:p>
        </w:tc>
      </w:tr>
      <w:tr w:rsidR="002F7314" w:rsidRPr="00FD7B0B" w14:paraId="00139ED2" w14:textId="77777777" w:rsidTr="00E0458D">
        <w:trPr>
          <w:trHeight w:val="70"/>
        </w:trPr>
        <w:tc>
          <w:tcPr>
            <w:tcW w:w="3617" w:type="dxa"/>
            <w:tcBorders>
              <w:top w:val="nil"/>
              <w:left w:val="double" w:sz="6" w:space="0" w:color="auto"/>
              <w:bottom w:val="double" w:sz="6" w:space="0" w:color="auto"/>
              <w:right w:val="single" w:sz="4" w:space="0" w:color="auto"/>
            </w:tcBorders>
            <w:shd w:val="clear" w:color="auto" w:fill="auto"/>
            <w:vAlign w:val="center"/>
            <w:hideMark/>
          </w:tcPr>
          <w:p w14:paraId="2D6DC5C0" w14:textId="77777777" w:rsidR="002F7314" w:rsidRPr="00FD7B0B" w:rsidRDefault="002F7314" w:rsidP="00E0458D">
            <w:pPr>
              <w:spacing w:after="0" w:line="240" w:lineRule="auto"/>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Итого</w:t>
            </w:r>
          </w:p>
        </w:tc>
        <w:tc>
          <w:tcPr>
            <w:tcW w:w="1025" w:type="dxa"/>
            <w:tcBorders>
              <w:top w:val="nil"/>
              <w:left w:val="nil"/>
              <w:bottom w:val="double" w:sz="6" w:space="0" w:color="auto"/>
              <w:right w:val="single" w:sz="4" w:space="0" w:color="auto"/>
            </w:tcBorders>
            <w:shd w:val="clear" w:color="auto" w:fill="auto"/>
            <w:vAlign w:val="center"/>
            <w:hideMark/>
          </w:tcPr>
          <w:p w14:paraId="674824D3" w14:textId="77777777" w:rsidR="002F7314" w:rsidRPr="00FD7B0B" w:rsidRDefault="002F7314" w:rsidP="00E0458D">
            <w:pPr>
              <w:spacing w:after="0" w:line="240" w:lineRule="auto"/>
              <w:jc w:val="right"/>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 xml:space="preserve">67 648,0 </w:t>
            </w:r>
          </w:p>
        </w:tc>
        <w:tc>
          <w:tcPr>
            <w:tcW w:w="996" w:type="dxa"/>
            <w:tcBorders>
              <w:top w:val="nil"/>
              <w:left w:val="nil"/>
              <w:bottom w:val="double" w:sz="6" w:space="0" w:color="auto"/>
              <w:right w:val="single" w:sz="4" w:space="0" w:color="auto"/>
            </w:tcBorders>
            <w:shd w:val="clear" w:color="auto" w:fill="auto"/>
            <w:vAlign w:val="center"/>
            <w:hideMark/>
          </w:tcPr>
          <w:p w14:paraId="55B996D5" w14:textId="77777777" w:rsidR="002F7314" w:rsidRPr="00FD7B0B" w:rsidRDefault="002F7314" w:rsidP="00E0458D">
            <w:pPr>
              <w:spacing w:after="0" w:line="240" w:lineRule="auto"/>
              <w:jc w:val="right"/>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 xml:space="preserve">100,0 </w:t>
            </w:r>
          </w:p>
        </w:tc>
        <w:tc>
          <w:tcPr>
            <w:tcW w:w="1099" w:type="dxa"/>
            <w:tcBorders>
              <w:top w:val="nil"/>
              <w:left w:val="nil"/>
              <w:bottom w:val="double" w:sz="6" w:space="0" w:color="auto"/>
              <w:right w:val="single" w:sz="4" w:space="0" w:color="auto"/>
            </w:tcBorders>
            <w:shd w:val="clear" w:color="auto" w:fill="auto"/>
            <w:vAlign w:val="center"/>
            <w:hideMark/>
          </w:tcPr>
          <w:p w14:paraId="4BDC3D99" w14:textId="77777777" w:rsidR="002F7314" w:rsidRPr="00FD7B0B" w:rsidRDefault="002F7314" w:rsidP="00E0458D">
            <w:pPr>
              <w:spacing w:after="0" w:line="240" w:lineRule="auto"/>
              <w:jc w:val="right"/>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 xml:space="preserve">86 826,9 </w:t>
            </w:r>
          </w:p>
        </w:tc>
        <w:tc>
          <w:tcPr>
            <w:tcW w:w="898" w:type="dxa"/>
            <w:tcBorders>
              <w:top w:val="nil"/>
              <w:left w:val="nil"/>
              <w:bottom w:val="double" w:sz="6" w:space="0" w:color="auto"/>
              <w:right w:val="single" w:sz="4" w:space="0" w:color="auto"/>
            </w:tcBorders>
            <w:shd w:val="clear" w:color="auto" w:fill="auto"/>
            <w:vAlign w:val="center"/>
            <w:hideMark/>
          </w:tcPr>
          <w:p w14:paraId="5B33F6B7" w14:textId="77777777" w:rsidR="002F7314" w:rsidRPr="00FD7B0B" w:rsidRDefault="002F7314" w:rsidP="00E0458D">
            <w:pPr>
              <w:spacing w:after="0" w:line="240" w:lineRule="auto"/>
              <w:jc w:val="right"/>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 xml:space="preserve">100,0 </w:t>
            </w:r>
          </w:p>
        </w:tc>
        <w:tc>
          <w:tcPr>
            <w:tcW w:w="1025" w:type="dxa"/>
            <w:tcBorders>
              <w:top w:val="nil"/>
              <w:left w:val="nil"/>
              <w:bottom w:val="double" w:sz="6" w:space="0" w:color="auto"/>
              <w:right w:val="single" w:sz="4" w:space="0" w:color="auto"/>
            </w:tcBorders>
            <w:shd w:val="clear" w:color="auto" w:fill="auto"/>
            <w:vAlign w:val="center"/>
            <w:hideMark/>
          </w:tcPr>
          <w:p w14:paraId="738CA60A" w14:textId="77777777" w:rsidR="002F7314" w:rsidRPr="00FD7B0B" w:rsidRDefault="002F7314" w:rsidP="00E0458D">
            <w:pPr>
              <w:spacing w:after="0" w:line="240" w:lineRule="auto"/>
              <w:jc w:val="right"/>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 xml:space="preserve">19 178,9 </w:t>
            </w:r>
          </w:p>
        </w:tc>
        <w:tc>
          <w:tcPr>
            <w:tcW w:w="1000" w:type="dxa"/>
            <w:tcBorders>
              <w:top w:val="nil"/>
              <w:left w:val="nil"/>
              <w:bottom w:val="double" w:sz="6" w:space="0" w:color="auto"/>
              <w:right w:val="double" w:sz="6" w:space="0" w:color="auto"/>
            </w:tcBorders>
            <w:shd w:val="clear" w:color="auto" w:fill="auto"/>
            <w:vAlign w:val="center"/>
            <w:hideMark/>
          </w:tcPr>
          <w:p w14:paraId="75CACC7C" w14:textId="77777777" w:rsidR="002F7314" w:rsidRPr="00FD7B0B" w:rsidRDefault="002F7314" w:rsidP="00E0458D">
            <w:pPr>
              <w:spacing w:after="0" w:line="240" w:lineRule="auto"/>
              <w:jc w:val="right"/>
              <w:rPr>
                <w:rFonts w:ascii="Times New Roman" w:eastAsia="Times New Roman" w:hAnsi="Times New Roman" w:cs="Times New Roman"/>
                <w:bCs/>
                <w:lang w:eastAsia="ru-RU"/>
              </w:rPr>
            </w:pPr>
            <w:r w:rsidRPr="00FD7B0B">
              <w:rPr>
                <w:rFonts w:ascii="Times New Roman" w:eastAsia="Times New Roman" w:hAnsi="Times New Roman" w:cs="Times New Roman"/>
                <w:bCs/>
                <w:lang w:eastAsia="ru-RU"/>
              </w:rPr>
              <w:t xml:space="preserve">0,0 </w:t>
            </w:r>
          </w:p>
        </w:tc>
      </w:tr>
    </w:tbl>
    <w:p w14:paraId="0BC095D0" w14:textId="77777777" w:rsidR="002F7314" w:rsidRPr="00FD7B0B" w:rsidRDefault="002F7314" w:rsidP="00A3224B">
      <w:pPr>
        <w:pStyle w:val="aff0"/>
        <w:spacing w:after="0" w:line="240" w:lineRule="auto"/>
        <w:rPr>
          <w:rFonts w:ascii="Times New Roman" w:hAnsi="Times New Roman"/>
          <w:b w:val="0"/>
          <w:sz w:val="24"/>
          <w:szCs w:val="24"/>
        </w:rPr>
      </w:pPr>
    </w:p>
    <w:p w14:paraId="154483FD" w14:textId="5F91FCAC" w:rsidR="002F7314" w:rsidRPr="00FD7B0B" w:rsidRDefault="002F7314" w:rsidP="00DA351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Структурные изменения государственных долговых обязательств за 2024 год характеризуются снижением удельного веса бюджетных кредитов на 17,5 процентных пункт</w:t>
      </w:r>
      <w:r w:rsidR="00F73A8E" w:rsidRPr="00FD7B0B">
        <w:rPr>
          <w:rFonts w:ascii="Times New Roman" w:eastAsia="Calibri" w:hAnsi="Times New Roman" w:cs="Times New Roman"/>
          <w:sz w:val="28"/>
          <w:szCs w:val="28"/>
        </w:rPr>
        <w:t>а</w:t>
      </w:r>
      <w:r w:rsidRPr="00FD7B0B">
        <w:rPr>
          <w:rFonts w:ascii="Times New Roman" w:eastAsia="Calibri" w:hAnsi="Times New Roman" w:cs="Times New Roman"/>
          <w:sz w:val="28"/>
          <w:szCs w:val="28"/>
        </w:rPr>
        <w:t xml:space="preserve"> за счет соответствующего увеличения доли коммерческих кредитных организаций.</w:t>
      </w:r>
    </w:p>
    <w:p w14:paraId="008846AC" w14:textId="4226DB0B" w:rsidR="002F7314" w:rsidRPr="00FD7B0B" w:rsidRDefault="002F7314" w:rsidP="00F73A8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Ежемесячный состав государственных долговых обязательств за 2024 год представлен на рисунке </w:t>
      </w:r>
      <w:r w:rsidR="00BA7410" w:rsidRPr="00FD7B0B">
        <w:rPr>
          <w:rFonts w:ascii="Times New Roman" w:eastAsia="Calibri" w:hAnsi="Times New Roman" w:cs="Times New Roman"/>
          <w:sz w:val="28"/>
          <w:szCs w:val="28"/>
        </w:rPr>
        <w:t>41</w:t>
      </w:r>
      <w:r w:rsidRPr="00FD7B0B">
        <w:rPr>
          <w:rFonts w:ascii="Times New Roman" w:eastAsia="Calibri" w:hAnsi="Times New Roman" w:cs="Times New Roman"/>
          <w:sz w:val="28"/>
          <w:szCs w:val="28"/>
        </w:rPr>
        <w:t>.</w:t>
      </w:r>
    </w:p>
    <w:p w14:paraId="070BEC16" w14:textId="77777777" w:rsidR="002F7314" w:rsidRPr="00FD7B0B" w:rsidRDefault="002F7314" w:rsidP="00D137A7">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51190A08" wp14:editId="48A2AA40">
            <wp:extent cx="6149933" cy="2159635"/>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61703" cy="2163768"/>
                    </a:xfrm>
                    <a:prstGeom prst="rect">
                      <a:avLst/>
                    </a:prstGeom>
                    <a:noFill/>
                  </pic:spPr>
                </pic:pic>
              </a:graphicData>
            </a:graphic>
          </wp:inline>
        </w:drawing>
      </w:r>
    </w:p>
    <w:p w14:paraId="6F6CB2ED" w14:textId="77777777" w:rsidR="002F7314" w:rsidRPr="00FD7B0B" w:rsidRDefault="002F7314" w:rsidP="00D137A7">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41</w:t>
      </w:r>
      <w:r w:rsidRPr="00FD7B0B">
        <w:rPr>
          <w:rFonts w:ascii="Times New Roman" w:hAnsi="Times New Roman"/>
          <w:b w:val="0"/>
          <w:sz w:val="24"/>
          <w:szCs w:val="24"/>
        </w:rPr>
        <w:fldChar w:fldCharType="end"/>
      </w:r>
      <w:r w:rsidRPr="00FD7B0B">
        <w:rPr>
          <w:rFonts w:ascii="Times New Roman" w:hAnsi="Times New Roman"/>
          <w:b w:val="0"/>
          <w:sz w:val="24"/>
          <w:szCs w:val="24"/>
        </w:rPr>
        <w:t>. Ежемесячный состав государственного внутреннего долга Архангельской области за 2024 год, млн.руб.</w:t>
      </w:r>
    </w:p>
    <w:p w14:paraId="38191683" w14:textId="77777777" w:rsidR="002F7314" w:rsidRPr="00FD7B0B" w:rsidRDefault="002F7314" w:rsidP="00CA7B22">
      <w:pPr>
        <w:spacing w:after="0" w:line="240" w:lineRule="auto"/>
        <w:ind w:firstLine="709"/>
        <w:jc w:val="both"/>
        <w:rPr>
          <w:rFonts w:ascii="Times New Roman" w:eastAsia="Calibri" w:hAnsi="Times New Roman" w:cs="Times New Roman"/>
          <w:sz w:val="28"/>
          <w:szCs w:val="28"/>
        </w:rPr>
      </w:pPr>
    </w:p>
    <w:p w14:paraId="35816ABE" w14:textId="000314F7" w:rsidR="002F7314" w:rsidRPr="00FD7B0B" w:rsidRDefault="002F7314" w:rsidP="00CA7B22">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Сведения о привлечении и погашении заемных средств в отчетном периоде (сальдированный результат</w:t>
      </w:r>
      <w:r w:rsidR="00096934" w:rsidRPr="00FD7B0B">
        <w:rPr>
          <w:rFonts w:ascii="Times New Roman" w:eastAsia="Calibri" w:hAnsi="Times New Roman" w:cs="Times New Roman"/>
          <w:sz w:val="28"/>
          <w:szCs w:val="28"/>
        </w:rPr>
        <w:t xml:space="preserve"> с учетом бюджетных и коммерческих кредитов</w:t>
      </w:r>
      <w:r w:rsidRPr="00FD7B0B">
        <w:rPr>
          <w:rFonts w:ascii="Times New Roman" w:eastAsia="Calibri" w:hAnsi="Times New Roman" w:cs="Times New Roman"/>
          <w:sz w:val="28"/>
          <w:szCs w:val="28"/>
        </w:rPr>
        <w:t xml:space="preserve">) представлены на рисунке </w:t>
      </w:r>
      <w:r w:rsidR="00BA7410" w:rsidRPr="00FD7B0B">
        <w:rPr>
          <w:rFonts w:ascii="Times New Roman" w:eastAsia="Calibri" w:hAnsi="Times New Roman" w:cs="Times New Roman"/>
          <w:sz w:val="28"/>
          <w:szCs w:val="28"/>
        </w:rPr>
        <w:t>42</w:t>
      </w:r>
      <w:r w:rsidRPr="00FD7B0B">
        <w:rPr>
          <w:rFonts w:ascii="Times New Roman" w:eastAsia="Calibri" w:hAnsi="Times New Roman" w:cs="Times New Roman"/>
          <w:sz w:val="28"/>
          <w:szCs w:val="28"/>
        </w:rPr>
        <w:t>.</w:t>
      </w:r>
    </w:p>
    <w:p w14:paraId="40E8DBFB" w14:textId="15D66ACC" w:rsidR="002F7314" w:rsidRPr="00FD7B0B" w:rsidRDefault="00EC5FF2" w:rsidP="00EC5FF2">
      <w:pPr>
        <w:pStyle w:val="aff0"/>
        <w:spacing w:after="0" w:line="240" w:lineRule="auto"/>
        <w:jc w:val="center"/>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201D8DC7" wp14:editId="2FA6C179">
            <wp:extent cx="5644835" cy="1697813"/>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63662" cy="1703476"/>
                    </a:xfrm>
                    <a:prstGeom prst="rect">
                      <a:avLst/>
                    </a:prstGeom>
                    <a:noFill/>
                  </pic:spPr>
                </pic:pic>
              </a:graphicData>
            </a:graphic>
          </wp:inline>
        </w:drawing>
      </w:r>
    </w:p>
    <w:p w14:paraId="404C07AC" w14:textId="4FC5DB9F" w:rsidR="002F7314" w:rsidRPr="00FD7B0B" w:rsidRDefault="002F7314" w:rsidP="00EC5FF2">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42</w:t>
      </w:r>
      <w:r w:rsidRPr="00FD7B0B">
        <w:rPr>
          <w:rFonts w:ascii="Times New Roman" w:hAnsi="Times New Roman"/>
          <w:b w:val="0"/>
          <w:sz w:val="24"/>
          <w:szCs w:val="24"/>
        </w:rPr>
        <w:fldChar w:fldCharType="end"/>
      </w:r>
      <w:r w:rsidRPr="00FD7B0B">
        <w:rPr>
          <w:rFonts w:ascii="Times New Roman" w:hAnsi="Times New Roman"/>
          <w:b w:val="0"/>
          <w:sz w:val="24"/>
          <w:szCs w:val="24"/>
        </w:rPr>
        <w:t>. Привлечение заемных средств в областной бюджет (с учетом их погашения) в 202</w:t>
      </w:r>
      <w:r w:rsidR="00EC5FF2" w:rsidRPr="00FD7B0B">
        <w:rPr>
          <w:rFonts w:ascii="Times New Roman" w:hAnsi="Times New Roman"/>
          <w:b w:val="0"/>
          <w:sz w:val="24"/>
          <w:szCs w:val="24"/>
        </w:rPr>
        <w:t>4</w:t>
      </w:r>
      <w:r w:rsidRPr="00FD7B0B">
        <w:rPr>
          <w:rFonts w:ascii="Times New Roman" w:hAnsi="Times New Roman"/>
          <w:b w:val="0"/>
          <w:sz w:val="24"/>
          <w:szCs w:val="24"/>
        </w:rPr>
        <w:t xml:space="preserve"> году, млн.руб.</w:t>
      </w:r>
    </w:p>
    <w:p w14:paraId="3FCF2302" w14:textId="77777777" w:rsidR="002F7314" w:rsidRPr="00FD7B0B" w:rsidRDefault="002F7314" w:rsidP="00096934">
      <w:pPr>
        <w:spacing w:after="0" w:line="240" w:lineRule="auto"/>
        <w:ind w:firstLine="709"/>
        <w:jc w:val="both"/>
        <w:rPr>
          <w:rFonts w:ascii="Times New Roman" w:eastAsia="Calibri" w:hAnsi="Times New Roman" w:cs="Times New Roman"/>
          <w:sz w:val="28"/>
          <w:szCs w:val="28"/>
        </w:rPr>
      </w:pPr>
    </w:p>
    <w:p w14:paraId="087ECF2F" w14:textId="463A4F94" w:rsidR="002F7314" w:rsidRPr="00FD7B0B" w:rsidRDefault="002F7314" w:rsidP="0009693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 xml:space="preserve">Сведения о ежемесячном привлечении и погашении коммерческих кредитов в 2024 году представлены в таблице </w:t>
      </w:r>
      <w:r w:rsidR="00BA7410" w:rsidRPr="00FD7B0B">
        <w:rPr>
          <w:rFonts w:ascii="Times New Roman" w:eastAsia="Calibri" w:hAnsi="Times New Roman" w:cs="Times New Roman"/>
          <w:sz w:val="28"/>
          <w:szCs w:val="28"/>
        </w:rPr>
        <w:t>260</w:t>
      </w:r>
      <w:r w:rsidRPr="00FD7B0B">
        <w:rPr>
          <w:rFonts w:ascii="Times New Roman" w:eastAsia="Calibri" w:hAnsi="Times New Roman" w:cs="Times New Roman"/>
          <w:sz w:val="28"/>
          <w:szCs w:val="28"/>
        </w:rPr>
        <w:t>.</w:t>
      </w:r>
    </w:p>
    <w:p w14:paraId="03DEEE2F" w14:textId="77777777" w:rsidR="002F7314" w:rsidRPr="00FD7B0B" w:rsidRDefault="002F7314" w:rsidP="00096934">
      <w:pPr>
        <w:pStyle w:val="aff0"/>
        <w:spacing w:after="0" w:line="240" w:lineRule="auto"/>
        <w:rPr>
          <w:rFonts w:ascii="Times New Roman" w:hAnsi="Times New Roman"/>
          <w:b w:val="0"/>
          <w:sz w:val="24"/>
          <w:szCs w:val="24"/>
        </w:rPr>
      </w:pPr>
    </w:p>
    <w:p w14:paraId="1A6425B7" w14:textId="77777777" w:rsidR="002F7314" w:rsidRPr="00FD7B0B" w:rsidRDefault="002F7314" w:rsidP="00096934">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260</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 движении коммерческих кредитах, привлеченных в областной бюджет в кредитных организациях за 2024 год, млн.руб.</w:t>
      </w:r>
    </w:p>
    <w:tbl>
      <w:tblPr>
        <w:tblW w:w="9475" w:type="dxa"/>
        <w:tblLook w:val="04A0" w:firstRow="1" w:lastRow="0" w:firstColumn="1" w:lastColumn="0" w:noHBand="0" w:noVBand="1"/>
      </w:tblPr>
      <w:tblGrid>
        <w:gridCol w:w="2050"/>
        <w:gridCol w:w="1755"/>
        <w:gridCol w:w="1842"/>
        <w:gridCol w:w="1985"/>
        <w:gridCol w:w="1843"/>
      </w:tblGrid>
      <w:tr w:rsidR="00FD7B0B" w:rsidRPr="00FD7B0B" w14:paraId="21833283" w14:textId="77777777" w:rsidTr="002F7314">
        <w:trPr>
          <w:trHeight w:val="35"/>
          <w:tblHeader/>
        </w:trPr>
        <w:tc>
          <w:tcPr>
            <w:tcW w:w="205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F07B081" w14:textId="77777777" w:rsidR="002F7314" w:rsidRPr="00FD7B0B" w:rsidRDefault="002F7314" w:rsidP="00E63DEE">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Месяц</w:t>
            </w:r>
          </w:p>
        </w:tc>
        <w:tc>
          <w:tcPr>
            <w:tcW w:w="1755" w:type="dxa"/>
            <w:tcBorders>
              <w:top w:val="double" w:sz="6" w:space="0" w:color="auto"/>
              <w:left w:val="nil"/>
              <w:bottom w:val="single" w:sz="4" w:space="0" w:color="auto"/>
              <w:right w:val="single" w:sz="4" w:space="0" w:color="auto"/>
            </w:tcBorders>
            <w:shd w:val="clear" w:color="auto" w:fill="auto"/>
            <w:vAlign w:val="center"/>
            <w:hideMark/>
          </w:tcPr>
          <w:p w14:paraId="350B023B" w14:textId="77777777" w:rsidR="002F7314" w:rsidRPr="00FD7B0B" w:rsidRDefault="002F7314" w:rsidP="00E63DEE">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Долг на начало месяца</w:t>
            </w:r>
          </w:p>
        </w:tc>
        <w:tc>
          <w:tcPr>
            <w:tcW w:w="1842" w:type="dxa"/>
            <w:tcBorders>
              <w:top w:val="double" w:sz="6" w:space="0" w:color="auto"/>
              <w:left w:val="nil"/>
              <w:bottom w:val="single" w:sz="4" w:space="0" w:color="auto"/>
              <w:right w:val="single" w:sz="4" w:space="0" w:color="auto"/>
            </w:tcBorders>
            <w:shd w:val="clear" w:color="auto" w:fill="auto"/>
            <w:vAlign w:val="center"/>
            <w:hideMark/>
          </w:tcPr>
          <w:p w14:paraId="02616236" w14:textId="77777777" w:rsidR="002F7314" w:rsidRPr="00FD7B0B" w:rsidRDefault="002F7314" w:rsidP="00E63DEE">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Привлечено за месяц</w:t>
            </w:r>
          </w:p>
        </w:tc>
        <w:tc>
          <w:tcPr>
            <w:tcW w:w="1985" w:type="dxa"/>
            <w:tcBorders>
              <w:top w:val="double" w:sz="6" w:space="0" w:color="auto"/>
              <w:left w:val="nil"/>
              <w:bottom w:val="single" w:sz="4" w:space="0" w:color="auto"/>
              <w:right w:val="single" w:sz="4" w:space="0" w:color="auto"/>
            </w:tcBorders>
            <w:shd w:val="clear" w:color="auto" w:fill="auto"/>
            <w:noWrap/>
            <w:vAlign w:val="center"/>
            <w:hideMark/>
          </w:tcPr>
          <w:p w14:paraId="6D015DBF" w14:textId="77777777" w:rsidR="002F7314" w:rsidRPr="00FD7B0B" w:rsidRDefault="002F7314" w:rsidP="00E63DEE">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Погашено за месяц</w:t>
            </w:r>
          </w:p>
        </w:tc>
        <w:tc>
          <w:tcPr>
            <w:tcW w:w="1843" w:type="dxa"/>
            <w:tcBorders>
              <w:top w:val="double" w:sz="6" w:space="0" w:color="auto"/>
              <w:left w:val="nil"/>
              <w:bottom w:val="single" w:sz="4" w:space="0" w:color="auto"/>
              <w:right w:val="double" w:sz="6" w:space="0" w:color="auto"/>
            </w:tcBorders>
            <w:shd w:val="clear" w:color="auto" w:fill="auto"/>
            <w:vAlign w:val="center"/>
            <w:hideMark/>
          </w:tcPr>
          <w:p w14:paraId="68766811" w14:textId="77777777" w:rsidR="002F7314" w:rsidRPr="00FD7B0B" w:rsidRDefault="002F7314" w:rsidP="00E63DEE">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Расходы на обслуживание</w:t>
            </w:r>
          </w:p>
        </w:tc>
      </w:tr>
      <w:tr w:rsidR="00FD7B0B" w:rsidRPr="00FD7B0B" w14:paraId="77F6D00D"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4135995E"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Январь 2024</w:t>
            </w:r>
          </w:p>
        </w:tc>
        <w:tc>
          <w:tcPr>
            <w:tcW w:w="1755" w:type="dxa"/>
            <w:tcBorders>
              <w:top w:val="nil"/>
              <w:left w:val="nil"/>
              <w:bottom w:val="single" w:sz="4" w:space="0" w:color="auto"/>
              <w:right w:val="single" w:sz="4" w:space="0" w:color="auto"/>
            </w:tcBorders>
            <w:shd w:val="clear" w:color="auto" w:fill="auto"/>
            <w:noWrap/>
            <w:vAlign w:val="bottom"/>
            <w:hideMark/>
          </w:tcPr>
          <w:p w14:paraId="40497374"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22 999,9 </w:t>
            </w:r>
          </w:p>
        </w:tc>
        <w:tc>
          <w:tcPr>
            <w:tcW w:w="1842" w:type="dxa"/>
            <w:tcBorders>
              <w:top w:val="nil"/>
              <w:left w:val="nil"/>
              <w:bottom w:val="single" w:sz="4" w:space="0" w:color="auto"/>
              <w:right w:val="single" w:sz="4" w:space="0" w:color="auto"/>
            </w:tcBorders>
            <w:shd w:val="clear" w:color="auto" w:fill="auto"/>
            <w:noWrap/>
            <w:vAlign w:val="bottom"/>
            <w:hideMark/>
          </w:tcPr>
          <w:p w14:paraId="5CDF0DD8"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1 300,0 </w:t>
            </w:r>
          </w:p>
        </w:tc>
        <w:tc>
          <w:tcPr>
            <w:tcW w:w="1985" w:type="dxa"/>
            <w:tcBorders>
              <w:top w:val="nil"/>
              <w:left w:val="nil"/>
              <w:bottom w:val="single" w:sz="4" w:space="0" w:color="auto"/>
              <w:right w:val="single" w:sz="4" w:space="0" w:color="auto"/>
            </w:tcBorders>
            <w:shd w:val="clear" w:color="auto" w:fill="auto"/>
            <w:noWrap/>
            <w:vAlign w:val="bottom"/>
            <w:hideMark/>
          </w:tcPr>
          <w:p w14:paraId="7422F61A"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1 500,0 </w:t>
            </w:r>
          </w:p>
        </w:tc>
        <w:tc>
          <w:tcPr>
            <w:tcW w:w="1843" w:type="dxa"/>
            <w:tcBorders>
              <w:top w:val="nil"/>
              <w:left w:val="nil"/>
              <w:bottom w:val="single" w:sz="4" w:space="0" w:color="auto"/>
              <w:right w:val="double" w:sz="6" w:space="0" w:color="auto"/>
            </w:tcBorders>
            <w:shd w:val="clear" w:color="auto" w:fill="auto"/>
            <w:noWrap/>
            <w:vAlign w:val="bottom"/>
            <w:hideMark/>
          </w:tcPr>
          <w:p w14:paraId="7C482D17"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219,6 </w:t>
            </w:r>
          </w:p>
        </w:tc>
      </w:tr>
      <w:tr w:rsidR="00FD7B0B" w:rsidRPr="00FD7B0B" w14:paraId="45803CC1"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529876F0"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Февраль 2024</w:t>
            </w:r>
          </w:p>
        </w:tc>
        <w:tc>
          <w:tcPr>
            <w:tcW w:w="1755" w:type="dxa"/>
            <w:tcBorders>
              <w:top w:val="nil"/>
              <w:left w:val="nil"/>
              <w:bottom w:val="single" w:sz="4" w:space="0" w:color="auto"/>
              <w:right w:val="single" w:sz="4" w:space="0" w:color="auto"/>
            </w:tcBorders>
            <w:shd w:val="clear" w:color="auto" w:fill="auto"/>
            <w:noWrap/>
            <w:vAlign w:val="bottom"/>
            <w:hideMark/>
          </w:tcPr>
          <w:p w14:paraId="3E17A489"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22 799,9 </w:t>
            </w:r>
          </w:p>
        </w:tc>
        <w:tc>
          <w:tcPr>
            <w:tcW w:w="1842" w:type="dxa"/>
            <w:tcBorders>
              <w:top w:val="nil"/>
              <w:left w:val="nil"/>
              <w:bottom w:val="single" w:sz="4" w:space="0" w:color="auto"/>
              <w:right w:val="single" w:sz="4" w:space="0" w:color="auto"/>
            </w:tcBorders>
            <w:shd w:val="clear" w:color="auto" w:fill="auto"/>
            <w:noWrap/>
            <w:vAlign w:val="bottom"/>
            <w:hideMark/>
          </w:tcPr>
          <w:p w14:paraId="2C100352"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2 800,0 </w:t>
            </w:r>
          </w:p>
        </w:tc>
        <w:tc>
          <w:tcPr>
            <w:tcW w:w="1985" w:type="dxa"/>
            <w:tcBorders>
              <w:top w:val="nil"/>
              <w:left w:val="nil"/>
              <w:bottom w:val="single" w:sz="4" w:space="0" w:color="auto"/>
              <w:right w:val="single" w:sz="4" w:space="0" w:color="auto"/>
            </w:tcBorders>
            <w:shd w:val="clear" w:color="auto" w:fill="auto"/>
            <w:noWrap/>
            <w:vAlign w:val="bottom"/>
            <w:hideMark/>
          </w:tcPr>
          <w:p w14:paraId="7D5C3BAC"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4 099,9 </w:t>
            </w:r>
          </w:p>
        </w:tc>
        <w:tc>
          <w:tcPr>
            <w:tcW w:w="1843" w:type="dxa"/>
            <w:tcBorders>
              <w:top w:val="nil"/>
              <w:left w:val="nil"/>
              <w:bottom w:val="single" w:sz="4" w:space="0" w:color="auto"/>
              <w:right w:val="double" w:sz="6" w:space="0" w:color="auto"/>
            </w:tcBorders>
            <w:shd w:val="clear" w:color="auto" w:fill="auto"/>
            <w:noWrap/>
            <w:vAlign w:val="bottom"/>
            <w:hideMark/>
          </w:tcPr>
          <w:p w14:paraId="566A4259"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224,1 </w:t>
            </w:r>
          </w:p>
        </w:tc>
      </w:tr>
      <w:tr w:rsidR="00FD7B0B" w:rsidRPr="00FD7B0B" w14:paraId="4C910CD9"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63A78B95"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Март 2024</w:t>
            </w:r>
          </w:p>
        </w:tc>
        <w:tc>
          <w:tcPr>
            <w:tcW w:w="1755" w:type="dxa"/>
            <w:tcBorders>
              <w:top w:val="nil"/>
              <w:left w:val="nil"/>
              <w:bottom w:val="single" w:sz="4" w:space="0" w:color="auto"/>
              <w:right w:val="single" w:sz="4" w:space="0" w:color="auto"/>
            </w:tcBorders>
            <w:shd w:val="clear" w:color="auto" w:fill="auto"/>
            <w:noWrap/>
            <w:vAlign w:val="bottom"/>
            <w:hideMark/>
          </w:tcPr>
          <w:p w14:paraId="2DA2BA4E"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21 500,0 </w:t>
            </w:r>
          </w:p>
        </w:tc>
        <w:tc>
          <w:tcPr>
            <w:tcW w:w="1842" w:type="dxa"/>
            <w:tcBorders>
              <w:top w:val="nil"/>
              <w:left w:val="nil"/>
              <w:bottom w:val="single" w:sz="4" w:space="0" w:color="auto"/>
              <w:right w:val="single" w:sz="4" w:space="0" w:color="auto"/>
            </w:tcBorders>
            <w:shd w:val="clear" w:color="auto" w:fill="auto"/>
            <w:noWrap/>
            <w:vAlign w:val="bottom"/>
            <w:hideMark/>
          </w:tcPr>
          <w:p w14:paraId="56D220BF"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6 000,0 </w:t>
            </w:r>
          </w:p>
        </w:tc>
        <w:tc>
          <w:tcPr>
            <w:tcW w:w="1985" w:type="dxa"/>
            <w:tcBorders>
              <w:top w:val="nil"/>
              <w:left w:val="nil"/>
              <w:bottom w:val="single" w:sz="4" w:space="0" w:color="auto"/>
              <w:right w:val="single" w:sz="4" w:space="0" w:color="auto"/>
            </w:tcBorders>
            <w:shd w:val="clear" w:color="auto" w:fill="auto"/>
            <w:noWrap/>
            <w:vAlign w:val="bottom"/>
            <w:hideMark/>
          </w:tcPr>
          <w:p w14:paraId="563F1421"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8 000,0 </w:t>
            </w:r>
          </w:p>
        </w:tc>
        <w:tc>
          <w:tcPr>
            <w:tcW w:w="1843" w:type="dxa"/>
            <w:tcBorders>
              <w:top w:val="nil"/>
              <w:left w:val="nil"/>
              <w:bottom w:val="single" w:sz="4" w:space="0" w:color="auto"/>
              <w:right w:val="double" w:sz="6" w:space="0" w:color="auto"/>
            </w:tcBorders>
            <w:shd w:val="clear" w:color="auto" w:fill="auto"/>
            <w:noWrap/>
            <w:vAlign w:val="bottom"/>
            <w:hideMark/>
          </w:tcPr>
          <w:p w14:paraId="4CF42089"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194,1 </w:t>
            </w:r>
          </w:p>
        </w:tc>
      </w:tr>
      <w:tr w:rsidR="00FD7B0B" w:rsidRPr="00FD7B0B" w14:paraId="3ECBD7ED"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73A6BBF1"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Апрель 2024</w:t>
            </w:r>
          </w:p>
        </w:tc>
        <w:tc>
          <w:tcPr>
            <w:tcW w:w="1755" w:type="dxa"/>
            <w:tcBorders>
              <w:top w:val="nil"/>
              <w:left w:val="nil"/>
              <w:bottom w:val="single" w:sz="4" w:space="0" w:color="auto"/>
              <w:right w:val="single" w:sz="4" w:space="0" w:color="auto"/>
            </w:tcBorders>
            <w:shd w:val="clear" w:color="auto" w:fill="auto"/>
            <w:noWrap/>
            <w:vAlign w:val="bottom"/>
            <w:hideMark/>
          </w:tcPr>
          <w:p w14:paraId="5E8507F5"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19 500,0 </w:t>
            </w:r>
          </w:p>
        </w:tc>
        <w:tc>
          <w:tcPr>
            <w:tcW w:w="1842" w:type="dxa"/>
            <w:tcBorders>
              <w:top w:val="nil"/>
              <w:left w:val="nil"/>
              <w:bottom w:val="single" w:sz="4" w:space="0" w:color="auto"/>
              <w:right w:val="single" w:sz="4" w:space="0" w:color="auto"/>
            </w:tcBorders>
            <w:shd w:val="clear" w:color="auto" w:fill="auto"/>
            <w:noWrap/>
            <w:vAlign w:val="bottom"/>
            <w:hideMark/>
          </w:tcPr>
          <w:p w14:paraId="308F2223"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12 500,0 </w:t>
            </w:r>
          </w:p>
        </w:tc>
        <w:tc>
          <w:tcPr>
            <w:tcW w:w="1985" w:type="dxa"/>
            <w:tcBorders>
              <w:top w:val="nil"/>
              <w:left w:val="nil"/>
              <w:bottom w:val="single" w:sz="4" w:space="0" w:color="auto"/>
              <w:right w:val="single" w:sz="4" w:space="0" w:color="auto"/>
            </w:tcBorders>
            <w:shd w:val="clear" w:color="auto" w:fill="auto"/>
            <w:noWrap/>
            <w:vAlign w:val="bottom"/>
            <w:hideMark/>
          </w:tcPr>
          <w:p w14:paraId="7E1D7446"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5 600,0 </w:t>
            </w:r>
          </w:p>
        </w:tc>
        <w:tc>
          <w:tcPr>
            <w:tcW w:w="1843" w:type="dxa"/>
            <w:tcBorders>
              <w:top w:val="nil"/>
              <w:left w:val="nil"/>
              <w:bottom w:val="single" w:sz="4" w:space="0" w:color="auto"/>
              <w:right w:val="double" w:sz="6" w:space="0" w:color="auto"/>
            </w:tcBorders>
            <w:shd w:val="clear" w:color="auto" w:fill="auto"/>
            <w:noWrap/>
            <w:vAlign w:val="bottom"/>
            <w:hideMark/>
          </w:tcPr>
          <w:p w14:paraId="4B02A048"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204,2 </w:t>
            </w:r>
          </w:p>
        </w:tc>
      </w:tr>
      <w:tr w:rsidR="00FD7B0B" w:rsidRPr="00FD7B0B" w14:paraId="4803053C"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2D277CE9"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Май 2024</w:t>
            </w:r>
          </w:p>
        </w:tc>
        <w:tc>
          <w:tcPr>
            <w:tcW w:w="1755" w:type="dxa"/>
            <w:tcBorders>
              <w:top w:val="nil"/>
              <w:left w:val="nil"/>
              <w:bottom w:val="single" w:sz="4" w:space="0" w:color="auto"/>
              <w:right w:val="single" w:sz="4" w:space="0" w:color="auto"/>
            </w:tcBorders>
            <w:shd w:val="clear" w:color="auto" w:fill="auto"/>
            <w:noWrap/>
            <w:vAlign w:val="bottom"/>
            <w:hideMark/>
          </w:tcPr>
          <w:p w14:paraId="5EEFBA01"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26 400,0 </w:t>
            </w:r>
          </w:p>
        </w:tc>
        <w:tc>
          <w:tcPr>
            <w:tcW w:w="1842" w:type="dxa"/>
            <w:tcBorders>
              <w:top w:val="nil"/>
              <w:left w:val="nil"/>
              <w:bottom w:val="single" w:sz="4" w:space="0" w:color="auto"/>
              <w:right w:val="single" w:sz="4" w:space="0" w:color="auto"/>
            </w:tcBorders>
            <w:shd w:val="clear" w:color="auto" w:fill="auto"/>
            <w:noWrap/>
            <w:vAlign w:val="bottom"/>
            <w:hideMark/>
          </w:tcPr>
          <w:p w14:paraId="2DBF9D85"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9 200,0 </w:t>
            </w:r>
          </w:p>
        </w:tc>
        <w:tc>
          <w:tcPr>
            <w:tcW w:w="1985" w:type="dxa"/>
            <w:tcBorders>
              <w:top w:val="nil"/>
              <w:left w:val="nil"/>
              <w:bottom w:val="single" w:sz="4" w:space="0" w:color="auto"/>
              <w:right w:val="single" w:sz="4" w:space="0" w:color="auto"/>
            </w:tcBorders>
            <w:shd w:val="clear" w:color="auto" w:fill="auto"/>
            <w:noWrap/>
            <w:vAlign w:val="bottom"/>
            <w:hideMark/>
          </w:tcPr>
          <w:p w14:paraId="2B0AB309"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15 000,0 </w:t>
            </w:r>
          </w:p>
        </w:tc>
        <w:tc>
          <w:tcPr>
            <w:tcW w:w="1843" w:type="dxa"/>
            <w:tcBorders>
              <w:top w:val="nil"/>
              <w:left w:val="nil"/>
              <w:bottom w:val="single" w:sz="4" w:space="0" w:color="auto"/>
              <w:right w:val="double" w:sz="6" w:space="0" w:color="auto"/>
            </w:tcBorders>
            <w:shd w:val="clear" w:color="auto" w:fill="auto"/>
            <w:noWrap/>
            <w:vAlign w:val="bottom"/>
            <w:hideMark/>
          </w:tcPr>
          <w:p w14:paraId="54833131"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248,9 </w:t>
            </w:r>
          </w:p>
        </w:tc>
      </w:tr>
      <w:tr w:rsidR="00FD7B0B" w:rsidRPr="00FD7B0B" w14:paraId="6D593400"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36EC9FDF"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Июнь 2024</w:t>
            </w:r>
          </w:p>
        </w:tc>
        <w:tc>
          <w:tcPr>
            <w:tcW w:w="1755" w:type="dxa"/>
            <w:tcBorders>
              <w:top w:val="nil"/>
              <w:left w:val="nil"/>
              <w:bottom w:val="single" w:sz="4" w:space="0" w:color="auto"/>
              <w:right w:val="single" w:sz="4" w:space="0" w:color="auto"/>
            </w:tcBorders>
            <w:shd w:val="clear" w:color="auto" w:fill="auto"/>
            <w:noWrap/>
            <w:vAlign w:val="bottom"/>
            <w:hideMark/>
          </w:tcPr>
          <w:p w14:paraId="2EBDF605"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20 600,0 </w:t>
            </w:r>
          </w:p>
        </w:tc>
        <w:tc>
          <w:tcPr>
            <w:tcW w:w="1842" w:type="dxa"/>
            <w:tcBorders>
              <w:top w:val="nil"/>
              <w:left w:val="nil"/>
              <w:bottom w:val="single" w:sz="4" w:space="0" w:color="auto"/>
              <w:right w:val="single" w:sz="4" w:space="0" w:color="auto"/>
            </w:tcBorders>
            <w:shd w:val="clear" w:color="auto" w:fill="auto"/>
            <w:noWrap/>
            <w:vAlign w:val="bottom"/>
            <w:hideMark/>
          </w:tcPr>
          <w:p w14:paraId="4893E6A6"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12 800,0 </w:t>
            </w:r>
          </w:p>
        </w:tc>
        <w:tc>
          <w:tcPr>
            <w:tcW w:w="1985" w:type="dxa"/>
            <w:tcBorders>
              <w:top w:val="nil"/>
              <w:left w:val="nil"/>
              <w:bottom w:val="single" w:sz="4" w:space="0" w:color="auto"/>
              <w:right w:val="single" w:sz="4" w:space="0" w:color="auto"/>
            </w:tcBorders>
            <w:shd w:val="clear" w:color="auto" w:fill="auto"/>
            <w:noWrap/>
            <w:vAlign w:val="bottom"/>
            <w:hideMark/>
          </w:tcPr>
          <w:p w14:paraId="6D04370F"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5 600,0 </w:t>
            </w:r>
          </w:p>
        </w:tc>
        <w:tc>
          <w:tcPr>
            <w:tcW w:w="1843" w:type="dxa"/>
            <w:tcBorders>
              <w:top w:val="nil"/>
              <w:left w:val="nil"/>
              <w:bottom w:val="single" w:sz="4" w:space="0" w:color="auto"/>
              <w:right w:val="double" w:sz="6" w:space="0" w:color="auto"/>
            </w:tcBorders>
            <w:shd w:val="clear" w:color="auto" w:fill="auto"/>
            <w:noWrap/>
            <w:vAlign w:val="bottom"/>
            <w:hideMark/>
          </w:tcPr>
          <w:p w14:paraId="55C12299"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303,9 </w:t>
            </w:r>
          </w:p>
        </w:tc>
      </w:tr>
      <w:tr w:rsidR="00FD7B0B" w:rsidRPr="00FD7B0B" w14:paraId="7B26E0D5"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122CDDD6"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Июль 2024</w:t>
            </w:r>
          </w:p>
        </w:tc>
        <w:tc>
          <w:tcPr>
            <w:tcW w:w="1755" w:type="dxa"/>
            <w:tcBorders>
              <w:top w:val="nil"/>
              <w:left w:val="nil"/>
              <w:bottom w:val="single" w:sz="4" w:space="0" w:color="auto"/>
              <w:right w:val="single" w:sz="4" w:space="0" w:color="auto"/>
            </w:tcBorders>
            <w:shd w:val="clear" w:color="auto" w:fill="auto"/>
            <w:noWrap/>
            <w:vAlign w:val="bottom"/>
            <w:hideMark/>
          </w:tcPr>
          <w:p w14:paraId="5E471BB4"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27 800,0 </w:t>
            </w:r>
          </w:p>
        </w:tc>
        <w:tc>
          <w:tcPr>
            <w:tcW w:w="1842" w:type="dxa"/>
            <w:tcBorders>
              <w:top w:val="nil"/>
              <w:left w:val="nil"/>
              <w:bottom w:val="single" w:sz="4" w:space="0" w:color="auto"/>
              <w:right w:val="single" w:sz="4" w:space="0" w:color="auto"/>
            </w:tcBorders>
            <w:shd w:val="clear" w:color="auto" w:fill="auto"/>
            <w:noWrap/>
            <w:vAlign w:val="bottom"/>
            <w:hideMark/>
          </w:tcPr>
          <w:p w14:paraId="68FEB4BC"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10 500,1 </w:t>
            </w:r>
          </w:p>
        </w:tc>
        <w:tc>
          <w:tcPr>
            <w:tcW w:w="1985" w:type="dxa"/>
            <w:tcBorders>
              <w:top w:val="nil"/>
              <w:left w:val="nil"/>
              <w:bottom w:val="single" w:sz="4" w:space="0" w:color="auto"/>
              <w:right w:val="single" w:sz="4" w:space="0" w:color="auto"/>
            </w:tcBorders>
            <w:shd w:val="clear" w:color="auto" w:fill="auto"/>
            <w:noWrap/>
            <w:vAlign w:val="bottom"/>
            <w:hideMark/>
          </w:tcPr>
          <w:p w14:paraId="0E68832A"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10 800,0 </w:t>
            </w:r>
          </w:p>
        </w:tc>
        <w:tc>
          <w:tcPr>
            <w:tcW w:w="1843" w:type="dxa"/>
            <w:tcBorders>
              <w:top w:val="nil"/>
              <w:left w:val="nil"/>
              <w:bottom w:val="single" w:sz="4" w:space="0" w:color="auto"/>
              <w:right w:val="double" w:sz="6" w:space="0" w:color="auto"/>
            </w:tcBorders>
            <w:shd w:val="clear" w:color="auto" w:fill="auto"/>
            <w:noWrap/>
            <w:vAlign w:val="bottom"/>
            <w:hideMark/>
          </w:tcPr>
          <w:p w14:paraId="5A7CA731"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398,3 </w:t>
            </w:r>
          </w:p>
        </w:tc>
      </w:tr>
      <w:tr w:rsidR="00FD7B0B" w:rsidRPr="00FD7B0B" w14:paraId="10E38BA7"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1D8C4A03"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Август 2024</w:t>
            </w:r>
          </w:p>
        </w:tc>
        <w:tc>
          <w:tcPr>
            <w:tcW w:w="1755" w:type="dxa"/>
            <w:tcBorders>
              <w:top w:val="nil"/>
              <w:left w:val="nil"/>
              <w:bottom w:val="single" w:sz="4" w:space="0" w:color="auto"/>
              <w:right w:val="single" w:sz="4" w:space="0" w:color="auto"/>
            </w:tcBorders>
            <w:shd w:val="clear" w:color="auto" w:fill="auto"/>
            <w:noWrap/>
            <w:vAlign w:val="bottom"/>
            <w:hideMark/>
          </w:tcPr>
          <w:p w14:paraId="2A0007AB"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27 500,1 </w:t>
            </w:r>
          </w:p>
        </w:tc>
        <w:tc>
          <w:tcPr>
            <w:tcW w:w="1842" w:type="dxa"/>
            <w:tcBorders>
              <w:top w:val="nil"/>
              <w:left w:val="nil"/>
              <w:bottom w:val="single" w:sz="4" w:space="0" w:color="auto"/>
              <w:right w:val="single" w:sz="4" w:space="0" w:color="auto"/>
            </w:tcBorders>
            <w:shd w:val="clear" w:color="auto" w:fill="auto"/>
            <w:noWrap/>
            <w:vAlign w:val="bottom"/>
            <w:hideMark/>
          </w:tcPr>
          <w:p w14:paraId="5E32F5E6"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3 600,0 </w:t>
            </w:r>
          </w:p>
        </w:tc>
        <w:tc>
          <w:tcPr>
            <w:tcW w:w="1985" w:type="dxa"/>
            <w:tcBorders>
              <w:top w:val="nil"/>
              <w:left w:val="nil"/>
              <w:bottom w:val="single" w:sz="4" w:space="0" w:color="auto"/>
              <w:right w:val="single" w:sz="4" w:space="0" w:color="auto"/>
            </w:tcBorders>
            <w:shd w:val="clear" w:color="auto" w:fill="auto"/>
            <w:noWrap/>
            <w:vAlign w:val="bottom"/>
            <w:hideMark/>
          </w:tcPr>
          <w:p w14:paraId="64105D08"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2 800,0 </w:t>
            </w:r>
          </w:p>
        </w:tc>
        <w:tc>
          <w:tcPr>
            <w:tcW w:w="1843" w:type="dxa"/>
            <w:tcBorders>
              <w:top w:val="nil"/>
              <w:left w:val="nil"/>
              <w:bottom w:val="single" w:sz="4" w:space="0" w:color="auto"/>
              <w:right w:val="double" w:sz="6" w:space="0" w:color="auto"/>
            </w:tcBorders>
            <w:shd w:val="clear" w:color="auto" w:fill="auto"/>
            <w:noWrap/>
            <w:vAlign w:val="bottom"/>
            <w:hideMark/>
          </w:tcPr>
          <w:p w14:paraId="62CDEBFF"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439,0 </w:t>
            </w:r>
          </w:p>
        </w:tc>
      </w:tr>
      <w:tr w:rsidR="00FD7B0B" w:rsidRPr="00FD7B0B" w14:paraId="0578453D"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04713C5F"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Сентябрь 2024</w:t>
            </w:r>
          </w:p>
        </w:tc>
        <w:tc>
          <w:tcPr>
            <w:tcW w:w="1755" w:type="dxa"/>
            <w:tcBorders>
              <w:top w:val="nil"/>
              <w:left w:val="nil"/>
              <w:bottom w:val="single" w:sz="4" w:space="0" w:color="auto"/>
              <w:right w:val="single" w:sz="4" w:space="0" w:color="auto"/>
            </w:tcBorders>
            <w:shd w:val="clear" w:color="auto" w:fill="auto"/>
            <w:noWrap/>
            <w:vAlign w:val="bottom"/>
            <w:hideMark/>
          </w:tcPr>
          <w:p w14:paraId="0725AC8E"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28 300,1 </w:t>
            </w:r>
          </w:p>
        </w:tc>
        <w:tc>
          <w:tcPr>
            <w:tcW w:w="1842" w:type="dxa"/>
            <w:tcBorders>
              <w:top w:val="nil"/>
              <w:left w:val="nil"/>
              <w:bottom w:val="single" w:sz="4" w:space="0" w:color="auto"/>
              <w:right w:val="single" w:sz="4" w:space="0" w:color="auto"/>
            </w:tcBorders>
            <w:shd w:val="clear" w:color="auto" w:fill="auto"/>
            <w:noWrap/>
            <w:vAlign w:val="bottom"/>
            <w:hideMark/>
          </w:tcPr>
          <w:p w14:paraId="4B598539"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6 900,0 </w:t>
            </w:r>
          </w:p>
        </w:tc>
        <w:tc>
          <w:tcPr>
            <w:tcW w:w="1985" w:type="dxa"/>
            <w:tcBorders>
              <w:top w:val="nil"/>
              <w:left w:val="nil"/>
              <w:bottom w:val="single" w:sz="4" w:space="0" w:color="auto"/>
              <w:right w:val="single" w:sz="4" w:space="0" w:color="auto"/>
            </w:tcBorders>
            <w:shd w:val="clear" w:color="auto" w:fill="auto"/>
            <w:noWrap/>
            <w:vAlign w:val="bottom"/>
            <w:hideMark/>
          </w:tcPr>
          <w:p w14:paraId="4458BA0B"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4 600,1 </w:t>
            </w:r>
          </w:p>
        </w:tc>
        <w:tc>
          <w:tcPr>
            <w:tcW w:w="1843" w:type="dxa"/>
            <w:tcBorders>
              <w:top w:val="nil"/>
              <w:left w:val="nil"/>
              <w:bottom w:val="single" w:sz="4" w:space="0" w:color="auto"/>
              <w:right w:val="double" w:sz="6" w:space="0" w:color="auto"/>
            </w:tcBorders>
            <w:shd w:val="clear" w:color="auto" w:fill="auto"/>
            <w:noWrap/>
            <w:vAlign w:val="bottom"/>
            <w:hideMark/>
          </w:tcPr>
          <w:p w14:paraId="1AE605C6"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0DC13D8C"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7204F37F"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Октябрь 2024</w:t>
            </w:r>
          </w:p>
        </w:tc>
        <w:tc>
          <w:tcPr>
            <w:tcW w:w="1755" w:type="dxa"/>
            <w:tcBorders>
              <w:top w:val="nil"/>
              <w:left w:val="nil"/>
              <w:bottom w:val="single" w:sz="4" w:space="0" w:color="auto"/>
              <w:right w:val="single" w:sz="4" w:space="0" w:color="auto"/>
            </w:tcBorders>
            <w:shd w:val="clear" w:color="auto" w:fill="auto"/>
            <w:noWrap/>
            <w:vAlign w:val="bottom"/>
            <w:hideMark/>
          </w:tcPr>
          <w:p w14:paraId="42FE5422"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30 600,0 </w:t>
            </w:r>
          </w:p>
        </w:tc>
        <w:tc>
          <w:tcPr>
            <w:tcW w:w="1842" w:type="dxa"/>
            <w:tcBorders>
              <w:top w:val="nil"/>
              <w:left w:val="nil"/>
              <w:bottom w:val="single" w:sz="4" w:space="0" w:color="auto"/>
              <w:right w:val="single" w:sz="4" w:space="0" w:color="auto"/>
            </w:tcBorders>
            <w:shd w:val="clear" w:color="auto" w:fill="auto"/>
            <w:noWrap/>
            <w:vAlign w:val="bottom"/>
            <w:hideMark/>
          </w:tcPr>
          <w:p w14:paraId="31EE8614"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7 200,0 </w:t>
            </w:r>
          </w:p>
        </w:tc>
        <w:tc>
          <w:tcPr>
            <w:tcW w:w="1985" w:type="dxa"/>
            <w:tcBorders>
              <w:top w:val="nil"/>
              <w:left w:val="nil"/>
              <w:bottom w:val="single" w:sz="4" w:space="0" w:color="auto"/>
              <w:right w:val="single" w:sz="4" w:space="0" w:color="auto"/>
            </w:tcBorders>
            <w:shd w:val="clear" w:color="auto" w:fill="auto"/>
            <w:noWrap/>
            <w:vAlign w:val="bottom"/>
            <w:hideMark/>
          </w:tcPr>
          <w:p w14:paraId="269A6C0F"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9 000,0 </w:t>
            </w:r>
          </w:p>
        </w:tc>
        <w:tc>
          <w:tcPr>
            <w:tcW w:w="1843" w:type="dxa"/>
            <w:tcBorders>
              <w:top w:val="nil"/>
              <w:left w:val="nil"/>
              <w:bottom w:val="single" w:sz="4" w:space="0" w:color="auto"/>
              <w:right w:val="double" w:sz="6" w:space="0" w:color="auto"/>
            </w:tcBorders>
            <w:shd w:val="clear" w:color="auto" w:fill="auto"/>
            <w:noWrap/>
            <w:vAlign w:val="bottom"/>
            <w:hideMark/>
          </w:tcPr>
          <w:p w14:paraId="0D30372C"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911,5 </w:t>
            </w:r>
          </w:p>
        </w:tc>
      </w:tr>
      <w:tr w:rsidR="00FD7B0B" w:rsidRPr="00FD7B0B" w14:paraId="67E1E147"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4962DDEE" w14:textId="77777777" w:rsidR="00453F4F" w:rsidRPr="00FD7B0B" w:rsidRDefault="00453F4F" w:rsidP="00453F4F">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Ноябрь 2024</w:t>
            </w:r>
          </w:p>
        </w:tc>
        <w:tc>
          <w:tcPr>
            <w:tcW w:w="1755" w:type="dxa"/>
            <w:tcBorders>
              <w:top w:val="nil"/>
              <w:left w:val="nil"/>
              <w:bottom w:val="single" w:sz="4" w:space="0" w:color="auto"/>
              <w:right w:val="single" w:sz="4" w:space="0" w:color="auto"/>
            </w:tcBorders>
            <w:shd w:val="clear" w:color="auto" w:fill="auto"/>
            <w:noWrap/>
            <w:vAlign w:val="bottom"/>
            <w:hideMark/>
          </w:tcPr>
          <w:p w14:paraId="70E8C488" w14:textId="77777777" w:rsidR="00453F4F" w:rsidRPr="00FD7B0B" w:rsidRDefault="00453F4F" w:rsidP="00453F4F">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28 800,0 </w:t>
            </w:r>
          </w:p>
        </w:tc>
        <w:tc>
          <w:tcPr>
            <w:tcW w:w="1842" w:type="dxa"/>
            <w:tcBorders>
              <w:top w:val="nil"/>
              <w:left w:val="nil"/>
              <w:bottom w:val="single" w:sz="4" w:space="0" w:color="auto"/>
              <w:right w:val="single" w:sz="4" w:space="0" w:color="auto"/>
            </w:tcBorders>
            <w:shd w:val="clear" w:color="auto" w:fill="auto"/>
            <w:noWrap/>
            <w:vAlign w:val="bottom"/>
            <w:hideMark/>
          </w:tcPr>
          <w:p w14:paraId="2CC883C7" w14:textId="77777777" w:rsidR="00453F4F" w:rsidRPr="00FD7B0B" w:rsidRDefault="00453F4F" w:rsidP="00453F4F">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6 000,0 </w:t>
            </w:r>
          </w:p>
        </w:tc>
        <w:tc>
          <w:tcPr>
            <w:tcW w:w="1985" w:type="dxa"/>
            <w:tcBorders>
              <w:top w:val="nil"/>
              <w:left w:val="nil"/>
              <w:bottom w:val="single" w:sz="4" w:space="0" w:color="auto"/>
              <w:right w:val="single" w:sz="4" w:space="0" w:color="auto"/>
            </w:tcBorders>
            <w:shd w:val="clear" w:color="auto" w:fill="auto"/>
            <w:noWrap/>
            <w:vAlign w:val="bottom"/>
            <w:hideMark/>
          </w:tcPr>
          <w:p w14:paraId="23743233" w14:textId="77777777" w:rsidR="00453F4F" w:rsidRPr="00FD7B0B" w:rsidRDefault="00453F4F" w:rsidP="00453F4F">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5 000,0 </w:t>
            </w:r>
          </w:p>
        </w:tc>
        <w:tc>
          <w:tcPr>
            <w:tcW w:w="1843" w:type="dxa"/>
            <w:tcBorders>
              <w:top w:val="nil"/>
              <w:left w:val="nil"/>
              <w:bottom w:val="single" w:sz="4" w:space="0" w:color="auto"/>
              <w:right w:val="double" w:sz="6" w:space="0" w:color="auto"/>
            </w:tcBorders>
            <w:shd w:val="clear" w:color="auto" w:fill="auto"/>
            <w:noWrap/>
            <w:vAlign w:val="bottom"/>
            <w:hideMark/>
          </w:tcPr>
          <w:p w14:paraId="3BB69E40" w14:textId="585072D1" w:rsidR="00453F4F" w:rsidRPr="00FD7B0B" w:rsidRDefault="00453F4F" w:rsidP="00453F4F">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459CCE7F"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5F8C4D70" w14:textId="77777777" w:rsidR="00453F4F" w:rsidRPr="00FD7B0B" w:rsidRDefault="00453F4F" w:rsidP="00453F4F">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Декабрь 2024</w:t>
            </w:r>
          </w:p>
        </w:tc>
        <w:tc>
          <w:tcPr>
            <w:tcW w:w="1755" w:type="dxa"/>
            <w:tcBorders>
              <w:top w:val="nil"/>
              <w:left w:val="nil"/>
              <w:bottom w:val="single" w:sz="4" w:space="0" w:color="auto"/>
              <w:right w:val="single" w:sz="4" w:space="0" w:color="auto"/>
            </w:tcBorders>
            <w:shd w:val="clear" w:color="auto" w:fill="auto"/>
            <w:noWrap/>
            <w:vAlign w:val="bottom"/>
            <w:hideMark/>
          </w:tcPr>
          <w:p w14:paraId="2483AA11" w14:textId="77777777" w:rsidR="00453F4F" w:rsidRPr="00FD7B0B" w:rsidRDefault="00453F4F" w:rsidP="00453F4F">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29 800,0 </w:t>
            </w:r>
          </w:p>
        </w:tc>
        <w:tc>
          <w:tcPr>
            <w:tcW w:w="1842" w:type="dxa"/>
            <w:tcBorders>
              <w:top w:val="nil"/>
              <w:left w:val="nil"/>
              <w:bottom w:val="single" w:sz="4" w:space="0" w:color="auto"/>
              <w:right w:val="single" w:sz="4" w:space="0" w:color="auto"/>
            </w:tcBorders>
            <w:shd w:val="clear" w:color="auto" w:fill="auto"/>
            <w:noWrap/>
            <w:vAlign w:val="bottom"/>
            <w:hideMark/>
          </w:tcPr>
          <w:p w14:paraId="6A2002A0" w14:textId="77777777" w:rsidR="00453F4F" w:rsidRPr="00FD7B0B" w:rsidRDefault="00453F4F" w:rsidP="00453F4F">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20 741,7 </w:t>
            </w:r>
          </w:p>
        </w:tc>
        <w:tc>
          <w:tcPr>
            <w:tcW w:w="1985" w:type="dxa"/>
            <w:tcBorders>
              <w:top w:val="nil"/>
              <w:left w:val="nil"/>
              <w:bottom w:val="single" w:sz="4" w:space="0" w:color="auto"/>
              <w:right w:val="single" w:sz="4" w:space="0" w:color="auto"/>
            </w:tcBorders>
            <w:shd w:val="clear" w:color="auto" w:fill="auto"/>
            <w:noWrap/>
            <w:vAlign w:val="bottom"/>
            <w:hideMark/>
          </w:tcPr>
          <w:p w14:paraId="691193A8" w14:textId="77777777" w:rsidR="00453F4F" w:rsidRPr="00FD7B0B" w:rsidRDefault="00453F4F" w:rsidP="00453F4F">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5 800,0 </w:t>
            </w:r>
          </w:p>
        </w:tc>
        <w:tc>
          <w:tcPr>
            <w:tcW w:w="1843" w:type="dxa"/>
            <w:tcBorders>
              <w:top w:val="nil"/>
              <w:left w:val="nil"/>
              <w:bottom w:val="single" w:sz="4" w:space="0" w:color="auto"/>
              <w:right w:val="double" w:sz="6" w:space="0" w:color="auto"/>
            </w:tcBorders>
            <w:shd w:val="clear" w:color="auto" w:fill="auto"/>
            <w:noWrap/>
            <w:vAlign w:val="bottom"/>
            <w:hideMark/>
          </w:tcPr>
          <w:p w14:paraId="625A8492" w14:textId="0C22360D" w:rsidR="00453F4F" w:rsidRPr="00FD7B0B" w:rsidRDefault="00453F4F" w:rsidP="00453F4F">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1 001,0</w:t>
            </w:r>
          </w:p>
        </w:tc>
      </w:tr>
      <w:tr w:rsidR="00FD7B0B" w:rsidRPr="00FD7B0B" w14:paraId="5150AD66"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noWrap/>
            <w:vAlign w:val="bottom"/>
            <w:hideMark/>
          </w:tcPr>
          <w:p w14:paraId="2BAAC8D6" w14:textId="77777777" w:rsidR="002F7314" w:rsidRPr="00FD7B0B" w:rsidRDefault="002F7314" w:rsidP="00E63DEE">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Январь 2025</w:t>
            </w:r>
          </w:p>
        </w:tc>
        <w:tc>
          <w:tcPr>
            <w:tcW w:w="1755" w:type="dxa"/>
            <w:tcBorders>
              <w:top w:val="nil"/>
              <w:left w:val="nil"/>
              <w:bottom w:val="single" w:sz="4" w:space="0" w:color="auto"/>
              <w:right w:val="single" w:sz="4" w:space="0" w:color="auto"/>
            </w:tcBorders>
            <w:shd w:val="clear" w:color="auto" w:fill="auto"/>
            <w:noWrap/>
            <w:vAlign w:val="bottom"/>
            <w:hideMark/>
          </w:tcPr>
          <w:p w14:paraId="51E78665" w14:textId="77777777" w:rsidR="002F7314" w:rsidRPr="00FD7B0B" w:rsidRDefault="002F7314" w:rsidP="00E63DEE">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44 741,7 </w:t>
            </w:r>
          </w:p>
        </w:tc>
        <w:tc>
          <w:tcPr>
            <w:tcW w:w="1842" w:type="dxa"/>
            <w:tcBorders>
              <w:top w:val="nil"/>
              <w:left w:val="nil"/>
              <w:bottom w:val="single" w:sz="4" w:space="0" w:color="auto"/>
              <w:right w:val="single" w:sz="4" w:space="0" w:color="auto"/>
            </w:tcBorders>
            <w:shd w:val="clear" w:color="auto" w:fill="auto"/>
            <w:noWrap/>
            <w:vAlign w:val="bottom"/>
            <w:hideMark/>
          </w:tcPr>
          <w:p w14:paraId="3A1BA390" w14:textId="77777777" w:rsidR="002F7314" w:rsidRPr="00FD7B0B" w:rsidRDefault="002F7314" w:rsidP="00E63DEE">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c>
          <w:tcPr>
            <w:tcW w:w="1985" w:type="dxa"/>
            <w:tcBorders>
              <w:top w:val="nil"/>
              <w:left w:val="nil"/>
              <w:bottom w:val="single" w:sz="4" w:space="0" w:color="auto"/>
              <w:right w:val="single" w:sz="4" w:space="0" w:color="auto"/>
            </w:tcBorders>
            <w:shd w:val="clear" w:color="auto" w:fill="auto"/>
            <w:noWrap/>
            <w:vAlign w:val="bottom"/>
            <w:hideMark/>
          </w:tcPr>
          <w:p w14:paraId="515EA11B" w14:textId="77777777" w:rsidR="002F7314" w:rsidRPr="00FD7B0B" w:rsidRDefault="002F7314" w:rsidP="00E63DEE">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c>
          <w:tcPr>
            <w:tcW w:w="1843" w:type="dxa"/>
            <w:tcBorders>
              <w:top w:val="nil"/>
              <w:left w:val="nil"/>
              <w:bottom w:val="single" w:sz="4" w:space="0" w:color="auto"/>
              <w:right w:val="double" w:sz="6" w:space="0" w:color="auto"/>
            </w:tcBorders>
            <w:shd w:val="clear" w:color="auto" w:fill="auto"/>
            <w:noWrap/>
            <w:vAlign w:val="bottom"/>
            <w:hideMark/>
          </w:tcPr>
          <w:p w14:paraId="365761D3" w14:textId="77777777" w:rsidR="002F7314" w:rsidRPr="00FD7B0B" w:rsidRDefault="002F7314" w:rsidP="00E63DEE">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r>
      <w:tr w:rsidR="002F7314" w:rsidRPr="00FD7B0B" w14:paraId="75E01104" w14:textId="77777777" w:rsidTr="002F7314">
        <w:trPr>
          <w:trHeight w:val="70"/>
        </w:trPr>
        <w:tc>
          <w:tcPr>
            <w:tcW w:w="2050" w:type="dxa"/>
            <w:tcBorders>
              <w:top w:val="nil"/>
              <w:left w:val="double" w:sz="6" w:space="0" w:color="auto"/>
              <w:bottom w:val="double" w:sz="6" w:space="0" w:color="auto"/>
              <w:right w:val="single" w:sz="4" w:space="0" w:color="auto"/>
            </w:tcBorders>
            <w:shd w:val="clear" w:color="auto" w:fill="auto"/>
            <w:noWrap/>
            <w:vAlign w:val="bottom"/>
            <w:hideMark/>
          </w:tcPr>
          <w:p w14:paraId="1F19026A" w14:textId="77777777" w:rsidR="002F7314" w:rsidRPr="00FD7B0B" w:rsidRDefault="002F7314" w:rsidP="00E63DEE">
            <w:pPr>
              <w:spacing w:after="0" w:line="240" w:lineRule="auto"/>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Итого за 2024 год</w:t>
            </w:r>
          </w:p>
        </w:tc>
        <w:tc>
          <w:tcPr>
            <w:tcW w:w="1755" w:type="dxa"/>
            <w:tcBorders>
              <w:top w:val="nil"/>
              <w:left w:val="nil"/>
              <w:bottom w:val="double" w:sz="6" w:space="0" w:color="auto"/>
              <w:right w:val="single" w:sz="4" w:space="0" w:color="auto"/>
            </w:tcBorders>
            <w:shd w:val="clear" w:color="auto" w:fill="auto"/>
            <w:noWrap/>
            <w:vAlign w:val="bottom"/>
            <w:hideMark/>
          </w:tcPr>
          <w:p w14:paraId="1D7E669D" w14:textId="77777777" w:rsidR="002F7314" w:rsidRPr="00FD7B0B" w:rsidRDefault="002F7314" w:rsidP="00E63DEE">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Х</w:t>
            </w:r>
          </w:p>
        </w:tc>
        <w:tc>
          <w:tcPr>
            <w:tcW w:w="1842" w:type="dxa"/>
            <w:tcBorders>
              <w:top w:val="nil"/>
              <w:left w:val="nil"/>
              <w:bottom w:val="double" w:sz="6" w:space="0" w:color="auto"/>
              <w:right w:val="single" w:sz="4" w:space="0" w:color="auto"/>
            </w:tcBorders>
            <w:shd w:val="clear" w:color="auto" w:fill="auto"/>
            <w:noWrap/>
            <w:vAlign w:val="bottom"/>
            <w:hideMark/>
          </w:tcPr>
          <w:p w14:paraId="1533612A" w14:textId="77777777" w:rsidR="002F7314" w:rsidRPr="00FD7B0B" w:rsidRDefault="002F7314" w:rsidP="00E63DEE">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99 541,8 </w:t>
            </w:r>
          </w:p>
        </w:tc>
        <w:tc>
          <w:tcPr>
            <w:tcW w:w="1985" w:type="dxa"/>
            <w:tcBorders>
              <w:top w:val="nil"/>
              <w:left w:val="nil"/>
              <w:bottom w:val="double" w:sz="6" w:space="0" w:color="auto"/>
              <w:right w:val="single" w:sz="4" w:space="0" w:color="auto"/>
            </w:tcBorders>
            <w:shd w:val="clear" w:color="auto" w:fill="auto"/>
            <w:noWrap/>
            <w:vAlign w:val="bottom"/>
            <w:hideMark/>
          </w:tcPr>
          <w:p w14:paraId="6F2350B6" w14:textId="77777777" w:rsidR="002F7314" w:rsidRPr="00FD7B0B" w:rsidRDefault="002F7314" w:rsidP="00E63DEE">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77 800,0 </w:t>
            </w:r>
          </w:p>
        </w:tc>
        <w:tc>
          <w:tcPr>
            <w:tcW w:w="1843" w:type="dxa"/>
            <w:tcBorders>
              <w:top w:val="nil"/>
              <w:left w:val="nil"/>
              <w:bottom w:val="double" w:sz="6" w:space="0" w:color="auto"/>
              <w:right w:val="double" w:sz="6" w:space="0" w:color="auto"/>
            </w:tcBorders>
            <w:shd w:val="clear" w:color="auto" w:fill="auto"/>
            <w:noWrap/>
            <w:vAlign w:val="bottom"/>
            <w:hideMark/>
          </w:tcPr>
          <w:p w14:paraId="38DC48C2" w14:textId="77777777" w:rsidR="002F7314" w:rsidRPr="00FD7B0B" w:rsidRDefault="002F7314" w:rsidP="00E63DEE">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4 144,5 </w:t>
            </w:r>
          </w:p>
        </w:tc>
      </w:tr>
    </w:tbl>
    <w:p w14:paraId="2FF9BECA" w14:textId="77777777" w:rsidR="002F7314" w:rsidRPr="00FD7B0B" w:rsidRDefault="002F7314" w:rsidP="00E63DEE">
      <w:pPr>
        <w:spacing w:after="0" w:line="240" w:lineRule="auto"/>
        <w:ind w:firstLine="709"/>
        <w:jc w:val="both"/>
        <w:rPr>
          <w:rFonts w:ascii="Times New Roman" w:eastAsia="Calibri" w:hAnsi="Times New Roman" w:cs="Times New Roman"/>
          <w:sz w:val="28"/>
          <w:szCs w:val="28"/>
        </w:rPr>
      </w:pPr>
    </w:p>
    <w:p w14:paraId="1B191A6F" w14:textId="1EFB5736" w:rsidR="002F7314" w:rsidRPr="00FD7B0B" w:rsidRDefault="002F7314" w:rsidP="00E63DE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разрезе кредиторов движение долговых обязательств по коммерческим кредитам характеризуется показателями, представленными в таблице </w:t>
      </w:r>
      <w:r w:rsidR="00BA7410" w:rsidRPr="00FD7B0B">
        <w:rPr>
          <w:rFonts w:ascii="Times New Roman" w:eastAsia="Calibri" w:hAnsi="Times New Roman" w:cs="Times New Roman"/>
          <w:sz w:val="28"/>
          <w:szCs w:val="28"/>
        </w:rPr>
        <w:t>261</w:t>
      </w:r>
      <w:r w:rsidRPr="00FD7B0B">
        <w:rPr>
          <w:rFonts w:ascii="Times New Roman" w:eastAsia="Calibri" w:hAnsi="Times New Roman" w:cs="Times New Roman"/>
          <w:sz w:val="28"/>
          <w:szCs w:val="28"/>
        </w:rPr>
        <w:t>.</w:t>
      </w:r>
    </w:p>
    <w:p w14:paraId="2D17E001" w14:textId="77777777" w:rsidR="002F7314" w:rsidRPr="00FD7B0B" w:rsidRDefault="002F7314" w:rsidP="00E63DEE">
      <w:pPr>
        <w:pStyle w:val="aff0"/>
        <w:spacing w:after="0" w:line="240" w:lineRule="auto"/>
        <w:rPr>
          <w:rFonts w:ascii="Times New Roman" w:hAnsi="Times New Roman"/>
          <w:b w:val="0"/>
          <w:sz w:val="24"/>
          <w:szCs w:val="24"/>
        </w:rPr>
      </w:pPr>
    </w:p>
    <w:p w14:paraId="07F94B60" w14:textId="77777777" w:rsidR="002F7314" w:rsidRPr="00FD7B0B" w:rsidRDefault="002F7314" w:rsidP="00E63DEE">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261</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 кредиторах по коммерческим кредитам за 2024 год, млн.руб.</w:t>
      </w:r>
    </w:p>
    <w:tbl>
      <w:tblPr>
        <w:tblW w:w="9800" w:type="dxa"/>
        <w:tblInd w:w="-165" w:type="dxa"/>
        <w:tblLook w:val="04A0" w:firstRow="1" w:lastRow="0" w:firstColumn="1" w:lastColumn="0" w:noHBand="0" w:noVBand="1"/>
      </w:tblPr>
      <w:tblGrid>
        <w:gridCol w:w="2245"/>
        <w:gridCol w:w="993"/>
        <w:gridCol w:w="1134"/>
        <w:gridCol w:w="1134"/>
        <w:gridCol w:w="992"/>
        <w:gridCol w:w="992"/>
        <w:gridCol w:w="1134"/>
        <w:gridCol w:w="1176"/>
      </w:tblGrid>
      <w:tr w:rsidR="00FD7B0B" w:rsidRPr="00FD7B0B" w14:paraId="5593834C" w14:textId="77777777" w:rsidTr="002F7314">
        <w:trPr>
          <w:trHeight w:val="35"/>
          <w:tblHeader/>
        </w:trPr>
        <w:tc>
          <w:tcPr>
            <w:tcW w:w="224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1CD6085"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Кредитор</w:t>
            </w:r>
          </w:p>
        </w:tc>
        <w:tc>
          <w:tcPr>
            <w:tcW w:w="2127" w:type="dxa"/>
            <w:gridSpan w:val="2"/>
            <w:tcBorders>
              <w:top w:val="double" w:sz="6" w:space="0" w:color="auto"/>
              <w:left w:val="nil"/>
              <w:bottom w:val="single" w:sz="4" w:space="0" w:color="auto"/>
              <w:right w:val="single" w:sz="4" w:space="0" w:color="auto"/>
            </w:tcBorders>
            <w:shd w:val="clear" w:color="auto" w:fill="auto"/>
            <w:vAlign w:val="center"/>
            <w:hideMark/>
          </w:tcPr>
          <w:p w14:paraId="3EFC7C19"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01.01.2024</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7731A43F"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676FB93"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Пога-шено</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5D9E0573"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01.01.2025</w:t>
            </w:r>
          </w:p>
        </w:tc>
        <w:tc>
          <w:tcPr>
            <w:tcW w:w="1176"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1243FED2"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Уплачено процентов</w:t>
            </w:r>
          </w:p>
        </w:tc>
      </w:tr>
      <w:tr w:rsidR="00FD7B0B" w:rsidRPr="00FD7B0B" w14:paraId="23FE28A1" w14:textId="77777777" w:rsidTr="002F7314">
        <w:trPr>
          <w:trHeight w:val="35"/>
          <w:tblHeader/>
        </w:trPr>
        <w:tc>
          <w:tcPr>
            <w:tcW w:w="2245" w:type="dxa"/>
            <w:vMerge/>
            <w:tcBorders>
              <w:top w:val="double" w:sz="6" w:space="0" w:color="auto"/>
              <w:left w:val="double" w:sz="6" w:space="0" w:color="auto"/>
              <w:bottom w:val="single" w:sz="4" w:space="0" w:color="auto"/>
              <w:right w:val="single" w:sz="4" w:space="0" w:color="auto"/>
            </w:tcBorders>
            <w:vAlign w:val="center"/>
            <w:hideMark/>
          </w:tcPr>
          <w:p w14:paraId="1720DF9E" w14:textId="77777777" w:rsidR="002F7314" w:rsidRPr="00FD7B0B" w:rsidRDefault="002F7314" w:rsidP="00E0475D">
            <w:pPr>
              <w:spacing w:after="0" w:line="240" w:lineRule="auto"/>
              <w:rPr>
                <w:rFonts w:ascii="Times New Roman" w:eastAsia="Times New Roman" w:hAnsi="Times New Roman" w:cs="Times New Roman"/>
                <w:b/>
                <w:bCs/>
                <w:sz w:val="20"/>
                <w:szCs w:val="20"/>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632F5E2E"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2B3CE3E1"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59FEE80F" w14:textId="77777777" w:rsidR="002F7314" w:rsidRPr="00FD7B0B" w:rsidRDefault="002F7314" w:rsidP="00E0475D">
            <w:pPr>
              <w:spacing w:after="0" w:line="240" w:lineRule="auto"/>
              <w:rPr>
                <w:rFonts w:ascii="Times New Roman" w:eastAsia="Times New Roman" w:hAnsi="Times New Roman" w:cs="Times New Roman"/>
                <w:b/>
                <w:bCs/>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23195F91" w14:textId="77777777" w:rsidR="002F7314" w:rsidRPr="00FD7B0B" w:rsidRDefault="002F7314" w:rsidP="00E0475D">
            <w:pPr>
              <w:spacing w:after="0" w:line="240" w:lineRule="auto"/>
              <w:rPr>
                <w:rFonts w:ascii="Times New Roman" w:eastAsia="Times New Roman" w:hAnsi="Times New Roman" w:cs="Times New Roman"/>
                <w:b/>
                <w:bCs/>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1F740888"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41780E7E" w14:textId="77777777" w:rsidR="002F7314" w:rsidRPr="00FD7B0B" w:rsidRDefault="002F7314" w:rsidP="00E0475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1176" w:type="dxa"/>
            <w:vMerge/>
            <w:tcBorders>
              <w:top w:val="double" w:sz="6" w:space="0" w:color="auto"/>
              <w:left w:val="single" w:sz="4" w:space="0" w:color="auto"/>
              <w:bottom w:val="single" w:sz="4" w:space="0" w:color="auto"/>
              <w:right w:val="double" w:sz="6" w:space="0" w:color="auto"/>
            </w:tcBorders>
            <w:vAlign w:val="center"/>
            <w:hideMark/>
          </w:tcPr>
          <w:p w14:paraId="35D0BD62" w14:textId="77777777" w:rsidR="002F7314" w:rsidRPr="00FD7B0B" w:rsidRDefault="002F7314" w:rsidP="00E0475D">
            <w:pPr>
              <w:spacing w:after="0" w:line="240" w:lineRule="auto"/>
              <w:rPr>
                <w:rFonts w:ascii="Times New Roman" w:eastAsia="Times New Roman" w:hAnsi="Times New Roman" w:cs="Times New Roman"/>
                <w:b/>
                <w:bCs/>
                <w:sz w:val="20"/>
                <w:szCs w:val="20"/>
                <w:lang w:eastAsia="ru-RU"/>
              </w:rPr>
            </w:pPr>
          </w:p>
        </w:tc>
      </w:tr>
      <w:tr w:rsidR="00FD7B0B" w:rsidRPr="00FD7B0B" w14:paraId="7E544B71" w14:textId="77777777" w:rsidTr="002F7314">
        <w:trPr>
          <w:trHeight w:val="70"/>
        </w:trPr>
        <w:tc>
          <w:tcPr>
            <w:tcW w:w="2245" w:type="dxa"/>
            <w:tcBorders>
              <w:top w:val="nil"/>
              <w:left w:val="double" w:sz="6" w:space="0" w:color="auto"/>
              <w:bottom w:val="single" w:sz="4" w:space="0" w:color="auto"/>
              <w:right w:val="single" w:sz="4" w:space="0" w:color="auto"/>
            </w:tcBorders>
            <w:shd w:val="clear" w:color="auto" w:fill="auto"/>
            <w:vAlign w:val="center"/>
            <w:hideMark/>
          </w:tcPr>
          <w:p w14:paraId="68695BAA" w14:textId="77777777" w:rsidR="002F7314" w:rsidRPr="00FD7B0B" w:rsidRDefault="002F7314" w:rsidP="00E0475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ПАО "Сбербанк России"</w:t>
            </w:r>
          </w:p>
        </w:tc>
        <w:tc>
          <w:tcPr>
            <w:tcW w:w="993" w:type="dxa"/>
            <w:tcBorders>
              <w:top w:val="nil"/>
              <w:left w:val="nil"/>
              <w:bottom w:val="single" w:sz="4" w:space="0" w:color="auto"/>
              <w:right w:val="single" w:sz="4" w:space="0" w:color="auto"/>
            </w:tcBorders>
            <w:shd w:val="clear" w:color="auto" w:fill="auto"/>
            <w:vAlign w:val="center"/>
            <w:hideMark/>
          </w:tcPr>
          <w:p w14:paraId="2CEE64EC"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10 000,0 </w:t>
            </w:r>
          </w:p>
        </w:tc>
        <w:tc>
          <w:tcPr>
            <w:tcW w:w="1134" w:type="dxa"/>
            <w:tcBorders>
              <w:top w:val="nil"/>
              <w:left w:val="nil"/>
              <w:bottom w:val="single" w:sz="4" w:space="0" w:color="auto"/>
              <w:right w:val="single" w:sz="4" w:space="0" w:color="auto"/>
            </w:tcBorders>
            <w:shd w:val="clear" w:color="auto" w:fill="auto"/>
            <w:vAlign w:val="center"/>
            <w:hideMark/>
          </w:tcPr>
          <w:p w14:paraId="50A2753E"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8,810</w:t>
            </w:r>
          </w:p>
        </w:tc>
        <w:tc>
          <w:tcPr>
            <w:tcW w:w="1134" w:type="dxa"/>
            <w:tcBorders>
              <w:top w:val="nil"/>
              <w:left w:val="nil"/>
              <w:bottom w:val="single" w:sz="4" w:space="0" w:color="auto"/>
              <w:right w:val="single" w:sz="4" w:space="0" w:color="auto"/>
            </w:tcBorders>
            <w:shd w:val="clear" w:color="auto" w:fill="auto"/>
            <w:noWrap/>
            <w:vAlign w:val="center"/>
            <w:hideMark/>
          </w:tcPr>
          <w:p w14:paraId="0378BE9E"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37 400,0 </w:t>
            </w:r>
          </w:p>
        </w:tc>
        <w:tc>
          <w:tcPr>
            <w:tcW w:w="992" w:type="dxa"/>
            <w:tcBorders>
              <w:top w:val="nil"/>
              <w:left w:val="nil"/>
              <w:bottom w:val="single" w:sz="4" w:space="0" w:color="auto"/>
              <w:right w:val="single" w:sz="4" w:space="0" w:color="auto"/>
            </w:tcBorders>
            <w:shd w:val="clear" w:color="auto" w:fill="auto"/>
            <w:vAlign w:val="center"/>
            <w:hideMark/>
          </w:tcPr>
          <w:p w14:paraId="4A3566E0"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27 400,0 </w:t>
            </w:r>
          </w:p>
        </w:tc>
        <w:tc>
          <w:tcPr>
            <w:tcW w:w="992" w:type="dxa"/>
            <w:tcBorders>
              <w:top w:val="nil"/>
              <w:left w:val="nil"/>
              <w:bottom w:val="single" w:sz="4" w:space="0" w:color="auto"/>
              <w:right w:val="single" w:sz="4" w:space="0" w:color="auto"/>
            </w:tcBorders>
            <w:shd w:val="clear" w:color="auto" w:fill="auto"/>
            <w:vAlign w:val="center"/>
            <w:hideMark/>
          </w:tcPr>
          <w:p w14:paraId="7DB8710B"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20 000,0 </w:t>
            </w:r>
          </w:p>
        </w:tc>
        <w:tc>
          <w:tcPr>
            <w:tcW w:w="1134" w:type="dxa"/>
            <w:tcBorders>
              <w:top w:val="nil"/>
              <w:left w:val="nil"/>
              <w:bottom w:val="single" w:sz="4" w:space="0" w:color="auto"/>
              <w:right w:val="single" w:sz="4" w:space="0" w:color="auto"/>
            </w:tcBorders>
            <w:shd w:val="clear" w:color="auto" w:fill="auto"/>
            <w:vAlign w:val="center"/>
            <w:hideMark/>
          </w:tcPr>
          <w:p w14:paraId="27D5B2C0"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20,632</w:t>
            </w:r>
          </w:p>
        </w:tc>
        <w:tc>
          <w:tcPr>
            <w:tcW w:w="1176" w:type="dxa"/>
            <w:tcBorders>
              <w:top w:val="nil"/>
              <w:left w:val="nil"/>
              <w:bottom w:val="single" w:sz="4" w:space="0" w:color="auto"/>
              <w:right w:val="double" w:sz="6" w:space="0" w:color="auto"/>
            </w:tcBorders>
            <w:shd w:val="clear" w:color="auto" w:fill="auto"/>
            <w:vAlign w:val="center"/>
            <w:hideMark/>
          </w:tcPr>
          <w:p w14:paraId="4C373E0D"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2 025,3 </w:t>
            </w:r>
          </w:p>
        </w:tc>
      </w:tr>
      <w:tr w:rsidR="00FD7B0B" w:rsidRPr="00FD7B0B" w14:paraId="45A12D06" w14:textId="77777777" w:rsidTr="002F7314">
        <w:trPr>
          <w:trHeight w:val="70"/>
        </w:trPr>
        <w:tc>
          <w:tcPr>
            <w:tcW w:w="2245" w:type="dxa"/>
            <w:tcBorders>
              <w:top w:val="nil"/>
              <w:left w:val="double" w:sz="6" w:space="0" w:color="auto"/>
              <w:bottom w:val="single" w:sz="4" w:space="0" w:color="auto"/>
              <w:right w:val="single" w:sz="4" w:space="0" w:color="auto"/>
            </w:tcBorders>
            <w:shd w:val="clear" w:color="auto" w:fill="auto"/>
            <w:vAlign w:val="center"/>
            <w:hideMark/>
          </w:tcPr>
          <w:p w14:paraId="02DF1C46" w14:textId="77777777" w:rsidR="002F7314" w:rsidRPr="00FD7B0B" w:rsidRDefault="002F7314" w:rsidP="00E0475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ПАО "Совкомбанк"</w:t>
            </w:r>
          </w:p>
        </w:tc>
        <w:tc>
          <w:tcPr>
            <w:tcW w:w="993" w:type="dxa"/>
            <w:tcBorders>
              <w:top w:val="nil"/>
              <w:left w:val="nil"/>
              <w:bottom w:val="single" w:sz="4" w:space="0" w:color="auto"/>
              <w:right w:val="single" w:sz="4" w:space="0" w:color="auto"/>
            </w:tcBorders>
            <w:shd w:val="clear" w:color="auto" w:fill="auto"/>
            <w:vAlign w:val="center"/>
            <w:hideMark/>
          </w:tcPr>
          <w:p w14:paraId="444C6466"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5 000,0 </w:t>
            </w:r>
          </w:p>
        </w:tc>
        <w:tc>
          <w:tcPr>
            <w:tcW w:w="1134" w:type="dxa"/>
            <w:tcBorders>
              <w:top w:val="nil"/>
              <w:left w:val="nil"/>
              <w:bottom w:val="single" w:sz="4" w:space="0" w:color="auto"/>
              <w:right w:val="single" w:sz="4" w:space="0" w:color="auto"/>
            </w:tcBorders>
            <w:shd w:val="clear" w:color="auto" w:fill="auto"/>
            <w:vAlign w:val="center"/>
            <w:hideMark/>
          </w:tcPr>
          <w:p w14:paraId="41B47506"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10,720</w:t>
            </w:r>
          </w:p>
        </w:tc>
        <w:tc>
          <w:tcPr>
            <w:tcW w:w="1134" w:type="dxa"/>
            <w:tcBorders>
              <w:top w:val="nil"/>
              <w:left w:val="nil"/>
              <w:bottom w:val="single" w:sz="4" w:space="0" w:color="auto"/>
              <w:right w:val="single" w:sz="4" w:space="0" w:color="auto"/>
            </w:tcBorders>
            <w:shd w:val="clear" w:color="auto" w:fill="auto"/>
            <w:noWrap/>
            <w:vAlign w:val="center"/>
            <w:hideMark/>
          </w:tcPr>
          <w:p w14:paraId="42FA3B19"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 </w:t>
            </w:r>
          </w:p>
        </w:tc>
        <w:tc>
          <w:tcPr>
            <w:tcW w:w="992" w:type="dxa"/>
            <w:tcBorders>
              <w:top w:val="nil"/>
              <w:left w:val="nil"/>
              <w:bottom w:val="single" w:sz="4" w:space="0" w:color="auto"/>
              <w:right w:val="single" w:sz="4" w:space="0" w:color="auto"/>
            </w:tcBorders>
            <w:shd w:val="clear" w:color="auto" w:fill="auto"/>
            <w:vAlign w:val="center"/>
            <w:hideMark/>
          </w:tcPr>
          <w:p w14:paraId="14BA18B5"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5 000,0 </w:t>
            </w:r>
          </w:p>
        </w:tc>
        <w:tc>
          <w:tcPr>
            <w:tcW w:w="992" w:type="dxa"/>
            <w:tcBorders>
              <w:top w:val="nil"/>
              <w:left w:val="nil"/>
              <w:bottom w:val="single" w:sz="4" w:space="0" w:color="auto"/>
              <w:right w:val="single" w:sz="4" w:space="0" w:color="auto"/>
            </w:tcBorders>
            <w:shd w:val="clear" w:color="auto" w:fill="auto"/>
            <w:vAlign w:val="center"/>
            <w:hideMark/>
          </w:tcPr>
          <w:p w14:paraId="42529D70"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 </w:t>
            </w:r>
          </w:p>
        </w:tc>
        <w:tc>
          <w:tcPr>
            <w:tcW w:w="1134" w:type="dxa"/>
            <w:tcBorders>
              <w:top w:val="nil"/>
              <w:left w:val="nil"/>
              <w:bottom w:val="single" w:sz="4" w:space="0" w:color="auto"/>
              <w:right w:val="single" w:sz="4" w:space="0" w:color="auto"/>
            </w:tcBorders>
            <w:shd w:val="clear" w:color="auto" w:fill="auto"/>
            <w:vAlign w:val="center"/>
            <w:hideMark/>
          </w:tcPr>
          <w:p w14:paraId="766EA8AD"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0,000</w:t>
            </w:r>
          </w:p>
        </w:tc>
        <w:tc>
          <w:tcPr>
            <w:tcW w:w="1176" w:type="dxa"/>
            <w:tcBorders>
              <w:top w:val="nil"/>
              <w:left w:val="nil"/>
              <w:bottom w:val="single" w:sz="4" w:space="0" w:color="auto"/>
              <w:right w:val="double" w:sz="6" w:space="0" w:color="auto"/>
            </w:tcBorders>
            <w:shd w:val="clear" w:color="auto" w:fill="auto"/>
            <w:vAlign w:val="center"/>
            <w:hideMark/>
          </w:tcPr>
          <w:p w14:paraId="0E49F0A2"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269,5 </w:t>
            </w:r>
          </w:p>
        </w:tc>
      </w:tr>
      <w:tr w:rsidR="00FD7B0B" w:rsidRPr="00FD7B0B" w14:paraId="1CBD0AB3" w14:textId="77777777" w:rsidTr="002F7314">
        <w:trPr>
          <w:trHeight w:val="70"/>
        </w:trPr>
        <w:tc>
          <w:tcPr>
            <w:tcW w:w="2245" w:type="dxa"/>
            <w:tcBorders>
              <w:top w:val="nil"/>
              <w:left w:val="double" w:sz="6" w:space="0" w:color="auto"/>
              <w:bottom w:val="nil"/>
              <w:right w:val="single" w:sz="4" w:space="0" w:color="auto"/>
            </w:tcBorders>
            <w:shd w:val="clear" w:color="auto" w:fill="auto"/>
            <w:vAlign w:val="center"/>
            <w:hideMark/>
          </w:tcPr>
          <w:p w14:paraId="53492588" w14:textId="77777777" w:rsidR="002F7314" w:rsidRPr="00FD7B0B" w:rsidRDefault="002F7314" w:rsidP="00E0475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ПАО "Банк ВТБ"</w:t>
            </w:r>
          </w:p>
        </w:tc>
        <w:tc>
          <w:tcPr>
            <w:tcW w:w="993" w:type="dxa"/>
            <w:tcBorders>
              <w:top w:val="nil"/>
              <w:left w:val="nil"/>
              <w:bottom w:val="nil"/>
              <w:right w:val="single" w:sz="4" w:space="0" w:color="auto"/>
            </w:tcBorders>
            <w:shd w:val="clear" w:color="auto" w:fill="auto"/>
            <w:vAlign w:val="center"/>
            <w:hideMark/>
          </w:tcPr>
          <w:p w14:paraId="3831B0E4"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6 000,0 </w:t>
            </w:r>
          </w:p>
        </w:tc>
        <w:tc>
          <w:tcPr>
            <w:tcW w:w="1134" w:type="dxa"/>
            <w:tcBorders>
              <w:top w:val="nil"/>
              <w:left w:val="nil"/>
              <w:bottom w:val="nil"/>
              <w:right w:val="single" w:sz="4" w:space="0" w:color="auto"/>
            </w:tcBorders>
            <w:shd w:val="clear" w:color="auto" w:fill="auto"/>
            <w:vAlign w:val="center"/>
            <w:hideMark/>
          </w:tcPr>
          <w:p w14:paraId="655BF68A"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16,590</w:t>
            </w:r>
          </w:p>
        </w:tc>
        <w:tc>
          <w:tcPr>
            <w:tcW w:w="1134" w:type="dxa"/>
            <w:tcBorders>
              <w:top w:val="nil"/>
              <w:left w:val="nil"/>
              <w:bottom w:val="nil"/>
              <w:right w:val="single" w:sz="4" w:space="0" w:color="auto"/>
            </w:tcBorders>
            <w:shd w:val="clear" w:color="auto" w:fill="auto"/>
            <w:noWrap/>
            <w:vAlign w:val="center"/>
            <w:hideMark/>
          </w:tcPr>
          <w:p w14:paraId="140DF290"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46 141,8 </w:t>
            </w:r>
          </w:p>
        </w:tc>
        <w:tc>
          <w:tcPr>
            <w:tcW w:w="992" w:type="dxa"/>
            <w:tcBorders>
              <w:top w:val="nil"/>
              <w:left w:val="nil"/>
              <w:bottom w:val="nil"/>
              <w:right w:val="single" w:sz="4" w:space="0" w:color="auto"/>
            </w:tcBorders>
            <w:shd w:val="clear" w:color="auto" w:fill="auto"/>
            <w:vAlign w:val="center"/>
            <w:hideMark/>
          </w:tcPr>
          <w:p w14:paraId="761F3D66"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32 400,1 </w:t>
            </w:r>
          </w:p>
        </w:tc>
        <w:tc>
          <w:tcPr>
            <w:tcW w:w="992" w:type="dxa"/>
            <w:tcBorders>
              <w:top w:val="nil"/>
              <w:left w:val="nil"/>
              <w:bottom w:val="nil"/>
              <w:right w:val="single" w:sz="4" w:space="0" w:color="auto"/>
            </w:tcBorders>
            <w:shd w:val="clear" w:color="auto" w:fill="auto"/>
            <w:vAlign w:val="center"/>
            <w:hideMark/>
          </w:tcPr>
          <w:p w14:paraId="27837003"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19 741,7 </w:t>
            </w:r>
          </w:p>
        </w:tc>
        <w:tc>
          <w:tcPr>
            <w:tcW w:w="1134" w:type="dxa"/>
            <w:tcBorders>
              <w:top w:val="nil"/>
              <w:left w:val="nil"/>
              <w:bottom w:val="nil"/>
              <w:right w:val="single" w:sz="4" w:space="0" w:color="auto"/>
            </w:tcBorders>
            <w:shd w:val="clear" w:color="auto" w:fill="auto"/>
            <w:vAlign w:val="center"/>
            <w:hideMark/>
          </w:tcPr>
          <w:p w14:paraId="786CE39A"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21,226</w:t>
            </w:r>
          </w:p>
        </w:tc>
        <w:tc>
          <w:tcPr>
            <w:tcW w:w="1176" w:type="dxa"/>
            <w:tcBorders>
              <w:top w:val="nil"/>
              <w:left w:val="nil"/>
              <w:bottom w:val="nil"/>
              <w:right w:val="double" w:sz="6" w:space="0" w:color="auto"/>
            </w:tcBorders>
            <w:shd w:val="clear" w:color="auto" w:fill="auto"/>
            <w:vAlign w:val="center"/>
            <w:hideMark/>
          </w:tcPr>
          <w:p w14:paraId="046473D9"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1 274,2 </w:t>
            </w:r>
          </w:p>
        </w:tc>
      </w:tr>
      <w:tr w:rsidR="00FD7B0B" w:rsidRPr="00FD7B0B" w14:paraId="43244E83" w14:textId="77777777" w:rsidTr="002F7314">
        <w:trPr>
          <w:trHeight w:val="70"/>
        </w:trPr>
        <w:tc>
          <w:tcPr>
            <w:tcW w:w="2245" w:type="dxa"/>
            <w:tcBorders>
              <w:top w:val="single" w:sz="4" w:space="0" w:color="auto"/>
              <w:left w:val="double" w:sz="6" w:space="0" w:color="auto"/>
              <w:bottom w:val="nil"/>
              <w:right w:val="single" w:sz="4" w:space="0" w:color="auto"/>
            </w:tcBorders>
            <w:shd w:val="clear" w:color="auto" w:fill="auto"/>
            <w:vAlign w:val="center"/>
            <w:hideMark/>
          </w:tcPr>
          <w:p w14:paraId="1B5037B7" w14:textId="77777777" w:rsidR="002F7314" w:rsidRPr="00FD7B0B" w:rsidRDefault="002F7314" w:rsidP="00E0475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АО "Банк Финсервис"</w:t>
            </w:r>
          </w:p>
        </w:tc>
        <w:tc>
          <w:tcPr>
            <w:tcW w:w="993" w:type="dxa"/>
            <w:tcBorders>
              <w:top w:val="single" w:sz="4" w:space="0" w:color="auto"/>
              <w:left w:val="nil"/>
              <w:bottom w:val="nil"/>
              <w:right w:val="single" w:sz="4" w:space="0" w:color="auto"/>
            </w:tcBorders>
            <w:shd w:val="clear" w:color="auto" w:fill="auto"/>
            <w:vAlign w:val="center"/>
            <w:hideMark/>
          </w:tcPr>
          <w:p w14:paraId="6F763448"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1 999,9 </w:t>
            </w:r>
          </w:p>
        </w:tc>
        <w:tc>
          <w:tcPr>
            <w:tcW w:w="1134" w:type="dxa"/>
            <w:tcBorders>
              <w:top w:val="single" w:sz="4" w:space="0" w:color="auto"/>
              <w:left w:val="nil"/>
              <w:bottom w:val="nil"/>
              <w:right w:val="single" w:sz="4" w:space="0" w:color="auto"/>
            </w:tcBorders>
            <w:shd w:val="clear" w:color="auto" w:fill="auto"/>
            <w:vAlign w:val="center"/>
            <w:hideMark/>
          </w:tcPr>
          <w:p w14:paraId="24C08EF7"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17,490</w:t>
            </w:r>
          </w:p>
        </w:tc>
        <w:tc>
          <w:tcPr>
            <w:tcW w:w="1134" w:type="dxa"/>
            <w:tcBorders>
              <w:top w:val="single" w:sz="4" w:space="0" w:color="auto"/>
              <w:left w:val="nil"/>
              <w:bottom w:val="nil"/>
              <w:right w:val="single" w:sz="4" w:space="0" w:color="auto"/>
            </w:tcBorders>
            <w:shd w:val="clear" w:color="auto" w:fill="auto"/>
            <w:noWrap/>
            <w:vAlign w:val="center"/>
            <w:hideMark/>
          </w:tcPr>
          <w:p w14:paraId="0A396749"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16 000,0 </w:t>
            </w:r>
          </w:p>
        </w:tc>
        <w:tc>
          <w:tcPr>
            <w:tcW w:w="992" w:type="dxa"/>
            <w:tcBorders>
              <w:top w:val="single" w:sz="4" w:space="0" w:color="auto"/>
              <w:left w:val="nil"/>
              <w:bottom w:val="nil"/>
              <w:right w:val="single" w:sz="4" w:space="0" w:color="auto"/>
            </w:tcBorders>
            <w:shd w:val="clear" w:color="auto" w:fill="auto"/>
            <w:vAlign w:val="center"/>
            <w:hideMark/>
          </w:tcPr>
          <w:p w14:paraId="573C0EEB"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12 999,9 </w:t>
            </w:r>
          </w:p>
        </w:tc>
        <w:tc>
          <w:tcPr>
            <w:tcW w:w="992" w:type="dxa"/>
            <w:tcBorders>
              <w:top w:val="single" w:sz="4" w:space="0" w:color="auto"/>
              <w:left w:val="nil"/>
              <w:bottom w:val="nil"/>
              <w:right w:val="single" w:sz="4" w:space="0" w:color="auto"/>
            </w:tcBorders>
            <w:shd w:val="clear" w:color="auto" w:fill="auto"/>
            <w:vAlign w:val="center"/>
            <w:hideMark/>
          </w:tcPr>
          <w:p w14:paraId="36153E70"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5 000,0 </w:t>
            </w:r>
          </w:p>
        </w:tc>
        <w:tc>
          <w:tcPr>
            <w:tcW w:w="1134" w:type="dxa"/>
            <w:tcBorders>
              <w:top w:val="single" w:sz="4" w:space="0" w:color="auto"/>
              <w:left w:val="nil"/>
              <w:bottom w:val="nil"/>
              <w:right w:val="single" w:sz="4" w:space="0" w:color="auto"/>
            </w:tcBorders>
            <w:shd w:val="clear" w:color="auto" w:fill="auto"/>
            <w:vAlign w:val="center"/>
            <w:hideMark/>
          </w:tcPr>
          <w:p w14:paraId="68092C32"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23,056</w:t>
            </w:r>
          </w:p>
        </w:tc>
        <w:tc>
          <w:tcPr>
            <w:tcW w:w="1176" w:type="dxa"/>
            <w:tcBorders>
              <w:top w:val="single" w:sz="4" w:space="0" w:color="auto"/>
              <w:left w:val="nil"/>
              <w:bottom w:val="nil"/>
              <w:right w:val="double" w:sz="6" w:space="0" w:color="auto"/>
            </w:tcBorders>
            <w:shd w:val="clear" w:color="auto" w:fill="auto"/>
            <w:vAlign w:val="center"/>
            <w:hideMark/>
          </w:tcPr>
          <w:p w14:paraId="42F16E61" w14:textId="77777777" w:rsidR="002F7314" w:rsidRPr="00FD7B0B" w:rsidRDefault="002F7314" w:rsidP="00E0475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575,5 </w:t>
            </w:r>
          </w:p>
        </w:tc>
      </w:tr>
      <w:tr w:rsidR="00FD7B0B" w:rsidRPr="00FD7B0B" w14:paraId="28A0E35B" w14:textId="77777777" w:rsidTr="002F7314">
        <w:trPr>
          <w:trHeight w:val="70"/>
        </w:trPr>
        <w:tc>
          <w:tcPr>
            <w:tcW w:w="2245"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62E4D82C" w14:textId="77777777" w:rsidR="002F7314" w:rsidRPr="00FD7B0B" w:rsidRDefault="002F7314" w:rsidP="00E0475D">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w:t>
            </w:r>
          </w:p>
        </w:tc>
        <w:tc>
          <w:tcPr>
            <w:tcW w:w="993" w:type="dxa"/>
            <w:tcBorders>
              <w:top w:val="single" w:sz="4" w:space="0" w:color="auto"/>
              <w:left w:val="nil"/>
              <w:bottom w:val="double" w:sz="6" w:space="0" w:color="auto"/>
              <w:right w:val="single" w:sz="4" w:space="0" w:color="auto"/>
            </w:tcBorders>
            <w:shd w:val="clear" w:color="auto" w:fill="auto"/>
            <w:vAlign w:val="center"/>
            <w:hideMark/>
          </w:tcPr>
          <w:p w14:paraId="0045EEFF" w14:textId="77777777" w:rsidR="002F7314" w:rsidRPr="00FD7B0B" w:rsidRDefault="002F7314" w:rsidP="00E0475D">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22 999,9 </w:t>
            </w:r>
          </w:p>
        </w:tc>
        <w:tc>
          <w:tcPr>
            <w:tcW w:w="1134" w:type="dxa"/>
            <w:tcBorders>
              <w:top w:val="single" w:sz="4" w:space="0" w:color="auto"/>
              <w:left w:val="nil"/>
              <w:bottom w:val="double" w:sz="6" w:space="0" w:color="auto"/>
              <w:right w:val="single" w:sz="4" w:space="0" w:color="auto"/>
            </w:tcBorders>
            <w:shd w:val="clear" w:color="auto" w:fill="auto"/>
            <w:vAlign w:val="center"/>
            <w:hideMark/>
          </w:tcPr>
          <w:p w14:paraId="15EE6C67" w14:textId="77777777" w:rsidR="002F7314" w:rsidRPr="00FD7B0B" w:rsidRDefault="002F7314" w:rsidP="00E0475D">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12,010</w:t>
            </w:r>
          </w:p>
        </w:tc>
        <w:tc>
          <w:tcPr>
            <w:tcW w:w="1134" w:type="dxa"/>
            <w:tcBorders>
              <w:top w:val="single" w:sz="4" w:space="0" w:color="auto"/>
              <w:left w:val="nil"/>
              <w:bottom w:val="double" w:sz="6" w:space="0" w:color="auto"/>
              <w:right w:val="single" w:sz="4" w:space="0" w:color="auto"/>
            </w:tcBorders>
            <w:shd w:val="clear" w:color="auto" w:fill="auto"/>
            <w:noWrap/>
            <w:vAlign w:val="center"/>
            <w:hideMark/>
          </w:tcPr>
          <w:p w14:paraId="76C174FF" w14:textId="77777777" w:rsidR="002F7314" w:rsidRPr="00FD7B0B" w:rsidRDefault="002F7314" w:rsidP="00E0475D">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99 541,8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76B25114" w14:textId="77777777" w:rsidR="002F7314" w:rsidRPr="00FD7B0B" w:rsidRDefault="002F7314" w:rsidP="00E0475D">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77 800,0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31DD54A4" w14:textId="77777777" w:rsidR="002F7314" w:rsidRPr="00FD7B0B" w:rsidRDefault="002F7314" w:rsidP="00E0475D">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44 741,7 </w:t>
            </w:r>
          </w:p>
        </w:tc>
        <w:tc>
          <w:tcPr>
            <w:tcW w:w="1134" w:type="dxa"/>
            <w:tcBorders>
              <w:top w:val="single" w:sz="4" w:space="0" w:color="auto"/>
              <w:left w:val="nil"/>
              <w:bottom w:val="double" w:sz="6" w:space="0" w:color="auto"/>
              <w:right w:val="single" w:sz="4" w:space="0" w:color="auto"/>
            </w:tcBorders>
            <w:shd w:val="clear" w:color="auto" w:fill="auto"/>
            <w:vAlign w:val="center"/>
            <w:hideMark/>
          </w:tcPr>
          <w:p w14:paraId="1304F278" w14:textId="77777777" w:rsidR="002F7314" w:rsidRPr="00FD7B0B" w:rsidRDefault="002F7314" w:rsidP="00E0475D">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21,165</w:t>
            </w:r>
          </w:p>
        </w:tc>
        <w:tc>
          <w:tcPr>
            <w:tcW w:w="1176" w:type="dxa"/>
            <w:tcBorders>
              <w:top w:val="single" w:sz="4" w:space="0" w:color="auto"/>
              <w:left w:val="nil"/>
              <w:bottom w:val="double" w:sz="6" w:space="0" w:color="auto"/>
              <w:right w:val="double" w:sz="6" w:space="0" w:color="auto"/>
            </w:tcBorders>
            <w:shd w:val="clear" w:color="auto" w:fill="auto"/>
            <w:vAlign w:val="center"/>
            <w:hideMark/>
          </w:tcPr>
          <w:p w14:paraId="3FD6A5BC" w14:textId="77777777" w:rsidR="002F7314" w:rsidRPr="00FD7B0B" w:rsidRDefault="002F7314" w:rsidP="00E0475D">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4 144,5 </w:t>
            </w:r>
          </w:p>
        </w:tc>
      </w:tr>
    </w:tbl>
    <w:p w14:paraId="3F3EED87" w14:textId="77777777" w:rsidR="002F7314" w:rsidRPr="00FD7B0B" w:rsidRDefault="002F7314" w:rsidP="00E0475D">
      <w:pPr>
        <w:spacing w:after="0" w:line="240" w:lineRule="auto"/>
        <w:ind w:firstLine="709"/>
        <w:jc w:val="both"/>
        <w:rPr>
          <w:rFonts w:ascii="Times New Roman" w:eastAsia="Calibri" w:hAnsi="Times New Roman" w:cs="Times New Roman"/>
          <w:sz w:val="28"/>
          <w:szCs w:val="28"/>
        </w:rPr>
      </w:pPr>
    </w:p>
    <w:p w14:paraId="6C2B3B38" w14:textId="052862C7" w:rsidR="002F7314" w:rsidRPr="00FD7B0B" w:rsidRDefault="002F7314" w:rsidP="00E0475D">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По состоянию на 01.01.2024 долговые обязательства Архангельской области в виде кредитов в кредитных организациях на общую сумму 22 999,9 млн.руб. складывались по 26 государственным контрактам на предоставление возобновляемой кредитной линии, заключенным в 2021 – 2023 годах, из которых 20 контрактов (на 16 999,9 млн.руб.) в 2024 году </w:t>
      </w:r>
      <w:r w:rsidR="00E0475D" w:rsidRPr="00FD7B0B">
        <w:rPr>
          <w:rFonts w:ascii="Times New Roman" w:eastAsia="Calibri" w:hAnsi="Times New Roman" w:cs="Times New Roman"/>
          <w:sz w:val="28"/>
          <w:szCs w:val="28"/>
        </w:rPr>
        <w:t>прекратили</w:t>
      </w:r>
      <w:r w:rsidRPr="00FD7B0B">
        <w:rPr>
          <w:rFonts w:ascii="Times New Roman" w:eastAsia="Calibri" w:hAnsi="Times New Roman" w:cs="Times New Roman"/>
          <w:sz w:val="28"/>
          <w:szCs w:val="28"/>
        </w:rPr>
        <w:t xml:space="preserve"> срок действия. Средневзвешенная ставка по указанным обязательствам на 01.01.2024 года составляла 12,010 % годовых, в т.ч. по 20 контрактам, срок действия которых закончился в 2024 году – 10,393 %.</w:t>
      </w:r>
    </w:p>
    <w:p w14:paraId="518BB1C1" w14:textId="77777777" w:rsidR="002F7314" w:rsidRPr="00FD7B0B" w:rsidRDefault="002F7314" w:rsidP="00E0475D">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состоянию на 01.01.2025 года долговые обязательства по коммерческим кредитам Архангельской области сложились на общую сумму 44 741,7 млн.руб. по 58 контрактам возобновляемой кредитной линии, из них:</w:t>
      </w:r>
    </w:p>
    <w:p w14:paraId="772F0DDB" w14:textId="405F4AB8" w:rsidR="002F7314" w:rsidRPr="00FD7B0B" w:rsidRDefault="002F7314" w:rsidP="000A031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 xml:space="preserve">1. По 24 государственным контрактам, заключенным с ПАО «Сбербанк России» – 20 000,0 млн.руб. по средневзвешенной ставке 20,632 % годовых, </w:t>
      </w:r>
      <w:r w:rsidR="000A0316" w:rsidRPr="00FD7B0B">
        <w:rPr>
          <w:rFonts w:ascii="Times New Roman" w:eastAsia="Calibri" w:hAnsi="Times New Roman" w:cs="Times New Roman"/>
          <w:sz w:val="28"/>
          <w:szCs w:val="28"/>
        </w:rPr>
        <w:t>в том числе</w:t>
      </w:r>
      <w:r w:rsidRPr="00FD7B0B">
        <w:rPr>
          <w:rFonts w:ascii="Times New Roman" w:eastAsia="Calibri" w:hAnsi="Times New Roman" w:cs="Times New Roman"/>
          <w:sz w:val="28"/>
          <w:szCs w:val="28"/>
        </w:rPr>
        <w:t>:</w:t>
      </w:r>
    </w:p>
    <w:p w14:paraId="6333751B" w14:textId="0DD7C173" w:rsidR="002F7314" w:rsidRPr="00FD7B0B" w:rsidRDefault="002F7314" w:rsidP="0063072B">
      <w:pPr>
        <w:pStyle w:val="a8"/>
        <w:numPr>
          <w:ilvl w:val="0"/>
          <w:numId w:val="9"/>
        </w:numPr>
        <w:ind w:left="0" w:firstLine="709"/>
        <w:jc w:val="both"/>
        <w:rPr>
          <w:sz w:val="28"/>
          <w:szCs w:val="28"/>
        </w:rPr>
      </w:pPr>
      <w:r w:rsidRPr="00FD7B0B">
        <w:rPr>
          <w:sz w:val="28"/>
          <w:szCs w:val="28"/>
        </w:rPr>
        <w:t>8 000,0 млн.руб. по ставке 17,0 % годовых, по 8 контрактам, сроком действия с февраля 2024 г</w:t>
      </w:r>
      <w:r w:rsidR="00CA6335" w:rsidRPr="00FD7B0B">
        <w:rPr>
          <w:sz w:val="28"/>
          <w:szCs w:val="28"/>
        </w:rPr>
        <w:t>ода</w:t>
      </w:r>
      <w:r w:rsidRPr="00FD7B0B">
        <w:rPr>
          <w:sz w:val="28"/>
          <w:szCs w:val="28"/>
        </w:rPr>
        <w:t xml:space="preserve"> по </w:t>
      </w:r>
      <w:r w:rsidR="00310996" w:rsidRPr="00FD7B0B">
        <w:rPr>
          <w:sz w:val="28"/>
          <w:szCs w:val="28"/>
        </w:rPr>
        <w:t>октябрь</w:t>
      </w:r>
      <w:r w:rsidRPr="00FD7B0B">
        <w:rPr>
          <w:sz w:val="28"/>
          <w:szCs w:val="28"/>
        </w:rPr>
        <w:t xml:space="preserve"> 2025 г</w:t>
      </w:r>
      <w:r w:rsidR="00CA6335" w:rsidRPr="00FD7B0B">
        <w:rPr>
          <w:sz w:val="28"/>
          <w:szCs w:val="28"/>
        </w:rPr>
        <w:t>ода</w:t>
      </w:r>
      <w:r w:rsidRPr="00FD7B0B">
        <w:rPr>
          <w:sz w:val="28"/>
          <w:szCs w:val="28"/>
        </w:rPr>
        <w:t>;</w:t>
      </w:r>
    </w:p>
    <w:p w14:paraId="48207209" w14:textId="77777777" w:rsidR="002F7314" w:rsidRPr="00FD7B0B" w:rsidRDefault="002F7314" w:rsidP="0063072B">
      <w:pPr>
        <w:pStyle w:val="a8"/>
        <w:numPr>
          <w:ilvl w:val="0"/>
          <w:numId w:val="9"/>
        </w:numPr>
        <w:ind w:left="0" w:firstLine="709"/>
        <w:jc w:val="both"/>
        <w:rPr>
          <w:sz w:val="28"/>
          <w:szCs w:val="28"/>
        </w:rPr>
      </w:pPr>
      <w:r w:rsidRPr="00FD7B0B">
        <w:rPr>
          <w:sz w:val="28"/>
          <w:szCs w:val="28"/>
        </w:rPr>
        <w:t>2 000,0 млн.руб. по ставке 22,51 % годовых, по 4 контрактам, сроком действия с 03.07.2024 по 03.07.2026;</w:t>
      </w:r>
    </w:p>
    <w:p w14:paraId="1FC3AC52" w14:textId="77777777" w:rsidR="002F7314" w:rsidRPr="00FD7B0B" w:rsidRDefault="002F7314" w:rsidP="0063072B">
      <w:pPr>
        <w:pStyle w:val="a8"/>
        <w:numPr>
          <w:ilvl w:val="0"/>
          <w:numId w:val="9"/>
        </w:numPr>
        <w:ind w:left="0" w:firstLine="709"/>
        <w:jc w:val="both"/>
        <w:rPr>
          <w:sz w:val="28"/>
          <w:szCs w:val="28"/>
        </w:rPr>
      </w:pPr>
      <w:r w:rsidRPr="00FD7B0B">
        <w:rPr>
          <w:sz w:val="28"/>
          <w:szCs w:val="28"/>
        </w:rPr>
        <w:t>2 000,0 млн.руб. по ставке 23,01 % годовых, по 4 контрактам, сроком действия с 17.09.2024 по 17.09.2026;</w:t>
      </w:r>
    </w:p>
    <w:p w14:paraId="30B69298" w14:textId="67B8D134" w:rsidR="002F7314" w:rsidRPr="00FD7B0B" w:rsidRDefault="002F7314" w:rsidP="0063072B">
      <w:pPr>
        <w:pStyle w:val="a8"/>
        <w:numPr>
          <w:ilvl w:val="0"/>
          <w:numId w:val="9"/>
        </w:numPr>
        <w:ind w:left="0" w:firstLine="709"/>
        <w:jc w:val="both"/>
        <w:rPr>
          <w:sz w:val="28"/>
          <w:szCs w:val="28"/>
        </w:rPr>
      </w:pPr>
      <w:r w:rsidRPr="00FD7B0B">
        <w:rPr>
          <w:sz w:val="28"/>
          <w:szCs w:val="28"/>
        </w:rPr>
        <w:t xml:space="preserve">8 000,0 млн.руб. по ставке 23,2 % годовых, по 8 контрактам, сроком действия с </w:t>
      </w:r>
      <w:r w:rsidR="00E53B1B" w:rsidRPr="00FD7B0B">
        <w:rPr>
          <w:sz w:val="28"/>
          <w:szCs w:val="28"/>
        </w:rPr>
        <w:t>июля 2024 года по октябрь 2026 года.</w:t>
      </w:r>
    </w:p>
    <w:p w14:paraId="67228BA9" w14:textId="77777777" w:rsidR="002F7314" w:rsidRPr="00FD7B0B" w:rsidRDefault="002F7314" w:rsidP="0084739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2. По 11 государственным контрактам, заключенным с АО «Банк Финсервис» – 5 000,0 млн.руб., по средневзвешенной ставке 23,056 % годовых, из них:</w:t>
      </w:r>
    </w:p>
    <w:p w14:paraId="3354C64F" w14:textId="77777777" w:rsidR="002F7314" w:rsidRPr="00FD7B0B" w:rsidRDefault="002F7314" w:rsidP="0063072B">
      <w:pPr>
        <w:pStyle w:val="a8"/>
        <w:numPr>
          <w:ilvl w:val="0"/>
          <w:numId w:val="9"/>
        </w:numPr>
        <w:ind w:left="0" w:firstLine="709"/>
        <w:jc w:val="both"/>
        <w:rPr>
          <w:sz w:val="28"/>
          <w:szCs w:val="28"/>
        </w:rPr>
      </w:pPr>
      <w:r w:rsidRPr="00FD7B0B">
        <w:rPr>
          <w:sz w:val="28"/>
          <w:szCs w:val="28"/>
        </w:rPr>
        <w:t>3 000,0 млн.руб. по ставке 23,04 % годовых, по 6 контрактам, сроком действия с 05.11.2024 по 05.11.2026;</w:t>
      </w:r>
    </w:p>
    <w:p w14:paraId="56489E76" w14:textId="33DD619E" w:rsidR="002F7314" w:rsidRPr="00FD7B0B" w:rsidRDefault="002F7314" w:rsidP="0063072B">
      <w:pPr>
        <w:pStyle w:val="a8"/>
        <w:numPr>
          <w:ilvl w:val="0"/>
          <w:numId w:val="9"/>
        </w:numPr>
        <w:ind w:left="0" w:firstLine="709"/>
        <w:jc w:val="both"/>
        <w:rPr>
          <w:sz w:val="28"/>
          <w:szCs w:val="28"/>
        </w:rPr>
      </w:pPr>
      <w:r w:rsidRPr="00FD7B0B">
        <w:rPr>
          <w:sz w:val="28"/>
          <w:szCs w:val="28"/>
        </w:rPr>
        <w:t>2 000,0 млн.руб. по ставке 23,08 % годовых, по 5 контрактам, сроком действия с апреля 2024 г</w:t>
      </w:r>
      <w:r w:rsidR="00847396" w:rsidRPr="00FD7B0B">
        <w:rPr>
          <w:sz w:val="28"/>
          <w:szCs w:val="28"/>
        </w:rPr>
        <w:t>ода</w:t>
      </w:r>
      <w:r w:rsidRPr="00FD7B0B">
        <w:rPr>
          <w:sz w:val="28"/>
          <w:szCs w:val="28"/>
        </w:rPr>
        <w:t xml:space="preserve"> по май 2025 г</w:t>
      </w:r>
      <w:r w:rsidR="00847396" w:rsidRPr="00FD7B0B">
        <w:rPr>
          <w:sz w:val="28"/>
          <w:szCs w:val="28"/>
        </w:rPr>
        <w:t>ода.</w:t>
      </w:r>
    </w:p>
    <w:p w14:paraId="3AF405EF" w14:textId="77777777" w:rsidR="002F7314" w:rsidRPr="00FD7B0B" w:rsidRDefault="002F7314" w:rsidP="00A9460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3. По 23 государственным контрактам, заключенным с ПАО «Банк ВТБ» – 19 741,7 млн.руб., по средневзвешенной ставке 21,226 % годовых, из них:</w:t>
      </w:r>
    </w:p>
    <w:p w14:paraId="3E947F56" w14:textId="6B0B97C0" w:rsidR="002F7314" w:rsidRPr="00FD7B0B" w:rsidRDefault="002F7314" w:rsidP="0063072B">
      <w:pPr>
        <w:pStyle w:val="a8"/>
        <w:numPr>
          <w:ilvl w:val="0"/>
          <w:numId w:val="9"/>
        </w:numPr>
        <w:ind w:left="0" w:firstLine="709"/>
        <w:jc w:val="both"/>
        <w:rPr>
          <w:sz w:val="28"/>
          <w:szCs w:val="28"/>
        </w:rPr>
      </w:pPr>
      <w:r w:rsidRPr="00FD7B0B">
        <w:rPr>
          <w:sz w:val="28"/>
          <w:szCs w:val="28"/>
        </w:rPr>
        <w:t>6 000,0 млн.руб. по ставке 16,59 % годовых, по 6 контрактам, сроком действия с ноября 2023 г</w:t>
      </w:r>
      <w:r w:rsidR="00A9460A" w:rsidRPr="00FD7B0B">
        <w:rPr>
          <w:sz w:val="28"/>
          <w:szCs w:val="28"/>
        </w:rPr>
        <w:t>ода</w:t>
      </w:r>
      <w:r w:rsidRPr="00FD7B0B">
        <w:rPr>
          <w:sz w:val="28"/>
          <w:szCs w:val="28"/>
        </w:rPr>
        <w:t xml:space="preserve"> по июнь 2025 г</w:t>
      </w:r>
      <w:r w:rsidR="00A9460A" w:rsidRPr="00FD7B0B">
        <w:rPr>
          <w:sz w:val="28"/>
          <w:szCs w:val="28"/>
        </w:rPr>
        <w:t>ода</w:t>
      </w:r>
      <w:r w:rsidRPr="00FD7B0B">
        <w:rPr>
          <w:sz w:val="28"/>
          <w:szCs w:val="28"/>
        </w:rPr>
        <w:t>;</w:t>
      </w:r>
    </w:p>
    <w:p w14:paraId="61E5D417" w14:textId="66AB7DE8" w:rsidR="002F7314" w:rsidRPr="00FD7B0B" w:rsidRDefault="002F7314" w:rsidP="0063072B">
      <w:pPr>
        <w:pStyle w:val="a8"/>
        <w:numPr>
          <w:ilvl w:val="0"/>
          <w:numId w:val="9"/>
        </w:numPr>
        <w:ind w:left="0" w:firstLine="709"/>
        <w:jc w:val="both"/>
        <w:rPr>
          <w:sz w:val="28"/>
          <w:szCs w:val="28"/>
        </w:rPr>
      </w:pPr>
      <w:r w:rsidRPr="00FD7B0B">
        <w:rPr>
          <w:sz w:val="28"/>
          <w:szCs w:val="28"/>
        </w:rPr>
        <w:t>13 741,7 млн.руб. по ставке 23,25 % годовых, по 17 контрактам, сроком действия с мая 2024 г</w:t>
      </w:r>
      <w:r w:rsidR="00A9460A" w:rsidRPr="00FD7B0B">
        <w:rPr>
          <w:sz w:val="28"/>
          <w:szCs w:val="28"/>
        </w:rPr>
        <w:t>ода по апрель 2027 года.</w:t>
      </w:r>
    </w:p>
    <w:p w14:paraId="49066BFE" w14:textId="61711FF9" w:rsidR="002F7314" w:rsidRPr="00FD7B0B" w:rsidRDefault="002F7314" w:rsidP="00A9460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 конец 2024 года кредитором по коммерческим кредитам с наибольшей суммой является ПАО «Сбербанк России»</w:t>
      </w:r>
      <w:r w:rsidR="00092438"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 xml:space="preserve"> задолженность которому составляет 44,7 % от общей суммы задолженности по кредитам кредитных организаци</w:t>
      </w:r>
      <w:r w:rsidR="00092438" w:rsidRPr="00FD7B0B">
        <w:rPr>
          <w:rFonts w:ascii="Times New Roman" w:eastAsia="Calibri" w:hAnsi="Times New Roman" w:cs="Times New Roman"/>
          <w:sz w:val="28"/>
          <w:szCs w:val="28"/>
        </w:rPr>
        <w:t>й</w:t>
      </w:r>
      <w:r w:rsidRPr="00FD7B0B">
        <w:rPr>
          <w:rFonts w:ascii="Times New Roman" w:eastAsia="Calibri" w:hAnsi="Times New Roman" w:cs="Times New Roman"/>
          <w:sz w:val="28"/>
          <w:szCs w:val="28"/>
        </w:rPr>
        <w:t xml:space="preserve"> на 01.01.2025. В общей сумме государственного долга на 01.01.2025 удельный вес задолженности перед данной кредитной организацией составляет 23,0 %.</w:t>
      </w:r>
    </w:p>
    <w:p w14:paraId="1669CFDC" w14:textId="2069681B" w:rsidR="002F7314" w:rsidRPr="00FD7B0B" w:rsidRDefault="002F7314" w:rsidP="0009243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Вторым по </w:t>
      </w:r>
      <w:r w:rsidR="00092438" w:rsidRPr="00FD7B0B">
        <w:rPr>
          <w:rFonts w:ascii="Times New Roman" w:eastAsia="Calibri" w:hAnsi="Times New Roman" w:cs="Times New Roman"/>
          <w:sz w:val="28"/>
          <w:szCs w:val="28"/>
        </w:rPr>
        <w:t>сумме задолженности</w:t>
      </w:r>
      <w:r w:rsidRPr="00FD7B0B">
        <w:rPr>
          <w:rFonts w:ascii="Times New Roman" w:eastAsia="Calibri" w:hAnsi="Times New Roman" w:cs="Times New Roman"/>
          <w:sz w:val="28"/>
          <w:szCs w:val="28"/>
        </w:rPr>
        <w:t xml:space="preserve"> кредитором по </w:t>
      </w:r>
      <w:r w:rsidR="00092438" w:rsidRPr="00FD7B0B">
        <w:rPr>
          <w:rFonts w:ascii="Times New Roman" w:eastAsia="Calibri" w:hAnsi="Times New Roman" w:cs="Times New Roman"/>
          <w:sz w:val="28"/>
          <w:szCs w:val="28"/>
        </w:rPr>
        <w:t xml:space="preserve">коммерческим </w:t>
      </w:r>
      <w:r w:rsidRPr="00FD7B0B">
        <w:rPr>
          <w:rFonts w:ascii="Times New Roman" w:eastAsia="Calibri" w:hAnsi="Times New Roman" w:cs="Times New Roman"/>
          <w:sz w:val="28"/>
          <w:szCs w:val="28"/>
        </w:rPr>
        <w:t>кредитам на 01.01.2025 является ПАО «Банк ВТБ» с долей в размере 44,1 %, а в общей сумме государственного долга удельный вес составляет 22,7 %.</w:t>
      </w:r>
    </w:p>
    <w:p w14:paraId="7457E391" w14:textId="6A0EBC00" w:rsidR="002F7314" w:rsidRPr="00FD7B0B" w:rsidRDefault="002F7314" w:rsidP="0009243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Уплата процентов по коммерческим кредитам за 2024 год составила 4 144,5 млн.руб., из них по средствам, привлечённым в ПАО «Сбербанк России» – 2 025,3 млн.руб.</w:t>
      </w:r>
      <w:r w:rsidR="00635A16"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 xml:space="preserve"> в ПАО «Банк ВТБ» – 1 274,2 млн.руб.</w:t>
      </w:r>
    </w:p>
    <w:p w14:paraId="6AC217CD" w14:textId="77777777" w:rsidR="002F7314" w:rsidRPr="00FD7B0B" w:rsidRDefault="002F7314" w:rsidP="00635A1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состоянию на 01.01.2025 средневзвешенная ставка по непогашенным коммерческим кредитам сложилась в размере 21,165 % годовых, что на 9,155 процентных пункта выше соответствующего показателя на 01.01.2024 (12,010 %).</w:t>
      </w:r>
    </w:p>
    <w:p w14:paraId="3318037E" w14:textId="1CC20859" w:rsidR="002F7314" w:rsidRPr="00FD7B0B" w:rsidRDefault="002F7314" w:rsidP="0017772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Одновременно с этим, на 01.01.2025 ключевая ставка, утвержденная Банком России, составляет 21,0 %, что на 0,165 процентных пункта </w:t>
      </w:r>
      <w:r w:rsidR="00310996" w:rsidRPr="00FD7B0B">
        <w:rPr>
          <w:rFonts w:ascii="Times New Roman" w:eastAsia="Calibri" w:hAnsi="Times New Roman" w:cs="Times New Roman"/>
          <w:sz w:val="28"/>
          <w:szCs w:val="28"/>
        </w:rPr>
        <w:t>ниже</w:t>
      </w:r>
      <w:r w:rsidRPr="00FD7B0B">
        <w:rPr>
          <w:rFonts w:ascii="Times New Roman" w:eastAsia="Calibri" w:hAnsi="Times New Roman" w:cs="Times New Roman"/>
          <w:sz w:val="28"/>
          <w:szCs w:val="28"/>
        </w:rPr>
        <w:t xml:space="preserve"> средневзвешенной ставки по остатку задолженности по коммерческим кредитам на конец 2024 года.</w:t>
      </w:r>
    </w:p>
    <w:p w14:paraId="3B4AC174" w14:textId="4E5FD25B" w:rsidR="002F7314" w:rsidRPr="00FD7B0B" w:rsidRDefault="002F7314" w:rsidP="003C271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Так</w:t>
      </w:r>
      <w:r w:rsidR="003C2711"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 xml:space="preserve"> в большинстве контрактах, заключенных с кредитными организациями в 2024 году на предоставление коммерческих кредитных ресурсов, применяется плавающая процентная ставка, которая зависит от изменения ключевой ставки Банка России с надбавкой от 1,51 до 2,25 процентных пункта</w:t>
      </w:r>
      <w:r w:rsidR="003C2711" w:rsidRPr="00FD7B0B">
        <w:rPr>
          <w:rFonts w:ascii="Times New Roman" w:eastAsia="Calibri" w:hAnsi="Times New Roman" w:cs="Times New Roman"/>
          <w:sz w:val="28"/>
          <w:szCs w:val="28"/>
        </w:rPr>
        <w:t>.</w:t>
      </w:r>
    </w:p>
    <w:p w14:paraId="3DEC6053" w14:textId="5AE7FA83" w:rsidR="002F7314" w:rsidRPr="00FD7B0B" w:rsidRDefault="002F7314" w:rsidP="003C271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На рисунке </w:t>
      </w:r>
      <w:r w:rsidR="00BA7410" w:rsidRPr="00FD7B0B">
        <w:rPr>
          <w:rFonts w:ascii="Times New Roman" w:eastAsia="Calibri" w:hAnsi="Times New Roman" w:cs="Times New Roman"/>
          <w:sz w:val="28"/>
          <w:szCs w:val="28"/>
        </w:rPr>
        <w:t>43</w:t>
      </w:r>
      <w:r w:rsidRPr="00FD7B0B">
        <w:rPr>
          <w:rFonts w:ascii="Times New Roman" w:eastAsia="Calibri" w:hAnsi="Times New Roman" w:cs="Times New Roman"/>
          <w:sz w:val="28"/>
          <w:szCs w:val="28"/>
        </w:rPr>
        <w:t xml:space="preserve"> представлены сведения о средневзвешенной ставке по непогашенным коммерческим кредитам, привлеченным в областной бюджет по состоянию на отчетные даты с 01.01.2023.</w:t>
      </w:r>
    </w:p>
    <w:p w14:paraId="30381A2F" w14:textId="77777777" w:rsidR="002F7314" w:rsidRPr="00FD7B0B" w:rsidRDefault="002F7314" w:rsidP="003C2711">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0F6A112B" wp14:editId="7321577D">
            <wp:extent cx="6219825" cy="2249805"/>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20365" cy="2250000"/>
                    </a:xfrm>
                    <a:prstGeom prst="rect">
                      <a:avLst/>
                    </a:prstGeom>
                    <a:noFill/>
                  </pic:spPr>
                </pic:pic>
              </a:graphicData>
            </a:graphic>
          </wp:inline>
        </w:drawing>
      </w:r>
    </w:p>
    <w:p w14:paraId="7351423B" w14:textId="5A4973EE" w:rsidR="002F7314" w:rsidRPr="00FD7B0B" w:rsidRDefault="002F7314" w:rsidP="003C2711">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43</w:t>
      </w:r>
      <w:r w:rsidRPr="00FD7B0B">
        <w:rPr>
          <w:rFonts w:ascii="Times New Roman" w:hAnsi="Times New Roman"/>
          <w:b w:val="0"/>
          <w:sz w:val="24"/>
          <w:szCs w:val="24"/>
        </w:rPr>
        <w:fldChar w:fldCharType="end"/>
      </w:r>
      <w:r w:rsidRPr="00FD7B0B">
        <w:rPr>
          <w:rFonts w:ascii="Times New Roman" w:hAnsi="Times New Roman"/>
          <w:b w:val="0"/>
          <w:sz w:val="24"/>
          <w:szCs w:val="24"/>
        </w:rPr>
        <w:t>. Средневзвешенная ставка по непогашенным коммерческим кредитам, привлеченным в областной бюджет</w:t>
      </w:r>
      <w:r w:rsidR="00B1163B" w:rsidRPr="00FD7B0B">
        <w:rPr>
          <w:rFonts w:ascii="Times New Roman" w:hAnsi="Times New Roman"/>
          <w:b w:val="0"/>
          <w:sz w:val="24"/>
          <w:szCs w:val="24"/>
        </w:rPr>
        <w:t>,</w:t>
      </w:r>
      <w:r w:rsidRPr="00FD7B0B">
        <w:rPr>
          <w:rFonts w:ascii="Times New Roman" w:hAnsi="Times New Roman"/>
          <w:b w:val="0"/>
          <w:sz w:val="24"/>
          <w:szCs w:val="24"/>
        </w:rPr>
        <w:t xml:space="preserve"> и ключевая ставка Банк</w:t>
      </w:r>
      <w:r w:rsidR="00B1163B" w:rsidRPr="00FD7B0B">
        <w:rPr>
          <w:rFonts w:ascii="Times New Roman" w:hAnsi="Times New Roman"/>
          <w:b w:val="0"/>
          <w:sz w:val="24"/>
          <w:szCs w:val="24"/>
        </w:rPr>
        <w:t>а</w:t>
      </w:r>
      <w:r w:rsidRPr="00FD7B0B">
        <w:rPr>
          <w:rFonts w:ascii="Times New Roman" w:hAnsi="Times New Roman"/>
          <w:b w:val="0"/>
          <w:sz w:val="24"/>
          <w:szCs w:val="24"/>
        </w:rPr>
        <w:t xml:space="preserve"> России на отчетные даты, % годовых</w:t>
      </w:r>
    </w:p>
    <w:p w14:paraId="0F66C460" w14:textId="77777777" w:rsidR="002F7314" w:rsidRPr="00FD7B0B" w:rsidRDefault="002F7314" w:rsidP="00B1163B">
      <w:pPr>
        <w:spacing w:after="0" w:line="240" w:lineRule="auto"/>
        <w:ind w:firstLine="709"/>
        <w:jc w:val="both"/>
        <w:rPr>
          <w:rFonts w:ascii="Times New Roman" w:eastAsia="Calibri" w:hAnsi="Times New Roman" w:cs="Times New Roman"/>
          <w:sz w:val="28"/>
          <w:szCs w:val="28"/>
        </w:rPr>
      </w:pPr>
    </w:p>
    <w:p w14:paraId="748862ED" w14:textId="77777777" w:rsidR="002F7314" w:rsidRPr="00FD7B0B" w:rsidRDefault="002F7314" w:rsidP="00B1163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Средневзвешенная ставка по непогашенным коммерческим кредитам, привлеченным в областной бюджет, с 01.01.2023 по 01.01.2025 увеличилась на 14,603 процентных пункта при росте ключевой ставки Банка России за тот же период с 7,5 до 21,0 процентов годовых или на 13,5 процентных пункта.</w:t>
      </w:r>
    </w:p>
    <w:p w14:paraId="2F4805F3" w14:textId="77777777" w:rsidR="002F7314" w:rsidRPr="00FD7B0B" w:rsidRDefault="002F7314" w:rsidP="00B1163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отношению к расходам по уплате процентов за использование коммерческих кредитов за 2023 год расходы отчетного периода увеличились в 8,2 раза (+3 637,3 млн.руб.).</w:t>
      </w:r>
    </w:p>
    <w:p w14:paraId="79190BD2" w14:textId="333E8E40" w:rsidR="002F7314" w:rsidRPr="00FD7B0B" w:rsidRDefault="002F7314" w:rsidP="00EF333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Причиной роста данных расходов является рост </w:t>
      </w:r>
      <w:r w:rsidR="00EF333E" w:rsidRPr="00FD7B0B">
        <w:rPr>
          <w:rFonts w:ascii="Times New Roman" w:eastAsia="Calibri" w:hAnsi="Times New Roman" w:cs="Times New Roman"/>
          <w:sz w:val="28"/>
          <w:szCs w:val="28"/>
        </w:rPr>
        <w:t xml:space="preserve">объема </w:t>
      </w:r>
      <w:r w:rsidRPr="00FD7B0B">
        <w:rPr>
          <w:rFonts w:ascii="Times New Roman" w:eastAsia="Calibri" w:hAnsi="Times New Roman" w:cs="Times New Roman"/>
          <w:sz w:val="28"/>
          <w:szCs w:val="28"/>
        </w:rPr>
        <w:t>привлеченных коммерческих кредитов</w:t>
      </w:r>
      <w:r w:rsidR="00EF333E" w:rsidRPr="00FD7B0B">
        <w:rPr>
          <w:rFonts w:ascii="Times New Roman" w:eastAsia="Calibri" w:hAnsi="Times New Roman" w:cs="Times New Roman"/>
          <w:sz w:val="28"/>
          <w:szCs w:val="28"/>
        </w:rPr>
        <w:t>, увеличение ключевой ставки Банка России</w:t>
      </w:r>
      <w:r w:rsidRPr="00FD7B0B">
        <w:rPr>
          <w:rFonts w:ascii="Times New Roman" w:eastAsia="Calibri" w:hAnsi="Times New Roman" w:cs="Times New Roman"/>
          <w:sz w:val="28"/>
          <w:szCs w:val="28"/>
        </w:rPr>
        <w:t xml:space="preserve"> и то</w:t>
      </w:r>
      <w:r w:rsidR="00EF333E" w:rsidRPr="00FD7B0B">
        <w:rPr>
          <w:rFonts w:ascii="Times New Roman" w:eastAsia="Calibri" w:hAnsi="Times New Roman" w:cs="Times New Roman"/>
          <w:sz w:val="28"/>
          <w:szCs w:val="28"/>
        </w:rPr>
        <w:t>т факт</w:t>
      </w:r>
      <w:r w:rsidRPr="00FD7B0B">
        <w:rPr>
          <w:rFonts w:ascii="Times New Roman" w:eastAsia="Calibri" w:hAnsi="Times New Roman" w:cs="Times New Roman"/>
          <w:sz w:val="28"/>
          <w:szCs w:val="28"/>
        </w:rPr>
        <w:t>, что в большинстве контрактах, заключенных с кредитными организациями в 2024 году на предоставление коммерческих кредитных ресурсов, применяется плавающая процентная ставка, которая зависит от изменения ключевой ставки Банка России с надбавкой от 1,51 до 2,25 процентных пункта.</w:t>
      </w:r>
    </w:p>
    <w:p w14:paraId="50E7819B" w14:textId="5AC6F315" w:rsidR="002F7314" w:rsidRPr="00FD7B0B" w:rsidRDefault="002F7314" w:rsidP="00EF333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Одновременно с эти</w:t>
      </w:r>
      <w:r w:rsidR="00310996" w:rsidRPr="00FD7B0B">
        <w:rPr>
          <w:rFonts w:ascii="Times New Roman" w:eastAsia="Calibri" w:hAnsi="Times New Roman" w:cs="Times New Roman"/>
          <w:sz w:val="28"/>
          <w:szCs w:val="28"/>
        </w:rPr>
        <w:t>м</w:t>
      </w:r>
      <w:r w:rsidRPr="00FD7B0B">
        <w:rPr>
          <w:rFonts w:ascii="Times New Roman" w:eastAsia="Calibri" w:hAnsi="Times New Roman" w:cs="Times New Roman"/>
          <w:sz w:val="28"/>
          <w:szCs w:val="28"/>
        </w:rPr>
        <w:t>, по остатку задолженности по коммерческим кредитам превышение ключевой ставки более чем на 1 процентный пункт в отчетном периоде наблюдается только на 01.07.2024.</w:t>
      </w:r>
    </w:p>
    <w:p w14:paraId="02F2FBCA" w14:textId="63B1F931" w:rsidR="002F7314" w:rsidRPr="00FD7B0B" w:rsidRDefault="002F7314" w:rsidP="000606A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Показатели по привлеченным коммерческим кредитам в 2023 и 2024 году приведены в таблице </w:t>
      </w:r>
      <w:r w:rsidR="00BA7410" w:rsidRPr="00FD7B0B">
        <w:rPr>
          <w:rFonts w:ascii="Times New Roman" w:eastAsia="Calibri" w:hAnsi="Times New Roman" w:cs="Times New Roman"/>
          <w:sz w:val="28"/>
          <w:szCs w:val="28"/>
        </w:rPr>
        <w:t>262</w:t>
      </w:r>
      <w:r w:rsidRPr="00FD7B0B">
        <w:rPr>
          <w:rFonts w:ascii="Times New Roman" w:eastAsia="Calibri" w:hAnsi="Times New Roman" w:cs="Times New Roman"/>
          <w:sz w:val="28"/>
          <w:szCs w:val="28"/>
        </w:rPr>
        <w:t>.</w:t>
      </w:r>
    </w:p>
    <w:p w14:paraId="3EB22037" w14:textId="77777777" w:rsidR="002F7314" w:rsidRPr="00FD7B0B" w:rsidRDefault="002F7314" w:rsidP="00D27888">
      <w:pPr>
        <w:pStyle w:val="aff0"/>
        <w:spacing w:after="0" w:line="240" w:lineRule="auto"/>
        <w:rPr>
          <w:rFonts w:ascii="Times New Roman" w:hAnsi="Times New Roman"/>
          <w:b w:val="0"/>
          <w:sz w:val="24"/>
          <w:szCs w:val="24"/>
        </w:rPr>
      </w:pPr>
    </w:p>
    <w:p w14:paraId="3DB1C25D" w14:textId="77777777" w:rsidR="00BA7410" w:rsidRPr="00FD7B0B" w:rsidRDefault="00BA7410" w:rsidP="00D27888">
      <w:pPr>
        <w:pStyle w:val="aff0"/>
        <w:spacing w:after="0" w:line="240" w:lineRule="auto"/>
        <w:rPr>
          <w:rFonts w:ascii="Times New Roman" w:hAnsi="Times New Roman"/>
          <w:b w:val="0"/>
          <w:sz w:val="24"/>
          <w:szCs w:val="24"/>
        </w:rPr>
      </w:pPr>
    </w:p>
    <w:p w14:paraId="677A4366" w14:textId="77777777" w:rsidR="00BA7410" w:rsidRPr="00FD7B0B" w:rsidRDefault="00BA7410" w:rsidP="00D27888">
      <w:pPr>
        <w:pStyle w:val="aff0"/>
        <w:spacing w:after="0" w:line="240" w:lineRule="auto"/>
        <w:rPr>
          <w:rFonts w:ascii="Times New Roman" w:hAnsi="Times New Roman"/>
          <w:b w:val="0"/>
          <w:sz w:val="24"/>
          <w:szCs w:val="24"/>
        </w:rPr>
      </w:pPr>
    </w:p>
    <w:p w14:paraId="5878832F" w14:textId="77777777" w:rsidR="00BA7410" w:rsidRPr="00FD7B0B" w:rsidRDefault="00BA7410" w:rsidP="00D27888">
      <w:pPr>
        <w:pStyle w:val="aff0"/>
        <w:spacing w:after="0" w:line="240" w:lineRule="auto"/>
        <w:rPr>
          <w:rFonts w:ascii="Times New Roman" w:hAnsi="Times New Roman"/>
          <w:b w:val="0"/>
          <w:sz w:val="24"/>
          <w:szCs w:val="24"/>
        </w:rPr>
      </w:pPr>
    </w:p>
    <w:p w14:paraId="528AC1C9" w14:textId="2329A8DD" w:rsidR="002F7314" w:rsidRPr="00FD7B0B" w:rsidRDefault="002F7314" w:rsidP="00D27888">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262</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Сведения о кредитах, привлеченных в областной бюджет в кредитных организациях за 2023 – 2024 годы, с учетом расходов на </w:t>
      </w:r>
      <w:r w:rsidR="00D27888" w:rsidRPr="00FD7B0B">
        <w:rPr>
          <w:rFonts w:ascii="Times New Roman" w:hAnsi="Times New Roman"/>
          <w:b w:val="0"/>
          <w:sz w:val="24"/>
          <w:szCs w:val="24"/>
        </w:rPr>
        <w:t xml:space="preserve">их </w:t>
      </w:r>
      <w:r w:rsidRPr="00FD7B0B">
        <w:rPr>
          <w:rFonts w:ascii="Times New Roman" w:hAnsi="Times New Roman"/>
          <w:b w:val="0"/>
          <w:sz w:val="24"/>
          <w:szCs w:val="24"/>
        </w:rPr>
        <w:t>обслуживание, млн.руб.</w:t>
      </w:r>
    </w:p>
    <w:tbl>
      <w:tblPr>
        <w:tblW w:w="9616" w:type="dxa"/>
        <w:tblLayout w:type="fixed"/>
        <w:tblLook w:val="04A0" w:firstRow="1" w:lastRow="0" w:firstColumn="1" w:lastColumn="0" w:noHBand="0" w:noVBand="1"/>
      </w:tblPr>
      <w:tblGrid>
        <w:gridCol w:w="1670"/>
        <w:gridCol w:w="1001"/>
        <w:gridCol w:w="1275"/>
        <w:gridCol w:w="993"/>
        <w:gridCol w:w="992"/>
        <w:gridCol w:w="1091"/>
        <w:gridCol w:w="1319"/>
        <w:gridCol w:w="1275"/>
      </w:tblGrid>
      <w:tr w:rsidR="00FD7B0B" w:rsidRPr="00FD7B0B" w14:paraId="121255E7" w14:textId="77777777" w:rsidTr="002F7314">
        <w:trPr>
          <w:trHeight w:val="35"/>
          <w:tblHeader/>
        </w:trPr>
        <w:tc>
          <w:tcPr>
            <w:tcW w:w="167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0392AC4"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Показатели</w:t>
            </w:r>
          </w:p>
        </w:tc>
        <w:tc>
          <w:tcPr>
            <w:tcW w:w="2276"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1C2A6684"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начало года</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21AB8A1B"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CDDF178"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Пога-шено</w:t>
            </w:r>
          </w:p>
        </w:tc>
        <w:tc>
          <w:tcPr>
            <w:tcW w:w="2410"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79856341"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конец года</w:t>
            </w:r>
          </w:p>
        </w:tc>
        <w:tc>
          <w:tcPr>
            <w:tcW w:w="1275"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0D3DAC94"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Уплачено процентов</w:t>
            </w:r>
          </w:p>
        </w:tc>
      </w:tr>
      <w:tr w:rsidR="00FD7B0B" w:rsidRPr="00FD7B0B" w14:paraId="5ABECF40" w14:textId="77777777" w:rsidTr="002F7314">
        <w:trPr>
          <w:trHeight w:val="35"/>
          <w:tblHeader/>
        </w:trPr>
        <w:tc>
          <w:tcPr>
            <w:tcW w:w="1670" w:type="dxa"/>
            <w:vMerge/>
            <w:tcBorders>
              <w:top w:val="double" w:sz="6" w:space="0" w:color="auto"/>
              <w:left w:val="double" w:sz="6" w:space="0" w:color="auto"/>
              <w:bottom w:val="single" w:sz="4" w:space="0" w:color="auto"/>
              <w:right w:val="single" w:sz="4" w:space="0" w:color="auto"/>
            </w:tcBorders>
            <w:vAlign w:val="center"/>
            <w:hideMark/>
          </w:tcPr>
          <w:p w14:paraId="647631DE" w14:textId="77777777" w:rsidR="002F7314" w:rsidRPr="00FD7B0B" w:rsidRDefault="002F7314" w:rsidP="006D6B43">
            <w:pPr>
              <w:spacing w:after="0" w:line="240" w:lineRule="auto"/>
              <w:rPr>
                <w:rFonts w:ascii="Times New Roman" w:eastAsia="Times New Roman" w:hAnsi="Times New Roman" w:cs="Times New Roman"/>
                <w:b/>
                <w:bCs/>
                <w:sz w:val="20"/>
                <w:szCs w:val="20"/>
                <w:lang w:eastAsia="ru-RU"/>
              </w:rPr>
            </w:pP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2563FF45"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44C9F2"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5203EE27" w14:textId="77777777" w:rsidR="002F7314" w:rsidRPr="00FD7B0B" w:rsidRDefault="002F7314" w:rsidP="006D6B43">
            <w:pPr>
              <w:spacing w:after="0" w:line="240" w:lineRule="auto"/>
              <w:rPr>
                <w:rFonts w:ascii="Times New Roman" w:eastAsia="Times New Roman" w:hAnsi="Times New Roman" w:cs="Times New Roman"/>
                <w:b/>
                <w:bCs/>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BD43292" w14:textId="77777777" w:rsidR="002F7314" w:rsidRPr="00FD7B0B" w:rsidRDefault="002F7314" w:rsidP="006D6B43">
            <w:pPr>
              <w:spacing w:after="0" w:line="240" w:lineRule="auto"/>
              <w:rPr>
                <w:rFonts w:ascii="Times New Roman" w:eastAsia="Times New Roman" w:hAnsi="Times New Roman" w:cs="Times New Roman"/>
                <w:b/>
                <w:bCs/>
                <w:sz w:val="20"/>
                <w:szCs w:val="20"/>
                <w:lang w:eastAsia="ru-RU"/>
              </w:rPr>
            </w:pPr>
          </w:p>
        </w:tc>
        <w:tc>
          <w:tcPr>
            <w:tcW w:w="1091" w:type="dxa"/>
            <w:tcBorders>
              <w:top w:val="single" w:sz="4" w:space="0" w:color="auto"/>
              <w:left w:val="nil"/>
              <w:bottom w:val="single" w:sz="4" w:space="0" w:color="auto"/>
              <w:right w:val="single" w:sz="4" w:space="0" w:color="auto"/>
            </w:tcBorders>
            <w:shd w:val="clear" w:color="auto" w:fill="auto"/>
            <w:vAlign w:val="center"/>
            <w:hideMark/>
          </w:tcPr>
          <w:p w14:paraId="16A4F42B"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5137C31A" w14:textId="77777777" w:rsidR="002F7314" w:rsidRPr="00FD7B0B" w:rsidRDefault="002F7314" w:rsidP="006D6B43">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1275" w:type="dxa"/>
            <w:vMerge/>
            <w:tcBorders>
              <w:top w:val="double" w:sz="6" w:space="0" w:color="auto"/>
              <w:left w:val="single" w:sz="4" w:space="0" w:color="auto"/>
              <w:bottom w:val="single" w:sz="4" w:space="0" w:color="auto"/>
              <w:right w:val="double" w:sz="6" w:space="0" w:color="auto"/>
            </w:tcBorders>
            <w:vAlign w:val="center"/>
            <w:hideMark/>
          </w:tcPr>
          <w:p w14:paraId="6344A019" w14:textId="77777777" w:rsidR="002F7314" w:rsidRPr="00FD7B0B" w:rsidRDefault="002F7314" w:rsidP="006D6B43">
            <w:pPr>
              <w:spacing w:after="0" w:line="240" w:lineRule="auto"/>
              <w:rPr>
                <w:rFonts w:ascii="Times New Roman" w:eastAsia="Times New Roman" w:hAnsi="Times New Roman" w:cs="Times New Roman"/>
                <w:b/>
                <w:bCs/>
                <w:sz w:val="20"/>
                <w:szCs w:val="20"/>
                <w:lang w:eastAsia="ru-RU"/>
              </w:rPr>
            </w:pPr>
          </w:p>
        </w:tc>
      </w:tr>
      <w:tr w:rsidR="00FD7B0B" w:rsidRPr="00FD7B0B" w14:paraId="2EAB9CF4" w14:textId="77777777" w:rsidTr="002F7314">
        <w:trPr>
          <w:trHeight w:val="70"/>
        </w:trPr>
        <w:tc>
          <w:tcPr>
            <w:tcW w:w="1670" w:type="dxa"/>
            <w:tcBorders>
              <w:top w:val="nil"/>
              <w:left w:val="double" w:sz="6" w:space="0" w:color="auto"/>
              <w:bottom w:val="single" w:sz="4" w:space="0" w:color="auto"/>
              <w:right w:val="single" w:sz="4" w:space="0" w:color="auto"/>
            </w:tcBorders>
            <w:shd w:val="clear" w:color="auto" w:fill="auto"/>
            <w:noWrap/>
            <w:vAlign w:val="bottom"/>
            <w:hideMark/>
          </w:tcPr>
          <w:p w14:paraId="6521A0DD" w14:textId="77777777" w:rsidR="002F7314" w:rsidRPr="00FD7B0B" w:rsidRDefault="002F7314" w:rsidP="006D6B43">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01" w:type="dxa"/>
            <w:tcBorders>
              <w:top w:val="nil"/>
              <w:left w:val="nil"/>
              <w:bottom w:val="single" w:sz="4" w:space="0" w:color="auto"/>
              <w:right w:val="single" w:sz="4" w:space="0" w:color="auto"/>
            </w:tcBorders>
            <w:shd w:val="clear" w:color="auto" w:fill="auto"/>
            <w:noWrap/>
            <w:vAlign w:val="bottom"/>
            <w:hideMark/>
          </w:tcPr>
          <w:p w14:paraId="56253D96"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8 000,0 </w:t>
            </w:r>
          </w:p>
        </w:tc>
        <w:tc>
          <w:tcPr>
            <w:tcW w:w="1275" w:type="dxa"/>
            <w:tcBorders>
              <w:top w:val="nil"/>
              <w:left w:val="nil"/>
              <w:bottom w:val="single" w:sz="4" w:space="0" w:color="auto"/>
              <w:right w:val="single" w:sz="4" w:space="0" w:color="auto"/>
            </w:tcBorders>
            <w:shd w:val="clear" w:color="auto" w:fill="auto"/>
            <w:noWrap/>
            <w:vAlign w:val="bottom"/>
            <w:hideMark/>
          </w:tcPr>
          <w:p w14:paraId="6DB894A2"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6,562 </w:t>
            </w:r>
          </w:p>
        </w:tc>
        <w:tc>
          <w:tcPr>
            <w:tcW w:w="993" w:type="dxa"/>
            <w:tcBorders>
              <w:top w:val="nil"/>
              <w:left w:val="nil"/>
              <w:bottom w:val="single" w:sz="4" w:space="0" w:color="auto"/>
              <w:right w:val="single" w:sz="4" w:space="0" w:color="auto"/>
            </w:tcBorders>
            <w:shd w:val="clear" w:color="auto" w:fill="auto"/>
            <w:noWrap/>
            <w:vAlign w:val="bottom"/>
            <w:hideMark/>
          </w:tcPr>
          <w:p w14:paraId="5D2AEF54"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95 300,4 </w:t>
            </w:r>
          </w:p>
        </w:tc>
        <w:tc>
          <w:tcPr>
            <w:tcW w:w="992" w:type="dxa"/>
            <w:tcBorders>
              <w:top w:val="nil"/>
              <w:left w:val="nil"/>
              <w:bottom w:val="single" w:sz="4" w:space="0" w:color="auto"/>
              <w:right w:val="single" w:sz="4" w:space="0" w:color="auto"/>
            </w:tcBorders>
            <w:shd w:val="clear" w:color="auto" w:fill="auto"/>
            <w:noWrap/>
            <w:vAlign w:val="bottom"/>
            <w:hideMark/>
          </w:tcPr>
          <w:p w14:paraId="532C59AF"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80 300,5 </w:t>
            </w:r>
          </w:p>
        </w:tc>
        <w:tc>
          <w:tcPr>
            <w:tcW w:w="1091" w:type="dxa"/>
            <w:tcBorders>
              <w:top w:val="nil"/>
              <w:left w:val="nil"/>
              <w:bottom w:val="single" w:sz="4" w:space="0" w:color="auto"/>
              <w:right w:val="single" w:sz="4" w:space="0" w:color="auto"/>
            </w:tcBorders>
            <w:shd w:val="clear" w:color="auto" w:fill="auto"/>
            <w:noWrap/>
            <w:vAlign w:val="bottom"/>
            <w:hideMark/>
          </w:tcPr>
          <w:p w14:paraId="67796530"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22 999,9 </w:t>
            </w:r>
          </w:p>
        </w:tc>
        <w:tc>
          <w:tcPr>
            <w:tcW w:w="1319" w:type="dxa"/>
            <w:tcBorders>
              <w:top w:val="nil"/>
              <w:left w:val="nil"/>
              <w:bottom w:val="single" w:sz="4" w:space="0" w:color="auto"/>
              <w:right w:val="single" w:sz="4" w:space="0" w:color="auto"/>
            </w:tcBorders>
            <w:shd w:val="clear" w:color="auto" w:fill="auto"/>
            <w:noWrap/>
            <w:vAlign w:val="bottom"/>
            <w:hideMark/>
          </w:tcPr>
          <w:p w14:paraId="372BE1BE"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12,010 </w:t>
            </w:r>
          </w:p>
        </w:tc>
        <w:tc>
          <w:tcPr>
            <w:tcW w:w="1275" w:type="dxa"/>
            <w:tcBorders>
              <w:top w:val="nil"/>
              <w:left w:val="nil"/>
              <w:bottom w:val="single" w:sz="4" w:space="0" w:color="auto"/>
              <w:right w:val="double" w:sz="6" w:space="0" w:color="auto"/>
            </w:tcBorders>
            <w:shd w:val="clear" w:color="auto" w:fill="auto"/>
            <w:noWrap/>
            <w:vAlign w:val="bottom"/>
            <w:hideMark/>
          </w:tcPr>
          <w:p w14:paraId="298000CE"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507,3 </w:t>
            </w:r>
          </w:p>
        </w:tc>
      </w:tr>
      <w:tr w:rsidR="00FD7B0B" w:rsidRPr="00FD7B0B" w14:paraId="16C0889E" w14:textId="77777777" w:rsidTr="002F7314">
        <w:trPr>
          <w:trHeight w:val="70"/>
        </w:trPr>
        <w:tc>
          <w:tcPr>
            <w:tcW w:w="1670" w:type="dxa"/>
            <w:tcBorders>
              <w:top w:val="nil"/>
              <w:left w:val="double" w:sz="6" w:space="0" w:color="auto"/>
              <w:bottom w:val="single" w:sz="4" w:space="0" w:color="auto"/>
              <w:right w:val="single" w:sz="4" w:space="0" w:color="auto"/>
            </w:tcBorders>
            <w:shd w:val="clear" w:color="auto" w:fill="auto"/>
            <w:noWrap/>
            <w:vAlign w:val="bottom"/>
            <w:hideMark/>
          </w:tcPr>
          <w:p w14:paraId="08B10660" w14:textId="77777777" w:rsidR="002F7314" w:rsidRPr="00FD7B0B" w:rsidRDefault="002F7314" w:rsidP="006D6B43">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01" w:type="dxa"/>
            <w:tcBorders>
              <w:top w:val="nil"/>
              <w:left w:val="nil"/>
              <w:bottom w:val="single" w:sz="4" w:space="0" w:color="auto"/>
              <w:right w:val="single" w:sz="4" w:space="0" w:color="auto"/>
            </w:tcBorders>
            <w:shd w:val="clear" w:color="auto" w:fill="auto"/>
            <w:noWrap/>
            <w:vAlign w:val="bottom"/>
            <w:hideMark/>
          </w:tcPr>
          <w:p w14:paraId="0A4E3A2A"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22 999,9 </w:t>
            </w:r>
          </w:p>
        </w:tc>
        <w:tc>
          <w:tcPr>
            <w:tcW w:w="1275" w:type="dxa"/>
            <w:tcBorders>
              <w:top w:val="nil"/>
              <w:left w:val="nil"/>
              <w:bottom w:val="single" w:sz="4" w:space="0" w:color="auto"/>
              <w:right w:val="single" w:sz="4" w:space="0" w:color="auto"/>
            </w:tcBorders>
            <w:shd w:val="clear" w:color="auto" w:fill="auto"/>
            <w:noWrap/>
            <w:vAlign w:val="bottom"/>
            <w:hideMark/>
          </w:tcPr>
          <w:p w14:paraId="761A13F4"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12,010 </w:t>
            </w:r>
          </w:p>
        </w:tc>
        <w:tc>
          <w:tcPr>
            <w:tcW w:w="993" w:type="dxa"/>
            <w:tcBorders>
              <w:top w:val="nil"/>
              <w:left w:val="nil"/>
              <w:bottom w:val="single" w:sz="4" w:space="0" w:color="auto"/>
              <w:right w:val="single" w:sz="4" w:space="0" w:color="auto"/>
            </w:tcBorders>
            <w:shd w:val="clear" w:color="auto" w:fill="auto"/>
            <w:noWrap/>
            <w:vAlign w:val="bottom"/>
            <w:hideMark/>
          </w:tcPr>
          <w:p w14:paraId="617C6868"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99 541,8 </w:t>
            </w:r>
          </w:p>
        </w:tc>
        <w:tc>
          <w:tcPr>
            <w:tcW w:w="992" w:type="dxa"/>
            <w:tcBorders>
              <w:top w:val="nil"/>
              <w:left w:val="nil"/>
              <w:bottom w:val="single" w:sz="4" w:space="0" w:color="auto"/>
              <w:right w:val="single" w:sz="4" w:space="0" w:color="auto"/>
            </w:tcBorders>
            <w:shd w:val="clear" w:color="auto" w:fill="auto"/>
            <w:noWrap/>
            <w:vAlign w:val="bottom"/>
            <w:hideMark/>
          </w:tcPr>
          <w:p w14:paraId="7CBE45DA"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77 800,0 </w:t>
            </w:r>
          </w:p>
        </w:tc>
        <w:tc>
          <w:tcPr>
            <w:tcW w:w="1091" w:type="dxa"/>
            <w:tcBorders>
              <w:top w:val="nil"/>
              <w:left w:val="nil"/>
              <w:bottom w:val="single" w:sz="4" w:space="0" w:color="auto"/>
              <w:right w:val="single" w:sz="4" w:space="0" w:color="auto"/>
            </w:tcBorders>
            <w:shd w:val="clear" w:color="auto" w:fill="auto"/>
            <w:noWrap/>
            <w:vAlign w:val="bottom"/>
            <w:hideMark/>
          </w:tcPr>
          <w:p w14:paraId="2A8AC7DD"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44 741,7 </w:t>
            </w:r>
          </w:p>
        </w:tc>
        <w:tc>
          <w:tcPr>
            <w:tcW w:w="1319" w:type="dxa"/>
            <w:tcBorders>
              <w:top w:val="nil"/>
              <w:left w:val="nil"/>
              <w:bottom w:val="single" w:sz="4" w:space="0" w:color="auto"/>
              <w:right w:val="single" w:sz="4" w:space="0" w:color="auto"/>
            </w:tcBorders>
            <w:shd w:val="clear" w:color="auto" w:fill="auto"/>
            <w:noWrap/>
            <w:vAlign w:val="bottom"/>
            <w:hideMark/>
          </w:tcPr>
          <w:p w14:paraId="292232F1"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21,165 </w:t>
            </w:r>
          </w:p>
        </w:tc>
        <w:tc>
          <w:tcPr>
            <w:tcW w:w="1275" w:type="dxa"/>
            <w:tcBorders>
              <w:top w:val="nil"/>
              <w:left w:val="nil"/>
              <w:bottom w:val="single" w:sz="4" w:space="0" w:color="auto"/>
              <w:right w:val="double" w:sz="6" w:space="0" w:color="auto"/>
            </w:tcBorders>
            <w:shd w:val="clear" w:color="auto" w:fill="auto"/>
            <w:noWrap/>
            <w:vAlign w:val="bottom"/>
            <w:hideMark/>
          </w:tcPr>
          <w:p w14:paraId="2009103C"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4 144,5 </w:t>
            </w:r>
          </w:p>
        </w:tc>
      </w:tr>
      <w:tr w:rsidR="002F7314" w:rsidRPr="00FD7B0B" w14:paraId="649A0A99" w14:textId="77777777" w:rsidTr="002F7314">
        <w:trPr>
          <w:trHeight w:val="70"/>
        </w:trPr>
        <w:tc>
          <w:tcPr>
            <w:tcW w:w="1670" w:type="dxa"/>
            <w:tcBorders>
              <w:top w:val="nil"/>
              <w:left w:val="double" w:sz="6" w:space="0" w:color="auto"/>
              <w:bottom w:val="double" w:sz="6" w:space="0" w:color="auto"/>
              <w:right w:val="single" w:sz="4" w:space="0" w:color="auto"/>
            </w:tcBorders>
            <w:shd w:val="clear" w:color="auto" w:fill="auto"/>
            <w:noWrap/>
            <w:vAlign w:val="bottom"/>
            <w:hideMark/>
          </w:tcPr>
          <w:p w14:paraId="7345DF6D" w14:textId="77777777" w:rsidR="002F7314" w:rsidRPr="00FD7B0B" w:rsidRDefault="002F7314" w:rsidP="006D6B43">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Изменения (+,-)</w:t>
            </w:r>
          </w:p>
        </w:tc>
        <w:tc>
          <w:tcPr>
            <w:tcW w:w="1001" w:type="dxa"/>
            <w:tcBorders>
              <w:top w:val="nil"/>
              <w:left w:val="nil"/>
              <w:bottom w:val="double" w:sz="6" w:space="0" w:color="auto"/>
              <w:right w:val="single" w:sz="4" w:space="0" w:color="auto"/>
            </w:tcBorders>
            <w:shd w:val="clear" w:color="auto" w:fill="auto"/>
            <w:noWrap/>
            <w:vAlign w:val="bottom"/>
            <w:hideMark/>
          </w:tcPr>
          <w:p w14:paraId="5A99441E"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14 999,9 </w:t>
            </w:r>
          </w:p>
        </w:tc>
        <w:tc>
          <w:tcPr>
            <w:tcW w:w="1275" w:type="dxa"/>
            <w:tcBorders>
              <w:top w:val="nil"/>
              <w:left w:val="nil"/>
              <w:bottom w:val="double" w:sz="6" w:space="0" w:color="auto"/>
              <w:right w:val="single" w:sz="4" w:space="0" w:color="auto"/>
            </w:tcBorders>
            <w:shd w:val="clear" w:color="auto" w:fill="auto"/>
            <w:noWrap/>
            <w:vAlign w:val="bottom"/>
            <w:hideMark/>
          </w:tcPr>
          <w:p w14:paraId="44D725EA"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+5,447 п.п </w:t>
            </w:r>
          </w:p>
        </w:tc>
        <w:tc>
          <w:tcPr>
            <w:tcW w:w="993" w:type="dxa"/>
            <w:tcBorders>
              <w:top w:val="nil"/>
              <w:left w:val="nil"/>
              <w:bottom w:val="double" w:sz="6" w:space="0" w:color="auto"/>
              <w:right w:val="single" w:sz="4" w:space="0" w:color="auto"/>
            </w:tcBorders>
            <w:shd w:val="clear" w:color="auto" w:fill="auto"/>
            <w:noWrap/>
            <w:vAlign w:val="bottom"/>
            <w:hideMark/>
          </w:tcPr>
          <w:p w14:paraId="0CD654E2"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4 241,5 </w:t>
            </w:r>
          </w:p>
        </w:tc>
        <w:tc>
          <w:tcPr>
            <w:tcW w:w="992" w:type="dxa"/>
            <w:tcBorders>
              <w:top w:val="nil"/>
              <w:left w:val="nil"/>
              <w:bottom w:val="double" w:sz="6" w:space="0" w:color="auto"/>
              <w:right w:val="single" w:sz="4" w:space="0" w:color="auto"/>
            </w:tcBorders>
            <w:shd w:val="clear" w:color="auto" w:fill="auto"/>
            <w:noWrap/>
            <w:vAlign w:val="bottom"/>
            <w:hideMark/>
          </w:tcPr>
          <w:p w14:paraId="15831189"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-2 500,5 </w:t>
            </w:r>
          </w:p>
        </w:tc>
        <w:tc>
          <w:tcPr>
            <w:tcW w:w="1091" w:type="dxa"/>
            <w:tcBorders>
              <w:top w:val="nil"/>
              <w:left w:val="nil"/>
              <w:bottom w:val="double" w:sz="6" w:space="0" w:color="auto"/>
              <w:right w:val="single" w:sz="4" w:space="0" w:color="auto"/>
            </w:tcBorders>
            <w:shd w:val="clear" w:color="auto" w:fill="auto"/>
            <w:noWrap/>
            <w:vAlign w:val="bottom"/>
            <w:hideMark/>
          </w:tcPr>
          <w:p w14:paraId="6044676B"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21 741,9 </w:t>
            </w:r>
          </w:p>
        </w:tc>
        <w:tc>
          <w:tcPr>
            <w:tcW w:w="1319" w:type="dxa"/>
            <w:tcBorders>
              <w:top w:val="nil"/>
              <w:left w:val="nil"/>
              <w:bottom w:val="double" w:sz="6" w:space="0" w:color="auto"/>
              <w:right w:val="single" w:sz="4" w:space="0" w:color="auto"/>
            </w:tcBorders>
            <w:shd w:val="clear" w:color="auto" w:fill="auto"/>
            <w:noWrap/>
            <w:vAlign w:val="bottom"/>
            <w:hideMark/>
          </w:tcPr>
          <w:p w14:paraId="3B406BFB"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+9,155 п.п </w:t>
            </w:r>
          </w:p>
        </w:tc>
        <w:tc>
          <w:tcPr>
            <w:tcW w:w="1275" w:type="dxa"/>
            <w:tcBorders>
              <w:top w:val="nil"/>
              <w:left w:val="nil"/>
              <w:bottom w:val="double" w:sz="6" w:space="0" w:color="auto"/>
              <w:right w:val="double" w:sz="6" w:space="0" w:color="auto"/>
            </w:tcBorders>
            <w:shd w:val="clear" w:color="auto" w:fill="auto"/>
            <w:noWrap/>
            <w:vAlign w:val="bottom"/>
            <w:hideMark/>
          </w:tcPr>
          <w:p w14:paraId="317B5C8B" w14:textId="77777777" w:rsidR="002F7314" w:rsidRPr="00FD7B0B" w:rsidRDefault="002F7314" w:rsidP="006D6B43">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3 637,3 </w:t>
            </w:r>
          </w:p>
        </w:tc>
      </w:tr>
    </w:tbl>
    <w:p w14:paraId="04958214" w14:textId="77777777" w:rsidR="002F7314" w:rsidRPr="00FD7B0B" w:rsidRDefault="002F7314" w:rsidP="006D6B43">
      <w:pPr>
        <w:spacing w:after="0" w:line="240" w:lineRule="auto"/>
        <w:ind w:firstLine="709"/>
        <w:jc w:val="both"/>
        <w:rPr>
          <w:rFonts w:ascii="Times New Roman" w:eastAsia="Calibri" w:hAnsi="Times New Roman" w:cs="Times New Roman"/>
          <w:sz w:val="28"/>
          <w:szCs w:val="28"/>
        </w:rPr>
      </w:pPr>
    </w:p>
    <w:p w14:paraId="76ABDB5B" w14:textId="54CC103C" w:rsidR="002F7314" w:rsidRPr="00FD7B0B" w:rsidRDefault="002F7314" w:rsidP="006D6B4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На 01.01.2024 задолженность по бюджетным кредитам составляла 44 648,2 млн.руб. по 18 соглашениям, заключенным с Минфином России (13 ед.) и Казначейством России (4 ед.), а также с УФК по Архангельской области и НАО (1 ед.). Средневзвешенная ставка по указанным бюджетным кредитам на 01.01.2024 составляла 0,393 % годовых, </w:t>
      </w:r>
      <w:r w:rsidR="0023720E" w:rsidRPr="00FD7B0B">
        <w:rPr>
          <w:rFonts w:ascii="Times New Roman" w:eastAsia="Calibri" w:hAnsi="Times New Roman" w:cs="Times New Roman"/>
          <w:sz w:val="28"/>
          <w:szCs w:val="28"/>
        </w:rPr>
        <w:t>в том числе</w:t>
      </w:r>
      <w:r w:rsidRPr="00FD7B0B">
        <w:rPr>
          <w:rFonts w:ascii="Times New Roman" w:eastAsia="Calibri" w:hAnsi="Times New Roman" w:cs="Times New Roman"/>
          <w:sz w:val="28"/>
          <w:szCs w:val="28"/>
        </w:rPr>
        <w:t>:</w:t>
      </w:r>
    </w:p>
    <w:p w14:paraId="3A0B24B3" w14:textId="77777777" w:rsidR="002F7314" w:rsidRPr="00FD7B0B" w:rsidRDefault="002F7314" w:rsidP="0063072B">
      <w:pPr>
        <w:pStyle w:val="a8"/>
        <w:numPr>
          <w:ilvl w:val="0"/>
          <w:numId w:val="9"/>
        </w:numPr>
        <w:ind w:left="0" w:firstLine="709"/>
        <w:jc w:val="both"/>
        <w:rPr>
          <w:sz w:val="28"/>
          <w:szCs w:val="28"/>
        </w:rPr>
      </w:pPr>
      <w:r w:rsidRPr="00FD7B0B">
        <w:rPr>
          <w:sz w:val="28"/>
          <w:szCs w:val="28"/>
        </w:rPr>
        <w:t>по ставке 0,1 % годовых – 40 130,7 млн.руб. по 12 соглашениям (Минфин России и УФК по Архангельской области и НАО), из них для погашения долговых обязательств субъекта РФ (муниципального образования) по кредитам от кредитных организаций – 20 531,9 млн.руб.;</w:t>
      </w:r>
    </w:p>
    <w:p w14:paraId="588BBD91" w14:textId="59F384E1" w:rsidR="002F7314" w:rsidRPr="00FD7B0B" w:rsidRDefault="002F7314" w:rsidP="0063072B">
      <w:pPr>
        <w:pStyle w:val="a8"/>
        <w:numPr>
          <w:ilvl w:val="0"/>
          <w:numId w:val="9"/>
        </w:numPr>
        <w:ind w:left="0" w:firstLine="709"/>
        <w:jc w:val="both"/>
        <w:rPr>
          <w:sz w:val="28"/>
          <w:szCs w:val="28"/>
        </w:rPr>
      </w:pPr>
      <w:r w:rsidRPr="00FD7B0B">
        <w:rPr>
          <w:sz w:val="28"/>
          <w:szCs w:val="28"/>
        </w:rPr>
        <w:t>по ставке 3 % годовых – 4 517,5 млн.руб. по 6 соглашениям (Минфин России и Казначейство России), из них на финансовое обеспечение реализации инфраструктурных проектов – 2 008,3 тыс.руб.</w:t>
      </w:r>
    </w:p>
    <w:p w14:paraId="03F45C04" w14:textId="41602CFC" w:rsidR="002F7314" w:rsidRPr="00FD7B0B" w:rsidRDefault="002F7314" w:rsidP="001675A7">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За 2024 год сокращение государственных долговых обязательств, в виде бюджетных кредитов составил</w:t>
      </w:r>
      <w:r w:rsidR="005319E3" w:rsidRPr="00FD7B0B">
        <w:rPr>
          <w:rFonts w:ascii="Times New Roman" w:eastAsia="Calibri" w:hAnsi="Times New Roman" w:cs="Times New Roman"/>
          <w:sz w:val="28"/>
          <w:szCs w:val="28"/>
        </w:rPr>
        <w:t>о</w:t>
      </w:r>
      <w:r w:rsidRPr="00FD7B0B">
        <w:rPr>
          <w:rFonts w:ascii="Times New Roman" w:eastAsia="Calibri" w:hAnsi="Times New Roman" w:cs="Times New Roman"/>
          <w:sz w:val="28"/>
          <w:szCs w:val="28"/>
        </w:rPr>
        <w:t xml:space="preserve"> 2 563,0 млн.руб. или 5,7 %.</w:t>
      </w:r>
    </w:p>
    <w:p w14:paraId="507AADFD" w14:textId="7C785E36" w:rsidR="002F7314" w:rsidRPr="00FD7B0B" w:rsidRDefault="002F7314" w:rsidP="00B7463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Сведения о ежемесячном привлечении и погашении бюджетных кредитов в 2024 году представлены в таблице </w:t>
      </w:r>
      <w:r w:rsidR="00BA7410" w:rsidRPr="00FD7B0B">
        <w:rPr>
          <w:rFonts w:ascii="Times New Roman" w:eastAsia="Calibri" w:hAnsi="Times New Roman" w:cs="Times New Roman"/>
          <w:sz w:val="28"/>
          <w:szCs w:val="28"/>
        </w:rPr>
        <w:t>263</w:t>
      </w:r>
      <w:r w:rsidRPr="00FD7B0B">
        <w:rPr>
          <w:rFonts w:ascii="Times New Roman" w:eastAsia="Calibri" w:hAnsi="Times New Roman" w:cs="Times New Roman"/>
          <w:sz w:val="28"/>
          <w:szCs w:val="28"/>
        </w:rPr>
        <w:t>.</w:t>
      </w:r>
    </w:p>
    <w:p w14:paraId="0D71A705" w14:textId="77777777" w:rsidR="002F7314" w:rsidRPr="00FD7B0B" w:rsidRDefault="002F7314" w:rsidP="00B74639">
      <w:pPr>
        <w:pStyle w:val="aff0"/>
        <w:spacing w:after="0" w:line="240" w:lineRule="auto"/>
        <w:rPr>
          <w:rFonts w:ascii="Times New Roman" w:hAnsi="Times New Roman"/>
          <w:b w:val="0"/>
          <w:sz w:val="24"/>
          <w:szCs w:val="24"/>
        </w:rPr>
      </w:pPr>
    </w:p>
    <w:p w14:paraId="5C2111B4" w14:textId="762B3684" w:rsidR="002F7314" w:rsidRPr="00FD7B0B" w:rsidRDefault="002F7314" w:rsidP="00B74639">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263</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 движении бюджетных кредитах</w:t>
      </w:r>
      <w:r w:rsidR="00B74639" w:rsidRPr="00FD7B0B">
        <w:rPr>
          <w:rFonts w:ascii="Times New Roman" w:hAnsi="Times New Roman"/>
          <w:b w:val="0"/>
          <w:sz w:val="24"/>
          <w:szCs w:val="24"/>
        </w:rPr>
        <w:t xml:space="preserve"> </w:t>
      </w:r>
      <w:r w:rsidRPr="00FD7B0B">
        <w:rPr>
          <w:rFonts w:ascii="Times New Roman" w:hAnsi="Times New Roman"/>
          <w:b w:val="0"/>
          <w:sz w:val="24"/>
          <w:szCs w:val="24"/>
        </w:rPr>
        <w:t>в областно</w:t>
      </w:r>
      <w:r w:rsidR="00B74639" w:rsidRPr="00FD7B0B">
        <w:rPr>
          <w:rFonts w:ascii="Times New Roman" w:hAnsi="Times New Roman"/>
          <w:b w:val="0"/>
          <w:sz w:val="24"/>
          <w:szCs w:val="24"/>
        </w:rPr>
        <w:t>м</w:t>
      </w:r>
      <w:r w:rsidRPr="00FD7B0B">
        <w:rPr>
          <w:rFonts w:ascii="Times New Roman" w:hAnsi="Times New Roman"/>
          <w:b w:val="0"/>
          <w:sz w:val="24"/>
          <w:szCs w:val="24"/>
        </w:rPr>
        <w:t xml:space="preserve"> бюджет</w:t>
      </w:r>
      <w:r w:rsidR="00B74639" w:rsidRPr="00FD7B0B">
        <w:rPr>
          <w:rFonts w:ascii="Times New Roman" w:hAnsi="Times New Roman"/>
          <w:b w:val="0"/>
          <w:sz w:val="24"/>
          <w:szCs w:val="24"/>
        </w:rPr>
        <w:t>е</w:t>
      </w:r>
      <w:r w:rsidRPr="00FD7B0B">
        <w:rPr>
          <w:rFonts w:ascii="Times New Roman" w:hAnsi="Times New Roman"/>
          <w:b w:val="0"/>
          <w:sz w:val="24"/>
          <w:szCs w:val="24"/>
        </w:rPr>
        <w:t xml:space="preserve"> за 2024 год, млн.руб.</w:t>
      </w:r>
    </w:p>
    <w:tbl>
      <w:tblPr>
        <w:tblW w:w="9616" w:type="dxa"/>
        <w:tblLook w:val="04A0" w:firstRow="1" w:lastRow="0" w:firstColumn="1" w:lastColumn="0" w:noHBand="0" w:noVBand="1"/>
      </w:tblPr>
      <w:tblGrid>
        <w:gridCol w:w="2050"/>
        <w:gridCol w:w="1891"/>
        <w:gridCol w:w="1892"/>
        <w:gridCol w:w="1891"/>
        <w:gridCol w:w="1892"/>
      </w:tblGrid>
      <w:tr w:rsidR="00FD7B0B" w:rsidRPr="00FD7B0B" w14:paraId="525123D3" w14:textId="77777777" w:rsidTr="002F7314">
        <w:trPr>
          <w:trHeight w:val="35"/>
          <w:tblHeader/>
        </w:trPr>
        <w:tc>
          <w:tcPr>
            <w:tcW w:w="205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BB10AA4" w14:textId="77777777" w:rsidR="002F7314" w:rsidRPr="00FD7B0B" w:rsidRDefault="002F7314" w:rsidP="00B74639">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Месяц</w:t>
            </w:r>
          </w:p>
        </w:tc>
        <w:tc>
          <w:tcPr>
            <w:tcW w:w="1891" w:type="dxa"/>
            <w:tcBorders>
              <w:top w:val="double" w:sz="6" w:space="0" w:color="auto"/>
              <w:left w:val="nil"/>
              <w:bottom w:val="single" w:sz="4" w:space="0" w:color="auto"/>
              <w:right w:val="single" w:sz="4" w:space="0" w:color="auto"/>
            </w:tcBorders>
            <w:shd w:val="clear" w:color="auto" w:fill="auto"/>
            <w:vAlign w:val="center"/>
            <w:hideMark/>
          </w:tcPr>
          <w:p w14:paraId="51F23721" w14:textId="77777777" w:rsidR="002F7314" w:rsidRPr="00FD7B0B" w:rsidRDefault="002F7314" w:rsidP="00B74639">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Долг на начало месяца</w:t>
            </w:r>
          </w:p>
        </w:tc>
        <w:tc>
          <w:tcPr>
            <w:tcW w:w="1892" w:type="dxa"/>
            <w:tcBorders>
              <w:top w:val="double" w:sz="6" w:space="0" w:color="auto"/>
              <w:left w:val="nil"/>
              <w:bottom w:val="single" w:sz="4" w:space="0" w:color="auto"/>
              <w:right w:val="single" w:sz="4" w:space="0" w:color="auto"/>
            </w:tcBorders>
            <w:shd w:val="clear" w:color="auto" w:fill="auto"/>
            <w:vAlign w:val="center"/>
            <w:hideMark/>
          </w:tcPr>
          <w:p w14:paraId="5439C913" w14:textId="77777777" w:rsidR="002F7314" w:rsidRPr="00FD7B0B" w:rsidRDefault="002F7314" w:rsidP="00B74639">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Привлечено за месяц</w:t>
            </w:r>
          </w:p>
        </w:tc>
        <w:tc>
          <w:tcPr>
            <w:tcW w:w="1891" w:type="dxa"/>
            <w:tcBorders>
              <w:top w:val="double" w:sz="6" w:space="0" w:color="auto"/>
              <w:left w:val="nil"/>
              <w:bottom w:val="single" w:sz="4" w:space="0" w:color="auto"/>
              <w:right w:val="single" w:sz="4" w:space="0" w:color="auto"/>
            </w:tcBorders>
            <w:shd w:val="clear" w:color="auto" w:fill="auto"/>
            <w:vAlign w:val="center"/>
            <w:hideMark/>
          </w:tcPr>
          <w:p w14:paraId="47E3C0CF" w14:textId="77777777" w:rsidR="002F7314" w:rsidRPr="00FD7B0B" w:rsidRDefault="002F7314" w:rsidP="00B74639">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Погашено за месяц</w:t>
            </w:r>
          </w:p>
        </w:tc>
        <w:tc>
          <w:tcPr>
            <w:tcW w:w="1892" w:type="dxa"/>
            <w:tcBorders>
              <w:top w:val="double" w:sz="6" w:space="0" w:color="auto"/>
              <w:left w:val="nil"/>
              <w:bottom w:val="single" w:sz="4" w:space="0" w:color="auto"/>
              <w:right w:val="double" w:sz="6" w:space="0" w:color="auto"/>
            </w:tcBorders>
            <w:shd w:val="clear" w:color="auto" w:fill="auto"/>
            <w:vAlign w:val="center"/>
            <w:hideMark/>
          </w:tcPr>
          <w:p w14:paraId="0768960D" w14:textId="77777777" w:rsidR="002F7314" w:rsidRPr="00FD7B0B" w:rsidRDefault="002F7314" w:rsidP="00B74639">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Расходы на обслуживание</w:t>
            </w:r>
          </w:p>
        </w:tc>
      </w:tr>
      <w:tr w:rsidR="00FD7B0B" w:rsidRPr="00FD7B0B" w14:paraId="2E460032"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0DD82AD9"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Январь 2024</w:t>
            </w:r>
          </w:p>
        </w:tc>
        <w:tc>
          <w:tcPr>
            <w:tcW w:w="1891" w:type="dxa"/>
            <w:tcBorders>
              <w:top w:val="nil"/>
              <w:left w:val="nil"/>
              <w:bottom w:val="single" w:sz="4" w:space="0" w:color="auto"/>
              <w:right w:val="single" w:sz="4" w:space="0" w:color="auto"/>
            </w:tcBorders>
            <w:shd w:val="clear" w:color="auto" w:fill="auto"/>
            <w:vAlign w:val="center"/>
            <w:hideMark/>
          </w:tcPr>
          <w:p w14:paraId="38F08E77"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44 648,2 </w:t>
            </w:r>
          </w:p>
        </w:tc>
        <w:tc>
          <w:tcPr>
            <w:tcW w:w="1892" w:type="dxa"/>
            <w:tcBorders>
              <w:top w:val="nil"/>
              <w:left w:val="nil"/>
              <w:bottom w:val="single" w:sz="4" w:space="0" w:color="auto"/>
              <w:right w:val="single" w:sz="4" w:space="0" w:color="auto"/>
            </w:tcBorders>
            <w:shd w:val="clear" w:color="auto" w:fill="auto"/>
            <w:vAlign w:val="center"/>
            <w:hideMark/>
          </w:tcPr>
          <w:p w14:paraId="7F963794"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3 773,7 </w:t>
            </w:r>
          </w:p>
        </w:tc>
        <w:tc>
          <w:tcPr>
            <w:tcW w:w="1891" w:type="dxa"/>
            <w:tcBorders>
              <w:top w:val="nil"/>
              <w:left w:val="nil"/>
              <w:bottom w:val="single" w:sz="4" w:space="0" w:color="auto"/>
              <w:right w:val="single" w:sz="4" w:space="0" w:color="auto"/>
            </w:tcBorders>
            <w:shd w:val="clear" w:color="auto" w:fill="auto"/>
            <w:vAlign w:val="center"/>
            <w:hideMark/>
          </w:tcPr>
          <w:p w14:paraId="40DF2C7D"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2" w:type="dxa"/>
            <w:tcBorders>
              <w:top w:val="nil"/>
              <w:left w:val="nil"/>
              <w:bottom w:val="single" w:sz="4" w:space="0" w:color="auto"/>
              <w:right w:val="double" w:sz="6" w:space="0" w:color="auto"/>
            </w:tcBorders>
            <w:shd w:val="clear" w:color="auto" w:fill="auto"/>
            <w:vAlign w:val="center"/>
            <w:hideMark/>
          </w:tcPr>
          <w:p w14:paraId="4CBA9DD6"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48A39C80"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4E8255C1"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Февраль 2024</w:t>
            </w:r>
          </w:p>
        </w:tc>
        <w:tc>
          <w:tcPr>
            <w:tcW w:w="1891" w:type="dxa"/>
            <w:tcBorders>
              <w:top w:val="nil"/>
              <w:left w:val="nil"/>
              <w:bottom w:val="single" w:sz="4" w:space="0" w:color="auto"/>
              <w:right w:val="single" w:sz="4" w:space="0" w:color="auto"/>
            </w:tcBorders>
            <w:shd w:val="clear" w:color="auto" w:fill="auto"/>
            <w:vAlign w:val="center"/>
            <w:hideMark/>
          </w:tcPr>
          <w:p w14:paraId="7920B3E9"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48 421,9 </w:t>
            </w:r>
          </w:p>
        </w:tc>
        <w:tc>
          <w:tcPr>
            <w:tcW w:w="1892" w:type="dxa"/>
            <w:tcBorders>
              <w:top w:val="nil"/>
              <w:left w:val="nil"/>
              <w:bottom w:val="single" w:sz="4" w:space="0" w:color="auto"/>
              <w:right w:val="single" w:sz="4" w:space="0" w:color="auto"/>
            </w:tcBorders>
            <w:shd w:val="clear" w:color="auto" w:fill="auto"/>
            <w:vAlign w:val="center"/>
            <w:hideMark/>
          </w:tcPr>
          <w:p w14:paraId="76A2F9F0"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2 500,0 </w:t>
            </w:r>
          </w:p>
        </w:tc>
        <w:tc>
          <w:tcPr>
            <w:tcW w:w="1891" w:type="dxa"/>
            <w:tcBorders>
              <w:top w:val="nil"/>
              <w:left w:val="nil"/>
              <w:bottom w:val="single" w:sz="4" w:space="0" w:color="auto"/>
              <w:right w:val="single" w:sz="4" w:space="0" w:color="auto"/>
            </w:tcBorders>
            <w:shd w:val="clear" w:color="auto" w:fill="auto"/>
            <w:vAlign w:val="center"/>
            <w:hideMark/>
          </w:tcPr>
          <w:p w14:paraId="655B559C"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2" w:type="dxa"/>
            <w:tcBorders>
              <w:top w:val="nil"/>
              <w:left w:val="nil"/>
              <w:bottom w:val="single" w:sz="4" w:space="0" w:color="auto"/>
              <w:right w:val="double" w:sz="6" w:space="0" w:color="auto"/>
            </w:tcBorders>
            <w:shd w:val="clear" w:color="auto" w:fill="auto"/>
            <w:vAlign w:val="center"/>
            <w:hideMark/>
          </w:tcPr>
          <w:p w14:paraId="7BF03163"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76940966"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47B7A5F4"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Март 2024</w:t>
            </w:r>
          </w:p>
        </w:tc>
        <w:tc>
          <w:tcPr>
            <w:tcW w:w="1891" w:type="dxa"/>
            <w:tcBorders>
              <w:top w:val="nil"/>
              <w:left w:val="nil"/>
              <w:bottom w:val="single" w:sz="4" w:space="0" w:color="auto"/>
              <w:right w:val="single" w:sz="4" w:space="0" w:color="auto"/>
            </w:tcBorders>
            <w:shd w:val="clear" w:color="auto" w:fill="auto"/>
            <w:vAlign w:val="center"/>
            <w:hideMark/>
          </w:tcPr>
          <w:p w14:paraId="6B66581B"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50 921,9 </w:t>
            </w:r>
          </w:p>
        </w:tc>
        <w:tc>
          <w:tcPr>
            <w:tcW w:w="1892" w:type="dxa"/>
            <w:tcBorders>
              <w:top w:val="nil"/>
              <w:left w:val="nil"/>
              <w:bottom w:val="single" w:sz="4" w:space="0" w:color="auto"/>
              <w:right w:val="single" w:sz="4" w:space="0" w:color="auto"/>
            </w:tcBorders>
            <w:shd w:val="clear" w:color="auto" w:fill="auto"/>
            <w:vAlign w:val="center"/>
            <w:hideMark/>
          </w:tcPr>
          <w:p w14:paraId="504EF52D"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989,5 </w:t>
            </w:r>
          </w:p>
        </w:tc>
        <w:tc>
          <w:tcPr>
            <w:tcW w:w="1891" w:type="dxa"/>
            <w:tcBorders>
              <w:top w:val="nil"/>
              <w:left w:val="nil"/>
              <w:bottom w:val="single" w:sz="4" w:space="0" w:color="auto"/>
              <w:right w:val="single" w:sz="4" w:space="0" w:color="auto"/>
            </w:tcBorders>
            <w:shd w:val="clear" w:color="auto" w:fill="auto"/>
            <w:vAlign w:val="center"/>
            <w:hideMark/>
          </w:tcPr>
          <w:p w14:paraId="00209273"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2" w:type="dxa"/>
            <w:tcBorders>
              <w:top w:val="nil"/>
              <w:left w:val="nil"/>
              <w:bottom w:val="single" w:sz="4" w:space="0" w:color="auto"/>
              <w:right w:val="double" w:sz="6" w:space="0" w:color="auto"/>
            </w:tcBorders>
            <w:shd w:val="clear" w:color="auto" w:fill="auto"/>
            <w:vAlign w:val="center"/>
            <w:hideMark/>
          </w:tcPr>
          <w:p w14:paraId="7C9EE3BF"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208C1A1F"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283995C0"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Апрель 2024</w:t>
            </w:r>
          </w:p>
        </w:tc>
        <w:tc>
          <w:tcPr>
            <w:tcW w:w="1891" w:type="dxa"/>
            <w:tcBorders>
              <w:top w:val="nil"/>
              <w:left w:val="nil"/>
              <w:bottom w:val="single" w:sz="4" w:space="0" w:color="auto"/>
              <w:right w:val="single" w:sz="4" w:space="0" w:color="auto"/>
            </w:tcBorders>
            <w:shd w:val="clear" w:color="auto" w:fill="auto"/>
            <w:vAlign w:val="center"/>
            <w:hideMark/>
          </w:tcPr>
          <w:p w14:paraId="4432BECA"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51 911,4 </w:t>
            </w:r>
          </w:p>
        </w:tc>
        <w:tc>
          <w:tcPr>
            <w:tcW w:w="1892" w:type="dxa"/>
            <w:tcBorders>
              <w:top w:val="nil"/>
              <w:left w:val="nil"/>
              <w:bottom w:val="single" w:sz="4" w:space="0" w:color="auto"/>
              <w:right w:val="single" w:sz="4" w:space="0" w:color="auto"/>
            </w:tcBorders>
            <w:shd w:val="clear" w:color="auto" w:fill="auto"/>
            <w:vAlign w:val="center"/>
            <w:hideMark/>
          </w:tcPr>
          <w:p w14:paraId="69CE35A1"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1" w:type="dxa"/>
            <w:tcBorders>
              <w:top w:val="nil"/>
              <w:left w:val="nil"/>
              <w:bottom w:val="single" w:sz="4" w:space="0" w:color="auto"/>
              <w:right w:val="single" w:sz="4" w:space="0" w:color="auto"/>
            </w:tcBorders>
            <w:shd w:val="clear" w:color="auto" w:fill="auto"/>
            <w:vAlign w:val="center"/>
            <w:hideMark/>
          </w:tcPr>
          <w:p w14:paraId="26EC510F"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2 653,1 </w:t>
            </w:r>
          </w:p>
        </w:tc>
        <w:tc>
          <w:tcPr>
            <w:tcW w:w="1892" w:type="dxa"/>
            <w:tcBorders>
              <w:top w:val="nil"/>
              <w:left w:val="nil"/>
              <w:bottom w:val="single" w:sz="4" w:space="0" w:color="auto"/>
              <w:right w:val="double" w:sz="6" w:space="0" w:color="auto"/>
            </w:tcBorders>
            <w:shd w:val="clear" w:color="auto" w:fill="auto"/>
            <w:vAlign w:val="center"/>
            <w:hideMark/>
          </w:tcPr>
          <w:p w14:paraId="52EE71AF"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2,7 </w:t>
            </w:r>
          </w:p>
        </w:tc>
      </w:tr>
      <w:tr w:rsidR="00FD7B0B" w:rsidRPr="00FD7B0B" w14:paraId="201B45A0"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39D2DF0B"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Май 2024</w:t>
            </w:r>
          </w:p>
        </w:tc>
        <w:tc>
          <w:tcPr>
            <w:tcW w:w="1891" w:type="dxa"/>
            <w:tcBorders>
              <w:top w:val="nil"/>
              <w:left w:val="nil"/>
              <w:bottom w:val="single" w:sz="4" w:space="0" w:color="auto"/>
              <w:right w:val="single" w:sz="4" w:space="0" w:color="auto"/>
            </w:tcBorders>
            <w:shd w:val="clear" w:color="auto" w:fill="auto"/>
            <w:vAlign w:val="center"/>
            <w:hideMark/>
          </w:tcPr>
          <w:p w14:paraId="69C38348"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49 258,3 </w:t>
            </w:r>
          </w:p>
        </w:tc>
        <w:tc>
          <w:tcPr>
            <w:tcW w:w="1892" w:type="dxa"/>
            <w:tcBorders>
              <w:top w:val="nil"/>
              <w:left w:val="nil"/>
              <w:bottom w:val="single" w:sz="4" w:space="0" w:color="auto"/>
              <w:right w:val="single" w:sz="4" w:space="0" w:color="auto"/>
            </w:tcBorders>
            <w:shd w:val="clear" w:color="auto" w:fill="auto"/>
            <w:vAlign w:val="center"/>
            <w:hideMark/>
          </w:tcPr>
          <w:p w14:paraId="0C905CA4"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1" w:type="dxa"/>
            <w:tcBorders>
              <w:top w:val="nil"/>
              <w:left w:val="nil"/>
              <w:bottom w:val="single" w:sz="4" w:space="0" w:color="auto"/>
              <w:right w:val="single" w:sz="4" w:space="0" w:color="auto"/>
            </w:tcBorders>
            <w:shd w:val="clear" w:color="auto" w:fill="auto"/>
            <w:vAlign w:val="center"/>
            <w:hideMark/>
          </w:tcPr>
          <w:p w14:paraId="193EC03E"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2" w:type="dxa"/>
            <w:tcBorders>
              <w:top w:val="nil"/>
              <w:left w:val="nil"/>
              <w:bottom w:val="single" w:sz="4" w:space="0" w:color="auto"/>
              <w:right w:val="double" w:sz="6" w:space="0" w:color="auto"/>
            </w:tcBorders>
            <w:shd w:val="clear" w:color="auto" w:fill="auto"/>
            <w:vAlign w:val="center"/>
            <w:hideMark/>
          </w:tcPr>
          <w:p w14:paraId="1761DB00"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67492CA5"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514ACE8F"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Июнь 2024</w:t>
            </w:r>
          </w:p>
        </w:tc>
        <w:tc>
          <w:tcPr>
            <w:tcW w:w="1891" w:type="dxa"/>
            <w:tcBorders>
              <w:top w:val="nil"/>
              <w:left w:val="nil"/>
              <w:bottom w:val="single" w:sz="4" w:space="0" w:color="auto"/>
              <w:right w:val="single" w:sz="4" w:space="0" w:color="auto"/>
            </w:tcBorders>
            <w:shd w:val="clear" w:color="auto" w:fill="auto"/>
            <w:vAlign w:val="center"/>
            <w:hideMark/>
          </w:tcPr>
          <w:p w14:paraId="3DE33012"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49 258,3 </w:t>
            </w:r>
          </w:p>
        </w:tc>
        <w:tc>
          <w:tcPr>
            <w:tcW w:w="1892" w:type="dxa"/>
            <w:tcBorders>
              <w:top w:val="nil"/>
              <w:left w:val="nil"/>
              <w:bottom w:val="single" w:sz="4" w:space="0" w:color="auto"/>
              <w:right w:val="single" w:sz="4" w:space="0" w:color="auto"/>
            </w:tcBorders>
            <w:shd w:val="clear" w:color="auto" w:fill="auto"/>
            <w:vAlign w:val="center"/>
            <w:hideMark/>
          </w:tcPr>
          <w:p w14:paraId="4FB80080"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1" w:type="dxa"/>
            <w:tcBorders>
              <w:top w:val="nil"/>
              <w:left w:val="nil"/>
              <w:bottom w:val="single" w:sz="4" w:space="0" w:color="auto"/>
              <w:right w:val="single" w:sz="4" w:space="0" w:color="auto"/>
            </w:tcBorders>
            <w:shd w:val="clear" w:color="auto" w:fill="auto"/>
            <w:vAlign w:val="center"/>
            <w:hideMark/>
          </w:tcPr>
          <w:p w14:paraId="60F7FFCC"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577,5 </w:t>
            </w:r>
          </w:p>
        </w:tc>
        <w:tc>
          <w:tcPr>
            <w:tcW w:w="1892" w:type="dxa"/>
            <w:tcBorders>
              <w:top w:val="nil"/>
              <w:left w:val="nil"/>
              <w:bottom w:val="single" w:sz="4" w:space="0" w:color="auto"/>
              <w:right w:val="double" w:sz="6" w:space="0" w:color="auto"/>
            </w:tcBorders>
            <w:shd w:val="clear" w:color="auto" w:fill="auto"/>
            <w:vAlign w:val="center"/>
            <w:hideMark/>
          </w:tcPr>
          <w:p w14:paraId="251D1206"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4BF6329A"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7D42A62E"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Июль 2024</w:t>
            </w:r>
          </w:p>
        </w:tc>
        <w:tc>
          <w:tcPr>
            <w:tcW w:w="1891" w:type="dxa"/>
            <w:tcBorders>
              <w:top w:val="nil"/>
              <w:left w:val="nil"/>
              <w:bottom w:val="single" w:sz="4" w:space="0" w:color="auto"/>
              <w:right w:val="single" w:sz="4" w:space="0" w:color="auto"/>
            </w:tcBorders>
            <w:shd w:val="clear" w:color="auto" w:fill="auto"/>
            <w:vAlign w:val="center"/>
            <w:hideMark/>
          </w:tcPr>
          <w:p w14:paraId="00EE36AA"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48 680,8 </w:t>
            </w:r>
          </w:p>
        </w:tc>
        <w:tc>
          <w:tcPr>
            <w:tcW w:w="1892" w:type="dxa"/>
            <w:tcBorders>
              <w:top w:val="nil"/>
              <w:left w:val="nil"/>
              <w:bottom w:val="single" w:sz="4" w:space="0" w:color="auto"/>
              <w:right w:val="single" w:sz="4" w:space="0" w:color="auto"/>
            </w:tcBorders>
            <w:shd w:val="clear" w:color="auto" w:fill="auto"/>
            <w:vAlign w:val="center"/>
            <w:hideMark/>
          </w:tcPr>
          <w:p w14:paraId="4DB3C64A"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1" w:type="dxa"/>
            <w:tcBorders>
              <w:top w:val="nil"/>
              <w:left w:val="nil"/>
              <w:bottom w:val="single" w:sz="4" w:space="0" w:color="auto"/>
              <w:right w:val="single" w:sz="4" w:space="0" w:color="auto"/>
            </w:tcBorders>
            <w:shd w:val="clear" w:color="auto" w:fill="auto"/>
            <w:vAlign w:val="center"/>
            <w:hideMark/>
          </w:tcPr>
          <w:p w14:paraId="04CAD702"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2" w:type="dxa"/>
            <w:tcBorders>
              <w:top w:val="nil"/>
              <w:left w:val="nil"/>
              <w:bottom w:val="single" w:sz="4" w:space="0" w:color="auto"/>
              <w:right w:val="double" w:sz="6" w:space="0" w:color="auto"/>
            </w:tcBorders>
            <w:shd w:val="clear" w:color="auto" w:fill="auto"/>
            <w:vAlign w:val="center"/>
            <w:hideMark/>
          </w:tcPr>
          <w:p w14:paraId="74A729A9"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4DB48E09"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3F0021AD"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Август 2024</w:t>
            </w:r>
          </w:p>
        </w:tc>
        <w:tc>
          <w:tcPr>
            <w:tcW w:w="1891" w:type="dxa"/>
            <w:tcBorders>
              <w:top w:val="nil"/>
              <w:left w:val="nil"/>
              <w:bottom w:val="single" w:sz="4" w:space="0" w:color="auto"/>
              <w:right w:val="single" w:sz="4" w:space="0" w:color="auto"/>
            </w:tcBorders>
            <w:shd w:val="clear" w:color="auto" w:fill="auto"/>
            <w:vAlign w:val="center"/>
            <w:hideMark/>
          </w:tcPr>
          <w:p w14:paraId="0318BAA0"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48 680,8 </w:t>
            </w:r>
          </w:p>
        </w:tc>
        <w:tc>
          <w:tcPr>
            <w:tcW w:w="1892" w:type="dxa"/>
            <w:tcBorders>
              <w:top w:val="nil"/>
              <w:left w:val="nil"/>
              <w:bottom w:val="single" w:sz="4" w:space="0" w:color="auto"/>
              <w:right w:val="single" w:sz="4" w:space="0" w:color="auto"/>
            </w:tcBorders>
            <w:shd w:val="clear" w:color="auto" w:fill="auto"/>
            <w:vAlign w:val="center"/>
            <w:hideMark/>
          </w:tcPr>
          <w:p w14:paraId="66BC3841"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1" w:type="dxa"/>
            <w:tcBorders>
              <w:top w:val="nil"/>
              <w:left w:val="nil"/>
              <w:bottom w:val="single" w:sz="4" w:space="0" w:color="auto"/>
              <w:right w:val="single" w:sz="4" w:space="0" w:color="auto"/>
            </w:tcBorders>
            <w:shd w:val="clear" w:color="auto" w:fill="auto"/>
            <w:vAlign w:val="center"/>
            <w:hideMark/>
          </w:tcPr>
          <w:p w14:paraId="5DC7154B"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2" w:type="dxa"/>
            <w:tcBorders>
              <w:top w:val="nil"/>
              <w:left w:val="nil"/>
              <w:bottom w:val="single" w:sz="4" w:space="0" w:color="auto"/>
              <w:right w:val="double" w:sz="6" w:space="0" w:color="auto"/>
            </w:tcBorders>
            <w:shd w:val="clear" w:color="auto" w:fill="auto"/>
            <w:vAlign w:val="center"/>
            <w:hideMark/>
          </w:tcPr>
          <w:p w14:paraId="3988BC82"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2092EBAD"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22B9BBB3"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Сентябрь 2024</w:t>
            </w:r>
          </w:p>
        </w:tc>
        <w:tc>
          <w:tcPr>
            <w:tcW w:w="1891" w:type="dxa"/>
            <w:tcBorders>
              <w:top w:val="nil"/>
              <w:left w:val="nil"/>
              <w:bottom w:val="single" w:sz="4" w:space="0" w:color="auto"/>
              <w:right w:val="single" w:sz="4" w:space="0" w:color="auto"/>
            </w:tcBorders>
            <w:shd w:val="clear" w:color="auto" w:fill="auto"/>
            <w:vAlign w:val="center"/>
            <w:hideMark/>
          </w:tcPr>
          <w:p w14:paraId="4A627FFE"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48 680,8 </w:t>
            </w:r>
          </w:p>
        </w:tc>
        <w:tc>
          <w:tcPr>
            <w:tcW w:w="1892" w:type="dxa"/>
            <w:tcBorders>
              <w:top w:val="nil"/>
              <w:left w:val="nil"/>
              <w:bottom w:val="single" w:sz="4" w:space="0" w:color="auto"/>
              <w:right w:val="single" w:sz="4" w:space="0" w:color="auto"/>
            </w:tcBorders>
            <w:shd w:val="clear" w:color="auto" w:fill="auto"/>
            <w:vAlign w:val="center"/>
            <w:hideMark/>
          </w:tcPr>
          <w:p w14:paraId="3FD5156E"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2 240,0 </w:t>
            </w:r>
          </w:p>
        </w:tc>
        <w:tc>
          <w:tcPr>
            <w:tcW w:w="1891" w:type="dxa"/>
            <w:tcBorders>
              <w:top w:val="nil"/>
              <w:left w:val="nil"/>
              <w:bottom w:val="single" w:sz="4" w:space="0" w:color="auto"/>
              <w:right w:val="single" w:sz="4" w:space="0" w:color="auto"/>
            </w:tcBorders>
            <w:shd w:val="clear" w:color="auto" w:fill="auto"/>
            <w:vAlign w:val="center"/>
            <w:hideMark/>
          </w:tcPr>
          <w:p w14:paraId="6CA3F4D9"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2" w:type="dxa"/>
            <w:tcBorders>
              <w:top w:val="nil"/>
              <w:left w:val="nil"/>
              <w:bottom w:val="single" w:sz="4" w:space="0" w:color="auto"/>
              <w:right w:val="double" w:sz="6" w:space="0" w:color="auto"/>
            </w:tcBorders>
            <w:shd w:val="clear" w:color="auto" w:fill="auto"/>
            <w:vAlign w:val="center"/>
            <w:hideMark/>
          </w:tcPr>
          <w:p w14:paraId="68F52B81"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403B9C9B"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3F681055"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Октябрь 2024</w:t>
            </w:r>
          </w:p>
        </w:tc>
        <w:tc>
          <w:tcPr>
            <w:tcW w:w="1891" w:type="dxa"/>
            <w:tcBorders>
              <w:top w:val="nil"/>
              <w:left w:val="nil"/>
              <w:bottom w:val="single" w:sz="4" w:space="0" w:color="auto"/>
              <w:right w:val="single" w:sz="4" w:space="0" w:color="auto"/>
            </w:tcBorders>
            <w:shd w:val="clear" w:color="auto" w:fill="auto"/>
            <w:vAlign w:val="center"/>
            <w:hideMark/>
          </w:tcPr>
          <w:p w14:paraId="16476778"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50 920,8 </w:t>
            </w:r>
          </w:p>
        </w:tc>
        <w:tc>
          <w:tcPr>
            <w:tcW w:w="1892" w:type="dxa"/>
            <w:tcBorders>
              <w:top w:val="nil"/>
              <w:left w:val="nil"/>
              <w:bottom w:val="single" w:sz="4" w:space="0" w:color="auto"/>
              <w:right w:val="single" w:sz="4" w:space="0" w:color="auto"/>
            </w:tcBorders>
            <w:shd w:val="clear" w:color="auto" w:fill="auto"/>
            <w:vAlign w:val="center"/>
            <w:hideMark/>
          </w:tcPr>
          <w:p w14:paraId="4C593139"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1" w:type="dxa"/>
            <w:tcBorders>
              <w:top w:val="nil"/>
              <w:left w:val="nil"/>
              <w:bottom w:val="single" w:sz="4" w:space="0" w:color="auto"/>
              <w:right w:val="single" w:sz="4" w:space="0" w:color="auto"/>
            </w:tcBorders>
            <w:shd w:val="clear" w:color="auto" w:fill="auto"/>
            <w:vAlign w:val="center"/>
            <w:hideMark/>
          </w:tcPr>
          <w:p w14:paraId="14C22E41"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2" w:type="dxa"/>
            <w:tcBorders>
              <w:top w:val="nil"/>
              <w:left w:val="nil"/>
              <w:bottom w:val="single" w:sz="4" w:space="0" w:color="auto"/>
              <w:right w:val="double" w:sz="6" w:space="0" w:color="auto"/>
            </w:tcBorders>
            <w:shd w:val="clear" w:color="auto" w:fill="auto"/>
            <w:vAlign w:val="center"/>
            <w:hideMark/>
          </w:tcPr>
          <w:p w14:paraId="78751F38"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r>
      <w:tr w:rsidR="00FD7B0B" w:rsidRPr="00FD7B0B" w14:paraId="1C14D147"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49F3CA7D"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Ноябрь 2024</w:t>
            </w:r>
          </w:p>
        </w:tc>
        <w:tc>
          <w:tcPr>
            <w:tcW w:w="1891" w:type="dxa"/>
            <w:tcBorders>
              <w:top w:val="nil"/>
              <w:left w:val="nil"/>
              <w:bottom w:val="single" w:sz="4" w:space="0" w:color="auto"/>
              <w:right w:val="single" w:sz="4" w:space="0" w:color="auto"/>
            </w:tcBorders>
            <w:shd w:val="clear" w:color="auto" w:fill="auto"/>
            <w:vAlign w:val="center"/>
            <w:hideMark/>
          </w:tcPr>
          <w:p w14:paraId="28ABF1A2"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50 920,8 </w:t>
            </w:r>
          </w:p>
        </w:tc>
        <w:tc>
          <w:tcPr>
            <w:tcW w:w="1892" w:type="dxa"/>
            <w:tcBorders>
              <w:top w:val="nil"/>
              <w:left w:val="nil"/>
              <w:bottom w:val="single" w:sz="4" w:space="0" w:color="auto"/>
              <w:right w:val="single" w:sz="4" w:space="0" w:color="auto"/>
            </w:tcBorders>
            <w:shd w:val="clear" w:color="auto" w:fill="auto"/>
            <w:vAlign w:val="center"/>
            <w:hideMark/>
          </w:tcPr>
          <w:p w14:paraId="67618D9F"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1" w:type="dxa"/>
            <w:tcBorders>
              <w:top w:val="nil"/>
              <w:left w:val="nil"/>
              <w:bottom w:val="single" w:sz="4" w:space="0" w:color="auto"/>
              <w:right w:val="single" w:sz="4" w:space="0" w:color="auto"/>
            </w:tcBorders>
            <w:shd w:val="clear" w:color="auto" w:fill="auto"/>
            <w:vAlign w:val="center"/>
            <w:hideMark/>
          </w:tcPr>
          <w:p w14:paraId="2482E853"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320,8 </w:t>
            </w:r>
          </w:p>
        </w:tc>
        <w:tc>
          <w:tcPr>
            <w:tcW w:w="1892" w:type="dxa"/>
            <w:tcBorders>
              <w:top w:val="nil"/>
              <w:left w:val="nil"/>
              <w:bottom w:val="single" w:sz="4" w:space="0" w:color="auto"/>
              <w:right w:val="double" w:sz="6" w:space="0" w:color="auto"/>
            </w:tcBorders>
            <w:shd w:val="clear" w:color="auto" w:fill="auto"/>
            <w:vAlign w:val="center"/>
            <w:hideMark/>
          </w:tcPr>
          <w:p w14:paraId="4D1790A4"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195,8 </w:t>
            </w:r>
          </w:p>
        </w:tc>
      </w:tr>
      <w:tr w:rsidR="00FD7B0B" w:rsidRPr="00FD7B0B" w14:paraId="58D260A0"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65AD4145"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Декабрь 2024</w:t>
            </w:r>
          </w:p>
        </w:tc>
        <w:tc>
          <w:tcPr>
            <w:tcW w:w="1891" w:type="dxa"/>
            <w:tcBorders>
              <w:top w:val="nil"/>
              <w:left w:val="nil"/>
              <w:bottom w:val="single" w:sz="4" w:space="0" w:color="auto"/>
              <w:right w:val="single" w:sz="4" w:space="0" w:color="auto"/>
            </w:tcBorders>
            <w:shd w:val="clear" w:color="auto" w:fill="auto"/>
            <w:vAlign w:val="center"/>
            <w:hideMark/>
          </w:tcPr>
          <w:p w14:paraId="42ADE1E9"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50 599,9 </w:t>
            </w:r>
          </w:p>
        </w:tc>
        <w:tc>
          <w:tcPr>
            <w:tcW w:w="1892" w:type="dxa"/>
            <w:tcBorders>
              <w:top w:val="nil"/>
              <w:left w:val="nil"/>
              <w:bottom w:val="single" w:sz="4" w:space="0" w:color="auto"/>
              <w:right w:val="single" w:sz="4" w:space="0" w:color="auto"/>
            </w:tcBorders>
            <w:shd w:val="clear" w:color="auto" w:fill="auto"/>
            <w:vAlign w:val="center"/>
            <w:hideMark/>
          </w:tcPr>
          <w:p w14:paraId="23C08C6D"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0,0 </w:t>
            </w:r>
          </w:p>
        </w:tc>
        <w:tc>
          <w:tcPr>
            <w:tcW w:w="1891" w:type="dxa"/>
            <w:tcBorders>
              <w:top w:val="nil"/>
              <w:left w:val="nil"/>
              <w:bottom w:val="single" w:sz="4" w:space="0" w:color="auto"/>
              <w:right w:val="single" w:sz="4" w:space="0" w:color="auto"/>
            </w:tcBorders>
            <w:shd w:val="clear" w:color="auto" w:fill="auto"/>
            <w:vAlign w:val="center"/>
            <w:hideMark/>
          </w:tcPr>
          <w:p w14:paraId="2CD7F0D7"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8 514,7 </w:t>
            </w:r>
          </w:p>
        </w:tc>
        <w:tc>
          <w:tcPr>
            <w:tcW w:w="1892" w:type="dxa"/>
            <w:tcBorders>
              <w:top w:val="nil"/>
              <w:left w:val="nil"/>
              <w:bottom w:val="single" w:sz="4" w:space="0" w:color="auto"/>
              <w:right w:val="double" w:sz="6" w:space="0" w:color="auto"/>
            </w:tcBorders>
            <w:shd w:val="clear" w:color="auto" w:fill="auto"/>
            <w:vAlign w:val="center"/>
            <w:hideMark/>
          </w:tcPr>
          <w:p w14:paraId="733F2744"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6,4 </w:t>
            </w:r>
          </w:p>
        </w:tc>
      </w:tr>
      <w:tr w:rsidR="00FD7B0B" w:rsidRPr="00FD7B0B" w14:paraId="3D7A5172" w14:textId="77777777" w:rsidTr="002F7314">
        <w:trPr>
          <w:trHeight w:val="70"/>
        </w:trPr>
        <w:tc>
          <w:tcPr>
            <w:tcW w:w="2050" w:type="dxa"/>
            <w:tcBorders>
              <w:top w:val="nil"/>
              <w:left w:val="double" w:sz="6" w:space="0" w:color="auto"/>
              <w:bottom w:val="single" w:sz="4" w:space="0" w:color="auto"/>
              <w:right w:val="single" w:sz="4" w:space="0" w:color="auto"/>
            </w:tcBorders>
            <w:shd w:val="clear" w:color="auto" w:fill="auto"/>
            <w:vAlign w:val="center"/>
            <w:hideMark/>
          </w:tcPr>
          <w:p w14:paraId="19D1BCF5" w14:textId="77777777" w:rsidR="002F7314" w:rsidRPr="00FD7B0B" w:rsidRDefault="002F7314" w:rsidP="00B74639">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Январь 2025</w:t>
            </w:r>
          </w:p>
        </w:tc>
        <w:tc>
          <w:tcPr>
            <w:tcW w:w="1891" w:type="dxa"/>
            <w:tcBorders>
              <w:top w:val="nil"/>
              <w:left w:val="nil"/>
              <w:bottom w:val="single" w:sz="4" w:space="0" w:color="auto"/>
              <w:right w:val="single" w:sz="4" w:space="0" w:color="auto"/>
            </w:tcBorders>
            <w:shd w:val="clear" w:color="auto" w:fill="auto"/>
            <w:vAlign w:val="center"/>
            <w:hideMark/>
          </w:tcPr>
          <w:p w14:paraId="1E4ACCE3" w14:textId="77777777" w:rsidR="002F7314" w:rsidRPr="00FD7B0B" w:rsidRDefault="002F7314" w:rsidP="00B74639">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42 085,2 </w:t>
            </w:r>
          </w:p>
        </w:tc>
        <w:tc>
          <w:tcPr>
            <w:tcW w:w="1892" w:type="dxa"/>
            <w:tcBorders>
              <w:top w:val="nil"/>
              <w:left w:val="nil"/>
              <w:bottom w:val="single" w:sz="4" w:space="0" w:color="auto"/>
              <w:right w:val="single" w:sz="4" w:space="0" w:color="auto"/>
            </w:tcBorders>
            <w:shd w:val="clear" w:color="auto" w:fill="auto"/>
            <w:vAlign w:val="center"/>
            <w:hideMark/>
          </w:tcPr>
          <w:p w14:paraId="36A2D7B0" w14:textId="77777777" w:rsidR="002F7314" w:rsidRPr="00FD7B0B" w:rsidRDefault="002F7314" w:rsidP="00B74639">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c>
          <w:tcPr>
            <w:tcW w:w="1891" w:type="dxa"/>
            <w:tcBorders>
              <w:top w:val="nil"/>
              <w:left w:val="nil"/>
              <w:bottom w:val="single" w:sz="4" w:space="0" w:color="auto"/>
              <w:right w:val="single" w:sz="4" w:space="0" w:color="auto"/>
            </w:tcBorders>
            <w:shd w:val="clear" w:color="auto" w:fill="auto"/>
            <w:vAlign w:val="center"/>
            <w:hideMark/>
          </w:tcPr>
          <w:p w14:paraId="20394FC2" w14:textId="77777777" w:rsidR="002F7314" w:rsidRPr="00FD7B0B" w:rsidRDefault="002F7314" w:rsidP="00B74639">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c>
          <w:tcPr>
            <w:tcW w:w="1892" w:type="dxa"/>
            <w:tcBorders>
              <w:top w:val="nil"/>
              <w:left w:val="nil"/>
              <w:bottom w:val="single" w:sz="4" w:space="0" w:color="auto"/>
              <w:right w:val="double" w:sz="6" w:space="0" w:color="auto"/>
            </w:tcBorders>
            <w:shd w:val="clear" w:color="auto" w:fill="auto"/>
            <w:vAlign w:val="center"/>
            <w:hideMark/>
          </w:tcPr>
          <w:p w14:paraId="51B590A1" w14:textId="77777777" w:rsidR="002F7314" w:rsidRPr="00FD7B0B" w:rsidRDefault="002F7314" w:rsidP="00B74639">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Х</w:t>
            </w:r>
          </w:p>
        </w:tc>
      </w:tr>
      <w:tr w:rsidR="002F7314" w:rsidRPr="00FD7B0B" w14:paraId="437FE782" w14:textId="77777777" w:rsidTr="002F7314">
        <w:trPr>
          <w:trHeight w:val="70"/>
        </w:trPr>
        <w:tc>
          <w:tcPr>
            <w:tcW w:w="2050" w:type="dxa"/>
            <w:tcBorders>
              <w:top w:val="nil"/>
              <w:left w:val="double" w:sz="6" w:space="0" w:color="auto"/>
              <w:bottom w:val="double" w:sz="6" w:space="0" w:color="auto"/>
              <w:right w:val="single" w:sz="4" w:space="0" w:color="auto"/>
            </w:tcBorders>
            <w:shd w:val="clear" w:color="auto" w:fill="auto"/>
            <w:vAlign w:val="center"/>
            <w:hideMark/>
          </w:tcPr>
          <w:p w14:paraId="18935DE7" w14:textId="77777777" w:rsidR="002F7314" w:rsidRPr="00FD7B0B" w:rsidRDefault="002F7314" w:rsidP="00B74639">
            <w:pPr>
              <w:spacing w:after="0" w:line="240" w:lineRule="auto"/>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Итого за 2024 год</w:t>
            </w:r>
          </w:p>
        </w:tc>
        <w:tc>
          <w:tcPr>
            <w:tcW w:w="1891" w:type="dxa"/>
            <w:tcBorders>
              <w:top w:val="nil"/>
              <w:left w:val="nil"/>
              <w:bottom w:val="double" w:sz="6" w:space="0" w:color="auto"/>
              <w:right w:val="single" w:sz="4" w:space="0" w:color="auto"/>
            </w:tcBorders>
            <w:shd w:val="clear" w:color="auto" w:fill="auto"/>
            <w:vAlign w:val="center"/>
            <w:hideMark/>
          </w:tcPr>
          <w:p w14:paraId="68863870" w14:textId="77777777" w:rsidR="002F7314" w:rsidRPr="00FD7B0B" w:rsidRDefault="002F7314" w:rsidP="00B74639">
            <w:pPr>
              <w:spacing w:after="0" w:line="240" w:lineRule="auto"/>
              <w:jc w:val="center"/>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Х</w:t>
            </w:r>
          </w:p>
        </w:tc>
        <w:tc>
          <w:tcPr>
            <w:tcW w:w="1892" w:type="dxa"/>
            <w:tcBorders>
              <w:top w:val="nil"/>
              <w:left w:val="nil"/>
              <w:bottom w:val="double" w:sz="6" w:space="0" w:color="auto"/>
              <w:right w:val="single" w:sz="4" w:space="0" w:color="auto"/>
            </w:tcBorders>
            <w:shd w:val="clear" w:color="auto" w:fill="auto"/>
            <w:vAlign w:val="center"/>
            <w:hideMark/>
          </w:tcPr>
          <w:p w14:paraId="00301282" w14:textId="77777777" w:rsidR="002F7314" w:rsidRPr="00FD7B0B" w:rsidRDefault="002F7314" w:rsidP="00B74639">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9 503,2 </w:t>
            </w:r>
          </w:p>
        </w:tc>
        <w:tc>
          <w:tcPr>
            <w:tcW w:w="1891" w:type="dxa"/>
            <w:tcBorders>
              <w:top w:val="nil"/>
              <w:left w:val="nil"/>
              <w:bottom w:val="double" w:sz="6" w:space="0" w:color="auto"/>
              <w:right w:val="single" w:sz="4" w:space="0" w:color="auto"/>
            </w:tcBorders>
            <w:shd w:val="clear" w:color="auto" w:fill="auto"/>
            <w:vAlign w:val="center"/>
            <w:hideMark/>
          </w:tcPr>
          <w:p w14:paraId="4F42B554" w14:textId="77777777" w:rsidR="002F7314" w:rsidRPr="00FD7B0B" w:rsidRDefault="002F7314" w:rsidP="00B74639">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12 066,2 </w:t>
            </w:r>
          </w:p>
        </w:tc>
        <w:tc>
          <w:tcPr>
            <w:tcW w:w="1892" w:type="dxa"/>
            <w:tcBorders>
              <w:top w:val="nil"/>
              <w:left w:val="nil"/>
              <w:bottom w:val="double" w:sz="6" w:space="0" w:color="auto"/>
              <w:right w:val="double" w:sz="6" w:space="0" w:color="auto"/>
            </w:tcBorders>
            <w:shd w:val="clear" w:color="auto" w:fill="auto"/>
            <w:vAlign w:val="center"/>
            <w:hideMark/>
          </w:tcPr>
          <w:p w14:paraId="4D3348E2" w14:textId="77777777" w:rsidR="002F7314" w:rsidRPr="00FD7B0B" w:rsidRDefault="002F7314" w:rsidP="00B74639">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204,9 </w:t>
            </w:r>
          </w:p>
        </w:tc>
      </w:tr>
    </w:tbl>
    <w:p w14:paraId="1CE1452A" w14:textId="77777777" w:rsidR="002F7314" w:rsidRPr="00FD7B0B" w:rsidRDefault="002F7314" w:rsidP="00B74639">
      <w:pPr>
        <w:spacing w:after="0" w:line="240" w:lineRule="auto"/>
        <w:ind w:firstLine="709"/>
        <w:jc w:val="both"/>
        <w:rPr>
          <w:rFonts w:ascii="Times New Roman" w:eastAsia="Calibri" w:hAnsi="Times New Roman" w:cs="Times New Roman"/>
          <w:sz w:val="28"/>
          <w:szCs w:val="28"/>
        </w:rPr>
      </w:pPr>
    </w:p>
    <w:p w14:paraId="0927150F" w14:textId="20A9F2A2" w:rsidR="002F7314" w:rsidRPr="00FD7B0B" w:rsidRDefault="002F7314" w:rsidP="00B7463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разрезе кредиторов движение долговых обязательств по бюджетным кредитам характеризуется показателями, представленными в таблице </w:t>
      </w:r>
      <w:r w:rsidR="00BA7410" w:rsidRPr="00FD7B0B">
        <w:rPr>
          <w:rFonts w:ascii="Times New Roman" w:eastAsia="Calibri" w:hAnsi="Times New Roman" w:cs="Times New Roman"/>
          <w:sz w:val="28"/>
          <w:szCs w:val="28"/>
        </w:rPr>
        <w:t>264</w:t>
      </w:r>
      <w:r w:rsidRPr="00FD7B0B">
        <w:rPr>
          <w:rFonts w:ascii="Times New Roman" w:eastAsia="Calibri" w:hAnsi="Times New Roman" w:cs="Times New Roman"/>
          <w:sz w:val="28"/>
          <w:szCs w:val="28"/>
        </w:rPr>
        <w:t>.</w:t>
      </w:r>
    </w:p>
    <w:p w14:paraId="3B5F87CA" w14:textId="77777777" w:rsidR="002F7314" w:rsidRPr="00FD7B0B" w:rsidRDefault="002F7314" w:rsidP="00211FD2">
      <w:pPr>
        <w:pStyle w:val="aff0"/>
        <w:spacing w:after="0" w:line="240" w:lineRule="auto"/>
        <w:rPr>
          <w:rFonts w:ascii="Times New Roman" w:hAnsi="Times New Roman"/>
          <w:b w:val="0"/>
          <w:sz w:val="24"/>
          <w:szCs w:val="24"/>
        </w:rPr>
      </w:pPr>
    </w:p>
    <w:p w14:paraId="32CE048C" w14:textId="77777777" w:rsidR="00BA7410" w:rsidRPr="00FD7B0B" w:rsidRDefault="00BA7410" w:rsidP="00211FD2">
      <w:pPr>
        <w:pStyle w:val="aff0"/>
        <w:spacing w:after="0" w:line="240" w:lineRule="auto"/>
        <w:rPr>
          <w:rFonts w:ascii="Times New Roman" w:hAnsi="Times New Roman"/>
          <w:b w:val="0"/>
          <w:sz w:val="24"/>
          <w:szCs w:val="24"/>
        </w:rPr>
      </w:pPr>
    </w:p>
    <w:p w14:paraId="5AE911B8" w14:textId="1871FED0" w:rsidR="002F7314" w:rsidRPr="00FD7B0B" w:rsidRDefault="002F7314" w:rsidP="00211FD2">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264</w:t>
      </w:r>
      <w:r w:rsidRPr="00FD7B0B">
        <w:rPr>
          <w:rFonts w:ascii="Times New Roman" w:hAnsi="Times New Roman"/>
          <w:b w:val="0"/>
          <w:sz w:val="24"/>
          <w:szCs w:val="24"/>
        </w:rPr>
        <w:fldChar w:fldCharType="end"/>
      </w:r>
      <w:r w:rsidRPr="00FD7B0B">
        <w:rPr>
          <w:rFonts w:ascii="Times New Roman" w:hAnsi="Times New Roman"/>
          <w:b w:val="0"/>
          <w:sz w:val="24"/>
          <w:szCs w:val="24"/>
        </w:rPr>
        <w:t>. Сведения о кредиторах, с которыми заключены соглашения по бюджетным кредитам из федерального бюджета за 202</w:t>
      </w:r>
      <w:r w:rsidR="00211FD2" w:rsidRPr="00FD7B0B">
        <w:rPr>
          <w:rFonts w:ascii="Times New Roman" w:hAnsi="Times New Roman"/>
          <w:b w:val="0"/>
          <w:sz w:val="24"/>
          <w:szCs w:val="24"/>
        </w:rPr>
        <w:t>4</w:t>
      </w:r>
      <w:r w:rsidRPr="00FD7B0B">
        <w:rPr>
          <w:rFonts w:ascii="Times New Roman" w:hAnsi="Times New Roman"/>
          <w:b w:val="0"/>
          <w:sz w:val="24"/>
          <w:szCs w:val="24"/>
        </w:rPr>
        <w:t xml:space="preserve"> год, млн.руб.</w:t>
      </w:r>
    </w:p>
    <w:tbl>
      <w:tblPr>
        <w:tblW w:w="9616" w:type="dxa"/>
        <w:tblLook w:val="04A0" w:firstRow="1" w:lastRow="0" w:firstColumn="1" w:lastColumn="0" w:noHBand="0" w:noVBand="1"/>
      </w:tblPr>
      <w:tblGrid>
        <w:gridCol w:w="2245"/>
        <w:gridCol w:w="992"/>
        <w:gridCol w:w="1134"/>
        <w:gridCol w:w="992"/>
        <w:gridCol w:w="992"/>
        <w:gridCol w:w="992"/>
        <w:gridCol w:w="1135"/>
        <w:gridCol w:w="1134"/>
      </w:tblGrid>
      <w:tr w:rsidR="00FD7B0B" w:rsidRPr="00FD7B0B" w14:paraId="1F95392D" w14:textId="77777777" w:rsidTr="00211FD2">
        <w:trPr>
          <w:trHeight w:val="20"/>
        </w:trPr>
        <w:tc>
          <w:tcPr>
            <w:tcW w:w="224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A59A8AB"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Кредитор</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1CA88662"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01.01.2024</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838246A"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CD99C92"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Пога-шено</w:t>
            </w:r>
          </w:p>
        </w:tc>
        <w:tc>
          <w:tcPr>
            <w:tcW w:w="2127" w:type="dxa"/>
            <w:gridSpan w:val="2"/>
            <w:tcBorders>
              <w:top w:val="double" w:sz="6" w:space="0" w:color="auto"/>
              <w:left w:val="nil"/>
              <w:bottom w:val="single" w:sz="4" w:space="0" w:color="auto"/>
              <w:right w:val="single" w:sz="4" w:space="0" w:color="auto"/>
            </w:tcBorders>
            <w:shd w:val="clear" w:color="auto" w:fill="auto"/>
            <w:vAlign w:val="center"/>
            <w:hideMark/>
          </w:tcPr>
          <w:p w14:paraId="7358715E"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01.01.2025</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23020562"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Уплачено процен-тов</w:t>
            </w:r>
          </w:p>
        </w:tc>
      </w:tr>
      <w:tr w:rsidR="00FD7B0B" w:rsidRPr="00FD7B0B" w14:paraId="7722F2C4" w14:textId="77777777" w:rsidTr="00211FD2">
        <w:trPr>
          <w:trHeight w:val="434"/>
        </w:trPr>
        <w:tc>
          <w:tcPr>
            <w:tcW w:w="2245" w:type="dxa"/>
            <w:vMerge/>
            <w:tcBorders>
              <w:top w:val="double" w:sz="6" w:space="0" w:color="auto"/>
              <w:left w:val="double" w:sz="6" w:space="0" w:color="auto"/>
              <w:bottom w:val="single" w:sz="4" w:space="0" w:color="auto"/>
              <w:right w:val="single" w:sz="4" w:space="0" w:color="auto"/>
            </w:tcBorders>
            <w:vAlign w:val="center"/>
            <w:hideMark/>
          </w:tcPr>
          <w:p w14:paraId="3ABF2C25" w14:textId="77777777" w:rsidR="002F7314" w:rsidRPr="00FD7B0B" w:rsidRDefault="002F7314" w:rsidP="00211FD2">
            <w:pPr>
              <w:spacing w:after="0" w:line="240" w:lineRule="auto"/>
              <w:rPr>
                <w:rFonts w:ascii="Times New Roman" w:eastAsia="Times New Roman" w:hAnsi="Times New Roman" w:cs="Times New Roman"/>
                <w:b/>
                <w:bCs/>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530D5524"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41882DC7"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2051141F" w14:textId="77777777" w:rsidR="002F7314" w:rsidRPr="00FD7B0B" w:rsidRDefault="002F7314" w:rsidP="00211FD2">
            <w:pPr>
              <w:spacing w:after="0" w:line="240" w:lineRule="auto"/>
              <w:rPr>
                <w:rFonts w:ascii="Times New Roman" w:eastAsia="Times New Roman" w:hAnsi="Times New Roman" w:cs="Times New Roman"/>
                <w:b/>
                <w:bCs/>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617DA128" w14:textId="77777777" w:rsidR="002F7314" w:rsidRPr="00FD7B0B" w:rsidRDefault="002F7314" w:rsidP="00211FD2">
            <w:pPr>
              <w:spacing w:after="0" w:line="240" w:lineRule="auto"/>
              <w:rPr>
                <w:rFonts w:ascii="Times New Roman" w:eastAsia="Times New Roman" w:hAnsi="Times New Roman" w:cs="Times New Roman"/>
                <w:b/>
                <w:bCs/>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2B9C68B4"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135" w:type="dxa"/>
            <w:tcBorders>
              <w:top w:val="nil"/>
              <w:left w:val="nil"/>
              <w:bottom w:val="single" w:sz="4" w:space="0" w:color="auto"/>
              <w:right w:val="single" w:sz="4" w:space="0" w:color="auto"/>
            </w:tcBorders>
            <w:shd w:val="clear" w:color="auto" w:fill="auto"/>
            <w:vAlign w:val="center"/>
            <w:hideMark/>
          </w:tcPr>
          <w:p w14:paraId="2A698DD2" w14:textId="77777777" w:rsidR="002F7314" w:rsidRPr="00FD7B0B" w:rsidRDefault="002F7314" w:rsidP="00211FD2">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2E726F42" w14:textId="77777777" w:rsidR="002F7314" w:rsidRPr="00FD7B0B" w:rsidRDefault="002F7314" w:rsidP="00211FD2">
            <w:pPr>
              <w:spacing w:after="0" w:line="240" w:lineRule="auto"/>
              <w:rPr>
                <w:rFonts w:ascii="Times New Roman" w:eastAsia="Times New Roman" w:hAnsi="Times New Roman" w:cs="Times New Roman"/>
                <w:b/>
                <w:bCs/>
                <w:sz w:val="20"/>
                <w:szCs w:val="20"/>
                <w:lang w:eastAsia="ru-RU"/>
              </w:rPr>
            </w:pPr>
          </w:p>
        </w:tc>
      </w:tr>
      <w:tr w:rsidR="00FD7B0B" w:rsidRPr="00FD7B0B" w14:paraId="2AB90503" w14:textId="77777777" w:rsidTr="007C24CB">
        <w:trPr>
          <w:trHeight w:val="154"/>
        </w:trPr>
        <w:tc>
          <w:tcPr>
            <w:tcW w:w="2245" w:type="dxa"/>
            <w:tcBorders>
              <w:top w:val="nil"/>
              <w:left w:val="double" w:sz="6" w:space="0" w:color="auto"/>
              <w:bottom w:val="single" w:sz="4" w:space="0" w:color="auto"/>
              <w:right w:val="single" w:sz="4" w:space="0" w:color="auto"/>
            </w:tcBorders>
            <w:shd w:val="clear" w:color="auto" w:fill="auto"/>
            <w:vAlign w:val="center"/>
            <w:hideMark/>
          </w:tcPr>
          <w:p w14:paraId="12C84776" w14:textId="77777777" w:rsidR="002F7314" w:rsidRPr="00FD7B0B" w:rsidRDefault="002F7314" w:rsidP="00211FD2">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Казначейство России</w:t>
            </w:r>
          </w:p>
        </w:tc>
        <w:tc>
          <w:tcPr>
            <w:tcW w:w="992" w:type="dxa"/>
            <w:tcBorders>
              <w:top w:val="nil"/>
              <w:left w:val="nil"/>
              <w:bottom w:val="single" w:sz="4" w:space="0" w:color="auto"/>
              <w:right w:val="single" w:sz="4" w:space="0" w:color="auto"/>
            </w:tcBorders>
            <w:shd w:val="clear" w:color="auto" w:fill="auto"/>
            <w:vAlign w:val="center"/>
            <w:hideMark/>
          </w:tcPr>
          <w:p w14:paraId="286A2FE4"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2 509,2 </w:t>
            </w:r>
          </w:p>
        </w:tc>
        <w:tc>
          <w:tcPr>
            <w:tcW w:w="1134" w:type="dxa"/>
            <w:tcBorders>
              <w:top w:val="nil"/>
              <w:left w:val="nil"/>
              <w:bottom w:val="single" w:sz="4" w:space="0" w:color="auto"/>
              <w:right w:val="single" w:sz="4" w:space="0" w:color="auto"/>
            </w:tcBorders>
            <w:shd w:val="clear" w:color="auto" w:fill="auto"/>
            <w:vAlign w:val="center"/>
            <w:hideMark/>
          </w:tcPr>
          <w:p w14:paraId="0CBC163F"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3,000 </w:t>
            </w:r>
          </w:p>
        </w:tc>
        <w:tc>
          <w:tcPr>
            <w:tcW w:w="992" w:type="dxa"/>
            <w:tcBorders>
              <w:top w:val="nil"/>
              <w:left w:val="nil"/>
              <w:bottom w:val="single" w:sz="4" w:space="0" w:color="auto"/>
              <w:right w:val="single" w:sz="4" w:space="0" w:color="auto"/>
            </w:tcBorders>
            <w:shd w:val="clear" w:color="auto" w:fill="auto"/>
            <w:vAlign w:val="center"/>
            <w:hideMark/>
          </w:tcPr>
          <w:p w14:paraId="26AE2F41"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 </w:t>
            </w:r>
          </w:p>
        </w:tc>
        <w:tc>
          <w:tcPr>
            <w:tcW w:w="992" w:type="dxa"/>
            <w:tcBorders>
              <w:top w:val="nil"/>
              <w:left w:val="nil"/>
              <w:bottom w:val="single" w:sz="4" w:space="0" w:color="auto"/>
              <w:right w:val="single" w:sz="4" w:space="0" w:color="auto"/>
            </w:tcBorders>
            <w:shd w:val="clear" w:color="auto" w:fill="auto"/>
            <w:vAlign w:val="center"/>
            <w:hideMark/>
          </w:tcPr>
          <w:p w14:paraId="03578538"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 </w:t>
            </w:r>
          </w:p>
        </w:tc>
        <w:tc>
          <w:tcPr>
            <w:tcW w:w="992" w:type="dxa"/>
            <w:tcBorders>
              <w:top w:val="nil"/>
              <w:left w:val="nil"/>
              <w:bottom w:val="single" w:sz="4" w:space="0" w:color="auto"/>
              <w:right w:val="single" w:sz="4" w:space="0" w:color="auto"/>
            </w:tcBorders>
            <w:shd w:val="clear" w:color="auto" w:fill="auto"/>
            <w:vAlign w:val="center"/>
            <w:hideMark/>
          </w:tcPr>
          <w:p w14:paraId="4F9E5616"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2 509,2 </w:t>
            </w:r>
          </w:p>
        </w:tc>
        <w:tc>
          <w:tcPr>
            <w:tcW w:w="1135" w:type="dxa"/>
            <w:tcBorders>
              <w:top w:val="nil"/>
              <w:left w:val="nil"/>
              <w:bottom w:val="single" w:sz="4" w:space="0" w:color="auto"/>
              <w:right w:val="single" w:sz="4" w:space="0" w:color="auto"/>
            </w:tcBorders>
            <w:shd w:val="clear" w:color="auto" w:fill="auto"/>
            <w:vAlign w:val="center"/>
            <w:hideMark/>
          </w:tcPr>
          <w:p w14:paraId="0859724C"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3,000 </w:t>
            </w:r>
          </w:p>
        </w:tc>
        <w:tc>
          <w:tcPr>
            <w:tcW w:w="1134" w:type="dxa"/>
            <w:tcBorders>
              <w:top w:val="nil"/>
              <w:left w:val="nil"/>
              <w:bottom w:val="single" w:sz="4" w:space="0" w:color="auto"/>
              <w:right w:val="double" w:sz="6" w:space="0" w:color="auto"/>
            </w:tcBorders>
            <w:shd w:val="clear" w:color="auto" w:fill="auto"/>
            <w:vAlign w:val="center"/>
            <w:hideMark/>
          </w:tcPr>
          <w:p w14:paraId="6A827B17"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75,3 </w:t>
            </w:r>
          </w:p>
        </w:tc>
      </w:tr>
      <w:tr w:rsidR="00FD7B0B" w:rsidRPr="00FD7B0B" w14:paraId="4A2D0A9E" w14:textId="77777777" w:rsidTr="007C24CB">
        <w:trPr>
          <w:trHeight w:val="58"/>
        </w:trPr>
        <w:tc>
          <w:tcPr>
            <w:tcW w:w="2245" w:type="dxa"/>
            <w:tcBorders>
              <w:top w:val="nil"/>
              <w:left w:val="double" w:sz="6" w:space="0" w:color="auto"/>
              <w:bottom w:val="single" w:sz="4" w:space="0" w:color="auto"/>
              <w:right w:val="single" w:sz="4" w:space="0" w:color="auto"/>
            </w:tcBorders>
            <w:shd w:val="clear" w:color="auto" w:fill="auto"/>
            <w:vAlign w:val="center"/>
            <w:hideMark/>
          </w:tcPr>
          <w:p w14:paraId="17020DE6" w14:textId="77777777" w:rsidR="002F7314" w:rsidRPr="00FD7B0B" w:rsidRDefault="002F7314" w:rsidP="00211FD2">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Минфин России</w:t>
            </w:r>
          </w:p>
        </w:tc>
        <w:tc>
          <w:tcPr>
            <w:tcW w:w="992" w:type="dxa"/>
            <w:tcBorders>
              <w:top w:val="nil"/>
              <w:left w:val="nil"/>
              <w:bottom w:val="single" w:sz="4" w:space="0" w:color="auto"/>
              <w:right w:val="single" w:sz="4" w:space="0" w:color="auto"/>
            </w:tcBorders>
            <w:shd w:val="clear" w:color="auto" w:fill="auto"/>
            <w:vAlign w:val="center"/>
            <w:hideMark/>
          </w:tcPr>
          <w:p w14:paraId="44DBE0CF"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39 485,9 </w:t>
            </w:r>
          </w:p>
        </w:tc>
        <w:tc>
          <w:tcPr>
            <w:tcW w:w="1134" w:type="dxa"/>
            <w:tcBorders>
              <w:top w:val="nil"/>
              <w:left w:val="nil"/>
              <w:bottom w:val="single" w:sz="4" w:space="0" w:color="auto"/>
              <w:right w:val="single" w:sz="4" w:space="0" w:color="auto"/>
            </w:tcBorders>
            <w:shd w:val="clear" w:color="auto" w:fill="auto"/>
            <w:vAlign w:val="center"/>
            <w:hideMark/>
          </w:tcPr>
          <w:p w14:paraId="424C3E24"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0,248 </w:t>
            </w:r>
          </w:p>
        </w:tc>
        <w:tc>
          <w:tcPr>
            <w:tcW w:w="992" w:type="dxa"/>
            <w:tcBorders>
              <w:top w:val="nil"/>
              <w:left w:val="nil"/>
              <w:bottom w:val="single" w:sz="4" w:space="0" w:color="auto"/>
              <w:right w:val="single" w:sz="4" w:space="0" w:color="auto"/>
            </w:tcBorders>
            <w:shd w:val="clear" w:color="auto" w:fill="auto"/>
            <w:vAlign w:val="center"/>
            <w:hideMark/>
          </w:tcPr>
          <w:p w14:paraId="01F8B5DC"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989,5 </w:t>
            </w:r>
          </w:p>
        </w:tc>
        <w:tc>
          <w:tcPr>
            <w:tcW w:w="992" w:type="dxa"/>
            <w:tcBorders>
              <w:top w:val="nil"/>
              <w:left w:val="nil"/>
              <w:bottom w:val="single" w:sz="4" w:space="0" w:color="auto"/>
              <w:right w:val="single" w:sz="4" w:space="0" w:color="auto"/>
            </w:tcBorders>
            <w:shd w:val="clear" w:color="auto" w:fill="auto"/>
            <w:vAlign w:val="center"/>
            <w:hideMark/>
          </w:tcPr>
          <w:p w14:paraId="3D65770A"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899,3 </w:t>
            </w:r>
          </w:p>
        </w:tc>
        <w:tc>
          <w:tcPr>
            <w:tcW w:w="992" w:type="dxa"/>
            <w:tcBorders>
              <w:top w:val="nil"/>
              <w:left w:val="nil"/>
              <w:bottom w:val="single" w:sz="4" w:space="0" w:color="auto"/>
              <w:right w:val="single" w:sz="4" w:space="0" w:color="auto"/>
            </w:tcBorders>
            <w:shd w:val="clear" w:color="auto" w:fill="auto"/>
            <w:vAlign w:val="center"/>
            <w:hideMark/>
          </w:tcPr>
          <w:p w14:paraId="7894845D"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39 576,1 </w:t>
            </w:r>
          </w:p>
        </w:tc>
        <w:tc>
          <w:tcPr>
            <w:tcW w:w="1135" w:type="dxa"/>
            <w:tcBorders>
              <w:top w:val="nil"/>
              <w:left w:val="nil"/>
              <w:bottom w:val="single" w:sz="4" w:space="0" w:color="auto"/>
              <w:right w:val="single" w:sz="4" w:space="0" w:color="auto"/>
            </w:tcBorders>
            <w:shd w:val="clear" w:color="auto" w:fill="auto"/>
            <w:vAlign w:val="center"/>
            <w:hideMark/>
          </w:tcPr>
          <w:p w14:paraId="74A6CA6F"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0,318 </w:t>
            </w:r>
          </w:p>
        </w:tc>
        <w:tc>
          <w:tcPr>
            <w:tcW w:w="1134" w:type="dxa"/>
            <w:tcBorders>
              <w:top w:val="nil"/>
              <w:left w:val="nil"/>
              <w:bottom w:val="single" w:sz="4" w:space="0" w:color="auto"/>
              <w:right w:val="double" w:sz="6" w:space="0" w:color="auto"/>
            </w:tcBorders>
            <w:shd w:val="clear" w:color="auto" w:fill="auto"/>
            <w:vAlign w:val="center"/>
            <w:hideMark/>
          </w:tcPr>
          <w:p w14:paraId="3DB0FED5"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120,5 </w:t>
            </w:r>
          </w:p>
        </w:tc>
      </w:tr>
      <w:tr w:rsidR="00FD7B0B" w:rsidRPr="00FD7B0B" w14:paraId="634FAB37" w14:textId="77777777" w:rsidTr="00211FD2">
        <w:trPr>
          <w:trHeight w:val="510"/>
        </w:trPr>
        <w:tc>
          <w:tcPr>
            <w:tcW w:w="2245" w:type="dxa"/>
            <w:tcBorders>
              <w:top w:val="nil"/>
              <w:left w:val="double" w:sz="6" w:space="0" w:color="auto"/>
              <w:bottom w:val="single" w:sz="4" w:space="0" w:color="auto"/>
              <w:right w:val="single" w:sz="4" w:space="0" w:color="auto"/>
            </w:tcBorders>
            <w:shd w:val="clear" w:color="auto" w:fill="auto"/>
            <w:vAlign w:val="center"/>
            <w:hideMark/>
          </w:tcPr>
          <w:p w14:paraId="3CFD360D" w14:textId="77777777" w:rsidR="002F7314" w:rsidRPr="00FD7B0B" w:rsidRDefault="002F7314" w:rsidP="00211FD2">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УФК по Архангельской области и НАО</w:t>
            </w:r>
          </w:p>
        </w:tc>
        <w:tc>
          <w:tcPr>
            <w:tcW w:w="992" w:type="dxa"/>
            <w:tcBorders>
              <w:top w:val="nil"/>
              <w:left w:val="nil"/>
              <w:bottom w:val="single" w:sz="4" w:space="0" w:color="auto"/>
              <w:right w:val="single" w:sz="4" w:space="0" w:color="auto"/>
            </w:tcBorders>
            <w:shd w:val="clear" w:color="auto" w:fill="auto"/>
            <w:vAlign w:val="center"/>
            <w:hideMark/>
          </w:tcPr>
          <w:p w14:paraId="590F64B7"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2 653,1 </w:t>
            </w:r>
          </w:p>
        </w:tc>
        <w:tc>
          <w:tcPr>
            <w:tcW w:w="1134" w:type="dxa"/>
            <w:tcBorders>
              <w:top w:val="nil"/>
              <w:left w:val="nil"/>
              <w:bottom w:val="single" w:sz="4" w:space="0" w:color="auto"/>
              <w:right w:val="single" w:sz="4" w:space="0" w:color="auto"/>
            </w:tcBorders>
            <w:shd w:val="clear" w:color="auto" w:fill="auto"/>
            <w:vAlign w:val="center"/>
            <w:hideMark/>
          </w:tcPr>
          <w:p w14:paraId="3E97B212"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0,100 </w:t>
            </w:r>
          </w:p>
        </w:tc>
        <w:tc>
          <w:tcPr>
            <w:tcW w:w="992" w:type="dxa"/>
            <w:tcBorders>
              <w:top w:val="nil"/>
              <w:left w:val="nil"/>
              <w:bottom w:val="single" w:sz="4" w:space="0" w:color="auto"/>
              <w:right w:val="single" w:sz="4" w:space="0" w:color="auto"/>
            </w:tcBorders>
            <w:shd w:val="clear" w:color="auto" w:fill="auto"/>
            <w:vAlign w:val="center"/>
            <w:hideMark/>
          </w:tcPr>
          <w:p w14:paraId="5C974477"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8 513,7 </w:t>
            </w:r>
          </w:p>
        </w:tc>
        <w:tc>
          <w:tcPr>
            <w:tcW w:w="992" w:type="dxa"/>
            <w:tcBorders>
              <w:top w:val="nil"/>
              <w:left w:val="nil"/>
              <w:bottom w:val="single" w:sz="4" w:space="0" w:color="auto"/>
              <w:right w:val="single" w:sz="4" w:space="0" w:color="auto"/>
            </w:tcBorders>
            <w:shd w:val="clear" w:color="auto" w:fill="auto"/>
            <w:vAlign w:val="center"/>
            <w:hideMark/>
          </w:tcPr>
          <w:p w14:paraId="322A6099"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11 166,8 </w:t>
            </w:r>
          </w:p>
        </w:tc>
        <w:tc>
          <w:tcPr>
            <w:tcW w:w="992" w:type="dxa"/>
            <w:tcBorders>
              <w:top w:val="nil"/>
              <w:left w:val="nil"/>
              <w:bottom w:val="single" w:sz="4" w:space="0" w:color="auto"/>
              <w:right w:val="single" w:sz="4" w:space="0" w:color="auto"/>
            </w:tcBorders>
            <w:shd w:val="clear" w:color="auto" w:fill="auto"/>
            <w:vAlign w:val="center"/>
            <w:hideMark/>
          </w:tcPr>
          <w:p w14:paraId="1EC89F7B"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 </w:t>
            </w:r>
          </w:p>
        </w:tc>
        <w:tc>
          <w:tcPr>
            <w:tcW w:w="1135" w:type="dxa"/>
            <w:tcBorders>
              <w:top w:val="nil"/>
              <w:left w:val="nil"/>
              <w:bottom w:val="single" w:sz="4" w:space="0" w:color="auto"/>
              <w:right w:val="single" w:sz="4" w:space="0" w:color="auto"/>
            </w:tcBorders>
            <w:shd w:val="clear" w:color="auto" w:fill="auto"/>
            <w:vAlign w:val="center"/>
            <w:hideMark/>
          </w:tcPr>
          <w:p w14:paraId="119AF99E"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0,000 </w:t>
            </w:r>
          </w:p>
        </w:tc>
        <w:tc>
          <w:tcPr>
            <w:tcW w:w="1134" w:type="dxa"/>
            <w:tcBorders>
              <w:top w:val="nil"/>
              <w:left w:val="nil"/>
              <w:bottom w:val="single" w:sz="4" w:space="0" w:color="auto"/>
              <w:right w:val="double" w:sz="6" w:space="0" w:color="auto"/>
            </w:tcBorders>
            <w:shd w:val="clear" w:color="auto" w:fill="auto"/>
            <w:vAlign w:val="center"/>
            <w:hideMark/>
          </w:tcPr>
          <w:p w14:paraId="0166E444" w14:textId="77777777" w:rsidR="002F7314" w:rsidRPr="00FD7B0B" w:rsidRDefault="002F7314" w:rsidP="00211FD2">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9,1 </w:t>
            </w:r>
          </w:p>
        </w:tc>
      </w:tr>
      <w:tr w:rsidR="002F7314" w:rsidRPr="00FD7B0B" w14:paraId="07BE3D50" w14:textId="77777777" w:rsidTr="007C24CB">
        <w:trPr>
          <w:trHeight w:val="39"/>
        </w:trPr>
        <w:tc>
          <w:tcPr>
            <w:tcW w:w="2245" w:type="dxa"/>
            <w:tcBorders>
              <w:top w:val="nil"/>
              <w:left w:val="double" w:sz="6" w:space="0" w:color="auto"/>
              <w:bottom w:val="double" w:sz="6" w:space="0" w:color="auto"/>
              <w:right w:val="single" w:sz="4" w:space="0" w:color="auto"/>
            </w:tcBorders>
            <w:shd w:val="clear" w:color="auto" w:fill="auto"/>
            <w:vAlign w:val="center"/>
            <w:hideMark/>
          </w:tcPr>
          <w:p w14:paraId="026844C3" w14:textId="77777777" w:rsidR="002F7314" w:rsidRPr="00FD7B0B" w:rsidRDefault="002F7314" w:rsidP="00211FD2">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w:t>
            </w:r>
          </w:p>
        </w:tc>
        <w:tc>
          <w:tcPr>
            <w:tcW w:w="992" w:type="dxa"/>
            <w:tcBorders>
              <w:top w:val="nil"/>
              <w:left w:val="nil"/>
              <w:bottom w:val="double" w:sz="6" w:space="0" w:color="auto"/>
              <w:right w:val="single" w:sz="4" w:space="0" w:color="auto"/>
            </w:tcBorders>
            <w:shd w:val="clear" w:color="auto" w:fill="auto"/>
            <w:vAlign w:val="center"/>
            <w:hideMark/>
          </w:tcPr>
          <w:p w14:paraId="75229B5E" w14:textId="77777777" w:rsidR="002F7314" w:rsidRPr="00FD7B0B" w:rsidRDefault="002F7314" w:rsidP="00211FD2">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44 648,2 </w:t>
            </w:r>
          </w:p>
        </w:tc>
        <w:tc>
          <w:tcPr>
            <w:tcW w:w="1134" w:type="dxa"/>
            <w:tcBorders>
              <w:top w:val="nil"/>
              <w:left w:val="nil"/>
              <w:bottom w:val="double" w:sz="6" w:space="0" w:color="auto"/>
              <w:right w:val="single" w:sz="4" w:space="0" w:color="auto"/>
            </w:tcBorders>
            <w:shd w:val="clear" w:color="auto" w:fill="auto"/>
            <w:vAlign w:val="center"/>
            <w:hideMark/>
          </w:tcPr>
          <w:p w14:paraId="4BAF5DA3" w14:textId="77777777" w:rsidR="002F7314" w:rsidRPr="00FD7B0B" w:rsidRDefault="002F7314" w:rsidP="00211FD2">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0,393 </w:t>
            </w:r>
          </w:p>
        </w:tc>
        <w:tc>
          <w:tcPr>
            <w:tcW w:w="992" w:type="dxa"/>
            <w:tcBorders>
              <w:top w:val="nil"/>
              <w:left w:val="nil"/>
              <w:bottom w:val="double" w:sz="6" w:space="0" w:color="auto"/>
              <w:right w:val="single" w:sz="4" w:space="0" w:color="auto"/>
            </w:tcBorders>
            <w:shd w:val="clear" w:color="auto" w:fill="auto"/>
            <w:vAlign w:val="center"/>
            <w:hideMark/>
          </w:tcPr>
          <w:p w14:paraId="21A803C5" w14:textId="77777777" w:rsidR="002F7314" w:rsidRPr="00FD7B0B" w:rsidRDefault="002F7314" w:rsidP="00211FD2">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9 503,2 </w:t>
            </w:r>
          </w:p>
        </w:tc>
        <w:tc>
          <w:tcPr>
            <w:tcW w:w="992" w:type="dxa"/>
            <w:tcBorders>
              <w:top w:val="nil"/>
              <w:left w:val="nil"/>
              <w:bottom w:val="double" w:sz="6" w:space="0" w:color="auto"/>
              <w:right w:val="single" w:sz="4" w:space="0" w:color="auto"/>
            </w:tcBorders>
            <w:shd w:val="clear" w:color="auto" w:fill="auto"/>
            <w:vAlign w:val="center"/>
            <w:hideMark/>
          </w:tcPr>
          <w:p w14:paraId="45A54FF8" w14:textId="77777777" w:rsidR="002F7314" w:rsidRPr="00FD7B0B" w:rsidRDefault="002F7314" w:rsidP="00211FD2">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12 066,2 </w:t>
            </w:r>
          </w:p>
        </w:tc>
        <w:tc>
          <w:tcPr>
            <w:tcW w:w="992" w:type="dxa"/>
            <w:tcBorders>
              <w:top w:val="nil"/>
              <w:left w:val="nil"/>
              <w:bottom w:val="double" w:sz="6" w:space="0" w:color="auto"/>
              <w:right w:val="single" w:sz="4" w:space="0" w:color="auto"/>
            </w:tcBorders>
            <w:shd w:val="clear" w:color="auto" w:fill="auto"/>
            <w:vAlign w:val="center"/>
            <w:hideMark/>
          </w:tcPr>
          <w:p w14:paraId="71F9A7CB" w14:textId="77777777" w:rsidR="002F7314" w:rsidRPr="00FD7B0B" w:rsidRDefault="002F7314" w:rsidP="00211FD2">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42 085,2 </w:t>
            </w:r>
          </w:p>
        </w:tc>
        <w:tc>
          <w:tcPr>
            <w:tcW w:w="1135" w:type="dxa"/>
            <w:tcBorders>
              <w:top w:val="nil"/>
              <w:left w:val="nil"/>
              <w:bottom w:val="double" w:sz="6" w:space="0" w:color="auto"/>
              <w:right w:val="single" w:sz="4" w:space="0" w:color="auto"/>
            </w:tcBorders>
            <w:shd w:val="clear" w:color="auto" w:fill="auto"/>
            <w:vAlign w:val="center"/>
            <w:hideMark/>
          </w:tcPr>
          <w:p w14:paraId="11A71A9F" w14:textId="77777777" w:rsidR="002F7314" w:rsidRPr="00FD7B0B" w:rsidRDefault="002F7314" w:rsidP="00211FD2">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0,478 </w:t>
            </w:r>
          </w:p>
        </w:tc>
        <w:tc>
          <w:tcPr>
            <w:tcW w:w="1134" w:type="dxa"/>
            <w:tcBorders>
              <w:top w:val="nil"/>
              <w:left w:val="nil"/>
              <w:bottom w:val="double" w:sz="6" w:space="0" w:color="auto"/>
              <w:right w:val="double" w:sz="6" w:space="0" w:color="auto"/>
            </w:tcBorders>
            <w:shd w:val="clear" w:color="auto" w:fill="auto"/>
            <w:vAlign w:val="center"/>
            <w:hideMark/>
          </w:tcPr>
          <w:p w14:paraId="52B5139D" w14:textId="77777777" w:rsidR="002F7314" w:rsidRPr="00FD7B0B" w:rsidRDefault="002F7314" w:rsidP="00211FD2">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204,9 </w:t>
            </w:r>
          </w:p>
        </w:tc>
      </w:tr>
    </w:tbl>
    <w:p w14:paraId="2842E049" w14:textId="77777777" w:rsidR="002F7314" w:rsidRPr="00FD7B0B" w:rsidRDefault="002F7314" w:rsidP="007C24CB">
      <w:pPr>
        <w:spacing w:after="0" w:line="240" w:lineRule="auto"/>
        <w:ind w:firstLine="709"/>
        <w:jc w:val="both"/>
        <w:rPr>
          <w:rFonts w:ascii="Times New Roman" w:eastAsia="Calibri" w:hAnsi="Times New Roman" w:cs="Times New Roman"/>
          <w:sz w:val="28"/>
          <w:szCs w:val="28"/>
        </w:rPr>
      </w:pPr>
    </w:p>
    <w:p w14:paraId="28A3092B" w14:textId="084DE470" w:rsidR="002F7314" w:rsidRPr="00FD7B0B" w:rsidRDefault="002F7314" w:rsidP="007C24C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Привлечение бюджетных кредитов за 2024 год составило в общей</w:t>
      </w:r>
      <w:r w:rsidR="007C24CB" w:rsidRPr="00FD7B0B">
        <w:rPr>
          <w:rFonts w:ascii="Times New Roman" w:eastAsia="Calibri" w:hAnsi="Times New Roman" w:cs="Times New Roman"/>
          <w:sz w:val="28"/>
          <w:szCs w:val="28"/>
        </w:rPr>
        <w:t xml:space="preserve"> сумме </w:t>
      </w:r>
      <w:r w:rsidR="00186383" w:rsidRPr="00FD7B0B">
        <w:rPr>
          <w:rFonts w:ascii="Times New Roman" w:eastAsia="Calibri" w:hAnsi="Times New Roman" w:cs="Times New Roman"/>
          <w:sz w:val="28"/>
          <w:szCs w:val="28"/>
        </w:rPr>
        <w:t>9 503,2</w:t>
      </w:r>
      <w:r w:rsidR="007C24CB" w:rsidRPr="00FD7B0B">
        <w:rPr>
          <w:rFonts w:ascii="Times New Roman" w:eastAsia="Calibri" w:hAnsi="Times New Roman" w:cs="Times New Roman"/>
          <w:sz w:val="28"/>
          <w:szCs w:val="28"/>
        </w:rPr>
        <w:t xml:space="preserve"> млн.руб., в том числе</w:t>
      </w:r>
      <w:r w:rsidRPr="00FD7B0B">
        <w:rPr>
          <w:rFonts w:ascii="Times New Roman" w:eastAsia="Calibri" w:hAnsi="Times New Roman" w:cs="Times New Roman"/>
          <w:sz w:val="28"/>
          <w:szCs w:val="28"/>
        </w:rPr>
        <w:t>:</w:t>
      </w:r>
    </w:p>
    <w:p w14:paraId="11A37663" w14:textId="02E26FEE" w:rsidR="002F7314" w:rsidRPr="00FD7B0B" w:rsidRDefault="002F7314" w:rsidP="007C24C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1) </w:t>
      </w:r>
      <w:r w:rsidR="007C24CB" w:rsidRPr="00FD7B0B">
        <w:rPr>
          <w:rFonts w:ascii="Times New Roman" w:eastAsia="Calibri" w:hAnsi="Times New Roman" w:cs="Times New Roman"/>
          <w:sz w:val="28"/>
          <w:szCs w:val="28"/>
        </w:rPr>
        <w:t>В</w:t>
      </w:r>
      <w:r w:rsidRPr="00FD7B0B">
        <w:rPr>
          <w:rFonts w:ascii="Times New Roman" w:eastAsia="Calibri" w:hAnsi="Times New Roman" w:cs="Times New Roman"/>
          <w:sz w:val="28"/>
          <w:szCs w:val="28"/>
        </w:rPr>
        <w:t xml:space="preserve"> УФК по Архангельской области и Ненецкому автономному округу на пополнение остатка средств на едином счете бюджета, согласно заключенному договору от 27.12.2023</w:t>
      </w:r>
      <w:r w:rsidR="00DA24F5" w:rsidRPr="00FD7B0B">
        <w:rPr>
          <w:rFonts w:ascii="Times New Roman" w:eastAsia="Calibri" w:hAnsi="Times New Roman" w:cs="Times New Roman"/>
          <w:sz w:val="28"/>
          <w:szCs w:val="28"/>
        </w:rPr>
        <w:t xml:space="preserve"> (с учетом дополнительных соглашений)</w:t>
      </w:r>
      <w:r w:rsidRPr="00FD7B0B">
        <w:rPr>
          <w:rFonts w:ascii="Times New Roman" w:eastAsia="Calibri" w:hAnsi="Times New Roman" w:cs="Times New Roman"/>
          <w:sz w:val="28"/>
          <w:szCs w:val="28"/>
        </w:rPr>
        <w:t>, по ставке 0,1 % годовых – 8 513,7 млн.руб., из них в I квартале 2024 г</w:t>
      </w:r>
      <w:r w:rsidR="007C24CB" w:rsidRPr="00FD7B0B">
        <w:rPr>
          <w:rFonts w:ascii="Times New Roman" w:eastAsia="Calibri" w:hAnsi="Times New Roman" w:cs="Times New Roman"/>
          <w:sz w:val="28"/>
          <w:szCs w:val="28"/>
        </w:rPr>
        <w:t>ода</w:t>
      </w:r>
      <w:r w:rsidRPr="00FD7B0B">
        <w:rPr>
          <w:rFonts w:ascii="Times New Roman" w:eastAsia="Calibri" w:hAnsi="Times New Roman" w:cs="Times New Roman"/>
          <w:sz w:val="28"/>
          <w:szCs w:val="28"/>
        </w:rPr>
        <w:t xml:space="preserve"> – 6 273,7 млн.руб., в III квартале – 2 240,0 млн.руб.</w:t>
      </w:r>
    </w:p>
    <w:p w14:paraId="47017D8B" w14:textId="4DD2869B" w:rsidR="002F7314" w:rsidRPr="00FD7B0B" w:rsidRDefault="002F7314" w:rsidP="00DA24F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2) </w:t>
      </w:r>
      <w:r w:rsidR="00C4105F" w:rsidRPr="00FD7B0B">
        <w:rPr>
          <w:rFonts w:ascii="Times New Roman" w:eastAsia="Calibri" w:hAnsi="Times New Roman" w:cs="Times New Roman"/>
          <w:sz w:val="28"/>
          <w:szCs w:val="28"/>
        </w:rPr>
        <w:t>В</w:t>
      </w:r>
      <w:r w:rsidRPr="00FD7B0B">
        <w:rPr>
          <w:rFonts w:ascii="Times New Roman" w:eastAsia="Calibri" w:hAnsi="Times New Roman" w:cs="Times New Roman"/>
          <w:sz w:val="28"/>
          <w:szCs w:val="28"/>
        </w:rPr>
        <w:t xml:space="preserve"> Минфине России на основании соглашения от 19.03.2024 на финансовое обеспечение реализации инфраструктурных проектов, по ставке 3 % годовых – 989,5 млн.руб. с ежегодным </w:t>
      </w:r>
      <w:r w:rsidR="00C4105F" w:rsidRPr="00FD7B0B">
        <w:rPr>
          <w:rFonts w:ascii="Times New Roman" w:eastAsia="Calibri" w:hAnsi="Times New Roman" w:cs="Times New Roman"/>
          <w:sz w:val="28"/>
          <w:szCs w:val="28"/>
        </w:rPr>
        <w:t>погашением</w:t>
      </w:r>
      <w:r w:rsidRPr="00FD7B0B">
        <w:rPr>
          <w:rFonts w:ascii="Times New Roman" w:eastAsia="Calibri" w:hAnsi="Times New Roman" w:cs="Times New Roman"/>
          <w:sz w:val="28"/>
          <w:szCs w:val="28"/>
        </w:rPr>
        <w:t xml:space="preserve"> до 2039 года.</w:t>
      </w:r>
    </w:p>
    <w:p w14:paraId="1F3A2593" w14:textId="7A0A5231" w:rsidR="002F7314" w:rsidRPr="00FD7B0B" w:rsidRDefault="002F7314" w:rsidP="00C4105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Возврат бюджетных кредитов за 2024 год составил в общей</w:t>
      </w:r>
      <w:r w:rsidR="00C4105F" w:rsidRPr="00FD7B0B">
        <w:rPr>
          <w:rFonts w:ascii="Times New Roman" w:eastAsia="Calibri" w:hAnsi="Times New Roman" w:cs="Times New Roman"/>
          <w:sz w:val="28"/>
          <w:szCs w:val="28"/>
        </w:rPr>
        <w:t xml:space="preserve"> сумме </w:t>
      </w:r>
      <w:r w:rsidR="00186383" w:rsidRPr="00FD7B0B">
        <w:rPr>
          <w:rFonts w:ascii="Times New Roman" w:eastAsia="Calibri" w:hAnsi="Times New Roman" w:cs="Times New Roman"/>
          <w:sz w:val="28"/>
          <w:szCs w:val="28"/>
        </w:rPr>
        <w:t>12 066,2</w:t>
      </w:r>
      <w:r w:rsidR="00C4105F" w:rsidRPr="00FD7B0B">
        <w:rPr>
          <w:rFonts w:ascii="Times New Roman" w:eastAsia="Calibri" w:hAnsi="Times New Roman" w:cs="Times New Roman"/>
          <w:sz w:val="28"/>
          <w:szCs w:val="28"/>
        </w:rPr>
        <w:t xml:space="preserve"> млн.руб., в том числе</w:t>
      </w:r>
      <w:r w:rsidRPr="00FD7B0B">
        <w:rPr>
          <w:rFonts w:ascii="Times New Roman" w:eastAsia="Calibri" w:hAnsi="Times New Roman" w:cs="Times New Roman"/>
          <w:sz w:val="28"/>
          <w:szCs w:val="28"/>
        </w:rPr>
        <w:t>:</w:t>
      </w:r>
    </w:p>
    <w:p w14:paraId="14C03758" w14:textId="7423F48C" w:rsidR="002F7314" w:rsidRPr="00FD7B0B" w:rsidRDefault="002F7314" w:rsidP="00C4105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1) По договорам с УФК по Архангельской области и НАО от 16.01.2023 и 27.12.2023 – 11 166,8 млн.руб. (ставка – 0,1 % годовых), в т.ч. в установленный срок (27.04.2024) погашена задолженность, образовавшая на начало 2024 года – 2 653,1 тыс.руб., </w:t>
      </w:r>
      <w:r w:rsidR="00186383" w:rsidRPr="00FD7B0B">
        <w:rPr>
          <w:rFonts w:ascii="Times New Roman" w:eastAsia="Calibri" w:hAnsi="Times New Roman" w:cs="Times New Roman"/>
          <w:sz w:val="28"/>
          <w:szCs w:val="28"/>
        </w:rPr>
        <w:t xml:space="preserve">а также </w:t>
      </w:r>
      <w:r w:rsidRPr="00FD7B0B">
        <w:rPr>
          <w:rFonts w:ascii="Times New Roman" w:eastAsia="Calibri" w:hAnsi="Times New Roman" w:cs="Times New Roman"/>
          <w:sz w:val="28"/>
          <w:szCs w:val="28"/>
        </w:rPr>
        <w:t>средства, привлеченны</w:t>
      </w:r>
      <w:r w:rsidR="00186383" w:rsidRPr="00FD7B0B">
        <w:rPr>
          <w:rFonts w:ascii="Times New Roman" w:eastAsia="Calibri" w:hAnsi="Times New Roman" w:cs="Times New Roman"/>
          <w:sz w:val="28"/>
          <w:szCs w:val="28"/>
        </w:rPr>
        <w:t>е</w:t>
      </w:r>
      <w:r w:rsidRPr="00FD7B0B">
        <w:rPr>
          <w:rFonts w:ascii="Times New Roman" w:eastAsia="Calibri" w:hAnsi="Times New Roman" w:cs="Times New Roman"/>
          <w:sz w:val="28"/>
          <w:szCs w:val="28"/>
        </w:rPr>
        <w:t xml:space="preserve"> в 2024 году </w:t>
      </w:r>
      <w:r w:rsidR="00186383" w:rsidRPr="00FD7B0B">
        <w:rPr>
          <w:rFonts w:ascii="Times New Roman" w:eastAsia="Calibri" w:hAnsi="Times New Roman" w:cs="Times New Roman"/>
          <w:sz w:val="28"/>
          <w:szCs w:val="28"/>
        </w:rPr>
        <w:t>в сумме</w:t>
      </w:r>
      <w:r w:rsidRPr="00FD7B0B">
        <w:rPr>
          <w:rFonts w:ascii="Times New Roman" w:eastAsia="Calibri" w:hAnsi="Times New Roman" w:cs="Times New Roman"/>
          <w:sz w:val="28"/>
          <w:szCs w:val="28"/>
        </w:rPr>
        <w:t xml:space="preserve"> 8 513,7 тыс.руб.;</w:t>
      </w:r>
    </w:p>
    <w:p w14:paraId="2D17F4A0" w14:textId="77777777" w:rsidR="002F7314" w:rsidRPr="00FD7B0B" w:rsidRDefault="002F7314" w:rsidP="00E44452">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2) По 9 соглашениям, заключенным с Минфином России с 2010 по 2024 годы – 899,3 млн.руб., из них:</w:t>
      </w:r>
    </w:p>
    <w:p w14:paraId="0B1066CF" w14:textId="77777777" w:rsidR="002F7314" w:rsidRPr="00FD7B0B" w:rsidRDefault="002F7314" w:rsidP="0063072B">
      <w:pPr>
        <w:pStyle w:val="a8"/>
        <w:numPr>
          <w:ilvl w:val="0"/>
          <w:numId w:val="9"/>
        </w:numPr>
        <w:ind w:left="0" w:firstLine="709"/>
        <w:jc w:val="both"/>
        <w:rPr>
          <w:sz w:val="28"/>
          <w:szCs w:val="28"/>
        </w:rPr>
      </w:pPr>
      <w:r w:rsidRPr="00FD7B0B">
        <w:rPr>
          <w:sz w:val="28"/>
          <w:szCs w:val="28"/>
        </w:rPr>
        <w:t>23,7 млн.руб. (1 соглашение, ставка 0,1 % годовых), выделенные на реализацию мероприятий по поддержке монопрофильных муниципальных образований (для ГО «Северодвинск»), срок гашения с 2023 по 2032 годы;</w:t>
      </w:r>
    </w:p>
    <w:p w14:paraId="0F44CE05" w14:textId="77777777" w:rsidR="002F7314" w:rsidRPr="00FD7B0B" w:rsidRDefault="002F7314" w:rsidP="0063072B">
      <w:pPr>
        <w:pStyle w:val="a8"/>
        <w:numPr>
          <w:ilvl w:val="0"/>
          <w:numId w:val="9"/>
        </w:numPr>
        <w:ind w:left="0" w:firstLine="709"/>
        <w:jc w:val="both"/>
        <w:rPr>
          <w:sz w:val="28"/>
          <w:szCs w:val="28"/>
        </w:rPr>
      </w:pPr>
      <w:r w:rsidRPr="00FD7B0B">
        <w:rPr>
          <w:sz w:val="28"/>
          <w:szCs w:val="28"/>
        </w:rPr>
        <w:t>770,0 млн.руб. (4 соглашения, ставка 0,1 % годовых), выделенные на частичное покрытие дефицита бюджета, в том числе на замещение кредитов кредитных организаций в 2015 – 2017 годах, сроком гашения до 2029 года, из них 577,5 тыс.руб. в виде досрочного погашения в связи с невыполнением условий, заключенных соглашений;</w:t>
      </w:r>
    </w:p>
    <w:p w14:paraId="5DA05FD8" w14:textId="2152C8D0" w:rsidR="002F7314" w:rsidRPr="00FD7B0B" w:rsidRDefault="002F7314" w:rsidP="0063072B">
      <w:pPr>
        <w:pStyle w:val="a8"/>
        <w:numPr>
          <w:ilvl w:val="0"/>
          <w:numId w:val="9"/>
        </w:numPr>
        <w:ind w:left="0" w:firstLine="709"/>
        <w:jc w:val="both"/>
        <w:rPr>
          <w:sz w:val="28"/>
          <w:szCs w:val="28"/>
        </w:rPr>
      </w:pPr>
      <w:r w:rsidRPr="00FD7B0B">
        <w:rPr>
          <w:sz w:val="28"/>
          <w:szCs w:val="28"/>
        </w:rPr>
        <w:t>83,3 млн.руб. (соглашение от 14.12.2020 № 01-01-06/06-1007, ставка 0,1 % годовых), выделенные для погашения бюджетных кредитов на пополнение остатков средств на счетах бюджетов субъектов РФ в 2020 году, сроком гашения до 2029 года</w:t>
      </w:r>
      <w:r w:rsidR="00C517A4" w:rsidRPr="00FD7B0B">
        <w:rPr>
          <w:sz w:val="28"/>
          <w:szCs w:val="28"/>
        </w:rPr>
        <w:t>;</w:t>
      </w:r>
    </w:p>
    <w:p w14:paraId="6C89CCFD" w14:textId="08CF7AB2" w:rsidR="002F7314" w:rsidRPr="00FD7B0B" w:rsidRDefault="002F7314" w:rsidP="0063072B">
      <w:pPr>
        <w:pStyle w:val="a8"/>
        <w:numPr>
          <w:ilvl w:val="0"/>
          <w:numId w:val="9"/>
        </w:numPr>
        <w:ind w:left="0" w:firstLine="709"/>
        <w:jc w:val="both"/>
        <w:rPr>
          <w:sz w:val="28"/>
          <w:szCs w:val="28"/>
        </w:rPr>
      </w:pPr>
      <w:r w:rsidRPr="00FD7B0B">
        <w:rPr>
          <w:sz w:val="28"/>
          <w:szCs w:val="28"/>
        </w:rPr>
        <w:t xml:space="preserve">22,3 млн.руб. (3 соглашения, ставка 3 % годовых), выделенные на финансовое обеспечение реализации инфраструктурных проектов, </w:t>
      </w:r>
      <w:r w:rsidR="00186383" w:rsidRPr="00FD7B0B">
        <w:rPr>
          <w:sz w:val="28"/>
          <w:szCs w:val="28"/>
        </w:rPr>
        <w:t xml:space="preserve">общим </w:t>
      </w:r>
      <w:r w:rsidRPr="00FD7B0B">
        <w:rPr>
          <w:sz w:val="28"/>
          <w:szCs w:val="28"/>
        </w:rPr>
        <w:t xml:space="preserve">сроком </w:t>
      </w:r>
      <w:r w:rsidR="00A62552" w:rsidRPr="00FD7B0B">
        <w:rPr>
          <w:sz w:val="28"/>
          <w:szCs w:val="28"/>
        </w:rPr>
        <w:t>погашения</w:t>
      </w:r>
      <w:r w:rsidRPr="00FD7B0B">
        <w:rPr>
          <w:sz w:val="28"/>
          <w:szCs w:val="28"/>
        </w:rPr>
        <w:t xml:space="preserve"> </w:t>
      </w:r>
      <w:r w:rsidR="00186383" w:rsidRPr="00FD7B0B">
        <w:rPr>
          <w:sz w:val="28"/>
          <w:szCs w:val="28"/>
        </w:rPr>
        <w:t xml:space="preserve">до 2037 – </w:t>
      </w:r>
      <w:r w:rsidRPr="00FD7B0B">
        <w:rPr>
          <w:sz w:val="28"/>
          <w:szCs w:val="28"/>
        </w:rPr>
        <w:t>2039 год</w:t>
      </w:r>
      <w:r w:rsidR="00186383" w:rsidRPr="00FD7B0B">
        <w:rPr>
          <w:sz w:val="28"/>
          <w:szCs w:val="28"/>
        </w:rPr>
        <w:t>ов</w:t>
      </w:r>
      <w:r w:rsidRPr="00FD7B0B">
        <w:rPr>
          <w:sz w:val="28"/>
          <w:szCs w:val="28"/>
        </w:rPr>
        <w:t>.</w:t>
      </w:r>
    </w:p>
    <w:p w14:paraId="7D89F8D9" w14:textId="0534092D" w:rsidR="002F7314" w:rsidRPr="00FD7B0B" w:rsidRDefault="002F7314" w:rsidP="00A62552">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В результате по состоянию на 01.01.2025 долговые обязательства Архангельской области в виде бюджетных кредитов, предоставленных из федерального бюджета, сложились в общей сумме 42 085,2 млн.руб., при средневзвешенной ставке 0,478 % годовых, которая с начала года увеличилась на 0,085 процентных пункта (на 01.01.2023 – 0,393 % годовых) перед следующими кредиторами:</w:t>
      </w:r>
    </w:p>
    <w:p w14:paraId="311C8F40" w14:textId="0B0A632B" w:rsidR="002F7314" w:rsidRPr="00FD7B0B" w:rsidRDefault="002F7314" w:rsidP="00A62552">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1) Минфин России – 39 576,1 млн.руб., по 14 соглашениям, со средневзвешенной</w:t>
      </w:r>
      <w:r w:rsidR="00334E65" w:rsidRPr="00FD7B0B">
        <w:rPr>
          <w:rFonts w:ascii="Times New Roman" w:eastAsia="Calibri" w:hAnsi="Times New Roman" w:cs="Times New Roman"/>
          <w:sz w:val="28"/>
          <w:szCs w:val="28"/>
        </w:rPr>
        <w:t xml:space="preserve"> ставкой 0,318 % годовых, в том числе</w:t>
      </w:r>
      <w:r w:rsidRPr="00FD7B0B">
        <w:rPr>
          <w:rFonts w:ascii="Times New Roman" w:eastAsia="Calibri" w:hAnsi="Times New Roman" w:cs="Times New Roman"/>
          <w:sz w:val="28"/>
          <w:szCs w:val="28"/>
        </w:rPr>
        <w:t>:</w:t>
      </w:r>
    </w:p>
    <w:p w14:paraId="2FB04BD0" w14:textId="09DC3F31" w:rsidR="002F7314" w:rsidRPr="00FD7B0B" w:rsidRDefault="002F7314" w:rsidP="00334E6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а) по ставке 0,1 % годовых – 36 600,5 млн.руб., по 11 соглашениям, заключе</w:t>
      </w:r>
      <w:r w:rsidR="00334E65" w:rsidRPr="00FD7B0B">
        <w:rPr>
          <w:rFonts w:ascii="Times New Roman" w:eastAsia="Calibri" w:hAnsi="Times New Roman" w:cs="Times New Roman"/>
          <w:sz w:val="28"/>
          <w:szCs w:val="28"/>
        </w:rPr>
        <w:t>нным с 2010 по 2022 годы, в том числе</w:t>
      </w:r>
      <w:r w:rsidRPr="00FD7B0B">
        <w:rPr>
          <w:rFonts w:ascii="Times New Roman" w:eastAsia="Calibri" w:hAnsi="Times New Roman" w:cs="Times New Roman"/>
          <w:sz w:val="28"/>
          <w:szCs w:val="28"/>
        </w:rPr>
        <w:t>:</w:t>
      </w:r>
    </w:p>
    <w:p w14:paraId="195941EE" w14:textId="434AE3C4" w:rsidR="002F7314" w:rsidRPr="00FD7B0B" w:rsidRDefault="002F7314" w:rsidP="0063072B">
      <w:pPr>
        <w:pStyle w:val="a8"/>
        <w:numPr>
          <w:ilvl w:val="0"/>
          <w:numId w:val="9"/>
        </w:numPr>
        <w:ind w:left="0" w:firstLine="709"/>
        <w:jc w:val="both"/>
        <w:rPr>
          <w:sz w:val="28"/>
          <w:szCs w:val="28"/>
        </w:rPr>
      </w:pPr>
      <w:r w:rsidRPr="00FD7B0B">
        <w:rPr>
          <w:sz w:val="28"/>
          <w:szCs w:val="28"/>
        </w:rPr>
        <w:t xml:space="preserve">2 566,1 млн.руб., выделенные </w:t>
      </w:r>
      <w:r w:rsidR="00334E65" w:rsidRPr="00FD7B0B">
        <w:rPr>
          <w:sz w:val="28"/>
          <w:szCs w:val="28"/>
        </w:rPr>
        <w:t xml:space="preserve">в </w:t>
      </w:r>
      <w:r w:rsidRPr="00FD7B0B">
        <w:rPr>
          <w:sz w:val="28"/>
          <w:szCs w:val="28"/>
        </w:rPr>
        <w:t>2010 – 2011 годах на строительство, реконструкцию, кап. ремонт, ремонт и содержание авто</w:t>
      </w:r>
      <w:r w:rsidR="00334E65" w:rsidRPr="00FD7B0B">
        <w:rPr>
          <w:sz w:val="28"/>
          <w:szCs w:val="28"/>
        </w:rPr>
        <w:t xml:space="preserve">мобильных </w:t>
      </w:r>
      <w:r w:rsidRPr="00FD7B0B">
        <w:rPr>
          <w:sz w:val="28"/>
          <w:szCs w:val="28"/>
        </w:rPr>
        <w:t xml:space="preserve">дорог, сроком </w:t>
      </w:r>
      <w:r w:rsidR="00334E65" w:rsidRPr="00FD7B0B">
        <w:rPr>
          <w:sz w:val="28"/>
          <w:szCs w:val="28"/>
        </w:rPr>
        <w:t>возврата</w:t>
      </w:r>
      <w:r w:rsidRPr="00FD7B0B">
        <w:rPr>
          <w:sz w:val="28"/>
          <w:szCs w:val="28"/>
        </w:rPr>
        <w:t xml:space="preserve"> с 2025 по 2034 годы;</w:t>
      </w:r>
    </w:p>
    <w:p w14:paraId="1043195C" w14:textId="0E09AB85" w:rsidR="002F7314" w:rsidRPr="00FD7B0B" w:rsidRDefault="002F7314" w:rsidP="0063072B">
      <w:pPr>
        <w:pStyle w:val="a8"/>
        <w:numPr>
          <w:ilvl w:val="0"/>
          <w:numId w:val="9"/>
        </w:numPr>
        <w:ind w:left="0" w:firstLine="709"/>
        <w:jc w:val="both"/>
        <w:rPr>
          <w:sz w:val="28"/>
          <w:szCs w:val="28"/>
        </w:rPr>
      </w:pPr>
      <w:r w:rsidRPr="00FD7B0B">
        <w:rPr>
          <w:sz w:val="28"/>
          <w:szCs w:val="28"/>
        </w:rPr>
        <w:t xml:space="preserve">616,3 млн.руб., выделенные в декабре 2010 года на реализацию мероприятий по поддержке монопрофильных муниципальных образований (для ГО «Северодвинск»), сроком </w:t>
      </w:r>
      <w:r w:rsidR="00E304B4" w:rsidRPr="00FD7B0B">
        <w:rPr>
          <w:sz w:val="28"/>
          <w:szCs w:val="28"/>
        </w:rPr>
        <w:t>возврата</w:t>
      </w:r>
      <w:r w:rsidRPr="00FD7B0B">
        <w:rPr>
          <w:sz w:val="28"/>
          <w:szCs w:val="28"/>
        </w:rPr>
        <w:t xml:space="preserve"> до 2032 годы по 71,1 млн.руб. ежегодно;</w:t>
      </w:r>
    </w:p>
    <w:p w14:paraId="7930A65A" w14:textId="7CBB5185" w:rsidR="002F7314" w:rsidRPr="00FD7B0B" w:rsidRDefault="002F7314" w:rsidP="0063072B">
      <w:pPr>
        <w:pStyle w:val="a8"/>
        <w:numPr>
          <w:ilvl w:val="0"/>
          <w:numId w:val="9"/>
        </w:numPr>
        <w:ind w:left="0" w:firstLine="709"/>
        <w:jc w:val="both"/>
        <w:rPr>
          <w:sz w:val="28"/>
          <w:szCs w:val="28"/>
        </w:rPr>
      </w:pPr>
      <w:r w:rsidRPr="00FD7B0B">
        <w:rPr>
          <w:sz w:val="28"/>
          <w:szCs w:val="28"/>
        </w:rPr>
        <w:t xml:space="preserve">8 469,6 млн.руб., выделенные на частичное покрытие дефицита бюджета (замещение кредитов) в 2015 и 2017 годах, которые были реструктуризированы и срок </w:t>
      </w:r>
      <w:r w:rsidR="004248FD" w:rsidRPr="00FD7B0B">
        <w:rPr>
          <w:sz w:val="28"/>
          <w:szCs w:val="28"/>
        </w:rPr>
        <w:t xml:space="preserve">их </w:t>
      </w:r>
      <w:r w:rsidRPr="00FD7B0B">
        <w:rPr>
          <w:sz w:val="28"/>
          <w:szCs w:val="28"/>
        </w:rPr>
        <w:t>гашения до 2029 года;</w:t>
      </w:r>
    </w:p>
    <w:p w14:paraId="5A6AB2EB" w14:textId="75FE6201" w:rsidR="002F7314" w:rsidRPr="00FD7B0B" w:rsidRDefault="002F7314" w:rsidP="0063072B">
      <w:pPr>
        <w:pStyle w:val="a8"/>
        <w:numPr>
          <w:ilvl w:val="0"/>
          <w:numId w:val="9"/>
        </w:numPr>
        <w:ind w:left="0" w:firstLine="709"/>
        <w:jc w:val="both"/>
        <w:rPr>
          <w:sz w:val="28"/>
          <w:szCs w:val="28"/>
        </w:rPr>
      </w:pPr>
      <w:r w:rsidRPr="00FD7B0B">
        <w:rPr>
          <w:sz w:val="28"/>
          <w:szCs w:val="28"/>
        </w:rPr>
        <w:t>4 416,7 тыс.руб., выделенные в декабре 2020 года для погашения бюджетных кредитов на пополнение остатков</w:t>
      </w:r>
      <w:r w:rsidR="00AF42EE" w:rsidRPr="00FD7B0B">
        <w:rPr>
          <w:sz w:val="28"/>
          <w:szCs w:val="28"/>
        </w:rPr>
        <w:t xml:space="preserve"> средств на счетах бюджетов</w:t>
      </w:r>
      <w:r w:rsidRPr="00FD7B0B">
        <w:rPr>
          <w:sz w:val="28"/>
          <w:szCs w:val="28"/>
        </w:rPr>
        <w:t>, сроком гашения до 2029 года;</w:t>
      </w:r>
    </w:p>
    <w:p w14:paraId="4A5ED4AF" w14:textId="74F57D29" w:rsidR="002F7314" w:rsidRPr="00FD7B0B" w:rsidRDefault="002F7314" w:rsidP="0063072B">
      <w:pPr>
        <w:pStyle w:val="a8"/>
        <w:numPr>
          <w:ilvl w:val="0"/>
          <w:numId w:val="9"/>
        </w:numPr>
        <w:ind w:left="0" w:firstLine="709"/>
        <w:jc w:val="both"/>
        <w:rPr>
          <w:sz w:val="28"/>
          <w:szCs w:val="28"/>
        </w:rPr>
      </w:pPr>
      <w:r w:rsidRPr="00FD7B0B">
        <w:rPr>
          <w:sz w:val="28"/>
          <w:szCs w:val="28"/>
        </w:rPr>
        <w:t>20 531,</w:t>
      </w:r>
      <w:r w:rsidR="00AF42EE" w:rsidRPr="00FD7B0B">
        <w:rPr>
          <w:sz w:val="28"/>
          <w:szCs w:val="28"/>
        </w:rPr>
        <w:t>9</w:t>
      </w:r>
      <w:r w:rsidRPr="00FD7B0B">
        <w:rPr>
          <w:sz w:val="28"/>
          <w:szCs w:val="28"/>
        </w:rPr>
        <w:t xml:space="preserve"> млн.руб. для погашения долговых обязательств субъекта РФ (муниципальн</w:t>
      </w:r>
      <w:r w:rsidR="008F7BB8" w:rsidRPr="00FD7B0B">
        <w:rPr>
          <w:sz w:val="28"/>
          <w:szCs w:val="28"/>
        </w:rPr>
        <w:t>ых образований</w:t>
      </w:r>
      <w:r w:rsidRPr="00FD7B0B">
        <w:rPr>
          <w:sz w:val="28"/>
          <w:szCs w:val="28"/>
        </w:rPr>
        <w:t>) по кредитам от кредитных организаций, выделенные в 2021 – 2022 годах (2 соглашения), из которых 1 599,4 млн.руб. в 2022</w:t>
      </w:r>
      <w:r w:rsidR="004248FD" w:rsidRPr="00FD7B0B">
        <w:rPr>
          <w:sz w:val="28"/>
          <w:szCs w:val="28"/>
        </w:rPr>
        <w:t xml:space="preserve"> году </w:t>
      </w:r>
      <w:r w:rsidR="008F7BB8" w:rsidRPr="00FD7B0B">
        <w:rPr>
          <w:sz w:val="28"/>
          <w:szCs w:val="28"/>
        </w:rPr>
        <w:t>направлены</w:t>
      </w:r>
      <w:r w:rsidR="004248FD" w:rsidRPr="00FD7B0B">
        <w:rPr>
          <w:sz w:val="28"/>
          <w:szCs w:val="28"/>
        </w:rPr>
        <w:t xml:space="preserve"> местным бюджетам</w:t>
      </w:r>
      <w:r w:rsidR="008F7BB8" w:rsidRPr="00FD7B0B">
        <w:rPr>
          <w:sz w:val="28"/>
          <w:szCs w:val="28"/>
        </w:rPr>
        <w:t xml:space="preserve"> на аналогичные цели</w:t>
      </w:r>
      <w:r w:rsidR="004248FD" w:rsidRPr="00FD7B0B">
        <w:rPr>
          <w:sz w:val="28"/>
          <w:szCs w:val="28"/>
        </w:rPr>
        <w:t>.</w:t>
      </w:r>
    </w:p>
    <w:p w14:paraId="33122C52" w14:textId="54793A12" w:rsidR="002F7314" w:rsidRPr="00FD7B0B" w:rsidRDefault="002F7314" w:rsidP="008F7BB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б) по ставке 3 % годовых – 2 975,5 млн.руб., по 3 соглашениям на финансовое обеспечение реализации инфраструктурных проектов, выделенные в 2022 – 2024 годах, </w:t>
      </w:r>
      <w:r w:rsidR="00647BE1" w:rsidRPr="00FD7B0B">
        <w:rPr>
          <w:rFonts w:ascii="Times New Roman" w:eastAsia="Calibri" w:hAnsi="Times New Roman" w:cs="Times New Roman"/>
          <w:sz w:val="28"/>
          <w:szCs w:val="28"/>
        </w:rPr>
        <w:t xml:space="preserve">общим </w:t>
      </w:r>
      <w:r w:rsidRPr="00FD7B0B">
        <w:rPr>
          <w:rFonts w:ascii="Times New Roman" w:eastAsia="Calibri" w:hAnsi="Times New Roman" w:cs="Times New Roman"/>
          <w:sz w:val="28"/>
          <w:szCs w:val="28"/>
        </w:rPr>
        <w:t xml:space="preserve">сроком возврата до </w:t>
      </w:r>
      <w:r w:rsidR="00647BE1" w:rsidRPr="00FD7B0B">
        <w:rPr>
          <w:rFonts w:ascii="Times New Roman" w:eastAsia="Calibri" w:hAnsi="Times New Roman" w:cs="Times New Roman"/>
          <w:sz w:val="28"/>
          <w:szCs w:val="28"/>
        </w:rPr>
        <w:t xml:space="preserve">2037 – </w:t>
      </w:r>
      <w:r w:rsidRPr="00FD7B0B">
        <w:rPr>
          <w:rFonts w:ascii="Times New Roman" w:eastAsia="Calibri" w:hAnsi="Times New Roman" w:cs="Times New Roman"/>
          <w:sz w:val="28"/>
          <w:szCs w:val="28"/>
        </w:rPr>
        <w:t>2039 год</w:t>
      </w:r>
      <w:r w:rsidR="00647BE1" w:rsidRPr="00FD7B0B">
        <w:rPr>
          <w:rFonts w:ascii="Times New Roman" w:eastAsia="Calibri" w:hAnsi="Times New Roman" w:cs="Times New Roman"/>
          <w:sz w:val="28"/>
          <w:szCs w:val="28"/>
        </w:rPr>
        <w:t>ов</w:t>
      </w:r>
      <w:r w:rsidRPr="00FD7B0B">
        <w:rPr>
          <w:rFonts w:ascii="Times New Roman" w:eastAsia="Calibri" w:hAnsi="Times New Roman" w:cs="Times New Roman"/>
          <w:sz w:val="28"/>
          <w:szCs w:val="28"/>
        </w:rPr>
        <w:t>;</w:t>
      </w:r>
    </w:p>
    <w:p w14:paraId="5B3B0B19" w14:textId="77777777" w:rsidR="002F7314" w:rsidRPr="00FD7B0B" w:rsidRDefault="002F7314" w:rsidP="008F7BB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2) Казначейство России – 2 509,2 млн.руб., выделенные в 2023 году по 4 соглашениям на финансовое обеспечение реализации мероприятий, одобренных президиумом (штабом) Правительственной комиссии по региональному развитию в РФ, по ставке 3 % годовых, сроком возврата с 2025 по 2038 годы;</w:t>
      </w:r>
    </w:p>
    <w:p w14:paraId="03259899" w14:textId="6A9EA934" w:rsidR="002F7314" w:rsidRPr="00FD7B0B" w:rsidRDefault="007D15F0" w:rsidP="007D15F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Сумма у</w:t>
      </w:r>
      <w:r w:rsidR="002F7314" w:rsidRPr="00FD7B0B">
        <w:rPr>
          <w:rFonts w:ascii="Times New Roman" w:eastAsia="Calibri" w:hAnsi="Times New Roman" w:cs="Times New Roman"/>
          <w:sz w:val="28"/>
          <w:szCs w:val="28"/>
        </w:rPr>
        <w:t>плат</w:t>
      </w:r>
      <w:r w:rsidRPr="00FD7B0B">
        <w:rPr>
          <w:rFonts w:ascii="Times New Roman" w:eastAsia="Calibri" w:hAnsi="Times New Roman" w:cs="Times New Roman"/>
          <w:sz w:val="28"/>
          <w:szCs w:val="28"/>
        </w:rPr>
        <w:t>ы</w:t>
      </w:r>
      <w:r w:rsidR="002F7314" w:rsidRPr="00FD7B0B">
        <w:rPr>
          <w:rFonts w:ascii="Times New Roman" w:eastAsia="Calibri" w:hAnsi="Times New Roman" w:cs="Times New Roman"/>
          <w:sz w:val="28"/>
          <w:szCs w:val="28"/>
        </w:rPr>
        <w:t xml:space="preserve"> процентов по бюджетным кредитам за 202</w:t>
      </w:r>
      <w:r w:rsidRPr="00FD7B0B">
        <w:rPr>
          <w:rFonts w:ascii="Times New Roman" w:eastAsia="Calibri" w:hAnsi="Times New Roman" w:cs="Times New Roman"/>
          <w:sz w:val="28"/>
          <w:szCs w:val="28"/>
        </w:rPr>
        <w:t>4</w:t>
      </w:r>
      <w:r w:rsidR="002F7314" w:rsidRPr="00FD7B0B">
        <w:rPr>
          <w:rFonts w:ascii="Times New Roman" w:eastAsia="Calibri" w:hAnsi="Times New Roman" w:cs="Times New Roman"/>
          <w:sz w:val="28"/>
          <w:szCs w:val="28"/>
        </w:rPr>
        <w:t xml:space="preserve"> год составила 204,9 млн.руб., в т.ч. по средствам, заимствованным по договору с УФК по Архангельской области и НАО – 9,1 млн.руб., по соглашениям с Минфином России – 120,5 млн.руб. и с Казначейством России – 75,3 млн.руб.</w:t>
      </w:r>
    </w:p>
    <w:p w14:paraId="545BE93E" w14:textId="0C3C4304" w:rsidR="002F7314" w:rsidRPr="00FD7B0B" w:rsidRDefault="002F7314" w:rsidP="00921B4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По сравнению с аналогичными расходами за 2023 год расходы на обслуживание бюджетных кредитов в отчетном периоде увеличились в 2,2 раза или на 111,0 млн.руб., в большей части за счет роста процентной ставки за пользование данными заемными средствами по вновь привлеченным средствам, в т.ч. Казначейство России </w:t>
      </w:r>
      <w:r w:rsidR="00E26A3D" w:rsidRPr="00FD7B0B">
        <w:rPr>
          <w:rFonts w:ascii="Times New Roman" w:eastAsia="Calibri" w:hAnsi="Times New Roman" w:cs="Times New Roman"/>
          <w:sz w:val="28"/>
          <w:szCs w:val="28"/>
        </w:rPr>
        <w:t>предоставило</w:t>
      </w:r>
      <w:r w:rsidRPr="00FD7B0B">
        <w:rPr>
          <w:rFonts w:ascii="Times New Roman" w:eastAsia="Calibri" w:hAnsi="Times New Roman" w:cs="Times New Roman"/>
          <w:sz w:val="28"/>
          <w:szCs w:val="28"/>
        </w:rPr>
        <w:t xml:space="preserve"> наибольшую сумму бюджетных кредитов в ноябре 2023 года и</w:t>
      </w:r>
      <w:r w:rsidR="00E26A3D"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 xml:space="preserve"> соответственно, проценты за их обслуживание были перечислены в 2023 году только с указанного периода.</w:t>
      </w:r>
    </w:p>
    <w:p w14:paraId="650FCA30" w14:textId="59FF086E" w:rsidR="002F7314" w:rsidRPr="00FD7B0B" w:rsidRDefault="002F7314" w:rsidP="00E26A3D">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 xml:space="preserve">Показатели по привлеченным бюджетным кредитам в 2023 и 2024 году приведены в таблице </w:t>
      </w:r>
      <w:r w:rsidR="00BA7410" w:rsidRPr="00FD7B0B">
        <w:rPr>
          <w:rFonts w:ascii="Times New Roman" w:eastAsia="Calibri" w:hAnsi="Times New Roman" w:cs="Times New Roman"/>
          <w:sz w:val="28"/>
          <w:szCs w:val="28"/>
        </w:rPr>
        <w:t>265</w:t>
      </w:r>
      <w:r w:rsidRPr="00FD7B0B">
        <w:rPr>
          <w:rFonts w:ascii="Times New Roman" w:eastAsia="Calibri" w:hAnsi="Times New Roman" w:cs="Times New Roman"/>
          <w:sz w:val="28"/>
          <w:szCs w:val="28"/>
        </w:rPr>
        <w:t>.</w:t>
      </w:r>
    </w:p>
    <w:p w14:paraId="29CC7C0A" w14:textId="77777777" w:rsidR="002F7314" w:rsidRPr="00FD7B0B" w:rsidRDefault="002F7314" w:rsidP="00E26A3D">
      <w:pPr>
        <w:pStyle w:val="aff0"/>
        <w:spacing w:after="0" w:line="240" w:lineRule="auto"/>
        <w:rPr>
          <w:rFonts w:ascii="Times New Roman" w:hAnsi="Times New Roman"/>
          <w:b w:val="0"/>
          <w:sz w:val="24"/>
          <w:szCs w:val="24"/>
        </w:rPr>
      </w:pPr>
    </w:p>
    <w:p w14:paraId="24BF54FD" w14:textId="392FE824" w:rsidR="002F7314" w:rsidRPr="00FD7B0B" w:rsidRDefault="002F7314" w:rsidP="00E26A3D">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265</w:t>
      </w:r>
      <w:r w:rsidRPr="00FD7B0B">
        <w:rPr>
          <w:rFonts w:ascii="Times New Roman" w:hAnsi="Times New Roman"/>
          <w:b w:val="0"/>
          <w:sz w:val="24"/>
          <w:szCs w:val="24"/>
        </w:rPr>
        <w:fldChar w:fldCharType="end"/>
      </w:r>
      <w:r w:rsidRPr="00FD7B0B">
        <w:rPr>
          <w:rFonts w:ascii="Times New Roman" w:hAnsi="Times New Roman"/>
          <w:b w:val="0"/>
          <w:sz w:val="24"/>
          <w:szCs w:val="24"/>
        </w:rPr>
        <w:t xml:space="preserve">. Сведения о бюджетных кредитах, привлеченных в областной бюджет из федерального бюджета за 2023 – 2024 годы, с учетом расходов на </w:t>
      </w:r>
      <w:r w:rsidR="00284954" w:rsidRPr="00FD7B0B">
        <w:rPr>
          <w:rFonts w:ascii="Times New Roman" w:hAnsi="Times New Roman"/>
          <w:b w:val="0"/>
          <w:sz w:val="24"/>
          <w:szCs w:val="24"/>
        </w:rPr>
        <w:t xml:space="preserve">их </w:t>
      </w:r>
      <w:r w:rsidRPr="00FD7B0B">
        <w:rPr>
          <w:rFonts w:ascii="Times New Roman" w:hAnsi="Times New Roman"/>
          <w:b w:val="0"/>
          <w:sz w:val="24"/>
          <w:szCs w:val="24"/>
        </w:rPr>
        <w:t>обслуживание, млн.руб.</w:t>
      </w:r>
    </w:p>
    <w:tbl>
      <w:tblPr>
        <w:tblW w:w="9758" w:type="dxa"/>
        <w:tblLook w:val="04A0" w:firstRow="1" w:lastRow="0" w:firstColumn="1" w:lastColumn="0" w:noHBand="0" w:noVBand="1"/>
      </w:tblPr>
      <w:tblGrid>
        <w:gridCol w:w="1670"/>
        <w:gridCol w:w="1091"/>
        <w:gridCol w:w="1327"/>
        <w:gridCol w:w="992"/>
        <w:gridCol w:w="993"/>
        <w:gridCol w:w="992"/>
        <w:gridCol w:w="1276"/>
        <w:gridCol w:w="1417"/>
      </w:tblGrid>
      <w:tr w:rsidR="00FD7B0B" w:rsidRPr="00FD7B0B" w14:paraId="09FB3C41" w14:textId="77777777" w:rsidTr="002F7314">
        <w:trPr>
          <w:trHeight w:val="35"/>
        </w:trPr>
        <w:tc>
          <w:tcPr>
            <w:tcW w:w="167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B2C4114" w14:textId="63A40343" w:rsidR="002F7314" w:rsidRPr="00FD7B0B" w:rsidRDefault="0097443C"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Показатель</w:t>
            </w:r>
          </w:p>
        </w:tc>
        <w:tc>
          <w:tcPr>
            <w:tcW w:w="2418" w:type="dxa"/>
            <w:gridSpan w:val="2"/>
            <w:tcBorders>
              <w:top w:val="double" w:sz="6" w:space="0" w:color="auto"/>
              <w:left w:val="nil"/>
              <w:bottom w:val="single" w:sz="4" w:space="0" w:color="auto"/>
              <w:right w:val="single" w:sz="4" w:space="0" w:color="auto"/>
            </w:tcBorders>
            <w:shd w:val="clear" w:color="auto" w:fill="auto"/>
            <w:vAlign w:val="center"/>
            <w:hideMark/>
          </w:tcPr>
          <w:p w14:paraId="4BC98DEE" w14:textId="77777777" w:rsidR="002F7314" w:rsidRPr="00FD7B0B" w:rsidRDefault="002F7314"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начало года</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0E56D25C" w14:textId="77777777" w:rsidR="002F7314" w:rsidRPr="00FD7B0B" w:rsidRDefault="002F7314"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Прив-лечено</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3D0C04E" w14:textId="77777777" w:rsidR="002F7314" w:rsidRPr="00FD7B0B" w:rsidRDefault="002F7314"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Пога-шено</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6A6E429B" w14:textId="77777777" w:rsidR="002F7314" w:rsidRPr="00FD7B0B" w:rsidRDefault="002F7314"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конец года</w:t>
            </w:r>
          </w:p>
        </w:tc>
        <w:tc>
          <w:tcPr>
            <w:tcW w:w="1417"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22FE1F15" w14:textId="77777777" w:rsidR="002F7314" w:rsidRPr="00FD7B0B" w:rsidRDefault="002F7314"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Уплачено процентов</w:t>
            </w:r>
          </w:p>
        </w:tc>
      </w:tr>
      <w:tr w:rsidR="00FD7B0B" w:rsidRPr="00FD7B0B" w14:paraId="489ABA3E" w14:textId="77777777" w:rsidTr="002F7314">
        <w:trPr>
          <w:trHeight w:val="35"/>
        </w:trPr>
        <w:tc>
          <w:tcPr>
            <w:tcW w:w="1670" w:type="dxa"/>
            <w:vMerge/>
            <w:tcBorders>
              <w:top w:val="double" w:sz="6" w:space="0" w:color="auto"/>
              <w:left w:val="double" w:sz="6" w:space="0" w:color="auto"/>
              <w:bottom w:val="single" w:sz="4" w:space="0" w:color="auto"/>
              <w:right w:val="single" w:sz="4" w:space="0" w:color="auto"/>
            </w:tcBorders>
            <w:vAlign w:val="center"/>
            <w:hideMark/>
          </w:tcPr>
          <w:p w14:paraId="06433201" w14:textId="77777777" w:rsidR="002F7314" w:rsidRPr="00FD7B0B" w:rsidRDefault="002F7314" w:rsidP="00E26A3D">
            <w:pPr>
              <w:spacing w:after="0" w:line="240" w:lineRule="auto"/>
              <w:rPr>
                <w:rFonts w:ascii="Times New Roman" w:eastAsia="Times New Roman" w:hAnsi="Times New Roman" w:cs="Times New Roman"/>
                <w:b/>
                <w:bCs/>
                <w:sz w:val="20"/>
                <w:szCs w:val="20"/>
                <w:lang w:eastAsia="ru-RU"/>
              </w:rPr>
            </w:pPr>
          </w:p>
        </w:tc>
        <w:tc>
          <w:tcPr>
            <w:tcW w:w="1091" w:type="dxa"/>
            <w:tcBorders>
              <w:top w:val="nil"/>
              <w:left w:val="nil"/>
              <w:bottom w:val="single" w:sz="4" w:space="0" w:color="auto"/>
              <w:right w:val="single" w:sz="4" w:space="0" w:color="auto"/>
            </w:tcBorders>
            <w:shd w:val="clear" w:color="auto" w:fill="auto"/>
            <w:vAlign w:val="center"/>
            <w:hideMark/>
          </w:tcPr>
          <w:p w14:paraId="5AE2002B" w14:textId="77777777" w:rsidR="002F7314" w:rsidRPr="00FD7B0B" w:rsidRDefault="002F7314"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327" w:type="dxa"/>
            <w:tcBorders>
              <w:top w:val="nil"/>
              <w:left w:val="nil"/>
              <w:bottom w:val="single" w:sz="4" w:space="0" w:color="auto"/>
              <w:right w:val="single" w:sz="4" w:space="0" w:color="auto"/>
            </w:tcBorders>
            <w:shd w:val="clear" w:color="auto" w:fill="auto"/>
            <w:vAlign w:val="center"/>
            <w:hideMark/>
          </w:tcPr>
          <w:p w14:paraId="2B2D471E" w14:textId="77777777" w:rsidR="002F7314" w:rsidRPr="00FD7B0B" w:rsidRDefault="002F7314"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030E070B" w14:textId="77777777" w:rsidR="002F7314" w:rsidRPr="00FD7B0B" w:rsidRDefault="002F7314" w:rsidP="00E26A3D">
            <w:pPr>
              <w:spacing w:after="0" w:line="240" w:lineRule="auto"/>
              <w:rPr>
                <w:rFonts w:ascii="Times New Roman" w:eastAsia="Times New Roman" w:hAnsi="Times New Roman" w:cs="Times New Roman"/>
                <w:b/>
                <w:bCs/>
                <w:sz w:val="20"/>
                <w:szCs w:val="20"/>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4C30ECDD" w14:textId="77777777" w:rsidR="002F7314" w:rsidRPr="00FD7B0B" w:rsidRDefault="002F7314" w:rsidP="00E26A3D">
            <w:pPr>
              <w:spacing w:after="0" w:line="240" w:lineRule="auto"/>
              <w:rPr>
                <w:rFonts w:ascii="Times New Roman" w:eastAsia="Times New Roman" w:hAnsi="Times New Roman" w:cs="Times New Roman"/>
                <w:b/>
                <w:bCs/>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0BFBB926" w14:textId="77777777" w:rsidR="002F7314" w:rsidRPr="00FD7B0B" w:rsidRDefault="002F7314"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52FAAFA2" w14:textId="77777777" w:rsidR="002F7314" w:rsidRPr="00FD7B0B" w:rsidRDefault="002F7314" w:rsidP="00E26A3D">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1417" w:type="dxa"/>
            <w:vMerge/>
            <w:tcBorders>
              <w:top w:val="double" w:sz="6" w:space="0" w:color="auto"/>
              <w:left w:val="single" w:sz="4" w:space="0" w:color="auto"/>
              <w:bottom w:val="single" w:sz="4" w:space="0" w:color="auto"/>
              <w:right w:val="double" w:sz="6" w:space="0" w:color="auto"/>
            </w:tcBorders>
            <w:vAlign w:val="center"/>
            <w:hideMark/>
          </w:tcPr>
          <w:p w14:paraId="7630C8F8" w14:textId="77777777" w:rsidR="002F7314" w:rsidRPr="00FD7B0B" w:rsidRDefault="002F7314" w:rsidP="00E26A3D">
            <w:pPr>
              <w:spacing w:after="0" w:line="240" w:lineRule="auto"/>
              <w:rPr>
                <w:rFonts w:ascii="Times New Roman" w:eastAsia="Times New Roman" w:hAnsi="Times New Roman" w:cs="Times New Roman"/>
                <w:b/>
                <w:bCs/>
                <w:sz w:val="20"/>
                <w:szCs w:val="20"/>
                <w:lang w:eastAsia="ru-RU"/>
              </w:rPr>
            </w:pPr>
          </w:p>
        </w:tc>
      </w:tr>
      <w:tr w:rsidR="00FD7B0B" w:rsidRPr="00FD7B0B" w14:paraId="706C5B48" w14:textId="77777777" w:rsidTr="002F7314">
        <w:trPr>
          <w:trHeight w:val="70"/>
        </w:trPr>
        <w:tc>
          <w:tcPr>
            <w:tcW w:w="1670" w:type="dxa"/>
            <w:tcBorders>
              <w:top w:val="nil"/>
              <w:left w:val="double" w:sz="6" w:space="0" w:color="auto"/>
              <w:bottom w:val="single" w:sz="4" w:space="0" w:color="auto"/>
              <w:right w:val="single" w:sz="4" w:space="0" w:color="auto"/>
            </w:tcBorders>
            <w:shd w:val="clear" w:color="auto" w:fill="auto"/>
            <w:noWrap/>
            <w:vAlign w:val="bottom"/>
            <w:hideMark/>
          </w:tcPr>
          <w:p w14:paraId="72E7C8F1" w14:textId="77777777" w:rsidR="002F7314" w:rsidRPr="00FD7B0B" w:rsidRDefault="002F7314" w:rsidP="00E26A3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91" w:type="dxa"/>
            <w:tcBorders>
              <w:top w:val="nil"/>
              <w:left w:val="nil"/>
              <w:bottom w:val="single" w:sz="4" w:space="0" w:color="auto"/>
              <w:right w:val="single" w:sz="4" w:space="0" w:color="auto"/>
            </w:tcBorders>
            <w:shd w:val="clear" w:color="auto" w:fill="auto"/>
            <w:noWrap/>
            <w:vAlign w:val="bottom"/>
            <w:hideMark/>
          </w:tcPr>
          <w:p w14:paraId="4114BF62"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38 578,1 </w:t>
            </w:r>
          </w:p>
        </w:tc>
        <w:tc>
          <w:tcPr>
            <w:tcW w:w="1327" w:type="dxa"/>
            <w:tcBorders>
              <w:top w:val="nil"/>
              <w:left w:val="nil"/>
              <w:bottom w:val="single" w:sz="4" w:space="0" w:color="auto"/>
              <w:right w:val="single" w:sz="4" w:space="0" w:color="auto"/>
            </w:tcBorders>
            <w:shd w:val="clear" w:color="auto" w:fill="auto"/>
            <w:noWrap/>
            <w:vAlign w:val="bottom"/>
            <w:hideMark/>
          </w:tcPr>
          <w:p w14:paraId="53FEF9ED"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0,115 </w:t>
            </w:r>
          </w:p>
        </w:tc>
        <w:tc>
          <w:tcPr>
            <w:tcW w:w="992" w:type="dxa"/>
            <w:tcBorders>
              <w:top w:val="nil"/>
              <w:left w:val="nil"/>
              <w:bottom w:val="single" w:sz="4" w:space="0" w:color="auto"/>
              <w:right w:val="single" w:sz="4" w:space="0" w:color="auto"/>
            </w:tcBorders>
            <w:shd w:val="clear" w:color="auto" w:fill="auto"/>
            <w:noWrap/>
            <w:vAlign w:val="bottom"/>
            <w:hideMark/>
          </w:tcPr>
          <w:p w14:paraId="77C6E571"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21 211,4 </w:t>
            </w:r>
          </w:p>
        </w:tc>
        <w:tc>
          <w:tcPr>
            <w:tcW w:w="993" w:type="dxa"/>
            <w:tcBorders>
              <w:top w:val="nil"/>
              <w:left w:val="nil"/>
              <w:bottom w:val="single" w:sz="4" w:space="0" w:color="auto"/>
              <w:right w:val="single" w:sz="4" w:space="0" w:color="auto"/>
            </w:tcBorders>
            <w:shd w:val="clear" w:color="auto" w:fill="auto"/>
            <w:noWrap/>
            <w:vAlign w:val="bottom"/>
            <w:hideMark/>
          </w:tcPr>
          <w:p w14:paraId="245D12EB"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15 141,4 </w:t>
            </w:r>
          </w:p>
        </w:tc>
        <w:tc>
          <w:tcPr>
            <w:tcW w:w="992" w:type="dxa"/>
            <w:tcBorders>
              <w:top w:val="nil"/>
              <w:left w:val="nil"/>
              <w:bottom w:val="single" w:sz="4" w:space="0" w:color="auto"/>
              <w:right w:val="single" w:sz="4" w:space="0" w:color="auto"/>
            </w:tcBorders>
            <w:shd w:val="clear" w:color="auto" w:fill="auto"/>
            <w:noWrap/>
            <w:vAlign w:val="bottom"/>
            <w:hideMark/>
          </w:tcPr>
          <w:p w14:paraId="21AB8662"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44 648,2 </w:t>
            </w:r>
          </w:p>
        </w:tc>
        <w:tc>
          <w:tcPr>
            <w:tcW w:w="1276" w:type="dxa"/>
            <w:tcBorders>
              <w:top w:val="nil"/>
              <w:left w:val="nil"/>
              <w:bottom w:val="single" w:sz="4" w:space="0" w:color="auto"/>
              <w:right w:val="single" w:sz="4" w:space="0" w:color="auto"/>
            </w:tcBorders>
            <w:shd w:val="clear" w:color="auto" w:fill="auto"/>
            <w:noWrap/>
            <w:vAlign w:val="bottom"/>
            <w:hideMark/>
          </w:tcPr>
          <w:p w14:paraId="4C4F1C3E"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0,393 </w:t>
            </w:r>
          </w:p>
        </w:tc>
        <w:tc>
          <w:tcPr>
            <w:tcW w:w="1417" w:type="dxa"/>
            <w:tcBorders>
              <w:top w:val="nil"/>
              <w:left w:val="nil"/>
              <w:bottom w:val="single" w:sz="4" w:space="0" w:color="auto"/>
              <w:right w:val="double" w:sz="6" w:space="0" w:color="auto"/>
            </w:tcBorders>
            <w:shd w:val="clear" w:color="auto" w:fill="auto"/>
            <w:noWrap/>
            <w:vAlign w:val="bottom"/>
            <w:hideMark/>
          </w:tcPr>
          <w:p w14:paraId="11FB4AAC"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93,9 </w:t>
            </w:r>
          </w:p>
        </w:tc>
      </w:tr>
      <w:tr w:rsidR="00FD7B0B" w:rsidRPr="00FD7B0B" w14:paraId="124F3255" w14:textId="77777777" w:rsidTr="002F7314">
        <w:trPr>
          <w:trHeight w:val="70"/>
        </w:trPr>
        <w:tc>
          <w:tcPr>
            <w:tcW w:w="1670" w:type="dxa"/>
            <w:tcBorders>
              <w:top w:val="nil"/>
              <w:left w:val="double" w:sz="6" w:space="0" w:color="auto"/>
              <w:bottom w:val="single" w:sz="4" w:space="0" w:color="auto"/>
              <w:right w:val="single" w:sz="4" w:space="0" w:color="auto"/>
            </w:tcBorders>
            <w:shd w:val="clear" w:color="auto" w:fill="auto"/>
            <w:noWrap/>
            <w:vAlign w:val="bottom"/>
            <w:hideMark/>
          </w:tcPr>
          <w:p w14:paraId="07F6DF35" w14:textId="77777777" w:rsidR="002F7314" w:rsidRPr="00FD7B0B" w:rsidRDefault="002F7314" w:rsidP="00E26A3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2024 год</w:t>
            </w:r>
          </w:p>
        </w:tc>
        <w:tc>
          <w:tcPr>
            <w:tcW w:w="1091" w:type="dxa"/>
            <w:tcBorders>
              <w:top w:val="nil"/>
              <w:left w:val="nil"/>
              <w:bottom w:val="single" w:sz="4" w:space="0" w:color="auto"/>
              <w:right w:val="single" w:sz="4" w:space="0" w:color="auto"/>
            </w:tcBorders>
            <w:shd w:val="clear" w:color="auto" w:fill="auto"/>
            <w:noWrap/>
            <w:vAlign w:val="bottom"/>
            <w:hideMark/>
          </w:tcPr>
          <w:p w14:paraId="24DDA615"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44 648,2 </w:t>
            </w:r>
          </w:p>
        </w:tc>
        <w:tc>
          <w:tcPr>
            <w:tcW w:w="1327" w:type="dxa"/>
            <w:tcBorders>
              <w:top w:val="nil"/>
              <w:left w:val="nil"/>
              <w:bottom w:val="single" w:sz="4" w:space="0" w:color="auto"/>
              <w:right w:val="single" w:sz="4" w:space="0" w:color="auto"/>
            </w:tcBorders>
            <w:shd w:val="clear" w:color="auto" w:fill="auto"/>
            <w:noWrap/>
            <w:vAlign w:val="bottom"/>
            <w:hideMark/>
          </w:tcPr>
          <w:p w14:paraId="66394573"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0,393 </w:t>
            </w:r>
          </w:p>
        </w:tc>
        <w:tc>
          <w:tcPr>
            <w:tcW w:w="992" w:type="dxa"/>
            <w:tcBorders>
              <w:top w:val="nil"/>
              <w:left w:val="nil"/>
              <w:bottom w:val="single" w:sz="4" w:space="0" w:color="auto"/>
              <w:right w:val="single" w:sz="4" w:space="0" w:color="auto"/>
            </w:tcBorders>
            <w:shd w:val="clear" w:color="auto" w:fill="auto"/>
            <w:noWrap/>
            <w:vAlign w:val="bottom"/>
            <w:hideMark/>
          </w:tcPr>
          <w:p w14:paraId="3E2A341B"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9 503,2 </w:t>
            </w:r>
          </w:p>
        </w:tc>
        <w:tc>
          <w:tcPr>
            <w:tcW w:w="993" w:type="dxa"/>
            <w:tcBorders>
              <w:top w:val="nil"/>
              <w:left w:val="nil"/>
              <w:bottom w:val="single" w:sz="4" w:space="0" w:color="auto"/>
              <w:right w:val="single" w:sz="4" w:space="0" w:color="auto"/>
            </w:tcBorders>
            <w:shd w:val="clear" w:color="auto" w:fill="auto"/>
            <w:noWrap/>
            <w:vAlign w:val="bottom"/>
            <w:hideMark/>
          </w:tcPr>
          <w:p w14:paraId="741DB5CA"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12 066,2 </w:t>
            </w:r>
          </w:p>
        </w:tc>
        <w:tc>
          <w:tcPr>
            <w:tcW w:w="992" w:type="dxa"/>
            <w:tcBorders>
              <w:top w:val="nil"/>
              <w:left w:val="nil"/>
              <w:bottom w:val="single" w:sz="4" w:space="0" w:color="auto"/>
              <w:right w:val="single" w:sz="4" w:space="0" w:color="auto"/>
            </w:tcBorders>
            <w:shd w:val="clear" w:color="auto" w:fill="auto"/>
            <w:noWrap/>
            <w:vAlign w:val="bottom"/>
            <w:hideMark/>
          </w:tcPr>
          <w:p w14:paraId="32D3F940"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42 085,2 </w:t>
            </w:r>
          </w:p>
        </w:tc>
        <w:tc>
          <w:tcPr>
            <w:tcW w:w="1276" w:type="dxa"/>
            <w:tcBorders>
              <w:top w:val="nil"/>
              <w:left w:val="nil"/>
              <w:bottom w:val="single" w:sz="4" w:space="0" w:color="auto"/>
              <w:right w:val="single" w:sz="4" w:space="0" w:color="auto"/>
            </w:tcBorders>
            <w:shd w:val="clear" w:color="auto" w:fill="auto"/>
            <w:noWrap/>
            <w:vAlign w:val="bottom"/>
            <w:hideMark/>
          </w:tcPr>
          <w:p w14:paraId="090DD143"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0,478 </w:t>
            </w:r>
          </w:p>
        </w:tc>
        <w:tc>
          <w:tcPr>
            <w:tcW w:w="1417" w:type="dxa"/>
            <w:tcBorders>
              <w:top w:val="nil"/>
              <w:left w:val="nil"/>
              <w:bottom w:val="single" w:sz="4" w:space="0" w:color="auto"/>
              <w:right w:val="double" w:sz="6" w:space="0" w:color="auto"/>
            </w:tcBorders>
            <w:shd w:val="clear" w:color="auto" w:fill="auto"/>
            <w:noWrap/>
            <w:vAlign w:val="bottom"/>
            <w:hideMark/>
          </w:tcPr>
          <w:p w14:paraId="7221B5FA"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204,9 </w:t>
            </w:r>
          </w:p>
        </w:tc>
      </w:tr>
      <w:tr w:rsidR="002F7314" w:rsidRPr="00FD7B0B" w14:paraId="373184EB" w14:textId="77777777" w:rsidTr="00530A96">
        <w:trPr>
          <w:trHeight w:val="172"/>
        </w:trPr>
        <w:tc>
          <w:tcPr>
            <w:tcW w:w="1670" w:type="dxa"/>
            <w:tcBorders>
              <w:top w:val="nil"/>
              <w:left w:val="double" w:sz="6" w:space="0" w:color="auto"/>
              <w:bottom w:val="double" w:sz="6" w:space="0" w:color="auto"/>
              <w:right w:val="single" w:sz="4" w:space="0" w:color="auto"/>
            </w:tcBorders>
            <w:shd w:val="clear" w:color="auto" w:fill="auto"/>
            <w:noWrap/>
            <w:vAlign w:val="bottom"/>
            <w:hideMark/>
          </w:tcPr>
          <w:p w14:paraId="034A99C2" w14:textId="77777777" w:rsidR="002F7314" w:rsidRPr="00FD7B0B" w:rsidRDefault="002F7314" w:rsidP="00E26A3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Изменения (+,-)</w:t>
            </w:r>
          </w:p>
        </w:tc>
        <w:tc>
          <w:tcPr>
            <w:tcW w:w="1091" w:type="dxa"/>
            <w:tcBorders>
              <w:top w:val="nil"/>
              <w:left w:val="nil"/>
              <w:bottom w:val="double" w:sz="6" w:space="0" w:color="auto"/>
              <w:right w:val="single" w:sz="4" w:space="0" w:color="auto"/>
            </w:tcBorders>
            <w:shd w:val="clear" w:color="auto" w:fill="auto"/>
            <w:noWrap/>
            <w:vAlign w:val="bottom"/>
            <w:hideMark/>
          </w:tcPr>
          <w:p w14:paraId="5FF967C3"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6 070,0 </w:t>
            </w:r>
          </w:p>
        </w:tc>
        <w:tc>
          <w:tcPr>
            <w:tcW w:w="1327" w:type="dxa"/>
            <w:tcBorders>
              <w:top w:val="nil"/>
              <w:left w:val="nil"/>
              <w:bottom w:val="double" w:sz="6" w:space="0" w:color="auto"/>
              <w:right w:val="single" w:sz="4" w:space="0" w:color="auto"/>
            </w:tcBorders>
            <w:shd w:val="clear" w:color="auto" w:fill="auto"/>
            <w:noWrap/>
            <w:vAlign w:val="bottom"/>
            <w:hideMark/>
          </w:tcPr>
          <w:p w14:paraId="7E0E9E32"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0,278 </w:t>
            </w:r>
          </w:p>
        </w:tc>
        <w:tc>
          <w:tcPr>
            <w:tcW w:w="992" w:type="dxa"/>
            <w:tcBorders>
              <w:top w:val="nil"/>
              <w:left w:val="nil"/>
              <w:bottom w:val="double" w:sz="6" w:space="0" w:color="auto"/>
              <w:right w:val="single" w:sz="4" w:space="0" w:color="auto"/>
            </w:tcBorders>
            <w:shd w:val="clear" w:color="auto" w:fill="auto"/>
            <w:noWrap/>
            <w:vAlign w:val="bottom"/>
            <w:hideMark/>
          </w:tcPr>
          <w:p w14:paraId="11D7ECC3"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-11 708,2 </w:t>
            </w:r>
          </w:p>
        </w:tc>
        <w:tc>
          <w:tcPr>
            <w:tcW w:w="993" w:type="dxa"/>
            <w:tcBorders>
              <w:top w:val="nil"/>
              <w:left w:val="nil"/>
              <w:bottom w:val="double" w:sz="6" w:space="0" w:color="auto"/>
              <w:right w:val="single" w:sz="4" w:space="0" w:color="auto"/>
            </w:tcBorders>
            <w:shd w:val="clear" w:color="auto" w:fill="auto"/>
            <w:noWrap/>
            <w:vAlign w:val="bottom"/>
            <w:hideMark/>
          </w:tcPr>
          <w:p w14:paraId="23A2AD6A"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-3 075,2 </w:t>
            </w:r>
          </w:p>
        </w:tc>
        <w:tc>
          <w:tcPr>
            <w:tcW w:w="992" w:type="dxa"/>
            <w:tcBorders>
              <w:top w:val="nil"/>
              <w:left w:val="nil"/>
              <w:bottom w:val="double" w:sz="6" w:space="0" w:color="auto"/>
              <w:right w:val="single" w:sz="4" w:space="0" w:color="auto"/>
            </w:tcBorders>
            <w:shd w:val="clear" w:color="auto" w:fill="auto"/>
            <w:noWrap/>
            <w:vAlign w:val="bottom"/>
            <w:hideMark/>
          </w:tcPr>
          <w:p w14:paraId="32E3744E"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-2 563,0 </w:t>
            </w:r>
          </w:p>
        </w:tc>
        <w:tc>
          <w:tcPr>
            <w:tcW w:w="1276" w:type="dxa"/>
            <w:tcBorders>
              <w:top w:val="nil"/>
              <w:left w:val="nil"/>
              <w:bottom w:val="double" w:sz="6" w:space="0" w:color="auto"/>
              <w:right w:val="single" w:sz="4" w:space="0" w:color="auto"/>
            </w:tcBorders>
            <w:shd w:val="clear" w:color="auto" w:fill="auto"/>
            <w:noWrap/>
            <w:vAlign w:val="bottom"/>
            <w:hideMark/>
          </w:tcPr>
          <w:p w14:paraId="5AF1A209"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0,085 </w:t>
            </w:r>
          </w:p>
        </w:tc>
        <w:tc>
          <w:tcPr>
            <w:tcW w:w="1417" w:type="dxa"/>
            <w:tcBorders>
              <w:top w:val="nil"/>
              <w:left w:val="nil"/>
              <w:bottom w:val="double" w:sz="6" w:space="0" w:color="auto"/>
              <w:right w:val="double" w:sz="6" w:space="0" w:color="auto"/>
            </w:tcBorders>
            <w:shd w:val="clear" w:color="auto" w:fill="auto"/>
            <w:noWrap/>
            <w:vAlign w:val="bottom"/>
            <w:hideMark/>
          </w:tcPr>
          <w:p w14:paraId="02E21AF9" w14:textId="77777777" w:rsidR="002F7314" w:rsidRPr="00FD7B0B" w:rsidRDefault="002F7314" w:rsidP="00E26A3D">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111,0 </w:t>
            </w:r>
          </w:p>
        </w:tc>
      </w:tr>
    </w:tbl>
    <w:p w14:paraId="01C509A3" w14:textId="77777777" w:rsidR="002F7314" w:rsidRPr="00FD7B0B" w:rsidRDefault="002F7314" w:rsidP="00A45D99">
      <w:pPr>
        <w:spacing w:after="0" w:line="240" w:lineRule="auto"/>
        <w:ind w:firstLine="709"/>
        <w:jc w:val="both"/>
        <w:rPr>
          <w:rFonts w:ascii="Times New Roman" w:eastAsia="Calibri" w:hAnsi="Times New Roman" w:cs="Times New Roman"/>
          <w:sz w:val="28"/>
          <w:szCs w:val="28"/>
        </w:rPr>
      </w:pPr>
    </w:p>
    <w:p w14:paraId="7F0F69A9" w14:textId="77777777" w:rsidR="002F7314" w:rsidRPr="00FD7B0B" w:rsidRDefault="002F7314" w:rsidP="00A45D9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Всего за 2024 год расходы на обслуживание заемных средств (бюджетные и коммерческие кредиты), привлеченных в областной бюджет составили 4 349,4 млн.руб. (подробнее см. ниже).</w:t>
      </w:r>
    </w:p>
    <w:p w14:paraId="0D556220" w14:textId="147E2AA6" w:rsidR="002F7314" w:rsidRPr="00FD7B0B" w:rsidRDefault="002F7314" w:rsidP="00A45D99">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BA7410" w:rsidRPr="00FD7B0B">
        <w:rPr>
          <w:rFonts w:ascii="Times New Roman" w:eastAsia="Calibri" w:hAnsi="Times New Roman" w:cs="Times New Roman"/>
          <w:sz w:val="28"/>
          <w:szCs w:val="28"/>
        </w:rPr>
        <w:t>266</w:t>
      </w:r>
      <w:r w:rsidRPr="00FD7B0B">
        <w:rPr>
          <w:rFonts w:ascii="Times New Roman" w:eastAsia="Calibri" w:hAnsi="Times New Roman" w:cs="Times New Roman"/>
          <w:sz w:val="28"/>
          <w:szCs w:val="28"/>
        </w:rPr>
        <w:t xml:space="preserve"> представлены общие сведения о структуре и движении средств, составляющие государственный долг Архангельской области за 2024 год.</w:t>
      </w:r>
    </w:p>
    <w:p w14:paraId="1FA2150F" w14:textId="77777777" w:rsidR="002F7314" w:rsidRPr="00FD7B0B" w:rsidRDefault="002F7314" w:rsidP="00A45D99">
      <w:pPr>
        <w:pStyle w:val="aff0"/>
        <w:spacing w:after="0" w:line="240" w:lineRule="auto"/>
        <w:rPr>
          <w:rFonts w:ascii="Times New Roman" w:hAnsi="Times New Roman"/>
          <w:b w:val="0"/>
          <w:sz w:val="24"/>
          <w:szCs w:val="24"/>
        </w:rPr>
      </w:pPr>
    </w:p>
    <w:p w14:paraId="280E931A" w14:textId="77777777" w:rsidR="002F7314" w:rsidRPr="00FD7B0B" w:rsidRDefault="002F7314" w:rsidP="00A45D99">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266</w:t>
      </w:r>
      <w:r w:rsidRPr="00FD7B0B">
        <w:rPr>
          <w:rFonts w:ascii="Times New Roman" w:hAnsi="Times New Roman"/>
          <w:b w:val="0"/>
          <w:sz w:val="24"/>
          <w:szCs w:val="24"/>
        </w:rPr>
        <w:fldChar w:fldCharType="end"/>
      </w:r>
      <w:r w:rsidRPr="00FD7B0B">
        <w:rPr>
          <w:rFonts w:ascii="Times New Roman" w:hAnsi="Times New Roman"/>
          <w:b w:val="0"/>
          <w:sz w:val="24"/>
          <w:szCs w:val="24"/>
        </w:rPr>
        <w:t>. Структура и движение средств, составляющие государственный долг Архангельской области, а также расходы на его обслуживание за 2024 год, млн.руб.</w:t>
      </w:r>
    </w:p>
    <w:tbl>
      <w:tblPr>
        <w:tblW w:w="9758" w:type="dxa"/>
        <w:tblLayout w:type="fixed"/>
        <w:tblLook w:val="04A0" w:firstRow="1" w:lastRow="0" w:firstColumn="1" w:lastColumn="0" w:noHBand="0" w:noVBand="1"/>
      </w:tblPr>
      <w:tblGrid>
        <w:gridCol w:w="2104"/>
        <w:gridCol w:w="992"/>
        <w:gridCol w:w="1134"/>
        <w:gridCol w:w="1134"/>
        <w:gridCol w:w="992"/>
        <w:gridCol w:w="992"/>
        <w:gridCol w:w="1134"/>
        <w:gridCol w:w="1276"/>
      </w:tblGrid>
      <w:tr w:rsidR="00FD7B0B" w:rsidRPr="00FD7B0B" w14:paraId="549C04B1" w14:textId="77777777" w:rsidTr="002F7314">
        <w:trPr>
          <w:trHeight w:val="35"/>
        </w:trPr>
        <w:tc>
          <w:tcPr>
            <w:tcW w:w="210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22E1E31" w14:textId="2B81D932" w:rsidR="002F7314" w:rsidRPr="00FD7B0B" w:rsidRDefault="00A45D99"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Показатель</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4E491E28" w14:textId="77777777" w:rsidR="002F7314" w:rsidRPr="00FD7B0B" w:rsidRDefault="002F7314"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01.01.2024</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6616D4FF" w14:textId="77777777" w:rsidR="002F7314" w:rsidRPr="00FD7B0B" w:rsidRDefault="002F7314"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4F62D21" w14:textId="77777777" w:rsidR="002F7314" w:rsidRPr="00FD7B0B" w:rsidRDefault="002F7314"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Пога-шено</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432E1372" w14:textId="77777777" w:rsidR="002F7314" w:rsidRPr="00FD7B0B" w:rsidRDefault="002F7314"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Долг на 01.01.2025</w:t>
            </w:r>
          </w:p>
        </w:tc>
        <w:tc>
          <w:tcPr>
            <w:tcW w:w="1276"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59ACC8B1" w14:textId="77777777" w:rsidR="002F7314" w:rsidRPr="00FD7B0B" w:rsidRDefault="002F7314"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Уплачено процентов</w:t>
            </w:r>
          </w:p>
        </w:tc>
      </w:tr>
      <w:tr w:rsidR="00FD7B0B" w:rsidRPr="00FD7B0B" w14:paraId="25FB99DF" w14:textId="77777777" w:rsidTr="002F7314">
        <w:trPr>
          <w:trHeight w:val="35"/>
        </w:trPr>
        <w:tc>
          <w:tcPr>
            <w:tcW w:w="2104" w:type="dxa"/>
            <w:vMerge/>
            <w:tcBorders>
              <w:top w:val="double" w:sz="6" w:space="0" w:color="auto"/>
              <w:left w:val="double" w:sz="6" w:space="0" w:color="auto"/>
              <w:bottom w:val="single" w:sz="4" w:space="0" w:color="auto"/>
              <w:right w:val="single" w:sz="4" w:space="0" w:color="auto"/>
            </w:tcBorders>
            <w:vAlign w:val="center"/>
            <w:hideMark/>
          </w:tcPr>
          <w:p w14:paraId="006CE4B4" w14:textId="77777777" w:rsidR="002F7314" w:rsidRPr="00FD7B0B" w:rsidRDefault="002F7314" w:rsidP="00A45D99">
            <w:pPr>
              <w:spacing w:after="0" w:line="240" w:lineRule="auto"/>
              <w:rPr>
                <w:rFonts w:ascii="Times New Roman" w:eastAsia="Times New Roman" w:hAnsi="Times New Roman" w:cs="Times New Roman"/>
                <w:b/>
                <w:bCs/>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6C8E7E2B" w14:textId="77777777" w:rsidR="002F7314" w:rsidRPr="00FD7B0B" w:rsidRDefault="002F7314"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318B1AFA" w14:textId="77777777" w:rsidR="002F7314" w:rsidRPr="00FD7B0B" w:rsidRDefault="002F7314"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4096C8A7" w14:textId="77777777" w:rsidR="002F7314" w:rsidRPr="00FD7B0B" w:rsidRDefault="002F7314" w:rsidP="00A45D99">
            <w:pPr>
              <w:spacing w:after="0" w:line="240" w:lineRule="auto"/>
              <w:rPr>
                <w:rFonts w:ascii="Times New Roman" w:eastAsia="Times New Roman" w:hAnsi="Times New Roman" w:cs="Times New Roman"/>
                <w:b/>
                <w:bCs/>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39C94B8" w14:textId="77777777" w:rsidR="002F7314" w:rsidRPr="00FD7B0B" w:rsidRDefault="002F7314" w:rsidP="00A45D99">
            <w:pPr>
              <w:spacing w:after="0" w:line="240" w:lineRule="auto"/>
              <w:rPr>
                <w:rFonts w:ascii="Times New Roman" w:eastAsia="Times New Roman" w:hAnsi="Times New Roman" w:cs="Times New Roman"/>
                <w:b/>
                <w:bCs/>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59023FD1" w14:textId="77777777" w:rsidR="002F7314" w:rsidRPr="00FD7B0B" w:rsidRDefault="002F7314"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46572132" w14:textId="77777777" w:rsidR="002F7314" w:rsidRPr="00FD7B0B" w:rsidRDefault="002F7314" w:rsidP="00A45D99">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1276" w:type="dxa"/>
            <w:vMerge/>
            <w:tcBorders>
              <w:top w:val="double" w:sz="6" w:space="0" w:color="auto"/>
              <w:left w:val="single" w:sz="4" w:space="0" w:color="auto"/>
              <w:bottom w:val="single" w:sz="4" w:space="0" w:color="auto"/>
              <w:right w:val="double" w:sz="6" w:space="0" w:color="auto"/>
            </w:tcBorders>
            <w:vAlign w:val="center"/>
            <w:hideMark/>
          </w:tcPr>
          <w:p w14:paraId="17A16710" w14:textId="77777777" w:rsidR="002F7314" w:rsidRPr="00FD7B0B" w:rsidRDefault="002F7314" w:rsidP="00A45D99">
            <w:pPr>
              <w:spacing w:after="0" w:line="240" w:lineRule="auto"/>
              <w:rPr>
                <w:rFonts w:ascii="Times New Roman" w:eastAsia="Times New Roman" w:hAnsi="Times New Roman" w:cs="Times New Roman"/>
                <w:b/>
                <w:bCs/>
                <w:sz w:val="20"/>
                <w:szCs w:val="20"/>
                <w:lang w:eastAsia="ru-RU"/>
              </w:rPr>
            </w:pPr>
          </w:p>
        </w:tc>
      </w:tr>
      <w:tr w:rsidR="00FD7B0B" w:rsidRPr="00FD7B0B" w14:paraId="486DE5BA" w14:textId="77777777" w:rsidTr="002F7314">
        <w:trPr>
          <w:trHeight w:val="70"/>
        </w:trPr>
        <w:tc>
          <w:tcPr>
            <w:tcW w:w="2104" w:type="dxa"/>
            <w:tcBorders>
              <w:top w:val="nil"/>
              <w:left w:val="double" w:sz="6" w:space="0" w:color="auto"/>
              <w:bottom w:val="single" w:sz="4" w:space="0" w:color="auto"/>
              <w:right w:val="single" w:sz="4" w:space="0" w:color="auto"/>
            </w:tcBorders>
            <w:shd w:val="clear" w:color="auto" w:fill="auto"/>
            <w:noWrap/>
            <w:vAlign w:val="center"/>
            <w:hideMark/>
          </w:tcPr>
          <w:p w14:paraId="404AB74F" w14:textId="77777777" w:rsidR="002F7314" w:rsidRPr="00FD7B0B" w:rsidRDefault="002F7314" w:rsidP="00A45D9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Бюджетные кредиты</w:t>
            </w:r>
          </w:p>
        </w:tc>
        <w:tc>
          <w:tcPr>
            <w:tcW w:w="992" w:type="dxa"/>
            <w:tcBorders>
              <w:top w:val="nil"/>
              <w:left w:val="nil"/>
              <w:bottom w:val="single" w:sz="4" w:space="0" w:color="auto"/>
              <w:right w:val="single" w:sz="4" w:space="0" w:color="auto"/>
            </w:tcBorders>
            <w:shd w:val="clear" w:color="auto" w:fill="auto"/>
            <w:noWrap/>
            <w:vAlign w:val="center"/>
            <w:hideMark/>
          </w:tcPr>
          <w:p w14:paraId="0D672D7D"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44 648,2 </w:t>
            </w:r>
          </w:p>
        </w:tc>
        <w:tc>
          <w:tcPr>
            <w:tcW w:w="1134" w:type="dxa"/>
            <w:tcBorders>
              <w:top w:val="nil"/>
              <w:left w:val="nil"/>
              <w:bottom w:val="single" w:sz="4" w:space="0" w:color="auto"/>
              <w:right w:val="single" w:sz="4" w:space="0" w:color="auto"/>
            </w:tcBorders>
            <w:shd w:val="clear" w:color="auto" w:fill="auto"/>
            <w:noWrap/>
            <w:vAlign w:val="center"/>
            <w:hideMark/>
          </w:tcPr>
          <w:p w14:paraId="4A48DB71"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0,393 </w:t>
            </w:r>
          </w:p>
        </w:tc>
        <w:tc>
          <w:tcPr>
            <w:tcW w:w="1134" w:type="dxa"/>
            <w:tcBorders>
              <w:top w:val="nil"/>
              <w:left w:val="nil"/>
              <w:bottom w:val="single" w:sz="4" w:space="0" w:color="auto"/>
              <w:right w:val="single" w:sz="4" w:space="0" w:color="auto"/>
            </w:tcBorders>
            <w:shd w:val="clear" w:color="auto" w:fill="auto"/>
            <w:noWrap/>
            <w:vAlign w:val="center"/>
            <w:hideMark/>
          </w:tcPr>
          <w:p w14:paraId="68175F61"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9 503,2 </w:t>
            </w:r>
          </w:p>
        </w:tc>
        <w:tc>
          <w:tcPr>
            <w:tcW w:w="992" w:type="dxa"/>
            <w:tcBorders>
              <w:top w:val="nil"/>
              <w:left w:val="nil"/>
              <w:bottom w:val="single" w:sz="4" w:space="0" w:color="auto"/>
              <w:right w:val="single" w:sz="4" w:space="0" w:color="auto"/>
            </w:tcBorders>
            <w:shd w:val="clear" w:color="auto" w:fill="auto"/>
            <w:noWrap/>
            <w:vAlign w:val="center"/>
            <w:hideMark/>
          </w:tcPr>
          <w:p w14:paraId="63B30A91"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12 066,2 </w:t>
            </w:r>
          </w:p>
        </w:tc>
        <w:tc>
          <w:tcPr>
            <w:tcW w:w="992" w:type="dxa"/>
            <w:tcBorders>
              <w:top w:val="nil"/>
              <w:left w:val="nil"/>
              <w:bottom w:val="single" w:sz="4" w:space="0" w:color="auto"/>
              <w:right w:val="single" w:sz="4" w:space="0" w:color="auto"/>
            </w:tcBorders>
            <w:shd w:val="clear" w:color="auto" w:fill="auto"/>
            <w:noWrap/>
            <w:vAlign w:val="center"/>
            <w:hideMark/>
          </w:tcPr>
          <w:p w14:paraId="66A93FF4"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42 085,2 </w:t>
            </w:r>
          </w:p>
        </w:tc>
        <w:tc>
          <w:tcPr>
            <w:tcW w:w="1134" w:type="dxa"/>
            <w:tcBorders>
              <w:top w:val="nil"/>
              <w:left w:val="nil"/>
              <w:bottom w:val="single" w:sz="4" w:space="0" w:color="auto"/>
              <w:right w:val="single" w:sz="4" w:space="0" w:color="auto"/>
            </w:tcBorders>
            <w:shd w:val="clear" w:color="auto" w:fill="auto"/>
            <w:noWrap/>
            <w:vAlign w:val="center"/>
            <w:hideMark/>
          </w:tcPr>
          <w:p w14:paraId="06076755"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0,478 </w:t>
            </w:r>
          </w:p>
        </w:tc>
        <w:tc>
          <w:tcPr>
            <w:tcW w:w="1276" w:type="dxa"/>
            <w:tcBorders>
              <w:top w:val="nil"/>
              <w:left w:val="nil"/>
              <w:bottom w:val="single" w:sz="4" w:space="0" w:color="auto"/>
              <w:right w:val="double" w:sz="6" w:space="0" w:color="auto"/>
            </w:tcBorders>
            <w:shd w:val="clear" w:color="auto" w:fill="auto"/>
            <w:noWrap/>
            <w:vAlign w:val="center"/>
            <w:hideMark/>
          </w:tcPr>
          <w:p w14:paraId="6513ECBC"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204,9 </w:t>
            </w:r>
          </w:p>
        </w:tc>
      </w:tr>
      <w:tr w:rsidR="00FD7B0B" w:rsidRPr="00FD7B0B" w14:paraId="7C904D95" w14:textId="77777777" w:rsidTr="002F7314">
        <w:trPr>
          <w:trHeight w:val="70"/>
        </w:trPr>
        <w:tc>
          <w:tcPr>
            <w:tcW w:w="2104" w:type="dxa"/>
            <w:tcBorders>
              <w:top w:val="nil"/>
              <w:left w:val="double" w:sz="6" w:space="0" w:color="auto"/>
              <w:bottom w:val="single" w:sz="4" w:space="0" w:color="auto"/>
              <w:right w:val="single" w:sz="4" w:space="0" w:color="auto"/>
            </w:tcBorders>
            <w:shd w:val="clear" w:color="auto" w:fill="auto"/>
            <w:noWrap/>
            <w:vAlign w:val="center"/>
            <w:hideMark/>
          </w:tcPr>
          <w:p w14:paraId="3B12ECF5" w14:textId="77777777" w:rsidR="002F7314" w:rsidRPr="00FD7B0B" w:rsidRDefault="002F7314" w:rsidP="00A45D99">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Коммерческие кредиты</w:t>
            </w:r>
          </w:p>
        </w:tc>
        <w:tc>
          <w:tcPr>
            <w:tcW w:w="992" w:type="dxa"/>
            <w:tcBorders>
              <w:top w:val="nil"/>
              <w:left w:val="nil"/>
              <w:bottom w:val="single" w:sz="4" w:space="0" w:color="auto"/>
              <w:right w:val="single" w:sz="4" w:space="0" w:color="auto"/>
            </w:tcBorders>
            <w:shd w:val="clear" w:color="auto" w:fill="auto"/>
            <w:noWrap/>
            <w:vAlign w:val="center"/>
            <w:hideMark/>
          </w:tcPr>
          <w:p w14:paraId="60194B6B"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22 999,9 </w:t>
            </w:r>
          </w:p>
        </w:tc>
        <w:tc>
          <w:tcPr>
            <w:tcW w:w="1134" w:type="dxa"/>
            <w:tcBorders>
              <w:top w:val="nil"/>
              <w:left w:val="nil"/>
              <w:bottom w:val="single" w:sz="4" w:space="0" w:color="auto"/>
              <w:right w:val="single" w:sz="4" w:space="0" w:color="auto"/>
            </w:tcBorders>
            <w:shd w:val="clear" w:color="auto" w:fill="auto"/>
            <w:noWrap/>
            <w:vAlign w:val="center"/>
            <w:hideMark/>
          </w:tcPr>
          <w:p w14:paraId="456F2E99"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12,010 </w:t>
            </w:r>
          </w:p>
        </w:tc>
        <w:tc>
          <w:tcPr>
            <w:tcW w:w="1134" w:type="dxa"/>
            <w:tcBorders>
              <w:top w:val="nil"/>
              <w:left w:val="nil"/>
              <w:bottom w:val="single" w:sz="4" w:space="0" w:color="auto"/>
              <w:right w:val="single" w:sz="4" w:space="0" w:color="auto"/>
            </w:tcBorders>
            <w:shd w:val="clear" w:color="auto" w:fill="auto"/>
            <w:noWrap/>
            <w:vAlign w:val="center"/>
            <w:hideMark/>
          </w:tcPr>
          <w:p w14:paraId="555B7E8B"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99 541,8 </w:t>
            </w:r>
          </w:p>
        </w:tc>
        <w:tc>
          <w:tcPr>
            <w:tcW w:w="992" w:type="dxa"/>
            <w:tcBorders>
              <w:top w:val="nil"/>
              <w:left w:val="nil"/>
              <w:bottom w:val="single" w:sz="4" w:space="0" w:color="auto"/>
              <w:right w:val="single" w:sz="4" w:space="0" w:color="auto"/>
            </w:tcBorders>
            <w:shd w:val="clear" w:color="auto" w:fill="auto"/>
            <w:noWrap/>
            <w:vAlign w:val="center"/>
            <w:hideMark/>
          </w:tcPr>
          <w:p w14:paraId="321287F8"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77 800,0 </w:t>
            </w:r>
          </w:p>
        </w:tc>
        <w:tc>
          <w:tcPr>
            <w:tcW w:w="992" w:type="dxa"/>
            <w:tcBorders>
              <w:top w:val="nil"/>
              <w:left w:val="nil"/>
              <w:bottom w:val="single" w:sz="4" w:space="0" w:color="auto"/>
              <w:right w:val="single" w:sz="4" w:space="0" w:color="auto"/>
            </w:tcBorders>
            <w:shd w:val="clear" w:color="auto" w:fill="auto"/>
            <w:noWrap/>
            <w:vAlign w:val="center"/>
            <w:hideMark/>
          </w:tcPr>
          <w:p w14:paraId="0BF6F709"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44 741,7 </w:t>
            </w:r>
          </w:p>
        </w:tc>
        <w:tc>
          <w:tcPr>
            <w:tcW w:w="1134" w:type="dxa"/>
            <w:tcBorders>
              <w:top w:val="nil"/>
              <w:left w:val="nil"/>
              <w:bottom w:val="single" w:sz="4" w:space="0" w:color="auto"/>
              <w:right w:val="single" w:sz="4" w:space="0" w:color="auto"/>
            </w:tcBorders>
            <w:shd w:val="clear" w:color="auto" w:fill="auto"/>
            <w:noWrap/>
            <w:vAlign w:val="center"/>
            <w:hideMark/>
          </w:tcPr>
          <w:p w14:paraId="1C6FC1C1"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21,165 </w:t>
            </w:r>
          </w:p>
        </w:tc>
        <w:tc>
          <w:tcPr>
            <w:tcW w:w="1276" w:type="dxa"/>
            <w:tcBorders>
              <w:top w:val="nil"/>
              <w:left w:val="nil"/>
              <w:bottom w:val="single" w:sz="4" w:space="0" w:color="auto"/>
              <w:right w:val="double" w:sz="6" w:space="0" w:color="auto"/>
            </w:tcBorders>
            <w:shd w:val="clear" w:color="auto" w:fill="auto"/>
            <w:noWrap/>
            <w:vAlign w:val="center"/>
            <w:hideMark/>
          </w:tcPr>
          <w:p w14:paraId="0668C669" w14:textId="77777777" w:rsidR="002F7314" w:rsidRPr="00FD7B0B" w:rsidRDefault="002F7314" w:rsidP="00A45D99">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4 144,5 </w:t>
            </w:r>
          </w:p>
        </w:tc>
      </w:tr>
      <w:tr w:rsidR="002F7314" w:rsidRPr="00FD7B0B" w14:paraId="73570B62" w14:textId="77777777" w:rsidTr="002F7314">
        <w:trPr>
          <w:trHeight w:val="70"/>
        </w:trPr>
        <w:tc>
          <w:tcPr>
            <w:tcW w:w="2104" w:type="dxa"/>
            <w:tcBorders>
              <w:top w:val="nil"/>
              <w:left w:val="double" w:sz="6" w:space="0" w:color="auto"/>
              <w:bottom w:val="double" w:sz="6" w:space="0" w:color="auto"/>
              <w:right w:val="single" w:sz="4" w:space="0" w:color="auto"/>
            </w:tcBorders>
            <w:shd w:val="clear" w:color="auto" w:fill="auto"/>
            <w:noWrap/>
            <w:vAlign w:val="center"/>
            <w:hideMark/>
          </w:tcPr>
          <w:p w14:paraId="46FD4A1C" w14:textId="77777777" w:rsidR="002F7314" w:rsidRPr="00FD7B0B" w:rsidRDefault="002F7314" w:rsidP="00A45D99">
            <w:pPr>
              <w:spacing w:after="0" w:line="240" w:lineRule="auto"/>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Итого</w:t>
            </w:r>
          </w:p>
        </w:tc>
        <w:tc>
          <w:tcPr>
            <w:tcW w:w="992" w:type="dxa"/>
            <w:tcBorders>
              <w:top w:val="nil"/>
              <w:left w:val="nil"/>
              <w:bottom w:val="double" w:sz="6" w:space="0" w:color="auto"/>
              <w:right w:val="single" w:sz="4" w:space="0" w:color="auto"/>
            </w:tcBorders>
            <w:shd w:val="clear" w:color="auto" w:fill="auto"/>
            <w:noWrap/>
            <w:vAlign w:val="center"/>
            <w:hideMark/>
          </w:tcPr>
          <w:p w14:paraId="7E10ED1C" w14:textId="77777777" w:rsidR="002F7314" w:rsidRPr="00FD7B0B" w:rsidRDefault="002F7314" w:rsidP="00A45D99">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67 648,0 </w:t>
            </w:r>
          </w:p>
        </w:tc>
        <w:tc>
          <w:tcPr>
            <w:tcW w:w="1134" w:type="dxa"/>
            <w:tcBorders>
              <w:top w:val="nil"/>
              <w:left w:val="nil"/>
              <w:bottom w:val="double" w:sz="6" w:space="0" w:color="auto"/>
              <w:right w:val="single" w:sz="4" w:space="0" w:color="auto"/>
            </w:tcBorders>
            <w:shd w:val="clear" w:color="auto" w:fill="auto"/>
            <w:noWrap/>
            <w:vAlign w:val="center"/>
            <w:hideMark/>
          </w:tcPr>
          <w:p w14:paraId="6A653C50" w14:textId="77777777" w:rsidR="002F7314" w:rsidRPr="00FD7B0B" w:rsidRDefault="002F7314" w:rsidP="00A45D99">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4,343 </w:t>
            </w:r>
          </w:p>
        </w:tc>
        <w:tc>
          <w:tcPr>
            <w:tcW w:w="1134" w:type="dxa"/>
            <w:tcBorders>
              <w:top w:val="nil"/>
              <w:left w:val="nil"/>
              <w:bottom w:val="double" w:sz="6" w:space="0" w:color="auto"/>
              <w:right w:val="single" w:sz="4" w:space="0" w:color="auto"/>
            </w:tcBorders>
            <w:shd w:val="clear" w:color="auto" w:fill="auto"/>
            <w:noWrap/>
            <w:vAlign w:val="center"/>
            <w:hideMark/>
          </w:tcPr>
          <w:p w14:paraId="48C7ADB1" w14:textId="77777777" w:rsidR="002F7314" w:rsidRPr="00FD7B0B" w:rsidRDefault="002F7314" w:rsidP="00A45D99">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109 045,1 </w:t>
            </w:r>
          </w:p>
        </w:tc>
        <w:tc>
          <w:tcPr>
            <w:tcW w:w="992" w:type="dxa"/>
            <w:tcBorders>
              <w:top w:val="nil"/>
              <w:left w:val="nil"/>
              <w:bottom w:val="double" w:sz="6" w:space="0" w:color="auto"/>
              <w:right w:val="single" w:sz="4" w:space="0" w:color="auto"/>
            </w:tcBorders>
            <w:shd w:val="clear" w:color="auto" w:fill="auto"/>
            <w:noWrap/>
            <w:vAlign w:val="center"/>
            <w:hideMark/>
          </w:tcPr>
          <w:p w14:paraId="2F5F36F8" w14:textId="77777777" w:rsidR="002F7314" w:rsidRPr="00FD7B0B" w:rsidRDefault="002F7314" w:rsidP="00A45D99">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89 866,1 </w:t>
            </w:r>
          </w:p>
        </w:tc>
        <w:tc>
          <w:tcPr>
            <w:tcW w:w="992" w:type="dxa"/>
            <w:tcBorders>
              <w:top w:val="nil"/>
              <w:left w:val="nil"/>
              <w:bottom w:val="double" w:sz="6" w:space="0" w:color="auto"/>
              <w:right w:val="single" w:sz="4" w:space="0" w:color="auto"/>
            </w:tcBorders>
            <w:shd w:val="clear" w:color="auto" w:fill="auto"/>
            <w:noWrap/>
            <w:vAlign w:val="center"/>
            <w:hideMark/>
          </w:tcPr>
          <w:p w14:paraId="72CC8F7F" w14:textId="77777777" w:rsidR="002F7314" w:rsidRPr="00FD7B0B" w:rsidRDefault="002F7314" w:rsidP="00A45D99">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86 826,9 </w:t>
            </w:r>
          </w:p>
        </w:tc>
        <w:tc>
          <w:tcPr>
            <w:tcW w:w="1134" w:type="dxa"/>
            <w:tcBorders>
              <w:top w:val="nil"/>
              <w:left w:val="nil"/>
              <w:bottom w:val="double" w:sz="6" w:space="0" w:color="auto"/>
              <w:right w:val="single" w:sz="4" w:space="0" w:color="auto"/>
            </w:tcBorders>
            <w:shd w:val="clear" w:color="auto" w:fill="auto"/>
            <w:noWrap/>
            <w:vAlign w:val="center"/>
            <w:hideMark/>
          </w:tcPr>
          <w:p w14:paraId="2CA9FF50" w14:textId="77777777" w:rsidR="002F7314" w:rsidRPr="00FD7B0B" w:rsidRDefault="002F7314" w:rsidP="00A45D99">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11,138 </w:t>
            </w:r>
          </w:p>
        </w:tc>
        <w:tc>
          <w:tcPr>
            <w:tcW w:w="1276" w:type="dxa"/>
            <w:tcBorders>
              <w:top w:val="nil"/>
              <w:left w:val="nil"/>
              <w:bottom w:val="double" w:sz="6" w:space="0" w:color="auto"/>
              <w:right w:val="double" w:sz="6" w:space="0" w:color="auto"/>
            </w:tcBorders>
            <w:shd w:val="clear" w:color="auto" w:fill="auto"/>
            <w:noWrap/>
            <w:vAlign w:val="center"/>
            <w:hideMark/>
          </w:tcPr>
          <w:p w14:paraId="10B4636D" w14:textId="77777777" w:rsidR="002F7314" w:rsidRPr="00FD7B0B" w:rsidRDefault="002F7314" w:rsidP="00A45D99">
            <w:pPr>
              <w:spacing w:after="0" w:line="240" w:lineRule="auto"/>
              <w:jc w:val="right"/>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4 349,4 </w:t>
            </w:r>
          </w:p>
        </w:tc>
      </w:tr>
    </w:tbl>
    <w:p w14:paraId="6D5CB70B" w14:textId="77777777" w:rsidR="002F7314" w:rsidRPr="00FD7B0B" w:rsidRDefault="002F7314" w:rsidP="00181917">
      <w:pPr>
        <w:spacing w:after="0" w:line="240" w:lineRule="auto"/>
        <w:ind w:firstLine="709"/>
        <w:jc w:val="both"/>
        <w:rPr>
          <w:rFonts w:ascii="Times New Roman" w:eastAsia="Calibri" w:hAnsi="Times New Roman" w:cs="Times New Roman"/>
          <w:sz w:val="28"/>
          <w:szCs w:val="28"/>
        </w:rPr>
      </w:pPr>
    </w:p>
    <w:p w14:paraId="18E7185C" w14:textId="77777777" w:rsidR="002F7314" w:rsidRPr="00FD7B0B" w:rsidRDefault="002F7314" w:rsidP="00181917">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Исходя из вышеизложенного, по состоянию на 01.01.2025 основным кредитором Архангельской области по заемным средствам является Минфин России, задолженность перед которым составляет 39 576,1 млн.руб. или 45,6 % от общей суммы государственного долга на конец 2024 года.</w:t>
      </w:r>
    </w:p>
    <w:p w14:paraId="749E4288" w14:textId="03D8D24B" w:rsidR="002F7314" w:rsidRPr="00FD7B0B" w:rsidRDefault="002F7314" w:rsidP="00181917">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Следующими по </w:t>
      </w:r>
      <w:r w:rsidR="00181917" w:rsidRPr="00FD7B0B">
        <w:rPr>
          <w:rFonts w:ascii="Times New Roman" w:eastAsia="Calibri" w:hAnsi="Times New Roman" w:cs="Times New Roman"/>
          <w:sz w:val="28"/>
          <w:szCs w:val="28"/>
        </w:rPr>
        <w:t>объему заемных средств</w:t>
      </w:r>
      <w:r w:rsidRPr="00FD7B0B">
        <w:rPr>
          <w:rFonts w:ascii="Times New Roman" w:eastAsia="Calibri" w:hAnsi="Times New Roman" w:cs="Times New Roman"/>
          <w:sz w:val="28"/>
          <w:szCs w:val="28"/>
        </w:rPr>
        <w:t xml:space="preserve"> в структуре государственного долга Архангельской области на 01.01.2025 является ПАО «Сбербанк России», задолженность перед которым составляет 20 000,0 млн.руб.</w:t>
      </w:r>
      <w:r w:rsidR="00181917" w:rsidRPr="00FD7B0B">
        <w:rPr>
          <w:rFonts w:ascii="Times New Roman" w:eastAsia="Calibri" w:hAnsi="Times New Roman" w:cs="Times New Roman"/>
          <w:sz w:val="28"/>
          <w:szCs w:val="28"/>
        </w:rPr>
        <w:t xml:space="preserve"> или</w:t>
      </w:r>
      <w:r w:rsidRPr="00FD7B0B">
        <w:rPr>
          <w:rFonts w:ascii="Times New Roman" w:eastAsia="Calibri" w:hAnsi="Times New Roman" w:cs="Times New Roman"/>
          <w:sz w:val="28"/>
          <w:szCs w:val="28"/>
        </w:rPr>
        <w:t xml:space="preserve"> 23,0 % об общей суммы заемных средств и ПАО «Банк ВТБ» – 19 741,7 млн.руб., доля которого составляет 22,7 %.</w:t>
      </w:r>
    </w:p>
    <w:p w14:paraId="766B55B0" w14:textId="4AD2ABEE" w:rsidR="002F7314" w:rsidRPr="00FD7B0B" w:rsidRDefault="002F7314" w:rsidP="00181917">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BA7410" w:rsidRPr="00FD7B0B">
        <w:rPr>
          <w:rFonts w:ascii="Times New Roman" w:eastAsia="Calibri" w:hAnsi="Times New Roman" w:cs="Times New Roman"/>
          <w:sz w:val="28"/>
          <w:szCs w:val="28"/>
        </w:rPr>
        <w:t>267</w:t>
      </w:r>
      <w:r w:rsidRPr="00FD7B0B">
        <w:rPr>
          <w:rFonts w:ascii="Times New Roman" w:eastAsia="Calibri" w:hAnsi="Times New Roman" w:cs="Times New Roman"/>
          <w:sz w:val="28"/>
          <w:szCs w:val="28"/>
        </w:rPr>
        <w:t xml:space="preserve"> представлены общие сведения о структуре и движении средств, составляющие государственный долг Архангельской области за 2023 и 2024 годы.</w:t>
      </w:r>
    </w:p>
    <w:p w14:paraId="0EC32B90" w14:textId="77777777" w:rsidR="002F7314" w:rsidRPr="00FD7B0B" w:rsidRDefault="002F7314" w:rsidP="0097443C">
      <w:pPr>
        <w:pStyle w:val="aff0"/>
        <w:spacing w:after="0" w:line="240" w:lineRule="auto"/>
        <w:rPr>
          <w:rFonts w:ascii="Times New Roman" w:hAnsi="Times New Roman"/>
          <w:b w:val="0"/>
          <w:sz w:val="24"/>
          <w:szCs w:val="24"/>
        </w:rPr>
      </w:pPr>
    </w:p>
    <w:p w14:paraId="706AF911" w14:textId="77777777" w:rsidR="002F7314" w:rsidRPr="00FD7B0B" w:rsidRDefault="002F7314" w:rsidP="0097443C">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267</w:t>
      </w:r>
      <w:r w:rsidRPr="00FD7B0B">
        <w:rPr>
          <w:rFonts w:ascii="Times New Roman" w:hAnsi="Times New Roman"/>
          <w:b w:val="0"/>
          <w:sz w:val="24"/>
          <w:szCs w:val="24"/>
        </w:rPr>
        <w:fldChar w:fldCharType="end"/>
      </w:r>
      <w:r w:rsidRPr="00FD7B0B">
        <w:rPr>
          <w:rFonts w:ascii="Times New Roman" w:hAnsi="Times New Roman"/>
          <w:b w:val="0"/>
          <w:sz w:val="24"/>
          <w:szCs w:val="24"/>
        </w:rPr>
        <w:t>. Структура и движение средств, составляющие государственный долг Архангельской области, а также расходы на его обслуживание за 2023 – 2024 годы, млн.руб.</w:t>
      </w:r>
    </w:p>
    <w:tbl>
      <w:tblPr>
        <w:tblW w:w="9616" w:type="dxa"/>
        <w:tblLayout w:type="fixed"/>
        <w:tblLook w:val="04A0" w:firstRow="1" w:lastRow="0" w:firstColumn="1" w:lastColumn="0" w:noHBand="0" w:noVBand="1"/>
      </w:tblPr>
      <w:tblGrid>
        <w:gridCol w:w="1670"/>
        <w:gridCol w:w="1001"/>
        <w:gridCol w:w="1134"/>
        <w:gridCol w:w="1134"/>
        <w:gridCol w:w="992"/>
        <w:gridCol w:w="992"/>
        <w:gridCol w:w="1134"/>
        <w:gridCol w:w="1559"/>
      </w:tblGrid>
      <w:tr w:rsidR="00FD7B0B" w:rsidRPr="00FD7B0B" w14:paraId="6AAAC906" w14:textId="77777777" w:rsidTr="002F7314">
        <w:trPr>
          <w:trHeight w:val="35"/>
          <w:tblHeader/>
        </w:trPr>
        <w:tc>
          <w:tcPr>
            <w:tcW w:w="167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2E20580" w14:textId="204D3D41" w:rsidR="002F7314" w:rsidRPr="00FD7B0B" w:rsidRDefault="00122BD5" w:rsidP="0097443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Показатель</w:t>
            </w:r>
          </w:p>
        </w:tc>
        <w:tc>
          <w:tcPr>
            <w:tcW w:w="2135" w:type="dxa"/>
            <w:gridSpan w:val="2"/>
            <w:tcBorders>
              <w:top w:val="double" w:sz="6" w:space="0" w:color="auto"/>
              <w:left w:val="nil"/>
              <w:bottom w:val="single" w:sz="4" w:space="0" w:color="auto"/>
              <w:right w:val="single" w:sz="4" w:space="0" w:color="auto"/>
            </w:tcBorders>
            <w:shd w:val="clear" w:color="auto" w:fill="auto"/>
            <w:vAlign w:val="center"/>
            <w:hideMark/>
          </w:tcPr>
          <w:p w14:paraId="43F9D0F2" w14:textId="6D0C6C98" w:rsidR="002F7314" w:rsidRPr="00FD7B0B" w:rsidRDefault="002F7314" w:rsidP="00122BD5">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Долг на </w:t>
            </w:r>
            <w:r w:rsidR="00122BD5" w:rsidRPr="00FD7B0B">
              <w:rPr>
                <w:rFonts w:ascii="Times New Roman" w:eastAsia="Times New Roman" w:hAnsi="Times New Roman" w:cs="Times New Roman"/>
                <w:b/>
                <w:bCs/>
                <w:sz w:val="20"/>
                <w:szCs w:val="20"/>
                <w:lang w:eastAsia="ru-RU"/>
              </w:rPr>
              <w:t>начало года</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61D1BEC3" w14:textId="77777777" w:rsidR="002F7314" w:rsidRPr="00FD7B0B" w:rsidRDefault="002F7314" w:rsidP="0097443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690196E" w14:textId="77777777" w:rsidR="002F7314" w:rsidRPr="00FD7B0B" w:rsidRDefault="002F7314" w:rsidP="0097443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Пога-шено</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212C5B97" w14:textId="3B1F7261" w:rsidR="002F7314" w:rsidRPr="00FD7B0B" w:rsidRDefault="002F7314" w:rsidP="00122BD5">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 xml:space="preserve">Долг на </w:t>
            </w:r>
            <w:r w:rsidR="00122BD5" w:rsidRPr="00FD7B0B">
              <w:rPr>
                <w:rFonts w:ascii="Times New Roman" w:eastAsia="Times New Roman" w:hAnsi="Times New Roman" w:cs="Times New Roman"/>
                <w:b/>
                <w:bCs/>
                <w:sz w:val="20"/>
                <w:szCs w:val="20"/>
                <w:lang w:eastAsia="ru-RU"/>
              </w:rPr>
              <w:t>конец года</w:t>
            </w:r>
          </w:p>
        </w:tc>
        <w:tc>
          <w:tcPr>
            <w:tcW w:w="1559"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3DC28666" w14:textId="77777777" w:rsidR="002F7314" w:rsidRPr="00FD7B0B" w:rsidRDefault="002F7314" w:rsidP="0097443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Уплачено процентов</w:t>
            </w:r>
          </w:p>
        </w:tc>
      </w:tr>
      <w:tr w:rsidR="00FD7B0B" w:rsidRPr="00FD7B0B" w14:paraId="06CCF119" w14:textId="77777777" w:rsidTr="0097443C">
        <w:trPr>
          <w:trHeight w:val="436"/>
          <w:tblHeader/>
        </w:trPr>
        <w:tc>
          <w:tcPr>
            <w:tcW w:w="1670" w:type="dxa"/>
            <w:vMerge/>
            <w:tcBorders>
              <w:top w:val="double" w:sz="6" w:space="0" w:color="auto"/>
              <w:left w:val="double" w:sz="6" w:space="0" w:color="auto"/>
              <w:bottom w:val="single" w:sz="4" w:space="0" w:color="auto"/>
              <w:right w:val="single" w:sz="4" w:space="0" w:color="auto"/>
            </w:tcBorders>
            <w:vAlign w:val="center"/>
            <w:hideMark/>
          </w:tcPr>
          <w:p w14:paraId="34EEE072" w14:textId="77777777" w:rsidR="002F7314" w:rsidRPr="00FD7B0B" w:rsidRDefault="002F7314" w:rsidP="0097443C">
            <w:pPr>
              <w:spacing w:after="0" w:line="240" w:lineRule="auto"/>
              <w:rPr>
                <w:rFonts w:ascii="Times New Roman" w:eastAsia="Times New Roman" w:hAnsi="Times New Roman" w:cs="Times New Roman"/>
                <w:b/>
                <w:bCs/>
                <w:sz w:val="20"/>
                <w:szCs w:val="20"/>
                <w:lang w:eastAsia="ru-RU"/>
              </w:rPr>
            </w:pPr>
          </w:p>
        </w:tc>
        <w:tc>
          <w:tcPr>
            <w:tcW w:w="1001" w:type="dxa"/>
            <w:tcBorders>
              <w:top w:val="nil"/>
              <w:left w:val="nil"/>
              <w:bottom w:val="single" w:sz="4" w:space="0" w:color="auto"/>
              <w:right w:val="single" w:sz="4" w:space="0" w:color="auto"/>
            </w:tcBorders>
            <w:shd w:val="clear" w:color="auto" w:fill="auto"/>
            <w:vAlign w:val="center"/>
            <w:hideMark/>
          </w:tcPr>
          <w:p w14:paraId="4B253328" w14:textId="77777777" w:rsidR="002F7314" w:rsidRPr="00FD7B0B" w:rsidRDefault="002F7314" w:rsidP="0097443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6D2852C8" w14:textId="77777777" w:rsidR="002F7314" w:rsidRPr="00FD7B0B" w:rsidRDefault="002F7314" w:rsidP="0097443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3EFCA6E9" w14:textId="77777777" w:rsidR="002F7314" w:rsidRPr="00FD7B0B" w:rsidRDefault="002F7314" w:rsidP="0097443C">
            <w:pPr>
              <w:spacing w:after="0" w:line="240" w:lineRule="auto"/>
              <w:rPr>
                <w:rFonts w:ascii="Times New Roman" w:eastAsia="Times New Roman" w:hAnsi="Times New Roman" w:cs="Times New Roman"/>
                <w:b/>
                <w:bCs/>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D9C13FB" w14:textId="77777777" w:rsidR="002F7314" w:rsidRPr="00FD7B0B" w:rsidRDefault="002F7314" w:rsidP="0097443C">
            <w:pPr>
              <w:spacing w:after="0" w:line="240" w:lineRule="auto"/>
              <w:rPr>
                <w:rFonts w:ascii="Times New Roman" w:eastAsia="Times New Roman" w:hAnsi="Times New Roman" w:cs="Times New Roman"/>
                <w:b/>
                <w:bCs/>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67B76E21" w14:textId="77777777" w:rsidR="002F7314" w:rsidRPr="00FD7B0B" w:rsidRDefault="002F7314" w:rsidP="0097443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0308E233" w14:textId="77777777" w:rsidR="002F7314" w:rsidRPr="00FD7B0B" w:rsidRDefault="002F7314" w:rsidP="0097443C">
            <w:pPr>
              <w:spacing w:after="0" w:line="240" w:lineRule="auto"/>
              <w:jc w:val="center"/>
              <w:rPr>
                <w:rFonts w:ascii="Times New Roman" w:eastAsia="Times New Roman" w:hAnsi="Times New Roman" w:cs="Times New Roman"/>
                <w:b/>
                <w:bCs/>
                <w:sz w:val="20"/>
                <w:szCs w:val="20"/>
                <w:lang w:eastAsia="ru-RU"/>
              </w:rPr>
            </w:pPr>
            <w:r w:rsidRPr="00FD7B0B">
              <w:rPr>
                <w:rFonts w:ascii="Times New Roman" w:eastAsia="Times New Roman" w:hAnsi="Times New Roman" w:cs="Times New Roman"/>
                <w:b/>
                <w:bCs/>
                <w:sz w:val="20"/>
                <w:szCs w:val="20"/>
                <w:lang w:eastAsia="ru-RU"/>
              </w:rPr>
              <w:t>средневз. ставка (%)</w:t>
            </w:r>
          </w:p>
        </w:tc>
        <w:tc>
          <w:tcPr>
            <w:tcW w:w="1559" w:type="dxa"/>
            <w:vMerge/>
            <w:tcBorders>
              <w:top w:val="double" w:sz="6" w:space="0" w:color="auto"/>
              <w:left w:val="single" w:sz="4" w:space="0" w:color="auto"/>
              <w:bottom w:val="single" w:sz="4" w:space="0" w:color="auto"/>
              <w:right w:val="double" w:sz="6" w:space="0" w:color="auto"/>
            </w:tcBorders>
            <w:vAlign w:val="center"/>
            <w:hideMark/>
          </w:tcPr>
          <w:p w14:paraId="06DA7BD3" w14:textId="77777777" w:rsidR="002F7314" w:rsidRPr="00FD7B0B" w:rsidRDefault="002F7314" w:rsidP="0097443C">
            <w:pPr>
              <w:spacing w:after="0" w:line="240" w:lineRule="auto"/>
              <w:rPr>
                <w:rFonts w:ascii="Times New Roman" w:eastAsia="Times New Roman" w:hAnsi="Times New Roman" w:cs="Times New Roman"/>
                <w:b/>
                <w:bCs/>
                <w:sz w:val="20"/>
                <w:szCs w:val="20"/>
                <w:lang w:eastAsia="ru-RU"/>
              </w:rPr>
            </w:pPr>
          </w:p>
        </w:tc>
      </w:tr>
      <w:tr w:rsidR="00FD7B0B" w:rsidRPr="00FD7B0B" w14:paraId="5C24DB6F" w14:textId="77777777" w:rsidTr="002F7314">
        <w:trPr>
          <w:trHeight w:val="70"/>
        </w:trPr>
        <w:tc>
          <w:tcPr>
            <w:tcW w:w="1670" w:type="dxa"/>
            <w:tcBorders>
              <w:top w:val="nil"/>
              <w:left w:val="double" w:sz="6" w:space="0" w:color="auto"/>
              <w:bottom w:val="single" w:sz="4" w:space="0" w:color="auto"/>
              <w:right w:val="single" w:sz="4" w:space="0" w:color="auto"/>
            </w:tcBorders>
            <w:shd w:val="clear" w:color="auto" w:fill="auto"/>
            <w:noWrap/>
            <w:vAlign w:val="bottom"/>
            <w:hideMark/>
          </w:tcPr>
          <w:p w14:paraId="7F4A1353" w14:textId="77777777" w:rsidR="002F7314" w:rsidRPr="00FD7B0B" w:rsidRDefault="002F7314" w:rsidP="0097443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2023 год</w:t>
            </w:r>
          </w:p>
        </w:tc>
        <w:tc>
          <w:tcPr>
            <w:tcW w:w="1001" w:type="dxa"/>
            <w:tcBorders>
              <w:top w:val="nil"/>
              <w:left w:val="nil"/>
              <w:bottom w:val="single" w:sz="4" w:space="0" w:color="auto"/>
              <w:right w:val="single" w:sz="4" w:space="0" w:color="auto"/>
            </w:tcBorders>
            <w:shd w:val="clear" w:color="auto" w:fill="auto"/>
            <w:noWrap/>
            <w:vAlign w:val="bottom"/>
            <w:hideMark/>
          </w:tcPr>
          <w:p w14:paraId="57D4647E"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46 578,1 </w:t>
            </w:r>
          </w:p>
        </w:tc>
        <w:tc>
          <w:tcPr>
            <w:tcW w:w="1134" w:type="dxa"/>
            <w:tcBorders>
              <w:top w:val="nil"/>
              <w:left w:val="nil"/>
              <w:bottom w:val="single" w:sz="4" w:space="0" w:color="auto"/>
              <w:right w:val="single" w:sz="4" w:space="0" w:color="auto"/>
            </w:tcBorders>
            <w:shd w:val="clear" w:color="auto" w:fill="auto"/>
            <w:noWrap/>
            <w:vAlign w:val="bottom"/>
            <w:hideMark/>
          </w:tcPr>
          <w:p w14:paraId="0A202D23"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1,222 </w:t>
            </w:r>
          </w:p>
        </w:tc>
        <w:tc>
          <w:tcPr>
            <w:tcW w:w="1134" w:type="dxa"/>
            <w:tcBorders>
              <w:top w:val="nil"/>
              <w:left w:val="nil"/>
              <w:bottom w:val="single" w:sz="4" w:space="0" w:color="auto"/>
              <w:right w:val="single" w:sz="4" w:space="0" w:color="auto"/>
            </w:tcBorders>
            <w:shd w:val="clear" w:color="auto" w:fill="auto"/>
            <w:noWrap/>
            <w:vAlign w:val="bottom"/>
            <w:hideMark/>
          </w:tcPr>
          <w:p w14:paraId="0F7058C2"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116 511,8 </w:t>
            </w:r>
          </w:p>
        </w:tc>
        <w:tc>
          <w:tcPr>
            <w:tcW w:w="992" w:type="dxa"/>
            <w:tcBorders>
              <w:top w:val="nil"/>
              <w:left w:val="nil"/>
              <w:bottom w:val="single" w:sz="4" w:space="0" w:color="auto"/>
              <w:right w:val="single" w:sz="4" w:space="0" w:color="auto"/>
            </w:tcBorders>
            <w:shd w:val="clear" w:color="auto" w:fill="auto"/>
            <w:noWrap/>
            <w:vAlign w:val="bottom"/>
            <w:hideMark/>
          </w:tcPr>
          <w:p w14:paraId="6409B110"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95 441,9 </w:t>
            </w:r>
          </w:p>
        </w:tc>
        <w:tc>
          <w:tcPr>
            <w:tcW w:w="992" w:type="dxa"/>
            <w:tcBorders>
              <w:top w:val="nil"/>
              <w:left w:val="nil"/>
              <w:bottom w:val="single" w:sz="4" w:space="0" w:color="auto"/>
              <w:right w:val="single" w:sz="4" w:space="0" w:color="auto"/>
            </w:tcBorders>
            <w:shd w:val="clear" w:color="auto" w:fill="auto"/>
            <w:noWrap/>
            <w:vAlign w:val="bottom"/>
            <w:hideMark/>
          </w:tcPr>
          <w:p w14:paraId="62DAA18E"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67 648,0 </w:t>
            </w:r>
          </w:p>
        </w:tc>
        <w:tc>
          <w:tcPr>
            <w:tcW w:w="1134" w:type="dxa"/>
            <w:tcBorders>
              <w:top w:val="nil"/>
              <w:left w:val="nil"/>
              <w:bottom w:val="single" w:sz="4" w:space="0" w:color="auto"/>
              <w:right w:val="single" w:sz="4" w:space="0" w:color="auto"/>
            </w:tcBorders>
            <w:shd w:val="clear" w:color="auto" w:fill="auto"/>
            <w:noWrap/>
            <w:vAlign w:val="bottom"/>
            <w:hideMark/>
          </w:tcPr>
          <w:p w14:paraId="7874B041"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4,343 </w:t>
            </w:r>
          </w:p>
        </w:tc>
        <w:tc>
          <w:tcPr>
            <w:tcW w:w="1559" w:type="dxa"/>
            <w:tcBorders>
              <w:top w:val="nil"/>
              <w:left w:val="nil"/>
              <w:bottom w:val="single" w:sz="4" w:space="0" w:color="auto"/>
              <w:right w:val="double" w:sz="6" w:space="0" w:color="auto"/>
            </w:tcBorders>
            <w:shd w:val="clear" w:color="auto" w:fill="auto"/>
            <w:noWrap/>
            <w:vAlign w:val="bottom"/>
            <w:hideMark/>
          </w:tcPr>
          <w:p w14:paraId="2F9AAE7E"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601,1 </w:t>
            </w:r>
          </w:p>
        </w:tc>
      </w:tr>
      <w:tr w:rsidR="00FD7B0B" w:rsidRPr="00FD7B0B" w14:paraId="31F8309E" w14:textId="77777777" w:rsidTr="002F7314">
        <w:trPr>
          <w:trHeight w:val="70"/>
        </w:trPr>
        <w:tc>
          <w:tcPr>
            <w:tcW w:w="1670" w:type="dxa"/>
            <w:tcBorders>
              <w:top w:val="nil"/>
              <w:left w:val="double" w:sz="6" w:space="0" w:color="auto"/>
              <w:bottom w:val="single" w:sz="4" w:space="0" w:color="auto"/>
              <w:right w:val="single" w:sz="4" w:space="0" w:color="auto"/>
            </w:tcBorders>
            <w:shd w:val="clear" w:color="auto" w:fill="auto"/>
            <w:noWrap/>
            <w:vAlign w:val="bottom"/>
            <w:hideMark/>
          </w:tcPr>
          <w:p w14:paraId="0D030BFE" w14:textId="77777777" w:rsidR="002F7314" w:rsidRPr="00FD7B0B" w:rsidRDefault="002F7314" w:rsidP="0097443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2024 год</w:t>
            </w:r>
          </w:p>
        </w:tc>
        <w:tc>
          <w:tcPr>
            <w:tcW w:w="1001" w:type="dxa"/>
            <w:tcBorders>
              <w:top w:val="nil"/>
              <w:left w:val="nil"/>
              <w:bottom w:val="single" w:sz="4" w:space="0" w:color="auto"/>
              <w:right w:val="single" w:sz="4" w:space="0" w:color="auto"/>
            </w:tcBorders>
            <w:shd w:val="clear" w:color="auto" w:fill="auto"/>
            <w:noWrap/>
            <w:vAlign w:val="bottom"/>
            <w:hideMark/>
          </w:tcPr>
          <w:p w14:paraId="48EFBA82"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67 648,0 </w:t>
            </w:r>
          </w:p>
        </w:tc>
        <w:tc>
          <w:tcPr>
            <w:tcW w:w="1134" w:type="dxa"/>
            <w:tcBorders>
              <w:top w:val="nil"/>
              <w:left w:val="nil"/>
              <w:bottom w:val="single" w:sz="4" w:space="0" w:color="auto"/>
              <w:right w:val="single" w:sz="4" w:space="0" w:color="auto"/>
            </w:tcBorders>
            <w:shd w:val="clear" w:color="auto" w:fill="auto"/>
            <w:noWrap/>
            <w:vAlign w:val="bottom"/>
            <w:hideMark/>
          </w:tcPr>
          <w:p w14:paraId="2FD2DFA6"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4,343 </w:t>
            </w:r>
          </w:p>
        </w:tc>
        <w:tc>
          <w:tcPr>
            <w:tcW w:w="1134" w:type="dxa"/>
            <w:tcBorders>
              <w:top w:val="nil"/>
              <w:left w:val="nil"/>
              <w:bottom w:val="single" w:sz="4" w:space="0" w:color="auto"/>
              <w:right w:val="single" w:sz="4" w:space="0" w:color="auto"/>
            </w:tcBorders>
            <w:shd w:val="clear" w:color="auto" w:fill="auto"/>
            <w:noWrap/>
            <w:vAlign w:val="bottom"/>
            <w:hideMark/>
          </w:tcPr>
          <w:p w14:paraId="47DAB5A7"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109 045,1 </w:t>
            </w:r>
          </w:p>
        </w:tc>
        <w:tc>
          <w:tcPr>
            <w:tcW w:w="992" w:type="dxa"/>
            <w:tcBorders>
              <w:top w:val="nil"/>
              <w:left w:val="nil"/>
              <w:bottom w:val="single" w:sz="4" w:space="0" w:color="auto"/>
              <w:right w:val="single" w:sz="4" w:space="0" w:color="auto"/>
            </w:tcBorders>
            <w:shd w:val="clear" w:color="auto" w:fill="auto"/>
            <w:noWrap/>
            <w:vAlign w:val="bottom"/>
            <w:hideMark/>
          </w:tcPr>
          <w:p w14:paraId="2C77930C"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89 866,1 </w:t>
            </w:r>
          </w:p>
        </w:tc>
        <w:tc>
          <w:tcPr>
            <w:tcW w:w="992" w:type="dxa"/>
            <w:tcBorders>
              <w:top w:val="nil"/>
              <w:left w:val="nil"/>
              <w:bottom w:val="single" w:sz="4" w:space="0" w:color="auto"/>
              <w:right w:val="single" w:sz="4" w:space="0" w:color="auto"/>
            </w:tcBorders>
            <w:shd w:val="clear" w:color="auto" w:fill="auto"/>
            <w:noWrap/>
            <w:vAlign w:val="bottom"/>
            <w:hideMark/>
          </w:tcPr>
          <w:p w14:paraId="025102DD"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86 826,9 </w:t>
            </w:r>
          </w:p>
        </w:tc>
        <w:tc>
          <w:tcPr>
            <w:tcW w:w="1134" w:type="dxa"/>
            <w:tcBorders>
              <w:top w:val="nil"/>
              <w:left w:val="nil"/>
              <w:bottom w:val="single" w:sz="4" w:space="0" w:color="auto"/>
              <w:right w:val="single" w:sz="4" w:space="0" w:color="auto"/>
            </w:tcBorders>
            <w:shd w:val="clear" w:color="auto" w:fill="auto"/>
            <w:noWrap/>
            <w:vAlign w:val="bottom"/>
            <w:hideMark/>
          </w:tcPr>
          <w:p w14:paraId="78E7810B"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11,138 </w:t>
            </w:r>
          </w:p>
        </w:tc>
        <w:tc>
          <w:tcPr>
            <w:tcW w:w="1559" w:type="dxa"/>
            <w:tcBorders>
              <w:top w:val="nil"/>
              <w:left w:val="nil"/>
              <w:bottom w:val="single" w:sz="4" w:space="0" w:color="auto"/>
              <w:right w:val="double" w:sz="6" w:space="0" w:color="auto"/>
            </w:tcBorders>
            <w:shd w:val="clear" w:color="auto" w:fill="auto"/>
            <w:noWrap/>
            <w:vAlign w:val="bottom"/>
            <w:hideMark/>
          </w:tcPr>
          <w:p w14:paraId="644E7C01"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4 349,4 </w:t>
            </w:r>
          </w:p>
        </w:tc>
      </w:tr>
      <w:tr w:rsidR="002F7314" w:rsidRPr="00FD7B0B" w14:paraId="2FFD5931" w14:textId="77777777" w:rsidTr="002F7314">
        <w:trPr>
          <w:trHeight w:val="70"/>
        </w:trPr>
        <w:tc>
          <w:tcPr>
            <w:tcW w:w="1670" w:type="dxa"/>
            <w:tcBorders>
              <w:top w:val="nil"/>
              <w:left w:val="double" w:sz="6" w:space="0" w:color="auto"/>
              <w:bottom w:val="double" w:sz="6" w:space="0" w:color="auto"/>
              <w:right w:val="single" w:sz="4" w:space="0" w:color="auto"/>
            </w:tcBorders>
            <w:shd w:val="clear" w:color="auto" w:fill="auto"/>
            <w:noWrap/>
            <w:vAlign w:val="bottom"/>
            <w:hideMark/>
          </w:tcPr>
          <w:p w14:paraId="196DF9B6" w14:textId="77777777" w:rsidR="002F7314" w:rsidRPr="00FD7B0B" w:rsidRDefault="002F7314" w:rsidP="0097443C">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Изменения (+,-)</w:t>
            </w:r>
          </w:p>
        </w:tc>
        <w:tc>
          <w:tcPr>
            <w:tcW w:w="1001" w:type="dxa"/>
            <w:tcBorders>
              <w:top w:val="nil"/>
              <w:left w:val="nil"/>
              <w:bottom w:val="double" w:sz="6" w:space="0" w:color="auto"/>
              <w:right w:val="single" w:sz="4" w:space="0" w:color="auto"/>
            </w:tcBorders>
            <w:shd w:val="clear" w:color="auto" w:fill="auto"/>
            <w:noWrap/>
            <w:vAlign w:val="bottom"/>
            <w:hideMark/>
          </w:tcPr>
          <w:p w14:paraId="2B118C91"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21 069,9 </w:t>
            </w:r>
          </w:p>
        </w:tc>
        <w:tc>
          <w:tcPr>
            <w:tcW w:w="1134" w:type="dxa"/>
            <w:tcBorders>
              <w:top w:val="nil"/>
              <w:left w:val="nil"/>
              <w:bottom w:val="double" w:sz="6" w:space="0" w:color="auto"/>
              <w:right w:val="single" w:sz="4" w:space="0" w:color="auto"/>
            </w:tcBorders>
            <w:shd w:val="clear" w:color="auto" w:fill="auto"/>
            <w:noWrap/>
            <w:vAlign w:val="bottom"/>
            <w:hideMark/>
          </w:tcPr>
          <w:p w14:paraId="5B4A5B29"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3,120 </w:t>
            </w:r>
          </w:p>
        </w:tc>
        <w:tc>
          <w:tcPr>
            <w:tcW w:w="1134" w:type="dxa"/>
            <w:tcBorders>
              <w:top w:val="nil"/>
              <w:left w:val="nil"/>
              <w:bottom w:val="double" w:sz="6" w:space="0" w:color="auto"/>
              <w:right w:val="single" w:sz="4" w:space="0" w:color="auto"/>
            </w:tcBorders>
            <w:shd w:val="clear" w:color="auto" w:fill="auto"/>
            <w:noWrap/>
            <w:vAlign w:val="bottom"/>
            <w:hideMark/>
          </w:tcPr>
          <w:p w14:paraId="4E980E7B"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-7 466,8 </w:t>
            </w:r>
          </w:p>
        </w:tc>
        <w:tc>
          <w:tcPr>
            <w:tcW w:w="992" w:type="dxa"/>
            <w:tcBorders>
              <w:top w:val="nil"/>
              <w:left w:val="nil"/>
              <w:bottom w:val="double" w:sz="6" w:space="0" w:color="auto"/>
              <w:right w:val="single" w:sz="4" w:space="0" w:color="auto"/>
            </w:tcBorders>
            <w:shd w:val="clear" w:color="auto" w:fill="auto"/>
            <w:noWrap/>
            <w:vAlign w:val="bottom"/>
            <w:hideMark/>
          </w:tcPr>
          <w:p w14:paraId="3A7075AD"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-5 575,8 </w:t>
            </w:r>
          </w:p>
        </w:tc>
        <w:tc>
          <w:tcPr>
            <w:tcW w:w="992" w:type="dxa"/>
            <w:tcBorders>
              <w:top w:val="nil"/>
              <w:left w:val="nil"/>
              <w:bottom w:val="double" w:sz="6" w:space="0" w:color="auto"/>
              <w:right w:val="single" w:sz="4" w:space="0" w:color="auto"/>
            </w:tcBorders>
            <w:shd w:val="clear" w:color="auto" w:fill="auto"/>
            <w:noWrap/>
            <w:vAlign w:val="bottom"/>
            <w:hideMark/>
          </w:tcPr>
          <w:p w14:paraId="075F4465"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19 178,9 </w:t>
            </w:r>
          </w:p>
        </w:tc>
        <w:tc>
          <w:tcPr>
            <w:tcW w:w="1134" w:type="dxa"/>
            <w:tcBorders>
              <w:top w:val="nil"/>
              <w:left w:val="nil"/>
              <w:bottom w:val="double" w:sz="6" w:space="0" w:color="auto"/>
              <w:right w:val="single" w:sz="4" w:space="0" w:color="auto"/>
            </w:tcBorders>
            <w:shd w:val="clear" w:color="auto" w:fill="auto"/>
            <w:noWrap/>
            <w:vAlign w:val="bottom"/>
            <w:hideMark/>
          </w:tcPr>
          <w:p w14:paraId="6CCF824C"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6,795 </w:t>
            </w:r>
          </w:p>
        </w:tc>
        <w:tc>
          <w:tcPr>
            <w:tcW w:w="1559" w:type="dxa"/>
            <w:tcBorders>
              <w:top w:val="nil"/>
              <w:left w:val="nil"/>
              <w:bottom w:val="double" w:sz="6" w:space="0" w:color="auto"/>
              <w:right w:val="double" w:sz="6" w:space="0" w:color="auto"/>
            </w:tcBorders>
            <w:shd w:val="clear" w:color="auto" w:fill="auto"/>
            <w:noWrap/>
            <w:vAlign w:val="bottom"/>
            <w:hideMark/>
          </w:tcPr>
          <w:p w14:paraId="6FC692DF" w14:textId="77777777" w:rsidR="002F7314" w:rsidRPr="00FD7B0B" w:rsidRDefault="002F7314" w:rsidP="0097443C">
            <w:pPr>
              <w:spacing w:after="0" w:line="240" w:lineRule="auto"/>
              <w:jc w:val="right"/>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3 748,3 </w:t>
            </w:r>
          </w:p>
        </w:tc>
      </w:tr>
    </w:tbl>
    <w:p w14:paraId="25538119" w14:textId="77777777" w:rsidR="002F7314" w:rsidRPr="00FD7B0B" w:rsidRDefault="002F7314" w:rsidP="00122BD5">
      <w:pPr>
        <w:spacing w:after="0" w:line="240" w:lineRule="auto"/>
        <w:ind w:firstLine="709"/>
        <w:jc w:val="both"/>
        <w:rPr>
          <w:rFonts w:ascii="Times New Roman" w:eastAsia="Calibri" w:hAnsi="Times New Roman" w:cs="Times New Roman"/>
          <w:sz w:val="28"/>
          <w:szCs w:val="28"/>
        </w:rPr>
      </w:pPr>
    </w:p>
    <w:p w14:paraId="071BCDCD" w14:textId="496B4F5D" w:rsidR="002F7314" w:rsidRPr="00FD7B0B" w:rsidRDefault="002F7314" w:rsidP="00122BD5">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 рисунк</w:t>
      </w:r>
      <w:r w:rsidR="005B57F7" w:rsidRPr="00FD7B0B">
        <w:rPr>
          <w:rFonts w:ascii="Times New Roman" w:eastAsia="Calibri" w:hAnsi="Times New Roman" w:cs="Times New Roman"/>
          <w:sz w:val="28"/>
          <w:szCs w:val="28"/>
        </w:rPr>
        <w:t>ах</w:t>
      </w:r>
      <w:r w:rsidRPr="00FD7B0B">
        <w:rPr>
          <w:rFonts w:ascii="Times New Roman" w:eastAsia="Calibri" w:hAnsi="Times New Roman" w:cs="Times New Roman"/>
          <w:sz w:val="28"/>
          <w:szCs w:val="28"/>
        </w:rPr>
        <w:t xml:space="preserve"> </w:t>
      </w:r>
      <w:r w:rsidR="005B57F7" w:rsidRPr="00FD7B0B">
        <w:rPr>
          <w:rFonts w:ascii="Times New Roman" w:eastAsia="Calibri" w:hAnsi="Times New Roman" w:cs="Times New Roman"/>
          <w:sz w:val="28"/>
          <w:szCs w:val="28"/>
        </w:rPr>
        <w:t>44 и 45</w:t>
      </w:r>
      <w:r w:rsidRPr="00FD7B0B">
        <w:rPr>
          <w:rFonts w:ascii="Times New Roman" w:eastAsia="Calibri" w:hAnsi="Times New Roman" w:cs="Times New Roman"/>
          <w:sz w:val="28"/>
          <w:szCs w:val="28"/>
        </w:rPr>
        <w:t xml:space="preserve"> приведены сведения об объемах и структуре государственного долга Архангельской области за последние 5 лет, с 01.01.2021 по 01.01.2025.</w:t>
      </w:r>
    </w:p>
    <w:p w14:paraId="50B2F548" w14:textId="77777777" w:rsidR="002F7314" w:rsidRPr="00FD7B0B" w:rsidRDefault="002F7314" w:rsidP="007628BA">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61265171" wp14:editId="160F3FC9">
            <wp:extent cx="6153150" cy="179959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54553" cy="1800000"/>
                    </a:xfrm>
                    <a:prstGeom prst="rect">
                      <a:avLst/>
                    </a:prstGeom>
                    <a:noFill/>
                  </pic:spPr>
                </pic:pic>
              </a:graphicData>
            </a:graphic>
          </wp:inline>
        </w:drawing>
      </w:r>
    </w:p>
    <w:p w14:paraId="7C78B3C1" w14:textId="592A8E28" w:rsidR="002F7314" w:rsidRPr="00FD7B0B" w:rsidRDefault="002F7314" w:rsidP="007628B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44</w:t>
      </w:r>
      <w:r w:rsidRPr="00FD7B0B">
        <w:rPr>
          <w:rFonts w:ascii="Times New Roman" w:hAnsi="Times New Roman"/>
          <w:b w:val="0"/>
          <w:sz w:val="24"/>
          <w:szCs w:val="24"/>
        </w:rPr>
        <w:fldChar w:fldCharType="end"/>
      </w:r>
      <w:r w:rsidRPr="00FD7B0B">
        <w:rPr>
          <w:rFonts w:ascii="Times New Roman" w:hAnsi="Times New Roman"/>
          <w:b w:val="0"/>
          <w:sz w:val="24"/>
          <w:szCs w:val="24"/>
        </w:rPr>
        <w:t>. Объем государственного долга Архангельской области с 01.01.202</w:t>
      </w:r>
      <w:r w:rsidR="00647BE1" w:rsidRPr="00FD7B0B">
        <w:rPr>
          <w:rFonts w:ascii="Times New Roman" w:hAnsi="Times New Roman"/>
          <w:b w:val="0"/>
          <w:sz w:val="24"/>
          <w:szCs w:val="24"/>
        </w:rPr>
        <w:t>1</w:t>
      </w:r>
      <w:r w:rsidRPr="00FD7B0B">
        <w:rPr>
          <w:rFonts w:ascii="Times New Roman" w:hAnsi="Times New Roman"/>
          <w:b w:val="0"/>
          <w:sz w:val="24"/>
          <w:szCs w:val="24"/>
        </w:rPr>
        <w:t xml:space="preserve"> по 01.01.2025, млн.руб.</w:t>
      </w:r>
    </w:p>
    <w:p w14:paraId="3D94E2D5" w14:textId="77777777" w:rsidR="002F7314" w:rsidRPr="00FD7B0B" w:rsidRDefault="002F7314" w:rsidP="00C64343">
      <w:pPr>
        <w:spacing w:after="0" w:line="240" w:lineRule="auto"/>
        <w:ind w:firstLine="709"/>
        <w:jc w:val="both"/>
        <w:rPr>
          <w:rFonts w:ascii="Times New Roman" w:eastAsia="Calibri" w:hAnsi="Times New Roman" w:cs="Times New Roman"/>
          <w:sz w:val="28"/>
          <w:szCs w:val="28"/>
        </w:rPr>
      </w:pPr>
    </w:p>
    <w:p w14:paraId="13CED8A1" w14:textId="77777777" w:rsidR="002F7314" w:rsidRPr="00FD7B0B" w:rsidRDefault="002F7314" w:rsidP="00C6434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2020 году в связи с сокращением поступления налоговых и неналоговых доходов в результате ухудшения экономической ситуации, обусловленной влиянием ограничительных мер по недопущению распространения коронавирусной инфекции (COVID-19) и увеличения расходной части областного бюджета потребовалось привлечение дополнительных заемных средств, что привело к увеличению государственного долга на 25,6 %.</w:t>
      </w:r>
    </w:p>
    <w:p w14:paraId="01594467" w14:textId="77777777" w:rsidR="002F7314" w:rsidRPr="00FD7B0B" w:rsidRDefault="002F7314" w:rsidP="00C6434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Объем долговых обязательств Архангельской области, сложившийся по состоянию на 01.01.2022 практически соответствует объему на 01.01.2021.</w:t>
      </w:r>
    </w:p>
    <w:p w14:paraId="58A1C177" w14:textId="77777777" w:rsidR="002F7314" w:rsidRPr="00FD7B0B" w:rsidRDefault="002F7314" w:rsidP="00C6434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2022 году рост государственного долга Архангельской области обусловлен привлечением бюджетных кредитов.</w:t>
      </w:r>
    </w:p>
    <w:p w14:paraId="5087C5DA" w14:textId="603DDD51" w:rsidR="002F7314" w:rsidRPr="00FD7B0B" w:rsidRDefault="002F7314" w:rsidP="00C6434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2023 году объем государственного долга увеличился на 45,2 %, что обусловлено в большей части привлечением коммерческих кредитов, задолженность по которым увеличилась в 2,9 раза, направляемых на покрытие дефицита областного бюджета, который в свою очередь по отношению к 2022 году </w:t>
      </w:r>
      <w:r w:rsidR="00E7151A" w:rsidRPr="00FD7B0B">
        <w:rPr>
          <w:rFonts w:ascii="Times New Roman" w:eastAsia="Calibri" w:hAnsi="Times New Roman" w:cs="Times New Roman"/>
          <w:sz w:val="28"/>
          <w:szCs w:val="28"/>
        </w:rPr>
        <w:t>увеличился</w:t>
      </w:r>
      <w:r w:rsidRPr="00FD7B0B">
        <w:rPr>
          <w:rFonts w:ascii="Times New Roman" w:eastAsia="Calibri" w:hAnsi="Times New Roman" w:cs="Times New Roman"/>
          <w:sz w:val="28"/>
          <w:szCs w:val="28"/>
        </w:rPr>
        <w:t xml:space="preserve"> в 4,2 раза.</w:t>
      </w:r>
    </w:p>
    <w:p w14:paraId="03BE166A" w14:textId="03E7A827" w:rsidR="002F7314" w:rsidRPr="00FD7B0B" w:rsidRDefault="002F7314" w:rsidP="00E7151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2024 году рост государственного долга составил 28,4 %, что</w:t>
      </w:r>
      <w:r w:rsidR="00E7151A"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 xml:space="preserve"> как и в 2023 году обусловлено ростом задолженности по коммерческим кредитам, котор</w:t>
      </w:r>
      <w:r w:rsidR="00E7151A" w:rsidRPr="00FD7B0B">
        <w:rPr>
          <w:rFonts w:ascii="Times New Roman" w:eastAsia="Calibri" w:hAnsi="Times New Roman" w:cs="Times New Roman"/>
          <w:sz w:val="28"/>
          <w:szCs w:val="28"/>
        </w:rPr>
        <w:t>ая</w:t>
      </w:r>
      <w:r w:rsidRPr="00FD7B0B">
        <w:rPr>
          <w:rFonts w:ascii="Times New Roman" w:eastAsia="Calibri" w:hAnsi="Times New Roman" w:cs="Times New Roman"/>
          <w:sz w:val="28"/>
          <w:szCs w:val="28"/>
        </w:rPr>
        <w:t xml:space="preserve"> увеличилась на 94,5 %.</w:t>
      </w:r>
    </w:p>
    <w:p w14:paraId="2E6E884C" w14:textId="77777777" w:rsidR="002F7314" w:rsidRPr="00FD7B0B" w:rsidRDefault="002F7314" w:rsidP="00E7151A">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lastRenderedPageBreak/>
        <w:drawing>
          <wp:inline distT="0" distB="0" distL="0" distR="0" wp14:anchorId="620EAC6D" wp14:editId="67F9CA74">
            <wp:extent cx="6115050" cy="179959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6443" cy="1800000"/>
                    </a:xfrm>
                    <a:prstGeom prst="rect">
                      <a:avLst/>
                    </a:prstGeom>
                    <a:noFill/>
                  </pic:spPr>
                </pic:pic>
              </a:graphicData>
            </a:graphic>
          </wp:inline>
        </w:drawing>
      </w:r>
    </w:p>
    <w:p w14:paraId="616F9064" w14:textId="77777777" w:rsidR="002F7314" w:rsidRPr="00FD7B0B" w:rsidRDefault="002F7314" w:rsidP="00E7151A">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45</w:t>
      </w:r>
      <w:r w:rsidRPr="00FD7B0B">
        <w:rPr>
          <w:rFonts w:ascii="Times New Roman" w:hAnsi="Times New Roman"/>
          <w:b w:val="0"/>
          <w:sz w:val="24"/>
          <w:szCs w:val="24"/>
        </w:rPr>
        <w:fldChar w:fldCharType="end"/>
      </w:r>
      <w:r w:rsidRPr="00FD7B0B">
        <w:rPr>
          <w:rFonts w:ascii="Times New Roman" w:hAnsi="Times New Roman"/>
          <w:b w:val="0"/>
          <w:sz w:val="24"/>
          <w:szCs w:val="24"/>
        </w:rPr>
        <w:t>. Структура государственного долга Архангельской области по видам обязательств с 01.01.2021 по 01.01.2025, млн.руб.</w:t>
      </w:r>
    </w:p>
    <w:p w14:paraId="100342CB" w14:textId="77777777" w:rsidR="002F7314" w:rsidRPr="00FD7B0B" w:rsidRDefault="002F7314" w:rsidP="00E7151A">
      <w:pPr>
        <w:spacing w:after="0" w:line="240" w:lineRule="auto"/>
        <w:ind w:firstLine="709"/>
        <w:jc w:val="both"/>
        <w:rPr>
          <w:rFonts w:ascii="Times New Roman" w:eastAsia="Calibri" w:hAnsi="Times New Roman" w:cs="Times New Roman"/>
          <w:sz w:val="28"/>
          <w:szCs w:val="28"/>
        </w:rPr>
      </w:pPr>
    </w:p>
    <w:p w14:paraId="68261FE3" w14:textId="7663F718" w:rsidR="002F7314" w:rsidRPr="00FD7B0B" w:rsidRDefault="002F7314" w:rsidP="00E7151A">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До 01.01.2021 в составе государственного долга на конец каждого отчетного периода преобладают коммерческие кредиты. По состоянию на 01.01.2022 ситуация изменилась</w:t>
      </w:r>
      <w:r w:rsidR="00E7151A" w:rsidRPr="00FD7B0B">
        <w:rPr>
          <w:rFonts w:ascii="Times New Roman" w:eastAsia="Calibri" w:hAnsi="Times New Roman" w:cs="Times New Roman"/>
          <w:sz w:val="28"/>
          <w:szCs w:val="28"/>
        </w:rPr>
        <w:t>,</w:t>
      </w:r>
      <w:r w:rsidRPr="00FD7B0B">
        <w:rPr>
          <w:rFonts w:ascii="Times New Roman" w:eastAsia="Calibri" w:hAnsi="Times New Roman" w:cs="Times New Roman"/>
          <w:sz w:val="28"/>
          <w:szCs w:val="28"/>
        </w:rPr>
        <w:t xml:space="preserve"> и в структуре государственного долга бюджетные кредиты составляют уже 65,2 %, а на 01.01.2023 – 82,8 %, на 01.01.2024 – 66,0 % или сократилась на 16,8 процентных пункта.</w:t>
      </w:r>
    </w:p>
    <w:p w14:paraId="19A245DF" w14:textId="6F20AE64" w:rsidR="002F7314" w:rsidRPr="00FD7B0B" w:rsidRDefault="002F7314" w:rsidP="00A90062">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На 01.01.2025 в структуре государственного долга Архангельской области доля бюджетных и коммерческих кредитов </w:t>
      </w:r>
      <w:r w:rsidR="00A90062" w:rsidRPr="00FD7B0B">
        <w:rPr>
          <w:rFonts w:ascii="Times New Roman" w:eastAsia="Calibri" w:hAnsi="Times New Roman" w:cs="Times New Roman"/>
          <w:sz w:val="28"/>
          <w:szCs w:val="28"/>
        </w:rPr>
        <w:t>практически</w:t>
      </w:r>
      <w:r w:rsidRPr="00FD7B0B">
        <w:rPr>
          <w:rFonts w:ascii="Times New Roman" w:eastAsia="Calibri" w:hAnsi="Times New Roman" w:cs="Times New Roman"/>
          <w:sz w:val="28"/>
          <w:szCs w:val="28"/>
        </w:rPr>
        <w:t xml:space="preserve"> равны, в т.ч. коммерческие – 51,5 %, а бюджетных – 48,5 %.</w:t>
      </w:r>
    </w:p>
    <w:p w14:paraId="015F3FE7" w14:textId="77777777" w:rsidR="002F7314" w:rsidRPr="00FD7B0B" w:rsidRDefault="002F7314" w:rsidP="003C5DD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Всего с 01.01.2021 по 01.01.2025 государственный долг Архангельской области увеличился в 2 раза или на 44 155,3 млн.руб., в т.ч. только за 2023 – 2024 годы, т.е. с 01.01.2023 – на 40 248,8 млн.руб. </w:t>
      </w:r>
    </w:p>
    <w:p w14:paraId="3E2323C3" w14:textId="19C8DDC5" w:rsidR="002F7314" w:rsidRPr="00FD7B0B" w:rsidRDefault="002F7314" w:rsidP="003C5DD3">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Информация о</w:t>
      </w:r>
      <w:r w:rsidR="00706A68" w:rsidRPr="00FD7B0B">
        <w:rPr>
          <w:rFonts w:ascii="Times New Roman" w:eastAsia="Calibri" w:hAnsi="Times New Roman" w:cs="Times New Roman"/>
          <w:sz w:val="28"/>
          <w:szCs w:val="28"/>
        </w:rPr>
        <w:t>б</w:t>
      </w:r>
      <w:r w:rsidRPr="00FD7B0B">
        <w:rPr>
          <w:rFonts w:ascii="Times New Roman" w:eastAsia="Calibri" w:hAnsi="Times New Roman" w:cs="Times New Roman"/>
          <w:sz w:val="28"/>
          <w:szCs w:val="28"/>
        </w:rPr>
        <w:t xml:space="preserve"> изменении объема и структуры государственного долга Архангельской области за 5 лет приведена в таблице </w:t>
      </w:r>
      <w:r w:rsidR="005B57F7" w:rsidRPr="00FD7B0B">
        <w:rPr>
          <w:rFonts w:ascii="Times New Roman" w:eastAsia="Calibri" w:hAnsi="Times New Roman" w:cs="Times New Roman"/>
          <w:sz w:val="28"/>
          <w:szCs w:val="28"/>
        </w:rPr>
        <w:t>268</w:t>
      </w:r>
      <w:r w:rsidRPr="00FD7B0B">
        <w:rPr>
          <w:rFonts w:ascii="Times New Roman" w:eastAsia="Calibri" w:hAnsi="Times New Roman" w:cs="Times New Roman"/>
          <w:sz w:val="28"/>
          <w:szCs w:val="28"/>
        </w:rPr>
        <w:t>.</w:t>
      </w:r>
    </w:p>
    <w:p w14:paraId="651FB513" w14:textId="77777777" w:rsidR="002F7314" w:rsidRPr="00FD7B0B" w:rsidRDefault="002F7314" w:rsidP="003C5DD3">
      <w:pPr>
        <w:pStyle w:val="aff0"/>
        <w:spacing w:after="0" w:line="240" w:lineRule="auto"/>
        <w:rPr>
          <w:rFonts w:ascii="Times New Roman" w:hAnsi="Times New Roman"/>
          <w:b w:val="0"/>
          <w:sz w:val="24"/>
          <w:szCs w:val="24"/>
        </w:rPr>
      </w:pPr>
    </w:p>
    <w:p w14:paraId="0C7278EA" w14:textId="77777777" w:rsidR="002F7314" w:rsidRPr="00FD7B0B" w:rsidRDefault="002F7314" w:rsidP="003C5DD3">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268</w:t>
      </w:r>
      <w:r w:rsidRPr="00FD7B0B">
        <w:rPr>
          <w:rFonts w:ascii="Times New Roman" w:hAnsi="Times New Roman"/>
          <w:b w:val="0"/>
          <w:sz w:val="24"/>
          <w:szCs w:val="24"/>
        </w:rPr>
        <w:fldChar w:fldCharType="end"/>
      </w:r>
      <w:r w:rsidRPr="00FD7B0B">
        <w:rPr>
          <w:rFonts w:ascii="Times New Roman" w:hAnsi="Times New Roman"/>
          <w:b w:val="0"/>
          <w:sz w:val="24"/>
          <w:szCs w:val="24"/>
        </w:rPr>
        <w:t>. Структура государственного долга Архангельской области с 01.01.2021 по 01.01.2025 и её изменение за 5 лет</w:t>
      </w:r>
    </w:p>
    <w:tbl>
      <w:tblPr>
        <w:tblW w:w="9724" w:type="dxa"/>
        <w:tblLook w:val="04A0" w:firstRow="1" w:lastRow="0" w:firstColumn="1" w:lastColumn="0" w:noHBand="0" w:noVBand="1"/>
      </w:tblPr>
      <w:tblGrid>
        <w:gridCol w:w="3134"/>
        <w:gridCol w:w="1560"/>
        <w:gridCol w:w="960"/>
        <w:gridCol w:w="1025"/>
        <w:gridCol w:w="960"/>
        <w:gridCol w:w="1025"/>
        <w:gridCol w:w="1060"/>
      </w:tblGrid>
      <w:tr w:rsidR="00FD7B0B" w:rsidRPr="00FD7B0B" w14:paraId="5D04AC72" w14:textId="77777777" w:rsidTr="002F7314">
        <w:trPr>
          <w:trHeight w:val="35"/>
        </w:trPr>
        <w:tc>
          <w:tcPr>
            <w:tcW w:w="313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E9568C6"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Показатель</w:t>
            </w:r>
          </w:p>
        </w:tc>
        <w:tc>
          <w:tcPr>
            <w:tcW w:w="2520" w:type="dxa"/>
            <w:gridSpan w:val="2"/>
            <w:tcBorders>
              <w:top w:val="double" w:sz="6" w:space="0" w:color="auto"/>
              <w:left w:val="nil"/>
              <w:bottom w:val="single" w:sz="4" w:space="0" w:color="auto"/>
              <w:right w:val="single" w:sz="4" w:space="0" w:color="auto"/>
            </w:tcBorders>
            <w:shd w:val="clear" w:color="auto" w:fill="auto"/>
            <w:vAlign w:val="center"/>
            <w:hideMark/>
          </w:tcPr>
          <w:p w14:paraId="64E13D82"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 01.01.2021</w:t>
            </w:r>
          </w:p>
        </w:tc>
        <w:tc>
          <w:tcPr>
            <w:tcW w:w="1985" w:type="dxa"/>
            <w:gridSpan w:val="2"/>
            <w:tcBorders>
              <w:top w:val="double" w:sz="6" w:space="0" w:color="auto"/>
              <w:left w:val="nil"/>
              <w:bottom w:val="single" w:sz="4" w:space="0" w:color="auto"/>
              <w:right w:val="single" w:sz="4" w:space="0" w:color="auto"/>
            </w:tcBorders>
            <w:shd w:val="clear" w:color="auto" w:fill="auto"/>
            <w:vAlign w:val="center"/>
            <w:hideMark/>
          </w:tcPr>
          <w:p w14:paraId="30018C4E"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На 01.01.2025</w:t>
            </w:r>
          </w:p>
        </w:tc>
        <w:tc>
          <w:tcPr>
            <w:tcW w:w="2085" w:type="dxa"/>
            <w:gridSpan w:val="2"/>
            <w:tcBorders>
              <w:top w:val="double" w:sz="6" w:space="0" w:color="auto"/>
              <w:left w:val="nil"/>
              <w:bottom w:val="single" w:sz="4" w:space="0" w:color="auto"/>
              <w:right w:val="double" w:sz="6" w:space="0" w:color="000000"/>
            </w:tcBorders>
            <w:shd w:val="clear" w:color="auto" w:fill="auto"/>
            <w:vAlign w:val="center"/>
            <w:hideMark/>
          </w:tcPr>
          <w:p w14:paraId="46704B47"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Изменение (+/-)</w:t>
            </w:r>
          </w:p>
        </w:tc>
      </w:tr>
      <w:tr w:rsidR="00FD7B0B" w:rsidRPr="00FD7B0B" w14:paraId="6DAB05C1" w14:textId="77777777" w:rsidTr="002F7314">
        <w:trPr>
          <w:trHeight w:val="35"/>
        </w:trPr>
        <w:tc>
          <w:tcPr>
            <w:tcW w:w="3134" w:type="dxa"/>
            <w:vMerge/>
            <w:tcBorders>
              <w:top w:val="double" w:sz="6" w:space="0" w:color="auto"/>
              <w:left w:val="double" w:sz="6" w:space="0" w:color="auto"/>
              <w:bottom w:val="single" w:sz="4" w:space="0" w:color="auto"/>
              <w:right w:val="single" w:sz="4" w:space="0" w:color="auto"/>
            </w:tcBorders>
            <w:vAlign w:val="center"/>
            <w:hideMark/>
          </w:tcPr>
          <w:p w14:paraId="17588076" w14:textId="77777777" w:rsidR="002F7314" w:rsidRPr="00FD7B0B" w:rsidRDefault="002F7314" w:rsidP="008F19C6">
            <w:pPr>
              <w:spacing w:after="0" w:line="240" w:lineRule="auto"/>
              <w:rPr>
                <w:rFonts w:ascii="Times New Roman" w:eastAsia="Times New Roman" w:hAnsi="Times New Roman" w:cs="Times New Roman"/>
                <w:lang w:eastAsia="ru-RU"/>
              </w:rPr>
            </w:pPr>
          </w:p>
        </w:tc>
        <w:tc>
          <w:tcPr>
            <w:tcW w:w="1560" w:type="dxa"/>
            <w:tcBorders>
              <w:top w:val="nil"/>
              <w:left w:val="nil"/>
              <w:bottom w:val="single" w:sz="4" w:space="0" w:color="auto"/>
              <w:right w:val="single" w:sz="4" w:space="0" w:color="auto"/>
            </w:tcBorders>
            <w:shd w:val="clear" w:color="auto" w:fill="auto"/>
            <w:vAlign w:val="center"/>
            <w:hideMark/>
          </w:tcPr>
          <w:p w14:paraId="3944E9B0"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млн.руб.</w:t>
            </w:r>
          </w:p>
        </w:tc>
        <w:tc>
          <w:tcPr>
            <w:tcW w:w="960" w:type="dxa"/>
            <w:tcBorders>
              <w:top w:val="nil"/>
              <w:left w:val="nil"/>
              <w:bottom w:val="single" w:sz="4" w:space="0" w:color="auto"/>
              <w:right w:val="single" w:sz="4" w:space="0" w:color="auto"/>
            </w:tcBorders>
            <w:shd w:val="clear" w:color="auto" w:fill="auto"/>
            <w:vAlign w:val="center"/>
            <w:hideMark/>
          </w:tcPr>
          <w:p w14:paraId="23C5CEF8"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уд. вес (%)</w:t>
            </w:r>
          </w:p>
        </w:tc>
        <w:tc>
          <w:tcPr>
            <w:tcW w:w="1025" w:type="dxa"/>
            <w:tcBorders>
              <w:top w:val="nil"/>
              <w:left w:val="nil"/>
              <w:bottom w:val="single" w:sz="4" w:space="0" w:color="auto"/>
              <w:right w:val="single" w:sz="4" w:space="0" w:color="auto"/>
            </w:tcBorders>
            <w:shd w:val="clear" w:color="auto" w:fill="auto"/>
            <w:vAlign w:val="center"/>
            <w:hideMark/>
          </w:tcPr>
          <w:p w14:paraId="76A1C540"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млн.руб.</w:t>
            </w:r>
          </w:p>
        </w:tc>
        <w:tc>
          <w:tcPr>
            <w:tcW w:w="960" w:type="dxa"/>
            <w:tcBorders>
              <w:top w:val="nil"/>
              <w:left w:val="nil"/>
              <w:bottom w:val="single" w:sz="4" w:space="0" w:color="auto"/>
              <w:right w:val="single" w:sz="4" w:space="0" w:color="auto"/>
            </w:tcBorders>
            <w:shd w:val="clear" w:color="auto" w:fill="auto"/>
            <w:vAlign w:val="center"/>
            <w:hideMark/>
          </w:tcPr>
          <w:p w14:paraId="37191B31"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уд. вес (%)</w:t>
            </w:r>
          </w:p>
        </w:tc>
        <w:tc>
          <w:tcPr>
            <w:tcW w:w="1025" w:type="dxa"/>
            <w:tcBorders>
              <w:top w:val="nil"/>
              <w:left w:val="nil"/>
              <w:bottom w:val="single" w:sz="4" w:space="0" w:color="auto"/>
              <w:right w:val="single" w:sz="4" w:space="0" w:color="auto"/>
            </w:tcBorders>
            <w:shd w:val="clear" w:color="auto" w:fill="auto"/>
            <w:vAlign w:val="center"/>
            <w:hideMark/>
          </w:tcPr>
          <w:p w14:paraId="5934F2DA"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млн.руб.</w:t>
            </w:r>
          </w:p>
        </w:tc>
        <w:tc>
          <w:tcPr>
            <w:tcW w:w="1060" w:type="dxa"/>
            <w:tcBorders>
              <w:top w:val="nil"/>
              <w:left w:val="nil"/>
              <w:bottom w:val="single" w:sz="4" w:space="0" w:color="auto"/>
              <w:right w:val="double" w:sz="6" w:space="0" w:color="auto"/>
            </w:tcBorders>
            <w:shd w:val="clear" w:color="auto" w:fill="auto"/>
            <w:vAlign w:val="center"/>
            <w:hideMark/>
          </w:tcPr>
          <w:p w14:paraId="5F557D0B" w14:textId="77777777" w:rsidR="002F7314" w:rsidRPr="00FD7B0B" w:rsidRDefault="002F7314" w:rsidP="008F19C6">
            <w:pPr>
              <w:spacing w:after="0" w:line="240" w:lineRule="auto"/>
              <w:jc w:val="center"/>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пунктов</w:t>
            </w:r>
          </w:p>
        </w:tc>
      </w:tr>
      <w:tr w:rsidR="00FD7B0B" w:rsidRPr="00FD7B0B" w14:paraId="352D7D16" w14:textId="77777777" w:rsidTr="002F7314">
        <w:trPr>
          <w:trHeight w:val="70"/>
        </w:trPr>
        <w:tc>
          <w:tcPr>
            <w:tcW w:w="3134" w:type="dxa"/>
            <w:tcBorders>
              <w:top w:val="nil"/>
              <w:left w:val="double" w:sz="6" w:space="0" w:color="auto"/>
              <w:bottom w:val="single" w:sz="4" w:space="0" w:color="auto"/>
              <w:right w:val="single" w:sz="4" w:space="0" w:color="auto"/>
            </w:tcBorders>
            <w:shd w:val="clear" w:color="auto" w:fill="auto"/>
            <w:vAlign w:val="center"/>
            <w:hideMark/>
          </w:tcPr>
          <w:p w14:paraId="5508B97E" w14:textId="77777777" w:rsidR="002F7314" w:rsidRPr="00FD7B0B" w:rsidRDefault="002F7314" w:rsidP="008F19C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Бюджетные кредиты</w:t>
            </w:r>
          </w:p>
        </w:tc>
        <w:tc>
          <w:tcPr>
            <w:tcW w:w="1560" w:type="dxa"/>
            <w:tcBorders>
              <w:top w:val="nil"/>
              <w:left w:val="nil"/>
              <w:bottom w:val="single" w:sz="4" w:space="0" w:color="auto"/>
              <w:right w:val="single" w:sz="4" w:space="0" w:color="auto"/>
            </w:tcBorders>
            <w:shd w:val="clear" w:color="auto" w:fill="auto"/>
            <w:noWrap/>
            <w:vAlign w:val="center"/>
            <w:hideMark/>
          </w:tcPr>
          <w:p w14:paraId="4AC104B1"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18 671,7 </w:t>
            </w:r>
          </w:p>
        </w:tc>
        <w:tc>
          <w:tcPr>
            <w:tcW w:w="960" w:type="dxa"/>
            <w:tcBorders>
              <w:top w:val="nil"/>
              <w:left w:val="nil"/>
              <w:bottom w:val="single" w:sz="4" w:space="0" w:color="auto"/>
              <w:right w:val="single" w:sz="4" w:space="0" w:color="auto"/>
            </w:tcBorders>
            <w:shd w:val="clear" w:color="auto" w:fill="auto"/>
            <w:noWrap/>
            <w:vAlign w:val="center"/>
            <w:hideMark/>
          </w:tcPr>
          <w:p w14:paraId="69DDE60C"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43,8 </w:t>
            </w:r>
          </w:p>
        </w:tc>
        <w:tc>
          <w:tcPr>
            <w:tcW w:w="1025" w:type="dxa"/>
            <w:tcBorders>
              <w:top w:val="nil"/>
              <w:left w:val="nil"/>
              <w:bottom w:val="single" w:sz="4" w:space="0" w:color="auto"/>
              <w:right w:val="single" w:sz="4" w:space="0" w:color="auto"/>
            </w:tcBorders>
            <w:shd w:val="clear" w:color="auto" w:fill="auto"/>
            <w:noWrap/>
            <w:vAlign w:val="center"/>
            <w:hideMark/>
          </w:tcPr>
          <w:p w14:paraId="00CF3BD8"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42 085,2 </w:t>
            </w:r>
          </w:p>
        </w:tc>
        <w:tc>
          <w:tcPr>
            <w:tcW w:w="960" w:type="dxa"/>
            <w:tcBorders>
              <w:top w:val="nil"/>
              <w:left w:val="nil"/>
              <w:bottom w:val="single" w:sz="4" w:space="0" w:color="auto"/>
              <w:right w:val="single" w:sz="4" w:space="0" w:color="auto"/>
            </w:tcBorders>
            <w:shd w:val="clear" w:color="auto" w:fill="auto"/>
            <w:noWrap/>
            <w:vAlign w:val="center"/>
            <w:hideMark/>
          </w:tcPr>
          <w:p w14:paraId="29378D02"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48,5 </w:t>
            </w:r>
          </w:p>
        </w:tc>
        <w:tc>
          <w:tcPr>
            <w:tcW w:w="1025" w:type="dxa"/>
            <w:tcBorders>
              <w:top w:val="nil"/>
              <w:left w:val="nil"/>
              <w:bottom w:val="single" w:sz="4" w:space="0" w:color="auto"/>
              <w:right w:val="single" w:sz="4" w:space="0" w:color="auto"/>
            </w:tcBorders>
            <w:shd w:val="clear" w:color="auto" w:fill="auto"/>
            <w:noWrap/>
            <w:vAlign w:val="center"/>
            <w:hideMark/>
          </w:tcPr>
          <w:p w14:paraId="532960C4"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23 413,5 </w:t>
            </w:r>
          </w:p>
        </w:tc>
        <w:tc>
          <w:tcPr>
            <w:tcW w:w="1060" w:type="dxa"/>
            <w:tcBorders>
              <w:top w:val="nil"/>
              <w:left w:val="nil"/>
              <w:bottom w:val="single" w:sz="4" w:space="0" w:color="auto"/>
              <w:right w:val="double" w:sz="6" w:space="0" w:color="auto"/>
            </w:tcBorders>
            <w:shd w:val="clear" w:color="auto" w:fill="auto"/>
            <w:noWrap/>
            <w:vAlign w:val="center"/>
            <w:hideMark/>
          </w:tcPr>
          <w:p w14:paraId="757218C7"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4,7 </w:t>
            </w:r>
          </w:p>
        </w:tc>
      </w:tr>
      <w:tr w:rsidR="00FD7B0B" w:rsidRPr="00FD7B0B" w14:paraId="4ABC588F" w14:textId="77777777" w:rsidTr="002F7314">
        <w:trPr>
          <w:trHeight w:val="70"/>
        </w:trPr>
        <w:tc>
          <w:tcPr>
            <w:tcW w:w="3134" w:type="dxa"/>
            <w:tcBorders>
              <w:top w:val="nil"/>
              <w:left w:val="double" w:sz="6" w:space="0" w:color="auto"/>
              <w:bottom w:val="single" w:sz="4" w:space="0" w:color="auto"/>
              <w:right w:val="single" w:sz="4" w:space="0" w:color="auto"/>
            </w:tcBorders>
            <w:shd w:val="clear" w:color="auto" w:fill="auto"/>
            <w:vAlign w:val="center"/>
            <w:hideMark/>
          </w:tcPr>
          <w:p w14:paraId="2D2472F6" w14:textId="77777777" w:rsidR="002F7314" w:rsidRPr="00FD7B0B" w:rsidRDefault="002F7314" w:rsidP="008F19C6">
            <w:pPr>
              <w:spacing w:after="0" w:line="240" w:lineRule="auto"/>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Кредиты кредитных организаций</w:t>
            </w:r>
          </w:p>
        </w:tc>
        <w:tc>
          <w:tcPr>
            <w:tcW w:w="1560" w:type="dxa"/>
            <w:tcBorders>
              <w:top w:val="nil"/>
              <w:left w:val="nil"/>
              <w:bottom w:val="single" w:sz="4" w:space="0" w:color="auto"/>
              <w:right w:val="single" w:sz="4" w:space="0" w:color="auto"/>
            </w:tcBorders>
            <w:shd w:val="clear" w:color="auto" w:fill="auto"/>
            <w:noWrap/>
            <w:vAlign w:val="center"/>
            <w:hideMark/>
          </w:tcPr>
          <w:p w14:paraId="6A5B0328"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24 000,0 </w:t>
            </w:r>
          </w:p>
        </w:tc>
        <w:tc>
          <w:tcPr>
            <w:tcW w:w="960" w:type="dxa"/>
            <w:tcBorders>
              <w:top w:val="nil"/>
              <w:left w:val="nil"/>
              <w:bottom w:val="single" w:sz="4" w:space="0" w:color="auto"/>
              <w:right w:val="single" w:sz="4" w:space="0" w:color="auto"/>
            </w:tcBorders>
            <w:shd w:val="clear" w:color="auto" w:fill="auto"/>
            <w:noWrap/>
            <w:vAlign w:val="center"/>
            <w:hideMark/>
          </w:tcPr>
          <w:p w14:paraId="409513C9"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56,2 </w:t>
            </w:r>
          </w:p>
        </w:tc>
        <w:tc>
          <w:tcPr>
            <w:tcW w:w="1025" w:type="dxa"/>
            <w:tcBorders>
              <w:top w:val="nil"/>
              <w:left w:val="nil"/>
              <w:bottom w:val="single" w:sz="4" w:space="0" w:color="auto"/>
              <w:right w:val="single" w:sz="4" w:space="0" w:color="auto"/>
            </w:tcBorders>
            <w:shd w:val="clear" w:color="auto" w:fill="auto"/>
            <w:noWrap/>
            <w:vAlign w:val="center"/>
            <w:hideMark/>
          </w:tcPr>
          <w:p w14:paraId="3224E255"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44 741,7 </w:t>
            </w:r>
          </w:p>
        </w:tc>
        <w:tc>
          <w:tcPr>
            <w:tcW w:w="960" w:type="dxa"/>
            <w:tcBorders>
              <w:top w:val="nil"/>
              <w:left w:val="nil"/>
              <w:bottom w:val="single" w:sz="4" w:space="0" w:color="auto"/>
              <w:right w:val="single" w:sz="4" w:space="0" w:color="auto"/>
            </w:tcBorders>
            <w:shd w:val="clear" w:color="auto" w:fill="auto"/>
            <w:noWrap/>
            <w:vAlign w:val="center"/>
            <w:hideMark/>
          </w:tcPr>
          <w:p w14:paraId="4C0BA853"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51,5 </w:t>
            </w:r>
          </w:p>
        </w:tc>
        <w:tc>
          <w:tcPr>
            <w:tcW w:w="1025" w:type="dxa"/>
            <w:tcBorders>
              <w:top w:val="nil"/>
              <w:left w:val="nil"/>
              <w:bottom w:val="single" w:sz="4" w:space="0" w:color="auto"/>
              <w:right w:val="single" w:sz="4" w:space="0" w:color="auto"/>
            </w:tcBorders>
            <w:shd w:val="clear" w:color="auto" w:fill="auto"/>
            <w:noWrap/>
            <w:vAlign w:val="center"/>
            <w:hideMark/>
          </w:tcPr>
          <w:p w14:paraId="764562FF"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20 741,7 </w:t>
            </w:r>
          </w:p>
        </w:tc>
        <w:tc>
          <w:tcPr>
            <w:tcW w:w="1060" w:type="dxa"/>
            <w:tcBorders>
              <w:top w:val="nil"/>
              <w:left w:val="nil"/>
              <w:bottom w:val="single" w:sz="4" w:space="0" w:color="auto"/>
              <w:right w:val="double" w:sz="6" w:space="0" w:color="auto"/>
            </w:tcBorders>
            <w:shd w:val="clear" w:color="auto" w:fill="auto"/>
            <w:noWrap/>
            <w:vAlign w:val="center"/>
            <w:hideMark/>
          </w:tcPr>
          <w:p w14:paraId="5EF3D196" w14:textId="77777777" w:rsidR="002F7314" w:rsidRPr="00FD7B0B" w:rsidRDefault="002F7314" w:rsidP="008F19C6">
            <w:pPr>
              <w:spacing w:after="0" w:line="240" w:lineRule="auto"/>
              <w:jc w:val="right"/>
              <w:rPr>
                <w:rFonts w:ascii="Times New Roman" w:eastAsia="Times New Roman" w:hAnsi="Times New Roman" w:cs="Times New Roman"/>
                <w:lang w:eastAsia="ru-RU"/>
              </w:rPr>
            </w:pPr>
            <w:r w:rsidRPr="00FD7B0B">
              <w:rPr>
                <w:rFonts w:ascii="Times New Roman" w:eastAsia="Times New Roman" w:hAnsi="Times New Roman" w:cs="Times New Roman"/>
                <w:lang w:eastAsia="ru-RU"/>
              </w:rPr>
              <w:t xml:space="preserve">-4,7 </w:t>
            </w:r>
          </w:p>
        </w:tc>
      </w:tr>
      <w:tr w:rsidR="002F7314" w:rsidRPr="00FD7B0B" w14:paraId="54DF66D1" w14:textId="77777777" w:rsidTr="007B3A78">
        <w:trPr>
          <w:trHeight w:val="136"/>
        </w:trPr>
        <w:tc>
          <w:tcPr>
            <w:tcW w:w="3134" w:type="dxa"/>
            <w:tcBorders>
              <w:top w:val="nil"/>
              <w:left w:val="double" w:sz="6" w:space="0" w:color="auto"/>
              <w:bottom w:val="double" w:sz="6" w:space="0" w:color="auto"/>
              <w:right w:val="single" w:sz="4" w:space="0" w:color="auto"/>
            </w:tcBorders>
            <w:shd w:val="clear" w:color="auto" w:fill="auto"/>
            <w:vAlign w:val="center"/>
            <w:hideMark/>
          </w:tcPr>
          <w:p w14:paraId="369E4376" w14:textId="77777777" w:rsidR="002F7314" w:rsidRPr="00FD7B0B" w:rsidRDefault="002F7314" w:rsidP="008F19C6">
            <w:pPr>
              <w:spacing w:after="0" w:line="240" w:lineRule="auto"/>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Итого</w:t>
            </w:r>
          </w:p>
        </w:tc>
        <w:tc>
          <w:tcPr>
            <w:tcW w:w="1560" w:type="dxa"/>
            <w:tcBorders>
              <w:top w:val="nil"/>
              <w:left w:val="nil"/>
              <w:bottom w:val="double" w:sz="6" w:space="0" w:color="auto"/>
              <w:right w:val="single" w:sz="4" w:space="0" w:color="auto"/>
            </w:tcBorders>
            <w:shd w:val="clear" w:color="auto" w:fill="auto"/>
            <w:noWrap/>
            <w:vAlign w:val="center"/>
            <w:hideMark/>
          </w:tcPr>
          <w:p w14:paraId="708ED3B7" w14:textId="77777777" w:rsidR="002F7314" w:rsidRPr="00FD7B0B" w:rsidRDefault="002F7314" w:rsidP="008F19C6">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42 671,7 </w:t>
            </w:r>
          </w:p>
        </w:tc>
        <w:tc>
          <w:tcPr>
            <w:tcW w:w="960" w:type="dxa"/>
            <w:tcBorders>
              <w:top w:val="nil"/>
              <w:left w:val="nil"/>
              <w:bottom w:val="double" w:sz="6" w:space="0" w:color="auto"/>
              <w:right w:val="single" w:sz="4" w:space="0" w:color="auto"/>
            </w:tcBorders>
            <w:shd w:val="clear" w:color="auto" w:fill="auto"/>
            <w:noWrap/>
            <w:vAlign w:val="center"/>
            <w:hideMark/>
          </w:tcPr>
          <w:p w14:paraId="325D091E" w14:textId="77777777" w:rsidR="002F7314" w:rsidRPr="00FD7B0B" w:rsidRDefault="002F7314" w:rsidP="008F19C6">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100,0 </w:t>
            </w:r>
          </w:p>
        </w:tc>
        <w:tc>
          <w:tcPr>
            <w:tcW w:w="1025" w:type="dxa"/>
            <w:tcBorders>
              <w:top w:val="nil"/>
              <w:left w:val="nil"/>
              <w:bottom w:val="double" w:sz="6" w:space="0" w:color="auto"/>
              <w:right w:val="single" w:sz="4" w:space="0" w:color="auto"/>
            </w:tcBorders>
            <w:shd w:val="clear" w:color="auto" w:fill="auto"/>
            <w:noWrap/>
            <w:vAlign w:val="center"/>
            <w:hideMark/>
          </w:tcPr>
          <w:p w14:paraId="3633A4A2" w14:textId="77777777" w:rsidR="002F7314" w:rsidRPr="00FD7B0B" w:rsidRDefault="002F7314" w:rsidP="008F19C6">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86 826,9 </w:t>
            </w:r>
          </w:p>
        </w:tc>
        <w:tc>
          <w:tcPr>
            <w:tcW w:w="960" w:type="dxa"/>
            <w:tcBorders>
              <w:top w:val="nil"/>
              <w:left w:val="nil"/>
              <w:bottom w:val="double" w:sz="6" w:space="0" w:color="auto"/>
              <w:right w:val="single" w:sz="4" w:space="0" w:color="auto"/>
            </w:tcBorders>
            <w:shd w:val="clear" w:color="auto" w:fill="auto"/>
            <w:noWrap/>
            <w:vAlign w:val="center"/>
            <w:hideMark/>
          </w:tcPr>
          <w:p w14:paraId="763FA16E" w14:textId="77777777" w:rsidR="002F7314" w:rsidRPr="00FD7B0B" w:rsidRDefault="002F7314" w:rsidP="008F19C6">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100,0 </w:t>
            </w:r>
          </w:p>
        </w:tc>
        <w:tc>
          <w:tcPr>
            <w:tcW w:w="1025" w:type="dxa"/>
            <w:tcBorders>
              <w:top w:val="nil"/>
              <w:left w:val="nil"/>
              <w:bottom w:val="double" w:sz="6" w:space="0" w:color="auto"/>
              <w:right w:val="single" w:sz="4" w:space="0" w:color="auto"/>
            </w:tcBorders>
            <w:shd w:val="clear" w:color="auto" w:fill="auto"/>
            <w:noWrap/>
            <w:vAlign w:val="center"/>
            <w:hideMark/>
          </w:tcPr>
          <w:p w14:paraId="0220FD37" w14:textId="77777777" w:rsidR="002F7314" w:rsidRPr="00FD7B0B" w:rsidRDefault="002F7314" w:rsidP="008F19C6">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44 155,3 </w:t>
            </w:r>
          </w:p>
        </w:tc>
        <w:tc>
          <w:tcPr>
            <w:tcW w:w="1060" w:type="dxa"/>
            <w:tcBorders>
              <w:top w:val="nil"/>
              <w:left w:val="nil"/>
              <w:bottom w:val="double" w:sz="6" w:space="0" w:color="auto"/>
              <w:right w:val="double" w:sz="6" w:space="0" w:color="auto"/>
            </w:tcBorders>
            <w:shd w:val="clear" w:color="auto" w:fill="auto"/>
            <w:noWrap/>
            <w:vAlign w:val="center"/>
            <w:hideMark/>
          </w:tcPr>
          <w:p w14:paraId="469ECB05" w14:textId="77777777" w:rsidR="002F7314" w:rsidRPr="00FD7B0B" w:rsidRDefault="002F7314" w:rsidP="008F19C6">
            <w:pPr>
              <w:spacing w:after="0" w:line="240" w:lineRule="auto"/>
              <w:jc w:val="right"/>
              <w:rPr>
                <w:rFonts w:ascii="Times New Roman" w:eastAsia="Times New Roman" w:hAnsi="Times New Roman" w:cs="Times New Roman"/>
                <w:b/>
                <w:bCs/>
                <w:lang w:eastAsia="ru-RU"/>
              </w:rPr>
            </w:pPr>
            <w:r w:rsidRPr="00FD7B0B">
              <w:rPr>
                <w:rFonts w:ascii="Times New Roman" w:eastAsia="Times New Roman" w:hAnsi="Times New Roman" w:cs="Times New Roman"/>
                <w:b/>
                <w:bCs/>
                <w:lang w:eastAsia="ru-RU"/>
              </w:rPr>
              <w:t xml:space="preserve">0,0 </w:t>
            </w:r>
          </w:p>
        </w:tc>
      </w:tr>
    </w:tbl>
    <w:p w14:paraId="19785544" w14:textId="77777777" w:rsidR="002F7314" w:rsidRPr="00FD7B0B" w:rsidRDefault="002F7314" w:rsidP="007B3A78">
      <w:pPr>
        <w:spacing w:after="0" w:line="240" w:lineRule="auto"/>
        <w:ind w:firstLine="709"/>
        <w:jc w:val="both"/>
        <w:rPr>
          <w:rFonts w:ascii="Times New Roman" w:eastAsia="Calibri" w:hAnsi="Times New Roman" w:cs="Times New Roman"/>
          <w:sz w:val="28"/>
          <w:szCs w:val="28"/>
        </w:rPr>
      </w:pPr>
    </w:p>
    <w:p w14:paraId="386BD66A" w14:textId="46BC55B4" w:rsidR="002F7314" w:rsidRPr="00FD7B0B" w:rsidRDefault="002F7314" w:rsidP="007B3A7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Первоначально бюджетные ассигнования на обслуживание долговых обязательств областным законом «Об областном бюджете на 2024 год» утверждены в сумме 3 228,1 млн.руб. В течение 2024 года указанные ассигнования областными законами о внесении изменений в закон о бюджете увеличены на 1 110,9 млн.руб. или на 34,4 %. В результате бюджетные ассигнования на обслуживание государственного долга Архангельской области по состоянию на 31.12.2024 законом «Об областном бюджете на 2024 год» утверждены в сумме 4 339,0 млн.руб.</w:t>
      </w:r>
    </w:p>
    <w:p w14:paraId="1C0D69A4" w14:textId="3CE9E96D" w:rsidR="002F7314" w:rsidRPr="00FD7B0B" w:rsidRDefault="007B3A78" w:rsidP="007B3A7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w:t>
      </w:r>
      <w:r w:rsidR="002F7314" w:rsidRPr="00FD7B0B">
        <w:rPr>
          <w:rFonts w:ascii="Times New Roman" w:eastAsia="Calibri" w:hAnsi="Times New Roman" w:cs="Times New Roman"/>
          <w:sz w:val="28"/>
          <w:szCs w:val="28"/>
        </w:rPr>
        <w:t xml:space="preserve">оказателями бюджетной росписи областного бюджета, действующей на 31.12.2024 расходы на обслуживание государственного долга на 16,8 млн.руб. </w:t>
      </w:r>
      <w:r w:rsidR="002F7314" w:rsidRPr="00FD7B0B">
        <w:rPr>
          <w:rFonts w:ascii="Times New Roman" w:eastAsia="Calibri" w:hAnsi="Times New Roman" w:cs="Times New Roman"/>
          <w:sz w:val="28"/>
          <w:szCs w:val="28"/>
        </w:rPr>
        <w:lastRenderedPageBreak/>
        <w:t xml:space="preserve">превышают аналогичные параметры, утвержденные </w:t>
      </w:r>
      <w:r w:rsidRPr="00FD7B0B">
        <w:rPr>
          <w:rFonts w:ascii="Times New Roman" w:eastAsia="Calibri" w:hAnsi="Times New Roman" w:cs="Times New Roman"/>
          <w:sz w:val="28"/>
          <w:szCs w:val="28"/>
        </w:rPr>
        <w:t>законом о бюджете</w:t>
      </w:r>
      <w:r w:rsidR="002F7314" w:rsidRPr="00FD7B0B">
        <w:rPr>
          <w:rFonts w:ascii="Times New Roman" w:eastAsia="Calibri" w:hAnsi="Times New Roman" w:cs="Times New Roman"/>
          <w:sz w:val="28"/>
          <w:szCs w:val="28"/>
        </w:rPr>
        <w:t xml:space="preserve"> и составляют 4 355,8 тыс.руб.</w:t>
      </w:r>
    </w:p>
    <w:p w14:paraId="499A76D8" w14:textId="33352634" w:rsidR="002F7314" w:rsidRPr="00FD7B0B" w:rsidRDefault="002F7314" w:rsidP="000D212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Расходы на обслуживание государственного долга в отчетном периоде составили 4 349,4 млн.руб. или на 99,9 % к утвержденным бюджетной росписью ассигнованиям. Как отражено выше, по сравнению с соответствующим периодом 2023 года указанные расходы увеличились в 7,2 раза (+3 748,3 млн.руб.) в основном за счет </w:t>
      </w:r>
      <w:r w:rsidR="00E212E3" w:rsidRPr="00FD7B0B">
        <w:rPr>
          <w:rFonts w:ascii="Times New Roman" w:eastAsia="Calibri" w:hAnsi="Times New Roman" w:cs="Times New Roman"/>
          <w:sz w:val="28"/>
          <w:szCs w:val="28"/>
        </w:rPr>
        <w:t xml:space="preserve">увеличения ключевой ставки Банка России и </w:t>
      </w:r>
      <w:r w:rsidRPr="00FD7B0B">
        <w:rPr>
          <w:rFonts w:ascii="Times New Roman" w:eastAsia="Calibri" w:hAnsi="Times New Roman" w:cs="Times New Roman"/>
          <w:sz w:val="28"/>
          <w:szCs w:val="28"/>
        </w:rPr>
        <w:t>привлечения коммерческих кредитов с плавающей ставкой, которая зависит от ключевой ставки Банка России.</w:t>
      </w:r>
    </w:p>
    <w:p w14:paraId="45CE1423" w14:textId="44A15DCA" w:rsidR="002F7314" w:rsidRPr="00FD7B0B" w:rsidRDefault="002F7314" w:rsidP="0019629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Ежемесячные расходы областного бюджета на обслуживание государственного долга за 2023 – 2024 годы представлены на рисунке </w:t>
      </w:r>
      <w:r w:rsidR="005B57F7" w:rsidRPr="00FD7B0B">
        <w:rPr>
          <w:rFonts w:ascii="Times New Roman" w:eastAsia="Calibri" w:hAnsi="Times New Roman" w:cs="Times New Roman"/>
          <w:sz w:val="28"/>
          <w:szCs w:val="28"/>
        </w:rPr>
        <w:t>46</w:t>
      </w:r>
      <w:r w:rsidRPr="00FD7B0B">
        <w:rPr>
          <w:rFonts w:ascii="Times New Roman" w:eastAsia="Calibri" w:hAnsi="Times New Roman" w:cs="Times New Roman"/>
          <w:sz w:val="28"/>
          <w:szCs w:val="28"/>
        </w:rPr>
        <w:t>.</w:t>
      </w:r>
    </w:p>
    <w:p w14:paraId="0DE74A20" w14:textId="77777777" w:rsidR="002F7314" w:rsidRPr="00FD7B0B" w:rsidRDefault="002F7314" w:rsidP="00196298">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74D8C3D1" wp14:editId="3ADD168C">
            <wp:extent cx="6162675" cy="2339892"/>
            <wp:effectExtent l="0" t="0" r="0" b="381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27272" cy="2364419"/>
                    </a:xfrm>
                    <a:prstGeom prst="rect">
                      <a:avLst/>
                    </a:prstGeom>
                    <a:noFill/>
                  </pic:spPr>
                </pic:pic>
              </a:graphicData>
            </a:graphic>
          </wp:inline>
        </w:drawing>
      </w:r>
    </w:p>
    <w:p w14:paraId="7D136512" w14:textId="77777777" w:rsidR="002F7314" w:rsidRPr="00FD7B0B" w:rsidRDefault="002F7314" w:rsidP="00196298">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46</w:t>
      </w:r>
      <w:r w:rsidRPr="00FD7B0B">
        <w:rPr>
          <w:rFonts w:ascii="Times New Roman" w:hAnsi="Times New Roman"/>
          <w:b w:val="0"/>
          <w:sz w:val="24"/>
          <w:szCs w:val="24"/>
        </w:rPr>
        <w:fldChar w:fldCharType="end"/>
      </w:r>
      <w:r w:rsidRPr="00FD7B0B">
        <w:rPr>
          <w:rFonts w:ascii="Times New Roman" w:hAnsi="Times New Roman"/>
          <w:b w:val="0"/>
          <w:sz w:val="24"/>
          <w:szCs w:val="24"/>
        </w:rPr>
        <w:t>. Ежемесячные расходы на обслуживание государственного долга Архангельской области за 2023 – 2024 годы (без нарастающего итога), млн.руб.</w:t>
      </w:r>
    </w:p>
    <w:p w14:paraId="6C194D43" w14:textId="77777777" w:rsidR="002F7314" w:rsidRPr="00FD7B0B" w:rsidRDefault="002F7314" w:rsidP="00196298">
      <w:pPr>
        <w:pStyle w:val="aff0"/>
        <w:spacing w:after="0" w:line="240" w:lineRule="auto"/>
        <w:rPr>
          <w:rFonts w:ascii="Times New Roman" w:hAnsi="Times New Roman"/>
          <w:b w:val="0"/>
          <w:sz w:val="24"/>
          <w:szCs w:val="24"/>
        </w:rPr>
      </w:pPr>
    </w:p>
    <w:p w14:paraId="21B5E892" w14:textId="77777777" w:rsidR="002F7314" w:rsidRPr="00FD7B0B" w:rsidRDefault="002F7314" w:rsidP="0019629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Отмечаем, что в октябре 2024 года значительный рост расходов на обслуживание государственного долга объясняется тем, что в сентябре 2024 года расходы на обслуживание долговых обязательств не осуществлялись, т.к. в контрактах с кредитными организациями уплата процентов за пользование кредитов предусмотрена не позднее 10 числа месяца, следующего за текущим, на основании ведомости начисления процентов, предоставленной банком.</w:t>
      </w:r>
    </w:p>
    <w:p w14:paraId="5AA7EBCD" w14:textId="77777777" w:rsidR="002F7314" w:rsidRPr="00FD7B0B" w:rsidRDefault="002F7314" w:rsidP="00957C8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Аналогичная ситуация имела место в декабре 2024 года, т.к. в ноябре уплата процентов по коммерческим кредитам не осуществлялась.</w:t>
      </w:r>
    </w:p>
    <w:p w14:paraId="6C068635" w14:textId="77777777" w:rsidR="002F7314" w:rsidRPr="00FD7B0B" w:rsidRDefault="002F7314" w:rsidP="00957C8B">
      <w:pPr>
        <w:spacing w:after="0" w:line="240" w:lineRule="auto"/>
        <w:ind w:firstLine="709"/>
        <w:jc w:val="both"/>
        <w:rPr>
          <w:rFonts w:ascii="Times New Roman" w:eastAsia="Calibri" w:hAnsi="Times New Roman" w:cs="Times New Roman"/>
          <w:sz w:val="28"/>
          <w:szCs w:val="28"/>
        </w:rPr>
      </w:pPr>
    </w:p>
    <w:p w14:paraId="5157939E" w14:textId="77777777" w:rsidR="002F7314" w:rsidRPr="00FD7B0B" w:rsidRDefault="002F7314" w:rsidP="00957C8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Среднедневные расходы на обслуживание государственного долга в 2024 году составили 11 883,6 тыс.руб., что на 10 236,7 тыс.руб. в день (в 7,2 раза) больше соответствующих среднедневных расходов 2023 года.</w:t>
      </w:r>
    </w:p>
    <w:p w14:paraId="27C6F1B0" w14:textId="0F42379D" w:rsidR="002F7314" w:rsidRPr="00FD7B0B" w:rsidRDefault="002F7314" w:rsidP="00957C8B">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На рисунках </w:t>
      </w:r>
      <w:r w:rsidR="005B57F7" w:rsidRPr="00FD7B0B">
        <w:rPr>
          <w:rFonts w:ascii="Times New Roman" w:eastAsia="Calibri" w:hAnsi="Times New Roman" w:cs="Times New Roman"/>
          <w:sz w:val="28"/>
          <w:szCs w:val="28"/>
        </w:rPr>
        <w:t>47</w:t>
      </w:r>
      <w:r w:rsidRPr="00FD7B0B">
        <w:rPr>
          <w:rFonts w:ascii="Times New Roman" w:eastAsia="Calibri" w:hAnsi="Times New Roman" w:cs="Times New Roman"/>
          <w:sz w:val="28"/>
          <w:szCs w:val="28"/>
        </w:rPr>
        <w:t xml:space="preserve"> и </w:t>
      </w:r>
      <w:r w:rsidR="005B57F7" w:rsidRPr="00FD7B0B">
        <w:rPr>
          <w:rFonts w:ascii="Times New Roman" w:eastAsia="Calibri" w:hAnsi="Times New Roman" w:cs="Times New Roman"/>
          <w:sz w:val="28"/>
          <w:szCs w:val="28"/>
        </w:rPr>
        <w:t>48</w:t>
      </w:r>
      <w:r w:rsidRPr="00FD7B0B">
        <w:rPr>
          <w:rFonts w:ascii="Times New Roman" w:eastAsia="Calibri" w:hAnsi="Times New Roman" w:cs="Times New Roman"/>
          <w:sz w:val="28"/>
          <w:szCs w:val="28"/>
        </w:rPr>
        <w:t xml:space="preserve"> представлены сведения о среднедневных расходах областного бюджета, направленных на обслуживание государственного долга Архангельской области за последние 5 лет и ежемесячные за 2024 год.</w:t>
      </w:r>
    </w:p>
    <w:p w14:paraId="1632A5E3" w14:textId="77777777" w:rsidR="002F7314" w:rsidRPr="00FD7B0B" w:rsidRDefault="002F7314" w:rsidP="00957C8B">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lastRenderedPageBreak/>
        <w:drawing>
          <wp:inline distT="0" distB="0" distL="0" distR="0" wp14:anchorId="4EB6C8CF" wp14:editId="55427FC5">
            <wp:extent cx="6172200" cy="1979851"/>
            <wp:effectExtent l="0" t="0" r="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07438" cy="1991154"/>
                    </a:xfrm>
                    <a:prstGeom prst="rect">
                      <a:avLst/>
                    </a:prstGeom>
                    <a:noFill/>
                  </pic:spPr>
                </pic:pic>
              </a:graphicData>
            </a:graphic>
          </wp:inline>
        </w:drawing>
      </w:r>
    </w:p>
    <w:p w14:paraId="3012AABD" w14:textId="77777777" w:rsidR="002F7314" w:rsidRPr="00FD7B0B" w:rsidRDefault="002F7314" w:rsidP="00957C8B">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47</w:t>
      </w:r>
      <w:r w:rsidRPr="00FD7B0B">
        <w:rPr>
          <w:rFonts w:ascii="Times New Roman" w:hAnsi="Times New Roman"/>
          <w:b w:val="0"/>
          <w:sz w:val="24"/>
          <w:szCs w:val="24"/>
        </w:rPr>
        <w:fldChar w:fldCharType="end"/>
      </w:r>
      <w:r w:rsidRPr="00FD7B0B">
        <w:rPr>
          <w:rFonts w:ascii="Times New Roman" w:hAnsi="Times New Roman"/>
          <w:b w:val="0"/>
          <w:sz w:val="24"/>
          <w:szCs w:val="24"/>
        </w:rPr>
        <w:t>. Среднедневные расходы областного бюджета по обслуживанию государственного долга за 2020 – 2025 годы, тыс.руб.</w:t>
      </w:r>
    </w:p>
    <w:p w14:paraId="572CF41E" w14:textId="77777777" w:rsidR="002F7314" w:rsidRPr="00FD7B0B" w:rsidRDefault="002F7314" w:rsidP="00957C8B">
      <w:pPr>
        <w:pStyle w:val="aff0"/>
        <w:spacing w:after="0" w:line="240" w:lineRule="auto"/>
        <w:rPr>
          <w:rFonts w:ascii="Times New Roman" w:hAnsi="Times New Roman"/>
          <w:b w:val="0"/>
          <w:sz w:val="24"/>
          <w:szCs w:val="24"/>
        </w:rPr>
      </w:pPr>
    </w:p>
    <w:p w14:paraId="729E0C78" w14:textId="77777777" w:rsidR="002F7314" w:rsidRPr="00FD7B0B" w:rsidRDefault="002F7314" w:rsidP="00957C8B">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732C88D9" wp14:editId="20EC5E45">
            <wp:extent cx="6141639" cy="2170430"/>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16917" cy="2197033"/>
                    </a:xfrm>
                    <a:prstGeom prst="rect">
                      <a:avLst/>
                    </a:prstGeom>
                    <a:noFill/>
                  </pic:spPr>
                </pic:pic>
              </a:graphicData>
            </a:graphic>
          </wp:inline>
        </w:drawing>
      </w:r>
    </w:p>
    <w:p w14:paraId="3451552D" w14:textId="77777777" w:rsidR="002F7314" w:rsidRPr="00FD7B0B" w:rsidRDefault="002F7314" w:rsidP="00957C8B">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48</w:t>
      </w:r>
      <w:r w:rsidRPr="00FD7B0B">
        <w:rPr>
          <w:rFonts w:ascii="Times New Roman" w:hAnsi="Times New Roman"/>
          <w:b w:val="0"/>
          <w:sz w:val="24"/>
          <w:szCs w:val="24"/>
        </w:rPr>
        <w:fldChar w:fldCharType="end"/>
      </w:r>
      <w:r w:rsidRPr="00FD7B0B">
        <w:rPr>
          <w:rFonts w:ascii="Times New Roman" w:hAnsi="Times New Roman"/>
          <w:b w:val="0"/>
          <w:sz w:val="24"/>
          <w:szCs w:val="24"/>
        </w:rPr>
        <w:t>. Среднедневные расходы областного бюджета по обслуживанию государственного долга за 2024 год (без нарастающего итога), тыс.руб.</w:t>
      </w:r>
    </w:p>
    <w:p w14:paraId="2F3D634F" w14:textId="77777777" w:rsidR="002F7314" w:rsidRPr="00FD7B0B" w:rsidRDefault="002F7314" w:rsidP="004070EF">
      <w:pPr>
        <w:spacing w:after="0" w:line="240" w:lineRule="auto"/>
        <w:ind w:firstLine="709"/>
        <w:jc w:val="both"/>
        <w:rPr>
          <w:rFonts w:ascii="Times New Roman" w:eastAsia="Calibri" w:hAnsi="Times New Roman" w:cs="Times New Roman"/>
          <w:sz w:val="28"/>
          <w:szCs w:val="28"/>
        </w:rPr>
      </w:pPr>
    </w:p>
    <w:p w14:paraId="61179DDF" w14:textId="77777777" w:rsidR="002F7314" w:rsidRPr="00FD7B0B" w:rsidRDefault="002F7314" w:rsidP="004070EF">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За последние 5 лет наименьшая сумма среднедневных расходов на обслуживание государственного долга сложилась по итогам 2022 года (625,0 тыс.руб. в день), а наибольшая – по итогам 2024 года (11 883,6 млн.руб. в день).</w:t>
      </w:r>
    </w:p>
    <w:p w14:paraId="62105B7C" w14:textId="77777777" w:rsidR="002F7314" w:rsidRPr="00FD7B0B" w:rsidRDefault="002F7314" w:rsidP="00FC66DD">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отчетном периоде наибольшая сумма среднедневных расходов на обслуживание государственного долга Архангельской области сложилась в октябре 2024 года – 29 404,1 тыс.руб./день и в декабре 2024 год – 25 968,5 тыс.руб./день и обусловлено тем, что в предыдущий месяц оплата процентов по коммерческим кредитам не осуществлялась, т.к. согласно заключенными контрактами с кредитными организациями – оплата не позднее 10 числа месяца, следующего за текущим.</w:t>
      </w:r>
    </w:p>
    <w:p w14:paraId="28929E55" w14:textId="77777777" w:rsidR="002F7314" w:rsidRPr="00FD7B0B" w:rsidRDefault="002F7314" w:rsidP="00877F24">
      <w:pPr>
        <w:spacing w:after="0" w:line="240" w:lineRule="auto"/>
        <w:ind w:firstLine="709"/>
        <w:jc w:val="both"/>
        <w:rPr>
          <w:rFonts w:ascii="Times New Roman" w:eastAsia="Calibri" w:hAnsi="Times New Roman" w:cs="Times New Roman"/>
          <w:sz w:val="28"/>
          <w:szCs w:val="28"/>
        </w:rPr>
      </w:pPr>
    </w:p>
    <w:p w14:paraId="1BD0E724" w14:textId="67877893" w:rsidR="002F7314" w:rsidRPr="00FD7B0B" w:rsidRDefault="002F7314" w:rsidP="00877F2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5B57F7" w:rsidRPr="00FD7B0B">
        <w:rPr>
          <w:rFonts w:ascii="Times New Roman" w:eastAsia="Calibri" w:hAnsi="Times New Roman" w:cs="Times New Roman"/>
          <w:sz w:val="28"/>
          <w:szCs w:val="28"/>
        </w:rPr>
        <w:t>269</w:t>
      </w:r>
      <w:r w:rsidRPr="00FD7B0B">
        <w:rPr>
          <w:rFonts w:ascii="Times New Roman" w:eastAsia="Calibri" w:hAnsi="Times New Roman" w:cs="Times New Roman"/>
          <w:sz w:val="28"/>
          <w:szCs w:val="28"/>
        </w:rPr>
        <w:t xml:space="preserve"> представлена оценка положения Архангельской области по объему государственных внутренних долговых обязательств по состоянию на отчетную дату (по информации, размещенной на официальных сайтах Минфина России</w:t>
      </w:r>
      <w:r w:rsidR="00FF0B79" w:rsidRPr="00FD7B0B">
        <w:rPr>
          <w:rFonts w:ascii="Times New Roman" w:eastAsia="Calibri" w:hAnsi="Times New Roman" w:cs="Times New Roman"/>
          <w:sz w:val="28"/>
          <w:szCs w:val="28"/>
        </w:rPr>
        <w:t xml:space="preserve"> и Федерального казначейства</w:t>
      </w:r>
      <w:r w:rsidRPr="00FD7B0B">
        <w:rPr>
          <w:rFonts w:ascii="Times New Roman" w:eastAsia="Calibri" w:hAnsi="Times New Roman" w:cs="Times New Roman"/>
          <w:sz w:val="28"/>
          <w:szCs w:val="28"/>
        </w:rPr>
        <w:t xml:space="preserve"> в сети Интернет).</w:t>
      </w:r>
    </w:p>
    <w:p w14:paraId="384015C3" w14:textId="77777777" w:rsidR="002F7314" w:rsidRPr="00FD7B0B" w:rsidRDefault="002F7314" w:rsidP="002F7314">
      <w:pPr>
        <w:jc w:val="both"/>
        <w:rPr>
          <w:sz w:val="16"/>
          <w:szCs w:val="16"/>
          <w:highlight w:val="cyan"/>
        </w:rPr>
      </w:pPr>
    </w:p>
    <w:p w14:paraId="0D8FB0D6" w14:textId="77777777" w:rsidR="002F7314" w:rsidRPr="00FD7B0B" w:rsidRDefault="002F7314" w:rsidP="00607160">
      <w:pPr>
        <w:pStyle w:val="aff0"/>
        <w:spacing w:after="0" w:line="240" w:lineRule="auto"/>
        <w:rPr>
          <w:rFonts w:ascii="Times New Roman" w:hAnsi="Times New Roman"/>
          <w:b w:val="0"/>
          <w:sz w:val="24"/>
          <w:szCs w:val="24"/>
        </w:rPr>
      </w:pPr>
      <w:r w:rsidRPr="00FD7B0B">
        <w:rPr>
          <w:rFonts w:ascii="Times New Roman" w:hAnsi="Times New Roman"/>
          <w:b w:val="0"/>
          <w:sz w:val="24"/>
          <w:szCs w:val="24"/>
        </w:rPr>
        <w:lastRenderedPageBreak/>
        <w:t xml:space="preserve">Таблица </w:t>
      </w:r>
      <w:r w:rsidRPr="00FD7B0B">
        <w:rPr>
          <w:rFonts w:ascii="Times New Roman" w:hAnsi="Times New Roman"/>
          <w:b w:val="0"/>
          <w:noProof/>
          <w:sz w:val="24"/>
          <w:szCs w:val="24"/>
        </w:rPr>
        <w:fldChar w:fldCharType="begin"/>
      </w:r>
      <w:r w:rsidRPr="00FD7B0B">
        <w:rPr>
          <w:rFonts w:ascii="Times New Roman" w:hAnsi="Times New Roman"/>
          <w:b w:val="0"/>
          <w:noProof/>
          <w:sz w:val="24"/>
          <w:szCs w:val="24"/>
        </w:rPr>
        <w:instrText xml:space="preserve"> SEQ Таблица \* ARABIC </w:instrText>
      </w:r>
      <w:r w:rsidRPr="00FD7B0B">
        <w:rPr>
          <w:rFonts w:ascii="Times New Roman" w:hAnsi="Times New Roman"/>
          <w:b w:val="0"/>
          <w:noProof/>
          <w:sz w:val="24"/>
          <w:szCs w:val="24"/>
        </w:rPr>
        <w:fldChar w:fldCharType="separate"/>
      </w:r>
      <w:r w:rsidR="002959CD" w:rsidRPr="00FD7B0B">
        <w:rPr>
          <w:rFonts w:ascii="Times New Roman" w:hAnsi="Times New Roman"/>
          <w:b w:val="0"/>
          <w:noProof/>
          <w:sz w:val="24"/>
          <w:szCs w:val="24"/>
        </w:rPr>
        <w:t>269</w:t>
      </w:r>
      <w:r w:rsidRPr="00FD7B0B">
        <w:rPr>
          <w:rFonts w:ascii="Times New Roman" w:hAnsi="Times New Roman"/>
          <w:b w:val="0"/>
          <w:noProof/>
          <w:sz w:val="24"/>
          <w:szCs w:val="24"/>
        </w:rPr>
        <w:fldChar w:fldCharType="end"/>
      </w:r>
      <w:r w:rsidRPr="00FD7B0B">
        <w:rPr>
          <w:rFonts w:ascii="Times New Roman" w:hAnsi="Times New Roman"/>
          <w:b w:val="0"/>
          <w:sz w:val="24"/>
          <w:szCs w:val="24"/>
        </w:rPr>
        <w:t>. Рэнкинг</w:t>
      </w:r>
      <w:r w:rsidRPr="00FD7B0B">
        <w:rPr>
          <w:rFonts w:ascii="Times New Roman" w:hAnsi="Times New Roman"/>
          <w:b w:val="0"/>
          <w:sz w:val="24"/>
          <w:szCs w:val="24"/>
          <w:vertAlign w:val="superscript"/>
        </w:rPr>
        <w:footnoteReference w:id="33"/>
      </w:r>
      <w:r w:rsidRPr="00FD7B0B">
        <w:rPr>
          <w:rFonts w:ascii="Times New Roman" w:hAnsi="Times New Roman"/>
          <w:b w:val="0"/>
          <w:sz w:val="24"/>
          <w:szCs w:val="24"/>
        </w:rPr>
        <w:t xml:space="preserve"> Архангельской области по объему государственного долга по состоянию на 01.01.2024 и 01.01.2025</w:t>
      </w:r>
    </w:p>
    <w:tbl>
      <w:tblPr>
        <w:tblW w:w="9724" w:type="dxa"/>
        <w:tblLook w:val="04A0" w:firstRow="1" w:lastRow="0" w:firstColumn="1" w:lastColumn="0" w:noHBand="0" w:noVBand="1"/>
      </w:tblPr>
      <w:tblGrid>
        <w:gridCol w:w="5158"/>
        <w:gridCol w:w="684"/>
        <w:gridCol w:w="816"/>
        <w:gridCol w:w="743"/>
        <w:gridCol w:w="757"/>
        <w:gridCol w:w="802"/>
        <w:gridCol w:w="764"/>
      </w:tblGrid>
      <w:tr w:rsidR="00FD7B0B" w:rsidRPr="00FD7B0B" w14:paraId="026F26A6" w14:textId="77777777" w:rsidTr="002F7314">
        <w:trPr>
          <w:trHeight w:val="35"/>
          <w:tblHeader/>
        </w:trPr>
        <w:tc>
          <w:tcPr>
            <w:tcW w:w="515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C7FB0CC"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Показатель</w:t>
            </w:r>
          </w:p>
        </w:tc>
        <w:tc>
          <w:tcPr>
            <w:tcW w:w="1500" w:type="dxa"/>
            <w:gridSpan w:val="2"/>
            <w:tcBorders>
              <w:top w:val="double" w:sz="6" w:space="0" w:color="auto"/>
              <w:left w:val="nil"/>
              <w:bottom w:val="single" w:sz="4" w:space="0" w:color="auto"/>
              <w:right w:val="single" w:sz="4" w:space="0" w:color="auto"/>
            </w:tcBorders>
            <w:shd w:val="clear" w:color="auto" w:fill="auto"/>
            <w:vAlign w:val="center"/>
            <w:hideMark/>
          </w:tcPr>
          <w:p w14:paraId="29AE5EA6"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01.01.2024</w:t>
            </w:r>
          </w:p>
        </w:tc>
        <w:tc>
          <w:tcPr>
            <w:tcW w:w="1500" w:type="dxa"/>
            <w:gridSpan w:val="2"/>
            <w:tcBorders>
              <w:top w:val="double" w:sz="6" w:space="0" w:color="auto"/>
              <w:left w:val="nil"/>
              <w:bottom w:val="single" w:sz="4" w:space="0" w:color="auto"/>
              <w:right w:val="single" w:sz="4" w:space="0" w:color="auto"/>
            </w:tcBorders>
            <w:shd w:val="clear" w:color="auto" w:fill="auto"/>
            <w:vAlign w:val="center"/>
            <w:hideMark/>
          </w:tcPr>
          <w:p w14:paraId="2171C64C"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01.01.2025</w:t>
            </w:r>
          </w:p>
        </w:tc>
        <w:tc>
          <w:tcPr>
            <w:tcW w:w="1566" w:type="dxa"/>
            <w:gridSpan w:val="2"/>
            <w:tcBorders>
              <w:top w:val="double" w:sz="6" w:space="0" w:color="auto"/>
              <w:left w:val="nil"/>
              <w:bottom w:val="single" w:sz="4" w:space="0" w:color="auto"/>
              <w:right w:val="double" w:sz="6" w:space="0" w:color="000000"/>
            </w:tcBorders>
            <w:shd w:val="clear" w:color="auto" w:fill="auto"/>
            <w:vAlign w:val="center"/>
            <w:hideMark/>
          </w:tcPr>
          <w:p w14:paraId="24D109BC"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Изменение (+,-)</w:t>
            </w:r>
          </w:p>
        </w:tc>
      </w:tr>
      <w:tr w:rsidR="00FD7B0B" w:rsidRPr="00FD7B0B" w14:paraId="7BE8E513" w14:textId="77777777" w:rsidTr="00607160">
        <w:trPr>
          <w:trHeight w:val="122"/>
          <w:tblHeader/>
        </w:trPr>
        <w:tc>
          <w:tcPr>
            <w:tcW w:w="5158" w:type="dxa"/>
            <w:vMerge/>
            <w:tcBorders>
              <w:top w:val="double" w:sz="6" w:space="0" w:color="auto"/>
              <w:left w:val="double" w:sz="6" w:space="0" w:color="auto"/>
              <w:bottom w:val="single" w:sz="4" w:space="0" w:color="auto"/>
              <w:right w:val="single" w:sz="4" w:space="0" w:color="auto"/>
            </w:tcBorders>
            <w:vAlign w:val="center"/>
            <w:hideMark/>
          </w:tcPr>
          <w:p w14:paraId="7D2A6E5D" w14:textId="77777777" w:rsidR="002F7314" w:rsidRPr="00FD7B0B" w:rsidRDefault="002F7314" w:rsidP="00607160">
            <w:pPr>
              <w:spacing w:after="0" w:line="240" w:lineRule="auto"/>
              <w:rPr>
                <w:rFonts w:ascii="Times New Roman" w:eastAsia="Times New Roman" w:hAnsi="Times New Roman" w:cs="Times New Roman"/>
                <w:sz w:val="20"/>
                <w:szCs w:val="20"/>
                <w:lang w:eastAsia="ru-RU"/>
              </w:rPr>
            </w:pPr>
          </w:p>
        </w:tc>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8F19A"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816" w:type="dxa"/>
            <w:tcBorders>
              <w:top w:val="single" w:sz="4" w:space="0" w:color="auto"/>
              <w:left w:val="nil"/>
              <w:bottom w:val="single" w:sz="4" w:space="0" w:color="auto"/>
              <w:right w:val="single" w:sz="4" w:space="0" w:color="auto"/>
            </w:tcBorders>
            <w:shd w:val="clear" w:color="auto" w:fill="auto"/>
            <w:vAlign w:val="center"/>
            <w:hideMark/>
          </w:tcPr>
          <w:p w14:paraId="20B98F9E"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743" w:type="dxa"/>
            <w:tcBorders>
              <w:top w:val="single" w:sz="4" w:space="0" w:color="auto"/>
              <w:left w:val="nil"/>
              <w:bottom w:val="single" w:sz="4" w:space="0" w:color="auto"/>
              <w:right w:val="single" w:sz="4" w:space="0" w:color="auto"/>
            </w:tcBorders>
            <w:shd w:val="clear" w:color="auto" w:fill="auto"/>
            <w:vAlign w:val="center"/>
            <w:hideMark/>
          </w:tcPr>
          <w:p w14:paraId="09C75EBE"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757" w:type="dxa"/>
            <w:tcBorders>
              <w:top w:val="single" w:sz="4" w:space="0" w:color="auto"/>
              <w:left w:val="nil"/>
              <w:bottom w:val="single" w:sz="4" w:space="0" w:color="auto"/>
              <w:right w:val="single" w:sz="4" w:space="0" w:color="auto"/>
            </w:tcBorders>
            <w:shd w:val="clear" w:color="auto" w:fill="auto"/>
            <w:vAlign w:val="center"/>
            <w:hideMark/>
          </w:tcPr>
          <w:p w14:paraId="408A574B"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802" w:type="dxa"/>
            <w:tcBorders>
              <w:top w:val="single" w:sz="4" w:space="0" w:color="auto"/>
              <w:left w:val="nil"/>
              <w:bottom w:val="single" w:sz="4" w:space="0" w:color="auto"/>
              <w:right w:val="single" w:sz="4" w:space="0" w:color="auto"/>
            </w:tcBorders>
            <w:shd w:val="clear" w:color="auto" w:fill="auto"/>
            <w:vAlign w:val="center"/>
            <w:hideMark/>
          </w:tcPr>
          <w:p w14:paraId="1643C1E6"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764" w:type="dxa"/>
            <w:tcBorders>
              <w:top w:val="nil"/>
              <w:left w:val="single" w:sz="4" w:space="0" w:color="auto"/>
              <w:bottom w:val="single" w:sz="4" w:space="0" w:color="auto"/>
              <w:right w:val="double" w:sz="6" w:space="0" w:color="auto"/>
            </w:tcBorders>
            <w:shd w:val="clear" w:color="auto" w:fill="auto"/>
            <w:vAlign w:val="center"/>
            <w:hideMark/>
          </w:tcPr>
          <w:p w14:paraId="40724C60"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r>
      <w:tr w:rsidR="00FD7B0B" w:rsidRPr="00FD7B0B" w14:paraId="03AA6A44" w14:textId="77777777" w:rsidTr="002F7314">
        <w:trPr>
          <w:trHeight w:val="70"/>
        </w:trPr>
        <w:tc>
          <w:tcPr>
            <w:tcW w:w="5158" w:type="dxa"/>
            <w:tcBorders>
              <w:top w:val="nil"/>
              <w:left w:val="double" w:sz="6" w:space="0" w:color="auto"/>
              <w:bottom w:val="single" w:sz="4" w:space="0" w:color="auto"/>
              <w:right w:val="single" w:sz="4" w:space="0" w:color="auto"/>
            </w:tcBorders>
            <w:shd w:val="clear" w:color="auto" w:fill="auto"/>
            <w:vAlign w:val="center"/>
            <w:hideMark/>
          </w:tcPr>
          <w:p w14:paraId="30A900D1" w14:textId="77777777" w:rsidR="002F7314" w:rsidRPr="00FD7B0B" w:rsidRDefault="002F7314" w:rsidP="00607160">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Государственный долг, млн.руб.</w:t>
            </w:r>
          </w:p>
        </w:tc>
        <w:tc>
          <w:tcPr>
            <w:tcW w:w="1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910F97"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67 648,0</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14:paraId="7E10007F"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86 826,9 </w:t>
            </w:r>
          </w:p>
        </w:tc>
        <w:tc>
          <w:tcPr>
            <w:tcW w:w="1566" w:type="dxa"/>
            <w:gridSpan w:val="2"/>
            <w:tcBorders>
              <w:top w:val="single" w:sz="4" w:space="0" w:color="auto"/>
              <w:left w:val="nil"/>
              <w:bottom w:val="single" w:sz="4" w:space="0" w:color="auto"/>
              <w:right w:val="double" w:sz="6" w:space="0" w:color="000000"/>
            </w:tcBorders>
            <w:shd w:val="clear" w:color="auto" w:fill="auto"/>
            <w:vAlign w:val="center"/>
            <w:hideMark/>
          </w:tcPr>
          <w:p w14:paraId="46F016E0"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19 178,9 </w:t>
            </w:r>
          </w:p>
        </w:tc>
      </w:tr>
      <w:tr w:rsidR="00FD7B0B" w:rsidRPr="00FD7B0B" w14:paraId="1730E930" w14:textId="77777777" w:rsidTr="002F7314">
        <w:trPr>
          <w:trHeight w:val="70"/>
        </w:trPr>
        <w:tc>
          <w:tcPr>
            <w:tcW w:w="5158" w:type="dxa"/>
            <w:tcBorders>
              <w:top w:val="nil"/>
              <w:left w:val="double" w:sz="6" w:space="0" w:color="auto"/>
              <w:bottom w:val="single" w:sz="4" w:space="0" w:color="auto"/>
              <w:right w:val="single" w:sz="4" w:space="0" w:color="auto"/>
            </w:tcBorders>
            <w:shd w:val="clear" w:color="auto" w:fill="auto"/>
            <w:vAlign w:val="center"/>
            <w:hideMark/>
          </w:tcPr>
          <w:p w14:paraId="3BBB72D8" w14:textId="77777777" w:rsidR="002F7314" w:rsidRPr="00FD7B0B" w:rsidRDefault="002F7314" w:rsidP="00607160">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684" w:type="dxa"/>
            <w:tcBorders>
              <w:top w:val="nil"/>
              <w:left w:val="single" w:sz="4" w:space="0" w:color="auto"/>
              <w:bottom w:val="single" w:sz="4" w:space="0" w:color="auto"/>
              <w:right w:val="single" w:sz="4" w:space="0" w:color="auto"/>
            </w:tcBorders>
            <w:shd w:val="clear" w:color="auto" w:fill="auto"/>
            <w:vAlign w:val="center"/>
            <w:hideMark/>
          </w:tcPr>
          <w:p w14:paraId="21318E87"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11 </w:t>
            </w:r>
          </w:p>
        </w:tc>
        <w:tc>
          <w:tcPr>
            <w:tcW w:w="816" w:type="dxa"/>
            <w:tcBorders>
              <w:top w:val="nil"/>
              <w:left w:val="nil"/>
              <w:bottom w:val="single" w:sz="4" w:space="0" w:color="auto"/>
              <w:right w:val="single" w:sz="4" w:space="0" w:color="auto"/>
            </w:tcBorders>
            <w:shd w:val="clear" w:color="auto" w:fill="auto"/>
            <w:vAlign w:val="center"/>
            <w:hideMark/>
          </w:tcPr>
          <w:p w14:paraId="0535A484"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w:t>
            </w:r>
          </w:p>
        </w:tc>
        <w:tc>
          <w:tcPr>
            <w:tcW w:w="743" w:type="dxa"/>
            <w:tcBorders>
              <w:top w:val="nil"/>
              <w:left w:val="nil"/>
              <w:bottom w:val="single" w:sz="4" w:space="0" w:color="auto"/>
              <w:right w:val="single" w:sz="4" w:space="0" w:color="auto"/>
            </w:tcBorders>
            <w:shd w:val="clear" w:color="auto" w:fill="auto"/>
            <w:vAlign w:val="center"/>
            <w:hideMark/>
          </w:tcPr>
          <w:p w14:paraId="75F51CC3"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 </w:t>
            </w:r>
          </w:p>
        </w:tc>
        <w:tc>
          <w:tcPr>
            <w:tcW w:w="757" w:type="dxa"/>
            <w:tcBorders>
              <w:top w:val="nil"/>
              <w:left w:val="nil"/>
              <w:bottom w:val="single" w:sz="4" w:space="0" w:color="auto"/>
              <w:right w:val="single" w:sz="4" w:space="0" w:color="auto"/>
            </w:tcBorders>
            <w:shd w:val="clear" w:color="auto" w:fill="auto"/>
            <w:vAlign w:val="center"/>
            <w:hideMark/>
          </w:tcPr>
          <w:p w14:paraId="575D699D"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c>
          <w:tcPr>
            <w:tcW w:w="802" w:type="dxa"/>
            <w:tcBorders>
              <w:top w:val="single" w:sz="4" w:space="0" w:color="auto"/>
              <w:left w:val="nil"/>
              <w:bottom w:val="single" w:sz="4" w:space="0" w:color="auto"/>
              <w:right w:val="single" w:sz="4" w:space="0" w:color="auto"/>
            </w:tcBorders>
            <w:shd w:val="clear" w:color="auto" w:fill="auto"/>
            <w:vAlign w:val="center"/>
            <w:hideMark/>
          </w:tcPr>
          <w:p w14:paraId="35A980C8"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w:t>
            </w:r>
          </w:p>
        </w:tc>
        <w:tc>
          <w:tcPr>
            <w:tcW w:w="764" w:type="dxa"/>
            <w:tcBorders>
              <w:top w:val="nil"/>
              <w:left w:val="single" w:sz="4" w:space="0" w:color="auto"/>
              <w:bottom w:val="single" w:sz="4" w:space="0" w:color="auto"/>
              <w:right w:val="double" w:sz="6" w:space="0" w:color="auto"/>
            </w:tcBorders>
            <w:shd w:val="clear" w:color="auto" w:fill="auto"/>
            <w:vAlign w:val="center"/>
            <w:hideMark/>
          </w:tcPr>
          <w:p w14:paraId="42BE3CD7"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r>
      <w:tr w:rsidR="00FD7B0B" w:rsidRPr="00FD7B0B" w14:paraId="70FE5A02" w14:textId="77777777" w:rsidTr="002F7314">
        <w:trPr>
          <w:trHeight w:val="70"/>
        </w:trPr>
        <w:tc>
          <w:tcPr>
            <w:tcW w:w="5158" w:type="dxa"/>
            <w:tcBorders>
              <w:top w:val="nil"/>
              <w:left w:val="double" w:sz="6" w:space="0" w:color="auto"/>
              <w:bottom w:val="single" w:sz="4" w:space="0" w:color="auto"/>
              <w:right w:val="single" w:sz="4" w:space="0" w:color="auto"/>
            </w:tcBorders>
            <w:shd w:val="clear" w:color="auto" w:fill="auto"/>
            <w:vAlign w:val="center"/>
            <w:hideMark/>
          </w:tcPr>
          <w:p w14:paraId="4A6E8B30" w14:textId="77777777" w:rsidR="002F7314" w:rsidRPr="00FD7B0B" w:rsidRDefault="002F7314" w:rsidP="00607160">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Уровень государственного долга по отношению к налоговым и неналоговым доходам, %</w:t>
            </w:r>
          </w:p>
        </w:tc>
        <w:tc>
          <w:tcPr>
            <w:tcW w:w="1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DE857C" w14:textId="1762D9D2" w:rsidR="002F7314" w:rsidRPr="00FD7B0B" w:rsidRDefault="00607160"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77,2</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14:paraId="2CB39FBE" w14:textId="470749C3" w:rsidR="002F7314" w:rsidRPr="00FD7B0B" w:rsidRDefault="00607160"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88,9</w:t>
            </w:r>
          </w:p>
        </w:tc>
        <w:tc>
          <w:tcPr>
            <w:tcW w:w="1566" w:type="dxa"/>
            <w:gridSpan w:val="2"/>
            <w:tcBorders>
              <w:top w:val="single" w:sz="4" w:space="0" w:color="auto"/>
              <w:left w:val="nil"/>
              <w:bottom w:val="single" w:sz="4" w:space="0" w:color="auto"/>
              <w:right w:val="double" w:sz="6" w:space="0" w:color="000000"/>
            </w:tcBorders>
            <w:shd w:val="clear" w:color="auto" w:fill="auto"/>
            <w:vAlign w:val="center"/>
            <w:hideMark/>
          </w:tcPr>
          <w:p w14:paraId="0204109F" w14:textId="552E9A94" w:rsidR="002F7314" w:rsidRPr="00FD7B0B" w:rsidRDefault="00607160"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11,7</w:t>
            </w:r>
          </w:p>
        </w:tc>
      </w:tr>
      <w:tr w:rsidR="00FD7B0B" w:rsidRPr="00FD7B0B" w14:paraId="5431E7B2" w14:textId="77777777" w:rsidTr="002F7314">
        <w:trPr>
          <w:trHeight w:val="70"/>
        </w:trPr>
        <w:tc>
          <w:tcPr>
            <w:tcW w:w="5158" w:type="dxa"/>
            <w:tcBorders>
              <w:top w:val="nil"/>
              <w:left w:val="double" w:sz="6" w:space="0" w:color="auto"/>
              <w:bottom w:val="single" w:sz="4" w:space="0" w:color="auto"/>
              <w:right w:val="single" w:sz="4" w:space="0" w:color="auto"/>
            </w:tcBorders>
            <w:shd w:val="clear" w:color="auto" w:fill="auto"/>
            <w:vAlign w:val="center"/>
            <w:hideMark/>
          </w:tcPr>
          <w:p w14:paraId="68CFEC0C" w14:textId="77777777" w:rsidR="002F7314" w:rsidRPr="00FD7B0B" w:rsidRDefault="002F7314" w:rsidP="00607160">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684" w:type="dxa"/>
            <w:tcBorders>
              <w:top w:val="nil"/>
              <w:left w:val="single" w:sz="4" w:space="0" w:color="auto"/>
              <w:bottom w:val="single" w:sz="4" w:space="0" w:color="auto"/>
              <w:right w:val="single" w:sz="4" w:space="0" w:color="auto"/>
            </w:tcBorders>
            <w:shd w:val="clear" w:color="auto" w:fill="auto"/>
            <w:vAlign w:val="center"/>
            <w:hideMark/>
          </w:tcPr>
          <w:p w14:paraId="0B9F79BB"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w:t>
            </w:r>
          </w:p>
        </w:tc>
        <w:tc>
          <w:tcPr>
            <w:tcW w:w="816" w:type="dxa"/>
            <w:tcBorders>
              <w:top w:val="nil"/>
              <w:left w:val="nil"/>
              <w:bottom w:val="single" w:sz="4" w:space="0" w:color="auto"/>
              <w:right w:val="single" w:sz="4" w:space="0" w:color="auto"/>
            </w:tcBorders>
            <w:shd w:val="clear" w:color="auto" w:fill="auto"/>
            <w:vAlign w:val="center"/>
            <w:hideMark/>
          </w:tcPr>
          <w:p w14:paraId="000DA798"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743" w:type="dxa"/>
            <w:tcBorders>
              <w:top w:val="nil"/>
              <w:left w:val="nil"/>
              <w:bottom w:val="single" w:sz="4" w:space="0" w:color="auto"/>
              <w:right w:val="single" w:sz="4" w:space="0" w:color="auto"/>
            </w:tcBorders>
            <w:shd w:val="clear" w:color="auto" w:fill="auto"/>
            <w:vAlign w:val="center"/>
            <w:hideMark/>
          </w:tcPr>
          <w:p w14:paraId="26E32F96"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w:t>
            </w:r>
          </w:p>
        </w:tc>
        <w:tc>
          <w:tcPr>
            <w:tcW w:w="757" w:type="dxa"/>
            <w:tcBorders>
              <w:top w:val="nil"/>
              <w:left w:val="nil"/>
              <w:bottom w:val="single" w:sz="4" w:space="0" w:color="auto"/>
              <w:right w:val="single" w:sz="4" w:space="0" w:color="auto"/>
            </w:tcBorders>
            <w:shd w:val="clear" w:color="auto" w:fill="auto"/>
            <w:vAlign w:val="center"/>
            <w:hideMark/>
          </w:tcPr>
          <w:p w14:paraId="74A55E43"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c>
          <w:tcPr>
            <w:tcW w:w="802" w:type="dxa"/>
            <w:tcBorders>
              <w:top w:val="single" w:sz="4" w:space="0" w:color="auto"/>
              <w:left w:val="nil"/>
              <w:bottom w:val="single" w:sz="4" w:space="0" w:color="auto"/>
              <w:right w:val="single" w:sz="4" w:space="0" w:color="auto"/>
            </w:tcBorders>
            <w:shd w:val="clear" w:color="auto" w:fill="auto"/>
            <w:vAlign w:val="center"/>
            <w:hideMark/>
          </w:tcPr>
          <w:p w14:paraId="071E36D7"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 </w:t>
            </w:r>
          </w:p>
        </w:tc>
        <w:tc>
          <w:tcPr>
            <w:tcW w:w="764" w:type="dxa"/>
            <w:tcBorders>
              <w:top w:val="nil"/>
              <w:left w:val="single" w:sz="4" w:space="0" w:color="auto"/>
              <w:bottom w:val="single" w:sz="4" w:space="0" w:color="auto"/>
              <w:right w:val="double" w:sz="6" w:space="0" w:color="auto"/>
            </w:tcBorders>
            <w:shd w:val="clear" w:color="auto" w:fill="auto"/>
            <w:vAlign w:val="center"/>
            <w:hideMark/>
          </w:tcPr>
          <w:p w14:paraId="2D2A8B62"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 </w:t>
            </w:r>
          </w:p>
        </w:tc>
      </w:tr>
      <w:tr w:rsidR="00FD7B0B" w:rsidRPr="00FD7B0B" w14:paraId="651E8B80" w14:textId="77777777" w:rsidTr="002F7314">
        <w:trPr>
          <w:trHeight w:val="70"/>
        </w:trPr>
        <w:tc>
          <w:tcPr>
            <w:tcW w:w="5158" w:type="dxa"/>
            <w:tcBorders>
              <w:top w:val="nil"/>
              <w:left w:val="double" w:sz="6" w:space="0" w:color="auto"/>
              <w:bottom w:val="single" w:sz="4" w:space="0" w:color="auto"/>
              <w:right w:val="single" w:sz="4" w:space="0" w:color="auto"/>
            </w:tcBorders>
            <w:shd w:val="clear" w:color="auto" w:fill="auto"/>
            <w:vAlign w:val="center"/>
            <w:hideMark/>
          </w:tcPr>
          <w:p w14:paraId="1992813E" w14:textId="77777777" w:rsidR="002F7314" w:rsidRPr="00FD7B0B" w:rsidRDefault="002F7314" w:rsidP="00607160">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Государственный долг на душу населения, руб.</w:t>
            </w:r>
          </w:p>
        </w:tc>
        <w:tc>
          <w:tcPr>
            <w:tcW w:w="1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474D861"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70 772,78</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14:paraId="319DC533"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91 635,22 </w:t>
            </w:r>
          </w:p>
        </w:tc>
        <w:tc>
          <w:tcPr>
            <w:tcW w:w="1566" w:type="dxa"/>
            <w:gridSpan w:val="2"/>
            <w:tcBorders>
              <w:top w:val="single" w:sz="4" w:space="0" w:color="auto"/>
              <w:left w:val="nil"/>
              <w:bottom w:val="single" w:sz="4" w:space="0" w:color="auto"/>
              <w:right w:val="double" w:sz="6" w:space="0" w:color="000000"/>
            </w:tcBorders>
            <w:shd w:val="clear" w:color="auto" w:fill="auto"/>
            <w:vAlign w:val="center"/>
            <w:hideMark/>
          </w:tcPr>
          <w:p w14:paraId="0CA305B4"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20 862,44 </w:t>
            </w:r>
          </w:p>
        </w:tc>
      </w:tr>
      <w:tr w:rsidR="002F7314" w:rsidRPr="00FD7B0B" w14:paraId="36A49C3F" w14:textId="77777777" w:rsidTr="002F7314">
        <w:trPr>
          <w:trHeight w:val="70"/>
        </w:trPr>
        <w:tc>
          <w:tcPr>
            <w:tcW w:w="5158" w:type="dxa"/>
            <w:tcBorders>
              <w:top w:val="nil"/>
              <w:left w:val="double" w:sz="6" w:space="0" w:color="auto"/>
              <w:bottom w:val="double" w:sz="6" w:space="0" w:color="auto"/>
              <w:right w:val="single" w:sz="4" w:space="0" w:color="auto"/>
            </w:tcBorders>
            <w:shd w:val="clear" w:color="auto" w:fill="auto"/>
            <w:vAlign w:val="center"/>
            <w:hideMark/>
          </w:tcPr>
          <w:p w14:paraId="5FDAA7C8" w14:textId="77777777" w:rsidR="002F7314" w:rsidRPr="00FD7B0B" w:rsidRDefault="002F7314" w:rsidP="00607160">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684" w:type="dxa"/>
            <w:tcBorders>
              <w:top w:val="single" w:sz="4" w:space="0" w:color="auto"/>
              <w:left w:val="nil"/>
              <w:bottom w:val="double" w:sz="6" w:space="0" w:color="auto"/>
              <w:right w:val="single" w:sz="4" w:space="0" w:color="auto"/>
            </w:tcBorders>
            <w:shd w:val="clear" w:color="auto" w:fill="auto"/>
            <w:vAlign w:val="center"/>
            <w:hideMark/>
          </w:tcPr>
          <w:p w14:paraId="62638E47"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w:t>
            </w:r>
          </w:p>
        </w:tc>
        <w:tc>
          <w:tcPr>
            <w:tcW w:w="816" w:type="dxa"/>
            <w:tcBorders>
              <w:top w:val="single" w:sz="4" w:space="0" w:color="auto"/>
              <w:left w:val="nil"/>
              <w:bottom w:val="double" w:sz="6" w:space="0" w:color="auto"/>
              <w:right w:val="single" w:sz="4" w:space="0" w:color="auto"/>
            </w:tcBorders>
            <w:shd w:val="clear" w:color="auto" w:fill="auto"/>
            <w:vAlign w:val="center"/>
            <w:hideMark/>
          </w:tcPr>
          <w:p w14:paraId="205625D8"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c>
          <w:tcPr>
            <w:tcW w:w="743" w:type="dxa"/>
            <w:tcBorders>
              <w:top w:val="single" w:sz="4" w:space="0" w:color="auto"/>
              <w:left w:val="nil"/>
              <w:bottom w:val="double" w:sz="6" w:space="0" w:color="auto"/>
              <w:right w:val="single" w:sz="4" w:space="0" w:color="auto"/>
            </w:tcBorders>
            <w:shd w:val="clear" w:color="auto" w:fill="auto"/>
            <w:vAlign w:val="center"/>
            <w:hideMark/>
          </w:tcPr>
          <w:p w14:paraId="23F68019"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w:t>
            </w:r>
          </w:p>
        </w:tc>
        <w:tc>
          <w:tcPr>
            <w:tcW w:w="757" w:type="dxa"/>
            <w:tcBorders>
              <w:top w:val="single" w:sz="4" w:space="0" w:color="auto"/>
              <w:left w:val="nil"/>
              <w:bottom w:val="double" w:sz="6" w:space="0" w:color="auto"/>
              <w:right w:val="single" w:sz="4" w:space="0" w:color="auto"/>
            </w:tcBorders>
            <w:shd w:val="clear" w:color="auto" w:fill="auto"/>
            <w:vAlign w:val="center"/>
            <w:hideMark/>
          </w:tcPr>
          <w:p w14:paraId="429D1480"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c>
          <w:tcPr>
            <w:tcW w:w="802" w:type="dxa"/>
            <w:tcBorders>
              <w:top w:val="nil"/>
              <w:left w:val="nil"/>
              <w:bottom w:val="double" w:sz="6" w:space="0" w:color="auto"/>
              <w:right w:val="single" w:sz="4" w:space="0" w:color="auto"/>
            </w:tcBorders>
            <w:shd w:val="clear" w:color="auto" w:fill="auto"/>
            <w:vAlign w:val="center"/>
            <w:hideMark/>
          </w:tcPr>
          <w:p w14:paraId="1F284F0A"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 </w:t>
            </w:r>
          </w:p>
        </w:tc>
        <w:tc>
          <w:tcPr>
            <w:tcW w:w="764" w:type="dxa"/>
            <w:tcBorders>
              <w:top w:val="nil"/>
              <w:left w:val="nil"/>
              <w:bottom w:val="double" w:sz="6" w:space="0" w:color="auto"/>
              <w:right w:val="double" w:sz="6" w:space="0" w:color="auto"/>
            </w:tcBorders>
            <w:shd w:val="clear" w:color="auto" w:fill="auto"/>
            <w:vAlign w:val="center"/>
            <w:hideMark/>
          </w:tcPr>
          <w:p w14:paraId="686CF29F" w14:textId="77777777" w:rsidR="002F7314" w:rsidRPr="00FD7B0B" w:rsidRDefault="002F7314" w:rsidP="00607160">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0 </w:t>
            </w:r>
          </w:p>
        </w:tc>
      </w:tr>
    </w:tbl>
    <w:p w14:paraId="640AF899" w14:textId="77777777" w:rsidR="002F7314" w:rsidRPr="00FD7B0B" w:rsidRDefault="002F7314" w:rsidP="00C90B7C">
      <w:pPr>
        <w:spacing w:after="0" w:line="240" w:lineRule="auto"/>
        <w:jc w:val="both"/>
        <w:rPr>
          <w:rFonts w:ascii="Times New Roman" w:hAnsi="Times New Roman" w:cs="Times New Roman"/>
          <w:sz w:val="28"/>
          <w:szCs w:val="28"/>
        </w:rPr>
      </w:pPr>
    </w:p>
    <w:p w14:paraId="13EFEC03" w14:textId="07D1AA4A" w:rsidR="002F7314" w:rsidRPr="00FD7B0B" w:rsidRDefault="002F7314" w:rsidP="00C90B7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расчете и рэнкинге государственного долга на душу населения использованы показатели численности населения России на 01.01.2024 и на 01.01.2025 с официального сайта Росстата</w:t>
      </w:r>
      <w:r w:rsidRPr="00FD7B0B">
        <w:rPr>
          <w:rFonts w:ascii="Times New Roman" w:eastAsia="Calibri" w:hAnsi="Times New Roman" w:cs="Times New Roman"/>
          <w:sz w:val="28"/>
          <w:szCs w:val="28"/>
          <w:vertAlign w:val="superscript"/>
        </w:rPr>
        <w:footnoteReference w:id="34"/>
      </w:r>
      <w:r w:rsidRPr="00FD7B0B">
        <w:rPr>
          <w:rFonts w:ascii="Times New Roman" w:eastAsia="Calibri" w:hAnsi="Times New Roman" w:cs="Times New Roman"/>
          <w:sz w:val="28"/>
          <w:szCs w:val="28"/>
        </w:rPr>
        <w:t>, согласно которой численность населения Архангельской области за 2024 год сократилась на 8 320 чел. (на 01.01.2024 – 955 848 чел., на 01.01.2025 – 947 528) или на 0,9 %.</w:t>
      </w:r>
    </w:p>
    <w:p w14:paraId="763DEE2D" w14:textId="77777777" w:rsidR="002F7314" w:rsidRPr="00FD7B0B" w:rsidRDefault="002F7314" w:rsidP="00C90B7C">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За 2024 год позиция Архангельской области по объему государственного долга среди всех субъектов Российской Федерации ухудшилась на 4 позиции (с 11 на 7 место), а среди субъектов Северо-Западного федерального округа ухудшение на 1 позицию (со 2 на 1 место).</w:t>
      </w:r>
    </w:p>
    <w:p w14:paraId="40E7324D" w14:textId="6F5B4DBC" w:rsidR="002F7314" w:rsidRPr="00FD7B0B" w:rsidRDefault="002F7314" w:rsidP="005E3C3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Позиция по объему государственного долга на душу населения как среди всех субъектов РФ (3 место), так и среди субъекто</w:t>
      </w:r>
      <w:r w:rsidR="005E3C34" w:rsidRPr="00FD7B0B">
        <w:rPr>
          <w:rFonts w:ascii="Times New Roman" w:eastAsia="Calibri" w:hAnsi="Times New Roman" w:cs="Times New Roman"/>
          <w:sz w:val="28"/>
          <w:szCs w:val="28"/>
        </w:rPr>
        <w:t>в СЗФО (1 место) не изменилось.</w:t>
      </w:r>
    </w:p>
    <w:p w14:paraId="071E5FBC" w14:textId="548FF876" w:rsidR="002F7314" w:rsidRPr="00FD7B0B" w:rsidRDefault="002F7314" w:rsidP="005E3C3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Среди же субъектов РФ положение по объему государственного долга на душу населения хуже только у Магаданской области (133 006,39 руб./чел., 2 позиция) и у Чукотского автономного округа (163 568,98 руб./чел., 1 позиция)</w:t>
      </w:r>
      <w:r w:rsidR="005E3C34" w:rsidRPr="00FD7B0B">
        <w:rPr>
          <w:rFonts w:ascii="Times New Roman" w:eastAsia="Calibri" w:hAnsi="Times New Roman" w:cs="Times New Roman"/>
          <w:sz w:val="28"/>
          <w:szCs w:val="28"/>
        </w:rPr>
        <w:t>.</w:t>
      </w:r>
    </w:p>
    <w:p w14:paraId="334B6E2A" w14:textId="6E4F9E60" w:rsidR="002F7314" w:rsidRPr="00FD7B0B" w:rsidRDefault="002F7314" w:rsidP="00D11F7D">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 01.01.2024 по 01.01.2025 государственный долг на душу населения в Архангельской области </w:t>
      </w:r>
      <w:r w:rsidR="00D11F7D" w:rsidRPr="00FD7B0B">
        <w:rPr>
          <w:rFonts w:ascii="Times New Roman" w:eastAsia="Calibri" w:hAnsi="Times New Roman" w:cs="Times New Roman"/>
          <w:sz w:val="28"/>
          <w:szCs w:val="28"/>
        </w:rPr>
        <w:t>увеличился</w:t>
      </w:r>
      <w:r w:rsidRPr="00FD7B0B">
        <w:rPr>
          <w:rFonts w:ascii="Times New Roman" w:eastAsia="Calibri" w:hAnsi="Times New Roman" w:cs="Times New Roman"/>
          <w:sz w:val="28"/>
          <w:szCs w:val="28"/>
        </w:rPr>
        <w:t xml:space="preserve"> на 29,5 % (+20 862,44 руб./чел) и составил 91 635,22 руб./чел. На указанный рост повлиял рост объема государственного долга на 28,4 % (+19 178,9 млн.руб.) и снижение численности населения Архангельской области по сравнению с 01.01.2024.</w:t>
      </w:r>
    </w:p>
    <w:p w14:paraId="6FCE0F71" w14:textId="11F14C6A" w:rsidR="002F7314" w:rsidRPr="00FD7B0B" w:rsidRDefault="00D11F7D" w:rsidP="00D11F7D">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Л</w:t>
      </w:r>
      <w:r w:rsidR="002F7314" w:rsidRPr="00FD7B0B">
        <w:rPr>
          <w:rFonts w:ascii="Times New Roman" w:eastAsia="Calibri" w:hAnsi="Times New Roman" w:cs="Times New Roman"/>
          <w:sz w:val="28"/>
          <w:szCs w:val="28"/>
        </w:rPr>
        <w:t xml:space="preserve">идером по объему государственного долга среди субъектов СЗФО </w:t>
      </w:r>
      <w:r w:rsidRPr="00FD7B0B">
        <w:rPr>
          <w:rFonts w:ascii="Times New Roman" w:eastAsia="Calibri" w:hAnsi="Times New Roman" w:cs="Times New Roman"/>
          <w:sz w:val="28"/>
          <w:szCs w:val="28"/>
        </w:rPr>
        <w:t xml:space="preserve">на </w:t>
      </w:r>
      <w:r w:rsidR="002F7314" w:rsidRPr="00FD7B0B">
        <w:rPr>
          <w:rFonts w:ascii="Times New Roman" w:eastAsia="Calibri" w:hAnsi="Times New Roman" w:cs="Times New Roman"/>
          <w:sz w:val="28"/>
          <w:szCs w:val="28"/>
        </w:rPr>
        <w:t>начало 2024 года являлся г. Санкт-Петербург (88 092,3 млн.руб.), а на 01.01.2025 лидером является Архангельская область (86 826,9 млн.руб.), которая на начало года занимала 2 позицию, а г. Санкт-Петербург на конец 2024 года занял 2 позицию (72 915,7 млн.руб.).</w:t>
      </w:r>
    </w:p>
    <w:p w14:paraId="4F3363DD" w14:textId="461AB0EC" w:rsidR="002F7314" w:rsidRPr="00FD7B0B" w:rsidRDefault="002F7314" w:rsidP="00DF49A4">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уровню государственного долга по отношению к поступившим налоговым и неналоговым доходам позиция Архангельской области (88,9 %) среди субъектов РФ ухудшилась на 4 позици</w:t>
      </w:r>
      <w:r w:rsidR="00DF49A4" w:rsidRPr="00FD7B0B">
        <w:rPr>
          <w:rFonts w:ascii="Times New Roman" w:eastAsia="Calibri" w:hAnsi="Times New Roman" w:cs="Times New Roman"/>
          <w:sz w:val="28"/>
          <w:szCs w:val="28"/>
        </w:rPr>
        <w:t>и</w:t>
      </w:r>
      <w:r w:rsidRPr="00FD7B0B">
        <w:rPr>
          <w:rFonts w:ascii="Times New Roman" w:eastAsia="Calibri" w:hAnsi="Times New Roman" w:cs="Times New Roman"/>
          <w:sz w:val="28"/>
          <w:szCs w:val="28"/>
        </w:rPr>
        <w:t xml:space="preserve"> (с 6 на 2 место), а среди субъектов СЗФО не изменилась (1 место).</w:t>
      </w:r>
    </w:p>
    <w:p w14:paraId="018AF69F" w14:textId="33E1F1D6" w:rsidR="002F7314" w:rsidRPr="00FD7B0B" w:rsidRDefault="002F7314" w:rsidP="00847A77">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Среди субъектов РФ наихудшую позицию (1 место) по уровню государственного долга по отношению к поступившим налоговым и неналоговым доходам занимает республика Хакасия (91,2 %)</w:t>
      </w:r>
      <w:r w:rsidR="00847A77" w:rsidRPr="00FD7B0B">
        <w:rPr>
          <w:rFonts w:ascii="Times New Roman" w:eastAsia="Calibri" w:hAnsi="Times New Roman" w:cs="Times New Roman"/>
          <w:sz w:val="28"/>
          <w:szCs w:val="28"/>
        </w:rPr>
        <w:t>.</w:t>
      </w:r>
    </w:p>
    <w:p w14:paraId="4B23E35D" w14:textId="56CE5BBD" w:rsidR="002F7314" w:rsidRPr="00FD7B0B" w:rsidRDefault="002F7314" w:rsidP="00FB1558">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Ежеквартальный рэнкинг государственного долга Архангельской области за 2024 год представлен в таблице </w:t>
      </w:r>
      <w:r w:rsidR="005B57F7" w:rsidRPr="00FD7B0B">
        <w:rPr>
          <w:rFonts w:ascii="Times New Roman" w:eastAsia="Calibri" w:hAnsi="Times New Roman" w:cs="Times New Roman"/>
          <w:sz w:val="28"/>
          <w:szCs w:val="28"/>
        </w:rPr>
        <w:t>270</w:t>
      </w:r>
      <w:r w:rsidRPr="00FD7B0B">
        <w:rPr>
          <w:rFonts w:ascii="Times New Roman" w:eastAsia="Calibri" w:hAnsi="Times New Roman" w:cs="Times New Roman"/>
          <w:sz w:val="28"/>
          <w:szCs w:val="28"/>
        </w:rPr>
        <w:t>.</w:t>
      </w:r>
    </w:p>
    <w:p w14:paraId="3AD64A11" w14:textId="77777777" w:rsidR="002F7314" w:rsidRPr="00FD7B0B" w:rsidRDefault="002F7314" w:rsidP="00FB1558">
      <w:pPr>
        <w:pStyle w:val="aff0"/>
        <w:spacing w:after="0" w:line="240" w:lineRule="auto"/>
        <w:rPr>
          <w:rFonts w:ascii="Times New Roman" w:hAnsi="Times New Roman"/>
          <w:b w:val="0"/>
          <w:sz w:val="24"/>
          <w:szCs w:val="24"/>
        </w:rPr>
      </w:pPr>
    </w:p>
    <w:p w14:paraId="49E446F7" w14:textId="77777777" w:rsidR="002F7314" w:rsidRPr="00FD7B0B" w:rsidRDefault="002F7314" w:rsidP="00FB1558">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270</w:t>
      </w:r>
      <w:r w:rsidRPr="00FD7B0B">
        <w:rPr>
          <w:rFonts w:ascii="Times New Roman" w:hAnsi="Times New Roman"/>
          <w:b w:val="0"/>
          <w:sz w:val="24"/>
          <w:szCs w:val="24"/>
        </w:rPr>
        <w:fldChar w:fldCharType="end"/>
      </w:r>
      <w:r w:rsidRPr="00FD7B0B">
        <w:rPr>
          <w:rFonts w:ascii="Times New Roman" w:hAnsi="Times New Roman"/>
          <w:b w:val="0"/>
          <w:sz w:val="24"/>
          <w:szCs w:val="24"/>
        </w:rPr>
        <w:t>. Ежеквартальный рэнкинг Архангельской области по объему государственного долга за 2024 год</w:t>
      </w:r>
    </w:p>
    <w:tbl>
      <w:tblPr>
        <w:tblW w:w="9724" w:type="dxa"/>
        <w:tblLook w:val="04A0" w:firstRow="1" w:lastRow="0" w:firstColumn="1" w:lastColumn="0" w:noHBand="0" w:noVBand="1"/>
      </w:tblPr>
      <w:tblGrid>
        <w:gridCol w:w="2529"/>
        <w:gridCol w:w="686"/>
        <w:gridCol w:w="753"/>
        <w:gridCol w:w="671"/>
        <w:gridCol w:w="768"/>
        <w:gridCol w:w="649"/>
        <w:gridCol w:w="790"/>
        <w:gridCol w:w="586"/>
        <w:gridCol w:w="853"/>
        <w:gridCol w:w="586"/>
        <w:gridCol w:w="853"/>
      </w:tblGrid>
      <w:tr w:rsidR="00FD7B0B" w:rsidRPr="00FD7B0B" w14:paraId="554E46B3" w14:textId="77777777" w:rsidTr="002F7314">
        <w:trPr>
          <w:trHeight w:val="50"/>
        </w:trPr>
        <w:tc>
          <w:tcPr>
            <w:tcW w:w="2529"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558354EF"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Показатель</w:t>
            </w:r>
          </w:p>
        </w:tc>
        <w:tc>
          <w:tcPr>
            <w:tcW w:w="1439" w:type="dxa"/>
            <w:gridSpan w:val="2"/>
            <w:tcBorders>
              <w:top w:val="double" w:sz="4" w:space="0" w:color="auto"/>
              <w:left w:val="nil"/>
              <w:bottom w:val="single" w:sz="4" w:space="0" w:color="auto"/>
              <w:right w:val="single" w:sz="4" w:space="0" w:color="000000"/>
            </w:tcBorders>
            <w:shd w:val="clear" w:color="auto" w:fill="auto"/>
            <w:vAlign w:val="center"/>
            <w:hideMark/>
          </w:tcPr>
          <w:p w14:paraId="2A5E418C"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01.01.24</w:t>
            </w:r>
          </w:p>
        </w:tc>
        <w:tc>
          <w:tcPr>
            <w:tcW w:w="1439" w:type="dxa"/>
            <w:gridSpan w:val="2"/>
            <w:tcBorders>
              <w:top w:val="double" w:sz="4" w:space="0" w:color="auto"/>
              <w:left w:val="nil"/>
              <w:bottom w:val="single" w:sz="4" w:space="0" w:color="auto"/>
              <w:right w:val="single" w:sz="4" w:space="0" w:color="000000"/>
            </w:tcBorders>
            <w:shd w:val="clear" w:color="auto" w:fill="auto"/>
            <w:vAlign w:val="center"/>
            <w:hideMark/>
          </w:tcPr>
          <w:p w14:paraId="7D0560D6"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01.04.24</w:t>
            </w:r>
          </w:p>
        </w:tc>
        <w:tc>
          <w:tcPr>
            <w:tcW w:w="1439" w:type="dxa"/>
            <w:gridSpan w:val="2"/>
            <w:tcBorders>
              <w:top w:val="double" w:sz="4" w:space="0" w:color="auto"/>
              <w:left w:val="nil"/>
              <w:bottom w:val="single" w:sz="4" w:space="0" w:color="auto"/>
              <w:right w:val="single" w:sz="4" w:space="0" w:color="000000"/>
            </w:tcBorders>
            <w:shd w:val="clear" w:color="auto" w:fill="auto"/>
            <w:vAlign w:val="center"/>
            <w:hideMark/>
          </w:tcPr>
          <w:p w14:paraId="5260EECC"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01.07.24</w:t>
            </w:r>
          </w:p>
        </w:tc>
        <w:tc>
          <w:tcPr>
            <w:tcW w:w="1439" w:type="dxa"/>
            <w:gridSpan w:val="2"/>
            <w:tcBorders>
              <w:top w:val="double" w:sz="4" w:space="0" w:color="auto"/>
              <w:left w:val="nil"/>
              <w:bottom w:val="single" w:sz="4" w:space="0" w:color="auto"/>
              <w:right w:val="single" w:sz="4" w:space="0" w:color="000000"/>
            </w:tcBorders>
            <w:shd w:val="clear" w:color="auto" w:fill="auto"/>
            <w:vAlign w:val="center"/>
            <w:hideMark/>
          </w:tcPr>
          <w:p w14:paraId="6BB5E817"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01.10.24</w:t>
            </w:r>
          </w:p>
        </w:tc>
        <w:tc>
          <w:tcPr>
            <w:tcW w:w="1439" w:type="dxa"/>
            <w:gridSpan w:val="2"/>
            <w:tcBorders>
              <w:top w:val="double" w:sz="4" w:space="0" w:color="auto"/>
              <w:left w:val="nil"/>
              <w:bottom w:val="single" w:sz="4" w:space="0" w:color="auto"/>
              <w:right w:val="double" w:sz="4" w:space="0" w:color="auto"/>
            </w:tcBorders>
            <w:shd w:val="clear" w:color="auto" w:fill="auto"/>
            <w:vAlign w:val="center"/>
            <w:hideMark/>
          </w:tcPr>
          <w:p w14:paraId="3C95AE58"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01.01.25</w:t>
            </w:r>
          </w:p>
        </w:tc>
      </w:tr>
      <w:tr w:rsidR="00FD7B0B" w:rsidRPr="00FD7B0B" w14:paraId="7C4F8FA5" w14:textId="77777777" w:rsidTr="002F7314">
        <w:trPr>
          <w:trHeight w:val="35"/>
        </w:trPr>
        <w:tc>
          <w:tcPr>
            <w:tcW w:w="2529" w:type="dxa"/>
            <w:vMerge/>
            <w:tcBorders>
              <w:top w:val="double" w:sz="6" w:space="0" w:color="auto"/>
              <w:left w:val="double" w:sz="4" w:space="0" w:color="auto"/>
              <w:bottom w:val="single" w:sz="4" w:space="0" w:color="auto"/>
              <w:right w:val="single" w:sz="4" w:space="0" w:color="auto"/>
            </w:tcBorders>
            <w:vAlign w:val="center"/>
            <w:hideMark/>
          </w:tcPr>
          <w:p w14:paraId="36FB2DF9" w14:textId="77777777" w:rsidR="002F7314" w:rsidRPr="00FD7B0B" w:rsidRDefault="002F7314" w:rsidP="00D52121">
            <w:pPr>
              <w:spacing w:after="0" w:line="240" w:lineRule="auto"/>
              <w:rPr>
                <w:rFonts w:ascii="Times New Roman" w:eastAsia="Times New Roman" w:hAnsi="Times New Roman" w:cs="Times New Roman"/>
                <w:sz w:val="20"/>
                <w:szCs w:val="20"/>
                <w:lang w:eastAsia="ru-RU"/>
              </w:rPr>
            </w:pPr>
          </w:p>
        </w:tc>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F8757"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753" w:type="dxa"/>
            <w:tcBorders>
              <w:top w:val="single" w:sz="4" w:space="0" w:color="auto"/>
              <w:left w:val="nil"/>
              <w:bottom w:val="single" w:sz="4" w:space="0" w:color="auto"/>
              <w:right w:val="single" w:sz="4" w:space="0" w:color="auto"/>
            </w:tcBorders>
            <w:shd w:val="clear" w:color="auto" w:fill="auto"/>
            <w:vAlign w:val="center"/>
            <w:hideMark/>
          </w:tcPr>
          <w:p w14:paraId="1D98054D"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671" w:type="dxa"/>
            <w:tcBorders>
              <w:top w:val="single" w:sz="4" w:space="0" w:color="auto"/>
              <w:left w:val="nil"/>
              <w:bottom w:val="single" w:sz="4" w:space="0" w:color="auto"/>
              <w:right w:val="single" w:sz="4" w:space="0" w:color="auto"/>
            </w:tcBorders>
            <w:shd w:val="clear" w:color="auto" w:fill="auto"/>
            <w:vAlign w:val="center"/>
            <w:hideMark/>
          </w:tcPr>
          <w:p w14:paraId="6C1015A4"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01B1709"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649" w:type="dxa"/>
            <w:tcBorders>
              <w:top w:val="single" w:sz="4" w:space="0" w:color="auto"/>
              <w:left w:val="nil"/>
              <w:bottom w:val="single" w:sz="4" w:space="0" w:color="auto"/>
              <w:right w:val="single" w:sz="4" w:space="0" w:color="auto"/>
            </w:tcBorders>
            <w:shd w:val="clear" w:color="auto" w:fill="auto"/>
            <w:vAlign w:val="center"/>
            <w:hideMark/>
          </w:tcPr>
          <w:p w14:paraId="6A4F81D1"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790" w:type="dxa"/>
            <w:tcBorders>
              <w:top w:val="single" w:sz="4" w:space="0" w:color="auto"/>
              <w:left w:val="nil"/>
              <w:bottom w:val="single" w:sz="4" w:space="0" w:color="auto"/>
              <w:right w:val="single" w:sz="4" w:space="0" w:color="auto"/>
            </w:tcBorders>
            <w:shd w:val="clear" w:color="auto" w:fill="auto"/>
            <w:vAlign w:val="center"/>
            <w:hideMark/>
          </w:tcPr>
          <w:p w14:paraId="07342F0F"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77FDF6C9"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853" w:type="dxa"/>
            <w:tcBorders>
              <w:top w:val="single" w:sz="4" w:space="0" w:color="auto"/>
              <w:left w:val="nil"/>
              <w:bottom w:val="single" w:sz="4" w:space="0" w:color="auto"/>
              <w:right w:val="single" w:sz="4" w:space="0" w:color="auto"/>
            </w:tcBorders>
            <w:shd w:val="clear" w:color="auto" w:fill="auto"/>
            <w:vAlign w:val="center"/>
            <w:hideMark/>
          </w:tcPr>
          <w:p w14:paraId="64F180E4"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1FEA9F0B"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853" w:type="dxa"/>
            <w:tcBorders>
              <w:top w:val="single" w:sz="4" w:space="0" w:color="auto"/>
              <w:left w:val="nil"/>
              <w:bottom w:val="single" w:sz="4" w:space="0" w:color="auto"/>
              <w:right w:val="double" w:sz="4" w:space="0" w:color="auto"/>
            </w:tcBorders>
            <w:shd w:val="clear" w:color="auto" w:fill="auto"/>
            <w:vAlign w:val="center"/>
            <w:hideMark/>
          </w:tcPr>
          <w:p w14:paraId="06E43846"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r>
      <w:tr w:rsidR="00FD7B0B" w:rsidRPr="00FD7B0B" w14:paraId="1738CB85" w14:textId="77777777" w:rsidTr="002F7314">
        <w:trPr>
          <w:trHeight w:val="70"/>
        </w:trPr>
        <w:tc>
          <w:tcPr>
            <w:tcW w:w="2529" w:type="dxa"/>
            <w:tcBorders>
              <w:top w:val="nil"/>
              <w:left w:val="double" w:sz="4" w:space="0" w:color="auto"/>
              <w:bottom w:val="single" w:sz="4" w:space="0" w:color="auto"/>
              <w:right w:val="single" w:sz="4" w:space="0" w:color="auto"/>
            </w:tcBorders>
            <w:shd w:val="clear" w:color="auto" w:fill="auto"/>
            <w:vAlign w:val="center"/>
            <w:hideMark/>
          </w:tcPr>
          <w:p w14:paraId="1346B251" w14:textId="77777777" w:rsidR="002F7314" w:rsidRPr="00FD7B0B" w:rsidRDefault="002F7314" w:rsidP="00D5212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Государственный долг, млн.руб.</w:t>
            </w:r>
          </w:p>
        </w:tc>
        <w:tc>
          <w:tcPr>
            <w:tcW w:w="143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A338D31"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67 648,0 </w:t>
            </w:r>
          </w:p>
        </w:tc>
        <w:tc>
          <w:tcPr>
            <w:tcW w:w="1439" w:type="dxa"/>
            <w:gridSpan w:val="2"/>
            <w:tcBorders>
              <w:top w:val="single" w:sz="4" w:space="0" w:color="auto"/>
              <w:left w:val="nil"/>
              <w:bottom w:val="single" w:sz="4" w:space="0" w:color="auto"/>
              <w:right w:val="single" w:sz="4" w:space="0" w:color="auto"/>
            </w:tcBorders>
            <w:shd w:val="clear" w:color="auto" w:fill="auto"/>
            <w:vAlign w:val="center"/>
            <w:hideMark/>
          </w:tcPr>
          <w:p w14:paraId="46BC5A61"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71 411,4 </w:t>
            </w:r>
          </w:p>
        </w:tc>
        <w:tc>
          <w:tcPr>
            <w:tcW w:w="1439" w:type="dxa"/>
            <w:gridSpan w:val="2"/>
            <w:tcBorders>
              <w:top w:val="single" w:sz="4" w:space="0" w:color="auto"/>
              <w:left w:val="nil"/>
              <w:bottom w:val="single" w:sz="4" w:space="0" w:color="auto"/>
              <w:right w:val="single" w:sz="4" w:space="0" w:color="000000"/>
            </w:tcBorders>
            <w:shd w:val="clear" w:color="auto" w:fill="auto"/>
            <w:vAlign w:val="center"/>
            <w:hideMark/>
          </w:tcPr>
          <w:p w14:paraId="42E42350"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76 480,8 </w:t>
            </w:r>
          </w:p>
        </w:tc>
        <w:tc>
          <w:tcPr>
            <w:tcW w:w="1439" w:type="dxa"/>
            <w:gridSpan w:val="2"/>
            <w:tcBorders>
              <w:top w:val="single" w:sz="4" w:space="0" w:color="auto"/>
              <w:left w:val="nil"/>
              <w:bottom w:val="single" w:sz="4" w:space="0" w:color="auto"/>
              <w:right w:val="single" w:sz="4" w:space="0" w:color="auto"/>
            </w:tcBorders>
            <w:shd w:val="clear" w:color="auto" w:fill="auto"/>
            <w:vAlign w:val="center"/>
            <w:hideMark/>
          </w:tcPr>
          <w:p w14:paraId="452B995E"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81 520,8 </w:t>
            </w:r>
          </w:p>
        </w:tc>
        <w:tc>
          <w:tcPr>
            <w:tcW w:w="1439" w:type="dxa"/>
            <w:gridSpan w:val="2"/>
            <w:tcBorders>
              <w:top w:val="single" w:sz="4" w:space="0" w:color="auto"/>
              <w:left w:val="nil"/>
              <w:bottom w:val="single" w:sz="4" w:space="0" w:color="auto"/>
              <w:right w:val="double" w:sz="4" w:space="0" w:color="auto"/>
            </w:tcBorders>
            <w:shd w:val="clear" w:color="auto" w:fill="auto"/>
            <w:vAlign w:val="center"/>
            <w:hideMark/>
          </w:tcPr>
          <w:p w14:paraId="34A774CE"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86 826,9 </w:t>
            </w:r>
          </w:p>
        </w:tc>
      </w:tr>
      <w:tr w:rsidR="00FD7B0B" w:rsidRPr="00FD7B0B" w14:paraId="79F69886" w14:textId="77777777" w:rsidTr="002F7314">
        <w:trPr>
          <w:trHeight w:val="70"/>
        </w:trPr>
        <w:tc>
          <w:tcPr>
            <w:tcW w:w="2529" w:type="dxa"/>
            <w:tcBorders>
              <w:top w:val="nil"/>
              <w:left w:val="double" w:sz="4" w:space="0" w:color="auto"/>
              <w:bottom w:val="single" w:sz="4" w:space="0" w:color="auto"/>
              <w:right w:val="single" w:sz="4" w:space="0" w:color="auto"/>
            </w:tcBorders>
            <w:shd w:val="clear" w:color="auto" w:fill="auto"/>
            <w:vAlign w:val="center"/>
            <w:hideMark/>
          </w:tcPr>
          <w:p w14:paraId="78E46822" w14:textId="77777777" w:rsidR="002F7314" w:rsidRPr="00FD7B0B" w:rsidRDefault="002F7314" w:rsidP="00D5212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686" w:type="dxa"/>
            <w:tcBorders>
              <w:top w:val="nil"/>
              <w:left w:val="single" w:sz="4" w:space="0" w:color="auto"/>
              <w:bottom w:val="single" w:sz="4" w:space="0" w:color="auto"/>
              <w:right w:val="single" w:sz="4" w:space="0" w:color="auto"/>
            </w:tcBorders>
            <w:shd w:val="clear" w:color="auto" w:fill="auto"/>
            <w:vAlign w:val="center"/>
            <w:hideMark/>
          </w:tcPr>
          <w:p w14:paraId="6D7BD0BE"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11 </w:t>
            </w:r>
          </w:p>
        </w:tc>
        <w:tc>
          <w:tcPr>
            <w:tcW w:w="753" w:type="dxa"/>
            <w:tcBorders>
              <w:top w:val="nil"/>
              <w:left w:val="nil"/>
              <w:bottom w:val="single" w:sz="4" w:space="0" w:color="auto"/>
              <w:right w:val="single" w:sz="4" w:space="0" w:color="auto"/>
            </w:tcBorders>
            <w:shd w:val="clear" w:color="auto" w:fill="auto"/>
            <w:vAlign w:val="center"/>
            <w:hideMark/>
          </w:tcPr>
          <w:p w14:paraId="4203F48C"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w:t>
            </w:r>
          </w:p>
        </w:tc>
        <w:tc>
          <w:tcPr>
            <w:tcW w:w="671" w:type="dxa"/>
            <w:tcBorders>
              <w:top w:val="nil"/>
              <w:left w:val="nil"/>
              <w:bottom w:val="single" w:sz="4" w:space="0" w:color="auto"/>
              <w:right w:val="single" w:sz="4" w:space="0" w:color="auto"/>
            </w:tcBorders>
            <w:shd w:val="clear" w:color="auto" w:fill="auto"/>
            <w:vAlign w:val="center"/>
            <w:hideMark/>
          </w:tcPr>
          <w:p w14:paraId="2CC96B83"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 </w:t>
            </w:r>
          </w:p>
        </w:tc>
        <w:tc>
          <w:tcPr>
            <w:tcW w:w="768" w:type="dxa"/>
            <w:tcBorders>
              <w:top w:val="nil"/>
              <w:left w:val="nil"/>
              <w:bottom w:val="single" w:sz="4" w:space="0" w:color="auto"/>
              <w:right w:val="single" w:sz="4" w:space="0" w:color="auto"/>
            </w:tcBorders>
            <w:shd w:val="clear" w:color="auto" w:fill="auto"/>
            <w:vAlign w:val="center"/>
            <w:hideMark/>
          </w:tcPr>
          <w:p w14:paraId="462E5376"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w:t>
            </w:r>
          </w:p>
        </w:tc>
        <w:tc>
          <w:tcPr>
            <w:tcW w:w="649" w:type="dxa"/>
            <w:tcBorders>
              <w:top w:val="nil"/>
              <w:left w:val="nil"/>
              <w:bottom w:val="single" w:sz="4" w:space="0" w:color="auto"/>
              <w:right w:val="single" w:sz="4" w:space="0" w:color="auto"/>
            </w:tcBorders>
            <w:shd w:val="clear" w:color="auto" w:fill="auto"/>
            <w:vAlign w:val="center"/>
            <w:hideMark/>
          </w:tcPr>
          <w:p w14:paraId="7A44ABA8"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 </w:t>
            </w:r>
          </w:p>
        </w:tc>
        <w:tc>
          <w:tcPr>
            <w:tcW w:w="790" w:type="dxa"/>
            <w:tcBorders>
              <w:top w:val="nil"/>
              <w:left w:val="nil"/>
              <w:bottom w:val="single" w:sz="4" w:space="0" w:color="auto"/>
              <w:right w:val="single" w:sz="4" w:space="0" w:color="auto"/>
            </w:tcBorders>
            <w:shd w:val="clear" w:color="auto" w:fill="auto"/>
            <w:vAlign w:val="center"/>
            <w:hideMark/>
          </w:tcPr>
          <w:p w14:paraId="377A4B69"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w:t>
            </w:r>
          </w:p>
        </w:tc>
        <w:tc>
          <w:tcPr>
            <w:tcW w:w="586" w:type="dxa"/>
            <w:tcBorders>
              <w:top w:val="nil"/>
              <w:left w:val="nil"/>
              <w:bottom w:val="single" w:sz="4" w:space="0" w:color="auto"/>
              <w:right w:val="single" w:sz="4" w:space="0" w:color="auto"/>
            </w:tcBorders>
            <w:shd w:val="clear" w:color="auto" w:fill="auto"/>
            <w:vAlign w:val="center"/>
            <w:hideMark/>
          </w:tcPr>
          <w:p w14:paraId="69ABCCE4"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 </w:t>
            </w:r>
          </w:p>
        </w:tc>
        <w:tc>
          <w:tcPr>
            <w:tcW w:w="853" w:type="dxa"/>
            <w:tcBorders>
              <w:top w:val="nil"/>
              <w:left w:val="nil"/>
              <w:bottom w:val="single" w:sz="4" w:space="0" w:color="auto"/>
              <w:right w:val="single" w:sz="4" w:space="0" w:color="auto"/>
            </w:tcBorders>
            <w:shd w:val="clear" w:color="auto" w:fill="auto"/>
            <w:vAlign w:val="center"/>
            <w:hideMark/>
          </w:tcPr>
          <w:p w14:paraId="7EE0272F"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w:t>
            </w:r>
          </w:p>
        </w:tc>
        <w:tc>
          <w:tcPr>
            <w:tcW w:w="586" w:type="dxa"/>
            <w:tcBorders>
              <w:top w:val="nil"/>
              <w:left w:val="nil"/>
              <w:bottom w:val="single" w:sz="4" w:space="0" w:color="auto"/>
              <w:right w:val="single" w:sz="4" w:space="0" w:color="auto"/>
            </w:tcBorders>
            <w:shd w:val="clear" w:color="auto" w:fill="auto"/>
            <w:vAlign w:val="center"/>
            <w:hideMark/>
          </w:tcPr>
          <w:p w14:paraId="784C268A"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 </w:t>
            </w:r>
          </w:p>
        </w:tc>
        <w:tc>
          <w:tcPr>
            <w:tcW w:w="853" w:type="dxa"/>
            <w:tcBorders>
              <w:top w:val="nil"/>
              <w:left w:val="nil"/>
              <w:bottom w:val="single" w:sz="4" w:space="0" w:color="auto"/>
              <w:right w:val="double" w:sz="4" w:space="0" w:color="auto"/>
            </w:tcBorders>
            <w:shd w:val="clear" w:color="auto" w:fill="auto"/>
            <w:vAlign w:val="center"/>
            <w:hideMark/>
          </w:tcPr>
          <w:p w14:paraId="1C6F6EB3"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r>
      <w:tr w:rsidR="00FD7B0B" w:rsidRPr="00FD7B0B" w14:paraId="7DFAD44D" w14:textId="77777777" w:rsidTr="002F7314">
        <w:trPr>
          <w:trHeight w:val="70"/>
        </w:trPr>
        <w:tc>
          <w:tcPr>
            <w:tcW w:w="2529" w:type="dxa"/>
            <w:tcBorders>
              <w:top w:val="nil"/>
              <w:left w:val="double" w:sz="4" w:space="0" w:color="auto"/>
              <w:bottom w:val="single" w:sz="4" w:space="0" w:color="auto"/>
              <w:right w:val="single" w:sz="4" w:space="0" w:color="auto"/>
            </w:tcBorders>
            <w:shd w:val="clear" w:color="auto" w:fill="auto"/>
            <w:vAlign w:val="center"/>
            <w:hideMark/>
          </w:tcPr>
          <w:p w14:paraId="0446422C" w14:textId="77777777" w:rsidR="002F7314" w:rsidRPr="00FD7B0B" w:rsidRDefault="002F7314" w:rsidP="00D5212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Государственный долг на душу населения, руб.</w:t>
            </w:r>
          </w:p>
        </w:tc>
        <w:tc>
          <w:tcPr>
            <w:tcW w:w="143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6653E45"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70 772,78 </w:t>
            </w:r>
          </w:p>
        </w:tc>
        <w:tc>
          <w:tcPr>
            <w:tcW w:w="1439" w:type="dxa"/>
            <w:gridSpan w:val="2"/>
            <w:tcBorders>
              <w:top w:val="single" w:sz="4" w:space="0" w:color="auto"/>
              <w:left w:val="nil"/>
              <w:bottom w:val="single" w:sz="4" w:space="0" w:color="auto"/>
              <w:right w:val="single" w:sz="4" w:space="0" w:color="auto"/>
            </w:tcBorders>
            <w:shd w:val="clear" w:color="auto" w:fill="auto"/>
            <w:vAlign w:val="center"/>
            <w:hideMark/>
          </w:tcPr>
          <w:p w14:paraId="45129DF4"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74 709,98 </w:t>
            </w:r>
          </w:p>
        </w:tc>
        <w:tc>
          <w:tcPr>
            <w:tcW w:w="1439" w:type="dxa"/>
            <w:gridSpan w:val="2"/>
            <w:tcBorders>
              <w:top w:val="single" w:sz="4" w:space="0" w:color="auto"/>
              <w:left w:val="nil"/>
              <w:bottom w:val="single" w:sz="4" w:space="0" w:color="auto"/>
              <w:right w:val="single" w:sz="4" w:space="0" w:color="000000"/>
            </w:tcBorders>
            <w:shd w:val="clear" w:color="auto" w:fill="auto"/>
            <w:vAlign w:val="center"/>
            <w:hideMark/>
          </w:tcPr>
          <w:p w14:paraId="76427F04"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80 013,55 </w:t>
            </w:r>
          </w:p>
        </w:tc>
        <w:tc>
          <w:tcPr>
            <w:tcW w:w="1439" w:type="dxa"/>
            <w:gridSpan w:val="2"/>
            <w:tcBorders>
              <w:top w:val="single" w:sz="4" w:space="0" w:color="auto"/>
              <w:left w:val="nil"/>
              <w:bottom w:val="single" w:sz="4" w:space="0" w:color="auto"/>
              <w:right w:val="single" w:sz="4" w:space="0" w:color="auto"/>
            </w:tcBorders>
            <w:shd w:val="clear" w:color="auto" w:fill="auto"/>
            <w:vAlign w:val="center"/>
            <w:hideMark/>
          </w:tcPr>
          <w:p w14:paraId="700FB370"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85 286,35 </w:t>
            </w:r>
          </w:p>
        </w:tc>
        <w:tc>
          <w:tcPr>
            <w:tcW w:w="1439" w:type="dxa"/>
            <w:gridSpan w:val="2"/>
            <w:tcBorders>
              <w:top w:val="single" w:sz="4" w:space="0" w:color="auto"/>
              <w:left w:val="nil"/>
              <w:bottom w:val="single" w:sz="4" w:space="0" w:color="auto"/>
              <w:right w:val="double" w:sz="4" w:space="0" w:color="auto"/>
            </w:tcBorders>
            <w:shd w:val="clear" w:color="auto" w:fill="auto"/>
            <w:vAlign w:val="center"/>
            <w:hideMark/>
          </w:tcPr>
          <w:p w14:paraId="2563BA9D"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91 635,22 </w:t>
            </w:r>
          </w:p>
        </w:tc>
      </w:tr>
      <w:tr w:rsidR="002F7314" w:rsidRPr="00FD7B0B" w14:paraId="33A89E42" w14:textId="77777777" w:rsidTr="002F7314">
        <w:trPr>
          <w:trHeight w:val="70"/>
        </w:trPr>
        <w:tc>
          <w:tcPr>
            <w:tcW w:w="2529" w:type="dxa"/>
            <w:tcBorders>
              <w:top w:val="nil"/>
              <w:left w:val="double" w:sz="4" w:space="0" w:color="auto"/>
              <w:bottom w:val="double" w:sz="4" w:space="0" w:color="auto"/>
              <w:right w:val="single" w:sz="4" w:space="0" w:color="auto"/>
            </w:tcBorders>
            <w:shd w:val="clear" w:color="auto" w:fill="auto"/>
            <w:vAlign w:val="center"/>
            <w:hideMark/>
          </w:tcPr>
          <w:p w14:paraId="1AAF81D0" w14:textId="77777777" w:rsidR="002F7314" w:rsidRPr="00FD7B0B" w:rsidRDefault="002F7314" w:rsidP="00D52121">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686" w:type="dxa"/>
            <w:tcBorders>
              <w:top w:val="single" w:sz="4" w:space="0" w:color="auto"/>
              <w:left w:val="nil"/>
              <w:bottom w:val="double" w:sz="4" w:space="0" w:color="auto"/>
              <w:right w:val="single" w:sz="4" w:space="0" w:color="auto"/>
            </w:tcBorders>
            <w:shd w:val="clear" w:color="auto" w:fill="auto"/>
            <w:vAlign w:val="center"/>
            <w:hideMark/>
          </w:tcPr>
          <w:p w14:paraId="5A13DB82"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w:t>
            </w:r>
          </w:p>
        </w:tc>
        <w:tc>
          <w:tcPr>
            <w:tcW w:w="753" w:type="dxa"/>
            <w:tcBorders>
              <w:top w:val="single" w:sz="4" w:space="0" w:color="auto"/>
              <w:left w:val="nil"/>
              <w:bottom w:val="double" w:sz="4" w:space="0" w:color="auto"/>
              <w:right w:val="single" w:sz="4" w:space="0" w:color="auto"/>
            </w:tcBorders>
            <w:shd w:val="clear" w:color="auto" w:fill="auto"/>
            <w:vAlign w:val="center"/>
            <w:hideMark/>
          </w:tcPr>
          <w:p w14:paraId="46D8E6FD"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c>
          <w:tcPr>
            <w:tcW w:w="671" w:type="dxa"/>
            <w:tcBorders>
              <w:top w:val="single" w:sz="4" w:space="0" w:color="auto"/>
              <w:left w:val="nil"/>
              <w:bottom w:val="double" w:sz="4" w:space="0" w:color="auto"/>
              <w:right w:val="single" w:sz="4" w:space="0" w:color="auto"/>
            </w:tcBorders>
            <w:shd w:val="clear" w:color="auto" w:fill="auto"/>
            <w:vAlign w:val="center"/>
            <w:hideMark/>
          </w:tcPr>
          <w:p w14:paraId="0A224CCF"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w:t>
            </w:r>
          </w:p>
        </w:tc>
        <w:tc>
          <w:tcPr>
            <w:tcW w:w="768" w:type="dxa"/>
            <w:tcBorders>
              <w:top w:val="single" w:sz="4" w:space="0" w:color="auto"/>
              <w:left w:val="nil"/>
              <w:bottom w:val="double" w:sz="4" w:space="0" w:color="auto"/>
              <w:right w:val="single" w:sz="4" w:space="0" w:color="auto"/>
            </w:tcBorders>
            <w:shd w:val="clear" w:color="auto" w:fill="auto"/>
            <w:vAlign w:val="center"/>
            <w:hideMark/>
          </w:tcPr>
          <w:p w14:paraId="60E94CF5"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c>
          <w:tcPr>
            <w:tcW w:w="649" w:type="dxa"/>
            <w:tcBorders>
              <w:top w:val="single" w:sz="4" w:space="0" w:color="auto"/>
              <w:left w:val="nil"/>
              <w:bottom w:val="double" w:sz="4" w:space="0" w:color="auto"/>
              <w:right w:val="single" w:sz="4" w:space="0" w:color="auto"/>
            </w:tcBorders>
            <w:shd w:val="clear" w:color="auto" w:fill="auto"/>
            <w:vAlign w:val="center"/>
            <w:hideMark/>
          </w:tcPr>
          <w:p w14:paraId="713A2FD6"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w:t>
            </w:r>
          </w:p>
        </w:tc>
        <w:tc>
          <w:tcPr>
            <w:tcW w:w="790" w:type="dxa"/>
            <w:tcBorders>
              <w:top w:val="single" w:sz="4" w:space="0" w:color="auto"/>
              <w:left w:val="nil"/>
              <w:bottom w:val="double" w:sz="4" w:space="0" w:color="auto"/>
              <w:right w:val="single" w:sz="4" w:space="0" w:color="auto"/>
            </w:tcBorders>
            <w:shd w:val="clear" w:color="auto" w:fill="auto"/>
            <w:vAlign w:val="center"/>
            <w:hideMark/>
          </w:tcPr>
          <w:p w14:paraId="604A26F7"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c>
          <w:tcPr>
            <w:tcW w:w="586" w:type="dxa"/>
            <w:tcBorders>
              <w:top w:val="single" w:sz="4" w:space="0" w:color="auto"/>
              <w:left w:val="nil"/>
              <w:bottom w:val="double" w:sz="4" w:space="0" w:color="auto"/>
              <w:right w:val="single" w:sz="4" w:space="0" w:color="auto"/>
            </w:tcBorders>
            <w:shd w:val="clear" w:color="auto" w:fill="auto"/>
            <w:vAlign w:val="center"/>
            <w:hideMark/>
          </w:tcPr>
          <w:p w14:paraId="17C5C63F"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w:t>
            </w:r>
          </w:p>
        </w:tc>
        <w:tc>
          <w:tcPr>
            <w:tcW w:w="853" w:type="dxa"/>
            <w:tcBorders>
              <w:top w:val="single" w:sz="4" w:space="0" w:color="auto"/>
              <w:left w:val="nil"/>
              <w:bottom w:val="double" w:sz="4" w:space="0" w:color="auto"/>
              <w:right w:val="single" w:sz="4" w:space="0" w:color="auto"/>
            </w:tcBorders>
            <w:shd w:val="clear" w:color="auto" w:fill="auto"/>
            <w:vAlign w:val="center"/>
            <w:hideMark/>
          </w:tcPr>
          <w:p w14:paraId="195323AC"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c>
          <w:tcPr>
            <w:tcW w:w="586" w:type="dxa"/>
            <w:tcBorders>
              <w:top w:val="single" w:sz="4" w:space="0" w:color="auto"/>
              <w:left w:val="nil"/>
              <w:bottom w:val="double" w:sz="4" w:space="0" w:color="auto"/>
              <w:right w:val="single" w:sz="4" w:space="0" w:color="auto"/>
            </w:tcBorders>
            <w:shd w:val="clear" w:color="auto" w:fill="auto"/>
            <w:vAlign w:val="center"/>
            <w:hideMark/>
          </w:tcPr>
          <w:p w14:paraId="258C4D96"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w:t>
            </w:r>
          </w:p>
        </w:tc>
        <w:tc>
          <w:tcPr>
            <w:tcW w:w="853" w:type="dxa"/>
            <w:tcBorders>
              <w:top w:val="single" w:sz="4" w:space="0" w:color="auto"/>
              <w:left w:val="nil"/>
              <w:bottom w:val="double" w:sz="4" w:space="0" w:color="auto"/>
              <w:right w:val="double" w:sz="4" w:space="0" w:color="auto"/>
            </w:tcBorders>
            <w:shd w:val="clear" w:color="auto" w:fill="auto"/>
            <w:vAlign w:val="center"/>
            <w:hideMark/>
          </w:tcPr>
          <w:p w14:paraId="12892DA4" w14:textId="77777777" w:rsidR="002F7314" w:rsidRPr="00FD7B0B" w:rsidRDefault="002F7314" w:rsidP="00D52121">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r>
    </w:tbl>
    <w:p w14:paraId="66CC0DDC" w14:textId="77777777" w:rsidR="002F7314" w:rsidRPr="00FD7B0B" w:rsidRDefault="002F7314" w:rsidP="00D52121">
      <w:pPr>
        <w:spacing w:after="0" w:line="240" w:lineRule="auto"/>
        <w:ind w:firstLine="709"/>
        <w:jc w:val="both"/>
        <w:rPr>
          <w:rFonts w:ascii="Times New Roman" w:eastAsia="Calibri" w:hAnsi="Times New Roman" w:cs="Times New Roman"/>
          <w:sz w:val="28"/>
          <w:szCs w:val="28"/>
        </w:rPr>
      </w:pPr>
    </w:p>
    <w:p w14:paraId="3D3CA07E" w14:textId="77777777" w:rsidR="002F7314" w:rsidRPr="00FD7B0B" w:rsidRDefault="002F7314" w:rsidP="00D5212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За I квартал 2024 года позиция Архангельской области по объему государственного долга среди субъектов РФ ухудшилась на 3 позиции (с 11 на 8 место) и 4 квартале 2024 года – ухудшение ещё на 1 позицию (с 8 на 7 место). Среди субъектов СЗФО положение Архангельской области в рэнкинге изменилось только в 4 квартале 2024 года (со 2 на 1 место).</w:t>
      </w:r>
    </w:p>
    <w:p w14:paraId="59E5C702" w14:textId="77777777" w:rsidR="002F7314" w:rsidRPr="00FD7B0B" w:rsidRDefault="002F7314" w:rsidP="00D5212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По объему государственного долга на душу населения позиция Архангельской области как среди субъектов РФ, так и среди субъектов СЗФО ежеквартально не менялась (3 и 1 позиции, соответственно).</w:t>
      </w:r>
    </w:p>
    <w:p w14:paraId="5F106B45" w14:textId="5BBD8330" w:rsidR="002F7314" w:rsidRPr="00FD7B0B" w:rsidRDefault="002F7314" w:rsidP="00D5212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В таблице </w:t>
      </w:r>
      <w:r w:rsidR="005B57F7" w:rsidRPr="00FD7B0B">
        <w:rPr>
          <w:rFonts w:ascii="Times New Roman" w:eastAsia="Calibri" w:hAnsi="Times New Roman" w:cs="Times New Roman"/>
          <w:sz w:val="28"/>
          <w:szCs w:val="28"/>
        </w:rPr>
        <w:t>271</w:t>
      </w:r>
      <w:r w:rsidRPr="00FD7B0B">
        <w:rPr>
          <w:rFonts w:ascii="Times New Roman" w:eastAsia="Calibri" w:hAnsi="Times New Roman" w:cs="Times New Roman"/>
          <w:sz w:val="28"/>
          <w:szCs w:val="28"/>
        </w:rPr>
        <w:t xml:space="preserve"> представлена информация о рэнкинге Архангельской области за последние 5 лет.</w:t>
      </w:r>
    </w:p>
    <w:p w14:paraId="13F02437" w14:textId="77777777" w:rsidR="002F7314" w:rsidRPr="00FD7B0B" w:rsidRDefault="002F7314" w:rsidP="0044388D">
      <w:pPr>
        <w:pStyle w:val="aff0"/>
        <w:spacing w:after="0" w:line="240" w:lineRule="auto"/>
        <w:rPr>
          <w:rFonts w:ascii="Times New Roman" w:hAnsi="Times New Roman"/>
          <w:b w:val="0"/>
          <w:sz w:val="24"/>
          <w:szCs w:val="24"/>
        </w:rPr>
      </w:pPr>
    </w:p>
    <w:p w14:paraId="7EAA05E7" w14:textId="77777777" w:rsidR="002F7314" w:rsidRPr="00FD7B0B" w:rsidRDefault="002F7314" w:rsidP="0044388D">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271</w:t>
      </w:r>
      <w:r w:rsidRPr="00FD7B0B">
        <w:rPr>
          <w:rFonts w:ascii="Times New Roman" w:hAnsi="Times New Roman"/>
          <w:b w:val="0"/>
          <w:sz w:val="24"/>
          <w:szCs w:val="24"/>
        </w:rPr>
        <w:fldChar w:fldCharType="end"/>
      </w:r>
      <w:r w:rsidRPr="00FD7B0B">
        <w:rPr>
          <w:rFonts w:ascii="Times New Roman" w:hAnsi="Times New Roman"/>
          <w:b w:val="0"/>
          <w:sz w:val="24"/>
          <w:szCs w:val="24"/>
        </w:rPr>
        <w:t>. Рэнкинг Архангельской области по объему государственного долга с 01.01.2021 по 01.01.2025</w:t>
      </w:r>
    </w:p>
    <w:tbl>
      <w:tblPr>
        <w:tblW w:w="10066" w:type="dxa"/>
        <w:tblInd w:w="-449" w:type="dxa"/>
        <w:tblLook w:val="04A0" w:firstRow="1" w:lastRow="0" w:firstColumn="1" w:lastColumn="0" w:noHBand="0" w:noVBand="1"/>
      </w:tblPr>
      <w:tblGrid>
        <w:gridCol w:w="4413"/>
        <w:gridCol w:w="960"/>
        <w:gridCol w:w="960"/>
        <w:gridCol w:w="960"/>
        <w:gridCol w:w="960"/>
        <w:gridCol w:w="960"/>
        <w:gridCol w:w="853"/>
      </w:tblGrid>
      <w:tr w:rsidR="00FD7B0B" w:rsidRPr="00FD7B0B" w14:paraId="19B07FC3" w14:textId="77777777" w:rsidTr="002F7314">
        <w:trPr>
          <w:trHeight w:val="35"/>
          <w:tblHeader/>
        </w:trPr>
        <w:tc>
          <w:tcPr>
            <w:tcW w:w="441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BB16A66"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Показатель</w:t>
            </w:r>
          </w:p>
        </w:tc>
        <w:tc>
          <w:tcPr>
            <w:tcW w:w="1920" w:type="dxa"/>
            <w:gridSpan w:val="2"/>
            <w:tcBorders>
              <w:top w:val="double" w:sz="6" w:space="0" w:color="auto"/>
              <w:left w:val="nil"/>
              <w:bottom w:val="single" w:sz="4" w:space="0" w:color="auto"/>
              <w:right w:val="single" w:sz="4" w:space="0" w:color="auto"/>
            </w:tcBorders>
            <w:shd w:val="clear" w:color="auto" w:fill="auto"/>
            <w:vAlign w:val="center"/>
            <w:hideMark/>
          </w:tcPr>
          <w:p w14:paraId="404BB215"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01.01.2021</w:t>
            </w:r>
          </w:p>
        </w:tc>
        <w:tc>
          <w:tcPr>
            <w:tcW w:w="1920" w:type="dxa"/>
            <w:gridSpan w:val="2"/>
            <w:tcBorders>
              <w:top w:val="double" w:sz="6" w:space="0" w:color="auto"/>
              <w:left w:val="nil"/>
              <w:bottom w:val="single" w:sz="4" w:space="0" w:color="auto"/>
              <w:right w:val="single" w:sz="4" w:space="0" w:color="auto"/>
            </w:tcBorders>
            <w:shd w:val="clear" w:color="auto" w:fill="auto"/>
            <w:vAlign w:val="center"/>
            <w:hideMark/>
          </w:tcPr>
          <w:p w14:paraId="32FBA01A"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01.01.2022</w:t>
            </w:r>
          </w:p>
        </w:tc>
        <w:tc>
          <w:tcPr>
            <w:tcW w:w="1813" w:type="dxa"/>
            <w:gridSpan w:val="2"/>
            <w:tcBorders>
              <w:top w:val="double" w:sz="6" w:space="0" w:color="auto"/>
              <w:left w:val="nil"/>
              <w:bottom w:val="single" w:sz="4" w:space="0" w:color="auto"/>
              <w:right w:val="single" w:sz="4" w:space="0" w:color="auto"/>
            </w:tcBorders>
            <w:shd w:val="clear" w:color="auto" w:fill="auto"/>
            <w:vAlign w:val="center"/>
            <w:hideMark/>
          </w:tcPr>
          <w:p w14:paraId="7A39E26E"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01.01.2023</w:t>
            </w:r>
          </w:p>
        </w:tc>
      </w:tr>
      <w:tr w:rsidR="00FD7B0B" w:rsidRPr="00FD7B0B" w14:paraId="7189F686" w14:textId="77777777" w:rsidTr="002F7314">
        <w:trPr>
          <w:trHeight w:val="35"/>
          <w:tblHeader/>
        </w:trPr>
        <w:tc>
          <w:tcPr>
            <w:tcW w:w="4413" w:type="dxa"/>
            <w:vMerge/>
            <w:tcBorders>
              <w:top w:val="double" w:sz="6" w:space="0" w:color="auto"/>
              <w:left w:val="double" w:sz="6" w:space="0" w:color="auto"/>
              <w:bottom w:val="single" w:sz="4" w:space="0" w:color="auto"/>
              <w:right w:val="single" w:sz="4" w:space="0" w:color="auto"/>
            </w:tcBorders>
            <w:vAlign w:val="center"/>
            <w:hideMark/>
          </w:tcPr>
          <w:p w14:paraId="2322219A"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F6FC88A"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E6D4DCB"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24E41BC"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F3C8CBB"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EFCE0E"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853" w:type="dxa"/>
            <w:tcBorders>
              <w:top w:val="single" w:sz="4" w:space="0" w:color="auto"/>
              <w:left w:val="nil"/>
              <w:bottom w:val="single" w:sz="4" w:space="0" w:color="auto"/>
              <w:right w:val="single" w:sz="4" w:space="0" w:color="auto"/>
            </w:tcBorders>
            <w:shd w:val="clear" w:color="auto" w:fill="auto"/>
            <w:vAlign w:val="center"/>
            <w:hideMark/>
          </w:tcPr>
          <w:p w14:paraId="1AC0CD20"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r>
      <w:tr w:rsidR="00FD7B0B" w:rsidRPr="00FD7B0B" w14:paraId="1ADE903F" w14:textId="77777777" w:rsidTr="002F7314">
        <w:trPr>
          <w:trHeight w:val="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54C371D5"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Государственный долг, млн.руб.</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68F2DBA8"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42 671,7 </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47E1AFB8"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42 626,7 </w:t>
            </w:r>
          </w:p>
        </w:tc>
        <w:tc>
          <w:tcPr>
            <w:tcW w:w="1813" w:type="dxa"/>
            <w:gridSpan w:val="2"/>
            <w:tcBorders>
              <w:top w:val="single" w:sz="4" w:space="0" w:color="auto"/>
              <w:left w:val="nil"/>
              <w:bottom w:val="single" w:sz="4" w:space="0" w:color="auto"/>
              <w:right w:val="single" w:sz="4" w:space="0" w:color="000000"/>
            </w:tcBorders>
            <w:shd w:val="clear" w:color="auto" w:fill="auto"/>
            <w:vAlign w:val="center"/>
            <w:hideMark/>
          </w:tcPr>
          <w:p w14:paraId="381F1111"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46 578,1 </w:t>
            </w:r>
          </w:p>
        </w:tc>
      </w:tr>
      <w:tr w:rsidR="00FD7B0B" w:rsidRPr="00FD7B0B" w14:paraId="3307636C" w14:textId="77777777" w:rsidTr="002F7314">
        <w:trPr>
          <w:trHeight w:val="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675076E8"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960" w:type="dxa"/>
            <w:tcBorders>
              <w:top w:val="nil"/>
              <w:left w:val="nil"/>
              <w:bottom w:val="single" w:sz="4" w:space="0" w:color="auto"/>
              <w:right w:val="single" w:sz="4" w:space="0" w:color="auto"/>
            </w:tcBorders>
            <w:shd w:val="clear" w:color="auto" w:fill="auto"/>
            <w:vAlign w:val="center"/>
            <w:hideMark/>
          </w:tcPr>
          <w:p w14:paraId="14EEA110"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w:t>
            </w:r>
          </w:p>
        </w:tc>
        <w:tc>
          <w:tcPr>
            <w:tcW w:w="960" w:type="dxa"/>
            <w:tcBorders>
              <w:top w:val="nil"/>
              <w:left w:val="nil"/>
              <w:bottom w:val="single" w:sz="4" w:space="0" w:color="auto"/>
              <w:right w:val="single" w:sz="4" w:space="0" w:color="auto"/>
            </w:tcBorders>
            <w:shd w:val="clear" w:color="auto" w:fill="auto"/>
            <w:vAlign w:val="center"/>
            <w:hideMark/>
          </w:tcPr>
          <w:p w14:paraId="21A5A32E"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960" w:type="dxa"/>
            <w:tcBorders>
              <w:top w:val="nil"/>
              <w:left w:val="nil"/>
              <w:bottom w:val="single" w:sz="4" w:space="0" w:color="auto"/>
              <w:right w:val="single" w:sz="4" w:space="0" w:color="auto"/>
            </w:tcBorders>
            <w:shd w:val="clear" w:color="auto" w:fill="auto"/>
            <w:vAlign w:val="center"/>
            <w:hideMark/>
          </w:tcPr>
          <w:p w14:paraId="6A71D04F"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18</w:t>
            </w:r>
          </w:p>
        </w:tc>
        <w:tc>
          <w:tcPr>
            <w:tcW w:w="960" w:type="dxa"/>
            <w:tcBorders>
              <w:top w:val="nil"/>
              <w:left w:val="nil"/>
              <w:bottom w:val="single" w:sz="4" w:space="0" w:color="auto"/>
              <w:right w:val="single" w:sz="4" w:space="0" w:color="auto"/>
            </w:tcBorders>
            <w:shd w:val="clear" w:color="auto" w:fill="auto"/>
            <w:vAlign w:val="center"/>
            <w:hideMark/>
          </w:tcPr>
          <w:p w14:paraId="2B51542C"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960" w:type="dxa"/>
            <w:tcBorders>
              <w:top w:val="nil"/>
              <w:left w:val="nil"/>
              <w:bottom w:val="single" w:sz="4" w:space="0" w:color="auto"/>
              <w:right w:val="single" w:sz="4" w:space="0" w:color="auto"/>
            </w:tcBorders>
            <w:shd w:val="clear" w:color="auto" w:fill="auto"/>
            <w:vAlign w:val="center"/>
            <w:hideMark/>
          </w:tcPr>
          <w:p w14:paraId="6A16DDEB"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21</w:t>
            </w:r>
          </w:p>
        </w:tc>
        <w:tc>
          <w:tcPr>
            <w:tcW w:w="853" w:type="dxa"/>
            <w:tcBorders>
              <w:top w:val="nil"/>
              <w:left w:val="nil"/>
              <w:bottom w:val="single" w:sz="4" w:space="0" w:color="auto"/>
              <w:right w:val="single" w:sz="4" w:space="0" w:color="auto"/>
            </w:tcBorders>
            <w:shd w:val="clear" w:color="auto" w:fill="auto"/>
            <w:vAlign w:val="center"/>
            <w:hideMark/>
          </w:tcPr>
          <w:p w14:paraId="0A4C7A95"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r>
      <w:tr w:rsidR="00FD7B0B" w:rsidRPr="00FD7B0B" w14:paraId="4FA5FA3E" w14:textId="77777777" w:rsidTr="002F7314">
        <w:trPr>
          <w:trHeight w:val="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3D7DF00A"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Государственный долг на душу населения, руб.</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236E8641"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39 413,65 </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62211E30"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39 846,20 </w:t>
            </w:r>
          </w:p>
        </w:tc>
        <w:tc>
          <w:tcPr>
            <w:tcW w:w="1813" w:type="dxa"/>
            <w:gridSpan w:val="2"/>
            <w:tcBorders>
              <w:top w:val="single" w:sz="4" w:space="0" w:color="auto"/>
              <w:left w:val="nil"/>
              <w:bottom w:val="single" w:sz="4" w:space="0" w:color="auto"/>
              <w:right w:val="single" w:sz="4" w:space="0" w:color="000000"/>
            </w:tcBorders>
            <w:shd w:val="clear" w:color="auto" w:fill="auto"/>
            <w:vAlign w:val="center"/>
            <w:hideMark/>
          </w:tcPr>
          <w:p w14:paraId="2B900895"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48 302,31 </w:t>
            </w:r>
          </w:p>
        </w:tc>
      </w:tr>
      <w:tr w:rsidR="00FD7B0B" w:rsidRPr="00FD7B0B" w14:paraId="1CFBB433" w14:textId="77777777" w:rsidTr="002F7314">
        <w:trPr>
          <w:trHeight w:val="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2D7E0C9E"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960" w:type="dxa"/>
            <w:tcBorders>
              <w:top w:val="nil"/>
              <w:left w:val="nil"/>
              <w:bottom w:val="single" w:sz="4" w:space="0" w:color="auto"/>
              <w:right w:val="single" w:sz="4" w:space="0" w:color="auto"/>
            </w:tcBorders>
            <w:shd w:val="clear" w:color="auto" w:fill="auto"/>
            <w:vAlign w:val="center"/>
            <w:hideMark/>
          </w:tcPr>
          <w:p w14:paraId="57B6D90C"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10</w:t>
            </w:r>
          </w:p>
        </w:tc>
        <w:tc>
          <w:tcPr>
            <w:tcW w:w="960" w:type="dxa"/>
            <w:tcBorders>
              <w:top w:val="nil"/>
              <w:left w:val="nil"/>
              <w:bottom w:val="single" w:sz="4" w:space="0" w:color="auto"/>
              <w:right w:val="single" w:sz="4" w:space="0" w:color="auto"/>
            </w:tcBorders>
            <w:shd w:val="clear" w:color="auto" w:fill="auto"/>
            <w:vAlign w:val="center"/>
            <w:hideMark/>
          </w:tcPr>
          <w:p w14:paraId="1CB17E6C"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14:paraId="604BBFA3"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9</w:t>
            </w:r>
          </w:p>
        </w:tc>
        <w:tc>
          <w:tcPr>
            <w:tcW w:w="960" w:type="dxa"/>
            <w:tcBorders>
              <w:top w:val="nil"/>
              <w:left w:val="nil"/>
              <w:bottom w:val="single" w:sz="4" w:space="0" w:color="auto"/>
              <w:right w:val="single" w:sz="4" w:space="0" w:color="auto"/>
            </w:tcBorders>
            <w:shd w:val="clear" w:color="auto" w:fill="auto"/>
            <w:vAlign w:val="center"/>
            <w:hideMark/>
          </w:tcPr>
          <w:p w14:paraId="5503B837"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960" w:type="dxa"/>
            <w:tcBorders>
              <w:top w:val="nil"/>
              <w:left w:val="nil"/>
              <w:bottom w:val="single" w:sz="4" w:space="0" w:color="auto"/>
              <w:right w:val="single" w:sz="4" w:space="0" w:color="auto"/>
            </w:tcBorders>
            <w:shd w:val="clear" w:color="auto" w:fill="auto"/>
            <w:vAlign w:val="center"/>
            <w:hideMark/>
          </w:tcPr>
          <w:p w14:paraId="0ABEF452"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w:t>
            </w:r>
          </w:p>
        </w:tc>
        <w:tc>
          <w:tcPr>
            <w:tcW w:w="853" w:type="dxa"/>
            <w:tcBorders>
              <w:top w:val="nil"/>
              <w:left w:val="nil"/>
              <w:bottom w:val="single" w:sz="4" w:space="0" w:color="auto"/>
              <w:right w:val="single" w:sz="4" w:space="0" w:color="auto"/>
            </w:tcBorders>
            <w:shd w:val="clear" w:color="auto" w:fill="auto"/>
            <w:vAlign w:val="center"/>
            <w:hideMark/>
          </w:tcPr>
          <w:p w14:paraId="5AAF9533"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r>
      <w:tr w:rsidR="00FD7B0B" w:rsidRPr="00FD7B0B" w14:paraId="388E98E9" w14:textId="77777777" w:rsidTr="002F7314">
        <w:trPr>
          <w:trHeight w:val="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7F3CC6DD"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Уровень государственного долга по отношению к налоговым и неналоговым доходам, %</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59A61148" w14:textId="4E69D230" w:rsidR="002F7314" w:rsidRPr="00FD7B0B" w:rsidRDefault="0044388D"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76,7</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52F1E0E1" w14:textId="4CC1F834" w:rsidR="002F7314" w:rsidRPr="00FD7B0B" w:rsidRDefault="0044388D"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56,8</w:t>
            </w:r>
          </w:p>
        </w:tc>
        <w:tc>
          <w:tcPr>
            <w:tcW w:w="1813" w:type="dxa"/>
            <w:gridSpan w:val="2"/>
            <w:tcBorders>
              <w:top w:val="single" w:sz="4" w:space="0" w:color="auto"/>
              <w:left w:val="nil"/>
              <w:bottom w:val="single" w:sz="4" w:space="0" w:color="auto"/>
              <w:right w:val="single" w:sz="4" w:space="0" w:color="000000"/>
            </w:tcBorders>
            <w:shd w:val="clear" w:color="auto" w:fill="auto"/>
            <w:vAlign w:val="center"/>
            <w:hideMark/>
          </w:tcPr>
          <w:p w14:paraId="244CFCE5" w14:textId="0189AD70" w:rsidR="002F7314" w:rsidRPr="00FD7B0B" w:rsidRDefault="0044388D"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55,0</w:t>
            </w:r>
          </w:p>
        </w:tc>
      </w:tr>
      <w:tr w:rsidR="00FD7B0B" w:rsidRPr="00FD7B0B" w14:paraId="33B47FD3" w14:textId="77777777" w:rsidTr="002F7314">
        <w:trPr>
          <w:trHeight w:val="70"/>
        </w:trPr>
        <w:tc>
          <w:tcPr>
            <w:tcW w:w="4413" w:type="dxa"/>
            <w:tcBorders>
              <w:top w:val="nil"/>
              <w:left w:val="double" w:sz="6" w:space="0" w:color="auto"/>
              <w:bottom w:val="double" w:sz="6" w:space="0" w:color="auto"/>
              <w:right w:val="single" w:sz="4" w:space="0" w:color="auto"/>
            </w:tcBorders>
            <w:shd w:val="clear" w:color="auto" w:fill="auto"/>
            <w:vAlign w:val="center"/>
            <w:hideMark/>
          </w:tcPr>
          <w:p w14:paraId="518CF391"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960" w:type="dxa"/>
            <w:tcBorders>
              <w:top w:val="single" w:sz="4" w:space="0" w:color="auto"/>
              <w:left w:val="nil"/>
              <w:bottom w:val="double" w:sz="6" w:space="0" w:color="auto"/>
              <w:right w:val="single" w:sz="4" w:space="0" w:color="auto"/>
            </w:tcBorders>
            <w:shd w:val="clear" w:color="auto" w:fill="auto"/>
            <w:vAlign w:val="center"/>
            <w:hideMark/>
          </w:tcPr>
          <w:p w14:paraId="2768E21C"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14</w:t>
            </w:r>
          </w:p>
        </w:tc>
        <w:tc>
          <w:tcPr>
            <w:tcW w:w="960" w:type="dxa"/>
            <w:tcBorders>
              <w:top w:val="single" w:sz="4" w:space="0" w:color="auto"/>
              <w:left w:val="nil"/>
              <w:bottom w:val="double" w:sz="6" w:space="0" w:color="auto"/>
              <w:right w:val="single" w:sz="4" w:space="0" w:color="auto"/>
            </w:tcBorders>
            <w:shd w:val="clear" w:color="auto" w:fill="auto"/>
            <w:vAlign w:val="center"/>
            <w:hideMark/>
          </w:tcPr>
          <w:p w14:paraId="7DB71D3E"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w:t>
            </w:r>
          </w:p>
        </w:tc>
        <w:tc>
          <w:tcPr>
            <w:tcW w:w="960" w:type="dxa"/>
            <w:tcBorders>
              <w:top w:val="single" w:sz="4" w:space="0" w:color="auto"/>
              <w:left w:val="nil"/>
              <w:bottom w:val="double" w:sz="6" w:space="0" w:color="auto"/>
              <w:right w:val="single" w:sz="4" w:space="0" w:color="auto"/>
            </w:tcBorders>
            <w:shd w:val="clear" w:color="auto" w:fill="auto"/>
            <w:vAlign w:val="center"/>
            <w:hideMark/>
          </w:tcPr>
          <w:p w14:paraId="74E9C1E4"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20</w:t>
            </w:r>
          </w:p>
        </w:tc>
        <w:tc>
          <w:tcPr>
            <w:tcW w:w="960" w:type="dxa"/>
            <w:tcBorders>
              <w:top w:val="single" w:sz="4" w:space="0" w:color="auto"/>
              <w:left w:val="nil"/>
              <w:bottom w:val="double" w:sz="6" w:space="0" w:color="auto"/>
              <w:right w:val="single" w:sz="4" w:space="0" w:color="auto"/>
            </w:tcBorders>
            <w:shd w:val="clear" w:color="auto" w:fill="auto"/>
            <w:vAlign w:val="center"/>
            <w:hideMark/>
          </w:tcPr>
          <w:p w14:paraId="46C03719"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960" w:type="dxa"/>
            <w:tcBorders>
              <w:top w:val="single" w:sz="4" w:space="0" w:color="auto"/>
              <w:left w:val="nil"/>
              <w:bottom w:val="double" w:sz="6" w:space="0" w:color="auto"/>
              <w:right w:val="single" w:sz="4" w:space="0" w:color="auto"/>
            </w:tcBorders>
            <w:shd w:val="clear" w:color="auto" w:fill="auto"/>
            <w:vAlign w:val="center"/>
            <w:hideMark/>
          </w:tcPr>
          <w:p w14:paraId="570E89E1"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22</w:t>
            </w:r>
          </w:p>
        </w:tc>
        <w:tc>
          <w:tcPr>
            <w:tcW w:w="853" w:type="dxa"/>
            <w:tcBorders>
              <w:top w:val="single" w:sz="4" w:space="0" w:color="auto"/>
              <w:left w:val="nil"/>
              <w:bottom w:val="double" w:sz="6" w:space="0" w:color="auto"/>
              <w:right w:val="single" w:sz="4" w:space="0" w:color="auto"/>
            </w:tcBorders>
            <w:shd w:val="clear" w:color="auto" w:fill="auto"/>
            <w:vAlign w:val="center"/>
            <w:hideMark/>
          </w:tcPr>
          <w:p w14:paraId="63CC67BC"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r>
    </w:tbl>
    <w:p w14:paraId="2C0E4AED" w14:textId="1913688A" w:rsidR="002F7314" w:rsidRPr="00FD7B0B" w:rsidRDefault="002F7314" w:rsidP="0044388D">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Продолжение таблицы </w:t>
      </w:r>
      <w:r w:rsidR="005B57F7" w:rsidRPr="00FD7B0B">
        <w:rPr>
          <w:rFonts w:ascii="Times New Roman" w:hAnsi="Times New Roman"/>
          <w:b w:val="0"/>
          <w:sz w:val="24"/>
          <w:szCs w:val="24"/>
        </w:rPr>
        <w:t>271</w:t>
      </w:r>
      <w:r w:rsidRPr="00FD7B0B">
        <w:rPr>
          <w:rFonts w:ascii="Times New Roman" w:hAnsi="Times New Roman"/>
          <w:b w:val="0"/>
          <w:sz w:val="24"/>
          <w:szCs w:val="24"/>
        </w:rPr>
        <w:t>.</w:t>
      </w:r>
    </w:p>
    <w:tbl>
      <w:tblPr>
        <w:tblW w:w="10173" w:type="dxa"/>
        <w:tblInd w:w="-449" w:type="dxa"/>
        <w:tblLook w:val="04A0" w:firstRow="1" w:lastRow="0" w:firstColumn="1" w:lastColumn="0" w:noHBand="0" w:noVBand="1"/>
      </w:tblPr>
      <w:tblGrid>
        <w:gridCol w:w="4413"/>
        <w:gridCol w:w="960"/>
        <w:gridCol w:w="960"/>
        <w:gridCol w:w="960"/>
        <w:gridCol w:w="960"/>
        <w:gridCol w:w="960"/>
        <w:gridCol w:w="960"/>
      </w:tblGrid>
      <w:tr w:rsidR="00FD7B0B" w:rsidRPr="00FD7B0B" w14:paraId="6B27B2D1" w14:textId="77777777" w:rsidTr="002F7314">
        <w:trPr>
          <w:trHeight w:val="35"/>
          <w:tblHeader/>
        </w:trPr>
        <w:tc>
          <w:tcPr>
            <w:tcW w:w="441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B5D3107"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Показатель</w:t>
            </w:r>
          </w:p>
        </w:tc>
        <w:tc>
          <w:tcPr>
            <w:tcW w:w="1920" w:type="dxa"/>
            <w:gridSpan w:val="2"/>
            <w:tcBorders>
              <w:top w:val="double" w:sz="6" w:space="0" w:color="auto"/>
              <w:left w:val="nil"/>
              <w:bottom w:val="single" w:sz="4" w:space="0" w:color="auto"/>
              <w:right w:val="single" w:sz="4" w:space="0" w:color="auto"/>
            </w:tcBorders>
            <w:shd w:val="clear" w:color="auto" w:fill="auto"/>
            <w:vAlign w:val="center"/>
            <w:hideMark/>
          </w:tcPr>
          <w:p w14:paraId="012EA599"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01.01.2024</w:t>
            </w:r>
          </w:p>
        </w:tc>
        <w:tc>
          <w:tcPr>
            <w:tcW w:w="1920" w:type="dxa"/>
            <w:gridSpan w:val="2"/>
            <w:tcBorders>
              <w:top w:val="double" w:sz="6" w:space="0" w:color="auto"/>
              <w:left w:val="nil"/>
              <w:bottom w:val="single" w:sz="4" w:space="0" w:color="auto"/>
              <w:right w:val="single" w:sz="4" w:space="0" w:color="auto"/>
            </w:tcBorders>
            <w:shd w:val="clear" w:color="auto" w:fill="auto"/>
            <w:vAlign w:val="center"/>
            <w:hideMark/>
          </w:tcPr>
          <w:p w14:paraId="7593A011"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На 01.01.2025</w:t>
            </w:r>
          </w:p>
        </w:tc>
        <w:tc>
          <w:tcPr>
            <w:tcW w:w="1920" w:type="dxa"/>
            <w:gridSpan w:val="2"/>
            <w:tcBorders>
              <w:top w:val="double" w:sz="6" w:space="0" w:color="auto"/>
              <w:left w:val="nil"/>
              <w:bottom w:val="single" w:sz="4" w:space="0" w:color="auto"/>
              <w:right w:val="double" w:sz="6" w:space="0" w:color="000000"/>
            </w:tcBorders>
            <w:shd w:val="clear" w:color="auto" w:fill="auto"/>
            <w:vAlign w:val="center"/>
            <w:hideMark/>
          </w:tcPr>
          <w:p w14:paraId="3B70A2F0"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Изменение за 5 лет (+,-)</w:t>
            </w:r>
          </w:p>
        </w:tc>
      </w:tr>
      <w:tr w:rsidR="00FD7B0B" w:rsidRPr="00FD7B0B" w14:paraId="3D075A04" w14:textId="77777777" w:rsidTr="002F7314">
        <w:trPr>
          <w:trHeight w:val="35"/>
          <w:tblHeader/>
        </w:trPr>
        <w:tc>
          <w:tcPr>
            <w:tcW w:w="4413" w:type="dxa"/>
            <w:vMerge/>
            <w:tcBorders>
              <w:top w:val="double" w:sz="6" w:space="0" w:color="auto"/>
              <w:left w:val="double" w:sz="6" w:space="0" w:color="auto"/>
              <w:bottom w:val="single" w:sz="4" w:space="0" w:color="auto"/>
              <w:right w:val="single" w:sz="4" w:space="0" w:color="auto"/>
            </w:tcBorders>
            <w:vAlign w:val="center"/>
            <w:hideMark/>
          </w:tcPr>
          <w:p w14:paraId="6D03EFC3"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B120526"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D5C5FA5"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BCDF271"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6DAA70E"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477AEF"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РФ</w:t>
            </w:r>
          </w:p>
        </w:tc>
        <w:tc>
          <w:tcPr>
            <w:tcW w:w="960" w:type="dxa"/>
            <w:tcBorders>
              <w:top w:val="nil"/>
              <w:left w:val="single" w:sz="4" w:space="0" w:color="auto"/>
              <w:bottom w:val="single" w:sz="4" w:space="0" w:color="auto"/>
              <w:right w:val="double" w:sz="6" w:space="0" w:color="auto"/>
            </w:tcBorders>
            <w:shd w:val="clear" w:color="auto" w:fill="auto"/>
            <w:vAlign w:val="center"/>
            <w:hideMark/>
          </w:tcPr>
          <w:p w14:paraId="1A43FB2B"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СЗФО</w:t>
            </w:r>
          </w:p>
        </w:tc>
      </w:tr>
      <w:tr w:rsidR="00FD7B0B" w:rsidRPr="00FD7B0B" w14:paraId="1876B1A2" w14:textId="77777777" w:rsidTr="002F7314">
        <w:trPr>
          <w:trHeight w:val="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5E152A89"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Государственный долг, млн.руб.</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6D0DB6DD"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67 648,0 </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422D281B"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86 826,9 </w:t>
            </w:r>
          </w:p>
        </w:tc>
        <w:tc>
          <w:tcPr>
            <w:tcW w:w="1920" w:type="dxa"/>
            <w:gridSpan w:val="2"/>
            <w:tcBorders>
              <w:top w:val="single" w:sz="4" w:space="0" w:color="auto"/>
              <w:left w:val="nil"/>
              <w:bottom w:val="single" w:sz="4" w:space="0" w:color="auto"/>
              <w:right w:val="double" w:sz="6" w:space="0" w:color="000000"/>
            </w:tcBorders>
            <w:shd w:val="clear" w:color="auto" w:fill="auto"/>
            <w:vAlign w:val="center"/>
            <w:hideMark/>
          </w:tcPr>
          <w:p w14:paraId="59687C55"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44 155,3 </w:t>
            </w:r>
          </w:p>
        </w:tc>
      </w:tr>
      <w:tr w:rsidR="00FD7B0B" w:rsidRPr="00FD7B0B" w14:paraId="226765CE" w14:textId="77777777" w:rsidTr="002F7314">
        <w:trPr>
          <w:trHeight w:val="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1C8944C8"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960" w:type="dxa"/>
            <w:tcBorders>
              <w:top w:val="nil"/>
              <w:left w:val="nil"/>
              <w:bottom w:val="single" w:sz="4" w:space="0" w:color="auto"/>
              <w:right w:val="single" w:sz="4" w:space="0" w:color="auto"/>
            </w:tcBorders>
            <w:shd w:val="clear" w:color="auto" w:fill="auto"/>
            <w:vAlign w:val="center"/>
            <w:hideMark/>
          </w:tcPr>
          <w:p w14:paraId="59207795"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11</w:t>
            </w:r>
          </w:p>
        </w:tc>
        <w:tc>
          <w:tcPr>
            <w:tcW w:w="960" w:type="dxa"/>
            <w:tcBorders>
              <w:top w:val="nil"/>
              <w:left w:val="nil"/>
              <w:bottom w:val="single" w:sz="4" w:space="0" w:color="auto"/>
              <w:right w:val="single" w:sz="4" w:space="0" w:color="auto"/>
            </w:tcBorders>
            <w:shd w:val="clear" w:color="auto" w:fill="auto"/>
            <w:vAlign w:val="center"/>
            <w:hideMark/>
          </w:tcPr>
          <w:p w14:paraId="4D98818B"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960" w:type="dxa"/>
            <w:tcBorders>
              <w:top w:val="nil"/>
              <w:left w:val="nil"/>
              <w:bottom w:val="single" w:sz="4" w:space="0" w:color="auto"/>
              <w:right w:val="single" w:sz="4" w:space="0" w:color="auto"/>
            </w:tcBorders>
            <w:shd w:val="clear" w:color="auto" w:fill="auto"/>
            <w:vAlign w:val="center"/>
            <w:hideMark/>
          </w:tcPr>
          <w:p w14:paraId="6EAE9958"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w:t>
            </w:r>
          </w:p>
        </w:tc>
        <w:tc>
          <w:tcPr>
            <w:tcW w:w="960" w:type="dxa"/>
            <w:tcBorders>
              <w:top w:val="nil"/>
              <w:left w:val="nil"/>
              <w:bottom w:val="single" w:sz="4" w:space="0" w:color="auto"/>
              <w:right w:val="single" w:sz="4" w:space="0" w:color="auto"/>
            </w:tcBorders>
            <w:shd w:val="clear" w:color="auto" w:fill="auto"/>
            <w:vAlign w:val="center"/>
            <w:hideMark/>
          </w:tcPr>
          <w:p w14:paraId="3B3DBBBB"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A57CB07"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-11 </w:t>
            </w:r>
          </w:p>
        </w:tc>
        <w:tc>
          <w:tcPr>
            <w:tcW w:w="960" w:type="dxa"/>
            <w:tcBorders>
              <w:top w:val="nil"/>
              <w:left w:val="single" w:sz="4" w:space="0" w:color="auto"/>
              <w:bottom w:val="single" w:sz="4" w:space="0" w:color="auto"/>
              <w:right w:val="double" w:sz="6" w:space="0" w:color="auto"/>
            </w:tcBorders>
            <w:shd w:val="clear" w:color="auto" w:fill="auto"/>
            <w:vAlign w:val="center"/>
            <w:hideMark/>
          </w:tcPr>
          <w:p w14:paraId="25149A12"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 </w:t>
            </w:r>
          </w:p>
        </w:tc>
      </w:tr>
      <w:tr w:rsidR="00FD7B0B" w:rsidRPr="00FD7B0B" w14:paraId="6A29E162" w14:textId="77777777" w:rsidTr="002F7314">
        <w:trPr>
          <w:trHeight w:val="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73B94B54"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Государственный долг на душу населения, руб.</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268BB7E6"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70 772,78 </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591AB910"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91 635,22 </w:t>
            </w:r>
          </w:p>
        </w:tc>
        <w:tc>
          <w:tcPr>
            <w:tcW w:w="1920" w:type="dxa"/>
            <w:gridSpan w:val="2"/>
            <w:tcBorders>
              <w:top w:val="single" w:sz="4" w:space="0" w:color="auto"/>
              <w:left w:val="nil"/>
              <w:bottom w:val="single" w:sz="4" w:space="0" w:color="auto"/>
              <w:right w:val="double" w:sz="6" w:space="0" w:color="000000"/>
            </w:tcBorders>
            <w:shd w:val="clear" w:color="auto" w:fill="auto"/>
            <w:vAlign w:val="center"/>
            <w:hideMark/>
          </w:tcPr>
          <w:p w14:paraId="713A71BA"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52 221,57 </w:t>
            </w:r>
          </w:p>
        </w:tc>
      </w:tr>
      <w:tr w:rsidR="00FD7B0B" w:rsidRPr="00FD7B0B" w14:paraId="30ECF89A" w14:textId="77777777" w:rsidTr="002F7314">
        <w:trPr>
          <w:trHeight w:val="2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63B84D55"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960" w:type="dxa"/>
            <w:tcBorders>
              <w:top w:val="nil"/>
              <w:left w:val="nil"/>
              <w:bottom w:val="single" w:sz="4" w:space="0" w:color="auto"/>
              <w:right w:val="single" w:sz="4" w:space="0" w:color="auto"/>
            </w:tcBorders>
            <w:shd w:val="clear" w:color="auto" w:fill="auto"/>
            <w:vAlign w:val="center"/>
            <w:hideMark/>
          </w:tcPr>
          <w:p w14:paraId="307BA2D3"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14:paraId="1222568A"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960" w:type="dxa"/>
            <w:tcBorders>
              <w:top w:val="nil"/>
              <w:left w:val="nil"/>
              <w:bottom w:val="single" w:sz="4" w:space="0" w:color="auto"/>
              <w:right w:val="single" w:sz="4" w:space="0" w:color="auto"/>
            </w:tcBorders>
            <w:shd w:val="clear" w:color="auto" w:fill="auto"/>
            <w:vAlign w:val="center"/>
            <w:hideMark/>
          </w:tcPr>
          <w:p w14:paraId="4A5EB676"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14:paraId="2E8AADE7"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93E3303"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-7 </w:t>
            </w:r>
          </w:p>
        </w:tc>
        <w:tc>
          <w:tcPr>
            <w:tcW w:w="960" w:type="dxa"/>
            <w:tcBorders>
              <w:top w:val="nil"/>
              <w:left w:val="single" w:sz="4" w:space="0" w:color="auto"/>
              <w:bottom w:val="single" w:sz="4" w:space="0" w:color="auto"/>
              <w:right w:val="double" w:sz="6" w:space="0" w:color="auto"/>
            </w:tcBorders>
            <w:shd w:val="clear" w:color="auto" w:fill="auto"/>
            <w:vAlign w:val="center"/>
            <w:hideMark/>
          </w:tcPr>
          <w:p w14:paraId="0237C77F"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-2 </w:t>
            </w:r>
          </w:p>
        </w:tc>
      </w:tr>
      <w:tr w:rsidR="00FD7B0B" w:rsidRPr="00FD7B0B" w14:paraId="272DAF19" w14:textId="77777777" w:rsidTr="002F7314">
        <w:trPr>
          <w:trHeight w:val="70"/>
        </w:trPr>
        <w:tc>
          <w:tcPr>
            <w:tcW w:w="4413" w:type="dxa"/>
            <w:tcBorders>
              <w:top w:val="nil"/>
              <w:left w:val="double" w:sz="6" w:space="0" w:color="auto"/>
              <w:bottom w:val="single" w:sz="4" w:space="0" w:color="auto"/>
              <w:right w:val="single" w:sz="4" w:space="0" w:color="auto"/>
            </w:tcBorders>
            <w:shd w:val="clear" w:color="auto" w:fill="auto"/>
            <w:vAlign w:val="center"/>
            <w:hideMark/>
          </w:tcPr>
          <w:p w14:paraId="0E09FEE6"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Уровень государственного долга по отношению к налоговым и неналоговым доходам, %</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30846498" w14:textId="7BEBA36F" w:rsidR="002F7314" w:rsidRPr="00FD7B0B" w:rsidRDefault="0044388D"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77,2</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6213E70B" w14:textId="3B8FDEB0" w:rsidR="002F7314" w:rsidRPr="00FD7B0B" w:rsidRDefault="0044388D"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88,9</w:t>
            </w:r>
          </w:p>
        </w:tc>
        <w:tc>
          <w:tcPr>
            <w:tcW w:w="1920" w:type="dxa"/>
            <w:gridSpan w:val="2"/>
            <w:tcBorders>
              <w:top w:val="single" w:sz="4" w:space="0" w:color="auto"/>
              <w:left w:val="nil"/>
              <w:bottom w:val="single" w:sz="4" w:space="0" w:color="auto"/>
              <w:right w:val="double" w:sz="6" w:space="0" w:color="000000"/>
            </w:tcBorders>
            <w:shd w:val="clear" w:color="auto" w:fill="auto"/>
            <w:vAlign w:val="center"/>
            <w:hideMark/>
          </w:tcPr>
          <w:p w14:paraId="30938A4E"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12,2 п.п.</w:t>
            </w:r>
          </w:p>
        </w:tc>
      </w:tr>
      <w:tr w:rsidR="00FD7B0B" w:rsidRPr="00FD7B0B" w14:paraId="2676DE36" w14:textId="77777777" w:rsidTr="002F7314">
        <w:trPr>
          <w:trHeight w:val="70"/>
        </w:trPr>
        <w:tc>
          <w:tcPr>
            <w:tcW w:w="4413" w:type="dxa"/>
            <w:tcBorders>
              <w:top w:val="nil"/>
              <w:left w:val="double" w:sz="6" w:space="0" w:color="auto"/>
              <w:bottom w:val="double" w:sz="6" w:space="0" w:color="auto"/>
              <w:right w:val="single" w:sz="4" w:space="0" w:color="auto"/>
            </w:tcBorders>
            <w:shd w:val="clear" w:color="auto" w:fill="auto"/>
            <w:vAlign w:val="center"/>
            <w:hideMark/>
          </w:tcPr>
          <w:p w14:paraId="1EA326FA" w14:textId="77777777" w:rsidR="002F7314" w:rsidRPr="00FD7B0B" w:rsidRDefault="002F7314" w:rsidP="0044388D">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Позиция</w:t>
            </w:r>
          </w:p>
        </w:tc>
        <w:tc>
          <w:tcPr>
            <w:tcW w:w="960" w:type="dxa"/>
            <w:tcBorders>
              <w:top w:val="single" w:sz="4" w:space="0" w:color="auto"/>
              <w:left w:val="nil"/>
              <w:bottom w:val="double" w:sz="6" w:space="0" w:color="auto"/>
              <w:right w:val="single" w:sz="4" w:space="0" w:color="auto"/>
            </w:tcBorders>
            <w:shd w:val="clear" w:color="auto" w:fill="auto"/>
            <w:vAlign w:val="center"/>
            <w:hideMark/>
          </w:tcPr>
          <w:p w14:paraId="741B16F0"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6</w:t>
            </w:r>
          </w:p>
        </w:tc>
        <w:tc>
          <w:tcPr>
            <w:tcW w:w="960" w:type="dxa"/>
            <w:tcBorders>
              <w:top w:val="single" w:sz="4" w:space="0" w:color="auto"/>
              <w:left w:val="nil"/>
              <w:bottom w:val="double" w:sz="6" w:space="0" w:color="auto"/>
              <w:right w:val="single" w:sz="4" w:space="0" w:color="auto"/>
            </w:tcBorders>
            <w:shd w:val="clear" w:color="auto" w:fill="auto"/>
            <w:vAlign w:val="center"/>
            <w:hideMark/>
          </w:tcPr>
          <w:p w14:paraId="4E4BF863"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960" w:type="dxa"/>
            <w:tcBorders>
              <w:top w:val="single" w:sz="4" w:space="0" w:color="auto"/>
              <w:left w:val="nil"/>
              <w:bottom w:val="double" w:sz="6" w:space="0" w:color="auto"/>
              <w:right w:val="single" w:sz="4" w:space="0" w:color="auto"/>
            </w:tcBorders>
            <w:shd w:val="clear" w:color="auto" w:fill="auto"/>
            <w:vAlign w:val="center"/>
            <w:hideMark/>
          </w:tcPr>
          <w:p w14:paraId="5384C9E7"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w:t>
            </w:r>
          </w:p>
        </w:tc>
        <w:tc>
          <w:tcPr>
            <w:tcW w:w="960" w:type="dxa"/>
            <w:tcBorders>
              <w:top w:val="single" w:sz="4" w:space="0" w:color="auto"/>
              <w:left w:val="nil"/>
              <w:bottom w:val="double" w:sz="6" w:space="0" w:color="auto"/>
              <w:right w:val="single" w:sz="4" w:space="0" w:color="auto"/>
            </w:tcBorders>
            <w:shd w:val="clear" w:color="auto" w:fill="auto"/>
            <w:vAlign w:val="center"/>
            <w:hideMark/>
          </w:tcPr>
          <w:p w14:paraId="284277E3"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w:t>
            </w:r>
          </w:p>
        </w:tc>
        <w:tc>
          <w:tcPr>
            <w:tcW w:w="960" w:type="dxa"/>
            <w:tcBorders>
              <w:top w:val="nil"/>
              <w:left w:val="nil"/>
              <w:bottom w:val="double" w:sz="6" w:space="0" w:color="auto"/>
              <w:right w:val="single" w:sz="4" w:space="0" w:color="auto"/>
            </w:tcBorders>
            <w:shd w:val="clear" w:color="auto" w:fill="auto"/>
            <w:vAlign w:val="center"/>
            <w:hideMark/>
          </w:tcPr>
          <w:p w14:paraId="18FE188F"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-12 </w:t>
            </w:r>
          </w:p>
        </w:tc>
        <w:tc>
          <w:tcPr>
            <w:tcW w:w="960" w:type="dxa"/>
            <w:tcBorders>
              <w:top w:val="nil"/>
              <w:left w:val="nil"/>
              <w:bottom w:val="double" w:sz="6" w:space="0" w:color="auto"/>
              <w:right w:val="double" w:sz="6" w:space="0" w:color="auto"/>
            </w:tcBorders>
            <w:shd w:val="clear" w:color="auto" w:fill="auto"/>
            <w:vAlign w:val="center"/>
            <w:hideMark/>
          </w:tcPr>
          <w:p w14:paraId="6700D84D" w14:textId="77777777" w:rsidR="002F7314" w:rsidRPr="00FD7B0B" w:rsidRDefault="002F7314" w:rsidP="0044388D">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-3 </w:t>
            </w:r>
          </w:p>
        </w:tc>
      </w:tr>
    </w:tbl>
    <w:p w14:paraId="39378819" w14:textId="77777777" w:rsidR="002F7314" w:rsidRPr="00FD7B0B" w:rsidRDefault="002F7314" w:rsidP="00DB11C1">
      <w:pPr>
        <w:spacing w:after="0" w:line="240" w:lineRule="auto"/>
        <w:ind w:firstLine="709"/>
        <w:jc w:val="both"/>
        <w:rPr>
          <w:rFonts w:ascii="Times New Roman" w:eastAsia="Calibri" w:hAnsi="Times New Roman" w:cs="Times New Roman"/>
          <w:sz w:val="28"/>
          <w:szCs w:val="28"/>
        </w:rPr>
      </w:pPr>
    </w:p>
    <w:p w14:paraId="226CEFB1" w14:textId="77777777" w:rsidR="002F7314" w:rsidRPr="00FD7B0B" w:rsidRDefault="002F7314" w:rsidP="00DB11C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lastRenderedPageBreak/>
        <w:t>За последние 5 лет позиция Архангельской области по объёму государственного долга среди субъектов РФ ухудшилась на 11 позиций (с 18 на 7 место), а среди субъектов СЗФО – ухудшение на 1 позицию (со 2 на 1 место).</w:t>
      </w:r>
    </w:p>
    <w:p w14:paraId="48340D27" w14:textId="36260ECE" w:rsidR="002F7314" w:rsidRPr="00FD7B0B" w:rsidRDefault="00DB11C1" w:rsidP="00DB11C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П</w:t>
      </w:r>
      <w:r w:rsidR="002F7314" w:rsidRPr="00FD7B0B">
        <w:rPr>
          <w:rFonts w:ascii="Times New Roman" w:eastAsia="Calibri" w:hAnsi="Times New Roman" w:cs="Times New Roman"/>
          <w:sz w:val="28"/>
          <w:szCs w:val="28"/>
        </w:rPr>
        <w:t>озиция Архангельской области по объему государственного долга на душу населения за тот же период как среди субъектов РФ, так и среди субъектов СЗФО ухудшилась, соответственно на семь (с 10 на 3 место) и на две (с 3 на 1 место) позиции.</w:t>
      </w:r>
    </w:p>
    <w:p w14:paraId="0FE95F52" w14:textId="77777777" w:rsidR="002F7314" w:rsidRPr="00FD7B0B" w:rsidRDefault="002F7314" w:rsidP="004B7B7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Одновременно с этим, также за 5 лет наблюдается ухудшение позиций по уровню государственного долга по отношению к поступившим налоговым и неналоговым доходам, в т.ч. среди субъектов РФ – на 12 позиций (с 14 на 2 место), а среди субъектов СЗФО – на 3 позиции (с 4 на 1 место).</w:t>
      </w:r>
    </w:p>
    <w:p w14:paraId="06FA9194" w14:textId="11A7D9DA" w:rsidR="002F7314" w:rsidRPr="00FD7B0B" w:rsidRDefault="002F7314" w:rsidP="004B7B7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На рисунке </w:t>
      </w:r>
      <w:r w:rsidR="005B57F7" w:rsidRPr="00FD7B0B">
        <w:rPr>
          <w:rFonts w:ascii="Times New Roman" w:eastAsia="Calibri" w:hAnsi="Times New Roman" w:cs="Times New Roman"/>
          <w:sz w:val="28"/>
          <w:szCs w:val="28"/>
        </w:rPr>
        <w:t>49</w:t>
      </w:r>
      <w:r w:rsidRPr="00FD7B0B">
        <w:rPr>
          <w:rFonts w:ascii="Times New Roman" w:eastAsia="Calibri" w:hAnsi="Times New Roman" w:cs="Times New Roman"/>
          <w:sz w:val="28"/>
          <w:szCs w:val="28"/>
        </w:rPr>
        <w:t xml:space="preserve"> представлены сведения о ежегодном изменении государственного долга Архангельской области на душу населения области за 2020 – 2024 годы.</w:t>
      </w:r>
    </w:p>
    <w:p w14:paraId="55AF8480" w14:textId="77777777" w:rsidR="002F7314" w:rsidRPr="00FD7B0B" w:rsidRDefault="002F7314" w:rsidP="004B7B76">
      <w:pPr>
        <w:pStyle w:val="aff0"/>
        <w:spacing w:after="0" w:line="240" w:lineRule="auto"/>
        <w:rPr>
          <w:rFonts w:ascii="Times New Roman" w:hAnsi="Times New Roman"/>
          <w:b w:val="0"/>
          <w:sz w:val="24"/>
          <w:szCs w:val="24"/>
        </w:rPr>
      </w:pPr>
      <w:r w:rsidRPr="00FD7B0B">
        <w:rPr>
          <w:rFonts w:ascii="Times New Roman" w:hAnsi="Times New Roman"/>
          <w:b w:val="0"/>
          <w:noProof/>
          <w:sz w:val="24"/>
          <w:szCs w:val="24"/>
          <w:lang w:eastAsia="ru-RU"/>
        </w:rPr>
        <w:drawing>
          <wp:inline distT="0" distB="0" distL="0" distR="0" wp14:anchorId="7F4D4B20" wp14:editId="5347F912">
            <wp:extent cx="6200775" cy="1439545"/>
            <wp:effectExtent l="0" t="0" r="9525"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02735" cy="1440000"/>
                    </a:xfrm>
                    <a:prstGeom prst="rect">
                      <a:avLst/>
                    </a:prstGeom>
                    <a:noFill/>
                  </pic:spPr>
                </pic:pic>
              </a:graphicData>
            </a:graphic>
          </wp:inline>
        </w:drawing>
      </w:r>
    </w:p>
    <w:p w14:paraId="497B0302" w14:textId="1D1153A6" w:rsidR="002F7314" w:rsidRPr="00FD7B0B" w:rsidRDefault="002F7314" w:rsidP="004B7B76">
      <w:pPr>
        <w:pStyle w:val="aff0"/>
        <w:spacing w:after="0" w:line="240" w:lineRule="auto"/>
        <w:rPr>
          <w:rFonts w:ascii="Times New Roman" w:hAnsi="Times New Roman"/>
          <w:b w:val="0"/>
          <w:sz w:val="24"/>
          <w:szCs w:val="24"/>
        </w:rPr>
      </w:pPr>
      <w:r w:rsidRPr="00FD7B0B">
        <w:rPr>
          <w:rFonts w:ascii="Times New Roman" w:hAnsi="Times New Roman"/>
          <w:b w:val="0"/>
          <w:sz w:val="24"/>
          <w:szCs w:val="24"/>
        </w:rPr>
        <w:t xml:space="preserve">Рисунок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Рисунок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49</w:t>
      </w:r>
      <w:r w:rsidRPr="00FD7B0B">
        <w:rPr>
          <w:rFonts w:ascii="Times New Roman" w:hAnsi="Times New Roman"/>
          <w:b w:val="0"/>
          <w:sz w:val="24"/>
          <w:szCs w:val="24"/>
        </w:rPr>
        <w:fldChar w:fldCharType="end"/>
      </w:r>
      <w:r w:rsidRPr="00FD7B0B">
        <w:rPr>
          <w:rFonts w:ascii="Times New Roman" w:hAnsi="Times New Roman"/>
          <w:b w:val="0"/>
          <w:sz w:val="24"/>
          <w:szCs w:val="24"/>
        </w:rPr>
        <w:t>. Государственный долг Архангельской области на душу населения области за 2020 – 2024 годы, руб.</w:t>
      </w:r>
    </w:p>
    <w:p w14:paraId="0F2F3BC5" w14:textId="77777777" w:rsidR="002F7314" w:rsidRPr="00FD7B0B" w:rsidRDefault="002F7314" w:rsidP="004B7B76">
      <w:pPr>
        <w:spacing w:after="0" w:line="240" w:lineRule="auto"/>
        <w:ind w:firstLine="709"/>
        <w:jc w:val="both"/>
        <w:rPr>
          <w:rFonts w:ascii="Times New Roman" w:eastAsia="Calibri" w:hAnsi="Times New Roman" w:cs="Times New Roman"/>
          <w:sz w:val="28"/>
          <w:szCs w:val="28"/>
        </w:rPr>
      </w:pPr>
    </w:p>
    <w:p w14:paraId="0FF50359" w14:textId="41A21CB9" w:rsidR="002F7314" w:rsidRPr="00FD7B0B" w:rsidRDefault="002F7314" w:rsidP="00720036">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На позицию Архангельской области по государственному долгу на душу населения за 5 лет повлиял рост государственного долга региона в 2,0 раза (+44 155,3 млн.руб.) и снижение численности населения на 12,5 % или на 135 134 чел. (на 01.01.2021 – 1 082 662 чел., на 01.01.2025 – 947 528 чел.). В результате государственный долг на душу населения с 01.01.2021 по 01.01.2025 увеличился в 2,3 раза (+52 221,57 руб./чел.) и составил 91 635,22 руб./чел.</w:t>
      </w:r>
      <w:r w:rsidR="00720036" w:rsidRPr="00FD7B0B">
        <w:rPr>
          <w:rFonts w:ascii="Times New Roman" w:eastAsia="Calibri" w:hAnsi="Times New Roman" w:cs="Times New Roman"/>
          <w:sz w:val="28"/>
          <w:szCs w:val="28"/>
        </w:rPr>
        <w:t xml:space="preserve"> У</w:t>
      </w:r>
      <w:r w:rsidRPr="00FD7B0B">
        <w:rPr>
          <w:rFonts w:ascii="Times New Roman" w:eastAsia="Calibri" w:hAnsi="Times New Roman" w:cs="Times New Roman"/>
          <w:sz w:val="28"/>
          <w:szCs w:val="28"/>
        </w:rPr>
        <w:t xml:space="preserve">ровень государственного долга по отношению к поступившим налоговым и неналоговым доходам </w:t>
      </w:r>
      <w:r w:rsidR="00720036" w:rsidRPr="00FD7B0B">
        <w:rPr>
          <w:rFonts w:ascii="Times New Roman" w:eastAsia="Calibri" w:hAnsi="Times New Roman" w:cs="Times New Roman"/>
          <w:sz w:val="28"/>
          <w:szCs w:val="28"/>
        </w:rPr>
        <w:t xml:space="preserve">за тот же период </w:t>
      </w:r>
      <w:r w:rsidRPr="00FD7B0B">
        <w:rPr>
          <w:rFonts w:ascii="Times New Roman" w:eastAsia="Calibri" w:hAnsi="Times New Roman" w:cs="Times New Roman"/>
          <w:sz w:val="28"/>
          <w:szCs w:val="28"/>
        </w:rPr>
        <w:t xml:space="preserve">увеличился на 12,2 процентных </w:t>
      </w:r>
      <w:r w:rsidR="00720036" w:rsidRPr="00FD7B0B">
        <w:rPr>
          <w:rFonts w:ascii="Times New Roman" w:eastAsia="Calibri" w:hAnsi="Times New Roman" w:cs="Times New Roman"/>
          <w:sz w:val="28"/>
          <w:szCs w:val="28"/>
        </w:rPr>
        <w:t>пункта (с 76,7 % до 88,9 %)</w:t>
      </w:r>
      <w:r w:rsidRPr="00FD7B0B">
        <w:rPr>
          <w:rFonts w:ascii="Times New Roman" w:eastAsia="Calibri" w:hAnsi="Times New Roman" w:cs="Times New Roman"/>
          <w:sz w:val="28"/>
          <w:szCs w:val="28"/>
        </w:rPr>
        <w:t>.</w:t>
      </w:r>
    </w:p>
    <w:p w14:paraId="458E3291" w14:textId="77777777" w:rsidR="002F7314" w:rsidRPr="00FD7B0B" w:rsidRDefault="002F7314" w:rsidP="00720036">
      <w:pPr>
        <w:spacing w:after="0" w:line="240" w:lineRule="auto"/>
        <w:ind w:firstLine="709"/>
        <w:jc w:val="both"/>
        <w:rPr>
          <w:rFonts w:ascii="Times New Roman" w:eastAsia="Calibri" w:hAnsi="Times New Roman" w:cs="Times New Roman"/>
          <w:sz w:val="28"/>
          <w:szCs w:val="28"/>
        </w:rPr>
      </w:pPr>
    </w:p>
    <w:p w14:paraId="7B36B838" w14:textId="66B08172" w:rsidR="002F7314" w:rsidRPr="00FD7B0B" w:rsidRDefault="002F7314" w:rsidP="002251C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Сведения о выполнении отдельных условий, установленных соглашениями с Минфином России о предоставлении Архангельской области бюджетных кредитов из федерального бюджета (с учетом дополнительных соглашений к ним) по состоянию на 31.12.2024, представлены в таблице </w:t>
      </w:r>
      <w:r w:rsidR="005B57F7" w:rsidRPr="00FD7B0B">
        <w:rPr>
          <w:rFonts w:ascii="Times New Roman" w:eastAsia="Calibri" w:hAnsi="Times New Roman" w:cs="Times New Roman"/>
          <w:sz w:val="28"/>
          <w:szCs w:val="28"/>
        </w:rPr>
        <w:t>272</w:t>
      </w:r>
      <w:r w:rsidRPr="00FD7B0B">
        <w:rPr>
          <w:rFonts w:ascii="Times New Roman" w:eastAsia="Calibri" w:hAnsi="Times New Roman" w:cs="Times New Roman"/>
          <w:sz w:val="28"/>
          <w:szCs w:val="28"/>
        </w:rPr>
        <w:t>.</w:t>
      </w:r>
    </w:p>
    <w:p w14:paraId="7D462A7C" w14:textId="77777777" w:rsidR="002F7314" w:rsidRPr="00FD7B0B" w:rsidRDefault="002F7314" w:rsidP="002251C1">
      <w:pPr>
        <w:pStyle w:val="aff0"/>
        <w:spacing w:after="0" w:line="240" w:lineRule="auto"/>
        <w:rPr>
          <w:rFonts w:ascii="Times New Roman" w:hAnsi="Times New Roman"/>
          <w:b w:val="0"/>
          <w:sz w:val="24"/>
          <w:szCs w:val="24"/>
        </w:rPr>
      </w:pPr>
    </w:p>
    <w:p w14:paraId="07D8D7DA" w14:textId="77777777" w:rsidR="002F7314" w:rsidRPr="00FD7B0B" w:rsidRDefault="002F7314" w:rsidP="008F26D6">
      <w:pPr>
        <w:pStyle w:val="aff0"/>
        <w:keepNext/>
        <w:spacing w:after="0" w:line="240" w:lineRule="auto"/>
        <w:rPr>
          <w:rFonts w:ascii="Times New Roman" w:hAnsi="Times New Roman"/>
          <w:b w:val="0"/>
          <w:sz w:val="24"/>
          <w:szCs w:val="24"/>
        </w:rPr>
      </w:pPr>
      <w:r w:rsidRPr="00FD7B0B">
        <w:rPr>
          <w:rFonts w:ascii="Times New Roman" w:hAnsi="Times New Roman"/>
          <w:b w:val="0"/>
          <w:sz w:val="24"/>
          <w:szCs w:val="24"/>
        </w:rPr>
        <w:t xml:space="preserve">Таблица </w:t>
      </w:r>
      <w:r w:rsidRPr="00FD7B0B">
        <w:rPr>
          <w:rFonts w:ascii="Times New Roman" w:hAnsi="Times New Roman"/>
          <w:b w:val="0"/>
          <w:sz w:val="24"/>
          <w:szCs w:val="24"/>
        </w:rPr>
        <w:fldChar w:fldCharType="begin"/>
      </w:r>
      <w:r w:rsidRPr="00FD7B0B">
        <w:rPr>
          <w:rFonts w:ascii="Times New Roman" w:hAnsi="Times New Roman"/>
          <w:b w:val="0"/>
          <w:sz w:val="24"/>
          <w:szCs w:val="24"/>
        </w:rPr>
        <w:instrText xml:space="preserve"> SEQ Таблица \* ARABIC </w:instrText>
      </w:r>
      <w:r w:rsidRPr="00FD7B0B">
        <w:rPr>
          <w:rFonts w:ascii="Times New Roman" w:hAnsi="Times New Roman"/>
          <w:b w:val="0"/>
          <w:sz w:val="24"/>
          <w:szCs w:val="24"/>
        </w:rPr>
        <w:fldChar w:fldCharType="separate"/>
      </w:r>
      <w:r w:rsidR="002959CD" w:rsidRPr="00FD7B0B">
        <w:rPr>
          <w:rFonts w:ascii="Times New Roman" w:hAnsi="Times New Roman"/>
          <w:b w:val="0"/>
          <w:noProof/>
          <w:sz w:val="24"/>
          <w:szCs w:val="24"/>
        </w:rPr>
        <w:t>272</w:t>
      </w:r>
      <w:r w:rsidRPr="00FD7B0B">
        <w:rPr>
          <w:rFonts w:ascii="Times New Roman" w:hAnsi="Times New Roman"/>
          <w:b w:val="0"/>
          <w:sz w:val="24"/>
          <w:szCs w:val="24"/>
        </w:rPr>
        <w:fldChar w:fldCharType="end"/>
      </w:r>
      <w:r w:rsidRPr="00FD7B0B">
        <w:rPr>
          <w:rFonts w:ascii="Times New Roman" w:hAnsi="Times New Roman"/>
          <w:b w:val="0"/>
          <w:sz w:val="24"/>
          <w:szCs w:val="24"/>
        </w:rPr>
        <w:t>. Отдельные условия, определенные соглашениями с Минфином России (доп. соглашений о реструктуризации бюджетных кредитов) о предоставлении бюджетных кредитов и фактическое исполнение за 2024 год</w:t>
      </w:r>
    </w:p>
    <w:tbl>
      <w:tblPr>
        <w:tblW w:w="9615" w:type="dxa"/>
        <w:tblLayout w:type="fixed"/>
        <w:tblLook w:val="04A0" w:firstRow="1" w:lastRow="0" w:firstColumn="1" w:lastColumn="0" w:noHBand="0" w:noVBand="1"/>
      </w:tblPr>
      <w:tblGrid>
        <w:gridCol w:w="5647"/>
        <w:gridCol w:w="1417"/>
        <w:gridCol w:w="1276"/>
        <w:gridCol w:w="1275"/>
      </w:tblGrid>
      <w:tr w:rsidR="00FD7B0B" w:rsidRPr="00FD7B0B" w14:paraId="368129E0" w14:textId="77777777" w:rsidTr="008F26D6">
        <w:trPr>
          <w:trHeight w:val="35"/>
          <w:tblHeader/>
        </w:trPr>
        <w:tc>
          <w:tcPr>
            <w:tcW w:w="564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4DD82F7" w14:textId="77777777"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Показатель</w:t>
            </w:r>
          </w:p>
        </w:tc>
        <w:tc>
          <w:tcPr>
            <w:tcW w:w="1417" w:type="dxa"/>
            <w:tcBorders>
              <w:top w:val="double" w:sz="6" w:space="0" w:color="auto"/>
              <w:left w:val="nil"/>
              <w:bottom w:val="single" w:sz="4" w:space="0" w:color="auto"/>
              <w:right w:val="single" w:sz="4" w:space="0" w:color="auto"/>
            </w:tcBorders>
            <w:shd w:val="clear" w:color="auto" w:fill="auto"/>
            <w:vAlign w:val="center"/>
            <w:hideMark/>
          </w:tcPr>
          <w:p w14:paraId="60F5FD1E" w14:textId="77777777"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Установлено соглашением на 01.01.2025</w:t>
            </w:r>
          </w:p>
        </w:tc>
        <w:tc>
          <w:tcPr>
            <w:tcW w:w="1276" w:type="dxa"/>
            <w:tcBorders>
              <w:top w:val="double" w:sz="6" w:space="0" w:color="auto"/>
              <w:left w:val="nil"/>
              <w:bottom w:val="single" w:sz="4" w:space="0" w:color="auto"/>
              <w:right w:val="single" w:sz="4" w:space="0" w:color="auto"/>
            </w:tcBorders>
            <w:shd w:val="clear" w:color="auto" w:fill="auto"/>
            <w:vAlign w:val="center"/>
            <w:hideMark/>
          </w:tcPr>
          <w:p w14:paraId="57FC5B5D" w14:textId="77777777"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Фактически на 01.01.2025</w:t>
            </w:r>
          </w:p>
        </w:tc>
        <w:tc>
          <w:tcPr>
            <w:tcW w:w="1275" w:type="dxa"/>
            <w:tcBorders>
              <w:top w:val="double" w:sz="6" w:space="0" w:color="auto"/>
              <w:left w:val="nil"/>
              <w:bottom w:val="single" w:sz="4" w:space="0" w:color="auto"/>
              <w:right w:val="double" w:sz="6" w:space="0" w:color="auto"/>
            </w:tcBorders>
            <w:shd w:val="clear" w:color="auto" w:fill="auto"/>
            <w:vAlign w:val="center"/>
            <w:hideMark/>
          </w:tcPr>
          <w:p w14:paraId="0749D51B" w14:textId="77777777"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Отклонения (проц. пункт)</w:t>
            </w:r>
          </w:p>
        </w:tc>
      </w:tr>
      <w:tr w:rsidR="00FD7B0B" w:rsidRPr="00FD7B0B" w14:paraId="545BE8AF" w14:textId="77777777" w:rsidTr="008F26D6">
        <w:trPr>
          <w:trHeight w:val="70"/>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143051A4" w14:textId="68A22CE3" w:rsidR="002F7314" w:rsidRPr="00FD7B0B" w:rsidRDefault="002F7314" w:rsidP="00FF14C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Дефицит бюджета Архангельской области на уровне не более 10 % суммы доходов бюджета без учета безвозмездных </w:t>
            </w:r>
            <w:r w:rsidRPr="00FD7B0B">
              <w:rPr>
                <w:rFonts w:ascii="Times New Roman" w:eastAsia="Times New Roman" w:hAnsi="Times New Roman" w:cs="Times New Roman"/>
                <w:sz w:val="20"/>
                <w:szCs w:val="20"/>
                <w:lang w:eastAsia="ru-RU"/>
              </w:rPr>
              <w:lastRenderedPageBreak/>
              <w:t xml:space="preserve">поступлений. Допускается превышение при </w:t>
            </w:r>
            <w:r w:rsidR="00FF14C5" w:rsidRPr="00FD7B0B">
              <w:rPr>
                <w:rFonts w:ascii="Times New Roman" w:eastAsia="Times New Roman" w:hAnsi="Times New Roman" w:cs="Times New Roman"/>
                <w:sz w:val="20"/>
                <w:szCs w:val="20"/>
                <w:lang w:eastAsia="ru-RU"/>
              </w:rPr>
              <w:t xml:space="preserve">осуществлении </w:t>
            </w:r>
            <w:r w:rsidRPr="00FD7B0B">
              <w:rPr>
                <w:rFonts w:ascii="Times New Roman" w:eastAsia="Times New Roman" w:hAnsi="Times New Roman" w:cs="Times New Roman"/>
                <w:sz w:val="20"/>
                <w:szCs w:val="20"/>
                <w:lang w:eastAsia="ru-RU"/>
              </w:rPr>
              <w:t xml:space="preserve">определенных расходах, согласно Правилам, </w:t>
            </w:r>
            <w:r w:rsidR="00FF14C5" w:rsidRPr="00FD7B0B">
              <w:rPr>
                <w:rFonts w:ascii="Times New Roman" w:eastAsia="Times New Roman" w:hAnsi="Times New Roman" w:cs="Times New Roman"/>
                <w:sz w:val="20"/>
                <w:szCs w:val="20"/>
                <w:lang w:eastAsia="ru-RU"/>
              </w:rPr>
              <w:t>утвержденными</w:t>
            </w:r>
            <w:r w:rsidRPr="00FD7B0B">
              <w:rPr>
                <w:rFonts w:ascii="Times New Roman" w:eastAsia="Times New Roman" w:hAnsi="Times New Roman" w:cs="Times New Roman"/>
                <w:sz w:val="20"/>
                <w:szCs w:val="20"/>
                <w:lang w:eastAsia="ru-RU"/>
              </w:rPr>
              <w:t xml:space="preserve"> </w:t>
            </w:r>
            <w:r w:rsidR="00FF14C5" w:rsidRPr="00FD7B0B">
              <w:rPr>
                <w:rFonts w:ascii="Times New Roman" w:eastAsia="Times New Roman" w:hAnsi="Times New Roman" w:cs="Times New Roman"/>
                <w:sz w:val="20"/>
                <w:szCs w:val="20"/>
                <w:lang w:eastAsia="ru-RU"/>
              </w:rPr>
              <w:t>постановлениями Правительства РФ</w:t>
            </w:r>
          </w:p>
        </w:tc>
        <w:tc>
          <w:tcPr>
            <w:tcW w:w="1417" w:type="dxa"/>
            <w:tcBorders>
              <w:top w:val="nil"/>
              <w:left w:val="nil"/>
              <w:bottom w:val="single" w:sz="4" w:space="0" w:color="auto"/>
              <w:right w:val="single" w:sz="4" w:space="0" w:color="auto"/>
            </w:tcBorders>
            <w:shd w:val="clear" w:color="auto" w:fill="auto"/>
            <w:vAlign w:val="center"/>
            <w:hideMark/>
          </w:tcPr>
          <w:p w14:paraId="1CB8BD33" w14:textId="2A517B5F"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lastRenderedPageBreak/>
              <w:t>10,0</w:t>
            </w:r>
            <w:r w:rsidR="001607B0" w:rsidRPr="00FD7B0B">
              <w:rPr>
                <w:rFonts w:ascii="Times New Roman" w:eastAsia="Times New Roman" w:hAnsi="Times New Roman" w:cs="Times New Roman"/>
                <w:sz w:val="20"/>
                <w:szCs w:val="20"/>
                <w:lang w:eastAsia="ru-RU"/>
              </w:rPr>
              <w:t xml:space="preserve"> </w:t>
            </w:r>
            <w:r w:rsidRPr="00FD7B0B">
              <w:rPr>
                <w:rFonts w:ascii="Times New Roman" w:eastAsia="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763EFEFA" w14:textId="138FB3CE" w:rsidR="002F7314" w:rsidRPr="00FD7B0B" w:rsidRDefault="002F7314" w:rsidP="00FF14C5">
            <w:pPr>
              <w:spacing w:after="0" w:line="240" w:lineRule="auto"/>
              <w:jc w:val="center"/>
              <w:rPr>
                <w:rFonts w:ascii="Times New Roman" w:eastAsia="Times New Roman" w:hAnsi="Times New Roman" w:cs="Times New Roman"/>
                <w:b/>
                <w:sz w:val="20"/>
                <w:szCs w:val="20"/>
                <w:u w:val="single"/>
                <w:lang w:eastAsia="ru-RU"/>
              </w:rPr>
            </w:pPr>
            <w:r w:rsidRPr="00FD7B0B">
              <w:rPr>
                <w:rFonts w:ascii="Times New Roman" w:eastAsia="Times New Roman" w:hAnsi="Times New Roman" w:cs="Times New Roman"/>
                <w:b/>
                <w:sz w:val="20"/>
                <w:szCs w:val="20"/>
                <w:u w:val="single"/>
                <w:lang w:eastAsia="ru-RU"/>
              </w:rPr>
              <w:t>12,6</w:t>
            </w:r>
            <w:r w:rsidR="001607B0" w:rsidRPr="00FD7B0B">
              <w:rPr>
                <w:rFonts w:ascii="Times New Roman" w:eastAsia="Times New Roman" w:hAnsi="Times New Roman" w:cs="Times New Roman"/>
                <w:b/>
                <w:sz w:val="20"/>
                <w:szCs w:val="20"/>
                <w:u w:val="single"/>
                <w:lang w:eastAsia="ru-RU"/>
              </w:rPr>
              <w:t xml:space="preserve"> </w:t>
            </w:r>
            <w:r w:rsidRPr="00FD7B0B">
              <w:rPr>
                <w:rFonts w:ascii="Times New Roman" w:eastAsia="Times New Roman" w:hAnsi="Times New Roman" w:cs="Times New Roman"/>
                <w:b/>
                <w:sz w:val="20"/>
                <w:szCs w:val="20"/>
                <w:u w:val="single"/>
                <w:lang w:eastAsia="ru-RU"/>
              </w:rPr>
              <w:t>%</w:t>
            </w:r>
          </w:p>
        </w:tc>
        <w:tc>
          <w:tcPr>
            <w:tcW w:w="1275" w:type="dxa"/>
            <w:tcBorders>
              <w:top w:val="nil"/>
              <w:left w:val="nil"/>
              <w:bottom w:val="single" w:sz="4" w:space="0" w:color="auto"/>
              <w:right w:val="double" w:sz="6" w:space="0" w:color="auto"/>
            </w:tcBorders>
            <w:shd w:val="clear" w:color="auto" w:fill="auto"/>
            <w:vAlign w:val="center"/>
            <w:hideMark/>
          </w:tcPr>
          <w:p w14:paraId="69C8B886" w14:textId="77777777"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+2,6 п.п.</w:t>
            </w:r>
          </w:p>
        </w:tc>
      </w:tr>
      <w:tr w:rsidR="00FD7B0B" w:rsidRPr="00FD7B0B" w14:paraId="05A99779" w14:textId="77777777" w:rsidTr="008F26D6">
        <w:trPr>
          <w:trHeight w:val="1174"/>
        </w:trPr>
        <w:tc>
          <w:tcPr>
            <w:tcW w:w="5647" w:type="dxa"/>
            <w:tcBorders>
              <w:top w:val="nil"/>
              <w:left w:val="double" w:sz="6" w:space="0" w:color="auto"/>
              <w:bottom w:val="single" w:sz="4" w:space="0" w:color="auto"/>
              <w:right w:val="single" w:sz="4" w:space="0" w:color="auto"/>
            </w:tcBorders>
            <w:shd w:val="clear" w:color="auto" w:fill="auto"/>
            <w:vAlign w:val="center"/>
            <w:hideMark/>
          </w:tcPr>
          <w:p w14:paraId="64FA7304" w14:textId="777A8A53" w:rsidR="002F7314" w:rsidRPr="00FD7B0B" w:rsidRDefault="002F7314" w:rsidP="002A62AB">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 xml:space="preserve">Доля общего объема государственного долга Архангельской области от суммы доходов бюджета Архангельской области без учета безвозмездных поступлений за 2024 год. С учетом определенных условий, установленных Правилами, утвержденными </w:t>
            </w:r>
            <w:r w:rsidR="002A62AB" w:rsidRPr="00FD7B0B">
              <w:rPr>
                <w:rFonts w:ascii="Times New Roman" w:eastAsia="Times New Roman" w:hAnsi="Times New Roman" w:cs="Times New Roman"/>
                <w:sz w:val="20"/>
                <w:szCs w:val="20"/>
                <w:lang w:eastAsia="ru-RU"/>
              </w:rPr>
              <w:t>постановлениями</w:t>
            </w:r>
            <w:r w:rsidRPr="00FD7B0B">
              <w:rPr>
                <w:rFonts w:ascii="Times New Roman" w:eastAsia="Times New Roman" w:hAnsi="Times New Roman" w:cs="Times New Roman"/>
                <w:sz w:val="20"/>
                <w:szCs w:val="20"/>
                <w:lang w:eastAsia="ru-RU"/>
              </w:rPr>
              <w:t xml:space="preserve"> Пра</w:t>
            </w:r>
            <w:r w:rsidR="00FF14C5" w:rsidRPr="00FD7B0B">
              <w:rPr>
                <w:rFonts w:ascii="Times New Roman" w:eastAsia="Times New Roman" w:hAnsi="Times New Roman" w:cs="Times New Roman"/>
                <w:sz w:val="20"/>
                <w:szCs w:val="20"/>
                <w:lang w:eastAsia="ru-RU"/>
              </w:rPr>
              <w:t>вительства РФ</w:t>
            </w:r>
          </w:p>
        </w:tc>
        <w:tc>
          <w:tcPr>
            <w:tcW w:w="1417" w:type="dxa"/>
            <w:tcBorders>
              <w:top w:val="nil"/>
              <w:left w:val="nil"/>
              <w:bottom w:val="single" w:sz="4" w:space="0" w:color="auto"/>
              <w:right w:val="single" w:sz="4" w:space="0" w:color="auto"/>
            </w:tcBorders>
            <w:shd w:val="clear" w:color="auto" w:fill="auto"/>
            <w:vAlign w:val="center"/>
            <w:hideMark/>
          </w:tcPr>
          <w:p w14:paraId="771B3A70" w14:textId="12F6A655"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56,0</w:t>
            </w:r>
            <w:r w:rsidR="001607B0" w:rsidRPr="00FD7B0B">
              <w:rPr>
                <w:rFonts w:ascii="Times New Roman" w:eastAsia="Times New Roman" w:hAnsi="Times New Roman" w:cs="Times New Roman"/>
                <w:sz w:val="20"/>
                <w:szCs w:val="20"/>
                <w:lang w:eastAsia="ru-RU"/>
              </w:rPr>
              <w:t xml:space="preserve"> </w:t>
            </w:r>
            <w:r w:rsidRPr="00FD7B0B">
              <w:rPr>
                <w:rFonts w:ascii="Times New Roman" w:eastAsia="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6A9DE0A8" w14:textId="0AF1B26B" w:rsidR="002F7314" w:rsidRPr="00FD7B0B" w:rsidRDefault="002F7314" w:rsidP="00FF14C5">
            <w:pPr>
              <w:spacing w:after="0" w:line="240" w:lineRule="auto"/>
              <w:jc w:val="center"/>
              <w:rPr>
                <w:rFonts w:ascii="Times New Roman" w:eastAsia="Times New Roman" w:hAnsi="Times New Roman" w:cs="Times New Roman"/>
                <w:b/>
                <w:sz w:val="20"/>
                <w:szCs w:val="20"/>
                <w:u w:val="single"/>
                <w:lang w:eastAsia="ru-RU"/>
              </w:rPr>
            </w:pPr>
            <w:r w:rsidRPr="00FD7B0B">
              <w:rPr>
                <w:rFonts w:ascii="Times New Roman" w:eastAsia="Times New Roman" w:hAnsi="Times New Roman" w:cs="Times New Roman"/>
                <w:b/>
                <w:sz w:val="20"/>
                <w:szCs w:val="20"/>
                <w:u w:val="single"/>
                <w:lang w:eastAsia="ru-RU"/>
              </w:rPr>
              <w:t>75,4</w:t>
            </w:r>
            <w:r w:rsidR="001607B0" w:rsidRPr="00FD7B0B">
              <w:rPr>
                <w:rFonts w:ascii="Times New Roman" w:eastAsia="Times New Roman" w:hAnsi="Times New Roman" w:cs="Times New Roman"/>
                <w:b/>
                <w:sz w:val="20"/>
                <w:szCs w:val="20"/>
                <w:u w:val="single"/>
                <w:lang w:eastAsia="ru-RU"/>
              </w:rPr>
              <w:t xml:space="preserve"> </w:t>
            </w:r>
            <w:r w:rsidRPr="00FD7B0B">
              <w:rPr>
                <w:rFonts w:ascii="Times New Roman" w:eastAsia="Times New Roman" w:hAnsi="Times New Roman" w:cs="Times New Roman"/>
                <w:b/>
                <w:sz w:val="20"/>
                <w:szCs w:val="20"/>
                <w:u w:val="single"/>
                <w:lang w:eastAsia="ru-RU"/>
              </w:rPr>
              <w:t>%</w:t>
            </w:r>
          </w:p>
        </w:tc>
        <w:tc>
          <w:tcPr>
            <w:tcW w:w="1275" w:type="dxa"/>
            <w:tcBorders>
              <w:top w:val="nil"/>
              <w:left w:val="nil"/>
              <w:bottom w:val="single" w:sz="4" w:space="0" w:color="auto"/>
              <w:right w:val="double" w:sz="6" w:space="0" w:color="auto"/>
            </w:tcBorders>
            <w:shd w:val="clear" w:color="auto" w:fill="auto"/>
            <w:vAlign w:val="center"/>
            <w:hideMark/>
          </w:tcPr>
          <w:p w14:paraId="45C0848B" w14:textId="77777777"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+19,4 п.п.</w:t>
            </w:r>
          </w:p>
        </w:tc>
      </w:tr>
      <w:tr w:rsidR="002F7314" w:rsidRPr="00FD7B0B" w14:paraId="59268156" w14:textId="77777777" w:rsidTr="008F26D6">
        <w:trPr>
          <w:trHeight w:val="627"/>
        </w:trPr>
        <w:tc>
          <w:tcPr>
            <w:tcW w:w="5647" w:type="dxa"/>
            <w:tcBorders>
              <w:top w:val="nil"/>
              <w:left w:val="double" w:sz="6" w:space="0" w:color="auto"/>
              <w:bottom w:val="double" w:sz="6" w:space="0" w:color="auto"/>
              <w:right w:val="single" w:sz="4" w:space="0" w:color="auto"/>
            </w:tcBorders>
            <w:shd w:val="clear" w:color="auto" w:fill="auto"/>
            <w:vAlign w:val="center"/>
            <w:hideMark/>
          </w:tcPr>
          <w:p w14:paraId="5624C1AA" w14:textId="77777777" w:rsidR="002F7314" w:rsidRPr="00FD7B0B" w:rsidRDefault="002F7314" w:rsidP="00FF14C5">
            <w:pPr>
              <w:spacing w:after="0" w:line="240" w:lineRule="auto"/>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Доля общего объема государственного долга Архангельской области по кредитам кредитных организаций от суммы доходов бюджета Архангельской области без учета безвозмездных поступлений за 2024 год</w:t>
            </w:r>
          </w:p>
        </w:tc>
        <w:tc>
          <w:tcPr>
            <w:tcW w:w="1417" w:type="dxa"/>
            <w:tcBorders>
              <w:top w:val="nil"/>
              <w:left w:val="nil"/>
              <w:bottom w:val="double" w:sz="6" w:space="0" w:color="auto"/>
              <w:right w:val="single" w:sz="4" w:space="0" w:color="auto"/>
            </w:tcBorders>
            <w:shd w:val="clear" w:color="auto" w:fill="auto"/>
            <w:vAlign w:val="center"/>
            <w:hideMark/>
          </w:tcPr>
          <w:p w14:paraId="5B268640" w14:textId="1B57D4E9"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50,0</w:t>
            </w:r>
            <w:r w:rsidR="001607B0" w:rsidRPr="00FD7B0B">
              <w:rPr>
                <w:rFonts w:ascii="Times New Roman" w:eastAsia="Times New Roman" w:hAnsi="Times New Roman" w:cs="Times New Roman"/>
                <w:sz w:val="20"/>
                <w:szCs w:val="20"/>
                <w:lang w:eastAsia="ru-RU"/>
              </w:rPr>
              <w:t xml:space="preserve"> </w:t>
            </w:r>
            <w:r w:rsidRPr="00FD7B0B">
              <w:rPr>
                <w:rFonts w:ascii="Times New Roman" w:eastAsia="Times New Roman" w:hAnsi="Times New Roman" w:cs="Times New Roman"/>
                <w:sz w:val="20"/>
                <w:szCs w:val="20"/>
                <w:lang w:eastAsia="ru-RU"/>
              </w:rPr>
              <w:t>%</w:t>
            </w:r>
          </w:p>
        </w:tc>
        <w:tc>
          <w:tcPr>
            <w:tcW w:w="1276" w:type="dxa"/>
            <w:tcBorders>
              <w:top w:val="nil"/>
              <w:left w:val="nil"/>
              <w:bottom w:val="double" w:sz="6" w:space="0" w:color="auto"/>
              <w:right w:val="single" w:sz="4" w:space="0" w:color="auto"/>
            </w:tcBorders>
            <w:shd w:val="clear" w:color="auto" w:fill="auto"/>
            <w:vAlign w:val="center"/>
            <w:hideMark/>
          </w:tcPr>
          <w:p w14:paraId="6FF929E0" w14:textId="75565868"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44,1</w:t>
            </w:r>
            <w:r w:rsidR="001607B0" w:rsidRPr="00FD7B0B">
              <w:rPr>
                <w:rFonts w:ascii="Times New Roman" w:eastAsia="Times New Roman" w:hAnsi="Times New Roman" w:cs="Times New Roman"/>
                <w:sz w:val="20"/>
                <w:szCs w:val="20"/>
                <w:lang w:eastAsia="ru-RU"/>
              </w:rPr>
              <w:t xml:space="preserve"> </w:t>
            </w:r>
            <w:r w:rsidRPr="00FD7B0B">
              <w:rPr>
                <w:rFonts w:ascii="Times New Roman" w:eastAsia="Times New Roman" w:hAnsi="Times New Roman" w:cs="Times New Roman"/>
                <w:sz w:val="20"/>
                <w:szCs w:val="20"/>
                <w:lang w:eastAsia="ru-RU"/>
              </w:rPr>
              <w:t>%</w:t>
            </w:r>
          </w:p>
        </w:tc>
        <w:tc>
          <w:tcPr>
            <w:tcW w:w="1275" w:type="dxa"/>
            <w:tcBorders>
              <w:top w:val="nil"/>
              <w:left w:val="nil"/>
              <w:bottom w:val="double" w:sz="6" w:space="0" w:color="auto"/>
              <w:right w:val="double" w:sz="6" w:space="0" w:color="auto"/>
            </w:tcBorders>
            <w:shd w:val="clear" w:color="auto" w:fill="auto"/>
            <w:vAlign w:val="center"/>
            <w:hideMark/>
          </w:tcPr>
          <w:p w14:paraId="44C87468" w14:textId="77777777" w:rsidR="002F7314" w:rsidRPr="00FD7B0B" w:rsidRDefault="002F7314" w:rsidP="00FF14C5">
            <w:pPr>
              <w:spacing w:after="0" w:line="240" w:lineRule="auto"/>
              <w:jc w:val="center"/>
              <w:rPr>
                <w:rFonts w:ascii="Times New Roman" w:eastAsia="Times New Roman" w:hAnsi="Times New Roman" w:cs="Times New Roman"/>
                <w:sz w:val="20"/>
                <w:szCs w:val="20"/>
                <w:lang w:eastAsia="ru-RU"/>
              </w:rPr>
            </w:pPr>
            <w:r w:rsidRPr="00FD7B0B">
              <w:rPr>
                <w:rFonts w:ascii="Times New Roman" w:eastAsia="Times New Roman" w:hAnsi="Times New Roman" w:cs="Times New Roman"/>
                <w:sz w:val="20"/>
                <w:szCs w:val="20"/>
                <w:lang w:eastAsia="ru-RU"/>
              </w:rPr>
              <w:t>-5,9 п.п.</w:t>
            </w:r>
          </w:p>
        </w:tc>
      </w:tr>
    </w:tbl>
    <w:p w14:paraId="353CABFD" w14:textId="77777777" w:rsidR="002F7314" w:rsidRPr="00FD7B0B" w:rsidRDefault="002F7314" w:rsidP="002A62AB">
      <w:pPr>
        <w:spacing w:after="0" w:line="240" w:lineRule="auto"/>
        <w:ind w:firstLine="709"/>
        <w:jc w:val="both"/>
        <w:rPr>
          <w:rFonts w:ascii="Times New Roman" w:eastAsia="Calibri" w:hAnsi="Times New Roman" w:cs="Times New Roman"/>
          <w:sz w:val="28"/>
          <w:szCs w:val="28"/>
        </w:rPr>
      </w:pPr>
    </w:p>
    <w:bookmarkEnd w:id="156"/>
    <w:p w14:paraId="2F2C116E" w14:textId="77777777" w:rsidR="00AD21E0" w:rsidRPr="00FD7B0B" w:rsidRDefault="00AD21E0" w:rsidP="00AD21E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В результате сумма превышения объема государственного долга Архангельской области, установленного соглашениями с Минфином России, составляет на 31.12.2023 года 18 920,4 млн.руб.</w:t>
      </w:r>
    </w:p>
    <w:p w14:paraId="48A578D6" w14:textId="77777777" w:rsidR="00AD21E0" w:rsidRPr="00FD7B0B" w:rsidRDefault="00AD21E0" w:rsidP="00AD21E0">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Таким образом, Архангельской областью по итогам 2024 года не выполнено 2 условия, определенных соглашениями с Минфином России о предоставлении бюджетных кредитов из федерального бюджета с учетом дополнительных соглашений к ним, что может повлечь досрочное погашение задолженности в объеме не более 5 % общего объема реструктурированной задолженности по бюджетным кредитам, в срок до 01.07.2025 или на сумму 577,5 млн.руб.</w:t>
      </w:r>
    </w:p>
    <w:p w14:paraId="484A8679" w14:textId="77777777" w:rsidR="002F7314" w:rsidRPr="00FD7B0B" w:rsidRDefault="002F7314" w:rsidP="00157111">
      <w:pPr>
        <w:spacing w:after="0" w:line="240" w:lineRule="auto"/>
        <w:ind w:firstLine="709"/>
        <w:jc w:val="both"/>
        <w:rPr>
          <w:rFonts w:ascii="Times New Roman" w:eastAsia="Calibri" w:hAnsi="Times New Roman" w:cs="Times New Roman"/>
          <w:sz w:val="28"/>
          <w:szCs w:val="28"/>
        </w:rPr>
      </w:pPr>
    </w:p>
    <w:p w14:paraId="6E159E08" w14:textId="18D27700" w:rsidR="002F7314" w:rsidRPr="00FD7B0B" w:rsidRDefault="002F7314" w:rsidP="00157111">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Следует отметить, что в 2024 году в областной бюджет привлечены свободные остатки средств государственных бюджетных, автономных, казенных учреждений и юридических лиц на общую сумму 37 587,6 млн.руб., что позволило не привлекать кредитные средства на покрытие дефицита бюджета в те дни, когда расходы областного бюджета превышали доходы. Возврат указанных привлеченных средств областным бюджетным, автономным и казенным учреждениям, а также юридическим лицам за 2024 год составил в сумме 40 740,8 руб.</w:t>
      </w:r>
    </w:p>
    <w:p w14:paraId="4E5C7D16" w14:textId="472F8C5E" w:rsidR="002F7314" w:rsidRPr="00FD7B0B" w:rsidRDefault="002F7314" w:rsidP="006E6A3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Таким образом, оборот (привлечено – возвращено) средств по управлению указанными остатками за 2024 год составил -3 153,2 млн.руб., что отражено в составе источников финансирования областного бюджета.</w:t>
      </w:r>
    </w:p>
    <w:p w14:paraId="4D378949" w14:textId="4005A4C4" w:rsidR="002F7314" w:rsidRPr="00FD7B0B" w:rsidRDefault="002F7314" w:rsidP="006E6A3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Согласно отчёту по ф. 0503169 «Сведения о дебиторской и кредиторской задолженности» за 2023 год по коду счета 302.75 «Расчеты по приобретению иных финансовых активов» кредиторская задолженность перед бюджетными, автономными, казенными учреждениями, а также юридическим лицам по привлеченным указанным выше остаткам на 01.01.2024 составляла 10 636,7 млн.руб., а на 01.01.2025 – 7 483,5 млн.руб. или снизилась за год на 3 153,2 млн.руб. или на 29,6 %.</w:t>
      </w:r>
    </w:p>
    <w:p w14:paraId="669A9C9E" w14:textId="77777777" w:rsidR="002F7314" w:rsidRPr="00FD7B0B" w:rsidRDefault="002F7314" w:rsidP="002F7314">
      <w:pPr>
        <w:jc w:val="center"/>
      </w:pPr>
      <w:r w:rsidRPr="00FD7B0B">
        <w:t>* * *</w:t>
      </w:r>
    </w:p>
    <w:p w14:paraId="1CBC32E5" w14:textId="3D80D1F2" w:rsidR="00B0726C" w:rsidRPr="00FD7B0B" w:rsidRDefault="002F7314" w:rsidP="006E6A3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По результатам оценки состояния государственных долговых обязательств Архангельской области, контрольно-счетная палата </w:t>
      </w:r>
      <w:r w:rsidR="00B0726C" w:rsidRPr="00FD7B0B">
        <w:rPr>
          <w:rFonts w:ascii="Times New Roman" w:eastAsia="Calibri" w:hAnsi="Times New Roman" w:cs="Times New Roman"/>
          <w:sz w:val="28"/>
          <w:szCs w:val="28"/>
        </w:rPr>
        <w:t xml:space="preserve">отмечает негативные </w:t>
      </w:r>
      <w:r w:rsidR="00B0726C" w:rsidRPr="00FD7B0B">
        <w:rPr>
          <w:rFonts w:ascii="Times New Roman" w:eastAsia="Calibri" w:hAnsi="Times New Roman" w:cs="Times New Roman"/>
          <w:sz w:val="28"/>
          <w:szCs w:val="28"/>
        </w:rPr>
        <w:lastRenderedPageBreak/>
        <w:t xml:space="preserve">изменения в составе и структуре долговых обязательств в части увеличения доли «дорогих» коммерческих кредитов, что </w:t>
      </w:r>
      <w:r w:rsidR="00103F43" w:rsidRPr="00FD7B0B">
        <w:rPr>
          <w:rFonts w:ascii="Times New Roman" w:eastAsia="Calibri" w:hAnsi="Times New Roman" w:cs="Times New Roman"/>
          <w:sz w:val="28"/>
          <w:szCs w:val="28"/>
        </w:rPr>
        <w:t>по</w:t>
      </w:r>
      <w:r w:rsidR="00B0726C" w:rsidRPr="00FD7B0B">
        <w:rPr>
          <w:rFonts w:ascii="Times New Roman" w:eastAsia="Calibri" w:hAnsi="Times New Roman" w:cs="Times New Roman"/>
          <w:sz w:val="28"/>
          <w:szCs w:val="28"/>
        </w:rPr>
        <w:t>влечет увеличение расходов бюджета на обслуживание государственного долга.</w:t>
      </w:r>
    </w:p>
    <w:p w14:paraId="54775734" w14:textId="617AC267" w:rsidR="002F7314" w:rsidRPr="00FD7B0B" w:rsidRDefault="00D02401" w:rsidP="006E6A3E">
      <w:pPr>
        <w:spacing w:after="0" w:line="240" w:lineRule="auto"/>
        <w:ind w:firstLine="709"/>
        <w:jc w:val="both"/>
        <w:rPr>
          <w:rFonts w:ascii="Times New Roman" w:eastAsia="Calibri" w:hAnsi="Times New Roman" w:cs="Times New Roman"/>
          <w:sz w:val="28"/>
          <w:szCs w:val="28"/>
        </w:rPr>
      </w:pPr>
      <w:r w:rsidRPr="00FD7B0B">
        <w:rPr>
          <w:rFonts w:ascii="Times New Roman" w:eastAsia="Calibri" w:hAnsi="Times New Roman" w:cs="Times New Roman"/>
          <w:sz w:val="28"/>
          <w:szCs w:val="28"/>
        </w:rPr>
        <w:t xml:space="preserve">Учитывая невыполнение в 2024 году условия соглашений и Минфином России о реструктуризации бюджетных кредитов из федерального бюджета в части превышения уровня долговых обязательств к налоговым и неналоговым доходам, </w:t>
      </w:r>
      <w:r w:rsidR="002F7314" w:rsidRPr="00FD7B0B">
        <w:rPr>
          <w:rFonts w:ascii="Times New Roman" w:eastAsia="Calibri" w:hAnsi="Times New Roman" w:cs="Times New Roman"/>
          <w:sz w:val="28"/>
          <w:szCs w:val="28"/>
        </w:rPr>
        <w:t>полагае</w:t>
      </w:r>
      <w:r w:rsidRPr="00FD7B0B">
        <w:rPr>
          <w:rFonts w:ascii="Times New Roman" w:eastAsia="Calibri" w:hAnsi="Times New Roman" w:cs="Times New Roman"/>
          <w:sz w:val="28"/>
          <w:szCs w:val="28"/>
        </w:rPr>
        <w:t>м</w:t>
      </w:r>
      <w:r w:rsidR="002F7314" w:rsidRPr="00FD7B0B">
        <w:rPr>
          <w:rFonts w:ascii="Times New Roman" w:eastAsia="Calibri" w:hAnsi="Times New Roman" w:cs="Times New Roman"/>
          <w:sz w:val="28"/>
          <w:szCs w:val="28"/>
        </w:rPr>
        <w:t xml:space="preserve"> необходимым предложить Правительству Архангельской области в 2025 году принять меры по соблюдению условий </w:t>
      </w:r>
      <w:r w:rsidR="00103F43" w:rsidRPr="00FD7B0B">
        <w:rPr>
          <w:rFonts w:ascii="Times New Roman" w:eastAsia="Calibri" w:hAnsi="Times New Roman" w:cs="Times New Roman"/>
          <w:sz w:val="28"/>
          <w:szCs w:val="28"/>
        </w:rPr>
        <w:t xml:space="preserve">указанных </w:t>
      </w:r>
      <w:r w:rsidR="002F7314" w:rsidRPr="00FD7B0B">
        <w:rPr>
          <w:rFonts w:ascii="Times New Roman" w:eastAsia="Calibri" w:hAnsi="Times New Roman" w:cs="Times New Roman"/>
          <w:sz w:val="28"/>
          <w:szCs w:val="28"/>
        </w:rPr>
        <w:t>соглашений</w:t>
      </w:r>
      <w:r w:rsidR="00103F43" w:rsidRPr="00FD7B0B">
        <w:rPr>
          <w:rFonts w:ascii="Times New Roman" w:eastAsia="Calibri" w:hAnsi="Times New Roman" w:cs="Times New Roman"/>
          <w:sz w:val="28"/>
          <w:szCs w:val="28"/>
        </w:rPr>
        <w:t>.</w:t>
      </w:r>
    </w:p>
    <w:p w14:paraId="261EE755" w14:textId="3BB620BE" w:rsidR="00971EC6" w:rsidRPr="00FD7B0B" w:rsidRDefault="007974B4" w:rsidP="00971EC6">
      <w:pPr>
        <w:pStyle w:val="10"/>
        <w:keepNext/>
        <w:keepLines/>
        <w:autoSpaceDE/>
        <w:autoSpaceDN/>
        <w:adjustRightInd/>
        <w:spacing w:before="240" w:after="120"/>
        <w:rPr>
          <w:rFonts w:ascii="Times New Roman" w:hAnsi="Times New Roman"/>
          <w:color w:val="auto"/>
          <w:sz w:val="28"/>
          <w:szCs w:val="28"/>
          <w:lang w:val="ru-RU"/>
        </w:rPr>
      </w:pPr>
      <w:bookmarkStart w:id="157" w:name="_Toc198819156"/>
      <w:r w:rsidRPr="00FD7B0B">
        <w:rPr>
          <w:rFonts w:ascii="Times New Roman" w:hAnsi="Times New Roman"/>
          <w:color w:val="auto"/>
          <w:sz w:val="28"/>
          <w:szCs w:val="28"/>
          <w:lang w:val="ru-RU"/>
        </w:rPr>
        <w:t>6</w:t>
      </w:r>
      <w:r w:rsidR="00971EC6" w:rsidRPr="00FD7B0B">
        <w:rPr>
          <w:rFonts w:ascii="Times New Roman" w:hAnsi="Times New Roman"/>
          <w:color w:val="auto"/>
          <w:sz w:val="28"/>
          <w:szCs w:val="28"/>
          <w:lang w:val="ru-RU"/>
        </w:rPr>
        <w:t xml:space="preserve">. </w:t>
      </w:r>
      <w:r w:rsidR="00A3465C" w:rsidRPr="00FD7B0B">
        <w:rPr>
          <w:rFonts w:ascii="Times New Roman" w:hAnsi="Times New Roman"/>
          <w:color w:val="auto"/>
          <w:sz w:val="28"/>
          <w:szCs w:val="28"/>
          <w:lang w:val="ru-RU"/>
        </w:rPr>
        <w:t>П</w:t>
      </w:r>
      <w:r w:rsidR="00971EC6" w:rsidRPr="00FD7B0B">
        <w:rPr>
          <w:rFonts w:ascii="Times New Roman" w:hAnsi="Times New Roman"/>
          <w:color w:val="auto"/>
          <w:sz w:val="28"/>
          <w:szCs w:val="28"/>
          <w:lang w:val="ru-RU"/>
        </w:rPr>
        <w:t>редложения</w:t>
      </w:r>
      <w:bookmarkEnd w:id="157"/>
    </w:p>
    <w:p w14:paraId="038979A4" w14:textId="34A44C43" w:rsidR="00A3465C" w:rsidRPr="00FD7B0B" w:rsidRDefault="002E1ECB" w:rsidP="008870F1">
      <w:pPr>
        <w:pStyle w:val="ad"/>
        <w:ind w:firstLine="709"/>
        <w:jc w:val="both"/>
        <w:rPr>
          <w:rFonts w:ascii="Times New Roman" w:hAnsi="Times New Roman"/>
          <w:sz w:val="28"/>
          <w:szCs w:val="28"/>
        </w:rPr>
      </w:pPr>
      <w:r w:rsidRPr="00FD7B0B">
        <w:rPr>
          <w:rFonts w:ascii="Times New Roman" w:hAnsi="Times New Roman"/>
          <w:sz w:val="28"/>
          <w:szCs w:val="28"/>
        </w:rPr>
        <w:t>По результатам внешней проверки отчета об исполнении областного бюджета за 202</w:t>
      </w:r>
      <w:r w:rsidR="00A02E91" w:rsidRPr="00FD7B0B">
        <w:rPr>
          <w:rFonts w:ascii="Times New Roman" w:hAnsi="Times New Roman"/>
          <w:sz w:val="28"/>
          <w:szCs w:val="28"/>
        </w:rPr>
        <w:t>4</w:t>
      </w:r>
      <w:r w:rsidRPr="00FD7B0B">
        <w:rPr>
          <w:rFonts w:ascii="Times New Roman" w:hAnsi="Times New Roman"/>
          <w:sz w:val="28"/>
          <w:szCs w:val="28"/>
        </w:rPr>
        <w:t xml:space="preserve"> год контрольно-счетная отмечает, что представленный отчет в целом соответствует нормам бюджетного законодательства Российской Федерации и Архангельской области.</w:t>
      </w:r>
    </w:p>
    <w:p w14:paraId="0A9D7F8C" w14:textId="2D2198D7" w:rsidR="00971EC6" w:rsidRPr="00FD7B0B" w:rsidRDefault="00A3465C" w:rsidP="008870F1">
      <w:pPr>
        <w:pStyle w:val="ad"/>
        <w:ind w:firstLine="709"/>
        <w:jc w:val="both"/>
        <w:rPr>
          <w:rFonts w:ascii="Times New Roman" w:hAnsi="Times New Roman"/>
          <w:sz w:val="28"/>
          <w:szCs w:val="28"/>
        </w:rPr>
      </w:pPr>
      <w:r w:rsidRPr="00FD7B0B">
        <w:rPr>
          <w:rFonts w:ascii="Times New Roman" w:hAnsi="Times New Roman"/>
          <w:sz w:val="28"/>
          <w:szCs w:val="28"/>
        </w:rPr>
        <w:t>П</w:t>
      </w:r>
      <w:r w:rsidR="00CB712E" w:rsidRPr="00FD7B0B">
        <w:rPr>
          <w:rFonts w:ascii="Times New Roman" w:hAnsi="Times New Roman"/>
          <w:sz w:val="28"/>
          <w:szCs w:val="28"/>
        </w:rPr>
        <w:t>о результатам исполнения областного бюджета в 202</w:t>
      </w:r>
      <w:r w:rsidR="00A02E91" w:rsidRPr="00FD7B0B">
        <w:rPr>
          <w:rFonts w:ascii="Times New Roman" w:hAnsi="Times New Roman"/>
          <w:sz w:val="28"/>
          <w:szCs w:val="28"/>
        </w:rPr>
        <w:t>4</w:t>
      </w:r>
      <w:r w:rsidR="00CB712E" w:rsidRPr="00FD7B0B">
        <w:rPr>
          <w:rFonts w:ascii="Times New Roman" w:hAnsi="Times New Roman"/>
          <w:sz w:val="28"/>
          <w:szCs w:val="28"/>
        </w:rPr>
        <w:t xml:space="preserve"> году полагае</w:t>
      </w:r>
      <w:r w:rsidRPr="00FD7B0B">
        <w:rPr>
          <w:rFonts w:ascii="Times New Roman" w:hAnsi="Times New Roman"/>
          <w:sz w:val="28"/>
          <w:szCs w:val="28"/>
        </w:rPr>
        <w:t>м</w:t>
      </w:r>
      <w:r w:rsidR="00971EC6" w:rsidRPr="00FD7B0B">
        <w:rPr>
          <w:rFonts w:ascii="Times New Roman" w:hAnsi="Times New Roman"/>
          <w:sz w:val="28"/>
          <w:szCs w:val="28"/>
        </w:rPr>
        <w:t xml:space="preserve"> необходимым предложить Правительству Архангельской области и исполнительным органам государственной власти Архангельской области принять следующие меры:</w:t>
      </w:r>
    </w:p>
    <w:p w14:paraId="50A43098" w14:textId="0B2576A0" w:rsidR="008328F9" w:rsidRPr="00FD7B0B" w:rsidRDefault="00A02E91" w:rsidP="009B516C">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Учитывая значительный прирост просроченной дебиторской задолженности в областной бюджет</w:t>
      </w:r>
      <w:r w:rsidR="00120F1D" w:rsidRPr="00FD7B0B">
        <w:rPr>
          <w:rFonts w:ascii="Times New Roman" w:hAnsi="Times New Roman"/>
          <w:sz w:val="28"/>
          <w:szCs w:val="28"/>
        </w:rPr>
        <w:t>, в том числе по доходам</w:t>
      </w:r>
      <w:r w:rsidRPr="00FD7B0B">
        <w:rPr>
          <w:rFonts w:ascii="Times New Roman" w:hAnsi="Times New Roman"/>
          <w:sz w:val="28"/>
          <w:szCs w:val="28"/>
        </w:rPr>
        <w:t xml:space="preserve">, </w:t>
      </w:r>
      <w:r w:rsidR="00120F1D" w:rsidRPr="00FD7B0B">
        <w:rPr>
          <w:rFonts w:ascii="Times New Roman" w:hAnsi="Times New Roman"/>
          <w:sz w:val="28"/>
          <w:szCs w:val="28"/>
        </w:rPr>
        <w:t xml:space="preserve">принять дополнительные меры </w:t>
      </w:r>
      <w:r w:rsidR="00EC0A7B" w:rsidRPr="00FD7B0B">
        <w:rPr>
          <w:rFonts w:ascii="Times New Roman" w:hAnsi="Times New Roman"/>
          <w:sz w:val="28"/>
          <w:szCs w:val="28"/>
        </w:rPr>
        <w:t xml:space="preserve">по </w:t>
      </w:r>
      <w:r w:rsidR="00120F1D" w:rsidRPr="00FD7B0B">
        <w:rPr>
          <w:rFonts w:ascii="Times New Roman" w:hAnsi="Times New Roman"/>
          <w:sz w:val="28"/>
          <w:szCs w:val="28"/>
        </w:rPr>
        <w:t>ее урегулированию (</w:t>
      </w:r>
      <w:r w:rsidR="00EC0A7B" w:rsidRPr="00FD7B0B">
        <w:rPr>
          <w:rFonts w:ascii="Times New Roman" w:hAnsi="Times New Roman"/>
          <w:sz w:val="28"/>
          <w:szCs w:val="28"/>
        </w:rPr>
        <w:t>сокращению</w:t>
      </w:r>
      <w:r w:rsidR="00120F1D" w:rsidRPr="00FD7B0B">
        <w:rPr>
          <w:rFonts w:ascii="Times New Roman" w:hAnsi="Times New Roman"/>
          <w:sz w:val="28"/>
          <w:szCs w:val="28"/>
        </w:rPr>
        <w:t>, ликвидации, взысканию)</w:t>
      </w:r>
      <w:r w:rsidR="00EC0A7B" w:rsidRPr="00FD7B0B">
        <w:rPr>
          <w:rFonts w:ascii="Times New Roman" w:hAnsi="Times New Roman"/>
          <w:sz w:val="28"/>
          <w:szCs w:val="28"/>
        </w:rPr>
        <w:t>, что особенно актуально в условиях значительного объема долговых обязательств Архангельской области.</w:t>
      </w:r>
    </w:p>
    <w:p w14:paraId="27571217" w14:textId="16359BCC" w:rsidR="004973B4" w:rsidRPr="00FD7B0B" w:rsidRDefault="000B5124" w:rsidP="004973B4">
      <w:pPr>
        <w:pStyle w:val="ad"/>
        <w:ind w:firstLine="709"/>
        <w:jc w:val="both"/>
        <w:rPr>
          <w:rFonts w:ascii="Times New Roman" w:hAnsi="Times New Roman"/>
          <w:sz w:val="28"/>
          <w:szCs w:val="28"/>
        </w:rPr>
      </w:pPr>
      <w:r w:rsidRPr="00FD7B0B">
        <w:rPr>
          <w:rFonts w:ascii="Times New Roman" w:hAnsi="Times New Roman"/>
          <w:sz w:val="28"/>
          <w:szCs w:val="28"/>
        </w:rPr>
        <w:t>Кроме того,</w:t>
      </w:r>
      <w:r w:rsidR="004973B4" w:rsidRPr="00FD7B0B">
        <w:rPr>
          <w:rFonts w:ascii="Times New Roman" w:hAnsi="Times New Roman"/>
          <w:sz w:val="28"/>
          <w:szCs w:val="28"/>
        </w:rPr>
        <w:t xml:space="preserve"> необходимо обратить внимание на значительный рост просроченной дебиторской задолженности государственных бюджетных и автономных учреждений: </w:t>
      </w:r>
      <w:r w:rsidR="00491C5C" w:rsidRPr="00FD7B0B">
        <w:rPr>
          <w:rFonts w:ascii="Times New Roman" w:hAnsi="Times New Roman"/>
          <w:sz w:val="28"/>
          <w:szCs w:val="28"/>
        </w:rPr>
        <w:t xml:space="preserve">на </w:t>
      </w:r>
      <w:r w:rsidR="00552CA7" w:rsidRPr="00FD7B0B">
        <w:rPr>
          <w:rFonts w:ascii="Times New Roman" w:hAnsi="Times New Roman"/>
          <w:sz w:val="28"/>
          <w:szCs w:val="28"/>
        </w:rPr>
        <w:t>94,2</w:t>
      </w:r>
      <w:r w:rsidR="00491C5C" w:rsidRPr="00FD7B0B">
        <w:rPr>
          <w:rFonts w:ascii="Times New Roman" w:hAnsi="Times New Roman"/>
          <w:sz w:val="28"/>
          <w:szCs w:val="28"/>
        </w:rPr>
        <w:t xml:space="preserve"> млн.руб. или </w:t>
      </w:r>
      <w:r w:rsidR="004973B4" w:rsidRPr="00FD7B0B">
        <w:rPr>
          <w:rFonts w:ascii="Times New Roman" w:hAnsi="Times New Roman"/>
          <w:sz w:val="28"/>
          <w:szCs w:val="28"/>
        </w:rPr>
        <w:t xml:space="preserve">почти на </w:t>
      </w:r>
      <w:r w:rsidR="00552CA7" w:rsidRPr="00FD7B0B">
        <w:rPr>
          <w:rFonts w:ascii="Times New Roman" w:hAnsi="Times New Roman"/>
          <w:sz w:val="28"/>
          <w:szCs w:val="28"/>
        </w:rPr>
        <w:t>90</w:t>
      </w:r>
      <w:r w:rsidR="004973B4" w:rsidRPr="00FD7B0B">
        <w:rPr>
          <w:rFonts w:ascii="Times New Roman" w:hAnsi="Times New Roman"/>
          <w:sz w:val="28"/>
          <w:szCs w:val="28"/>
        </w:rPr>
        <w:t xml:space="preserve"> % за отчетный год.</w:t>
      </w:r>
      <w:r w:rsidR="00491C5C" w:rsidRPr="00FD7B0B">
        <w:rPr>
          <w:rFonts w:ascii="Times New Roman" w:hAnsi="Times New Roman"/>
          <w:sz w:val="28"/>
          <w:szCs w:val="28"/>
        </w:rPr>
        <w:t xml:space="preserve"> В </w:t>
      </w:r>
      <w:r w:rsidR="002657C7" w:rsidRPr="00FD7B0B">
        <w:rPr>
          <w:rFonts w:ascii="Times New Roman" w:hAnsi="Times New Roman"/>
          <w:sz w:val="28"/>
          <w:szCs w:val="28"/>
        </w:rPr>
        <w:t>связи с чем</w:t>
      </w:r>
      <w:r w:rsidR="00491C5C" w:rsidRPr="00FD7B0B">
        <w:rPr>
          <w:rFonts w:ascii="Times New Roman" w:hAnsi="Times New Roman"/>
          <w:sz w:val="28"/>
          <w:szCs w:val="28"/>
        </w:rPr>
        <w:t xml:space="preserve"> необходимо принять меры </w:t>
      </w:r>
      <w:r w:rsidR="00777BD7" w:rsidRPr="00FD7B0B">
        <w:rPr>
          <w:rFonts w:ascii="Times New Roman" w:hAnsi="Times New Roman"/>
          <w:sz w:val="28"/>
          <w:szCs w:val="28"/>
        </w:rPr>
        <w:t>к урегулированию и взысканию указанной задолженности.</w:t>
      </w:r>
    </w:p>
    <w:p w14:paraId="6241F289" w14:textId="66D8D9C8" w:rsidR="00966A1C" w:rsidRPr="00FD7B0B" w:rsidRDefault="00966A1C" w:rsidP="005F225B">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Принять меры по сокращению просроченной кредиторской задолженности государственных учреждений Архангельской области</w:t>
      </w:r>
      <w:r w:rsidR="000B5124" w:rsidRPr="00FD7B0B">
        <w:rPr>
          <w:rFonts w:ascii="Times New Roman" w:hAnsi="Times New Roman"/>
          <w:sz w:val="28"/>
          <w:szCs w:val="28"/>
        </w:rPr>
        <w:t xml:space="preserve"> и</w:t>
      </w:r>
      <w:r w:rsidRPr="00FD7B0B">
        <w:rPr>
          <w:rFonts w:ascii="Times New Roman" w:hAnsi="Times New Roman"/>
          <w:sz w:val="28"/>
          <w:szCs w:val="28"/>
        </w:rPr>
        <w:t xml:space="preserve"> по недопущению принятия расходных обязательств, не обеспеченных соответствующими источниками финансирования. Данный факт особенно актуален в части з</w:t>
      </w:r>
      <w:r w:rsidR="00EA1878" w:rsidRPr="00FD7B0B">
        <w:rPr>
          <w:rFonts w:ascii="Times New Roman" w:hAnsi="Times New Roman"/>
          <w:sz w:val="28"/>
          <w:szCs w:val="28"/>
        </w:rPr>
        <w:t>адолженности за счет средств обязательного медицинского страхования, которая за 20</w:t>
      </w:r>
      <w:r w:rsidR="00A909E3" w:rsidRPr="00FD7B0B">
        <w:rPr>
          <w:rFonts w:ascii="Times New Roman" w:hAnsi="Times New Roman"/>
          <w:sz w:val="28"/>
          <w:szCs w:val="28"/>
        </w:rPr>
        <w:t>2</w:t>
      </w:r>
      <w:r w:rsidR="00920DD2" w:rsidRPr="00FD7B0B">
        <w:rPr>
          <w:rFonts w:ascii="Times New Roman" w:hAnsi="Times New Roman"/>
          <w:sz w:val="28"/>
          <w:szCs w:val="28"/>
        </w:rPr>
        <w:t>4</w:t>
      </w:r>
      <w:r w:rsidR="00EA1878" w:rsidRPr="00FD7B0B">
        <w:rPr>
          <w:rFonts w:ascii="Times New Roman" w:hAnsi="Times New Roman"/>
          <w:sz w:val="28"/>
          <w:szCs w:val="28"/>
        </w:rPr>
        <w:t xml:space="preserve"> год увеличилась на </w:t>
      </w:r>
      <w:r w:rsidR="00920DD2" w:rsidRPr="00FD7B0B">
        <w:rPr>
          <w:rFonts w:ascii="Times New Roman" w:hAnsi="Times New Roman"/>
          <w:sz w:val="28"/>
          <w:szCs w:val="28"/>
        </w:rPr>
        <w:t>28,7</w:t>
      </w:r>
      <w:r w:rsidR="00EA1878" w:rsidRPr="00FD7B0B">
        <w:rPr>
          <w:rFonts w:ascii="Times New Roman" w:hAnsi="Times New Roman"/>
          <w:sz w:val="28"/>
          <w:szCs w:val="28"/>
        </w:rPr>
        <w:t xml:space="preserve"> млн.руб. </w:t>
      </w:r>
      <w:r w:rsidR="00920DD2" w:rsidRPr="00FD7B0B">
        <w:rPr>
          <w:rFonts w:ascii="Times New Roman" w:hAnsi="Times New Roman"/>
          <w:sz w:val="28"/>
          <w:szCs w:val="28"/>
        </w:rPr>
        <w:t>или на 21,8 % и на 01.01.2025 составила 160,7 млн.руб.</w:t>
      </w:r>
    </w:p>
    <w:p w14:paraId="569995FA" w14:textId="43926D60" w:rsidR="002718E6" w:rsidRPr="00FD7B0B" w:rsidRDefault="002718E6" w:rsidP="005F225B">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 xml:space="preserve">Разработать единый подход к формированию отчетности о </w:t>
      </w:r>
      <w:r w:rsidR="001622E7" w:rsidRPr="00FD7B0B">
        <w:rPr>
          <w:rFonts w:ascii="Times New Roman" w:hAnsi="Times New Roman"/>
          <w:sz w:val="28"/>
          <w:szCs w:val="28"/>
        </w:rPr>
        <w:t>ходе реализации государственных программ</w:t>
      </w:r>
      <w:r w:rsidRPr="00FD7B0B">
        <w:rPr>
          <w:rFonts w:ascii="Times New Roman" w:hAnsi="Times New Roman"/>
          <w:sz w:val="28"/>
          <w:szCs w:val="28"/>
        </w:rPr>
        <w:t xml:space="preserve"> государственных программ Архангельской области и их структурных элементов</w:t>
      </w:r>
      <w:r w:rsidR="001622E7" w:rsidRPr="00FD7B0B">
        <w:rPr>
          <w:rFonts w:ascii="Times New Roman" w:hAnsi="Times New Roman"/>
          <w:sz w:val="28"/>
          <w:szCs w:val="28"/>
        </w:rPr>
        <w:t>, включающий в себя единообразие табличных форм отчетности, структуры пояснительной записки и другие аспекты.</w:t>
      </w:r>
    </w:p>
    <w:p w14:paraId="78EDA4D3" w14:textId="4FD9388C" w:rsidR="00BD788B" w:rsidRPr="00FD7B0B" w:rsidRDefault="00BD788B" w:rsidP="005F225B">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В отчеты о реализации государственных программ включать полную и достоверную информацию о выполнении мероприятий и достижению результатов государственных программ.</w:t>
      </w:r>
    </w:p>
    <w:p w14:paraId="41223BB6" w14:textId="3D54B66F" w:rsidR="00A765D8" w:rsidRPr="00FD7B0B" w:rsidRDefault="00BD788B" w:rsidP="005F225B">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lastRenderedPageBreak/>
        <w:t>Принять меры по достижению индикативных значений средней заработной платы, установленных указами Президента Российской Федерации, отдельных категорий работников медицинских, образовательных организаций, учреждений культуры, а также организаций социального обслуживания населения до требуемых значений.</w:t>
      </w:r>
    </w:p>
    <w:p w14:paraId="7EFCE983" w14:textId="400AC9D4" w:rsidR="00CF2507" w:rsidRPr="00FD7B0B" w:rsidRDefault="00BD788B" w:rsidP="005F225B">
      <w:pPr>
        <w:pStyle w:val="ad"/>
        <w:numPr>
          <w:ilvl w:val="0"/>
          <w:numId w:val="2"/>
        </w:numPr>
        <w:ind w:left="0" w:firstLine="709"/>
        <w:jc w:val="both"/>
        <w:rPr>
          <w:rFonts w:ascii="Times New Roman" w:eastAsia="Times New Roman" w:hAnsi="Times New Roman"/>
          <w:sz w:val="28"/>
          <w:szCs w:val="28"/>
          <w:lang w:eastAsia="ru-RU"/>
        </w:rPr>
      </w:pPr>
      <w:r w:rsidRPr="00FD7B0B">
        <w:rPr>
          <w:rFonts w:ascii="Times New Roman" w:hAnsi="Times New Roman"/>
          <w:sz w:val="28"/>
          <w:szCs w:val="28"/>
        </w:rPr>
        <w:t>Министерству образования Архангельской области в паспортах региональных проектов госпрограммы «Развитие образования и науки Архангельской области» определить базовые значения показателей, равных по значению показателям предшествующего года разработки проекта регионального проекта, в соответствии с Приложением №3 к Положению №793 пп.</w:t>
      </w:r>
    </w:p>
    <w:p w14:paraId="201F9CDA" w14:textId="591253DB" w:rsidR="00E13046" w:rsidRPr="00FD7B0B" w:rsidRDefault="00E13046" w:rsidP="00E13046">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Министерству агропромышленного комплекса и торговли Архангельской области:</w:t>
      </w:r>
    </w:p>
    <w:p w14:paraId="77D11C34" w14:textId="5F856F45" w:rsidR="00E13046" w:rsidRPr="00FD7B0B" w:rsidRDefault="00E13046" w:rsidP="00E13046">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обеспечить достижение показателей выполнения показателей по проектной части государственной программы Архангельской области развития сельского хозяйства и регулирования рынков сельскохозяйственной продукции, сырья и продовольствия Архангельской области (в том числе: доля К(Ф)Х и индивидуальных предпринимателей в производстве продукции сельского хозяйства, прирост объема производства картофеля в сельскохозяйственных организациях, К(Ф)Х и индивидуальных предпринимателей и др.);</w:t>
      </w:r>
    </w:p>
    <w:p w14:paraId="2C33DBE5" w14:textId="0076636A" w:rsidR="00E13046" w:rsidRPr="00FD7B0B" w:rsidRDefault="00E13046" w:rsidP="00E13046">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 принять меры по утверждению плановых значений отдельных показателей с учетом их фактических значений за предыдущие годы с целью исключения недостатков в планировании (среднемесячная заработная плата работников сельского хозяйства (без субъектов малого предпринимательства).</w:t>
      </w:r>
    </w:p>
    <w:p w14:paraId="1749161E" w14:textId="23567AB7" w:rsidR="009F3363" w:rsidRPr="00FD7B0B" w:rsidRDefault="009F3363" w:rsidP="009F3363">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Министерству ТЭК и ЖКХ АО:</w:t>
      </w:r>
    </w:p>
    <w:p w14:paraId="69E2455A" w14:textId="7003CA53" w:rsidR="009F3363" w:rsidRPr="00FD7B0B" w:rsidRDefault="009F3363" w:rsidP="009F3363">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усилить контроль за выполнением мероприятий в части достижения плановых значений (результата) инвестиционных программ предприятий (строительство сетей теплоснабжения, водоснабжения и водоотведения);</w:t>
      </w:r>
    </w:p>
    <w:p w14:paraId="25A6AB82" w14:textId="583B2AC4" w:rsidR="00635854" w:rsidRPr="00FD7B0B" w:rsidRDefault="00635854" w:rsidP="009F3363">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рост потребности в средствах субсидии на возмещение недополученных доходов, возникающих в результате государственного регулирования тарифов (цен) организаций коммунального комплекса, (без учета кредиторской задолженности на начало года) в 2024 году на 2 633,3 млн.руб. (на 26,8 % к 2023 году) при общем снижении фактического объема потребления коммунальных ресурсов населением и потребителями, приравненными к населению, на 5,7 % к 2023 году обусловлен превышением темпа роста экономически обоснованных тарифов (цен) над темпом роста тарифов (цен) для льготной категории потребителей, и, как следствие, увеличением межтарифной разницы.</w:t>
      </w:r>
    </w:p>
    <w:p w14:paraId="288B8056" w14:textId="50F4655C" w:rsidR="009F3363" w:rsidRPr="00FD7B0B" w:rsidRDefault="00635854" w:rsidP="00635854">
      <w:pPr>
        <w:pStyle w:val="ad"/>
        <w:ind w:firstLine="709"/>
        <w:jc w:val="both"/>
        <w:rPr>
          <w:rFonts w:ascii="Times New Roman" w:hAnsi="Times New Roman"/>
          <w:sz w:val="28"/>
          <w:szCs w:val="28"/>
        </w:rPr>
      </w:pPr>
      <w:r w:rsidRPr="00FD7B0B">
        <w:rPr>
          <w:rFonts w:ascii="Times New Roman" w:hAnsi="Times New Roman"/>
          <w:sz w:val="28"/>
          <w:szCs w:val="28"/>
        </w:rPr>
        <w:t>В</w:t>
      </w:r>
      <w:r w:rsidR="009F3363" w:rsidRPr="00FD7B0B">
        <w:rPr>
          <w:rFonts w:ascii="Times New Roman" w:hAnsi="Times New Roman"/>
          <w:sz w:val="28"/>
          <w:szCs w:val="28"/>
        </w:rPr>
        <w:t xml:space="preserve"> связи с образовавшейся на 01.01.2025 незапланированной кредиторской задолженностью, связанной с необеспеченностью финансирования потребности в средствах субсидий на возмещение недополученных доходов, возникающих в результате государственного регулирования тарифов (цен) на коммунальные услуги, в июле</w:t>
      </w:r>
      <w:r w:rsidR="009D5C2D" w:rsidRPr="00FD7B0B">
        <w:rPr>
          <w:rFonts w:ascii="Times New Roman" w:hAnsi="Times New Roman"/>
          <w:sz w:val="28"/>
          <w:szCs w:val="28"/>
        </w:rPr>
        <w:t xml:space="preserve"> – </w:t>
      </w:r>
      <w:r w:rsidR="009F3363" w:rsidRPr="00FD7B0B">
        <w:rPr>
          <w:rFonts w:ascii="Times New Roman" w:hAnsi="Times New Roman"/>
          <w:sz w:val="28"/>
          <w:szCs w:val="28"/>
        </w:rPr>
        <w:t>ноябре 2024 года, предусмотреть меры по своевременному финансированию данной статьи расходов и не допустить увеличения кредиторской задолженности на 01.01.2026, в том числе просроченной;</w:t>
      </w:r>
    </w:p>
    <w:p w14:paraId="0AC739A3" w14:textId="14A72D96" w:rsidR="009F3363" w:rsidRPr="00FD7B0B" w:rsidRDefault="009F3363" w:rsidP="009F3363">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lastRenderedPageBreak/>
        <w:t>обеспечить при планировании параметров финансового обеспечения на реализацию государственных программ Архангельской области максимально достоверно объем источников за счет бюджетов муниципальных образований Архангельской области и за счет внебюджетных источников.</w:t>
      </w:r>
    </w:p>
    <w:p w14:paraId="1B949544" w14:textId="3FA3174B" w:rsidR="00E13046" w:rsidRPr="00FD7B0B" w:rsidRDefault="00E13046" w:rsidP="00E13046">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Принять дополнительные меры по выполнению Адресной программы Архангельской области «Переселение граждан из аварийного жилищного фонда на 2019 – 2025 годы» в 2025 году и обеспечить достижение значений показателей.</w:t>
      </w:r>
    </w:p>
    <w:p w14:paraId="15F92E71" w14:textId="77777777" w:rsidR="00066206" w:rsidRPr="00FD7B0B" w:rsidRDefault="00066206" w:rsidP="00066206">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Реализация отдельных мероприятий ОАИП осуществляется в сроки, не соответствующие прогнозным срокам начала и окончания их реализации, предусмотренных ОАИП.</w:t>
      </w:r>
    </w:p>
    <w:p w14:paraId="13775C33" w14:textId="43D5FF1F" w:rsidR="00066206" w:rsidRPr="00FD7B0B" w:rsidRDefault="00066206" w:rsidP="00066206">
      <w:pPr>
        <w:pStyle w:val="ad"/>
        <w:ind w:firstLine="709"/>
        <w:jc w:val="both"/>
        <w:rPr>
          <w:rFonts w:ascii="Times New Roman" w:hAnsi="Times New Roman"/>
          <w:sz w:val="28"/>
          <w:szCs w:val="28"/>
        </w:rPr>
      </w:pPr>
      <w:r w:rsidRPr="00FD7B0B">
        <w:rPr>
          <w:rFonts w:ascii="Times New Roman" w:hAnsi="Times New Roman"/>
          <w:sz w:val="28"/>
          <w:szCs w:val="28"/>
        </w:rPr>
        <w:t>В анализируемом периоде в государственные контракты, заключенные с целью строительства объектов, предусмотренных ОАИП на 2024 год, вносились многочисленные изменения в связи с изменениями проектно-сметной документации, что негативно влияет на результат исполнения ОАИП. Проектно-сметная документация, применяемая на объектах строительства, имеет многочисленные недоработки: несоответствия разделов проектной документации; несоответствие сметной документации утвержденным проектам; некачественное выполнение изыскательских работ, некорректные технические условия на присоединение к наружным сетям ресурсоснабжающих организаций. С целью повышения результативности исполнения плановых показателей ОАИП, необходимо усилить контроль качества изыскательских, проектных работ, а также контроль соответствия сметной документации утвержденным проектам.</w:t>
      </w:r>
    </w:p>
    <w:p w14:paraId="7BCBAED2" w14:textId="77777777" w:rsidR="00BD5FC8" w:rsidRPr="00FD7B0B" w:rsidRDefault="00BD5FC8" w:rsidP="00BD5FC8">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Министерству природных ресурсов и лесопромышленного комплекса Архангельской области</w:t>
      </w:r>
    </w:p>
    <w:p w14:paraId="4FFEBB87" w14:textId="10502A43" w:rsidR="00BD5FC8" w:rsidRPr="00FD7B0B" w:rsidRDefault="00BD5FC8" w:rsidP="00BD5FC8">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обеспечить при планировании параметров финансового обеспечения на реализацию государственных программ Архангельской области достоверный объем источников за счет бюджетов муниципальных образований Архангельской области и за счет внебюджетных источников;</w:t>
      </w:r>
    </w:p>
    <w:p w14:paraId="7A6D1304" w14:textId="360CA635" w:rsidR="00BD5FC8" w:rsidRPr="00FD7B0B" w:rsidRDefault="00BD5FC8" w:rsidP="00BD5FC8">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 xml:space="preserve">принять исчерпывающие меры по завершению Регионального проекта «Чистая страна» в части выполнения в полном объеме мероприятия по ликвидации и рекультивации </w:t>
      </w:r>
      <w:r w:rsidR="00D97B4C" w:rsidRPr="00FD7B0B">
        <w:rPr>
          <w:rFonts w:ascii="Times New Roman" w:hAnsi="Times New Roman"/>
          <w:sz w:val="28"/>
          <w:szCs w:val="28"/>
        </w:rPr>
        <w:t>пяти</w:t>
      </w:r>
      <w:r w:rsidRPr="00FD7B0B">
        <w:rPr>
          <w:rFonts w:ascii="Times New Roman" w:hAnsi="Times New Roman"/>
          <w:sz w:val="28"/>
          <w:szCs w:val="28"/>
        </w:rPr>
        <w:t xml:space="preserve"> свалок в границах городских округов Архангельской области;</w:t>
      </w:r>
    </w:p>
    <w:p w14:paraId="457F6CA6" w14:textId="72C8CFAF" w:rsidR="00BD5FC8" w:rsidRPr="00FD7B0B" w:rsidRDefault="00BD5FC8" w:rsidP="00D97B4C">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усилить контроль за выполнением мероприятий Регионального проекта «Комплексная система обращения с твердыми коммунальными отходами» в части достижения плановых значений (результата) концессионных соглашений по созданию и эксплуатации объектов по обработке и утилизации ТКО;</w:t>
      </w:r>
    </w:p>
    <w:p w14:paraId="4478013C" w14:textId="5BC4CCDC" w:rsidR="00BD5FC8" w:rsidRPr="00FD7B0B" w:rsidRDefault="00BD5FC8" w:rsidP="00D97B4C">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 xml:space="preserve">обеспечить учет кредиторской задолженности фактически недополученных доходов, возникающих в результате государственного регулирования тарифов в области обращения с </w:t>
      </w:r>
      <w:r w:rsidR="00D97B4C" w:rsidRPr="00FD7B0B">
        <w:rPr>
          <w:rFonts w:ascii="Times New Roman" w:hAnsi="Times New Roman"/>
          <w:sz w:val="28"/>
          <w:szCs w:val="28"/>
        </w:rPr>
        <w:t>твердыми коммунальными отходами</w:t>
      </w:r>
      <w:r w:rsidR="009733CF" w:rsidRPr="00FD7B0B">
        <w:rPr>
          <w:rFonts w:ascii="Times New Roman" w:hAnsi="Times New Roman"/>
          <w:sz w:val="28"/>
          <w:szCs w:val="28"/>
        </w:rPr>
        <w:t xml:space="preserve"> </w:t>
      </w:r>
      <w:r w:rsidRPr="00FD7B0B">
        <w:rPr>
          <w:rFonts w:ascii="Times New Roman" w:hAnsi="Times New Roman"/>
          <w:sz w:val="28"/>
          <w:szCs w:val="28"/>
        </w:rPr>
        <w:t xml:space="preserve">в связи с необеспеченностью финансирования потребности в средствах субсидий за период август (частично) – ноябрь 2024 года по состоянию на </w:t>
      </w:r>
      <w:r w:rsidRPr="00FD7B0B">
        <w:rPr>
          <w:rFonts w:ascii="Times New Roman" w:hAnsi="Times New Roman"/>
          <w:sz w:val="28"/>
          <w:szCs w:val="28"/>
        </w:rPr>
        <w:lastRenderedPageBreak/>
        <w:t>01.01.2025, предусмотреть меры по своевременному финансированию данн</w:t>
      </w:r>
      <w:r w:rsidR="00D97B4C" w:rsidRPr="00FD7B0B">
        <w:rPr>
          <w:rFonts w:ascii="Times New Roman" w:hAnsi="Times New Roman"/>
          <w:sz w:val="28"/>
          <w:szCs w:val="28"/>
        </w:rPr>
        <w:t>ых</w:t>
      </w:r>
      <w:r w:rsidRPr="00FD7B0B">
        <w:rPr>
          <w:rFonts w:ascii="Times New Roman" w:hAnsi="Times New Roman"/>
          <w:sz w:val="28"/>
          <w:szCs w:val="28"/>
        </w:rPr>
        <w:t xml:space="preserve"> расходов и не допустить увеличения кредиторской задолженности на 01.01.2026, в том числе просроченной.</w:t>
      </w:r>
    </w:p>
    <w:p w14:paraId="6964B4C3" w14:textId="4DEBF32F" w:rsidR="00287835" w:rsidRPr="00FD7B0B" w:rsidRDefault="00287835" w:rsidP="009613E2">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При реализации государственной программы Архангельской области «Обеспечение качественным, доступным жильем и объектами инженерной инфраструктуры населения Архангельской области» не допускать:</w:t>
      </w:r>
    </w:p>
    <w:p w14:paraId="57778630" w14:textId="3CBAA701" w:rsidR="00287835" w:rsidRPr="00FD7B0B" w:rsidRDefault="00AD7AC9" w:rsidP="00287835">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 xml:space="preserve">несоответствия данных отчета Архангельской области перед ГК «Фонд содействия реформированию ЖКХ» о выполнении части 11 статьи 16 федерального закона от 21.07.2007 № 185-ФЗ </w:t>
      </w:r>
      <w:r w:rsidR="007C17A1" w:rsidRPr="00FD7B0B">
        <w:rPr>
          <w:rFonts w:ascii="Times New Roman" w:hAnsi="Times New Roman"/>
          <w:sz w:val="28"/>
          <w:szCs w:val="28"/>
        </w:rPr>
        <w:t>«</w:t>
      </w:r>
      <w:r w:rsidRPr="00FD7B0B">
        <w:rPr>
          <w:rFonts w:ascii="Times New Roman" w:hAnsi="Times New Roman"/>
          <w:sz w:val="28"/>
          <w:szCs w:val="28"/>
        </w:rPr>
        <w:t>О Фонде содействия реформированию жилищно-коммунального хозяйства</w:t>
      </w:r>
      <w:r w:rsidR="007C17A1" w:rsidRPr="00FD7B0B">
        <w:rPr>
          <w:rFonts w:ascii="Times New Roman" w:hAnsi="Times New Roman"/>
          <w:sz w:val="28"/>
          <w:szCs w:val="28"/>
        </w:rPr>
        <w:t xml:space="preserve">»: </w:t>
      </w:r>
      <w:r w:rsidR="00287835" w:rsidRPr="00FD7B0B">
        <w:rPr>
          <w:rFonts w:ascii="Times New Roman" w:hAnsi="Times New Roman"/>
          <w:sz w:val="28"/>
          <w:szCs w:val="28"/>
        </w:rPr>
        <w:t xml:space="preserve">по состоянию на 01.01.2026 и данных отчета о ходе реализации мероприятий </w:t>
      </w:r>
      <w:r w:rsidR="005C48E8" w:rsidRPr="00FD7B0B">
        <w:rPr>
          <w:rFonts w:ascii="Times New Roman" w:hAnsi="Times New Roman"/>
          <w:sz w:val="28"/>
          <w:szCs w:val="28"/>
        </w:rPr>
        <w:t>указанной государственной программы</w:t>
      </w:r>
      <w:r w:rsidR="00287835" w:rsidRPr="00FD7B0B">
        <w:rPr>
          <w:rFonts w:ascii="Times New Roman" w:hAnsi="Times New Roman"/>
          <w:sz w:val="28"/>
          <w:szCs w:val="28"/>
        </w:rPr>
        <w:t xml:space="preserve"> (нарастающим итогом за весь период действия) по расселению аварийной площади и количеству переселенных человек;</w:t>
      </w:r>
    </w:p>
    <w:p w14:paraId="1F63C81D" w14:textId="6EAAD6E0" w:rsidR="00287835" w:rsidRPr="00FD7B0B" w:rsidRDefault="00287835" w:rsidP="005C48E8">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случаи перечисления средств субсидии сверх потребности граждан в обеспечении благоустроенными жилыми помещениями с учетом полученного возмещ</w:t>
      </w:r>
      <w:r w:rsidR="005C48E8" w:rsidRPr="00FD7B0B">
        <w:rPr>
          <w:rFonts w:ascii="Times New Roman" w:hAnsi="Times New Roman"/>
          <w:sz w:val="28"/>
          <w:szCs w:val="28"/>
        </w:rPr>
        <w:t>ения за изъятое жилое помещение;</w:t>
      </w:r>
    </w:p>
    <w:p w14:paraId="5200D0DC" w14:textId="0216A2EA" w:rsidR="00287835" w:rsidRPr="00FD7B0B" w:rsidRDefault="00287835" w:rsidP="005C48E8">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случаи предоставления квартир, общая площадь которых превышает площадь соответствующих расселяемых жилых помещений и одновременно превышает норму площади жилого помещения.</w:t>
      </w:r>
    </w:p>
    <w:p w14:paraId="04893C2B" w14:textId="77777777" w:rsidR="00E13046" w:rsidRPr="00FD7B0B" w:rsidRDefault="00E13046" w:rsidP="00E13046">
      <w:pPr>
        <w:pStyle w:val="ad"/>
        <w:numPr>
          <w:ilvl w:val="0"/>
          <w:numId w:val="2"/>
        </w:numPr>
        <w:ind w:left="0" w:firstLine="709"/>
        <w:jc w:val="both"/>
        <w:rPr>
          <w:rFonts w:ascii="Times New Roman" w:hAnsi="Times New Roman"/>
          <w:sz w:val="28"/>
          <w:szCs w:val="28"/>
        </w:rPr>
      </w:pPr>
      <w:r w:rsidRPr="00FD7B0B">
        <w:rPr>
          <w:rFonts w:ascii="Times New Roman" w:hAnsi="Times New Roman"/>
          <w:sz w:val="28"/>
          <w:szCs w:val="28"/>
        </w:rPr>
        <w:t>Министерству транспорта Архангельской области</w:t>
      </w:r>
    </w:p>
    <w:p w14:paraId="6EBFD00B" w14:textId="6E3903D4" w:rsidR="00E13046" w:rsidRPr="00FD7B0B" w:rsidRDefault="00E13046" w:rsidP="00BD5FC8">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не допускать расхождение параметров финансового обеспечения государственной программы и паспортов ее структурных элементов;</w:t>
      </w:r>
    </w:p>
    <w:p w14:paraId="4F9D26EA" w14:textId="0A1A9C4B" w:rsidR="00E13046" w:rsidRPr="00FD7B0B" w:rsidRDefault="00E13046" w:rsidP="00BD5FC8">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 xml:space="preserve">не допускать нарушений Положения о порядке и условиях проведения конкурса на предоставление субсидий бюджетам муниципальных районов, муниципальных округов, городских округов и городских поселений Архангельской области на софинансирование мероприятий по модернизации нерегулируемых пешеходных переходов, светофорных объектов и установке светофорных объектов, пешеходных ограждений на автомобильных дорогах общего пользования местного значения при заключении </w:t>
      </w:r>
      <w:r w:rsidR="00BD5FC8" w:rsidRPr="00FD7B0B">
        <w:rPr>
          <w:rFonts w:ascii="Times New Roman" w:hAnsi="Times New Roman"/>
          <w:sz w:val="28"/>
          <w:szCs w:val="28"/>
        </w:rPr>
        <w:t>с</w:t>
      </w:r>
      <w:r w:rsidRPr="00FD7B0B">
        <w:rPr>
          <w:rFonts w:ascii="Times New Roman" w:hAnsi="Times New Roman"/>
          <w:sz w:val="28"/>
          <w:szCs w:val="28"/>
        </w:rPr>
        <w:t>оглашений с муниципальными образованиями;</w:t>
      </w:r>
    </w:p>
    <w:p w14:paraId="5AEAAEA8" w14:textId="0C7B18E8" w:rsidR="00E13046" w:rsidRPr="00FD7B0B" w:rsidRDefault="00E13046" w:rsidP="00BD5FC8">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обеспечить при реализации государственных программ Архангельской области достоверн</w:t>
      </w:r>
      <w:r w:rsidR="00BD5FC8" w:rsidRPr="00FD7B0B">
        <w:rPr>
          <w:rFonts w:ascii="Times New Roman" w:hAnsi="Times New Roman"/>
          <w:sz w:val="28"/>
          <w:szCs w:val="28"/>
        </w:rPr>
        <w:t>ый</w:t>
      </w:r>
      <w:r w:rsidRPr="00FD7B0B">
        <w:rPr>
          <w:rFonts w:ascii="Times New Roman" w:hAnsi="Times New Roman"/>
          <w:sz w:val="28"/>
          <w:szCs w:val="28"/>
        </w:rPr>
        <w:t xml:space="preserve"> фактический объем </w:t>
      </w:r>
      <w:r w:rsidR="00BD5FC8" w:rsidRPr="00FD7B0B">
        <w:rPr>
          <w:rFonts w:ascii="Times New Roman" w:hAnsi="Times New Roman"/>
          <w:sz w:val="28"/>
          <w:szCs w:val="28"/>
        </w:rPr>
        <w:t xml:space="preserve">финансового обеспечения </w:t>
      </w:r>
      <w:r w:rsidRPr="00FD7B0B">
        <w:rPr>
          <w:rFonts w:ascii="Times New Roman" w:hAnsi="Times New Roman"/>
          <w:sz w:val="28"/>
          <w:szCs w:val="28"/>
        </w:rPr>
        <w:t>за счет бюджетов муниципальных образований Архангельской области и за счет внебюджетных источников параметров;</w:t>
      </w:r>
    </w:p>
    <w:p w14:paraId="783B4017" w14:textId="5B277574" w:rsidR="00E13046" w:rsidRPr="00FD7B0B" w:rsidRDefault="00E13046" w:rsidP="00BD5FC8">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 xml:space="preserve">обеспечить учет кредиторской задолженности фактически недополученных доходов при осуществлении перевозок пассажиров и багажа перед транспортными предприятиями в связи с необеспеченностью финансирования потребности в средствах субсидий за период август (частично) – ноябрь 2024 года по состоянию на 01.01.2025, предусмотреть меры по своевременному финансированию </w:t>
      </w:r>
      <w:r w:rsidR="00BD5FC8" w:rsidRPr="00FD7B0B">
        <w:rPr>
          <w:rFonts w:ascii="Times New Roman" w:hAnsi="Times New Roman"/>
          <w:sz w:val="28"/>
          <w:szCs w:val="28"/>
        </w:rPr>
        <w:t xml:space="preserve">указанных </w:t>
      </w:r>
      <w:r w:rsidRPr="00FD7B0B">
        <w:rPr>
          <w:rFonts w:ascii="Times New Roman" w:hAnsi="Times New Roman"/>
          <w:sz w:val="28"/>
          <w:szCs w:val="28"/>
        </w:rPr>
        <w:t>расходов и не допустить увеличения кредиторской задолженности на 01.01.2026, в том числе просроченной;</w:t>
      </w:r>
    </w:p>
    <w:p w14:paraId="1416A320" w14:textId="735CADEA" w:rsidR="00E13046" w:rsidRPr="00FD7B0B" w:rsidRDefault="00E13046" w:rsidP="00BD5FC8">
      <w:pPr>
        <w:pStyle w:val="ad"/>
        <w:numPr>
          <w:ilvl w:val="0"/>
          <w:numId w:val="8"/>
        </w:numPr>
        <w:ind w:left="0" w:firstLine="709"/>
        <w:jc w:val="both"/>
        <w:rPr>
          <w:rFonts w:ascii="Times New Roman" w:hAnsi="Times New Roman"/>
          <w:sz w:val="28"/>
          <w:szCs w:val="28"/>
        </w:rPr>
      </w:pPr>
      <w:r w:rsidRPr="00FD7B0B">
        <w:rPr>
          <w:rFonts w:ascii="Times New Roman" w:hAnsi="Times New Roman"/>
          <w:sz w:val="28"/>
          <w:szCs w:val="28"/>
        </w:rPr>
        <w:t xml:space="preserve">усилить контроль за </w:t>
      </w:r>
      <w:r w:rsidR="002959CD" w:rsidRPr="00FD7B0B">
        <w:rPr>
          <w:rFonts w:ascii="Times New Roman" w:hAnsi="Times New Roman"/>
          <w:sz w:val="28"/>
          <w:szCs w:val="28"/>
        </w:rPr>
        <w:t xml:space="preserve">соблюдением </w:t>
      </w:r>
      <w:r w:rsidRPr="00FD7B0B">
        <w:rPr>
          <w:rFonts w:ascii="Times New Roman" w:hAnsi="Times New Roman"/>
          <w:sz w:val="28"/>
          <w:szCs w:val="28"/>
        </w:rPr>
        <w:t>срок</w:t>
      </w:r>
      <w:r w:rsidR="002959CD" w:rsidRPr="00FD7B0B">
        <w:rPr>
          <w:rFonts w:ascii="Times New Roman" w:hAnsi="Times New Roman"/>
          <w:sz w:val="28"/>
          <w:szCs w:val="28"/>
        </w:rPr>
        <w:t>ов</w:t>
      </w:r>
      <w:r w:rsidRPr="00FD7B0B">
        <w:rPr>
          <w:rFonts w:ascii="Times New Roman" w:hAnsi="Times New Roman"/>
          <w:sz w:val="28"/>
          <w:szCs w:val="28"/>
        </w:rPr>
        <w:t xml:space="preserve"> исполнения работ по разработке проектных документаций по государственным контрактам.</w:t>
      </w:r>
    </w:p>
    <w:p w14:paraId="0C1B245C" w14:textId="2EE073BA" w:rsidR="00256FFB" w:rsidRPr="00FD7B0B" w:rsidRDefault="004E4B85" w:rsidP="005F225B">
      <w:pPr>
        <w:pStyle w:val="ad"/>
        <w:numPr>
          <w:ilvl w:val="0"/>
          <w:numId w:val="2"/>
        </w:numPr>
        <w:ind w:left="0" w:firstLine="709"/>
        <w:jc w:val="both"/>
        <w:rPr>
          <w:rFonts w:ascii="Times New Roman" w:eastAsia="Times New Roman" w:hAnsi="Times New Roman"/>
          <w:sz w:val="28"/>
          <w:szCs w:val="28"/>
          <w:lang w:eastAsia="ru-RU"/>
        </w:rPr>
      </w:pPr>
      <w:r w:rsidRPr="00FD7B0B">
        <w:rPr>
          <w:rFonts w:ascii="Times New Roman" w:hAnsi="Times New Roman"/>
          <w:sz w:val="28"/>
          <w:szCs w:val="28"/>
        </w:rPr>
        <w:lastRenderedPageBreak/>
        <w:t>Принять дополнительные меры, направленны</w:t>
      </w:r>
      <w:r w:rsidR="002959CD" w:rsidRPr="00FD7B0B">
        <w:rPr>
          <w:rFonts w:ascii="Times New Roman" w:hAnsi="Times New Roman"/>
          <w:sz w:val="28"/>
          <w:szCs w:val="28"/>
        </w:rPr>
        <w:t>е</w:t>
      </w:r>
      <w:r w:rsidRPr="00FD7B0B">
        <w:rPr>
          <w:rFonts w:ascii="Times New Roman" w:hAnsi="Times New Roman"/>
          <w:sz w:val="28"/>
          <w:szCs w:val="28"/>
        </w:rPr>
        <w:t xml:space="preserve"> на достижение целей, результатов и контрольных точек национальных проектов.</w:t>
      </w:r>
    </w:p>
    <w:p w14:paraId="644468ED" w14:textId="0076C782" w:rsidR="00FE63A3" w:rsidRPr="00FD7B0B" w:rsidRDefault="00E64F28" w:rsidP="005F225B">
      <w:pPr>
        <w:pStyle w:val="ad"/>
        <w:numPr>
          <w:ilvl w:val="0"/>
          <w:numId w:val="2"/>
        </w:numPr>
        <w:ind w:left="0" w:firstLine="709"/>
        <w:jc w:val="both"/>
        <w:rPr>
          <w:rFonts w:ascii="Times New Roman" w:eastAsia="Times New Roman" w:hAnsi="Times New Roman"/>
          <w:sz w:val="28"/>
          <w:szCs w:val="28"/>
          <w:lang w:eastAsia="ru-RU"/>
        </w:rPr>
      </w:pPr>
      <w:r w:rsidRPr="00FD7B0B">
        <w:rPr>
          <w:rFonts w:ascii="Times New Roman" w:hAnsi="Times New Roman"/>
          <w:sz w:val="28"/>
          <w:szCs w:val="28"/>
        </w:rPr>
        <w:t>Учитывая, что по итогам 2023 и 2024 годов Архангельская область не выполняет условия соглашений с Минфином России о реструктуризации бюджетных кредитов, в</w:t>
      </w:r>
      <w:r w:rsidR="00103F43" w:rsidRPr="00FD7B0B">
        <w:rPr>
          <w:rFonts w:ascii="Times New Roman" w:hAnsi="Times New Roman"/>
          <w:sz w:val="28"/>
          <w:szCs w:val="28"/>
        </w:rPr>
        <w:t xml:space="preserve"> 2025 году принять </w:t>
      </w:r>
      <w:r w:rsidRPr="00FD7B0B">
        <w:rPr>
          <w:rFonts w:ascii="Times New Roman" w:hAnsi="Times New Roman"/>
          <w:sz w:val="28"/>
          <w:szCs w:val="28"/>
        </w:rPr>
        <w:t xml:space="preserve">дополнительные </w:t>
      </w:r>
      <w:r w:rsidR="00103F43" w:rsidRPr="00FD7B0B">
        <w:rPr>
          <w:rFonts w:ascii="Times New Roman" w:hAnsi="Times New Roman"/>
          <w:sz w:val="28"/>
          <w:szCs w:val="28"/>
        </w:rPr>
        <w:t xml:space="preserve">меры по соблюдению условий </w:t>
      </w:r>
      <w:r w:rsidRPr="00FD7B0B">
        <w:rPr>
          <w:rFonts w:ascii="Times New Roman" w:hAnsi="Times New Roman"/>
          <w:sz w:val="28"/>
          <w:szCs w:val="28"/>
        </w:rPr>
        <w:t xml:space="preserve">указанных </w:t>
      </w:r>
      <w:r w:rsidR="00D41B13" w:rsidRPr="00FD7B0B">
        <w:rPr>
          <w:rFonts w:ascii="Times New Roman" w:hAnsi="Times New Roman"/>
          <w:sz w:val="28"/>
          <w:szCs w:val="28"/>
        </w:rPr>
        <w:t>соглашений</w:t>
      </w:r>
      <w:r w:rsidR="00DC38BE" w:rsidRPr="00FD7B0B">
        <w:rPr>
          <w:rFonts w:ascii="Times New Roman" w:eastAsia="Times New Roman" w:hAnsi="Times New Roman"/>
          <w:sz w:val="28"/>
          <w:szCs w:val="28"/>
          <w:lang w:eastAsia="ru-RU"/>
        </w:rPr>
        <w:t>.</w:t>
      </w:r>
    </w:p>
    <w:p w14:paraId="7B031A82" w14:textId="77777777" w:rsidR="00971EC6" w:rsidRPr="00FD7B0B" w:rsidRDefault="00971EC6" w:rsidP="007571B3">
      <w:pPr>
        <w:pStyle w:val="ad"/>
        <w:ind w:firstLine="709"/>
        <w:jc w:val="both"/>
        <w:rPr>
          <w:rFonts w:ascii="Times New Roman" w:hAnsi="Times New Roman"/>
          <w:sz w:val="28"/>
          <w:szCs w:val="28"/>
        </w:rPr>
      </w:pPr>
    </w:p>
    <w:p w14:paraId="411CF3A6" w14:textId="74F89588" w:rsidR="00971EC6" w:rsidRPr="00FD7B0B" w:rsidRDefault="00971EC6" w:rsidP="007571B3">
      <w:pPr>
        <w:pStyle w:val="ad"/>
        <w:ind w:firstLine="709"/>
        <w:jc w:val="both"/>
        <w:rPr>
          <w:rFonts w:ascii="Times New Roman" w:hAnsi="Times New Roman"/>
          <w:sz w:val="28"/>
          <w:szCs w:val="28"/>
        </w:rPr>
      </w:pPr>
      <w:r w:rsidRPr="00FD7B0B">
        <w:rPr>
          <w:rFonts w:ascii="Times New Roman" w:hAnsi="Times New Roman"/>
          <w:sz w:val="28"/>
          <w:szCs w:val="28"/>
        </w:rPr>
        <w:t>По результатам проведенной внешней проверки контрольно-счетная палата Архангельской области полагает возможным утверждение отчета об исполнении областного бюджета за 20</w:t>
      </w:r>
      <w:r w:rsidR="007D7F2E" w:rsidRPr="00FD7B0B">
        <w:rPr>
          <w:rFonts w:ascii="Times New Roman" w:hAnsi="Times New Roman"/>
          <w:sz w:val="28"/>
          <w:szCs w:val="28"/>
        </w:rPr>
        <w:t>2</w:t>
      </w:r>
      <w:r w:rsidR="00D41B13" w:rsidRPr="00FD7B0B">
        <w:rPr>
          <w:rFonts w:ascii="Times New Roman" w:hAnsi="Times New Roman"/>
          <w:sz w:val="28"/>
          <w:szCs w:val="28"/>
        </w:rPr>
        <w:t>4</w:t>
      </w:r>
      <w:r w:rsidR="00D8678F" w:rsidRPr="00FD7B0B">
        <w:rPr>
          <w:rFonts w:ascii="Times New Roman" w:hAnsi="Times New Roman"/>
          <w:sz w:val="28"/>
          <w:szCs w:val="28"/>
        </w:rPr>
        <w:t xml:space="preserve"> </w:t>
      </w:r>
      <w:r w:rsidRPr="00FD7B0B">
        <w:rPr>
          <w:rFonts w:ascii="Times New Roman" w:hAnsi="Times New Roman"/>
          <w:sz w:val="28"/>
          <w:szCs w:val="28"/>
        </w:rPr>
        <w:t xml:space="preserve">год </w:t>
      </w:r>
      <w:r w:rsidR="007D7F2E" w:rsidRPr="00FD7B0B">
        <w:rPr>
          <w:rFonts w:ascii="Times New Roman" w:hAnsi="Times New Roman"/>
          <w:sz w:val="28"/>
          <w:szCs w:val="28"/>
        </w:rPr>
        <w:t>Ар</w:t>
      </w:r>
      <w:r w:rsidRPr="00FD7B0B">
        <w:rPr>
          <w:rFonts w:ascii="Times New Roman" w:hAnsi="Times New Roman"/>
          <w:sz w:val="28"/>
          <w:szCs w:val="28"/>
        </w:rPr>
        <w:t>хангельск</w:t>
      </w:r>
      <w:r w:rsidR="007D7F2E" w:rsidRPr="00FD7B0B">
        <w:rPr>
          <w:rFonts w:ascii="Times New Roman" w:hAnsi="Times New Roman"/>
          <w:sz w:val="28"/>
          <w:szCs w:val="28"/>
        </w:rPr>
        <w:t>им</w:t>
      </w:r>
      <w:r w:rsidRPr="00FD7B0B">
        <w:rPr>
          <w:rFonts w:ascii="Times New Roman" w:hAnsi="Times New Roman"/>
          <w:sz w:val="28"/>
          <w:szCs w:val="28"/>
        </w:rPr>
        <w:t xml:space="preserve"> областн</w:t>
      </w:r>
      <w:r w:rsidR="007D7F2E" w:rsidRPr="00FD7B0B">
        <w:rPr>
          <w:rFonts w:ascii="Times New Roman" w:hAnsi="Times New Roman"/>
          <w:sz w:val="28"/>
          <w:szCs w:val="28"/>
        </w:rPr>
        <w:t>ым</w:t>
      </w:r>
      <w:r w:rsidRPr="00FD7B0B">
        <w:rPr>
          <w:rFonts w:ascii="Times New Roman" w:hAnsi="Times New Roman"/>
          <w:sz w:val="28"/>
          <w:szCs w:val="28"/>
        </w:rPr>
        <w:t xml:space="preserve"> Собрани</w:t>
      </w:r>
      <w:r w:rsidR="007D7F2E" w:rsidRPr="00FD7B0B">
        <w:rPr>
          <w:rFonts w:ascii="Times New Roman" w:hAnsi="Times New Roman"/>
          <w:sz w:val="28"/>
          <w:szCs w:val="28"/>
        </w:rPr>
        <w:t>ем</w:t>
      </w:r>
      <w:r w:rsidRPr="00FD7B0B">
        <w:rPr>
          <w:rFonts w:ascii="Times New Roman" w:hAnsi="Times New Roman"/>
          <w:sz w:val="28"/>
          <w:szCs w:val="28"/>
        </w:rPr>
        <w:t xml:space="preserve"> депутатов.</w:t>
      </w:r>
    </w:p>
    <w:p w14:paraId="7D30A35B" w14:textId="1994D748" w:rsidR="00971EC6" w:rsidRPr="00FD7B0B" w:rsidRDefault="007557B8" w:rsidP="005838AC">
      <w:pPr>
        <w:pStyle w:val="10"/>
        <w:keepNext/>
        <w:keepLines/>
        <w:autoSpaceDE/>
        <w:autoSpaceDN/>
        <w:adjustRightInd/>
        <w:spacing w:before="240" w:after="120"/>
        <w:rPr>
          <w:rFonts w:ascii="Times New Roman" w:hAnsi="Times New Roman"/>
          <w:color w:val="auto"/>
          <w:sz w:val="28"/>
          <w:szCs w:val="28"/>
          <w:lang w:val="ru-RU"/>
        </w:rPr>
      </w:pPr>
      <w:bookmarkStart w:id="158" w:name="_Toc198819157"/>
      <w:r w:rsidRPr="00FD7B0B">
        <w:rPr>
          <w:rFonts w:ascii="Times New Roman" w:hAnsi="Times New Roman"/>
          <w:color w:val="auto"/>
          <w:sz w:val="28"/>
          <w:szCs w:val="28"/>
          <w:lang w:val="ru-RU"/>
        </w:rPr>
        <w:t>Приложения</w:t>
      </w:r>
      <w:bookmarkEnd w:id="158"/>
    </w:p>
    <w:p w14:paraId="38ADEBD0" w14:textId="4177868F" w:rsidR="00971EC6" w:rsidRPr="00FD7B0B" w:rsidRDefault="005C71EA" w:rsidP="00C44208">
      <w:pPr>
        <w:pStyle w:val="ad"/>
        <w:numPr>
          <w:ilvl w:val="0"/>
          <w:numId w:val="6"/>
        </w:numPr>
        <w:ind w:left="0" w:firstLine="697"/>
        <w:jc w:val="both"/>
        <w:rPr>
          <w:rFonts w:ascii="Times New Roman" w:hAnsi="Times New Roman"/>
          <w:sz w:val="28"/>
          <w:szCs w:val="28"/>
        </w:rPr>
      </w:pPr>
      <w:r w:rsidRPr="00FD7B0B">
        <w:rPr>
          <w:rFonts w:ascii="Times New Roman" w:hAnsi="Times New Roman"/>
          <w:sz w:val="28"/>
          <w:szCs w:val="28"/>
        </w:rPr>
        <w:t xml:space="preserve">Приложение № 1 </w:t>
      </w:r>
      <w:r w:rsidR="00743ABC" w:rsidRPr="00FD7B0B">
        <w:rPr>
          <w:rFonts w:ascii="Times New Roman" w:hAnsi="Times New Roman"/>
          <w:sz w:val="28"/>
          <w:szCs w:val="28"/>
        </w:rPr>
        <w:t>«</w:t>
      </w:r>
      <w:r w:rsidR="00C44208" w:rsidRPr="00FD7B0B">
        <w:rPr>
          <w:rFonts w:ascii="Times New Roman" w:hAnsi="Times New Roman"/>
          <w:sz w:val="28"/>
          <w:szCs w:val="28"/>
        </w:rPr>
        <w:t>Сведения об исполнении областного бюджета за 2023 и 2024 годы согласно отчетам по форме 0503317, представленным в Минфин России на отчетные даты</w:t>
      </w:r>
      <w:r w:rsidR="00743ABC" w:rsidRPr="00FD7B0B">
        <w:rPr>
          <w:rFonts w:ascii="Times New Roman" w:hAnsi="Times New Roman"/>
          <w:sz w:val="28"/>
          <w:szCs w:val="28"/>
        </w:rPr>
        <w:t>»</w:t>
      </w:r>
      <w:r w:rsidR="003415EF" w:rsidRPr="00FD7B0B">
        <w:rPr>
          <w:rFonts w:ascii="Times New Roman" w:hAnsi="Times New Roman"/>
          <w:sz w:val="28"/>
          <w:szCs w:val="28"/>
        </w:rPr>
        <w:t xml:space="preserve"> </w:t>
      </w:r>
      <w:r w:rsidR="00971EC6" w:rsidRPr="00FD7B0B">
        <w:rPr>
          <w:rFonts w:ascii="Times New Roman" w:hAnsi="Times New Roman"/>
          <w:sz w:val="28"/>
          <w:szCs w:val="28"/>
        </w:rPr>
        <w:t xml:space="preserve">на </w:t>
      </w:r>
      <w:r w:rsidR="00622DB8" w:rsidRPr="00FD7B0B">
        <w:rPr>
          <w:rFonts w:ascii="Times New Roman" w:hAnsi="Times New Roman"/>
          <w:sz w:val="28"/>
          <w:szCs w:val="28"/>
        </w:rPr>
        <w:t>3</w:t>
      </w:r>
      <w:r w:rsidR="00971EC6" w:rsidRPr="00FD7B0B">
        <w:rPr>
          <w:rFonts w:ascii="Times New Roman" w:hAnsi="Times New Roman"/>
          <w:sz w:val="28"/>
          <w:szCs w:val="28"/>
        </w:rPr>
        <w:t xml:space="preserve"> л.</w:t>
      </w:r>
    </w:p>
    <w:p w14:paraId="3B6EC172" w14:textId="70EBF69D" w:rsidR="00971EC6" w:rsidRPr="00FD7B0B" w:rsidRDefault="005C71EA" w:rsidP="00FE680C">
      <w:pPr>
        <w:pStyle w:val="ad"/>
        <w:numPr>
          <w:ilvl w:val="0"/>
          <w:numId w:val="6"/>
        </w:numPr>
        <w:ind w:left="0" w:firstLine="697"/>
        <w:jc w:val="both"/>
        <w:rPr>
          <w:rFonts w:ascii="Times New Roman" w:hAnsi="Times New Roman"/>
          <w:sz w:val="28"/>
          <w:szCs w:val="28"/>
        </w:rPr>
      </w:pPr>
      <w:r w:rsidRPr="00FD7B0B">
        <w:rPr>
          <w:rFonts w:ascii="Times New Roman" w:hAnsi="Times New Roman"/>
          <w:sz w:val="28"/>
          <w:szCs w:val="28"/>
        </w:rPr>
        <w:t xml:space="preserve">Приложение № 2 </w:t>
      </w:r>
      <w:r w:rsidR="00743ABC" w:rsidRPr="00FD7B0B">
        <w:rPr>
          <w:rFonts w:ascii="Times New Roman" w:hAnsi="Times New Roman"/>
          <w:sz w:val="28"/>
          <w:szCs w:val="28"/>
        </w:rPr>
        <w:t>«</w:t>
      </w:r>
      <w:r w:rsidR="00FE680C" w:rsidRPr="00FD7B0B">
        <w:rPr>
          <w:rFonts w:ascii="Times New Roman" w:hAnsi="Times New Roman"/>
          <w:sz w:val="28"/>
          <w:szCs w:val="28"/>
        </w:rPr>
        <w:t>Просроченная задолженность на начало года (без учета переплат) и на конец отчетного периода (без учета переплат), сложившаяся на 31 декабря 2024 года</w:t>
      </w:r>
      <w:r w:rsidR="00743ABC" w:rsidRPr="00FD7B0B">
        <w:rPr>
          <w:rFonts w:ascii="Times New Roman" w:hAnsi="Times New Roman"/>
          <w:sz w:val="28"/>
          <w:szCs w:val="28"/>
        </w:rPr>
        <w:t>»</w:t>
      </w:r>
      <w:r w:rsidR="005E6B27" w:rsidRPr="00FD7B0B">
        <w:rPr>
          <w:rFonts w:ascii="Times New Roman" w:hAnsi="Times New Roman"/>
          <w:sz w:val="28"/>
          <w:szCs w:val="28"/>
        </w:rPr>
        <w:t xml:space="preserve"> </w:t>
      </w:r>
      <w:r w:rsidR="00971EC6" w:rsidRPr="00FD7B0B">
        <w:rPr>
          <w:rFonts w:ascii="Times New Roman" w:hAnsi="Times New Roman"/>
          <w:sz w:val="28"/>
          <w:szCs w:val="28"/>
        </w:rPr>
        <w:t xml:space="preserve">на </w:t>
      </w:r>
      <w:r w:rsidR="00FE680C" w:rsidRPr="00FD7B0B">
        <w:rPr>
          <w:rFonts w:ascii="Times New Roman" w:hAnsi="Times New Roman"/>
          <w:sz w:val="28"/>
          <w:szCs w:val="28"/>
        </w:rPr>
        <w:t>7</w:t>
      </w:r>
      <w:r w:rsidR="00971EC6" w:rsidRPr="00FD7B0B">
        <w:rPr>
          <w:rFonts w:ascii="Times New Roman" w:hAnsi="Times New Roman"/>
          <w:sz w:val="28"/>
          <w:szCs w:val="28"/>
        </w:rPr>
        <w:t xml:space="preserve"> л.</w:t>
      </w:r>
    </w:p>
    <w:p w14:paraId="230003B7" w14:textId="090E066E" w:rsidR="00971EC6" w:rsidRPr="00FD7B0B" w:rsidRDefault="005C71EA" w:rsidP="00684C50">
      <w:pPr>
        <w:pStyle w:val="ad"/>
        <w:numPr>
          <w:ilvl w:val="0"/>
          <w:numId w:val="6"/>
        </w:numPr>
        <w:ind w:left="0" w:firstLine="697"/>
        <w:jc w:val="both"/>
        <w:rPr>
          <w:rFonts w:ascii="Times New Roman" w:hAnsi="Times New Roman"/>
          <w:sz w:val="28"/>
          <w:szCs w:val="28"/>
        </w:rPr>
      </w:pPr>
      <w:r w:rsidRPr="00FD7B0B">
        <w:rPr>
          <w:rFonts w:ascii="Times New Roman" w:hAnsi="Times New Roman"/>
          <w:sz w:val="28"/>
          <w:szCs w:val="28"/>
        </w:rPr>
        <w:t xml:space="preserve">Приложение № 3 </w:t>
      </w:r>
      <w:r w:rsidR="00743ABC" w:rsidRPr="00FD7B0B">
        <w:rPr>
          <w:rFonts w:ascii="Times New Roman" w:hAnsi="Times New Roman"/>
          <w:sz w:val="28"/>
          <w:szCs w:val="28"/>
        </w:rPr>
        <w:t>«</w:t>
      </w:r>
      <w:r w:rsidR="00684C50" w:rsidRPr="00FD7B0B">
        <w:rPr>
          <w:rFonts w:ascii="Times New Roman" w:hAnsi="Times New Roman"/>
          <w:sz w:val="28"/>
          <w:szCs w:val="28"/>
        </w:rPr>
        <w:t xml:space="preserve">Исполнение областного бюджета за 2023 </w:t>
      </w:r>
      <w:r w:rsidR="00C36FA0" w:rsidRPr="00FD7B0B">
        <w:rPr>
          <w:rFonts w:ascii="Times New Roman" w:hAnsi="Times New Roman"/>
          <w:sz w:val="28"/>
          <w:szCs w:val="28"/>
        </w:rPr>
        <w:t xml:space="preserve">– </w:t>
      </w:r>
      <w:r w:rsidR="00684C50" w:rsidRPr="00FD7B0B">
        <w:rPr>
          <w:rFonts w:ascii="Times New Roman" w:hAnsi="Times New Roman"/>
          <w:sz w:val="28"/>
          <w:szCs w:val="28"/>
        </w:rPr>
        <w:t>2024 годы в разрезе программ Архангельской области</w:t>
      </w:r>
      <w:r w:rsidR="00743ABC" w:rsidRPr="00FD7B0B">
        <w:rPr>
          <w:rFonts w:ascii="Times New Roman" w:hAnsi="Times New Roman"/>
          <w:sz w:val="28"/>
          <w:szCs w:val="28"/>
        </w:rPr>
        <w:t>»</w:t>
      </w:r>
      <w:r w:rsidR="00D23BC3" w:rsidRPr="00FD7B0B">
        <w:rPr>
          <w:rFonts w:ascii="Times New Roman" w:hAnsi="Times New Roman"/>
          <w:sz w:val="28"/>
          <w:szCs w:val="28"/>
        </w:rPr>
        <w:t xml:space="preserve"> </w:t>
      </w:r>
      <w:r w:rsidR="00971EC6" w:rsidRPr="00FD7B0B">
        <w:rPr>
          <w:rFonts w:ascii="Times New Roman" w:hAnsi="Times New Roman"/>
          <w:sz w:val="28"/>
          <w:szCs w:val="28"/>
        </w:rPr>
        <w:t xml:space="preserve">на </w:t>
      </w:r>
      <w:r w:rsidR="00281986" w:rsidRPr="00FD7B0B">
        <w:rPr>
          <w:rFonts w:ascii="Times New Roman" w:hAnsi="Times New Roman"/>
          <w:sz w:val="28"/>
          <w:szCs w:val="28"/>
        </w:rPr>
        <w:t>3</w:t>
      </w:r>
      <w:r w:rsidR="00971EC6" w:rsidRPr="00FD7B0B">
        <w:rPr>
          <w:rFonts w:ascii="Times New Roman" w:hAnsi="Times New Roman"/>
          <w:sz w:val="28"/>
          <w:szCs w:val="28"/>
        </w:rPr>
        <w:t xml:space="preserve"> л.</w:t>
      </w:r>
    </w:p>
    <w:p w14:paraId="3C5789C1" w14:textId="2DAFD880" w:rsidR="00971EC6" w:rsidRPr="00FD7B0B" w:rsidRDefault="005C71EA" w:rsidP="00C36FA0">
      <w:pPr>
        <w:pStyle w:val="ad"/>
        <w:numPr>
          <w:ilvl w:val="0"/>
          <w:numId w:val="6"/>
        </w:numPr>
        <w:ind w:left="0" w:firstLine="697"/>
        <w:jc w:val="both"/>
        <w:rPr>
          <w:rFonts w:ascii="Times New Roman" w:hAnsi="Times New Roman"/>
          <w:sz w:val="28"/>
          <w:szCs w:val="28"/>
        </w:rPr>
      </w:pPr>
      <w:r w:rsidRPr="00FD7B0B">
        <w:rPr>
          <w:rFonts w:ascii="Times New Roman" w:hAnsi="Times New Roman"/>
          <w:sz w:val="28"/>
          <w:szCs w:val="28"/>
        </w:rPr>
        <w:t xml:space="preserve">Приложение № 4 </w:t>
      </w:r>
      <w:r w:rsidR="00743ABC" w:rsidRPr="00FD7B0B">
        <w:rPr>
          <w:rFonts w:ascii="Times New Roman" w:hAnsi="Times New Roman"/>
          <w:sz w:val="28"/>
          <w:szCs w:val="28"/>
        </w:rPr>
        <w:t>«</w:t>
      </w:r>
      <w:r w:rsidR="00C36FA0" w:rsidRPr="00FD7B0B">
        <w:rPr>
          <w:rFonts w:ascii="Times New Roman" w:hAnsi="Times New Roman"/>
          <w:sz w:val="28"/>
          <w:szCs w:val="28"/>
        </w:rPr>
        <w:t>Сведения о выполнении мероприятий структурн</w:t>
      </w:r>
      <w:r w:rsidR="00405695" w:rsidRPr="00FD7B0B">
        <w:rPr>
          <w:rFonts w:ascii="Times New Roman" w:hAnsi="Times New Roman"/>
          <w:sz w:val="28"/>
          <w:szCs w:val="28"/>
        </w:rPr>
        <w:t>ых</w:t>
      </w:r>
      <w:r w:rsidR="00C36FA0" w:rsidRPr="00FD7B0B">
        <w:rPr>
          <w:rFonts w:ascii="Times New Roman" w:hAnsi="Times New Roman"/>
          <w:sz w:val="28"/>
          <w:szCs w:val="28"/>
        </w:rPr>
        <w:t xml:space="preserve"> элемент</w:t>
      </w:r>
      <w:r w:rsidR="00405695" w:rsidRPr="00FD7B0B">
        <w:rPr>
          <w:rFonts w:ascii="Times New Roman" w:hAnsi="Times New Roman"/>
          <w:sz w:val="28"/>
          <w:szCs w:val="28"/>
        </w:rPr>
        <w:t>ов</w:t>
      </w:r>
      <w:r w:rsidR="00C36FA0" w:rsidRPr="00FD7B0B">
        <w:rPr>
          <w:rFonts w:ascii="Times New Roman" w:hAnsi="Times New Roman"/>
          <w:sz w:val="28"/>
          <w:szCs w:val="28"/>
        </w:rPr>
        <w:t xml:space="preserve"> государственн</w:t>
      </w:r>
      <w:r w:rsidR="00405695" w:rsidRPr="00FD7B0B">
        <w:rPr>
          <w:rFonts w:ascii="Times New Roman" w:hAnsi="Times New Roman"/>
          <w:sz w:val="28"/>
          <w:szCs w:val="28"/>
        </w:rPr>
        <w:t>ых</w:t>
      </w:r>
      <w:r w:rsidR="00C36FA0" w:rsidRPr="00FD7B0B">
        <w:rPr>
          <w:rFonts w:ascii="Times New Roman" w:hAnsi="Times New Roman"/>
          <w:sz w:val="28"/>
          <w:szCs w:val="28"/>
        </w:rPr>
        <w:t xml:space="preserve"> программ Архангельской области, в отношении которых не выполняется план реализации, согласно проект</w:t>
      </w:r>
      <w:r w:rsidR="00E34EB7" w:rsidRPr="00FD7B0B">
        <w:rPr>
          <w:rFonts w:ascii="Times New Roman" w:hAnsi="Times New Roman"/>
          <w:sz w:val="28"/>
          <w:szCs w:val="28"/>
        </w:rPr>
        <w:t>ам</w:t>
      </w:r>
      <w:r w:rsidR="00C36FA0" w:rsidRPr="00FD7B0B">
        <w:rPr>
          <w:rFonts w:ascii="Times New Roman" w:hAnsi="Times New Roman"/>
          <w:sz w:val="28"/>
          <w:szCs w:val="28"/>
        </w:rPr>
        <w:t xml:space="preserve"> отчетов за 2024 год</w:t>
      </w:r>
      <w:r w:rsidR="00743ABC" w:rsidRPr="00FD7B0B">
        <w:rPr>
          <w:rFonts w:ascii="Times New Roman" w:hAnsi="Times New Roman"/>
          <w:sz w:val="28"/>
          <w:szCs w:val="28"/>
        </w:rPr>
        <w:t>»</w:t>
      </w:r>
      <w:r w:rsidR="00AC387F" w:rsidRPr="00FD7B0B">
        <w:rPr>
          <w:rFonts w:ascii="Times New Roman" w:hAnsi="Times New Roman"/>
          <w:sz w:val="28"/>
          <w:szCs w:val="28"/>
        </w:rPr>
        <w:t xml:space="preserve"> </w:t>
      </w:r>
      <w:r w:rsidR="00971EC6" w:rsidRPr="00FD7B0B">
        <w:rPr>
          <w:rFonts w:ascii="Times New Roman" w:hAnsi="Times New Roman"/>
          <w:sz w:val="28"/>
          <w:szCs w:val="28"/>
        </w:rPr>
        <w:t xml:space="preserve">на </w:t>
      </w:r>
      <w:r w:rsidR="00C36FA0" w:rsidRPr="00FD7B0B">
        <w:rPr>
          <w:rFonts w:ascii="Times New Roman" w:hAnsi="Times New Roman"/>
          <w:sz w:val="28"/>
          <w:szCs w:val="28"/>
        </w:rPr>
        <w:t>8</w:t>
      </w:r>
      <w:r w:rsidR="00971EC6" w:rsidRPr="00FD7B0B">
        <w:rPr>
          <w:rFonts w:ascii="Times New Roman" w:hAnsi="Times New Roman"/>
          <w:sz w:val="28"/>
          <w:szCs w:val="28"/>
        </w:rPr>
        <w:t xml:space="preserve"> л.</w:t>
      </w:r>
    </w:p>
    <w:p w14:paraId="054C8EB4" w14:textId="04D61123" w:rsidR="00971EC6" w:rsidRPr="00FD7B0B" w:rsidRDefault="005C71EA" w:rsidP="00424B5A">
      <w:pPr>
        <w:pStyle w:val="ad"/>
        <w:numPr>
          <w:ilvl w:val="0"/>
          <w:numId w:val="6"/>
        </w:numPr>
        <w:ind w:left="0" w:firstLine="697"/>
        <w:jc w:val="both"/>
        <w:rPr>
          <w:rFonts w:ascii="Times New Roman" w:hAnsi="Times New Roman"/>
          <w:sz w:val="28"/>
          <w:szCs w:val="28"/>
        </w:rPr>
      </w:pPr>
      <w:r w:rsidRPr="00FD7B0B">
        <w:rPr>
          <w:rFonts w:ascii="Times New Roman" w:hAnsi="Times New Roman"/>
          <w:sz w:val="28"/>
          <w:szCs w:val="28"/>
        </w:rPr>
        <w:t xml:space="preserve">Приложение № 5 </w:t>
      </w:r>
      <w:r w:rsidR="00743ABC" w:rsidRPr="00FD7B0B">
        <w:rPr>
          <w:rFonts w:ascii="Times New Roman" w:hAnsi="Times New Roman"/>
          <w:sz w:val="28"/>
          <w:szCs w:val="28"/>
        </w:rPr>
        <w:t>«</w:t>
      </w:r>
      <w:r w:rsidR="00424B5A" w:rsidRPr="00FD7B0B">
        <w:rPr>
          <w:rFonts w:ascii="Times New Roman" w:hAnsi="Times New Roman"/>
          <w:sz w:val="28"/>
          <w:szCs w:val="28"/>
        </w:rPr>
        <w:t>Расходы областного бюджета на реализацию региональных проектов за 2024 год</w:t>
      </w:r>
      <w:r w:rsidR="00743ABC" w:rsidRPr="00FD7B0B">
        <w:rPr>
          <w:rFonts w:ascii="Times New Roman" w:hAnsi="Times New Roman"/>
          <w:sz w:val="28"/>
          <w:szCs w:val="28"/>
        </w:rPr>
        <w:t>»</w:t>
      </w:r>
      <w:r w:rsidR="009B0A91" w:rsidRPr="00FD7B0B">
        <w:rPr>
          <w:rFonts w:ascii="Times New Roman" w:hAnsi="Times New Roman"/>
          <w:sz w:val="28"/>
          <w:szCs w:val="28"/>
        </w:rPr>
        <w:t xml:space="preserve"> </w:t>
      </w:r>
      <w:r w:rsidR="00971EC6" w:rsidRPr="00FD7B0B">
        <w:rPr>
          <w:rFonts w:ascii="Times New Roman" w:hAnsi="Times New Roman"/>
          <w:sz w:val="28"/>
          <w:szCs w:val="28"/>
        </w:rPr>
        <w:t xml:space="preserve">на </w:t>
      </w:r>
      <w:r w:rsidR="00424B5A" w:rsidRPr="00FD7B0B">
        <w:rPr>
          <w:rFonts w:ascii="Times New Roman" w:hAnsi="Times New Roman"/>
          <w:sz w:val="28"/>
          <w:szCs w:val="28"/>
        </w:rPr>
        <w:t>3</w:t>
      </w:r>
      <w:r w:rsidR="00971EC6" w:rsidRPr="00FD7B0B">
        <w:rPr>
          <w:rFonts w:ascii="Times New Roman" w:hAnsi="Times New Roman"/>
          <w:sz w:val="28"/>
          <w:szCs w:val="28"/>
        </w:rPr>
        <w:t xml:space="preserve"> л.</w:t>
      </w:r>
    </w:p>
    <w:p w14:paraId="650B3DD8" w14:textId="23E234A6" w:rsidR="00971EC6" w:rsidRPr="00FD7B0B" w:rsidRDefault="005C71EA" w:rsidP="00B21118">
      <w:pPr>
        <w:pStyle w:val="ad"/>
        <w:numPr>
          <w:ilvl w:val="0"/>
          <w:numId w:val="6"/>
        </w:numPr>
        <w:ind w:left="0" w:firstLine="697"/>
        <w:jc w:val="both"/>
        <w:rPr>
          <w:rFonts w:ascii="Times New Roman" w:hAnsi="Times New Roman"/>
          <w:sz w:val="28"/>
          <w:szCs w:val="28"/>
        </w:rPr>
      </w:pPr>
      <w:r w:rsidRPr="00FD7B0B">
        <w:rPr>
          <w:rFonts w:ascii="Times New Roman" w:hAnsi="Times New Roman"/>
          <w:sz w:val="28"/>
          <w:szCs w:val="28"/>
        </w:rPr>
        <w:t xml:space="preserve">Приложение № 6 </w:t>
      </w:r>
      <w:r w:rsidR="00743ABC" w:rsidRPr="00FD7B0B">
        <w:rPr>
          <w:rFonts w:ascii="Times New Roman" w:hAnsi="Times New Roman"/>
          <w:sz w:val="28"/>
          <w:szCs w:val="28"/>
        </w:rPr>
        <w:t>«</w:t>
      </w:r>
      <w:r w:rsidR="00B21118" w:rsidRPr="00FD7B0B">
        <w:rPr>
          <w:rFonts w:ascii="Times New Roman" w:hAnsi="Times New Roman"/>
          <w:sz w:val="28"/>
          <w:szCs w:val="28"/>
        </w:rPr>
        <w:t>Прогнозные ключевые риски недостижения показателей или результатов реализации региональных проектов Архангельской области, согласно отчетам о реализации данных проектов за 2024 год (раздел 2)</w:t>
      </w:r>
      <w:r w:rsidR="00743ABC" w:rsidRPr="00FD7B0B">
        <w:rPr>
          <w:rFonts w:ascii="Times New Roman" w:hAnsi="Times New Roman"/>
          <w:sz w:val="28"/>
          <w:szCs w:val="28"/>
        </w:rPr>
        <w:t>»</w:t>
      </w:r>
      <w:r w:rsidR="002B0177" w:rsidRPr="00FD7B0B">
        <w:rPr>
          <w:rFonts w:ascii="Times New Roman" w:hAnsi="Times New Roman"/>
          <w:sz w:val="28"/>
          <w:szCs w:val="28"/>
        </w:rPr>
        <w:t xml:space="preserve"> </w:t>
      </w:r>
      <w:r w:rsidR="00971EC6" w:rsidRPr="00FD7B0B">
        <w:rPr>
          <w:rFonts w:ascii="Times New Roman" w:hAnsi="Times New Roman"/>
          <w:sz w:val="28"/>
          <w:szCs w:val="28"/>
        </w:rPr>
        <w:t xml:space="preserve">на </w:t>
      </w:r>
      <w:r w:rsidR="00B21118" w:rsidRPr="00FD7B0B">
        <w:rPr>
          <w:rFonts w:ascii="Times New Roman" w:hAnsi="Times New Roman"/>
          <w:sz w:val="28"/>
          <w:szCs w:val="28"/>
        </w:rPr>
        <w:t>1</w:t>
      </w:r>
      <w:r w:rsidR="00971EC6" w:rsidRPr="00FD7B0B">
        <w:rPr>
          <w:rFonts w:ascii="Times New Roman" w:hAnsi="Times New Roman"/>
          <w:sz w:val="28"/>
          <w:szCs w:val="28"/>
        </w:rPr>
        <w:t xml:space="preserve"> л.</w:t>
      </w:r>
    </w:p>
    <w:p w14:paraId="38399754" w14:textId="77777777" w:rsidR="00971EC6" w:rsidRPr="00FD7B0B" w:rsidRDefault="00971EC6" w:rsidP="00971EC6">
      <w:pPr>
        <w:pStyle w:val="ad"/>
        <w:ind w:firstLine="851"/>
        <w:jc w:val="both"/>
        <w:rPr>
          <w:rFonts w:ascii="Times New Roman" w:hAnsi="Times New Roman"/>
          <w:sz w:val="28"/>
          <w:szCs w:val="28"/>
        </w:rPr>
      </w:pPr>
    </w:p>
    <w:p w14:paraId="37F885EE" w14:textId="77777777" w:rsidR="0032522F" w:rsidRPr="00FD7B0B" w:rsidRDefault="0032522F" w:rsidP="00971EC6">
      <w:pPr>
        <w:pStyle w:val="ad"/>
        <w:ind w:firstLine="851"/>
        <w:jc w:val="both"/>
        <w:rPr>
          <w:rFonts w:ascii="Times New Roman" w:hAnsi="Times New Roman"/>
          <w:sz w:val="28"/>
          <w:szCs w:val="28"/>
        </w:rPr>
      </w:pPr>
    </w:p>
    <w:p w14:paraId="2FD414C9" w14:textId="77777777" w:rsidR="000003E8" w:rsidRPr="00FD7B0B" w:rsidRDefault="000003E8" w:rsidP="00971EC6">
      <w:pPr>
        <w:pStyle w:val="ad"/>
        <w:ind w:firstLine="851"/>
        <w:jc w:val="both"/>
        <w:rPr>
          <w:rFonts w:ascii="Times New Roman" w:hAnsi="Times New Roman"/>
          <w:sz w:val="28"/>
          <w:szCs w:val="28"/>
        </w:rPr>
      </w:pPr>
    </w:p>
    <w:tbl>
      <w:tblPr>
        <w:tblW w:w="9639" w:type="dxa"/>
        <w:tblLook w:val="04A0" w:firstRow="1" w:lastRow="0" w:firstColumn="1" w:lastColumn="0" w:noHBand="0" w:noVBand="1"/>
      </w:tblPr>
      <w:tblGrid>
        <w:gridCol w:w="4678"/>
        <w:gridCol w:w="4961"/>
      </w:tblGrid>
      <w:tr w:rsidR="00971EC6" w:rsidRPr="00FD7B0B" w14:paraId="6A12810F" w14:textId="77777777" w:rsidTr="0018124C">
        <w:tc>
          <w:tcPr>
            <w:tcW w:w="4678" w:type="dxa"/>
            <w:shd w:val="clear" w:color="auto" w:fill="auto"/>
          </w:tcPr>
          <w:p w14:paraId="146F5313" w14:textId="066DB327" w:rsidR="00971EC6" w:rsidRPr="00FD7B0B" w:rsidRDefault="0032522F" w:rsidP="00971EC6">
            <w:pPr>
              <w:pStyle w:val="ad"/>
              <w:rPr>
                <w:rFonts w:ascii="Times New Roman" w:hAnsi="Times New Roman"/>
                <w:sz w:val="28"/>
                <w:szCs w:val="28"/>
              </w:rPr>
            </w:pPr>
            <w:r w:rsidRPr="00FD7B0B">
              <w:rPr>
                <w:rFonts w:ascii="Times New Roman" w:hAnsi="Times New Roman"/>
                <w:sz w:val="28"/>
                <w:szCs w:val="28"/>
              </w:rPr>
              <w:t>И.о. председателя</w:t>
            </w:r>
          </w:p>
        </w:tc>
        <w:tc>
          <w:tcPr>
            <w:tcW w:w="4961" w:type="dxa"/>
            <w:shd w:val="clear" w:color="auto" w:fill="auto"/>
            <w:vAlign w:val="bottom"/>
          </w:tcPr>
          <w:p w14:paraId="0DD2C66A" w14:textId="69D8A9D7" w:rsidR="00971EC6" w:rsidRPr="00FD7B0B" w:rsidRDefault="0032522F" w:rsidP="00971EC6">
            <w:pPr>
              <w:pStyle w:val="ad"/>
              <w:ind w:firstLine="851"/>
              <w:jc w:val="right"/>
              <w:rPr>
                <w:rFonts w:ascii="Times New Roman" w:hAnsi="Times New Roman"/>
                <w:sz w:val="28"/>
                <w:szCs w:val="28"/>
              </w:rPr>
            </w:pPr>
            <w:r w:rsidRPr="00FD7B0B">
              <w:rPr>
                <w:rFonts w:ascii="Times New Roman" w:hAnsi="Times New Roman"/>
                <w:sz w:val="28"/>
                <w:szCs w:val="28"/>
              </w:rPr>
              <w:t>Л.В. Колмогорова</w:t>
            </w:r>
          </w:p>
        </w:tc>
      </w:tr>
    </w:tbl>
    <w:p w14:paraId="621917FF" w14:textId="77777777" w:rsidR="00A371E4" w:rsidRPr="00FD7B0B" w:rsidRDefault="00A371E4" w:rsidP="000003E8"/>
    <w:sectPr w:rsidR="00A371E4" w:rsidRPr="00FD7B0B" w:rsidSect="0014629A">
      <w:footerReference w:type="default" r:id="rId70"/>
      <w:pgSz w:w="11906" w:h="16838" w:code="9"/>
      <w:pgMar w:top="1134" w:right="851" w:bottom="1134" w:left="1418"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B0993C" w14:textId="77777777" w:rsidR="00CA3929" w:rsidRDefault="00CA3929" w:rsidP="00971EC6">
      <w:pPr>
        <w:spacing w:after="0" w:line="240" w:lineRule="auto"/>
      </w:pPr>
      <w:r>
        <w:separator/>
      </w:r>
    </w:p>
  </w:endnote>
  <w:endnote w:type="continuationSeparator" w:id="0">
    <w:p w14:paraId="19402D11" w14:textId="77777777" w:rsidR="00CA3929" w:rsidRDefault="00CA3929" w:rsidP="00971E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ont239">
    <w:altName w:val="Times New Roman"/>
    <w:charset w:val="CC"/>
    <w:family w:val="auto"/>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TT Jenevers Bold">
    <w:altName w:val="Times New Roman"/>
    <w:panose1 w:val="00000000000000000000"/>
    <w:charset w:val="00"/>
    <w:family w:val="roman"/>
    <w:notTrueType/>
    <w:pitch w:val="default"/>
    <w:sig w:usb0="00000003" w:usb1="00000000" w:usb2="00000000" w:usb3="00000000" w:csb0="00000001" w:csb1="00000000"/>
  </w:font>
  <w:font w:name="PT_Russia Text">
    <w:altName w:val="Arial"/>
    <w:panose1 w:val="00000000000000000000"/>
    <w:charset w:val="00"/>
    <w:family w:val="swiss"/>
    <w:notTrueType/>
    <w:pitch w:val="default"/>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Roboto">
    <w:altName w:val="Times New Roman"/>
    <w:panose1 w:val="00000000000000000000"/>
    <w:charset w:val="00"/>
    <w:family w:val="roman"/>
    <w:notTrueType/>
    <w:pitch w:val="default"/>
  </w:font>
  <w:font w:name="PMingLiU">
    <w:altName w:val="新細明體"/>
    <w:panose1 w:val="02010601000101010101"/>
    <w:charset w:val="88"/>
    <w:family w:val="auto"/>
    <w:notTrueType/>
    <w:pitch w:val="variable"/>
    <w:sig w:usb0="00000001" w:usb1="08080000" w:usb2="00000010" w:usb3="00000000" w:csb0="00100000" w:csb1="00000000"/>
  </w:font>
  <w:font w:name="XO Thame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D5C0E0" w14:textId="77777777" w:rsidR="002206D2" w:rsidRPr="003B1DA1" w:rsidRDefault="002206D2" w:rsidP="00971EC6">
    <w:pPr>
      <w:pStyle w:val="af7"/>
      <w:spacing w:after="0" w:line="240" w:lineRule="auto"/>
      <w:jc w:val="right"/>
      <w:rPr>
        <w:rFonts w:ascii="Times New Roman" w:hAnsi="Times New Roman"/>
      </w:rPr>
    </w:pPr>
    <w:r w:rsidRPr="003B1DA1">
      <w:rPr>
        <w:rFonts w:ascii="Times New Roman" w:hAnsi="Times New Roman"/>
      </w:rPr>
      <w:fldChar w:fldCharType="begin"/>
    </w:r>
    <w:r w:rsidRPr="003B1DA1">
      <w:rPr>
        <w:rFonts w:ascii="Times New Roman" w:hAnsi="Times New Roman"/>
      </w:rPr>
      <w:instrText>PAGE   \* MERGEFORMAT</w:instrText>
    </w:r>
    <w:r w:rsidRPr="003B1DA1">
      <w:rPr>
        <w:rFonts w:ascii="Times New Roman" w:hAnsi="Times New Roman"/>
      </w:rPr>
      <w:fldChar w:fldCharType="separate"/>
    </w:r>
    <w:r w:rsidR="00FD7B0B">
      <w:rPr>
        <w:rFonts w:ascii="Times New Roman" w:hAnsi="Times New Roman"/>
        <w:noProof/>
      </w:rPr>
      <w:t>2</w:t>
    </w:r>
    <w:r w:rsidRPr="003B1DA1">
      <w:rPr>
        <w:rFonts w:ascii="Times New Roman" w:hAnsi="Times New Roman"/>
      </w:rPr>
      <w:fldChar w:fldCharType="end"/>
    </w:r>
  </w:p>
  <w:p w14:paraId="2D551C14" w14:textId="77777777" w:rsidR="002206D2" w:rsidRDefault="002206D2">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F3CC89" w14:textId="77777777" w:rsidR="00CA3929" w:rsidRDefault="00CA3929" w:rsidP="00971EC6">
      <w:pPr>
        <w:spacing w:after="0" w:line="240" w:lineRule="auto"/>
      </w:pPr>
      <w:r>
        <w:separator/>
      </w:r>
    </w:p>
  </w:footnote>
  <w:footnote w:type="continuationSeparator" w:id="0">
    <w:p w14:paraId="1B22E6DF" w14:textId="77777777" w:rsidR="00CA3929" w:rsidRDefault="00CA3929" w:rsidP="00971EC6">
      <w:pPr>
        <w:spacing w:after="0" w:line="240" w:lineRule="auto"/>
      </w:pPr>
      <w:r>
        <w:continuationSeparator/>
      </w:r>
    </w:p>
  </w:footnote>
  <w:footnote w:id="1">
    <w:p w14:paraId="7DD2300D" w14:textId="77777777" w:rsidR="002206D2" w:rsidRDefault="002206D2" w:rsidP="005A472F">
      <w:pPr>
        <w:pStyle w:val="afff"/>
      </w:pPr>
      <w:r w:rsidRPr="00890735">
        <w:rPr>
          <w:rStyle w:val="afff1"/>
          <w:rFonts w:ascii="Times New Roman" w:hAnsi="Times New Roman"/>
        </w:rPr>
        <w:footnoteRef/>
      </w:r>
      <w:r w:rsidRPr="00890735">
        <w:rPr>
          <w:rFonts w:ascii="Times New Roman" w:hAnsi="Times New Roman"/>
        </w:rPr>
        <w:t xml:space="preserve"> </w:t>
      </w:r>
      <w:hyperlink r:id="rId1" w:history="1">
        <w:r w:rsidRPr="003E64E6">
          <w:rPr>
            <w:rStyle w:val="afb"/>
            <w:rFonts w:ascii="Times New Roman" w:hAnsi="Times New Roman"/>
          </w:rPr>
          <w:t>https://rosstat.gov.ru/storage/mediabank/sev-zapad_fo_4k-2024.pdf</w:t>
        </w:r>
      </w:hyperlink>
      <w:r>
        <w:rPr>
          <w:rFonts w:ascii="Times New Roman" w:hAnsi="Times New Roman"/>
        </w:rPr>
        <w:t>, С</w:t>
      </w:r>
      <w:r w:rsidRPr="00890735">
        <w:rPr>
          <w:rStyle w:val="afb"/>
          <w:rFonts w:ascii="Times New Roman" w:hAnsi="Times New Roman"/>
          <w:color w:val="auto"/>
          <w:u w:val="none"/>
        </w:rPr>
        <w:t xml:space="preserve">татистический сборник «Социально-экономическое положение </w:t>
      </w:r>
      <w:r>
        <w:rPr>
          <w:rStyle w:val="afb"/>
          <w:rFonts w:ascii="Times New Roman" w:hAnsi="Times New Roman"/>
          <w:color w:val="auto"/>
          <w:u w:val="none"/>
        </w:rPr>
        <w:t>Северо-Западного федерального округа</w:t>
      </w:r>
      <w:r w:rsidRPr="00890735">
        <w:rPr>
          <w:rStyle w:val="afb"/>
          <w:rFonts w:ascii="Times New Roman" w:hAnsi="Times New Roman"/>
          <w:color w:val="auto"/>
          <w:u w:val="none"/>
        </w:rPr>
        <w:t xml:space="preserve"> за 202</w:t>
      </w:r>
      <w:r>
        <w:rPr>
          <w:rStyle w:val="afb"/>
          <w:rFonts w:ascii="Times New Roman" w:hAnsi="Times New Roman"/>
          <w:color w:val="auto"/>
          <w:u w:val="none"/>
        </w:rPr>
        <w:t>4</w:t>
      </w:r>
      <w:r w:rsidRPr="00890735">
        <w:rPr>
          <w:rStyle w:val="afb"/>
          <w:rFonts w:ascii="Times New Roman" w:hAnsi="Times New Roman"/>
          <w:color w:val="auto"/>
          <w:u w:val="none"/>
        </w:rPr>
        <w:t xml:space="preserve"> год»</w:t>
      </w:r>
      <w:r>
        <w:rPr>
          <w:rStyle w:val="afb"/>
          <w:rFonts w:ascii="Times New Roman" w:hAnsi="Times New Roman"/>
          <w:color w:val="auto"/>
          <w:u w:val="none"/>
        </w:rPr>
        <w:t>;</w:t>
      </w:r>
    </w:p>
  </w:footnote>
  <w:footnote w:id="2">
    <w:p w14:paraId="038A5B5C" w14:textId="77777777" w:rsidR="002206D2" w:rsidRDefault="002206D2" w:rsidP="005A472F">
      <w:pPr>
        <w:pStyle w:val="afff"/>
      </w:pPr>
      <w:r w:rsidRPr="00890735">
        <w:rPr>
          <w:rStyle w:val="afff1"/>
          <w:rFonts w:ascii="Times New Roman" w:hAnsi="Times New Roman"/>
        </w:rPr>
        <w:footnoteRef/>
      </w:r>
      <w:r w:rsidRPr="00890735">
        <w:rPr>
          <w:rFonts w:ascii="Times New Roman" w:hAnsi="Times New Roman"/>
        </w:rPr>
        <w:t xml:space="preserve"> </w:t>
      </w:r>
      <w:hyperlink r:id="rId2" w:history="1">
        <w:r w:rsidRPr="003E64E6">
          <w:rPr>
            <w:rStyle w:val="afb"/>
            <w:rFonts w:ascii="Times New Roman" w:hAnsi="Times New Roman"/>
          </w:rPr>
          <w:t>https://29.rosstat.gov.ru/storage/mediabank/DoclN12(1).pdf</w:t>
        </w:r>
      </w:hyperlink>
      <w:r>
        <w:rPr>
          <w:rFonts w:ascii="Times New Roman" w:hAnsi="Times New Roman"/>
        </w:rPr>
        <w:t>, С</w:t>
      </w:r>
      <w:r w:rsidRPr="00890735">
        <w:rPr>
          <w:rStyle w:val="afb"/>
          <w:rFonts w:ascii="Times New Roman" w:hAnsi="Times New Roman"/>
          <w:color w:val="auto"/>
          <w:u w:val="none"/>
        </w:rPr>
        <w:t>татистический сборник «Социально-экономическое положение Архангельской области (без НАО) за 202</w:t>
      </w:r>
      <w:r>
        <w:rPr>
          <w:rStyle w:val="afb"/>
          <w:rFonts w:ascii="Times New Roman" w:hAnsi="Times New Roman"/>
          <w:color w:val="auto"/>
          <w:u w:val="none"/>
        </w:rPr>
        <w:t>4</w:t>
      </w:r>
      <w:r w:rsidRPr="00890735">
        <w:rPr>
          <w:rStyle w:val="afb"/>
          <w:rFonts w:ascii="Times New Roman" w:hAnsi="Times New Roman"/>
          <w:color w:val="auto"/>
          <w:u w:val="none"/>
        </w:rPr>
        <w:t xml:space="preserve"> год»</w:t>
      </w:r>
      <w:r>
        <w:rPr>
          <w:rStyle w:val="afb"/>
          <w:rFonts w:ascii="Times New Roman" w:hAnsi="Times New Roman"/>
          <w:color w:val="auto"/>
          <w:u w:val="none"/>
        </w:rPr>
        <w:t>,</w:t>
      </w:r>
    </w:p>
  </w:footnote>
  <w:footnote w:id="3">
    <w:p w14:paraId="6DDF9CFB" w14:textId="77777777" w:rsidR="002206D2" w:rsidRDefault="002206D2" w:rsidP="005A472F">
      <w:pPr>
        <w:pStyle w:val="afff"/>
      </w:pPr>
      <w:r>
        <w:rPr>
          <w:rStyle w:val="afff1"/>
        </w:rPr>
        <w:footnoteRef/>
      </w:r>
      <w:r>
        <w:t xml:space="preserve"> </w:t>
      </w:r>
      <w:r>
        <w:rPr>
          <w:rFonts w:ascii="Times New Roman" w:hAnsi="Times New Roman"/>
        </w:rPr>
        <w:t>Показатель «Оценка 2024 год»</w:t>
      </w:r>
      <w:r w:rsidRPr="00E577AA">
        <w:rPr>
          <w:rFonts w:ascii="Times New Roman" w:hAnsi="Times New Roman"/>
        </w:rPr>
        <w:t xml:space="preserve"> одобрен распоряжением Правительства Архангельской области от </w:t>
      </w:r>
      <w:r>
        <w:rPr>
          <w:rFonts w:ascii="Times New Roman" w:hAnsi="Times New Roman"/>
        </w:rPr>
        <w:t>22</w:t>
      </w:r>
      <w:r w:rsidRPr="00E577AA">
        <w:rPr>
          <w:rFonts w:ascii="Times New Roman" w:hAnsi="Times New Roman"/>
        </w:rPr>
        <w:t>.10.202</w:t>
      </w:r>
      <w:r>
        <w:rPr>
          <w:rFonts w:ascii="Times New Roman" w:hAnsi="Times New Roman"/>
        </w:rPr>
        <w:t>4</w:t>
      </w:r>
      <w:r w:rsidRPr="00E577AA">
        <w:rPr>
          <w:rFonts w:ascii="Times New Roman" w:hAnsi="Times New Roman"/>
        </w:rPr>
        <w:t xml:space="preserve"> № </w:t>
      </w:r>
      <w:r>
        <w:rPr>
          <w:rFonts w:ascii="Times New Roman" w:hAnsi="Times New Roman"/>
        </w:rPr>
        <w:t>53</w:t>
      </w:r>
      <w:r w:rsidRPr="00E577AA">
        <w:rPr>
          <w:rFonts w:ascii="Times New Roman" w:hAnsi="Times New Roman"/>
        </w:rPr>
        <w:t>9-рп</w:t>
      </w:r>
    </w:p>
  </w:footnote>
  <w:footnote w:id="4">
    <w:p w14:paraId="36962ABE" w14:textId="77777777" w:rsidR="002206D2" w:rsidRPr="00E2155E" w:rsidRDefault="002206D2" w:rsidP="005A472F">
      <w:pPr>
        <w:pStyle w:val="afff"/>
        <w:rPr>
          <w:rFonts w:ascii="Times New Roman" w:hAnsi="Times New Roman"/>
        </w:rPr>
      </w:pPr>
      <w:r>
        <w:rPr>
          <w:rStyle w:val="afff1"/>
        </w:rPr>
        <w:footnoteRef/>
      </w:r>
      <w:r>
        <w:t xml:space="preserve"> </w:t>
      </w:r>
      <w:hyperlink r:id="rId3" w:history="1">
        <w:r w:rsidRPr="00E2155E">
          <w:rPr>
            <w:rStyle w:val="afb"/>
            <w:rFonts w:ascii="Times New Roman" w:hAnsi="Times New Roman"/>
          </w:rPr>
          <w:t>https://29.rosstat.gov.ru/publication_arh</w:t>
        </w:r>
      </w:hyperlink>
      <w:r>
        <w:rPr>
          <w:rFonts w:ascii="Times New Roman" w:hAnsi="Times New Roman"/>
        </w:rPr>
        <w:t>, Архангельскстат, «Статистический ежегодник Архангельская область без Ненецкого автономного округа 2023», статистический сборник</w:t>
      </w:r>
    </w:p>
    <w:p w14:paraId="39F281AE" w14:textId="77777777" w:rsidR="002206D2" w:rsidRDefault="002206D2" w:rsidP="005A472F">
      <w:pPr>
        <w:pStyle w:val="afff"/>
      </w:pPr>
    </w:p>
  </w:footnote>
  <w:footnote w:id="5">
    <w:p w14:paraId="2765D511" w14:textId="14626946" w:rsidR="002206D2" w:rsidRDefault="002206D2" w:rsidP="005A472F">
      <w:pPr>
        <w:pStyle w:val="afff"/>
        <w:rPr>
          <w:rStyle w:val="afb"/>
          <w:rFonts w:ascii="Times New Roman" w:hAnsi="Times New Roman"/>
          <w:color w:val="auto"/>
          <w:u w:val="none"/>
        </w:rPr>
      </w:pPr>
      <w:r w:rsidRPr="00241141">
        <w:rPr>
          <w:rStyle w:val="afff1"/>
        </w:rPr>
        <w:footnoteRef/>
      </w:r>
      <w:r w:rsidRPr="00241141">
        <w:rPr>
          <w:rStyle w:val="afb"/>
          <w:rFonts w:ascii="Times New Roman" w:hAnsi="Times New Roman"/>
        </w:rPr>
        <w:t xml:space="preserve"> </w:t>
      </w:r>
      <w:hyperlink r:id="rId4" w:tgtFrame="_blank" w:history="1">
        <w:r w:rsidRPr="008C6782">
          <w:rPr>
            <w:rStyle w:val="afb"/>
            <w:rFonts w:ascii="Times New Roman" w:hAnsi="Times New Roman"/>
            <w:sz w:val="21"/>
            <w:szCs w:val="21"/>
            <w:shd w:val="clear" w:color="auto" w:fill="EBE9E5"/>
          </w:rPr>
          <w:t>https://office.dvinaland.ru/docs/pub/a3b26c03959362844485c4bf123b619f/default/?&amp;</w:t>
        </w:r>
      </w:hyperlink>
      <w:r w:rsidRPr="008C6782">
        <w:rPr>
          <w:rStyle w:val="afb"/>
          <w:rFonts w:ascii="Times New Roman" w:hAnsi="Times New Roman"/>
          <w:color w:val="auto"/>
          <w:u w:val="none"/>
        </w:rPr>
        <w:t xml:space="preserve"> «Реестр приоритетных инвестиционных проектов Архангельской</w:t>
      </w:r>
      <w:r w:rsidRPr="008C6782">
        <w:rPr>
          <w:rStyle w:val="afb"/>
          <w:rFonts w:ascii="Times New Roman" w:hAnsi="Times New Roman"/>
          <w:color w:val="auto"/>
        </w:rPr>
        <w:t xml:space="preserve"> </w:t>
      </w:r>
      <w:r>
        <w:rPr>
          <w:rStyle w:val="afb"/>
          <w:rFonts w:ascii="Times New Roman" w:hAnsi="Times New Roman"/>
          <w:color w:val="auto"/>
          <w:u w:val="none"/>
        </w:rPr>
        <w:t>области»</w:t>
      </w:r>
    </w:p>
    <w:p w14:paraId="3E0D9802" w14:textId="77777777" w:rsidR="002206D2" w:rsidRPr="00F66974" w:rsidRDefault="002206D2" w:rsidP="005A472F">
      <w:pPr>
        <w:pStyle w:val="afff"/>
        <w:rPr>
          <w:rFonts w:ascii="Times New Roman" w:hAnsi="Times New Roman"/>
        </w:rPr>
      </w:pPr>
    </w:p>
  </w:footnote>
  <w:footnote w:id="6">
    <w:p w14:paraId="0D35298F" w14:textId="77777777" w:rsidR="002206D2" w:rsidRPr="0039279B" w:rsidRDefault="002206D2" w:rsidP="005A472F">
      <w:pPr>
        <w:pStyle w:val="afff"/>
        <w:rPr>
          <w:rFonts w:ascii="Times New Roman" w:hAnsi="Times New Roman"/>
        </w:rPr>
      </w:pPr>
      <w:r w:rsidRPr="0039279B">
        <w:rPr>
          <w:rStyle w:val="afff1"/>
          <w:rFonts w:ascii="Times New Roman" w:hAnsi="Times New Roman"/>
        </w:rPr>
        <w:footnoteRef/>
      </w:r>
      <w:r w:rsidRPr="0039279B">
        <w:rPr>
          <w:rFonts w:ascii="Times New Roman" w:hAnsi="Times New Roman"/>
        </w:rPr>
        <w:t xml:space="preserve"> данные не публикуются в целях обеспечения конфиденциальности первичных статистических данных, полученных от организаций, в соответствии с Федеральным законом от 29.11.2007 № 282-ФЗ «Об официальном статистическом учете и системе государственной статистики в Российской Федерации» (ст.4, п.5; ст.9, п.1).</w:t>
      </w:r>
    </w:p>
  </w:footnote>
  <w:footnote w:id="7">
    <w:p w14:paraId="34240F2B" w14:textId="77777777" w:rsidR="002206D2" w:rsidRPr="008A5E76" w:rsidRDefault="002206D2" w:rsidP="005A472F">
      <w:pPr>
        <w:pStyle w:val="afff"/>
        <w:rPr>
          <w:rFonts w:ascii="Times New Roman" w:hAnsi="Times New Roman"/>
        </w:rPr>
      </w:pPr>
      <w:r w:rsidRPr="008A5E76">
        <w:rPr>
          <w:rStyle w:val="afff1"/>
          <w:rFonts w:ascii="Times New Roman" w:hAnsi="Times New Roman"/>
        </w:rPr>
        <w:footnoteRef/>
      </w:r>
      <w:r w:rsidRPr="008A5E76">
        <w:rPr>
          <w:rFonts w:ascii="Times New Roman" w:hAnsi="Times New Roman"/>
        </w:rPr>
        <w:t xml:space="preserve"> </w:t>
      </w:r>
      <w:hyperlink r:id="rId5" w:history="1">
        <w:r w:rsidRPr="008A5E76">
          <w:rPr>
            <w:rStyle w:val="afb"/>
            <w:rFonts w:ascii="Times New Roman" w:hAnsi="Times New Roman"/>
          </w:rPr>
          <w:t>https://riarating.ru/infografika/20250324/630278279.html</w:t>
        </w:r>
      </w:hyperlink>
      <w:r>
        <w:rPr>
          <w:rFonts w:ascii="Times New Roman" w:hAnsi="Times New Roman"/>
        </w:rPr>
        <w:t>//</w:t>
      </w:r>
      <w:r w:rsidRPr="008A5E76">
        <w:rPr>
          <w:rFonts w:ascii="Times New Roman" w:hAnsi="Times New Roman"/>
        </w:rPr>
        <w:t>Рейтинг регионов РФ по вводу жилья в 2024 году</w:t>
      </w:r>
    </w:p>
  </w:footnote>
  <w:footnote w:id="8">
    <w:p w14:paraId="13AF153F" w14:textId="77777777" w:rsidR="002206D2" w:rsidRPr="003867C6" w:rsidRDefault="002206D2" w:rsidP="00EB3768">
      <w:pPr>
        <w:pStyle w:val="afff"/>
        <w:rPr>
          <w:rFonts w:ascii="Times New Roman" w:hAnsi="Times New Roman"/>
        </w:rPr>
      </w:pPr>
      <w:r>
        <w:rPr>
          <w:rStyle w:val="afff1"/>
        </w:rPr>
        <w:footnoteRef/>
      </w:r>
      <w:r>
        <w:t xml:space="preserve"> </w:t>
      </w:r>
      <w:hyperlink r:id="rId6" w:history="1">
        <w:r w:rsidRPr="00441471">
          <w:rPr>
            <w:rStyle w:val="afb"/>
            <w:rFonts w:ascii="Times New Roman" w:hAnsi="Times New Roman"/>
          </w:rPr>
          <w:t>http://www.kremlin.ru/events/president/transcripts/messages/73585</w:t>
        </w:r>
      </w:hyperlink>
      <w:r>
        <w:rPr>
          <w:rFonts w:ascii="Times New Roman" w:hAnsi="Times New Roman"/>
        </w:rPr>
        <w:t xml:space="preserve">, </w:t>
      </w:r>
      <w:r w:rsidRPr="004E0172">
        <w:rPr>
          <w:rFonts w:ascii="Times New Roman" w:hAnsi="Times New Roman"/>
        </w:rPr>
        <w:t>Послание Президента Федеральному Собранию</w:t>
      </w:r>
      <w:r>
        <w:rPr>
          <w:rFonts w:ascii="Times New Roman" w:hAnsi="Times New Roman"/>
        </w:rPr>
        <w:t xml:space="preserve"> от 29.02.2024</w:t>
      </w:r>
    </w:p>
  </w:footnote>
  <w:footnote w:id="9">
    <w:p w14:paraId="62C1118C" w14:textId="77777777" w:rsidR="002206D2" w:rsidRPr="00EE3C95" w:rsidRDefault="002206D2" w:rsidP="005A472F">
      <w:pPr>
        <w:pStyle w:val="afff"/>
        <w:rPr>
          <w:rFonts w:ascii="Times New Roman" w:hAnsi="Times New Roman"/>
          <w:sz w:val="22"/>
          <w:szCs w:val="22"/>
        </w:rPr>
      </w:pPr>
      <w:r w:rsidRPr="00EE3C95">
        <w:rPr>
          <w:rStyle w:val="afff1"/>
          <w:rFonts w:ascii="Times New Roman" w:hAnsi="Times New Roman"/>
          <w:sz w:val="22"/>
          <w:szCs w:val="22"/>
        </w:rPr>
        <w:footnoteRef/>
      </w:r>
      <w:r w:rsidRPr="00EE3C95">
        <w:rPr>
          <w:rFonts w:ascii="Times New Roman" w:hAnsi="Times New Roman"/>
          <w:sz w:val="22"/>
          <w:szCs w:val="22"/>
        </w:rPr>
        <w:t xml:space="preserve"> </w:t>
      </w:r>
      <w:hyperlink r:id="rId7" w:history="1">
        <w:r w:rsidRPr="003E64E6">
          <w:rPr>
            <w:rStyle w:val="afb"/>
            <w:rFonts w:ascii="Times New Roman" w:hAnsi="Times New Roman"/>
          </w:rPr>
          <w:t>https://rosstat.gov.ru/storage/mediabank/sev-zapad_fo_4k-2024.pdf</w:t>
        </w:r>
      </w:hyperlink>
      <w:r>
        <w:rPr>
          <w:rFonts w:ascii="Times New Roman" w:hAnsi="Times New Roman"/>
        </w:rPr>
        <w:t>, С</w:t>
      </w:r>
      <w:r w:rsidRPr="00890735">
        <w:rPr>
          <w:rStyle w:val="afb"/>
          <w:rFonts w:ascii="Times New Roman" w:hAnsi="Times New Roman"/>
          <w:color w:val="auto"/>
          <w:u w:val="none"/>
        </w:rPr>
        <w:t xml:space="preserve">татистический сборник «Социально-экономическое положение </w:t>
      </w:r>
      <w:r>
        <w:rPr>
          <w:rStyle w:val="afb"/>
          <w:rFonts w:ascii="Times New Roman" w:hAnsi="Times New Roman"/>
          <w:color w:val="auto"/>
          <w:u w:val="none"/>
        </w:rPr>
        <w:t>Северо-Западного федерального округа</w:t>
      </w:r>
      <w:r w:rsidRPr="00890735">
        <w:rPr>
          <w:rStyle w:val="afb"/>
          <w:rFonts w:ascii="Times New Roman" w:hAnsi="Times New Roman"/>
          <w:color w:val="auto"/>
          <w:u w:val="none"/>
        </w:rPr>
        <w:t xml:space="preserve"> за 202</w:t>
      </w:r>
      <w:r>
        <w:rPr>
          <w:rStyle w:val="afb"/>
          <w:rFonts w:ascii="Times New Roman" w:hAnsi="Times New Roman"/>
          <w:color w:val="auto"/>
          <w:u w:val="none"/>
        </w:rPr>
        <w:t>4</w:t>
      </w:r>
      <w:r w:rsidRPr="00890735">
        <w:rPr>
          <w:rStyle w:val="afb"/>
          <w:rFonts w:ascii="Times New Roman" w:hAnsi="Times New Roman"/>
          <w:color w:val="auto"/>
          <w:u w:val="none"/>
        </w:rPr>
        <w:t xml:space="preserve"> год»</w:t>
      </w:r>
    </w:p>
  </w:footnote>
  <w:footnote w:id="10">
    <w:p w14:paraId="409C6437" w14:textId="77777777" w:rsidR="002206D2" w:rsidRPr="008175CE" w:rsidRDefault="002206D2" w:rsidP="008175CE">
      <w:pPr>
        <w:pStyle w:val="afff"/>
        <w:rPr>
          <w:rFonts w:ascii="Times New Roman" w:hAnsi="Times New Roman"/>
        </w:rPr>
      </w:pPr>
      <w:r w:rsidRPr="008175CE">
        <w:rPr>
          <w:rStyle w:val="afff1"/>
          <w:rFonts w:ascii="Times New Roman" w:hAnsi="Times New Roman"/>
        </w:rPr>
        <w:footnoteRef/>
      </w:r>
      <w:r w:rsidRPr="008175CE">
        <w:rPr>
          <w:rFonts w:ascii="Times New Roman" w:hAnsi="Times New Roman"/>
        </w:rPr>
        <w:t xml:space="preserve"> В расчете динамики численности трудоспособного населения Архангельской области (без НАО) использованы данные раздела «Численность населения» «Оценка численности населения по полу и возрасту на 01.01.2024; человек)», размещенные на </w:t>
      </w:r>
      <w:hyperlink r:id="rId8" w:history="1">
        <w:r w:rsidRPr="008175CE">
          <w:rPr>
            <w:rStyle w:val="afb"/>
            <w:rFonts w:ascii="Times New Roman" w:hAnsi="Times New Roman"/>
          </w:rPr>
          <w:t>https://29.rosstat.gov.ru/population11001</w:t>
        </w:r>
      </w:hyperlink>
      <w:r w:rsidRPr="008175CE">
        <w:rPr>
          <w:rFonts w:ascii="Times New Roman" w:hAnsi="Times New Roman"/>
        </w:rPr>
        <w:t xml:space="preserve">, </w:t>
      </w:r>
    </w:p>
  </w:footnote>
  <w:footnote w:id="11">
    <w:p w14:paraId="4ABD587D" w14:textId="77777777" w:rsidR="002206D2" w:rsidRPr="006C1D7A" w:rsidRDefault="002206D2" w:rsidP="008175CE">
      <w:pPr>
        <w:pStyle w:val="affff"/>
        <w:spacing w:line="240" w:lineRule="auto"/>
      </w:pPr>
      <w:r w:rsidRPr="008175CE">
        <w:rPr>
          <w:rStyle w:val="afff1"/>
          <w:sz w:val="20"/>
          <w:szCs w:val="20"/>
        </w:rPr>
        <w:footnoteRef/>
      </w:r>
      <w:r w:rsidRPr="008175CE">
        <w:rPr>
          <w:sz w:val="20"/>
          <w:szCs w:val="20"/>
        </w:rPr>
        <w:t xml:space="preserve"> трудоспособное население: </w:t>
      </w:r>
      <w:r w:rsidRPr="008175CE">
        <w:rPr>
          <w:sz w:val="20"/>
          <w:szCs w:val="20"/>
          <w:u w:val="single"/>
        </w:rPr>
        <w:t>на 1 января 2020-2021 года</w:t>
      </w:r>
      <w:r w:rsidRPr="008175CE">
        <w:rPr>
          <w:sz w:val="20"/>
          <w:szCs w:val="20"/>
        </w:rPr>
        <w:t xml:space="preserve"> </w:t>
      </w:r>
      <w:r w:rsidRPr="008175CE">
        <w:rPr>
          <w:rFonts w:cs="Arial"/>
          <w:sz w:val="20"/>
          <w:szCs w:val="20"/>
        </w:rPr>
        <w:t>–</w:t>
      </w:r>
      <w:r w:rsidRPr="008175CE">
        <w:rPr>
          <w:sz w:val="20"/>
          <w:szCs w:val="20"/>
        </w:rPr>
        <w:t xml:space="preserve"> мужчины в возрасте 16-60 лет, женщины </w:t>
      </w:r>
      <w:r w:rsidRPr="008175CE">
        <w:rPr>
          <w:rFonts w:cs="Arial"/>
          <w:sz w:val="20"/>
          <w:szCs w:val="20"/>
        </w:rPr>
        <w:t>–</w:t>
      </w:r>
      <w:r w:rsidRPr="008175CE">
        <w:rPr>
          <w:sz w:val="20"/>
          <w:szCs w:val="20"/>
        </w:rPr>
        <w:t xml:space="preserve"> 16-55 лет, </w:t>
      </w:r>
      <w:r w:rsidRPr="008175CE">
        <w:rPr>
          <w:sz w:val="20"/>
          <w:szCs w:val="20"/>
          <w:u w:val="single"/>
        </w:rPr>
        <w:t>на 1 января 2022-2023 года</w:t>
      </w:r>
      <w:r w:rsidRPr="008175CE">
        <w:rPr>
          <w:sz w:val="20"/>
          <w:szCs w:val="20"/>
        </w:rPr>
        <w:t xml:space="preserve"> – мужчины в возрасте 16-61 год, женщины </w:t>
      </w:r>
      <w:r w:rsidRPr="008175CE">
        <w:rPr>
          <w:rFonts w:cs="Arial"/>
          <w:sz w:val="20"/>
          <w:szCs w:val="20"/>
        </w:rPr>
        <w:t>–</w:t>
      </w:r>
      <w:r w:rsidRPr="008175CE">
        <w:rPr>
          <w:sz w:val="20"/>
          <w:szCs w:val="20"/>
        </w:rPr>
        <w:t xml:space="preserve"> 16-56 лет, </w:t>
      </w:r>
      <w:r w:rsidRPr="008175CE">
        <w:rPr>
          <w:rFonts w:cs="Arial"/>
          <w:spacing w:val="-2"/>
          <w:sz w:val="20"/>
          <w:szCs w:val="20"/>
          <w:u w:val="single"/>
        </w:rPr>
        <w:t>н</w:t>
      </w:r>
      <w:r w:rsidRPr="008175CE">
        <w:rPr>
          <w:rFonts w:cs="Arial"/>
          <w:sz w:val="20"/>
          <w:szCs w:val="20"/>
          <w:u w:val="single"/>
        </w:rPr>
        <w:t>а 1 января 2024 года</w:t>
      </w:r>
      <w:r w:rsidRPr="008175CE">
        <w:rPr>
          <w:rFonts w:cs="Arial"/>
          <w:sz w:val="20"/>
          <w:szCs w:val="20"/>
        </w:rPr>
        <w:t xml:space="preserve"> – м</w:t>
      </w:r>
      <w:r w:rsidRPr="008175CE">
        <w:rPr>
          <w:rFonts w:cs="Arial"/>
          <w:spacing w:val="-2"/>
          <w:sz w:val="20"/>
          <w:szCs w:val="20"/>
        </w:rPr>
        <w:t xml:space="preserve">ужчины в возрасте 16-62 года, женщины </w:t>
      </w:r>
      <w:r w:rsidRPr="008175CE">
        <w:rPr>
          <w:rFonts w:cs="Arial"/>
          <w:sz w:val="20"/>
          <w:szCs w:val="20"/>
        </w:rPr>
        <w:t>–</w:t>
      </w:r>
      <w:r w:rsidRPr="008175CE">
        <w:rPr>
          <w:rFonts w:cs="Arial"/>
          <w:spacing w:val="-2"/>
          <w:sz w:val="20"/>
          <w:szCs w:val="20"/>
        </w:rPr>
        <w:t xml:space="preserve"> 16-57 лет</w:t>
      </w:r>
      <w:r w:rsidRPr="008175CE">
        <w:rPr>
          <w:sz w:val="20"/>
          <w:szCs w:val="20"/>
        </w:rPr>
        <w:t>; к населению моложе трудоспособного возраста отнесены дети в возрасте 0 – 15 лет</w:t>
      </w:r>
    </w:p>
  </w:footnote>
  <w:footnote w:id="12">
    <w:p w14:paraId="5CF88A53" w14:textId="77777777" w:rsidR="002206D2" w:rsidRPr="004637E0" w:rsidRDefault="002206D2" w:rsidP="001060B9">
      <w:pPr>
        <w:pStyle w:val="ad"/>
        <w:rPr>
          <w:rFonts w:ascii="Times New Roman" w:hAnsi="Times New Roman"/>
          <w:sz w:val="20"/>
          <w:szCs w:val="20"/>
        </w:rPr>
      </w:pPr>
      <w:r w:rsidRPr="004637E0">
        <w:rPr>
          <w:rStyle w:val="afff1"/>
          <w:rFonts w:ascii="Times New Roman" w:hAnsi="Times New Roman"/>
          <w:sz w:val="20"/>
          <w:szCs w:val="20"/>
        </w:rPr>
        <w:footnoteRef/>
      </w:r>
      <w:r w:rsidRPr="004637E0">
        <w:rPr>
          <w:rFonts w:ascii="Times New Roman" w:hAnsi="Times New Roman"/>
          <w:sz w:val="20"/>
          <w:szCs w:val="20"/>
        </w:rPr>
        <w:t xml:space="preserve"> </w:t>
      </w:r>
      <w:hyperlink r:id="rId9" w:history="1">
        <w:r w:rsidRPr="004637E0">
          <w:rPr>
            <w:rStyle w:val="afb"/>
            <w:rFonts w:ascii="Times New Roman" w:hAnsi="Times New Roman"/>
            <w:sz w:val="20"/>
            <w:szCs w:val="20"/>
          </w:rPr>
          <w:t>https://rosstat.gov.ru/folder/12781</w:t>
        </w:r>
      </w:hyperlink>
      <w:r w:rsidRPr="004637E0">
        <w:rPr>
          <w:rFonts w:ascii="Times New Roman" w:hAnsi="Times New Roman"/>
          <w:sz w:val="20"/>
          <w:szCs w:val="20"/>
        </w:rPr>
        <w:t xml:space="preserve">, </w:t>
      </w:r>
      <w:r w:rsidRPr="004637E0">
        <w:rPr>
          <w:rStyle w:val="afb"/>
          <w:rFonts w:ascii="Times New Roman" w:hAnsi="Times New Roman"/>
          <w:color w:val="auto"/>
          <w:sz w:val="20"/>
          <w:szCs w:val="20"/>
          <w:u w:val="none"/>
        </w:rPr>
        <w:t>ФСГС, официальная статистика, раздел «Население», подраздел «Демография» (на 29.12.2023);</w:t>
      </w:r>
    </w:p>
  </w:footnote>
  <w:footnote w:id="13">
    <w:p w14:paraId="45DF86F7" w14:textId="77777777" w:rsidR="002206D2" w:rsidRPr="004637E0" w:rsidRDefault="002206D2" w:rsidP="001060B9">
      <w:pPr>
        <w:pStyle w:val="ad"/>
        <w:rPr>
          <w:rFonts w:ascii="Times New Roman" w:hAnsi="Times New Roman"/>
          <w:sz w:val="20"/>
          <w:szCs w:val="20"/>
        </w:rPr>
      </w:pPr>
      <w:r w:rsidRPr="004637E0">
        <w:rPr>
          <w:rStyle w:val="afff1"/>
          <w:rFonts w:ascii="Times New Roman" w:hAnsi="Times New Roman"/>
          <w:sz w:val="20"/>
          <w:szCs w:val="20"/>
        </w:rPr>
        <w:footnoteRef/>
      </w:r>
      <w:r w:rsidRPr="004637E0">
        <w:rPr>
          <w:rFonts w:ascii="Times New Roman" w:hAnsi="Times New Roman"/>
          <w:sz w:val="20"/>
          <w:szCs w:val="20"/>
        </w:rPr>
        <w:t xml:space="preserve"> </w:t>
      </w:r>
      <w:hyperlink r:id="rId10" w:history="1">
        <w:r w:rsidRPr="0044354C">
          <w:rPr>
            <w:rStyle w:val="afb"/>
            <w:rFonts w:ascii="Times New Roman" w:hAnsi="Times New Roman"/>
            <w:sz w:val="20"/>
            <w:szCs w:val="20"/>
          </w:rPr>
          <w:t>https://mayaksbor.ru/news/society/opublikovany_dannye_po_sredney_ozhidaemoy_prodolzhitelnosti_zhizni_rozhdennykh_v_2024_godu/</w:t>
        </w:r>
      </w:hyperlink>
      <w:r>
        <w:rPr>
          <w:rFonts w:ascii="Times New Roman" w:hAnsi="Times New Roman"/>
          <w:sz w:val="20"/>
          <w:szCs w:val="20"/>
        </w:rPr>
        <w:t xml:space="preserve"> Электронный ресурс «Маяк», текст электронной статьи «</w:t>
      </w:r>
      <w:r w:rsidRPr="004637E0">
        <w:rPr>
          <w:rFonts w:ascii="Times New Roman" w:hAnsi="Times New Roman"/>
          <w:sz w:val="20"/>
          <w:szCs w:val="20"/>
        </w:rPr>
        <w:t>Опубликованы данные по средней ожидаемой продолжительности жизни рожденных в 2024 году</w:t>
      </w:r>
      <w:r>
        <w:rPr>
          <w:rFonts w:ascii="Times New Roman" w:hAnsi="Times New Roman"/>
          <w:sz w:val="20"/>
          <w:szCs w:val="20"/>
        </w:rPr>
        <w:t>» от 14.03.2025;</w:t>
      </w:r>
    </w:p>
  </w:footnote>
  <w:footnote w:id="14">
    <w:p w14:paraId="2B499264" w14:textId="77777777" w:rsidR="002206D2" w:rsidRPr="004637E0" w:rsidRDefault="002206D2" w:rsidP="001060B9">
      <w:pPr>
        <w:pStyle w:val="afff"/>
        <w:rPr>
          <w:rFonts w:ascii="Times New Roman" w:hAnsi="Times New Roman"/>
        </w:rPr>
      </w:pPr>
      <w:r w:rsidRPr="004637E0">
        <w:rPr>
          <w:rStyle w:val="afff1"/>
          <w:rFonts w:ascii="Times New Roman" w:hAnsi="Times New Roman"/>
        </w:rPr>
        <w:footnoteRef/>
      </w:r>
      <w:r w:rsidRPr="004637E0">
        <w:rPr>
          <w:rFonts w:ascii="Times New Roman" w:hAnsi="Times New Roman"/>
        </w:rPr>
        <w:t xml:space="preserve"> </w:t>
      </w:r>
      <w:hyperlink r:id="rId11" w:history="1">
        <w:r w:rsidRPr="004637E0">
          <w:rPr>
            <w:rStyle w:val="afb"/>
            <w:rFonts w:ascii="Times New Roman" w:hAnsi="Times New Roman"/>
          </w:rPr>
          <w:t>https://29.rosstat.gov.ru/publication_arh</w:t>
        </w:r>
      </w:hyperlink>
      <w:r w:rsidRPr="004637E0">
        <w:rPr>
          <w:rFonts w:ascii="Times New Roman" w:hAnsi="Times New Roman"/>
        </w:rPr>
        <w:t>, раздел 4 «Население», «Статистический ежегодник Архангельская область без Ненецкого автономного округа 2023»;</w:t>
      </w:r>
    </w:p>
  </w:footnote>
  <w:footnote w:id="15">
    <w:p w14:paraId="4081C5F1" w14:textId="77777777" w:rsidR="002206D2" w:rsidRPr="001C2AB2" w:rsidRDefault="002206D2" w:rsidP="001060B9">
      <w:pPr>
        <w:pStyle w:val="afff"/>
        <w:rPr>
          <w:rFonts w:ascii="Times New Roman" w:hAnsi="Times New Roman"/>
        </w:rPr>
      </w:pPr>
      <w:r w:rsidRPr="004637E0">
        <w:rPr>
          <w:rStyle w:val="afff1"/>
          <w:rFonts w:ascii="Times New Roman" w:hAnsi="Times New Roman"/>
        </w:rPr>
        <w:footnoteRef/>
      </w:r>
      <w:r w:rsidRPr="004637E0">
        <w:rPr>
          <w:rFonts w:ascii="Times New Roman" w:hAnsi="Times New Roman"/>
        </w:rPr>
        <w:t xml:space="preserve"> </w:t>
      </w:r>
      <w:hyperlink r:id="rId12" w:history="1">
        <w:r w:rsidRPr="004637E0">
          <w:rPr>
            <w:rStyle w:val="afb"/>
            <w:rFonts w:ascii="Times New Roman" w:hAnsi="Times New Roman"/>
          </w:rPr>
          <w:t>https://29.rosstat.gov.ru/population11001</w:t>
        </w:r>
      </w:hyperlink>
      <w:r w:rsidRPr="004637E0">
        <w:rPr>
          <w:rFonts w:ascii="Times New Roman" w:hAnsi="Times New Roman"/>
        </w:rPr>
        <w:t>, раздел «Население», «Демографический прогноз», «Ожидаемая продолжительность жизни</w:t>
      </w:r>
      <w:r>
        <w:rPr>
          <w:rFonts w:ascii="Times New Roman" w:hAnsi="Times New Roman"/>
        </w:rPr>
        <w:t xml:space="preserve"> при рождении </w:t>
      </w:r>
      <w:r w:rsidRPr="00CE01E4">
        <w:rPr>
          <w:rFonts w:ascii="Times New Roman" w:hAnsi="Times New Roman"/>
        </w:rPr>
        <w:t>в Архангельской области (без НАО)</w:t>
      </w:r>
      <w:r>
        <w:rPr>
          <w:rFonts w:ascii="Times New Roman" w:hAnsi="Times New Roman"/>
        </w:rPr>
        <w:t xml:space="preserve"> по среднему варианту прогноза» (размещено на Архангельскстат 29.01.2024);</w:t>
      </w:r>
    </w:p>
  </w:footnote>
  <w:footnote w:id="16">
    <w:p w14:paraId="4D93908E" w14:textId="77777777" w:rsidR="002206D2" w:rsidRPr="00E577AA" w:rsidRDefault="002206D2" w:rsidP="001060B9">
      <w:pPr>
        <w:pStyle w:val="afff"/>
        <w:rPr>
          <w:rFonts w:ascii="Times New Roman" w:hAnsi="Times New Roman"/>
        </w:rPr>
      </w:pPr>
      <w:r w:rsidRPr="00E577AA">
        <w:rPr>
          <w:rStyle w:val="afff1"/>
          <w:rFonts w:ascii="Times New Roman" w:hAnsi="Times New Roman"/>
        </w:rPr>
        <w:footnoteRef/>
      </w:r>
      <w:r w:rsidRPr="00E577AA">
        <w:rPr>
          <w:rFonts w:ascii="Times New Roman" w:hAnsi="Times New Roman"/>
        </w:rPr>
        <w:t xml:space="preserve"> Показатель одобрен распоряжением Правительства Архангельской области от </w:t>
      </w:r>
      <w:r>
        <w:rPr>
          <w:rFonts w:ascii="Times New Roman" w:hAnsi="Times New Roman"/>
        </w:rPr>
        <w:t>22</w:t>
      </w:r>
      <w:r w:rsidRPr="00E577AA">
        <w:rPr>
          <w:rFonts w:ascii="Times New Roman" w:hAnsi="Times New Roman"/>
        </w:rPr>
        <w:t>.10.202</w:t>
      </w:r>
      <w:r>
        <w:rPr>
          <w:rFonts w:ascii="Times New Roman" w:hAnsi="Times New Roman"/>
        </w:rPr>
        <w:t>4</w:t>
      </w:r>
      <w:r w:rsidRPr="00E577AA">
        <w:rPr>
          <w:rFonts w:ascii="Times New Roman" w:hAnsi="Times New Roman"/>
        </w:rPr>
        <w:t xml:space="preserve"> № </w:t>
      </w:r>
      <w:r>
        <w:rPr>
          <w:rFonts w:ascii="Times New Roman" w:hAnsi="Times New Roman"/>
        </w:rPr>
        <w:t>53</w:t>
      </w:r>
      <w:r w:rsidRPr="00E577AA">
        <w:rPr>
          <w:rFonts w:ascii="Times New Roman" w:hAnsi="Times New Roman"/>
        </w:rPr>
        <w:t>9-рп</w:t>
      </w:r>
    </w:p>
  </w:footnote>
  <w:footnote w:id="17">
    <w:p w14:paraId="311D87E8" w14:textId="77777777" w:rsidR="002206D2" w:rsidRDefault="002206D2" w:rsidP="001060B9">
      <w:pPr>
        <w:pStyle w:val="afff"/>
      </w:pPr>
      <w:r>
        <w:rPr>
          <w:rStyle w:val="afff1"/>
        </w:rPr>
        <w:footnoteRef/>
      </w:r>
      <w:r>
        <w:t xml:space="preserve"> </w:t>
      </w:r>
      <w:r w:rsidRPr="00931F58">
        <w:rPr>
          <w:rFonts w:ascii="Times New Roman" w:hAnsi="Times New Roman"/>
        </w:rPr>
        <w:t>Показатель одобрен распоряжением Правител</w:t>
      </w:r>
      <w:r>
        <w:rPr>
          <w:rFonts w:ascii="Times New Roman" w:hAnsi="Times New Roman"/>
        </w:rPr>
        <w:t>ьства Архангельской области от 11</w:t>
      </w:r>
      <w:r w:rsidRPr="00931F58">
        <w:rPr>
          <w:rFonts w:ascii="Times New Roman" w:hAnsi="Times New Roman"/>
        </w:rPr>
        <w:t>.10.202</w:t>
      </w:r>
      <w:r>
        <w:rPr>
          <w:rFonts w:ascii="Times New Roman" w:hAnsi="Times New Roman"/>
        </w:rPr>
        <w:t>3</w:t>
      </w:r>
      <w:r w:rsidRPr="00931F58">
        <w:rPr>
          <w:rFonts w:ascii="Times New Roman" w:hAnsi="Times New Roman"/>
        </w:rPr>
        <w:t xml:space="preserve"> № </w:t>
      </w:r>
      <w:r>
        <w:rPr>
          <w:rFonts w:ascii="Times New Roman" w:hAnsi="Times New Roman"/>
        </w:rPr>
        <w:t>796</w:t>
      </w:r>
      <w:r w:rsidRPr="00931F58">
        <w:rPr>
          <w:rFonts w:ascii="Times New Roman" w:hAnsi="Times New Roman"/>
        </w:rPr>
        <w:t>-рп</w:t>
      </w:r>
    </w:p>
  </w:footnote>
  <w:footnote w:id="18">
    <w:p w14:paraId="54F38D79" w14:textId="77777777" w:rsidR="002206D2" w:rsidRPr="001E4A5A" w:rsidRDefault="002206D2" w:rsidP="005A472F">
      <w:pPr>
        <w:pStyle w:val="afff"/>
        <w:rPr>
          <w:rFonts w:ascii="Times New Roman" w:hAnsi="Times New Roman"/>
        </w:rPr>
      </w:pPr>
      <w:r w:rsidRPr="00775191">
        <w:rPr>
          <w:rStyle w:val="afff1"/>
          <w:rFonts w:ascii="Times New Roman" w:hAnsi="Times New Roman"/>
        </w:rPr>
        <w:footnoteRef/>
      </w:r>
      <w:r w:rsidRPr="00775191">
        <w:rPr>
          <w:rFonts w:ascii="Times New Roman" w:hAnsi="Times New Roman"/>
        </w:rPr>
        <w:t xml:space="preserve"> Государственная программа Архангельской области «Развитие здравоохранения Архангельской области», </w:t>
      </w:r>
      <w:r w:rsidRPr="001E4A5A">
        <w:rPr>
          <w:rFonts w:ascii="Times New Roman" w:hAnsi="Times New Roman"/>
        </w:rPr>
        <w:t>утвержденная постановлением Правительства Архангельской области от 12.10.2012 № 462-пп (далее – ГП № 462-пп;</w:t>
      </w:r>
    </w:p>
  </w:footnote>
  <w:footnote w:id="19">
    <w:p w14:paraId="1E872BA8" w14:textId="77777777" w:rsidR="002206D2" w:rsidRPr="001E4A5A" w:rsidRDefault="002206D2" w:rsidP="005A472F">
      <w:pPr>
        <w:pStyle w:val="afff"/>
        <w:rPr>
          <w:rFonts w:ascii="Times New Roman" w:hAnsi="Times New Roman"/>
        </w:rPr>
      </w:pPr>
      <w:r w:rsidRPr="001E4A5A">
        <w:rPr>
          <w:rStyle w:val="afff1"/>
          <w:rFonts w:ascii="Times New Roman" w:hAnsi="Times New Roman"/>
        </w:rPr>
        <w:footnoteRef/>
      </w:r>
      <w:r w:rsidRPr="001E4A5A">
        <w:rPr>
          <w:rFonts w:ascii="Times New Roman" w:hAnsi="Times New Roman"/>
        </w:rPr>
        <w:t xml:space="preserve"> Отчет ГП № 462-пп</w:t>
      </w:r>
      <w:r>
        <w:rPr>
          <w:rFonts w:ascii="Times New Roman" w:hAnsi="Times New Roman"/>
        </w:rPr>
        <w:t>:</w:t>
      </w:r>
      <w:r w:rsidRPr="001E4A5A">
        <w:rPr>
          <w:rFonts w:ascii="Times New Roman" w:hAnsi="Times New Roman"/>
        </w:rPr>
        <w:t xml:space="preserve"> </w:t>
      </w:r>
      <w:r>
        <w:rPr>
          <w:rFonts w:ascii="Times New Roman" w:hAnsi="Times New Roman"/>
        </w:rPr>
        <w:t>«</w:t>
      </w:r>
      <w:r w:rsidRPr="001E4A5A">
        <w:rPr>
          <w:rFonts w:ascii="Times New Roman" w:hAnsi="Times New Roman"/>
        </w:rPr>
        <w:t>Ожидаемая продолжительность жизни при рождении</w:t>
      </w:r>
      <w:r>
        <w:rPr>
          <w:rFonts w:ascii="Times New Roman" w:hAnsi="Times New Roman"/>
        </w:rPr>
        <w:t>»</w:t>
      </w:r>
      <w:r w:rsidRPr="001E4A5A">
        <w:rPr>
          <w:rFonts w:ascii="Times New Roman" w:hAnsi="Times New Roman"/>
        </w:rPr>
        <w:t xml:space="preserve"> за 11 месяцев 2024 года</w:t>
      </w:r>
      <w:r>
        <w:rPr>
          <w:rFonts w:ascii="Times New Roman" w:hAnsi="Times New Roman"/>
        </w:rPr>
        <w:t>;</w:t>
      </w:r>
    </w:p>
  </w:footnote>
  <w:footnote w:id="20">
    <w:p w14:paraId="42A2978F" w14:textId="77777777" w:rsidR="002206D2" w:rsidRPr="00284386" w:rsidRDefault="002206D2" w:rsidP="005A472F">
      <w:pPr>
        <w:pStyle w:val="afff"/>
        <w:rPr>
          <w:rFonts w:ascii="Times New Roman" w:hAnsi="Times New Roman"/>
        </w:rPr>
      </w:pPr>
      <w:r w:rsidRPr="001E4A5A">
        <w:rPr>
          <w:rStyle w:val="afff1"/>
          <w:rFonts w:ascii="Times New Roman" w:hAnsi="Times New Roman"/>
        </w:rPr>
        <w:footnoteRef/>
      </w:r>
      <w:r w:rsidRPr="001E4A5A">
        <w:rPr>
          <w:rFonts w:ascii="Times New Roman" w:hAnsi="Times New Roman"/>
        </w:rPr>
        <w:t xml:space="preserve"> Стратегия социально-экономического развития Архангельской области до 2035 года, утвержденная законом Архангельской</w:t>
      </w:r>
      <w:r w:rsidRPr="00284386">
        <w:rPr>
          <w:rFonts w:ascii="Times New Roman" w:hAnsi="Times New Roman"/>
        </w:rPr>
        <w:t xml:space="preserve"> области от 18.02.2019 № 57-5-ОЗ «Об утверждении Стратегии социально-экономического развития Архангельской области до 2035 года», (далее – Стратегия 2035)</w:t>
      </w:r>
    </w:p>
  </w:footnote>
  <w:footnote w:id="21">
    <w:p w14:paraId="729D2662" w14:textId="77777777" w:rsidR="002206D2" w:rsidRPr="00D25460" w:rsidRDefault="002206D2" w:rsidP="005A472F">
      <w:pPr>
        <w:pStyle w:val="afff"/>
        <w:rPr>
          <w:rFonts w:ascii="Times New Roman" w:hAnsi="Times New Roman"/>
        </w:rPr>
      </w:pPr>
      <w:r w:rsidRPr="00284386">
        <w:rPr>
          <w:rStyle w:val="afff1"/>
          <w:rFonts w:ascii="Times New Roman" w:hAnsi="Times New Roman"/>
        </w:rPr>
        <w:footnoteRef/>
      </w:r>
      <w:r>
        <w:rPr>
          <w:rFonts w:ascii="Times New Roman" w:hAnsi="Times New Roman"/>
        </w:rPr>
        <w:t xml:space="preserve"> п. 1 статьи 18 </w:t>
      </w:r>
      <w:r w:rsidRPr="00D25460">
        <w:rPr>
          <w:rFonts w:ascii="Times New Roman" w:hAnsi="Times New Roman"/>
        </w:rPr>
        <w:t>Закона Архангельской области от 29.06.2015 № 296-18-ОЗ (ред. от 29.10.2024) «О стратегическом планировании в Архангельской области»;</w:t>
      </w:r>
    </w:p>
  </w:footnote>
  <w:footnote w:id="22">
    <w:p w14:paraId="11D66ADA" w14:textId="77777777" w:rsidR="002206D2" w:rsidRPr="00D25460" w:rsidRDefault="002206D2" w:rsidP="005A472F">
      <w:pPr>
        <w:pStyle w:val="afff"/>
        <w:rPr>
          <w:rFonts w:ascii="Times New Roman" w:hAnsi="Times New Roman"/>
        </w:rPr>
      </w:pPr>
      <w:r w:rsidRPr="00D25460">
        <w:rPr>
          <w:rStyle w:val="afff1"/>
          <w:rFonts w:ascii="Times New Roman" w:hAnsi="Times New Roman"/>
        </w:rPr>
        <w:footnoteRef/>
      </w:r>
      <w:r w:rsidRPr="00D25460">
        <w:rPr>
          <w:rFonts w:ascii="Times New Roman" w:hAnsi="Times New Roman"/>
        </w:rPr>
        <w:t xml:space="preserve"> </w:t>
      </w:r>
      <w:r>
        <w:rPr>
          <w:rFonts w:ascii="Times New Roman" w:hAnsi="Times New Roman"/>
        </w:rPr>
        <w:t xml:space="preserve">Государственная </w:t>
      </w:r>
      <w:r w:rsidRPr="00D25460">
        <w:rPr>
          <w:rFonts w:ascii="Times New Roman" w:hAnsi="Times New Roman"/>
        </w:rPr>
        <w:t>программ</w:t>
      </w:r>
      <w:r>
        <w:rPr>
          <w:rFonts w:ascii="Times New Roman" w:hAnsi="Times New Roman"/>
        </w:rPr>
        <w:t>а</w:t>
      </w:r>
      <w:r w:rsidRPr="00D25460">
        <w:rPr>
          <w:rFonts w:ascii="Times New Roman" w:hAnsi="Times New Roman"/>
        </w:rPr>
        <w:t xml:space="preserve"> Архангельской области «Социальная поддержка граждан в Архангельской области», утвержденн</w:t>
      </w:r>
      <w:r>
        <w:rPr>
          <w:rFonts w:ascii="Times New Roman" w:hAnsi="Times New Roman"/>
        </w:rPr>
        <w:t>ая</w:t>
      </w:r>
      <w:r w:rsidRPr="00D25460">
        <w:rPr>
          <w:rFonts w:ascii="Times New Roman" w:hAnsi="Times New Roman"/>
        </w:rPr>
        <w:t xml:space="preserve"> постановлением Правительства Архангельской области от 12.10.2012 № 464</w:t>
      </w:r>
      <w:r>
        <w:rPr>
          <w:rFonts w:ascii="Times New Roman" w:hAnsi="Times New Roman"/>
        </w:rPr>
        <w:t>-</w:t>
      </w:r>
      <w:r w:rsidRPr="00D25460">
        <w:rPr>
          <w:rFonts w:ascii="Times New Roman" w:hAnsi="Times New Roman"/>
        </w:rPr>
        <w:t>пп</w:t>
      </w:r>
      <w:r>
        <w:rPr>
          <w:rFonts w:ascii="Times New Roman" w:hAnsi="Times New Roman"/>
        </w:rPr>
        <w:t>.</w:t>
      </w:r>
    </w:p>
  </w:footnote>
  <w:footnote w:id="23">
    <w:p w14:paraId="193F8306" w14:textId="77777777" w:rsidR="002206D2" w:rsidRPr="0095186C" w:rsidRDefault="002206D2" w:rsidP="005A472F">
      <w:pPr>
        <w:pStyle w:val="afff"/>
        <w:rPr>
          <w:rFonts w:ascii="Times New Roman" w:hAnsi="Times New Roman"/>
        </w:rPr>
      </w:pPr>
      <w:r w:rsidRPr="0095186C">
        <w:rPr>
          <w:rStyle w:val="afff1"/>
          <w:rFonts w:ascii="Times New Roman" w:hAnsi="Times New Roman"/>
        </w:rPr>
        <w:footnoteRef/>
      </w:r>
      <w:r w:rsidRPr="0095186C">
        <w:rPr>
          <w:rFonts w:ascii="Times New Roman" w:hAnsi="Times New Roman"/>
        </w:rPr>
        <w:t xml:space="preserve"> </w:t>
      </w:r>
      <w:hyperlink r:id="rId13" w:history="1">
        <w:r w:rsidRPr="0095186C">
          <w:rPr>
            <w:rStyle w:val="afb"/>
            <w:rFonts w:ascii="Times New Roman" w:hAnsi="Times New Roman"/>
          </w:rPr>
          <w:t>https://greater_political.academic.ru/42/</w:t>
        </w:r>
      </w:hyperlink>
      <w:r w:rsidRPr="0095186C">
        <w:rPr>
          <w:rFonts w:ascii="Times New Roman" w:hAnsi="Times New Roman"/>
        </w:rPr>
        <w:t xml:space="preserve"> электронный ресурс</w:t>
      </w:r>
      <w:r>
        <w:rPr>
          <w:rFonts w:ascii="Times New Roman" w:hAnsi="Times New Roman"/>
        </w:rPr>
        <w:t xml:space="preserve">: </w:t>
      </w:r>
      <w:r w:rsidRPr="0095186C">
        <w:rPr>
          <w:rFonts w:ascii="Times New Roman" w:hAnsi="Times New Roman"/>
        </w:rPr>
        <w:t>«Большая актуальная политическая энциклопедия»</w:t>
      </w:r>
      <w:r>
        <w:rPr>
          <w:rFonts w:ascii="Times New Roman" w:hAnsi="Times New Roman"/>
        </w:rPr>
        <w:t>//</w:t>
      </w:r>
      <w:r w:rsidRPr="0095186C">
        <w:rPr>
          <w:rFonts w:ascii="Times New Roman" w:hAnsi="Times New Roman"/>
        </w:rPr>
        <w:t>«Демографическая ситуация» — это состояние в области рождаемости, смертности и продолжительности жизни народа.</w:t>
      </w:r>
    </w:p>
  </w:footnote>
  <w:footnote w:id="24">
    <w:p w14:paraId="6F84C693" w14:textId="77777777" w:rsidR="002206D2" w:rsidRPr="0095439F" w:rsidRDefault="002206D2" w:rsidP="0064734A">
      <w:pPr>
        <w:pStyle w:val="afff"/>
        <w:rPr>
          <w:rFonts w:ascii="Times New Roman" w:hAnsi="Times New Roman"/>
        </w:rPr>
      </w:pPr>
      <w:r w:rsidRPr="0095439F">
        <w:rPr>
          <w:rStyle w:val="afff1"/>
          <w:rFonts w:ascii="Times New Roman" w:hAnsi="Times New Roman"/>
        </w:rPr>
        <w:footnoteRef/>
      </w:r>
      <w:r w:rsidRPr="0095439F">
        <w:rPr>
          <w:rFonts w:ascii="Times New Roman" w:hAnsi="Times New Roman"/>
        </w:rPr>
        <w:t xml:space="preserve"> Приложении № 2 «Прогноз ключевых показателей для мониторинга реализации Стратегии 2035»</w:t>
      </w:r>
      <w:r>
        <w:rPr>
          <w:rFonts w:ascii="Times New Roman" w:hAnsi="Times New Roman"/>
        </w:rPr>
        <w:t>;</w:t>
      </w:r>
    </w:p>
  </w:footnote>
  <w:footnote w:id="25">
    <w:p w14:paraId="53C2ED5D" w14:textId="77777777" w:rsidR="002206D2" w:rsidRPr="0095439F" w:rsidRDefault="002206D2" w:rsidP="0064734A">
      <w:pPr>
        <w:pStyle w:val="afff"/>
        <w:rPr>
          <w:rFonts w:ascii="Times New Roman" w:hAnsi="Times New Roman"/>
        </w:rPr>
      </w:pPr>
      <w:r w:rsidRPr="0095439F">
        <w:rPr>
          <w:rStyle w:val="afff1"/>
          <w:rFonts w:ascii="Times New Roman" w:hAnsi="Times New Roman"/>
        </w:rPr>
        <w:footnoteRef/>
      </w:r>
      <w:r w:rsidRPr="0095439F">
        <w:rPr>
          <w:rFonts w:ascii="Times New Roman" w:hAnsi="Times New Roman"/>
        </w:rPr>
        <w:t xml:space="preserve"> Показатель «Прогноз на 2024 год» одобрен распоряжением Правительства Архангельской области от 11.10.2023 № 796-рп;</w:t>
      </w:r>
    </w:p>
  </w:footnote>
  <w:footnote w:id="26">
    <w:p w14:paraId="7818DB47" w14:textId="77777777" w:rsidR="002206D2" w:rsidRPr="0095439F" w:rsidRDefault="002206D2" w:rsidP="0064734A">
      <w:pPr>
        <w:pStyle w:val="afff"/>
        <w:rPr>
          <w:rFonts w:ascii="Times New Roman" w:hAnsi="Times New Roman"/>
        </w:rPr>
      </w:pPr>
      <w:r w:rsidRPr="0095439F">
        <w:rPr>
          <w:rStyle w:val="afff1"/>
          <w:rFonts w:ascii="Times New Roman" w:hAnsi="Times New Roman"/>
        </w:rPr>
        <w:footnoteRef/>
      </w:r>
      <w:r w:rsidRPr="0095439F">
        <w:rPr>
          <w:rFonts w:ascii="Times New Roman" w:hAnsi="Times New Roman"/>
        </w:rPr>
        <w:t xml:space="preserve"> Показатель «Оценка 2024 год» одобрен распоряжением Правительства Архангельской области от 22.10.2024 № 539-рп</w:t>
      </w:r>
    </w:p>
  </w:footnote>
  <w:footnote w:id="27">
    <w:p w14:paraId="16E235BC" w14:textId="77777777" w:rsidR="002206D2" w:rsidRDefault="002206D2" w:rsidP="000A2A7A">
      <w:pPr>
        <w:pStyle w:val="afff"/>
      </w:pPr>
      <w:r>
        <w:rPr>
          <w:rStyle w:val="afff1"/>
        </w:rPr>
        <w:footnoteRef/>
      </w:r>
      <w:r>
        <w:t xml:space="preserve"> </w:t>
      </w:r>
      <w:r w:rsidRPr="005B0A50">
        <w:rPr>
          <w:rFonts w:ascii="Times New Roman" w:hAnsi="Times New Roman"/>
        </w:rPr>
        <w:t xml:space="preserve">Здесь и далее по тексту в части отражения поступления доходов возможна погрешность в </w:t>
      </w:r>
      <w:r>
        <w:rPr>
          <w:rFonts w:ascii="Times New Roman" w:hAnsi="Times New Roman"/>
        </w:rPr>
        <w:t xml:space="preserve">результате </w:t>
      </w:r>
      <w:r w:rsidRPr="005B0A50">
        <w:rPr>
          <w:rFonts w:ascii="Times New Roman" w:hAnsi="Times New Roman"/>
        </w:rPr>
        <w:t>округлении в пределах от +0,1 до -0,1</w:t>
      </w:r>
    </w:p>
    <w:p w14:paraId="7F3421F8" w14:textId="77777777" w:rsidR="002206D2" w:rsidRDefault="002206D2" w:rsidP="000A2A7A">
      <w:pPr>
        <w:pStyle w:val="afff"/>
      </w:pPr>
    </w:p>
  </w:footnote>
  <w:footnote w:id="28">
    <w:p w14:paraId="6A50FBF8" w14:textId="77777777" w:rsidR="002206D2" w:rsidRDefault="002206D2" w:rsidP="00C542F3">
      <w:pPr>
        <w:pStyle w:val="afff"/>
      </w:pPr>
      <w:r>
        <w:rPr>
          <w:rStyle w:val="afff1"/>
          <w:rFonts w:ascii="Times New Roman" w:hAnsi="Times New Roman"/>
        </w:rPr>
        <w:footnoteRef/>
      </w:r>
      <w:r>
        <w:rPr>
          <w:rFonts w:ascii="Times New Roman" w:hAnsi="Times New Roman"/>
        </w:rPr>
        <w:t xml:space="preserve"> Указы Президента РФ, Стратегия СЭР АО до 2035 года, </w:t>
      </w:r>
      <w:r w:rsidRPr="00153EA5">
        <w:rPr>
          <w:rFonts w:ascii="Times New Roman" w:hAnsi="Times New Roman"/>
        </w:rPr>
        <w:t>Бюджетный прогноз до 2028 года, Прогноз СЭР на отчетный год, План мероприятий по реализации Стратегии СЭР до 2035 года</w:t>
      </w:r>
    </w:p>
  </w:footnote>
  <w:footnote w:id="29">
    <w:p w14:paraId="3FDF48BD" w14:textId="77777777" w:rsidR="002206D2" w:rsidRDefault="002206D2" w:rsidP="00632913">
      <w:pPr>
        <w:pStyle w:val="afff"/>
      </w:pPr>
      <w:r>
        <w:rPr>
          <w:rStyle w:val="afff1"/>
        </w:rPr>
        <w:footnoteRef/>
      </w:r>
      <w:r>
        <w:t xml:space="preserve"> </w:t>
      </w:r>
      <w:r w:rsidRPr="0057669F">
        <w:rPr>
          <w:rFonts w:ascii="Times New Roman" w:hAnsi="Times New Roman"/>
          <w:sz w:val="16"/>
          <w:szCs w:val="16"/>
        </w:rPr>
        <w:t>от 14.04.2025 № 01-02/358</w:t>
      </w:r>
    </w:p>
  </w:footnote>
  <w:footnote w:id="30">
    <w:p w14:paraId="7E79C6FE" w14:textId="77777777" w:rsidR="002206D2" w:rsidRPr="00E005AC" w:rsidRDefault="002206D2" w:rsidP="0001284F">
      <w:pPr>
        <w:pStyle w:val="afff"/>
      </w:pPr>
      <w:r w:rsidRPr="00E005AC">
        <w:rPr>
          <w:rStyle w:val="afff1"/>
        </w:rPr>
        <w:footnoteRef/>
      </w:r>
      <w:r w:rsidRPr="00E005AC">
        <w:t xml:space="preserve"> </w:t>
      </w:r>
      <w:r w:rsidRPr="00E005AC">
        <w:rPr>
          <w:rFonts w:ascii="Times New Roman" w:eastAsia="Times New Roman" w:hAnsi="Times New Roman"/>
          <w:lang w:eastAsia="ru-RU"/>
        </w:rPr>
        <w:t>Положение о порядке и условиях проведения конкурса на предоставление субсидий бюджетам муниципальных районов, муниципальных округов, городских округов и городских поселений архангельской области на софинансирование мероприятий по организации транспортного обслуживания населения на пассажирских муниципальных маршрутах автомобильного транспорта, утвержденного постановлением Правительства АО от 29.12.2021 № 793-пп</w:t>
      </w:r>
    </w:p>
  </w:footnote>
  <w:footnote w:id="31">
    <w:p w14:paraId="20D3FEED" w14:textId="238879FC" w:rsidR="002206D2" w:rsidRPr="00373EC2" w:rsidRDefault="002206D2" w:rsidP="0001284F">
      <w:pPr>
        <w:pStyle w:val="afff"/>
        <w:rPr>
          <w:rFonts w:ascii="Times New Roman" w:hAnsi="Times New Roman"/>
        </w:rPr>
      </w:pPr>
      <w:r w:rsidRPr="00373EC2">
        <w:rPr>
          <w:rStyle w:val="afff1"/>
          <w:rFonts w:ascii="Times New Roman" w:hAnsi="Times New Roman"/>
        </w:rPr>
        <w:footnoteRef/>
      </w:r>
      <w:r w:rsidRPr="00373EC2">
        <w:rPr>
          <w:rFonts w:ascii="Times New Roman" w:hAnsi="Times New Roman"/>
        </w:rPr>
        <w:t xml:space="preserve"> </w:t>
      </w:r>
      <w:hyperlink r:id="rId14" w:anchor="cookies=yes" w:history="1">
        <w:r w:rsidRPr="002F06E9">
          <w:rPr>
            <w:rStyle w:val="afb"/>
            <w:rFonts w:ascii="Times New Roman" w:eastAsia="Times New Roman" w:hAnsi="Times New Roman"/>
            <w:lang w:eastAsia="ru-RU"/>
          </w:rPr>
          <w:t>https://regulation.dvinaland.ru/docs/anti-corruption/12118/#cookies=yes</w:t>
        </w:r>
      </w:hyperlink>
      <w:r>
        <w:rPr>
          <w:rFonts w:ascii="Times New Roman" w:eastAsia="Times New Roman" w:hAnsi="Times New Roman"/>
          <w:lang w:eastAsia="ru-RU"/>
        </w:rPr>
        <w:t xml:space="preserve"> </w:t>
      </w:r>
    </w:p>
  </w:footnote>
  <w:footnote w:id="32">
    <w:p w14:paraId="60D6BD9B" w14:textId="77777777" w:rsidR="002206D2" w:rsidRPr="00360454" w:rsidRDefault="002206D2" w:rsidP="00AD21E0">
      <w:pPr>
        <w:pStyle w:val="afff"/>
        <w:rPr>
          <w:rFonts w:ascii="Times New Roman" w:hAnsi="Times New Roman"/>
        </w:rPr>
      </w:pPr>
      <w:r w:rsidRPr="00AC6B54">
        <w:rPr>
          <w:rStyle w:val="afff1"/>
          <w:rFonts w:ascii="Times New Roman" w:hAnsi="Times New Roman"/>
        </w:rPr>
        <w:footnoteRef/>
      </w:r>
      <w:r w:rsidRPr="00AC6B54">
        <w:rPr>
          <w:rFonts w:ascii="Times New Roman" w:hAnsi="Times New Roman"/>
        </w:rPr>
        <w:t xml:space="preserve"> Средства, высвобождаемые в результате реструктуризации бюджетных кредитов</w:t>
      </w:r>
      <w:r>
        <w:rPr>
          <w:rFonts w:ascii="Times New Roman" w:hAnsi="Times New Roman"/>
        </w:rPr>
        <w:t>, а также направленные на реализацию региональных проектов</w:t>
      </w:r>
      <w:r w:rsidRPr="00AC6B54">
        <w:rPr>
          <w:rFonts w:ascii="Times New Roman" w:hAnsi="Times New Roman"/>
        </w:rPr>
        <w:t xml:space="preserve"> (6 149,1 млн.руб.); задолженность местных бюджетов перед бюджетом Архангельской области по предоставленным бюджетным кредитам, предоставленным из бюджета субъекта РФ (1 599,4 млн.руб.); задолженность по инвестиционным бюджетным кредитам (2 975,5 млн.руб.) и задолженность по казначейским кредитам (2 509,</w:t>
      </w:r>
      <w:r>
        <w:rPr>
          <w:rFonts w:ascii="Times New Roman" w:hAnsi="Times New Roman"/>
        </w:rPr>
        <w:t>1</w:t>
      </w:r>
      <w:r w:rsidRPr="00AC6B54">
        <w:rPr>
          <w:rFonts w:ascii="Times New Roman" w:hAnsi="Times New Roman"/>
        </w:rPr>
        <w:t xml:space="preserve"> млн.руб.)</w:t>
      </w:r>
    </w:p>
  </w:footnote>
  <w:footnote w:id="33">
    <w:p w14:paraId="0A6548FC" w14:textId="5D079AFC" w:rsidR="002206D2" w:rsidRPr="00334EBE" w:rsidRDefault="002206D2" w:rsidP="002F7314">
      <w:pPr>
        <w:pStyle w:val="afff"/>
        <w:rPr>
          <w:rFonts w:ascii="Times New Roman" w:hAnsi="Times New Roman"/>
        </w:rPr>
      </w:pPr>
      <w:r w:rsidRPr="00334EBE">
        <w:rPr>
          <w:rStyle w:val="afff1"/>
        </w:rPr>
        <w:footnoteRef/>
      </w:r>
      <w:r w:rsidRPr="00334EBE">
        <w:rPr>
          <w:rFonts w:ascii="Times New Roman" w:hAnsi="Times New Roman"/>
        </w:rPr>
        <w:t xml:space="preserve"> </w:t>
      </w:r>
      <w:r>
        <w:rPr>
          <w:rFonts w:ascii="Times New Roman" w:hAnsi="Times New Roman"/>
        </w:rPr>
        <w:t>Здесь и далее п</w:t>
      </w:r>
      <w:r w:rsidRPr="00334EBE">
        <w:rPr>
          <w:rFonts w:ascii="Times New Roman" w:hAnsi="Times New Roman"/>
        </w:rPr>
        <w:t>ервое место в рэнкинге занимает субъект РФ с наибольшим объемом долговых обязательств.</w:t>
      </w:r>
      <w:r w:rsidRPr="00AE542E">
        <w:t xml:space="preserve"> </w:t>
      </w:r>
      <w:r w:rsidRPr="00AE542E">
        <w:rPr>
          <w:rFonts w:ascii="Times New Roman" w:hAnsi="Times New Roman"/>
        </w:rPr>
        <w:t>Также, первое место в рэнкинге занимает субъект РФ с наибольшим уровнем государственного долга к налоговым и неналоговым</w:t>
      </w:r>
      <w:r>
        <w:rPr>
          <w:rFonts w:ascii="Times New Roman" w:hAnsi="Times New Roman"/>
        </w:rPr>
        <w:t xml:space="preserve"> доходам</w:t>
      </w:r>
      <w:r w:rsidRPr="00AE542E">
        <w:rPr>
          <w:rFonts w:ascii="Times New Roman" w:hAnsi="Times New Roman"/>
        </w:rPr>
        <w:t>.</w:t>
      </w:r>
    </w:p>
  </w:footnote>
  <w:footnote w:id="34">
    <w:p w14:paraId="6AADA577" w14:textId="77777777" w:rsidR="002206D2" w:rsidRPr="006A7313" w:rsidRDefault="002206D2" w:rsidP="002F7314">
      <w:pPr>
        <w:pStyle w:val="afff"/>
        <w:rPr>
          <w:rFonts w:ascii="Times New Roman" w:hAnsi="Times New Roman"/>
        </w:rPr>
      </w:pPr>
      <w:r w:rsidRPr="006A7313">
        <w:rPr>
          <w:rStyle w:val="afff1"/>
        </w:rPr>
        <w:footnoteRef/>
      </w:r>
      <w:r w:rsidRPr="006A7313">
        <w:rPr>
          <w:rFonts w:ascii="Times New Roman" w:hAnsi="Times New Roman"/>
        </w:rPr>
        <w:t xml:space="preserve"> </w:t>
      </w:r>
      <w:hyperlink r:id="rId15" w:history="1">
        <w:r w:rsidRPr="0070589C">
          <w:rPr>
            <w:rStyle w:val="afb"/>
            <w:rFonts w:ascii="Times New Roman" w:hAnsi="Times New Roman"/>
          </w:rPr>
          <w:t>https://rosstat.gov.ru/storage/mediabank/OkPopul_Comp2024_Site.xlsx</w:t>
        </w:r>
      </w:hyperlink>
      <w:r>
        <w:rPr>
          <w:rStyle w:val="afb"/>
          <w:rFonts w:ascii="Times New Roman" w:hAnsi="Times New Roman"/>
        </w:rPr>
        <w:t xml:space="preserve"> </w:t>
      </w:r>
      <w:hyperlink r:id="rId16" w:history="1">
        <w:r w:rsidRPr="0070589C">
          <w:rPr>
            <w:rStyle w:val="afb"/>
            <w:rFonts w:ascii="Times New Roman" w:hAnsi="Times New Roman"/>
          </w:rPr>
          <w:t>https://rosstat.gov.ru/storage/mediabank/PrPopul2025_Site.xlsx</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37E6CF7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58F7DF6"/>
    <w:multiLevelType w:val="hybridMultilevel"/>
    <w:tmpl w:val="4B02EAFE"/>
    <w:lvl w:ilvl="0" w:tplc="ABCC49E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15:restartNumberingAfterBreak="0">
    <w:nsid w:val="0FA15292"/>
    <w:multiLevelType w:val="multilevel"/>
    <w:tmpl w:val="A936E726"/>
    <w:lvl w:ilvl="0">
      <w:start w:val="1"/>
      <w:numFmt w:val="decimal"/>
      <w:lvlText w:val="%1."/>
      <w:lvlJc w:val="left"/>
      <w:pPr>
        <w:ind w:left="720" w:hanging="360"/>
      </w:pPr>
      <w:rPr>
        <w:rFonts w:hint="default"/>
      </w:rPr>
    </w:lvl>
    <w:lvl w:ilvl="1">
      <w:start w:val="2"/>
      <w:numFmt w:val="decimal"/>
      <w:isLgl/>
      <w:lvlText w:val="%1.%2."/>
      <w:lvlJc w:val="left"/>
      <w:pPr>
        <w:ind w:left="957" w:hanging="39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 w15:restartNumberingAfterBreak="0">
    <w:nsid w:val="13C75DFD"/>
    <w:multiLevelType w:val="hybridMultilevel"/>
    <w:tmpl w:val="74B82CAA"/>
    <w:lvl w:ilvl="0" w:tplc="BCE06600">
      <w:start w:val="3"/>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18BD3260"/>
    <w:multiLevelType w:val="hybridMultilevel"/>
    <w:tmpl w:val="2D6E5108"/>
    <w:lvl w:ilvl="0" w:tplc="0330980A">
      <w:start w:val="1"/>
      <w:numFmt w:val="bullet"/>
      <w:pStyle w:val="a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BB82331"/>
    <w:multiLevelType w:val="hybridMultilevel"/>
    <w:tmpl w:val="5AF62BA8"/>
    <w:lvl w:ilvl="0" w:tplc="2A766ED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D3F2A72"/>
    <w:multiLevelType w:val="hybridMultilevel"/>
    <w:tmpl w:val="0C46379E"/>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0C85380"/>
    <w:multiLevelType w:val="hybridMultilevel"/>
    <w:tmpl w:val="5CE4F684"/>
    <w:lvl w:ilvl="0" w:tplc="2E90C536">
      <w:start w:val="1"/>
      <w:numFmt w:val="bullet"/>
      <w:lvlText w:val=""/>
      <w:lvlJc w:val="left"/>
      <w:pPr>
        <w:ind w:left="928"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21AB5A04"/>
    <w:multiLevelType w:val="hybridMultilevel"/>
    <w:tmpl w:val="3C0E6EE8"/>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6CB6FD6"/>
    <w:multiLevelType w:val="hybridMultilevel"/>
    <w:tmpl w:val="BC20B134"/>
    <w:lvl w:ilvl="0" w:tplc="8BDC1FEC">
      <w:start w:val="1"/>
      <w:numFmt w:val="bullet"/>
      <w:pStyle w:val="a1"/>
      <w:lvlText w:val="-"/>
      <w:lvlJc w:val="left"/>
      <w:pPr>
        <w:ind w:left="786" w:hanging="360"/>
      </w:pPr>
      <w:rPr>
        <w:rFonts w:ascii="Sylfaen" w:hAnsi="Sylfae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 w15:restartNumberingAfterBreak="0">
    <w:nsid w:val="28D939E8"/>
    <w:multiLevelType w:val="hybridMultilevel"/>
    <w:tmpl w:val="A32AF7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9F71E0A"/>
    <w:multiLevelType w:val="hybridMultilevel"/>
    <w:tmpl w:val="5E0669A2"/>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7E207B2"/>
    <w:multiLevelType w:val="hybridMultilevel"/>
    <w:tmpl w:val="B5C0108E"/>
    <w:lvl w:ilvl="0" w:tplc="2E90C5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9B766DB"/>
    <w:multiLevelType w:val="hybridMultilevel"/>
    <w:tmpl w:val="05A26CF8"/>
    <w:lvl w:ilvl="0" w:tplc="5EB820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4882687A"/>
    <w:multiLevelType w:val="hybridMultilevel"/>
    <w:tmpl w:val="CC80D9B2"/>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FB5179B"/>
    <w:multiLevelType w:val="hybridMultilevel"/>
    <w:tmpl w:val="C62296FA"/>
    <w:lvl w:ilvl="0" w:tplc="892E44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55084C4A"/>
    <w:multiLevelType w:val="hybridMultilevel"/>
    <w:tmpl w:val="4CACCC64"/>
    <w:lvl w:ilvl="0" w:tplc="07FA512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59CD5FF1"/>
    <w:multiLevelType w:val="hybridMultilevel"/>
    <w:tmpl w:val="5CEC2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E070500"/>
    <w:multiLevelType w:val="hybridMultilevel"/>
    <w:tmpl w:val="EA0A3984"/>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E70448A"/>
    <w:multiLevelType w:val="hybridMultilevel"/>
    <w:tmpl w:val="526EB3A0"/>
    <w:lvl w:ilvl="0" w:tplc="2E90C5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6B904DB4"/>
    <w:multiLevelType w:val="hybridMultilevel"/>
    <w:tmpl w:val="A1A6DC26"/>
    <w:lvl w:ilvl="0" w:tplc="20163A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737F0D18"/>
    <w:multiLevelType w:val="hybridMultilevel"/>
    <w:tmpl w:val="FD1602DE"/>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2" w15:restartNumberingAfterBreak="0">
    <w:nsid w:val="7485714F"/>
    <w:multiLevelType w:val="hybridMultilevel"/>
    <w:tmpl w:val="786C22A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 w15:restartNumberingAfterBreak="0">
    <w:nsid w:val="79613F01"/>
    <w:multiLevelType w:val="hybridMultilevel"/>
    <w:tmpl w:val="0A165D24"/>
    <w:lvl w:ilvl="0" w:tplc="C52E25A2">
      <w:start w:val="1"/>
      <w:numFmt w:val="bullet"/>
      <w:pStyle w:val="1"/>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7ABF3D29"/>
    <w:multiLevelType w:val="hybridMultilevel"/>
    <w:tmpl w:val="12883A02"/>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15:restartNumberingAfterBreak="0">
    <w:nsid w:val="7BC635B1"/>
    <w:multiLevelType w:val="hybridMultilevel"/>
    <w:tmpl w:val="81B8F754"/>
    <w:lvl w:ilvl="0" w:tplc="0F268270">
      <w:start w:val="1"/>
      <w:numFmt w:val="decimal"/>
      <w:lvlText w:val="%1."/>
      <w:lvlJc w:val="left"/>
      <w:pPr>
        <w:ind w:left="786"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26" w15:restartNumberingAfterBreak="0">
    <w:nsid w:val="7C145A2C"/>
    <w:multiLevelType w:val="hybridMultilevel"/>
    <w:tmpl w:val="AE64ABAA"/>
    <w:lvl w:ilvl="0" w:tplc="CEF046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4"/>
  </w:num>
  <w:num w:numId="2">
    <w:abstractNumId w:val="21"/>
  </w:num>
  <w:num w:numId="3">
    <w:abstractNumId w:val="0"/>
  </w:num>
  <w:num w:numId="4">
    <w:abstractNumId w:val="23"/>
  </w:num>
  <w:num w:numId="5">
    <w:abstractNumId w:val="9"/>
  </w:num>
  <w:num w:numId="6">
    <w:abstractNumId w:val="22"/>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6"/>
  </w:num>
  <w:num w:numId="10">
    <w:abstractNumId w:val="8"/>
  </w:num>
  <w:num w:numId="11">
    <w:abstractNumId w:val="4"/>
  </w:num>
  <w:num w:numId="12">
    <w:abstractNumId w:val="19"/>
  </w:num>
  <w:num w:numId="13">
    <w:abstractNumId w:val="7"/>
  </w:num>
  <w:num w:numId="14">
    <w:abstractNumId w:val="20"/>
  </w:num>
  <w:num w:numId="15">
    <w:abstractNumId w:val="14"/>
  </w:num>
  <w:num w:numId="16">
    <w:abstractNumId w:val="12"/>
  </w:num>
  <w:num w:numId="17">
    <w:abstractNumId w:val="16"/>
  </w:num>
  <w:num w:numId="18">
    <w:abstractNumId w:val="13"/>
  </w:num>
  <w:num w:numId="19">
    <w:abstractNumId w:val="17"/>
  </w:num>
  <w:num w:numId="20">
    <w:abstractNumId w:val="15"/>
  </w:num>
  <w:num w:numId="21">
    <w:abstractNumId w:val="2"/>
  </w:num>
  <w:num w:numId="22">
    <w:abstractNumId w:val="3"/>
  </w:num>
  <w:num w:numId="23">
    <w:abstractNumId w:val="1"/>
  </w:num>
  <w:num w:numId="24">
    <w:abstractNumId w:val="26"/>
  </w:num>
  <w:num w:numId="25">
    <w:abstractNumId w:val="10"/>
  </w:num>
  <w:num w:numId="26">
    <w:abstractNumId w:val="5"/>
  </w:num>
  <w:num w:numId="27">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08"/>
  <w:drawingGridHorizontalSpacing w:val="181"/>
  <w:drawingGridVerticalSpacing w:val="18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1EC6"/>
    <w:rsid w:val="000003E8"/>
    <w:rsid w:val="00000612"/>
    <w:rsid w:val="00000626"/>
    <w:rsid w:val="00000A79"/>
    <w:rsid w:val="00000D0C"/>
    <w:rsid w:val="000014B3"/>
    <w:rsid w:val="000015FF"/>
    <w:rsid w:val="00001D3B"/>
    <w:rsid w:val="00001E00"/>
    <w:rsid w:val="00001E45"/>
    <w:rsid w:val="0000219B"/>
    <w:rsid w:val="00002570"/>
    <w:rsid w:val="000027F5"/>
    <w:rsid w:val="00002B6F"/>
    <w:rsid w:val="00002BA5"/>
    <w:rsid w:val="00002FD3"/>
    <w:rsid w:val="0000300C"/>
    <w:rsid w:val="00003659"/>
    <w:rsid w:val="000036FD"/>
    <w:rsid w:val="00003874"/>
    <w:rsid w:val="000039A8"/>
    <w:rsid w:val="00003A41"/>
    <w:rsid w:val="0000417C"/>
    <w:rsid w:val="00004371"/>
    <w:rsid w:val="000044B6"/>
    <w:rsid w:val="0000458C"/>
    <w:rsid w:val="00004CA9"/>
    <w:rsid w:val="00004ECC"/>
    <w:rsid w:val="00004FCB"/>
    <w:rsid w:val="00005483"/>
    <w:rsid w:val="000058C6"/>
    <w:rsid w:val="000058CE"/>
    <w:rsid w:val="00005B6B"/>
    <w:rsid w:val="00005C3D"/>
    <w:rsid w:val="000061BF"/>
    <w:rsid w:val="000062EF"/>
    <w:rsid w:val="00006F00"/>
    <w:rsid w:val="00006FF2"/>
    <w:rsid w:val="000075D8"/>
    <w:rsid w:val="00007C1C"/>
    <w:rsid w:val="00010EA1"/>
    <w:rsid w:val="00010FF0"/>
    <w:rsid w:val="0001132E"/>
    <w:rsid w:val="00011472"/>
    <w:rsid w:val="00011511"/>
    <w:rsid w:val="00011929"/>
    <w:rsid w:val="0001220C"/>
    <w:rsid w:val="000122D8"/>
    <w:rsid w:val="000122E2"/>
    <w:rsid w:val="0001284F"/>
    <w:rsid w:val="00012B5F"/>
    <w:rsid w:val="00012E32"/>
    <w:rsid w:val="00012FCF"/>
    <w:rsid w:val="0001301B"/>
    <w:rsid w:val="000131F8"/>
    <w:rsid w:val="00013260"/>
    <w:rsid w:val="000133E0"/>
    <w:rsid w:val="00013481"/>
    <w:rsid w:val="00013493"/>
    <w:rsid w:val="000136B7"/>
    <w:rsid w:val="0001387C"/>
    <w:rsid w:val="00013934"/>
    <w:rsid w:val="000139DC"/>
    <w:rsid w:val="00013A31"/>
    <w:rsid w:val="00013A34"/>
    <w:rsid w:val="00013D22"/>
    <w:rsid w:val="00013E7E"/>
    <w:rsid w:val="00013F57"/>
    <w:rsid w:val="00014153"/>
    <w:rsid w:val="00014889"/>
    <w:rsid w:val="00014DA9"/>
    <w:rsid w:val="00015463"/>
    <w:rsid w:val="00015591"/>
    <w:rsid w:val="00015845"/>
    <w:rsid w:val="00015BD6"/>
    <w:rsid w:val="00016211"/>
    <w:rsid w:val="00016239"/>
    <w:rsid w:val="000164F8"/>
    <w:rsid w:val="00016B73"/>
    <w:rsid w:val="00016C41"/>
    <w:rsid w:val="00016F9C"/>
    <w:rsid w:val="00017272"/>
    <w:rsid w:val="0001748D"/>
    <w:rsid w:val="000179C9"/>
    <w:rsid w:val="00017D2F"/>
    <w:rsid w:val="0002019D"/>
    <w:rsid w:val="0002051E"/>
    <w:rsid w:val="000209C8"/>
    <w:rsid w:val="000217B3"/>
    <w:rsid w:val="00021A6B"/>
    <w:rsid w:val="00021AB8"/>
    <w:rsid w:val="00021D07"/>
    <w:rsid w:val="00021F4E"/>
    <w:rsid w:val="000220D6"/>
    <w:rsid w:val="00022417"/>
    <w:rsid w:val="000229D6"/>
    <w:rsid w:val="00022AA2"/>
    <w:rsid w:val="00022C28"/>
    <w:rsid w:val="00022D44"/>
    <w:rsid w:val="00023688"/>
    <w:rsid w:val="000237A6"/>
    <w:rsid w:val="00023F1C"/>
    <w:rsid w:val="000243DE"/>
    <w:rsid w:val="00024A67"/>
    <w:rsid w:val="00024CAB"/>
    <w:rsid w:val="00024D4B"/>
    <w:rsid w:val="00025270"/>
    <w:rsid w:val="00025471"/>
    <w:rsid w:val="0002561D"/>
    <w:rsid w:val="000256C3"/>
    <w:rsid w:val="00025978"/>
    <w:rsid w:val="00025997"/>
    <w:rsid w:val="00025B0E"/>
    <w:rsid w:val="00025ECA"/>
    <w:rsid w:val="00025FFD"/>
    <w:rsid w:val="000261E3"/>
    <w:rsid w:val="00026508"/>
    <w:rsid w:val="0002691E"/>
    <w:rsid w:val="000279FA"/>
    <w:rsid w:val="00027FC2"/>
    <w:rsid w:val="0003032A"/>
    <w:rsid w:val="000307D8"/>
    <w:rsid w:val="00030948"/>
    <w:rsid w:val="00030F0F"/>
    <w:rsid w:val="00031B0E"/>
    <w:rsid w:val="00031C9D"/>
    <w:rsid w:val="00031D30"/>
    <w:rsid w:val="00031EAA"/>
    <w:rsid w:val="00032228"/>
    <w:rsid w:val="00032440"/>
    <w:rsid w:val="000328C4"/>
    <w:rsid w:val="00032C25"/>
    <w:rsid w:val="00032CA7"/>
    <w:rsid w:val="00032D9D"/>
    <w:rsid w:val="00032E1D"/>
    <w:rsid w:val="000331E0"/>
    <w:rsid w:val="00033345"/>
    <w:rsid w:val="00033DFE"/>
    <w:rsid w:val="00034928"/>
    <w:rsid w:val="00034AFE"/>
    <w:rsid w:val="00035365"/>
    <w:rsid w:val="0003540A"/>
    <w:rsid w:val="0003557F"/>
    <w:rsid w:val="00035997"/>
    <w:rsid w:val="00036217"/>
    <w:rsid w:val="00036431"/>
    <w:rsid w:val="00036A62"/>
    <w:rsid w:val="00036C17"/>
    <w:rsid w:val="000371D2"/>
    <w:rsid w:val="000376A6"/>
    <w:rsid w:val="0003785C"/>
    <w:rsid w:val="000378E6"/>
    <w:rsid w:val="00037C48"/>
    <w:rsid w:val="00037E49"/>
    <w:rsid w:val="00037FE3"/>
    <w:rsid w:val="00040386"/>
    <w:rsid w:val="000408C7"/>
    <w:rsid w:val="00040E73"/>
    <w:rsid w:val="00041B90"/>
    <w:rsid w:val="00042177"/>
    <w:rsid w:val="000423B1"/>
    <w:rsid w:val="0004291D"/>
    <w:rsid w:val="00042940"/>
    <w:rsid w:val="00042B68"/>
    <w:rsid w:val="00043146"/>
    <w:rsid w:val="0004325F"/>
    <w:rsid w:val="00043964"/>
    <w:rsid w:val="00043A83"/>
    <w:rsid w:val="00043B6E"/>
    <w:rsid w:val="00043B93"/>
    <w:rsid w:val="00043D9F"/>
    <w:rsid w:val="00043EA0"/>
    <w:rsid w:val="00043EBC"/>
    <w:rsid w:val="00043EEE"/>
    <w:rsid w:val="000442A5"/>
    <w:rsid w:val="000442B4"/>
    <w:rsid w:val="000446AC"/>
    <w:rsid w:val="000449E5"/>
    <w:rsid w:val="00044F88"/>
    <w:rsid w:val="00045253"/>
    <w:rsid w:val="00045379"/>
    <w:rsid w:val="000454F9"/>
    <w:rsid w:val="00045585"/>
    <w:rsid w:val="00045656"/>
    <w:rsid w:val="00045AAF"/>
    <w:rsid w:val="00045CF6"/>
    <w:rsid w:val="00045F9E"/>
    <w:rsid w:val="0004653B"/>
    <w:rsid w:val="00046722"/>
    <w:rsid w:val="000467F6"/>
    <w:rsid w:val="00046877"/>
    <w:rsid w:val="000468A6"/>
    <w:rsid w:val="00046BE8"/>
    <w:rsid w:val="00046CCC"/>
    <w:rsid w:val="000475C7"/>
    <w:rsid w:val="00047816"/>
    <w:rsid w:val="00047A82"/>
    <w:rsid w:val="00050137"/>
    <w:rsid w:val="000502FA"/>
    <w:rsid w:val="000503A2"/>
    <w:rsid w:val="000504DE"/>
    <w:rsid w:val="00050B8D"/>
    <w:rsid w:val="00050BE8"/>
    <w:rsid w:val="00050FA2"/>
    <w:rsid w:val="00051179"/>
    <w:rsid w:val="000512B5"/>
    <w:rsid w:val="0005156C"/>
    <w:rsid w:val="00051647"/>
    <w:rsid w:val="00051A3D"/>
    <w:rsid w:val="00051BBC"/>
    <w:rsid w:val="00052050"/>
    <w:rsid w:val="0005214F"/>
    <w:rsid w:val="0005223B"/>
    <w:rsid w:val="00052B10"/>
    <w:rsid w:val="0005336C"/>
    <w:rsid w:val="000536AD"/>
    <w:rsid w:val="0005393C"/>
    <w:rsid w:val="0005395A"/>
    <w:rsid w:val="00053C07"/>
    <w:rsid w:val="000541FF"/>
    <w:rsid w:val="0005425F"/>
    <w:rsid w:val="000542CB"/>
    <w:rsid w:val="00054391"/>
    <w:rsid w:val="000544E0"/>
    <w:rsid w:val="000549F0"/>
    <w:rsid w:val="00054CC9"/>
    <w:rsid w:val="00054CF4"/>
    <w:rsid w:val="00054F99"/>
    <w:rsid w:val="0005551E"/>
    <w:rsid w:val="00055597"/>
    <w:rsid w:val="0005573C"/>
    <w:rsid w:val="000560D0"/>
    <w:rsid w:val="000560EB"/>
    <w:rsid w:val="00056308"/>
    <w:rsid w:val="000563C2"/>
    <w:rsid w:val="0005645A"/>
    <w:rsid w:val="00056A2C"/>
    <w:rsid w:val="00056E6B"/>
    <w:rsid w:val="00056EB9"/>
    <w:rsid w:val="00056FAF"/>
    <w:rsid w:val="00056FB2"/>
    <w:rsid w:val="00057288"/>
    <w:rsid w:val="0005763C"/>
    <w:rsid w:val="000576C7"/>
    <w:rsid w:val="000577F5"/>
    <w:rsid w:val="00057805"/>
    <w:rsid w:val="00057AB4"/>
    <w:rsid w:val="00060471"/>
    <w:rsid w:val="00060518"/>
    <w:rsid w:val="000606A0"/>
    <w:rsid w:val="0006090A"/>
    <w:rsid w:val="00060B29"/>
    <w:rsid w:val="00060C7E"/>
    <w:rsid w:val="00060F66"/>
    <w:rsid w:val="0006136D"/>
    <w:rsid w:val="000613C8"/>
    <w:rsid w:val="000615ED"/>
    <w:rsid w:val="0006217B"/>
    <w:rsid w:val="000625A2"/>
    <w:rsid w:val="00062E51"/>
    <w:rsid w:val="00063AA6"/>
    <w:rsid w:val="000647C6"/>
    <w:rsid w:val="00064B62"/>
    <w:rsid w:val="000652DE"/>
    <w:rsid w:val="00065363"/>
    <w:rsid w:val="0006550A"/>
    <w:rsid w:val="00065C26"/>
    <w:rsid w:val="00065D5C"/>
    <w:rsid w:val="00065D6E"/>
    <w:rsid w:val="000660F5"/>
    <w:rsid w:val="000661DF"/>
    <w:rsid w:val="00066206"/>
    <w:rsid w:val="000664C4"/>
    <w:rsid w:val="00066663"/>
    <w:rsid w:val="0006675D"/>
    <w:rsid w:val="0006689B"/>
    <w:rsid w:val="000668DC"/>
    <w:rsid w:val="00066945"/>
    <w:rsid w:val="00066B09"/>
    <w:rsid w:val="00066D30"/>
    <w:rsid w:val="0006706C"/>
    <w:rsid w:val="00067279"/>
    <w:rsid w:val="00067EA3"/>
    <w:rsid w:val="00070150"/>
    <w:rsid w:val="00070376"/>
    <w:rsid w:val="00070462"/>
    <w:rsid w:val="000707DF"/>
    <w:rsid w:val="00070CF9"/>
    <w:rsid w:val="00070DE5"/>
    <w:rsid w:val="00070EDD"/>
    <w:rsid w:val="00071072"/>
    <w:rsid w:val="000711A9"/>
    <w:rsid w:val="000711D2"/>
    <w:rsid w:val="000716D7"/>
    <w:rsid w:val="00071ABD"/>
    <w:rsid w:val="000721EF"/>
    <w:rsid w:val="000724E6"/>
    <w:rsid w:val="00072583"/>
    <w:rsid w:val="000725AD"/>
    <w:rsid w:val="00072B3D"/>
    <w:rsid w:val="00072BAF"/>
    <w:rsid w:val="0007309E"/>
    <w:rsid w:val="000730F8"/>
    <w:rsid w:val="000734AD"/>
    <w:rsid w:val="000735DA"/>
    <w:rsid w:val="00073C6E"/>
    <w:rsid w:val="00073D21"/>
    <w:rsid w:val="00074132"/>
    <w:rsid w:val="000743A4"/>
    <w:rsid w:val="0007537F"/>
    <w:rsid w:val="00075607"/>
    <w:rsid w:val="00075B9A"/>
    <w:rsid w:val="00075BA2"/>
    <w:rsid w:val="00075E29"/>
    <w:rsid w:val="00075F2F"/>
    <w:rsid w:val="00076041"/>
    <w:rsid w:val="0007611B"/>
    <w:rsid w:val="00076141"/>
    <w:rsid w:val="00076190"/>
    <w:rsid w:val="00076279"/>
    <w:rsid w:val="00076381"/>
    <w:rsid w:val="00076604"/>
    <w:rsid w:val="0007683E"/>
    <w:rsid w:val="00076854"/>
    <w:rsid w:val="00076992"/>
    <w:rsid w:val="00076DF5"/>
    <w:rsid w:val="00076FCD"/>
    <w:rsid w:val="00077220"/>
    <w:rsid w:val="00077356"/>
    <w:rsid w:val="00077377"/>
    <w:rsid w:val="00077A97"/>
    <w:rsid w:val="00080764"/>
    <w:rsid w:val="00081434"/>
    <w:rsid w:val="0008145B"/>
    <w:rsid w:val="000815F0"/>
    <w:rsid w:val="000816E7"/>
    <w:rsid w:val="0008187B"/>
    <w:rsid w:val="000819B6"/>
    <w:rsid w:val="00081A11"/>
    <w:rsid w:val="00081F23"/>
    <w:rsid w:val="00082074"/>
    <w:rsid w:val="00082232"/>
    <w:rsid w:val="00082A52"/>
    <w:rsid w:val="00082BBC"/>
    <w:rsid w:val="00082BCA"/>
    <w:rsid w:val="00082C64"/>
    <w:rsid w:val="00082D24"/>
    <w:rsid w:val="000830B6"/>
    <w:rsid w:val="00083201"/>
    <w:rsid w:val="0008327C"/>
    <w:rsid w:val="0008352E"/>
    <w:rsid w:val="0008384B"/>
    <w:rsid w:val="000838A0"/>
    <w:rsid w:val="00083CE5"/>
    <w:rsid w:val="00083D53"/>
    <w:rsid w:val="00084230"/>
    <w:rsid w:val="00084761"/>
    <w:rsid w:val="00084AE3"/>
    <w:rsid w:val="00084B7E"/>
    <w:rsid w:val="0008535A"/>
    <w:rsid w:val="00085427"/>
    <w:rsid w:val="0008550B"/>
    <w:rsid w:val="00085763"/>
    <w:rsid w:val="00085B6A"/>
    <w:rsid w:val="00085EC8"/>
    <w:rsid w:val="0008606C"/>
    <w:rsid w:val="0008646C"/>
    <w:rsid w:val="00086506"/>
    <w:rsid w:val="00086E9E"/>
    <w:rsid w:val="00087A7A"/>
    <w:rsid w:val="00087AF2"/>
    <w:rsid w:val="00087B72"/>
    <w:rsid w:val="00087F13"/>
    <w:rsid w:val="0009024D"/>
    <w:rsid w:val="000904EB"/>
    <w:rsid w:val="000905E5"/>
    <w:rsid w:val="000908DA"/>
    <w:rsid w:val="00090990"/>
    <w:rsid w:val="00090E39"/>
    <w:rsid w:val="00090F41"/>
    <w:rsid w:val="000916C4"/>
    <w:rsid w:val="00091FD0"/>
    <w:rsid w:val="00092084"/>
    <w:rsid w:val="00092438"/>
    <w:rsid w:val="000925BA"/>
    <w:rsid w:val="00092D41"/>
    <w:rsid w:val="00092E64"/>
    <w:rsid w:val="00092EF8"/>
    <w:rsid w:val="00093712"/>
    <w:rsid w:val="000938AC"/>
    <w:rsid w:val="00093A83"/>
    <w:rsid w:val="00093B4C"/>
    <w:rsid w:val="00093ED2"/>
    <w:rsid w:val="00093F0C"/>
    <w:rsid w:val="000940A9"/>
    <w:rsid w:val="0009449A"/>
    <w:rsid w:val="000946F6"/>
    <w:rsid w:val="0009488B"/>
    <w:rsid w:val="00094F9D"/>
    <w:rsid w:val="0009541B"/>
    <w:rsid w:val="00095562"/>
    <w:rsid w:val="000955A8"/>
    <w:rsid w:val="00095943"/>
    <w:rsid w:val="0009598E"/>
    <w:rsid w:val="000959DD"/>
    <w:rsid w:val="00095B43"/>
    <w:rsid w:val="00095E38"/>
    <w:rsid w:val="00095EF3"/>
    <w:rsid w:val="000960E7"/>
    <w:rsid w:val="0009628A"/>
    <w:rsid w:val="00096796"/>
    <w:rsid w:val="000968AE"/>
    <w:rsid w:val="000968D8"/>
    <w:rsid w:val="00096934"/>
    <w:rsid w:val="00096A48"/>
    <w:rsid w:val="00096AB9"/>
    <w:rsid w:val="00096F09"/>
    <w:rsid w:val="00096F2D"/>
    <w:rsid w:val="00096F62"/>
    <w:rsid w:val="0009705F"/>
    <w:rsid w:val="00097133"/>
    <w:rsid w:val="00097152"/>
    <w:rsid w:val="000972E8"/>
    <w:rsid w:val="00097794"/>
    <w:rsid w:val="000977BB"/>
    <w:rsid w:val="000978F4"/>
    <w:rsid w:val="00097DE4"/>
    <w:rsid w:val="00097E20"/>
    <w:rsid w:val="00097F56"/>
    <w:rsid w:val="000A01D0"/>
    <w:rsid w:val="000A0316"/>
    <w:rsid w:val="000A095E"/>
    <w:rsid w:val="000A0B61"/>
    <w:rsid w:val="000A102A"/>
    <w:rsid w:val="000A123D"/>
    <w:rsid w:val="000A16BB"/>
    <w:rsid w:val="000A1970"/>
    <w:rsid w:val="000A2054"/>
    <w:rsid w:val="000A227A"/>
    <w:rsid w:val="000A24E4"/>
    <w:rsid w:val="000A2A7A"/>
    <w:rsid w:val="000A2FFD"/>
    <w:rsid w:val="000A3351"/>
    <w:rsid w:val="000A3A41"/>
    <w:rsid w:val="000A3AAC"/>
    <w:rsid w:val="000A3AFC"/>
    <w:rsid w:val="000A3DF6"/>
    <w:rsid w:val="000A40F7"/>
    <w:rsid w:val="000A42AB"/>
    <w:rsid w:val="000A45B6"/>
    <w:rsid w:val="000A467A"/>
    <w:rsid w:val="000A4A1E"/>
    <w:rsid w:val="000A4A54"/>
    <w:rsid w:val="000A4C6C"/>
    <w:rsid w:val="000A4FA1"/>
    <w:rsid w:val="000A5095"/>
    <w:rsid w:val="000A50DF"/>
    <w:rsid w:val="000A51FE"/>
    <w:rsid w:val="000A571D"/>
    <w:rsid w:val="000A6077"/>
    <w:rsid w:val="000A67F5"/>
    <w:rsid w:val="000A6C4C"/>
    <w:rsid w:val="000A6C7D"/>
    <w:rsid w:val="000A6E7F"/>
    <w:rsid w:val="000A6EBD"/>
    <w:rsid w:val="000A71EC"/>
    <w:rsid w:val="000A72FD"/>
    <w:rsid w:val="000A7309"/>
    <w:rsid w:val="000A759E"/>
    <w:rsid w:val="000A7821"/>
    <w:rsid w:val="000A79A4"/>
    <w:rsid w:val="000A7F47"/>
    <w:rsid w:val="000A7F77"/>
    <w:rsid w:val="000B025A"/>
    <w:rsid w:val="000B08C9"/>
    <w:rsid w:val="000B0B58"/>
    <w:rsid w:val="000B0BA0"/>
    <w:rsid w:val="000B0DA5"/>
    <w:rsid w:val="000B0DD4"/>
    <w:rsid w:val="000B1B3F"/>
    <w:rsid w:val="000B1D01"/>
    <w:rsid w:val="000B1E6A"/>
    <w:rsid w:val="000B1EAD"/>
    <w:rsid w:val="000B1F2C"/>
    <w:rsid w:val="000B1FD6"/>
    <w:rsid w:val="000B239E"/>
    <w:rsid w:val="000B24E4"/>
    <w:rsid w:val="000B2813"/>
    <w:rsid w:val="000B2DF0"/>
    <w:rsid w:val="000B2E41"/>
    <w:rsid w:val="000B2FF1"/>
    <w:rsid w:val="000B3FCC"/>
    <w:rsid w:val="000B4063"/>
    <w:rsid w:val="000B429A"/>
    <w:rsid w:val="000B4329"/>
    <w:rsid w:val="000B4470"/>
    <w:rsid w:val="000B4993"/>
    <w:rsid w:val="000B4A21"/>
    <w:rsid w:val="000B4C05"/>
    <w:rsid w:val="000B4DAE"/>
    <w:rsid w:val="000B4E91"/>
    <w:rsid w:val="000B5124"/>
    <w:rsid w:val="000B5236"/>
    <w:rsid w:val="000B5795"/>
    <w:rsid w:val="000B57AC"/>
    <w:rsid w:val="000B583A"/>
    <w:rsid w:val="000B5B81"/>
    <w:rsid w:val="000B5B8D"/>
    <w:rsid w:val="000B5C04"/>
    <w:rsid w:val="000B5DF0"/>
    <w:rsid w:val="000B5E20"/>
    <w:rsid w:val="000B601B"/>
    <w:rsid w:val="000B65C1"/>
    <w:rsid w:val="000B6785"/>
    <w:rsid w:val="000B6916"/>
    <w:rsid w:val="000B6920"/>
    <w:rsid w:val="000B6A69"/>
    <w:rsid w:val="000B6E81"/>
    <w:rsid w:val="000B71EA"/>
    <w:rsid w:val="000B7821"/>
    <w:rsid w:val="000B7D93"/>
    <w:rsid w:val="000B7DF1"/>
    <w:rsid w:val="000C015A"/>
    <w:rsid w:val="000C04B2"/>
    <w:rsid w:val="000C0566"/>
    <w:rsid w:val="000C096A"/>
    <w:rsid w:val="000C096B"/>
    <w:rsid w:val="000C0A16"/>
    <w:rsid w:val="000C0B00"/>
    <w:rsid w:val="000C0D88"/>
    <w:rsid w:val="000C0EB3"/>
    <w:rsid w:val="000C1B2B"/>
    <w:rsid w:val="000C205B"/>
    <w:rsid w:val="000C224A"/>
    <w:rsid w:val="000C22D9"/>
    <w:rsid w:val="000C277E"/>
    <w:rsid w:val="000C3296"/>
    <w:rsid w:val="000C330C"/>
    <w:rsid w:val="000C347F"/>
    <w:rsid w:val="000C4598"/>
    <w:rsid w:val="000C4763"/>
    <w:rsid w:val="000C4923"/>
    <w:rsid w:val="000C49CF"/>
    <w:rsid w:val="000C4A9D"/>
    <w:rsid w:val="000C4B2E"/>
    <w:rsid w:val="000C4D0D"/>
    <w:rsid w:val="000C54B0"/>
    <w:rsid w:val="000C567F"/>
    <w:rsid w:val="000C581A"/>
    <w:rsid w:val="000C5A21"/>
    <w:rsid w:val="000C5BFD"/>
    <w:rsid w:val="000C5CF6"/>
    <w:rsid w:val="000C5E22"/>
    <w:rsid w:val="000C6536"/>
    <w:rsid w:val="000C66F7"/>
    <w:rsid w:val="000C672C"/>
    <w:rsid w:val="000C6851"/>
    <w:rsid w:val="000C6E98"/>
    <w:rsid w:val="000C7224"/>
    <w:rsid w:val="000C76FC"/>
    <w:rsid w:val="000C7ADD"/>
    <w:rsid w:val="000C7C0A"/>
    <w:rsid w:val="000D013E"/>
    <w:rsid w:val="000D025B"/>
    <w:rsid w:val="000D09CF"/>
    <w:rsid w:val="000D0BEC"/>
    <w:rsid w:val="000D10C3"/>
    <w:rsid w:val="000D15EE"/>
    <w:rsid w:val="000D1813"/>
    <w:rsid w:val="000D1C99"/>
    <w:rsid w:val="000D20A1"/>
    <w:rsid w:val="000D212C"/>
    <w:rsid w:val="000D21DB"/>
    <w:rsid w:val="000D2459"/>
    <w:rsid w:val="000D2ED8"/>
    <w:rsid w:val="000D306B"/>
    <w:rsid w:val="000D31C2"/>
    <w:rsid w:val="000D32F1"/>
    <w:rsid w:val="000D3344"/>
    <w:rsid w:val="000D3DA2"/>
    <w:rsid w:val="000D421F"/>
    <w:rsid w:val="000D427E"/>
    <w:rsid w:val="000D4312"/>
    <w:rsid w:val="000D46B6"/>
    <w:rsid w:val="000D4A83"/>
    <w:rsid w:val="000D4F5A"/>
    <w:rsid w:val="000D564A"/>
    <w:rsid w:val="000D5734"/>
    <w:rsid w:val="000D5A38"/>
    <w:rsid w:val="000D5AC7"/>
    <w:rsid w:val="000D5C03"/>
    <w:rsid w:val="000D5CA1"/>
    <w:rsid w:val="000D5D03"/>
    <w:rsid w:val="000D5D8A"/>
    <w:rsid w:val="000D6020"/>
    <w:rsid w:val="000D6158"/>
    <w:rsid w:val="000D6211"/>
    <w:rsid w:val="000D624A"/>
    <w:rsid w:val="000D62AA"/>
    <w:rsid w:val="000D6505"/>
    <w:rsid w:val="000D6602"/>
    <w:rsid w:val="000D6BED"/>
    <w:rsid w:val="000D7110"/>
    <w:rsid w:val="000D7562"/>
    <w:rsid w:val="000D764C"/>
    <w:rsid w:val="000D7B4D"/>
    <w:rsid w:val="000D7F97"/>
    <w:rsid w:val="000E024D"/>
    <w:rsid w:val="000E066E"/>
    <w:rsid w:val="000E0799"/>
    <w:rsid w:val="000E0D39"/>
    <w:rsid w:val="000E0E95"/>
    <w:rsid w:val="000E10BC"/>
    <w:rsid w:val="000E1C02"/>
    <w:rsid w:val="000E1D5A"/>
    <w:rsid w:val="000E2AAA"/>
    <w:rsid w:val="000E2ACD"/>
    <w:rsid w:val="000E2D4D"/>
    <w:rsid w:val="000E2F15"/>
    <w:rsid w:val="000E343F"/>
    <w:rsid w:val="000E3909"/>
    <w:rsid w:val="000E3E01"/>
    <w:rsid w:val="000E3FF0"/>
    <w:rsid w:val="000E421E"/>
    <w:rsid w:val="000E43D6"/>
    <w:rsid w:val="000E44BF"/>
    <w:rsid w:val="000E450C"/>
    <w:rsid w:val="000E473A"/>
    <w:rsid w:val="000E4873"/>
    <w:rsid w:val="000E4E1C"/>
    <w:rsid w:val="000E524D"/>
    <w:rsid w:val="000E52E1"/>
    <w:rsid w:val="000E542D"/>
    <w:rsid w:val="000E581C"/>
    <w:rsid w:val="000E642E"/>
    <w:rsid w:val="000E66C8"/>
    <w:rsid w:val="000E69F8"/>
    <w:rsid w:val="000E6B0C"/>
    <w:rsid w:val="000E7119"/>
    <w:rsid w:val="000E787B"/>
    <w:rsid w:val="000E7906"/>
    <w:rsid w:val="000E7AD4"/>
    <w:rsid w:val="000E7BEE"/>
    <w:rsid w:val="000E7CA6"/>
    <w:rsid w:val="000E7DC1"/>
    <w:rsid w:val="000F00DB"/>
    <w:rsid w:val="000F0B0B"/>
    <w:rsid w:val="000F0BA6"/>
    <w:rsid w:val="000F114F"/>
    <w:rsid w:val="000F117D"/>
    <w:rsid w:val="000F121E"/>
    <w:rsid w:val="000F1C97"/>
    <w:rsid w:val="000F21B2"/>
    <w:rsid w:val="000F25AF"/>
    <w:rsid w:val="000F25C8"/>
    <w:rsid w:val="000F28C4"/>
    <w:rsid w:val="000F2A04"/>
    <w:rsid w:val="000F2AAD"/>
    <w:rsid w:val="000F2ADB"/>
    <w:rsid w:val="000F2BD3"/>
    <w:rsid w:val="000F2C26"/>
    <w:rsid w:val="000F3048"/>
    <w:rsid w:val="000F3193"/>
    <w:rsid w:val="000F3367"/>
    <w:rsid w:val="000F3622"/>
    <w:rsid w:val="000F3666"/>
    <w:rsid w:val="000F3759"/>
    <w:rsid w:val="000F37E9"/>
    <w:rsid w:val="000F39D2"/>
    <w:rsid w:val="000F3BE6"/>
    <w:rsid w:val="000F420C"/>
    <w:rsid w:val="000F43DC"/>
    <w:rsid w:val="000F496D"/>
    <w:rsid w:val="000F4E71"/>
    <w:rsid w:val="000F5134"/>
    <w:rsid w:val="000F51DF"/>
    <w:rsid w:val="000F53F1"/>
    <w:rsid w:val="000F596B"/>
    <w:rsid w:val="000F5A51"/>
    <w:rsid w:val="000F5D88"/>
    <w:rsid w:val="000F5F9B"/>
    <w:rsid w:val="000F5FCF"/>
    <w:rsid w:val="000F694D"/>
    <w:rsid w:val="000F6A7F"/>
    <w:rsid w:val="000F728A"/>
    <w:rsid w:val="000F75A0"/>
    <w:rsid w:val="000F778B"/>
    <w:rsid w:val="001002F5"/>
    <w:rsid w:val="001005F7"/>
    <w:rsid w:val="0010083E"/>
    <w:rsid w:val="00100962"/>
    <w:rsid w:val="00101007"/>
    <w:rsid w:val="0010124E"/>
    <w:rsid w:val="00101289"/>
    <w:rsid w:val="001014F6"/>
    <w:rsid w:val="001015AE"/>
    <w:rsid w:val="001015DB"/>
    <w:rsid w:val="00101DDF"/>
    <w:rsid w:val="00101FAB"/>
    <w:rsid w:val="0010245A"/>
    <w:rsid w:val="00102473"/>
    <w:rsid w:val="001025B2"/>
    <w:rsid w:val="0010292B"/>
    <w:rsid w:val="00102A00"/>
    <w:rsid w:val="001032D9"/>
    <w:rsid w:val="00103327"/>
    <w:rsid w:val="001034AC"/>
    <w:rsid w:val="001035AD"/>
    <w:rsid w:val="00103B71"/>
    <w:rsid w:val="00103F43"/>
    <w:rsid w:val="00104055"/>
    <w:rsid w:val="001042A8"/>
    <w:rsid w:val="0010452F"/>
    <w:rsid w:val="00104A30"/>
    <w:rsid w:val="00104A50"/>
    <w:rsid w:val="00104C73"/>
    <w:rsid w:val="00104C80"/>
    <w:rsid w:val="00104CF9"/>
    <w:rsid w:val="00104D99"/>
    <w:rsid w:val="00104E84"/>
    <w:rsid w:val="001050D9"/>
    <w:rsid w:val="00105163"/>
    <w:rsid w:val="00105309"/>
    <w:rsid w:val="0010551B"/>
    <w:rsid w:val="00105522"/>
    <w:rsid w:val="0010573E"/>
    <w:rsid w:val="00105DC6"/>
    <w:rsid w:val="00105DDF"/>
    <w:rsid w:val="001060B9"/>
    <w:rsid w:val="001061A0"/>
    <w:rsid w:val="001068A8"/>
    <w:rsid w:val="00106924"/>
    <w:rsid w:val="00106BA8"/>
    <w:rsid w:val="00106D97"/>
    <w:rsid w:val="00106F72"/>
    <w:rsid w:val="001070A8"/>
    <w:rsid w:val="00107A78"/>
    <w:rsid w:val="00107E31"/>
    <w:rsid w:val="00107E89"/>
    <w:rsid w:val="00107F1B"/>
    <w:rsid w:val="00107F8F"/>
    <w:rsid w:val="001100F3"/>
    <w:rsid w:val="00110166"/>
    <w:rsid w:val="001102B7"/>
    <w:rsid w:val="00110619"/>
    <w:rsid w:val="00110793"/>
    <w:rsid w:val="001111B7"/>
    <w:rsid w:val="001111D7"/>
    <w:rsid w:val="00111344"/>
    <w:rsid w:val="001115E3"/>
    <w:rsid w:val="00111707"/>
    <w:rsid w:val="0011184E"/>
    <w:rsid w:val="00111D9F"/>
    <w:rsid w:val="00111FD3"/>
    <w:rsid w:val="001121E5"/>
    <w:rsid w:val="00112311"/>
    <w:rsid w:val="0011258E"/>
    <w:rsid w:val="00112988"/>
    <w:rsid w:val="00112AF5"/>
    <w:rsid w:val="00112DE6"/>
    <w:rsid w:val="0011309D"/>
    <w:rsid w:val="001132EC"/>
    <w:rsid w:val="0011330D"/>
    <w:rsid w:val="00113391"/>
    <w:rsid w:val="00113A31"/>
    <w:rsid w:val="00113CE7"/>
    <w:rsid w:val="00113D9D"/>
    <w:rsid w:val="00113E1D"/>
    <w:rsid w:val="00113EA8"/>
    <w:rsid w:val="001141E2"/>
    <w:rsid w:val="001142C5"/>
    <w:rsid w:val="0011447B"/>
    <w:rsid w:val="00114678"/>
    <w:rsid w:val="0011491B"/>
    <w:rsid w:val="00114A9C"/>
    <w:rsid w:val="00114B05"/>
    <w:rsid w:val="00114C9E"/>
    <w:rsid w:val="00114D46"/>
    <w:rsid w:val="00115611"/>
    <w:rsid w:val="00115AFC"/>
    <w:rsid w:val="00115D4E"/>
    <w:rsid w:val="001165AC"/>
    <w:rsid w:val="00116B40"/>
    <w:rsid w:val="00116C3F"/>
    <w:rsid w:val="001173B9"/>
    <w:rsid w:val="0011757B"/>
    <w:rsid w:val="001178DE"/>
    <w:rsid w:val="00117929"/>
    <w:rsid w:val="00117D8D"/>
    <w:rsid w:val="00120118"/>
    <w:rsid w:val="00120241"/>
    <w:rsid w:val="00120277"/>
    <w:rsid w:val="00120418"/>
    <w:rsid w:val="0012042B"/>
    <w:rsid w:val="0012049C"/>
    <w:rsid w:val="001204D8"/>
    <w:rsid w:val="00120CA1"/>
    <w:rsid w:val="00120F1D"/>
    <w:rsid w:val="00120F63"/>
    <w:rsid w:val="0012111A"/>
    <w:rsid w:val="00121467"/>
    <w:rsid w:val="00121E3B"/>
    <w:rsid w:val="001220C8"/>
    <w:rsid w:val="00122679"/>
    <w:rsid w:val="00122B81"/>
    <w:rsid w:val="00122BD5"/>
    <w:rsid w:val="00122DA5"/>
    <w:rsid w:val="00123063"/>
    <w:rsid w:val="001233CD"/>
    <w:rsid w:val="001239C4"/>
    <w:rsid w:val="00123AB9"/>
    <w:rsid w:val="00123CBE"/>
    <w:rsid w:val="00123E3C"/>
    <w:rsid w:val="001240AC"/>
    <w:rsid w:val="0012415B"/>
    <w:rsid w:val="0012416E"/>
    <w:rsid w:val="0012438D"/>
    <w:rsid w:val="00124D38"/>
    <w:rsid w:val="00125133"/>
    <w:rsid w:val="001251F0"/>
    <w:rsid w:val="001252CE"/>
    <w:rsid w:val="00125359"/>
    <w:rsid w:val="001257E3"/>
    <w:rsid w:val="00125937"/>
    <w:rsid w:val="00125D4C"/>
    <w:rsid w:val="00125D85"/>
    <w:rsid w:val="001261B6"/>
    <w:rsid w:val="00126330"/>
    <w:rsid w:val="00126453"/>
    <w:rsid w:val="001264D5"/>
    <w:rsid w:val="001264F1"/>
    <w:rsid w:val="00127478"/>
    <w:rsid w:val="001275DD"/>
    <w:rsid w:val="00127826"/>
    <w:rsid w:val="00127B36"/>
    <w:rsid w:val="00130133"/>
    <w:rsid w:val="00130140"/>
    <w:rsid w:val="0013032F"/>
    <w:rsid w:val="00130395"/>
    <w:rsid w:val="00130998"/>
    <w:rsid w:val="00130ABD"/>
    <w:rsid w:val="00130C83"/>
    <w:rsid w:val="00130DAD"/>
    <w:rsid w:val="001310E3"/>
    <w:rsid w:val="00131207"/>
    <w:rsid w:val="00131405"/>
    <w:rsid w:val="00131772"/>
    <w:rsid w:val="00131AD6"/>
    <w:rsid w:val="00131B70"/>
    <w:rsid w:val="00132088"/>
    <w:rsid w:val="0013230A"/>
    <w:rsid w:val="0013241A"/>
    <w:rsid w:val="0013255E"/>
    <w:rsid w:val="00132B8E"/>
    <w:rsid w:val="001331BF"/>
    <w:rsid w:val="001334CC"/>
    <w:rsid w:val="00133643"/>
    <w:rsid w:val="00133693"/>
    <w:rsid w:val="00133847"/>
    <w:rsid w:val="00133935"/>
    <w:rsid w:val="00133B79"/>
    <w:rsid w:val="00134401"/>
    <w:rsid w:val="00134956"/>
    <w:rsid w:val="00134E35"/>
    <w:rsid w:val="001351CC"/>
    <w:rsid w:val="0013567D"/>
    <w:rsid w:val="001358BD"/>
    <w:rsid w:val="00135FD8"/>
    <w:rsid w:val="0013603E"/>
    <w:rsid w:val="00136195"/>
    <w:rsid w:val="001361A6"/>
    <w:rsid w:val="00136323"/>
    <w:rsid w:val="0013649F"/>
    <w:rsid w:val="0013664F"/>
    <w:rsid w:val="00136697"/>
    <w:rsid w:val="001369BB"/>
    <w:rsid w:val="00136ABB"/>
    <w:rsid w:val="00136C12"/>
    <w:rsid w:val="00136C57"/>
    <w:rsid w:val="00136CFD"/>
    <w:rsid w:val="001371DE"/>
    <w:rsid w:val="001375A4"/>
    <w:rsid w:val="001376FC"/>
    <w:rsid w:val="00137A69"/>
    <w:rsid w:val="00137BCB"/>
    <w:rsid w:val="00137C00"/>
    <w:rsid w:val="0014006B"/>
    <w:rsid w:val="0014014C"/>
    <w:rsid w:val="00140326"/>
    <w:rsid w:val="00140491"/>
    <w:rsid w:val="0014057D"/>
    <w:rsid w:val="001406E0"/>
    <w:rsid w:val="0014097C"/>
    <w:rsid w:val="00140AED"/>
    <w:rsid w:val="001410DD"/>
    <w:rsid w:val="00141261"/>
    <w:rsid w:val="00141488"/>
    <w:rsid w:val="001414E0"/>
    <w:rsid w:val="0014151C"/>
    <w:rsid w:val="001416D7"/>
    <w:rsid w:val="001422CE"/>
    <w:rsid w:val="001426A5"/>
    <w:rsid w:val="001429E0"/>
    <w:rsid w:val="00142B85"/>
    <w:rsid w:val="00142C3F"/>
    <w:rsid w:val="00142C52"/>
    <w:rsid w:val="00142DE0"/>
    <w:rsid w:val="00142DEA"/>
    <w:rsid w:val="001430A1"/>
    <w:rsid w:val="00143426"/>
    <w:rsid w:val="00143DD3"/>
    <w:rsid w:val="00143E88"/>
    <w:rsid w:val="00144093"/>
    <w:rsid w:val="001440DA"/>
    <w:rsid w:val="00144386"/>
    <w:rsid w:val="0014447B"/>
    <w:rsid w:val="00144A02"/>
    <w:rsid w:val="00144CE9"/>
    <w:rsid w:val="00145076"/>
    <w:rsid w:val="00145CFE"/>
    <w:rsid w:val="00145ED0"/>
    <w:rsid w:val="0014629A"/>
    <w:rsid w:val="001463E5"/>
    <w:rsid w:val="001463E8"/>
    <w:rsid w:val="0014657C"/>
    <w:rsid w:val="00146655"/>
    <w:rsid w:val="0014673B"/>
    <w:rsid w:val="001468EE"/>
    <w:rsid w:val="0014694B"/>
    <w:rsid w:val="00146A47"/>
    <w:rsid w:val="00146CD1"/>
    <w:rsid w:val="00146D22"/>
    <w:rsid w:val="00146E2F"/>
    <w:rsid w:val="00146EFA"/>
    <w:rsid w:val="001472B3"/>
    <w:rsid w:val="001473BD"/>
    <w:rsid w:val="001476C8"/>
    <w:rsid w:val="0014788E"/>
    <w:rsid w:val="00150382"/>
    <w:rsid w:val="00150FB3"/>
    <w:rsid w:val="00151126"/>
    <w:rsid w:val="001511C6"/>
    <w:rsid w:val="00151263"/>
    <w:rsid w:val="0015132F"/>
    <w:rsid w:val="001515DA"/>
    <w:rsid w:val="001518EB"/>
    <w:rsid w:val="00151E86"/>
    <w:rsid w:val="00152040"/>
    <w:rsid w:val="001523FE"/>
    <w:rsid w:val="00152818"/>
    <w:rsid w:val="00152980"/>
    <w:rsid w:val="00153AE9"/>
    <w:rsid w:val="00154033"/>
    <w:rsid w:val="001540A5"/>
    <w:rsid w:val="00154910"/>
    <w:rsid w:val="0015492C"/>
    <w:rsid w:val="00154BFC"/>
    <w:rsid w:val="0015508A"/>
    <w:rsid w:val="001553B3"/>
    <w:rsid w:val="00155503"/>
    <w:rsid w:val="001556CD"/>
    <w:rsid w:val="00155EFB"/>
    <w:rsid w:val="00155FD0"/>
    <w:rsid w:val="001560A9"/>
    <w:rsid w:val="00156428"/>
    <w:rsid w:val="0015648D"/>
    <w:rsid w:val="001566EB"/>
    <w:rsid w:val="0015676A"/>
    <w:rsid w:val="0015688D"/>
    <w:rsid w:val="0015694F"/>
    <w:rsid w:val="00156A63"/>
    <w:rsid w:val="00156C31"/>
    <w:rsid w:val="00157103"/>
    <w:rsid w:val="00157111"/>
    <w:rsid w:val="0015769F"/>
    <w:rsid w:val="00157DAB"/>
    <w:rsid w:val="00157E56"/>
    <w:rsid w:val="00160119"/>
    <w:rsid w:val="001607B0"/>
    <w:rsid w:val="001607FB"/>
    <w:rsid w:val="00160E8D"/>
    <w:rsid w:val="00161238"/>
    <w:rsid w:val="00161727"/>
    <w:rsid w:val="001619E4"/>
    <w:rsid w:val="00161BCC"/>
    <w:rsid w:val="00161C4B"/>
    <w:rsid w:val="00161CC3"/>
    <w:rsid w:val="00161CF4"/>
    <w:rsid w:val="00161EFD"/>
    <w:rsid w:val="0016210F"/>
    <w:rsid w:val="001622E7"/>
    <w:rsid w:val="001623D9"/>
    <w:rsid w:val="00162997"/>
    <w:rsid w:val="00162A48"/>
    <w:rsid w:val="00162B7B"/>
    <w:rsid w:val="00162EC8"/>
    <w:rsid w:val="00163351"/>
    <w:rsid w:val="00163459"/>
    <w:rsid w:val="001635BD"/>
    <w:rsid w:val="001635D2"/>
    <w:rsid w:val="001639AE"/>
    <w:rsid w:val="00163BAF"/>
    <w:rsid w:val="00163BD7"/>
    <w:rsid w:val="00163CF6"/>
    <w:rsid w:val="00163F15"/>
    <w:rsid w:val="00163FB1"/>
    <w:rsid w:val="00164042"/>
    <w:rsid w:val="001640E8"/>
    <w:rsid w:val="0016425C"/>
    <w:rsid w:val="0016471B"/>
    <w:rsid w:val="00164B09"/>
    <w:rsid w:val="00164C7E"/>
    <w:rsid w:val="001653AE"/>
    <w:rsid w:val="0016540C"/>
    <w:rsid w:val="001654F5"/>
    <w:rsid w:val="00165BE2"/>
    <w:rsid w:val="00165C14"/>
    <w:rsid w:val="00165F85"/>
    <w:rsid w:val="00166113"/>
    <w:rsid w:val="0016616C"/>
    <w:rsid w:val="001667AB"/>
    <w:rsid w:val="001668CA"/>
    <w:rsid w:val="001669BC"/>
    <w:rsid w:val="00166C27"/>
    <w:rsid w:val="00166E70"/>
    <w:rsid w:val="001672EC"/>
    <w:rsid w:val="0016759D"/>
    <w:rsid w:val="001675A7"/>
    <w:rsid w:val="0016784F"/>
    <w:rsid w:val="001679B0"/>
    <w:rsid w:val="00167BA3"/>
    <w:rsid w:val="00167C58"/>
    <w:rsid w:val="00167E72"/>
    <w:rsid w:val="00170210"/>
    <w:rsid w:val="00170486"/>
    <w:rsid w:val="0017069D"/>
    <w:rsid w:val="001715FF"/>
    <w:rsid w:val="0017168E"/>
    <w:rsid w:val="001716C7"/>
    <w:rsid w:val="00171A39"/>
    <w:rsid w:val="00171AA6"/>
    <w:rsid w:val="00171D1D"/>
    <w:rsid w:val="00172141"/>
    <w:rsid w:val="00172BA7"/>
    <w:rsid w:val="00172D10"/>
    <w:rsid w:val="00173028"/>
    <w:rsid w:val="0017319A"/>
    <w:rsid w:val="00173776"/>
    <w:rsid w:val="00173801"/>
    <w:rsid w:val="00173B01"/>
    <w:rsid w:val="00173EAC"/>
    <w:rsid w:val="00174656"/>
    <w:rsid w:val="00174DE6"/>
    <w:rsid w:val="00174E31"/>
    <w:rsid w:val="0017518E"/>
    <w:rsid w:val="0017605F"/>
    <w:rsid w:val="0017625F"/>
    <w:rsid w:val="001767FB"/>
    <w:rsid w:val="00176ABE"/>
    <w:rsid w:val="00176F56"/>
    <w:rsid w:val="00176FA6"/>
    <w:rsid w:val="00176FCF"/>
    <w:rsid w:val="001773BC"/>
    <w:rsid w:val="0017767C"/>
    <w:rsid w:val="00177724"/>
    <w:rsid w:val="001779E5"/>
    <w:rsid w:val="00180B2D"/>
    <w:rsid w:val="00180C16"/>
    <w:rsid w:val="00180C37"/>
    <w:rsid w:val="00180D09"/>
    <w:rsid w:val="00180E1C"/>
    <w:rsid w:val="00180F78"/>
    <w:rsid w:val="0018124C"/>
    <w:rsid w:val="00181276"/>
    <w:rsid w:val="00181594"/>
    <w:rsid w:val="001815AD"/>
    <w:rsid w:val="001815D5"/>
    <w:rsid w:val="00181917"/>
    <w:rsid w:val="00181A57"/>
    <w:rsid w:val="00182012"/>
    <w:rsid w:val="001820CF"/>
    <w:rsid w:val="001822E8"/>
    <w:rsid w:val="00182539"/>
    <w:rsid w:val="00182659"/>
    <w:rsid w:val="00182B33"/>
    <w:rsid w:val="00182EA2"/>
    <w:rsid w:val="0018322D"/>
    <w:rsid w:val="00183244"/>
    <w:rsid w:val="00183658"/>
    <w:rsid w:val="00183836"/>
    <w:rsid w:val="00183B4B"/>
    <w:rsid w:val="00183D40"/>
    <w:rsid w:val="00183D78"/>
    <w:rsid w:val="001840D1"/>
    <w:rsid w:val="001844AD"/>
    <w:rsid w:val="00184A26"/>
    <w:rsid w:val="00184A83"/>
    <w:rsid w:val="001852C9"/>
    <w:rsid w:val="0018536E"/>
    <w:rsid w:val="001856DD"/>
    <w:rsid w:val="001857F8"/>
    <w:rsid w:val="00185D08"/>
    <w:rsid w:val="00185DE3"/>
    <w:rsid w:val="00185F40"/>
    <w:rsid w:val="00186383"/>
    <w:rsid w:val="00186BB2"/>
    <w:rsid w:val="00187B53"/>
    <w:rsid w:val="00187C65"/>
    <w:rsid w:val="00190389"/>
    <w:rsid w:val="001904F5"/>
    <w:rsid w:val="0019050E"/>
    <w:rsid w:val="001905E6"/>
    <w:rsid w:val="0019068A"/>
    <w:rsid w:val="00190A0A"/>
    <w:rsid w:val="00190A4E"/>
    <w:rsid w:val="00190C41"/>
    <w:rsid w:val="00190D05"/>
    <w:rsid w:val="001912D0"/>
    <w:rsid w:val="00191630"/>
    <w:rsid w:val="00191FDD"/>
    <w:rsid w:val="00192316"/>
    <w:rsid w:val="001923C5"/>
    <w:rsid w:val="00192573"/>
    <w:rsid w:val="00192A11"/>
    <w:rsid w:val="00192E15"/>
    <w:rsid w:val="00193298"/>
    <w:rsid w:val="00193513"/>
    <w:rsid w:val="0019381D"/>
    <w:rsid w:val="001938E9"/>
    <w:rsid w:val="001939FD"/>
    <w:rsid w:val="00193AF5"/>
    <w:rsid w:val="001940EA"/>
    <w:rsid w:val="001946B6"/>
    <w:rsid w:val="00194E50"/>
    <w:rsid w:val="001951AD"/>
    <w:rsid w:val="001952C6"/>
    <w:rsid w:val="0019552F"/>
    <w:rsid w:val="001958D2"/>
    <w:rsid w:val="00195925"/>
    <w:rsid w:val="00195DB7"/>
    <w:rsid w:val="00195E54"/>
    <w:rsid w:val="0019620B"/>
    <w:rsid w:val="00196298"/>
    <w:rsid w:val="00196938"/>
    <w:rsid w:val="00196C22"/>
    <w:rsid w:val="00196EB4"/>
    <w:rsid w:val="001974A2"/>
    <w:rsid w:val="00197547"/>
    <w:rsid w:val="001976D1"/>
    <w:rsid w:val="001976FD"/>
    <w:rsid w:val="00197E85"/>
    <w:rsid w:val="001A0265"/>
    <w:rsid w:val="001A039D"/>
    <w:rsid w:val="001A03C9"/>
    <w:rsid w:val="001A057D"/>
    <w:rsid w:val="001A0926"/>
    <w:rsid w:val="001A0937"/>
    <w:rsid w:val="001A0D0F"/>
    <w:rsid w:val="001A0F3A"/>
    <w:rsid w:val="001A121E"/>
    <w:rsid w:val="001A1A90"/>
    <w:rsid w:val="001A234C"/>
    <w:rsid w:val="001A2769"/>
    <w:rsid w:val="001A3702"/>
    <w:rsid w:val="001A3720"/>
    <w:rsid w:val="001A37AF"/>
    <w:rsid w:val="001A3A11"/>
    <w:rsid w:val="001A4194"/>
    <w:rsid w:val="001A41ED"/>
    <w:rsid w:val="001A4BB1"/>
    <w:rsid w:val="001A4DBC"/>
    <w:rsid w:val="001A5120"/>
    <w:rsid w:val="001A579A"/>
    <w:rsid w:val="001A5939"/>
    <w:rsid w:val="001A5E3A"/>
    <w:rsid w:val="001A608A"/>
    <w:rsid w:val="001A6249"/>
    <w:rsid w:val="001A6400"/>
    <w:rsid w:val="001A660C"/>
    <w:rsid w:val="001A68B0"/>
    <w:rsid w:val="001A728D"/>
    <w:rsid w:val="001A7359"/>
    <w:rsid w:val="001A7E40"/>
    <w:rsid w:val="001B000E"/>
    <w:rsid w:val="001B01DA"/>
    <w:rsid w:val="001B03E2"/>
    <w:rsid w:val="001B03ED"/>
    <w:rsid w:val="001B04D5"/>
    <w:rsid w:val="001B074E"/>
    <w:rsid w:val="001B07CB"/>
    <w:rsid w:val="001B080E"/>
    <w:rsid w:val="001B09E8"/>
    <w:rsid w:val="001B0A7C"/>
    <w:rsid w:val="001B0E1C"/>
    <w:rsid w:val="001B0E45"/>
    <w:rsid w:val="001B12A0"/>
    <w:rsid w:val="001B14CB"/>
    <w:rsid w:val="001B1673"/>
    <w:rsid w:val="001B19F0"/>
    <w:rsid w:val="001B1B33"/>
    <w:rsid w:val="001B1B47"/>
    <w:rsid w:val="001B1B90"/>
    <w:rsid w:val="001B1F59"/>
    <w:rsid w:val="001B24A2"/>
    <w:rsid w:val="001B263C"/>
    <w:rsid w:val="001B26D7"/>
    <w:rsid w:val="001B2972"/>
    <w:rsid w:val="001B2A3F"/>
    <w:rsid w:val="001B3033"/>
    <w:rsid w:val="001B31AB"/>
    <w:rsid w:val="001B3398"/>
    <w:rsid w:val="001B33F2"/>
    <w:rsid w:val="001B34A2"/>
    <w:rsid w:val="001B35E9"/>
    <w:rsid w:val="001B3BD8"/>
    <w:rsid w:val="001B3DC6"/>
    <w:rsid w:val="001B4171"/>
    <w:rsid w:val="001B4398"/>
    <w:rsid w:val="001B4EA9"/>
    <w:rsid w:val="001B5124"/>
    <w:rsid w:val="001B51AA"/>
    <w:rsid w:val="001B5220"/>
    <w:rsid w:val="001B5256"/>
    <w:rsid w:val="001B58D5"/>
    <w:rsid w:val="001B5ACF"/>
    <w:rsid w:val="001B5D2B"/>
    <w:rsid w:val="001B601E"/>
    <w:rsid w:val="001B60C4"/>
    <w:rsid w:val="001B63F7"/>
    <w:rsid w:val="001B65B9"/>
    <w:rsid w:val="001B6795"/>
    <w:rsid w:val="001B6A0E"/>
    <w:rsid w:val="001B6AC9"/>
    <w:rsid w:val="001B6E96"/>
    <w:rsid w:val="001B715A"/>
    <w:rsid w:val="001B7223"/>
    <w:rsid w:val="001B7581"/>
    <w:rsid w:val="001B76DE"/>
    <w:rsid w:val="001B773F"/>
    <w:rsid w:val="001B77C2"/>
    <w:rsid w:val="001B7A7E"/>
    <w:rsid w:val="001B7C5D"/>
    <w:rsid w:val="001B7F44"/>
    <w:rsid w:val="001C013E"/>
    <w:rsid w:val="001C0563"/>
    <w:rsid w:val="001C09FE"/>
    <w:rsid w:val="001C0C9E"/>
    <w:rsid w:val="001C0EC0"/>
    <w:rsid w:val="001C1038"/>
    <w:rsid w:val="001C140B"/>
    <w:rsid w:val="001C178A"/>
    <w:rsid w:val="001C1BAD"/>
    <w:rsid w:val="001C1DC1"/>
    <w:rsid w:val="001C2081"/>
    <w:rsid w:val="001C2636"/>
    <w:rsid w:val="001C2908"/>
    <w:rsid w:val="001C2A45"/>
    <w:rsid w:val="001C31BB"/>
    <w:rsid w:val="001C33C6"/>
    <w:rsid w:val="001C342E"/>
    <w:rsid w:val="001C3723"/>
    <w:rsid w:val="001C397A"/>
    <w:rsid w:val="001C3980"/>
    <w:rsid w:val="001C3E68"/>
    <w:rsid w:val="001C48F2"/>
    <w:rsid w:val="001C4C8F"/>
    <w:rsid w:val="001C4FAA"/>
    <w:rsid w:val="001C5440"/>
    <w:rsid w:val="001C5886"/>
    <w:rsid w:val="001C5A0F"/>
    <w:rsid w:val="001C5EBD"/>
    <w:rsid w:val="001C5EF6"/>
    <w:rsid w:val="001C606A"/>
    <w:rsid w:val="001C6A72"/>
    <w:rsid w:val="001C6B18"/>
    <w:rsid w:val="001C6D54"/>
    <w:rsid w:val="001C7419"/>
    <w:rsid w:val="001C7461"/>
    <w:rsid w:val="001C7AC7"/>
    <w:rsid w:val="001C7DEB"/>
    <w:rsid w:val="001C7FD3"/>
    <w:rsid w:val="001D01BB"/>
    <w:rsid w:val="001D093E"/>
    <w:rsid w:val="001D0CAF"/>
    <w:rsid w:val="001D0D34"/>
    <w:rsid w:val="001D101A"/>
    <w:rsid w:val="001D1109"/>
    <w:rsid w:val="001D127C"/>
    <w:rsid w:val="001D1619"/>
    <w:rsid w:val="001D1EAD"/>
    <w:rsid w:val="001D1F2F"/>
    <w:rsid w:val="001D2083"/>
    <w:rsid w:val="001D22B1"/>
    <w:rsid w:val="001D22C1"/>
    <w:rsid w:val="001D2306"/>
    <w:rsid w:val="001D2312"/>
    <w:rsid w:val="001D23DB"/>
    <w:rsid w:val="001D25F6"/>
    <w:rsid w:val="001D2637"/>
    <w:rsid w:val="001D2901"/>
    <w:rsid w:val="001D2A11"/>
    <w:rsid w:val="001D302A"/>
    <w:rsid w:val="001D34F7"/>
    <w:rsid w:val="001D38B7"/>
    <w:rsid w:val="001D3A28"/>
    <w:rsid w:val="001D3D4C"/>
    <w:rsid w:val="001D3D5C"/>
    <w:rsid w:val="001D42F7"/>
    <w:rsid w:val="001D4305"/>
    <w:rsid w:val="001D4655"/>
    <w:rsid w:val="001D4823"/>
    <w:rsid w:val="001D4AAE"/>
    <w:rsid w:val="001D4BCD"/>
    <w:rsid w:val="001D591C"/>
    <w:rsid w:val="001D5ACB"/>
    <w:rsid w:val="001D5C0B"/>
    <w:rsid w:val="001D6261"/>
    <w:rsid w:val="001D66E8"/>
    <w:rsid w:val="001D6836"/>
    <w:rsid w:val="001D691B"/>
    <w:rsid w:val="001D6C31"/>
    <w:rsid w:val="001D702B"/>
    <w:rsid w:val="001D765E"/>
    <w:rsid w:val="001D77A0"/>
    <w:rsid w:val="001D794F"/>
    <w:rsid w:val="001D7DF7"/>
    <w:rsid w:val="001E007E"/>
    <w:rsid w:val="001E0998"/>
    <w:rsid w:val="001E0CED"/>
    <w:rsid w:val="001E11FE"/>
    <w:rsid w:val="001E14BA"/>
    <w:rsid w:val="001E171D"/>
    <w:rsid w:val="001E1C6E"/>
    <w:rsid w:val="001E22E8"/>
    <w:rsid w:val="001E2D90"/>
    <w:rsid w:val="001E2DAF"/>
    <w:rsid w:val="001E32A6"/>
    <w:rsid w:val="001E339C"/>
    <w:rsid w:val="001E33A2"/>
    <w:rsid w:val="001E340C"/>
    <w:rsid w:val="001E3411"/>
    <w:rsid w:val="001E3683"/>
    <w:rsid w:val="001E3926"/>
    <w:rsid w:val="001E3FA3"/>
    <w:rsid w:val="001E4067"/>
    <w:rsid w:val="001E4102"/>
    <w:rsid w:val="001E48FF"/>
    <w:rsid w:val="001E4B8E"/>
    <w:rsid w:val="001E4CBD"/>
    <w:rsid w:val="001E4E82"/>
    <w:rsid w:val="001E55D5"/>
    <w:rsid w:val="001E5982"/>
    <w:rsid w:val="001E5B1A"/>
    <w:rsid w:val="001E64C5"/>
    <w:rsid w:val="001E6FEA"/>
    <w:rsid w:val="001E7037"/>
    <w:rsid w:val="001E78CA"/>
    <w:rsid w:val="001E7B64"/>
    <w:rsid w:val="001E7C48"/>
    <w:rsid w:val="001F00F4"/>
    <w:rsid w:val="001F05DD"/>
    <w:rsid w:val="001F0F93"/>
    <w:rsid w:val="001F178F"/>
    <w:rsid w:val="001F1B6E"/>
    <w:rsid w:val="001F1D80"/>
    <w:rsid w:val="001F1FCE"/>
    <w:rsid w:val="001F2411"/>
    <w:rsid w:val="001F2515"/>
    <w:rsid w:val="001F25EF"/>
    <w:rsid w:val="001F27A7"/>
    <w:rsid w:val="001F2ADE"/>
    <w:rsid w:val="001F2DFE"/>
    <w:rsid w:val="001F2F1D"/>
    <w:rsid w:val="001F2F5A"/>
    <w:rsid w:val="001F2FFB"/>
    <w:rsid w:val="001F316C"/>
    <w:rsid w:val="001F34B3"/>
    <w:rsid w:val="001F38B1"/>
    <w:rsid w:val="001F3A09"/>
    <w:rsid w:val="001F3C45"/>
    <w:rsid w:val="001F3C93"/>
    <w:rsid w:val="001F3E02"/>
    <w:rsid w:val="001F3E43"/>
    <w:rsid w:val="001F4395"/>
    <w:rsid w:val="001F487E"/>
    <w:rsid w:val="001F4A22"/>
    <w:rsid w:val="001F4A94"/>
    <w:rsid w:val="001F506C"/>
    <w:rsid w:val="001F5357"/>
    <w:rsid w:val="001F543F"/>
    <w:rsid w:val="001F5596"/>
    <w:rsid w:val="001F56FE"/>
    <w:rsid w:val="001F5D20"/>
    <w:rsid w:val="001F5FBA"/>
    <w:rsid w:val="001F6223"/>
    <w:rsid w:val="001F65A3"/>
    <w:rsid w:val="001F6663"/>
    <w:rsid w:val="001F6DD6"/>
    <w:rsid w:val="001F7125"/>
    <w:rsid w:val="001F723B"/>
    <w:rsid w:val="001F741A"/>
    <w:rsid w:val="001F7610"/>
    <w:rsid w:val="001F7BDA"/>
    <w:rsid w:val="001F7C0D"/>
    <w:rsid w:val="001F7EAA"/>
    <w:rsid w:val="001F7F26"/>
    <w:rsid w:val="0020048D"/>
    <w:rsid w:val="002004B1"/>
    <w:rsid w:val="0020085D"/>
    <w:rsid w:val="002008CF"/>
    <w:rsid w:val="002009C1"/>
    <w:rsid w:val="00200C72"/>
    <w:rsid w:val="00200D62"/>
    <w:rsid w:val="002010C8"/>
    <w:rsid w:val="002015A0"/>
    <w:rsid w:val="00201760"/>
    <w:rsid w:val="002017F8"/>
    <w:rsid w:val="0020180A"/>
    <w:rsid w:val="002019AB"/>
    <w:rsid w:val="00201A9E"/>
    <w:rsid w:val="00201C9A"/>
    <w:rsid w:val="00201CE6"/>
    <w:rsid w:val="00202124"/>
    <w:rsid w:val="00202AB7"/>
    <w:rsid w:val="00202C28"/>
    <w:rsid w:val="00203741"/>
    <w:rsid w:val="00203912"/>
    <w:rsid w:val="0020396D"/>
    <w:rsid w:val="00203A7B"/>
    <w:rsid w:val="00204558"/>
    <w:rsid w:val="00204BA4"/>
    <w:rsid w:val="0020507D"/>
    <w:rsid w:val="00205097"/>
    <w:rsid w:val="00205799"/>
    <w:rsid w:val="00205BFC"/>
    <w:rsid w:val="00205FDA"/>
    <w:rsid w:val="00206324"/>
    <w:rsid w:val="00206584"/>
    <w:rsid w:val="00206AC1"/>
    <w:rsid w:val="00206D84"/>
    <w:rsid w:val="00206F8B"/>
    <w:rsid w:val="00207215"/>
    <w:rsid w:val="0020726D"/>
    <w:rsid w:val="002078C0"/>
    <w:rsid w:val="00207B92"/>
    <w:rsid w:val="00207CBD"/>
    <w:rsid w:val="00207F80"/>
    <w:rsid w:val="00210499"/>
    <w:rsid w:val="002105DD"/>
    <w:rsid w:val="00210942"/>
    <w:rsid w:val="00210975"/>
    <w:rsid w:val="00210A3E"/>
    <w:rsid w:val="00210CF9"/>
    <w:rsid w:val="00211107"/>
    <w:rsid w:val="002113F1"/>
    <w:rsid w:val="00211519"/>
    <w:rsid w:val="00211523"/>
    <w:rsid w:val="002116F1"/>
    <w:rsid w:val="00211A13"/>
    <w:rsid w:val="00211FD2"/>
    <w:rsid w:val="00212031"/>
    <w:rsid w:val="00212428"/>
    <w:rsid w:val="00212978"/>
    <w:rsid w:val="00212A3A"/>
    <w:rsid w:val="00212CBE"/>
    <w:rsid w:val="00212FA0"/>
    <w:rsid w:val="00212FA2"/>
    <w:rsid w:val="00213035"/>
    <w:rsid w:val="002136BA"/>
    <w:rsid w:val="00213736"/>
    <w:rsid w:val="00213831"/>
    <w:rsid w:val="00213A96"/>
    <w:rsid w:val="00213DE9"/>
    <w:rsid w:val="00214A18"/>
    <w:rsid w:val="00214BAE"/>
    <w:rsid w:val="002159D5"/>
    <w:rsid w:val="00215C18"/>
    <w:rsid w:val="00215FB3"/>
    <w:rsid w:val="0021612A"/>
    <w:rsid w:val="002167E4"/>
    <w:rsid w:val="00216AC5"/>
    <w:rsid w:val="00216CF8"/>
    <w:rsid w:val="00216F3F"/>
    <w:rsid w:val="00217077"/>
    <w:rsid w:val="0021721F"/>
    <w:rsid w:val="00217271"/>
    <w:rsid w:val="0021744C"/>
    <w:rsid w:val="00217573"/>
    <w:rsid w:val="00217889"/>
    <w:rsid w:val="002178A9"/>
    <w:rsid w:val="00217B40"/>
    <w:rsid w:val="00217C08"/>
    <w:rsid w:val="00217EEC"/>
    <w:rsid w:val="002202CB"/>
    <w:rsid w:val="00220329"/>
    <w:rsid w:val="00220666"/>
    <w:rsid w:val="002206D2"/>
    <w:rsid w:val="002208D2"/>
    <w:rsid w:val="00220DE7"/>
    <w:rsid w:val="00220F16"/>
    <w:rsid w:val="002210C0"/>
    <w:rsid w:val="00221794"/>
    <w:rsid w:val="00221929"/>
    <w:rsid w:val="00221C32"/>
    <w:rsid w:val="00222170"/>
    <w:rsid w:val="00222A14"/>
    <w:rsid w:val="0022320B"/>
    <w:rsid w:val="002233D4"/>
    <w:rsid w:val="00223998"/>
    <w:rsid w:val="002239A2"/>
    <w:rsid w:val="00223C62"/>
    <w:rsid w:val="0022403D"/>
    <w:rsid w:val="0022470A"/>
    <w:rsid w:val="0022473B"/>
    <w:rsid w:val="00224781"/>
    <w:rsid w:val="00224896"/>
    <w:rsid w:val="00224933"/>
    <w:rsid w:val="00224C13"/>
    <w:rsid w:val="00224CA2"/>
    <w:rsid w:val="00224FD8"/>
    <w:rsid w:val="00225183"/>
    <w:rsid w:val="002251C1"/>
    <w:rsid w:val="00225324"/>
    <w:rsid w:val="002253FE"/>
    <w:rsid w:val="0022592D"/>
    <w:rsid w:val="0022616A"/>
    <w:rsid w:val="002262CB"/>
    <w:rsid w:val="00226692"/>
    <w:rsid w:val="00226711"/>
    <w:rsid w:val="0022688F"/>
    <w:rsid w:val="00226A55"/>
    <w:rsid w:val="00226A78"/>
    <w:rsid w:val="00226C86"/>
    <w:rsid w:val="00226FEF"/>
    <w:rsid w:val="002270C1"/>
    <w:rsid w:val="00227181"/>
    <w:rsid w:val="002272BB"/>
    <w:rsid w:val="002272BF"/>
    <w:rsid w:val="00227F2C"/>
    <w:rsid w:val="00227F3C"/>
    <w:rsid w:val="00227FC3"/>
    <w:rsid w:val="002300C5"/>
    <w:rsid w:val="00230704"/>
    <w:rsid w:val="00230E7B"/>
    <w:rsid w:val="00230F08"/>
    <w:rsid w:val="00231457"/>
    <w:rsid w:val="002314DF"/>
    <w:rsid w:val="0023150A"/>
    <w:rsid w:val="00231649"/>
    <w:rsid w:val="0023230C"/>
    <w:rsid w:val="00232382"/>
    <w:rsid w:val="0023271E"/>
    <w:rsid w:val="00232D4C"/>
    <w:rsid w:val="0023353A"/>
    <w:rsid w:val="00233643"/>
    <w:rsid w:val="00233B82"/>
    <w:rsid w:val="0023416B"/>
    <w:rsid w:val="00234278"/>
    <w:rsid w:val="0023428A"/>
    <w:rsid w:val="00234306"/>
    <w:rsid w:val="00234582"/>
    <w:rsid w:val="002347E8"/>
    <w:rsid w:val="00234930"/>
    <w:rsid w:val="00234E3F"/>
    <w:rsid w:val="002350C4"/>
    <w:rsid w:val="002357C5"/>
    <w:rsid w:val="00235EBE"/>
    <w:rsid w:val="002361F8"/>
    <w:rsid w:val="00236531"/>
    <w:rsid w:val="00236A01"/>
    <w:rsid w:val="00236D01"/>
    <w:rsid w:val="0023720E"/>
    <w:rsid w:val="0023769F"/>
    <w:rsid w:val="00237A27"/>
    <w:rsid w:val="00237EA0"/>
    <w:rsid w:val="00237EC3"/>
    <w:rsid w:val="00237FE4"/>
    <w:rsid w:val="00240290"/>
    <w:rsid w:val="002408F0"/>
    <w:rsid w:val="0024096D"/>
    <w:rsid w:val="00240D59"/>
    <w:rsid w:val="0024102F"/>
    <w:rsid w:val="00241141"/>
    <w:rsid w:val="002413FD"/>
    <w:rsid w:val="00241420"/>
    <w:rsid w:val="00241C21"/>
    <w:rsid w:val="00241E0C"/>
    <w:rsid w:val="00241F5E"/>
    <w:rsid w:val="00242074"/>
    <w:rsid w:val="00242091"/>
    <w:rsid w:val="00242B80"/>
    <w:rsid w:val="00242F98"/>
    <w:rsid w:val="00243062"/>
    <w:rsid w:val="00243174"/>
    <w:rsid w:val="00243621"/>
    <w:rsid w:val="00243932"/>
    <w:rsid w:val="00243B83"/>
    <w:rsid w:val="002444DC"/>
    <w:rsid w:val="002446A6"/>
    <w:rsid w:val="00244A76"/>
    <w:rsid w:val="00244AAC"/>
    <w:rsid w:val="00244D14"/>
    <w:rsid w:val="002459D3"/>
    <w:rsid w:val="00246005"/>
    <w:rsid w:val="002460F3"/>
    <w:rsid w:val="0024617E"/>
    <w:rsid w:val="002464EE"/>
    <w:rsid w:val="0024650C"/>
    <w:rsid w:val="002467A3"/>
    <w:rsid w:val="00246ADC"/>
    <w:rsid w:val="00246C68"/>
    <w:rsid w:val="002472CD"/>
    <w:rsid w:val="0025014D"/>
    <w:rsid w:val="00250152"/>
    <w:rsid w:val="0025017B"/>
    <w:rsid w:val="00250417"/>
    <w:rsid w:val="0025079B"/>
    <w:rsid w:val="00250C8D"/>
    <w:rsid w:val="00250D39"/>
    <w:rsid w:val="00250DA0"/>
    <w:rsid w:val="00250FE7"/>
    <w:rsid w:val="0025102B"/>
    <w:rsid w:val="002514A2"/>
    <w:rsid w:val="00251527"/>
    <w:rsid w:val="002516F8"/>
    <w:rsid w:val="00251C69"/>
    <w:rsid w:val="00251F81"/>
    <w:rsid w:val="00252488"/>
    <w:rsid w:val="0025265B"/>
    <w:rsid w:val="002526BE"/>
    <w:rsid w:val="00252802"/>
    <w:rsid w:val="00252A87"/>
    <w:rsid w:val="00252BBB"/>
    <w:rsid w:val="00252C09"/>
    <w:rsid w:val="00252C8A"/>
    <w:rsid w:val="002531DF"/>
    <w:rsid w:val="0025330A"/>
    <w:rsid w:val="0025345B"/>
    <w:rsid w:val="00253529"/>
    <w:rsid w:val="002535F6"/>
    <w:rsid w:val="00253B6B"/>
    <w:rsid w:val="00253E78"/>
    <w:rsid w:val="002540C0"/>
    <w:rsid w:val="00254186"/>
    <w:rsid w:val="002542B4"/>
    <w:rsid w:val="00254602"/>
    <w:rsid w:val="002547A5"/>
    <w:rsid w:val="0025490B"/>
    <w:rsid w:val="00254A4B"/>
    <w:rsid w:val="00254AE7"/>
    <w:rsid w:val="00254CA9"/>
    <w:rsid w:val="00254F8A"/>
    <w:rsid w:val="00255076"/>
    <w:rsid w:val="002554AB"/>
    <w:rsid w:val="002555D8"/>
    <w:rsid w:val="00255C22"/>
    <w:rsid w:val="00256006"/>
    <w:rsid w:val="00256032"/>
    <w:rsid w:val="00256303"/>
    <w:rsid w:val="0025641A"/>
    <w:rsid w:val="00256712"/>
    <w:rsid w:val="002567BD"/>
    <w:rsid w:val="002568DC"/>
    <w:rsid w:val="00256C79"/>
    <w:rsid w:val="00256F47"/>
    <w:rsid w:val="00256FFB"/>
    <w:rsid w:val="002570BC"/>
    <w:rsid w:val="00257635"/>
    <w:rsid w:val="002576FB"/>
    <w:rsid w:val="002579F8"/>
    <w:rsid w:val="00257A05"/>
    <w:rsid w:val="00257A10"/>
    <w:rsid w:val="00257C8F"/>
    <w:rsid w:val="00257ED5"/>
    <w:rsid w:val="002603D3"/>
    <w:rsid w:val="00260B65"/>
    <w:rsid w:val="00260BE8"/>
    <w:rsid w:val="00260DE0"/>
    <w:rsid w:val="002612D3"/>
    <w:rsid w:val="0026135C"/>
    <w:rsid w:val="00261B1B"/>
    <w:rsid w:val="00261BBD"/>
    <w:rsid w:val="00261C6D"/>
    <w:rsid w:val="00261D3F"/>
    <w:rsid w:val="00261E7A"/>
    <w:rsid w:val="00262415"/>
    <w:rsid w:val="00262454"/>
    <w:rsid w:val="002628A3"/>
    <w:rsid w:val="002628C2"/>
    <w:rsid w:val="0026362B"/>
    <w:rsid w:val="00263917"/>
    <w:rsid w:val="00263A6F"/>
    <w:rsid w:val="00263D6B"/>
    <w:rsid w:val="0026450C"/>
    <w:rsid w:val="002648D9"/>
    <w:rsid w:val="0026494D"/>
    <w:rsid w:val="00264ACA"/>
    <w:rsid w:val="00264CFB"/>
    <w:rsid w:val="00265138"/>
    <w:rsid w:val="002657C7"/>
    <w:rsid w:val="002658C8"/>
    <w:rsid w:val="00265B8F"/>
    <w:rsid w:val="00265C92"/>
    <w:rsid w:val="00265FF0"/>
    <w:rsid w:val="00266453"/>
    <w:rsid w:val="00266465"/>
    <w:rsid w:val="00266A38"/>
    <w:rsid w:val="00266A5B"/>
    <w:rsid w:val="00266E0E"/>
    <w:rsid w:val="00266ED7"/>
    <w:rsid w:val="00266F55"/>
    <w:rsid w:val="0026706C"/>
    <w:rsid w:val="00267C54"/>
    <w:rsid w:val="00267D71"/>
    <w:rsid w:val="0027018A"/>
    <w:rsid w:val="002705B3"/>
    <w:rsid w:val="002709E2"/>
    <w:rsid w:val="00270A07"/>
    <w:rsid w:val="00270A92"/>
    <w:rsid w:val="00270EEE"/>
    <w:rsid w:val="00270F23"/>
    <w:rsid w:val="00270F9C"/>
    <w:rsid w:val="00271167"/>
    <w:rsid w:val="002718E6"/>
    <w:rsid w:val="00271A7B"/>
    <w:rsid w:val="00271C4D"/>
    <w:rsid w:val="00271EE1"/>
    <w:rsid w:val="00271F6F"/>
    <w:rsid w:val="00272461"/>
    <w:rsid w:val="00272581"/>
    <w:rsid w:val="00272595"/>
    <w:rsid w:val="00272648"/>
    <w:rsid w:val="00272676"/>
    <w:rsid w:val="002728EE"/>
    <w:rsid w:val="00272B1D"/>
    <w:rsid w:val="002732ED"/>
    <w:rsid w:val="002736B8"/>
    <w:rsid w:val="002738A3"/>
    <w:rsid w:val="002738CB"/>
    <w:rsid w:val="00274088"/>
    <w:rsid w:val="00274387"/>
    <w:rsid w:val="0027453D"/>
    <w:rsid w:val="0027463B"/>
    <w:rsid w:val="002746E2"/>
    <w:rsid w:val="002746F3"/>
    <w:rsid w:val="00274862"/>
    <w:rsid w:val="00274B62"/>
    <w:rsid w:val="00275251"/>
    <w:rsid w:val="00275363"/>
    <w:rsid w:val="00275532"/>
    <w:rsid w:val="00275781"/>
    <w:rsid w:val="00275B7F"/>
    <w:rsid w:val="00275EF8"/>
    <w:rsid w:val="0027612C"/>
    <w:rsid w:val="002763F1"/>
    <w:rsid w:val="002764B3"/>
    <w:rsid w:val="00276C8F"/>
    <w:rsid w:val="00276D9D"/>
    <w:rsid w:val="00276DAC"/>
    <w:rsid w:val="002776E5"/>
    <w:rsid w:val="00277785"/>
    <w:rsid w:val="002779ED"/>
    <w:rsid w:val="002801F8"/>
    <w:rsid w:val="0028020B"/>
    <w:rsid w:val="00280259"/>
    <w:rsid w:val="00280947"/>
    <w:rsid w:val="00280C35"/>
    <w:rsid w:val="00281137"/>
    <w:rsid w:val="00281357"/>
    <w:rsid w:val="00281428"/>
    <w:rsid w:val="00281986"/>
    <w:rsid w:val="00281B87"/>
    <w:rsid w:val="00282026"/>
    <w:rsid w:val="00282511"/>
    <w:rsid w:val="00283040"/>
    <w:rsid w:val="00283091"/>
    <w:rsid w:val="00283B26"/>
    <w:rsid w:val="00283BE9"/>
    <w:rsid w:val="00283C44"/>
    <w:rsid w:val="00283F89"/>
    <w:rsid w:val="0028461D"/>
    <w:rsid w:val="00284954"/>
    <w:rsid w:val="00285262"/>
    <w:rsid w:val="002854E5"/>
    <w:rsid w:val="00285685"/>
    <w:rsid w:val="00285B70"/>
    <w:rsid w:val="0028601D"/>
    <w:rsid w:val="00286024"/>
    <w:rsid w:val="00286213"/>
    <w:rsid w:val="00286412"/>
    <w:rsid w:val="0028686F"/>
    <w:rsid w:val="00286F04"/>
    <w:rsid w:val="00287028"/>
    <w:rsid w:val="00287720"/>
    <w:rsid w:val="0028777C"/>
    <w:rsid w:val="00287835"/>
    <w:rsid w:val="00287849"/>
    <w:rsid w:val="00287AC3"/>
    <w:rsid w:val="00287D7D"/>
    <w:rsid w:val="00290284"/>
    <w:rsid w:val="002902EA"/>
    <w:rsid w:val="0029070E"/>
    <w:rsid w:val="00290AB3"/>
    <w:rsid w:val="00290B66"/>
    <w:rsid w:val="00290F5A"/>
    <w:rsid w:val="002911CA"/>
    <w:rsid w:val="002912CC"/>
    <w:rsid w:val="00291324"/>
    <w:rsid w:val="002913D7"/>
    <w:rsid w:val="00291889"/>
    <w:rsid w:val="00291B62"/>
    <w:rsid w:val="00292556"/>
    <w:rsid w:val="002926A2"/>
    <w:rsid w:val="00292866"/>
    <w:rsid w:val="0029303B"/>
    <w:rsid w:val="002932F2"/>
    <w:rsid w:val="0029378D"/>
    <w:rsid w:val="00293DAA"/>
    <w:rsid w:val="00293E8C"/>
    <w:rsid w:val="00293F3D"/>
    <w:rsid w:val="002941A3"/>
    <w:rsid w:val="00294285"/>
    <w:rsid w:val="002942AD"/>
    <w:rsid w:val="00294B59"/>
    <w:rsid w:val="00294ECF"/>
    <w:rsid w:val="00294FA5"/>
    <w:rsid w:val="002953A5"/>
    <w:rsid w:val="002955A2"/>
    <w:rsid w:val="00295626"/>
    <w:rsid w:val="00295822"/>
    <w:rsid w:val="002959CD"/>
    <w:rsid w:val="00295A37"/>
    <w:rsid w:val="00295A71"/>
    <w:rsid w:val="00295C15"/>
    <w:rsid w:val="00295D3B"/>
    <w:rsid w:val="00295EC5"/>
    <w:rsid w:val="00295FBA"/>
    <w:rsid w:val="002964BF"/>
    <w:rsid w:val="00296A0A"/>
    <w:rsid w:val="00296D46"/>
    <w:rsid w:val="002970CA"/>
    <w:rsid w:val="002972BC"/>
    <w:rsid w:val="002973E2"/>
    <w:rsid w:val="0029799C"/>
    <w:rsid w:val="00297FD1"/>
    <w:rsid w:val="002A0244"/>
    <w:rsid w:val="002A0263"/>
    <w:rsid w:val="002A032A"/>
    <w:rsid w:val="002A0342"/>
    <w:rsid w:val="002A0492"/>
    <w:rsid w:val="002A061B"/>
    <w:rsid w:val="002A0762"/>
    <w:rsid w:val="002A0DE9"/>
    <w:rsid w:val="002A0E2D"/>
    <w:rsid w:val="002A0F13"/>
    <w:rsid w:val="002A0FC4"/>
    <w:rsid w:val="002A1299"/>
    <w:rsid w:val="002A1345"/>
    <w:rsid w:val="002A1708"/>
    <w:rsid w:val="002A172B"/>
    <w:rsid w:val="002A1A11"/>
    <w:rsid w:val="002A1C6C"/>
    <w:rsid w:val="002A2546"/>
    <w:rsid w:val="002A2799"/>
    <w:rsid w:val="002A2C08"/>
    <w:rsid w:val="002A2CA9"/>
    <w:rsid w:val="002A341A"/>
    <w:rsid w:val="002A374F"/>
    <w:rsid w:val="002A3B24"/>
    <w:rsid w:val="002A3B9C"/>
    <w:rsid w:val="002A3CFF"/>
    <w:rsid w:val="002A4395"/>
    <w:rsid w:val="002A474A"/>
    <w:rsid w:val="002A478B"/>
    <w:rsid w:val="002A4C75"/>
    <w:rsid w:val="002A508F"/>
    <w:rsid w:val="002A56E9"/>
    <w:rsid w:val="002A5965"/>
    <w:rsid w:val="002A5AE5"/>
    <w:rsid w:val="002A5E27"/>
    <w:rsid w:val="002A5F13"/>
    <w:rsid w:val="002A5F34"/>
    <w:rsid w:val="002A62AB"/>
    <w:rsid w:val="002A6551"/>
    <w:rsid w:val="002A6701"/>
    <w:rsid w:val="002A6BF3"/>
    <w:rsid w:val="002A793D"/>
    <w:rsid w:val="002A79D7"/>
    <w:rsid w:val="002B0177"/>
    <w:rsid w:val="002B0340"/>
    <w:rsid w:val="002B0823"/>
    <w:rsid w:val="002B0E39"/>
    <w:rsid w:val="002B0E6C"/>
    <w:rsid w:val="002B10EF"/>
    <w:rsid w:val="002B11B3"/>
    <w:rsid w:val="002B11C2"/>
    <w:rsid w:val="002B12B7"/>
    <w:rsid w:val="002B14E6"/>
    <w:rsid w:val="002B1816"/>
    <w:rsid w:val="002B1969"/>
    <w:rsid w:val="002B19CA"/>
    <w:rsid w:val="002B1C33"/>
    <w:rsid w:val="002B2796"/>
    <w:rsid w:val="002B2A18"/>
    <w:rsid w:val="002B2A5E"/>
    <w:rsid w:val="002B2A6D"/>
    <w:rsid w:val="002B2FA5"/>
    <w:rsid w:val="002B303B"/>
    <w:rsid w:val="002B3241"/>
    <w:rsid w:val="002B3429"/>
    <w:rsid w:val="002B392F"/>
    <w:rsid w:val="002B3B32"/>
    <w:rsid w:val="002B3CBC"/>
    <w:rsid w:val="002B424F"/>
    <w:rsid w:val="002B4253"/>
    <w:rsid w:val="002B4903"/>
    <w:rsid w:val="002B4B81"/>
    <w:rsid w:val="002B4E3A"/>
    <w:rsid w:val="002B504A"/>
    <w:rsid w:val="002B537B"/>
    <w:rsid w:val="002B5A53"/>
    <w:rsid w:val="002B61CB"/>
    <w:rsid w:val="002B63E0"/>
    <w:rsid w:val="002B63EA"/>
    <w:rsid w:val="002B65B5"/>
    <w:rsid w:val="002B68BD"/>
    <w:rsid w:val="002B697C"/>
    <w:rsid w:val="002B6F12"/>
    <w:rsid w:val="002B70B2"/>
    <w:rsid w:val="002B70C2"/>
    <w:rsid w:val="002B718C"/>
    <w:rsid w:val="002B727A"/>
    <w:rsid w:val="002B7482"/>
    <w:rsid w:val="002C03B7"/>
    <w:rsid w:val="002C0746"/>
    <w:rsid w:val="002C0ACF"/>
    <w:rsid w:val="002C0BA6"/>
    <w:rsid w:val="002C0E7D"/>
    <w:rsid w:val="002C0F65"/>
    <w:rsid w:val="002C0F9D"/>
    <w:rsid w:val="002C187F"/>
    <w:rsid w:val="002C1AC3"/>
    <w:rsid w:val="002C1E62"/>
    <w:rsid w:val="002C1F05"/>
    <w:rsid w:val="002C24E9"/>
    <w:rsid w:val="002C2A62"/>
    <w:rsid w:val="002C2B83"/>
    <w:rsid w:val="002C32E2"/>
    <w:rsid w:val="002C37D8"/>
    <w:rsid w:val="002C399E"/>
    <w:rsid w:val="002C4A71"/>
    <w:rsid w:val="002C4B5C"/>
    <w:rsid w:val="002C4B74"/>
    <w:rsid w:val="002C51AD"/>
    <w:rsid w:val="002C54AD"/>
    <w:rsid w:val="002C55FC"/>
    <w:rsid w:val="002C597C"/>
    <w:rsid w:val="002C5A2D"/>
    <w:rsid w:val="002C5C4E"/>
    <w:rsid w:val="002C5D80"/>
    <w:rsid w:val="002C5D9A"/>
    <w:rsid w:val="002C5F1E"/>
    <w:rsid w:val="002C682E"/>
    <w:rsid w:val="002C6A6B"/>
    <w:rsid w:val="002C6C1A"/>
    <w:rsid w:val="002C6DB6"/>
    <w:rsid w:val="002C6FD0"/>
    <w:rsid w:val="002C73F5"/>
    <w:rsid w:val="002D0208"/>
    <w:rsid w:val="002D033F"/>
    <w:rsid w:val="002D07D6"/>
    <w:rsid w:val="002D0A99"/>
    <w:rsid w:val="002D0D66"/>
    <w:rsid w:val="002D10C2"/>
    <w:rsid w:val="002D1128"/>
    <w:rsid w:val="002D13A9"/>
    <w:rsid w:val="002D13BC"/>
    <w:rsid w:val="002D1820"/>
    <w:rsid w:val="002D1836"/>
    <w:rsid w:val="002D1C56"/>
    <w:rsid w:val="002D1DB4"/>
    <w:rsid w:val="002D1F1C"/>
    <w:rsid w:val="002D235D"/>
    <w:rsid w:val="002D2B36"/>
    <w:rsid w:val="002D2C41"/>
    <w:rsid w:val="002D2C74"/>
    <w:rsid w:val="002D2CDA"/>
    <w:rsid w:val="002D30B8"/>
    <w:rsid w:val="002D329D"/>
    <w:rsid w:val="002D37BD"/>
    <w:rsid w:val="002D389D"/>
    <w:rsid w:val="002D3D91"/>
    <w:rsid w:val="002D3F21"/>
    <w:rsid w:val="002D400F"/>
    <w:rsid w:val="002D4379"/>
    <w:rsid w:val="002D45EC"/>
    <w:rsid w:val="002D466D"/>
    <w:rsid w:val="002D4CFE"/>
    <w:rsid w:val="002D504A"/>
    <w:rsid w:val="002D5126"/>
    <w:rsid w:val="002D5218"/>
    <w:rsid w:val="002D5C8C"/>
    <w:rsid w:val="002D5FAD"/>
    <w:rsid w:val="002D6201"/>
    <w:rsid w:val="002D64B2"/>
    <w:rsid w:val="002D66C7"/>
    <w:rsid w:val="002D6883"/>
    <w:rsid w:val="002D69E5"/>
    <w:rsid w:val="002D6AA9"/>
    <w:rsid w:val="002D6E0B"/>
    <w:rsid w:val="002D725F"/>
    <w:rsid w:val="002D7373"/>
    <w:rsid w:val="002D763A"/>
    <w:rsid w:val="002D7ACB"/>
    <w:rsid w:val="002D7E54"/>
    <w:rsid w:val="002D7ED1"/>
    <w:rsid w:val="002E0451"/>
    <w:rsid w:val="002E0696"/>
    <w:rsid w:val="002E07CE"/>
    <w:rsid w:val="002E09CF"/>
    <w:rsid w:val="002E0D78"/>
    <w:rsid w:val="002E1224"/>
    <w:rsid w:val="002E14A4"/>
    <w:rsid w:val="002E1AFD"/>
    <w:rsid w:val="002E1ECB"/>
    <w:rsid w:val="002E2095"/>
    <w:rsid w:val="002E215B"/>
    <w:rsid w:val="002E225B"/>
    <w:rsid w:val="002E2383"/>
    <w:rsid w:val="002E23DB"/>
    <w:rsid w:val="002E2755"/>
    <w:rsid w:val="002E2908"/>
    <w:rsid w:val="002E2940"/>
    <w:rsid w:val="002E2E1D"/>
    <w:rsid w:val="002E36DE"/>
    <w:rsid w:val="002E3F30"/>
    <w:rsid w:val="002E4222"/>
    <w:rsid w:val="002E455A"/>
    <w:rsid w:val="002E4577"/>
    <w:rsid w:val="002E4B04"/>
    <w:rsid w:val="002E4BE3"/>
    <w:rsid w:val="002E51CA"/>
    <w:rsid w:val="002E55D0"/>
    <w:rsid w:val="002E5F71"/>
    <w:rsid w:val="002E6A00"/>
    <w:rsid w:val="002E6DF1"/>
    <w:rsid w:val="002E6EAC"/>
    <w:rsid w:val="002E7562"/>
    <w:rsid w:val="002E788E"/>
    <w:rsid w:val="002E7C85"/>
    <w:rsid w:val="002E7E31"/>
    <w:rsid w:val="002F0021"/>
    <w:rsid w:val="002F02B5"/>
    <w:rsid w:val="002F07A8"/>
    <w:rsid w:val="002F0B42"/>
    <w:rsid w:val="002F0DFC"/>
    <w:rsid w:val="002F141D"/>
    <w:rsid w:val="002F1533"/>
    <w:rsid w:val="002F1AD2"/>
    <w:rsid w:val="002F1B14"/>
    <w:rsid w:val="002F1C8A"/>
    <w:rsid w:val="002F1D54"/>
    <w:rsid w:val="002F1F1F"/>
    <w:rsid w:val="002F206E"/>
    <w:rsid w:val="002F23B8"/>
    <w:rsid w:val="002F2411"/>
    <w:rsid w:val="002F246E"/>
    <w:rsid w:val="002F2B9C"/>
    <w:rsid w:val="002F2BF1"/>
    <w:rsid w:val="002F2CAD"/>
    <w:rsid w:val="002F2CE4"/>
    <w:rsid w:val="002F2D4E"/>
    <w:rsid w:val="002F3233"/>
    <w:rsid w:val="002F3782"/>
    <w:rsid w:val="002F3963"/>
    <w:rsid w:val="002F39AE"/>
    <w:rsid w:val="002F3A66"/>
    <w:rsid w:val="002F3C3B"/>
    <w:rsid w:val="002F4041"/>
    <w:rsid w:val="002F455B"/>
    <w:rsid w:val="002F4691"/>
    <w:rsid w:val="002F49DC"/>
    <w:rsid w:val="002F5052"/>
    <w:rsid w:val="002F5554"/>
    <w:rsid w:val="002F55F7"/>
    <w:rsid w:val="002F5668"/>
    <w:rsid w:val="002F5963"/>
    <w:rsid w:val="002F5D48"/>
    <w:rsid w:val="002F5D4E"/>
    <w:rsid w:val="002F6059"/>
    <w:rsid w:val="002F6079"/>
    <w:rsid w:val="002F610D"/>
    <w:rsid w:val="002F69C1"/>
    <w:rsid w:val="002F6AAE"/>
    <w:rsid w:val="002F6C98"/>
    <w:rsid w:val="002F6CD9"/>
    <w:rsid w:val="002F7052"/>
    <w:rsid w:val="002F7058"/>
    <w:rsid w:val="002F7181"/>
    <w:rsid w:val="002F7314"/>
    <w:rsid w:val="002F736A"/>
    <w:rsid w:val="002F766A"/>
    <w:rsid w:val="002F7C89"/>
    <w:rsid w:val="003004AE"/>
    <w:rsid w:val="003007C7"/>
    <w:rsid w:val="00300B1C"/>
    <w:rsid w:val="00300C77"/>
    <w:rsid w:val="0030104F"/>
    <w:rsid w:val="0030128E"/>
    <w:rsid w:val="0030130F"/>
    <w:rsid w:val="003017F8"/>
    <w:rsid w:val="00301A68"/>
    <w:rsid w:val="00302098"/>
    <w:rsid w:val="00302314"/>
    <w:rsid w:val="00302452"/>
    <w:rsid w:val="00302692"/>
    <w:rsid w:val="00302B82"/>
    <w:rsid w:val="003033A8"/>
    <w:rsid w:val="003034D8"/>
    <w:rsid w:val="003038F2"/>
    <w:rsid w:val="0030392F"/>
    <w:rsid w:val="00303973"/>
    <w:rsid w:val="003039C4"/>
    <w:rsid w:val="00303A78"/>
    <w:rsid w:val="00303D30"/>
    <w:rsid w:val="00303D86"/>
    <w:rsid w:val="00303E2E"/>
    <w:rsid w:val="003042CC"/>
    <w:rsid w:val="0030437B"/>
    <w:rsid w:val="003045A0"/>
    <w:rsid w:val="00304848"/>
    <w:rsid w:val="00304BFA"/>
    <w:rsid w:val="00304CDD"/>
    <w:rsid w:val="00304CF0"/>
    <w:rsid w:val="00304F04"/>
    <w:rsid w:val="00304F17"/>
    <w:rsid w:val="003051F4"/>
    <w:rsid w:val="0030587A"/>
    <w:rsid w:val="003058B4"/>
    <w:rsid w:val="00305C22"/>
    <w:rsid w:val="00305DCD"/>
    <w:rsid w:val="00306763"/>
    <w:rsid w:val="00306A4D"/>
    <w:rsid w:val="00306BFC"/>
    <w:rsid w:val="003074BB"/>
    <w:rsid w:val="0030768F"/>
    <w:rsid w:val="00307934"/>
    <w:rsid w:val="00307B35"/>
    <w:rsid w:val="00307B78"/>
    <w:rsid w:val="00307E18"/>
    <w:rsid w:val="0031017B"/>
    <w:rsid w:val="00310392"/>
    <w:rsid w:val="00310996"/>
    <w:rsid w:val="00310E7F"/>
    <w:rsid w:val="00310F80"/>
    <w:rsid w:val="00310FDE"/>
    <w:rsid w:val="00311478"/>
    <w:rsid w:val="003118DA"/>
    <w:rsid w:val="00311981"/>
    <w:rsid w:val="00311ACC"/>
    <w:rsid w:val="00311E75"/>
    <w:rsid w:val="00311F3F"/>
    <w:rsid w:val="003123EA"/>
    <w:rsid w:val="00312511"/>
    <w:rsid w:val="0031278C"/>
    <w:rsid w:val="00313563"/>
    <w:rsid w:val="00313DB9"/>
    <w:rsid w:val="0031418E"/>
    <w:rsid w:val="00314197"/>
    <w:rsid w:val="00314943"/>
    <w:rsid w:val="00314AA8"/>
    <w:rsid w:val="00314DAA"/>
    <w:rsid w:val="00315312"/>
    <w:rsid w:val="00315482"/>
    <w:rsid w:val="00315607"/>
    <w:rsid w:val="00315BED"/>
    <w:rsid w:val="0031607C"/>
    <w:rsid w:val="003164BA"/>
    <w:rsid w:val="003166EB"/>
    <w:rsid w:val="00316830"/>
    <w:rsid w:val="003168D5"/>
    <w:rsid w:val="00316C64"/>
    <w:rsid w:val="0031709C"/>
    <w:rsid w:val="003171DB"/>
    <w:rsid w:val="0031724E"/>
    <w:rsid w:val="003172C7"/>
    <w:rsid w:val="0031737D"/>
    <w:rsid w:val="00317998"/>
    <w:rsid w:val="00317C85"/>
    <w:rsid w:val="00317D67"/>
    <w:rsid w:val="003200FA"/>
    <w:rsid w:val="003209B4"/>
    <w:rsid w:val="00320B3A"/>
    <w:rsid w:val="00320CA6"/>
    <w:rsid w:val="003212C4"/>
    <w:rsid w:val="00321389"/>
    <w:rsid w:val="00321500"/>
    <w:rsid w:val="00321797"/>
    <w:rsid w:val="00321A84"/>
    <w:rsid w:val="00321AF9"/>
    <w:rsid w:val="00321C0E"/>
    <w:rsid w:val="00321DAA"/>
    <w:rsid w:val="00321FA5"/>
    <w:rsid w:val="00321FCF"/>
    <w:rsid w:val="00321FFC"/>
    <w:rsid w:val="0032247E"/>
    <w:rsid w:val="0032256C"/>
    <w:rsid w:val="00322584"/>
    <w:rsid w:val="00322768"/>
    <w:rsid w:val="0032294E"/>
    <w:rsid w:val="003234C3"/>
    <w:rsid w:val="003236FE"/>
    <w:rsid w:val="0032388E"/>
    <w:rsid w:val="00323ABD"/>
    <w:rsid w:val="00323B10"/>
    <w:rsid w:val="00323DCE"/>
    <w:rsid w:val="00323EBA"/>
    <w:rsid w:val="00324099"/>
    <w:rsid w:val="00324137"/>
    <w:rsid w:val="003241D6"/>
    <w:rsid w:val="0032451D"/>
    <w:rsid w:val="00324A33"/>
    <w:rsid w:val="00324B76"/>
    <w:rsid w:val="00324D74"/>
    <w:rsid w:val="0032510C"/>
    <w:rsid w:val="0032522F"/>
    <w:rsid w:val="003255F4"/>
    <w:rsid w:val="003257EE"/>
    <w:rsid w:val="00325D82"/>
    <w:rsid w:val="00325E65"/>
    <w:rsid w:val="0032612D"/>
    <w:rsid w:val="00326785"/>
    <w:rsid w:val="003268C1"/>
    <w:rsid w:val="00326F9D"/>
    <w:rsid w:val="0032716F"/>
    <w:rsid w:val="0032769E"/>
    <w:rsid w:val="0032778F"/>
    <w:rsid w:val="00327AC1"/>
    <w:rsid w:val="0033056B"/>
    <w:rsid w:val="003305B9"/>
    <w:rsid w:val="00330637"/>
    <w:rsid w:val="003306E3"/>
    <w:rsid w:val="003306EA"/>
    <w:rsid w:val="00330880"/>
    <w:rsid w:val="00330D60"/>
    <w:rsid w:val="00330E87"/>
    <w:rsid w:val="003314EB"/>
    <w:rsid w:val="0033151E"/>
    <w:rsid w:val="0033180F"/>
    <w:rsid w:val="003319A2"/>
    <w:rsid w:val="00331B63"/>
    <w:rsid w:val="0033222D"/>
    <w:rsid w:val="00332704"/>
    <w:rsid w:val="00332D4B"/>
    <w:rsid w:val="003332B7"/>
    <w:rsid w:val="00333302"/>
    <w:rsid w:val="00333522"/>
    <w:rsid w:val="00333790"/>
    <w:rsid w:val="00333850"/>
    <w:rsid w:val="00333D82"/>
    <w:rsid w:val="00333E14"/>
    <w:rsid w:val="00333E3A"/>
    <w:rsid w:val="003343CD"/>
    <w:rsid w:val="0033444D"/>
    <w:rsid w:val="003344ED"/>
    <w:rsid w:val="0033463E"/>
    <w:rsid w:val="00334A14"/>
    <w:rsid w:val="00334E65"/>
    <w:rsid w:val="00334EBE"/>
    <w:rsid w:val="0033639D"/>
    <w:rsid w:val="003365B3"/>
    <w:rsid w:val="00336960"/>
    <w:rsid w:val="00336A43"/>
    <w:rsid w:val="00336D3C"/>
    <w:rsid w:val="00336F2C"/>
    <w:rsid w:val="00337830"/>
    <w:rsid w:val="00337A88"/>
    <w:rsid w:val="00337AAD"/>
    <w:rsid w:val="00337BB0"/>
    <w:rsid w:val="00337C74"/>
    <w:rsid w:val="0034017B"/>
    <w:rsid w:val="003415EF"/>
    <w:rsid w:val="003418E0"/>
    <w:rsid w:val="003419BB"/>
    <w:rsid w:val="00341A25"/>
    <w:rsid w:val="00341B06"/>
    <w:rsid w:val="00341D7C"/>
    <w:rsid w:val="00342147"/>
    <w:rsid w:val="00342370"/>
    <w:rsid w:val="00342828"/>
    <w:rsid w:val="00342C40"/>
    <w:rsid w:val="00342F08"/>
    <w:rsid w:val="00342F43"/>
    <w:rsid w:val="00342F91"/>
    <w:rsid w:val="00343858"/>
    <w:rsid w:val="00343A8C"/>
    <w:rsid w:val="00343DF5"/>
    <w:rsid w:val="0034489C"/>
    <w:rsid w:val="00344C59"/>
    <w:rsid w:val="00344DC9"/>
    <w:rsid w:val="003451A3"/>
    <w:rsid w:val="00345909"/>
    <w:rsid w:val="003462FC"/>
    <w:rsid w:val="00346496"/>
    <w:rsid w:val="003464A0"/>
    <w:rsid w:val="0034661C"/>
    <w:rsid w:val="00346805"/>
    <w:rsid w:val="00346906"/>
    <w:rsid w:val="00346A9C"/>
    <w:rsid w:val="00346FFE"/>
    <w:rsid w:val="0034700B"/>
    <w:rsid w:val="0034710C"/>
    <w:rsid w:val="00347245"/>
    <w:rsid w:val="0034773E"/>
    <w:rsid w:val="00347AAC"/>
    <w:rsid w:val="00347EBF"/>
    <w:rsid w:val="0035004C"/>
    <w:rsid w:val="003506D6"/>
    <w:rsid w:val="003508D9"/>
    <w:rsid w:val="00350B1B"/>
    <w:rsid w:val="003517ED"/>
    <w:rsid w:val="003518B9"/>
    <w:rsid w:val="00351C43"/>
    <w:rsid w:val="0035212A"/>
    <w:rsid w:val="003522A5"/>
    <w:rsid w:val="00352655"/>
    <w:rsid w:val="003526A7"/>
    <w:rsid w:val="00352881"/>
    <w:rsid w:val="003535A4"/>
    <w:rsid w:val="00353B0D"/>
    <w:rsid w:val="00353EE6"/>
    <w:rsid w:val="003540CD"/>
    <w:rsid w:val="00354324"/>
    <w:rsid w:val="003543E7"/>
    <w:rsid w:val="003547CC"/>
    <w:rsid w:val="00354AB3"/>
    <w:rsid w:val="00354F7C"/>
    <w:rsid w:val="003551F6"/>
    <w:rsid w:val="00355344"/>
    <w:rsid w:val="003556E8"/>
    <w:rsid w:val="00355888"/>
    <w:rsid w:val="00355943"/>
    <w:rsid w:val="00355FC5"/>
    <w:rsid w:val="00356087"/>
    <w:rsid w:val="003561D2"/>
    <w:rsid w:val="0035685B"/>
    <w:rsid w:val="00356C81"/>
    <w:rsid w:val="00356CDE"/>
    <w:rsid w:val="00357125"/>
    <w:rsid w:val="003571E7"/>
    <w:rsid w:val="0035756E"/>
    <w:rsid w:val="003578AB"/>
    <w:rsid w:val="003607D2"/>
    <w:rsid w:val="00360A84"/>
    <w:rsid w:val="003611AE"/>
    <w:rsid w:val="003624CF"/>
    <w:rsid w:val="00362A71"/>
    <w:rsid w:val="00362BE0"/>
    <w:rsid w:val="00362DE1"/>
    <w:rsid w:val="00363292"/>
    <w:rsid w:val="003635EB"/>
    <w:rsid w:val="00363A16"/>
    <w:rsid w:val="00363D24"/>
    <w:rsid w:val="003647B3"/>
    <w:rsid w:val="003649F5"/>
    <w:rsid w:val="00364F4C"/>
    <w:rsid w:val="0036504C"/>
    <w:rsid w:val="00365894"/>
    <w:rsid w:val="003661C2"/>
    <w:rsid w:val="00366312"/>
    <w:rsid w:val="003666EF"/>
    <w:rsid w:val="003673AF"/>
    <w:rsid w:val="003673C4"/>
    <w:rsid w:val="003674B7"/>
    <w:rsid w:val="003675BC"/>
    <w:rsid w:val="0036792F"/>
    <w:rsid w:val="00367D05"/>
    <w:rsid w:val="00367DFA"/>
    <w:rsid w:val="003701B1"/>
    <w:rsid w:val="00370A26"/>
    <w:rsid w:val="003717A6"/>
    <w:rsid w:val="00371C90"/>
    <w:rsid w:val="00371E7E"/>
    <w:rsid w:val="0037271F"/>
    <w:rsid w:val="00372D28"/>
    <w:rsid w:val="00372EC9"/>
    <w:rsid w:val="003730E8"/>
    <w:rsid w:val="0037319E"/>
    <w:rsid w:val="003731C8"/>
    <w:rsid w:val="00373393"/>
    <w:rsid w:val="00373A15"/>
    <w:rsid w:val="003747DD"/>
    <w:rsid w:val="00374E00"/>
    <w:rsid w:val="00374E40"/>
    <w:rsid w:val="0037522D"/>
    <w:rsid w:val="0037554F"/>
    <w:rsid w:val="00375589"/>
    <w:rsid w:val="00375B18"/>
    <w:rsid w:val="00375BF6"/>
    <w:rsid w:val="00376038"/>
    <w:rsid w:val="00376B75"/>
    <w:rsid w:val="00376FE8"/>
    <w:rsid w:val="003770D3"/>
    <w:rsid w:val="0037720B"/>
    <w:rsid w:val="003778FF"/>
    <w:rsid w:val="00377A0C"/>
    <w:rsid w:val="00377A18"/>
    <w:rsid w:val="00377E40"/>
    <w:rsid w:val="0038077E"/>
    <w:rsid w:val="00380900"/>
    <w:rsid w:val="00380ADB"/>
    <w:rsid w:val="00380C40"/>
    <w:rsid w:val="00380E93"/>
    <w:rsid w:val="00380EAA"/>
    <w:rsid w:val="00380F04"/>
    <w:rsid w:val="0038102F"/>
    <w:rsid w:val="00381357"/>
    <w:rsid w:val="003817E8"/>
    <w:rsid w:val="00381D93"/>
    <w:rsid w:val="00382063"/>
    <w:rsid w:val="003821C0"/>
    <w:rsid w:val="00382316"/>
    <w:rsid w:val="0038241B"/>
    <w:rsid w:val="0038247D"/>
    <w:rsid w:val="00382D28"/>
    <w:rsid w:val="00382EE0"/>
    <w:rsid w:val="00382F51"/>
    <w:rsid w:val="003830FA"/>
    <w:rsid w:val="003832D1"/>
    <w:rsid w:val="003832F9"/>
    <w:rsid w:val="0038333B"/>
    <w:rsid w:val="0038334B"/>
    <w:rsid w:val="00383388"/>
    <w:rsid w:val="0038347A"/>
    <w:rsid w:val="00383BCA"/>
    <w:rsid w:val="00383CBA"/>
    <w:rsid w:val="00383F6B"/>
    <w:rsid w:val="003845FA"/>
    <w:rsid w:val="00384726"/>
    <w:rsid w:val="00385AAC"/>
    <w:rsid w:val="00385DC5"/>
    <w:rsid w:val="00385F32"/>
    <w:rsid w:val="00386486"/>
    <w:rsid w:val="00386BD9"/>
    <w:rsid w:val="0038704E"/>
    <w:rsid w:val="00387156"/>
    <w:rsid w:val="0038730E"/>
    <w:rsid w:val="003874DF"/>
    <w:rsid w:val="00387785"/>
    <w:rsid w:val="00387C9D"/>
    <w:rsid w:val="00387E64"/>
    <w:rsid w:val="00387F27"/>
    <w:rsid w:val="003901F3"/>
    <w:rsid w:val="0039038D"/>
    <w:rsid w:val="003904C3"/>
    <w:rsid w:val="00390511"/>
    <w:rsid w:val="003912EF"/>
    <w:rsid w:val="00391402"/>
    <w:rsid w:val="00391432"/>
    <w:rsid w:val="00391CC4"/>
    <w:rsid w:val="003920DA"/>
    <w:rsid w:val="0039238E"/>
    <w:rsid w:val="003929C8"/>
    <w:rsid w:val="00392AA6"/>
    <w:rsid w:val="00392BD4"/>
    <w:rsid w:val="00392CEC"/>
    <w:rsid w:val="0039365E"/>
    <w:rsid w:val="00393758"/>
    <w:rsid w:val="0039448D"/>
    <w:rsid w:val="0039449C"/>
    <w:rsid w:val="003947F5"/>
    <w:rsid w:val="0039491E"/>
    <w:rsid w:val="00394EAB"/>
    <w:rsid w:val="0039537F"/>
    <w:rsid w:val="003958B9"/>
    <w:rsid w:val="00395FBD"/>
    <w:rsid w:val="00396160"/>
    <w:rsid w:val="0039660E"/>
    <w:rsid w:val="003968A0"/>
    <w:rsid w:val="00396C1A"/>
    <w:rsid w:val="0039704B"/>
    <w:rsid w:val="0039716C"/>
    <w:rsid w:val="00397995"/>
    <w:rsid w:val="00397A67"/>
    <w:rsid w:val="00397B2E"/>
    <w:rsid w:val="00397D89"/>
    <w:rsid w:val="00397E62"/>
    <w:rsid w:val="00397EA1"/>
    <w:rsid w:val="003A00DB"/>
    <w:rsid w:val="003A023F"/>
    <w:rsid w:val="003A02C6"/>
    <w:rsid w:val="003A0324"/>
    <w:rsid w:val="003A0757"/>
    <w:rsid w:val="003A08C1"/>
    <w:rsid w:val="003A0970"/>
    <w:rsid w:val="003A0B21"/>
    <w:rsid w:val="003A10F0"/>
    <w:rsid w:val="003A11FD"/>
    <w:rsid w:val="003A12B8"/>
    <w:rsid w:val="003A1435"/>
    <w:rsid w:val="003A1467"/>
    <w:rsid w:val="003A14A0"/>
    <w:rsid w:val="003A1558"/>
    <w:rsid w:val="003A16C4"/>
    <w:rsid w:val="003A1AEC"/>
    <w:rsid w:val="003A1B4D"/>
    <w:rsid w:val="003A1FF7"/>
    <w:rsid w:val="003A2989"/>
    <w:rsid w:val="003A3430"/>
    <w:rsid w:val="003A3475"/>
    <w:rsid w:val="003A3535"/>
    <w:rsid w:val="003A3568"/>
    <w:rsid w:val="003A35BD"/>
    <w:rsid w:val="003A361D"/>
    <w:rsid w:val="003A38D0"/>
    <w:rsid w:val="003A39A2"/>
    <w:rsid w:val="003A4181"/>
    <w:rsid w:val="003A4395"/>
    <w:rsid w:val="003A4509"/>
    <w:rsid w:val="003A4F28"/>
    <w:rsid w:val="003A5227"/>
    <w:rsid w:val="003A5B97"/>
    <w:rsid w:val="003A5C8D"/>
    <w:rsid w:val="003A5CB0"/>
    <w:rsid w:val="003A60AA"/>
    <w:rsid w:val="003A640E"/>
    <w:rsid w:val="003A6F56"/>
    <w:rsid w:val="003A7165"/>
    <w:rsid w:val="003A78B2"/>
    <w:rsid w:val="003A79B1"/>
    <w:rsid w:val="003A7D72"/>
    <w:rsid w:val="003A7DF5"/>
    <w:rsid w:val="003B0050"/>
    <w:rsid w:val="003B01F1"/>
    <w:rsid w:val="003B0212"/>
    <w:rsid w:val="003B036D"/>
    <w:rsid w:val="003B066B"/>
    <w:rsid w:val="003B0EE1"/>
    <w:rsid w:val="003B0F1C"/>
    <w:rsid w:val="003B125C"/>
    <w:rsid w:val="003B1266"/>
    <w:rsid w:val="003B1787"/>
    <w:rsid w:val="003B2ADD"/>
    <w:rsid w:val="003B2D3A"/>
    <w:rsid w:val="003B3069"/>
    <w:rsid w:val="003B33CF"/>
    <w:rsid w:val="003B3C4D"/>
    <w:rsid w:val="003B43FE"/>
    <w:rsid w:val="003B4578"/>
    <w:rsid w:val="003B459F"/>
    <w:rsid w:val="003B464B"/>
    <w:rsid w:val="003B47DD"/>
    <w:rsid w:val="003B4E0E"/>
    <w:rsid w:val="003B5009"/>
    <w:rsid w:val="003B58C3"/>
    <w:rsid w:val="003B5C5F"/>
    <w:rsid w:val="003B612A"/>
    <w:rsid w:val="003B63E4"/>
    <w:rsid w:val="003B664D"/>
    <w:rsid w:val="003B6766"/>
    <w:rsid w:val="003B6A88"/>
    <w:rsid w:val="003B74B5"/>
    <w:rsid w:val="003B7DC8"/>
    <w:rsid w:val="003C0291"/>
    <w:rsid w:val="003C02EA"/>
    <w:rsid w:val="003C0389"/>
    <w:rsid w:val="003C0903"/>
    <w:rsid w:val="003C0AC4"/>
    <w:rsid w:val="003C0B01"/>
    <w:rsid w:val="003C0C03"/>
    <w:rsid w:val="003C0E00"/>
    <w:rsid w:val="003C12BC"/>
    <w:rsid w:val="003C1569"/>
    <w:rsid w:val="003C1ED8"/>
    <w:rsid w:val="003C2079"/>
    <w:rsid w:val="003C2711"/>
    <w:rsid w:val="003C276C"/>
    <w:rsid w:val="003C2885"/>
    <w:rsid w:val="003C2A55"/>
    <w:rsid w:val="003C2BBA"/>
    <w:rsid w:val="003C2D7C"/>
    <w:rsid w:val="003C38D4"/>
    <w:rsid w:val="003C3B94"/>
    <w:rsid w:val="003C3DE0"/>
    <w:rsid w:val="003C44F9"/>
    <w:rsid w:val="003C4656"/>
    <w:rsid w:val="003C4D89"/>
    <w:rsid w:val="003C5586"/>
    <w:rsid w:val="003C56FF"/>
    <w:rsid w:val="003C5A6D"/>
    <w:rsid w:val="003C5DB6"/>
    <w:rsid w:val="003C5DD3"/>
    <w:rsid w:val="003C5EC8"/>
    <w:rsid w:val="003C6149"/>
    <w:rsid w:val="003C628A"/>
    <w:rsid w:val="003C62E7"/>
    <w:rsid w:val="003C6C39"/>
    <w:rsid w:val="003C6D81"/>
    <w:rsid w:val="003C7013"/>
    <w:rsid w:val="003C70E0"/>
    <w:rsid w:val="003C72CB"/>
    <w:rsid w:val="003C7312"/>
    <w:rsid w:val="003C73F6"/>
    <w:rsid w:val="003C74EC"/>
    <w:rsid w:val="003C7697"/>
    <w:rsid w:val="003C776F"/>
    <w:rsid w:val="003C796D"/>
    <w:rsid w:val="003C7BCD"/>
    <w:rsid w:val="003C7CEE"/>
    <w:rsid w:val="003C7D9C"/>
    <w:rsid w:val="003C7DBE"/>
    <w:rsid w:val="003C7F2F"/>
    <w:rsid w:val="003C7FE0"/>
    <w:rsid w:val="003D02C2"/>
    <w:rsid w:val="003D039C"/>
    <w:rsid w:val="003D0933"/>
    <w:rsid w:val="003D0C44"/>
    <w:rsid w:val="003D10A6"/>
    <w:rsid w:val="003D158F"/>
    <w:rsid w:val="003D1685"/>
    <w:rsid w:val="003D16CE"/>
    <w:rsid w:val="003D1759"/>
    <w:rsid w:val="003D18A2"/>
    <w:rsid w:val="003D1C47"/>
    <w:rsid w:val="003D1CB2"/>
    <w:rsid w:val="003D27C5"/>
    <w:rsid w:val="003D2F7B"/>
    <w:rsid w:val="003D328C"/>
    <w:rsid w:val="003D336A"/>
    <w:rsid w:val="003D33A3"/>
    <w:rsid w:val="003D3431"/>
    <w:rsid w:val="003D396D"/>
    <w:rsid w:val="003D3C0B"/>
    <w:rsid w:val="003D3FA6"/>
    <w:rsid w:val="003D42EA"/>
    <w:rsid w:val="003D4329"/>
    <w:rsid w:val="003D4495"/>
    <w:rsid w:val="003D4BC5"/>
    <w:rsid w:val="003D4EBA"/>
    <w:rsid w:val="003D5144"/>
    <w:rsid w:val="003D51A3"/>
    <w:rsid w:val="003D5663"/>
    <w:rsid w:val="003D5AF2"/>
    <w:rsid w:val="003D61A9"/>
    <w:rsid w:val="003D624F"/>
    <w:rsid w:val="003D6274"/>
    <w:rsid w:val="003D63BF"/>
    <w:rsid w:val="003D662A"/>
    <w:rsid w:val="003D6EDF"/>
    <w:rsid w:val="003D709C"/>
    <w:rsid w:val="003D74B1"/>
    <w:rsid w:val="003D7717"/>
    <w:rsid w:val="003E0348"/>
    <w:rsid w:val="003E058F"/>
    <w:rsid w:val="003E0E21"/>
    <w:rsid w:val="003E0F7E"/>
    <w:rsid w:val="003E1926"/>
    <w:rsid w:val="003E1B7C"/>
    <w:rsid w:val="003E27B8"/>
    <w:rsid w:val="003E2A8A"/>
    <w:rsid w:val="003E2C2D"/>
    <w:rsid w:val="003E5216"/>
    <w:rsid w:val="003E592C"/>
    <w:rsid w:val="003E59DD"/>
    <w:rsid w:val="003E5AC4"/>
    <w:rsid w:val="003E5F59"/>
    <w:rsid w:val="003E626D"/>
    <w:rsid w:val="003E66BF"/>
    <w:rsid w:val="003E6B09"/>
    <w:rsid w:val="003E6C55"/>
    <w:rsid w:val="003E7435"/>
    <w:rsid w:val="003E7557"/>
    <w:rsid w:val="003E7594"/>
    <w:rsid w:val="003E78A5"/>
    <w:rsid w:val="003E7CB0"/>
    <w:rsid w:val="003E7EDA"/>
    <w:rsid w:val="003F0312"/>
    <w:rsid w:val="003F062B"/>
    <w:rsid w:val="003F0E6A"/>
    <w:rsid w:val="003F0FEB"/>
    <w:rsid w:val="003F1998"/>
    <w:rsid w:val="003F1C45"/>
    <w:rsid w:val="003F1CCC"/>
    <w:rsid w:val="003F2317"/>
    <w:rsid w:val="003F24F7"/>
    <w:rsid w:val="003F2526"/>
    <w:rsid w:val="003F2797"/>
    <w:rsid w:val="003F2883"/>
    <w:rsid w:val="003F29A2"/>
    <w:rsid w:val="003F2F98"/>
    <w:rsid w:val="003F33ED"/>
    <w:rsid w:val="003F35E8"/>
    <w:rsid w:val="003F35F7"/>
    <w:rsid w:val="003F3E7B"/>
    <w:rsid w:val="003F40A8"/>
    <w:rsid w:val="003F429C"/>
    <w:rsid w:val="003F4320"/>
    <w:rsid w:val="003F43BF"/>
    <w:rsid w:val="003F449B"/>
    <w:rsid w:val="003F46B3"/>
    <w:rsid w:val="003F47EE"/>
    <w:rsid w:val="003F490F"/>
    <w:rsid w:val="003F4D42"/>
    <w:rsid w:val="003F4EBD"/>
    <w:rsid w:val="003F52DB"/>
    <w:rsid w:val="003F5480"/>
    <w:rsid w:val="003F5535"/>
    <w:rsid w:val="003F5788"/>
    <w:rsid w:val="003F5E39"/>
    <w:rsid w:val="003F60B3"/>
    <w:rsid w:val="003F65C0"/>
    <w:rsid w:val="003F6896"/>
    <w:rsid w:val="003F6EF4"/>
    <w:rsid w:val="003F724A"/>
    <w:rsid w:val="003F7573"/>
    <w:rsid w:val="003F7B08"/>
    <w:rsid w:val="003F7B31"/>
    <w:rsid w:val="003F7DAA"/>
    <w:rsid w:val="004000FC"/>
    <w:rsid w:val="0040010E"/>
    <w:rsid w:val="00400134"/>
    <w:rsid w:val="0040014C"/>
    <w:rsid w:val="004001AF"/>
    <w:rsid w:val="00400842"/>
    <w:rsid w:val="00400984"/>
    <w:rsid w:val="004009AC"/>
    <w:rsid w:val="00400E69"/>
    <w:rsid w:val="004013E2"/>
    <w:rsid w:val="00401B28"/>
    <w:rsid w:val="00401C25"/>
    <w:rsid w:val="00401D65"/>
    <w:rsid w:val="00401F52"/>
    <w:rsid w:val="004029EA"/>
    <w:rsid w:val="00402D7E"/>
    <w:rsid w:val="004030B0"/>
    <w:rsid w:val="004031F4"/>
    <w:rsid w:val="0040323D"/>
    <w:rsid w:val="004033D5"/>
    <w:rsid w:val="00403939"/>
    <w:rsid w:val="00403DE5"/>
    <w:rsid w:val="004041F1"/>
    <w:rsid w:val="00404383"/>
    <w:rsid w:val="004043A4"/>
    <w:rsid w:val="004046B5"/>
    <w:rsid w:val="00405260"/>
    <w:rsid w:val="00405695"/>
    <w:rsid w:val="00405D26"/>
    <w:rsid w:val="00405DEC"/>
    <w:rsid w:val="0040647B"/>
    <w:rsid w:val="00406ABE"/>
    <w:rsid w:val="004070EF"/>
    <w:rsid w:val="00407172"/>
    <w:rsid w:val="00407224"/>
    <w:rsid w:val="00407825"/>
    <w:rsid w:val="00407AAD"/>
    <w:rsid w:val="00407D11"/>
    <w:rsid w:val="00407FB3"/>
    <w:rsid w:val="00410091"/>
    <w:rsid w:val="004100F7"/>
    <w:rsid w:val="0041060D"/>
    <w:rsid w:val="004107C3"/>
    <w:rsid w:val="00410850"/>
    <w:rsid w:val="00411706"/>
    <w:rsid w:val="0041181B"/>
    <w:rsid w:val="00411968"/>
    <w:rsid w:val="00411AB8"/>
    <w:rsid w:val="00411D93"/>
    <w:rsid w:val="00412278"/>
    <w:rsid w:val="0041244D"/>
    <w:rsid w:val="00412471"/>
    <w:rsid w:val="0041261C"/>
    <w:rsid w:val="00412EC3"/>
    <w:rsid w:val="0041328C"/>
    <w:rsid w:val="004139D6"/>
    <w:rsid w:val="00413CB3"/>
    <w:rsid w:val="00414183"/>
    <w:rsid w:val="004142B6"/>
    <w:rsid w:val="00414EB3"/>
    <w:rsid w:val="004153A8"/>
    <w:rsid w:val="0041555F"/>
    <w:rsid w:val="0041585D"/>
    <w:rsid w:val="004158DF"/>
    <w:rsid w:val="0041599B"/>
    <w:rsid w:val="00415BD0"/>
    <w:rsid w:val="00415C44"/>
    <w:rsid w:val="00415DB7"/>
    <w:rsid w:val="00415E07"/>
    <w:rsid w:val="00415F91"/>
    <w:rsid w:val="0041603E"/>
    <w:rsid w:val="0041634A"/>
    <w:rsid w:val="00416EC9"/>
    <w:rsid w:val="00417534"/>
    <w:rsid w:val="00417BEB"/>
    <w:rsid w:val="00417E9D"/>
    <w:rsid w:val="00417EE1"/>
    <w:rsid w:val="00417FD8"/>
    <w:rsid w:val="004207CE"/>
    <w:rsid w:val="0042096B"/>
    <w:rsid w:val="00420A00"/>
    <w:rsid w:val="00420AF0"/>
    <w:rsid w:val="00420E8C"/>
    <w:rsid w:val="004210B1"/>
    <w:rsid w:val="00421953"/>
    <w:rsid w:val="00421C45"/>
    <w:rsid w:val="00421CDA"/>
    <w:rsid w:val="00421D4F"/>
    <w:rsid w:val="00421FA9"/>
    <w:rsid w:val="004221C6"/>
    <w:rsid w:val="00422350"/>
    <w:rsid w:val="00422637"/>
    <w:rsid w:val="0042289D"/>
    <w:rsid w:val="00423003"/>
    <w:rsid w:val="00423316"/>
    <w:rsid w:val="00423495"/>
    <w:rsid w:val="00423501"/>
    <w:rsid w:val="00423845"/>
    <w:rsid w:val="00423A66"/>
    <w:rsid w:val="00423B91"/>
    <w:rsid w:val="0042439B"/>
    <w:rsid w:val="004244E6"/>
    <w:rsid w:val="004245B3"/>
    <w:rsid w:val="004248FD"/>
    <w:rsid w:val="00424B27"/>
    <w:rsid w:val="00424B4F"/>
    <w:rsid w:val="00424B5A"/>
    <w:rsid w:val="00424D5F"/>
    <w:rsid w:val="00425125"/>
    <w:rsid w:val="004251DC"/>
    <w:rsid w:val="0042534B"/>
    <w:rsid w:val="004263D4"/>
    <w:rsid w:val="0042645B"/>
    <w:rsid w:val="00426899"/>
    <w:rsid w:val="00426A35"/>
    <w:rsid w:val="00427127"/>
    <w:rsid w:val="004273DF"/>
    <w:rsid w:val="0042744F"/>
    <w:rsid w:val="0042745C"/>
    <w:rsid w:val="00427B55"/>
    <w:rsid w:val="00427B6C"/>
    <w:rsid w:val="00427CBD"/>
    <w:rsid w:val="0043012A"/>
    <w:rsid w:val="0043051F"/>
    <w:rsid w:val="0043066F"/>
    <w:rsid w:val="0043092D"/>
    <w:rsid w:val="00431040"/>
    <w:rsid w:val="00431200"/>
    <w:rsid w:val="00431305"/>
    <w:rsid w:val="004314E7"/>
    <w:rsid w:val="00431610"/>
    <w:rsid w:val="00431846"/>
    <w:rsid w:val="00431B6E"/>
    <w:rsid w:val="00431BBD"/>
    <w:rsid w:val="00431C54"/>
    <w:rsid w:val="00431CB4"/>
    <w:rsid w:val="00431EB0"/>
    <w:rsid w:val="00431FB4"/>
    <w:rsid w:val="004320FA"/>
    <w:rsid w:val="004321F7"/>
    <w:rsid w:val="00432240"/>
    <w:rsid w:val="004325D7"/>
    <w:rsid w:val="00432B03"/>
    <w:rsid w:val="00432C0C"/>
    <w:rsid w:val="00432DCE"/>
    <w:rsid w:val="00432DD4"/>
    <w:rsid w:val="00432E72"/>
    <w:rsid w:val="0043329D"/>
    <w:rsid w:val="0043330C"/>
    <w:rsid w:val="00433712"/>
    <w:rsid w:val="00433729"/>
    <w:rsid w:val="0043396F"/>
    <w:rsid w:val="004339BB"/>
    <w:rsid w:val="00433C85"/>
    <w:rsid w:val="00433C86"/>
    <w:rsid w:val="00433F07"/>
    <w:rsid w:val="00433F5B"/>
    <w:rsid w:val="0043419A"/>
    <w:rsid w:val="00434863"/>
    <w:rsid w:val="00434C09"/>
    <w:rsid w:val="00434E01"/>
    <w:rsid w:val="004354C2"/>
    <w:rsid w:val="0043557D"/>
    <w:rsid w:val="00435600"/>
    <w:rsid w:val="00435687"/>
    <w:rsid w:val="004358AF"/>
    <w:rsid w:val="00435969"/>
    <w:rsid w:val="00435D71"/>
    <w:rsid w:val="00436200"/>
    <w:rsid w:val="00436209"/>
    <w:rsid w:val="004362ED"/>
    <w:rsid w:val="00436361"/>
    <w:rsid w:val="004364A5"/>
    <w:rsid w:val="004369D8"/>
    <w:rsid w:val="00436A85"/>
    <w:rsid w:val="00436B76"/>
    <w:rsid w:val="00436C17"/>
    <w:rsid w:val="00436DC4"/>
    <w:rsid w:val="00436EFD"/>
    <w:rsid w:val="004370EA"/>
    <w:rsid w:val="0043745F"/>
    <w:rsid w:val="004379BF"/>
    <w:rsid w:val="00437DAA"/>
    <w:rsid w:val="0044044E"/>
    <w:rsid w:val="0044046B"/>
    <w:rsid w:val="0044049E"/>
    <w:rsid w:val="004408D9"/>
    <w:rsid w:val="00440B7E"/>
    <w:rsid w:val="00441478"/>
    <w:rsid w:val="0044149B"/>
    <w:rsid w:val="00441C2D"/>
    <w:rsid w:val="00441E2D"/>
    <w:rsid w:val="00441E97"/>
    <w:rsid w:val="00442255"/>
    <w:rsid w:val="00442D8A"/>
    <w:rsid w:val="00442DD9"/>
    <w:rsid w:val="00442F1B"/>
    <w:rsid w:val="00442FCC"/>
    <w:rsid w:val="00443149"/>
    <w:rsid w:val="00443211"/>
    <w:rsid w:val="00443608"/>
    <w:rsid w:val="0044388D"/>
    <w:rsid w:val="00443911"/>
    <w:rsid w:val="00443F00"/>
    <w:rsid w:val="0044431A"/>
    <w:rsid w:val="004448A3"/>
    <w:rsid w:val="004448D1"/>
    <w:rsid w:val="00445455"/>
    <w:rsid w:val="004456D8"/>
    <w:rsid w:val="004457A2"/>
    <w:rsid w:val="00445A25"/>
    <w:rsid w:val="00445CA0"/>
    <w:rsid w:val="00445F9E"/>
    <w:rsid w:val="00446497"/>
    <w:rsid w:val="0044662D"/>
    <w:rsid w:val="00446638"/>
    <w:rsid w:val="0044680A"/>
    <w:rsid w:val="0044683C"/>
    <w:rsid w:val="00446A56"/>
    <w:rsid w:val="00446AE8"/>
    <w:rsid w:val="00446B48"/>
    <w:rsid w:val="00446CB9"/>
    <w:rsid w:val="00447730"/>
    <w:rsid w:val="00447785"/>
    <w:rsid w:val="00447924"/>
    <w:rsid w:val="00447CC9"/>
    <w:rsid w:val="00450017"/>
    <w:rsid w:val="004500F6"/>
    <w:rsid w:val="00450671"/>
    <w:rsid w:val="00450C72"/>
    <w:rsid w:val="00450DFC"/>
    <w:rsid w:val="00451119"/>
    <w:rsid w:val="0045128A"/>
    <w:rsid w:val="0045144D"/>
    <w:rsid w:val="00451491"/>
    <w:rsid w:val="004518F9"/>
    <w:rsid w:val="00451A2E"/>
    <w:rsid w:val="00451AE5"/>
    <w:rsid w:val="00451F08"/>
    <w:rsid w:val="004524B8"/>
    <w:rsid w:val="00452B7C"/>
    <w:rsid w:val="004535DA"/>
    <w:rsid w:val="004536BC"/>
    <w:rsid w:val="004537C0"/>
    <w:rsid w:val="00453837"/>
    <w:rsid w:val="00453A77"/>
    <w:rsid w:val="00453CD8"/>
    <w:rsid w:val="00453E8A"/>
    <w:rsid w:val="00453F4F"/>
    <w:rsid w:val="0045414F"/>
    <w:rsid w:val="00454310"/>
    <w:rsid w:val="004543B0"/>
    <w:rsid w:val="0045478E"/>
    <w:rsid w:val="00454B5B"/>
    <w:rsid w:val="00454BFE"/>
    <w:rsid w:val="00454DD8"/>
    <w:rsid w:val="00455171"/>
    <w:rsid w:val="004553CC"/>
    <w:rsid w:val="00455A4F"/>
    <w:rsid w:val="00455D0B"/>
    <w:rsid w:val="00455D30"/>
    <w:rsid w:val="00455D52"/>
    <w:rsid w:val="00456287"/>
    <w:rsid w:val="004562E6"/>
    <w:rsid w:val="0045632C"/>
    <w:rsid w:val="0045661B"/>
    <w:rsid w:val="00456BDB"/>
    <w:rsid w:val="00456E82"/>
    <w:rsid w:val="00456FBD"/>
    <w:rsid w:val="004579C4"/>
    <w:rsid w:val="00457ED6"/>
    <w:rsid w:val="00460DA8"/>
    <w:rsid w:val="00461020"/>
    <w:rsid w:val="00461A54"/>
    <w:rsid w:val="00461E21"/>
    <w:rsid w:val="00462237"/>
    <w:rsid w:val="00462453"/>
    <w:rsid w:val="004624B1"/>
    <w:rsid w:val="00462D0D"/>
    <w:rsid w:val="004632C9"/>
    <w:rsid w:val="00463640"/>
    <w:rsid w:val="0046397C"/>
    <w:rsid w:val="00463C1A"/>
    <w:rsid w:val="00463EEB"/>
    <w:rsid w:val="0046440D"/>
    <w:rsid w:val="00464414"/>
    <w:rsid w:val="0046451D"/>
    <w:rsid w:val="004645F9"/>
    <w:rsid w:val="00464810"/>
    <w:rsid w:val="00464847"/>
    <w:rsid w:val="00464F46"/>
    <w:rsid w:val="00464F6A"/>
    <w:rsid w:val="00465620"/>
    <w:rsid w:val="0046569A"/>
    <w:rsid w:val="00465862"/>
    <w:rsid w:val="00465F19"/>
    <w:rsid w:val="00466592"/>
    <w:rsid w:val="00466AEE"/>
    <w:rsid w:val="00467200"/>
    <w:rsid w:val="00467349"/>
    <w:rsid w:val="00467766"/>
    <w:rsid w:val="00467DD1"/>
    <w:rsid w:val="00470181"/>
    <w:rsid w:val="00470204"/>
    <w:rsid w:val="004704C8"/>
    <w:rsid w:val="004706E2"/>
    <w:rsid w:val="00470768"/>
    <w:rsid w:val="00470898"/>
    <w:rsid w:val="00470A33"/>
    <w:rsid w:val="00470DE0"/>
    <w:rsid w:val="00471725"/>
    <w:rsid w:val="00471942"/>
    <w:rsid w:val="00471BF6"/>
    <w:rsid w:val="00471D00"/>
    <w:rsid w:val="00471D60"/>
    <w:rsid w:val="00471D7B"/>
    <w:rsid w:val="00471EC5"/>
    <w:rsid w:val="00472103"/>
    <w:rsid w:val="004724BB"/>
    <w:rsid w:val="00472800"/>
    <w:rsid w:val="00472F76"/>
    <w:rsid w:val="00473329"/>
    <w:rsid w:val="00473477"/>
    <w:rsid w:val="0047370C"/>
    <w:rsid w:val="00474173"/>
    <w:rsid w:val="00474896"/>
    <w:rsid w:val="00474A0E"/>
    <w:rsid w:val="00474BFA"/>
    <w:rsid w:val="00475173"/>
    <w:rsid w:val="004762A1"/>
    <w:rsid w:val="00476628"/>
    <w:rsid w:val="004768D2"/>
    <w:rsid w:val="00476CD2"/>
    <w:rsid w:val="00477047"/>
    <w:rsid w:val="004773CF"/>
    <w:rsid w:val="0047768E"/>
    <w:rsid w:val="00477A77"/>
    <w:rsid w:val="004801B7"/>
    <w:rsid w:val="004801C1"/>
    <w:rsid w:val="00480224"/>
    <w:rsid w:val="00480344"/>
    <w:rsid w:val="004809DD"/>
    <w:rsid w:val="00481218"/>
    <w:rsid w:val="004814BC"/>
    <w:rsid w:val="00481590"/>
    <w:rsid w:val="004816F9"/>
    <w:rsid w:val="0048178D"/>
    <w:rsid w:val="00481A57"/>
    <w:rsid w:val="00481CB5"/>
    <w:rsid w:val="004821E0"/>
    <w:rsid w:val="00482436"/>
    <w:rsid w:val="004827BB"/>
    <w:rsid w:val="004828EF"/>
    <w:rsid w:val="004829AD"/>
    <w:rsid w:val="00482B77"/>
    <w:rsid w:val="0048328A"/>
    <w:rsid w:val="004832E2"/>
    <w:rsid w:val="004834FF"/>
    <w:rsid w:val="00483781"/>
    <w:rsid w:val="004839AB"/>
    <w:rsid w:val="00484733"/>
    <w:rsid w:val="00484948"/>
    <w:rsid w:val="00484AD5"/>
    <w:rsid w:val="00484B6B"/>
    <w:rsid w:val="004852E8"/>
    <w:rsid w:val="004858C8"/>
    <w:rsid w:val="004859A6"/>
    <w:rsid w:val="00485B9E"/>
    <w:rsid w:val="00485D87"/>
    <w:rsid w:val="00486692"/>
    <w:rsid w:val="00486A22"/>
    <w:rsid w:val="00486A8F"/>
    <w:rsid w:val="00486BBB"/>
    <w:rsid w:val="00486C4E"/>
    <w:rsid w:val="00486C64"/>
    <w:rsid w:val="00486DBE"/>
    <w:rsid w:val="00486F07"/>
    <w:rsid w:val="00487019"/>
    <w:rsid w:val="00487041"/>
    <w:rsid w:val="00487101"/>
    <w:rsid w:val="00487462"/>
    <w:rsid w:val="004878EB"/>
    <w:rsid w:val="00487A5F"/>
    <w:rsid w:val="00487C6F"/>
    <w:rsid w:val="004903AB"/>
    <w:rsid w:val="00490577"/>
    <w:rsid w:val="00490773"/>
    <w:rsid w:val="00490A8C"/>
    <w:rsid w:val="00490B24"/>
    <w:rsid w:val="00490C71"/>
    <w:rsid w:val="00491045"/>
    <w:rsid w:val="004914CF"/>
    <w:rsid w:val="004916EF"/>
    <w:rsid w:val="00491786"/>
    <w:rsid w:val="00491B16"/>
    <w:rsid w:val="00491C5C"/>
    <w:rsid w:val="00491E5C"/>
    <w:rsid w:val="00491FB5"/>
    <w:rsid w:val="00492300"/>
    <w:rsid w:val="00493853"/>
    <w:rsid w:val="00493B25"/>
    <w:rsid w:val="00493BB2"/>
    <w:rsid w:val="00493F3A"/>
    <w:rsid w:val="00494886"/>
    <w:rsid w:val="004949F4"/>
    <w:rsid w:val="00494DC3"/>
    <w:rsid w:val="00494F11"/>
    <w:rsid w:val="00495007"/>
    <w:rsid w:val="0049535F"/>
    <w:rsid w:val="00495457"/>
    <w:rsid w:val="00496340"/>
    <w:rsid w:val="00496C23"/>
    <w:rsid w:val="004973B4"/>
    <w:rsid w:val="004975AD"/>
    <w:rsid w:val="0049765E"/>
    <w:rsid w:val="004A0188"/>
    <w:rsid w:val="004A0365"/>
    <w:rsid w:val="004A04DB"/>
    <w:rsid w:val="004A0BB4"/>
    <w:rsid w:val="004A0DFF"/>
    <w:rsid w:val="004A0EE5"/>
    <w:rsid w:val="004A0FB8"/>
    <w:rsid w:val="004A1197"/>
    <w:rsid w:val="004A180C"/>
    <w:rsid w:val="004A1D66"/>
    <w:rsid w:val="004A1DB6"/>
    <w:rsid w:val="004A2036"/>
    <w:rsid w:val="004A27D3"/>
    <w:rsid w:val="004A288C"/>
    <w:rsid w:val="004A2C7D"/>
    <w:rsid w:val="004A2D9A"/>
    <w:rsid w:val="004A2EDD"/>
    <w:rsid w:val="004A31B6"/>
    <w:rsid w:val="004A3260"/>
    <w:rsid w:val="004A3B6D"/>
    <w:rsid w:val="004A43A2"/>
    <w:rsid w:val="004A4870"/>
    <w:rsid w:val="004A4B84"/>
    <w:rsid w:val="004A54CD"/>
    <w:rsid w:val="004A5BB7"/>
    <w:rsid w:val="004A5CA3"/>
    <w:rsid w:val="004A5F73"/>
    <w:rsid w:val="004A61DD"/>
    <w:rsid w:val="004A66DD"/>
    <w:rsid w:val="004A672F"/>
    <w:rsid w:val="004A7ADF"/>
    <w:rsid w:val="004A7BAD"/>
    <w:rsid w:val="004A7D01"/>
    <w:rsid w:val="004A7D54"/>
    <w:rsid w:val="004B007F"/>
    <w:rsid w:val="004B023C"/>
    <w:rsid w:val="004B041D"/>
    <w:rsid w:val="004B05B4"/>
    <w:rsid w:val="004B07D0"/>
    <w:rsid w:val="004B1404"/>
    <w:rsid w:val="004B15EA"/>
    <w:rsid w:val="004B1794"/>
    <w:rsid w:val="004B1F16"/>
    <w:rsid w:val="004B201A"/>
    <w:rsid w:val="004B2040"/>
    <w:rsid w:val="004B255A"/>
    <w:rsid w:val="004B2733"/>
    <w:rsid w:val="004B2A46"/>
    <w:rsid w:val="004B2A6F"/>
    <w:rsid w:val="004B2D96"/>
    <w:rsid w:val="004B3158"/>
    <w:rsid w:val="004B3393"/>
    <w:rsid w:val="004B34CE"/>
    <w:rsid w:val="004B34F8"/>
    <w:rsid w:val="004B358B"/>
    <w:rsid w:val="004B3681"/>
    <w:rsid w:val="004B3927"/>
    <w:rsid w:val="004B3DDE"/>
    <w:rsid w:val="004B4390"/>
    <w:rsid w:val="004B463A"/>
    <w:rsid w:val="004B4898"/>
    <w:rsid w:val="004B495C"/>
    <w:rsid w:val="004B4D39"/>
    <w:rsid w:val="004B5780"/>
    <w:rsid w:val="004B5817"/>
    <w:rsid w:val="004B590F"/>
    <w:rsid w:val="004B5A13"/>
    <w:rsid w:val="004B6302"/>
    <w:rsid w:val="004B6597"/>
    <w:rsid w:val="004B6B9F"/>
    <w:rsid w:val="004B6EC0"/>
    <w:rsid w:val="004B6ED0"/>
    <w:rsid w:val="004B6F4A"/>
    <w:rsid w:val="004B73B5"/>
    <w:rsid w:val="004B7555"/>
    <w:rsid w:val="004B78B7"/>
    <w:rsid w:val="004B7964"/>
    <w:rsid w:val="004B7B76"/>
    <w:rsid w:val="004C05F5"/>
    <w:rsid w:val="004C06D8"/>
    <w:rsid w:val="004C079A"/>
    <w:rsid w:val="004C0A99"/>
    <w:rsid w:val="004C0C00"/>
    <w:rsid w:val="004C0F51"/>
    <w:rsid w:val="004C10E3"/>
    <w:rsid w:val="004C10FC"/>
    <w:rsid w:val="004C14FD"/>
    <w:rsid w:val="004C17FE"/>
    <w:rsid w:val="004C18B7"/>
    <w:rsid w:val="004C1E0C"/>
    <w:rsid w:val="004C1E66"/>
    <w:rsid w:val="004C1F0B"/>
    <w:rsid w:val="004C201F"/>
    <w:rsid w:val="004C22F5"/>
    <w:rsid w:val="004C2324"/>
    <w:rsid w:val="004C243D"/>
    <w:rsid w:val="004C2C09"/>
    <w:rsid w:val="004C2C8E"/>
    <w:rsid w:val="004C38D2"/>
    <w:rsid w:val="004C3AB9"/>
    <w:rsid w:val="004C3B31"/>
    <w:rsid w:val="004C3B67"/>
    <w:rsid w:val="004C42EB"/>
    <w:rsid w:val="004C43E4"/>
    <w:rsid w:val="004C4DEC"/>
    <w:rsid w:val="004C5152"/>
    <w:rsid w:val="004C5397"/>
    <w:rsid w:val="004C53A2"/>
    <w:rsid w:val="004C581B"/>
    <w:rsid w:val="004C5887"/>
    <w:rsid w:val="004C5B1D"/>
    <w:rsid w:val="004C61B9"/>
    <w:rsid w:val="004C6697"/>
    <w:rsid w:val="004C67C9"/>
    <w:rsid w:val="004C6A93"/>
    <w:rsid w:val="004C6AE6"/>
    <w:rsid w:val="004C6C91"/>
    <w:rsid w:val="004C709C"/>
    <w:rsid w:val="004C7193"/>
    <w:rsid w:val="004C7255"/>
    <w:rsid w:val="004C73A4"/>
    <w:rsid w:val="004C7888"/>
    <w:rsid w:val="004C7A73"/>
    <w:rsid w:val="004C7EB8"/>
    <w:rsid w:val="004C7FE3"/>
    <w:rsid w:val="004D0028"/>
    <w:rsid w:val="004D0587"/>
    <w:rsid w:val="004D05F0"/>
    <w:rsid w:val="004D0F69"/>
    <w:rsid w:val="004D10CA"/>
    <w:rsid w:val="004D15C3"/>
    <w:rsid w:val="004D169D"/>
    <w:rsid w:val="004D1832"/>
    <w:rsid w:val="004D1A0D"/>
    <w:rsid w:val="004D1CB7"/>
    <w:rsid w:val="004D1DE5"/>
    <w:rsid w:val="004D2AC6"/>
    <w:rsid w:val="004D3675"/>
    <w:rsid w:val="004D3712"/>
    <w:rsid w:val="004D38A2"/>
    <w:rsid w:val="004D39B8"/>
    <w:rsid w:val="004D3BD4"/>
    <w:rsid w:val="004D3F18"/>
    <w:rsid w:val="004D45BC"/>
    <w:rsid w:val="004D469D"/>
    <w:rsid w:val="004D470E"/>
    <w:rsid w:val="004D4924"/>
    <w:rsid w:val="004D503B"/>
    <w:rsid w:val="004D51B5"/>
    <w:rsid w:val="004D5759"/>
    <w:rsid w:val="004D587B"/>
    <w:rsid w:val="004D5E84"/>
    <w:rsid w:val="004D614E"/>
    <w:rsid w:val="004D6B99"/>
    <w:rsid w:val="004D705A"/>
    <w:rsid w:val="004D70BE"/>
    <w:rsid w:val="004D7222"/>
    <w:rsid w:val="004D7655"/>
    <w:rsid w:val="004D76EB"/>
    <w:rsid w:val="004D7C66"/>
    <w:rsid w:val="004E01B6"/>
    <w:rsid w:val="004E0237"/>
    <w:rsid w:val="004E030E"/>
    <w:rsid w:val="004E0325"/>
    <w:rsid w:val="004E06EC"/>
    <w:rsid w:val="004E0C0F"/>
    <w:rsid w:val="004E0DC9"/>
    <w:rsid w:val="004E0F40"/>
    <w:rsid w:val="004E1481"/>
    <w:rsid w:val="004E17D3"/>
    <w:rsid w:val="004E19AD"/>
    <w:rsid w:val="004E1B39"/>
    <w:rsid w:val="004E1DFC"/>
    <w:rsid w:val="004E1F83"/>
    <w:rsid w:val="004E1F89"/>
    <w:rsid w:val="004E2023"/>
    <w:rsid w:val="004E20CA"/>
    <w:rsid w:val="004E2209"/>
    <w:rsid w:val="004E246E"/>
    <w:rsid w:val="004E25F1"/>
    <w:rsid w:val="004E2633"/>
    <w:rsid w:val="004E28EF"/>
    <w:rsid w:val="004E29A9"/>
    <w:rsid w:val="004E29D7"/>
    <w:rsid w:val="004E2F34"/>
    <w:rsid w:val="004E3231"/>
    <w:rsid w:val="004E3613"/>
    <w:rsid w:val="004E39A4"/>
    <w:rsid w:val="004E42A3"/>
    <w:rsid w:val="004E4B85"/>
    <w:rsid w:val="004E53A2"/>
    <w:rsid w:val="004E543F"/>
    <w:rsid w:val="004E5891"/>
    <w:rsid w:val="004E59C4"/>
    <w:rsid w:val="004E5B70"/>
    <w:rsid w:val="004E5CB3"/>
    <w:rsid w:val="004E5D8D"/>
    <w:rsid w:val="004E5EE0"/>
    <w:rsid w:val="004E6056"/>
    <w:rsid w:val="004E635F"/>
    <w:rsid w:val="004E6A88"/>
    <w:rsid w:val="004E6D5C"/>
    <w:rsid w:val="004E6EE3"/>
    <w:rsid w:val="004E734D"/>
    <w:rsid w:val="004E7656"/>
    <w:rsid w:val="004E7826"/>
    <w:rsid w:val="004E79D4"/>
    <w:rsid w:val="004E7D55"/>
    <w:rsid w:val="004F01E9"/>
    <w:rsid w:val="004F0230"/>
    <w:rsid w:val="004F0374"/>
    <w:rsid w:val="004F0462"/>
    <w:rsid w:val="004F06B7"/>
    <w:rsid w:val="004F0812"/>
    <w:rsid w:val="004F0970"/>
    <w:rsid w:val="004F0A5E"/>
    <w:rsid w:val="004F113E"/>
    <w:rsid w:val="004F140A"/>
    <w:rsid w:val="004F14BF"/>
    <w:rsid w:val="004F1635"/>
    <w:rsid w:val="004F1B9D"/>
    <w:rsid w:val="004F1CC0"/>
    <w:rsid w:val="004F1E47"/>
    <w:rsid w:val="004F2030"/>
    <w:rsid w:val="004F2326"/>
    <w:rsid w:val="004F28BC"/>
    <w:rsid w:val="004F2C76"/>
    <w:rsid w:val="004F2F1F"/>
    <w:rsid w:val="004F2FE0"/>
    <w:rsid w:val="004F35C0"/>
    <w:rsid w:val="004F3A79"/>
    <w:rsid w:val="004F3B53"/>
    <w:rsid w:val="004F3C0D"/>
    <w:rsid w:val="004F3D42"/>
    <w:rsid w:val="004F4294"/>
    <w:rsid w:val="004F4469"/>
    <w:rsid w:val="004F454E"/>
    <w:rsid w:val="004F48FA"/>
    <w:rsid w:val="004F4CAF"/>
    <w:rsid w:val="004F513B"/>
    <w:rsid w:val="004F5314"/>
    <w:rsid w:val="004F5472"/>
    <w:rsid w:val="004F550C"/>
    <w:rsid w:val="004F598A"/>
    <w:rsid w:val="004F5A81"/>
    <w:rsid w:val="004F5EDE"/>
    <w:rsid w:val="004F5F57"/>
    <w:rsid w:val="004F6219"/>
    <w:rsid w:val="004F64D9"/>
    <w:rsid w:val="004F656D"/>
    <w:rsid w:val="004F6A7A"/>
    <w:rsid w:val="004F6C01"/>
    <w:rsid w:val="004F7023"/>
    <w:rsid w:val="004F7341"/>
    <w:rsid w:val="004F770E"/>
    <w:rsid w:val="004F7810"/>
    <w:rsid w:val="004F7914"/>
    <w:rsid w:val="004F7A50"/>
    <w:rsid w:val="004F7A60"/>
    <w:rsid w:val="005000FA"/>
    <w:rsid w:val="00500547"/>
    <w:rsid w:val="00500B42"/>
    <w:rsid w:val="005011C2"/>
    <w:rsid w:val="005016AE"/>
    <w:rsid w:val="005016FB"/>
    <w:rsid w:val="00501CB4"/>
    <w:rsid w:val="00501E02"/>
    <w:rsid w:val="00502008"/>
    <w:rsid w:val="00502A5F"/>
    <w:rsid w:val="00502ED8"/>
    <w:rsid w:val="0050341A"/>
    <w:rsid w:val="005038AD"/>
    <w:rsid w:val="00503BC4"/>
    <w:rsid w:val="00503EA8"/>
    <w:rsid w:val="00503FAE"/>
    <w:rsid w:val="00504231"/>
    <w:rsid w:val="005046AE"/>
    <w:rsid w:val="005049D5"/>
    <w:rsid w:val="00504BAD"/>
    <w:rsid w:val="00504C4E"/>
    <w:rsid w:val="0050543C"/>
    <w:rsid w:val="0050570E"/>
    <w:rsid w:val="00505964"/>
    <w:rsid w:val="00505A3E"/>
    <w:rsid w:val="00505AD1"/>
    <w:rsid w:val="00505C34"/>
    <w:rsid w:val="00505D0E"/>
    <w:rsid w:val="00505E60"/>
    <w:rsid w:val="005064A6"/>
    <w:rsid w:val="00506585"/>
    <w:rsid w:val="0050689A"/>
    <w:rsid w:val="005069F0"/>
    <w:rsid w:val="00506A4F"/>
    <w:rsid w:val="00506BD8"/>
    <w:rsid w:val="0050728B"/>
    <w:rsid w:val="0050776C"/>
    <w:rsid w:val="00507B24"/>
    <w:rsid w:val="00507B7A"/>
    <w:rsid w:val="00507DB7"/>
    <w:rsid w:val="00507E39"/>
    <w:rsid w:val="00507E5E"/>
    <w:rsid w:val="0051001B"/>
    <w:rsid w:val="00510702"/>
    <w:rsid w:val="00510829"/>
    <w:rsid w:val="005108CB"/>
    <w:rsid w:val="00510C5A"/>
    <w:rsid w:val="00511158"/>
    <w:rsid w:val="00511386"/>
    <w:rsid w:val="00511BC5"/>
    <w:rsid w:val="00511F39"/>
    <w:rsid w:val="00511F78"/>
    <w:rsid w:val="00511FFA"/>
    <w:rsid w:val="005122A8"/>
    <w:rsid w:val="005125CA"/>
    <w:rsid w:val="00512640"/>
    <w:rsid w:val="0051281A"/>
    <w:rsid w:val="00512893"/>
    <w:rsid w:val="005132B2"/>
    <w:rsid w:val="005134FF"/>
    <w:rsid w:val="00513667"/>
    <w:rsid w:val="00513BDC"/>
    <w:rsid w:val="00513F76"/>
    <w:rsid w:val="005147CB"/>
    <w:rsid w:val="005147DA"/>
    <w:rsid w:val="005149E9"/>
    <w:rsid w:val="00514C0D"/>
    <w:rsid w:val="00514C9D"/>
    <w:rsid w:val="00514DA2"/>
    <w:rsid w:val="00514F59"/>
    <w:rsid w:val="00514FD0"/>
    <w:rsid w:val="00515053"/>
    <w:rsid w:val="0051505E"/>
    <w:rsid w:val="0051508A"/>
    <w:rsid w:val="005152B8"/>
    <w:rsid w:val="00515BD9"/>
    <w:rsid w:val="00515BF5"/>
    <w:rsid w:val="00515E9F"/>
    <w:rsid w:val="005162E4"/>
    <w:rsid w:val="005169C9"/>
    <w:rsid w:val="00516AFB"/>
    <w:rsid w:val="00516C8A"/>
    <w:rsid w:val="00517766"/>
    <w:rsid w:val="0051780E"/>
    <w:rsid w:val="00517B67"/>
    <w:rsid w:val="005205C6"/>
    <w:rsid w:val="005206D4"/>
    <w:rsid w:val="00520C19"/>
    <w:rsid w:val="00520C7F"/>
    <w:rsid w:val="00520DED"/>
    <w:rsid w:val="005216E5"/>
    <w:rsid w:val="00521B0C"/>
    <w:rsid w:val="00521B8B"/>
    <w:rsid w:val="005224CA"/>
    <w:rsid w:val="0052277E"/>
    <w:rsid w:val="0052328D"/>
    <w:rsid w:val="005232C8"/>
    <w:rsid w:val="00523453"/>
    <w:rsid w:val="00523843"/>
    <w:rsid w:val="0052385F"/>
    <w:rsid w:val="00523EDB"/>
    <w:rsid w:val="00523F85"/>
    <w:rsid w:val="00523F9E"/>
    <w:rsid w:val="00524389"/>
    <w:rsid w:val="005244C3"/>
    <w:rsid w:val="00524BE3"/>
    <w:rsid w:val="00524CE2"/>
    <w:rsid w:val="00524E64"/>
    <w:rsid w:val="00525213"/>
    <w:rsid w:val="00525A6F"/>
    <w:rsid w:val="00525A87"/>
    <w:rsid w:val="00525BF9"/>
    <w:rsid w:val="00525C8B"/>
    <w:rsid w:val="00525F39"/>
    <w:rsid w:val="00526156"/>
    <w:rsid w:val="005262D2"/>
    <w:rsid w:val="00526983"/>
    <w:rsid w:val="00526E4C"/>
    <w:rsid w:val="00526F65"/>
    <w:rsid w:val="005278A0"/>
    <w:rsid w:val="0053018E"/>
    <w:rsid w:val="005301B5"/>
    <w:rsid w:val="005303A7"/>
    <w:rsid w:val="005303E8"/>
    <w:rsid w:val="00530906"/>
    <w:rsid w:val="00530947"/>
    <w:rsid w:val="00530A59"/>
    <w:rsid w:val="00530A96"/>
    <w:rsid w:val="00530DB7"/>
    <w:rsid w:val="00531197"/>
    <w:rsid w:val="0053142C"/>
    <w:rsid w:val="005315D5"/>
    <w:rsid w:val="00531813"/>
    <w:rsid w:val="005319E3"/>
    <w:rsid w:val="00531A65"/>
    <w:rsid w:val="00531DD4"/>
    <w:rsid w:val="00531E16"/>
    <w:rsid w:val="00531F43"/>
    <w:rsid w:val="0053231F"/>
    <w:rsid w:val="005323B6"/>
    <w:rsid w:val="0053277D"/>
    <w:rsid w:val="00532815"/>
    <w:rsid w:val="00532A37"/>
    <w:rsid w:val="00532E1B"/>
    <w:rsid w:val="00532E85"/>
    <w:rsid w:val="005332E8"/>
    <w:rsid w:val="0053355B"/>
    <w:rsid w:val="0053378D"/>
    <w:rsid w:val="00533871"/>
    <w:rsid w:val="0053396D"/>
    <w:rsid w:val="00533997"/>
    <w:rsid w:val="00533AD8"/>
    <w:rsid w:val="00533D54"/>
    <w:rsid w:val="00533EF2"/>
    <w:rsid w:val="00534446"/>
    <w:rsid w:val="00534DE8"/>
    <w:rsid w:val="0053527C"/>
    <w:rsid w:val="00535827"/>
    <w:rsid w:val="00535B97"/>
    <w:rsid w:val="00535EFB"/>
    <w:rsid w:val="0053646E"/>
    <w:rsid w:val="00536A9E"/>
    <w:rsid w:val="0053729C"/>
    <w:rsid w:val="0053792F"/>
    <w:rsid w:val="00537BE4"/>
    <w:rsid w:val="00537D48"/>
    <w:rsid w:val="00537FB9"/>
    <w:rsid w:val="00540008"/>
    <w:rsid w:val="00540B62"/>
    <w:rsid w:val="00540CDF"/>
    <w:rsid w:val="00540EC5"/>
    <w:rsid w:val="00540F6D"/>
    <w:rsid w:val="00541560"/>
    <w:rsid w:val="00541D46"/>
    <w:rsid w:val="00542333"/>
    <w:rsid w:val="005426E2"/>
    <w:rsid w:val="0054270D"/>
    <w:rsid w:val="0054292D"/>
    <w:rsid w:val="00542A1F"/>
    <w:rsid w:val="00542B16"/>
    <w:rsid w:val="00542D71"/>
    <w:rsid w:val="00542EBC"/>
    <w:rsid w:val="00543131"/>
    <w:rsid w:val="0054322B"/>
    <w:rsid w:val="005432BD"/>
    <w:rsid w:val="00544010"/>
    <w:rsid w:val="00544764"/>
    <w:rsid w:val="005447A7"/>
    <w:rsid w:val="005449AF"/>
    <w:rsid w:val="00544A5E"/>
    <w:rsid w:val="00544BE7"/>
    <w:rsid w:val="00544CC7"/>
    <w:rsid w:val="00544E20"/>
    <w:rsid w:val="00544EFF"/>
    <w:rsid w:val="0054525E"/>
    <w:rsid w:val="00545473"/>
    <w:rsid w:val="00545688"/>
    <w:rsid w:val="005459D6"/>
    <w:rsid w:val="00545CCA"/>
    <w:rsid w:val="00546134"/>
    <w:rsid w:val="0054633C"/>
    <w:rsid w:val="005468F1"/>
    <w:rsid w:val="00546B1B"/>
    <w:rsid w:val="00546BF7"/>
    <w:rsid w:val="0054707C"/>
    <w:rsid w:val="00547492"/>
    <w:rsid w:val="00547820"/>
    <w:rsid w:val="0054782A"/>
    <w:rsid w:val="0054790B"/>
    <w:rsid w:val="00547C9B"/>
    <w:rsid w:val="00547ED7"/>
    <w:rsid w:val="00550142"/>
    <w:rsid w:val="00550257"/>
    <w:rsid w:val="0055041A"/>
    <w:rsid w:val="0055097A"/>
    <w:rsid w:val="0055098F"/>
    <w:rsid w:val="00550B11"/>
    <w:rsid w:val="0055102A"/>
    <w:rsid w:val="00551A26"/>
    <w:rsid w:val="00551AB2"/>
    <w:rsid w:val="00551B83"/>
    <w:rsid w:val="00551C3F"/>
    <w:rsid w:val="00551DE7"/>
    <w:rsid w:val="00551F4C"/>
    <w:rsid w:val="00552090"/>
    <w:rsid w:val="0055210D"/>
    <w:rsid w:val="005526A1"/>
    <w:rsid w:val="00552CA7"/>
    <w:rsid w:val="00552CE6"/>
    <w:rsid w:val="005530AE"/>
    <w:rsid w:val="005532A7"/>
    <w:rsid w:val="005534A8"/>
    <w:rsid w:val="005535EA"/>
    <w:rsid w:val="00553A01"/>
    <w:rsid w:val="00553DB8"/>
    <w:rsid w:val="005545DB"/>
    <w:rsid w:val="005546FA"/>
    <w:rsid w:val="00554904"/>
    <w:rsid w:val="0055496A"/>
    <w:rsid w:val="00554AAA"/>
    <w:rsid w:val="00554B68"/>
    <w:rsid w:val="00554F04"/>
    <w:rsid w:val="00555359"/>
    <w:rsid w:val="0055586B"/>
    <w:rsid w:val="0055589A"/>
    <w:rsid w:val="005559BA"/>
    <w:rsid w:val="00555B1F"/>
    <w:rsid w:val="00555B85"/>
    <w:rsid w:val="00555C2F"/>
    <w:rsid w:val="00555D52"/>
    <w:rsid w:val="00555E8F"/>
    <w:rsid w:val="00556101"/>
    <w:rsid w:val="00556158"/>
    <w:rsid w:val="00556732"/>
    <w:rsid w:val="00556896"/>
    <w:rsid w:val="0055689B"/>
    <w:rsid w:val="00556B02"/>
    <w:rsid w:val="005570B8"/>
    <w:rsid w:val="00557138"/>
    <w:rsid w:val="00557196"/>
    <w:rsid w:val="0055746B"/>
    <w:rsid w:val="005574C8"/>
    <w:rsid w:val="005575D4"/>
    <w:rsid w:val="005577B4"/>
    <w:rsid w:val="0055799B"/>
    <w:rsid w:val="00557A10"/>
    <w:rsid w:val="00557FC7"/>
    <w:rsid w:val="0056082F"/>
    <w:rsid w:val="00560C7C"/>
    <w:rsid w:val="00560C96"/>
    <w:rsid w:val="00561073"/>
    <w:rsid w:val="0056113E"/>
    <w:rsid w:val="00561433"/>
    <w:rsid w:val="00561575"/>
    <w:rsid w:val="00561772"/>
    <w:rsid w:val="00561AC2"/>
    <w:rsid w:val="00563161"/>
    <w:rsid w:val="00563B83"/>
    <w:rsid w:val="00563DE5"/>
    <w:rsid w:val="00564098"/>
    <w:rsid w:val="005644AF"/>
    <w:rsid w:val="0056494A"/>
    <w:rsid w:val="005649CF"/>
    <w:rsid w:val="0056515D"/>
    <w:rsid w:val="0056522D"/>
    <w:rsid w:val="00565A03"/>
    <w:rsid w:val="00565D24"/>
    <w:rsid w:val="00565FA5"/>
    <w:rsid w:val="00566029"/>
    <w:rsid w:val="005665D2"/>
    <w:rsid w:val="00567196"/>
    <w:rsid w:val="00567648"/>
    <w:rsid w:val="005676DC"/>
    <w:rsid w:val="00567D32"/>
    <w:rsid w:val="00567F19"/>
    <w:rsid w:val="005700D1"/>
    <w:rsid w:val="00570881"/>
    <w:rsid w:val="0057089C"/>
    <w:rsid w:val="00570F2D"/>
    <w:rsid w:val="005717DE"/>
    <w:rsid w:val="005719E3"/>
    <w:rsid w:val="00571B49"/>
    <w:rsid w:val="00571FB5"/>
    <w:rsid w:val="0057200D"/>
    <w:rsid w:val="00572019"/>
    <w:rsid w:val="005721A2"/>
    <w:rsid w:val="00572212"/>
    <w:rsid w:val="0057247B"/>
    <w:rsid w:val="005724E5"/>
    <w:rsid w:val="0057281E"/>
    <w:rsid w:val="00572AE1"/>
    <w:rsid w:val="00572EBB"/>
    <w:rsid w:val="005731A1"/>
    <w:rsid w:val="005736D2"/>
    <w:rsid w:val="0057371A"/>
    <w:rsid w:val="0057390A"/>
    <w:rsid w:val="00573C1B"/>
    <w:rsid w:val="005748AA"/>
    <w:rsid w:val="00574B31"/>
    <w:rsid w:val="00574D67"/>
    <w:rsid w:val="00574FEE"/>
    <w:rsid w:val="005756C3"/>
    <w:rsid w:val="00575706"/>
    <w:rsid w:val="00575C81"/>
    <w:rsid w:val="0057641F"/>
    <w:rsid w:val="0057725B"/>
    <w:rsid w:val="00577DE0"/>
    <w:rsid w:val="00577EC8"/>
    <w:rsid w:val="00580054"/>
    <w:rsid w:val="005801F2"/>
    <w:rsid w:val="00580361"/>
    <w:rsid w:val="00580493"/>
    <w:rsid w:val="00580664"/>
    <w:rsid w:val="0058067C"/>
    <w:rsid w:val="005809EF"/>
    <w:rsid w:val="00581143"/>
    <w:rsid w:val="00581277"/>
    <w:rsid w:val="00581309"/>
    <w:rsid w:val="005814A9"/>
    <w:rsid w:val="00581BC4"/>
    <w:rsid w:val="00581D66"/>
    <w:rsid w:val="0058227D"/>
    <w:rsid w:val="005828BF"/>
    <w:rsid w:val="005829A6"/>
    <w:rsid w:val="005829AD"/>
    <w:rsid w:val="00582B63"/>
    <w:rsid w:val="00582B9E"/>
    <w:rsid w:val="00583302"/>
    <w:rsid w:val="00583479"/>
    <w:rsid w:val="00583728"/>
    <w:rsid w:val="00583781"/>
    <w:rsid w:val="005838AC"/>
    <w:rsid w:val="00583B6A"/>
    <w:rsid w:val="005845BF"/>
    <w:rsid w:val="005848A9"/>
    <w:rsid w:val="00584A25"/>
    <w:rsid w:val="00585019"/>
    <w:rsid w:val="0058507A"/>
    <w:rsid w:val="00585419"/>
    <w:rsid w:val="00585676"/>
    <w:rsid w:val="00585B20"/>
    <w:rsid w:val="00585E35"/>
    <w:rsid w:val="00585EB1"/>
    <w:rsid w:val="00585EE7"/>
    <w:rsid w:val="00585FE2"/>
    <w:rsid w:val="00586B1D"/>
    <w:rsid w:val="00586DE1"/>
    <w:rsid w:val="00586F22"/>
    <w:rsid w:val="00587446"/>
    <w:rsid w:val="005874AB"/>
    <w:rsid w:val="00587ED2"/>
    <w:rsid w:val="00587FC3"/>
    <w:rsid w:val="005900A8"/>
    <w:rsid w:val="005900AC"/>
    <w:rsid w:val="005905FA"/>
    <w:rsid w:val="0059067A"/>
    <w:rsid w:val="005908E5"/>
    <w:rsid w:val="00590902"/>
    <w:rsid w:val="00591285"/>
    <w:rsid w:val="005916C8"/>
    <w:rsid w:val="00591A97"/>
    <w:rsid w:val="00591BD4"/>
    <w:rsid w:val="00591F0D"/>
    <w:rsid w:val="00591FEB"/>
    <w:rsid w:val="00592235"/>
    <w:rsid w:val="0059272D"/>
    <w:rsid w:val="005929F3"/>
    <w:rsid w:val="00593113"/>
    <w:rsid w:val="00593453"/>
    <w:rsid w:val="00593505"/>
    <w:rsid w:val="005936AC"/>
    <w:rsid w:val="0059379C"/>
    <w:rsid w:val="005939E7"/>
    <w:rsid w:val="00593A12"/>
    <w:rsid w:val="00593BB8"/>
    <w:rsid w:val="00593E01"/>
    <w:rsid w:val="00593E9D"/>
    <w:rsid w:val="00593F07"/>
    <w:rsid w:val="00593F2F"/>
    <w:rsid w:val="00593F5A"/>
    <w:rsid w:val="00593F8F"/>
    <w:rsid w:val="00594352"/>
    <w:rsid w:val="0059436C"/>
    <w:rsid w:val="00594764"/>
    <w:rsid w:val="005947F1"/>
    <w:rsid w:val="005949E7"/>
    <w:rsid w:val="00594ABD"/>
    <w:rsid w:val="00594D40"/>
    <w:rsid w:val="00594F11"/>
    <w:rsid w:val="005956D3"/>
    <w:rsid w:val="00595935"/>
    <w:rsid w:val="00595A51"/>
    <w:rsid w:val="00595B06"/>
    <w:rsid w:val="00596404"/>
    <w:rsid w:val="00596900"/>
    <w:rsid w:val="00596C0F"/>
    <w:rsid w:val="0059731B"/>
    <w:rsid w:val="00597589"/>
    <w:rsid w:val="005975FF"/>
    <w:rsid w:val="00597643"/>
    <w:rsid w:val="005979E9"/>
    <w:rsid w:val="00597B88"/>
    <w:rsid w:val="005A023C"/>
    <w:rsid w:val="005A02B4"/>
    <w:rsid w:val="005A0475"/>
    <w:rsid w:val="005A059A"/>
    <w:rsid w:val="005A1220"/>
    <w:rsid w:val="005A16BA"/>
    <w:rsid w:val="005A173D"/>
    <w:rsid w:val="005A1782"/>
    <w:rsid w:val="005A1A55"/>
    <w:rsid w:val="005A1B8D"/>
    <w:rsid w:val="005A1D34"/>
    <w:rsid w:val="005A225C"/>
    <w:rsid w:val="005A24AC"/>
    <w:rsid w:val="005A2503"/>
    <w:rsid w:val="005A251C"/>
    <w:rsid w:val="005A25D0"/>
    <w:rsid w:val="005A26EC"/>
    <w:rsid w:val="005A273A"/>
    <w:rsid w:val="005A2758"/>
    <w:rsid w:val="005A27AF"/>
    <w:rsid w:val="005A2809"/>
    <w:rsid w:val="005A28D8"/>
    <w:rsid w:val="005A2A1F"/>
    <w:rsid w:val="005A2C3B"/>
    <w:rsid w:val="005A315D"/>
    <w:rsid w:val="005A31AA"/>
    <w:rsid w:val="005A36A2"/>
    <w:rsid w:val="005A44DA"/>
    <w:rsid w:val="005A4579"/>
    <w:rsid w:val="005A472F"/>
    <w:rsid w:val="005A4B4F"/>
    <w:rsid w:val="005A5216"/>
    <w:rsid w:val="005A5442"/>
    <w:rsid w:val="005A57CF"/>
    <w:rsid w:val="005A592A"/>
    <w:rsid w:val="005A6060"/>
    <w:rsid w:val="005A649D"/>
    <w:rsid w:val="005A666B"/>
    <w:rsid w:val="005A693C"/>
    <w:rsid w:val="005A6AE9"/>
    <w:rsid w:val="005A6E79"/>
    <w:rsid w:val="005A7044"/>
    <w:rsid w:val="005A742D"/>
    <w:rsid w:val="005A7552"/>
    <w:rsid w:val="005A7640"/>
    <w:rsid w:val="005A7804"/>
    <w:rsid w:val="005A78E3"/>
    <w:rsid w:val="005B00C5"/>
    <w:rsid w:val="005B01EA"/>
    <w:rsid w:val="005B025E"/>
    <w:rsid w:val="005B0BB2"/>
    <w:rsid w:val="005B0C71"/>
    <w:rsid w:val="005B13AA"/>
    <w:rsid w:val="005B1716"/>
    <w:rsid w:val="005B1867"/>
    <w:rsid w:val="005B2F81"/>
    <w:rsid w:val="005B38F0"/>
    <w:rsid w:val="005B3C85"/>
    <w:rsid w:val="005B3E52"/>
    <w:rsid w:val="005B3F8D"/>
    <w:rsid w:val="005B433F"/>
    <w:rsid w:val="005B43F4"/>
    <w:rsid w:val="005B4524"/>
    <w:rsid w:val="005B46CF"/>
    <w:rsid w:val="005B486A"/>
    <w:rsid w:val="005B4884"/>
    <w:rsid w:val="005B4B25"/>
    <w:rsid w:val="005B4EC1"/>
    <w:rsid w:val="005B5457"/>
    <w:rsid w:val="005B57F7"/>
    <w:rsid w:val="005B5833"/>
    <w:rsid w:val="005B599E"/>
    <w:rsid w:val="005B5FF7"/>
    <w:rsid w:val="005B659F"/>
    <w:rsid w:val="005B66A0"/>
    <w:rsid w:val="005B6C4E"/>
    <w:rsid w:val="005B6F30"/>
    <w:rsid w:val="005B7001"/>
    <w:rsid w:val="005B70EE"/>
    <w:rsid w:val="005B73D2"/>
    <w:rsid w:val="005B7B8C"/>
    <w:rsid w:val="005B7DA7"/>
    <w:rsid w:val="005B7E00"/>
    <w:rsid w:val="005C0012"/>
    <w:rsid w:val="005C03BF"/>
    <w:rsid w:val="005C06BE"/>
    <w:rsid w:val="005C0DCF"/>
    <w:rsid w:val="005C0FFB"/>
    <w:rsid w:val="005C1AC7"/>
    <w:rsid w:val="005C20A5"/>
    <w:rsid w:val="005C2144"/>
    <w:rsid w:val="005C21B4"/>
    <w:rsid w:val="005C2454"/>
    <w:rsid w:val="005C2BCC"/>
    <w:rsid w:val="005C2F0F"/>
    <w:rsid w:val="005C3101"/>
    <w:rsid w:val="005C33AD"/>
    <w:rsid w:val="005C3539"/>
    <w:rsid w:val="005C3932"/>
    <w:rsid w:val="005C3A90"/>
    <w:rsid w:val="005C3EB7"/>
    <w:rsid w:val="005C4088"/>
    <w:rsid w:val="005C448C"/>
    <w:rsid w:val="005C47A3"/>
    <w:rsid w:val="005C48E8"/>
    <w:rsid w:val="005C4A7E"/>
    <w:rsid w:val="005C4CE3"/>
    <w:rsid w:val="005C4DDF"/>
    <w:rsid w:val="005C4F55"/>
    <w:rsid w:val="005C505D"/>
    <w:rsid w:val="005C50FB"/>
    <w:rsid w:val="005C532F"/>
    <w:rsid w:val="005C56F5"/>
    <w:rsid w:val="005C5F05"/>
    <w:rsid w:val="005C60F9"/>
    <w:rsid w:val="005C62BA"/>
    <w:rsid w:val="005C65F0"/>
    <w:rsid w:val="005C6674"/>
    <w:rsid w:val="005C66C8"/>
    <w:rsid w:val="005C695B"/>
    <w:rsid w:val="005C6968"/>
    <w:rsid w:val="005C700D"/>
    <w:rsid w:val="005C7073"/>
    <w:rsid w:val="005C71EA"/>
    <w:rsid w:val="005C7B68"/>
    <w:rsid w:val="005C7DB9"/>
    <w:rsid w:val="005D0851"/>
    <w:rsid w:val="005D1595"/>
    <w:rsid w:val="005D19A8"/>
    <w:rsid w:val="005D1E0F"/>
    <w:rsid w:val="005D208A"/>
    <w:rsid w:val="005D21BC"/>
    <w:rsid w:val="005D2A21"/>
    <w:rsid w:val="005D3418"/>
    <w:rsid w:val="005D35C8"/>
    <w:rsid w:val="005D3A0A"/>
    <w:rsid w:val="005D3BED"/>
    <w:rsid w:val="005D413B"/>
    <w:rsid w:val="005D4462"/>
    <w:rsid w:val="005D4953"/>
    <w:rsid w:val="005D4CC0"/>
    <w:rsid w:val="005D4E31"/>
    <w:rsid w:val="005D577C"/>
    <w:rsid w:val="005D586F"/>
    <w:rsid w:val="005D594B"/>
    <w:rsid w:val="005D609F"/>
    <w:rsid w:val="005D637B"/>
    <w:rsid w:val="005D663C"/>
    <w:rsid w:val="005D6B5A"/>
    <w:rsid w:val="005D6B90"/>
    <w:rsid w:val="005D6BEE"/>
    <w:rsid w:val="005D6E20"/>
    <w:rsid w:val="005D7081"/>
    <w:rsid w:val="005D721F"/>
    <w:rsid w:val="005D735A"/>
    <w:rsid w:val="005D744A"/>
    <w:rsid w:val="005D7511"/>
    <w:rsid w:val="005D76B5"/>
    <w:rsid w:val="005D783F"/>
    <w:rsid w:val="005D7E76"/>
    <w:rsid w:val="005E007E"/>
    <w:rsid w:val="005E00F4"/>
    <w:rsid w:val="005E014E"/>
    <w:rsid w:val="005E0190"/>
    <w:rsid w:val="005E1419"/>
    <w:rsid w:val="005E1AFC"/>
    <w:rsid w:val="005E1B0C"/>
    <w:rsid w:val="005E1D55"/>
    <w:rsid w:val="005E1D84"/>
    <w:rsid w:val="005E205D"/>
    <w:rsid w:val="005E215E"/>
    <w:rsid w:val="005E21D7"/>
    <w:rsid w:val="005E2539"/>
    <w:rsid w:val="005E2AFC"/>
    <w:rsid w:val="005E31BF"/>
    <w:rsid w:val="005E3552"/>
    <w:rsid w:val="005E3777"/>
    <w:rsid w:val="005E390E"/>
    <w:rsid w:val="005E3C34"/>
    <w:rsid w:val="005E3EF4"/>
    <w:rsid w:val="005E3F95"/>
    <w:rsid w:val="005E40CD"/>
    <w:rsid w:val="005E4234"/>
    <w:rsid w:val="005E4318"/>
    <w:rsid w:val="005E46A1"/>
    <w:rsid w:val="005E4947"/>
    <w:rsid w:val="005E505F"/>
    <w:rsid w:val="005E5539"/>
    <w:rsid w:val="005E577B"/>
    <w:rsid w:val="005E58BC"/>
    <w:rsid w:val="005E5A2E"/>
    <w:rsid w:val="005E5D9F"/>
    <w:rsid w:val="005E601F"/>
    <w:rsid w:val="005E63BF"/>
    <w:rsid w:val="005E6B27"/>
    <w:rsid w:val="005E6C03"/>
    <w:rsid w:val="005E6E58"/>
    <w:rsid w:val="005E6F1C"/>
    <w:rsid w:val="005E73F6"/>
    <w:rsid w:val="005E76F0"/>
    <w:rsid w:val="005E7C7C"/>
    <w:rsid w:val="005F0263"/>
    <w:rsid w:val="005F0545"/>
    <w:rsid w:val="005F07DA"/>
    <w:rsid w:val="005F0911"/>
    <w:rsid w:val="005F1627"/>
    <w:rsid w:val="005F196F"/>
    <w:rsid w:val="005F1A6A"/>
    <w:rsid w:val="005F1BD9"/>
    <w:rsid w:val="005F1C9C"/>
    <w:rsid w:val="005F1DC9"/>
    <w:rsid w:val="005F1ECF"/>
    <w:rsid w:val="005F2023"/>
    <w:rsid w:val="005F225B"/>
    <w:rsid w:val="005F2399"/>
    <w:rsid w:val="005F257B"/>
    <w:rsid w:val="005F2790"/>
    <w:rsid w:val="005F2C0D"/>
    <w:rsid w:val="005F2D34"/>
    <w:rsid w:val="005F2E5D"/>
    <w:rsid w:val="005F2E9C"/>
    <w:rsid w:val="005F30EC"/>
    <w:rsid w:val="005F3C67"/>
    <w:rsid w:val="005F3E75"/>
    <w:rsid w:val="005F4316"/>
    <w:rsid w:val="005F44DD"/>
    <w:rsid w:val="005F46A7"/>
    <w:rsid w:val="005F4D3D"/>
    <w:rsid w:val="005F510D"/>
    <w:rsid w:val="005F5163"/>
    <w:rsid w:val="005F5363"/>
    <w:rsid w:val="005F5977"/>
    <w:rsid w:val="005F5D95"/>
    <w:rsid w:val="005F5EB8"/>
    <w:rsid w:val="005F6405"/>
    <w:rsid w:val="005F6440"/>
    <w:rsid w:val="005F6A62"/>
    <w:rsid w:val="005F6D14"/>
    <w:rsid w:val="005F71CD"/>
    <w:rsid w:val="005F77D7"/>
    <w:rsid w:val="005F7C63"/>
    <w:rsid w:val="00600723"/>
    <w:rsid w:val="0060074E"/>
    <w:rsid w:val="006007ED"/>
    <w:rsid w:val="00600996"/>
    <w:rsid w:val="00600C2F"/>
    <w:rsid w:val="00600EA5"/>
    <w:rsid w:val="00601150"/>
    <w:rsid w:val="0060154C"/>
    <w:rsid w:val="00601D23"/>
    <w:rsid w:val="00602192"/>
    <w:rsid w:val="00602386"/>
    <w:rsid w:val="006024A5"/>
    <w:rsid w:val="00602A8B"/>
    <w:rsid w:val="00602C59"/>
    <w:rsid w:val="00602D5A"/>
    <w:rsid w:val="00603FBD"/>
    <w:rsid w:val="00603FCE"/>
    <w:rsid w:val="00604340"/>
    <w:rsid w:val="0060468D"/>
    <w:rsid w:val="0060476D"/>
    <w:rsid w:val="006049D6"/>
    <w:rsid w:val="00604B89"/>
    <w:rsid w:val="00604BD4"/>
    <w:rsid w:val="00604C16"/>
    <w:rsid w:val="00604E24"/>
    <w:rsid w:val="006050E6"/>
    <w:rsid w:val="00605142"/>
    <w:rsid w:val="0060552E"/>
    <w:rsid w:val="0060554C"/>
    <w:rsid w:val="0060572D"/>
    <w:rsid w:val="00605A8E"/>
    <w:rsid w:val="00605B26"/>
    <w:rsid w:val="00605DB0"/>
    <w:rsid w:val="006060FB"/>
    <w:rsid w:val="0060634C"/>
    <w:rsid w:val="0060636D"/>
    <w:rsid w:val="0060647A"/>
    <w:rsid w:val="0060654D"/>
    <w:rsid w:val="006068C3"/>
    <w:rsid w:val="00606F92"/>
    <w:rsid w:val="00607160"/>
    <w:rsid w:val="006073EC"/>
    <w:rsid w:val="00607AC2"/>
    <w:rsid w:val="0061081C"/>
    <w:rsid w:val="00610963"/>
    <w:rsid w:val="00610EAC"/>
    <w:rsid w:val="0061129A"/>
    <w:rsid w:val="00611381"/>
    <w:rsid w:val="00611453"/>
    <w:rsid w:val="006117E1"/>
    <w:rsid w:val="0061182F"/>
    <w:rsid w:val="0061199A"/>
    <w:rsid w:val="00611A26"/>
    <w:rsid w:val="00611B21"/>
    <w:rsid w:val="00611DC5"/>
    <w:rsid w:val="00612084"/>
    <w:rsid w:val="00612321"/>
    <w:rsid w:val="00612377"/>
    <w:rsid w:val="00612CBE"/>
    <w:rsid w:val="00612EF1"/>
    <w:rsid w:val="006131B5"/>
    <w:rsid w:val="0061376B"/>
    <w:rsid w:val="00613895"/>
    <w:rsid w:val="00613A9F"/>
    <w:rsid w:val="00613D7C"/>
    <w:rsid w:val="00613E75"/>
    <w:rsid w:val="00613FAB"/>
    <w:rsid w:val="006140C9"/>
    <w:rsid w:val="00614358"/>
    <w:rsid w:val="006143BD"/>
    <w:rsid w:val="00614604"/>
    <w:rsid w:val="006146BC"/>
    <w:rsid w:val="0061487A"/>
    <w:rsid w:val="0061493A"/>
    <w:rsid w:val="00614C6C"/>
    <w:rsid w:val="006150A1"/>
    <w:rsid w:val="00615224"/>
    <w:rsid w:val="00615B45"/>
    <w:rsid w:val="00615C85"/>
    <w:rsid w:val="00616090"/>
    <w:rsid w:val="00616128"/>
    <w:rsid w:val="00616A2C"/>
    <w:rsid w:val="00616E36"/>
    <w:rsid w:val="00617018"/>
    <w:rsid w:val="006172D3"/>
    <w:rsid w:val="006176D2"/>
    <w:rsid w:val="0061771D"/>
    <w:rsid w:val="006178FF"/>
    <w:rsid w:val="00617A4F"/>
    <w:rsid w:val="00617BCC"/>
    <w:rsid w:val="00617E8E"/>
    <w:rsid w:val="00617EDE"/>
    <w:rsid w:val="006200BA"/>
    <w:rsid w:val="00620109"/>
    <w:rsid w:val="00620455"/>
    <w:rsid w:val="00620AD8"/>
    <w:rsid w:val="00620CCA"/>
    <w:rsid w:val="00620E27"/>
    <w:rsid w:val="00620F67"/>
    <w:rsid w:val="00621037"/>
    <w:rsid w:val="0062129D"/>
    <w:rsid w:val="00621A35"/>
    <w:rsid w:val="00621D6F"/>
    <w:rsid w:val="006220EE"/>
    <w:rsid w:val="0062239E"/>
    <w:rsid w:val="0062278E"/>
    <w:rsid w:val="00622DB8"/>
    <w:rsid w:val="00622E75"/>
    <w:rsid w:val="006232EC"/>
    <w:rsid w:val="006237EC"/>
    <w:rsid w:val="00623949"/>
    <w:rsid w:val="00623C60"/>
    <w:rsid w:val="00623E46"/>
    <w:rsid w:val="00623F1B"/>
    <w:rsid w:val="0062404E"/>
    <w:rsid w:val="00624257"/>
    <w:rsid w:val="00624A1B"/>
    <w:rsid w:val="00624AB2"/>
    <w:rsid w:val="00624E38"/>
    <w:rsid w:val="00624ED6"/>
    <w:rsid w:val="00624EED"/>
    <w:rsid w:val="0062515B"/>
    <w:rsid w:val="00625291"/>
    <w:rsid w:val="00625481"/>
    <w:rsid w:val="0062575F"/>
    <w:rsid w:val="00625A7C"/>
    <w:rsid w:val="00625FEE"/>
    <w:rsid w:val="00626001"/>
    <w:rsid w:val="0062651B"/>
    <w:rsid w:val="006265E5"/>
    <w:rsid w:val="00626647"/>
    <w:rsid w:val="006266DC"/>
    <w:rsid w:val="00626726"/>
    <w:rsid w:val="00626C68"/>
    <w:rsid w:val="00626DE8"/>
    <w:rsid w:val="006270FA"/>
    <w:rsid w:val="0062751C"/>
    <w:rsid w:val="00627668"/>
    <w:rsid w:val="0062783F"/>
    <w:rsid w:val="00627B20"/>
    <w:rsid w:val="00630099"/>
    <w:rsid w:val="00630283"/>
    <w:rsid w:val="006302B4"/>
    <w:rsid w:val="00630595"/>
    <w:rsid w:val="0063072B"/>
    <w:rsid w:val="00630835"/>
    <w:rsid w:val="0063095F"/>
    <w:rsid w:val="006313B1"/>
    <w:rsid w:val="00631908"/>
    <w:rsid w:val="00631BE2"/>
    <w:rsid w:val="00631F9E"/>
    <w:rsid w:val="006320F1"/>
    <w:rsid w:val="00632913"/>
    <w:rsid w:val="00633222"/>
    <w:rsid w:val="006335F4"/>
    <w:rsid w:val="00633DF4"/>
    <w:rsid w:val="00633E2B"/>
    <w:rsid w:val="00634076"/>
    <w:rsid w:val="00634583"/>
    <w:rsid w:val="00634B42"/>
    <w:rsid w:val="00634CEA"/>
    <w:rsid w:val="00634D78"/>
    <w:rsid w:val="00634EA2"/>
    <w:rsid w:val="00635017"/>
    <w:rsid w:val="00635253"/>
    <w:rsid w:val="006357FD"/>
    <w:rsid w:val="00635854"/>
    <w:rsid w:val="00635A16"/>
    <w:rsid w:val="0063611F"/>
    <w:rsid w:val="00636397"/>
    <w:rsid w:val="00636907"/>
    <w:rsid w:val="00636BBD"/>
    <w:rsid w:val="0063714A"/>
    <w:rsid w:val="0063742F"/>
    <w:rsid w:val="00637F2E"/>
    <w:rsid w:val="00637FBF"/>
    <w:rsid w:val="006401D6"/>
    <w:rsid w:val="006405CC"/>
    <w:rsid w:val="0064075F"/>
    <w:rsid w:val="00640B2E"/>
    <w:rsid w:val="0064106F"/>
    <w:rsid w:val="00641B5C"/>
    <w:rsid w:val="0064215B"/>
    <w:rsid w:val="0064257B"/>
    <w:rsid w:val="00642780"/>
    <w:rsid w:val="006428D5"/>
    <w:rsid w:val="00642CD0"/>
    <w:rsid w:val="00642EB1"/>
    <w:rsid w:val="0064347A"/>
    <w:rsid w:val="0064353F"/>
    <w:rsid w:val="00643A41"/>
    <w:rsid w:val="00643BA5"/>
    <w:rsid w:val="00643C1A"/>
    <w:rsid w:val="00643ED6"/>
    <w:rsid w:val="006442D9"/>
    <w:rsid w:val="006448BF"/>
    <w:rsid w:val="00644912"/>
    <w:rsid w:val="00644969"/>
    <w:rsid w:val="00644A6D"/>
    <w:rsid w:val="00644B8D"/>
    <w:rsid w:val="00644FEC"/>
    <w:rsid w:val="00645429"/>
    <w:rsid w:val="006458F0"/>
    <w:rsid w:val="006459FD"/>
    <w:rsid w:val="00645A25"/>
    <w:rsid w:val="00645B88"/>
    <w:rsid w:val="00645F83"/>
    <w:rsid w:val="006466F4"/>
    <w:rsid w:val="00646766"/>
    <w:rsid w:val="006468AF"/>
    <w:rsid w:val="00646C67"/>
    <w:rsid w:val="00646E4F"/>
    <w:rsid w:val="00646FFA"/>
    <w:rsid w:val="006470AE"/>
    <w:rsid w:val="0064734A"/>
    <w:rsid w:val="0064739E"/>
    <w:rsid w:val="00647488"/>
    <w:rsid w:val="006477CD"/>
    <w:rsid w:val="006478CC"/>
    <w:rsid w:val="00647951"/>
    <w:rsid w:val="006479F1"/>
    <w:rsid w:val="00647A09"/>
    <w:rsid w:val="00647BE1"/>
    <w:rsid w:val="00650601"/>
    <w:rsid w:val="006509E3"/>
    <w:rsid w:val="00650A3A"/>
    <w:rsid w:val="006510C8"/>
    <w:rsid w:val="006512B2"/>
    <w:rsid w:val="00651507"/>
    <w:rsid w:val="00651846"/>
    <w:rsid w:val="00651852"/>
    <w:rsid w:val="00651CA0"/>
    <w:rsid w:val="00652344"/>
    <w:rsid w:val="006529DD"/>
    <w:rsid w:val="00652C37"/>
    <w:rsid w:val="00652C7E"/>
    <w:rsid w:val="006531BB"/>
    <w:rsid w:val="00653576"/>
    <w:rsid w:val="00654104"/>
    <w:rsid w:val="0065437A"/>
    <w:rsid w:val="0065444D"/>
    <w:rsid w:val="006544E2"/>
    <w:rsid w:val="00654723"/>
    <w:rsid w:val="0065479F"/>
    <w:rsid w:val="00654E26"/>
    <w:rsid w:val="006550E0"/>
    <w:rsid w:val="00655156"/>
    <w:rsid w:val="006553C0"/>
    <w:rsid w:val="006558AD"/>
    <w:rsid w:val="0065590D"/>
    <w:rsid w:val="00655994"/>
    <w:rsid w:val="00655E44"/>
    <w:rsid w:val="00655EF4"/>
    <w:rsid w:val="0065626E"/>
    <w:rsid w:val="00656283"/>
    <w:rsid w:val="006569DA"/>
    <w:rsid w:val="006570C7"/>
    <w:rsid w:val="00657221"/>
    <w:rsid w:val="006578FC"/>
    <w:rsid w:val="006579B8"/>
    <w:rsid w:val="00657AF4"/>
    <w:rsid w:val="00657CEA"/>
    <w:rsid w:val="00660335"/>
    <w:rsid w:val="0066056E"/>
    <w:rsid w:val="006609F7"/>
    <w:rsid w:val="00660BE0"/>
    <w:rsid w:val="00660C71"/>
    <w:rsid w:val="00660FF2"/>
    <w:rsid w:val="006618BE"/>
    <w:rsid w:val="006618F5"/>
    <w:rsid w:val="0066197B"/>
    <w:rsid w:val="00661B6B"/>
    <w:rsid w:val="00661ECD"/>
    <w:rsid w:val="00662002"/>
    <w:rsid w:val="0066280F"/>
    <w:rsid w:val="0066295D"/>
    <w:rsid w:val="00662986"/>
    <w:rsid w:val="00662C05"/>
    <w:rsid w:val="00662C53"/>
    <w:rsid w:val="00662DF2"/>
    <w:rsid w:val="0066315A"/>
    <w:rsid w:val="00663505"/>
    <w:rsid w:val="006638D2"/>
    <w:rsid w:val="00663996"/>
    <w:rsid w:val="00663A55"/>
    <w:rsid w:val="00663A80"/>
    <w:rsid w:val="00663ABA"/>
    <w:rsid w:val="00663BD1"/>
    <w:rsid w:val="00663C2B"/>
    <w:rsid w:val="00663F05"/>
    <w:rsid w:val="00664225"/>
    <w:rsid w:val="006649DB"/>
    <w:rsid w:val="00664C86"/>
    <w:rsid w:val="00664EB9"/>
    <w:rsid w:val="00664FC9"/>
    <w:rsid w:val="0066520B"/>
    <w:rsid w:val="0066537D"/>
    <w:rsid w:val="00665474"/>
    <w:rsid w:val="00665BC3"/>
    <w:rsid w:val="00665C8B"/>
    <w:rsid w:val="006662D9"/>
    <w:rsid w:val="0066663C"/>
    <w:rsid w:val="006669E6"/>
    <w:rsid w:val="00666AD6"/>
    <w:rsid w:val="00666CDB"/>
    <w:rsid w:val="006679BC"/>
    <w:rsid w:val="00667D28"/>
    <w:rsid w:val="006701C9"/>
    <w:rsid w:val="006705EF"/>
    <w:rsid w:val="0067066A"/>
    <w:rsid w:val="00670C7E"/>
    <w:rsid w:val="00670E49"/>
    <w:rsid w:val="006715E4"/>
    <w:rsid w:val="00671A9D"/>
    <w:rsid w:val="00671C25"/>
    <w:rsid w:val="00671C31"/>
    <w:rsid w:val="00671E3B"/>
    <w:rsid w:val="00672C47"/>
    <w:rsid w:val="00672D4B"/>
    <w:rsid w:val="0067303F"/>
    <w:rsid w:val="006730A0"/>
    <w:rsid w:val="0067320B"/>
    <w:rsid w:val="006733AF"/>
    <w:rsid w:val="006735B6"/>
    <w:rsid w:val="00673637"/>
    <w:rsid w:val="00673EAA"/>
    <w:rsid w:val="00673F97"/>
    <w:rsid w:val="0067438A"/>
    <w:rsid w:val="006748EE"/>
    <w:rsid w:val="006749E7"/>
    <w:rsid w:val="00674E95"/>
    <w:rsid w:val="00674FAB"/>
    <w:rsid w:val="006750B4"/>
    <w:rsid w:val="006750DE"/>
    <w:rsid w:val="006750ED"/>
    <w:rsid w:val="006751D0"/>
    <w:rsid w:val="00675341"/>
    <w:rsid w:val="00675596"/>
    <w:rsid w:val="006755B2"/>
    <w:rsid w:val="006755FC"/>
    <w:rsid w:val="00675C06"/>
    <w:rsid w:val="00675E24"/>
    <w:rsid w:val="00675E5F"/>
    <w:rsid w:val="00676250"/>
    <w:rsid w:val="006764DD"/>
    <w:rsid w:val="00677075"/>
    <w:rsid w:val="00677085"/>
    <w:rsid w:val="0067769A"/>
    <w:rsid w:val="006778FD"/>
    <w:rsid w:val="00677CC7"/>
    <w:rsid w:val="00677D4D"/>
    <w:rsid w:val="00677EA0"/>
    <w:rsid w:val="00677ED8"/>
    <w:rsid w:val="0068030D"/>
    <w:rsid w:val="006803A1"/>
    <w:rsid w:val="006803CB"/>
    <w:rsid w:val="00680882"/>
    <w:rsid w:val="00680E4D"/>
    <w:rsid w:val="0068109D"/>
    <w:rsid w:val="0068118E"/>
    <w:rsid w:val="006813D8"/>
    <w:rsid w:val="00681867"/>
    <w:rsid w:val="00681AE1"/>
    <w:rsid w:val="00681DF7"/>
    <w:rsid w:val="00681FD5"/>
    <w:rsid w:val="00681FFB"/>
    <w:rsid w:val="00682028"/>
    <w:rsid w:val="00682364"/>
    <w:rsid w:val="0068311D"/>
    <w:rsid w:val="006835B2"/>
    <w:rsid w:val="006836C6"/>
    <w:rsid w:val="0068378D"/>
    <w:rsid w:val="0068416B"/>
    <w:rsid w:val="00684531"/>
    <w:rsid w:val="00684681"/>
    <w:rsid w:val="00684949"/>
    <w:rsid w:val="0068497E"/>
    <w:rsid w:val="00684B01"/>
    <w:rsid w:val="00684C50"/>
    <w:rsid w:val="00684FA3"/>
    <w:rsid w:val="00685521"/>
    <w:rsid w:val="00685B88"/>
    <w:rsid w:val="006867BF"/>
    <w:rsid w:val="00686B12"/>
    <w:rsid w:val="00686C61"/>
    <w:rsid w:val="00686C70"/>
    <w:rsid w:val="00686ECB"/>
    <w:rsid w:val="00686F58"/>
    <w:rsid w:val="0068714E"/>
    <w:rsid w:val="006876B3"/>
    <w:rsid w:val="006876B4"/>
    <w:rsid w:val="00687B15"/>
    <w:rsid w:val="00687DDB"/>
    <w:rsid w:val="00687F6C"/>
    <w:rsid w:val="0069045B"/>
    <w:rsid w:val="006908F6"/>
    <w:rsid w:val="00690BDB"/>
    <w:rsid w:val="006911FB"/>
    <w:rsid w:val="00691270"/>
    <w:rsid w:val="006917C4"/>
    <w:rsid w:val="00691A07"/>
    <w:rsid w:val="00691A7B"/>
    <w:rsid w:val="00691CB3"/>
    <w:rsid w:val="00691DC7"/>
    <w:rsid w:val="006920C2"/>
    <w:rsid w:val="0069231C"/>
    <w:rsid w:val="00692FCA"/>
    <w:rsid w:val="00693653"/>
    <w:rsid w:val="00693958"/>
    <w:rsid w:val="00693CE2"/>
    <w:rsid w:val="00693E33"/>
    <w:rsid w:val="00693E7F"/>
    <w:rsid w:val="00694965"/>
    <w:rsid w:val="006949CC"/>
    <w:rsid w:val="0069527C"/>
    <w:rsid w:val="006956F2"/>
    <w:rsid w:val="00695868"/>
    <w:rsid w:val="00695CF9"/>
    <w:rsid w:val="00695DC5"/>
    <w:rsid w:val="00696200"/>
    <w:rsid w:val="006963DB"/>
    <w:rsid w:val="00696458"/>
    <w:rsid w:val="0069663C"/>
    <w:rsid w:val="006966B7"/>
    <w:rsid w:val="006966E7"/>
    <w:rsid w:val="00696777"/>
    <w:rsid w:val="00696A8C"/>
    <w:rsid w:val="00697370"/>
    <w:rsid w:val="00697977"/>
    <w:rsid w:val="006979E6"/>
    <w:rsid w:val="00697C1F"/>
    <w:rsid w:val="00697E86"/>
    <w:rsid w:val="006A0077"/>
    <w:rsid w:val="006A081C"/>
    <w:rsid w:val="006A0F80"/>
    <w:rsid w:val="006A10B6"/>
    <w:rsid w:val="006A1196"/>
    <w:rsid w:val="006A12BB"/>
    <w:rsid w:val="006A12C5"/>
    <w:rsid w:val="006A19D3"/>
    <w:rsid w:val="006A1B54"/>
    <w:rsid w:val="006A2052"/>
    <w:rsid w:val="006A2DFC"/>
    <w:rsid w:val="006A326F"/>
    <w:rsid w:val="006A3D36"/>
    <w:rsid w:val="006A40BF"/>
    <w:rsid w:val="006A42B1"/>
    <w:rsid w:val="006A43D2"/>
    <w:rsid w:val="006A46D2"/>
    <w:rsid w:val="006A4747"/>
    <w:rsid w:val="006A49AD"/>
    <w:rsid w:val="006A4AD8"/>
    <w:rsid w:val="006A4E74"/>
    <w:rsid w:val="006A5370"/>
    <w:rsid w:val="006A54AE"/>
    <w:rsid w:val="006A57CD"/>
    <w:rsid w:val="006A7078"/>
    <w:rsid w:val="006A70FD"/>
    <w:rsid w:val="006A73F3"/>
    <w:rsid w:val="006A742A"/>
    <w:rsid w:val="006A777D"/>
    <w:rsid w:val="006B00DA"/>
    <w:rsid w:val="006B022C"/>
    <w:rsid w:val="006B0262"/>
    <w:rsid w:val="006B033D"/>
    <w:rsid w:val="006B0367"/>
    <w:rsid w:val="006B1103"/>
    <w:rsid w:val="006B1559"/>
    <w:rsid w:val="006B1628"/>
    <w:rsid w:val="006B1814"/>
    <w:rsid w:val="006B2ADA"/>
    <w:rsid w:val="006B2B0F"/>
    <w:rsid w:val="006B2B10"/>
    <w:rsid w:val="006B3830"/>
    <w:rsid w:val="006B3E7D"/>
    <w:rsid w:val="006B41E1"/>
    <w:rsid w:val="006B479E"/>
    <w:rsid w:val="006B482E"/>
    <w:rsid w:val="006B4AE5"/>
    <w:rsid w:val="006B4C19"/>
    <w:rsid w:val="006B4D6F"/>
    <w:rsid w:val="006B4F04"/>
    <w:rsid w:val="006B5BF0"/>
    <w:rsid w:val="006B5EF1"/>
    <w:rsid w:val="006B6360"/>
    <w:rsid w:val="006B65E5"/>
    <w:rsid w:val="006B6610"/>
    <w:rsid w:val="006B6B71"/>
    <w:rsid w:val="006B6B72"/>
    <w:rsid w:val="006B6E66"/>
    <w:rsid w:val="006B6E6D"/>
    <w:rsid w:val="006B6F5D"/>
    <w:rsid w:val="006B6FD0"/>
    <w:rsid w:val="006B77CA"/>
    <w:rsid w:val="006B781A"/>
    <w:rsid w:val="006B78B1"/>
    <w:rsid w:val="006B7AA2"/>
    <w:rsid w:val="006B7DB2"/>
    <w:rsid w:val="006B7DBE"/>
    <w:rsid w:val="006C02CF"/>
    <w:rsid w:val="006C0866"/>
    <w:rsid w:val="006C08DF"/>
    <w:rsid w:val="006C0D64"/>
    <w:rsid w:val="006C0DAB"/>
    <w:rsid w:val="006C14D4"/>
    <w:rsid w:val="006C1810"/>
    <w:rsid w:val="006C18CD"/>
    <w:rsid w:val="006C19C8"/>
    <w:rsid w:val="006C1B09"/>
    <w:rsid w:val="006C1B7E"/>
    <w:rsid w:val="006C1ED3"/>
    <w:rsid w:val="006C232B"/>
    <w:rsid w:val="006C27BE"/>
    <w:rsid w:val="006C29E8"/>
    <w:rsid w:val="006C397E"/>
    <w:rsid w:val="006C398D"/>
    <w:rsid w:val="006C3BAE"/>
    <w:rsid w:val="006C3D61"/>
    <w:rsid w:val="006C4475"/>
    <w:rsid w:val="006C4485"/>
    <w:rsid w:val="006C4535"/>
    <w:rsid w:val="006C4F2C"/>
    <w:rsid w:val="006C5984"/>
    <w:rsid w:val="006C5AE4"/>
    <w:rsid w:val="006C5C0C"/>
    <w:rsid w:val="006C5C63"/>
    <w:rsid w:val="006C5DC9"/>
    <w:rsid w:val="006C5DF1"/>
    <w:rsid w:val="006C6067"/>
    <w:rsid w:val="006C6190"/>
    <w:rsid w:val="006C61B4"/>
    <w:rsid w:val="006C6446"/>
    <w:rsid w:val="006C6647"/>
    <w:rsid w:val="006C67E1"/>
    <w:rsid w:val="006C69DA"/>
    <w:rsid w:val="006C6AAB"/>
    <w:rsid w:val="006C713A"/>
    <w:rsid w:val="006C7749"/>
    <w:rsid w:val="006C7B90"/>
    <w:rsid w:val="006C7E67"/>
    <w:rsid w:val="006D013A"/>
    <w:rsid w:val="006D01A0"/>
    <w:rsid w:val="006D035F"/>
    <w:rsid w:val="006D04EB"/>
    <w:rsid w:val="006D066F"/>
    <w:rsid w:val="006D1615"/>
    <w:rsid w:val="006D16A9"/>
    <w:rsid w:val="006D1A1B"/>
    <w:rsid w:val="006D1A56"/>
    <w:rsid w:val="006D1C2E"/>
    <w:rsid w:val="006D1DE5"/>
    <w:rsid w:val="006D2466"/>
    <w:rsid w:val="006D2C0B"/>
    <w:rsid w:val="006D2D64"/>
    <w:rsid w:val="006D3226"/>
    <w:rsid w:val="006D32E3"/>
    <w:rsid w:val="006D36DA"/>
    <w:rsid w:val="006D3D5A"/>
    <w:rsid w:val="006D3E49"/>
    <w:rsid w:val="006D3E53"/>
    <w:rsid w:val="006D425A"/>
    <w:rsid w:val="006D429F"/>
    <w:rsid w:val="006D448B"/>
    <w:rsid w:val="006D4A39"/>
    <w:rsid w:val="006D4D13"/>
    <w:rsid w:val="006D4E6D"/>
    <w:rsid w:val="006D5036"/>
    <w:rsid w:val="006D5082"/>
    <w:rsid w:val="006D50F5"/>
    <w:rsid w:val="006D51E4"/>
    <w:rsid w:val="006D54C2"/>
    <w:rsid w:val="006D553F"/>
    <w:rsid w:val="006D5594"/>
    <w:rsid w:val="006D590F"/>
    <w:rsid w:val="006D5BEB"/>
    <w:rsid w:val="006D5CCB"/>
    <w:rsid w:val="006D5D62"/>
    <w:rsid w:val="006D6023"/>
    <w:rsid w:val="006D6222"/>
    <w:rsid w:val="006D6A8A"/>
    <w:rsid w:val="006D6B43"/>
    <w:rsid w:val="006D6C3C"/>
    <w:rsid w:val="006D6CEC"/>
    <w:rsid w:val="006D7168"/>
    <w:rsid w:val="006D77AE"/>
    <w:rsid w:val="006D786D"/>
    <w:rsid w:val="006D78BF"/>
    <w:rsid w:val="006D7ACC"/>
    <w:rsid w:val="006D7D20"/>
    <w:rsid w:val="006D7EBC"/>
    <w:rsid w:val="006E0556"/>
    <w:rsid w:val="006E0778"/>
    <w:rsid w:val="006E07D0"/>
    <w:rsid w:val="006E0A2A"/>
    <w:rsid w:val="006E0FF5"/>
    <w:rsid w:val="006E12BE"/>
    <w:rsid w:val="006E1475"/>
    <w:rsid w:val="006E155D"/>
    <w:rsid w:val="006E15FB"/>
    <w:rsid w:val="006E164F"/>
    <w:rsid w:val="006E1919"/>
    <w:rsid w:val="006E1C41"/>
    <w:rsid w:val="006E223A"/>
    <w:rsid w:val="006E233A"/>
    <w:rsid w:val="006E25AE"/>
    <w:rsid w:val="006E2882"/>
    <w:rsid w:val="006E28FB"/>
    <w:rsid w:val="006E2B36"/>
    <w:rsid w:val="006E35E1"/>
    <w:rsid w:val="006E3AE3"/>
    <w:rsid w:val="006E3D0F"/>
    <w:rsid w:val="006E3DE3"/>
    <w:rsid w:val="006E43B3"/>
    <w:rsid w:val="006E445F"/>
    <w:rsid w:val="006E4C34"/>
    <w:rsid w:val="006E4CB8"/>
    <w:rsid w:val="006E502F"/>
    <w:rsid w:val="006E52E6"/>
    <w:rsid w:val="006E53BE"/>
    <w:rsid w:val="006E5978"/>
    <w:rsid w:val="006E60EF"/>
    <w:rsid w:val="006E644B"/>
    <w:rsid w:val="006E6480"/>
    <w:rsid w:val="006E6598"/>
    <w:rsid w:val="006E6954"/>
    <w:rsid w:val="006E6A3E"/>
    <w:rsid w:val="006E6B04"/>
    <w:rsid w:val="006E6CC2"/>
    <w:rsid w:val="006E6D00"/>
    <w:rsid w:val="006E6D0E"/>
    <w:rsid w:val="006E71DF"/>
    <w:rsid w:val="006E7954"/>
    <w:rsid w:val="006E7F12"/>
    <w:rsid w:val="006F00AE"/>
    <w:rsid w:val="006F0223"/>
    <w:rsid w:val="006F0866"/>
    <w:rsid w:val="006F0CD4"/>
    <w:rsid w:val="006F1146"/>
    <w:rsid w:val="006F133C"/>
    <w:rsid w:val="006F1415"/>
    <w:rsid w:val="006F159B"/>
    <w:rsid w:val="006F15BF"/>
    <w:rsid w:val="006F18B0"/>
    <w:rsid w:val="006F1A01"/>
    <w:rsid w:val="006F1B1C"/>
    <w:rsid w:val="006F2034"/>
    <w:rsid w:val="006F22F4"/>
    <w:rsid w:val="006F3535"/>
    <w:rsid w:val="006F3730"/>
    <w:rsid w:val="006F38E1"/>
    <w:rsid w:val="006F3965"/>
    <w:rsid w:val="006F3AB6"/>
    <w:rsid w:val="006F3F5F"/>
    <w:rsid w:val="006F3F8E"/>
    <w:rsid w:val="006F405C"/>
    <w:rsid w:val="006F46A5"/>
    <w:rsid w:val="006F4AFA"/>
    <w:rsid w:val="006F4E53"/>
    <w:rsid w:val="006F4EB9"/>
    <w:rsid w:val="006F5142"/>
    <w:rsid w:val="006F5373"/>
    <w:rsid w:val="006F5404"/>
    <w:rsid w:val="006F5791"/>
    <w:rsid w:val="006F58B2"/>
    <w:rsid w:val="006F59FB"/>
    <w:rsid w:val="006F606C"/>
    <w:rsid w:val="006F659B"/>
    <w:rsid w:val="006F69B6"/>
    <w:rsid w:val="006F6B72"/>
    <w:rsid w:val="006F72BE"/>
    <w:rsid w:val="006F7378"/>
    <w:rsid w:val="006F75F8"/>
    <w:rsid w:val="006F76FA"/>
    <w:rsid w:val="006F7A1A"/>
    <w:rsid w:val="006F7A4A"/>
    <w:rsid w:val="006F7AEC"/>
    <w:rsid w:val="00700352"/>
    <w:rsid w:val="0070073F"/>
    <w:rsid w:val="00700AA1"/>
    <w:rsid w:val="00700CF8"/>
    <w:rsid w:val="007014ED"/>
    <w:rsid w:val="007016A4"/>
    <w:rsid w:val="00702657"/>
    <w:rsid w:val="0070271D"/>
    <w:rsid w:val="007027E8"/>
    <w:rsid w:val="00702C77"/>
    <w:rsid w:val="00702F0F"/>
    <w:rsid w:val="00702FF5"/>
    <w:rsid w:val="007033FC"/>
    <w:rsid w:val="007034E2"/>
    <w:rsid w:val="00704779"/>
    <w:rsid w:val="00704C23"/>
    <w:rsid w:val="00704C88"/>
    <w:rsid w:val="0070517D"/>
    <w:rsid w:val="007056F7"/>
    <w:rsid w:val="00705BB8"/>
    <w:rsid w:val="0070621D"/>
    <w:rsid w:val="0070623A"/>
    <w:rsid w:val="00706413"/>
    <w:rsid w:val="00706A68"/>
    <w:rsid w:val="00706B40"/>
    <w:rsid w:val="00706E00"/>
    <w:rsid w:val="00706F79"/>
    <w:rsid w:val="007073A8"/>
    <w:rsid w:val="00707552"/>
    <w:rsid w:val="00707796"/>
    <w:rsid w:val="00707AB8"/>
    <w:rsid w:val="00707B2A"/>
    <w:rsid w:val="0071023A"/>
    <w:rsid w:val="0071082E"/>
    <w:rsid w:val="00710DD7"/>
    <w:rsid w:val="00711094"/>
    <w:rsid w:val="00711976"/>
    <w:rsid w:val="00711F08"/>
    <w:rsid w:val="00711FA2"/>
    <w:rsid w:val="00712081"/>
    <w:rsid w:val="007120B9"/>
    <w:rsid w:val="0071259D"/>
    <w:rsid w:val="00712D53"/>
    <w:rsid w:val="00712DCC"/>
    <w:rsid w:val="00713047"/>
    <w:rsid w:val="00713272"/>
    <w:rsid w:val="007134A2"/>
    <w:rsid w:val="007139C4"/>
    <w:rsid w:val="00713A80"/>
    <w:rsid w:val="00713B48"/>
    <w:rsid w:val="007143A9"/>
    <w:rsid w:val="00714633"/>
    <w:rsid w:val="00714D8B"/>
    <w:rsid w:val="00714E2A"/>
    <w:rsid w:val="00714F0D"/>
    <w:rsid w:val="00714F85"/>
    <w:rsid w:val="00714FB7"/>
    <w:rsid w:val="007155C4"/>
    <w:rsid w:val="00715AE9"/>
    <w:rsid w:val="00715D32"/>
    <w:rsid w:val="00717520"/>
    <w:rsid w:val="00717C6F"/>
    <w:rsid w:val="00717D3C"/>
    <w:rsid w:val="00717DBD"/>
    <w:rsid w:val="00720036"/>
    <w:rsid w:val="007200C5"/>
    <w:rsid w:val="0072030A"/>
    <w:rsid w:val="0072094F"/>
    <w:rsid w:val="00720967"/>
    <w:rsid w:val="00720C38"/>
    <w:rsid w:val="0072101D"/>
    <w:rsid w:val="0072105B"/>
    <w:rsid w:val="00721107"/>
    <w:rsid w:val="007213CA"/>
    <w:rsid w:val="0072140C"/>
    <w:rsid w:val="00721A08"/>
    <w:rsid w:val="007220E4"/>
    <w:rsid w:val="0072263E"/>
    <w:rsid w:val="00722A08"/>
    <w:rsid w:val="00722A93"/>
    <w:rsid w:val="00722E3D"/>
    <w:rsid w:val="00723278"/>
    <w:rsid w:val="00723387"/>
    <w:rsid w:val="00723504"/>
    <w:rsid w:val="007237B5"/>
    <w:rsid w:val="007238CF"/>
    <w:rsid w:val="0072390B"/>
    <w:rsid w:val="0072391E"/>
    <w:rsid w:val="00723929"/>
    <w:rsid w:val="00723A34"/>
    <w:rsid w:val="00723BF6"/>
    <w:rsid w:val="00723DF9"/>
    <w:rsid w:val="00723E63"/>
    <w:rsid w:val="00723FDB"/>
    <w:rsid w:val="007241AB"/>
    <w:rsid w:val="007241FD"/>
    <w:rsid w:val="007242FD"/>
    <w:rsid w:val="007246C7"/>
    <w:rsid w:val="00724752"/>
    <w:rsid w:val="00724ACE"/>
    <w:rsid w:val="00724D3B"/>
    <w:rsid w:val="00724EBC"/>
    <w:rsid w:val="00724FC6"/>
    <w:rsid w:val="00725008"/>
    <w:rsid w:val="007254EC"/>
    <w:rsid w:val="0072568E"/>
    <w:rsid w:val="007257EE"/>
    <w:rsid w:val="00725CA9"/>
    <w:rsid w:val="00725CD1"/>
    <w:rsid w:val="00725D2F"/>
    <w:rsid w:val="00725DD4"/>
    <w:rsid w:val="0072669B"/>
    <w:rsid w:val="007266FA"/>
    <w:rsid w:val="00726920"/>
    <w:rsid w:val="00726A2B"/>
    <w:rsid w:val="00726FBF"/>
    <w:rsid w:val="007276ED"/>
    <w:rsid w:val="007277FE"/>
    <w:rsid w:val="00727B8C"/>
    <w:rsid w:val="0073041D"/>
    <w:rsid w:val="00730472"/>
    <w:rsid w:val="0073055A"/>
    <w:rsid w:val="00730C1D"/>
    <w:rsid w:val="00730EE5"/>
    <w:rsid w:val="007312DA"/>
    <w:rsid w:val="00731379"/>
    <w:rsid w:val="007316A8"/>
    <w:rsid w:val="00731A60"/>
    <w:rsid w:val="007322EF"/>
    <w:rsid w:val="007323D2"/>
    <w:rsid w:val="0073246B"/>
    <w:rsid w:val="007327DC"/>
    <w:rsid w:val="007329BB"/>
    <w:rsid w:val="00732A1A"/>
    <w:rsid w:val="00733418"/>
    <w:rsid w:val="007335D3"/>
    <w:rsid w:val="00733844"/>
    <w:rsid w:val="00733EA2"/>
    <w:rsid w:val="00733ECF"/>
    <w:rsid w:val="00733F21"/>
    <w:rsid w:val="00733FEA"/>
    <w:rsid w:val="007340B5"/>
    <w:rsid w:val="0073435B"/>
    <w:rsid w:val="00734CCB"/>
    <w:rsid w:val="00734F50"/>
    <w:rsid w:val="0073556E"/>
    <w:rsid w:val="007355D5"/>
    <w:rsid w:val="00736323"/>
    <w:rsid w:val="007366E1"/>
    <w:rsid w:val="007366FD"/>
    <w:rsid w:val="00736980"/>
    <w:rsid w:val="00736B35"/>
    <w:rsid w:val="00736B83"/>
    <w:rsid w:val="00736CE8"/>
    <w:rsid w:val="00736E58"/>
    <w:rsid w:val="00737072"/>
    <w:rsid w:val="00737121"/>
    <w:rsid w:val="00737215"/>
    <w:rsid w:val="00737CFA"/>
    <w:rsid w:val="00737ED7"/>
    <w:rsid w:val="0074079E"/>
    <w:rsid w:val="007409E3"/>
    <w:rsid w:val="00740EE3"/>
    <w:rsid w:val="0074108E"/>
    <w:rsid w:val="007410F2"/>
    <w:rsid w:val="00741493"/>
    <w:rsid w:val="00741820"/>
    <w:rsid w:val="00741949"/>
    <w:rsid w:val="00742232"/>
    <w:rsid w:val="0074248E"/>
    <w:rsid w:val="007425B6"/>
    <w:rsid w:val="00742B1C"/>
    <w:rsid w:val="00742BFC"/>
    <w:rsid w:val="00742C89"/>
    <w:rsid w:val="00742E2D"/>
    <w:rsid w:val="00743648"/>
    <w:rsid w:val="00743A36"/>
    <w:rsid w:val="00743ABC"/>
    <w:rsid w:val="00744020"/>
    <w:rsid w:val="007440CF"/>
    <w:rsid w:val="007448D2"/>
    <w:rsid w:val="00744FE7"/>
    <w:rsid w:val="0074507D"/>
    <w:rsid w:val="00745B9E"/>
    <w:rsid w:val="0074606C"/>
    <w:rsid w:val="00746A1F"/>
    <w:rsid w:val="00747161"/>
    <w:rsid w:val="0074794B"/>
    <w:rsid w:val="00747F48"/>
    <w:rsid w:val="0075034B"/>
    <w:rsid w:val="0075067A"/>
    <w:rsid w:val="00750683"/>
    <w:rsid w:val="00750D76"/>
    <w:rsid w:val="00750E54"/>
    <w:rsid w:val="007511D1"/>
    <w:rsid w:val="0075153D"/>
    <w:rsid w:val="007515F1"/>
    <w:rsid w:val="0075175F"/>
    <w:rsid w:val="00751B95"/>
    <w:rsid w:val="00751D72"/>
    <w:rsid w:val="00751E1C"/>
    <w:rsid w:val="00752008"/>
    <w:rsid w:val="00752153"/>
    <w:rsid w:val="0075217B"/>
    <w:rsid w:val="00752255"/>
    <w:rsid w:val="00752366"/>
    <w:rsid w:val="0075272F"/>
    <w:rsid w:val="00752CCA"/>
    <w:rsid w:val="00752EFC"/>
    <w:rsid w:val="007532E9"/>
    <w:rsid w:val="007535BA"/>
    <w:rsid w:val="00753BE6"/>
    <w:rsid w:val="00753FBA"/>
    <w:rsid w:val="00754290"/>
    <w:rsid w:val="00754596"/>
    <w:rsid w:val="007547FF"/>
    <w:rsid w:val="00755193"/>
    <w:rsid w:val="007551C4"/>
    <w:rsid w:val="00755405"/>
    <w:rsid w:val="00755460"/>
    <w:rsid w:val="007557B8"/>
    <w:rsid w:val="007559FF"/>
    <w:rsid w:val="00755CF4"/>
    <w:rsid w:val="00756297"/>
    <w:rsid w:val="007562F9"/>
    <w:rsid w:val="00756737"/>
    <w:rsid w:val="0075690A"/>
    <w:rsid w:val="00756D86"/>
    <w:rsid w:val="00756D92"/>
    <w:rsid w:val="00756F1F"/>
    <w:rsid w:val="00757048"/>
    <w:rsid w:val="007571B3"/>
    <w:rsid w:val="007571E6"/>
    <w:rsid w:val="0075742F"/>
    <w:rsid w:val="007574B4"/>
    <w:rsid w:val="00757529"/>
    <w:rsid w:val="00757C47"/>
    <w:rsid w:val="00757D33"/>
    <w:rsid w:val="00757F0B"/>
    <w:rsid w:val="00760123"/>
    <w:rsid w:val="007603F7"/>
    <w:rsid w:val="0076058C"/>
    <w:rsid w:val="0076072C"/>
    <w:rsid w:val="00760A4F"/>
    <w:rsid w:val="00760A74"/>
    <w:rsid w:val="00760F83"/>
    <w:rsid w:val="00761042"/>
    <w:rsid w:val="00761414"/>
    <w:rsid w:val="007615C0"/>
    <w:rsid w:val="007616A0"/>
    <w:rsid w:val="007619DB"/>
    <w:rsid w:val="00761A6B"/>
    <w:rsid w:val="00761BD8"/>
    <w:rsid w:val="00761C85"/>
    <w:rsid w:val="00761CDD"/>
    <w:rsid w:val="00761D1F"/>
    <w:rsid w:val="00761DC6"/>
    <w:rsid w:val="007622E4"/>
    <w:rsid w:val="007625EA"/>
    <w:rsid w:val="007628BA"/>
    <w:rsid w:val="00762911"/>
    <w:rsid w:val="007629F7"/>
    <w:rsid w:val="00762D94"/>
    <w:rsid w:val="00762F53"/>
    <w:rsid w:val="00763269"/>
    <w:rsid w:val="007635C3"/>
    <w:rsid w:val="00763AA6"/>
    <w:rsid w:val="00763CFD"/>
    <w:rsid w:val="00763E91"/>
    <w:rsid w:val="00764058"/>
    <w:rsid w:val="007649E4"/>
    <w:rsid w:val="00765315"/>
    <w:rsid w:val="0076582E"/>
    <w:rsid w:val="0076596C"/>
    <w:rsid w:val="00765AF8"/>
    <w:rsid w:val="00765C07"/>
    <w:rsid w:val="00765E79"/>
    <w:rsid w:val="00765FF3"/>
    <w:rsid w:val="0076623E"/>
    <w:rsid w:val="007666CA"/>
    <w:rsid w:val="00766ADB"/>
    <w:rsid w:val="00766AEC"/>
    <w:rsid w:val="00766BBF"/>
    <w:rsid w:val="00766ED1"/>
    <w:rsid w:val="00766F7B"/>
    <w:rsid w:val="0076751F"/>
    <w:rsid w:val="007676D7"/>
    <w:rsid w:val="007679FD"/>
    <w:rsid w:val="00767A0F"/>
    <w:rsid w:val="00767AE2"/>
    <w:rsid w:val="0077001B"/>
    <w:rsid w:val="007704B5"/>
    <w:rsid w:val="007704D2"/>
    <w:rsid w:val="00770627"/>
    <w:rsid w:val="007706CA"/>
    <w:rsid w:val="00770AF1"/>
    <w:rsid w:val="00770D32"/>
    <w:rsid w:val="00770F7A"/>
    <w:rsid w:val="00771010"/>
    <w:rsid w:val="0077195D"/>
    <w:rsid w:val="0077200E"/>
    <w:rsid w:val="00772131"/>
    <w:rsid w:val="007724D1"/>
    <w:rsid w:val="00772685"/>
    <w:rsid w:val="00772DDD"/>
    <w:rsid w:val="00773310"/>
    <w:rsid w:val="00773996"/>
    <w:rsid w:val="00773A53"/>
    <w:rsid w:val="00773A55"/>
    <w:rsid w:val="00773B69"/>
    <w:rsid w:val="00773CDC"/>
    <w:rsid w:val="00774066"/>
    <w:rsid w:val="00774267"/>
    <w:rsid w:val="0077457F"/>
    <w:rsid w:val="00774664"/>
    <w:rsid w:val="00774854"/>
    <w:rsid w:val="00774E90"/>
    <w:rsid w:val="0077525B"/>
    <w:rsid w:val="00775524"/>
    <w:rsid w:val="00775B41"/>
    <w:rsid w:val="00775CBA"/>
    <w:rsid w:val="00775E36"/>
    <w:rsid w:val="007761A6"/>
    <w:rsid w:val="00776830"/>
    <w:rsid w:val="00776831"/>
    <w:rsid w:val="00777148"/>
    <w:rsid w:val="007779E4"/>
    <w:rsid w:val="00777BD7"/>
    <w:rsid w:val="00780080"/>
    <w:rsid w:val="007801DE"/>
    <w:rsid w:val="00780711"/>
    <w:rsid w:val="00780AED"/>
    <w:rsid w:val="00780D2C"/>
    <w:rsid w:val="00780D84"/>
    <w:rsid w:val="00780E8B"/>
    <w:rsid w:val="0078101A"/>
    <w:rsid w:val="00781085"/>
    <w:rsid w:val="00781443"/>
    <w:rsid w:val="00781526"/>
    <w:rsid w:val="00781738"/>
    <w:rsid w:val="007817B6"/>
    <w:rsid w:val="00781BCB"/>
    <w:rsid w:val="00781E09"/>
    <w:rsid w:val="00781F80"/>
    <w:rsid w:val="00782001"/>
    <w:rsid w:val="007820AD"/>
    <w:rsid w:val="007828B3"/>
    <w:rsid w:val="00782CE6"/>
    <w:rsid w:val="007834DE"/>
    <w:rsid w:val="0078381E"/>
    <w:rsid w:val="00783F19"/>
    <w:rsid w:val="00784366"/>
    <w:rsid w:val="0078456E"/>
    <w:rsid w:val="00784B16"/>
    <w:rsid w:val="00784E01"/>
    <w:rsid w:val="00785028"/>
    <w:rsid w:val="007850A7"/>
    <w:rsid w:val="00785839"/>
    <w:rsid w:val="00785946"/>
    <w:rsid w:val="0078596C"/>
    <w:rsid w:val="00785E08"/>
    <w:rsid w:val="00786200"/>
    <w:rsid w:val="007862FE"/>
    <w:rsid w:val="0078634A"/>
    <w:rsid w:val="0078648B"/>
    <w:rsid w:val="00786938"/>
    <w:rsid w:val="00786E48"/>
    <w:rsid w:val="00786FED"/>
    <w:rsid w:val="0078745E"/>
    <w:rsid w:val="007874E0"/>
    <w:rsid w:val="007875DB"/>
    <w:rsid w:val="00787AEE"/>
    <w:rsid w:val="00787EDE"/>
    <w:rsid w:val="00787F37"/>
    <w:rsid w:val="007904F4"/>
    <w:rsid w:val="007906B7"/>
    <w:rsid w:val="00790802"/>
    <w:rsid w:val="00790834"/>
    <w:rsid w:val="007908E7"/>
    <w:rsid w:val="00790C04"/>
    <w:rsid w:val="0079103B"/>
    <w:rsid w:val="0079181B"/>
    <w:rsid w:val="00791B79"/>
    <w:rsid w:val="007920E5"/>
    <w:rsid w:val="0079220F"/>
    <w:rsid w:val="00792468"/>
    <w:rsid w:val="00792986"/>
    <w:rsid w:val="00792B8E"/>
    <w:rsid w:val="00792E1C"/>
    <w:rsid w:val="00793035"/>
    <w:rsid w:val="00793338"/>
    <w:rsid w:val="00793A24"/>
    <w:rsid w:val="00793BAE"/>
    <w:rsid w:val="00793C13"/>
    <w:rsid w:val="00793CB4"/>
    <w:rsid w:val="00793F38"/>
    <w:rsid w:val="0079414D"/>
    <w:rsid w:val="007941E0"/>
    <w:rsid w:val="007947D3"/>
    <w:rsid w:val="00794A26"/>
    <w:rsid w:val="00794F07"/>
    <w:rsid w:val="00795163"/>
    <w:rsid w:val="007951E3"/>
    <w:rsid w:val="0079532F"/>
    <w:rsid w:val="007953AB"/>
    <w:rsid w:val="00795886"/>
    <w:rsid w:val="00795E26"/>
    <w:rsid w:val="00796390"/>
    <w:rsid w:val="007967FC"/>
    <w:rsid w:val="00796823"/>
    <w:rsid w:val="0079690F"/>
    <w:rsid w:val="00796E01"/>
    <w:rsid w:val="00796E03"/>
    <w:rsid w:val="00796E20"/>
    <w:rsid w:val="00796E61"/>
    <w:rsid w:val="00796F09"/>
    <w:rsid w:val="007971E7"/>
    <w:rsid w:val="007973DD"/>
    <w:rsid w:val="007974B4"/>
    <w:rsid w:val="00797840"/>
    <w:rsid w:val="007979B9"/>
    <w:rsid w:val="007A0083"/>
    <w:rsid w:val="007A024F"/>
    <w:rsid w:val="007A0644"/>
    <w:rsid w:val="007A12E7"/>
    <w:rsid w:val="007A13F2"/>
    <w:rsid w:val="007A1552"/>
    <w:rsid w:val="007A19B4"/>
    <w:rsid w:val="007A1A32"/>
    <w:rsid w:val="007A1E20"/>
    <w:rsid w:val="007A27A6"/>
    <w:rsid w:val="007A2886"/>
    <w:rsid w:val="007A2F2B"/>
    <w:rsid w:val="007A33A8"/>
    <w:rsid w:val="007A3530"/>
    <w:rsid w:val="007A3597"/>
    <w:rsid w:val="007A35F1"/>
    <w:rsid w:val="007A37D5"/>
    <w:rsid w:val="007A3C41"/>
    <w:rsid w:val="007A3D26"/>
    <w:rsid w:val="007A41D9"/>
    <w:rsid w:val="007A478C"/>
    <w:rsid w:val="007A4901"/>
    <w:rsid w:val="007A4B99"/>
    <w:rsid w:val="007A4E63"/>
    <w:rsid w:val="007A52B1"/>
    <w:rsid w:val="007A5AC0"/>
    <w:rsid w:val="007A5AFB"/>
    <w:rsid w:val="007A5BBA"/>
    <w:rsid w:val="007A5E3D"/>
    <w:rsid w:val="007A5E7B"/>
    <w:rsid w:val="007A5E8B"/>
    <w:rsid w:val="007A5F1A"/>
    <w:rsid w:val="007A6640"/>
    <w:rsid w:val="007A6B5C"/>
    <w:rsid w:val="007A7166"/>
    <w:rsid w:val="007A772F"/>
    <w:rsid w:val="007A78C9"/>
    <w:rsid w:val="007A7EE1"/>
    <w:rsid w:val="007A7F5E"/>
    <w:rsid w:val="007B01BF"/>
    <w:rsid w:val="007B02B0"/>
    <w:rsid w:val="007B08AE"/>
    <w:rsid w:val="007B0B74"/>
    <w:rsid w:val="007B10D8"/>
    <w:rsid w:val="007B12FA"/>
    <w:rsid w:val="007B15DA"/>
    <w:rsid w:val="007B19EE"/>
    <w:rsid w:val="007B1ADD"/>
    <w:rsid w:val="007B1B66"/>
    <w:rsid w:val="007B1FDC"/>
    <w:rsid w:val="007B2368"/>
    <w:rsid w:val="007B2455"/>
    <w:rsid w:val="007B246E"/>
    <w:rsid w:val="007B2770"/>
    <w:rsid w:val="007B29AF"/>
    <w:rsid w:val="007B3098"/>
    <w:rsid w:val="007B31FD"/>
    <w:rsid w:val="007B3600"/>
    <w:rsid w:val="007B3A78"/>
    <w:rsid w:val="007B3A7E"/>
    <w:rsid w:val="007B3B64"/>
    <w:rsid w:val="007B3EA5"/>
    <w:rsid w:val="007B41C9"/>
    <w:rsid w:val="007B4323"/>
    <w:rsid w:val="007B448A"/>
    <w:rsid w:val="007B4495"/>
    <w:rsid w:val="007B4643"/>
    <w:rsid w:val="007B4778"/>
    <w:rsid w:val="007B4A5F"/>
    <w:rsid w:val="007B4D55"/>
    <w:rsid w:val="007B5046"/>
    <w:rsid w:val="007B510D"/>
    <w:rsid w:val="007B57C5"/>
    <w:rsid w:val="007B5870"/>
    <w:rsid w:val="007B5E0E"/>
    <w:rsid w:val="007B6098"/>
    <w:rsid w:val="007B626C"/>
    <w:rsid w:val="007B66DF"/>
    <w:rsid w:val="007B6BE8"/>
    <w:rsid w:val="007B6C91"/>
    <w:rsid w:val="007B6F5C"/>
    <w:rsid w:val="007B7904"/>
    <w:rsid w:val="007C000B"/>
    <w:rsid w:val="007C065E"/>
    <w:rsid w:val="007C0882"/>
    <w:rsid w:val="007C0956"/>
    <w:rsid w:val="007C0A55"/>
    <w:rsid w:val="007C0AFA"/>
    <w:rsid w:val="007C0D7D"/>
    <w:rsid w:val="007C1054"/>
    <w:rsid w:val="007C13AB"/>
    <w:rsid w:val="007C13AF"/>
    <w:rsid w:val="007C15C5"/>
    <w:rsid w:val="007C1657"/>
    <w:rsid w:val="007C17A1"/>
    <w:rsid w:val="007C17FA"/>
    <w:rsid w:val="007C1FEF"/>
    <w:rsid w:val="007C210F"/>
    <w:rsid w:val="007C246D"/>
    <w:rsid w:val="007C24CB"/>
    <w:rsid w:val="007C25C4"/>
    <w:rsid w:val="007C27DD"/>
    <w:rsid w:val="007C30FC"/>
    <w:rsid w:val="007C328A"/>
    <w:rsid w:val="007C3382"/>
    <w:rsid w:val="007C33B6"/>
    <w:rsid w:val="007C341C"/>
    <w:rsid w:val="007C34DA"/>
    <w:rsid w:val="007C36A6"/>
    <w:rsid w:val="007C39FA"/>
    <w:rsid w:val="007C3D53"/>
    <w:rsid w:val="007C3F65"/>
    <w:rsid w:val="007C4018"/>
    <w:rsid w:val="007C4086"/>
    <w:rsid w:val="007C47CD"/>
    <w:rsid w:val="007C4913"/>
    <w:rsid w:val="007C4AA5"/>
    <w:rsid w:val="007C4D94"/>
    <w:rsid w:val="007C4E7A"/>
    <w:rsid w:val="007C5225"/>
    <w:rsid w:val="007C58F5"/>
    <w:rsid w:val="007C5D3F"/>
    <w:rsid w:val="007C6787"/>
    <w:rsid w:val="007C6E54"/>
    <w:rsid w:val="007C72A3"/>
    <w:rsid w:val="007C7338"/>
    <w:rsid w:val="007C7766"/>
    <w:rsid w:val="007C778D"/>
    <w:rsid w:val="007C7A53"/>
    <w:rsid w:val="007C7A88"/>
    <w:rsid w:val="007C7B33"/>
    <w:rsid w:val="007C7E92"/>
    <w:rsid w:val="007D02A9"/>
    <w:rsid w:val="007D042F"/>
    <w:rsid w:val="007D07D6"/>
    <w:rsid w:val="007D08AB"/>
    <w:rsid w:val="007D0E94"/>
    <w:rsid w:val="007D0F24"/>
    <w:rsid w:val="007D15F0"/>
    <w:rsid w:val="007D19D2"/>
    <w:rsid w:val="007D2291"/>
    <w:rsid w:val="007D23B7"/>
    <w:rsid w:val="007D256A"/>
    <w:rsid w:val="007D267D"/>
    <w:rsid w:val="007D29D0"/>
    <w:rsid w:val="007D29DB"/>
    <w:rsid w:val="007D2A10"/>
    <w:rsid w:val="007D325F"/>
    <w:rsid w:val="007D3390"/>
    <w:rsid w:val="007D370F"/>
    <w:rsid w:val="007D39F3"/>
    <w:rsid w:val="007D3AC1"/>
    <w:rsid w:val="007D3B7E"/>
    <w:rsid w:val="007D3E21"/>
    <w:rsid w:val="007D4543"/>
    <w:rsid w:val="007D4916"/>
    <w:rsid w:val="007D4AC6"/>
    <w:rsid w:val="007D51EE"/>
    <w:rsid w:val="007D55AD"/>
    <w:rsid w:val="007D56AF"/>
    <w:rsid w:val="007D5AD0"/>
    <w:rsid w:val="007D5CEF"/>
    <w:rsid w:val="007D614C"/>
    <w:rsid w:val="007D6687"/>
    <w:rsid w:val="007D6BA8"/>
    <w:rsid w:val="007D6E35"/>
    <w:rsid w:val="007D7063"/>
    <w:rsid w:val="007D728A"/>
    <w:rsid w:val="007D728D"/>
    <w:rsid w:val="007D7618"/>
    <w:rsid w:val="007D77FE"/>
    <w:rsid w:val="007D791D"/>
    <w:rsid w:val="007D7F2E"/>
    <w:rsid w:val="007E04C2"/>
    <w:rsid w:val="007E08F8"/>
    <w:rsid w:val="007E0D19"/>
    <w:rsid w:val="007E108D"/>
    <w:rsid w:val="007E230E"/>
    <w:rsid w:val="007E24ED"/>
    <w:rsid w:val="007E259A"/>
    <w:rsid w:val="007E25F5"/>
    <w:rsid w:val="007E27C2"/>
    <w:rsid w:val="007E2C9F"/>
    <w:rsid w:val="007E2E0C"/>
    <w:rsid w:val="007E2E16"/>
    <w:rsid w:val="007E30AC"/>
    <w:rsid w:val="007E3224"/>
    <w:rsid w:val="007E328F"/>
    <w:rsid w:val="007E37A8"/>
    <w:rsid w:val="007E3A1D"/>
    <w:rsid w:val="007E3A6D"/>
    <w:rsid w:val="007E3AE3"/>
    <w:rsid w:val="007E482D"/>
    <w:rsid w:val="007E49F3"/>
    <w:rsid w:val="007E4C8A"/>
    <w:rsid w:val="007E4D7A"/>
    <w:rsid w:val="007E51CA"/>
    <w:rsid w:val="007E527A"/>
    <w:rsid w:val="007E53B0"/>
    <w:rsid w:val="007E599B"/>
    <w:rsid w:val="007E5A8B"/>
    <w:rsid w:val="007E5E81"/>
    <w:rsid w:val="007E5FF8"/>
    <w:rsid w:val="007E629E"/>
    <w:rsid w:val="007E62B1"/>
    <w:rsid w:val="007E636C"/>
    <w:rsid w:val="007E692D"/>
    <w:rsid w:val="007E6A61"/>
    <w:rsid w:val="007E6B6A"/>
    <w:rsid w:val="007E6CBF"/>
    <w:rsid w:val="007E6E7A"/>
    <w:rsid w:val="007E6F87"/>
    <w:rsid w:val="007E7237"/>
    <w:rsid w:val="007E7383"/>
    <w:rsid w:val="007E7438"/>
    <w:rsid w:val="007E7D1C"/>
    <w:rsid w:val="007E7D21"/>
    <w:rsid w:val="007F02EC"/>
    <w:rsid w:val="007F0459"/>
    <w:rsid w:val="007F0716"/>
    <w:rsid w:val="007F0B16"/>
    <w:rsid w:val="007F0F97"/>
    <w:rsid w:val="007F13CC"/>
    <w:rsid w:val="007F1703"/>
    <w:rsid w:val="007F19DC"/>
    <w:rsid w:val="007F22B6"/>
    <w:rsid w:val="007F2360"/>
    <w:rsid w:val="007F253C"/>
    <w:rsid w:val="007F2A8E"/>
    <w:rsid w:val="007F2DB1"/>
    <w:rsid w:val="007F2EA4"/>
    <w:rsid w:val="007F2F88"/>
    <w:rsid w:val="007F348B"/>
    <w:rsid w:val="007F3504"/>
    <w:rsid w:val="007F3559"/>
    <w:rsid w:val="007F3CD2"/>
    <w:rsid w:val="007F415A"/>
    <w:rsid w:val="007F43C8"/>
    <w:rsid w:val="007F4415"/>
    <w:rsid w:val="007F48B4"/>
    <w:rsid w:val="007F4984"/>
    <w:rsid w:val="007F4CCC"/>
    <w:rsid w:val="007F4D1A"/>
    <w:rsid w:val="007F4D30"/>
    <w:rsid w:val="007F509A"/>
    <w:rsid w:val="007F5339"/>
    <w:rsid w:val="007F5641"/>
    <w:rsid w:val="007F56F2"/>
    <w:rsid w:val="007F5909"/>
    <w:rsid w:val="007F5C99"/>
    <w:rsid w:val="007F5F44"/>
    <w:rsid w:val="007F6004"/>
    <w:rsid w:val="007F6174"/>
    <w:rsid w:val="007F6209"/>
    <w:rsid w:val="007F6AD5"/>
    <w:rsid w:val="007F6C64"/>
    <w:rsid w:val="007F6E2E"/>
    <w:rsid w:val="007F7958"/>
    <w:rsid w:val="007F7C41"/>
    <w:rsid w:val="007F7FF9"/>
    <w:rsid w:val="00800585"/>
    <w:rsid w:val="008007CC"/>
    <w:rsid w:val="00800AA5"/>
    <w:rsid w:val="00800DC5"/>
    <w:rsid w:val="00801169"/>
    <w:rsid w:val="008012C2"/>
    <w:rsid w:val="0080137E"/>
    <w:rsid w:val="00801B90"/>
    <w:rsid w:val="00801F70"/>
    <w:rsid w:val="0080236D"/>
    <w:rsid w:val="00802477"/>
    <w:rsid w:val="00802690"/>
    <w:rsid w:val="00802A1D"/>
    <w:rsid w:val="00802AAD"/>
    <w:rsid w:val="00802BE9"/>
    <w:rsid w:val="00802CD4"/>
    <w:rsid w:val="00802D2B"/>
    <w:rsid w:val="00802D3C"/>
    <w:rsid w:val="00802E80"/>
    <w:rsid w:val="0080327C"/>
    <w:rsid w:val="008035CE"/>
    <w:rsid w:val="00803677"/>
    <w:rsid w:val="00803E03"/>
    <w:rsid w:val="0080411F"/>
    <w:rsid w:val="00804281"/>
    <w:rsid w:val="008044CA"/>
    <w:rsid w:val="0080453F"/>
    <w:rsid w:val="008045C8"/>
    <w:rsid w:val="0080466E"/>
    <w:rsid w:val="0080477D"/>
    <w:rsid w:val="0080488D"/>
    <w:rsid w:val="00804904"/>
    <w:rsid w:val="00804936"/>
    <w:rsid w:val="00804B18"/>
    <w:rsid w:val="00804CA3"/>
    <w:rsid w:val="00804F5A"/>
    <w:rsid w:val="008051F9"/>
    <w:rsid w:val="00805952"/>
    <w:rsid w:val="00805A8F"/>
    <w:rsid w:val="00805DBD"/>
    <w:rsid w:val="00805F0D"/>
    <w:rsid w:val="00805FB7"/>
    <w:rsid w:val="008061F6"/>
    <w:rsid w:val="00806A0F"/>
    <w:rsid w:val="00806C56"/>
    <w:rsid w:val="00806C5E"/>
    <w:rsid w:val="0080703D"/>
    <w:rsid w:val="00807F7A"/>
    <w:rsid w:val="00807F8B"/>
    <w:rsid w:val="008102BB"/>
    <w:rsid w:val="00810488"/>
    <w:rsid w:val="008106AC"/>
    <w:rsid w:val="008106D3"/>
    <w:rsid w:val="008106F8"/>
    <w:rsid w:val="00810AE1"/>
    <w:rsid w:val="00810BF7"/>
    <w:rsid w:val="00810F2B"/>
    <w:rsid w:val="008111AC"/>
    <w:rsid w:val="008115B4"/>
    <w:rsid w:val="0081177A"/>
    <w:rsid w:val="00812174"/>
    <w:rsid w:val="00812476"/>
    <w:rsid w:val="008125FC"/>
    <w:rsid w:val="00812CEC"/>
    <w:rsid w:val="00813108"/>
    <w:rsid w:val="0081317C"/>
    <w:rsid w:val="00813372"/>
    <w:rsid w:val="00813554"/>
    <w:rsid w:val="00813C11"/>
    <w:rsid w:val="00813C24"/>
    <w:rsid w:val="00815346"/>
    <w:rsid w:val="008158A9"/>
    <w:rsid w:val="00815D71"/>
    <w:rsid w:val="008160B1"/>
    <w:rsid w:val="008163D5"/>
    <w:rsid w:val="00816DCB"/>
    <w:rsid w:val="00817439"/>
    <w:rsid w:val="00817456"/>
    <w:rsid w:val="008175CE"/>
    <w:rsid w:val="008177A8"/>
    <w:rsid w:val="00817B43"/>
    <w:rsid w:val="00817B69"/>
    <w:rsid w:val="008203C6"/>
    <w:rsid w:val="008203D7"/>
    <w:rsid w:val="008205C2"/>
    <w:rsid w:val="008205D3"/>
    <w:rsid w:val="00820720"/>
    <w:rsid w:val="008209A2"/>
    <w:rsid w:val="00820D2F"/>
    <w:rsid w:val="00820E2F"/>
    <w:rsid w:val="0082108B"/>
    <w:rsid w:val="0082159F"/>
    <w:rsid w:val="00821B31"/>
    <w:rsid w:val="00821B57"/>
    <w:rsid w:val="00821EA3"/>
    <w:rsid w:val="0082269A"/>
    <w:rsid w:val="00822B85"/>
    <w:rsid w:val="00822BF7"/>
    <w:rsid w:val="00822F3C"/>
    <w:rsid w:val="008237C7"/>
    <w:rsid w:val="008237CE"/>
    <w:rsid w:val="00823F5B"/>
    <w:rsid w:val="00824608"/>
    <w:rsid w:val="0082596E"/>
    <w:rsid w:val="008259FD"/>
    <w:rsid w:val="00825DD8"/>
    <w:rsid w:val="0082620B"/>
    <w:rsid w:val="00826479"/>
    <w:rsid w:val="0082664E"/>
    <w:rsid w:val="0082681B"/>
    <w:rsid w:val="008268D2"/>
    <w:rsid w:val="00826B5B"/>
    <w:rsid w:val="00826E08"/>
    <w:rsid w:val="00826E8F"/>
    <w:rsid w:val="0082762F"/>
    <w:rsid w:val="0083006A"/>
    <w:rsid w:val="00830922"/>
    <w:rsid w:val="008309B6"/>
    <w:rsid w:val="00830AB0"/>
    <w:rsid w:val="00830CAC"/>
    <w:rsid w:val="00831269"/>
    <w:rsid w:val="00831916"/>
    <w:rsid w:val="00831A14"/>
    <w:rsid w:val="00831C77"/>
    <w:rsid w:val="00831D67"/>
    <w:rsid w:val="008322C5"/>
    <w:rsid w:val="0083245A"/>
    <w:rsid w:val="008328F9"/>
    <w:rsid w:val="008329DE"/>
    <w:rsid w:val="00832E61"/>
    <w:rsid w:val="00832FC2"/>
    <w:rsid w:val="00833025"/>
    <w:rsid w:val="008331AC"/>
    <w:rsid w:val="0083344D"/>
    <w:rsid w:val="00833485"/>
    <w:rsid w:val="00833D5A"/>
    <w:rsid w:val="00833ED6"/>
    <w:rsid w:val="0083425A"/>
    <w:rsid w:val="0083502D"/>
    <w:rsid w:val="008350BC"/>
    <w:rsid w:val="00835835"/>
    <w:rsid w:val="00835E53"/>
    <w:rsid w:val="008363AE"/>
    <w:rsid w:val="008365F3"/>
    <w:rsid w:val="008368B0"/>
    <w:rsid w:val="008369B8"/>
    <w:rsid w:val="00836F71"/>
    <w:rsid w:val="00837061"/>
    <w:rsid w:val="0083711B"/>
    <w:rsid w:val="00837306"/>
    <w:rsid w:val="0083786C"/>
    <w:rsid w:val="00837B51"/>
    <w:rsid w:val="00837DB2"/>
    <w:rsid w:val="008408E1"/>
    <w:rsid w:val="00840FA5"/>
    <w:rsid w:val="0084128D"/>
    <w:rsid w:val="008415E9"/>
    <w:rsid w:val="008419FC"/>
    <w:rsid w:val="00841E89"/>
    <w:rsid w:val="008421CA"/>
    <w:rsid w:val="00842D93"/>
    <w:rsid w:val="00842E31"/>
    <w:rsid w:val="00842F7F"/>
    <w:rsid w:val="00843277"/>
    <w:rsid w:val="00843391"/>
    <w:rsid w:val="0084348E"/>
    <w:rsid w:val="00843BDA"/>
    <w:rsid w:val="00843ECF"/>
    <w:rsid w:val="0084417F"/>
    <w:rsid w:val="0084424E"/>
    <w:rsid w:val="008448A2"/>
    <w:rsid w:val="00844AE8"/>
    <w:rsid w:val="00844B33"/>
    <w:rsid w:val="00844D92"/>
    <w:rsid w:val="00844F17"/>
    <w:rsid w:val="00844F2C"/>
    <w:rsid w:val="00844F5B"/>
    <w:rsid w:val="00845142"/>
    <w:rsid w:val="008457F7"/>
    <w:rsid w:val="008459C1"/>
    <w:rsid w:val="00845B17"/>
    <w:rsid w:val="0084603C"/>
    <w:rsid w:val="008462A1"/>
    <w:rsid w:val="008466DF"/>
    <w:rsid w:val="00847396"/>
    <w:rsid w:val="00847A77"/>
    <w:rsid w:val="00847D9C"/>
    <w:rsid w:val="008503A9"/>
    <w:rsid w:val="008506A0"/>
    <w:rsid w:val="00850A8F"/>
    <w:rsid w:val="00850D1D"/>
    <w:rsid w:val="0085114D"/>
    <w:rsid w:val="0085150E"/>
    <w:rsid w:val="0085195A"/>
    <w:rsid w:val="00851E28"/>
    <w:rsid w:val="00852127"/>
    <w:rsid w:val="00852179"/>
    <w:rsid w:val="00852234"/>
    <w:rsid w:val="008526C2"/>
    <w:rsid w:val="008527FF"/>
    <w:rsid w:val="0085286A"/>
    <w:rsid w:val="00852967"/>
    <w:rsid w:val="00852BA2"/>
    <w:rsid w:val="00852BAC"/>
    <w:rsid w:val="00852CCF"/>
    <w:rsid w:val="008531E3"/>
    <w:rsid w:val="008533C7"/>
    <w:rsid w:val="00853C9C"/>
    <w:rsid w:val="00854320"/>
    <w:rsid w:val="00854407"/>
    <w:rsid w:val="0085466B"/>
    <w:rsid w:val="00854938"/>
    <w:rsid w:val="00854C28"/>
    <w:rsid w:val="00854FFA"/>
    <w:rsid w:val="00855166"/>
    <w:rsid w:val="00855225"/>
    <w:rsid w:val="008556C3"/>
    <w:rsid w:val="00855728"/>
    <w:rsid w:val="008558A3"/>
    <w:rsid w:val="00855C7B"/>
    <w:rsid w:val="00855DB4"/>
    <w:rsid w:val="008560B4"/>
    <w:rsid w:val="008561B7"/>
    <w:rsid w:val="00856439"/>
    <w:rsid w:val="00856504"/>
    <w:rsid w:val="00856648"/>
    <w:rsid w:val="008566D3"/>
    <w:rsid w:val="008572AB"/>
    <w:rsid w:val="00857A2A"/>
    <w:rsid w:val="00857C01"/>
    <w:rsid w:val="00857E2C"/>
    <w:rsid w:val="00860261"/>
    <w:rsid w:val="00860448"/>
    <w:rsid w:val="00860624"/>
    <w:rsid w:val="008607D8"/>
    <w:rsid w:val="00860A55"/>
    <w:rsid w:val="008611A9"/>
    <w:rsid w:val="00861237"/>
    <w:rsid w:val="0086139F"/>
    <w:rsid w:val="008613C4"/>
    <w:rsid w:val="0086147A"/>
    <w:rsid w:val="008617C4"/>
    <w:rsid w:val="00861B3E"/>
    <w:rsid w:val="00861F89"/>
    <w:rsid w:val="008623E5"/>
    <w:rsid w:val="00862654"/>
    <w:rsid w:val="008628A9"/>
    <w:rsid w:val="00862A7E"/>
    <w:rsid w:val="00862D52"/>
    <w:rsid w:val="00862D60"/>
    <w:rsid w:val="00862F6B"/>
    <w:rsid w:val="00863757"/>
    <w:rsid w:val="0086382E"/>
    <w:rsid w:val="0086393F"/>
    <w:rsid w:val="0086443A"/>
    <w:rsid w:val="008644E0"/>
    <w:rsid w:val="00864895"/>
    <w:rsid w:val="00864A2B"/>
    <w:rsid w:val="0086538C"/>
    <w:rsid w:val="00865CC1"/>
    <w:rsid w:val="00865DF9"/>
    <w:rsid w:val="008664C3"/>
    <w:rsid w:val="00866931"/>
    <w:rsid w:val="00866D06"/>
    <w:rsid w:val="00866F22"/>
    <w:rsid w:val="00866F6D"/>
    <w:rsid w:val="00867048"/>
    <w:rsid w:val="00867102"/>
    <w:rsid w:val="0086732A"/>
    <w:rsid w:val="008673D6"/>
    <w:rsid w:val="00867CD3"/>
    <w:rsid w:val="00867EC2"/>
    <w:rsid w:val="00870263"/>
    <w:rsid w:val="008702F9"/>
    <w:rsid w:val="00870FA0"/>
    <w:rsid w:val="00871247"/>
    <w:rsid w:val="008717D1"/>
    <w:rsid w:val="0087191F"/>
    <w:rsid w:val="008719F1"/>
    <w:rsid w:val="00871FA3"/>
    <w:rsid w:val="00872038"/>
    <w:rsid w:val="00872289"/>
    <w:rsid w:val="00872445"/>
    <w:rsid w:val="008726BD"/>
    <w:rsid w:val="00872F06"/>
    <w:rsid w:val="0087312C"/>
    <w:rsid w:val="00873200"/>
    <w:rsid w:val="008732E7"/>
    <w:rsid w:val="008733B4"/>
    <w:rsid w:val="00874405"/>
    <w:rsid w:val="0087464D"/>
    <w:rsid w:val="008747AB"/>
    <w:rsid w:val="00874F06"/>
    <w:rsid w:val="00875B96"/>
    <w:rsid w:val="00875BD8"/>
    <w:rsid w:val="00875D70"/>
    <w:rsid w:val="00876E42"/>
    <w:rsid w:val="0087710E"/>
    <w:rsid w:val="00877359"/>
    <w:rsid w:val="0087745A"/>
    <w:rsid w:val="00877533"/>
    <w:rsid w:val="00877A59"/>
    <w:rsid w:val="00877BDD"/>
    <w:rsid w:val="00877C4D"/>
    <w:rsid w:val="00877F24"/>
    <w:rsid w:val="00880579"/>
    <w:rsid w:val="0088094B"/>
    <w:rsid w:val="00880C2B"/>
    <w:rsid w:val="00880EBE"/>
    <w:rsid w:val="008811C1"/>
    <w:rsid w:val="00881737"/>
    <w:rsid w:val="008817AC"/>
    <w:rsid w:val="0088181C"/>
    <w:rsid w:val="00881A0C"/>
    <w:rsid w:val="00881AE7"/>
    <w:rsid w:val="00881C6D"/>
    <w:rsid w:val="00881D1D"/>
    <w:rsid w:val="00881EBF"/>
    <w:rsid w:val="008823CC"/>
    <w:rsid w:val="0088252F"/>
    <w:rsid w:val="00882536"/>
    <w:rsid w:val="008828BC"/>
    <w:rsid w:val="008829E0"/>
    <w:rsid w:val="00882C17"/>
    <w:rsid w:val="00882F3E"/>
    <w:rsid w:val="00882F55"/>
    <w:rsid w:val="008830F4"/>
    <w:rsid w:val="0088339A"/>
    <w:rsid w:val="0088370E"/>
    <w:rsid w:val="00883BB9"/>
    <w:rsid w:val="00884828"/>
    <w:rsid w:val="00884D23"/>
    <w:rsid w:val="00884FD4"/>
    <w:rsid w:val="008850F9"/>
    <w:rsid w:val="00885347"/>
    <w:rsid w:val="008854CA"/>
    <w:rsid w:val="0088555D"/>
    <w:rsid w:val="008855D1"/>
    <w:rsid w:val="00885960"/>
    <w:rsid w:val="008863A2"/>
    <w:rsid w:val="00886550"/>
    <w:rsid w:val="00886692"/>
    <w:rsid w:val="00886B09"/>
    <w:rsid w:val="00886E13"/>
    <w:rsid w:val="00886E23"/>
    <w:rsid w:val="00886E91"/>
    <w:rsid w:val="008870F1"/>
    <w:rsid w:val="00887621"/>
    <w:rsid w:val="0088763A"/>
    <w:rsid w:val="00887E18"/>
    <w:rsid w:val="00887E67"/>
    <w:rsid w:val="00890076"/>
    <w:rsid w:val="00890079"/>
    <w:rsid w:val="0089029D"/>
    <w:rsid w:val="008905EE"/>
    <w:rsid w:val="00890B16"/>
    <w:rsid w:val="00890B73"/>
    <w:rsid w:val="00890E01"/>
    <w:rsid w:val="008912CA"/>
    <w:rsid w:val="0089168A"/>
    <w:rsid w:val="008916FE"/>
    <w:rsid w:val="008917B2"/>
    <w:rsid w:val="008918C2"/>
    <w:rsid w:val="008918D9"/>
    <w:rsid w:val="00891A8B"/>
    <w:rsid w:val="00891ACE"/>
    <w:rsid w:val="00891CA0"/>
    <w:rsid w:val="00891EAF"/>
    <w:rsid w:val="00892145"/>
    <w:rsid w:val="0089263F"/>
    <w:rsid w:val="00892730"/>
    <w:rsid w:val="008928EC"/>
    <w:rsid w:val="00892EA5"/>
    <w:rsid w:val="00892F56"/>
    <w:rsid w:val="0089356B"/>
    <w:rsid w:val="008938C9"/>
    <w:rsid w:val="0089390C"/>
    <w:rsid w:val="00893984"/>
    <w:rsid w:val="00893D2B"/>
    <w:rsid w:val="008942D4"/>
    <w:rsid w:val="00894625"/>
    <w:rsid w:val="0089469D"/>
    <w:rsid w:val="008948D9"/>
    <w:rsid w:val="008956DD"/>
    <w:rsid w:val="008957CE"/>
    <w:rsid w:val="00895EBC"/>
    <w:rsid w:val="0089620E"/>
    <w:rsid w:val="0089641E"/>
    <w:rsid w:val="00896482"/>
    <w:rsid w:val="00896489"/>
    <w:rsid w:val="00896AA4"/>
    <w:rsid w:val="00896D4C"/>
    <w:rsid w:val="008972AC"/>
    <w:rsid w:val="00897442"/>
    <w:rsid w:val="00897D86"/>
    <w:rsid w:val="008A02D2"/>
    <w:rsid w:val="008A045D"/>
    <w:rsid w:val="008A04A0"/>
    <w:rsid w:val="008A04C8"/>
    <w:rsid w:val="008A05C4"/>
    <w:rsid w:val="008A08D1"/>
    <w:rsid w:val="008A09E8"/>
    <w:rsid w:val="008A0C59"/>
    <w:rsid w:val="008A0D9F"/>
    <w:rsid w:val="008A12C6"/>
    <w:rsid w:val="008A130D"/>
    <w:rsid w:val="008A18F9"/>
    <w:rsid w:val="008A1939"/>
    <w:rsid w:val="008A1B68"/>
    <w:rsid w:val="008A1CC2"/>
    <w:rsid w:val="008A1DDA"/>
    <w:rsid w:val="008A1FF6"/>
    <w:rsid w:val="008A2313"/>
    <w:rsid w:val="008A25E1"/>
    <w:rsid w:val="008A2706"/>
    <w:rsid w:val="008A2B57"/>
    <w:rsid w:val="008A341A"/>
    <w:rsid w:val="008A386B"/>
    <w:rsid w:val="008A38F5"/>
    <w:rsid w:val="008A3946"/>
    <w:rsid w:val="008A3A5E"/>
    <w:rsid w:val="008A3E6A"/>
    <w:rsid w:val="008A3E85"/>
    <w:rsid w:val="008A44FF"/>
    <w:rsid w:val="008A4500"/>
    <w:rsid w:val="008A4A3D"/>
    <w:rsid w:val="008A4D78"/>
    <w:rsid w:val="008A5340"/>
    <w:rsid w:val="008A5481"/>
    <w:rsid w:val="008A5774"/>
    <w:rsid w:val="008A5A39"/>
    <w:rsid w:val="008A5EE4"/>
    <w:rsid w:val="008A633E"/>
    <w:rsid w:val="008A6438"/>
    <w:rsid w:val="008A6487"/>
    <w:rsid w:val="008A6D66"/>
    <w:rsid w:val="008A6E57"/>
    <w:rsid w:val="008A6EAB"/>
    <w:rsid w:val="008A7183"/>
    <w:rsid w:val="008A72B9"/>
    <w:rsid w:val="008A732C"/>
    <w:rsid w:val="008A7909"/>
    <w:rsid w:val="008A7995"/>
    <w:rsid w:val="008A7BFF"/>
    <w:rsid w:val="008A7CE5"/>
    <w:rsid w:val="008A7F8C"/>
    <w:rsid w:val="008B050E"/>
    <w:rsid w:val="008B05C4"/>
    <w:rsid w:val="008B0880"/>
    <w:rsid w:val="008B0C5B"/>
    <w:rsid w:val="008B0E11"/>
    <w:rsid w:val="008B1028"/>
    <w:rsid w:val="008B1753"/>
    <w:rsid w:val="008B1799"/>
    <w:rsid w:val="008B1A19"/>
    <w:rsid w:val="008B2528"/>
    <w:rsid w:val="008B2841"/>
    <w:rsid w:val="008B2A2E"/>
    <w:rsid w:val="008B2BAF"/>
    <w:rsid w:val="008B2C4B"/>
    <w:rsid w:val="008B2CCA"/>
    <w:rsid w:val="008B2F81"/>
    <w:rsid w:val="008B39AD"/>
    <w:rsid w:val="008B429D"/>
    <w:rsid w:val="008B458C"/>
    <w:rsid w:val="008B458D"/>
    <w:rsid w:val="008B469A"/>
    <w:rsid w:val="008B4AB9"/>
    <w:rsid w:val="008B4AE4"/>
    <w:rsid w:val="008B4CDA"/>
    <w:rsid w:val="008B4F70"/>
    <w:rsid w:val="008B564D"/>
    <w:rsid w:val="008B5D44"/>
    <w:rsid w:val="008B61CA"/>
    <w:rsid w:val="008B623E"/>
    <w:rsid w:val="008B668C"/>
    <w:rsid w:val="008B671F"/>
    <w:rsid w:val="008B6B10"/>
    <w:rsid w:val="008B6BC2"/>
    <w:rsid w:val="008B6E53"/>
    <w:rsid w:val="008B6F38"/>
    <w:rsid w:val="008B705A"/>
    <w:rsid w:val="008B7B38"/>
    <w:rsid w:val="008B7BDD"/>
    <w:rsid w:val="008B7C02"/>
    <w:rsid w:val="008B7C65"/>
    <w:rsid w:val="008B7CDA"/>
    <w:rsid w:val="008B7D2C"/>
    <w:rsid w:val="008C0029"/>
    <w:rsid w:val="008C0074"/>
    <w:rsid w:val="008C0234"/>
    <w:rsid w:val="008C03E9"/>
    <w:rsid w:val="008C041A"/>
    <w:rsid w:val="008C0457"/>
    <w:rsid w:val="008C0B3E"/>
    <w:rsid w:val="008C11D4"/>
    <w:rsid w:val="008C11EF"/>
    <w:rsid w:val="008C1260"/>
    <w:rsid w:val="008C15AA"/>
    <w:rsid w:val="008C16E9"/>
    <w:rsid w:val="008C1889"/>
    <w:rsid w:val="008C18B6"/>
    <w:rsid w:val="008C192E"/>
    <w:rsid w:val="008C1C41"/>
    <w:rsid w:val="008C1E0B"/>
    <w:rsid w:val="008C1F28"/>
    <w:rsid w:val="008C2066"/>
    <w:rsid w:val="008C20C9"/>
    <w:rsid w:val="008C2131"/>
    <w:rsid w:val="008C2179"/>
    <w:rsid w:val="008C250D"/>
    <w:rsid w:val="008C274A"/>
    <w:rsid w:val="008C27C4"/>
    <w:rsid w:val="008C2E42"/>
    <w:rsid w:val="008C325E"/>
    <w:rsid w:val="008C365D"/>
    <w:rsid w:val="008C36D2"/>
    <w:rsid w:val="008C3E44"/>
    <w:rsid w:val="008C42AC"/>
    <w:rsid w:val="008C42C5"/>
    <w:rsid w:val="008C43A6"/>
    <w:rsid w:val="008C447F"/>
    <w:rsid w:val="008C4499"/>
    <w:rsid w:val="008C4768"/>
    <w:rsid w:val="008C4905"/>
    <w:rsid w:val="008C491A"/>
    <w:rsid w:val="008C4A3F"/>
    <w:rsid w:val="008C4ADA"/>
    <w:rsid w:val="008C4C73"/>
    <w:rsid w:val="008C4E90"/>
    <w:rsid w:val="008C5163"/>
    <w:rsid w:val="008C5171"/>
    <w:rsid w:val="008C5195"/>
    <w:rsid w:val="008C5318"/>
    <w:rsid w:val="008C5778"/>
    <w:rsid w:val="008C5CA0"/>
    <w:rsid w:val="008C5F10"/>
    <w:rsid w:val="008C61D9"/>
    <w:rsid w:val="008C6782"/>
    <w:rsid w:val="008C7057"/>
    <w:rsid w:val="008C72C7"/>
    <w:rsid w:val="008C736A"/>
    <w:rsid w:val="008C739D"/>
    <w:rsid w:val="008C73B5"/>
    <w:rsid w:val="008C7565"/>
    <w:rsid w:val="008C7793"/>
    <w:rsid w:val="008C7FBB"/>
    <w:rsid w:val="008D02CD"/>
    <w:rsid w:val="008D076C"/>
    <w:rsid w:val="008D0DA8"/>
    <w:rsid w:val="008D0E84"/>
    <w:rsid w:val="008D106D"/>
    <w:rsid w:val="008D10C6"/>
    <w:rsid w:val="008D1182"/>
    <w:rsid w:val="008D17BF"/>
    <w:rsid w:val="008D198D"/>
    <w:rsid w:val="008D1E2F"/>
    <w:rsid w:val="008D1E92"/>
    <w:rsid w:val="008D20B2"/>
    <w:rsid w:val="008D2127"/>
    <w:rsid w:val="008D21B7"/>
    <w:rsid w:val="008D3803"/>
    <w:rsid w:val="008D3F85"/>
    <w:rsid w:val="008D44AD"/>
    <w:rsid w:val="008D45E5"/>
    <w:rsid w:val="008D515D"/>
    <w:rsid w:val="008D5189"/>
    <w:rsid w:val="008D577B"/>
    <w:rsid w:val="008D5C33"/>
    <w:rsid w:val="008D616E"/>
    <w:rsid w:val="008D64CB"/>
    <w:rsid w:val="008D6920"/>
    <w:rsid w:val="008D694F"/>
    <w:rsid w:val="008D6A27"/>
    <w:rsid w:val="008D6E55"/>
    <w:rsid w:val="008D70D9"/>
    <w:rsid w:val="008D70E9"/>
    <w:rsid w:val="008D7434"/>
    <w:rsid w:val="008D7793"/>
    <w:rsid w:val="008D7AD3"/>
    <w:rsid w:val="008D7B62"/>
    <w:rsid w:val="008D7D1E"/>
    <w:rsid w:val="008D7D44"/>
    <w:rsid w:val="008E012B"/>
    <w:rsid w:val="008E01AE"/>
    <w:rsid w:val="008E04B5"/>
    <w:rsid w:val="008E0BA3"/>
    <w:rsid w:val="008E0E49"/>
    <w:rsid w:val="008E168F"/>
    <w:rsid w:val="008E184C"/>
    <w:rsid w:val="008E2003"/>
    <w:rsid w:val="008E217A"/>
    <w:rsid w:val="008E2655"/>
    <w:rsid w:val="008E267C"/>
    <w:rsid w:val="008E2BFE"/>
    <w:rsid w:val="008E2EEC"/>
    <w:rsid w:val="008E33D5"/>
    <w:rsid w:val="008E3770"/>
    <w:rsid w:val="008E391D"/>
    <w:rsid w:val="008E4651"/>
    <w:rsid w:val="008E466A"/>
    <w:rsid w:val="008E466F"/>
    <w:rsid w:val="008E4BD1"/>
    <w:rsid w:val="008E5165"/>
    <w:rsid w:val="008E5386"/>
    <w:rsid w:val="008E5E8A"/>
    <w:rsid w:val="008E6111"/>
    <w:rsid w:val="008E6523"/>
    <w:rsid w:val="008E689B"/>
    <w:rsid w:val="008E6C92"/>
    <w:rsid w:val="008E741B"/>
    <w:rsid w:val="008E76A3"/>
    <w:rsid w:val="008E770A"/>
    <w:rsid w:val="008E7AAC"/>
    <w:rsid w:val="008F0035"/>
    <w:rsid w:val="008F00A9"/>
    <w:rsid w:val="008F0306"/>
    <w:rsid w:val="008F056D"/>
    <w:rsid w:val="008F0AA4"/>
    <w:rsid w:val="008F0C73"/>
    <w:rsid w:val="008F0CE0"/>
    <w:rsid w:val="008F0D58"/>
    <w:rsid w:val="008F0E74"/>
    <w:rsid w:val="008F0F83"/>
    <w:rsid w:val="008F1058"/>
    <w:rsid w:val="008F109E"/>
    <w:rsid w:val="008F13E1"/>
    <w:rsid w:val="008F1437"/>
    <w:rsid w:val="008F143E"/>
    <w:rsid w:val="008F1452"/>
    <w:rsid w:val="008F14BA"/>
    <w:rsid w:val="008F1540"/>
    <w:rsid w:val="008F19C6"/>
    <w:rsid w:val="008F1A47"/>
    <w:rsid w:val="008F1A68"/>
    <w:rsid w:val="008F2374"/>
    <w:rsid w:val="008F26D6"/>
    <w:rsid w:val="008F2767"/>
    <w:rsid w:val="008F288F"/>
    <w:rsid w:val="008F28E6"/>
    <w:rsid w:val="008F28F9"/>
    <w:rsid w:val="008F2E44"/>
    <w:rsid w:val="008F3802"/>
    <w:rsid w:val="008F3837"/>
    <w:rsid w:val="008F3E65"/>
    <w:rsid w:val="008F46CA"/>
    <w:rsid w:val="008F4B01"/>
    <w:rsid w:val="008F4CBE"/>
    <w:rsid w:val="008F4D65"/>
    <w:rsid w:val="008F5604"/>
    <w:rsid w:val="008F571A"/>
    <w:rsid w:val="008F572C"/>
    <w:rsid w:val="008F5764"/>
    <w:rsid w:val="008F5826"/>
    <w:rsid w:val="008F58C5"/>
    <w:rsid w:val="008F5AB7"/>
    <w:rsid w:val="008F5AF2"/>
    <w:rsid w:val="008F5CB3"/>
    <w:rsid w:val="008F5CC0"/>
    <w:rsid w:val="008F5D8C"/>
    <w:rsid w:val="008F62C3"/>
    <w:rsid w:val="008F64B4"/>
    <w:rsid w:val="008F6836"/>
    <w:rsid w:val="008F6940"/>
    <w:rsid w:val="008F6C53"/>
    <w:rsid w:val="008F6FEC"/>
    <w:rsid w:val="008F71D0"/>
    <w:rsid w:val="008F736F"/>
    <w:rsid w:val="008F74EB"/>
    <w:rsid w:val="008F7A85"/>
    <w:rsid w:val="008F7BB8"/>
    <w:rsid w:val="008F7FC4"/>
    <w:rsid w:val="009000F1"/>
    <w:rsid w:val="009002DA"/>
    <w:rsid w:val="00900A1B"/>
    <w:rsid w:val="00900A6E"/>
    <w:rsid w:val="00900CCB"/>
    <w:rsid w:val="00900FA0"/>
    <w:rsid w:val="00900FAA"/>
    <w:rsid w:val="00901620"/>
    <w:rsid w:val="0090179B"/>
    <w:rsid w:val="00901866"/>
    <w:rsid w:val="00901B4E"/>
    <w:rsid w:val="00901CED"/>
    <w:rsid w:val="00901E37"/>
    <w:rsid w:val="00902164"/>
    <w:rsid w:val="00902409"/>
    <w:rsid w:val="0090240B"/>
    <w:rsid w:val="009027F6"/>
    <w:rsid w:val="00902ADA"/>
    <w:rsid w:val="00903A0D"/>
    <w:rsid w:val="00903C11"/>
    <w:rsid w:val="00904266"/>
    <w:rsid w:val="00904355"/>
    <w:rsid w:val="009048CD"/>
    <w:rsid w:val="00904963"/>
    <w:rsid w:val="009049DD"/>
    <w:rsid w:val="00904FBB"/>
    <w:rsid w:val="00905118"/>
    <w:rsid w:val="0090577C"/>
    <w:rsid w:val="00905FB2"/>
    <w:rsid w:val="0090667B"/>
    <w:rsid w:val="00906E3F"/>
    <w:rsid w:val="009070E2"/>
    <w:rsid w:val="00907156"/>
    <w:rsid w:val="009071AB"/>
    <w:rsid w:val="00907453"/>
    <w:rsid w:val="0090764C"/>
    <w:rsid w:val="00907731"/>
    <w:rsid w:val="009077A2"/>
    <w:rsid w:val="00907865"/>
    <w:rsid w:val="00907C60"/>
    <w:rsid w:val="00907D6A"/>
    <w:rsid w:val="00907E30"/>
    <w:rsid w:val="0091027F"/>
    <w:rsid w:val="0091051C"/>
    <w:rsid w:val="0091094C"/>
    <w:rsid w:val="00910BD1"/>
    <w:rsid w:val="00910CA0"/>
    <w:rsid w:val="009111B4"/>
    <w:rsid w:val="009111D2"/>
    <w:rsid w:val="009115A9"/>
    <w:rsid w:val="009115DB"/>
    <w:rsid w:val="00911FF9"/>
    <w:rsid w:val="009122B7"/>
    <w:rsid w:val="0091236B"/>
    <w:rsid w:val="009127EF"/>
    <w:rsid w:val="009128A7"/>
    <w:rsid w:val="009128BF"/>
    <w:rsid w:val="009129C7"/>
    <w:rsid w:val="00912FB8"/>
    <w:rsid w:val="00913230"/>
    <w:rsid w:val="009137B9"/>
    <w:rsid w:val="00913857"/>
    <w:rsid w:val="00913DDC"/>
    <w:rsid w:val="00913F43"/>
    <w:rsid w:val="00913FDB"/>
    <w:rsid w:val="009140E9"/>
    <w:rsid w:val="009141F9"/>
    <w:rsid w:val="00914809"/>
    <w:rsid w:val="00914922"/>
    <w:rsid w:val="00914963"/>
    <w:rsid w:val="00914A5B"/>
    <w:rsid w:val="00914D40"/>
    <w:rsid w:val="00914E77"/>
    <w:rsid w:val="00914E9D"/>
    <w:rsid w:val="00914EE8"/>
    <w:rsid w:val="0091505F"/>
    <w:rsid w:val="00915075"/>
    <w:rsid w:val="009150BA"/>
    <w:rsid w:val="009150D3"/>
    <w:rsid w:val="0091585F"/>
    <w:rsid w:val="00915C68"/>
    <w:rsid w:val="00916080"/>
    <w:rsid w:val="00916171"/>
    <w:rsid w:val="009164EC"/>
    <w:rsid w:val="009164FB"/>
    <w:rsid w:val="00917121"/>
    <w:rsid w:val="009171AF"/>
    <w:rsid w:val="009172F4"/>
    <w:rsid w:val="0091774C"/>
    <w:rsid w:val="00917815"/>
    <w:rsid w:val="009178AA"/>
    <w:rsid w:val="009201AD"/>
    <w:rsid w:val="00920300"/>
    <w:rsid w:val="009206DB"/>
    <w:rsid w:val="009207CD"/>
    <w:rsid w:val="00920927"/>
    <w:rsid w:val="0092095A"/>
    <w:rsid w:val="00920C4C"/>
    <w:rsid w:val="00920DD2"/>
    <w:rsid w:val="00920E18"/>
    <w:rsid w:val="009210D3"/>
    <w:rsid w:val="009213E3"/>
    <w:rsid w:val="009213FE"/>
    <w:rsid w:val="009214A3"/>
    <w:rsid w:val="0092169E"/>
    <w:rsid w:val="00921B4F"/>
    <w:rsid w:val="00921B61"/>
    <w:rsid w:val="009224A8"/>
    <w:rsid w:val="009226F4"/>
    <w:rsid w:val="009228E1"/>
    <w:rsid w:val="00922A64"/>
    <w:rsid w:val="009232F7"/>
    <w:rsid w:val="009237DF"/>
    <w:rsid w:val="00923853"/>
    <w:rsid w:val="009239D0"/>
    <w:rsid w:val="00924123"/>
    <w:rsid w:val="00924147"/>
    <w:rsid w:val="00924281"/>
    <w:rsid w:val="0092444F"/>
    <w:rsid w:val="0092457D"/>
    <w:rsid w:val="009247D7"/>
    <w:rsid w:val="00924C81"/>
    <w:rsid w:val="0092570C"/>
    <w:rsid w:val="00925757"/>
    <w:rsid w:val="00925939"/>
    <w:rsid w:val="0092598D"/>
    <w:rsid w:val="00925C2C"/>
    <w:rsid w:val="00925D90"/>
    <w:rsid w:val="00925DA0"/>
    <w:rsid w:val="00925F95"/>
    <w:rsid w:val="00926879"/>
    <w:rsid w:val="00926899"/>
    <w:rsid w:val="00926B99"/>
    <w:rsid w:val="00926D83"/>
    <w:rsid w:val="00926E21"/>
    <w:rsid w:val="00927468"/>
    <w:rsid w:val="00927514"/>
    <w:rsid w:val="00927878"/>
    <w:rsid w:val="00927DAD"/>
    <w:rsid w:val="009303E9"/>
    <w:rsid w:val="00930679"/>
    <w:rsid w:val="009306F3"/>
    <w:rsid w:val="00930A15"/>
    <w:rsid w:val="00930CBA"/>
    <w:rsid w:val="00930D8D"/>
    <w:rsid w:val="00931521"/>
    <w:rsid w:val="0093167D"/>
    <w:rsid w:val="00931908"/>
    <w:rsid w:val="009319E1"/>
    <w:rsid w:val="009321AD"/>
    <w:rsid w:val="00932B25"/>
    <w:rsid w:val="00932BDF"/>
    <w:rsid w:val="00933058"/>
    <w:rsid w:val="0093310C"/>
    <w:rsid w:val="00933226"/>
    <w:rsid w:val="00933277"/>
    <w:rsid w:val="00933421"/>
    <w:rsid w:val="009334FC"/>
    <w:rsid w:val="00933841"/>
    <w:rsid w:val="00933A04"/>
    <w:rsid w:val="009343E3"/>
    <w:rsid w:val="00934B57"/>
    <w:rsid w:val="00934BE9"/>
    <w:rsid w:val="009353F9"/>
    <w:rsid w:val="009354D3"/>
    <w:rsid w:val="00935A51"/>
    <w:rsid w:val="00935A5B"/>
    <w:rsid w:val="00935A5E"/>
    <w:rsid w:val="00936315"/>
    <w:rsid w:val="0093654B"/>
    <w:rsid w:val="009366D4"/>
    <w:rsid w:val="00936AA8"/>
    <w:rsid w:val="00936F12"/>
    <w:rsid w:val="00937066"/>
    <w:rsid w:val="009401CE"/>
    <w:rsid w:val="0094059C"/>
    <w:rsid w:val="009414CF"/>
    <w:rsid w:val="009416F1"/>
    <w:rsid w:val="00941744"/>
    <w:rsid w:val="00941791"/>
    <w:rsid w:val="009418DC"/>
    <w:rsid w:val="0094191A"/>
    <w:rsid w:val="00941AD5"/>
    <w:rsid w:val="00941DF7"/>
    <w:rsid w:val="00941EC3"/>
    <w:rsid w:val="009422AA"/>
    <w:rsid w:val="009422F6"/>
    <w:rsid w:val="00942801"/>
    <w:rsid w:val="00942E26"/>
    <w:rsid w:val="00943328"/>
    <w:rsid w:val="00943562"/>
    <w:rsid w:val="00943B3E"/>
    <w:rsid w:val="0094404D"/>
    <w:rsid w:val="00944467"/>
    <w:rsid w:val="00944F74"/>
    <w:rsid w:val="009453C3"/>
    <w:rsid w:val="00945820"/>
    <w:rsid w:val="00945D38"/>
    <w:rsid w:val="0094657E"/>
    <w:rsid w:val="00946773"/>
    <w:rsid w:val="00946A67"/>
    <w:rsid w:val="00946AB7"/>
    <w:rsid w:val="0094701A"/>
    <w:rsid w:val="009477BF"/>
    <w:rsid w:val="009506C8"/>
    <w:rsid w:val="009507DE"/>
    <w:rsid w:val="0095080A"/>
    <w:rsid w:val="00950A20"/>
    <w:rsid w:val="00950ACE"/>
    <w:rsid w:val="00950E65"/>
    <w:rsid w:val="00952014"/>
    <w:rsid w:val="00953542"/>
    <w:rsid w:val="009538CF"/>
    <w:rsid w:val="00953927"/>
    <w:rsid w:val="00953BEC"/>
    <w:rsid w:val="00953C16"/>
    <w:rsid w:val="009546C4"/>
    <w:rsid w:val="0095470F"/>
    <w:rsid w:val="009548F8"/>
    <w:rsid w:val="00954BBF"/>
    <w:rsid w:val="00954C9D"/>
    <w:rsid w:val="0095524B"/>
    <w:rsid w:val="0095558D"/>
    <w:rsid w:val="009556ED"/>
    <w:rsid w:val="00955AE7"/>
    <w:rsid w:val="00955B6A"/>
    <w:rsid w:val="00955C51"/>
    <w:rsid w:val="00955D1C"/>
    <w:rsid w:val="00955D3A"/>
    <w:rsid w:val="00955D82"/>
    <w:rsid w:val="00955E07"/>
    <w:rsid w:val="0095644E"/>
    <w:rsid w:val="00956550"/>
    <w:rsid w:val="00956A92"/>
    <w:rsid w:val="00956CB1"/>
    <w:rsid w:val="00956F9D"/>
    <w:rsid w:val="00957004"/>
    <w:rsid w:val="009570A6"/>
    <w:rsid w:val="00957355"/>
    <w:rsid w:val="0095748D"/>
    <w:rsid w:val="00957C29"/>
    <w:rsid w:val="00957C8B"/>
    <w:rsid w:val="00960676"/>
    <w:rsid w:val="00960798"/>
    <w:rsid w:val="009608FB"/>
    <w:rsid w:val="009609C0"/>
    <w:rsid w:val="00960BFA"/>
    <w:rsid w:val="00960EF3"/>
    <w:rsid w:val="009610D7"/>
    <w:rsid w:val="009613E2"/>
    <w:rsid w:val="00961C6B"/>
    <w:rsid w:val="00962010"/>
    <w:rsid w:val="009621BA"/>
    <w:rsid w:val="00962280"/>
    <w:rsid w:val="00962351"/>
    <w:rsid w:val="00962531"/>
    <w:rsid w:val="00962605"/>
    <w:rsid w:val="009626F9"/>
    <w:rsid w:val="009629DE"/>
    <w:rsid w:val="00962A39"/>
    <w:rsid w:val="009632FA"/>
    <w:rsid w:val="00963384"/>
    <w:rsid w:val="00963AAC"/>
    <w:rsid w:val="00963D34"/>
    <w:rsid w:val="00963F2F"/>
    <w:rsid w:val="009643D2"/>
    <w:rsid w:val="00964610"/>
    <w:rsid w:val="00964873"/>
    <w:rsid w:val="00964AEA"/>
    <w:rsid w:val="00964CBD"/>
    <w:rsid w:val="00964D2E"/>
    <w:rsid w:val="00964F9E"/>
    <w:rsid w:val="00965241"/>
    <w:rsid w:val="00965A75"/>
    <w:rsid w:val="00965F7B"/>
    <w:rsid w:val="00965FEE"/>
    <w:rsid w:val="00966447"/>
    <w:rsid w:val="0096685B"/>
    <w:rsid w:val="00966A1C"/>
    <w:rsid w:val="00966E55"/>
    <w:rsid w:val="00967005"/>
    <w:rsid w:val="0096729D"/>
    <w:rsid w:val="009679EC"/>
    <w:rsid w:val="00967B2A"/>
    <w:rsid w:val="00967D14"/>
    <w:rsid w:val="00967D8E"/>
    <w:rsid w:val="00967F90"/>
    <w:rsid w:val="00967F9D"/>
    <w:rsid w:val="0097014E"/>
    <w:rsid w:val="009701D1"/>
    <w:rsid w:val="0097020E"/>
    <w:rsid w:val="009704B6"/>
    <w:rsid w:val="009706B6"/>
    <w:rsid w:val="00970EAF"/>
    <w:rsid w:val="0097187D"/>
    <w:rsid w:val="009719DF"/>
    <w:rsid w:val="00971AC1"/>
    <w:rsid w:val="00971E36"/>
    <w:rsid w:val="00971EC6"/>
    <w:rsid w:val="00971F2C"/>
    <w:rsid w:val="00972521"/>
    <w:rsid w:val="0097277E"/>
    <w:rsid w:val="00972C77"/>
    <w:rsid w:val="009731AA"/>
    <w:rsid w:val="009732F8"/>
    <w:rsid w:val="009733CF"/>
    <w:rsid w:val="00973765"/>
    <w:rsid w:val="009738A5"/>
    <w:rsid w:val="0097392E"/>
    <w:rsid w:val="00973C9E"/>
    <w:rsid w:val="00974383"/>
    <w:rsid w:val="0097443C"/>
    <w:rsid w:val="009747A3"/>
    <w:rsid w:val="00974A57"/>
    <w:rsid w:val="00974AAF"/>
    <w:rsid w:val="00974D6D"/>
    <w:rsid w:val="00974E57"/>
    <w:rsid w:val="00974F20"/>
    <w:rsid w:val="00974F3E"/>
    <w:rsid w:val="00975004"/>
    <w:rsid w:val="009752C3"/>
    <w:rsid w:val="00975613"/>
    <w:rsid w:val="0097566E"/>
    <w:rsid w:val="00975700"/>
    <w:rsid w:val="00975A19"/>
    <w:rsid w:val="00975A1C"/>
    <w:rsid w:val="00975CDB"/>
    <w:rsid w:val="00975EEC"/>
    <w:rsid w:val="00976C3B"/>
    <w:rsid w:val="00976F6B"/>
    <w:rsid w:val="009771FA"/>
    <w:rsid w:val="0097774F"/>
    <w:rsid w:val="00977836"/>
    <w:rsid w:val="00977B00"/>
    <w:rsid w:val="00977BF0"/>
    <w:rsid w:val="00977F12"/>
    <w:rsid w:val="00977F94"/>
    <w:rsid w:val="00980010"/>
    <w:rsid w:val="009802A8"/>
    <w:rsid w:val="009803A6"/>
    <w:rsid w:val="00980DF5"/>
    <w:rsid w:val="00981013"/>
    <w:rsid w:val="00981771"/>
    <w:rsid w:val="00981774"/>
    <w:rsid w:val="00981795"/>
    <w:rsid w:val="00981A0B"/>
    <w:rsid w:val="00981BD3"/>
    <w:rsid w:val="00981C66"/>
    <w:rsid w:val="00981CBE"/>
    <w:rsid w:val="00981D8B"/>
    <w:rsid w:val="00981F74"/>
    <w:rsid w:val="0098283D"/>
    <w:rsid w:val="009829F5"/>
    <w:rsid w:val="00982CD8"/>
    <w:rsid w:val="00982DFC"/>
    <w:rsid w:val="00982F30"/>
    <w:rsid w:val="00982F81"/>
    <w:rsid w:val="009833F5"/>
    <w:rsid w:val="00983A9B"/>
    <w:rsid w:val="00983E9B"/>
    <w:rsid w:val="00984218"/>
    <w:rsid w:val="009842BE"/>
    <w:rsid w:val="009846B8"/>
    <w:rsid w:val="009846F5"/>
    <w:rsid w:val="00984882"/>
    <w:rsid w:val="009848B8"/>
    <w:rsid w:val="0098508D"/>
    <w:rsid w:val="00985265"/>
    <w:rsid w:val="0098586B"/>
    <w:rsid w:val="00985968"/>
    <w:rsid w:val="00985E87"/>
    <w:rsid w:val="00985E9D"/>
    <w:rsid w:val="00985F6E"/>
    <w:rsid w:val="00986337"/>
    <w:rsid w:val="0098664C"/>
    <w:rsid w:val="009868CB"/>
    <w:rsid w:val="00986FAF"/>
    <w:rsid w:val="00987260"/>
    <w:rsid w:val="009874E7"/>
    <w:rsid w:val="009878A4"/>
    <w:rsid w:val="0098797C"/>
    <w:rsid w:val="00987ACD"/>
    <w:rsid w:val="00987B4B"/>
    <w:rsid w:val="00987DB8"/>
    <w:rsid w:val="00987DE8"/>
    <w:rsid w:val="00987E01"/>
    <w:rsid w:val="00990268"/>
    <w:rsid w:val="009907DD"/>
    <w:rsid w:val="0099095E"/>
    <w:rsid w:val="00990DB3"/>
    <w:rsid w:val="009911A2"/>
    <w:rsid w:val="00991363"/>
    <w:rsid w:val="00991417"/>
    <w:rsid w:val="009915F8"/>
    <w:rsid w:val="00991CB7"/>
    <w:rsid w:val="00991D8F"/>
    <w:rsid w:val="00991F51"/>
    <w:rsid w:val="00992045"/>
    <w:rsid w:val="009920FD"/>
    <w:rsid w:val="009923C5"/>
    <w:rsid w:val="00992785"/>
    <w:rsid w:val="009927DD"/>
    <w:rsid w:val="0099287D"/>
    <w:rsid w:val="00992D32"/>
    <w:rsid w:val="009932A6"/>
    <w:rsid w:val="009933F1"/>
    <w:rsid w:val="00993AD1"/>
    <w:rsid w:val="00993EE3"/>
    <w:rsid w:val="00993FE8"/>
    <w:rsid w:val="009940F4"/>
    <w:rsid w:val="00994175"/>
    <w:rsid w:val="0099479F"/>
    <w:rsid w:val="00994940"/>
    <w:rsid w:val="00994B54"/>
    <w:rsid w:val="00995494"/>
    <w:rsid w:val="0099563D"/>
    <w:rsid w:val="0099567D"/>
    <w:rsid w:val="0099567E"/>
    <w:rsid w:val="009958A9"/>
    <w:rsid w:val="009958FA"/>
    <w:rsid w:val="00995A8E"/>
    <w:rsid w:val="009965DF"/>
    <w:rsid w:val="00996652"/>
    <w:rsid w:val="009967CD"/>
    <w:rsid w:val="00996889"/>
    <w:rsid w:val="0099699F"/>
    <w:rsid w:val="00996FDA"/>
    <w:rsid w:val="00997071"/>
    <w:rsid w:val="009974AB"/>
    <w:rsid w:val="00997694"/>
    <w:rsid w:val="009A00E2"/>
    <w:rsid w:val="009A07C1"/>
    <w:rsid w:val="009A0A58"/>
    <w:rsid w:val="009A0BCB"/>
    <w:rsid w:val="009A0D92"/>
    <w:rsid w:val="009A0DCD"/>
    <w:rsid w:val="009A0EE9"/>
    <w:rsid w:val="009A102A"/>
    <w:rsid w:val="009A11C4"/>
    <w:rsid w:val="009A12D4"/>
    <w:rsid w:val="009A143E"/>
    <w:rsid w:val="009A1935"/>
    <w:rsid w:val="009A1CE0"/>
    <w:rsid w:val="009A2151"/>
    <w:rsid w:val="009A2153"/>
    <w:rsid w:val="009A21F8"/>
    <w:rsid w:val="009A266A"/>
    <w:rsid w:val="009A27A4"/>
    <w:rsid w:val="009A2BFD"/>
    <w:rsid w:val="009A2C77"/>
    <w:rsid w:val="009A2D88"/>
    <w:rsid w:val="009A2EC8"/>
    <w:rsid w:val="009A3771"/>
    <w:rsid w:val="009A3A65"/>
    <w:rsid w:val="009A3CEF"/>
    <w:rsid w:val="009A41E0"/>
    <w:rsid w:val="009A4365"/>
    <w:rsid w:val="009A43D9"/>
    <w:rsid w:val="009A4475"/>
    <w:rsid w:val="009A46F8"/>
    <w:rsid w:val="009A4843"/>
    <w:rsid w:val="009A48BE"/>
    <w:rsid w:val="009A51A7"/>
    <w:rsid w:val="009A5434"/>
    <w:rsid w:val="009A5492"/>
    <w:rsid w:val="009A5947"/>
    <w:rsid w:val="009A5B5E"/>
    <w:rsid w:val="009A5E12"/>
    <w:rsid w:val="009A5E19"/>
    <w:rsid w:val="009A5F80"/>
    <w:rsid w:val="009A6121"/>
    <w:rsid w:val="009A63E3"/>
    <w:rsid w:val="009A63EB"/>
    <w:rsid w:val="009A646C"/>
    <w:rsid w:val="009A6500"/>
    <w:rsid w:val="009A696A"/>
    <w:rsid w:val="009A6B09"/>
    <w:rsid w:val="009A6C90"/>
    <w:rsid w:val="009A6D51"/>
    <w:rsid w:val="009A72C9"/>
    <w:rsid w:val="009A7376"/>
    <w:rsid w:val="009A7809"/>
    <w:rsid w:val="009A79B4"/>
    <w:rsid w:val="009A7B72"/>
    <w:rsid w:val="009A7D9B"/>
    <w:rsid w:val="009B0174"/>
    <w:rsid w:val="009B033E"/>
    <w:rsid w:val="009B056F"/>
    <w:rsid w:val="009B07C9"/>
    <w:rsid w:val="009B0A91"/>
    <w:rsid w:val="009B0DAF"/>
    <w:rsid w:val="009B1130"/>
    <w:rsid w:val="009B1D4D"/>
    <w:rsid w:val="009B1D96"/>
    <w:rsid w:val="009B223E"/>
    <w:rsid w:val="009B28AC"/>
    <w:rsid w:val="009B29BD"/>
    <w:rsid w:val="009B2CD5"/>
    <w:rsid w:val="009B2F13"/>
    <w:rsid w:val="009B3403"/>
    <w:rsid w:val="009B346C"/>
    <w:rsid w:val="009B3A71"/>
    <w:rsid w:val="009B42FD"/>
    <w:rsid w:val="009B4386"/>
    <w:rsid w:val="009B4BF9"/>
    <w:rsid w:val="009B4C90"/>
    <w:rsid w:val="009B4D43"/>
    <w:rsid w:val="009B50CC"/>
    <w:rsid w:val="009B516C"/>
    <w:rsid w:val="009B5273"/>
    <w:rsid w:val="009B5712"/>
    <w:rsid w:val="009B62C8"/>
    <w:rsid w:val="009B64E5"/>
    <w:rsid w:val="009B6A59"/>
    <w:rsid w:val="009B6CAD"/>
    <w:rsid w:val="009B6F86"/>
    <w:rsid w:val="009B74E3"/>
    <w:rsid w:val="009B74EC"/>
    <w:rsid w:val="009B7DB1"/>
    <w:rsid w:val="009B7E43"/>
    <w:rsid w:val="009C0874"/>
    <w:rsid w:val="009C0880"/>
    <w:rsid w:val="009C0B64"/>
    <w:rsid w:val="009C0FA9"/>
    <w:rsid w:val="009C1A03"/>
    <w:rsid w:val="009C1B8B"/>
    <w:rsid w:val="009C1B92"/>
    <w:rsid w:val="009C1D58"/>
    <w:rsid w:val="009C1E74"/>
    <w:rsid w:val="009C23C2"/>
    <w:rsid w:val="009C2934"/>
    <w:rsid w:val="009C2C04"/>
    <w:rsid w:val="009C302D"/>
    <w:rsid w:val="009C3070"/>
    <w:rsid w:val="009C3992"/>
    <w:rsid w:val="009C3B0D"/>
    <w:rsid w:val="009C3E20"/>
    <w:rsid w:val="009C4253"/>
    <w:rsid w:val="009C4339"/>
    <w:rsid w:val="009C4444"/>
    <w:rsid w:val="009C44D4"/>
    <w:rsid w:val="009C4A29"/>
    <w:rsid w:val="009C4C40"/>
    <w:rsid w:val="009C4E78"/>
    <w:rsid w:val="009C5112"/>
    <w:rsid w:val="009C5179"/>
    <w:rsid w:val="009C535C"/>
    <w:rsid w:val="009C53E4"/>
    <w:rsid w:val="009C55DF"/>
    <w:rsid w:val="009C5DF8"/>
    <w:rsid w:val="009C5EBB"/>
    <w:rsid w:val="009C684F"/>
    <w:rsid w:val="009C693B"/>
    <w:rsid w:val="009C6C5D"/>
    <w:rsid w:val="009C737D"/>
    <w:rsid w:val="009C78C3"/>
    <w:rsid w:val="009C797E"/>
    <w:rsid w:val="009C7DE1"/>
    <w:rsid w:val="009C7FAB"/>
    <w:rsid w:val="009D00BC"/>
    <w:rsid w:val="009D04A7"/>
    <w:rsid w:val="009D06D0"/>
    <w:rsid w:val="009D077C"/>
    <w:rsid w:val="009D0E35"/>
    <w:rsid w:val="009D0FC1"/>
    <w:rsid w:val="009D1590"/>
    <w:rsid w:val="009D190E"/>
    <w:rsid w:val="009D19DF"/>
    <w:rsid w:val="009D1A53"/>
    <w:rsid w:val="009D1D01"/>
    <w:rsid w:val="009D1DC0"/>
    <w:rsid w:val="009D2309"/>
    <w:rsid w:val="009D2395"/>
    <w:rsid w:val="009D2433"/>
    <w:rsid w:val="009D2B78"/>
    <w:rsid w:val="009D2E52"/>
    <w:rsid w:val="009D2FD0"/>
    <w:rsid w:val="009D3443"/>
    <w:rsid w:val="009D34F6"/>
    <w:rsid w:val="009D3553"/>
    <w:rsid w:val="009D3CDC"/>
    <w:rsid w:val="009D3D1B"/>
    <w:rsid w:val="009D4396"/>
    <w:rsid w:val="009D535B"/>
    <w:rsid w:val="009D5414"/>
    <w:rsid w:val="009D55E3"/>
    <w:rsid w:val="009D56F7"/>
    <w:rsid w:val="009D5C2D"/>
    <w:rsid w:val="009D5F3E"/>
    <w:rsid w:val="009D61B7"/>
    <w:rsid w:val="009D61C8"/>
    <w:rsid w:val="009D665A"/>
    <w:rsid w:val="009D69DE"/>
    <w:rsid w:val="009D6C3D"/>
    <w:rsid w:val="009D6EC4"/>
    <w:rsid w:val="009D6ECC"/>
    <w:rsid w:val="009D722C"/>
    <w:rsid w:val="009D72C7"/>
    <w:rsid w:val="009D7617"/>
    <w:rsid w:val="009D7789"/>
    <w:rsid w:val="009D795E"/>
    <w:rsid w:val="009D7CE4"/>
    <w:rsid w:val="009E00DB"/>
    <w:rsid w:val="009E017C"/>
    <w:rsid w:val="009E0509"/>
    <w:rsid w:val="009E05A3"/>
    <w:rsid w:val="009E0AF7"/>
    <w:rsid w:val="009E0CD1"/>
    <w:rsid w:val="009E0D0A"/>
    <w:rsid w:val="009E0E44"/>
    <w:rsid w:val="009E1304"/>
    <w:rsid w:val="009E1394"/>
    <w:rsid w:val="009E1566"/>
    <w:rsid w:val="009E15D7"/>
    <w:rsid w:val="009E16A9"/>
    <w:rsid w:val="009E17B5"/>
    <w:rsid w:val="009E1970"/>
    <w:rsid w:val="009E1A44"/>
    <w:rsid w:val="009E1CA4"/>
    <w:rsid w:val="009E28A3"/>
    <w:rsid w:val="009E291F"/>
    <w:rsid w:val="009E2AD3"/>
    <w:rsid w:val="009E2BEF"/>
    <w:rsid w:val="009E2C57"/>
    <w:rsid w:val="009E3049"/>
    <w:rsid w:val="009E3974"/>
    <w:rsid w:val="009E3E94"/>
    <w:rsid w:val="009E3F51"/>
    <w:rsid w:val="009E3F98"/>
    <w:rsid w:val="009E422C"/>
    <w:rsid w:val="009E4304"/>
    <w:rsid w:val="009E4405"/>
    <w:rsid w:val="009E4B24"/>
    <w:rsid w:val="009E4D5D"/>
    <w:rsid w:val="009E4EE7"/>
    <w:rsid w:val="009E51F3"/>
    <w:rsid w:val="009E56A9"/>
    <w:rsid w:val="009E5851"/>
    <w:rsid w:val="009E5FAB"/>
    <w:rsid w:val="009E5FF1"/>
    <w:rsid w:val="009E68CF"/>
    <w:rsid w:val="009E698F"/>
    <w:rsid w:val="009E6D09"/>
    <w:rsid w:val="009E6D90"/>
    <w:rsid w:val="009E6ECA"/>
    <w:rsid w:val="009E75F3"/>
    <w:rsid w:val="009E7A69"/>
    <w:rsid w:val="009E7A87"/>
    <w:rsid w:val="009E7AD0"/>
    <w:rsid w:val="009E7C31"/>
    <w:rsid w:val="009E7E7A"/>
    <w:rsid w:val="009F007A"/>
    <w:rsid w:val="009F0129"/>
    <w:rsid w:val="009F06F6"/>
    <w:rsid w:val="009F08FD"/>
    <w:rsid w:val="009F0E13"/>
    <w:rsid w:val="009F1305"/>
    <w:rsid w:val="009F1628"/>
    <w:rsid w:val="009F17AB"/>
    <w:rsid w:val="009F17C4"/>
    <w:rsid w:val="009F1A65"/>
    <w:rsid w:val="009F24A3"/>
    <w:rsid w:val="009F268A"/>
    <w:rsid w:val="009F26F1"/>
    <w:rsid w:val="009F27B2"/>
    <w:rsid w:val="009F29D6"/>
    <w:rsid w:val="009F2BEB"/>
    <w:rsid w:val="009F2E0B"/>
    <w:rsid w:val="009F2F01"/>
    <w:rsid w:val="009F31CB"/>
    <w:rsid w:val="009F3363"/>
    <w:rsid w:val="009F33B7"/>
    <w:rsid w:val="009F344F"/>
    <w:rsid w:val="009F35A2"/>
    <w:rsid w:val="009F3919"/>
    <w:rsid w:val="009F3981"/>
    <w:rsid w:val="009F3ED7"/>
    <w:rsid w:val="009F3F37"/>
    <w:rsid w:val="009F407A"/>
    <w:rsid w:val="009F4985"/>
    <w:rsid w:val="009F4B65"/>
    <w:rsid w:val="009F51FF"/>
    <w:rsid w:val="009F5364"/>
    <w:rsid w:val="009F54BB"/>
    <w:rsid w:val="009F5670"/>
    <w:rsid w:val="009F5914"/>
    <w:rsid w:val="009F5B96"/>
    <w:rsid w:val="009F5D7A"/>
    <w:rsid w:val="009F5DBE"/>
    <w:rsid w:val="009F5F58"/>
    <w:rsid w:val="009F6290"/>
    <w:rsid w:val="009F6A1A"/>
    <w:rsid w:val="009F6ABD"/>
    <w:rsid w:val="009F6CC6"/>
    <w:rsid w:val="009F6E11"/>
    <w:rsid w:val="009F6FF4"/>
    <w:rsid w:val="009F70B9"/>
    <w:rsid w:val="009F71AA"/>
    <w:rsid w:val="009F72B8"/>
    <w:rsid w:val="009F7A58"/>
    <w:rsid w:val="009F7CBF"/>
    <w:rsid w:val="009F7F4B"/>
    <w:rsid w:val="00A002E2"/>
    <w:rsid w:val="00A009D5"/>
    <w:rsid w:val="00A00B2C"/>
    <w:rsid w:val="00A00EE8"/>
    <w:rsid w:val="00A00F4C"/>
    <w:rsid w:val="00A01766"/>
    <w:rsid w:val="00A01A98"/>
    <w:rsid w:val="00A01CF9"/>
    <w:rsid w:val="00A02057"/>
    <w:rsid w:val="00A021F9"/>
    <w:rsid w:val="00A02411"/>
    <w:rsid w:val="00A0269C"/>
    <w:rsid w:val="00A02D2F"/>
    <w:rsid w:val="00A02E11"/>
    <w:rsid w:val="00A02E91"/>
    <w:rsid w:val="00A0315F"/>
    <w:rsid w:val="00A03202"/>
    <w:rsid w:val="00A03242"/>
    <w:rsid w:val="00A034AC"/>
    <w:rsid w:val="00A034F7"/>
    <w:rsid w:val="00A035DC"/>
    <w:rsid w:val="00A03C6B"/>
    <w:rsid w:val="00A03D69"/>
    <w:rsid w:val="00A03EB7"/>
    <w:rsid w:val="00A0438B"/>
    <w:rsid w:val="00A04807"/>
    <w:rsid w:val="00A0481B"/>
    <w:rsid w:val="00A048D8"/>
    <w:rsid w:val="00A04CAF"/>
    <w:rsid w:val="00A04EE6"/>
    <w:rsid w:val="00A051C8"/>
    <w:rsid w:val="00A0553D"/>
    <w:rsid w:val="00A05C7D"/>
    <w:rsid w:val="00A05E01"/>
    <w:rsid w:val="00A06546"/>
    <w:rsid w:val="00A074E1"/>
    <w:rsid w:val="00A075F0"/>
    <w:rsid w:val="00A07939"/>
    <w:rsid w:val="00A07A39"/>
    <w:rsid w:val="00A07EE2"/>
    <w:rsid w:val="00A103E8"/>
    <w:rsid w:val="00A10BA3"/>
    <w:rsid w:val="00A10BC9"/>
    <w:rsid w:val="00A10E11"/>
    <w:rsid w:val="00A1113A"/>
    <w:rsid w:val="00A111F1"/>
    <w:rsid w:val="00A113AF"/>
    <w:rsid w:val="00A114A9"/>
    <w:rsid w:val="00A11581"/>
    <w:rsid w:val="00A118FF"/>
    <w:rsid w:val="00A119CD"/>
    <w:rsid w:val="00A11A92"/>
    <w:rsid w:val="00A11AEE"/>
    <w:rsid w:val="00A11B33"/>
    <w:rsid w:val="00A11BBE"/>
    <w:rsid w:val="00A11DC8"/>
    <w:rsid w:val="00A120A6"/>
    <w:rsid w:val="00A1212E"/>
    <w:rsid w:val="00A1242E"/>
    <w:rsid w:val="00A12681"/>
    <w:rsid w:val="00A1282E"/>
    <w:rsid w:val="00A129CA"/>
    <w:rsid w:val="00A12D94"/>
    <w:rsid w:val="00A12F66"/>
    <w:rsid w:val="00A13174"/>
    <w:rsid w:val="00A13353"/>
    <w:rsid w:val="00A137CC"/>
    <w:rsid w:val="00A139A3"/>
    <w:rsid w:val="00A13D11"/>
    <w:rsid w:val="00A14304"/>
    <w:rsid w:val="00A14460"/>
    <w:rsid w:val="00A144E5"/>
    <w:rsid w:val="00A146AC"/>
    <w:rsid w:val="00A146D6"/>
    <w:rsid w:val="00A14807"/>
    <w:rsid w:val="00A149EA"/>
    <w:rsid w:val="00A14A5A"/>
    <w:rsid w:val="00A14D90"/>
    <w:rsid w:val="00A14F22"/>
    <w:rsid w:val="00A15117"/>
    <w:rsid w:val="00A151E4"/>
    <w:rsid w:val="00A15434"/>
    <w:rsid w:val="00A156D7"/>
    <w:rsid w:val="00A15B73"/>
    <w:rsid w:val="00A15D54"/>
    <w:rsid w:val="00A15EE1"/>
    <w:rsid w:val="00A15F46"/>
    <w:rsid w:val="00A1603E"/>
    <w:rsid w:val="00A160CA"/>
    <w:rsid w:val="00A16346"/>
    <w:rsid w:val="00A16CC7"/>
    <w:rsid w:val="00A16D68"/>
    <w:rsid w:val="00A16DCA"/>
    <w:rsid w:val="00A17152"/>
    <w:rsid w:val="00A1719F"/>
    <w:rsid w:val="00A171D3"/>
    <w:rsid w:val="00A1742B"/>
    <w:rsid w:val="00A177DF"/>
    <w:rsid w:val="00A17C05"/>
    <w:rsid w:val="00A20231"/>
    <w:rsid w:val="00A20432"/>
    <w:rsid w:val="00A204CD"/>
    <w:rsid w:val="00A21821"/>
    <w:rsid w:val="00A21F32"/>
    <w:rsid w:val="00A22165"/>
    <w:rsid w:val="00A2263C"/>
    <w:rsid w:val="00A22937"/>
    <w:rsid w:val="00A22BDB"/>
    <w:rsid w:val="00A22C45"/>
    <w:rsid w:val="00A22E6B"/>
    <w:rsid w:val="00A22F02"/>
    <w:rsid w:val="00A23CA8"/>
    <w:rsid w:val="00A23D80"/>
    <w:rsid w:val="00A23E80"/>
    <w:rsid w:val="00A2406E"/>
    <w:rsid w:val="00A24209"/>
    <w:rsid w:val="00A24492"/>
    <w:rsid w:val="00A24713"/>
    <w:rsid w:val="00A24818"/>
    <w:rsid w:val="00A24BAF"/>
    <w:rsid w:val="00A24CE6"/>
    <w:rsid w:val="00A24D61"/>
    <w:rsid w:val="00A254B0"/>
    <w:rsid w:val="00A25635"/>
    <w:rsid w:val="00A2573E"/>
    <w:rsid w:val="00A25BA1"/>
    <w:rsid w:val="00A25E54"/>
    <w:rsid w:val="00A26712"/>
    <w:rsid w:val="00A26B1C"/>
    <w:rsid w:val="00A26F49"/>
    <w:rsid w:val="00A26FDC"/>
    <w:rsid w:val="00A2765B"/>
    <w:rsid w:val="00A27668"/>
    <w:rsid w:val="00A278C4"/>
    <w:rsid w:val="00A27971"/>
    <w:rsid w:val="00A27B1E"/>
    <w:rsid w:val="00A27CD0"/>
    <w:rsid w:val="00A27E22"/>
    <w:rsid w:val="00A30175"/>
    <w:rsid w:val="00A3017D"/>
    <w:rsid w:val="00A30607"/>
    <w:rsid w:val="00A30813"/>
    <w:rsid w:val="00A308EC"/>
    <w:rsid w:val="00A311FF"/>
    <w:rsid w:val="00A3153E"/>
    <w:rsid w:val="00A316ED"/>
    <w:rsid w:val="00A31B1B"/>
    <w:rsid w:val="00A3203A"/>
    <w:rsid w:val="00A321AE"/>
    <w:rsid w:val="00A3224B"/>
    <w:rsid w:val="00A327DF"/>
    <w:rsid w:val="00A32BBE"/>
    <w:rsid w:val="00A32C6C"/>
    <w:rsid w:val="00A32C92"/>
    <w:rsid w:val="00A33471"/>
    <w:rsid w:val="00A33C78"/>
    <w:rsid w:val="00A34042"/>
    <w:rsid w:val="00A3465C"/>
    <w:rsid w:val="00A34F73"/>
    <w:rsid w:val="00A350AD"/>
    <w:rsid w:val="00A35148"/>
    <w:rsid w:val="00A35701"/>
    <w:rsid w:val="00A35997"/>
    <w:rsid w:val="00A35F25"/>
    <w:rsid w:val="00A3646E"/>
    <w:rsid w:val="00A36528"/>
    <w:rsid w:val="00A36561"/>
    <w:rsid w:val="00A3676F"/>
    <w:rsid w:val="00A3690F"/>
    <w:rsid w:val="00A36A29"/>
    <w:rsid w:val="00A36C33"/>
    <w:rsid w:val="00A36C7E"/>
    <w:rsid w:val="00A36F04"/>
    <w:rsid w:val="00A3719C"/>
    <w:rsid w:val="00A371E4"/>
    <w:rsid w:val="00A37311"/>
    <w:rsid w:val="00A378F4"/>
    <w:rsid w:val="00A37BA4"/>
    <w:rsid w:val="00A37FD0"/>
    <w:rsid w:val="00A4003D"/>
    <w:rsid w:val="00A400AB"/>
    <w:rsid w:val="00A40585"/>
    <w:rsid w:val="00A405B0"/>
    <w:rsid w:val="00A406C2"/>
    <w:rsid w:val="00A407F0"/>
    <w:rsid w:val="00A4090B"/>
    <w:rsid w:val="00A40FBD"/>
    <w:rsid w:val="00A4146D"/>
    <w:rsid w:val="00A41583"/>
    <w:rsid w:val="00A4163F"/>
    <w:rsid w:val="00A41985"/>
    <w:rsid w:val="00A41A2A"/>
    <w:rsid w:val="00A41C91"/>
    <w:rsid w:val="00A41F26"/>
    <w:rsid w:val="00A4233B"/>
    <w:rsid w:val="00A427A8"/>
    <w:rsid w:val="00A42C12"/>
    <w:rsid w:val="00A42EA7"/>
    <w:rsid w:val="00A432EC"/>
    <w:rsid w:val="00A4333D"/>
    <w:rsid w:val="00A43BA9"/>
    <w:rsid w:val="00A43BC4"/>
    <w:rsid w:val="00A43FA7"/>
    <w:rsid w:val="00A44630"/>
    <w:rsid w:val="00A44E5A"/>
    <w:rsid w:val="00A4514F"/>
    <w:rsid w:val="00A45458"/>
    <w:rsid w:val="00A454E9"/>
    <w:rsid w:val="00A458BC"/>
    <w:rsid w:val="00A45C55"/>
    <w:rsid w:val="00A45D99"/>
    <w:rsid w:val="00A45E94"/>
    <w:rsid w:val="00A45EED"/>
    <w:rsid w:val="00A4619D"/>
    <w:rsid w:val="00A464CA"/>
    <w:rsid w:val="00A466A3"/>
    <w:rsid w:val="00A46804"/>
    <w:rsid w:val="00A46A52"/>
    <w:rsid w:val="00A46B82"/>
    <w:rsid w:val="00A46C45"/>
    <w:rsid w:val="00A46C9B"/>
    <w:rsid w:val="00A470F3"/>
    <w:rsid w:val="00A47435"/>
    <w:rsid w:val="00A475F5"/>
    <w:rsid w:val="00A477ED"/>
    <w:rsid w:val="00A47940"/>
    <w:rsid w:val="00A47B2F"/>
    <w:rsid w:val="00A47BB7"/>
    <w:rsid w:val="00A47DB9"/>
    <w:rsid w:val="00A50361"/>
    <w:rsid w:val="00A505FF"/>
    <w:rsid w:val="00A50BB2"/>
    <w:rsid w:val="00A50F38"/>
    <w:rsid w:val="00A51359"/>
    <w:rsid w:val="00A5173E"/>
    <w:rsid w:val="00A51A52"/>
    <w:rsid w:val="00A51B25"/>
    <w:rsid w:val="00A51DB2"/>
    <w:rsid w:val="00A52002"/>
    <w:rsid w:val="00A52052"/>
    <w:rsid w:val="00A52096"/>
    <w:rsid w:val="00A52537"/>
    <w:rsid w:val="00A527BE"/>
    <w:rsid w:val="00A529AE"/>
    <w:rsid w:val="00A52B05"/>
    <w:rsid w:val="00A5328A"/>
    <w:rsid w:val="00A53498"/>
    <w:rsid w:val="00A5356F"/>
    <w:rsid w:val="00A53608"/>
    <w:rsid w:val="00A53A07"/>
    <w:rsid w:val="00A53A70"/>
    <w:rsid w:val="00A53E72"/>
    <w:rsid w:val="00A53FBF"/>
    <w:rsid w:val="00A5421B"/>
    <w:rsid w:val="00A542B3"/>
    <w:rsid w:val="00A54361"/>
    <w:rsid w:val="00A545D2"/>
    <w:rsid w:val="00A54700"/>
    <w:rsid w:val="00A54E24"/>
    <w:rsid w:val="00A54F14"/>
    <w:rsid w:val="00A55189"/>
    <w:rsid w:val="00A554D8"/>
    <w:rsid w:val="00A556EA"/>
    <w:rsid w:val="00A55886"/>
    <w:rsid w:val="00A558A3"/>
    <w:rsid w:val="00A55A89"/>
    <w:rsid w:val="00A56118"/>
    <w:rsid w:val="00A56417"/>
    <w:rsid w:val="00A56456"/>
    <w:rsid w:val="00A56A12"/>
    <w:rsid w:val="00A56B22"/>
    <w:rsid w:val="00A56DE7"/>
    <w:rsid w:val="00A5731D"/>
    <w:rsid w:val="00A575B1"/>
    <w:rsid w:val="00A57B4D"/>
    <w:rsid w:val="00A6022D"/>
    <w:rsid w:val="00A60482"/>
    <w:rsid w:val="00A60B93"/>
    <w:rsid w:val="00A60BE3"/>
    <w:rsid w:val="00A60D34"/>
    <w:rsid w:val="00A61230"/>
    <w:rsid w:val="00A616E1"/>
    <w:rsid w:val="00A61881"/>
    <w:rsid w:val="00A61C8F"/>
    <w:rsid w:val="00A61F94"/>
    <w:rsid w:val="00A6236B"/>
    <w:rsid w:val="00A6238C"/>
    <w:rsid w:val="00A62520"/>
    <w:rsid w:val="00A62552"/>
    <w:rsid w:val="00A625AB"/>
    <w:rsid w:val="00A62925"/>
    <w:rsid w:val="00A62A94"/>
    <w:rsid w:val="00A62FF4"/>
    <w:rsid w:val="00A639D1"/>
    <w:rsid w:val="00A63AFC"/>
    <w:rsid w:val="00A63B8F"/>
    <w:rsid w:val="00A64503"/>
    <w:rsid w:val="00A6481B"/>
    <w:rsid w:val="00A652E4"/>
    <w:rsid w:val="00A654DF"/>
    <w:rsid w:val="00A6580A"/>
    <w:rsid w:val="00A65AD3"/>
    <w:rsid w:val="00A65B46"/>
    <w:rsid w:val="00A66239"/>
    <w:rsid w:val="00A66C7C"/>
    <w:rsid w:val="00A67068"/>
    <w:rsid w:val="00A6708A"/>
    <w:rsid w:val="00A67118"/>
    <w:rsid w:val="00A67160"/>
    <w:rsid w:val="00A671D5"/>
    <w:rsid w:val="00A673D2"/>
    <w:rsid w:val="00A67530"/>
    <w:rsid w:val="00A676C1"/>
    <w:rsid w:val="00A679E0"/>
    <w:rsid w:val="00A67AA3"/>
    <w:rsid w:val="00A67B22"/>
    <w:rsid w:val="00A67E45"/>
    <w:rsid w:val="00A7055F"/>
    <w:rsid w:val="00A706AC"/>
    <w:rsid w:val="00A7085E"/>
    <w:rsid w:val="00A71623"/>
    <w:rsid w:val="00A71B7D"/>
    <w:rsid w:val="00A71C9B"/>
    <w:rsid w:val="00A71D86"/>
    <w:rsid w:val="00A71DD2"/>
    <w:rsid w:val="00A71E08"/>
    <w:rsid w:val="00A71E76"/>
    <w:rsid w:val="00A724D1"/>
    <w:rsid w:val="00A724E6"/>
    <w:rsid w:val="00A727C2"/>
    <w:rsid w:val="00A72ACD"/>
    <w:rsid w:val="00A72DE8"/>
    <w:rsid w:val="00A730C7"/>
    <w:rsid w:val="00A737AE"/>
    <w:rsid w:val="00A73806"/>
    <w:rsid w:val="00A74089"/>
    <w:rsid w:val="00A747A7"/>
    <w:rsid w:val="00A74950"/>
    <w:rsid w:val="00A74B75"/>
    <w:rsid w:val="00A74D57"/>
    <w:rsid w:val="00A74F70"/>
    <w:rsid w:val="00A750E0"/>
    <w:rsid w:val="00A756AA"/>
    <w:rsid w:val="00A758BB"/>
    <w:rsid w:val="00A758FA"/>
    <w:rsid w:val="00A75930"/>
    <w:rsid w:val="00A7629C"/>
    <w:rsid w:val="00A76469"/>
    <w:rsid w:val="00A765D8"/>
    <w:rsid w:val="00A766D1"/>
    <w:rsid w:val="00A76985"/>
    <w:rsid w:val="00A77552"/>
    <w:rsid w:val="00A77686"/>
    <w:rsid w:val="00A77937"/>
    <w:rsid w:val="00A77A4F"/>
    <w:rsid w:val="00A77B32"/>
    <w:rsid w:val="00A77C89"/>
    <w:rsid w:val="00A801DF"/>
    <w:rsid w:val="00A801E0"/>
    <w:rsid w:val="00A8097F"/>
    <w:rsid w:val="00A80AEB"/>
    <w:rsid w:val="00A80DA6"/>
    <w:rsid w:val="00A80FCA"/>
    <w:rsid w:val="00A813CC"/>
    <w:rsid w:val="00A81488"/>
    <w:rsid w:val="00A81742"/>
    <w:rsid w:val="00A81F10"/>
    <w:rsid w:val="00A8201B"/>
    <w:rsid w:val="00A821B5"/>
    <w:rsid w:val="00A821DF"/>
    <w:rsid w:val="00A824A6"/>
    <w:rsid w:val="00A82C07"/>
    <w:rsid w:val="00A82C3F"/>
    <w:rsid w:val="00A82C4E"/>
    <w:rsid w:val="00A83724"/>
    <w:rsid w:val="00A83866"/>
    <w:rsid w:val="00A839CA"/>
    <w:rsid w:val="00A83A41"/>
    <w:rsid w:val="00A83B45"/>
    <w:rsid w:val="00A83DA8"/>
    <w:rsid w:val="00A83FD3"/>
    <w:rsid w:val="00A84431"/>
    <w:rsid w:val="00A845B8"/>
    <w:rsid w:val="00A84690"/>
    <w:rsid w:val="00A84775"/>
    <w:rsid w:val="00A8491E"/>
    <w:rsid w:val="00A84A86"/>
    <w:rsid w:val="00A84C26"/>
    <w:rsid w:val="00A84D46"/>
    <w:rsid w:val="00A84D8D"/>
    <w:rsid w:val="00A84E2A"/>
    <w:rsid w:val="00A85004"/>
    <w:rsid w:val="00A853EA"/>
    <w:rsid w:val="00A85A6F"/>
    <w:rsid w:val="00A85CA4"/>
    <w:rsid w:val="00A85FB6"/>
    <w:rsid w:val="00A8638C"/>
    <w:rsid w:val="00A86AC8"/>
    <w:rsid w:val="00A86B84"/>
    <w:rsid w:val="00A870BD"/>
    <w:rsid w:val="00A8743B"/>
    <w:rsid w:val="00A87A8C"/>
    <w:rsid w:val="00A87BE3"/>
    <w:rsid w:val="00A87F48"/>
    <w:rsid w:val="00A87FC6"/>
    <w:rsid w:val="00A90062"/>
    <w:rsid w:val="00A900AE"/>
    <w:rsid w:val="00A90193"/>
    <w:rsid w:val="00A905E5"/>
    <w:rsid w:val="00A9061C"/>
    <w:rsid w:val="00A909E3"/>
    <w:rsid w:val="00A90BF7"/>
    <w:rsid w:val="00A91056"/>
    <w:rsid w:val="00A9162C"/>
    <w:rsid w:val="00A9189F"/>
    <w:rsid w:val="00A91B06"/>
    <w:rsid w:val="00A91C78"/>
    <w:rsid w:val="00A920DF"/>
    <w:rsid w:val="00A9270C"/>
    <w:rsid w:val="00A92883"/>
    <w:rsid w:val="00A92FAD"/>
    <w:rsid w:val="00A93275"/>
    <w:rsid w:val="00A93711"/>
    <w:rsid w:val="00A93A56"/>
    <w:rsid w:val="00A93EB7"/>
    <w:rsid w:val="00A9452F"/>
    <w:rsid w:val="00A9460A"/>
    <w:rsid w:val="00A9472D"/>
    <w:rsid w:val="00A94D1B"/>
    <w:rsid w:val="00A951B9"/>
    <w:rsid w:val="00A951DC"/>
    <w:rsid w:val="00A952A8"/>
    <w:rsid w:val="00A9542D"/>
    <w:rsid w:val="00A958B7"/>
    <w:rsid w:val="00A959EB"/>
    <w:rsid w:val="00A95F54"/>
    <w:rsid w:val="00A95FEC"/>
    <w:rsid w:val="00A966DB"/>
    <w:rsid w:val="00A9692C"/>
    <w:rsid w:val="00A96E0C"/>
    <w:rsid w:val="00A9721B"/>
    <w:rsid w:val="00A9740C"/>
    <w:rsid w:val="00A97495"/>
    <w:rsid w:val="00A97503"/>
    <w:rsid w:val="00A97794"/>
    <w:rsid w:val="00A97C0B"/>
    <w:rsid w:val="00A97E35"/>
    <w:rsid w:val="00AA0012"/>
    <w:rsid w:val="00AA03FE"/>
    <w:rsid w:val="00AA042F"/>
    <w:rsid w:val="00AA055B"/>
    <w:rsid w:val="00AA092D"/>
    <w:rsid w:val="00AA0B18"/>
    <w:rsid w:val="00AA0E3B"/>
    <w:rsid w:val="00AA0FDC"/>
    <w:rsid w:val="00AA105D"/>
    <w:rsid w:val="00AA10FC"/>
    <w:rsid w:val="00AA11FD"/>
    <w:rsid w:val="00AA1441"/>
    <w:rsid w:val="00AA14E8"/>
    <w:rsid w:val="00AA15A6"/>
    <w:rsid w:val="00AA1607"/>
    <w:rsid w:val="00AA1798"/>
    <w:rsid w:val="00AA1D2A"/>
    <w:rsid w:val="00AA1E7D"/>
    <w:rsid w:val="00AA1EDA"/>
    <w:rsid w:val="00AA1FC2"/>
    <w:rsid w:val="00AA2067"/>
    <w:rsid w:val="00AA220A"/>
    <w:rsid w:val="00AA231F"/>
    <w:rsid w:val="00AA23A1"/>
    <w:rsid w:val="00AA27F7"/>
    <w:rsid w:val="00AA2C29"/>
    <w:rsid w:val="00AA2E4A"/>
    <w:rsid w:val="00AA2ED8"/>
    <w:rsid w:val="00AA3467"/>
    <w:rsid w:val="00AA34EB"/>
    <w:rsid w:val="00AA42B7"/>
    <w:rsid w:val="00AA44C8"/>
    <w:rsid w:val="00AA4573"/>
    <w:rsid w:val="00AA4823"/>
    <w:rsid w:val="00AA4B29"/>
    <w:rsid w:val="00AA53EC"/>
    <w:rsid w:val="00AA5797"/>
    <w:rsid w:val="00AA5858"/>
    <w:rsid w:val="00AA59D5"/>
    <w:rsid w:val="00AA5A24"/>
    <w:rsid w:val="00AA5E02"/>
    <w:rsid w:val="00AA5FA5"/>
    <w:rsid w:val="00AA613B"/>
    <w:rsid w:val="00AA61DA"/>
    <w:rsid w:val="00AA6544"/>
    <w:rsid w:val="00AA66A0"/>
    <w:rsid w:val="00AA693A"/>
    <w:rsid w:val="00AA69A8"/>
    <w:rsid w:val="00AA6B92"/>
    <w:rsid w:val="00AA6D3E"/>
    <w:rsid w:val="00AA7002"/>
    <w:rsid w:val="00AA709A"/>
    <w:rsid w:val="00AA7100"/>
    <w:rsid w:val="00AA71D8"/>
    <w:rsid w:val="00AA7386"/>
    <w:rsid w:val="00AA7422"/>
    <w:rsid w:val="00AA7AF4"/>
    <w:rsid w:val="00AA7FB6"/>
    <w:rsid w:val="00AB066F"/>
    <w:rsid w:val="00AB0C68"/>
    <w:rsid w:val="00AB1090"/>
    <w:rsid w:val="00AB128C"/>
    <w:rsid w:val="00AB149A"/>
    <w:rsid w:val="00AB1619"/>
    <w:rsid w:val="00AB18D3"/>
    <w:rsid w:val="00AB1C14"/>
    <w:rsid w:val="00AB230E"/>
    <w:rsid w:val="00AB237E"/>
    <w:rsid w:val="00AB267B"/>
    <w:rsid w:val="00AB2A6F"/>
    <w:rsid w:val="00AB2A7C"/>
    <w:rsid w:val="00AB2D0D"/>
    <w:rsid w:val="00AB2D71"/>
    <w:rsid w:val="00AB2DC5"/>
    <w:rsid w:val="00AB33E5"/>
    <w:rsid w:val="00AB3463"/>
    <w:rsid w:val="00AB386F"/>
    <w:rsid w:val="00AB39BA"/>
    <w:rsid w:val="00AB3AAA"/>
    <w:rsid w:val="00AB3AF8"/>
    <w:rsid w:val="00AB3E81"/>
    <w:rsid w:val="00AB4541"/>
    <w:rsid w:val="00AB4751"/>
    <w:rsid w:val="00AB4867"/>
    <w:rsid w:val="00AB48D1"/>
    <w:rsid w:val="00AB4E79"/>
    <w:rsid w:val="00AB4FE4"/>
    <w:rsid w:val="00AB545F"/>
    <w:rsid w:val="00AB5566"/>
    <w:rsid w:val="00AB5619"/>
    <w:rsid w:val="00AB58F0"/>
    <w:rsid w:val="00AB5CFC"/>
    <w:rsid w:val="00AB5F13"/>
    <w:rsid w:val="00AB5F4F"/>
    <w:rsid w:val="00AB5FC9"/>
    <w:rsid w:val="00AB61D1"/>
    <w:rsid w:val="00AB671B"/>
    <w:rsid w:val="00AB6746"/>
    <w:rsid w:val="00AB683E"/>
    <w:rsid w:val="00AB68E7"/>
    <w:rsid w:val="00AB6CE8"/>
    <w:rsid w:val="00AB71CD"/>
    <w:rsid w:val="00AB73C3"/>
    <w:rsid w:val="00AB764C"/>
    <w:rsid w:val="00AB7CCD"/>
    <w:rsid w:val="00AC01C0"/>
    <w:rsid w:val="00AC0A72"/>
    <w:rsid w:val="00AC0F5C"/>
    <w:rsid w:val="00AC0FD4"/>
    <w:rsid w:val="00AC10F7"/>
    <w:rsid w:val="00AC1135"/>
    <w:rsid w:val="00AC1611"/>
    <w:rsid w:val="00AC16F4"/>
    <w:rsid w:val="00AC202F"/>
    <w:rsid w:val="00AC2931"/>
    <w:rsid w:val="00AC2B32"/>
    <w:rsid w:val="00AC2F6C"/>
    <w:rsid w:val="00AC3136"/>
    <w:rsid w:val="00AC3344"/>
    <w:rsid w:val="00AC33DC"/>
    <w:rsid w:val="00AC3532"/>
    <w:rsid w:val="00AC37B1"/>
    <w:rsid w:val="00AC37CF"/>
    <w:rsid w:val="00AC387F"/>
    <w:rsid w:val="00AC39B2"/>
    <w:rsid w:val="00AC3A82"/>
    <w:rsid w:val="00AC3D1B"/>
    <w:rsid w:val="00AC3E00"/>
    <w:rsid w:val="00AC469A"/>
    <w:rsid w:val="00AC477E"/>
    <w:rsid w:val="00AC4927"/>
    <w:rsid w:val="00AC4CA1"/>
    <w:rsid w:val="00AC4FEE"/>
    <w:rsid w:val="00AC5101"/>
    <w:rsid w:val="00AC52F5"/>
    <w:rsid w:val="00AC5976"/>
    <w:rsid w:val="00AC5A59"/>
    <w:rsid w:val="00AC5A77"/>
    <w:rsid w:val="00AC5B71"/>
    <w:rsid w:val="00AC5B81"/>
    <w:rsid w:val="00AC5C0E"/>
    <w:rsid w:val="00AC6508"/>
    <w:rsid w:val="00AC6958"/>
    <w:rsid w:val="00AC6AB5"/>
    <w:rsid w:val="00AC6B84"/>
    <w:rsid w:val="00AC6E79"/>
    <w:rsid w:val="00AC710D"/>
    <w:rsid w:val="00AC727B"/>
    <w:rsid w:val="00AC73E0"/>
    <w:rsid w:val="00AC76C6"/>
    <w:rsid w:val="00AC793B"/>
    <w:rsid w:val="00AC7A96"/>
    <w:rsid w:val="00AC7CD3"/>
    <w:rsid w:val="00AD016A"/>
    <w:rsid w:val="00AD0203"/>
    <w:rsid w:val="00AD02E3"/>
    <w:rsid w:val="00AD0716"/>
    <w:rsid w:val="00AD0994"/>
    <w:rsid w:val="00AD0C2F"/>
    <w:rsid w:val="00AD1482"/>
    <w:rsid w:val="00AD1543"/>
    <w:rsid w:val="00AD178A"/>
    <w:rsid w:val="00AD1DD9"/>
    <w:rsid w:val="00AD1F0B"/>
    <w:rsid w:val="00AD20EB"/>
    <w:rsid w:val="00AD21E0"/>
    <w:rsid w:val="00AD25D8"/>
    <w:rsid w:val="00AD2AF8"/>
    <w:rsid w:val="00AD2C8C"/>
    <w:rsid w:val="00AD3D5A"/>
    <w:rsid w:val="00AD3FED"/>
    <w:rsid w:val="00AD4184"/>
    <w:rsid w:val="00AD4330"/>
    <w:rsid w:val="00AD4813"/>
    <w:rsid w:val="00AD4D1E"/>
    <w:rsid w:val="00AD5226"/>
    <w:rsid w:val="00AD52D1"/>
    <w:rsid w:val="00AD548A"/>
    <w:rsid w:val="00AD5697"/>
    <w:rsid w:val="00AD5825"/>
    <w:rsid w:val="00AD59B4"/>
    <w:rsid w:val="00AD5F33"/>
    <w:rsid w:val="00AD5F54"/>
    <w:rsid w:val="00AD5FB2"/>
    <w:rsid w:val="00AD6479"/>
    <w:rsid w:val="00AD65EF"/>
    <w:rsid w:val="00AD668F"/>
    <w:rsid w:val="00AD6786"/>
    <w:rsid w:val="00AD68ED"/>
    <w:rsid w:val="00AD6A1C"/>
    <w:rsid w:val="00AD7242"/>
    <w:rsid w:val="00AD73FD"/>
    <w:rsid w:val="00AD76A4"/>
    <w:rsid w:val="00AD78E1"/>
    <w:rsid w:val="00AD7A63"/>
    <w:rsid w:val="00AD7AC9"/>
    <w:rsid w:val="00AD7C93"/>
    <w:rsid w:val="00AD7EA3"/>
    <w:rsid w:val="00AE027B"/>
    <w:rsid w:val="00AE0357"/>
    <w:rsid w:val="00AE08CF"/>
    <w:rsid w:val="00AE0E51"/>
    <w:rsid w:val="00AE116B"/>
    <w:rsid w:val="00AE1370"/>
    <w:rsid w:val="00AE183A"/>
    <w:rsid w:val="00AE1ABA"/>
    <w:rsid w:val="00AE1B84"/>
    <w:rsid w:val="00AE1E77"/>
    <w:rsid w:val="00AE1EDA"/>
    <w:rsid w:val="00AE2095"/>
    <w:rsid w:val="00AE238C"/>
    <w:rsid w:val="00AE26F4"/>
    <w:rsid w:val="00AE2827"/>
    <w:rsid w:val="00AE29B9"/>
    <w:rsid w:val="00AE2F7D"/>
    <w:rsid w:val="00AE335C"/>
    <w:rsid w:val="00AE3C82"/>
    <w:rsid w:val="00AE4001"/>
    <w:rsid w:val="00AE417D"/>
    <w:rsid w:val="00AE4327"/>
    <w:rsid w:val="00AE463E"/>
    <w:rsid w:val="00AE47B1"/>
    <w:rsid w:val="00AE4E1A"/>
    <w:rsid w:val="00AE4FE0"/>
    <w:rsid w:val="00AE5614"/>
    <w:rsid w:val="00AE564B"/>
    <w:rsid w:val="00AE58CF"/>
    <w:rsid w:val="00AE5C8A"/>
    <w:rsid w:val="00AE6001"/>
    <w:rsid w:val="00AE64D1"/>
    <w:rsid w:val="00AE6F50"/>
    <w:rsid w:val="00AE706D"/>
    <w:rsid w:val="00AE71F4"/>
    <w:rsid w:val="00AE736B"/>
    <w:rsid w:val="00AE73D2"/>
    <w:rsid w:val="00AE75C0"/>
    <w:rsid w:val="00AE7853"/>
    <w:rsid w:val="00AE79DB"/>
    <w:rsid w:val="00AE7A48"/>
    <w:rsid w:val="00AE7B84"/>
    <w:rsid w:val="00AE7BB5"/>
    <w:rsid w:val="00AE7CBD"/>
    <w:rsid w:val="00AE7D9D"/>
    <w:rsid w:val="00AF02AC"/>
    <w:rsid w:val="00AF02BC"/>
    <w:rsid w:val="00AF058B"/>
    <w:rsid w:val="00AF05A8"/>
    <w:rsid w:val="00AF05D0"/>
    <w:rsid w:val="00AF0783"/>
    <w:rsid w:val="00AF0791"/>
    <w:rsid w:val="00AF0825"/>
    <w:rsid w:val="00AF0DDA"/>
    <w:rsid w:val="00AF117B"/>
    <w:rsid w:val="00AF117D"/>
    <w:rsid w:val="00AF126E"/>
    <w:rsid w:val="00AF19BD"/>
    <w:rsid w:val="00AF1E3B"/>
    <w:rsid w:val="00AF2690"/>
    <w:rsid w:val="00AF2889"/>
    <w:rsid w:val="00AF2898"/>
    <w:rsid w:val="00AF3037"/>
    <w:rsid w:val="00AF3223"/>
    <w:rsid w:val="00AF3353"/>
    <w:rsid w:val="00AF392F"/>
    <w:rsid w:val="00AF3963"/>
    <w:rsid w:val="00AF40B0"/>
    <w:rsid w:val="00AF42EE"/>
    <w:rsid w:val="00AF4581"/>
    <w:rsid w:val="00AF49B1"/>
    <w:rsid w:val="00AF5064"/>
    <w:rsid w:val="00AF573E"/>
    <w:rsid w:val="00AF5BAB"/>
    <w:rsid w:val="00AF5E44"/>
    <w:rsid w:val="00AF6989"/>
    <w:rsid w:val="00AF6BC8"/>
    <w:rsid w:val="00AF702D"/>
    <w:rsid w:val="00AF759B"/>
    <w:rsid w:val="00AF767D"/>
    <w:rsid w:val="00AF76BA"/>
    <w:rsid w:val="00AF77B7"/>
    <w:rsid w:val="00AF7879"/>
    <w:rsid w:val="00AF7B0C"/>
    <w:rsid w:val="00AF7E13"/>
    <w:rsid w:val="00B000B6"/>
    <w:rsid w:val="00B00BC8"/>
    <w:rsid w:val="00B00D08"/>
    <w:rsid w:val="00B00EFF"/>
    <w:rsid w:val="00B00FA4"/>
    <w:rsid w:val="00B0123F"/>
    <w:rsid w:val="00B014D9"/>
    <w:rsid w:val="00B01BDB"/>
    <w:rsid w:val="00B01D5D"/>
    <w:rsid w:val="00B01EEE"/>
    <w:rsid w:val="00B0235C"/>
    <w:rsid w:val="00B02778"/>
    <w:rsid w:val="00B027F1"/>
    <w:rsid w:val="00B0296C"/>
    <w:rsid w:val="00B029D4"/>
    <w:rsid w:val="00B02EA9"/>
    <w:rsid w:val="00B03940"/>
    <w:rsid w:val="00B03974"/>
    <w:rsid w:val="00B03C90"/>
    <w:rsid w:val="00B0420F"/>
    <w:rsid w:val="00B0472E"/>
    <w:rsid w:val="00B049FA"/>
    <w:rsid w:val="00B04B21"/>
    <w:rsid w:val="00B04C97"/>
    <w:rsid w:val="00B05130"/>
    <w:rsid w:val="00B05838"/>
    <w:rsid w:val="00B05914"/>
    <w:rsid w:val="00B05B9E"/>
    <w:rsid w:val="00B061DA"/>
    <w:rsid w:val="00B06420"/>
    <w:rsid w:val="00B06471"/>
    <w:rsid w:val="00B068D5"/>
    <w:rsid w:val="00B06DC8"/>
    <w:rsid w:val="00B06FD2"/>
    <w:rsid w:val="00B07238"/>
    <w:rsid w:val="00B0726C"/>
    <w:rsid w:val="00B07511"/>
    <w:rsid w:val="00B07594"/>
    <w:rsid w:val="00B0799A"/>
    <w:rsid w:val="00B07A1B"/>
    <w:rsid w:val="00B07A9E"/>
    <w:rsid w:val="00B07B2C"/>
    <w:rsid w:val="00B07B9C"/>
    <w:rsid w:val="00B07EA2"/>
    <w:rsid w:val="00B10326"/>
    <w:rsid w:val="00B1076D"/>
    <w:rsid w:val="00B10BE9"/>
    <w:rsid w:val="00B10D98"/>
    <w:rsid w:val="00B10FBB"/>
    <w:rsid w:val="00B110BE"/>
    <w:rsid w:val="00B1114D"/>
    <w:rsid w:val="00B1163B"/>
    <w:rsid w:val="00B11669"/>
    <w:rsid w:val="00B117DA"/>
    <w:rsid w:val="00B118E3"/>
    <w:rsid w:val="00B11CD7"/>
    <w:rsid w:val="00B12A67"/>
    <w:rsid w:val="00B12B1E"/>
    <w:rsid w:val="00B12BC1"/>
    <w:rsid w:val="00B12C4B"/>
    <w:rsid w:val="00B12F27"/>
    <w:rsid w:val="00B1313D"/>
    <w:rsid w:val="00B133EB"/>
    <w:rsid w:val="00B13D07"/>
    <w:rsid w:val="00B13E7C"/>
    <w:rsid w:val="00B13FD3"/>
    <w:rsid w:val="00B14451"/>
    <w:rsid w:val="00B14BE4"/>
    <w:rsid w:val="00B150DA"/>
    <w:rsid w:val="00B1529E"/>
    <w:rsid w:val="00B152F9"/>
    <w:rsid w:val="00B15673"/>
    <w:rsid w:val="00B15B6A"/>
    <w:rsid w:val="00B163B5"/>
    <w:rsid w:val="00B164F3"/>
    <w:rsid w:val="00B164F4"/>
    <w:rsid w:val="00B16818"/>
    <w:rsid w:val="00B1696F"/>
    <w:rsid w:val="00B16998"/>
    <w:rsid w:val="00B171DA"/>
    <w:rsid w:val="00B172B7"/>
    <w:rsid w:val="00B1764B"/>
    <w:rsid w:val="00B177EE"/>
    <w:rsid w:val="00B17A5F"/>
    <w:rsid w:val="00B17FB3"/>
    <w:rsid w:val="00B2016D"/>
    <w:rsid w:val="00B201D4"/>
    <w:rsid w:val="00B20855"/>
    <w:rsid w:val="00B20A30"/>
    <w:rsid w:val="00B20A4D"/>
    <w:rsid w:val="00B21011"/>
    <w:rsid w:val="00B21118"/>
    <w:rsid w:val="00B213C8"/>
    <w:rsid w:val="00B21404"/>
    <w:rsid w:val="00B21542"/>
    <w:rsid w:val="00B215FC"/>
    <w:rsid w:val="00B21647"/>
    <w:rsid w:val="00B216C5"/>
    <w:rsid w:val="00B21788"/>
    <w:rsid w:val="00B21B63"/>
    <w:rsid w:val="00B21D4A"/>
    <w:rsid w:val="00B21DE8"/>
    <w:rsid w:val="00B22248"/>
    <w:rsid w:val="00B22632"/>
    <w:rsid w:val="00B22648"/>
    <w:rsid w:val="00B22956"/>
    <w:rsid w:val="00B22B82"/>
    <w:rsid w:val="00B22BCC"/>
    <w:rsid w:val="00B22EF7"/>
    <w:rsid w:val="00B231C0"/>
    <w:rsid w:val="00B2324B"/>
    <w:rsid w:val="00B2375E"/>
    <w:rsid w:val="00B23984"/>
    <w:rsid w:val="00B23A9C"/>
    <w:rsid w:val="00B23B36"/>
    <w:rsid w:val="00B242E9"/>
    <w:rsid w:val="00B24381"/>
    <w:rsid w:val="00B24712"/>
    <w:rsid w:val="00B2493D"/>
    <w:rsid w:val="00B24A83"/>
    <w:rsid w:val="00B24AF2"/>
    <w:rsid w:val="00B24D93"/>
    <w:rsid w:val="00B24EDC"/>
    <w:rsid w:val="00B259C7"/>
    <w:rsid w:val="00B25C82"/>
    <w:rsid w:val="00B25CE6"/>
    <w:rsid w:val="00B25F3B"/>
    <w:rsid w:val="00B26A0A"/>
    <w:rsid w:val="00B26D4F"/>
    <w:rsid w:val="00B273FB"/>
    <w:rsid w:val="00B2755E"/>
    <w:rsid w:val="00B27A59"/>
    <w:rsid w:val="00B27BA2"/>
    <w:rsid w:val="00B27ED3"/>
    <w:rsid w:val="00B300B4"/>
    <w:rsid w:val="00B301A8"/>
    <w:rsid w:val="00B3072D"/>
    <w:rsid w:val="00B307B4"/>
    <w:rsid w:val="00B30BC6"/>
    <w:rsid w:val="00B30BC7"/>
    <w:rsid w:val="00B30BD8"/>
    <w:rsid w:val="00B3136B"/>
    <w:rsid w:val="00B31700"/>
    <w:rsid w:val="00B318A1"/>
    <w:rsid w:val="00B318A9"/>
    <w:rsid w:val="00B31926"/>
    <w:rsid w:val="00B31A3D"/>
    <w:rsid w:val="00B31F0A"/>
    <w:rsid w:val="00B324DB"/>
    <w:rsid w:val="00B324E1"/>
    <w:rsid w:val="00B324F8"/>
    <w:rsid w:val="00B33263"/>
    <w:rsid w:val="00B332D6"/>
    <w:rsid w:val="00B33369"/>
    <w:rsid w:val="00B33879"/>
    <w:rsid w:val="00B33A57"/>
    <w:rsid w:val="00B33B01"/>
    <w:rsid w:val="00B33BCD"/>
    <w:rsid w:val="00B33C87"/>
    <w:rsid w:val="00B33CD2"/>
    <w:rsid w:val="00B33F51"/>
    <w:rsid w:val="00B33F64"/>
    <w:rsid w:val="00B34504"/>
    <w:rsid w:val="00B3484F"/>
    <w:rsid w:val="00B34895"/>
    <w:rsid w:val="00B34FA2"/>
    <w:rsid w:val="00B354F1"/>
    <w:rsid w:val="00B35CE9"/>
    <w:rsid w:val="00B35D9B"/>
    <w:rsid w:val="00B3612F"/>
    <w:rsid w:val="00B36317"/>
    <w:rsid w:val="00B363C3"/>
    <w:rsid w:val="00B36903"/>
    <w:rsid w:val="00B36CEF"/>
    <w:rsid w:val="00B36FD6"/>
    <w:rsid w:val="00B3774B"/>
    <w:rsid w:val="00B4039D"/>
    <w:rsid w:val="00B40565"/>
    <w:rsid w:val="00B408AB"/>
    <w:rsid w:val="00B40A42"/>
    <w:rsid w:val="00B41166"/>
    <w:rsid w:val="00B411A7"/>
    <w:rsid w:val="00B412DA"/>
    <w:rsid w:val="00B41969"/>
    <w:rsid w:val="00B419AA"/>
    <w:rsid w:val="00B41A5E"/>
    <w:rsid w:val="00B41CBD"/>
    <w:rsid w:val="00B420A9"/>
    <w:rsid w:val="00B421C3"/>
    <w:rsid w:val="00B42353"/>
    <w:rsid w:val="00B42952"/>
    <w:rsid w:val="00B4296D"/>
    <w:rsid w:val="00B4325A"/>
    <w:rsid w:val="00B4331E"/>
    <w:rsid w:val="00B435F7"/>
    <w:rsid w:val="00B4362E"/>
    <w:rsid w:val="00B436C7"/>
    <w:rsid w:val="00B43875"/>
    <w:rsid w:val="00B43AF6"/>
    <w:rsid w:val="00B43BB3"/>
    <w:rsid w:val="00B43F9F"/>
    <w:rsid w:val="00B44034"/>
    <w:rsid w:val="00B44315"/>
    <w:rsid w:val="00B44833"/>
    <w:rsid w:val="00B44C84"/>
    <w:rsid w:val="00B44DAA"/>
    <w:rsid w:val="00B453B7"/>
    <w:rsid w:val="00B453F6"/>
    <w:rsid w:val="00B45801"/>
    <w:rsid w:val="00B45AA4"/>
    <w:rsid w:val="00B45AC2"/>
    <w:rsid w:val="00B45AE6"/>
    <w:rsid w:val="00B45CDF"/>
    <w:rsid w:val="00B45DBB"/>
    <w:rsid w:val="00B45DDD"/>
    <w:rsid w:val="00B45E09"/>
    <w:rsid w:val="00B4612B"/>
    <w:rsid w:val="00B46272"/>
    <w:rsid w:val="00B467F9"/>
    <w:rsid w:val="00B46B45"/>
    <w:rsid w:val="00B46D59"/>
    <w:rsid w:val="00B46DF3"/>
    <w:rsid w:val="00B472AB"/>
    <w:rsid w:val="00B476C5"/>
    <w:rsid w:val="00B47BDF"/>
    <w:rsid w:val="00B47FF3"/>
    <w:rsid w:val="00B47FFE"/>
    <w:rsid w:val="00B50700"/>
    <w:rsid w:val="00B50AC0"/>
    <w:rsid w:val="00B5109C"/>
    <w:rsid w:val="00B51542"/>
    <w:rsid w:val="00B51584"/>
    <w:rsid w:val="00B515B5"/>
    <w:rsid w:val="00B516F6"/>
    <w:rsid w:val="00B51A2D"/>
    <w:rsid w:val="00B520FF"/>
    <w:rsid w:val="00B52C9D"/>
    <w:rsid w:val="00B52FA1"/>
    <w:rsid w:val="00B5314D"/>
    <w:rsid w:val="00B53802"/>
    <w:rsid w:val="00B538DD"/>
    <w:rsid w:val="00B539BA"/>
    <w:rsid w:val="00B53FB3"/>
    <w:rsid w:val="00B5422A"/>
    <w:rsid w:val="00B54426"/>
    <w:rsid w:val="00B54D48"/>
    <w:rsid w:val="00B54F1D"/>
    <w:rsid w:val="00B550B5"/>
    <w:rsid w:val="00B5542D"/>
    <w:rsid w:val="00B556AC"/>
    <w:rsid w:val="00B55DEF"/>
    <w:rsid w:val="00B55E72"/>
    <w:rsid w:val="00B56046"/>
    <w:rsid w:val="00B566EA"/>
    <w:rsid w:val="00B567FC"/>
    <w:rsid w:val="00B5686D"/>
    <w:rsid w:val="00B5690E"/>
    <w:rsid w:val="00B56ADD"/>
    <w:rsid w:val="00B56C62"/>
    <w:rsid w:val="00B56DD1"/>
    <w:rsid w:val="00B56E8A"/>
    <w:rsid w:val="00B56F0A"/>
    <w:rsid w:val="00B5734F"/>
    <w:rsid w:val="00B57688"/>
    <w:rsid w:val="00B5772C"/>
    <w:rsid w:val="00B57CBF"/>
    <w:rsid w:val="00B57E88"/>
    <w:rsid w:val="00B60359"/>
    <w:rsid w:val="00B60396"/>
    <w:rsid w:val="00B60591"/>
    <w:rsid w:val="00B60AF9"/>
    <w:rsid w:val="00B618B2"/>
    <w:rsid w:val="00B61AA8"/>
    <w:rsid w:val="00B61DBE"/>
    <w:rsid w:val="00B61DD6"/>
    <w:rsid w:val="00B62138"/>
    <w:rsid w:val="00B625E2"/>
    <w:rsid w:val="00B62A38"/>
    <w:rsid w:val="00B62DB7"/>
    <w:rsid w:val="00B62EC4"/>
    <w:rsid w:val="00B62EF4"/>
    <w:rsid w:val="00B62F26"/>
    <w:rsid w:val="00B63353"/>
    <w:rsid w:val="00B6368F"/>
    <w:rsid w:val="00B63716"/>
    <w:rsid w:val="00B63B9D"/>
    <w:rsid w:val="00B63C25"/>
    <w:rsid w:val="00B63CF0"/>
    <w:rsid w:val="00B63EE4"/>
    <w:rsid w:val="00B64175"/>
    <w:rsid w:val="00B6437B"/>
    <w:rsid w:val="00B6440A"/>
    <w:rsid w:val="00B64509"/>
    <w:rsid w:val="00B6460F"/>
    <w:rsid w:val="00B646E5"/>
    <w:rsid w:val="00B64D0E"/>
    <w:rsid w:val="00B65065"/>
    <w:rsid w:val="00B65815"/>
    <w:rsid w:val="00B66352"/>
    <w:rsid w:val="00B667AA"/>
    <w:rsid w:val="00B66A0E"/>
    <w:rsid w:val="00B66FDB"/>
    <w:rsid w:val="00B67375"/>
    <w:rsid w:val="00B67406"/>
    <w:rsid w:val="00B6747D"/>
    <w:rsid w:val="00B676B1"/>
    <w:rsid w:val="00B67803"/>
    <w:rsid w:val="00B67A0D"/>
    <w:rsid w:val="00B67BB2"/>
    <w:rsid w:val="00B700C3"/>
    <w:rsid w:val="00B701EC"/>
    <w:rsid w:val="00B7055E"/>
    <w:rsid w:val="00B708CF"/>
    <w:rsid w:val="00B70BBA"/>
    <w:rsid w:val="00B70CBF"/>
    <w:rsid w:val="00B70E4E"/>
    <w:rsid w:val="00B70E6A"/>
    <w:rsid w:val="00B70FAC"/>
    <w:rsid w:val="00B712A6"/>
    <w:rsid w:val="00B71716"/>
    <w:rsid w:val="00B717BB"/>
    <w:rsid w:val="00B7199A"/>
    <w:rsid w:val="00B71E46"/>
    <w:rsid w:val="00B71F60"/>
    <w:rsid w:val="00B72207"/>
    <w:rsid w:val="00B72379"/>
    <w:rsid w:val="00B724F6"/>
    <w:rsid w:val="00B7252F"/>
    <w:rsid w:val="00B7277D"/>
    <w:rsid w:val="00B72803"/>
    <w:rsid w:val="00B72998"/>
    <w:rsid w:val="00B72CD2"/>
    <w:rsid w:val="00B72EC5"/>
    <w:rsid w:val="00B7334B"/>
    <w:rsid w:val="00B735C5"/>
    <w:rsid w:val="00B73682"/>
    <w:rsid w:val="00B73B96"/>
    <w:rsid w:val="00B73C6D"/>
    <w:rsid w:val="00B73D05"/>
    <w:rsid w:val="00B73DAA"/>
    <w:rsid w:val="00B74639"/>
    <w:rsid w:val="00B74915"/>
    <w:rsid w:val="00B7525E"/>
    <w:rsid w:val="00B754F5"/>
    <w:rsid w:val="00B75975"/>
    <w:rsid w:val="00B75B3B"/>
    <w:rsid w:val="00B75B44"/>
    <w:rsid w:val="00B75CD1"/>
    <w:rsid w:val="00B75DBC"/>
    <w:rsid w:val="00B75E35"/>
    <w:rsid w:val="00B76864"/>
    <w:rsid w:val="00B76A8D"/>
    <w:rsid w:val="00B76B8C"/>
    <w:rsid w:val="00B77024"/>
    <w:rsid w:val="00B77220"/>
    <w:rsid w:val="00B77650"/>
    <w:rsid w:val="00B7798F"/>
    <w:rsid w:val="00B77A98"/>
    <w:rsid w:val="00B77AB6"/>
    <w:rsid w:val="00B77ABF"/>
    <w:rsid w:val="00B77F21"/>
    <w:rsid w:val="00B77F65"/>
    <w:rsid w:val="00B8069E"/>
    <w:rsid w:val="00B806A2"/>
    <w:rsid w:val="00B815C4"/>
    <w:rsid w:val="00B81C85"/>
    <w:rsid w:val="00B823DA"/>
    <w:rsid w:val="00B829E9"/>
    <w:rsid w:val="00B82E7C"/>
    <w:rsid w:val="00B8318E"/>
    <w:rsid w:val="00B83574"/>
    <w:rsid w:val="00B8372F"/>
    <w:rsid w:val="00B838E3"/>
    <w:rsid w:val="00B83C90"/>
    <w:rsid w:val="00B83D88"/>
    <w:rsid w:val="00B83FF2"/>
    <w:rsid w:val="00B8437D"/>
    <w:rsid w:val="00B845E4"/>
    <w:rsid w:val="00B8494E"/>
    <w:rsid w:val="00B849B8"/>
    <w:rsid w:val="00B849C1"/>
    <w:rsid w:val="00B84AED"/>
    <w:rsid w:val="00B84D04"/>
    <w:rsid w:val="00B8556E"/>
    <w:rsid w:val="00B85BE5"/>
    <w:rsid w:val="00B86635"/>
    <w:rsid w:val="00B86922"/>
    <w:rsid w:val="00B86B58"/>
    <w:rsid w:val="00B86CC5"/>
    <w:rsid w:val="00B86D84"/>
    <w:rsid w:val="00B86FE3"/>
    <w:rsid w:val="00B875CF"/>
    <w:rsid w:val="00B875FD"/>
    <w:rsid w:val="00B87615"/>
    <w:rsid w:val="00B90028"/>
    <w:rsid w:val="00B901B0"/>
    <w:rsid w:val="00B90540"/>
    <w:rsid w:val="00B9068F"/>
    <w:rsid w:val="00B909E9"/>
    <w:rsid w:val="00B90A75"/>
    <w:rsid w:val="00B90BC2"/>
    <w:rsid w:val="00B90E61"/>
    <w:rsid w:val="00B90F49"/>
    <w:rsid w:val="00B90FF8"/>
    <w:rsid w:val="00B91223"/>
    <w:rsid w:val="00B9143B"/>
    <w:rsid w:val="00B91BCB"/>
    <w:rsid w:val="00B91F3B"/>
    <w:rsid w:val="00B9208C"/>
    <w:rsid w:val="00B9208F"/>
    <w:rsid w:val="00B92223"/>
    <w:rsid w:val="00B922D0"/>
    <w:rsid w:val="00B92418"/>
    <w:rsid w:val="00B92895"/>
    <w:rsid w:val="00B92D83"/>
    <w:rsid w:val="00B92EDD"/>
    <w:rsid w:val="00B9304E"/>
    <w:rsid w:val="00B93174"/>
    <w:rsid w:val="00B932A1"/>
    <w:rsid w:val="00B93702"/>
    <w:rsid w:val="00B9380C"/>
    <w:rsid w:val="00B9390D"/>
    <w:rsid w:val="00B93927"/>
    <w:rsid w:val="00B939F2"/>
    <w:rsid w:val="00B93B24"/>
    <w:rsid w:val="00B93CCD"/>
    <w:rsid w:val="00B93E1C"/>
    <w:rsid w:val="00B940A0"/>
    <w:rsid w:val="00B9438E"/>
    <w:rsid w:val="00B9499D"/>
    <w:rsid w:val="00B94A3E"/>
    <w:rsid w:val="00B94CC6"/>
    <w:rsid w:val="00B94DD8"/>
    <w:rsid w:val="00B94E25"/>
    <w:rsid w:val="00B95045"/>
    <w:rsid w:val="00B95336"/>
    <w:rsid w:val="00B956EA"/>
    <w:rsid w:val="00B95727"/>
    <w:rsid w:val="00B95968"/>
    <w:rsid w:val="00B962DD"/>
    <w:rsid w:val="00B96382"/>
    <w:rsid w:val="00B9663D"/>
    <w:rsid w:val="00B9668B"/>
    <w:rsid w:val="00B96EA2"/>
    <w:rsid w:val="00B96F0E"/>
    <w:rsid w:val="00B972E6"/>
    <w:rsid w:val="00B97313"/>
    <w:rsid w:val="00B97533"/>
    <w:rsid w:val="00B9790C"/>
    <w:rsid w:val="00B97916"/>
    <w:rsid w:val="00B97C49"/>
    <w:rsid w:val="00B97D79"/>
    <w:rsid w:val="00BA0005"/>
    <w:rsid w:val="00BA009A"/>
    <w:rsid w:val="00BA07AA"/>
    <w:rsid w:val="00BA088F"/>
    <w:rsid w:val="00BA08E7"/>
    <w:rsid w:val="00BA0CBB"/>
    <w:rsid w:val="00BA101B"/>
    <w:rsid w:val="00BA115B"/>
    <w:rsid w:val="00BA1193"/>
    <w:rsid w:val="00BA14B4"/>
    <w:rsid w:val="00BA170F"/>
    <w:rsid w:val="00BA1B8A"/>
    <w:rsid w:val="00BA1C34"/>
    <w:rsid w:val="00BA1E32"/>
    <w:rsid w:val="00BA244E"/>
    <w:rsid w:val="00BA248D"/>
    <w:rsid w:val="00BA2AF0"/>
    <w:rsid w:val="00BA2E68"/>
    <w:rsid w:val="00BA3415"/>
    <w:rsid w:val="00BA34EF"/>
    <w:rsid w:val="00BA35C5"/>
    <w:rsid w:val="00BA3DB0"/>
    <w:rsid w:val="00BA420A"/>
    <w:rsid w:val="00BA429F"/>
    <w:rsid w:val="00BA4483"/>
    <w:rsid w:val="00BA47B5"/>
    <w:rsid w:val="00BA47BA"/>
    <w:rsid w:val="00BA5BBE"/>
    <w:rsid w:val="00BA5D4D"/>
    <w:rsid w:val="00BA601E"/>
    <w:rsid w:val="00BA6796"/>
    <w:rsid w:val="00BA6CE3"/>
    <w:rsid w:val="00BA7410"/>
    <w:rsid w:val="00BA783F"/>
    <w:rsid w:val="00BA7DAF"/>
    <w:rsid w:val="00BA7F1C"/>
    <w:rsid w:val="00BA7F89"/>
    <w:rsid w:val="00BB0641"/>
    <w:rsid w:val="00BB06D0"/>
    <w:rsid w:val="00BB06F1"/>
    <w:rsid w:val="00BB07AD"/>
    <w:rsid w:val="00BB0A59"/>
    <w:rsid w:val="00BB0C10"/>
    <w:rsid w:val="00BB10A6"/>
    <w:rsid w:val="00BB14B3"/>
    <w:rsid w:val="00BB1634"/>
    <w:rsid w:val="00BB1989"/>
    <w:rsid w:val="00BB19B9"/>
    <w:rsid w:val="00BB1A7A"/>
    <w:rsid w:val="00BB1B35"/>
    <w:rsid w:val="00BB1C3A"/>
    <w:rsid w:val="00BB1D21"/>
    <w:rsid w:val="00BB1E0F"/>
    <w:rsid w:val="00BB1F8C"/>
    <w:rsid w:val="00BB2049"/>
    <w:rsid w:val="00BB2478"/>
    <w:rsid w:val="00BB283F"/>
    <w:rsid w:val="00BB2E0A"/>
    <w:rsid w:val="00BB304A"/>
    <w:rsid w:val="00BB36E9"/>
    <w:rsid w:val="00BB3A47"/>
    <w:rsid w:val="00BB472A"/>
    <w:rsid w:val="00BB4968"/>
    <w:rsid w:val="00BB4D37"/>
    <w:rsid w:val="00BB595E"/>
    <w:rsid w:val="00BB62EB"/>
    <w:rsid w:val="00BB6B28"/>
    <w:rsid w:val="00BB6C1E"/>
    <w:rsid w:val="00BB6F11"/>
    <w:rsid w:val="00BB78A2"/>
    <w:rsid w:val="00BB79D5"/>
    <w:rsid w:val="00BB7CF9"/>
    <w:rsid w:val="00BB7D93"/>
    <w:rsid w:val="00BB7F3D"/>
    <w:rsid w:val="00BB7F4A"/>
    <w:rsid w:val="00BB7F6F"/>
    <w:rsid w:val="00BC023D"/>
    <w:rsid w:val="00BC02AD"/>
    <w:rsid w:val="00BC0843"/>
    <w:rsid w:val="00BC0B78"/>
    <w:rsid w:val="00BC0DD0"/>
    <w:rsid w:val="00BC0FA1"/>
    <w:rsid w:val="00BC1045"/>
    <w:rsid w:val="00BC1091"/>
    <w:rsid w:val="00BC11E5"/>
    <w:rsid w:val="00BC16E6"/>
    <w:rsid w:val="00BC1855"/>
    <w:rsid w:val="00BC19F1"/>
    <w:rsid w:val="00BC1C2B"/>
    <w:rsid w:val="00BC1DEF"/>
    <w:rsid w:val="00BC2002"/>
    <w:rsid w:val="00BC20DC"/>
    <w:rsid w:val="00BC2429"/>
    <w:rsid w:val="00BC2499"/>
    <w:rsid w:val="00BC24EB"/>
    <w:rsid w:val="00BC2ADB"/>
    <w:rsid w:val="00BC2D3F"/>
    <w:rsid w:val="00BC2F20"/>
    <w:rsid w:val="00BC32C6"/>
    <w:rsid w:val="00BC3696"/>
    <w:rsid w:val="00BC403B"/>
    <w:rsid w:val="00BC4592"/>
    <w:rsid w:val="00BC45B2"/>
    <w:rsid w:val="00BC4CCB"/>
    <w:rsid w:val="00BC501F"/>
    <w:rsid w:val="00BC5605"/>
    <w:rsid w:val="00BC56CC"/>
    <w:rsid w:val="00BC5A47"/>
    <w:rsid w:val="00BC5C5B"/>
    <w:rsid w:val="00BC623D"/>
    <w:rsid w:val="00BC65F3"/>
    <w:rsid w:val="00BC674D"/>
    <w:rsid w:val="00BC676B"/>
    <w:rsid w:val="00BC6FB2"/>
    <w:rsid w:val="00BC745B"/>
    <w:rsid w:val="00BC7594"/>
    <w:rsid w:val="00BC75A5"/>
    <w:rsid w:val="00BC79F3"/>
    <w:rsid w:val="00BC7BA4"/>
    <w:rsid w:val="00BC7CD6"/>
    <w:rsid w:val="00BD00E2"/>
    <w:rsid w:val="00BD0116"/>
    <w:rsid w:val="00BD032B"/>
    <w:rsid w:val="00BD0583"/>
    <w:rsid w:val="00BD1253"/>
    <w:rsid w:val="00BD127E"/>
    <w:rsid w:val="00BD178B"/>
    <w:rsid w:val="00BD18CE"/>
    <w:rsid w:val="00BD1D26"/>
    <w:rsid w:val="00BD1E7E"/>
    <w:rsid w:val="00BD204D"/>
    <w:rsid w:val="00BD27C8"/>
    <w:rsid w:val="00BD2A64"/>
    <w:rsid w:val="00BD2A79"/>
    <w:rsid w:val="00BD2AEE"/>
    <w:rsid w:val="00BD2CBA"/>
    <w:rsid w:val="00BD2DE7"/>
    <w:rsid w:val="00BD30F8"/>
    <w:rsid w:val="00BD318D"/>
    <w:rsid w:val="00BD33B0"/>
    <w:rsid w:val="00BD372D"/>
    <w:rsid w:val="00BD3FD9"/>
    <w:rsid w:val="00BD41D2"/>
    <w:rsid w:val="00BD4936"/>
    <w:rsid w:val="00BD4EEE"/>
    <w:rsid w:val="00BD598E"/>
    <w:rsid w:val="00BD5DDB"/>
    <w:rsid w:val="00BD5FC8"/>
    <w:rsid w:val="00BD6545"/>
    <w:rsid w:val="00BD6574"/>
    <w:rsid w:val="00BD6595"/>
    <w:rsid w:val="00BD66FE"/>
    <w:rsid w:val="00BD70E7"/>
    <w:rsid w:val="00BD7111"/>
    <w:rsid w:val="00BD711C"/>
    <w:rsid w:val="00BD7488"/>
    <w:rsid w:val="00BD75DE"/>
    <w:rsid w:val="00BD774F"/>
    <w:rsid w:val="00BD788B"/>
    <w:rsid w:val="00BD7DEB"/>
    <w:rsid w:val="00BE070C"/>
    <w:rsid w:val="00BE0BAD"/>
    <w:rsid w:val="00BE1171"/>
    <w:rsid w:val="00BE13F4"/>
    <w:rsid w:val="00BE17E0"/>
    <w:rsid w:val="00BE189B"/>
    <w:rsid w:val="00BE1E95"/>
    <w:rsid w:val="00BE242D"/>
    <w:rsid w:val="00BE2638"/>
    <w:rsid w:val="00BE2A1D"/>
    <w:rsid w:val="00BE2DB8"/>
    <w:rsid w:val="00BE3025"/>
    <w:rsid w:val="00BE367D"/>
    <w:rsid w:val="00BE3A47"/>
    <w:rsid w:val="00BE3F6C"/>
    <w:rsid w:val="00BE4014"/>
    <w:rsid w:val="00BE454A"/>
    <w:rsid w:val="00BE4BFA"/>
    <w:rsid w:val="00BE4E6D"/>
    <w:rsid w:val="00BE5415"/>
    <w:rsid w:val="00BE548F"/>
    <w:rsid w:val="00BE59D3"/>
    <w:rsid w:val="00BE62A4"/>
    <w:rsid w:val="00BE64F6"/>
    <w:rsid w:val="00BE659A"/>
    <w:rsid w:val="00BE663C"/>
    <w:rsid w:val="00BE6715"/>
    <w:rsid w:val="00BE68EC"/>
    <w:rsid w:val="00BE6CB4"/>
    <w:rsid w:val="00BE7461"/>
    <w:rsid w:val="00BE7630"/>
    <w:rsid w:val="00BE7971"/>
    <w:rsid w:val="00BE7B9A"/>
    <w:rsid w:val="00BF00B7"/>
    <w:rsid w:val="00BF03AE"/>
    <w:rsid w:val="00BF04D2"/>
    <w:rsid w:val="00BF053A"/>
    <w:rsid w:val="00BF0610"/>
    <w:rsid w:val="00BF0A7B"/>
    <w:rsid w:val="00BF0B52"/>
    <w:rsid w:val="00BF0B83"/>
    <w:rsid w:val="00BF0C93"/>
    <w:rsid w:val="00BF0D3B"/>
    <w:rsid w:val="00BF1039"/>
    <w:rsid w:val="00BF112F"/>
    <w:rsid w:val="00BF114F"/>
    <w:rsid w:val="00BF1FCA"/>
    <w:rsid w:val="00BF20E9"/>
    <w:rsid w:val="00BF266E"/>
    <w:rsid w:val="00BF2A82"/>
    <w:rsid w:val="00BF2B0C"/>
    <w:rsid w:val="00BF37CF"/>
    <w:rsid w:val="00BF3931"/>
    <w:rsid w:val="00BF3CBB"/>
    <w:rsid w:val="00BF3EA8"/>
    <w:rsid w:val="00BF4188"/>
    <w:rsid w:val="00BF4A1F"/>
    <w:rsid w:val="00BF4B0C"/>
    <w:rsid w:val="00BF4B34"/>
    <w:rsid w:val="00BF5127"/>
    <w:rsid w:val="00BF534C"/>
    <w:rsid w:val="00BF5832"/>
    <w:rsid w:val="00BF59D3"/>
    <w:rsid w:val="00BF6187"/>
    <w:rsid w:val="00BF670E"/>
    <w:rsid w:val="00BF6993"/>
    <w:rsid w:val="00BF6F4C"/>
    <w:rsid w:val="00BF6F87"/>
    <w:rsid w:val="00BF7085"/>
    <w:rsid w:val="00BF71AF"/>
    <w:rsid w:val="00BF7513"/>
    <w:rsid w:val="00BF7746"/>
    <w:rsid w:val="00BF7761"/>
    <w:rsid w:val="00BF7967"/>
    <w:rsid w:val="00BF7CEF"/>
    <w:rsid w:val="00BF7E6F"/>
    <w:rsid w:val="00C001EF"/>
    <w:rsid w:val="00C0062E"/>
    <w:rsid w:val="00C006FC"/>
    <w:rsid w:val="00C00A28"/>
    <w:rsid w:val="00C00CDD"/>
    <w:rsid w:val="00C014E3"/>
    <w:rsid w:val="00C0184C"/>
    <w:rsid w:val="00C02008"/>
    <w:rsid w:val="00C0210B"/>
    <w:rsid w:val="00C02265"/>
    <w:rsid w:val="00C02621"/>
    <w:rsid w:val="00C02BB2"/>
    <w:rsid w:val="00C02C50"/>
    <w:rsid w:val="00C02EFF"/>
    <w:rsid w:val="00C02FA9"/>
    <w:rsid w:val="00C034B7"/>
    <w:rsid w:val="00C0395D"/>
    <w:rsid w:val="00C03A57"/>
    <w:rsid w:val="00C03E23"/>
    <w:rsid w:val="00C04203"/>
    <w:rsid w:val="00C04652"/>
    <w:rsid w:val="00C049A5"/>
    <w:rsid w:val="00C04CBE"/>
    <w:rsid w:val="00C04FD7"/>
    <w:rsid w:val="00C05000"/>
    <w:rsid w:val="00C05035"/>
    <w:rsid w:val="00C054FD"/>
    <w:rsid w:val="00C0559B"/>
    <w:rsid w:val="00C059F6"/>
    <w:rsid w:val="00C05BC5"/>
    <w:rsid w:val="00C0618C"/>
    <w:rsid w:val="00C06201"/>
    <w:rsid w:val="00C06223"/>
    <w:rsid w:val="00C06387"/>
    <w:rsid w:val="00C06473"/>
    <w:rsid w:val="00C06AC7"/>
    <w:rsid w:val="00C071BA"/>
    <w:rsid w:val="00C0779C"/>
    <w:rsid w:val="00C07BA1"/>
    <w:rsid w:val="00C07BAD"/>
    <w:rsid w:val="00C07CAB"/>
    <w:rsid w:val="00C07D3D"/>
    <w:rsid w:val="00C07F17"/>
    <w:rsid w:val="00C07F5C"/>
    <w:rsid w:val="00C1049D"/>
    <w:rsid w:val="00C1091A"/>
    <w:rsid w:val="00C10A02"/>
    <w:rsid w:val="00C10EF5"/>
    <w:rsid w:val="00C10FA8"/>
    <w:rsid w:val="00C11249"/>
    <w:rsid w:val="00C11B7A"/>
    <w:rsid w:val="00C11E80"/>
    <w:rsid w:val="00C122C2"/>
    <w:rsid w:val="00C124AF"/>
    <w:rsid w:val="00C12C38"/>
    <w:rsid w:val="00C12DBF"/>
    <w:rsid w:val="00C12F64"/>
    <w:rsid w:val="00C12F84"/>
    <w:rsid w:val="00C1324F"/>
    <w:rsid w:val="00C1329C"/>
    <w:rsid w:val="00C132EB"/>
    <w:rsid w:val="00C138D6"/>
    <w:rsid w:val="00C13D0E"/>
    <w:rsid w:val="00C14315"/>
    <w:rsid w:val="00C14488"/>
    <w:rsid w:val="00C144CC"/>
    <w:rsid w:val="00C149BD"/>
    <w:rsid w:val="00C14B7E"/>
    <w:rsid w:val="00C15036"/>
    <w:rsid w:val="00C15245"/>
    <w:rsid w:val="00C154AA"/>
    <w:rsid w:val="00C1559B"/>
    <w:rsid w:val="00C15653"/>
    <w:rsid w:val="00C1565F"/>
    <w:rsid w:val="00C15915"/>
    <w:rsid w:val="00C15B72"/>
    <w:rsid w:val="00C15E0F"/>
    <w:rsid w:val="00C15FEF"/>
    <w:rsid w:val="00C16586"/>
    <w:rsid w:val="00C1660A"/>
    <w:rsid w:val="00C1662B"/>
    <w:rsid w:val="00C16E9A"/>
    <w:rsid w:val="00C16EAC"/>
    <w:rsid w:val="00C16F4C"/>
    <w:rsid w:val="00C174F4"/>
    <w:rsid w:val="00C20242"/>
    <w:rsid w:val="00C20681"/>
    <w:rsid w:val="00C2096A"/>
    <w:rsid w:val="00C209BE"/>
    <w:rsid w:val="00C20B54"/>
    <w:rsid w:val="00C20F51"/>
    <w:rsid w:val="00C2184B"/>
    <w:rsid w:val="00C2188C"/>
    <w:rsid w:val="00C21D4B"/>
    <w:rsid w:val="00C21F05"/>
    <w:rsid w:val="00C2255D"/>
    <w:rsid w:val="00C22614"/>
    <w:rsid w:val="00C228A1"/>
    <w:rsid w:val="00C22952"/>
    <w:rsid w:val="00C22A62"/>
    <w:rsid w:val="00C22C06"/>
    <w:rsid w:val="00C22E94"/>
    <w:rsid w:val="00C23A90"/>
    <w:rsid w:val="00C23D19"/>
    <w:rsid w:val="00C23D5B"/>
    <w:rsid w:val="00C24560"/>
    <w:rsid w:val="00C24672"/>
    <w:rsid w:val="00C246CD"/>
    <w:rsid w:val="00C2489B"/>
    <w:rsid w:val="00C24C08"/>
    <w:rsid w:val="00C24C56"/>
    <w:rsid w:val="00C25172"/>
    <w:rsid w:val="00C2563D"/>
    <w:rsid w:val="00C2586A"/>
    <w:rsid w:val="00C25B36"/>
    <w:rsid w:val="00C25C89"/>
    <w:rsid w:val="00C25EE5"/>
    <w:rsid w:val="00C261B0"/>
    <w:rsid w:val="00C26471"/>
    <w:rsid w:val="00C26D68"/>
    <w:rsid w:val="00C26DFE"/>
    <w:rsid w:val="00C2711E"/>
    <w:rsid w:val="00C27AF9"/>
    <w:rsid w:val="00C3011C"/>
    <w:rsid w:val="00C3055E"/>
    <w:rsid w:val="00C305D8"/>
    <w:rsid w:val="00C308AC"/>
    <w:rsid w:val="00C3093B"/>
    <w:rsid w:val="00C310BC"/>
    <w:rsid w:val="00C314DD"/>
    <w:rsid w:val="00C31841"/>
    <w:rsid w:val="00C3188F"/>
    <w:rsid w:val="00C319D5"/>
    <w:rsid w:val="00C31B70"/>
    <w:rsid w:val="00C32048"/>
    <w:rsid w:val="00C32106"/>
    <w:rsid w:val="00C32FA0"/>
    <w:rsid w:val="00C32FE5"/>
    <w:rsid w:val="00C332C5"/>
    <w:rsid w:val="00C337AA"/>
    <w:rsid w:val="00C33964"/>
    <w:rsid w:val="00C339EF"/>
    <w:rsid w:val="00C33CF5"/>
    <w:rsid w:val="00C33F00"/>
    <w:rsid w:val="00C340FD"/>
    <w:rsid w:val="00C34176"/>
    <w:rsid w:val="00C341FD"/>
    <w:rsid w:val="00C34908"/>
    <w:rsid w:val="00C352EA"/>
    <w:rsid w:val="00C3582A"/>
    <w:rsid w:val="00C358CA"/>
    <w:rsid w:val="00C35902"/>
    <w:rsid w:val="00C35DAF"/>
    <w:rsid w:val="00C35FBC"/>
    <w:rsid w:val="00C3617B"/>
    <w:rsid w:val="00C364E6"/>
    <w:rsid w:val="00C3657B"/>
    <w:rsid w:val="00C36CE7"/>
    <w:rsid w:val="00C36CEF"/>
    <w:rsid w:val="00C36FA0"/>
    <w:rsid w:val="00C37092"/>
    <w:rsid w:val="00C37697"/>
    <w:rsid w:val="00C37949"/>
    <w:rsid w:val="00C37AA5"/>
    <w:rsid w:val="00C37E65"/>
    <w:rsid w:val="00C40579"/>
    <w:rsid w:val="00C406E7"/>
    <w:rsid w:val="00C408E2"/>
    <w:rsid w:val="00C40B2C"/>
    <w:rsid w:val="00C40C72"/>
    <w:rsid w:val="00C40C8B"/>
    <w:rsid w:val="00C40E45"/>
    <w:rsid w:val="00C4105F"/>
    <w:rsid w:val="00C41ACF"/>
    <w:rsid w:val="00C41C00"/>
    <w:rsid w:val="00C41EEB"/>
    <w:rsid w:val="00C4254A"/>
    <w:rsid w:val="00C42CF1"/>
    <w:rsid w:val="00C42F38"/>
    <w:rsid w:val="00C42FF7"/>
    <w:rsid w:val="00C4376E"/>
    <w:rsid w:val="00C43CC0"/>
    <w:rsid w:val="00C43EBF"/>
    <w:rsid w:val="00C44208"/>
    <w:rsid w:val="00C4446D"/>
    <w:rsid w:val="00C4454A"/>
    <w:rsid w:val="00C449BE"/>
    <w:rsid w:val="00C44EAD"/>
    <w:rsid w:val="00C44F90"/>
    <w:rsid w:val="00C45364"/>
    <w:rsid w:val="00C456A3"/>
    <w:rsid w:val="00C456A9"/>
    <w:rsid w:val="00C458BE"/>
    <w:rsid w:val="00C45920"/>
    <w:rsid w:val="00C45C97"/>
    <w:rsid w:val="00C45EA4"/>
    <w:rsid w:val="00C45F3B"/>
    <w:rsid w:val="00C463FF"/>
    <w:rsid w:val="00C46604"/>
    <w:rsid w:val="00C46AAB"/>
    <w:rsid w:val="00C46BE2"/>
    <w:rsid w:val="00C46D1C"/>
    <w:rsid w:val="00C474A2"/>
    <w:rsid w:val="00C475DC"/>
    <w:rsid w:val="00C4775B"/>
    <w:rsid w:val="00C478AD"/>
    <w:rsid w:val="00C47902"/>
    <w:rsid w:val="00C47A48"/>
    <w:rsid w:val="00C47E21"/>
    <w:rsid w:val="00C5006A"/>
    <w:rsid w:val="00C502E3"/>
    <w:rsid w:val="00C5032A"/>
    <w:rsid w:val="00C50445"/>
    <w:rsid w:val="00C505EF"/>
    <w:rsid w:val="00C50662"/>
    <w:rsid w:val="00C50E9E"/>
    <w:rsid w:val="00C50E9F"/>
    <w:rsid w:val="00C513A9"/>
    <w:rsid w:val="00C51458"/>
    <w:rsid w:val="00C5162F"/>
    <w:rsid w:val="00C51632"/>
    <w:rsid w:val="00C51643"/>
    <w:rsid w:val="00C517A4"/>
    <w:rsid w:val="00C51B10"/>
    <w:rsid w:val="00C51F5E"/>
    <w:rsid w:val="00C52BCE"/>
    <w:rsid w:val="00C52C57"/>
    <w:rsid w:val="00C52D20"/>
    <w:rsid w:val="00C52EE7"/>
    <w:rsid w:val="00C52FB9"/>
    <w:rsid w:val="00C5306B"/>
    <w:rsid w:val="00C53383"/>
    <w:rsid w:val="00C5352A"/>
    <w:rsid w:val="00C53AFF"/>
    <w:rsid w:val="00C54117"/>
    <w:rsid w:val="00C542F3"/>
    <w:rsid w:val="00C54506"/>
    <w:rsid w:val="00C54544"/>
    <w:rsid w:val="00C545C6"/>
    <w:rsid w:val="00C54651"/>
    <w:rsid w:val="00C5469E"/>
    <w:rsid w:val="00C54C03"/>
    <w:rsid w:val="00C54CA7"/>
    <w:rsid w:val="00C54DBF"/>
    <w:rsid w:val="00C54E64"/>
    <w:rsid w:val="00C5500C"/>
    <w:rsid w:val="00C5556B"/>
    <w:rsid w:val="00C55A23"/>
    <w:rsid w:val="00C55CE7"/>
    <w:rsid w:val="00C55D60"/>
    <w:rsid w:val="00C56DA0"/>
    <w:rsid w:val="00C56E04"/>
    <w:rsid w:val="00C57796"/>
    <w:rsid w:val="00C5789F"/>
    <w:rsid w:val="00C6020B"/>
    <w:rsid w:val="00C603DD"/>
    <w:rsid w:val="00C60482"/>
    <w:rsid w:val="00C606B1"/>
    <w:rsid w:val="00C607B1"/>
    <w:rsid w:val="00C6092D"/>
    <w:rsid w:val="00C60D3F"/>
    <w:rsid w:val="00C61225"/>
    <w:rsid w:val="00C613C4"/>
    <w:rsid w:val="00C619B0"/>
    <w:rsid w:val="00C61CFC"/>
    <w:rsid w:val="00C620CE"/>
    <w:rsid w:val="00C62369"/>
    <w:rsid w:val="00C62372"/>
    <w:rsid w:val="00C625EB"/>
    <w:rsid w:val="00C62896"/>
    <w:rsid w:val="00C62CC8"/>
    <w:rsid w:val="00C63055"/>
    <w:rsid w:val="00C63190"/>
    <w:rsid w:val="00C631D5"/>
    <w:rsid w:val="00C634FC"/>
    <w:rsid w:val="00C63616"/>
    <w:rsid w:val="00C63A60"/>
    <w:rsid w:val="00C63CB1"/>
    <w:rsid w:val="00C63F47"/>
    <w:rsid w:val="00C63F75"/>
    <w:rsid w:val="00C64343"/>
    <w:rsid w:val="00C64812"/>
    <w:rsid w:val="00C6495B"/>
    <w:rsid w:val="00C64B53"/>
    <w:rsid w:val="00C64EE5"/>
    <w:rsid w:val="00C64FB6"/>
    <w:rsid w:val="00C6545D"/>
    <w:rsid w:val="00C65990"/>
    <w:rsid w:val="00C65DFA"/>
    <w:rsid w:val="00C65E7B"/>
    <w:rsid w:val="00C660C5"/>
    <w:rsid w:val="00C664B6"/>
    <w:rsid w:val="00C664CD"/>
    <w:rsid w:val="00C665D3"/>
    <w:rsid w:val="00C66924"/>
    <w:rsid w:val="00C6697D"/>
    <w:rsid w:val="00C66D74"/>
    <w:rsid w:val="00C67833"/>
    <w:rsid w:val="00C67988"/>
    <w:rsid w:val="00C67E0C"/>
    <w:rsid w:val="00C67F28"/>
    <w:rsid w:val="00C70233"/>
    <w:rsid w:val="00C70414"/>
    <w:rsid w:val="00C70917"/>
    <w:rsid w:val="00C70A21"/>
    <w:rsid w:val="00C70F83"/>
    <w:rsid w:val="00C71184"/>
    <w:rsid w:val="00C712D7"/>
    <w:rsid w:val="00C722A4"/>
    <w:rsid w:val="00C72393"/>
    <w:rsid w:val="00C72569"/>
    <w:rsid w:val="00C72829"/>
    <w:rsid w:val="00C728D9"/>
    <w:rsid w:val="00C72E25"/>
    <w:rsid w:val="00C73291"/>
    <w:rsid w:val="00C73378"/>
    <w:rsid w:val="00C738AB"/>
    <w:rsid w:val="00C738FE"/>
    <w:rsid w:val="00C73956"/>
    <w:rsid w:val="00C73B11"/>
    <w:rsid w:val="00C73C13"/>
    <w:rsid w:val="00C73EF2"/>
    <w:rsid w:val="00C73FEF"/>
    <w:rsid w:val="00C7423E"/>
    <w:rsid w:val="00C74867"/>
    <w:rsid w:val="00C74A97"/>
    <w:rsid w:val="00C74D92"/>
    <w:rsid w:val="00C7518F"/>
    <w:rsid w:val="00C75221"/>
    <w:rsid w:val="00C75791"/>
    <w:rsid w:val="00C75D4E"/>
    <w:rsid w:val="00C75FEF"/>
    <w:rsid w:val="00C7614F"/>
    <w:rsid w:val="00C76441"/>
    <w:rsid w:val="00C76658"/>
    <w:rsid w:val="00C76D42"/>
    <w:rsid w:val="00C777B3"/>
    <w:rsid w:val="00C777D0"/>
    <w:rsid w:val="00C77825"/>
    <w:rsid w:val="00C77974"/>
    <w:rsid w:val="00C77997"/>
    <w:rsid w:val="00C779DD"/>
    <w:rsid w:val="00C77CD1"/>
    <w:rsid w:val="00C77E24"/>
    <w:rsid w:val="00C808B2"/>
    <w:rsid w:val="00C8132D"/>
    <w:rsid w:val="00C814D9"/>
    <w:rsid w:val="00C816C7"/>
    <w:rsid w:val="00C8178F"/>
    <w:rsid w:val="00C81ADD"/>
    <w:rsid w:val="00C81B6C"/>
    <w:rsid w:val="00C81BCE"/>
    <w:rsid w:val="00C81FA3"/>
    <w:rsid w:val="00C8268B"/>
    <w:rsid w:val="00C8291E"/>
    <w:rsid w:val="00C82F9D"/>
    <w:rsid w:val="00C83312"/>
    <w:rsid w:val="00C83A4A"/>
    <w:rsid w:val="00C83E1B"/>
    <w:rsid w:val="00C84225"/>
    <w:rsid w:val="00C8455E"/>
    <w:rsid w:val="00C847E4"/>
    <w:rsid w:val="00C85148"/>
    <w:rsid w:val="00C8525E"/>
    <w:rsid w:val="00C853C9"/>
    <w:rsid w:val="00C85587"/>
    <w:rsid w:val="00C85927"/>
    <w:rsid w:val="00C86131"/>
    <w:rsid w:val="00C867C2"/>
    <w:rsid w:val="00C86B38"/>
    <w:rsid w:val="00C86EC8"/>
    <w:rsid w:val="00C86F37"/>
    <w:rsid w:val="00C86FA2"/>
    <w:rsid w:val="00C8707B"/>
    <w:rsid w:val="00C87CCD"/>
    <w:rsid w:val="00C87DC3"/>
    <w:rsid w:val="00C87DDE"/>
    <w:rsid w:val="00C90030"/>
    <w:rsid w:val="00C900E7"/>
    <w:rsid w:val="00C90513"/>
    <w:rsid w:val="00C9055C"/>
    <w:rsid w:val="00C90778"/>
    <w:rsid w:val="00C90B7C"/>
    <w:rsid w:val="00C90C05"/>
    <w:rsid w:val="00C90F6E"/>
    <w:rsid w:val="00C91029"/>
    <w:rsid w:val="00C9108B"/>
    <w:rsid w:val="00C919AB"/>
    <w:rsid w:val="00C922D9"/>
    <w:rsid w:val="00C925D0"/>
    <w:rsid w:val="00C926D9"/>
    <w:rsid w:val="00C92713"/>
    <w:rsid w:val="00C92822"/>
    <w:rsid w:val="00C929D9"/>
    <w:rsid w:val="00C92D13"/>
    <w:rsid w:val="00C92F76"/>
    <w:rsid w:val="00C93063"/>
    <w:rsid w:val="00C93157"/>
    <w:rsid w:val="00C93524"/>
    <w:rsid w:val="00C93BD2"/>
    <w:rsid w:val="00C93E37"/>
    <w:rsid w:val="00C94200"/>
    <w:rsid w:val="00C94622"/>
    <w:rsid w:val="00C94CCA"/>
    <w:rsid w:val="00C953FD"/>
    <w:rsid w:val="00C95549"/>
    <w:rsid w:val="00C95554"/>
    <w:rsid w:val="00C9588C"/>
    <w:rsid w:val="00C95A30"/>
    <w:rsid w:val="00C9603E"/>
    <w:rsid w:val="00C96111"/>
    <w:rsid w:val="00C961B4"/>
    <w:rsid w:val="00C962B8"/>
    <w:rsid w:val="00C9638C"/>
    <w:rsid w:val="00C96486"/>
    <w:rsid w:val="00C966C8"/>
    <w:rsid w:val="00C96BD9"/>
    <w:rsid w:val="00C97226"/>
    <w:rsid w:val="00C97C43"/>
    <w:rsid w:val="00C97D0B"/>
    <w:rsid w:val="00C97E69"/>
    <w:rsid w:val="00CA004C"/>
    <w:rsid w:val="00CA0334"/>
    <w:rsid w:val="00CA105F"/>
    <w:rsid w:val="00CA1C27"/>
    <w:rsid w:val="00CA2492"/>
    <w:rsid w:val="00CA272A"/>
    <w:rsid w:val="00CA2916"/>
    <w:rsid w:val="00CA2931"/>
    <w:rsid w:val="00CA2A49"/>
    <w:rsid w:val="00CA2E46"/>
    <w:rsid w:val="00CA2FDA"/>
    <w:rsid w:val="00CA33C4"/>
    <w:rsid w:val="00CA36F2"/>
    <w:rsid w:val="00CA3929"/>
    <w:rsid w:val="00CA3B7C"/>
    <w:rsid w:val="00CA4200"/>
    <w:rsid w:val="00CA440F"/>
    <w:rsid w:val="00CA460B"/>
    <w:rsid w:val="00CA4A6B"/>
    <w:rsid w:val="00CA4FA3"/>
    <w:rsid w:val="00CA561F"/>
    <w:rsid w:val="00CA576F"/>
    <w:rsid w:val="00CA5AB6"/>
    <w:rsid w:val="00CA5E27"/>
    <w:rsid w:val="00CA5F53"/>
    <w:rsid w:val="00CA6335"/>
    <w:rsid w:val="00CA644C"/>
    <w:rsid w:val="00CA66A4"/>
    <w:rsid w:val="00CA6A9A"/>
    <w:rsid w:val="00CA6DAF"/>
    <w:rsid w:val="00CA6F08"/>
    <w:rsid w:val="00CA7683"/>
    <w:rsid w:val="00CA7700"/>
    <w:rsid w:val="00CA7776"/>
    <w:rsid w:val="00CA7B22"/>
    <w:rsid w:val="00CA7C06"/>
    <w:rsid w:val="00CA7C7F"/>
    <w:rsid w:val="00CA7D41"/>
    <w:rsid w:val="00CB0023"/>
    <w:rsid w:val="00CB033A"/>
    <w:rsid w:val="00CB054E"/>
    <w:rsid w:val="00CB0768"/>
    <w:rsid w:val="00CB08E8"/>
    <w:rsid w:val="00CB0DD1"/>
    <w:rsid w:val="00CB0FE2"/>
    <w:rsid w:val="00CB1727"/>
    <w:rsid w:val="00CB1822"/>
    <w:rsid w:val="00CB1C78"/>
    <w:rsid w:val="00CB1D1B"/>
    <w:rsid w:val="00CB1DD7"/>
    <w:rsid w:val="00CB1E8B"/>
    <w:rsid w:val="00CB21E2"/>
    <w:rsid w:val="00CB2FBC"/>
    <w:rsid w:val="00CB3124"/>
    <w:rsid w:val="00CB3704"/>
    <w:rsid w:val="00CB39B2"/>
    <w:rsid w:val="00CB39E1"/>
    <w:rsid w:val="00CB3BB5"/>
    <w:rsid w:val="00CB3CBA"/>
    <w:rsid w:val="00CB420E"/>
    <w:rsid w:val="00CB4BE6"/>
    <w:rsid w:val="00CB52F0"/>
    <w:rsid w:val="00CB5DB8"/>
    <w:rsid w:val="00CB5DD2"/>
    <w:rsid w:val="00CB67AA"/>
    <w:rsid w:val="00CB6B79"/>
    <w:rsid w:val="00CB712E"/>
    <w:rsid w:val="00CB726F"/>
    <w:rsid w:val="00CB7BE3"/>
    <w:rsid w:val="00CB7C12"/>
    <w:rsid w:val="00CB7C8B"/>
    <w:rsid w:val="00CB7EFB"/>
    <w:rsid w:val="00CC01A1"/>
    <w:rsid w:val="00CC05B7"/>
    <w:rsid w:val="00CC07BA"/>
    <w:rsid w:val="00CC0CB8"/>
    <w:rsid w:val="00CC1154"/>
    <w:rsid w:val="00CC1158"/>
    <w:rsid w:val="00CC16D5"/>
    <w:rsid w:val="00CC1B32"/>
    <w:rsid w:val="00CC1E4E"/>
    <w:rsid w:val="00CC1EFF"/>
    <w:rsid w:val="00CC1F48"/>
    <w:rsid w:val="00CC237A"/>
    <w:rsid w:val="00CC25A9"/>
    <w:rsid w:val="00CC28C0"/>
    <w:rsid w:val="00CC29D6"/>
    <w:rsid w:val="00CC43BA"/>
    <w:rsid w:val="00CC445E"/>
    <w:rsid w:val="00CC4572"/>
    <w:rsid w:val="00CC49C8"/>
    <w:rsid w:val="00CC4BD7"/>
    <w:rsid w:val="00CC4C80"/>
    <w:rsid w:val="00CC4E82"/>
    <w:rsid w:val="00CC4F91"/>
    <w:rsid w:val="00CC50EF"/>
    <w:rsid w:val="00CC519A"/>
    <w:rsid w:val="00CC55DD"/>
    <w:rsid w:val="00CC56D3"/>
    <w:rsid w:val="00CC5801"/>
    <w:rsid w:val="00CC5814"/>
    <w:rsid w:val="00CC59C9"/>
    <w:rsid w:val="00CC59CC"/>
    <w:rsid w:val="00CC5B00"/>
    <w:rsid w:val="00CC5BBA"/>
    <w:rsid w:val="00CC6812"/>
    <w:rsid w:val="00CC6A35"/>
    <w:rsid w:val="00CC6AFE"/>
    <w:rsid w:val="00CC6ECF"/>
    <w:rsid w:val="00CC709D"/>
    <w:rsid w:val="00CC745E"/>
    <w:rsid w:val="00CC7633"/>
    <w:rsid w:val="00CC7649"/>
    <w:rsid w:val="00CC7858"/>
    <w:rsid w:val="00CC78CA"/>
    <w:rsid w:val="00CC7FC5"/>
    <w:rsid w:val="00CD0392"/>
    <w:rsid w:val="00CD0398"/>
    <w:rsid w:val="00CD0DEA"/>
    <w:rsid w:val="00CD153A"/>
    <w:rsid w:val="00CD1661"/>
    <w:rsid w:val="00CD1913"/>
    <w:rsid w:val="00CD191B"/>
    <w:rsid w:val="00CD1B3A"/>
    <w:rsid w:val="00CD1CD4"/>
    <w:rsid w:val="00CD1F84"/>
    <w:rsid w:val="00CD1FBD"/>
    <w:rsid w:val="00CD21BE"/>
    <w:rsid w:val="00CD22D3"/>
    <w:rsid w:val="00CD2324"/>
    <w:rsid w:val="00CD28F5"/>
    <w:rsid w:val="00CD2A97"/>
    <w:rsid w:val="00CD2BA2"/>
    <w:rsid w:val="00CD2C5E"/>
    <w:rsid w:val="00CD3185"/>
    <w:rsid w:val="00CD31D3"/>
    <w:rsid w:val="00CD332F"/>
    <w:rsid w:val="00CD34CF"/>
    <w:rsid w:val="00CD3650"/>
    <w:rsid w:val="00CD3929"/>
    <w:rsid w:val="00CD39A6"/>
    <w:rsid w:val="00CD3BB3"/>
    <w:rsid w:val="00CD3BB5"/>
    <w:rsid w:val="00CD444F"/>
    <w:rsid w:val="00CD48C4"/>
    <w:rsid w:val="00CD4EF8"/>
    <w:rsid w:val="00CD50D8"/>
    <w:rsid w:val="00CD5160"/>
    <w:rsid w:val="00CD517E"/>
    <w:rsid w:val="00CD5223"/>
    <w:rsid w:val="00CD5518"/>
    <w:rsid w:val="00CD5617"/>
    <w:rsid w:val="00CD5804"/>
    <w:rsid w:val="00CD5A77"/>
    <w:rsid w:val="00CD5B8C"/>
    <w:rsid w:val="00CD5E2D"/>
    <w:rsid w:val="00CD62BC"/>
    <w:rsid w:val="00CD6630"/>
    <w:rsid w:val="00CD68E3"/>
    <w:rsid w:val="00CD7445"/>
    <w:rsid w:val="00CD78D2"/>
    <w:rsid w:val="00CD7AAB"/>
    <w:rsid w:val="00CD7E8E"/>
    <w:rsid w:val="00CE045E"/>
    <w:rsid w:val="00CE0506"/>
    <w:rsid w:val="00CE0566"/>
    <w:rsid w:val="00CE0678"/>
    <w:rsid w:val="00CE119B"/>
    <w:rsid w:val="00CE124A"/>
    <w:rsid w:val="00CE165E"/>
    <w:rsid w:val="00CE1744"/>
    <w:rsid w:val="00CE18CC"/>
    <w:rsid w:val="00CE1940"/>
    <w:rsid w:val="00CE19DE"/>
    <w:rsid w:val="00CE210B"/>
    <w:rsid w:val="00CE2224"/>
    <w:rsid w:val="00CE223E"/>
    <w:rsid w:val="00CE2342"/>
    <w:rsid w:val="00CE24E8"/>
    <w:rsid w:val="00CE272D"/>
    <w:rsid w:val="00CE32AD"/>
    <w:rsid w:val="00CE3655"/>
    <w:rsid w:val="00CE36A0"/>
    <w:rsid w:val="00CE372E"/>
    <w:rsid w:val="00CE3C4D"/>
    <w:rsid w:val="00CE3EDF"/>
    <w:rsid w:val="00CE4940"/>
    <w:rsid w:val="00CE4A82"/>
    <w:rsid w:val="00CE5071"/>
    <w:rsid w:val="00CE5327"/>
    <w:rsid w:val="00CE5C55"/>
    <w:rsid w:val="00CE6026"/>
    <w:rsid w:val="00CE639A"/>
    <w:rsid w:val="00CE64DF"/>
    <w:rsid w:val="00CE66EA"/>
    <w:rsid w:val="00CE67DF"/>
    <w:rsid w:val="00CE6AA1"/>
    <w:rsid w:val="00CE6E54"/>
    <w:rsid w:val="00CE6E80"/>
    <w:rsid w:val="00CE6FFD"/>
    <w:rsid w:val="00CE7243"/>
    <w:rsid w:val="00CE7655"/>
    <w:rsid w:val="00CE7961"/>
    <w:rsid w:val="00CE7A7B"/>
    <w:rsid w:val="00CE7D07"/>
    <w:rsid w:val="00CE7ECF"/>
    <w:rsid w:val="00CF0040"/>
    <w:rsid w:val="00CF01AD"/>
    <w:rsid w:val="00CF027D"/>
    <w:rsid w:val="00CF0511"/>
    <w:rsid w:val="00CF07DE"/>
    <w:rsid w:val="00CF0AA4"/>
    <w:rsid w:val="00CF0C2C"/>
    <w:rsid w:val="00CF0F5E"/>
    <w:rsid w:val="00CF13C6"/>
    <w:rsid w:val="00CF16D0"/>
    <w:rsid w:val="00CF18B3"/>
    <w:rsid w:val="00CF1A6C"/>
    <w:rsid w:val="00CF1C28"/>
    <w:rsid w:val="00CF1E6B"/>
    <w:rsid w:val="00CF1FA5"/>
    <w:rsid w:val="00CF2090"/>
    <w:rsid w:val="00CF24EA"/>
    <w:rsid w:val="00CF2507"/>
    <w:rsid w:val="00CF2723"/>
    <w:rsid w:val="00CF279A"/>
    <w:rsid w:val="00CF2DF5"/>
    <w:rsid w:val="00CF305D"/>
    <w:rsid w:val="00CF321B"/>
    <w:rsid w:val="00CF3524"/>
    <w:rsid w:val="00CF36FD"/>
    <w:rsid w:val="00CF39BC"/>
    <w:rsid w:val="00CF39D7"/>
    <w:rsid w:val="00CF3A8C"/>
    <w:rsid w:val="00CF4100"/>
    <w:rsid w:val="00CF418B"/>
    <w:rsid w:val="00CF42D0"/>
    <w:rsid w:val="00CF442E"/>
    <w:rsid w:val="00CF450A"/>
    <w:rsid w:val="00CF467B"/>
    <w:rsid w:val="00CF4887"/>
    <w:rsid w:val="00CF4D4C"/>
    <w:rsid w:val="00CF4D9A"/>
    <w:rsid w:val="00CF4DFC"/>
    <w:rsid w:val="00CF501D"/>
    <w:rsid w:val="00CF5485"/>
    <w:rsid w:val="00CF59A6"/>
    <w:rsid w:val="00CF5B6D"/>
    <w:rsid w:val="00CF5D75"/>
    <w:rsid w:val="00CF5FDB"/>
    <w:rsid w:val="00CF6111"/>
    <w:rsid w:val="00CF6804"/>
    <w:rsid w:val="00CF69A6"/>
    <w:rsid w:val="00CF6BC7"/>
    <w:rsid w:val="00CF6D9A"/>
    <w:rsid w:val="00CF6F87"/>
    <w:rsid w:val="00CF7742"/>
    <w:rsid w:val="00CF7A56"/>
    <w:rsid w:val="00CF7CEC"/>
    <w:rsid w:val="00D00480"/>
    <w:rsid w:val="00D00850"/>
    <w:rsid w:val="00D008A7"/>
    <w:rsid w:val="00D00969"/>
    <w:rsid w:val="00D00DA9"/>
    <w:rsid w:val="00D012B2"/>
    <w:rsid w:val="00D01304"/>
    <w:rsid w:val="00D015E0"/>
    <w:rsid w:val="00D01673"/>
    <w:rsid w:val="00D01792"/>
    <w:rsid w:val="00D017C3"/>
    <w:rsid w:val="00D01A27"/>
    <w:rsid w:val="00D01A8E"/>
    <w:rsid w:val="00D01D95"/>
    <w:rsid w:val="00D01DBA"/>
    <w:rsid w:val="00D02104"/>
    <w:rsid w:val="00D02232"/>
    <w:rsid w:val="00D02401"/>
    <w:rsid w:val="00D0295C"/>
    <w:rsid w:val="00D02A1E"/>
    <w:rsid w:val="00D02BB4"/>
    <w:rsid w:val="00D03584"/>
    <w:rsid w:val="00D03863"/>
    <w:rsid w:val="00D03FB3"/>
    <w:rsid w:val="00D0403F"/>
    <w:rsid w:val="00D04782"/>
    <w:rsid w:val="00D04E47"/>
    <w:rsid w:val="00D04FAE"/>
    <w:rsid w:val="00D05105"/>
    <w:rsid w:val="00D052E7"/>
    <w:rsid w:val="00D05817"/>
    <w:rsid w:val="00D0584B"/>
    <w:rsid w:val="00D06258"/>
    <w:rsid w:val="00D062FB"/>
    <w:rsid w:val="00D0682D"/>
    <w:rsid w:val="00D0694A"/>
    <w:rsid w:val="00D0696B"/>
    <w:rsid w:val="00D069F4"/>
    <w:rsid w:val="00D06ABB"/>
    <w:rsid w:val="00D06D18"/>
    <w:rsid w:val="00D06D7B"/>
    <w:rsid w:val="00D06EF5"/>
    <w:rsid w:val="00D073C3"/>
    <w:rsid w:val="00D074AA"/>
    <w:rsid w:val="00D074D4"/>
    <w:rsid w:val="00D0773C"/>
    <w:rsid w:val="00D1001D"/>
    <w:rsid w:val="00D10273"/>
    <w:rsid w:val="00D10455"/>
    <w:rsid w:val="00D10951"/>
    <w:rsid w:val="00D10BD3"/>
    <w:rsid w:val="00D10F53"/>
    <w:rsid w:val="00D10FD9"/>
    <w:rsid w:val="00D11340"/>
    <w:rsid w:val="00D11514"/>
    <w:rsid w:val="00D11BBC"/>
    <w:rsid w:val="00D11C39"/>
    <w:rsid w:val="00D11C5B"/>
    <w:rsid w:val="00D11E51"/>
    <w:rsid w:val="00D11E6C"/>
    <w:rsid w:val="00D11F7D"/>
    <w:rsid w:val="00D12088"/>
    <w:rsid w:val="00D1295A"/>
    <w:rsid w:val="00D12D32"/>
    <w:rsid w:val="00D12F1F"/>
    <w:rsid w:val="00D13034"/>
    <w:rsid w:val="00D13271"/>
    <w:rsid w:val="00D135D9"/>
    <w:rsid w:val="00D137A7"/>
    <w:rsid w:val="00D13BFD"/>
    <w:rsid w:val="00D14170"/>
    <w:rsid w:val="00D141A5"/>
    <w:rsid w:val="00D144D7"/>
    <w:rsid w:val="00D14510"/>
    <w:rsid w:val="00D145D7"/>
    <w:rsid w:val="00D148AF"/>
    <w:rsid w:val="00D14DFB"/>
    <w:rsid w:val="00D14F99"/>
    <w:rsid w:val="00D15286"/>
    <w:rsid w:val="00D15615"/>
    <w:rsid w:val="00D15852"/>
    <w:rsid w:val="00D15A2E"/>
    <w:rsid w:val="00D15C22"/>
    <w:rsid w:val="00D15E51"/>
    <w:rsid w:val="00D1620E"/>
    <w:rsid w:val="00D16CA9"/>
    <w:rsid w:val="00D16F3F"/>
    <w:rsid w:val="00D17144"/>
    <w:rsid w:val="00D171D0"/>
    <w:rsid w:val="00D171DC"/>
    <w:rsid w:val="00D17874"/>
    <w:rsid w:val="00D17A90"/>
    <w:rsid w:val="00D17DBF"/>
    <w:rsid w:val="00D20C85"/>
    <w:rsid w:val="00D210D0"/>
    <w:rsid w:val="00D2130C"/>
    <w:rsid w:val="00D2133F"/>
    <w:rsid w:val="00D215CE"/>
    <w:rsid w:val="00D2169A"/>
    <w:rsid w:val="00D21D48"/>
    <w:rsid w:val="00D21EBA"/>
    <w:rsid w:val="00D2278E"/>
    <w:rsid w:val="00D228D5"/>
    <w:rsid w:val="00D22B8F"/>
    <w:rsid w:val="00D22D5F"/>
    <w:rsid w:val="00D22E88"/>
    <w:rsid w:val="00D22F56"/>
    <w:rsid w:val="00D22FF1"/>
    <w:rsid w:val="00D230D2"/>
    <w:rsid w:val="00D23114"/>
    <w:rsid w:val="00D2318C"/>
    <w:rsid w:val="00D236CC"/>
    <w:rsid w:val="00D236ED"/>
    <w:rsid w:val="00D23719"/>
    <w:rsid w:val="00D23A38"/>
    <w:rsid w:val="00D23A5D"/>
    <w:rsid w:val="00D23BC3"/>
    <w:rsid w:val="00D23BDE"/>
    <w:rsid w:val="00D23DF1"/>
    <w:rsid w:val="00D23F12"/>
    <w:rsid w:val="00D24059"/>
    <w:rsid w:val="00D247F3"/>
    <w:rsid w:val="00D248F3"/>
    <w:rsid w:val="00D251D6"/>
    <w:rsid w:val="00D252F1"/>
    <w:rsid w:val="00D25700"/>
    <w:rsid w:val="00D25B9E"/>
    <w:rsid w:val="00D25C05"/>
    <w:rsid w:val="00D25C6F"/>
    <w:rsid w:val="00D26BE0"/>
    <w:rsid w:val="00D26E6C"/>
    <w:rsid w:val="00D271B2"/>
    <w:rsid w:val="00D274FF"/>
    <w:rsid w:val="00D27888"/>
    <w:rsid w:val="00D27986"/>
    <w:rsid w:val="00D30102"/>
    <w:rsid w:val="00D3046F"/>
    <w:rsid w:val="00D304BC"/>
    <w:rsid w:val="00D305F3"/>
    <w:rsid w:val="00D30665"/>
    <w:rsid w:val="00D30679"/>
    <w:rsid w:val="00D306C4"/>
    <w:rsid w:val="00D30825"/>
    <w:rsid w:val="00D30AFE"/>
    <w:rsid w:val="00D30C22"/>
    <w:rsid w:val="00D30E97"/>
    <w:rsid w:val="00D3134D"/>
    <w:rsid w:val="00D31516"/>
    <w:rsid w:val="00D31710"/>
    <w:rsid w:val="00D319A2"/>
    <w:rsid w:val="00D31CFD"/>
    <w:rsid w:val="00D31F6A"/>
    <w:rsid w:val="00D326C7"/>
    <w:rsid w:val="00D3292B"/>
    <w:rsid w:val="00D32C14"/>
    <w:rsid w:val="00D32F9B"/>
    <w:rsid w:val="00D3301E"/>
    <w:rsid w:val="00D33425"/>
    <w:rsid w:val="00D342DC"/>
    <w:rsid w:val="00D34817"/>
    <w:rsid w:val="00D348E4"/>
    <w:rsid w:val="00D34B0E"/>
    <w:rsid w:val="00D34E2B"/>
    <w:rsid w:val="00D34F50"/>
    <w:rsid w:val="00D34FBE"/>
    <w:rsid w:val="00D35235"/>
    <w:rsid w:val="00D35688"/>
    <w:rsid w:val="00D35A7D"/>
    <w:rsid w:val="00D35DF8"/>
    <w:rsid w:val="00D36054"/>
    <w:rsid w:val="00D3618F"/>
    <w:rsid w:val="00D361F8"/>
    <w:rsid w:val="00D3641A"/>
    <w:rsid w:val="00D36BB1"/>
    <w:rsid w:val="00D36C09"/>
    <w:rsid w:val="00D36F4B"/>
    <w:rsid w:val="00D3704D"/>
    <w:rsid w:val="00D37213"/>
    <w:rsid w:val="00D37389"/>
    <w:rsid w:val="00D37575"/>
    <w:rsid w:val="00D37913"/>
    <w:rsid w:val="00D37A6A"/>
    <w:rsid w:val="00D37B81"/>
    <w:rsid w:val="00D37D14"/>
    <w:rsid w:val="00D37E85"/>
    <w:rsid w:val="00D40024"/>
    <w:rsid w:val="00D400BF"/>
    <w:rsid w:val="00D40175"/>
    <w:rsid w:val="00D407A9"/>
    <w:rsid w:val="00D40CBB"/>
    <w:rsid w:val="00D40D32"/>
    <w:rsid w:val="00D41B13"/>
    <w:rsid w:val="00D4219A"/>
    <w:rsid w:val="00D42667"/>
    <w:rsid w:val="00D42786"/>
    <w:rsid w:val="00D42BF5"/>
    <w:rsid w:val="00D42CDE"/>
    <w:rsid w:val="00D42D93"/>
    <w:rsid w:val="00D4355E"/>
    <w:rsid w:val="00D4386F"/>
    <w:rsid w:val="00D43E6F"/>
    <w:rsid w:val="00D44017"/>
    <w:rsid w:val="00D441C7"/>
    <w:rsid w:val="00D44245"/>
    <w:rsid w:val="00D443D5"/>
    <w:rsid w:val="00D44919"/>
    <w:rsid w:val="00D44CEF"/>
    <w:rsid w:val="00D44E52"/>
    <w:rsid w:val="00D44FC8"/>
    <w:rsid w:val="00D45416"/>
    <w:rsid w:val="00D45824"/>
    <w:rsid w:val="00D460F4"/>
    <w:rsid w:val="00D461DB"/>
    <w:rsid w:val="00D463A8"/>
    <w:rsid w:val="00D46E86"/>
    <w:rsid w:val="00D47481"/>
    <w:rsid w:val="00D474A0"/>
    <w:rsid w:val="00D47D17"/>
    <w:rsid w:val="00D47E16"/>
    <w:rsid w:val="00D5020A"/>
    <w:rsid w:val="00D50233"/>
    <w:rsid w:val="00D5030B"/>
    <w:rsid w:val="00D5033E"/>
    <w:rsid w:val="00D504BF"/>
    <w:rsid w:val="00D50503"/>
    <w:rsid w:val="00D50D21"/>
    <w:rsid w:val="00D50EE5"/>
    <w:rsid w:val="00D50F66"/>
    <w:rsid w:val="00D51185"/>
    <w:rsid w:val="00D5149A"/>
    <w:rsid w:val="00D514AF"/>
    <w:rsid w:val="00D51609"/>
    <w:rsid w:val="00D519B6"/>
    <w:rsid w:val="00D51DE5"/>
    <w:rsid w:val="00D51E17"/>
    <w:rsid w:val="00D52079"/>
    <w:rsid w:val="00D52121"/>
    <w:rsid w:val="00D5260C"/>
    <w:rsid w:val="00D52720"/>
    <w:rsid w:val="00D529CA"/>
    <w:rsid w:val="00D52A9A"/>
    <w:rsid w:val="00D52B30"/>
    <w:rsid w:val="00D5324D"/>
    <w:rsid w:val="00D53A47"/>
    <w:rsid w:val="00D53D4E"/>
    <w:rsid w:val="00D53DE8"/>
    <w:rsid w:val="00D546A1"/>
    <w:rsid w:val="00D548BB"/>
    <w:rsid w:val="00D54C93"/>
    <w:rsid w:val="00D54D12"/>
    <w:rsid w:val="00D54FE5"/>
    <w:rsid w:val="00D55158"/>
    <w:rsid w:val="00D552AA"/>
    <w:rsid w:val="00D55FF4"/>
    <w:rsid w:val="00D5686F"/>
    <w:rsid w:val="00D579D9"/>
    <w:rsid w:val="00D602A5"/>
    <w:rsid w:val="00D60682"/>
    <w:rsid w:val="00D60BC7"/>
    <w:rsid w:val="00D60DAA"/>
    <w:rsid w:val="00D60DAE"/>
    <w:rsid w:val="00D60E37"/>
    <w:rsid w:val="00D60F7F"/>
    <w:rsid w:val="00D6102B"/>
    <w:rsid w:val="00D616A9"/>
    <w:rsid w:val="00D61823"/>
    <w:rsid w:val="00D61922"/>
    <w:rsid w:val="00D61B0F"/>
    <w:rsid w:val="00D62345"/>
    <w:rsid w:val="00D62471"/>
    <w:rsid w:val="00D6257E"/>
    <w:rsid w:val="00D62676"/>
    <w:rsid w:val="00D62850"/>
    <w:rsid w:val="00D62A10"/>
    <w:rsid w:val="00D63311"/>
    <w:rsid w:val="00D63964"/>
    <w:rsid w:val="00D63B4D"/>
    <w:rsid w:val="00D64118"/>
    <w:rsid w:val="00D64131"/>
    <w:rsid w:val="00D64442"/>
    <w:rsid w:val="00D644E7"/>
    <w:rsid w:val="00D64690"/>
    <w:rsid w:val="00D64E95"/>
    <w:rsid w:val="00D64F82"/>
    <w:rsid w:val="00D651F5"/>
    <w:rsid w:val="00D65FF9"/>
    <w:rsid w:val="00D66193"/>
    <w:rsid w:val="00D66569"/>
    <w:rsid w:val="00D66712"/>
    <w:rsid w:val="00D66C5A"/>
    <w:rsid w:val="00D67298"/>
    <w:rsid w:val="00D67466"/>
    <w:rsid w:val="00D67703"/>
    <w:rsid w:val="00D677B4"/>
    <w:rsid w:val="00D6784E"/>
    <w:rsid w:val="00D67A4E"/>
    <w:rsid w:val="00D67B98"/>
    <w:rsid w:val="00D67CAE"/>
    <w:rsid w:val="00D700EA"/>
    <w:rsid w:val="00D70401"/>
    <w:rsid w:val="00D704B9"/>
    <w:rsid w:val="00D70855"/>
    <w:rsid w:val="00D70D6B"/>
    <w:rsid w:val="00D70F0C"/>
    <w:rsid w:val="00D71D94"/>
    <w:rsid w:val="00D72099"/>
    <w:rsid w:val="00D7296A"/>
    <w:rsid w:val="00D729B7"/>
    <w:rsid w:val="00D72DC2"/>
    <w:rsid w:val="00D72EE0"/>
    <w:rsid w:val="00D730D9"/>
    <w:rsid w:val="00D7346F"/>
    <w:rsid w:val="00D7347C"/>
    <w:rsid w:val="00D73773"/>
    <w:rsid w:val="00D737D7"/>
    <w:rsid w:val="00D73BD2"/>
    <w:rsid w:val="00D73E5E"/>
    <w:rsid w:val="00D74897"/>
    <w:rsid w:val="00D74BD2"/>
    <w:rsid w:val="00D74FEE"/>
    <w:rsid w:val="00D75521"/>
    <w:rsid w:val="00D756C3"/>
    <w:rsid w:val="00D75FB3"/>
    <w:rsid w:val="00D760EF"/>
    <w:rsid w:val="00D76100"/>
    <w:rsid w:val="00D7644E"/>
    <w:rsid w:val="00D764F9"/>
    <w:rsid w:val="00D76736"/>
    <w:rsid w:val="00D76879"/>
    <w:rsid w:val="00D76922"/>
    <w:rsid w:val="00D76FF9"/>
    <w:rsid w:val="00D77144"/>
    <w:rsid w:val="00D772BE"/>
    <w:rsid w:val="00D773FE"/>
    <w:rsid w:val="00D77714"/>
    <w:rsid w:val="00D7786F"/>
    <w:rsid w:val="00D77936"/>
    <w:rsid w:val="00D80027"/>
    <w:rsid w:val="00D80405"/>
    <w:rsid w:val="00D80992"/>
    <w:rsid w:val="00D80BC7"/>
    <w:rsid w:val="00D80EC4"/>
    <w:rsid w:val="00D81646"/>
    <w:rsid w:val="00D81741"/>
    <w:rsid w:val="00D81BA1"/>
    <w:rsid w:val="00D820C0"/>
    <w:rsid w:val="00D8243B"/>
    <w:rsid w:val="00D82681"/>
    <w:rsid w:val="00D82B65"/>
    <w:rsid w:val="00D82C82"/>
    <w:rsid w:val="00D82EFF"/>
    <w:rsid w:val="00D82F0D"/>
    <w:rsid w:val="00D83242"/>
    <w:rsid w:val="00D8337C"/>
    <w:rsid w:val="00D8351E"/>
    <w:rsid w:val="00D83835"/>
    <w:rsid w:val="00D83D00"/>
    <w:rsid w:val="00D8413E"/>
    <w:rsid w:val="00D84726"/>
    <w:rsid w:val="00D848BA"/>
    <w:rsid w:val="00D84DBA"/>
    <w:rsid w:val="00D84DF3"/>
    <w:rsid w:val="00D84F03"/>
    <w:rsid w:val="00D85107"/>
    <w:rsid w:val="00D85111"/>
    <w:rsid w:val="00D85392"/>
    <w:rsid w:val="00D85564"/>
    <w:rsid w:val="00D855DB"/>
    <w:rsid w:val="00D85671"/>
    <w:rsid w:val="00D859F4"/>
    <w:rsid w:val="00D85A79"/>
    <w:rsid w:val="00D85BA1"/>
    <w:rsid w:val="00D85D50"/>
    <w:rsid w:val="00D86100"/>
    <w:rsid w:val="00D8678F"/>
    <w:rsid w:val="00D86862"/>
    <w:rsid w:val="00D86AAC"/>
    <w:rsid w:val="00D86C6D"/>
    <w:rsid w:val="00D86E7E"/>
    <w:rsid w:val="00D87758"/>
    <w:rsid w:val="00D87A69"/>
    <w:rsid w:val="00D87CA2"/>
    <w:rsid w:val="00D87D37"/>
    <w:rsid w:val="00D87D6A"/>
    <w:rsid w:val="00D9033F"/>
    <w:rsid w:val="00D9037E"/>
    <w:rsid w:val="00D90475"/>
    <w:rsid w:val="00D90508"/>
    <w:rsid w:val="00D9060D"/>
    <w:rsid w:val="00D90755"/>
    <w:rsid w:val="00D90BF7"/>
    <w:rsid w:val="00D90E72"/>
    <w:rsid w:val="00D90FCC"/>
    <w:rsid w:val="00D9111D"/>
    <w:rsid w:val="00D912EA"/>
    <w:rsid w:val="00D9202F"/>
    <w:rsid w:val="00D92385"/>
    <w:rsid w:val="00D92421"/>
    <w:rsid w:val="00D92844"/>
    <w:rsid w:val="00D92A08"/>
    <w:rsid w:val="00D930EF"/>
    <w:rsid w:val="00D93602"/>
    <w:rsid w:val="00D93647"/>
    <w:rsid w:val="00D9365B"/>
    <w:rsid w:val="00D9367B"/>
    <w:rsid w:val="00D936B8"/>
    <w:rsid w:val="00D93D33"/>
    <w:rsid w:val="00D93E1E"/>
    <w:rsid w:val="00D945A1"/>
    <w:rsid w:val="00D94B62"/>
    <w:rsid w:val="00D95665"/>
    <w:rsid w:val="00D959B1"/>
    <w:rsid w:val="00D959F1"/>
    <w:rsid w:val="00D95C3F"/>
    <w:rsid w:val="00D95D74"/>
    <w:rsid w:val="00D96055"/>
    <w:rsid w:val="00D96123"/>
    <w:rsid w:val="00D9665A"/>
    <w:rsid w:val="00D96C01"/>
    <w:rsid w:val="00D96EA3"/>
    <w:rsid w:val="00D97391"/>
    <w:rsid w:val="00D97574"/>
    <w:rsid w:val="00D97625"/>
    <w:rsid w:val="00D9778A"/>
    <w:rsid w:val="00D97810"/>
    <w:rsid w:val="00D97B4C"/>
    <w:rsid w:val="00D97C47"/>
    <w:rsid w:val="00DA01DA"/>
    <w:rsid w:val="00DA0219"/>
    <w:rsid w:val="00DA1206"/>
    <w:rsid w:val="00DA12FE"/>
    <w:rsid w:val="00DA16BB"/>
    <w:rsid w:val="00DA196B"/>
    <w:rsid w:val="00DA24F5"/>
    <w:rsid w:val="00DA24F9"/>
    <w:rsid w:val="00DA25BB"/>
    <w:rsid w:val="00DA2BB0"/>
    <w:rsid w:val="00DA2E2B"/>
    <w:rsid w:val="00DA351E"/>
    <w:rsid w:val="00DA3742"/>
    <w:rsid w:val="00DA3945"/>
    <w:rsid w:val="00DA3B02"/>
    <w:rsid w:val="00DA3F74"/>
    <w:rsid w:val="00DA3F9C"/>
    <w:rsid w:val="00DA4424"/>
    <w:rsid w:val="00DA445F"/>
    <w:rsid w:val="00DA4A2A"/>
    <w:rsid w:val="00DA4BE9"/>
    <w:rsid w:val="00DA4E8E"/>
    <w:rsid w:val="00DA4F40"/>
    <w:rsid w:val="00DA4F92"/>
    <w:rsid w:val="00DA50DB"/>
    <w:rsid w:val="00DA5BA1"/>
    <w:rsid w:val="00DA5DF6"/>
    <w:rsid w:val="00DA5F4E"/>
    <w:rsid w:val="00DA60CA"/>
    <w:rsid w:val="00DA6465"/>
    <w:rsid w:val="00DA67D9"/>
    <w:rsid w:val="00DA700C"/>
    <w:rsid w:val="00DA7098"/>
    <w:rsid w:val="00DA71EC"/>
    <w:rsid w:val="00DA7475"/>
    <w:rsid w:val="00DA7671"/>
    <w:rsid w:val="00DA78BB"/>
    <w:rsid w:val="00DA7F71"/>
    <w:rsid w:val="00DB064E"/>
    <w:rsid w:val="00DB0667"/>
    <w:rsid w:val="00DB0AED"/>
    <w:rsid w:val="00DB0BA3"/>
    <w:rsid w:val="00DB0CE0"/>
    <w:rsid w:val="00DB0E64"/>
    <w:rsid w:val="00DB116E"/>
    <w:rsid w:val="00DB11C1"/>
    <w:rsid w:val="00DB1899"/>
    <w:rsid w:val="00DB2E11"/>
    <w:rsid w:val="00DB2F9A"/>
    <w:rsid w:val="00DB3595"/>
    <w:rsid w:val="00DB36F7"/>
    <w:rsid w:val="00DB38C7"/>
    <w:rsid w:val="00DB48DC"/>
    <w:rsid w:val="00DB4941"/>
    <w:rsid w:val="00DB4A7D"/>
    <w:rsid w:val="00DB4C08"/>
    <w:rsid w:val="00DB4EC9"/>
    <w:rsid w:val="00DB5390"/>
    <w:rsid w:val="00DB53A0"/>
    <w:rsid w:val="00DB5600"/>
    <w:rsid w:val="00DB5729"/>
    <w:rsid w:val="00DB5BCE"/>
    <w:rsid w:val="00DB5D6F"/>
    <w:rsid w:val="00DB62F1"/>
    <w:rsid w:val="00DB67CE"/>
    <w:rsid w:val="00DB6E35"/>
    <w:rsid w:val="00DB6EDA"/>
    <w:rsid w:val="00DB7107"/>
    <w:rsid w:val="00DB797E"/>
    <w:rsid w:val="00DB79B4"/>
    <w:rsid w:val="00DB7D14"/>
    <w:rsid w:val="00DC00CB"/>
    <w:rsid w:val="00DC0680"/>
    <w:rsid w:val="00DC0968"/>
    <w:rsid w:val="00DC0D92"/>
    <w:rsid w:val="00DC11D8"/>
    <w:rsid w:val="00DC14B5"/>
    <w:rsid w:val="00DC20DF"/>
    <w:rsid w:val="00DC2470"/>
    <w:rsid w:val="00DC2AEA"/>
    <w:rsid w:val="00DC2CA4"/>
    <w:rsid w:val="00DC2D9B"/>
    <w:rsid w:val="00DC2F11"/>
    <w:rsid w:val="00DC3189"/>
    <w:rsid w:val="00DC339C"/>
    <w:rsid w:val="00DC339D"/>
    <w:rsid w:val="00DC376B"/>
    <w:rsid w:val="00DC38BE"/>
    <w:rsid w:val="00DC3BC0"/>
    <w:rsid w:val="00DC3DEE"/>
    <w:rsid w:val="00DC3F07"/>
    <w:rsid w:val="00DC44A3"/>
    <w:rsid w:val="00DC4697"/>
    <w:rsid w:val="00DC483D"/>
    <w:rsid w:val="00DC4A27"/>
    <w:rsid w:val="00DC5643"/>
    <w:rsid w:val="00DC5A42"/>
    <w:rsid w:val="00DC62F6"/>
    <w:rsid w:val="00DC6483"/>
    <w:rsid w:val="00DC681F"/>
    <w:rsid w:val="00DC6FB9"/>
    <w:rsid w:val="00DC7C10"/>
    <w:rsid w:val="00DC7D46"/>
    <w:rsid w:val="00DC7D4A"/>
    <w:rsid w:val="00DC7F30"/>
    <w:rsid w:val="00DC7FF9"/>
    <w:rsid w:val="00DD005C"/>
    <w:rsid w:val="00DD02E5"/>
    <w:rsid w:val="00DD07D8"/>
    <w:rsid w:val="00DD0B31"/>
    <w:rsid w:val="00DD0E90"/>
    <w:rsid w:val="00DD0F3F"/>
    <w:rsid w:val="00DD10E9"/>
    <w:rsid w:val="00DD130D"/>
    <w:rsid w:val="00DD15BE"/>
    <w:rsid w:val="00DD17FD"/>
    <w:rsid w:val="00DD19D1"/>
    <w:rsid w:val="00DD23BA"/>
    <w:rsid w:val="00DD2907"/>
    <w:rsid w:val="00DD2A91"/>
    <w:rsid w:val="00DD2DDB"/>
    <w:rsid w:val="00DD2EB3"/>
    <w:rsid w:val="00DD2F6E"/>
    <w:rsid w:val="00DD2F82"/>
    <w:rsid w:val="00DD355A"/>
    <w:rsid w:val="00DD363E"/>
    <w:rsid w:val="00DD36D1"/>
    <w:rsid w:val="00DD36E9"/>
    <w:rsid w:val="00DD38DC"/>
    <w:rsid w:val="00DD3B8B"/>
    <w:rsid w:val="00DD44FB"/>
    <w:rsid w:val="00DD4503"/>
    <w:rsid w:val="00DD46A3"/>
    <w:rsid w:val="00DD4BDA"/>
    <w:rsid w:val="00DD50CF"/>
    <w:rsid w:val="00DD52AD"/>
    <w:rsid w:val="00DD60D6"/>
    <w:rsid w:val="00DD61E1"/>
    <w:rsid w:val="00DD6D72"/>
    <w:rsid w:val="00DD6DA1"/>
    <w:rsid w:val="00DD6E96"/>
    <w:rsid w:val="00DD702E"/>
    <w:rsid w:val="00DD7F4A"/>
    <w:rsid w:val="00DE01F2"/>
    <w:rsid w:val="00DE02BC"/>
    <w:rsid w:val="00DE0726"/>
    <w:rsid w:val="00DE095F"/>
    <w:rsid w:val="00DE0AEA"/>
    <w:rsid w:val="00DE0B30"/>
    <w:rsid w:val="00DE10AB"/>
    <w:rsid w:val="00DE10F9"/>
    <w:rsid w:val="00DE129C"/>
    <w:rsid w:val="00DE15E5"/>
    <w:rsid w:val="00DE19A0"/>
    <w:rsid w:val="00DE19C4"/>
    <w:rsid w:val="00DE1ABD"/>
    <w:rsid w:val="00DE1B89"/>
    <w:rsid w:val="00DE2439"/>
    <w:rsid w:val="00DE27D3"/>
    <w:rsid w:val="00DE29EE"/>
    <w:rsid w:val="00DE316B"/>
    <w:rsid w:val="00DE322F"/>
    <w:rsid w:val="00DE36D6"/>
    <w:rsid w:val="00DE39F8"/>
    <w:rsid w:val="00DE3D37"/>
    <w:rsid w:val="00DE4406"/>
    <w:rsid w:val="00DE447D"/>
    <w:rsid w:val="00DE4835"/>
    <w:rsid w:val="00DE48FA"/>
    <w:rsid w:val="00DE5445"/>
    <w:rsid w:val="00DE6271"/>
    <w:rsid w:val="00DE64DA"/>
    <w:rsid w:val="00DE6764"/>
    <w:rsid w:val="00DE750A"/>
    <w:rsid w:val="00DE7E05"/>
    <w:rsid w:val="00DE7E4F"/>
    <w:rsid w:val="00DF0388"/>
    <w:rsid w:val="00DF06D3"/>
    <w:rsid w:val="00DF0ADB"/>
    <w:rsid w:val="00DF0B4F"/>
    <w:rsid w:val="00DF104C"/>
    <w:rsid w:val="00DF151B"/>
    <w:rsid w:val="00DF1790"/>
    <w:rsid w:val="00DF1934"/>
    <w:rsid w:val="00DF19F0"/>
    <w:rsid w:val="00DF1B36"/>
    <w:rsid w:val="00DF1C1D"/>
    <w:rsid w:val="00DF1C5A"/>
    <w:rsid w:val="00DF20D7"/>
    <w:rsid w:val="00DF24AF"/>
    <w:rsid w:val="00DF2DDE"/>
    <w:rsid w:val="00DF2F57"/>
    <w:rsid w:val="00DF3769"/>
    <w:rsid w:val="00DF3D7B"/>
    <w:rsid w:val="00DF4389"/>
    <w:rsid w:val="00DF48A4"/>
    <w:rsid w:val="00DF49A4"/>
    <w:rsid w:val="00DF4BC7"/>
    <w:rsid w:val="00DF5093"/>
    <w:rsid w:val="00DF52C4"/>
    <w:rsid w:val="00DF5893"/>
    <w:rsid w:val="00DF5FEB"/>
    <w:rsid w:val="00DF6079"/>
    <w:rsid w:val="00DF61EF"/>
    <w:rsid w:val="00DF62EB"/>
    <w:rsid w:val="00DF63CD"/>
    <w:rsid w:val="00DF6501"/>
    <w:rsid w:val="00DF67CB"/>
    <w:rsid w:val="00DF6842"/>
    <w:rsid w:val="00DF6F1E"/>
    <w:rsid w:val="00DF6FC1"/>
    <w:rsid w:val="00DF72F6"/>
    <w:rsid w:val="00E00263"/>
    <w:rsid w:val="00E0036A"/>
    <w:rsid w:val="00E005AC"/>
    <w:rsid w:val="00E00747"/>
    <w:rsid w:val="00E00924"/>
    <w:rsid w:val="00E00C3E"/>
    <w:rsid w:val="00E00E5B"/>
    <w:rsid w:val="00E01151"/>
    <w:rsid w:val="00E01661"/>
    <w:rsid w:val="00E017CF"/>
    <w:rsid w:val="00E0182F"/>
    <w:rsid w:val="00E01959"/>
    <w:rsid w:val="00E01991"/>
    <w:rsid w:val="00E022FF"/>
    <w:rsid w:val="00E02418"/>
    <w:rsid w:val="00E024B8"/>
    <w:rsid w:val="00E02958"/>
    <w:rsid w:val="00E02A23"/>
    <w:rsid w:val="00E0300B"/>
    <w:rsid w:val="00E03137"/>
    <w:rsid w:val="00E035BD"/>
    <w:rsid w:val="00E0364A"/>
    <w:rsid w:val="00E0399A"/>
    <w:rsid w:val="00E03B0F"/>
    <w:rsid w:val="00E03C57"/>
    <w:rsid w:val="00E03E7F"/>
    <w:rsid w:val="00E044E4"/>
    <w:rsid w:val="00E0458D"/>
    <w:rsid w:val="00E046FB"/>
    <w:rsid w:val="00E04724"/>
    <w:rsid w:val="00E0475D"/>
    <w:rsid w:val="00E048C3"/>
    <w:rsid w:val="00E04B26"/>
    <w:rsid w:val="00E04BB3"/>
    <w:rsid w:val="00E04E90"/>
    <w:rsid w:val="00E0521E"/>
    <w:rsid w:val="00E05906"/>
    <w:rsid w:val="00E05E41"/>
    <w:rsid w:val="00E060F1"/>
    <w:rsid w:val="00E0612B"/>
    <w:rsid w:val="00E0637B"/>
    <w:rsid w:val="00E064EB"/>
    <w:rsid w:val="00E06907"/>
    <w:rsid w:val="00E069A1"/>
    <w:rsid w:val="00E06D0C"/>
    <w:rsid w:val="00E07C87"/>
    <w:rsid w:val="00E07EEB"/>
    <w:rsid w:val="00E104C3"/>
    <w:rsid w:val="00E10A76"/>
    <w:rsid w:val="00E10C75"/>
    <w:rsid w:val="00E10D3D"/>
    <w:rsid w:val="00E10E9C"/>
    <w:rsid w:val="00E115C4"/>
    <w:rsid w:val="00E115E2"/>
    <w:rsid w:val="00E117BF"/>
    <w:rsid w:val="00E1194A"/>
    <w:rsid w:val="00E119A6"/>
    <w:rsid w:val="00E119BB"/>
    <w:rsid w:val="00E11B2D"/>
    <w:rsid w:val="00E11C5F"/>
    <w:rsid w:val="00E11E4D"/>
    <w:rsid w:val="00E12014"/>
    <w:rsid w:val="00E12688"/>
    <w:rsid w:val="00E12828"/>
    <w:rsid w:val="00E12A48"/>
    <w:rsid w:val="00E12C21"/>
    <w:rsid w:val="00E12C4F"/>
    <w:rsid w:val="00E1300F"/>
    <w:rsid w:val="00E13046"/>
    <w:rsid w:val="00E1322A"/>
    <w:rsid w:val="00E13897"/>
    <w:rsid w:val="00E14A7A"/>
    <w:rsid w:val="00E14F1C"/>
    <w:rsid w:val="00E15067"/>
    <w:rsid w:val="00E15178"/>
    <w:rsid w:val="00E1532D"/>
    <w:rsid w:val="00E15807"/>
    <w:rsid w:val="00E15AB4"/>
    <w:rsid w:val="00E160DD"/>
    <w:rsid w:val="00E1616F"/>
    <w:rsid w:val="00E162AC"/>
    <w:rsid w:val="00E16540"/>
    <w:rsid w:val="00E16650"/>
    <w:rsid w:val="00E16B4E"/>
    <w:rsid w:val="00E16D8C"/>
    <w:rsid w:val="00E16E1D"/>
    <w:rsid w:val="00E1705C"/>
    <w:rsid w:val="00E17325"/>
    <w:rsid w:val="00E173AF"/>
    <w:rsid w:val="00E17B26"/>
    <w:rsid w:val="00E17CC1"/>
    <w:rsid w:val="00E17D7B"/>
    <w:rsid w:val="00E17E83"/>
    <w:rsid w:val="00E17FEE"/>
    <w:rsid w:val="00E20112"/>
    <w:rsid w:val="00E2058D"/>
    <w:rsid w:val="00E211ED"/>
    <w:rsid w:val="00E212BE"/>
    <w:rsid w:val="00E212E3"/>
    <w:rsid w:val="00E214A6"/>
    <w:rsid w:val="00E21620"/>
    <w:rsid w:val="00E21CD6"/>
    <w:rsid w:val="00E21DF6"/>
    <w:rsid w:val="00E224B6"/>
    <w:rsid w:val="00E224F0"/>
    <w:rsid w:val="00E22681"/>
    <w:rsid w:val="00E23272"/>
    <w:rsid w:val="00E2342E"/>
    <w:rsid w:val="00E2380D"/>
    <w:rsid w:val="00E2395D"/>
    <w:rsid w:val="00E245EF"/>
    <w:rsid w:val="00E24608"/>
    <w:rsid w:val="00E2486A"/>
    <w:rsid w:val="00E24921"/>
    <w:rsid w:val="00E24C52"/>
    <w:rsid w:val="00E24E39"/>
    <w:rsid w:val="00E254C2"/>
    <w:rsid w:val="00E254D4"/>
    <w:rsid w:val="00E25579"/>
    <w:rsid w:val="00E2578D"/>
    <w:rsid w:val="00E25DE5"/>
    <w:rsid w:val="00E25E0A"/>
    <w:rsid w:val="00E25E85"/>
    <w:rsid w:val="00E2675D"/>
    <w:rsid w:val="00E267CF"/>
    <w:rsid w:val="00E26979"/>
    <w:rsid w:val="00E26A3D"/>
    <w:rsid w:val="00E270B7"/>
    <w:rsid w:val="00E27387"/>
    <w:rsid w:val="00E2741E"/>
    <w:rsid w:val="00E2751E"/>
    <w:rsid w:val="00E2766E"/>
    <w:rsid w:val="00E2770F"/>
    <w:rsid w:val="00E2776A"/>
    <w:rsid w:val="00E278A6"/>
    <w:rsid w:val="00E279E7"/>
    <w:rsid w:val="00E27D47"/>
    <w:rsid w:val="00E300A2"/>
    <w:rsid w:val="00E30186"/>
    <w:rsid w:val="00E304B4"/>
    <w:rsid w:val="00E30656"/>
    <w:rsid w:val="00E306EE"/>
    <w:rsid w:val="00E3073B"/>
    <w:rsid w:val="00E308EB"/>
    <w:rsid w:val="00E3112E"/>
    <w:rsid w:val="00E3163F"/>
    <w:rsid w:val="00E316B2"/>
    <w:rsid w:val="00E3236F"/>
    <w:rsid w:val="00E32590"/>
    <w:rsid w:val="00E3279D"/>
    <w:rsid w:val="00E32B1F"/>
    <w:rsid w:val="00E32F08"/>
    <w:rsid w:val="00E333E8"/>
    <w:rsid w:val="00E338CD"/>
    <w:rsid w:val="00E33B01"/>
    <w:rsid w:val="00E33C44"/>
    <w:rsid w:val="00E33E07"/>
    <w:rsid w:val="00E33F2B"/>
    <w:rsid w:val="00E34694"/>
    <w:rsid w:val="00E34C3B"/>
    <w:rsid w:val="00E34CEF"/>
    <w:rsid w:val="00E34D76"/>
    <w:rsid w:val="00E34E51"/>
    <w:rsid w:val="00E34EB7"/>
    <w:rsid w:val="00E353CC"/>
    <w:rsid w:val="00E359B5"/>
    <w:rsid w:val="00E35BDF"/>
    <w:rsid w:val="00E35C21"/>
    <w:rsid w:val="00E364BD"/>
    <w:rsid w:val="00E36569"/>
    <w:rsid w:val="00E365F3"/>
    <w:rsid w:val="00E36729"/>
    <w:rsid w:val="00E36906"/>
    <w:rsid w:val="00E36C8B"/>
    <w:rsid w:val="00E36FA9"/>
    <w:rsid w:val="00E3736E"/>
    <w:rsid w:val="00E3770B"/>
    <w:rsid w:val="00E37EDA"/>
    <w:rsid w:val="00E404F9"/>
    <w:rsid w:val="00E40607"/>
    <w:rsid w:val="00E407FE"/>
    <w:rsid w:val="00E40B69"/>
    <w:rsid w:val="00E40CDB"/>
    <w:rsid w:val="00E4100E"/>
    <w:rsid w:val="00E41025"/>
    <w:rsid w:val="00E410BD"/>
    <w:rsid w:val="00E412FE"/>
    <w:rsid w:val="00E41484"/>
    <w:rsid w:val="00E415B0"/>
    <w:rsid w:val="00E4161F"/>
    <w:rsid w:val="00E417F5"/>
    <w:rsid w:val="00E41B04"/>
    <w:rsid w:val="00E4229D"/>
    <w:rsid w:val="00E42343"/>
    <w:rsid w:val="00E42395"/>
    <w:rsid w:val="00E423B9"/>
    <w:rsid w:val="00E42665"/>
    <w:rsid w:val="00E4296F"/>
    <w:rsid w:val="00E42D3A"/>
    <w:rsid w:val="00E42F5E"/>
    <w:rsid w:val="00E4335D"/>
    <w:rsid w:val="00E4347F"/>
    <w:rsid w:val="00E43635"/>
    <w:rsid w:val="00E436B7"/>
    <w:rsid w:val="00E43887"/>
    <w:rsid w:val="00E43DDE"/>
    <w:rsid w:val="00E44452"/>
    <w:rsid w:val="00E444F2"/>
    <w:rsid w:val="00E44506"/>
    <w:rsid w:val="00E4460B"/>
    <w:rsid w:val="00E44988"/>
    <w:rsid w:val="00E44A00"/>
    <w:rsid w:val="00E44E27"/>
    <w:rsid w:val="00E44F3D"/>
    <w:rsid w:val="00E4527C"/>
    <w:rsid w:val="00E456CA"/>
    <w:rsid w:val="00E457A2"/>
    <w:rsid w:val="00E45C57"/>
    <w:rsid w:val="00E45DED"/>
    <w:rsid w:val="00E45F64"/>
    <w:rsid w:val="00E460B8"/>
    <w:rsid w:val="00E46323"/>
    <w:rsid w:val="00E46356"/>
    <w:rsid w:val="00E46811"/>
    <w:rsid w:val="00E4692D"/>
    <w:rsid w:val="00E46B4E"/>
    <w:rsid w:val="00E46D80"/>
    <w:rsid w:val="00E46F39"/>
    <w:rsid w:val="00E4701F"/>
    <w:rsid w:val="00E473D7"/>
    <w:rsid w:val="00E4741E"/>
    <w:rsid w:val="00E47914"/>
    <w:rsid w:val="00E47D72"/>
    <w:rsid w:val="00E47EB2"/>
    <w:rsid w:val="00E505A9"/>
    <w:rsid w:val="00E509CB"/>
    <w:rsid w:val="00E50E66"/>
    <w:rsid w:val="00E51482"/>
    <w:rsid w:val="00E515F2"/>
    <w:rsid w:val="00E51DBE"/>
    <w:rsid w:val="00E51F14"/>
    <w:rsid w:val="00E51F76"/>
    <w:rsid w:val="00E52028"/>
    <w:rsid w:val="00E522B7"/>
    <w:rsid w:val="00E5232E"/>
    <w:rsid w:val="00E52511"/>
    <w:rsid w:val="00E526EA"/>
    <w:rsid w:val="00E5277D"/>
    <w:rsid w:val="00E52911"/>
    <w:rsid w:val="00E52959"/>
    <w:rsid w:val="00E52A85"/>
    <w:rsid w:val="00E52AFD"/>
    <w:rsid w:val="00E52DCC"/>
    <w:rsid w:val="00E530C2"/>
    <w:rsid w:val="00E531E8"/>
    <w:rsid w:val="00E531EE"/>
    <w:rsid w:val="00E532F8"/>
    <w:rsid w:val="00E538D4"/>
    <w:rsid w:val="00E5399F"/>
    <w:rsid w:val="00E539DB"/>
    <w:rsid w:val="00E53AA2"/>
    <w:rsid w:val="00E53B1B"/>
    <w:rsid w:val="00E53EAF"/>
    <w:rsid w:val="00E545AA"/>
    <w:rsid w:val="00E546E5"/>
    <w:rsid w:val="00E54CBF"/>
    <w:rsid w:val="00E54F60"/>
    <w:rsid w:val="00E5587D"/>
    <w:rsid w:val="00E55AEC"/>
    <w:rsid w:val="00E55B06"/>
    <w:rsid w:val="00E55CEC"/>
    <w:rsid w:val="00E5606F"/>
    <w:rsid w:val="00E57029"/>
    <w:rsid w:val="00E57041"/>
    <w:rsid w:val="00E57402"/>
    <w:rsid w:val="00E577B2"/>
    <w:rsid w:val="00E57BB4"/>
    <w:rsid w:val="00E57D6A"/>
    <w:rsid w:val="00E57EEF"/>
    <w:rsid w:val="00E60161"/>
    <w:rsid w:val="00E6028C"/>
    <w:rsid w:val="00E6057C"/>
    <w:rsid w:val="00E60609"/>
    <w:rsid w:val="00E6089E"/>
    <w:rsid w:val="00E60B9F"/>
    <w:rsid w:val="00E61368"/>
    <w:rsid w:val="00E61439"/>
    <w:rsid w:val="00E61776"/>
    <w:rsid w:val="00E61B95"/>
    <w:rsid w:val="00E61CED"/>
    <w:rsid w:val="00E61D5D"/>
    <w:rsid w:val="00E6243A"/>
    <w:rsid w:val="00E62487"/>
    <w:rsid w:val="00E625DA"/>
    <w:rsid w:val="00E6260B"/>
    <w:rsid w:val="00E626F3"/>
    <w:rsid w:val="00E62954"/>
    <w:rsid w:val="00E62FEC"/>
    <w:rsid w:val="00E639AF"/>
    <w:rsid w:val="00E639F9"/>
    <w:rsid w:val="00E63B69"/>
    <w:rsid w:val="00E63DEE"/>
    <w:rsid w:val="00E63E1D"/>
    <w:rsid w:val="00E63EEC"/>
    <w:rsid w:val="00E64365"/>
    <w:rsid w:val="00E6482E"/>
    <w:rsid w:val="00E64F28"/>
    <w:rsid w:val="00E65164"/>
    <w:rsid w:val="00E6541B"/>
    <w:rsid w:val="00E657FB"/>
    <w:rsid w:val="00E65E7C"/>
    <w:rsid w:val="00E6655D"/>
    <w:rsid w:val="00E66641"/>
    <w:rsid w:val="00E666B7"/>
    <w:rsid w:val="00E66C12"/>
    <w:rsid w:val="00E66C32"/>
    <w:rsid w:val="00E6725D"/>
    <w:rsid w:val="00E67B18"/>
    <w:rsid w:val="00E67CF4"/>
    <w:rsid w:val="00E700C4"/>
    <w:rsid w:val="00E70330"/>
    <w:rsid w:val="00E7045E"/>
    <w:rsid w:val="00E704D4"/>
    <w:rsid w:val="00E7055A"/>
    <w:rsid w:val="00E70637"/>
    <w:rsid w:val="00E70970"/>
    <w:rsid w:val="00E709D5"/>
    <w:rsid w:val="00E70BA6"/>
    <w:rsid w:val="00E70DAA"/>
    <w:rsid w:val="00E71113"/>
    <w:rsid w:val="00E71153"/>
    <w:rsid w:val="00E71410"/>
    <w:rsid w:val="00E7151A"/>
    <w:rsid w:val="00E7154A"/>
    <w:rsid w:val="00E7159D"/>
    <w:rsid w:val="00E719E2"/>
    <w:rsid w:val="00E71AF7"/>
    <w:rsid w:val="00E7201E"/>
    <w:rsid w:val="00E72045"/>
    <w:rsid w:val="00E72508"/>
    <w:rsid w:val="00E726F6"/>
    <w:rsid w:val="00E72C1E"/>
    <w:rsid w:val="00E72C75"/>
    <w:rsid w:val="00E72C92"/>
    <w:rsid w:val="00E72D4C"/>
    <w:rsid w:val="00E72F0F"/>
    <w:rsid w:val="00E72F98"/>
    <w:rsid w:val="00E732F7"/>
    <w:rsid w:val="00E7356F"/>
    <w:rsid w:val="00E73668"/>
    <w:rsid w:val="00E73E47"/>
    <w:rsid w:val="00E74688"/>
    <w:rsid w:val="00E747F3"/>
    <w:rsid w:val="00E7481B"/>
    <w:rsid w:val="00E74D8A"/>
    <w:rsid w:val="00E75285"/>
    <w:rsid w:val="00E754E4"/>
    <w:rsid w:val="00E758AC"/>
    <w:rsid w:val="00E759F5"/>
    <w:rsid w:val="00E75D8E"/>
    <w:rsid w:val="00E7605C"/>
    <w:rsid w:val="00E76622"/>
    <w:rsid w:val="00E76F96"/>
    <w:rsid w:val="00E77943"/>
    <w:rsid w:val="00E77C71"/>
    <w:rsid w:val="00E80198"/>
    <w:rsid w:val="00E8026C"/>
    <w:rsid w:val="00E80D2C"/>
    <w:rsid w:val="00E80E83"/>
    <w:rsid w:val="00E80EB8"/>
    <w:rsid w:val="00E80EDE"/>
    <w:rsid w:val="00E80FEC"/>
    <w:rsid w:val="00E810F6"/>
    <w:rsid w:val="00E81296"/>
    <w:rsid w:val="00E812B0"/>
    <w:rsid w:val="00E82768"/>
    <w:rsid w:val="00E82850"/>
    <w:rsid w:val="00E82AA5"/>
    <w:rsid w:val="00E82ABA"/>
    <w:rsid w:val="00E83377"/>
    <w:rsid w:val="00E8341B"/>
    <w:rsid w:val="00E8376F"/>
    <w:rsid w:val="00E83990"/>
    <w:rsid w:val="00E839C0"/>
    <w:rsid w:val="00E83D11"/>
    <w:rsid w:val="00E83E3D"/>
    <w:rsid w:val="00E841D1"/>
    <w:rsid w:val="00E84331"/>
    <w:rsid w:val="00E8466B"/>
    <w:rsid w:val="00E84743"/>
    <w:rsid w:val="00E84922"/>
    <w:rsid w:val="00E84963"/>
    <w:rsid w:val="00E849C3"/>
    <w:rsid w:val="00E84CC8"/>
    <w:rsid w:val="00E84E2A"/>
    <w:rsid w:val="00E851DC"/>
    <w:rsid w:val="00E8552A"/>
    <w:rsid w:val="00E855DE"/>
    <w:rsid w:val="00E859F5"/>
    <w:rsid w:val="00E860EB"/>
    <w:rsid w:val="00E860ED"/>
    <w:rsid w:val="00E868D5"/>
    <w:rsid w:val="00E869E3"/>
    <w:rsid w:val="00E86EFD"/>
    <w:rsid w:val="00E87339"/>
    <w:rsid w:val="00E87437"/>
    <w:rsid w:val="00E87A8A"/>
    <w:rsid w:val="00E87BDA"/>
    <w:rsid w:val="00E87CE5"/>
    <w:rsid w:val="00E90014"/>
    <w:rsid w:val="00E90064"/>
    <w:rsid w:val="00E90B32"/>
    <w:rsid w:val="00E90C89"/>
    <w:rsid w:val="00E90DE4"/>
    <w:rsid w:val="00E90F2A"/>
    <w:rsid w:val="00E90FAA"/>
    <w:rsid w:val="00E91056"/>
    <w:rsid w:val="00E912B9"/>
    <w:rsid w:val="00E9175C"/>
    <w:rsid w:val="00E91E04"/>
    <w:rsid w:val="00E92242"/>
    <w:rsid w:val="00E92295"/>
    <w:rsid w:val="00E923A1"/>
    <w:rsid w:val="00E923BD"/>
    <w:rsid w:val="00E92A89"/>
    <w:rsid w:val="00E931E8"/>
    <w:rsid w:val="00E93217"/>
    <w:rsid w:val="00E936E4"/>
    <w:rsid w:val="00E93D02"/>
    <w:rsid w:val="00E93F8C"/>
    <w:rsid w:val="00E93F9C"/>
    <w:rsid w:val="00E9419F"/>
    <w:rsid w:val="00E94476"/>
    <w:rsid w:val="00E94591"/>
    <w:rsid w:val="00E94A71"/>
    <w:rsid w:val="00E94B14"/>
    <w:rsid w:val="00E94EE8"/>
    <w:rsid w:val="00E94F12"/>
    <w:rsid w:val="00E94FB2"/>
    <w:rsid w:val="00E94FBF"/>
    <w:rsid w:val="00E94FDF"/>
    <w:rsid w:val="00E9500E"/>
    <w:rsid w:val="00E95352"/>
    <w:rsid w:val="00E957D4"/>
    <w:rsid w:val="00E9582E"/>
    <w:rsid w:val="00E96000"/>
    <w:rsid w:val="00E96255"/>
    <w:rsid w:val="00E964A9"/>
    <w:rsid w:val="00E96DE7"/>
    <w:rsid w:val="00E96E32"/>
    <w:rsid w:val="00E978B1"/>
    <w:rsid w:val="00E97BA6"/>
    <w:rsid w:val="00E97F7A"/>
    <w:rsid w:val="00EA01B8"/>
    <w:rsid w:val="00EA04DB"/>
    <w:rsid w:val="00EA08C8"/>
    <w:rsid w:val="00EA0AD0"/>
    <w:rsid w:val="00EA13E6"/>
    <w:rsid w:val="00EA13F0"/>
    <w:rsid w:val="00EA17E9"/>
    <w:rsid w:val="00EA1877"/>
    <w:rsid w:val="00EA1878"/>
    <w:rsid w:val="00EA1B51"/>
    <w:rsid w:val="00EA1D94"/>
    <w:rsid w:val="00EA1DE2"/>
    <w:rsid w:val="00EA2140"/>
    <w:rsid w:val="00EA21DD"/>
    <w:rsid w:val="00EA2795"/>
    <w:rsid w:val="00EA33B4"/>
    <w:rsid w:val="00EA3569"/>
    <w:rsid w:val="00EA384B"/>
    <w:rsid w:val="00EA39AC"/>
    <w:rsid w:val="00EA3EB1"/>
    <w:rsid w:val="00EA44C8"/>
    <w:rsid w:val="00EA4528"/>
    <w:rsid w:val="00EA4834"/>
    <w:rsid w:val="00EA4BAB"/>
    <w:rsid w:val="00EA53BA"/>
    <w:rsid w:val="00EA58C1"/>
    <w:rsid w:val="00EA5A8C"/>
    <w:rsid w:val="00EA657D"/>
    <w:rsid w:val="00EA6654"/>
    <w:rsid w:val="00EA67A3"/>
    <w:rsid w:val="00EA6925"/>
    <w:rsid w:val="00EA6930"/>
    <w:rsid w:val="00EA6BEB"/>
    <w:rsid w:val="00EA742F"/>
    <w:rsid w:val="00EA754E"/>
    <w:rsid w:val="00EB0AEB"/>
    <w:rsid w:val="00EB0BB8"/>
    <w:rsid w:val="00EB0DD6"/>
    <w:rsid w:val="00EB131D"/>
    <w:rsid w:val="00EB1349"/>
    <w:rsid w:val="00EB15F2"/>
    <w:rsid w:val="00EB1BE2"/>
    <w:rsid w:val="00EB1D76"/>
    <w:rsid w:val="00EB2169"/>
    <w:rsid w:val="00EB220B"/>
    <w:rsid w:val="00EB239C"/>
    <w:rsid w:val="00EB2ADE"/>
    <w:rsid w:val="00EB2B1A"/>
    <w:rsid w:val="00EB2E01"/>
    <w:rsid w:val="00EB3068"/>
    <w:rsid w:val="00EB3499"/>
    <w:rsid w:val="00EB3768"/>
    <w:rsid w:val="00EB3B78"/>
    <w:rsid w:val="00EB3DFF"/>
    <w:rsid w:val="00EB3E0D"/>
    <w:rsid w:val="00EB3E2F"/>
    <w:rsid w:val="00EB4145"/>
    <w:rsid w:val="00EB422D"/>
    <w:rsid w:val="00EB4E83"/>
    <w:rsid w:val="00EB5189"/>
    <w:rsid w:val="00EB51B6"/>
    <w:rsid w:val="00EB524B"/>
    <w:rsid w:val="00EB5381"/>
    <w:rsid w:val="00EB55B5"/>
    <w:rsid w:val="00EB57EA"/>
    <w:rsid w:val="00EB5D17"/>
    <w:rsid w:val="00EB5D7B"/>
    <w:rsid w:val="00EB60BB"/>
    <w:rsid w:val="00EB6207"/>
    <w:rsid w:val="00EB6300"/>
    <w:rsid w:val="00EB6371"/>
    <w:rsid w:val="00EB65CD"/>
    <w:rsid w:val="00EB6710"/>
    <w:rsid w:val="00EB6803"/>
    <w:rsid w:val="00EB68B3"/>
    <w:rsid w:val="00EB698C"/>
    <w:rsid w:val="00EB7112"/>
    <w:rsid w:val="00EB728A"/>
    <w:rsid w:val="00EB7305"/>
    <w:rsid w:val="00EB790D"/>
    <w:rsid w:val="00EC03CD"/>
    <w:rsid w:val="00EC0967"/>
    <w:rsid w:val="00EC0A7B"/>
    <w:rsid w:val="00EC0BCF"/>
    <w:rsid w:val="00EC111B"/>
    <w:rsid w:val="00EC14CC"/>
    <w:rsid w:val="00EC1624"/>
    <w:rsid w:val="00EC165E"/>
    <w:rsid w:val="00EC17F1"/>
    <w:rsid w:val="00EC1B10"/>
    <w:rsid w:val="00EC1D1F"/>
    <w:rsid w:val="00EC201D"/>
    <w:rsid w:val="00EC211F"/>
    <w:rsid w:val="00EC2244"/>
    <w:rsid w:val="00EC22FF"/>
    <w:rsid w:val="00EC2B08"/>
    <w:rsid w:val="00EC34F0"/>
    <w:rsid w:val="00EC3653"/>
    <w:rsid w:val="00EC37FA"/>
    <w:rsid w:val="00EC3BCD"/>
    <w:rsid w:val="00EC3CF7"/>
    <w:rsid w:val="00EC40DF"/>
    <w:rsid w:val="00EC41BC"/>
    <w:rsid w:val="00EC46F7"/>
    <w:rsid w:val="00EC47E3"/>
    <w:rsid w:val="00EC4AAB"/>
    <w:rsid w:val="00EC4BD2"/>
    <w:rsid w:val="00EC4D73"/>
    <w:rsid w:val="00EC4E72"/>
    <w:rsid w:val="00EC5641"/>
    <w:rsid w:val="00EC567A"/>
    <w:rsid w:val="00EC5BAC"/>
    <w:rsid w:val="00EC5FF2"/>
    <w:rsid w:val="00EC6484"/>
    <w:rsid w:val="00EC6909"/>
    <w:rsid w:val="00EC695D"/>
    <w:rsid w:val="00EC6BD2"/>
    <w:rsid w:val="00EC6D7E"/>
    <w:rsid w:val="00EC6DF2"/>
    <w:rsid w:val="00EC712E"/>
    <w:rsid w:val="00EC756D"/>
    <w:rsid w:val="00EC787D"/>
    <w:rsid w:val="00EC78D3"/>
    <w:rsid w:val="00EC794D"/>
    <w:rsid w:val="00EC7A54"/>
    <w:rsid w:val="00EC7A7A"/>
    <w:rsid w:val="00EC7BC1"/>
    <w:rsid w:val="00EC7C05"/>
    <w:rsid w:val="00EC7C76"/>
    <w:rsid w:val="00EC7F84"/>
    <w:rsid w:val="00ED0021"/>
    <w:rsid w:val="00ED0D55"/>
    <w:rsid w:val="00ED0EFA"/>
    <w:rsid w:val="00ED109A"/>
    <w:rsid w:val="00ED12C9"/>
    <w:rsid w:val="00ED13EF"/>
    <w:rsid w:val="00ED155C"/>
    <w:rsid w:val="00ED199B"/>
    <w:rsid w:val="00ED22C5"/>
    <w:rsid w:val="00ED2478"/>
    <w:rsid w:val="00ED2480"/>
    <w:rsid w:val="00ED2622"/>
    <w:rsid w:val="00ED297B"/>
    <w:rsid w:val="00ED3515"/>
    <w:rsid w:val="00ED365B"/>
    <w:rsid w:val="00ED37EC"/>
    <w:rsid w:val="00ED3D30"/>
    <w:rsid w:val="00ED3D6E"/>
    <w:rsid w:val="00ED42CF"/>
    <w:rsid w:val="00ED47CD"/>
    <w:rsid w:val="00ED4938"/>
    <w:rsid w:val="00ED4BC0"/>
    <w:rsid w:val="00ED4BF8"/>
    <w:rsid w:val="00ED4E66"/>
    <w:rsid w:val="00ED4FC6"/>
    <w:rsid w:val="00ED50E7"/>
    <w:rsid w:val="00ED54F7"/>
    <w:rsid w:val="00ED57C3"/>
    <w:rsid w:val="00ED5B34"/>
    <w:rsid w:val="00ED5BCE"/>
    <w:rsid w:val="00ED5DCC"/>
    <w:rsid w:val="00ED5E5F"/>
    <w:rsid w:val="00ED5F56"/>
    <w:rsid w:val="00ED5FE1"/>
    <w:rsid w:val="00ED6011"/>
    <w:rsid w:val="00ED61DF"/>
    <w:rsid w:val="00ED62E0"/>
    <w:rsid w:val="00ED6636"/>
    <w:rsid w:val="00ED7BD3"/>
    <w:rsid w:val="00ED7CCB"/>
    <w:rsid w:val="00ED7DB3"/>
    <w:rsid w:val="00EE019B"/>
    <w:rsid w:val="00EE0622"/>
    <w:rsid w:val="00EE0751"/>
    <w:rsid w:val="00EE090D"/>
    <w:rsid w:val="00EE0AFE"/>
    <w:rsid w:val="00EE1C7B"/>
    <w:rsid w:val="00EE2363"/>
    <w:rsid w:val="00EE2481"/>
    <w:rsid w:val="00EE253E"/>
    <w:rsid w:val="00EE2648"/>
    <w:rsid w:val="00EE2AD5"/>
    <w:rsid w:val="00EE3532"/>
    <w:rsid w:val="00EE38D8"/>
    <w:rsid w:val="00EE4081"/>
    <w:rsid w:val="00EE4397"/>
    <w:rsid w:val="00EE4563"/>
    <w:rsid w:val="00EE4606"/>
    <w:rsid w:val="00EE46DD"/>
    <w:rsid w:val="00EE4D72"/>
    <w:rsid w:val="00EE4E7D"/>
    <w:rsid w:val="00EE4EF8"/>
    <w:rsid w:val="00EE4F7E"/>
    <w:rsid w:val="00EE5394"/>
    <w:rsid w:val="00EE5958"/>
    <w:rsid w:val="00EE5A9A"/>
    <w:rsid w:val="00EE60EC"/>
    <w:rsid w:val="00EE610C"/>
    <w:rsid w:val="00EE6D45"/>
    <w:rsid w:val="00EE6EBF"/>
    <w:rsid w:val="00EE6F4B"/>
    <w:rsid w:val="00EE7170"/>
    <w:rsid w:val="00EE73B6"/>
    <w:rsid w:val="00EE78F2"/>
    <w:rsid w:val="00EE790A"/>
    <w:rsid w:val="00EE79B6"/>
    <w:rsid w:val="00EE7CBB"/>
    <w:rsid w:val="00EF08BD"/>
    <w:rsid w:val="00EF0AA9"/>
    <w:rsid w:val="00EF10A9"/>
    <w:rsid w:val="00EF1D86"/>
    <w:rsid w:val="00EF2027"/>
    <w:rsid w:val="00EF255A"/>
    <w:rsid w:val="00EF26DC"/>
    <w:rsid w:val="00EF27DE"/>
    <w:rsid w:val="00EF2991"/>
    <w:rsid w:val="00EF32D1"/>
    <w:rsid w:val="00EF333E"/>
    <w:rsid w:val="00EF354C"/>
    <w:rsid w:val="00EF3959"/>
    <w:rsid w:val="00EF3AE9"/>
    <w:rsid w:val="00EF3B7D"/>
    <w:rsid w:val="00EF3C15"/>
    <w:rsid w:val="00EF404E"/>
    <w:rsid w:val="00EF4110"/>
    <w:rsid w:val="00EF481F"/>
    <w:rsid w:val="00EF48EF"/>
    <w:rsid w:val="00EF4948"/>
    <w:rsid w:val="00EF4BFE"/>
    <w:rsid w:val="00EF4E7C"/>
    <w:rsid w:val="00EF50CE"/>
    <w:rsid w:val="00EF54B0"/>
    <w:rsid w:val="00EF5B66"/>
    <w:rsid w:val="00EF6328"/>
    <w:rsid w:val="00EF63CA"/>
    <w:rsid w:val="00EF65DE"/>
    <w:rsid w:val="00EF6D48"/>
    <w:rsid w:val="00EF6DA0"/>
    <w:rsid w:val="00EF6F56"/>
    <w:rsid w:val="00EF6F6E"/>
    <w:rsid w:val="00EF71B7"/>
    <w:rsid w:val="00EF71D3"/>
    <w:rsid w:val="00EF7A29"/>
    <w:rsid w:val="00EF7B25"/>
    <w:rsid w:val="00EF7B61"/>
    <w:rsid w:val="00EF7E48"/>
    <w:rsid w:val="00F001A0"/>
    <w:rsid w:val="00F002C6"/>
    <w:rsid w:val="00F0063C"/>
    <w:rsid w:val="00F00B21"/>
    <w:rsid w:val="00F00B72"/>
    <w:rsid w:val="00F00C60"/>
    <w:rsid w:val="00F01136"/>
    <w:rsid w:val="00F01365"/>
    <w:rsid w:val="00F013B5"/>
    <w:rsid w:val="00F01869"/>
    <w:rsid w:val="00F01A9B"/>
    <w:rsid w:val="00F01B65"/>
    <w:rsid w:val="00F0245E"/>
    <w:rsid w:val="00F024C2"/>
    <w:rsid w:val="00F027E0"/>
    <w:rsid w:val="00F029B1"/>
    <w:rsid w:val="00F02A18"/>
    <w:rsid w:val="00F02AD9"/>
    <w:rsid w:val="00F02B4A"/>
    <w:rsid w:val="00F02CA8"/>
    <w:rsid w:val="00F02FAD"/>
    <w:rsid w:val="00F02FD1"/>
    <w:rsid w:val="00F0303D"/>
    <w:rsid w:val="00F03161"/>
    <w:rsid w:val="00F03250"/>
    <w:rsid w:val="00F032BE"/>
    <w:rsid w:val="00F03602"/>
    <w:rsid w:val="00F03A73"/>
    <w:rsid w:val="00F03E43"/>
    <w:rsid w:val="00F03F1A"/>
    <w:rsid w:val="00F04632"/>
    <w:rsid w:val="00F04EF0"/>
    <w:rsid w:val="00F05196"/>
    <w:rsid w:val="00F051ED"/>
    <w:rsid w:val="00F0555D"/>
    <w:rsid w:val="00F05596"/>
    <w:rsid w:val="00F05A42"/>
    <w:rsid w:val="00F05B59"/>
    <w:rsid w:val="00F068AF"/>
    <w:rsid w:val="00F06FC4"/>
    <w:rsid w:val="00F07274"/>
    <w:rsid w:val="00F073B1"/>
    <w:rsid w:val="00F07BCD"/>
    <w:rsid w:val="00F10175"/>
    <w:rsid w:val="00F10B9B"/>
    <w:rsid w:val="00F10DD6"/>
    <w:rsid w:val="00F10E6E"/>
    <w:rsid w:val="00F10F78"/>
    <w:rsid w:val="00F11164"/>
    <w:rsid w:val="00F1116D"/>
    <w:rsid w:val="00F116A2"/>
    <w:rsid w:val="00F119DA"/>
    <w:rsid w:val="00F11B2B"/>
    <w:rsid w:val="00F11CF1"/>
    <w:rsid w:val="00F1214C"/>
    <w:rsid w:val="00F12193"/>
    <w:rsid w:val="00F1246B"/>
    <w:rsid w:val="00F12983"/>
    <w:rsid w:val="00F13096"/>
    <w:rsid w:val="00F131EA"/>
    <w:rsid w:val="00F13344"/>
    <w:rsid w:val="00F13373"/>
    <w:rsid w:val="00F139BC"/>
    <w:rsid w:val="00F13E82"/>
    <w:rsid w:val="00F13F02"/>
    <w:rsid w:val="00F13F17"/>
    <w:rsid w:val="00F14100"/>
    <w:rsid w:val="00F1451A"/>
    <w:rsid w:val="00F14655"/>
    <w:rsid w:val="00F146B0"/>
    <w:rsid w:val="00F1470A"/>
    <w:rsid w:val="00F14E6B"/>
    <w:rsid w:val="00F156A9"/>
    <w:rsid w:val="00F15738"/>
    <w:rsid w:val="00F15ADF"/>
    <w:rsid w:val="00F15C36"/>
    <w:rsid w:val="00F15C9F"/>
    <w:rsid w:val="00F15E54"/>
    <w:rsid w:val="00F16450"/>
    <w:rsid w:val="00F1648D"/>
    <w:rsid w:val="00F16657"/>
    <w:rsid w:val="00F166A2"/>
    <w:rsid w:val="00F167EB"/>
    <w:rsid w:val="00F1734C"/>
    <w:rsid w:val="00F1781B"/>
    <w:rsid w:val="00F17BC3"/>
    <w:rsid w:val="00F17C60"/>
    <w:rsid w:val="00F20065"/>
    <w:rsid w:val="00F2019E"/>
    <w:rsid w:val="00F20274"/>
    <w:rsid w:val="00F205F6"/>
    <w:rsid w:val="00F2064A"/>
    <w:rsid w:val="00F209D5"/>
    <w:rsid w:val="00F21903"/>
    <w:rsid w:val="00F21FB5"/>
    <w:rsid w:val="00F22061"/>
    <w:rsid w:val="00F220B2"/>
    <w:rsid w:val="00F222AB"/>
    <w:rsid w:val="00F22AAE"/>
    <w:rsid w:val="00F23128"/>
    <w:rsid w:val="00F23780"/>
    <w:rsid w:val="00F23E1A"/>
    <w:rsid w:val="00F2400C"/>
    <w:rsid w:val="00F24116"/>
    <w:rsid w:val="00F245BB"/>
    <w:rsid w:val="00F24AA9"/>
    <w:rsid w:val="00F24E69"/>
    <w:rsid w:val="00F251E1"/>
    <w:rsid w:val="00F25772"/>
    <w:rsid w:val="00F258CB"/>
    <w:rsid w:val="00F26251"/>
    <w:rsid w:val="00F2670E"/>
    <w:rsid w:val="00F2673C"/>
    <w:rsid w:val="00F26CD5"/>
    <w:rsid w:val="00F27026"/>
    <w:rsid w:val="00F27275"/>
    <w:rsid w:val="00F273C0"/>
    <w:rsid w:val="00F2765F"/>
    <w:rsid w:val="00F2787E"/>
    <w:rsid w:val="00F27C89"/>
    <w:rsid w:val="00F3006D"/>
    <w:rsid w:val="00F3024D"/>
    <w:rsid w:val="00F303E5"/>
    <w:rsid w:val="00F30631"/>
    <w:rsid w:val="00F3108F"/>
    <w:rsid w:val="00F31350"/>
    <w:rsid w:val="00F31571"/>
    <w:rsid w:val="00F318E0"/>
    <w:rsid w:val="00F31AFB"/>
    <w:rsid w:val="00F31ED1"/>
    <w:rsid w:val="00F31F94"/>
    <w:rsid w:val="00F31FBB"/>
    <w:rsid w:val="00F32824"/>
    <w:rsid w:val="00F33183"/>
    <w:rsid w:val="00F3363D"/>
    <w:rsid w:val="00F33A85"/>
    <w:rsid w:val="00F33D36"/>
    <w:rsid w:val="00F33F3A"/>
    <w:rsid w:val="00F34233"/>
    <w:rsid w:val="00F34367"/>
    <w:rsid w:val="00F346D9"/>
    <w:rsid w:val="00F346F6"/>
    <w:rsid w:val="00F347FA"/>
    <w:rsid w:val="00F34943"/>
    <w:rsid w:val="00F34D20"/>
    <w:rsid w:val="00F35106"/>
    <w:rsid w:val="00F3527B"/>
    <w:rsid w:val="00F352CB"/>
    <w:rsid w:val="00F35428"/>
    <w:rsid w:val="00F35D0F"/>
    <w:rsid w:val="00F35E64"/>
    <w:rsid w:val="00F3656D"/>
    <w:rsid w:val="00F36EA2"/>
    <w:rsid w:val="00F37B31"/>
    <w:rsid w:val="00F37F1A"/>
    <w:rsid w:val="00F4008F"/>
    <w:rsid w:val="00F402FA"/>
    <w:rsid w:val="00F404B3"/>
    <w:rsid w:val="00F4061E"/>
    <w:rsid w:val="00F40F94"/>
    <w:rsid w:val="00F41167"/>
    <w:rsid w:val="00F4117C"/>
    <w:rsid w:val="00F41209"/>
    <w:rsid w:val="00F41E72"/>
    <w:rsid w:val="00F41F37"/>
    <w:rsid w:val="00F42102"/>
    <w:rsid w:val="00F429E8"/>
    <w:rsid w:val="00F42E05"/>
    <w:rsid w:val="00F42FB1"/>
    <w:rsid w:val="00F42FC7"/>
    <w:rsid w:val="00F4320C"/>
    <w:rsid w:val="00F43722"/>
    <w:rsid w:val="00F43820"/>
    <w:rsid w:val="00F43E7D"/>
    <w:rsid w:val="00F44238"/>
    <w:rsid w:val="00F44455"/>
    <w:rsid w:val="00F445A4"/>
    <w:rsid w:val="00F446AE"/>
    <w:rsid w:val="00F44C32"/>
    <w:rsid w:val="00F44D10"/>
    <w:rsid w:val="00F4563F"/>
    <w:rsid w:val="00F45648"/>
    <w:rsid w:val="00F462AA"/>
    <w:rsid w:val="00F46433"/>
    <w:rsid w:val="00F469B3"/>
    <w:rsid w:val="00F469B5"/>
    <w:rsid w:val="00F46CA3"/>
    <w:rsid w:val="00F46E19"/>
    <w:rsid w:val="00F470BC"/>
    <w:rsid w:val="00F47326"/>
    <w:rsid w:val="00F477A0"/>
    <w:rsid w:val="00F47D85"/>
    <w:rsid w:val="00F500A8"/>
    <w:rsid w:val="00F50324"/>
    <w:rsid w:val="00F5035E"/>
    <w:rsid w:val="00F50819"/>
    <w:rsid w:val="00F5084E"/>
    <w:rsid w:val="00F50D79"/>
    <w:rsid w:val="00F50DDC"/>
    <w:rsid w:val="00F51D55"/>
    <w:rsid w:val="00F51DC3"/>
    <w:rsid w:val="00F51DD4"/>
    <w:rsid w:val="00F5203C"/>
    <w:rsid w:val="00F523C9"/>
    <w:rsid w:val="00F52B81"/>
    <w:rsid w:val="00F52D32"/>
    <w:rsid w:val="00F52E57"/>
    <w:rsid w:val="00F533DC"/>
    <w:rsid w:val="00F5345E"/>
    <w:rsid w:val="00F536F6"/>
    <w:rsid w:val="00F53B07"/>
    <w:rsid w:val="00F5447D"/>
    <w:rsid w:val="00F54A3D"/>
    <w:rsid w:val="00F54BF9"/>
    <w:rsid w:val="00F54F4C"/>
    <w:rsid w:val="00F55319"/>
    <w:rsid w:val="00F5555E"/>
    <w:rsid w:val="00F55850"/>
    <w:rsid w:val="00F55D31"/>
    <w:rsid w:val="00F55E48"/>
    <w:rsid w:val="00F5648E"/>
    <w:rsid w:val="00F564C5"/>
    <w:rsid w:val="00F56946"/>
    <w:rsid w:val="00F56A91"/>
    <w:rsid w:val="00F56AFA"/>
    <w:rsid w:val="00F56B63"/>
    <w:rsid w:val="00F56EFB"/>
    <w:rsid w:val="00F5716E"/>
    <w:rsid w:val="00F571D6"/>
    <w:rsid w:val="00F57359"/>
    <w:rsid w:val="00F57744"/>
    <w:rsid w:val="00F57863"/>
    <w:rsid w:val="00F57DE7"/>
    <w:rsid w:val="00F57E96"/>
    <w:rsid w:val="00F60021"/>
    <w:rsid w:val="00F604AE"/>
    <w:rsid w:val="00F6057E"/>
    <w:rsid w:val="00F6087F"/>
    <w:rsid w:val="00F60A68"/>
    <w:rsid w:val="00F60C70"/>
    <w:rsid w:val="00F60CD5"/>
    <w:rsid w:val="00F60DEE"/>
    <w:rsid w:val="00F611F7"/>
    <w:rsid w:val="00F612BE"/>
    <w:rsid w:val="00F61478"/>
    <w:rsid w:val="00F6184C"/>
    <w:rsid w:val="00F61973"/>
    <w:rsid w:val="00F61B48"/>
    <w:rsid w:val="00F61EA5"/>
    <w:rsid w:val="00F62599"/>
    <w:rsid w:val="00F628A3"/>
    <w:rsid w:val="00F62A00"/>
    <w:rsid w:val="00F62A46"/>
    <w:rsid w:val="00F62C60"/>
    <w:rsid w:val="00F62CA0"/>
    <w:rsid w:val="00F634B9"/>
    <w:rsid w:val="00F63760"/>
    <w:rsid w:val="00F63DC4"/>
    <w:rsid w:val="00F643A7"/>
    <w:rsid w:val="00F64433"/>
    <w:rsid w:val="00F645B9"/>
    <w:rsid w:val="00F646DA"/>
    <w:rsid w:val="00F64841"/>
    <w:rsid w:val="00F64857"/>
    <w:rsid w:val="00F6494B"/>
    <w:rsid w:val="00F6505D"/>
    <w:rsid w:val="00F650B3"/>
    <w:rsid w:val="00F651D8"/>
    <w:rsid w:val="00F653FA"/>
    <w:rsid w:val="00F659E0"/>
    <w:rsid w:val="00F665A7"/>
    <w:rsid w:val="00F66B46"/>
    <w:rsid w:val="00F66C64"/>
    <w:rsid w:val="00F670B0"/>
    <w:rsid w:val="00F6713F"/>
    <w:rsid w:val="00F67141"/>
    <w:rsid w:val="00F672B1"/>
    <w:rsid w:val="00F67A65"/>
    <w:rsid w:val="00F67CD3"/>
    <w:rsid w:val="00F67DEA"/>
    <w:rsid w:val="00F70033"/>
    <w:rsid w:val="00F70529"/>
    <w:rsid w:val="00F70C71"/>
    <w:rsid w:val="00F70CDB"/>
    <w:rsid w:val="00F70E28"/>
    <w:rsid w:val="00F70EF8"/>
    <w:rsid w:val="00F70FD7"/>
    <w:rsid w:val="00F71615"/>
    <w:rsid w:val="00F71FF8"/>
    <w:rsid w:val="00F723E9"/>
    <w:rsid w:val="00F726DF"/>
    <w:rsid w:val="00F72754"/>
    <w:rsid w:val="00F728C6"/>
    <w:rsid w:val="00F72A31"/>
    <w:rsid w:val="00F72C78"/>
    <w:rsid w:val="00F72E16"/>
    <w:rsid w:val="00F72E7E"/>
    <w:rsid w:val="00F72FDC"/>
    <w:rsid w:val="00F732AE"/>
    <w:rsid w:val="00F73A8E"/>
    <w:rsid w:val="00F74120"/>
    <w:rsid w:val="00F745C4"/>
    <w:rsid w:val="00F74E30"/>
    <w:rsid w:val="00F7526B"/>
    <w:rsid w:val="00F75C3C"/>
    <w:rsid w:val="00F75FF7"/>
    <w:rsid w:val="00F7613D"/>
    <w:rsid w:val="00F765FA"/>
    <w:rsid w:val="00F76FBC"/>
    <w:rsid w:val="00F76FD1"/>
    <w:rsid w:val="00F77294"/>
    <w:rsid w:val="00F80172"/>
    <w:rsid w:val="00F801F0"/>
    <w:rsid w:val="00F8053F"/>
    <w:rsid w:val="00F80576"/>
    <w:rsid w:val="00F807EA"/>
    <w:rsid w:val="00F80859"/>
    <w:rsid w:val="00F80C96"/>
    <w:rsid w:val="00F80E1D"/>
    <w:rsid w:val="00F81B2E"/>
    <w:rsid w:val="00F81D76"/>
    <w:rsid w:val="00F820F8"/>
    <w:rsid w:val="00F82371"/>
    <w:rsid w:val="00F82571"/>
    <w:rsid w:val="00F827EA"/>
    <w:rsid w:val="00F82C51"/>
    <w:rsid w:val="00F82CE2"/>
    <w:rsid w:val="00F831EC"/>
    <w:rsid w:val="00F83701"/>
    <w:rsid w:val="00F83DED"/>
    <w:rsid w:val="00F83E08"/>
    <w:rsid w:val="00F84F99"/>
    <w:rsid w:val="00F855CF"/>
    <w:rsid w:val="00F85647"/>
    <w:rsid w:val="00F8574E"/>
    <w:rsid w:val="00F85878"/>
    <w:rsid w:val="00F85905"/>
    <w:rsid w:val="00F85B44"/>
    <w:rsid w:val="00F85CD8"/>
    <w:rsid w:val="00F8632F"/>
    <w:rsid w:val="00F86515"/>
    <w:rsid w:val="00F8657E"/>
    <w:rsid w:val="00F8658C"/>
    <w:rsid w:val="00F866D0"/>
    <w:rsid w:val="00F86B18"/>
    <w:rsid w:val="00F86CEA"/>
    <w:rsid w:val="00F87239"/>
    <w:rsid w:val="00F87825"/>
    <w:rsid w:val="00F8790E"/>
    <w:rsid w:val="00F87A2D"/>
    <w:rsid w:val="00F87B1C"/>
    <w:rsid w:val="00F90113"/>
    <w:rsid w:val="00F90297"/>
    <w:rsid w:val="00F90497"/>
    <w:rsid w:val="00F90545"/>
    <w:rsid w:val="00F907F2"/>
    <w:rsid w:val="00F908D6"/>
    <w:rsid w:val="00F90903"/>
    <w:rsid w:val="00F90A7E"/>
    <w:rsid w:val="00F90B80"/>
    <w:rsid w:val="00F90C07"/>
    <w:rsid w:val="00F91100"/>
    <w:rsid w:val="00F911E8"/>
    <w:rsid w:val="00F91408"/>
    <w:rsid w:val="00F9260E"/>
    <w:rsid w:val="00F9285A"/>
    <w:rsid w:val="00F92BF5"/>
    <w:rsid w:val="00F92C05"/>
    <w:rsid w:val="00F92C0C"/>
    <w:rsid w:val="00F92CEC"/>
    <w:rsid w:val="00F92D5D"/>
    <w:rsid w:val="00F92E0C"/>
    <w:rsid w:val="00F93186"/>
    <w:rsid w:val="00F93203"/>
    <w:rsid w:val="00F9352D"/>
    <w:rsid w:val="00F944E6"/>
    <w:rsid w:val="00F947DD"/>
    <w:rsid w:val="00F958C3"/>
    <w:rsid w:val="00F96429"/>
    <w:rsid w:val="00F96952"/>
    <w:rsid w:val="00F96A6D"/>
    <w:rsid w:val="00F96C0C"/>
    <w:rsid w:val="00F96D50"/>
    <w:rsid w:val="00F96D8C"/>
    <w:rsid w:val="00F97521"/>
    <w:rsid w:val="00F97660"/>
    <w:rsid w:val="00FA0177"/>
    <w:rsid w:val="00FA07C7"/>
    <w:rsid w:val="00FA0983"/>
    <w:rsid w:val="00FA0D5A"/>
    <w:rsid w:val="00FA11A9"/>
    <w:rsid w:val="00FA12F0"/>
    <w:rsid w:val="00FA150E"/>
    <w:rsid w:val="00FA1667"/>
    <w:rsid w:val="00FA1840"/>
    <w:rsid w:val="00FA1C19"/>
    <w:rsid w:val="00FA1CEA"/>
    <w:rsid w:val="00FA1D63"/>
    <w:rsid w:val="00FA24D2"/>
    <w:rsid w:val="00FA25FB"/>
    <w:rsid w:val="00FA2BF5"/>
    <w:rsid w:val="00FA355B"/>
    <w:rsid w:val="00FA35E7"/>
    <w:rsid w:val="00FA371C"/>
    <w:rsid w:val="00FA3943"/>
    <w:rsid w:val="00FA3969"/>
    <w:rsid w:val="00FA3C80"/>
    <w:rsid w:val="00FA3F41"/>
    <w:rsid w:val="00FA42BF"/>
    <w:rsid w:val="00FA43A1"/>
    <w:rsid w:val="00FA4534"/>
    <w:rsid w:val="00FA4972"/>
    <w:rsid w:val="00FA4BB2"/>
    <w:rsid w:val="00FA4BE8"/>
    <w:rsid w:val="00FA4D98"/>
    <w:rsid w:val="00FA4E4A"/>
    <w:rsid w:val="00FA4F3E"/>
    <w:rsid w:val="00FA52B3"/>
    <w:rsid w:val="00FA55AC"/>
    <w:rsid w:val="00FA594C"/>
    <w:rsid w:val="00FA5963"/>
    <w:rsid w:val="00FA5983"/>
    <w:rsid w:val="00FA5A9E"/>
    <w:rsid w:val="00FA66D0"/>
    <w:rsid w:val="00FA6773"/>
    <w:rsid w:val="00FA683F"/>
    <w:rsid w:val="00FA6999"/>
    <w:rsid w:val="00FA6D88"/>
    <w:rsid w:val="00FA6F4F"/>
    <w:rsid w:val="00FA7003"/>
    <w:rsid w:val="00FA71C5"/>
    <w:rsid w:val="00FA732E"/>
    <w:rsid w:val="00FA7974"/>
    <w:rsid w:val="00FA7AC4"/>
    <w:rsid w:val="00FA7DC5"/>
    <w:rsid w:val="00FB063C"/>
    <w:rsid w:val="00FB0A23"/>
    <w:rsid w:val="00FB0AA7"/>
    <w:rsid w:val="00FB0D29"/>
    <w:rsid w:val="00FB123E"/>
    <w:rsid w:val="00FB1344"/>
    <w:rsid w:val="00FB1558"/>
    <w:rsid w:val="00FB1586"/>
    <w:rsid w:val="00FB1683"/>
    <w:rsid w:val="00FB1781"/>
    <w:rsid w:val="00FB18DF"/>
    <w:rsid w:val="00FB18FE"/>
    <w:rsid w:val="00FB1BCE"/>
    <w:rsid w:val="00FB1E26"/>
    <w:rsid w:val="00FB1EB3"/>
    <w:rsid w:val="00FB22DB"/>
    <w:rsid w:val="00FB240D"/>
    <w:rsid w:val="00FB273F"/>
    <w:rsid w:val="00FB2914"/>
    <w:rsid w:val="00FB2AA5"/>
    <w:rsid w:val="00FB34F8"/>
    <w:rsid w:val="00FB38D9"/>
    <w:rsid w:val="00FB38DC"/>
    <w:rsid w:val="00FB3A76"/>
    <w:rsid w:val="00FB3C45"/>
    <w:rsid w:val="00FB3C83"/>
    <w:rsid w:val="00FB3CD8"/>
    <w:rsid w:val="00FB3E37"/>
    <w:rsid w:val="00FB3EB2"/>
    <w:rsid w:val="00FB43AD"/>
    <w:rsid w:val="00FB4A4C"/>
    <w:rsid w:val="00FB4AE9"/>
    <w:rsid w:val="00FB4B86"/>
    <w:rsid w:val="00FB4C28"/>
    <w:rsid w:val="00FB4C8F"/>
    <w:rsid w:val="00FB4D20"/>
    <w:rsid w:val="00FB4DF1"/>
    <w:rsid w:val="00FB5033"/>
    <w:rsid w:val="00FB5520"/>
    <w:rsid w:val="00FB5C26"/>
    <w:rsid w:val="00FB60A1"/>
    <w:rsid w:val="00FB643A"/>
    <w:rsid w:val="00FB661F"/>
    <w:rsid w:val="00FB69C1"/>
    <w:rsid w:val="00FB6AE4"/>
    <w:rsid w:val="00FB6CA6"/>
    <w:rsid w:val="00FB79B1"/>
    <w:rsid w:val="00FB7C37"/>
    <w:rsid w:val="00FB7FC0"/>
    <w:rsid w:val="00FC010B"/>
    <w:rsid w:val="00FC0210"/>
    <w:rsid w:val="00FC0480"/>
    <w:rsid w:val="00FC04ED"/>
    <w:rsid w:val="00FC0739"/>
    <w:rsid w:val="00FC0AB0"/>
    <w:rsid w:val="00FC0CB5"/>
    <w:rsid w:val="00FC127F"/>
    <w:rsid w:val="00FC12CA"/>
    <w:rsid w:val="00FC148C"/>
    <w:rsid w:val="00FC16A3"/>
    <w:rsid w:val="00FC16D3"/>
    <w:rsid w:val="00FC182F"/>
    <w:rsid w:val="00FC2052"/>
    <w:rsid w:val="00FC206C"/>
    <w:rsid w:val="00FC27C5"/>
    <w:rsid w:val="00FC2EE8"/>
    <w:rsid w:val="00FC2FF5"/>
    <w:rsid w:val="00FC30BF"/>
    <w:rsid w:val="00FC324A"/>
    <w:rsid w:val="00FC3500"/>
    <w:rsid w:val="00FC3767"/>
    <w:rsid w:val="00FC3974"/>
    <w:rsid w:val="00FC3C30"/>
    <w:rsid w:val="00FC48D1"/>
    <w:rsid w:val="00FC490F"/>
    <w:rsid w:val="00FC5134"/>
    <w:rsid w:val="00FC562E"/>
    <w:rsid w:val="00FC66DD"/>
    <w:rsid w:val="00FC6820"/>
    <w:rsid w:val="00FC6888"/>
    <w:rsid w:val="00FC6C0F"/>
    <w:rsid w:val="00FC72BF"/>
    <w:rsid w:val="00FC74D4"/>
    <w:rsid w:val="00FC78AC"/>
    <w:rsid w:val="00FC79B4"/>
    <w:rsid w:val="00FC7CA1"/>
    <w:rsid w:val="00FC7CF4"/>
    <w:rsid w:val="00FC7FD1"/>
    <w:rsid w:val="00FD0097"/>
    <w:rsid w:val="00FD025C"/>
    <w:rsid w:val="00FD04D7"/>
    <w:rsid w:val="00FD04DD"/>
    <w:rsid w:val="00FD0627"/>
    <w:rsid w:val="00FD0690"/>
    <w:rsid w:val="00FD0C36"/>
    <w:rsid w:val="00FD134D"/>
    <w:rsid w:val="00FD163F"/>
    <w:rsid w:val="00FD169C"/>
    <w:rsid w:val="00FD1AFD"/>
    <w:rsid w:val="00FD1FC3"/>
    <w:rsid w:val="00FD2094"/>
    <w:rsid w:val="00FD232C"/>
    <w:rsid w:val="00FD2627"/>
    <w:rsid w:val="00FD2689"/>
    <w:rsid w:val="00FD26E5"/>
    <w:rsid w:val="00FD27B1"/>
    <w:rsid w:val="00FD283A"/>
    <w:rsid w:val="00FD2A00"/>
    <w:rsid w:val="00FD2AB4"/>
    <w:rsid w:val="00FD2B1A"/>
    <w:rsid w:val="00FD2FEF"/>
    <w:rsid w:val="00FD37B2"/>
    <w:rsid w:val="00FD3970"/>
    <w:rsid w:val="00FD3ACC"/>
    <w:rsid w:val="00FD3B0F"/>
    <w:rsid w:val="00FD432E"/>
    <w:rsid w:val="00FD43BF"/>
    <w:rsid w:val="00FD4B75"/>
    <w:rsid w:val="00FD4F2E"/>
    <w:rsid w:val="00FD4F90"/>
    <w:rsid w:val="00FD526C"/>
    <w:rsid w:val="00FD5668"/>
    <w:rsid w:val="00FD56BB"/>
    <w:rsid w:val="00FD63E4"/>
    <w:rsid w:val="00FD6A07"/>
    <w:rsid w:val="00FD6D26"/>
    <w:rsid w:val="00FD72BD"/>
    <w:rsid w:val="00FD76FD"/>
    <w:rsid w:val="00FD7B0B"/>
    <w:rsid w:val="00FE00D7"/>
    <w:rsid w:val="00FE016B"/>
    <w:rsid w:val="00FE0196"/>
    <w:rsid w:val="00FE045C"/>
    <w:rsid w:val="00FE0901"/>
    <w:rsid w:val="00FE09F0"/>
    <w:rsid w:val="00FE0CE6"/>
    <w:rsid w:val="00FE0D69"/>
    <w:rsid w:val="00FE151B"/>
    <w:rsid w:val="00FE1578"/>
    <w:rsid w:val="00FE185A"/>
    <w:rsid w:val="00FE185F"/>
    <w:rsid w:val="00FE1E1C"/>
    <w:rsid w:val="00FE1EF4"/>
    <w:rsid w:val="00FE2144"/>
    <w:rsid w:val="00FE2ADE"/>
    <w:rsid w:val="00FE2E15"/>
    <w:rsid w:val="00FE3303"/>
    <w:rsid w:val="00FE378A"/>
    <w:rsid w:val="00FE3F2A"/>
    <w:rsid w:val="00FE4431"/>
    <w:rsid w:val="00FE44BC"/>
    <w:rsid w:val="00FE458E"/>
    <w:rsid w:val="00FE51F3"/>
    <w:rsid w:val="00FE55F1"/>
    <w:rsid w:val="00FE56C0"/>
    <w:rsid w:val="00FE577C"/>
    <w:rsid w:val="00FE5DED"/>
    <w:rsid w:val="00FE5EC5"/>
    <w:rsid w:val="00FE63A3"/>
    <w:rsid w:val="00FE64BF"/>
    <w:rsid w:val="00FE680C"/>
    <w:rsid w:val="00FE683C"/>
    <w:rsid w:val="00FE694F"/>
    <w:rsid w:val="00FE6B63"/>
    <w:rsid w:val="00FE72FE"/>
    <w:rsid w:val="00FE75D9"/>
    <w:rsid w:val="00FE776B"/>
    <w:rsid w:val="00FE7789"/>
    <w:rsid w:val="00FE785B"/>
    <w:rsid w:val="00FE79CF"/>
    <w:rsid w:val="00FE7D0C"/>
    <w:rsid w:val="00FE7F80"/>
    <w:rsid w:val="00FF0126"/>
    <w:rsid w:val="00FF066A"/>
    <w:rsid w:val="00FF085F"/>
    <w:rsid w:val="00FF0B6B"/>
    <w:rsid w:val="00FF0B79"/>
    <w:rsid w:val="00FF0C26"/>
    <w:rsid w:val="00FF0EF2"/>
    <w:rsid w:val="00FF14C5"/>
    <w:rsid w:val="00FF17CE"/>
    <w:rsid w:val="00FF1C60"/>
    <w:rsid w:val="00FF1EDD"/>
    <w:rsid w:val="00FF22B0"/>
    <w:rsid w:val="00FF22FC"/>
    <w:rsid w:val="00FF2388"/>
    <w:rsid w:val="00FF261A"/>
    <w:rsid w:val="00FF2962"/>
    <w:rsid w:val="00FF2D68"/>
    <w:rsid w:val="00FF2F63"/>
    <w:rsid w:val="00FF3414"/>
    <w:rsid w:val="00FF3762"/>
    <w:rsid w:val="00FF3B64"/>
    <w:rsid w:val="00FF417F"/>
    <w:rsid w:val="00FF44DC"/>
    <w:rsid w:val="00FF476F"/>
    <w:rsid w:val="00FF48B2"/>
    <w:rsid w:val="00FF4909"/>
    <w:rsid w:val="00FF4C88"/>
    <w:rsid w:val="00FF4F57"/>
    <w:rsid w:val="00FF4FFB"/>
    <w:rsid w:val="00FF5058"/>
    <w:rsid w:val="00FF5379"/>
    <w:rsid w:val="00FF5520"/>
    <w:rsid w:val="00FF5621"/>
    <w:rsid w:val="00FF56ED"/>
    <w:rsid w:val="00FF572F"/>
    <w:rsid w:val="00FF6121"/>
    <w:rsid w:val="00FF6412"/>
    <w:rsid w:val="00FF6730"/>
    <w:rsid w:val="00FF6FA7"/>
    <w:rsid w:val="00FF70DD"/>
    <w:rsid w:val="00FF714D"/>
    <w:rsid w:val="00FF73E4"/>
    <w:rsid w:val="00FF7483"/>
    <w:rsid w:val="00FF7C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1AC52"/>
  <w15:chartTrackingRefBased/>
  <w15:docId w15:val="{9B1D3D43-172C-4C9F-8310-E80FFB9C2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F43820"/>
  </w:style>
  <w:style w:type="paragraph" w:styleId="10">
    <w:name w:val="heading 1"/>
    <w:basedOn w:val="a2"/>
    <w:next w:val="a2"/>
    <w:link w:val="11"/>
    <w:uiPriority w:val="99"/>
    <w:qFormat/>
    <w:rsid w:val="00971EC6"/>
    <w:pPr>
      <w:autoSpaceDE w:val="0"/>
      <w:autoSpaceDN w:val="0"/>
      <w:adjustRightInd w:val="0"/>
      <w:spacing w:before="108" w:after="108" w:line="240" w:lineRule="auto"/>
      <w:jc w:val="center"/>
      <w:outlineLvl w:val="0"/>
    </w:pPr>
    <w:rPr>
      <w:rFonts w:ascii="Arial" w:eastAsia="Times New Roman" w:hAnsi="Arial" w:cs="Times New Roman"/>
      <w:b/>
      <w:bCs/>
      <w:color w:val="000080"/>
      <w:sz w:val="24"/>
      <w:szCs w:val="24"/>
      <w:lang w:val="x-none" w:eastAsia="x-none"/>
    </w:rPr>
  </w:style>
  <w:style w:type="paragraph" w:styleId="2">
    <w:name w:val="heading 2"/>
    <w:basedOn w:val="a2"/>
    <w:next w:val="a2"/>
    <w:link w:val="20"/>
    <w:uiPriority w:val="9"/>
    <w:unhideWhenUsed/>
    <w:qFormat/>
    <w:rsid w:val="00971EC6"/>
    <w:pPr>
      <w:keepNext/>
      <w:spacing w:before="240" w:after="60" w:line="276" w:lineRule="auto"/>
      <w:outlineLvl w:val="1"/>
    </w:pPr>
    <w:rPr>
      <w:rFonts w:ascii="Cambria" w:eastAsia="Times New Roman" w:hAnsi="Cambria" w:cs="Times New Roman"/>
      <w:b/>
      <w:bCs/>
      <w:i/>
      <w:iCs/>
      <w:sz w:val="28"/>
      <w:szCs w:val="28"/>
      <w:lang w:val="x-none"/>
    </w:rPr>
  </w:style>
  <w:style w:type="paragraph" w:styleId="3">
    <w:name w:val="heading 3"/>
    <w:basedOn w:val="a2"/>
    <w:next w:val="a2"/>
    <w:link w:val="30"/>
    <w:uiPriority w:val="99"/>
    <w:unhideWhenUsed/>
    <w:qFormat/>
    <w:rsid w:val="00971EC6"/>
    <w:pPr>
      <w:keepNext/>
      <w:spacing w:before="240" w:after="60" w:line="276" w:lineRule="auto"/>
      <w:outlineLvl w:val="2"/>
    </w:pPr>
    <w:rPr>
      <w:rFonts w:ascii="Cambria" w:eastAsia="Times New Roman" w:hAnsi="Cambria" w:cs="Times New Roman"/>
      <w:b/>
      <w:bCs/>
      <w:sz w:val="26"/>
      <w:szCs w:val="26"/>
      <w:lang w:val="x-none"/>
    </w:rPr>
  </w:style>
  <w:style w:type="paragraph" w:styleId="4">
    <w:name w:val="heading 4"/>
    <w:basedOn w:val="a2"/>
    <w:next w:val="a2"/>
    <w:link w:val="40"/>
    <w:uiPriority w:val="9"/>
    <w:qFormat/>
    <w:rsid w:val="00971EC6"/>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2"/>
    <w:next w:val="a2"/>
    <w:link w:val="50"/>
    <w:unhideWhenUsed/>
    <w:qFormat/>
    <w:rsid w:val="00971EC6"/>
    <w:pPr>
      <w:spacing w:before="240" w:after="60" w:line="276" w:lineRule="auto"/>
      <w:outlineLvl w:val="4"/>
    </w:pPr>
    <w:rPr>
      <w:rFonts w:ascii="Calibri" w:eastAsia="Times New Roman" w:hAnsi="Calibri" w:cs="Times New Roman"/>
      <w:b/>
      <w:bCs/>
      <w:i/>
      <w:iCs/>
      <w:sz w:val="26"/>
      <w:szCs w:val="26"/>
    </w:rPr>
  </w:style>
  <w:style w:type="paragraph" w:styleId="7">
    <w:name w:val="heading 7"/>
    <w:basedOn w:val="a2"/>
    <w:next w:val="a2"/>
    <w:link w:val="70"/>
    <w:qFormat/>
    <w:rsid w:val="00971EC6"/>
    <w:pPr>
      <w:spacing w:before="240" w:after="60" w:line="240" w:lineRule="auto"/>
      <w:outlineLvl w:val="6"/>
    </w:pPr>
    <w:rPr>
      <w:rFonts w:ascii="Times New Roman" w:eastAsia="Times New Roman" w:hAnsi="Times New Roman" w:cs="Times New Roman"/>
      <w:sz w:val="24"/>
      <w:szCs w:val="24"/>
      <w:lang w:val="x-none" w:eastAsia="x-none"/>
    </w:rPr>
  </w:style>
  <w:style w:type="paragraph" w:styleId="8">
    <w:name w:val="heading 8"/>
    <w:basedOn w:val="a2"/>
    <w:next w:val="a2"/>
    <w:link w:val="80"/>
    <w:uiPriority w:val="9"/>
    <w:semiHidden/>
    <w:unhideWhenUsed/>
    <w:qFormat/>
    <w:rsid w:val="0091774C"/>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uiPriority w:val="99"/>
    <w:rsid w:val="00971EC6"/>
    <w:rPr>
      <w:rFonts w:ascii="Arial" w:eastAsia="Times New Roman" w:hAnsi="Arial" w:cs="Times New Roman"/>
      <w:b/>
      <w:bCs/>
      <w:color w:val="000080"/>
      <w:sz w:val="24"/>
      <w:szCs w:val="24"/>
      <w:lang w:val="x-none" w:eastAsia="x-none"/>
    </w:rPr>
  </w:style>
  <w:style w:type="character" w:customStyle="1" w:styleId="20">
    <w:name w:val="Заголовок 2 Знак"/>
    <w:basedOn w:val="a3"/>
    <w:link w:val="2"/>
    <w:uiPriority w:val="9"/>
    <w:rsid w:val="00971EC6"/>
    <w:rPr>
      <w:rFonts w:ascii="Cambria" w:eastAsia="Times New Roman" w:hAnsi="Cambria" w:cs="Times New Roman"/>
      <w:b/>
      <w:bCs/>
      <w:i/>
      <w:iCs/>
      <w:sz w:val="28"/>
      <w:szCs w:val="28"/>
      <w:lang w:val="x-none"/>
    </w:rPr>
  </w:style>
  <w:style w:type="character" w:customStyle="1" w:styleId="30">
    <w:name w:val="Заголовок 3 Знак"/>
    <w:basedOn w:val="a3"/>
    <w:link w:val="3"/>
    <w:uiPriority w:val="99"/>
    <w:rsid w:val="00971EC6"/>
    <w:rPr>
      <w:rFonts w:ascii="Cambria" w:eastAsia="Times New Roman" w:hAnsi="Cambria" w:cs="Times New Roman"/>
      <w:b/>
      <w:bCs/>
      <w:sz w:val="26"/>
      <w:szCs w:val="26"/>
      <w:lang w:val="x-none"/>
    </w:rPr>
  </w:style>
  <w:style w:type="character" w:customStyle="1" w:styleId="40">
    <w:name w:val="Заголовок 4 Знак"/>
    <w:basedOn w:val="a3"/>
    <w:link w:val="4"/>
    <w:uiPriority w:val="9"/>
    <w:rsid w:val="00971EC6"/>
    <w:rPr>
      <w:rFonts w:ascii="Times New Roman" w:eastAsia="Times New Roman" w:hAnsi="Times New Roman" w:cs="Times New Roman"/>
      <w:b/>
      <w:bCs/>
      <w:sz w:val="28"/>
      <w:szCs w:val="28"/>
      <w:lang w:eastAsia="ru-RU"/>
    </w:rPr>
  </w:style>
  <w:style w:type="character" w:customStyle="1" w:styleId="50">
    <w:name w:val="Заголовок 5 Знак"/>
    <w:basedOn w:val="a3"/>
    <w:link w:val="5"/>
    <w:rsid w:val="00971EC6"/>
    <w:rPr>
      <w:rFonts w:ascii="Calibri" w:eastAsia="Times New Roman" w:hAnsi="Calibri" w:cs="Times New Roman"/>
      <w:b/>
      <w:bCs/>
      <w:i/>
      <w:iCs/>
      <w:sz w:val="26"/>
      <w:szCs w:val="26"/>
    </w:rPr>
  </w:style>
  <w:style w:type="character" w:customStyle="1" w:styleId="70">
    <w:name w:val="Заголовок 7 Знак"/>
    <w:basedOn w:val="a3"/>
    <w:link w:val="7"/>
    <w:rsid w:val="00971EC6"/>
    <w:rPr>
      <w:rFonts w:ascii="Times New Roman" w:eastAsia="Times New Roman" w:hAnsi="Times New Roman" w:cs="Times New Roman"/>
      <w:sz w:val="24"/>
      <w:szCs w:val="24"/>
      <w:lang w:val="x-none" w:eastAsia="x-none"/>
    </w:rPr>
  </w:style>
  <w:style w:type="character" w:customStyle="1" w:styleId="a6">
    <w:name w:val="Гипертекстовая ссылка"/>
    <w:uiPriority w:val="99"/>
    <w:rsid w:val="00971EC6"/>
    <w:rPr>
      <w:color w:val="106BBE"/>
    </w:rPr>
  </w:style>
  <w:style w:type="table" w:styleId="a7">
    <w:name w:val="Table Grid"/>
    <w:basedOn w:val="a4"/>
    <w:uiPriority w:val="39"/>
    <w:rsid w:val="00971E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2"/>
    <w:link w:val="32"/>
    <w:rsid w:val="00971EC6"/>
    <w:pPr>
      <w:spacing w:after="0" w:line="240" w:lineRule="auto"/>
      <w:ind w:left="142" w:hanging="142"/>
      <w:jc w:val="both"/>
    </w:pPr>
    <w:rPr>
      <w:rFonts w:ascii="Times New Roman" w:eastAsia="Times New Roman" w:hAnsi="Times New Roman" w:cs="Times New Roman"/>
      <w:sz w:val="24"/>
      <w:szCs w:val="20"/>
      <w:lang w:val="x-none" w:eastAsia="x-none"/>
    </w:rPr>
  </w:style>
  <w:style w:type="character" w:customStyle="1" w:styleId="32">
    <w:name w:val="Основной текст с отступом 3 Знак"/>
    <w:basedOn w:val="a3"/>
    <w:link w:val="31"/>
    <w:rsid w:val="00971EC6"/>
    <w:rPr>
      <w:rFonts w:ascii="Times New Roman" w:eastAsia="Times New Roman" w:hAnsi="Times New Roman" w:cs="Times New Roman"/>
      <w:sz w:val="24"/>
      <w:szCs w:val="20"/>
      <w:lang w:val="x-none" w:eastAsia="x-none"/>
    </w:rPr>
  </w:style>
  <w:style w:type="paragraph" w:customStyle="1" w:styleId="ConsPlusNormal">
    <w:name w:val="ConsPlusNormal"/>
    <w:link w:val="ConsPlusNormal0"/>
    <w:qFormat/>
    <w:rsid w:val="00971E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8">
    <w:name w:val="List Paragraph"/>
    <w:aliases w:val="it_List1,Bullet List,FooterText,numbered,Paragraphe de liste1,lp1,Содержание. 2 уровень,Мой стиль!,Use Case List Paragraph,Маркер,List Paragraph,ТЗ список,Список дефисный,List Paragraph1,Bulletr List Paragraph,Список нумерованный цифры,UL"/>
    <w:basedOn w:val="a2"/>
    <w:link w:val="a9"/>
    <w:uiPriority w:val="34"/>
    <w:qFormat/>
    <w:rsid w:val="00971EC6"/>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ConsPlusNonformat">
    <w:name w:val="ConsPlusNonformat"/>
    <w:link w:val="ConsPlusNonformat0"/>
    <w:qFormat/>
    <w:rsid w:val="00971E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a">
    <w:name w:val="Подзаголовок для информации об изменениях"/>
    <w:basedOn w:val="a2"/>
    <w:next w:val="a2"/>
    <w:rsid w:val="00971EC6"/>
    <w:pPr>
      <w:autoSpaceDE w:val="0"/>
      <w:autoSpaceDN w:val="0"/>
      <w:adjustRightInd w:val="0"/>
      <w:spacing w:after="0" w:line="240" w:lineRule="auto"/>
      <w:jc w:val="both"/>
    </w:pPr>
    <w:rPr>
      <w:rFonts w:ascii="Arial" w:eastAsia="Times New Roman" w:hAnsi="Arial" w:cs="Arial"/>
      <w:b/>
      <w:bCs/>
      <w:color w:val="000080"/>
      <w:sz w:val="24"/>
      <w:szCs w:val="24"/>
      <w:lang w:eastAsia="ru-RU"/>
    </w:rPr>
  </w:style>
  <w:style w:type="paragraph" w:styleId="ab">
    <w:name w:val="Body Text Indent"/>
    <w:basedOn w:val="a2"/>
    <w:link w:val="ac"/>
    <w:uiPriority w:val="99"/>
    <w:unhideWhenUsed/>
    <w:rsid w:val="00971EC6"/>
    <w:pPr>
      <w:spacing w:after="120" w:line="276" w:lineRule="auto"/>
      <w:ind w:left="283"/>
    </w:pPr>
    <w:rPr>
      <w:rFonts w:ascii="Calibri" w:eastAsia="Calibri" w:hAnsi="Calibri" w:cs="Times New Roman"/>
      <w:lang w:val="x-none"/>
    </w:rPr>
  </w:style>
  <w:style w:type="character" w:customStyle="1" w:styleId="ac">
    <w:name w:val="Основной текст с отступом Знак"/>
    <w:basedOn w:val="a3"/>
    <w:link w:val="ab"/>
    <w:uiPriority w:val="99"/>
    <w:rsid w:val="00971EC6"/>
    <w:rPr>
      <w:rFonts w:ascii="Calibri" w:eastAsia="Calibri" w:hAnsi="Calibri" w:cs="Times New Roman"/>
      <w:lang w:val="x-none"/>
    </w:rPr>
  </w:style>
  <w:style w:type="paragraph" w:styleId="ad">
    <w:name w:val="No Spacing"/>
    <w:aliases w:val="для таблиц,No Spacing"/>
    <w:link w:val="ae"/>
    <w:uiPriority w:val="1"/>
    <w:qFormat/>
    <w:rsid w:val="00971EC6"/>
    <w:pPr>
      <w:spacing w:after="0" w:line="240" w:lineRule="auto"/>
    </w:pPr>
    <w:rPr>
      <w:rFonts w:ascii="Calibri" w:eastAsia="Calibri" w:hAnsi="Calibri" w:cs="Times New Roman"/>
    </w:rPr>
  </w:style>
  <w:style w:type="paragraph" w:customStyle="1" w:styleId="af">
    <w:name w:val="Прижатый влево"/>
    <w:basedOn w:val="a2"/>
    <w:next w:val="a2"/>
    <w:uiPriority w:val="99"/>
    <w:rsid w:val="00971EC6"/>
    <w:pPr>
      <w:autoSpaceDE w:val="0"/>
      <w:autoSpaceDN w:val="0"/>
      <w:adjustRightInd w:val="0"/>
      <w:spacing w:after="0" w:line="240" w:lineRule="auto"/>
    </w:pPr>
    <w:rPr>
      <w:rFonts w:ascii="Arial" w:eastAsia="Calibri" w:hAnsi="Arial" w:cs="Arial"/>
      <w:sz w:val="24"/>
      <w:szCs w:val="24"/>
    </w:rPr>
  </w:style>
  <w:style w:type="character" w:styleId="af0">
    <w:name w:val="annotation reference"/>
    <w:uiPriority w:val="99"/>
    <w:unhideWhenUsed/>
    <w:rsid w:val="00971EC6"/>
    <w:rPr>
      <w:sz w:val="16"/>
      <w:szCs w:val="16"/>
    </w:rPr>
  </w:style>
  <w:style w:type="paragraph" w:styleId="af1">
    <w:name w:val="annotation text"/>
    <w:basedOn w:val="a2"/>
    <w:link w:val="af2"/>
    <w:uiPriority w:val="99"/>
    <w:unhideWhenUsed/>
    <w:rsid w:val="00971EC6"/>
    <w:pPr>
      <w:spacing w:after="200" w:line="240" w:lineRule="auto"/>
    </w:pPr>
    <w:rPr>
      <w:rFonts w:ascii="Calibri" w:eastAsia="Calibri" w:hAnsi="Calibri" w:cs="Times New Roman"/>
      <w:sz w:val="20"/>
      <w:szCs w:val="20"/>
      <w:lang w:val="x-none"/>
    </w:rPr>
  </w:style>
  <w:style w:type="character" w:customStyle="1" w:styleId="af2">
    <w:name w:val="Текст примечания Знак"/>
    <w:basedOn w:val="a3"/>
    <w:link w:val="af1"/>
    <w:uiPriority w:val="99"/>
    <w:rsid w:val="00971EC6"/>
    <w:rPr>
      <w:rFonts w:ascii="Calibri" w:eastAsia="Calibri" w:hAnsi="Calibri" w:cs="Times New Roman"/>
      <w:sz w:val="20"/>
      <w:szCs w:val="20"/>
      <w:lang w:val="x-none"/>
    </w:rPr>
  </w:style>
  <w:style w:type="paragraph" w:styleId="af3">
    <w:name w:val="Balloon Text"/>
    <w:basedOn w:val="a2"/>
    <w:link w:val="af4"/>
    <w:uiPriority w:val="99"/>
    <w:unhideWhenUsed/>
    <w:rsid w:val="00F43820"/>
    <w:pPr>
      <w:spacing w:after="0" w:line="240" w:lineRule="auto"/>
    </w:pPr>
    <w:rPr>
      <w:rFonts w:ascii="Tahoma" w:eastAsia="Calibri" w:hAnsi="Tahoma" w:cs="Times New Roman"/>
      <w:szCs w:val="16"/>
      <w:lang w:val="x-none"/>
    </w:rPr>
  </w:style>
  <w:style w:type="character" w:customStyle="1" w:styleId="af4">
    <w:name w:val="Текст выноски Знак"/>
    <w:basedOn w:val="a3"/>
    <w:link w:val="af3"/>
    <w:uiPriority w:val="99"/>
    <w:rsid w:val="00F43820"/>
    <w:rPr>
      <w:rFonts w:ascii="Tahoma" w:eastAsia="Calibri" w:hAnsi="Tahoma" w:cs="Times New Roman"/>
      <w:szCs w:val="16"/>
      <w:lang w:val="x-none"/>
    </w:rPr>
  </w:style>
  <w:style w:type="paragraph" w:styleId="af5">
    <w:name w:val="header"/>
    <w:basedOn w:val="a2"/>
    <w:link w:val="af6"/>
    <w:uiPriority w:val="99"/>
    <w:unhideWhenUsed/>
    <w:rsid w:val="00971EC6"/>
    <w:pPr>
      <w:tabs>
        <w:tab w:val="center" w:pos="4677"/>
        <w:tab w:val="right" w:pos="9355"/>
      </w:tabs>
      <w:spacing w:after="200" w:line="276" w:lineRule="auto"/>
    </w:pPr>
    <w:rPr>
      <w:rFonts w:ascii="Calibri" w:eastAsia="Calibri" w:hAnsi="Calibri" w:cs="Times New Roman"/>
      <w:lang w:val="x-none"/>
    </w:rPr>
  </w:style>
  <w:style w:type="character" w:customStyle="1" w:styleId="af6">
    <w:name w:val="Верхний колонтитул Знак"/>
    <w:basedOn w:val="a3"/>
    <w:link w:val="af5"/>
    <w:uiPriority w:val="99"/>
    <w:rsid w:val="00971EC6"/>
    <w:rPr>
      <w:rFonts w:ascii="Calibri" w:eastAsia="Calibri" w:hAnsi="Calibri" w:cs="Times New Roman"/>
      <w:lang w:val="x-none"/>
    </w:rPr>
  </w:style>
  <w:style w:type="paragraph" w:styleId="af7">
    <w:name w:val="footer"/>
    <w:basedOn w:val="a2"/>
    <w:link w:val="af8"/>
    <w:uiPriority w:val="99"/>
    <w:unhideWhenUsed/>
    <w:rsid w:val="00971EC6"/>
    <w:pPr>
      <w:tabs>
        <w:tab w:val="center" w:pos="4677"/>
        <w:tab w:val="right" w:pos="9355"/>
      </w:tabs>
      <w:spacing w:after="200" w:line="276" w:lineRule="auto"/>
    </w:pPr>
    <w:rPr>
      <w:rFonts w:ascii="Calibri" w:eastAsia="Calibri" w:hAnsi="Calibri" w:cs="Times New Roman"/>
      <w:lang w:val="x-none"/>
    </w:rPr>
  </w:style>
  <w:style w:type="character" w:customStyle="1" w:styleId="af8">
    <w:name w:val="Нижний колонтитул Знак"/>
    <w:basedOn w:val="a3"/>
    <w:link w:val="af7"/>
    <w:uiPriority w:val="99"/>
    <w:rsid w:val="00971EC6"/>
    <w:rPr>
      <w:rFonts w:ascii="Calibri" w:eastAsia="Calibri" w:hAnsi="Calibri" w:cs="Times New Roman"/>
      <w:lang w:val="x-none"/>
    </w:rPr>
  </w:style>
  <w:style w:type="paragraph" w:customStyle="1" w:styleId="12">
    <w:name w:val="Без интервала1"/>
    <w:link w:val="NoSpacing"/>
    <w:rsid w:val="00971EC6"/>
    <w:pPr>
      <w:spacing w:after="0" w:line="240" w:lineRule="auto"/>
    </w:pPr>
    <w:rPr>
      <w:rFonts w:ascii="Calibri" w:eastAsia="Times New Roman" w:hAnsi="Calibri" w:cs="Times New Roman"/>
    </w:rPr>
  </w:style>
  <w:style w:type="paragraph" w:customStyle="1" w:styleId="21">
    <w:name w:val="Стиль2"/>
    <w:basedOn w:val="ad"/>
    <w:uiPriority w:val="99"/>
    <w:rsid w:val="00971EC6"/>
    <w:rPr>
      <w:rFonts w:ascii="Times New Roman" w:hAnsi="Times New Roman"/>
      <w:sz w:val="28"/>
      <w:szCs w:val="28"/>
    </w:rPr>
  </w:style>
  <w:style w:type="paragraph" w:customStyle="1" w:styleId="af9">
    <w:name w:val="СтильМой"/>
    <w:basedOn w:val="a2"/>
    <w:rsid w:val="00971EC6"/>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afa">
    <w:name w:val="Мой стиль"/>
    <w:basedOn w:val="a2"/>
    <w:rsid w:val="00971EC6"/>
    <w:pPr>
      <w:spacing w:after="0" w:line="240" w:lineRule="auto"/>
      <w:ind w:firstLine="709"/>
      <w:jc w:val="both"/>
    </w:pPr>
    <w:rPr>
      <w:rFonts w:ascii="Times New Roman" w:eastAsia="Times New Roman" w:hAnsi="Times New Roman" w:cs="Times New Roman"/>
      <w:sz w:val="28"/>
      <w:szCs w:val="20"/>
      <w:lang w:eastAsia="ru-RU"/>
    </w:rPr>
  </w:style>
  <w:style w:type="character" w:styleId="afb">
    <w:name w:val="Hyperlink"/>
    <w:uiPriority w:val="99"/>
    <w:rsid w:val="00971EC6"/>
    <w:rPr>
      <w:color w:val="0000FF"/>
      <w:u w:val="single"/>
    </w:rPr>
  </w:style>
  <w:style w:type="paragraph" w:styleId="afc">
    <w:name w:val="annotation subject"/>
    <w:basedOn w:val="af1"/>
    <w:next w:val="af1"/>
    <w:link w:val="afd"/>
    <w:uiPriority w:val="99"/>
    <w:semiHidden/>
    <w:unhideWhenUsed/>
    <w:rsid w:val="00971EC6"/>
    <w:pPr>
      <w:spacing w:line="276" w:lineRule="auto"/>
    </w:pPr>
    <w:rPr>
      <w:b/>
      <w:bCs/>
    </w:rPr>
  </w:style>
  <w:style w:type="character" w:customStyle="1" w:styleId="afd">
    <w:name w:val="Тема примечания Знак"/>
    <w:basedOn w:val="af2"/>
    <w:link w:val="afc"/>
    <w:uiPriority w:val="99"/>
    <w:semiHidden/>
    <w:rsid w:val="00971EC6"/>
    <w:rPr>
      <w:rFonts w:ascii="Calibri" w:eastAsia="Calibri" w:hAnsi="Calibri" w:cs="Times New Roman"/>
      <w:b/>
      <w:bCs/>
      <w:sz w:val="20"/>
      <w:szCs w:val="20"/>
      <w:lang w:val="x-none"/>
    </w:rPr>
  </w:style>
  <w:style w:type="paragraph" w:styleId="afe">
    <w:name w:val="Body Text"/>
    <w:aliases w:val="Òàáë òåêñò, Знак"/>
    <w:basedOn w:val="a2"/>
    <w:link w:val="aff"/>
    <w:unhideWhenUsed/>
    <w:rsid w:val="00971EC6"/>
    <w:pPr>
      <w:spacing w:after="120" w:line="240" w:lineRule="auto"/>
      <w:ind w:firstLine="567"/>
      <w:jc w:val="both"/>
    </w:pPr>
    <w:rPr>
      <w:rFonts w:ascii="Calibri" w:eastAsia="Calibri" w:hAnsi="Calibri" w:cs="Times New Roman"/>
      <w:lang w:val="x-none"/>
    </w:rPr>
  </w:style>
  <w:style w:type="character" w:customStyle="1" w:styleId="aff">
    <w:name w:val="Основной текст Знак"/>
    <w:aliases w:val="Òàáë òåêñò Знак, Знак Знак"/>
    <w:basedOn w:val="a3"/>
    <w:link w:val="afe"/>
    <w:rsid w:val="00971EC6"/>
    <w:rPr>
      <w:rFonts w:ascii="Calibri" w:eastAsia="Calibri" w:hAnsi="Calibri" w:cs="Times New Roman"/>
      <w:lang w:val="x-none"/>
    </w:rPr>
  </w:style>
  <w:style w:type="character" w:customStyle="1" w:styleId="FontStyle12">
    <w:name w:val="Font Style12"/>
    <w:rsid w:val="00971EC6"/>
    <w:rPr>
      <w:rFonts w:ascii="Times New Roman" w:hAnsi="Times New Roman" w:cs="Times New Roman"/>
      <w:b/>
      <w:sz w:val="26"/>
      <w:szCs w:val="26"/>
      <w:lang w:val="en-US" w:eastAsia="en-US" w:bidi="ar-SA"/>
    </w:rPr>
  </w:style>
  <w:style w:type="paragraph" w:styleId="aff0">
    <w:name w:val="caption"/>
    <w:basedOn w:val="a2"/>
    <w:next w:val="a2"/>
    <w:uiPriority w:val="35"/>
    <w:unhideWhenUsed/>
    <w:qFormat/>
    <w:rsid w:val="00971EC6"/>
    <w:pPr>
      <w:spacing w:after="200" w:line="276" w:lineRule="auto"/>
    </w:pPr>
    <w:rPr>
      <w:rFonts w:ascii="Calibri" w:eastAsia="Calibri" w:hAnsi="Calibri" w:cs="Times New Roman"/>
      <w:b/>
      <w:bCs/>
      <w:sz w:val="20"/>
      <w:szCs w:val="20"/>
    </w:rPr>
  </w:style>
  <w:style w:type="paragraph" w:styleId="aff1">
    <w:name w:val="Document Map"/>
    <w:basedOn w:val="a2"/>
    <w:link w:val="aff2"/>
    <w:uiPriority w:val="99"/>
    <w:semiHidden/>
    <w:unhideWhenUsed/>
    <w:rsid w:val="00971EC6"/>
    <w:pPr>
      <w:spacing w:after="200" w:line="276" w:lineRule="auto"/>
    </w:pPr>
    <w:rPr>
      <w:rFonts w:ascii="Tahoma" w:eastAsia="Calibri" w:hAnsi="Tahoma" w:cs="Times New Roman"/>
      <w:sz w:val="16"/>
      <w:szCs w:val="16"/>
      <w:lang w:val="x-none"/>
    </w:rPr>
  </w:style>
  <w:style w:type="character" w:customStyle="1" w:styleId="aff2">
    <w:name w:val="Схема документа Знак"/>
    <w:basedOn w:val="a3"/>
    <w:link w:val="aff1"/>
    <w:uiPriority w:val="99"/>
    <w:semiHidden/>
    <w:rsid w:val="00971EC6"/>
    <w:rPr>
      <w:rFonts w:ascii="Tahoma" w:eastAsia="Calibri" w:hAnsi="Tahoma" w:cs="Times New Roman"/>
      <w:sz w:val="16"/>
      <w:szCs w:val="16"/>
      <w:lang w:val="x-none"/>
    </w:rPr>
  </w:style>
  <w:style w:type="paragraph" w:styleId="22">
    <w:name w:val="Body Text Indent 2"/>
    <w:basedOn w:val="a2"/>
    <w:link w:val="23"/>
    <w:unhideWhenUsed/>
    <w:rsid w:val="00971EC6"/>
    <w:pPr>
      <w:spacing w:after="120" w:line="480" w:lineRule="auto"/>
      <w:ind w:left="283"/>
    </w:pPr>
    <w:rPr>
      <w:rFonts w:ascii="Calibri" w:eastAsia="Calibri" w:hAnsi="Calibri" w:cs="Times New Roman"/>
      <w:lang w:val="x-none"/>
    </w:rPr>
  </w:style>
  <w:style w:type="character" w:customStyle="1" w:styleId="23">
    <w:name w:val="Основной текст с отступом 2 Знак"/>
    <w:basedOn w:val="a3"/>
    <w:link w:val="22"/>
    <w:rsid w:val="00971EC6"/>
    <w:rPr>
      <w:rFonts w:ascii="Calibri" w:eastAsia="Calibri" w:hAnsi="Calibri" w:cs="Times New Roman"/>
      <w:lang w:val="x-none"/>
    </w:rPr>
  </w:style>
  <w:style w:type="character" w:customStyle="1" w:styleId="aff3">
    <w:name w:val="Основной текст_"/>
    <w:link w:val="24"/>
    <w:rsid w:val="00971EC6"/>
    <w:rPr>
      <w:rFonts w:ascii="Times New Roman" w:eastAsia="Times New Roman" w:hAnsi="Times New Roman"/>
      <w:shd w:val="clear" w:color="auto" w:fill="FFFFFF"/>
    </w:rPr>
  </w:style>
  <w:style w:type="paragraph" w:customStyle="1" w:styleId="24">
    <w:name w:val="Основной текст2"/>
    <w:basedOn w:val="a2"/>
    <w:link w:val="aff3"/>
    <w:rsid w:val="00971EC6"/>
    <w:pPr>
      <w:widowControl w:val="0"/>
      <w:shd w:val="clear" w:color="auto" w:fill="FFFFFF"/>
      <w:spacing w:after="0" w:line="0" w:lineRule="atLeast"/>
      <w:jc w:val="center"/>
    </w:pPr>
    <w:rPr>
      <w:rFonts w:ascii="Times New Roman" w:eastAsia="Times New Roman" w:hAnsi="Times New Roman"/>
    </w:rPr>
  </w:style>
  <w:style w:type="paragraph" w:styleId="aff4">
    <w:name w:val="Normal (Web)"/>
    <w:basedOn w:val="a2"/>
    <w:uiPriority w:val="99"/>
    <w:unhideWhenUsed/>
    <w:rsid w:val="00971EC6"/>
    <w:pPr>
      <w:spacing w:before="100" w:beforeAutospacing="1" w:after="100" w:afterAutospacing="1" w:line="300" w:lineRule="auto"/>
    </w:pPr>
    <w:rPr>
      <w:rFonts w:ascii="Arial" w:eastAsia="Times New Roman" w:hAnsi="Arial" w:cs="Arial"/>
      <w:color w:val="000000"/>
      <w:sz w:val="20"/>
      <w:szCs w:val="20"/>
      <w:lang w:eastAsia="ru-RU"/>
    </w:rPr>
  </w:style>
  <w:style w:type="paragraph" w:styleId="aff5">
    <w:name w:val="TOC Heading"/>
    <w:basedOn w:val="10"/>
    <w:next w:val="a2"/>
    <w:uiPriority w:val="39"/>
    <w:unhideWhenUsed/>
    <w:qFormat/>
    <w:rsid w:val="00971EC6"/>
    <w:pPr>
      <w:keepNext/>
      <w:keepLines/>
      <w:autoSpaceDE/>
      <w:autoSpaceDN/>
      <w:adjustRightInd/>
      <w:spacing w:before="480" w:after="0" w:line="276" w:lineRule="auto"/>
      <w:jc w:val="left"/>
      <w:outlineLvl w:val="9"/>
    </w:pPr>
    <w:rPr>
      <w:rFonts w:ascii="Cambria" w:hAnsi="Cambria"/>
      <w:color w:val="365F91"/>
      <w:sz w:val="28"/>
      <w:szCs w:val="28"/>
      <w:lang w:val="ru-RU" w:eastAsia="ru-RU"/>
    </w:rPr>
  </w:style>
  <w:style w:type="paragraph" w:styleId="13">
    <w:name w:val="toc 1"/>
    <w:basedOn w:val="a2"/>
    <w:next w:val="a2"/>
    <w:autoRedefine/>
    <w:uiPriority w:val="39"/>
    <w:unhideWhenUsed/>
    <w:rsid w:val="00971EC6"/>
    <w:pPr>
      <w:spacing w:after="0" w:line="240" w:lineRule="auto"/>
    </w:pPr>
    <w:rPr>
      <w:rFonts w:ascii="Times New Roman" w:eastAsia="Calibri" w:hAnsi="Times New Roman" w:cs="Times New Roman"/>
      <w:sz w:val="28"/>
    </w:rPr>
  </w:style>
  <w:style w:type="paragraph" w:styleId="25">
    <w:name w:val="toc 2"/>
    <w:basedOn w:val="a2"/>
    <w:next w:val="a2"/>
    <w:autoRedefine/>
    <w:uiPriority w:val="39"/>
    <w:unhideWhenUsed/>
    <w:rsid w:val="00971EC6"/>
    <w:pPr>
      <w:spacing w:after="0" w:line="240" w:lineRule="auto"/>
      <w:ind w:left="221"/>
    </w:pPr>
    <w:rPr>
      <w:rFonts w:ascii="Times New Roman" w:eastAsia="Calibri" w:hAnsi="Times New Roman" w:cs="Times New Roman"/>
      <w:sz w:val="26"/>
    </w:rPr>
  </w:style>
  <w:style w:type="character" w:styleId="aff6">
    <w:name w:val="Emphasis"/>
    <w:qFormat/>
    <w:rsid w:val="00971EC6"/>
    <w:rPr>
      <w:i/>
      <w:iCs/>
    </w:rPr>
  </w:style>
  <w:style w:type="paragraph" w:styleId="33">
    <w:name w:val="toc 3"/>
    <w:basedOn w:val="a2"/>
    <w:next w:val="a2"/>
    <w:autoRedefine/>
    <w:uiPriority w:val="39"/>
    <w:unhideWhenUsed/>
    <w:rsid w:val="00971EC6"/>
    <w:pPr>
      <w:spacing w:after="0" w:line="240" w:lineRule="auto"/>
      <w:ind w:left="442"/>
    </w:pPr>
    <w:rPr>
      <w:rFonts w:ascii="Times New Roman" w:eastAsia="Calibri" w:hAnsi="Times New Roman" w:cs="Times New Roman"/>
      <w:i/>
      <w:sz w:val="26"/>
    </w:rPr>
  </w:style>
  <w:style w:type="character" w:customStyle="1" w:styleId="aff7">
    <w:name w:val="Текст в табл"/>
    <w:rsid w:val="00971EC6"/>
    <w:rPr>
      <w:rFonts w:ascii="Arial" w:hAnsi="Arial" w:cs="Arial" w:hint="default"/>
      <w:noProof w:val="0"/>
      <w:sz w:val="16"/>
      <w:lang w:val="ru-RU"/>
    </w:rPr>
  </w:style>
  <w:style w:type="character" w:customStyle="1" w:styleId="aff8">
    <w:name w:val="Текст (лев) Знак"/>
    <w:link w:val="aff9"/>
    <w:locked/>
    <w:rsid w:val="00971EC6"/>
    <w:rPr>
      <w:rFonts w:ascii="Arial" w:hAnsi="Arial" w:cs="Arial"/>
      <w:sz w:val="18"/>
      <w:lang w:eastAsia="ru-RU"/>
    </w:rPr>
  </w:style>
  <w:style w:type="paragraph" w:customStyle="1" w:styleId="aff9">
    <w:name w:val="Текст (лев)"/>
    <w:link w:val="aff8"/>
    <w:rsid w:val="00971EC6"/>
    <w:pPr>
      <w:spacing w:before="60" w:after="0" w:line="240" w:lineRule="auto"/>
      <w:ind w:firstLine="567"/>
      <w:jc w:val="both"/>
    </w:pPr>
    <w:rPr>
      <w:rFonts w:ascii="Arial" w:hAnsi="Arial" w:cs="Arial"/>
      <w:sz w:val="18"/>
      <w:lang w:eastAsia="ru-RU"/>
    </w:rPr>
  </w:style>
  <w:style w:type="paragraph" w:styleId="affa">
    <w:name w:val="Subtitle"/>
    <w:basedOn w:val="a2"/>
    <w:next w:val="a2"/>
    <w:link w:val="affb"/>
    <w:qFormat/>
    <w:rsid w:val="00971EC6"/>
    <w:pPr>
      <w:spacing w:after="60" w:line="240" w:lineRule="auto"/>
      <w:jc w:val="center"/>
      <w:outlineLvl w:val="1"/>
    </w:pPr>
    <w:rPr>
      <w:rFonts w:ascii="Cambria" w:eastAsia="Times New Roman" w:hAnsi="Cambria" w:cs="Times New Roman"/>
      <w:sz w:val="24"/>
      <w:szCs w:val="24"/>
      <w:lang w:val="x-none" w:eastAsia="x-none"/>
    </w:rPr>
  </w:style>
  <w:style w:type="character" w:customStyle="1" w:styleId="affb">
    <w:name w:val="Подзаголовок Знак"/>
    <w:basedOn w:val="a3"/>
    <w:link w:val="affa"/>
    <w:rsid w:val="00971EC6"/>
    <w:rPr>
      <w:rFonts w:ascii="Cambria" w:eastAsia="Times New Roman" w:hAnsi="Cambria" w:cs="Times New Roman"/>
      <w:sz w:val="24"/>
      <w:szCs w:val="24"/>
      <w:lang w:val="x-none" w:eastAsia="x-none"/>
    </w:rPr>
  </w:style>
  <w:style w:type="character" w:customStyle="1" w:styleId="affc">
    <w:name w:val="Цветовое выделение"/>
    <w:uiPriority w:val="99"/>
    <w:rsid w:val="00971EC6"/>
  </w:style>
  <w:style w:type="paragraph" w:customStyle="1" w:styleId="affd">
    <w:name w:val="Заголовок статьи"/>
    <w:basedOn w:val="a2"/>
    <w:uiPriority w:val="99"/>
    <w:rsid w:val="00971EC6"/>
    <w:pPr>
      <w:suppressAutoHyphens/>
      <w:spacing w:after="0" w:line="240" w:lineRule="auto"/>
      <w:ind w:firstLine="567"/>
      <w:jc w:val="both"/>
    </w:pPr>
    <w:rPr>
      <w:rFonts w:ascii="Calibri" w:eastAsia="SimSun" w:hAnsi="Calibri" w:cs="font239"/>
      <w:kern w:val="1"/>
      <w:lang w:eastAsia="ar-SA"/>
    </w:rPr>
  </w:style>
  <w:style w:type="paragraph" w:customStyle="1" w:styleId="14">
    <w:name w:val="Знак1"/>
    <w:basedOn w:val="a2"/>
    <w:rsid w:val="00971EC6"/>
    <w:pPr>
      <w:spacing w:line="240" w:lineRule="exact"/>
      <w:jc w:val="both"/>
    </w:pPr>
    <w:rPr>
      <w:rFonts w:ascii="Verdana" w:eastAsia="Times New Roman" w:hAnsi="Verdana" w:cs="Arial"/>
      <w:sz w:val="20"/>
      <w:szCs w:val="20"/>
      <w:lang w:val="en-US"/>
    </w:rPr>
  </w:style>
  <w:style w:type="table" w:customStyle="1" w:styleId="15">
    <w:name w:val="Сетка таблицы1"/>
    <w:basedOn w:val="a4"/>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71EC6"/>
    <w:pPr>
      <w:autoSpaceDE w:val="0"/>
      <w:autoSpaceDN w:val="0"/>
      <w:adjustRightInd w:val="0"/>
      <w:spacing w:after="0" w:line="240" w:lineRule="auto"/>
    </w:pPr>
    <w:rPr>
      <w:rFonts w:ascii="Times New Roman" w:eastAsia="Calibri" w:hAnsi="Times New Roman" w:cs="Times New Roman"/>
      <w:color w:val="000000"/>
      <w:sz w:val="24"/>
      <w:szCs w:val="24"/>
    </w:rPr>
  </w:style>
  <w:style w:type="numbering" w:customStyle="1" w:styleId="16">
    <w:name w:val="Нет списка1"/>
    <w:next w:val="a5"/>
    <w:uiPriority w:val="99"/>
    <w:semiHidden/>
    <w:unhideWhenUsed/>
    <w:rsid w:val="00971EC6"/>
  </w:style>
  <w:style w:type="numbering" w:customStyle="1" w:styleId="26">
    <w:name w:val="Нет списка2"/>
    <w:next w:val="a5"/>
    <w:uiPriority w:val="99"/>
    <w:semiHidden/>
    <w:unhideWhenUsed/>
    <w:rsid w:val="00971EC6"/>
  </w:style>
  <w:style w:type="paragraph" w:customStyle="1" w:styleId="CharChar">
    <w:name w:val="Char Char"/>
    <w:basedOn w:val="a2"/>
    <w:autoRedefine/>
    <w:rsid w:val="00971EC6"/>
    <w:pPr>
      <w:spacing w:line="240" w:lineRule="exact"/>
    </w:pPr>
    <w:rPr>
      <w:rFonts w:ascii="Times New Roman" w:eastAsia="Times New Roman" w:hAnsi="Times New Roman" w:cs="Times New Roman"/>
      <w:sz w:val="24"/>
      <w:szCs w:val="28"/>
      <w:lang w:val="en-US" w:eastAsia="ru-RU"/>
    </w:rPr>
  </w:style>
  <w:style w:type="paragraph" w:customStyle="1" w:styleId="affe">
    <w:name w:val="Нормальный (таблица)"/>
    <w:basedOn w:val="a2"/>
    <w:next w:val="a2"/>
    <w:uiPriority w:val="99"/>
    <w:rsid w:val="00971EC6"/>
    <w:pPr>
      <w:autoSpaceDE w:val="0"/>
      <w:autoSpaceDN w:val="0"/>
      <w:adjustRightInd w:val="0"/>
      <w:spacing w:after="0" w:line="240" w:lineRule="auto"/>
      <w:jc w:val="both"/>
    </w:pPr>
    <w:rPr>
      <w:rFonts w:ascii="Arial" w:eastAsia="Calibri" w:hAnsi="Arial" w:cs="Arial"/>
      <w:sz w:val="24"/>
      <w:szCs w:val="24"/>
    </w:rPr>
  </w:style>
  <w:style w:type="paragraph" w:customStyle="1" w:styleId="310">
    <w:name w:val="Основной текст 31"/>
    <w:basedOn w:val="a2"/>
    <w:rsid w:val="00971EC6"/>
    <w:pPr>
      <w:suppressAutoHyphens/>
      <w:spacing w:after="0" w:line="240" w:lineRule="auto"/>
      <w:jc w:val="both"/>
    </w:pPr>
    <w:rPr>
      <w:rFonts w:ascii="Times New Roman" w:eastAsia="Times New Roman" w:hAnsi="Times New Roman" w:cs="Times New Roman"/>
      <w:sz w:val="24"/>
      <w:szCs w:val="24"/>
      <w:lang w:eastAsia="zh-CN"/>
    </w:rPr>
  </w:style>
  <w:style w:type="character" w:customStyle="1" w:styleId="a9">
    <w:name w:val="Абзац списка Знак"/>
    <w:aliases w:val="it_List1 Знак,Bullet List Знак,FooterText Знак,numbered Знак,Paragraphe de liste1 Знак,lp1 Знак,Содержание. 2 уровень Знак,Мой стиль! Знак,Use Case List Paragraph Знак,Маркер Знак,List Paragraph Знак,ТЗ список Знак,Список дефисный Знак"/>
    <w:link w:val="a8"/>
    <w:uiPriority w:val="34"/>
    <w:qFormat/>
    <w:locked/>
    <w:rsid w:val="00971EC6"/>
    <w:rPr>
      <w:rFonts w:ascii="Times New Roman" w:eastAsia="Times New Roman" w:hAnsi="Times New Roman" w:cs="Times New Roman"/>
      <w:sz w:val="24"/>
      <w:szCs w:val="24"/>
      <w:lang w:eastAsia="ru-RU"/>
    </w:rPr>
  </w:style>
  <w:style w:type="paragraph" w:styleId="afff">
    <w:name w:val="footnote text"/>
    <w:aliases w:val="Текст сноски-FN,Footnote Text Char Знак Знак,Footnote Text Char Знак"/>
    <w:basedOn w:val="a2"/>
    <w:link w:val="afff0"/>
    <w:uiPriority w:val="99"/>
    <w:unhideWhenUsed/>
    <w:qFormat/>
    <w:rsid w:val="00971EC6"/>
    <w:pPr>
      <w:spacing w:after="0" w:line="240" w:lineRule="auto"/>
    </w:pPr>
    <w:rPr>
      <w:rFonts w:ascii="Calibri" w:eastAsia="Calibri" w:hAnsi="Calibri" w:cs="Times New Roman"/>
      <w:sz w:val="20"/>
      <w:szCs w:val="20"/>
    </w:rPr>
  </w:style>
  <w:style w:type="character" w:customStyle="1" w:styleId="afff0">
    <w:name w:val="Текст сноски Знак"/>
    <w:aliases w:val="Текст сноски-FN Знак,Footnote Text Char Знак Знак Знак,Footnote Text Char Знак Знак1"/>
    <w:basedOn w:val="a3"/>
    <w:link w:val="afff"/>
    <w:uiPriority w:val="99"/>
    <w:rsid w:val="00971EC6"/>
    <w:rPr>
      <w:rFonts w:ascii="Calibri" w:eastAsia="Calibri" w:hAnsi="Calibri" w:cs="Times New Roman"/>
      <w:sz w:val="20"/>
      <w:szCs w:val="20"/>
    </w:rPr>
  </w:style>
  <w:style w:type="character" w:styleId="afff1">
    <w:name w:val="footnote reference"/>
    <w:aliases w:val="текст сноски,анкета сноска,Знак сноски-FN,Ciae niinee-FN,Знак сноски 1,Ciae niinee 1"/>
    <w:uiPriority w:val="99"/>
    <w:unhideWhenUsed/>
    <w:rsid w:val="00971EC6"/>
    <w:rPr>
      <w:vertAlign w:val="superscript"/>
    </w:rPr>
  </w:style>
  <w:style w:type="table" w:customStyle="1" w:styleId="34">
    <w:name w:val="Сетка таблицы3"/>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5"/>
    <w:uiPriority w:val="99"/>
    <w:semiHidden/>
    <w:rsid w:val="00971EC6"/>
  </w:style>
  <w:style w:type="character" w:styleId="afff2">
    <w:name w:val="page number"/>
    <w:qFormat/>
    <w:rsid w:val="00971EC6"/>
  </w:style>
  <w:style w:type="paragraph" w:customStyle="1" w:styleId="17">
    <w:name w:val="Абзац списка1"/>
    <w:basedOn w:val="a2"/>
    <w:link w:val="ListParagraphChar1"/>
    <w:rsid w:val="00971EC6"/>
    <w:pPr>
      <w:spacing w:after="200" w:line="276" w:lineRule="auto"/>
      <w:ind w:left="720"/>
    </w:pPr>
    <w:rPr>
      <w:rFonts w:ascii="Calibri" w:eastAsia="Times New Roman" w:hAnsi="Calibri" w:cs="Calibri"/>
    </w:rPr>
  </w:style>
  <w:style w:type="paragraph" w:customStyle="1" w:styleId="afff3">
    <w:name w:val="Таблицы (моноширинный)"/>
    <w:basedOn w:val="a2"/>
    <w:next w:val="a2"/>
    <w:rsid w:val="00971EC6"/>
    <w:pPr>
      <w:autoSpaceDE w:val="0"/>
      <w:autoSpaceDN w:val="0"/>
      <w:adjustRightInd w:val="0"/>
      <w:spacing w:after="0" w:line="240" w:lineRule="auto"/>
      <w:jc w:val="both"/>
    </w:pPr>
    <w:rPr>
      <w:rFonts w:ascii="Courier New" w:eastAsia="Calibri" w:hAnsi="Courier New" w:cs="Courier New"/>
    </w:rPr>
  </w:style>
  <w:style w:type="table" w:customStyle="1" w:styleId="27">
    <w:name w:val="Сетка таблицы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
    <w:name w:val="No Spacing Знак"/>
    <w:link w:val="12"/>
    <w:locked/>
    <w:rsid w:val="00971EC6"/>
    <w:rPr>
      <w:rFonts w:ascii="Calibri" w:eastAsia="Times New Roman" w:hAnsi="Calibri" w:cs="Times New Roman"/>
    </w:rPr>
  </w:style>
  <w:style w:type="table" w:customStyle="1" w:styleId="41">
    <w:name w:val="Сетка таблицы4"/>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4"/>
    <w:next w:val="a7"/>
    <w:uiPriority w:val="9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Мой заголовок"/>
    <w:basedOn w:val="10"/>
    <w:link w:val="afff5"/>
    <w:autoRedefine/>
    <w:qFormat/>
    <w:rsid w:val="00971EC6"/>
    <w:pPr>
      <w:spacing w:before="0" w:after="0"/>
      <w:ind w:firstLine="709"/>
    </w:pPr>
    <w:rPr>
      <w:rFonts w:ascii="Times New Roman" w:hAnsi="Times New Roman"/>
      <w:color w:val="26282F"/>
      <w:sz w:val="28"/>
      <w:szCs w:val="28"/>
    </w:rPr>
  </w:style>
  <w:style w:type="character" w:customStyle="1" w:styleId="afff5">
    <w:name w:val="Мой заголовок Знак"/>
    <w:link w:val="afff4"/>
    <w:rsid w:val="00971EC6"/>
    <w:rPr>
      <w:rFonts w:ascii="Times New Roman" w:eastAsia="Times New Roman" w:hAnsi="Times New Roman" w:cs="Times New Roman"/>
      <w:b/>
      <w:bCs/>
      <w:color w:val="26282F"/>
      <w:sz w:val="28"/>
      <w:szCs w:val="28"/>
      <w:lang w:val="x-none" w:eastAsia="x-none"/>
    </w:rPr>
  </w:style>
  <w:style w:type="character" w:customStyle="1" w:styleId="FontStyle14">
    <w:name w:val="Font Style14"/>
    <w:rsid w:val="00971EC6"/>
    <w:rPr>
      <w:rFonts w:ascii="Times New Roman" w:hAnsi="Times New Roman" w:cs="Times New Roman"/>
      <w:b/>
      <w:bCs/>
      <w:sz w:val="24"/>
      <w:szCs w:val="24"/>
    </w:rPr>
  </w:style>
  <w:style w:type="paragraph" w:styleId="28">
    <w:name w:val="Body Text 2"/>
    <w:basedOn w:val="a2"/>
    <w:link w:val="29"/>
    <w:uiPriority w:val="99"/>
    <w:unhideWhenUsed/>
    <w:rsid w:val="00971EC6"/>
    <w:pPr>
      <w:spacing w:after="120" w:line="480" w:lineRule="auto"/>
    </w:pPr>
    <w:rPr>
      <w:rFonts w:ascii="Calibri" w:eastAsia="Times New Roman" w:hAnsi="Calibri" w:cs="Times New Roman"/>
      <w:lang w:eastAsia="ru-RU"/>
    </w:rPr>
  </w:style>
  <w:style w:type="character" w:customStyle="1" w:styleId="29">
    <w:name w:val="Основной текст 2 Знак"/>
    <w:basedOn w:val="a3"/>
    <w:link w:val="28"/>
    <w:uiPriority w:val="99"/>
    <w:rsid w:val="00971EC6"/>
    <w:rPr>
      <w:rFonts w:ascii="Calibri" w:eastAsia="Times New Roman" w:hAnsi="Calibri" w:cs="Times New Roman"/>
      <w:lang w:eastAsia="ru-RU"/>
    </w:rPr>
  </w:style>
  <w:style w:type="paragraph" w:customStyle="1" w:styleId="afff6">
    <w:name w:val="Внимание"/>
    <w:basedOn w:val="a2"/>
    <w:next w:val="a2"/>
    <w:uiPriority w:val="99"/>
    <w:rsid w:val="00971EC6"/>
    <w:pPr>
      <w:autoSpaceDE w:val="0"/>
      <w:autoSpaceDN w:val="0"/>
      <w:adjustRightInd w:val="0"/>
      <w:spacing w:before="240" w:after="240" w:line="240" w:lineRule="auto"/>
      <w:ind w:left="420" w:right="420" w:firstLine="300"/>
      <w:jc w:val="both"/>
    </w:pPr>
    <w:rPr>
      <w:rFonts w:ascii="Arial" w:eastAsia="Calibri" w:hAnsi="Arial" w:cs="Arial"/>
      <w:sz w:val="24"/>
      <w:szCs w:val="24"/>
      <w:shd w:val="clear" w:color="auto" w:fill="FAF3E9"/>
    </w:rPr>
  </w:style>
  <w:style w:type="paragraph" w:styleId="afff7">
    <w:name w:val="Title"/>
    <w:aliases w:val="Название Знак1,Название Знак Знак, Знак2 Знак Знак, Знак2 Знак1,Знак2 Знак1 Знак,Название Знак1 Знак,Название Знак Знак Знак, Знак2 Знак Знак Знак, Знак2 Знак1 Знак,Знак2 Знак Знак,Знак2 Знак1,Знак2 Знак Знак Знак, Знак Знак3, Знак Знак Знак Зн"/>
    <w:basedOn w:val="a2"/>
    <w:link w:val="afff8"/>
    <w:qFormat/>
    <w:rsid w:val="00971EC6"/>
    <w:pPr>
      <w:spacing w:after="0" w:line="240" w:lineRule="auto"/>
      <w:jc w:val="center"/>
    </w:pPr>
    <w:rPr>
      <w:rFonts w:ascii="Times New Roman" w:eastAsia="Times New Roman" w:hAnsi="Times New Roman" w:cs="Times New Roman"/>
      <w:sz w:val="28"/>
      <w:szCs w:val="24"/>
      <w:lang w:eastAsia="ru-RU"/>
    </w:rPr>
  </w:style>
  <w:style w:type="character" w:customStyle="1" w:styleId="afff8">
    <w:name w:val="Название Знак"/>
    <w:aliases w:val="Название Знак1 Знак1,Название Знак Знак Знак1, Знак2 Знак Знак Знак1, Знак2 Знак1 Знак1,Знак2 Знак1 Знак Знак,Название Знак1 Знак Знак,Название Знак Знак Знак Знак, Знак2 Знак Знак Знак Знак, Знак2 Знак1 Знак Знак,Знак2 Знак Знак Знак1"/>
    <w:basedOn w:val="a3"/>
    <w:link w:val="afff7"/>
    <w:rsid w:val="00971EC6"/>
    <w:rPr>
      <w:rFonts w:ascii="Times New Roman" w:eastAsia="Times New Roman" w:hAnsi="Times New Roman" w:cs="Times New Roman"/>
      <w:sz w:val="28"/>
      <w:szCs w:val="24"/>
      <w:lang w:eastAsia="ru-RU"/>
    </w:rPr>
  </w:style>
  <w:style w:type="paragraph" w:customStyle="1" w:styleId="afff9">
    <w:name w:val="Информация об изменениях"/>
    <w:basedOn w:val="a2"/>
    <w:next w:val="a2"/>
    <w:uiPriority w:val="99"/>
    <w:rsid w:val="00971EC6"/>
    <w:pPr>
      <w:widowControl w:val="0"/>
      <w:autoSpaceDE w:val="0"/>
      <w:autoSpaceDN w:val="0"/>
      <w:adjustRightInd w:val="0"/>
      <w:spacing w:before="180" w:after="0" w:line="240" w:lineRule="auto"/>
      <w:ind w:left="360" w:right="360"/>
      <w:jc w:val="both"/>
    </w:pPr>
    <w:rPr>
      <w:rFonts w:ascii="Arial" w:eastAsia="Times New Roman" w:hAnsi="Arial" w:cs="Arial"/>
      <w:sz w:val="24"/>
      <w:szCs w:val="24"/>
      <w:shd w:val="clear" w:color="auto" w:fill="EAEFED"/>
      <w:lang w:eastAsia="ru-RU"/>
    </w:rPr>
  </w:style>
  <w:style w:type="numbering" w:customStyle="1" w:styleId="35">
    <w:name w:val="Нет списка3"/>
    <w:next w:val="a5"/>
    <w:uiPriority w:val="99"/>
    <w:semiHidden/>
    <w:unhideWhenUsed/>
    <w:rsid w:val="00971EC6"/>
  </w:style>
  <w:style w:type="numbering" w:customStyle="1" w:styleId="42">
    <w:name w:val="Нет списка4"/>
    <w:next w:val="a5"/>
    <w:uiPriority w:val="99"/>
    <w:semiHidden/>
    <w:unhideWhenUsed/>
    <w:rsid w:val="00971EC6"/>
  </w:style>
  <w:style w:type="paragraph" w:customStyle="1" w:styleId="afffa">
    <w:name w:val="КСП"/>
    <w:basedOn w:val="ad"/>
    <w:link w:val="afffb"/>
    <w:qFormat/>
    <w:rsid w:val="00971EC6"/>
    <w:pPr>
      <w:ind w:firstLine="567"/>
      <w:jc w:val="both"/>
    </w:pPr>
    <w:rPr>
      <w:rFonts w:ascii="Times New Roman" w:eastAsia="Times New Roman" w:hAnsi="Times New Roman"/>
      <w:sz w:val="28"/>
      <w:szCs w:val="28"/>
      <w:lang w:eastAsia="ru-RU"/>
    </w:rPr>
  </w:style>
  <w:style w:type="character" w:customStyle="1" w:styleId="afffb">
    <w:name w:val="КСП Знак"/>
    <w:link w:val="afffa"/>
    <w:rsid w:val="00971EC6"/>
    <w:rPr>
      <w:rFonts w:ascii="Times New Roman" w:eastAsia="Times New Roman" w:hAnsi="Times New Roman" w:cs="Times New Roman"/>
      <w:sz w:val="28"/>
      <w:szCs w:val="28"/>
      <w:lang w:eastAsia="ru-RU"/>
    </w:rPr>
  </w:style>
  <w:style w:type="character" w:customStyle="1" w:styleId="ae">
    <w:name w:val="Без интервала Знак"/>
    <w:aliases w:val="для таблиц Знак,No Spacing Знак1"/>
    <w:link w:val="ad"/>
    <w:uiPriority w:val="1"/>
    <w:locked/>
    <w:rsid w:val="00971EC6"/>
    <w:rPr>
      <w:rFonts w:ascii="Calibri" w:eastAsia="Calibri" w:hAnsi="Calibri" w:cs="Times New Roman"/>
    </w:rPr>
  </w:style>
  <w:style w:type="paragraph" w:customStyle="1" w:styleId="afffc">
    <w:name w:val="Мой обычный"/>
    <w:basedOn w:val="a2"/>
    <w:link w:val="afffd"/>
    <w:autoRedefine/>
    <w:qFormat/>
    <w:rsid w:val="00971EC6"/>
    <w:pPr>
      <w:spacing w:after="0" w:line="240" w:lineRule="auto"/>
      <w:ind w:firstLine="567"/>
      <w:jc w:val="both"/>
    </w:pPr>
    <w:rPr>
      <w:rFonts w:ascii="Times New Roman" w:eastAsia="Calibri" w:hAnsi="Times New Roman" w:cs="Times New Roman"/>
      <w:sz w:val="28"/>
      <w:szCs w:val="28"/>
    </w:rPr>
  </w:style>
  <w:style w:type="character" w:customStyle="1" w:styleId="afffd">
    <w:name w:val="Мой обычный Знак"/>
    <w:link w:val="afffc"/>
    <w:rsid w:val="00971EC6"/>
    <w:rPr>
      <w:rFonts w:ascii="Times New Roman" w:eastAsia="Calibri" w:hAnsi="Times New Roman" w:cs="Times New Roman"/>
      <w:sz w:val="28"/>
      <w:szCs w:val="28"/>
    </w:rPr>
  </w:style>
  <w:style w:type="paragraph" w:customStyle="1" w:styleId="81">
    <w:name w:val="Основной текст8"/>
    <w:basedOn w:val="a2"/>
    <w:rsid w:val="00971EC6"/>
    <w:pPr>
      <w:widowControl w:val="0"/>
      <w:shd w:val="clear" w:color="auto" w:fill="FFFFFF"/>
      <w:spacing w:after="0" w:line="0" w:lineRule="atLeast"/>
      <w:ind w:hanging="1420"/>
      <w:jc w:val="center"/>
    </w:pPr>
    <w:rPr>
      <w:rFonts w:ascii="Times New Roman" w:eastAsia="Times New Roman" w:hAnsi="Times New Roman" w:cs="Times New Roman"/>
    </w:rPr>
  </w:style>
  <w:style w:type="character" w:customStyle="1" w:styleId="afffe">
    <w:name w:val="Сноска_"/>
    <w:link w:val="affff"/>
    <w:rsid w:val="00971EC6"/>
    <w:rPr>
      <w:rFonts w:ascii="Times New Roman" w:eastAsia="Times New Roman" w:hAnsi="Times New Roman"/>
      <w:shd w:val="clear" w:color="auto" w:fill="FFFFFF"/>
    </w:rPr>
  </w:style>
  <w:style w:type="paragraph" w:customStyle="1" w:styleId="affff">
    <w:name w:val="Сноска"/>
    <w:basedOn w:val="a2"/>
    <w:link w:val="afffe"/>
    <w:rsid w:val="00971EC6"/>
    <w:pPr>
      <w:widowControl w:val="0"/>
      <w:shd w:val="clear" w:color="auto" w:fill="FFFFFF"/>
      <w:spacing w:after="0" w:line="250" w:lineRule="exact"/>
    </w:pPr>
    <w:rPr>
      <w:rFonts w:ascii="Times New Roman" w:eastAsia="Times New Roman" w:hAnsi="Times New Roman"/>
    </w:rPr>
  </w:style>
  <w:style w:type="character" w:customStyle="1" w:styleId="affff0">
    <w:name w:val="Подпись к таблице_"/>
    <w:link w:val="affff1"/>
    <w:rsid w:val="00971EC6"/>
    <w:rPr>
      <w:rFonts w:ascii="Times New Roman" w:eastAsia="Times New Roman" w:hAnsi="Times New Roman"/>
      <w:sz w:val="23"/>
      <w:szCs w:val="23"/>
      <w:shd w:val="clear" w:color="auto" w:fill="FFFFFF"/>
    </w:rPr>
  </w:style>
  <w:style w:type="character" w:customStyle="1" w:styleId="115pt">
    <w:name w:val="Основной текст + 11;5 pt"/>
    <w:rsid w:val="00971EC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52">
    <w:name w:val="Основной текст5"/>
    <w:basedOn w:val="a2"/>
    <w:rsid w:val="00971EC6"/>
    <w:pPr>
      <w:widowControl w:val="0"/>
      <w:shd w:val="clear" w:color="auto" w:fill="FFFFFF"/>
      <w:spacing w:after="0" w:line="322" w:lineRule="exact"/>
      <w:ind w:hanging="380"/>
      <w:jc w:val="both"/>
    </w:pPr>
    <w:rPr>
      <w:rFonts w:ascii="Times New Roman" w:eastAsia="Times New Roman" w:hAnsi="Times New Roman" w:cs="Times New Roman"/>
      <w:color w:val="000000"/>
      <w:sz w:val="27"/>
      <w:szCs w:val="27"/>
      <w:lang w:eastAsia="ru-RU"/>
    </w:rPr>
  </w:style>
  <w:style w:type="paragraph" w:customStyle="1" w:styleId="affff1">
    <w:name w:val="Подпись к таблице"/>
    <w:basedOn w:val="a2"/>
    <w:link w:val="affff0"/>
    <w:rsid w:val="00971EC6"/>
    <w:pPr>
      <w:widowControl w:val="0"/>
      <w:shd w:val="clear" w:color="auto" w:fill="FFFFFF"/>
      <w:spacing w:after="0" w:line="274" w:lineRule="exact"/>
      <w:jc w:val="right"/>
    </w:pPr>
    <w:rPr>
      <w:rFonts w:ascii="Times New Roman" w:eastAsia="Times New Roman" w:hAnsi="Times New Roman"/>
      <w:sz w:val="23"/>
      <w:szCs w:val="23"/>
    </w:rPr>
  </w:style>
  <w:style w:type="paragraph" w:styleId="affff2">
    <w:name w:val="Revision"/>
    <w:hidden/>
    <w:uiPriority w:val="99"/>
    <w:semiHidden/>
    <w:rsid w:val="00971EC6"/>
    <w:pPr>
      <w:spacing w:after="0" w:line="240" w:lineRule="auto"/>
    </w:pPr>
    <w:rPr>
      <w:rFonts w:ascii="Calibri" w:eastAsia="Calibri" w:hAnsi="Calibri" w:cs="Times New Roman"/>
    </w:rPr>
  </w:style>
  <w:style w:type="character" w:styleId="affff3">
    <w:name w:val="FollowedHyperlink"/>
    <w:uiPriority w:val="99"/>
    <w:semiHidden/>
    <w:unhideWhenUsed/>
    <w:rsid w:val="00971EC6"/>
    <w:rPr>
      <w:color w:val="800080"/>
      <w:u w:val="single"/>
    </w:rPr>
  </w:style>
  <w:style w:type="paragraph" w:customStyle="1" w:styleId="affff4">
    <w:name w:val="Документ"/>
    <w:basedOn w:val="a2"/>
    <w:link w:val="affff5"/>
    <w:rsid w:val="00971EC6"/>
    <w:pPr>
      <w:spacing w:after="0" w:line="360" w:lineRule="auto"/>
      <w:ind w:firstLine="709"/>
      <w:jc w:val="both"/>
    </w:pPr>
    <w:rPr>
      <w:rFonts w:ascii="Times New Roman" w:eastAsia="Calibri" w:hAnsi="Times New Roman" w:cs="Times New Roman"/>
      <w:sz w:val="28"/>
      <w:szCs w:val="20"/>
      <w:lang w:eastAsia="ru-RU"/>
    </w:rPr>
  </w:style>
  <w:style w:type="character" w:customStyle="1" w:styleId="affff5">
    <w:name w:val="Документ Знак"/>
    <w:link w:val="affff4"/>
    <w:locked/>
    <w:rsid w:val="00971EC6"/>
    <w:rPr>
      <w:rFonts w:ascii="Times New Roman" w:eastAsia="Calibri" w:hAnsi="Times New Roman" w:cs="Times New Roman"/>
      <w:sz w:val="28"/>
      <w:szCs w:val="20"/>
      <w:lang w:eastAsia="ru-RU"/>
    </w:rPr>
  </w:style>
  <w:style w:type="paragraph" w:customStyle="1" w:styleId="affff6">
    <w:name w:val="Акт"/>
    <w:basedOn w:val="a2"/>
    <w:link w:val="affff7"/>
    <w:rsid w:val="00971EC6"/>
    <w:pPr>
      <w:suppressAutoHyphens/>
      <w:spacing w:after="0" w:line="240" w:lineRule="auto"/>
      <w:ind w:firstLine="709"/>
      <w:jc w:val="both"/>
    </w:pPr>
    <w:rPr>
      <w:rFonts w:ascii="Times New Roman" w:eastAsia="Calibri" w:hAnsi="Times New Roman" w:cs="Times New Roman"/>
      <w:sz w:val="28"/>
      <w:szCs w:val="20"/>
      <w:lang w:eastAsia="ru-RU"/>
    </w:rPr>
  </w:style>
  <w:style w:type="character" w:customStyle="1" w:styleId="affff7">
    <w:name w:val="Акт Знак"/>
    <w:link w:val="affff6"/>
    <w:locked/>
    <w:rsid w:val="00971EC6"/>
    <w:rPr>
      <w:rFonts w:ascii="Times New Roman" w:eastAsia="Calibri" w:hAnsi="Times New Roman" w:cs="Times New Roman"/>
      <w:sz w:val="28"/>
      <w:szCs w:val="20"/>
      <w:lang w:eastAsia="ru-RU"/>
    </w:rPr>
  </w:style>
  <w:style w:type="table" w:customStyle="1" w:styleId="71">
    <w:name w:val="Сетка таблицы7"/>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4">
    <w:name w:val="s4"/>
    <w:rsid w:val="00971EC6"/>
  </w:style>
  <w:style w:type="character" w:customStyle="1" w:styleId="s3">
    <w:name w:val="s3"/>
    <w:rsid w:val="00971EC6"/>
  </w:style>
  <w:style w:type="table" w:customStyle="1" w:styleId="9">
    <w:name w:val="Сетка таблицы9"/>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971EC6"/>
    <w:pPr>
      <w:widowControl w:val="0"/>
      <w:autoSpaceDE w:val="0"/>
      <w:autoSpaceDN w:val="0"/>
      <w:spacing w:after="0" w:line="240" w:lineRule="auto"/>
    </w:pPr>
    <w:rPr>
      <w:rFonts w:ascii="Calibri" w:eastAsia="Times New Roman" w:hAnsi="Calibri" w:cs="Calibri"/>
      <w:b/>
      <w:szCs w:val="20"/>
      <w:lang w:eastAsia="ru-RU"/>
    </w:rPr>
  </w:style>
  <w:style w:type="character" w:customStyle="1" w:styleId="affff8">
    <w:name w:val="Сравнение редакций. Удаленный фрагмент"/>
    <w:uiPriority w:val="99"/>
    <w:rsid w:val="00971EC6"/>
    <w:rPr>
      <w:color w:val="000000"/>
      <w:shd w:val="clear" w:color="auto" w:fill="C4C413"/>
    </w:rPr>
  </w:style>
  <w:style w:type="paragraph" w:customStyle="1" w:styleId="ConsPlusCell">
    <w:name w:val="ConsPlusCell"/>
    <w:uiPriority w:val="99"/>
    <w:rsid w:val="00971EC6"/>
    <w:pPr>
      <w:widowControl w:val="0"/>
      <w:autoSpaceDE w:val="0"/>
      <w:autoSpaceDN w:val="0"/>
      <w:adjustRightInd w:val="0"/>
      <w:spacing w:after="0" w:line="240" w:lineRule="auto"/>
    </w:pPr>
    <w:rPr>
      <w:rFonts w:ascii="Calibri" w:eastAsia="Calibri" w:hAnsi="Calibri" w:cs="Calibri"/>
      <w:lang w:eastAsia="ru-RU"/>
    </w:rPr>
  </w:style>
  <w:style w:type="table" w:customStyle="1" w:styleId="111">
    <w:name w:val="Сетка таблицы1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Абзац списка2"/>
    <w:basedOn w:val="a2"/>
    <w:link w:val="ListParagraphChar"/>
    <w:rsid w:val="00971EC6"/>
    <w:pPr>
      <w:spacing w:after="200" w:line="276" w:lineRule="auto"/>
      <w:ind w:left="720"/>
      <w:contextualSpacing/>
    </w:pPr>
    <w:rPr>
      <w:rFonts w:ascii="Calibri" w:eastAsia="Times New Roman" w:hAnsi="Calibri" w:cs="Times New Roman"/>
    </w:rPr>
  </w:style>
  <w:style w:type="character" w:customStyle="1" w:styleId="ListParagraphChar">
    <w:name w:val="List Paragraph Char"/>
    <w:link w:val="2a"/>
    <w:locked/>
    <w:rsid w:val="00971EC6"/>
    <w:rPr>
      <w:rFonts w:ascii="Calibri" w:eastAsia="Times New Roman" w:hAnsi="Calibri" w:cs="Times New Roman"/>
    </w:rPr>
  </w:style>
  <w:style w:type="paragraph" w:customStyle="1" w:styleId="b-articletext">
    <w:name w:val="b-articletext"/>
    <w:basedOn w:val="a2"/>
    <w:rsid w:val="00971E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9">
    <w:name w:val="Выделение для Базового Поиска"/>
    <w:uiPriority w:val="99"/>
    <w:rsid w:val="00971EC6"/>
    <w:rPr>
      <w:b/>
      <w:bCs/>
      <w:color w:val="0058A9"/>
    </w:rPr>
  </w:style>
  <w:style w:type="character" w:customStyle="1" w:styleId="ListParagraphChar1">
    <w:name w:val="List Paragraph Char1"/>
    <w:link w:val="17"/>
    <w:locked/>
    <w:rsid w:val="00971EC6"/>
    <w:rPr>
      <w:rFonts w:ascii="Calibri" w:eastAsia="Times New Roman" w:hAnsi="Calibri" w:cs="Calibri"/>
    </w:rPr>
  </w:style>
  <w:style w:type="paragraph" w:customStyle="1" w:styleId="affffa">
    <w:name w:val="Комментарий"/>
    <w:basedOn w:val="a2"/>
    <w:next w:val="a2"/>
    <w:uiPriority w:val="99"/>
    <w:rsid w:val="00971EC6"/>
    <w:pPr>
      <w:autoSpaceDE w:val="0"/>
      <w:autoSpaceDN w:val="0"/>
      <w:adjustRightInd w:val="0"/>
      <w:spacing w:after="0" w:line="240" w:lineRule="auto"/>
      <w:ind w:left="170"/>
      <w:jc w:val="both"/>
    </w:pPr>
    <w:rPr>
      <w:rFonts w:ascii="Arial" w:eastAsia="Times New Roman" w:hAnsi="Arial" w:cs="Times New Roman"/>
      <w:i/>
      <w:iCs/>
      <w:color w:val="800080"/>
      <w:sz w:val="20"/>
      <w:szCs w:val="20"/>
      <w:lang w:eastAsia="ru-RU"/>
    </w:rPr>
  </w:style>
  <w:style w:type="paragraph" w:customStyle="1" w:styleId="18">
    <w:name w:val="1"/>
    <w:rsid w:val="00971EC6"/>
    <w:pPr>
      <w:spacing w:after="0" w:line="240" w:lineRule="auto"/>
    </w:pPr>
    <w:rPr>
      <w:rFonts w:ascii="Times New Roman" w:eastAsia="Times New Roman" w:hAnsi="Times New Roman" w:cs="Times New Roman"/>
      <w:sz w:val="24"/>
      <w:szCs w:val="24"/>
      <w:lang w:eastAsia="ru-RU"/>
    </w:rPr>
  </w:style>
  <w:style w:type="paragraph" w:customStyle="1" w:styleId="affffb">
    <w:name w:val="Текст (лев. подпись)"/>
    <w:basedOn w:val="a2"/>
    <w:next w:val="a2"/>
    <w:rsid w:val="00971EC6"/>
    <w:pPr>
      <w:autoSpaceDE w:val="0"/>
      <w:autoSpaceDN w:val="0"/>
      <w:adjustRightInd w:val="0"/>
      <w:spacing w:after="0" w:line="240" w:lineRule="auto"/>
    </w:pPr>
    <w:rPr>
      <w:rFonts w:ascii="Arial" w:eastAsia="Times New Roman" w:hAnsi="Arial" w:cs="Times New Roman"/>
      <w:sz w:val="24"/>
      <w:szCs w:val="24"/>
      <w:lang w:eastAsia="ru-RU"/>
    </w:rPr>
  </w:style>
  <w:style w:type="character" w:customStyle="1" w:styleId="affffc">
    <w:name w:val="Сравнение редакций. Добавленный фрагмент"/>
    <w:uiPriority w:val="99"/>
    <w:rsid w:val="00971EC6"/>
    <w:rPr>
      <w:color w:val="0000FF"/>
    </w:rPr>
  </w:style>
  <w:style w:type="paragraph" w:customStyle="1" w:styleId="affffd">
    <w:name w:val="Интерфейс"/>
    <w:basedOn w:val="a2"/>
    <w:next w:val="a2"/>
    <w:rsid w:val="00971EC6"/>
    <w:pPr>
      <w:widowControl w:val="0"/>
      <w:autoSpaceDE w:val="0"/>
      <w:autoSpaceDN w:val="0"/>
      <w:adjustRightInd w:val="0"/>
      <w:spacing w:after="0" w:line="240" w:lineRule="auto"/>
      <w:jc w:val="both"/>
    </w:pPr>
    <w:rPr>
      <w:rFonts w:ascii="Arial" w:eastAsia="Times New Roman" w:hAnsi="Arial" w:cs="Arial"/>
      <w:color w:val="ECE9D8"/>
      <w:lang w:eastAsia="ru-RU"/>
    </w:rPr>
  </w:style>
  <w:style w:type="paragraph" w:customStyle="1" w:styleId="211">
    <w:name w:val="Основной текст с отступом 21"/>
    <w:basedOn w:val="a2"/>
    <w:rsid w:val="00971EC6"/>
    <w:pPr>
      <w:overflowPunct w:val="0"/>
      <w:autoSpaceDE w:val="0"/>
      <w:autoSpaceDN w:val="0"/>
      <w:adjustRightInd w:val="0"/>
      <w:spacing w:after="0" w:line="240" w:lineRule="auto"/>
      <w:ind w:firstLine="709"/>
      <w:jc w:val="both"/>
    </w:pPr>
    <w:rPr>
      <w:rFonts w:ascii="Times New Roman" w:eastAsia="Times New Roman" w:hAnsi="Times New Roman" w:cs="Times New Roman"/>
      <w:sz w:val="28"/>
      <w:szCs w:val="20"/>
      <w:lang w:eastAsia="ru-RU"/>
    </w:rPr>
  </w:style>
  <w:style w:type="character" w:customStyle="1" w:styleId="BodyTextIndentChar">
    <w:name w:val="Body Text Indent Char"/>
    <w:locked/>
    <w:rsid w:val="00971EC6"/>
    <w:rPr>
      <w:rFonts w:ascii="Times New Roman" w:hAnsi="Times New Roman" w:cs="Times New Roman"/>
      <w:sz w:val="24"/>
      <w:szCs w:val="24"/>
    </w:rPr>
  </w:style>
  <w:style w:type="character" w:customStyle="1" w:styleId="apple-style-span">
    <w:name w:val="apple-style-span"/>
    <w:rsid w:val="00971EC6"/>
  </w:style>
  <w:style w:type="character" w:customStyle="1" w:styleId="affffe">
    <w:name w:val="Активная гипертекстовая ссылка"/>
    <w:rsid w:val="00971EC6"/>
    <w:rPr>
      <w:rFonts w:cs="Times New Roman"/>
      <w:b/>
      <w:color w:val="008000"/>
      <w:u w:val="single"/>
    </w:rPr>
  </w:style>
  <w:style w:type="paragraph" w:customStyle="1" w:styleId="text2">
    <w:name w:val="text2"/>
    <w:basedOn w:val="a2"/>
    <w:rsid w:val="00971EC6"/>
    <w:pPr>
      <w:spacing w:before="210" w:after="0" w:line="240" w:lineRule="auto"/>
      <w:ind w:right="270"/>
      <w:jc w:val="both"/>
    </w:pPr>
    <w:rPr>
      <w:rFonts w:ascii="Tahoma" w:eastAsia="Times New Roman" w:hAnsi="Tahoma" w:cs="Tahoma"/>
      <w:color w:val="000000"/>
      <w:sz w:val="18"/>
      <w:szCs w:val="18"/>
      <w:lang w:eastAsia="ru-RU"/>
    </w:rPr>
  </w:style>
  <w:style w:type="character" w:customStyle="1" w:styleId="BodyTextIndentChar1">
    <w:name w:val="Body Text Indent Char1"/>
    <w:locked/>
    <w:rsid w:val="00971EC6"/>
    <w:rPr>
      <w:sz w:val="24"/>
      <w:szCs w:val="24"/>
      <w:lang w:val="ru-RU" w:eastAsia="ru-RU" w:bidi="ar-SA"/>
    </w:rPr>
  </w:style>
  <w:style w:type="paragraph" w:customStyle="1" w:styleId="bl0">
    <w:name w:val="bl0"/>
    <w:basedOn w:val="a2"/>
    <w:rsid w:val="00971EC6"/>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styleId="a">
    <w:name w:val="List Bullet"/>
    <w:basedOn w:val="a2"/>
    <w:rsid w:val="00971EC6"/>
    <w:pPr>
      <w:numPr>
        <w:numId w:val="3"/>
      </w:numPr>
      <w:spacing w:after="0" w:line="240" w:lineRule="auto"/>
    </w:pPr>
    <w:rPr>
      <w:rFonts w:ascii="Times New Roman" w:eastAsia="Times New Roman" w:hAnsi="Times New Roman" w:cs="Times New Roman"/>
      <w:sz w:val="24"/>
      <w:szCs w:val="24"/>
      <w:lang w:eastAsia="ru-RU"/>
    </w:rPr>
  </w:style>
  <w:style w:type="paragraph" w:customStyle="1" w:styleId="afffff">
    <w:name w:val="Информация об изменениях документа"/>
    <w:basedOn w:val="affffa"/>
    <w:next w:val="a2"/>
    <w:uiPriority w:val="99"/>
    <w:rsid w:val="00971EC6"/>
    <w:pPr>
      <w:widowControl w:val="0"/>
      <w:spacing w:before="75"/>
    </w:pPr>
    <w:rPr>
      <w:rFonts w:cs="Arial"/>
      <w:color w:val="353842"/>
      <w:sz w:val="24"/>
      <w:szCs w:val="24"/>
      <w:shd w:val="clear" w:color="auto" w:fill="F0F0F0"/>
    </w:rPr>
  </w:style>
  <w:style w:type="paragraph" w:styleId="afffff0">
    <w:name w:val="List"/>
    <w:basedOn w:val="a2"/>
    <w:rsid w:val="00971EC6"/>
    <w:pPr>
      <w:spacing w:after="0" w:line="240" w:lineRule="auto"/>
      <w:ind w:left="283" w:hanging="283"/>
    </w:pPr>
    <w:rPr>
      <w:rFonts w:ascii="Times New Roman" w:eastAsia="Times New Roman" w:hAnsi="Times New Roman" w:cs="Times New Roman"/>
      <w:sz w:val="24"/>
      <w:szCs w:val="24"/>
      <w:lang w:eastAsia="ru-RU"/>
    </w:rPr>
  </w:style>
  <w:style w:type="paragraph" w:styleId="43">
    <w:name w:val="toc 4"/>
    <w:basedOn w:val="a2"/>
    <w:next w:val="a2"/>
    <w:autoRedefine/>
    <w:uiPriority w:val="39"/>
    <w:unhideWhenUsed/>
    <w:rsid w:val="00971EC6"/>
    <w:pPr>
      <w:spacing w:after="100"/>
      <w:ind w:left="660"/>
    </w:pPr>
    <w:rPr>
      <w:rFonts w:ascii="Calibri" w:eastAsia="Times New Roman" w:hAnsi="Calibri" w:cs="Times New Roman"/>
      <w:lang w:eastAsia="ru-RU"/>
    </w:rPr>
  </w:style>
  <w:style w:type="paragraph" w:styleId="53">
    <w:name w:val="toc 5"/>
    <w:basedOn w:val="a2"/>
    <w:next w:val="a2"/>
    <w:autoRedefine/>
    <w:uiPriority w:val="39"/>
    <w:unhideWhenUsed/>
    <w:rsid w:val="00971EC6"/>
    <w:pPr>
      <w:spacing w:after="100"/>
      <w:ind w:left="880"/>
    </w:pPr>
    <w:rPr>
      <w:rFonts w:ascii="Calibri" w:eastAsia="Times New Roman" w:hAnsi="Calibri" w:cs="Times New Roman"/>
      <w:lang w:eastAsia="ru-RU"/>
    </w:rPr>
  </w:style>
  <w:style w:type="paragraph" w:styleId="60">
    <w:name w:val="toc 6"/>
    <w:basedOn w:val="a2"/>
    <w:next w:val="a2"/>
    <w:autoRedefine/>
    <w:uiPriority w:val="39"/>
    <w:unhideWhenUsed/>
    <w:rsid w:val="00971EC6"/>
    <w:pPr>
      <w:spacing w:after="100"/>
      <w:ind w:left="1100"/>
    </w:pPr>
    <w:rPr>
      <w:rFonts w:ascii="Calibri" w:eastAsia="Times New Roman" w:hAnsi="Calibri" w:cs="Times New Roman"/>
      <w:lang w:eastAsia="ru-RU"/>
    </w:rPr>
  </w:style>
  <w:style w:type="paragraph" w:styleId="72">
    <w:name w:val="toc 7"/>
    <w:basedOn w:val="a2"/>
    <w:next w:val="a2"/>
    <w:autoRedefine/>
    <w:uiPriority w:val="39"/>
    <w:unhideWhenUsed/>
    <w:rsid w:val="00971EC6"/>
    <w:pPr>
      <w:spacing w:after="100"/>
      <w:ind w:left="1320"/>
    </w:pPr>
    <w:rPr>
      <w:rFonts w:ascii="Calibri" w:eastAsia="Times New Roman" w:hAnsi="Calibri" w:cs="Times New Roman"/>
      <w:lang w:eastAsia="ru-RU"/>
    </w:rPr>
  </w:style>
  <w:style w:type="paragraph" w:styleId="83">
    <w:name w:val="toc 8"/>
    <w:basedOn w:val="a2"/>
    <w:next w:val="a2"/>
    <w:autoRedefine/>
    <w:uiPriority w:val="39"/>
    <w:unhideWhenUsed/>
    <w:rsid w:val="00971EC6"/>
    <w:pPr>
      <w:spacing w:after="100"/>
      <w:ind w:left="1540"/>
    </w:pPr>
    <w:rPr>
      <w:rFonts w:ascii="Calibri" w:eastAsia="Times New Roman" w:hAnsi="Calibri" w:cs="Times New Roman"/>
      <w:lang w:eastAsia="ru-RU"/>
    </w:rPr>
  </w:style>
  <w:style w:type="paragraph" w:styleId="90">
    <w:name w:val="toc 9"/>
    <w:basedOn w:val="a2"/>
    <w:next w:val="a2"/>
    <w:autoRedefine/>
    <w:uiPriority w:val="39"/>
    <w:unhideWhenUsed/>
    <w:rsid w:val="00971EC6"/>
    <w:pPr>
      <w:spacing w:after="100"/>
      <w:ind w:left="1760"/>
    </w:pPr>
    <w:rPr>
      <w:rFonts w:ascii="Calibri" w:eastAsia="Times New Roman" w:hAnsi="Calibri" w:cs="Times New Roman"/>
      <w:lang w:eastAsia="ru-RU"/>
    </w:rPr>
  </w:style>
  <w:style w:type="paragraph" w:customStyle="1" w:styleId="afff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autoRedefine/>
    <w:rsid w:val="00971EC6"/>
    <w:pPr>
      <w:spacing w:line="240" w:lineRule="exact"/>
    </w:pPr>
    <w:rPr>
      <w:rFonts w:ascii="Times New Roman" w:eastAsia="Times New Roman" w:hAnsi="Times New Roman" w:cs="Times New Roman"/>
      <w:sz w:val="28"/>
      <w:szCs w:val="20"/>
      <w:lang w:val="en-US"/>
    </w:rPr>
  </w:style>
  <w:style w:type="paragraph" w:customStyle="1" w:styleId="11Char">
    <w:name w:val="Знак1 Знак Знак Знак Знак Знак Знак Знак Знак1 Char"/>
    <w:basedOn w:val="a2"/>
    <w:rsid w:val="00971EC6"/>
    <w:pPr>
      <w:spacing w:line="240" w:lineRule="exact"/>
    </w:pPr>
    <w:rPr>
      <w:rFonts w:ascii="Verdana" w:eastAsia="Times New Roman" w:hAnsi="Verdana" w:cs="Times New Roman"/>
      <w:sz w:val="20"/>
      <w:szCs w:val="20"/>
      <w:lang w:val="en-US"/>
    </w:rPr>
  </w:style>
  <w:style w:type="paragraph" w:customStyle="1" w:styleId="afffff2">
    <w:name w:val="Знак Знак Знак Знак"/>
    <w:basedOn w:val="a2"/>
    <w:rsid w:val="00971EC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3">
    <w:name w:val="Знак"/>
    <w:basedOn w:val="a2"/>
    <w:rsid w:val="00971EC6"/>
    <w:pPr>
      <w:spacing w:before="100" w:beforeAutospacing="1" w:after="100" w:afterAutospacing="1" w:line="240" w:lineRule="auto"/>
    </w:pPr>
    <w:rPr>
      <w:rFonts w:ascii="Tahoma" w:eastAsia="Times New Roman" w:hAnsi="Tahoma" w:cs="Tahoma"/>
      <w:sz w:val="20"/>
      <w:szCs w:val="20"/>
      <w:lang w:val="en-US"/>
    </w:rPr>
  </w:style>
  <w:style w:type="paragraph" w:customStyle="1" w:styleId="1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2"/>
    <w:autoRedefine/>
    <w:rsid w:val="00971EC6"/>
    <w:pPr>
      <w:spacing w:line="240" w:lineRule="exact"/>
    </w:pPr>
    <w:rPr>
      <w:rFonts w:ascii="Times New Roman" w:eastAsia="Times New Roman" w:hAnsi="Times New Roman" w:cs="Times New Roman"/>
      <w:sz w:val="28"/>
      <w:szCs w:val="28"/>
      <w:lang w:val="en-US"/>
    </w:rPr>
  </w:style>
  <w:style w:type="paragraph" w:customStyle="1" w:styleId="ConsNormal">
    <w:name w:val="ConsNormal"/>
    <w:rsid w:val="00971E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text">
    <w:name w:val="text"/>
    <w:basedOn w:val="a2"/>
    <w:rsid w:val="00971EC6"/>
    <w:pPr>
      <w:spacing w:before="240" w:after="24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971EC6"/>
    <w:rPr>
      <w:rFonts w:ascii="Arial" w:eastAsia="Times New Roman" w:hAnsi="Arial" w:cs="Arial"/>
      <w:sz w:val="20"/>
      <w:szCs w:val="20"/>
      <w:lang w:eastAsia="ru-RU"/>
    </w:rPr>
  </w:style>
  <w:style w:type="table" w:customStyle="1" w:styleId="120">
    <w:name w:val="Сетка таблицы1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1">
    <w:name w:val="consplusnormal"/>
    <w:basedOn w:val="a2"/>
    <w:rsid w:val="00971EC6"/>
    <w:pPr>
      <w:autoSpaceDE w:val="0"/>
      <w:autoSpaceDN w:val="0"/>
      <w:spacing w:after="0" w:line="240" w:lineRule="auto"/>
      <w:ind w:firstLine="720"/>
    </w:pPr>
    <w:rPr>
      <w:rFonts w:ascii="Arial" w:eastAsia="Times New Roman" w:hAnsi="Arial" w:cs="Arial"/>
      <w:sz w:val="20"/>
      <w:szCs w:val="20"/>
      <w:lang w:eastAsia="ru-RU"/>
    </w:rPr>
  </w:style>
  <w:style w:type="paragraph" w:customStyle="1" w:styleId="ConsCell">
    <w:name w:val="ConsCell"/>
    <w:rsid w:val="00971EC6"/>
    <w:pPr>
      <w:widowControl w:val="0"/>
      <w:spacing w:after="0" w:line="240" w:lineRule="auto"/>
    </w:pPr>
    <w:rPr>
      <w:rFonts w:ascii="Arial" w:eastAsia="Times New Roman" w:hAnsi="Arial" w:cs="Times New Roman"/>
      <w:snapToGrid w:val="0"/>
      <w:sz w:val="20"/>
      <w:szCs w:val="20"/>
      <w:lang w:eastAsia="ru-RU"/>
    </w:rPr>
  </w:style>
  <w:style w:type="paragraph" w:customStyle="1" w:styleId="1a">
    <w:name w:val="Основной текст1"/>
    <w:basedOn w:val="a2"/>
    <w:rsid w:val="00971EC6"/>
    <w:pPr>
      <w:widowControl w:val="0"/>
      <w:shd w:val="clear" w:color="auto" w:fill="FFFFFF"/>
      <w:spacing w:before="300" w:after="300" w:line="293" w:lineRule="exact"/>
      <w:jc w:val="both"/>
    </w:pPr>
    <w:rPr>
      <w:rFonts w:ascii="Times New Roman" w:eastAsia="Times New Roman" w:hAnsi="Times New Roman" w:cs="Times New Roman"/>
      <w:spacing w:val="2"/>
      <w:sz w:val="20"/>
      <w:szCs w:val="20"/>
    </w:rPr>
  </w:style>
  <w:style w:type="character" w:customStyle="1" w:styleId="8pt0pt">
    <w:name w:val="Основной текст + 8 pt;Интервал 0 pt"/>
    <w:rsid w:val="00971EC6"/>
    <w:rPr>
      <w:rFonts w:ascii="Times New Roman" w:eastAsia="Times New Roman" w:hAnsi="Times New Roman" w:cs="Times New Roman"/>
      <w:color w:val="000000"/>
      <w:spacing w:val="3"/>
      <w:w w:val="100"/>
      <w:position w:val="0"/>
      <w:sz w:val="16"/>
      <w:szCs w:val="16"/>
      <w:shd w:val="clear" w:color="auto" w:fill="FFFFFF"/>
      <w:lang w:val="ru-RU"/>
    </w:rPr>
  </w:style>
  <w:style w:type="character" w:customStyle="1" w:styleId="0pt">
    <w:name w:val="Основной текст + Интервал 0 pt"/>
    <w:rsid w:val="00971EC6"/>
    <w:rPr>
      <w:rFonts w:ascii="Times New Roman" w:eastAsia="Times New Roman" w:hAnsi="Times New Roman" w:cs="Times New Roman"/>
      <w:b w:val="0"/>
      <w:bCs w:val="0"/>
      <w:i w:val="0"/>
      <w:iCs w:val="0"/>
      <w:smallCaps w:val="0"/>
      <w:strike w:val="0"/>
      <w:color w:val="000000"/>
      <w:spacing w:val="7"/>
      <w:w w:val="100"/>
      <w:position w:val="0"/>
      <w:sz w:val="20"/>
      <w:szCs w:val="20"/>
      <w:u w:val="none"/>
      <w:shd w:val="clear" w:color="auto" w:fill="FFFFFF"/>
      <w:lang w:val="ru-RU"/>
    </w:rPr>
  </w:style>
  <w:style w:type="character" w:customStyle="1" w:styleId="A30">
    <w:name w:val="A3"/>
    <w:rsid w:val="00971EC6"/>
    <w:rPr>
      <w:rFonts w:ascii="Minion Pro" w:hAnsi="Minion Pro" w:cs="Minion Pro" w:hint="default"/>
      <w:color w:val="000000"/>
      <w:sz w:val="20"/>
      <w:szCs w:val="20"/>
    </w:rPr>
  </w:style>
  <w:style w:type="character" w:customStyle="1" w:styleId="2b">
    <w:name w:val="Основной текст (2)_"/>
    <w:link w:val="2c"/>
    <w:rsid w:val="00971EC6"/>
    <w:rPr>
      <w:rFonts w:ascii="Times New Roman" w:eastAsia="Times New Roman" w:hAnsi="Times New Roman"/>
      <w:sz w:val="26"/>
      <w:szCs w:val="26"/>
      <w:shd w:val="clear" w:color="auto" w:fill="FFFFFF"/>
    </w:rPr>
  </w:style>
  <w:style w:type="paragraph" w:customStyle="1" w:styleId="2c">
    <w:name w:val="Основной текст (2)"/>
    <w:basedOn w:val="a2"/>
    <w:link w:val="2b"/>
    <w:rsid w:val="00971EC6"/>
    <w:pPr>
      <w:widowControl w:val="0"/>
      <w:shd w:val="clear" w:color="auto" w:fill="FFFFFF"/>
      <w:spacing w:before="1020" w:after="340" w:line="288" w:lineRule="exact"/>
      <w:jc w:val="center"/>
    </w:pPr>
    <w:rPr>
      <w:rFonts w:ascii="Times New Roman" w:eastAsia="Times New Roman" w:hAnsi="Times New Roman"/>
      <w:sz w:val="26"/>
      <w:szCs w:val="26"/>
    </w:rPr>
  </w:style>
  <w:style w:type="paragraph" w:customStyle="1" w:styleId="320">
    <w:name w:val="Основной текст 32"/>
    <w:basedOn w:val="a2"/>
    <w:uiPriority w:val="99"/>
    <w:rsid w:val="00971EC6"/>
    <w:pPr>
      <w:suppressAutoHyphens/>
      <w:overflowPunct w:val="0"/>
      <w:autoSpaceDE w:val="0"/>
      <w:spacing w:after="0" w:line="240" w:lineRule="auto"/>
    </w:pPr>
    <w:rPr>
      <w:rFonts w:ascii="Times New Roman" w:eastAsia="Times New Roman" w:hAnsi="Times New Roman" w:cs="Times New Roman"/>
      <w:iCs/>
      <w:sz w:val="28"/>
      <w:szCs w:val="20"/>
      <w:lang w:eastAsia="zh-CN"/>
    </w:rPr>
  </w:style>
  <w:style w:type="table" w:customStyle="1" w:styleId="112">
    <w:name w:val="Таблица простая 11"/>
    <w:basedOn w:val="a4"/>
    <w:uiPriority w:val="41"/>
    <w:rsid w:val="00971EC6"/>
    <w:pPr>
      <w:spacing w:after="0" w:line="240" w:lineRule="auto"/>
    </w:pPr>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
    <w:name w:val="Обычный1"/>
    <w:basedOn w:val="a2"/>
    <w:link w:val="1b"/>
    <w:qFormat/>
    <w:rsid w:val="00971EC6"/>
    <w:pPr>
      <w:numPr>
        <w:numId w:val="4"/>
      </w:numPr>
      <w:spacing w:after="0" w:line="240" w:lineRule="auto"/>
      <w:jc w:val="both"/>
    </w:pPr>
    <w:rPr>
      <w:rFonts w:ascii="Times New Roman" w:eastAsia="Calibri" w:hAnsi="Times New Roman" w:cs="Times New Roman"/>
      <w:sz w:val="28"/>
      <w:szCs w:val="16"/>
    </w:rPr>
  </w:style>
  <w:style w:type="character" w:customStyle="1" w:styleId="1b">
    <w:name w:val="Обычный1 Знак"/>
    <w:link w:val="1"/>
    <w:rsid w:val="00971EC6"/>
    <w:rPr>
      <w:rFonts w:ascii="Times New Roman" w:eastAsia="Calibri" w:hAnsi="Times New Roman" w:cs="Times New Roman"/>
      <w:sz w:val="28"/>
      <w:szCs w:val="16"/>
    </w:rPr>
  </w:style>
  <w:style w:type="paragraph" w:customStyle="1" w:styleId="1c">
    <w:name w:val="Заголовок1"/>
    <w:basedOn w:val="a2"/>
    <w:link w:val="1d"/>
    <w:autoRedefine/>
    <w:qFormat/>
    <w:rsid w:val="00971EC6"/>
    <w:pPr>
      <w:keepNext/>
      <w:keepLines/>
      <w:spacing w:before="120" w:after="120" w:line="240" w:lineRule="auto"/>
      <w:jc w:val="center"/>
      <w:outlineLvl w:val="0"/>
    </w:pPr>
    <w:rPr>
      <w:rFonts w:ascii="Times New Roman" w:eastAsia="Times New Roman" w:hAnsi="Times New Roman" w:cs="Times New Roman"/>
      <w:b/>
      <w:bCs/>
      <w:sz w:val="28"/>
      <w:szCs w:val="28"/>
      <w:lang w:val="x-none"/>
    </w:rPr>
  </w:style>
  <w:style w:type="character" w:customStyle="1" w:styleId="1d">
    <w:name w:val="Заголовок1 Знак"/>
    <w:link w:val="1c"/>
    <w:rsid w:val="00971EC6"/>
    <w:rPr>
      <w:rFonts w:ascii="Times New Roman" w:eastAsia="Times New Roman" w:hAnsi="Times New Roman" w:cs="Times New Roman"/>
      <w:b/>
      <w:bCs/>
      <w:sz w:val="28"/>
      <w:szCs w:val="28"/>
      <w:lang w:val="x-none"/>
    </w:rPr>
  </w:style>
  <w:style w:type="numbering" w:customStyle="1" w:styleId="54">
    <w:name w:val="Нет списка5"/>
    <w:next w:val="a5"/>
    <w:uiPriority w:val="99"/>
    <w:semiHidden/>
    <w:unhideWhenUsed/>
    <w:rsid w:val="00971EC6"/>
  </w:style>
  <w:style w:type="character" w:customStyle="1" w:styleId="cs63eb74b21">
    <w:name w:val="cs63eb74b21"/>
    <w:rsid w:val="00971EC6"/>
    <w:rPr>
      <w:rFonts w:ascii="Times New Roman" w:hAnsi="Times New Roman" w:cs="Times New Roman" w:hint="default"/>
      <w:b w:val="0"/>
      <w:bCs w:val="0"/>
      <w:i w:val="0"/>
      <w:iCs w:val="0"/>
      <w:color w:val="000000"/>
      <w:sz w:val="24"/>
      <w:szCs w:val="24"/>
      <w:shd w:val="clear" w:color="auto" w:fill="auto"/>
    </w:rPr>
  </w:style>
  <w:style w:type="paragraph" w:customStyle="1" w:styleId="Style9">
    <w:name w:val="Style9"/>
    <w:basedOn w:val="a2"/>
    <w:uiPriority w:val="99"/>
    <w:rsid w:val="00971EC6"/>
    <w:pPr>
      <w:widowControl w:val="0"/>
      <w:autoSpaceDE w:val="0"/>
      <w:autoSpaceDN w:val="0"/>
      <w:adjustRightInd w:val="0"/>
      <w:spacing w:after="0" w:line="322" w:lineRule="exact"/>
      <w:ind w:firstLine="701"/>
      <w:jc w:val="both"/>
    </w:pPr>
    <w:rPr>
      <w:rFonts w:ascii="Times New Roman" w:eastAsia="Times New Roman" w:hAnsi="Times New Roman" w:cs="Times New Roman"/>
      <w:sz w:val="24"/>
      <w:szCs w:val="24"/>
      <w:lang w:eastAsia="ru-RU"/>
    </w:rPr>
  </w:style>
  <w:style w:type="character" w:customStyle="1" w:styleId="FontStyle218">
    <w:name w:val="Font Style218"/>
    <w:uiPriority w:val="99"/>
    <w:rsid w:val="00971EC6"/>
    <w:rPr>
      <w:rFonts w:ascii="Times New Roman" w:hAnsi="Times New Roman" w:cs="Times New Roman"/>
      <w:color w:val="000000"/>
      <w:sz w:val="26"/>
      <w:szCs w:val="26"/>
    </w:rPr>
  </w:style>
  <w:style w:type="paragraph" w:customStyle="1" w:styleId="afffff4">
    <w:name w:val="я"/>
    <w:basedOn w:val="10"/>
    <w:autoRedefine/>
    <w:rsid w:val="00971EC6"/>
    <w:pPr>
      <w:keepNext/>
      <w:autoSpaceDE/>
      <w:autoSpaceDN/>
      <w:adjustRightInd/>
      <w:spacing w:before="0" w:after="0"/>
      <w:jc w:val="left"/>
    </w:pPr>
    <w:rPr>
      <w:rFonts w:ascii="Times New Roman" w:hAnsi="Times New Roman"/>
      <w:bCs w:val="0"/>
      <w:color w:val="auto"/>
      <w:kern w:val="28"/>
      <w:sz w:val="28"/>
      <w:szCs w:val="32"/>
      <w:lang w:val="ru-RU" w:eastAsia="ru-RU"/>
    </w:rPr>
  </w:style>
  <w:style w:type="table" w:customStyle="1" w:styleId="130">
    <w:name w:val="Сетка таблицы13"/>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
    <w:name w:val="Нет списка6"/>
    <w:next w:val="a5"/>
    <w:uiPriority w:val="99"/>
    <w:semiHidden/>
    <w:unhideWhenUsed/>
    <w:rsid w:val="00971EC6"/>
  </w:style>
  <w:style w:type="table" w:customStyle="1" w:styleId="140">
    <w:name w:val="Сетка таблицы14"/>
    <w:basedOn w:val="a4"/>
    <w:next w:val="a7"/>
    <w:uiPriority w:val="59"/>
    <w:rsid w:val="00971EC6"/>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7"/>
    <w:uiPriority w:val="59"/>
    <w:rsid w:val="00971EC6"/>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7"/>
    <w:uiPriority w:val="59"/>
    <w:rsid w:val="00971EC6"/>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uiPriority w:val="99"/>
    <w:semiHidden/>
    <w:unhideWhenUsed/>
    <w:rsid w:val="00971EC6"/>
  </w:style>
  <w:style w:type="table" w:customStyle="1" w:styleId="160">
    <w:name w:val="Сетка таблицы16"/>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4"/>
    <w:next w:val="a7"/>
    <w:uiPriority w:val="59"/>
    <w:rsid w:val="00971EC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4"/>
    <w:next w:val="a7"/>
    <w:uiPriority w:val="59"/>
    <w:rsid w:val="00971EC6"/>
    <w:pPr>
      <w:widowControl w:val="0"/>
      <w:spacing w:after="0" w:line="240" w:lineRule="auto"/>
    </w:pPr>
    <w:rPr>
      <w:rFonts w:ascii="Courier New" w:eastAsia="Courier New" w:hAnsi="Courier New" w:cs="Courier New"/>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971EC6"/>
  </w:style>
  <w:style w:type="paragraph" w:customStyle="1" w:styleId="36">
    <w:name w:val="Основной текст3"/>
    <w:basedOn w:val="a2"/>
    <w:rsid w:val="00971EC6"/>
    <w:pPr>
      <w:widowControl w:val="0"/>
      <w:shd w:val="clear" w:color="auto" w:fill="FFFFFF"/>
      <w:spacing w:after="0" w:line="0" w:lineRule="atLeast"/>
    </w:pPr>
    <w:rPr>
      <w:rFonts w:ascii="Times New Roman" w:eastAsia="Times New Roman" w:hAnsi="Times New Roman" w:cs="Times New Roman"/>
      <w:spacing w:val="10"/>
      <w:sz w:val="21"/>
      <w:szCs w:val="21"/>
      <w:lang w:eastAsia="ru-RU"/>
    </w:rPr>
  </w:style>
  <w:style w:type="character" w:customStyle="1" w:styleId="afffff5">
    <w:name w:val="Основной текст + Полужирный"/>
    <w:rsid w:val="00971EC6"/>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55">
    <w:name w:val="Основной текст (5)_"/>
    <w:link w:val="56"/>
    <w:rsid w:val="00971EC6"/>
    <w:rPr>
      <w:rFonts w:ascii="Times New Roman" w:eastAsia="Times New Roman" w:hAnsi="Times New Roman"/>
      <w:b/>
      <w:bCs/>
      <w:sz w:val="21"/>
      <w:szCs w:val="21"/>
      <w:shd w:val="clear" w:color="auto" w:fill="FFFFFF"/>
    </w:rPr>
  </w:style>
  <w:style w:type="character" w:customStyle="1" w:styleId="57">
    <w:name w:val="Основной текст (5) + Не полужирный"/>
    <w:rsid w:val="00971EC6"/>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62">
    <w:name w:val="Основной текст (6)_"/>
    <w:link w:val="63"/>
    <w:rsid w:val="00971EC6"/>
    <w:rPr>
      <w:rFonts w:ascii="Times New Roman" w:eastAsia="Times New Roman" w:hAnsi="Times New Roman"/>
      <w:b/>
      <w:bCs/>
      <w:sz w:val="21"/>
      <w:szCs w:val="21"/>
      <w:shd w:val="clear" w:color="auto" w:fill="FFFFFF"/>
    </w:rPr>
  </w:style>
  <w:style w:type="paragraph" w:customStyle="1" w:styleId="56">
    <w:name w:val="Основной текст (5)"/>
    <w:basedOn w:val="a2"/>
    <w:link w:val="55"/>
    <w:rsid w:val="00971EC6"/>
    <w:pPr>
      <w:widowControl w:val="0"/>
      <w:shd w:val="clear" w:color="auto" w:fill="FFFFFF"/>
      <w:spacing w:after="0" w:line="226" w:lineRule="exact"/>
      <w:ind w:firstLine="680"/>
      <w:jc w:val="both"/>
    </w:pPr>
    <w:rPr>
      <w:rFonts w:ascii="Times New Roman" w:eastAsia="Times New Roman" w:hAnsi="Times New Roman"/>
      <w:b/>
      <w:bCs/>
      <w:sz w:val="21"/>
      <w:szCs w:val="21"/>
    </w:rPr>
  </w:style>
  <w:style w:type="paragraph" w:customStyle="1" w:styleId="63">
    <w:name w:val="Основной текст (6)"/>
    <w:basedOn w:val="a2"/>
    <w:link w:val="62"/>
    <w:rsid w:val="00971EC6"/>
    <w:pPr>
      <w:widowControl w:val="0"/>
      <w:shd w:val="clear" w:color="auto" w:fill="FFFFFF"/>
      <w:spacing w:after="0" w:line="259" w:lineRule="exact"/>
    </w:pPr>
    <w:rPr>
      <w:rFonts w:ascii="Times New Roman" w:eastAsia="Times New Roman" w:hAnsi="Times New Roman"/>
      <w:b/>
      <w:bCs/>
      <w:sz w:val="21"/>
      <w:szCs w:val="21"/>
    </w:rPr>
  </w:style>
  <w:style w:type="character" w:customStyle="1" w:styleId="wmi-callto">
    <w:name w:val="wmi-callto"/>
    <w:rsid w:val="00971EC6"/>
  </w:style>
  <w:style w:type="table" w:customStyle="1" w:styleId="180">
    <w:name w:val="Сетка таблицы18"/>
    <w:basedOn w:val="a4"/>
    <w:next w:val="a7"/>
    <w:uiPriority w:val="3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4"/>
    <w:next w:val="a7"/>
    <w:uiPriority w:val="3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
    <w:name w:val="Нет списка8"/>
    <w:next w:val="a5"/>
    <w:uiPriority w:val="99"/>
    <w:semiHidden/>
    <w:unhideWhenUsed/>
    <w:rsid w:val="00971EC6"/>
  </w:style>
  <w:style w:type="table" w:customStyle="1" w:styleId="200">
    <w:name w:val="Сетка таблицы20"/>
    <w:basedOn w:val="a4"/>
    <w:next w:val="a7"/>
    <w:uiPriority w:val="3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Документ в списке"/>
    <w:basedOn w:val="a2"/>
    <w:next w:val="a2"/>
    <w:uiPriority w:val="99"/>
    <w:rsid w:val="00971EC6"/>
    <w:pPr>
      <w:autoSpaceDE w:val="0"/>
      <w:autoSpaceDN w:val="0"/>
      <w:adjustRightInd w:val="0"/>
      <w:spacing w:before="120" w:after="0" w:line="240" w:lineRule="auto"/>
      <w:ind w:right="300"/>
      <w:jc w:val="both"/>
    </w:pPr>
    <w:rPr>
      <w:rFonts w:ascii="Arial" w:eastAsia="Calibri" w:hAnsi="Arial" w:cs="Arial"/>
      <w:color w:val="000000"/>
      <w:sz w:val="24"/>
      <w:szCs w:val="24"/>
    </w:rPr>
  </w:style>
  <w:style w:type="table" w:customStyle="1" w:styleId="240">
    <w:name w:val="Сетка таблицы24"/>
    <w:basedOn w:val="a4"/>
    <w:next w:val="a7"/>
    <w:uiPriority w:val="3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
    <w:name w:val="Нет списка9"/>
    <w:next w:val="a5"/>
    <w:uiPriority w:val="99"/>
    <w:semiHidden/>
    <w:unhideWhenUsed/>
    <w:rsid w:val="00971EC6"/>
  </w:style>
  <w:style w:type="table" w:customStyle="1" w:styleId="250">
    <w:name w:val="Сетка таблицы25"/>
    <w:basedOn w:val="a4"/>
    <w:next w:val="a7"/>
    <w:uiPriority w:val="59"/>
    <w:rsid w:val="00971EC6"/>
    <w:pPr>
      <w:widowControl w:val="0"/>
      <w:spacing w:after="0" w:line="240" w:lineRule="auto"/>
    </w:pPr>
    <w:rPr>
      <w:rFonts w:ascii="Courier New" w:eastAsia="Courier New" w:hAnsi="Courier New" w:cs="Courier New"/>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next w:val="a7"/>
    <w:uiPriority w:val="59"/>
    <w:rsid w:val="00971E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sc09459341">
    <w:name w:val="csc09459341"/>
    <w:rsid w:val="00971EC6"/>
    <w:rPr>
      <w:rFonts w:ascii="Times New Roman" w:hAnsi="Times New Roman" w:cs="Times New Roman" w:hint="default"/>
      <w:b w:val="0"/>
      <w:bCs w:val="0"/>
      <w:i w:val="0"/>
      <w:iCs w:val="0"/>
      <w:color w:val="000000"/>
      <w:sz w:val="28"/>
      <w:szCs w:val="28"/>
      <w:shd w:val="clear" w:color="auto" w:fill="auto"/>
    </w:rPr>
  </w:style>
  <w:style w:type="paragraph" w:styleId="37">
    <w:name w:val="Body Text 3"/>
    <w:basedOn w:val="a2"/>
    <w:link w:val="38"/>
    <w:uiPriority w:val="99"/>
    <w:unhideWhenUsed/>
    <w:rsid w:val="00971EC6"/>
    <w:pPr>
      <w:spacing w:after="120" w:line="276" w:lineRule="auto"/>
    </w:pPr>
    <w:rPr>
      <w:rFonts w:ascii="Calibri" w:eastAsia="Calibri" w:hAnsi="Calibri" w:cs="Times New Roman"/>
      <w:sz w:val="16"/>
      <w:szCs w:val="16"/>
    </w:rPr>
  </w:style>
  <w:style w:type="character" w:customStyle="1" w:styleId="38">
    <w:name w:val="Основной текст 3 Знак"/>
    <w:basedOn w:val="a3"/>
    <w:link w:val="37"/>
    <w:uiPriority w:val="99"/>
    <w:rsid w:val="00971EC6"/>
    <w:rPr>
      <w:rFonts w:ascii="Calibri" w:eastAsia="Calibri" w:hAnsi="Calibri" w:cs="Times New Roman"/>
      <w:sz w:val="16"/>
      <w:szCs w:val="16"/>
    </w:rPr>
  </w:style>
  <w:style w:type="character" w:styleId="afffff7">
    <w:name w:val="Book Title"/>
    <w:basedOn w:val="a3"/>
    <w:uiPriority w:val="33"/>
    <w:qFormat/>
    <w:rsid w:val="00971EC6"/>
    <w:rPr>
      <w:rFonts w:ascii="Times New Roman" w:hAnsi="Times New Roman"/>
      <w:b w:val="0"/>
      <w:bCs/>
      <w:smallCaps/>
      <w:spacing w:val="5"/>
      <w:sz w:val="24"/>
    </w:rPr>
  </w:style>
  <w:style w:type="paragraph" w:customStyle="1" w:styleId="1e">
    <w:name w:val="Название1"/>
    <w:basedOn w:val="a2"/>
    <w:link w:val="1f"/>
    <w:qFormat/>
    <w:rsid w:val="00971EC6"/>
    <w:pPr>
      <w:spacing w:after="0" w:line="240" w:lineRule="auto"/>
      <w:ind w:firstLine="709"/>
      <w:jc w:val="both"/>
    </w:pPr>
    <w:rPr>
      <w:rFonts w:ascii="Times New Roman" w:eastAsia="Calibri" w:hAnsi="Times New Roman" w:cs="Times New Roman"/>
      <w:bCs/>
      <w:sz w:val="24"/>
      <w:szCs w:val="24"/>
    </w:rPr>
  </w:style>
  <w:style w:type="character" w:customStyle="1" w:styleId="1f">
    <w:name w:val="Название1 Знак"/>
    <w:basedOn w:val="a3"/>
    <w:link w:val="1e"/>
    <w:rsid w:val="00971EC6"/>
    <w:rPr>
      <w:rFonts w:ascii="Times New Roman" w:eastAsia="Calibri" w:hAnsi="Times New Roman" w:cs="Times New Roman"/>
      <w:bCs/>
      <w:sz w:val="24"/>
      <w:szCs w:val="24"/>
    </w:rPr>
  </w:style>
  <w:style w:type="character" w:customStyle="1" w:styleId="extended-textfull">
    <w:name w:val="extended-text__full"/>
    <w:basedOn w:val="a3"/>
    <w:rsid w:val="00971EC6"/>
  </w:style>
  <w:style w:type="character" w:customStyle="1" w:styleId="x1a">
    <w:name w:val="x1a"/>
    <w:basedOn w:val="a3"/>
    <w:rsid w:val="00971EC6"/>
  </w:style>
  <w:style w:type="character" w:customStyle="1" w:styleId="extended-textshort">
    <w:name w:val="extended-text__short"/>
    <w:basedOn w:val="a3"/>
    <w:rsid w:val="00971EC6"/>
  </w:style>
  <w:style w:type="numbering" w:customStyle="1" w:styleId="1111">
    <w:name w:val="Нет списка111"/>
    <w:next w:val="a5"/>
    <w:uiPriority w:val="99"/>
    <w:semiHidden/>
    <w:rsid w:val="00971EC6"/>
  </w:style>
  <w:style w:type="table" w:customStyle="1" w:styleId="270">
    <w:name w:val="Сетка таблицы27"/>
    <w:basedOn w:val="a4"/>
    <w:next w:val="a7"/>
    <w:uiPriority w:val="59"/>
    <w:rsid w:val="00971E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4"/>
    <w:next w:val="a7"/>
    <w:uiPriority w:val="59"/>
    <w:rsid w:val="00971E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8">
    <w:name w:val="Strong"/>
    <w:basedOn w:val="a3"/>
    <w:uiPriority w:val="22"/>
    <w:qFormat/>
    <w:rsid w:val="00971EC6"/>
    <w:rPr>
      <w:b/>
      <w:bCs/>
    </w:rPr>
  </w:style>
  <w:style w:type="paragraph" w:customStyle="1" w:styleId="a0">
    <w:name w:val="Мой абзац"/>
    <w:basedOn w:val="a2"/>
    <w:link w:val="afffff9"/>
    <w:autoRedefine/>
    <w:qFormat/>
    <w:rsid w:val="007D042F"/>
    <w:pPr>
      <w:numPr>
        <w:numId w:val="11"/>
      </w:numPr>
      <w:spacing w:after="0" w:line="240" w:lineRule="auto"/>
      <w:contextualSpacing/>
      <w:jc w:val="both"/>
    </w:pPr>
    <w:rPr>
      <w:rFonts w:ascii="Times New Roman" w:eastAsia="Calibri" w:hAnsi="Times New Roman" w:cs="Times New Roman"/>
      <w:sz w:val="28"/>
      <w:szCs w:val="16"/>
    </w:rPr>
  </w:style>
  <w:style w:type="character" w:customStyle="1" w:styleId="afffff9">
    <w:name w:val="Мой абзац Знак"/>
    <w:link w:val="a0"/>
    <w:rsid w:val="007D042F"/>
    <w:rPr>
      <w:rFonts w:ascii="Times New Roman" w:eastAsia="Calibri" w:hAnsi="Times New Roman" w:cs="Times New Roman"/>
      <w:sz w:val="28"/>
      <w:szCs w:val="16"/>
    </w:rPr>
  </w:style>
  <w:style w:type="character" w:customStyle="1" w:styleId="39">
    <w:name w:val="Основной текст (3)_"/>
    <w:basedOn w:val="a3"/>
    <w:link w:val="3a"/>
    <w:rsid w:val="00971EC6"/>
    <w:rPr>
      <w:rFonts w:ascii="Times New Roman" w:eastAsia="Times New Roman" w:hAnsi="Times New Roman"/>
      <w:b/>
      <w:bCs/>
      <w:sz w:val="28"/>
      <w:szCs w:val="28"/>
      <w:shd w:val="clear" w:color="auto" w:fill="FFFFFF"/>
    </w:rPr>
  </w:style>
  <w:style w:type="paragraph" w:customStyle="1" w:styleId="3a">
    <w:name w:val="Основной текст (3)"/>
    <w:basedOn w:val="a2"/>
    <w:link w:val="39"/>
    <w:rsid w:val="00971EC6"/>
    <w:pPr>
      <w:widowControl w:val="0"/>
      <w:shd w:val="clear" w:color="auto" w:fill="FFFFFF"/>
      <w:spacing w:before="340" w:after="0" w:line="310" w:lineRule="exact"/>
      <w:jc w:val="center"/>
    </w:pPr>
    <w:rPr>
      <w:rFonts w:ascii="Times New Roman" w:eastAsia="Times New Roman" w:hAnsi="Times New Roman"/>
      <w:b/>
      <w:bCs/>
      <w:sz w:val="28"/>
      <w:szCs w:val="28"/>
    </w:rPr>
  </w:style>
  <w:style w:type="character" w:customStyle="1" w:styleId="blk">
    <w:name w:val="blk"/>
    <w:basedOn w:val="a3"/>
    <w:rsid w:val="00971EC6"/>
  </w:style>
  <w:style w:type="numbering" w:customStyle="1" w:styleId="11110">
    <w:name w:val="Нет списка1111"/>
    <w:next w:val="a5"/>
    <w:uiPriority w:val="99"/>
    <w:semiHidden/>
    <w:rsid w:val="00971EC6"/>
  </w:style>
  <w:style w:type="paragraph" w:customStyle="1" w:styleId="Style14">
    <w:name w:val="Style14"/>
    <w:basedOn w:val="a2"/>
    <w:rsid w:val="00971EC6"/>
    <w:pPr>
      <w:widowControl w:val="0"/>
      <w:autoSpaceDE w:val="0"/>
      <w:autoSpaceDN w:val="0"/>
      <w:adjustRightInd w:val="0"/>
      <w:spacing w:after="0" w:line="324" w:lineRule="exact"/>
      <w:ind w:firstLine="1166"/>
    </w:pPr>
    <w:rPr>
      <w:rFonts w:ascii="Times New Roman" w:eastAsia="Times New Roman" w:hAnsi="Times New Roman" w:cs="Times New Roman"/>
      <w:sz w:val="24"/>
      <w:szCs w:val="24"/>
      <w:lang w:eastAsia="ru-RU"/>
    </w:rPr>
  </w:style>
  <w:style w:type="character" w:customStyle="1" w:styleId="FontStyle18">
    <w:name w:val="Font Style18"/>
    <w:rsid w:val="00971EC6"/>
    <w:rPr>
      <w:rFonts w:ascii="Times New Roman" w:hAnsi="Times New Roman" w:cs="Times New Roman"/>
      <w:sz w:val="26"/>
      <w:szCs w:val="26"/>
    </w:rPr>
  </w:style>
  <w:style w:type="paragraph" w:customStyle="1" w:styleId="3b">
    <w:name w:val="Мой заголовок 3"/>
    <w:basedOn w:val="3"/>
    <w:next w:val="3"/>
    <w:qFormat/>
    <w:rsid w:val="00971EC6"/>
    <w:pPr>
      <w:spacing w:line="240" w:lineRule="auto"/>
    </w:pPr>
    <w:rPr>
      <w:lang w:val="ru-RU" w:eastAsia="ru-RU"/>
    </w:rPr>
  </w:style>
  <w:style w:type="character" w:customStyle="1" w:styleId="cs139122331">
    <w:name w:val="cs139122331"/>
    <w:rsid w:val="00971EC6"/>
    <w:rPr>
      <w:rFonts w:ascii="Times New Roman" w:hAnsi="Times New Roman" w:cs="Times New Roman" w:hint="default"/>
      <w:b w:val="0"/>
      <w:bCs w:val="0"/>
      <w:i w:val="0"/>
      <w:iCs w:val="0"/>
      <w:color w:val="000000"/>
      <w:sz w:val="28"/>
      <w:szCs w:val="28"/>
      <w:shd w:val="clear" w:color="auto" w:fill="auto"/>
    </w:rPr>
  </w:style>
  <w:style w:type="character" w:customStyle="1" w:styleId="211pt">
    <w:name w:val="Основной текст (2) + 11 pt"/>
    <w:basedOn w:val="a3"/>
    <w:rsid w:val="00971EC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a1">
    <w:name w:val="Абзац мой"/>
    <w:basedOn w:val="a8"/>
    <w:link w:val="afffffa"/>
    <w:qFormat/>
    <w:rsid w:val="00971EC6"/>
    <w:pPr>
      <w:numPr>
        <w:numId w:val="5"/>
      </w:numPr>
      <w:jc w:val="both"/>
    </w:pPr>
    <w:rPr>
      <w:sz w:val="28"/>
      <w:lang w:bidi="ru-RU"/>
    </w:rPr>
  </w:style>
  <w:style w:type="character" w:customStyle="1" w:styleId="afffffa">
    <w:name w:val="Абзац мой Знак"/>
    <w:basedOn w:val="a3"/>
    <w:link w:val="a1"/>
    <w:rsid w:val="00971EC6"/>
    <w:rPr>
      <w:rFonts w:ascii="Times New Roman" w:eastAsia="Times New Roman" w:hAnsi="Times New Roman" w:cs="Times New Roman"/>
      <w:sz w:val="28"/>
      <w:szCs w:val="24"/>
      <w:lang w:eastAsia="ru-RU" w:bidi="ru-RU"/>
    </w:rPr>
  </w:style>
  <w:style w:type="character" w:customStyle="1" w:styleId="pre">
    <w:name w:val="pre"/>
    <w:basedOn w:val="a3"/>
    <w:rsid w:val="00971EC6"/>
  </w:style>
  <w:style w:type="character" w:customStyle="1" w:styleId="265pt">
    <w:name w:val="Основной текст (2) + 6;5 pt;Курсив"/>
    <w:basedOn w:val="a3"/>
    <w:rsid w:val="00971EC6"/>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paragraph" w:customStyle="1" w:styleId="212">
    <w:name w:val="Заголовок 21"/>
    <w:basedOn w:val="a2"/>
    <w:next w:val="a2"/>
    <w:uiPriority w:val="9"/>
    <w:unhideWhenUsed/>
    <w:qFormat/>
    <w:rsid w:val="00971EC6"/>
    <w:pPr>
      <w:keepNext/>
      <w:keepLines/>
      <w:spacing w:before="40" w:after="0"/>
      <w:outlineLvl w:val="1"/>
    </w:pPr>
    <w:rPr>
      <w:rFonts w:ascii="Calibri Light" w:eastAsia="Times New Roman" w:hAnsi="Calibri Light" w:cs="Times New Roman"/>
      <w:color w:val="2E74B5"/>
      <w:sz w:val="26"/>
      <w:szCs w:val="26"/>
    </w:rPr>
  </w:style>
  <w:style w:type="paragraph" w:customStyle="1" w:styleId="312">
    <w:name w:val="Заголовок 31"/>
    <w:basedOn w:val="a2"/>
    <w:next w:val="a2"/>
    <w:uiPriority w:val="9"/>
    <w:unhideWhenUsed/>
    <w:qFormat/>
    <w:rsid w:val="00971EC6"/>
    <w:pPr>
      <w:keepNext/>
      <w:keepLines/>
      <w:spacing w:before="40" w:after="0"/>
      <w:outlineLvl w:val="2"/>
    </w:pPr>
    <w:rPr>
      <w:rFonts w:ascii="Calibri Light" w:eastAsia="Times New Roman" w:hAnsi="Calibri Light" w:cs="Times New Roman"/>
      <w:color w:val="1F4D78"/>
      <w:sz w:val="24"/>
      <w:szCs w:val="24"/>
    </w:rPr>
  </w:style>
  <w:style w:type="paragraph" w:customStyle="1" w:styleId="411">
    <w:name w:val="Заголовок 41"/>
    <w:basedOn w:val="a2"/>
    <w:next w:val="a2"/>
    <w:uiPriority w:val="9"/>
    <w:semiHidden/>
    <w:unhideWhenUsed/>
    <w:qFormat/>
    <w:rsid w:val="00971EC6"/>
    <w:pPr>
      <w:keepNext/>
      <w:keepLines/>
      <w:spacing w:before="200" w:after="0"/>
      <w:outlineLvl w:val="3"/>
    </w:pPr>
    <w:rPr>
      <w:rFonts w:ascii="Calibri Light" w:eastAsia="Times New Roman" w:hAnsi="Calibri Light" w:cs="Times New Roman"/>
      <w:b/>
      <w:bCs/>
      <w:i/>
      <w:iCs/>
      <w:color w:val="5B9BD5"/>
    </w:rPr>
  </w:style>
  <w:style w:type="character" w:customStyle="1" w:styleId="1f0">
    <w:name w:val="Гиперссылка1"/>
    <w:basedOn w:val="a3"/>
    <w:uiPriority w:val="99"/>
    <w:unhideWhenUsed/>
    <w:rsid w:val="00971EC6"/>
    <w:rPr>
      <w:color w:val="0563C1"/>
      <w:u w:val="single"/>
    </w:rPr>
  </w:style>
  <w:style w:type="character" w:customStyle="1" w:styleId="412">
    <w:name w:val="Заголовок 4 Знак1"/>
    <w:basedOn w:val="a3"/>
    <w:uiPriority w:val="9"/>
    <w:semiHidden/>
    <w:rsid w:val="00971EC6"/>
    <w:rPr>
      <w:rFonts w:asciiTheme="majorHAnsi" w:eastAsiaTheme="majorEastAsia" w:hAnsiTheme="majorHAnsi" w:cstheme="majorBidi"/>
      <w:b/>
      <w:bCs/>
      <w:i/>
      <w:iCs/>
      <w:color w:val="5B9BD5" w:themeColor="accent1"/>
    </w:rPr>
  </w:style>
  <w:style w:type="character" w:customStyle="1" w:styleId="213">
    <w:name w:val="Заголовок 2 Знак1"/>
    <w:basedOn w:val="a3"/>
    <w:uiPriority w:val="9"/>
    <w:semiHidden/>
    <w:rsid w:val="00971EC6"/>
    <w:rPr>
      <w:rFonts w:asciiTheme="majorHAnsi" w:eastAsiaTheme="majorEastAsia" w:hAnsiTheme="majorHAnsi" w:cstheme="majorBidi"/>
      <w:b/>
      <w:bCs/>
      <w:color w:val="5B9BD5" w:themeColor="accent1"/>
      <w:sz w:val="26"/>
      <w:szCs w:val="26"/>
    </w:rPr>
  </w:style>
  <w:style w:type="character" w:customStyle="1" w:styleId="313">
    <w:name w:val="Заголовок 3 Знак1"/>
    <w:basedOn w:val="a3"/>
    <w:uiPriority w:val="9"/>
    <w:semiHidden/>
    <w:rsid w:val="00971EC6"/>
    <w:rPr>
      <w:rFonts w:asciiTheme="majorHAnsi" w:eastAsiaTheme="majorEastAsia" w:hAnsiTheme="majorHAnsi" w:cstheme="majorBidi"/>
      <w:b/>
      <w:bCs/>
      <w:color w:val="5B9BD5" w:themeColor="accent1"/>
    </w:rPr>
  </w:style>
  <w:style w:type="character" w:customStyle="1" w:styleId="212pt">
    <w:name w:val="Основной текст (2) + 12 pt"/>
    <w:basedOn w:val="a3"/>
    <w:rsid w:val="00971EC6"/>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44">
    <w:name w:val="4 Приложения ЛП"/>
    <w:basedOn w:val="10"/>
    <w:link w:val="45"/>
    <w:qFormat/>
    <w:rsid w:val="00971EC6"/>
    <w:pPr>
      <w:autoSpaceDE/>
      <w:autoSpaceDN/>
      <w:adjustRightInd/>
      <w:spacing w:before="0" w:after="200"/>
      <w:ind w:left="62"/>
      <w:jc w:val="right"/>
    </w:pPr>
    <w:rPr>
      <w:rFonts w:ascii="Times New Roman" w:hAnsi="Times New Roman"/>
      <w:bCs w:val="0"/>
      <w:i/>
      <w:color w:val="auto"/>
      <w:lang w:eastAsia="ru-RU"/>
    </w:rPr>
  </w:style>
  <w:style w:type="character" w:customStyle="1" w:styleId="45">
    <w:name w:val="4 Приложения ЛП Знак"/>
    <w:link w:val="44"/>
    <w:rsid w:val="00971EC6"/>
    <w:rPr>
      <w:rFonts w:ascii="Times New Roman" w:eastAsia="Times New Roman" w:hAnsi="Times New Roman" w:cs="Times New Roman"/>
      <w:b/>
      <w:i/>
      <w:sz w:val="24"/>
      <w:szCs w:val="24"/>
      <w:lang w:val="x-none" w:eastAsia="ru-RU"/>
    </w:rPr>
  </w:style>
  <w:style w:type="paragraph" w:customStyle="1" w:styleId="pboth">
    <w:name w:val="pboth"/>
    <w:basedOn w:val="a2"/>
    <w:rsid w:val="00971E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nsPlusNonformat0">
    <w:name w:val="ConsPlusNonformat Знак"/>
    <w:link w:val="ConsPlusNonformat"/>
    <w:locked/>
    <w:rsid w:val="00971EC6"/>
    <w:rPr>
      <w:rFonts w:ascii="Courier New" w:eastAsia="Times New Roman" w:hAnsi="Courier New" w:cs="Courier New"/>
      <w:sz w:val="20"/>
      <w:szCs w:val="20"/>
      <w:lang w:eastAsia="ru-RU"/>
    </w:rPr>
  </w:style>
  <w:style w:type="character" w:customStyle="1" w:styleId="2d">
    <w:name w:val="Основной текст (2) + Курсив"/>
    <w:basedOn w:val="a3"/>
    <w:rsid w:val="00971EC6"/>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pt">
    <w:name w:val="Основной текст (2) + 9 pt;Курсив"/>
    <w:basedOn w:val="a3"/>
    <w:rsid w:val="00971EC6"/>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5pt">
    <w:name w:val="Основной текст (2) + 9;5 pt"/>
    <w:basedOn w:val="a3"/>
    <w:rsid w:val="00971EC6"/>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fe-published4">
    <w:name w:val="fe-published4"/>
    <w:basedOn w:val="a3"/>
    <w:rsid w:val="00423003"/>
  </w:style>
  <w:style w:type="character" w:customStyle="1" w:styleId="fe-published-day">
    <w:name w:val="fe-published-day"/>
    <w:basedOn w:val="a3"/>
    <w:rsid w:val="00423003"/>
  </w:style>
  <w:style w:type="character" w:customStyle="1" w:styleId="fe-published-month">
    <w:name w:val="fe-published-month"/>
    <w:basedOn w:val="a3"/>
    <w:rsid w:val="00423003"/>
  </w:style>
  <w:style w:type="character" w:customStyle="1" w:styleId="fe-published-time">
    <w:name w:val="fe-published-time"/>
    <w:basedOn w:val="a3"/>
    <w:rsid w:val="00423003"/>
  </w:style>
  <w:style w:type="character" w:customStyle="1" w:styleId="fe-item-tags2">
    <w:name w:val="fe-item-tags2"/>
    <w:basedOn w:val="a3"/>
    <w:rsid w:val="00423003"/>
  </w:style>
  <w:style w:type="numbering" w:customStyle="1" w:styleId="11111">
    <w:name w:val="Нет списка11111"/>
    <w:next w:val="a5"/>
    <w:uiPriority w:val="99"/>
    <w:semiHidden/>
    <w:rsid w:val="0074079E"/>
  </w:style>
  <w:style w:type="numbering" w:customStyle="1" w:styleId="111111">
    <w:name w:val="Нет списка111111"/>
    <w:next w:val="a5"/>
    <w:semiHidden/>
    <w:rsid w:val="0074079E"/>
  </w:style>
  <w:style w:type="character" w:customStyle="1" w:styleId="pathseparator">
    <w:name w:val="path__separator"/>
    <w:basedOn w:val="a3"/>
    <w:rsid w:val="0074079E"/>
  </w:style>
  <w:style w:type="character" w:customStyle="1" w:styleId="link1">
    <w:name w:val="link1"/>
    <w:basedOn w:val="a3"/>
    <w:rsid w:val="0074079E"/>
    <w:rPr>
      <w:strike w:val="0"/>
      <w:dstrike w:val="0"/>
      <w:u w:val="none"/>
      <w:effect w:val="none"/>
    </w:rPr>
  </w:style>
  <w:style w:type="character" w:customStyle="1" w:styleId="sectioninfo">
    <w:name w:val="section__info"/>
    <w:basedOn w:val="a3"/>
    <w:rsid w:val="0074079E"/>
  </w:style>
  <w:style w:type="numbering" w:customStyle="1" w:styleId="1111111">
    <w:name w:val="Нет списка1111111"/>
    <w:next w:val="a5"/>
    <w:semiHidden/>
    <w:rsid w:val="0074079E"/>
  </w:style>
  <w:style w:type="character" w:customStyle="1" w:styleId="cardmaininfocontent">
    <w:name w:val="cardmaininfo__content"/>
    <w:basedOn w:val="a3"/>
    <w:rsid w:val="0074079E"/>
  </w:style>
  <w:style w:type="paragraph" w:styleId="afffffb">
    <w:name w:val="endnote text"/>
    <w:basedOn w:val="a2"/>
    <w:link w:val="afffffc"/>
    <w:uiPriority w:val="99"/>
    <w:semiHidden/>
    <w:unhideWhenUsed/>
    <w:rsid w:val="00A46804"/>
    <w:pPr>
      <w:spacing w:after="0" w:line="240" w:lineRule="auto"/>
    </w:pPr>
    <w:rPr>
      <w:rFonts w:ascii="Calibri" w:eastAsia="Calibri" w:hAnsi="Calibri" w:cs="Times New Roman"/>
      <w:sz w:val="20"/>
      <w:szCs w:val="20"/>
    </w:rPr>
  </w:style>
  <w:style w:type="character" w:customStyle="1" w:styleId="afffffc">
    <w:name w:val="Текст концевой сноски Знак"/>
    <w:basedOn w:val="a3"/>
    <w:link w:val="afffffb"/>
    <w:uiPriority w:val="99"/>
    <w:semiHidden/>
    <w:rsid w:val="00A46804"/>
    <w:rPr>
      <w:rFonts w:ascii="Calibri" w:eastAsia="Calibri" w:hAnsi="Calibri" w:cs="Times New Roman"/>
      <w:sz w:val="20"/>
      <w:szCs w:val="20"/>
    </w:rPr>
  </w:style>
  <w:style w:type="character" w:styleId="afffffd">
    <w:name w:val="endnote reference"/>
    <w:basedOn w:val="a3"/>
    <w:uiPriority w:val="99"/>
    <w:semiHidden/>
    <w:unhideWhenUsed/>
    <w:rsid w:val="00A46804"/>
    <w:rPr>
      <w:vertAlign w:val="superscript"/>
    </w:rPr>
  </w:style>
  <w:style w:type="character" w:customStyle="1" w:styleId="3whw5">
    <w:name w:val="_3whw5"/>
    <w:basedOn w:val="a3"/>
    <w:rsid w:val="00A32C92"/>
  </w:style>
  <w:style w:type="character" w:customStyle="1" w:styleId="afffffe">
    <w:name w:val="Цветовое выделение для Текст"/>
    <w:uiPriority w:val="99"/>
    <w:rsid w:val="00C20681"/>
  </w:style>
  <w:style w:type="paragraph" w:customStyle="1" w:styleId="affffff">
    <w:name w:val="Текст (справка)"/>
    <w:basedOn w:val="a2"/>
    <w:next w:val="a2"/>
    <w:uiPriority w:val="99"/>
    <w:rsid w:val="00C20681"/>
    <w:pPr>
      <w:autoSpaceDE w:val="0"/>
      <w:autoSpaceDN w:val="0"/>
      <w:adjustRightInd w:val="0"/>
      <w:spacing w:after="0" w:line="240" w:lineRule="auto"/>
      <w:ind w:left="170" w:right="170"/>
    </w:pPr>
    <w:rPr>
      <w:rFonts w:ascii="Arial" w:hAnsi="Arial" w:cs="Arial"/>
      <w:sz w:val="24"/>
      <w:szCs w:val="24"/>
    </w:rPr>
  </w:style>
  <w:style w:type="paragraph" w:customStyle="1" w:styleId="paragraphscxw225887283bcx0">
    <w:name w:val="paragraph scxw225887283 bcx0"/>
    <w:basedOn w:val="a2"/>
    <w:rsid w:val="0013664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11">
    <w:name w:val="Pa11"/>
    <w:basedOn w:val="a2"/>
    <w:next w:val="a2"/>
    <w:uiPriority w:val="99"/>
    <w:rsid w:val="0013664F"/>
    <w:pPr>
      <w:autoSpaceDE w:val="0"/>
      <w:autoSpaceDN w:val="0"/>
      <w:adjustRightInd w:val="0"/>
      <w:spacing w:after="0" w:line="201" w:lineRule="atLeast"/>
    </w:pPr>
    <w:rPr>
      <w:rFonts w:ascii="TT Jenevers Bold" w:hAnsi="TT Jenevers Bold"/>
      <w:sz w:val="24"/>
      <w:szCs w:val="24"/>
    </w:rPr>
  </w:style>
  <w:style w:type="character" w:customStyle="1" w:styleId="A80">
    <w:name w:val="A8"/>
    <w:uiPriority w:val="99"/>
    <w:rsid w:val="0013664F"/>
    <w:rPr>
      <w:rFonts w:ascii="PT_Russia Text" w:hAnsi="PT_Russia Text" w:cs="PT_Russia Text"/>
      <w:color w:val="000000"/>
      <w:sz w:val="11"/>
      <w:szCs w:val="11"/>
    </w:rPr>
  </w:style>
  <w:style w:type="table" w:customStyle="1" w:styleId="290">
    <w:name w:val="Сетка таблицы29"/>
    <w:basedOn w:val="a4"/>
    <w:next w:val="a7"/>
    <w:uiPriority w:val="39"/>
    <w:rsid w:val="0086147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Заголовок"/>
    <w:basedOn w:val="a2"/>
    <w:link w:val="affffff1"/>
    <w:qFormat/>
    <w:rsid w:val="00CF467B"/>
    <w:pPr>
      <w:spacing w:after="0" w:line="240" w:lineRule="auto"/>
      <w:jc w:val="center"/>
    </w:pPr>
    <w:rPr>
      <w:rFonts w:ascii="Times New Roman" w:eastAsia="Times New Roman" w:hAnsi="Times New Roman" w:cs="Times New Roman"/>
      <w:b/>
      <w:bCs/>
      <w:sz w:val="24"/>
      <w:szCs w:val="24"/>
      <w:lang w:val="x-none" w:eastAsia="x-none"/>
    </w:rPr>
  </w:style>
  <w:style w:type="character" w:customStyle="1" w:styleId="affffff1">
    <w:name w:val="Заголовок Знак"/>
    <w:link w:val="affffff0"/>
    <w:rsid w:val="00CF467B"/>
    <w:rPr>
      <w:rFonts w:ascii="Times New Roman" w:eastAsia="Times New Roman" w:hAnsi="Times New Roman" w:cs="Times New Roman"/>
      <w:b/>
      <w:bCs/>
      <w:sz w:val="24"/>
      <w:szCs w:val="24"/>
      <w:lang w:val="x-none" w:eastAsia="x-none"/>
    </w:rPr>
  </w:style>
  <w:style w:type="paragraph" w:customStyle="1" w:styleId="214">
    <w:name w:val="Основной текст (2)1"/>
    <w:basedOn w:val="a2"/>
    <w:rsid w:val="00CF467B"/>
    <w:pPr>
      <w:widowControl w:val="0"/>
      <w:shd w:val="clear" w:color="auto" w:fill="FFFFFF"/>
      <w:spacing w:before="240" w:after="0" w:line="310" w:lineRule="exact"/>
      <w:jc w:val="both"/>
    </w:pPr>
    <w:rPr>
      <w:rFonts w:ascii="Times New Roman" w:eastAsia="Times New Roman" w:hAnsi="Times New Roman" w:cs="Times New Roman"/>
      <w:sz w:val="28"/>
      <w:szCs w:val="28"/>
    </w:rPr>
  </w:style>
  <w:style w:type="paragraph" w:customStyle="1" w:styleId="CE490426FA1F417B964E942E3A6CE9DE">
    <w:name w:val="CE490426FA1F417B964E942E3A6CE9DE"/>
    <w:rsid w:val="00BE3A47"/>
    <w:pPr>
      <w:spacing w:after="200" w:line="276" w:lineRule="auto"/>
    </w:pPr>
    <w:rPr>
      <w:rFonts w:eastAsiaTheme="minorEastAsia"/>
      <w:lang w:eastAsia="ru-RU"/>
    </w:rPr>
  </w:style>
  <w:style w:type="paragraph" w:customStyle="1" w:styleId="font5">
    <w:name w:val="font5"/>
    <w:basedOn w:val="a2"/>
    <w:rsid w:val="004579C4"/>
    <w:pPr>
      <w:spacing w:before="100" w:beforeAutospacing="1" w:after="100" w:afterAutospacing="1" w:line="240" w:lineRule="auto"/>
    </w:pPr>
    <w:rPr>
      <w:rFonts w:ascii="Calibri" w:eastAsia="Times New Roman" w:hAnsi="Calibri" w:cs="Times New Roman"/>
      <w:color w:val="000000"/>
      <w:sz w:val="16"/>
      <w:szCs w:val="16"/>
      <w:lang w:eastAsia="ru-RU"/>
    </w:rPr>
  </w:style>
  <w:style w:type="paragraph" w:customStyle="1" w:styleId="font6">
    <w:name w:val="font6"/>
    <w:basedOn w:val="a2"/>
    <w:rsid w:val="004579C4"/>
    <w:pPr>
      <w:spacing w:before="100" w:beforeAutospacing="1" w:after="100" w:afterAutospacing="1" w:line="240" w:lineRule="auto"/>
    </w:pPr>
    <w:rPr>
      <w:rFonts w:ascii="Calibri" w:eastAsia="Times New Roman" w:hAnsi="Calibri" w:cs="Times New Roman"/>
      <w:color w:val="000000"/>
      <w:sz w:val="18"/>
      <w:szCs w:val="18"/>
      <w:lang w:eastAsia="ru-RU"/>
    </w:rPr>
  </w:style>
  <w:style w:type="paragraph" w:customStyle="1" w:styleId="xl65">
    <w:name w:val="xl65"/>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67">
    <w:name w:val="xl67"/>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9">
    <w:name w:val="xl69"/>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
    <w:name w:val="xl70"/>
    <w:basedOn w:val="a2"/>
    <w:rsid w:val="004579C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
    <w:name w:val="xl71"/>
    <w:basedOn w:val="a2"/>
    <w:rsid w:val="004579C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72">
    <w:name w:val="xl72"/>
    <w:basedOn w:val="a2"/>
    <w:rsid w:val="004579C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73">
    <w:name w:val="xl73"/>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i/>
      <w:iCs/>
      <w:sz w:val="24"/>
      <w:szCs w:val="24"/>
      <w:u w:val="single"/>
      <w:lang w:eastAsia="ru-RU"/>
    </w:rPr>
  </w:style>
  <w:style w:type="paragraph" w:customStyle="1" w:styleId="xl74">
    <w:name w:val="xl74"/>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75">
    <w:name w:val="xl75"/>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76">
    <w:name w:val="xl76"/>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7">
    <w:name w:val="xl77"/>
    <w:basedOn w:val="a2"/>
    <w:rsid w:val="004579C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78">
    <w:name w:val="xl78"/>
    <w:basedOn w:val="a2"/>
    <w:rsid w:val="004579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character" w:customStyle="1" w:styleId="bookmark">
    <w:name w:val="bookmark"/>
    <w:basedOn w:val="a3"/>
    <w:rsid w:val="0094059C"/>
  </w:style>
  <w:style w:type="table" w:customStyle="1" w:styleId="300">
    <w:name w:val="Сетка таблицы30"/>
    <w:basedOn w:val="a4"/>
    <w:next w:val="a7"/>
    <w:uiPriority w:val="39"/>
    <w:rsid w:val="009C1A0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Нет списка11111111"/>
    <w:next w:val="a5"/>
    <w:semiHidden/>
    <w:rsid w:val="00005B6B"/>
  </w:style>
  <w:style w:type="numbering" w:customStyle="1" w:styleId="111111111">
    <w:name w:val="Нет списка111111111"/>
    <w:next w:val="a5"/>
    <w:semiHidden/>
    <w:rsid w:val="00400E69"/>
  </w:style>
  <w:style w:type="numbering" w:customStyle="1" w:styleId="101">
    <w:name w:val="Нет списка10"/>
    <w:next w:val="a5"/>
    <w:uiPriority w:val="99"/>
    <w:semiHidden/>
    <w:unhideWhenUsed/>
    <w:rsid w:val="00D21D48"/>
  </w:style>
  <w:style w:type="table" w:customStyle="1" w:styleId="330">
    <w:name w:val="Сетка таблицы33"/>
    <w:basedOn w:val="a4"/>
    <w:next w:val="a7"/>
    <w:uiPriority w:val="59"/>
    <w:rsid w:val="00D21D4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4"/>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5"/>
    <w:uiPriority w:val="99"/>
    <w:semiHidden/>
    <w:unhideWhenUsed/>
    <w:rsid w:val="00D21D48"/>
  </w:style>
  <w:style w:type="numbering" w:customStyle="1" w:styleId="215">
    <w:name w:val="Нет списка21"/>
    <w:next w:val="a5"/>
    <w:uiPriority w:val="99"/>
    <w:semiHidden/>
    <w:unhideWhenUsed/>
    <w:rsid w:val="00D21D48"/>
  </w:style>
  <w:style w:type="table" w:customStyle="1" w:styleId="340">
    <w:name w:val="Сетка таблицы34"/>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5"/>
    <w:uiPriority w:val="99"/>
    <w:semiHidden/>
    <w:rsid w:val="00D21D48"/>
  </w:style>
  <w:style w:type="table" w:customStyle="1" w:styleId="2100">
    <w:name w:val="Сетка таблицы210"/>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4"/>
    <w:next w:val="a7"/>
    <w:uiPriority w:val="9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
    <w:next w:val="a5"/>
    <w:uiPriority w:val="99"/>
    <w:semiHidden/>
    <w:unhideWhenUsed/>
    <w:rsid w:val="00D21D48"/>
  </w:style>
  <w:style w:type="numbering" w:customStyle="1" w:styleId="413">
    <w:name w:val="Нет списка41"/>
    <w:next w:val="a5"/>
    <w:uiPriority w:val="99"/>
    <w:semiHidden/>
    <w:unhideWhenUsed/>
    <w:rsid w:val="00D21D48"/>
  </w:style>
  <w:style w:type="table" w:customStyle="1" w:styleId="710">
    <w:name w:val="Сетка таблицы71"/>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простая 111"/>
    <w:basedOn w:val="a4"/>
    <w:uiPriority w:val="41"/>
    <w:rsid w:val="00D21D48"/>
    <w:pPr>
      <w:spacing w:after="0" w:line="240" w:lineRule="auto"/>
    </w:pPr>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511">
    <w:name w:val="Нет списка51"/>
    <w:next w:val="a5"/>
    <w:uiPriority w:val="99"/>
    <w:semiHidden/>
    <w:unhideWhenUsed/>
    <w:rsid w:val="00D21D48"/>
  </w:style>
  <w:style w:type="table" w:customStyle="1" w:styleId="131">
    <w:name w:val="Сетка таблицы13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
    <w:name w:val="Нет списка61"/>
    <w:next w:val="a5"/>
    <w:uiPriority w:val="99"/>
    <w:semiHidden/>
    <w:unhideWhenUsed/>
    <w:rsid w:val="00D21D48"/>
  </w:style>
  <w:style w:type="table" w:customStyle="1" w:styleId="141">
    <w:name w:val="Сетка таблицы141"/>
    <w:basedOn w:val="a4"/>
    <w:next w:val="a7"/>
    <w:uiPriority w:val="59"/>
    <w:rsid w:val="00D21D4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4"/>
    <w:next w:val="a7"/>
    <w:uiPriority w:val="59"/>
    <w:rsid w:val="00D21D4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4"/>
    <w:next w:val="a7"/>
    <w:uiPriority w:val="59"/>
    <w:rsid w:val="00D21D48"/>
    <w:pPr>
      <w:spacing w:after="0" w:line="240" w:lineRule="auto"/>
      <w:ind w:firstLine="567"/>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
    <w:name w:val="Нет списка71"/>
    <w:next w:val="a5"/>
    <w:uiPriority w:val="99"/>
    <w:semiHidden/>
    <w:unhideWhenUsed/>
    <w:rsid w:val="00D21D48"/>
  </w:style>
  <w:style w:type="table" w:customStyle="1" w:styleId="161">
    <w:name w:val="Сетка таблицы16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4"/>
    <w:next w:val="a7"/>
    <w:uiPriority w:val="5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4"/>
    <w:next w:val="a7"/>
    <w:uiPriority w:val="59"/>
    <w:rsid w:val="00D21D48"/>
    <w:pPr>
      <w:widowControl w:val="0"/>
      <w:spacing w:after="0" w:line="240" w:lineRule="auto"/>
    </w:pPr>
    <w:rPr>
      <w:rFonts w:ascii="Courier New" w:eastAsia="Courier New" w:hAnsi="Courier New" w:cs="Courier New"/>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
    <w:name w:val="Нет списка81"/>
    <w:next w:val="a5"/>
    <w:uiPriority w:val="99"/>
    <w:semiHidden/>
    <w:unhideWhenUsed/>
    <w:rsid w:val="00D21D48"/>
  </w:style>
  <w:style w:type="table" w:customStyle="1" w:styleId="201">
    <w:name w:val="Сетка таблицы201"/>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4"/>
    <w:next w:val="a7"/>
    <w:uiPriority w:val="3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
    <w:name w:val="Нет списка91"/>
    <w:next w:val="a5"/>
    <w:uiPriority w:val="99"/>
    <w:semiHidden/>
    <w:unhideWhenUsed/>
    <w:rsid w:val="00D21D48"/>
  </w:style>
  <w:style w:type="table" w:customStyle="1" w:styleId="251">
    <w:name w:val="Сетка таблицы251"/>
    <w:basedOn w:val="a4"/>
    <w:next w:val="a7"/>
    <w:uiPriority w:val="59"/>
    <w:rsid w:val="00D21D48"/>
    <w:pPr>
      <w:widowControl w:val="0"/>
      <w:spacing w:after="0" w:line="240" w:lineRule="auto"/>
    </w:pPr>
    <w:rPr>
      <w:rFonts w:ascii="Courier New" w:eastAsia="Courier New" w:hAnsi="Courier New" w:cs="Courier New"/>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4"/>
    <w:next w:val="a7"/>
    <w:uiPriority w:val="59"/>
    <w:rsid w:val="00D21D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
    <w:name w:val="Нет списка1112"/>
    <w:next w:val="a5"/>
    <w:uiPriority w:val="99"/>
    <w:semiHidden/>
    <w:rsid w:val="00D21D48"/>
  </w:style>
  <w:style w:type="table" w:customStyle="1" w:styleId="271">
    <w:name w:val="Сетка таблицы271"/>
    <w:basedOn w:val="a4"/>
    <w:next w:val="a7"/>
    <w:uiPriority w:val="59"/>
    <w:rsid w:val="00D21D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4"/>
    <w:next w:val="a7"/>
    <w:uiPriority w:val="59"/>
    <w:rsid w:val="00D21D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5"/>
    <w:semiHidden/>
    <w:rsid w:val="00D21D48"/>
  </w:style>
  <w:style w:type="numbering" w:customStyle="1" w:styleId="111112">
    <w:name w:val="Нет списка111112"/>
    <w:next w:val="a5"/>
    <w:semiHidden/>
    <w:rsid w:val="00D21D48"/>
  </w:style>
  <w:style w:type="numbering" w:customStyle="1" w:styleId="1111112">
    <w:name w:val="Нет списка1111112"/>
    <w:next w:val="a5"/>
    <w:semiHidden/>
    <w:rsid w:val="00D21D48"/>
  </w:style>
  <w:style w:type="numbering" w:customStyle="1" w:styleId="11111112">
    <w:name w:val="Нет списка11111112"/>
    <w:next w:val="a5"/>
    <w:semiHidden/>
    <w:rsid w:val="00D21D48"/>
  </w:style>
  <w:style w:type="numbering" w:customStyle="1" w:styleId="111111112">
    <w:name w:val="Нет списка111111112"/>
    <w:next w:val="a5"/>
    <w:semiHidden/>
    <w:rsid w:val="00D21D48"/>
  </w:style>
  <w:style w:type="table" w:customStyle="1" w:styleId="291">
    <w:name w:val="Сетка таблицы291"/>
    <w:basedOn w:val="a4"/>
    <w:next w:val="a7"/>
    <w:uiPriority w:val="3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pt0">
    <w:name w:val="Основной текст (2) + 9 pt;Не курсив"/>
    <w:basedOn w:val="2b"/>
    <w:rsid w:val="00D21D48"/>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table" w:customStyle="1" w:styleId="301">
    <w:name w:val="Сетка таблицы301"/>
    <w:basedOn w:val="a4"/>
    <w:next w:val="a7"/>
    <w:uiPriority w:val="39"/>
    <w:rsid w:val="00D21D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
    <w:name w:val="Нет списка1111111111"/>
    <w:next w:val="a5"/>
    <w:semiHidden/>
    <w:rsid w:val="00D21D48"/>
  </w:style>
  <w:style w:type="numbering" w:customStyle="1" w:styleId="11111111111">
    <w:name w:val="Нет списка11111111111"/>
    <w:next w:val="a5"/>
    <w:semiHidden/>
    <w:rsid w:val="00D21D48"/>
  </w:style>
  <w:style w:type="numbering" w:customStyle="1" w:styleId="111111111111">
    <w:name w:val="Нет списка111111111111"/>
    <w:next w:val="a5"/>
    <w:semiHidden/>
    <w:rsid w:val="00D21D48"/>
  </w:style>
  <w:style w:type="character" w:customStyle="1" w:styleId="6105pt">
    <w:name w:val="Основной текст (6) + 10;5 pt"/>
    <w:basedOn w:val="a3"/>
    <w:rsid w:val="00730472"/>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46">
    <w:name w:val="Основной текст (4)_"/>
    <w:basedOn w:val="a3"/>
    <w:link w:val="47"/>
    <w:rsid w:val="00730472"/>
    <w:rPr>
      <w:rFonts w:eastAsia="Times New Roman" w:cs="Times New Roman"/>
      <w:b/>
      <w:bCs/>
      <w:sz w:val="24"/>
      <w:szCs w:val="24"/>
      <w:shd w:val="clear" w:color="auto" w:fill="FFFFFF"/>
    </w:rPr>
  </w:style>
  <w:style w:type="paragraph" w:customStyle="1" w:styleId="47">
    <w:name w:val="Основной текст (4)"/>
    <w:basedOn w:val="a2"/>
    <w:link w:val="46"/>
    <w:rsid w:val="00730472"/>
    <w:pPr>
      <w:widowControl w:val="0"/>
      <w:shd w:val="clear" w:color="auto" w:fill="FFFFFF"/>
      <w:spacing w:after="300" w:line="266" w:lineRule="exact"/>
      <w:jc w:val="center"/>
    </w:pPr>
    <w:rPr>
      <w:rFonts w:eastAsia="Times New Roman" w:cs="Times New Roman"/>
      <w:b/>
      <w:bCs/>
      <w:sz w:val="24"/>
      <w:szCs w:val="24"/>
    </w:rPr>
  </w:style>
  <w:style w:type="paragraph" w:customStyle="1" w:styleId="affffff2">
    <w:name w:val="Заголовок таблицы"/>
    <w:basedOn w:val="a2"/>
    <w:next w:val="a2"/>
    <w:link w:val="affffff3"/>
    <w:qFormat/>
    <w:rsid w:val="00730472"/>
    <w:pPr>
      <w:keepNext/>
      <w:tabs>
        <w:tab w:val="decimal" w:pos="907"/>
      </w:tabs>
      <w:spacing w:before="60" w:after="60" w:line="240" w:lineRule="auto"/>
      <w:jc w:val="center"/>
      <w:outlineLvl w:val="3"/>
    </w:pPr>
    <w:rPr>
      <w:rFonts w:ascii="Arial" w:eastAsia="Times New Roman" w:hAnsi="Arial" w:cs="Times New Roman"/>
      <w:b/>
      <w:sz w:val="20"/>
      <w:szCs w:val="18"/>
      <w:lang w:val="x-none" w:eastAsia="x-none"/>
    </w:rPr>
  </w:style>
  <w:style w:type="character" w:customStyle="1" w:styleId="affffff3">
    <w:name w:val="Заголовок таблицы Знак"/>
    <w:link w:val="affffff2"/>
    <w:rsid w:val="00730472"/>
    <w:rPr>
      <w:rFonts w:ascii="Arial" w:eastAsia="Times New Roman" w:hAnsi="Arial" w:cs="Times New Roman"/>
      <w:b/>
      <w:sz w:val="20"/>
      <w:szCs w:val="18"/>
      <w:lang w:val="x-none" w:eastAsia="x-none"/>
    </w:rPr>
  </w:style>
  <w:style w:type="paragraph" w:customStyle="1" w:styleId="affffff4">
    <w:name w:val="Текст (цнтр)"/>
    <w:basedOn w:val="a2"/>
    <w:next w:val="a2"/>
    <w:link w:val="affffff5"/>
    <w:rsid w:val="00730472"/>
    <w:pPr>
      <w:spacing w:after="60" w:line="240" w:lineRule="auto"/>
      <w:jc w:val="center"/>
    </w:pPr>
    <w:rPr>
      <w:rFonts w:ascii="Arial" w:eastAsia="Times New Roman" w:hAnsi="Arial" w:cs="Times New Roman"/>
      <w:sz w:val="18"/>
      <w:szCs w:val="20"/>
      <w:lang w:eastAsia="ru-RU"/>
    </w:rPr>
  </w:style>
  <w:style w:type="character" w:customStyle="1" w:styleId="affffff5">
    <w:name w:val="Текст (цнтр) Знак"/>
    <w:basedOn w:val="a3"/>
    <w:link w:val="affffff4"/>
    <w:rsid w:val="00730472"/>
    <w:rPr>
      <w:rFonts w:ascii="Arial" w:eastAsia="Times New Roman" w:hAnsi="Arial" w:cs="Times New Roman"/>
      <w:sz w:val="18"/>
      <w:szCs w:val="20"/>
      <w:lang w:eastAsia="ru-RU"/>
    </w:rPr>
  </w:style>
  <w:style w:type="paragraph" w:customStyle="1" w:styleId="advertising">
    <w:name w:val="advertising"/>
    <w:basedOn w:val="a2"/>
    <w:rsid w:val="00B43F9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rsid w:val="00872F06"/>
  </w:style>
  <w:style w:type="paragraph" w:customStyle="1" w:styleId="8f4506aa708e2a26msolistparagraph">
    <w:name w:val="8f4506aa708e2a26msolistparagraph"/>
    <w:basedOn w:val="a2"/>
    <w:rsid w:val="001275D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9">
    <w:name w:val="xl79"/>
    <w:basedOn w:val="a2"/>
    <w:rsid w:val="007B510D"/>
    <w:pPr>
      <w:pBdr>
        <w:top w:val="single" w:sz="4" w:space="0" w:color="auto"/>
        <w:left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2"/>
    <w:rsid w:val="007B51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1">
    <w:name w:val="xl81"/>
    <w:basedOn w:val="a2"/>
    <w:rsid w:val="007B510D"/>
    <w:pPr>
      <w:pBdr>
        <w:top w:val="single" w:sz="4" w:space="0" w:color="auto"/>
        <w:left w:val="double" w:sz="6"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2"/>
    <w:rsid w:val="007B510D"/>
    <w:pPr>
      <w:pBdr>
        <w:top w:val="single" w:sz="4" w:space="0" w:color="auto"/>
        <w:left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3">
    <w:name w:val="xl83"/>
    <w:basedOn w:val="a2"/>
    <w:rsid w:val="007B510D"/>
    <w:pPr>
      <w:pBdr>
        <w:top w:val="single" w:sz="4" w:space="0" w:color="auto"/>
        <w:left w:val="double" w:sz="6"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4">
    <w:name w:val="xl84"/>
    <w:basedOn w:val="a2"/>
    <w:rsid w:val="007B510D"/>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2"/>
    <w:rsid w:val="007B510D"/>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6">
    <w:name w:val="xl86"/>
    <w:basedOn w:val="a2"/>
    <w:rsid w:val="007B510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7">
    <w:name w:val="xl87"/>
    <w:basedOn w:val="a2"/>
    <w:rsid w:val="007B510D"/>
    <w:pPr>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88">
    <w:name w:val="xl88"/>
    <w:basedOn w:val="a2"/>
    <w:rsid w:val="007B510D"/>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9">
    <w:name w:val="xl89"/>
    <w:basedOn w:val="a2"/>
    <w:rsid w:val="007B510D"/>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0">
    <w:name w:val="xl90"/>
    <w:basedOn w:val="a2"/>
    <w:rsid w:val="007B510D"/>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11111112">
    <w:name w:val="Нет списка1111111112"/>
    <w:next w:val="a5"/>
    <w:semiHidden/>
    <w:rsid w:val="008B05C4"/>
  </w:style>
  <w:style w:type="numbering" w:customStyle="1" w:styleId="11111111112">
    <w:name w:val="Нет списка11111111112"/>
    <w:next w:val="a5"/>
    <w:semiHidden/>
    <w:rsid w:val="008B05C4"/>
  </w:style>
  <w:style w:type="numbering" w:customStyle="1" w:styleId="111111111112">
    <w:name w:val="Нет списка111111111112"/>
    <w:next w:val="a5"/>
    <w:semiHidden/>
    <w:rsid w:val="008B05C4"/>
  </w:style>
  <w:style w:type="numbering" w:customStyle="1" w:styleId="1111111111111">
    <w:name w:val="Нет списка1111111111111"/>
    <w:next w:val="a5"/>
    <w:semiHidden/>
    <w:rsid w:val="008B05C4"/>
  </w:style>
  <w:style w:type="numbering" w:customStyle="1" w:styleId="11111111111111">
    <w:name w:val="Нет списка11111111111111"/>
    <w:next w:val="a5"/>
    <w:semiHidden/>
    <w:rsid w:val="008B05C4"/>
  </w:style>
  <w:style w:type="numbering" w:customStyle="1" w:styleId="111111111111111">
    <w:name w:val="Нет списка111111111111111"/>
    <w:next w:val="a5"/>
    <w:semiHidden/>
    <w:rsid w:val="008B05C4"/>
  </w:style>
  <w:style w:type="numbering" w:customStyle="1" w:styleId="1011">
    <w:name w:val="Нет списка101"/>
    <w:next w:val="a5"/>
    <w:uiPriority w:val="99"/>
    <w:semiHidden/>
    <w:unhideWhenUsed/>
    <w:rsid w:val="008B05C4"/>
  </w:style>
  <w:style w:type="numbering" w:customStyle="1" w:styleId="1210">
    <w:name w:val="Нет списка121"/>
    <w:next w:val="a5"/>
    <w:uiPriority w:val="99"/>
    <w:semiHidden/>
    <w:unhideWhenUsed/>
    <w:rsid w:val="008B05C4"/>
  </w:style>
  <w:style w:type="numbering" w:customStyle="1" w:styleId="2112">
    <w:name w:val="Нет списка211"/>
    <w:next w:val="a5"/>
    <w:uiPriority w:val="99"/>
    <w:semiHidden/>
    <w:unhideWhenUsed/>
    <w:rsid w:val="008B05C4"/>
  </w:style>
  <w:style w:type="numbering" w:customStyle="1" w:styleId="11210">
    <w:name w:val="Нет списка1121"/>
    <w:next w:val="a5"/>
    <w:uiPriority w:val="99"/>
    <w:semiHidden/>
    <w:rsid w:val="008B05C4"/>
  </w:style>
  <w:style w:type="numbering" w:customStyle="1" w:styleId="3111">
    <w:name w:val="Нет списка311"/>
    <w:next w:val="a5"/>
    <w:uiPriority w:val="99"/>
    <w:semiHidden/>
    <w:unhideWhenUsed/>
    <w:rsid w:val="008B05C4"/>
  </w:style>
  <w:style w:type="numbering" w:customStyle="1" w:styleId="4111">
    <w:name w:val="Нет списка411"/>
    <w:next w:val="a5"/>
    <w:uiPriority w:val="99"/>
    <w:semiHidden/>
    <w:unhideWhenUsed/>
    <w:rsid w:val="008B05C4"/>
  </w:style>
  <w:style w:type="numbering" w:customStyle="1" w:styleId="5111">
    <w:name w:val="Нет списка511"/>
    <w:next w:val="a5"/>
    <w:uiPriority w:val="99"/>
    <w:semiHidden/>
    <w:unhideWhenUsed/>
    <w:rsid w:val="008B05C4"/>
  </w:style>
  <w:style w:type="numbering" w:customStyle="1" w:styleId="6111">
    <w:name w:val="Нет списка611"/>
    <w:next w:val="a5"/>
    <w:uiPriority w:val="99"/>
    <w:semiHidden/>
    <w:unhideWhenUsed/>
    <w:rsid w:val="008B05C4"/>
  </w:style>
  <w:style w:type="numbering" w:customStyle="1" w:styleId="7110">
    <w:name w:val="Нет списка711"/>
    <w:next w:val="a5"/>
    <w:uiPriority w:val="99"/>
    <w:semiHidden/>
    <w:unhideWhenUsed/>
    <w:rsid w:val="008B05C4"/>
  </w:style>
  <w:style w:type="numbering" w:customStyle="1" w:styleId="8110">
    <w:name w:val="Нет списка811"/>
    <w:next w:val="a5"/>
    <w:uiPriority w:val="99"/>
    <w:semiHidden/>
    <w:unhideWhenUsed/>
    <w:rsid w:val="008B05C4"/>
  </w:style>
  <w:style w:type="numbering" w:customStyle="1" w:styleId="9110">
    <w:name w:val="Нет списка911"/>
    <w:next w:val="a5"/>
    <w:uiPriority w:val="99"/>
    <w:semiHidden/>
    <w:unhideWhenUsed/>
    <w:rsid w:val="008B05C4"/>
  </w:style>
  <w:style w:type="numbering" w:customStyle="1" w:styleId="11121">
    <w:name w:val="Нет списка11121"/>
    <w:next w:val="a5"/>
    <w:uiPriority w:val="99"/>
    <w:semiHidden/>
    <w:rsid w:val="008B05C4"/>
  </w:style>
  <w:style w:type="numbering" w:customStyle="1" w:styleId="111121">
    <w:name w:val="Нет списка111121"/>
    <w:next w:val="a5"/>
    <w:semiHidden/>
    <w:rsid w:val="008B05C4"/>
  </w:style>
  <w:style w:type="numbering" w:customStyle="1" w:styleId="1111121">
    <w:name w:val="Нет списка1111121"/>
    <w:next w:val="a5"/>
    <w:semiHidden/>
    <w:rsid w:val="008B05C4"/>
  </w:style>
  <w:style w:type="numbering" w:customStyle="1" w:styleId="11111121">
    <w:name w:val="Нет списка11111121"/>
    <w:next w:val="a5"/>
    <w:semiHidden/>
    <w:rsid w:val="008B05C4"/>
  </w:style>
  <w:style w:type="numbering" w:customStyle="1" w:styleId="111111121">
    <w:name w:val="Нет списка111111121"/>
    <w:next w:val="a5"/>
    <w:semiHidden/>
    <w:rsid w:val="008B05C4"/>
  </w:style>
  <w:style w:type="numbering" w:customStyle="1" w:styleId="1111111121">
    <w:name w:val="Нет списка1111111121"/>
    <w:next w:val="a5"/>
    <w:semiHidden/>
    <w:rsid w:val="008B05C4"/>
  </w:style>
  <w:style w:type="paragraph" w:customStyle="1" w:styleId="xl91">
    <w:name w:val="xl91"/>
    <w:basedOn w:val="a2"/>
    <w:rsid w:val="008B05C4"/>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2">
    <w:name w:val="xl92"/>
    <w:basedOn w:val="a2"/>
    <w:rsid w:val="008B05C4"/>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2"/>
    <w:rsid w:val="008B05C4"/>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4">
    <w:name w:val="xl94"/>
    <w:basedOn w:val="a2"/>
    <w:rsid w:val="008B05C4"/>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5">
    <w:name w:val="xl95"/>
    <w:basedOn w:val="a2"/>
    <w:rsid w:val="008B05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111111121">
    <w:name w:val="Нет списка11111111121"/>
    <w:next w:val="a5"/>
    <w:semiHidden/>
    <w:rsid w:val="008B05C4"/>
  </w:style>
  <w:style w:type="numbering" w:customStyle="1" w:styleId="111111111121">
    <w:name w:val="Нет списка111111111121"/>
    <w:next w:val="a5"/>
    <w:semiHidden/>
    <w:rsid w:val="008B05C4"/>
  </w:style>
  <w:style w:type="numbering" w:customStyle="1" w:styleId="10110">
    <w:name w:val="Нет списка1011"/>
    <w:next w:val="a5"/>
    <w:uiPriority w:val="99"/>
    <w:semiHidden/>
    <w:unhideWhenUsed/>
    <w:rsid w:val="008B05C4"/>
  </w:style>
  <w:style w:type="numbering" w:customStyle="1" w:styleId="12110">
    <w:name w:val="Нет списка1211"/>
    <w:next w:val="a5"/>
    <w:uiPriority w:val="99"/>
    <w:semiHidden/>
    <w:unhideWhenUsed/>
    <w:rsid w:val="008B05C4"/>
  </w:style>
  <w:style w:type="numbering" w:customStyle="1" w:styleId="21110">
    <w:name w:val="Нет списка2111"/>
    <w:next w:val="a5"/>
    <w:uiPriority w:val="99"/>
    <w:semiHidden/>
    <w:unhideWhenUsed/>
    <w:rsid w:val="008B05C4"/>
  </w:style>
  <w:style w:type="numbering" w:customStyle="1" w:styleId="11211">
    <w:name w:val="Нет списка11211"/>
    <w:next w:val="a5"/>
    <w:uiPriority w:val="99"/>
    <w:semiHidden/>
    <w:rsid w:val="008B05C4"/>
  </w:style>
  <w:style w:type="numbering" w:customStyle="1" w:styleId="31110">
    <w:name w:val="Нет списка3111"/>
    <w:next w:val="a5"/>
    <w:uiPriority w:val="99"/>
    <w:semiHidden/>
    <w:unhideWhenUsed/>
    <w:rsid w:val="008B05C4"/>
  </w:style>
  <w:style w:type="numbering" w:customStyle="1" w:styleId="41110">
    <w:name w:val="Нет списка4111"/>
    <w:next w:val="a5"/>
    <w:uiPriority w:val="99"/>
    <w:semiHidden/>
    <w:unhideWhenUsed/>
    <w:rsid w:val="008B05C4"/>
  </w:style>
  <w:style w:type="numbering" w:customStyle="1" w:styleId="51110">
    <w:name w:val="Нет списка5111"/>
    <w:next w:val="a5"/>
    <w:uiPriority w:val="99"/>
    <w:semiHidden/>
    <w:unhideWhenUsed/>
    <w:rsid w:val="008B05C4"/>
  </w:style>
  <w:style w:type="numbering" w:customStyle="1" w:styleId="61110">
    <w:name w:val="Нет списка6111"/>
    <w:next w:val="a5"/>
    <w:uiPriority w:val="99"/>
    <w:semiHidden/>
    <w:unhideWhenUsed/>
    <w:rsid w:val="008B05C4"/>
  </w:style>
  <w:style w:type="numbering" w:customStyle="1" w:styleId="7111">
    <w:name w:val="Нет списка7111"/>
    <w:next w:val="a5"/>
    <w:uiPriority w:val="99"/>
    <w:semiHidden/>
    <w:unhideWhenUsed/>
    <w:rsid w:val="008B05C4"/>
  </w:style>
  <w:style w:type="numbering" w:customStyle="1" w:styleId="8111">
    <w:name w:val="Нет списка8111"/>
    <w:next w:val="a5"/>
    <w:uiPriority w:val="99"/>
    <w:semiHidden/>
    <w:unhideWhenUsed/>
    <w:rsid w:val="008B05C4"/>
  </w:style>
  <w:style w:type="numbering" w:customStyle="1" w:styleId="9111">
    <w:name w:val="Нет списка9111"/>
    <w:next w:val="a5"/>
    <w:uiPriority w:val="99"/>
    <w:semiHidden/>
    <w:unhideWhenUsed/>
    <w:rsid w:val="008B05C4"/>
  </w:style>
  <w:style w:type="numbering" w:customStyle="1" w:styleId="111211">
    <w:name w:val="Нет списка111211"/>
    <w:next w:val="a5"/>
    <w:uiPriority w:val="99"/>
    <w:semiHidden/>
    <w:rsid w:val="008B05C4"/>
  </w:style>
  <w:style w:type="numbering" w:customStyle="1" w:styleId="1111211">
    <w:name w:val="Нет списка1111211"/>
    <w:next w:val="a5"/>
    <w:semiHidden/>
    <w:rsid w:val="008B05C4"/>
  </w:style>
  <w:style w:type="numbering" w:customStyle="1" w:styleId="11111211">
    <w:name w:val="Нет списка11111211"/>
    <w:next w:val="a5"/>
    <w:semiHidden/>
    <w:rsid w:val="008B05C4"/>
  </w:style>
  <w:style w:type="numbering" w:customStyle="1" w:styleId="111111211">
    <w:name w:val="Нет списка111111211"/>
    <w:next w:val="a5"/>
    <w:semiHidden/>
    <w:rsid w:val="008B05C4"/>
  </w:style>
  <w:style w:type="numbering" w:customStyle="1" w:styleId="1111111211">
    <w:name w:val="Нет списка1111111211"/>
    <w:next w:val="a5"/>
    <w:semiHidden/>
    <w:rsid w:val="008B05C4"/>
  </w:style>
  <w:style w:type="numbering" w:customStyle="1" w:styleId="11111111211">
    <w:name w:val="Нет списка11111111211"/>
    <w:next w:val="a5"/>
    <w:semiHidden/>
    <w:rsid w:val="008B05C4"/>
  </w:style>
  <w:style w:type="character" w:customStyle="1" w:styleId="markedcontent">
    <w:name w:val="markedcontent"/>
    <w:basedOn w:val="a3"/>
    <w:rsid w:val="008B05C4"/>
  </w:style>
  <w:style w:type="character" w:customStyle="1" w:styleId="sectiontitle">
    <w:name w:val="section__title"/>
    <w:basedOn w:val="a3"/>
    <w:rsid w:val="008B05C4"/>
  </w:style>
  <w:style w:type="character" w:customStyle="1" w:styleId="text-break">
    <w:name w:val="text-break"/>
    <w:basedOn w:val="a3"/>
    <w:rsid w:val="00A6481B"/>
  </w:style>
  <w:style w:type="character" w:customStyle="1" w:styleId="pl-0">
    <w:name w:val="pl-0"/>
    <w:basedOn w:val="a3"/>
    <w:rsid w:val="00A6481B"/>
  </w:style>
  <w:style w:type="character" w:customStyle="1" w:styleId="80">
    <w:name w:val="Заголовок 8 Знак"/>
    <w:basedOn w:val="a3"/>
    <w:link w:val="8"/>
    <w:uiPriority w:val="9"/>
    <w:semiHidden/>
    <w:rsid w:val="0091774C"/>
    <w:rPr>
      <w:rFonts w:asciiTheme="majorHAnsi" w:eastAsiaTheme="majorEastAsia" w:hAnsiTheme="majorHAnsi" w:cstheme="majorBidi"/>
      <w:color w:val="272727" w:themeColor="text1" w:themeTint="D8"/>
      <w:sz w:val="21"/>
      <w:szCs w:val="21"/>
    </w:rPr>
  </w:style>
  <w:style w:type="numbering" w:customStyle="1" w:styleId="132">
    <w:name w:val="Нет списка13"/>
    <w:next w:val="a5"/>
    <w:uiPriority w:val="99"/>
    <w:semiHidden/>
    <w:unhideWhenUsed/>
    <w:rsid w:val="0091774C"/>
  </w:style>
  <w:style w:type="numbering" w:customStyle="1" w:styleId="142">
    <w:name w:val="Нет списка14"/>
    <w:next w:val="a5"/>
    <w:uiPriority w:val="99"/>
    <w:semiHidden/>
    <w:unhideWhenUsed/>
    <w:rsid w:val="0091774C"/>
  </w:style>
  <w:style w:type="table" w:customStyle="1" w:styleId="350">
    <w:name w:val="Сетка таблицы35"/>
    <w:basedOn w:val="a4"/>
    <w:next w:val="a7"/>
    <w:uiPriority w:val="59"/>
    <w:rsid w:val="008A02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Текст сноски Знак1"/>
    <w:aliases w:val="Текст сноски-FN Знак1,Footnote Text Char Знак Знак Знак1,Footnote Text Char Знак Знак2"/>
    <w:basedOn w:val="a3"/>
    <w:uiPriority w:val="99"/>
    <w:semiHidden/>
    <w:rsid w:val="003B464B"/>
    <w:rPr>
      <w:sz w:val="20"/>
      <w:szCs w:val="20"/>
    </w:rPr>
  </w:style>
  <w:style w:type="character" w:customStyle="1" w:styleId="2e">
    <w:name w:val="Название Знак2"/>
    <w:aliases w:val="Название Знак1 Знак2,Название Знак Знак Знак2,Знак2 Знак Знак Знак2,Знак2 Знак1 Знак2,Знак2 Знак1 Знак Знак1,Название Знак1 Знак Знак1,Название Знак Знак Знак Знак1,Знак2 Знак Знак Знак Знак1,Знак Знак3 Знак,Знак Знак Знак Зн Знак"/>
    <w:basedOn w:val="a3"/>
    <w:rsid w:val="003B464B"/>
    <w:rPr>
      <w:rFonts w:asciiTheme="majorHAnsi" w:eastAsiaTheme="majorEastAsia" w:hAnsiTheme="majorHAnsi" w:cstheme="majorBidi"/>
      <w:spacing w:val="-10"/>
      <w:kern w:val="28"/>
      <w:sz w:val="56"/>
      <w:szCs w:val="56"/>
    </w:rPr>
  </w:style>
  <w:style w:type="character" w:customStyle="1" w:styleId="1f2">
    <w:name w:val="Основной текст Знак1"/>
    <w:aliases w:val="Òàáë òåêñò Знак1,Знак Знак1"/>
    <w:basedOn w:val="a3"/>
    <w:semiHidden/>
    <w:rsid w:val="003B464B"/>
  </w:style>
  <w:style w:type="character" w:customStyle="1" w:styleId="114">
    <w:name w:val="Основной текст + 11"/>
    <w:aliases w:val="5 pt"/>
    <w:basedOn w:val="a3"/>
    <w:rsid w:val="003B464B"/>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8pt">
    <w:name w:val="Основной текст + 8 pt"/>
    <w:aliases w:val="Интервал 0 pt"/>
    <w:rsid w:val="003B464B"/>
    <w:rPr>
      <w:rFonts w:ascii="Times New Roman" w:eastAsia="Times New Roman" w:hAnsi="Times New Roman" w:cs="Times New Roman" w:hint="default"/>
      <w:color w:val="000000"/>
      <w:spacing w:val="3"/>
      <w:w w:val="100"/>
      <w:position w:val="0"/>
      <w:sz w:val="16"/>
      <w:szCs w:val="16"/>
      <w:shd w:val="clear" w:color="auto" w:fill="FFFFFF"/>
      <w:lang w:val="ru-RU"/>
    </w:rPr>
  </w:style>
  <w:style w:type="character" w:customStyle="1" w:styleId="29pt1">
    <w:name w:val="Основной текст (2) + 9 pt"/>
    <w:aliases w:val="Курсив"/>
    <w:basedOn w:val="2b"/>
    <w:rsid w:val="003B464B"/>
    <w:rPr>
      <w:rFonts w:ascii="Times New Roman" w:eastAsia="Times New Roman" w:hAnsi="Times New Roman" w:cs="Times New Roman"/>
      <w:b w:val="0"/>
      <w:bCs w:val="0"/>
      <w:i/>
      <w:iCs/>
      <w:smallCaps w:val="0"/>
      <w:strike w:val="0"/>
      <w:dstrike w:val="0"/>
      <w:color w:val="000000"/>
      <w:spacing w:val="0"/>
      <w:w w:val="100"/>
      <w:position w:val="0"/>
      <w:sz w:val="18"/>
      <w:szCs w:val="18"/>
      <w:u w:val="none"/>
      <w:effect w:val="none"/>
      <w:shd w:val="clear" w:color="auto" w:fill="FFFFFF"/>
      <w:lang w:val="ru-RU" w:eastAsia="ru-RU" w:bidi="ru-RU"/>
    </w:rPr>
  </w:style>
  <w:style w:type="table" w:customStyle="1" w:styleId="1140">
    <w:name w:val="Сетка таблицы114"/>
    <w:basedOn w:val="a4"/>
    <w:next w:val="a7"/>
    <w:uiPriority w:val="59"/>
    <w:rsid w:val="003B46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111111">
    <w:name w:val="Нет списка1111111111111111"/>
    <w:next w:val="a5"/>
    <w:semiHidden/>
    <w:rsid w:val="002F7314"/>
  </w:style>
  <w:style w:type="character" w:customStyle="1" w:styleId="affffff6">
    <w:name w:val="Сноска Знак"/>
    <w:rsid w:val="005A472F"/>
    <w:rPr>
      <w:rFonts w:ascii="Arial" w:hAnsi="Arial"/>
      <w:sz w:val="16"/>
    </w:rPr>
  </w:style>
  <w:style w:type="paragraph" w:customStyle="1" w:styleId="xl96">
    <w:name w:val="xl96"/>
    <w:basedOn w:val="a2"/>
    <w:rsid w:val="000A2A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7">
    <w:name w:val="xl97"/>
    <w:basedOn w:val="a2"/>
    <w:rsid w:val="000A2A7A"/>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8">
    <w:name w:val="xl98"/>
    <w:basedOn w:val="a2"/>
    <w:rsid w:val="000A2A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9">
    <w:name w:val="xl99"/>
    <w:basedOn w:val="a2"/>
    <w:rsid w:val="000A2A7A"/>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0">
    <w:name w:val="xl100"/>
    <w:basedOn w:val="a2"/>
    <w:rsid w:val="000A2A7A"/>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1">
    <w:name w:val="xl101"/>
    <w:basedOn w:val="a2"/>
    <w:rsid w:val="000A2A7A"/>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52">
    <w:name w:val="Нет списка15"/>
    <w:next w:val="a5"/>
    <w:uiPriority w:val="99"/>
    <w:semiHidden/>
    <w:unhideWhenUsed/>
    <w:rsid w:val="000A2A7A"/>
  </w:style>
  <w:style w:type="character" w:customStyle="1" w:styleId="ConsPlusNonformat1">
    <w:name w:val="ConsPlusNonformat1"/>
    <w:uiPriority w:val="99"/>
    <w:locked/>
    <w:rsid w:val="002B392F"/>
    <w:rPr>
      <w:rFonts w:ascii="Courier New" w:eastAsia="Times New Roman" w:hAnsi="Courier New" w:cs="Courier New"/>
      <w:sz w:val="20"/>
      <w:szCs w:val="20"/>
      <w:lang w:eastAsia="ru-RU"/>
    </w:rPr>
  </w:style>
  <w:style w:type="table" w:customStyle="1" w:styleId="2130">
    <w:name w:val="Сетка таблицы213"/>
    <w:basedOn w:val="a4"/>
    <w:uiPriority w:val="39"/>
    <w:rsid w:val="001F66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4"/>
    <w:next w:val="a7"/>
    <w:uiPriority w:val="39"/>
    <w:rsid w:val="00796E6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85486">
      <w:bodyDiv w:val="1"/>
      <w:marLeft w:val="0"/>
      <w:marRight w:val="0"/>
      <w:marTop w:val="0"/>
      <w:marBottom w:val="0"/>
      <w:divBdr>
        <w:top w:val="none" w:sz="0" w:space="0" w:color="auto"/>
        <w:left w:val="none" w:sz="0" w:space="0" w:color="auto"/>
        <w:bottom w:val="none" w:sz="0" w:space="0" w:color="auto"/>
        <w:right w:val="none" w:sz="0" w:space="0" w:color="auto"/>
      </w:divBdr>
    </w:div>
    <w:div w:id="79765998">
      <w:bodyDiv w:val="1"/>
      <w:marLeft w:val="0"/>
      <w:marRight w:val="0"/>
      <w:marTop w:val="0"/>
      <w:marBottom w:val="0"/>
      <w:divBdr>
        <w:top w:val="none" w:sz="0" w:space="0" w:color="auto"/>
        <w:left w:val="none" w:sz="0" w:space="0" w:color="auto"/>
        <w:bottom w:val="none" w:sz="0" w:space="0" w:color="auto"/>
        <w:right w:val="none" w:sz="0" w:space="0" w:color="auto"/>
      </w:divBdr>
    </w:div>
    <w:div w:id="301547359">
      <w:bodyDiv w:val="1"/>
      <w:marLeft w:val="0"/>
      <w:marRight w:val="0"/>
      <w:marTop w:val="0"/>
      <w:marBottom w:val="0"/>
      <w:divBdr>
        <w:top w:val="none" w:sz="0" w:space="0" w:color="auto"/>
        <w:left w:val="none" w:sz="0" w:space="0" w:color="auto"/>
        <w:bottom w:val="none" w:sz="0" w:space="0" w:color="auto"/>
        <w:right w:val="none" w:sz="0" w:space="0" w:color="auto"/>
      </w:divBdr>
    </w:div>
    <w:div w:id="467284947">
      <w:bodyDiv w:val="1"/>
      <w:marLeft w:val="0"/>
      <w:marRight w:val="0"/>
      <w:marTop w:val="0"/>
      <w:marBottom w:val="0"/>
      <w:divBdr>
        <w:top w:val="none" w:sz="0" w:space="0" w:color="auto"/>
        <w:left w:val="none" w:sz="0" w:space="0" w:color="auto"/>
        <w:bottom w:val="none" w:sz="0" w:space="0" w:color="auto"/>
        <w:right w:val="none" w:sz="0" w:space="0" w:color="auto"/>
      </w:divBdr>
    </w:div>
    <w:div w:id="499348661">
      <w:bodyDiv w:val="1"/>
      <w:marLeft w:val="0"/>
      <w:marRight w:val="0"/>
      <w:marTop w:val="0"/>
      <w:marBottom w:val="0"/>
      <w:divBdr>
        <w:top w:val="none" w:sz="0" w:space="0" w:color="auto"/>
        <w:left w:val="none" w:sz="0" w:space="0" w:color="auto"/>
        <w:bottom w:val="none" w:sz="0" w:space="0" w:color="auto"/>
        <w:right w:val="none" w:sz="0" w:space="0" w:color="auto"/>
      </w:divBdr>
    </w:div>
    <w:div w:id="544373372">
      <w:bodyDiv w:val="1"/>
      <w:marLeft w:val="0"/>
      <w:marRight w:val="0"/>
      <w:marTop w:val="0"/>
      <w:marBottom w:val="0"/>
      <w:divBdr>
        <w:top w:val="none" w:sz="0" w:space="0" w:color="auto"/>
        <w:left w:val="none" w:sz="0" w:space="0" w:color="auto"/>
        <w:bottom w:val="none" w:sz="0" w:space="0" w:color="auto"/>
        <w:right w:val="none" w:sz="0" w:space="0" w:color="auto"/>
      </w:divBdr>
    </w:div>
    <w:div w:id="763453233">
      <w:bodyDiv w:val="1"/>
      <w:marLeft w:val="0"/>
      <w:marRight w:val="0"/>
      <w:marTop w:val="0"/>
      <w:marBottom w:val="0"/>
      <w:divBdr>
        <w:top w:val="none" w:sz="0" w:space="0" w:color="auto"/>
        <w:left w:val="none" w:sz="0" w:space="0" w:color="auto"/>
        <w:bottom w:val="none" w:sz="0" w:space="0" w:color="auto"/>
        <w:right w:val="none" w:sz="0" w:space="0" w:color="auto"/>
      </w:divBdr>
    </w:div>
    <w:div w:id="827090421">
      <w:bodyDiv w:val="1"/>
      <w:marLeft w:val="0"/>
      <w:marRight w:val="0"/>
      <w:marTop w:val="0"/>
      <w:marBottom w:val="0"/>
      <w:divBdr>
        <w:top w:val="none" w:sz="0" w:space="0" w:color="auto"/>
        <w:left w:val="none" w:sz="0" w:space="0" w:color="auto"/>
        <w:bottom w:val="none" w:sz="0" w:space="0" w:color="auto"/>
        <w:right w:val="none" w:sz="0" w:space="0" w:color="auto"/>
      </w:divBdr>
    </w:div>
    <w:div w:id="907613495">
      <w:bodyDiv w:val="1"/>
      <w:marLeft w:val="0"/>
      <w:marRight w:val="0"/>
      <w:marTop w:val="0"/>
      <w:marBottom w:val="0"/>
      <w:divBdr>
        <w:top w:val="none" w:sz="0" w:space="0" w:color="auto"/>
        <w:left w:val="none" w:sz="0" w:space="0" w:color="auto"/>
        <w:bottom w:val="none" w:sz="0" w:space="0" w:color="auto"/>
        <w:right w:val="none" w:sz="0" w:space="0" w:color="auto"/>
      </w:divBdr>
    </w:div>
    <w:div w:id="978192134">
      <w:bodyDiv w:val="1"/>
      <w:marLeft w:val="0"/>
      <w:marRight w:val="0"/>
      <w:marTop w:val="0"/>
      <w:marBottom w:val="0"/>
      <w:divBdr>
        <w:top w:val="none" w:sz="0" w:space="0" w:color="auto"/>
        <w:left w:val="none" w:sz="0" w:space="0" w:color="auto"/>
        <w:bottom w:val="none" w:sz="0" w:space="0" w:color="auto"/>
        <w:right w:val="none" w:sz="0" w:space="0" w:color="auto"/>
      </w:divBdr>
    </w:div>
    <w:div w:id="1015838413">
      <w:bodyDiv w:val="1"/>
      <w:marLeft w:val="0"/>
      <w:marRight w:val="0"/>
      <w:marTop w:val="0"/>
      <w:marBottom w:val="0"/>
      <w:divBdr>
        <w:top w:val="none" w:sz="0" w:space="0" w:color="auto"/>
        <w:left w:val="none" w:sz="0" w:space="0" w:color="auto"/>
        <w:bottom w:val="none" w:sz="0" w:space="0" w:color="auto"/>
        <w:right w:val="none" w:sz="0" w:space="0" w:color="auto"/>
      </w:divBdr>
    </w:div>
    <w:div w:id="1017579961">
      <w:bodyDiv w:val="1"/>
      <w:marLeft w:val="0"/>
      <w:marRight w:val="0"/>
      <w:marTop w:val="0"/>
      <w:marBottom w:val="0"/>
      <w:divBdr>
        <w:top w:val="none" w:sz="0" w:space="0" w:color="auto"/>
        <w:left w:val="none" w:sz="0" w:space="0" w:color="auto"/>
        <w:bottom w:val="none" w:sz="0" w:space="0" w:color="auto"/>
        <w:right w:val="none" w:sz="0" w:space="0" w:color="auto"/>
      </w:divBdr>
    </w:div>
    <w:div w:id="1115829777">
      <w:bodyDiv w:val="1"/>
      <w:marLeft w:val="0"/>
      <w:marRight w:val="0"/>
      <w:marTop w:val="0"/>
      <w:marBottom w:val="0"/>
      <w:divBdr>
        <w:top w:val="none" w:sz="0" w:space="0" w:color="auto"/>
        <w:left w:val="none" w:sz="0" w:space="0" w:color="auto"/>
        <w:bottom w:val="none" w:sz="0" w:space="0" w:color="auto"/>
        <w:right w:val="none" w:sz="0" w:space="0" w:color="auto"/>
      </w:divBdr>
    </w:div>
    <w:div w:id="1245266439">
      <w:bodyDiv w:val="1"/>
      <w:marLeft w:val="0"/>
      <w:marRight w:val="0"/>
      <w:marTop w:val="0"/>
      <w:marBottom w:val="0"/>
      <w:divBdr>
        <w:top w:val="none" w:sz="0" w:space="0" w:color="auto"/>
        <w:left w:val="none" w:sz="0" w:space="0" w:color="auto"/>
        <w:bottom w:val="none" w:sz="0" w:space="0" w:color="auto"/>
        <w:right w:val="none" w:sz="0" w:space="0" w:color="auto"/>
      </w:divBdr>
    </w:div>
    <w:div w:id="1459957563">
      <w:bodyDiv w:val="1"/>
      <w:marLeft w:val="0"/>
      <w:marRight w:val="0"/>
      <w:marTop w:val="0"/>
      <w:marBottom w:val="0"/>
      <w:divBdr>
        <w:top w:val="none" w:sz="0" w:space="0" w:color="auto"/>
        <w:left w:val="none" w:sz="0" w:space="0" w:color="auto"/>
        <w:bottom w:val="none" w:sz="0" w:space="0" w:color="auto"/>
        <w:right w:val="none" w:sz="0" w:space="0" w:color="auto"/>
      </w:divBdr>
    </w:div>
    <w:div w:id="1511991195">
      <w:bodyDiv w:val="1"/>
      <w:marLeft w:val="0"/>
      <w:marRight w:val="0"/>
      <w:marTop w:val="0"/>
      <w:marBottom w:val="0"/>
      <w:divBdr>
        <w:top w:val="none" w:sz="0" w:space="0" w:color="auto"/>
        <w:left w:val="none" w:sz="0" w:space="0" w:color="auto"/>
        <w:bottom w:val="none" w:sz="0" w:space="0" w:color="auto"/>
        <w:right w:val="none" w:sz="0" w:space="0" w:color="auto"/>
      </w:divBdr>
    </w:div>
    <w:div w:id="1522664722">
      <w:bodyDiv w:val="1"/>
      <w:marLeft w:val="0"/>
      <w:marRight w:val="0"/>
      <w:marTop w:val="0"/>
      <w:marBottom w:val="0"/>
      <w:divBdr>
        <w:top w:val="none" w:sz="0" w:space="0" w:color="auto"/>
        <w:left w:val="none" w:sz="0" w:space="0" w:color="auto"/>
        <w:bottom w:val="none" w:sz="0" w:space="0" w:color="auto"/>
        <w:right w:val="none" w:sz="0" w:space="0" w:color="auto"/>
      </w:divBdr>
    </w:div>
    <w:div w:id="1624313000">
      <w:bodyDiv w:val="1"/>
      <w:marLeft w:val="0"/>
      <w:marRight w:val="0"/>
      <w:marTop w:val="0"/>
      <w:marBottom w:val="0"/>
      <w:divBdr>
        <w:top w:val="none" w:sz="0" w:space="0" w:color="auto"/>
        <w:left w:val="none" w:sz="0" w:space="0" w:color="auto"/>
        <w:bottom w:val="none" w:sz="0" w:space="0" w:color="auto"/>
        <w:right w:val="none" w:sz="0" w:space="0" w:color="auto"/>
      </w:divBdr>
    </w:div>
    <w:div w:id="1779912161">
      <w:bodyDiv w:val="1"/>
      <w:marLeft w:val="0"/>
      <w:marRight w:val="0"/>
      <w:marTop w:val="0"/>
      <w:marBottom w:val="0"/>
      <w:divBdr>
        <w:top w:val="none" w:sz="0" w:space="0" w:color="auto"/>
        <w:left w:val="none" w:sz="0" w:space="0" w:color="auto"/>
        <w:bottom w:val="none" w:sz="0" w:space="0" w:color="auto"/>
        <w:right w:val="none" w:sz="0" w:space="0" w:color="auto"/>
      </w:divBdr>
    </w:div>
    <w:div w:id="1814517406">
      <w:bodyDiv w:val="1"/>
      <w:marLeft w:val="0"/>
      <w:marRight w:val="0"/>
      <w:marTop w:val="0"/>
      <w:marBottom w:val="0"/>
      <w:divBdr>
        <w:top w:val="none" w:sz="0" w:space="0" w:color="auto"/>
        <w:left w:val="none" w:sz="0" w:space="0" w:color="auto"/>
        <w:bottom w:val="none" w:sz="0" w:space="0" w:color="auto"/>
        <w:right w:val="none" w:sz="0" w:space="0" w:color="auto"/>
      </w:divBdr>
    </w:div>
    <w:div w:id="1821652070">
      <w:bodyDiv w:val="1"/>
      <w:marLeft w:val="0"/>
      <w:marRight w:val="0"/>
      <w:marTop w:val="0"/>
      <w:marBottom w:val="0"/>
      <w:divBdr>
        <w:top w:val="none" w:sz="0" w:space="0" w:color="auto"/>
        <w:left w:val="none" w:sz="0" w:space="0" w:color="auto"/>
        <w:bottom w:val="none" w:sz="0" w:space="0" w:color="auto"/>
        <w:right w:val="none" w:sz="0" w:space="0" w:color="auto"/>
      </w:divBdr>
    </w:div>
    <w:div w:id="2004354955">
      <w:bodyDiv w:val="1"/>
      <w:marLeft w:val="0"/>
      <w:marRight w:val="0"/>
      <w:marTop w:val="0"/>
      <w:marBottom w:val="0"/>
      <w:divBdr>
        <w:top w:val="none" w:sz="0" w:space="0" w:color="auto"/>
        <w:left w:val="none" w:sz="0" w:space="0" w:color="auto"/>
        <w:bottom w:val="none" w:sz="0" w:space="0" w:color="auto"/>
        <w:right w:val="none" w:sz="0" w:space="0" w:color="auto"/>
      </w:divBdr>
    </w:div>
    <w:div w:id="2012953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chart" Target="charts/chart2.xml"/><Relationship Id="rId21" Type="http://schemas.openxmlformats.org/officeDocument/2006/relationships/image" Target="media/image11.png"/><Relationship Id="rId34" Type="http://schemas.openxmlformats.org/officeDocument/2006/relationships/chart" Target="charts/chart1.xml"/><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6.jpeg"/><Relationship Id="rId63" Type="http://schemas.openxmlformats.org/officeDocument/2006/relationships/image" Target="media/image43.png"/><Relationship Id="rId68"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garantF1://72085936.40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hyperlink" Target="mailto:333-01.1-39@-&#1042;&#1054;" TargetMode="External"/><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hyperlink" Target="https://velskie-dni.ru/?module=news&amp;action=view&amp;id=7129" TargetMode="External"/><Relationship Id="rId58" Type="http://schemas.openxmlformats.org/officeDocument/2006/relationships/image" Target="media/image38.png"/><Relationship Id="rId66" Type="http://schemas.openxmlformats.org/officeDocument/2006/relationships/image" Target="media/image4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image" Target="media/image2.png"/><Relationship Id="rId19" Type="http://schemas.openxmlformats.org/officeDocument/2006/relationships/hyperlink" Target="consultantplus://offline/ref=663677049C9E57C0BA0BC2F0159250D5481915AF1AAE103E42207C5B3EP5j9H" TargetMode="External"/><Relationship Id="rId31" Type="http://schemas.openxmlformats.org/officeDocument/2006/relationships/hyperlink" Target="garantF1://70544226.111" TargetMode="External"/><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0.png"/><Relationship Id="rId65"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hyperlink" Target="mailto:support@kspao.ru" TargetMode="External"/><Relationship Id="rId14" Type="http://schemas.openxmlformats.org/officeDocument/2006/relationships/image" Target="media/image6.png"/><Relationship Id="rId22" Type="http://schemas.openxmlformats.org/officeDocument/2006/relationships/hyperlink" Target="https://29.rosstat.gov.ru/storage/mediabank/&#1040;&#1054;%20&#1073;&#1077;&#1079;%20&#1053;&#1040;&#1054;.xlsx" TargetMode="External"/><Relationship Id="rId27" Type="http://schemas.openxmlformats.org/officeDocument/2006/relationships/image" Target="media/image16.png"/><Relationship Id="rId30" Type="http://schemas.openxmlformats.org/officeDocument/2006/relationships/hyperlink" Target="garantF1://72085936.0" TargetMode="External"/><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yperlink" Target="https://www.reestr-zalogov.ru" TargetMode="External"/><Relationship Id="rId64" Type="http://schemas.openxmlformats.org/officeDocument/2006/relationships/image" Target="media/image44.png"/><Relationship Id="rId69"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18.png"/><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hyperlink" Target="file:///C:\Users\povse\ustcrb1\Downloads\tkmo_ka%20(1).docx" TargetMode="External"/><Relationship Id="rId41" Type="http://schemas.openxmlformats.org/officeDocument/2006/relationships/image" Target="media/image24.png"/><Relationship Id="rId54" Type="http://schemas.openxmlformats.org/officeDocument/2006/relationships/hyperlink" Target="https://vk.com/wall173905120_426635" TargetMode="External"/><Relationship Id="rId62" Type="http://schemas.openxmlformats.org/officeDocument/2006/relationships/image" Target="media/image42.png"/><Relationship Id="rId70"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29.rosstat.gov.ru/population11001" TargetMode="External"/><Relationship Id="rId13" Type="http://schemas.openxmlformats.org/officeDocument/2006/relationships/hyperlink" Target="https://greater_political.academic.ru/42/" TargetMode="External"/><Relationship Id="rId3" Type="http://schemas.openxmlformats.org/officeDocument/2006/relationships/hyperlink" Target="https://29.rosstat.gov.ru/publication_arh" TargetMode="External"/><Relationship Id="rId7" Type="http://schemas.openxmlformats.org/officeDocument/2006/relationships/hyperlink" Target="https://rosstat.gov.ru/storage/mediabank/sev-zapad_fo_4k-2024.pdf" TargetMode="External"/><Relationship Id="rId12" Type="http://schemas.openxmlformats.org/officeDocument/2006/relationships/hyperlink" Target="https://29.rosstat.gov.ru/population11001" TargetMode="External"/><Relationship Id="rId2" Type="http://schemas.openxmlformats.org/officeDocument/2006/relationships/hyperlink" Target="https://29.rosstat.gov.ru/storage/mediabank/DoclN12(1).pdf" TargetMode="External"/><Relationship Id="rId16" Type="http://schemas.openxmlformats.org/officeDocument/2006/relationships/hyperlink" Target="https://rosstat.gov.ru/storage/mediabank/PrPopul2025_Site.xlsx" TargetMode="External"/><Relationship Id="rId1" Type="http://schemas.openxmlformats.org/officeDocument/2006/relationships/hyperlink" Target="https://rosstat.gov.ru/storage/mediabank/sev-zapad_fo_4k-2024.pdf" TargetMode="External"/><Relationship Id="rId6" Type="http://schemas.openxmlformats.org/officeDocument/2006/relationships/hyperlink" Target="http://www.kremlin.ru/events/president/transcripts/messages/73585" TargetMode="External"/><Relationship Id="rId11" Type="http://schemas.openxmlformats.org/officeDocument/2006/relationships/hyperlink" Target="https://29.rosstat.gov.ru/publication_arh" TargetMode="External"/><Relationship Id="rId5" Type="http://schemas.openxmlformats.org/officeDocument/2006/relationships/hyperlink" Target="https://riarating.ru/infografika/20250324/630278279.html" TargetMode="External"/><Relationship Id="rId15" Type="http://schemas.openxmlformats.org/officeDocument/2006/relationships/hyperlink" Target="https://rosstat.gov.ru/storage/mediabank/OkPopul_Comp2024_Site.xlsx" TargetMode="External"/><Relationship Id="rId10" Type="http://schemas.openxmlformats.org/officeDocument/2006/relationships/hyperlink" Target="https://mayaksbor.ru/news/society/opublikovany_dannye_po_sredney_ozhidaemoy_prodolzhitelnosti_zhizni_rozhdennykh_v_2024_godu/" TargetMode="External"/><Relationship Id="rId4" Type="http://schemas.openxmlformats.org/officeDocument/2006/relationships/hyperlink" Target="https://office.dvinaland.ru/docs/pub/a3b26c03959362844485c4bf123b619f/default/?&amp;" TargetMode="External"/><Relationship Id="rId9" Type="http://schemas.openxmlformats.org/officeDocument/2006/relationships/hyperlink" Target="https://rosstat.gov.ru/folder/12781" TargetMode="External"/><Relationship Id="rId14" Type="http://schemas.openxmlformats.org/officeDocument/2006/relationships/hyperlink" Target="https://regulation.dvinaland.ru/docs/anti-corruption/12118/"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fedotova\Desktop\&#1048;&#1089;&#1087;&#1086;&#1083;%20&#1043;&#1054;%202024\&#1043;&#1055;%20&#1047;&#1053;_&#1080;&#1089;&#1087;%202024\&#1075;&#1088;&#1072;&#1092;&#1080;&#1082;&#1080;%20&#1095;&#1080;&#1089;&#1083;%20&#1073;&#1077;&#1079;&#1088;&#1072;&#1073;.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kuznecova\Desktop\&#1043;&#1086;&#1089;%20&#1087;&#1088;&#1086;&#1075;&#1088;&#1072;&#1084;&#1084;&#1072;&#1052;&#1048;&#1053;%20&#1058;&#1069;&#1050;\!!!%20&#1048;&#1089;&#1087;&#1086;&#1083;&#1085;&#1077;&#1085;&#1080;&#1077;%20&#1073;&#1102;&#1076;&#1078;&#1077;&#1090;&#1072;\4%20&#1079;&#1072;%202024%20&#1075;&#1086;&#1076;\!!!%20&#1043;&#1086;&#1089;&#1087;&#1088;&#1086;&#1075;&#1088;&#1072;&#1084;&#1084;&#1072;%2017%20-%20202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345915973555129E-2"/>
          <c:y val="0.14371318277868936"/>
          <c:w val="0.95308168052889741"/>
          <c:h val="0.56211453328453886"/>
        </c:manualLayout>
      </c:layout>
      <c:lineChart>
        <c:grouping val="standard"/>
        <c:varyColors val="0"/>
        <c:ser>
          <c:idx val="0"/>
          <c:order val="0"/>
          <c:tx>
            <c:strRef>
              <c:f>'факт безраб'!$B$7</c:f>
              <c:strCache>
                <c:ptCount val="1"/>
                <c:pt idx="0">
                  <c:v>Российская Федерация</c:v>
                </c:pt>
              </c:strCache>
            </c:strRef>
          </c:tx>
          <c:marker>
            <c:symbol val="none"/>
          </c:marker>
          <c:dLbls>
            <c:dLbl>
              <c:idx val="6"/>
              <c:layout>
                <c:manualLayout>
                  <c:x val="-7.8196295788222601E-17"/>
                  <c:y val="-8.3958020989505305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8.5306035402004689E-3"/>
                  <c:y val="-7.7961019490254871E-2"/>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2.7724461505651683E-2"/>
                  <c:y val="5.397301349325337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'факт безраб'!$C$6:$N$6</c:f>
              <c:strCache>
                <c:ptCount val="12"/>
                <c:pt idx="0">
                  <c:v>октябрь - декабрь
 2023</c:v>
                </c:pt>
                <c:pt idx="1">
                  <c:v>январь  - март 
2024</c:v>
                </c:pt>
                <c:pt idx="2">
                  <c:v>февраль  - апрель
 2024</c:v>
                </c:pt>
                <c:pt idx="3">
                  <c:v>март  - 
май
 2024</c:v>
                </c:pt>
                <c:pt idx="4">
                  <c:v>апрель  - июнь
 2024</c:v>
                </c:pt>
                <c:pt idx="5">
                  <c:v>май - июль 
2024</c:v>
                </c:pt>
                <c:pt idx="6">
                  <c:v>июнь  - август
 2024</c:v>
                </c:pt>
                <c:pt idx="7">
                  <c:v>июль  - сентябрь
 2024</c:v>
                </c:pt>
                <c:pt idx="8">
                  <c:v>август  - октябрь
 2024</c:v>
                </c:pt>
                <c:pt idx="9">
                  <c:v>сентябрь - ноябрь
 2024</c:v>
                </c:pt>
                <c:pt idx="10">
                  <c:v>октябрь - декабрь
 2024</c:v>
                </c:pt>
                <c:pt idx="11">
                  <c:v>ноябрь 2024 - январь 2025</c:v>
                </c:pt>
              </c:strCache>
            </c:strRef>
          </c:cat>
          <c:val>
            <c:numRef>
              <c:f>'факт безраб'!$C$7:$N$7</c:f>
              <c:numCache>
                <c:formatCode>0.0</c:formatCode>
                <c:ptCount val="12"/>
                <c:pt idx="0">
                  <c:v>2.9</c:v>
                </c:pt>
                <c:pt idx="1">
                  <c:v>2.8</c:v>
                </c:pt>
                <c:pt idx="2">
                  <c:v>2.7</c:v>
                </c:pt>
                <c:pt idx="3">
                  <c:v>2.6</c:v>
                </c:pt>
                <c:pt idx="4">
                  <c:v>2.6</c:v>
                </c:pt>
                <c:pt idx="5">
                  <c:v>2.5</c:v>
                </c:pt>
                <c:pt idx="6">
                  <c:v>2.4</c:v>
                </c:pt>
                <c:pt idx="7">
                  <c:v>2.4</c:v>
                </c:pt>
                <c:pt idx="8">
                  <c:v>2.4</c:v>
                </c:pt>
                <c:pt idx="9">
                  <c:v>2.2999999999999998</c:v>
                </c:pt>
                <c:pt idx="10">
                  <c:v>2.2999999999999998</c:v>
                </c:pt>
                <c:pt idx="11">
                  <c:v>2.4</c:v>
                </c:pt>
              </c:numCache>
            </c:numRef>
          </c:val>
          <c:smooth val="0"/>
          <c:extLst xmlns:c16r2="http://schemas.microsoft.com/office/drawing/2015/06/chart">
            <c:ext xmlns:c16="http://schemas.microsoft.com/office/drawing/2014/chart" uri="{C3380CC4-5D6E-409C-BE32-E72D297353CC}">
              <c16:uniqueId val="{00000000-533D-4E05-98FC-3FDF4736718C}"/>
            </c:ext>
          </c:extLst>
        </c:ser>
        <c:ser>
          <c:idx val="1"/>
          <c:order val="1"/>
          <c:tx>
            <c:strRef>
              <c:f>'факт безраб'!$B$8</c:f>
              <c:strCache>
                <c:ptCount val="1"/>
                <c:pt idx="0">
                  <c:v>Архангельская область без НАО</c:v>
                </c:pt>
              </c:strCache>
            </c:strRef>
          </c:tx>
          <c:marker>
            <c:symbol val="none"/>
          </c:marker>
          <c:dLbls>
            <c:dLbl>
              <c:idx val="2"/>
              <c:spPr>
                <a:noFill/>
                <a:ln>
                  <a:noFill/>
                </a:ln>
                <a:effectLst/>
              </c:spPr>
              <c:txPr>
                <a:bodyPr wrap="square" lIns="38100" tIns="19050" rIns="38100" bIns="19050" anchor="ctr">
                  <a:noAutofit/>
                </a:bodyPr>
                <a:lstStyle/>
                <a:p>
                  <a:pPr>
                    <a:defRPr>
                      <a:latin typeface="Times New Roman" panose="02020603050405020304" pitchFamily="18" charset="0"/>
                      <a:cs typeface="Times New Roman" panose="02020603050405020304" pitchFamily="18" charset="0"/>
                    </a:defRPr>
                  </a:pPr>
                  <a:endParaRPr lang="ru-RU"/>
                </a:p>
              </c:txPr>
              <c:dLblPos val="b"/>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dLbl>
              <c:idx val="11"/>
              <c:spPr>
                <a:noFill/>
                <a:ln>
                  <a:noFill/>
                </a:ln>
                <a:effectLst/>
              </c:spPr>
              <c:txPr>
                <a:bodyPr wrap="square" lIns="38100" tIns="19050" rIns="38100" bIns="19050" anchor="ctr">
                  <a:noAutofit/>
                </a:bodyPr>
                <a:lstStyle/>
                <a:p>
                  <a:pPr>
                    <a:defRPr>
                      <a:latin typeface="Times New Roman" panose="02020603050405020304" pitchFamily="18" charset="0"/>
                      <a:cs typeface="Times New Roman" panose="02020603050405020304" pitchFamily="18" charset="0"/>
                    </a:defRPr>
                  </a:pPr>
                  <a:endParaRPr lang="ru-RU"/>
                </a:p>
              </c:txPr>
              <c:dLblPos val="b"/>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'факт безраб'!$C$6:$N$6</c:f>
              <c:strCache>
                <c:ptCount val="12"/>
                <c:pt idx="0">
                  <c:v>октябрь - декабрь
 2023</c:v>
                </c:pt>
                <c:pt idx="1">
                  <c:v>январь  - март 
2024</c:v>
                </c:pt>
                <c:pt idx="2">
                  <c:v>февраль  - апрель
 2024</c:v>
                </c:pt>
                <c:pt idx="3">
                  <c:v>март  - 
май
 2024</c:v>
                </c:pt>
                <c:pt idx="4">
                  <c:v>апрель  - июнь
 2024</c:v>
                </c:pt>
                <c:pt idx="5">
                  <c:v>май - июль 
2024</c:v>
                </c:pt>
                <c:pt idx="6">
                  <c:v>июнь  - август
 2024</c:v>
                </c:pt>
                <c:pt idx="7">
                  <c:v>июль  - сентябрь
 2024</c:v>
                </c:pt>
                <c:pt idx="8">
                  <c:v>август  - октябрь
 2024</c:v>
                </c:pt>
                <c:pt idx="9">
                  <c:v>сентябрь - ноябрь
 2024</c:v>
                </c:pt>
                <c:pt idx="10">
                  <c:v>октябрь - декабрь
 2024</c:v>
                </c:pt>
                <c:pt idx="11">
                  <c:v>ноябрь 2024 - январь 2025</c:v>
                </c:pt>
              </c:strCache>
            </c:strRef>
          </c:cat>
          <c:val>
            <c:numRef>
              <c:f>'факт безраб'!$C$8:$N$8</c:f>
              <c:numCache>
                <c:formatCode>0.0</c:formatCode>
                <c:ptCount val="12"/>
                <c:pt idx="0">
                  <c:v>5.2</c:v>
                </c:pt>
                <c:pt idx="1">
                  <c:v>4.3</c:v>
                </c:pt>
                <c:pt idx="2">
                  <c:v>3.2</c:v>
                </c:pt>
                <c:pt idx="3">
                  <c:v>2</c:v>
                </c:pt>
                <c:pt idx="4">
                  <c:v>1.8</c:v>
                </c:pt>
                <c:pt idx="5">
                  <c:v>1.4</c:v>
                </c:pt>
                <c:pt idx="6">
                  <c:v>2</c:v>
                </c:pt>
                <c:pt idx="7">
                  <c:v>2.6</c:v>
                </c:pt>
                <c:pt idx="8">
                  <c:v>2.7</c:v>
                </c:pt>
                <c:pt idx="9">
                  <c:v>2.5</c:v>
                </c:pt>
                <c:pt idx="10">
                  <c:v>1.9</c:v>
                </c:pt>
                <c:pt idx="11">
                  <c:v>2.2999999999999998</c:v>
                </c:pt>
              </c:numCache>
            </c:numRef>
          </c:val>
          <c:smooth val="0"/>
          <c:extLst xmlns:c16r2="http://schemas.microsoft.com/office/drawing/2015/06/chart">
            <c:ext xmlns:c16="http://schemas.microsoft.com/office/drawing/2014/chart" uri="{C3380CC4-5D6E-409C-BE32-E72D297353CC}">
              <c16:uniqueId val="{00000001-533D-4E05-98FC-3FDF4736718C}"/>
            </c:ext>
          </c:extLst>
        </c:ser>
        <c:dLbls>
          <c:showLegendKey val="0"/>
          <c:showVal val="1"/>
          <c:showCatName val="0"/>
          <c:showSerName val="0"/>
          <c:showPercent val="0"/>
          <c:showBubbleSize val="0"/>
        </c:dLbls>
        <c:smooth val="0"/>
        <c:axId val="807346632"/>
        <c:axId val="807347024"/>
      </c:lineChart>
      <c:catAx>
        <c:axId val="807346632"/>
        <c:scaling>
          <c:orientation val="minMax"/>
        </c:scaling>
        <c:delete val="0"/>
        <c:axPos val="b"/>
        <c:numFmt formatCode="General" sourceLinked="0"/>
        <c:majorTickMark val="none"/>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ru-RU"/>
          </a:p>
        </c:txPr>
        <c:crossAx val="807347024"/>
        <c:crosses val="autoZero"/>
        <c:auto val="1"/>
        <c:lblAlgn val="ctr"/>
        <c:lblOffset val="100"/>
        <c:noMultiLvlLbl val="0"/>
      </c:catAx>
      <c:valAx>
        <c:axId val="807347024"/>
        <c:scaling>
          <c:orientation val="minMax"/>
        </c:scaling>
        <c:delete val="1"/>
        <c:axPos val="l"/>
        <c:numFmt formatCode="0.0" sourceLinked="1"/>
        <c:majorTickMark val="none"/>
        <c:minorTickMark val="none"/>
        <c:tickLblPos val="nextTo"/>
        <c:crossAx val="807346632"/>
        <c:crosses val="autoZero"/>
        <c:crossBetween val="between"/>
      </c:valAx>
    </c:plotArea>
    <c:legend>
      <c:legendPos val="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'Таблица 5 МБТ'!$E$80</c:f>
              <c:strCache>
                <c:ptCount val="1"/>
                <c:pt idx="0">
                  <c:v>запланировано</c:v>
                </c:pt>
              </c:strCache>
            </c:strRef>
          </c:tx>
          <c:spPr>
            <a:solidFill>
              <a:schemeClr val="accent1"/>
            </a:solidFill>
            <a:ln>
              <a:noFill/>
            </a:ln>
            <a:effectLst/>
            <a:sp3d/>
          </c:spPr>
          <c:invertIfNegative val="0"/>
          <c:dLbls>
            <c:dLbl>
              <c:idx val="0"/>
              <c:layout>
                <c:manualLayout>
                  <c:x val="-8.3333333333333332E-3"/>
                  <c:y val="-3.240740740740740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12E-2"/>
                  <c:y val="-1.851851851851851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6111111111111212E-2"/>
                  <c:y val="-2.314814814814815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'Таблица 5 МБТ'!$F$79:$I$79</c:f>
              <c:strCache>
                <c:ptCount val="4"/>
                <c:pt idx="0">
                  <c:v>1 кв</c:v>
                </c:pt>
                <c:pt idx="1">
                  <c:v>2 кв</c:v>
                </c:pt>
                <c:pt idx="2">
                  <c:v>3 кв</c:v>
                </c:pt>
                <c:pt idx="3">
                  <c:v>4 кв</c:v>
                </c:pt>
              </c:strCache>
            </c:strRef>
          </c:cat>
          <c:val>
            <c:numRef>
              <c:f>'Таблица 5 МБТ'!$F$80:$I$80</c:f>
              <c:numCache>
                <c:formatCode>#,##0.00</c:formatCode>
                <c:ptCount val="4"/>
                <c:pt idx="0">
                  <c:v>20.356116760000003</c:v>
                </c:pt>
                <c:pt idx="1">
                  <c:v>890.61049218000005</c:v>
                </c:pt>
                <c:pt idx="2">
                  <c:v>330.00068464000009</c:v>
                </c:pt>
                <c:pt idx="3">
                  <c:v>492.09955358999969</c:v>
                </c:pt>
              </c:numCache>
            </c:numRef>
          </c:val>
        </c:ser>
        <c:ser>
          <c:idx val="1"/>
          <c:order val="1"/>
          <c:tx>
            <c:strRef>
              <c:f>'Таблица 5 МБТ'!$E$81</c:f>
              <c:strCache>
                <c:ptCount val="1"/>
                <c:pt idx="0">
                  <c:v>исполнено</c:v>
                </c:pt>
              </c:strCache>
            </c:strRef>
          </c:tx>
          <c:spPr>
            <a:solidFill>
              <a:schemeClr val="accent2"/>
            </a:solidFill>
            <a:ln>
              <a:noFill/>
            </a:ln>
            <a:effectLst/>
            <a:sp3d/>
          </c:spPr>
          <c:invertIfNegative val="0"/>
          <c:dLbls>
            <c:dLbl>
              <c:idx val="0"/>
              <c:layout>
                <c:manualLayout>
                  <c:x val="3.3333333333333333E-2"/>
                  <c:y val="-2.777777777777777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6111111111111059E-2"/>
                  <c:y val="-2.777777777777777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3333333333333333E-2"/>
                  <c:y val="-1.851851851851860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0555555555555353E-2"/>
                  <c:y val="-2.777777777777777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'Таблица 5 МБТ'!$F$79:$I$79</c:f>
              <c:strCache>
                <c:ptCount val="4"/>
                <c:pt idx="0">
                  <c:v>1 кв</c:v>
                </c:pt>
                <c:pt idx="1">
                  <c:v>2 кв</c:v>
                </c:pt>
                <c:pt idx="2">
                  <c:v>3 кв</c:v>
                </c:pt>
                <c:pt idx="3">
                  <c:v>4 кв</c:v>
                </c:pt>
              </c:strCache>
            </c:strRef>
          </c:cat>
          <c:val>
            <c:numRef>
              <c:f>'Таблица 5 МБТ'!$F$81:$I$81</c:f>
              <c:numCache>
                <c:formatCode>#,##0.00</c:formatCode>
                <c:ptCount val="4"/>
                <c:pt idx="0">
                  <c:v>20.259365479999996</c:v>
                </c:pt>
                <c:pt idx="1">
                  <c:v>888.09492343999989</c:v>
                </c:pt>
                <c:pt idx="2">
                  <c:v>315.68319535000001</c:v>
                </c:pt>
                <c:pt idx="3">
                  <c:v>509.02936289999985</c:v>
                </c:pt>
              </c:numCache>
            </c:numRef>
          </c:val>
        </c:ser>
        <c:dLbls>
          <c:showLegendKey val="0"/>
          <c:showVal val="1"/>
          <c:showCatName val="0"/>
          <c:showSerName val="0"/>
          <c:showPercent val="0"/>
          <c:showBubbleSize val="0"/>
        </c:dLbls>
        <c:gapWidth val="150"/>
        <c:shape val="box"/>
        <c:axId val="807347808"/>
        <c:axId val="492427704"/>
        <c:axId val="0"/>
      </c:bar3DChart>
      <c:catAx>
        <c:axId val="8073478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92427704"/>
        <c:crosses val="autoZero"/>
        <c:auto val="1"/>
        <c:lblAlgn val="ctr"/>
        <c:lblOffset val="100"/>
        <c:noMultiLvlLbl val="0"/>
      </c:catAx>
      <c:valAx>
        <c:axId val="492427704"/>
        <c:scaling>
          <c:orientation val="minMax"/>
        </c:scaling>
        <c:delete val="0"/>
        <c:axPos val="l"/>
        <c:majorGridlines>
          <c:spPr>
            <a:ln w="9525" cap="flat" cmpd="sng" algn="ctr">
              <a:no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07347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EEBC7A-C04D-4044-A634-DF15EA468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999</TotalTime>
  <Pages>388</Pages>
  <Words>148683</Words>
  <Characters>847496</Characters>
  <Application>Microsoft Office Word</Application>
  <DocSecurity>0</DocSecurity>
  <Lines>7062</Lines>
  <Paragraphs>1988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994191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Калинин Сергей Фёдорович</dc:creator>
  <cp:keywords/>
  <dc:description/>
  <cp:lastModifiedBy>Калинин Сергей Фёдорович</cp:lastModifiedBy>
  <cp:revision>61</cp:revision>
  <cp:lastPrinted>2025-05-23T09:10:00Z</cp:lastPrinted>
  <dcterms:created xsi:type="dcterms:W3CDTF">2025-05-21T09:19:00Z</dcterms:created>
  <dcterms:modified xsi:type="dcterms:W3CDTF">2026-02-25T09:47:00Z</dcterms:modified>
</cp:coreProperties>
</file>